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41362" w14:textId="6E56EF7B" w:rsidR="004B0883" w:rsidRDefault="0090540C">
      <w:pPr>
        <w:spacing w:line="360" w:lineRule="auto"/>
        <w:rPr>
          <w:b/>
          <w:kern w:val="0"/>
        </w:rPr>
      </w:pPr>
      <w:bookmarkStart w:id="0" w:name="_Toc44362276"/>
      <w:bookmarkStart w:id="1" w:name="_Toc475547247"/>
      <w:bookmarkStart w:id="2" w:name="_Toc504171106"/>
      <w:bookmarkStart w:id="3" w:name="_Toc37790452"/>
      <w:bookmarkStart w:id="4" w:name="_Toc33738651"/>
      <w:bookmarkStart w:id="5" w:name="_Toc42001299"/>
      <w:bookmarkStart w:id="6" w:name="_Toc523129006"/>
      <w:r>
        <w:rPr>
          <w:noProof/>
        </w:rPr>
        <w:drawing>
          <wp:anchor distT="0" distB="0" distL="114300" distR="114300" simplePos="0" relativeHeight="251659776" behindDoc="0" locked="0" layoutInCell="1" allowOverlap="1" wp14:anchorId="5924F637" wp14:editId="38A7145E">
            <wp:simplePos x="0" y="0"/>
            <wp:positionH relativeFrom="column">
              <wp:posOffset>-1120140</wp:posOffset>
            </wp:positionH>
            <wp:positionV relativeFrom="paragraph">
              <wp:posOffset>-939165</wp:posOffset>
            </wp:positionV>
            <wp:extent cx="7554595" cy="10692130"/>
            <wp:effectExtent l="0" t="0" r="0" b="0"/>
            <wp:wrapNone/>
            <wp:docPr id="183152262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459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B0883">
        <w:rPr>
          <w:rFonts w:hint="eastAsia"/>
          <w:b/>
          <w:kern w:val="0"/>
        </w:rPr>
        <w:t>股票</w:t>
      </w:r>
      <w:r w:rsidR="004B0883">
        <w:rPr>
          <w:b/>
          <w:kern w:val="0"/>
        </w:rPr>
        <w:t>简称：</w:t>
      </w:r>
      <w:r w:rsidR="004B0883">
        <w:rPr>
          <w:rFonts w:hint="eastAsia"/>
          <w:b/>
          <w:kern w:val="0"/>
        </w:rPr>
        <w:t>伟隆股份</w:t>
      </w:r>
      <w:r w:rsidR="004B0883">
        <w:rPr>
          <w:b/>
          <w:kern w:val="0"/>
        </w:rPr>
        <w:t xml:space="preserve">                                                                                         </w:t>
      </w:r>
      <w:r w:rsidR="004B0883">
        <w:rPr>
          <w:rFonts w:hint="eastAsia"/>
          <w:b/>
          <w:kern w:val="0"/>
        </w:rPr>
        <w:t>股票</w:t>
      </w:r>
      <w:r w:rsidR="004B0883">
        <w:rPr>
          <w:b/>
          <w:kern w:val="0"/>
        </w:rPr>
        <w:t>代码：</w:t>
      </w:r>
      <w:r w:rsidR="004B0883">
        <w:rPr>
          <w:b/>
          <w:kern w:val="0"/>
        </w:rPr>
        <w:t>002871</w:t>
      </w:r>
    </w:p>
    <w:p w14:paraId="07185D43" w14:textId="77777777" w:rsidR="004B0883" w:rsidRDefault="004B0883">
      <w:pPr>
        <w:jc w:val="center"/>
        <w:rPr>
          <w:kern w:val="0"/>
          <w:sz w:val="24"/>
          <w:szCs w:val="24"/>
        </w:rPr>
      </w:pPr>
    </w:p>
    <w:p w14:paraId="4CBE91D4" w14:textId="77777777" w:rsidR="004B0883" w:rsidRDefault="004B0883">
      <w:pPr>
        <w:jc w:val="center"/>
        <w:rPr>
          <w:kern w:val="0"/>
          <w:sz w:val="24"/>
          <w:szCs w:val="24"/>
        </w:rPr>
      </w:pPr>
    </w:p>
    <w:p w14:paraId="45ED5E96" w14:textId="77777777" w:rsidR="004B0883" w:rsidRDefault="004B0883">
      <w:pPr>
        <w:jc w:val="center"/>
        <w:rPr>
          <w:kern w:val="0"/>
          <w:sz w:val="24"/>
          <w:szCs w:val="24"/>
        </w:rPr>
      </w:pPr>
    </w:p>
    <w:p w14:paraId="3E5281E6" w14:textId="77777777" w:rsidR="004B0883" w:rsidRDefault="004B0883">
      <w:pPr>
        <w:jc w:val="center"/>
        <w:rPr>
          <w:rFonts w:hint="eastAsia"/>
          <w:kern w:val="0"/>
          <w:sz w:val="24"/>
          <w:szCs w:val="24"/>
        </w:rPr>
      </w:pPr>
    </w:p>
    <w:p w14:paraId="7E4E337C" w14:textId="77777777" w:rsidR="004B0883" w:rsidRDefault="004B0883">
      <w:pPr>
        <w:jc w:val="center"/>
        <w:rPr>
          <w:kern w:val="0"/>
          <w:sz w:val="24"/>
          <w:szCs w:val="24"/>
        </w:rPr>
      </w:pPr>
    </w:p>
    <w:bookmarkEnd w:id="0"/>
    <w:bookmarkEnd w:id="1"/>
    <w:bookmarkEnd w:id="2"/>
    <w:bookmarkEnd w:id="3"/>
    <w:bookmarkEnd w:id="4"/>
    <w:p w14:paraId="191A2192" w14:textId="77777777" w:rsidR="004B0883" w:rsidRDefault="004B0883">
      <w:pPr>
        <w:spacing w:afterLines="50" w:after="120" w:line="360" w:lineRule="auto"/>
        <w:jc w:val="center"/>
        <w:rPr>
          <w:rFonts w:ascii="Arial" w:eastAsia="黑体" w:hAnsi="Arial" w:cs="Arial"/>
          <w:b/>
          <w:sz w:val="44"/>
          <w:szCs w:val="44"/>
        </w:rPr>
      </w:pPr>
      <w:r>
        <w:rPr>
          <w:rFonts w:ascii="Arial" w:eastAsia="黑体" w:hAnsi="Arial" w:cs="Arial" w:hint="eastAsia"/>
          <w:b/>
          <w:sz w:val="44"/>
          <w:szCs w:val="44"/>
        </w:rPr>
        <w:t>青岛伟隆阀门股份有限公司</w:t>
      </w:r>
    </w:p>
    <w:p w14:paraId="1A86ABE4" w14:textId="77777777" w:rsidR="004B0883" w:rsidRDefault="004B0883">
      <w:pPr>
        <w:spacing w:line="360" w:lineRule="auto"/>
        <w:jc w:val="center"/>
        <w:rPr>
          <w:sz w:val="28"/>
          <w:szCs w:val="28"/>
        </w:rPr>
      </w:pPr>
      <w:r>
        <w:rPr>
          <w:sz w:val="28"/>
          <w:szCs w:val="28"/>
        </w:rPr>
        <w:t>QINGDAO WEFLO VALVE CO., LTD.</w:t>
      </w:r>
    </w:p>
    <w:p w14:paraId="3B7D191A" w14:textId="77777777" w:rsidR="004B0883" w:rsidRDefault="004B0883">
      <w:pPr>
        <w:spacing w:line="360" w:lineRule="auto"/>
        <w:jc w:val="center"/>
        <w:rPr>
          <w:rFonts w:ascii="黑体" w:eastAsia="黑体" w:hAnsi="黑体" w:cs="Arial"/>
          <w:b/>
          <w:sz w:val="28"/>
          <w:szCs w:val="28"/>
        </w:rPr>
      </w:pPr>
      <w:r>
        <w:rPr>
          <w:rFonts w:ascii="黑体" w:eastAsia="黑体" w:hAnsi="黑体" w:cs="Arial"/>
          <w:b/>
          <w:sz w:val="28"/>
          <w:szCs w:val="28"/>
        </w:rPr>
        <w:t>（</w:t>
      </w:r>
      <w:r>
        <w:rPr>
          <w:rFonts w:ascii="黑体" w:eastAsia="黑体" w:hAnsi="黑体" w:cs="Arial" w:hint="eastAsia"/>
          <w:b/>
          <w:sz w:val="28"/>
          <w:szCs w:val="28"/>
        </w:rPr>
        <w:t>注册地址：山东省青岛市高新区春阳路789号</w:t>
      </w:r>
      <w:r>
        <w:rPr>
          <w:rFonts w:ascii="黑体" w:eastAsia="黑体" w:hAnsi="黑体" w:cs="Arial"/>
          <w:b/>
          <w:sz w:val="28"/>
          <w:szCs w:val="28"/>
        </w:rPr>
        <w:t>）</w:t>
      </w:r>
    </w:p>
    <w:p w14:paraId="4938DB07" w14:textId="372FCCC8" w:rsidR="004B0883" w:rsidRDefault="0090540C">
      <w:pPr>
        <w:autoSpaceDE w:val="0"/>
        <w:autoSpaceDN w:val="0"/>
        <w:adjustRightInd w:val="0"/>
        <w:jc w:val="center"/>
        <w:rPr>
          <w:kern w:val="0"/>
          <w:sz w:val="52"/>
          <w:szCs w:val="52"/>
        </w:rPr>
      </w:pPr>
      <w:r>
        <w:rPr>
          <w:noProof/>
          <w:lang w:val="en-US" w:eastAsia="zh-CN"/>
        </w:rPr>
        <w:drawing>
          <wp:inline distT="0" distB="0" distL="0" distR="0" wp14:anchorId="34582C04" wp14:editId="7F0D3494">
            <wp:extent cx="2560320" cy="5803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0320" cy="580390"/>
                    </a:xfrm>
                    <a:prstGeom prst="rect">
                      <a:avLst/>
                    </a:prstGeom>
                    <a:noFill/>
                    <a:ln>
                      <a:noFill/>
                    </a:ln>
                  </pic:spPr>
                </pic:pic>
              </a:graphicData>
            </a:graphic>
          </wp:inline>
        </w:drawing>
      </w:r>
    </w:p>
    <w:p w14:paraId="25377A8E" w14:textId="77777777" w:rsidR="004B0883" w:rsidRDefault="004B0883">
      <w:pPr>
        <w:autoSpaceDE w:val="0"/>
        <w:autoSpaceDN w:val="0"/>
        <w:adjustRightInd w:val="0"/>
        <w:jc w:val="center"/>
        <w:rPr>
          <w:kern w:val="0"/>
          <w:sz w:val="52"/>
          <w:szCs w:val="52"/>
        </w:rPr>
      </w:pPr>
    </w:p>
    <w:p w14:paraId="5C655959" w14:textId="77777777" w:rsidR="004B0883" w:rsidRDefault="004B0883">
      <w:pPr>
        <w:autoSpaceDE w:val="0"/>
        <w:autoSpaceDN w:val="0"/>
        <w:adjustRightInd w:val="0"/>
        <w:jc w:val="center"/>
        <w:rPr>
          <w:kern w:val="0"/>
          <w:sz w:val="52"/>
          <w:szCs w:val="52"/>
        </w:rPr>
      </w:pPr>
    </w:p>
    <w:p w14:paraId="37219B47" w14:textId="77777777" w:rsidR="004B0883" w:rsidRDefault="004B0883">
      <w:pPr>
        <w:autoSpaceDE w:val="0"/>
        <w:autoSpaceDN w:val="0"/>
        <w:adjustRightInd w:val="0"/>
        <w:spacing w:line="360" w:lineRule="auto"/>
        <w:jc w:val="center"/>
        <w:rPr>
          <w:rFonts w:ascii="Arial" w:eastAsia="黑体" w:hAnsi="Arial" w:cs="Arial" w:hint="eastAsia"/>
          <w:b/>
          <w:sz w:val="44"/>
          <w:szCs w:val="44"/>
        </w:rPr>
      </w:pPr>
      <w:r>
        <w:rPr>
          <w:rFonts w:eastAsia="黑体"/>
          <w:b/>
          <w:sz w:val="44"/>
          <w:szCs w:val="44"/>
        </w:rPr>
        <w:t>向</w:t>
      </w:r>
      <w:r>
        <w:rPr>
          <w:rFonts w:eastAsia="黑体" w:hint="eastAsia"/>
          <w:b/>
          <w:sz w:val="44"/>
          <w:szCs w:val="44"/>
        </w:rPr>
        <w:t>不</w:t>
      </w:r>
      <w:r>
        <w:rPr>
          <w:rFonts w:eastAsia="黑体"/>
          <w:b/>
          <w:sz w:val="44"/>
          <w:szCs w:val="44"/>
        </w:rPr>
        <w:t>特定对象发行</w:t>
      </w:r>
      <w:r>
        <w:rPr>
          <w:rFonts w:eastAsia="黑体" w:hint="eastAsia"/>
          <w:b/>
          <w:sz w:val="44"/>
          <w:szCs w:val="44"/>
        </w:rPr>
        <w:t>可转换公司债券</w:t>
      </w:r>
    </w:p>
    <w:p w14:paraId="1F4EB482" w14:textId="77777777" w:rsidR="004B0883" w:rsidRDefault="004B0883">
      <w:pPr>
        <w:autoSpaceDE w:val="0"/>
        <w:autoSpaceDN w:val="0"/>
        <w:adjustRightInd w:val="0"/>
        <w:spacing w:line="360" w:lineRule="auto"/>
        <w:jc w:val="center"/>
        <w:rPr>
          <w:rFonts w:ascii="Arial" w:eastAsia="黑体" w:hAnsi="Arial" w:cs="Arial"/>
          <w:b/>
          <w:sz w:val="44"/>
          <w:szCs w:val="44"/>
        </w:rPr>
      </w:pPr>
      <w:r>
        <w:rPr>
          <w:rFonts w:ascii="Arial" w:eastAsia="黑体" w:hAnsi="Arial" w:cs="Arial" w:hint="eastAsia"/>
          <w:b/>
          <w:sz w:val="44"/>
          <w:szCs w:val="44"/>
        </w:rPr>
        <w:t>募集说明书</w:t>
      </w:r>
    </w:p>
    <w:p w14:paraId="296F9E2B" w14:textId="77777777" w:rsidR="004B0883" w:rsidRPr="00CC601D" w:rsidRDefault="004B0883">
      <w:pPr>
        <w:spacing w:line="360" w:lineRule="auto"/>
        <w:jc w:val="center"/>
        <w:rPr>
          <w:rFonts w:ascii="楷体" w:eastAsia="楷体" w:hAnsi="楷体" w:cs="Arial"/>
          <w:b/>
          <w:sz w:val="44"/>
          <w:szCs w:val="44"/>
        </w:rPr>
      </w:pPr>
      <w:r w:rsidRPr="00CC601D">
        <w:rPr>
          <w:rFonts w:ascii="楷体" w:eastAsia="楷体" w:hAnsi="楷体" w:cs="Arial" w:hint="eastAsia"/>
          <w:b/>
          <w:sz w:val="44"/>
          <w:szCs w:val="44"/>
        </w:rPr>
        <w:t>（</w:t>
      </w:r>
      <w:r w:rsidR="00CC601D" w:rsidRPr="00CC601D">
        <w:rPr>
          <w:rFonts w:ascii="楷体" w:eastAsia="楷体" w:hAnsi="楷体" w:cs="Arial" w:hint="eastAsia"/>
          <w:b/>
          <w:sz w:val="44"/>
          <w:szCs w:val="44"/>
        </w:rPr>
        <w:t>修订</w:t>
      </w:r>
      <w:r w:rsidRPr="00CC601D">
        <w:rPr>
          <w:rFonts w:ascii="楷体" w:eastAsia="楷体" w:hAnsi="楷体" w:cs="Arial" w:hint="eastAsia"/>
          <w:b/>
          <w:sz w:val="44"/>
          <w:szCs w:val="44"/>
        </w:rPr>
        <w:t>稿）</w:t>
      </w:r>
    </w:p>
    <w:p w14:paraId="3A13A147" w14:textId="77777777" w:rsidR="004B0883" w:rsidRDefault="004B0883">
      <w:pPr>
        <w:autoSpaceDE w:val="0"/>
        <w:autoSpaceDN w:val="0"/>
        <w:adjustRightInd w:val="0"/>
        <w:snapToGrid w:val="0"/>
        <w:jc w:val="center"/>
        <w:rPr>
          <w:b/>
          <w:kern w:val="0"/>
          <w:sz w:val="48"/>
          <w:szCs w:val="48"/>
        </w:rPr>
      </w:pPr>
    </w:p>
    <w:p w14:paraId="1E1EE97A" w14:textId="77777777" w:rsidR="004B0883" w:rsidRDefault="004B0883">
      <w:pPr>
        <w:autoSpaceDE w:val="0"/>
        <w:autoSpaceDN w:val="0"/>
        <w:adjustRightInd w:val="0"/>
        <w:snapToGrid w:val="0"/>
        <w:jc w:val="center"/>
        <w:rPr>
          <w:b/>
          <w:kern w:val="0"/>
          <w:sz w:val="48"/>
          <w:szCs w:val="48"/>
        </w:rPr>
      </w:pPr>
    </w:p>
    <w:p w14:paraId="22EFA824" w14:textId="77777777" w:rsidR="004B0883" w:rsidRDefault="004B0883">
      <w:pPr>
        <w:autoSpaceDE w:val="0"/>
        <w:autoSpaceDN w:val="0"/>
        <w:adjustRightInd w:val="0"/>
        <w:snapToGrid w:val="0"/>
        <w:jc w:val="center"/>
        <w:rPr>
          <w:b/>
          <w:kern w:val="0"/>
          <w:sz w:val="48"/>
          <w:szCs w:val="48"/>
        </w:rPr>
      </w:pPr>
    </w:p>
    <w:p w14:paraId="5F12371B" w14:textId="77777777" w:rsidR="004B0883" w:rsidRDefault="004B0883">
      <w:pPr>
        <w:autoSpaceDE w:val="0"/>
        <w:autoSpaceDN w:val="0"/>
        <w:adjustRightInd w:val="0"/>
        <w:snapToGrid w:val="0"/>
        <w:jc w:val="center"/>
        <w:rPr>
          <w:b/>
          <w:kern w:val="0"/>
          <w:sz w:val="48"/>
          <w:szCs w:val="48"/>
        </w:rPr>
      </w:pPr>
    </w:p>
    <w:p w14:paraId="58D8F254" w14:textId="77777777" w:rsidR="004B0883" w:rsidRDefault="004B0883">
      <w:pPr>
        <w:autoSpaceDE w:val="0"/>
        <w:autoSpaceDN w:val="0"/>
        <w:adjustRightInd w:val="0"/>
        <w:snapToGrid w:val="0"/>
        <w:spacing w:line="288" w:lineRule="auto"/>
        <w:jc w:val="center"/>
        <w:rPr>
          <w:rFonts w:ascii="黑体" w:eastAsia="黑体" w:hAnsi="黑体"/>
          <w:b/>
          <w:kern w:val="0"/>
          <w:sz w:val="32"/>
          <w:szCs w:val="32"/>
        </w:rPr>
      </w:pPr>
      <w:r>
        <w:rPr>
          <w:rFonts w:ascii="黑体" w:eastAsia="黑体" w:hAnsi="黑体" w:hint="eastAsia"/>
          <w:b/>
          <w:kern w:val="0"/>
          <w:sz w:val="32"/>
          <w:szCs w:val="32"/>
        </w:rPr>
        <w:t>保荐机构（主承销商）</w:t>
      </w:r>
    </w:p>
    <w:p w14:paraId="15D57375" w14:textId="320D0308" w:rsidR="004B0883" w:rsidRDefault="0090540C">
      <w:pPr>
        <w:adjustRightInd w:val="0"/>
        <w:snapToGrid w:val="0"/>
        <w:spacing w:line="288" w:lineRule="auto"/>
        <w:jc w:val="center"/>
        <w:rPr>
          <w:sz w:val="44"/>
          <w:szCs w:val="44"/>
        </w:rPr>
      </w:pPr>
      <w:r>
        <w:rPr>
          <w:rFonts w:ascii="ˎ̥" w:hAnsi="ˎ̥" w:cs="ˎ̥"/>
          <w:noProof/>
          <w:sz w:val="24"/>
          <w:szCs w:val="20"/>
          <w:lang w:val="en-US" w:eastAsia="zh-CN"/>
        </w:rPr>
        <w:drawing>
          <wp:inline distT="0" distB="0" distL="0" distR="0" wp14:anchorId="359D5F69" wp14:editId="1094A866">
            <wp:extent cx="2639695" cy="437515"/>
            <wp:effectExtent l="0" t="0" r="0" b="0"/>
            <wp:docPr id="2" name="图片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9695" cy="437515"/>
                    </a:xfrm>
                    <a:prstGeom prst="rect">
                      <a:avLst/>
                    </a:prstGeom>
                    <a:noFill/>
                    <a:ln>
                      <a:noFill/>
                    </a:ln>
                  </pic:spPr>
                </pic:pic>
              </a:graphicData>
            </a:graphic>
          </wp:inline>
        </w:drawing>
      </w:r>
    </w:p>
    <w:p w14:paraId="38BB1B68" w14:textId="77777777" w:rsidR="004B0883" w:rsidRDefault="004B0883">
      <w:pPr>
        <w:adjustRightInd w:val="0"/>
        <w:snapToGrid w:val="0"/>
        <w:spacing w:afterLines="50" w:after="120" w:line="288" w:lineRule="auto"/>
        <w:jc w:val="center"/>
        <w:rPr>
          <w:rFonts w:ascii="黑体" w:eastAsia="黑体" w:hAnsi="黑体"/>
          <w:b/>
          <w:sz w:val="24"/>
          <w:szCs w:val="24"/>
        </w:rPr>
      </w:pPr>
      <w:r>
        <w:rPr>
          <w:rFonts w:ascii="黑体" w:eastAsia="黑体" w:hAnsi="黑体"/>
          <w:b/>
          <w:sz w:val="24"/>
          <w:szCs w:val="24"/>
        </w:rPr>
        <w:t>广东省深圳市福田区中心三</w:t>
      </w:r>
      <w:r>
        <w:rPr>
          <w:rFonts w:eastAsia="黑体"/>
          <w:b/>
          <w:sz w:val="24"/>
          <w:szCs w:val="24"/>
        </w:rPr>
        <w:t>路</w:t>
      </w:r>
      <w:r>
        <w:rPr>
          <w:rFonts w:eastAsia="黑体"/>
          <w:b/>
          <w:sz w:val="24"/>
          <w:szCs w:val="24"/>
        </w:rPr>
        <w:t>8</w:t>
      </w:r>
      <w:r>
        <w:rPr>
          <w:rFonts w:eastAsia="黑体"/>
          <w:b/>
          <w:sz w:val="24"/>
          <w:szCs w:val="24"/>
        </w:rPr>
        <w:t>号卓越</w:t>
      </w:r>
      <w:r>
        <w:rPr>
          <w:rFonts w:ascii="黑体" w:eastAsia="黑体" w:hAnsi="黑体"/>
          <w:b/>
          <w:sz w:val="24"/>
          <w:szCs w:val="24"/>
        </w:rPr>
        <w:t>时代广场（二期）北座</w:t>
      </w:r>
    </w:p>
    <w:p w14:paraId="7D173EB1" w14:textId="77777777" w:rsidR="004B0883" w:rsidRDefault="004B0883">
      <w:pPr>
        <w:spacing w:beforeLines="100" w:before="240" w:afterLines="50" w:after="120" w:line="360" w:lineRule="auto"/>
        <w:jc w:val="center"/>
        <w:rPr>
          <w:rFonts w:ascii="黑体" w:eastAsia="黑体" w:hAnsi="黑体"/>
          <w:b/>
          <w:sz w:val="24"/>
          <w:szCs w:val="22"/>
        </w:rPr>
      </w:pPr>
    </w:p>
    <w:p w14:paraId="7FCD0B4D" w14:textId="77777777" w:rsidR="004B0883" w:rsidRPr="00CC601D" w:rsidRDefault="004B0883">
      <w:pPr>
        <w:spacing w:beforeLines="100" w:before="240" w:afterLines="50" w:after="120" w:line="360" w:lineRule="auto"/>
        <w:jc w:val="center"/>
        <w:rPr>
          <w:rFonts w:ascii="楷体" w:eastAsia="楷体" w:hAnsi="楷体"/>
          <w:b/>
          <w:sz w:val="24"/>
          <w:szCs w:val="22"/>
        </w:rPr>
        <w:sectPr w:rsidR="004B0883" w:rsidRPr="00CC601D">
          <w:headerReference w:type="default" r:id="rId10"/>
          <w:footerReference w:type="default" r:id="rId11"/>
          <w:headerReference w:type="first" r:id="rId12"/>
          <w:pgSz w:w="11906" w:h="16838"/>
          <w:pgMar w:top="1440" w:right="1800" w:bottom="1440" w:left="1800" w:header="851" w:footer="992" w:gutter="0"/>
          <w:cols w:space="720"/>
          <w:docGrid w:linePitch="312"/>
        </w:sectPr>
      </w:pPr>
      <w:r w:rsidRPr="00CC601D">
        <w:rPr>
          <w:rFonts w:ascii="楷体" w:eastAsia="楷体" w:hAnsi="楷体"/>
          <w:b/>
          <w:sz w:val="24"/>
          <w:szCs w:val="22"/>
        </w:rPr>
        <w:t>二〇</w:t>
      </w:r>
      <w:r w:rsidRPr="00CC601D">
        <w:rPr>
          <w:rFonts w:ascii="楷体" w:eastAsia="楷体" w:hAnsi="楷体" w:hint="eastAsia"/>
          <w:b/>
          <w:sz w:val="24"/>
          <w:szCs w:val="22"/>
        </w:rPr>
        <w:t>二</w:t>
      </w:r>
      <w:r w:rsidR="00CC601D" w:rsidRPr="00CC601D">
        <w:rPr>
          <w:rFonts w:ascii="楷体" w:eastAsia="楷体" w:hAnsi="楷体" w:hint="eastAsia"/>
          <w:b/>
          <w:sz w:val="24"/>
          <w:szCs w:val="22"/>
        </w:rPr>
        <w:t>四</w:t>
      </w:r>
      <w:r w:rsidRPr="00CC601D">
        <w:rPr>
          <w:rFonts w:ascii="楷体" w:eastAsia="楷体" w:hAnsi="楷体"/>
          <w:b/>
          <w:sz w:val="24"/>
          <w:szCs w:val="22"/>
        </w:rPr>
        <w:t>年</w:t>
      </w:r>
      <w:r w:rsidRPr="00CC601D">
        <w:rPr>
          <w:rFonts w:ascii="楷体" w:eastAsia="楷体" w:hAnsi="楷体" w:hint="eastAsia"/>
          <w:b/>
          <w:sz w:val="24"/>
          <w:szCs w:val="22"/>
        </w:rPr>
        <w:t>一</w:t>
      </w:r>
      <w:r w:rsidRPr="00CC601D">
        <w:rPr>
          <w:rFonts w:ascii="楷体" w:eastAsia="楷体" w:hAnsi="楷体"/>
          <w:b/>
          <w:sz w:val="24"/>
          <w:szCs w:val="22"/>
        </w:rPr>
        <w:t>月</w:t>
      </w:r>
    </w:p>
    <w:p w14:paraId="783784AD" w14:textId="77777777" w:rsidR="004B0883" w:rsidRDefault="004B0883">
      <w:pPr>
        <w:pStyle w:val="001"/>
        <w:spacing w:before="120" w:after="120"/>
        <w:rPr>
          <w:rFonts w:hint="eastAsia"/>
        </w:rPr>
      </w:pPr>
      <w:bookmarkStart w:id="7" w:name="_Toc152320763"/>
      <w:r>
        <w:rPr>
          <w:rFonts w:hint="eastAsia"/>
        </w:rPr>
        <w:lastRenderedPageBreak/>
        <w:t>声</w:t>
      </w:r>
      <w:r>
        <w:rPr>
          <w:rFonts w:hint="eastAsia"/>
        </w:rPr>
        <w:t xml:space="preserve">  </w:t>
      </w:r>
      <w:r>
        <w:rPr>
          <w:rFonts w:hint="eastAsia"/>
        </w:rPr>
        <w:t>明</w:t>
      </w:r>
      <w:bookmarkEnd w:id="5"/>
      <w:bookmarkEnd w:id="6"/>
      <w:bookmarkEnd w:id="7"/>
    </w:p>
    <w:p w14:paraId="04E9DCDC" w14:textId="77777777" w:rsidR="004B0883" w:rsidRDefault="004B0883">
      <w:pPr>
        <w:pStyle w:val="005"/>
        <w:spacing w:before="120"/>
        <w:ind w:firstLine="480"/>
        <w:rPr>
          <w:rFonts w:hint="eastAsia"/>
        </w:rPr>
      </w:pPr>
      <w:bookmarkStart w:id="8" w:name="_Toc42001300"/>
      <w:r>
        <w:rPr>
          <w:rFonts w:hint="eastAsia"/>
        </w:rPr>
        <w:t>中国证监会、交易所对本次发行所作的任何决定或意见，均不表明其对申请文件及所披露信息的真实性、准确性、完整性作出保证，也不表明其对发行人的盈利能力、投资价值或者对投资者的收益作出实质性判断或保证。任何与之相反的声明均属虚假不实陈述。</w:t>
      </w:r>
    </w:p>
    <w:p w14:paraId="1ACA88B7" w14:textId="77777777" w:rsidR="004B0883" w:rsidRDefault="004B0883">
      <w:pPr>
        <w:pStyle w:val="005"/>
        <w:spacing w:before="120"/>
        <w:ind w:firstLine="480"/>
        <w:rPr>
          <w:rFonts w:hint="eastAsia"/>
        </w:rPr>
      </w:pPr>
      <w:r>
        <w:rPr>
          <w:rFonts w:hint="eastAsia"/>
        </w:rPr>
        <w:t>根据《证券法》的规定，证券依法发行后，发行人经营与收益的变化，由发行人自行负责。投资者自主判断发行人的投资价值，自主作出投资决策，自行承担证券依法发行后因发行人经营与收益变化或者证券价格变动引致的投资风险。</w:t>
      </w:r>
    </w:p>
    <w:p w14:paraId="66EB8F13" w14:textId="77777777" w:rsidR="004B0883" w:rsidRDefault="004B0883">
      <w:pPr>
        <w:pStyle w:val="001"/>
        <w:spacing w:before="120" w:after="120"/>
        <w:rPr>
          <w:rFonts w:hint="eastAsia"/>
        </w:rPr>
      </w:pPr>
      <w:bookmarkStart w:id="9" w:name="_Toc152320764"/>
      <w:bookmarkStart w:id="10" w:name="_Hlk154311438"/>
      <w:r>
        <w:rPr>
          <w:rFonts w:hint="eastAsia"/>
        </w:rPr>
        <w:lastRenderedPageBreak/>
        <w:t>重大事项提示</w:t>
      </w:r>
      <w:bookmarkEnd w:id="8"/>
      <w:bookmarkEnd w:id="9"/>
    </w:p>
    <w:bookmarkEnd w:id="10"/>
    <w:p w14:paraId="75DCA763" w14:textId="77777777" w:rsidR="004B0883" w:rsidRDefault="004B0883">
      <w:pPr>
        <w:pStyle w:val="005"/>
        <w:spacing w:before="120"/>
        <w:ind w:firstLine="480"/>
        <w:rPr>
          <w:rFonts w:hint="eastAsia"/>
        </w:rPr>
      </w:pPr>
      <w:r>
        <w:rPr>
          <w:rFonts w:hint="eastAsia"/>
        </w:rPr>
        <w:t>公司特别提示投资者对下列重大事项给予充分关注，并仔细阅读本募集说明书中有关风险因素的章节。</w:t>
      </w:r>
    </w:p>
    <w:p w14:paraId="2D0E78DA" w14:textId="77777777" w:rsidR="004B0883" w:rsidRDefault="004B0883">
      <w:pPr>
        <w:pStyle w:val="002"/>
        <w:spacing w:before="120" w:after="120"/>
        <w:rPr>
          <w:rFonts w:hint="eastAsia"/>
        </w:rPr>
      </w:pPr>
      <w:bookmarkStart w:id="11" w:name="_Toc152320765"/>
      <w:bookmarkStart w:id="12" w:name="_Toc514071444"/>
      <w:bookmarkStart w:id="13" w:name="_Toc42001301"/>
      <w:r>
        <w:rPr>
          <w:rFonts w:hint="eastAsia"/>
        </w:rPr>
        <w:t>一、关于本次可转债发行符合发行条件的说明</w:t>
      </w:r>
      <w:bookmarkEnd w:id="11"/>
    </w:p>
    <w:p w14:paraId="1F3F0EA7" w14:textId="77777777" w:rsidR="004B0883" w:rsidRDefault="004B0883">
      <w:pPr>
        <w:pStyle w:val="005"/>
        <w:spacing w:before="120"/>
        <w:ind w:firstLine="480"/>
        <w:rPr>
          <w:rFonts w:hint="eastAsia"/>
        </w:rPr>
      </w:pPr>
      <w:r>
        <w:rPr>
          <w:rFonts w:hint="eastAsia"/>
        </w:rPr>
        <w:t>根据《证券法》《注册管理办法》等相关法律法规规定，公司本次向不特定对象发行可转换公司债券符合法定的发行条件。</w:t>
      </w:r>
    </w:p>
    <w:p w14:paraId="5121CCC5" w14:textId="77777777" w:rsidR="004B0883" w:rsidRDefault="004B0883">
      <w:pPr>
        <w:pStyle w:val="002"/>
        <w:spacing w:before="120" w:after="120"/>
        <w:rPr>
          <w:rFonts w:hint="eastAsia"/>
        </w:rPr>
      </w:pPr>
      <w:bookmarkStart w:id="14" w:name="_Toc152320766"/>
      <w:r>
        <w:rPr>
          <w:rFonts w:hint="eastAsia"/>
        </w:rPr>
        <w:t>二、可转换公司债券投资风险</w:t>
      </w:r>
      <w:bookmarkEnd w:id="12"/>
      <w:bookmarkEnd w:id="13"/>
      <w:bookmarkEnd w:id="14"/>
    </w:p>
    <w:p w14:paraId="18B992F0" w14:textId="77777777" w:rsidR="004B0883" w:rsidRDefault="004B0883">
      <w:pPr>
        <w:pStyle w:val="005"/>
        <w:spacing w:before="120"/>
        <w:ind w:firstLine="480"/>
        <w:rPr>
          <w:rFonts w:hint="eastAsia"/>
        </w:rPr>
      </w:pPr>
      <w:r>
        <w:rPr>
          <w:rFonts w:hint="eastAsia"/>
        </w:rPr>
        <w:t>可转换公司债券是一种兼具债券性质和股权性质的投资工具，交易条款比较复杂，需要投资者具备一定的专业知识。投资者购买本次可转债前，请认真研究并了解相关条款，以便做出正确的投资决策。</w:t>
      </w:r>
    </w:p>
    <w:p w14:paraId="2246ADD9" w14:textId="77777777" w:rsidR="004B0883" w:rsidRDefault="004B0883">
      <w:pPr>
        <w:pStyle w:val="002"/>
        <w:spacing w:before="120" w:after="120"/>
        <w:rPr>
          <w:rFonts w:hint="eastAsia"/>
        </w:rPr>
      </w:pPr>
      <w:bookmarkStart w:id="15" w:name="_Toc152320767"/>
      <w:bookmarkStart w:id="16" w:name="_Toc531080684"/>
      <w:bookmarkStart w:id="17" w:name="_Toc42001302"/>
      <w:r>
        <w:rPr>
          <w:rFonts w:hint="eastAsia"/>
        </w:rPr>
        <w:t>三、关于公司本次发行的可转换公司债券的信用评级</w:t>
      </w:r>
      <w:bookmarkEnd w:id="15"/>
      <w:bookmarkEnd w:id="16"/>
      <w:bookmarkEnd w:id="17"/>
    </w:p>
    <w:p w14:paraId="0C881B34" w14:textId="77777777" w:rsidR="004B0883" w:rsidRDefault="004B0883">
      <w:pPr>
        <w:pStyle w:val="005"/>
        <w:spacing w:before="120"/>
        <w:ind w:firstLine="480"/>
        <w:rPr>
          <w:rFonts w:hint="eastAsia"/>
        </w:rPr>
      </w:pPr>
      <w:r>
        <w:rPr>
          <w:rFonts w:hint="eastAsia"/>
        </w:rPr>
        <w:t>本次可转换公司债券经中证鹏元评级，根据其出具的《青岛伟隆阀门股份有限公司向不特定对象发行可转换公司债券信用评级报告》（中鹏信评【</w:t>
      </w:r>
      <w:r>
        <w:rPr>
          <w:rFonts w:hint="eastAsia"/>
        </w:rPr>
        <w:t>2023</w:t>
      </w:r>
      <w:r>
        <w:rPr>
          <w:rFonts w:hint="eastAsia"/>
        </w:rPr>
        <w:t>】第</w:t>
      </w:r>
      <w:r>
        <w:rPr>
          <w:rFonts w:hint="eastAsia"/>
        </w:rPr>
        <w:t>Z</w:t>
      </w:r>
      <w:r>
        <w:rPr>
          <w:rFonts w:hint="eastAsia"/>
        </w:rPr>
        <w:t>【</w:t>
      </w:r>
      <w:r>
        <w:rPr>
          <w:rFonts w:hint="eastAsia"/>
        </w:rPr>
        <w:t>2054</w:t>
      </w:r>
      <w:r>
        <w:rPr>
          <w:rFonts w:hint="eastAsia"/>
        </w:rPr>
        <w:t>】号），伟隆股份主体信用等级为</w:t>
      </w:r>
      <w:r>
        <w:rPr>
          <w:rFonts w:hint="eastAsia"/>
        </w:rPr>
        <w:t>A</w:t>
      </w:r>
      <w:r>
        <w:rPr>
          <w:rFonts w:hint="eastAsia"/>
        </w:rPr>
        <w:t>，本次可转换公司债券信用等级为</w:t>
      </w:r>
      <w:r>
        <w:rPr>
          <w:rFonts w:hint="eastAsia"/>
        </w:rPr>
        <w:t>A</w:t>
      </w:r>
      <w:r>
        <w:rPr>
          <w:rFonts w:hint="eastAsia"/>
        </w:rPr>
        <w:t>，评级展望稳定。</w:t>
      </w:r>
    </w:p>
    <w:p w14:paraId="5C88444C" w14:textId="77777777" w:rsidR="004B0883" w:rsidRDefault="004B0883">
      <w:pPr>
        <w:pStyle w:val="005"/>
        <w:spacing w:before="120"/>
        <w:ind w:firstLine="480"/>
        <w:rPr>
          <w:rFonts w:hint="eastAsia"/>
        </w:rPr>
      </w:pPr>
      <w:r>
        <w:rPr>
          <w:rFonts w:hint="eastAsia"/>
        </w:rPr>
        <w:t>在初次评级结束后，评级机构将在受评债券存续期间对受评对象开展定期以及不定期跟踪评级。如果由于外部经营环境、本公司自身情况或评级标准变化等因素，导致本期可转换公司债券的信用评级降低，将会增加投资者的风险。</w:t>
      </w:r>
    </w:p>
    <w:p w14:paraId="72B11077" w14:textId="77777777" w:rsidR="004B0883" w:rsidRDefault="004B0883">
      <w:pPr>
        <w:pStyle w:val="002"/>
        <w:spacing w:before="120" w:after="120"/>
        <w:rPr>
          <w:rFonts w:hint="eastAsia"/>
        </w:rPr>
      </w:pPr>
      <w:bookmarkStart w:id="18" w:name="_Toc152320768"/>
      <w:bookmarkStart w:id="19" w:name="_Toc42001304"/>
      <w:r>
        <w:rPr>
          <w:rFonts w:hint="eastAsia"/>
        </w:rPr>
        <w:t>四、本公司的股利分配政策和现金分红比例</w:t>
      </w:r>
      <w:bookmarkEnd w:id="18"/>
      <w:bookmarkEnd w:id="19"/>
    </w:p>
    <w:p w14:paraId="0DD1A4E9" w14:textId="77777777" w:rsidR="004B0883" w:rsidRDefault="004B0883">
      <w:pPr>
        <w:pStyle w:val="003"/>
        <w:spacing w:before="120" w:after="120"/>
        <w:rPr>
          <w:rFonts w:hint="eastAsia"/>
        </w:rPr>
      </w:pPr>
      <w:r>
        <w:rPr>
          <w:rFonts w:hint="eastAsia"/>
        </w:rPr>
        <w:t>（一）本公司现行的股利分配政策</w:t>
      </w:r>
    </w:p>
    <w:p w14:paraId="3EB045E7" w14:textId="77777777" w:rsidR="004B0883" w:rsidRDefault="004B0883">
      <w:pPr>
        <w:pStyle w:val="005"/>
        <w:spacing w:before="120"/>
        <w:ind w:firstLine="480"/>
        <w:rPr>
          <w:rFonts w:hint="eastAsia"/>
        </w:rPr>
      </w:pPr>
      <w:r>
        <w:rPr>
          <w:rFonts w:hint="eastAsia"/>
        </w:rPr>
        <w:t>根据《公司法》《深圳证券交易所股票上市规则》《关于进一步落实上市公司现金分红有关事项的通知》《上市公司监管指引第</w:t>
      </w:r>
      <w:r>
        <w:rPr>
          <w:rFonts w:hint="eastAsia"/>
        </w:rPr>
        <w:t>3</w:t>
      </w:r>
      <w:r>
        <w:rPr>
          <w:rFonts w:hint="eastAsia"/>
        </w:rPr>
        <w:t>号——上市公司现金分红》等相关文件的要求，公司现行《公司章程》对利润分配政策进行了明确的规定，具体内容如下：</w:t>
      </w:r>
    </w:p>
    <w:p w14:paraId="0B767ECC" w14:textId="77777777" w:rsidR="004B0883" w:rsidRDefault="004B0883">
      <w:pPr>
        <w:spacing w:beforeLines="50" w:before="120" w:afterLines="50" w:after="120" w:line="360" w:lineRule="auto"/>
        <w:ind w:firstLineChars="200" w:firstLine="420"/>
        <w:jc w:val="both"/>
        <w:rPr>
          <w:rFonts w:hint="eastAsia"/>
          <w:kern w:val="0"/>
          <w:sz w:val="24"/>
          <w:szCs w:val="24"/>
        </w:rPr>
      </w:pPr>
      <w:r>
        <w:rPr>
          <w:rFonts w:ascii="宋体" w:hAnsi="宋体" w:hint="eastAsia"/>
        </w:rPr>
        <w:lastRenderedPageBreak/>
        <w:t>“</w:t>
      </w:r>
      <w:r>
        <w:rPr>
          <w:rFonts w:hint="eastAsia"/>
          <w:kern w:val="0"/>
          <w:sz w:val="24"/>
          <w:szCs w:val="24"/>
        </w:rPr>
        <w:t>第一百五十七条</w:t>
      </w:r>
      <w:r>
        <w:rPr>
          <w:kern w:val="0"/>
          <w:sz w:val="24"/>
          <w:szCs w:val="24"/>
        </w:rPr>
        <w:t xml:space="preserve"> </w:t>
      </w:r>
      <w:r>
        <w:rPr>
          <w:rFonts w:hint="eastAsia"/>
          <w:kern w:val="0"/>
          <w:sz w:val="24"/>
          <w:szCs w:val="24"/>
        </w:rPr>
        <w:t>公司股东大会对利润分配方案作出决议后，公司董事会须在股东大会召开后</w:t>
      </w:r>
      <w:r>
        <w:rPr>
          <w:rFonts w:hint="eastAsia"/>
          <w:kern w:val="0"/>
          <w:sz w:val="24"/>
          <w:szCs w:val="24"/>
        </w:rPr>
        <w:t>2</w:t>
      </w:r>
      <w:r>
        <w:rPr>
          <w:rFonts w:hint="eastAsia"/>
          <w:kern w:val="0"/>
          <w:sz w:val="24"/>
          <w:szCs w:val="24"/>
        </w:rPr>
        <w:t>个月内完成股利（或股份）的派发事项。</w:t>
      </w:r>
    </w:p>
    <w:p w14:paraId="5BEAFD59" w14:textId="77777777" w:rsidR="004B0883" w:rsidRDefault="004B0883">
      <w:pPr>
        <w:spacing w:beforeLines="50" w:before="120" w:afterLines="50" w:after="120" w:line="360" w:lineRule="auto"/>
        <w:ind w:firstLineChars="200" w:firstLine="480"/>
        <w:jc w:val="both"/>
        <w:rPr>
          <w:rFonts w:hint="eastAsia"/>
          <w:kern w:val="0"/>
          <w:sz w:val="24"/>
          <w:szCs w:val="24"/>
        </w:rPr>
      </w:pPr>
      <w:r>
        <w:rPr>
          <w:rFonts w:hint="eastAsia"/>
          <w:kern w:val="0"/>
          <w:sz w:val="24"/>
          <w:szCs w:val="24"/>
        </w:rPr>
        <w:t>第一百五十八条</w:t>
      </w:r>
      <w:r>
        <w:rPr>
          <w:rFonts w:hint="eastAsia"/>
          <w:kern w:val="0"/>
          <w:sz w:val="24"/>
          <w:szCs w:val="24"/>
        </w:rPr>
        <w:t xml:space="preserve"> </w:t>
      </w:r>
      <w:r>
        <w:rPr>
          <w:rFonts w:hint="eastAsia"/>
          <w:kern w:val="0"/>
          <w:sz w:val="24"/>
          <w:szCs w:val="24"/>
        </w:rPr>
        <w:t>公司利润分配政策为：</w:t>
      </w:r>
    </w:p>
    <w:p w14:paraId="610623BC" w14:textId="77777777" w:rsidR="004B0883" w:rsidRDefault="004B0883">
      <w:pPr>
        <w:spacing w:beforeLines="50" w:before="120" w:afterLines="50" w:after="120" w:line="360" w:lineRule="auto"/>
        <w:ind w:firstLineChars="200" w:firstLine="480"/>
        <w:jc w:val="both"/>
        <w:rPr>
          <w:rFonts w:hint="eastAsia"/>
          <w:kern w:val="0"/>
          <w:sz w:val="24"/>
          <w:szCs w:val="24"/>
        </w:rPr>
      </w:pPr>
      <w:r>
        <w:rPr>
          <w:rFonts w:hint="eastAsia"/>
          <w:kern w:val="0"/>
          <w:sz w:val="24"/>
          <w:szCs w:val="24"/>
        </w:rPr>
        <w:t>（一）公司利润分配的原则</w:t>
      </w:r>
    </w:p>
    <w:p w14:paraId="4395CC6C" w14:textId="77777777" w:rsidR="004B0883" w:rsidRDefault="004B0883">
      <w:pPr>
        <w:spacing w:beforeLines="50" w:before="120" w:afterLines="50" w:after="120" w:line="360" w:lineRule="auto"/>
        <w:ind w:firstLineChars="200" w:firstLine="480"/>
        <w:jc w:val="both"/>
        <w:rPr>
          <w:rFonts w:hint="eastAsia"/>
          <w:kern w:val="0"/>
          <w:sz w:val="24"/>
          <w:szCs w:val="24"/>
        </w:rPr>
      </w:pPr>
      <w:r>
        <w:rPr>
          <w:rFonts w:hint="eastAsia"/>
          <w:kern w:val="0"/>
          <w:sz w:val="24"/>
          <w:szCs w:val="24"/>
        </w:rPr>
        <w:t>公司的利润分配应重视对投资者的合理投资回报，并兼顾公司的长远及可持续发展，利润分配政策应保持连续性和稳定性，并符合法律、法规的相关规定；公司的利润分配不得超过累计可分配利润的范围，不得损害公司持续经营能力；公司应当以每三年为一个周期，制定明确的分红回报规划并报股东大会审议批准后执行；公司制定利润分配政策尤其是现金分红政策时，应当履行必要的决策程序；存在股东违规占用公司资金情况的，公司应当扣减该股东所分配的现金红利，以偿还其占用的资金；公司董事会和股东大会对利润分配政策的决策和论证过程中应当充分考虑独立董事和中小股东的意见。</w:t>
      </w:r>
    </w:p>
    <w:p w14:paraId="64D01F01" w14:textId="77777777" w:rsidR="004B0883" w:rsidRDefault="004B0883">
      <w:pPr>
        <w:spacing w:beforeLines="50" w:before="120" w:afterLines="50" w:after="120" w:line="360" w:lineRule="auto"/>
        <w:ind w:firstLineChars="200" w:firstLine="480"/>
        <w:jc w:val="both"/>
        <w:rPr>
          <w:rFonts w:hint="eastAsia"/>
          <w:kern w:val="0"/>
          <w:sz w:val="24"/>
          <w:szCs w:val="24"/>
        </w:rPr>
      </w:pPr>
      <w:r>
        <w:rPr>
          <w:rFonts w:hint="eastAsia"/>
          <w:kern w:val="0"/>
          <w:sz w:val="24"/>
          <w:szCs w:val="24"/>
        </w:rPr>
        <w:t>（二）利润分配的形式和期间间隔</w:t>
      </w:r>
    </w:p>
    <w:p w14:paraId="1F42460D" w14:textId="77777777" w:rsidR="004B0883" w:rsidRDefault="004B0883">
      <w:pPr>
        <w:spacing w:beforeLines="50" w:before="120" w:afterLines="50" w:after="120" w:line="360" w:lineRule="auto"/>
        <w:ind w:firstLineChars="200" w:firstLine="480"/>
        <w:jc w:val="both"/>
        <w:rPr>
          <w:rFonts w:hint="eastAsia"/>
          <w:kern w:val="0"/>
          <w:sz w:val="24"/>
          <w:szCs w:val="24"/>
        </w:rPr>
      </w:pPr>
      <w:r>
        <w:rPr>
          <w:rFonts w:hint="eastAsia"/>
          <w:kern w:val="0"/>
          <w:sz w:val="24"/>
          <w:szCs w:val="24"/>
        </w:rPr>
        <w:t>公司采取现金、股票或者现金与股票相结合的方式进行利润分配。当公司符合本章程中规定的现金分红的条件时，应当采用现金分红进行利润分配。公司原则上每年度进行一次分红，公司董事会也可以根据公司的盈利情况和资金需求状况提议公司进行中期现金分红。</w:t>
      </w:r>
    </w:p>
    <w:p w14:paraId="4C862EA6" w14:textId="77777777" w:rsidR="004B0883" w:rsidRDefault="004B0883">
      <w:pPr>
        <w:spacing w:beforeLines="50" w:before="120" w:afterLines="50" w:after="120" w:line="360" w:lineRule="auto"/>
        <w:ind w:firstLineChars="200" w:firstLine="480"/>
        <w:jc w:val="both"/>
        <w:rPr>
          <w:rFonts w:hint="eastAsia"/>
          <w:kern w:val="0"/>
          <w:sz w:val="24"/>
          <w:szCs w:val="24"/>
        </w:rPr>
      </w:pPr>
      <w:r>
        <w:rPr>
          <w:rFonts w:hint="eastAsia"/>
          <w:kern w:val="0"/>
          <w:sz w:val="24"/>
          <w:szCs w:val="24"/>
        </w:rPr>
        <w:t>（三）利润分配的基数</w:t>
      </w:r>
    </w:p>
    <w:p w14:paraId="52B86C8C" w14:textId="77777777" w:rsidR="004B0883" w:rsidRDefault="004B0883">
      <w:pPr>
        <w:spacing w:beforeLines="50" w:before="120" w:afterLines="50" w:after="120" w:line="360" w:lineRule="auto"/>
        <w:ind w:firstLineChars="200" w:firstLine="480"/>
        <w:jc w:val="both"/>
        <w:rPr>
          <w:rFonts w:hint="eastAsia"/>
          <w:kern w:val="0"/>
          <w:sz w:val="24"/>
          <w:szCs w:val="24"/>
        </w:rPr>
      </w:pPr>
      <w:r>
        <w:rPr>
          <w:rFonts w:hint="eastAsia"/>
          <w:kern w:val="0"/>
          <w:sz w:val="24"/>
          <w:szCs w:val="24"/>
        </w:rPr>
        <w:t>公司应该按照合并会计报表、母公司会计报表中可供分配利润孰低、可用于转增的资本公积金孰低的原则来确定具体的分配比例。</w:t>
      </w:r>
    </w:p>
    <w:p w14:paraId="08291353" w14:textId="77777777" w:rsidR="004B0883" w:rsidRDefault="004B0883">
      <w:pPr>
        <w:spacing w:beforeLines="50" w:before="120" w:afterLines="50" w:after="120" w:line="360" w:lineRule="auto"/>
        <w:ind w:firstLineChars="200" w:firstLine="480"/>
        <w:jc w:val="both"/>
        <w:rPr>
          <w:rFonts w:hint="eastAsia"/>
          <w:kern w:val="0"/>
          <w:sz w:val="24"/>
          <w:szCs w:val="24"/>
        </w:rPr>
      </w:pPr>
      <w:r>
        <w:rPr>
          <w:rFonts w:hint="eastAsia"/>
          <w:kern w:val="0"/>
          <w:sz w:val="24"/>
          <w:szCs w:val="24"/>
        </w:rPr>
        <w:t>（四）利润分配的条件和比例</w:t>
      </w:r>
    </w:p>
    <w:p w14:paraId="2AD7102D" w14:textId="77777777" w:rsidR="004B0883" w:rsidRDefault="004B0883">
      <w:pPr>
        <w:spacing w:beforeLines="50" w:before="120" w:afterLines="50" w:after="120" w:line="360" w:lineRule="auto"/>
        <w:ind w:firstLineChars="200" w:firstLine="480"/>
        <w:jc w:val="both"/>
        <w:rPr>
          <w:rFonts w:hint="eastAsia"/>
          <w:kern w:val="0"/>
          <w:sz w:val="24"/>
          <w:szCs w:val="24"/>
        </w:rPr>
      </w:pPr>
      <w:r>
        <w:rPr>
          <w:rFonts w:hint="eastAsia"/>
          <w:kern w:val="0"/>
          <w:sz w:val="24"/>
          <w:szCs w:val="24"/>
        </w:rPr>
        <w:t>1</w:t>
      </w:r>
      <w:r>
        <w:rPr>
          <w:rFonts w:hint="eastAsia"/>
          <w:kern w:val="0"/>
          <w:sz w:val="24"/>
          <w:szCs w:val="24"/>
        </w:rPr>
        <w:t>、现金分红的条件和比例</w:t>
      </w:r>
    </w:p>
    <w:p w14:paraId="17944A98" w14:textId="77777777" w:rsidR="004B0883" w:rsidRDefault="004B0883">
      <w:pPr>
        <w:spacing w:beforeLines="50" w:before="120" w:afterLines="50" w:after="120" w:line="360" w:lineRule="auto"/>
        <w:ind w:firstLineChars="200" w:firstLine="480"/>
        <w:jc w:val="both"/>
        <w:rPr>
          <w:rFonts w:hint="eastAsia"/>
          <w:kern w:val="0"/>
          <w:sz w:val="24"/>
          <w:szCs w:val="24"/>
        </w:rPr>
      </w:pPr>
      <w:r>
        <w:rPr>
          <w:rFonts w:hint="eastAsia"/>
          <w:kern w:val="0"/>
          <w:sz w:val="24"/>
          <w:szCs w:val="24"/>
        </w:rPr>
        <w:t>公司实施现金分红应当至少同时满足以下条件：</w:t>
      </w:r>
    </w:p>
    <w:p w14:paraId="2EFE5E32" w14:textId="77777777" w:rsidR="004B0883" w:rsidRDefault="004B0883">
      <w:pPr>
        <w:spacing w:beforeLines="50" w:before="120" w:afterLines="50" w:after="120" w:line="360" w:lineRule="auto"/>
        <w:ind w:firstLineChars="200" w:firstLine="480"/>
        <w:jc w:val="both"/>
        <w:rPr>
          <w:rFonts w:hint="eastAsia"/>
          <w:kern w:val="0"/>
          <w:sz w:val="24"/>
          <w:szCs w:val="24"/>
        </w:rPr>
      </w:pPr>
      <w:r>
        <w:rPr>
          <w:rFonts w:hint="eastAsia"/>
          <w:kern w:val="0"/>
          <w:sz w:val="24"/>
          <w:szCs w:val="24"/>
        </w:rPr>
        <w:t>（</w:t>
      </w:r>
      <w:r>
        <w:rPr>
          <w:rFonts w:hint="eastAsia"/>
          <w:kern w:val="0"/>
          <w:sz w:val="24"/>
          <w:szCs w:val="24"/>
        </w:rPr>
        <w:t>1</w:t>
      </w:r>
      <w:r>
        <w:rPr>
          <w:rFonts w:hint="eastAsia"/>
          <w:kern w:val="0"/>
          <w:sz w:val="24"/>
          <w:szCs w:val="24"/>
        </w:rPr>
        <w:t>）公司该年度实现盈利，且该年度实现的可分配利润（即公司弥补亏损、提取公积金后的税后利润）为正值；</w:t>
      </w:r>
    </w:p>
    <w:p w14:paraId="6F7067BF" w14:textId="77777777" w:rsidR="004B0883" w:rsidRDefault="004B0883">
      <w:pPr>
        <w:spacing w:beforeLines="50" w:before="120" w:afterLines="50" w:after="120" w:line="360" w:lineRule="auto"/>
        <w:ind w:firstLineChars="200" w:firstLine="480"/>
        <w:jc w:val="both"/>
        <w:rPr>
          <w:rFonts w:hint="eastAsia"/>
          <w:kern w:val="0"/>
          <w:sz w:val="24"/>
          <w:szCs w:val="24"/>
        </w:rPr>
      </w:pPr>
      <w:r>
        <w:rPr>
          <w:rFonts w:hint="eastAsia"/>
          <w:kern w:val="0"/>
          <w:sz w:val="24"/>
          <w:szCs w:val="24"/>
        </w:rPr>
        <w:t>（</w:t>
      </w:r>
      <w:r>
        <w:rPr>
          <w:rFonts w:hint="eastAsia"/>
          <w:kern w:val="0"/>
          <w:sz w:val="24"/>
          <w:szCs w:val="24"/>
        </w:rPr>
        <w:t>2</w:t>
      </w:r>
      <w:r>
        <w:rPr>
          <w:rFonts w:hint="eastAsia"/>
          <w:kern w:val="0"/>
          <w:sz w:val="24"/>
          <w:szCs w:val="24"/>
        </w:rPr>
        <w:t>）审计机构对公司该年度财务报告出具标准无保留意见的审计报告；在上述条件同时满足时，公司应采取现金方式进行利润分配，公司单一年度以现</w:t>
      </w:r>
      <w:r>
        <w:rPr>
          <w:rFonts w:hint="eastAsia"/>
          <w:kern w:val="0"/>
          <w:sz w:val="24"/>
          <w:szCs w:val="24"/>
        </w:rPr>
        <w:lastRenderedPageBreak/>
        <w:t>金方式分配的利润不少于当年实现的可分配利润的</w:t>
      </w:r>
      <w:r>
        <w:rPr>
          <w:rFonts w:hint="eastAsia"/>
          <w:kern w:val="0"/>
          <w:sz w:val="24"/>
          <w:szCs w:val="24"/>
        </w:rPr>
        <w:t>10%</w:t>
      </w:r>
      <w:r>
        <w:rPr>
          <w:rFonts w:hint="eastAsia"/>
          <w:kern w:val="0"/>
          <w:sz w:val="24"/>
          <w:szCs w:val="24"/>
        </w:rPr>
        <w:t>，且公司最近三年以现金方式累计分配的利润不少于最近三年实现的年均可分配利润的</w:t>
      </w:r>
      <w:r>
        <w:rPr>
          <w:rFonts w:hint="eastAsia"/>
          <w:kern w:val="0"/>
          <w:sz w:val="24"/>
          <w:szCs w:val="24"/>
        </w:rPr>
        <w:t>30%</w:t>
      </w:r>
      <w:r>
        <w:rPr>
          <w:rFonts w:hint="eastAsia"/>
          <w:kern w:val="0"/>
          <w:sz w:val="24"/>
          <w:szCs w:val="24"/>
        </w:rPr>
        <w:t>。</w:t>
      </w:r>
    </w:p>
    <w:p w14:paraId="46490472" w14:textId="77777777" w:rsidR="004B0883" w:rsidRDefault="004B0883">
      <w:pPr>
        <w:spacing w:beforeLines="50" w:before="120" w:afterLines="50" w:after="120" w:line="360" w:lineRule="auto"/>
        <w:ind w:firstLineChars="200" w:firstLine="480"/>
        <w:jc w:val="both"/>
        <w:rPr>
          <w:rFonts w:hint="eastAsia"/>
          <w:kern w:val="0"/>
          <w:sz w:val="24"/>
          <w:szCs w:val="24"/>
        </w:rPr>
      </w:pPr>
      <w:r>
        <w:rPr>
          <w:rFonts w:hint="eastAsia"/>
          <w:kern w:val="0"/>
          <w:sz w:val="24"/>
          <w:szCs w:val="24"/>
        </w:rPr>
        <w:t>（</w:t>
      </w:r>
      <w:r>
        <w:rPr>
          <w:rFonts w:hint="eastAsia"/>
          <w:kern w:val="0"/>
          <w:sz w:val="24"/>
          <w:szCs w:val="24"/>
        </w:rPr>
        <w:t>3</w:t>
      </w:r>
      <w:r>
        <w:rPr>
          <w:rFonts w:hint="eastAsia"/>
          <w:kern w:val="0"/>
          <w:sz w:val="24"/>
          <w:szCs w:val="24"/>
        </w:rPr>
        <w:t>）公司董事会应当综合考虑所处行业特点、发展阶段、自身经营模式、盈利水平以及是否有重大资金支出安排等因素，区分下列情形，并按照公司章程规定的程序，提出差异化的现金分红政策：</w:t>
      </w:r>
    </w:p>
    <w:p w14:paraId="7A3C5F34" w14:textId="77777777" w:rsidR="004B0883" w:rsidRDefault="004B0883">
      <w:pPr>
        <w:spacing w:beforeLines="50" w:before="120" w:afterLines="50" w:after="120" w:line="360" w:lineRule="auto"/>
        <w:ind w:firstLineChars="200" w:firstLine="480"/>
        <w:jc w:val="both"/>
        <w:rPr>
          <w:rFonts w:hint="eastAsia"/>
          <w:kern w:val="0"/>
          <w:sz w:val="24"/>
          <w:szCs w:val="24"/>
        </w:rPr>
      </w:pPr>
      <w:r>
        <w:rPr>
          <w:rFonts w:hint="eastAsia"/>
          <w:kern w:val="0"/>
          <w:sz w:val="24"/>
          <w:szCs w:val="24"/>
        </w:rPr>
        <w:t>①公司发展阶段属成熟期且无重大资金支出安排的，进行利润分配时，现金分红在本次利润分配中所占比例最低应达到</w:t>
      </w:r>
      <w:r>
        <w:rPr>
          <w:rFonts w:hint="eastAsia"/>
          <w:kern w:val="0"/>
          <w:sz w:val="24"/>
          <w:szCs w:val="24"/>
        </w:rPr>
        <w:t>80%</w:t>
      </w:r>
      <w:r>
        <w:rPr>
          <w:rFonts w:hint="eastAsia"/>
          <w:kern w:val="0"/>
          <w:sz w:val="24"/>
          <w:szCs w:val="24"/>
        </w:rPr>
        <w:t>；</w:t>
      </w:r>
    </w:p>
    <w:p w14:paraId="791D4D44" w14:textId="77777777" w:rsidR="004B0883" w:rsidRDefault="004B0883">
      <w:pPr>
        <w:spacing w:beforeLines="50" w:before="120" w:afterLines="50" w:after="120" w:line="360" w:lineRule="auto"/>
        <w:ind w:firstLineChars="200" w:firstLine="480"/>
        <w:jc w:val="both"/>
        <w:rPr>
          <w:rFonts w:hint="eastAsia"/>
          <w:kern w:val="0"/>
          <w:sz w:val="24"/>
          <w:szCs w:val="24"/>
        </w:rPr>
      </w:pPr>
      <w:r>
        <w:rPr>
          <w:rFonts w:hint="eastAsia"/>
          <w:kern w:val="0"/>
          <w:sz w:val="24"/>
          <w:szCs w:val="24"/>
        </w:rPr>
        <w:t>②公司发展阶段属成熟期且有重大资金支出安排的，进行利润分配时，现金分红在本次利润分配中所占比例最低应达到</w:t>
      </w:r>
      <w:r>
        <w:rPr>
          <w:rFonts w:hint="eastAsia"/>
          <w:kern w:val="0"/>
          <w:sz w:val="24"/>
          <w:szCs w:val="24"/>
        </w:rPr>
        <w:t>40%</w:t>
      </w:r>
      <w:r>
        <w:rPr>
          <w:rFonts w:hint="eastAsia"/>
          <w:kern w:val="0"/>
          <w:sz w:val="24"/>
          <w:szCs w:val="24"/>
        </w:rPr>
        <w:t>；</w:t>
      </w:r>
    </w:p>
    <w:p w14:paraId="742A21CF" w14:textId="77777777" w:rsidR="004B0883" w:rsidRDefault="004B0883">
      <w:pPr>
        <w:spacing w:beforeLines="50" w:before="120" w:afterLines="50" w:after="120" w:line="360" w:lineRule="auto"/>
        <w:ind w:firstLineChars="200" w:firstLine="480"/>
        <w:jc w:val="both"/>
        <w:rPr>
          <w:rFonts w:hint="eastAsia"/>
          <w:kern w:val="0"/>
          <w:sz w:val="24"/>
          <w:szCs w:val="24"/>
        </w:rPr>
      </w:pPr>
      <w:r>
        <w:rPr>
          <w:rFonts w:hint="eastAsia"/>
          <w:kern w:val="0"/>
          <w:sz w:val="24"/>
          <w:szCs w:val="24"/>
        </w:rPr>
        <w:t>③公司发展阶段属成长期且有重大资金支出安排的，进行利润分配时，现金分红在本次利润分配中所占比例最低应达到</w:t>
      </w:r>
      <w:r>
        <w:rPr>
          <w:rFonts w:hint="eastAsia"/>
          <w:kern w:val="0"/>
          <w:sz w:val="24"/>
          <w:szCs w:val="24"/>
        </w:rPr>
        <w:t>20%</w:t>
      </w:r>
      <w:r>
        <w:rPr>
          <w:rFonts w:hint="eastAsia"/>
          <w:kern w:val="0"/>
          <w:sz w:val="24"/>
          <w:szCs w:val="24"/>
        </w:rPr>
        <w:t>；公司发展阶段不易区分但有重大资金支出安排的，可以按照前项规定处理。</w:t>
      </w:r>
    </w:p>
    <w:p w14:paraId="0F600900" w14:textId="77777777" w:rsidR="004B0883" w:rsidRDefault="004B0883">
      <w:pPr>
        <w:spacing w:beforeLines="50" w:before="120" w:afterLines="50" w:after="120" w:line="360" w:lineRule="auto"/>
        <w:ind w:firstLineChars="200" w:firstLine="480"/>
        <w:jc w:val="both"/>
        <w:rPr>
          <w:rFonts w:hint="eastAsia"/>
          <w:kern w:val="0"/>
          <w:sz w:val="24"/>
          <w:szCs w:val="24"/>
        </w:rPr>
      </w:pPr>
      <w:r>
        <w:rPr>
          <w:rFonts w:hint="eastAsia"/>
          <w:kern w:val="0"/>
          <w:sz w:val="24"/>
          <w:szCs w:val="24"/>
        </w:rPr>
        <w:t>2</w:t>
      </w:r>
      <w:r>
        <w:rPr>
          <w:rFonts w:hint="eastAsia"/>
          <w:kern w:val="0"/>
          <w:sz w:val="24"/>
          <w:szCs w:val="24"/>
        </w:rPr>
        <w:t>、股票股利的分配条件</w:t>
      </w:r>
    </w:p>
    <w:p w14:paraId="7245EFC8" w14:textId="77777777" w:rsidR="004B0883" w:rsidRDefault="004B0883">
      <w:pPr>
        <w:spacing w:beforeLines="50" w:before="120" w:afterLines="50" w:after="120" w:line="360" w:lineRule="auto"/>
        <w:ind w:firstLineChars="200" w:firstLine="480"/>
        <w:jc w:val="both"/>
        <w:rPr>
          <w:rFonts w:hint="eastAsia"/>
          <w:kern w:val="0"/>
          <w:sz w:val="24"/>
          <w:szCs w:val="24"/>
        </w:rPr>
      </w:pPr>
      <w:r>
        <w:rPr>
          <w:rFonts w:hint="eastAsia"/>
          <w:kern w:val="0"/>
          <w:sz w:val="24"/>
          <w:szCs w:val="24"/>
        </w:rPr>
        <w:t>在满足现金股利分配的条件下，若公司营业收入和净利润增长快速，且董事会认为公司股票价格与公司股本规模不匹配时，可以在满足上述现金股利分配的同时，提出股票股利分配预案。</w:t>
      </w:r>
    </w:p>
    <w:p w14:paraId="000CC100" w14:textId="77777777" w:rsidR="004B0883" w:rsidRDefault="004B0883">
      <w:pPr>
        <w:spacing w:beforeLines="50" w:before="120" w:afterLines="50" w:after="120" w:line="360" w:lineRule="auto"/>
        <w:ind w:firstLineChars="200" w:firstLine="480"/>
        <w:jc w:val="both"/>
        <w:rPr>
          <w:rFonts w:hint="eastAsia"/>
          <w:kern w:val="0"/>
          <w:sz w:val="24"/>
          <w:szCs w:val="24"/>
        </w:rPr>
      </w:pPr>
      <w:r>
        <w:rPr>
          <w:rFonts w:hint="eastAsia"/>
          <w:kern w:val="0"/>
          <w:sz w:val="24"/>
          <w:szCs w:val="24"/>
        </w:rPr>
        <w:t>（五）利润分配的决策程序和机制</w:t>
      </w:r>
    </w:p>
    <w:p w14:paraId="0454BB80" w14:textId="77777777" w:rsidR="004B0883" w:rsidRDefault="004B0883">
      <w:pPr>
        <w:spacing w:beforeLines="50" w:before="120" w:afterLines="50" w:after="120" w:line="360" w:lineRule="auto"/>
        <w:ind w:firstLineChars="200" w:firstLine="480"/>
        <w:jc w:val="both"/>
        <w:rPr>
          <w:rFonts w:hint="eastAsia"/>
          <w:kern w:val="0"/>
          <w:sz w:val="24"/>
          <w:szCs w:val="24"/>
        </w:rPr>
      </w:pPr>
      <w:r>
        <w:rPr>
          <w:rFonts w:hint="eastAsia"/>
          <w:kern w:val="0"/>
          <w:sz w:val="24"/>
          <w:szCs w:val="24"/>
        </w:rPr>
        <w:t>1</w:t>
      </w:r>
      <w:r>
        <w:rPr>
          <w:rFonts w:hint="eastAsia"/>
          <w:kern w:val="0"/>
          <w:sz w:val="24"/>
          <w:szCs w:val="24"/>
        </w:rPr>
        <w:t>、公司的分红回报规划和利润分配的具体方案应由公司董事会制订，并在董事会审议通过后提交股东大会审议；</w:t>
      </w:r>
    </w:p>
    <w:p w14:paraId="41A9CE34" w14:textId="77777777" w:rsidR="004B0883" w:rsidRDefault="004B0883">
      <w:pPr>
        <w:spacing w:beforeLines="50" w:before="120" w:afterLines="50" w:after="120" w:line="360" w:lineRule="auto"/>
        <w:ind w:firstLineChars="200" w:firstLine="480"/>
        <w:jc w:val="both"/>
        <w:rPr>
          <w:rFonts w:hint="eastAsia"/>
          <w:kern w:val="0"/>
          <w:sz w:val="24"/>
          <w:szCs w:val="24"/>
        </w:rPr>
      </w:pPr>
      <w:r>
        <w:rPr>
          <w:rFonts w:hint="eastAsia"/>
          <w:kern w:val="0"/>
          <w:sz w:val="24"/>
          <w:szCs w:val="24"/>
        </w:rPr>
        <w:t>2</w:t>
      </w:r>
      <w:r>
        <w:rPr>
          <w:rFonts w:hint="eastAsia"/>
          <w:kern w:val="0"/>
          <w:sz w:val="24"/>
          <w:szCs w:val="24"/>
        </w:rPr>
        <w:t>、董事会在审议现金分红具体预案时，应当认真研究和论证公司现金分红的时机、条件和最低比例、调整的条件及其决策程序要求等事宜，独立董事应当发表明确意见；</w:t>
      </w:r>
    </w:p>
    <w:p w14:paraId="2A588AEF" w14:textId="77777777" w:rsidR="004B0883" w:rsidRDefault="004B0883">
      <w:pPr>
        <w:spacing w:beforeLines="50" w:before="120" w:afterLines="50" w:after="120" w:line="360" w:lineRule="auto"/>
        <w:ind w:firstLineChars="200" w:firstLine="480"/>
        <w:jc w:val="both"/>
        <w:rPr>
          <w:rFonts w:hint="eastAsia"/>
          <w:kern w:val="0"/>
          <w:sz w:val="24"/>
          <w:szCs w:val="24"/>
        </w:rPr>
      </w:pPr>
      <w:r>
        <w:rPr>
          <w:rFonts w:hint="eastAsia"/>
          <w:kern w:val="0"/>
          <w:sz w:val="24"/>
          <w:szCs w:val="24"/>
        </w:rPr>
        <w:t>3</w:t>
      </w:r>
      <w:r>
        <w:rPr>
          <w:rFonts w:hint="eastAsia"/>
          <w:kern w:val="0"/>
          <w:sz w:val="24"/>
          <w:szCs w:val="24"/>
        </w:rPr>
        <w:t>、股东大会对现金分红具体方案进行审议时，应当通过多种渠道主动与股东特别是中小股东进行沟通和交流（包括但不限于电话、传真和邮件沟通，筹划投资者接待日或邀请中小股东参会等），充分听取中小股东的意见和诉求，并及时答复中小股东关心的问题；</w:t>
      </w:r>
    </w:p>
    <w:p w14:paraId="21D6C59F" w14:textId="77777777" w:rsidR="004B0883" w:rsidRDefault="004B0883">
      <w:pPr>
        <w:spacing w:beforeLines="50" w:before="120" w:afterLines="50" w:after="120" w:line="360" w:lineRule="auto"/>
        <w:ind w:firstLineChars="200" w:firstLine="480"/>
        <w:rPr>
          <w:rFonts w:hint="eastAsia"/>
          <w:kern w:val="0"/>
          <w:sz w:val="24"/>
          <w:szCs w:val="24"/>
        </w:rPr>
      </w:pPr>
      <w:r>
        <w:rPr>
          <w:rFonts w:hint="eastAsia"/>
          <w:kern w:val="0"/>
          <w:sz w:val="24"/>
          <w:szCs w:val="24"/>
        </w:rPr>
        <w:lastRenderedPageBreak/>
        <w:t>4</w:t>
      </w:r>
      <w:r>
        <w:rPr>
          <w:rFonts w:hint="eastAsia"/>
          <w:kern w:val="0"/>
          <w:sz w:val="24"/>
          <w:szCs w:val="24"/>
        </w:rPr>
        <w:t>、公司应当在年度报告中详细披露现金分红政策的制定及执行情况，并对以下事项进行专项说明：</w:t>
      </w:r>
    </w:p>
    <w:p w14:paraId="47683396" w14:textId="77777777" w:rsidR="004B0883" w:rsidRDefault="004B0883">
      <w:pPr>
        <w:spacing w:beforeLines="50" w:before="120" w:afterLines="50" w:after="120" w:line="360" w:lineRule="auto"/>
        <w:ind w:firstLineChars="200" w:firstLine="480"/>
        <w:rPr>
          <w:rFonts w:hint="eastAsia"/>
          <w:kern w:val="0"/>
          <w:sz w:val="24"/>
          <w:szCs w:val="24"/>
        </w:rPr>
      </w:pPr>
      <w:r>
        <w:rPr>
          <w:rFonts w:hint="eastAsia"/>
          <w:kern w:val="0"/>
          <w:sz w:val="24"/>
          <w:szCs w:val="24"/>
        </w:rPr>
        <w:t>（</w:t>
      </w:r>
      <w:r>
        <w:rPr>
          <w:rFonts w:hint="eastAsia"/>
          <w:kern w:val="0"/>
          <w:sz w:val="24"/>
          <w:szCs w:val="24"/>
        </w:rPr>
        <w:t>1</w:t>
      </w:r>
      <w:r>
        <w:rPr>
          <w:rFonts w:hint="eastAsia"/>
          <w:kern w:val="0"/>
          <w:sz w:val="24"/>
          <w:szCs w:val="24"/>
        </w:rPr>
        <w:t>）是否符合公司章程的规定或股东大会决议的要求；</w:t>
      </w:r>
    </w:p>
    <w:p w14:paraId="038FDEA2" w14:textId="77777777" w:rsidR="004B0883" w:rsidRDefault="004B0883">
      <w:pPr>
        <w:spacing w:beforeLines="50" w:before="120" w:afterLines="50" w:after="120" w:line="360" w:lineRule="auto"/>
        <w:ind w:firstLineChars="200" w:firstLine="480"/>
        <w:rPr>
          <w:rFonts w:hint="eastAsia"/>
          <w:kern w:val="0"/>
          <w:sz w:val="24"/>
          <w:szCs w:val="24"/>
        </w:rPr>
      </w:pPr>
      <w:r>
        <w:rPr>
          <w:rFonts w:hint="eastAsia"/>
          <w:kern w:val="0"/>
          <w:sz w:val="24"/>
          <w:szCs w:val="24"/>
        </w:rPr>
        <w:t>（</w:t>
      </w:r>
      <w:r>
        <w:rPr>
          <w:rFonts w:hint="eastAsia"/>
          <w:kern w:val="0"/>
          <w:sz w:val="24"/>
          <w:szCs w:val="24"/>
        </w:rPr>
        <w:t>2</w:t>
      </w:r>
      <w:r>
        <w:rPr>
          <w:rFonts w:hint="eastAsia"/>
          <w:kern w:val="0"/>
          <w:sz w:val="24"/>
          <w:szCs w:val="24"/>
        </w:rPr>
        <w:t>）分红标准和比例是否明确和清晰；</w:t>
      </w:r>
    </w:p>
    <w:p w14:paraId="415C97DC" w14:textId="77777777" w:rsidR="004B0883" w:rsidRDefault="004B0883">
      <w:pPr>
        <w:spacing w:beforeLines="50" w:before="120" w:afterLines="50" w:after="120" w:line="360" w:lineRule="auto"/>
        <w:ind w:firstLineChars="200" w:firstLine="480"/>
        <w:rPr>
          <w:rFonts w:hint="eastAsia"/>
          <w:kern w:val="0"/>
          <w:sz w:val="24"/>
          <w:szCs w:val="24"/>
        </w:rPr>
      </w:pPr>
      <w:r>
        <w:rPr>
          <w:rFonts w:hint="eastAsia"/>
          <w:kern w:val="0"/>
          <w:sz w:val="24"/>
          <w:szCs w:val="24"/>
        </w:rPr>
        <w:t>（</w:t>
      </w:r>
      <w:r>
        <w:rPr>
          <w:rFonts w:hint="eastAsia"/>
          <w:kern w:val="0"/>
          <w:sz w:val="24"/>
          <w:szCs w:val="24"/>
        </w:rPr>
        <w:t>3</w:t>
      </w:r>
      <w:r>
        <w:rPr>
          <w:rFonts w:hint="eastAsia"/>
          <w:kern w:val="0"/>
          <w:sz w:val="24"/>
          <w:szCs w:val="24"/>
        </w:rPr>
        <w:t>）相关的决策程序和机制是否完备；</w:t>
      </w:r>
    </w:p>
    <w:p w14:paraId="183AB6CE" w14:textId="77777777" w:rsidR="004B0883" w:rsidRDefault="004B0883">
      <w:pPr>
        <w:spacing w:beforeLines="50" w:before="120" w:afterLines="50" w:after="120" w:line="360" w:lineRule="auto"/>
        <w:ind w:firstLineChars="200" w:firstLine="480"/>
        <w:rPr>
          <w:rFonts w:hint="eastAsia"/>
          <w:kern w:val="0"/>
          <w:sz w:val="24"/>
          <w:szCs w:val="24"/>
        </w:rPr>
      </w:pPr>
      <w:r>
        <w:rPr>
          <w:rFonts w:hint="eastAsia"/>
          <w:kern w:val="0"/>
          <w:sz w:val="24"/>
          <w:szCs w:val="24"/>
        </w:rPr>
        <w:t>（</w:t>
      </w:r>
      <w:r>
        <w:rPr>
          <w:rFonts w:hint="eastAsia"/>
          <w:kern w:val="0"/>
          <w:sz w:val="24"/>
          <w:szCs w:val="24"/>
        </w:rPr>
        <w:t>4</w:t>
      </w:r>
      <w:r>
        <w:rPr>
          <w:rFonts w:hint="eastAsia"/>
          <w:kern w:val="0"/>
          <w:sz w:val="24"/>
          <w:szCs w:val="24"/>
        </w:rPr>
        <w:t>）独立董事是否履职尽责并发挥了应有的作用；</w:t>
      </w:r>
    </w:p>
    <w:p w14:paraId="1F83B52F" w14:textId="77777777" w:rsidR="004B0883" w:rsidRDefault="004B0883">
      <w:pPr>
        <w:spacing w:beforeLines="50" w:before="120" w:afterLines="50" w:after="120" w:line="360" w:lineRule="auto"/>
        <w:ind w:firstLineChars="200" w:firstLine="480"/>
        <w:rPr>
          <w:rFonts w:hint="eastAsia"/>
          <w:kern w:val="0"/>
          <w:sz w:val="24"/>
          <w:szCs w:val="24"/>
        </w:rPr>
      </w:pPr>
      <w:r>
        <w:rPr>
          <w:rFonts w:hint="eastAsia"/>
          <w:kern w:val="0"/>
          <w:sz w:val="24"/>
          <w:szCs w:val="24"/>
        </w:rPr>
        <w:t>（</w:t>
      </w:r>
      <w:r>
        <w:rPr>
          <w:rFonts w:hint="eastAsia"/>
          <w:kern w:val="0"/>
          <w:sz w:val="24"/>
          <w:szCs w:val="24"/>
        </w:rPr>
        <w:t>5</w:t>
      </w:r>
      <w:r>
        <w:rPr>
          <w:rFonts w:hint="eastAsia"/>
          <w:kern w:val="0"/>
          <w:sz w:val="24"/>
          <w:szCs w:val="24"/>
        </w:rPr>
        <w:t>）中小股东是否有充分表达意见和诉求的机会，中小股东的合法权益是否得到了充分保护；</w:t>
      </w:r>
    </w:p>
    <w:p w14:paraId="1ACA9655" w14:textId="77777777" w:rsidR="004B0883" w:rsidRDefault="004B0883">
      <w:pPr>
        <w:spacing w:beforeLines="50" w:before="120" w:afterLines="50" w:after="120" w:line="360" w:lineRule="auto"/>
        <w:ind w:firstLineChars="200" w:firstLine="480"/>
        <w:rPr>
          <w:rFonts w:hint="eastAsia"/>
          <w:kern w:val="0"/>
          <w:sz w:val="24"/>
          <w:szCs w:val="24"/>
        </w:rPr>
      </w:pPr>
      <w:r>
        <w:rPr>
          <w:rFonts w:hint="eastAsia"/>
          <w:kern w:val="0"/>
          <w:sz w:val="24"/>
          <w:szCs w:val="24"/>
        </w:rPr>
        <w:t>若公司在年度报告所在年度内对现金分红政策进行调整或变更的，应对调整或变更的条件及程序是否合规和透明进行说明。</w:t>
      </w:r>
    </w:p>
    <w:p w14:paraId="68F5EE94" w14:textId="77777777" w:rsidR="004B0883" w:rsidRDefault="004B0883">
      <w:pPr>
        <w:spacing w:beforeLines="50" w:before="120" w:afterLines="50" w:after="120" w:line="360" w:lineRule="auto"/>
        <w:ind w:firstLineChars="200" w:firstLine="480"/>
        <w:rPr>
          <w:rFonts w:hint="eastAsia"/>
          <w:kern w:val="0"/>
          <w:sz w:val="24"/>
          <w:szCs w:val="24"/>
        </w:rPr>
      </w:pPr>
      <w:r>
        <w:rPr>
          <w:rFonts w:hint="eastAsia"/>
          <w:kern w:val="0"/>
          <w:sz w:val="24"/>
          <w:szCs w:val="24"/>
        </w:rPr>
        <w:t>（六）利润分配政策调整的具体条件、决策程序和机制</w:t>
      </w:r>
    </w:p>
    <w:p w14:paraId="3DCE8A58" w14:textId="77777777" w:rsidR="004B0883" w:rsidRDefault="004B0883">
      <w:pPr>
        <w:pStyle w:val="005"/>
        <w:spacing w:before="120"/>
        <w:ind w:firstLine="480"/>
        <w:rPr>
          <w:rFonts w:hint="eastAsia"/>
        </w:rPr>
      </w:pPr>
      <w:r>
        <w:rPr>
          <w:rFonts w:hint="eastAsia"/>
          <w:kern w:val="0"/>
          <w:szCs w:val="24"/>
        </w:rPr>
        <w:t>公司的利润分配政策不得随意变更。如因生产经营情况、投资规划、长期发展的需要，或者外部经营环境发生变化，确需调整上述利润分配政策的，应由董事会以保护股东利益为出发点、在不违反有关法律、法规、规范性文件规定的前提下，向股东大会提出利润分配政策的修改方案，并详细说明修改的原因；独立董事应对利润分配政策修改的合理性发表独立意见，监事会应当对董事会制订或修改利润分配政策进行审议；公司利润分配政策的调整需经出席股东大会的股东（包括股东代理人）所持表决权</w:t>
      </w:r>
      <w:r>
        <w:rPr>
          <w:rFonts w:hint="eastAsia"/>
          <w:kern w:val="0"/>
          <w:szCs w:val="24"/>
        </w:rPr>
        <w:t>2/3</w:t>
      </w:r>
      <w:r>
        <w:rPr>
          <w:rFonts w:hint="eastAsia"/>
          <w:kern w:val="0"/>
          <w:szCs w:val="24"/>
        </w:rPr>
        <w:t>以上通过后生效。</w:t>
      </w:r>
      <w:r>
        <w:rPr>
          <w:rFonts w:ascii="宋体" w:hAnsi="宋体" w:hint="eastAsia"/>
        </w:rPr>
        <w:t>”</w:t>
      </w:r>
    </w:p>
    <w:p w14:paraId="379E1EFF" w14:textId="77777777" w:rsidR="004B0883" w:rsidRDefault="004B0883">
      <w:pPr>
        <w:pStyle w:val="003"/>
        <w:spacing w:before="120" w:after="120"/>
        <w:rPr>
          <w:rFonts w:hint="eastAsia"/>
        </w:rPr>
      </w:pPr>
      <w:r>
        <w:rPr>
          <w:rFonts w:hint="eastAsia"/>
        </w:rPr>
        <w:t>（二）最近三年公司利润分配情况</w:t>
      </w:r>
    </w:p>
    <w:p w14:paraId="4817EBFC" w14:textId="77777777" w:rsidR="004B0883" w:rsidRDefault="004B0883">
      <w:pPr>
        <w:pStyle w:val="004"/>
        <w:spacing w:before="120" w:after="120"/>
        <w:ind w:firstLine="482"/>
        <w:rPr>
          <w:rFonts w:hint="eastAsia"/>
        </w:rPr>
      </w:pPr>
      <w:r>
        <w:rPr>
          <w:rFonts w:hint="eastAsia"/>
        </w:rPr>
        <w:t>1</w:t>
      </w:r>
      <w:r>
        <w:rPr>
          <w:rFonts w:hint="eastAsia"/>
        </w:rPr>
        <w:t>、最近三年利润分配方案</w:t>
      </w:r>
    </w:p>
    <w:p w14:paraId="58C50A19" w14:textId="77777777" w:rsidR="004B0883" w:rsidRDefault="004B0883">
      <w:pPr>
        <w:pStyle w:val="005"/>
        <w:spacing w:before="120"/>
        <w:ind w:firstLine="480"/>
        <w:rPr>
          <w:rFonts w:hint="eastAsia"/>
        </w:rPr>
      </w:pPr>
      <w:r>
        <w:rPr>
          <w:rFonts w:hint="eastAsia"/>
        </w:rPr>
        <w:t>公司重视对投资者的合理回报，同时充分考虑公司的长远发展，实行持续、稳定的利润分配政策。最近三年，公司利润分配方案及资本公积金转增股本方案情况如下：</w:t>
      </w:r>
    </w:p>
    <w:p w14:paraId="1A213BF9" w14:textId="77777777" w:rsidR="004B0883" w:rsidRDefault="004B0883">
      <w:pPr>
        <w:pStyle w:val="005"/>
        <w:spacing w:before="120"/>
        <w:ind w:firstLine="480"/>
        <w:rPr>
          <w:rFonts w:hint="eastAsia"/>
        </w:rPr>
      </w:pPr>
      <w:r>
        <w:rPr>
          <w:rFonts w:hint="eastAsia"/>
        </w:rPr>
        <w:t>（</w:t>
      </w:r>
      <w:r>
        <w:rPr>
          <w:rFonts w:hint="eastAsia"/>
        </w:rPr>
        <w:t>1</w:t>
      </w:r>
      <w:r>
        <w:rPr>
          <w:rFonts w:hint="eastAsia"/>
        </w:rPr>
        <w:t>）</w:t>
      </w:r>
      <w:r>
        <w:rPr>
          <w:rFonts w:hint="eastAsia"/>
        </w:rPr>
        <w:t>20</w:t>
      </w:r>
      <w:r>
        <w:t>20</w:t>
      </w:r>
      <w:r>
        <w:rPr>
          <w:rFonts w:hint="eastAsia"/>
        </w:rPr>
        <w:t>年度利润分配方案</w:t>
      </w:r>
    </w:p>
    <w:p w14:paraId="08067F99" w14:textId="77777777" w:rsidR="004B0883" w:rsidRDefault="004B0883">
      <w:pPr>
        <w:pStyle w:val="005"/>
        <w:spacing w:before="120"/>
        <w:ind w:firstLine="480"/>
        <w:rPr>
          <w:rFonts w:hint="eastAsia"/>
        </w:rPr>
      </w:pPr>
      <w:r>
        <w:rPr>
          <w:rFonts w:hint="eastAsia"/>
        </w:rPr>
        <w:t>2021</w:t>
      </w:r>
      <w:r>
        <w:rPr>
          <w:rFonts w:hint="eastAsia"/>
        </w:rPr>
        <w:t>年</w:t>
      </w:r>
      <w:r>
        <w:rPr>
          <w:rFonts w:hint="eastAsia"/>
        </w:rPr>
        <w:t>5</w:t>
      </w:r>
      <w:r>
        <w:rPr>
          <w:rFonts w:hint="eastAsia"/>
        </w:rPr>
        <w:t>月</w:t>
      </w:r>
      <w:r>
        <w:rPr>
          <w:rFonts w:hint="eastAsia"/>
        </w:rPr>
        <w:t>19</w:t>
      </w:r>
      <w:r>
        <w:rPr>
          <w:rFonts w:hint="eastAsia"/>
        </w:rPr>
        <w:t>日，公司召开</w:t>
      </w:r>
      <w:r>
        <w:rPr>
          <w:rFonts w:hint="eastAsia"/>
        </w:rPr>
        <w:t>2020</w:t>
      </w:r>
      <w:r>
        <w:rPr>
          <w:rFonts w:hint="eastAsia"/>
        </w:rPr>
        <w:t>年年度股东大会，审议通过了《关于</w:t>
      </w:r>
      <w:r>
        <w:rPr>
          <w:rFonts w:hint="eastAsia"/>
        </w:rPr>
        <w:t>2020</w:t>
      </w:r>
      <w:r>
        <w:rPr>
          <w:rFonts w:hint="eastAsia"/>
        </w:rPr>
        <w:t>年度利润分配及资本公积金转增股本预案的议案》，决定以</w:t>
      </w:r>
      <w:r>
        <w:rPr>
          <w:rFonts w:hint="eastAsia"/>
        </w:rPr>
        <w:t>2020</w:t>
      </w:r>
      <w:r>
        <w:rPr>
          <w:rFonts w:hint="eastAsia"/>
        </w:rPr>
        <w:t>年</w:t>
      </w:r>
      <w:r>
        <w:rPr>
          <w:rFonts w:hint="eastAsia"/>
        </w:rPr>
        <w:t>12</w:t>
      </w:r>
      <w:r>
        <w:rPr>
          <w:rFonts w:hint="eastAsia"/>
        </w:rPr>
        <w:t>月</w:t>
      </w:r>
      <w:r>
        <w:rPr>
          <w:rFonts w:hint="eastAsia"/>
        </w:rPr>
        <w:lastRenderedPageBreak/>
        <w:t>31</w:t>
      </w:r>
      <w:r>
        <w:rPr>
          <w:rFonts w:hint="eastAsia"/>
        </w:rPr>
        <w:t>日公司总股本</w:t>
      </w:r>
      <w:r>
        <w:rPr>
          <w:rFonts w:hint="eastAsia"/>
        </w:rPr>
        <w:t>11,668.00</w:t>
      </w:r>
      <w:r>
        <w:rPr>
          <w:rFonts w:hint="eastAsia"/>
        </w:rPr>
        <w:t>万股为基数，向全体股东每</w:t>
      </w:r>
      <w:r>
        <w:rPr>
          <w:rFonts w:hint="eastAsia"/>
        </w:rPr>
        <w:t>10</w:t>
      </w:r>
      <w:r>
        <w:rPr>
          <w:rFonts w:hint="eastAsia"/>
        </w:rPr>
        <w:t>股派息</w:t>
      </w:r>
      <w:r>
        <w:rPr>
          <w:rFonts w:hint="eastAsia"/>
        </w:rPr>
        <w:t>4.50</w:t>
      </w:r>
      <w:r>
        <w:rPr>
          <w:rFonts w:hint="eastAsia"/>
        </w:rPr>
        <w:t>元（含税），合计派发现金股利</w:t>
      </w:r>
      <w:r>
        <w:rPr>
          <w:rFonts w:hint="eastAsia"/>
        </w:rPr>
        <w:t>5,250.60</w:t>
      </w:r>
      <w:r>
        <w:rPr>
          <w:rFonts w:hint="eastAsia"/>
        </w:rPr>
        <w:t>万元，同时以资本公积向全体股东每</w:t>
      </w:r>
      <w:r>
        <w:rPr>
          <w:rFonts w:hint="eastAsia"/>
        </w:rPr>
        <w:t>10</w:t>
      </w:r>
      <w:r>
        <w:rPr>
          <w:rFonts w:hint="eastAsia"/>
        </w:rPr>
        <w:t>股转增</w:t>
      </w:r>
      <w:r>
        <w:rPr>
          <w:rFonts w:hint="eastAsia"/>
        </w:rPr>
        <w:t>4.50</w:t>
      </w:r>
      <w:r>
        <w:rPr>
          <w:rFonts w:hint="eastAsia"/>
        </w:rPr>
        <w:t>股，共计转增</w:t>
      </w:r>
      <w:r>
        <w:rPr>
          <w:rFonts w:hint="eastAsia"/>
        </w:rPr>
        <w:t>5,250.60</w:t>
      </w:r>
      <w:r>
        <w:rPr>
          <w:rFonts w:hint="eastAsia"/>
        </w:rPr>
        <w:t>万股。</w:t>
      </w:r>
    </w:p>
    <w:p w14:paraId="7C59D6A3" w14:textId="77777777" w:rsidR="004B0883" w:rsidRDefault="004B0883">
      <w:pPr>
        <w:pStyle w:val="005"/>
        <w:spacing w:before="120"/>
        <w:ind w:firstLine="480"/>
        <w:rPr>
          <w:rFonts w:hint="eastAsia"/>
        </w:rPr>
      </w:pPr>
      <w:r>
        <w:rPr>
          <w:rFonts w:hint="eastAsia"/>
        </w:rPr>
        <w:t>（</w:t>
      </w:r>
      <w:r>
        <w:rPr>
          <w:rFonts w:hint="eastAsia"/>
        </w:rPr>
        <w:t>2</w:t>
      </w:r>
      <w:r>
        <w:rPr>
          <w:rFonts w:hint="eastAsia"/>
        </w:rPr>
        <w:t>）</w:t>
      </w:r>
      <w:r>
        <w:rPr>
          <w:rFonts w:hint="eastAsia"/>
        </w:rPr>
        <w:t>20</w:t>
      </w:r>
      <w:r>
        <w:t>21</w:t>
      </w:r>
      <w:r>
        <w:rPr>
          <w:rFonts w:hint="eastAsia"/>
        </w:rPr>
        <w:t>年度利润分配方案</w:t>
      </w:r>
    </w:p>
    <w:p w14:paraId="1D8C250D" w14:textId="77777777" w:rsidR="004B0883" w:rsidRDefault="004B0883">
      <w:pPr>
        <w:pStyle w:val="005"/>
        <w:spacing w:before="120"/>
        <w:ind w:firstLine="480"/>
        <w:rPr>
          <w:rFonts w:hint="eastAsia"/>
        </w:rPr>
      </w:pPr>
      <w:r>
        <w:rPr>
          <w:rFonts w:hint="eastAsia"/>
        </w:rPr>
        <w:t>2022</w:t>
      </w:r>
      <w:r>
        <w:rPr>
          <w:rFonts w:hint="eastAsia"/>
        </w:rPr>
        <w:t>年</w:t>
      </w:r>
      <w:r>
        <w:rPr>
          <w:rFonts w:hint="eastAsia"/>
        </w:rPr>
        <w:t>5</w:t>
      </w:r>
      <w:r>
        <w:rPr>
          <w:rFonts w:hint="eastAsia"/>
        </w:rPr>
        <w:t>月</w:t>
      </w:r>
      <w:r>
        <w:rPr>
          <w:rFonts w:hint="eastAsia"/>
        </w:rPr>
        <w:t>18</w:t>
      </w:r>
      <w:r>
        <w:rPr>
          <w:rFonts w:hint="eastAsia"/>
        </w:rPr>
        <w:t>日，公司召开</w:t>
      </w:r>
      <w:r>
        <w:rPr>
          <w:rFonts w:hint="eastAsia"/>
        </w:rPr>
        <w:t>2021</w:t>
      </w:r>
      <w:r>
        <w:rPr>
          <w:rFonts w:hint="eastAsia"/>
        </w:rPr>
        <w:t>年年度股东大会，审议通过了《关于</w:t>
      </w:r>
      <w:r>
        <w:rPr>
          <w:rFonts w:hint="eastAsia"/>
        </w:rPr>
        <w:t>2021</w:t>
      </w:r>
      <w:r>
        <w:rPr>
          <w:rFonts w:hint="eastAsia"/>
        </w:rPr>
        <w:t>年度利润分配预案的议案》，以</w:t>
      </w:r>
      <w:r>
        <w:rPr>
          <w:rFonts w:hint="eastAsia"/>
        </w:rPr>
        <w:t>2021</w:t>
      </w:r>
      <w:r>
        <w:rPr>
          <w:rFonts w:hint="eastAsia"/>
        </w:rPr>
        <w:t>年</w:t>
      </w:r>
      <w:r>
        <w:rPr>
          <w:rFonts w:hint="eastAsia"/>
        </w:rPr>
        <w:t>12</w:t>
      </w:r>
      <w:r>
        <w:rPr>
          <w:rFonts w:hint="eastAsia"/>
        </w:rPr>
        <w:t>月</w:t>
      </w:r>
      <w:r>
        <w:rPr>
          <w:rFonts w:hint="eastAsia"/>
        </w:rPr>
        <w:t>31</w:t>
      </w:r>
      <w:r>
        <w:rPr>
          <w:rFonts w:hint="eastAsia"/>
        </w:rPr>
        <w:t>日公司总股本</w:t>
      </w:r>
      <w:r>
        <w:rPr>
          <w:rFonts w:hint="eastAsia"/>
        </w:rPr>
        <w:t>16,903.2648</w:t>
      </w:r>
      <w:r>
        <w:rPr>
          <w:rFonts w:hint="eastAsia"/>
        </w:rPr>
        <w:t>万股扣减公司回购专用证券账户中股份</w:t>
      </w:r>
      <w:r>
        <w:rPr>
          <w:rFonts w:hint="eastAsia"/>
        </w:rPr>
        <w:t>42.7626</w:t>
      </w:r>
      <w:r>
        <w:rPr>
          <w:rFonts w:hint="eastAsia"/>
        </w:rPr>
        <w:t>万股后的股份总数</w:t>
      </w:r>
      <w:r>
        <w:rPr>
          <w:rFonts w:hint="eastAsia"/>
        </w:rPr>
        <w:t>16,860.5022</w:t>
      </w:r>
      <w:r>
        <w:rPr>
          <w:rFonts w:hint="eastAsia"/>
        </w:rPr>
        <w:t>万股为基数，向全体股东每</w:t>
      </w:r>
      <w:r>
        <w:rPr>
          <w:rFonts w:hint="eastAsia"/>
        </w:rPr>
        <w:t>10</w:t>
      </w:r>
      <w:r>
        <w:rPr>
          <w:rFonts w:hint="eastAsia"/>
        </w:rPr>
        <w:t>股派发现金红利</w:t>
      </w:r>
      <w:r>
        <w:rPr>
          <w:rFonts w:hint="eastAsia"/>
        </w:rPr>
        <w:t>3.50</w:t>
      </w:r>
      <w:r>
        <w:rPr>
          <w:rFonts w:hint="eastAsia"/>
        </w:rPr>
        <w:t>元（含税），合计派发现金红利</w:t>
      </w:r>
      <w:r>
        <w:rPr>
          <w:rFonts w:hint="eastAsia"/>
        </w:rPr>
        <w:t>5,901.18</w:t>
      </w:r>
      <w:r>
        <w:rPr>
          <w:rFonts w:hint="eastAsia"/>
        </w:rPr>
        <w:t>万元，不以公积金转增股本，不送红股。</w:t>
      </w:r>
    </w:p>
    <w:p w14:paraId="247624B0" w14:textId="77777777" w:rsidR="004B0883" w:rsidRDefault="004B0883">
      <w:pPr>
        <w:pStyle w:val="005"/>
        <w:spacing w:before="120"/>
        <w:ind w:firstLine="480"/>
        <w:rPr>
          <w:rFonts w:hint="eastAsia"/>
        </w:rPr>
      </w:pPr>
      <w:r>
        <w:rPr>
          <w:rFonts w:hint="eastAsia"/>
        </w:rPr>
        <w:t>（</w:t>
      </w:r>
      <w:r>
        <w:rPr>
          <w:rFonts w:hint="eastAsia"/>
        </w:rPr>
        <w:t>3</w:t>
      </w:r>
      <w:r>
        <w:rPr>
          <w:rFonts w:hint="eastAsia"/>
        </w:rPr>
        <w:t>）</w:t>
      </w:r>
      <w:r>
        <w:rPr>
          <w:rFonts w:hint="eastAsia"/>
        </w:rPr>
        <w:t>202</w:t>
      </w:r>
      <w:r>
        <w:t>2</w:t>
      </w:r>
      <w:r>
        <w:rPr>
          <w:rFonts w:hint="eastAsia"/>
        </w:rPr>
        <w:t>年度利润分配方案</w:t>
      </w:r>
    </w:p>
    <w:p w14:paraId="636A39EB" w14:textId="77777777" w:rsidR="004B0883" w:rsidRDefault="004B0883">
      <w:pPr>
        <w:pStyle w:val="005"/>
        <w:spacing w:before="120"/>
        <w:ind w:firstLine="480"/>
        <w:rPr>
          <w:rFonts w:hint="eastAsia"/>
        </w:rPr>
      </w:pPr>
      <w:r>
        <w:rPr>
          <w:rFonts w:hint="eastAsia"/>
        </w:rPr>
        <w:t>2023</w:t>
      </w:r>
      <w:r>
        <w:rPr>
          <w:rFonts w:hint="eastAsia"/>
        </w:rPr>
        <w:t>年</w:t>
      </w:r>
      <w:r>
        <w:rPr>
          <w:rFonts w:hint="eastAsia"/>
        </w:rPr>
        <w:t>4</w:t>
      </w:r>
      <w:r>
        <w:rPr>
          <w:rFonts w:hint="eastAsia"/>
        </w:rPr>
        <w:t>月</w:t>
      </w:r>
      <w:r>
        <w:rPr>
          <w:rFonts w:hint="eastAsia"/>
        </w:rPr>
        <w:t>11</w:t>
      </w:r>
      <w:r>
        <w:rPr>
          <w:rFonts w:hint="eastAsia"/>
        </w:rPr>
        <w:t>日，公司召开</w:t>
      </w:r>
      <w:r>
        <w:rPr>
          <w:rFonts w:hint="eastAsia"/>
        </w:rPr>
        <w:t>2022</w:t>
      </w:r>
      <w:r>
        <w:rPr>
          <w:rFonts w:hint="eastAsia"/>
        </w:rPr>
        <w:t>年年度股东大会，审议通过了《关于</w:t>
      </w:r>
      <w:r>
        <w:rPr>
          <w:rFonts w:hint="eastAsia"/>
        </w:rPr>
        <w:t>2022</w:t>
      </w:r>
      <w:r>
        <w:rPr>
          <w:rFonts w:hint="eastAsia"/>
        </w:rPr>
        <w:t>年度利润分配及资本公积金转增股本预案的议案》，以</w:t>
      </w:r>
      <w:r>
        <w:rPr>
          <w:rFonts w:hint="eastAsia"/>
        </w:rPr>
        <w:t>2022</w:t>
      </w:r>
      <w:r>
        <w:rPr>
          <w:rFonts w:hint="eastAsia"/>
        </w:rPr>
        <w:t>年</w:t>
      </w:r>
      <w:r>
        <w:rPr>
          <w:rFonts w:hint="eastAsia"/>
        </w:rPr>
        <w:t>12</w:t>
      </w:r>
      <w:r>
        <w:rPr>
          <w:rFonts w:hint="eastAsia"/>
        </w:rPr>
        <w:t>月</w:t>
      </w:r>
      <w:r>
        <w:rPr>
          <w:rFonts w:hint="eastAsia"/>
        </w:rPr>
        <w:t>31</w:t>
      </w:r>
      <w:r>
        <w:rPr>
          <w:rFonts w:hint="eastAsia"/>
        </w:rPr>
        <w:t>日的总股本</w:t>
      </w:r>
      <w:r>
        <w:rPr>
          <w:rFonts w:hint="eastAsia"/>
        </w:rPr>
        <w:t>16,887.7148</w:t>
      </w:r>
      <w:r>
        <w:rPr>
          <w:rFonts w:hint="eastAsia"/>
        </w:rPr>
        <w:t>万股为基数，向全体股东每</w:t>
      </w:r>
      <w:r>
        <w:rPr>
          <w:rFonts w:hint="eastAsia"/>
        </w:rPr>
        <w:t>10</w:t>
      </w:r>
      <w:r>
        <w:rPr>
          <w:rFonts w:hint="eastAsia"/>
        </w:rPr>
        <w:t>股派发现金红利</w:t>
      </w:r>
      <w:r>
        <w:rPr>
          <w:rFonts w:hint="eastAsia"/>
        </w:rPr>
        <w:t>3.00</w:t>
      </w:r>
      <w:r>
        <w:rPr>
          <w:rFonts w:hint="eastAsia"/>
        </w:rPr>
        <w:t>元（含税），共派发现金红利为</w:t>
      </w:r>
      <w:r>
        <w:rPr>
          <w:rFonts w:hint="eastAsia"/>
        </w:rPr>
        <w:t>5,066.31444</w:t>
      </w:r>
      <w:r>
        <w:rPr>
          <w:rFonts w:hint="eastAsia"/>
        </w:rPr>
        <w:t>万元（含税），以资本公积金向全体股东每</w:t>
      </w:r>
      <w:r>
        <w:rPr>
          <w:rFonts w:hint="eastAsia"/>
        </w:rPr>
        <w:t>10</w:t>
      </w:r>
      <w:r>
        <w:rPr>
          <w:rFonts w:hint="eastAsia"/>
        </w:rPr>
        <w:t>股转增</w:t>
      </w:r>
      <w:r>
        <w:rPr>
          <w:rFonts w:hint="eastAsia"/>
        </w:rPr>
        <w:t>3</w:t>
      </w:r>
      <w:r>
        <w:rPr>
          <w:rFonts w:hint="eastAsia"/>
        </w:rPr>
        <w:t>股，共计转增</w:t>
      </w:r>
      <w:r>
        <w:rPr>
          <w:rFonts w:hint="eastAsia"/>
        </w:rPr>
        <w:t>5,066.3144</w:t>
      </w:r>
      <w:r>
        <w:rPr>
          <w:rFonts w:hint="eastAsia"/>
        </w:rPr>
        <w:t>万股，本次转增完成后，公司总股本增加至</w:t>
      </w:r>
      <w:r>
        <w:rPr>
          <w:rFonts w:hint="eastAsia"/>
        </w:rPr>
        <w:t>21,954.0292</w:t>
      </w:r>
      <w:r>
        <w:rPr>
          <w:rFonts w:hint="eastAsia"/>
        </w:rPr>
        <w:t>万股。</w:t>
      </w:r>
    </w:p>
    <w:p w14:paraId="7D3CDF3C" w14:textId="77777777" w:rsidR="004B0883" w:rsidRDefault="004B0883">
      <w:pPr>
        <w:pStyle w:val="004"/>
        <w:spacing w:before="120" w:after="120"/>
        <w:ind w:firstLine="482"/>
        <w:rPr>
          <w:rFonts w:hint="eastAsia"/>
        </w:rPr>
      </w:pPr>
      <w:r>
        <w:rPr>
          <w:rFonts w:hint="eastAsia"/>
        </w:rPr>
        <w:t>2</w:t>
      </w:r>
      <w:r>
        <w:rPr>
          <w:rFonts w:hint="eastAsia"/>
        </w:rPr>
        <w:t>、最近三年分红情况</w:t>
      </w:r>
    </w:p>
    <w:p w14:paraId="234CEC19" w14:textId="77777777" w:rsidR="004B0883" w:rsidRDefault="004B0883">
      <w:pPr>
        <w:pStyle w:val="005"/>
        <w:spacing w:before="120"/>
        <w:ind w:firstLine="480"/>
        <w:rPr>
          <w:rFonts w:hint="eastAsia"/>
        </w:rPr>
      </w:pPr>
      <w:r>
        <w:rPr>
          <w:rFonts w:hint="eastAsia"/>
        </w:rPr>
        <w:t>公司最近三年现金分红情况如下：</w:t>
      </w:r>
    </w:p>
    <w:p w14:paraId="590A32C1" w14:textId="77777777" w:rsidR="004B0883" w:rsidRDefault="004B0883">
      <w:pPr>
        <w:pStyle w:val="009"/>
        <w:rPr>
          <w:rFonts w:hint="eastAsia"/>
        </w:rPr>
      </w:pPr>
      <w:r>
        <w:rPr>
          <w:rFonts w:hint="eastAsia"/>
        </w:rP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22"/>
        <w:gridCol w:w="1252"/>
        <w:gridCol w:w="1254"/>
        <w:gridCol w:w="1254"/>
      </w:tblGrid>
      <w:tr w:rsidR="004B0883" w14:paraId="7ED1200A" w14:textId="77777777">
        <w:trPr>
          <w:trHeight w:val="397"/>
          <w:jc w:val="center"/>
        </w:trPr>
        <w:tc>
          <w:tcPr>
            <w:tcW w:w="2730" w:type="pct"/>
            <w:shd w:val="clear" w:color="auto" w:fill="D9D9D9"/>
            <w:tcMar>
              <w:top w:w="0" w:type="dxa"/>
              <w:bottom w:w="0" w:type="dxa"/>
            </w:tcMar>
            <w:vAlign w:val="center"/>
          </w:tcPr>
          <w:p w14:paraId="7749EE60" w14:textId="77777777" w:rsidR="004B0883" w:rsidRDefault="004B0883">
            <w:pPr>
              <w:adjustRightInd w:val="0"/>
              <w:snapToGrid w:val="0"/>
              <w:jc w:val="center"/>
              <w:rPr>
                <w:b/>
                <w:bCs/>
                <w:color w:val="000000"/>
                <w:szCs w:val="18"/>
              </w:rPr>
            </w:pPr>
            <w:r>
              <w:rPr>
                <w:b/>
                <w:bCs/>
                <w:color w:val="000000"/>
                <w:szCs w:val="18"/>
              </w:rPr>
              <w:t>项目</w:t>
            </w:r>
          </w:p>
        </w:tc>
        <w:tc>
          <w:tcPr>
            <w:tcW w:w="756" w:type="pct"/>
            <w:shd w:val="clear" w:color="auto" w:fill="D9D9D9"/>
            <w:tcMar>
              <w:top w:w="0" w:type="dxa"/>
              <w:bottom w:w="0" w:type="dxa"/>
            </w:tcMar>
            <w:vAlign w:val="center"/>
          </w:tcPr>
          <w:p w14:paraId="6A4AD807" w14:textId="77777777" w:rsidR="004B0883" w:rsidRDefault="004B0883">
            <w:pPr>
              <w:adjustRightInd w:val="0"/>
              <w:snapToGrid w:val="0"/>
              <w:jc w:val="center"/>
              <w:rPr>
                <w:b/>
                <w:bCs/>
                <w:color w:val="000000"/>
                <w:szCs w:val="18"/>
              </w:rPr>
            </w:pPr>
            <w:r>
              <w:rPr>
                <w:b/>
                <w:bCs/>
                <w:color w:val="000000"/>
                <w:szCs w:val="18"/>
              </w:rPr>
              <w:t>2022</w:t>
            </w:r>
            <w:r>
              <w:rPr>
                <w:b/>
                <w:bCs/>
                <w:color w:val="000000"/>
                <w:szCs w:val="18"/>
              </w:rPr>
              <w:t>年</w:t>
            </w:r>
          </w:p>
        </w:tc>
        <w:tc>
          <w:tcPr>
            <w:tcW w:w="757" w:type="pct"/>
            <w:shd w:val="clear" w:color="auto" w:fill="D9D9D9"/>
            <w:tcMar>
              <w:top w:w="0" w:type="dxa"/>
              <w:bottom w:w="0" w:type="dxa"/>
            </w:tcMar>
            <w:vAlign w:val="center"/>
          </w:tcPr>
          <w:p w14:paraId="544E67D2" w14:textId="77777777" w:rsidR="004B0883" w:rsidRDefault="004B0883">
            <w:pPr>
              <w:adjustRightInd w:val="0"/>
              <w:snapToGrid w:val="0"/>
              <w:jc w:val="center"/>
              <w:rPr>
                <w:b/>
                <w:bCs/>
                <w:color w:val="000000"/>
                <w:szCs w:val="18"/>
              </w:rPr>
            </w:pPr>
            <w:r>
              <w:rPr>
                <w:b/>
                <w:bCs/>
                <w:color w:val="000000"/>
                <w:szCs w:val="18"/>
              </w:rPr>
              <w:t>2021</w:t>
            </w:r>
            <w:r>
              <w:rPr>
                <w:b/>
                <w:bCs/>
                <w:color w:val="000000"/>
                <w:szCs w:val="18"/>
              </w:rPr>
              <w:t>年</w:t>
            </w:r>
          </w:p>
        </w:tc>
        <w:tc>
          <w:tcPr>
            <w:tcW w:w="757" w:type="pct"/>
            <w:shd w:val="clear" w:color="auto" w:fill="D9D9D9"/>
            <w:tcMar>
              <w:top w:w="0" w:type="dxa"/>
              <w:bottom w:w="0" w:type="dxa"/>
            </w:tcMar>
            <w:vAlign w:val="center"/>
          </w:tcPr>
          <w:p w14:paraId="5EF1D6FA" w14:textId="77777777" w:rsidR="004B0883" w:rsidRDefault="004B0883">
            <w:pPr>
              <w:adjustRightInd w:val="0"/>
              <w:snapToGrid w:val="0"/>
              <w:jc w:val="center"/>
              <w:rPr>
                <w:b/>
                <w:bCs/>
                <w:color w:val="000000"/>
                <w:szCs w:val="18"/>
              </w:rPr>
            </w:pPr>
            <w:r>
              <w:rPr>
                <w:b/>
                <w:bCs/>
                <w:color w:val="000000"/>
                <w:szCs w:val="18"/>
              </w:rPr>
              <w:t>2020</w:t>
            </w:r>
            <w:r>
              <w:rPr>
                <w:b/>
                <w:bCs/>
                <w:color w:val="000000"/>
                <w:szCs w:val="18"/>
              </w:rPr>
              <w:t>年</w:t>
            </w:r>
          </w:p>
        </w:tc>
      </w:tr>
      <w:tr w:rsidR="004B0883" w14:paraId="4ED3A5E7" w14:textId="77777777">
        <w:trPr>
          <w:trHeight w:val="397"/>
          <w:jc w:val="center"/>
        </w:trPr>
        <w:tc>
          <w:tcPr>
            <w:tcW w:w="2730" w:type="pct"/>
            <w:tcMar>
              <w:top w:w="0" w:type="dxa"/>
              <w:bottom w:w="0" w:type="dxa"/>
            </w:tcMar>
            <w:vAlign w:val="center"/>
          </w:tcPr>
          <w:p w14:paraId="37C71D10" w14:textId="77777777" w:rsidR="004B0883" w:rsidRDefault="004B0883">
            <w:pPr>
              <w:adjustRightInd w:val="0"/>
              <w:snapToGrid w:val="0"/>
              <w:rPr>
                <w:color w:val="000000"/>
                <w:szCs w:val="18"/>
              </w:rPr>
            </w:pPr>
            <w:r>
              <w:rPr>
                <w:rFonts w:hint="eastAsia"/>
              </w:rPr>
              <w:t>合并报表中归属于母公司股东的净利润</w:t>
            </w:r>
          </w:p>
        </w:tc>
        <w:tc>
          <w:tcPr>
            <w:tcW w:w="756" w:type="pct"/>
            <w:tcMar>
              <w:top w:w="0" w:type="dxa"/>
              <w:bottom w:w="0" w:type="dxa"/>
            </w:tcMar>
            <w:vAlign w:val="center"/>
          </w:tcPr>
          <w:p w14:paraId="6CB2CB59" w14:textId="77777777" w:rsidR="004B0883" w:rsidRDefault="004B0883">
            <w:pPr>
              <w:adjustRightInd w:val="0"/>
              <w:snapToGrid w:val="0"/>
              <w:jc w:val="right"/>
              <w:rPr>
                <w:color w:val="000000"/>
                <w:szCs w:val="18"/>
              </w:rPr>
            </w:pPr>
            <w:r>
              <w:rPr>
                <w:rFonts w:eastAsia="等线"/>
                <w:color w:val="000000"/>
                <w:lang w:bidi="ar"/>
              </w:rPr>
              <w:t>13,620.51</w:t>
            </w:r>
          </w:p>
        </w:tc>
        <w:tc>
          <w:tcPr>
            <w:tcW w:w="757" w:type="pct"/>
            <w:tcMar>
              <w:top w:w="0" w:type="dxa"/>
              <w:bottom w:w="0" w:type="dxa"/>
            </w:tcMar>
            <w:vAlign w:val="center"/>
          </w:tcPr>
          <w:p w14:paraId="222FFBB0" w14:textId="77777777" w:rsidR="004B0883" w:rsidRDefault="004B0883">
            <w:pPr>
              <w:adjustRightInd w:val="0"/>
              <w:snapToGrid w:val="0"/>
              <w:jc w:val="right"/>
              <w:rPr>
                <w:color w:val="000000"/>
                <w:szCs w:val="18"/>
              </w:rPr>
            </w:pPr>
            <w:r>
              <w:rPr>
                <w:rFonts w:eastAsia="等线"/>
                <w:color w:val="000000"/>
                <w:lang w:bidi="ar"/>
              </w:rPr>
              <w:t>6,099.35</w:t>
            </w:r>
          </w:p>
        </w:tc>
        <w:tc>
          <w:tcPr>
            <w:tcW w:w="757" w:type="pct"/>
            <w:tcMar>
              <w:top w:w="0" w:type="dxa"/>
              <w:bottom w:w="0" w:type="dxa"/>
            </w:tcMar>
            <w:vAlign w:val="center"/>
          </w:tcPr>
          <w:p w14:paraId="25D74736" w14:textId="77777777" w:rsidR="004B0883" w:rsidRDefault="004B0883">
            <w:pPr>
              <w:adjustRightInd w:val="0"/>
              <w:snapToGrid w:val="0"/>
              <w:jc w:val="right"/>
              <w:rPr>
                <w:color w:val="000000"/>
                <w:szCs w:val="18"/>
              </w:rPr>
            </w:pPr>
            <w:r>
              <w:rPr>
                <w:rFonts w:eastAsia="等线"/>
                <w:color w:val="000000"/>
                <w:lang w:bidi="ar"/>
              </w:rPr>
              <w:t>5,796.81</w:t>
            </w:r>
          </w:p>
        </w:tc>
      </w:tr>
      <w:tr w:rsidR="004B0883" w14:paraId="0210AE7D" w14:textId="77777777">
        <w:trPr>
          <w:trHeight w:val="397"/>
          <w:jc w:val="center"/>
        </w:trPr>
        <w:tc>
          <w:tcPr>
            <w:tcW w:w="2730" w:type="pct"/>
            <w:tcMar>
              <w:top w:w="0" w:type="dxa"/>
              <w:bottom w:w="0" w:type="dxa"/>
            </w:tcMar>
            <w:vAlign w:val="center"/>
          </w:tcPr>
          <w:p w14:paraId="28906D1B" w14:textId="77777777" w:rsidR="004B0883" w:rsidRDefault="004B0883">
            <w:pPr>
              <w:adjustRightInd w:val="0"/>
              <w:snapToGrid w:val="0"/>
              <w:rPr>
                <w:color w:val="000000"/>
                <w:szCs w:val="18"/>
              </w:rPr>
            </w:pPr>
            <w:r>
              <w:rPr>
                <w:rFonts w:hint="eastAsia"/>
              </w:rPr>
              <w:t>现金分红金额（含税）</w:t>
            </w:r>
          </w:p>
        </w:tc>
        <w:tc>
          <w:tcPr>
            <w:tcW w:w="756" w:type="pct"/>
            <w:tcMar>
              <w:top w:w="0" w:type="dxa"/>
              <w:bottom w:w="0" w:type="dxa"/>
            </w:tcMar>
            <w:vAlign w:val="center"/>
          </w:tcPr>
          <w:p w14:paraId="47B664A6" w14:textId="77777777" w:rsidR="004B0883" w:rsidRDefault="004B0883">
            <w:pPr>
              <w:adjustRightInd w:val="0"/>
              <w:snapToGrid w:val="0"/>
              <w:jc w:val="right"/>
              <w:rPr>
                <w:color w:val="000000"/>
                <w:szCs w:val="18"/>
              </w:rPr>
            </w:pPr>
            <w:r>
              <w:rPr>
                <w:rFonts w:eastAsia="等线"/>
                <w:color w:val="000000"/>
                <w:lang w:bidi="ar"/>
              </w:rPr>
              <w:t>5,066.31</w:t>
            </w:r>
          </w:p>
        </w:tc>
        <w:tc>
          <w:tcPr>
            <w:tcW w:w="757" w:type="pct"/>
            <w:tcMar>
              <w:top w:w="0" w:type="dxa"/>
              <w:bottom w:w="0" w:type="dxa"/>
            </w:tcMar>
            <w:vAlign w:val="center"/>
          </w:tcPr>
          <w:p w14:paraId="3B4004DA" w14:textId="77777777" w:rsidR="004B0883" w:rsidRDefault="004B0883">
            <w:pPr>
              <w:adjustRightInd w:val="0"/>
              <w:snapToGrid w:val="0"/>
              <w:jc w:val="right"/>
              <w:rPr>
                <w:color w:val="000000"/>
                <w:szCs w:val="18"/>
              </w:rPr>
            </w:pPr>
            <w:r>
              <w:rPr>
                <w:rFonts w:eastAsia="等线"/>
                <w:color w:val="000000"/>
                <w:lang w:bidi="ar"/>
              </w:rPr>
              <w:t>5,901.18</w:t>
            </w:r>
          </w:p>
        </w:tc>
        <w:tc>
          <w:tcPr>
            <w:tcW w:w="757" w:type="pct"/>
            <w:tcMar>
              <w:top w:w="0" w:type="dxa"/>
              <w:bottom w:w="0" w:type="dxa"/>
            </w:tcMar>
            <w:vAlign w:val="center"/>
          </w:tcPr>
          <w:p w14:paraId="22070327" w14:textId="77777777" w:rsidR="004B0883" w:rsidRDefault="004B0883">
            <w:pPr>
              <w:adjustRightInd w:val="0"/>
              <w:snapToGrid w:val="0"/>
              <w:jc w:val="right"/>
              <w:rPr>
                <w:color w:val="000000"/>
                <w:szCs w:val="18"/>
              </w:rPr>
            </w:pPr>
            <w:r>
              <w:rPr>
                <w:rFonts w:eastAsia="等线"/>
                <w:color w:val="000000"/>
                <w:lang w:bidi="ar"/>
              </w:rPr>
              <w:t>5,250.60</w:t>
            </w:r>
          </w:p>
        </w:tc>
      </w:tr>
      <w:tr w:rsidR="004B0883" w14:paraId="5CE7FB69" w14:textId="77777777">
        <w:trPr>
          <w:trHeight w:val="397"/>
          <w:jc w:val="center"/>
        </w:trPr>
        <w:tc>
          <w:tcPr>
            <w:tcW w:w="2730" w:type="pct"/>
            <w:tcMar>
              <w:top w:w="0" w:type="dxa"/>
              <w:bottom w:w="0" w:type="dxa"/>
            </w:tcMar>
            <w:vAlign w:val="center"/>
          </w:tcPr>
          <w:p w14:paraId="5502912E" w14:textId="77777777" w:rsidR="004B0883" w:rsidRDefault="004B0883">
            <w:pPr>
              <w:adjustRightInd w:val="0"/>
              <w:snapToGrid w:val="0"/>
              <w:rPr>
                <w:rFonts w:hint="eastAsia"/>
                <w:color w:val="000000"/>
                <w:szCs w:val="18"/>
              </w:rPr>
            </w:pPr>
            <w:r>
              <w:rPr>
                <w:rFonts w:hint="eastAsia"/>
              </w:rPr>
              <w:t>现金分红占合并报表中归属于母公司股东净利润的比例</w:t>
            </w:r>
          </w:p>
        </w:tc>
        <w:tc>
          <w:tcPr>
            <w:tcW w:w="756" w:type="pct"/>
            <w:tcMar>
              <w:top w:w="0" w:type="dxa"/>
              <w:bottom w:w="0" w:type="dxa"/>
            </w:tcMar>
            <w:vAlign w:val="center"/>
          </w:tcPr>
          <w:p w14:paraId="5E886C26" w14:textId="77777777" w:rsidR="004B0883" w:rsidRDefault="004B0883">
            <w:pPr>
              <w:adjustRightInd w:val="0"/>
              <w:snapToGrid w:val="0"/>
              <w:jc w:val="right"/>
              <w:rPr>
                <w:color w:val="000000"/>
                <w:szCs w:val="18"/>
              </w:rPr>
            </w:pPr>
            <w:r>
              <w:rPr>
                <w:rFonts w:eastAsia="等线"/>
                <w:color w:val="000000"/>
                <w:lang w:bidi="ar"/>
              </w:rPr>
              <w:t>37.20%</w:t>
            </w:r>
          </w:p>
        </w:tc>
        <w:tc>
          <w:tcPr>
            <w:tcW w:w="757" w:type="pct"/>
            <w:tcMar>
              <w:top w:w="0" w:type="dxa"/>
              <w:bottom w:w="0" w:type="dxa"/>
            </w:tcMar>
            <w:vAlign w:val="center"/>
          </w:tcPr>
          <w:p w14:paraId="32A9E7DD" w14:textId="77777777" w:rsidR="004B0883" w:rsidRDefault="004B0883">
            <w:pPr>
              <w:adjustRightInd w:val="0"/>
              <w:snapToGrid w:val="0"/>
              <w:jc w:val="right"/>
              <w:rPr>
                <w:color w:val="000000"/>
                <w:szCs w:val="18"/>
              </w:rPr>
            </w:pPr>
            <w:r>
              <w:rPr>
                <w:rFonts w:eastAsia="等线"/>
                <w:color w:val="000000"/>
                <w:lang w:bidi="ar"/>
              </w:rPr>
              <w:t>96.75%</w:t>
            </w:r>
          </w:p>
        </w:tc>
        <w:tc>
          <w:tcPr>
            <w:tcW w:w="757" w:type="pct"/>
            <w:tcMar>
              <w:top w:w="0" w:type="dxa"/>
              <w:bottom w:w="0" w:type="dxa"/>
            </w:tcMar>
            <w:vAlign w:val="center"/>
          </w:tcPr>
          <w:p w14:paraId="3B30DF01" w14:textId="77777777" w:rsidR="004B0883" w:rsidRDefault="004B0883">
            <w:pPr>
              <w:adjustRightInd w:val="0"/>
              <w:snapToGrid w:val="0"/>
              <w:jc w:val="right"/>
              <w:rPr>
                <w:color w:val="000000"/>
                <w:szCs w:val="18"/>
              </w:rPr>
            </w:pPr>
            <w:r>
              <w:rPr>
                <w:rFonts w:eastAsia="等线"/>
                <w:color w:val="000000"/>
                <w:lang w:bidi="ar"/>
              </w:rPr>
              <w:t>90.58%</w:t>
            </w:r>
          </w:p>
        </w:tc>
      </w:tr>
      <w:tr w:rsidR="004B0883" w14:paraId="26115688" w14:textId="77777777">
        <w:trPr>
          <w:trHeight w:val="397"/>
          <w:jc w:val="center"/>
        </w:trPr>
        <w:tc>
          <w:tcPr>
            <w:tcW w:w="2730" w:type="pct"/>
            <w:tcMar>
              <w:top w:w="0" w:type="dxa"/>
              <w:bottom w:w="0" w:type="dxa"/>
            </w:tcMar>
            <w:vAlign w:val="center"/>
          </w:tcPr>
          <w:p w14:paraId="4AA4C103" w14:textId="77777777" w:rsidR="004B0883" w:rsidRDefault="004B0883">
            <w:pPr>
              <w:adjustRightInd w:val="0"/>
              <w:snapToGrid w:val="0"/>
              <w:rPr>
                <w:color w:val="000000"/>
                <w:szCs w:val="18"/>
              </w:rPr>
            </w:pPr>
            <w:r>
              <w:rPr>
                <w:rFonts w:hint="eastAsia"/>
              </w:rPr>
              <w:t>最近三年累计现金分红合计</w:t>
            </w:r>
          </w:p>
        </w:tc>
        <w:tc>
          <w:tcPr>
            <w:tcW w:w="2270" w:type="pct"/>
            <w:gridSpan w:val="3"/>
            <w:tcMar>
              <w:top w:w="0" w:type="dxa"/>
              <w:bottom w:w="0" w:type="dxa"/>
            </w:tcMar>
            <w:vAlign w:val="center"/>
          </w:tcPr>
          <w:p w14:paraId="2D8D7013" w14:textId="77777777" w:rsidR="004B0883" w:rsidRDefault="004B0883">
            <w:pPr>
              <w:adjustRightInd w:val="0"/>
              <w:snapToGrid w:val="0"/>
              <w:jc w:val="right"/>
              <w:rPr>
                <w:color w:val="000000"/>
                <w:szCs w:val="18"/>
              </w:rPr>
            </w:pPr>
            <w:r>
              <w:rPr>
                <w:rFonts w:eastAsia="等线"/>
                <w:color w:val="000000"/>
                <w:lang w:bidi="ar"/>
              </w:rPr>
              <w:t>16,218.09</w:t>
            </w:r>
          </w:p>
        </w:tc>
      </w:tr>
      <w:tr w:rsidR="004B0883" w14:paraId="5AAB8843" w14:textId="77777777">
        <w:trPr>
          <w:trHeight w:val="397"/>
          <w:jc w:val="center"/>
        </w:trPr>
        <w:tc>
          <w:tcPr>
            <w:tcW w:w="2730" w:type="pct"/>
            <w:tcMar>
              <w:top w:w="0" w:type="dxa"/>
              <w:bottom w:w="0" w:type="dxa"/>
            </w:tcMar>
            <w:vAlign w:val="center"/>
          </w:tcPr>
          <w:p w14:paraId="023159C8" w14:textId="77777777" w:rsidR="004B0883" w:rsidRDefault="004B0883">
            <w:pPr>
              <w:adjustRightInd w:val="0"/>
              <w:snapToGrid w:val="0"/>
              <w:rPr>
                <w:color w:val="000000"/>
                <w:szCs w:val="18"/>
              </w:rPr>
            </w:pPr>
            <w:r>
              <w:rPr>
                <w:rFonts w:hint="eastAsia"/>
              </w:rPr>
              <w:t>最近三年合并报表中归属于母公司股东的年均净利润</w:t>
            </w:r>
          </w:p>
        </w:tc>
        <w:tc>
          <w:tcPr>
            <w:tcW w:w="2270" w:type="pct"/>
            <w:gridSpan w:val="3"/>
            <w:tcMar>
              <w:top w:w="0" w:type="dxa"/>
              <w:bottom w:w="0" w:type="dxa"/>
            </w:tcMar>
            <w:vAlign w:val="center"/>
          </w:tcPr>
          <w:p w14:paraId="3A4DEDE0" w14:textId="77777777" w:rsidR="004B0883" w:rsidRDefault="004B0883">
            <w:pPr>
              <w:adjustRightInd w:val="0"/>
              <w:snapToGrid w:val="0"/>
              <w:jc w:val="right"/>
              <w:rPr>
                <w:color w:val="000000"/>
                <w:szCs w:val="18"/>
              </w:rPr>
            </w:pPr>
            <w:r>
              <w:rPr>
                <w:rFonts w:eastAsia="等线"/>
                <w:color w:val="000000"/>
                <w:lang w:bidi="ar"/>
              </w:rPr>
              <w:t>8,505.56</w:t>
            </w:r>
          </w:p>
        </w:tc>
      </w:tr>
      <w:tr w:rsidR="004B0883" w14:paraId="18B0B010" w14:textId="77777777">
        <w:trPr>
          <w:trHeight w:val="397"/>
          <w:jc w:val="center"/>
        </w:trPr>
        <w:tc>
          <w:tcPr>
            <w:tcW w:w="2730" w:type="pct"/>
            <w:tcMar>
              <w:top w:w="0" w:type="dxa"/>
              <w:bottom w:w="0" w:type="dxa"/>
            </w:tcMar>
            <w:vAlign w:val="center"/>
          </w:tcPr>
          <w:p w14:paraId="019753AD" w14:textId="77777777" w:rsidR="004B0883" w:rsidRDefault="004B0883">
            <w:pPr>
              <w:adjustRightInd w:val="0"/>
              <w:snapToGrid w:val="0"/>
              <w:rPr>
                <w:color w:val="000000"/>
                <w:szCs w:val="18"/>
              </w:rPr>
            </w:pPr>
            <w:r>
              <w:rPr>
                <w:rFonts w:hint="eastAsia"/>
              </w:rPr>
              <w:t>最近三年累计现金分红占最近三年合并报表中归属于母公司股东的年均净利润的比例</w:t>
            </w:r>
          </w:p>
        </w:tc>
        <w:tc>
          <w:tcPr>
            <w:tcW w:w="2270" w:type="pct"/>
            <w:gridSpan w:val="3"/>
            <w:tcMar>
              <w:top w:w="0" w:type="dxa"/>
              <w:bottom w:w="0" w:type="dxa"/>
            </w:tcMar>
            <w:vAlign w:val="center"/>
          </w:tcPr>
          <w:p w14:paraId="2571C574" w14:textId="77777777" w:rsidR="004B0883" w:rsidRDefault="004B0883">
            <w:pPr>
              <w:adjustRightInd w:val="0"/>
              <w:snapToGrid w:val="0"/>
              <w:jc w:val="right"/>
              <w:rPr>
                <w:color w:val="000000"/>
                <w:szCs w:val="18"/>
              </w:rPr>
            </w:pPr>
            <w:r>
              <w:rPr>
                <w:rFonts w:eastAsia="等线"/>
                <w:color w:val="000000"/>
                <w:lang w:bidi="ar"/>
              </w:rPr>
              <w:t>190.68%</w:t>
            </w:r>
          </w:p>
        </w:tc>
      </w:tr>
    </w:tbl>
    <w:p w14:paraId="4D5F0847" w14:textId="77777777" w:rsidR="004B0883" w:rsidRDefault="004B0883">
      <w:pPr>
        <w:pStyle w:val="005"/>
        <w:spacing w:before="120"/>
        <w:ind w:firstLine="480"/>
        <w:rPr>
          <w:rFonts w:hint="eastAsia"/>
        </w:rPr>
      </w:pPr>
      <w:r>
        <w:rPr>
          <w:rFonts w:hint="eastAsia"/>
        </w:rPr>
        <w:t>公司最近三年的分红情况符合相关法律法规和公司章程规定。</w:t>
      </w:r>
    </w:p>
    <w:p w14:paraId="51CD5F4D" w14:textId="77777777" w:rsidR="004B0883" w:rsidRDefault="004B0883">
      <w:pPr>
        <w:pStyle w:val="002"/>
        <w:spacing w:before="120" w:after="120"/>
        <w:rPr>
          <w:rFonts w:hint="eastAsia"/>
        </w:rPr>
      </w:pPr>
      <w:bookmarkStart w:id="20" w:name="_Toc152320769"/>
      <w:bookmarkStart w:id="21" w:name="_Toc42001305"/>
      <w:bookmarkStart w:id="22" w:name="_Hlk154311480"/>
      <w:r>
        <w:rPr>
          <w:rFonts w:hint="eastAsia"/>
        </w:rPr>
        <w:lastRenderedPageBreak/>
        <w:t>五、本公司提请投资者仔细阅读本募集说明书</w:t>
      </w:r>
      <w:r>
        <w:rPr>
          <w:rFonts w:ascii="宋体" w:eastAsia="宋体" w:hAnsi="宋体" w:hint="eastAsia"/>
        </w:rPr>
        <w:t>“</w:t>
      </w:r>
      <w:r>
        <w:rPr>
          <w:rFonts w:hint="eastAsia"/>
        </w:rPr>
        <w:t>风险因素</w:t>
      </w:r>
      <w:r>
        <w:rPr>
          <w:rFonts w:ascii="宋体" w:eastAsia="宋体" w:hAnsi="宋体" w:hint="eastAsia"/>
        </w:rPr>
        <w:t>”</w:t>
      </w:r>
      <w:r>
        <w:rPr>
          <w:rFonts w:hint="eastAsia"/>
        </w:rPr>
        <w:t>全文，并特别注意以下风险</w:t>
      </w:r>
      <w:bookmarkEnd w:id="20"/>
      <w:bookmarkEnd w:id="21"/>
    </w:p>
    <w:bookmarkEnd w:id="22"/>
    <w:p w14:paraId="4ECDE47D" w14:textId="77777777" w:rsidR="004B0883" w:rsidRDefault="004B0883">
      <w:pPr>
        <w:pStyle w:val="003"/>
        <w:spacing w:before="120" w:after="120"/>
        <w:rPr>
          <w:rFonts w:hint="eastAsia"/>
        </w:rPr>
      </w:pPr>
      <w:r>
        <w:rPr>
          <w:rFonts w:hint="eastAsia"/>
        </w:rPr>
        <w:t>（一）与本次可转换公司债券相关的风险</w:t>
      </w:r>
    </w:p>
    <w:p w14:paraId="4BC36F3E" w14:textId="77777777" w:rsidR="004B0883" w:rsidRDefault="004B0883">
      <w:pPr>
        <w:pStyle w:val="004"/>
        <w:spacing w:before="120" w:after="120"/>
        <w:ind w:firstLine="482"/>
      </w:pPr>
      <w:r>
        <w:rPr>
          <w:rFonts w:hint="eastAsia"/>
        </w:rPr>
        <w:t>1</w:t>
      </w:r>
      <w:r>
        <w:rPr>
          <w:rFonts w:hint="eastAsia"/>
        </w:rPr>
        <w:t>、可转债转股后</w:t>
      </w:r>
      <w:r>
        <w:t>摊薄即期回报的风险</w:t>
      </w:r>
    </w:p>
    <w:p w14:paraId="238F8394" w14:textId="77777777" w:rsidR="004B0883" w:rsidRDefault="004B0883">
      <w:pPr>
        <w:pStyle w:val="005"/>
        <w:spacing w:before="120"/>
        <w:ind w:firstLine="480"/>
      </w:pPr>
      <w:r>
        <w:rPr>
          <w:rFonts w:hint="eastAsia"/>
        </w:rPr>
        <w:t>本次发行完成后，随着转股数量的增加，公司股本规模和净资产规模相应增加。由于募集资金投资项目建设和产生效益需要一定的过程和时间，如果公司营业收入及净利润没有实现同步增长，则短期内公司每股收益将存在下滑的风险。</w:t>
      </w:r>
    </w:p>
    <w:p w14:paraId="53B78760" w14:textId="77777777" w:rsidR="004B0883" w:rsidRDefault="004B0883">
      <w:pPr>
        <w:pStyle w:val="004"/>
        <w:spacing w:before="120" w:after="120"/>
        <w:ind w:firstLine="482"/>
      </w:pPr>
      <w:r>
        <w:rPr>
          <w:rFonts w:hint="eastAsia"/>
        </w:rPr>
        <w:t>2</w:t>
      </w:r>
      <w:r>
        <w:rPr>
          <w:rFonts w:hint="eastAsia"/>
        </w:rPr>
        <w:t>、可转债到期未能转股的风险</w:t>
      </w:r>
    </w:p>
    <w:p w14:paraId="42D15A12" w14:textId="77777777" w:rsidR="004B0883" w:rsidRDefault="004B0883">
      <w:pPr>
        <w:pStyle w:val="005"/>
        <w:spacing w:before="120"/>
        <w:ind w:firstLine="480"/>
      </w:pPr>
      <w:r>
        <w:rPr>
          <w:rFonts w:hint="eastAsia"/>
        </w:rPr>
        <w:t>本次可转换公司债券在转股期内是否转股取决于转股价格、公司股票价格、投资者偏好等因素。如果本次可转债未能在转股期内转股，公司则需对未转股的可转债偿付本金和利息，相比可转债转股的情形，公司将承担更高的财务费用。</w:t>
      </w:r>
    </w:p>
    <w:p w14:paraId="74794977" w14:textId="77777777" w:rsidR="004B0883" w:rsidRDefault="004B0883">
      <w:pPr>
        <w:pStyle w:val="005"/>
        <w:spacing w:before="120"/>
        <w:ind w:firstLine="480"/>
      </w:pPr>
      <w:r>
        <w:rPr>
          <w:rFonts w:hint="eastAsia"/>
        </w:rPr>
        <w:t>此外，在本次可转债存续期间，如果发生可转债回售等情况，公司将面临一定的资金压力。</w:t>
      </w:r>
    </w:p>
    <w:p w14:paraId="6C044DC4" w14:textId="77777777" w:rsidR="004B0883" w:rsidRDefault="004B0883">
      <w:pPr>
        <w:pStyle w:val="004"/>
        <w:spacing w:before="120" w:after="120"/>
        <w:ind w:firstLine="482"/>
      </w:pPr>
      <w:r>
        <w:rPr>
          <w:rFonts w:hint="eastAsia"/>
        </w:rPr>
        <w:t>3</w:t>
      </w:r>
      <w:r>
        <w:rPr>
          <w:rFonts w:hint="eastAsia"/>
        </w:rPr>
        <w:t>、评级风险</w:t>
      </w:r>
    </w:p>
    <w:p w14:paraId="7C285C00" w14:textId="77777777" w:rsidR="004B0883" w:rsidRDefault="004B0883">
      <w:pPr>
        <w:pStyle w:val="005"/>
        <w:spacing w:before="120"/>
        <w:ind w:firstLine="480"/>
      </w:pPr>
      <w:r>
        <w:rPr>
          <w:rFonts w:hint="eastAsia"/>
        </w:rPr>
        <w:t>中证鹏元对本次可转债进行了评级，公司主体长期信用等级为</w:t>
      </w:r>
      <w:r>
        <w:rPr>
          <w:rFonts w:hint="eastAsia"/>
        </w:rPr>
        <w:t>A</w:t>
      </w:r>
      <w:r>
        <w:t>，债券信用等级为</w:t>
      </w:r>
      <w:r>
        <w:rPr>
          <w:rFonts w:hint="eastAsia"/>
        </w:rPr>
        <w:t>A</w:t>
      </w:r>
      <w:r>
        <w:rPr>
          <w:rFonts w:hint="eastAsia"/>
        </w:rPr>
        <w:t>，评级展望稳定</w:t>
      </w:r>
      <w:r>
        <w:t>。在本次债券存续期限内，</w:t>
      </w:r>
      <w:r>
        <w:rPr>
          <w:rFonts w:hint="eastAsia"/>
        </w:rPr>
        <w:t>中证鹏元</w:t>
      </w:r>
      <w:r>
        <w:t>将持续关注公司经营环境的变化、经营或财务状况的重大事项等因素，出具跟踪评级报告。如果由于公司外部经营环境、自身或评级标准变化等因素，导致本次债券的信用评级级别变化，将会增大投资者的风险，对投资人的利益产生一定影响。</w:t>
      </w:r>
    </w:p>
    <w:p w14:paraId="335E5952" w14:textId="77777777" w:rsidR="004B0883" w:rsidRDefault="004B0883">
      <w:pPr>
        <w:pStyle w:val="004"/>
        <w:spacing w:before="120" w:after="120"/>
        <w:ind w:firstLine="482"/>
      </w:pPr>
      <w:r>
        <w:rPr>
          <w:rFonts w:hint="eastAsia"/>
        </w:rPr>
        <w:t>4</w:t>
      </w:r>
      <w:r>
        <w:rPr>
          <w:rFonts w:hint="eastAsia"/>
        </w:rPr>
        <w:t>、本息兑付风险</w:t>
      </w:r>
    </w:p>
    <w:p w14:paraId="4595793A" w14:textId="77777777" w:rsidR="004B0883" w:rsidRDefault="004B0883">
      <w:pPr>
        <w:pStyle w:val="005"/>
        <w:spacing w:before="120"/>
        <w:ind w:firstLine="480"/>
      </w:pPr>
      <w:r>
        <w:rPr>
          <w:rFonts w:hint="eastAsia"/>
        </w:rPr>
        <w:t>在可转债的存续期限内，公司需按可转债的发行条款就可转债未转股的部分每年偿付利息及到期兑付本金，并承兑投资者可能提出的回售要求。如果受国家政策、法规、行业和市场等不可控因素的影响，公司的经营活动没有带来预期的回报，使得公司不能从预期的还款来源获得足够的资金，可能影响公司对可转债本息的按时足额兑付，以及对投资者回售要求的承兑能力。</w:t>
      </w:r>
    </w:p>
    <w:p w14:paraId="12588921" w14:textId="77777777" w:rsidR="004B0883" w:rsidRDefault="004B0883">
      <w:pPr>
        <w:pStyle w:val="004"/>
        <w:spacing w:before="120" w:after="120"/>
        <w:ind w:firstLine="482"/>
      </w:pPr>
      <w:r>
        <w:rPr>
          <w:rFonts w:hint="eastAsia"/>
        </w:rPr>
        <w:lastRenderedPageBreak/>
        <w:t>5</w:t>
      </w:r>
      <w:r>
        <w:rPr>
          <w:rFonts w:hint="eastAsia"/>
        </w:rPr>
        <w:t>、利率风险</w:t>
      </w:r>
    </w:p>
    <w:p w14:paraId="69916F68" w14:textId="77777777" w:rsidR="004B0883" w:rsidRDefault="004B0883">
      <w:pPr>
        <w:pStyle w:val="005"/>
        <w:spacing w:before="120"/>
        <w:ind w:firstLine="480"/>
      </w:pPr>
      <w:r>
        <w:rPr>
          <w:rFonts w:hint="eastAsia"/>
        </w:rPr>
        <w:t>本次可转债采用固定利率，在债券存续期内，当市场利率上升时，可转债的价值可能会相应降低，从而使投资者遭受损失。公司提醒投资者充分考虑市场利率波动可能引起的风险，以避免和减少损失。</w:t>
      </w:r>
    </w:p>
    <w:p w14:paraId="0B6BE05F" w14:textId="77777777" w:rsidR="004B0883" w:rsidRDefault="004B0883">
      <w:pPr>
        <w:pStyle w:val="004"/>
        <w:spacing w:before="120" w:after="120"/>
        <w:ind w:firstLine="482"/>
      </w:pPr>
      <w:r>
        <w:rPr>
          <w:rFonts w:hint="eastAsia"/>
        </w:rPr>
        <w:t>6</w:t>
      </w:r>
      <w:r>
        <w:rPr>
          <w:rFonts w:hint="eastAsia"/>
        </w:rPr>
        <w:t>、未设定担保的风险</w:t>
      </w:r>
    </w:p>
    <w:p w14:paraId="448B4C17" w14:textId="77777777" w:rsidR="004B0883" w:rsidRDefault="004B0883">
      <w:pPr>
        <w:pStyle w:val="005"/>
        <w:spacing w:before="120"/>
        <w:ind w:firstLine="480"/>
      </w:pPr>
      <w:r>
        <w:rPr>
          <w:rFonts w:hint="eastAsia"/>
        </w:rPr>
        <w:t>公司本次向不特定对象发行的可转债未设定担保，提请投资者注意本次可转债可能因未设定担保而存在兑付风险。</w:t>
      </w:r>
    </w:p>
    <w:p w14:paraId="2EF2F54F" w14:textId="77777777" w:rsidR="004B0883" w:rsidRDefault="004B0883">
      <w:pPr>
        <w:pStyle w:val="004"/>
        <w:spacing w:before="120" w:after="120"/>
        <w:ind w:firstLine="482"/>
      </w:pPr>
      <w:r>
        <w:rPr>
          <w:rFonts w:hint="eastAsia"/>
        </w:rPr>
        <w:t>7</w:t>
      </w:r>
      <w:r>
        <w:rPr>
          <w:rFonts w:hint="eastAsia"/>
        </w:rPr>
        <w:t>、转股价格向下修正的风险</w:t>
      </w:r>
    </w:p>
    <w:p w14:paraId="39B9A134" w14:textId="77777777" w:rsidR="004B0883" w:rsidRDefault="004B0883">
      <w:pPr>
        <w:pStyle w:val="005"/>
        <w:spacing w:before="120"/>
        <w:ind w:firstLine="480"/>
      </w:pPr>
      <w:r>
        <w:rPr>
          <w:rFonts w:hint="eastAsia"/>
        </w:rPr>
        <w:t>在本次发行的可转换公司债券存续期间，当公司股票在任意连续三十个交易日中至少有十五个交易日的收盘价低于当期转股价格的</w:t>
      </w:r>
      <w:r>
        <w:t>85%</w:t>
      </w:r>
      <w:r>
        <w:t>时，公司董事会有权提出转股价格向下修正方案并提交公司股东大会表决。上述方案须经出席会议的股东所持表决权的三分之二以上通过方可实施。股东大会进行表决时，持有本次发行的可转换公司债券的股东应当回避。修正后的转股价格应不低于本次股东大会召开日前二十个交易日公司股票交易均价和前一交易日均价</w:t>
      </w:r>
      <w:r>
        <w:rPr>
          <w:rFonts w:hint="eastAsia"/>
        </w:rPr>
        <w:t>之间的较高者</w:t>
      </w:r>
      <w:r>
        <w:t>。</w:t>
      </w:r>
    </w:p>
    <w:p w14:paraId="216A2900" w14:textId="77777777" w:rsidR="004B0883" w:rsidRDefault="004B0883">
      <w:pPr>
        <w:pStyle w:val="005"/>
        <w:spacing w:before="120"/>
        <w:ind w:firstLine="480"/>
      </w:pPr>
      <w:r>
        <w:rPr>
          <w:rFonts w:hint="eastAsia"/>
        </w:rPr>
        <w:t>本次可转债存续期限内，在满足本次可转债转股价格向下修正条件的情况下，公司董事会仍可能基于公司的实际情况、股价走势、市场因素等多重考虑，不提出转股价格向下调整方案；公司董事会审议通过本次可转债转股价格向下修正方案的，亦存在未能通过公司股东大会审议的可能。未来在触发转股价格修正条款时，转股价格是否向下修正存在不确定性。</w:t>
      </w:r>
    </w:p>
    <w:p w14:paraId="00B3A811" w14:textId="77777777" w:rsidR="004B0883" w:rsidRDefault="004B0883">
      <w:pPr>
        <w:pStyle w:val="005"/>
        <w:spacing w:before="120"/>
        <w:ind w:firstLine="480"/>
      </w:pPr>
      <w:r>
        <w:rPr>
          <w:rFonts w:hint="eastAsia"/>
        </w:rPr>
        <w:t>在本次发行的可转债存续期间，即使公司根据向下修正条款对转股价格进行修正，转股价格的修正幅度也将由于</w:t>
      </w:r>
      <w:r>
        <w:rPr>
          <w:rFonts w:ascii="宋体" w:hAnsi="宋体" w:hint="eastAsia"/>
        </w:rPr>
        <w:t>“</w:t>
      </w:r>
      <w:r>
        <w:rPr>
          <w:rFonts w:hint="eastAsia"/>
        </w:rPr>
        <w:t>修正后的转股价格应不低于该次股东大会召开日前二十个交易日公司股票交易均价和前一交易日公司股票交易均价</w:t>
      </w:r>
      <w:r>
        <w:rPr>
          <w:rFonts w:ascii="宋体" w:hAnsi="宋体" w:hint="eastAsia"/>
        </w:rPr>
        <w:t>”</w:t>
      </w:r>
      <w:r>
        <w:rPr>
          <w:rFonts w:hint="eastAsia"/>
        </w:rPr>
        <w:t>的规定而受到限制，修正幅度存在不确定性。</w:t>
      </w:r>
    </w:p>
    <w:p w14:paraId="07433719" w14:textId="77777777" w:rsidR="004B0883" w:rsidRDefault="004B0883">
      <w:pPr>
        <w:pStyle w:val="005"/>
        <w:spacing w:before="120"/>
        <w:ind w:firstLine="480"/>
      </w:pPr>
      <w:r>
        <w:rPr>
          <w:rFonts w:hint="eastAsia"/>
        </w:rPr>
        <w:t>如果公司股票在可转债发行后价格持续下跌，则存在公司未能及时向下修正转股价格或即使公司持续向下修正转股价格，但公司股票价格仍低于转股价格，导致本次发行的可转债转股价值发生重大不利变化，并进而可能导致出现可转债在转股期内回售或持有到期不能转股的风险。</w:t>
      </w:r>
    </w:p>
    <w:p w14:paraId="38A55FEC" w14:textId="77777777" w:rsidR="004B0883" w:rsidRDefault="004B0883">
      <w:pPr>
        <w:pStyle w:val="004"/>
        <w:spacing w:before="120" w:after="120"/>
        <w:ind w:firstLine="482"/>
      </w:pPr>
      <w:r>
        <w:rPr>
          <w:rFonts w:hint="eastAsia"/>
        </w:rPr>
        <w:lastRenderedPageBreak/>
        <w:t>8</w:t>
      </w:r>
      <w:r>
        <w:rPr>
          <w:rFonts w:hint="eastAsia"/>
        </w:rPr>
        <w:t>、提前赎回的风险</w:t>
      </w:r>
    </w:p>
    <w:p w14:paraId="3B5DBBA9" w14:textId="77777777" w:rsidR="004B0883" w:rsidRDefault="004B0883">
      <w:pPr>
        <w:pStyle w:val="005"/>
        <w:spacing w:before="120"/>
        <w:ind w:firstLine="480"/>
      </w:pPr>
      <w:r>
        <w:rPr>
          <w:rFonts w:hint="eastAsia"/>
        </w:rPr>
        <w:t>本次可转换公司债券设置了有条件赎回条款：</w:t>
      </w:r>
    </w:p>
    <w:p w14:paraId="15F5192A" w14:textId="77777777" w:rsidR="004B0883" w:rsidRDefault="004B0883">
      <w:pPr>
        <w:pStyle w:val="005"/>
        <w:spacing w:before="120"/>
        <w:ind w:firstLine="480"/>
      </w:pPr>
      <w:r>
        <w:rPr>
          <w:rFonts w:hint="eastAsia"/>
        </w:rPr>
        <w:t>在本次发行的可转债转股期内，当下述两种情形的任意一种出现时，公司有权决定按照债券面值加当期应计利息的价格赎回全部或部分未转股的可转债：（</w:t>
      </w:r>
      <w:r>
        <w:t>1</w:t>
      </w:r>
      <w:r>
        <w:t>）在转股期内，如果公司股票在任意连续三十个交易日中至少十五个交易日的收盘价格不低于当期转股价格的</w:t>
      </w:r>
      <w:r>
        <w:t>130%</w:t>
      </w:r>
      <w:r>
        <w:t>（含</w:t>
      </w:r>
      <w:r>
        <w:t>130%</w:t>
      </w:r>
      <w:r>
        <w:t>）；</w:t>
      </w:r>
      <w:r>
        <w:rPr>
          <w:rFonts w:hint="eastAsia"/>
        </w:rPr>
        <w:t>（</w:t>
      </w:r>
      <w:r>
        <w:t>2</w:t>
      </w:r>
      <w:r>
        <w:t>）当本次发行的可转债未转股余额不足</w:t>
      </w:r>
      <w:r>
        <w:t>3,000</w:t>
      </w:r>
      <w:r>
        <w:t>万元时。</w:t>
      </w:r>
    </w:p>
    <w:p w14:paraId="76D320C5" w14:textId="77777777" w:rsidR="004B0883" w:rsidRDefault="004B0883">
      <w:pPr>
        <w:pStyle w:val="005"/>
        <w:spacing w:before="120"/>
        <w:ind w:firstLine="480"/>
      </w:pPr>
      <w:r>
        <w:rPr>
          <w:rFonts w:hint="eastAsia"/>
        </w:rPr>
        <w:t>当期应计利息的计算公式为：</w:t>
      </w:r>
      <w:r>
        <w:t>IA=B×i×t/365</w:t>
      </w:r>
      <w:r>
        <w:rPr>
          <w:rFonts w:hint="eastAsia"/>
        </w:rPr>
        <w:t>。其中：</w:t>
      </w:r>
      <w:r>
        <w:t>IA</w:t>
      </w:r>
      <w:r>
        <w:t>指当期应计利息；</w:t>
      </w:r>
      <w:r>
        <w:t>B</w:t>
      </w:r>
      <w:r>
        <w:t>指本次发行的可转债持有人持有的将被赎回的可转债票面总金额；</w:t>
      </w:r>
      <w:r>
        <w:t>i</w:t>
      </w:r>
      <w:r>
        <w:t>指可转债当年票面利率；</w:t>
      </w:r>
      <w:r>
        <w:t>t</w:t>
      </w:r>
      <w:r>
        <w:t>指计息天数，即从上一个付息日起至本计息年度赎回日止的实际日历天数（算头不算尾）。</w:t>
      </w:r>
    </w:p>
    <w:p w14:paraId="1C9D0E78" w14:textId="77777777" w:rsidR="004B0883" w:rsidRDefault="004B0883">
      <w:pPr>
        <w:pStyle w:val="005"/>
        <w:spacing w:before="120"/>
        <w:ind w:firstLine="480"/>
      </w:pPr>
      <w:r>
        <w:rPr>
          <w:rFonts w:hint="eastAsia"/>
        </w:rPr>
        <w:t>若在前述三十个交易日内发生过转股价格调整的情形，则在调整前的交易日按调整前的转股价格和收盘价计算，调整后的交易日按调整后的转股价格和收盘价计算。</w:t>
      </w:r>
    </w:p>
    <w:p w14:paraId="5040D075" w14:textId="77777777" w:rsidR="004B0883" w:rsidRDefault="004B0883">
      <w:pPr>
        <w:pStyle w:val="005"/>
        <w:spacing w:before="120"/>
        <w:ind w:firstLine="480"/>
        <w:rPr>
          <w:rFonts w:hint="eastAsia"/>
        </w:rPr>
      </w:pPr>
      <w:r>
        <w:rPr>
          <w:rFonts w:hint="eastAsia"/>
        </w:rPr>
        <w:t>可转债的存续期内，在相关条件满足的情况下，如果公司行使了上述有条件赎回条款，可能促使本次可转债的投资者提前转股，从而导致投资者面临投资期限缩短、丧失未来预期利息收入的风险。</w:t>
      </w:r>
    </w:p>
    <w:p w14:paraId="618A018D" w14:textId="77777777" w:rsidR="004B0883" w:rsidRDefault="004B0883">
      <w:pPr>
        <w:pStyle w:val="003"/>
        <w:spacing w:before="120" w:after="120"/>
      </w:pPr>
      <w:r>
        <w:rPr>
          <w:rFonts w:hint="eastAsia"/>
        </w:rPr>
        <w:t>（二）</w:t>
      </w:r>
      <w:r>
        <w:t>募集资金投资项目产能消化风险</w:t>
      </w:r>
    </w:p>
    <w:p w14:paraId="066A7164" w14:textId="77777777" w:rsidR="004B0883" w:rsidRDefault="004B0883">
      <w:pPr>
        <w:pStyle w:val="005"/>
        <w:spacing w:before="120"/>
        <w:ind w:firstLine="480"/>
      </w:pPr>
      <w:r>
        <w:rPr>
          <w:rFonts w:hint="eastAsia"/>
        </w:rPr>
        <w:t>公司本次募集资金投资项目是经过对市场空间的分析和自身发展战略、在手订单的规划而设定的，预计本次募投项目新增产能可以得到合理消化。公司已基于自身在细分行业中的竞争力、拥有的客户基础和资源以及市场开发能力，对该等投资项目进行了必要性和可行性的充分研究和论证，但若公司不能有效执行消化新增产能的相关措施，或未来出现下游市场增长未及预期、公司市场开拓受阻或产业扩张过度等不利情形，公司将有可能面临新增产能无法完全消化的风险，以及募集资金投资项目投产后达不到预期收益甚至短期内无法盈利的风险，进而对经营业绩产生不利影响。</w:t>
      </w:r>
    </w:p>
    <w:p w14:paraId="3C8CC3C6" w14:textId="77777777" w:rsidR="004B0883" w:rsidRDefault="004B0883">
      <w:pPr>
        <w:pStyle w:val="003"/>
        <w:spacing w:before="120" w:after="120"/>
      </w:pPr>
      <w:r>
        <w:rPr>
          <w:rFonts w:hint="eastAsia"/>
        </w:rPr>
        <w:lastRenderedPageBreak/>
        <w:t>（三）</w:t>
      </w:r>
      <w:r>
        <w:t>市场竞争加剧风险</w:t>
      </w:r>
    </w:p>
    <w:p w14:paraId="7F3F507A" w14:textId="77777777" w:rsidR="004B0883" w:rsidRDefault="004B0883">
      <w:pPr>
        <w:pStyle w:val="005"/>
        <w:spacing w:before="120"/>
        <w:ind w:firstLine="480"/>
      </w:pPr>
      <w:r>
        <w:rPr>
          <w:rFonts w:hint="eastAsia"/>
        </w:rPr>
        <w:t>近几年，随着阀门产业的持续发展，行业景气度不断提升，越来越多的公司开始进入阀门行业。同时，国内现有的阀门企业也在行业快速发展的背景下，加大了产能建设，随着行业产能规模的不断扩大，阀门行业的竞争也将进一步加剧。虽然公司在技术、市场、产品品质、品牌和服务等方面在市场上有较强的竞争优势，但是随着市场竞争的加剧可能导致产品的终端销售价格下降，拉低公司产品平均毛利率，甚至出现结构性的产能过剩，进而对公司经营产生不利影响。</w:t>
      </w:r>
    </w:p>
    <w:p w14:paraId="3AFF5873" w14:textId="77777777" w:rsidR="004B0883" w:rsidRDefault="004B0883">
      <w:pPr>
        <w:pStyle w:val="003"/>
        <w:spacing w:before="120" w:after="120"/>
      </w:pPr>
      <w:bookmarkStart w:id="23" w:name="_Hlk154311544"/>
      <w:r>
        <w:rPr>
          <w:rFonts w:hint="eastAsia"/>
        </w:rPr>
        <w:t>（四）</w:t>
      </w:r>
      <w:r>
        <w:t>原材料价格波动风险</w:t>
      </w:r>
    </w:p>
    <w:p w14:paraId="70F0FEA1" w14:textId="77777777" w:rsidR="004B0883" w:rsidRDefault="004B0883">
      <w:pPr>
        <w:widowControl w:val="0"/>
        <w:spacing w:beforeLines="50" w:before="120" w:line="360" w:lineRule="auto"/>
        <w:ind w:firstLineChars="200" w:firstLine="480"/>
        <w:jc w:val="both"/>
        <w:rPr>
          <w:rFonts w:hint="eastAsia"/>
          <w:sz w:val="24"/>
          <w:szCs w:val="22"/>
        </w:rPr>
      </w:pPr>
      <w:bookmarkStart w:id="24" w:name="_Hlk155035571"/>
      <w:bookmarkEnd w:id="23"/>
      <w:r>
        <w:rPr>
          <w:rFonts w:hint="eastAsia"/>
          <w:sz w:val="24"/>
          <w:szCs w:val="22"/>
        </w:rPr>
        <w:t>公司生产经营所需的原材料主要包括铸件、加工件、生铁、废钢、阀杆和驱动头等，受钢铁、有色金属等大宗物资价格波动影响较大。报告期内，原材料成本占公司主营业务成本的比例较大。受市场供求、市场预期</w:t>
      </w:r>
      <w:r>
        <w:rPr>
          <w:rFonts w:ascii="楷体" w:eastAsia="楷体" w:hAnsi="楷体" w:hint="eastAsia"/>
          <w:b/>
          <w:sz w:val="24"/>
          <w:szCs w:val="28"/>
        </w:rPr>
        <w:t>和供应商自身经营状况</w:t>
      </w:r>
      <w:r>
        <w:rPr>
          <w:rFonts w:hint="eastAsia"/>
          <w:sz w:val="24"/>
          <w:szCs w:val="22"/>
        </w:rPr>
        <w:t>等多重因素影响，阀门原材料价格波动较大，对公司营业成本产生一定影响。公司已通过与供应商开展战略合作和签署长期订单等方式保障原材料供应稳定。</w:t>
      </w:r>
    </w:p>
    <w:p w14:paraId="686551EF"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虽然公司已建立了较为完善的供应链管理体系，但未来如果受国际政治经济形势、国家宏观调控政策及市场供求变动、市场预期</w:t>
      </w:r>
      <w:r>
        <w:rPr>
          <w:rFonts w:ascii="楷体" w:eastAsia="楷体" w:hAnsi="楷体" w:hint="eastAsia"/>
          <w:b/>
          <w:sz w:val="24"/>
          <w:szCs w:val="28"/>
        </w:rPr>
        <w:t>和供应商自身经营状况</w:t>
      </w:r>
      <w:r>
        <w:rPr>
          <w:rFonts w:hint="eastAsia"/>
          <w:sz w:val="24"/>
          <w:szCs w:val="22"/>
        </w:rPr>
        <w:t>等因素影响，发生上游原材料短缺或价格大幅上涨等情形，将使得公司不能及时采购生产经营所需的原材料或者采购价格较高，进而对公司的生产经营造成不利影响。</w:t>
      </w:r>
    </w:p>
    <w:bookmarkEnd w:id="24"/>
    <w:p w14:paraId="120529F3" w14:textId="77777777" w:rsidR="004B0883" w:rsidRDefault="004B0883">
      <w:pPr>
        <w:pStyle w:val="003"/>
        <w:spacing w:before="120" w:after="120"/>
      </w:pPr>
      <w:r>
        <w:rPr>
          <w:rFonts w:hint="eastAsia"/>
        </w:rPr>
        <w:t>（五）存货规模增长及存货跌价的风险</w:t>
      </w:r>
    </w:p>
    <w:p w14:paraId="6B2706DF" w14:textId="77777777" w:rsidR="004B0883" w:rsidRDefault="004B0883">
      <w:pPr>
        <w:widowControl w:val="0"/>
        <w:spacing w:beforeLines="50" w:before="120" w:line="360" w:lineRule="auto"/>
        <w:ind w:firstLineChars="200" w:firstLine="480"/>
        <w:jc w:val="both"/>
        <w:rPr>
          <w:sz w:val="24"/>
          <w:szCs w:val="22"/>
        </w:rPr>
      </w:pPr>
      <w:bookmarkStart w:id="25" w:name="_Hlk150771754"/>
      <w:bookmarkStart w:id="26" w:name="_Hlk139981098"/>
      <w:r>
        <w:rPr>
          <w:rFonts w:hint="eastAsia"/>
          <w:sz w:val="24"/>
          <w:szCs w:val="22"/>
        </w:rPr>
        <w:t>近年来，公司业务规模快速增长，导致存货规模相应增长。</w:t>
      </w:r>
      <w:r>
        <w:rPr>
          <w:rFonts w:hint="eastAsia"/>
          <w:sz w:val="24"/>
          <w:szCs w:val="22"/>
        </w:rPr>
        <w:t>2020</w:t>
      </w:r>
      <w:r>
        <w:rPr>
          <w:rFonts w:hint="eastAsia"/>
          <w:sz w:val="24"/>
          <w:szCs w:val="22"/>
        </w:rPr>
        <w:t>年末、</w:t>
      </w:r>
      <w:r>
        <w:rPr>
          <w:rFonts w:hint="eastAsia"/>
          <w:sz w:val="24"/>
          <w:szCs w:val="22"/>
        </w:rPr>
        <w:t>2021</w:t>
      </w:r>
      <w:r>
        <w:rPr>
          <w:rFonts w:hint="eastAsia"/>
          <w:sz w:val="24"/>
          <w:szCs w:val="22"/>
        </w:rPr>
        <w:t>年末、</w:t>
      </w:r>
      <w:r>
        <w:rPr>
          <w:rFonts w:hint="eastAsia"/>
          <w:sz w:val="24"/>
          <w:szCs w:val="22"/>
        </w:rPr>
        <w:t>2022</w:t>
      </w:r>
      <w:r>
        <w:rPr>
          <w:rFonts w:hint="eastAsia"/>
          <w:sz w:val="24"/>
          <w:szCs w:val="22"/>
        </w:rPr>
        <w:t>年末和</w:t>
      </w:r>
      <w:r>
        <w:rPr>
          <w:rFonts w:hint="eastAsia"/>
          <w:sz w:val="24"/>
          <w:szCs w:val="22"/>
        </w:rPr>
        <w:t>2023</w:t>
      </w:r>
      <w:r>
        <w:rPr>
          <w:rFonts w:hint="eastAsia"/>
          <w:sz w:val="24"/>
          <w:szCs w:val="22"/>
        </w:rPr>
        <w:t>年</w:t>
      </w:r>
      <w:r>
        <w:rPr>
          <w:rFonts w:hint="eastAsia"/>
          <w:sz w:val="24"/>
          <w:szCs w:val="22"/>
        </w:rPr>
        <w:t>9</w:t>
      </w:r>
      <w:r>
        <w:rPr>
          <w:rFonts w:hint="eastAsia"/>
          <w:sz w:val="24"/>
          <w:szCs w:val="22"/>
        </w:rPr>
        <w:t>月末，公司存货账面价值分别为</w:t>
      </w:r>
      <w:r>
        <w:rPr>
          <w:rFonts w:hint="eastAsia"/>
          <w:sz w:val="24"/>
          <w:szCs w:val="22"/>
        </w:rPr>
        <w:t>7,421.84</w:t>
      </w:r>
      <w:r>
        <w:rPr>
          <w:rFonts w:hint="eastAsia"/>
          <w:sz w:val="24"/>
          <w:szCs w:val="22"/>
        </w:rPr>
        <w:t>万元、</w:t>
      </w:r>
      <w:r>
        <w:rPr>
          <w:rFonts w:hint="eastAsia"/>
          <w:sz w:val="24"/>
          <w:szCs w:val="22"/>
        </w:rPr>
        <w:t>11,252.22</w:t>
      </w:r>
      <w:r>
        <w:rPr>
          <w:rFonts w:hint="eastAsia"/>
          <w:sz w:val="24"/>
          <w:szCs w:val="22"/>
        </w:rPr>
        <w:t>万元、</w:t>
      </w:r>
      <w:r>
        <w:rPr>
          <w:rFonts w:hint="eastAsia"/>
          <w:sz w:val="24"/>
          <w:szCs w:val="22"/>
        </w:rPr>
        <w:t>11,891.25</w:t>
      </w:r>
      <w:r>
        <w:rPr>
          <w:rFonts w:hint="eastAsia"/>
          <w:sz w:val="24"/>
          <w:szCs w:val="22"/>
        </w:rPr>
        <w:t>万元和</w:t>
      </w:r>
      <w:r>
        <w:rPr>
          <w:rFonts w:hint="eastAsia"/>
          <w:sz w:val="24"/>
          <w:szCs w:val="22"/>
        </w:rPr>
        <w:t>9,880.80</w:t>
      </w:r>
      <w:r>
        <w:rPr>
          <w:rFonts w:hint="eastAsia"/>
          <w:sz w:val="24"/>
          <w:szCs w:val="22"/>
        </w:rPr>
        <w:t>万元，占各期末流动资产的比例分别为</w:t>
      </w:r>
      <w:r>
        <w:rPr>
          <w:rFonts w:hint="eastAsia"/>
          <w:sz w:val="24"/>
          <w:szCs w:val="22"/>
        </w:rPr>
        <w:t>13.35%</w:t>
      </w:r>
      <w:r>
        <w:rPr>
          <w:rFonts w:hint="eastAsia"/>
          <w:sz w:val="24"/>
          <w:szCs w:val="22"/>
        </w:rPr>
        <w:t>、</w:t>
      </w:r>
      <w:r>
        <w:rPr>
          <w:rFonts w:hint="eastAsia"/>
          <w:sz w:val="24"/>
          <w:szCs w:val="22"/>
        </w:rPr>
        <w:t>19.43%</w:t>
      </w:r>
      <w:r>
        <w:rPr>
          <w:rFonts w:hint="eastAsia"/>
          <w:sz w:val="24"/>
          <w:szCs w:val="22"/>
        </w:rPr>
        <w:t>、</w:t>
      </w:r>
      <w:r>
        <w:rPr>
          <w:rFonts w:hint="eastAsia"/>
          <w:sz w:val="24"/>
          <w:szCs w:val="22"/>
        </w:rPr>
        <w:t>17.26%</w:t>
      </w:r>
      <w:r>
        <w:rPr>
          <w:rFonts w:hint="eastAsia"/>
          <w:sz w:val="24"/>
          <w:szCs w:val="22"/>
        </w:rPr>
        <w:t>和</w:t>
      </w:r>
      <w:r>
        <w:rPr>
          <w:rFonts w:hint="eastAsia"/>
          <w:sz w:val="24"/>
          <w:szCs w:val="22"/>
        </w:rPr>
        <w:t>14.59%</w:t>
      </w:r>
      <w:bookmarkEnd w:id="25"/>
      <w:r>
        <w:rPr>
          <w:rFonts w:hint="eastAsia"/>
          <w:sz w:val="24"/>
          <w:szCs w:val="22"/>
        </w:rPr>
        <w:t>，主要由原材料、在产品、自制半成品、周转材料和库存商品等组成。公司存货规模增长会占用一定的流动资金，若不能有效进行存货管理，将可能导致公司运营效率降低的风险。适量的存货有助于保障公司生产经营的稳定性，但如果未来原材料、库存商品价格出</w:t>
      </w:r>
      <w:r>
        <w:rPr>
          <w:rFonts w:hint="eastAsia"/>
          <w:sz w:val="24"/>
          <w:szCs w:val="22"/>
        </w:rPr>
        <w:lastRenderedPageBreak/>
        <w:t>现大幅下降或者供需发生不利变化，公司将面临存货减值的风险，进而对公司经营业绩产生不利影响</w:t>
      </w:r>
      <w:bookmarkEnd w:id="26"/>
      <w:r>
        <w:rPr>
          <w:rFonts w:hint="eastAsia"/>
          <w:sz w:val="24"/>
          <w:szCs w:val="22"/>
        </w:rPr>
        <w:t>。</w:t>
      </w:r>
    </w:p>
    <w:p w14:paraId="533F90AC" w14:textId="77777777" w:rsidR="004B0883" w:rsidRDefault="004B0883">
      <w:pPr>
        <w:pStyle w:val="003"/>
        <w:spacing w:before="120" w:after="120"/>
      </w:pPr>
      <w:r>
        <w:rPr>
          <w:rFonts w:hint="eastAsia"/>
        </w:rPr>
        <w:t>（六）宏观经济波动与产业政策变化的风险</w:t>
      </w:r>
    </w:p>
    <w:p w14:paraId="489DF378" w14:textId="77777777" w:rsidR="004B0883" w:rsidRDefault="004B0883">
      <w:pPr>
        <w:pStyle w:val="005"/>
        <w:spacing w:before="120"/>
        <w:ind w:firstLine="480"/>
      </w:pPr>
      <w:bookmarkStart w:id="27" w:name="_Hlk139981151"/>
      <w:r>
        <w:rPr>
          <w:rFonts w:hint="eastAsia"/>
        </w:rPr>
        <w:t>公司自成立以来一直专注于阀门的研发、生产和销售。近年来，阀门行业在国家产业政策的大力支持下，取得了快速的发展，但未来如果内外部经济环境和产业政策环境出现重大不利变化，将对阀门行业的发展产生不利影响，进而影响公司的经营业绩</w:t>
      </w:r>
      <w:bookmarkEnd w:id="27"/>
      <w:r>
        <w:rPr>
          <w:rFonts w:hint="eastAsia"/>
        </w:rPr>
        <w:t>。</w:t>
      </w:r>
    </w:p>
    <w:p w14:paraId="6E922C64" w14:textId="77777777" w:rsidR="004B0883" w:rsidRDefault="004B0883">
      <w:pPr>
        <w:pStyle w:val="003"/>
        <w:spacing w:before="120" w:after="120"/>
      </w:pPr>
      <w:r>
        <w:rPr>
          <w:rFonts w:hint="eastAsia"/>
        </w:rPr>
        <w:t>（七）国际贸易政策变化的风险</w:t>
      </w:r>
    </w:p>
    <w:p w14:paraId="78BDE472" w14:textId="77777777" w:rsidR="004B0883" w:rsidRDefault="004B0883">
      <w:pPr>
        <w:widowControl w:val="0"/>
        <w:spacing w:beforeLines="50" w:before="120" w:line="360" w:lineRule="auto"/>
        <w:ind w:firstLineChars="200" w:firstLine="480"/>
        <w:jc w:val="both"/>
        <w:rPr>
          <w:sz w:val="24"/>
          <w:szCs w:val="22"/>
        </w:rPr>
      </w:pPr>
      <w:bookmarkStart w:id="28" w:name="_Toc82518218"/>
      <w:bookmarkStart w:id="29" w:name="_Toc42001306"/>
      <w:bookmarkStart w:id="30" w:name="_Toc152320770"/>
      <w:r>
        <w:rPr>
          <w:rFonts w:hint="eastAsia"/>
          <w:sz w:val="24"/>
          <w:szCs w:val="22"/>
        </w:rPr>
        <w:t>报告期内，公司境外销售收入分别为</w:t>
      </w:r>
      <w:r>
        <w:rPr>
          <w:rFonts w:hint="eastAsia"/>
          <w:sz w:val="24"/>
          <w:szCs w:val="22"/>
        </w:rPr>
        <w:t>27,604.16</w:t>
      </w:r>
      <w:r>
        <w:rPr>
          <w:rFonts w:hint="eastAsia"/>
          <w:sz w:val="24"/>
          <w:szCs w:val="22"/>
        </w:rPr>
        <w:t>万元、</w:t>
      </w:r>
      <w:r>
        <w:rPr>
          <w:rFonts w:hint="eastAsia"/>
          <w:sz w:val="24"/>
          <w:szCs w:val="22"/>
        </w:rPr>
        <w:t>31,275.26</w:t>
      </w:r>
      <w:r>
        <w:rPr>
          <w:rFonts w:hint="eastAsia"/>
          <w:sz w:val="24"/>
          <w:szCs w:val="22"/>
        </w:rPr>
        <w:t>万元、</w:t>
      </w:r>
      <w:r>
        <w:rPr>
          <w:rFonts w:hint="eastAsia"/>
          <w:sz w:val="24"/>
          <w:szCs w:val="22"/>
        </w:rPr>
        <w:t>45,118.28</w:t>
      </w:r>
      <w:r>
        <w:rPr>
          <w:rFonts w:hint="eastAsia"/>
          <w:sz w:val="24"/>
          <w:szCs w:val="22"/>
        </w:rPr>
        <w:t>万元和</w:t>
      </w:r>
      <w:r>
        <w:rPr>
          <w:rFonts w:hint="eastAsia"/>
          <w:sz w:val="24"/>
          <w:szCs w:val="22"/>
        </w:rPr>
        <w:t>32,</w:t>
      </w:r>
      <w:r>
        <w:rPr>
          <w:sz w:val="24"/>
          <w:szCs w:val="22"/>
        </w:rPr>
        <w:t>056</w:t>
      </w:r>
      <w:r>
        <w:rPr>
          <w:rFonts w:hint="eastAsia"/>
          <w:sz w:val="24"/>
          <w:szCs w:val="22"/>
        </w:rPr>
        <w:t>.</w:t>
      </w:r>
      <w:r>
        <w:rPr>
          <w:sz w:val="24"/>
          <w:szCs w:val="22"/>
        </w:rPr>
        <w:t>10</w:t>
      </w:r>
      <w:r>
        <w:rPr>
          <w:rFonts w:hint="eastAsia"/>
          <w:sz w:val="24"/>
          <w:szCs w:val="22"/>
        </w:rPr>
        <w:t>万元，占营业收入的比例分别为</w:t>
      </w:r>
      <w:r>
        <w:rPr>
          <w:rFonts w:hint="eastAsia"/>
          <w:sz w:val="24"/>
          <w:szCs w:val="22"/>
        </w:rPr>
        <w:t>80.11%</w:t>
      </w:r>
      <w:r>
        <w:rPr>
          <w:rFonts w:hint="eastAsia"/>
          <w:sz w:val="24"/>
          <w:szCs w:val="22"/>
        </w:rPr>
        <w:t>、</w:t>
      </w:r>
      <w:r>
        <w:rPr>
          <w:rFonts w:hint="eastAsia"/>
          <w:sz w:val="24"/>
          <w:szCs w:val="22"/>
        </w:rPr>
        <w:t>75.33%</w:t>
      </w:r>
      <w:r>
        <w:rPr>
          <w:rFonts w:hint="eastAsia"/>
          <w:sz w:val="24"/>
          <w:szCs w:val="22"/>
        </w:rPr>
        <w:t>、</w:t>
      </w:r>
      <w:r>
        <w:rPr>
          <w:rFonts w:hint="eastAsia"/>
          <w:sz w:val="24"/>
          <w:szCs w:val="22"/>
        </w:rPr>
        <w:t>83.53%</w:t>
      </w:r>
      <w:r>
        <w:rPr>
          <w:rFonts w:hint="eastAsia"/>
          <w:sz w:val="24"/>
          <w:szCs w:val="22"/>
        </w:rPr>
        <w:t>和</w:t>
      </w:r>
      <w:r>
        <w:rPr>
          <w:rFonts w:hint="eastAsia"/>
          <w:sz w:val="24"/>
          <w:szCs w:val="22"/>
        </w:rPr>
        <w:t>80.32%</w:t>
      </w:r>
      <w:r>
        <w:rPr>
          <w:rFonts w:hint="eastAsia"/>
          <w:sz w:val="24"/>
          <w:szCs w:val="22"/>
        </w:rPr>
        <w:t>。公司出口产品主要销往欧洲、亚洲、北美洲等境外地区，目前国际上涉及阀门的进口政策较为宽松，重大贸易摩擦情况较少发生。但近年来，随着各国经济发展增速的不同变化，各国政府针对进出口贸易的不同类别陆续实施相关贸易保护政策，不排除未来相关国家对阀门的进口贸易政策和产品认证要求等方面发生变化的可能性，进而对公司的经营带来不利影响。</w:t>
      </w:r>
    </w:p>
    <w:p w14:paraId="27F1EDD0" w14:textId="77777777" w:rsidR="004B0883" w:rsidRDefault="004B0883">
      <w:pPr>
        <w:widowControl w:val="0"/>
        <w:spacing w:beforeLines="50" w:before="120" w:line="360" w:lineRule="auto"/>
        <w:ind w:firstLineChars="200" w:firstLine="482"/>
        <w:jc w:val="both"/>
        <w:rPr>
          <w:rFonts w:ascii="楷体" w:eastAsia="楷体" w:hAnsi="楷体"/>
          <w:b/>
          <w:sz w:val="24"/>
          <w:szCs w:val="24"/>
        </w:rPr>
      </w:pPr>
      <w:r>
        <w:rPr>
          <w:rFonts w:ascii="楷体" w:eastAsia="楷体" w:hAnsi="楷体"/>
          <w:b/>
          <w:sz w:val="24"/>
          <w:szCs w:val="24"/>
        </w:rPr>
        <w:t>目前除美国外，其他主要外销所在国家和地区对公司产品的进口均未设置特殊的关税政策。销往美国时会被额外加征关税，本轮中美双方贸易摩擦开始后，美国多次宣布对中国商品加征进口关税，其公布的征税清单中包括部分公司产品，报告期内公司销往美国的主要产品属于加征关税的范围，产品不同对应的额外加征税率不同，加征比例为10%-30%之间，对公司出口产品的盈利能力产生一定的影响。报告期内，公司出口到美国的销售收入分别为7,185.85万元、9,893.70万元、15,703.43万元</w:t>
      </w:r>
      <w:r>
        <w:rPr>
          <w:rFonts w:ascii="楷体" w:eastAsia="楷体" w:hAnsi="楷体" w:hint="eastAsia"/>
          <w:b/>
          <w:sz w:val="24"/>
          <w:szCs w:val="24"/>
        </w:rPr>
        <w:t>和</w:t>
      </w:r>
      <w:r>
        <w:rPr>
          <w:rFonts w:ascii="楷体" w:eastAsia="楷体" w:hAnsi="楷体"/>
          <w:b/>
          <w:sz w:val="24"/>
          <w:szCs w:val="24"/>
        </w:rPr>
        <w:t>11,903.08万元，占境外收入的比例分别为26.03%、31.63%、34.81%</w:t>
      </w:r>
      <w:r>
        <w:rPr>
          <w:rFonts w:ascii="楷体" w:eastAsia="楷体" w:hAnsi="楷体" w:hint="eastAsia"/>
          <w:b/>
          <w:sz w:val="24"/>
          <w:szCs w:val="24"/>
        </w:rPr>
        <w:t>和</w:t>
      </w:r>
      <w:r>
        <w:rPr>
          <w:rFonts w:ascii="楷体" w:eastAsia="楷体" w:hAnsi="楷体"/>
          <w:b/>
          <w:sz w:val="24"/>
          <w:szCs w:val="24"/>
        </w:rPr>
        <w:t>37.13%。若未来中美贸易摩擦加剧或其他进口国家及地区贸易政策发生变化，或下游客户受国际贸易摩擦影响导致产能需求下降，则将在很大程度上提高公司产品的出口成本和贸易门槛，从而使得公司的境外订单减少，公司出口业务可能受到不利影响，进而影响公司的经营业绩。</w:t>
      </w:r>
    </w:p>
    <w:p w14:paraId="073D1CE8" w14:textId="77777777" w:rsidR="004B0883" w:rsidRDefault="004B0883">
      <w:pPr>
        <w:pStyle w:val="003"/>
        <w:spacing w:before="120" w:after="120"/>
      </w:pPr>
      <w:r>
        <w:rPr>
          <w:rFonts w:hint="eastAsia"/>
        </w:rPr>
        <w:lastRenderedPageBreak/>
        <w:t>（八）外销收入下滑的风险</w:t>
      </w:r>
    </w:p>
    <w:p w14:paraId="4E8AA9AD" w14:textId="77777777" w:rsidR="004B0883" w:rsidRDefault="004B0883" w:rsidP="005A5153">
      <w:pPr>
        <w:widowControl w:val="0"/>
        <w:spacing w:beforeLines="50" w:before="120" w:line="360" w:lineRule="auto"/>
        <w:ind w:firstLineChars="200" w:firstLine="482"/>
        <w:jc w:val="both"/>
        <w:rPr>
          <w:rFonts w:ascii="楷体" w:eastAsia="楷体" w:hAnsi="楷体"/>
          <w:b/>
          <w:sz w:val="24"/>
          <w:szCs w:val="24"/>
        </w:rPr>
      </w:pPr>
      <w:r>
        <w:rPr>
          <w:rFonts w:ascii="楷体" w:eastAsia="楷体" w:hAnsi="楷体" w:hint="eastAsia"/>
          <w:b/>
          <w:sz w:val="24"/>
          <w:szCs w:val="24"/>
        </w:rPr>
        <w:t>报告期内，公司境外销售收入分别为27,604.16万元、31,275.26万元、45,118.28万元和32,056.10万元，占营业收入的比例分别为80.11%、75.33%、83.53%和80.32%。公司出口产品主要销往欧洲、亚洲、北美洲等境外地区，境外销售是公司收入的重要来源，但公司外销收入可能面临进口国政策法规变动、市场竞争激烈、贸易摩擦、受相关国家或地区管制等因素影响，存在外销收入下降的风险。</w:t>
      </w:r>
    </w:p>
    <w:p w14:paraId="389C30EF" w14:textId="77777777" w:rsidR="004B0883" w:rsidRDefault="004B0883">
      <w:pPr>
        <w:pStyle w:val="001"/>
        <w:spacing w:before="120" w:after="120"/>
        <w:rPr>
          <w:rFonts w:hint="eastAsia"/>
          <w:szCs w:val="24"/>
        </w:rPr>
      </w:pPr>
      <w:r>
        <w:rPr>
          <w:rFonts w:hint="eastAsia"/>
        </w:rPr>
        <w:lastRenderedPageBreak/>
        <w:t>目</w:t>
      </w:r>
      <w:r>
        <w:rPr>
          <w:rFonts w:hint="eastAsia"/>
        </w:rPr>
        <w:t xml:space="preserve">  </w:t>
      </w:r>
      <w:r>
        <w:rPr>
          <w:rFonts w:hint="eastAsia"/>
        </w:rPr>
        <w:t>录</w:t>
      </w:r>
      <w:bookmarkEnd w:id="28"/>
      <w:bookmarkEnd w:id="29"/>
      <w:bookmarkEnd w:id="30"/>
    </w:p>
    <w:p w14:paraId="5B0E078E" w14:textId="77777777" w:rsidR="004B0883" w:rsidRDefault="004B0883">
      <w:pPr>
        <w:pStyle w:val="TOC1"/>
        <w:rPr>
          <w:rFonts w:ascii="Calibri" w:hAnsi="Calibri"/>
          <w:b w:val="0"/>
          <w:noProof/>
          <w:sz w:val="21"/>
          <w:szCs w:val="22"/>
          <w:lang w:val="en-US" w:eastAsia="zh-CN"/>
        </w:rPr>
      </w:pPr>
      <w:r>
        <w:rPr>
          <w:b w:val="0"/>
          <w:szCs w:val="24"/>
        </w:rPr>
        <w:fldChar w:fldCharType="begin"/>
      </w:r>
      <w:r>
        <w:rPr>
          <w:b w:val="0"/>
          <w:szCs w:val="24"/>
        </w:rPr>
        <w:instrText xml:space="preserve"> TOC \o "1-2" \h \z \u </w:instrText>
      </w:r>
      <w:r>
        <w:rPr>
          <w:b w:val="0"/>
          <w:szCs w:val="24"/>
        </w:rPr>
        <w:fldChar w:fldCharType="separate"/>
      </w:r>
      <w:hyperlink w:anchor="_Toc152320763" w:history="1">
        <w:r>
          <w:rPr>
            <w:rStyle w:val="afff8"/>
            <w:rFonts w:hint="eastAsia"/>
            <w:noProof/>
            <w:lang w:val="en-US" w:eastAsia="zh-CN"/>
          </w:rPr>
          <w:t>声</w:t>
        </w:r>
        <w:r>
          <w:rPr>
            <w:rStyle w:val="afff8"/>
            <w:noProof/>
            <w:lang w:val="en-US" w:eastAsia="zh-CN"/>
          </w:rPr>
          <w:t xml:space="preserve">  </w:t>
        </w:r>
        <w:r>
          <w:rPr>
            <w:rStyle w:val="afff8"/>
            <w:rFonts w:hint="eastAsia"/>
            <w:noProof/>
            <w:lang w:val="en-US" w:eastAsia="zh-CN"/>
          </w:rPr>
          <w:t>明</w:t>
        </w:r>
        <w:r>
          <w:rPr>
            <w:noProof/>
            <w:lang w:val="en-US" w:eastAsia="zh-CN"/>
          </w:rPr>
          <w:tab/>
        </w:r>
        <w:r>
          <w:rPr>
            <w:noProof/>
            <w:lang w:val="en-US" w:eastAsia="zh-CN"/>
          </w:rPr>
          <w:fldChar w:fldCharType="begin"/>
        </w:r>
        <w:r>
          <w:rPr>
            <w:noProof/>
            <w:lang w:val="en-US" w:eastAsia="zh-CN"/>
          </w:rPr>
          <w:instrText xml:space="preserve"> PAGEREF _Toc152320763 \h </w:instrText>
        </w:r>
        <w:r w:rsidR="005A5153">
          <w:rPr>
            <w:noProof/>
            <w:lang w:val="en-US" w:eastAsia="zh-CN"/>
          </w:rPr>
        </w:r>
        <w:r>
          <w:rPr>
            <w:noProof/>
            <w:lang w:val="en-US" w:eastAsia="zh-CN"/>
          </w:rPr>
          <w:fldChar w:fldCharType="separate"/>
        </w:r>
        <w:r w:rsidR="00DF1733">
          <w:rPr>
            <w:noProof/>
            <w:lang w:val="en-US" w:eastAsia="zh-CN"/>
          </w:rPr>
          <w:t>1</w:t>
        </w:r>
        <w:r>
          <w:rPr>
            <w:noProof/>
            <w:lang w:val="en-US" w:eastAsia="zh-CN"/>
          </w:rPr>
          <w:fldChar w:fldCharType="end"/>
        </w:r>
      </w:hyperlink>
    </w:p>
    <w:p w14:paraId="4444BE68" w14:textId="77777777" w:rsidR="004B0883" w:rsidRDefault="004B0883">
      <w:pPr>
        <w:pStyle w:val="TOC1"/>
        <w:rPr>
          <w:rFonts w:ascii="Calibri" w:hAnsi="Calibri"/>
          <w:b w:val="0"/>
          <w:noProof/>
          <w:sz w:val="21"/>
          <w:szCs w:val="22"/>
          <w:lang w:val="en-US" w:eastAsia="zh-CN"/>
        </w:rPr>
      </w:pPr>
      <w:hyperlink w:anchor="_Toc152320764" w:history="1">
        <w:r>
          <w:rPr>
            <w:rStyle w:val="afff8"/>
            <w:rFonts w:hint="eastAsia"/>
            <w:noProof/>
            <w:lang w:val="en-US" w:eastAsia="zh-CN"/>
          </w:rPr>
          <w:t>重大事项提示</w:t>
        </w:r>
        <w:r>
          <w:rPr>
            <w:noProof/>
            <w:lang w:val="en-US" w:eastAsia="zh-CN"/>
          </w:rPr>
          <w:tab/>
        </w:r>
        <w:r>
          <w:rPr>
            <w:noProof/>
            <w:lang w:val="en-US" w:eastAsia="zh-CN"/>
          </w:rPr>
          <w:fldChar w:fldCharType="begin"/>
        </w:r>
        <w:r>
          <w:rPr>
            <w:noProof/>
            <w:lang w:val="en-US" w:eastAsia="zh-CN"/>
          </w:rPr>
          <w:instrText xml:space="preserve"> PAGEREF _Toc152320764 \h </w:instrText>
        </w:r>
        <w:r w:rsidR="005A5153">
          <w:rPr>
            <w:noProof/>
            <w:lang w:val="en-US" w:eastAsia="zh-CN"/>
          </w:rPr>
        </w:r>
        <w:r>
          <w:rPr>
            <w:noProof/>
            <w:lang w:val="en-US" w:eastAsia="zh-CN"/>
          </w:rPr>
          <w:fldChar w:fldCharType="separate"/>
        </w:r>
        <w:r w:rsidR="00DF1733">
          <w:rPr>
            <w:noProof/>
            <w:lang w:val="en-US" w:eastAsia="zh-CN"/>
          </w:rPr>
          <w:t>2</w:t>
        </w:r>
        <w:r>
          <w:rPr>
            <w:noProof/>
            <w:lang w:val="en-US" w:eastAsia="zh-CN"/>
          </w:rPr>
          <w:fldChar w:fldCharType="end"/>
        </w:r>
      </w:hyperlink>
    </w:p>
    <w:p w14:paraId="1C49843C" w14:textId="77777777" w:rsidR="004B0883" w:rsidRDefault="004B0883">
      <w:pPr>
        <w:pStyle w:val="TOC2"/>
        <w:ind w:left="420"/>
        <w:rPr>
          <w:rFonts w:ascii="Calibri" w:hAnsi="Calibri"/>
          <w:noProof/>
          <w:sz w:val="21"/>
          <w:szCs w:val="22"/>
          <w:lang w:val="en-US" w:eastAsia="zh-CN"/>
        </w:rPr>
      </w:pPr>
      <w:hyperlink w:anchor="_Toc152320765" w:history="1">
        <w:r>
          <w:rPr>
            <w:rStyle w:val="afff8"/>
            <w:rFonts w:hint="eastAsia"/>
            <w:noProof/>
            <w:lang w:val="en-US" w:eastAsia="zh-CN"/>
          </w:rPr>
          <w:t>一、关于本次可转债发行符合发行条件的说明</w:t>
        </w:r>
        <w:r>
          <w:rPr>
            <w:noProof/>
            <w:lang w:val="en-US" w:eastAsia="zh-CN"/>
          </w:rPr>
          <w:tab/>
        </w:r>
        <w:r>
          <w:rPr>
            <w:noProof/>
            <w:lang w:val="en-US" w:eastAsia="zh-CN"/>
          </w:rPr>
          <w:fldChar w:fldCharType="begin"/>
        </w:r>
        <w:r>
          <w:rPr>
            <w:noProof/>
            <w:lang w:val="en-US" w:eastAsia="zh-CN"/>
          </w:rPr>
          <w:instrText xml:space="preserve"> PAGEREF _Toc152320765 \h </w:instrText>
        </w:r>
        <w:r w:rsidR="005A5153">
          <w:rPr>
            <w:noProof/>
            <w:lang w:val="en-US" w:eastAsia="zh-CN"/>
          </w:rPr>
        </w:r>
        <w:r>
          <w:rPr>
            <w:noProof/>
            <w:lang w:val="en-US" w:eastAsia="zh-CN"/>
          </w:rPr>
          <w:fldChar w:fldCharType="separate"/>
        </w:r>
        <w:r w:rsidR="00DF1733">
          <w:rPr>
            <w:noProof/>
            <w:lang w:val="en-US" w:eastAsia="zh-CN"/>
          </w:rPr>
          <w:t>2</w:t>
        </w:r>
        <w:r>
          <w:rPr>
            <w:noProof/>
            <w:lang w:val="en-US" w:eastAsia="zh-CN"/>
          </w:rPr>
          <w:fldChar w:fldCharType="end"/>
        </w:r>
      </w:hyperlink>
    </w:p>
    <w:p w14:paraId="4B62AD37" w14:textId="77777777" w:rsidR="004B0883" w:rsidRDefault="004B0883">
      <w:pPr>
        <w:pStyle w:val="TOC2"/>
        <w:ind w:left="420"/>
        <w:rPr>
          <w:rFonts w:ascii="Calibri" w:hAnsi="Calibri"/>
          <w:noProof/>
          <w:sz w:val="21"/>
          <w:szCs w:val="22"/>
          <w:lang w:val="en-US" w:eastAsia="zh-CN"/>
        </w:rPr>
      </w:pPr>
      <w:hyperlink w:anchor="_Toc152320766" w:history="1">
        <w:r>
          <w:rPr>
            <w:rStyle w:val="afff8"/>
            <w:rFonts w:hint="eastAsia"/>
            <w:noProof/>
            <w:lang w:val="en-US" w:eastAsia="zh-CN"/>
          </w:rPr>
          <w:t>二、可转换公司债券投资风险</w:t>
        </w:r>
        <w:r>
          <w:rPr>
            <w:noProof/>
            <w:lang w:val="en-US" w:eastAsia="zh-CN"/>
          </w:rPr>
          <w:tab/>
        </w:r>
        <w:r>
          <w:rPr>
            <w:noProof/>
            <w:lang w:val="en-US" w:eastAsia="zh-CN"/>
          </w:rPr>
          <w:fldChar w:fldCharType="begin"/>
        </w:r>
        <w:r>
          <w:rPr>
            <w:noProof/>
            <w:lang w:val="en-US" w:eastAsia="zh-CN"/>
          </w:rPr>
          <w:instrText xml:space="preserve"> PAGEREF _Toc152320766 \h </w:instrText>
        </w:r>
        <w:r w:rsidR="005A5153">
          <w:rPr>
            <w:noProof/>
            <w:lang w:val="en-US" w:eastAsia="zh-CN"/>
          </w:rPr>
        </w:r>
        <w:r>
          <w:rPr>
            <w:noProof/>
            <w:lang w:val="en-US" w:eastAsia="zh-CN"/>
          </w:rPr>
          <w:fldChar w:fldCharType="separate"/>
        </w:r>
        <w:r w:rsidR="00DF1733">
          <w:rPr>
            <w:noProof/>
            <w:lang w:val="en-US" w:eastAsia="zh-CN"/>
          </w:rPr>
          <w:t>2</w:t>
        </w:r>
        <w:r>
          <w:rPr>
            <w:noProof/>
            <w:lang w:val="en-US" w:eastAsia="zh-CN"/>
          </w:rPr>
          <w:fldChar w:fldCharType="end"/>
        </w:r>
      </w:hyperlink>
    </w:p>
    <w:p w14:paraId="239BF265" w14:textId="77777777" w:rsidR="004B0883" w:rsidRDefault="004B0883">
      <w:pPr>
        <w:pStyle w:val="TOC2"/>
        <w:ind w:left="420"/>
        <w:rPr>
          <w:rFonts w:ascii="Calibri" w:hAnsi="Calibri"/>
          <w:noProof/>
          <w:sz w:val="21"/>
          <w:szCs w:val="22"/>
          <w:lang w:val="en-US" w:eastAsia="zh-CN"/>
        </w:rPr>
      </w:pPr>
      <w:hyperlink w:anchor="_Toc152320767" w:history="1">
        <w:r>
          <w:rPr>
            <w:rStyle w:val="afff8"/>
            <w:rFonts w:hint="eastAsia"/>
            <w:noProof/>
            <w:lang w:val="en-US" w:eastAsia="zh-CN"/>
          </w:rPr>
          <w:t>三、关于公司本次发行的可转换公司债券的信用评级</w:t>
        </w:r>
        <w:r>
          <w:rPr>
            <w:noProof/>
            <w:lang w:val="en-US" w:eastAsia="zh-CN"/>
          </w:rPr>
          <w:tab/>
        </w:r>
        <w:r>
          <w:rPr>
            <w:noProof/>
            <w:lang w:val="en-US" w:eastAsia="zh-CN"/>
          </w:rPr>
          <w:fldChar w:fldCharType="begin"/>
        </w:r>
        <w:r>
          <w:rPr>
            <w:noProof/>
            <w:lang w:val="en-US" w:eastAsia="zh-CN"/>
          </w:rPr>
          <w:instrText xml:space="preserve"> PAGEREF _Toc152320767 \h </w:instrText>
        </w:r>
        <w:r w:rsidR="005A5153">
          <w:rPr>
            <w:noProof/>
            <w:lang w:val="en-US" w:eastAsia="zh-CN"/>
          </w:rPr>
        </w:r>
        <w:r>
          <w:rPr>
            <w:noProof/>
            <w:lang w:val="en-US" w:eastAsia="zh-CN"/>
          </w:rPr>
          <w:fldChar w:fldCharType="separate"/>
        </w:r>
        <w:r w:rsidR="00DF1733">
          <w:rPr>
            <w:noProof/>
            <w:lang w:val="en-US" w:eastAsia="zh-CN"/>
          </w:rPr>
          <w:t>2</w:t>
        </w:r>
        <w:r>
          <w:rPr>
            <w:noProof/>
            <w:lang w:val="en-US" w:eastAsia="zh-CN"/>
          </w:rPr>
          <w:fldChar w:fldCharType="end"/>
        </w:r>
      </w:hyperlink>
    </w:p>
    <w:p w14:paraId="30AED73F" w14:textId="77777777" w:rsidR="004B0883" w:rsidRDefault="004B0883">
      <w:pPr>
        <w:pStyle w:val="TOC2"/>
        <w:ind w:left="420"/>
        <w:rPr>
          <w:rFonts w:ascii="Calibri" w:hAnsi="Calibri"/>
          <w:noProof/>
          <w:sz w:val="21"/>
          <w:szCs w:val="22"/>
          <w:lang w:val="en-US" w:eastAsia="zh-CN"/>
        </w:rPr>
      </w:pPr>
      <w:hyperlink w:anchor="_Toc152320768" w:history="1">
        <w:r>
          <w:rPr>
            <w:rStyle w:val="afff8"/>
            <w:rFonts w:hint="eastAsia"/>
            <w:noProof/>
            <w:lang w:val="en-US" w:eastAsia="zh-CN"/>
          </w:rPr>
          <w:t>四、本公司的股利分配政策和现金分红比例</w:t>
        </w:r>
        <w:r>
          <w:rPr>
            <w:noProof/>
            <w:lang w:val="en-US" w:eastAsia="zh-CN"/>
          </w:rPr>
          <w:tab/>
        </w:r>
        <w:r>
          <w:rPr>
            <w:noProof/>
            <w:lang w:val="en-US" w:eastAsia="zh-CN"/>
          </w:rPr>
          <w:fldChar w:fldCharType="begin"/>
        </w:r>
        <w:r>
          <w:rPr>
            <w:noProof/>
            <w:lang w:val="en-US" w:eastAsia="zh-CN"/>
          </w:rPr>
          <w:instrText xml:space="preserve"> PAGEREF _Toc152320768 \h </w:instrText>
        </w:r>
        <w:r w:rsidR="005A5153">
          <w:rPr>
            <w:noProof/>
            <w:lang w:val="en-US" w:eastAsia="zh-CN"/>
          </w:rPr>
        </w:r>
        <w:r>
          <w:rPr>
            <w:noProof/>
            <w:lang w:val="en-US" w:eastAsia="zh-CN"/>
          </w:rPr>
          <w:fldChar w:fldCharType="separate"/>
        </w:r>
        <w:r w:rsidR="00DF1733">
          <w:rPr>
            <w:noProof/>
            <w:lang w:val="en-US" w:eastAsia="zh-CN"/>
          </w:rPr>
          <w:t>2</w:t>
        </w:r>
        <w:r>
          <w:rPr>
            <w:noProof/>
            <w:lang w:val="en-US" w:eastAsia="zh-CN"/>
          </w:rPr>
          <w:fldChar w:fldCharType="end"/>
        </w:r>
      </w:hyperlink>
    </w:p>
    <w:p w14:paraId="3E845B76" w14:textId="77777777" w:rsidR="004B0883" w:rsidRDefault="004B0883">
      <w:pPr>
        <w:pStyle w:val="TOC2"/>
        <w:ind w:left="420"/>
        <w:rPr>
          <w:rFonts w:ascii="Calibri" w:hAnsi="Calibri"/>
          <w:noProof/>
          <w:sz w:val="21"/>
          <w:szCs w:val="22"/>
          <w:lang w:val="en-US" w:eastAsia="zh-CN"/>
        </w:rPr>
      </w:pPr>
      <w:hyperlink w:anchor="_Toc152320769" w:history="1">
        <w:r>
          <w:rPr>
            <w:rStyle w:val="afff8"/>
            <w:rFonts w:hint="eastAsia"/>
            <w:noProof/>
            <w:lang w:val="en-US" w:eastAsia="zh-CN"/>
          </w:rPr>
          <w:t>五、本公司提请投资者仔细阅读本募集说明书</w:t>
        </w:r>
        <w:r>
          <w:rPr>
            <w:rStyle w:val="afff8"/>
            <w:rFonts w:ascii="宋体" w:hAnsi="宋体"/>
            <w:noProof/>
            <w:lang w:val="en-US" w:eastAsia="zh-CN"/>
          </w:rPr>
          <w:t>“</w:t>
        </w:r>
        <w:r>
          <w:rPr>
            <w:rStyle w:val="afff8"/>
            <w:rFonts w:hint="eastAsia"/>
            <w:noProof/>
            <w:lang w:val="en-US" w:eastAsia="zh-CN"/>
          </w:rPr>
          <w:t>风险因素</w:t>
        </w:r>
        <w:r>
          <w:rPr>
            <w:rStyle w:val="afff8"/>
            <w:rFonts w:ascii="宋体" w:hAnsi="宋体"/>
            <w:noProof/>
            <w:lang w:val="en-US" w:eastAsia="zh-CN"/>
          </w:rPr>
          <w:t>”</w:t>
        </w:r>
        <w:r>
          <w:rPr>
            <w:rStyle w:val="afff8"/>
            <w:rFonts w:hint="eastAsia"/>
            <w:noProof/>
            <w:lang w:val="en-US" w:eastAsia="zh-CN"/>
          </w:rPr>
          <w:t>全文，并特别注意以下风险</w:t>
        </w:r>
        <w:r>
          <w:rPr>
            <w:noProof/>
            <w:lang w:val="en-US" w:eastAsia="zh-CN"/>
          </w:rPr>
          <w:tab/>
        </w:r>
        <w:r>
          <w:rPr>
            <w:noProof/>
            <w:lang w:val="en-US" w:eastAsia="zh-CN"/>
          </w:rPr>
          <w:fldChar w:fldCharType="begin"/>
        </w:r>
        <w:r>
          <w:rPr>
            <w:noProof/>
            <w:lang w:val="en-US" w:eastAsia="zh-CN"/>
          </w:rPr>
          <w:instrText xml:space="preserve"> PAGEREF _Toc152320769 \h </w:instrText>
        </w:r>
        <w:r w:rsidR="005A5153">
          <w:rPr>
            <w:noProof/>
            <w:lang w:val="en-US" w:eastAsia="zh-CN"/>
          </w:rPr>
        </w:r>
        <w:r>
          <w:rPr>
            <w:noProof/>
            <w:lang w:val="en-US" w:eastAsia="zh-CN"/>
          </w:rPr>
          <w:fldChar w:fldCharType="separate"/>
        </w:r>
        <w:r w:rsidR="00DF1733">
          <w:rPr>
            <w:noProof/>
            <w:lang w:val="en-US" w:eastAsia="zh-CN"/>
          </w:rPr>
          <w:t>7</w:t>
        </w:r>
        <w:r>
          <w:rPr>
            <w:noProof/>
            <w:lang w:val="en-US" w:eastAsia="zh-CN"/>
          </w:rPr>
          <w:fldChar w:fldCharType="end"/>
        </w:r>
      </w:hyperlink>
    </w:p>
    <w:p w14:paraId="76B593F5" w14:textId="77777777" w:rsidR="004B0883" w:rsidRDefault="004B0883">
      <w:pPr>
        <w:pStyle w:val="TOC1"/>
        <w:rPr>
          <w:rFonts w:ascii="Calibri" w:hAnsi="Calibri"/>
          <w:b w:val="0"/>
          <w:noProof/>
          <w:sz w:val="21"/>
          <w:szCs w:val="22"/>
          <w:lang w:val="en-US" w:eastAsia="zh-CN"/>
        </w:rPr>
      </w:pPr>
      <w:hyperlink w:anchor="_Toc152320770" w:history="1">
        <w:r>
          <w:rPr>
            <w:rStyle w:val="afff8"/>
            <w:rFonts w:hint="eastAsia"/>
            <w:noProof/>
            <w:lang w:val="en-US" w:eastAsia="zh-CN"/>
          </w:rPr>
          <w:t>目</w:t>
        </w:r>
        <w:r>
          <w:rPr>
            <w:rStyle w:val="afff8"/>
            <w:noProof/>
            <w:lang w:val="en-US" w:eastAsia="zh-CN"/>
          </w:rPr>
          <w:t xml:space="preserve">  </w:t>
        </w:r>
        <w:r>
          <w:rPr>
            <w:rStyle w:val="afff8"/>
            <w:rFonts w:hint="eastAsia"/>
            <w:noProof/>
            <w:lang w:val="en-US" w:eastAsia="zh-CN"/>
          </w:rPr>
          <w:t>录</w:t>
        </w:r>
        <w:r>
          <w:rPr>
            <w:noProof/>
            <w:lang w:val="en-US" w:eastAsia="zh-CN"/>
          </w:rPr>
          <w:tab/>
        </w:r>
        <w:r>
          <w:rPr>
            <w:noProof/>
            <w:lang w:val="en-US" w:eastAsia="zh-CN"/>
          </w:rPr>
          <w:fldChar w:fldCharType="begin"/>
        </w:r>
        <w:r>
          <w:rPr>
            <w:noProof/>
            <w:lang w:val="en-US" w:eastAsia="zh-CN"/>
          </w:rPr>
          <w:instrText xml:space="preserve"> PAGEREF _Toc152320770 \h </w:instrText>
        </w:r>
        <w:r w:rsidR="005A5153">
          <w:rPr>
            <w:noProof/>
            <w:lang w:val="en-US" w:eastAsia="zh-CN"/>
          </w:rPr>
        </w:r>
        <w:r>
          <w:rPr>
            <w:noProof/>
            <w:lang w:val="en-US" w:eastAsia="zh-CN"/>
          </w:rPr>
          <w:fldChar w:fldCharType="separate"/>
        </w:r>
        <w:r w:rsidR="00DF1733">
          <w:rPr>
            <w:noProof/>
            <w:lang w:val="en-US" w:eastAsia="zh-CN"/>
          </w:rPr>
          <w:t>11</w:t>
        </w:r>
        <w:r>
          <w:rPr>
            <w:noProof/>
            <w:lang w:val="en-US" w:eastAsia="zh-CN"/>
          </w:rPr>
          <w:fldChar w:fldCharType="end"/>
        </w:r>
      </w:hyperlink>
    </w:p>
    <w:p w14:paraId="2EFA12E5" w14:textId="77777777" w:rsidR="004B0883" w:rsidRDefault="004B0883">
      <w:pPr>
        <w:pStyle w:val="TOC1"/>
        <w:rPr>
          <w:rFonts w:ascii="Calibri" w:hAnsi="Calibri"/>
          <w:b w:val="0"/>
          <w:noProof/>
          <w:sz w:val="21"/>
          <w:szCs w:val="22"/>
          <w:lang w:val="en-US" w:eastAsia="zh-CN"/>
        </w:rPr>
      </w:pPr>
      <w:hyperlink w:anchor="_Toc152320771" w:history="1">
        <w:r>
          <w:rPr>
            <w:rStyle w:val="afff8"/>
            <w:rFonts w:hint="eastAsia"/>
            <w:noProof/>
            <w:lang w:val="en-US" w:eastAsia="zh-CN"/>
          </w:rPr>
          <w:t>第一节</w:t>
        </w:r>
        <w:r>
          <w:rPr>
            <w:rStyle w:val="afff8"/>
            <w:noProof/>
            <w:lang w:val="en-US" w:eastAsia="zh-CN"/>
          </w:rPr>
          <w:t xml:space="preserve">  </w:t>
        </w:r>
        <w:r>
          <w:rPr>
            <w:rStyle w:val="afff8"/>
            <w:rFonts w:hint="eastAsia"/>
            <w:noProof/>
            <w:lang w:val="en-US" w:eastAsia="zh-CN"/>
          </w:rPr>
          <w:t>释义</w:t>
        </w:r>
        <w:r>
          <w:rPr>
            <w:noProof/>
            <w:lang w:val="en-US" w:eastAsia="zh-CN"/>
          </w:rPr>
          <w:tab/>
        </w:r>
        <w:r>
          <w:rPr>
            <w:noProof/>
            <w:lang w:val="en-US" w:eastAsia="zh-CN"/>
          </w:rPr>
          <w:fldChar w:fldCharType="begin"/>
        </w:r>
        <w:r>
          <w:rPr>
            <w:noProof/>
            <w:lang w:val="en-US" w:eastAsia="zh-CN"/>
          </w:rPr>
          <w:instrText xml:space="preserve"> PAGEREF _Toc152320771 \h </w:instrText>
        </w:r>
        <w:r w:rsidR="005A5153">
          <w:rPr>
            <w:noProof/>
            <w:lang w:val="en-US" w:eastAsia="zh-CN"/>
          </w:rPr>
        </w:r>
        <w:r>
          <w:rPr>
            <w:noProof/>
            <w:lang w:val="en-US" w:eastAsia="zh-CN"/>
          </w:rPr>
          <w:fldChar w:fldCharType="separate"/>
        </w:r>
        <w:r w:rsidR="00DF1733">
          <w:rPr>
            <w:noProof/>
            <w:lang w:val="en-US" w:eastAsia="zh-CN"/>
          </w:rPr>
          <w:t>16</w:t>
        </w:r>
        <w:r>
          <w:rPr>
            <w:noProof/>
            <w:lang w:val="en-US" w:eastAsia="zh-CN"/>
          </w:rPr>
          <w:fldChar w:fldCharType="end"/>
        </w:r>
      </w:hyperlink>
    </w:p>
    <w:p w14:paraId="4AB39C74" w14:textId="77777777" w:rsidR="004B0883" w:rsidRDefault="004B0883">
      <w:pPr>
        <w:pStyle w:val="TOC2"/>
        <w:ind w:left="420"/>
        <w:rPr>
          <w:rFonts w:ascii="Calibri" w:hAnsi="Calibri"/>
          <w:noProof/>
          <w:sz w:val="21"/>
          <w:szCs w:val="22"/>
          <w:lang w:val="en-US" w:eastAsia="zh-CN"/>
        </w:rPr>
      </w:pPr>
      <w:hyperlink w:anchor="_Toc152320772" w:history="1">
        <w:r>
          <w:rPr>
            <w:rStyle w:val="afff8"/>
            <w:rFonts w:hint="eastAsia"/>
            <w:noProof/>
            <w:lang w:val="en-US" w:eastAsia="zh-CN"/>
          </w:rPr>
          <w:t>一、基本术语</w:t>
        </w:r>
        <w:r>
          <w:rPr>
            <w:noProof/>
            <w:lang w:val="en-US" w:eastAsia="zh-CN"/>
          </w:rPr>
          <w:tab/>
        </w:r>
        <w:r>
          <w:rPr>
            <w:noProof/>
            <w:lang w:val="en-US" w:eastAsia="zh-CN"/>
          </w:rPr>
          <w:fldChar w:fldCharType="begin"/>
        </w:r>
        <w:r>
          <w:rPr>
            <w:noProof/>
            <w:lang w:val="en-US" w:eastAsia="zh-CN"/>
          </w:rPr>
          <w:instrText xml:space="preserve"> PAGEREF _Toc152320772 \h </w:instrText>
        </w:r>
        <w:r w:rsidR="005A5153">
          <w:rPr>
            <w:noProof/>
            <w:lang w:val="en-US" w:eastAsia="zh-CN"/>
          </w:rPr>
        </w:r>
        <w:r>
          <w:rPr>
            <w:noProof/>
            <w:lang w:val="en-US" w:eastAsia="zh-CN"/>
          </w:rPr>
          <w:fldChar w:fldCharType="separate"/>
        </w:r>
        <w:r w:rsidR="00DF1733">
          <w:rPr>
            <w:noProof/>
            <w:lang w:val="en-US" w:eastAsia="zh-CN"/>
          </w:rPr>
          <w:t>16</w:t>
        </w:r>
        <w:r>
          <w:rPr>
            <w:noProof/>
            <w:lang w:val="en-US" w:eastAsia="zh-CN"/>
          </w:rPr>
          <w:fldChar w:fldCharType="end"/>
        </w:r>
      </w:hyperlink>
    </w:p>
    <w:p w14:paraId="6785EFFF" w14:textId="77777777" w:rsidR="004B0883" w:rsidRDefault="004B0883">
      <w:pPr>
        <w:pStyle w:val="TOC2"/>
        <w:ind w:left="420"/>
        <w:rPr>
          <w:rFonts w:ascii="Calibri" w:hAnsi="Calibri"/>
          <w:noProof/>
          <w:sz w:val="21"/>
          <w:szCs w:val="22"/>
          <w:lang w:val="en-US" w:eastAsia="zh-CN"/>
        </w:rPr>
      </w:pPr>
      <w:hyperlink w:anchor="_Toc152320773" w:history="1">
        <w:r>
          <w:rPr>
            <w:rStyle w:val="afff8"/>
            <w:rFonts w:hint="eastAsia"/>
            <w:noProof/>
            <w:lang w:val="en-US" w:eastAsia="zh-CN"/>
          </w:rPr>
          <w:t>二、专业术语</w:t>
        </w:r>
        <w:r>
          <w:rPr>
            <w:noProof/>
            <w:lang w:val="en-US" w:eastAsia="zh-CN"/>
          </w:rPr>
          <w:tab/>
        </w:r>
        <w:r>
          <w:rPr>
            <w:noProof/>
            <w:lang w:val="en-US" w:eastAsia="zh-CN"/>
          </w:rPr>
          <w:fldChar w:fldCharType="begin"/>
        </w:r>
        <w:r>
          <w:rPr>
            <w:noProof/>
            <w:lang w:val="en-US" w:eastAsia="zh-CN"/>
          </w:rPr>
          <w:instrText xml:space="preserve"> PAGEREF _Toc152320773 \h </w:instrText>
        </w:r>
        <w:r w:rsidR="005A5153">
          <w:rPr>
            <w:noProof/>
            <w:lang w:val="en-US" w:eastAsia="zh-CN"/>
          </w:rPr>
        </w:r>
        <w:r>
          <w:rPr>
            <w:noProof/>
            <w:lang w:val="en-US" w:eastAsia="zh-CN"/>
          </w:rPr>
          <w:fldChar w:fldCharType="separate"/>
        </w:r>
        <w:r w:rsidR="00DF1733">
          <w:rPr>
            <w:noProof/>
            <w:lang w:val="en-US" w:eastAsia="zh-CN"/>
          </w:rPr>
          <w:t>17</w:t>
        </w:r>
        <w:r>
          <w:rPr>
            <w:noProof/>
            <w:lang w:val="en-US" w:eastAsia="zh-CN"/>
          </w:rPr>
          <w:fldChar w:fldCharType="end"/>
        </w:r>
      </w:hyperlink>
    </w:p>
    <w:p w14:paraId="1854EC05" w14:textId="77777777" w:rsidR="004B0883" w:rsidRDefault="004B0883">
      <w:pPr>
        <w:pStyle w:val="TOC2"/>
        <w:ind w:left="420"/>
        <w:rPr>
          <w:rFonts w:ascii="Calibri" w:hAnsi="Calibri"/>
          <w:noProof/>
          <w:sz w:val="21"/>
          <w:szCs w:val="22"/>
          <w:lang w:val="en-US" w:eastAsia="zh-CN"/>
        </w:rPr>
      </w:pPr>
      <w:hyperlink w:anchor="_Toc152320774" w:history="1">
        <w:r>
          <w:rPr>
            <w:rStyle w:val="afff8"/>
            <w:rFonts w:hint="eastAsia"/>
            <w:noProof/>
            <w:lang w:val="en-US" w:eastAsia="zh-CN"/>
          </w:rPr>
          <w:t>三、可转换公司债券涉及专有词语</w:t>
        </w:r>
        <w:r>
          <w:rPr>
            <w:noProof/>
            <w:lang w:val="en-US" w:eastAsia="zh-CN"/>
          </w:rPr>
          <w:tab/>
        </w:r>
        <w:r>
          <w:rPr>
            <w:noProof/>
            <w:lang w:val="en-US" w:eastAsia="zh-CN"/>
          </w:rPr>
          <w:fldChar w:fldCharType="begin"/>
        </w:r>
        <w:r>
          <w:rPr>
            <w:noProof/>
            <w:lang w:val="en-US" w:eastAsia="zh-CN"/>
          </w:rPr>
          <w:instrText xml:space="preserve"> PAGEREF _Toc152320774 \h </w:instrText>
        </w:r>
        <w:r w:rsidR="005A5153">
          <w:rPr>
            <w:noProof/>
            <w:lang w:val="en-US" w:eastAsia="zh-CN"/>
          </w:rPr>
        </w:r>
        <w:r>
          <w:rPr>
            <w:noProof/>
            <w:lang w:val="en-US" w:eastAsia="zh-CN"/>
          </w:rPr>
          <w:fldChar w:fldCharType="separate"/>
        </w:r>
        <w:r w:rsidR="00DF1733">
          <w:rPr>
            <w:noProof/>
            <w:lang w:val="en-US" w:eastAsia="zh-CN"/>
          </w:rPr>
          <w:t>19</w:t>
        </w:r>
        <w:r>
          <w:rPr>
            <w:noProof/>
            <w:lang w:val="en-US" w:eastAsia="zh-CN"/>
          </w:rPr>
          <w:fldChar w:fldCharType="end"/>
        </w:r>
      </w:hyperlink>
    </w:p>
    <w:p w14:paraId="0CEF4241" w14:textId="77777777" w:rsidR="004B0883" w:rsidRDefault="004B0883">
      <w:pPr>
        <w:pStyle w:val="TOC1"/>
        <w:rPr>
          <w:rFonts w:ascii="Calibri" w:hAnsi="Calibri"/>
          <w:b w:val="0"/>
          <w:noProof/>
          <w:sz w:val="21"/>
          <w:szCs w:val="22"/>
          <w:lang w:val="en-US" w:eastAsia="zh-CN"/>
        </w:rPr>
      </w:pPr>
      <w:hyperlink w:anchor="_Toc152320775" w:history="1">
        <w:r>
          <w:rPr>
            <w:rStyle w:val="afff8"/>
            <w:rFonts w:hint="eastAsia"/>
            <w:noProof/>
            <w:lang w:val="en-US" w:eastAsia="zh-CN"/>
          </w:rPr>
          <w:t>第二节</w:t>
        </w:r>
        <w:r>
          <w:rPr>
            <w:rStyle w:val="afff8"/>
            <w:noProof/>
            <w:lang w:val="en-US" w:eastAsia="zh-CN"/>
          </w:rPr>
          <w:t xml:space="preserve">  </w:t>
        </w:r>
        <w:r>
          <w:rPr>
            <w:rStyle w:val="afff8"/>
            <w:rFonts w:hint="eastAsia"/>
            <w:noProof/>
            <w:lang w:val="en-US" w:eastAsia="zh-CN"/>
          </w:rPr>
          <w:t>本次发行概况</w:t>
        </w:r>
        <w:r>
          <w:rPr>
            <w:noProof/>
            <w:lang w:val="en-US" w:eastAsia="zh-CN"/>
          </w:rPr>
          <w:tab/>
        </w:r>
        <w:r>
          <w:rPr>
            <w:noProof/>
            <w:lang w:val="en-US" w:eastAsia="zh-CN"/>
          </w:rPr>
          <w:fldChar w:fldCharType="begin"/>
        </w:r>
        <w:r>
          <w:rPr>
            <w:noProof/>
            <w:lang w:val="en-US" w:eastAsia="zh-CN"/>
          </w:rPr>
          <w:instrText xml:space="preserve"> PAGEREF _Toc152320775 \h </w:instrText>
        </w:r>
        <w:r w:rsidR="005A5153">
          <w:rPr>
            <w:noProof/>
            <w:lang w:val="en-US" w:eastAsia="zh-CN"/>
          </w:rPr>
        </w:r>
        <w:r>
          <w:rPr>
            <w:noProof/>
            <w:lang w:val="en-US" w:eastAsia="zh-CN"/>
          </w:rPr>
          <w:fldChar w:fldCharType="separate"/>
        </w:r>
        <w:r w:rsidR="00DF1733">
          <w:rPr>
            <w:noProof/>
            <w:lang w:val="en-US" w:eastAsia="zh-CN"/>
          </w:rPr>
          <w:t>20</w:t>
        </w:r>
        <w:r>
          <w:rPr>
            <w:noProof/>
            <w:lang w:val="en-US" w:eastAsia="zh-CN"/>
          </w:rPr>
          <w:fldChar w:fldCharType="end"/>
        </w:r>
      </w:hyperlink>
    </w:p>
    <w:p w14:paraId="51CD6133" w14:textId="77777777" w:rsidR="004B0883" w:rsidRDefault="004B0883">
      <w:pPr>
        <w:pStyle w:val="TOC2"/>
        <w:ind w:left="420"/>
        <w:rPr>
          <w:rFonts w:ascii="Calibri" w:hAnsi="Calibri"/>
          <w:noProof/>
          <w:sz w:val="21"/>
          <w:szCs w:val="22"/>
          <w:lang w:val="en-US" w:eastAsia="zh-CN"/>
        </w:rPr>
      </w:pPr>
      <w:hyperlink w:anchor="_Toc152320776" w:history="1">
        <w:r>
          <w:rPr>
            <w:rStyle w:val="afff8"/>
            <w:rFonts w:hint="eastAsia"/>
            <w:noProof/>
            <w:lang w:val="en-US" w:eastAsia="zh-CN"/>
          </w:rPr>
          <w:t>一、公司基本情况</w:t>
        </w:r>
        <w:r>
          <w:rPr>
            <w:noProof/>
            <w:lang w:val="en-US" w:eastAsia="zh-CN"/>
          </w:rPr>
          <w:tab/>
        </w:r>
        <w:r>
          <w:rPr>
            <w:noProof/>
            <w:lang w:val="en-US" w:eastAsia="zh-CN"/>
          </w:rPr>
          <w:fldChar w:fldCharType="begin"/>
        </w:r>
        <w:r>
          <w:rPr>
            <w:noProof/>
            <w:lang w:val="en-US" w:eastAsia="zh-CN"/>
          </w:rPr>
          <w:instrText xml:space="preserve"> PAGEREF _Toc152320776 \h </w:instrText>
        </w:r>
        <w:r w:rsidR="005A5153">
          <w:rPr>
            <w:noProof/>
            <w:lang w:val="en-US" w:eastAsia="zh-CN"/>
          </w:rPr>
        </w:r>
        <w:r>
          <w:rPr>
            <w:noProof/>
            <w:lang w:val="en-US" w:eastAsia="zh-CN"/>
          </w:rPr>
          <w:fldChar w:fldCharType="separate"/>
        </w:r>
        <w:r w:rsidR="00DF1733">
          <w:rPr>
            <w:noProof/>
            <w:lang w:val="en-US" w:eastAsia="zh-CN"/>
          </w:rPr>
          <w:t>20</w:t>
        </w:r>
        <w:r>
          <w:rPr>
            <w:noProof/>
            <w:lang w:val="en-US" w:eastAsia="zh-CN"/>
          </w:rPr>
          <w:fldChar w:fldCharType="end"/>
        </w:r>
      </w:hyperlink>
    </w:p>
    <w:p w14:paraId="4F16B419" w14:textId="77777777" w:rsidR="004B0883" w:rsidRDefault="004B0883">
      <w:pPr>
        <w:pStyle w:val="TOC2"/>
        <w:ind w:left="420"/>
        <w:rPr>
          <w:rFonts w:ascii="Calibri" w:hAnsi="Calibri"/>
          <w:noProof/>
          <w:sz w:val="21"/>
          <w:szCs w:val="22"/>
          <w:lang w:val="en-US" w:eastAsia="zh-CN"/>
        </w:rPr>
      </w:pPr>
      <w:hyperlink w:anchor="_Toc152320777" w:history="1">
        <w:r>
          <w:rPr>
            <w:rStyle w:val="afff8"/>
            <w:rFonts w:hint="eastAsia"/>
            <w:noProof/>
            <w:lang w:val="en-US" w:eastAsia="zh-CN"/>
          </w:rPr>
          <w:t>二、本次发行基本情况</w:t>
        </w:r>
        <w:r>
          <w:rPr>
            <w:noProof/>
            <w:lang w:val="en-US" w:eastAsia="zh-CN"/>
          </w:rPr>
          <w:tab/>
        </w:r>
        <w:r>
          <w:rPr>
            <w:noProof/>
            <w:lang w:val="en-US" w:eastAsia="zh-CN"/>
          </w:rPr>
          <w:fldChar w:fldCharType="begin"/>
        </w:r>
        <w:r>
          <w:rPr>
            <w:noProof/>
            <w:lang w:val="en-US" w:eastAsia="zh-CN"/>
          </w:rPr>
          <w:instrText xml:space="preserve"> PAGEREF _Toc152320777 \h </w:instrText>
        </w:r>
        <w:r w:rsidR="005A5153">
          <w:rPr>
            <w:noProof/>
            <w:lang w:val="en-US" w:eastAsia="zh-CN"/>
          </w:rPr>
        </w:r>
        <w:r>
          <w:rPr>
            <w:noProof/>
            <w:lang w:val="en-US" w:eastAsia="zh-CN"/>
          </w:rPr>
          <w:fldChar w:fldCharType="separate"/>
        </w:r>
        <w:r w:rsidR="00DF1733">
          <w:rPr>
            <w:noProof/>
            <w:lang w:val="en-US" w:eastAsia="zh-CN"/>
          </w:rPr>
          <w:t>20</w:t>
        </w:r>
        <w:r>
          <w:rPr>
            <w:noProof/>
            <w:lang w:val="en-US" w:eastAsia="zh-CN"/>
          </w:rPr>
          <w:fldChar w:fldCharType="end"/>
        </w:r>
      </w:hyperlink>
    </w:p>
    <w:p w14:paraId="3508035E" w14:textId="77777777" w:rsidR="004B0883" w:rsidRDefault="004B0883">
      <w:pPr>
        <w:pStyle w:val="TOC2"/>
        <w:ind w:left="420"/>
        <w:rPr>
          <w:rFonts w:ascii="Calibri" w:hAnsi="Calibri"/>
          <w:noProof/>
          <w:sz w:val="21"/>
          <w:szCs w:val="22"/>
          <w:lang w:val="en-US" w:eastAsia="zh-CN"/>
        </w:rPr>
      </w:pPr>
      <w:hyperlink w:anchor="_Toc152320778" w:history="1">
        <w:r>
          <w:rPr>
            <w:rStyle w:val="afff8"/>
            <w:rFonts w:hint="eastAsia"/>
            <w:noProof/>
            <w:lang w:val="en-US" w:eastAsia="zh-CN"/>
          </w:rPr>
          <w:t>三、承销方式及承销期</w:t>
        </w:r>
        <w:r>
          <w:rPr>
            <w:noProof/>
            <w:lang w:val="en-US" w:eastAsia="zh-CN"/>
          </w:rPr>
          <w:tab/>
        </w:r>
        <w:r>
          <w:rPr>
            <w:noProof/>
            <w:lang w:val="en-US" w:eastAsia="zh-CN"/>
          </w:rPr>
          <w:fldChar w:fldCharType="begin"/>
        </w:r>
        <w:r>
          <w:rPr>
            <w:noProof/>
            <w:lang w:val="en-US" w:eastAsia="zh-CN"/>
          </w:rPr>
          <w:instrText xml:space="preserve"> PAGEREF _Toc152320778 \h </w:instrText>
        </w:r>
        <w:r w:rsidR="005A5153">
          <w:rPr>
            <w:noProof/>
            <w:lang w:val="en-US" w:eastAsia="zh-CN"/>
          </w:rPr>
        </w:r>
        <w:r>
          <w:rPr>
            <w:noProof/>
            <w:lang w:val="en-US" w:eastAsia="zh-CN"/>
          </w:rPr>
          <w:fldChar w:fldCharType="separate"/>
        </w:r>
        <w:r w:rsidR="00DF1733">
          <w:rPr>
            <w:noProof/>
            <w:lang w:val="en-US" w:eastAsia="zh-CN"/>
          </w:rPr>
          <w:t>36</w:t>
        </w:r>
        <w:r>
          <w:rPr>
            <w:noProof/>
            <w:lang w:val="en-US" w:eastAsia="zh-CN"/>
          </w:rPr>
          <w:fldChar w:fldCharType="end"/>
        </w:r>
      </w:hyperlink>
    </w:p>
    <w:p w14:paraId="0F75F04A" w14:textId="77777777" w:rsidR="004B0883" w:rsidRDefault="004B0883">
      <w:pPr>
        <w:pStyle w:val="TOC2"/>
        <w:ind w:left="420"/>
        <w:rPr>
          <w:rFonts w:ascii="Calibri" w:hAnsi="Calibri"/>
          <w:noProof/>
          <w:sz w:val="21"/>
          <w:szCs w:val="22"/>
          <w:lang w:val="en-US" w:eastAsia="zh-CN"/>
        </w:rPr>
      </w:pPr>
      <w:hyperlink w:anchor="_Toc152320779" w:history="1">
        <w:r>
          <w:rPr>
            <w:rStyle w:val="afff8"/>
            <w:rFonts w:hint="eastAsia"/>
            <w:noProof/>
            <w:lang w:val="en-US" w:eastAsia="zh-CN"/>
          </w:rPr>
          <w:t>四、发行费用</w:t>
        </w:r>
        <w:r>
          <w:rPr>
            <w:noProof/>
            <w:lang w:val="en-US" w:eastAsia="zh-CN"/>
          </w:rPr>
          <w:tab/>
        </w:r>
        <w:r>
          <w:rPr>
            <w:noProof/>
            <w:lang w:val="en-US" w:eastAsia="zh-CN"/>
          </w:rPr>
          <w:fldChar w:fldCharType="begin"/>
        </w:r>
        <w:r>
          <w:rPr>
            <w:noProof/>
            <w:lang w:val="en-US" w:eastAsia="zh-CN"/>
          </w:rPr>
          <w:instrText xml:space="preserve"> PAGEREF _Toc152320779 \h </w:instrText>
        </w:r>
        <w:r w:rsidR="005A5153">
          <w:rPr>
            <w:noProof/>
            <w:lang w:val="en-US" w:eastAsia="zh-CN"/>
          </w:rPr>
        </w:r>
        <w:r>
          <w:rPr>
            <w:noProof/>
            <w:lang w:val="en-US" w:eastAsia="zh-CN"/>
          </w:rPr>
          <w:fldChar w:fldCharType="separate"/>
        </w:r>
        <w:r w:rsidR="00DF1733">
          <w:rPr>
            <w:noProof/>
            <w:lang w:val="en-US" w:eastAsia="zh-CN"/>
          </w:rPr>
          <w:t>36</w:t>
        </w:r>
        <w:r>
          <w:rPr>
            <w:noProof/>
            <w:lang w:val="en-US" w:eastAsia="zh-CN"/>
          </w:rPr>
          <w:fldChar w:fldCharType="end"/>
        </w:r>
      </w:hyperlink>
    </w:p>
    <w:p w14:paraId="3A8FF0C5" w14:textId="77777777" w:rsidR="004B0883" w:rsidRDefault="004B0883">
      <w:pPr>
        <w:pStyle w:val="TOC2"/>
        <w:ind w:left="420"/>
        <w:rPr>
          <w:rFonts w:ascii="Calibri" w:hAnsi="Calibri"/>
          <w:noProof/>
          <w:sz w:val="21"/>
          <w:szCs w:val="22"/>
          <w:lang w:val="en-US" w:eastAsia="zh-CN"/>
        </w:rPr>
      </w:pPr>
      <w:hyperlink w:anchor="_Toc152320780" w:history="1">
        <w:r>
          <w:rPr>
            <w:rStyle w:val="afff8"/>
            <w:rFonts w:hint="eastAsia"/>
            <w:noProof/>
            <w:lang w:val="en-US" w:eastAsia="zh-CN"/>
          </w:rPr>
          <w:t>五、承销期间的停牌、复牌及可转债上市的时间安排</w:t>
        </w:r>
        <w:r>
          <w:rPr>
            <w:noProof/>
            <w:lang w:val="en-US" w:eastAsia="zh-CN"/>
          </w:rPr>
          <w:tab/>
        </w:r>
        <w:r>
          <w:rPr>
            <w:noProof/>
            <w:lang w:val="en-US" w:eastAsia="zh-CN"/>
          </w:rPr>
          <w:fldChar w:fldCharType="begin"/>
        </w:r>
        <w:r>
          <w:rPr>
            <w:noProof/>
            <w:lang w:val="en-US" w:eastAsia="zh-CN"/>
          </w:rPr>
          <w:instrText xml:space="preserve"> PAGEREF _Toc152320780 \h </w:instrText>
        </w:r>
        <w:r w:rsidR="005A5153">
          <w:rPr>
            <w:noProof/>
            <w:lang w:val="en-US" w:eastAsia="zh-CN"/>
          </w:rPr>
        </w:r>
        <w:r>
          <w:rPr>
            <w:noProof/>
            <w:lang w:val="en-US" w:eastAsia="zh-CN"/>
          </w:rPr>
          <w:fldChar w:fldCharType="separate"/>
        </w:r>
        <w:r w:rsidR="00DF1733">
          <w:rPr>
            <w:noProof/>
            <w:lang w:val="en-US" w:eastAsia="zh-CN"/>
          </w:rPr>
          <w:t>36</w:t>
        </w:r>
        <w:r>
          <w:rPr>
            <w:noProof/>
            <w:lang w:val="en-US" w:eastAsia="zh-CN"/>
          </w:rPr>
          <w:fldChar w:fldCharType="end"/>
        </w:r>
      </w:hyperlink>
    </w:p>
    <w:p w14:paraId="3F147DA6" w14:textId="77777777" w:rsidR="004B0883" w:rsidRDefault="004B0883">
      <w:pPr>
        <w:pStyle w:val="TOC2"/>
        <w:ind w:left="420"/>
        <w:rPr>
          <w:rFonts w:ascii="Calibri" w:hAnsi="Calibri"/>
          <w:noProof/>
          <w:sz w:val="21"/>
          <w:szCs w:val="22"/>
          <w:lang w:val="en-US" w:eastAsia="zh-CN"/>
        </w:rPr>
      </w:pPr>
      <w:hyperlink w:anchor="_Toc152320781" w:history="1">
        <w:r>
          <w:rPr>
            <w:rStyle w:val="afff8"/>
            <w:rFonts w:hint="eastAsia"/>
            <w:noProof/>
            <w:lang w:val="en-US" w:eastAsia="zh-CN"/>
          </w:rPr>
          <w:t>六、本次发行证券的上市流通</w:t>
        </w:r>
        <w:r>
          <w:rPr>
            <w:noProof/>
            <w:lang w:val="en-US" w:eastAsia="zh-CN"/>
          </w:rPr>
          <w:tab/>
        </w:r>
        <w:r>
          <w:rPr>
            <w:noProof/>
            <w:lang w:val="en-US" w:eastAsia="zh-CN"/>
          </w:rPr>
          <w:fldChar w:fldCharType="begin"/>
        </w:r>
        <w:r>
          <w:rPr>
            <w:noProof/>
            <w:lang w:val="en-US" w:eastAsia="zh-CN"/>
          </w:rPr>
          <w:instrText xml:space="preserve"> PAGEREF _Toc152320781 \h </w:instrText>
        </w:r>
        <w:r w:rsidR="005A5153">
          <w:rPr>
            <w:noProof/>
            <w:lang w:val="en-US" w:eastAsia="zh-CN"/>
          </w:rPr>
        </w:r>
        <w:r>
          <w:rPr>
            <w:noProof/>
            <w:lang w:val="en-US" w:eastAsia="zh-CN"/>
          </w:rPr>
          <w:fldChar w:fldCharType="separate"/>
        </w:r>
        <w:r w:rsidR="00DF1733">
          <w:rPr>
            <w:noProof/>
            <w:lang w:val="en-US" w:eastAsia="zh-CN"/>
          </w:rPr>
          <w:t>36</w:t>
        </w:r>
        <w:r>
          <w:rPr>
            <w:noProof/>
            <w:lang w:val="en-US" w:eastAsia="zh-CN"/>
          </w:rPr>
          <w:fldChar w:fldCharType="end"/>
        </w:r>
      </w:hyperlink>
    </w:p>
    <w:p w14:paraId="1025191B" w14:textId="77777777" w:rsidR="004B0883" w:rsidRDefault="004B0883">
      <w:pPr>
        <w:pStyle w:val="TOC2"/>
        <w:ind w:left="420"/>
        <w:rPr>
          <w:rFonts w:ascii="Calibri" w:hAnsi="Calibri"/>
          <w:noProof/>
          <w:sz w:val="21"/>
          <w:szCs w:val="22"/>
          <w:lang w:val="en-US" w:eastAsia="zh-CN"/>
        </w:rPr>
      </w:pPr>
      <w:hyperlink w:anchor="_Toc152320782" w:history="1">
        <w:r>
          <w:rPr>
            <w:rStyle w:val="afff8"/>
            <w:rFonts w:hint="eastAsia"/>
            <w:noProof/>
            <w:lang w:val="en-US" w:eastAsia="zh-CN"/>
          </w:rPr>
          <w:t>七、本次发行的有关机构</w:t>
        </w:r>
        <w:r>
          <w:rPr>
            <w:noProof/>
            <w:lang w:val="en-US" w:eastAsia="zh-CN"/>
          </w:rPr>
          <w:tab/>
        </w:r>
        <w:r>
          <w:rPr>
            <w:noProof/>
            <w:lang w:val="en-US" w:eastAsia="zh-CN"/>
          </w:rPr>
          <w:fldChar w:fldCharType="begin"/>
        </w:r>
        <w:r>
          <w:rPr>
            <w:noProof/>
            <w:lang w:val="en-US" w:eastAsia="zh-CN"/>
          </w:rPr>
          <w:instrText xml:space="preserve"> PAGEREF _Toc152320782 \h </w:instrText>
        </w:r>
        <w:r w:rsidR="005A5153">
          <w:rPr>
            <w:noProof/>
            <w:lang w:val="en-US" w:eastAsia="zh-CN"/>
          </w:rPr>
        </w:r>
        <w:r>
          <w:rPr>
            <w:noProof/>
            <w:lang w:val="en-US" w:eastAsia="zh-CN"/>
          </w:rPr>
          <w:fldChar w:fldCharType="separate"/>
        </w:r>
        <w:r w:rsidR="00DF1733">
          <w:rPr>
            <w:noProof/>
            <w:lang w:val="en-US" w:eastAsia="zh-CN"/>
          </w:rPr>
          <w:t>37</w:t>
        </w:r>
        <w:r>
          <w:rPr>
            <w:noProof/>
            <w:lang w:val="en-US" w:eastAsia="zh-CN"/>
          </w:rPr>
          <w:fldChar w:fldCharType="end"/>
        </w:r>
      </w:hyperlink>
    </w:p>
    <w:p w14:paraId="7A40E571" w14:textId="77777777" w:rsidR="004B0883" w:rsidRDefault="004B0883">
      <w:pPr>
        <w:pStyle w:val="TOC2"/>
        <w:ind w:left="420"/>
        <w:rPr>
          <w:rFonts w:ascii="Calibri" w:hAnsi="Calibri"/>
          <w:noProof/>
          <w:sz w:val="21"/>
          <w:szCs w:val="22"/>
          <w:lang w:val="en-US" w:eastAsia="zh-CN"/>
        </w:rPr>
      </w:pPr>
      <w:hyperlink w:anchor="_Toc152320783" w:history="1">
        <w:r>
          <w:rPr>
            <w:rStyle w:val="afff8"/>
            <w:rFonts w:hint="eastAsia"/>
            <w:noProof/>
            <w:lang w:val="en-US" w:eastAsia="zh-CN"/>
          </w:rPr>
          <w:t>八、发行人与本次发行有关人员之间的关系</w:t>
        </w:r>
        <w:r>
          <w:rPr>
            <w:noProof/>
            <w:lang w:val="en-US" w:eastAsia="zh-CN"/>
          </w:rPr>
          <w:tab/>
        </w:r>
        <w:r>
          <w:rPr>
            <w:noProof/>
            <w:lang w:val="en-US" w:eastAsia="zh-CN"/>
          </w:rPr>
          <w:fldChar w:fldCharType="begin"/>
        </w:r>
        <w:r>
          <w:rPr>
            <w:noProof/>
            <w:lang w:val="en-US" w:eastAsia="zh-CN"/>
          </w:rPr>
          <w:instrText xml:space="preserve"> PAGEREF _Toc152320783 \h </w:instrText>
        </w:r>
        <w:r w:rsidR="005A5153">
          <w:rPr>
            <w:noProof/>
            <w:lang w:val="en-US" w:eastAsia="zh-CN"/>
          </w:rPr>
        </w:r>
        <w:r>
          <w:rPr>
            <w:noProof/>
            <w:lang w:val="en-US" w:eastAsia="zh-CN"/>
          </w:rPr>
          <w:fldChar w:fldCharType="separate"/>
        </w:r>
        <w:r w:rsidR="00DF1733">
          <w:rPr>
            <w:noProof/>
            <w:lang w:val="en-US" w:eastAsia="zh-CN"/>
          </w:rPr>
          <w:t>38</w:t>
        </w:r>
        <w:r>
          <w:rPr>
            <w:noProof/>
            <w:lang w:val="en-US" w:eastAsia="zh-CN"/>
          </w:rPr>
          <w:fldChar w:fldCharType="end"/>
        </w:r>
      </w:hyperlink>
    </w:p>
    <w:p w14:paraId="26AF0894" w14:textId="77777777" w:rsidR="004B0883" w:rsidRDefault="004B0883">
      <w:pPr>
        <w:pStyle w:val="TOC1"/>
        <w:rPr>
          <w:rFonts w:ascii="Calibri" w:hAnsi="Calibri"/>
          <w:b w:val="0"/>
          <w:noProof/>
          <w:sz w:val="21"/>
          <w:szCs w:val="22"/>
          <w:lang w:val="en-US" w:eastAsia="zh-CN"/>
        </w:rPr>
      </w:pPr>
      <w:hyperlink w:anchor="_Toc152320784" w:history="1">
        <w:r>
          <w:rPr>
            <w:rStyle w:val="afff8"/>
            <w:rFonts w:hint="eastAsia"/>
            <w:noProof/>
            <w:lang w:val="en-US" w:eastAsia="zh-CN"/>
          </w:rPr>
          <w:t>第三节</w:t>
        </w:r>
        <w:r>
          <w:rPr>
            <w:rStyle w:val="afff8"/>
            <w:noProof/>
            <w:lang w:val="en-US" w:eastAsia="zh-CN"/>
          </w:rPr>
          <w:t xml:space="preserve">  </w:t>
        </w:r>
        <w:r>
          <w:rPr>
            <w:rStyle w:val="afff8"/>
            <w:rFonts w:hint="eastAsia"/>
            <w:noProof/>
            <w:lang w:val="en-US" w:eastAsia="zh-CN"/>
          </w:rPr>
          <w:t>风险因素</w:t>
        </w:r>
        <w:r>
          <w:rPr>
            <w:noProof/>
            <w:lang w:val="en-US" w:eastAsia="zh-CN"/>
          </w:rPr>
          <w:tab/>
        </w:r>
        <w:r>
          <w:rPr>
            <w:noProof/>
            <w:lang w:val="en-US" w:eastAsia="zh-CN"/>
          </w:rPr>
          <w:fldChar w:fldCharType="begin"/>
        </w:r>
        <w:r>
          <w:rPr>
            <w:noProof/>
            <w:lang w:val="en-US" w:eastAsia="zh-CN"/>
          </w:rPr>
          <w:instrText xml:space="preserve"> PAGEREF _Toc152320784 \h </w:instrText>
        </w:r>
        <w:r w:rsidR="005A5153">
          <w:rPr>
            <w:noProof/>
            <w:lang w:val="en-US" w:eastAsia="zh-CN"/>
          </w:rPr>
        </w:r>
        <w:r>
          <w:rPr>
            <w:noProof/>
            <w:lang w:val="en-US" w:eastAsia="zh-CN"/>
          </w:rPr>
          <w:fldChar w:fldCharType="separate"/>
        </w:r>
        <w:r w:rsidR="00DF1733">
          <w:rPr>
            <w:noProof/>
            <w:lang w:val="en-US" w:eastAsia="zh-CN"/>
          </w:rPr>
          <w:t>40</w:t>
        </w:r>
        <w:r>
          <w:rPr>
            <w:noProof/>
            <w:lang w:val="en-US" w:eastAsia="zh-CN"/>
          </w:rPr>
          <w:fldChar w:fldCharType="end"/>
        </w:r>
      </w:hyperlink>
    </w:p>
    <w:p w14:paraId="23E8D83B" w14:textId="77777777" w:rsidR="004B0883" w:rsidRDefault="004B0883">
      <w:pPr>
        <w:pStyle w:val="TOC2"/>
        <w:ind w:left="420"/>
        <w:rPr>
          <w:rFonts w:ascii="Calibri" w:hAnsi="Calibri"/>
          <w:noProof/>
          <w:sz w:val="21"/>
          <w:szCs w:val="22"/>
          <w:lang w:val="en-US" w:eastAsia="zh-CN"/>
        </w:rPr>
      </w:pPr>
      <w:hyperlink w:anchor="_Toc152320785" w:history="1">
        <w:r>
          <w:rPr>
            <w:rStyle w:val="afff8"/>
            <w:rFonts w:hint="eastAsia"/>
            <w:noProof/>
            <w:lang w:val="en-US" w:eastAsia="zh-CN"/>
          </w:rPr>
          <w:t>一、与发行人相关的风险</w:t>
        </w:r>
        <w:r>
          <w:rPr>
            <w:noProof/>
            <w:lang w:val="en-US" w:eastAsia="zh-CN"/>
          </w:rPr>
          <w:tab/>
        </w:r>
        <w:r>
          <w:rPr>
            <w:noProof/>
            <w:lang w:val="en-US" w:eastAsia="zh-CN"/>
          </w:rPr>
          <w:fldChar w:fldCharType="begin"/>
        </w:r>
        <w:r>
          <w:rPr>
            <w:noProof/>
            <w:lang w:val="en-US" w:eastAsia="zh-CN"/>
          </w:rPr>
          <w:instrText xml:space="preserve"> PAGEREF _Toc152320785 \h </w:instrText>
        </w:r>
        <w:r w:rsidR="005A5153">
          <w:rPr>
            <w:noProof/>
            <w:lang w:val="en-US" w:eastAsia="zh-CN"/>
          </w:rPr>
        </w:r>
        <w:r>
          <w:rPr>
            <w:noProof/>
            <w:lang w:val="en-US" w:eastAsia="zh-CN"/>
          </w:rPr>
          <w:fldChar w:fldCharType="separate"/>
        </w:r>
        <w:r w:rsidR="00DF1733">
          <w:rPr>
            <w:noProof/>
            <w:lang w:val="en-US" w:eastAsia="zh-CN"/>
          </w:rPr>
          <w:t>40</w:t>
        </w:r>
        <w:r>
          <w:rPr>
            <w:noProof/>
            <w:lang w:val="en-US" w:eastAsia="zh-CN"/>
          </w:rPr>
          <w:fldChar w:fldCharType="end"/>
        </w:r>
      </w:hyperlink>
    </w:p>
    <w:p w14:paraId="36BC0755" w14:textId="77777777" w:rsidR="004B0883" w:rsidRDefault="004B0883">
      <w:pPr>
        <w:pStyle w:val="TOC2"/>
        <w:ind w:left="420"/>
        <w:rPr>
          <w:rFonts w:ascii="Calibri" w:hAnsi="Calibri"/>
          <w:noProof/>
          <w:sz w:val="21"/>
          <w:szCs w:val="22"/>
          <w:lang w:val="en-US" w:eastAsia="zh-CN"/>
        </w:rPr>
      </w:pPr>
      <w:hyperlink w:anchor="_Toc152320786" w:history="1">
        <w:r>
          <w:rPr>
            <w:rStyle w:val="afff8"/>
            <w:rFonts w:hint="eastAsia"/>
            <w:noProof/>
            <w:lang w:val="en-US" w:eastAsia="zh-CN"/>
          </w:rPr>
          <w:t>二、与行业相关的风险</w:t>
        </w:r>
        <w:r>
          <w:rPr>
            <w:noProof/>
            <w:lang w:val="en-US" w:eastAsia="zh-CN"/>
          </w:rPr>
          <w:tab/>
        </w:r>
        <w:r>
          <w:rPr>
            <w:noProof/>
            <w:lang w:val="en-US" w:eastAsia="zh-CN"/>
          </w:rPr>
          <w:fldChar w:fldCharType="begin"/>
        </w:r>
        <w:r>
          <w:rPr>
            <w:noProof/>
            <w:lang w:val="en-US" w:eastAsia="zh-CN"/>
          </w:rPr>
          <w:instrText xml:space="preserve"> PAGEREF _Toc152320786 \h </w:instrText>
        </w:r>
        <w:r w:rsidR="005A5153">
          <w:rPr>
            <w:noProof/>
            <w:lang w:val="en-US" w:eastAsia="zh-CN"/>
          </w:rPr>
        </w:r>
        <w:r>
          <w:rPr>
            <w:noProof/>
            <w:lang w:val="en-US" w:eastAsia="zh-CN"/>
          </w:rPr>
          <w:fldChar w:fldCharType="separate"/>
        </w:r>
        <w:r w:rsidR="00DF1733">
          <w:rPr>
            <w:noProof/>
            <w:lang w:val="en-US" w:eastAsia="zh-CN"/>
          </w:rPr>
          <w:t>46</w:t>
        </w:r>
        <w:r>
          <w:rPr>
            <w:noProof/>
            <w:lang w:val="en-US" w:eastAsia="zh-CN"/>
          </w:rPr>
          <w:fldChar w:fldCharType="end"/>
        </w:r>
      </w:hyperlink>
    </w:p>
    <w:p w14:paraId="66720EAF" w14:textId="77777777" w:rsidR="004B0883" w:rsidRDefault="004B0883">
      <w:pPr>
        <w:pStyle w:val="TOC2"/>
        <w:ind w:left="420"/>
        <w:rPr>
          <w:rFonts w:ascii="Calibri" w:hAnsi="Calibri"/>
          <w:noProof/>
          <w:sz w:val="21"/>
          <w:szCs w:val="22"/>
          <w:lang w:val="en-US" w:eastAsia="zh-CN"/>
        </w:rPr>
      </w:pPr>
      <w:hyperlink w:anchor="_Toc152320787" w:history="1">
        <w:r>
          <w:rPr>
            <w:rStyle w:val="afff8"/>
            <w:rFonts w:hint="eastAsia"/>
            <w:noProof/>
            <w:lang w:val="en-US" w:eastAsia="zh-CN"/>
          </w:rPr>
          <w:t>三、其他风险</w:t>
        </w:r>
        <w:r>
          <w:rPr>
            <w:noProof/>
            <w:lang w:val="en-US" w:eastAsia="zh-CN"/>
          </w:rPr>
          <w:tab/>
        </w:r>
        <w:r>
          <w:rPr>
            <w:noProof/>
            <w:lang w:val="en-US" w:eastAsia="zh-CN"/>
          </w:rPr>
          <w:fldChar w:fldCharType="begin"/>
        </w:r>
        <w:r>
          <w:rPr>
            <w:noProof/>
            <w:lang w:val="en-US" w:eastAsia="zh-CN"/>
          </w:rPr>
          <w:instrText xml:space="preserve"> PAGEREF _Toc152320787 \h </w:instrText>
        </w:r>
        <w:r w:rsidR="005A5153">
          <w:rPr>
            <w:noProof/>
            <w:lang w:val="en-US" w:eastAsia="zh-CN"/>
          </w:rPr>
        </w:r>
        <w:r>
          <w:rPr>
            <w:noProof/>
            <w:lang w:val="en-US" w:eastAsia="zh-CN"/>
          </w:rPr>
          <w:fldChar w:fldCharType="separate"/>
        </w:r>
        <w:r w:rsidR="00DF1733">
          <w:rPr>
            <w:noProof/>
            <w:lang w:val="en-US" w:eastAsia="zh-CN"/>
          </w:rPr>
          <w:t>47</w:t>
        </w:r>
        <w:r>
          <w:rPr>
            <w:noProof/>
            <w:lang w:val="en-US" w:eastAsia="zh-CN"/>
          </w:rPr>
          <w:fldChar w:fldCharType="end"/>
        </w:r>
      </w:hyperlink>
    </w:p>
    <w:p w14:paraId="40AA425D" w14:textId="77777777" w:rsidR="004B0883" w:rsidRDefault="004B0883">
      <w:pPr>
        <w:pStyle w:val="TOC1"/>
        <w:rPr>
          <w:rFonts w:ascii="Calibri" w:hAnsi="Calibri"/>
          <w:b w:val="0"/>
          <w:noProof/>
          <w:sz w:val="21"/>
          <w:szCs w:val="22"/>
          <w:lang w:val="en-US" w:eastAsia="zh-CN"/>
        </w:rPr>
      </w:pPr>
      <w:hyperlink w:anchor="_Toc152320788" w:history="1">
        <w:r>
          <w:rPr>
            <w:rStyle w:val="afff8"/>
            <w:rFonts w:hint="eastAsia"/>
            <w:noProof/>
            <w:lang w:val="en-US" w:eastAsia="zh-CN"/>
          </w:rPr>
          <w:t>第四节</w:t>
        </w:r>
        <w:r>
          <w:rPr>
            <w:rStyle w:val="afff8"/>
            <w:noProof/>
            <w:lang w:val="en-US" w:eastAsia="zh-CN"/>
          </w:rPr>
          <w:t xml:space="preserve"> </w:t>
        </w:r>
        <w:r>
          <w:rPr>
            <w:rStyle w:val="afff8"/>
            <w:rFonts w:hint="eastAsia"/>
            <w:noProof/>
            <w:lang w:val="en-US" w:eastAsia="zh-CN"/>
          </w:rPr>
          <w:t>发行人基本情况</w:t>
        </w:r>
        <w:r>
          <w:rPr>
            <w:noProof/>
            <w:lang w:val="en-US" w:eastAsia="zh-CN"/>
          </w:rPr>
          <w:tab/>
        </w:r>
        <w:r>
          <w:rPr>
            <w:noProof/>
            <w:lang w:val="en-US" w:eastAsia="zh-CN"/>
          </w:rPr>
          <w:fldChar w:fldCharType="begin"/>
        </w:r>
        <w:r>
          <w:rPr>
            <w:noProof/>
            <w:lang w:val="en-US" w:eastAsia="zh-CN"/>
          </w:rPr>
          <w:instrText xml:space="preserve"> PAGEREF _Toc152320788 \h </w:instrText>
        </w:r>
        <w:r w:rsidR="005A5153">
          <w:rPr>
            <w:noProof/>
            <w:lang w:val="en-US" w:eastAsia="zh-CN"/>
          </w:rPr>
        </w:r>
        <w:r>
          <w:rPr>
            <w:noProof/>
            <w:lang w:val="en-US" w:eastAsia="zh-CN"/>
          </w:rPr>
          <w:fldChar w:fldCharType="separate"/>
        </w:r>
        <w:r w:rsidR="00DF1733">
          <w:rPr>
            <w:noProof/>
            <w:lang w:val="en-US" w:eastAsia="zh-CN"/>
          </w:rPr>
          <w:t>52</w:t>
        </w:r>
        <w:r>
          <w:rPr>
            <w:noProof/>
            <w:lang w:val="en-US" w:eastAsia="zh-CN"/>
          </w:rPr>
          <w:fldChar w:fldCharType="end"/>
        </w:r>
      </w:hyperlink>
    </w:p>
    <w:p w14:paraId="5EC0CE1D" w14:textId="77777777" w:rsidR="004B0883" w:rsidRDefault="004B0883">
      <w:pPr>
        <w:pStyle w:val="TOC2"/>
        <w:ind w:left="420"/>
        <w:rPr>
          <w:rFonts w:ascii="Calibri" w:hAnsi="Calibri"/>
          <w:noProof/>
          <w:sz w:val="21"/>
          <w:szCs w:val="22"/>
          <w:lang w:val="en-US" w:eastAsia="zh-CN"/>
        </w:rPr>
      </w:pPr>
      <w:hyperlink w:anchor="_Toc152320789" w:history="1">
        <w:r>
          <w:rPr>
            <w:rStyle w:val="afff8"/>
            <w:rFonts w:hint="eastAsia"/>
            <w:noProof/>
            <w:lang w:val="en-US" w:eastAsia="zh-CN"/>
          </w:rPr>
          <w:t>一、发行人股本结构及前十名股东持股概况</w:t>
        </w:r>
        <w:r>
          <w:rPr>
            <w:noProof/>
            <w:lang w:val="en-US" w:eastAsia="zh-CN"/>
          </w:rPr>
          <w:tab/>
        </w:r>
        <w:r>
          <w:rPr>
            <w:noProof/>
            <w:lang w:val="en-US" w:eastAsia="zh-CN"/>
          </w:rPr>
          <w:fldChar w:fldCharType="begin"/>
        </w:r>
        <w:r>
          <w:rPr>
            <w:noProof/>
            <w:lang w:val="en-US" w:eastAsia="zh-CN"/>
          </w:rPr>
          <w:instrText xml:space="preserve"> PAGEREF _Toc152320789 \h </w:instrText>
        </w:r>
        <w:r w:rsidR="005A5153">
          <w:rPr>
            <w:noProof/>
            <w:lang w:val="en-US" w:eastAsia="zh-CN"/>
          </w:rPr>
        </w:r>
        <w:r>
          <w:rPr>
            <w:noProof/>
            <w:lang w:val="en-US" w:eastAsia="zh-CN"/>
          </w:rPr>
          <w:fldChar w:fldCharType="separate"/>
        </w:r>
        <w:r w:rsidR="00DF1733">
          <w:rPr>
            <w:noProof/>
            <w:lang w:val="en-US" w:eastAsia="zh-CN"/>
          </w:rPr>
          <w:t>52</w:t>
        </w:r>
        <w:r>
          <w:rPr>
            <w:noProof/>
            <w:lang w:val="en-US" w:eastAsia="zh-CN"/>
          </w:rPr>
          <w:fldChar w:fldCharType="end"/>
        </w:r>
      </w:hyperlink>
    </w:p>
    <w:p w14:paraId="25B010B1" w14:textId="77777777" w:rsidR="004B0883" w:rsidRDefault="004B0883">
      <w:pPr>
        <w:pStyle w:val="TOC2"/>
        <w:ind w:left="420"/>
        <w:rPr>
          <w:rFonts w:ascii="Calibri" w:hAnsi="Calibri"/>
          <w:noProof/>
          <w:sz w:val="21"/>
          <w:szCs w:val="22"/>
          <w:lang w:val="en-US" w:eastAsia="zh-CN"/>
        </w:rPr>
      </w:pPr>
      <w:hyperlink w:anchor="_Toc152320790" w:history="1">
        <w:r>
          <w:rPr>
            <w:rStyle w:val="afff8"/>
            <w:rFonts w:hint="eastAsia"/>
            <w:noProof/>
            <w:lang w:val="en-US" w:eastAsia="zh-CN"/>
          </w:rPr>
          <w:t>二、公司组织结构及重要权益投资情况</w:t>
        </w:r>
        <w:r>
          <w:rPr>
            <w:noProof/>
            <w:lang w:val="en-US" w:eastAsia="zh-CN"/>
          </w:rPr>
          <w:tab/>
        </w:r>
        <w:r>
          <w:rPr>
            <w:noProof/>
            <w:lang w:val="en-US" w:eastAsia="zh-CN"/>
          </w:rPr>
          <w:fldChar w:fldCharType="begin"/>
        </w:r>
        <w:r>
          <w:rPr>
            <w:noProof/>
            <w:lang w:val="en-US" w:eastAsia="zh-CN"/>
          </w:rPr>
          <w:instrText xml:space="preserve"> PAGEREF _Toc152320790 \h </w:instrText>
        </w:r>
        <w:r w:rsidR="005A5153">
          <w:rPr>
            <w:noProof/>
            <w:lang w:val="en-US" w:eastAsia="zh-CN"/>
          </w:rPr>
        </w:r>
        <w:r>
          <w:rPr>
            <w:noProof/>
            <w:lang w:val="en-US" w:eastAsia="zh-CN"/>
          </w:rPr>
          <w:fldChar w:fldCharType="separate"/>
        </w:r>
        <w:r w:rsidR="00DF1733">
          <w:rPr>
            <w:noProof/>
            <w:lang w:val="en-US" w:eastAsia="zh-CN"/>
          </w:rPr>
          <w:t>53</w:t>
        </w:r>
        <w:r>
          <w:rPr>
            <w:noProof/>
            <w:lang w:val="en-US" w:eastAsia="zh-CN"/>
          </w:rPr>
          <w:fldChar w:fldCharType="end"/>
        </w:r>
      </w:hyperlink>
    </w:p>
    <w:p w14:paraId="6E7D2E30" w14:textId="77777777" w:rsidR="004B0883" w:rsidRDefault="004B0883">
      <w:pPr>
        <w:pStyle w:val="TOC2"/>
        <w:ind w:left="420"/>
        <w:rPr>
          <w:rFonts w:ascii="Calibri" w:hAnsi="Calibri"/>
          <w:noProof/>
          <w:sz w:val="21"/>
          <w:szCs w:val="22"/>
          <w:lang w:val="en-US" w:eastAsia="zh-CN"/>
        </w:rPr>
      </w:pPr>
      <w:hyperlink w:anchor="_Toc152320791" w:history="1">
        <w:r>
          <w:rPr>
            <w:rStyle w:val="afff8"/>
            <w:rFonts w:hint="eastAsia"/>
            <w:noProof/>
            <w:lang w:val="en-US" w:eastAsia="zh-CN"/>
          </w:rPr>
          <w:t>三、公司的控股股东及实际控制人基本情况</w:t>
        </w:r>
        <w:r>
          <w:rPr>
            <w:noProof/>
            <w:lang w:val="en-US" w:eastAsia="zh-CN"/>
          </w:rPr>
          <w:tab/>
        </w:r>
        <w:r>
          <w:rPr>
            <w:noProof/>
            <w:lang w:val="en-US" w:eastAsia="zh-CN"/>
          </w:rPr>
          <w:fldChar w:fldCharType="begin"/>
        </w:r>
        <w:r>
          <w:rPr>
            <w:noProof/>
            <w:lang w:val="en-US" w:eastAsia="zh-CN"/>
          </w:rPr>
          <w:instrText xml:space="preserve"> PAGEREF _Toc152320791 \h </w:instrText>
        </w:r>
        <w:r w:rsidR="005A5153">
          <w:rPr>
            <w:noProof/>
            <w:lang w:val="en-US" w:eastAsia="zh-CN"/>
          </w:rPr>
        </w:r>
        <w:r>
          <w:rPr>
            <w:noProof/>
            <w:lang w:val="en-US" w:eastAsia="zh-CN"/>
          </w:rPr>
          <w:fldChar w:fldCharType="separate"/>
        </w:r>
        <w:r w:rsidR="00DF1733">
          <w:rPr>
            <w:noProof/>
            <w:lang w:val="en-US" w:eastAsia="zh-CN"/>
          </w:rPr>
          <w:t>57</w:t>
        </w:r>
        <w:r>
          <w:rPr>
            <w:noProof/>
            <w:lang w:val="en-US" w:eastAsia="zh-CN"/>
          </w:rPr>
          <w:fldChar w:fldCharType="end"/>
        </w:r>
      </w:hyperlink>
    </w:p>
    <w:p w14:paraId="5361EA1D" w14:textId="77777777" w:rsidR="004B0883" w:rsidRDefault="004B0883">
      <w:pPr>
        <w:pStyle w:val="TOC2"/>
        <w:ind w:left="420"/>
        <w:rPr>
          <w:rFonts w:ascii="Calibri" w:hAnsi="Calibri"/>
          <w:noProof/>
          <w:sz w:val="21"/>
          <w:szCs w:val="22"/>
          <w:lang w:val="en-US" w:eastAsia="zh-CN"/>
        </w:rPr>
      </w:pPr>
      <w:hyperlink w:anchor="_Toc152320792" w:history="1">
        <w:r>
          <w:rPr>
            <w:rStyle w:val="afff8"/>
            <w:rFonts w:hint="eastAsia"/>
            <w:noProof/>
            <w:lang w:val="en-US" w:eastAsia="zh-CN"/>
          </w:rPr>
          <w:t>四、公司、控股股东、实际控制人、董事、监事、高级管理人员最近三年一期作出的重要承诺及履行情况</w:t>
        </w:r>
        <w:r>
          <w:rPr>
            <w:noProof/>
            <w:lang w:val="en-US" w:eastAsia="zh-CN"/>
          </w:rPr>
          <w:tab/>
        </w:r>
        <w:r>
          <w:rPr>
            <w:noProof/>
            <w:lang w:val="en-US" w:eastAsia="zh-CN"/>
          </w:rPr>
          <w:fldChar w:fldCharType="begin"/>
        </w:r>
        <w:r>
          <w:rPr>
            <w:noProof/>
            <w:lang w:val="en-US" w:eastAsia="zh-CN"/>
          </w:rPr>
          <w:instrText xml:space="preserve"> PAGEREF _Toc152320792 \h </w:instrText>
        </w:r>
        <w:r w:rsidR="005A5153">
          <w:rPr>
            <w:noProof/>
            <w:lang w:val="en-US" w:eastAsia="zh-CN"/>
          </w:rPr>
        </w:r>
        <w:r>
          <w:rPr>
            <w:noProof/>
            <w:lang w:val="en-US" w:eastAsia="zh-CN"/>
          </w:rPr>
          <w:fldChar w:fldCharType="separate"/>
        </w:r>
        <w:r w:rsidR="00DF1733">
          <w:rPr>
            <w:noProof/>
            <w:lang w:val="en-US" w:eastAsia="zh-CN"/>
          </w:rPr>
          <w:t>59</w:t>
        </w:r>
        <w:r>
          <w:rPr>
            <w:noProof/>
            <w:lang w:val="en-US" w:eastAsia="zh-CN"/>
          </w:rPr>
          <w:fldChar w:fldCharType="end"/>
        </w:r>
      </w:hyperlink>
    </w:p>
    <w:p w14:paraId="6E5F2BFB" w14:textId="77777777" w:rsidR="004B0883" w:rsidRDefault="004B0883">
      <w:pPr>
        <w:pStyle w:val="TOC2"/>
        <w:ind w:left="420"/>
        <w:rPr>
          <w:rFonts w:ascii="Calibri" w:hAnsi="Calibri"/>
          <w:noProof/>
          <w:sz w:val="21"/>
          <w:szCs w:val="22"/>
          <w:lang w:val="en-US" w:eastAsia="zh-CN"/>
        </w:rPr>
      </w:pPr>
      <w:hyperlink w:anchor="_Toc152320793" w:history="1">
        <w:r>
          <w:rPr>
            <w:rStyle w:val="afff8"/>
            <w:rFonts w:hint="eastAsia"/>
            <w:noProof/>
            <w:lang w:val="en-US" w:eastAsia="zh-CN"/>
          </w:rPr>
          <w:t>五、董事、监事、高级管理人员及其他核心人员</w:t>
        </w:r>
        <w:r>
          <w:rPr>
            <w:noProof/>
            <w:lang w:val="en-US" w:eastAsia="zh-CN"/>
          </w:rPr>
          <w:tab/>
        </w:r>
        <w:r>
          <w:rPr>
            <w:noProof/>
            <w:lang w:val="en-US" w:eastAsia="zh-CN"/>
          </w:rPr>
          <w:fldChar w:fldCharType="begin"/>
        </w:r>
        <w:r>
          <w:rPr>
            <w:noProof/>
            <w:lang w:val="en-US" w:eastAsia="zh-CN"/>
          </w:rPr>
          <w:instrText xml:space="preserve"> PAGEREF _Toc152320793 \h </w:instrText>
        </w:r>
        <w:r w:rsidR="005A5153">
          <w:rPr>
            <w:noProof/>
            <w:lang w:val="en-US" w:eastAsia="zh-CN"/>
          </w:rPr>
        </w:r>
        <w:r>
          <w:rPr>
            <w:noProof/>
            <w:lang w:val="en-US" w:eastAsia="zh-CN"/>
          </w:rPr>
          <w:fldChar w:fldCharType="separate"/>
        </w:r>
        <w:r w:rsidR="00DF1733">
          <w:rPr>
            <w:noProof/>
            <w:lang w:val="en-US" w:eastAsia="zh-CN"/>
          </w:rPr>
          <w:t>72</w:t>
        </w:r>
        <w:r>
          <w:rPr>
            <w:noProof/>
            <w:lang w:val="en-US" w:eastAsia="zh-CN"/>
          </w:rPr>
          <w:fldChar w:fldCharType="end"/>
        </w:r>
      </w:hyperlink>
    </w:p>
    <w:p w14:paraId="54272708" w14:textId="77777777" w:rsidR="004B0883" w:rsidRDefault="004B0883">
      <w:pPr>
        <w:pStyle w:val="TOC2"/>
        <w:ind w:left="420"/>
        <w:rPr>
          <w:rFonts w:ascii="Calibri" w:hAnsi="Calibri"/>
          <w:noProof/>
          <w:sz w:val="21"/>
          <w:szCs w:val="22"/>
          <w:lang w:val="en-US" w:eastAsia="zh-CN"/>
        </w:rPr>
      </w:pPr>
      <w:hyperlink w:anchor="_Toc152320794" w:history="1">
        <w:r>
          <w:rPr>
            <w:rStyle w:val="afff8"/>
            <w:rFonts w:hint="eastAsia"/>
            <w:noProof/>
            <w:lang w:val="en-US" w:eastAsia="zh-CN"/>
          </w:rPr>
          <w:t>六、公司所处行业的基本情况</w:t>
        </w:r>
        <w:r>
          <w:rPr>
            <w:noProof/>
            <w:lang w:val="en-US" w:eastAsia="zh-CN"/>
          </w:rPr>
          <w:tab/>
        </w:r>
        <w:r>
          <w:rPr>
            <w:noProof/>
            <w:lang w:val="en-US" w:eastAsia="zh-CN"/>
          </w:rPr>
          <w:fldChar w:fldCharType="begin"/>
        </w:r>
        <w:r>
          <w:rPr>
            <w:noProof/>
            <w:lang w:val="en-US" w:eastAsia="zh-CN"/>
          </w:rPr>
          <w:instrText xml:space="preserve"> PAGEREF _Toc152320794 \h </w:instrText>
        </w:r>
        <w:r w:rsidR="005A5153">
          <w:rPr>
            <w:noProof/>
            <w:lang w:val="en-US" w:eastAsia="zh-CN"/>
          </w:rPr>
        </w:r>
        <w:r>
          <w:rPr>
            <w:noProof/>
            <w:lang w:val="en-US" w:eastAsia="zh-CN"/>
          </w:rPr>
          <w:fldChar w:fldCharType="separate"/>
        </w:r>
        <w:r w:rsidR="00DF1733">
          <w:rPr>
            <w:noProof/>
            <w:lang w:val="en-US" w:eastAsia="zh-CN"/>
          </w:rPr>
          <w:t>84</w:t>
        </w:r>
        <w:r>
          <w:rPr>
            <w:noProof/>
            <w:lang w:val="en-US" w:eastAsia="zh-CN"/>
          </w:rPr>
          <w:fldChar w:fldCharType="end"/>
        </w:r>
      </w:hyperlink>
    </w:p>
    <w:p w14:paraId="7D1138A4" w14:textId="77777777" w:rsidR="004B0883" w:rsidRDefault="004B0883">
      <w:pPr>
        <w:pStyle w:val="TOC2"/>
        <w:ind w:left="420"/>
        <w:rPr>
          <w:rFonts w:ascii="Calibri" w:hAnsi="Calibri"/>
          <w:noProof/>
          <w:sz w:val="21"/>
          <w:szCs w:val="22"/>
          <w:lang w:val="en-US" w:eastAsia="zh-CN"/>
        </w:rPr>
      </w:pPr>
      <w:hyperlink w:anchor="_Toc152320795" w:history="1">
        <w:r>
          <w:rPr>
            <w:rStyle w:val="afff8"/>
            <w:rFonts w:hint="eastAsia"/>
            <w:noProof/>
            <w:lang w:val="en-US" w:eastAsia="zh-CN"/>
          </w:rPr>
          <w:t>七、公司主营业务的具体情况</w:t>
        </w:r>
        <w:r>
          <w:rPr>
            <w:noProof/>
            <w:lang w:val="en-US" w:eastAsia="zh-CN"/>
          </w:rPr>
          <w:tab/>
        </w:r>
        <w:r>
          <w:rPr>
            <w:noProof/>
            <w:lang w:val="en-US" w:eastAsia="zh-CN"/>
          </w:rPr>
          <w:fldChar w:fldCharType="begin"/>
        </w:r>
        <w:r>
          <w:rPr>
            <w:noProof/>
            <w:lang w:val="en-US" w:eastAsia="zh-CN"/>
          </w:rPr>
          <w:instrText xml:space="preserve"> PAGEREF _Toc152320795 \h </w:instrText>
        </w:r>
        <w:r w:rsidR="005A5153">
          <w:rPr>
            <w:noProof/>
            <w:lang w:val="en-US" w:eastAsia="zh-CN"/>
          </w:rPr>
        </w:r>
        <w:r>
          <w:rPr>
            <w:noProof/>
            <w:lang w:val="en-US" w:eastAsia="zh-CN"/>
          </w:rPr>
          <w:fldChar w:fldCharType="separate"/>
        </w:r>
        <w:r w:rsidR="00DF1733">
          <w:rPr>
            <w:noProof/>
            <w:lang w:val="en-US" w:eastAsia="zh-CN"/>
          </w:rPr>
          <w:t>98</w:t>
        </w:r>
        <w:r>
          <w:rPr>
            <w:noProof/>
            <w:lang w:val="en-US" w:eastAsia="zh-CN"/>
          </w:rPr>
          <w:fldChar w:fldCharType="end"/>
        </w:r>
      </w:hyperlink>
    </w:p>
    <w:p w14:paraId="18B6EA82" w14:textId="77777777" w:rsidR="004B0883" w:rsidRDefault="004B0883">
      <w:pPr>
        <w:pStyle w:val="TOC2"/>
        <w:ind w:left="420"/>
        <w:rPr>
          <w:rFonts w:ascii="Calibri" w:hAnsi="Calibri"/>
          <w:noProof/>
          <w:sz w:val="21"/>
          <w:szCs w:val="22"/>
          <w:lang w:val="en-US" w:eastAsia="zh-CN"/>
        </w:rPr>
      </w:pPr>
      <w:hyperlink w:anchor="_Toc152320796" w:history="1">
        <w:r>
          <w:rPr>
            <w:rStyle w:val="afff8"/>
            <w:rFonts w:hint="eastAsia"/>
            <w:noProof/>
            <w:kern w:val="0"/>
            <w:lang w:val="en-US" w:eastAsia="zh-CN"/>
          </w:rPr>
          <w:t>八、公司的技术与研发情况</w:t>
        </w:r>
        <w:r>
          <w:rPr>
            <w:noProof/>
            <w:lang w:val="en-US" w:eastAsia="zh-CN"/>
          </w:rPr>
          <w:tab/>
        </w:r>
        <w:r>
          <w:rPr>
            <w:noProof/>
            <w:lang w:val="en-US" w:eastAsia="zh-CN"/>
          </w:rPr>
          <w:fldChar w:fldCharType="begin"/>
        </w:r>
        <w:r>
          <w:rPr>
            <w:noProof/>
            <w:lang w:val="en-US" w:eastAsia="zh-CN"/>
          </w:rPr>
          <w:instrText xml:space="preserve"> PAGEREF _Toc152320796 \h </w:instrText>
        </w:r>
        <w:r w:rsidR="005A5153">
          <w:rPr>
            <w:noProof/>
            <w:lang w:val="en-US" w:eastAsia="zh-CN"/>
          </w:rPr>
        </w:r>
        <w:r>
          <w:rPr>
            <w:noProof/>
            <w:lang w:val="en-US" w:eastAsia="zh-CN"/>
          </w:rPr>
          <w:fldChar w:fldCharType="separate"/>
        </w:r>
        <w:r w:rsidR="00DF1733">
          <w:rPr>
            <w:noProof/>
            <w:lang w:val="en-US" w:eastAsia="zh-CN"/>
          </w:rPr>
          <w:t>108</w:t>
        </w:r>
        <w:r>
          <w:rPr>
            <w:noProof/>
            <w:lang w:val="en-US" w:eastAsia="zh-CN"/>
          </w:rPr>
          <w:fldChar w:fldCharType="end"/>
        </w:r>
      </w:hyperlink>
    </w:p>
    <w:p w14:paraId="3C4F4BAD" w14:textId="77777777" w:rsidR="004B0883" w:rsidRDefault="004B0883">
      <w:pPr>
        <w:pStyle w:val="TOC2"/>
        <w:ind w:left="420"/>
        <w:rPr>
          <w:rFonts w:ascii="Calibri" w:hAnsi="Calibri"/>
          <w:noProof/>
          <w:sz w:val="21"/>
          <w:szCs w:val="22"/>
          <w:lang w:val="en-US" w:eastAsia="zh-CN"/>
        </w:rPr>
      </w:pPr>
      <w:hyperlink w:anchor="_Toc152320797" w:history="1">
        <w:r>
          <w:rPr>
            <w:rStyle w:val="afff8"/>
            <w:rFonts w:hint="eastAsia"/>
            <w:noProof/>
            <w:lang w:val="en-US" w:eastAsia="zh-CN"/>
          </w:rPr>
          <w:t>九、</w:t>
        </w:r>
        <w:r>
          <w:rPr>
            <w:rStyle w:val="afff8"/>
            <w:rFonts w:hint="eastAsia"/>
            <w:noProof/>
            <w:kern w:val="0"/>
            <w:lang w:val="en-US" w:eastAsia="zh-CN"/>
          </w:rPr>
          <w:t>公司的主要资产情况</w:t>
        </w:r>
        <w:r>
          <w:rPr>
            <w:noProof/>
            <w:lang w:val="en-US" w:eastAsia="zh-CN"/>
          </w:rPr>
          <w:tab/>
        </w:r>
        <w:r>
          <w:rPr>
            <w:noProof/>
            <w:lang w:val="en-US" w:eastAsia="zh-CN"/>
          </w:rPr>
          <w:fldChar w:fldCharType="begin"/>
        </w:r>
        <w:r>
          <w:rPr>
            <w:noProof/>
            <w:lang w:val="en-US" w:eastAsia="zh-CN"/>
          </w:rPr>
          <w:instrText xml:space="preserve"> PAGEREF _Toc152320797 \h </w:instrText>
        </w:r>
        <w:r w:rsidR="005A5153">
          <w:rPr>
            <w:noProof/>
            <w:lang w:val="en-US" w:eastAsia="zh-CN"/>
          </w:rPr>
        </w:r>
        <w:r>
          <w:rPr>
            <w:noProof/>
            <w:lang w:val="en-US" w:eastAsia="zh-CN"/>
          </w:rPr>
          <w:fldChar w:fldCharType="separate"/>
        </w:r>
        <w:r w:rsidR="00DF1733">
          <w:rPr>
            <w:noProof/>
            <w:lang w:val="en-US" w:eastAsia="zh-CN"/>
          </w:rPr>
          <w:t>109</w:t>
        </w:r>
        <w:r>
          <w:rPr>
            <w:noProof/>
            <w:lang w:val="en-US" w:eastAsia="zh-CN"/>
          </w:rPr>
          <w:fldChar w:fldCharType="end"/>
        </w:r>
      </w:hyperlink>
    </w:p>
    <w:p w14:paraId="49170C81" w14:textId="77777777" w:rsidR="004B0883" w:rsidRDefault="004B0883">
      <w:pPr>
        <w:pStyle w:val="TOC2"/>
        <w:ind w:left="420"/>
        <w:rPr>
          <w:rFonts w:ascii="Calibri" w:hAnsi="Calibri"/>
          <w:noProof/>
          <w:sz w:val="21"/>
          <w:szCs w:val="22"/>
          <w:lang w:val="en-US" w:eastAsia="zh-CN"/>
        </w:rPr>
      </w:pPr>
      <w:hyperlink w:anchor="_Toc152320798" w:history="1">
        <w:r>
          <w:rPr>
            <w:rStyle w:val="afff8"/>
            <w:rFonts w:hint="eastAsia"/>
            <w:noProof/>
            <w:lang w:val="en-US" w:eastAsia="zh-CN"/>
          </w:rPr>
          <w:t>十、</w:t>
        </w:r>
        <w:r>
          <w:rPr>
            <w:rStyle w:val="afff8"/>
            <w:rFonts w:hint="eastAsia"/>
            <w:noProof/>
            <w:kern w:val="0"/>
            <w:lang w:val="en-US" w:eastAsia="zh-CN"/>
          </w:rPr>
          <w:t>公司的业务资质情况</w:t>
        </w:r>
        <w:r>
          <w:rPr>
            <w:noProof/>
            <w:lang w:val="en-US" w:eastAsia="zh-CN"/>
          </w:rPr>
          <w:tab/>
        </w:r>
        <w:r>
          <w:rPr>
            <w:noProof/>
            <w:lang w:val="en-US" w:eastAsia="zh-CN"/>
          </w:rPr>
          <w:fldChar w:fldCharType="begin"/>
        </w:r>
        <w:r>
          <w:rPr>
            <w:noProof/>
            <w:lang w:val="en-US" w:eastAsia="zh-CN"/>
          </w:rPr>
          <w:instrText xml:space="preserve"> PAGEREF _Toc152320798 \h </w:instrText>
        </w:r>
        <w:r w:rsidR="005A5153">
          <w:rPr>
            <w:noProof/>
            <w:lang w:val="en-US" w:eastAsia="zh-CN"/>
          </w:rPr>
        </w:r>
        <w:r>
          <w:rPr>
            <w:noProof/>
            <w:lang w:val="en-US" w:eastAsia="zh-CN"/>
          </w:rPr>
          <w:fldChar w:fldCharType="separate"/>
        </w:r>
        <w:r w:rsidR="00DF1733">
          <w:rPr>
            <w:noProof/>
            <w:lang w:val="en-US" w:eastAsia="zh-CN"/>
          </w:rPr>
          <w:t>111</w:t>
        </w:r>
        <w:r>
          <w:rPr>
            <w:noProof/>
            <w:lang w:val="en-US" w:eastAsia="zh-CN"/>
          </w:rPr>
          <w:fldChar w:fldCharType="end"/>
        </w:r>
      </w:hyperlink>
    </w:p>
    <w:p w14:paraId="144796D8" w14:textId="77777777" w:rsidR="004B0883" w:rsidRDefault="004B0883">
      <w:pPr>
        <w:pStyle w:val="TOC2"/>
        <w:ind w:left="420"/>
        <w:rPr>
          <w:rFonts w:ascii="Calibri" w:hAnsi="Calibri"/>
          <w:noProof/>
          <w:sz w:val="21"/>
          <w:szCs w:val="22"/>
          <w:lang w:val="en-US" w:eastAsia="zh-CN"/>
        </w:rPr>
      </w:pPr>
      <w:hyperlink w:anchor="_Toc152320799" w:history="1">
        <w:r>
          <w:rPr>
            <w:rStyle w:val="afff8"/>
            <w:rFonts w:hint="eastAsia"/>
            <w:noProof/>
            <w:kern w:val="0"/>
            <w:lang w:val="en-US" w:eastAsia="zh-CN"/>
          </w:rPr>
          <w:t>十一、公司最近三年及一期发生的重大资产重组情况</w:t>
        </w:r>
        <w:r>
          <w:rPr>
            <w:noProof/>
            <w:lang w:val="en-US" w:eastAsia="zh-CN"/>
          </w:rPr>
          <w:tab/>
        </w:r>
        <w:r>
          <w:rPr>
            <w:noProof/>
            <w:lang w:val="en-US" w:eastAsia="zh-CN"/>
          </w:rPr>
          <w:fldChar w:fldCharType="begin"/>
        </w:r>
        <w:r>
          <w:rPr>
            <w:noProof/>
            <w:lang w:val="en-US" w:eastAsia="zh-CN"/>
          </w:rPr>
          <w:instrText xml:space="preserve"> PAGEREF _Toc152320799 \h </w:instrText>
        </w:r>
        <w:r w:rsidR="005A5153">
          <w:rPr>
            <w:noProof/>
            <w:lang w:val="en-US" w:eastAsia="zh-CN"/>
          </w:rPr>
        </w:r>
        <w:r>
          <w:rPr>
            <w:noProof/>
            <w:lang w:val="en-US" w:eastAsia="zh-CN"/>
          </w:rPr>
          <w:fldChar w:fldCharType="separate"/>
        </w:r>
        <w:r w:rsidR="00DF1733">
          <w:rPr>
            <w:noProof/>
            <w:lang w:val="en-US" w:eastAsia="zh-CN"/>
          </w:rPr>
          <w:t>113</w:t>
        </w:r>
        <w:r>
          <w:rPr>
            <w:noProof/>
            <w:lang w:val="en-US" w:eastAsia="zh-CN"/>
          </w:rPr>
          <w:fldChar w:fldCharType="end"/>
        </w:r>
      </w:hyperlink>
    </w:p>
    <w:p w14:paraId="1972981D" w14:textId="77777777" w:rsidR="004B0883" w:rsidRDefault="004B0883">
      <w:pPr>
        <w:pStyle w:val="TOC2"/>
        <w:ind w:left="420"/>
        <w:rPr>
          <w:rFonts w:ascii="Calibri" w:hAnsi="Calibri"/>
          <w:noProof/>
          <w:sz w:val="21"/>
          <w:szCs w:val="22"/>
          <w:lang w:val="en-US" w:eastAsia="zh-CN"/>
        </w:rPr>
      </w:pPr>
      <w:hyperlink w:anchor="_Toc152320800" w:history="1">
        <w:r>
          <w:rPr>
            <w:rStyle w:val="afff8"/>
            <w:rFonts w:hint="eastAsia"/>
            <w:noProof/>
            <w:kern w:val="0"/>
            <w:lang w:val="en-US" w:eastAsia="zh-CN"/>
          </w:rPr>
          <w:t>十二、公司境外经营情况</w:t>
        </w:r>
        <w:r>
          <w:rPr>
            <w:noProof/>
            <w:lang w:val="en-US" w:eastAsia="zh-CN"/>
          </w:rPr>
          <w:tab/>
        </w:r>
        <w:r>
          <w:rPr>
            <w:noProof/>
            <w:lang w:val="en-US" w:eastAsia="zh-CN"/>
          </w:rPr>
          <w:fldChar w:fldCharType="begin"/>
        </w:r>
        <w:r>
          <w:rPr>
            <w:noProof/>
            <w:lang w:val="en-US" w:eastAsia="zh-CN"/>
          </w:rPr>
          <w:instrText xml:space="preserve"> PAGEREF _Toc152320800 \h </w:instrText>
        </w:r>
        <w:r w:rsidR="005A5153">
          <w:rPr>
            <w:noProof/>
            <w:lang w:val="en-US" w:eastAsia="zh-CN"/>
          </w:rPr>
        </w:r>
        <w:r>
          <w:rPr>
            <w:noProof/>
            <w:lang w:val="en-US" w:eastAsia="zh-CN"/>
          </w:rPr>
          <w:fldChar w:fldCharType="separate"/>
        </w:r>
        <w:r w:rsidR="00DF1733">
          <w:rPr>
            <w:noProof/>
            <w:lang w:val="en-US" w:eastAsia="zh-CN"/>
          </w:rPr>
          <w:t>114</w:t>
        </w:r>
        <w:r>
          <w:rPr>
            <w:noProof/>
            <w:lang w:val="en-US" w:eastAsia="zh-CN"/>
          </w:rPr>
          <w:fldChar w:fldCharType="end"/>
        </w:r>
      </w:hyperlink>
    </w:p>
    <w:p w14:paraId="5C425A7D" w14:textId="77777777" w:rsidR="004B0883" w:rsidRDefault="004B0883">
      <w:pPr>
        <w:pStyle w:val="TOC2"/>
        <w:ind w:left="420"/>
        <w:rPr>
          <w:rFonts w:ascii="Calibri" w:hAnsi="Calibri"/>
          <w:noProof/>
          <w:sz w:val="21"/>
          <w:szCs w:val="22"/>
          <w:lang w:val="en-US" w:eastAsia="zh-CN"/>
        </w:rPr>
      </w:pPr>
      <w:hyperlink w:anchor="_Toc152320801" w:history="1">
        <w:r>
          <w:rPr>
            <w:rStyle w:val="afff8"/>
            <w:rFonts w:hint="eastAsia"/>
            <w:noProof/>
            <w:lang w:val="en-US" w:eastAsia="zh-CN"/>
          </w:rPr>
          <w:t>十三、公司的股利分配情况</w:t>
        </w:r>
        <w:r>
          <w:rPr>
            <w:noProof/>
            <w:lang w:val="en-US" w:eastAsia="zh-CN"/>
          </w:rPr>
          <w:tab/>
        </w:r>
        <w:r>
          <w:rPr>
            <w:noProof/>
            <w:lang w:val="en-US" w:eastAsia="zh-CN"/>
          </w:rPr>
          <w:fldChar w:fldCharType="begin"/>
        </w:r>
        <w:r>
          <w:rPr>
            <w:noProof/>
            <w:lang w:val="en-US" w:eastAsia="zh-CN"/>
          </w:rPr>
          <w:instrText xml:space="preserve"> PAGEREF _Toc152320801 \h </w:instrText>
        </w:r>
        <w:r w:rsidR="005A5153">
          <w:rPr>
            <w:noProof/>
            <w:lang w:val="en-US" w:eastAsia="zh-CN"/>
          </w:rPr>
        </w:r>
        <w:r>
          <w:rPr>
            <w:noProof/>
            <w:lang w:val="en-US" w:eastAsia="zh-CN"/>
          </w:rPr>
          <w:fldChar w:fldCharType="separate"/>
        </w:r>
        <w:r w:rsidR="00DF1733">
          <w:rPr>
            <w:noProof/>
            <w:lang w:val="en-US" w:eastAsia="zh-CN"/>
          </w:rPr>
          <w:t>115</w:t>
        </w:r>
        <w:r>
          <w:rPr>
            <w:noProof/>
            <w:lang w:val="en-US" w:eastAsia="zh-CN"/>
          </w:rPr>
          <w:fldChar w:fldCharType="end"/>
        </w:r>
      </w:hyperlink>
    </w:p>
    <w:p w14:paraId="789651F6" w14:textId="77777777" w:rsidR="004B0883" w:rsidRDefault="004B0883">
      <w:pPr>
        <w:pStyle w:val="TOC2"/>
        <w:ind w:left="420"/>
        <w:rPr>
          <w:rFonts w:ascii="Calibri" w:hAnsi="Calibri"/>
          <w:noProof/>
          <w:sz w:val="21"/>
          <w:szCs w:val="22"/>
          <w:lang w:val="en-US" w:eastAsia="zh-CN"/>
        </w:rPr>
      </w:pPr>
      <w:hyperlink w:anchor="_Toc152320802" w:history="1">
        <w:r>
          <w:rPr>
            <w:rStyle w:val="afff8"/>
            <w:rFonts w:hint="eastAsia"/>
            <w:noProof/>
            <w:lang w:val="en-US" w:eastAsia="zh-CN"/>
          </w:rPr>
          <w:t>十四、最近三年及一期债券发行情况及支付可转债利息能力的测算</w:t>
        </w:r>
        <w:r>
          <w:rPr>
            <w:noProof/>
            <w:lang w:val="en-US" w:eastAsia="zh-CN"/>
          </w:rPr>
          <w:tab/>
        </w:r>
        <w:r>
          <w:rPr>
            <w:noProof/>
            <w:lang w:val="en-US" w:eastAsia="zh-CN"/>
          </w:rPr>
          <w:fldChar w:fldCharType="begin"/>
        </w:r>
        <w:r>
          <w:rPr>
            <w:noProof/>
            <w:lang w:val="en-US" w:eastAsia="zh-CN"/>
          </w:rPr>
          <w:instrText xml:space="preserve"> PAGEREF _Toc152320802 \h </w:instrText>
        </w:r>
        <w:r w:rsidR="005A5153">
          <w:rPr>
            <w:noProof/>
            <w:lang w:val="en-US" w:eastAsia="zh-CN"/>
          </w:rPr>
        </w:r>
        <w:r>
          <w:rPr>
            <w:noProof/>
            <w:lang w:val="en-US" w:eastAsia="zh-CN"/>
          </w:rPr>
          <w:fldChar w:fldCharType="separate"/>
        </w:r>
        <w:r w:rsidR="00DF1733">
          <w:rPr>
            <w:noProof/>
            <w:lang w:val="en-US" w:eastAsia="zh-CN"/>
          </w:rPr>
          <w:t>119</w:t>
        </w:r>
        <w:r>
          <w:rPr>
            <w:noProof/>
            <w:lang w:val="en-US" w:eastAsia="zh-CN"/>
          </w:rPr>
          <w:fldChar w:fldCharType="end"/>
        </w:r>
      </w:hyperlink>
    </w:p>
    <w:p w14:paraId="39D3416E" w14:textId="77777777" w:rsidR="004B0883" w:rsidRDefault="004B0883">
      <w:pPr>
        <w:pStyle w:val="TOC1"/>
        <w:rPr>
          <w:rFonts w:ascii="Calibri" w:hAnsi="Calibri"/>
          <w:b w:val="0"/>
          <w:noProof/>
          <w:sz w:val="21"/>
          <w:szCs w:val="22"/>
          <w:lang w:val="en-US" w:eastAsia="zh-CN"/>
        </w:rPr>
      </w:pPr>
      <w:hyperlink w:anchor="_Toc152320803" w:history="1">
        <w:r>
          <w:rPr>
            <w:rStyle w:val="afff8"/>
            <w:rFonts w:hint="eastAsia"/>
            <w:noProof/>
            <w:kern w:val="44"/>
            <w:lang w:val="en-US" w:eastAsia="zh-CN"/>
          </w:rPr>
          <w:t>第五节</w:t>
        </w:r>
        <w:r>
          <w:rPr>
            <w:rStyle w:val="afff8"/>
            <w:noProof/>
            <w:kern w:val="44"/>
            <w:lang w:val="en-US" w:eastAsia="zh-CN"/>
          </w:rPr>
          <w:t xml:space="preserve"> </w:t>
        </w:r>
        <w:r>
          <w:rPr>
            <w:rStyle w:val="afff8"/>
            <w:rFonts w:hint="eastAsia"/>
            <w:noProof/>
            <w:kern w:val="44"/>
            <w:lang w:val="en-US" w:eastAsia="zh-CN"/>
          </w:rPr>
          <w:t>财务会计信息与管理层分析</w:t>
        </w:r>
        <w:r>
          <w:rPr>
            <w:noProof/>
            <w:lang w:val="en-US" w:eastAsia="zh-CN"/>
          </w:rPr>
          <w:tab/>
        </w:r>
        <w:r>
          <w:rPr>
            <w:noProof/>
            <w:lang w:val="en-US" w:eastAsia="zh-CN"/>
          </w:rPr>
          <w:fldChar w:fldCharType="begin"/>
        </w:r>
        <w:r>
          <w:rPr>
            <w:noProof/>
            <w:lang w:val="en-US" w:eastAsia="zh-CN"/>
          </w:rPr>
          <w:instrText xml:space="preserve"> PAGEREF _Toc152320803 \h </w:instrText>
        </w:r>
        <w:r w:rsidR="005A5153">
          <w:rPr>
            <w:noProof/>
            <w:lang w:val="en-US" w:eastAsia="zh-CN"/>
          </w:rPr>
        </w:r>
        <w:r>
          <w:rPr>
            <w:noProof/>
            <w:lang w:val="en-US" w:eastAsia="zh-CN"/>
          </w:rPr>
          <w:fldChar w:fldCharType="separate"/>
        </w:r>
        <w:r w:rsidR="00DF1733">
          <w:rPr>
            <w:noProof/>
            <w:lang w:val="en-US" w:eastAsia="zh-CN"/>
          </w:rPr>
          <w:t>120</w:t>
        </w:r>
        <w:r>
          <w:rPr>
            <w:noProof/>
            <w:lang w:val="en-US" w:eastAsia="zh-CN"/>
          </w:rPr>
          <w:fldChar w:fldCharType="end"/>
        </w:r>
      </w:hyperlink>
    </w:p>
    <w:p w14:paraId="7881E48F" w14:textId="77777777" w:rsidR="004B0883" w:rsidRDefault="004B0883">
      <w:pPr>
        <w:pStyle w:val="TOC2"/>
        <w:ind w:left="420"/>
        <w:rPr>
          <w:rFonts w:ascii="Calibri" w:hAnsi="Calibri"/>
          <w:noProof/>
          <w:sz w:val="21"/>
          <w:szCs w:val="22"/>
          <w:lang w:val="en-US" w:eastAsia="zh-CN"/>
        </w:rPr>
      </w:pPr>
      <w:hyperlink w:anchor="_Toc152320804" w:history="1">
        <w:r>
          <w:rPr>
            <w:rStyle w:val="afff8"/>
            <w:rFonts w:hint="eastAsia"/>
            <w:noProof/>
            <w:lang w:val="en-US" w:eastAsia="zh-CN"/>
          </w:rPr>
          <w:t>一、财务报告及审计情况</w:t>
        </w:r>
        <w:r>
          <w:rPr>
            <w:noProof/>
            <w:lang w:val="en-US" w:eastAsia="zh-CN"/>
          </w:rPr>
          <w:tab/>
        </w:r>
        <w:r>
          <w:rPr>
            <w:noProof/>
            <w:lang w:val="en-US" w:eastAsia="zh-CN"/>
          </w:rPr>
          <w:fldChar w:fldCharType="begin"/>
        </w:r>
        <w:r>
          <w:rPr>
            <w:noProof/>
            <w:lang w:val="en-US" w:eastAsia="zh-CN"/>
          </w:rPr>
          <w:instrText xml:space="preserve"> PAGEREF _Toc152320804 \h </w:instrText>
        </w:r>
        <w:r w:rsidR="005A5153">
          <w:rPr>
            <w:noProof/>
            <w:lang w:val="en-US" w:eastAsia="zh-CN"/>
          </w:rPr>
        </w:r>
        <w:r>
          <w:rPr>
            <w:noProof/>
            <w:lang w:val="en-US" w:eastAsia="zh-CN"/>
          </w:rPr>
          <w:fldChar w:fldCharType="separate"/>
        </w:r>
        <w:r w:rsidR="00DF1733">
          <w:rPr>
            <w:noProof/>
            <w:lang w:val="en-US" w:eastAsia="zh-CN"/>
          </w:rPr>
          <w:t>120</w:t>
        </w:r>
        <w:r>
          <w:rPr>
            <w:noProof/>
            <w:lang w:val="en-US" w:eastAsia="zh-CN"/>
          </w:rPr>
          <w:fldChar w:fldCharType="end"/>
        </w:r>
      </w:hyperlink>
    </w:p>
    <w:p w14:paraId="2A2A4CB8" w14:textId="77777777" w:rsidR="004B0883" w:rsidRDefault="004B0883">
      <w:pPr>
        <w:pStyle w:val="TOC2"/>
        <w:ind w:left="420"/>
        <w:rPr>
          <w:rFonts w:ascii="Calibri" w:hAnsi="Calibri"/>
          <w:noProof/>
          <w:sz w:val="21"/>
          <w:szCs w:val="22"/>
          <w:lang w:val="en-US" w:eastAsia="zh-CN"/>
        </w:rPr>
      </w:pPr>
      <w:hyperlink w:anchor="_Toc152320805" w:history="1">
        <w:r>
          <w:rPr>
            <w:rStyle w:val="afff8"/>
            <w:rFonts w:hint="eastAsia"/>
            <w:noProof/>
            <w:lang w:val="en-US" w:eastAsia="zh-CN"/>
          </w:rPr>
          <w:t>二、最近三年一期的财务报表</w:t>
        </w:r>
        <w:r>
          <w:rPr>
            <w:noProof/>
            <w:lang w:val="en-US" w:eastAsia="zh-CN"/>
          </w:rPr>
          <w:tab/>
        </w:r>
        <w:r>
          <w:rPr>
            <w:noProof/>
            <w:lang w:val="en-US" w:eastAsia="zh-CN"/>
          </w:rPr>
          <w:fldChar w:fldCharType="begin"/>
        </w:r>
        <w:r>
          <w:rPr>
            <w:noProof/>
            <w:lang w:val="en-US" w:eastAsia="zh-CN"/>
          </w:rPr>
          <w:instrText xml:space="preserve"> PAGEREF _Toc152320805 \h </w:instrText>
        </w:r>
        <w:r w:rsidR="005A5153">
          <w:rPr>
            <w:noProof/>
            <w:lang w:val="en-US" w:eastAsia="zh-CN"/>
          </w:rPr>
        </w:r>
        <w:r>
          <w:rPr>
            <w:noProof/>
            <w:lang w:val="en-US" w:eastAsia="zh-CN"/>
          </w:rPr>
          <w:fldChar w:fldCharType="separate"/>
        </w:r>
        <w:r w:rsidR="00DF1733">
          <w:rPr>
            <w:noProof/>
            <w:lang w:val="en-US" w:eastAsia="zh-CN"/>
          </w:rPr>
          <w:t>120</w:t>
        </w:r>
        <w:r>
          <w:rPr>
            <w:noProof/>
            <w:lang w:val="en-US" w:eastAsia="zh-CN"/>
          </w:rPr>
          <w:fldChar w:fldCharType="end"/>
        </w:r>
      </w:hyperlink>
    </w:p>
    <w:p w14:paraId="33CDF19B" w14:textId="77777777" w:rsidR="004B0883" w:rsidRDefault="004B0883">
      <w:pPr>
        <w:pStyle w:val="TOC2"/>
        <w:ind w:left="420"/>
        <w:rPr>
          <w:rFonts w:ascii="Calibri" w:hAnsi="Calibri"/>
          <w:noProof/>
          <w:sz w:val="21"/>
          <w:szCs w:val="22"/>
          <w:lang w:val="en-US" w:eastAsia="zh-CN"/>
        </w:rPr>
      </w:pPr>
      <w:hyperlink w:anchor="_Toc152320806" w:history="1">
        <w:r>
          <w:rPr>
            <w:rStyle w:val="afff8"/>
            <w:rFonts w:hint="eastAsia"/>
            <w:noProof/>
            <w:lang w:val="en-US" w:eastAsia="zh-CN"/>
          </w:rPr>
          <w:t>三、财务报表的编制基础、合并财务报表范围及其变化情况</w:t>
        </w:r>
        <w:r>
          <w:rPr>
            <w:noProof/>
            <w:lang w:val="en-US" w:eastAsia="zh-CN"/>
          </w:rPr>
          <w:tab/>
        </w:r>
        <w:r>
          <w:rPr>
            <w:noProof/>
            <w:lang w:val="en-US" w:eastAsia="zh-CN"/>
          </w:rPr>
          <w:fldChar w:fldCharType="begin"/>
        </w:r>
        <w:r>
          <w:rPr>
            <w:noProof/>
            <w:lang w:val="en-US" w:eastAsia="zh-CN"/>
          </w:rPr>
          <w:instrText xml:space="preserve"> PAGEREF _Toc152320806 \h </w:instrText>
        </w:r>
        <w:r w:rsidR="005A5153">
          <w:rPr>
            <w:noProof/>
            <w:lang w:val="en-US" w:eastAsia="zh-CN"/>
          </w:rPr>
        </w:r>
        <w:r>
          <w:rPr>
            <w:noProof/>
            <w:lang w:val="en-US" w:eastAsia="zh-CN"/>
          </w:rPr>
          <w:fldChar w:fldCharType="separate"/>
        </w:r>
        <w:r w:rsidR="00DF1733">
          <w:rPr>
            <w:noProof/>
            <w:lang w:val="en-US" w:eastAsia="zh-CN"/>
          </w:rPr>
          <w:t>130</w:t>
        </w:r>
        <w:r>
          <w:rPr>
            <w:noProof/>
            <w:lang w:val="en-US" w:eastAsia="zh-CN"/>
          </w:rPr>
          <w:fldChar w:fldCharType="end"/>
        </w:r>
      </w:hyperlink>
    </w:p>
    <w:p w14:paraId="7EBA9B13" w14:textId="77777777" w:rsidR="004B0883" w:rsidRDefault="004B0883">
      <w:pPr>
        <w:pStyle w:val="TOC2"/>
        <w:ind w:left="420"/>
        <w:rPr>
          <w:rFonts w:ascii="Calibri" w:hAnsi="Calibri"/>
          <w:noProof/>
          <w:sz w:val="21"/>
          <w:szCs w:val="22"/>
          <w:lang w:val="en-US" w:eastAsia="zh-CN"/>
        </w:rPr>
      </w:pPr>
      <w:hyperlink w:anchor="_Toc152320807" w:history="1">
        <w:r>
          <w:rPr>
            <w:rStyle w:val="afff8"/>
            <w:rFonts w:hint="eastAsia"/>
            <w:noProof/>
            <w:lang w:val="en-US" w:eastAsia="zh-CN"/>
          </w:rPr>
          <w:t>四、最近三年及一期主要财务指标及非经常性损益明细表</w:t>
        </w:r>
        <w:r>
          <w:rPr>
            <w:noProof/>
            <w:lang w:val="en-US" w:eastAsia="zh-CN"/>
          </w:rPr>
          <w:tab/>
        </w:r>
        <w:r>
          <w:rPr>
            <w:noProof/>
            <w:lang w:val="en-US" w:eastAsia="zh-CN"/>
          </w:rPr>
          <w:fldChar w:fldCharType="begin"/>
        </w:r>
        <w:r>
          <w:rPr>
            <w:noProof/>
            <w:lang w:val="en-US" w:eastAsia="zh-CN"/>
          </w:rPr>
          <w:instrText xml:space="preserve"> PAGEREF _Toc152320807 \h </w:instrText>
        </w:r>
        <w:r w:rsidR="005A5153">
          <w:rPr>
            <w:noProof/>
            <w:lang w:val="en-US" w:eastAsia="zh-CN"/>
          </w:rPr>
        </w:r>
        <w:r>
          <w:rPr>
            <w:noProof/>
            <w:lang w:val="en-US" w:eastAsia="zh-CN"/>
          </w:rPr>
          <w:fldChar w:fldCharType="separate"/>
        </w:r>
        <w:r w:rsidR="00DF1733">
          <w:rPr>
            <w:noProof/>
            <w:lang w:val="en-US" w:eastAsia="zh-CN"/>
          </w:rPr>
          <w:t>132</w:t>
        </w:r>
        <w:r>
          <w:rPr>
            <w:noProof/>
            <w:lang w:val="en-US" w:eastAsia="zh-CN"/>
          </w:rPr>
          <w:fldChar w:fldCharType="end"/>
        </w:r>
      </w:hyperlink>
    </w:p>
    <w:p w14:paraId="57DC2AF3" w14:textId="77777777" w:rsidR="004B0883" w:rsidRDefault="004B0883">
      <w:pPr>
        <w:pStyle w:val="TOC2"/>
        <w:ind w:left="420"/>
        <w:rPr>
          <w:rFonts w:ascii="Calibri" w:hAnsi="Calibri"/>
          <w:noProof/>
          <w:sz w:val="21"/>
          <w:szCs w:val="22"/>
          <w:lang w:val="en-US" w:eastAsia="zh-CN"/>
        </w:rPr>
      </w:pPr>
      <w:hyperlink w:anchor="_Toc152320808" w:history="1">
        <w:r>
          <w:rPr>
            <w:rStyle w:val="afff8"/>
            <w:rFonts w:hint="eastAsia"/>
            <w:noProof/>
            <w:lang w:val="en-US" w:eastAsia="zh-CN"/>
          </w:rPr>
          <w:t>五、报告期会计政策和会计估计变更情况</w:t>
        </w:r>
        <w:r>
          <w:rPr>
            <w:noProof/>
            <w:lang w:val="en-US" w:eastAsia="zh-CN"/>
          </w:rPr>
          <w:tab/>
        </w:r>
        <w:r>
          <w:rPr>
            <w:noProof/>
            <w:lang w:val="en-US" w:eastAsia="zh-CN"/>
          </w:rPr>
          <w:fldChar w:fldCharType="begin"/>
        </w:r>
        <w:r>
          <w:rPr>
            <w:noProof/>
            <w:lang w:val="en-US" w:eastAsia="zh-CN"/>
          </w:rPr>
          <w:instrText xml:space="preserve"> PAGEREF _Toc152320808 \h </w:instrText>
        </w:r>
        <w:r w:rsidR="005A5153">
          <w:rPr>
            <w:noProof/>
            <w:lang w:val="en-US" w:eastAsia="zh-CN"/>
          </w:rPr>
        </w:r>
        <w:r>
          <w:rPr>
            <w:noProof/>
            <w:lang w:val="en-US" w:eastAsia="zh-CN"/>
          </w:rPr>
          <w:fldChar w:fldCharType="separate"/>
        </w:r>
        <w:r w:rsidR="00DF1733">
          <w:rPr>
            <w:noProof/>
            <w:lang w:val="en-US" w:eastAsia="zh-CN"/>
          </w:rPr>
          <w:t>134</w:t>
        </w:r>
        <w:r>
          <w:rPr>
            <w:noProof/>
            <w:lang w:val="en-US" w:eastAsia="zh-CN"/>
          </w:rPr>
          <w:fldChar w:fldCharType="end"/>
        </w:r>
      </w:hyperlink>
    </w:p>
    <w:p w14:paraId="3468A0A4" w14:textId="77777777" w:rsidR="004B0883" w:rsidRDefault="004B0883">
      <w:pPr>
        <w:pStyle w:val="TOC2"/>
        <w:ind w:left="420"/>
        <w:rPr>
          <w:rFonts w:ascii="Calibri" w:hAnsi="Calibri"/>
          <w:noProof/>
          <w:sz w:val="21"/>
          <w:szCs w:val="22"/>
          <w:lang w:val="en-US" w:eastAsia="zh-CN"/>
        </w:rPr>
      </w:pPr>
      <w:hyperlink w:anchor="_Toc152320809" w:history="1">
        <w:r>
          <w:rPr>
            <w:rStyle w:val="afff8"/>
            <w:rFonts w:hint="eastAsia"/>
            <w:noProof/>
            <w:lang w:val="en-US" w:eastAsia="zh-CN"/>
          </w:rPr>
          <w:t>六、财务状况分析</w:t>
        </w:r>
        <w:r>
          <w:rPr>
            <w:noProof/>
            <w:lang w:val="en-US" w:eastAsia="zh-CN"/>
          </w:rPr>
          <w:tab/>
        </w:r>
        <w:r>
          <w:rPr>
            <w:noProof/>
            <w:lang w:val="en-US" w:eastAsia="zh-CN"/>
          </w:rPr>
          <w:fldChar w:fldCharType="begin"/>
        </w:r>
        <w:r>
          <w:rPr>
            <w:noProof/>
            <w:lang w:val="en-US" w:eastAsia="zh-CN"/>
          </w:rPr>
          <w:instrText xml:space="preserve"> PAGEREF _Toc152320809 \h </w:instrText>
        </w:r>
        <w:r w:rsidR="005A5153">
          <w:rPr>
            <w:noProof/>
            <w:lang w:val="en-US" w:eastAsia="zh-CN"/>
          </w:rPr>
        </w:r>
        <w:r>
          <w:rPr>
            <w:noProof/>
            <w:lang w:val="en-US" w:eastAsia="zh-CN"/>
          </w:rPr>
          <w:fldChar w:fldCharType="separate"/>
        </w:r>
        <w:r w:rsidR="00DF1733">
          <w:rPr>
            <w:noProof/>
            <w:lang w:val="en-US" w:eastAsia="zh-CN"/>
          </w:rPr>
          <w:t>135</w:t>
        </w:r>
        <w:r>
          <w:rPr>
            <w:noProof/>
            <w:lang w:val="en-US" w:eastAsia="zh-CN"/>
          </w:rPr>
          <w:fldChar w:fldCharType="end"/>
        </w:r>
      </w:hyperlink>
    </w:p>
    <w:p w14:paraId="2CE790CA" w14:textId="77777777" w:rsidR="004B0883" w:rsidRDefault="004B0883">
      <w:pPr>
        <w:pStyle w:val="TOC2"/>
        <w:ind w:left="420"/>
        <w:rPr>
          <w:rFonts w:ascii="Calibri" w:hAnsi="Calibri"/>
          <w:noProof/>
          <w:sz w:val="21"/>
          <w:szCs w:val="22"/>
          <w:lang w:val="en-US" w:eastAsia="zh-CN"/>
        </w:rPr>
      </w:pPr>
      <w:hyperlink w:anchor="_Toc152320810" w:history="1">
        <w:r>
          <w:rPr>
            <w:rStyle w:val="afff8"/>
            <w:rFonts w:hint="eastAsia"/>
            <w:noProof/>
            <w:lang w:val="en-US" w:eastAsia="zh-CN"/>
          </w:rPr>
          <w:t>七、公司经营成果分析</w:t>
        </w:r>
        <w:r>
          <w:rPr>
            <w:noProof/>
            <w:lang w:val="en-US" w:eastAsia="zh-CN"/>
          </w:rPr>
          <w:tab/>
        </w:r>
        <w:r>
          <w:rPr>
            <w:noProof/>
            <w:lang w:val="en-US" w:eastAsia="zh-CN"/>
          </w:rPr>
          <w:fldChar w:fldCharType="begin"/>
        </w:r>
        <w:r>
          <w:rPr>
            <w:noProof/>
            <w:lang w:val="en-US" w:eastAsia="zh-CN"/>
          </w:rPr>
          <w:instrText xml:space="preserve"> PAGEREF _Toc152320810 \h </w:instrText>
        </w:r>
        <w:r w:rsidR="005A5153">
          <w:rPr>
            <w:noProof/>
            <w:lang w:val="en-US" w:eastAsia="zh-CN"/>
          </w:rPr>
        </w:r>
        <w:r>
          <w:rPr>
            <w:noProof/>
            <w:lang w:val="en-US" w:eastAsia="zh-CN"/>
          </w:rPr>
          <w:fldChar w:fldCharType="separate"/>
        </w:r>
        <w:r w:rsidR="00DF1733">
          <w:rPr>
            <w:noProof/>
            <w:lang w:val="en-US" w:eastAsia="zh-CN"/>
          </w:rPr>
          <w:t>159</w:t>
        </w:r>
        <w:r>
          <w:rPr>
            <w:noProof/>
            <w:lang w:val="en-US" w:eastAsia="zh-CN"/>
          </w:rPr>
          <w:fldChar w:fldCharType="end"/>
        </w:r>
      </w:hyperlink>
    </w:p>
    <w:p w14:paraId="4AAA6DB9" w14:textId="77777777" w:rsidR="004B0883" w:rsidRDefault="004B0883">
      <w:pPr>
        <w:pStyle w:val="TOC2"/>
        <w:ind w:left="420"/>
        <w:rPr>
          <w:rFonts w:ascii="Calibri" w:hAnsi="Calibri"/>
          <w:noProof/>
          <w:sz w:val="21"/>
          <w:szCs w:val="22"/>
          <w:lang w:val="en-US" w:eastAsia="zh-CN"/>
        </w:rPr>
      </w:pPr>
      <w:hyperlink w:anchor="_Toc152320811" w:history="1">
        <w:r>
          <w:rPr>
            <w:rStyle w:val="afff8"/>
            <w:rFonts w:hint="eastAsia"/>
            <w:noProof/>
            <w:lang w:val="en-US" w:eastAsia="zh-CN"/>
          </w:rPr>
          <w:t>八、现金流量分析</w:t>
        </w:r>
        <w:r>
          <w:rPr>
            <w:noProof/>
            <w:lang w:val="en-US" w:eastAsia="zh-CN"/>
          </w:rPr>
          <w:tab/>
        </w:r>
        <w:r>
          <w:rPr>
            <w:noProof/>
            <w:lang w:val="en-US" w:eastAsia="zh-CN"/>
          </w:rPr>
          <w:fldChar w:fldCharType="begin"/>
        </w:r>
        <w:r>
          <w:rPr>
            <w:noProof/>
            <w:lang w:val="en-US" w:eastAsia="zh-CN"/>
          </w:rPr>
          <w:instrText xml:space="preserve"> PAGEREF _Toc152320811 \h </w:instrText>
        </w:r>
        <w:r w:rsidR="005A5153">
          <w:rPr>
            <w:noProof/>
            <w:lang w:val="en-US" w:eastAsia="zh-CN"/>
          </w:rPr>
        </w:r>
        <w:r>
          <w:rPr>
            <w:noProof/>
            <w:lang w:val="en-US" w:eastAsia="zh-CN"/>
          </w:rPr>
          <w:fldChar w:fldCharType="separate"/>
        </w:r>
        <w:r w:rsidR="00DF1733">
          <w:rPr>
            <w:noProof/>
            <w:lang w:val="en-US" w:eastAsia="zh-CN"/>
          </w:rPr>
          <w:t>171</w:t>
        </w:r>
        <w:r>
          <w:rPr>
            <w:noProof/>
            <w:lang w:val="en-US" w:eastAsia="zh-CN"/>
          </w:rPr>
          <w:fldChar w:fldCharType="end"/>
        </w:r>
      </w:hyperlink>
    </w:p>
    <w:p w14:paraId="074031F8" w14:textId="77777777" w:rsidR="004B0883" w:rsidRDefault="004B0883">
      <w:pPr>
        <w:pStyle w:val="TOC2"/>
        <w:ind w:left="420"/>
        <w:rPr>
          <w:rFonts w:ascii="Calibri" w:hAnsi="Calibri"/>
          <w:noProof/>
          <w:sz w:val="21"/>
          <w:szCs w:val="22"/>
          <w:lang w:val="en-US" w:eastAsia="zh-CN"/>
        </w:rPr>
      </w:pPr>
      <w:hyperlink w:anchor="_Toc152320812" w:history="1">
        <w:r>
          <w:rPr>
            <w:rStyle w:val="afff8"/>
            <w:rFonts w:hint="eastAsia"/>
            <w:noProof/>
            <w:lang w:val="en-US" w:eastAsia="zh-CN"/>
          </w:rPr>
          <w:t>九、资本支出分析</w:t>
        </w:r>
        <w:r>
          <w:rPr>
            <w:noProof/>
            <w:lang w:val="en-US" w:eastAsia="zh-CN"/>
          </w:rPr>
          <w:tab/>
        </w:r>
        <w:r>
          <w:rPr>
            <w:noProof/>
            <w:lang w:val="en-US" w:eastAsia="zh-CN"/>
          </w:rPr>
          <w:fldChar w:fldCharType="begin"/>
        </w:r>
        <w:r>
          <w:rPr>
            <w:noProof/>
            <w:lang w:val="en-US" w:eastAsia="zh-CN"/>
          </w:rPr>
          <w:instrText xml:space="preserve"> PAGEREF _Toc152320812 \h </w:instrText>
        </w:r>
        <w:r w:rsidR="005A5153">
          <w:rPr>
            <w:noProof/>
            <w:lang w:val="en-US" w:eastAsia="zh-CN"/>
          </w:rPr>
        </w:r>
        <w:r>
          <w:rPr>
            <w:noProof/>
            <w:lang w:val="en-US" w:eastAsia="zh-CN"/>
          </w:rPr>
          <w:fldChar w:fldCharType="separate"/>
        </w:r>
        <w:r w:rsidR="00DF1733">
          <w:rPr>
            <w:noProof/>
            <w:lang w:val="en-US" w:eastAsia="zh-CN"/>
          </w:rPr>
          <w:t>173</w:t>
        </w:r>
        <w:r>
          <w:rPr>
            <w:noProof/>
            <w:lang w:val="en-US" w:eastAsia="zh-CN"/>
          </w:rPr>
          <w:fldChar w:fldCharType="end"/>
        </w:r>
      </w:hyperlink>
    </w:p>
    <w:p w14:paraId="44C9AFD1" w14:textId="77777777" w:rsidR="004B0883" w:rsidRDefault="004B0883">
      <w:pPr>
        <w:pStyle w:val="TOC2"/>
        <w:ind w:left="420"/>
        <w:rPr>
          <w:rFonts w:ascii="Calibri" w:hAnsi="Calibri"/>
          <w:noProof/>
          <w:sz w:val="21"/>
          <w:szCs w:val="22"/>
          <w:lang w:val="en-US" w:eastAsia="zh-CN"/>
        </w:rPr>
      </w:pPr>
      <w:hyperlink w:anchor="_Toc152320813" w:history="1">
        <w:r>
          <w:rPr>
            <w:rStyle w:val="afff8"/>
            <w:rFonts w:hint="eastAsia"/>
            <w:noProof/>
            <w:lang w:val="en-US" w:eastAsia="zh-CN"/>
          </w:rPr>
          <w:t>十、技术创新分析</w:t>
        </w:r>
        <w:r>
          <w:rPr>
            <w:noProof/>
            <w:lang w:val="en-US" w:eastAsia="zh-CN"/>
          </w:rPr>
          <w:tab/>
        </w:r>
        <w:r>
          <w:rPr>
            <w:noProof/>
            <w:lang w:val="en-US" w:eastAsia="zh-CN"/>
          </w:rPr>
          <w:fldChar w:fldCharType="begin"/>
        </w:r>
        <w:r>
          <w:rPr>
            <w:noProof/>
            <w:lang w:val="en-US" w:eastAsia="zh-CN"/>
          </w:rPr>
          <w:instrText xml:space="preserve"> PAGEREF _Toc152320813 \h </w:instrText>
        </w:r>
        <w:r w:rsidR="005A5153">
          <w:rPr>
            <w:noProof/>
            <w:lang w:val="en-US" w:eastAsia="zh-CN"/>
          </w:rPr>
        </w:r>
        <w:r>
          <w:rPr>
            <w:noProof/>
            <w:lang w:val="en-US" w:eastAsia="zh-CN"/>
          </w:rPr>
          <w:fldChar w:fldCharType="separate"/>
        </w:r>
        <w:r w:rsidR="00DF1733">
          <w:rPr>
            <w:noProof/>
            <w:lang w:val="en-US" w:eastAsia="zh-CN"/>
          </w:rPr>
          <w:t>174</w:t>
        </w:r>
        <w:r>
          <w:rPr>
            <w:noProof/>
            <w:lang w:val="en-US" w:eastAsia="zh-CN"/>
          </w:rPr>
          <w:fldChar w:fldCharType="end"/>
        </w:r>
      </w:hyperlink>
    </w:p>
    <w:p w14:paraId="086AABA9" w14:textId="77777777" w:rsidR="004B0883" w:rsidRDefault="004B0883">
      <w:pPr>
        <w:pStyle w:val="TOC2"/>
        <w:ind w:left="420"/>
        <w:rPr>
          <w:rFonts w:ascii="Calibri" w:hAnsi="Calibri"/>
          <w:noProof/>
          <w:sz w:val="21"/>
          <w:szCs w:val="22"/>
          <w:lang w:val="en-US" w:eastAsia="zh-CN"/>
        </w:rPr>
      </w:pPr>
      <w:hyperlink w:anchor="_Toc152320814" w:history="1">
        <w:r>
          <w:rPr>
            <w:rStyle w:val="afff8"/>
            <w:rFonts w:hint="eastAsia"/>
            <w:noProof/>
            <w:lang w:val="en-US" w:eastAsia="zh-CN"/>
          </w:rPr>
          <w:t>十一、本次发行摊薄即期回报及公司采取的措施</w:t>
        </w:r>
        <w:r>
          <w:rPr>
            <w:noProof/>
            <w:lang w:val="en-US" w:eastAsia="zh-CN"/>
          </w:rPr>
          <w:tab/>
        </w:r>
        <w:r>
          <w:rPr>
            <w:noProof/>
            <w:lang w:val="en-US" w:eastAsia="zh-CN"/>
          </w:rPr>
          <w:fldChar w:fldCharType="begin"/>
        </w:r>
        <w:r>
          <w:rPr>
            <w:noProof/>
            <w:lang w:val="en-US" w:eastAsia="zh-CN"/>
          </w:rPr>
          <w:instrText xml:space="preserve"> PAGEREF _Toc152320814 \h </w:instrText>
        </w:r>
        <w:r w:rsidR="005A5153">
          <w:rPr>
            <w:noProof/>
            <w:lang w:val="en-US" w:eastAsia="zh-CN"/>
          </w:rPr>
        </w:r>
        <w:r>
          <w:rPr>
            <w:noProof/>
            <w:lang w:val="en-US" w:eastAsia="zh-CN"/>
          </w:rPr>
          <w:fldChar w:fldCharType="separate"/>
        </w:r>
        <w:r w:rsidR="00DF1733">
          <w:rPr>
            <w:noProof/>
            <w:lang w:val="en-US" w:eastAsia="zh-CN"/>
          </w:rPr>
          <w:t>174</w:t>
        </w:r>
        <w:r>
          <w:rPr>
            <w:noProof/>
            <w:lang w:val="en-US" w:eastAsia="zh-CN"/>
          </w:rPr>
          <w:fldChar w:fldCharType="end"/>
        </w:r>
      </w:hyperlink>
    </w:p>
    <w:p w14:paraId="7F4837D9" w14:textId="77777777" w:rsidR="004B0883" w:rsidRDefault="004B0883">
      <w:pPr>
        <w:pStyle w:val="TOC2"/>
        <w:ind w:left="420"/>
        <w:rPr>
          <w:rFonts w:ascii="Calibri" w:hAnsi="Calibri"/>
          <w:noProof/>
          <w:sz w:val="21"/>
          <w:szCs w:val="22"/>
          <w:lang w:val="en-US" w:eastAsia="zh-CN"/>
        </w:rPr>
      </w:pPr>
      <w:hyperlink w:anchor="_Toc152320815" w:history="1">
        <w:r>
          <w:rPr>
            <w:rStyle w:val="afff8"/>
            <w:rFonts w:hint="eastAsia"/>
            <w:noProof/>
            <w:lang w:val="en-US" w:eastAsia="zh-CN"/>
          </w:rPr>
          <w:t>十二、重大担保、诉讼、其他或有事项和重大期后事项情况</w:t>
        </w:r>
        <w:r>
          <w:rPr>
            <w:noProof/>
            <w:lang w:val="en-US" w:eastAsia="zh-CN"/>
          </w:rPr>
          <w:tab/>
        </w:r>
        <w:r>
          <w:rPr>
            <w:noProof/>
            <w:lang w:val="en-US" w:eastAsia="zh-CN"/>
          </w:rPr>
          <w:fldChar w:fldCharType="begin"/>
        </w:r>
        <w:r>
          <w:rPr>
            <w:noProof/>
            <w:lang w:val="en-US" w:eastAsia="zh-CN"/>
          </w:rPr>
          <w:instrText xml:space="preserve"> PAGEREF _Toc152320815 \h </w:instrText>
        </w:r>
        <w:r w:rsidR="005A5153">
          <w:rPr>
            <w:noProof/>
            <w:lang w:val="en-US" w:eastAsia="zh-CN"/>
          </w:rPr>
        </w:r>
        <w:r>
          <w:rPr>
            <w:noProof/>
            <w:lang w:val="en-US" w:eastAsia="zh-CN"/>
          </w:rPr>
          <w:fldChar w:fldCharType="separate"/>
        </w:r>
        <w:r w:rsidR="00DF1733">
          <w:rPr>
            <w:noProof/>
            <w:lang w:val="en-US" w:eastAsia="zh-CN"/>
          </w:rPr>
          <w:t>181</w:t>
        </w:r>
        <w:r>
          <w:rPr>
            <w:noProof/>
            <w:lang w:val="en-US" w:eastAsia="zh-CN"/>
          </w:rPr>
          <w:fldChar w:fldCharType="end"/>
        </w:r>
      </w:hyperlink>
    </w:p>
    <w:p w14:paraId="10938EA6" w14:textId="77777777" w:rsidR="004B0883" w:rsidRDefault="004B0883">
      <w:pPr>
        <w:pStyle w:val="TOC2"/>
        <w:ind w:left="420"/>
        <w:rPr>
          <w:rFonts w:ascii="Calibri" w:hAnsi="Calibri"/>
          <w:noProof/>
          <w:sz w:val="21"/>
          <w:szCs w:val="22"/>
          <w:lang w:val="en-US" w:eastAsia="zh-CN"/>
        </w:rPr>
      </w:pPr>
      <w:hyperlink w:anchor="_Toc152320816" w:history="1">
        <w:r>
          <w:rPr>
            <w:rStyle w:val="afff8"/>
            <w:rFonts w:hint="eastAsia"/>
            <w:noProof/>
            <w:lang w:val="en-US" w:eastAsia="zh-CN"/>
          </w:rPr>
          <w:t>十三、本次发行对上市公司的影响</w:t>
        </w:r>
        <w:r>
          <w:rPr>
            <w:noProof/>
            <w:lang w:val="en-US" w:eastAsia="zh-CN"/>
          </w:rPr>
          <w:tab/>
        </w:r>
        <w:r>
          <w:rPr>
            <w:noProof/>
            <w:lang w:val="en-US" w:eastAsia="zh-CN"/>
          </w:rPr>
          <w:fldChar w:fldCharType="begin"/>
        </w:r>
        <w:r>
          <w:rPr>
            <w:noProof/>
            <w:lang w:val="en-US" w:eastAsia="zh-CN"/>
          </w:rPr>
          <w:instrText xml:space="preserve"> PAGEREF _Toc152320816 \h </w:instrText>
        </w:r>
        <w:r w:rsidR="005A5153">
          <w:rPr>
            <w:noProof/>
            <w:lang w:val="en-US" w:eastAsia="zh-CN"/>
          </w:rPr>
        </w:r>
        <w:r>
          <w:rPr>
            <w:noProof/>
            <w:lang w:val="en-US" w:eastAsia="zh-CN"/>
          </w:rPr>
          <w:fldChar w:fldCharType="separate"/>
        </w:r>
        <w:r w:rsidR="00DF1733">
          <w:rPr>
            <w:noProof/>
            <w:lang w:val="en-US" w:eastAsia="zh-CN"/>
          </w:rPr>
          <w:t>182</w:t>
        </w:r>
        <w:r>
          <w:rPr>
            <w:noProof/>
            <w:lang w:val="en-US" w:eastAsia="zh-CN"/>
          </w:rPr>
          <w:fldChar w:fldCharType="end"/>
        </w:r>
      </w:hyperlink>
    </w:p>
    <w:p w14:paraId="07D431E0" w14:textId="77777777" w:rsidR="004B0883" w:rsidRDefault="004B0883">
      <w:pPr>
        <w:pStyle w:val="TOC1"/>
        <w:rPr>
          <w:rFonts w:ascii="Calibri" w:hAnsi="Calibri"/>
          <w:b w:val="0"/>
          <w:noProof/>
          <w:sz w:val="21"/>
          <w:szCs w:val="22"/>
          <w:lang w:val="en-US" w:eastAsia="zh-CN"/>
        </w:rPr>
      </w:pPr>
      <w:hyperlink w:anchor="_Toc152320817" w:history="1">
        <w:r>
          <w:rPr>
            <w:rStyle w:val="afff8"/>
            <w:rFonts w:hint="eastAsia"/>
            <w:noProof/>
            <w:kern w:val="44"/>
            <w:lang w:val="en-US" w:eastAsia="zh-CN"/>
          </w:rPr>
          <w:t>第六节</w:t>
        </w:r>
        <w:r>
          <w:rPr>
            <w:rStyle w:val="afff8"/>
            <w:noProof/>
            <w:kern w:val="44"/>
            <w:lang w:val="en-US" w:eastAsia="zh-CN"/>
          </w:rPr>
          <w:t xml:space="preserve">  </w:t>
        </w:r>
        <w:r>
          <w:rPr>
            <w:rStyle w:val="afff8"/>
            <w:rFonts w:hint="eastAsia"/>
            <w:noProof/>
            <w:kern w:val="44"/>
            <w:lang w:val="en-US" w:eastAsia="zh-CN"/>
          </w:rPr>
          <w:t>合规经营与独立性</w:t>
        </w:r>
        <w:r>
          <w:rPr>
            <w:noProof/>
            <w:lang w:val="en-US" w:eastAsia="zh-CN"/>
          </w:rPr>
          <w:tab/>
        </w:r>
        <w:r>
          <w:rPr>
            <w:noProof/>
            <w:lang w:val="en-US" w:eastAsia="zh-CN"/>
          </w:rPr>
          <w:fldChar w:fldCharType="begin"/>
        </w:r>
        <w:r>
          <w:rPr>
            <w:noProof/>
            <w:lang w:val="en-US" w:eastAsia="zh-CN"/>
          </w:rPr>
          <w:instrText xml:space="preserve"> PAGEREF _Toc152320817 \h </w:instrText>
        </w:r>
        <w:r w:rsidR="005A5153">
          <w:rPr>
            <w:noProof/>
            <w:lang w:val="en-US" w:eastAsia="zh-CN"/>
          </w:rPr>
        </w:r>
        <w:r>
          <w:rPr>
            <w:noProof/>
            <w:lang w:val="en-US" w:eastAsia="zh-CN"/>
          </w:rPr>
          <w:fldChar w:fldCharType="separate"/>
        </w:r>
        <w:r w:rsidR="00DF1733">
          <w:rPr>
            <w:noProof/>
            <w:lang w:val="en-US" w:eastAsia="zh-CN"/>
          </w:rPr>
          <w:t>183</w:t>
        </w:r>
        <w:r>
          <w:rPr>
            <w:noProof/>
            <w:lang w:val="en-US" w:eastAsia="zh-CN"/>
          </w:rPr>
          <w:fldChar w:fldCharType="end"/>
        </w:r>
      </w:hyperlink>
    </w:p>
    <w:p w14:paraId="728A215C" w14:textId="77777777" w:rsidR="004B0883" w:rsidRDefault="004B0883">
      <w:pPr>
        <w:pStyle w:val="TOC2"/>
        <w:ind w:left="420"/>
        <w:rPr>
          <w:rFonts w:ascii="Calibri" w:hAnsi="Calibri"/>
          <w:noProof/>
          <w:sz w:val="21"/>
          <w:szCs w:val="22"/>
          <w:lang w:val="en-US" w:eastAsia="zh-CN"/>
        </w:rPr>
      </w:pPr>
      <w:hyperlink w:anchor="_Toc152320818" w:history="1">
        <w:r>
          <w:rPr>
            <w:rStyle w:val="afff8"/>
            <w:rFonts w:hint="eastAsia"/>
            <w:noProof/>
            <w:lang w:val="en-US" w:eastAsia="zh-CN"/>
          </w:rPr>
          <w:t>一、合规经营情况</w:t>
        </w:r>
        <w:r>
          <w:rPr>
            <w:noProof/>
            <w:lang w:val="en-US" w:eastAsia="zh-CN"/>
          </w:rPr>
          <w:tab/>
        </w:r>
        <w:r>
          <w:rPr>
            <w:noProof/>
            <w:lang w:val="en-US" w:eastAsia="zh-CN"/>
          </w:rPr>
          <w:fldChar w:fldCharType="begin"/>
        </w:r>
        <w:r>
          <w:rPr>
            <w:noProof/>
            <w:lang w:val="en-US" w:eastAsia="zh-CN"/>
          </w:rPr>
          <w:instrText xml:space="preserve"> PAGEREF _Toc152320818 \h </w:instrText>
        </w:r>
        <w:r w:rsidR="005A5153">
          <w:rPr>
            <w:noProof/>
            <w:lang w:val="en-US" w:eastAsia="zh-CN"/>
          </w:rPr>
        </w:r>
        <w:r>
          <w:rPr>
            <w:noProof/>
            <w:lang w:val="en-US" w:eastAsia="zh-CN"/>
          </w:rPr>
          <w:fldChar w:fldCharType="separate"/>
        </w:r>
        <w:r w:rsidR="00DF1733">
          <w:rPr>
            <w:noProof/>
            <w:lang w:val="en-US" w:eastAsia="zh-CN"/>
          </w:rPr>
          <w:t>183</w:t>
        </w:r>
        <w:r>
          <w:rPr>
            <w:noProof/>
            <w:lang w:val="en-US" w:eastAsia="zh-CN"/>
          </w:rPr>
          <w:fldChar w:fldCharType="end"/>
        </w:r>
      </w:hyperlink>
    </w:p>
    <w:p w14:paraId="382EAF19" w14:textId="77777777" w:rsidR="004B0883" w:rsidRDefault="004B0883">
      <w:pPr>
        <w:pStyle w:val="TOC2"/>
        <w:ind w:left="420"/>
        <w:rPr>
          <w:rFonts w:ascii="Calibri" w:hAnsi="Calibri"/>
          <w:noProof/>
          <w:sz w:val="21"/>
          <w:szCs w:val="22"/>
          <w:lang w:val="en-US" w:eastAsia="zh-CN"/>
        </w:rPr>
      </w:pPr>
      <w:hyperlink w:anchor="_Toc152320819" w:history="1">
        <w:r>
          <w:rPr>
            <w:rStyle w:val="afff8"/>
            <w:rFonts w:hint="eastAsia"/>
            <w:noProof/>
            <w:lang w:val="en-US" w:eastAsia="zh-CN"/>
          </w:rPr>
          <w:t>二、同业竞争</w:t>
        </w:r>
        <w:r>
          <w:rPr>
            <w:noProof/>
            <w:lang w:val="en-US" w:eastAsia="zh-CN"/>
          </w:rPr>
          <w:tab/>
        </w:r>
        <w:r>
          <w:rPr>
            <w:noProof/>
            <w:lang w:val="en-US" w:eastAsia="zh-CN"/>
          </w:rPr>
          <w:fldChar w:fldCharType="begin"/>
        </w:r>
        <w:r>
          <w:rPr>
            <w:noProof/>
            <w:lang w:val="en-US" w:eastAsia="zh-CN"/>
          </w:rPr>
          <w:instrText xml:space="preserve"> PAGEREF _Toc152320819 \h </w:instrText>
        </w:r>
        <w:r w:rsidR="005A5153">
          <w:rPr>
            <w:noProof/>
            <w:lang w:val="en-US" w:eastAsia="zh-CN"/>
          </w:rPr>
        </w:r>
        <w:r>
          <w:rPr>
            <w:noProof/>
            <w:lang w:val="en-US" w:eastAsia="zh-CN"/>
          </w:rPr>
          <w:fldChar w:fldCharType="separate"/>
        </w:r>
        <w:r w:rsidR="00DF1733">
          <w:rPr>
            <w:noProof/>
            <w:lang w:val="en-US" w:eastAsia="zh-CN"/>
          </w:rPr>
          <w:t>189</w:t>
        </w:r>
        <w:r>
          <w:rPr>
            <w:noProof/>
            <w:lang w:val="en-US" w:eastAsia="zh-CN"/>
          </w:rPr>
          <w:fldChar w:fldCharType="end"/>
        </w:r>
      </w:hyperlink>
    </w:p>
    <w:p w14:paraId="7200227A" w14:textId="77777777" w:rsidR="004B0883" w:rsidRDefault="004B0883">
      <w:pPr>
        <w:pStyle w:val="TOC2"/>
        <w:ind w:left="420"/>
        <w:rPr>
          <w:rFonts w:ascii="Calibri" w:hAnsi="Calibri"/>
          <w:noProof/>
          <w:sz w:val="21"/>
          <w:szCs w:val="22"/>
          <w:lang w:val="en-US" w:eastAsia="zh-CN"/>
        </w:rPr>
      </w:pPr>
      <w:hyperlink w:anchor="_Toc152320820" w:history="1">
        <w:r>
          <w:rPr>
            <w:rStyle w:val="afff8"/>
            <w:rFonts w:hint="eastAsia"/>
            <w:noProof/>
            <w:lang w:val="en-US" w:eastAsia="zh-CN"/>
          </w:rPr>
          <w:t>三、关联方、关联关系及关联交易</w:t>
        </w:r>
        <w:r>
          <w:rPr>
            <w:noProof/>
            <w:lang w:val="en-US" w:eastAsia="zh-CN"/>
          </w:rPr>
          <w:tab/>
        </w:r>
        <w:r>
          <w:rPr>
            <w:noProof/>
            <w:lang w:val="en-US" w:eastAsia="zh-CN"/>
          </w:rPr>
          <w:fldChar w:fldCharType="begin"/>
        </w:r>
        <w:r>
          <w:rPr>
            <w:noProof/>
            <w:lang w:val="en-US" w:eastAsia="zh-CN"/>
          </w:rPr>
          <w:instrText xml:space="preserve"> PAGEREF _Toc152320820 \h </w:instrText>
        </w:r>
        <w:r w:rsidR="005A5153">
          <w:rPr>
            <w:noProof/>
            <w:lang w:val="en-US" w:eastAsia="zh-CN"/>
          </w:rPr>
        </w:r>
        <w:r>
          <w:rPr>
            <w:noProof/>
            <w:lang w:val="en-US" w:eastAsia="zh-CN"/>
          </w:rPr>
          <w:fldChar w:fldCharType="separate"/>
        </w:r>
        <w:r w:rsidR="00DF1733">
          <w:rPr>
            <w:noProof/>
            <w:lang w:val="en-US" w:eastAsia="zh-CN"/>
          </w:rPr>
          <w:t>190</w:t>
        </w:r>
        <w:r>
          <w:rPr>
            <w:noProof/>
            <w:lang w:val="en-US" w:eastAsia="zh-CN"/>
          </w:rPr>
          <w:fldChar w:fldCharType="end"/>
        </w:r>
      </w:hyperlink>
    </w:p>
    <w:p w14:paraId="0A379EB4" w14:textId="77777777" w:rsidR="004B0883" w:rsidRDefault="004B0883">
      <w:pPr>
        <w:pStyle w:val="TOC1"/>
        <w:rPr>
          <w:rFonts w:ascii="Calibri" w:hAnsi="Calibri"/>
          <w:b w:val="0"/>
          <w:noProof/>
          <w:sz w:val="21"/>
          <w:szCs w:val="22"/>
          <w:lang w:val="en-US" w:eastAsia="zh-CN"/>
        </w:rPr>
      </w:pPr>
      <w:hyperlink w:anchor="_Toc152320821" w:history="1">
        <w:r>
          <w:rPr>
            <w:rStyle w:val="afff8"/>
            <w:rFonts w:hint="eastAsia"/>
            <w:noProof/>
            <w:lang w:val="en-US" w:eastAsia="zh-CN"/>
          </w:rPr>
          <w:t>第七节</w:t>
        </w:r>
        <w:r>
          <w:rPr>
            <w:rStyle w:val="afff8"/>
            <w:noProof/>
            <w:lang w:val="en-US" w:eastAsia="zh-CN"/>
          </w:rPr>
          <w:t xml:space="preserve">  </w:t>
        </w:r>
        <w:r>
          <w:rPr>
            <w:rStyle w:val="afff8"/>
            <w:rFonts w:hint="eastAsia"/>
            <w:noProof/>
            <w:lang w:val="en-US" w:eastAsia="zh-CN"/>
          </w:rPr>
          <w:t>本次募集资金运用</w:t>
        </w:r>
        <w:r>
          <w:rPr>
            <w:noProof/>
            <w:lang w:val="en-US" w:eastAsia="zh-CN"/>
          </w:rPr>
          <w:tab/>
        </w:r>
        <w:r>
          <w:rPr>
            <w:noProof/>
            <w:lang w:val="en-US" w:eastAsia="zh-CN"/>
          </w:rPr>
          <w:fldChar w:fldCharType="begin"/>
        </w:r>
        <w:r>
          <w:rPr>
            <w:noProof/>
            <w:lang w:val="en-US" w:eastAsia="zh-CN"/>
          </w:rPr>
          <w:instrText xml:space="preserve"> PAGEREF _Toc152320821 \h </w:instrText>
        </w:r>
        <w:r w:rsidR="005A5153">
          <w:rPr>
            <w:noProof/>
            <w:lang w:val="en-US" w:eastAsia="zh-CN"/>
          </w:rPr>
        </w:r>
        <w:r>
          <w:rPr>
            <w:noProof/>
            <w:lang w:val="en-US" w:eastAsia="zh-CN"/>
          </w:rPr>
          <w:fldChar w:fldCharType="separate"/>
        </w:r>
        <w:r w:rsidR="00DF1733">
          <w:rPr>
            <w:noProof/>
            <w:lang w:val="en-US" w:eastAsia="zh-CN"/>
          </w:rPr>
          <w:t>202</w:t>
        </w:r>
        <w:r>
          <w:rPr>
            <w:noProof/>
            <w:lang w:val="en-US" w:eastAsia="zh-CN"/>
          </w:rPr>
          <w:fldChar w:fldCharType="end"/>
        </w:r>
      </w:hyperlink>
    </w:p>
    <w:p w14:paraId="12D026F3" w14:textId="77777777" w:rsidR="004B0883" w:rsidRDefault="004B0883">
      <w:pPr>
        <w:pStyle w:val="TOC2"/>
        <w:ind w:left="420"/>
        <w:rPr>
          <w:rFonts w:ascii="Calibri" w:hAnsi="Calibri"/>
          <w:noProof/>
          <w:sz w:val="21"/>
          <w:szCs w:val="22"/>
          <w:lang w:val="en-US" w:eastAsia="zh-CN"/>
        </w:rPr>
      </w:pPr>
      <w:hyperlink w:anchor="_Toc152320822" w:history="1">
        <w:r>
          <w:rPr>
            <w:rStyle w:val="afff8"/>
            <w:rFonts w:hint="eastAsia"/>
            <w:noProof/>
            <w:lang w:val="en-US" w:eastAsia="zh-CN"/>
          </w:rPr>
          <w:t>一、预计募集资金数额</w:t>
        </w:r>
        <w:r>
          <w:rPr>
            <w:noProof/>
            <w:lang w:val="en-US" w:eastAsia="zh-CN"/>
          </w:rPr>
          <w:tab/>
        </w:r>
        <w:r>
          <w:rPr>
            <w:noProof/>
            <w:lang w:val="en-US" w:eastAsia="zh-CN"/>
          </w:rPr>
          <w:fldChar w:fldCharType="begin"/>
        </w:r>
        <w:r>
          <w:rPr>
            <w:noProof/>
            <w:lang w:val="en-US" w:eastAsia="zh-CN"/>
          </w:rPr>
          <w:instrText xml:space="preserve"> PAGEREF _Toc152320822 \h </w:instrText>
        </w:r>
        <w:r w:rsidR="005A5153">
          <w:rPr>
            <w:noProof/>
            <w:lang w:val="en-US" w:eastAsia="zh-CN"/>
          </w:rPr>
        </w:r>
        <w:r>
          <w:rPr>
            <w:noProof/>
            <w:lang w:val="en-US" w:eastAsia="zh-CN"/>
          </w:rPr>
          <w:fldChar w:fldCharType="separate"/>
        </w:r>
        <w:r w:rsidR="00DF1733">
          <w:rPr>
            <w:noProof/>
            <w:lang w:val="en-US" w:eastAsia="zh-CN"/>
          </w:rPr>
          <w:t>202</w:t>
        </w:r>
        <w:r>
          <w:rPr>
            <w:noProof/>
            <w:lang w:val="en-US" w:eastAsia="zh-CN"/>
          </w:rPr>
          <w:fldChar w:fldCharType="end"/>
        </w:r>
      </w:hyperlink>
    </w:p>
    <w:p w14:paraId="5672FDA9" w14:textId="77777777" w:rsidR="004B0883" w:rsidRDefault="004B0883">
      <w:pPr>
        <w:pStyle w:val="TOC2"/>
        <w:ind w:left="420"/>
        <w:rPr>
          <w:rFonts w:ascii="Calibri" w:hAnsi="Calibri"/>
          <w:noProof/>
          <w:sz w:val="21"/>
          <w:szCs w:val="22"/>
          <w:lang w:val="en-US" w:eastAsia="zh-CN"/>
        </w:rPr>
      </w:pPr>
      <w:hyperlink w:anchor="_Toc152320823" w:history="1">
        <w:r>
          <w:rPr>
            <w:rStyle w:val="afff8"/>
            <w:rFonts w:hint="eastAsia"/>
            <w:noProof/>
            <w:lang w:val="en-US" w:eastAsia="zh-CN"/>
          </w:rPr>
          <w:t>二、募集资金投资项目的必要性和可行性</w:t>
        </w:r>
        <w:r>
          <w:rPr>
            <w:noProof/>
            <w:lang w:val="en-US" w:eastAsia="zh-CN"/>
          </w:rPr>
          <w:tab/>
        </w:r>
        <w:r>
          <w:rPr>
            <w:noProof/>
            <w:lang w:val="en-US" w:eastAsia="zh-CN"/>
          </w:rPr>
          <w:fldChar w:fldCharType="begin"/>
        </w:r>
        <w:r>
          <w:rPr>
            <w:noProof/>
            <w:lang w:val="en-US" w:eastAsia="zh-CN"/>
          </w:rPr>
          <w:instrText xml:space="preserve"> PAGEREF _Toc152320823 \h </w:instrText>
        </w:r>
        <w:r w:rsidR="005A5153">
          <w:rPr>
            <w:noProof/>
            <w:lang w:val="en-US" w:eastAsia="zh-CN"/>
          </w:rPr>
        </w:r>
        <w:r>
          <w:rPr>
            <w:noProof/>
            <w:lang w:val="en-US" w:eastAsia="zh-CN"/>
          </w:rPr>
          <w:fldChar w:fldCharType="separate"/>
        </w:r>
        <w:r w:rsidR="00DF1733">
          <w:rPr>
            <w:noProof/>
            <w:lang w:val="en-US" w:eastAsia="zh-CN"/>
          </w:rPr>
          <w:t>202</w:t>
        </w:r>
        <w:r>
          <w:rPr>
            <w:noProof/>
            <w:lang w:val="en-US" w:eastAsia="zh-CN"/>
          </w:rPr>
          <w:fldChar w:fldCharType="end"/>
        </w:r>
      </w:hyperlink>
    </w:p>
    <w:p w14:paraId="147A1DE1" w14:textId="77777777" w:rsidR="004B0883" w:rsidRDefault="004B0883">
      <w:pPr>
        <w:pStyle w:val="TOC2"/>
        <w:ind w:left="420"/>
        <w:rPr>
          <w:rFonts w:ascii="Calibri" w:hAnsi="Calibri"/>
          <w:noProof/>
          <w:sz w:val="21"/>
          <w:szCs w:val="22"/>
          <w:lang w:val="en-US" w:eastAsia="zh-CN"/>
        </w:rPr>
      </w:pPr>
      <w:hyperlink w:anchor="_Toc152320824" w:history="1">
        <w:r>
          <w:rPr>
            <w:rStyle w:val="afff8"/>
            <w:rFonts w:hint="eastAsia"/>
            <w:noProof/>
            <w:lang w:val="en-US" w:eastAsia="zh-CN"/>
          </w:rPr>
          <w:t>三、本次募集资金投资项目的基本情况</w:t>
        </w:r>
        <w:r>
          <w:rPr>
            <w:noProof/>
            <w:lang w:val="en-US" w:eastAsia="zh-CN"/>
          </w:rPr>
          <w:tab/>
        </w:r>
        <w:r>
          <w:rPr>
            <w:noProof/>
            <w:lang w:val="en-US" w:eastAsia="zh-CN"/>
          </w:rPr>
          <w:fldChar w:fldCharType="begin"/>
        </w:r>
        <w:r>
          <w:rPr>
            <w:noProof/>
            <w:lang w:val="en-US" w:eastAsia="zh-CN"/>
          </w:rPr>
          <w:instrText xml:space="preserve"> PAGEREF _Toc152320824 \h </w:instrText>
        </w:r>
        <w:r w:rsidR="005A5153">
          <w:rPr>
            <w:noProof/>
            <w:lang w:val="en-US" w:eastAsia="zh-CN"/>
          </w:rPr>
        </w:r>
        <w:r>
          <w:rPr>
            <w:noProof/>
            <w:lang w:val="en-US" w:eastAsia="zh-CN"/>
          </w:rPr>
          <w:fldChar w:fldCharType="separate"/>
        </w:r>
        <w:r w:rsidR="00DF1733">
          <w:rPr>
            <w:noProof/>
            <w:lang w:val="en-US" w:eastAsia="zh-CN"/>
          </w:rPr>
          <w:t>207</w:t>
        </w:r>
        <w:r>
          <w:rPr>
            <w:noProof/>
            <w:lang w:val="en-US" w:eastAsia="zh-CN"/>
          </w:rPr>
          <w:fldChar w:fldCharType="end"/>
        </w:r>
      </w:hyperlink>
    </w:p>
    <w:p w14:paraId="2BD90047" w14:textId="77777777" w:rsidR="004B0883" w:rsidRDefault="004B0883">
      <w:pPr>
        <w:pStyle w:val="TOC2"/>
        <w:ind w:left="420"/>
        <w:rPr>
          <w:rFonts w:ascii="Calibri" w:hAnsi="Calibri"/>
          <w:noProof/>
          <w:sz w:val="21"/>
          <w:szCs w:val="22"/>
          <w:lang w:val="en-US" w:eastAsia="zh-CN"/>
        </w:rPr>
      </w:pPr>
      <w:hyperlink w:anchor="_Toc152320825" w:history="1">
        <w:r>
          <w:rPr>
            <w:rStyle w:val="afff8"/>
            <w:rFonts w:hint="eastAsia"/>
            <w:noProof/>
            <w:lang w:val="en-US" w:eastAsia="zh-CN"/>
          </w:rPr>
          <w:t>四、本次向不特定对象发行可转换公司债券对公司经营管理和财务状况的影响</w:t>
        </w:r>
        <w:r>
          <w:rPr>
            <w:noProof/>
            <w:lang w:val="en-US" w:eastAsia="zh-CN"/>
          </w:rPr>
          <w:tab/>
        </w:r>
        <w:r>
          <w:rPr>
            <w:noProof/>
            <w:lang w:val="en-US" w:eastAsia="zh-CN"/>
          </w:rPr>
          <w:fldChar w:fldCharType="begin"/>
        </w:r>
        <w:r>
          <w:rPr>
            <w:noProof/>
            <w:lang w:val="en-US" w:eastAsia="zh-CN"/>
          </w:rPr>
          <w:instrText xml:space="preserve"> PAGEREF _Toc152320825 \h </w:instrText>
        </w:r>
        <w:r w:rsidR="005A5153">
          <w:rPr>
            <w:noProof/>
            <w:lang w:val="en-US" w:eastAsia="zh-CN"/>
          </w:rPr>
        </w:r>
        <w:r>
          <w:rPr>
            <w:noProof/>
            <w:lang w:val="en-US" w:eastAsia="zh-CN"/>
          </w:rPr>
          <w:fldChar w:fldCharType="separate"/>
        </w:r>
        <w:r w:rsidR="00DF1733">
          <w:rPr>
            <w:noProof/>
            <w:lang w:val="en-US" w:eastAsia="zh-CN"/>
          </w:rPr>
          <w:t>216</w:t>
        </w:r>
        <w:r>
          <w:rPr>
            <w:noProof/>
            <w:lang w:val="en-US" w:eastAsia="zh-CN"/>
          </w:rPr>
          <w:fldChar w:fldCharType="end"/>
        </w:r>
      </w:hyperlink>
    </w:p>
    <w:p w14:paraId="3EEC7ED5" w14:textId="77777777" w:rsidR="004B0883" w:rsidRDefault="004B0883">
      <w:pPr>
        <w:pStyle w:val="TOC2"/>
        <w:ind w:left="420"/>
        <w:rPr>
          <w:rFonts w:ascii="Calibri" w:hAnsi="Calibri"/>
          <w:noProof/>
          <w:sz w:val="21"/>
          <w:szCs w:val="22"/>
          <w:lang w:val="en-US" w:eastAsia="zh-CN"/>
        </w:rPr>
      </w:pPr>
      <w:hyperlink w:anchor="_Toc152320826" w:history="1">
        <w:r>
          <w:rPr>
            <w:rStyle w:val="afff8"/>
            <w:rFonts w:hint="eastAsia"/>
            <w:noProof/>
            <w:lang w:val="en-US" w:eastAsia="zh-CN"/>
          </w:rPr>
          <w:t>五、关于主营业务与募集资金投向的合规性</w:t>
        </w:r>
        <w:r>
          <w:rPr>
            <w:noProof/>
            <w:lang w:val="en-US" w:eastAsia="zh-CN"/>
          </w:rPr>
          <w:tab/>
        </w:r>
        <w:r>
          <w:rPr>
            <w:noProof/>
            <w:lang w:val="en-US" w:eastAsia="zh-CN"/>
          </w:rPr>
          <w:fldChar w:fldCharType="begin"/>
        </w:r>
        <w:r>
          <w:rPr>
            <w:noProof/>
            <w:lang w:val="en-US" w:eastAsia="zh-CN"/>
          </w:rPr>
          <w:instrText xml:space="preserve"> PAGEREF _Toc152320826 \h </w:instrText>
        </w:r>
        <w:r w:rsidR="005A5153">
          <w:rPr>
            <w:noProof/>
            <w:lang w:val="en-US" w:eastAsia="zh-CN"/>
          </w:rPr>
        </w:r>
        <w:r>
          <w:rPr>
            <w:noProof/>
            <w:lang w:val="en-US" w:eastAsia="zh-CN"/>
          </w:rPr>
          <w:fldChar w:fldCharType="separate"/>
        </w:r>
        <w:r w:rsidR="00DF1733">
          <w:rPr>
            <w:noProof/>
            <w:lang w:val="en-US" w:eastAsia="zh-CN"/>
          </w:rPr>
          <w:t>216</w:t>
        </w:r>
        <w:r>
          <w:rPr>
            <w:noProof/>
            <w:lang w:val="en-US" w:eastAsia="zh-CN"/>
          </w:rPr>
          <w:fldChar w:fldCharType="end"/>
        </w:r>
      </w:hyperlink>
    </w:p>
    <w:p w14:paraId="11CA7F75" w14:textId="77777777" w:rsidR="004B0883" w:rsidRDefault="004B0883">
      <w:pPr>
        <w:pStyle w:val="TOC1"/>
        <w:rPr>
          <w:rFonts w:ascii="Calibri" w:hAnsi="Calibri"/>
          <w:b w:val="0"/>
          <w:noProof/>
          <w:sz w:val="21"/>
          <w:szCs w:val="22"/>
          <w:lang w:val="en-US" w:eastAsia="zh-CN"/>
        </w:rPr>
      </w:pPr>
      <w:hyperlink w:anchor="_Toc152320827" w:history="1">
        <w:r>
          <w:rPr>
            <w:rStyle w:val="afff8"/>
            <w:rFonts w:hint="eastAsia"/>
            <w:noProof/>
            <w:lang w:val="en-US" w:eastAsia="zh-CN"/>
          </w:rPr>
          <w:t>第八节</w:t>
        </w:r>
        <w:r>
          <w:rPr>
            <w:rStyle w:val="afff8"/>
            <w:noProof/>
            <w:lang w:val="en-US" w:eastAsia="zh-CN"/>
          </w:rPr>
          <w:t xml:space="preserve">  </w:t>
        </w:r>
        <w:r>
          <w:rPr>
            <w:rStyle w:val="afff8"/>
            <w:rFonts w:hint="eastAsia"/>
            <w:noProof/>
            <w:lang w:val="en-US" w:eastAsia="zh-CN"/>
          </w:rPr>
          <w:t>历次募集资金运用</w:t>
        </w:r>
        <w:r>
          <w:rPr>
            <w:noProof/>
            <w:lang w:val="en-US" w:eastAsia="zh-CN"/>
          </w:rPr>
          <w:tab/>
        </w:r>
        <w:r>
          <w:rPr>
            <w:noProof/>
            <w:lang w:val="en-US" w:eastAsia="zh-CN"/>
          </w:rPr>
          <w:fldChar w:fldCharType="begin"/>
        </w:r>
        <w:r>
          <w:rPr>
            <w:noProof/>
            <w:lang w:val="en-US" w:eastAsia="zh-CN"/>
          </w:rPr>
          <w:instrText xml:space="preserve"> PAGEREF _Toc152320827 \h </w:instrText>
        </w:r>
        <w:r w:rsidR="005A5153">
          <w:rPr>
            <w:noProof/>
            <w:lang w:val="en-US" w:eastAsia="zh-CN"/>
          </w:rPr>
        </w:r>
        <w:r>
          <w:rPr>
            <w:noProof/>
            <w:lang w:val="en-US" w:eastAsia="zh-CN"/>
          </w:rPr>
          <w:fldChar w:fldCharType="separate"/>
        </w:r>
        <w:r w:rsidR="00DF1733">
          <w:rPr>
            <w:noProof/>
            <w:lang w:val="en-US" w:eastAsia="zh-CN"/>
          </w:rPr>
          <w:t>218</w:t>
        </w:r>
        <w:r>
          <w:rPr>
            <w:noProof/>
            <w:lang w:val="en-US" w:eastAsia="zh-CN"/>
          </w:rPr>
          <w:fldChar w:fldCharType="end"/>
        </w:r>
      </w:hyperlink>
    </w:p>
    <w:p w14:paraId="20886952" w14:textId="77777777" w:rsidR="004B0883" w:rsidRDefault="004B0883">
      <w:pPr>
        <w:pStyle w:val="TOC1"/>
        <w:rPr>
          <w:rFonts w:ascii="Calibri" w:hAnsi="Calibri"/>
          <w:b w:val="0"/>
          <w:noProof/>
          <w:sz w:val="21"/>
          <w:szCs w:val="22"/>
          <w:lang w:val="en-US" w:eastAsia="zh-CN"/>
        </w:rPr>
      </w:pPr>
      <w:hyperlink w:anchor="_Toc152320828" w:history="1">
        <w:r>
          <w:rPr>
            <w:rStyle w:val="afff8"/>
            <w:rFonts w:hint="eastAsia"/>
            <w:noProof/>
            <w:lang w:val="en-US" w:eastAsia="zh-CN"/>
          </w:rPr>
          <w:t>第九节</w:t>
        </w:r>
        <w:r>
          <w:rPr>
            <w:rStyle w:val="afff8"/>
            <w:noProof/>
            <w:lang w:val="en-US" w:eastAsia="zh-CN"/>
          </w:rPr>
          <w:t xml:space="preserve">  </w:t>
        </w:r>
        <w:r>
          <w:rPr>
            <w:rStyle w:val="afff8"/>
            <w:rFonts w:hint="eastAsia"/>
            <w:noProof/>
            <w:lang w:val="en-US" w:eastAsia="zh-CN"/>
          </w:rPr>
          <w:t>声明</w:t>
        </w:r>
        <w:r>
          <w:rPr>
            <w:noProof/>
            <w:lang w:val="en-US" w:eastAsia="zh-CN"/>
          </w:rPr>
          <w:tab/>
        </w:r>
        <w:r>
          <w:rPr>
            <w:noProof/>
            <w:lang w:val="en-US" w:eastAsia="zh-CN"/>
          </w:rPr>
          <w:fldChar w:fldCharType="begin"/>
        </w:r>
        <w:r>
          <w:rPr>
            <w:noProof/>
            <w:lang w:val="en-US" w:eastAsia="zh-CN"/>
          </w:rPr>
          <w:instrText xml:space="preserve"> PAGEREF _Toc152320828 \h </w:instrText>
        </w:r>
        <w:r w:rsidR="005A5153">
          <w:rPr>
            <w:noProof/>
            <w:lang w:val="en-US" w:eastAsia="zh-CN"/>
          </w:rPr>
        </w:r>
        <w:r>
          <w:rPr>
            <w:noProof/>
            <w:lang w:val="en-US" w:eastAsia="zh-CN"/>
          </w:rPr>
          <w:fldChar w:fldCharType="separate"/>
        </w:r>
        <w:r w:rsidR="00DF1733">
          <w:rPr>
            <w:noProof/>
            <w:lang w:val="en-US" w:eastAsia="zh-CN"/>
          </w:rPr>
          <w:t>219</w:t>
        </w:r>
        <w:r>
          <w:rPr>
            <w:noProof/>
            <w:lang w:val="en-US" w:eastAsia="zh-CN"/>
          </w:rPr>
          <w:fldChar w:fldCharType="end"/>
        </w:r>
      </w:hyperlink>
    </w:p>
    <w:p w14:paraId="2C3D4303" w14:textId="77777777" w:rsidR="004B0883" w:rsidRDefault="004B0883">
      <w:pPr>
        <w:pStyle w:val="TOC2"/>
        <w:ind w:left="420"/>
        <w:rPr>
          <w:rFonts w:ascii="Calibri" w:hAnsi="Calibri"/>
          <w:noProof/>
          <w:sz w:val="21"/>
          <w:szCs w:val="22"/>
          <w:lang w:val="en-US" w:eastAsia="zh-CN"/>
        </w:rPr>
      </w:pPr>
      <w:hyperlink w:anchor="_Toc152320829" w:history="1">
        <w:r>
          <w:rPr>
            <w:rStyle w:val="afff8"/>
            <w:rFonts w:hint="eastAsia"/>
            <w:noProof/>
            <w:lang w:val="en-US" w:eastAsia="zh-CN"/>
          </w:rPr>
          <w:t>一、本公司董事、监事、高级管理人员声明</w:t>
        </w:r>
        <w:r>
          <w:rPr>
            <w:noProof/>
            <w:lang w:val="en-US" w:eastAsia="zh-CN"/>
          </w:rPr>
          <w:tab/>
        </w:r>
        <w:r>
          <w:rPr>
            <w:noProof/>
            <w:lang w:val="en-US" w:eastAsia="zh-CN"/>
          </w:rPr>
          <w:fldChar w:fldCharType="begin"/>
        </w:r>
        <w:r>
          <w:rPr>
            <w:noProof/>
            <w:lang w:val="en-US" w:eastAsia="zh-CN"/>
          </w:rPr>
          <w:instrText xml:space="preserve"> PAGEREF _Toc152320829 \h </w:instrText>
        </w:r>
        <w:r w:rsidR="005A5153">
          <w:rPr>
            <w:noProof/>
            <w:lang w:val="en-US" w:eastAsia="zh-CN"/>
          </w:rPr>
        </w:r>
        <w:r>
          <w:rPr>
            <w:noProof/>
            <w:lang w:val="en-US" w:eastAsia="zh-CN"/>
          </w:rPr>
          <w:fldChar w:fldCharType="separate"/>
        </w:r>
        <w:r w:rsidR="00DF1733">
          <w:rPr>
            <w:noProof/>
            <w:lang w:val="en-US" w:eastAsia="zh-CN"/>
          </w:rPr>
          <w:t>219</w:t>
        </w:r>
        <w:r>
          <w:rPr>
            <w:noProof/>
            <w:lang w:val="en-US" w:eastAsia="zh-CN"/>
          </w:rPr>
          <w:fldChar w:fldCharType="end"/>
        </w:r>
      </w:hyperlink>
    </w:p>
    <w:p w14:paraId="454083DC" w14:textId="77777777" w:rsidR="004B0883" w:rsidRDefault="004B0883">
      <w:pPr>
        <w:pStyle w:val="TOC2"/>
        <w:ind w:left="420"/>
        <w:rPr>
          <w:rFonts w:ascii="Calibri" w:hAnsi="Calibri"/>
          <w:noProof/>
          <w:sz w:val="21"/>
          <w:szCs w:val="22"/>
          <w:lang w:val="en-US" w:eastAsia="zh-CN"/>
        </w:rPr>
      </w:pPr>
      <w:hyperlink w:anchor="_Toc152320830" w:history="1">
        <w:r>
          <w:rPr>
            <w:rStyle w:val="afff8"/>
            <w:rFonts w:hint="eastAsia"/>
            <w:noProof/>
            <w:lang w:val="en-US" w:eastAsia="zh-CN"/>
          </w:rPr>
          <w:t>一、本公司董事、监事、高级管理人员声明</w:t>
        </w:r>
        <w:r>
          <w:rPr>
            <w:noProof/>
            <w:lang w:val="en-US" w:eastAsia="zh-CN"/>
          </w:rPr>
          <w:tab/>
        </w:r>
        <w:r>
          <w:rPr>
            <w:noProof/>
            <w:lang w:val="en-US" w:eastAsia="zh-CN"/>
          </w:rPr>
          <w:fldChar w:fldCharType="begin"/>
        </w:r>
        <w:r>
          <w:rPr>
            <w:noProof/>
            <w:lang w:val="en-US" w:eastAsia="zh-CN"/>
          </w:rPr>
          <w:instrText xml:space="preserve"> PAGEREF _Toc152320830 \h </w:instrText>
        </w:r>
        <w:r w:rsidR="005A5153">
          <w:rPr>
            <w:noProof/>
            <w:lang w:val="en-US" w:eastAsia="zh-CN"/>
          </w:rPr>
        </w:r>
        <w:r>
          <w:rPr>
            <w:noProof/>
            <w:lang w:val="en-US" w:eastAsia="zh-CN"/>
          </w:rPr>
          <w:fldChar w:fldCharType="separate"/>
        </w:r>
        <w:r w:rsidR="00DF1733">
          <w:rPr>
            <w:noProof/>
            <w:lang w:val="en-US" w:eastAsia="zh-CN"/>
          </w:rPr>
          <w:t>220</w:t>
        </w:r>
        <w:r>
          <w:rPr>
            <w:noProof/>
            <w:lang w:val="en-US" w:eastAsia="zh-CN"/>
          </w:rPr>
          <w:fldChar w:fldCharType="end"/>
        </w:r>
      </w:hyperlink>
    </w:p>
    <w:p w14:paraId="570F6A7C" w14:textId="77777777" w:rsidR="004B0883" w:rsidRDefault="004B0883">
      <w:pPr>
        <w:pStyle w:val="TOC2"/>
        <w:ind w:left="420"/>
        <w:rPr>
          <w:rFonts w:ascii="Calibri" w:hAnsi="Calibri"/>
          <w:noProof/>
          <w:sz w:val="21"/>
          <w:szCs w:val="22"/>
          <w:lang w:val="en-US" w:eastAsia="zh-CN"/>
        </w:rPr>
      </w:pPr>
      <w:hyperlink w:anchor="_Toc152320831" w:history="1">
        <w:r>
          <w:rPr>
            <w:rStyle w:val="afff8"/>
            <w:rFonts w:hint="eastAsia"/>
            <w:noProof/>
            <w:lang w:val="en-US" w:eastAsia="zh-CN"/>
          </w:rPr>
          <w:t>一、本公司董事、监事、高级管理人员声明</w:t>
        </w:r>
        <w:r>
          <w:rPr>
            <w:noProof/>
            <w:lang w:val="en-US" w:eastAsia="zh-CN"/>
          </w:rPr>
          <w:tab/>
        </w:r>
        <w:r>
          <w:rPr>
            <w:noProof/>
            <w:lang w:val="en-US" w:eastAsia="zh-CN"/>
          </w:rPr>
          <w:fldChar w:fldCharType="begin"/>
        </w:r>
        <w:r>
          <w:rPr>
            <w:noProof/>
            <w:lang w:val="en-US" w:eastAsia="zh-CN"/>
          </w:rPr>
          <w:instrText xml:space="preserve"> PAGEREF _Toc152320831 \h </w:instrText>
        </w:r>
        <w:r w:rsidR="005A5153">
          <w:rPr>
            <w:noProof/>
            <w:lang w:val="en-US" w:eastAsia="zh-CN"/>
          </w:rPr>
        </w:r>
        <w:r>
          <w:rPr>
            <w:noProof/>
            <w:lang w:val="en-US" w:eastAsia="zh-CN"/>
          </w:rPr>
          <w:fldChar w:fldCharType="separate"/>
        </w:r>
        <w:r w:rsidR="00DF1733">
          <w:rPr>
            <w:noProof/>
            <w:lang w:val="en-US" w:eastAsia="zh-CN"/>
          </w:rPr>
          <w:t>222</w:t>
        </w:r>
        <w:r>
          <w:rPr>
            <w:noProof/>
            <w:lang w:val="en-US" w:eastAsia="zh-CN"/>
          </w:rPr>
          <w:fldChar w:fldCharType="end"/>
        </w:r>
      </w:hyperlink>
    </w:p>
    <w:p w14:paraId="0574EF8B" w14:textId="77777777" w:rsidR="004B0883" w:rsidRDefault="004B0883">
      <w:pPr>
        <w:pStyle w:val="TOC2"/>
        <w:ind w:left="420"/>
        <w:rPr>
          <w:rFonts w:ascii="Calibri" w:hAnsi="Calibri"/>
          <w:noProof/>
          <w:sz w:val="21"/>
          <w:szCs w:val="22"/>
          <w:lang w:val="en-US" w:eastAsia="zh-CN"/>
        </w:rPr>
      </w:pPr>
      <w:hyperlink w:anchor="_Toc152320832" w:history="1">
        <w:r>
          <w:rPr>
            <w:rStyle w:val="afff8"/>
            <w:rFonts w:hint="eastAsia"/>
            <w:noProof/>
            <w:lang w:val="en-US" w:eastAsia="zh-CN"/>
          </w:rPr>
          <w:t>二、发行人控股股东、实际控制人声明</w:t>
        </w:r>
        <w:r>
          <w:rPr>
            <w:noProof/>
            <w:lang w:val="en-US" w:eastAsia="zh-CN"/>
          </w:rPr>
          <w:tab/>
        </w:r>
        <w:r>
          <w:rPr>
            <w:noProof/>
            <w:lang w:val="en-US" w:eastAsia="zh-CN"/>
          </w:rPr>
          <w:fldChar w:fldCharType="begin"/>
        </w:r>
        <w:r>
          <w:rPr>
            <w:noProof/>
            <w:lang w:val="en-US" w:eastAsia="zh-CN"/>
          </w:rPr>
          <w:instrText xml:space="preserve"> PAGEREF _Toc152320832 \h </w:instrText>
        </w:r>
        <w:r w:rsidR="005A5153">
          <w:rPr>
            <w:noProof/>
            <w:lang w:val="en-US" w:eastAsia="zh-CN"/>
          </w:rPr>
        </w:r>
        <w:r>
          <w:rPr>
            <w:noProof/>
            <w:lang w:val="en-US" w:eastAsia="zh-CN"/>
          </w:rPr>
          <w:fldChar w:fldCharType="separate"/>
        </w:r>
        <w:r w:rsidR="00DF1733">
          <w:rPr>
            <w:noProof/>
            <w:lang w:val="en-US" w:eastAsia="zh-CN"/>
          </w:rPr>
          <w:t>223</w:t>
        </w:r>
        <w:r>
          <w:rPr>
            <w:noProof/>
            <w:lang w:val="en-US" w:eastAsia="zh-CN"/>
          </w:rPr>
          <w:fldChar w:fldCharType="end"/>
        </w:r>
      </w:hyperlink>
    </w:p>
    <w:p w14:paraId="72164876" w14:textId="77777777" w:rsidR="004B0883" w:rsidRDefault="004B0883">
      <w:pPr>
        <w:pStyle w:val="TOC2"/>
        <w:ind w:left="420"/>
        <w:rPr>
          <w:rFonts w:ascii="Calibri" w:hAnsi="Calibri"/>
          <w:noProof/>
          <w:sz w:val="21"/>
          <w:szCs w:val="22"/>
          <w:lang w:val="en-US" w:eastAsia="zh-CN"/>
        </w:rPr>
      </w:pPr>
      <w:hyperlink w:anchor="_Toc152320833" w:history="1">
        <w:r>
          <w:rPr>
            <w:rStyle w:val="afff8"/>
            <w:rFonts w:hint="eastAsia"/>
            <w:noProof/>
            <w:lang w:val="en-US" w:eastAsia="zh-CN"/>
          </w:rPr>
          <w:t>三、保荐机构（主承销商）声明</w:t>
        </w:r>
        <w:r>
          <w:rPr>
            <w:noProof/>
            <w:lang w:val="en-US" w:eastAsia="zh-CN"/>
          </w:rPr>
          <w:tab/>
        </w:r>
        <w:r>
          <w:rPr>
            <w:noProof/>
            <w:lang w:val="en-US" w:eastAsia="zh-CN"/>
          </w:rPr>
          <w:fldChar w:fldCharType="begin"/>
        </w:r>
        <w:r>
          <w:rPr>
            <w:noProof/>
            <w:lang w:val="en-US" w:eastAsia="zh-CN"/>
          </w:rPr>
          <w:instrText xml:space="preserve"> PAGEREF _Toc152320833 \h </w:instrText>
        </w:r>
        <w:r w:rsidR="005A5153">
          <w:rPr>
            <w:noProof/>
            <w:lang w:val="en-US" w:eastAsia="zh-CN"/>
          </w:rPr>
        </w:r>
        <w:r>
          <w:rPr>
            <w:noProof/>
            <w:lang w:val="en-US" w:eastAsia="zh-CN"/>
          </w:rPr>
          <w:fldChar w:fldCharType="separate"/>
        </w:r>
        <w:r w:rsidR="00DF1733">
          <w:rPr>
            <w:noProof/>
            <w:lang w:val="en-US" w:eastAsia="zh-CN"/>
          </w:rPr>
          <w:t>224</w:t>
        </w:r>
        <w:r>
          <w:rPr>
            <w:noProof/>
            <w:lang w:val="en-US" w:eastAsia="zh-CN"/>
          </w:rPr>
          <w:fldChar w:fldCharType="end"/>
        </w:r>
      </w:hyperlink>
    </w:p>
    <w:p w14:paraId="5BE6D412" w14:textId="77777777" w:rsidR="004B0883" w:rsidRDefault="004B0883">
      <w:pPr>
        <w:pStyle w:val="TOC2"/>
        <w:ind w:left="420"/>
        <w:rPr>
          <w:rFonts w:ascii="Calibri" w:hAnsi="Calibri"/>
          <w:noProof/>
          <w:sz w:val="21"/>
          <w:szCs w:val="22"/>
          <w:lang w:val="en-US" w:eastAsia="zh-CN"/>
        </w:rPr>
      </w:pPr>
      <w:hyperlink w:anchor="_Toc152320834" w:history="1">
        <w:r>
          <w:rPr>
            <w:rStyle w:val="afff8"/>
            <w:rFonts w:hint="eastAsia"/>
            <w:noProof/>
            <w:lang w:val="en-US" w:eastAsia="zh-CN"/>
          </w:rPr>
          <w:t>保荐机构董事长声明</w:t>
        </w:r>
        <w:r>
          <w:rPr>
            <w:noProof/>
            <w:lang w:val="en-US" w:eastAsia="zh-CN"/>
          </w:rPr>
          <w:tab/>
        </w:r>
        <w:r>
          <w:rPr>
            <w:noProof/>
            <w:lang w:val="en-US" w:eastAsia="zh-CN"/>
          </w:rPr>
          <w:fldChar w:fldCharType="begin"/>
        </w:r>
        <w:r>
          <w:rPr>
            <w:noProof/>
            <w:lang w:val="en-US" w:eastAsia="zh-CN"/>
          </w:rPr>
          <w:instrText xml:space="preserve"> PAGEREF _Toc152320834 \h </w:instrText>
        </w:r>
        <w:r w:rsidR="005A5153">
          <w:rPr>
            <w:noProof/>
            <w:lang w:val="en-US" w:eastAsia="zh-CN"/>
          </w:rPr>
        </w:r>
        <w:r>
          <w:rPr>
            <w:noProof/>
            <w:lang w:val="en-US" w:eastAsia="zh-CN"/>
          </w:rPr>
          <w:fldChar w:fldCharType="separate"/>
        </w:r>
        <w:r w:rsidR="00DF1733">
          <w:rPr>
            <w:noProof/>
            <w:lang w:val="en-US" w:eastAsia="zh-CN"/>
          </w:rPr>
          <w:t>225</w:t>
        </w:r>
        <w:r>
          <w:rPr>
            <w:noProof/>
            <w:lang w:val="en-US" w:eastAsia="zh-CN"/>
          </w:rPr>
          <w:fldChar w:fldCharType="end"/>
        </w:r>
      </w:hyperlink>
    </w:p>
    <w:p w14:paraId="4162A476" w14:textId="77777777" w:rsidR="004B0883" w:rsidRDefault="004B0883">
      <w:pPr>
        <w:pStyle w:val="TOC2"/>
        <w:ind w:left="420"/>
        <w:rPr>
          <w:rFonts w:ascii="Calibri" w:hAnsi="Calibri"/>
          <w:noProof/>
          <w:sz w:val="21"/>
          <w:szCs w:val="22"/>
          <w:lang w:val="en-US" w:eastAsia="zh-CN"/>
        </w:rPr>
      </w:pPr>
      <w:hyperlink w:anchor="_Toc152320835" w:history="1">
        <w:r>
          <w:rPr>
            <w:rStyle w:val="afff8"/>
            <w:rFonts w:hint="eastAsia"/>
            <w:noProof/>
            <w:lang w:val="en-US" w:eastAsia="zh-CN"/>
          </w:rPr>
          <w:t>保荐机构总经理声明</w:t>
        </w:r>
        <w:r>
          <w:rPr>
            <w:noProof/>
            <w:lang w:val="en-US" w:eastAsia="zh-CN"/>
          </w:rPr>
          <w:tab/>
        </w:r>
        <w:r>
          <w:rPr>
            <w:noProof/>
            <w:lang w:val="en-US" w:eastAsia="zh-CN"/>
          </w:rPr>
          <w:fldChar w:fldCharType="begin"/>
        </w:r>
        <w:r>
          <w:rPr>
            <w:noProof/>
            <w:lang w:val="en-US" w:eastAsia="zh-CN"/>
          </w:rPr>
          <w:instrText xml:space="preserve"> PAGEREF _Toc152320835 \h </w:instrText>
        </w:r>
        <w:r w:rsidR="005A5153">
          <w:rPr>
            <w:noProof/>
            <w:lang w:val="en-US" w:eastAsia="zh-CN"/>
          </w:rPr>
        </w:r>
        <w:r>
          <w:rPr>
            <w:noProof/>
            <w:lang w:val="en-US" w:eastAsia="zh-CN"/>
          </w:rPr>
          <w:fldChar w:fldCharType="separate"/>
        </w:r>
        <w:r w:rsidR="00DF1733">
          <w:rPr>
            <w:noProof/>
            <w:lang w:val="en-US" w:eastAsia="zh-CN"/>
          </w:rPr>
          <w:t>226</w:t>
        </w:r>
        <w:r>
          <w:rPr>
            <w:noProof/>
            <w:lang w:val="en-US" w:eastAsia="zh-CN"/>
          </w:rPr>
          <w:fldChar w:fldCharType="end"/>
        </w:r>
      </w:hyperlink>
    </w:p>
    <w:p w14:paraId="004C0841" w14:textId="77777777" w:rsidR="004B0883" w:rsidRDefault="004B0883">
      <w:pPr>
        <w:pStyle w:val="TOC2"/>
        <w:ind w:left="420"/>
        <w:rPr>
          <w:rFonts w:ascii="Calibri" w:hAnsi="Calibri"/>
          <w:noProof/>
          <w:sz w:val="21"/>
          <w:szCs w:val="22"/>
          <w:lang w:val="en-US" w:eastAsia="zh-CN"/>
        </w:rPr>
      </w:pPr>
      <w:hyperlink w:anchor="_Toc152320836" w:history="1">
        <w:r>
          <w:rPr>
            <w:rStyle w:val="afff8"/>
            <w:rFonts w:hint="eastAsia"/>
            <w:noProof/>
            <w:lang w:val="en-US" w:eastAsia="zh-CN"/>
          </w:rPr>
          <w:t>四、发行人律师声明</w:t>
        </w:r>
        <w:r>
          <w:rPr>
            <w:noProof/>
            <w:lang w:val="en-US" w:eastAsia="zh-CN"/>
          </w:rPr>
          <w:tab/>
        </w:r>
        <w:r>
          <w:rPr>
            <w:noProof/>
            <w:lang w:val="en-US" w:eastAsia="zh-CN"/>
          </w:rPr>
          <w:fldChar w:fldCharType="begin"/>
        </w:r>
        <w:r>
          <w:rPr>
            <w:noProof/>
            <w:lang w:val="en-US" w:eastAsia="zh-CN"/>
          </w:rPr>
          <w:instrText xml:space="preserve"> PAGEREF _Toc152320836 \h </w:instrText>
        </w:r>
        <w:r w:rsidR="005A5153">
          <w:rPr>
            <w:noProof/>
            <w:lang w:val="en-US" w:eastAsia="zh-CN"/>
          </w:rPr>
        </w:r>
        <w:r>
          <w:rPr>
            <w:noProof/>
            <w:lang w:val="en-US" w:eastAsia="zh-CN"/>
          </w:rPr>
          <w:fldChar w:fldCharType="separate"/>
        </w:r>
        <w:r w:rsidR="00DF1733">
          <w:rPr>
            <w:noProof/>
            <w:lang w:val="en-US" w:eastAsia="zh-CN"/>
          </w:rPr>
          <w:t>227</w:t>
        </w:r>
        <w:r>
          <w:rPr>
            <w:noProof/>
            <w:lang w:val="en-US" w:eastAsia="zh-CN"/>
          </w:rPr>
          <w:fldChar w:fldCharType="end"/>
        </w:r>
      </w:hyperlink>
    </w:p>
    <w:p w14:paraId="7FE560BA" w14:textId="77777777" w:rsidR="004B0883" w:rsidRDefault="004B0883">
      <w:pPr>
        <w:pStyle w:val="TOC2"/>
        <w:ind w:left="420"/>
        <w:rPr>
          <w:rFonts w:ascii="Calibri" w:hAnsi="Calibri"/>
          <w:noProof/>
          <w:sz w:val="21"/>
          <w:szCs w:val="22"/>
          <w:lang w:val="en-US" w:eastAsia="zh-CN"/>
        </w:rPr>
      </w:pPr>
      <w:hyperlink w:anchor="_Toc152320837" w:history="1">
        <w:r>
          <w:rPr>
            <w:rStyle w:val="afff8"/>
            <w:rFonts w:hint="eastAsia"/>
            <w:noProof/>
            <w:lang w:val="en-US" w:eastAsia="zh-CN"/>
          </w:rPr>
          <w:t>五、审计机构声明</w:t>
        </w:r>
        <w:r>
          <w:rPr>
            <w:noProof/>
            <w:lang w:val="en-US" w:eastAsia="zh-CN"/>
          </w:rPr>
          <w:tab/>
        </w:r>
        <w:r>
          <w:rPr>
            <w:noProof/>
            <w:lang w:val="en-US" w:eastAsia="zh-CN"/>
          </w:rPr>
          <w:fldChar w:fldCharType="begin"/>
        </w:r>
        <w:r>
          <w:rPr>
            <w:noProof/>
            <w:lang w:val="en-US" w:eastAsia="zh-CN"/>
          </w:rPr>
          <w:instrText xml:space="preserve"> PAGEREF _Toc152320837 \h </w:instrText>
        </w:r>
        <w:r w:rsidR="005A5153">
          <w:rPr>
            <w:noProof/>
            <w:lang w:val="en-US" w:eastAsia="zh-CN"/>
          </w:rPr>
        </w:r>
        <w:r>
          <w:rPr>
            <w:noProof/>
            <w:lang w:val="en-US" w:eastAsia="zh-CN"/>
          </w:rPr>
          <w:fldChar w:fldCharType="separate"/>
        </w:r>
        <w:r w:rsidR="00DF1733">
          <w:rPr>
            <w:noProof/>
            <w:lang w:val="en-US" w:eastAsia="zh-CN"/>
          </w:rPr>
          <w:t>228</w:t>
        </w:r>
        <w:r>
          <w:rPr>
            <w:noProof/>
            <w:lang w:val="en-US" w:eastAsia="zh-CN"/>
          </w:rPr>
          <w:fldChar w:fldCharType="end"/>
        </w:r>
      </w:hyperlink>
    </w:p>
    <w:p w14:paraId="1DBCCBD7" w14:textId="77777777" w:rsidR="004B0883" w:rsidRDefault="004B0883">
      <w:pPr>
        <w:pStyle w:val="TOC2"/>
        <w:ind w:left="420"/>
        <w:rPr>
          <w:rFonts w:ascii="Calibri" w:hAnsi="Calibri"/>
          <w:noProof/>
          <w:sz w:val="21"/>
          <w:szCs w:val="22"/>
          <w:lang w:val="en-US" w:eastAsia="zh-CN"/>
        </w:rPr>
      </w:pPr>
      <w:hyperlink w:anchor="_Toc152320838" w:history="1">
        <w:r>
          <w:rPr>
            <w:rStyle w:val="afff8"/>
            <w:rFonts w:hint="eastAsia"/>
            <w:noProof/>
            <w:lang w:val="en-US" w:eastAsia="zh-CN"/>
          </w:rPr>
          <w:t>六、资信评级机构声明</w:t>
        </w:r>
        <w:r>
          <w:rPr>
            <w:noProof/>
            <w:lang w:val="en-US" w:eastAsia="zh-CN"/>
          </w:rPr>
          <w:tab/>
        </w:r>
        <w:r>
          <w:rPr>
            <w:noProof/>
            <w:lang w:val="en-US" w:eastAsia="zh-CN"/>
          </w:rPr>
          <w:fldChar w:fldCharType="begin"/>
        </w:r>
        <w:r>
          <w:rPr>
            <w:noProof/>
            <w:lang w:val="en-US" w:eastAsia="zh-CN"/>
          </w:rPr>
          <w:instrText xml:space="preserve"> PAGEREF _Toc152320838 \h </w:instrText>
        </w:r>
        <w:r w:rsidR="005A5153">
          <w:rPr>
            <w:noProof/>
            <w:lang w:val="en-US" w:eastAsia="zh-CN"/>
          </w:rPr>
        </w:r>
        <w:r>
          <w:rPr>
            <w:noProof/>
            <w:lang w:val="en-US" w:eastAsia="zh-CN"/>
          </w:rPr>
          <w:fldChar w:fldCharType="separate"/>
        </w:r>
        <w:r w:rsidR="00DF1733">
          <w:rPr>
            <w:noProof/>
            <w:lang w:val="en-US" w:eastAsia="zh-CN"/>
          </w:rPr>
          <w:t>229</w:t>
        </w:r>
        <w:r>
          <w:rPr>
            <w:noProof/>
            <w:lang w:val="en-US" w:eastAsia="zh-CN"/>
          </w:rPr>
          <w:fldChar w:fldCharType="end"/>
        </w:r>
      </w:hyperlink>
    </w:p>
    <w:p w14:paraId="6EE4BA2A" w14:textId="77777777" w:rsidR="004B0883" w:rsidRDefault="004B0883">
      <w:pPr>
        <w:pStyle w:val="TOC2"/>
        <w:ind w:left="420"/>
        <w:rPr>
          <w:rFonts w:ascii="Calibri" w:hAnsi="Calibri"/>
          <w:noProof/>
          <w:sz w:val="21"/>
          <w:szCs w:val="22"/>
          <w:lang w:val="en-US" w:eastAsia="zh-CN"/>
        </w:rPr>
      </w:pPr>
      <w:hyperlink w:anchor="_Toc152320839" w:history="1">
        <w:r>
          <w:rPr>
            <w:rStyle w:val="afff8"/>
            <w:rFonts w:hint="eastAsia"/>
            <w:noProof/>
            <w:lang w:val="en-US" w:eastAsia="zh-CN"/>
          </w:rPr>
          <w:t>七、董事会关于本次发行的相关声明</w:t>
        </w:r>
        <w:r>
          <w:rPr>
            <w:noProof/>
            <w:lang w:val="en-US" w:eastAsia="zh-CN"/>
          </w:rPr>
          <w:tab/>
        </w:r>
        <w:r>
          <w:rPr>
            <w:noProof/>
            <w:lang w:val="en-US" w:eastAsia="zh-CN"/>
          </w:rPr>
          <w:fldChar w:fldCharType="begin"/>
        </w:r>
        <w:r>
          <w:rPr>
            <w:noProof/>
            <w:lang w:val="en-US" w:eastAsia="zh-CN"/>
          </w:rPr>
          <w:instrText xml:space="preserve"> PAGEREF _Toc152320839 \h </w:instrText>
        </w:r>
        <w:r w:rsidR="005A5153">
          <w:rPr>
            <w:noProof/>
            <w:lang w:val="en-US" w:eastAsia="zh-CN"/>
          </w:rPr>
        </w:r>
        <w:r>
          <w:rPr>
            <w:noProof/>
            <w:lang w:val="en-US" w:eastAsia="zh-CN"/>
          </w:rPr>
          <w:fldChar w:fldCharType="separate"/>
        </w:r>
        <w:r w:rsidR="00DF1733">
          <w:rPr>
            <w:noProof/>
            <w:lang w:val="en-US" w:eastAsia="zh-CN"/>
          </w:rPr>
          <w:t>230</w:t>
        </w:r>
        <w:r>
          <w:rPr>
            <w:noProof/>
            <w:lang w:val="en-US" w:eastAsia="zh-CN"/>
          </w:rPr>
          <w:fldChar w:fldCharType="end"/>
        </w:r>
      </w:hyperlink>
    </w:p>
    <w:p w14:paraId="57C6CCE6" w14:textId="77777777" w:rsidR="004B0883" w:rsidRDefault="004B0883">
      <w:pPr>
        <w:pStyle w:val="TOC1"/>
        <w:rPr>
          <w:rFonts w:ascii="Calibri" w:hAnsi="Calibri"/>
          <w:b w:val="0"/>
          <w:noProof/>
          <w:sz w:val="21"/>
          <w:szCs w:val="22"/>
          <w:lang w:val="en-US" w:eastAsia="zh-CN"/>
        </w:rPr>
      </w:pPr>
      <w:hyperlink w:anchor="_Toc152320840" w:history="1">
        <w:r>
          <w:rPr>
            <w:rStyle w:val="afff8"/>
            <w:rFonts w:hint="eastAsia"/>
            <w:noProof/>
            <w:lang w:val="en-US" w:eastAsia="zh-CN"/>
          </w:rPr>
          <w:t>第十节</w:t>
        </w:r>
        <w:r>
          <w:rPr>
            <w:rStyle w:val="afff8"/>
            <w:noProof/>
            <w:lang w:val="en-US" w:eastAsia="zh-CN"/>
          </w:rPr>
          <w:t xml:space="preserve">  </w:t>
        </w:r>
        <w:r>
          <w:rPr>
            <w:rStyle w:val="afff8"/>
            <w:rFonts w:hint="eastAsia"/>
            <w:noProof/>
            <w:lang w:val="en-US" w:eastAsia="zh-CN"/>
          </w:rPr>
          <w:t>备查文件</w:t>
        </w:r>
        <w:r>
          <w:rPr>
            <w:noProof/>
            <w:lang w:val="en-US" w:eastAsia="zh-CN"/>
          </w:rPr>
          <w:tab/>
        </w:r>
        <w:r>
          <w:rPr>
            <w:noProof/>
            <w:lang w:val="en-US" w:eastAsia="zh-CN"/>
          </w:rPr>
          <w:fldChar w:fldCharType="begin"/>
        </w:r>
        <w:r>
          <w:rPr>
            <w:noProof/>
            <w:lang w:val="en-US" w:eastAsia="zh-CN"/>
          </w:rPr>
          <w:instrText xml:space="preserve"> PAGEREF _Toc152320840 \h </w:instrText>
        </w:r>
        <w:r w:rsidR="005A5153">
          <w:rPr>
            <w:noProof/>
            <w:lang w:val="en-US" w:eastAsia="zh-CN"/>
          </w:rPr>
        </w:r>
        <w:r>
          <w:rPr>
            <w:noProof/>
            <w:lang w:val="en-US" w:eastAsia="zh-CN"/>
          </w:rPr>
          <w:fldChar w:fldCharType="separate"/>
        </w:r>
        <w:r w:rsidR="00DF1733">
          <w:rPr>
            <w:noProof/>
            <w:lang w:val="en-US" w:eastAsia="zh-CN"/>
          </w:rPr>
          <w:t>233</w:t>
        </w:r>
        <w:r>
          <w:rPr>
            <w:noProof/>
            <w:lang w:val="en-US" w:eastAsia="zh-CN"/>
          </w:rPr>
          <w:fldChar w:fldCharType="end"/>
        </w:r>
      </w:hyperlink>
    </w:p>
    <w:p w14:paraId="00AF8646" w14:textId="77777777" w:rsidR="004B0883" w:rsidRDefault="004B0883">
      <w:pPr>
        <w:pStyle w:val="TOC2"/>
        <w:ind w:left="420"/>
        <w:rPr>
          <w:rFonts w:ascii="Calibri" w:hAnsi="Calibri"/>
          <w:noProof/>
          <w:sz w:val="21"/>
          <w:szCs w:val="22"/>
          <w:lang w:val="en-US" w:eastAsia="zh-CN"/>
        </w:rPr>
      </w:pPr>
      <w:hyperlink w:anchor="_Toc152320841" w:history="1">
        <w:r>
          <w:rPr>
            <w:rStyle w:val="afff8"/>
            <w:rFonts w:hint="eastAsia"/>
            <w:noProof/>
            <w:lang w:val="en-US" w:eastAsia="zh-CN"/>
          </w:rPr>
          <w:t>一、备查文件</w:t>
        </w:r>
        <w:r>
          <w:rPr>
            <w:noProof/>
            <w:lang w:val="en-US" w:eastAsia="zh-CN"/>
          </w:rPr>
          <w:tab/>
        </w:r>
        <w:r>
          <w:rPr>
            <w:noProof/>
            <w:lang w:val="en-US" w:eastAsia="zh-CN"/>
          </w:rPr>
          <w:fldChar w:fldCharType="begin"/>
        </w:r>
        <w:r>
          <w:rPr>
            <w:noProof/>
            <w:lang w:val="en-US" w:eastAsia="zh-CN"/>
          </w:rPr>
          <w:instrText xml:space="preserve"> PAGEREF _Toc152320841 \h </w:instrText>
        </w:r>
        <w:r w:rsidR="005A5153">
          <w:rPr>
            <w:noProof/>
            <w:lang w:val="en-US" w:eastAsia="zh-CN"/>
          </w:rPr>
        </w:r>
        <w:r>
          <w:rPr>
            <w:noProof/>
            <w:lang w:val="en-US" w:eastAsia="zh-CN"/>
          </w:rPr>
          <w:fldChar w:fldCharType="separate"/>
        </w:r>
        <w:r w:rsidR="00DF1733">
          <w:rPr>
            <w:noProof/>
            <w:lang w:val="en-US" w:eastAsia="zh-CN"/>
          </w:rPr>
          <w:t>233</w:t>
        </w:r>
        <w:r>
          <w:rPr>
            <w:noProof/>
            <w:lang w:val="en-US" w:eastAsia="zh-CN"/>
          </w:rPr>
          <w:fldChar w:fldCharType="end"/>
        </w:r>
      </w:hyperlink>
    </w:p>
    <w:p w14:paraId="68BEE26D" w14:textId="77777777" w:rsidR="004B0883" w:rsidRDefault="004B0883">
      <w:pPr>
        <w:pStyle w:val="TOC2"/>
        <w:ind w:left="420"/>
        <w:rPr>
          <w:rFonts w:ascii="Calibri" w:hAnsi="Calibri"/>
          <w:noProof/>
          <w:sz w:val="21"/>
          <w:szCs w:val="22"/>
          <w:lang w:val="en-US" w:eastAsia="zh-CN"/>
        </w:rPr>
      </w:pPr>
      <w:hyperlink w:anchor="_Toc152320842" w:history="1">
        <w:r>
          <w:rPr>
            <w:rStyle w:val="afff8"/>
            <w:rFonts w:hint="eastAsia"/>
            <w:noProof/>
            <w:lang w:val="en-US" w:eastAsia="zh-CN"/>
          </w:rPr>
          <w:t>二、查阅地点和查阅时间</w:t>
        </w:r>
        <w:r>
          <w:rPr>
            <w:noProof/>
            <w:lang w:val="en-US" w:eastAsia="zh-CN"/>
          </w:rPr>
          <w:tab/>
        </w:r>
        <w:r>
          <w:rPr>
            <w:noProof/>
            <w:lang w:val="en-US" w:eastAsia="zh-CN"/>
          </w:rPr>
          <w:fldChar w:fldCharType="begin"/>
        </w:r>
        <w:r>
          <w:rPr>
            <w:noProof/>
            <w:lang w:val="en-US" w:eastAsia="zh-CN"/>
          </w:rPr>
          <w:instrText xml:space="preserve"> PAGEREF _Toc152320842 \h </w:instrText>
        </w:r>
        <w:r w:rsidR="005A5153">
          <w:rPr>
            <w:noProof/>
            <w:lang w:val="en-US" w:eastAsia="zh-CN"/>
          </w:rPr>
        </w:r>
        <w:r>
          <w:rPr>
            <w:noProof/>
            <w:lang w:val="en-US" w:eastAsia="zh-CN"/>
          </w:rPr>
          <w:fldChar w:fldCharType="separate"/>
        </w:r>
        <w:r w:rsidR="00DF1733">
          <w:rPr>
            <w:noProof/>
            <w:lang w:val="en-US" w:eastAsia="zh-CN"/>
          </w:rPr>
          <w:t>233</w:t>
        </w:r>
        <w:r>
          <w:rPr>
            <w:noProof/>
            <w:lang w:val="en-US" w:eastAsia="zh-CN"/>
          </w:rPr>
          <w:fldChar w:fldCharType="end"/>
        </w:r>
      </w:hyperlink>
    </w:p>
    <w:p w14:paraId="7E0155DF" w14:textId="77777777" w:rsidR="004B0883" w:rsidRDefault="004B0883">
      <w:pPr>
        <w:pStyle w:val="TOC2"/>
        <w:ind w:left="420"/>
        <w:rPr>
          <w:rFonts w:ascii="Calibri" w:hAnsi="Calibri"/>
          <w:noProof/>
          <w:sz w:val="21"/>
          <w:szCs w:val="22"/>
          <w:lang w:val="en-US" w:eastAsia="zh-CN"/>
        </w:rPr>
      </w:pPr>
      <w:hyperlink w:anchor="_Toc152320843" w:history="1">
        <w:r>
          <w:rPr>
            <w:rStyle w:val="afff8"/>
            <w:rFonts w:hint="eastAsia"/>
            <w:noProof/>
            <w:lang w:val="en-US" w:eastAsia="zh-CN"/>
          </w:rPr>
          <w:t>附件</w:t>
        </w:r>
        <w:r>
          <w:rPr>
            <w:noProof/>
            <w:lang w:val="en-US" w:eastAsia="zh-CN"/>
          </w:rPr>
          <w:tab/>
        </w:r>
        <w:r>
          <w:rPr>
            <w:noProof/>
            <w:lang w:val="en-US" w:eastAsia="zh-CN"/>
          </w:rPr>
          <w:fldChar w:fldCharType="begin"/>
        </w:r>
        <w:r>
          <w:rPr>
            <w:noProof/>
            <w:lang w:val="en-US" w:eastAsia="zh-CN"/>
          </w:rPr>
          <w:instrText xml:space="preserve"> PAGEREF _Toc152320843 \h </w:instrText>
        </w:r>
        <w:r w:rsidR="005A5153">
          <w:rPr>
            <w:noProof/>
            <w:lang w:val="en-US" w:eastAsia="zh-CN"/>
          </w:rPr>
        </w:r>
        <w:r>
          <w:rPr>
            <w:noProof/>
            <w:lang w:val="en-US" w:eastAsia="zh-CN"/>
          </w:rPr>
          <w:fldChar w:fldCharType="separate"/>
        </w:r>
        <w:r w:rsidR="00DF1733">
          <w:rPr>
            <w:noProof/>
            <w:lang w:val="en-US" w:eastAsia="zh-CN"/>
          </w:rPr>
          <w:t>234</w:t>
        </w:r>
        <w:r>
          <w:rPr>
            <w:noProof/>
            <w:lang w:val="en-US" w:eastAsia="zh-CN"/>
          </w:rPr>
          <w:fldChar w:fldCharType="end"/>
        </w:r>
      </w:hyperlink>
    </w:p>
    <w:p w14:paraId="1448555C" w14:textId="77777777" w:rsidR="004B0883" w:rsidRDefault="004B0883">
      <w:pPr>
        <w:pStyle w:val="TOC2"/>
        <w:ind w:left="420"/>
        <w:rPr>
          <w:rFonts w:ascii="Calibri" w:hAnsi="Calibri"/>
          <w:noProof/>
          <w:sz w:val="21"/>
          <w:szCs w:val="22"/>
          <w:lang w:val="en-US" w:eastAsia="zh-CN"/>
        </w:rPr>
      </w:pPr>
      <w:hyperlink w:anchor="_Toc152320844" w:history="1">
        <w:r>
          <w:rPr>
            <w:rStyle w:val="afff8"/>
            <w:rFonts w:hint="eastAsia"/>
            <w:noProof/>
            <w:lang w:val="en-US" w:eastAsia="zh-CN"/>
          </w:rPr>
          <w:t>附件一</w:t>
        </w:r>
        <w:r>
          <w:rPr>
            <w:rStyle w:val="afff8"/>
            <w:noProof/>
            <w:lang w:val="en-US" w:eastAsia="zh-CN"/>
          </w:rPr>
          <w:t xml:space="preserve"> </w:t>
        </w:r>
        <w:r>
          <w:rPr>
            <w:rStyle w:val="afff8"/>
            <w:rFonts w:hint="eastAsia"/>
            <w:noProof/>
            <w:lang w:val="en-US" w:eastAsia="zh-CN"/>
          </w:rPr>
          <w:t>注册商标</w:t>
        </w:r>
        <w:r>
          <w:rPr>
            <w:noProof/>
            <w:lang w:val="en-US" w:eastAsia="zh-CN"/>
          </w:rPr>
          <w:tab/>
        </w:r>
        <w:r>
          <w:rPr>
            <w:noProof/>
            <w:lang w:val="en-US" w:eastAsia="zh-CN"/>
          </w:rPr>
          <w:fldChar w:fldCharType="begin"/>
        </w:r>
        <w:r>
          <w:rPr>
            <w:noProof/>
            <w:lang w:val="en-US" w:eastAsia="zh-CN"/>
          </w:rPr>
          <w:instrText xml:space="preserve"> PAGEREF _Toc152320844 \h </w:instrText>
        </w:r>
        <w:r w:rsidR="005A5153">
          <w:rPr>
            <w:noProof/>
            <w:lang w:val="en-US" w:eastAsia="zh-CN"/>
          </w:rPr>
        </w:r>
        <w:r>
          <w:rPr>
            <w:noProof/>
            <w:lang w:val="en-US" w:eastAsia="zh-CN"/>
          </w:rPr>
          <w:fldChar w:fldCharType="separate"/>
        </w:r>
        <w:r w:rsidR="00DF1733">
          <w:rPr>
            <w:noProof/>
            <w:lang w:val="en-US" w:eastAsia="zh-CN"/>
          </w:rPr>
          <w:t>234</w:t>
        </w:r>
        <w:r>
          <w:rPr>
            <w:noProof/>
            <w:lang w:val="en-US" w:eastAsia="zh-CN"/>
          </w:rPr>
          <w:fldChar w:fldCharType="end"/>
        </w:r>
      </w:hyperlink>
    </w:p>
    <w:p w14:paraId="35FF5BF3" w14:textId="77777777" w:rsidR="004B0883" w:rsidRDefault="004B0883">
      <w:pPr>
        <w:pStyle w:val="TOC2"/>
        <w:ind w:left="420"/>
        <w:rPr>
          <w:rFonts w:ascii="Calibri" w:hAnsi="Calibri"/>
          <w:noProof/>
          <w:sz w:val="21"/>
          <w:szCs w:val="22"/>
          <w:lang w:val="en-US" w:eastAsia="zh-CN"/>
        </w:rPr>
      </w:pPr>
      <w:hyperlink w:anchor="_Toc152320845" w:history="1">
        <w:r>
          <w:rPr>
            <w:rStyle w:val="afff8"/>
            <w:rFonts w:hint="eastAsia"/>
            <w:noProof/>
            <w:lang w:val="en-US" w:eastAsia="zh-CN"/>
          </w:rPr>
          <w:t>附件二</w:t>
        </w:r>
        <w:r>
          <w:rPr>
            <w:rStyle w:val="afff8"/>
            <w:noProof/>
            <w:lang w:val="en-US" w:eastAsia="zh-CN"/>
          </w:rPr>
          <w:t xml:space="preserve"> </w:t>
        </w:r>
        <w:r>
          <w:rPr>
            <w:rStyle w:val="afff8"/>
            <w:rFonts w:hint="eastAsia"/>
            <w:noProof/>
            <w:lang w:val="en-US" w:eastAsia="zh-CN"/>
          </w:rPr>
          <w:t>专利清单</w:t>
        </w:r>
        <w:r>
          <w:rPr>
            <w:noProof/>
            <w:lang w:val="en-US" w:eastAsia="zh-CN"/>
          </w:rPr>
          <w:tab/>
        </w:r>
        <w:r>
          <w:rPr>
            <w:noProof/>
            <w:lang w:val="en-US" w:eastAsia="zh-CN"/>
          </w:rPr>
          <w:fldChar w:fldCharType="begin"/>
        </w:r>
        <w:r>
          <w:rPr>
            <w:noProof/>
            <w:lang w:val="en-US" w:eastAsia="zh-CN"/>
          </w:rPr>
          <w:instrText xml:space="preserve"> PAGEREF _Toc152320845 \h </w:instrText>
        </w:r>
        <w:r w:rsidR="005A5153">
          <w:rPr>
            <w:noProof/>
            <w:lang w:val="en-US" w:eastAsia="zh-CN"/>
          </w:rPr>
        </w:r>
        <w:r>
          <w:rPr>
            <w:noProof/>
            <w:lang w:val="en-US" w:eastAsia="zh-CN"/>
          </w:rPr>
          <w:fldChar w:fldCharType="separate"/>
        </w:r>
        <w:r w:rsidR="00DF1733">
          <w:rPr>
            <w:noProof/>
            <w:lang w:val="en-US" w:eastAsia="zh-CN"/>
          </w:rPr>
          <w:t>238</w:t>
        </w:r>
        <w:r>
          <w:rPr>
            <w:noProof/>
            <w:lang w:val="en-US" w:eastAsia="zh-CN"/>
          </w:rPr>
          <w:fldChar w:fldCharType="end"/>
        </w:r>
      </w:hyperlink>
    </w:p>
    <w:p w14:paraId="20775597" w14:textId="77777777" w:rsidR="004B0883" w:rsidRDefault="004B0883">
      <w:pPr>
        <w:pStyle w:val="TOC2"/>
        <w:ind w:left="420"/>
        <w:rPr>
          <w:rFonts w:hint="eastAsia"/>
        </w:rPr>
      </w:pPr>
      <w:r>
        <w:rPr>
          <w:szCs w:val="24"/>
        </w:rPr>
        <w:fldChar w:fldCharType="end"/>
      </w:r>
    </w:p>
    <w:p w14:paraId="1D1B534E" w14:textId="77777777" w:rsidR="004B0883" w:rsidRDefault="004B0883">
      <w:pPr>
        <w:pStyle w:val="001"/>
        <w:spacing w:before="120" w:after="120"/>
        <w:rPr>
          <w:rFonts w:hint="eastAsia"/>
        </w:rPr>
      </w:pPr>
      <w:bookmarkStart w:id="31" w:name="_Toc152320771"/>
      <w:bookmarkStart w:id="32" w:name="_Toc523129008"/>
      <w:bookmarkStart w:id="33" w:name="_Toc42001307"/>
      <w:r>
        <w:rPr>
          <w:rFonts w:hint="eastAsia"/>
        </w:rPr>
        <w:t>第一节</w:t>
      </w:r>
      <w:r>
        <w:rPr>
          <w:rFonts w:hint="eastAsia"/>
        </w:rPr>
        <w:t xml:space="preserve">  </w:t>
      </w:r>
      <w:r>
        <w:rPr>
          <w:rFonts w:hint="eastAsia"/>
        </w:rPr>
        <w:t>释义</w:t>
      </w:r>
      <w:bookmarkEnd w:id="31"/>
      <w:bookmarkEnd w:id="32"/>
      <w:bookmarkEnd w:id="33"/>
    </w:p>
    <w:p w14:paraId="3C579BD2" w14:textId="77777777" w:rsidR="004B0883" w:rsidRDefault="004B0883">
      <w:pPr>
        <w:pStyle w:val="005"/>
        <w:spacing w:before="120"/>
        <w:ind w:firstLine="480"/>
        <w:rPr>
          <w:rFonts w:hint="eastAsia"/>
        </w:rPr>
      </w:pPr>
      <w:bookmarkStart w:id="34" w:name="_Toc42001310"/>
      <w:bookmarkStart w:id="35" w:name="_Hlk41036230"/>
      <w:r>
        <w:rPr>
          <w:rFonts w:hint="eastAsia"/>
        </w:rPr>
        <w:t>本募集说明书中，除非文义另有所指，下列简称和术语具有如下含义：</w:t>
      </w:r>
    </w:p>
    <w:p w14:paraId="0801A1E2" w14:textId="77777777" w:rsidR="004B0883" w:rsidRDefault="004B0883">
      <w:pPr>
        <w:pStyle w:val="002"/>
        <w:spacing w:before="120" w:after="120"/>
        <w:rPr>
          <w:rFonts w:hint="eastAsia"/>
        </w:rPr>
      </w:pPr>
      <w:bookmarkStart w:id="36" w:name="_Toc53499969"/>
      <w:bookmarkStart w:id="37" w:name="_Toc47799250"/>
      <w:bookmarkStart w:id="38" w:name="_Toc44336801"/>
      <w:bookmarkStart w:id="39" w:name="_Toc514071451"/>
      <w:bookmarkStart w:id="40" w:name="_Toc42001308"/>
      <w:bookmarkStart w:id="41" w:name="_Toc152320772"/>
      <w:bookmarkStart w:id="42" w:name="_Toc515615502"/>
      <w:r>
        <w:rPr>
          <w:rFonts w:hint="eastAsia"/>
        </w:rPr>
        <w:t>一、基本术语</w:t>
      </w:r>
      <w:bookmarkEnd w:id="36"/>
      <w:bookmarkEnd w:id="37"/>
      <w:bookmarkEnd w:id="38"/>
      <w:bookmarkEnd w:id="41"/>
      <w:bookmarkEnd w:id="42"/>
    </w:p>
    <w:tbl>
      <w:tblPr>
        <w:tblW w:w="4998"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55"/>
        <w:gridCol w:w="414"/>
        <w:gridCol w:w="6110"/>
      </w:tblGrid>
      <w:tr w:rsidR="004B0883" w14:paraId="60658B7A" w14:textId="77777777">
        <w:trPr>
          <w:trHeight w:val="340"/>
          <w:jc w:val="center"/>
        </w:trPr>
        <w:tc>
          <w:tcPr>
            <w:tcW w:w="1060" w:type="pct"/>
            <w:tcMar>
              <w:top w:w="0" w:type="dxa"/>
              <w:bottom w:w="0" w:type="dxa"/>
            </w:tcMar>
            <w:vAlign w:val="center"/>
          </w:tcPr>
          <w:p w14:paraId="41ABFF5E" w14:textId="77777777" w:rsidR="004B0883" w:rsidRDefault="004B0883">
            <w:pPr>
              <w:widowControl w:val="0"/>
              <w:adjustRightInd w:val="0"/>
              <w:snapToGrid w:val="0"/>
              <w:rPr>
                <w:sz w:val="18"/>
                <w:szCs w:val="18"/>
              </w:rPr>
            </w:pPr>
            <w:bookmarkStart w:id="43" w:name="_Toc47799251"/>
            <w:bookmarkStart w:id="44" w:name="_Hlk107335138"/>
            <w:bookmarkStart w:id="45" w:name="_Toc53499970"/>
            <w:bookmarkStart w:id="46" w:name="_Toc44336802"/>
            <w:r>
              <w:rPr>
                <w:sz w:val="18"/>
                <w:szCs w:val="18"/>
              </w:rPr>
              <w:t>伟隆股份、公司、上市公司、发行人</w:t>
            </w:r>
          </w:p>
        </w:tc>
        <w:tc>
          <w:tcPr>
            <w:tcW w:w="250" w:type="pct"/>
            <w:tcMar>
              <w:top w:w="0" w:type="dxa"/>
              <w:bottom w:w="0" w:type="dxa"/>
            </w:tcMar>
            <w:vAlign w:val="center"/>
          </w:tcPr>
          <w:p w14:paraId="7E708FB0" w14:textId="77777777" w:rsidR="004B0883" w:rsidRDefault="004B0883">
            <w:pPr>
              <w:widowControl w:val="0"/>
              <w:adjustRightInd w:val="0"/>
              <w:snapToGrid w:val="0"/>
              <w:jc w:val="center"/>
              <w:rPr>
                <w:sz w:val="18"/>
                <w:szCs w:val="18"/>
              </w:rPr>
            </w:pPr>
            <w:r>
              <w:rPr>
                <w:sz w:val="18"/>
                <w:szCs w:val="18"/>
              </w:rPr>
              <w:t>指</w:t>
            </w:r>
          </w:p>
        </w:tc>
        <w:tc>
          <w:tcPr>
            <w:tcW w:w="3690" w:type="pct"/>
            <w:tcMar>
              <w:top w:w="0" w:type="dxa"/>
              <w:bottom w:w="0" w:type="dxa"/>
            </w:tcMar>
            <w:vAlign w:val="center"/>
          </w:tcPr>
          <w:p w14:paraId="3F454B46" w14:textId="77777777" w:rsidR="004B0883" w:rsidRDefault="004B0883">
            <w:pPr>
              <w:widowControl w:val="0"/>
              <w:adjustRightInd w:val="0"/>
              <w:snapToGrid w:val="0"/>
              <w:jc w:val="both"/>
              <w:rPr>
                <w:sz w:val="18"/>
                <w:szCs w:val="18"/>
              </w:rPr>
            </w:pPr>
            <w:r>
              <w:rPr>
                <w:sz w:val="18"/>
                <w:szCs w:val="18"/>
              </w:rPr>
              <w:t>青岛伟隆阀门股份有限公司</w:t>
            </w:r>
          </w:p>
        </w:tc>
      </w:tr>
      <w:tr w:rsidR="004B0883" w14:paraId="5B609AE5" w14:textId="77777777">
        <w:trPr>
          <w:trHeight w:val="340"/>
          <w:jc w:val="center"/>
        </w:trPr>
        <w:tc>
          <w:tcPr>
            <w:tcW w:w="1060" w:type="pct"/>
            <w:tcMar>
              <w:top w:w="0" w:type="dxa"/>
              <w:bottom w:w="0" w:type="dxa"/>
            </w:tcMar>
            <w:vAlign w:val="center"/>
          </w:tcPr>
          <w:p w14:paraId="32A4B95D" w14:textId="77777777" w:rsidR="004B0883" w:rsidRDefault="004B0883">
            <w:pPr>
              <w:widowControl w:val="0"/>
              <w:adjustRightInd w:val="0"/>
              <w:snapToGrid w:val="0"/>
              <w:rPr>
                <w:rFonts w:hint="eastAsia"/>
                <w:sz w:val="18"/>
                <w:szCs w:val="18"/>
              </w:rPr>
            </w:pPr>
            <w:r>
              <w:rPr>
                <w:rFonts w:hint="eastAsia"/>
                <w:sz w:val="18"/>
                <w:szCs w:val="18"/>
              </w:rPr>
              <w:t>伟隆有限、有限公司</w:t>
            </w:r>
          </w:p>
        </w:tc>
        <w:tc>
          <w:tcPr>
            <w:tcW w:w="250" w:type="pct"/>
            <w:tcMar>
              <w:top w:w="0" w:type="dxa"/>
              <w:bottom w:w="0" w:type="dxa"/>
            </w:tcMar>
            <w:vAlign w:val="center"/>
          </w:tcPr>
          <w:p w14:paraId="7467E9CB" w14:textId="77777777" w:rsidR="004B0883" w:rsidRDefault="004B0883">
            <w:pPr>
              <w:widowControl w:val="0"/>
              <w:adjustRightInd w:val="0"/>
              <w:snapToGrid w:val="0"/>
              <w:jc w:val="center"/>
              <w:rPr>
                <w:sz w:val="18"/>
                <w:szCs w:val="18"/>
              </w:rPr>
            </w:pPr>
            <w:r>
              <w:rPr>
                <w:rFonts w:hint="eastAsia"/>
                <w:sz w:val="18"/>
                <w:szCs w:val="18"/>
              </w:rPr>
              <w:t>指</w:t>
            </w:r>
          </w:p>
        </w:tc>
        <w:tc>
          <w:tcPr>
            <w:tcW w:w="3690" w:type="pct"/>
            <w:tcMar>
              <w:top w:w="0" w:type="dxa"/>
              <w:bottom w:w="0" w:type="dxa"/>
            </w:tcMar>
            <w:vAlign w:val="center"/>
          </w:tcPr>
          <w:p w14:paraId="5180F5C0" w14:textId="77777777" w:rsidR="004B0883" w:rsidRDefault="004B0883">
            <w:pPr>
              <w:widowControl w:val="0"/>
              <w:adjustRightInd w:val="0"/>
              <w:snapToGrid w:val="0"/>
              <w:rPr>
                <w:rFonts w:hint="eastAsia"/>
                <w:sz w:val="18"/>
                <w:szCs w:val="18"/>
              </w:rPr>
            </w:pPr>
            <w:r>
              <w:rPr>
                <w:rFonts w:hint="eastAsia"/>
                <w:sz w:val="18"/>
                <w:szCs w:val="18"/>
              </w:rPr>
              <w:t>本公司前身，青岛伟隆阀门有限公司</w:t>
            </w:r>
          </w:p>
        </w:tc>
      </w:tr>
      <w:tr w:rsidR="004B0883" w14:paraId="29743AEF" w14:textId="77777777">
        <w:trPr>
          <w:trHeight w:val="340"/>
          <w:jc w:val="center"/>
        </w:trPr>
        <w:tc>
          <w:tcPr>
            <w:tcW w:w="1060" w:type="pct"/>
            <w:tcMar>
              <w:top w:w="0" w:type="dxa"/>
              <w:bottom w:w="0" w:type="dxa"/>
            </w:tcMar>
            <w:vAlign w:val="center"/>
          </w:tcPr>
          <w:p w14:paraId="24231C5C" w14:textId="77777777" w:rsidR="004B0883" w:rsidRDefault="004B0883">
            <w:pPr>
              <w:widowControl w:val="0"/>
              <w:adjustRightInd w:val="0"/>
              <w:snapToGrid w:val="0"/>
              <w:rPr>
                <w:rFonts w:hint="eastAsia"/>
                <w:sz w:val="18"/>
                <w:szCs w:val="18"/>
              </w:rPr>
            </w:pPr>
            <w:r>
              <w:rPr>
                <w:rFonts w:hint="eastAsia"/>
                <w:sz w:val="18"/>
                <w:szCs w:val="18"/>
              </w:rPr>
              <w:t>伟隆经贸</w:t>
            </w:r>
          </w:p>
        </w:tc>
        <w:tc>
          <w:tcPr>
            <w:tcW w:w="250" w:type="pct"/>
            <w:tcMar>
              <w:top w:w="0" w:type="dxa"/>
              <w:bottom w:w="0" w:type="dxa"/>
            </w:tcMar>
            <w:vAlign w:val="center"/>
          </w:tcPr>
          <w:p w14:paraId="7203AEBD" w14:textId="77777777" w:rsidR="004B0883" w:rsidRDefault="004B0883">
            <w:pPr>
              <w:widowControl w:val="0"/>
              <w:adjustRightInd w:val="0"/>
              <w:snapToGrid w:val="0"/>
              <w:jc w:val="center"/>
              <w:rPr>
                <w:rFonts w:hint="eastAsia"/>
                <w:sz w:val="18"/>
                <w:szCs w:val="18"/>
              </w:rPr>
            </w:pPr>
            <w:r>
              <w:rPr>
                <w:rFonts w:hint="eastAsia"/>
                <w:sz w:val="18"/>
                <w:szCs w:val="18"/>
              </w:rPr>
              <w:t>指</w:t>
            </w:r>
          </w:p>
        </w:tc>
        <w:tc>
          <w:tcPr>
            <w:tcW w:w="3690" w:type="pct"/>
            <w:tcMar>
              <w:top w:w="0" w:type="dxa"/>
              <w:bottom w:w="0" w:type="dxa"/>
            </w:tcMar>
            <w:vAlign w:val="center"/>
          </w:tcPr>
          <w:p w14:paraId="12538724" w14:textId="77777777" w:rsidR="004B0883" w:rsidRDefault="004B0883">
            <w:pPr>
              <w:widowControl w:val="0"/>
              <w:adjustRightInd w:val="0"/>
              <w:snapToGrid w:val="0"/>
              <w:rPr>
                <w:rFonts w:hint="eastAsia"/>
                <w:sz w:val="18"/>
                <w:szCs w:val="18"/>
              </w:rPr>
            </w:pPr>
            <w:r>
              <w:rPr>
                <w:rFonts w:hint="eastAsia"/>
                <w:sz w:val="18"/>
                <w:szCs w:val="18"/>
              </w:rPr>
              <w:t>本公司前身，青岛伟隆经贸有限公司</w:t>
            </w:r>
          </w:p>
        </w:tc>
      </w:tr>
      <w:tr w:rsidR="004B0883" w14:paraId="4F3CD2A0" w14:textId="77777777">
        <w:trPr>
          <w:trHeight w:val="340"/>
          <w:jc w:val="center"/>
        </w:trPr>
        <w:tc>
          <w:tcPr>
            <w:tcW w:w="1060" w:type="pct"/>
            <w:tcMar>
              <w:top w:w="0" w:type="dxa"/>
              <w:bottom w:w="0" w:type="dxa"/>
            </w:tcMar>
            <w:vAlign w:val="center"/>
          </w:tcPr>
          <w:p w14:paraId="6B05A7E8" w14:textId="77777777" w:rsidR="004B0883" w:rsidRDefault="004B0883">
            <w:pPr>
              <w:widowControl w:val="0"/>
              <w:adjustRightInd w:val="0"/>
              <w:snapToGrid w:val="0"/>
              <w:rPr>
                <w:rFonts w:hint="eastAsia"/>
                <w:sz w:val="18"/>
                <w:szCs w:val="18"/>
              </w:rPr>
            </w:pPr>
            <w:r>
              <w:rPr>
                <w:rFonts w:hint="eastAsia"/>
                <w:sz w:val="18"/>
                <w:szCs w:val="18"/>
              </w:rPr>
              <w:t>莱州伟隆</w:t>
            </w:r>
          </w:p>
        </w:tc>
        <w:tc>
          <w:tcPr>
            <w:tcW w:w="250" w:type="pct"/>
            <w:tcMar>
              <w:top w:w="0" w:type="dxa"/>
              <w:bottom w:w="0" w:type="dxa"/>
            </w:tcMar>
            <w:vAlign w:val="center"/>
          </w:tcPr>
          <w:p w14:paraId="53075B41" w14:textId="77777777" w:rsidR="004B0883" w:rsidRDefault="004B0883">
            <w:pPr>
              <w:widowControl w:val="0"/>
              <w:adjustRightInd w:val="0"/>
              <w:snapToGrid w:val="0"/>
              <w:jc w:val="center"/>
              <w:rPr>
                <w:sz w:val="18"/>
                <w:szCs w:val="18"/>
              </w:rPr>
            </w:pPr>
            <w:r>
              <w:rPr>
                <w:rFonts w:hint="eastAsia"/>
                <w:sz w:val="18"/>
                <w:szCs w:val="18"/>
              </w:rPr>
              <w:t>指</w:t>
            </w:r>
          </w:p>
        </w:tc>
        <w:tc>
          <w:tcPr>
            <w:tcW w:w="3690" w:type="pct"/>
            <w:tcMar>
              <w:top w:w="0" w:type="dxa"/>
              <w:bottom w:w="0" w:type="dxa"/>
            </w:tcMar>
            <w:vAlign w:val="center"/>
          </w:tcPr>
          <w:p w14:paraId="5C449CB6" w14:textId="77777777" w:rsidR="004B0883" w:rsidRDefault="004B0883">
            <w:pPr>
              <w:widowControl w:val="0"/>
              <w:adjustRightInd w:val="0"/>
              <w:snapToGrid w:val="0"/>
              <w:jc w:val="both"/>
              <w:rPr>
                <w:sz w:val="18"/>
                <w:szCs w:val="18"/>
              </w:rPr>
            </w:pPr>
            <w:r>
              <w:rPr>
                <w:rFonts w:hint="eastAsia"/>
                <w:sz w:val="18"/>
                <w:szCs w:val="18"/>
              </w:rPr>
              <w:t>本公司全资子公司，莱州伟隆阀门有限公司</w:t>
            </w:r>
          </w:p>
        </w:tc>
      </w:tr>
      <w:tr w:rsidR="004B0883" w14:paraId="0617044E" w14:textId="77777777">
        <w:trPr>
          <w:trHeight w:val="340"/>
          <w:jc w:val="center"/>
        </w:trPr>
        <w:tc>
          <w:tcPr>
            <w:tcW w:w="1060" w:type="pct"/>
            <w:tcMar>
              <w:top w:w="0" w:type="dxa"/>
              <w:bottom w:w="0" w:type="dxa"/>
            </w:tcMar>
            <w:vAlign w:val="center"/>
          </w:tcPr>
          <w:p w14:paraId="6B691C2A" w14:textId="77777777" w:rsidR="004B0883" w:rsidRDefault="004B0883">
            <w:pPr>
              <w:widowControl w:val="0"/>
              <w:adjustRightInd w:val="0"/>
              <w:snapToGrid w:val="0"/>
              <w:rPr>
                <w:rFonts w:hint="eastAsia"/>
                <w:sz w:val="18"/>
                <w:szCs w:val="18"/>
              </w:rPr>
            </w:pPr>
            <w:r>
              <w:rPr>
                <w:rFonts w:hint="eastAsia"/>
                <w:sz w:val="18"/>
                <w:szCs w:val="18"/>
              </w:rPr>
              <w:t>海南伟隆</w:t>
            </w:r>
          </w:p>
        </w:tc>
        <w:tc>
          <w:tcPr>
            <w:tcW w:w="250" w:type="pct"/>
            <w:tcMar>
              <w:top w:w="0" w:type="dxa"/>
              <w:bottom w:w="0" w:type="dxa"/>
            </w:tcMar>
            <w:vAlign w:val="center"/>
          </w:tcPr>
          <w:p w14:paraId="3A6A6182" w14:textId="77777777" w:rsidR="004B0883" w:rsidRDefault="004B0883">
            <w:pPr>
              <w:widowControl w:val="0"/>
              <w:adjustRightInd w:val="0"/>
              <w:snapToGrid w:val="0"/>
              <w:jc w:val="center"/>
              <w:rPr>
                <w:rFonts w:hint="eastAsia"/>
                <w:sz w:val="18"/>
                <w:szCs w:val="18"/>
              </w:rPr>
            </w:pPr>
            <w:r>
              <w:rPr>
                <w:rFonts w:hint="eastAsia"/>
                <w:sz w:val="18"/>
                <w:szCs w:val="18"/>
              </w:rPr>
              <w:t>指</w:t>
            </w:r>
          </w:p>
        </w:tc>
        <w:tc>
          <w:tcPr>
            <w:tcW w:w="3690" w:type="pct"/>
            <w:tcMar>
              <w:top w:w="0" w:type="dxa"/>
              <w:bottom w:w="0" w:type="dxa"/>
            </w:tcMar>
            <w:vAlign w:val="center"/>
          </w:tcPr>
          <w:p w14:paraId="1E2B8195" w14:textId="77777777" w:rsidR="004B0883" w:rsidRDefault="004B0883">
            <w:pPr>
              <w:widowControl w:val="0"/>
              <w:adjustRightInd w:val="0"/>
              <w:snapToGrid w:val="0"/>
              <w:jc w:val="both"/>
              <w:rPr>
                <w:rFonts w:hint="eastAsia"/>
                <w:sz w:val="18"/>
                <w:szCs w:val="18"/>
              </w:rPr>
            </w:pPr>
            <w:r>
              <w:rPr>
                <w:rFonts w:hint="eastAsia"/>
                <w:sz w:val="18"/>
                <w:szCs w:val="18"/>
              </w:rPr>
              <w:t>本公司控股子公司，海南伟隆投资有限公司</w:t>
            </w:r>
          </w:p>
        </w:tc>
      </w:tr>
      <w:tr w:rsidR="004B0883" w14:paraId="2BA32B54" w14:textId="77777777">
        <w:trPr>
          <w:trHeight w:val="340"/>
          <w:jc w:val="center"/>
        </w:trPr>
        <w:tc>
          <w:tcPr>
            <w:tcW w:w="1060" w:type="pct"/>
            <w:tcMar>
              <w:top w:w="0" w:type="dxa"/>
              <w:bottom w:w="0" w:type="dxa"/>
            </w:tcMar>
            <w:vAlign w:val="center"/>
          </w:tcPr>
          <w:p w14:paraId="3C0CC947" w14:textId="77777777" w:rsidR="004B0883" w:rsidRDefault="004B0883">
            <w:pPr>
              <w:widowControl w:val="0"/>
              <w:adjustRightInd w:val="0"/>
              <w:snapToGrid w:val="0"/>
              <w:rPr>
                <w:sz w:val="18"/>
                <w:szCs w:val="18"/>
              </w:rPr>
            </w:pPr>
            <w:r>
              <w:rPr>
                <w:rFonts w:hint="eastAsia"/>
                <w:sz w:val="18"/>
                <w:szCs w:val="18"/>
              </w:rPr>
              <w:t>伟隆五金</w:t>
            </w:r>
          </w:p>
        </w:tc>
        <w:tc>
          <w:tcPr>
            <w:tcW w:w="250" w:type="pct"/>
            <w:tcMar>
              <w:top w:w="0" w:type="dxa"/>
              <w:bottom w:w="0" w:type="dxa"/>
            </w:tcMar>
            <w:vAlign w:val="center"/>
          </w:tcPr>
          <w:p w14:paraId="51927153" w14:textId="77777777" w:rsidR="004B0883" w:rsidRDefault="004B0883">
            <w:pPr>
              <w:widowControl w:val="0"/>
              <w:adjustRightInd w:val="0"/>
              <w:snapToGrid w:val="0"/>
              <w:jc w:val="center"/>
              <w:rPr>
                <w:sz w:val="18"/>
                <w:szCs w:val="18"/>
              </w:rPr>
            </w:pPr>
            <w:r>
              <w:rPr>
                <w:rFonts w:hint="eastAsia"/>
                <w:sz w:val="18"/>
                <w:szCs w:val="18"/>
              </w:rPr>
              <w:t>指</w:t>
            </w:r>
          </w:p>
        </w:tc>
        <w:tc>
          <w:tcPr>
            <w:tcW w:w="3690" w:type="pct"/>
            <w:tcMar>
              <w:top w:w="0" w:type="dxa"/>
              <w:bottom w:w="0" w:type="dxa"/>
            </w:tcMar>
            <w:vAlign w:val="center"/>
          </w:tcPr>
          <w:p w14:paraId="7A125065" w14:textId="77777777" w:rsidR="004B0883" w:rsidRDefault="004B0883">
            <w:pPr>
              <w:widowControl w:val="0"/>
              <w:adjustRightInd w:val="0"/>
              <w:snapToGrid w:val="0"/>
              <w:jc w:val="both"/>
              <w:rPr>
                <w:sz w:val="18"/>
                <w:szCs w:val="18"/>
              </w:rPr>
            </w:pPr>
            <w:r>
              <w:rPr>
                <w:rFonts w:hint="eastAsia"/>
                <w:sz w:val="18"/>
                <w:szCs w:val="18"/>
              </w:rPr>
              <w:t>本公司全资子公司，青岛伟隆五金机械有限公司</w:t>
            </w:r>
          </w:p>
        </w:tc>
      </w:tr>
      <w:tr w:rsidR="004B0883" w14:paraId="1A4EA6CB" w14:textId="77777777">
        <w:trPr>
          <w:trHeight w:val="340"/>
          <w:jc w:val="center"/>
        </w:trPr>
        <w:tc>
          <w:tcPr>
            <w:tcW w:w="1060" w:type="pct"/>
            <w:tcMar>
              <w:top w:w="0" w:type="dxa"/>
              <w:bottom w:w="0" w:type="dxa"/>
            </w:tcMar>
            <w:vAlign w:val="center"/>
          </w:tcPr>
          <w:p w14:paraId="2DC1FA14" w14:textId="77777777" w:rsidR="004B0883" w:rsidRDefault="004B0883">
            <w:pPr>
              <w:widowControl w:val="0"/>
              <w:adjustRightInd w:val="0"/>
              <w:snapToGrid w:val="0"/>
              <w:rPr>
                <w:sz w:val="18"/>
                <w:szCs w:val="18"/>
              </w:rPr>
            </w:pPr>
            <w:r>
              <w:rPr>
                <w:rFonts w:hint="eastAsia"/>
                <w:sz w:val="18"/>
                <w:szCs w:val="18"/>
              </w:rPr>
              <w:t>青岛卓信</w:t>
            </w:r>
          </w:p>
        </w:tc>
        <w:tc>
          <w:tcPr>
            <w:tcW w:w="250" w:type="pct"/>
            <w:tcMar>
              <w:top w:w="0" w:type="dxa"/>
              <w:bottom w:w="0" w:type="dxa"/>
            </w:tcMar>
            <w:vAlign w:val="center"/>
          </w:tcPr>
          <w:p w14:paraId="05A38C76" w14:textId="77777777" w:rsidR="004B0883" w:rsidRDefault="004B0883">
            <w:pPr>
              <w:widowControl w:val="0"/>
              <w:adjustRightInd w:val="0"/>
              <w:snapToGrid w:val="0"/>
              <w:jc w:val="center"/>
              <w:rPr>
                <w:sz w:val="18"/>
                <w:szCs w:val="18"/>
              </w:rPr>
            </w:pPr>
            <w:r>
              <w:rPr>
                <w:rFonts w:hint="eastAsia"/>
                <w:sz w:val="18"/>
                <w:szCs w:val="18"/>
              </w:rPr>
              <w:t>指</w:t>
            </w:r>
          </w:p>
        </w:tc>
        <w:tc>
          <w:tcPr>
            <w:tcW w:w="3690" w:type="pct"/>
            <w:tcMar>
              <w:top w:w="0" w:type="dxa"/>
              <w:bottom w:w="0" w:type="dxa"/>
            </w:tcMar>
            <w:vAlign w:val="center"/>
          </w:tcPr>
          <w:p w14:paraId="6E50515F" w14:textId="77777777" w:rsidR="004B0883" w:rsidRDefault="004B0883">
            <w:pPr>
              <w:widowControl w:val="0"/>
              <w:adjustRightInd w:val="0"/>
              <w:snapToGrid w:val="0"/>
              <w:jc w:val="both"/>
              <w:rPr>
                <w:sz w:val="18"/>
                <w:szCs w:val="18"/>
              </w:rPr>
            </w:pPr>
            <w:r>
              <w:rPr>
                <w:rFonts w:hint="eastAsia"/>
                <w:sz w:val="18"/>
                <w:szCs w:val="18"/>
              </w:rPr>
              <w:t>本公司全资子公司，青岛卓信检测技术有限责任公司</w:t>
            </w:r>
          </w:p>
        </w:tc>
      </w:tr>
      <w:tr w:rsidR="004B0883" w14:paraId="78B4AEC8" w14:textId="77777777">
        <w:trPr>
          <w:trHeight w:val="340"/>
          <w:jc w:val="center"/>
        </w:trPr>
        <w:tc>
          <w:tcPr>
            <w:tcW w:w="1060" w:type="pct"/>
            <w:tcMar>
              <w:top w:w="0" w:type="dxa"/>
              <w:bottom w:w="0" w:type="dxa"/>
            </w:tcMar>
            <w:vAlign w:val="center"/>
          </w:tcPr>
          <w:p w14:paraId="56618832" w14:textId="77777777" w:rsidR="004B0883" w:rsidRDefault="004B0883">
            <w:pPr>
              <w:widowControl w:val="0"/>
              <w:adjustRightInd w:val="0"/>
              <w:snapToGrid w:val="0"/>
              <w:rPr>
                <w:rFonts w:hint="eastAsia"/>
                <w:sz w:val="18"/>
                <w:szCs w:val="18"/>
              </w:rPr>
            </w:pPr>
            <w:r>
              <w:rPr>
                <w:rFonts w:hint="eastAsia"/>
                <w:sz w:val="18"/>
                <w:szCs w:val="18"/>
              </w:rPr>
              <w:t>伟隆流体</w:t>
            </w:r>
          </w:p>
        </w:tc>
        <w:tc>
          <w:tcPr>
            <w:tcW w:w="250" w:type="pct"/>
            <w:tcMar>
              <w:top w:w="0" w:type="dxa"/>
              <w:bottom w:w="0" w:type="dxa"/>
            </w:tcMar>
            <w:vAlign w:val="center"/>
          </w:tcPr>
          <w:p w14:paraId="76B2C6D2" w14:textId="77777777" w:rsidR="004B0883" w:rsidRDefault="004B0883">
            <w:pPr>
              <w:widowControl w:val="0"/>
              <w:adjustRightInd w:val="0"/>
              <w:snapToGrid w:val="0"/>
              <w:jc w:val="center"/>
              <w:rPr>
                <w:sz w:val="18"/>
                <w:szCs w:val="18"/>
              </w:rPr>
            </w:pPr>
            <w:r>
              <w:rPr>
                <w:rFonts w:hint="eastAsia"/>
                <w:sz w:val="18"/>
                <w:szCs w:val="18"/>
              </w:rPr>
              <w:t>指</w:t>
            </w:r>
          </w:p>
        </w:tc>
        <w:tc>
          <w:tcPr>
            <w:tcW w:w="3690" w:type="pct"/>
            <w:tcMar>
              <w:top w:w="0" w:type="dxa"/>
              <w:bottom w:w="0" w:type="dxa"/>
            </w:tcMar>
            <w:vAlign w:val="center"/>
          </w:tcPr>
          <w:p w14:paraId="43824C44" w14:textId="77777777" w:rsidR="004B0883" w:rsidRDefault="004B0883">
            <w:pPr>
              <w:widowControl w:val="0"/>
              <w:adjustRightInd w:val="0"/>
              <w:snapToGrid w:val="0"/>
              <w:jc w:val="both"/>
              <w:rPr>
                <w:rFonts w:hint="eastAsia"/>
                <w:sz w:val="18"/>
                <w:szCs w:val="18"/>
              </w:rPr>
            </w:pPr>
            <w:r>
              <w:rPr>
                <w:rFonts w:hint="eastAsia"/>
                <w:sz w:val="18"/>
                <w:szCs w:val="18"/>
              </w:rPr>
              <w:t>本公司全资子公司，青岛伟隆流体设备有限公司</w:t>
            </w:r>
          </w:p>
        </w:tc>
      </w:tr>
      <w:tr w:rsidR="004B0883" w14:paraId="52CEBDC4" w14:textId="77777777">
        <w:trPr>
          <w:trHeight w:val="340"/>
          <w:jc w:val="center"/>
        </w:trPr>
        <w:tc>
          <w:tcPr>
            <w:tcW w:w="1060" w:type="pct"/>
            <w:tcMar>
              <w:top w:w="0" w:type="dxa"/>
              <w:bottom w:w="0" w:type="dxa"/>
            </w:tcMar>
            <w:vAlign w:val="center"/>
          </w:tcPr>
          <w:p w14:paraId="46A225F1" w14:textId="77777777" w:rsidR="004B0883" w:rsidRDefault="004B0883">
            <w:pPr>
              <w:widowControl w:val="0"/>
              <w:adjustRightInd w:val="0"/>
              <w:snapToGrid w:val="0"/>
              <w:rPr>
                <w:rFonts w:hint="eastAsia"/>
                <w:sz w:val="18"/>
                <w:szCs w:val="18"/>
              </w:rPr>
            </w:pPr>
            <w:r>
              <w:rPr>
                <w:rFonts w:hint="eastAsia"/>
                <w:sz w:val="18"/>
                <w:szCs w:val="18"/>
              </w:rPr>
              <w:t>伟隆海洋</w:t>
            </w:r>
          </w:p>
        </w:tc>
        <w:tc>
          <w:tcPr>
            <w:tcW w:w="250" w:type="pct"/>
            <w:tcMar>
              <w:top w:w="0" w:type="dxa"/>
              <w:bottom w:w="0" w:type="dxa"/>
            </w:tcMar>
            <w:vAlign w:val="center"/>
          </w:tcPr>
          <w:p w14:paraId="55966EFC" w14:textId="77777777" w:rsidR="004B0883" w:rsidRDefault="004B0883">
            <w:pPr>
              <w:widowControl w:val="0"/>
              <w:adjustRightInd w:val="0"/>
              <w:snapToGrid w:val="0"/>
              <w:jc w:val="center"/>
              <w:rPr>
                <w:rFonts w:hint="eastAsia"/>
                <w:sz w:val="18"/>
                <w:szCs w:val="18"/>
              </w:rPr>
            </w:pPr>
            <w:r>
              <w:rPr>
                <w:rFonts w:hint="eastAsia"/>
                <w:sz w:val="18"/>
                <w:szCs w:val="18"/>
              </w:rPr>
              <w:t>指</w:t>
            </w:r>
          </w:p>
        </w:tc>
        <w:tc>
          <w:tcPr>
            <w:tcW w:w="3690" w:type="pct"/>
            <w:tcMar>
              <w:top w:w="0" w:type="dxa"/>
              <w:bottom w:w="0" w:type="dxa"/>
            </w:tcMar>
            <w:vAlign w:val="center"/>
          </w:tcPr>
          <w:p w14:paraId="072C8AA0" w14:textId="77777777" w:rsidR="004B0883" w:rsidRDefault="004B0883">
            <w:pPr>
              <w:widowControl w:val="0"/>
              <w:adjustRightInd w:val="0"/>
              <w:snapToGrid w:val="0"/>
              <w:jc w:val="both"/>
              <w:rPr>
                <w:rFonts w:hint="eastAsia"/>
                <w:sz w:val="18"/>
                <w:szCs w:val="18"/>
              </w:rPr>
            </w:pPr>
            <w:r>
              <w:rPr>
                <w:rFonts w:hint="eastAsia"/>
                <w:sz w:val="18"/>
                <w:szCs w:val="18"/>
              </w:rPr>
              <w:t>报告期内曾为本公司控股子公司，青岛伟隆海洋科技有限公司</w:t>
            </w:r>
          </w:p>
        </w:tc>
      </w:tr>
      <w:tr w:rsidR="004B0883" w14:paraId="776A879A" w14:textId="77777777">
        <w:trPr>
          <w:trHeight w:val="340"/>
          <w:jc w:val="center"/>
        </w:trPr>
        <w:tc>
          <w:tcPr>
            <w:tcW w:w="1060" w:type="pct"/>
            <w:tcMar>
              <w:top w:w="0" w:type="dxa"/>
              <w:bottom w:w="0" w:type="dxa"/>
            </w:tcMar>
            <w:vAlign w:val="center"/>
          </w:tcPr>
          <w:p w14:paraId="6052F765" w14:textId="77777777" w:rsidR="004B0883" w:rsidRDefault="004B0883">
            <w:pPr>
              <w:widowControl w:val="0"/>
              <w:adjustRightInd w:val="0"/>
              <w:snapToGrid w:val="0"/>
              <w:rPr>
                <w:rFonts w:hint="eastAsia"/>
                <w:sz w:val="18"/>
                <w:szCs w:val="18"/>
              </w:rPr>
            </w:pPr>
            <w:r>
              <w:rPr>
                <w:rFonts w:hint="eastAsia"/>
                <w:sz w:val="18"/>
                <w:szCs w:val="18"/>
              </w:rPr>
              <w:t>英国伟隆</w:t>
            </w:r>
          </w:p>
        </w:tc>
        <w:tc>
          <w:tcPr>
            <w:tcW w:w="250" w:type="pct"/>
            <w:tcMar>
              <w:top w:w="0" w:type="dxa"/>
              <w:bottom w:w="0" w:type="dxa"/>
            </w:tcMar>
            <w:vAlign w:val="center"/>
          </w:tcPr>
          <w:p w14:paraId="69E9CCCF" w14:textId="77777777" w:rsidR="004B0883" w:rsidRDefault="004B0883">
            <w:pPr>
              <w:widowControl w:val="0"/>
              <w:adjustRightInd w:val="0"/>
              <w:snapToGrid w:val="0"/>
              <w:jc w:val="center"/>
              <w:rPr>
                <w:sz w:val="18"/>
                <w:szCs w:val="18"/>
              </w:rPr>
            </w:pPr>
            <w:r>
              <w:rPr>
                <w:rFonts w:hint="eastAsia"/>
                <w:sz w:val="18"/>
                <w:szCs w:val="18"/>
              </w:rPr>
              <w:t>指</w:t>
            </w:r>
          </w:p>
        </w:tc>
        <w:tc>
          <w:tcPr>
            <w:tcW w:w="3690" w:type="pct"/>
            <w:tcMar>
              <w:top w:w="0" w:type="dxa"/>
              <w:bottom w:w="0" w:type="dxa"/>
            </w:tcMar>
            <w:vAlign w:val="center"/>
          </w:tcPr>
          <w:p w14:paraId="49630959" w14:textId="77777777" w:rsidR="004B0883" w:rsidRDefault="004B0883">
            <w:pPr>
              <w:widowControl w:val="0"/>
              <w:adjustRightInd w:val="0"/>
              <w:snapToGrid w:val="0"/>
              <w:jc w:val="both"/>
              <w:rPr>
                <w:rFonts w:hint="eastAsia"/>
                <w:sz w:val="18"/>
                <w:szCs w:val="18"/>
              </w:rPr>
            </w:pPr>
            <w:r>
              <w:rPr>
                <w:rFonts w:hint="eastAsia"/>
                <w:sz w:val="18"/>
                <w:szCs w:val="18"/>
              </w:rPr>
              <w:t>本公司全资子公司，</w:t>
            </w:r>
            <w:r>
              <w:rPr>
                <w:sz w:val="18"/>
                <w:szCs w:val="18"/>
              </w:rPr>
              <w:t>WEFLO VALVE COMPANY LIMITED</w:t>
            </w:r>
          </w:p>
        </w:tc>
      </w:tr>
      <w:tr w:rsidR="004B0883" w14:paraId="2D71A08B" w14:textId="77777777">
        <w:trPr>
          <w:trHeight w:val="340"/>
          <w:jc w:val="center"/>
        </w:trPr>
        <w:tc>
          <w:tcPr>
            <w:tcW w:w="1060" w:type="pct"/>
            <w:tcMar>
              <w:top w:w="0" w:type="dxa"/>
              <w:bottom w:w="0" w:type="dxa"/>
            </w:tcMar>
            <w:vAlign w:val="center"/>
          </w:tcPr>
          <w:p w14:paraId="4CE10AD7" w14:textId="77777777" w:rsidR="004B0883" w:rsidRDefault="004B0883">
            <w:pPr>
              <w:widowControl w:val="0"/>
              <w:adjustRightInd w:val="0"/>
              <w:snapToGrid w:val="0"/>
              <w:rPr>
                <w:rFonts w:hint="eastAsia"/>
                <w:sz w:val="18"/>
                <w:szCs w:val="18"/>
              </w:rPr>
            </w:pPr>
            <w:r>
              <w:rPr>
                <w:rFonts w:hint="eastAsia"/>
                <w:sz w:val="18"/>
                <w:szCs w:val="18"/>
              </w:rPr>
              <w:t>香港伟隆</w:t>
            </w:r>
          </w:p>
        </w:tc>
        <w:tc>
          <w:tcPr>
            <w:tcW w:w="250" w:type="pct"/>
            <w:tcMar>
              <w:top w:w="0" w:type="dxa"/>
              <w:bottom w:w="0" w:type="dxa"/>
            </w:tcMar>
            <w:vAlign w:val="center"/>
          </w:tcPr>
          <w:p w14:paraId="7069C985" w14:textId="77777777" w:rsidR="004B0883" w:rsidRDefault="004B0883">
            <w:pPr>
              <w:widowControl w:val="0"/>
              <w:adjustRightInd w:val="0"/>
              <w:snapToGrid w:val="0"/>
              <w:jc w:val="center"/>
              <w:rPr>
                <w:sz w:val="18"/>
                <w:szCs w:val="18"/>
              </w:rPr>
            </w:pPr>
            <w:r>
              <w:rPr>
                <w:rFonts w:hint="eastAsia"/>
                <w:sz w:val="18"/>
                <w:szCs w:val="18"/>
              </w:rPr>
              <w:t>指</w:t>
            </w:r>
          </w:p>
        </w:tc>
        <w:tc>
          <w:tcPr>
            <w:tcW w:w="3690" w:type="pct"/>
            <w:tcMar>
              <w:top w:w="0" w:type="dxa"/>
              <w:bottom w:w="0" w:type="dxa"/>
            </w:tcMar>
            <w:vAlign w:val="center"/>
          </w:tcPr>
          <w:p w14:paraId="2564F758" w14:textId="77777777" w:rsidR="004B0883" w:rsidRDefault="004B0883">
            <w:pPr>
              <w:widowControl w:val="0"/>
              <w:adjustRightInd w:val="0"/>
              <w:snapToGrid w:val="0"/>
              <w:jc w:val="both"/>
              <w:rPr>
                <w:rFonts w:hint="eastAsia"/>
                <w:sz w:val="18"/>
                <w:szCs w:val="18"/>
              </w:rPr>
            </w:pPr>
            <w:r>
              <w:rPr>
                <w:rFonts w:hint="eastAsia"/>
                <w:sz w:val="18"/>
                <w:szCs w:val="18"/>
              </w:rPr>
              <w:t>本公司全资子公司，伟隆</w:t>
            </w:r>
            <w:r>
              <w:rPr>
                <w:sz w:val="18"/>
                <w:szCs w:val="18"/>
              </w:rPr>
              <w:t>（香港）</w:t>
            </w:r>
            <w:r>
              <w:rPr>
                <w:rFonts w:hint="eastAsia"/>
                <w:sz w:val="18"/>
                <w:szCs w:val="18"/>
              </w:rPr>
              <w:t>实业</w:t>
            </w:r>
            <w:r>
              <w:rPr>
                <w:sz w:val="18"/>
                <w:szCs w:val="18"/>
              </w:rPr>
              <w:t>有限公司</w:t>
            </w:r>
          </w:p>
        </w:tc>
      </w:tr>
      <w:tr w:rsidR="004B0883" w14:paraId="61B0F5F8" w14:textId="77777777">
        <w:trPr>
          <w:trHeight w:val="340"/>
          <w:jc w:val="center"/>
        </w:trPr>
        <w:tc>
          <w:tcPr>
            <w:tcW w:w="1060" w:type="pct"/>
            <w:tcMar>
              <w:top w:w="0" w:type="dxa"/>
              <w:bottom w:w="0" w:type="dxa"/>
            </w:tcMar>
            <w:vAlign w:val="center"/>
          </w:tcPr>
          <w:p w14:paraId="7B28C976" w14:textId="77777777" w:rsidR="004B0883" w:rsidRDefault="004B0883">
            <w:pPr>
              <w:widowControl w:val="0"/>
              <w:adjustRightInd w:val="0"/>
              <w:snapToGrid w:val="0"/>
              <w:rPr>
                <w:rFonts w:hint="eastAsia"/>
                <w:sz w:val="18"/>
                <w:szCs w:val="18"/>
              </w:rPr>
            </w:pPr>
            <w:r>
              <w:rPr>
                <w:rFonts w:hint="eastAsia"/>
                <w:sz w:val="18"/>
                <w:szCs w:val="18"/>
              </w:rPr>
              <w:t>美国伟隆</w:t>
            </w:r>
          </w:p>
        </w:tc>
        <w:tc>
          <w:tcPr>
            <w:tcW w:w="250" w:type="pct"/>
            <w:tcMar>
              <w:top w:w="0" w:type="dxa"/>
              <w:bottom w:w="0" w:type="dxa"/>
            </w:tcMar>
            <w:vAlign w:val="center"/>
          </w:tcPr>
          <w:p w14:paraId="66C5B351" w14:textId="77777777" w:rsidR="004B0883" w:rsidRDefault="004B0883">
            <w:pPr>
              <w:widowControl w:val="0"/>
              <w:adjustRightInd w:val="0"/>
              <w:snapToGrid w:val="0"/>
              <w:jc w:val="center"/>
              <w:rPr>
                <w:sz w:val="18"/>
                <w:szCs w:val="18"/>
              </w:rPr>
            </w:pPr>
            <w:r>
              <w:rPr>
                <w:rFonts w:hint="eastAsia"/>
                <w:sz w:val="18"/>
                <w:szCs w:val="18"/>
              </w:rPr>
              <w:t>指</w:t>
            </w:r>
          </w:p>
        </w:tc>
        <w:tc>
          <w:tcPr>
            <w:tcW w:w="3690" w:type="pct"/>
            <w:tcMar>
              <w:top w:w="0" w:type="dxa"/>
              <w:bottom w:w="0" w:type="dxa"/>
            </w:tcMar>
            <w:vAlign w:val="center"/>
          </w:tcPr>
          <w:p w14:paraId="497D2994" w14:textId="77777777" w:rsidR="004B0883" w:rsidRDefault="004B0883">
            <w:pPr>
              <w:widowControl w:val="0"/>
              <w:adjustRightInd w:val="0"/>
              <w:snapToGrid w:val="0"/>
              <w:jc w:val="both"/>
              <w:rPr>
                <w:rFonts w:hint="eastAsia"/>
                <w:sz w:val="18"/>
                <w:szCs w:val="18"/>
              </w:rPr>
            </w:pPr>
            <w:r>
              <w:rPr>
                <w:rFonts w:hint="eastAsia"/>
                <w:sz w:val="18"/>
                <w:szCs w:val="18"/>
              </w:rPr>
              <w:t>本公司全资子公司，</w:t>
            </w:r>
            <w:r>
              <w:rPr>
                <w:sz w:val="18"/>
                <w:szCs w:val="18"/>
              </w:rPr>
              <w:t>WEFLO VALVE LLC</w:t>
            </w:r>
          </w:p>
        </w:tc>
      </w:tr>
      <w:tr w:rsidR="004B0883" w14:paraId="3660FF5E" w14:textId="77777777">
        <w:trPr>
          <w:trHeight w:val="340"/>
          <w:jc w:val="center"/>
        </w:trPr>
        <w:tc>
          <w:tcPr>
            <w:tcW w:w="1060" w:type="pct"/>
            <w:tcMar>
              <w:top w:w="0" w:type="dxa"/>
              <w:bottom w:w="0" w:type="dxa"/>
            </w:tcMar>
            <w:vAlign w:val="center"/>
          </w:tcPr>
          <w:p w14:paraId="5CD917D0" w14:textId="77777777" w:rsidR="004B0883" w:rsidRDefault="004B0883">
            <w:pPr>
              <w:widowControl w:val="0"/>
              <w:adjustRightInd w:val="0"/>
              <w:snapToGrid w:val="0"/>
              <w:rPr>
                <w:rFonts w:hint="eastAsia"/>
                <w:sz w:val="18"/>
                <w:szCs w:val="18"/>
              </w:rPr>
            </w:pPr>
            <w:r>
              <w:rPr>
                <w:rFonts w:hint="eastAsia"/>
                <w:sz w:val="18"/>
                <w:szCs w:val="18"/>
              </w:rPr>
              <w:t>惠隆公司</w:t>
            </w:r>
          </w:p>
        </w:tc>
        <w:tc>
          <w:tcPr>
            <w:tcW w:w="250" w:type="pct"/>
            <w:tcMar>
              <w:top w:w="0" w:type="dxa"/>
              <w:bottom w:w="0" w:type="dxa"/>
            </w:tcMar>
            <w:vAlign w:val="center"/>
          </w:tcPr>
          <w:p w14:paraId="0F7375E9" w14:textId="77777777" w:rsidR="004B0883" w:rsidRDefault="004B0883">
            <w:pPr>
              <w:widowControl w:val="0"/>
              <w:adjustRightInd w:val="0"/>
              <w:snapToGrid w:val="0"/>
              <w:jc w:val="center"/>
              <w:rPr>
                <w:rFonts w:hint="eastAsia"/>
                <w:sz w:val="18"/>
                <w:szCs w:val="18"/>
              </w:rPr>
            </w:pPr>
            <w:r>
              <w:rPr>
                <w:rFonts w:hint="eastAsia"/>
                <w:sz w:val="18"/>
                <w:szCs w:val="18"/>
              </w:rPr>
              <w:t>指</w:t>
            </w:r>
          </w:p>
        </w:tc>
        <w:tc>
          <w:tcPr>
            <w:tcW w:w="3690" w:type="pct"/>
            <w:tcMar>
              <w:top w:w="0" w:type="dxa"/>
              <w:bottom w:w="0" w:type="dxa"/>
            </w:tcMar>
            <w:vAlign w:val="center"/>
          </w:tcPr>
          <w:p w14:paraId="5B7F1BF9" w14:textId="77777777" w:rsidR="004B0883" w:rsidRDefault="004B0883">
            <w:pPr>
              <w:widowControl w:val="0"/>
              <w:adjustRightInd w:val="0"/>
              <w:snapToGrid w:val="0"/>
              <w:jc w:val="both"/>
              <w:rPr>
                <w:rFonts w:hint="eastAsia"/>
                <w:sz w:val="18"/>
                <w:szCs w:val="18"/>
              </w:rPr>
            </w:pPr>
            <w:r>
              <w:rPr>
                <w:rFonts w:hint="eastAsia"/>
                <w:sz w:val="18"/>
                <w:szCs w:val="18"/>
              </w:rPr>
              <w:t>本公司股东，江西惠隆企业管理有限公司</w:t>
            </w:r>
          </w:p>
        </w:tc>
      </w:tr>
      <w:tr w:rsidR="004B0883" w14:paraId="12318EA3" w14:textId="77777777">
        <w:trPr>
          <w:trHeight w:val="340"/>
          <w:jc w:val="center"/>
        </w:trPr>
        <w:tc>
          <w:tcPr>
            <w:tcW w:w="1808" w:type="dxa"/>
            <w:tcMar>
              <w:top w:w="0" w:type="dxa"/>
              <w:bottom w:w="0" w:type="dxa"/>
            </w:tcMar>
            <w:vAlign w:val="center"/>
          </w:tcPr>
          <w:p w14:paraId="42317FCE" w14:textId="77777777" w:rsidR="004B0883" w:rsidRDefault="004B0883">
            <w:pPr>
              <w:widowControl w:val="0"/>
              <w:adjustRightInd w:val="0"/>
              <w:snapToGrid w:val="0"/>
              <w:rPr>
                <w:rFonts w:hint="eastAsia"/>
                <w:sz w:val="18"/>
                <w:szCs w:val="18"/>
              </w:rPr>
            </w:pPr>
            <w:r>
              <w:rPr>
                <w:rFonts w:hint="eastAsia"/>
                <w:sz w:val="18"/>
                <w:szCs w:val="18"/>
              </w:rPr>
              <w:t>辰英特</w:t>
            </w:r>
          </w:p>
        </w:tc>
        <w:tc>
          <w:tcPr>
            <w:tcW w:w="426" w:type="dxa"/>
            <w:tcMar>
              <w:top w:w="0" w:type="dxa"/>
              <w:bottom w:w="0" w:type="dxa"/>
            </w:tcMar>
            <w:vAlign w:val="center"/>
          </w:tcPr>
          <w:p w14:paraId="0000E6B2" w14:textId="77777777" w:rsidR="004B0883" w:rsidRDefault="004B0883">
            <w:pPr>
              <w:widowControl w:val="0"/>
              <w:adjustRightInd w:val="0"/>
              <w:snapToGrid w:val="0"/>
              <w:jc w:val="center"/>
              <w:rPr>
                <w:rFonts w:hint="eastAsia"/>
                <w:sz w:val="18"/>
                <w:szCs w:val="18"/>
              </w:rPr>
            </w:pPr>
            <w:r>
              <w:rPr>
                <w:rFonts w:hint="eastAsia"/>
                <w:sz w:val="18"/>
                <w:szCs w:val="18"/>
              </w:rPr>
              <w:t>指</w:t>
            </w:r>
          </w:p>
        </w:tc>
        <w:tc>
          <w:tcPr>
            <w:tcW w:w="6291" w:type="dxa"/>
            <w:tcMar>
              <w:top w:w="0" w:type="dxa"/>
              <w:bottom w:w="0" w:type="dxa"/>
            </w:tcMar>
            <w:vAlign w:val="center"/>
          </w:tcPr>
          <w:p w14:paraId="3D9EDA82" w14:textId="77777777" w:rsidR="004B0883" w:rsidRDefault="004B0883">
            <w:pPr>
              <w:widowControl w:val="0"/>
              <w:adjustRightInd w:val="0"/>
              <w:snapToGrid w:val="0"/>
              <w:rPr>
                <w:rFonts w:hint="eastAsia"/>
                <w:sz w:val="18"/>
                <w:szCs w:val="18"/>
              </w:rPr>
            </w:pPr>
            <w:r>
              <w:rPr>
                <w:rFonts w:hint="eastAsia"/>
                <w:sz w:val="18"/>
                <w:szCs w:val="18"/>
              </w:rPr>
              <w:t>莱州辰英特机械制造有限公司</w:t>
            </w:r>
          </w:p>
        </w:tc>
      </w:tr>
      <w:tr w:rsidR="004B0883" w14:paraId="670A0827" w14:textId="77777777">
        <w:trPr>
          <w:trHeight w:val="340"/>
          <w:jc w:val="center"/>
        </w:trPr>
        <w:tc>
          <w:tcPr>
            <w:tcW w:w="1060" w:type="pct"/>
            <w:tcMar>
              <w:top w:w="0" w:type="dxa"/>
              <w:bottom w:w="0" w:type="dxa"/>
            </w:tcMar>
            <w:vAlign w:val="center"/>
          </w:tcPr>
          <w:p w14:paraId="1239C993" w14:textId="77777777" w:rsidR="004B0883" w:rsidRDefault="004B0883">
            <w:pPr>
              <w:widowControl w:val="0"/>
              <w:adjustRightInd w:val="0"/>
              <w:snapToGrid w:val="0"/>
              <w:rPr>
                <w:sz w:val="18"/>
                <w:szCs w:val="18"/>
              </w:rPr>
            </w:pPr>
            <w:r>
              <w:rPr>
                <w:rFonts w:hint="eastAsia"/>
                <w:sz w:val="18"/>
                <w:szCs w:val="18"/>
              </w:rPr>
              <w:t>江苏神通</w:t>
            </w:r>
          </w:p>
        </w:tc>
        <w:tc>
          <w:tcPr>
            <w:tcW w:w="250" w:type="pct"/>
            <w:tcMar>
              <w:top w:w="0" w:type="dxa"/>
              <w:bottom w:w="0" w:type="dxa"/>
            </w:tcMar>
            <w:vAlign w:val="center"/>
          </w:tcPr>
          <w:p w14:paraId="4DF6D562" w14:textId="77777777" w:rsidR="004B0883" w:rsidRDefault="004B0883">
            <w:pPr>
              <w:widowControl w:val="0"/>
              <w:adjustRightInd w:val="0"/>
              <w:snapToGrid w:val="0"/>
              <w:jc w:val="center"/>
              <w:rPr>
                <w:sz w:val="18"/>
                <w:szCs w:val="18"/>
              </w:rPr>
            </w:pPr>
            <w:r>
              <w:rPr>
                <w:rFonts w:hint="eastAsia"/>
                <w:sz w:val="18"/>
                <w:szCs w:val="18"/>
              </w:rPr>
              <w:t>指</w:t>
            </w:r>
          </w:p>
        </w:tc>
        <w:tc>
          <w:tcPr>
            <w:tcW w:w="3690" w:type="pct"/>
            <w:tcMar>
              <w:top w:w="0" w:type="dxa"/>
              <w:bottom w:w="0" w:type="dxa"/>
            </w:tcMar>
            <w:vAlign w:val="center"/>
          </w:tcPr>
          <w:p w14:paraId="1164E74C" w14:textId="77777777" w:rsidR="004B0883" w:rsidRDefault="004B0883">
            <w:pPr>
              <w:widowControl w:val="0"/>
              <w:adjustRightInd w:val="0"/>
              <w:snapToGrid w:val="0"/>
              <w:jc w:val="both"/>
              <w:rPr>
                <w:sz w:val="18"/>
                <w:szCs w:val="18"/>
              </w:rPr>
            </w:pPr>
            <w:r>
              <w:rPr>
                <w:rFonts w:hint="eastAsia"/>
                <w:sz w:val="18"/>
                <w:szCs w:val="18"/>
              </w:rPr>
              <w:t>江苏神通阀门股份有限公司（</w:t>
            </w:r>
            <w:r>
              <w:rPr>
                <w:sz w:val="18"/>
                <w:szCs w:val="18"/>
              </w:rPr>
              <w:t>002438</w:t>
            </w:r>
            <w:r>
              <w:rPr>
                <w:rFonts w:hint="eastAsia"/>
                <w:sz w:val="18"/>
                <w:szCs w:val="18"/>
              </w:rPr>
              <w:t>.SZ</w:t>
            </w:r>
            <w:r>
              <w:rPr>
                <w:rFonts w:hint="eastAsia"/>
                <w:sz w:val="18"/>
                <w:szCs w:val="18"/>
              </w:rPr>
              <w:t>）</w:t>
            </w:r>
          </w:p>
        </w:tc>
      </w:tr>
      <w:tr w:rsidR="004B0883" w14:paraId="3CFB018D" w14:textId="77777777">
        <w:trPr>
          <w:trHeight w:val="340"/>
          <w:jc w:val="center"/>
        </w:trPr>
        <w:tc>
          <w:tcPr>
            <w:tcW w:w="1060" w:type="pct"/>
            <w:tcMar>
              <w:top w:w="0" w:type="dxa"/>
              <w:bottom w:w="0" w:type="dxa"/>
            </w:tcMar>
            <w:vAlign w:val="center"/>
          </w:tcPr>
          <w:p w14:paraId="06E7AD31" w14:textId="77777777" w:rsidR="004B0883" w:rsidRDefault="004B0883">
            <w:pPr>
              <w:widowControl w:val="0"/>
              <w:adjustRightInd w:val="0"/>
              <w:snapToGrid w:val="0"/>
              <w:rPr>
                <w:sz w:val="18"/>
                <w:szCs w:val="18"/>
              </w:rPr>
            </w:pPr>
            <w:r>
              <w:rPr>
                <w:rFonts w:hint="eastAsia"/>
                <w:sz w:val="18"/>
                <w:szCs w:val="18"/>
              </w:rPr>
              <w:t>冠龙节能</w:t>
            </w:r>
          </w:p>
        </w:tc>
        <w:tc>
          <w:tcPr>
            <w:tcW w:w="250" w:type="pct"/>
            <w:tcMar>
              <w:top w:w="0" w:type="dxa"/>
              <w:bottom w:w="0" w:type="dxa"/>
            </w:tcMar>
            <w:vAlign w:val="center"/>
          </w:tcPr>
          <w:p w14:paraId="00EBEF4C" w14:textId="77777777" w:rsidR="004B0883" w:rsidRDefault="004B0883">
            <w:pPr>
              <w:widowControl w:val="0"/>
              <w:adjustRightInd w:val="0"/>
              <w:snapToGrid w:val="0"/>
              <w:jc w:val="center"/>
              <w:rPr>
                <w:sz w:val="18"/>
                <w:szCs w:val="18"/>
              </w:rPr>
            </w:pPr>
            <w:r>
              <w:rPr>
                <w:rFonts w:hint="eastAsia"/>
                <w:sz w:val="18"/>
                <w:szCs w:val="18"/>
              </w:rPr>
              <w:t>指</w:t>
            </w:r>
          </w:p>
        </w:tc>
        <w:tc>
          <w:tcPr>
            <w:tcW w:w="3690" w:type="pct"/>
            <w:tcMar>
              <w:top w:w="0" w:type="dxa"/>
              <w:bottom w:w="0" w:type="dxa"/>
            </w:tcMar>
            <w:vAlign w:val="center"/>
          </w:tcPr>
          <w:p w14:paraId="7647D673" w14:textId="77777777" w:rsidR="004B0883" w:rsidRDefault="004B0883">
            <w:pPr>
              <w:widowControl w:val="0"/>
              <w:adjustRightInd w:val="0"/>
              <w:snapToGrid w:val="0"/>
              <w:jc w:val="both"/>
              <w:rPr>
                <w:sz w:val="18"/>
                <w:szCs w:val="18"/>
              </w:rPr>
            </w:pPr>
            <w:r>
              <w:rPr>
                <w:rFonts w:hint="eastAsia"/>
                <w:sz w:val="18"/>
                <w:szCs w:val="18"/>
              </w:rPr>
              <w:t>上海冠龙阀门节能设备股份有限公司（</w:t>
            </w:r>
            <w:r>
              <w:rPr>
                <w:sz w:val="18"/>
                <w:szCs w:val="18"/>
              </w:rPr>
              <w:t>301151</w:t>
            </w:r>
            <w:r>
              <w:rPr>
                <w:rFonts w:hint="eastAsia"/>
                <w:sz w:val="18"/>
                <w:szCs w:val="18"/>
              </w:rPr>
              <w:t>.SZ</w:t>
            </w:r>
            <w:r>
              <w:rPr>
                <w:rFonts w:hint="eastAsia"/>
                <w:sz w:val="18"/>
                <w:szCs w:val="18"/>
              </w:rPr>
              <w:t>）</w:t>
            </w:r>
          </w:p>
        </w:tc>
      </w:tr>
      <w:tr w:rsidR="004B0883" w14:paraId="420B992F" w14:textId="77777777">
        <w:trPr>
          <w:trHeight w:val="340"/>
          <w:jc w:val="center"/>
        </w:trPr>
        <w:tc>
          <w:tcPr>
            <w:tcW w:w="1060" w:type="pct"/>
            <w:tcMar>
              <w:top w:w="0" w:type="dxa"/>
              <w:bottom w:w="0" w:type="dxa"/>
            </w:tcMar>
            <w:vAlign w:val="center"/>
          </w:tcPr>
          <w:p w14:paraId="04774256" w14:textId="77777777" w:rsidR="004B0883" w:rsidRDefault="004B0883">
            <w:pPr>
              <w:widowControl w:val="0"/>
              <w:adjustRightInd w:val="0"/>
              <w:snapToGrid w:val="0"/>
              <w:rPr>
                <w:sz w:val="18"/>
                <w:szCs w:val="18"/>
              </w:rPr>
            </w:pPr>
            <w:r>
              <w:rPr>
                <w:rFonts w:hint="eastAsia"/>
                <w:sz w:val="18"/>
                <w:szCs w:val="18"/>
              </w:rPr>
              <w:t>纽威股份</w:t>
            </w:r>
          </w:p>
        </w:tc>
        <w:tc>
          <w:tcPr>
            <w:tcW w:w="250" w:type="pct"/>
            <w:tcMar>
              <w:top w:w="0" w:type="dxa"/>
              <w:bottom w:w="0" w:type="dxa"/>
            </w:tcMar>
            <w:vAlign w:val="center"/>
          </w:tcPr>
          <w:p w14:paraId="6E3894FD" w14:textId="77777777" w:rsidR="004B0883" w:rsidRDefault="004B0883">
            <w:pPr>
              <w:widowControl w:val="0"/>
              <w:adjustRightInd w:val="0"/>
              <w:snapToGrid w:val="0"/>
              <w:jc w:val="center"/>
              <w:rPr>
                <w:sz w:val="18"/>
                <w:szCs w:val="18"/>
              </w:rPr>
            </w:pPr>
            <w:r>
              <w:rPr>
                <w:rFonts w:hint="eastAsia"/>
                <w:sz w:val="18"/>
                <w:szCs w:val="18"/>
              </w:rPr>
              <w:t>指</w:t>
            </w:r>
          </w:p>
        </w:tc>
        <w:tc>
          <w:tcPr>
            <w:tcW w:w="3690" w:type="pct"/>
            <w:tcMar>
              <w:top w:w="0" w:type="dxa"/>
              <w:bottom w:w="0" w:type="dxa"/>
            </w:tcMar>
            <w:vAlign w:val="center"/>
          </w:tcPr>
          <w:p w14:paraId="0BB88D26" w14:textId="77777777" w:rsidR="004B0883" w:rsidRDefault="004B0883">
            <w:pPr>
              <w:widowControl w:val="0"/>
              <w:adjustRightInd w:val="0"/>
              <w:snapToGrid w:val="0"/>
              <w:jc w:val="both"/>
              <w:rPr>
                <w:sz w:val="18"/>
                <w:szCs w:val="18"/>
              </w:rPr>
            </w:pPr>
            <w:r>
              <w:rPr>
                <w:rFonts w:hint="eastAsia"/>
                <w:sz w:val="18"/>
                <w:szCs w:val="18"/>
              </w:rPr>
              <w:t>苏州纽威阀门股份有限公司（</w:t>
            </w:r>
            <w:r>
              <w:rPr>
                <w:sz w:val="18"/>
                <w:szCs w:val="18"/>
              </w:rPr>
              <w:t>603699</w:t>
            </w:r>
            <w:r>
              <w:rPr>
                <w:rFonts w:hint="eastAsia"/>
                <w:sz w:val="18"/>
                <w:szCs w:val="18"/>
              </w:rPr>
              <w:t>.S</w:t>
            </w:r>
            <w:r>
              <w:rPr>
                <w:sz w:val="18"/>
                <w:szCs w:val="18"/>
              </w:rPr>
              <w:t>H</w:t>
            </w:r>
            <w:r>
              <w:rPr>
                <w:rFonts w:hint="eastAsia"/>
                <w:sz w:val="18"/>
                <w:szCs w:val="18"/>
              </w:rPr>
              <w:t>）</w:t>
            </w:r>
          </w:p>
        </w:tc>
      </w:tr>
      <w:tr w:rsidR="004B0883" w14:paraId="22C64A64" w14:textId="77777777">
        <w:trPr>
          <w:trHeight w:val="340"/>
          <w:jc w:val="center"/>
        </w:trPr>
        <w:tc>
          <w:tcPr>
            <w:tcW w:w="1060" w:type="pct"/>
            <w:tcMar>
              <w:top w:w="0" w:type="dxa"/>
              <w:bottom w:w="0" w:type="dxa"/>
            </w:tcMar>
            <w:vAlign w:val="center"/>
          </w:tcPr>
          <w:p w14:paraId="52008A9F" w14:textId="77777777" w:rsidR="004B0883" w:rsidRDefault="004B0883">
            <w:pPr>
              <w:widowControl w:val="0"/>
              <w:adjustRightInd w:val="0"/>
              <w:snapToGrid w:val="0"/>
              <w:rPr>
                <w:sz w:val="18"/>
                <w:szCs w:val="18"/>
              </w:rPr>
            </w:pPr>
            <w:r>
              <w:rPr>
                <w:rFonts w:hint="eastAsia"/>
                <w:sz w:val="18"/>
                <w:szCs w:val="18"/>
              </w:rPr>
              <w:t>中核科技</w:t>
            </w:r>
          </w:p>
        </w:tc>
        <w:tc>
          <w:tcPr>
            <w:tcW w:w="250" w:type="pct"/>
            <w:tcMar>
              <w:top w:w="0" w:type="dxa"/>
              <w:bottom w:w="0" w:type="dxa"/>
            </w:tcMar>
            <w:vAlign w:val="center"/>
          </w:tcPr>
          <w:p w14:paraId="79D2DAD6" w14:textId="77777777" w:rsidR="004B0883" w:rsidRDefault="004B0883">
            <w:pPr>
              <w:widowControl w:val="0"/>
              <w:adjustRightInd w:val="0"/>
              <w:snapToGrid w:val="0"/>
              <w:jc w:val="center"/>
              <w:rPr>
                <w:sz w:val="18"/>
                <w:szCs w:val="18"/>
              </w:rPr>
            </w:pPr>
            <w:r>
              <w:rPr>
                <w:rFonts w:hint="eastAsia"/>
                <w:sz w:val="18"/>
                <w:szCs w:val="18"/>
              </w:rPr>
              <w:t>指</w:t>
            </w:r>
          </w:p>
        </w:tc>
        <w:tc>
          <w:tcPr>
            <w:tcW w:w="3690" w:type="pct"/>
            <w:tcMar>
              <w:top w:w="0" w:type="dxa"/>
              <w:bottom w:w="0" w:type="dxa"/>
            </w:tcMar>
            <w:vAlign w:val="center"/>
          </w:tcPr>
          <w:p w14:paraId="29224538" w14:textId="77777777" w:rsidR="004B0883" w:rsidRDefault="004B0883">
            <w:pPr>
              <w:widowControl w:val="0"/>
              <w:adjustRightInd w:val="0"/>
              <w:snapToGrid w:val="0"/>
              <w:jc w:val="both"/>
              <w:rPr>
                <w:sz w:val="18"/>
                <w:szCs w:val="18"/>
              </w:rPr>
            </w:pPr>
            <w:r>
              <w:rPr>
                <w:rFonts w:hint="eastAsia"/>
                <w:sz w:val="18"/>
                <w:szCs w:val="18"/>
              </w:rPr>
              <w:t>中核苏阀科技实业股份有限公司（</w:t>
            </w:r>
            <w:r>
              <w:rPr>
                <w:sz w:val="18"/>
                <w:szCs w:val="18"/>
              </w:rPr>
              <w:t>000777</w:t>
            </w:r>
            <w:r>
              <w:rPr>
                <w:rFonts w:hint="eastAsia"/>
                <w:sz w:val="18"/>
                <w:szCs w:val="18"/>
              </w:rPr>
              <w:t>.S</w:t>
            </w:r>
            <w:r>
              <w:rPr>
                <w:sz w:val="18"/>
                <w:szCs w:val="18"/>
              </w:rPr>
              <w:t>Z</w:t>
            </w:r>
            <w:r>
              <w:rPr>
                <w:rFonts w:hint="eastAsia"/>
                <w:sz w:val="18"/>
                <w:szCs w:val="18"/>
              </w:rPr>
              <w:t>）</w:t>
            </w:r>
          </w:p>
        </w:tc>
      </w:tr>
      <w:tr w:rsidR="004B0883" w14:paraId="0B410575" w14:textId="77777777">
        <w:trPr>
          <w:trHeight w:val="340"/>
          <w:jc w:val="center"/>
        </w:trPr>
        <w:tc>
          <w:tcPr>
            <w:tcW w:w="1060" w:type="pct"/>
            <w:tcMar>
              <w:top w:w="0" w:type="dxa"/>
              <w:bottom w:w="0" w:type="dxa"/>
            </w:tcMar>
            <w:vAlign w:val="center"/>
          </w:tcPr>
          <w:p w14:paraId="2C209806" w14:textId="77777777" w:rsidR="004B0883" w:rsidRDefault="004B0883">
            <w:pPr>
              <w:widowControl w:val="0"/>
              <w:adjustRightInd w:val="0"/>
              <w:snapToGrid w:val="0"/>
              <w:rPr>
                <w:sz w:val="18"/>
                <w:szCs w:val="18"/>
              </w:rPr>
            </w:pPr>
            <w:r>
              <w:rPr>
                <w:sz w:val="18"/>
                <w:szCs w:val="18"/>
              </w:rPr>
              <w:t>国务院</w:t>
            </w:r>
          </w:p>
        </w:tc>
        <w:tc>
          <w:tcPr>
            <w:tcW w:w="250" w:type="pct"/>
            <w:tcMar>
              <w:top w:w="0" w:type="dxa"/>
              <w:bottom w:w="0" w:type="dxa"/>
            </w:tcMar>
            <w:vAlign w:val="center"/>
          </w:tcPr>
          <w:p w14:paraId="7974F2C5" w14:textId="77777777" w:rsidR="004B0883" w:rsidRDefault="004B0883">
            <w:pPr>
              <w:widowControl w:val="0"/>
              <w:adjustRightInd w:val="0"/>
              <w:snapToGrid w:val="0"/>
              <w:jc w:val="center"/>
              <w:rPr>
                <w:sz w:val="18"/>
                <w:szCs w:val="18"/>
              </w:rPr>
            </w:pPr>
            <w:r>
              <w:rPr>
                <w:sz w:val="18"/>
                <w:szCs w:val="18"/>
              </w:rPr>
              <w:t>指</w:t>
            </w:r>
          </w:p>
        </w:tc>
        <w:tc>
          <w:tcPr>
            <w:tcW w:w="3690" w:type="pct"/>
            <w:tcMar>
              <w:top w:w="0" w:type="dxa"/>
              <w:bottom w:w="0" w:type="dxa"/>
            </w:tcMar>
            <w:vAlign w:val="center"/>
          </w:tcPr>
          <w:p w14:paraId="1692728B" w14:textId="77777777" w:rsidR="004B0883" w:rsidRDefault="004B0883">
            <w:pPr>
              <w:widowControl w:val="0"/>
              <w:adjustRightInd w:val="0"/>
              <w:snapToGrid w:val="0"/>
              <w:jc w:val="both"/>
              <w:rPr>
                <w:sz w:val="18"/>
                <w:szCs w:val="18"/>
              </w:rPr>
            </w:pPr>
            <w:r>
              <w:rPr>
                <w:sz w:val="18"/>
                <w:szCs w:val="18"/>
              </w:rPr>
              <w:t>中华人民共和国国务院</w:t>
            </w:r>
          </w:p>
        </w:tc>
      </w:tr>
      <w:tr w:rsidR="004B0883" w14:paraId="40AFC5EC" w14:textId="77777777">
        <w:trPr>
          <w:trHeight w:val="340"/>
          <w:jc w:val="center"/>
        </w:trPr>
        <w:tc>
          <w:tcPr>
            <w:tcW w:w="1060" w:type="pct"/>
            <w:tcMar>
              <w:top w:w="0" w:type="dxa"/>
              <w:bottom w:w="0" w:type="dxa"/>
            </w:tcMar>
            <w:vAlign w:val="center"/>
          </w:tcPr>
          <w:p w14:paraId="587B0D81" w14:textId="77777777" w:rsidR="004B0883" w:rsidRDefault="004B0883">
            <w:pPr>
              <w:widowControl w:val="0"/>
              <w:adjustRightInd w:val="0"/>
              <w:snapToGrid w:val="0"/>
              <w:rPr>
                <w:sz w:val="18"/>
                <w:szCs w:val="18"/>
              </w:rPr>
            </w:pPr>
            <w:r>
              <w:rPr>
                <w:sz w:val="18"/>
                <w:szCs w:val="18"/>
              </w:rPr>
              <w:t>发改委</w:t>
            </w:r>
          </w:p>
        </w:tc>
        <w:tc>
          <w:tcPr>
            <w:tcW w:w="250" w:type="pct"/>
            <w:tcMar>
              <w:top w:w="0" w:type="dxa"/>
              <w:bottom w:w="0" w:type="dxa"/>
            </w:tcMar>
            <w:vAlign w:val="center"/>
          </w:tcPr>
          <w:p w14:paraId="03C1E9F4" w14:textId="77777777" w:rsidR="004B0883" w:rsidRDefault="004B0883">
            <w:pPr>
              <w:widowControl w:val="0"/>
              <w:adjustRightInd w:val="0"/>
              <w:snapToGrid w:val="0"/>
              <w:jc w:val="center"/>
              <w:rPr>
                <w:sz w:val="18"/>
                <w:szCs w:val="18"/>
              </w:rPr>
            </w:pPr>
            <w:r>
              <w:rPr>
                <w:sz w:val="18"/>
                <w:szCs w:val="18"/>
              </w:rPr>
              <w:t>指</w:t>
            </w:r>
          </w:p>
        </w:tc>
        <w:tc>
          <w:tcPr>
            <w:tcW w:w="3690" w:type="pct"/>
            <w:tcMar>
              <w:top w:w="0" w:type="dxa"/>
              <w:bottom w:w="0" w:type="dxa"/>
            </w:tcMar>
            <w:vAlign w:val="center"/>
          </w:tcPr>
          <w:p w14:paraId="4138F22F" w14:textId="77777777" w:rsidR="004B0883" w:rsidRDefault="004B0883">
            <w:pPr>
              <w:widowControl w:val="0"/>
              <w:adjustRightInd w:val="0"/>
              <w:snapToGrid w:val="0"/>
              <w:jc w:val="both"/>
              <w:rPr>
                <w:rFonts w:hint="eastAsia"/>
                <w:sz w:val="18"/>
                <w:szCs w:val="18"/>
              </w:rPr>
            </w:pPr>
            <w:r>
              <w:rPr>
                <w:sz w:val="18"/>
                <w:szCs w:val="18"/>
              </w:rPr>
              <w:t>中华人民共和国国家发展和改革委员会</w:t>
            </w:r>
          </w:p>
        </w:tc>
      </w:tr>
      <w:tr w:rsidR="004B0883" w14:paraId="52F76D75" w14:textId="77777777">
        <w:trPr>
          <w:trHeight w:val="340"/>
          <w:jc w:val="center"/>
        </w:trPr>
        <w:tc>
          <w:tcPr>
            <w:tcW w:w="1060" w:type="pct"/>
            <w:tcMar>
              <w:top w:w="0" w:type="dxa"/>
              <w:bottom w:w="0" w:type="dxa"/>
            </w:tcMar>
            <w:vAlign w:val="center"/>
          </w:tcPr>
          <w:p w14:paraId="3248C833" w14:textId="77777777" w:rsidR="004B0883" w:rsidRDefault="004B0883">
            <w:pPr>
              <w:widowControl w:val="0"/>
              <w:adjustRightInd w:val="0"/>
              <w:snapToGrid w:val="0"/>
              <w:rPr>
                <w:sz w:val="18"/>
                <w:szCs w:val="18"/>
              </w:rPr>
            </w:pPr>
            <w:r>
              <w:rPr>
                <w:rFonts w:hint="eastAsia"/>
                <w:sz w:val="18"/>
                <w:szCs w:val="18"/>
              </w:rPr>
              <w:t>全国人民代表大会</w:t>
            </w:r>
          </w:p>
        </w:tc>
        <w:tc>
          <w:tcPr>
            <w:tcW w:w="250" w:type="pct"/>
            <w:tcMar>
              <w:top w:w="0" w:type="dxa"/>
              <w:bottom w:w="0" w:type="dxa"/>
            </w:tcMar>
            <w:vAlign w:val="center"/>
          </w:tcPr>
          <w:p w14:paraId="2D3521B9" w14:textId="77777777" w:rsidR="004B0883" w:rsidRDefault="004B0883">
            <w:pPr>
              <w:widowControl w:val="0"/>
              <w:adjustRightInd w:val="0"/>
              <w:snapToGrid w:val="0"/>
              <w:jc w:val="center"/>
              <w:rPr>
                <w:sz w:val="18"/>
                <w:szCs w:val="18"/>
              </w:rPr>
            </w:pPr>
            <w:r>
              <w:rPr>
                <w:rFonts w:hint="eastAsia"/>
                <w:sz w:val="18"/>
                <w:szCs w:val="18"/>
              </w:rPr>
              <w:t>指</w:t>
            </w:r>
          </w:p>
        </w:tc>
        <w:tc>
          <w:tcPr>
            <w:tcW w:w="3690" w:type="pct"/>
            <w:tcMar>
              <w:top w:w="0" w:type="dxa"/>
              <w:bottom w:w="0" w:type="dxa"/>
            </w:tcMar>
            <w:vAlign w:val="center"/>
          </w:tcPr>
          <w:p w14:paraId="6A5B7DD6" w14:textId="77777777" w:rsidR="004B0883" w:rsidRDefault="004B0883">
            <w:pPr>
              <w:widowControl w:val="0"/>
              <w:adjustRightInd w:val="0"/>
              <w:snapToGrid w:val="0"/>
              <w:jc w:val="both"/>
              <w:rPr>
                <w:sz w:val="18"/>
                <w:szCs w:val="18"/>
              </w:rPr>
            </w:pPr>
            <w:r>
              <w:rPr>
                <w:rFonts w:hint="eastAsia"/>
                <w:sz w:val="18"/>
                <w:szCs w:val="18"/>
              </w:rPr>
              <w:t>中华人民共和国全国人民代表大会，是我国最高国家权力机关</w:t>
            </w:r>
          </w:p>
        </w:tc>
      </w:tr>
      <w:tr w:rsidR="004B0883" w14:paraId="4D027DB8" w14:textId="77777777">
        <w:trPr>
          <w:trHeight w:val="340"/>
          <w:jc w:val="center"/>
        </w:trPr>
        <w:tc>
          <w:tcPr>
            <w:tcW w:w="1060" w:type="pct"/>
            <w:tcMar>
              <w:top w:w="0" w:type="dxa"/>
              <w:bottom w:w="0" w:type="dxa"/>
            </w:tcMar>
            <w:vAlign w:val="center"/>
          </w:tcPr>
          <w:p w14:paraId="792EFEDD" w14:textId="77777777" w:rsidR="004B0883" w:rsidRDefault="004B0883">
            <w:pPr>
              <w:widowControl w:val="0"/>
              <w:adjustRightInd w:val="0"/>
              <w:snapToGrid w:val="0"/>
              <w:rPr>
                <w:sz w:val="18"/>
                <w:szCs w:val="18"/>
              </w:rPr>
            </w:pPr>
            <w:r>
              <w:rPr>
                <w:sz w:val="18"/>
                <w:szCs w:val="18"/>
              </w:rPr>
              <w:t>工信部</w:t>
            </w:r>
          </w:p>
        </w:tc>
        <w:tc>
          <w:tcPr>
            <w:tcW w:w="250" w:type="pct"/>
            <w:tcMar>
              <w:top w:w="0" w:type="dxa"/>
              <w:bottom w:w="0" w:type="dxa"/>
            </w:tcMar>
            <w:vAlign w:val="center"/>
          </w:tcPr>
          <w:p w14:paraId="1AF44A91" w14:textId="77777777" w:rsidR="004B0883" w:rsidRDefault="004B0883">
            <w:pPr>
              <w:widowControl w:val="0"/>
              <w:adjustRightInd w:val="0"/>
              <w:snapToGrid w:val="0"/>
              <w:jc w:val="center"/>
              <w:rPr>
                <w:sz w:val="18"/>
                <w:szCs w:val="18"/>
              </w:rPr>
            </w:pPr>
            <w:r>
              <w:rPr>
                <w:sz w:val="18"/>
                <w:szCs w:val="18"/>
              </w:rPr>
              <w:t>指</w:t>
            </w:r>
          </w:p>
        </w:tc>
        <w:tc>
          <w:tcPr>
            <w:tcW w:w="3690" w:type="pct"/>
            <w:tcMar>
              <w:top w:w="0" w:type="dxa"/>
              <w:bottom w:w="0" w:type="dxa"/>
            </w:tcMar>
            <w:vAlign w:val="center"/>
          </w:tcPr>
          <w:p w14:paraId="28DD4DE8" w14:textId="77777777" w:rsidR="004B0883" w:rsidRDefault="004B0883">
            <w:pPr>
              <w:widowControl w:val="0"/>
              <w:adjustRightInd w:val="0"/>
              <w:snapToGrid w:val="0"/>
              <w:jc w:val="both"/>
              <w:rPr>
                <w:sz w:val="18"/>
                <w:szCs w:val="18"/>
              </w:rPr>
            </w:pPr>
            <w:r>
              <w:rPr>
                <w:sz w:val="18"/>
                <w:szCs w:val="18"/>
              </w:rPr>
              <w:t>中华人民共和国工业和信息化部</w:t>
            </w:r>
          </w:p>
        </w:tc>
      </w:tr>
      <w:tr w:rsidR="004B0883" w14:paraId="1EA7B5A9" w14:textId="77777777">
        <w:trPr>
          <w:trHeight w:val="340"/>
          <w:jc w:val="center"/>
        </w:trPr>
        <w:tc>
          <w:tcPr>
            <w:tcW w:w="1060" w:type="pct"/>
            <w:tcMar>
              <w:top w:w="0" w:type="dxa"/>
              <w:bottom w:w="0" w:type="dxa"/>
            </w:tcMar>
            <w:vAlign w:val="center"/>
          </w:tcPr>
          <w:p w14:paraId="739DDDC6" w14:textId="77777777" w:rsidR="004B0883" w:rsidRDefault="004B0883">
            <w:pPr>
              <w:widowControl w:val="0"/>
              <w:adjustRightInd w:val="0"/>
              <w:snapToGrid w:val="0"/>
              <w:rPr>
                <w:rFonts w:hint="eastAsia"/>
                <w:sz w:val="18"/>
                <w:szCs w:val="18"/>
              </w:rPr>
            </w:pPr>
            <w:bookmarkStart w:id="47" w:name="_Hlk144591831"/>
            <w:r>
              <w:rPr>
                <w:rFonts w:hint="eastAsia"/>
                <w:sz w:val="18"/>
                <w:szCs w:val="18"/>
              </w:rPr>
              <w:t>市场监督管理总局</w:t>
            </w:r>
            <w:bookmarkEnd w:id="47"/>
          </w:p>
        </w:tc>
        <w:tc>
          <w:tcPr>
            <w:tcW w:w="250" w:type="pct"/>
            <w:tcMar>
              <w:top w:w="0" w:type="dxa"/>
              <w:bottom w:w="0" w:type="dxa"/>
            </w:tcMar>
            <w:vAlign w:val="center"/>
          </w:tcPr>
          <w:p w14:paraId="0A51DE48" w14:textId="77777777" w:rsidR="004B0883" w:rsidRDefault="004B0883">
            <w:pPr>
              <w:widowControl w:val="0"/>
              <w:adjustRightInd w:val="0"/>
              <w:snapToGrid w:val="0"/>
              <w:jc w:val="center"/>
              <w:rPr>
                <w:sz w:val="18"/>
                <w:szCs w:val="18"/>
              </w:rPr>
            </w:pPr>
            <w:r>
              <w:rPr>
                <w:rFonts w:hint="eastAsia"/>
                <w:sz w:val="18"/>
                <w:szCs w:val="18"/>
              </w:rPr>
              <w:t>指</w:t>
            </w:r>
          </w:p>
        </w:tc>
        <w:tc>
          <w:tcPr>
            <w:tcW w:w="3690" w:type="pct"/>
            <w:tcMar>
              <w:top w:w="0" w:type="dxa"/>
              <w:bottom w:w="0" w:type="dxa"/>
            </w:tcMar>
            <w:vAlign w:val="center"/>
          </w:tcPr>
          <w:p w14:paraId="01C9329F" w14:textId="77777777" w:rsidR="004B0883" w:rsidRDefault="004B0883">
            <w:pPr>
              <w:widowControl w:val="0"/>
              <w:adjustRightInd w:val="0"/>
              <w:snapToGrid w:val="0"/>
              <w:jc w:val="both"/>
              <w:rPr>
                <w:rFonts w:hint="eastAsia"/>
                <w:sz w:val="18"/>
                <w:szCs w:val="18"/>
              </w:rPr>
            </w:pPr>
            <w:r>
              <w:rPr>
                <w:rFonts w:hint="eastAsia"/>
                <w:sz w:val="18"/>
                <w:szCs w:val="18"/>
              </w:rPr>
              <w:t>中华人民共和国国家市场监督管理总局</w:t>
            </w:r>
          </w:p>
        </w:tc>
      </w:tr>
      <w:tr w:rsidR="004B0883" w14:paraId="632E2BB3" w14:textId="77777777">
        <w:trPr>
          <w:trHeight w:val="340"/>
          <w:jc w:val="center"/>
        </w:trPr>
        <w:tc>
          <w:tcPr>
            <w:tcW w:w="1060" w:type="pct"/>
            <w:tcMar>
              <w:top w:w="0" w:type="dxa"/>
              <w:bottom w:w="0" w:type="dxa"/>
            </w:tcMar>
            <w:vAlign w:val="center"/>
          </w:tcPr>
          <w:p w14:paraId="22F0DB35" w14:textId="77777777" w:rsidR="004B0883" w:rsidRDefault="004B0883">
            <w:pPr>
              <w:widowControl w:val="0"/>
              <w:adjustRightInd w:val="0"/>
              <w:snapToGrid w:val="0"/>
              <w:rPr>
                <w:rFonts w:hint="eastAsia"/>
                <w:sz w:val="18"/>
                <w:szCs w:val="18"/>
              </w:rPr>
            </w:pPr>
            <w:r>
              <w:rPr>
                <w:sz w:val="18"/>
                <w:szCs w:val="18"/>
              </w:rPr>
              <w:t>税务总局</w:t>
            </w:r>
          </w:p>
        </w:tc>
        <w:tc>
          <w:tcPr>
            <w:tcW w:w="250" w:type="pct"/>
            <w:tcMar>
              <w:top w:w="0" w:type="dxa"/>
              <w:bottom w:w="0" w:type="dxa"/>
            </w:tcMar>
            <w:vAlign w:val="center"/>
          </w:tcPr>
          <w:p w14:paraId="0D163D53" w14:textId="77777777" w:rsidR="004B0883" w:rsidRDefault="004B0883">
            <w:pPr>
              <w:widowControl w:val="0"/>
              <w:adjustRightInd w:val="0"/>
              <w:snapToGrid w:val="0"/>
              <w:jc w:val="center"/>
              <w:rPr>
                <w:sz w:val="18"/>
                <w:szCs w:val="18"/>
              </w:rPr>
            </w:pPr>
            <w:r>
              <w:rPr>
                <w:sz w:val="18"/>
                <w:szCs w:val="18"/>
              </w:rPr>
              <w:t>指</w:t>
            </w:r>
          </w:p>
        </w:tc>
        <w:tc>
          <w:tcPr>
            <w:tcW w:w="3690" w:type="pct"/>
            <w:tcMar>
              <w:top w:w="0" w:type="dxa"/>
              <w:bottom w:w="0" w:type="dxa"/>
            </w:tcMar>
            <w:vAlign w:val="center"/>
          </w:tcPr>
          <w:p w14:paraId="293B4E0E" w14:textId="77777777" w:rsidR="004B0883" w:rsidRDefault="004B0883">
            <w:pPr>
              <w:widowControl w:val="0"/>
              <w:adjustRightInd w:val="0"/>
              <w:snapToGrid w:val="0"/>
              <w:jc w:val="both"/>
              <w:rPr>
                <w:rFonts w:hint="eastAsia"/>
                <w:sz w:val="18"/>
                <w:szCs w:val="18"/>
              </w:rPr>
            </w:pPr>
            <w:r>
              <w:rPr>
                <w:rFonts w:hint="eastAsia"/>
                <w:sz w:val="18"/>
                <w:szCs w:val="18"/>
              </w:rPr>
              <w:t>中华人民共和国</w:t>
            </w:r>
            <w:r>
              <w:rPr>
                <w:sz w:val="18"/>
                <w:szCs w:val="18"/>
              </w:rPr>
              <w:t>国家税务总局</w:t>
            </w:r>
          </w:p>
        </w:tc>
      </w:tr>
      <w:tr w:rsidR="004B0883" w14:paraId="6B8FF939" w14:textId="77777777">
        <w:trPr>
          <w:trHeight w:val="340"/>
          <w:jc w:val="center"/>
        </w:trPr>
        <w:tc>
          <w:tcPr>
            <w:tcW w:w="1060" w:type="pct"/>
            <w:tcMar>
              <w:top w:w="0" w:type="dxa"/>
              <w:bottom w:w="0" w:type="dxa"/>
            </w:tcMar>
            <w:vAlign w:val="center"/>
          </w:tcPr>
          <w:p w14:paraId="7D4F7034" w14:textId="77777777" w:rsidR="004B0883" w:rsidRDefault="004B0883">
            <w:pPr>
              <w:widowControl w:val="0"/>
              <w:adjustRightInd w:val="0"/>
              <w:snapToGrid w:val="0"/>
              <w:rPr>
                <w:rFonts w:hint="eastAsia"/>
                <w:sz w:val="18"/>
                <w:szCs w:val="18"/>
              </w:rPr>
            </w:pPr>
            <w:r>
              <w:rPr>
                <w:rFonts w:hint="eastAsia"/>
                <w:sz w:val="18"/>
                <w:szCs w:val="18"/>
              </w:rPr>
              <w:t>住建部</w:t>
            </w:r>
          </w:p>
        </w:tc>
        <w:tc>
          <w:tcPr>
            <w:tcW w:w="250" w:type="pct"/>
            <w:tcMar>
              <w:top w:w="0" w:type="dxa"/>
              <w:bottom w:w="0" w:type="dxa"/>
            </w:tcMar>
            <w:vAlign w:val="center"/>
          </w:tcPr>
          <w:p w14:paraId="6B907698" w14:textId="77777777" w:rsidR="004B0883" w:rsidRDefault="004B0883">
            <w:pPr>
              <w:widowControl w:val="0"/>
              <w:adjustRightInd w:val="0"/>
              <w:snapToGrid w:val="0"/>
              <w:jc w:val="center"/>
              <w:rPr>
                <w:sz w:val="18"/>
                <w:szCs w:val="18"/>
              </w:rPr>
            </w:pPr>
            <w:r>
              <w:rPr>
                <w:rFonts w:hint="eastAsia"/>
                <w:sz w:val="18"/>
                <w:szCs w:val="18"/>
              </w:rPr>
              <w:t>指</w:t>
            </w:r>
          </w:p>
        </w:tc>
        <w:tc>
          <w:tcPr>
            <w:tcW w:w="3690" w:type="pct"/>
            <w:tcMar>
              <w:top w:w="0" w:type="dxa"/>
              <w:bottom w:w="0" w:type="dxa"/>
            </w:tcMar>
            <w:vAlign w:val="center"/>
          </w:tcPr>
          <w:p w14:paraId="2022A13A" w14:textId="77777777" w:rsidR="004B0883" w:rsidRDefault="004B0883">
            <w:pPr>
              <w:widowControl w:val="0"/>
              <w:adjustRightInd w:val="0"/>
              <w:snapToGrid w:val="0"/>
              <w:jc w:val="both"/>
              <w:rPr>
                <w:rFonts w:hint="eastAsia"/>
                <w:sz w:val="18"/>
                <w:szCs w:val="18"/>
              </w:rPr>
            </w:pPr>
            <w:r>
              <w:rPr>
                <w:rFonts w:hint="eastAsia"/>
                <w:sz w:val="18"/>
                <w:szCs w:val="18"/>
              </w:rPr>
              <w:t>中华人民共和国住房和城乡建设部</w:t>
            </w:r>
          </w:p>
        </w:tc>
      </w:tr>
      <w:tr w:rsidR="004B0883" w14:paraId="77217260" w14:textId="77777777">
        <w:trPr>
          <w:trHeight w:val="340"/>
          <w:jc w:val="center"/>
        </w:trPr>
        <w:tc>
          <w:tcPr>
            <w:tcW w:w="1060" w:type="pct"/>
            <w:tcMar>
              <w:top w:w="0" w:type="dxa"/>
              <w:bottom w:w="0" w:type="dxa"/>
            </w:tcMar>
            <w:vAlign w:val="center"/>
          </w:tcPr>
          <w:p w14:paraId="0D58E0AB" w14:textId="77777777" w:rsidR="004B0883" w:rsidRDefault="004B0883">
            <w:pPr>
              <w:widowControl w:val="0"/>
              <w:adjustRightInd w:val="0"/>
              <w:snapToGrid w:val="0"/>
              <w:rPr>
                <w:sz w:val="18"/>
                <w:szCs w:val="18"/>
              </w:rPr>
            </w:pPr>
            <w:r>
              <w:rPr>
                <w:rFonts w:hint="eastAsia"/>
                <w:sz w:val="18"/>
                <w:szCs w:val="18"/>
              </w:rPr>
              <w:t>统计局</w:t>
            </w:r>
          </w:p>
        </w:tc>
        <w:tc>
          <w:tcPr>
            <w:tcW w:w="250" w:type="pct"/>
            <w:tcMar>
              <w:top w:w="0" w:type="dxa"/>
              <w:bottom w:w="0" w:type="dxa"/>
            </w:tcMar>
            <w:vAlign w:val="center"/>
          </w:tcPr>
          <w:p w14:paraId="25AFB566" w14:textId="77777777" w:rsidR="004B0883" w:rsidRDefault="004B0883">
            <w:pPr>
              <w:widowControl w:val="0"/>
              <w:adjustRightInd w:val="0"/>
              <w:snapToGrid w:val="0"/>
              <w:jc w:val="center"/>
              <w:rPr>
                <w:sz w:val="18"/>
                <w:szCs w:val="18"/>
              </w:rPr>
            </w:pPr>
            <w:r>
              <w:rPr>
                <w:rFonts w:hint="eastAsia"/>
                <w:sz w:val="18"/>
                <w:szCs w:val="18"/>
              </w:rPr>
              <w:t>指</w:t>
            </w:r>
          </w:p>
        </w:tc>
        <w:tc>
          <w:tcPr>
            <w:tcW w:w="3690" w:type="pct"/>
            <w:tcMar>
              <w:top w:w="0" w:type="dxa"/>
              <w:bottom w:w="0" w:type="dxa"/>
            </w:tcMar>
            <w:vAlign w:val="center"/>
          </w:tcPr>
          <w:p w14:paraId="60CEC326" w14:textId="77777777" w:rsidR="004B0883" w:rsidRDefault="004B0883">
            <w:pPr>
              <w:widowControl w:val="0"/>
              <w:adjustRightInd w:val="0"/>
              <w:snapToGrid w:val="0"/>
              <w:jc w:val="both"/>
              <w:rPr>
                <w:sz w:val="18"/>
                <w:szCs w:val="18"/>
              </w:rPr>
            </w:pPr>
            <w:r>
              <w:rPr>
                <w:rFonts w:hint="eastAsia"/>
                <w:sz w:val="18"/>
                <w:szCs w:val="18"/>
              </w:rPr>
              <w:t>中华人民共和国国家统计局</w:t>
            </w:r>
          </w:p>
        </w:tc>
      </w:tr>
      <w:tr w:rsidR="004B0883" w14:paraId="6056E5E4" w14:textId="77777777">
        <w:trPr>
          <w:trHeight w:val="340"/>
          <w:jc w:val="center"/>
        </w:trPr>
        <w:tc>
          <w:tcPr>
            <w:tcW w:w="1060" w:type="pct"/>
            <w:tcMar>
              <w:top w:w="0" w:type="dxa"/>
              <w:bottom w:w="0" w:type="dxa"/>
            </w:tcMar>
            <w:vAlign w:val="center"/>
          </w:tcPr>
          <w:p w14:paraId="592DCA74" w14:textId="77777777" w:rsidR="004B0883" w:rsidRDefault="004B0883">
            <w:pPr>
              <w:widowControl w:val="0"/>
              <w:adjustRightInd w:val="0"/>
              <w:snapToGrid w:val="0"/>
              <w:rPr>
                <w:rFonts w:hint="eastAsia"/>
                <w:sz w:val="18"/>
                <w:szCs w:val="18"/>
              </w:rPr>
            </w:pPr>
            <w:r>
              <w:rPr>
                <w:sz w:val="18"/>
                <w:szCs w:val="18"/>
              </w:rPr>
              <w:t>财政部</w:t>
            </w:r>
          </w:p>
        </w:tc>
        <w:tc>
          <w:tcPr>
            <w:tcW w:w="250" w:type="pct"/>
            <w:tcMar>
              <w:top w:w="0" w:type="dxa"/>
              <w:bottom w:w="0" w:type="dxa"/>
            </w:tcMar>
            <w:vAlign w:val="center"/>
          </w:tcPr>
          <w:p w14:paraId="4CBCAE77" w14:textId="77777777" w:rsidR="004B0883" w:rsidRDefault="004B0883">
            <w:pPr>
              <w:widowControl w:val="0"/>
              <w:adjustRightInd w:val="0"/>
              <w:snapToGrid w:val="0"/>
              <w:jc w:val="center"/>
              <w:rPr>
                <w:rFonts w:hint="eastAsia"/>
                <w:sz w:val="18"/>
                <w:szCs w:val="18"/>
              </w:rPr>
            </w:pPr>
            <w:r>
              <w:rPr>
                <w:sz w:val="18"/>
                <w:szCs w:val="18"/>
              </w:rPr>
              <w:t>指</w:t>
            </w:r>
          </w:p>
        </w:tc>
        <w:tc>
          <w:tcPr>
            <w:tcW w:w="3690" w:type="pct"/>
            <w:tcMar>
              <w:top w:w="0" w:type="dxa"/>
              <w:bottom w:w="0" w:type="dxa"/>
            </w:tcMar>
            <w:vAlign w:val="center"/>
          </w:tcPr>
          <w:p w14:paraId="7D7DDB66" w14:textId="77777777" w:rsidR="004B0883" w:rsidRDefault="004B0883">
            <w:pPr>
              <w:widowControl w:val="0"/>
              <w:adjustRightInd w:val="0"/>
              <w:snapToGrid w:val="0"/>
              <w:jc w:val="both"/>
              <w:rPr>
                <w:rFonts w:hint="eastAsia"/>
                <w:sz w:val="18"/>
                <w:szCs w:val="18"/>
              </w:rPr>
            </w:pPr>
            <w:r>
              <w:rPr>
                <w:sz w:val="18"/>
                <w:szCs w:val="18"/>
              </w:rPr>
              <w:t>中华人民共和国财政部</w:t>
            </w:r>
          </w:p>
        </w:tc>
      </w:tr>
      <w:tr w:rsidR="004B0883" w14:paraId="4B22E371" w14:textId="77777777">
        <w:trPr>
          <w:trHeight w:val="340"/>
          <w:jc w:val="center"/>
        </w:trPr>
        <w:tc>
          <w:tcPr>
            <w:tcW w:w="1060" w:type="pct"/>
            <w:tcMar>
              <w:top w:w="0" w:type="dxa"/>
              <w:bottom w:w="0" w:type="dxa"/>
            </w:tcMar>
            <w:vAlign w:val="center"/>
          </w:tcPr>
          <w:p w14:paraId="00BE5631" w14:textId="77777777" w:rsidR="004B0883" w:rsidRDefault="004B0883">
            <w:pPr>
              <w:widowControl w:val="0"/>
              <w:adjustRightInd w:val="0"/>
              <w:snapToGrid w:val="0"/>
              <w:rPr>
                <w:sz w:val="18"/>
                <w:szCs w:val="18"/>
              </w:rPr>
            </w:pPr>
            <w:r>
              <w:rPr>
                <w:rFonts w:hint="eastAsia"/>
                <w:sz w:val="18"/>
                <w:szCs w:val="18"/>
              </w:rPr>
              <w:t>海关总署</w:t>
            </w:r>
          </w:p>
        </w:tc>
        <w:tc>
          <w:tcPr>
            <w:tcW w:w="250" w:type="pct"/>
            <w:tcMar>
              <w:top w:w="0" w:type="dxa"/>
              <w:bottom w:w="0" w:type="dxa"/>
            </w:tcMar>
            <w:vAlign w:val="center"/>
          </w:tcPr>
          <w:p w14:paraId="20FD3AAB" w14:textId="77777777" w:rsidR="004B0883" w:rsidRDefault="004B0883">
            <w:pPr>
              <w:widowControl w:val="0"/>
              <w:adjustRightInd w:val="0"/>
              <w:snapToGrid w:val="0"/>
              <w:jc w:val="center"/>
              <w:rPr>
                <w:sz w:val="18"/>
                <w:szCs w:val="18"/>
              </w:rPr>
            </w:pPr>
            <w:r>
              <w:rPr>
                <w:rFonts w:hint="eastAsia"/>
                <w:sz w:val="18"/>
                <w:szCs w:val="18"/>
              </w:rPr>
              <w:t>指</w:t>
            </w:r>
          </w:p>
        </w:tc>
        <w:tc>
          <w:tcPr>
            <w:tcW w:w="3690" w:type="pct"/>
            <w:tcMar>
              <w:top w:w="0" w:type="dxa"/>
              <w:bottom w:w="0" w:type="dxa"/>
            </w:tcMar>
            <w:vAlign w:val="center"/>
          </w:tcPr>
          <w:p w14:paraId="2DC073B0" w14:textId="77777777" w:rsidR="004B0883" w:rsidRDefault="004B0883">
            <w:pPr>
              <w:widowControl w:val="0"/>
              <w:adjustRightInd w:val="0"/>
              <w:snapToGrid w:val="0"/>
              <w:jc w:val="both"/>
              <w:rPr>
                <w:sz w:val="18"/>
                <w:szCs w:val="18"/>
              </w:rPr>
            </w:pPr>
            <w:r>
              <w:rPr>
                <w:rFonts w:hint="eastAsia"/>
                <w:sz w:val="18"/>
                <w:szCs w:val="18"/>
              </w:rPr>
              <w:t>中华人民共和国海关总署</w:t>
            </w:r>
          </w:p>
        </w:tc>
      </w:tr>
      <w:tr w:rsidR="004B0883" w14:paraId="45C1DA39" w14:textId="77777777">
        <w:trPr>
          <w:trHeight w:val="340"/>
          <w:jc w:val="center"/>
        </w:trPr>
        <w:tc>
          <w:tcPr>
            <w:tcW w:w="1060" w:type="pct"/>
            <w:tcMar>
              <w:top w:w="0" w:type="dxa"/>
              <w:bottom w:w="0" w:type="dxa"/>
            </w:tcMar>
            <w:vAlign w:val="center"/>
          </w:tcPr>
          <w:p w14:paraId="147C4699" w14:textId="77777777" w:rsidR="004B0883" w:rsidRDefault="004B0883">
            <w:pPr>
              <w:widowControl w:val="0"/>
              <w:adjustRightInd w:val="0"/>
              <w:snapToGrid w:val="0"/>
              <w:rPr>
                <w:sz w:val="18"/>
                <w:szCs w:val="18"/>
              </w:rPr>
            </w:pPr>
            <w:r>
              <w:rPr>
                <w:rFonts w:hint="eastAsia"/>
                <w:sz w:val="18"/>
                <w:szCs w:val="18"/>
              </w:rPr>
              <w:t>能源局</w:t>
            </w:r>
          </w:p>
        </w:tc>
        <w:tc>
          <w:tcPr>
            <w:tcW w:w="250" w:type="pct"/>
            <w:tcMar>
              <w:top w:w="0" w:type="dxa"/>
              <w:bottom w:w="0" w:type="dxa"/>
            </w:tcMar>
            <w:vAlign w:val="center"/>
          </w:tcPr>
          <w:p w14:paraId="7EAD23F6" w14:textId="77777777" w:rsidR="004B0883" w:rsidRDefault="004B0883">
            <w:pPr>
              <w:widowControl w:val="0"/>
              <w:adjustRightInd w:val="0"/>
              <w:snapToGrid w:val="0"/>
              <w:jc w:val="center"/>
              <w:rPr>
                <w:sz w:val="18"/>
                <w:szCs w:val="18"/>
              </w:rPr>
            </w:pPr>
            <w:r>
              <w:rPr>
                <w:rFonts w:hint="eastAsia"/>
                <w:sz w:val="18"/>
                <w:szCs w:val="18"/>
              </w:rPr>
              <w:t>指</w:t>
            </w:r>
          </w:p>
        </w:tc>
        <w:tc>
          <w:tcPr>
            <w:tcW w:w="3690" w:type="pct"/>
            <w:tcMar>
              <w:top w:w="0" w:type="dxa"/>
              <w:bottom w:w="0" w:type="dxa"/>
            </w:tcMar>
            <w:vAlign w:val="center"/>
          </w:tcPr>
          <w:p w14:paraId="5349800A" w14:textId="77777777" w:rsidR="004B0883" w:rsidRDefault="004B0883">
            <w:pPr>
              <w:widowControl w:val="0"/>
              <w:adjustRightInd w:val="0"/>
              <w:snapToGrid w:val="0"/>
              <w:jc w:val="both"/>
              <w:rPr>
                <w:sz w:val="18"/>
                <w:szCs w:val="18"/>
              </w:rPr>
            </w:pPr>
            <w:r>
              <w:rPr>
                <w:rFonts w:hint="eastAsia"/>
                <w:sz w:val="18"/>
                <w:szCs w:val="18"/>
              </w:rPr>
              <w:t>中华人民共和国国家能源局</w:t>
            </w:r>
          </w:p>
        </w:tc>
      </w:tr>
      <w:tr w:rsidR="004B0883" w14:paraId="17FEF32D" w14:textId="77777777">
        <w:trPr>
          <w:trHeight w:val="340"/>
          <w:jc w:val="center"/>
        </w:trPr>
        <w:tc>
          <w:tcPr>
            <w:tcW w:w="1060" w:type="pct"/>
            <w:tcMar>
              <w:top w:w="0" w:type="dxa"/>
              <w:bottom w:w="0" w:type="dxa"/>
            </w:tcMar>
            <w:vAlign w:val="center"/>
          </w:tcPr>
          <w:p w14:paraId="38DD8756" w14:textId="77777777" w:rsidR="004B0883" w:rsidRDefault="004B0883">
            <w:pPr>
              <w:widowControl w:val="0"/>
              <w:adjustRightInd w:val="0"/>
              <w:snapToGrid w:val="0"/>
              <w:rPr>
                <w:sz w:val="18"/>
                <w:szCs w:val="18"/>
              </w:rPr>
            </w:pPr>
            <w:r>
              <w:rPr>
                <w:rFonts w:hint="eastAsia"/>
                <w:sz w:val="18"/>
                <w:szCs w:val="18"/>
              </w:rPr>
              <w:t>生态环境部</w:t>
            </w:r>
          </w:p>
        </w:tc>
        <w:tc>
          <w:tcPr>
            <w:tcW w:w="250" w:type="pct"/>
            <w:tcMar>
              <w:top w:w="0" w:type="dxa"/>
              <w:bottom w:w="0" w:type="dxa"/>
            </w:tcMar>
            <w:vAlign w:val="center"/>
          </w:tcPr>
          <w:p w14:paraId="259DC4C9" w14:textId="77777777" w:rsidR="004B0883" w:rsidRDefault="004B0883">
            <w:pPr>
              <w:widowControl w:val="0"/>
              <w:adjustRightInd w:val="0"/>
              <w:snapToGrid w:val="0"/>
              <w:jc w:val="center"/>
              <w:rPr>
                <w:sz w:val="18"/>
                <w:szCs w:val="18"/>
              </w:rPr>
            </w:pPr>
            <w:r>
              <w:rPr>
                <w:rFonts w:hint="eastAsia"/>
                <w:sz w:val="18"/>
                <w:szCs w:val="18"/>
              </w:rPr>
              <w:t>指</w:t>
            </w:r>
          </w:p>
        </w:tc>
        <w:tc>
          <w:tcPr>
            <w:tcW w:w="3690" w:type="pct"/>
            <w:tcMar>
              <w:top w:w="0" w:type="dxa"/>
              <w:bottom w:w="0" w:type="dxa"/>
            </w:tcMar>
            <w:vAlign w:val="center"/>
          </w:tcPr>
          <w:p w14:paraId="309324FE" w14:textId="77777777" w:rsidR="004B0883" w:rsidRDefault="004B0883">
            <w:pPr>
              <w:widowControl w:val="0"/>
              <w:adjustRightInd w:val="0"/>
              <w:snapToGrid w:val="0"/>
              <w:jc w:val="both"/>
              <w:rPr>
                <w:sz w:val="18"/>
                <w:szCs w:val="18"/>
              </w:rPr>
            </w:pPr>
            <w:r>
              <w:rPr>
                <w:rFonts w:hint="eastAsia"/>
                <w:sz w:val="18"/>
                <w:szCs w:val="18"/>
              </w:rPr>
              <w:t>中华人民共和国生态环境部</w:t>
            </w:r>
          </w:p>
        </w:tc>
      </w:tr>
      <w:tr w:rsidR="004B0883" w14:paraId="12249B81" w14:textId="77777777">
        <w:trPr>
          <w:trHeight w:val="340"/>
          <w:jc w:val="center"/>
        </w:trPr>
        <w:tc>
          <w:tcPr>
            <w:tcW w:w="1060" w:type="pct"/>
            <w:tcMar>
              <w:top w:w="0" w:type="dxa"/>
              <w:bottom w:w="0" w:type="dxa"/>
            </w:tcMar>
            <w:vAlign w:val="center"/>
          </w:tcPr>
          <w:p w14:paraId="2AC3C317" w14:textId="77777777" w:rsidR="004B0883" w:rsidRDefault="004B0883">
            <w:pPr>
              <w:widowControl w:val="0"/>
              <w:adjustRightInd w:val="0"/>
              <w:snapToGrid w:val="0"/>
              <w:rPr>
                <w:rFonts w:hint="eastAsia"/>
                <w:sz w:val="18"/>
                <w:szCs w:val="18"/>
              </w:rPr>
            </w:pPr>
            <w:r>
              <w:rPr>
                <w:rFonts w:hint="eastAsia"/>
                <w:sz w:val="18"/>
                <w:szCs w:val="18"/>
              </w:rPr>
              <w:t>中国机械工业联合会</w:t>
            </w:r>
          </w:p>
        </w:tc>
        <w:tc>
          <w:tcPr>
            <w:tcW w:w="250" w:type="pct"/>
            <w:tcMar>
              <w:top w:w="0" w:type="dxa"/>
              <w:bottom w:w="0" w:type="dxa"/>
            </w:tcMar>
            <w:vAlign w:val="center"/>
          </w:tcPr>
          <w:p w14:paraId="3320169C" w14:textId="77777777" w:rsidR="004B0883" w:rsidRDefault="004B0883">
            <w:pPr>
              <w:widowControl w:val="0"/>
              <w:adjustRightInd w:val="0"/>
              <w:snapToGrid w:val="0"/>
              <w:jc w:val="center"/>
              <w:rPr>
                <w:rFonts w:hint="eastAsia"/>
                <w:sz w:val="18"/>
                <w:szCs w:val="18"/>
              </w:rPr>
            </w:pPr>
            <w:r>
              <w:rPr>
                <w:rFonts w:hint="eastAsia"/>
                <w:sz w:val="18"/>
                <w:szCs w:val="18"/>
              </w:rPr>
              <w:t>指</w:t>
            </w:r>
          </w:p>
        </w:tc>
        <w:tc>
          <w:tcPr>
            <w:tcW w:w="3690" w:type="pct"/>
            <w:tcMar>
              <w:top w:w="0" w:type="dxa"/>
              <w:bottom w:w="0" w:type="dxa"/>
            </w:tcMar>
            <w:vAlign w:val="center"/>
          </w:tcPr>
          <w:p w14:paraId="71101C8F" w14:textId="77777777" w:rsidR="004B0883" w:rsidRDefault="004B0883">
            <w:pPr>
              <w:widowControl w:val="0"/>
              <w:adjustRightInd w:val="0"/>
              <w:snapToGrid w:val="0"/>
              <w:jc w:val="both"/>
              <w:rPr>
                <w:rFonts w:hint="eastAsia"/>
                <w:sz w:val="18"/>
                <w:szCs w:val="18"/>
              </w:rPr>
            </w:pPr>
            <w:r>
              <w:rPr>
                <w:rFonts w:hint="eastAsia"/>
                <w:sz w:val="18"/>
                <w:szCs w:val="18"/>
              </w:rPr>
              <w:t>China Machinery Industry Federation</w:t>
            </w:r>
            <w:r>
              <w:rPr>
                <w:rFonts w:hint="eastAsia"/>
                <w:sz w:val="18"/>
                <w:szCs w:val="18"/>
              </w:rPr>
              <w:t>，一家我国机械工业综合性行业协会组织</w:t>
            </w:r>
          </w:p>
        </w:tc>
      </w:tr>
      <w:tr w:rsidR="004B0883" w14:paraId="25374E62" w14:textId="77777777">
        <w:trPr>
          <w:trHeight w:val="340"/>
          <w:jc w:val="center"/>
        </w:trPr>
        <w:tc>
          <w:tcPr>
            <w:tcW w:w="1060" w:type="pct"/>
            <w:tcMar>
              <w:top w:w="0" w:type="dxa"/>
              <w:bottom w:w="0" w:type="dxa"/>
            </w:tcMar>
            <w:vAlign w:val="center"/>
          </w:tcPr>
          <w:p w14:paraId="216E5997" w14:textId="77777777" w:rsidR="004B0883" w:rsidRDefault="004B0883">
            <w:pPr>
              <w:widowControl w:val="0"/>
              <w:adjustRightInd w:val="0"/>
              <w:snapToGrid w:val="0"/>
              <w:rPr>
                <w:rFonts w:hint="eastAsia"/>
                <w:sz w:val="18"/>
                <w:szCs w:val="18"/>
              </w:rPr>
            </w:pPr>
            <w:r>
              <w:rPr>
                <w:rFonts w:hint="eastAsia"/>
                <w:sz w:val="18"/>
                <w:szCs w:val="18"/>
              </w:rPr>
              <w:t>中国通用机械工业协会阀门分会</w:t>
            </w:r>
          </w:p>
        </w:tc>
        <w:tc>
          <w:tcPr>
            <w:tcW w:w="250" w:type="pct"/>
            <w:tcMar>
              <w:top w:w="0" w:type="dxa"/>
              <w:bottom w:w="0" w:type="dxa"/>
            </w:tcMar>
            <w:vAlign w:val="center"/>
          </w:tcPr>
          <w:p w14:paraId="216FB266" w14:textId="77777777" w:rsidR="004B0883" w:rsidRDefault="004B0883">
            <w:pPr>
              <w:widowControl w:val="0"/>
              <w:adjustRightInd w:val="0"/>
              <w:snapToGrid w:val="0"/>
              <w:jc w:val="center"/>
              <w:rPr>
                <w:rFonts w:hint="eastAsia"/>
                <w:sz w:val="18"/>
                <w:szCs w:val="18"/>
              </w:rPr>
            </w:pPr>
            <w:r>
              <w:rPr>
                <w:rFonts w:hint="eastAsia"/>
                <w:sz w:val="18"/>
                <w:szCs w:val="18"/>
              </w:rPr>
              <w:t>指</w:t>
            </w:r>
          </w:p>
        </w:tc>
        <w:tc>
          <w:tcPr>
            <w:tcW w:w="3690" w:type="pct"/>
            <w:tcMar>
              <w:top w:w="0" w:type="dxa"/>
              <w:bottom w:w="0" w:type="dxa"/>
            </w:tcMar>
            <w:vAlign w:val="center"/>
          </w:tcPr>
          <w:p w14:paraId="551BC3E7" w14:textId="77777777" w:rsidR="004B0883" w:rsidRDefault="004B0883">
            <w:pPr>
              <w:widowControl w:val="0"/>
              <w:adjustRightInd w:val="0"/>
              <w:snapToGrid w:val="0"/>
              <w:jc w:val="both"/>
              <w:rPr>
                <w:rFonts w:hint="eastAsia"/>
                <w:sz w:val="18"/>
                <w:szCs w:val="18"/>
              </w:rPr>
            </w:pPr>
            <w:r>
              <w:rPr>
                <w:rFonts w:hint="eastAsia"/>
                <w:sz w:val="18"/>
                <w:szCs w:val="18"/>
              </w:rPr>
              <w:t>中国通用机械工业协会的分支机构，是我国阀门行业最具权威性的、专业性的行业协会</w:t>
            </w:r>
          </w:p>
        </w:tc>
      </w:tr>
      <w:tr w:rsidR="004B0883" w14:paraId="0B47743D" w14:textId="77777777">
        <w:trPr>
          <w:trHeight w:val="340"/>
          <w:jc w:val="center"/>
        </w:trPr>
        <w:tc>
          <w:tcPr>
            <w:tcW w:w="1060" w:type="pct"/>
            <w:tcMar>
              <w:top w:w="0" w:type="dxa"/>
              <w:bottom w:w="0" w:type="dxa"/>
            </w:tcMar>
            <w:vAlign w:val="center"/>
          </w:tcPr>
          <w:p w14:paraId="55C6DACB" w14:textId="77777777" w:rsidR="004B0883" w:rsidRDefault="004B0883">
            <w:pPr>
              <w:widowControl w:val="0"/>
              <w:adjustRightInd w:val="0"/>
              <w:snapToGrid w:val="0"/>
              <w:rPr>
                <w:sz w:val="18"/>
                <w:szCs w:val="18"/>
              </w:rPr>
            </w:pPr>
            <w:r>
              <w:rPr>
                <w:sz w:val="18"/>
                <w:szCs w:val="18"/>
              </w:rPr>
              <w:t>中国证监会</w:t>
            </w:r>
            <w:r>
              <w:rPr>
                <w:rFonts w:hint="eastAsia"/>
                <w:sz w:val="18"/>
                <w:szCs w:val="18"/>
              </w:rPr>
              <w:t>、证监会</w:t>
            </w:r>
          </w:p>
        </w:tc>
        <w:tc>
          <w:tcPr>
            <w:tcW w:w="250" w:type="pct"/>
            <w:tcMar>
              <w:top w:w="0" w:type="dxa"/>
              <w:bottom w:w="0" w:type="dxa"/>
            </w:tcMar>
            <w:vAlign w:val="center"/>
          </w:tcPr>
          <w:p w14:paraId="48C48BBE" w14:textId="77777777" w:rsidR="004B0883" w:rsidRDefault="004B0883">
            <w:pPr>
              <w:widowControl w:val="0"/>
              <w:adjustRightInd w:val="0"/>
              <w:snapToGrid w:val="0"/>
              <w:jc w:val="center"/>
              <w:rPr>
                <w:sz w:val="18"/>
                <w:szCs w:val="18"/>
              </w:rPr>
            </w:pPr>
            <w:r>
              <w:rPr>
                <w:sz w:val="18"/>
                <w:szCs w:val="18"/>
              </w:rPr>
              <w:t>指</w:t>
            </w:r>
          </w:p>
        </w:tc>
        <w:tc>
          <w:tcPr>
            <w:tcW w:w="3690" w:type="pct"/>
            <w:tcMar>
              <w:top w:w="0" w:type="dxa"/>
              <w:bottom w:w="0" w:type="dxa"/>
            </w:tcMar>
            <w:vAlign w:val="center"/>
          </w:tcPr>
          <w:p w14:paraId="3731C460" w14:textId="77777777" w:rsidR="004B0883" w:rsidRDefault="004B0883">
            <w:pPr>
              <w:widowControl w:val="0"/>
              <w:adjustRightInd w:val="0"/>
              <w:snapToGrid w:val="0"/>
              <w:jc w:val="both"/>
              <w:rPr>
                <w:sz w:val="18"/>
                <w:szCs w:val="18"/>
              </w:rPr>
            </w:pPr>
            <w:r>
              <w:rPr>
                <w:sz w:val="18"/>
                <w:szCs w:val="18"/>
              </w:rPr>
              <w:t>中国证券监督管理委员会</w:t>
            </w:r>
          </w:p>
        </w:tc>
      </w:tr>
      <w:tr w:rsidR="004B0883" w14:paraId="65E87F71" w14:textId="77777777">
        <w:trPr>
          <w:trHeight w:val="340"/>
          <w:jc w:val="center"/>
        </w:trPr>
        <w:tc>
          <w:tcPr>
            <w:tcW w:w="1060" w:type="pct"/>
            <w:tcMar>
              <w:top w:w="0" w:type="dxa"/>
              <w:bottom w:w="0" w:type="dxa"/>
            </w:tcMar>
            <w:vAlign w:val="center"/>
          </w:tcPr>
          <w:p w14:paraId="4F430813" w14:textId="77777777" w:rsidR="004B0883" w:rsidRDefault="004B0883">
            <w:pPr>
              <w:widowControl w:val="0"/>
              <w:adjustRightInd w:val="0"/>
              <w:snapToGrid w:val="0"/>
              <w:rPr>
                <w:sz w:val="18"/>
                <w:szCs w:val="18"/>
              </w:rPr>
            </w:pPr>
            <w:r>
              <w:rPr>
                <w:sz w:val="18"/>
                <w:szCs w:val="18"/>
              </w:rPr>
              <w:t>深交所</w:t>
            </w:r>
          </w:p>
        </w:tc>
        <w:tc>
          <w:tcPr>
            <w:tcW w:w="250" w:type="pct"/>
            <w:tcMar>
              <w:top w:w="0" w:type="dxa"/>
              <w:bottom w:w="0" w:type="dxa"/>
            </w:tcMar>
            <w:vAlign w:val="center"/>
          </w:tcPr>
          <w:p w14:paraId="5999986B" w14:textId="77777777" w:rsidR="004B0883" w:rsidRDefault="004B0883">
            <w:pPr>
              <w:widowControl w:val="0"/>
              <w:adjustRightInd w:val="0"/>
              <w:snapToGrid w:val="0"/>
              <w:jc w:val="center"/>
              <w:rPr>
                <w:sz w:val="18"/>
                <w:szCs w:val="18"/>
              </w:rPr>
            </w:pPr>
            <w:r>
              <w:rPr>
                <w:sz w:val="18"/>
                <w:szCs w:val="18"/>
              </w:rPr>
              <w:t>指</w:t>
            </w:r>
          </w:p>
        </w:tc>
        <w:tc>
          <w:tcPr>
            <w:tcW w:w="3690" w:type="pct"/>
            <w:tcMar>
              <w:top w:w="0" w:type="dxa"/>
              <w:bottom w:w="0" w:type="dxa"/>
            </w:tcMar>
            <w:vAlign w:val="center"/>
          </w:tcPr>
          <w:p w14:paraId="747920B4" w14:textId="77777777" w:rsidR="004B0883" w:rsidRDefault="004B0883">
            <w:pPr>
              <w:widowControl w:val="0"/>
              <w:adjustRightInd w:val="0"/>
              <w:snapToGrid w:val="0"/>
              <w:jc w:val="both"/>
              <w:rPr>
                <w:sz w:val="18"/>
                <w:szCs w:val="18"/>
              </w:rPr>
            </w:pPr>
            <w:r>
              <w:rPr>
                <w:sz w:val="18"/>
                <w:szCs w:val="18"/>
              </w:rPr>
              <w:t>深圳证券交易所</w:t>
            </w:r>
          </w:p>
        </w:tc>
      </w:tr>
      <w:tr w:rsidR="004B0883" w14:paraId="2558E06B" w14:textId="77777777">
        <w:trPr>
          <w:trHeight w:val="340"/>
          <w:jc w:val="center"/>
        </w:trPr>
        <w:tc>
          <w:tcPr>
            <w:tcW w:w="1060" w:type="pct"/>
            <w:tcMar>
              <w:top w:w="0" w:type="dxa"/>
              <w:bottom w:w="0" w:type="dxa"/>
            </w:tcMar>
            <w:vAlign w:val="center"/>
          </w:tcPr>
          <w:p w14:paraId="236DFB2D" w14:textId="77777777" w:rsidR="004B0883" w:rsidRDefault="004B0883">
            <w:pPr>
              <w:widowControl w:val="0"/>
              <w:adjustRightInd w:val="0"/>
              <w:snapToGrid w:val="0"/>
              <w:rPr>
                <w:sz w:val="18"/>
                <w:szCs w:val="18"/>
              </w:rPr>
            </w:pPr>
            <w:r>
              <w:rPr>
                <w:sz w:val="18"/>
                <w:szCs w:val="18"/>
              </w:rPr>
              <w:t>《公司法》</w:t>
            </w:r>
          </w:p>
        </w:tc>
        <w:tc>
          <w:tcPr>
            <w:tcW w:w="250" w:type="pct"/>
            <w:tcMar>
              <w:top w:w="0" w:type="dxa"/>
              <w:bottom w:w="0" w:type="dxa"/>
            </w:tcMar>
            <w:vAlign w:val="center"/>
          </w:tcPr>
          <w:p w14:paraId="4D49C11E" w14:textId="77777777" w:rsidR="004B0883" w:rsidRDefault="004B0883">
            <w:pPr>
              <w:widowControl w:val="0"/>
              <w:adjustRightInd w:val="0"/>
              <w:snapToGrid w:val="0"/>
              <w:jc w:val="center"/>
              <w:rPr>
                <w:sz w:val="18"/>
                <w:szCs w:val="18"/>
              </w:rPr>
            </w:pPr>
            <w:r>
              <w:rPr>
                <w:sz w:val="18"/>
                <w:szCs w:val="18"/>
              </w:rPr>
              <w:t>指</w:t>
            </w:r>
          </w:p>
        </w:tc>
        <w:tc>
          <w:tcPr>
            <w:tcW w:w="3690" w:type="pct"/>
            <w:tcMar>
              <w:top w:w="0" w:type="dxa"/>
              <w:bottom w:w="0" w:type="dxa"/>
            </w:tcMar>
            <w:vAlign w:val="center"/>
          </w:tcPr>
          <w:p w14:paraId="21827896" w14:textId="77777777" w:rsidR="004B0883" w:rsidRDefault="004B0883">
            <w:pPr>
              <w:widowControl w:val="0"/>
              <w:adjustRightInd w:val="0"/>
              <w:snapToGrid w:val="0"/>
              <w:jc w:val="both"/>
              <w:rPr>
                <w:sz w:val="18"/>
                <w:szCs w:val="18"/>
              </w:rPr>
            </w:pPr>
            <w:r>
              <w:rPr>
                <w:sz w:val="18"/>
                <w:szCs w:val="18"/>
              </w:rPr>
              <w:t>《中华人民共和国公司法》</w:t>
            </w:r>
          </w:p>
        </w:tc>
      </w:tr>
      <w:tr w:rsidR="004B0883" w14:paraId="743DAF6B" w14:textId="77777777">
        <w:trPr>
          <w:trHeight w:val="340"/>
          <w:jc w:val="center"/>
        </w:trPr>
        <w:tc>
          <w:tcPr>
            <w:tcW w:w="1060" w:type="pct"/>
            <w:tcMar>
              <w:top w:w="0" w:type="dxa"/>
              <w:bottom w:w="0" w:type="dxa"/>
            </w:tcMar>
            <w:vAlign w:val="center"/>
          </w:tcPr>
          <w:p w14:paraId="5DA63F1D" w14:textId="77777777" w:rsidR="004B0883" w:rsidRDefault="004B0883">
            <w:pPr>
              <w:widowControl w:val="0"/>
              <w:adjustRightInd w:val="0"/>
              <w:snapToGrid w:val="0"/>
              <w:rPr>
                <w:sz w:val="18"/>
                <w:szCs w:val="18"/>
              </w:rPr>
            </w:pPr>
            <w:r>
              <w:rPr>
                <w:sz w:val="18"/>
                <w:szCs w:val="18"/>
              </w:rPr>
              <w:t>《证券法》</w:t>
            </w:r>
          </w:p>
        </w:tc>
        <w:tc>
          <w:tcPr>
            <w:tcW w:w="250" w:type="pct"/>
            <w:tcMar>
              <w:top w:w="0" w:type="dxa"/>
              <w:bottom w:w="0" w:type="dxa"/>
            </w:tcMar>
            <w:vAlign w:val="center"/>
          </w:tcPr>
          <w:p w14:paraId="4DD017FF" w14:textId="77777777" w:rsidR="004B0883" w:rsidRDefault="004B0883">
            <w:pPr>
              <w:widowControl w:val="0"/>
              <w:adjustRightInd w:val="0"/>
              <w:snapToGrid w:val="0"/>
              <w:jc w:val="center"/>
              <w:rPr>
                <w:sz w:val="18"/>
                <w:szCs w:val="18"/>
              </w:rPr>
            </w:pPr>
            <w:r>
              <w:rPr>
                <w:sz w:val="18"/>
                <w:szCs w:val="18"/>
              </w:rPr>
              <w:t>指</w:t>
            </w:r>
          </w:p>
        </w:tc>
        <w:tc>
          <w:tcPr>
            <w:tcW w:w="3690" w:type="pct"/>
            <w:tcMar>
              <w:top w:w="0" w:type="dxa"/>
              <w:bottom w:w="0" w:type="dxa"/>
            </w:tcMar>
            <w:vAlign w:val="center"/>
          </w:tcPr>
          <w:p w14:paraId="43357105" w14:textId="77777777" w:rsidR="004B0883" w:rsidRDefault="004B0883">
            <w:pPr>
              <w:widowControl w:val="0"/>
              <w:adjustRightInd w:val="0"/>
              <w:snapToGrid w:val="0"/>
              <w:jc w:val="both"/>
              <w:rPr>
                <w:sz w:val="18"/>
                <w:szCs w:val="18"/>
              </w:rPr>
            </w:pPr>
            <w:r>
              <w:rPr>
                <w:sz w:val="18"/>
                <w:szCs w:val="18"/>
              </w:rPr>
              <w:t>《中华人民共和国证券法》</w:t>
            </w:r>
          </w:p>
        </w:tc>
      </w:tr>
      <w:tr w:rsidR="004B0883" w14:paraId="3382ADCA" w14:textId="77777777">
        <w:trPr>
          <w:trHeight w:val="340"/>
          <w:jc w:val="center"/>
        </w:trPr>
        <w:tc>
          <w:tcPr>
            <w:tcW w:w="1060" w:type="pct"/>
            <w:tcMar>
              <w:top w:w="0" w:type="dxa"/>
              <w:bottom w:w="0" w:type="dxa"/>
            </w:tcMar>
            <w:vAlign w:val="center"/>
          </w:tcPr>
          <w:p w14:paraId="7D7F9D92" w14:textId="77777777" w:rsidR="004B0883" w:rsidRDefault="004B0883">
            <w:pPr>
              <w:widowControl w:val="0"/>
              <w:adjustRightInd w:val="0"/>
              <w:snapToGrid w:val="0"/>
              <w:rPr>
                <w:sz w:val="18"/>
                <w:szCs w:val="18"/>
              </w:rPr>
            </w:pPr>
            <w:r>
              <w:rPr>
                <w:sz w:val="18"/>
                <w:szCs w:val="18"/>
              </w:rPr>
              <w:t>《公司章程》</w:t>
            </w:r>
          </w:p>
        </w:tc>
        <w:tc>
          <w:tcPr>
            <w:tcW w:w="250" w:type="pct"/>
            <w:tcMar>
              <w:top w:w="0" w:type="dxa"/>
              <w:bottom w:w="0" w:type="dxa"/>
            </w:tcMar>
            <w:vAlign w:val="center"/>
          </w:tcPr>
          <w:p w14:paraId="23CCD411" w14:textId="77777777" w:rsidR="004B0883" w:rsidRDefault="004B0883">
            <w:pPr>
              <w:widowControl w:val="0"/>
              <w:adjustRightInd w:val="0"/>
              <w:snapToGrid w:val="0"/>
              <w:jc w:val="center"/>
              <w:rPr>
                <w:sz w:val="18"/>
                <w:szCs w:val="18"/>
              </w:rPr>
            </w:pPr>
            <w:r>
              <w:rPr>
                <w:sz w:val="18"/>
                <w:szCs w:val="18"/>
              </w:rPr>
              <w:t>指</w:t>
            </w:r>
          </w:p>
        </w:tc>
        <w:tc>
          <w:tcPr>
            <w:tcW w:w="3690" w:type="pct"/>
            <w:tcMar>
              <w:top w:w="0" w:type="dxa"/>
              <w:bottom w:w="0" w:type="dxa"/>
            </w:tcMar>
            <w:vAlign w:val="center"/>
          </w:tcPr>
          <w:p w14:paraId="03F0448E" w14:textId="77777777" w:rsidR="004B0883" w:rsidRDefault="004B0883">
            <w:pPr>
              <w:widowControl w:val="0"/>
              <w:adjustRightInd w:val="0"/>
              <w:snapToGrid w:val="0"/>
              <w:jc w:val="both"/>
              <w:rPr>
                <w:sz w:val="18"/>
                <w:szCs w:val="18"/>
              </w:rPr>
            </w:pPr>
            <w:r>
              <w:rPr>
                <w:sz w:val="18"/>
                <w:szCs w:val="18"/>
              </w:rPr>
              <w:t>《青岛伟隆阀门股份有限公司公司章程》</w:t>
            </w:r>
          </w:p>
        </w:tc>
      </w:tr>
      <w:tr w:rsidR="004B0883" w14:paraId="3BC65D7D" w14:textId="77777777">
        <w:trPr>
          <w:trHeight w:val="340"/>
          <w:jc w:val="center"/>
        </w:trPr>
        <w:tc>
          <w:tcPr>
            <w:tcW w:w="1060" w:type="pct"/>
            <w:tcMar>
              <w:top w:w="0" w:type="dxa"/>
              <w:bottom w:w="0" w:type="dxa"/>
            </w:tcMar>
            <w:vAlign w:val="center"/>
          </w:tcPr>
          <w:p w14:paraId="3751ECAF" w14:textId="77777777" w:rsidR="004B0883" w:rsidRDefault="004B0883">
            <w:pPr>
              <w:widowControl w:val="0"/>
              <w:adjustRightInd w:val="0"/>
              <w:snapToGrid w:val="0"/>
              <w:rPr>
                <w:sz w:val="18"/>
                <w:szCs w:val="18"/>
              </w:rPr>
            </w:pPr>
            <w:r>
              <w:rPr>
                <w:sz w:val="18"/>
                <w:szCs w:val="18"/>
              </w:rPr>
              <w:t>股东大会</w:t>
            </w:r>
          </w:p>
        </w:tc>
        <w:tc>
          <w:tcPr>
            <w:tcW w:w="250" w:type="pct"/>
            <w:tcMar>
              <w:top w:w="0" w:type="dxa"/>
              <w:bottom w:w="0" w:type="dxa"/>
            </w:tcMar>
            <w:vAlign w:val="center"/>
          </w:tcPr>
          <w:p w14:paraId="5CF1C84B" w14:textId="77777777" w:rsidR="004B0883" w:rsidRDefault="004B0883">
            <w:pPr>
              <w:widowControl w:val="0"/>
              <w:adjustRightInd w:val="0"/>
              <w:snapToGrid w:val="0"/>
              <w:jc w:val="center"/>
              <w:rPr>
                <w:sz w:val="18"/>
                <w:szCs w:val="18"/>
              </w:rPr>
            </w:pPr>
            <w:r>
              <w:rPr>
                <w:sz w:val="18"/>
                <w:szCs w:val="18"/>
              </w:rPr>
              <w:t>指</w:t>
            </w:r>
          </w:p>
        </w:tc>
        <w:tc>
          <w:tcPr>
            <w:tcW w:w="3690" w:type="pct"/>
            <w:tcMar>
              <w:top w:w="0" w:type="dxa"/>
              <w:bottom w:w="0" w:type="dxa"/>
            </w:tcMar>
            <w:vAlign w:val="center"/>
          </w:tcPr>
          <w:p w14:paraId="429DD377" w14:textId="77777777" w:rsidR="004B0883" w:rsidRDefault="004B0883">
            <w:pPr>
              <w:widowControl w:val="0"/>
              <w:adjustRightInd w:val="0"/>
              <w:snapToGrid w:val="0"/>
              <w:jc w:val="both"/>
              <w:rPr>
                <w:sz w:val="18"/>
                <w:szCs w:val="18"/>
              </w:rPr>
            </w:pPr>
            <w:r>
              <w:rPr>
                <w:sz w:val="18"/>
                <w:szCs w:val="18"/>
              </w:rPr>
              <w:t>青岛伟隆阀门股份有限公司股东大会</w:t>
            </w:r>
          </w:p>
        </w:tc>
      </w:tr>
      <w:tr w:rsidR="004B0883" w14:paraId="45551AEC" w14:textId="77777777">
        <w:trPr>
          <w:trHeight w:val="340"/>
          <w:jc w:val="center"/>
        </w:trPr>
        <w:tc>
          <w:tcPr>
            <w:tcW w:w="1060" w:type="pct"/>
            <w:tcMar>
              <w:top w:w="0" w:type="dxa"/>
              <w:bottom w:w="0" w:type="dxa"/>
            </w:tcMar>
            <w:vAlign w:val="center"/>
          </w:tcPr>
          <w:p w14:paraId="43FD5568" w14:textId="77777777" w:rsidR="004B0883" w:rsidRDefault="004B0883">
            <w:pPr>
              <w:widowControl w:val="0"/>
              <w:adjustRightInd w:val="0"/>
              <w:snapToGrid w:val="0"/>
              <w:rPr>
                <w:sz w:val="18"/>
                <w:szCs w:val="18"/>
              </w:rPr>
            </w:pPr>
            <w:r>
              <w:rPr>
                <w:sz w:val="18"/>
                <w:szCs w:val="18"/>
              </w:rPr>
              <w:t>董事会</w:t>
            </w:r>
          </w:p>
        </w:tc>
        <w:tc>
          <w:tcPr>
            <w:tcW w:w="250" w:type="pct"/>
            <w:tcMar>
              <w:top w:w="0" w:type="dxa"/>
              <w:bottom w:w="0" w:type="dxa"/>
            </w:tcMar>
            <w:vAlign w:val="center"/>
          </w:tcPr>
          <w:p w14:paraId="68C25E2E" w14:textId="77777777" w:rsidR="004B0883" w:rsidRDefault="004B0883">
            <w:pPr>
              <w:widowControl w:val="0"/>
              <w:adjustRightInd w:val="0"/>
              <w:snapToGrid w:val="0"/>
              <w:jc w:val="center"/>
              <w:rPr>
                <w:sz w:val="18"/>
                <w:szCs w:val="18"/>
              </w:rPr>
            </w:pPr>
            <w:r>
              <w:rPr>
                <w:sz w:val="18"/>
                <w:szCs w:val="18"/>
              </w:rPr>
              <w:t>指</w:t>
            </w:r>
          </w:p>
        </w:tc>
        <w:tc>
          <w:tcPr>
            <w:tcW w:w="3690" w:type="pct"/>
            <w:tcMar>
              <w:top w:w="0" w:type="dxa"/>
              <w:bottom w:w="0" w:type="dxa"/>
            </w:tcMar>
            <w:vAlign w:val="center"/>
          </w:tcPr>
          <w:p w14:paraId="03A3FE08" w14:textId="77777777" w:rsidR="004B0883" w:rsidRDefault="004B0883">
            <w:pPr>
              <w:widowControl w:val="0"/>
              <w:adjustRightInd w:val="0"/>
              <w:snapToGrid w:val="0"/>
              <w:jc w:val="both"/>
              <w:rPr>
                <w:sz w:val="18"/>
                <w:szCs w:val="18"/>
              </w:rPr>
            </w:pPr>
            <w:r>
              <w:rPr>
                <w:sz w:val="18"/>
                <w:szCs w:val="18"/>
              </w:rPr>
              <w:t>青岛伟隆阀门股份有限公司董事会</w:t>
            </w:r>
          </w:p>
        </w:tc>
      </w:tr>
      <w:tr w:rsidR="004B0883" w14:paraId="6494F3BA" w14:textId="77777777">
        <w:trPr>
          <w:trHeight w:val="340"/>
          <w:jc w:val="center"/>
        </w:trPr>
        <w:tc>
          <w:tcPr>
            <w:tcW w:w="1060" w:type="pct"/>
            <w:tcMar>
              <w:top w:w="0" w:type="dxa"/>
              <w:bottom w:w="0" w:type="dxa"/>
            </w:tcMar>
            <w:vAlign w:val="center"/>
          </w:tcPr>
          <w:p w14:paraId="6CF6BB67" w14:textId="77777777" w:rsidR="004B0883" w:rsidRDefault="004B0883">
            <w:pPr>
              <w:widowControl w:val="0"/>
              <w:adjustRightInd w:val="0"/>
              <w:snapToGrid w:val="0"/>
              <w:rPr>
                <w:sz w:val="18"/>
                <w:szCs w:val="18"/>
              </w:rPr>
            </w:pPr>
            <w:r>
              <w:rPr>
                <w:sz w:val="18"/>
                <w:szCs w:val="18"/>
              </w:rPr>
              <w:t>监事会</w:t>
            </w:r>
          </w:p>
        </w:tc>
        <w:tc>
          <w:tcPr>
            <w:tcW w:w="250" w:type="pct"/>
            <w:tcMar>
              <w:top w:w="0" w:type="dxa"/>
              <w:bottom w:w="0" w:type="dxa"/>
            </w:tcMar>
            <w:vAlign w:val="center"/>
          </w:tcPr>
          <w:p w14:paraId="50805F4B" w14:textId="77777777" w:rsidR="004B0883" w:rsidRDefault="004B0883">
            <w:pPr>
              <w:widowControl w:val="0"/>
              <w:adjustRightInd w:val="0"/>
              <w:snapToGrid w:val="0"/>
              <w:jc w:val="center"/>
              <w:rPr>
                <w:sz w:val="18"/>
                <w:szCs w:val="18"/>
              </w:rPr>
            </w:pPr>
            <w:r>
              <w:rPr>
                <w:sz w:val="18"/>
                <w:szCs w:val="18"/>
              </w:rPr>
              <w:t>指</w:t>
            </w:r>
          </w:p>
        </w:tc>
        <w:tc>
          <w:tcPr>
            <w:tcW w:w="3690" w:type="pct"/>
            <w:tcMar>
              <w:top w:w="0" w:type="dxa"/>
              <w:bottom w:w="0" w:type="dxa"/>
            </w:tcMar>
            <w:vAlign w:val="center"/>
          </w:tcPr>
          <w:p w14:paraId="67D4AA44" w14:textId="77777777" w:rsidR="004B0883" w:rsidRDefault="004B0883">
            <w:pPr>
              <w:widowControl w:val="0"/>
              <w:adjustRightInd w:val="0"/>
              <w:snapToGrid w:val="0"/>
              <w:jc w:val="both"/>
              <w:rPr>
                <w:sz w:val="18"/>
                <w:szCs w:val="18"/>
              </w:rPr>
            </w:pPr>
            <w:r>
              <w:rPr>
                <w:sz w:val="18"/>
                <w:szCs w:val="18"/>
              </w:rPr>
              <w:t>青岛伟隆阀门股份有限公司监事会</w:t>
            </w:r>
          </w:p>
        </w:tc>
      </w:tr>
      <w:tr w:rsidR="004B0883" w14:paraId="0593372B" w14:textId="77777777">
        <w:trPr>
          <w:trHeight w:val="340"/>
          <w:jc w:val="center"/>
        </w:trPr>
        <w:tc>
          <w:tcPr>
            <w:tcW w:w="1060" w:type="pct"/>
            <w:tcMar>
              <w:top w:w="0" w:type="dxa"/>
              <w:bottom w:w="0" w:type="dxa"/>
            </w:tcMar>
            <w:vAlign w:val="center"/>
          </w:tcPr>
          <w:p w14:paraId="41571E88" w14:textId="77777777" w:rsidR="004B0883" w:rsidRDefault="004B0883">
            <w:pPr>
              <w:widowControl w:val="0"/>
              <w:adjustRightInd w:val="0"/>
              <w:snapToGrid w:val="0"/>
              <w:rPr>
                <w:sz w:val="18"/>
                <w:szCs w:val="18"/>
              </w:rPr>
            </w:pPr>
            <w:r>
              <w:rPr>
                <w:sz w:val="18"/>
                <w:szCs w:val="18"/>
              </w:rPr>
              <w:t>报告期</w:t>
            </w:r>
          </w:p>
        </w:tc>
        <w:tc>
          <w:tcPr>
            <w:tcW w:w="250" w:type="pct"/>
            <w:tcMar>
              <w:top w:w="0" w:type="dxa"/>
              <w:bottom w:w="0" w:type="dxa"/>
            </w:tcMar>
            <w:vAlign w:val="center"/>
          </w:tcPr>
          <w:p w14:paraId="463B19D4" w14:textId="77777777" w:rsidR="004B0883" w:rsidRDefault="004B0883">
            <w:pPr>
              <w:widowControl w:val="0"/>
              <w:adjustRightInd w:val="0"/>
              <w:snapToGrid w:val="0"/>
              <w:jc w:val="center"/>
              <w:rPr>
                <w:sz w:val="18"/>
                <w:szCs w:val="18"/>
              </w:rPr>
            </w:pPr>
            <w:r>
              <w:rPr>
                <w:sz w:val="18"/>
                <w:szCs w:val="18"/>
              </w:rPr>
              <w:t>指</w:t>
            </w:r>
          </w:p>
        </w:tc>
        <w:tc>
          <w:tcPr>
            <w:tcW w:w="3690" w:type="pct"/>
            <w:tcMar>
              <w:top w:w="0" w:type="dxa"/>
              <w:bottom w:w="0" w:type="dxa"/>
            </w:tcMar>
            <w:vAlign w:val="center"/>
          </w:tcPr>
          <w:p w14:paraId="645AAC5C" w14:textId="77777777" w:rsidR="004B0883" w:rsidRDefault="004B0883">
            <w:pPr>
              <w:widowControl w:val="0"/>
              <w:adjustRightInd w:val="0"/>
              <w:snapToGrid w:val="0"/>
              <w:jc w:val="both"/>
              <w:rPr>
                <w:sz w:val="18"/>
                <w:szCs w:val="18"/>
              </w:rPr>
            </w:pPr>
            <w:r>
              <w:rPr>
                <w:sz w:val="18"/>
                <w:szCs w:val="18"/>
              </w:rPr>
              <w:t>2020</w:t>
            </w:r>
            <w:r>
              <w:rPr>
                <w:sz w:val="18"/>
                <w:szCs w:val="18"/>
              </w:rPr>
              <w:t>年度、</w:t>
            </w:r>
            <w:r>
              <w:rPr>
                <w:sz w:val="18"/>
                <w:szCs w:val="18"/>
              </w:rPr>
              <w:t>2021</w:t>
            </w:r>
            <w:r>
              <w:rPr>
                <w:sz w:val="18"/>
                <w:szCs w:val="18"/>
              </w:rPr>
              <w:t>年度、</w:t>
            </w:r>
            <w:r>
              <w:rPr>
                <w:sz w:val="18"/>
                <w:szCs w:val="18"/>
              </w:rPr>
              <w:t>2022</w:t>
            </w:r>
            <w:r>
              <w:rPr>
                <w:sz w:val="18"/>
                <w:szCs w:val="18"/>
              </w:rPr>
              <w:t>年度及</w:t>
            </w:r>
            <w:r>
              <w:rPr>
                <w:sz w:val="18"/>
                <w:szCs w:val="18"/>
              </w:rPr>
              <w:t>2023</w:t>
            </w:r>
            <w:r>
              <w:rPr>
                <w:sz w:val="18"/>
                <w:szCs w:val="18"/>
              </w:rPr>
              <w:t>年</w:t>
            </w:r>
            <w:r>
              <w:rPr>
                <w:sz w:val="18"/>
                <w:szCs w:val="18"/>
              </w:rPr>
              <w:t>1-9</w:t>
            </w:r>
            <w:r>
              <w:rPr>
                <w:sz w:val="18"/>
                <w:szCs w:val="18"/>
              </w:rPr>
              <w:t>月</w:t>
            </w:r>
          </w:p>
        </w:tc>
      </w:tr>
      <w:tr w:rsidR="004B0883" w14:paraId="7351281B" w14:textId="77777777">
        <w:trPr>
          <w:trHeight w:val="340"/>
          <w:jc w:val="center"/>
        </w:trPr>
        <w:tc>
          <w:tcPr>
            <w:tcW w:w="1060" w:type="pct"/>
            <w:tcMar>
              <w:top w:w="0" w:type="dxa"/>
              <w:bottom w:w="0" w:type="dxa"/>
            </w:tcMar>
            <w:vAlign w:val="center"/>
          </w:tcPr>
          <w:p w14:paraId="7BB815C1" w14:textId="77777777" w:rsidR="004B0883" w:rsidRDefault="004B0883">
            <w:pPr>
              <w:widowControl w:val="0"/>
              <w:adjustRightInd w:val="0"/>
              <w:snapToGrid w:val="0"/>
              <w:rPr>
                <w:sz w:val="18"/>
                <w:szCs w:val="18"/>
              </w:rPr>
            </w:pPr>
            <w:r>
              <w:rPr>
                <w:sz w:val="18"/>
                <w:szCs w:val="18"/>
              </w:rPr>
              <w:t>元、万元、亿元</w:t>
            </w:r>
          </w:p>
        </w:tc>
        <w:tc>
          <w:tcPr>
            <w:tcW w:w="250" w:type="pct"/>
            <w:tcMar>
              <w:top w:w="0" w:type="dxa"/>
              <w:bottom w:w="0" w:type="dxa"/>
            </w:tcMar>
            <w:vAlign w:val="center"/>
          </w:tcPr>
          <w:p w14:paraId="60278299" w14:textId="77777777" w:rsidR="004B0883" w:rsidRDefault="004B0883">
            <w:pPr>
              <w:widowControl w:val="0"/>
              <w:adjustRightInd w:val="0"/>
              <w:snapToGrid w:val="0"/>
              <w:jc w:val="center"/>
              <w:rPr>
                <w:sz w:val="18"/>
                <w:szCs w:val="18"/>
              </w:rPr>
            </w:pPr>
            <w:r>
              <w:rPr>
                <w:sz w:val="18"/>
                <w:szCs w:val="18"/>
              </w:rPr>
              <w:t>指</w:t>
            </w:r>
          </w:p>
        </w:tc>
        <w:tc>
          <w:tcPr>
            <w:tcW w:w="3690" w:type="pct"/>
            <w:tcMar>
              <w:top w:w="0" w:type="dxa"/>
              <w:bottom w:w="0" w:type="dxa"/>
            </w:tcMar>
            <w:vAlign w:val="center"/>
          </w:tcPr>
          <w:p w14:paraId="66CA2097" w14:textId="77777777" w:rsidR="004B0883" w:rsidRDefault="004B0883">
            <w:pPr>
              <w:widowControl w:val="0"/>
              <w:adjustRightInd w:val="0"/>
              <w:snapToGrid w:val="0"/>
              <w:jc w:val="both"/>
              <w:rPr>
                <w:sz w:val="18"/>
                <w:szCs w:val="18"/>
              </w:rPr>
            </w:pPr>
            <w:r>
              <w:rPr>
                <w:sz w:val="18"/>
                <w:szCs w:val="18"/>
              </w:rPr>
              <w:t>人民币元、人民币万元、人民币亿元</w:t>
            </w:r>
          </w:p>
        </w:tc>
      </w:tr>
      <w:tr w:rsidR="004B0883" w14:paraId="5745B8F5" w14:textId="77777777">
        <w:trPr>
          <w:trHeight w:val="340"/>
          <w:jc w:val="center"/>
        </w:trPr>
        <w:tc>
          <w:tcPr>
            <w:tcW w:w="1060" w:type="pct"/>
            <w:tcMar>
              <w:top w:w="0" w:type="dxa"/>
              <w:bottom w:w="0" w:type="dxa"/>
            </w:tcMar>
            <w:vAlign w:val="center"/>
          </w:tcPr>
          <w:p w14:paraId="0B7C7931" w14:textId="77777777" w:rsidR="004B0883" w:rsidRDefault="004B0883">
            <w:pPr>
              <w:widowControl w:val="0"/>
              <w:adjustRightInd w:val="0"/>
              <w:snapToGrid w:val="0"/>
              <w:rPr>
                <w:sz w:val="18"/>
                <w:szCs w:val="18"/>
              </w:rPr>
            </w:pPr>
            <w:r>
              <w:rPr>
                <w:sz w:val="18"/>
                <w:szCs w:val="18"/>
              </w:rPr>
              <w:t>保荐机构、中信证券、主承销商</w:t>
            </w:r>
          </w:p>
        </w:tc>
        <w:tc>
          <w:tcPr>
            <w:tcW w:w="250" w:type="pct"/>
            <w:tcMar>
              <w:top w:w="0" w:type="dxa"/>
              <w:bottom w:w="0" w:type="dxa"/>
            </w:tcMar>
            <w:vAlign w:val="center"/>
          </w:tcPr>
          <w:p w14:paraId="4141F723" w14:textId="77777777" w:rsidR="004B0883" w:rsidRDefault="004B0883">
            <w:pPr>
              <w:widowControl w:val="0"/>
              <w:adjustRightInd w:val="0"/>
              <w:snapToGrid w:val="0"/>
              <w:jc w:val="center"/>
              <w:rPr>
                <w:sz w:val="18"/>
                <w:szCs w:val="18"/>
              </w:rPr>
            </w:pPr>
            <w:r>
              <w:rPr>
                <w:sz w:val="18"/>
                <w:szCs w:val="18"/>
              </w:rPr>
              <w:t>指</w:t>
            </w:r>
          </w:p>
        </w:tc>
        <w:tc>
          <w:tcPr>
            <w:tcW w:w="3690" w:type="pct"/>
            <w:tcMar>
              <w:top w:w="0" w:type="dxa"/>
              <w:bottom w:w="0" w:type="dxa"/>
            </w:tcMar>
            <w:vAlign w:val="center"/>
          </w:tcPr>
          <w:p w14:paraId="1AB2C53F" w14:textId="77777777" w:rsidR="004B0883" w:rsidRDefault="004B0883">
            <w:pPr>
              <w:widowControl w:val="0"/>
              <w:adjustRightInd w:val="0"/>
              <w:snapToGrid w:val="0"/>
              <w:jc w:val="both"/>
              <w:rPr>
                <w:sz w:val="18"/>
                <w:szCs w:val="18"/>
              </w:rPr>
            </w:pPr>
            <w:r>
              <w:rPr>
                <w:sz w:val="18"/>
                <w:szCs w:val="18"/>
              </w:rPr>
              <w:t>中信证券股份有限公司</w:t>
            </w:r>
          </w:p>
        </w:tc>
      </w:tr>
      <w:tr w:rsidR="004B0883" w14:paraId="3C7E2C56" w14:textId="77777777">
        <w:trPr>
          <w:trHeight w:val="340"/>
          <w:jc w:val="center"/>
        </w:trPr>
        <w:tc>
          <w:tcPr>
            <w:tcW w:w="1060" w:type="pct"/>
            <w:tcMar>
              <w:top w:w="0" w:type="dxa"/>
              <w:bottom w:w="0" w:type="dxa"/>
            </w:tcMar>
            <w:vAlign w:val="center"/>
          </w:tcPr>
          <w:p w14:paraId="28D57C40" w14:textId="77777777" w:rsidR="004B0883" w:rsidRDefault="004B0883">
            <w:pPr>
              <w:widowControl w:val="0"/>
              <w:adjustRightInd w:val="0"/>
              <w:snapToGrid w:val="0"/>
              <w:rPr>
                <w:sz w:val="18"/>
                <w:szCs w:val="18"/>
              </w:rPr>
            </w:pPr>
            <w:r>
              <w:rPr>
                <w:sz w:val="18"/>
                <w:szCs w:val="18"/>
              </w:rPr>
              <w:t>审计机构</w:t>
            </w:r>
          </w:p>
        </w:tc>
        <w:tc>
          <w:tcPr>
            <w:tcW w:w="250" w:type="pct"/>
            <w:tcMar>
              <w:top w:w="0" w:type="dxa"/>
              <w:bottom w:w="0" w:type="dxa"/>
            </w:tcMar>
            <w:vAlign w:val="center"/>
          </w:tcPr>
          <w:p w14:paraId="210C76A6" w14:textId="77777777" w:rsidR="004B0883" w:rsidRDefault="004B0883">
            <w:pPr>
              <w:widowControl w:val="0"/>
              <w:adjustRightInd w:val="0"/>
              <w:snapToGrid w:val="0"/>
              <w:jc w:val="center"/>
              <w:rPr>
                <w:sz w:val="18"/>
                <w:szCs w:val="18"/>
              </w:rPr>
            </w:pPr>
            <w:r>
              <w:rPr>
                <w:sz w:val="18"/>
                <w:szCs w:val="18"/>
              </w:rPr>
              <w:t>指</w:t>
            </w:r>
          </w:p>
        </w:tc>
        <w:tc>
          <w:tcPr>
            <w:tcW w:w="3690" w:type="pct"/>
            <w:tcMar>
              <w:top w:w="0" w:type="dxa"/>
              <w:bottom w:w="0" w:type="dxa"/>
            </w:tcMar>
            <w:vAlign w:val="center"/>
          </w:tcPr>
          <w:p w14:paraId="76307825" w14:textId="77777777" w:rsidR="004B0883" w:rsidRDefault="004B0883">
            <w:pPr>
              <w:widowControl w:val="0"/>
              <w:adjustRightInd w:val="0"/>
              <w:snapToGrid w:val="0"/>
              <w:jc w:val="both"/>
              <w:rPr>
                <w:sz w:val="18"/>
                <w:szCs w:val="18"/>
              </w:rPr>
            </w:pPr>
            <w:r>
              <w:rPr>
                <w:rFonts w:hint="eastAsia"/>
                <w:sz w:val="18"/>
                <w:szCs w:val="18"/>
              </w:rPr>
              <w:t>和信会计师事务所（特殊普通合伙）</w:t>
            </w:r>
          </w:p>
        </w:tc>
      </w:tr>
      <w:tr w:rsidR="004B0883" w14:paraId="06F4B26A" w14:textId="77777777">
        <w:trPr>
          <w:trHeight w:val="230"/>
          <w:jc w:val="center"/>
        </w:trPr>
        <w:tc>
          <w:tcPr>
            <w:tcW w:w="1060" w:type="pct"/>
            <w:tcMar>
              <w:top w:w="0" w:type="dxa"/>
              <w:bottom w:w="0" w:type="dxa"/>
            </w:tcMar>
            <w:vAlign w:val="center"/>
          </w:tcPr>
          <w:p w14:paraId="4F77B3B0" w14:textId="77777777" w:rsidR="004B0883" w:rsidRDefault="004B0883">
            <w:pPr>
              <w:widowControl w:val="0"/>
              <w:adjustRightInd w:val="0"/>
              <w:snapToGrid w:val="0"/>
              <w:rPr>
                <w:sz w:val="18"/>
                <w:szCs w:val="18"/>
              </w:rPr>
            </w:pPr>
            <w:r>
              <w:rPr>
                <w:sz w:val="18"/>
                <w:szCs w:val="18"/>
              </w:rPr>
              <w:t>律师、律师事务所</w:t>
            </w:r>
          </w:p>
        </w:tc>
        <w:tc>
          <w:tcPr>
            <w:tcW w:w="250" w:type="pct"/>
            <w:tcMar>
              <w:top w:w="0" w:type="dxa"/>
              <w:bottom w:w="0" w:type="dxa"/>
            </w:tcMar>
            <w:vAlign w:val="center"/>
          </w:tcPr>
          <w:p w14:paraId="3E35359D" w14:textId="77777777" w:rsidR="004B0883" w:rsidRDefault="004B0883">
            <w:pPr>
              <w:widowControl w:val="0"/>
              <w:adjustRightInd w:val="0"/>
              <w:snapToGrid w:val="0"/>
              <w:jc w:val="center"/>
              <w:rPr>
                <w:sz w:val="18"/>
                <w:szCs w:val="18"/>
              </w:rPr>
            </w:pPr>
            <w:r>
              <w:rPr>
                <w:sz w:val="18"/>
                <w:szCs w:val="18"/>
              </w:rPr>
              <w:t>指</w:t>
            </w:r>
          </w:p>
        </w:tc>
        <w:tc>
          <w:tcPr>
            <w:tcW w:w="3690" w:type="pct"/>
            <w:tcMar>
              <w:top w:w="0" w:type="dxa"/>
              <w:bottom w:w="0" w:type="dxa"/>
            </w:tcMar>
            <w:vAlign w:val="center"/>
          </w:tcPr>
          <w:p w14:paraId="1A56973D" w14:textId="77777777" w:rsidR="004B0883" w:rsidRDefault="004B0883">
            <w:pPr>
              <w:widowControl w:val="0"/>
              <w:adjustRightInd w:val="0"/>
              <w:snapToGrid w:val="0"/>
              <w:jc w:val="both"/>
              <w:rPr>
                <w:sz w:val="18"/>
                <w:szCs w:val="18"/>
              </w:rPr>
            </w:pPr>
            <w:r>
              <w:rPr>
                <w:rFonts w:hint="eastAsia"/>
                <w:sz w:val="18"/>
                <w:szCs w:val="18"/>
              </w:rPr>
              <w:t>北京德和衡律师事务所</w:t>
            </w:r>
          </w:p>
        </w:tc>
      </w:tr>
      <w:tr w:rsidR="004B0883" w14:paraId="1BFCF469" w14:textId="77777777">
        <w:trPr>
          <w:trHeight w:val="340"/>
          <w:jc w:val="center"/>
        </w:trPr>
        <w:tc>
          <w:tcPr>
            <w:tcW w:w="1060" w:type="pct"/>
            <w:tcMar>
              <w:top w:w="0" w:type="dxa"/>
              <w:bottom w:w="0" w:type="dxa"/>
            </w:tcMar>
            <w:vAlign w:val="center"/>
          </w:tcPr>
          <w:p w14:paraId="746D4946" w14:textId="77777777" w:rsidR="004B0883" w:rsidRDefault="004B0883">
            <w:pPr>
              <w:widowControl w:val="0"/>
              <w:adjustRightInd w:val="0"/>
              <w:snapToGrid w:val="0"/>
              <w:rPr>
                <w:sz w:val="18"/>
                <w:szCs w:val="18"/>
              </w:rPr>
            </w:pPr>
            <w:r>
              <w:rPr>
                <w:sz w:val="18"/>
                <w:szCs w:val="18"/>
              </w:rPr>
              <w:t>中证鹏元</w:t>
            </w:r>
          </w:p>
        </w:tc>
        <w:tc>
          <w:tcPr>
            <w:tcW w:w="250" w:type="pct"/>
            <w:tcMar>
              <w:top w:w="0" w:type="dxa"/>
              <w:bottom w:w="0" w:type="dxa"/>
            </w:tcMar>
            <w:vAlign w:val="center"/>
          </w:tcPr>
          <w:p w14:paraId="1FA0E82F" w14:textId="77777777" w:rsidR="004B0883" w:rsidRDefault="004B0883">
            <w:pPr>
              <w:widowControl w:val="0"/>
              <w:adjustRightInd w:val="0"/>
              <w:snapToGrid w:val="0"/>
              <w:jc w:val="center"/>
              <w:rPr>
                <w:sz w:val="18"/>
                <w:szCs w:val="18"/>
              </w:rPr>
            </w:pPr>
            <w:r>
              <w:rPr>
                <w:rFonts w:hint="eastAsia"/>
                <w:sz w:val="18"/>
                <w:szCs w:val="18"/>
              </w:rPr>
              <w:t>指</w:t>
            </w:r>
          </w:p>
        </w:tc>
        <w:tc>
          <w:tcPr>
            <w:tcW w:w="3690" w:type="pct"/>
            <w:tcMar>
              <w:top w:w="0" w:type="dxa"/>
              <w:bottom w:w="0" w:type="dxa"/>
            </w:tcMar>
            <w:vAlign w:val="center"/>
          </w:tcPr>
          <w:p w14:paraId="7AF82052" w14:textId="77777777" w:rsidR="004B0883" w:rsidRDefault="004B0883">
            <w:pPr>
              <w:widowControl w:val="0"/>
              <w:adjustRightInd w:val="0"/>
              <w:snapToGrid w:val="0"/>
              <w:jc w:val="both"/>
              <w:rPr>
                <w:rFonts w:hint="eastAsia"/>
                <w:sz w:val="18"/>
                <w:szCs w:val="18"/>
              </w:rPr>
            </w:pPr>
            <w:r>
              <w:rPr>
                <w:rFonts w:hint="eastAsia"/>
                <w:sz w:val="18"/>
                <w:szCs w:val="18"/>
              </w:rPr>
              <w:t>中证鹏元资信评估股份有限公司</w:t>
            </w:r>
          </w:p>
        </w:tc>
      </w:tr>
      <w:tr w:rsidR="004B0883" w14:paraId="6AA219D5" w14:textId="77777777">
        <w:trPr>
          <w:trHeight w:val="340"/>
          <w:jc w:val="center"/>
        </w:trPr>
        <w:tc>
          <w:tcPr>
            <w:tcW w:w="1060" w:type="pct"/>
            <w:tcMar>
              <w:top w:w="0" w:type="dxa"/>
              <w:bottom w:w="0" w:type="dxa"/>
            </w:tcMar>
            <w:vAlign w:val="center"/>
          </w:tcPr>
          <w:p w14:paraId="5239151E" w14:textId="77777777" w:rsidR="004B0883" w:rsidRDefault="004B0883">
            <w:pPr>
              <w:widowControl w:val="0"/>
              <w:adjustRightInd w:val="0"/>
              <w:snapToGrid w:val="0"/>
              <w:rPr>
                <w:sz w:val="18"/>
                <w:szCs w:val="18"/>
              </w:rPr>
            </w:pPr>
            <w:r>
              <w:rPr>
                <w:sz w:val="18"/>
                <w:szCs w:val="18"/>
              </w:rPr>
              <w:t>A</w:t>
            </w:r>
            <w:r>
              <w:rPr>
                <w:rFonts w:hint="eastAsia"/>
                <w:sz w:val="18"/>
                <w:szCs w:val="18"/>
              </w:rPr>
              <w:t>股</w:t>
            </w:r>
          </w:p>
        </w:tc>
        <w:tc>
          <w:tcPr>
            <w:tcW w:w="250" w:type="pct"/>
            <w:tcMar>
              <w:top w:w="0" w:type="dxa"/>
              <w:bottom w:w="0" w:type="dxa"/>
            </w:tcMar>
            <w:vAlign w:val="center"/>
          </w:tcPr>
          <w:p w14:paraId="72EC09D8" w14:textId="77777777" w:rsidR="004B0883" w:rsidRDefault="004B0883">
            <w:pPr>
              <w:widowControl w:val="0"/>
              <w:adjustRightInd w:val="0"/>
              <w:snapToGrid w:val="0"/>
              <w:jc w:val="center"/>
              <w:rPr>
                <w:sz w:val="18"/>
                <w:szCs w:val="18"/>
              </w:rPr>
            </w:pPr>
            <w:r>
              <w:rPr>
                <w:rFonts w:hint="eastAsia"/>
                <w:sz w:val="18"/>
                <w:szCs w:val="18"/>
              </w:rPr>
              <w:t>指</w:t>
            </w:r>
          </w:p>
        </w:tc>
        <w:tc>
          <w:tcPr>
            <w:tcW w:w="3690" w:type="pct"/>
            <w:tcMar>
              <w:top w:w="0" w:type="dxa"/>
              <w:bottom w:w="0" w:type="dxa"/>
            </w:tcMar>
            <w:vAlign w:val="center"/>
          </w:tcPr>
          <w:p w14:paraId="64429D86" w14:textId="77777777" w:rsidR="004B0883" w:rsidRDefault="004B0883">
            <w:pPr>
              <w:widowControl w:val="0"/>
              <w:adjustRightInd w:val="0"/>
              <w:snapToGrid w:val="0"/>
              <w:jc w:val="both"/>
              <w:rPr>
                <w:sz w:val="18"/>
                <w:szCs w:val="18"/>
              </w:rPr>
            </w:pPr>
            <w:r>
              <w:rPr>
                <w:rFonts w:hint="eastAsia"/>
                <w:sz w:val="18"/>
                <w:szCs w:val="18"/>
              </w:rPr>
              <w:t>人民币普通股</w:t>
            </w:r>
          </w:p>
        </w:tc>
      </w:tr>
    </w:tbl>
    <w:p w14:paraId="67C5FFC1" w14:textId="77777777" w:rsidR="004B0883" w:rsidRDefault="004B0883">
      <w:pPr>
        <w:pStyle w:val="002"/>
        <w:spacing w:before="120" w:after="120"/>
        <w:rPr>
          <w:rFonts w:hint="eastAsia"/>
        </w:rPr>
      </w:pPr>
      <w:bookmarkStart w:id="48" w:name="_Toc152320773"/>
      <w:bookmarkEnd w:id="44"/>
      <w:r>
        <w:rPr>
          <w:rFonts w:hint="eastAsia"/>
        </w:rPr>
        <w:t>二、专业术语</w:t>
      </w:r>
      <w:bookmarkEnd w:id="43"/>
      <w:bookmarkEnd w:id="45"/>
      <w:bookmarkEnd w:id="46"/>
      <w:bookmarkEnd w:id="48"/>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78"/>
        <w:gridCol w:w="548"/>
        <w:gridCol w:w="6156"/>
      </w:tblGrid>
      <w:tr w:rsidR="004B0883" w14:paraId="0F6D7A49" w14:textId="77777777">
        <w:trPr>
          <w:trHeight w:val="340"/>
          <w:jc w:val="center"/>
        </w:trPr>
        <w:tc>
          <w:tcPr>
            <w:tcW w:w="1622" w:type="dxa"/>
            <w:tcMar>
              <w:top w:w="0" w:type="dxa"/>
              <w:bottom w:w="0" w:type="dxa"/>
            </w:tcMar>
            <w:vAlign w:val="center"/>
          </w:tcPr>
          <w:p w14:paraId="31F18739" w14:textId="77777777" w:rsidR="004B0883" w:rsidRDefault="004B0883">
            <w:pPr>
              <w:widowControl w:val="0"/>
              <w:adjustRightInd w:val="0"/>
              <w:snapToGrid w:val="0"/>
              <w:rPr>
                <w:sz w:val="18"/>
                <w:szCs w:val="18"/>
              </w:rPr>
            </w:pPr>
            <w:r>
              <w:rPr>
                <w:rFonts w:hint="eastAsia"/>
                <w:sz w:val="18"/>
                <w:szCs w:val="18"/>
              </w:rPr>
              <w:t>给排水阀门</w:t>
            </w:r>
          </w:p>
        </w:tc>
        <w:tc>
          <w:tcPr>
            <w:tcW w:w="558" w:type="dxa"/>
            <w:tcMar>
              <w:top w:w="0" w:type="dxa"/>
              <w:bottom w:w="0" w:type="dxa"/>
            </w:tcMar>
            <w:vAlign w:val="center"/>
          </w:tcPr>
          <w:p w14:paraId="19DD7611" w14:textId="77777777" w:rsidR="004B0883" w:rsidRDefault="004B0883">
            <w:pPr>
              <w:widowControl w:val="0"/>
              <w:adjustRightInd w:val="0"/>
              <w:snapToGrid w:val="0"/>
              <w:jc w:val="center"/>
              <w:rPr>
                <w:sz w:val="18"/>
                <w:szCs w:val="18"/>
              </w:rPr>
            </w:pPr>
            <w:r>
              <w:rPr>
                <w:sz w:val="18"/>
                <w:szCs w:val="18"/>
              </w:rPr>
              <w:t>指</w:t>
            </w:r>
          </w:p>
        </w:tc>
        <w:tc>
          <w:tcPr>
            <w:tcW w:w="6348" w:type="dxa"/>
            <w:tcMar>
              <w:top w:w="0" w:type="dxa"/>
              <w:bottom w:w="0" w:type="dxa"/>
            </w:tcMar>
            <w:vAlign w:val="center"/>
          </w:tcPr>
          <w:p w14:paraId="60073447" w14:textId="77777777" w:rsidR="004B0883" w:rsidRDefault="004B0883">
            <w:pPr>
              <w:widowControl w:val="0"/>
              <w:adjustRightInd w:val="0"/>
              <w:snapToGrid w:val="0"/>
              <w:jc w:val="both"/>
              <w:rPr>
                <w:sz w:val="18"/>
                <w:szCs w:val="18"/>
              </w:rPr>
            </w:pPr>
            <w:r>
              <w:rPr>
                <w:rFonts w:hint="eastAsia"/>
                <w:sz w:val="18"/>
                <w:szCs w:val="18"/>
              </w:rPr>
              <w:t>用于生活供水、排水、消防系统及工业给排水系统中，用于控制流量、水位等的专用阀门。广泛应用于饮用水、工业用水的给排水管网，以及生活、工业污水处理的管网中</w:t>
            </w:r>
          </w:p>
        </w:tc>
      </w:tr>
      <w:tr w:rsidR="004B0883" w14:paraId="74E3BA2B" w14:textId="77777777">
        <w:trPr>
          <w:trHeight w:val="340"/>
          <w:jc w:val="center"/>
        </w:trPr>
        <w:tc>
          <w:tcPr>
            <w:tcW w:w="1622" w:type="dxa"/>
            <w:tcMar>
              <w:top w:w="0" w:type="dxa"/>
              <w:bottom w:w="0" w:type="dxa"/>
            </w:tcMar>
            <w:vAlign w:val="center"/>
          </w:tcPr>
          <w:p w14:paraId="75F90AF9" w14:textId="77777777" w:rsidR="004B0883" w:rsidRDefault="004B0883">
            <w:pPr>
              <w:widowControl w:val="0"/>
              <w:adjustRightInd w:val="0"/>
              <w:snapToGrid w:val="0"/>
              <w:rPr>
                <w:sz w:val="18"/>
                <w:szCs w:val="18"/>
              </w:rPr>
            </w:pPr>
            <w:r>
              <w:rPr>
                <w:rFonts w:hint="eastAsia"/>
                <w:sz w:val="18"/>
                <w:szCs w:val="18"/>
              </w:rPr>
              <w:t>铸件</w:t>
            </w:r>
          </w:p>
        </w:tc>
        <w:tc>
          <w:tcPr>
            <w:tcW w:w="558" w:type="dxa"/>
            <w:tcMar>
              <w:top w:w="0" w:type="dxa"/>
              <w:bottom w:w="0" w:type="dxa"/>
            </w:tcMar>
            <w:vAlign w:val="center"/>
          </w:tcPr>
          <w:p w14:paraId="6E26E518" w14:textId="77777777" w:rsidR="004B0883" w:rsidRDefault="004B0883">
            <w:pPr>
              <w:widowControl w:val="0"/>
              <w:adjustRightInd w:val="0"/>
              <w:snapToGrid w:val="0"/>
              <w:jc w:val="center"/>
              <w:rPr>
                <w:sz w:val="18"/>
                <w:szCs w:val="18"/>
              </w:rPr>
            </w:pPr>
            <w:r>
              <w:rPr>
                <w:rFonts w:hint="eastAsia"/>
                <w:sz w:val="18"/>
                <w:szCs w:val="18"/>
              </w:rPr>
              <w:t>指</w:t>
            </w:r>
          </w:p>
        </w:tc>
        <w:tc>
          <w:tcPr>
            <w:tcW w:w="6348" w:type="dxa"/>
            <w:tcMar>
              <w:top w:w="0" w:type="dxa"/>
              <w:bottom w:w="0" w:type="dxa"/>
            </w:tcMar>
            <w:vAlign w:val="center"/>
          </w:tcPr>
          <w:p w14:paraId="652FC69F" w14:textId="77777777" w:rsidR="004B0883" w:rsidRDefault="004B0883">
            <w:pPr>
              <w:widowControl w:val="0"/>
              <w:adjustRightInd w:val="0"/>
              <w:snapToGrid w:val="0"/>
              <w:jc w:val="both"/>
              <w:rPr>
                <w:sz w:val="18"/>
                <w:szCs w:val="18"/>
              </w:rPr>
            </w:pPr>
            <w:r>
              <w:rPr>
                <w:rFonts w:hint="eastAsia"/>
                <w:sz w:val="18"/>
                <w:szCs w:val="18"/>
              </w:rPr>
              <w:t>经初步加工的原材料，可以是铸造件、锻打件、焊接件，需要进一步进行机械加工的原材料</w:t>
            </w:r>
          </w:p>
        </w:tc>
      </w:tr>
      <w:tr w:rsidR="004B0883" w14:paraId="3EE55FC2" w14:textId="77777777">
        <w:trPr>
          <w:trHeight w:val="340"/>
          <w:jc w:val="center"/>
        </w:trPr>
        <w:tc>
          <w:tcPr>
            <w:tcW w:w="1622" w:type="dxa"/>
            <w:tcMar>
              <w:top w:w="0" w:type="dxa"/>
              <w:bottom w:w="0" w:type="dxa"/>
            </w:tcMar>
            <w:vAlign w:val="center"/>
          </w:tcPr>
          <w:p w14:paraId="5F69FFDA" w14:textId="77777777" w:rsidR="004B0883" w:rsidRDefault="004B0883">
            <w:pPr>
              <w:widowControl w:val="0"/>
              <w:adjustRightInd w:val="0"/>
              <w:snapToGrid w:val="0"/>
              <w:rPr>
                <w:sz w:val="18"/>
                <w:szCs w:val="18"/>
              </w:rPr>
            </w:pPr>
            <w:r>
              <w:rPr>
                <w:rFonts w:hint="eastAsia"/>
                <w:sz w:val="18"/>
                <w:szCs w:val="18"/>
              </w:rPr>
              <w:t>闸阀</w:t>
            </w:r>
          </w:p>
        </w:tc>
        <w:tc>
          <w:tcPr>
            <w:tcW w:w="558" w:type="dxa"/>
            <w:tcMar>
              <w:top w:w="0" w:type="dxa"/>
              <w:bottom w:w="0" w:type="dxa"/>
            </w:tcMar>
            <w:vAlign w:val="center"/>
          </w:tcPr>
          <w:p w14:paraId="00892E55" w14:textId="77777777" w:rsidR="004B0883" w:rsidRDefault="004B0883">
            <w:pPr>
              <w:widowControl w:val="0"/>
              <w:adjustRightInd w:val="0"/>
              <w:snapToGrid w:val="0"/>
              <w:jc w:val="center"/>
              <w:rPr>
                <w:sz w:val="18"/>
                <w:szCs w:val="18"/>
              </w:rPr>
            </w:pPr>
            <w:r>
              <w:rPr>
                <w:sz w:val="18"/>
                <w:szCs w:val="18"/>
              </w:rPr>
              <w:t>指</w:t>
            </w:r>
          </w:p>
        </w:tc>
        <w:tc>
          <w:tcPr>
            <w:tcW w:w="6348" w:type="dxa"/>
            <w:tcMar>
              <w:top w:w="0" w:type="dxa"/>
              <w:bottom w:w="0" w:type="dxa"/>
            </w:tcMar>
            <w:vAlign w:val="center"/>
          </w:tcPr>
          <w:p w14:paraId="29C32814" w14:textId="77777777" w:rsidR="004B0883" w:rsidRDefault="004B0883">
            <w:pPr>
              <w:widowControl w:val="0"/>
              <w:adjustRightInd w:val="0"/>
              <w:snapToGrid w:val="0"/>
              <w:rPr>
                <w:sz w:val="18"/>
                <w:szCs w:val="18"/>
              </w:rPr>
            </w:pPr>
            <w:r>
              <w:rPr>
                <w:rFonts w:hint="eastAsia"/>
                <w:sz w:val="18"/>
                <w:szCs w:val="18"/>
              </w:rPr>
              <w:t>关闭件（闸板）沿通路中心线的垂直方向移动的阀门</w:t>
            </w:r>
          </w:p>
        </w:tc>
      </w:tr>
      <w:tr w:rsidR="004B0883" w14:paraId="085A3BBF" w14:textId="77777777">
        <w:trPr>
          <w:trHeight w:val="340"/>
          <w:jc w:val="center"/>
        </w:trPr>
        <w:tc>
          <w:tcPr>
            <w:tcW w:w="1622" w:type="dxa"/>
            <w:tcMar>
              <w:top w:w="0" w:type="dxa"/>
              <w:bottom w:w="0" w:type="dxa"/>
            </w:tcMar>
            <w:vAlign w:val="center"/>
          </w:tcPr>
          <w:p w14:paraId="00976850" w14:textId="77777777" w:rsidR="004B0883" w:rsidRDefault="004B0883">
            <w:pPr>
              <w:widowControl w:val="0"/>
              <w:adjustRightInd w:val="0"/>
              <w:snapToGrid w:val="0"/>
              <w:rPr>
                <w:sz w:val="18"/>
                <w:szCs w:val="18"/>
              </w:rPr>
            </w:pPr>
            <w:r>
              <w:rPr>
                <w:rFonts w:hint="eastAsia"/>
                <w:sz w:val="18"/>
                <w:szCs w:val="18"/>
              </w:rPr>
              <w:t>截止阀</w:t>
            </w:r>
          </w:p>
        </w:tc>
        <w:tc>
          <w:tcPr>
            <w:tcW w:w="558" w:type="dxa"/>
            <w:tcMar>
              <w:top w:w="0" w:type="dxa"/>
              <w:bottom w:w="0" w:type="dxa"/>
            </w:tcMar>
            <w:vAlign w:val="center"/>
          </w:tcPr>
          <w:p w14:paraId="4B898427" w14:textId="77777777" w:rsidR="004B0883" w:rsidRDefault="004B0883">
            <w:pPr>
              <w:widowControl w:val="0"/>
              <w:adjustRightInd w:val="0"/>
              <w:snapToGrid w:val="0"/>
              <w:jc w:val="center"/>
              <w:rPr>
                <w:sz w:val="18"/>
                <w:szCs w:val="18"/>
              </w:rPr>
            </w:pPr>
            <w:r>
              <w:rPr>
                <w:sz w:val="18"/>
                <w:szCs w:val="18"/>
              </w:rPr>
              <w:t>指</w:t>
            </w:r>
          </w:p>
        </w:tc>
        <w:tc>
          <w:tcPr>
            <w:tcW w:w="6348" w:type="dxa"/>
            <w:tcMar>
              <w:top w:w="0" w:type="dxa"/>
              <w:bottom w:w="0" w:type="dxa"/>
            </w:tcMar>
            <w:vAlign w:val="center"/>
          </w:tcPr>
          <w:p w14:paraId="759FA3C2" w14:textId="77777777" w:rsidR="004B0883" w:rsidRDefault="004B0883">
            <w:pPr>
              <w:widowControl w:val="0"/>
              <w:adjustRightInd w:val="0"/>
              <w:snapToGrid w:val="0"/>
              <w:jc w:val="both"/>
              <w:rPr>
                <w:sz w:val="18"/>
                <w:szCs w:val="18"/>
              </w:rPr>
            </w:pPr>
            <w:r>
              <w:rPr>
                <w:rFonts w:hint="eastAsia"/>
                <w:sz w:val="18"/>
                <w:szCs w:val="18"/>
              </w:rPr>
              <w:t>关闭件（阀瓣）沿阀座中心线移动的阀门</w:t>
            </w:r>
          </w:p>
        </w:tc>
      </w:tr>
      <w:tr w:rsidR="004B0883" w14:paraId="54DF4D52" w14:textId="77777777">
        <w:trPr>
          <w:trHeight w:val="340"/>
          <w:jc w:val="center"/>
        </w:trPr>
        <w:tc>
          <w:tcPr>
            <w:tcW w:w="1622" w:type="dxa"/>
            <w:tcMar>
              <w:top w:w="0" w:type="dxa"/>
              <w:bottom w:w="0" w:type="dxa"/>
            </w:tcMar>
            <w:vAlign w:val="center"/>
          </w:tcPr>
          <w:p w14:paraId="08B2C204" w14:textId="77777777" w:rsidR="004B0883" w:rsidRDefault="004B0883">
            <w:pPr>
              <w:widowControl w:val="0"/>
              <w:adjustRightInd w:val="0"/>
              <w:snapToGrid w:val="0"/>
              <w:rPr>
                <w:sz w:val="18"/>
                <w:szCs w:val="18"/>
              </w:rPr>
            </w:pPr>
            <w:r>
              <w:rPr>
                <w:rFonts w:hint="eastAsia"/>
                <w:sz w:val="18"/>
                <w:szCs w:val="18"/>
              </w:rPr>
              <w:t>止回阀</w:t>
            </w:r>
          </w:p>
        </w:tc>
        <w:tc>
          <w:tcPr>
            <w:tcW w:w="558" w:type="dxa"/>
            <w:tcMar>
              <w:top w:w="0" w:type="dxa"/>
              <w:bottom w:w="0" w:type="dxa"/>
            </w:tcMar>
            <w:vAlign w:val="center"/>
          </w:tcPr>
          <w:p w14:paraId="4CC9CCB3" w14:textId="77777777" w:rsidR="004B0883" w:rsidRDefault="004B0883">
            <w:pPr>
              <w:widowControl w:val="0"/>
              <w:adjustRightInd w:val="0"/>
              <w:snapToGrid w:val="0"/>
              <w:jc w:val="center"/>
              <w:rPr>
                <w:sz w:val="18"/>
                <w:szCs w:val="18"/>
              </w:rPr>
            </w:pPr>
            <w:r>
              <w:rPr>
                <w:sz w:val="18"/>
                <w:szCs w:val="18"/>
              </w:rPr>
              <w:t>指</w:t>
            </w:r>
          </w:p>
        </w:tc>
        <w:tc>
          <w:tcPr>
            <w:tcW w:w="6348" w:type="dxa"/>
            <w:tcMar>
              <w:top w:w="0" w:type="dxa"/>
              <w:bottom w:w="0" w:type="dxa"/>
            </w:tcMar>
            <w:vAlign w:val="center"/>
          </w:tcPr>
          <w:p w14:paraId="74BEC02C" w14:textId="77777777" w:rsidR="004B0883" w:rsidRDefault="004B0883">
            <w:pPr>
              <w:widowControl w:val="0"/>
              <w:adjustRightInd w:val="0"/>
              <w:snapToGrid w:val="0"/>
              <w:jc w:val="both"/>
              <w:rPr>
                <w:sz w:val="18"/>
                <w:szCs w:val="18"/>
              </w:rPr>
            </w:pPr>
            <w:r>
              <w:rPr>
                <w:rFonts w:hint="eastAsia"/>
                <w:sz w:val="18"/>
                <w:szCs w:val="18"/>
              </w:rPr>
              <w:t>依靠介质本身流动而自动开、闭阀瓣，用来防止介质倒流的阀门</w:t>
            </w:r>
          </w:p>
        </w:tc>
      </w:tr>
      <w:tr w:rsidR="004B0883" w14:paraId="2AA541CA" w14:textId="77777777">
        <w:trPr>
          <w:trHeight w:val="340"/>
          <w:jc w:val="center"/>
        </w:trPr>
        <w:tc>
          <w:tcPr>
            <w:tcW w:w="1622" w:type="dxa"/>
            <w:tcMar>
              <w:top w:w="0" w:type="dxa"/>
              <w:bottom w:w="0" w:type="dxa"/>
            </w:tcMar>
            <w:vAlign w:val="center"/>
          </w:tcPr>
          <w:p w14:paraId="15A62E04" w14:textId="77777777" w:rsidR="004B0883" w:rsidRDefault="004B0883">
            <w:pPr>
              <w:widowControl w:val="0"/>
              <w:adjustRightInd w:val="0"/>
              <w:snapToGrid w:val="0"/>
              <w:rPr>
                <w:rFonts w:hint="eastAsia"/>
                <w:sz w:val="18"/>
                <w:szCs w:val="18"/>
              </w:rPr>
            </w:pPr>
            <w:r>
              <w:rPr>
                <w:rFonts w:hint="eastAsia"/>
                <w:sz w:val="18"/>
                <w:szCs w:val="18"/>
              </w:rPr>
              <w:t>旋塞阀</w:t>
            </w:r>
          </w:p>
        </w:tc>
        <w:tc>
          <w:tcPr>
            <w:tcW w:w="558" w:type="dxa"/>
            <w:tcMar>
              <w:top w:w="0" w:type="dxa"/>
              <w:bottom w:w="0" w:type="dxa"/>
            </w:tcMar>
            <w:vAlign w:val="center"/>
          </w:tcPr>
          <w:p w14:paraId="23400029"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6952DAEA" w14:textId="77777777" w:rsidR="004B0883" w:rsidRDefault="004B0883">
            <w:pPr>
              <w:widowControl w:val="0"/>
              <w:adjustRightInd w:val="0"/>
              <w:snapToGrid w:val="0"/>
              <w:jc w:val="both"/>
              <w:rPr>
                <w:rFonts w:hint="eastAsia"/>
                <w:sz w:val="18"/>
                <w:szCs w:val="18"/>
              </w:rPr>
            </w:pPr>
            <w:r>
              <w:rPr>
                <w:rFonts w:hint="eastAsia"/>
                <w:sz w:val="18"/>
                <w:szCs w:val="18"/>
              </w:rPr>
              <w:t>关闭件（塞子）绕阀体中心线旋转来达到开启和关闭的一种阀门</w:t>
            </w:r>
          </w:p>
        </w:tc>
      </w:tr>
      <w:tr w:rsidR="004B0883" w14:paraId="031AEBC7" w14:textId="77777777">
        <w:trPr>
          <w:trHeight w:val="340"/>
          <w:jc w:val="center"/>
        </w:trPr>
        <w:tc>
          <w:tcPr>
            <w:tcW w:w="1622" w:type="dxa"/>
            <w:tcMar>
              <w:top w:w="0" w:type="dxa"/>
              <w:bottom w:w="0" w:type="dxa"/>
            </w:tcMar>
            <w:vAlign w:val="center"/>
          </w:tcPr>
          <w:p w14:paraId="20D9A2C0" w14:textId="77777777" w:rsidR="004B0883" w:rsidRDefault="004B0883">
            <w:pPr>
              <w:widowControl w:val="0"/>
              <w:adjustRightInd w:val="0"/>
              <w:snapToGrid w:val="0"/>
              <w:rPr>
                <w:rFonts w:hint="eastAsia"/>
                <w:sz w:val="18"/>
                <w:szCs w:val="18"/>
              </w:rPr>
            </w:pPr>
            <w:r>
              <w:rPr>
                <w:rFonts w:hint="eastAsia"/>
                <w:sz w:val="18"/>
                <w:szCs w:val="18"/>
              </w:rPr>
              <w:t>球阀</w:t>
            </w:r>
          </w:p>
        </w:tc>
        <w:tc>
          <w:tcPr>
            <w:tcW w:w="558" w:type="dxa"/>
            <w:tcMar>
              <w:top w:w="0" w:type="dxa"/>
              <w:bottom w:w="0" w:type="dxa"/>
            </w:tcMar>
            <w:vAlign w:val="center"/>
          </w:tcPr>
          <w:p w14:paraId="58455459"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76C1C7CD" w14:textId="77777777" w:rsidR="004B0883" w:rsidRDefault="004B0883">
            <w:pPr>
              <w:widowControl w:val="0"/>
              <w:adjustRightInd w:val="0"/>
              <w:snapToGrid w:val="0"/>
              <w:rPr>
                <w:rFonts w:hint="eastAsia"/>
                <w:sz w:val="18"/>
                <w:szCs w:val="18"/>
              </w:rPr>
            </w:pPr>
            <w:r>
              <w:rPr>
                <w:rFonts w:hint="eastAsia"/>
                <w:sz w:val="18"/>
                <w:szCs w:val="18"/>
              </w:rPr>
              <w:t>关闭件是个球体，球体绕阀体中心线作旋转来达到开启、关闭的一种阀门</w:t>
            </w:r>
          </w:p>
        </w:tc>
      </w:tr>
      <w:tr w:rsidR="004B0883" w14:paraId="4D030386" w14:textId="77777777">
        <w:trPr>
          <w:trHeight w:val="340"/>
          <w:jc w:val="center"/>
        </w:trPr>
        <w:tc>
          <w:tcPr>
            <w:tcW w:w="1622" w:type="dxa"/>
            <w:tcMar>
              <w:top w:w="0" w:type="dxa"/>
              <w:bottom w:w="0" w:type="dxa"/>
            </w:tcMar>
            <w:vAlign w:val="center"/>
          </w:tcPr>
          <w:p w14:paraId="3AD3DEC6" w14:textId="77777777" w:rsidR="004B0883" w:rsidRDefault="004B0883">
            <w:pPr>
              <w:widowControl w:val="0"/>
              <w:adjustRightInd w:val="0"/>
              <w:snapToGrid w:val="0"/>
              <w:rPr>
                <w:rFonts w:hint="eastAsia"/>
                <w:sz w:val="18"/>
                <w:szCs w:val="18"/>
              </w:rPr>
            </w:pPr>
            <w:r>
              <w:rPr>
                <w:rFonts w:hint="eastAsia"/>
                <w:sz w:val="18"/>
                <w:szCs w:val="18"/>
              </w:rPr>
              <w:t>蝶阀</w:t>
            </w:r>
          </w:p>
        </w:tc>
        <w:tc>
          <w:tcPr>
            <w:tcW w:w="558" w:type="dxa"/>
            <w:tcMar>
              <w:top w:w="0" w:type="dxa"/>
              <w:bottom w:w="0" w:type="dxa"/>
            </w:tcMar>
            <w:vAlign w:val="center"/>
          </w:tcPr>
          <w:p w14:paraId="6D163596"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08129C4E" w14:textId="77777777" w:rsidR="004B0883" w:rsidRDefault="004B0883">
            <w:pPr>
              <w:widowControl w:val="0"/>
              <w:adjustRightInd w:val="0"/>
              <w:snapToGrid w:val="0"/>
              <w:rPr>
                <w:rFonts w:hint="eastAsia"/>
                <w:sz w:val="18"/>
                <w:szCs w:val="18"/>
              </w:rPr>
            </w:pPr>
            <w:r>
              <w:rPr>
                <w:rFonts w:hint="eastAsia"/>
                <w:sz w:val="18"/>
                <w:szCs w:val="18"/>
              </w:rPr>
              <w:t>蝶板在阀体内绕固定轴旋转的阀门</w:t>
            </w:r>
          </w:p>
        </w:tc>
      </w:tr>
      <w:tr w:rsidR="004B0883" w14:paraId="5E26EEFE" w14:textId="77777777">
        <w:trPr>
          <w:trHeight w:val="340"/>
          <w:jc w:val="center"/>
        </w:trPr>
        <w:tc>
          <w:tcPr>
            <w:tcW w:w="1622" w:type="dxa"/>
            <w:tcMar>
              <w:top w:w="0" w:type="dxa"/>
              <w:bottom w:w="0" w:type="dxa"/>
            </w:tcMar>
            <w:vAlign w:val="center"/>
          </w:tcPr>
          <w:p w14:paraId="07AB0573" w14:textId="77777777" w:rsidR="004B0883" w:rsidRDefault="004B0883">
            <w:pPr>
              <w:widowControl w:val="0"/>
              <w:adjustRightInd w:val="0"/>
              <w:snapToGrid w:val="0"/>
              <w:rPr>
                <w:rFonts w:hint="eastAsia"/>
                <w:sz w:val="18"/>
                <w:szCs w:val="18"/>
              </w:rPr>
            </w:pPr>
            <w:r>
              <w:rPr>
                <w:rFonts w:hint="eastAsia"/>
                <w:sz w:val="18"/>
                <w:szCs w:val="18"/>
              </w:rPr>
              <w:t>调节阀</w:t>
            </w:r>
          </w:p>
        </w:tc>
        <w:tc>
          <w:tcPr>
            <w:tcW w:w="558" w:type="dxa"/>
            <w:tcMar>
              <w:top w:w="0" w:type="dxa"/>
              <w:bottom w:w="0" w:type="dxa"/>
            </w:tcMar>
            <w:vAlign w:val="center"/>
          </w:tcPr>
          <w:p w14:paraId="46FCB11E"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6723A968" w14:textId="77777777" w:rsidR="004B0883" w:rsidRDefault="004B0883">
            <w:pPr>
              <w:widowControl w:val="0"/>
              <w:adjustRightInd w:val="0"/>
              <w:snapToGrid w:val="0"/>
              <w:rPr>
                <w:rFonts w:hint="eastAsia"/>
                <w:sz w:val="18"/>
                <w:szCs w:val="18"/>
              </w:rPr>
            </w:pPr>
            <w:r>
              <w:rPr>
                <w:rFonts w:hint="eastAsia"/>
                <w:sz w:val="18"/>
                <w:szCs w:val="18"/>
              </w:rPr>
              <w:t>通过启封件（阀瓣）改变通路截面积以调节流量、压力的阀门</w:t>
            </w:r>
          </w:p>
        </w:tc>
      </w:tr>
      <w:tr w:rsidR="004B0883" w14:paraId="061BFF66" w14:textId="77777777">
        <w:trPr>
          <w:trHeight w:val="340"/>
          <w:jc w:val="center"/>
        </w:trPr>
        <w:tc>
          <w:tcPr>
            <w:tcW w:w="1622" w:type="dxa"/>
            <w:tcMar>
              <w:top w:w="0" w:type="dxa"/>
              <w:bottom w:w="0" w:type="dxa"/>
            </w:tcMar>
            <w:vAlign w:val="center"/>
          </w:tcPr>
          <w:p w14:paraId="16AB7BEA" w14:textId="77777777" w:rsidR="004B0883" w:rsidRDefault="004B0883">
            <w:pPr>
              <w:widowControl w:val="0"/>
              <w:adjustRightInd w:val="0"/>
              <w:snapToGrid w:val="0"/>
              <w:rPr>
                <w:rFonts w:hint="eastAsia"/>
                <w:sz w:val="18"/>
                <w:szCs w:val="18"/>
              </w:rPr>
            </w:pPr>
            <w:r>
              <w:rPr>
                <w:rFonts w:hint="eastAsia"/>
                <w:sz w:val="18"/>
                <w:szCs w:val="18"/>
              </w:rPr>
              <w:t>报警阀</w:t>
            </w:r>
          </w:p>
        </w:tc>
        <w:tc>
          <w:tcPr>
            <w:tcW w:w="558" w:type="dxa"/>
            <w:tcMar>
              <w:top w:w="0" w:type="dxa"/>
              <w:bottom w:w="0" w:type="dxa"/>
            </w:tcMar>
            <w:vAlign w:val="center"/>
          </w:tcPr>
          <w:p w14:paraId="4BBD7A3A"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3F06E214" w14:textId="77777777" w:rsidR="004B0883" w:rsidRDefault="004B0883">
            <w:pPr>
              <w:widowControl w:val="0"/>
              <w:adjustRightInd w:val="0"/>
              <w:snapToGrid w:val="0"/>
              <w:rPr>
                <w:rFonts w:hint="eastAsia"/>
                <w:sz w:val="18"/>
                <w:szCs w:val="18"/>
              </w:rPr>
            </w:pPr>
            <w:r>
              <w:rPr>
                <w:rFonts w:hint="eastAsia"/>
                <w:sz w:val="18"/>
                <w:szCs w:val="18"/>
              </w:rPr>
              <w:t>在规定流量下报警的一种阀门</w:t>
            </w:r>
          </w:p>
        </w:tc>
      </w:tr>
      <w:tr w:rsidR="004B0883" w14:paraId="13E27D21" w14:textId="77777777">
        <w:trPr>
          <w:trHeight w:val="340"/>
          <w:jc w:val="center"/>
        </w:trPr>
        <w:tc>
          <w:tcPr>
            <w:tcW w:w="1622" w:type="dxa"/>
            <w:tcMar>
              <w:top w:w="0" w:type="dxa"/>
              <w:bottom w:w="0" w:type="dxa"/>
            </w:tcMar>
            <w:vAlign w:val="center"/>
          </w:tcPr>
          <w:p w14:paraId="7B218F45" w14:textId="77777777" w:rsidR="004B0883" w:rsidRDefault="004B0883">
            <w:pPr>
              <w:widowControl w:val="0"/>
              <w:adjustRightInd w:val="0"/>
              <w:snapToGrid w:val="0"/>
              <w:rPr>
                <w:rFonts w:hint="eastAsia"/>
                <w:sz w:val="18"/>
                <w:szCs w:val="18"/>
              </w:rPr>
            </w:pPr>
            <w:r>
              <w:rPr>
                <w:rFonts w:hint="eastAsia"/>
                <w:sz w:val="18"/>
                <w:szCs w:val="18"/>
              </w:rPr>
              <w:t>雨淋阀</w:t>
            </w:r>
          </w:p>
        </w:tc>
        <w:tc>
          <w:tcPr>
            <w:tcW w:w="558" w:type="dxa"/>
            <w:tcMar>
              <w:top w:w="0" w:type="dxa"/>
              <w:bottom w:w="0" w:type="dxa"/>
            </w:tcMar>
            <w:vAlign w:val="center"/>
          </w:tcPr>
          <w:p w14:paraId="51823224"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0ACA7476" w14:textId="77777777" w:rsidR="004B0883" w:rsidRDefault="004B0883">
            <w:pPr>
              <w:widowControl w:val="0"/>
              <w:adjustRightInd w:val="0"/>
              <w:snapToGrid w:val="0"/>
              <w:rPr>
                <w:rFonts w:hint="eastAsia"/>
                <w:sz w:val="18"/>
                <w:szCs w:val="18"/>
              </w:rPr>
            </w:pPr>
            <w:r>
              <w:rPr>
                <w:rFonts w:hint="eastAsia"/>
                <w:sz w:val="18"/>
                <w:szCs w:val="18"/>
              </w:rPr>
              <w:t>通过控制消防给水管路达到自动供水的一种控制阀</w:t>
            </w:r>
          </w:p>
        </w:tc>
      </w:tr>
      <w:tr w:rsidR="004B0883" w14:paraId="080FA9E6" w14:textId="77777777">
        <w:trPr>
          <w:trHeight w:val="340"/>
          <w:jc w:val="center"/>
        </w:trPr>
        <w:tc>
          <w:tcPr>
            <w:tcW w:w="1622" w:type="dxa"/>
            <w:tcMar>
              <w:top w:w="0" w:type="dxa"/>
              <w:bottom w:w="0" w:type="dxa"/>
            </w:tcMar>
            <w:vAlign w:val="center"/>
          </w:tcPr>
          <w:p w14:paraId="72E71F8B" w14:textId="77777777" w:rsidR="004B0883" w:rsidRDefault="004B0883">
            <w:pPr>
              <w:widowControl w:val="0"/>
              <w:adjustRightInd w:val="0"/>
              <w:snapToGrid w:val="0"/>
              <w:rPr>
                <w:rFonts w:hint="eastAsia"/>
                <w:sz w:val="18"/>
                <w:szCs w:val="18"/>
              </w:rPr>
            </w:pPr>
            <w:r>
              <w:rPr>
                <w:rFonts w:hint="eastAsia"/>
                <w:sz w:val="18"/>
                <w:szCs w:val="18"/>
              </w:rPr>
              <w:t>不停水加装阀门</w:t>
            </w:r>
          </w:p>
        </w:tc>
        <w:tc>
          <w:tcPr>
            <w:tcW w:w="558" w:type="dxa"/>
            <w:tcMar>
              <w:top w:w="0" w:type="dxa"/>
              <w:bottom w:w="0" w:type="dxa"/>
            </w:tcMar>
            <w:vAlign w:val="center"/>
          </w:tcPr>
          <w:p w14:paraId="27B21F6B"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776C1287" w14:textId="77777777" w:rsidR="004B0883" w:rsidRDefault="004B0883">
            <w:pPr>
              <w:widowControl w:val="0"/>
              <w:adjustRightInd w:val="0"/>
              <w:snapToGrid w:val="0"/>
              <w:rPr>
                <w:rFonts w:hint="eastAsia"/>
                <w:sz w:val="18"/>
                <w:szCs w:val="18"/>
              </w:rPr>
            </w:pPr>
            <w:r>
              <w:rPr>
                <w:rFonts w:hint="eastAsia"/>
                <w:sz w:val="18"/>
                <w:szCs w:val="18"/>
              </w:rPr>
              <w:t>一种无需停水操作的阀门</w:t>
            </w:r>
          </w:p>
        </w:tc>
      </w:tr>
      <w:tr w:rsidR="004B0883" w14:paraId="50363EEE" w14:textId="77777777">
        <w:trPr>
          <w:trHeight w:val="340"/>
          <w:jc w:val="center"/>
        </w:trPr>
        <w:tc>
          <w:tcPr>
            <w:tcW w:w="1622" w:type="dxa"/>
            <w:tcMar>
              <w:top w:w="0" w:type="dxa"/>
              <w:bottom w:w="0" w:type="dxa"/>
            </w:tcMar>
            <w:vAlign w:val="center"/>
          </w:tcPr>
          <w:p w14:paraId="5BF5A2E9" w14:textId="77777777" w:rsidR="004B0883" w:rsidRDefault="004B0883">
            <w:pPr>
              <w:widowControl w:val="0"/>
              <w:adjustRightInd w:val="0"/>
              <w:snapToGrid w:val="0"/>
              <w:rPr>
                <w:rFonts w:hint="eastAsia"/>
                <w:sz w:val="18"/>
                <w:szCs w:val="18"/>
              </w:rPr>
            </w:pPr>
            <w:r>
              <w:rPr>
                <w:rFonts w:hint="eastAsia"/>
                <w:sz w:val="18"/>
                <w:szCs w:val="18"/>
              </w:rPr>
              <w:t>过滤器</w:t>
            </w:r>
          </w:p>
        </w:tc>
        <w:tc>
          <w:tcPr>
            <w:tcW w:w="558" w:type="dxa"/>
            <w:tcMar>
              <w:top w:w="0" w:type="dxa"/>
              <w:bottom w:w="0" w:type="dxa"/>
            </w:tcMar>
            <w:vAlign w:val="center"/>
          </w:tcPr>
          <w:p w14:paraId="7977B3FC"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0040C79B" w14:textId="77777777" w:rsidR="004B0883" w:rsidRDefault="004B0883">
            <w:pPr>
              <w:widowControl w:val="0"/>
              <w:adjustRightInd w:val="0"/>
              <w:snapToGrid w:val="0"/>
              <w:rPr>
                <w:rFonts w:hint="eastAsia"/>
                <w:sz w:val="18"/>
                <w:szCs w:val="18"/>
              </w:rPr>
            </w:pPr>
            <w:r>
              <w:rPr>
                <w:rFonts w:hint="eastAsia"/>
                <w:sz w:val="18"/>
                <w:szCs w:val="18"/>
              </w:rPr>
              <w:t>输送介质管道上不可缺少的一种装置，主要用于过滤水中的杂质，如水草等，保护阀门及设备的正常使用</w:t>
            </w:r>
          </w:p>
        </w:tc>
      </w:tr>
      <w:tr w:rsidR="004B0883" w14:paraId="1765F137" w14:textId="77777777">
        <w:trPr>
          <w:trHeight w:val="340"/>
          <w:jc w:val="center"/>
        </w:trPr>
        <w:tc>
          <w:tcPr>
            <w:tcW w:w="1622" w:type="dxa"/>
            <w:tcMar>
              <w:top w:w="0" w:type="dxa"/>
              <w:bottom w:w="0" w:type="dxa"/>
            </w:tcMar>
            <w:vAlign w:val="center"/>
          </w:tcPr>
          <w:p w14:paraId="4C18FE16" w14:textId="77777777" w:rsidR="004B0883" w:rsidRDefault="004B0883">
            <w:pPr>
              <w:widowControl w:val="0"/>
              <w:adjustRightInd w:val="0"/>
              <w:snapToGrid w:val="0"/>
              <w:rPr>
                <w:rFonts w:hint="eastAsia"/>
                <w:sz w:val="18"/>
                <w:szCs w:val="18"/>
              </w:rPr>
            </w:pPr>
            <w:r>
              <w:rPr>
                <w:rFonts w:hint="eastAsia"/>
                <w:sz w:val="18"/>
                <w:szCs w:val="18"/>
              </w:rPr>
              <w:t>阀杆</w:t>
            </w:r>
          </w:p>
        </w:tc>
        <w:tc>
          <w:tcPr>
            <w:tcW w:w="558" w:type="dxa"/>
            <w:tcMar>
              <w:top w:w="0" w:type="dxa"/>
              <w:bottom w:w="0" w:type="dxa"/>
            </w:tcMar>
            <w:vAlign w:val="center"/>
          </w:tcPr>
          <w:p w14:paraId="75D8811C"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0DDDF753" w14:textId="77777777" w:rsidR="004B0883" w:rsidRDefault="004B0883">
            <w:pPr>
              <w:widowControl w:val="0"/>
              <w:adjustRightInd w:val="0"/>
              <w:snapToGrid w:val="0"/>
              <w:rPr>
                <w:rFonts w:hint="eastAsia"/>
                <w:sz w:val="18"/>
                <w:szCs w:val="18"/>
              </w:rPr>
            </w:pPr>
            <w:r>
              <w:rPr>
                <w:rFonts w:hint="eastAsia"/>
                <w:sz w:val="18"/>
                <w:szCs w:val="18"/>
              </w:rPr>
              <w:t>一种阀门重要部件，用于传动，上接执行机构或者手柄，下面直接带动阀芯移动或转动，以实现阀门开关或者调节作用</w:t>
            </w:r>
          </w:p>
        </w:tc>
      </w:tr>
      <w:tr w:rsidR="004B0883" w14:paraId="5F827AA6" w14:textId="77777777">
        <w:trPr>
          <w:trHeight w:val="340"/>
          <w:jc w:val="center"/>
        </w:trPr>
        <w:tc>
          <w:tcPr>
            <w:tcW w:w="1622" w:type="dxa"/>
            <w:tcMar>
              <w:top w:w="0" w:type="dxa"/>
              <w:bottom w:w="0" w:type="dxa"/>
            </w:tcMar>
            <w:vAlign w:val="center"/>
          </w:tcPr>
          <w:p w14:paraId="3CE37816" w14:textId="77777777" w:rsidR="004B0883" w:rsidRDefault="004B0883">
            <w:pPr>
              <w:widowControl w:val="0"/>
              <w:adjustRightInd w:val="0"/>
              <w:snapToGrid w:val="0"/>
              <w:rPr>
                <w:rFonts w:hint="eastAsia"/>
                <w:sz w:val="18"/>
                <w:szCs w:val="18"/>
              </w:rPr>
            </w:pPr>
            <w:r>
              <w:rPr>
                <w:rFonts w:hint="eastAsia"/>
                <w:sz w:val="18"/>
                <w:szCs w:val="18"/>
              </w:rPr>
              <w:t>G</w:t>
            </w:r>
            <w:r>
              <w:rPr>
                <w:sz w:val="18"/>
                <w:szCs w:val="18"/>
              </w:rPr>
              <w:t>IA</w:t>
            </w:r>
          </w:p>
        </w:tc>
        <w:tc>
          <w:tcPr>
            <w:tcW w:w="558" w:type="dxa"/>
            <w:tcMar>
              <w:top w:w="0" w:type="dxa"/>
              <w:bottom w:w="0" w:type="dxa"/>
            </w:tcMar>
            <w:vAlign w:val="center"/>
          </w:tcPr>
          <w:p w14:paraId="7D82CB2A"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1DB90F08" w14:textId="77777777" w:rsidR="004B0883" w:rsidRDefault="004B0883">
            <w:pPr>
              <w:widowControl w:val="0"/>
              <w:adjustRightInd w:val="0"/>
              <w:snapToGrid w:val="0"/>
              <w:rPr>
                <w:rFonts w:hint="eastAsia"/>
                <w:sz w:val="18"/>
                <w:szCs w:val="18"/>
              </w:rPr>
            </w:pPr>
            <w:r>
              <w:rPr>
                <w:rFonts w:hint="eastAsia"/>
                <w:sz w:val="18"/>
                <w:szCs w:val="18"/>
              </w:rPr>
              <w:t>Global Industry Analysts, Inc.</w:t>
            </w:r>
            <w:r>
              <w:rPr>
                <w:rFonts w:hint="eastAsia"/>
                <w:sz w:val="18"/>
                <w:szCs w:val="18"/>
              </w:rPr>
              <w:t>，一家全球知名的行业研究机构</w:t>
            </w:r>
          </w:p>
        </w:tc>
      </w:tr>
      <w:tr w:rsidR="004B0883" w14:paraId="17EB3D8B" w14:textId="77777777">
        <w:trPr>
          <w:trHeight w:val="340"/>
          <w:jc w:val="center"/>
        </w:trPr>
        <w:tc>
          <w:tcPr>
            <w:tcW w:w="1622" w:type="dxa"/>
            <w:tcMar>
              <w:top w:w="0" w:type="dxa"/>
              <w:bottom w:w="0" w:type="dxa"/>
            </w:tcMar>
            <w:vAlign w:val="center"/>
          </w:tcPr>
          <w:p w14:paraId="2BA81CDB" w14:textId="77777777" w:rsidR="004B0883" w:rsidRDefault="004B0883">
            <w:pPr>
              <w:widowControl w:val="0"/>
              <w:adjustRightInd w:val="0"/>
              <w:snapToGrid w:val="0"/>
              <w:rPr>
                <w:rFonts w:hint="eastAsia"/>
                <w:sz w:val="18"/>
                <w:szCs w:val="18"/>
              </w:rPr>
            </w:pPr>
            <w:r>
              <w:rPr>
                <w:sz w:val="18"/>
                <w:szCs w:val="18"/>
              </w:rPr>
              <w:t>Research And Markets</w:t>
            </w:r>
          </w:p>
        </w:tc>
        <w:tc>
          <w:tcPr>
            <w:tcW w:w="558" w:type="dxa"/>
            <w:tcMar>
              <w:top w:w="0" w:type="dxa"/>
              <w:bottom w:w="0" w:type="dxa"/>
            </w:tcMar>
            <w:vAlign w:val="center"/>
          </w:tcPr>
          <w:p w14:paraId="6B67BC45"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05AEA48C" w14:textId="77777777" w:rsidR="004B0883" w:rsidRDefault="004B0883">
            <w:pPr>
              <w:widowControl w:val="0"/>
              <w:adjustRightInd w:val="0"/>
              <w:snapToGrid w:val="0"/>
              <w:rPr>
                <w:rFonts w:hint="eastAsia"/>
                <w:sz w:val="18"/>
                <w:szCs w:val="18"/>
              </w:rPr>
            </w:pPr>
            <w:r>
              <w:rPr>
                <w:rFonts w:hint="eastAsia"/>
                <w:sz w:val="18"/>
                <w:szCs w:val="18"/>
              </w:rPr>
              <w:t>Research And Markets</w:t>
            </w:r>
            <w:r>
              <w:rPr>
                <w:rFonts w:hint="eastAsia"/>
                <w:sz w:val="18"/>
                <w:szCs w:val="18"/>
              </w:rPr>
              <w:t>，一家全球知名的行业研究机构</w:t>
            </w:r>
          </w:p>
        </w:tc>
      </w:tr>
      <w:tr w:rsidR="004B0883" w14:paraId="2CA0394B" w14:textId="77777777">
        <w:trPr>
          <w:trHeight w:val="340"/>
          <w:jc w:val="center"/>
        </w:trPr>
        <w:tc>
          <w:tcPr>
            <w:tcW w:w="1622" w:type="dxa"/>
            <w:tcMar>
              <w:top w:w="0" w:type="dxa"/>
              <w:bottom w:w="0" w:type="dxa"/>
            </w:tcMar>
            <w:vAlign w:val="center"/>
          </w:tcPr>
          <w:p w14:paraId="36A4B731" w14:textId="77777777" w:rsidR="004B0883" w:rsidRDefault="004B0883">
            <w:pPr>
              <w:widowControl w:val="0"/>
              <w:adjustRightInd w:val="0"/>
              <w:snapToGrid w:val="0"/>
              <w:rPr>
                <w:sz w:val="18"/>
                <w:szCs w:val="18"/>
              </w:rPr>
            </w:pPr>
            <w:r>
              <w:rPr>
                <w:rFonts w:hint="eastAsia"/>
                <w:sz w:val="18"/>
                <w:szCs w:val="18"/>
              </w:rPr>
              <w:t>赛迪顾问</w:t>
            </w:r>
          </w:p>
        </w:tc>
        <w:tc>
          <w:tcPr>
            <w:tcW w:w="558" w:type="dxa"/>
            <w:tcMar>
              <w:top w:w="0" w:type="dxa"/>
              <w:bottom w:w="0" w:type="dxa"/>
            </w:tcMar>
            <w:vAlign w:val="center"/>
          </w:tcPr>
          <w:p w14:paraId="6814A765" w14:textId="77777777" w:rsidR="004B0883" w:rsidRDefault="004B0883">
            <w:pPr>
              <w:widowControl w:val="0"/>
              <w:adjustRightInd w:val="0"/>
              <w:snapToGrid w:val="0"/>
              <w:jc w:val="center"/>
              <w:rPr>
                <w:sz w:val="18"/>
                <w:szCs w:val="18"/>
              </w:rPr>
            </w:pPr>
            <w:r>
              <w:rPr>
                <w:rFonts w:hint="eastAsia"/>
                <w:sz w:val="18"/>
                <w:szCs w:val="18"/>
              </w:rPr>
              <w:t>指</w:t>
            </w:r>
          </w:p>
        </w:tc>
        <w:tc>
          <w:tcPr>
            <w:tcW w:w="6348" w:type="dxa"/>
            <w:tcMar>
              <w:top w:w="0" w:type="dxa"/>
              <w:bottom w:w="0" w:type="dxa"/>
            </w:tcMar>
            <w:vAlign w:val="center"/>
          </w:tcPr>
          <w:p w14:paraId="7B66AA4D" w14:textId="77777777" w:rsidR="004B0883" w:rsidRDefault="004B0883">
            <w:pPr>
              <w:widowControl w:val="0"/>
              <w:adjustRightInd w:val="0"/>
              <w:snapToGrid w:val="0"/>
              <w:rPr>
                <w:rFonts w:hint="eastAsia"/>
                <w:sz w:val="18"/>
                <w:szCs w:val="18"/>
              </w:rPr>
            </w:pPr>
            <w:r>
              <w:rPr>
                <w:rFonts w:hint="eastAsia"/>
                <w:sz w:val="18"/>
                <w:szCs w:val="18"/>
              </w:rPr>
              <w:t>赛迪顾问股份有限公司（</w:t>
            </w:r>
            <w:r>
              <w:rPr>
                <w:rFonts w:hint="eastAsia"/>
                <w:sz w:val="18"/>
                <w:szCs w:val="18"/>
              </w:rPr>
              <w:t>HK02176</w:t>
            </w:r>
            <w:r>
              <w:rPr>
                <w:rFonts w:hint="eastAsia"/>
                <w:sz w:val="18"/>
                <w:szCs w:val="18"/>
              </w:rPr>
              <w:t>），直属于中华人民共和国工业和信息化部中国电子信息产业发展研究院，是我国首家上市的咨询企业</w:t>
            </w:r>
          </w:p>
        </w:tc>
      </w:tr>
      <w:tr w:rsidR="004B0883" w14:paraId="5EF0E9A7" w14:textId="77777777">
        <w:trPr>
          <w:trHeight w:val="340"/>
          <w:jc w:val="center"/>
        </w:trPr>
        <w:tc>
          <w:tcPr>
            <w:tcW w:w="1622" w:type="dxa"/>
            <w:tcMar>
              <w:top w:w="0" w:type="dxa"/>
              <w:bottom w:w="0" w:type="dxa"/>
            </w:tcMar>
            <w:vAlign w:val="center"/>
          </w:tcPr>
          <w:p w14:paraId="19C2CCB0" w14:textId="77777777" w:rsidR="004B0883" w:rsidRDefault="004B0883">
            <w:pPr>
              <w:widowControl w:val="0"/>
              <w:adjustRightInd w:val="0"/>
              <w:snapToGrid w:val="0"/>
              <w:rPr>
                <w:rFonts w:hint="eastAsia"/>
                <w:sz w:val="18"/>
                <w:szCs w:val="18"/>
              </w:rPr>
            </w:pPr>
            <w:r>
              <w:rPr>
                <w:rFonts w:hint="eastAsia"/>
                <w:sz w:val="18"/>
                <w:szCs w:val="18"/>
              </w:rPr>
              <w:t>欧盟</w:t>
            </w:r>
            <w:r>
              <w:rPr>
                <w:rFonts w:hint="eastAsia"/>
                <w:sz w:val="18"/>
                <w:szCs w:val="18"/>
              </w:rPr>
              <w:t>CE</w:t>
            </w:r>
            <w:r>
              <w:rPr>
                <w:rFonts w:hint="eastAsia"/>
                <w:sz w:val="18"/>
                <w:szCs w:val="18"/>
              </w:rPr>
              <w:t>产品安全认证</w:t>
            </w:r>
          </w:p>
        </w:tc>
        <w:tc>
          <w:tcPr>
            <w:tcW w:w="558" w:type="dxa"/>
            <w:tcMar>
              <w:top w:w="0" w:type="dxa"/>
              <w:bottom w:w="0" w:type="dxa"/>
            </w:tcMar>
            <w:vAlign w:val="center"/>
          </w:tcPr>
          <w:p w14:paraId="613338A1"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05105747" w14:textId="77777777" w:rsidR="004B0883" w:rsidRDefault="004B0883">
            <w:pPr>
              <w:widowControl w:val="0"/>
              <w:adjustRightInd w:val="0"/>
              <w:snapToGrid w:val="0"/>
              <w:rPr>
                <w:rFonts w:hint="eastAsia"/>
                <w:sz w:val="18"/>
                <w:szCs w:val="18"/>
              </w:rPr>
            </w:pPr>
            <w:r>
              <w:rPr>
                <w:rFonts w:hint="eastAsia"/>
                <w:sz w:val="18"/>
                <w:szCs w:val="18"/>
              </w:rPr>
              <w:t>欧洲共同体（</w:t>
            </w:r>
            <w:r>
              <w:rPr>
                <w:rFonts w:hint="eastAsia"/>
                <w:sz w:val="18"/>
                <w:szCs w:val="18"/>
              </w:rPr>
              <w:t>European</w:t>
            </w:r>
            <w:r>
              <w:rPr>
                <w:sz w:val="18"/>
                <w:szCs w:val="18"/>
              </w:rPr>
              <w:t xml:space="preserve"> </w:t>
            </w:r>
            <w:r>
              <w:rPr>
                <w:rFonts w:hint="eastAsia"/>
                <w:sz w:val="18"/>
                <w:szCs w:val="18"/>
              </w:rPr>
              <w:t>Conformity</w:t>
            </w:r>
            <w:r>
              <w:rPr>
                <w:rFonts w:hint="eastAsia"/>
                <w:sz w:val="18"/>
                <w:szCs w:val="18"/>
              </w:rPr>
              <w:t>），是产品进入欧盟及欧洲贸易自由区国家市场的通行证</w:t>
            </w:r>
          </w:p>
        </w:tc>
      </w:tr>
      <w:tr w:rsidR="004B0883" w14:paraId="7D631C98" w14:textId="77777777">
        <w:trPr>
          <w:trHeight w:val="340"/>
          <w:jc w:val="center"/>
        </w:trPr>
        <w:tc>
          <w:tcPr>
            <w:tcW w:w="1622" w:type="dxa"/>
            <w:tcMar>
              <w:top w:w="0" w:type="dxa"/>
              <w:bottom w:w="0" w:type="dxa"/>
            </w:tcMar>
            <w:vAlign w:val="center"/>
          </w:tcPr>
          <w:p w14:paraId="5B40819C" w14:textId="77777777" w:rsidR="004B0883" w:rsidRDefault="004B0883">
            <w:pPr>
              <w:widowControl w:val="0"/>
              <w:adjustRightInd w:val="0"/>
              <w:snapToGrid w:val="0"/>
              <w:rPr>
                <w:rFonts w:hint="eastAsia"/>
                <w:sz w:val="18"/>
                <w:szCs w:val="18"/>
              </w:rPr>
            </w:pPr>
            <w:r>
              <w:rPr>
                <w:rFonts w:hint="eastAsia"/>
                <w:sz w:val="18"/>
                <w:szCs w:val="18"/>
              </w:rPr>
              <w:t>英国</w:t>
            </w:r>
            <w:r>
              <w:rPr>
                <w:rFonts w:hint="eastAsia"/>
                <w:sz w:val="18"/>
                <w:szCs w:val="18"/>
              </w:rPr>
              <w:t>WRAS</w:t>
            </w:r>
            <w:r>
              <w:rPr>
                <w:rFonts w:hint="eastAsia"/>
                <w:sz w:val="18"/>
                <w:szCs w:val="18"/>
              </w:rPr>
              <w:t>饮用水认证</w:t>
            </w:r>
          </w:p>
        </w:tc>
        <w:tc>
          <w:tcPr>
            <w:tcW w:w="558" w:type="dxa"/>
            <w:tcMar>
              <w:top w:w="0" w:type="dxa"/>
              <w:bottom w:w="0" w:type="dxa"/>
            </w:tcMar>
            <w:vAlign w:val="center"/>
          </w:tcPr>
          <w:p w14:paraId="54B9249F"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5DBED7A1" w14:textId="77777777" w:rsidR="004B0883" w:rsidRDefault="004B0883">
            <w:pPr>
              <w:widowControl w:val="0"/>
              <w:adjustRightInd w:val="0"/>
              <w:snapToGrid w:val="0"/>
              <w:rPr>
                <w:rFonts w:hint="eastAsia"/>
                <w:sz w:val="18"/>
                <w:szCs w:val="18"/>
              </w:rPr>
            </w:pPr>
            <w:r>
              <w:rPr>
                <w:rFonts w:hint="eastAsia"/>
                <w:sz w:val="18"/>
                <w:szCs w:val="18"/>
              </w:rPr>
              <w:t>英国水务中心</w:t>
            </w:r>
            <w:r>
              <w:rPr>
                <w:rFonts w:hint="eastAsia"/>
                <w:sz w:val="18"/>
                <w:szCs w:val="18"/>
              </w:rPr>
              <w:t>WRc-nsf</w:t>
            </w:r>
            <w:r>
              <w:rPr>
                <w:rFonts w:hint="eastAsia"/>
                <w:sz w:val="18"/>
                <w:szCs w:val="18"/>
              </w:rPr>
              <w:t>管理和颁发的饮用水安全方面的认证，是通往英国市场的必备许可证明</w:t>
            </w:r>
          </w:p>
        </w:tc>
      </w:tr>
      <w:tr w:rsidR="004B0883" w14:paraId="018588F7" w14:textId="77777777">
        <w:trPr>
          <w:trHeight w:val="340"/>
          <w:jc w:val="center"/>
        </w:trPr>
        <w:tc>
          <w:tcPr>
            <w:tcW w:w="1622" w:type="dxa"/>
            <w:tcMar>
              <w:top w:w="0" w:type="dxa"/>
              <w:bottom w:w="0" w:type="dxa"/>
            </w:tcMar>
            <w:vAlign w:val="center"/>
          </w:tcPr>
          <w:p w14:paraId="5E4CDCA4" w14:textId="77777777" w:rsidR="004B0883" w:rsidRDefault="004B0883">
            <w:pPr>
              <w:widowControl w:val="0"/>
              <w:adjustRightInd w:val="0"/>
              <w:snapToGrid w:val="0"/>
              <w:rPr>
                <w:rFonts w:hint="eastAsia"/>
                <w:sz w:val="18"/>
                <w:szCs w:val="18"/>
              </w:rPr>
            </w:pPr>
            <w:r>
              <w:rPr>
                <w:rFonts w:hint="eastAsia"/>
                <w:sz w:val="18"/>
                <w:szCs w:val="18"/>
              </w:rPr>
              <w:t>美国</w:t>
            </w:r>
            <w:r>
              <w:rPr>
                <w:rFonts w:hint="eastAsia"/>
                <w:sz w:val="18"/>
                <w:szCs w:val="18"/>
              </w:rPr>
              <w:t>UL</w:t>
            </w:r>
            <w:r>
              <w:rPr>
                <w:rFonts w:hint="eastAsia"/>
                <w:sz w:val="18"/>
                <w:szCs w:val="18"/>
              </w:rPr>
              <w:t>认证</w:t>
            </w:r>
          </w:p>
        </w:tc>
        <w:tc>
          <w:tcPr>
            <w:tcW w:w="558" w:type="dxa"/>
            <w:tcMar>
              <w:top w:w="0" w:type="dxa"/>
              <w:bottom w:w="0" w:type="dxa"/>
            </w:tcMar>
            <w:vAlign w:val="center"/>
          </w:tcPr>
          <w:p w14:paraId="45B96F4C"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75EF89C7" w14:textId="77777777" w:rsidR="004B0883" w:rsidRDefault="004B0883">
            <w:pPr>
              <w:widowControl w:val="0"/>
              <w:adjustRightInd w:val="0"/>
              <w:snapToGrid w:val="0"/>
              <w:rPr>
                <w:rFonts w:hint="eastAsia"/>
                <w:sz w:val="18"/>
                <w:szCs w:val="18"/>
              </w:rPr>
            </w:pPr>
            <w:r>
              <w:rPr>
                <w:rFonts w:hint="eastAsia"/>
                <w:sz w:val="18"/>
                <w:szCs w:val="18"/>
              </w:rPr>
              <w:t>美国保险商试验所（</w:t>
            </w:r>
            <w:r>
              <w:rPr>
                <w:rFonts w:hint="eastAsia"/>
                <w:sz w:val="18"/>
                <w:szCs w:val="18"/>
              </w:rPr>
              <w:t>Underwriter</w:t>
            </w:r>
            <w:r>
              <w:rPr>
                <w:sz w:val="18"/>
                <w:szCs w:val="18"/>
              </w:rPr>
              <w:t xml:space="preserve"> </w:t>
            </w:r>
            <w:r>
              <w:rPr>
                <w:rFonts w:hint="eastAsia"/>
                <w:sz w:val="18"/>
                <w:szCs w:val="18"/>
              </w:rPr>
              <w:t>Laboratories</w:t>
            </w:r>
            <w:r>
              <w:rPr>
                <w:sz w:val="18"/>
                <w:szCs w:val="18"/>
              </w:rPr>
              <w:t xml:space="preserve"> </w:t>
            </w:r>
            <w:r>
              <w:rPr>
                <w:rFonts w:hint="eastAsia"/>
                <w:sz w:val="18"/>
                <w:szCs w:val="18"/>
              </w:rPr>
              <w:t>Inc.</w:t>
            </w:r>
            <w:r>
              <w:rPr>
                <w:rFonts w:hint="eastAsia"/>
                <w:sz w:val="18"/>
                <w:szCs w:val="18"/>
              </w:rPr>
              <w:t>）是美国最有权威的，独立的、非营利的、为公共安全做试验的专业机构，主要是产品安全性能方面的检测和认证</w:t>
            </w:r>
          </w:p>
        </w:tc>
      </w:tr>
      <w:tr w:rsidR="004B0883" w14:paraId="34DCDD15" w14:textId="77777777">
        <w:trPr>
          <w:trHeight w:val="340"/>
          <w:jc w:val="center"/>
        </w:trPr>
        <w:tc>
          <w:tcPr>
            <w:tcW w:w="1622" w:type="dxa"/>
            <w:tcMar>
              <w:top w:w="0" w:type="dxa"/>
              <w:bottom w:w="0" w:type="dxa"/>
            </w:tcMar>
            <w:vAlign w:val="center"/>
          </w:tcPr>
          <w:p w14:paraId="7AE40DF8" w14:textId="77777777" w:rsidR="004B0883" w:rsidRDefault="004B0883">
            <w:pPr>
              <w:widowControl w:val="0"/>
              <w:adjustRightInd w:val="0"/>
              <w:snapToGrid w:val="0"/>
              <w:rPr>
                <w:rFonts w:hint="eastAsia"/>
                <w:sz w:val="18"/>
                <w:szCs w:val="18"/>
              </w:rPr>
            </w:pPr>
            <w:r>
              <w:rPr>
                <w:rFonts w:hint="eastAsia"/>
                <w:sz w:val="18"/>
                <w:szCs w:val="18"/>
              </w:rPr>
              <w:t>美国</w:t>
            </w:r>
            <w:r>
              <w:rPr>
                <w:rFonts w:hint="eastAsia"/>
                <w:sz w:val="18"/>
                <w:szCs w:val="18"/>
              </w:rPr>
              <w:t>FM</w:t>
            </w:r>
            <w:r>
              <w:rPr>
                <w:rFonts w:hint="eastAsia"/>
                <w:sz w:val="18"/>
                <w:szCs w:val="18"/>
              </w:rPr>
              <w:t>认证</w:t>
            </w:r>
          </w:p>
        </w:tc>
        <w:tc>
          <w:tcPr>
            <w:tcW w:w="558" w:type="dxa"/>
            <w:tcMar>
              <w:top w:w="0" w:type="dxa"/>
              <w:bottom w:w="0" w:type="dxa"/>
            </w:tcMar>
            <w:vAlign w:val="center"/>
          </w:tcPr>
          <w:p w14:paraId="19F8E3AD"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7C43172C" w14:textId="77777777" w:rsidR="004B0883" w:rsidRDefault="004B0883">
            <w:pPr>
              <w:widowControl w:val="0"/>
              <w:adjustRightInd w:val="0"/>
              <w:snapToGrid w:val="0"/>
              <w:rPr>
                <w:rFonts w:hint="eastAsia"/>
                <w:sz w:val="18"/>
                <w:szCs w:val="18"/>
              </w:rPr>
            </w:pPr>
            <w:r>
              <w:rPr>
                <w:rFonts w:hint="eastAsia"/>
                <w:sz w:val="18"/>
                <w:szCs w:val="18"/>
              </w:rPr>
              <w:t>FM</w:t>
            </w:r>
            <w:r>
              <w:rPr>
                <w:rFonts w:hint="eastAsia"/>
                <w:sz w:val="18"/>
                <w:szCs w:val="18"/>
              </w:rPr>
              <w:t>全球公司通过其所属的</w:t>
            </w:r>
            <w:r>
              <w:rPr>
                <w:rFonts w:ascii="宋体" w:hAnsi="宋体" w:hint="eastAsia"/>
                <w:sz w:val="18"/>
                <w:szCs w:val="18"/>
              </w:rPr>
              <w:t>“</w:t>
            </w:r>
            <w:r>
              <w:rPr>
                <w:rFonts w:hint="eastAsia"/>
                <w:sz w:val="18"/>
                <w:szCs w:val="18"/>
              </w:rPr>
              <w:t>FM</w:t>
            </w:r>
            <w:r>
              <w:rPr>
                <w:rFonts w:hint="eastAsia"/>
                <w:sz w:val="18"/>
                <w:szCs w:val="18"/>
              </w:rPr>
              <w:t>认可</w:t>
            </w:r>
            <w:r>
              <w:rPr>
                <w:rFonts w:ascii="宋体" w:hAnsi="宋体" w:hint="eastAsia"/>
                <w:sz w:val="18"/>
                <w:szCs w:val="18"/>
              </w:rPr>
              <w:t>”</w:t>
            </w:r>
            <w:r>
              <w:rPr>
                <w:rFonts w:hint="eastAsia"/>
                <w:sz w:val="18"/>
                <w:szCs w:val="18"/>
              </w:rPr>
              <w:t>（</w:t>
            </w:r>
            <w:r>
              <w:rPr>
                <w:rFonts w:hint="eastAsia"/>
                <w:sz w:val="18"/>
                <w:szCs w:val="18"/>
              </w:rPr>
              <w:t>FM</w:t>
            </w:r>
            <w:r>
              <w:rPr>
                <w:sz w:val="18"/>
                <w:szCs w:val="18"/>
              </w:rPr>
              <w:t xml:space="preserve"> </w:t>
            </w:r>
            <w:r>
              <w:rPr>
                <w:rFonts w:hint="eastAsia"/>
                <w:sz w:val="18"/>
                <w:szCs w:val="18"/>
              </w:rPr>
              <w:t>Approvals</w:t>
            </w:r>
            <w:r>
              <w:rPr>
                <w:rFonts w:hint="eastAsia"/>
                <w:sz w:val="18"/>
                <w:szCs w:val="18"/>
              </w:rPr>
              <w:t>）机构向全球的工业及商业产品提供检测及认证服务。</w:t>
            </w:r>
            <w:r>
              <w:rPr>
                <w:rFonts w:ascii="宋体" w:hAnsi="宋体" w:hint="eastAsia"/>
                <w:sz w:val="18"/>
                <w:szCs w:val="18"/>
              </w:rPr>
              <w:t>“</w:t>
            </w:r>
            <w:r>
              <w:rPr>
                <w:rFonts w:hint="eastAsia"/>
                <w:sz w:val="18"/>
                <w:szCs w:val="18"/>
              </w:rPr>
              <w:t>FM</w:t>
            </w:r>
            <w:r>
              <w:rPr>
                <w:rFonts w:hint="eastAsia"/>
                <w:sz w:val="18"/>
                <w:szCs w:val="18"/>
              </w:rPr>
              <w:t>认可</w:t>
            </w:r>
            <w:r>
              <w:rPr>
                <w:rFonts w:ascii="宋体" w:hAnsi="宋体" w:hint="eastAsia"/>
                <w:sz w:val="18"/>
                <w:szCs w:val="18"/>
              </w:rPr>
              <w:t>”</w:t>
            </w:r>
            <w:r>
              <w:rPr>
                <w:rFonts w:hint="eastAsia"/>
                <w:sz w:val="18"/>
                <w:szCs w:val="18"/>
              </w:rPr>
              <w:t>证书在全球范围内被普遍承认，向消费者表明该产品或服务已经通过美国和国际最高标准的检测</w:t>
            </w:r>
          </w:p>
        </w:tc>
      </w:tr>
      <w:tr w:rsidR="004B0883" w14:paraId="0936FB09" w14:textId="77777777">
        <w:trPr>
          <w:trHeight w:val="340"/>
          <w:jc w:val="center"/>
        </w:trPr>
        <w:tc>
          <w:tcPr>
            <w:tcW w:w="1622" w:type="dxa"/>
            <w:tcMar>
              <w:top w:w="0" w:type="dxa"/>
              <w:bottom w:w="0" w:type="dxa"/>
            </w:tcMar>
            <w:vAlign w:val="center"/>
          </w:tcPr>
          <w:p w14:paraId="181A5043" w14:textId="77777777" w:rsidR="004B0883" w:rsidRDefault="004B0883">
            <w:pPr>
              <w:widowControl w:val="0"/>
              <w:adjustRightInd w:val="0"/>
              <w:snapToGrid w:val="0"/>
              <w:rPr>
                <w:rFonts w:hint="eastAsia"/>
                <w:sz w:val="18"/>
                <w:szCs w:val="18"/>
              </w:rPr>
            </w:pPr>
            <w:r>
              <w:rPr>
                <w:rFonts w:hint="eastAsia"/>
                <w:sz w:val="18"/>
                <w:szCs w:val="18"/>
              </w:rPr>
              <w:t>美国</w:t>
            </w:r>
            <w:r>
              <w:rPr>
                <w:rFonts w:hint="eastAsia"/>
                <w:sz w:val="18"/>
                <w:szCs w:val="18"/>
              </w:rPr>
              <w:t>NSF</w:t>
            </w:r>
            <w:r>
              <w:rPr>
                <w:rFonts w:hint="eastAsia"/>
                <w:sz w:val="18"/>
                <w:szCs w:val="18"/>
              </w:rPr>
              <w:t>认证</w:t>
            </w:r>
          </w:p>
        </w:tc>
        <w:tc>
          <w:tcPr>
            <w:tcW w:w="558" w:type="dxa"/>
            <w:tcMar>
              <w:top w:w="0" w:type="dxa"/>
              <w:bottom w:w="0" w:type="dxa"/>
            </w:tcMar>
            <w:vAlign w:val="center"/>
          </w:tcPr>
          <w:p w14:paraId="4485E7D1"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601B0FB8" w14:textId="77777777" w:rsidR="004B0883" w:rsidRDefault="004B0883">
            <w:pPr>
              <w:widowControl w:val="0"/>
              <w:adjustRightInd w:val="0"/>
              <w:snapToGrid w:val="0"/>
              <w:rPr>
                <w:rFonts w:hint="eastAsia"/>
                <w:sz w:val="18"/>
                <w:szCs w:val="18"/>
              </w:rPr>
            </w:pPr>
            <w:r>
              <w:rPr>
                <w:rFonts w:hint="eastAsia"/>
                <w:sz w:val="18"/>
                <w:szCs w:val="18"/>
              </w:rPr>
              <w:t>美国全国卫生基金（</w:t>
            </w:r>
            <w:r>
              <w:rPr>
                <w:rFonts w:hint="eastAsia"/>
                <w:sz w:val="18"/>
                <w:szCs w:val="18"/>
              </w:rPr>
              <w:t>National</w:t>
            </w:r>
            <w:r>
              <w:rPr>
                <w:sz w:val="18"/>
                <w:szCs w:val="18"/>
              </w:rPr>
              <w:t xml:space="preserve"> </w:t>
            </w:r>
            <w:r>
              <w:rPr>
                <w:rFonts w:hint="eastAsia"/>
                <w:sz w:val="18"/>
                <w:szCs w:val="18"/>
              </w:rPr>
              <w:t>Sanitation</w:t>
            </w:r>
            <w:r>
              <w:rPr>
                <w:sz w:val="18"/>
                <w:szCs w:val="18"/>
              </w:rPr>
              <w:t xml:space="preserve"> </w:t>
            </w:r>
            <w:r>
              <w:rPr>
                <w:rFonts w:hint="eastAsia"/>
                <w:sz w:val="18"/>
                <w:szCs w:val="18"/>
              </w:rPr>
              <w:t>Foundation</w:t>
            </w:r>
            <w:r>
              <w:rPr>
                <w:rFonts w:hint="eastAsia"/>
                <w:sz w:val="18"/>
                <w:szCs w:val="18"/>
              </w:rPr>
              <w:t>）专注于公共卫生、安全、环境保护领域的标准制订、产品测试和认证服务工作，是公共卫生与安全领域的权威机构</w:t>
            </w:r>
          </w:p>
        </w:tc>
      </w:tr>
      <w:tr w:rsidR="004B0883" w14:paraId="62D36740" w14:textId="77777777">
        <w:trPr>
          <w:trHeight w:val="340"/>
          <w:jc w:val="center"/>
        </w:trPr>
        <w:tc>
          <w:tcPr>
            <w:tcW w:w="1622" w:type="dxa"/>
            <w:tcMar>
              <w:top w:w="0" w:type="dxa"/>
              <w:bottom w:w="0" w:type="dxa"/>
            </w:tcMar>
            <w:vAlign w:val="center"/>
          </w:tcPr>
          <w:p w14:paraId="1D493F0B" w14:textId="77777777" w:rsidR="004B0883" w:rsidRDefault="004B0883">
            <w:pPr>
              <w:widowControl w:val="0"/>
              <w:adjustRightInd w:val="0"/>
              <w:snapToGrid w:val="0"/>
              <w:rPr>
                <w:rFonts w:hint="eastAsia"/>
                <w:sz w:val="18"/>
                <w:szCs w:val="18"/>
              </w:rPr>
            </w:pPr>
            <w:r>
              <w:rPr>
                <w:rFonts w:hint="eastAsia"/>
                <w:sz w:val="18"/>
                <w:szCs w:val="18"/>
              </w:rPr>
              <w:t>加拿大</w:t>
            </w:r>
            <w:r>
              <w:rPr>
                <w:rFonts w:hint="eastAsia"/>
                <w:sz w:val="18"/>
                <w:szCs w:val="18"/>
              </w:rPr>
              <w:t>UL</w:t>
            </w:r>
            <w:r>
              <w:rPr>
                <w:rFonts w:hint="eastAsia"/>
                <w:sz w:val="18"/>
                <w:szCs w:val="18"/>
              </w:rPr>
              <w:t>认证</w:t>
            </w:r>
          </w:p>
        </w:tc>
        <w:tc>
          <w:tcPr>
            <w:tcW w:w="558" w:type="dxa"/>
            <w:tcMar>
              <w:top w:w="0" w:type="dxa"/>
              <w:bottom w:w="0" w:type="dxa"/>
            </w:tcMar>
            <w:vAlign w:val="center"/>
          </w:tcPr>
          <w:p w14:paraId="1E045A5F"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280BAC08" w14:textId="77777777" w:rsidR="004B0883" w:rsidRDefault="004B0883">
            <w:pPr>
              <w:widowControl w:val="0"/>
              <w:adjustRightInd w:val="0"/>
              <w:snapToGrid w:val="0"/>
              <w:rPr>
                <w:rFonts w:hint="eastAsia"/>
                <w:sz w:val="18"/>
                <w:szCs w:val="18"/>
              </w:rPr>
            </w:pPr>
            <w:r>
              <w:rPr>
                <w:rFonts w:hint="eastAsia"/>
                <w:sz w:val="18"/>
                <w:szCs w:val="18"/>
              </w:rPr>
              <w:t>加拿大</w:t>
            </w:r>
            <w:r>
              <w:rPr>
                <w:rFonts w:hint="eastAsia"/>
                <w:sz w:val="18"/>
                <w:szCs w:val="18"/>
              </w:rPr>
              <w:t>UL</w:t>
            </w:r>
            <w:r>
              <w:rPr>
                <w:rFonts w:hint="eastAsia"/>
                <w:sz w:val="18"/>
                <w:szCs w:val="18"/>
              </w:rPr>
              <w:t>分类认证标志适用于行将进入加拿大市场的产品，表明</w:t>
            </w:r>
            <w:r>
              <w:rPr>
                <w:rFonts w:hint="eastAsia"/>
                <w:sz w:val="18"/>
                <w:szCs w:val="18"/>
              </w:rPr>
              <w:t>UL</w:t>
            </w:r>
            <w:r>
              <w:rPr>
                <w:rFonts w:hint="eastAsia"/>
                <w:sz w:val="18"/>
                <w:szCs w:val="18"/>
              </w:rPr>
              <w:t>机构已采用加拿大安全标准对其进行过检测</w:t>
            </w:r>
          </w:p>
        </w:tc>
      </w:tr>
      <w:tr w:rsidR="004B0883" w14:paraId="3793BDB1" w14:textId="77777777">
        <w:trPr>
          <w:trHeight w:val="340"/>
          <w:jc w:val="center"/>
        </w:trPr>
        <w:tc>
          <w:tcPr>
            <w:tcW w:w="1622" w:type="dxa"/>
            <w:tcMar>
              <w:top w:w="0" w:type="dxa"/>
              <w:bottom w:w="0" w:type="dxa"/>
            </w:tcMar>
            <w:vAlign w:val="center"/>
          </w:tcPr>
          <w:p w14:paraId="632CF2DE" w14:textId="77777777" w:rsidR="004B0883" w:rsidRDefault="004B0883">
            <w:pPr>
              <w:widowControl w:val="0"/>
              <w:adjustRightInd w:val="0"/>
              <w:snapToGrid w:val="0"/>
              <w:rPr>
                <w:rFonts w:hint="eastAsia"/>
                <w:sz w:val="18"/>
                <w:szCs w:val="18"/>
              </w:rPr>
            </w:pPr>
            <w:r>
              <w:rPr>
                <w:rFonts w:hint="eastAsia"/>
                <w:sz w:val="18"/>
                <w:szCs w:val="18"/>
              </w:rPr>
              <w:t>澳大利亚</w:t>
            </w:r>
            <w:r>
              <w:rPr>
                <w:rFonts w:hint="eastAsia"/>
                <w:sz w:val="18"/>
                <w:szCs w:val="18"/>
              </w:rPr>
              <w:t>IAPMO</w:t>
            </w:r>
            <w:r>
              <w:rPr>
                <w:rFonts w:hint="eastAsia"/>
                <w:sz w:val="18"/>
                <w:szCs w:val="18"/>
              </w:rPr>
              <w:t>审核</w:t>
            </w:r>
            <w:r>
              <w:rPr>
                <w:rFonts w:hint="eastAsia"/>
                <w:sz w:val="18"/>
                <w:szCs w:val="18"/>
              </w:rPr>
              <w:t>Water</w:t>
            </w:r>
            <w:r>
              <w:rPr>
                <w:sz w:val="18"/>
                <w:szCs w:val="18"/>
              </w:rPr>
              <w:t xml:space="preserve"> </w:t>
            </w:r>
            <w:r>
              <w:rPr>
                <w:rFonts w:hint="eastAsia"/>
                <w:sz w:val="18"/>
                <w:szCs w:val="18"/>
              </w:rPr>
              <w:t>Mark</w:t>
            </w:r>
            <w:r>
              <w:rPr>
                <w:rFonts w:hint="eastAsia"/>
                <w:sz w:val="18"/>
                <w:szCs w:val="18"/>
              </w:rPr>
              <w:t>认证</w:t>
            </w:r>
          </w:p>
        </w:tc>
        <w:tc>
          <w:tcPr>
            <w:tcW w:w="558" w:type="dxa"/>
            <w:tcMar>
              <w:top w:w="0" w:type="dxa"/>
              <w:bottom w:w="0" w:type="dxa"/>
            </w:tcMar>
            <w:vAlign w:val="center"/>
          </w:tcPr>
          <w:p w14:paraId="4E6E08B6"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6E5114B1" w14:textId="77777777" w:rsidR="004B0883" w:rsidRDefault="004B0883">
            <w:pPr>
              <w:widowControl w:val="0"/>
              <w:adjustRightInd w:val="0"/>
              <w:snapToGrid w:val="0"/>
              <w:rPr>
                <w:rFonts w:hint="eastAsia"/>
                <w:sz w:val="18"/>
                <w:szCs w:val="18"/>
              </w:rPr>
            </w:pPr>
            <w:r>
              <w:rPr>
                <w:rFonts w:hint="eastAsia"/>
                <w:sz w:val="18"/>
                <w:szCs w:val="18"/>
              </w:rPr>
              <w:t>澳大利亚标准局（</w:t>
            </w:r>
            <w:r>
              <w:rPr>
                <w:rFonts w:hint="eastAsia"/>
                <w:sz w:val="18"/>
                <w:szCs w:val="18"/>
              </w:rPr>
              <w:t>Standards</w:t>
            </w:r>
            <w:r>
              <w:rPr>
                <w:sz w:val="18"/>
                <w:szCs w:val="18"/>
              </w:rPr>
              <w:t xml:space="preserve"> </w:t>
            </w:r>
            <w:r>
              <w:rPr>
                <w:rFonts w:hint="eastAsia"/>
                <w:sz w:val="18"/>
                <w:szCs w:val="18"/>
              </w:rPr>
              <w:t>Australia Limited</w:t>
            </w:r>
            <w:r>
              <w:rPr>
                <w:rFonts w:hint="eastAsia"/>
                <w:sz w:val="18"/>
                <w:szCs w:val="18"/>
              </w:rPr>
              <w:t>）的认证标志，它确保产品符合澳洲相关的卫浴法规以及产品标准</w:t>
            </w:r>
          </w:p>
        </w:tc>
      </w:tr>
      <w:tr w:rsidR="004B0883" w14:paraId="31A6ACEB" w14:textId="77777777">
        <w:trPr>
          <w:trHeight w:val="340"/>
          <w:jc w:val="center"/>
        </w:trPr>
        <w:tc>
          <w:tcPr>
            <w:tcW w:w="1622" w:type="dxa"/>
            <w:tcMar>
              <w:top w:w="0" w:type="dxa"/>
              <w:bottom w:w="0" w:type="dxa"/>
            </w:tcMar>
            <w:vAlign w:val="center"/>
          </w:tcPr>
          <w:p w14:paraId="39E0FEA7" w14:textId="77777777" w:rsidR="004B0883" w:rsidRDefault="004B0883">
            <w:pPr>
              <w:widowControl w:val="0"/>
              <w:adjustRightInd w:val="0"/>
              <w:snapToGrid w:val="0"/>
              <w:rPr>
                <w:rFonts w:hint="eastAsia"/>
                <w:sz w:val="18"/>
                <w:szCs w:val="18"/>
              </w:rPr>
            </w:pPr>
            <w:r>
              <w:rPr>
                <w:rFonts w:hint="eastAsia"/>
                <w:sz w:val="18"/>
                <w:szCs w:val="18"/>
              </w:rPr>
              <w:t>AGA\Ocean</w:t>
            </w:r>
            <w:r>
              <w:rPr>
                <w:sz w:val="18"/>
                <w:szCs w:val="18"/>
              </w:rPr>
              <w:t xml:space="preserve"> </w:t>
            </w:r>
            <w:r>
              <w:rPr>
                <w:rFonts w:hint="eastAsia"/>
                <w:sz w:val="18"/>
                <w:szCs w:val="18"/>
              </w:rPr>
              <w:t>Mark</w:t>
            </w:r>
            <w:r>
              <w:rPr>
                <w:rFonts w:hint="eastAsia"/>
                <w:sz w:val="18"/>
                <w:szCs w:val="18"/>
              </w:rPr>
              <w:t>认证</w:t>
            </w:r>
          </w:p>
        </w:tc>
        <w:tc>
          <w:tcPr>
            <w:tcW w:w="558" w:type="dxa"/>
            <w:tcMar>
              <w:top w:w="0" w:type="dxa"/>
              <w:bottom w:w="0" w:type="dxa"/>
            </w:tcMar>
            <w:vAlign w:val="center"/>
          </w:tcPr>
          <w:p w14:paraId="07960DDC"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229E6573" w14:textId="77777777" w:rsidR="004B0883" w:rsidRDefault="004B0883">
            <w:pPr>
              <w:widowControl w:val="0"/>
              <w:adjustRightInd w:val="0"/>
              <w:snapToGrid w:val="0"/>
              <w:rPr>
                <w:rFonts w:hint="eastAsia"/>
                <w:sz w:val="18"/>
                <w:szCs w:val="18"/>
              </w:rPr>
            </w:pPr>
            <w:r>
              <w:rPr>
                <w:rFonts w:hint="eastAsia"/>
                <w:sz w:val="18"/>
                <w:szCs w:val="18"/>
              </w:rPr>
              <w:t>澳大利亚天然气协会（</w:t>
            </w:r>
            <w:r>
              <w:rPr>
                <w:sz w:val="18"/>
                <w:szCs w:val="18"/>
              </w:rPr>
              <w:t>The Australian Gas Association</w:t>
            </w:r>
            <w:r>
              <w:rPr>
                <w:rFonts w:hint="eastAsia"/>
                <w:sz w:val="18"/>
                <w:szCs w:val="18"/>
              </w:rPr>
              <w:t>）的认证标志</w:t>
            </w:r>
          </w:p>
        </w:tc>
      </w:tr>
      <w:tr w:rsidR="004B0883" w14:paraId="54A57833" w14:textId="77777777">
        <w:trPr>
          <w:trHeight w:val="340"/>
          <w:jc w:val="center"/>
        </w:trPr>
        <w:tc>
          <w:tcPr>
            <w:tcW w:w="1622" w:type="dxa"/>
            <w:tcMar>
              <w:top w:w="0" w:type="dxa"/>
              <w:bottom w:w="0" w:type="dxa"/>
            </w:tcMar>
            <w:vAlign w:val="center"/>
          </w:tcPr>
          <w:p w14:paraId="6244796D" w14:textId="77777777" w:rsidR="004B0883" w:rsidRDefault="004B0883">
            <w:pPr>
              <w:widowControl w:val="0"/>
              <w:adjustRightInd w:val="0"/>
              <w:snapToGrid w:val="0"/>
              <w:rPr>
                <w:rFonts w:hint="eastAsia"/>
                <w:sz w:val="18"/>
                <w:szCs w:val="18"/>
              </w:rPr>
            </w:pPr>
            <w:r>
              <w:rPr>
                <w:rFonts w:hint="eastAsia"/>
                <w:sz w:val="18"/>
                <w:szCs w:val="18"/>
              </w:rPr>
              <w:t>中国船级社型式认可证书</w:t>
            </w:r>
          </w:p>
        </w:tc>
        <w:tc>
          <w:tcPr>
            <w:tcW w:w="558" w:type="dxa"/>
            <w:tcMar>
              <w:top w:w="0" w:type="dxa"/>
              <w:bottom w:w="0" w:type="dxa"/>
            </w:tcMar>
            <w:vAlign w:val="center"/>
          </w:tcPr>
          <w:p w14:paraId="77F3446E"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4A951723" w14:textId="77777777" w:rsidR="004B0883" w:rsidRDefault="004B0883">
            <w:pPr>
              <w:widowControl w:val="0"/>
              <w:adjustRightInd w:val="0"/>
              <w:snapToGrid w:val="0"/>
              <w:rPr>
                <w:rFonts w:hint="eastAsia"/>
                <w:sz w:val="18"/>
                <w:szCs w:val="18"/>
              </w:rPr>
            </w:pPr>
            <w:r>
              <w:rPr>
                <w:rFonts w:hint="eastAsia"/>
                <w:sz w:val="18"/>
                <w:szCs w:val="18"/>
              </w:rPr>
              <w:t>中国船级社（</w:t>
            </w:r>
            <w:r>
              <w:rPr>
                <w:rFonts w:hint="eastAsia"/>
                <w:sz w:val="18"/>
                <w:szCs w:val="18"/>
              </w:rPr>
              <w:t>CCS</w:t>
            </w:r>
            <w:r>
              <w:rPr>
                <w:rFonts w:hint="eastAsia"/>
                <w:sz w:val="18"/>
                <w:szCs w:val="18"/>
              </w:rPr>
              <w:t>）通过产品的设计评估和制造评估，以确认制造厂具备持续生产符合</w:t>
            </w:r>
            <w:r>
              <w:rPr>
                <w:rFonts w:hint="eastAsia"/>
                <w:sz w:val="18"/>
                <w:szCs w:val="18"/>
              </w:rPr>
              <w:t>CCS</w:t>
            </w:r>
            <w:r>
              <w:rPr>
                <w:rFonts w:hint="eastAsia"/>
                <w:sz w:val="18"/>
                <w:szCs w:val="18"/>
              </w:rPr>
              <w:t>规范要求或其他接受标准要求产品的能力的评定过程</w:t>
            </w:r>
          </w:p>
        </w:tc>
      </w:tr>
      <w:tr w:rsidR="004B0883" w14:paraId="709CD060" w14:textId="77777777">
        <w:trPr>
          <w:trHeight w:val="340"/>
          <w:jc w:val="center"/>
        </w:trPr>
        <w:tc>
          <w:tcPr>
            <w:tcW w:w="1622" w:type="dxa"/>
            <w:tcMar>
              <w:top w:w="0" w:type="dxa"/>
              <w:bottom w:w="0" w:type="dxa"/>
            </w:tcMar>
            <w:vAlign w:val="center"/>
          </w:tcPr>
          <w:p w14:paraId="6B01183D" w14:textId="77777777" w:rsidR="004B0883" w:rsidRDefault="004B0883">
            <w:pPr>
              <w:widowControl w:val="0"/>
              <w:adjustRightInd w:val="0"/>
              <w:snapToGrid w:val="0"/>
              <w:rPr>
                <w:rFonts w:hint="eastAsia"/>
                <w:sz w:val="18"/>
                <w:szCs w:val="18"/>
              </w:rPr>
            </w:pPr>
            <w:r>
              <w:rPr>
                <w:rFonts w:hint="eastAsia"/>
                <w:sz w:val="18"/>
                <w:szCs w:val="18"/>
              </w:rPr>
              <w:t>军选民用装备承制单位资格</w:t>
            </w:r>
          </w:p>
        </w:tc>
        <w:tc>
          <w:tcPr>
            <w:tcW w:w="558" w:type="dxa"/>
            <w:tcMar>
              <w:top w:w="0" w:type="dxa"/>
              <w:bottom w:w="0" w:type="dxa"/>
            </w:tcMar>
            <w:vAlign w:val="center"/>
          </w:tcPr>
          <w:p w14:paraId="240BC297"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7234DA04" w14:textId="77777777" w:rsidR="004B0883" w:rsidRDefault="004B0883">
            <w:pPr>
              <w:widowControl w:val="0"/>
              <w:adjustRightInd w:val="0"/>
              <w:snapToGrid w:val="0"/>
              <w:rPr>
                <w:rFonts w:hint="eastAsia"/>
                <w:sz w:val="18"/>
                <w:szCs w:val="18"/>
              </w:rPr>
            </w:pPr>
            <w:r>
              <w:rPr>
                <w:rFonts w:hint="eastAsia"/>
                <w:sz w:val="18"/>
                <w:szCs w:val="18"/>
              </w:rPr>
              <w:t>一种表示公司是能够承担武器装备及配套产品科研、生产、修理、试验及技术服务等任务的单位的认证</w:t>
            </w:r>
          </w:p>
        </w:tc>
      </w:tr>
      <w:tr w:rsidR="004B0883" w14:paraId="45BB3566" w14:textId="77777777">
        <w:trPr>
          <w:trHeight w:val="340"/>
          <w:jc w:val="center"/>
        </w:trPr>
        <w:tc>
          <w:tcPr>
            <w:tcW w:w="1622" w:type="dxa"/>
            <w:tcMar>
              <w:top w:w="0" w:type="dxa"/>
              <w:bottom w:w="0" w:type="dxa"/>
            </w:tcMar>
            <w:vAlign w:val="center"/>
          </w:tcPr>
          <w:p w14:paraId="4AF2D5B5" w14:textId="77777777" w:rsidR="004B0883" w:rsidRDefault="004B0883">
            <w:pPr>
              <w:widowControl w:val="0"/>
              <w:adjustRightInd w:val="0"/>
              <w:snapToGrid w:val="0"/>
              <w:rPr>
                <w:rFonts w:hint="eastAsia"/>
                <w:sz w:val="18"/>
                <w:szCs w:val="18"/>
              </w:rPr>
            </w:pPr>
            <w:r>
              <w:rPr>
                <w:rFonts w:hint="eastAsia"/>
                <w:sz w:val="18"/>
                <w:szCs w:val="18"/>
              </w:rPr>
              <w:t>阿联酋</w:t>
            </w:r>
            <w:r>
              <w:rPr>
                <w:rFonts w:hint="eastAsia"/>
                <w:sz w:val="18"/>
                <w:szCs w:val="18"/>
              </w:rPr>
              <w:t>Civil Defense</w:t>
            </w:r>
            <w:r>
              <w:rPr>
                <w:rFonts w:hint="eastAsia"/>
                <w:sz w:val="18"/>
                <w:szCs w:val="18"/>
              </w:rPr>
              <w:t>民防认证</w:t>
            </w:r>
          </w:p>
        </w:tc>
        <w:tc>
          <w:tcPr>
            <w:tcW w:w="558" w:type="dxa"/>
            <w:tcMar>
              <w:top w:w="0" w:type="dxa"/>
              <w:bottom w:w="0" w:type="dxa"/>
            </w:tcMar>
            <w:vAlign w:val="center"/>
          </w:tcPr>
          <w:p w14:paraId="60FD4AB5"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7027E64E" w14:textId="77777777" w:rsidR="004B0883" w:rsidRDefault="004B0883">
            <w:pPr>
              <w:widowControl w:val="0"/>
              <w:adjustRightInd w:val="0"/>
              <w:snapToGrid w:val="0"/>
              <w:rPr>
                <w:rFonts w:hint="eastAsia"/>
                <w:sz w:val="18"/>
                <w:szCs w:val="18"/>
              </w:rPr>
            </w:pPr>
            <w:r>
              <w:rPr>
                <w:rFonts w:hint="eastAsia"/>
                <w:sz w:val="18"/>
                <w:szCs w:val="18"/>
              </w:rPr>
              <w:t>一种民防认证，被视为制造商打开并进入阿联酋市场必不可少的文件</w:t>
            </w:r>
          </w:p>
        </w:tc>
      </w:tr>
      <w:tr w:rsidR="004B0883" w14:paraId="4541908C" w14:textId="77777777">
        <w:trPr>
          <w:trHeight w:val="340"/>
          <w:jc w:val="center"/>
        </w:trPr>
        <w:tc>
          <w:tcPr>
            <w:tcW w:w="1622" w:type="dxa"/>
            <w:tcMar>
              <w:top w:w="0" w:type="dxa"/>
              <w:bottom w:w="0" w:type="dxa"/>
            </w:tcMar>
            <w:vAlign w:val="center"/>
          </w:tcPr>
          <w:p w14:paraId="39FC55A8" w14:textId="77777777" w:rsidR="004B0883" w:rsidRDefault="004B0883">
            <w:pPr>
              <w:widowControl w:val="0"/>
              <w:adjustRightInd w:val="0"/>
              <w:snapToGrid w:val="0"/>
              <w:rPr>
                <w:rFonts w:hint="eastAsia"/>
                <w:sz w:val="18"/>
                <w:szCs w:val="18"/>
              </w:rPr>
            </w:pPr>
            <w:r>
              <w:rPr>
                <w:rFonts w:hint="eastAsia"/>
                <w:sz w:val="18"/>
                <w:szCs w:val="18"/>
              </w:rPr>
              <w:t>CCC</w:t>
            </w:r>
            <w:r>
              <w:rPr>
                <w:rFonts w:hint="eastAsia"/>
                <w:sz w:val="18"/>
                <w:szCs w:val="18"/>
              </w:rPr>
              <w:t>中国国家强制性产品认证证书</w:t>
            </w:r>
          </w:p>
        </w:tc>
        <w:tc>
          <w:tcPr>
            <w:tcW w:w="558" w:type="dxa"/>
            <w:tcMar>
              <w:top w:w="0" w:type="dxa"/>
              <w:bottom w:w="0" w:type="dxa"/>
            </w:tcMar>
            <w:vAlign w:val="center"/>
          </w:tcPr>
          <w:p w14:paraId="206EF270"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5B577573" w14:textId="77777777" w:rsidR="004B0883" w:rsidRDefault="004B0883">
            <w:pPr>
              <w:widowControl w:val="0"/>
              <w:adjustRightInd w:val="0"/>
              <w:snapToGrid w:val="0"/>
              <w:rPr>
                <w:rFonts w:hint="eastAsia"/>
                <w:sz w:val="18"/>
                <w:szCs w:val="18"/>
              </w:rPr>
            </w:pPr>
            <w:r>
              <w:rPr>
                <w:rFonts w:hint="eastAsia"/>
                <w:sz w:val="18"/>
                <w:szCs w:val="18"/>
              </w:rPr>
              <w:t>是中国政府为保护消费者人身安全和国家安全、加强产品质量管理、依照法律法规实施的一种产品合格评定制度</w:t>
            </w:r>
          </w:p>
        </w:tc>
      </w:tr>
      <w:tr w:rsidR="004B0883" w14:paraId="6855B2CD" w14:textId="77777777">
        <w:trPr>
          <w:trHeight w:val="340"/>
          <w:jc w:val="center"/>
        </w:trPr>
        <w:tc>
          <w:tcPr>
            <w:tcW w:w="1622" w:type="dxa"/>
            <w:tcMar>
              <w:top w:w="0" w:type="dxa"/>
              <w:bottom w:w="0" w:type="dxa"/>
            </w:tcMar>
            <w:vAlign w:val="center"/>
          </w:tcPr>
          <w:p w14:paraId="7F53278B" w14:textId="77777777" w:rsidR="004B0883" w:rsidRDefault="004B0883">
            <w:pPr>
              <w:widowControl w:val="0"/>
              <w:adjustRightInd w:val="0"/>
              <w:snapToGrid w:val="0"/>
              <w:rPr>
                <w:rFonts w:hint="eastAsia"/>
                <w:sz w:val="18"/>
                <w:szCs w:val="18"/>
              </w:rPr>
            </w:pPr>
            <w:r>
              <w:rPr>
                <w:rFonts w:hint="eastAsia"/>
                <w:sz w:val="18"/>
                <w:szCs w:val="18"/>
              </w:rPr>
              <w:t>香港水务署认证</w:t>
            </w:r>
          </w:p>
        </w:tc>
        <w:tc>
          <w:tcPr>
            <w:tcW w:w="558" w:type="dxa"/>
            <w:tcMar>
              <w:top w:w="0" w:type="dxa"/>
              <w:bottom w:w="0" w:type="dxa"/>
            </w:tcMar>
            <w:vAlign w:val="center"/>
          </w:tcPr>
          <w:p w14:paraId="3420F3C9"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6F353C42" w14:textId="77777777" w:rsidR="004B0883" w:rsidRDefault="004B0883">
            <w:pPr>
              <w:widowControl w:val="0"/>
              <w:adjustRightInd w:val="0"/>
              <w:snapToGrid w:val="0"/>
              <w:rPr>
                <w:rFonts w:hint="eastAsia"/>
                <w:sz w:val="18"/>
                <w:szCs w:val="18"/>
              </w:rPr>
            </w:pPr>
            <w:r>
              <w:rPr>
                <w:rFonts w:hint="eastAsia"/>
                <w:sz w:val="18"/>
                <w:szCs w:val="18"/>
              </w:rPr>
              <w:t>香港</w:t>
            </w:r>
            <w:r>
              <w:rPr>
                <w:rFonts w:hint="eastAsia"/>
                <w:sz w:val="18"/>
                <w:szCs w:val="18"/>
              </w:rPr>
              <w:t>WSD</w:t>
            </w:r>
            <w:r>
              <w:rPr>
                <w:rFonts w:hint="eastAsia"/>
                <w:sz w:val="18"/>
                <w:szCs w:val="18"/>
              </w:rPr>
              <w:t>认证是香港水务署在水质事务咨询委员会的支持和赞同下推出的一系列新措施以满足用户对自来水水质的要求，对达到计划所订准则的楼宇管理公司，给予认可并协助业主、经营者及楼宇管理公司自行评估水管系统的状况</w:t>
            </w:r>
          </w:p>
        </w:tc>
      </w:tr>
      <w:tr w:rsidR="004B0883" w14:paraId="2381B8A6" w14:textId="77777777">
        <w:trPr>
          <w:trHeight w:val="340"/>
          <w:jc w:val="center"/>
        </w:trPr>
        <w:tc>
          <w:tcPr>
            <w:tcW w:w="1622" w:type="dxa"/>
            <w:tcMar>
              <w:top w:w="0" w:type="dxa"/>
              <w:bottom w:w="0" w:type="dxa"/>
            </w:tcMar>
            <w:vAlign w:val="center"/>
          </w:tcPr>
          <w:p w14:paraId="3AB94202" w14:textId="77777777" w:rsidR="004B0883" w:rsidRDefault="004B0883">
            <w:pPr>
              <w:widowControl w:val="0"/>
              <w:adjustRightInd w:val="0"/>
              <w:snapToGrid w:val="0"/>
              <w:rPr>
                <w:rFonts w:hint="eastAsia"/>
                <w:sz w:val="18"/>
                <w:szCs w:val="18"/>
              </w:rPr>
            </w:pPr>
            <w:r>
              <w:rPr>
                <w:rFonts w:hint="eastAsia"/>
                <w:sz w:val="18"/>
                <w:szCs w:val="18"/>
              </w:rPr>
              <w:t>德国</w:t>
            </w:r>
            <w:r>
              <w:rPr>
                <w:rFonts w:hint="eastAsia"/>
                <w:sz w:val="18"/>
                <w:szCs w:val="18"/>
              </w:rPr>
              <w:t>VDS</w:t>
            </w:r>
            <w:r>
              <w:rPr>
                <w:rFonts w:hint="eastAsia"/>
                <w:sz w:val="18"/>
                <w:szCs w:val="18"/>
              </w:rPr>
              <w:t>认证</w:t>
            </w:r>
          </w:p>
        </w:tc>
        <w:tc>
          <w:tcPr>
            <w:tcW w:w="558" w:type="dxa"/>
            <w:tcMar>
              <w:top w:w="0" w:type="dxa"/>
              <w:bottom w:w="0" w:type="dxa"/>
            </w:tcMar>
            <w:vAlign w:val="center"/>
          </w:tcPr>
          <w:p w14:paraId="702610E7"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7F636760" w14:textId="77777777" w:rsidR="004B0883" w:rsidRDefault="004B0883">
            <w:pPr>
              <w:widowControl w:val="0"/>
              <w:adjustRightInd w:val="0"/>
              <w:snapToGrid w:val="0"/>
              <w:rPr>
                <w:rFonts w:hint="eastAsia"/>
                <w:sz w:val="18"/>
                <w:szCs w:val="18"/>
              </w:rPr>
            </w:pPr>
            <w:r>
              <w:rPr>
                <w:rFonts w:hint="eastAsia"/>
                <w:sz w:val="18"/>
                <w:szCs w:val="18"/>
              </w:rPr>
              <w:t>德国专业安全协会</w:t>
            </w:r>
            <w:r>
              <w:rPr>
                <w:rFonts w:hint="eastAsia"/>
                <w:sz w:val="18"/>
                <w:szCs w:val="18"/>
              </w:rPr>
              <w:t>VDS</w:t>
            </w:r>
            <w:r>
              <w:rPr>
                <w:rFonts w:hint="eastAsia"/>
                <w:sz w:val="18"/>
                <w:szCs w:val="18"/>
              </w:rPr>
              <w:t>，主要是针对消防器材及系统、安全器材及系统的产品认证，除了产品测试外，对生产方的质量管理体系也有明确要求，他们仅仅认可</w:t>
            </w:r>
            <w:r>
              <w:rPr>
                <w:rFonts w:hint="eastAsia"/>
                <w:sz w:val="18"/>
                <w:szCs w:val="18"/>
              </w:rPr>
              <w:t>EA(European</w:t>
            </w:r>
            <w:r>
              <w:rPr>
                <w:sz w:val="18"/>
                <w:szCs w:val="18"/>
              </w:rPr>
              <w:t xml:space="preserve"> </w:t>
            </w:r>
            <w:r>
              <w:rPr>
                <w:rFonts w:hint="eastAsia"/>
                <w:sz w:val="18"/>
                <w:szCs w:val="18"/>
              </w:rPr>
              <w:t xml:space="preserve">Co-operation for </w:t>
            </w:r>
            <w:r>
              <w:rPr>
                <w:sz w:val="18"/>
                <w:szCs w:val="18"/>
              </w:rPr>
              <w:t>Accreditation</w:t>
            </w:r>
            <w:r>
              <w:rPr>
                <w:rFonts w:hint="eastAsia"/>
                <w:sz w:val="18"/>
                <w:szCs w:val="18"/>
              </w:rPr>
              <w:t>)</w:t>
            </w:r>
            <w:r>
              <w:rPr>
                <w:rFonts w:hint="eastAsia"/>
                <w:sz w:val="18"/>
                <w:szCs w:val="18"/>
              </w:rPr>
              <w:t>组织成员机构所颁发的体系证书</w:t>
            </w:r>
          </w:p>
        </w:tc>
      </w:tr>
      <w:tr w:rsidR="004B0883" w14:paraId="1F534DC6" w14:textId="77777777">
        <w:trPr>
          <w:trHeight w:val="340"/>
          <w:jc w:val="center"/>
        </w:trPr>
        <w:tc>
          <w:tcPr>
            <w:tcW w:w="1622" w:type="dxa"/>
            <w:tcMar>
              <w:top w:w="0" w:type="dxa"/>
              <w:bottom w:w="0" w:type="dxa"/>
            </w:tcMar>
            <w:vAlign w:val="center"/>
          </w:tcPr>
          <w:p w14:paraId="42958C00" w14:textId="77777777" w:rsidR="004B0883" w:rsidRDefault="004B0883">
            <w:pPr>
              <w:widowControl w:val="0"/>
              <w:adjustRightInd w:val="0"/>
              <w:snapToGrid w:val="0"/>
              <w:rPr>
                <w:rFonts w:hint="eastAsia"/>
                <w:sz w:val="18"/>
                <w:szCs w:val="18"/>
              </w:rPr>
            </w:pPr>
            <w:r>
              <w:rPr>
                <w:rFonts w:hint="eastAsia"/>
                <w:sz w:val="18"/>
                <w:szCs w:val="18"/>
              </w:rPr>
              <w:t>ISO9001</w:t>
            </w:r>
            <w:r>
              <w:rPr>
                <w:rFonts w:hint="eastAsia"/>
                <w:sz w:val="18"/>
                <w:szCs w:val="18"/>
              </w:rPr>
              <w:t>质量体系认证</w:t>
            </w:r>
          </w:p>
        </w:tc>
        <w:tc>
          <w:tcPr>
            <w:tcW w:w="558" w:type="dxa"/>
            <w:tcMar>
              <w:top w:w="0" w:type="dxa"/>
              <w:bottom w:w="0" w:type="dxa"/>
            </w:tcMar>
            <w:vAlign w:val="center"/>
          </w:tcPr>
          <w:p w14:paraId="7E28B1B7" w14:textId="77777777" w:rsidR="004B0883" w:rsidRDefault="004B0883">
            <w:pPr>
              <w:widowControl w:val="0"/>
              <w:adjustRightInd w:val="0"/>
              <w:snapToGrid w:val="0"/>
              <w:jc w:val="center"/>
              <w:rPr>
                <w:sz w:val="18"/>
                <w:szCs w:val="18"/>
              </w:rPr>
            </w:pPr>
            <w:r>
              <w:rPr>
                <w:sz w:val="18"/>
                <w:szCs w:val="18"/>
              </w:rPr>
              <w:t>指</w:t>
            </w:r>
          </w:p>
        </w:tc>
        <w:tc>
          <w:tcPr>
            <w:tcW w:w="6348" w:type="dxa"/>
            <w:tcMar>
              <w:top w:w="0" w:type="dxa"/>
              <w:bottom w:w="0" w:type="dxa"/>
            </w:tcMar>
            <w:vAlign w:val="center"/>
          </w:tcPr>
          <w:p w14:paraId="7A36B1E3" w14:textId="77777777" w:rsidR="004B0883" w:rsidRDefault="004B0883">
            <w:pPr>
              <w:widowControl w:val="0"/>
              <w:adjustRightInd w:val="0"/>
              <w:snapToGrid w:val="0"/>
              <w:rPr>
                <w:rFonts w:hint="eastAsia"/>
                <w:sz w:val="18"/>
                <w:szCs w:val="18"/>
              </w:rPr>
            </w:pPr>
            <w:r>
              <w:rPr>
                <w:rFonts w:hint="eastAsia"/>
                <w:sz w:val="18"/>
                <w:szCs w:val="18"/>
              </w:rPr>
              <w:t>国际标准化组织（</w:t>
            </w:r>
            <w:r>
              <w:rPr>
                <w:rFonts w:hint="eastAsia"/>
                <w:sz w:val="18"/>
                <w:szCs w:val="18"/>
              </w:rPr>
              <w:t>ISO</w:t>
            </w:r>
            <w:r>
              <w:rPr>
                <w:rFonts w:hint="eastAsia"/>
                <w:sz w:val="18"/>
                <w:szCs w:val="18"/>
              </w:rPr>
              <w:t>）制定的关于企业质量管理系列化标准之一，主要适用于工业企业</w:t>
            </w:r>
          </w:p>
        </w:tc>
      </w:tr>
      <w:tr w:rsidR="004B0883" w14:paraId="76B65951" w14:textId="77777777">
        <w:trPr>
          <w:trHeight w:val="340"/>
          <w:jc w:val="center"/>
        </w:trPr>
        <w:tc>
          <w:tcPr>
            <w:tcW w:w="1622" w:type="dxa"/>
            <w:tcMar>
              <w:top w:w="0" w:type="dxa"/>
              <w:bottom w:w="0" w:type="dxa"/>
            </w:tcMar>
            <w:vAlign w:val="center"/>
          </w:tcPr>
          <w:p w14:paraId="59DB6597" w14:textId="77777777" w:rsidR="004B0883" w:rsidRDefault="004B0883">
            <w:pPr>
              <w:widowControl w:val="0"/>
              <w:adjustRightInd w:val="0"/>
              <w:snapToGrid w:val="0"/>
              <w:rPr>
                <w:rFonts w:hint="eastAsia"/>
                <w:sz w:val="18"/>
                <w:szCs w:val="18"/>
              </w:rPr>
            </w:pPr>
            <w:r>
              <w:rPr>
                <w:rFonts w:hint="eastAsia"/>
                <w:sz w:val="18"/>
                <w:szCs w:val="18"/>
              </w:rPr>
              <w:t>ISO14001</w:t>
            </w:r>
            <w:r>
              <w:rPr>
                <w:rFonts w:hint="eastAsia"/>
                <w:sz w:val="18"/>
                <w:szCs w:val="18"/>
              </w:rPr>
              <w:t>环境管理体系认证</w:t>
            </w:r>
          </w:p>
        </w:tc>
        <w:tc>
          <w:tcPr>
            <w:tcW w:w="558" w:type="dxa"/>
            <w:tcMar>
              <w:top w:w="0" w:type="dxa"/>
              <w:bottom w:w="0" w:type="dxa"/>
            </w:tcMar>
            <w:vAlign w:val="center"/>
          </w:tcPr>
          <w:p w14:paraId="50D548B1"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21528B4A" w14:textId="77777777" w:rsidR="004B0883" w:rsidRDefault="004B0883">
            <w:pPr>
              <w:widowControl w:val="0"/>
              <w:adjustRightInd w:val="0"/>
              <w:snapToGrid w:val="0"/>
              <w:rPr>
                <w:rFonts w:hint="eastAsia"/>
                <w:sz w:val="18"/>
                <w:szCs w:val="18"/>
              </w:rPr>
            </w:pPr>
            <w:r>
              <w:rPr>
                <w:rFonts w:hint="eastAsia"/>
                <w:sz w:val="18"/>
                <w:szCs w:val="18"/>
              </w:rPr>
              <w:t>依据</w:t>
            </w:r>
            <w:r>
              <w:rPr>
                <w:rFonts w:hint="eastAsia"/>
                <w:sz w:val="18"/>
                <w:szCs w:val="18"/>
              </w:rPr>
              <w:t>ISO14001</w:t>
            </w:r>
            <w:r>
              <w:rPr>
                <w:rFonts w:hint="eastAsia"/>
                <w:sz w:val="18"/>
                <w:szCs w:val="18"/>
              </w:rPr>
              <w:t>标准由第三方认证机构实施的合格评定活动</w:t>
            </w:r>
          </w:p>
        </w:tc>
      </w:tr>
      <w:tr w:rsidR="004B0883" w14:paraId="4E43D24B" w14:textId="77777777">
        <w:trPr>
          <w:trHeight w:val="340"/>
          <w:jc w:val="center"/>
        </w:trPr>
        <w:tc>
          <w:tcPr>
            <w:tcW w:w="1622" w:type="dxa"/>
            <w:tcMar>
              <w:top w:w="0" w:type="dxa"/>
              <w:bottom w:w="0" w:type="dxa"/>
            </w:tcMar>
            <w:vAlign w:val="center"/>
          </w:tcPr>
          <w:p w14:paraId="4C8D648C" w14:textId="77777777" w:rsidR="004B0883" w:rsidRDefault="004B0883">
            <w:pPr>
              <w:widowControl w:val="0"/>
              <w:adjustRightInd w:val="0"/>
              <w:snapToGrid w:val="0"/>
              <w:rPr>
                <w:rFonts w:hint="eastAsia"/>
                <w:sz w:val="18"/>
                <w:szCs w:val="18"/>
              </w:rPr>
            </w:pPr>
            <w:r>
              <w:rPr>
                <w:sz w:val="18"/>
                <w:szCs w:val="18"/>
              </w:rPr>
              <w:t>ISO45001</w:t>
            </w:r>
            <w:r>
              <w:rPr>
                <w:rFonts w:hint="eastAsia"/>
                <w:sz w:val="18"/>
                <w:szCs w:val="18"/>
              </w:rPr>
              <w:t>职业健康安全管理体系认证</w:t>
            </w:r>
          </w:p>
        </w:tc>
        <w:tc>
          <w:tcPr>
            <w:tcW w:w="558" w:type="dxa"/>
            <w:tcMar>
              <w:top w:w="0" w:type="dxa"/>
              <w:bottom w:w="0" w:type="dxa"/>
            </w:tcMar>
            <w:vAlign w:val="center"/>
          </w:tcPr>
          <w:p w14:paraId="67572CE4"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16622576" w14:textId="77777777" w:rsidR="004B0883" w:rsidRDefault="004B0883">
            <w:pPr>
              <w:widowControl w:val="0"/>
              <w:adjustRightInd w:val="0"/>
              <w:snapToGrid w:val="0"/>
              <w:rPr>
                <w:rFonts w:hint="eastAsia"/>
                <w:sz w:val="18"/>
                <w:szCs w:val="18"/>
              </w:rPr>
            </w:pPr>
            <w:r>
              <w:rPr>
                <w:sz w:val="18"/>
                <w:szCs w:val="18"/>
              </w:rPr>
              <w:t>ISO45001</w:t>
            </w:r>
            <w:r>
              <w:rPr>
                <w:rFonts w:hint="eastAsia"/>
                <w:sz w:val="18"/>
                <w:szCs w:val="18"/>
              </w:rPr>
              <w:t>标准为各类组织提供了结构化的运行机制，帮助组织改善安全生产管理，推动职业健康安全和持续改进</w:t>
            </w:r>
          </w:p>
        </w:tc>
      </w:tr>
      <w:tr w:rsidR="004B0883" w14:paraId="49F07A60" w14:textId="77777777">
        <w:trPr>
          <w:trHeight w:val="340"/>
          <w:jc w:val="center"/>
        </w:trPr>
        <w:tc>
          <w:tcPr>
            <w:tcW w:w="1622" w:type="dxa"/>
            <w:tcMar>
              <w:top w:w="0" w:type="dxa"/>
              <w:bottom w:w="0" w:type="dxa"/>
            </w:tcMar>
            <w:vAlign w:val="center"/>
          </w:tcPr>
          <w:p w14:paraId="1AE76A74" w14:textId="77777777" w:rsidR="004B0883" w:rsidRDefault="004B0883">
            <w:pPr>
              <w:widowControl w:val="0"/>
              <w:adjustRightInd w:val="0"/>
              <w:snapToGrid w:val="0"/>
              <w:rPr>
                <w:rFonts w:hint="eastAsia"/>
                <w:sz w:val="18"/>
                <w:szCs w:val="18"/>
              </w:rPr>
            </w:pPr>
            <w:r>
              <w:rPr>
                <w:rFonts w:hint="eastAsia"/>
                <w:sz w:val="18"/>
                <w:szCs w:val="18"/>
              </w:rPr>
              <w:t>GB/T29490</w:t>
            </w:r>
            <w:r>
              <w:rPr>
                <w:rFonts w:hint="eastAsia"/>
                <w:sz w:val="18"/>
                <w:szCs w:val="18"/>
              </w:rPr>
              <w:t>知识产权管理体系认证</w:t>
            </w:r>
          </w:p>
        </w:tc>
        <w:tc>
          <w:tcPr>
            <w:tcW w:w="558" w:type="dxa"/>
            <w:tcMar>
              <w:top w:w="0" w:type="dxa"/>
              <w:bottom w:w="0" w:type="dxa"/>
            </w:tcMar>
            <w:vAlign w:val="center"/>
          </w:tcPr>
          <w:p w14:paraId="3AEBAA80"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7DF8B97A" w14:textId="77777777" w:rsidR="004B0883" w:rsidRDefault="004B0883">
            <w:pPr>
              <w:widowControl w:val="0"/>
              <w:adjustRightInd w:val="0"/>
              <w:snapToGrid w:val="0"/>
              <w:rPr>
                <w:rFonts w:hint="eastAsia"/>
                <w:sz w:val="18"/>
                <w:szCs w:val="18"/>
              </w:rPr>
            </w:pPr>
            <w:r>
              <w:rPr>
                <w:rFonts w:hint="eastAsia"/>
                <w:sz w:val="18"/>
                <w:szCs w:val="18"/>
              </w:rPr>
              <w:t>由国家知识产权局、中国标准化研究院起草，并由国家质量监督检验检疫总局、国家标准化管理委员会发布实施的规范，以企业知识产权管理体系为标准化对象，采用</w:t>
            </w:r>
            <w:r>
              <w:rPr>
                <w:rFonts w:hint="eastAsia"/>
                <w:sz w:val="18"/>
                <w:szCs w:val="18"/>
              </w:rPr>
              <w:t>P-D-C-A</w:t>
            </w:r>
            <w:r>
              <w:rPr>
                <w:rFonts w:hint="eastAsia"/>
                <w:sz w:val="18"/>
                <w:szCs w:val="18"/>
              </w:rPr>
              <w:t>过程方法控制，旨在指导企业建立科学、系统的知识产权管理体系</w:t>
            </w:r>
          </w:p>
        </w:tc>
      </w:tr>
      <w:tr w:rsidR="004B0883" w14:paraId="30D4ADCD" w14:textId="77777777">
        <w:trPr>
          <w:trHeight w:val="340"/>
          <w:jc w:val="center"/>
        </w:trPr>
        <w:tc>
          <w:tcPr>
            <w:tcW w:w="1622" w:type="dxa"/>
            <w:tcMar>
              <w:top w:w="0" w:type="dxa"/>
              <w:bottom w:w="0" w:type="dxa"/>
            </w:tcMar>
            <w:vAlign w:val="center"/>
          </w:tcPr>
          <w:p w14:paraId="299394DC" w14:textId="77777777" w:rsidR="004B0883" w:rsidRDefault="004B0883">
            <w:pPr>
              <w:widowControl w:val="0"/>
              <w:adjustRightInd w:val="0"/>
              <w:snapToGrid w:val="0"/>
              <w:rPr>
                <w:rFonts w:hint="eastAsia"/>
                <w:sz w:val="18"/>
                <w:szCs w:val="18"/>
              </w:rPr>
            </w:pPr>
            <w:r>
              <w:rPr>
                <w:rFonts w:hint="eastAsia"/>
                <w:sz w:val="18"/>
                <w:szCs w:val="18"/>
              </w:rPr>
              <w:t>GJB9001</w:t>
            </w:r>
            <w:r>
              <w:rPr>
                <w:sz w:val="18"/>
                <w:szCs w:val="18"/>
              </w:rPr>
              <w:t>C</w:t>
            </w:r>
            <w:r>
              <w:rPr>
                <w:rFonts w:hint="eastAsia"/>
                <w:sz w:val="18"/>
                <w:szCs w:val="18"/>
              </w:rPr>
              <w:t>国军标质量管理体系</w:t>
            </w:r>
          </w:p>
        </w:tc>
        <w:tc>
          <w:tcPr>
            <w:tcW w:w="558" w:type="dxa"/>
            <w:tcMar>
              <w:top w:w="0" w:type="dxa"/>
              <w:bottom w:w="0" w:type="dxa"/>
            </w:tcMar>
            <w:vAlign w:val="center"/>
          </w:tcPr>
          <w:p w14:paraId="1DC2898D"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4B23A097" w14:textId="77777777" w:rsidR="004B0883" w:rsidRDefault="004B0883">
            <w:pPr>
              <w:widowControl w:val="0"/>
              <w:adjustRightInd w:val="0"/>
              <w:snapToGrid w:val="0"/>
              <w:rPr>
                <w:rFonts w:hint="eastAsia"/>
                <w:sz w:val="18"/>
                <w:szCs w:val="18"/>
              </w:rPr>
            </w:pPr>
            <w:r>
              <w:rPr>
                <w:rFonts w:hint="eastAsia"/>
                <w:sz w:val="18"/>
                <w:szCs w:val="18"/>
              </w:rPr>
              <w:t>一项标准，对承担军用产品、研制、生产、试验和维修任务的组织是必须执行的质量管理标准，并可作为对体系进行评定的依据</w:t>
            </w:r>
          </w:p>
        </w:tc>
      </w:tr>
      <w:tr w:rsidR="004B0883" w14:paraId="019ABF1E" w14:textId="77777777">
        <w:trPr>
          <w:trHeight w:val="340"/>
          <w:jc w:val="center"/>
        </w:trPr>
        <w:tc>
          <w:tcPr>
            <w:tcW w:w="1622" w:type="dxa"/>
            <w:tcMar>
              <w:top w:w="0" w:type="dxa"/>
              <w:bottom w:w="0" w:type="dxa"/>
            </w:tcMar>
            <w:vAlign w:val="center"/>
          </w:tcPr>
          <w:p w14:paraId="6A1C6F5B" w14:textId="77777777" w:rsidR="004B0883" w:rsidRDefault="004B0883">
            <w:pPr>
              <w:widowControl w:val="0"/>
              <w:adjustRightInd w:val="0"/>
              <w:snapToGrid w:val="0"/>
              <w:rPr>
                <w:rFonts w:hint="eastAsia"/>
                <w:sz w:val="18"/>
                <w:szCs w:val="18"/>
              </w:rPr>
            </w:pPr>
            <w:r>
              <w:rPr>
                <w:sz w:val="18"/>
                <w:szCs w:val="18"/>
              </w:rPr>
              <w:t>HAF003</w:t>
            </w:r>
          </w:p>
        </w:tc>
        <w:tc>
          <w:tcPr>
            <w:tcW w:w="558" w:type="dxa"/>
            <w:tcMar>
              <w:top w:w="0" w:type="dxa"/>
              <w:bottom w:w="0" w:type="dxa"/>
            </w:tcMar>
            <w:vAlign w:val="center"/>
          </w:tcPr>
          <w:p w14:paraId="5FE8E6C0"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04E934C9" w14:textId="77777777" w:rsidR="004B0883" w:rsidRDefault="004B0883">
            <w:pPr>
              <w:widowControl w:val="0"/>
              <w:adjustRightInd w:val="0"/>
              <w:snapToGrid w:val="0"/>
              <w:rPr>
                <w:rFonts w:hint="eastAsia"/>
                <w:sz w:val="18"/>
                <w:szCs w:val="18"/>
              </w:rPr>
            </w:pPr>
            <w:r>
              <w:rPr>
                <w:rFonts w:hint="eastAsia"/>
                <w:sz w:val="18"/>
                <w:szCs w:val="18"/>
              </w:rPr>
              <w:t>核电厂质量保证安全规定</w:t>
            </w:r>
          </w:p>
        </w:tc>
      </w:tr>
      <w:tr w:rsidR="004B0883" w14:paraId="226A6114" w14:textId="77777777">
        <w:trPr>
          <w:trHeight w:val="340"/>
          <w:jc w:val="center"/>
        </w:trPr>
        <w:tc>
          <w:tcPr>
            <w:tcW w:w="1622" w:type="dxa"/>
            <w:tcMar>
              <w:top w:w="0" w:type="dxa"/>
              <w:bottom w:w="0" w:type="dxa"/>
            </w:tcMar>
            <w:vAlign w:val="center"/>
          </w:tcPr>
          <w:p w14:paraId="28A288F0" w14:textId="77777777" w:rsidR="004B0883" w:rsidRDefault="004B0883">
            <w:pPr>
              <w:widowControl w:val="0"/>
              <w:adjustRightInd w:val="0"/>
              <w:snapToGrid w:val="0"/>
              <w:rPr>
                <w:rFonts w:hint="eastAsia"/>
                <w:sz w:val="18"/>
                <w:szCs w:val="18"/>
              </w:rPr>
            </w:pPr>
            <w:r>
              <w:rPr>
                <w:sz w:val="18"/>
                <w:szCs w:val="18"/>
              </w:rPr>
              <w:t>HAF601</w:t>
            </w:r>
          </w:p>
        </w:tc>
        <w:tc>
          <w:tcPr>
            <w:tcW w:w="558" w:type="dxa"/>
            <w:tcMar>
              <w:top w:w="0" w:type="dxa"/>
              <w:bottom w:w="0" w:type="dxa"/>
            </w:tcMar>
            <w:vAlign w:val="center"/>
          </w:tcPr>
          <w:p w14:paraId="7E6C2B03"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16BB16E7" w14:textId="77777777" w:rsidR="004B0883" w:rsidRDefault="004B0883">
            <w:pPr>
              <w:widowControl w:val="0"/>
              <w:adjustRightInd w:val="0"/>
              <w:snapToGrid w:val="0"/>
              <w:rPr>
                <w:rFonts w:hint="eastAsia"/>
                <w:sz w:val="18"/>
                <w:szCs w:val="18"/>
              </w:rPr>
            </w:pPr>
            <w:r>
              <w:rPr>
                <w:rFonts w:hint="eastAsia"/>
                <w:sz w:val="18"/>
                <w:szCs w:val="18"/>
              </w:rPr>
              <w:t>民用核安全设备设计制造安装和无损检验监督管理规定</w:t>
            </w:r>
          </w:p>
        </w:tc>
      </w:tr>
      <w:tr w:rsidR="004B0883" w14:paraId="32774E3D" w14:textId="77777777">
        <w:trPr>
          <w:trHeight w:val="340"/>
          <w:jc w:val="center"/>
        </w:trPr>
        <w:tc>
          <w:tcPr>
            <w:tcW w:w="1622" w:type="dxa"/>
            <w:tcMar>
              <w:top w:w="0" w:type="dxa"/>
              <w:bottom w:w="0" w:type="dxa"/>
            </w:tcMar>
            <w:vAlign w:val="center"/>
          </w:tcPr>
          <w:p w14:paraId="661B08D7" w14:textId="77777777" w:rsidR="004B0883" w:rsidRDefault="004B0883">
            <w:pPr>
              <w:widowControl w:val="0"/>
              <w:adjustRightInd w:val="0"/>
              <w:snapToGrid w:val="0"/>
              <w:rPr>
                <w:rFonts w:hint="eastAsia"/>
                <w:sz w:val="18"/>
                <w:szCs w:val="18"/>
              </w:rPr>
            </w:pPr>
            <w:r>
              <w:rPr>
                <w:sz w:val="18"/>
                <w:szCs w:val="18"/>
              </w:rPr>
              <w:t>HAF602</w:t>
            </w:r>
          </w:p>
        </w:tc>
        <w:tc>
          <w:tcPr>
            <w:tcW w:w="558" w:type="dxa"/>
            <w:tcMar>
              <w:top w:w="0" w:type="dxa"/>
              <w:bottom w:w="0" w:type="dxa"/>
            </w:tcMar>
            <w:vAlign w:val="center"/>
          </w:tcPr>
          <w:p w14:paraId="362F125F"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46E0A06D" w14:textId="77777777" w:rsidR="004B0883" w:rsidRDefault="004B0883">
            <w:pPr>
              <w:widowControl w:val="0"/>
              <w:adjustRightInd w:val="0"/>
              <w:snapToGrid w:val="0"/>
              <w:rPr>
                <w:rFonts w:hint="eastAsia"/>
                <w:sz w:val="18"/>
                <w:szCs w:val="18"/>
              </w:rPr>
            </w:pPr>
            <w:r>
              <w:rPr>
                <w:rFonts w:hint="eastAsia"/>
                <w:sz w:val="18"/>
                <w:szCs w:val="18"/>
              </w:rPr>
              <w:t>民用核安全设备无损检验人员资格管理规定</w:t>
            </w:r>
          </w:p>
        </w:tc>
      </w:tr>
      <w:tr w:rsidR="004B0883" w14:paraId="10A4C33C" w14:textId="77777777">
        <w:trPr>
          <w:trHeight w:val="340"/>
          <w:jc w:val="center"/>
        </w:trPr>
        <w:tc>
          <w:tcPr>
            <w:tcW w:w="1622" w:type="dxa"/>
            <w:tcMar>
              <w:top w:w="0" w:type="dxa"/>
              <w:bottom w:w="0" w:type="dxa"/>
            </w:tcMar>
            <w:vAlign w:val="center"/>
          </w:tcPr>
          <w:p w14:paraId="26014F6E" w14:textId="77777777" w:rsidR="004B0883" w:rsidRDefault="004B0883">
            <w:pPr>
              <w:widowControl w:val="0"/>
              <w:adjustRightInd w:val="0"/>
              <w:snapToGrid w:val="0"/>
              <w:rPr>
                <w:rFonts w:hint="eastAsia"/>
                <w:sz w:val="18"/>
                <w:szCs w:val="18"/>
              </w:rPr>
            </w:pPr>
            <w:r>
              <w:rPr>
                <w:sz w:val="18"/>
                <w:szCs w:val="18"/>
              </w:rPr>
              <w:t>HAF603</w:t>
            </w:r>
          </w:p>
        </w:tc>
        <w:tc>
          <w:tcPr>
            <w:tcW w:w="558" w:type="dxa"/>
            <w:tcMar>
              <w:top w:w="0" w:type="dxa"/>
              <w:bottom w:w="0" w:type="dxa"/>
            </w:tcMar>
            <w:vAlign w:val="center"/>
          </w:tcPr>
          <w:p w14:paraId="1B50FD90"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0D1C458C" w14:textId="77777777" w:rsidR="004B0883" w:rsidRDefault="004B0883">
            <w:pPr>
              <w:widowControl w:val="0"/>
              <w:adjustRightInd w:val="0"/>
              <w:snapToGrid w:val="0"/>
              <w:rPr>
                <w:rFonts w:hint="eastAsia"/>
                <w:sz w:val="18"/>
                <w:szCs w:val="18"/>
              </w:rPr>
            </w:pPr>
            <w:r>
              <w:rPr>
                <w:rFonts w:hint="eastAsia"/>
                <w:sz w:val="18"/>
                <w:szCs w:val="18"/>
              </w:rPr>
              <w:t>民用核安全设备焊工焊接操作工资格管理规定</w:t>
            </w:r>
          </w:p>
        </w:tc>
      </w:tr>
      <w:tr w:rsidR="004B0883" w14:paraId="7E3BDD18" w14:textId="77777777">
        <w:trPr>
          <w:trHeight w:val="340"/>
          <w:jc w:val="center"/>
        </w:trPr>
        <w:tc>
          <w:tcPr>
            <w:tcW w:w="1622" w:type="dxa"/>
            <w:tcMar>
              <w:top w:w="0" w:type="dxa"/>
              <w:bottom w:w="0" w:type="dxa"/>
            </w:tcMar>
            <w:vAlign w:val="center"/>
          </w:tcPr>
          <w:p w14:paraId="1BE29131" w14:textId="77777777" w:rsidR="004B0883" w:rsidRDefault="004B0883">
            <w:pPr>
              <w:widowControl w:val="0"/>
              <w:adjustRightInd w:val="0"/>
              <w:snapToGrid w:val="0"/>
              <w:rPr>
                <w:rFonts w:hint="eastAsia"/>
                <w:sz w:val="18"/>
                <w:szCs w:val="18"/>
              </w:rPr>
            </w:pPr>
            <w:r>
              <w:rPr>
                <w:sz w:val="18"/>
                <w:szCs w:val="18"/>
              </w:rPr>
              <w:t>ASME</w:t>
            </w:r>
          </w:p>
        </w:tc>
        <w:tc>
          <w:tcPr>
            <w:tcW w:w="558" w:type="dxa"/>
            <w:tcMar>
              <w:top w:w="0" w:type="dxa"/>
              <w:bottom w:w="0" w:type="dxa"/>
            </w:tcMar>
            <w:vAlign w:val="center"/>
          </w:tcPr>
          <w:p w14:paraId="5DE8C7B6"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464272D3" w14:textId="77777777" w:rsidR="004B0883" w:rsidRDefault="004B0883">
            <w:pPr>
              <w:widowControl w:val="0"/>
              <w:adjustRightInd w:val="0"/>
              <w:snapToGrid w:val="0"/>
              <w:rPr>
                <w:rFonts w:hint="eastAsia"/>
                <w:sz w:val="18"/>
                <w:szCs w:val="18"/>
              </w:rPr>
            </w:pPr>
            <w:r>
              <w:rPr>
                <w:rFonts w:hint="eastAsia"/>
                <w:sz w:val="18"/>
                <w:szCs w:val="18"/>
              </w:rPr>
              <w:t>美国机械工程师学会（</w:t>
            </w:r>
            <w:r>
              <w:rPr>
                <w:rFonts w:hint="eastAsia"/>
                <w:sz w:val="18"/>
                <w:szCs w:val="18"/>
              </w:rPr>
              <w:t>American Society of Mechanical Engineers</w:t>
            </w:r>
            <w:r>
              <w:rPr>
                <w:rFonts w:hint="eastAsia"/>
                <w:sz w:val="18"/>
                <w:szCs w:val="18"/>
              </w:rPr>
              <w:t>）</w:t>
            </w:r>
          </w:p>
        </w:tc>
      </w:tr>
      <w:tr w:rsidR="004B0883" w14:paraId="25692AC8" w14:textId="77777777">
        <w:trPr>
          <w:trHeight w:val="340"/>
          <w:jc w:val="center"/>
        </w:trPr>
        <w:tc>
          <w:tcPr>
            <w:tcW w:w="1622" w:type="dxa"/>
            <w:tcMar>
              <w:top w:w="0" w:type="dxa"/>
              <w:bottom w:w="0" w:type="dxa"/>
            </w:tcMar>
            <w:vAlign w:val="center"/>
          </w:tcPr>
          <w:p w14:paraId="599DD6C1" w14:textId="77777777" w:rsidR="004B0883" w:rsidRDefault="004B0883">
            <w:pPr>
              <w:widowControl w:val="0"/>
              <w:adjustRightInd w:val="0"/>
              <w:snapToGrid w:val="0"/>
              <w:rPr>
                <w:rFonts w:hint="eastAsia"/>
                <w:sz w:val="18"/>
                <w:szCs w:val="18"/>
              </w:rPr>
            </w:pPr>
            <w:r>
              <w:rPr>
                <w:sz w:val="18"/>
                <w:szCs w:val="18"/>
              </w:rPr>
              <w:t>RCC-M</w:t>
            </w:r>
          </w:p>
        </w:tc>
        <w:tc>
          <w:tcPr>
            <w:tcW w:w="558" w:type="dxa"/>
            <w:tcMar>
              <w:top w:w="0" w:type="dxa"/>
              <w:bottom w:w="0" w:type="dxa"/>
            </w:tcMar>
            <w:vAlign w:val="center"/>
          </w:tcPr>
          <w:p w14:paraId="17449FD4" w14:textId="77777777" w:rsidR="004B0883" w:rsidRDefault="004B0883">
            <w:pPr>
              <w:widowControl w:val="0"/>
              <w:adjustRightInd w:val="0"/>
              <w:snapToGrid w:val="0"/>
              <w:jc w:val="center"/>
              <w:rPr>
                <w:rFonts w:hint="eastAsia"/>
                <w:sz w:val="18"/>
                <w:szCs w:val="18"/>
              </w:rPr>
            </w:pPr>
            <w:r>
              <w:rPr>
                <w:sz w:val="18"/>
                <w:szCs w:val="18"/>
              </w:rPr>
              <w:t>指</w:t>
            </w:r>
          </w:p>
        </w:tc>
        <w:tc>
          <w:tcPr>
            <w:tcW w:w="6348" w:type="dxa"/>
            <w:tcMar>
              <w:top w:w="0" w:type="dxa"/>
              <w:bottom w:w="0" w:type="dxa"/>
            </w:tcMar>
            <w:vAlign w:val="center"/>
          </w:tcPr>
          <w:p w14:paraId="3EB44934" w14:textId="77777777" w:rsidR="004B0883" w:rsidRDefault="004B0883">
            <w:pPr>
              <w:widowControl w:val="0"/>
              <w:adjustRightInd w:val="0"/>
              <w:snapToGrid w:val="0"/>
              <w:rPr>
                <w:rFonts w:hint="eastAsia"/>
                <w:sz w:val="18"/>
                <w:szCs w:val="18"/>
              </w:rPr>
            </w:pPr>
            <w:r>
              <w:rPr>
                <w:rFonts w:hint="eastAsia"/>
                <w:sz w:val="18"/>
                <w:szCs w:val="18"/>
              </w:rPr>
              <w:t>法国《压水堆核岛机械设备设计和建造规则》的简称，由法国核岛设备设计和建造规则协会（</w:t>
            </w:r>
            <w:r>
              <w:rPr>
                <w:rFonts w:hint="eastAsia"/>
                <w:sz w:val="18"/>
                <w:szCs w:val="18"/>
              </w:rPr>
              <w:t>AFCEN</w:t>
            </w:r>
            <w:r>
              <w:rPr>
                <w:rFonts w:hint="eastAsia"/>
                <w:sz w:val="18"/>
                <w:szCs w:val="18"/>
              </w:rPr>
              <w:t>）为规范法国压水堆核电站机械设备设计和建造而编制，已被法国政府采纳</w:t>
            </w:r>
          </w:p>
        </w:tc>
      </w:tr>
      <w:tr w:rsidR="004B0883" w14:paraId="74A56487" w14:textId="77777777">
        <w:trPr>
          <w:trHeight w:val="340"/>
          <w:jc w:val="center"/>
        </w:trPr>
        <w:tc>
          <w:tcPr>
            <w:tcW w:w="1622" w:type="dxa"/>
            <w:tcMar>
              <w:top w:w="0" w:type="dxa"/>
              <w:bottom w:w="0" w:type="dxa"/>
            </w:tcMar>
            <w:vAlign w:val="center"/>
          </w:tcPr>
          <w:p w14:paraId="4E9AFACB" w14:textId="77777777" w:rsidR="004B0883" w:rsidRDefault="004B0883">
            <w:pPr>
              <w:widowControl w:val="0"/>
              <w:adjustRightInd w:val="0"/>
              <w:snapToGrid w:val="0"/>
              <w:rPr>
                <w:sz w:val="18"/>
                <w:szCs w:val="18"/>
              </w:rPr>
            </w:pPr>
            <w:r>
              <w:rPr>
                <w:rFonts w:hint="eastAsia"/>
                <w:sz w:val="18"/>
                <w:szCs w:val="18"/>
              </w:rPr>
              <w:t>中国合格评定国家认可委员会实验室认可证书</w:t>
            </w:r>
          </w:p>
        </w:tc>
        <w:tc>
          <w:tcPr>
            <w:tcW w:w="558" w:type="dxa"/>
            <w:tcMar>
              <w:top w:w="0" w:type="dxa"/>
              <w:bottom w:w="0" w:type="dxa"/>
            </w:tcMar>
            <w:vAlign w:val="center"/>
          </w:tcPr>
          <w:p w14:paraId="2A942A2B" w14:textId="77777777" w:rsidR="004B0883" w:rsidRDefault="004B0883">
            <w:pPr>
              <w:widowControl w:val="0"/>
              <w:adjustRightInd w:val="0"/>
              <w:snapToGrid w:val="0"/>
              <w:jc w:val="center"/>
              <w:rPr>
                <w:sz w:val="18"/>
                <w:szCs w:val="18"/>
              </w:rPr>
            </w:pPr>
            <w:r>
              <w:rPr>
                <w:sz w:val="18"/>
                <w:szCs w:val="18"/>
              </w:rPr>
              <w:t>指</w:t>
            </w:r>
          </w:p>
        </w:tc>
        <w:tc>
          <w:tcPr>
            <w:tcW w:w="6348" w:type="dxa"/>
            <w:tcMar>
              <w:top w:w="0" w:type="dxa"/>
              <w:bottom w:w="0" w:type="dxa"/>
            </w:tcMar>
            <w:vAlign w:val="center"/>
          </w:tcPr>
          <w:p w14:paraId="11228718" w14:textId="77777777" w:rsidR="004B0883" w:rsidRDefault="004B0883">
            <w:pPr>
              <w:widowControl w:val="0"/>
              <w:adjustRightInd w:val="0"/>
              <w:snapToGrid w:val="0"/>
              <w:rPr>
                <w:rFonts w:hint="eastAsia"/>
                <w:sz w:val="18"/>
                <w:szCs w:val="18"/>
              </w:rPr>
            </w:pPr>
            <w:r>
              <w:rPr>
                <w:rFonts w:hint="eastAsia"/>
                <w:sz w:val="18"/>
                <w:szCs w:val="18"/>
              </w:rPr>
              <w:t>中国合格评定国家认可委员会正式表明认证机构具备实施特定合格评定工作能力的证明</w:t>
            </w:r>
          </w:p>
        </w:tc>
      </w:tr>
      <w:tr w:rsidR="004B0883" w14:paraId="2C7B5C33" w14:textId="77777777">
        <w:trPr>
          <w:trHeight w:val="340"/>
          <w:jc w:val="center"/>
        </w:trPr>
        <w:tc>
          <w:tcPr>
            <w:tcW w:w="1622" w:type="dxa"/>
            <w:tcMar>
              <w:top w:w="0" w:type="dxa"/>
              <w:bottom w:w="0" w:type="dxa"/>
            </w:tcMar>
            <w:vAlign w:val="center"/>
          </w:tcPr>
          <w:p w14:paraId="080E93D2" w14:textId="77777777" w:rsidR="004B0883" w:rsidRDefault="004B0883">
            <w:pPr>
              <w:widowControl w:val="0"/>
              <w:adjustRightInd w:val="0"/>
              <w:snapToGrid w:val="0"/>
              <w:rPr>
                <w:sz w:val="18"/>
                <w:szCs w:val="18"/>
              </w:rPr>
            </w:pPr>
            <w:r>
              <w:rPr>
                <w:rFonts w:hint="eastAsia"/>
                <w:sz w:val="18"/>
                <w:szCs w:val="18"/>
              </w:rPr>
              <w:t>山东省市场监督管理局检验检测机构资质认定证书</w:t>
            </w:r>
          </w:p>
        </w:tc>
        <w:tc>
          <w:tcPr>
            <w:tcW w:w="558" w:type="dxa"/>
            <w:tcMar>
              <w:top w:w="0" w:type="dxa"/>
              <w:bottom w:w="0" w:type="dxa"/>
            </w:tcMar>
            <w:vAlign w:val="center"/>
          </w:tcPr>
          <w:p w14:paraId="32498DAC" w14:textId="77777777" w:rsidR="004B0883" w:rsidRDefault="004B0883">
            <w:pPr>
              <w:widowControl w:val="0"/>
              <w:adjustRightInd w:val="0"/>
              <w:snapToGrid w:val="0"/>
              <w:jc w:val="center"/>
              <w:rPr>
                <w:sz w:val="18"/>
                <w:szCs w:val="18"/>
              </w:rPr>
            </w:pPr>
            <w:r>
              <w:rPr>
                <w:sz w:val="18"/>
                <w:szCs w:val="18"/>
              </w:rPr>
              <w:t>指</w:t>
            </w:r>
          </w:p>
        </w:tc>
        <w:tc>
          <w:tcPr>
            <w:tcW w:w="6348" w:type="dxa"/>
            <w:tcMar>
              <w:top w:w="0" w:type="dxa"/>
              <w:bottom w:w="0" w:type="dxa"/>
            </w:tcMar>
            <w:vAlign w:val="center"/>
          </w:tcPr>
          <w:p w14:paraId="4ACCC3AB" w14:textId="77777777" w:rsidR="004B0883" w:rsidRDefault="004B0883">
            <w:pPr>
              <w:widowControl w:val="0"/>
              <w:adjustRightInd w:val="0"/>
              <w:snapToGrid w:val="0"/>
              <w:rPr>
                <w:rFonts w:hint="eastAsia"/>
                <w:sz w:val="18"/>
                <w:szCs w:val="18"/>
              </w:rPr>
            </w:pPr>
            <w:r>
              <w:rPr>
                <w:rFonts w:hint="eastAsia"/>
                <w:sz w:val="18"/>
                <w:szCs w:val="18"/>
              </w:rPr>
              <w:t>山东省市场监督管理局正式表明检验检测机构工作能力的证明</w:t>
            </w:r>
          </w:p>
        </w:tc>
      </w:tr>
      <w:tr w:rsidR="004B0883" w14:paraId="1A9292E3" w14:textId="77777777">
        <w:trPr>
          <w:trHeight w:val="340"/>
          <w:jc w:val="center"/>
        </w:trPr>
        <w:tc>
          <w:tcPr>
            <w:tcW w:w="1622" w:type="dxa"/>
            <w:tcMar>
              <w:top w:w="0" w:type="dxa"/>
              <w:bottom w:w="0" w:type="dxa"/>
            </w:tcMar>
            <w:vAlign w:val="center"/>
          </w:tcPr>
          <w:p w14:paraId="138CEBA5" w14:textId="77777777" w:rsidR="004B0883" w:rsidRDefault="004B0883">
            <w:pPr>
              <w:widowControl w:val="0"/>
              <w:adjustRightInd w:val="0"/>
              <w:snapToGrid w:val="0"/>
              <w:rPr>
                <w:sz w:val="18"/>
                <w:szCs w:val="18"/>
              </w:rPr>
            </w:pPr>
            <w:r>
              <w:rPr>
                <w:rFonts w:hint="eastAsia"/>
                <w:sz w:val="18"/>
                <w:szCs w:val="18"/>
              </w:rPr>
              <w:t>C</w:t>
            </w:r>
            <w:r>
              <w:rPr>
                <w:sz w:val="18"/>
                <w:szCs w:val="18"/>
              </w:rPr>
              <w:t>R</w:t>
            </w:r>
          </w:p>
        </w:tc>
        <w:tc>
          <w:tcPr>
            <w:tcW w:w="558" w:type="dxa"/>
            <w:tcMar>
              <w:top w:w="0" w:type="dxa"/>
              <w:bottom w:w="0" w:type="dxa"/>
            </w:tcMar>
            <w:vAlign w:val="center"/>
          </w:tcPr>
          <w:p w14:paraId="2038C7A0" w14:textId="77777777" w:rsidR="004B0883" w:rsidRDefault="004B0883">
            <w:pPr>
              <w:widowControl w:val="0"/>
              <w:adjustRightInd w:val="0"/>
              <w:snapToGrid w:val="0"/>
              <w:jc w:val="center"/>
              <w:rPr>
                <w:sz w:val="18"/>
                <w:szCs w:val="18"/>
              </w:rPr>
            </w:pPr>
            <w:r>
              <w:rPr>
                <w:sz w:val="18"/>
                <w:szCs w:val="18"/>
              </w:rPr>
              <w:t>指</w:t>
            </w:r>
          </w:p>
        </w:tc>
        <w:tc>
          <w:tcPr>
            <w:tcW w:w="6348" w:type="dxa"/>
            <w:tcMar>
              <w:top w:w="0" w:type="dxa"/>
              <w:bottom w:w="0" w:type="dxa"/>
            </w:tcMar>
            <w:vAlign w:val="center"/>
          </w:tcPr>
          <w:p w14:paraId="3D4EFED2" w14:textId="77777777" w:rsidR="004B0883" w:rsidRDefault="004B0883">
            <w:pPr>
              <w:widowControl w:val="0"/>
              <w:adjustRightInd w:val="0"/>
              <w:snapToGrid w:val="0"/>
              <w:rPr>
                <w:rFonts w:hint="eastAsia"/>
                <w:sz w:val="18"/>
                <w:szCs w:val="18"/>
              </w:rPr>
            </w:pPr>
            <w:r>
              <w:rPr>
                <w:sz w:val="18"/>
                <w:szCs w:val="18"/>
              </w:rPr>
              <w:t>Concentration Rate</w:t>
            </w:r>
            <w:r>
              <w:rPr>
                <w:rFonts w:hint="eastAsia"/>
                <w:sz w:val="18"/>
                <w:szCs w:val="18"/>
              </w:rPr>
              <w:t>的缩写，表示集中度，</w:t>
            </w:r>
            <w:r>
              <w:rPr>
                <w:sz w:val="18"/>
                <w:szCs w:val="18"/>
              </w:rPr>
              <w:t>市场占有率排名前</w:t>
            </w:r>
            <w:r>
              <w:rPr>
                <w:rFonts w:hint="eastAsia"/>
                <w:sz w:val="18"/>
                <w:szCs w:val="18"/>
              </w:rPr>
              <w:t>列</w:t>
            </w:r>
            <w:r>
              <w:rPr>
                <w:sz w:val="18"/>
                <w:szCs w:val="18"/>
              </w:rPr>
              <w:t>的公司的市场占有率之和</w:t>
            </w:r>
            <w:r>
              <w:rPr>
                <w:rFonts w:hint="eastAsia"/>
                <w:sz w:val="18"/>
                <w:szCs w:val="18"/>
              </w:rPr>
              <w:t>，用于</w:t>
            </w:r>
            <w:r>
              <w:rPr>
                <w:sz w:val="18"/>
                <w:szCs w:val="18"/>
              </w:rPr>
              <w:t>衡量和判断一个市场的竞争程度</w:t>
            </w:r>
          </w:p>
        </w:tc>
      </w:tr>
    </w:tbl>
    <w:p w14:paraId="0419C4B8" w14:textId="77777777" w:rsidR="004B0883" w:rsidRDefault="004B0883">
      <w:pPr>
        <w:pStyle w:val="002"/>
        <w:spacing w:before="120" w:after="120"/>
        <w:rPr>
          <w:rFonts w:hint="eastAsia"/>
        </w:rPr>
      </w:pPr>
      <w:bookmarkStart w:id="49" w:name="_Toc152320774"/>
      <w:bookmarkStart w:id="50" w:name="_Hlk122553260"/>
      <w:r>
        <w:rPr>
          <w:rFonts w:hint="eastAsia"/>
        </w:rPr>
        <w:t>三、可转换公司债券涉及专有词语</w:t>
      </w:r>
      <w:bookmarkEnd w:id="49"/>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20"/>
        <w:gridCol w:w="550"/>
        <w:gridCol w:w="6112"/>
      </w:tblGrid>
      <w:tr w:rsidR="004B0883" w14:paraId="1A487BD9" w14:textId="77777777">
        <w:trPr>
          <w:trHeight w:val="340"/>
          <w:jc w:val="center"/>
        </w:trPr>
        <w:tc>
          <w:tcPr>
            <w:tcW w:w="978" w:type="pct"/>
            <w:shd w:val="clear" w:color="auto" w:fill="FFFFFF"/>
            <w:tcMar>
              <w:top w:w="0" w:type="dxa"/>
              <w:left w:w="108" w:type="dxa"/>
              <w:bottom w:w="0" w:type="dxa"/>
              <w:right w:w="108" w:type="dxa"/>
            </w:tcMar>
            <w:vAlign w:val="center"/>
          </w:tcPr>
          <w:p w14:paraId="6B9C676F" w14:textId="77777777" w:rsidR="004B0883" w:rsidRDefault="004B0883">
            <w:pPr>
              <w:autoSpaceDE w:val="0"/>
              <w:autoSpaceDN w:val="0"/>
              <w:adjustRightInd w:val="0"/>
              <w:snapToGrid w:val="0"/>
              <w:rPr>
                <w:color w:val="000000"/>
                <w:sz w:val="18"/>
                <w:szCs w:val="18"/>
              </w:rPr>
            </w:pPr>
            <w:r>
              <w:rPr>
                <w:rFonts w:hAnsi="宋体"/>
                <w:color w:val="000000"/>
                <w:sz w:val="18"/>
                <w:szCs w:val="18"/>
              </w:rPr>
              <w:t>可转债</w:t>
            </w:r>
          </w:p>
        </w:tc>
        <w:tc>
          <w:tcPr>
            <w:tcW w:w="332" w:type="pct"/>
            <w:shd w:val="clear" w:color="auto" w:fill="FFFFFF"/>
            <w:tcMar>
              <w:top w:w="0" w:type="dxa"/>
              <w:left w:w="108" w:type="dxa"/>
              <w:bottom w:w="0" w:type="dxa"/>
              <w:right w:w="108" w:type="dxa"/>
            </w:tcMar>
            <w:vAlign w:val="center"/>
          </w:tcPr>
          <w:p w14:paraId="6A390E0C" w14:textId="77777777" w:rsidR="004B0883" w:rsidRDefault="004B0883">
            <w:pPr>
              <w:adjustRightInd w:val="0"/>
              <w:snapToGrid w:val="0"/>
              <w:jc w:val="center"/>
              <w:rPr>
                <w:sz w:val="18"/>
                <w:szCs w:val="18"/>
              </w:rPr>
            </w:pPr>
            <w:r>
              <w:rPr>
                <w:rFonts w:hAnsi="宋体"/>
                <w:sz w:val="18"/>
                <w:szCs w:val="18"/>
              </w:rPr>
              <w:t>指</w:t>
            </w:r>
          </w:p>
        </w:tc>
        <w:tc>
          <w:tcPr>
            <w:tcW w:w="3690" w:type="pct"/>
            <w:shd w:val="clear" w:color="auto" w:fill="FFFFFF"/>
            <w:tcMar>
              <w:top w:w="0" w:type="dxa"/>
              <w:left w:w="108" w:type="dxa"/>
              <w:bottom w:w="0" w:type="dxa"/>
              <w:right w:w="108" w:type="dxa"/>
            </w:tcMar>
            <w:vAlign w:val="center"/>
          </w:tcPr>
          <w:p w14:paraId="29DCE4F6" w14:textId="77777777" w:rsidR="004B0883" w:rsidRDefault="004B0883">
            <w:pPr>
              <w:autoSpaceDE w:val="0"/>
              <w:autoSpaceDN w:val="0"/>
              <w:adjustRightInd w:val="0"/>
              <w:snapToGrid w:val="0"/>
              <w:rPr>
                <w:color w:val="000000"/>
                <w:sz w:val="18"/>
                <w:szCs w:val="18"/>
              </w:rPr>
            </w:pPr>
            <w:r>
              <w:rPr>
                <w:rFonts w:hAnsi="宋体"/>
                <w:color w:val="000000"/>
                <w:sz w:val="18"/>
                <w:szCs w:val="18"/>
              </w:rPr>
              <w:t>可转换公司债券，即可转换为公司</w:t>
            </w:r>
            <w:r>
              <w:rPr>
                <w:color w:val="000000"/>
                <w:sz w:val="18"/>
                <w:szCs w:val="18"/>
              </w:rPr>
              <w:t>A</w:t>
            </w:r>
            <w:r>
              <w:rPr>
                <w:rFonts w:hAnsi="宋体"/>
                <w:color w:val="000000"/>
                <w:sz w:val="18"/>
                <w:szCs w:val="18"/>
              </w:rPr>
              <w:t>股股票的公司债券</w:t>
            </w:r>
          </w:p>
        </w:tc>
      </w:tr>
      <w:tr w:rsidR="004B0883" w14:paraId="6FE3D152" w14:textId="77777777">
        <w:trPr>
          <w:trHeight w:val="340"/>
          <w:jc w:val="center"/>
        </w:trPr>
        <w:tc>
          <w:tcPr>
            <w:tcW w:w="978" w:type="pct"/>
            <w:shd w:val="clear" w:color="auto" w:fill="FFFFFF"/>
            <w:tcMar>
              <w:top w:w="0" w:type="dxa"/>
              <w:left w:w="108" w:type="dxa"/>
              <w:bottom w:w="0" w:type="dxa"/>
              <w:right w:w="108" w:type="dxa"/>
            </w:tcMar>
            <w:vAlign w:val="center"/>
          </w:tcPr>
          <w:p w14:paraId="69C3FC6F" w14:textId="77777777" w:rsidR="004B0883" w:rsidRDefault="004B0883">
            <w:pPr>
              <w:autoSpaceDE w:val="0"/>
              <w:autoSpaceDN w:val="0"/>
              <w:adjustRightInd w:val="0"/>
              <w:snapToGrid w:val="0"/>
              <w:rPr>
                <w:color w:val="000000"/>
                <w:sz w:val="18"/>
                <w:szCs w:val="18"/>
              </w:rPr>
            </w:pPr>
            <w:r>
              <w:rPr>
                <w:rFonts w:hAnsi="宋体"/>
                <w:color w:val="000000"/>
                <w:sz w:val="18"/>
                <w:szCs w:val="18"/>
              </w:rPr>
              <w:t>债券持有人</w:t>
            </w:r>
          </w:p>
        </w:tc>
        <w:tc>
          <w:tcPr>
            <w:tcW w:w="332" w:type="pct"/>
            <w:shd w:val="clear" w:color="auto" w:fill="FFFFFF"/>
            <w:tcMar>
              <w:top w:w="0" w:type="dxa"/>
              <w:left w:w="108" w:type="dxa"/>
              <w:bottom w:w="0" w:type="dxa"/>
              <w:right w:w="108" w:type="dxa"/>
            </w:tcMar>
            <w:vAlign w:val="center"/>
          </w:tcPr>
          <w:p w14:paraId="1EB82EE7" w14:textId="77777777" w:rsidR="004B0883" w:rsidRDefault="004B0883">
            <w:pPr>
              <w:adjustRightInd w:val="0"/>
              <w:snapToGrid w:val="0"/>
              <w:jc w:val="center"/>
              <w:rPr>
                <w:sz w:val="18"/>
                <w:szCs w:val="18"/>
              </w:rPr>
            </w:pPr>
            <w:r>
              <w:rPr>
                <w:rFonts w:hAnsi="宋体"/>
                <w:sz w:val="18"/>
                <w:szCs w:val="18"/>
              </w:rPr>
              <w:t>指</w:t>
            </w:r>
          </w:p>
        </w:tc>
        <w:tc>
          <w:tcPr>
            <w:tcW w:w="3690" w:type="pct"/>
            <w:shd w:val="clear" w:color="auto" w:fill="FFFFFF"/>
            <w:tcMar>
              <w:top w:w="0" w:type="dxa"/>
              <w:left w:w="108" w:type="dxa"/>
              <w:bottom w:w="0" w:type="dxa"/>
              <w:right w:w="108" w:type="dxa"/>
            </w:tcMar>
            <w:vAlign w:val="center"/>
          </w:tcPr>
          <w:p w14:paraId="1AEC2212" w14:textId="77777777" w:rsidR="004B0883" w:rsidRDefault="004B0883">
            <w:pPr>
              <w:autoSpaceDE w:val="0"/>
              <w:autoSpaceDN w:val="0"/>
              <w:adjustRightInd w:val="0"/>
              <w:snapToGrid w:val="0"/>
              <w:rPr>
                <w:color w:val="000000"/>
                <w:sz w:val="18"/>
                <w:szCs w:val="18"/>
              </w:rPr>
            </w:pPr>
            <w:r>
              <w:rPr>
                <w:rFonts w:hAnsi="宋体"/>
                <w:color w:val="000000"/>
                <w:sz w:val="18"/>
                <w:szCs w:val="18"/>
              </w:rPr>
              <w:t>根据登记结算机构的记录显示在其名下登记拥有本次可转债的投资者</w:t>
            </w:r>
          </w:p>
        </w:tc>
      </w:tr>
      <w:tr w:rsidR="004B0883" w14:paraId="676E6E17" w14:textId="77777777">
        <w:trPr>
          <w:trHeight w:val="340"/>
          <w:jc w:val="center"/>
        </w:trPr>
        <w:tc>
          <w:tcPr>
            <w:tcW w:w="978" w:type="pct"/>
            <w:shd w:val="clear" w:color="auto" w:fill="FFFFFF"/>
            <w:tcMar>
              <w:top w:w="0" w:type="dxa"/>
              <w:left w:w="108" w:type="dxa"/>
              <w:bottom w:w="0" w:type="dxa"/>
              <w:right w:w="108" w:type="dxa"/>
            </w:tcMar>
            <w:vAlign w:val="center"/>
          </w:tcPr>
          <w:p w14:paraId="11E22D41" w14:textId="77777777" w:rsidR="004B0883" w:rsidRDefault="004B0883">
            <w:pPr>
              <w:autoSpaceDE w:val="0"/>
              <w:autoSpaceDN w:val="0"/>
              <w:adjustRightInd w:val="0"/>
              <w:snapToGrid w:val="0"/>
              <w:rPr>
                <w:color w:val="000000"/>
                <w:sz w:val="18"/>
                <w:szCs w:val="18"/>
              </w:rPr>
            </w:pPr>
            <w:r>
              <w:rPr>
                <w:rFonts w:hAnsi="宋体"/>
                <w:color w:val="000000"/>
                <w:sz w:val="18"/>
                <w:szCs w:val="18"/>
              </w:rPr>
              <w:t>付息年度</w:t>
            </w:r>
          </w:p>
        </w:tc>
        <w:tc>
          <w:tcPr>
            <w:tcW w:w="332" w:type="pct"/>
            <w:shd w:val="clear" w:color="auto" w:fill="FFFFFF"/>
            <w:tcMar>
              <w:top w:w="0" w:type="dxa"/>
              <w:left w:w="108" w:type="dxa"/>
              <w:bottom w:w="0" w:type="dxa"/>
              <w:right w:w="108" w:type="dxa"/>
            </w:tcMar>
            <w:vAlign w:val="center"/>
          </w:tcPr>
          <w:p w14:paraId="2CEED0D6" w14:textId="77777777" w:rsidR="004B0883" w:rsidRDefault="004B0883">
            <w:pPr>
              <w:adjustRightInd w:val="0"/>
              <w:snapToGrid w:val="0"/>
              <w:jc w:val="center"/>
              <w:rPr>
                <w:sz w:val="18"/>
                <w:szCs w:val="18"/>
              </w:rPr>
            </w:pPr>
            <w:r>
              <w:rPr>
                <w:rFonts w:hAnsi="宋体"/>
                <w:sz w:val="18"/>
                <w:szCs w:val="18"/>
              </w:rPr>
              <w:t>指</w:t>
            </w:r>
          </w:p>
        </w:tc>
        <w:tc>
          <w:tcPr>
            <w:tcW w:w="3690" w:type="pct"/>
            <w:shd w:val="clear" w:color="auto" w:fill="FFFFFF"/>
            <w:tcMar>
              <w:top w:w="0" w:type="dxa"/>
              <w:left w:w="108" w:type="dxa"/>
              <w:bottom w:w="0" w:type="dxa"/>
              <w:right w:w="108" w:type="dxa"/>
            </w:tcMar>
            <w:vAlign w:val="center"/>
          </w:tcPr>
          <w:p w14:paraId="60CE5A63" w14:textId="77777777" w:rsidR="004B0883" w:rsidRDefault="004B0883">
            <w:pPr>
              <w:autoSpaceDE w:val="0"/>
              <w:autoSpaceDN w:val="0"/>
              <w:adjustRightInd w:val="0"/>
              <w:snapToGrid w:val="0"/>
              <w:rPr>
                <w:color w:val="000000"/>
                <w:sz w:val="18"/>
                <w:szCs w:val="18"/>
              </w:rPr>
            </w:pPr>
            <w:r>
              <w:rPr>
                <w:rFonts w:hAnsi="宋体"/>
                <w:color w:val="000000"/>
                <w:sz w:val="18"/>
                <w:szCs w:val="18"/>
              </w:rPr>
              <w:t>可转债发行日起每</w:t>
            </w:r>
            <w:r>
              <w:rPr>
                <w:color w:val="000000"/>
                <w:sz w:val="18"/>
                <w:szCs w:val="18"/>
              </w:rPr>
              <w:t>12</w:t>
            </w:r>
            <w:r>
              <w:rPr>
                <w:rFonts w:hAnsi="宋体"/>
                <w:color w:val="000000"/>
                <w:sz w:val="18"/>
                <w:szCs w:val="18"/>
              </w:rPr>
              <w:t>个月</w:t>
            </w:r>
          </w:p>
        </w:tc>
      </w:tr>
      <w:tr w:rsidR="004B0883" w14:paraId="2A960265" w14:textId="77777777">
        <w:trPr>
          <w:trHeight w:val="340"/>
          <w:jc w:val="center"/>
        </w:trPr>
        <w:tc>
          <w:tcPr>
            <w:tcW w:w="978" w:type="pct"/>
            <w:shd w:val="clear" w:color="auto" w:fill="FFFFFF"/>
            <w:tcMar>
              <w:top w:w="0" w:type="dxa"/>
              <w:left w:w="108" w:type="dxa"/>
              <w:bottom w:w="0" w:type="dxa"/>
              <w:right w:w="108" w:type="dxa"/>
            </w:tcMar>
            <w:vAlign w:val="center"/>
          </w:tcPr>
          <w:p w14:paraId="1282584D" w14:textId="77777777" w:rsidR="004B0883" w:rsidRDefault="004B0883">
            <w:pPr>
              <w:autoSpaceDE w:val="0"/>
              <w:autoSpaceDN w:val="0"/>
              <w:adjustRightInd w:val="0"/>
              <w:snapToGrid w:val="0"/>
              <w:rPr>
                <w:color w:val="000000"/>
                <w:sz w:val="18"/>
                <w:szCs w:val="18"/>
              </w:rPr>
            </w:pPr>
            <w:r>
              <w:rPr>
                <w:rFonts w:hAnsi="宋体"/>
                <w:color w:val="000000"/>
                <w:sz w:val="18"/>
                <w:szCs w:val="18"/>
              </w:rPr>
              <w:t>转股、转换</w:t>
            </w:r>
          </w:p>
        </w:tc>
        <w:tc>
          <w:tcPr>
            <w:tcW w:w="332" w:type="pct"/>
            <w:shd w:val="clear" w:color="auto" w:fill="FFFFFF"/>
            <w:tcMar>
              <w:top w:w="0" w:type="dxa"/>
              <w:left w:w="108" w:type="dxa"/>
              <w:bottom w:w="0" w:type="dxa"/>
              <w:right w:w="108" w:type="dxa"/>
            </w:tcMar>
            <w:vAlign w:val="center"/>
          </w:tcPr>
          <w:p w14:paraId="2D8243B0" w14:textId="77777777" w:rsidR="004B0883" w:rsidRDefault="004B0883">
            <w:pPr>
              <w:adjustRightInd w:val="0"/>
              <w:snapToGrid w:val="0"/>
              <w:jc w:val="center"/>
              <w:rPr>
                <w:b/>
                <w:bCs/>
                <w:sz w:val="18"/>
                <w:szCs w:val="18"/>
              </w:rPr>
            </w:pPr>
            <w:r>
              <w:rPr>
                <w:rFonts w:hAnsi="宋体"/>
                <w:sz w:val="18"/>
                <w:szCs w:val="18"/>
              </w:rPr>
              <w:t>指</w:t>
            </w:r>
          </w:p>
        </w:tc>
        <w:tc>
          <w:tcPr>
            <w:tcW w:w="3690" w:type="pct"/>
            <w:shd w:val="clear" w:color="auto" w:fill="FFFFFF"/>
            <w:tcMar>
              <w:top w:w="0" w:type="dxa"/>
              <w:left w:w="108" w:type="dxa"/>
              <w:bottom w:w="0" w:type="dxa"/>
              <w:right w:w="108" w:type="dxa"/>
            </w:tcMar>
            <w:vAlign w:val="center"/>
          </w:tcPr>
          <w:p w14:paraId="796B75E0" w14:textId="77777777" w:rsidR="004B0883" w:rsidRDefault="004B0883">
            <w:pPr>
              <w:autoSpaceDE w:val="0"/>
              <w:autoSpaceDN w:val="0"/>
              <w:adjustRightInd w:val="0"/>
              <w:snapToGrid w:val="0"/>
              <w:rPr>
                <w:color w:val="000000"/>
                <w:sz w:val="18"/>
                <w:szCs w:val="18"/>
              </w:rPr>
            </w:pPr>
            <w:r>
              <w:rPr>
                <w:rFonts w:hAnsi="宋体"/>
                <w:color w:val="000000"/>
                <w:sz w:val="18"/>
                <w:szCs w:val="18"/>
              </w:rPr>
              <w:t>持有人将其持有的可转债相应的债权按约定的价格和程序转换为发行人股权的过程；在该过程中，代表相应债权的可转债被注销，同时发行人向该持有人发行代表相应股权的普通股</w:t>
            </w:r>
          </w:p>
        </w:tc>
      </w:tr>
      <w:tr w:rsidR="004B0883" w14:paraId="2E699E07" w14:textId="77777777">
        <w:trPr>
          <w:trHeight w:val="340"/>
          <w:jc w:val="center"/>
        </w:trPr>
        <w:tc>
          <w:tcPr>
            <w:tcW w:w="978" w:type="pct"/>
            <w:shd w:val="clear" w:color="auto" w:fill="FFFFFF"/>
            <w:tcMar>
              <w:top w:w="0" w:type="dxa"/>
              <w:left w:w="108" w:type="dxa"/>
              <w:bottom w:w="0" w:type="dxa"/>
              <w:right w:w="108" w:type="dxa"/>
            </w:tcMar>
            <w:vAlign w:val="center"/>
          </w:tcPr>
          <w:p w14:paraId="57E6A572" w14:textId="77777777" w:rsidR="004B0883" w:rsidRDefault="004B0883">
            <w:pPr>
              <w:autoSpaceDE w:val="0"/>
              <w:autoSpaceDN w:val="0"/>
              <w:adjustRightInd w:val="0"/>
              <w:snapToGrid w:val="0"/>
              <w:rPr>
                <w:color w:val="000000"/>
                <w:sz w:val="18"/>
                <w:szCs w:val="18"/>
              </w:rPr>
            </w:pPr>
            <w:r>
              <w:rPr>
                <w:rFonts w:hAnsi="宋体"/>
                <w:color w:val="000000"/>
                <w:sz w:val="18"/>
                <w:szCs w:val="18"/>
              </w:rPr>
              <w:t>转换期</w:t>
            </w:r>
          </w:p>
        </w:tc>
        <w:tc>
          <w:tcPr>
            <w:tcW w:w="332" w:type="pct"/>
            <w:shd w:val="clear" w:color="auto" w:fill="FFFFFF"/>
            <w:tcMar>
              <w:top w:w="0" w:type="dxa"/>
              <w:left w:w="108" w:type="dxa"/>
              <w:bottom w:w="0" w:type="dxa"/>
              <w:right w:w="108" w:type="dxa"/>
            </w:tcMar>
            <w:vAlign w:val="center"/>
          </w:tcPr>
          <w:p w14:paraId="4665EE90" w14:textId="77777777" w:rsidR="004B0883" w:rsidRDefault="004B0883">
            <w:pPr>
              <w:adjustRightInd w:val="0"/>
              <w:snapToGrid w:val="0"/>
              <w:jc w:val="center"/>
              <w:rPr>
                <w:b/>
                <w:bCs/>
                <w:sz w:val="18"/>
                <w:szCs w:val="18"/>
              </w:rPr>
            </w:pPr>
            <w:r>
              <w:rPr>
                <w:rFonts w:hAnsi="宋体"/>
                <w:sz w:val="18"/>
                <w:szCs w:val="18"/>
              </w:rPr>
              <w:t>指</w:t>
            </w:r>
          </w:p>
        </w:tc>
        <w:tc>
          <w:tcPr>
            <w:tcW w:w="3690" w:type="pct"/>
            <w:shd w:val="clear" w:color="auto" w:fill="FFFFFF"/>
            <w:tcMar>
              <w:top w:w="0" w:type="dxa"/>
              <w:left w:w="108" w:type="dxa"/>
              <w:bottom w:w="0" w:type="dxa"/>
              <w:right w:w="108" w:type="dxa"/>
            </w:tcMar>
            <w:vAlign w:val="center"/>
          </w:tcPr>
          <w:p w14:paraId="4F7DF695" w14:textId="77777777" w:rsidR="004B0883" w:rsidRDefault="004B0883">
            <w:pPr>
              <w:autoSpaceDE w:val="0"/>
              <w:autoSpaceDN w:val="0"/>
              <w:adjustRightInd w:val="0"/>
              <w:snapToGrid w:val="0"/>
              <w:rPr>
                <w:color w:val="000000"/>
                <w:sz w:val="18"/>
                <w:szCs w:val="18"/>
              </w:rPr>
            </w:pPr>
            <w:r>
              <w:rPr>
                <w:rFonts w:hAnsi="宋体"/>
                <w:color w:val="000000"/>
                <w:sz w:val="18"/>
                <w:szCs w:val="18"/>
              </w:rPr>
              <w:t>持有人可以将可转债转换为发行人普通股的起始日至结束日期间</w:t>
            </w:r>
          </w:p>
        </w:tc>
      </w:tr>
      <w:tr w:rsidR="004B0883" w14:paraId="743B1C17" w14:textId="77777777">
        <w:trPr>
          <w:trHeight w:val="340"/>
          <w:jc w:val="center"/>
        </w:trPr>
        <w:tc>
          <w:tcPr>
            <w:tcW w:w="978" w:type="pct"/>
            <w:shd w:val="clear" w:color="auto" w:fill="FFFFFF"/>
            <w:tcMar>
              <w:top w:w="0" w:type="dxa"/>
              <w:left w:w="108" w:type="dxa"/>
              <w:bottom w:w="0" w:type="dxa"/>
              <w:right w:w="108" w:type="dxa"/>
            </w:tcMar>
            <w:vAlign w:val="center"/>
          </w:tcPr>
          <w:p w14:paraId="24E03B9A" w14:textId="77777777" w:rsidR="004B0883" w:rsidRDefault="004B0883">
            <w:pPr>
              <w:autoSpaceDE w:val="0"/>
              <w:autoSpaceDN w:val="0"/>
              <w:adjustRightInd w:val="0"/>
              <w:snapToGrid w:val="0"/>
              <w:rPr>
                <w:color w:val="000000"/>
                <w:sz w:val="18"/>
                <w:szCs w:val="18"/>
              </w:rPr>
            </w:pPr>
            <w:r>
              <w:rPr>
                <w:rFonts w:hAnsi="宋体"/>
                <w:color w:val="000000"/>
                <w:sz w:val="18"/>
                <w:szCs w:val="18"/>
              </w:rPr>
              <w:t>转股价格</w:t>
            </w:r>
          </w:p>
        </w:tc>
        <w:tc>
          <w:tcPr>
            <w:tcW w:w="332" w:type="pct"/>
            <w:shd w:val="clear" w:color="auto" w:fill="FFFFFF"/>
            <w:tcMar>
              <w:top w:w="0" w:type="dxa"/>
              <w:left w:w="108" w:type="dxa"/>
              <w:bottom w:w="0" w:type="dxa"/>
              <w:right w:w="108" w:type="dxa"/>
            </w:tcMar>
            <w:vAlign w:val="center"/>
          </w:tcPr>
          <w:p w14:paraId="495B3A3E" w14:textId="77777777" w:rsidR="004B0883" w:rsidRDefault="004B0883">
            <w:pPr>
              <w:adjustRightInd w:val="0"/>
              <w:snapToGrid w:val="0"/>
              <w:jc w:val="center"/>
              <w:rPr>
                <w:b/>
                <w:bCs/>
                <w:sz w:val="18"/>
                <w:szCs w:val="18"/>
              </w:rPr>
            </w:pPr>
            <w:r>
              <w:rPr>
                <w:rFonts w:hAnsi="宋体"/>
                <w:sz w:val="18"/>
                <w:szCs w:val="18"/>
              </w:rPr>
              <w:t>指</w:t>
            </w:r>
          </w:p>
        </w:tc>
        <w:tc>
          <w:tcPr>
            <w:tcW w:w="3690" w:type="pct"/>
            <w:shd w:val="clear" w:color="auto" w:fill="FFFFFF"/>
            <w:tcMar>
              <w:top w:w="0" w:type="dxa"/>
              <w:left w:w="108" w:type="dxa"/>
              <w:bottom w:w="0" w:type="dxa"/>
              <w:right w:w="108" w:type="dxa"/>
            </w:tcMar>
            <w:vAlign w:val="center"/>
          </w:tcPr>
          <w:p w14:paraId="4BD6384F" w14:textId="77777777" w:rsidR="004B0883" w:rsidRDefault="004B0883">
            <w:pPr>
              <w:autoSpaceDE w:val="0"/>
              <w:autoSpaceDN w:val="0"/>
              <w:adjustRightInd w:val="0"/>
              <w:snapToGrid w:val="0"/>
              <w:rPr>
                <w:color w:val="000000"/>
                <w:sz w:val="18"/>
                <w:szCs w:val="18"/>
              </w:rPr>
            </w:pPr>
            <w:r>
              <w:rPr>
                <w:rFonts w:hAnsi="宋体"/>
                <w:color w:val="000000"/>
                <w:sz w:val="18"/>
                <w:szCs w:val="18"/>
              </w:rPr>
              <w:t>本次发行的可转债转换为公司普通股时，持有人需支付的每股价格</w:t>
            </w:r>
          </w:p>
        </w:tc>
      </w:tr>
      <w:tr w:rsidR="004B0883" w14:paraId="3B77CA90" w14:textId="77777777">
        <w:trPr>
          <w:trHeight w:val="340"/>
          <w:jc w:val="center"/>
        </w:trPr>
        <w:tc>
          <w:tcPr>
            <w:tcW w:w="978" w:type="pct"/>
            <w:shd w:val="clear" w:color="auto" w:fill="FFFFFF"/>
            <w:tcMar>
              <w:top w:w="0" w:type="dxa"/>
              <w:left w:w="108" w:type="dxa"/>
              <w:bottom w:w="0" w:type="dxa"/>
              <w:right w:w="108" w:type="dxa"/>
            </w:tcMar>
            <w:vAlign w:val="center"/>
          </w:tcPr>
          <w:p w14:paraId="1AB1A60E" w14:textId="77777777" w:rsidR="004B0883" w:rsidRDefault="004B0883">
            <w:pPr>
              <w:autoSpaceDE w:val="0"/>
              <w:autoSpaceDN w:val="0"/>
              <w:adjustRightInd w:val="0"/>
              <w:snapToGrid w:val="0"/>
              <w:rPr>
                <w:color w:val="000000"/>
                <w:sz w:val="18"/>
                <w:szCs w:val="18"/>
              </w:rPr>
            </w:pPr>
            <w:r>
              <w:rPr>
                <w:rFonts w:hAnsi="宋体"/>
                <w:color w:val="000000"/>
                <w:sz w:val="18"/>
                <w:szCs w:val="18"/>
              </w:rPr>
              <w:t>赎回</w:t>
            </w:r>
          </w:p>
        </w:tc>
        <w:tc>
          <w:tcPr>
            <w:tcW w:w="332" w:type="pct"/>
            <w:shd w:val="clear" w:color="auto" w:fill="FFFFFF"/>
            <w:tcMar>
              <w:top w:w="0" w:type="dxa"/>
              <w:left w:w="108" w:type="dxa"/>
              <w:bottom w:w="0" w:type="dxa"/>
              <w:right w:w="108" w:type="dxa"/>
            </w:tcMar>
            <w:vAlign w:val="center"/>
          </w:tcPr>
          <w:p w14:paraId="2C3C18C4" w14:textId="77777777" w:rsidR="004B0883" w:rsidRDefault="004B0883">
            <w:pPr>
              <w:adjustRightInd w:val="0"/>
              <w:snapToGrid w:val="0"/>
              <w:jc w:val="center"/>
              <w:rPr>
                <w:b/>
                <w:bCs/>
                <w:sz w:val="18"/>
                <w:szCs w:val="18"/>
              </w:rPr>
            </w:pPr>
            <w:r>
              <w:rPr>
                <w:rFonts w:hAnsi="宋体"/>
                <w:sz w:val="18"/>
                <w:szCs w:val="18"/>
              </w:rPr>
              <w:t>指</w:t>
            </w:r>
          </w:p>
        </w:tc>
        <w:tc>
          <w:tcPr>
            <w:tcW w:w="3690" w:type="pct"/>
            <w:shd w:val="clear" w:color="auto" w:fill="FFFFFF"/>
            <w:tcMar>
              <w:top w:w="0" w:type="dxa"/>
              <w:left w:w="108" w:type="dxa"/>
              <w:bottom w:w="0" w:type="dxa"/>
              <w:right w:w="108" w:type="dxa"/>
            </w:tcMar>
            <w:vAlign w:val="center"/>
          </w:tcPr>
          <w:p w14:paraId="188EDB17" w14:textId="77777777" w:rsidR="004B0883" w:rsidRDefault="004B0883">
            <w:pPr>
              <w:autoSpaceDE w:val="0"/>
              <w:autoSpaceDN w:val="0"/>
              <w:adjustRightInd w:val="0"/>
              <w:snapToGrid w:val="0"/>
              <w:rPr>
                <w:color w:val="000000"/>
                <w:sz w:val="18"/>
                <w:szCs w:val="18"/>
              </w:rPr>
            </w:pPr>
            <w:r>
              <w:rPr>
                <w:rFonts w:hAnsi="宋体"/>
                <w:color w:val="000000"/>
                <w:sz w:val="18"/>
                <w:szCs w:val="18"/>
              </w:rPr>
              <w:t>发行人按事先约定的价格买回未转股的可转债</w:t>
            </w:r>
          </w:p>
        </w:tc>
      </w:tr>
      <w:tr w:rsidR="004B0883" w14:paraId="56277C79" w14:textId="77777777">
        <w:trPr>
          <w:trHeight w:val="340"/>
          <w:jc w:val="center"/>
        </w:trPr>
        <w:tc>
          <w:tcPr>
            <w:tcW w:w="978" w:type="pct"/>
            <w:shd w:val="clear" w:color="auto" w:fill="FFFFFF"/>
            <w:tcMar>
              <w:top w:w="0" w:type="dxa"/>
              <w:left w:w="108" w:type="dxa"/>
              <w:bottom w:w="0" w:type="dxa"/>
              <w:right w:w="108" w:type="dxa"/>
            </w:tcMar>
            <w:vAlign w:val="center"/>
          </w:tcPr>
          <w:p w14:paraId="7DA2BB8B" w14:textId="77777777" w:rsidR="004B0883" w:rsidRDefault="004B0883">
            <w:pPr>
              <w:autoSpaceDE w:val="0"/>
              <w:autoSpaceDN w:val="0"/>
              <w:adjustRightInd w:val="0"/>
              <w:snapToGrid w:val="0"/>
              <w:rPr>
                <w:color w:val="000000"/>
                <w:sz w:val="18"/>
                <w:szCs w:val="18"/>
              </w:rPr>
            </w:pPr>
            <w:r>
              <w:rPr>
                <w:rFonts w:hAnsi="宋体"/>
                <w:color w:val="000000"/>
                <w:sz w:val="18"/>
                <w:szCs w:val="18"/>
              </w:rPr>
              <w:t>回售</w:t>
            </w:r>
          </w:p>
        </w:tc>
        <w:tc>
          <w:tcPr>
            <w:tcW w:w="332" w:type="pct"/>
            <w:shd w:val="clear" w:color="auto" w:fill="FFFFFF"/>
            <w:tcMar>
              <w:top w:w="0" w:type="dxa"/>
              <w:left w:w="108" w:type="dxa"/>
              <w:bottom w:w="0" w:type="dxa"/>
              <w:right w:w="108" w:type="dxa"/>
            </w:tcMar>
            <w:vAlign w:val="center"/>
          </w:tcPr>
          <w:p w14:paraId="6701BD67" w14:textId="77777777" w:rsidR="004B0883" w:rsidRDefault="004B0883">
            <w:pPr>
              <w:adjustRightInd w:val="0"/>
              <w:snapToGrid w:val="0"/>
              <w:jc w:val="center"/>
              <w:rPr>
                <w:b/>
                <w:bCs/>
                <w:sz w:val="18"/>
                <w:szCs w:val="18"/>
              </w:rPr>
            </w:pPr>
            <w:r>
              <w:rPr>
                <w:rFonts w:hAnsi="宋体"/>
                <w:sz w:val="18"/>
                <w:szCs w:val="18"/>
              </w:rPr>
              <w:t>指</w:t>
            </w:r>
          </w:p>
        </w:tc>
        <w:tc>
          <w:tcPr>
            <w:tcW w:w="3690" w:type="pct"/>
            <w:shd w:val="clear" w:color="auto" w:fill="FFFFFF"/>
            <w:tcMar>
              <w:top w:w="0" w:type="dxa"/>
              <w:left w:w="108" w:type="dxa"/>
              <w:bottom w:w="0" w:type="dxa"/>
              <w:right w:w="108" w:type="dxa"/>
            </w:tcMar>
            <w:vAlign w:val="center"/>
          </w:tcPr>
          <w:p w14:paraId="48CC06A3" w14:textId="77777777" w:rsidR="004B0883" w:rsidRDefault="004B0883">
            <w:pPr>
              <w:autoSpaceDE w:val="0"/>
              <w:autoSpaceDN w:val="0"/>
              <w:adjustRightInd w:val="0"/>
              <w:snapToGrid w:val="0"/>
              <w:rPr>
                <w:color w:val="000000"/>
                <w:sz w:val="18"/>
                <w:szCs w:val="18"/>
              </w:rPr>
            </w:pPr>
            <w:r>
              <w:rPr>
                <w:rFonts w:hAnsi="宋体"/>
                <w:color w:val="000000"/>
                <w:sz w:val="18"/>
                <w:szCs w:val="18"/>
              </w:rPr>
              <w:t>可转债持有人按事先约定的价格将所持有的可转债卖给发行人</w:t>
            </w:r>
          </w:p>
        </w:tc>
      </w:tr>
    </w:tbl>
    <w:p w14:paraId="43DEFEF4" w14:textId="77777777" w:rsidR="004B0883" w:rsidRDefault="004B0883">
      <w:pPr>
        <w:pStyle w:val="006"/>
        <w:ind w:firstLine="420"/>
        <w:rPr>
          <w:rFonts w:hint="eastAsia"/>
        </w:rPr>
      </w:pPr>
      <w:bookmarkStart w:id="51" w:name="_Hlk122553302"/>
      <w:bookmarkEnd w:id="39"/>
      <w:bookmarkEnd w:id="40"/>
      <w:bookmarkEnd w:id="50"/>
      <w:r>
        <w:rPr>
          <w:rFonts w:hint="eastAsia"/>
        </w:rPr>
        <w:t>特别提示：本募集说明书中若出现总数与各分项数值之和尾数不符的情况，均为四舍五入原因造成。本募集说明书所引用的有关行业的统计及其他信息，均来自不同的公开刊物、研究报告及行业专业机构提供的信息，但由于引用不同来源的统计信息可能因其统计口径有一定的差异，统计信息并非完全具有可比性。</w:t>
      </w:r>
    </w:p>
    <w:p w14:paraId="5CE7BE0A" w14:textId="77777777" w:rsidR="004B0883" w:rsidRDefault="004B0883">
      <w:pPr>
        <w:pStyle w:val="001"/>
        <w:spacing w:before="120" w:after="120"/>
        <w:rPr>
          <w:rFonts w:hint="eastAsia"/>
        </w:rPr>
      </w:pPr>
      <w:bookmarkStart w:id="52" w:name="_Toc152320775"/>
      <w:bookmarkEnd w:id="51"/>
      <w:r>
        <w:rPr>
          <w:rFonts w:hint="eastAsia"/>
        </w:rPr>
        <w:t>第二节</w:t>
      </w:r>
      <w:r>
        <w:rPr>
          <w:rFonts w:hint="eastAsia"/>
        </w:rPr>
        <w:t xml:space="preserve">  </w:t>
      </w:r>
      <w:r>
        <w:rPr>
          <w:rFonts w:hint="eastAsia"/>
        </w:rPr>
        <w:t>本次发行概况</w:t>
      </w:r>
      <w:bookmarkEnd w:id="34"/>
      <w:bookmarkEnd w:id="52"/>
    </w:p>
    <w:p w14:paraId="417278F3" w14:textId="77777777" w:rsidR="004B0883" w:rsidRDefault="004B0883">
      <w:pPr>
        <w:pStyle w:val="002"/>
        <w:spacing w:before="120" w:after="120"/>
        <w:rPr>
          <w:rFonts w:hint="eastAsia"/>
        </w:rPr>
      </w:pPr>
      <w:bookmarkStart w:id="53" w:name="_Toc523129010"/>
      <w:bookmarkStart w:id="54" w:name="_Toc42001311"/>
      <w:bookmarkStart w:id="55" w:name="_Toc152320776"/>
      <w:bookmarkStart w:id="56" w:name="_Toc42001318"/>
      <w:r>
        <w:rPr>
          <w:rFonts w:hint="eastAsia"/>
        </w:rPr>
        <w:t>一、公司基本情况</w:t>
      </w:r>
      <w:bookmarkEnd w:id="53"/>
      <w:bookmarkEnd w:id="54"/>
      <w:bookmarkEnd w:id="55"/>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515"/>
        <w:gridCol w:w="5767"/>
      </w:tblGrid>
      <w:tr w:rsidR="004B0883" w14:paraId="361525E8" w14:textId="77777777">
        <w:trPr>
          <w:trHeight w:val="397"/>
          <w:jc w:val="center"/>
        </w:trPr>
        <w:tc>
          <w:tcPr>
            <w:tcW w:w="2587" w:type="dxa"/>
            <w:shd w:val="clear" w:color="auto" w:fill="D9D9D9"/>
            <w:tcMar>
              <w:top w:w="0" w:type="dxa"/>
              <w:left w:w="108" w:type="dxa"/>
              <w:bottom w:w="0" w:type="dxa"/>
              <w:right w:w="108" w:type="dxa"/>
            </w:tcMar>
            <w:vAlign w:val="center"/>
          </w:tcPr>
          <w:p w14:paraId="5F96CAA8" w14:textId="77777777" w:rsidR="004B0883" w:rsidRDefault="004B0883">
            <w:pPr>
              <w:adjustRightInd w:val="0"/>
              <w:snapToGrid w:val="0"/>
              <w:jc w:val="center"/>
              <w:rPr>
                <w:b/>
              </w:rPr>
            </w:pPr>
            <w:r>
              <w:rPr>
                <w:rFonts w:hAnsi="宋体"/>
                <w:b/>
              </w:rPr>
              <w:t>项目</w:t>
            </w:r>
          </w:p>
        </w:tc>
        <w:tc>
          <w:tcPr>
            <w:tcW w:w="5941" w:type="dxa"/>
            <w:shd w:val="clear" w:color="auto" w:fill="D9D9D9"/>
            <w:tcMar>
              <w:top w:w="0" w:type="dxa"/>
              <w:left w:w="108" w:type="dxa"/>
              <w:bottom w:w="0" w:type="dxa"/>
              <w:right w:w="108" w:type="dxa"/>
            </w:tcMar>
            <w:vAlign w:val="center"/>
          </w:tcPr>
          <w:p w14:paraId="36E97AB4" w14:textId="77777777" w:rsidR="004B0883" w:rsidRDefault="004B0883">
            <w:pPr>
              <w:adjustRightInd w:val="0"/>
              <w:snapToGrid w:val="0"/>
              <w:jc w:val="center"/>
              <w:rPr>
                <w:b/>
              </w:rPr>
            </w:pPr>
            <w:r>
              <w:rPr>
                <w:rFonts w:hAnsi="宋体"/>
                <w:b/>
              </w:rPr>
              <w:t>内容</w:t>
            </w:r>
          </w:p>
        </w:tc>
      </w:tr>
      <w:tr w:rsidR="004B0883" w14:paraId="7AFCDF93" w14:textId="77777777">
        <w:trPr>
          <w:trHeight w:val="397"/>
          <w:jc w:val="center"/>
        </w:trPr>
        <w:tc>
          <w:tcPr>
            <w:tcW w:w="2587" w:type="dxa"/>
            <w:tcMar>
              <w:top w:w="0" w:type="dxa"/>
              <w:left w:w="108" w:type="dxa"/>
              <w:bottom w:w="0" w:type="dxa"/>
              <w:right w:w="108" w:type="dxa"/>
            </w:tcMar>
            <w:vAlign w:val="center"/>
          </w:tcPr>
          <w:p w14:paraId="645BF8F1" w14:textId="77777777" w:rsidR="004B0883" w:rsidRDefault="004B0883">
            <w:pPr>
              <w:adjustRightInd w:val="0"/>
              <w:snapToGrid w:val="0"/>
            </w:pPr>
            <w:r>
              <w:rPr>
                <w:rFonts w:hAnsi="宋体"/>
              </w:rPr>
              <w:t>中文名称</w:t>
            </w:r>
          </w:p>
        </w:tc>
        <w:tc>
          <w:tcPr>
            <w:tcW w:w="5941" w:type="dxa"/>
            <w:tcMar>
              <w:top w:w="0" w:type="dxa"/>
              <w:left w:w="108" w:type="dxa"/>
              <w:bottom w:w="0" w:type="dxa"/>
              <w:right w:w="108" w:type="dxa"/>
            </w:tcMar>
            <w:vAlign w:val="center"/>
          </w:tcPr>
          <w:p w14:paraId="376A1037" w14:textId="77777777" w:rsidR="004B0883" w:rsidRDefault="004B0883">
            <w:pPr>
              <w:adjustRightInd w:val="0"/>
              <w:snapToGrid w:val="0"/>
            </w:pPr>
            <w:r>
              <w:rPr>
                <w:rFonts w:hAnsi="宋体" w:hint="eastAsia"/>
              </w:rPr>
              <w:t>青岛伟隆阀门股份有限公司</w:t>
            </w:r>
          </w:p>
        </w:tc>
      </w:tr>
      <w:tr w:rsidR="004B0883" w14:paraId="51855C66" w14:textId="77777777">
        <w:trPr>
          <w:trHeight w:val="397"/>
          <w:jc w:val="center"/>
        </w:trPr>
        <w:tc>
          <w:tcPr>
            <w:tcW w:w="2587" w:type="dxa"/>
            <w:tcMar>
              <w:top w:w="0" w:type="dxa"/>
              <w:left w:w="108" w:type="dxa"/>
              <w:bottom w:w="0" w:type="dxa"/>
              <w:right w:w="108" w:type="dxa"/>
            </w:tcMar>
            <w:vAlign w:val="center"/>
          </w:tcPr>
          <w:p w14:paraId="521A0330" w14:textId="77777777" w:rsidR="004B0883" w:rsidRDefault="004B0883">
            <w:pPr>
              <w:adjustRightInd w:val="0"/>
              <w:snapToGrid w:val="0"/>
            </w:pPr>
            <w:r>
              <w:rPr>
                <w:rFonts w:hAnsi="宋体"/>
              </w:rPr>
              <w:t>英文名称</w:t>
            </w:r>
          </w:p>
        </w:tc>
        <w:tc>
          <w:tcPr>
            <w:tcW w:w="5941" w:type="dxa"/>
            <w:tcMar>
              <w:top w:w="0" w:type="dxa"/>
              <w:left w:w="108" w:type="dxa"/>
              <w:bottom w:w="0" w:type="dxa"/>
              <w:right w:w="108" w:type="dxa"/>
            </w:tcMar>
            <w:vAlign w:val="center"/>
          </w:tcPr>
          <w:p w14:paraId="4AF91AC9" w14:textId="77777777" w:rsidR="004B0883" w:rsidRDefault="004B0883">
            <w:pPr>
              <w:adjustRightInd w:val="0"/>
              <w:snapToGrid w:val="0"/>
            </w:pPr>
            <w:r>
              <w:t>QINGDAO WEFLO VALVE CO., LTD.</w:t>
            </w:r>
          </w:p>
        </w:tc>
      </w:tr>
      <w:tr w:rsidR="004B0883" w14:paraId="100FBAC4" w14:textId="77777777">
        <w:trPr>
          <w:trHeight w:val="397"/>
          <w:jc w:val="center"/>
        </w:trPr>
        <w:tc>
          <w:tcPr>
            <w:tcW w:w="2587" w:type="dxa"/>
            <w:tcMar>
              <w:top w:w="0" w:type="dxa"/>
              <w:left w:w="108" w:type="dxa"/>
              <w:bottom w:w="0" w:type="dxa"/>
              <w:right w:w="108" w:type="dxa"/>
            </w:tcMar>
            <w:vAlign w:val="center"/>
          </w:tcPr>
          <w:p w14:paraId="0436848F" w14:textId="77777777" w:rsidR="004B0883" w:rsidRDefault="004B0883">
            <w:pPr>
              <w:adjustRightInd w:val="0"/>
              <w:snapToGrid w:val="0"/>
            </w:pPr>
            <w:r>
              <w:rPr>
                <w:rFonts w:hAnsi="宋体"/>
              </w:rPr>
              <w:t>注册地址</w:t>
            </w:r>
          </w:p>
        </w:tc>
        <w:tc>
          <w:tcPr>
            <w:tcW w:w="5941" w:type="dxa"/>
            <w:tcMar>
              <w:top w:w="0" w:type="dxa"/>
              <w:left w:w="108" w:type="dxa"/>
              <w:bottom w:w="0" w:type="dxa"/>
              <w:right w:w="108" w:type="dxa"/>
            </w:tcMar>
            <w:vAlign w:val="center"/>
          </w:tcPr>
          <w:p w14:paraId="3A880AB6" w14:textId="77777777" w:rsidR="004B0883" w:rsidRDefault="004B0883">
            <w:pPr>
              <w:adjustRightInd w:val="0"/>
              <w:snapToGrid w:val="0"/>
            </w:pPr>
            <w:r>
              <w:rPr>
                <w:rFonts w:hint="eastAsia"/>
              </w:rPr>
              <w:t>山东省青岛市高新区春阳路</w:t>
            </w:r>
            <w:r>
              <w:rPr>
                <w:rFonts w:hint="eastAsia"/>
              </w:rPr>
              <w:t>789</w:t>
            </w:r>
            <w:r>
              <w:rPr>
                <w:rFonts w:hint="eastAsia"/>
              </w:rPr>
              <w:t>号</w:t>
            </w:r>
          </w:p>
        </w:tc>
      </w:tr>
      <w:tr w:rsidR="004B0883" w14:paraId="125459EC" w14:textId="77777777">
        <w:trPr>
          <w:trHeight w:val="397"/>
          <w:jc w:val="center"/>
        </w:trPr>
        <w:tc>
          <w:tcPr>
            <w:tcW w:w="2587" w:type="dxa"/>
            <w:tcMar>
              <w:top w:w="0" w:type="dxa"/>
              <w:left w:w="108" w:type="dxa"/>
              <w:bottom w:w="0" w:type="dxa"/>
              <w:right w:w="108" w:type="dxa"/>
            </w:tcMar>
            <w:vAlign w:val="center"/>
          </w:tcPr>
          <w:p w14:paraId="467CB217" w14:textId="77777777" w:rsidR="004B0883" w:rsidRDefault="004B0883">
            <w:pPr>
              <w:adjustRightInd w:val="0"/>
              <w:snapToGrid w:val="0"/>
              <w:rPr>
                <w:rFonts w:hAnsi="宋体" w:hint="eastAsia"/>
              </w:rPr>
            </w:pPr>
            <w:bookmarkStart w:id="57" w:name="_Hlk150789382"/>
            <w:r>
              <w:rPr>
                <w:rFonts w:hAnsi="宋体" w:hint="eastAsia"/>
              </w:rPr>
              <w:t>注册资本</w:t>
            </w:r>
          </w:p>
        </w:tc>
        <w:tc>
          <w:tcPr>
            <w:tcW w:w="5941" w:type="dxa"/>
            <w:tcMar>
              <w:top w:w="0" w:type="dxa"/>
              <w:left w:w="108" w:type="dxa"/>
              <w:bottom w:w="0" w:type="dxa"/>
              <w:right w:w="108" w:type="dxa"/>
            </w:tcMar>
            <w:vAlign w:val="center"/>
          </w:tcPr>
          <w:p w14:paraId="38C901BC" w14:textId="77777777" w:rsidR="004B0883" w:rsidRDefault="004B0883">
            <w:pPr>
              <w:adjustRightInd w:val="0"/>
              <w:snapToGrid w:val="0"/>
              <w:rPr>
                <w:rFonts w:hint="eastAsia"/>
              </w:rPr>
            </w:pPr>
            <w:r w:rsidRPr="005A5153">
              <w:rPr>
                <w:rFonts w:ascii="楷体" w:eastAsia="楷体" w:hAnsi="楷体"/>
                <w:b/>
                <w:bCs/>
              </w:rPr>
              <w:t>219,368,887</w:t>
            </w:r>
            <w:r w:rsidRPr="005A5153">
              <w:rPr>
                <w:rFonts w:ascii="楷体" w:eastAsia="楷体" w:hAnsi="楷体" w:hint="eastAsia"/>
                <w:b/>
                <w:bCs/>
              </w:rPr>
              <w:t>元</w:t>
            </w:r>
          </w:p>
        </w:tc>
      </w:tr>
      <w:bookmarkEnd w:id="57"/>
      <w:tr w:rsidR="004B0883" w14:paraId="6374FA57" w14:textId="77777777">
        <w:trPr>
          <w:trHeight w:val="397"/>
          <w:jc w:val="center"/>
        </w:trPr>
        <w:tc>
          <w:tcPr>
            <w:tcW w:w="2587" w:type="dxa"/>
            <w:tcMar>
              <w:top w:w="0" w:type="dxa"/>
              <w:left w:w="108" w:type="dxa"/>
              <w:bottom w:w="0" w:type="dxa"/>
              <w:right w:w="108" w:type="dxa"/>
            </w:tcMar>
            <w:vAlign w:val="center"/>
          </w:tcPr>
          <w:p w14:paraId="490A774B" w14:textId="77777777" w:rsidR="004B0883" w:rsidRDefault="004B0883">
            <w:pPr>
              <w:adjustRightInd w:val="0"/>
              <w:snapToGrid w:val="0"/>
            </w:pPr>
            <w:r>
              <w:rPr>
                <w:rFonts w:hAnsi="宋体"/>
              </w:rPr>
              <w:t>成立时间</w:t>
            </w:r>
          </w:p>
        </w:tc>
        <w:tc>
          <w:tcPr>
            <w:tcW w:w="5941" w:type="dxa"/>
            <w:tcMar>
              <w:top w:w="0" w:type="dxa"/>
              <w:left w:w="108" w:type="dxa"/>
              <w:bottom w:w="0" w:type="dxa"/>
              <w:right w:w="108" w:type="dxa"/>
            </w:tcMar>
            <w:vAlign w:val="center"/>
          </w:tcPr>
          <w:p w14:paraId="318F59CE" w14:textId="77777777" w:rsidR="004B0883" w:rsidRDefault="004B0883">
            <w:pPr>
              <w:adjustRightInd w:val="0"/>
              <w:snapToGrid w:val="0"/>
            </w:pPr>
            <w:r>
              <w:rPr>
                <w:rFonts w:hint="eastAsia"/>
              </w:rPr>
              <w:t>1995</w:t>
            </w:r>
            <w:r>
              <w:rPr>
                <w:rFonts w:hint="eastAsia"/>
              </w:rPr>
              <w:t>年</w:t>
            </w:r>
            <w:r>
              <w:rPr>
                <w:rFonts w:hint="eastAsia"/>
              </w:rPr>
              <w:t>6</w:t>
            </w:r>
            <w:r>
              <w:rPr>
                <w:rFonts w:hint="eastAsia"/>
              </w:rPr>
              <w:t>月</w:t>
            </w:r>
            <w:r>
              <w:rPr>
                <w:rFonts w:hint="eastAsia"/>
              </w:rPr>
              <w:t>8</w:t>
            </w:r>
            <w:r>
              <w:rPr>
                <w:rFonts w:hint="eastAsia"/>
              </w:rPr>
              <w:t>日</w:t>
            </w:r>
          </w:p>
        </w:tc>
      </w:tr>
      <w:tr w:rsidR="004B0883" w14:paraId="48D3D3AA" w14:textId="77777777">
        <w:trPr>
          <w:trHeight w:val="397"/>
          <w:jc w:val="center"/>
        </w:trPr>
        <w:tc>
          <w:tcPr>
            <w:tcW w:w="2587" w:type="dxa"/>
            <w:tcMar>
              <w:top w:w="0" w:type="dxa"/>
              <w:left w:w="108" w:type="dxa"/>
              <w:bottom w:w="0" w:type="dxa"/>
              <w:right w:w="108" w:type="dxa"/>
            </w:tcMar>
            <w:vAlign w:val="center"/>
          </w:tcPr>
          <w:p w14:paraId="19B4D8E3" w14:textId="77777777" w:rsidR="004B0883" w:rsidRDefault="004B0883">
            <w:pPr>
              <w:adjustRightInd w:val="0"/>
              <w:snapToGrid w:val="0"/>
            </w:pPr>
            <w:r>
              <w:rPr>
                <w:rFonts w:hAnsi="宋体"/>
              </w:rPr>
              <w:t>股票简称</w:t>
            </w:r>
          </w:p>
        </w:tc>
        <w:tc>
          <w:tcPr>
            <w:tcW w:w="5941" w:type="dxa"/>
            <w:tcMar>
              <w:top w:w="0" w:type="dxa"/>
              <w:left w:w="108" w:type="dxa"/>
              <w:bottom w:w="0" w:type="dxa"/>
              <w:right w:w="108" w:type="dxa"/>
            </w:tcMar>
            <w:vAlign w:val="center"/>
          </w:tcPr>
          <w:p w14:paraId="49F14AEA" w14:textId="77777777" w:rsidR="004B0883" w:rsidRDefault="004B0883">
            <w:pPr>
              <w:adjustRightInd w:val="0"/>
              <w:snapToGrid w:val="0"/>
            </w:pPr>
            <w:r>
              <w:rPr>
                <w:rFonts w:hAnsi="宋体" w:hint="eastAsia"/>
              </w:rPr>
              <w:t>伟隆股份</w:t>
            </w:r>
          </w:p>
        </w:tc>
      </w:tr>
      <w:tr w:rsidR="004B0883" w14:paraId="6955464A" w14:textId="77777777">
        <w:trPr>
          <w:trHeight w:val="397"/>
          <w:jc w:val="center"/>
        </w:trPr>
        <w:tc>
          <w:tcPr>
            <w:tcW w:w="2587" w:type="dxa"/>
            <w:tcMar>
              <w:top w:w="0" w:type="dxa"/>
              <w:left w:w="108" w:type="dxa"/>
              <w:bottom w:w="0" w:type="dxa"/>
              <w:right w:w="108" w:type="dxa"/>
            </w:tcMar>
            <w:vAlign w:val="center"/>
          </w:tcPr>
          <w:p w14:paraId="016C06BD" w14:textId="77777777" w:rsidR="004B0883" w:rsidRDefault="004B0883">
            <w:pPr>
              <w:adjustRightInd w:val="0"/>
              <w:snapToGrid w:val="0"/>
            </w:pPr>
            <w:r>
              <w:rPr>
                <w:rFonts w:hAnsi="宋体"/>
              </w:rPr>
              <w:t>股票代码</w:t>
            </w:r>
          </w:p>
        </w:tc>
        <w:tc>
          <w:tcPr>
            <w:tcW w:w="5941" w:type="dxa"/>
            <w:tcMar>
              <w:top w:w="0" w:type="dxa"/>
              <w:left w:w="108" w:type="dxa"/>
              <w:bottom w:w="0" w:type="dxa"/>
              <w:right w:w="108" w:type="dxa"/>
            </w:tcMar>
            <w:vAlign w:val="center"/>
          </w:tcPr>
          <w:p w14:paraId="284B3C4E" w14:textId="77777777" w:rsidR="004B0883" w:rsidRDefault="004B0883">
            <w:pPr>
              <w:adjustRightInd w:val="0"/>
              <w:snapToGrid w:val="0"/>
            </w:pPr>
            <w:r>
              <w:t>002871.SZ</w:t>
            </w:r>
          </w:p>
        </w:tc>
      </w:tr>
      <w:tr w:rsidR="004B0883" w14:paraId="1746B5C7" w14:textId="77777777">
        <w:trPr>
          <w:trHeight w:val="397"/>
          <w:jc w:val="center"/>
        </w:trPr>
        <w:tc>
          <w:tcPr>
            <w:tcW w:w="2587" w:type="dxa"/>
            <w:tcMar>
              <w:top w:w="0" w:type="dxa"/>
              <w:left w:w="108" w:type="dxa"/>
              <w:bottom w:w="0" w:type="dxa"/>
              <w:right w:w="108" w:type="dxa"/>
            </w:tcMar>
            <w:vAlign w:val="center"/>
          </w:tcPr>
          <w:p w14:paraId="077674F1" w14:textId="77777777" w:rsidR="004B0883" w:rsidRDefault="004B0883">
            <w:pPr>
              <w:adjustRightInd w:val="0"/>
              <w:snapToGrid w:val="0"/>
            </w:pPr>
            <w:r>
              <w:rPr>
                <w:rFonts w:hAnsi="宋体"/>
              </w:rPr>
              <w:t>股票上市地</w:t>
            </w:r>
          </w:p>
        </w:tc>
        <w:tc>
          <w:tcPr>
            <w:tcW w:w="5941" w:type="dxa"/>
            <w:tcMar>
              <w:top w:w="0" w:type="dxa"/>
              <w:left w:w="108" w:type="dxa"/>
              <w:bottom w:w="0" w:type="dxa"/>
              <w:right w:w="108" w:type="dxa"/>
            </w:tcMar>
            <w:vAlign w:val="center"/>
          </w:tcPr>
          <w:p w14:paraId="6670FA7F" w14:textId="77777777" w:rsidR="004B0883" w:rsidRDefault="004B0883">
            <w:pPr>
              <w:adjustRightInd w:val="0"/>
              <w:snapToGrid w:val="0"/>
            </w:pPr>
            <w:r>
              <w:rPr>
                <w:rFonts w:hAnsi="宋体"/>
              </w:rPr>
              <w:t>深圳证券交易所</w:t>
            </w:r>
          </w:p>
        </w:tc>
      </w:tr>
      <w:tr w:rsidR="004B0883" w14:paraId="655F9459" w14:textId="77777777">
        <w:trPr>
          <w:trHeight w:val="397"/>
          <w:jc w:val="center"/>
        </w:trPr>
        <w:tc>
          <w:tcPr>
            <w:tcW w:w="2587" w:type="dxa"/>
            <w:tcMar>
              <w:top w:w="0" w:type="dxa"/>
              <w:left w:w="108" w:type="dxa"/>
              <w:bottom w:w="0" w:type="dxa"/>
              <w:right w:w="108" w:type="dxa"/>
            </w:tcMar>
            <w:vAlign w:val="center"/>
          </w:tcPr>
          <w:p w14:paraId="0EB84C64" w14:textId="77777777" w:rsidR="004B0883" w:rsidRDefault="004B0883">
            <w:pPr>
              <w:adjustRightInd w:val="0"/>
              <w:snapToGrid w:val="0"/>
            </w:pPr>
            <w:r>
              <w:rPr>
                <w:rFonts w:hAnsi="宋体"/>
              </w:rPr>
              <w:t>公司住所</w:t>
            </w:r>
          </w:p>
        </w:tc>
        <w:tc>
          <w:tcPr>
            <w:tcW w:w="5941" w:type="dxa"/>
            <w:tcMar>
              <w:top w:w="0" w:type="dxa"/>
              <w:left w:w="108" w:type="dxa"/>
              <w:bottom w:w="0" w:type="dxa"/>
              <w:right w:w="108" w:type="dxa"/>
            </w:tcMar>
            <w:vAlign w:val="center"/>
          </w:tcPr>
          <w:p w14:paraId="4F575B8A" w14:textId="77777777" w:rsidR="004B0883" w:rsidRDefault="004B0883">
            <w:pPr>
              <w:adjustRightInd w:val="0"/>
              <w:snapToGrid w:val="0"/>
            </w:pPr>
            <w:r>
              <w:rPr>
                <w:rFonts w:hAnsi="宋体" w:hint="eastAsia"/>
              </w:rPr>
              <w:t>山东省青岛市高新区春阳路</w:t>
            </w:r>
            <w:r>
              <w:rPr>
                <w:rFonts w:hAnsi="宋体" w:hint="eastAsia"/>
              </w:rPr>
              <w:t>789</w:t>
            </w:r>
            <w:r>
              <w:rPr>
                <w:rFonts w:hAnsi="宋体" w:hint="eastAsia"/>
              </w:rPr>
              <w:t>号</w:t>
            </w:r>
          </w:p>
        </w:tc>
      </w:tr>
      <w:tr w:rsidR="004B0883" w14:paraId="26C9BF5E" w14:textId="77777777">
        <w:trPr>
          <w:trHeight w:val="397"/>
          <w:jc w:val="center"/>
        </w:trPr>
        <w:tc>
          <w:tcPr>
            <w:tcW w:w="2587" w:type="dxa"/>
            <w:tcMar>
              <w:top w:w="0" w:type="dxa"/>
              <w:left w:w="108" w:type="dxa"/>
              <w:bottom w:w="0" w:type="dxa"/>
              <w:right w:w="108" w:type="dxa"/>
            </w:tcMar>
            <w:vAlign w:val="center"/>
          </w:tcPr>
          <w:p w14:paraId="1ECB04A8" w14:textId="77777777" w:rsidR="004B0883" w:rsidRDefault="004B0883">
            <w:pPr>
              <w:adjustRightInd w:val="0"/>
              <w:snapToGrid w:val="0"/>
            </w:pPr>
            <w:r>
              <w:rPr>
                <w:rFonts w:hAnsi="宋体"/>
              </w:rPr>
              <w:t>法定代表人</w:t>
            </w:r>
          </w:p>
        </w:tc>
        <w:tc>
          <w:tcPr>
            <w:tcW w:w="5941" w:type="dxa"/>
            <w:tcMar>
              <w:top w:w="0" w:type="dxa"/>
              <w:left w:w="108" w:type="dxa"/>
              <w:bottom w:w="0" w:type="dxa"/>
              <w:right w:w="108" w:type="dxa"/>
            </w:tcMar>
            <w:vAlign w:val="center"/>
          </w:tcPr>
          <w:p w14:paraId="6D7E7134" w14:textId="77777777" w:rsidR="004B0883" w:rsidRDefault="004B0883">
            <w:pPr>
              <w:adjustRightInd w:val="0"/>
              <w:snapToGrid w:val="0"/>
              <w:rPr>
                <w:rFonts w:hint="eastAsia"/>
              </w:rPr>
            </w:pPr>
            <w:r>
              <w:rPr>
                <w:rFonts w:hint="eastAsia"/>
              </w:rPr>
              <w:t>范庆伟</w:t>
            </w:r>
          </w:p>
        </w:tc>
      </w:tr>
      <w:tr w:rsidR="004B0883" w14:paraId="32A03B0C" w14:textId="77777777">
        <w:trPr>
          <w:trHeight w:val="397"/>
          <w:jc w:val="center"/>
        </w:trPr>
        <w:tc>
          <w:tcPr>
            <w:tcW w:w="2587" w:type="dxa"/>
            <w:tcMar>
              <w:top w:w="0" w:type="dxa"/>
              <w:left w:w="108" w:type="dxa"/>
              <w:bottom w:w="0" w:type="dxa"/>
              <w:right w:w="108" w:type="dxa"/>
            </w:tcMar>
            <w:vAlign w:val="center"/>
          </w:tcPr>
          <w:p w14:paraId="24BF4D25" w14:textId="77777777" w:rsidR="004B0883" w:rsidRDefault="004B0883">
            <w:pPr>
              <w:adjustRightInd w:val="0"/>
              <w:snapToGrid w:val="0"/>
            </w:pPr>
            <w:r>
              <w:rPr>
                <w:rFonts w:hAnsi="宋体"/>
              </w:rPr>
              <w:t>统一社会信用代码</w:t>
            </w:r>
          </w:p>
        </w:tc>
        <w:tc>
          <w:tcPr>
            <w:tcW w:w="5941" w:type="dxa"/>
            <w:tcMar>
              <w:top w:w="0" w:type="dxa"/>
              <w:left w:w="108" w:type="dxa"/>
              <w:bottom w:w="0" w:type="dxa"/>
              <w:right w:w="108" w:type="dxa"/>
            </w:tcMar>
            <w:vAlign w:val="center"/>
          </w:tcPr>
          <w:p w14:paraId="59FF4FAB" w14:textId="77777777" w:rsidR="004B0883" w:rsidRDefault="004B0883">
            <w:pPr>
              <w:adjustRightInd w:val="0"/>
              <w:snapToGrid w:val="0"/>
            </w:pPr>
            <w:r>
              <w:t>91370200614257783M</w:t>
            </w:r>
          </w:p>
        </w:tc>
      </w:tr>
      <w:tr w:rsidR="004B0883" w14:paraId="793B3286" w14:textId="77777777">
        <w:trPr>
          <w:trHeight w:val="397"/>
          <w:jc w:val="center"/>
        </w:trPr>
        <w:tc>
          <w:tcPr>
            <w:tcW w:w="2587" w:type="dxa"/>
            <w:tcMar>
              <w:top w:w="0" w:type="dxa"/>
              <w:left w:w="108" w:type="dxa"/>
              <w:bottom w:w="0" w:type="dxa"/>
              <w:right w:w="108" w:type="dxa"/>
            </w:tcMar>
            <w:vAlign w:val="center"/>
          </w:tcPr>
          <w:p w14:paraId="480612BA" w14:textId="77777777" w:rsidR="004B0883" w:rsidRDefault="004B0883">
            <w:pPr>
              <w:adjustRightInd w:val="0"/>
              <w:snapToGrid w:val="0"/>
            </w:pPr>
            <w:r>
              <w:rPr>
                <w:rFonts w:hAnsi="宋体"/>
              </w:rPr>
              <w:t>经营范围</w:t>
            </w:r>
          </w:p>
        </w:tc>
        <w:tc>
          <w:tcPr>
            <w:tcW w:w="5941" w:type="dxa"/>
            <w:tcMar>
              <w:top w:w="0" w:type="dxa"/>
              <w:left w:w="108" w:type="dxa"/>
              <w:bottom w:w="0" w:type="dxa"/>
              <w:right w:w="108" w:type="dxa"/>
            </w:tcMar>
            <w:vAlign w:val="center"/>
          </w:tcPr>
          <w:p w14:paraId="2C093B78" w14:textId="77777777" w:rsidR="004B0883" w:rsidRDefault="004B0883">
            <w:pPr>
              <w:adjustRightInd w:val="0"/>
              <w:snapToGrid w:val="0"/>
              <w:rPr>
                <w:rFonts w:hAnsi="宋体" w:hint="eastAsia"/>
              </w:rPr>
            </w:pPr>
            <w:r>
              <w:rPr>
                <w:rFonts w:hAnsi="宋体" w:hint="eastAsia"/>
              </w:rPr>
              <w:t>制造销售消防阀门、消防栓、消防设备配件（不含国家限制品种）、阀门及其配件、管件、机械配件，批发、零售工艺品、服装鞋帽、五金、化工产品（不含危险化学品）、普通机械、建筑材料、计算机及其配件，货物进出口、技术进出口；海洋水质与生态环境监测仪器设备销售；海洋环境监测与探测装备销售；导航、测绘、气象及海洋专用仪器销售；海洋环境服务；海洋工程关键配套系统开发；海洋工程装备销售；制造、销售汽车农机零部件；制造、销售机床床身及零部件；制造销售密封件、橡胶制品。（法律、行政法规禁止的项目除外；法律、行政法规限制的项目取得许可后方可经营。（依法须经批准的项目，经相关部门批准后方可开展经营活动）</w:t>
            </w:r>
          </w:p>
        </w:tc>
      </w:tr>
      <w:tr w:rsidR="004B0883" w14:paraId="090D4942" w14:textId="77777777">
        <w:trPr>
          <w:trHeight w:val="397"/>
          <w:jc w:val="center"/>
        </w:trPr>
        <w:tc>
          <w:tcPr>
            <w:tcW w:w="2587" w:type="dxa"/>
            <w:tcMar>
              <w:top w:w="0" w:type="dxa"/>
              <w:left w:w="108" w:type="dxa"/>
              <w:bottom w:w="0" w:type="dxa"/>
              <w:right w:w="108" w:type="dxa"/>
            </w:tcMar>
            <w:vAlign w:val="center"/>
          </w:tcPr>
          <w:p w14:paraId="6F0E26E7" w14:textId="77777777" w:rsidR="004B0883" w:rsidRDefault="004B0883">
            <w:pPr>
              <w:adjustRightInd w:val="0"/>
              <w:snapToGrid w:val="0"/>
            </w:pPr>
            <w:r>
              <w:rPr>
                <w:rFonts w:hAnsi="宋体"/>
              </w:rPr>
              <w:t>联系电话</w:t>
            </w:r>
          </w:p>
        </w:tc>
        <w:tc>
          <w:tcPr>
            <w:tcW w:w="5941" w:type="dxa"/>
            <w:tcMar>
              <w:top w:w="0" w:type="dxa"/>
              <w:left w:w="108" w:type="dxa"/>
              <w:bottom w:w="0" w:type="dxa"/>
              <w:right w:w="108" w:type="dxa"/>
            </w:tcMar>
            <w:vAlign w:val="center"/>
          </w:tcPr>
          <w:p w14:paraId="0CF75F3C" w14:textId="77777777" w:rsidR="004B0883" w:rsidRDefault="004B0883">
            <w:pPr>
              <w:adjustRightInd w:val="0"/>
              <w:snapToGrid w:val="0"/>
            </w:pPr>
            <w:r>
              <w:t>0532-87901466</w:t>
            </w:r>
          </w:p>
        </w:tc>
      </w:tr>
      <w:tr w:rsidR="004B0883" w14:paraId="4D6FA9BE" w14:textId="77777777">
        <w:trPr>
          <w:trHeight w:val="397"/>
          <w:jc w:val="center"/>
        </w:trPr>
        <w:tc>
          <w:tcPr>
            <w:tcW w:w="2587" w:type="dxa"/>
            <w:tcMar>
              <w:top w:w="0" w:type="dxa"/>
              <w:left w:w="108" w:type="dxa"/>
              <w:bottom w:w="0" w:type="dxa"/>
              <w:right w:w="108" w:type="dxa"/>
            </w:tcMar>
            <w:vAlign w:val="center"/>
          </w:tcPr>
          <w:p w14:paraId="5DC00EE4" w14:textId="77777777" w:rsidR="004B0883" w:rsidRDefault="004B0883">
            <w:pPr>
              <w:adjustRightInd w:val="0"/>
              <w:snapToGrid w:val="0"/>
            </w:pPr>
            <w:r>
              <w:rPr>
                <w:rFonts w:hAnsi="宋体"/>
              </w:rPr>
              <w:t>传真</w:t>
            </w:r>
          </w:p>
        </w:tc>
        <w:tc>
          <w:tcPr>
            <w:tcW w:w="5941" w:type="dxa"/>
            <w:tcMar>
              <w:top w:w="0" w:type="dxa"/>
              <w:left w:w="108" w:type="dxa"/>
              <w:bottom w:w="0" w:type="dxa"/>
              <w:right w:w="108" w:type="dxa"/>
            </w:tcMar>
            <w:vAlign w:val="center"/>
          </w:tcPr>
          <w:p w14:paraId="2C081739" w14:textId="77777777" w:rsidR="004B0883" w:rsidRDefault="004B0883">
            <w:pPr>
              <w:adjustRightInd w:val="0"/>
              <w:snapToGrid w:val="0"/>
            </w:pPr>
            <w:r>
              <w:t>0532-87901466</w:t>
            </w:r>
          </w:p>
        </w:tc>
      </w:tr>
      <w:tr w:rsidR="004B0883" w14:paraId="57A62E54" w14:textId="77777777">
        <w:trPr>
          <w:trHeight w:val="397"/>
          <w:jc w:val="center"/>
        </w:trPr>
        <w:tc>
          <w:tcPr>
            <w:tcW w:w="2587" w:type="dxa"/>
            <w:tcMar>
              <w:top w:w="0" w:type="dxa"/>
              <w:left w:w="108" w:type="dxa"/>
              <w:bottom w:w="0" w:type="dxa"/>
              <w:right w:w="108" w:type="dxa"/>
            </w:tcMar>
            <w:vAlign w:val="center"/>
          </w:tcPr>
          <w:p w14:paraId="4FCFB52A" w14:textId="77777777" w:rsidR="004B0883" w:rsidRDefault="004B0883">
            <w:pPr>
              <w:adjustRightInd w:val="0"/>
              <w:snapToGrid w:val="0"/>
            </w:pPr>
            <w:r>
              <w:rPr>
                <w:rFonts w:hAnsi="宋体"/>
              </w:rPr>
              <w:t>邮政编码</w:t>
            </w:r>
          </w:p>
        </w:tc>
        <w:tc>
          <w:tcPr>
            <w:tcW w:w="5941" w:type="dxa"/>
            <w:tcMar>
              <w:top w:w="0" w:type="dxa"/>
              <w:left w:w="108" w:type="dxa"/>
              <w:bottom w:w="0" w:type="dxa"/>
              <w:right w:w="108" w:type="dxa"/>
            </w:tcMar>
            <w:vAlign w:val="center"/>
          </w:tcPr>
          <w:p w14:paraId="6E65EF9C" w14:textId="77777777" w:rsidR="004B0883" w:rsidRDefault="004B0883">
            <w:pPr>
              <w:adjustRightInd w:val="0"/>
              <w:snapToGrid w:val="0"/>
            </w:pPr>
            <w:r>
              <w:t>266000</w:t>
            </w:r>
          </w:p>
        </w:tc>
      </w:tr>
      <w:tr w:rsidR="004B0883" w14:paraId="20CA79DD" w14:textId="77777777">
        <w:trPr>
          <w:trHeight w:val="397"/>
          <w:jc w:val="center"/>
        </w:trPr>
        <w:tc>
          <w:tcPr>
            <w:tcW w:w="2587" w:type="dxa"/>
            <w:tcMar>
              <w:top w:w="0" w:type="dxa"/>
              <w:left w:w="108" w:type="dxa"/>
              <w:bottom w:w="0" w:type="dxa"/>
              <w:right w:w="108" w:type="dxa"/>
            </w:tcMar>
            <w:vAlign w:val="center"/>
          </w:tcPr>
          <w:p w14:paraId="1D4C33B2" w14:textId="77777777" w:rsidR="004B0883" w:rsidRDefault="004B0883">
            <w:pPr>
              <w:adjustRightInd w:val="0"/>
              <w:snapToGrid w:val="0"/>
            </w:pPr>
            <w:r>
              <w:rPr>
                <w:rFonts w:hAnsi="宋体"/>
              </w:rPr>
              <w:t>互联网地址</w:t>
            </w:r>
          </w:p>
        </w:tc>
        <w:tc>
          <w:tcPr>
            <w:tcW w:w="5941" w:type="dxa"/>
            <w:tcMar>
              <w:top w:w="0" w:type="dxa"/>
              <w:left w:w="108" w:type="dxa"/>
              <w:bottom w:w="0" w:type="dxa"/>
              <w:right w:w="108" w:type="dxa"/>
            </w:tcMar>
            <w:vAlign w:val="center"/>
          </w:tcPr>
          <w:p w14:paraId="0F67EBB7" w14:textId="77777777" w:rsidR="004B0883" w:rsidRDefault="004B0883">
            <w:pPr>
              <w:adjustRightInd w:val="0"/>
              <w:snapToGrid w:val="0"/>
            </w:pPr>
            <w:r>
              <w:t>www.weilongvalve.com</w:t>
            </w:r>
          </w:p>
        </w:tc>
      </w:tr>
      <w:tr w:rsidR="004B0883" w14:paraId="6CFAD098" w14:textId="77777777">
        <w:trPr>
          <w:trHeight w:val="397"/>
          <w:jc w:val="center"/>
        </w:trPr>
        <w:tc>
          <w:tcPr>
            <w:tcW w:w="2587" w:type="dxa"/>
            <w:tcMar>
              <w:top w:w="0" w:type="dxa"/>
              <w:left w:w="108" w:type="dxa"/>
              <w:bottom w:w="0" w:type="dxa"/>
              <w:right w:w="108" w:type="dxa"/>
            </w:tcMar>
            <w:vAlign w:val="center"/>
          </w:tcPr>
          <w:p w14:paraId="12B1D779" w14:textId="77777777" w:rsidR="004B0883" w:rsidRDefault="004B0883">
            <w:pPr>
              <w:adjustRightInd w:val="0"/>
              <w:snapToGrid w:val="0"/>
            </w:pPr>
            <w:r>
              <w:rPr>
                <w:rFonts w:hAnsi="宋体"/>
              </w:rPr>
              <w:t>电子邮箱</w:t>
            </w:r>
          </w:p>
        </w:tc>
        <w:tc>
          <w:tcPr>
            <w:tcW w:w="5941" w:type="dxa"/>
            <w:tcMar>
              <w:top w:w="0" w:type="dxa"/>
              <w:left w:w="108" w:type="dxa"/>
              <w:bottom w:w="0" w:type="dxa"/>
              <w:right w:w="108" w:type="dxa"/>
            </w:tcMar>
            <w:vAlign w:val="center"/>
          </w:tcPr>
          <w:p w14:paraId="4BA3FBAC" w14:textId="77777777" w:rsidR="004B0883" w:rsidRDefault="004B0883">
            <w:pPr>
              <w:adjustRightInd w:val="0"/>
              <w:snapToGrid w:val="0"/>
            </w:pPr>
            <w:r>
              <w:t>li.p.f@weflo</w:t>
            </w:r>
            <w:r>
              <w:rPr>
                <w:rFonts w:hint="eastAsia"/>
              </w:rPr>
              <w:t>valve</w:t>
            </w:r>
            <w:r>
              <w:t>.com</w:t>
            </w:r>
          </w:p>
        </w:tc>
      </w:tr>
    </w:tbl>
    <w:p w14:paraId="6D2152A0" w14:textId="77777777" w:rsidR="004B0883" w:rsidRDefault="004B0883">
      <w:pPr>
        <w:pStyle w:val="002"/>
        <w:spacing w:before="120" w:after="120"/>
        <w:rPr>
          <w:rFonts w:hint="eastAsia"/>
        </w:rPr>
      </w:pPr>
      <w:bookmarkStart w:id="58" w:name="_Toc523129011"/>
      <w:bookmarkStart w:id="59" w:name="_Toc152320777"/>
      <w:bookmarkStart w:id="60" w:name="_Toc42001312"/>
      <w:r>
        <w:rPr>
          <w:rFonts w:hint="eastAsia"/>
        </w:rPr>
        <w:t>二、本次发行</w:t>
      </w:r>
      <w:bookmarkEnd w:id="58"/>
      <w:r>
        <w:rPr>
          <w:rFonts w:hint="eastAsia"/>
        </w:rPr>
        <w:t>基本情况</w:t>
      </w:r>
      <w:bookmarkEnd w:id="59"/>
      <w:bookmarkEnd w:id="60"/>
    </w:p>
    <w:p w14:paraId="326BA442" w14:textId="77777777" w:rsidR="004B0883" w:rsidRDefault="004B0883">
      <w:pPr>
        <w:pStyle w:val="003"/>
        <w:spacing w:before="120" w:after="120"/>
        <w:rPr>
          <w:rFonts w:hint="eastAsia"/>
        </w:rPr>
      </w:pPr>
      <w:r>
        <w:rPr>
          <w:rFonts w:hint="eastAsia"/>
        </w:rPr>
        <w:t>（一）本次发行履行的内部程序</w:t>
      </w:r>
    </w:p>
    <w:p w14:paraId="6689539D" w14:textId="77777777" w:rsidR="004B0883" w:rsidRDefault="004B0883">
      <w:pPr>
        <w:pStyle w:val="005"/>
        <w:spacing w:before="120"/>
        <w:ind w:firstLine="480"/>
        <w:rPr>
          <w:rFonts w:hint="eastAsia"/>
        </w:rPr>
      </w:pPr>
      <w:r>
        <w:rPr>
          <w:rFonts w:hint="eastAsia"/>
        </w:rPr>
        <w:t>本次可转债发行方案于</w:t>
      </w:r>
      <w:r>
        <w:rPr>
          <w:rFonts w:hint="eastAsia"/>
        </w:rPr>
        <w:t>202</w:t>
      </w:r>
      <w:r>
        <w:t>3</w:t>
      </w:r>
      <w:r>
        <w:rPr>
          <w:rFonts w:hint="eastAsia"/>
        </w:rPr>
        <w:t>年</w:t>
      </w:r>
      <w:r>
        <w:t>1</w:t>
      </w:r>
      <w:r>
        <w:rPr>
          <w:rFonts w:hint="eastAsia"/>
        </w:rPr>
        <w:t>月</w:t>
      </w:r>
      <w:r>
        <w:rPr>
          <w:rFonts w:hint="eastAsia"/>
        </w:rPr>
        <w:t>16</w:t>
      </w:r>
      <w:r>
        <w:rPr>
          <w:rFonts w:hint="eastAsia"/>
        </w:rPr>
        <w:t>日经公司第四届董事会第十七次会议审议通过；于</w:t>
      </w:r>
      <w:r>
        <w:rPr>
          <w:rFonts w:hint="eastAsia"/>
        </w:rPr>
        <w:t>202</w:t>
      </w:r>
      <w:r>
        <w:t>3</w:t>
      </w:r>
      <w:r>
        <w:rPr>
          <w:rFonts w:hint="eastAsia"/>
        </w:rPr>
        <w:t>年</w:t>
      </w:r>
      <w:r>
        <w:t>2</w:t>
      </w:r>
      <w:r>
        <w:rPr>
          <w:rFonts w:hint="eastAsia"/>
        </w:rPr>
        <w:t>月</w:t>
      </w:r>
      <w:r>
        <w:t>2</w:t>
      </w:r>
      <w:r>
        <w:rPr>
          <w:rFonts w:hint="eastAsia"/>
        </w:rPr>
        <w:t>日经公司</w:t>
      </w:r>
      <w:r>
        <w:rPr>
          <w:rFonts w:hint="eastAsia"/>
        </w:rPr>
        <w:t>202</w:t>
      </w:r>
      <w:r>
        <w:t>3</w:t>
      </w:r>
      <w:r>
        <w:rPr>
          <w:rFonts w:hint="eastAsia"/>
        </w:rPr>
        <w:t>年第一次临时股东大会审议通过。鉴于证监会于</w:t>
      </w:r>
      <w:r>
        <w:rPr>
          <w:rFonts w:hint="eastAsia"/>
        </w:rPr>
        <w:t>2023</w:t>
      </w:r>
      <w:r>
        <w:rPr>
          <w:rFonts w:hint="eastAsia"/>
        </w:rPr>
        <w:t>年</w:t>
      </w:r>
      <w:r>
        <w:rPr>
          <w:rFonts w:hint="eastAsia"/>
        </w:rPr>
        <w:t>2</w:t>
      </w:r>
      <w:r>
        <w:rPr>
          <w:rFonts w:hint="eastAsia"/>
        </w:rPr>
        <w:t>月</w:t>
      </w:r>
      <w:r>
        <w:rPr>
          <w:rFonts w:hint="eastAsia"/>
        </w:rPr>
        <w:t>17</w:t>
      </w:r>
      <w:r>
        <w:rPr>
          <w:rFonts w:hint="eastAsia"/>
        </w:rPr>
        <w:t>日发布了《上市公司证券发行注册管理办法》等文件，公司于</w:t>
      </w:r>
      <w:r>
        <w:rPr>
          <w:rFonts w:hint="eastAsia"/>
        </w:rPr>
        <w:t>2023</w:t>
      </w:r>
      <w:r>
        <w:rPr>
          <w:rFonts w:hint="eastAsia"/>
        </w:rPr>
        <w:t>年</w:t>
      </w:r>
      <w:r>
        <w:t>4</w:t>
      </w:r>
      <w:r>
        <w:rPr>
          <w:rFonts w:hint="eastAsia"/>
        </w:rPr>
        <w:t>月</w:t>
      </w:r>
      <w:r>
        <w:rPr>
          <w:rFonts w:hint="eastAsia"/>
        </w:rPr>
        <w:t>19</w:t>
      </w:r>
      <w:r>
        <w:rPr>
          <w:rFonts w:hint="eastAsia"/>
        </w:rPr>
        <w:t>日召开了公司第四届董事会第二十次会议和第四届监事会第十六次会议，于</w:t>
      </w:r>
      <w:r>
        <w:rPr>
          <w:rFonts w:hint="eastAsia"/>
        </w:rPr>
        <w:t>2023</w:t>
      </w:r>
      <w:r>
        <w:rPr>
          <w:rFonts w:hint="eastAsia"/>
        </w:rPr>
        <w:t>年</w:t>
      </w:r>
      <w:r>
        <w:rPr>
          <w:rFonts w:hint="eastAsia"/>
        </w:rPr>
        <w:t>5</w:t>
      </w:r>
      <w:r>
        <w:rPr>
          <w:rFonts w:hint="eastAsia"/>
        </w:rPr>
        <w:t>月</w:t>
      </w:r>
      <w:r>
        <w:rPr>
          <w:rFonts w:hint="eastAsia"/>
        </w:rPr>
        <w:t>8</w:t>
      </w:r>
      <w:r>
        <w:rPr>
          <w:rFonts w:hint="eastAsia"/>
        </w:rPr>
        <w:t>日召开了公司</w:t>
      </w:r>
      <w:r>
        <w:rPr>
          <w:rFonts w:hint="eastAsia"/>
        </w:rPr>
        <w:t>202</w:t>
      </w:r>
      <w:r>
        <w:t>3</w:t>
      </w:r>
      <w:r>
        <w:rPr>
          <w:rFonts w:hint="eastAsia"/>
        </w:rPr>
        <w:t>年第二次临时股东大会，审议通过了《关于公司符合向不特定对象发行可转换公司债券条件的议案》《关于修订</w:t>
      </w:r>
      <w:r>
        <w:rPr>
          <w:rFonts w:hint="eastAsia"/>
        </w:rPr>
        <w:t>&lt;</w:t>
      </w:r>
      <w:r>
        <w:rPr>
          <w:rFonts w:hint="eastAsia"/>
        </w:rPr>
        <w:t>公司向不特定对象发行可转换公司债券方案</w:t>
      </w:r>
      <w:r>
        <w:rPr>
          <w:rFonts w:hint="eastAsia"/>
        </w:rPr>
        <w:t>&gt;</w:t>
      </w:r>
      <w:r>
        <w:rPr>
          <w:rFonts w:hint="eastAsia"/>
        </w:rPr>
        <w:t>的议案》等相关议案。公司于</w:t>
      </w:r>
      <w:r>
        <w:rPr>
          <w:rFonts w:hint="eastAsia"/>
        </w:rPr>
        <w:t>2023</w:t>
      </w:r>
      <w:r>
        <w:rPr>
          <w:rFonts w:hint="eastAsia"/>
        </w:rPr>
        <w:t>年</w:t>
      </w:r>
      <w:r>
        <w:rPr>
          <w:rFonts w:hint="eastAsia"/>
        </w:rPr>
        <w:t>6</w:t>
      </w:r>
      <w:r>
        <w:rPr>
          <w:rFonts w:hint="eastAsia"/>
        </w:rPr>
        <w:t>月</w:t>
      </w:r>
      <w:r>
        <w:rPr>
          <w:rFonts w:hint="eastAsia"/>
        </w:rPr>
        <w:t>27</w:t>
      </w:r>
      <w:r>
        <w:rPr>
          <w:rFonts w:hint="eastAsia"/>
        </w:rPr>
        <w:t>日召开了公司第四届董事会第二十三次会议，审议通过了《关于修订</w:t>
      </w:r>
      <w:r>
        <w:rPr>
          <w:rFonts w:hint="eastAsia"/>
        </w:rPr>
        <w:t>&lt;</w:t>
      </w:r>
      <w:r>
        <w:rPr>
          <w:rFonts w:hint="eastAsia"/>
        </w:rPr>
        <w:t>公司向不特定对象发行可转换公司债券方案</w:t>
      </w:r>
      <w:r>
        <w:rPr>
          <w:rFonts w:hint="eastAsia"/>
        </w:rPr>
        <w:t>&gt;</w:t>
      </w:r>
      <w:r>
        <w:rPr>
          <w:rFonts w:hint="eastAsia"/>
        </w:rPr>
        <w:t>（二次修订稿）的议案》《关于修订</w:t>
      </w:r>
      <w:r>
        <w:rPr>
          <w:rFonts w:hint="eastAsia"/>
        </w:rPr>
        <w:t>&lt;</w:t>
      </w:r>
      <w:r>
        <w:rPr>
          <w:rFonts w:hint="eastAsia"/>
        </w:rPr>
        <w:t>公司向不特定对象发行可转换公司债券预案</w:t>
      </w:r>
      <w:r>
        <w:rPr>
          <w:rFonts w:hint="eastAsia"/>
        </w:rPr>
        <w:t>&gt;</w:t>
      </w:r>
      <w:r>
        <w:rPr>
          <w:rFonts w:hint="eastAsia"/>
        </w:rPr>
        <w:t>（二次修订稿）的议案》。</w:t>
      </w:r>
      <w:bookmarkStart w:id="61" w:name="_Hlk154873362"/>
      <w:r>
        <w:rPr>
          <w:rFonts w:ascii="楷体" w:eastAsia="楷体" w:hAnsi="楷体" w:hint="eastAsia"/>
          <w:b/>
        </w:rPr>
        <w:t>公司</w:t>
      </w:r>
      <w:bookmarkStart w:id="62" w:name="_Hlk154874181"/>
      <w:r>
        <w:rPr>
          <w:rFonts w:ascii="楷体" w:eastAsia="楷体" w:hAnsi="楷体" w:hint="eastAsia"/>
          <w:b/>
        </w:rPr>
        <w:t>于</w:t>
      </w:r>
      <w:bookmarkStart w:id="63" w:name="_Hlk154873318"/>
      <w:bookmarkStart w:id="64" w:name="_Hlk154872890"/>
      <w:r>
        <w:rPr>
          <w:rFonts w:ascii="楷体" w:eastAsia="楷体" w:hAnsi="楷体" w:hint="eastAsia"/>
          <w:b/>
        </w:rPr>
        <w:t>2</w:t>
      </w:r>
      <w:r>
        <w:rPr>
          <w:rFonts w:ascii="楷体" w:eastAsia="楷体" w:hAnsi="楷体"/>
          <w:b/>
        </w:rPr>
        <w:t>023</w:t>
      </w:r>
      <w:r>
        <w:rPr>
          <w:rFonts w:ascii="楷体" w:eastAsia="楷体" w:hAnsi="楷体" w:hint="eastAsia"/>
          <w:b/>
        </w:rPr>
        <w:t>年1</w:t>
      </w:r>
      <w:r>
        <w:rPr>
          <w:rFonts w:ascii="楷体" w:eastAsia="楷体" w:hAnsi="楷体"/>
          <w:b/>
        </w:rPr>
        <w:t>2</w:t>
      </w:r>
      <w:r>
        <w:rPr>
          <w:rFonts w:ascii="楷体" w:eastAsia="楷体" w:hAnsi="楷体" w:hint="eastAsia"/>
          <w:b/>
        </w:rPr>
        <w:t>月2</w:t>
      </w:r>
      <w:r>
        <w:rPr>
          <w:rFonts w:ascii="楷体" w:eastAsia="楷体" w:hAnsi="楷体"/>
          <w:b/>
        </w:rPr>
        <w:t>8</w:t>
      </w:r>
      <w:r>
        <w:rPr>
          <w:rFonts w:ascii="楷体" w:eastAsia="楷体" w:hAnsi="楷体" w:hint="eastAsia"/>
          <w:b/>
        </w:rPr>
        <w:t>日召开</w:t>
      </w:r>
      <w:bookmarkEnd w:id="63"/>
      <w:r>
        <w:rPr>
          <w:rFonts w:ascii="楷体" w:eastAsia="楷体" w:hAnsi="楷体" w:hint="eastAsia"/>
          <w:b/>
        </w:rPr>
        <w:t>了公司</w:t>
      </w:r>
      <w:bookmarkStart w:id="65" w:name="_Hlk154873327"/>
      <w:r>
        <w:rPr>
          <w:rFonts w:ascii="楷体" w:eastAsia="楷体" w:hAnsi="楷体"/>
          <w:b/>
        </w:rPr>
        <w:t>第四届董事会第二十</w:t>
      </w:r>
      <w:r>
        <w:rPr>
          <w:rFonts w:ascii="楷体" w:eastAsia="楷体" w:hAnsi="楷体" w:hint="eastAsia"/>
          <w:b/>
        </w:rPr>
        <w:t>九</w:t>
      </w:r>
      <w:r>
        <w:rPr>
          <w:rFonts w:ascii="楷体" w:eastAsia="楷体" w:hAnsi="楷体"/>
          <w:b/>
        </w:rPr>
        <w:t>次会议</w:t>
      </w:r>
      <w:bookmarkEnd w:id="64"/>
      <w:bookmarkEnd w:id="65"/>
      <w:r>
        <w:rPr>
          <w:rFonts w:ascii="楷体" w:eastAsia="楷体" w:hAnsi="楷体" w:hint="eastAsia"/>
          <w:b/>
        </w:rPr>
        <w:t>，审议通过了《</w:t>
      </w:r>
      <w:r>
        <w:rPr>
          <w:rFonts w:ascii="楷体" w:eastAsia="楷体" w:hAnsi="楷体" w:hint="eastAsia"/>
          <w:b/>
          <w:bCs/>
        </w:rPr>
        <w:t>关于修订</w:t>
      </w:r>
      <w:r>
        <w:rPr>
          <w:rFonts w:ascii="楷体" w:eastAsia="楷体" w:hAnsi="楷体"/>
          <w:b/>
          <w:bCs/>
        </w:rPr>
        <w:t>&lt;公司向不特定对象发行可转换公司债券方案&gt;（三次修订稿）的议案</w:t>
      </w:r>
      <w:r>
        <w:rPr>
          <w:rFonts w:ascii="楷体" w:eastAsia="楷体" w:hAnsi="楷体" w:hint="eastAsia"/>
          <w:b/>
        </w:rPr>
        <w:t>》《关于修订&lt;公司向不特定对象发行可转换公司债券预案&gt;（三次修订稿）的议案》</w:t>
      </w:r>
      <w:bookmarkEnd w:id="61"/>
      <w:bookmarkEnd w:id="62"/>
      <w:r>
        <w:rPr>
          <w:rFonts w:ascii="楷体" w:eastAsia="楷体" w:hAnsi="楷体" w:hint="eastAsia"/>
          <w:b/>
        </w:rPr>
        <w:t>。</w:t>
      </w:r>
    </w:p>
    <w:p w14:paraId="3D598D7F" w14:textId="77777777" w:rsidR="004B0883" w:rsidRDefault="004B0883">
      <w:pPr>
        <w:pStyle w:val="003"/>
        <w:spacing w:before="120" w:after="120"/>
        <w:rPr>
          <w:rFonts w:hint="eastAsia"/>
        </w:rPr>
      </w:pPr>
      <w:r>
        <w:rPr>
          <w:rFonts w:hint="eastAsia"/>
        </w:rPr>
        <w:t>（二）本次发行的背景和目的</w:t>
      </w:r>
    </w:p>
    <w:p w14:paraId="2F960459" w14:textId="77777777" w:rsidR="004B0883" w:rsidRDefault="004B0883">
      <w:pPr>
        <w:pStyle w:val="004"/>
        <w:spacing w:before="120" w:after="120"/>
        <w:ind w:firstLine="482"/>
      </w:pPr>
      <w:r>
        <w:rPr>
          <w:rFonts w:hint="eastAsia"/>
        </w:rPr>
        <w:t>1</w:t>
      </w:r>
      <w:r>
        <w:rPr>
          <w:rFonts w:hint="eastAsia"/>
        </w:rPr>
        <w:t>、本次发行的背景</w:t>
      </w:r>
    </w:p>
    <w:p w14:paraId="2931A18D" w14:textId="77777777" w:rsidR="004B0883" w:rsidRDefault="004B0883">
      <w:pPr>
        <w:pStyle w:val="005"/>
        <w:spacing w:before="120"/>
        <w:ind w:firstLine="480"/>
        <w:rPr>
          <w:rFonts w:hint="eastAsia"/>
        </w:rPr>
      </w:pPr>
      <w:r>
        <w:rPr>
          <w:rFonts w:hint="eastAsia"/>
        </w:rPr>
        <w:t>（</w:t>
      </w:r>
      <w:r>
        <w:rPr>
          <w:rFonts w:hint="eastAsia"/>
        </w:rPr>
        <w:t>1</w:t>
      </w:r>
      <w:r>
        <w:rPr>
          <w:rFonts w:hint="eastAsia"/>
        </w:rPr>
        <w:t>）国家智能制造高速发展</w:t>
      </w:r>
    </w:p>
    <w:p w14:paraId="700F622E" w14:textId="77777777" w:rsidR="004B0883" w:rsidRDefault="004B0883">
      <w:pPr>
        <w:pStyle w:val="005"/>
        <w:spacing w:before="120"/>
        <w:ind w:firstLine="480"/>
        <w:rPr>
          <w:rFonts w:hint="eastAsia"/>
        </w:rPr>
      </w:pPr>
      <w:r>
        <w:rPr>
          <w:rFonts w:hint="eastAsia"/>
        </w:rPr>
        <w:t>根据国务院颁布的《中国制造</w:t>
      </w:r>
      <w:r>
        <w:rPr>
          <w:rFonts w:hint="eastAsia"/>
        </w:rPr>
        <w:t>2025</w:t>
      </w:r>
      <w:r>
        <w:rPr>
          <w:rFonts w:hint="eastAsia"/>
        </w:rPr>
        <w:t>》、工信部颁布的《关于促进制造业产品和服务质量提升的实施意见》及国家发改委、工信部等八部门颁布的《</w:t>
      </w:r>
      <w:r>
        <w:rPr>
          <w:rFonts w:ascii="宋体" w:hAnsi="宋体" w:hint="eastAsia"/>
        </w:rPr>
        <w:t>“</w:t>
      </w:r>
      <w:r>
        <w:rPr>
          <w:rFonts w:hint="eastAsia"/>
        </w:rPr>
        <w:t>十四五</w:t>
      </w:r>
      <w:r>
        <w:rPr>
          <w:rFonts w:ascii="宋体" w:hAnsi="宋体" w:hint="eastAsia"/>
        </w:rPr>
        <w:t>”</w:t>
      </w:r>
      <w:r>
        <w:rPr>
          <w:rFonts w:hint="eastAsia"/>
        </w:rPr>
        <w:t>智能制造发展规划》等相关产业政策，制造强国的落脚点均立足于高端装备制造产业，充分体现了国家对高端制造及相关产业的大力扶持。随着智能制造领域政策密集出台，我国的阀门产业呈现向智能制造方向转型的趋势。智能化发展能够提高生产效率和产品质量，降低运营成本和资源、能源消耗。同时，该行业需要具备较高技术水平和实践能力的研发技术、铸造工艺、生产加工等方面人才，以及相应用于购置国外先进生产设备的资金投入，以提升产品加工精度和加工效率，从而使公司具备绿色、智能化生产等综合运营能力。</w:t>
      </w:r>
    </w:p>
    <w:p w14:paraId="19367540" w14:textId="77777777" w:rsidR="004B0883" w:rsidRDefault="004B0883">
      <w:pPr>
        <w:pStyle w:val="005"/>
        <w:spacing w:before="120"/>
        <w:ind w:firstLine="480"/>
        <w:rPr>
          <w:rFonts w:hint="eastAsia"/>
        </w:rPr>
      </w:pPr>
      <w:r>
        <w:rPr>
          <w:rFonts w:hint="eastAsia"/>
        </w:rPr>
        <w:t>此外，随着城市建设快速发展和人民生活水平的不断提高，人们对城市供气供水的服务质量提出了越来越高的要求。目前，城市供水供气输配管网中，各调压箱、调压柜地理位置分散，且仍采用人工记录、逐级汇报的方法进行数据读取，因而存在上报数据不及时，监测事故延迟等安全隐患。通过人工智能、物联网等先进技术，使阀门具有自适应、自调节、自诊断、远程监控等功能，取代人工操作方式，不仅可以节约相关维护成本，也可以避免人工操作可能导致的失误。因此，公司进行智慧节能类阀门相关产品生产符合阀门行业智能化的发展方向。</w:t>
      </w:r>
    </w:p>
    <w:p w14:paraId="593CD983" w14:textId="77777777" w:rsidR="004B0883" w:rsidRDefault="004B0883">
      <w:pPr>
        <w:pStyle w:val="005"/>
        <w:spacing w:before="120"/>
        <w:ind w:firstLine="480"/>
      </w:pPr>
      <w:r>
        <w:rPr>
          <w:rFonts w:hint="eastAsia"/>
        </w:rPr>
        <w:t>本次发行募集资金投资项目将以构建智能化、自动化、数字化制造体系为目标，着力提升关键技术装备安全可控能力，集成国际先进的装备，引进各类监测管理系统、搭建智慧园区平台，实现数据采集、实时控制、全生命周期监控、报警和分析、数据库管理等多种功能，进行智慧节能阀门生产，为公司打造竞争新优势奠定坚实的基础。</w:t>
      </w:r>
    </w:p>
    <w:p w14:paraId="0E715873" w14:textId="77777777" w:rsidR="004B0883" w:rsidRDefault="004B0883">
      <w:pPr>
        <w:pStyle w:val="005"/>
        <w:spacing w:before="120"/>
        <w:ind w:firstLine="480"/>
        <w:rPr>
          <w:rFonts w:hint="eastAsia"/>
        </w:rPr>
      </w:pPr>
      <w:r>
        <w:rPr>
          <w:rFonts w:hint="eastAsia"/>
        </w:rPr>
        <w:t>（</w:t>
      </w:r>
      <w:r>
        <w:rPr>
          <w:rFonts w:hint="eastAsia"/>
        </w:rPr>
        <w:t>2</w:t>
      </w:r>
      <w:r>
        <w:rPr>
          <w:rFonts w:hint="eastAsia"/>
        </w:rPr>
        <w:t>）市场对高性能阀门产品需求不断增加</w:t>
      </w:r>
    </w:p>
    <w:p w14:paraId="2D5AEFCC" w14:textId="77777777" w:rsidR="004B0883" w:rsidRDefault="004B0883">
      <w:pPr>
        <w:pStyle w:val="005"/>
        <w:spacing w:before="120"/>
        <w:ind w:firstLine="480"/>
        <w:rPr>
          <w:rFonts w:hint="eastAsia"/>
        </w:rPr>
      </w:pPr>
      <w:r>
        <w:rPr>
          <w:rFonts w:hint="eastAsia"/>
        </w:rPr>
        <w:t>阀门产品已广泛应用于社会经济发展的各个领域，包括石油天然气、化工、水利水电、冶金、制药、城镇给排水等领域，下游行业的发展带动了阀门行业的不断发展。公司产品以出口为主导，根据</w:t>
      </w:r>
      <w:r>
        <w:rPr>
          <w:rFonts w:hint="eastAsia"/>
        </w:rPr>
        <w:t>Research and Markets</w:t>
      </w:r>
      <w:r>
        <w:rPr>
          <w:rFonts w:hint="eastAsia"/>
        </w:rPr>
        <w:t>统计数据，</w:t>
      </w:r>
      <w:r>
        <w:rPr>
          <w:rFonts w:hint="eastAsia"/>
        </w:rPr>
        <w:t>2021</w:t>
      </w:r>
      <w:r>
        <w:rPr>
          <w:rFonts w:hint="eastAsia"/>
        </w:rPr>
        <w:t>年全球工业阀门市场的市场规模约</w:t>
      </w:r>
      <w:r>
        <w:rPr>
          <w:rFonts w:hint="eastAsia"/>
        </w:rPr>
        <w:t>730</w:t>
      </w:r>
      <w:r>
        <w:rPr>
          <w:rFonts w:hint="eastAsia"/>
        </w:rPr>
        <w:t>亿美元，</w:t>
      </w:r>
      <w:r>
        <w:rPr>
          <w:rFonts w:hint="eastAsia"/>
        </w:rPr>
        <w:t>2026</w:t>
      </w:r>
      <w:r>
        <w:rPr>
          <w:rFonts w:hint="eastAsia"/>
        </w:rPr>
        <w:t>年市场规模预计达到</w:t>
      </w:r>
      <w:r>
        <w:rPr>
          <w:rFonts w:hint="eastAsia"/>
        </w:rPr>
        <w:t>905</w:t>
      </w:r>
      <w:r>
        <w:rPr>
          <w:rFonts w:hint="eastAsia"/>
        </w:rPr>
        <w:t>亿美元，</w:t>
      </w:r>
      <w:r>
        <w:rPr>
          <w:rFonts w:hint="eastAsia"/>
        </w:rPr>
        <w:t>2021</w:t>
      </w:r>
      <w:r>
        <w:rPr>
          <w:rFonts w:hint="eastAsia"/>
        </w:rPr>
        <w:t>年</w:t>
      </w:r>
      <w:r>
        <w:rPr>
          <w:rFonts w:hint="eastAsia"/>
        </w:rPr>
        <w:t>-2026</w:t>
      </w:r>
      <w:r>
        <w:rPr>
          <w:rFonts w:hint="eastAsia"/>
        </w:rPr>
        <w:t>年复合增长率达到</w:t>
      </w:r>
      <w:r>
        <w:rPr>
          <w:rFonts w:hint="eastAsia"/>
        </w:rPr>
        <w:t>4.4%</w:t>
      </w:r>
      <w:r>
        <w:rPr>
          <w:rFonts w:hint="eastAsia"/>
        </w:rPr>
        <w:t>。未来几年核电站和天然气管道新建和改造需求、工业设备维护需求以及全球智慧城市发展的需求将持续推动阀门市场发展。</w:t>
      </w:r>
    </w:p>
    <w:p w14:paraId="14AE2B8C" w14:textId="77777777" w:rsidR="004B0883" w:rsidRDefault="004B0883">
      <w:pPr>
        <w:spacing w:beforeLines="50" w:before="120" w:line="360" w:lineRule="auto"/>
        <w:ind w:firstLineChars="200" w:firstLine="420"/>
        <w:jc w:val="center"/>
        <w:rPr>
          <w:rFonts w:cs="宋体"/>
          <w:kern w:val="0"/>
        </w:rPr>
      </w:pPr>
      <w:r>
        <w:rPr>
          <w:rFonts w:cs="宋体" w:hint="eastAsia"/>
          <w:kern w:val="0"/>
        </w:rPr>
        <w:t>图表：</w:t>
      </w:r>
      <w:r>
        <w:rPr>
          <w:rFonts w:cs="宋体" w:hint="eastAsia"/>
          <w:kern w:val="0"/>
        </w:rPr>
        <w:t>2021-2026</w:t>
      </w:r>
      <w:r>
        <w:rPr>
          <w:rFonts w:cs="宋体" w:hint="eastAsia"/>
          <w:kern w:val="0"/>
        </w:rPr>
        <w:t>全球工业阀门行业市场规模及预测（单位：亿美元）</w:t>
      </w:r>
    </w:p>
    <w:p w14:paraId="78C94371" w14:textId="069C0EBD" w:rsidR="004B0883" w:rsidRDefault="0090540C">
      <w:pPr>
        <w:widowControl w:val="0"/>
        <w:tabs>
          <w:tab w:val="left" w:pos="630"/>
        </w:tabs>
        <w:jc w:val="center"/>
        <w:rPr>
          <w:rFonts w:hAnsi="微软雅黑"/>
          <w:szCs w:val="22"/>
        </w:rPr>
      </w:pPr>
      <w:r>
        <w:rPr>
          <w:rFonts w:eastAsia="微软雅黑" w:hAnsi="微软雅黑" w:hint="eastAsia"/>
          <w:noProof/>
          <w:szCs w:val="22"/>
        </w:rPr>
        <w:drawing>
          <wp:inline distT="0" distB="0" distL="0" distR="0" wp14:anchorId="7161FD55" wp14:editId="7E11A962">
            <wp:extent cx="5076190" cy="3811270"/>
            <wp:effectExtent l="0" t="0" r="0" b="0"/>
            <wp:docPr id="3"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C2D3EFC" w14:textId="77777777" w:rsidR="004B0883" w:rsidRDefault="004B0883">
      <w:pPr>
        <w:pStyle w:val="006"/>
        <w:ind w:firstLine="420"/>
      </w:pPr>
      <w:r>
        <w:rPr>
          <w:rFonts w:hint="eastAsia"/>
        </w:rPr>
        <w:t>数据来源：</w:t>
      </w:r>
      <w:r>
        <w:rPr>
          <w:rFonts w:hint="eastAsia"/>
        </w:rPr>
        <w:t xml:space="preserve">Research </w:t>
      </w:r>
      <w:r>
        <w:t>and</w:t>
      </w:r>
      <w:r>
        <w:rPr>
          <w:rFonts w:hint="eastAsia"/>
        </w:rPr>
        <w:t xml:space="preserve"> </w:t>
      </w:r>
      <w:r>
        <w:t>Markets</w:t>
      </w:r>
    </w:p>
    <w:p w14:paraId="4ED629FB" w14:textId="77777777" w:rsidR="004B0883" w:rsidRDefault="004B0883">
      <w:pPr>
        <w:pStyle w:val="005"/>
        <w:spacing w:before="120"/>
        <w:ind w:firstLine="480"/>
        <w:rPr>
          <w:rFonts w:hint="eastAsia"/>
        </w:rPr>
      </w:pPr>
      <w:r>
        <w:rPr>
          <w:rFonts w:hint="eastAsia"/>
        </w:rPr>
        <w:t>阀门产品的下游天然气和水处理市场应用前景广阔。</w:t>
      </w:r>
      <w:r>
        <w:rPr>
          <w:rFonts w:hint="eastAsia"/>
        </w:rPr>
        <w:t>2021</w:t>
      </w:r>
      <w:r>
        <w:rPr>
          <w:rFonts w:hint="eastAsia"/>
        </w:rPr>
        <w:t>年世界天然气消费量约</w:t>
      </w:r>
      <w:r>
        <w:rPr>
          <w:rFonts w:hint="eastAsia"/>
        </w:rPr>
        <w:t>41,670</w:t>
      </w:r>
      <w:r>
        <w:rPr>
          <w:rFonts w:hint="eastAsia"/>
        </w:rPr>
        <w:t>亿立方米，同比增长</w:t>
      </w:r>
      <w:r>
        <w:rPr>
          <w:rFonts w:hint="eastAsia"/>
        </w:rPr>
        <w:t>4.80%</w:t>
      </w:r>
      <w:r>
        <w:rPr>
          <w:rFonts w:hint="eastAsia"/>
        </w:rPr>
        <w:t>；我国天然气消费量约</w:t>
      </w:r>
      <w:r>
        <w:rPr>
          <w:rFonts w:hint="eastAsia"/>
        </w:rPr>
        <w:t>3,690</w:t>
      </w:r>
      <w:r>
        <w:rPr>
          <w:rFonts w:hint="eastAsia"/>
        </w:rPr>
        <w:t>亿立方米，同比增长</w:t>
      </w:r>
      <w:r>
        <w:rPr>
          <w:rFonts w:hint="eastAsia"/>
        </w:rPr>
        <w:t>12.5%</w:t>
      </w:r>
      <w:r>
        <w:rPr>
          <w:rFonts w:hint="eastAsia"/>
        </w:rPr>
        <w:t>。</w:t>
      </w:r>
      <w:r>
        <w:rPr>
          <w:rFonts w:hint="eastAsia"/>
        </w:rPr>
        <w:t>2021</w:t>
      </w:r>
      <w:r>
        <w:rPr>
          <w:rFonts w:hint="eastAsia"/>
        </w:rPr>
        <w:t>年全球水处理市场规模约为</w:t>
      </w:r>
      <w:r>
        <w:rPr>
          <w:rFonts w:hint="eastAsia"/>
        </w:rPr>
        <w:t>2,814.40</w:t>
      </w:r>
      <w:r>
        <w:rPr>
          <w:rFonts w:hint="eastAsia"/>
        </w:rPr>
        <w:t>亿美元，增长率约</w:t>
      </w:r>
      <w:r>
        <w:rPr>
          <w:rFonts w:hint="eastAsia"/>
        </w:rPr>
        <w:t>6.54%</w:t>
      </w:r>
      <w:r>
        <w:rPr>
          <w:rFonts w:hint="eastAsia"/>
        </w:rPr>
        <w:t>；国内水利工程、城镇给排水、污水处理和数据中心冷却系统市场规模都大幅增加。随着下游市场的扩大，对高性能阀门产品需求也在不断增加。</w:t>
      </w:r>
    </w:p>
    <w:p w14:paraId="09155342" w14:textId="77777777" w:rsidR="004B0883" w:rsidRDefault="004B0883">
      <w:pPr>
        <w:pStyle w:val="005"/>
        <w:spacing w:before="120"/>
        <w:ind w:firstLine="480"/>
      </w:pPr>
      <w:r>
        <w:rPr>
          <w:rFonts w:hint="eastAsia"/>
        </w:rPr>
        <w:t>而在整个工业市场中，随着物联网、人工智能、大数据、云计算等技术的不断发展，以及工业</w:t>
      </w:r>
      <w:r>
        <w:rPr>
          <w:rFonts w:hint="eastAsia"/>
        </w:rPr>
        <w:t>4.0</w:t>
      </w:r>
      <w:r>
        <w:rPr>
          <w:rFonts w:hint="eastAsia"/>
        </w:rPr>
        <w:t>的推行与变革，工业自动化水平进一步提升，与之相应的工业自动化设备需求也不断增长。随着工业自动化的不断升级，工业生产对精度、效率、可靠性等方面提出更高的要求，也带来了阀门行业技术更新换代的趋势。同时，近年来随着节能减排、绿色环保问题的日益严峻，阀门行业也开始进行整体转型，向低碳化节能方向进行探索。阀门产品技术升级、低碳化需求的不断增长将为智慧节能阀门带来巨大的市场发展空间，未来在产品智能化方面具有优势的企业有望获得更多的市场份额。</w:t>
      </w:r>
    </w:p>
    <w:p w14:paraId="1227D2FC" w14:textId="77777777" w:rsidR="004B0883" w:rsidRDefault="004B0883">
      <w:pPr>
        <w:pStyle w:val="005"/>
        <w:spacing w:before="120"/>
        <w:ind w:firstLine="480"/>
        <w:rPr>
          <w:rFonts w:hint="eastAsia"/>
        </w:rPr>
      </w:pPr>
      <w:r>
        <w:rPr>
          <w:rFonts w:hint="eastAsia"/>
        </w:rPr>
        <w:t>（</w:t>
      </w:r>
      <w:r>
        <w:rPr>
          <w:rFonts w:hint="eastAsia"/>
        </w:rPr>
        <w:t>3</w:t>
      </w:r>
      <w:r>
        <w:rPr>
          <w:rFonts w:hint="eastAsia"/>
        </w:rPr>
        <w:t>）阀门行业国产化机遇出现，国产替代进口成为行业趋势</w:t>
      </w:r>
    </w:p>
    <w:p w14:paraId="1CD5D661" w14:textId="77777777" w:rsidR="004B0883" w:rsidRDefault="004B0883">
      <w:pPr>
        <w:pStyle w:val="005"/>
        <w:spacing w:before="120"/>
        <w:ind w:firstLine="480"/>
        <w:rPr>
          <w:rFonts w:hint="eastAsia"/>
        </w:rPr>
      </w:pPr>
      <w:r>
        <w:rPr>
          <w:rFonts w:hint="eastAsia"/>
        </w:rPr>
        <w:t>随着我国经济继续平稳运行，工业化程度越来越高，对于高性能阀门的需求也日益增长。部分油气行业、化工行业和发电行业等工业领域对工业阀门的性能有很高的要求。过去，由于我国阀门产业的生产技术不足，在高性能阀门方面较多地依赖于进口国外产品。未来，随着我国工业阀门企业研发能力的增强和技术的进步，我国高性能阀门产品的国产化率将不断提高。</w:t>
      </w:r>
    </w:p>
    <w:p w14:paraId="528E0FFE" w14:textId="77777777" w:rsidR="004B0883" w:rsidRDefault="004B0883">
      <w:pPr>
        <w:pStyle w:val="005"/>
        <w:spacing w:before="120"/>
        <w:ind w:firstLine="480"/>
        <w:rPr>
          <w:rFonts w:hint="eastAsia"/>
        </w:rPr>
      </w:pPr>
      <w:r>
        <w:rPr>
          <w:rFonts w:hint="eastAsia"/>
        </w:rPr>
        <w:t>智慧节能阀门因其加工制造工艺先进、性能指标优异等特点，被广泛应用于各类复杂工况，其市场需求增长迅速，国产化的总趋势前景向好。但相关产品生产技术难度大、产品精度要求高、质量标准严，往往需要更为现代化、自动化的生产流水线以及更先进、更高效的加工、检测、实验设备。公司现有设备条件难以满足智慧节能阀门的生产要求，影响公司阀门向高端化阀门的升级和转型。</w:t>
      </w:r>
    </w:p>
    <w:p w14:paraId="2F086B6D" w14:textId="77777777" w:rsidR="004B0883" w:rsidRDefault="004B0883">
      <w:pPr>
        <w:pStyle w:val="005"/>
        <w:spacing w:before="120"/>
        <w:ind w:firstLine="480"/>
      </w:pPr>
      <w:r>
        <w:rPr>
          <w:rFonts w:hint="eastAsia"/>
        </w:rPr>
        <w:t>本次发行募集资金投资项目将购置更先进的生产检测设备，改善生产技术和工艺水平，进一步提高生产效率，确保产品质量的可靠性、稳定性；同时，募集资金投资项目将通过产品升级丰富产品结构，增强公司盈利能力；此外，其将提升为客户提供高附加值产品和服务的能力，树立企业技术竞争优势和品牌影响力，增强公司整体核心竞争能力，拓展盈利空间，抢占高性能阀门国产化的市场先机。</w:t>
      </w:r>
    </w:p>
    <w:p w14:paraId="710DFA81" w14:textId="77777777" w:rsidR="004B0883" w:rsidRDefault="004B0883">
      <w:pPr>
        <w:pStyle w:val="005"/>
        <w:spacing w:before="120"/>
        <w:ind w:firstLine="480"/>
        <w:rPr>
          <w:rFonts w:hint="eastAsia"/>
        </w:rPr>
      </w:pPr>
      <w:r>
        <w:rPr>
          <w:rFonts w:hint="eastAsia"/>
        </w:rPr>
        <w:t>综上，在此行业发展背景下，公司启动本次发行融资实施募投项目，系顺应发展趋势、把握历史机遇之必然举措，以进一步提升公司产能、阶段性满足下游客户快速增长产品需求的有效手段。</w:t>
      </w:r>
    </w:p>
    <w:p w14:paraId="405012C3" w14:textId="77777777" w:rsidR="004B0883" w:rsidRDefault="004B0883">
      <w:pPr>
        <w:pStyle w:val="004"/>
        <w:spacing w:before="120" w:after="120"/>
        <w:ind w:firstLine="482"/>
      </w:pPr>
      <w:r>
        <w:t>2</w:t>
      </w:r>
      <w:r>
        <w:rPr>
          <w:rFonts w:hint="eastAsia"/>
        </w:rPr>
        <w:t>、本次发行的目的</w:t>
      </w:r>
    </w:p>
    <w:p w14:paraId="5AEC8BE5" w14:textId="77777777" w:rsidR="004B0883" w:rsidRDefault="004B0883">
      <w:pPr>
        <w:pStyle w:val="005"/>
        <w:spacing w:before="120"/>
        <w:ind w:firstLine="480"/>
        <w:rPr>
          <w:rFonts w:hint="eastAsia"/>
        </w:rPr>
      </w:pPr>
      <w:r>
        <w:rPr>
          <w:rFonts w:hint="eastAsia"/>
        </w:rPr>
        <w:t>在阀门产业蓬勃发展的时代背景下，公司通过本次向不特定对象发行可转换债券募集资金，用于实施</w:t>
      </w:r>
      <w:r>
        <w:rPr>
          <w:rFonts w:ascii="宋体" w:hAnsi="宋体" w:hint="eastAsia"/>
        </w:rPr>
        <w:t>“</w:t>
      </w:r>
      <w:r>
        <w:rPr>
          <w:rFonts w:hint="eastAsia"/>
        </w:rPr>
        <w:t>智慧节能阀门建设项目</w:t>
      </w:r>
      <w:r>
        <w:rPr>
          <w:rFonts w:ascii="宋体" w:hAnsi="宋体" w:hint="eastAsia"/>
        </w:rPr>
        <w:t>”</w:t>
      </w:r>
      <w:r>
        <w:rPr>
          <w:rFonts w:hint="eastAsia"/>
        </w:rPr>
        <w:t>和补充流动资金。募投项目达产后，将形成年产约</w:t>
      </w:r>
      <w:r>
        <w:t>6</w:t>
      </w:r>
      <w:r>
        <w:rPr>
          <w:rFonts w:hint="eastAsia"/>
        </w:rPr>
        <w:t>万套的智慧节能阀门产品产能。通过本次募投项目建设，公司的智慧节能阀门产能将得到进一步补充，有利于缓解产能供给不足压力，阶段性满足较为紧迫的客户交付需求，进一步巩固公司市场领先地位，确保公司战略的稳步实施。</w:t>
      </w:r>
    </w:p>
    <w:p w14:paraId="3FBFADDA" w14:textId="77777777" w:rsidR="004B0883" w:rsidRDefault="004B0883">
      <w:pPr>
        <w:pStyle w:val="003"/>
        <w:spacing w:before="120" w:after="120"/>
        <w:rPr>
          <w:rFonts w:hint="eastAsia"/>
        </w:rPr>
      </w:pPr>
      <w:r>
        <w:rPr>
          <w:rFonts w:hint="eastAsia"/>
        </w:rPr>
        <w:t>（三）本次可转债基本发行条款</w:t>
      </w:r>
    </w:p>
    <w:p w14:paraId="377D5FFC" w14:textId="77777777" w:rsidR="004B0883" w:rsidRDefault="004B0883">
      <w:pPr>
        <w:pStyle w:val="004"/>
        <w:spacing w:before="120" w:after="120"/>
        <w:ind w:firstLine="482"/>
      </w:pPr>
      <w:bookmarkStart w:id="66" w:name="_Toc121171023"/>
      <w:r>
        <w:rPr>
          <w:rFonts w:hint="eastAsia"/>
        </w:rPr>
        <w:t>1</w:t>
      </w:r>
      <w:r>
        <w:rPr>
          <w:rFonts w:hint="eastAsia"/>
        </w:rPr>
        <w:t>、发行证券的种类</w:t>
      </w:r>
      <w:bookmarkEnd w:id="66"/>
    </w:p>
    <w:p w14:paraId="5FD80D94" w14:textId="77777777" w:rsidR="004B0883" w:rsidRDefault="004B0883">
      <w:pPr>
        <w:pStyle w:val="005"/>
        <w:spacing w:before="120"/>
        <w:ind w:firstLine="480"/>
        <w:rPr>
          <w:rFonts w:hint="eastAsia"/>
        </w:rPr>
      </w:pPr>
      <w:r>
        <w:rPr>
          <w:rFonts w:hint="eastAsia"/>
        </w:rPr>
        <w:t>本次发行证券的种类为可转换为公司</w:t>
      </w:r>
      <w:r>
        <w:rPr>
          <w:rFonts w:hint="eastAsia"/>
        </w:rPr>
        <w:t>A</w:t>
      </w:r>
      <w:r>
        <w:rPr>
          <w:rFonts w:hint="eastAsia"/>
        </w:rPr>
        <w:t>股股票的可转换公司债券。该可转换公司债券及未来转换的</w:t>
      </w:r>
      <w:r>
        <w:rPr>
          <w:rFonts w:hint="eastAsia"/>
        </w:rPr>
        <w:t>A</w:t>
      </w:r>
      <w:r>
        <w:rPr>
          <w:rFonts w:hint="eastAsia"/>
        </w:rPr>
        <w:t>股股票将在深圳证券交易所上市。</w:t>
      </w:r>
    </w:p>
    <w:p w14:paraId="7E8DC818" w14:textId="77777777" w:rsidR="004B0883" w:rsidRDefault="004B0883">
      <w:pPr>
        <w:pStyle w:val="004"/>
        <w:spacing w:before="120" w:after="120"/>
        <w:ind w:firstLine="482"/>
        <w:rPr>
          <w:rFonts w:hint="eastAsia"/>
        </w:rPr>
      </w:pPr>
      <w:bookmarkStart w:id="67" w:name="_Toc121171024"/>
      <w:r>
        <w:rPr>
          <w:rFonts w:hint="eastAsia"/>
        </w:rPr>
        <w:t>2</w:t>
      </w:r>
      <w:r>
        <w:rPr>
          <w:rFonts w:hint="eastAsia"/>
        </w:rPr>
        <w:t>、发行规模</w:t>
      </w:r>
      <w:bookmarkEnd w:id="67"/>
    </w:p>
    <w:p w14:paraId="20423F0D" w14:textId="77777777" w:rsidR="004B0883" w:rsidRDefault="004B0883">
      <w:pPr>
        <w:pStyle w:val="005"/>
        <w:spacing w:before="120"/>
        <w:ind w:firstLine="480"/>
        <w:rPr>
          <w:rFonts w:hint="eastAsia"/>
        </w:rPr>
      </w:pPr>
      <w:r>
        <w:rPr>
          <w:rFonts w:hint="eastAsia"/>
        </w:rPr>
        <w:t>根据相关法律法规的规定及规范性文件的要求，并结合公司财务状况和投资计划，本次发行的可转换公司债券募集资金总额不超过人民币</w:t>
      </w:r>
      <w:r>
        <w:rPr>
          <w:rFonts w:ascii="楷体" w:eastAsia="楷体" w:hAnsi="楷体"/>
          <w:b/>
          <w:bCs/>
        </w:rPr>
        <w:t>32,183</w:t>
      </w:r>
      <w:r>
        <w:rPr>
          <w:rFonts w:ascii="楷体" w:eastAsia="楷体" w:hAnsi="楷体" w:hint="eastAsia"/>
          <w:b/>
          <w:bCs/>
        </w:rPr>
        <w:t>.00万元</w:t>
      </w:r>
      <w:r>
        <w:rPr>
          <w:rFonts w:hint="eastAsia"/>
        </w:rPr>
        <w:t>（含</w:t>
      </w:r>
      <w:r>
        <w:rPr>
          <w:rFonts w:ascii="楷体" w:eastAsia="楷体" w:hAnsi="楷体"/>
          <w:b/>
          <w:bCs/>
        </w:rPr>
        <w:t>32,183.00</w:t>
      </w:r>
      <w:r>
        <w:rPr>
          <w:rFonts w:ascii="楷体" w:eastAsia="楷体" w:hAnsi="楷体" w:hint="eastAsia"/>
          <w:b/>
          <w:bCs/>
        </w:rPr>
        <w:t>万元</w:t>
      </w:r>
      <w:r>
        <w:rPr>
          <w:rFonts w:hint="eastAsia"/>
        </w:rPr>
        <w:t>），且发行完成后公司累计债券余额占公司最近一期末净资产额的比例不超过</w:t>
      </w:r>
      <w:r>
        <w:rPr>
          <w:rFonts w:hint="eastAsia"/>
        </w:rPr>
        <w:t>50%</w:t>
      </w:r>
      <w:r>
        <w:rPr>
          <w:rFonts w:hint="eastAsia"/>
        </w:rPr>
        <w:t>，具体募集资金数额由公司股东大会授权公司董事会（或由董事会授权的人士）在上述额度范围内确定。</w:t>
      </w:r>
    </w:p>
    <w:p w14:paraId="287992CA" w14:textId="77777777" w:rsidR="004B0883" w:rsidRDefault="004B0883">
      <w:pPr>
        <w:pStyle w:val="004"/>
        <w:spacing w:before="120" w:after="120"/>
        <w:ind w:firstLine="482"/>
        <w:rPr>
          <w:rFonts w:hint="eastAsia"/>
        </w:rPr>
      </w:pPr>
      <w:bookmarkStart w:id="68" w:name="_Toc121171025"/>
      <w:r>
        <w:rPr>
          <w:rFonts w:hint="eastAsia"/>
        </w:rPr>
        <w:t>3</w:t>
      </w:r>
      <w:r>
        <w:rPr>
          <w:rFonts w:hint="eastAsia"/>
        </w:rPr>
        <w:t>、票面金额和发行价格</w:t>
      </w:r>
      <w:bookmarkEnd w:id="68"/>
    </w:p>
    <w:p w14:paraId="5B012AA5" w14:textId="77777777" w:rsidR="004B0883" w:rsidRDefault="004B0883">
      <w:pPr>
        <w:pStyle w:val="005"/>
        <w:spacing w:before="120"/>
        <w:ind w:firstLine="480"/>
        <w:rPr>
          <w:rFonts w:hint="eastAsia"/>
        </w:rPr>
      </w:pPr>
      <w:r>
        <w:rPr>
          <w:rFonts w:hint="eastAsia"/>
        </w:rPr>
        <w:t>本次发行的可转换公司债券按面值发行，每张面值为人民币</w:t>
      </w:r>
      <w:r>
        <w:rPr>
          <w:rFonts w:hint="eastAsia"/>
        </w:rPr>
        <w:t>100</w:t>
      </w:r>
      <w:r>
        <w:rPr>
          <w:rFonts w:hint="eastAsia"/>
        </w:rPr>
        <w:t>元。</w:t>
      </w:r>
    </w:p>
    <w:p w14:paraId="56CDDEEC" w14:textId="77777777" w:rsidR="004B0883" w:rsidRDefault="004B0883">
      <w:pPr>
        <w:pStyle w:val="004"/>
        <w:spacing w:before="120" w:after="120"/>
        <w:ind w:firstLine="482"/>
        <w:rPr>
          <w:rFonts w:hint="eastAsia"/>
        </w:rPr>
      </w:pPr>
      <w:bookmarkStart w:id="69" w:name="_Toc121171026"/>
      <w:r>
        <w:rPr>
          <w:rFonts w:hint="eastAsia"/>
        </w:rPr>
        <w:t>4</w:t>
      </w:r>
      <w:r>
        <w:rPr>
          <w:rFonts w:hint="eastAsia"/>
        </w:rPr>
        <w:t>、债券期限</w:t>
      </w:r>
      <w:bookmarkEnd w:id="69"/>
    </w:p>
    <w:p w14:paraId="32EDDB8D" w14:textId="77777777" w:rsidR="004B0883" w:rsidRDefault="004B0883">
      <w:pPr>
        <w:pStyle w:val="005"/>
        <w:spacing w:before="120"/>
        <w:ind w:firstLine="480"/>
        <w:rPr>
          <w:rFonts w:hint="eastAsia"/>
        </w:rPr>
      </w:pPr>
      <w:r>
        <w:rPr>
          <w:rFonts w:hint="eastAsia"/>
        </w:rPr>
        <w:t>本次发行的可转换公司债券的存续期限为自发行之日起</w:t>
      </w:r>
      <w:r>
        <w:rPr>
          <w:rFonts w:hint="eastAsia"/>
        </w:rPr>
        <w:t>6</w:t>
      </w:r>
      <w:r>
        <w:rPr>
          <w:rFonts w:hint="eastAsia"/>
        </w:rPr>
        <w:t>年。</w:t>
      </w:r>
    </w:p>
    <w:p w14:paraId="6A0C8590" w14:textId="77777777" w:rsidR="004B0883" w:rsidRDefault="004B0883">
      <w:pPr>
        <w:pStyle w:val="004"/>
        <w:spacing w:before="120" w:after="120"/>
        <w:ind w:firstLine="482"/>
        <w:rPr>
          <w:rFonts w:hint="eastAsia"/>
        </w:rPr>
      </w:pPr>
      <w:bookmarkStart w:id="70" w:name="_Toc121171027"/>
      <w:r>
        <w:rPr>
          <w:rFonts w:hint="eastAsia"/>
        </w:rPr>
        <w:t>5</w:t>
      </w:r>
      <w:r>
        <w:rPr>
          <w:rFonts w:hint="eastAsia"/>
        </w:rPr>
        <w:t>、债券利率</w:t>
      </w:r>
      <w:bookmarkEnd w:id="70"/>
    </w:p>
    <w:p w14:paraId="7D6CE13E" w14:textId="77777777" w:rsidR="004B0883" w:rsidRDefault="004B0883">
      <w:pPr>
        <w:pStyle w:val="005"/>
        <w:spacing w:before="120"/>
        <w:ind w:firstLine="480"/>
        <w:rPr>
          <w:rFonts w:hint="eastAsia"/>
        </w:rPr>
      </w:pPr>
      <w:r>
        <w:rPr>
          <w:rFonts w:hint="eastAsia"/>
        </w:rPr>
        <w:t>本次发行的可转换公司债券票面利率的确定方式及每一计息年度的最终利率水平，提请公司股东大会授权公司董事会（或由董事会授权的人士）在发行前根据国家政策、市场状况和公司具体情况与保荐机构（主承销商）协商确定。</w:t>
      </w:r>
    </w:p>
    <w:p w14:paraId="5509F1FF" w14:textId="77777777" w:rsidR="004B0883" w:rsidRDefault="004B0883">
      <w:pPr>
        <w:pStyle w:val="004"/>
        <w:spacing w:before="120" w:after="120"/>
        <w:ind w:firstLine="482"/>
        <w:rPr>
          <w:rFonts w:hint="eastAsia"/>
        </w:rPr>
      </w:pPr>
      <w:bookmarkStart w:id="71" w:name="_Toc121171028"/>
      <w:r>
        <w:rPr>
          <w:rFonts w:hint="eastAsia"/>
        </w:rPr>
        <w:t>6</w:t>
      </w:r>
      <w:r>
        <w:rPr>
          <w:rFonts w:hint="eastAsia"/>
        </w:rPr>
        <w:t>、还本付息的期限和方式</w:t>
      </w:r>
      <w:bookmarkEnd w:id="71"/>
    </w:p>
    <w:p w14:paraId="7995A1D2" w14:textId="77777777" w:rsidR="004B0883" w:rsidRDefault="004B0883">
      <w:pPr>
        <w:pStyle w:val="005"/>
        <w:spacing w:before="120"/>
        <w:ind w:firstLine="480"/>
        <w:rPr>
          <w:rFonts w:hint="eastAsia"/>
        </w:rPr>
      </w:pPr>
      <w:r>
        <w:rPr>
          <w:rFonts w:hint="eastAsia"/>
        </w:rPr>
        <w:t>本次发行的可转换公司债券采用每年付息一次的付息方式，到期归还所有未转股的可转换公司债券本金和最后一年利息。</w:t>
      </w:r>
    </w:p>
    <w:p w14:paraId="7C6DDB7D" w14:textId="77777777" w:rsidR="004B0883" w:rsidRDefault="004B0883">
      <w:pPr>
        <w:pStyle w:val="005"/>
        <w:spacing w:before="120"/>
        <w:ind w:firstLine="480"/>
        <w:rPr>
          <w:rFonts w:hint="eastAsia"/>
        </w:rPr>
      </w:pPr>
      <w:r>
        <w:rPr>
          <w:rFonts w:hint="eastAsia"/>
        </w:rPr>
        <w:t>（</w:t>
      </w:r>
      <w:r>
        <w:rPr>
          <w:rFonts w:hint="eastAsia"/>
        </w:rPr>
        <w:t>1</w:t>
      </w:r>
      <w:r>
        <w:rPr>
          <w:rFonts w:hint="eastAsia"/>
        </w:rPr>
        <w:t>）年利息计算</w:t>
      </w:r>
    </w:p>
    <w:p w14:paraId="1D8A4153" w14:textId="77777777" w:rsidR="004B0883" w:rsidRDefault="004B0883">
      <w:pPr>
        <w:pStyle w:val="005"/>
        <w:spacing w:before="120"/>
        <w:ind w:firstLine="480"/>
        <w:rPr>
          <w:rFonts w:hint="eastAsia"/>
        </w:rPr>
      </w:pPr>
      <w:r>
        <w:rPr>
          <w:rFonts w:hint="eastAsia"/>
        </w:rPr>
        <w:t>年利息指可转换公司债券持有人按持有的可转换公司债券票面总金额自可转换公司债券发行首日起每满一年可享受的当期利息。</w:t>
      </w:r>
    </w:p>
    <w:p w14:paraId="5BF8CAD1" w14:textId="77777777" w:rsidR="004B0883" w:rsidRDefault="004B0883">
      <w:pPr>
        <w:pStyle w:val="005"/>
        <w:spacing w:before="120"/>
        <w:ind w:firstLine="480"/>
        <w:rPr>
          <w:rFonts w:hint="eastAsia"/>
        </w:rPr>
      </w:pPr>
      <w:r>
        <w:rPr>
          <w:rFonts w:hint="eastAsia"/>
        </w:rPr>
        <w:t>年利息的计算公式为：</w:t>
      </w:r>
      <w:r>
        <w:rPr>
          <w:rFonts w:hint="eastAsia"/>
        </w:rPr>
        <w:t>I=B</w:t>
      </w:r>
      <w:r>
        <w:rPr>
          <w:rFonts w:hint="eastAsia"/>
        </w:rPr>
        <w:t>×</w:t>
      </w:r>
      <w:r>
        <w:rPr>
          <w:rFonts w:hint="eastAsia"/>
        </w:rPr>
        <w:t>i</w:t>
      </w:r>
    </w:p>
    <w:p w14:paraId="7289A092" w14:textId="77777777" w:rsidR="004B0883" w:rsidRDefault="004B0883">
      <w:pPr>
        <w:pStyle w:val="005"/>
        <w:spacing w:before="120"/>
        <w:ind w:firstLine="480"/>
        <w:rPr>
          <w:rFonts w:hint="eastAsia"/>
        </w:rPr>
      </w:pPr>
      <w:r>
        <w:rPr>
          <w:rFonts w:hint="eastAsia"/>
        </w:rPr>
        <w:t>I</w:t>
      </w:r>
      <w:r>
        <w:rPr>
          <w:rFonts w:hint="eastAsia"/>
        </w:rPr>
        <w:t>：指年利息额；</w:t>
      </w:r>
    </w:p>
    <w:p w14:paraId="24E1E96B" w14:textId="77777777" w:rsidR="004B0883" w:rsidRDefault="004B0883">
      <w:pPr>
        <w:pStyle w:val="005"/>
        <w:spacing w:before="120"/>
        <w:ind w:firstLine="480"/>
        <w:rPr>
          <w:rFonts w:hint="eastAsia"/>
        </w:rPr>
      </w:pPr>
      <w:r>
        <w:rPr>
          <w:rFonts w:hint="eastAsia"/>
        </w:rPr>
        <w:t>B</w:t>
      </w:r>
      <w:r>
        <w:rPr>
          <w:rFonts w:hint="eastAsia"/>
        </w:rPr>
        <w:t>：指本次发行的可转换公司债券持有人在计息年度（以下简称</w:t>
      </w:r>
      <w:r>
        <w:rPr>
          <w:rFonts w:ascii="宋体" w:hAnsi="宋体" w:hint="eastAsia"/>
        </w:rPr>
        <w:t>“</w:t>
      </w:r>
      <w:r>
        <w:rPr>
          <w:rFonts w:hint="eastAsia"/>
        </w:rPr>
        <w:t>当年</w:t>
      </w:r>
      <w:r>
        <w:rPr>
          <w:rFonts w:ascii="宋体" w:hAnsi="宋体" w:hint="eastAsia"/>
        </w:rPr>
        <w:t>”</w:t>
      </w:r>
      <w:r>
        <w:rPr>
          <w:rFonts w:hint="eastAsia"/>
        </w:rPr>
        <w:t>或</w:t>
      </w:r>
      <w:r>
        <w:rPr>
          <w:rFonts w:ascii="宋体" w:hAnsi="宋体" w:hint="eastAsia"/>
        </w:rPr>
        <w:t>“</w:t>
      </w:r>
      <w:r>
        <w:rPr>
          <w:rFonts w:hint="eastAsia"/>
        </w:rPr>
        <w:t>每年</w:t>
      </w:r>
      <w:r>
        <w:rPr>
          <w:rFonts w:ascii="宋体" w:hAnsi="宋体" w:hint="eastAsia"/>
        </w:rPr>
        <w:t>”</w:t>
      </w:r>
      <w:r>
        <w:rPr>
          <w:rFonts w:hint="eastAsia"/>
        </w:rPr>
        <w:t>）付息债权登记日持有的可转换公司债券票面总金额；</w:t>
      </w:r>
    </w:p>
    <w:p w14:paraId="09C46266" w14:textId="77777777" w:rsidR="004B0883" w:rsidRDefault="004B0883">
      <w:pPr>
        <w:pStyle w:val="005"/>
        <w:spacing w:before="120"/>
        <w:ind w:firstLine="480"/>
        <w:rPr>
          <w:rFonts w:hint="eastAsia"/>
        </w:rPr>
      </w:pPr>
      <w:r>
        <w:rPr>
          <w:rFonts w:hint="eastAsia"/>
        </w:rPr>
        <w:t>i</w:t>
      </w:r>
      <w:r>
        <w:rPr>
          <w:rFonts w:hint="eastAsia"/>
        </w:rPr>
        <w:t>：指可转换公司债券的当年票面利率。</w:t>
      </w:r>
    </w:p>
    <w:p w14:paraId="4DFFA331" w14:textId="77777777" w:rsidR="004B0883" w:rsidRDefault="004B0883">
      <w:pPr>
        <w:pStyle w:val="005"/>
        <w:spacing w:before="120"/>
        <w:ind w:firstLine="480"/>
        <w:rPr>
          <w:rFonts w:hint="eastAsia"/>
        </w:rPr>
      </w:pPr>
      <w:r>
        <w:rPr>
          <w:rFonts w:hint="eastAsia"/>
        </w:rPr>
        <w:t>（</w:t>
      </w:r>
      <w:r>
        <w:rPr>
          <w:rFonts w:hint="eastAsia"/>
        </w:rPr>
        <w:t>2</w:t>
      </w:r>
      <w:r>
        <w:rPr>
          <w:rFonts w:hint="eastAsia"/>
        </w:rPr>
        <w:t>）付息方式</w:t>
      </w:r>
    </w:p>
    <w:p w14:paraId="63247B38" w14:textId="77777777" w:rsidR="004B0883" w:rsidRDefault="004B0883">
      <w:pPr>
        <w:pStyle w:val="005"/>
        <w:spacing w:before="120"/>
        <w:ind w:firstLine="480"/>
        <w:rPr>
          <w:rFonts w:hint="eastAsia"/>
        </w:rPr>
      </w:pPr>
      <w:r>
        <w:rPr>
          <w:rFonts w:hint="eastAsia"/>
        </w:rPr>
        <w:t>1</w:t>
      </w:r>
      <w:r>
        <w:rPr>
          <w:rFonts w:hint="eastAsia"/>
        </w:rPr>
        <w:t>）本次发行的可转换公司债券采用每年付息一次的付息方式，计息起始日为可转换公司债券发行首日。</w:t>
      </w:r>
    </w:p>
    <w:p w14:paraId="09980D2E" w14:textId="77777777" w:rsidR="004B0883" w:rsidRDefault="004B0883">
      <w:pPr>
        <w:pStyle w:val="005"/>
        <w:spacing w:before="120"/>
        <w:ind w:firstLine="480"/>
        <w:rPr>
          <w:rFonts w:hint="eastAsia"/>
        </w:rPr>
      </w:pPr>
      <w:r>
        <w:rPr>
          <w:rFonts w:hint="eastAsia"/>
        </w:rPr>
        <w:t>2</w:t>
      </w:r>
      <w:r>
        <w:rPr>
          <w:rFonts w:hint="eastAsia"/>
        </w:rPr>
        <w:t>）付息日：每年的付息日为本次发行的可转换公司债券发行首日起每满一年的当日。如该日为法定节假日或休息日，则顺延至下一个工作日，顺延期间不另付息。每相邻的两个付息日之间为一个计息年度。</w:t>
      </w:r>
    </w:p>
    <w:p w14:paraId="293E5E87" w14:textId="77777777" w:rsidR="004B0883" w:rsidRDefault="004B0883">
      <w:pPr>
        <w:pStyle w:val="005"/>
        <w:spacing w:before="120"/>
        <w:ind w:firstLine="480"/>
        <w:rPr>
          <w:rFonts w:hint="eastAsia"/>
        </w:rPr>
      </w:pPr>
      <w:r>
        <w:rPr>
          <w:rFonts w:hint="eastAsia"/>
        </w:rPr>
        <w:t>转股年度有关利息和股利的归属等事项，由公司董事会根据相关法律法规及深圳证券交易所的规定确定。</w:t>
      </w:r>
    </w:p>
    <w:p w14:paraId="58BD1917" w14:textId="77777777" w:rsidR="004B0883" w:rsidRDefault="004B0883">
      <w:pPr>
        <w:pStyle w:val="005"/>
        <w:spacing w:before="120"/>
        <w:ind w:firstLine="480"/>
        <w:rPr>
          <w:rFonts w:hint="eastAsia"/>
        </w:rPr>
      </w:pPr>
      <w:r>
        <w:rPr>
          <w:rFonts w:hint="eastAsia"/>
        </w:rPr>
        <w:t>3</w:t>
      </w:r>
      <w:r>
        <w:rPr>
          <w:rFonts w:hint="eastAsia"/>
        </w:rPr>
        <w:t>）付息债权登记日：每年的付息债权登记日为每年付息日的前一交易日，公司将在每年付息日之后的五个交易日内支付当年利息。在付息债权登记日前（包括付息债权登记日）申请转换成公司股票的可转换公司债券，公司不再向其持有人支付本计息年度及以后计息年度的利息。</w:t>
      </w:r>
    </w:p>
    <w:p w14:paraId="69785C19" w14:textId="77777777" w:rsidR="004B0883" w:rsidRDefault="004B0883">
      <w:pPr>
        <w:pStyle w:val="005"/>
        <w:spacing w:before="120"/>
        <w:ind w:firstLine="480"/>
        <w:rPr>
          <w:rFonts w:hint="eastAsia"/>
        </w:rPr>
      </w:pPr>
      <w:r>
        <w:rPr>
          <w:rFonts w:hint="eastAsia"/>
        </w:rPr>
        <w:t>4</w:t>
      </w:r>
      <w:r>
        <w:rPr>
          <w:rFonts w:hint="eastAsia"/>
        </w:rPr>
        <w:t>）可转换公司债券持有人所获得利息收入的应付税项由可转换公司债券持有人承担。</w:t>
      </w:r>
    </w:p>
    <w:p w14:paraId="497215A1" w14:textId="77777777" w:rsidR="004B0883" w:rsidRDefault="004B0883">
      <w:pPr>
        <w:pStyle w:val="004"/>
        <w:spacing w:before="120" w:after="120"/>
        <w:ind w:firstLine="482"/>
        <w:rPr>
          <w:rFonts w:hint="eastAsia"/>
        </w:rPr>
      </w:pPr>
      <w:bookmarkStart w:id="72" w:name="_Toc121171029"/>
      <w:r>
        <w:rPr>
          <w:rFonts w:hint="eastAsia"/>
        </w:rPr>
        <w:t>7</w:t>
      </w:r>
      <w:r>
        <w:rPr>
          <w:rFonts w:hint="eastAsia"/>
        </w:rPr>
        <w:t>、转股期限</w:t>
      </w:r>
      <w:bookmarkEnd w:id="72"/>
    </w:p>
    <w:p w14:paraId="38B4A691" w14:textId="77777777" w:rsidR="004B0883" w:rsidRDefault="004B0883">
      <w:pPr>
        <w:pStyle w:val="005"/>
        <w:spacing w:before="120"/>
        <w:ind w:firstLine="480"/>
        <w:rPr>
          <w:rFonts w:hint="eastAsia"/>
        </w:rPr>
      </w:pPr>
      <w:r>
        <w:rPr>
          <w:rFonts w:hint="eastAsia"/>
        </w:rPr>
        <w:t>本次发行的可转换公司债券转股期自可转换公司债券发行结束之日起满六个月后的第一个交易日起至可转换公司债券到期日止。债券持有人对转股或者不转股有选择权，并于转股的次日成为公司股东。</w:t>
      </w:r>
    </w:p>
    <w:p w14:paraId="0566E3CB" w14:textId="77777777" w:rsidR="004B0883" w:rsidRDefault="004B0883">
      <w:pPr>
        <w:pStyle w:val="004"/>
        <w:spacing w:before="120" w:after="120"/>
        <w:ind w:firstLine="482"/>
        <w:rPr>
          <w:rFonts w:hint="eastAsia"/>
        </w:rPr>
      </w:pPr>
      <w:bookmarkStart w:id="73" w:name="_Toc121171030"/>
      <w:r>
        <w:rPr>
          <w:rFonts w:hint="eastAsia"/>
        </w:rPr>
        <w:t>8</w:t>
      </w:r>
      <w:r>
        <w:rPr>
          <w:rFonts w:hint="eastAsia"/>
        </w:rPr>
        <w:t>、转股价格的确定及其调整</w:t>
      </w:r>
      <w:bookmarkEnd w:id="73"/>
    </w:p>
    <w:p w14:paraId="573D916D" w14:textId="77777777" w:rsidR="004B0883" w:rsidRDefault="004B0883">
      <w:pPr>
        <w:pStyle w:val="005"/>
        <w:spacing w:before="120"/>
        <w:ind w:firstLine="480"/>
        <w:rPr>
          <w:rFonts w:hint="eastAsia"/>
        </w:rPr>
      </w:pPr>
      <w:r>
        <w:rPr>
          <w:rFonts w:hint="eastAsia"/>
        </w:rPr>
        <w:t>（</w:t>
      </w:r>
      <w:r>
        <w:rPr>
          <w:rFonts w:hint="eastAsia"/>
        </w:rPr>
        <w:t>1</w:t>
      </w:r>
      <w:r>
        <w:rPr>
          <w:rFonts w:hint="eastAsia"/>
        </w:rPr>
        <w:t>）初始转股价格的确定</w:t>
      </w:r>
    </w:p>
    <w:p w14:paraId="7000E2A7" w14:textId="77777777" w:rsidR="004B0883" w:rsidRDefault="004B0883">
      <w:pPr>
        <w:pStyle w:val="005"/>
        <w:spacing w:before="120"/>
        <w:ind w:firstLine="480"/>
        <w:rPr>
          <w:rFonts w:hint="eastAsia"/>
        </w:rPr>
      </w:pPr>
      <w:r>
        <w:rPr>
          <w:rFonts w:hint="eastAsia"/>
        </w:rPr>
        <w:t>本次发行的可转换公司债券的初始转股价格不低于募集说明书公告日前二十个交易日公司</w:t>
      </w:r>
      <w:r>
        <w:rPr>
          <w:rFonts w:hint="eastAsia"/>
        </w:rPr>
        <w:t>A</w:t>
      </w:r>
      <w:r>
        <w:rPr>
          <w:rFonts w:hint="eastAsia"/>
        </w:rPr>
        <w:t>股股票交易均价（若在该二十个交易日内发生过因除权、除息引起股价调整的情形，则对调整前交易日的收盘价按经过相应除权、除息调整后的价格计算）和前一个交易日公司股票交易均价，且不得向上修正，具体初始转股价格提请公司股东大会授权公司董事会（或由董事会授权的人士）在发行前根据市场和公司具体情况与保荐机构（主承销商）协商确定。</w:t>
      </w:r>
    </w:p>
    <w:p w14:paraId="6D041B9F" w14:textId="77777777" w:rsidR="004B0883" w:rsidRDefault="004B0883">
      <w:pPr>
        <w:pStyle w:val="005"/>
        <w:spacing w:before="120"/>
        <w:ind w:firstLine="480"/>
        <w:rPr>
          <w:rFonts w:hint="eastAsia"/>
        </w:rPr>
      </w:pPr>
      <w:r>
        <w:rPr>
          <w:rFonts w:hint="eastAsia"/>
        </w:rPr>
        <w:t>前二十个交易日公司股票交易均价</w:t>
      </w:r>
      <w:r>
        <w:rPr>
          <w:rFonts w:hint="eastAsia"/>
        </w:rPr>
        <w:t>=</w:t>
      </w:r>
      <w:r>
        <w:rPr>
          <w:rFonts w:hint="eastAsia"/>
        </w:rPr>
        <w:t>前二十个交易日公司股票交易总额</w:t>
      </w:r>
      <w:r>
        <w:rPr>
          <w:rFonts w:hint="eastAsia"/>
        </w:rPr>
        <w:t>/</w:t>
      </w:r>
      <w:r>
        <w:rPr>
          <w:rFonts w:hint="eastAsia"/>
        </w:rPr>
        <w:t>该二十个交易日公司股票交易总量；前一交易日公司股票交易均价</w:t>
      </w:r>
      <w:r>
        <w:rPr>
          <w:rFonts w:hint="eastAsia"/>
        </w:rPr>
        <w:t>=</w:t>
      </w:r>
      <w:r>
        <w:rPr>
          <w:rFonts w:hint="eastAsia"/>
        </w:rPr>
        <w:t>前一交易日公司股票交易总额</w:t>
      </w:r>
      <w:r>
        <w:rPr>
          <w:rFonts w:hint="eastAsia"/>
        </w:rPr>
        <w:t>/</w:t>
      </w:r>
      <w:r>
        <w:rPr>
          <w:rFonts w:hint="eastAsia"/>
        </w:rPr>
        <w:t>该日公司股票交易总量。</w:t>
      </w:r>
    </w:p>
    <w:p w14:paraId="51A4A5D0" w14:textId="77777777" w:rsidR="004B0883" w:rsidRDefault="004B0883">
      <w:pPr>
        <w:pStyle w:val="005"/>
        <w:spacing w:before="120"/>
        <w:ind w:firstLine="480"/>
        <w:rPr>
          <w:rFonts w:hint="eastAsia"/>
        </w:rPr>
      </w:pPr>
      <w:r>
        <w:rPr>
          <w:rFonts w:hint="eastAsia"/>
        </w:rPr>
        <w:t>（</w:t>
      </w:r>
      <w:r>
        <w:rPr>
          <w:rFonts w:hint="eastAsia"/>
        </w:rPr>
        <w:t>2</w:t>
      </w:r>
      <w:r>
        <w:rPr>
          <w:rFonts w:hint="eastAsia"/>
        </w:rPr>
        <w:t>）转股价格的调整方法及计算公式</w:t>
      </w:r>
    </w:p>
    <w:p w14:paraId="3479EA90" w14:textId="77777777" w:rsidR="004B0883" w:rsidRDefault="004B0883">
      <w:pPr>
        <w:pStyle w:val="005"/>
        <w:spacing w:before="120"/>
        <w:ind w:firstLine="480"/>
        <w:rPr>
          <w:rFonts w:hint="eastAsia"/>
        </w:rPr>
      </w:pPr>
      <w:r>
        <w:rPr>
          <w:rFonts w:hint="eastAsia"/>
        </w:rPr>
        <w:t>在本次发行之后，当公司发生派送股票股利、转增股本、增发新股或配股、派送现金股利等情况（不包括因本次发行的可转换公司债券转股而增加的股本）使公司股份发生变化时，将按下述公式进行转股价格的调整（保留小数点后两位，最后一位四舍五入）：</w:t>
      </w:r>
    </w:p>
    <w:p w14:paraId="44287386" w14:textId="77777777" w:rsidR="004B0883" w:rsidRDefault="004B0883">
      <w:pPr>
        <w:pStyle w:val="005"/>
        <w:spacing w:before="120"/>
        <w:ind w:firstLine="480"/>
        <w:rPr>
          <w:rFonts w:hint="eastAsia"/>
        </w:rPr>
      </w:pPr>
      <w:r>
        <w:rPr>
          <w:rFonts w:hint="eastAsia"/>
        </w:rPr>
        <w:t>派送股票股利或转增股本：</w:t>
      </w:r>
      <w:r>
        <w:rPr>
          <w:rFonts w:hint="eastAsia"/>
        </w:rPr>
        <w:t>P1=P0/</w:t>
      </w:r>
      <w:r>
        <w:rPr>
          <w:rFonts w:hint="eastAsia"/>
        </w:rPr>
        <w:t>（</w:t>
      </w:r>
      <w:r>
        <w:rPr>
          <w:rFonts w:hint="eastAsia"/>
        </w:rPr>
        <w:t>1+n</w:t>
      </w:r>
      <w:r>
        <w:rPr>
          <w:rFonts w:hint="eastAsia"/>
        </w:rPr>
        <w:t>）；</w:t>
      </w:r>
    </w:p>
    <w:p w14:paraId="5EE4B405" w14:textId="77777777" w:rsidR="004B0883" w:rsidRDefault="004B0883">
      <w:pPr>
        <w:pStyle w:val="005"/>
        <w:spacing w:before="120"/>
        <w:ind w:firstLine="480"/>
        <w:rPr>
          <w:rFonts w:hint="eastAsia"/>
        </w:rPr>
      </w:pPr>
      <w:r>
        <w:rPr>
          <w:rFonts w:hint="eastAsia"/>
        </w:rPr>
        <w:t>增发新股或配股：</w:t>
      </w:r>
      <w:r>
        <w:rPr>
          <w:rFonts w:hint="eastAsia"/>
        </w:rPr>
        <w:t>P1=</w:t>
      </w:r>
      <w:r>
        <w:rPr>
          <w:rFonts w:hint="eastAsia"/>
        </w:rPr>
        <w:t>（</w:t>
      </w:r>
      <w:r>
        <w:rPr>
          <w:rFonts w:hint="eastAsia"/>
        </w:rPr>
        <w:t>P0+A</w:t>
      </w:r>
      <w:r>
        <w:rPr>
          <w:rFonts w:hint="eastAsia"/>
        </w:rPr>
        <w:t>×</w:t>
      </w:r>
      <w:r>
        <w:rPr>
          <w:rFonts w:hint="eastAsia"/>
        </w:rPr>
        <w:t>k</w:t>
      </w:r>
      <w:r>
        <w:rPr>
          <w:rFonts w:hint="eastAsia"/>
        </w:rPr>
        <w:t>）</w:t>
      </w:r>
      <w:r>
        <w:rPr>
          <w:rFonts w:hint="eastAsia"/>
        </w:rPr>
        <w:t>/</w:t>
      </w:r>
      <w:r>
        <w:rPr>
          <w:rFonts w:hint="eastAsia"/>
        </w:rPr>
        <w:t>（</w:t>
      </w:r>
      <w:r>
        <w:rPr>
          <w:rFonts w:hint="eastAsia"/>
        </w:rPr>
        <w:t>1+k</w:t>
      </w:r>
      <w:r>
        <w:rPr>
          <w:rFonts w:hint="eastAsia"/>
        </w:rPr>
        <w:t>）；</w:t>
      </w:r>
    </w:p>
    <w:p w14:paraId="06DB0394" w14:textId="77777777" w:rsidR="004B0883" w:rsidRDefault="004B0883">
      <w:pPr>
        <w:pStyle w:val="005"/>
        <w:spacing w:before="120"/>
        <w:ind w:firstLine="480"/>
        <w:rPr>
          <w:rFonts w:hint="eastAsia"/>
        </w:rPr>
      </w:pPr>
      <w:r>
        <w:rPr>
          <w:rFonts w:hint="eastAsia"/>
        </w:rPr>
        <w:t>上述两项同时进行：</w:t>
      </w:r>
      <w:r>
        <w:rPr>
          <w:rFonts w:hint="eastAsia"/>
        </w:rPr>
        <w:t>P1=</w:t>
      </w:r>
      <w:r>
        <w:rPr>
          <w:rFonts w:hint="eastAsia"/>
        </w:rPr>
        <w:t>（</w:t>
      </w:r>
      <w:r>
        <w:rPr>
          <w:rFonts w:hint="eastAsia"/>
        </w:rPr>
        <w:t>P0+A</w:t>
      </w:r>
      <w:r>
        <w:rPr>
          <w:rFonts w:hint="eastAsia"/>
        </w:rPr>
        <w:t>×</w:t>
      </w:r>
      <w:r>
        <w:rPr>
          <w:rFonts w:hint="eastAsia"/>
        </w:rPr>
        <w:t>k</w:t>
      </w:r>
      <w:r>
        <w:rPr>
          <w:rFonts w:hint="eastAsia"/>
        </w:rPr>
        <w:t>）</w:t>
      </w:r>
      <w:r>
        <w:rPr>
          <w:rFonts w:hint="eastAsia"/>
        </w:rPr>
        <w:t>/</w:t>
      </w:r>
      <w:r>
        <w:rPr>
          <w:rFonts w:hint="eastAsia"/>
        </w:rPr>
        <w:t>（</w:t>
      </w:r>
      <w:r>
        <w:rPr>
          <w:rFonts w:hint="eastAsia"/>
        </w:rPr>
        <w:t>1+n+k</w:t>
      </w:r>
      <w:r>
        <w:rPr>
          <w:rFonts w:hint="eastAsia"/>
        </w:rPr>
        <w:t>）；</w:t>
      </w:r>
    </w:p>
    <w:p w14:paraId="1B24FD7D" w14:textId="77777777" w:rsidR="004B0883" w:rsidRDefault="004B0883">
      <w:pPr>
        <w:pStyle w:val="005"/>
        <w:spacing w:before="120"/>
        <w:ind w:firstLine="480"/>
        <w:rPr>
          <w:rFonts w:hint="eastAsia"/>
        </w:rPr>
      </w:pPr>
      <w:r>
        <w:rPr>
          <w:rFonts w:hint="eastAsia"/>
        </w:rPr>
        <w:t>派送现金股利：</w:t>
      </w:r>
      <w:r>
        <w:rPr>
          <w:rFonts w:hint="eastAsia"/>
        </w:rPr>
        <w:t>P1=P0</w:t>
      </w:r>
      <w:r>
        <w:rPr>
          <w:rFonts w:hint="eastAsia"/>
        </w:rPr>
        <w:t>－</w:t>
      </w:r>
      <w:r>
        <w:rPr>
          <w:rFonts w:hint="eastAsia"/>
        </w:rPr>
        <w:t>D</w:t>
      </w:r>
      <w:r>
        <w:rPr>
          <w:rFonts w:hint="eastAsia"/>
        </w:rPr>
        <w:t>；</w:t>
      </w:r>
    </w:p>
    <w:p w14:paraId="751D6B24" w14:textId="77777777" w:rsidR="004B0883" w:rsidRDefault="004B0883">
      <w:pPr>
        <w:pStyle w:val="005"/>
        <w:spacing w:before="120"/>
        <w:ind w:firstLine="480"/>
        <w:rPr>
          <w:rFonts w:hint="eastAsia"/>
        </w:rPr>
      </w:pPr>
      <w:r>
        <w:rPr>
          <w:rFonts w:hint="eastAsia"/>
        </w:rPr>
        <w:t>上述三项同时进行：</w:t>
      </w:r>
      <w:r>
        <w:rPr>
          <w:rFonts w:hint="eastAsia"/>
        </w:rPr>
        <w:t>P1</w:t>
      </w:r>
      <w:r>
        <w:rPr>
          <w:rFonts w:hint="eastAsia"/>
        </w:rPr>
        <w:t>＝（</w:t>
      </w:r>
      <w:r>
        <w:rPr>
          <w:rFonts w:hint="eastAsia"/>
        </w:rPr>
        <w:t>P0</w:t>
      </w:r>
      <w:r>
        <w:rPr>
          <w:rFonts w:hint="eastAsia"/>
        </w:rPr>
        <w:t>－</w:t>
      </w:r>
      <w:r>
        <w:rPr>
          <w:rFonts w:hint="eastAsia"/>
        </w:rPr>
        <w:t>D+A</w:t>
      </w:r>
      <w:r>
        <w:rPr>
          <w:rFonts w:hint="eastAsia"/>
        </w:rPr>
        <w:t>×</w:t>
      </w:r>
      <w:r>
        <w:rPr>
          <w:rFonts w:hint="eastAsia"/>
        </w:rPr>
        <w:t>k</w:t>
      </w:r>
      <w:r>
        <w:rPr>
          <w:rFonts w:hint="eastAsia"/>
        </w:rPr>
        <w:t>）</w:t>
      </w:r>
      <w:r>
        <w:rPr>
          <w:rFonts w:hint="eastAsia"/>
        </w:rPr>
        <w:t>/</w:t>
      </w:r>
      <w:r>
        <w:rPr>
          <w:rFonts w:hint="eastAsia"/>
        </w:rPr>
        <w:t>（</w:t>
      </w:r>
      <w:r>
        <w:rPr>
          <w:rFonts w:hint="eastAsia"/>
        </w:rPr>
        <w:t>1+n+k</w:t>
      </w:r>
      <w:r>
        <w:rPr>
          <w:rFonts w:hint="eastAsia"/>
        </w:rPr>
        <w:t>）</w:t>
      </w:r>
    </w:p>
    <w:p w14:paraId="04A42FE7" w14:textId="77777777" w:rsidR="004B0883" w:rsidRDefault="004B0883">
      <w:pPr>
        <w:pStyle w:val="005"/>
        <w:spacing w:before="120"/>
        <w:ind w:firstLine="480"/>
        <w:rPr>
          <w:rFonts w:hint="eastAsia"/>
        </w:rPr>
      </w:pPr>
      <w:r>
        <w:rPr>
          <w:rFonts w:hint="eastAsia"/>
        </w:rPr>
        <w:t>其中：</w:t>
      </w:r>
      <w:r>
        <w:rPr>
          <w:rFonts w:hint="eastAsia"/>
        </w:rPr>
        <w:t>P0</w:t>
      </w:r>
      <w:r>
        <w:rPr>
          <w:rFonts w:hint="eastAsia"/>
        </w:rPr>
        <w:t>为调整前转股价，</w:t>
      </w:r>
      <w:r>
        <w:rPr>
          <w:rFonts w:hint="eastAsia"/>
        </w:rPr>
        <w:t>n</w:t>
      </w:r>
      <w:r>
        <w:rPr>
          <w:rFonts w:hint="eastAsia"/>
        </w:rPr>
        <w:t>为派送股票股利或转增股本率，</w:t>
      </w:r>
      <w:r>
        <w:rPr>
          <w:rFonts w:hint="eastAsia"/>
        </w:rPr>
        <w:t>k</w:t>
      </w:r>
      <w:r>
        <w:rPr>
          <w:rFonts w:hint="eastAsia"/>
        </w:rPr>
        <w:t>为增发新股或配股率，</w:t>
      </w:r>
      <w:r>
        <w:rPr>
          <w:rFonts w:hint="eastAsia"/>
        </w:rPr>
        <w:t>A</w:t>
      </w:r>
      <w:r>
        <w:rPr>
          <w:rFonts w:hint="eastAsia"/>
        </w:rPr>
        <w:t>为增发新股价或配股价，</w:t>
      </w:r>
      <w:r>
        <w:rPr>
          <w:rFonts w:hint="eastAsia"/>
        </w:rPr>
        <w:t>D</w:t>
      </w:r>
      <w:r>
        <w:rPr>
          <w:rFonts w:hint="eastAsia"/>
        </w:rPr>
        <w:t>为每股派送现金股利，</w:t>
      </w:r>
      <w:r>
        <w:rPr>
          <w:rFonts w:hint="eastAsia"/>
        </w:rPr>
        <w:t>P1</w:t>
      </w:r>
      <w:r>
        <w:rPr>
          <w:rFonts w:hint="eastAsia"/>
        </w:rPr>
        <w:t>为调整后转股价。</w:t>
      </w:r>
    </w:p>
    <w:p w14:paraId="29CE7315" w14:textId="77777777" w:rsidR="004B0883" w:rsidRDefault="004B0883">
      <w:pPr>
        <w:pStyle w:val="005"/>
        <w:spacing w:before="120"/>
        <w:ind w:firstLine="480"/>
        <w:rPr>
          <w:rFonts w:hint="eastAsia"/>
        </w:rPr>
      </w:pPr>
      <w:r>
        <w:rPr>
          <w:rFonts w:hint="eastAsia"/>
        </w:rPr>
        <w:t>当公司出现上述股份和</w:t>
      </w:r>
      <w:r>
        <w:rPr>
          <w:rFonts w:hint="eastAsia"/>
        </w:rPr>
        <w:t>/</w:t>
      </w:r>
      <w:r>
        <w:rPr>
          <w:rFonts w:hint="eastAsia"/>
        </w:rPr>
        <w:t>或股东权益变化情况时，将依次进行转股价格调整，并在中国证监会指定的上市公司信息披露媒体上刊登董事会决议公告，并于公告中载明转股价格调整日、调整办法及暂停转股期间（如需）；当转股价格调整日为本次发行的可转换公司债券持有人转股申请日或之后，转换股份登记日之前，则该持有人的转股申请按公司调整后的转股价格执行。</w:t>
      </w:r>
    </w:p>
    <w:p w14:paraId="7021AF03" w14:textId="77777777" w:rsidR="004B0883" w:rsidRDefault="004B0883">
      <w:pPr>
        <w:pStyle w:val="005"/>
        <w:spacing w:before="120"/>
        <w:ind w:firstLine="480"/>
        <w:rPr>
          <w:rFonts w:hint="eastAsia"/>
        </w:rPr>
      </w:pPr>
      <w:r>
        <w:rPr>
          <w:rFonts w:hint="eastAsia"/>
        </w:rPr>
        <w:t>当公司可能发生股份回购、合并、分立或任何其他情形使公司股份类别、数量和</w:t>
      </w:r>
      <w:r>
        <w:rPr>
          <w:rFonts w:hint="eastAsia"/>
        </w:rPr>
        <w:t>/</w:t>
      </w:r>
      <w:r>
        <w:rPr>
          <w:rFonts w:hint="eastAsia"/>
        </w:rPr>
        <w:t>或股东权益发生变化从而可能影响本次发行的可转换公司债券持有人的债权利益或转股衍生权益时，公司将视具体情况按照公平、公正、公允的原则以及充分保护本次发行的可转换公司债券持有人权益的原则调整转股价格。有关转股价格调整内容及操作办法将依据当时国家有关法律法规及证券监管部门的相关规定来制订。</w:t>
      </w:r>
    </w:p>
    <w:p w14:paraId="574403BE" w14:textId="77777777" w:rsidR="004B0883" w:rsidRDefault="004B0883">
      <w:pPr>
        <w:pStyle w:val="004"/>
        <w:spacing w:before="120" w:after="120"/>
        <w:ind w:firstLine="482"/>
        <w:rPr>
          <w:rFonts w:hint="eastAsia"/>
        </w:rPr>
      </w:pPr>
      <w:bookmarkStart w:id="74" w:name="_Toc121171031"/>
      <w:r>
        <w:rPr>
          <w:rFonts w:hint="eastAsia"/>
        </w:rPr>
        <w:t>9</w:t>
      </w:r>
      <w:r>
        <w:rPr>
          <w:rFonts w:hint="eastAsia"/>
        </w:rPr>
        <w:t>、转股价格向下修正条款</w:t>
      </w:r>
      <w:bookmarkEnd w:id="74"/>
    </w:p>
    <w:p w14:paraId="67508163" w14:textId="77777777" w:rsidR="004B0883" w:rsidRDefault="004B0883">
      <w:pPr>
        <w:pStyle w:val="005"/>
        <w:spacing w:before="120"/>
        <w:ind w:firstLine="480"/>
        <w:rPr>
          <w:rFonts w:hint="eastAsia"/>
        </w:rPr>
      </w:pPr>
      <w:r>
        <w:rPr>
          <w:rFonts w:hint="eastAsia"/>
        </w:rPr>
        <w:t>（</w:t>
      </w:r>
      <w:r>
        <w:rPr>
          <w:rFonts w:hint="eastAsia"/>
        </w:rPr>
        <w:t>1</w:t>
      </w:r>
      <w:r>
        <w:rPr>
          <w:rFonts w:hint="eastAsia"/>
        </w:rPr>
        <w:t>）修正权限与修正幅度</w:t>
      </w:r>
    </w:p>
    <w:p w14:paraId="1680AC5A" w14:textId="77777777" w:rsidR="004B0883" w:rsidRDefault="004B0883">
      <w:pPr>
        <w:pStyle w:val="005"/>
        <w:spacing w:before="120"/>
        <w:ind w:firstLine="480"/>
        <w:rPr>
          <w:rFonts w:hint="eastAsia"/>
        </w:rPr>
      </w:pPr>
      <w:r>
        <w:rPr>
          <w:rFonts w:hint="eastAsia"/>
        </w:rPr>
        <w:t>在本次发行的可转换公司债券存续期间，当公司股票在任意连续三十个交易日中至少有十五个交易日的收盘价低于当期转股价格的</w:t>
      </w:r>
      <w:r>
        <w:rPr>
          <w:rFonts w:hint="eastAsia"/>
        </w:rPr>
        <w:t>85%</w:t>
      </w:r>
      <w:r>
        <w:rPr>
          <w:rFonts w:hint="eastAsia"/>
        </w:rPr>
        <w:t>时，公司董事会有权提出转股价格向下修正方案并提交公司股东大会表决。</w:t>
      </w:r>
    </w:p>
    <w:p w14:paraId="6160B60F" w14:textId="77777777" w:rsidR="004B0883" w:rsidRDefault="004B0883">
      <w:pPr>
        <w:pStyle w:val="005"/>
        <w:spacing w:before="120"/>
        <w:ind w:firstLine="480"/>
        <w:rPr>
          <w:rFonts w:hint="eastAsia"/>
        </w:rPr>
      </w:pPr>
      <w:r>
        <w:rPr>
          <w:rFonts w:hint="eastAsia"/>
        </w:rPr>
        <w:t>上述方案须经出席会议的股东所持表决权的三分之二以上通过方可实施。股东大会进行表决时，持有本次发行的可转换公司债券的股东应当回避。修正后的转股价格应不低于本次股东大会召开日前二十个交易日公司股票交易均价和前一交易日均价之间的较高者，同时修正后的转股价格不低于最近一期经审计的每股净资产和股票面值。</w:t>
      </w:r>
    </w:p>
    <w:p w14:paraId="56355496" w14:textId="77777777" w:rsidR="004B0883" w:rsidRDefault="004B0883">
      <w:pPr>
        <w:pStyle w:val="005"/>
        <w:spacing w:before="120"/>
        <w:ind w:firstLine="480"/>
        <w:rPr>
          <w:rFonts w:hint="eastAsia"/>
        </w:rPr>
      </w:pPr>
      <w:r>
        <w:rPr>
          <w:rFonts w:hint="eastAsia"/>
        </w:rPr>
        <w:t>若在前述三十个交易日内发生过转股价格调整的情形，则在转股价格调整日前的交易日按调整前的转股价格和收盘价计算，在转股价格调整日及之后的交易日按调整后的转股价格和收盘价计算。</w:t>
      </w:r>
    </w:p>
    <w:p w14:paraId="56FAD0FD" w14:textId="77777777" w:rsidR="004B0883" w:rsidRDefault="004B0883">
      <w:pPr>
        <w:pStyle w:val="005"/>
        <w:spacing w:before="120"/>
        <w:ind w:firstLine="480"/>
        <w:rPr>
          <w:rFonts w:hint="eastAsia"/>
        </w:rPr>
      </w:pPr>
      <w:r>
        <w:rPr>
          <w:rFonts w:hint="eastAsia"/>
        </w:rPr>
        <w:t>（</w:t>
      </w:r>
      <w:r>
        <w:rPr>
          <w:rFonts w:hint="eastAsia"/>
        </w:rPr>
        <w:t>2</w:t>
      </w:r>
      <w:r>
        <w:rPr>
          <w:rFonts w:hint="eastAsia"/>
        </w:rPr>
        <w:t>）修正程序</w:t>
      </w:r>
    </w:p>
    <w:p w14:paraId="6F305339" w14:textId="77777777" w:rsidR="004B0883" w:rsidRDefault="004B0883">
      <w:pPr>
        <w:pStyle w:val="005"/>
        <w:spacing w:before="120"/>
        <w:ind w:firstLine="480"/>
        <w:rPr>
          <w:rFonts w:hint="eastAsia"/>
        </w:rPr>
      </w:pPr>
      <w:r>
        <w:rPr>
          <w:rFonts w:hint="eastAsia"/>
        </w:rPr>
        <w:t>如公司决定向下修正转股价格时，公司将在中国证监会指定的信息披露报刊及互联网网站上刊登股东大会决议公告，公告修正幅度和股权登记日及暂停转股期间。从股权登记日后的第一个交易日（即转股价格修正日），开始恢复转股申请并执行修正后的转股价格。若转股价格修正日为转股申请日或之后，转换股份登记日之前，该类转股申请应按修正后的转股价格执行。</w:t>
      </w:r>
    </w:p>
    <w:p w14:paraId="2BF59F54" w14:textId="77777777" w:rsidR="004B0883" w:rsidRDefault="004B0883">
      <w:pPr>
        <w:pStyle w:val="004"/>
        <w:spacing w:before="120" w:after="120"/>
        <w:ind w:firstLine="482"/>
        <w:rPr>
          <w:rFonts w:hint="eastAsia"/>
        </w:rPr>
      </w:pPr>
      <w:bookmarkStart w:id="75" w:name="_Toc121171032"/>
      <w:r>
        <w:rPr>
          <w:rFonts w:hint="eastAsia"/>
        </w:rPr>
        <w:t>1</w:t>
      </w:r>
      <w:r>
        <w:t>0</w:t>
      </w:r>
      <w:r>
        <w:rPr>
          <w:rFonts w:hint="eastAsia"/>
        </w:rPr>
        <w:t>、转股股数确定方式以及转股时不足一股金额的处理方法</w:t>
      </w:r>
      <w:bookmarkEnd w:id="75"/>
    </w:p>
    <w:p w14:paraId="08EE2978" w14:textId="77777777" w:rsidR="004B0883" w:rsidRDefault="004B0883">
      <w:pPr>
        <w:pStyle w:val="005"/>
        <w:spacing w:before="120"/>
        <w:ind w:firstLine="480"/>
        <w:rPr>
          <w:rFonts w:hint="eastAsia"/>
        </w:rPr>
      </w:pPr>
      <w:r>
        <w:rPr>
          <w:rFonts w:hint="eastAsia"/>
        </w:rPr>
        <w:t>债券持有人在转股期内申请转股时，转股数量的计算方式为</w:t>
      </w:r>
      <w:r>
        <w:rPr>
          <w:rFonts w:hint="eastAsia"/>
        </w:rPr>
        <w:t>Q=V/P</w:t>
      </w:r>
      <w:r>
        <w:rPr>
          <w:rFonts w:hint="eastAsia"/>
        </w:rPr>
        <w:t>，并以去尾法取一股的整数倍。其中：</w:t>
      </w:r>
      <w:r>
        <w:rPr>
          <w:rFonts w:hint="eastAsia"/>
        </w:rPr>
        <w:t>V</w:t>
      </w:r>
      <w:r>
        <w:rPr>
          <w:rFonts w:hint="eastAsia"/>
        </w:rPr>
        <w:t>：指可转换公司债券持有人申请转股的可转换公司债券票面总金额；</w:t>
      </w:r>
      <w:r>
        <w:rPr>
          <w:rFonts w:hint="eastAsia"/>
        </w:rPr>
        <w:t>P</w:t>
      </w:r>
      <w:r>
        <w:rPr>
          <w:rFonts w:hint="eastAsia"/>
        </w:rPr>
        <w:t>：指申请转股当日有效的转股价格。</w:t>
      </w:r>
    </w:p>
    <w:p w14:paraId="33B98CCD" w14:textId="77777777" w:rsidR="004B0883" w:rsidRDefault="004B0883">
      <w:pPr>
        <w:pStyle w:val="005"/>
        <w:spacing w:before="120"/>
        <w:ind w:firstLine="480"/>
        <w:rPr>
          <w:rFonts w:hint="eastAsia"/>
        </w:rPr>
      </w:pPr>
      <w:r>
        <w:rPr>
          <w:rFonts w:hint="eastAsia"/>
        </w:rPr>
        <w:t>可转换公司债券持有人申请转换成的股份须是整数股。转股时不足转换</w:t>
      </w:r>
      <w:r>
        <w:rPr>
          <w:rFonts w:hint="eastAsia"/>
        </w:rPr>
        <w:t>1</w:t>
      </w:r>
      <w:r>
        <w:rPr>
          <w:rFonts w:hint="eastAsia"/>
        </w:rPr>
        <w:t>股的可转换公司债券部分，公司将按照深圳证券交易所等部门的有关规定，在转股日后的五个交易日内以现金兑付该部分可转换公司债券的票面金额以及该余额对应的当期应计利息。</w:t>
      </w:r>
    </w:p>
    <w:p w14:paraId="705B74C1" w14:textId="77777777" w:rsidR="004B0883" w:rsidRDefault="004B0883">
      <w:pPr>
        <w:pStyle w:val="004"/>
        <w:spacing w:before="120" w:after="120"/>
        <w:ind w:firstLine="482"/>
        <w:rPr>
          <w:rFonts w:hint="eastAsia"/>
        </w:rPr>
      </w:pPr>
      <w:bookmarkStart w:id="76" w:name="_Toc121171033"/>
      <w:r>
        <w:rPr>
          <w:rFonts w:hint="eastAsia"/>
        </w:rPr>
        <w:t>1</w:t>
      </w:r>
      <w:r>
        <w:t>1</w:t>
      </w:r>
      <w:r>
        <w:rPr>
          <w:rFonts w:hint="eastAsia"/>
        </w:rPr>
        <w:t>、赎回条款</w:t>
      </w:r>
      <w:bookmarkEnd w:id="76"/>
    </w:p>
    <w:p w14:paraId="7F9AF99C" w14:textId="77777777" w:rsidR="004B0883" w:rsidRDefault="004B0883">
      <w:pPr>
        <w:pStyle w:val="005"/>
        <w:spacing w:before="120"/>
        <w:ind w:firstLine="480"/>
        <w:rPr>
          <w:rFonts w:hint="eastAsia"/>
        </w:rPr>
      </w:pPr>
      <w:r>
        <w:rPr>
          <w:rFonts w:hint="eastAsia"/>
        </w:rPr>
        <w:t>（</w:t>
      </w:r>
      <w:r>
        <w:rPr>
          <w:rFonts w:hint="eastAsia"/>
        </w:rPr>
        <w:t>1</w:t>
      </w:r>
      <w:r>
        <w:rPr>
          <w:rFonts w:hint="eastAsia"/>
        </w:rPr>
        <w:t>）到期赎回条款</w:t>
      </w:r>
    </w:p>
    <w:p w14:paraId="7766CC48" w14:textId="77777777" w:rsidR="004B0883" w:rsidRDefault="004B0883">
      <w:pPr>
        <w:pStyle w:val="005"/>
        <w:spacing w:before="120"/>
        <w:ind w:firstLine="480"/>
        <w:rPr>
          <w:rFonts w:hint="eastAsia"/>
        </w:rPr>
      </w:pPr>
      <w:r>
        <w:rPr>
          <w:rFonts w:hint="eastAsia"/>
        </w:rPr>
        <w:t>在本次发行的可转换公司债券期满后五个交易日内，公司将赎回全部未转股的可转换公司债券，具体赎回价格由股东大会授权董事会根据发行时市场情况与保荐机构（主承销商）协商确定。</w:t>
      </w:r>
    </w:p>
    <w:p w14:paraId="3DB7D4AD" w14:textId="77777777" w:rsidR="004B0883" w:rsidRDefault="004B0883">
      <w:pPr>
        <w:pStyle w:val="005"/>
        <w:spacing w:before="120"/>
        <w:ind w:firstLine="480"/>
        <w:rPr>
          <w:rFonts w:hint="eastAsia"/>
        </w:rPr>
      </w:pPr>
      <w:r>
        <w:rPr>
          <w:rFonts w:hint="eastAsia"/>
        </w:rPr>
        <w:t>（</w:t>
      </w:r>
      <w:r>
        <w:rPr>
          <w:rFonts w:hint="eastAsia"/>
        </w:rPr>
        <w:t>2</w:t>
      </w:r>
      <w:r>
        <w:rPr>
          <w:rFonts w:hint="eastAsia"/>
        </w:rPr>
        <w:t>）有条件赎回条款</w:t>
      </w:r>
    </w:p>
    <w:p w14:paraId="5066C7B0" w14:textId="77777777" w:rsidR="004B0883" w:rsidRDefault="004B0883">
      <w:pPr>
        <w:pStyle w:val="005"/>
        <w:spacing w:before="120"/>
        <w:ind w:firstLine="480"/>
        <w:rPr>
          <w:rFonts w:hint="eastAsia"/>
        </w:rPr>
      </w:pPr>
      <w:r>
        <w:rPr>
          <w:rFonts w:hint="eastAsia"/>
        </w:rPr>
        <w:t>转股期内，当下述两种情形的任意一种出现时，公司有权决定按照债券面值加当期应计利息的价格赎回全部或部分未转股的可转换公司债券：</w:t>
      </w:r>
    </w:p>
    <w:p w14:paraId="120798C9" w14:textId="77777777" w:rsidR="004B0883" w:rsidRDefault="004B0883">
      <w:pPr>
        <w:pStyle w:val="005"/>
        <w:spacing w:before="120"/>
        <w:ind w:firstLine="480"/>
        <w:rPr>
          <w:rFonts w:hint="eastAsia"/>
        </w:rPr>
      </w:pPr>
      <w:r>
        <w:rPr>
          <w:rFonts w:hint="eastAsia"/>
        </w:rPr>
        <w:t>1</w:t>
      </w:r>
      <w:r>
        <w:rPr>
          <w:rFonts w:hint="eastAsia"/>
        </w:rPr>
        <w:t>）在转股期内，如果公司股票在任何连续三十个交易日中至少十五个交易日的收盘价格不低于当期转股价格的</w:t>
      </w:r>
      <w:r>
        <w:rPr>
          <w:rFonts w:hint="eastAsia"/>
        </w:rPr>
        <w:t>130%</w:t>
      </w:r>
      <w:r>
        <w:rPr>
          <w:rFonts w:hint="eastAsia"/>
        </w:rPr>
        <w:t>（含</w:t>
      </w:r>
      <w:r>
        <w:rPr>
          <w:rFonts w:hint="eastAsia"/>
        </w:rPr>
        <w:t>130%</w:t>
      </w:r>
      <w:r>
        <w:rPr>
          <w:rFonts w:hint="eastAsia"/>
        </w:rPr>
        <w:t>）；</w:t>
      </w:r>
    </w:p>
    <w:p w14:paraId="487D156F" w14:textId="77777777" w:rsidR="004B0883" w:rsidRDefault="004B0883">
      <w:pPr>
        <w:pStyle w:val="005"/>
        <w:spacing w:before="120"/>
        <w:ind w:firstLine="480"/>
        <w:rPr>
          <w:rFonts w:hint="eastAsia"/>
        </w:rPr>
      </w:pPr>
      <w:r>
        <w:rPr>
          <w:rFonts w:hint="eastAsia"/>
        </w:rPr>
        <w:t>2</w:t>
      </w:r>
      <w:r>
        <w:rPr>
          <w:rFonts w:hint="eastAsia"/>
        </w:rPr>
        <w:t>）当本次发行的可转换公司债券未转股余额不足</w:t>
      </w:r>
      <w:r>
        <w:rPr>
          <w:rFonts w:hint="eastAsia"/>
        </w:rPr>
        <w:t>3,000</w:t>
      </w:r>
      <w:r>
        <w:rPr>
          <w:rFonts w:hint="eastAsia"/>
        </w:rPr>
        <w:t>万元时。</w:t>
      </w:r>
    </w:p>
    <w:p w14:paraId="01AC28EE" w14:textId="77777777" w:rsidR="004B0883" w:rsidRDefault="004B0883">
      <w:pPr>
        <w:pStyle w:val="005"/>
        <w:spacing w:before="120"/>
        <w:ind w:firstLine="480"/>
        <w:rPr>
          <w:rFonts w:hint="eastAsia"/>
        </w:rPr>
      </w:pPr>
      <w:r>
        <w:rPr>
          <w:rFonts w:hint="eastAsia"/>
        </w:rPr>
        <w:t>当期应计利息的计算公式为：</w:t>
      </w:r>
      <w:r>
        <w:rPr>
          <w:rFonts w:hint="eastAsia"/>
        </w:rPr>
        <w:t>IA=B</w:t>
      </w:r>
      <w:r>
        <w:rPr>
          <w:rFonts w:hint="eastAsia"/>
        </w:rPr>
        <w:t>×</w:t>
      </w:r>
      <w:r>
        <w:rPr>
          <w:rFonts w:hint="eastAsia"/>
        </w:rPr>
        <w:t>i</w:t>
      </w:r>
      <w:r>
        <w:rPr>
          <w:rFonts w:hint="eastAsia"/>
        </w:rPr>
        <w:t>×</w:t>
      </w:r>
      <w:r>
        <w:rPr>
          <w:rFonts w:hint="eastAsia"/>
        </w:rPr>
        <w:t>t/365</w:t>
      </w:r>
    </w:p>
    <w:p w14:paraId="44AAF1A0" w14:textId="77777777" w:rsidR="004B0883" w:rsidRDefault="004B0883">
      <w:pPr>
        <w:pStyle w:val="005"/>
        <w:spacing w:before="120"/>
        <w:ind w:firstLine="480"/>
        <w:rPr>
          <w:rFonts w:hint="eastAsia"/>
        </w:rPr>
      </w:pPr>
      <w:r>
        <w:rPr>
          <w:rFonts w:hint="eastAsia"/>
        </w:rPr>
        <w:t>IA</w:t>
      </w:r>
      <w:r>
        <w:rPr>
          <w:rFonts w:hint="eastAsia"/>
        </w:rPr>
        <w:t>：指当期应计利息；</w:t>
      </w:r>
    </w:p>
    <w:p w14:paraId="6D0465AF" w14:textId="77777777" w:rsidR="004B0883" w:rsidRDefault="004B0883">
      <w:pPr>
        <w:pStyle w:val="005"/>
        <w:spacing w:before="120"/>
        <w:ind w:firstLine="480"/>
        <w:rPr>
          <w:rFonts w:hint="eastAsia"/>
        </w:rPr>
      </w:pPr>
      <w:r>
        <w:rPr>
          <w:rFonts w:hint="eastAsia"/>
        </w:rPr>
        <w:t>B</w:t>
      </w:r>
      <w:r>
        <w:rPr>
          <w:rFonts w:hint="eastAsia"/>
        </w:rPr>
        <w:t>：指本次发行的可转换公司债券持有人持有的可转换公司债券票面总金额；</w:t>
      </w:r>
    </w:p>
    <w:p w14:paraId="5CBDE442" w14:textId="77777777" w:rsidR="004B0883" w:rsidRDefault="004B0883">
      <w:pPr>
        <w:pStyle w:val="005"/>
        <w:spacing w:before="120"/>
        <w:ind w:firstLine="480"/>
        <w:rPr>
          <w:rFonts w:hint="eastAsia"/>
        </w:rPr>
      </w:pPr>
      <w:r>
        <w:rPr>
          <w:rFonts w:hint="eastAsia"/>
        </w:rPr>
        <w:t>i</w:t>
      </w:r>
      <w:r>
        <w:rPr>
          <w:rFonts w:hint="eastAsia"/>
        </w:rPr>
        <w:t>：指可转换公司债券当年票面利率；</w:t>
      </w:r>
    </w:p>
    <w:p w14:paraId="7BEA9136" w14:textId="77777777" w:rsidR="004B0883" w:rsidRDefault="004B0883">
      <w:pPr>
        <w:pStyle w:val="005"/>
        <w:spacing w:before="120"/>
        <w:ind w:firstLine="480"/>
        <w:rPr>
          <w:rFonts w:hint="eastAsia"/>
        </w:rPr>
      </w:pPr>
      <w:r>
        <w:rPr>
          <w:rFonts w:hint="eastAsia"/>
        </w:rPr>
        <w:t>t</w:t>
      </w:r>
      <w:r>
        <w:rPr>
          <w:rFonts w:hint="eastAsia"/>
        </w:rPr>
        <w:t>：指计息天数，即从上一个付息日起至本计息年度赎回日止的实际日历天数（算头不算尾）。</w:t>
      </w:r>
    </w:p>
    <w:p w14:paraId="70D1D1A1" w14:textId="77777777" w:rsidR="004B0883" w:rsidRDefault="004B0883">
      <w:pPr>
        <w:pStyle w:val="005"/>
        <w:spacing w:before="120"/>
        <w:ind w:firstLine="480"/>
        <w:rPr>
          <w:rFonts w:hint="eastAsia"/>
        </w:rPr>
      </w:pPr>
      <w:r>
        <w:rPr>
          <w:rFonts w:hint="eastAsia"/>
        </w:rPr>
        <w:t>若在前述三十个交易日内发生过转股价格调整的情形，则在调整前的交易日按调整前的转股价格和收盘价计算，调整后的交易日按调整后的转股价格和收盘价计算。</w:t>
      </w:r>
    </w:p>
    <w:p w14:paraId="3C6407FF" w14:textId="77777777" w:rsidR="004B0883" w:rsidRDefault="004B0883">
      <w:pPr>
        <w:pStyle w:val="005"/>
        <w:spacing w:before="120"/>
        <w:ind w:firstLine="480"/>
        <w:rPr>
          <w:rFonts w:hint="eastAsia"/>
        </w:rPr>
      </w:pPr>
      <w:r>
        <w:rPr>
          <w:rFonts w:hint="eastAsia"/>
        </w:rPr>
        <w:t>本次可转债的赎回期与转股期相同，即自可转换公司债券发行结束之日起满六个月后的第一个交易日起至可转换公司债券到期日止。</w:t>
      </w:r>
    </w:p>
    <w:p w14:paraId="64939AE0" w14:textId="77777777" w:rsidR="004B0883" w:rsidRDefault="004B0883">
      <w:pPr>
        <w:pStyle w:val="004"/>
        <w:spacing w:before="120" w:after="120"/>
        <w:ind w:firstLine="482"/>
        <w:rPr>
          <w:rFonts w:hint="eastAsia"/>
        </w:rPr>
      </w:pPr>
      <w:bookmarkStart w:id="77" w:name="_Toc121171034"/>
      <w:r>
        <w:rPr>
          <w:rFonts w:hint="eastAsia"/>
        </w:rPr>
        <w:t>12</w:t>
      </w:r>
      <w:r>
        <w:rPr>
          <w:rFonts w:hint="eastAsia"/>
        </w:rPr>
        <w:t>、回售条款</w:t>
      </w:r>
      <w:bookmarkEnd w:id="77"/>
    </w:p>
    <w:p w14:paraId="0DA96A08" w14:textId="77777777" w:rsidR="004B0883" w:rsidRDefault="004B0883">
      <w:pPr>
        <w:pStyle w:val="005"/>
        <w:spacing w:before="120"/>
        <w:ind w:firstLine="480"/>
        <w:rPr>
          <w:rFonts w:hint="eastAsia"/>
        </w:rPr>
      </w:pPr>
      <w:r>
        <w:rPr>
          <w:rFonts w:hint="eastAsia"/>
        </w:rPr>
        <w:t>（</w:t>
      </w:r>
      <w:r>
        <w:rPr>
          <w:rFonts w:hint="eastAsia"/>
        </w:rPr>
        <w:t>1</w:t>
      </w:r>
      <w:r>
        <w:rPr>
          <w:rFonts w:hint="eastAsia"/>
        </w:rPr>
        <w:t>）有条件回售条款</w:t>
      </w:r>
    </w:p>
    <w:p w14:paraId="3755628A" w14:textId="77777777" w:rsidR="004B0883" w:rsidRDefault="004B0883">
      <w:pPr>
        <w:pStyle w:val="005"/>
        <w:spacing w:before="120"/>
        <w:ind w:firstLine="480"/>
        <w:rPr>
          <w:rFonts w:hint="eastAsia"/>
        </w:rPr>
      </w:pPr>
      <w:r>
        <w:rPr>
          <w:rFonts w:hint="eastAsia"/>
        </w:rPr>
        <w:t>在本次发行的可转换公司债券最后两个计息年度，如果公司股票在任何连续三十个交易日的收盘价格低于当期转股价的</w:t>
      </w:r>
      <w:r>
        <w:rPr>
          <w:rFonts w:hint="eastAsia"/>
        </w:rPr>
        <w:t>70%</w:t>
      </w:r>
      <w:r>
        <w:rPr>
          <w:rFonts w:hint="eastAsia"/>
        </w:rPr>
        <w:t>时，可转换公司债券持有人有权将其持有的可转换公司债券全部或部分按面值加上当期应计利息的价格回售给公司。若在上述交易日内发生过转股价格因发生送红股、转增股本、增发新股（不包括因本次发行的可转换公司债券转股而增加的股本）、配股以及派发现金股利等情况而调整的情形，则在调整前的交易日按调整前的转股价格和收盘价格计算，在调整后的交易日按调整后的转股价格和收盘价格计算。如果出现转股价格向下修正的情况，则上述</w:t>
      </w:r>
      <w:r>
        <w:rPr>
          <w:rFonts w:ascii="宋体" w:hAnsi="宋体" w:hint="eastAsia"/>
        </w:rPr>
        <w:t>“</w:t>
      </w:r>
      <w:r>
        <w:rPr>
          <w:rFonts w:hint="eastAsia"/>
        </w:rPr>
        <w:t>连续三十个交易日</w:t>
      </w:r>
      <w:r>
        <w:rPr>
          <w:rFonts w:ascii="宋体" w:hAnsi="宋体" w:hint="eastAsia"/>
        </w:rPr>
        <w:t>”</w:t>
      </w:r>
      <w:r>
        <w:rPr>
          <w:rFonts w:hint="eastAsia"/>
        </w:rPr>
        <w:t>须从转股价格调整之后的第一个交易日起重新计算。</w:t>
      </w:r>
    </w:p>
    <w:p w14:paraId="61B2135C" w14:textId="77777777" w:rsidR="004B0883" w:rsidRDefault="004B0883">
      <w:pPr>
        <w:pStyle w:val="005"/>
        <w:spacing w:before="120"/>
        <w:ind w:firstLine="480"/>
        <w:rPr>
          <w:rFonts w:hint="eastAsia"/>
        </w:rPr>
      </w:pPr>
      <w:r>
        <w:rPr>
          <w:rFonts w:hint="eastAsia"/>
        </w:rPr>
        <w:t>最后两个计息年度可转换公司债券持有人在每年回售条件首次满足后可按上述约定条件行使回售权一次，若在首次满足回售条件而可转换公司债券持有人未在公司届时公告的回售申报期内申报并实施回售的，该计息年度不能再行使回售权，可转换公司债券持有人不能多次行使部分回售权。</w:t>
      </w:r>
    </w:p>
    <w:p w14:paraId="079D985A" w14:textId="77777777" w:rsidR="004B0883" w:rsidRDefault="004B0883">
      <w:pPr>
        <w:pStyle w:val="005"/>
        <w:spacing w:before="120"/>
        <w:ind w:firstLine="480"/>
        <w:rPr>
          <w:rFonts w:hint="eastAsia"/>
        </w:rPr>
      </w:pPr>
      <w:r>
        <w:rPr>
          <w:rFonts w:hint="eastAsia"/>
        </w:rPr>
        <w:t>（</w:t>
      </w:r>
      <w:r>
        <w:rPr>
          <w:rFonts w:hint="eastAsia"/>
        </w:rPr>
        <w:t>2</w:t>
      </w:r>
      <w:r>
        <w:rPr>
          <w:rFonts w:hint="eastAsia"/>
        </w:rPr>
        <w:t>）附加回售条款</w:t>
      </w:r>
    </w:p>
    <w:p w14:paraId="43EA65B3" w14:textId="77777777" w:rsidR="004B0883" w:rsidRDefault="004B0883">
      <w:pPr>
        <w:pStyle w:val="005"/>
        <w:spacing w:before="120"/>
        <w:ind w:firstLine="480"/>
        <w:rPr>
          <w:rFonts w:hint="eastAsia"/>
        </w:rPr>
      </w:pPr>
      <w:r>
        <w:rPr>
          <w:rFonts w:hint="eastAsia"/>
        </w:rPr>
        <w:t>在本次发行的可转换公司债券存续期间，若公司本次发行的可转换公司债券募集资金投资项目的实施情况与公司在募集说明书中的承诺情况相比出现重大变化，且该变化被中国证监会认定为改变募集资金用途的，可转换公司债券持有人享有一次回售的权利。可转换公司债券持有人有权将其持有的可转换公司债券全部或部分按债券面值加上当期应计利息价格回售给公司。持有人在附加回售条件满足后，可以在公司公告后的附加回售申报期内进行回售，该次附加回售申报期内不实施回售的，不应再行使附加回售权。</w:t>
      </w:r>
    </w:p>
    <w:p w14:paraId="124C55ED" w14:textId="77777777" w:rsidR="004B0883" w:rsidRDefault="004B0883">
      <w:pPr>
        <w:pStyle w:val="004"/>
        <w:spacing w:before="120" w:after="120"/>
        <w:ind w:firstLine="482"/>
        <w:rPr>
          <w:rFonts w:hint="eastAsia"/>
        </w:rPr>
      </w:pPr>
      <w:bookmarkStart w:id="78" w:name="_Toc121171035"/>
      <w:r>
        <w:rPr>
          <w:rFonts w:hint="eastAsia"/>
        </w:rPr>
        <w:t>1</w:t>
      </w:r>
      <w:r>
        <w:t>3</w:t>
      </w:r>
      <w:r>
        <w:rPr>
          <w:rFonts w:hint="eastAsia"/>
        </w:rPr>
        <w:t>、转股后的股利分配</w:t>
      </w:r>
      <w:bookmarkEnd w:id="78"/>
    </w:p>
    <w:p w14:paraId="15892D08" w14:textId="77777777" w:rsidR="004B0883" w:rsidRDefault="004B0883">
      <w:pPr>
        <w:pStyle w:val="005"/>
        <w:spacing w:before="120"/>
        <w:ind w:firstLine="480"/>
        <w:rPr>
          <w:rFonts w:hint="eastAsia"/>
        </w:rPr>
      </w:pPr>
      <w:r>
        <w:rPr>
          <w:rFonts w:hint="eastAsia"/>
        </w:rPr>
        <w:t>因本次发行的可转换公司债券转股而增加的本公司股票享有与原股票同等的权益，在股利发放的股权登记日当日登记在册的所有普通股股东（含因可转换公司债券转股形成的股东）均参与当期股利分配，享有同等权益。</w:t>
      </w:r>
    </w:p>
    <w:p w14:paraId="4A914DC5" w14:textId="77777777" w:rsidR="004B0883" w:rsidRDefault="004B0883">
      <w:pPr>
        <w:pStyle w:val="004"/>
        <w:spacing w:before="120" w:after="120"/>
        <w:ind w:firstLine="482"/>
        <w:rPr>
          <w:rFonts w:hint="eastAsia"/>
        </w:rPr>
      </w:pPr>
      <w:bookmarkStart w:id="79" w:name="_Toc121171036"/>
      <w:r>
        <w:rPr>
          <w:rFonts w:hint="eastAsia"/>
        </w:rPr>
        <w:t>1</w:t>
      </w:r>
      <w:r>
        <w:t>4</w:t>
      </w:r>
      <w:r>
        <w:rPr>
          <w:rFonts w:hint="eastAsia"/>
        </w:rPr>
        <w:t>、发行方式及发行对象</w:t>
      </w:r>
      <w:bookmarkEnd w:id="79"/>
    </w:p>
    <w:p w14:paraId="43614B71" w14:textId="77777777" w:rsidR="004B0883" w:rsidRDefault="004B0883">
      <w:pPr>
        <w:pStyle w:val="005"/>
        <w:spacing w:before="120"/>
        <w:ind w:firstLine="480"/>
        <w:rPr>
          <w:rFonts w:hint="eastAsia"/>
        </w:rPr>
      </w:pPr>
      <w:r>
        <w:rPr>
          <w:rFonts w:hint="eastAsia"/>
        </w:rPr>
        <w:t>本次发行可转换公司债券的具体发行方式由公司股东大会授权董事会与保荐机构（主承销商）协商确定。本次可转换公司债券的发行对象为持有中国证券登记结算有限责任公司深圳分公司证券账户的自然人、法人、证券投资基金、符合法律规定的其他投资者等（国家法律、法规禁止者除外）。</w:t>
      </w:r>
    </w:p>
    <w:p w14:paraId="069815D5" w14:textId="77777777" w:rsidR="004B0883" w:rsidRDefault="004B0883">
      <w:pPr>
        <w:pStyle w:val="004"/>
        <w:spacing w:before="120" w:after="120"/>
        <w:ind w:firstLine="482"/>
        <w:rPr>
          <w:rFonts w:hint="eastAsia"/>
        </w:rPr>
      </w:pPr>
      <w:bookmarkStart w:id="80" w:name="_Toc121171037"/>
      <w:r>
        <w:rPr>
          <w:rFonts w:hint="eastAsia"/>
        </w:rPr>
        <w:t>15</w:t>
      </w:r>
      <w:r>
        <w:rPr>
          <w:rFonts w:hint="eastAsia"/>
        </w:rPr>
        <w:t>、向原股东配售的安排</w:t>
      </w:r>
      <w:bookmarkEnd w:id="80"/>
    </w:p>
    <w:p w14:paraId="138A2F73" w14:textId="77777777" w:rsidR="004B0883" w:rsidRDefault="004B0883">
      <w:pPr>
        <w:pStyle w:val="005"/>
        <w:spacing w:before="120"/>
        <w:ind w:firstLine="480"/>
        <w:rPr>
          <w:rFonts w:hint="eastAsia"/>
        </w:rPr>
      </w:pPr>
      <w:r>
        <w:rPr>
          <w:rFonts w:hint="eastAsia"/>
        </w:rPr>
        <w:t>本次发行的可转换公司债券可向公司原股东优先配售，具体优先配售数量及比例提请股东大会授权董事会在发行前根据市场情况确定，并在本次发行可转换公司债券的发行公告中予以披露。原股东优先配售之外的余额和原股东放弃优先配售后的部分采用网下对机构投资者发售和通过深圳证券交易所交易系统网上定价发行相结合的方式进行，余额由承销商包销。</w:t>
      </w:r>
    </w:p>
    <w:p w14:paraId="374B028E" w14:textId="77777777" w:rsidR="004B0883" w:rsidRDefault="004B0883">
      <w:pPr>
        <w:pStyle w:val="005"/>
        <w:spacing w:before="120"/>
        <w:ind w:firstLine="480"/>
        <w:rPr>
          <w:rFonts w:hint="eastAsia"/>
        </w:rPr>
      </w:pPr>
      <w:r>
        <w:rPr>
          <w:rFonts w:hint="eastAsia"/>
        </w:rPr>
        <w:t>具体发行方式由公司股东大会授权董事会与保荐机构（主承销商）在发行前协商确定。</w:t>
      </w:r>
    </w:p>
    <w:p w14:paraId="53ADC8C4" w14:textId="77777777" w:rsidR="004B0883" w:rsidRDefault="004B0883">
      <w:pPr>
        <w:pStyle w:val="004"/>
        <w:spacing w:before="120" w:after="120"/>
        <w:ind w:firstLine="482"/>
        <w:rPr>
          <w:rFonts w:hint="eastAsia"/>
        </w:rPr>
      </w:pPr>
      <w:bookmarkStart w:id="81" w:name="_Toc121171038"/>
      <w:r>
        <w:rPr>
          <w:rFonts w:hint="eastAsia"/>
        </w:rPr>
        <w:t>16</w:t>
      </w:r>
      <w:r>
        <w:rPr>
          <w:rFonts w:hint="eastAsia"/>
        </w:rPr>
        <w:t>、债券持有人会议相关事项</w:t>
      </w:r>
      <w:bookmarkEnd w:id="81"/>
    </w:p>
    <w:p w14:paraId="4CFBF679" w14:textId="77777777" w:rsidR="004B0883" w:rsidRDefault="004B0883">
      <w:pPr>
        <w:pStyle w:val="005"/>
        <w:spacing w:before="120"/>
        <w:ind w:firstLine="480"/>
      </w:pPr>
      <w:r>
        <w:rPr>
          <w:rFonts w:hint="eastAsia"/>
        </w:rPr>
        <w:t>依据《青岛伟隆阀门股份有限公司可转换公司债券持有人会议规则（修订稿）》，债券持有人的权利与义务、债券持有人会议的召集等相关事项如下：</w:t>
      </w:r>
    </w:p>
    <w:p w14:paraId="792B4FAD" w14:textId="77777777" w:rsidR="004B0883" w:rsidRDefault="004B0883">
      <w:pPr>
        <w:pStyle w:val="005"/>
        <w:spacing w:before="120"/>
        <w:ind w:firstLine="480"/>
        <w:rPr>
          <w:rFonts w:hint="eastAsia"/>
        </w:rPr>
      </w:pPr>
      <w:r>
        <w:rPr>
          <w:rFonts w:hint="eastAsia"/>
        </w:rPr>
        <w:t>（</w:t>
      </w:r>
      <w:r>
        <w:rPr>
          <w:rFonts w:hint="eastAsia"/>
        </w:rPr>
        <w:t>1</w:t>
      </w:r>
      <w:r>
        <w:rPr>
          <w:rFonts w:hint="eastAsia"/>
        </w:rPr>
        <w:t>）债券持有人的权利</w:t>
      </w:r>
    </w:p>
    <w:p w14:paraId="0D9CAA3E" w14:textId="77777777" w:rsidR="004B0883" w:rsidRDefault="004B0883">
      <w:pPr>
        <w:pStyle w:val="005"/>
        <w:spacing w:before="120"/>
        <w:ind w:firstLine="480"/>
        <w:rPr>
          <w:rFonts w:hint="eastAsia"/>
        </w:rPr>
      </w:pPr>
      <w:r>
        <w:rPr>
          <w:rFonts w:hint="eastAsia"/>
        </w:rPr>
        <w:t>1</w:t>
      </w:r>
      <w:r>
        <w:rPr>
          <w:rFonts w:hint="eastAsia"/>
        </w:rPr>
        <w:t>）依照其所持有的本次可转债数额享有约定利息；</w:t>
      </w:r>
    </w:p>
    <w:p w14:paraId="4E3BD2E1" w14:textId="77777777" w:rsidR="004B0883" w:rsidRDefault="004B0883">
      <w:pPr>
        <w:pStyle w:val="005"/>
        <w:spacing w:before="120"/>
        <w:ind w:firstLine="480"/>
        <w:rPr>
          <w:rFonts w:hint="eastAsia"/>
        </w:rPr>
      </w:pPr>
      <w:r>
        <w:rPr>
          <w:rFonts w:hint="eastAsia"/>
        </w:rPr>
        <w:t>2</w:t>
      </w:r>
      <w:r>
        <w:rPr>
          <w:rFonts w:hint="eastAsia"/>
        </w:rPr>
        <w:t>）根据《募集说明书》约定条件将所持有的本次可转债转为公司股票；</w:t>
      </w:r>
    </w:p>
    <w:p w14:paraId="6815F114" w14:textId="77777777" w:rsidR="004B0883" w:rsidRDefault="004B0883">
      <w:pPr>
        <w:pStyle w:val="005"/>
        <w:spacing w:before="120"/>
        <w:ind w:firstLine="480"/>
        <w:rPr>
          <w:rFonts w:hint="eastAsia"/>
        </w:rPr>
      </w:pPr>
      <w:r>
        <w:rPr>
          <w:rFonts w:hint="eastAsia"/>
        </w:rPr>
        <w:t>3</w:t>
      </w:r>
      <w:r>
        <w:rPr>
          <w:rFonts w:hint="eastAsia"/>
        </w:rPr>
        <w:t>）根据《募集说明书》约定的条件行使回售权；</w:t>
      </w:r>
    </w:p>
    <w:p w14:paraId="2CCE8953" w14:textId="77777777" w:rsidR="004B0883" w:rsidRDefault="004B0883">
      <w:pPr>
        <w:pStyle w:val="005"/>
        <w:spacing w:before="120"/>
        <w:ind w:firstLine="480"/>
        <w:rPr>
          <w:rFonts w:hint="eastAsia"/>
        </w:rPr>
      </w:pPr>
      <w:r>
        <w:rPr>
          <w:rFonts w:hint="eastAsia"/>
        </w:rPr>
        <w:t>4</w:t>
      </w:r>
      <w:r>
        <w:rPr>
          <w:rFonts w:hint="eastAsia"/>
        </w:rPr>
        <w:t>）依照法律、行政法规及《公司章程》的规定转让、赠与或质押其所持有的可转换公司债券；</w:t>
      </w:r>
    </w:p>
    <w:p w14:paraId="0A76EEB3" w14:textId="77777777" w:rsidR="004B0883" w:rsidRDefault="004B0883">
      <w:pPr>
        <w:pStyle w:val="005"/>
        <w:spacing w:before="120"/>
        <w:ind w:firstLine="480"/>
        <w:rPr>
          <w:rFonts w:hint="eastAsia"/>
        </w:rPr>
      </w:pPr>
      <w:r>
        <w:rPr>
          <w:rFonts w:hint="eastAsia"/>
        </w:rPr>
        <w:t>5</w:t>
      </w:r>
      <w:r>
        <w:rPr>
          <w:rFonts w:hint="eastAsia"/>
        </w:rPr>
        <w:t>）依照法律、《公司章程》的规定获得有关信息；</w:t>
      </w:r>
    </w:p>
    <w:p w14:paraId="0FB00FB0" w14:textId="77777777" w:rsidR="004B0883" w:rsidRDefault="004B0883">
      <w:pPr>
        <w:pStyle w:val="005"/>
        <w:spacing w:before="120"/>
        <w:ind w:firstLine="480"/>
        <w:rPr>
          <w:rFonts w:hint="eastAsia"/>
        </w:rPr>
      </w:pPr>
      <w:r>
        <w:rPr>
          <w:rFonts w:hint="eastAsia"/>
        </w:rPr>
        <w:t>6</w:t>
      </w:r>
      <w:r>
        <w:rPr>
          <w:rFonts w:hint="eastAsia"/>
        </w:rPr>
        <w:t>）按《募集说明书》约定的期限和方式要求公司偿付本次可转债本息；</w:t>
      </w:r>
    </w:p>
    <w:p w14:paraId="7056916D" w14:textId="77777777" w:rsidR="004B0883" w:rsidRDefault="004B0883">
      <w:pPr>
        <w:pStyle w:val="005"/>
        <w:spacing w:before="120"/>
        <w:ind w:firstLine="480"/>
        <w:rPr>
          <w:rFonts w:hint="eastAsia"/>
        </w:rPr>
      </w:pPr>
      <w:r>
        <w:rPr>
          <w:rFonts w:hint="eastAsia"/>
        </w:rPr>
        <w:t>7</w:t>
      </w:r>
      <w:r>
        <w:rPr>
          <w:rFonts w:hint="eastAsia"/>
        </w:rPr>
        <w:t>）依照法律、行政法规等相关规定参与或委托代理人参与债券持有人会议并行使表决权；</w:t>
      </w:r>
    </w:p>
    <w:p w14:paraId="4415EF2B" w14:textId="77777777" w:rsidR="004B0883" w:rsidRDefault="004B0883">
      <w:pPr>
        <w:pStyle w:val="005"/>
        <w:spacing w:before="120"/>
        <w:ind w:firstLine="480"/>
        <w:rPr>
          <w:rFonts w:hint="eastAsia"/>
        </w:rPr>
      </w:pPr>
      <w:r>
        <w:rPr>
          <w:rFonts w:hint="eastAsia"/>
        </w:rPr>
        <w:t>8</w:t>
      </w:r>
      <w:r>
        <w:rPr>
          <w:rFonts w:hint="eastAsia"/>
        </w:rPr>
        <w:t>）法律、行政法规及《公司章程》所赋予的其作为公司债权人的其他权利。</w:t>
      </w:r>
    </w:p>
    <w:p w14:paraId="1885261B" w14:textId="77777777" w:rsidR="004B0883" w:rsidRDefault="004B0883">
      <w:pPr>
        <w:pStyle w:val="005"/>
        <w:spacing w:before="120"/>
        <w:ind w:firstLine="480"/>
        <w:rPr>
          <w:rFonts w:hint="eastAsia"/>
        </w:rPr>
      </w:pPr>
      <w:r>
        <w:rPr>
          <w:rFonts w:hint="eastAsia"/>
        </w:rPr>
        <w:t>（</w:t>
      </w:r>
      <w:r>
        <w:rPr>
          <w:rFonts w:hint="eastAsia"/>
        </w:rPr>
        <w:t>2</w:t>
      </w:r>
      <w:r>
        <w:rPr>
          <w:rFonts w:hint="eastAsia"/>
        </w:rPr>
        <w:t>）债券持有人的义务</w:t>
      </w:r>
    </w:p>
    <w:p w14:paraId="47139959" w14:textId="77777777" w:rsidR="004B0883" w:rsidRDefault="004B0883">
      <w:pPr>
        <w:pStyle w:val="005"/>
        <w:spacing w:before="120"/>
        <w:ind w:firstLine="480"/>
        <w:rPr>
          <w:rFonts w:hint="eastAsia"/>
        </w:rPr>
      </w:pPr>
      <w:r>
        <w:rPr>
          <w:rFonts w:hint="eastAsia"/>
        </w:rPr>
        <w:t>1</w:t>
      </w:r>
      <w:r>
        <w:rPr>
          <w:rFonts w:hint="eastAsia"/>
        </w:rPr>
        <w:t>）遵守公司发行可转换公司债券条款的相关规定；</w:t>
      </w:r>
    </w:p>
    <w:p w14:paraId="55EEC65E" w14:textId="77777777" w:rsidR="004B0883" w:rsidRDefault="004B0883">
      <w:pPr>
        <w:pStyle w:val="005"/>
        <w:spacing w:before="120"/>
        <w:ind w:firstLine="480"/>
        <w:rPr>
          <w:rFonts w:hint="eastAsia"/>
        </w:rPr>
      </w:pPr>
      <w:r>
        <w:rPr>
          <w:rFonts w:hint="eastAsia"/>
        </w:rPr>
        <w:t>2</w:t>
      </w:r>
      <w:r>
        <w:rPr>
          <w:rFonts w:hint="eastAsia"/>
        </w:rPr>
        <w:t>）依其所认购的可转换公司债券数额缴纳认购资金；</w:t>
      </w:r>
    </w:p>
    <w:p w14:paraId="443CF896" w14:textId="77777777" w:rsidR="004B0883" w:rsidRDefault="004B0883">
      <w:pPr>
        <w:pStyle w:val="005"/>
        <w:spacing w:before="120"/>
        <w:ind w:firstLine="480"/>
        <w:rPr>
          <w:rFonts w:hint="eastAsia"/>
        </w:rPr>
      </w:pPr>
      <w:r>
        <w:rPr>
          <w:rFonts w:hint="eastAsia"/>
        </w:rPr>
        <w:t>3</w:t>
      </w:r>
      <w:r>
        <w:rPr>
          <w:rFonts w:hint="eastAsia"/>
        </w:rPr>
        <w:t>）遵守债券持有人会议形成的有效决议；</w:t>
      </w:r>
    </w:p>
    <w:p w14:paraId="721976AB" w14:textId="77777777" w:rsidR="004B0883" w:rsidRDefault="004B0883">
      <w:pPr>
        <w:pStyle w:val="005"/>
        <w:spacing w:before="120"/>
        <w:ind w:firstLine="480"/>
        <w:rPr>
          <w:rFonts w:hint="eastAsia"/>
        </w:rPr>
      </w:pPr>
      <w:r>
        <w:rPr>
          <w:rFonts w:hint="eastAsia"/>
        </w:rPr>
        <w:t>4</w:t>
      </w:r>
      <w:r>
        <w:rPr>
          <w:rFonts w:hint="eastAsia"/>
        </w:rPr>
        <w:t>）除法律、法规规定及《募集说明书》约定之外，不得要求公司提前偿付可转换公司债券的本金和利息；</w:t>
      </w:r>
    </w:p>
    <w:p w14:paraId="55EA78B4" w14:textId="77777777" w:rsidR="004B0883" w:rsidRDefault="004B0883">
      <w:pPr>
        <w:pStyle w:val="005"/>
        <w:spacing w:before="120"/>
        <w:ind w:firstLine="480"/>
        <w:rPr>
          <w:rFonts w:hint="eastAsia"/>
        </w:rPr>
      </w:pPr>
      <w:r>
        <w:rPr>
          <w:rFonts w:hint="eastAsia"/>
        </w:rPr>
        <w:t>5</w:t>
      </w:r>
      <w:r>
        <w:rPr>
          <w:rFonts w:hint="eastAsia"/>
        </w:rPr>
        <w:t>）法律、行政法规及《公司章程》规定应当由可转换公司债券持有人承担的其他义务。</w:t>
      </w:r>
    </w:p>
    <w:p w14:paraId="1F257187" w14:textId="77777777" w:rsidR="004B0883" w:rsidRDefault="004B0883">
      <w:pPr>
        <w:pStyle w:val="005"/>
        <w:spacing w:before="120"/>
        <w:ind w:firstLine="480"/>
        <w:rPr>
          <w:rFonts w:hint="eastAsia"/>
        </w:rPr>
      </w:pPr>
      <w:r>
        <w:rPr>
          <w:rFonts w:hint="eastAsia"/>
        </w:rPr>
        <w:t>（</w:t>
      </w:r>
      <w:r>
        <w:rPr>
          <w:rFonts w:hint="eastAsia"/>
        </w:rPr>
        <w:t>3</w:t>
      </w:r>
      <w:r>
        <w:rPr>
          <w:rFonts w:hint="eastAsia"/>
        </w:rPr>
        <w:t>）在本次发行的可转债存续期间内，当出现以下情形之一时，应当通过债券持有人会议决议方式进行决策</w:t>
      </w:r>
    </w:p>
    <w:p w14:paraId="7A80FD3D" w14:textId="77777777" w:rsidR="004B0883" w:rsidRDefault="004B0883">
      <w:pPr>
        <w:pStyle w:val="005"/>
        <w:spacing w:before="120"/>
        <w:ind w:firstLine="480"/>
        <w:rPr>
          <w:rFonts w:hint="eastAsia"/>
        </w:rPr>
      </w:pPr>
      <w:r>
        <w:rPr>
          <w:rFonts w:hint="eastAsia"/>
        </w:rPr>
        <w:t>1</w:t>
      </w:r>
      <w:r>
        <w:rPr>
          <w:rFonts w:hint="eastAsia"/>
        </w:rPr>
        <w:t>）拟变更《募集说明书》的约定；</w:t>
      </w:r>
    </w:p>
    <w:p w14:paraId="41800C04" w14:textId="77777777" w:rsidR="004B0883" w:rsidRDefault="004B0883">
      <w:pPr>
        <w:pStyle w:val="005"/>
        <w:spacing w:before="120"/>
        <w:ind w:firstLine="480"/>
        <w:rPr>
          <w:rFonts w:hint="eastAsia"/>
        </w:rPr>
      </w:pPr>
      <w:r>
        <w:rPr>
          <w:rFonts w:hint="eastAsia"/>
        </w:rPr>
        <w:t>2</w:t>
      </w:r>
      <w:r>
        <w:rPr>
          <w:rFonts w:hint="eastAsia"/>
        </w:rPr>
        <w:t>）拟修改本规则；</w:t>
      </w:r>
    </w:p>
    <w:p w14:paraId="6859BCDC" w14:textId="77777777" w:rsidR="004B0883" w:rsidRDefault="004B0883">
      <w:pPr>
        <w:pStyle w:val="005"/>
        <w:spacing w:before="120"/>
        <w:ind w:firstLine="480"/>
        <w:rPr>
          <w:rFonts w:hint="eastAsia"/>
        </w:rPr>
      </w:pPr>
      <w:r>
        <w:rPr>
          <w:rFonts w:hint="eastAsia"/>
        </w:rPr>
        <w:t>3</w:t>
      </w:r>
      <w:r>
        <w:rPr>
          <w:rFonts w:hint="eastAsia"/>
        </w:rPr>
        <w:t>）拟变更债券受托管理人或受托管理协议的主要内容；</w:t>
      </w:r>
    </w:p>
    <w:p w14:paraId="55AF21BB" w14:textId="77777777" w:rsidR="004B0883" w:rsidRDefault="004B0883">
      <w:pPr>
        <w:pStyle w:val="005"/>
        <w:spacing w:before="120"/>
        <w:ind w:firstLine="480"/>
        <w:rPr>
          <w:rFonts w:hint="eastAsia"/>
        </w:rPr>
      </w:pPr>
      <w:r>
        <w:rPr>
          <w:rFonts w:hint="eastAsia"/>
        </w:rPr>
        <w:t>4</w:t>
      </w:r>
      <w:r>
        <w:rPr>
          <w:rFonts w:hint="eastAsia"/>
        </w:rPr>
        <w:t>）公司不能按期支付本次可转债本息；</w:t>
      </w:r>
    </w:p>
    <w:p w14:paraId="3AADECA8" w14:textId="77777777" w:rsidR="004B0883" w:rsidRDefault="004B0883">
      <w:pPr>
        <w:pStyle w:val="005"/>
        <w:spacing w:before="120"/>
        <w:ind w:firstLine="480"/>
        <w:rPr>
          <w:rFonts w:hint="eastAsia"/>
        </w:rPr>
      </w:pPr>
      <w:r>
        <w:rPr>
          <w:rFonts w:hint="eastAsia"/>
        </w:rPr>
        <w:t>5</w:t>
      </w:r>
      <w:r>
        <w:rPr>
          <w:rFonts w:hint="eastAsia"/>
        </w:rPr>
        <w:t>）公司发生减资（因公司实施员工持股计划、股权激励、过往收购交易对应的交易对手业绩承诺事项导致的股份回购、用于转换公司发行的可转债或为维护公司价值及股东权益而进行股份回购导致的减资除外）、合并等可能导致偿债能力发生重大不利变化，需要决定或者授权采取相应措施；</w:t>
      </w:r>
    </w:p>
    <w:p w14:paraId="3D5CCE2F" w14:textId="77777777" w:rsidR="004B0883" w:rsidRDefault="004B0883">
      <w:pPr>
        <w:pStyle w:val="005"/>
        <w:spacing w:before="120"/>
        <w:ind w:firstLine="480"/>
        <w:rPr>
          <w:rFonts w:hint="eastAsia"/>
        </w:rPr>
      </w:pPr>
      <w:r>
        <w:rPr>
          <w:rFonts w:hint="eastAsia"/>
        </w:rPr>
        <w:t>6</w:t>
      </w:r>
      <w:r>
        <w:rPr>
          <w:rFonts w:hint="eastAsia"/>
        </w:rPr>
        <w:t>）公司分立、被托管、解散、申请破产或者依法进入破产程序；</w:t>
      </w:r>
    </w:p>
    <w:p w14:paraId="2C5EC328" w14:textId="77777777" w:rsidR="004B0883" w:rsidRDefault="004B0883">
      <w:pPr>
        <w:pStyle w:val="005"/>
        <w:spacing w:before="120"/>
        <w:ind w:firstLine="480"/>
        <w:rPr>
          <w:rFonts w:hint="eastAsia"/>
        </w:rPr>
      </w:pPr>
      <w:r>
        <w:rPr>
          <w:rFonts w:hint="eastAsia"/>
        </w:rPr>
        <w:t>7</w:t>
      </w:r>
      <w:r>
        <w:rPr>
          <w:rFonts w:hint="eastAsia"/>
        </w:rPr>
        <w:t>）保证人（如有）、担保物（如有）或者其他偿债保障措施发生重大变化；</w:t>
      </w:r>
    </w:p>
    <w:p w14:paraId="4A71A674" w14:textId="77777777" w:rsidR="004B0883" w:rsidRDefault="004B0883">
      <w:pPr>
        <w:pStyle w:val="005"/>
        <w:spacing w:before="120"/>
        <w:ind w:firstLine="480"/>
        <w:rPr>
          <w:rFonts w:hint="eastAsia"/>
        </w:rPr>
      </w:pPr>
      <w:r>
        <w:rPr>
          <w:rFonts w:hint="eastAsia"/>
        </w:rPr>
        <w:t>8</w:t>
      </w:r>
      <w:r>
        <w:rPr>
          <w:rFonts w:hint="eastAsia"/>
        </w:rPr>
        <w:t>）公司、单独或者合计持有本次可转债未偿还债券面值总额</w:t>
      </w:r>
      <w:r>
        <w:rPr>
          <w:rFonts w:hint="eastAsia"/>
        </w:rPr>
        <w:t>10%</w:t>
      </w:r>
      <w:r>
        <w:rPr>
          <w:rFonts w:hint="eastAsia"/>
        </w:rPr>
        <w:t>以上的债券持有人书面提议召开；</w:t>
      </w:r>
    </w:p>
    <w:p w14:paraId="050B9094" w14:textId="77777777" w:rsidR="004B0883" w:rsidRDefault="004B0883">
      <w:pPr>
        <w:pStyle w:val="005"/>
        <w:spacing w:before="120"/>
        <w:ind w:firstLine="480"/>
        <w:rPr>
          <w:rFonts w:hint="eastAsia"/>
        </w:rPr>
      </w:pPr>
      <w:r>
        <w:rPr>
          <w:rFonts w:hint="eastAsia"/>
        </w:rPr>
        <w:t>9</w:t>
      </w:r>
      <w:r>
        <w:rPr>
          <w:rFonts w:hint="eastAsia"/>
        </w:rPr>
        <w:t>）公司管理层不能正常履行职责，导致公司债务清偿能力面临严重不确定性；</w:t>
      </w:r>
    </w:p>
    <w:p w14:paraId="27B6287A" w14:textId="77777777" w:rsidR="004B0883" w:rsidRDefault="004B0883">
      <w:pPr>
        <w:pStyle w:val="005"/>
        <w:spacing w:before="120"/>
        <w:ind w:firstLine="480"/>
        <w:rPr>
          <w:rFonts w:hint="eastAsia"/>
        </w:rPr>
      </w:pPr>
      <w:r>
        <w:rPr>
          <w:rFonts w:hint="eastAsia"/>
        </w:rPr>
        <w:t>10</w:t>
      </w:r>
      <w:r>
        <w:rPr>
          <w:rFonts w:hint="eastAsia"/>
        </w:rPr>
        <w:t>）公司提出债务重组方案的；</w:t>
      </w:r>
    </w:p>
    <w:p w14:paraId="123B9854" w14:textId="77777777" w:rsidR="004B0883" w:rsidRDefault="004B0883">
      <w:pPr>
        <w:pStyle w:val="005"/>
        <w:spacing w:before="120"/>
        <w:ind w:firstLine="480"/>
        <w:rPr>
          <w:rFonts w:hint="eastAsia"/>
        </w:rPr>
      </w:pPr>
      <w:r>
        <w:rPr>
          <w:rFonts w:hint="eastAsia"/>
        </w:rPr>
        <w:t>11</w:t>
      </w:r>
      <w:r>
        <w:rPr>
          <w:rFonts w:hint="eastAsia"/>
        </w:rPr>
        <w:t>）发生其他对债券持有人权益有重大实质影响的事项。</w:t>
      </w:r>
    </w:p>
    <w:p w14:paraId="134F9759" w14:textId="77777777" w:rsidR="004B0883" w:rsidRDefault="004B0883">
      <w:pPr>
        <w:pStyle w:val="005"/>
        <w:spacing w:before="120"/>
        <w:ind w:firstLine="480"/>
        <w:rPr>
          <w:rFonts w:hint="eastAsia"/>
        </w:rPr>
      </w:pPr>
      <w:r>
        <w:rPr>
          <w:rFonts w:hint="eastAsia"/>
        </w:rPr>
        <w:t>公司董事会或债券受托管理人应在提出或收到召开债券持有人会议的提议之日起</w:t>
      </w:r>
      <w:r>
        <w:rPr>
          <w:rFonts w:hint="eastAsia"/>
        </w:rPr>
        <w:t>30</w:t>
      </w:r>
      <w:r>
        <w:rPr>
          <w:rFonts w:hint="eastAsia"/>
        </w:rPr>
        <w:t>日内召开债券持有人会议。公司董事会或债券受托管理人应在会议召开</w:t>
      </w:r>
      <w:r>
        <w:rPr>
          <w:rFonts w:hint="eastAsia"/>
        </w:rPr>
        <w:t>15</w:t>
      </w:r>
      <w:r>
        <w:rPr>
          <w:rFonts w:hint="eastAsia"/>
        </w:rPr>
        <w:t>日前公告会议通知。召集人认为需要紧急召集债券持有人会议以有利于债券持有人权益保护的，应最晚于会议召开日前</w:t>
      </w:r>
      <w:r>
        <w:rPr>
          <w:rFonts w:hint="eastAsia"/>
        </w:rPr>
        <w:t>3</w:t>
      </w:r>
      <w:r>
        <w:rPr>
          <w:rFonts w:hint="eastAsia"/>
        </w:rPr>
        <w:t>日披露召开债券持有人会议的通知公告。</w:t>
      </w:r>
    </w:p>
    <w:p w14:paraId="6F6DFA16" w14:textId="77777777" w:rsidR="004B0883" w:rsidRDefault="004B0883">
      <w:pPr>
        <w:pStyle w:val="005"/>
        <w:spacing w:before="120"/>
        <w:ind w:firstLine="480"/>
        <w:rPr>
          <w:rFonts w:hint="eastAsia"/>
        </w:rPr>
      </w:pPr>
      <w:r>
        <w:rPr>
          <w:rFonts w:hint="eastAsia"/>
        </w:rPr>
        <w:t>（</w:t>
      </w:r>
      <w:r>
        <w:rPr>
          <w:rFonts w:hint="eastAsia"/>
        </w:rPr>
        <w:t>4</w:t>
      </w:r>
      <w:r>
        <w:rPr>
          <w:rFonts w:hint="eastAsia"/>
        </w:rPr>
        <w:t>）下列机构或人士可以书面提议召开债券持有人会议</w:t>
      </w:r>
    </w:p>
    <w:p w14:paraId="69200624" w14:textId="77777777" w:rsidR="004B0883" w:rsidRDefault="004B0883">
      <w:pPr>
        <w:pStyle w:val="005"/>
        <w:spacing w:before="120"/>
        <w:ind w:firstLine="480"/>
        <w:rPr>
          <w:rFonts w:hint="eastAsia"/>
        </w:rPr>
      </w:pPr>
      <w:r>
        <w:rPr>
          <w:rFonts w:hint="eastAsia"/>
        </w:rPr>
        <w:t>1</w:t>
      </w:r>
      <w:r>
        <w:rPr>
          <w:rFonts w:hint="eastAsia"/>
        </w:rPr>
        <w:t>）公司董事会；</w:t>
      </w:r>
    </w:p>
    <w:p w14:paraId="0C987F81" w14:textId="77777777" w:rsidR="004B0883" w:rsidRDefault="004B0883">
      <w:pPr>
        <w:pStyle w:val="005"/>
        <w:spacing w:before="120"/>
        <w:ind w:firstLine="480"/>
        <w:rPr>
          <w:rFonts w:hint="eastAsia"/>
        </w:rPr>
      </w:pPr>
      <w:r>
        <w:rPr>
          <w:rFonts w:hint="eastAsia"/>
        </w:rPr>
        <w:t>2</w:t>
      </w:r>
      <w:r>
        <w:rPr>
          <w:rFonts w:hint="eastAsia"/>
        </w:rPr>
        <w:t>）债券受托管理人；</w:t>
      </w:r>
    </w:p>
    <w:p w14:paraId="516024F8" w14:textId="77777777" w:rsidR="004B0883" w:rsidRDefault="004B0883">
      <w:pPr>
        <w:pStyle w:val="005"/>
        <w:spacing w:before="120"/>
        <w:ind w:firstLine="480"/>
        <w:rPr>
          <w:rFonts w:hint="eastAsia"/>
        </w:rPr>
      </w:pPr>
      <w:r>
        <w:rPr>
          <w:rFonts w:hint="eastAsia"/>
        </w:rPr>
        <w:t>3</w:t>
      </w:r>
      <w:r>
        <w:rPr>
          <w:rFonts w:hint="eastAsia"/>
        </w:rPr>
        <w:t>）单独或合计持有本次可转债未偿还债券面值总额</w:t>
      </w:r>
      <w:r>
        <w:rPr>
          <w:rFonts w:hint="eastAsia"/>
        </w:rPr>
        <w:t>10%</w:t>
      </w:r>
      <w:r>
        <w:rPr>
          <w:rFonts w:hint="eastAsia"/>
        </w:rPr>
        <w:t>以上的债券持有人；</w:t>
      </w:r>
    </w:p>
    <w:p w14:paraId="70772544" w14:textId="77777777" w:rsidR="004B0883" w:rsidRDefault="004B0883">
      <w:pPr>
        <w:pStyle w:val="005"/>
        <w:spacing w:before="120"/>
        <w:ind w:firstLine="480"/>
        <w:rPr>
          <w:rFonts w:hint="eastAsia"/>
        </w:rPr>
      </w:pPr>
      <w:r>
        <w:rPr>
          <w:rFonts w:hint="eastAsia"/>
        </w:rPr>
        <w:t>4</w:t>
      </w:r>
      <w:r>
        <w:rPr>
          <w:rFonts w:hint="eastAsia"/>
        </w:rPr>
        <w:t>）法律、法规、中国证监会规定的其他机构或人士。</w:t>
      </w:r>
    </w:p>
    <w:p w14:paraId="25DDA67A" w14:textId="77777777" w:rsidR="004B0883" w:rsidRDefault="004B0883">
      <w:pPr>
        <w:pStyle w:val="004"/>
        <w:spacing w:before="120" w:after="120"/>
        <w:ind w:firstLine="482"/>
        <w:rPr>
          <w:rFonts w:hint="eastAsia"/>
        </w:rPr>
      </w:pPr>
      <w:bookmarkStart w:id="82" w:name="_Toc121171039"/>
      <w:r>
        <w:rPr>
          <w:rFonts w:hint="eastAsia"/>
        </w:rPr>
        <w:t>1</w:t>
      </w:r>
      <w:r>
        <w:t>7</w:t>
      </w:r>
      <w:r>
        <w:rPr>
          <w:rFonts w:hint="eastAsia"/>
        </w:rPr>
        <w:t>、本次募集资金用途</w:t>
      </w:r>
      <w:bookmarkEnd w:id="82"/>
    </w:p>
    <w:p w14:paraId="43486B10" w14:textId="77777777" w:rsidR="004B0883" w:rsidRDefault="004B0883">
      <w:pPr>
        <w:pStyle w:val="005"/>
        <w:spacing w:before="120"/>
        <w:ind w:firstLine="480"/>
      </w:pPr>
      <w:r>
        <w:rPr>
          <w:rFonts w:hint="eastAsia"/>
        </w:rPr>
        <w:t>本次可转换公司债券募集资金总额不超过</w:t>
      </w:r>
      <w:bookmarkStart w:id="83" w:name="_Hlk154873453"/>
      <w:r>
        <w:rPr>
          <w:rFonts w:ascii="楷体" w:eastAsia="楷体" w:hAnsi="楷体"/>
          <w:b/>
          <w:bCs/>
          <w:color w:val="000000"/>
        </w:rPr>
        <w:t>32,183</w:t>
      </w:r>
      <w:r>
        <w:rPr>
          <w:rFonts w:ascii="楷体" w:eastAsia="楷体" w:hAnsi="楷体" w:hint="eastAsia"/>
          <w:b/>
          <w:bCs/>
        </w:rPr>
        <w:t>.00</w:t>
      </w:r>
      <w:bookmarkEnd w:id="83"/>
      <w:r>
        <w:rPr>
          <w:rFonts w:ascii="楷体" w:eastAsia="楷体" w:hAnsi="楷体" w:hint="eastAsia"/>
          <w:b/>
          <w:bCs/>
        </w:rPr>
        <w:t>万元</w:t>
      </w:r>
      <w:r>
        <w:rPr>
          <w:rFonts w:hint="eastAsia"/>
        </w:rPr>
        <w:t>人民币（含</w:t>
      </w:r>
      <w:r>
        <w:rPr>
          <w:rFonts w:ascii="楷体" w:eastAsia="楷体" w:hAnsi="楷体"/>
          <w:b/>
          <w:bCs/>
          <w:color w:val="000000"/>
        </w:rPr>
        <w:t>32,183</w:t>
      </w:r>
      <w:r>
        <w:rPr>
          <w:rFonts w:ascii="楷体" w:eastAsia="楷体" w:hAnsi="楷体" w:hint="eastAsia"/>
          <w:b/>
          <w:bCs/>
        </w:rPr>
        <w:t>.00万元</w:t>
      </w:r>
      <w:r>
        <w:rPr>
          <w:rFonts w:hint="eastAsia"/>
        </w:rPr>
        <w:t>），扣除发行费用后的募集资金净额拟全部投入以下项目：</w:t>
      </w:r>
    </w:p>
    <w:p w14:paraId="4C402F5C" w14:textId="77777777" w:rsidR="004B0883" w:rsidRDefault="004B0883">
      <w:pPr>
        <w:pStyle w:val="009"/>
        <w:rPr>
          <w:rFonts w:hint="eastAsia"/>
        </w:rPr>
      </w:pPr>
      <w:r>
        <w:rPr>
          <w:rFonts w:hint="eastAsia"/>
        </w:rPr>
        <w:t>单位：万元</w:t>
      </w:r>
    </w:p>
    <w:tbl>
      <w:tblPr>
        <w:tblW w:w="0" w:type="auto"/>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63"/>
        <w:gridCol w:w="2724"/>
        <w:gridCol w:w="2490"/>
        <w:gridCol w:w="2405"/>
      </w:tblGrid>
      <w:tr w:rsidR="004B0883" w14:paraId="58D141BF" w14:textId="77777777">
        <w:trPr>
          <w:trHeight w:val="397"/>
          <w:jc w:val="center"/>
        </w:trPr>
        <w:tc>
          <w:tcPr>
            <w:tcW w:w="675" w:type="dxa"/>
            <w:shd w:val="clear" w:color="auto" w:fill="D9D9D9"/>
            <w:tcMar>
              <w:top w:w="0" w:type="dxa"/>
              <w:bottom w:w="0" w:type="dxa"/>
            </w:tcMar>
            <w:vAlign w:val="center"/>
          </w:tcPr>
          <w:p w14:paraId="5565C180" w14:textId="77777777" w:rsidR="004B0883" w:rsidRDefault="004B0883">
            <w:pPr>
              <w:adjustRightInd w:val="0"/>
              <w:snapToGrid w:val="0"/>
              <w:jc w:val="center"/>
              <w:rPr>
                <w:b/>
              </w:rPr>
            </w:pPr>
            <w:r>
              <w:rPr>
                <w:rFonts w:hint="eastAsia"/>
                <w:b/>
              </w:rPr>
              <w:t>序号</w:t>
            </w:r>
          </w:p>
        </w:tc>
        <w:tc>
          <w:tcPr>
            <w:tcW w:w="2832" w:type="dxa"/>
            <w:shd w:val="clear" w:color="auto" w:fill="D9D9D9"/>
            <w:tcMar>
              <w:top w:w="0" w:type="dxa"/>
              <w:bottom w:w="0" w:type="dxa"/>
            </w:tcMar>
            <w:vAlign w:val="center"/>
          </w:tcPr>
          <w:p w14:paraId="3BBD269D" w14:textId="77777777" w:rsidR="004B0883" w:rsidRDefault="004B0883">
            <w:pPr>
              <w:adjustRightInd w:val="0"/>
              <w:snapToGrid w:val="0"/>
              <w:jc w:val="center"/>
              <w:rPr>
                <w:b/>
              </w:rPr>
            </w:pPr>
            <w:r>
              <w:rPr>
                <w:b/>
              </w:rPr>
              <w:t>项目名称</w:t>
            </w:r>
          </w:p>
        </w:tc>
        <w:tc>
          <w:tcPr>
            <w:tcW w:w="2552" w:type="dxa"/>
            <w:shd w:val="clear" w:color="auto" w:fill="D9D9D9"/>
            <w:tcMar>
              <w:top w:w="0" w:type="dxa"/>
              <w:bottom w:w="0" w:type="dxa"/>
            </w:tcMar>
            <w:vAlign w:val="center"/>
          </w:tcPr>
          <w:p w14:paraId="627F2A14" w14:textId="77777777" w:rsidR="004B0883" w:rsidRDefault="004B0883">
            <w:pPr>
              <w:adjustRightInd w:val="0"/>
              <w:snapToGrid w:val="0"/>
              <w:jc w:val="center"/>
              <w:rPr>
                <w:b/>
              </w:rPr>
            </w:pPr>
            <w:r>
              <w:rPr>
                <w:b/>
              </w:rPr>
              <w:t>总投资额</w:t>
            </w:r>
          </w:p>
        </w:tc>
        <w:tc>
          <w:tcPr>
            <w:tcW w:w="2463" w:type="dxa"/>
            <w:shd w:val="clear" w:color="auto" w:fill="D9D9D9"/>
            <w:tcMar>
              <w:top w:w="0" w:type="dxa"/>
              <w:bottom w:w="0" w:type="dxa"/>
            </w:tcMar>
            <w:vAlign w:val="center"/>
          </w:tcPr>
          <w:p w14:paraId="437E2153" w14:textId="77777777" w:rsidR="004B0883" w:rsidRDefault="004B0883">
            <w:pPr>
              <w:adjustRightInd w:val="0"/>
              <w:snapToGrid w:val="0"/>
              <w:jc w:val="center"/>
              <w:rPr>
                <w:b/>
              </w:rPr>
            </w:pPr>
            <w:r>
              <w:rPr>
                <w:b/>
              </w:rPr>
              <w:t>拟以募集资金投入金额</w:t>
            </w:r>
          </w:p>
        </w:tc>
      </w:tr>
      <w:tr w:rsidR="004B0883" w14:paraId="28315498" w14:textId="77777777">
        <w:trPr>
          <w:trHeight w:val="397"/>
          <w:jc w:val="center"/>
        </w:trPr>
        <w:tc>
          <w:tcPr>
            <w:tcW w:w="675" w:type="dxa"/>
            <w:shd w:val="clear" w:color="auto" w:fill="auto"/>
            <w:tcMar>
              <w:top w:w="0" w:type="dxa"/>
              <w:bottom w:w="0" w:type="dxa"/>
            </w:tcMar>
            <w:vAlign w:val="center"/>
          </w:tcPr>
          <w:p w14:paraId="6ED418FF" w14:textId="77777777" w:rsidR="004B0883" w:rsidRDefault="004B0883">
            <w:pPr>
              <w:adjustRightInd w:val="0"/>
              <w:snapToGrid w:val="0"/>
              <w:jc w:val="center"/>
            </w:pPr>
            <w:r>
              <w:rPr>
                <w:rFonts w:hint="eastAsia"/>
              </w:rPr>
              <w:t>1</w:t>
            </w:r>
          </w:p>
        </w:tc>
        <w:tc>
          <w:tcPr>
            <w:tcW w:w="2832" w:type="dxa"/>
            <w:tcBorders>
              <w:top w:val="single" w:sz="4" w:space="0" w:color="auto"/>
              <w:left w:val="single" w:sz="4" w:space="0" w:color="auto"/>
              <w:bottom w:val="single" w:sz="4" w:space="0" w:color="auto"/>
              <w:right w:val="single" w:sz="4" w:space="0" w:color="auto"/>
            </w:tcBorders>
            <w:shd w:val="clear" w:color="auto" w:fill="FFFFFF"/>
            <w:tcMar>
              <w:top w:w="0" w:type="dxa"/>
              <w:bottom w:w="0" w:type="dxa"/>
            </w:tcMar>
            <w:vAlign w:val="center"/>
          </w:tcPr>
          <w:p w14:paraId="59CFDBF5" w14:textId="77777777" w:rsidR="004B0883" w:rsidRDefault="004B0883">
            <w:pPr>
              <w:adjustRightInd w:val="0"/>
              <w:snapToGrid w:val="0"/>
              <w:jc w:val="both"/>
              <w:rPr>
                <w:color w:val="000000"/>
              </w:rPr>
            </w:pPr>
            <w:r>
              <w:rPr>
                <w:rFonts w:hint="eastAsia"/>
                <w:bCs/>
              </w:rPr>
              <w:t>智慧节能阀门建设项目</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0" w:type="dxa"/>
              <w:bottom w:w="0" w:type="dxa"/>
            </w:tcMar>
            <w:vAlign w:val="center"/>
          </w:tcPr>
          <w:p w14:paraId="16362072" w14:textId="77777777" w:rsidR="004B0883" w:rsidRDefault="004B0883">
            <w:pPr>
              <w:adjustRightInd w:val="0"/>
              <w:snapToGrid w:val="0"/>
              <w:jc w:val="right"/>
              <w:rPr>
                <w:rFonts w:eastAsia="仿宋_GB2312"/>
                <w:color w:val="000000"/>
              </w:rPr>
            </w:pPr>
            <w:r>
              <w:rPr>
                <w:color w:val="333333"/>
              </w:rPr>
              <w:t>29,377.91</w:t>
            </w:r>
          </w:p>
        </w:tc>
        <w:tc>
          <w:tcPr>
            <w:tcW w:w="2463" w:type="dxa"/>
            <w:tcBorders>
              <w:top w:val="single" w:sz="4" w:space="0" w:color="auto"/>
              <w:left w:val="single" w:sz="4" w:space="0" w:color="auto"/>
              <w:bottom w:val="single" w:sz="4" w:space="0" w:color="auto"/>
              <w:right w:val="single" w:sz="12" w:space="0" w:color="auto"/>
            </w:tcBorders>
            <w:shd w:val="clear" w:color="auto" w:fill="FFFFFF"/>
            <w:tcMar>
              <w:top w:w="0" w:type="dxa"/>
              <w:bottom w:w="0" w:type="dxa"/>
            </w:tcMar>
            <w:vAlign w:val="center"/>
          </w:tcPr>
          <w:p w14:paraId="3587721B" w14:textId="77777777" w:rsidR="004B0883" w:rsidRDefault="004B0883">
            <w:pPr>
              <w:adjustRightInd w:val="0"/>
              <w:snapToGrid w:val="0"/>
              <w:jc w:val="right"/>
            </w:pPr>
            <w:r>
              <w:rPr>
                <w:color w:val="333333"/>
              </w:rPr>
              <w:t>27,800.00</w:t>
            </w:r>
          </w:p>
        </w:tc>
      </w:tr>
      <w:tr w:rsidR="004B0883" w14:paraId="3CB1D996" w14:textId="77777777">
        <w:trPr>
          <w:trHeight w:val="397"/>
          <w:jc w:val="center"/>
        </w:trPr>
        <w:tc>
          <w:tcPr>
            <w:tcW w:w="675" w:type="dxa"/>
            <w:shd w:val="clear" w:color="auto" w:fill="auto"/>
            <w:tcMar>
              <w:top w:w="0" w:type="dxa"/>
              <w:bottom w:w="0" w:type="dxa"/>
            </w:tcMar>
            <w:vAlign w:val="center"/>
          </w:tcPr>
          <w:p w14:paraId="07871C72" w14:textId="77777777" w:rsidR="004B0883" w:rsidRDefault="004B0883">
            <w:pPr>
              <w:adjustRightInd w:val="0"/>
              <w:snapToGrid w:val="0"/>
              <w:jc w:val="center"/>
            </w:pPr>
            <w:r>
              <w:t>2</w:t>
            </w:r>
          </w:p>
        </w:tc>
        <w:tc>
          <w:tcPr>
            <w:tcW w:w="2832" w:type="dxa"/>
            <w:tcBorders>
              <w:top w:val="single" w:sz="4" w:space="0" w:color="auto"/>
              <w:left w:val="single" w:sz="4" w:space="0" w:color="auto"/>
              <w:bottom w:val="single" w:sz="4" w:space="0" w:color="auto"/>
              <w:right w:val="single" w:sz="4" w:space="0" w:color="auto"/>
            </w:tcBorders>
            <w:shd w:val="clear" w:color="auto" w:fill="FFFFFF"/>
            <w:tcMar>
              <w:top w:w="0" w:type="dxa"/>
              <w:bottom w:w="0" w:type="dxa"/>
            </w:tcMar>
            <w:vAlign w:val="center"/>
          </w:tcPr>
          <w:p w14:paraId="655AF0FE" w14:textId="77777777" w:rsidR="004B0883" w:rsidRDefault="004B0883">
            <w:pPr>
              <w:adjustRightInd w:val="0"/>
              <w:snapToGrid w:val="0"/>
              <w:jc w:val="both"/>
              <w:rPr>
                <w:color w:val="000000"/>
              </w:rPr>
            </w:pPr>
            <w:r>
              <w:rPr>
                <w:rFonts w:hint="eastAsia"/>
                <w:color w:val="333333"/>
              </w:rPr>
              <w:t>补充流动资金</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0" w:type="dxa"/>
              <w:bottom w:w="0" w:type="dxa"/>
            </w:tcMar>
            <w:vAlign w:val="center"/>
          </w:tcPr>
          <w:p w14:paraId="6CDC2739" w14:textId="77777777" w:rsidR="004B0883" w:rsidRDefault="004B0883">
            <w:pPr>
              <w:adjustRightInd w:val="0"/>
              <w:snapToGrid w:val="0"/>
              <w:jc w:val="right"/>
              <w:rPr>
                <w:rFonts w:ascii="楷体" w:eastAsia="楷体" w:hAnsi="楷体"/>
                <w:b/>
                <w:bCs/>
                <w:color w:val="000000"/>
              </w:rPr>
            </w:pPr>
            <w:r>
              <w:rPr>
                <w:rFonts w:ascii="楷体" w:eastAsia="楷体" w:hAnsi="楷体"/>
                <w:b/>
                <w:bCs/>
                <w:color w:val="000000"/>
              </w:rPr>
              <w:t xml:space="preserve">4,383.00 </w:t>
            </w:r>
          </w:p>
        </w:tc>
        <w:tc>
          <w:tcPr>
            <w:tcW w:w="2463" w:type="dxa"/>
            <w:tcBorders>
              <w:top w:val="single" w:sz="4" w:space="0" w:color="auto"/>
              <w:left w:val="single" w:sz="4" w:space="0" w:color="auto"/>
              <w:bottom w:val="single" w:sz="4" w:space="0" w:color="auto"/>
              <w:right w:val="single" w:sz="12" w:space="0" w:color="auto"/>
            </w:tcBorders>
            <w:shd w:val="clear" w:color="auto" w:fill="FFFFFF"/>
            <w:tcMar>
              <w:top w:w="0" w:type="dxa"/>
              <w:bottom w:w="0" w:type="dxa"/>
            </w:tcMar>
            <w:vAlign w:val="center"/>
          </w:tcPr>
          <w:p w14:paraId="54D9A593" w14:textId="77777777" w:rsidR="004B0883" w:rsidRDefault="004B0883">
            <w:pPr>
              <w:adjustRightInd w:val="0"/>
              <w:snapToGrid w:val="0"/>
              <w:jc w:val="right"/>
              <w:rPr>
                <w:rFonts w:ascii="楷体" w:eastAsia="楷体" w:hAnsi="楷体"/>
                <w:b/>
                <w:bCs/>
              </w:rPr>
            </w:pPr>
            <w:bookmarkStart w:id="84" w:name="_Hlk154873760"/>
            <w:r>
              <w:rPr>
                <w:rFonts w:ascii="楷体" w:eastAsia="楷体" w:hAnsi="楷体"/>
                <w:b/>
                <w:bCs/>
                <w:color w:val="000000"/>
              </w:rPr>
              <w:t>4,383.00</w:t>
            </w:r>
            <w:bookmarkEnd w:id="84"/>
            <w:r>
              <w:rPr>
                <w:rFonts w:ascii="楷体" w:eastAsia="楷体" w:hAnsi="楷体"/>
                <w:b/>
                <w:bCs/>
                <w:color w:val="000000"/>
              </w:rPr>
              <w:t xml:space="preserve"> </w:t>
            </w:r>
          </w:p>
        </w:tc>
      </w:tr>
      <w:tr w:rsidR="004B0883" w14:paraId="796A5779" w14:textId="77777777">
        <w:trPr>
          <w:trHeight w:val="397"/>
          <w:jc w:val="center"/>
        </w:trPr>
        <w:tc>
          <w:tcPr>
            <w:tcW w:w="3507" w:type="dxa"/>
            <w:gridSpan w:val="2"/>
            <w:shd w:val="clear" w:color="auto" w:fill="auto"/>
            <w:tcMar>
              <w:top w:w="0" w:type="dxa"/>
              <w:bottom w:w="0" w:type="dxa"/>
            </w:tcMar>
            <w:vAlign w:val="center"/>
          </w:tcPr>
          <w:p w14:paraId="0DF51986" w14:textId="77777777" w:rsidR="004B0883" w:rsidRDefault="004B0883">
            <w:pPr>
              <w:adjustRightInd w:val="0"/>
              <w:snapToGrid w:val="0"/>
              <w:jc w:val="center"/>
              <w:rPr>
                <w:b/>
                <w:bCs/>
              </w:rPr>
            </w:pPr>
            <w:r>
              <w:rPr>
                <w:b/>
                <w:bCs/>
              </w:rPr>
              <w:t>合计</w:t>
            </w:r>
          </w:p>
        </w:tc>
        <w:tc>
          <w:tcPr>
            <w:tcW w:w="2552" w:type="dxa"/>
            <w:tcBorders>
              <w:top w:val="single" w:sz="4" w:space="0" w:color="auto"/>
              <w:left w:val="single" w:sz="4" w:space="0" w:color="auto"/>
              <w:bottom w:val="single" w:sz="12" w:space="0" w:color="auto"/>
              <w:right w:val="single" w:sz="4" w:space="0" w:color="auto"/>
            </w:tcBorders>
            <w:shd w:val="clear" w:color="auto" w:fill="FFFFFF"/>
            <w:tcMar>
              <w:top w:w="0" w:type="dxa"/>
              <w:bottom w:w="0" w:type="dxa"/>
            </w:tcMar>
            <w:vAlign w:val="center"/>
          </w:tcPr>
          <w:p w14:paraId="0EE0EED8" w14:textId="77777777" w:rsidR="004B0883" w:rsidRDefault="004B0883">
            <w:pPr>
              <w:adjustRightInd w:val="0"/>
              <w:snapToGrid w:val="0"/>
              <w:jc w:val="right"/>
              <w:rPr>
                <w:rFonts w:ascii="楷体" w:eastAsia="楷体" w:hAnsi="楷体"/>
                <w:b/>
                <w:bCs/>
                <w:color w:val="000000"/>
              </w:rPr>
            </w:pPr>
            <w:r>
              <w:rPr>
                <w:rFonts w:ascii="楷体" w:eastAsia="楷体" w:hAnsi="楷体"/>
                <w:b/>
                <w:bCs/>
                <w:color w:val="000000"/>
              </w:rPr>
              <w:t>33,760.91</w:t>
            </w:r>
          </w:p>
        </w:tc>
        <w:tc>
          <w:tcPr>
            <w:tcW w:w="2463" w:type="dxa"/>
            <w:tcBorders>
              <w:top w:val="single" w:sz="4" w:space="0" w:color="auto"/>
              <w:left w:val="single" w:sz="4" w:space="0" w:color="auto"/>
              <w:bottom w:val="single" w:sz="12" w:space="0" w:color="auto"/>
              <w:right w:val="single" w:sz="12" w:space="0" w:color="auto"/>
            </w:tcBorders>
            <w:shd w:val="clear" w:color="auto" w:fill="FFFFFF"/>
            <w:tcMar>
              <w:top w:w="0" w:type="dxa"/>
              <w:bottom w:w="0" w:type="dxa"/>
            </w:tcMar>
            <w:vAlign w:val="center"/>
          </w:tcPr>
          <w:p w14:paraId="66377AAE" w14:textId="77777777" w:rsidR="004B0883" w:rsidRDefault="004B0883">
            <w:pPr>
              <w:adjustRightInd w:val="0"/>
              <w:snapToGrid w:val="0"/>
              <w:jc w:val="right"/>
              <w:rPr>
                <w:rFonts w:ascii="楷体" w:eastAsia="楷体" w:hAnsi="楷体"/>
                <w:b/>
                <w:bCs/>
              </w:rPr>
            </w:pPr>
            <w:r>
              <w:rPr>
                <w:rFonts w:ascii="楷体" w:eastAsia="楷体" w:hAnsi="楷体"/>
                <w:b/>
                <w:bCs/>
                <w:color w:val="000000"/>
              </w:rPr>
              <w:t>32,183.00</w:t>
            </w:r>
          </w:p>
        </w:tc>
      </w:tr>
    </w:tbl>
    <w:p w14:paraId="7FAABD3B" w14:textId="77777777" w:rsidR="004B0883" w:rsidRDefault="004B0883">
      <w:pPr>
        <w:pStyle w:val="005"/>
        <w:spacing w:before="120"/>
        <w:ind w:firstLine="480"/>
      </w:pPr>
      <w:r>
        <w:rPr>
          <w:rFonts w:hint="eastAsia"/>
        </w:rPr>
        <w:t>若实际募集资金净额少于上述项目拟投入募集资金总额，在最终确定的本次募投项目范围内，公司董事会将根据实际募集资金数额，按照项目的轻重缓急等情况，调整并最终决定募集资金的具体投资项目、优先顺序及各项目的具体投资额，募集资金不足部分由公司自筹解决。</w:t>
      </w:r>
    </w:p>
    <w:p w14:paraId="542A7F70" w14:textId="77777777" w:rsidR="004B0883" w:rsidRDefault="004B0883">
      <w:pPr>
        <w:pStyle w:val="005"/>
        <w:spacing w:before="120"/>
        <w:ind w:firstLine="480"/>
        <w:rPr>
          <w:rFonts w:hint="eastAsia"/>
        </w:rPr>
      </w:pPr>
      <w:r>
        <w:rPr>
          <w:rFonts w:hint="eastAsia"/>
        </w:rPr>
        <w:t>本次发行可转债募集资金到位之前，如公司以自筹资金先行投入上述项目建设，公司将在募集资金到位后按照相关法律、法规规定的程序予以置换。</w:t>
      </w:r>
    </w:p>
    <w:p w14:paraId="7D67C107" w14:textId="77777777" w:rsidR="004B0883" w:rsidRDefault="004B0883">
      <w:pPr>
        <w:pStyle w:val="004"/>
        <w:spacing w:before="120" w:after="120"/>
        <w:ind w:firstLine="482"/>
        <w:rPr>
          <w:rFonts w:hint="eastAsia"/>
        </w:rPr>
      </w:pPr>
      <w:bookmarkStart w:id="85" w:name="_Toc121171040"/>
      <w:r>
        <w:rPr>
          <w:rFonts w:hint="eastAsia"/>
        </w:rPr>
        <w:t>1</w:t>
      </w:r>
      <w:r>
        <w:t>8</w:t>
      </w:r>
      <w:r>
        <w:rPr>
          <w:rFonts w:hint="eastAsia"/>
        </w:rPr>
        <w:t>、担保事项</w:t>
      </w:r>
      <w:bookmarkEnd w:id="85"/>
    </w:p>
    <w:p w14:paraId="1065257A" w14:textId="77777777" w:rsidR="004B0883" w:rsidRDefault="004B0883">
      <w:pPr>
        <w:pStyle w:val="005"/>
        <w:spacing w:before="120"/>
        <w:ind w:firstLine="480"/>
        <w:rPr>
          <w:rFonts w:hint="eastAsia"/>
        </w:rPr>
      </w:pPr>
      <w:r>
        <w:rPr>
          <w:rFonts w:hint="eastAsia"/>
        </w:rPr>
        <w:t>本次发行的可转债不提供担保。</w:t>
      </w:r>
    </w:p>
    <w:p w14:paraId="135B7D95" w14:textId="77777777" w:rsidR="004B0883" w:rsidRDefault="004B0883">
      <w:pPr>
        <w:pStyle w:val="004"/>
        <w:spacing w:before="120" w:after="120"/>
        <w:ind w:firstLine="482"/>
        <w:rPr>
          <w:rFonts w:hint="eastAsia"/>
        </w:rPr>
      </w:pPr>
      <w:bookmarkStart w:id="86" w:name="_Toc121171041"/>
      <w:r>
        <w:rPr>
          <w:rFonts w:hint="eastAsia"/>
        </w:rPr>
        <w:t>19</w:t>
      </w:r>
      <w:r>
        <w:rPr>
          <w:rFonts w:hint="eastAsia"/>
        </w:rPr>
        <w:t>、评级事项</w:t>
      </w:r>
      <w:bookmarkEnd w:id="86"/>
    </w:p>
    <w:p w14:paraId="37ED82D0" w14:textId="77777777" w:rsidR="004B0883" w:rsidRDefault="004B0883">
      <w:pPr>
        <w:pStyle w:val="005"/>
        <w:spacing w:before="120"/>
        <w:ind w:firstLine="480"/>
        <w:rPr>
          <w:rFonts w:hint="eastAsia"/>
        </w:rPr>
      </w:pPr>
      <w:r>
        <w:rPr>
          <w:rFonts w:hint="eastAsia"/>
        </w:rPr>
        <w:t>公司已聘请资信评级机构为本次发行的可转债出具资信评级报告。</w:t>
      </w:r>
    </w:p>
    <w:p w14:paraId="2DC03C8E" w14:textId="77777777" w:rsidR="004B0883" w:rsidRDefault="004B0883">
      <w:pPr>
        <w:pStyle w:val="004"/>
        <w:spacing w:before="120" w:after="120"/>
        <w:ind w:firstLine="482"/>
        <w:rPr>
          <w:rFonts w:hint="eastAsia"/>
        </w:rPr>
      </w:pPr>
      <w:bookmarkStart w:id="87" w:name="_Toc121171042"/>
      <w:r>
        <w:rPr>
          <w:rFonts w:hint="eastAsia"/>
        </w:rPr>
        <w:t>2</w:t>
      </w:r>
      <w:r>
        <w:t>0</w:t>
      </w:r>
      <w:r>
        <w:rPr>
          <w:rFonts w:hint="eastAsia"/>
        </w:rPr>
        <w:t>、募集资金存管</w:t>
      </w:r>
      <w:bookmarkEnd w:id="87"/>
    </w:p>
    <w:p w14:paraId="42DFE901" w14:textId="77777777" w:rsidR="004B0883" w:rsidRDefault="004B0883">
      <w:pPr>
        <w:pStyle w:val="005"/>
        <w:spacing w:before="120"/>
        <w:ind w:firstLine="480"/>
        <w:rPr>
          <w:rFonts w:hint="eastAsia"/>
        </w:rPr>
      </w:pPr>
      <w:r>
        <w:rPr>
          <w:rFonts w:hint="eastAsia"/>
        </w:rPr>
        <w:t>公司已制定了募集资金管理制度，本次发行的募集资金将存放于公司董事会批准设立的专项账户中，具体开户事宜在发行前由公司董事会确定。</w:t>
      </w:r>
    </w:p>
    <w:p w14:paraId="22FAA7E7" w14:textId="77777777" w:rsidR="004B0883" w:rsidRDefault="004B0883">
      <w:pPr>
        <w:pStyle w:val="004"/>
        <w:spacing w:before="120" w:after="120"/>
        <w:ind w:firstLine="482"/>
        <w:rPr>
          <w:rFonts w:hint="eastAsia"/>
        </w:rPr>
      </w:pPr>
      <w:bookmarkStart w:id="88" w:name="_Toc121171043"/>
      <w:r>
        <w:rPr>
          <w:rFonts w:hint="eastAsia"/>
        </w:rPr>
        <w:t>21</w:t>
      </w:r>
      <w:r>
        <w:rPr>
          <w:rFonts w:hint="eastAsia"/>
        </w:rPr>
        <w:t>、本次发行方案的有效期</w:t>
      </w:r>
      <w:bookmarkEnd w:id="88"/>
    </w:p>
    <w:p w14:paraId="050808E9" w14:textId="77777777" w:rsidR="004B0883" w:rsidRDefault="004B0883">
      <w:pPr>
        <w:pStyle w:val="005"/>
        <w:spacing w:before="120"/>
        <w:ind w:firstLine="480"/>
        <w:rPr>
          <w:rFonts w:hint="eastAsia"/>
        </w:rPr>
      </w:pPr>
      <w:r>
        <w:rPr>
          <w:rFonts w:hint="eastAsia"/>
        </w:rPr>
        <w:t>本次向不特定对象发行可转换公司债券方案的有效期为公司股东大会审议通过本次发行方案之日起十二个月。</w:t>
      </w:r>
    </w:p>
    <w:p w14:paraId="204A8AC5" w14:textId="77777777" w:rsidR="004B0883" w:rsidRDefault="004B0883">
      <w:pPr>
        <w:pStyle w:val="003"/>
        <w:spacing w:before="120" w:after="120"/>
        <w:rPr>
          <w:rFonts w:hint="eastAsia"/>
        </w:rPr>
      </w:pPr>
      <w:r>
        <w:rPr>
          <w:rFonts w:hint="eastAsia"/>
        </w:rPr>
        <w:t>（四）本次债券的担保和评级情况</w:t>
      </w:r>
    </w:p>
    <w:p w14:paraId="66BA5CEA" w14:textId="77777777" w:rsidR="004B0883" w:rsidRDefault="004B0883">
      <w:pPr>
        <w:pStyle w:val="005"/>
        <w:spacing w:before="120"/>
        <w:ind w:firstLine="480"/>
        <w:rPr>
          <w:rFonts w:hint="eastAsia"/>
        </w:rPr>
      </w:pPr>
      <w:r>
        <w:rPr>
          <w:rFonts w:hint="eastAsia"/>
        </w:rPr>
        <w:t>本次发行的可转换公司债券不提供担保。</w:t>
      </w:r>
    </w:p>
    <w:p w14:paraId="168B6370" w14:textId="77777777" w:rsidR="004B0883" w:rsidRDefault="004B0883">
      <w:pPr>
        <w:pStyle w:val="005"/>
        <w:spacing w:before="120"/>
        <w:ind w:firstLine="480"/>
      </w:pPr>
      <w:r>
        <w:rPr>
          <w:rFonts w:hint="eastAsia"/>
        </w:rPr>
        <w:t>公司已聘请资信评级机构为本次发行的可转换公司债券出具资信评级报告。伟隆股份主体信用级别为</w:t>
      </w:r>
      <w:r>
        <w:rPr>
          <w:rFonts w:hint="eastAsia"/>
        </w:rPr>
        <w:t>A</w:t>
      </w:r>
      <w:r>
        <w:rPr>
          <w:rFonts w:hint="eastAsia"/>
        </w:rPr>
        <w:t>，本次可转债信用级别为</w:t>
      </w:r>
      <w:r>
        <w:rPr>
          <w:rFonts w:hint="eastAsia"/>
        </w:rPr>
        <w:t>A</w:t>
      </w:r>
      <w:r>
        <w:rPr>
          <w:rFonts w:hint="eastAsia"/>
        </w:rPr>
        <w:t>，</w:t>
      </w:r>
      <w:r>
        <w:t>评级展望为</w:t>
      </w:r>
      <w:r>
        <w:rPr>
          <w:rFonts w:hint="eastAsia"/>
        </w:rPr>
        <w:t>稳定。</w:t>
      </w:r>
    </w:p>
    <w:p w14:paraId="7C727EC6" w14:textId="77777777" w:rsidR="004B0883" w:rsidRDefault="004B0883">
      <w:pPr>
        <w:pStyle w:val="003"/>
        <w:spacing w:before="120" w:after="120"/>
      </w:pPr>
      <w:r>
        <w:rPr>
          <w:rFonts w:hint="eastAsia"/>
        </w:rPr>
        <w:t>（五）本次可转债的受托管理人</w:t>
      </w:r>
    </w:p>
    <w:p w14:paraId="4F766FE2" w14:textId="77777777" w:rsidR="004B0883" w:rsidRDefault="004B0883">
      <w:pPr>
        <w:pStyle w:val="005"/>
        <w:spacing w:before="120"/>
        <w:ind w:firstLine="480"/>
        <w:rPr>
          <w:rFonts w:hint="eastAsia"/>
        </w:rPr>
      </w:pPr>
      <w:r>
        <w:rPr>
          <w:rFonts w:hint="eastAsia"/>
        </w:rPr>
        <w:t>根据公司与中信证券签署的《青岛伟隆阀门股份有限公司可转换公司债券受托管理协议》（以下简称</w:t>
      </w:r>
      <w:r>
        <w:rPr>
          <w:rFonts w:ascii="宋体" w:hAnsi="宋体" w:hint="eastAsia"/>
        </w:rPr>
        <w:t>“</w:t>
      </w:r>
      <w:r>
        <w:rPr>
          <w:rFonts w:hint="eastAsia"/>
        </w:rPr>
        <w:t>受托管理协议</w:t>
      </w:r>
      <w:r>
        <w:rPr>
          <w:rFonts w:ascii="宋体" w:hAnsi="宋体" w:hint="eastAsia"/>
        </w:rPr>
        <w:t>”</w:t>
      </w:r>
      <w:r>
        <w:rPr>
          <w:rFonts w:hint="eastAsia"/>
        </w:rPr>
        <w:t>），公司聘任中信证券作为本次可转债的受托管理人，并同意接受中信证券的监督。在本次可转债存续期内，中信证券应当勤勉尽责，根据相关法律法规、募集说明书、受托管理协议的规定，行使权利和履行义务。投资者认购或持有本次可转债视作同意中信证券作为本次可转债的受托管理人，并视作同意受托管理协议的相关约定。</w:t>
      </w:r>
    </w:p>
    <w:p w14:paraId="0DAF17FB" w14:textId="77777777" w:rsidR="004B0883" w:rsidRDefault="004B0883">
      <w:pPr>
        <w:pStyle w:val="003"/>
        <w:spacing w:before="120" w:after="120"/>
        <w:rPr>
          <w:rFonts w:hint="eastAsia"/>
        </w:rPr>
      </w:pPr>
      <w:r>
        <w:rPr>
          <w:rFonts w:hint="eastAsia"/>
        </w:rPr>
        <w:t>（六）违约情形、责任及争议解决</w:t>
      </w:r>
    </w:p>
    <w:p w14:paraId="1137BAB9" w14:textId="77777777" w:rsidR="004B0883" w:rsidRDefault="004B0883">
      <w:pPr>
        <w:widowControl w:val="0"/>
        <w:spacing w:beforeLines="50" w:before="120" w:line="360" w:lineRule="auto"/>
        <w:ind w:firstLineChars="200" w:firstLine="480"/>
        <w:jc w:val="both"/>
        <w:rPr>
          <w:sz w:val="24"/>
          <w:szCs w:val="22"/>
        </w:rPr>
      </w:pPr>
      <w:r>
        <w:rPr>
          <w:sz w:val="24"/>
          <w:szCs w:val="22"/>
        </w:rPr>
        <w:t>根据公司与中信证券签署的受托管理协议，对违约情形、责任及争议解决约定如下：</w:t>
      </w:r>
    </w:p>
    <w:p w14:paraId="22030A13" w14:textId="77777777" w:rsidR="004B0883" w:rsidRDefault="004B0883">
      <w:pPr>
        <w:pStyle w:val="004"/>
        <w:spacing w:before="120" w:after="120"/>
        <w:ind w:firstLine="482"/>
      </w:pPr>
      <w:r>
        <w:t>1</w:t>
      </w:r>
      <w:r>
        <w:t>、违约情形</w:t>
      </w:r>
    </w:p>
    <w:p w14:paraId="69A63D96" w14:textId="77777777" w:rsidR="004B0883" w:rsidRDefault="004B0883">
      <w:pPr>
        <w:widowControl w:val="0"/>
        <w:spacing w:beforeLines="50" w:before="120" w:line="360" w:lineRule="auto"/>
        <w:ind w:firstLineChars="200" w:firstLine="480"/>
        <w:jc w:val="both"/>
        <w:rPr>
          <w:sz w:val="24"/>
          <w:szCs w:val="22"/>
        </w:rPr>
      </w:pPr>
      <w:r>
        <w:rPr>
          <w:sz w:val="24"/>
          <w:szCs w:val="22"/>
        </w:rPr>
        <w:t>在本次可转债存续期内，以下事件构成相应违约事件：</w:t>
      </w:r>
    </w:p>
    <w:p w14:paraId="299596A9" w14:textId="77777777" w:rsidR="004B0883" w:rsidRDefault="004B0883">
      <w:pPr>
        <w:widowControl w:val="0"/>
        <w:spacing w:beforeLines="50" w:before="120" w:line="360" w:lineRule="auto"/>
        <w:ind w:firstLineChars="200" w:firstLine="480"/>
        <w:jc w:val="both"/>
        <w:rPr>
          <w:sz w:val="24"/>
          <w:szCs w:val="22"/>
        </w:rPr>
      </w:pPr>
      <w:r>
        <w:rPr>
          <w:sz w:val="24"/>
          <w:szCs w:val="22"/>
        </w:rPr>
        <w:t>（</w:t>
      </w:r>
      <w:r>
        <w:rPr>
          <w:sz w:val="24"/>
          <w:szCs w:val="22"/>
        </w:rPr>
        <w:t>1</w:t>
      </w:r>
      <w:r>
        <w:rPr>
          <w:sz w:val="24"/>
          <w:szCs w:val="22"/>
        </w:rPr>
        <w:t>）公司未能按时完成本次可转债的本息兑付；</w:t>
      </w:r>
    </w:p>
    <w:p w14:paraId="6AC18BD6" w14:textId="77777777" w:rsidR="004B0883" w:rsidRDefault="004B0883">
      <w:pPr>
        <w:widowControl w:val="0"/>
        <w:spacing w:beforeLines="50" w:before="120" w:line="360" w:lineRule="auto"/>
        <w:ind w:firstLineChars="200" w:firstLine="480"/>
        <w:jc w:val="both"/>
        <w:rPr>
          <w:sz w:val="24"/>
          <w:szCs w:val="22"/>
        </w:rPr>
      </w:pPr>
      <w:r>
        <w:rPr>
          <w:sz w:val="24"/>
          <w:szCs w:val="22"/>
        </w:rPr>
        <w:t>（</w:t>
      </w:r>
      <w:r>
        <w:rPr>
          <w:sz w:val="24"/>
          <w:szCs w:val="22"/>
        </w:rPr>
        <w:t>2</w:t>
      </w:r>
      <w:r>
        <w:rPr>
          <w:sz w:val="24"/>
          <w:szCs w:val="22"/>
        </w:rPr>
        <w:t>）公司不履行或违反公司义务的规定，出售重大资产以致对公司对本次可转债的还本付息能力产生实质不利影响；</w:t>
      </w:r>
    </w:p>
    <w:p w14:paraId="1E1E84A9" w14:textId="77777777" w:rsidR="004B0883" w:rsidRDefault="004B0883">
      <w:pPr>
        <w:widowControl w:val="0"/>
        <w:spacing w:beforeLines="50" w:before="120" w:line="360" w:lineRule="auto"/>
        <w:ind w:firstLineChars="200" w:firstLine="480"/>
        <w:jc w:val="both"/>
        <w:rPr>
          <w:sz w:val="24"/>
          <w:szCs w:val="22"/>
        </w:rPr>
      </w:pPr>
      <w:r>
        <w:rPr>
          <w:sz w:val="24"/>
          <w:szCs w:val="22"/>
        </w:rPr>
        <w:t>（</w:t>
      </w:r>
      <w:r>
        <w:rPr>
          <w:sz w:val="24"/>
          <w:szCs w:val="22"/>
        </w:rPr>
        <w:t>3</w:t>
      </w:r>
      <w:r>
        <w:rPr>
          <w:sz w:val="24"/>
          <w:szCs w:val="22"/>
        </w:rPr>
        <w:t>）公司丧失清偿能力、被法院指定接管人或已开始与破产、清算相关的诉讼程序；</w:t>
      </w:r>
    </w:p>
    <w:p w14:paraId="13D3FACC" w14:textId="77777777" w:rsidR="004B0883" w:rsidRDefault="004B0883">
      <w:pPr>
        <w:widowControl w:val="0"/>
        <w:spacing w:beforeLines="50" w:before="120" w:line="360" w:lineRule="auto"/>
        <w:ind w:firstLineChars="200" w:firstLine="480"/>
        <w:jc w:val="both"/>
        <w:rPr>
          <w:sz w:val="24"/>
          <w:szCs w:val="22"/>
        </w:rPr>
      </w:pPr>
      <w:r>
        <w:rPr>
          <w:sz w:val="24"/>
          <w:szCs w:val="22"/>
        </w:rPr>
        <w:t>（</w:t>
      </w:r>
      <w:r>
        <w:rPr>
          <w:sz w:val="24"/>
          <w:szCs w:val="22"/>
        </w:rPr>
        <w:t>4</w:t>
      </w:r>
      <w:r>
        <w:rPr>
          <w:sz w:val="24"/>
          <w:szCs w:val="22"/>
        </w:rPr>
        <w:t>）公司未能清偿其他到期债务，且将导致本次债券发生违约；债务种类包括但不限于中期票据、短期融资券、企业债券、公司债券、可转换债券、可分离债券等直接融资债务，以及银行贷款、承兑汇票等间接融资债务；</w:t>
      </w:r>
    </w:p>
    <w:p w14:paraId="46492ED0" w14:textId="77777777" w:rsidR="004B0883" w:rsidRDefault="004B0883">
      <w:pPr>
        <w:widowControl w:val="0"/>
        <w:spacing w:beforeLines="50" w:before="120" w:line="360" w:lineRule="auto"/>
        <w:ind w:firstLineChars="200" w:firstLine="480"/>
        <w:jc w:val="both"/>
        <w:rPr>
          <w:sz w:val="24"/>
          <w:szCs w:val="22"/>
        </w:rPr>
      </w:pPr>
      <w:r>
        <w:rPr>
          <w:sz w:val="24"/>
          <w:szCs w:val="22"/>
        </w:rPr>
        <w:t>（</w:t>
      </w:r>
      <w:r>
        <w:rPr>
          <w:sz w:val="24"/>
          <w:szCs w:val="22"/>
        </w:rPr>
        <w:t>5</w:t>
      </w:r>
      <w:r>
        <w:rPr>
          <w:sz w:val="24"/>
          <w:szCs w:val="22"/>
        </w:rPr>
        <w:t>）公司未按照《债券持有人会议规则》规定的程序，私自变更本次可转债募集资金用途；</w:t>
      </w:r>
    </w:p>
    <w:p w14:paraId="0095BF14" w14:textId="77777777" w:rsidR="004B0883" w:rsidRDefault="004B0883">
      <w:pPr>
        <w:widowControl w:val="0"/>
        <w:spacing w:beforeLines="50" w:before="120" w:line="360" w:lineRule="auto"/>
        <w:ind w:firstLineChars="200" w:firstLine="480"/>
        <w:jc w:val="both"/>
        <w:rPr>
          <w:sz w:val="24"/>
          <w:szCs w:val="22"/>
        </w:rPr>
      </w:pPr>
      <w:r>
        <w:rPr>
          <w:sz w:val="24"/>
          <w:szCs w:val="22"/>
        </w:rPr>
        <w:t>（</w:t>
      </w:r>
      <w:r>
        <w:rPr>
          <w:sz w:val="24"/>
          <w:szCs w:val="22"/>
        </w:rPr>
        <w:t>6</w:t>
      </w:r>
      <w:r>
        <w:rPr>
          <w:sz w:val="24"/>
          <w:szCs w:val="22"/>
        </w:rPr>
        <w:t>）其他对本次可转债的按期付息兑付产生重大不利影响的情形。</w:t>
      </w:r>
    </w:p>
    <w:p w14:paraId="0BD009C2" w14:textId="77777777" w:rsidR="004B0883" w:rsidRDefault="004B0883">
      <w:pPr>
        <w:pStyle w:val="004"/>
        <w:spacing w:before="120" w:after="120"/>
        <w:ind w:firstLine="482"/>
      </w:pPr>
      <w:r>
        <w:t>2</w:t>
      </w:r>
      <w:r>
        <w:t>、违约责任的承担方式</w:t>
      </w:r>
    </w:p>
    <w:p w14:paraId="47130063" w14:textId="77777777" w:rsidR="004B0883" w:rsidRDefault="004B0883">
      <w:pPr>
        <w:widowControl w:val="0"/>
        <w:spacing w:beforeLines="50" w:before="120" w:line="360" w:lineRule="auto"/>
        <w:ind w:firstLineChars="200" w:firstLine="480"/>
        <w:jc w:val="both"/>
        <w:rPr>
          <w:sz w:val="24"/>
          <w:szCs w:val="22"/>
        </w:rPr>
      </w:pPr>
      <w:r>
        <w:rPr>
          <w:sz w:val="24"/>
          <w:szCs w:val="22"/>
        </w:rPr>
        <w:t>发生上述所列违约事件时，公司应当承担相应的违约责任，包括但不限于按照本次可转债募集说明书的约定向债券持有人及时、足额支付本金和</w:t>
      </w:r>
      <w:r>
        <w:rPr>
          <w:sz w:val="24"/>
          <w:szCs w:val="22"/>
        </w:rPr>
        <w:t>/</w:t>
      </w:r>
      <w:r>
        <w:rPr>
          <w:sz w:val="24"/>
          <w:szCs w:val="22"/>
        </w:rPr>
        <w:t>或利息以及迟延支付本金和</w:t>
      </w:r>
      <w:r>
        <w:rPr>
          <w:sz w:val="24"/>
          <w:szCs w:val="22"/>
        </w:rPr>
        <w:t>/</w:t>
      </w:r>
      <w:r>
        <w:rPr>
          <w:sz w:val="24"/>
          <w:szCs w:val="22"/>
        </w:rPr>
        <w:t>或利息产生的罚息、违约金等，并就受托管理人因公司违约事件承担相关责任造成的损失予以赔偿。债券受托管理人将根据债券持有人会议授权代表债券持有人向发行人进行追索。</w:t>
      </w:r>
    </w:p>
    <w:p w14:paraId="3F02C20D" w14:textId="77777777" w:rsidR="004B0883" w:rsidRDefault="004B0883">
      <w:pPr>
        <w:pStyle w:val="004"/>
        <w:spacing w:before="120" w:after="120"/>
        <w:ind w:firstLine="482"/>
      </w:pPr>
      <w:r>
        <w:t>3</w:t>
      </w:r>
      <w:r>
        <w:t>、争议解决机制</w:t>
      </w:r>
    </w:p>
    <w:p w14:paraId="67DB340D" w14:textId="77777777" w:rsidR="004B0883" w:rsidRDefault="004B0883">
      <w:pPr>
        <w:widowControl w:val="0"/>
        <w:spacing w:beforeLines="50" w:before="120" w:line="360" w:lineRule="auto"/>
        <w:ind w:firstLineChars="200" w:firstLine="480"/>
        <w:jc w:val="both"/>
        <w:rPr>
          <w:sz w:val="24"/>
          <w:szCs w:val="22"/>
        </w:rPr>
      </w:pPr>
      <w:r>
        <w:rPr>
          <w:sz w:val="24"/>
          <w:szCs w:val="22"/>
        </w:rPr>
        <w:t>本次可转债发行适用于中国法律并依其解释。</w:t>
      </w:r>
      <w:r>
        <w:rPr>
          <w:rFonts w:hint="eastAsia"/>
          <w:sz w:val="24"/>
          <w:szCs w:val="22"/>
        </w:rPr>
        <w:t>受托管理协议项下所产生的或与受托管理协议有关的任何争议</w:t>
      </w:r>
      <w:r>
        <w:rPr>
          <w:sz w:val="24"/>
          <w:szCs w:val="22"/>
        </w:rPr>
        <w:t>，首先应在争议各方之间协商解决。如果协商解决不成，应提交位于</w:t>
      </w:r>
      <w:r>
        <w:rPr>
          <w:rFonts w:hint="eastAsia"/>
          <w:sz w:val="24"/>
          <w:szCs w:val="22"/>
        </w:rPr>
        <w:t>北京</w:t>
      </w:r>
      <w:r>
        <w:rPr>
          <w:sz w:val="24"/>
          <w:szCs w:val="22"/>
        </w:rPr>
        <w:t>的</w:t>
      </w:r>
      <w:r>
        <w:rPr>
          <w:rFonts w:hint="eastAsia"/>
          <w:sz w:val="24"/>
          <w:szCs w:val="22"/>
        </w:rPr>
        <w:t>北京仲裁委员会</w:t>
      </w:r>
      <w:r>
        <w:rPr>
          <w:sz w:val="24"/>
          <w:szCs w:val="22"/>
        </w:rPr>
        <w:t>按照该会届时有效的仲裁规则进行仲裁。仲裁应用中文进行。仲裁裁决是终局的，对双方均有约束力。</w:t>
      </w:r>
    </w:p>
    <w:p w14:paraId="5F68D3ED" w14:textId="77777777" w:rsidR="004B0883" w:rsidRDefault="004B0883">
      <w:pPr>
        <w:widowControl w:val="0"/>
        <w:spacing w:beforeLines="50" w:before="120" w:line="360" w:lineRule="auto"/>
        <w:ind w:firstLineChars="200" w:firstLine="480"/>
        <w:jc w:val="both"/>
        <w:rPr>
          <w:rFonts w:hint="eastAsia"/>
        </w:rPr>
      </w:pPr>
      <w:r>
        <w:rPr>
          <w:sz w:val="24"/>
          <w:szCs w:val="22"/>
        </w:rPr>
        <w:t>当产生任何争议及任何争议正按前条约定进行解决时，除争议事项外，各方有权继续行使本协议项下的其他权利，并应履行本协议项下的其他义务。</w:t>
      </w:r>
    </w:p>
    <w:p w14:paraId="539718F1" w14:textId="77777777" w:rsidR="004B0883" w:rsidRDefault="004B0883">
      <w:pPr>
        <w:pStyle w:val="002"/>
        <w:spacing w:before="120" w:after="120"/>
        <w:rPr>
          <w:rFonts w:hint="eastAsia"/>
        </w:rPr>
      </w:pPr>
      <w:bookmarkStart w:id="89" w:name="_Toc42001313"/>
      <w:bookmarkStart w:id="90" w:name="_Toc523129012"/>
      <w:bookmarkStart w:id="91" w:name="_Toc152320778"/>
      <w:r>
        <w:rPr>
          <w:rFonts w:hint="eastAsia"/>
        </w:rPr>
        <w:t>三、承销方式及承销期</w:t>
      </w:r>
      <w:bookmarkEnd w:id="89"/>
      <w:bookmarkEnd w:id="90"/>
      <w:bookmarkEnd w:id="91"/>
    </w:p>
    <w:p w14:paraId="66A4BA54" w14:textId="77777777" w:rsidR="004B0883" w:rsidRDefault="004B0883">
      <w:pPr>
        <w:pStyle w:val="005"/>
        <w:spacing w:before="120"/>
        <w:ind w:firstLine="480"/>
        <w:rPr>
          <w:rFonts w:hint="eastAsia"/>
        </w:rPr>
      </w:pPr>
      <w:r>
        <w:rPr>
          <w:rFonts w:hint="eastAsia"/>
        </w:rPr>
        <w:t>本次发行由主承销商以余额包销方式承销。本次可转债发行的承销期自【】年【】月【】日至【】年【】月【】日。</w:t>
      </w:r>
    </w:p>
    <w:p w14:paraId="588D0E1E" w14:textId="77777777" w:rsidR="004B0883" w:rsidRDefault="004B0883">
      <w:pPr>
        <w:pStyle w:val="002"/>
        <w:spacing w:before="120" w:after="120"/>
        <w:rPr>
          <w:rFonts w:hint="eastAsia"/>
        </w:rPr>
      </w:pPr>
      <w:bookmarkStart w:id="92" w:name="_Toc152320779"/>
      <w:bookmarkStart w:id="93" w:name="_Toc523129013"/>
      <w:bookmarkStart w:id="94" w:name="_Toc42001314"/>
      <w:r>
        <w:rPr>
          <w:rFonts w:hint="eastAsia"/>
        </w:rPr>
        <w:t>四、发行费用</w:t>
      </w:r>
      <w:bookmarkEnd w:id="92"/>
      <w:bookmarkEnd w:id="93"/>
      <w:bookmarkEnd w:id="94"/>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01"/>
        <w:gridCol w:w="3914"/>
        <w:gridCol w:w="3467"/>
      </w:tblGrid>
      <w:tr w:rsidR="004B0883" w14:paraId="38E9ECED" w14:textId="77777777">
        <w:trPr>
          <w:trHeight w:val="397"/>
          <w:jc w:val="center"/>
        </w:trPr>
        <w:tc>
          <w:tcPr>
            <w:tcW w:w="544" w:type="pct"/>
            <w:shd w:val="clear" w:color="auto" w:fill="D9D9D9"/>
            <w:tcMar>
              <w:top w:w="0" w:type="dxa"/>
              <w:left w:w="108" w:type="dxa"/>
              <w:bottom w:w="0" w:type="dxa"/>
              <w:right w:w="108" w:type="dxa"/>
            </w:tcMar>
            <w:vAlign w:val="center"/>
          </w:tcPr>
          <w:p w14:paraId="36637A6D" w14:textId="77777777" w:rsidR="004B0883" w:rsidRDefault="004B0883">
            <w:pPr>
              <w:keepNext/>
              <w:adjustRightInd w:val="0"/>
              <w:snapToGrid w:val="0"/>
              <w:jc w:val="center"/>
              <w:rPr>
                <w:b/>
              </w:rPr>
            </w:pPr>
            <w:r>
              <w:rPr>
                <w:rFonts w:hAnsi="宋体"/>
                <w:b/>
              </w:rPr>
              <w:t>序号</w:t>
            </w:r>
          </w:p>
        </w:tc>
        <w:tc>
          <w:tcPr>
            <w:tcW w:w="2363" w:type="pct"/>
            <w:shd w:val="clear" w:color="auto" w:fill="D9D9D9"/>
            <w:tcMar>
              <w:top w:w="0" w:type="dxa"/>
              <w:left w:w="108" w:type="dxa"/>
              <w:bottom w:w="0" w:type="dxa"/>
              <w:right w:w="108" w:type="dxa"/>
            </w:tcMar>
            <w:vAlign w:val="center"/>
          </w:tcPr>
          <w:p w14:paraId="215C8629" w14:textId="77777777" w:rsidR="004B0883" w:rsidRDefault="004B0883">
            <w:pPr>
              <w:keepNext/>
              <w:adjustRightInd w:val="0"/>
              <w:snapToGrid w:val="0"/>
              <w:jc w:val="center"/>
              <w:rPr>
                <w:b/>
              </w:rPr>
            </w:pPr>
            <w:r>
              <w:rPr>
                <w:rFonts w:hAnsi="宋体"/>
                <w:b/>
              </w:rPr>
              <w:t>项目名称</w:t>
            </w:r>
          </w:p>
        </w:tc>
        <w:tc>
          <w:tcPr>
            <w:tcW w:w="2093" w:type="pct"/>
            <w:shd w:val="clear" w:color="auto" w:fill="D9D9D9"/>
            <w:tcMar>
              <w:top w:w="0" w:type="dxa"/>
              <w:left w:w="108" w:type="dxa"/>
              <w:bottom w:w="0" w:type="dxa"/>
              <w:right w:w="108" w:type="dxa"/>
            </w:tcMar>
            <w:vAlign w:val="center"/>
          </w:tcPr>
          <w:p w14:paraId="75938F35" w14:textId="77777777" w:rsidR="004B0883" w:rsidRDefault="004B0883">
            <w:pPr>
              <w:keepNext/>
              <w:adjustRightInd w:val="0"/>
              <w:snapToGrid w:val="0"/>
              <w:jc w:val="center"/>
              <w:rPr>
                <w:b/>
              </w:rPr>
            </w:pPr>
            <w:r>
              <w:rPr>
                <w:rFonts w:hAnsi="宋体"/>
                <w:b/>
              </w:rPr>
              <w:t>金额（万元）</w:t>
            </w:r>
          </w:p>
        </w:tc>
      </w:tr>
      <w:tr w:rsidR="004B0883" w14:paraId="6052016A" w14:textId="77777777">
        <w:trPr>
          <w:trHeight w:val="397"/>
          <w:jc w:val="center"/>
        </w:trPr>
        <w:tc>
          <w:tcPr>
            <w:tcW w:w="544" w:type="pct"/>
            <w:shd w:val="clear" w:color="auto" w:fill="FFFFFF"/>
            <w:tcMar>
              <w:top w:w="0" w:type="dxa"/>
              <w:left w:w="108" w:type="dxa"/>
              <w:bottom w:w="0" w:type="dxa"/>
              <w:right w:w="108" w:type="dxa"/>
            </w:tcMar>
            <w:vAlign w:val="center"/>
          </w:tcPr>
          <w:p w14:paraId="0132FF91" w14:textId="77777777" w:rsidR="004B0883" w:rsidRDefault="004B0883">
            <w:pPr>
              <w:adjustRightInd w:val="0"/>
              <w:snapToGrid w:val="0"/>
              <w:jc w:val="center"/>
            </w:pPr>
            <w:r>
              <w:t>1</w:t>
            </w:r>
          </w:p>
        </w:tc>
        <w:tc>
          <w:tcPr>
            <w:tcW w:w="2363" w:type="pct"/>
            <w:shd w:val="clear" w:color="auto" w:fill="FFFFFF"/>
            <w:tcMar>
              <w:top w:w="0" w:type="dxa"/>
              <w:left w:w="108" w:type="dxa"/>
              <w:bottom w:w="0" w:type="dxa"/>
              <w:right w:w="108" w:type="dxa"/>
            </w:tcMar>
            <w:vAlign w:val="center"/>
          </w:tcPr>
          <w:p w14:paraId="1C830B62" w14:textId="77777777" w:rsidR="004B0883" w:rsidRDefault="004B0883">
            <w:pPr>
              <w:pStyle w:val="Default"/>
              <w:snapToGrid w:val="0"/>
              <w:jc w:val="center"/>
              <w:rPr>
                <w:rFonts w:ascii="Times New Roman" w:cs="Times New Roman"/>
                <w:sz w:val="21"/>
                <w:szCs w:val="21"/>
              </w:rPr>
            </w:pPr>
            <w:r>
              <w:rPr>
                <w:rFonts w:ascii="Times New Roman" w:hAnsi="宋体" w:cs="Times New Roman"/>
                <w:sz w:val="21"/>
                <w:szCs w:val="21"/>
              </w:rPr>
              <w:t>承销及保荐费用</w:t>
            </w:r>
          </w:p>
        </w:tc>
        <w:tc>
          <w:tcPr>
            <w:tcW w:w="2093" w:type="pct"/>
            <w:shd w:val="clear" w:color="auto" w:fill="FFFFFF"/>
            <w:tcMar>
              <w:top w:w="0" w:type="dxa"/>
              <w:left w:w="108" w:type="dxa"/>
              <w:bottom w:w="0" w:type="dxa"/>
              <w:right w:w="108" w:type="dxa"/>
            </w:tcMar>
            <w:vAlign w:val="center"/>
          </w:tcPr>
          <w:p w14:paraId="6A5880CC" w14:textId="77777777" w:rsidR="004B0883" w:rsidRDefault="004B0883">
            <w:pPr>
              <w:adjustRightInd w:val="0"/>
              <w:snapToGrid w:val="0"/>
              <w:jc w:val="center"/>
            </w:pPr>
            <w:r>
              <w:rPr>
                <w:rFonts w:hAnsi="宋体"/>
              </w:rPr>
              <w:t>【】</w:t>
            </w:r>
          </w:p>
        </w:tc>
      </w:tr>
      <w:tr w:rsidR="004B0883" w14:paraId="225F9434" w14:textId="77777777">
        <w:trPr>
          <w:trHeight w:val="397"/>
          <w:jc w:val="center"/>
        </w:trPr>
        <w:tc>
          <w:tcPr>
            <w:tcW w:w="544" w:type="pct"/>
            <w:shd w:val="clear" w:color="auto" w:fill="FFFFFF"/>
            <w:tcMar>
              <w:top w:w="0" w:type="dxa"/>
              <w:left w:w="108" w:type="dxa"/>
              <w:bottom w:w="0" w:type="dxa"/>
              <w:right w:w="108" w:type="dxa"/>
            </w:tcMar>
            <w:vAlign w:val="center"/>
          </w:tcPr>
          <w:p w14:paraId="450D25DC" w14:textId="77777777" w:rsidR="004B0883" w:rsidRDefault="004B0883">
            <w:pPr>
              <w:adjustRightInd w:val="0"/>
              <w:snapToGrid w:val="0"/>
              <w:jc w:val="center"/>
            </w:pPr>
            <w:r>
              <w:t>2</w:t>
            </w:r>
          </w:p>
        </w:tc>
        <w:tc>
          <w:tcPr>
            <w:tcW w:w="2363" w:type="pct"/>
            <w:shd w:val="clear" w:color="auto" w:fill="FFFFFF"/>
            <w:tcMar>
              <w:top w:w="0" w:type="dxa"/>
              <w:left w:w="108" w:type="dxa"/>
              <w:bottom w:w="0" w:type="dxa"/>
              <w:right w:w="108" w:type="dxa"/>
            </w:tcMar>
            <w:vAlign w:val="center"/>
          </w:tcPr>
          <w:p w14:paraId="24724769" w14:textId="77777777" w:rsidR="004B0883" w:rsidRDefault="004B0883">
            <w:pPr>
              <w:pStyle w:val="Default"/>
              <w:snapToGrid w:val="0"/>
              <w:jc w:val="center"/>
              <w:rPr>
                <w:rFonts w:ascii="Times New Roman" w:cs="Times New Roman"/>
                <w:sz w:val="21"/>
                <w:szCs w:val="21"/>
              </w:rPr>
            </w:pPr>
            <w:r>
              <w:rPr>
                <w:rFonts w:ascii="Times New Roman" w:hAnsi="宋体" w:cs="Times New Roman"/>
                <w:sz w:val="21"/>
                <w:szCs w:val="21"/>
              </w:rPr>
              <w:t>律师费用</w:t>
            </w:r>
          </w:p>
        </w:tc>
        <w:tc>
          <w:tcPr>
            <w:tcW w:w="2093" w:type="pct"/>
            <w:shd w:val="clear" w:color="auto" w:fill="FFFFFF"/>
            <w:tcMar>
              <w:top w:w="0" w:type="dxa"/>
              <w:left w:w="108" w:type="dxa"/>
              <w:bottom w:w="0" w:type="dxa"/>
              <w:right w:w="108" w:type="dxa"/>
            </w:tcMar>
            <w:vAlign w:val="center"/>
          </w:tcPr>
          <w:p w14:paraId="4F2A3C7E" w14:textId="77777777" w:rsidR="004B0883" w:rsidRDefault="004B0883">
            <w:pPr>
              <w:adjustRightInd w:val="0"/>
              <w:snapToGrid w:val="0"/>
              <w:jc w:val="center"/>
            </w:pPr>
            <w:r>
              <w:rPr>
                <w:rFonts w:hAnsi="宋体"/>
              </w:rPr>
              <w:t>【】</w:t>
            </w:r>
          </w:p>
        </w:tc>
      </w:tr>
      <w:tr w:rsidR="004B0883" w14:paraId="738F86DD" w14:textId="77777777">
        <w:trPr>
          <w:trHeight w:val="397"/>
          <w:jc w:val="center"/>
        </w:trPr>
        <w:tc>
          <w:tcPr>
            <w:tcW w:w="544" w:type="pct"/>
            <w:shd w:val="clear" w:color="auto" w:fill="FFFFFF"/>
            <w:tcMar>
              <w:top w:w="0" w:type="dxa"/>
              <w:left w:w="108" w:type="dxa"/>
              <w:bottom w:w="0" w:type="dxa"/>
              <w:right w:w="108" w:type="dxa"/>
            </w:tcMar>
            <w:vAlign w:val="center"/>
          </w:tcPr>
          <w:p w14:paraId="47C54DFB" w14:textId="77777777" w:rsidR="004B0883" w:rsidRDefault="004B0883">
            <w:pPr>
              <w:adjustRightInd w:val="0"/>
              <w:snapToGrid w:val="0"/>
              <w:jc w:val="center"/>
            </w:pPr>
            <w:r>
              <w:t>3</w:t>
            </w:r>
          </w:p>
        </w:tc>
        <w:tc>
          <w:tcPr>
            <w:tcW w:w="2363" w:type="pct"/>
            <w:shd w:val="clear" w:color="auto" w:fill="FFFFFF"/>
            <w:tcMar>
              <w:top w:w="0" w:type="dxa"/>
              <w:left w:w="108" w:type="dxa"/>
              <w:bottom w:w="0" w:type="dxa"/>
              <w:right w:w="108" w:type="dxa"/>
            </w:tcMar>
            <w:vAlign w:val="center"/>
          </w:tcPr>
          <w:p w14:paraId="774D6DC6" w14:textId="77777777" w:rsidR="004B0883" w:rsidRDefault="004B0883">
            <w:pPr>
              <w:pStyle w:val="Default"/>
              <w:snapToGrid w:val="0"/>
              <w:jc w:val="center"/>
              <w:rPr>
                <w:rFonts w:ascii="Times New Roman" w:cs="Times New Roman"/>
                <w:sz w:val="21"/>
                <w:szCs w:val="21"/>
              </w:rPr>
            </w:pPr>
            <w:r>
              <w:rPr>
                <w:rFonts w:ascii="Times New Roman" w:hAnsi="宋体" w:cs="Times New Roman"/>
                <w:sz w:val="21"/>
                <w:szCs w:val="21"/>
              </w:rPr>
              <w:t>会计师费用</w:t>
            </w:r>
          </w:p>
        </w:tc>
        <w:tc>
          <w:tcPr>
            <w:tcW w:w="2093" w:type="pct"/>
            <w:shd w:val="clear" w:color="auto" w:fill="FFFFFF"/>
            <w:tcMar>
              <w:top w:w="0" w:type="dxa"/>
              <w:left w:w="108" w:type="dxa"/>
              <w:bottom w:w="0" w:type="dxa"/>
              <w:right w:w="108" w:type="dxa"/>
            </w:tcMar>
            <w:vAlign w:val="center"/>
          </w:tcPr>
          <w:p w14:paraId="70792BBB" w14:textId="77777777" w:rsidR="004B0883" w:rsidRDefault="004B0883">
            <w:pPr>
              <w:adjustRightInd w:val="0"/>
              <w:snapToGrid w:val="0"/>
              <w:jc w:val="center"/>
            </w:pPr>
            <w:r>
              <w:rPr>
                <w:rFonts w:hAnsi="宋体"/>
              </w:rPr>
              <w:t>【】</w:t>
            </w:r>
          </w:p>
        </w:tc>
      </w:tr>
      <w:tr w:rsidR="004B0883" w14:paraId="3DAA0E71" w14:textId="77777777">
        <w:trPr>
          <w:trHeight w:val="397"/>
          <w:jc w:val="center"/>
        </w:trPr>
        <w:tc>
          <w:tcPr>
            <w:tcW w:w="544" w:type="pct"/>
            <w:shd w:val="clear" w:color="auto" w:fill="FFFFFF"/>
            <w:tcMar>
              <w:top w:w="0" w:type="dxa"/>
              <w:left w:w="108" w:type="dxa"/>
              <w:bottom w:w="0" w:type="dxa"/>
              <w:right w:w="108" w:type="dxa"/>
            </w:tcMar>
            <w:vAlign w:val="center"/>
          </w:tcPr>
          <w:p w14:paraId="6435B5B5" w14:textId="77777777" w:rsidR="004B0883" w:rsidRDefault="004B0883">
            <w:pPr>
              <w:adjustRightInd w:val="0"/>
              <w:snapToGrid w:val="0"/>
              <w:jc w:val="center"/>
            </w:pPr>
            <w:r>
              <w:t>4</w:t>
            </w:r>
          </w:p>
        </w:tc>
        <w:tc>
          <w:tcPr>
            <w:tcW w:w="2363" w:type="pct"/>
            <w:shd w:val="clear" w:color="auto" w:fill="FFFFFF"/>
            <w:tcMar>
              <w:top w:w="0" w:type="dxa"/>
              <w:left w:w="108" w:type="dxa"/>
              <w:bottom w:w="0" w:type="dxa"/>
              <w:right w:w="108" w:type="dxa"/>
            </w:tcMar>
            <w:vAlign w:val="center"/>
          </w:tcPr>
          <w:p w14:paraId="7B88D078" w14:textId="77777777" w:rsidR="004B0883" w:rsidRDefault="004B0883">
            <w:pPr>
              <w:pStyle w:val="Default"/>
              <w:snapToGrid w:val="0"/>
              <w:jc w:val="center"/>
              <w:rPr>
                <w:rFonts w:ascii="Times New Roman" w:cs="Times New Roman"/>
                <w:sz w:val="21"/>
                <w:szCs w:val="21"/>
              </w:rPr>
            </w:pPr>
            <w:r>
              <w:rPr>
                <w:rFonts w:ascii="Times New Roman" w:hAnsi="宋体" w:cs="Times New Roman"/>
                <w:sz w:val="21"/>
                <w:szCs w:val="21"/>
              </w:rPr>
              <w:t>资信评级费用</w:t>
            </w:r>
          </w:p>
        </w:tc>
        <w:tc>
          <w:tcPr>
            <w:tcW w:w="2093" w:type="pct"/>
            <w:shd w:val="clear" w:color="auto" w:fill="FFFFFF"/>
            <w:tcMar>
              <w:top w:w="0" w:type="dxa"/>
              <w:left w:w="108" w:type="dxa"/>
              <w:bottom w:w="0" w:type="dxa"/>
              <w:right w:w="108" w:type="dxa"/>
            </w:tcMar>
            <w:vAlign w:val="center"/>
          </w:tcPr>
          <w:p w14:paraId="4AB28521" w14:textId="77777777" w:rsidR="004B0883" w:rsidRDefault="004B0883">
            <w:pPr>
              <w:adjustRightInd w:val="0"/>
              <w:snapToGrid w:val="0"/>
              <w:jc w:val="center"/>
            </w:pPr>
            <w:r>
              <w:rPr>
                <w:rFonts w:hAnsi="宋体"/>
              </w:rPr>
              <w:t>【】</w:t>
            </w:r>
          </w:p>
        </w:tc>
      </w:tr>
      <w:tr w:rsidR="004B0883" w14:paraId="55AD9CEE" w14:textId="77777777">
        <w:trPr>
          <w:trHeight w:val="397"/>
          <w:jc w:val="center"/>
        </w:trPr>
        <w:tc>
          <w:tcPr>
            <w:tcW w:w="544" w:type="pct"/>
            <w:shd w:val="clear" w:color="auto" w:fill="FFFFFF"/>
            <w:tcMar>
              <w:top w:w="0" w:type="dxa"/>
              <w:left w:w="108" w:type="dxa"/>
              <w:bottom w:w="0" w:type="dxa"/>
              <w:right w:w="108" w:type="dxa"/>
            </w:tcMar>
            <w:vAlign w:val="center"/>
          </w:tcPr>
          <w:p w14:paraId="3FF8DB85" w14:textId="77777777" w:rsidR="004B0883" w:rsidRDefault="004B0883">
            <w:pPr>
              <w:adjustRightInd w:val="0"/>
              <w:snapToGrid w:val="0"/>
              <w:jc w:val="center"/>
            </w:pPr>
            <w:r>
              <w:t>5</w:t>
            </w:r>
          </w:p>
        </w:tc>
        <w:tc>
          <w:tcPr>
            <w:tcW w:w="2363" w:type="pct"/>
            <w:shd w:val="clear" w:color="auto" w:fill="FFFFFF"/>
            <w:tcMar>
              <w:top w:w="0" w:type="dxa"/>
              <w:left w:w="108" w:type="dxa"/>
              <w:bottom w:w="0" w:type="dxa"/>
              <w:right w:w="108" w:type="dxa"/>
            </w:tcMar>
            <w:vAlign w:val="center"/>
          </w:tcPr>
          <w:p w14:paraId="490A4852" w14:textId="77777777" w:rsidR="004B0883" w:rsidRDefault="004B0883">
            <w:pPr>
              <w:pStyle w:val="Default"/>
              <w:snapToGrid w:val="0"/>
              <w:jc w:val="center"/>
              <w:rPr>
                <w:rFonts w:ascii="Times New Roman" w:cs="Times New Roman"/>
                <w:sz w:val="21"/>
                <w:szCs w:val="21"/>
              </w:rPr>
            </w:pPr>
            <w:r>
              <w:rPr>
                <w:rFonts w:ascii="Times New Roman" w:hAnsi="宋体" w:cs="Times New Roman"/>
                <w:sz w:val="21"/>
                <w:szCs w:val="21"/>
              </w:rPr>
              <w:t>发行手续费、信息披露及路演推介宣传费</w:t>
            </w:r>
          </w:p>
        </w:tc>
        <w:tc>
          <w:tcPr>
            <w:tcW w:w="2093" w:type="pct"/>
            <w:shd w:val="clear" w:color="auto" w:fill="FFFFFF"/>
            <w:tcMar>
              <w:top w:w="0" w:type="dxa"/>
              <w:left w:w="108" w:type="dxa"/>
              <w:bottom w:w="0" w:type="dxa"/>
              <w:right w:w="108" w:type="dxa"/>
            </w:tcMar>
            <w:vAlign w:val="center"/>
          </w:tcPr>
          <w:p w14:paraId="2A8544D0" w14:textId="77777777" w:rsidR="004B0883" w:rsidRDefault="004B0883">
            <w:pPr>
              <w:adjustRightInd w:val="0"/>
              <w:snapToGrid w:val="0"/>
              <w:jc w:val="center"/>
            </w:pPr>
            <w:r>
              <w:rPr>
                <w:rFonts w:hAnsi="宋体"/>
              </w:rPr>
              <w:t>【】</w:t>
            </w:r>
          </w:p>
        </w:tc>
      </w:tr>
      <w:tr w:rsidR="004B0883" w14:paraId="7A08458F" w14:textId="77777777">
        <w:trPr>
          <w:trHeight w:val="397"/>
          <w:jc w:val="center"/>
        </w:trPr>
        <w:tc>
          <w:tcPr>
            <w:tcW w:w="2907" w:type="pct"/>
            <w:gridSpan w:val="2"/>
            <w:shd w:val="clear" w:color="auto" w:fill="FFFFFF"/>
            <w:tcMar>
              <w:top w:w="0" w:type="dxa"/>
              <w:left w:w="108" w:type="dxa"/>
              <w:bottom w:w="0" w:type="dxa"/>
              <w:right w:w="108" w:type="dxa"/>
            </w:tcMar>
            <w:vAlign w:val="center"/>
          </w:tcPr>
          <w:p w14:paraId="006A273D" w14:textId="77777777" w:rsidR="004B0883" w:rsidRDefault="004B0883">
            <w:pPr>
              <w:pStyle w:val="Default"/>
              <w:snapToGrid w:val="0"/>
              <w:jc w:val="center"/>
              <w:rPr>
                <w:rFonts w:ascii="Times New Roman" w:cs="Times New Roman"/>
                <w:b/>
                <w:bCs/>
                <w:sz w:val="21"/>
                <w:szCs w:val="21"/>
              </w:rPr>
            </w:pPr>
            <w:r>
              <w:rPr>
                <w:rFonts w:ascii="Times New Roman" w:hAnsi="宋体" w:cs="Times New Roman"/>
                <w:b/>
                <w:bCs/>
                <w:sz w:val="21"/>
                <w:szCs w:val="21"/>
              </w:rPr>
              <w:t>合计</w:t>
            </w:r>
          </w:p>
        </w:tc>
        <w:tc>
          <w:tcPr>
            <w:tcW w:w="2093" w:type="pct"/>
            <w:shd w:val="clear" w:color="auto" w:fill="FFFFFF"/>
            <w:tcMar>
              <w:top w:w="0" w:type="dxa"/>
              <w:left w:w="108" w:type="dxa"/>
              <w:bottom w:w="0" w:type="dxa"/>
              <w:right w:w="108" w:type="dxa"/>
            </w:tcMar>
            <w:vAlign w:val="center"/>
          </w:tcPr>
          <w:p w14:paraId="036FFB4C" w14:textId="77777777" w:rsidR="004B0883" w:rsidRDefault="004B0883">
            <w:pPr>
              <w:adjustRightInd w:val="0"/>
              <w:snapToGrid w:val="0"/>
              <w:jc w:val="center"/>
              <w:rPr>
                <w:b/>
                <w:bCs/>
              </w:rPr>
            </w:pPr>
            <w:r>
              <w:rPr>
                <w:rFonts w:hAnsi="宋体"/>
                <w:b/>
                <w:bCs/>
              </w:rPr>
              <w:t>【】</w:t>
            </w:r>
          </w:p>
        </w:tc>
      </w:tr>
    </w:tbl>
    <w:p w14:paraId="2A617811" w14:textId="77777777" w:rsidR="004B0883" w:rsidRDefault="004B0883">
      <w:pPr>
        <w:pStyle w:val="005"/>
        <w:spacing w:before="120"/>
        <w:ind w:firstLine="480"/>
        <w:rPr>
          <w:rFonts w:hint="eastAsia"/>
        </w:rPr>
      </w:pPr>
      <w:r>
        <w:rPr>
          <w:rFonts w:hint="eastAsia"/>
        </w:rPr>
        <w:t>上述费用均为预计费用，承销费和保荐费将根据承销保荐协议中相关条款及最终发行情况确定，其他发行费用将根据实际情况确定。</w:t>
      </w:r>
    </w:p>
    <w:p w14:paraId="7847FB2A" w14:textId="77777777" w:rsidR="004B0883" w:rsidRDefault="004B0883">
      <w:pPr>
        <w:pStyle w:val="002"/>
        <w:spacing w:before="120" w:after="120"/>
        <w:rPr>
          <w:rFonts w:hint="eastAsia"/>
        </w:rPr>
      </w:pPr>
      <w:bookmarkStart w:id="95" w:name="_Toc42001315"/>
      <w:bookmarkStart w:id="96" w:name="_Toc523129014"/>
      <w:bookmarkStart w:id="97" w:name="_Toc152320780"/>
      <w:r>
        <w:rPr>
          <w:rFonts w:hint="eastAsia"/>
        </w:rPr>
        <w:t>五、</w:t>
      </w:r>
      <w:bookmarkEnd w:id="95"/>
      <w:bookmarkEnd w:id="96"/>
      <w:r>
        <w:rPr>
          <w:rFonts w:hint="eastAsia"/>
        </w:rPr>
        <w:t>承销期间的停牌、复牌及可转债上市的时间安排</w:t>
      </w:r>
      <w:bookmarkEnd w:id="97"/>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08"/>
        <w:gridCol w:w="977"/>
        <w:gridCol w:w="977"/>
        <w:gridCol w:w="4168"/>
        <w:gridCol w:w="1252"/>
      </w:tblGrid>
      <w:tr w:rsidR="004B0883" w14:paraId="705D8A4D" w14:textId="77777777">
        <w:trPr>
          <w:trHeight w:val="397"/>
          <w:tblHeader/>
          <w:jc w:val="center"/>
        </w:trPr>
        <w:tc>
          <w:tcPr>
            <w:tcW w:w="548" w:type="pct"/>
            <w:shd w:val="clear" w:color="auto" w:fill="D9D9D9"/>
            <w:tcMar>
              <w:top w:w="0" w:type="dxa"/>
              <w:left w:w="108" w:type="dxa"/>
              <w:bottom w:w="0" w:type="dxa"/>
              <w:right w:w="108" w:type="dxa"/>
            </w:tcMar>
            <w:vAlign w:val="center"/>
          </w:tcPr>
          <w:p w14:paraId="7C7B7609" w14:textId="77777777" w:rsidR="004B0883" w:rsidRDefault="004B0883">
            <w:pPr>
              <w:keepNext/>
              <w:adjustRightInd w:val="0"/>
              <w:snapToGrid w:val="0"/>
              <w:jc w:val="center"/>
              <w:rPr>
                <w:b/>
              </w:rPr>
            </w:pPr>
            <w:r>
              <w:rPr>
                <w:rFonts w:hAnsi="宋体"/>
                <w:b/>
              </w:rPr>
              <w:t>交易日</w:t>
            </w:r>
          </w:p>
        </w:tc>
        <w:tc>
          <w:tcPr>
            <w:tcW w:w="1179" w:type="pct"/>
            <w:gridSpan w:val="2"/>
            <w:shd w:val="clear" w:color="auto" w:fill="D9D9D9"/>
            <w:tcMar>
              <w:top w:w="0" w:type="dxa"/>
              <w:left w:w="108" w:type="dxa"/>
              <w:bottom w:w="0" w:type="dxa"/>
              <w:right w:w="108" w:type="dxa"/>
            </w:tcMar>
            <w:vAlign w:val="center"/>
          </w:tcPr>
          <w:p w14:paraId="276C3A2C" w14:textId="77777777" w:rsidR="004B0883" w:rsidRDefault="004B0883">
            <w:pPr>
              <w:keepNext/>
              <w:adjustRightInd w:val="0"/>
              <w:snapToGrid w:val="0"/>
              <w:jc w:val="center"/>
              <w:rPr>
                <w:b/>
              </w:rPr>
            </w:pPr>
            <w:r>
              <w:rPr>
                <w:rFonts w:hAnsi="宋体"/>
                <w:b/>
              </w:rPr>
              <w:t>日期</w:t>
            </w:r>
          </w:p>
        </w:tc>
        <w:tc>
          <w:tcPr>
            <w:tcW w:w="2516" w:type="pct"/>
            <w:shd w:val="clear" w:color="auto" w:fill="D9D9D9"/>
            <w:tcMar>
              <w:top w:w="0" w:type="dxa"/>
              <w:left w:w="108" w:type="dxa"/>
              <w:bottom w:w="0" w:type="dxa"/>
              <w:right w:w="108" w:type="dxa"/>
            </w:tcMar>
            <w:vAlign w:val="center"/>
          </w:tcPr>
          <w:p w14:paraId="7E006A0B" w14:textId="77777777" w:rsidR="004B0883" w:rsidRDefault="004B0883">
            <w:pPr>
              <w:keepNext/>
              <w:adjustRightInd w:val="0"/>
              <w:snapToGrid w:val="0"/>
              <w:jc w:val="center"/>
              <w:rPr>
                <w:b/>
              </w:rPr>
            </w:pPr>
            <w:r>
              <w:rPr>
                <w:rFonts w:hAnsi="宋体"/>
                <w:b/>
              </w:rPr>
              <w:t>发行安排</w:t>
            </w:r>
          </w:p>
        </w:tc>
        <w:tc>
          <w:tcPr>
            <w:tcW w:w="757" w:type="pct"/>
            <w:shd w:val="clear" w:color="auto" w:fill="D9D9D9"/>
            <w:tcMar>
              <w:top w:w="0" w:type="dxa"/>
              <w:left w:w="108" w:type="dxa"/>
              <w:bottom w:w="0" w:type="dxa"/>
              <w:right w:w="108" w:type="dxa"/>
            </w:tcMar>
            <w:vAlign w:val="center"/>
          </w:tcPr>
          <w:p w14:paraId="70F133CF" w14:textId="77777777" w:rsidR="004B0883" w:rsidRDefault="004B0883">
            <w:pPr>
              <w:keepNext/>
              <w:adjustRightInd w:val="0"/>
              <w:snapToGrid w:val="0"/>
              <w:jc w:val="center"/>
              <w:rPr>
                <w:b/>
              </w:rPr>
            </w:pPr>
            <w:r>
              <w:rPr>
                <w:rFonts w:hAnsi="宋体"/>
                <w:b/>
              </w:rPr>
              <w:t>停复牌安排</w:t>
            </w:r>
          </w:p>
        </w:tc>
      </w:tr>
      <w:tr w:rsidR="004B0883" w14:paraId="054E8442" w14:textId="77777777">
        <w:trPr>
          <w:trHeight w:val="397"/>
          <w:jc w:val="center"/>
        </w:trPr>
        <w:tc>
          <w:tcPr>
            <w:tcW w:w="548" w:type="pct"/>
            <w:shd w:val="clear" w:color="auto" w:fill="FFFFFF"/>
            <w:tcMar>
              <w:top w:w="0" w:type="dxa"/>
              <w:left w:w="108" w:type="dxa"/>
              <w:bottom w:w="0" w:type="dxa"/>
              <w:right w:w="108" w:type="dxa"/>
            </w:tcMar>
            <w:vAlign w:val="center"/>
          </w:tcPr>
          <w:p w14:paraId="4F8FA0C9" w14:textId="77777777" w:rsidR="004B0883" w:rsidRDefault="004B0883">
            <w:pPr>
              <w:adjustRightInd w:val="0"/>
              <w:snapToGrid w:val="0"/>
              <w:jc w:val="center"/>
            </w:pPr>
            <w:r>
              <w:t>T-2</w:t>
            </w:r>
            <w:r>
              <w:rPr>
                <w:rFonts w:hAnsi="宋体"/>
              </w:rPr>
              <w:t>日</w:t>
            </w:r>
          </w:p>
        </w:tc>
        <w:tc>
          <w:tcPr>
            <w:tcW w:w="590" w:type="pct"/>
            <w:shd w:val="clear" w:color="auto" w:fill="FFFFFF"/>
            <w:tcMar>
              <w:top w:w="0" w:type="dxa"/>
              <w:left w:w="108" w:type="dxa"/>
              <w:bottom w:w="0" w:type="dxa"/>
              <w:right w:w="108" w:type="dxa"/>
            </w:tcMar>
            <w:vAlign w:val="center"/>
          </w:tcPr>
          <w:p w14:paraId="54181FC0" w14:textId="77777777" w:rsidR="004B0883" w:rsidRDefault="004B0883">
            <w:pPr>
              <w:pStyle w:val="Default"/>
              <w:snapToGrid w:val="0"/>
              <w:jc w:val="center"/>
              <w:rPr>
                <w:rFonts w:ascii="Times New Roman" w:cs="Times New Roman"/>
                <w:sz w:val="21"/>
                <w:szCs w:val="21"/>
              </w:rPr>
            </w:pPr>
            <w:r>
              <w:rPr>
                <w:rFonts w:ascii="Times New Roman" w:hAnsi="宋体" w:cs="Times New Roman"/>
                <w:sz w:val="21"/>
                <w:szCs w:val="21"/>
              </w:rPr>
              <w:t>【】</w:t>
            </w:r>
          </w:p>
        </w:tc>
        <w:tc>
          <w:tcPr>
            <w:tcW w:w="590" w:type="pct"/>
            <w:shd w:val="clear" w:color="auto" w:fill="FFFFFF"/>
            <w:tcMar>
              <w:top w:w="0" w:type="dxa"/>
              <w:left w:w="108" w:type="dxa"/>
              <w:bottom w:w="0" w:type="dxa"/>
              <w:right w:w="108" w:type="dxa"/>
            </w:tcMar>
            <w:vAlign w:val="center"/>
          </w:tcPr>
          <w:p w14:paraId="3C86F5B2" w14:textId="77777777" w:rsidR="004B0883" w:rsidRDefault="004B0883">
            <w:pPr>
              <w:pStyle w:val="Default"/>
              <w:snapToGrid w:val="0"/>
              <w:jc w:val="center"/>
              <w:rPr>
                <w:rFonts w:ascii="Times New Roman" w:cs="Times New Roman"/>
                <w:sz w:val="21"/>
                <w:szCs w:val="21"/>
              </w:rPr>
            </w:pPr>
            <w:r>
              <w:rPr>
                <w:rFonts w:ascii="Times New Roman" w:hAnsi="宋体" w:cs="Times New Roman"/>
                <w:sz w:val="21"/>
                <w:szCs w:val="21"/>
              </w:rPr>
              <w:t>【】</w:t>
            </w:r>
          </w:p>
        </w:tc>
        <w:tc>
          <w:tcPr>
            <w:tcW w:w="2516" w:type="pct"/>
            <w:shd w:val="clear" w:color="auto" w:fill="FFFFFF"/>
            <w:tcMar>
              <w:top w:w="0" w:type="dxa"/>
              <w:left w:w="108" w:type="dxa"/>
              <w:bottom w:w="0" w:type="dxa"/>
              <w:right w:w="108" w:type="dxa"/>
            </w:tcMar>
            <w:vAlign w:val="center"/>
          </w:tcPr>
          <w:p w14:paraId="208C8B8D" w14:textId="77777777" w:rsidR="004B0883" w:rsidRDefault="004B0883">
            <w:pPr>
              <w:adjustRightInd w:val="0"/>
              <w:snapToGrid w:val="0"/>
            </w:pPr>
            <w:r>
              <w:rPr>
                <w:rFonts w:hAnsi="宋体"/>
              </w:rPr>
              <w:t>刊登募集说明书、《发行公告》《网上路演公告》</w:t>
            </w:r>
          </w:p>
        </w:tc>
        <w:tc>
          <w:tcPr>
            <w:tcW w:w="757" w:type="pct"/>
            <w:shd w:val="clear" w:color="auto" w:fill="FFFFFF"/>
            <w:tcMar>
              <w:top w:w="0" w:type="dxa"/>
              <w:left w:w="108" w:type="dxa"/>
              <w:bottom w:w="0" w:type="dxa"/>
              <w:right w:w="108" w:type="dxa"/>
            </w:tcMar>
            <w:vAlign w:val="center"/>
          </w:tcPr>
          <w:p w14:paraId="4AD26A8D" w14:textId="77777777" w:rsidR="004B0883" w:rsidRDefault="004B0883">
            <w:pPr>
              <w:adjustRightInd w:val="0"/>
              <w:snapToGrid w:val="0"/>
              <w:jc w:val="center"/>
            </w:pPr>
            <w:r>
              <w:rPr>
                <w:rFonts w:hAnsi="宋体"/>
              </w:rPr>
              <w:t>正常交易</w:t>
            </w:r>
          </w:p>
        </w:tc>
      </w:tr>
      <w:tr w:rsidR="004B0883" w14:paraId="57324DA3" w14:textId="77777777">
        <w:trPr>
          <w:trHeight w:val="397"/>
          <w:jc w:val="center"/>
        </w:trPr>
        <w:tc>
          <w:tcPr>
            <w:tcW w:w="548" w:type="pct"/>
            <w:shd w:val="clear" w:color="auto" w:fill="FFFFFF"/>
            <w:tcMar>
              <w:top w:w="0" w:type="dxa"/>
              <w:left w:w="108" w:type="dxa"/>
              <w:bottom w:w="0" w:type="dxa"/>
              <w:right w:w="108" w:type="dxa"/>
            </w:tcMar>
            <w:vAlign w:val="center"/>
          </w:tcPr>
          <w:p w14:paraId="30349412" w14:textId="77777777" w:rsidR="004B0883" w:rsidRDefault="004B0883">
            <w:pPr>
              <w:adjustRightInd w:val="0"/>
              <w:snapToGrid w:val="0"/>
              <w:jc w:val="center"/>
            </w:pPr>
            <w:r>
              <w:t>T-1</w:t>
            </w:r>
            <w:r>
              <w:rPr>
                <w:rFonts w:hAnsi="宋体"/>
              </w:rPr>
              <w:t>日</w:t>
            </w:r>
          </w:p>
        </w:tc>
        <w:tc>
          <w:tcPr>
            <w:tcW w:w="590" w:type="pct"/>
            <w:shd w:val="clear" w:color="auto" w:fill="FFFFFF"/>
            <w:tcMar>
              <w:top w:w="0" w:type="dxa"/>
              <w:left w:w="108" w:type="dxa"/>
              <w:bottom w:w="0" w:type="dxa"/>
              <w:right w:w="108" w:type="dxa"/>
            </w:tcMar>
            <w:vAlign w:val="center"/>
          </w:tcPr>
          <w:p w14:paraId="6C2143F0" w14:textId="77777777" w:rsidR="004B0883" w:rsidRDefault="004B0883">
            <w:pPr>
              <w:pStyle w:val="Default"/>
              <w:snapToGrid w:val="0"/>
              <w:jc w:val="center"/>
              <w:rPr>
                <w:rFonts w:ascii="Times New Roman" w:cs="Times New Roman"/>
                <w:sz w:val="21"/>
                <w:szCs w:val="21"/>
              </w:rPr>
            </w:pPr>
            <w:r>
              <w:rPr>
                <w:rFonts w:ascii="Times New Roman" w:hAnsi="宋体" w:cs="Times New Roman"/>
                <w:sz w:val="21"/>
                <w:szCs w:val="21"/>
              </w:rPr>
              <w:t>【】</w:t>
            </w:r>
          </w:p>
        </w:tc>
        <w:tc>
          <w:tcPr>
            <w:tcW w:w="590" w:type="pct"/>
            <w:shd w:val="clear" w:color="auto" w:fill="FFFFFF"/>
            <w:tcMar>
              <w:top w:w="0" w:type="dxa"/>
              <w:left w:w="108" w:type="dxa"/>
              <w:bottom w:w="0" w:type="dxa"/>
              <w:right w:w="108" w:type="dxa"/>
            </w:tcMar>
            <w:vAlign w:val="center"/>
          </w:tcPr>
          <w:p w14:paraId="53384061" w14:textId="77777777" w:rsidR="004B0883" w:rsidRDefault="004B0883">
            <w:pPr>
              <w:pStyle w:val="Default"/>
              <w:snapToGrid w:val="0"/>
              <w:jc w:val="center"/>
              <w:rPr>
                <w:rFonts w:ascii="Times New Roman" w:cs="Times New Roman"/>
                <w:sz w:val="21"/>
                <w:szCs w:val="21"/>
              </w:rPr>
            </w:pPr>
            <w:r>
              <w:rPr>
                <w:rFonts w:ascii="Times New Roman" w:hAnsi="宋体" w:cs="Times New Roman"/>
                <w:sz w:val="21"/>
                <w:szCs w:val="21"/>
              </w:rPr>
              <w:t>【】</w:t>
            </w:r>
          </w:p>
        </w:tc>
        <w:tc>
          <w:tcPr>
            <w:tcW w:w="2516" w:type="pct"/>
            <w:shd w:val="clear" w:color="auto" w:fill="FFFFFF"/>
            <w:tcMar>
              <w:top w:w="0" w:type="dxa"/>
              <w:left w:w="108" w:type="dxa"/>
              <w:bottom w:w="0" w:type="dxa"/>
              <w:right w:w="108" w:type="dxa"/>
            </w:tcMar>
            <w:vAlign w:val="center"/>
          </w:tcPr>
          <w:p w14:paraId="300A9C2F" w14:textId="77777777" w:rsidR="004B0883" w:rsidRDefault="004B0883">
            <w:pPr>
              <w:adjustRightInd w:val="0"/>
              <w:snapToGrid w:val="0"/>
            </w:pPr>
            <w:r>
              <w:rPr>
                <w:rFonts w:hAnsi="宋体"/>
              </w:rPr>
              <w:t>网上路演；原股东优先配售股权登记日</w:t>
            </w:r>
          </w:p>
        </w:tc>
        <w:tc>
          <w:tcPr>
            <w:tcW w:w="757" w:type="pct"/>
            <w:shd w:val="clear" w:color="auto" w:fill="FFFFFF"/>
            <w:tcMar>
              <w:top w:w="0" w:type="dxa"/>
              <w:left w:w="108" w:type="dxa"/>
              <w:bottom w:w="0" w:type="dxa"/>
              <w:right w:w="108" w:type="dxa"/>
            </w:tcMar>
            <w:vAlign w:val="center"/>
          </w:tcPr>
          <w:p w14:paraId="221693D6" w14:textId="77777777" w:rsidR="004B0883" w:rsidRDefault="004B0883">
            <w:pPr>
              <w:adjustRightInd w:val="0"/>
              <w:snapToGrid w:val="0"/>
              <w:jc w:val="center"/>
            </w:pPr>
            <w:r>
              <w:rPr>
                <w:rFonts w:hAnsi="宋体"/>
              </w:rPr>
              <w:t>正常交易</w:t>
            </w:r>
          </w:p>
        </w:tc>
      </w:tr>
      <w:tr w:rsidR="004B0883" w14:paraId="7AE59E99" w14:textId="77777777">
        <w:trPr>
          <w:trHeight w:val="397"/>
          <w:jc w:val="center"/>
        </w:trPr>
        <w:tc>
          <w:tcPr>
            <w:tcW w:w="548" w:type="pct"/>
            <w:shd w:val="clear" w:color="auto" w:fill="FFFFFF"/>
            <w:tcMar>
              <w:top w:w="0" w:type="dxa"/>
              <w:left w:w="108" w:type="dxa"/>
              <w:bottom w:w="0" w:type="dxa"/>
              <w:right w:w="108" w:type="dxa"/>
            </w:tcMar>
            <w:vAlign w:val="center"/>
          </w:tcPr>
          <w:p w14:paraId="3FD93856" w14:textId="77777777" w:rsidR="004B0883" w:rsidRDefault="004B0883">
            <w:pPr>
              <w:adjustRightInd w:val="0"/>
              <w:snapToGrid w:val="0"/>
              <w:jc w:val="center"/>
            </w:pPr>
            <w:r>
              <w:t>T</w:t>
            </w:r>
            <w:r>
              <w:rPr>
                <w:rFonts w:hAnsi="宋体"/>
              </w:rPr>
              <w:t>日</w:t>
            </w:r>
          </w:p>
        </w:tc>
        <w:tc>
          <w:tcPr>
            <w:tcW w:w="590" w:type="pct"/>
            <w:shd w:val="clear" w:color="auto" w:fill="FFFFFF"/>
            <w:tcMar>
              <w:top w:w="0" w:type="dxa"/>
              <w:left w:w="108" w:type="dxa"/>
              <w:bottom w:w="0" w:type="dxa"/>
              <w:right w:w="108" w:type="dxa"/>
            </w:tcMar>
            <w:vAlign w:val="center"/>
          </w:tcPr>
          <w:p w14:paraId="0B531815" w14:textId="77777777" w:rsidR="004B0883" w:rsidRDefault="004B0883">
            <w:pPr>
              <w:pStyle w:val="Default"/>
              <w:snapToGrid w:val="0"/>
              <w:jc w:val="center"/>
              <w:rPr>
                <w:rFonts w:ascii="Times New Roman" w:cs="Times New Roman"/>
                <w:sz w:val="21"/>
                <w:szCs w:val="21"/>
              </w:rPr>
            </w:pPr>
            <w:r>
              <w:rPr>
                <w:rFonts w:ascii="Times New Roman" w:hAnsi="宋体" w:cs="Times New Roman"/>
                <w:sz w:val="21"/>
                <w:szCs w:val="21"/>
              </w:rPr>
              <w:t>【】</w:t>
            </w:r>
          </w:p>
        </w:tc>
        <w:tc>
          <w:tcPr>
            <w:tcW w:w="590" w:type="pct"/>
            <w:shd w:val="clear" w:color="auto" w:fill="FFFFFF"/>
            <w:tcMar>
              <w:top w:w="0" w:type="dxa"/>
              <w:left w:w="108" w:type="dxa"/>
              <w:bottom w:w="0" w:type="dxa"/>
              <w:right w:w="108" w:type="dxa"/>
            </w:tcMar>
            <w:vAlign w:val="center"/>
          </w:tcPr>
          <w:p w14:paraId="0DCF9322" w14:textId="77777777" w:rsidR="004B0883" w:rsidRDefault="004B0883">
            <w:pPr>
              <w:pStyle w:val="Default"/>
              <w:snapToGrid w:val="0"/>
              <w:jc w:val="center"/>
              <w:rPr>
                <w:rFonts w:ascii="Times New Roman" w:cs="Times New Roman"/>
                <w:sz w:val="21"/>
                <w:szCs w:val="21"/>
              </w:rPr>
            </w:pPr>
            <w:r>
              <w:rPr>
                <w:rFonts w:ascii="Times New Roman" w:hAnsi="宋体" w:cs="Times New Roman"/>
                <w:sz w:val="21"/>
                <w:szCs w:val="21"/>
              </w:rPr>
              <w:t>【】</w:t>
            </w:r>
          </w:p>
        </w:tc>
        <w:tc>
          <w:tcPr>
            <w:tcW w:w="2516" w:type="pct"/>
            <w:shd w:val="clear" w:color="auto" w:fill="FFFFFF"/>
            <w:tcMar>
              <w:top w:w="0" w:type="dxa"/>
              <w:left w:w="108" w:type="dxa"/>
              <w:bottom w:w="0" w:type="dxa"/>
              <w:right w:w="108" w:type="dxa"/>
            </w:tcMar>
            <w:vAlign w:val="center"/>
          </w:tcPr>
          <w:p w14:paraId="6F4C26FC" w14:textId="77777777" w:rsidR="004B0883" w:rsidRDefault="004B0883">
            <w:pPr>
              <w:adjustRightInd w:val="0"/>
              <w:snapToGrid w:val="0"/>
            </w:pPr>
            <w:r>
              <w:rPr>
                <w:rFonts w:hAnsi="宋体"/>
              </w:rPr>
              <w:t>刊登《发行方案提示性公告》；原股东优先配售日；网上申购日确定网上中签率</w:t>
            </w:r>
          </w:p>
        </w:tc>
        <w:tc>
          <w:tcPr>
            <w:tcW w:w="757" w:type="pct"/>
            <w:shd w:val="clear" w:color="auto" w:fill="FFFFFF"/>
            <w:tcMar>
              <w:top w:w="0" w:type="dxa"/>
              <w:left w:w="108" w:type="dxa"/>
              <w:bottom w:w="0" w:type="dxa"/>
              <w:right w:w="108" w:type="dxa"/>
            </w:tcMar>
            <w:vAlign w:val="center"/>
          </w:tcPr>
          <w:p w14:paraId="5780951F" w14:textId="77777777" w:rsidR="004B0883" w:rsidRDefault="004B0883">
            <w:pPr>
              <w:adjustRightInd w:val="0"/>
              <w:snapToGrid w:val="0"/>
              <w:jc w:val="center"/>
            </w:pPr>
            <w:r>
              <w:rPr>
                <w:rFonts w:hAnsi="宋体"/>
              </w:rPr>
              <w:t>正常交易</w:t>
            </w:r>
          </w:p>
        </w:tc>
      </w:tr>
      <w:tr w:rsidR="004B0883" w14:paraId="13797670" w14:textId="77777777">
        <w:trPr>
          <w:trHeight w:val="397"/>
          <w:jc w:val="center"/>
        </w:trPr>
        <w:tc>
          <w:tcPr>
            <w:tcW w:w="548" w:type="pct"/>
            <w:shd w:val="clear" w:color="auto" w:fill="FFFFFF"/>
            <w:tcMar>
              <w:top w:w="0" w:type="dxa"/>
              <w:left w:w="108" w:type="dxa"/>
              <w:bottom w:w="0" w:type="dxa"/>
              <w:right w:w="108" w:type="dxa"/>
            </w:tcMar>
            <w:vAlign w:val="center"/>
          </w:tcPr>
          <w:p w14:paraId="560259B4" w14:textId="77777777" w:rsidR="004B0883" w:rsidRDefault="004B0883">
            <w:pPr>
              <w:adjustRightInd w:val="0"/>
              <w:snapToGrid w:val="0"/>
              <w:jc w:val="center"/>
            </w:pPr>
            <w:r>
              <w:t>T+1</w:t>
            </w:r>
            <w:r>
              <w:rPr>
                <w:rFonts w:hAnsi="宋体"/>
              </w:rPr>
              <w:t>日</w:t>
            </w:r>
          </w:p>
        </w:tc>
        <w:tc>
          <w:tcPr>
            <w:tcW w:w="590" w:type="pct"/>
            <w:shd w:val="clear" w:color="auto" w:fill="FFFFFF"/>
            <w:tcMar>
              <w:top w:w="0" w:type="dxa"/>
              <w:left w:w="108" w:type="dxa"/>
              <w:bottom w:w="0" w:type="dxa"/>
              <w:right w:w="108" w:type="dxa"/>
            </w:tcMar>
            <w:vAlign w:val="center"/>
          </w:tcPr>
          <w:p w14:paraId="33382DA0" w14:textId="77777777" w:rsidR="004B0883" w:rsidRDefault="004B0883">
            <w:pPr>
              <w:pStyle w:val="Default"/>
              <w:snapToGrid w:val="0"/>
              <w:jc w:val="center"/>
              <w:rPr>
                <w:rFonts w:ascii="Times New Roman" w:cs="Times New Roman"/>
                <w:sz w:val="21"/>
                <w:szCs w:val="21"/>
              </w:rPr>
            </w:pPr>
            <w:r>
              <w:rPr>
                <w:rFonts w:ascii="Times New Roman" w:hAnsi="宋体" w:cs="Times New Roman"/>
                <w:sz w:val="21"/>
                <w:szCs w:val="21"/>
              </w:rPr>
              <w:t>【】</w:t>
            </w:r>
          </w:p>
        </w:tc>
        <w:tc>
          <w:tcPr>
            <w:tcW w:w="590" w:type="pct"/>
            <w:shd w:val="clear" w:color="auto" w:fill="FFFFFF"/>
            <w:tcMar>
              <w:top w:w="0" w:type="dxa"/>
              <w:left w:w="108" w:type="dxa"/>
              <w:bottom w:w="0" w:type="dxa"/>
              <w:right w:w="108" w:type="dxa"/>
            </w:tcMar>
            <w:vAlign w:val="center"/>
          </w:tcPr>
          <w:p w14:paraId="0D3B27CC" w14:textId="77777777" w:rsidR="004B0883" w:rsidRDefault="004B0883">
            <w:pPr>
              <w:pStyle w:val="Default"/>
              <w:snapToGrid w:val="0"/>
              <w:jc w:val="center"/>
              <w:rPr>
                <w:rFonts w:ascii="Times New Roman" w:cs="Times New Roman"/>
                <w:sz w:val="21"/>
                <w:szCs w:val="21"/>
              </w:rPr>
            </w:pPr>
            <w:r>
              <w:rPr>
                <w:rFonts w:ascii="Times New Roman" w:hAnsi="宋体" w:cs="Times New Roman"/>
                <w:sz w:val="21"/>
                <w:szCs w:val="21"/>
              </w:rPr>
              <w:t>【】</w:t>
            </w:r>
          </w:p>
        </w:tc>
        <w:tc>
          <w:tcPr>
            <w:tcW w:w="2516" w:type="pct"/>
            <w:shd w:val="clear" w:color="auto" w:fill="FFFFFF"/>
            <w:tcMar>
              <w:top w:w="0" w:type="dxa"/>
              <w:left w:w="108" w:type="dxa"/>
              <w:bottom w:w="0" w:type="dxa"/>
              <w:right w:w="108" w:type="dxa"/>
            </w:tcMar>
            <w:vAlign w:val="center"/>
          </w:tcPr>
          <w:p w14:paraId="31727A54" w14:textId="77777777" w:rsidR="004B0883" w:rsidRDefault="004B0883">
            <w:pPr>
              <w:adjustRightInd w:val="0"/>
              <w:snapToGrid w:val="0"/>
            </w:pPr>
            <w:r>
              <w:rPr>
                <w:rFonts w:hAnsi="宋体"/>
              </w:rPr>
              <w:t>刊登《网上中签率及优先配售结果公告》；进行网上申购的摇号抽签</w:t>
            </w:r>
          </w:p>
        </w:tc>
        <w:tc>
          <w:tcPr>
            <w:tcW w:w="757" w:type="pct"/>
            <w:shd w:val="clear" w:color="auto" w:fill="FFFFFF"/>
            <w:tcMar>
              <w:top w:w="0" w:type="dxa"/>
              <w:left w:w="108" w:type="dxa"/>
              <w:bottom w:w="0" w:type="dxa"/>
              <w:right w:w="108" w:type="dxa"/>
            </w:tcMar>
            <w:vAlign w:val="center"/>
          </w:tcPr>
          <w:p w14:paraId="0FCBAB5B" w14:textId="77777777" w:rsidR="004B0883" w:rsidRDefault="004B0883">
            <w:pPr>
              <w:adjustRightInd w:val="0"/>
              <w:snapToGrid w:val="0"/>
              <w:jc w:val="center"/>
            </w:pPr>
            <w:r>
              <w:rPr>
                <w:rFonts w:hAnsi="宋体"/>
              </w:rPr>
              <w:t>正常交易</w:t>
            </w:r>
          </w:p>
        </w:tc>
      </w:tr>
      <w:tr w:rsidR="004B0883" w14:paraId="4354D47B" w14:textId="77777777">
        <w:trPr>
          <w:trHeight w:val="397"/>
          <w:jc w:val="center"/>
        </w:trPr>
        <w:tc>
          <w:tcPr>
            <w:tcW w:w="548" w:type="pct"/>
            <w:shd w:val="clear" w:color="auto" w:fill="FFFFFF"/>
            <w:tcMar>
              <w:top w:w="0" w:type="dxa"/>
              <w:left w:w="108" w:type="dxa"/>
              <w:bottom w:w="0" w:type="dxa"/>
              <w:right w:w="108" w:type="dxa"/>
            </w:tcMar>
            <w:vAlign w:val="center"/>
          </w:tcPr>
          <w:p w14:paraId="35C158E4" w14:textId="77777777" w:rsidR="004B0883" w:rsidRDefault="004B0883">
            <w:pPr>
              <w:adjustRightInd w:val="0"/>
              <w:snapToGrid w:val="0"/>
              <w:jc w:val="center"/>
            </w:pPr>
            <w:r>
              <w:t>T+2</w:t>
            </w:r>
            <w:r>
              <w:rPr>
                <w:rFonts w:hAnsi="宋体"/>
              </w:rPr>
              <w:t>日</w:t>
            </w:r>
          </w:p>
        </w:tc>
        <w:tc>
          <w:tcPr>
            <w:tcW w:w="590" w:type="pct"/>
            <w:shd w:val="clear" w:color="auto" w:fill="FFFFFF"/>
            <w:tcMar>
              <w:top w:w="0" w:type="dxa"/>
              <w:left w:w="108" w:type="dxa"/>
              <w:bottom w:w="0" w:type="dxa"/>
              <w:right w:w="108" w:type="dxa"/>
            </w:tcMar>
            <w:vAlign w:val="center"/>
          </w:tcPr>
          <w:p w14:paraId="557BF121" w14:textId="77777777" w:rsidR="004B0883" w:rsidRDefault="004B0883">
            <w:pPr>
              <w:pStyle w:val="Default"/>
              <w:snapToGrid w:val="0"/>
              <w:jc w:val="center"/>
              <w:rPr>
                <w:rFonts w:ascii="Times New Roman" w:cs="Times New Roman"/>
                <w:sz w:val="21"/>
                <w:szCs w:val="21"/>
              </w:rPr>
            </w:pPr>
            <w:r>
              <w:rPr>
                <w:rFonts w:ascii="Times New Roman" w:hAnsi="宋体" w:cs="Times New Roman"/>
                <w:sz w:val="21"/>
                <w:szCs w:val="21"/>
              </w:rPr>
              <w:t>【】</w:t>
            </w:r>
          </w:p>
        </w:tc>
        <w:tc>
          <w:tcPr>
            <w:tcW w:w="590" w:type="pct"/>
            <w:shd w:val="clear" w:color="auto" w:fill="FFFFFF"/>
            <w:tcMar>
              <w:top w:w="0" w:type="dxa"/>
              <w:left w:w="108" w:type="dxa"/>
              <w:bottom w:w="0" w:type="dxa"/>
              <w:right w:w="108" w:type="dxa"/>
            </w:tcMar>
            <w:vAlign w:val="center"/>
          </w:tcPr>
          <w:p w14:paraId="0EDE51B6" w14:textId="77777777" w:rsidR="004B0883" w:rsidRDefault="004B0883">
            <w:pPr>
              <w:pStyle w:val="Default"/>
              <w:snapToGrid w:val="0"/>
              <w:jc w:val="center"/>
              <w:rPr>
                <w:rFonts w:ascii="Times New Roman" w:cs="Times New Roman"/>
                <w:sz w:val="21"/>
                <w:szCs w:val="21"/>
              </w:rPr>
            </w:pPr>
            <w:r>
              <w:rPr>
                <w:rFonts w:ascii="Times New Roman" w:hAnsi="宋体" w:cs="Times New Roman"/>
                <w:sz w:val="21"/>
                <w:szCs w:val="21"/>
              </w:rPr>
              <w:t>【】</w:t>
            </w:r>
          </w:p>
        </w:tc>
        <w:tc>
          <w:tcPr>
            <w:tcW w:w="2516" w:type="pct"/>
            <w:shd w:val="clear" w:color="auto" w:fill="FFFFFF"/>
            <w:tcMar>
              <w:top w:w="0" w:type="dxa"/>
              <w:left w:w="108" w:type="dxa"/>
              <w:bottom w:w="0" w:type="dxa"/>
              <w:right w:w="108" w:type="dxa"/>
            </w:tcMar>
            <w:vAlign w:val="center"/>
          </w:tcPr>
          <w:p w14:paraId="01F17AFA" w14:textId="77777777" w:rsidR="004B0883" w:rsidRDefault="004B0883">
            <w:pPr>
              <w:adjustRightInd w:val="0"/>
              <w:snapToGrid w:val="0"/>
            </w:pPr>
            <w:r>
              <w:rPr>
                <w:rFonts w:hAnsi="宋体"/>
              </w:rPr>
              <w:t>刊登《网上中签结果公告》；网上中签缴款日</w:t>
            </w:r>
          </w:p>
        </w:tc>
        <w:tc>
          <w:tcPr>
            <w:tcW w:w="757" w:type="pct"/>
            <w:shd w:val="clear" w:color="auto" w:fill="FFFFFF"/>
            <w:tcMar>
              <w:top w:w="0" w:type="dxa"/>
              <w:left w:w="108" w:type="dxa"/>
              <w:bottom w:w="0" w:type="dxa"/>
              <w:right w:w="108" w:type="dxa"/>
            </w:tcMar>
            <w:vAlign w:val="center"/>
          </w:tcPr>
          <w:p w14:paraId="280783B7" w14:textId="77777777" w:rsidR="004B0883" w:rsidRDefault="004B0883">
            <w:pPr>
              <w:adjustRightInd w:val="0"/>
              <w:snapToGrid w:val="0"/>
              <w:jc w:val="center"/>
            </w:pPr>
            <w:r>
              <w:rPr>
                <w:rFonts w:hAnsi="宋体"/>
              </w:rPr>
              <w:t>正常交易</w:t>
            </w:r>
          </w:p>
        </w:tc>
      </w:tr>
      <w:tr w:rsidR="004B0883" w14:paraId="1D9AEF4F" w14:textId="77777777">
        <w:trPr>
          <w:trHeight w:val="397"/>
          <w:jc w:val="center"/>
        </w:trPr>
        <w:tc>
          <w:tcPr>
            <w:tcW w:w="548" w:type="pct"/>
            <w:shd w:val="clear" w:color="auto" w:fill="FFFFFF"/>
            <w:tcMar>
              <w:top w:w="0" w:type="dxa"/>
              <w:left w:w="108" w:type="dxa"/>
              <w:bottom w:w="0" w:type="dxa"/>
              <w:right w:w="108" w:type="dxa"/>
            </w:tcMar>
            <w:vAlign w:val="center"/>
          </w:tcPr>
          <w:p w14:paraId="28684ABA" w14:textId="77777777" w:rsidR="004B0883" w:rsidRDefault="004B0883">
            <w:pPr>
              <w:adjustRightInd w:val="0"/>
              <w:snapToGrid w:val="0"/>
              <w:jc w:val="center"/>
            </w:pPr>
            <w:r>
              <w:t>T+3</w:t>
            </w:r>
            <w:r>
              <w:rPr>
                <w:rFonts w:hAnsi="宋体"/>
              </w:rPr>
              <w:t>日</w:t>
            </w:r>
          </w:p>
        </w:tc>
        <w:tc>
          <w:tcPr>
            <w:tcW w:w="590" w:type="pct"/>
            <w:shd w:val="clear" w:color="auto" w:fill="FFFFFF"/>
            <w:tcMar>
              <w:top w:w="0" w:type="dxa"/>
              <w:left w:w="108" w:type="dxa"/>
              <w:bottom w:w="0" w:type="dxa"/>
              <w:right w:w="108" w:type="dxa"/>
            </w:tcMar>
            <w:vAlign w:val="center"/>
          </w:tcPr>
          <w:p w14:paraId="44078575" w14:textId="77777777" w:rsidR="004B0883" w:rsidRDefault="004B0883">
            <w:pPr>
              <w:pStyle w:val="Default"/>
              <w:snapToGrid w:val="0"/>
              <w:jc w:val="center"/>
              <w:rPr>
                <w:rFonts w:ascii="Times New Roman" w:cs="Times New Roman"/>
                <w:sz w:val="21"/>
                <w:szCs w:val="21"/>
              </w:rPr>
            </w:pPr>
            <w:r>
              <w:rPr>
                <w:rFonts w:ascii="Times New Roman" w:hAnsi="宋体" w:cs="Times New Roman"/>
                <w:sz w:val="21"/>
                <w:szCs w:val="21"/>
              </w:rPr>
              <w:t>【】</w:t>
            </w:r>
          </w:p>
        </w:tc>
        <w:tc>
          <w:tcPr>
            <w:tcW w:w="590" w:type="pct"/>
            <w:shd w:val="clear" w:color="auto" w:fill="FFFFFF"/>
            <w:tcMar>
              <w:top w:w="0" w:type="dxa"/>
              <w:left w:w="108" w:type="dxa"/>
              <w:bottom w:w="0" w:type="dxa"/>
              <w:right w:w="108" w:type="dxa"/>
            </w:tcMar>
            <w:vAlign w:val="center"/>
          </w:tcPr>
          <w:p w14:paraId="6F97A2B5" w14:textId="77777777" w:rsidR="004B0883" w:rsidRDefault="004B0883">
            <w:pPr>
              <w:pStyle w:val="Default"/>
              <w:snapToGrid w:val="0"/>
              <w:jc w:val="center"/>
              <w:rPr>
                <w:rFonts w:ascii="Times New Roman" w:cs="Times New Roman"/>
                <w:sz w:val="21"/>
                <w:szCs w:val="21"/>
              </w:rPr>
            </w:pPr>
            <w:r>
              <w:rPr>
                <w:rFonts w:ascii="Times New Roman" w:hAnsi="宋体" w:cs="Times New Roman"/>
                <w:sz w:val="21"/>
                <w:szCs w:val="21"/>
              </w:rPr>
              <w:t>【】</w:t>
            </w:r>
          </w:p>
        </w:tc>
        <w:tc>
          <w:tcPr>
            <w:tcW w:w="2516" w:type="pct"/>
            <w:shd w:val="clear" w:color="auto" w:fill="FFFFFF"/>
            <w:tcMar>
              <w:top w:w="0" w:type="dxa"/>
              <w:left w:w="108" w:type="dxa"/>
              <w:bottom w:w="0" w:type="dxa"/>
              <w:right w:w="108" w:type="dxa"/>
            </w:tcMar>
            <w:vAlign w:val="center"/>
          </w:tcPr>
          <w:p w14:paraId="2749E55A" w14:textId="77777777" w:rsidR="004B0883" w:rsidRDefault="004B0883">
            <w:pPr>
              <w:adjustRightInd w:val="0"/>
              <w:snapToGrid w:val="0"/>
            </w:pPr>
            <w:r>
              <w:rPr>
                <w:rFonts w:hAnsi="宋体"/>
              </w:rPr>
              <w:t>保荐机构（主承销商）根据网上资金到账情况确定最终配售结果和包销金额</w:t>
            </w:r>
          </w:p>
        </w:tc>
        <w:tc>
          <w:tcPr>
            <w:tcW w:w="757" w:type="pct"/>
            <w:shd w:val="clear" w:color="auto" w:fill="FFFFFF"/>
            <w:tcMar>
              <w:top w:w="0" w:type="dxa"/>
              <w:left w:w="108" w:type="dxa"/>
              <w:bottom w:w="0" w:type="dxa"/>
              <w:right w:w="108" w:type="dxa"/>
            </w:tcMar>
            <w:vAlign w:val="center"/>
          </w:tcPr>
          <w:p w14:paraId="58F0813D" w14:textId="77777777" w:rsidR="004B0883" w:rsidRDefault="004B0883">
            <w:pPr>
              <w:adjustRightInd w:val="0"/>
              <w:snapToGrid w:val="0"/>
              <w:jc w:val="center"/>
            </w:pPr>
            <w:r>
              <w:rPr>
                <w:rFonts w:hAnsi="宋体"/>
              </w:rPr>
              <w:t>正常交易</w:t>
            </w:r>
          </w:p>
        </w:tc>
      </w:tr>
      <w:tr w:rsidR="004B0883" w14:paraId="73D9D52D" w14:textId="77777777">
        <w:trPr>
          <w:trHeight w:val="397"/>
          <w:jc w:val="center"/>
        </w:trPr>
        <w:tc>
          <w:tcPr>
            <w:tcW w:w="548" w:type="pct"/>
            <w:shd w:val="clear" w:color="auto" w:fill="FFFFFF"/>
            <w:tcMar>
              <w:top w:w="0" w:type="dxa"/>
              <w:left w:w="108" w:type="dxa"/>
              <w:bottom w:w="0" w:type="dxa"/>
              <w:right w:w="108" w:type="dxa"/>
            </w:tcMar>
            <w:vAlign w:val="center"/>
          </w:tcPr>
          <w:p w14:paraId="5BDB5DA0" w14:textId="77777777" w:rsidR="004B0883" w:rsidRDefault="004B0883">
            <w:pPr>
              <w:adjustRightInd w:val="0"/>
              <w:snapToGrid w:val="0"/>
              <w:jc w:val="center"/>
            </w:pPr>
            <w:r>
              <w:t>T+4</w:t>
            </w:r>
            <w:r>
              <w:rPr>
                <w:rFonts w:hAnsi="宋体"/>
              </w:rPr>
              <w:t>日</w:t>
            </w:r>
          </w:p>
        </w:tc>
        <w:tc>
          <w:tcPr>
            <w:tcW w:w="590" w:type="pct"/>
            <w:shd w:val="clear" w:color="auto" w:fill="FFFFFF"/>
            <w:tcMar>
              <w:top w:w="0" w:type="dxa"/>
              <w:left w:w="108" w:type="dxa"/>
              <w:bottom w:w="0" w:type="dxa"/>
              <w:right w:w="108" w:type="dxa"/>
            </w:tcMar>
            <w:vAlign w:val="center"/>
          </w:tcPr>
          <w:p w14:paraId="09A3983F" w14:textId="77777777" w:rsidR="004B0883" w:rsidRDefault="004B0883">
            <w:pPr>
              <w:pStyle w:val="Default"/>
              <w:snapToGrid w:val="0"/>
              <w:jc w:val="center"/>
              <w:rPr>
                <w:rFonts w:ascii="Times New Roman" w:cs="Times New Roman"/>
                <w:sz w:val="21"/>
                <w:szCs w:val="21"/>
              </w:rPr>
            </w:pPr>
            <w:r>
              <w:rPr>
                <w:rFonts w:ascii="Times New Roman" w:hAnsi="宋体" w:cs="Times New Roman"/>
                <w:sz w:val="21"/>
                <w:szCs w:val="21"/>
              </w:rPr>
              <w:t>【】</w:t>
            </w:r>
          </w:p>
        </w:tc>
        <w:tc>
          <w:tcPr>
            <w:tcW w:w="590" w:type="pct"/>
            <w:shd w:val="clear" w:color="auto" w:fill="FFFFFF"/>
            <w:tcMar>
              <w:top w:w="0" w:type="dxa"/>
              <w:left w:w="108" w:type="dxa"/>
              <w:bottom w:w="0" w:type="dxa"/>
              <w:right w:w="108" w:type="dxa"/>
            </w:tcMar>
            <w:vAlign w:val="center"/>
          </w:tcPr>
          <w:p w14:paraId="6414698C" w14:textId="77777777" w:rsidR="004B0883" w:rsidRDefault="004B0883">
            <w:pPr>
              <w:pStyle w:val="Default"/>
              <w:snapToGrid w:val="0"/>
              <w:jc w:val="center"/>
              <w:rPr>
                <w:rFonts w:ascii="Times New Roman" w:cs="Times New Roman"/>
                <w:sz w:val="21"/>
                <w:szCs w:val="21"/>
              </w:rPr>
            </w:pPr>
            <w:r>
              <w:rPr>
                <w:rFonts w:ascii="Times New Roman" w:hAnsi="宋体" w:cs="Times New Roman"/>
                <w:sz w:val="21"/>
                <w:szCs w:val="21"/>
              </w:rPr>
              <w:t>【】</w:t>
            </w:r>
          </w:p>
        </w:tc>
        <w:tc>
          <w:tcPr>
            <w:tcW w:w="2516" w:type="pct"/>
            <w:shd w:val="clear" w:color="auto" w:fill="FFFFFF"/>
            <w:tcMar>
              <w:top w:w="0" w:type="dxa"/>
              <w:left w:w="108" w:type="dxa"/>
              <w:bottom w:w="0" w:type="dxa"/>
              <w:right w:w="108" w:type="dxa"/>
            </w:tcMar>
            <w:vAlign w:val="center"/>
          </w:tcPr>
          <w:p w14:paraId="7E2216B1" w14:textId="77777777" w:rsidR="004B0883" w:rsidRDefault="004B0883">
            <w:pPr>
              <w:adjustRightInd w:val="0"/>
              <w:snapToGrid w:val="0"/>
            </w:pPr>
            <w:r>
              <w:rPr>
                <w:rFonts w:hAnsi="宋体"/>
              </w:rPr>
              <w:t>刊登《发行结果公告》</w:t>
            </w:r>
          </w:p>
        </w:tc>
        <w:tc>
          <w:tcPr>
            <w:tcW w:w="757" w:type="pct"/>
            <w:shd w:val="clear" w:color="auto" w:fill="FFFFFF"/>
            <w:tcMar>
              <w:top w:w="0" w:type="dxa"/>
              <w:left w:w="108" w:type="dxa"/>
              <w:bottom w:w="0" w:type="dxa"/>
              <w:right w:w="108" w:type="dxa"/>
            </w:tcMar>
            <w:vAlign w:val="center"/>
          </w:tcPr>
          <w:p w14:paraId="7CCD87A6" w14:textId="77777777" w:rsidR="004B0883" w:rsidRDefault="004B0883">
            <w:pPr>
              <w:adjustRightInd w:val="0"/>
              <w:snapToGrid w:val="0"/>
              <w:jc w:val="center"/>
            </w:pPr>
            <w:r>
              <w:rPr>
                <w:rFonts w:hAnsi="宋体"/>
              </w:rPr>
              <w:t>正常交易</w:t>
            </w:r>
          </w:p>
        </w:tc>
      </w:tr>
    </w:tbl>
    <w:p w14:paraId="06D41284" w14:textId="77777777" w:rsidR="004B0883" w:rsidRDefault="004B0883">
      <w:pPr>
        <w:pStyle w:val="005"/>
        <w:spacing w:before="120"/>
        <w:ind w:firstLine="480"/>
        <w:rPr>
          <w:rFonts w:hint="eastAsia"/>
        </w:rPr>
      </w:pPr>
      <w:r>
        <w:rPr>
          <w:rFonts w:hint="eastAsia"/>
        </w:rPr>
        <w:t>上述日期为交易日。如相关监管部门要求对上述日程安排进行调整或遇重大突发事件影响发行，主承销商将及时公告，修改发行日程。</w:t>
      </w:r>
    </w:p>
    <w:p w14:paraId="10D70C7A" w14:textId="77777777" w:rsidR="004B0883" w:rsidRDefault="004B0883">
      <w:pPr>
        <w:pStyle w:val="002"/>
        <w:spacing w:before="120" w:after="120"/>
        <w:rPr>
          <w:rFonts w:hint="eastAsia"/>
        </w:rPr>
      </w:pPr>
      <w:bookmarkStart w:id="98" w:name="_Toc152320781"/>
      <w:bookmarkStart w:id="99" w:name="_Toc42001316"/>
      <w:bookmarkStart w:id="100" w:name="_Toc523129015"/>
      <w:r>
        <w:rPr>
          <w:rFonts w:hint="eastAsia"/>
        </w:rPr>
        <w:t>六、本次发行证券的上市流通</w:t>
      </w:r>
      <w:bookmarkEnd w:id="98"/>
      <w:bookmarkEnd w:id="99"/>
      <w:bookmarkEnd w:id="100"/>
    </w:p>
    <w:p w14:paraId="2506527A" w14:textId="77777777" w:rsidR="004B0883" w:rsidRDefault="004B0883">
      <w:pPr>
        <w:pStyle w:val="005"/>
        <w:spacing w:before="120"/>
        <w:ind w:firstLine="480"/>
        <w:rPr>
          <w:rFonts w:hint="eastAsia"/>
        </w:rPr>
      </w:pPr>
      <w:r>
        <w:rPr>
          <w:rFonts w:hint="eastAsia"/>
        </w:rPr>
        <w:t>本次发行结束后，所有投资者均无持有期限制，公司将尽快申请可转换公司债券在深圳证券交易所挂牌上市交易。</w:t>
      </w:r>
    </w:p>
    <w:p w14:paraId="7E96E7F6" w14:textId="77777777" w:rsidR="004B0883" w:rsidRDefault="004B0883">
      <w:pPr>
        <w:pStyle w:val="002"/>
        <w:spacing w:before="120" w:after="120"/>
        <w:rPr>
          <w:rFonts w:hint="eastAsia"/>
        </w:rPr>
      </w:pPr>
      <w:bookmarkStart w:id="101" w:name="_Toc523129016"/>
      <w:bookmarkStart w:id="102" w:name="_Toc152320782"/>
      <w:bookmarkStart w:id="103" w:name="_Toc42001317"/>
      <w:r>
        <w:rPr>
          <w:rFonts w:hint="eastAsia"/>
        </w:rPr>
        <w:t>七、本次发行的有关机构</w:t>
      </w:r>
      <w:bookmarkEnd w:id="101"/>
      <w:bookmarkEnd w:id="102"/>
      <w:bookmarkEnd w:id="103"/>
    </w:p>
    <w:p w14:paraId="7E4DB9CE" w14:textId="77777777" w:rsidR="004B0883" w:rsidRDefault="004B0883">
      <w:pPr>
        <w:pStyle w:val="003"/>
        <w:spacing w:before="120" w:after="120"/>
        <w:rPr>
          <w:rFonts w:hint="eastAsia"/>
        </w:rPr>
      </w:pPr>
      <w:r>
        <w:rPr>
          <w:rFonts w:hint="eastAsia"/>
        </w:rPr>
        <w:t>（一）发行人：青岛伟隆阀门股份有限公司</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ook w:val="0000" w:firstRow="0" w:lastRow="0" w:firstColumn="0" w:lastColumn="0" w:noHBand="0" w:noVBand="0"/>
      </w:tblPr>
      <w:tblGrid>
        <w:gridCol w:w="3836"/>
        <w:gridCol w:w="4446"/>
      </w:tblGrid>
      <w:tr w:rsidR="004B0883" w14:paraId="0D90322A" w14:textId="77777777">
        <w:trPr>
          <w:trHeight w:val="397"/>
          <w:jc w:val="center"/>
        </w:trPr>
        <w:tc>
          <w:tcPr>
            <w:tcW w:w="2316" w:type="pct"/>
            <w:shd w:val="clear" w:color="auto" w:fill="D9D9D9"/>
            <w:tcMar>
              <w:top w:w="0" w:type="dxa"/>
              <w:left w:w="108" w:type="dxa"/>
              <w:bottom w:w="0" w:type="dxa"/>
              <w:right w:w="108" w:type="dxa"/>
            </w:tcMar>
            <w:vAlign w:val="center"/>
          </w:tcPr>
          <w:p w14:paraId="06DE1457" w14:textId="77777777" w:rsidR="004B0883" w:rsidRDefault="004B0883">
            <w:pPr>
              <w:pStyle w:val="Default"/>
              <w:snapToGrid w:val="0"/>
              <w:jc w:val="center"/>
              <w:rPr>
                <w:rFonts w:ascii="Times New Roman" w:hAnsi="宋体" w:cs="Times New Roman"/>
                <w:b/>
                <w:bCs/>
                <w:sz w:val="21"/>
                <w:szCs w:val="21"/>
              </w:rPr>
            </w:pPr>
            <w:r>
              <w:rPr>
                <w:rFonts w:ascii="Times New Roman" w:hAnsi="宋体" w:cs="Times New Roman"/>
                <w:b/>
                <w:bCs/>
                <w:sz w:val="21"/>
                <w:szCs w:val="21"/>
              </w:rPr>
              <w:t>法定代表人</w:t>
            </w:r>
          </w:p>
        </w:tc>
        <w:tc>
          <w:tcPr>
            <w:tcW w:w="2684" w:type="pct"/>
            <w:shd w:val="clear" w:color="auto" w:fill="FFFFFF"/>
            <w:tcMar>
              <w:top w:w="0" w:type="dxa"/>
              <w:left w:w="108" w:type="dxa"/>
              <w:bottom w:w="0" w:type="dxa"/>
              <w:right w:w="108" w:type="dxa"/>
            </w:tcMar>
            <w:vAlign w:val="center"/>
          </w:tcPr>
          <w:p w14:paraId="10BF14DE" w14:textId="77777777" w:rsidR="004B0883" w:rsidRDefault="004B0883">
            <w:pPr>
              <w:adjustRightInd w:val="0"/>
              <w:snapToGrid w:val="0"/>
              <w:jc w:val="center"/>
              <w:rPr>
                <w:rFonts w:hint="eastAsia"/>
              </w:rPr>
            </w:pPr>
            <w:r>
              <w:rPr>
                <w:rFonts w:hint="eastAsia"/>
              </w:rPr>
              <w:t>范庆伟</w:t>
            </w:r>
          </w:p>
        </w:tc>
      </w:tr>
      <w:tr w:rsidR="004B0883" w14:paraId="20B1BD42" w14:textId="77777777">
        <w:trPr>
          <w:trHeight w:val="397"/>
          <w:jc w:val="center"/>
        </w:trPr>
        <w:tc>
          <w:tcPr>
            <w:tcW w:w="2316" w:type="pct"/>
            <w:shd w:val="clear" w:color="auto" w:fill="D9D9D9"/>
            <w:tcMar>
              <w:top w:w="0" w:type="dxa"/>
              <w:left w:w="108" w:type="dxa"/>
              <w:bottom w:w="0" w:type="dxa"/>
              <w:right w:w="108" w:type="dxa"/>
            </w:tcMar>
            <w:vAlign w:val="center"/>
          </w:tcPr>
          <w:p w14:paraId="6FE11A7F" w14:textId="77777777" w:rsidR="004B0883" w:rsidRDefault="004B0883">
            <w:pPr>
              <w:pStyle w:val="Default"/>
              <w:snapToGrid w:val="0"/>
              <w:jc w:val="center"/>
              <w:rPr>
                <w:rFonts w:ascii="Times New Roman" w:hAnsi="宋体" w:cs="Times New Roman"/>
                <w:b/>
                <w:bCs/>
                <w:sz w:val="21"/>
                <w:szCs w:val="21"/>
              </w:rPr>
            </w:pPr>
            <w:r>
              <w:rPr>
                <w:rFonts w:ascii="Times New Roman" w:hAnsi="宋体" w:cs="Times New Roman"/>
                <w:b/>
                <w:bCs/>
                <w:sz w:val="21"/>
                <w:szCs w:val="21"/>
              </w:rPr>
              <w:t>办公地址</w:t>
            </w:r>
          </w:p>
        </w:tc>
        <w:tc>
          <w:tcPr>
            <w:tcW w:w="2684" w:type="pct"/>
            <w:shd w:val="clear" w:color="auto" w:fill="FFFFFF"/>
            <w:tcMar>
              <w:top w:w="0" w:type="dxa"/>
              <w:left w:w="108" w:type="dxa"/>
              <w:bottom w:w="0" w:type="dxa"/>
              <w:right w:w="108" w:type="dxa"/>
            </w:tcMar>
            <w:vAlign w:val="center"/>
          </w:tcPr>
          <w:p w14:paraId="29C25E8B" w14:textId="77777777" w:rsidR="004B0883" w:rsidRDefault="004B0883">
            <w:pPr>
              <w:adjustRightInd w:val="0"/>
              <w:snapToGrid w:val="0"/>
              <w:jc w:val="center"/>
            </w:pPr>
            <w:r>
              <w:rPr>
                <w:rFonts w:hAnsi="宋体" w:hint="eastAsia"/>
              </w:rPr>
              <w:t>山东省青岛市高新区春阳路</w:t>
            </w:r>
            <w:r>
              <w:rPr>
                <w:rFonts w:hAnsi="宋体" w:hint="eastAsia"/>
              </w:rPr>
              <w:t>789</w:t>
            </w:r>
            <w:r>
              <w:rPr>
                <w:rFonts w:hAnsi="宋体" w:hint="eastAsia"/>
              </w:rPr>
              <w:t>号</w:t>
            </w:r>
          </w:p>
        </w:tc>
      </w:tr>
      <w:tr w:rsidR="004B0883" w14:paraId="7A9B12D3" w14:textId="77777777">
        <w:trPr>
          <w:trHeight w:val="397"/>
          <w:jc w:val="center"/>
        </w:trPr>
        <w:tc>
          <w:tcPr>
            <w:tcW w:w="2316" w:type="pct"/>
            <w:shd w:val="clear" w:color="auto" w:fill="D9D9D9"/>
            <w:tcMar>
              <w:top w:w="0" w:type="dxa"/>
              <w:left w:w="108" w:type="dxa"/>
              <w:bottom w:w="0" w:type="dxa"/>
              <w:right w:w="108" w:type="dxa"/>
            </w:tcMar>
            <w:vAlign w:val="center"/>
          </w:tcPr>
          <w:p w14:paraId="5DB660BF" w14:textId="77777777" w:rsidR="004B0883" w:rsidRDefault="004B0883">
            <w:pPr>
              <w:pStyle w:val="Default"/>
              <w:snapToGrid w:val="0"/>
              <w:jc w:val="center"/>
              <w:rPr>
                <w:rFonts w:ascii="Times New Roman" w:hAnsi="宋体" w:cs="Times New Roman"/>
                <w:b/>
                <w:bCs/>
                <w:sz w:val="21"/>
                <w:szCs w:val="21"/>
              </w:rPr>
            </w:pPr>
            <w:r>
              <w:rPr>
                <w:rFonts w:ascii="Times New Roman" w:hAnsi="宋体" w:cs="Times New Roman"/>
                <w:b/>
                <w:bCs/>
                <w:sz w:val="21"/>
                <w:szCs w:val="21"/>
              </w:rPr>
              <w:t>联系人</w:t>
            </w:r>
          </w:p>
        </w:tc>
        <w:tc>
          <w:tcPr>
            <w:tcW w:w="2684" w:type="pct"/>
            <w:shd w:val="clear" w:color="auto" w:fill="FFFFFF"/>
            <w:tcMar>
              <w:top w:w="0" w:type="dxa"/>
              <w:left w:w="108" w:type="dxa"/>
              <w:bottom w:w="0" w:type="dxa"/>
              <w:right w:w="108" w:type="dxa"/>
            </w:tcMar>
            <w:vAlign w:val="center"/>
          </w:tcPr>
          <w:p w14:paraId="38AA5C13" w14:textId="77777777" w:rsidR="004B0883" w:rsidRDefault="004B0883">
            <w:pPr>
              <w:pStyle w:val="Default"/>
              <w:snapToGrid w:val="0"/>
              <w:jc w:val="center"/>
              <w:rPr>
                <w:rFonts w:ascii="Times New Roman" w:cs="Times New Roman"/>
                <w:color w:val="auto"/>
                <w:sz w:val="21"/>
                <w:szCs w:val="21"/>
              </w:rPr>
            </w:pPr>
            <w:r>
              <w:rPr>
                <w:rFonts w:ascii="Times New Roman" w:cs="Times New Roman" w:hint="eastAsia"/>
                <w:color w:val="auto"/>
                <w:sz w:val="21"/>
                <w:szCs w:val="21"/>
              </w:rPr>
              <w:t>赵翔</w:t>
            </w:r>
          </w:p>
        </w:tc>
      </w:tr>
      <w:tr w:rsidR="004B0883" w14:paraId="1D7054F2" w14:textId="77777777">
        <w:trPr>
          <w:trHeight w:val="397"/>
          <w:jc w:val="center"/>
        </w:trPr>
        <w:tc>
          <w:tcPr>
            <w:tcW w:w="2316" w:type="pct"/>
            <w:shd w:val="clear" w:color="auto" w:fill="D9D9D9"/>
            <w:tcMar>
              <w:top w:w="0" w:type="dxa"/>
              <w:left w:w="108" w:type="dxa"/>
              <w:bottom w:w="0" w:type="dxa"/>
              <w:right w:w="108" w:type="dxa"/>
            </w:tcMar>
            <w:vAlign w:val="center"/>
          </w:tcPr>
          <w:p w14:paraId="2A2E2542" w14:textId="77777777" w:rsidR="004B0883" w:rsidRDefault="004B0883">
            <w:pPr>
              <w:pStyle w:val="Default"/>
              <w:snapToGrid w:val="0"/>
              <w:jc w:val="center"/>
              <w:rPr>
                <w:rFonts w:ascii="Times New Roman" w:hAnsi="宋体" w:cs="Times New Roman"/>
                <w:b/>
                <w:bCs/>
                <w:sz w:val="21"/>
                <w:szCs w:val="21"/>
              </w:rPr>
            </w:pPr>
            <w:r>
              <w:rPr>
                <w:rFonts w:ascii="Times New Roman" w:hAnsi="宋体" w:cs="Times New Roman"/>
                <w:b/>
                <w:bCs/>
                <w:sz w:val="21"/>
                <w:szCs w:val="21"/>
              </w:rPr>
              <w:t>电话</w:t>
            </w:r>
          </w:p>
        </w:tc>
        <w:tc>
          <w:tcPr>
            <w:tcW w:w="2684" w:type="pct"/>
            <w:shd w:val="clear" w:color="auto" w:fill="FFFFFF"/>
            <w:tcMar>
              <w:top w:w="0" w:type="dxa"/>
              <w:left w:w="108" w:type="dxa"/>
              <w:bottom w:w="0" w:type="dxa"/>
              <w:right w:w="108" w:type="dxa"/>
            </w:tcMar>
            <w:vAlign w:val="center"/>
          </w:tcPr>
          <w:p w14:paraId="47583183" w14:textId="77777777" w:rsidR="004B0883" w:rsidRDefault="004B0883">
            <w:pPr>
              <w:adjustRightInd w:val="0"/>
              <w:snapToGrid w:val="0"/>
              <w:jc w:val="center"/>
            </w:pPr>
            <w:r>
              <w:t>0532-8790 1466</w:t>
            </w:r>
          </w:p>
        </w:tc>
      </w:tr>
      <w:tr w:rsidR="004B0883" w14:paraId="2366E79D" w14:textId="77777777">
        <w:trPr>
          <w:trHeight w:val="397"/>
          <w:jc w:val="center"/>
        </w:trPr>
        <w:tc>
          <w:tcPr>
            <w:tcW w:w="2316" w:type="pct"/>
            <w:shd w:val="clear" w:color="auto" w:fill="D9D9D9"/>
            <w:tcMar>
              <w:top w:w="0" w:type="dxa"/>
              <w:left w:w="108" w:type="dxa"/>
              <w:bottom w:w="0" w:type="dxa"/>
              <w:right w:w="108" w:type="dxa"/>
            </w:tcMar>
            <w:vAlign w:val="center"/>
          </w:tcPr>
          <w:p w14:paraId="79778008" w14:textId="77777777" w:rsidR="004B0883" w:rsidRDefault="004B0883">
            <w:pPr>
              <w:pStyle w:val="Default"/>
              <w:snapToGrid w:val="0"/>
              <w:jc w:val="center"/>
              <w:rPr>
                <w:rFonts w:ascii="Times New Roman" w:hAnsi="宋体" w:cs="Times New Roman"/>
                <w:b/>
                <w:bCs/>
                <w:sz w:val="21"/>
                <w:szCs w:val="21"/>
              </w:rPr>
            </w:pPr>
            <w:r>
              <w:rPr>
                <w:rFonts w:ascii="Times New Roman" w:hAnsi="宋体" w:cs="Times New Roman"/>
                <w:b/>
                <w:bCs/>
                <w:sz w:val="21"/>
                <w:szCs w:val="21"/>
              </w:rPr>
              <w:t>传真</w:t>
            </w:r>
          </w:p>
        </w:tc>
        <w:tc>
          <w:tcPr>
            <w:tcW w:w="2684" w:type="pct"/>
            <w:shd w:val="clear" w:color="auto" w:fill="FFFFFF"/>
            <w:tcMar>
              <w:top w:w="0" w:type="dxa"/>
              <w:left w:w="108" w:type="dxa"/>
              <w:bottom w:w="0" w:type="dxa"/>
              <w:right w:w="108" w:type="dxa"/>
            </w:tcMar>
            <w:vAlign w:val="center"/>
          </w:tcPr>
          <w:p w14:paraId="7877B4FB" w14:textId="77777777" w:rsidR="004B0883" w:rsidRDefault="004B0883">
            <w:pPr>
              <w:adjustRightInd w:val="0"/>
              <w:snapToGrid w:val="0"/>
              <w:jc w:val="center"/>
            </w:pPr>
            <w:r>
              <w:t>0532-8790 1466</w:t>
            </w:r>
          </w:p>
        </w:tc>
      </w:tr>
    </w:tbl>
    <w:p w14:paraId="3DD03133" w14:textId="77777777" w:rsidR="004B0883" w:rsidRDefault="004B0883">
      <w:pPr>
        <w:pStyle w:val="003"/>
        <w:spacing w:before="120" w:after="120"/>
        <w:rPr>
          <w:rFonts w:hint="eastAsia"/>
        </w:rPr>
      </w:pPr>
      <w:r>
        <w:rPr>
          <w:rFonts w:hint="eastAsia"/>
        </w:rPr>
        <w:t>（二）保荐机构（主承销商）：中信证券股份有限公司</w:t>
      </w:r>
    </w:p>
    <w:tbl>
      <w:tblPr>
        <w:tblW w:w="4995"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819"/>
        <w:gridCol w:w="4455"/>
      </w:tblGrid>
      <w:tr w:rsidR="004B0883" w14:paraId="3A062EDE" w14:textId="77777777">
        <w:trPr>
          <w:trHeight w:val="397"/>
          <w:jc w:val="center"/>
        </w:trPr>
        <w:tc>
          <w:tcPr>
            <w:tcW w:w="2308" w:type="pct"/>
            <w:shd w:val="clear" w:color="auto" w:fill="D9D9D9"/>
            <w:tcMar>
              <w:top w:w="0" w:type="dxa"/>
              <w:left w:w="108" w:type="dxa"/>
              <w:bottom w:w="0" w:type="dxa"/>
              <w:right w:w="108" w:type="dxa"/>
            </w:tcMar>
            <w:vAlign w:val="center"/>
          </w:tcPr>
          <w:p w14:paraId="76FC5015" w14:textId="77777777" w:rsidR="004B0883" w:rsidRDefault="004B0883">
            <w:pPr>
              <w:pStyle w:val="Default"/>
              <w:snapToGrid w:val="0"/>
              <w:jc w:val="center"/>
              <w:rPr>
                <w:rFonts w:ascii="Times New Roman" w:cs="Times New Roman"/>
                <w:b/>
                <w:bCs/>
                <w:sz w:val="21"/>
                <w:szCs w:val="21"/>
              </w:rPr>
            </w:pPr>
            <w:r>
              <w:rPr>
                <w:rFonts w:ascii="Times New Roman" w:hAnsi="宋体" w:cs="Times New Roman"/>
                <w:b/>
                <w:bCs/>
                <w:sz w:val="21"/>
                <w:szCs w:val="21"/>
              </w:rPr>
              <w:t>法定代表人</w:t>
            </w:r>
          </w:p>
        </w:tc>
        <w:tc>
          <w:tcPr>
            <w:tcW w:w="2692" w:type="pct"/>
            <w:shd w:val="clear" w:color="auto" w:fill="FFFFFF"/>
            <w:tcMar>
              <w:top w:w="0" w:type="dxa"/>
              <w:left w:w="108" w:type="dxa"/>
              <w:bottom w:w="0" w:type="dxa"/>
              <w:right w:w="108" w:type="dxa"/>
            </w:tcMar>
            <w:vAlign w:val="center"/>
          </w:tcPr>
          <w:p w14:paraId="48993EAC" w14:textId="77777777" w:rsidR="004B0883" w:rsidRDefault="004B0883">
            <w:pPr>
              <w:pStyle w:val="Default"/>
              <w:snapToGrid w:val="0"/>
              <w:jc w:val="center"/>
              <w:rPr>
                <w:rFonts w:ascii="Times New Roman" w:cs="Times New Roman"/>
                <w:sz w:val="21"/>
                <w:szCs w:val="21"/>
              </w:rPr>
            </w:pPr>
            <w:r>
              <w:rPr>
                <w:rFonts w:ascii="Times New Roman" w:hAnsi="宋体" w:cs="Times New Roman"/>
                <w:sz w:val="21"/>
                <w:szCs w:val="21"/>
              </w:rPr>
              <w:t>张佑君</w:t>
            </w:r>
          </w:p>
        </w:tc>
      </w:tr>
      <w:tr w:rsidR="004B0883" w14:paraId="38A18A56" w14:textId="77777777">
        <w:trPr>
          <w:trHeight w:val="397"/>
          <w:jc w:val="center"/>
        </w:trPr>
        <w:tc>
          <w:tcPr>
            <w:tcW w:w="2308" w:type="pct"/>
            <w:shd w:val="clear" w:color="auto" w:fill="D9D9D9"/>
            <w:tcMar>
              <w:top w:w="0" w:type="dxa"/>
              <w:left w:w="108" w:type="dxa"/>
              <w:bottom w:w="0" w:type="dxa"/>
              <w:right w:w="108" w:type="dxa"/>
            </w:tcMar>
            <w:vAlign w:val="center"/>
          </w:tcPr>
          <w:p w14:paraId="1A40C115" w14:textId="77777777" w:rsidR="004B0883" w:rsidRDefault="004B0883">
            <w:pPr>
              <w:pStyle w:val="Default"/>
              <w:snapToGrid w:val="0"/>
              <w:jc w:val="center"/>
              <w:rPr>
                <w:rFonts w:ascii="Times New Roman" w:cs="Times New Roman"/>
                <w:b/>
                <w:bCs/>
                <w:sz w:val="21"/>
                <w:szCs w:val="21"/>
              </w:rPr>
            </w:pPr>
            <w:r>
              <w:rPr>
                <w:rFonts w:ascii="Times New Roman" w:hAnsi="宋体" w:cs="Times New Roman"/>
                <w:b/>
                <w:bCs/>
                <w:sz w:val="21"/>
                <w:szCs w:val="21"/>
              </w:rPr>
              <w:t>办公地址</w:t>
            </w:r>
          </w:p>
        </w:tc>
        <w:tc>
          <w:tcPr>
            <w:tcW w:w="2692" w:type="pct"/>
            <w:shd w:val="clear" w:color="auto" w:fill="FFFFFF"/>
            <w:tcMar>
              <w:top w:w="0" w:type="dxa"/>
              <w:left w:w="108" w:type="dxa"/>
              <w:bottom w:w="0" w:type="dxa"/>
              <w:right w:w="108" w:type="dxa"/>
            </w:tcMar>
            <w:vAlign w:val="center"/>
          </w:tcPr>
          <w:p w14:paraId="413C1294" w14:textId="77777777" w:rsidR="004B0883" w:rsidRDefault="004B0883">
            <w:pPr>
              <w:pStyle w:val="Default"/>
              <w:snapToGrid w:val="0"/>
              <w:jc w:val="center"/>
              <w:rPr>
                <w:rFonts w:ascii="Times New Roman" w:cs="Times New Roman"/>
                <w:sz w:val="21"/>
                <w:szCs w:val="21"/>
              </w:rPr>
            </w:pPr>
            <w:r>
              <w:rPr>
                <w:rFonts w:ascii="Times New Roman" w:hAnsi="宋体" w:cs="Times New Roman"/>
                <w:sz w:val="21"/>
                <w:szCs w:val="21"/>
              </w:rPr>
              <w:t>北京市朝阳区亮马桥路</w:t>
            </w:r>
            <w:r>
              <w:rPr>
                <w:rFonts w:ascii="Times New Roman" w:cs="Times New Roman"/>
                <w:sz w:val="21"/>
                <w:szCs w:val="21"/>
              </w:rPr>
              <w:t>48</w:t>
            </w:r>
            <w:r>
              <w:rPr>
                <w:rFonts w:ascii="Times New Roman" w:hAnsi="宋体" w:cs="Times New Roman"/>
                <w:sz w:val="21"/>
                <w:szCs w:val="21"/>
              </w:rPr>
              <w:t>号中信证券大厦</w:t>
            </w:r>
          </w:p>
        </w:tc>
      </w:tr>
      <w:tr w:rsidR="004B0883" w14:paraId="31ECC7F6" w14:textId="77777777">
        <w:trPr>
          <w:trHeight w:val="397"/>
          <w:jc w:val="center"/>
        </w:trPr>
        <w:tc>
          <w:tcPr>
            <w:tcW w:w="2308" w:type="pct"/>
            <w:shd w:val="clear" w:color="auto" w:fill="D9D9D9"/>
            <w:tcMar>
              <w:top w:w="0" w:type="dxa"/>
              <w:left w:w="108" w:type="dxa"/>
              <w:bottom w:w="0" w:type="dxa"/>
              <w:right w:w="108" w:type="dxa"/>
            </w:tcMar>
            <w:vAlign w:val="center"/>
          </w:tcPr>
          <w:p w14:paraId="2844E587" w14:textId="77777777" w:rsidR="004B0883" w:rsidRDefault="004B0883">
            <w:pPr>
              <w:pStyle w:val="Default"/>
              <w:snapToGrid w:val="0"/>
              <w:jc w:val="center"/>
              <w:rPr>
                <w:rFonts w:ascii="Times New Roman" w:cs="Times New Roman"/>
                <w:b/>
                <w:bCs/>
                <w:sz w:val="21"/>
                <w:szCs w:val="21"/>
              </w:rPr>
            </w:pPr>
            <w:r>
              <w:rPr>
                <w:rFonts w:ascii="Times New Roman" w:hAnsi="宋体" w:cs="Times New Roman"/>
                <w:b/>
                <w:bCs/>
                <w:sz w:val="21"/>
                <w:szCs w:val="21"/>
              </w:rPr>
              <w:t>保荐代表人</w:t>
            </w:r>
          </w:p>
        </w:tc>
        <w:tc>
          <w:tcPr>
            <w:tcW w:w="2692" w:type="pct"/>
            <w:shd w:val="clear" w:color="auto" w:fill="FFFFFF"/>
            <w:tcMar>
              <w:top w:w="0" w:type="dxa"/>
              <w:left w:w="108" w:type="dxa"/>
              <w:bottom w:w="0" w:type="dxa"/>
              <w:right w:w="108" w:type="dxa"/>
            </w:tcMar>
            <w:vAlign w:val="center"/>
          </w:tcPr>
          <w:p w14:paraId="76262F2D" w14:textId="77777777" w:rsidR="004B0883" w:rsidRDefault="004B0883">
            <w:pPr>
              <w:adjustRightInd w:val="0"/>
              <w:snapToGrid w:val="0"/>
              <w:jc w:val="center"/>
              <w:rPr>
                <w:rFonts w:hint="eastAsia"/>
              </w:rPr>
            </w:pPr>
            <w:r>
              <w:rPr>
                <w:rFonts w:hint="eastAsia"/>
              </w:rPr>
              <w:t>王冠男、李良</w:t>
            </w:r>
          </w:p>
        </w:tc>
      </w:tr>
      <w:tr w:rsidR="004B0883" w14:paraId="6ED8CB4A" w14:textId="77777777">
        <w:trPr>
          <w:trHeight w:val="397"/>
          <w:jc w:val="center"/>
        </w:trPr>
        <w:tc>
          <w:tcPr>
            <w:tcW w:w="2308" w:type="pct"/>
            <w:shd w:val="clear" w:color="auto" w:fill="D9D9D9"/>
            <w:tcMar>
              <w:top w:w="0" w:type="dxa"/>
              <w:left w:w="108" w:type="dxa"/>
              <w:bottom w:w="0" w:type="dxa"/>
              <w:right w:w="108" w:type="dxa"/>
            </w:tcMar>
            <w:vAlign w:val="center"/>
          </w:tcPr>
          <w:p w14:paraId="63BFF085" w14:textId="77777777" w:rsidR="004B0883" w:rsidRDefault="004B0883">
            <w:pPr>
              <w:pStyle w:val="Default"/>
              <w:snapToGrid w:val="0"/>
              <w:jc w:val="center"/>
              <w:rPr>
                <w:rFonts w:ascii="Times New Roman" w:cs="Times New Roman"/>
                <w:b/>
                <w:bCs/>
                <w:sz w:val="21"/>
                <w:szCs w:val="21"/>
              </w:rPr>
            </w:pPr>
            <w:r>
              <w:rPr>
                <w:rFonts w:ascii="Times New Roman" w:hAnsi="宋体" w:cs="Times New Roman"/>
                <w:b/>
                <w:bCs/>
                <w:sz w:val="21"/>
                <w:szCs w:val="21"/>
              </w:rPr>
              <w:t>项目协办人</w:t>
            </w:r>
          </w:p>
        </w:tc>
        <w:tc>
          <w:tcPr>
            <w:tcW w:w="2692" w:type="pct"/>
            <w:shd w:val="clear" w:color="auto" w:fill="FFFFFF"/>
            <w:tcMar>
              <w:top w:w="0" w:type="dxa"/>
              <w:left w:w="108" w:type="dxa"/>
              <w:bottom w:w="0" w:type="dxa"/>
              <w:right w:w="108" w:type="dxa"/>
            </w:tcMar>
            <w:vAlign w:val="center"/>
          </w:tcPr>
          <w:p w14:paraId="557B1B72" w14:textId="77777777" w:rsidR="004B0883" w:rsidRDefault="004B0883">
            <w:pPr>
              <w:adjustRightInd w:val="0"/>
              <w:snapToGrid w:val="0"/>
              <w:jc w:val="center"/>
            </w:pPr>
            <w:r>
              <w:rPr>
                <w:rFonts w:hint="eastAsia"/>
              </w:rPr>
              <w:t>何帅</w:t>
            </w:r>
          </w:p>
        </w:tc>
      </w:tr>
      <w:tr w:rsidR="004B0883" w14:paraId="6E7D3E26" w14:textId="77777777">
        <w:trPr>
          <w:trHeight w:val="397"/>
          <w:jc w:val="center"/>
        </w:trPr>
        <w:tc>
          <w:tcPr>
            <w:tcW w:w="2308" w:type="pct"/>
            <w:shd w:val="clear" w:color="auto" w:fill="D9D9D9"/>
            <w:tcMar>
              <w:top w:w="0" w:type="dxa"/>
              <w:left w:w="108" w:type="dxa"/>
              <w:bottom w:w="0" w:type="dxa"/>
              <w:right w:w="108" w:type="dxa"/>
            </w:tcMar>
            <w:vAlign w:val="center"/>
          </w:tcPr>
          <w:p w14:paraId="0DFBBEC9" w14:textId="77777777" w:rsidR="004B0883" w:rsidRDefault="004B0883">
            <w:pPr>
              <w:pStyle w:val="Default"/>
              <w:snapToGrid w:val="0"/>
              <w:jc w:val="center"/>
              <w:rPr>
                <w:rFonts w:ascii="Times New Roman" w:cs="Times New Roman"/>
                <w:b/>
                <w:bCs/>
                <w:sz w:val="21"/>
                <w:szCs w:val="21"/>
              </w:rPr>
            </w:pPr>
            <w:r>
              <w:rPr>
                <w:rFonts w:ascii="Times New Roman" w:hAnsi="宋体" w:cs="Times New Roman"/>
                <w:b/>
                <w:bCs/>
                <w:sz w:val="21"/>
                <w:szCs w:val="21"/>
              </w:rPr>
              <w:t>经办人员</w:t>
            </w:r>
          </w:p>
        </w:tc>
        <w:tc>
          <w:tcPr>
            <w:tcW w:w="2692" w:type="pct"/>
            <w:shd w:val="clear" w:color="auto" w:fill="FFFFFF"/>
            <w:tcMar>
              <w:top w:w="0" w:type="dxa"/>
              <w:left w:w="108" w:type="dxa"/>
              <w:bottom w:w="0" w:type="dxa"/>
              <w:right w:w="108" w:type="dxa"/>
            </w:tcMar>
            <w:vAlign w:val="center"/>
          </w:tcPr>
          <w:p w14:paraId="0DD2E3E3" w14:textId="77777777" w:rsidR="004B0883" w:rsidRDefault="004B0883">
            <w:pPr>
              <w:adjustRightInd w:val="0"/>
              <w:snapToGrid w:val="0"/>
              <w:jc w:val="center"/>
            </w:pPr>
            <w:r>
              <w:rPr>
                <w:rFonts w:hint="eastAsia"/>
              </w:rPr>
              <w:t>李时雨、韩东辰、王琦、林正、钱安沛、宋磊、刘鼎霖</w:t>
            </w:r>
          </w:p>
        </w:tc>
      </w:tr>
      <w:tr w:rsidR="004B0883" w14:paraId="6574E756" w14:textId="77777777">
        <w:trPr>
          <w:trHeight w:val="397"/>
          <w:jc w:val="center"/>
        </w:trPr>
        <w:tc>
          <w:tcPr>
            <w:tcW w:w="2308" w:type="pct"/>
            <w:shd w:val="clear" w:color="auto" w:fill="D9D9D9"/>
            <w:tcMar>
              <w:top w:w="0" w:type="dxa"/>
              <w:left w:w="108" w:type="dxa"/>
              <w:bottom w:w="0" w:type="dxa"/>
              <w:right w:w="108" w:type="dxa"/>
            </w:tcMar>
            <w:vAlign w:val="center"/>
          </w:tcPr>
          <w:p w14:paraId="55C62AF8" w14:textId="77777777" w:rsidR="004B0883" w:rsidRDefault="004B0883">
            <w:pPr>
              <w:pStyle w:val="Default"/>
              <w:snapToGrid w:val="0"/>
              <w:jc w:val="center"/>
              <w:rPr>
                <w:rFonts w:ascii="Times New Roman" w:cs="Times New Roman"/>
                <w:b/>
                <w:bCs/>
                <w:sz w:val="21"/>
                <w:szCs w:val="21"/>
              </w:rPr>
            </w:pPr>
            <w:r>
              <w:rPr>
                <w:rFonts w:ascii="Times New Roman" w:hAnsi="宋体" w:cs="Times New Roman"/>
                <w:b/>
                <w:bCs/>
                <w:sz w:val="21"/>
                <w:szCs w:val="21"/>
              </w:rPr>
              <w:t>电话</w:t>
            </w:r>
          </w:p>
        </w:tc>
        <w:tc>
          <w:tcPr>
            <w:tcW w:w="2692" w:type="pct"/>
            <w:shd w:val="clear" w:color="auto" w:fill="FFFFFF"/>
            <w:tcMar>
              <w:top w:w="0" w:type="dxa"/>
              <w:left w:w="108" w:type="dxa"/>
              <w:bottom w:w="0" w:type="dxa"/>
              <w:right w:w="108" w:type="dxa"/>
            </w:tcMar>
            <w:vAlign w:val="center"/>
          </w:tcPr>
          <w:p w14:paraId="2E6B4CFA" w14:textId="77777777" w:rsidR="004B0883" w:rsidRDefault="004B0883">
            <w:pPr>
              <w:adjustRightInd w:val="0"/>
              <w:snapToGrid w:val="0"/>
              <w:jc w:val="center"/>
            </w:pPr>
            <w:r>
              <w:t>010-6083 8888</w:t>
            </w:r>
          </w:p>
        </w:tc>
      </w:tr>
      <w:tr w:rsidR="004B0883" w14:paraId="3B7AA481" w14:textId="77777777">
        <w:trPr>
          <w:trHeight w:val="397"/>
          <w:jc w:val="center"/>
        </w:trPr>
        <w:tc>
          <w:tcPr>
            <w:tcW w:w="2308" w:type="pct"/>
            <w:shd w:val="clear" w:color="auto" w:fill="D9D9D9"/>
            <w:tcMar>
              <w:top w:w="0" w:type="dxa"/>
              <w:left w:w="108" w:type="dxa"/>
              <w:bottom w:w="0" w:type="dxa"/>
              <w:right w:w="108" w:type="dxa"/>
            </w:tcMar>
            <w:vAlign w:val="center"/>
          </w:tcPr>
          <w:p w14:paraId="50DBCA3F" w14:textId="77777777" w:rsidR="004B0883" w:rsidRDefault="004B0883">
            <w:pPr>
              <w:pStyle w:val="Default"/>
              <w:snapToGrid w:val="0"/>
              <w:jc w:val="center"/>
              <w:rPr>
                <w:rFonts w:ascii="Times New Roman" w:cs="Times New Roman"/>
                <w:b/>
                <w:bCs/>
                <w:sz w:val="21"/>
                <w:szCs w:val="21"/>
              </w:rPr>
            </w:pPr>
            <w:r>
              <w:rPr>
                <w:rFonts w:ascii="Times New Roman" w:hAnsi="宋体" w:cs="Times New Roman"/>
                <w:b/>
                <w:bCs/>
                <w:sz w:val="21"/>
                <w:szCs w:val="21"/>
              </w:rPr>
              <w:t>传真</w:t>
            </w:r>
          </w:p>
        </w:tc>
        <w:tc>
          <w:tcPr>
            <w:tcW w:w="2692" w:type="pct"/>
            <w:shd w:val="clear" w:color="auto" w:fill="FFFFFF"/>
            <w:tcMar>
              <w:top w:w="0" w:type="dxa"/>
              <w:left w:w="108" w:type="dxa"/>
              <w:bottom w:w="0" w:type="dxa"/>
              <w:right w:w="108" w:type="dxa"/>
            </w:tcMar>
            <w:vAlign w:val="center"/>
          </w:tcPr>
          <w:p w14:paraId="1AEAC455" w14:textId="77777777" w:rsidR="004B0883" w:rsidRDefault="004B0883">
            <w:pPr>
              <w:adjustRightInd w:val="0"/>
              <w:snapToGrid w:val="0"/>
              <w:jc w:val="center"/>
            </w:pPr>
            <w:r>
              <w:t>010-6083 6029</w:t>
            </w:r>
          </w:p>
        </w:tc>
      </w:tr>
    </w:tbl>
    <w:p w14:paraId="6B05C878" w14:textId="77777777" w:rsidR="004B0883" w:rsidRDefault="004B0883">
      <w:pPr>
        <w:pStyle w:val="003"/>
        <w:spacing w:before="120" w:after="120"/>
        <w:rPr>
          <w:rFonts w:hint="eastAsia"/>
        </w:rPr>
      </w:pPr>
      <w:r>
        <w:rPr>
          <w:rFonts w:hint="eastAsia"/>
        </w:rPr>
        <w:t>（三）律师事务所：北京德和衡律师事务所</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836"/>
        <w:gridCol w:w="4446"/>
      </w:tblGrid>
      <w:tr w:rsidR="004B0883" w14:paraId="55B9A899" w14:textId="77777777">
        <w:trPr>
          <w:trHeight w:val="397"/>
          <w:jc w:val="center"/>
        </w:trPr>
        <w:tc>
          <w:tcPr>
            <w:tcW w:w="2316" w:type="pct"/>
            <w:shd w:val="clear" w:color="auto" w:fill="D9D9D9"/>
            <w:tcMar>
              <w:top w:w="0" w:type="dxa"/>
              <w:left w:w="108" w:type="dxa"/>
              <w:bottom w:w="0" w:type="dxa"/>
              <w:right w:w="108" w:type="dxa"/>
            </w:tcMar>
            <w:vAlign w:val="center"/>
          </w:tcPr>
          <w:p w14:paraId="57E89B1A" w14:textId="77777777" w:rsidR="004B0883" w:rsidRDefault="004B0883">
            <w:pPr>
              <w:pStyle w:val="Default"/>
              <w:snapToGrid w:val="0"/>
              <w:jc w:val="center"/>
              <w:rPr>
                <w:rFonts w:ascii="Times New Roman" w:cs="Times New Roman"/>
                <w:b/>
                <w:bCs/>
                <w:sz w:val="21"/>
                <w:szCs w:val="21"/>
              </w:rPr>
            </w:pPr>
            <w:r>
              <w:rPr>
                <w:rFonts w:ascii="Times New Roman" w:hAnsi="宋体" w:cs="Times New Roman"/>
                <w:b/>
                <w:bCs/>
                <w:sz w:val="21"/>
                <w:szCs w:val="21"/>
              </w:rPr>
              <w:t>事务所负责人</w:t>
            </w:r>
          </w:p>
        </w:tc>
        <w:tc>
          <w:tcPr>
            <w:tcW w:w="2684" w:type="pct"/>
            <w:shd w:val="clear" w:color="auto" w:fill="FFFFFF"/>
            <w:tcMar>
              <w:top w:w="0" w:type="dxa"/>
              <w:left w:w="108" w:type="dxa"/>
              <w:bottom w:w="0" w:type="dxa"/>
              <w:right w:w="108" w:type="dxa"/>
            </w:tcMar>
            <w:vAlign w:val="center"/>
          </w:tcPr>
          <w:p w14:paraId="119329DC" w14:textId="77777777" w:rsidR="004B0883" w:rsidRDefault="004B0883">
            <w:pPr>
              <w:adjustRightInd w:val="0"/>
              <w:snapToGrid w:val="0"/>
              <w:jc w:val="center"/>
            </w:pPr>
            <w:r>
              <w:rPr>
                <w:rFonts w:hAnsi="宋体" w:hint="eastAsia"/>
              </w:rPr>
              <w:t>刘克江</w:t>
            </w:r>
          </w:p>
        </w:tc>
      </w:tr>
      <w:tr w:rsidR="004B0883" w14:paraId="70F7EF15" w14:textId="77777777">
        <w:trPr>
          <w:trHeight w:val="397"/>
          <w:jc w:val="center"/>
        </w:trPr>
        <w:tc>
          <w:tcPr>
            <w:tcW w:w="2316" w:type="pct"/>
            <w:shd w:val="clear" w:color="auto" w:fill="D9D9D9"/>
            <w:tcMar>
              <w:top w:w="0" w:type="dxa"/>
              <w:left w:w="108" w:type="dxa"/>
              <w:bottom w:w="0" w:type="dxa"/>
              <w:right w:w="108" w:type="dxa"/>
            </w:tcMar>
            <w:vAlign w:val="center"/>
          </w:tcPr>
          <w:p w14:paraId="4E85E0F4" w14:textId="77777777" w:rsidR="004B0883" w:rsidRDefault="004B0883">
            <w:pPr>
              <w:pStyle w:val="Default"/>
              <w:snapToGrid w:val="0"/>
              <w:jc w:val="center"/>
              <w:rPr>
                <w:rFonts w:ascii="Times New Roman" w:cs="Times New Roman"/>
                <w:b/>
                <w:bCs/>
                <w:sz w:val="21"/>
                <w:szCs w:val="21"/>
              </w:rPr>
            </w:pPr>
            <w:r>
              <w:rPr>
                <w:rFonts w:ascii="Times New Roman" w:hAnsi="宋体" w:cs="Times New Roman"/>
                <w:b/>
                <w:bCs/>
                <w:sz w:val="21"/>
                <w:szCs w:val="21"/>
              </w:rPr>
              <w:t>办公地址</w:t>
            </w:r>
          </w:p>
        </w:tc>
        <w:tc>
          <w:tcPr>
            <w:tcW w:w="2684" w:type="pct"/>
            <w:shd w:val="clear" w:color="auto" w:fill="FFFFFF"/>
            <w:tcMar>
              <w:top w:w="0" w:type="dxa"/>
              <w:left w:w="108" w:type="dxa"/>
              <w:bottom w:w="0" w:type="dxa"/>
              <w:right w:w="108" w:type="dxa"/>
            </w:tcMar>
            <w:vAlign w:val="center"/>
          </w:tcPr>
          <w:p w14:paraId="0113D5A6" w14:textId="77777777" w:rsidR="004B0883" w:rsidRDefault="004B0883">
            <w:pPr>
              <w:adjustRightInd w:val="0"/>
              <w:snapToGrid w:val="0"/>
              <w:jc w:val="center"/>
            </w:pPr>
            <w:r>
              <w:rPr>
                <w:rFonts w:hint="eastAsia"/>
              </w:rPr>
              <w:t>北京市朝阳区建国门外大街</w:t>
            </w:r>
            <w:r>
              <w:rPr>
                <w:rFonts w:hint="eastAsia"/>
              </w:rPr>
              <w:t>2</w:t>
            </w:r>
            <w:r>
              <w:rPr>
                <w:rFonts w:hint="eastAsia"/>
              </w:rPr>
              <w:t>号银泰中心</w:t>
            </w:r>
            <w:r>
              <w:rPr>
                <w:rFonts w:hint="eastAsia"/>
              </w:rPr>
              <w:t>C</w:t>
            </w:r>
            <w:r>
              <w:rPr>
                <w:rFonts w:hint="eastAsia"/>
              </w:rPr>
              <w:t>座</w:t>
            </w:r>
            <w:r>
              <w:rPr>
                <w:rFonts w:hint="eastAsia"/>
              </w:rPr>
              <w:t>12</w:t>
            </w:r>
            <w:r>
              <w:rPr>
                <w:rFonts w:hint="eastAsia"/>
              </w:rPr>
              <w:t>层</w:t>
            </w:r>
          </w:p>
        </w:tc>
      </w:tr>
      <w:tr w:rsidR="004B0883" w14:paraId="6A2C2041" w14:textId="77777777">
        <w:trPr>
          <w:trHeight w:val="397"/>
          <w:jc w:val="center"/>
        </w:trPr>
        <w:tc>
          <w:tcPr>
            <w:tcW w:w="2316" w:type="pct"/>
            <w:shd w:val="clear" w:color="auto" w:fill="D9D9D9"/>
            <w:tcMar>
              <w:top w:w="0" w:type="dxa"/>
              <w:left w:w="108" w:type="dxa"/>
              <w:bottom w:w="0" w:type="dxa"/>
              <w:right w:w="108" w:type="dxa"/>
            </w:tcMar>
            <w:vAlign w:val="center"/>
          </w:tcPr>
          <w:p w14:paraId="729BF828" w14:textId="77777777" w:rsidR="004B0883" w:rsidRDefault="004B0883">
            <w:pPr>
              <w:pStyle w:val="Default"/>
              <w:snapToGrid w:val="0"/>
              <w:jc w:val="center"/>
              <w:rPr>
                <w:rFonts w:ascii="Times New Roman" w:cs="Times New Roman"/>
                <w:b/>
                <w:bCs/>
                <w:sz w:val="21"/>
                <w:szCs w:val="21"/>
              </w:rPr>
            </w:pPr>
            <w:r>
              <w:rPr>
                <w:rFonts w:ascii="Times New Roman" w:hAnsi="宋体" w:cs="Times New Roman"/>
                <w:b/>
                <w:bCs/>
                <w:sz w:val="21"/>
                <w:szCs w:val="21"/>
              </w:rPr>
              <w:t>签字律师</w:t>
            </w:r>
          </w:p>
        </w:tc>
        <w:tc>
          <w:tcPr>
            <w:tcW w:w="2684" w:type="pct"/>
            <w:shd w:val="clear" w:color="auto" w:fill="FFFFFF"/>
            <w:tcMar>
              <w:top w:w="0" w:type="dxa"/>
              <w:left w:w="108" w:type="dxa"/>
              <w:bottom w:w="0" w:type="dxa"/>
              <w:right w:w="108" w:type="dxa"/>
            </w:tcMar>
            <w:vAlign w:val="center"/>
          </w:tcPr>
          <w:p w14:paraId="648C01C0" w14:textId="77777777" w:rsidR="004B0883" w:rsidRDefault="004B0883">
            <w:pPr>
              <w:adjustRightInd w:val="0"/>
              <w:snapToGrid w:val="0"/>
              <w:jc w:val="center"/>
            </w:pPr>
            <w:r>
              <w:rPr>
                <w:rFonts w:hint="eastAsia"/>
              </w:rPr>
              <w:t>张明波、马龙飞</w:t>
            </w:r>
          </w:p>
        </w:tc>
      </w:tr>
      <w:tr w:rsidR="004B0883" w14:paraId="2CB94311" w14:textId="77777777">
        <w:trPr>
          <w:trHeight w:val="397"/>
          <w:jc w:val="center"/>
        </w:trPr>
        <w:tc>
          <w:tcPr>
            <w:tcW w:w="2316" w:type="pct"/>
            <w:shd w:val="clear" w:color="auto" w:fill="D9D9D9"/>
            <w:tcMar>
              <w:top w:w="0" w:type="dxa"/>
              <w:left w:w="108" w:type="dxa"/>
              <w:bottom w:w="0" w:type="dxa"/>
              <w:right w:w="108" w:type="dxa"/>
            </w:tcMar>
            <w:vAlign w:val="center"/>
          </w:tcPr>
          <w:p w14:paraId="39DE40F8" w14:textId="77777777" w:rsidR="004B0883" w:rsidRDefault="004B0883">
            <w:pPr>
              <w:pStyle w:val="Default"/>
              <w:snapToGrid w:val="0"/>
              <w:jc w:val="center"/>
              <w:rPr>
                <w:rFonts w:ascii="Times New Roman" w:cs="Times New Roman"/>
                <w:b/>
                <w:bCs/>
                <w:sz w:val="21"/>
                <w:szCs w:val="21"/>
              </w:rPr>
            </w:pPr>
            <w:r>
              <w:rPr>
                <w:rFonts w:ascii="Times New Roman" w:hAnsi="宋体" w:cs="Times New Roman"/>
                <w:b/>
                <w:bCs/>
                <w:sz w:val="21"/>
                <w:szCs w:val="21"/>
              </w:rPr>
              <w:t>联系人</w:t>
            </w:r>
          </w:p>
        </w:tc>
        <w:tc>
          <w:tcPr>
            <w:tcW w:w="2684" w:type="pct"/>
            <w:shd w:val="clear" w:color="auto" w:fill="FFFFFF"/>
            <w:tcMar>
              <w:top w:w="0" w:type="dxa"/>
              <w:left w:w="108" w:type="dxa"/>
              <w:bottom w:w="0" w:type="dxa"/>
              <w:right w:w="108" w:type="dxa"/>
            </w:tcMar>
            <w:vAlign w:val="center"/>
          </w:tcPr>
          <w:p w14:paraId="1E6F3E64" w14:textId="77777777" w:rsidR="004B0883" w:rsidRDefault="004B0883">
            <w:pPr>
              <w:adjustRightInd w:val="0"/>
              <w:snapToGrid w:val="0"/>
              <w:jc w:val="center"/>
            </w:pPr>
            <w:r>
              <w:rPr>
                <w:rFonts w:hint="eastAsia"/>
              </w:rPr>
              <w:t>马龙飞</w:t>
            </w:r>
          </w:p>
        </w:tc>
      </w:tr>
      <w:tr w:rsidR="004B0883" w14:paraId="3061AC84" w14:textId="77777777">
        <w:trPr>
          <w:trHeight w:val="397"/>
          <w:jc w:val="center"/>
        </w:trPr>
        <w:tc>
          <w:tcPr>
            <w:tcW w:w="2316" w:type="pct"/>
            <w:shd w:val="clear" w:color="auto" w:fill="D9D9D9"/>
            <w:tcMar>
              <w:top w:w="0" w:type="dxa"/>
              <w:left w:w="108" w:type="dxa"/>
              <w:bottom w:w="0" w:type="dxa"/>
              <w:right w:w="108" w:type="dxa"/>
            </w:tcMar>
            <w:vAlign w:val="center"/>
          </w:tcPr>
          <w:p w14:paraId="5A4EBA9E" w14:textId="77777777" w:rsidR="004B0883" w:rsidRDefault="004B0883">
            <w:pPr>
              <w:pStyle w:val="Default"/>
              <w:snapToGrid w:val="0"/>
              <w:jc w:val="center"/>
              <w:rPr>
                <w:rFonts w:ascii="Times New Roman" w:cs="Times New Roman"/>
                <w:b/>
                <w:bCs/>
                <w:sz w:val="21"/>
                <w:szCs w:val="21"/>
              </w:rPr>
            </w:pPr>
            <w:r>
              <w:rPr>
                <w:rFonts w:ascii="Times New Roman" w:hAnsi="宋体" w:cs="Times New Roman"/>
                <w:b/>
                <w:bCs/>
                <w:sz w:val="21"/>
                <w:szCs w:val="21"/>
              </w:rPr>
              <w:t>电话</w:t>
            </w:r>
          </w:p>
        </w:tc>
        <w:tc>
          <w:tcPr>
            <w:tcW w:w="2684" w:type="pct"/>
            <w:shd w:val="clear" w:color="auto" w:fill="FFFFFF"/>
            <w:tcMar>
              <w:top w:w="0" w:type="dxa"/>
              <w:left w:w="108" w:type="dxa"/>
              <w:bottom w:w="0" w:type="dxa"/>
              <w:right w:w="108" w:type="dxa"/>
            </w:tcMar>
            <w:vAlign w:val="center"/>
          </w:tcPr>
          <w:p w14:paraId="195A1844" w14:textId="77777777" w:rsidR="004B0883" w:rsidRDefault="004B0883">
            <w:pPr>
              <w:adjustRightInd w:val="0"/>
              <w:snapToGrid w:val="0"/>
              <w:jc w:val="center"/>
            </w:pPr>
            <w:r>
              <w:t>010-8540 7666</w:t>
            </w:r>
          </w:p>
        </w:tc>
      </w:tr>
      <w:tr w:rsidR="004B0883" w14:paraId="3AFF84B4" w14:textId="77777777">
        <w:trPr>
          <w:trHeight w:val="397"/>
          <w:jc w:val="center"/>
        </w:trPr>
        <w:tc>
          <w:tcPr>
            <w:tcW w:w="2316" w:type="pct"/>
            <w:shd w:val="clear" w:color="auto" w:fill="D9D9D9"/>
            <w:tcMar>
              <w:top w:w="0" w:type="dxa"/>
              <w:left w:w="108" w:type="dxa"/>
              <w:bottom w:w="0" w:type="dxa"/>
              <w:right w:w="108" w:type="dxa"/>
            </w:tcMar>
            <w:vAlign w:val="center"/>
          </w:tcPr>
          <w:p w14:paraId="2E240631" w14:textId="77777777" w:rsidR="004B0883" w:rsidRDefault="004B0883">
            <w:pPr>
              <w:pStyle w:val="Default"/>
              <w:snapToGrid w:val="0"/>
              <w:jc w:val="center"/>
              <w:rPr>
                <w:rFonts w:ascii="Times New Roman" w:cs="Times New Roman"/>
                <w:b/>
                <w:bCs/>
                <w:sz w:val="21"/>
                <w:szCs w:val="21"/>
              </w:rPr>
            </w:pPr>
            <w:r>
              <w:rPr>
                <w:rFonts w:ascii="Times New Roman" w:hAnsi="宋体" w:cs="Times New Roman"/>
                <w:b/>
                <w:bCs/>
                <w:sz w:val="21"/>
                <w:szCs w:val="21"/>
              </w:rPr>
              <w:t>传真</w:t>
            </w:r>
          </w:p>
        </w:tc>
        <w:tc>
          <w:tcPr>
            <w:tcW w:w="2684" w:type="pct"/>
            <w:shd w:val="clear" w:color="auto" w:fill="FFFFFF"/>
            <w:tcMar>
              <w:top w:w="0" w:type="dxa"/>
              <w:left w:w="108" w:type="dxa"/>
              <w:bottom w:w="0" w:type="dxa"/>
              <w:right w:w="108" w:type="dxa"/>
            </w:tcMar>
            <w:vAlign w:val="center"/>
          </w:tcPr>
          <w:p w14:paraId="370E4F28" w14:textId="77777777" w:rsidR="004B0883" w:rsidRDefault="004B0883">
            <w:pPr>
              <w:adjustRightInd w:val="0"/>
              <w:snapToGrid w:val="0"/>
              <w:jc w:val="center"/>
            </w:pPr>
            <w:r>
              <w:t>010-8540 7608</w:t>
            </w:r>
          </w:p>
        </w:tc>
      </w:tr>
    </w:tbl>
    <w:p w14:paraId="7792B8B1" w14:textId="77777777" w:rsidR="004B0883" w:rsidRDefault="004B0883">
      <w:pPr>
        <w:pStyle w:val="003"/>
        <w:spacing w:before="120" w:after="120"/>
      </w:pPr>
      <w:r>
        <w:rPr>
          <w:rFonts w:hint="eastAsia"/>
        </w:rPr>
        <w:t>（四）会计师事务所：和信会计师事务所（特殊普通合伙）</w:t>
      </w:r>
    </w:p>
    <w:tbl>
      <w:tblPr>
        <w:tblW w:w="5001"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837"/>
        <w:gridCol w:w="4447"/>
      </w:tblGrid>
      <w:tr w:rsidR="004B0883" w14:paraId="517D706A" w14:textId="77777777">
        <w:trPr>
          <w:trHeight w:val="397"/>
          <w:jc w:val="center"/>
        </w:trPr>
        <w:tc>
          <w:tcPr>
            <w:tcW w:w="2316" w:type="pct"/>
            <w:shd w:val="clear" w:color="auto" w:fill="D9D9D9"/>
            <w:tcMar>
              <w:top w:w="0" w:type="dxa"/>
              <w:left w:w="108" w:type="dxa"/>
              <w:bottom w:w="0" w:type="dxa"/>
              <w:right w:w="108" w:type="dxa"/>
            </w:tcMar>
            <w:vAlign w:val="center"/>
          </w:tcPr>
          <w:p w14:paraId="52C44D32" w14:textId="77777777" w:rsidR="004B0883" w:rsidRDefault="004B0883">
            <w:pPr>
              <w:pStyle w:val="Default"/>
              <w:snapToGrid w:val="0"/>
              <w:jc w:val="center"/>
              <w:rPr>
                <w:rFonts w:ascii="Times New Roman" w:hAnsi="宋体" w:cs="Times New Roman"/>
                <w:b/>
                <w:bCs/>
                <w:sz w:val="21"/>
                <w:szCs w:val="21"/>
              </w:rPr>
            </w:pPr>
            <w:r>
              <w:rPr>
                <w:rFonts w:ascii="Times New Roman" w:hAnsi="宋体" w:cs="Times New Roman"/>
                <w:b/>
                <w:bCs/>
                <w:sz w:val="21"/>
                <w:szCs w:val="21"/>
              </w:rPr>
              <w:t>事务所负责人</w:t>
            </w:r>
          </w:p>
        </w:tc>
        <w:tc>
          <w:tcPr>
            <w:tcW w:w="2684" w:type="pct"/>
            <w:shd w:val="clear" w:color="auto" w:fill="FFFFFF"/>
            <w:tcMar>
              <w:top w:w="0" w:type="dxa"/>
              <w:left w:w="108" w:type="dxa"/>
              <w:bottom w:w="0" w:type="dxa"/>
              <w:right w:w="108" w:type="dxa"/>
            </w:tcMar>
            <w:vAlign w:val="center"/>
          </w:tcPr>
          <w:p w14:paraId="4FD24A69" w14:textId="77777777" w:rsidR="004B0883" w:rsidRDefault="004B0883">
            <w:pPr>
              <w:adjustRightInd w:val="0"/>
              <w:snapToGrid w:val="0"/>
              <w:jc w:val="center"/>
            </w:pPr>
            <w:r>
              <w:rPr>
                <w:rFonts w:hint="eastAsia"/>
              </w:rPr>
              <w:t>王晖</w:t>
            </w:r>
          </w:p>
        </w:tc>
      </w:tr>
      <w:tr w:rsidR="004B0883" w14:paraId="5AF5CF0B" w14:textId="77777777">
        <w:trPr>
          <w:trHeight w:val="397"/>
          <w:jc w:val="center"/>
        </w:trPr>
        <w:tc>
          <w:tcPr>
            <w:tcW w:w="2316" w:type="pct"/>
            <w:shd w:val="clear" w:color="auto" w:fill="D9D9D9"/>
            <w:tcMar>
              <w:top w:w="0" w:type="dxa"/>
              <w:left w:w="108" w:type="dxa"/>
              <w:bottom w:w="0" w:type="dxa"/>
              <w:right w:w="108" w:type="dxa"/>
            </w:tcMar>
            <w:vAlign w:val="center"/>
          </w:tcPr>
          <w:p w14:paraId="544E7D48" w14:textId="77777777" w:rsidR="004B0883" w:rsidRDefault="004B0883">
            <w:pPr>
              <w:pStyle w:val="Default"/>
              <w:snapToGrid w:val="0"/>
              <w:jc w:val="center"/>
              <w:rPr>
                <w:rFonts w:ascii="Times New Roman" w:hAnsi="宋体" w:cs="Times New Roman"/>
                <w:b/>
                <w:bCs/>
                <w:sz w:val="21"/>
                <w:szCs w:val="21"/>
              </w:rPr>
            </w:pPr>
            <w:r>
              <w:rPr>
                <w:rFonts w:ascii="Times New Roman" w:hAnsi="宋体" w:cs="Times New Roman"/>
                <w:b/>
                <w:bCs/>
                <w:sz w:val="21"/>
                <w:szCs w:val="21"/>
              </w:rPr>
              <w:t>办公地址</w:t>
            </w:r>
          </w:p>
        </w:tc>
        <w:tc>
          <w:tcPr>
            <w:tcW w:w="2684" w:type="pct"/>
            <w:shd w:val="clear" w:color="auto" w:fill="FFFFFF"/>
            <w:tcMar>
              <w:top w:w="0" w:type="dxa"/>
              <w:left w:w="108" w:type="dxa"/>
              <w:bottom w:w="0" w:type="dxa"/>
              <w:right w:w="108" w:type="dxa"/>
            </w:tcMar>
            <w:vAlign w:val="center"/>
          </w:tcPr>
          <w:p w14:paraId="622906C6" w14:textId="77777777" w:rsidR="004B0883" w:rsidRDefault="004B0883">
            <w:pPr>
              <w:adjustRightInd w:val="0"/>
              <w:snapToGrid w:val="0"/>
              <w:jc w:val="center"/>
            </w:pPr>
            <w:r>
              <w:rPr>
                <w:rFonts w:hint="eastAsia"/>
              </w:rPr>
              <w:t>济南市历下区文化东路</w:t>
            </w:r>
            <w:r>
              <w:rPr>
                <w:rFonts w:hint="eastAsia"/>
              </w:rPr>
              <w:t>59</w:t>
            </w:r>
            <w:r>
              <w:rPr>
                <w:rFonts w:hint="eastAsia"/>
              </w:rPr>
              <w:t>号盐业大厦</w:t>
            </w:r>
            <w:r>
              <w:rPr>
                <w:rFonts w:hint="eastAsia"/>
              </w:rPr>
              <w:t>7</w:t>
            </w:r>
            <w:r>
              <w:rPr>
                <w:rFonts w:hint="eastAsia"/>
              </w:rPr>
              <w:t>层</w:t>
            </w:r>
          </w:p>
        </w:tc>
      </w:tr>
      <w:tr w:rsidR="004B0883" w14:paraId="294CB042" w14:textId="77777777">
        <w:trPr>
          <w:trHeight w:val="397"/>
          <w:jc w:val="center"/>
        </w:trPr>
        <w:tc>
          <w:tcPr>
            <w:tcW w:w="2316" w:type="pct"/>
            <w:shd w:val="clear" w:color="auto" w:fill="D9D9D9"/>
            <w:tcMar>
              <w:top w:w="0" w:type="dxa"/>
              <w:left w:w="108" w:type="dxa"/>
              <w:bottom w:w="0" w:type="dxa"/>
              <w:right w:w="108" w:type="dxa"/>
            </w:tcMar>
            <w:vAlign w:val="center"/>
          </w:tcPr>
          <w:p w14:paraId="2314AF2A" w14:textId="77777777" w:rsidR="004B0883" w:rsidRDefault="004B0883">
            <w:pPr>
              <w:pStyle w:val="Default"/>
              <w:snapToGrid w:val="0"/>
              <w:jc w:val="center"/>
              <w:rPr>
                <w:rFonts w:ascii="Times New Roman" w:hAnsi="宋体" w:cs="Times New Roman"/>
                <w:b/>
                <w:bCs/>
                <w:sz w:val="21"/>
                <w:szCs w:val="21"/>
              </w:rPr>
            </w:pPr>
            <w:r>
              <w:rPr>
                <w:rFonts w:ascii="Times New Roman" w:hAnsi="宋体" w:cs="Times New Roman"/>
                <w:b/>
                <w:bCs/>
                <w:sz w:val="21"/>
                <w:szCs w:val="21"/>
              </w:rPr>
              <w:t>签字注册会计师</w:t>
            </w:r>
          </w:p>
        </w:tc>
        <w:tc>
          <w:tcPr>
            <w:tcW w:w="2684" w:type="pct"/>
            <w:shd w:val="clear" w:color="auto" w:fill="FFFFFF"/>
            <w:tcMar>
              <w:top w:w="0" w:type="dxa"/>
              <w:left w:w="108" w:type="dxa"/>
              <w:bottom w:w="0" w:type="dxa"/>
              <w:right w:w="108" w:type="dxa"/>
            </w:tcMar>
            <w:vAlign w:val="center"/>
          </w:tcPr>
          <w:p w14:paraId="6B90B3C0" w14:textId="77777777" w:rsidR="004B0883" w:rsidRDefault="004B0883">
            <w:pPr>
              <w:adjustRightInd w:val="0"/>
              <w:snapToGrid w:val="0"/>
              <w:jc w:val="center"/>
            </w:pPr>
            <w:r>
              <w:rPr>
                <w:rFonts w:hint="eastAsia"/>
              </w:rPr>
              <w:t>刘学伟、迟慰、李胜</w:t>
            </w:r>
          </w:p>
        </w:tc>
      </w:tr>
      <w:tr w:rsidR="004B0883" w14:paraId="12BBDEDC" w14:textId="77777777">
        <w:trPr>
          <w:trHeight w:val="397"/>
          <w:jc w:val="center"/>
        </w:trPr>
        <w:tc>
          <w:tcPr>
            <w:tcW w:w="2316" w:type="pct"/>
            <w:shd w:val="clear" w:color="auto" w:fill="D9D9D9"/>
            <w:tcMar>
              <w:top w:w="0" w:type="dxa"/>
              <w:left w:w="108" w:type="dxa"/>
              <w:bottom w:w="0" w:type="dxa"/>
              <w:right w:w="108" w:type="dxa"/>
            </w:tcMar>
            <w:vAlign w:val="center"/>
          </w:tcPr>
          <w:p w14:paraId="7E128FD7" w14:textId="77777777" w:rsidR="004B0883" w:rsidRDefault="004B0883">
            <w:pPr>
              <w:pStyle w:val="Default"/>
              <w:snapToGrid w:val="0"/>
              <w:jc w:val="center"/>
              <w:rPr>
                <w:rFonts w:ascii="Times New Roman" w:hAnsi="宋体" w:cs="Times New Roman"/>
                <w:b/>
                <w:bCs/>
                <w:sz w:val="21"/>
                <w:szCs w:val="21"/>
              </w:rPr>
            </w:pPr>
            <w:r>
              <w:rPr>
                <w:rFonts w:ascii="Times New Roman" w:hAnsi="宋体" w:cs="Times New Roman"/>
                <w:b/>
                <w:bCs/>
                <w:sz w:val="21"/>
                <w:szCs w:val="21"/>
              </w:rPr>
              <w:t>联系人</w:t>
            </w:r>
          </w:p>
        </w:tc>
        <w:tc>
          <w:tcPr>
            <w:tcW w:w="2684" w:type="pct"/>
            <w:shd w:val="clear" w:color="auto" w:fill="FFFFFF"/>
            <w:tcMar>
              <w:top w:w="0" w:type="dxa"/>
              <w:left w:w="108" w:type="dxa"/>
              <w:bottom w:w="0" w:type="dxa"/>
              <w:right w:w="108" w:type="dxa"/>
            </w:tcMar>
            <w:vAlign w:val="center"/>
          </w:tcPr>
          <w:p w14:paraId="29253054" w14:textId="77777777" w:rsidR="004B0883" w:rsidRDefault="004B0883">
            <w:pPr>
              <w:adjustRightInd w:val="0"/>
              <w:snapToGrid w:val="0"/>
              <w:jc w:val="center"/>
            </w:pPr>
            <w:r>
              <w:rPr>
                <w:rFonts w:hint="eastAsia"/>
              </w:rPr>
              <w:t>李胜</w:t>
            </w:r>
          </w:p>
        </w:tc>
      </w:tr>
      <w:tr w:rsidR="004B0883" w14:paraId="682A7152" w14:textId="77777777">
        <w:trPr>
          <w:trHeight w:val="397"/>
          <w:jc w:val="center"/>
        </w:trPr>
        <w:tc>
          <w:tcPr>
            <w:tcW w:w="2316" w:type="pct"/>
            <w:shd w:val="clear" w:color="auto" w:fill="D9D9D9"/>
            <w:tcMar>
              <w:top w:w="0" w:type="dxa"/>
              <w:left w:w="108" w:type="dxa"/>
              <w:bottom w:w="0" w:type="dxa"/>
              <w:right w:w="108" w:type="dxa"/>
            </w:tcMar>
            <w:vAlign w:val="center"/>
          </w:tcPr>
          <w:p w14:paraId="4C615751" w14:textId="77777777" w:rsidR="004B0883" w:rsidRDefault="004B0883">
            <w:pPr>
              <w:pStyle w:val="Default"/>
              <w:snapToGrid w:val="0"/>
              <w:jc w:val="center"/>
              <w:rPr>
                <w:rFonts w:ascii="Times New Roman" w:hAnsi="宋体" w:cs="Times New Roman"/>
                <w:b/>
                <w:bCs/>
                <w:sz w:val="21"/>
                <w:szCs w:val="21"/>
              </w:rPr>
            </w:pPr>
            <w:r>
              <w:rPr>
                <w:rFonts w:ascii="Times New Roman" w:hAnsi="宋体" w:cs="Times New Roman"/>
                <w:b/>
                <w:bCs/>
                <w:sz w:val="21"/>
                <w:szCs w:val="21"/>
              </w:rPr>
              <w:t>电话</w:t>
            </w:r>
          </w:p>
        </w:tc>
        <w:tc>
          <w:tcPr>
            <w:tcW w:w="2684" w:type="pct"/>
            <w:shd w:val="clear" w:color="auto" w:fill="FFFFFF"/>
            <w:tcMar>
              <w:top w:w="0" w:type="dxa"/>
              <w:left w:w="108" w:type="dxa"/>
              <w:bottom w:w="0" w:type="dxa"/>
              <w:right w:w="108" w:type="dxa"/>
            </w:tcMar>
            <w:vAlign w:val="center"/>
          </w:tcPr>
          <w:p w14:paraId="4D5F9D82" w14:textId="77777777" w:rsidR="004B0883" w:rsidRDefault="004B0883">
            <w:pPr>
              <w:adjustRightInd w:val="0"/>
              <w:snapToGrid w:val="0"/>
              <w:jc w:val="center"/>
            </w:pPr>
            <w:r>
              <w:t>0531-8166 6288</w:t>
            </w:r>
          </w:p>
        </w:tc>
      </w:tr>
      <w:tr w:rsidR="004B0883" w14:paraId="1C1DDE0C" w14:textId="77777777">
        <w:trPr>
          <w:trHeight w:val="397"/>
          <w:jc w:val="center"/>
        </w:trPr>
        <w:tc>
          <w:tcPr>
            <w:tcW w:w="2316" w:type="pct"/>
            <w:shd w:val="clear" w:color="auto" w:fill="D9D9D9"/>
            <w:tcMar>
              <w:top w:w="0" w:type="dxa"/>
              <w:left w:w="108" w:type="dxa"/>
              <w:bottom w:w="0" w:type="dxa"/>
              <w:right w:w="108" w:type="dxa"/>
            </w:tcMar>
            <w:vAlign w:val="center"/>
          </w:tcPr>
          <w:p w14:paraId="3F4A429C" w14:textId="77777777" w:rsidR="004B0883" w:rsidRDefault="004B0883">
            <w:pPr>
              <w:pStyle w:val="Default"/>
              <w:snapToGrid w:val="0"/>
              <w:jc w:val="center"/>
              <w:rPr>
                <w:rFonts w:ascii="Times New Roman" w:hAnsi="宋体" w:cs="Times New Roman"/>
                <w:b/>
                <w:bCs/>
                <w:sz w:val="21"/>
                <w:szCs w:val="21"/>
              </w:rPr>
            </w:pPr>
            <w:r>
              <w:rPr>
                <w:rFonts w:ascii="Times New Roman" w:hAnsi="宋体" w:cs="Times New Roman"/>
                <w:b/>
                <w:bCs/>
                <w:sz w:val="21"/>
                <w:szCs w:val="21"/>
              </w:rPr>
              <w:t>传真</w:t>
            </w:r>
          </w:p>
        </w:tc>
        <w:tc>
          <w:tcPr>
            <w:tcW w:w="2684" w:type="pct"/>
            <w:shd w:val="clear" w:color="auto" w:fill="FFFFFF"/>
            <w:tcMar>
              <w:top w:w="0" w:type="dxa"/>
              <w:left w:w="108" w:type="dxa"/>
              <w:bottom w:w="0" w:type="dxa"/>
              <w:right w:w="108" w:type="dxa"/>
            </w:tcMar>
            <w:vAlign w:val="center"/>
          </w:tcPr>
          <w:p w14:paraId="1EEA4320" w14:textId="77777777" w:rsidR="004B0883" w:rsidRDefault="004B0883">
            <w:pPr>
              <w:adjustRightInd w:val="0"/>
              <w:snapToGrid w:val="0"/>
              <w:jc w:val="center"/>
            </w:pPr>
            <w:r>
              <w:t>0531-8166 6288</w:t>
            </w:r>
          </w:p>
        </w:tc>
      </w:tr>
    </w:tbl>
    <w:p w14:paraId="40DC2769" w14:textId="77777777" w:rsidR="004B0883" w:rsidRDefault="004B0883">
      <w:pPr>
        <w:pStyle w:val="003"/>
        <w:spacing w:before="120" w:after="120"/>
        <w:rPr>
          <w:rFonts w:hint="eastAsia"/>
        </w:rPr>
      </w:pPr>
      <w:r>
        <w:rPr>
          <w:rFonts w:hint="eastAsia"/>
        </w:rPr>
        <w:t>（五）评级机构：</w:t>
      </w:r>
      <w:r>
        <w:rPr>
          <w:rFonts w:hint="eastAsia"/>
          <w:szCs w:val="22"/>
        </w:rPr>
        <w:t>中证鹏元资信评估股份有限公司</w:t>
      </w:r>
    </w:p>
    <w:tbl>
      <w:tblPr>
        <w:tblW w:w="5001"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837"/>
        <w:gridCol w:w="4447"/>
      </w:tblGrid>
      <w:tr w:rsidR="004B0883" w14:paraId="14ADBD0A" w14:textId="77777777">
        <w:trPr>
          <w:trHeight w:val="397"/>
          <w:jc w:val="center"/>
        </w:trPr>
        <w:tc>
          <w:tcPr>
            <w:tcW w:w="2316" w:type="pct"/>
            <w:shd w:val="clear" w:color="auto" w:fill="D9D9D9"/>
            <w:tcMar>
              <w:top w:w="0" w:type="dxa"/>
              <w:left w:w="108" w:type="dxa"/>
              <w:bottom w:w="0" w:type="dxa"/>
              <w:right w:w="108" w:type="dxa"/>
            </w:tcMar>
            <w:vAlign w:val="center"/>
          </w:tcPr>
          <w:p w14:paraId="58E0B1B2" w14:textId="77777777" w:rsidR="004B0883" w:rsidRDefault="004B0883">
            <w:pPr>
              <w:pStyle w:val="Default"/>
              <w:snapToGrid w:val="0"/>
              <w:jc w:val="center"/>
              <w:rPr>
                <w:rFonts w:ascii="Times New Roman" w:cs="Times New Roman"/>
                <w:b/>
                <w:bCs/>
                <w:sz w:val="21"/>
                <w:szCs w:val="21"/>
              </w:rPr>
            </w:pPr>
            <w:r>
              <w:rPr>
                <w:rFonts w:ascii="Times New Roman" w:hAnsi="宋体" w:cs="Times New Roman"/>
                <w:b/>
                <w:bCs/>
                <w:sz w:val="21"/>
                <w:szCs w:val="21"/>
              </w:rPr>
              <w:t>法定代表人</w:t>
            </w:r>
          </w:p>
        </w:tc>
        <w:tc>
          <w:tcPr>
            <w:tcW w:w="2684" w:type="pct"/>
            <w:shd w:val="clear" w:color="auto" w:fill="FFFFFF"/>
            <w:tcMar>
              <w:top w:w="0" w:type="dxa"/>
              <w:left w:w="108" w:type="dxa"/>
              <w:bottom w:w="0" w:type="dxa"/>
              <w:right w:w="108" w:type="dxa"/>
            </w:tcMar>
            <w:vAlign w:val="center"/>
          </w:tcPr>
          <w:p w14:paraId="3F0DEF9A" w14:textId="77777777" w:rsidR="004B0883" w:rsidRDefault="004B0883">
            <w:pPr>
              <w:adjustRightInd w:val="0"/>
              <w:snapToGrid w:val="0"/>
              <w:jc w:val="center"/>
            </w:pPr>
            <w:r>
              <w:rPr>
                <w:rFonts w:hint="eastAsia"/>
              </w:rPr>
              <w:t>张剑文</w:t>
            </w:r>
          </w:p>
        </w:tc>
      </w:tr>
      <w:tr w:rsidR="004B0883" w14:paraId="28F25D64" w14:textId="77777777">
        <w:trPr>
          <w:trHeight w:val="397"/>
          <w:jc w:val="center"/>
        </w:trPr>
        <w:tc>
          <w:tcPr>
            <w:tcW w:w="2316" w:type="pct"/>
            <w:shd w:val="clear" w:color="auto" w:fill="D9D9D9"/>
            <w:tcMar>
              <w:top w:w="0" w:type="dxa"/>
              <w:left w:w="108" w:type="dxa"/>
              <w:bottom w:w="0" w:type="dxa"/>
              <w:right w:w="108" w:type="dxa"/>
            </w:tcMar>
            <w:vAlign w:val="center"/>
          </w:tcPr>
          <w:p w14:paraId="6839F728" w14:textId="77777777" w:rsidR="004B0883" w:rsidRDefault="004B0883">
            <w:pPr>
              <w:pStyle w:val="Default"/>
              <w:snapToGrid w:val="0"/>
              <w:jc w:val="center"/>
              <w:rPr>
                <w:rFonts w:ascii="Times New Roman" w:cs="Times New Roman"/>
                <w:b/>
                <w:bCs/>
                <w:sz w:val="21"/>
                <w:szCs w:val="21"/>
              </w:rPr>
            </w:pPr>
            <w:r>
              <w:rPr>
                <w:rFonts w:ascii="Times New Roman" w:hAnsi="宋体" w:cs="Times New Roman"/>
                <w:b/>
                <w:bCs/>
                <w:sz w:val="21"/>
                <w:szCs w:val="21"/>
              </w:rPr>
              <w:t>办公地址</w:t>
            </w:r>
          </w:p>
        </w:tc>
        <w:tc>
          <w:tcPr>
            <w:tcW w:w="2684" w:type="pct"/>
            <w:shd w:val="clear" w:color="auto" w:fill="FFFFFF"/>
            <w:tcMar>
              <w:top w:w="0" w:type="dxa"/>
              <w:left w:w="108" w:type="dxa"/>
              <w:bottom w:w="0" w:type="dxa"/>
              <w:right w:w="108" w:type="dxa"/>
            </w:tcMar>
            <w:vAlign w:val="center"/>
          </w:tcPr>
          <w:p w14:paraId="12CBA129" w14:textId="77777777" w:rsidR="004B0883" w:rsidRDefault="004B0883">
            <w:pPr>
              <w:adjustRightInd w:val="0"/>
              <w:snapToGrid w:val="0"/>
              <w:jc w:val="center"/>
            </w:pPr>
            <w:r>
              <w:rPr>
                <w:rFonts w:hint="eastAsia"/>
              </w:rPr>
              <w:t>深圳市深南大道</w:t>
            </w:r>
            <w:r>
              <w:rPr>
                <w:rFonts w:hint="eastAsia"/>
              </w:rPr>
              <w:t>7008</w:t>
            </w:r>
            <w:r>
              <w:rPr>
                <w:rFonts w:hint="eastAsia"/>
              </w:rPr>
              <w:t>号阳光高尔夫大厦</w:t>
            </w:r>
            <w:r>
              <w:rPr>
                <w:rFonts w:hint="eastAsia"/>
              </w:rPr>
              <w:t>3</w:t>
            </w:r>
            <w:r>
              <w:rPr>
                <w:rFonts w:hint="eastAsia"/>
              </w:rPr>
              <w:t>楼</w:t>
            </w:r>
          </w:p>
        </w:tc>
      </w:tr>
      <w:tr w:rsidR="004B0883" w14:paraId="27CDA427" w14:textId="77777777">
        <w:trPr>
          <w:trHeight w:val="397"/>
          <w:jc w:val="center"/>
        </w:trPr>
        <w:tc>
          <w:tcPr>
            <w:tcW w:w="2316" w:type="pct"/>
            <w:shd w:val="clear" w:color="auto" w:fill="D9D9D9"/>
            <w:tcMar>
              <w:top w:w="0" w:type="dxa"/>
              <w:left w:w="108" w:type="dxa"/>
              <w:bottom w:w="0" w:type="dxa"/>
              <w:right w:w="108" w:type="dxa"/>
            </w:tcMar>
            <w:vAlign w:val="center"/>
          </w:tcPr>
          <w:p w14:paraId="74F58158" w14:textId="77777777" w:rsidR="004B0883" w:rsidRDefault="004B0883">
            <w:pPr>
              <w:pStyle w:val="Default"/>
              <w:snapToGrid w:val="0"/>
              <w:jc w:val="center"/>
              <w:rPr>
                <w:rFonts w:ascii="Times New Roman" w:cs="Times New Roman"/>
                <w:b/>
                <w:bCs/>
                <w:sz w:val="21"/>
                <w:szCs w:val="21"/>
              </w:rPr>
            </w:pPr>
            <w:r>
              <w:rPr>
                <w:rFonts w:ascii="Times New Roman" w:hAnsi="宋体" w:cs="Times New Roman"/>
                <w:b/>
                <w:bCs/>
                <w:sz w:val="21"/>
                <w:szCs w:val="21"/>
              </w:rPr>
              <w:t>签字评级人员</w:t>
            </w:r>
          </w:p>
        </w:tc>
        <w:tc>
          <w:tcPr>
            <w:tcW w:w="2684" w:type="pct"/>
            <w:shd w:val="clear" w:color="auto" w:fill="FFFFFF"/>
            <w:tcMar>
              <w:top w:w="0" w:type="dxa"/>
              <w:left w:w="108" w:type="dxa"/>
              <w:bottom w:w="0" w:type="dxa"/>
              <w:right w:w="108" w:type="dxa"/>
            </w:tcMar>
            <w:vAlign w:val="center"/>
          </w:tcPr>
          <w:p w14:paraId="096FF9C5" w14:textId="77777777" w:rsidR="004B0883" w:rsidRDefault="004B0883">
            <w:pPr>
              <w:adjustRightInd w:val="0"/>
              <w:snapToGrid w:val="0"/>
              <w:jc w:val="center"/>
            </w:pPr>
            <w:r>
              <w:rPr>
                <w:rFonts w:hint="eastAsia"/>
              </w:rPr>
              <w:t>游云星、王皓立</w:t>
            </w:r>
          </w:p>
        </w:tc>
      </w:tr>
      <w:tr w:rsidR="004B0883" w14:paraId="10E1DF0E" w14:textId="77777777">
        <w:trPr>
          <w:trHeight w:val="397"/>
          <w:jc w:val="center"/>
        </w:trPr>
        <w:tc>
          <w:tcPr>
            <w:tcW w:w="2316" w:type="pct"/>
            <w:shd w:val="clear" w:color="auto" w:fill="D9D9D9"/>
            <w:tcMar>
              <w:top w:w="0" w:type="dxa"/>
              <w:left w:w="108" w:type="dxa"/>
              <w:bottom w:w="0" w:type="dxa"/>
              <w:right w:w="108" w:type="dxa"/>
            </w:tcMar>
            <w:vAlign w:val="center"/>
          </w:tcPr>
          <w:p w14:paraId="171F3EBE" w14:textId="77777777" w:rsidR="004B0883" w:rsidRDefault="004B0883">
            <w:pPr>
              <w:pStyle w:val="Default"/>
              <w:snapToGrid w:val="0"/>
              <w:jc w:val="center"/>
              <w:rPr>
                <w:rFonts w:ascii="Times New Roman" w:cs="Times New Roman"/>
                <w:b/>
                <w:bCs/>
                <w:sz w:val="21"/>
                <w:szCs w:val="21"/>
              </w:rPr>
            </w:pPr>
            <w:r>
              <w:rPr>
                <w:rFonts w:ascii="Times New Roman" w:hAnsi="宋体" w:cs="Times New Roman"/>
                <w:b/>
                <w:bCs/>
                <w:sz w:val="21"/>
                <w:szCs w:val="21"/>
              </w:rPr>
              <w:t>联系人</w:t>
            </w:r>
          </w:p>
        </w:tc>
        <w:tc>
          <w:tcPr>
            <w:tcW w:w="2684" w:type="pct"/>
            <w:shd w:val="clear" w:color="auto" w:fill="FFFFFF"/>
            <w:tcMar>
              <w:top w:w="0" w:type="dxa"/>
              <w:left w:w="108" w:type="dxa"/>
              <w:bottom w:w="0" w:type="dxa"/>
              <w:right w:w="108" w:type="dxa"/>
            </w:tcMar>
            <w:vAlign w:val="center"/>
          </w:tcPr>
          <w:p w14:paraId="24B6B8F2" w14:textId="77777777" w:rsidR="004B0883" w:rsidRDefault="004B0883">
            <w:pPr>
              <w:adjustRightInd w:val="0"/>
              <w:snapToGrid w:val="0"/>
              <w:jc w:val="center"/>
            </w:pPr>
            <w:r>
              <w:rPr>
                <w:rFonts w:hint="eastAsia"/>
              </w:rPr>
              <w:t>游云星、王皓立</w:t>
            </w:r>
          </w:p>
        </w:tc>
      </w:tr>
      <w:tr w:rsidR="004B0883" w14:paraId="6555E2EE" w14:textId="77777777">
        <w:trPr>
          <w:trHeight w:val="397"/>
          <w:jc w:val="center"/>
        </w:trPr>
        <w:tc>
          <w:tcPr>
            <w:tcW w:w="2316" w:type="pct"/>
            <w:shd w:val="clear" w:color="auto" w:fill="D9D9D9"/>
            <w:tcMar>
              <w:top w:w="0" w:type="dxa"/>
              <w:left w:w="108" w:type="dxa"/>
              <w:bottom w:w="0" w:type="dxa"/>
              <w:right w:w="108" w:type="dxa"/>
            </w:tcMar>
            <w:vAlign w:val="center"/>
          </w:tcPr>
          <w:p w14:paraId="4436C5F9" w14:textId="77777777" w:rsidR="004B0883" w:rsidRDefault="004B0883">
            <w:pPr>
              <w:pStyle w:val="Default"/>
              <w:snapToGrid w:val="0"/>
              <w:jc w:val="center"/>
              <w:rPr>
                <w:rFonts w:ascii="Times New Roman" w:cs="Times New Roman"/>
                <w:b/>
                <w:bCs/>
                <w:sz w:val="21"/>
                <w:szCs w:val="21"/>
              </w:rPr>
            </w:pPr>
            <w:r>
              <w:rPr>
                <w:rFonts w:ascii="Times New Roman" w:hAnsi="宋体" w:cs="Times New Roman"/>
                <w:b/>
                <w:bCs/>
                <w:sz w:val="21"/>
                <w:szCs w:val="21"/>
              </w:rPr>
              <w:t>电话</w:t>
            </w:r>
          </w:p>
        </w:tc>
        <w:tc>
          <w:tcPr>
            <w:tcW w:w="2684" w:type="pct"/>
            <w:shd w:val="clear" w:color="auto" w:fill="FFFFFF"/>
            <w:tcMar>
              <w:top w:w="0" w:type="dxa"/>
              <w:left w:w="108" w:type="dxa"/>
              <w:bottom w:w="0" w:type="dxa"/>
              <w:right w:w="108" w:type="dxa"/>
            </w:tcMar>
            <w:vAlign w:val="center"/>
          </w:tcPr>
          <w:p w14:paraId="0455A98B" w14:textId="77777777" w:rsidR="004B0883" w:rsidRDefault="004B0883">
            <w:pPr>
              <w:adjustRightInd w:val="0"/>
              <w:snapToGrid w:val="0"/>
              <w:jc w:val="center"/>
            </w:pPr>
            <w:r>
              <w:t>0755-8287 2897</w:t>
            </w:r>
          </w:p>
        </w:tc>
      </w:tr>
      <w:tr w:rsidR="004B0883" w14:paraId="3546694B" w14:textId="77777777">
        <w:trPr>
          <w:trHeight w:val="397"/>
          <w:jc w:val="center"/>
        </w:trPr>
        <w:tc>
          <w:tcPr>
            <w:tcW w:w="2316" w:type="pct"/>
            <w:shd w:val="clear" w:color="auto" w:fill="D9D9D9"/>
            <w:tcMar>
              <w:top w:w="0" w:type="dxa"/>
              <w:left w:w="108" w:type="dxa"/>
              <w:bottom w:w="0" w:type="dxa"/>
              <w:right w:w="108" w:type="dxa"/>
            </w:tcMar>
            <w:vAlign w:val="center"/>
          </w:tcPr>
          <w:p w14:paraId="2AEFAF76" w14:textId="77777777" w:rsidR="004B0883" w:rsidRDefault="004B0883">
            <w:pPr>
              <w:pStyle w:val="Default"/>
              <w:snapToGrid w:val="0"/>
              <w:jc w:val="center"/>
              <w:rPr>
                <w:rFonts w:ascii="Times New Roman" w:cs="Times New Roman"/>
                <w:b/>
                <w:bCs/>
                <w:sz w:val="21"/>
                <w:szCs w:val="21"/>
              </w:rPr>
            </w:pPr>
            <w:r>
              <w:rPr>
                <w:rFonts w:ascii="Times New Roman" w:hAnsi="宋体" w:cs="Times New Roman"/>
                <w:b/>
                <w:bCs/>
                <w:sz w:val="21"/>
                <w:szCs w:val="21"/>
              </w:rPr>
              <w:t>传真</w:t>
            </w:r>
          </w:p>
        </w:tc>
        <w:tc>
          <w:tcPr>
            <w:tcW w:w="2684" w:type="pct"/>
            <w:shd w:val="clear" w:color="auto" w:fill="FFFFFF"/>
            <w:tcMar>
              <w:top w:w="0" w:type="dxa"/>
              <w:left w:w="108" w:type="dxa"/>
              <w:bottom w:w="0" w:type="dxa"/>
              <w:right w:w="108" w:type="dxa"/>
            </w:tcMar>
            <w:vAlign w:val="center"/>
          </w:tcPr>
          <w:p w14:paraId="482B0407" w14:textId="77777777" w:rsidR="004B0883" w:rsidRDefault="004B0883">
            <w:pPr>
              <w:adjustRightInd w:val="0"/>
              <w:snapToGrid w:val="0"/>
              <w:jc w:val="center"/>
            </w:pPr>
            <w:r>
              <w:t>0755-8287 2090</w:t>
            </w:r>
          </w:p>
        </w:tc>
      </w:tr>
    </w:tbl>
    <w:p w14:paraId="69423989" w14:textId="77777777" w:rsidR="004B0883" w:rsidRDefault="004B0883">
      <w:pPr>
        <w:pStyle w:val="003"/>
        <w:spacing w:before="120" w:after="120"/>
        <w:rPr>
          <w:rFonts w:hint="eastAsia"/>
        </w:rPr>
      </w:pPr>
      <w:r>
        <w:rPr>
          <w:rFonts w:hint="eastAsia"/>
        </w:rPr>
        <w:t>（六）申请上市的证券交易所：深圳证券交易所</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836"/>
        <w:gridCol w:w="4446"/>
      </w:tblGrid>
      <w:tr w:rsidR="004B0883" w14:paraId="4168F123" w14:textId="77777777">
        <w:trPr>
          <w:trHeight w:val="397"/>
          <w:jc w:val="center"/>
        </w:trPr>
        <w:tc>
          <w:tcPr>
            <w:tcW w:w="2316" w:type="pct"/>
            <w:shd w:val="clear" w:color="auto" w:fill="D9D9D9"/>
            <w:tcMar>
              <w:top w:w="0" w:type="dxa"/>
              <w:left w:w="108" w:type="dxa"/>
              <w:bottom w:w="0" w:type="dxa"/>
              <w:right w:w="108" w:type="dxa"/>
            </w:tcMar>
            <w:vAlign w:val="center"/>
          </w:tcPr>
          <w:p w14:paraId="2CA62E10" w14:textId="77777777" w:rsidR="004B0883" w:rsidRDefault="004B0883">
            <w:pPr>
              <w:pStyle w:val="Default"/>
              <w:snapToGrid w:val="0"/>
              <w:jc w:val="center"/>
              <w:rPr>
                <w:rFonts w:ascii="Times New Roman" w:cs="Times New Roman"/>
                <w:b/>
                <w:bCs/>
                <w:sz w:val="21"/>
                <w:szCs w:val="21"/>
              </w:rPr>
            </w:pPr>
            <w:r>
              <w:rPr>
                <w:rFonts w:ascii="Times New Roman" w:hAnsi="宋体" w:cs="Times New Roman"/>
                <w:b/>
                <w:bCs/>
                <w:sz w:val="21"/>
                <w:szCs w:val="21"/>
              </w:rPr>
              <w:t>办公地址</w:t>
            </w:r>
          </w:p>
        </w:tc>
        <w:tc>
          <w:tcPr>
            <w:tcW w:w="2684" w:type="pct"/>
            <w:shd w:val="clear" w:color="auto" w:fill="FFFFFF"/>
            <w:tcMar>
              <w:top w:w="0" w:type="dxa"/>
              <w:left w:w="108" w:type="dxa"/>
              <w:bottom w:w="0" w:type="dxa"/>
              <w:right w:w="108" w:type="dxa"/>
            </w:tcMar>
            <w:vAlign w:val="center"/>
          </w:tcPr>
          <w:p w14:paraId="7E41E7DC" w14:textId="77777777" w:rsidR="004B0883" w:rsidRDefault="004B0883">
            <w:pPr>
              <w:pStyle w:val="Default"/>
              <w:snapToGrid w:val="0"/>
              <w:jc w:val="center"/>
              <w:rPr>
                <w:rFonts w:ascii="Times New Roman" w:cs="Times New Roman"/>
                <w:sz w:val="21"/>
                <w:szCs w:val="21"/>
              </w:rPr>
            </w:pPr>
            <w:r>
              <w:rPr>
                <w:rFonts w:ascii="Times New Roman" w:hAnsi="宋体" w:cs="Times New Roman"/>
                <w:sz w:val="21"/>
                <w:szCs w:val="21"/>
              </w:rPr>
              <w:t>深圳市福田区莲花街道福田区深南大道</w:t>
            </w:r>
            <w:r>
              <w:rPr>
                <w:rFonts w:ascii="Times New Roman" w:cs="Times New Roman"/>
                <w:sz w:val="21"/>
                <w:szCs w:val="21"/>
              </w:rPr>
              <w:t>2012</w:t>
            </w:r>
            <w:r>
              <w:rPr>
                <w:rFonts w:ascii="Times New Roman" w:hAnsi="宋体" w:cs="Times New Roman"/>
                <w:sz w:val="21"/>
                <w:szCs w:val="21"/>
              </w:rPr>
              <w:t>号</w:t>
            </w:r>
          </w:p>
        </w:tc>
      </w:tr>
      <w:tr w:rsidR="004B0883" w14:paraId="07561514" w14:textId="77777777">
        <w:trPr>
          <w:trHeight w:val="397"/>
          <w:jc w:val="center"/>
        </w:trPr>
        <w:tc>
          <w:tcPr>
            <w:tcW w:w="2316" w:type="pct"/>
            <w:shd w:val="clear" w:color="auto" w:fill="D9D9D9"/>
            <w:tcMar>
              <w:top w:w="0" w:type="dxa"/>
              <w:left w:w="108" w:type="dxa"/>
              <w:bottom w:w="0" w:type="dxa"/>
              <w:right w:w="108" w:type="dxa"/>
            </w:tcMar>
            <w:vAlign w:val="center"/>
          </w:tcPr>
          <w:p w14:paraId="71F79C43" w14:textId="77777777" w:rsidR="004B0883" w:rsidRDefault="004B0883">
            <w:pPr>
              <w:pStyle w:val="Default"/>
              <w:snapToGrid w:val="0"/>
              <w:jc w:val="center"/>
              <w:rPr>
                <w:rFonts w:ascii="Times New Roman" w:cs="Times New Roman"/>
                <w:b/>
                <w:bCs/>
                <w:sz w:val="21"/>
                <w:szCs w:val="21"/>
              </w:rPr>
            </w:pPr>
            <w:r>
              <w:rPr>
                <w:rFonts w:ascii="Times New Roman" w:hAnsi="宋体" w:cs="Times New Roman"/>
                <w:b/>
                <w:bCs/>
                <w:sz w:val="21"/>
                <w:szCs w:val="21"/>
              </w:rPr>
              <w:t>电话</w:t>
            </w:r>
          </w:p>
        </w:tc>
        <w:tc>
          <w:tcPr>
            <w:tcW w:w="2684" w:type="pct"/>
            <w:shd w:val="clear" w:color="auto" w:fill="FFFFFF"/>
            <w:tcMar>
              <w:top w:w="0" w:type="dxa"/>
              <w:left w:w="108" w:type="dxa"/>
              <w:bottom w:w="0" w:type="dxa"/>
              <w:right w:w="108" w:type="dxa"/>
            </w:tcMar>
            <w:vAlign w:val="center"/>
          </w:tcPr>
          <w:p w14:paraId="43329A4B" w14:textId="77777777" w:rsidR="004B0883" w:rsidRDefault="004B0883">
            <w:pPr>
              <w:pStyle w:val="Default"/>
              <w:snapToGrid w:val="0"/>
              <w:jc w:val="center"/>
              <w:rPr>
                <w:rFonts w:ascii="Times New Roman" w:cs="Times New Roman"/>
                <w:sz w:val="21"/>
                <w:szCs w:val="21"/>
              </w:rPr>
            </w:pPr>
            <w:r>
              <w:rPr>
                <w:rFonts w:ascii="Times New Roman" w:cs="Times New Roman"/>
                <w:sz w:val="21"/>
                <w:szCs w:val="21"/>
              </w:rPr>
              <w:t>0755-8866 8888</w:t>
            </w:r>
          </w:p>
        </w:tc>
      </w:tr>
      <w:tr w:rsidR="004B0883" w14:paraId="46C8B979" w14:textId="77777777">
        <w:trPr>
          <w:trHeight w:val="397"/>
          <w:jc w:val="center"/>
        </w:trPr>
        <w:tc>
          <w:tcPr>
            <w:tcW w:w="2316" w:type="pct"/>
            <w:shd w:val="clear" w:color="auto" w:fill="D9D9D9"/>
            <w:tcMar>
              <w:top w:w="0" w:type="dxa"/>
              <w:left w:w="108" w:type="dxa"/>
              <w:bottom w:w="0" w:type="dxa"/>
              <w:right w:w="108" w:type="dxa"/>
            </w:tcMar>
            <w:vAlign w:val="center"/>
          </w:tcPr>
          <w:p w14:paraId="0C734DFA" w14:textId="77777777" w:rsidR="004B0883" w:rsidRDefault="004B0883">
            <w:pPr>
              <w:pStyle w:val="Default"/>
              <w:snapToGrid w:val="0"/>
              <w:jc w:val="center"/>
              <w:rPr>
                <w:rFonts w:ascii="Times New Roman" w:cs="Times New Roman"/>
                <w:b/>
                <w:bCs/>
                <w:sz w:val="21"/>
                <w:szCs w:val="21"/>
              </w:rPr>
            </w:pPr>
            <w:r>
              <w:rPr>
                <w:rFonts w:ascii="Times New Roman" w:hAnsi="宋体" w:cs="Times New Roman"/>
                <w:b/>
                <w:bCs/>
                <w:sz w:val="21"/>
                <w:szCs w:val="21"/>
              </w:rPr>
              <w:t>传真</w:t>
            </w:r>
          </w:p>
        </w:tc>
        <w:tc>
          <w:tcPr>
            <w:tcW w:w="2684" w:type="pct"/>
            <w:shd w:val="clear" w:color="auto" w:fill="FFFFFF"/>
            <w:tcMar>
              <w:top w:w="0" w:type="dxa"/>
              <w:left w:w="108" w:type="dxa"/>
              <w:bottom w:w="0" w:type="dxa"/>
              <w:right w:w="108" w:type="dxa"/>
            </w:tcMar>
            <w:vAlign w:val="center"/>
          </w:tcPr>
          <w:p w14:paraId="3E831BA7" w14:textId="77777777" w:rsidR="004B0883" w:rsidRDefault="004B0883">
            <w:pPr>
              <w:pStyle w:val="Default"/>
              <w:snapToGrid w:val="0"/>
              <w:jc w:val="center"/>
              <w:rPr>
                <w:rFonts w:ascii="Times New Roman" w:cs="Times New Roman"/>
                <w:sz w:val="21"/>
                <w:szCs w:val="21"/>
              </w:rPr>
            </w:pPr>
            <w:r>
              <w:rPr>
                <w:rFonts w:ascii="Times New Roman" w:cs="Times New Roman"/>
                <w:sz w:val="21"/>
                <w:szCs w:val="21"/>
              </w:rPr>
              <w:t>0755-8208 3295</w:t>
            </w:r>
          </w:p>
        </w:tc>
      </w:tr>
    </w:tbl>
    <w:p w14:paraId="1D802EB3" w14:textId="77777777" w:rsidR="004B0883" w:rsidRDefault="004B0883">
      <w:pPr>
        <w:pStyle w:val="003"/>
        <w:spacing w:before="120" w:after="120"/>
        <w:rPr>
          <w:rFonts w:hint="eastAsia"/>
        </w:rPr>
      </w:pPr>
      <w:r>
        <w:rPr>
          <w:rFonts w:hint="eastAsia"/>
        </w:rPr>
        <w:t>（七）登记机构：中国证券登记结算有限责任公司深圳分公司</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816"/>
        <w:gridCol w:w="4466"/>
      </w:tblGrid>
      <w:tr w:rsidR="004B0883" w14:paraId="7B98C9E7" w14:textId="77777777">
        <w:trPr>
          <w:trHeight w:val="397"/>
          <w:jc w:val="center"/>
        </w:trPr>
        <w:tc>
          <w:tcPr>
            <w:tcW w:w="2304" w:type="pct"/>
            <w:shd w:val="clear" w:color="auto" w:fill="D9D9D9"/>
            <w:tcMar>
              <w:top w:w="0" w:type="dxa"/>
              <w:left w:w="108" w:type="dxa"/>
              <w:bottom w:w="0" w:type="dxa"/>
              <w:right w:w="108" w:type="dxa"/>
            </w:tcMar>
            <w:vAlign w:val="center"/>
          </w:tcPr>
          <w:p w14:paraId="598C5767" w14:textId="77777777" w:rsidR="004B0883" w:rsidRDefault="004B0883">
            <w:pPr>
              <w:pStyle w:val="Default"/>
              <w:snapToGrid w:val="0"/>
              <w:jc w:val="center"/>
              <w:rPr>
                <w:rFonts w:ascii="Times New Roman" w:cs="Times New Roman"/>
                <w:b/>
                <w:bCs/>
                <w:sz w:val="21"/>
                <w:szCs w:val="21"/>
              </w:rPr>
            </w:pPr>
            <w:r>
              <w:rPr>
                <w:rFonts w:ascii="Times New Roman" w:hAnsi="宋体" w:cs="Times New Roman"/>
                <w:b/>
                <w:bCs/>
                <w:sz w:val="21"/>
                <w:szCs w:val="21"/>
              </w:rPr>
              <w:t>办公地址</w:t>
            </w:r>
          </w:p>
        </w:tc>
        <w:tc>
          <w:tcPr>
            <w:tcW w:w="2696" w:type="pct"/>
            <w:shd w:val="clear" w:color="auto" w:fill="FFFFFF"/>
            <w:tcMar>
              <w:top w:w="0" w:type="dxa"/>
              <w:left w:w="108" w:type="dxa"/>
              <w:bottom w:w="0" w:type="dxa"/>
              <w:right w:w="108" w:type="dxa"/>
            </w:tcMar>
            <w:vAlign w:val="center"/>
          </w:tcPr>
          <w:p w14:paraId="7801E41B" w14:textId="77777777" w:rsidR="004B0883" w:rsidRDefault="004B0883">
            <w:pPr>
              <w:pStyle w:val="Default"/>
              <w:snapToGrid w:val="0"/>
              <w:jc w:val="center"/>
              <w:rPr>
                <w:rFonts w:ascii="Times New Roman" w:cs="Times New Roman"/>
                <w:sz w:val="21"/>
                <w:szCs w:val="21"/>
              </w:rPr>
            </w:pPr>
            <w:r>
              <w:rPr>
                <w:rFonts w:ascii="Times New Roman" w:hAnsi="宋体" w:cs="Times New Roman"/>
                <w:sz w:val="21"/>
                <w:szCs w:val="21"/>
              </w:rPr>
              <w:t>深圳证券交易所广场</w:t>
            </w:r>
            <w:r>
              <w:rPr>
                <w:rFonts w:ascii="Times New Roman" w:cs="Times New Roman"/>
                <w:sz w:val="21"/>
                <w:szCs w:val="21"/>
              </w:rPr>
              <w:t>25</w:t>
            </w:r>
            <w:r>
              <w:rPr>
                <w:rFonts w:ascii="Times New Roman" w:hAnsi="宋体" w:cs="Times New Roman"/>
                <w:sz w:val="21"/>
                <w:szCs w:val="21"/>
              </w:rPr>
              <w:t>楼</w:t>
            </w:r>
          </w:p>
        </w:tc>
      </w:tr>
      <w:tr w:rsidR="004B0883" w14:paraId="28B767B7" w14:textId="77777777">
        <w:trPr>
          <w:trHeight w:val="397"/>
          <w:jc w:val="center"/>
        </w:trPr>
        <w:tc>
          <w:tcPr>
            <w:tcW w:w="2304" w:type="pct"/>
            <w:shd w:val="clear" w:color="auto" w:fill="D9D9D9"/>
            <w:tcMar>
              <w:top w:w="0" w:type="dxa"/>
              <w:left w:w="108" w:type="dxa"/>
              <w:bottom w:w="0" w:type="dxa"/>
              <w:right w:w="108" w:type="dxa"/>
            </w:tcMar>
            <w:vAlign w:val="center"/>
          </w:tcPr>
          <w:p w14:paraId="2F86AAEA" w14:textId="77777777" w:rsidR="004B0883" w:rsidRDefault="004B0883">
            <w:pPr>
              <w:pStyle w:val="Default"/>
              <w:snapToGrid w:val="0"/>
              <w:jc w:val="center"/>
              <w:rPr>
                <w:rFonts w:ascii="Times New Roman" w:cs="Times New Roman"/>
                <w:b/>
                <w:bCs/>
                <w:sz w:val="21"/>
                <w:szCs w:val="21"/>
              </w:rPr>
            </w:pPr>
            <w:r>
              <w:rPr>
                <w:rFonts w:ascii="Times New Roman" w:hAnsi="宋体" w:cs="Times New Roman"/>
                <w:b/>
                <w:bCs/>
                <w:sz w:val="21"/>
                <w:szCs w:val="21"/>
              </w:rPr>
              <w:t>电话</w:t>
            </w:r>
          </w:p>
        </w:tc>
        <w:tc>
          <w:tcPr>
            <w:tcW w:w="2696" w:type="pct"/>
            <w:shd w:val="clear" w:color="auto" w:fill="FFFFFF"/>
            <w:tcMar>
              <w:top w:w="0" w:type="dxa"/>
              <w:left w:w="108" w:type="dxa"/>
              <w:bottom w:w="0" w:type="dxa"/>
              <w:right w:w="108" w:type="dxa"/>
            </w:tcMar>
            <w:vAlign w:val="center"/>
          </w:tcPr>
          <w:p w14:paraId="5C57A08F" w14:textId="77777777" w:rsidR="004B0883" w:rsidRDefault="004B0883">
            <w:pPr>
              <w:pStyle w:val="Default"/>
              <w:snapToGrid w:val="0"/>
              <w:jc w:val="center"/>
              <w:rPr>
                <w:rFonts w:ascii="Times New Roman" w:cs="Times New Roman"/>
                <w:sz w:val="21"/>
                <w:szCs w:val="21"/>
              </w:rPr>
            </w:pPr>
            <w:r>
              <w:rPr>
                <w:rFonts w:ascii="Times New Roman" w:cs="Times New Roman"/>
                <w:sz w:val="21"/>
                <w:szCs w:val="21"/>
              </w:rPr>
              <w:t>0755-2189 9999</w:t>
            </w:r>
          </w:p>
        </w:tc>
      </w:tr>
      <w:tr w:rsidR="004B0883" w14:paraId="6B09C257" w14:textId="77777777">
        <w:trPr>
          <w:trHeight w:val="397"/>
          <w:jc w:val="center"/>
        </w:trPr>
        <w:tc>
          <w:tcPr>
            <w:tcW w:w="2304" w:type="pct"/>
            <w:shd w:val="clear" w:color="auto" w:fill="D9D9D9"/>
            <w:tcMar>
              <w:top w:w="0" w:type="dxa"/>
              <w:left w:w="108" w:type="dxa"/>
              <w:bottom w:w="0" w:type="dxa"/>
              <w:right w:w="108" w:type="dxa"/>
            </w:tcMar>
            <w:vAlign w:val="center"/>
          </w:tcPr>
          <w:p w14:paraId="1F12A230" w14:textId="77777777" w:rsidR="004B0883" w:rsidRDefault="004B0883">
            <w:pPr>
              <w:pStyle w:val="Default"/>
              <w:snapToGrid w:val="0"/>
              <w:jc w:val="center"/>
              <w:rPr>
                <w:rFonts w:ascii="Times New Roman" w:cs="Times New Roman"/>
                <w:b/>
                <w:bCs/>
                <w:sz w:val="21"/>
                <w:szCs w:val="21"/>
              </w:rPr>
            </w:pPr>
            <w:r>
              <w:rPr>
                <w:rFonts w:ascii="Times New Roman" w:hAnsi="宋体" w:cs="Times New Roman"/>
                <w:b/>
                <w:bCs/>
                <w:sz w:val="21"/>
                <w:szCs w:val="21"/>
              </w:rPr>
              <w:t>传真</w:t>
            </w:r>
          </w:p>
        </w:tc>
        <w:tc>
          <w:tcPr>
            <w:tcW w:w="2696" w:type="pct"/>
            <w:shd w:val="clear" w:color="auto" w:fill="FFFFFF"/>
            <w:tcMar>
              <w:top w:w="0" w:type="dxa"/>
              <w:left w:w="108" w:type="dxa"/>
              <w:bottom w:w="0" w:type="dxa"/>
              <w:right w:w="108" w:type="dxa"/>
            </w:tcMar>
            <w:vAlign w:val="center"/>
          </w:tcPr>
          <w:p w14:paraId="28E4C296" w14:textId="77777777" w:rsidR="004B0883" w:rsidRDefault="004B0883">
            <w:pPr>
              <w:pStyle w:val="Default"/>
              <w:snapToGrid w:val="0"/>
              <w:jc w:val="center"/>
              <w:rPr>
                <w:rFonts w:ascii="Times New Roman" w:cs="Times New Roman"/>
                <w:sz w:val="21"/>
                <w:szCs w:val="21"/>
              </w:rPr>
            </w:pPr>
            <w:r>
              <w:rPr>
                <w:rFonts w:ascii="Times New Roman" w:cs="Times New Roman"/>
                <w:sz w:val="21"/>
                <w:szCs w:val="21"/>
              </w:rPr>
              <w:t>0755-2189 9000</w:t>
            </w:r>
          </w:p>
        </w:tc>
      </w:tr>
    </w:tbl>
    <w:p w14:paraId="7071793E" w14:textId="77777777" w:rsidR="004B0883" w:rsidRDefault="004B0883">
      <w:pPr>
        <w:pStyle w:val="003"/>
        <w:spacing w:before="120" w:after="120"/>
        <w:rPr>
          <w:rFonts w:hint="eastAsia"/>
        </w:rPr>
      </w:pPr>
      <w:r>
        <w:rPr>
          <w:rFonts w:hint="eastAsia"/>
        </w:rPr>
        <w:t>（八）收款银行：【】</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816"/>
        <w:gridCol w:w="4466"/>
      </w:tblGrid>
      <w:tr w:rsidR="004B0883" w14:paraId="1A830DB5" w14:textId="77777777">
        <w:trPr>
          <w:trHeight w:val="397"/>
          <w:jc w:val="center"/>
        </w:trPr>
        <w:tc>
          <w:tcPr>
            <w:tcW w:w="2304" w:type="pct"/>
            <w:shd w:val="clear" w:color="auto" w:fill="D9D9D9"/>
            <w:tcMar>
              <w:top w:w="0" w:type="dxa"/>
              <w:left w:w="108" w:type="dxa"/>
              <w:bottom w:w="0" w:type="dxa"/>
              <w:right w:w="108" w:type="dxa"/>
            </w:tcMar>
            <w:vAlign w:val="center"/>
          </w:tcPr>
          <w:p w14:paraId="4C452041" w14:textId="77777777" w:rsidR="004B0883" w:rsidRDefault="004B0883">
            <w:pPr>
              <w:pStyle w:val="Default"/>
              <w:snapToGrid w:val="0"/>
              <w:jc w:val="center"/>
              <w:rPr>
                <w:rFonts w:ascii="Times New Roman" w:cs="Times New Roman"/>
                <w:b/>
                <w:bCs/>
                <w:sz w:val="21"/>
                <w:szCs w:val="21"/>
              </w:rPr>
            </w:pPr>
            <w:r>
              <w:rPr>
                <w:rFonts w:ascii="Times New Roman" w:hAnsi="宋体" w:cs="Times New Roman"/>
                <w:b/>
                <w:bCs/>
                <w:sz w:val="21"/>
                <w:szCs w:val="21"/>
              </w:rPr>
              <w:t>开户行</w:t>
            </w:r>
          </w:p>
        </w:tc>
        <w:tc>
          <w:tcPr>
            <w:tcW w:w="2696" w:type="pct"/>
            <w:shd w:val="clear" w:color="auto" w:fill="FFFFFF"/>
            <w:tcMar>
              <w:top w:w="0" w:type="dxa"/>
              <w:left w:w="108" w:type="dxa"/>
              <w:bottom w:w="0" w:type="dxa"/>
              <w:right w:w="108" w:type="dxa"/>
            </w:tcMar>
            <w:vAlign w:val="center"/>
          </w:tcPr>
          <w:p w14:paraId="12F34AA3" w14:textId="77777777" w:rsidR="004B0883" w:rsidRDefault="004B0883">
            <w:pPr>
              <w:pStyle w:val="Default"/>
              <w:snapToGrid w:val="0"/>
              <w:jc w:val="center"/>
              <w:rPr>
                <w:rFonts w:ascii="Times New Roman" w:cs="Times New Roman"/>
                <w:sz w:val="21"/>
                <w:szCs w:val="21"/>
              </w:rPr>
            </w:pPr>
            <w:r>
              <w:rPr>
                <w:rFonts w:ascii="Times New Roman" w:hAnsi="宋体" w:cs="Times New Roman"/>
                <w:sz w:val="21"/>
                <w:szCs w:val="21"/>
              </w:rPr>
              <w:t>【】</w:t>
            </w:r>
          </w:p>
        </w:tc>
      </w:tr>
      <w:tr w:rsidR="004B0883" w14:paraId="1D8B9EDE" w14:textId="77777777">
        <w:trPr>
          <w:trHeight w:val="397"/>
          <w:jc w:val="center"/>
        </w:trPr>
        <w:tc>
          <w:tcPr>
            <w:tcW w:w="2304" w:type="pct"/>
            <w:shd w:val="clear" w:color="auto" w:fill="D9D9D9"/>
            <w:tcMar>
              <w:top w:w="0" w:type="dxa"/>
              <w:left w:w="108" w:type="dxa"/>
              <w:bottom w:w="0" w:type="dxa"/>
              <w:right w:w="108" w:type="dxa"/>
            </w:tcMar>
            <w:vAlign w:val="center"/>
          </w:tcPr>
          <w:p w14:paraId="30B19EF7" w14:textId="77777777" w:rsidR="004B0883" w:rsidRDefault="004B0883">
            <w:pPr>
              <w:pStyle w:val="Default"/>
              <w:snapToGrid w:val="0"/>
              <w:jc w:val="center"/>
              <w:rPr>
                <w:rFonts w:ascii="Times New Roman" w:cs="Times New Roman"/>
                <w:b/>
                <w:bCs/>
                <w:sz w:val="21"/>
                <w:szCs w:val="21"/>
              </w:rPr>
            </w:pPr>
            <w:r>
              <w:rPr>
                <w:rFonts w:ascii="Times New Roman" w:hAnsi="宋体" w:cs="Times New Roman"/>
                <w:b/>
                <w:bCs/>
                <w:sz w:val="21"/>
                <w:szCs w:val="21"/>
              </w:rPr>
              <w:t>开户名</w:t>
            </w:r>
          </w:p>
        </w:tc>
        <w:tc>
          <w:tcPr>
            <w:tcW w:w="2696" w:type="pct"/>
            <w:shd w:val="clear" w:color="auto" w:fill="FFFFFF"/>
            <w:tcMar>
              <w:top w:w="0" w:type="dxa"/>
              <w:left w:w="108" w:type="dxa"/>
              <w:bottom w:w="0" w:type="dxa"/>
              <w:right w:w="108" w:type="dxa"/>
            </w:tcMar>
            <w:vAlign w:val="center"/>
          </w:tcPr>
          <w:p w14:paraId="292C24C7" w14:textId="77777777" w:rsidR="004B0883" w:rsidRDefault="004B0883">
            <w:pPr>
              <w:pStyle w:val="Default"/>
              <w:snapToGrid w:val="0"/>
              <w:jc w:val="center"/>
              <w:rPr>
                <w:rFonts w:ascii="Times New Roman" w:cs="Times New Roman"/>
                <w:sz w:val="21"/>
                <w:szCs w:val="21"/>
              </w:rPr>
            </w:pPr>
            <w:r>
              <w:rPr>
                <w:rFonts w:ascii="Times New Roman" w:hAnsi="宋体" w:cs="Times New Roman"/>
                <w:sz w:val="21"/>
                <w:szCs w:val="21"/>
              </w:rPr>
              <w:t>【】</w:t>
            </w:r>
          </w:p>
        </w:tc>
      </w:tr>
      <w:tr w:rsidR="004B0883" w14:paraId="53AD723C" w14:textId="77777777">
        <w:trPr>
          <w:trHeight w:val="397"/>
          <w:jc w:val="center"/>
        </w:trPr>
        <w:tc>
          <w:tcPr>
            <w:tcW w:w="2304" w:type="pct"/>
            <w:shd w:val="clear" w:color="auto" w:fill="D9D9D9"/>
            <w:tcMar>
              <w:top w:w="0" w:type="dxa"/>
              <w:left w:w="108" w:type="dxa"/>
              <w:bottom w:w="0" w:type="dxa"/>
              <w:right w:w="108" w:type="dxa"/>
            </w:tcMar>
            <w:vAlign w:val="center"/>
          </w:tcPr>
          <w:p w14:paraId="105A6373" w14:textId="77777777" w:rsidR="004B0883" w:rsidRDefault="004B0883">
            <w:pPr>
              <w:pStyle w:val="Default"/>
              <w:snapToGrid w:val="0"/>
              <w:jc w:val="center"/>
              <w:rPr>
                <w:rFonts w:ascii="Times New Roman" w:cs="Times New Roman"/>
                <w:b/>
                <w:bCs/>
                <w:sz w:val="21"/>
                <w:szCs w:val="21"/>
              </w:rPr>
            </w:pPr>
            <w:r>
              <w:rPr>
                <w:rFonts w:ascii="Times New Roman" w:hAnsi="宋体" w:cs="Times New Roman"/>
                <w:b/>
                <w:bCs/>
                <w:sz w:val="21"/>
                <w:szCs w:val="21"/>
              </w:rPr>
              <w:t>银行账号</w:t>
            </w:r>
          </w:p>
        </w:tc>
        <w:tc>
          <w:tcPr>
            <w:tcW w:w="2696" w:type="pct"/>
            <w:shd w:val="clear" w:color="auto" w:fill="FFFFFF"/>
            <w:tcMar>
              <w:top w:w="0" w:type="dxa"/>
              <w:left w:w="108" w:type="dxa"/>
              <w:bottom w:w="0" w:type="dxa"/>
              <w:right w:w="108" w:type="dxa"/>
            </w:tcMar>
            <w:vAlign w:val="center"/>
          </w:tcPr>
          <w:p w14:paraId="76A5DA1D" w14:textId="77777777" w:rsidR="004B0883" w:rsidRDefault="004B0883">
            <w:pPr>
              <w:pStyle w:val="Default"/>
              <w:snapToGrid w:val="0"/>
              <w:jc w:val="center"/>
              <w:rPr>
                <w:rFonts w:ascii="Times New Roman" w:cs="Times New Roman"/>
                <w:sz w:val="21"/>
                <w:szCs w:val="21"/>
              </w:rPr>
            </w:pPr>
            <w:r>
              <w:rPr>
                <w:rFonts w:ascii="Times New Roman" w:hAnsi="宋体" w:cs="Times New Roman"/>
                <w:sz w:val="21"/>
                <w:szCs w:val="21"/>
              </w:rPr>
              <w:t>【】</w:t>
            </w:r>
          </w:p>
        </w:tc>
      </w:tr>
    </w:tbl>
    <w:p w14:paraId="4004509F" w14:textId="77777777" w:rsidR="004B0883" w:rsidRDefault="004B0883">
      <w:pPr>
        <w:pStyle w:val="002"/>
        <w:spacing w:before="120" w:after="120"/>
        <w:rPr>
          <w:rFonts w:hint="eastAsia"/>
        </w:rPr>
      </w:pPr>
      <w:bookmarkStart w:id="104" w:name="_Toc152320783"/>
      <w:r>
        <w:rPr>
          <w:rFonts w:hint="eastAsia"/>
        </w:rPr>
        <w:t>八、发行人与本次发行有关人员之间的关系</w:t>
      </w:r>
      <w:bookmarkEnd w:id="104"/>
    </w:p>
    <w:p w14:paraId="0095C207" w14:textId="77777777" w:rsidR="004B0883" w:rsidRDefault="004B0883">
      <w:pPr>
        <w:pStyle w:val="005"/>
        <w:spacing w:before="120"/>
        <w:ind w:firstLine="480"/>
        <w:rPr>
          <w:rFonts w:hint="eastAsia"/>
        </w:rPr>
      </w:pPr>
      <w:r>
        <w:rPr>
          <w:rFonts w:hint="eastAsia"/>
          <w:lang w:val="zh-CN"/>
        </w:rPr>
        <w:t>经核查，截至</w:t>
      </w:r>
      <w:r>
        <w:rPr>
          <w:lang w:val="zh-CN"/>
        </w:rPr>
        <w:t>2023</w:t>
      </w:r>
      <w:r>
        <w:rPr>
          <w:lang w:val="zh-CN"/>
        </w:rPr>
        <w:t>年</w:t>
      </w:r>
      <w:r>
        <w:rPr>
          <w:rFonts w:hint="eastAsia"/>
        </w:rPr>
        <w:t>9</w:t>
      </w:r>
      <w:r>
        <w:rPr>
          <w:lang w:val="zh-CN"/>
        </w:rPr>
        <w:t>月</w:t>
      </w:r>
      <w:r>
        <w:rPr>
          <w:lang w:val="zh-CN"/>
        </w:rPr>
        <w:t>3</w:t>
      </w:r>
      <w:r>
        <w:rPr>
          <w:rFonts w:hint="eastAsia"/>
        </w:rPr>
        <w:t>0</w:t>
      </w:r>
      <w:r>
        <w:rPr>
          <w:lang w:val="zh-CN"/>
        </w:rPr>
        <w:t>日，保荐机构自营业务股票账户持有发行人股票</w:t>
      </w:r>
      <w:r>
        <w:rPr>
          <w:rFonts w:hint="eastAsia"/>
        </w:rPr>
        <w:t>249,727</w:t>
      </w:r>
      <w:r>
        <w:rPr>
          <w:lang w:val="zh-CN"/>
        </w:rPr>
        <w:t>股，信用融券专户持有发行人股票</w:t>
      </w:r>
      <w:r>
        <w:rPr>
          <w:lang w:val="zh-CN"/>
        </w:rPr>
        <w:t>0</w:t>
      </w:r>
      <w:r>
        <w:rPr>
          <w:lang w:val="zh-CN"/>
        </w:rPr>
        <w:t>股，资产管理业务股票账户持有发行人股票</w:t>
      </w:r>
      <w:r>
        <w:rPr>
          <w:lang w:val="zh-CN"/>
        </w:rPr>
        <w:t>0</w:t>
      </w:r>
      <w:r>
        <w:rPr>
          <w:lang w:val="zh-CN"/>
        </w:rPr>
        <w:t>股；保荐机构重要子公司（包括华夏基金管理有限公司、中信期货有限公司、金石投资有限公司、中信证券投资有限公司、中信里昂证券有限公司和中信证券华南股份有限公司）持有发行人股票</w:t>
      </w:r>
      <w:r>
        <w:rPr>
          <w:rFonts w:hint="eastAsia"/>
        </w:rPr>
        <w:t>636,344</w:t>
      </w:r>
      <w:r>
        <w:rPr>
          <w:lang w:val="zh-CN"/>
        </w:rPr>
        <w:t>股。保荐机构已建立并执行严格的信息隔离墙制度，上述情形不会影响保荐机构正常履行保荐及承销职责</w:t>
      </w:r>
      <w:r>
        <w:rPr>
          <w:rFonts w:hint="eastAsia"/>
        </w:rPr>
        <w:t>。</w:t>
      </w:r>
    </w:p>
    <w:p w14:paraId="0C4126FE" w14:textId="77777777" w:rsidR="004B0883" w:rsidRDefault="004B0883">
      <w:pPr>
        <w:pStyle w:val="005"/>
        <w:spacing w:before="120"/>
        <w:ind w:firstLine="480"/>
        <w:rPr>
          <w:rFonts w:hint="eastAsia"/>
        </w:rPr>
      </w:pPr>
      <w:r>
        <w:rPr>
          <w:rFonts w:hint="eastAsia"/>
        </w:rPr>
        <w:t>除上述情形外，公司与本次发行有关的保荐人、承销机构、证券服务机构及其负责人、高级管理人员、经办人员之间不存在任何直接或间接的股权关系或其他权益关系。</w:t>
      </w:r>
    </w:p>
    <w:p w14:paraId="3A818457" w14:textId="77777777" w:rsidR="004B0883" w:rsidRDefault="004B0883">
      <w:pPr>
        <w:pStyle w:val="001"/>
        <w:spacing w:before="120" w:after="120"/>
        <w:rPr>
          <w:rFonts w:hint="eastAsia"/>
        </w:rPr>
      </w:pPr>
      <w:bookmarkStart w:id="105" w:name="_Toc152320784"/>
      <w:r>
        <w:rPr>
          <w:rFonts w:hint="eastAsia"/>
        </w:rPr>
        <w:t>第三节</w:t>
      </w:r>
      <w:r>
        <w:rPr>
          <w:rFonts w:hint="eastAsia"/>
        </w:rPr>
        <w:t xml:space="preserve">  </w:t>
      </w:r>
      <w:r>
        <w:rPr>
          <w:rFonts w:hint="eastAsia"/>
        </w:rPr>
        <w:t>风险因素</w:t>
      </w:r>
      <w:bookmarkEnd w:id="56"/>
      <w:bookmarkEnd w:id="105"/>
    </w:p>
    <w:p w14:paraId="15BEC713" w14:textId="77777777" w:rsidR="004B0883" w:rsidRDefault="004B0883">
      <w:pPr>
        <w:pStyle w:val="002"/>
        <w:spacing w:before="120" w:after="120"/>
      </w:pPr>
      <w:bookmarkStart w:id="106" w:name="_Toc124743201"/>
      <w:bookmarkStart w:id="107" w:name="_Toc124859182"/>
      <w:bookmarkStart w:id="108" w:name="_Toc152320785"/>
      <w:bookmarkStart w:id="109" w:name="_Toc124266603"/>
      <w:bookmarkStart w:id="110" w:name="_Hlk491348247"/>
      <w:bookmarkStart w:id="111" w:name="_Toc531080714"/>
      <w:bookmarkStart w:id="112" w:name="_Toc42001319"/>
      <w:bookmarkStart w:id="113" w:name="_Toc42001325"/>
      <w:bookmarkStart w:id="114" w:name="_Toc497172340"/>
      <w:bookmarkStart w:id="115" w:name="_Hlk486807066"/>
      <w:bookmarkStart w:id="116" w:name="_Toc421960237"/>
      <w:bookmarkStart w:id="117" w:name="_Toc396815093"/>
      <w:bookmarkStart w:id="118" w:name="_Toc492469613"/>
      <w:bookmarkStart w:id="119" w:name="_Toc456466229"/>
      <w:bookmarkStart w:id="120" w:name="_Toc444987243"/>
      <w:bookmarkStart w:id="121" w:name="_Toc421960240"/>
      <w:bookmarkEnd w:id="35"/>
      <w:r>
        <w:rPr>
          <w:rFonts w:hint="eastAsia"/>
        </w:rPr>
        <w:t>一、与发行人相关的风险</w:t>
      </w:r>
      <w:bookmarkEnd w:id="106"/>
      <w:bookmarkEnd w:id="107"/>
      <w:bookmarkEnd w:id="108"/>
      <w:bookmarkEnd w:id="109"/>
    </w:p>
    <w:p w14:paraId="52E7EE61" w14:textId="77777777" w:rsidR="004B0883" w:rsidRDefault="004B0883">
      <w:pPr>
        <w:keepNext/>
        <w:keepLines/>
        <w:widowControl w:val="0"/>
        <w:snapToGrid w:val="0"/>
        <w:spacing w:beforeLines="50" w:before="120" w:line="360" w:lineRule="auto"/>
        <w:ind w:left="482"/>
        <w:jc w:val="both"/>
        <w:outlineLvl w:val="2"/>
        <w:rPr>
          <w:rFonts w:eastAsia="黑体"/>
          <w:b/>
          <w:bCs/>
          <w:sz w:val="24"/>
          <w:szCs w:val="28"/>
        </w:rPr>
      </w:pPr>
      <w:r>
        <w:rPr>
          <w:rFonts w:eastAsia="黑体" w:hint="eastAsia"/>
          <w:b/>
          <w:bCs/>
          <w:sz w:val="24"/>
          <w:szCs w:val="28"/>
        </w:rPr>
        <w:t>（一）募集资金投资项目风险</w:t>
      </w:r>
    </w:p>
    <w:p w14:paraId="26B0EE35" w14:textId="77777777" w:rsidR="004B0883" w:rsidRDefault="004B0883">
      <w:pPr>
        <w:keepNext/>
        <w:keepLines/>
        <w:widowControl w:val="0"/>
        <w:spacing w:beforeLines="50" w:before="120" w:line="360" w:lineRule="auto"/>
        <w:ind w:firstLineChars="200" w:firstLine="482"/>
        <w:jc w:val="both"/>
        <w:outlineLvl w:val="3"/>
        <w:rPr>
          <w:b/>
          <w:bCs/>
          <w:sz w:val="24"/>
          <w:szCs w:val="28"/>
        </w:rPr>
      </w:pPr>
      <w:bookmarkStart w:id="122" w:name="_Hlk139979637"/>
      <w:r>
        <w:rPr>
          <w:rFonts w:hint="eastAsia"/>
          <w:b/>
          <w:bCs/>
          <w:sz w:val="24"/>
          <w:szCs w:val="28"/>
        </w:rPr>
        <w:t>1</w:t>
      </w:r>
      <w:r>
        <w:rPr>
          <w:rFonts w:hint="eastAsia"/>
          <w:b/>
          <w:bCs/>
          <w:sz w:val="24"/>
          <w:szCs w:val="28"/>
        </w:rPr>
        <w:t>、</w:t>
      </w:r>
      <w:r>
        <w:rPr>
          <w:b/>
          <w:bCs/>
          <w:sz w:val="24"/>
          <w:szCs w:val="28"/>
        </w:rPr>
        <w:t>募集资金投资项目产能消化风险</w:t>
      </w:r>
    </w:p>
    <w:p w14:paraId="6CAF4177" w14:textId="77777777" w:rsidR="004B0883" w:rsidRDefault="004B0883">
      <w:pPr>
        <w:widowControl w:val="0"/>
        <w:spacing w:beforeLines="50" w:before="120" w:line="360" w:lineRule="auto"/>
        <w:ind w:firstLineChars="200" w:firstLine="480"/>
        <w:jc w:val="both"/>
        <w:rPr>
          <w:sz w:val="24"/>
          <w:szCs w:val="22"/>
        </w:rPr>
      </w:pPr>
      <w:bookmarkStart w:id="123" w:name="_Hlk139980839"/>
      <w:r>
        <w:rPr>
          <w:rFonts w:hint="eastAsia"/>
          <w:sz w:val="24"/>
          <w:szCs w:val="22"/>
        </w:rPr>
        <w:t>公司本次募集资金投资项目是经过对市场空间的分析和自身发展战略、在手订单的规划而设定的，预计本次募投项目新增产能可以得到合理消化。公司已基于自身在细分行业中的竞争力、拥有的客户基础和资源以及市场开发能力，对该等投资项目进行了必要性和可行性的充分研究和论证，但若公司不能有效执行消化新增产能的相关措施，或未来出现下游市场增长未及预期、公司市场开拓受阻或产业扩张过度等不利情形，公司将有可能面临新增产能无法完全消化的风险，以及募集资金投资项目投产后达不到预期收益甚至短期内无法盈利的风险，进而对经营业绩产生不利影响</w:t>
      </w:r>
      <w:bookmarkEnd w:id="123"/>
      <w:r>
        <w:rPr>
          <w:rFonts w:hint="eastAsia"/>
          <w:sz w:val="24"/>
          <w:szCs w:val="22"/>
        </w:rPr>
        <w:t>。</w:t>
      </w:r>
    </w:p>
    <w:p w14:paraId="1A6F66BF" w14:textId="77777777" w:rsidR="004B0883" w:rsidRDefault="004B0883">
      <w:pPr>
        <w:keepNext/>
        <w:keepLines/>
        <w:widowControl w:val="0"/>
        <w:spacing w:beforeLines="50" w:before="120" w:line="360" w:lineRule="auto"/>
        <w:ind w:firstLineChars="200" w:firstLine="482"/>
        <w:jc w:val="both"/>
        <w:outlineLvl w:val="3"/>
        <w:rPr>
          <w:b/>
          <w:bCs/>
          <w:sz w:val="24"/>
          <w:szCs w:val="28"/>
        </w:rPr>
      </w:pPr>
      <w:r>
        <w:rPr>
          <w:b/>
          <w:bCs/>
          <w:sz w:val="24"/>
          <w:szCs w:val="28"/>
        </w:rPr>
        <w:t>2</w:t>
      </w:r>
      <w:r>
        <w:rPr>
          <w:rFonts w:hint="eastAsia"/>
          <w:b/>
          <w:bCs/>
          <w:sz w:val="24"/>
          <w:szCs w:val="28"/>
        </w:rPr>
        <w:t>、募集资金投资项目实施风险</w:t>
      </w:r>
    </w:p>
    <w:p w14:paraId="3EC5723F"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公司本次</w:t>
      </w:r>
      <w:r>
        <w:rPr>
          <w:sz w:val="24"/>
          <w:szCs w:val="22"/>
        </w:rPr>
        <w:t>募集资金扣除发行费用后</w:t>
      </w:r>
      <w:bookmarkStart w:id="124" w:name="_Hlk152185656"/>
      <w:r>
        <w:rPr>
          <w:sz w:val="24"/>
          <w:szCs w:val="22"/>
        </w:rPr>
        <w:t>将全部用于</w:t>
      </w:r>
      <w:r>
        <w:rPr>
          <w:rFonts w:ascii="宋体" w:hAnsi="宋体" w:hint="eastAsia"/>
          <w:sz w:val="24"/>
          <w:szCs w:val="22"/>
        </w:rPr>
        <w:t>“智慧节能阀门建设项目”</w:t>
      </w:r>
      <w:bookmarkStart w:id="125" w:name="_Hlk145921833"/>
      <w:r>
        <w:rPr>
          <w:rFonts w:ascii="宋体" w:hAnsi="宋体" w:hint="eastAsia"/>
          <w:sz w:val="24"/>
          <w:szCs w:val="22"/>
        </w:rPr>
        <w:t>和补充流动资金</w:t>
      </w:r>
      <w:bookmarkEnd w:id="124"/>
      <w:bookmarkEnd w:id="125"/>
      <w:r>
        <w:rPr>
          <w:sz w:val="24"/>
          <w:szCs w:val="22"/>
        </w:rPr>
        <w:t>，属于公司主营业务范畴，与公司发展战略密切相关。</w:t>
      </w:r>
      <w:r>
        <w:rPr>
          <w:rFonts w:hint="eastAsia"/>
          <w:sz w:val="24"/>
          <w:szCs w:val="22"/>
        </w:rPr>
        <w:t>虽然公司具备实施本次募投项目的技术能力，并对本次募集资金投资项目进行了充分论证，但是募投项目的实施是一个系统工程，需要一定时间，若在实施过程中，出现本次发行失败或者募集资金无法按计划募足并到位、募集资金投资项目实施组织管理不力、下游市场的开拓不达预期、相关研发技术</w:t>
      </w:r>
      <w:r>
        <w:rPr>
          <w:rFonts w:hint="eastAsia"/>
        </w:rPr>
        <w:t>、</w:t>
      </w:r>
      <w:r>
        <w:rPr>
          <w:rFonts w:hint="eastAsia"/>
          <w:sz w:val="24"/>
          <w:szCs w:val="22"/>
        </w:rPr>
        <w:t>认证资质无法取得、因特殊情况导致客户无法通过验证等其他不可预见因素，造成募集资金投资项目无法实施、延期实施或新增产能无法及时消化，将对募集资金投资项目的完成进度和投资收益产生一定影响。</w:t>
      </w:r>
    </w:p>
    <w:p w14:paraId="37BCB1F4" w14:textId="77777777" w:rsidR="004B0883" w:rsidRDefault="004B0883">
      <w:pPr>
        <w:keepNext/>
        <w:keepLines/>
        <w:widowControl w:val="0"/>
        <w:spacing w:beforeLines="50" w:before="120" w:line="360" w:lineRule="auto"/>
        <w:ind w:firstLineChars="200" w:firstLine="482"/>
        <w:jc w:val="both"/>
        <w:outlineLvl w:val="3"/>
        <w:rPr>
          <w:b/>
          <w:bCs/>
          <w:sz w:val="24"/>
          <w:szCs w:val="28"/>
        </w:rPr>
      </w:pPr>
      <w:r>
        <w:rPr>
          <w:b/>
          <w:bCs/>
          <w:sz w:val="24"/>
          <w:szCs w:val="28"/>
        </w:rPr>
        <w:t>3</w:t>
      </w:r>
      <w:r>
        <w:rPr>
          <w:rFonts w:hint="eastAsia"/>
          <w:b/>
          <w:bCs/>
          <w:sz w:val="24"/>
          <w:szCs w:val="28"/>
        </w:rPr>
        <w:t>、募集资金投资项目新增折旧摊销的风险</w:t>
      </w:r>
    </w:p>
    <w:p w14:paraId="5D03BA07"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本次募集资金投资项目投资金额较大，募集资金投资项目运营稳定后，每年新增折旧及摊销金额为</w:t>
      </w:r>
      <w:r>
        <w:rPr>
          <w:sz w:val="24"/>
          <w:szCs w:val="22"/>
        </w:rPr>
        <w:t>1,884.29</w:t>
      </w:r>
      <w:r>
        <w:rPr>
          <w:sz w:val="24"/>
          <w:szCs w:val="22"/>
        </w:rPr>
        <w:t>万元，占项目营业收入比例为</w:t>
      </w:r>
      <w:r>
        <w:rPr>
          <w:sz w:val="24"/>
          <w:szCs w:val="22"/>
        </w:rPr>
        <w:t>4.66%</w:t>
      </w:r>
      <w:r>
        <w:rPr>
          <w:sz w:val="24"/>
          <w:szCs w:val="22"/>
        </w:rPr>
        <w:t>，对公司未来的经营业绩存在一定影响。尽管本次募集资金投资项目预期效益良好，项目顺利实施后能够有效地消化新增折旧摊销的影响，但是由于募集资金投资项目的建设需要一定的周期，若项目实施后，市场环境等因素发生重大不利变化，则新增折旧摊销可能对本次募集资金投资项目投资收益造成不利影响，继而对发行人未来的经营业绩产生不利影响。</w:t>
      </w:r>
    </w:p>
    <w:p w14:paraId="730476F5" w14:textId="77777777" w:rsidR="004B0883" w:rsidRDefault="004B0883">
      <w:pPr>
        <w:keepNext/>
        <w:keepLines/>
        <w:widowControl w:val="0"/>
        <w:spacing w:beforeLines="50" w:before="120" w:line="360" w:lineRule="auto"/>
        <w:ind w:firstLineChars="200" w:firstLine="482"/>
        <w:jc w:val="both"/>
        <w:outlineLvl w:val="3"/>
        <w:rPr>
          <w:rFonts w:ascii="楷体" w:eastAsia="楷体" w:hAnsi="楷体"/>
          <w:b/>
          <w:bCs/>
          <w:sz w:val="24"/>
          <w:szCs w:val="28"/>
        </w:rPr>
      </w:pPr>
      <w:bookmarkStart w:id="126" w:name="_Hlk154687070"/>
      <w:bookmarkStart w:id="127" w:name="_Hlk154687886"/>
      <w:r>
        <w:rPr>
          <w:rFonts w:ascii="楷体" w:eastAsia="楷体" w:hAnsi="楷体"/>
          <w:b/>
          <w:bCs/>
          <w:sz w:val="24"/>
          <w:szCs w:val="28"/>
        </w:rPr>
        <w:t>4</w:t>
      </w:r>
      <w:r>
        <w:rPr>
          <w:rFonts w:ascii="楷体" w:eastAsia="楷体" w:hAnsi="楷体" w:hint="eastAsia"/>
          <w:b/>
          <w:bCs/>
          <w:sz w:val="24"/>
          <w:szCs w:val="28"/>
        </w:rPr>
        <w:t>、</w:t>
      </w:r>
      <w:bookmarkStart w:id="128" w:name="_Hlk154687838"/>
      <w:r>
        <w:rPr>
          <w:rFonts w:ascii="楷体" w:eastAsia="楷体" w:hAnsi="楷体" w:hint="eastAsia"/>
          <w:b/>
          <w:bCs/>
          <w:sz w:val="24"/>
          <w:szCs w:val="28"/>
        </w:rPr>
        <w:t>募集资金投资项目效益未达预期</w:t>
      </w:r>
      <w:bookmarkEnd w:id="128"/>
      <w:r>
        <w:rPr>
          <w:rFonts w:ascii="楷体" w:eastAsia="楷体" w:hAnsi="楷体" w:hint="eastAsia"/>
          <w:b/>
          <w:bCs/>
          <w:sz w:val="24"/>
          <w:szCs w:val="28"/>
        </w:rPr>
        <w:t>的</w:t>
      </w:r>
      <w:bookmarkEnd w:id="126"/>
      <w:r>
        <w:rPr>
          <w:rFonts w:ascii="楷体" w:eastAsia="楷体" w:hAnsi="楷体" w:hint="eastAsia"/>
          <w:b/>
          <w:bCs/>
          <w:sz w:val="24"/>
          <w:szCs w:val="28"/>
        </w:rPr>
        <w:t>风险</w:t>
      </w:r>
    </w:p>
    <w:p w14:paraId="0D547BBC" w14:textId="77777777" w:rsidR="004B0883" w:rsidRDefault="004B0883">
      <w:pPr>
        <w:widowControl w:val="0"/>
        <w:spacing w:beforeLines="50" w:before="120" w:line="360" w:lineRule="auto"/>
        <w:ind w:firstLineChars="200" w:firstLine="482"/>
        <w:jc w:val="both"/>
        <w:rPr>
          <w:rFonts w:ascii="楷体" w:eastAsia="楷体" w:hAnsi="楷体" w:hint="eastAsia"/>
          <w:b/>
          <w:sz w:val="24"/>
          <w:szCs w:val="22"/>
        </w:rPr>
      </w:pPr>
      <w:bookmarkStart w:id="129" w:name="_Hlk154687101"/>
      <w:bookmarkStart w:id="130" w:name="_Hlk155035669"/>
      <w:r>
        <w:rPr>
          <w:rFonts w:ascii="楷体" w:eastAsia="楷体" w:hAnsi="楷体" w:hint="eastAsia"/>
          <w:b/>
          <w:sz w:val="24"/>
          <w:szCs w:val="22"/>
        </w:rPr>
        <w:t>公司结合行业发展趋势、市场现状及自身业务情况对本次募集资金投资项目进行了合理的测算。由于本次募集资金投资项目的实施存在一定周期，公司对募集资金投资项目的经济效益为预测性信息，投资项目虽经过了慎重、充分的可行性研究论证，但仍存在因市场环境及行业技术水平发生较大变化等不可预见因素，导致募集资金投资项目效益未达预期的风险</w:t>
      </w:r>
      <w:bookmarkEnd w:id="129"/>
      <w:r>
        <w:rPr>
          <w:rFonts w:ascii="楷体" w:eastAsia="楷体" w:hAnsi="楷体"/>
          <w:b/>
          <w:sz w:val="24"/>
          <w:szCs w:val="22"/>
        </w:rPr>
        <w:t>。</w:t>
      </w:r>
    </w:p>
    <w:bookmarkEnd w:id="122"/>
    <w:bookmarkEnd w:id="127"/>
    <w:bookmarkEnd w:id="130"/>
    <w:p w14:paraId="7D1B8FF8" w14:textId="77777777" w:rsidR="004B0883" w:rsidRDefault="004B0883">
      <w:pPr>
        <w:keepNext/>
        <w:keepLines/>
        <w:widowControl w:val="0"/>
        <w:snapToGrid w:val="0"/>
        <w:spacing w:beforeLines="50" w:before="120" w:line="360" w:lineRule="auto"/>
        <w:ind w:left="482"/>
        <w:jc w:val="both"/>
        <w:outlineLvl w:val="2"/>
        <w:rPr>
          <w:rFonts w:eastAsia="黑体"/>
          <w:b/>
          <w:bCs/>
          <w:sz w:val="24"/>
          <w:szCs w:val="28"/>
        </w:rPr>
      </w:pPr>
      <w:r>
        <w:rPr>
          <w:rFonts w:eastAsia="黑体" w:hint="eastAsia"/>
          <w:b/>
          <w:bCs/>
          <w:sz w:val="24"/>
          <w:szCs w:val="28"/>
        </w:rPr>
        <w:t>（二）经营和技术风险</w:t>
      </w:r>
    </w:p>
    <w:p w14:paraId="256F1189" w14:textId="77777777" w:rsidR="004B0883" w:rsidRDefault="004B0883">
      <w:pPr>
        <w:keepNext/>
        <w:keepLines/>
        <w:widowControl w:val="0"/>
        <w:spacing w:beforeLines="50" w:before="120" w:line="360" w:lineRule="auto"/>
        <w:ind w:firstLineChars="200" w:firstLine="482"/>
        <w:jc w:val="both"/>
        <w:outlineLvl w:val="3"/>
        <w:rPr>
          <w:b/>
          <w:bCs/>
          <w:sz w:val="24"/>
          <w:szCs w:val="28"/>
        </w:rPr>
      </w:pPr>
      <w:bookmarkStart w:id="131" w:name="_Hlk139979658"/>
      <w:r>
        <w:rPr>
          <w:b/>
          <w:bCs/>
          <w:sz w:val="24"/>
          <w:szCs w:val="28"/>
        </w:rPr>
        <w:t>1</w:t>
      </w:r>
      <w:r>
        <w:rPr>
          <w:rFonts w:hint="eastAsia"/>
          <w:b/>
          <w:bCs/>
          <w:sz w:val="24"/>
          <w:szCs w:val="28"/>
        </w:rPr>
        <w:t>、</w:t>
      </w:r>
      <w:r>
        <w:rPr>
          <w:b/>
          <w:bCs/>
          <w:sz w:val="24"/>
          <w:szCs w:val="28"/>
        </w:rPr>
        <w:t>原材料价格波动风险</w:t>
      </w:r>
    </w:p>
    <w:p w14:paraId="310072BD" w14:textId="77777777" w:rsidR="004B0883" w:rsidRDefault="004B0883">
      <w:pPr>
        <w:widowControl w:val="0"/>
        <w:spacing w:beforeLines="50" w:before="120" w:line="360" w:lineRule="auto"/>
        <w:ind w:firstLineChars="200" w:firstLine="480"/>
        <w:jc w:val="both"/>
        <w:rPr>
          <w:rFonts w:hint="eastAsia"/>
          <w:sz w:val="24"/>
          <w:szCs w:val="22"/>
        </w:rPr>
      </w:pPr>
      <w:bookmarkStart w:id="132" w:name="_Hlk139980958"/>
      <w:r>
        <w:rPr>
          <w:rFonts w:hint="eastAsia"/>
          <w:sz w:val="24"/>
          <w:szCs w:val="22"/>
        </w:rPr>
        <w:t>公司生产经营所需的原材料主要包括铸件、加工件、生铁、废钢、阀杆和驱动头等，受钢铁、有色金属等大宗物资价格波动影响较大。报告期内，原材料成本占公司主营业务成本的比例较大。受市场供求、市场预期</w:t>
      </w:r>
      <w:bookmarkStart w:id="133" w:name="_Hlk154312866"/>
      <w:r>
        <w:rPr>
          <w:rFonts w:ascii="楷体" w:eastAsia="楷体" w:hAnsi="楷体" w:hint="eastAsia"/>
          <w:b/>
          <w:sz w:val="24"/>
          <w:szCs w:val="28"/>
        </w:rPr>
        <w:t>和供应商自身经营状况</w:t>
      </w:r>
      <w:bookmarkEnd w:id="133"/>
      <w:r>
        <w:rPr>
          <w:rFonts w:hint="eastAsia"/>
          <w:sz w:val="24"/>
          <w:szCs w:val="22"/>
        </w:rPr>
        <w:t>等多重因素影响，阀门原材料价格波动较大，对公司营业成本产生一定影响。公司已通过与供应商开展战略合作和签署长期订单等方式保障原材料供应稳定。</w:t>
      </w:r>
    </w:p>
    <w:p w14:paraId="793E7873"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虽然公司已建立了较为完善的供应链管理体系，但未来如果受国际政治经济形势、国家宏观调控政策及市场供求变动、市场预期</w:t>
      </w:r>
      <w:r>
        <w:rPr>
          <w:rFonts w:ascii="楷体" w:eastAsia="楷体" w:hAnsi="楷体" w:hint="eastAsia"/>
          <w:b/>
          <w:sz w:val="24"/>
          <w:szCs w:val="28"/>
        </w:rPr>
        <w:t>和供应商自身经营状况</w:t>
      </w:r>
      <w:r>
        <w:rPr>
          <w:rFonts w:hint="eastAsia"/>
          <w:sz w:val="24"/>
          <w:szCs w:val="22"/>
        </w:rPr>
        <w:t>等因素影响，发生上游原材料短缺或价格大幅上涨等情形，将使得公司不能及时采购生产经营所需的原材料或者采购价格较高，进而对公司的生产经营造成不利影响</w:t>
      </w:r>
      <w:bookmarkEnd w:id="132"/>
      <w:r>
        <w:rPr>
          <w:rFonts w:hint="eastAsia"/>
          <w:sz w:val="24"/>
          <w:szCs w:val="22"/>
        </w:rPr>
        <w:t>。</w:t>
      </w:r>
    </w:p>
    <w:p w14:paraId="6C9FD207" w14:textId="77777777" w:rsidR="004B0883" w:rsidRDefault="004B0883">
      <w:pPr>
        <w:keepNext/>
        <w:keepLines/>
        <w:widowControl w:val="0"/>
        <w:spacing w:beforeLines="50" w:before="120" w:line="360" w:lineRule="auto"/>
        <w:ind w:firstLineChars="200" w:firstLine="482"/>
        <w:jc w:val="both"/>
        <w:outlineLvl w:val="3"/>
        <w:rPr>
          <w:b/>
          <w:bCs/>
          <w:sz w:val="24"/>
          <w:szCs w:val="28"/>
          <w:lang w:val="zh-CN"/>
        </w:rPr>
      </w:pPr>
      <w:r>
        <w:rPr>
          <w:rFonts w:hint="eastAsia"/>
          <w:b/>
          <w:bCs/>
          <w:sz w:val="24"/>
          <w:szCs w:val="28"/>
          <w:lang w:val="zh-CN"/>
        </w:rPr>
        <w:t>2</w:t>
      </w:r>
      <w:r>
        <w:rPr>
          <w:rFonts w:hint="eastAsia"/>
          <w:b/>
          <w:bCs/>
          <w:sz w:val="24"/>
          <w:szCs w:val="28"/>
          <w:lang w:val="zh-CN"/>
        </w:rPr>
        <w:t>、技术进步和产品迭代引起的风险</w:t>
      </w:r>
    </w:p>
    <w:p w14:paraId="4A49594B" w14:textId="77777777" w:rsidR="004B0883" w:rsidRDefault="004B0883">
      <w:pPr>
        <w:widowControl w:val="0"/>
        <w:spacing w:beforeLines="50" w:before="120" w:line="360" w:lineRule="auto"/>
        <w:ind w:firstLineChars="200" w:firstLine="480"/>
        <w:jc w:val="both"/>
        <w:rPr>
          <w:sz w:val="24"/>
          <w:szCs w:val="22"/>
        </w:rPr>
      </w:pPr>
      <w:bookmarkStart w:id="134" w:name="_Hlk139976446"/>
      <w:r>
        <w:rPr>
          <w:rFonts w:hint="eastAsia"/>
          <w:sz w:val="24"/>
          <w:szCs w:val="22"/>
        </w:rPr>
        <w:t>公司通过长期技术积累和发展，培养了一支高水平的技术研发团队，形成了较强的自主创新能力，技术研发水平位于行业前列。由于阀门产品应用市场产品性能品质要求较为严格，只有不断地进行技术创新、改进工艺和材料、创新产品，才能持续满足市场竞争发展的要求。如果公司不能始终保持技术水平行业领先并持续进步，市场竞争力和盈利能力可能会受到影响</w:t>
      </w:r>
      <w:bookmarkEnd w:id="134"/>
      <w:r>
        <w:rPr>
          <w:rFonts w:hint="eastAsia"/>
          <w:sz w:val="24"/>
          <w:szCs w:val="22"/>
        </w:rPr>
        <w:t>。</w:t>
      </w:r>
    </w:p>
    <w:p w14:paraId="7AF36ABC" w14:textId="77777777" w:rsidR="004B0883" w:rsidRDefault="004B0883">
      <w:pPr>
        <w:keepNext/>
        <w:keepLines/>
        <w:widowControl w:val="0"/>
        <w:spacing w:beforeLines="50" w:before="120" w:line="360" w:lineRule="auto"/>
        <w:ind w:firstLineChars="200" w:firstLine="482"/>
        <w:jc w:val="both"/>
        <w:outlineLvl w:val="3"/>
        <w:rPr>
          <w:b/>
          <w:bCs/>
          <w:sz w:val="24"/>
          <w:szCs w:val="28"/>
          <w:lang w:val="zh-CN"/>
        </w:rPr>
      </w:pPr>
      <w:r>
        <w:rPr>
          <w:rFonts w:hint="eastAsia"/>
          <w:b/>
          <w:bCs/>
          <w:sz w:val="24"/>
          <w:szCs w:val="28"/>
          <w:lang w:val="zh-CN"/>
        </w:rPr>
        <w:t>3</w:t>
      </w:r>
      <w:r>
        <w:rPr>
          <w:rFonts w:hint="eastAsia"/>
          <w:b/>
          <w:bCs/>
          <w:sz w:val="24"/>
          <w:szCs w:val="28"/>
          <w:lang w:val="zh-CN"/>
        </w:rPr>
        <w:t>、人力资源流失的风险</w:t>
      </w:r>
    </w:p>
    <w:p w14:paraId="67529BFD"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公司所属阀门行业是一个集资金、技术、劳动力相对密集的产业。经过多年发展，公司聚集了一批具有丰富实践经验和专业技能的研发技术、生产、销售、管理人才。随着公司经营规模的逐渐扩大，公司对高层次管理人才、技术人才和熟练技术工人的需求增加，人才引进已成为公司人力资源管理工作的重点，加之有意愿入职制造业就业的专业技术人才及普通劳动力不断减少的社会现状，公司在吸引优秀人才、稳定人才队伍、避免人才短缺和流失方面存在一定的风险。</w:t>
      </w:r>
    </w:p>
    <w:p w14:paraId="6737361D" w14:textId="77777777" w:rsidR="004B0883" w:rsidRDefault="004B0883">
      <w:pPr>
        <w:keepNext/>
        <w:keepLines/>
        <w:widowControl w:val="0"/>
        <w:spacing w:beforeLines="50" w:before="120" w:line="360" w:lineRule="auto"/>
        <w:ind w:firstLineChars="200" w:firstLine="482"/>
        <w:jc w:val="both"/>
        <w:outlineLvl w:val="3"/>
        <w:rPr>
          <w:b/>
          <w:bCs/>
          <w:sz w:val="24"/>
          <w:szCs w:val="28"/>
          <w:lang w:val="zh-CN"/>
        </w:rPr>
      </w:pPr>
      <w:r>
        <w:rPr>
          <w:rFonts w:hint="eastAsia"/>
          <w:b/>
          <w:bCs/>
          <w:sz w:val="24"/>
          <w:szCs w:val="28"/>
          <w:lang w:val="zh-CN"/>
        </w:rPr>
        <w:t>4</w:t>
      </w:r>
      <w:r>
        <w:rPr>
          <w:rFonts w:hint="eastAsia"/>
          <w:b/>
          <w:bCs/>
          <w:sz w:val="24"/>
          <w:szCs w:val="28"/>
          <w:lang w:val="zh-CN"/>
        </w:rPr>
        <w:t>、产品质量稳定性的风险</w:t>
      </w:r>
    </w:p>
    <w:p w14:paraId="4C23E461" w14:textId="77777777" w:rsidR="004B0883" w:rsidRDefault="004B0883">
      <w:pPr>
        <w:widowControl w:val="0"/>
        <w:spacing w:beforeLines="50" w:before="120" w:line="360" w:lineRule="auto"/>
        <w:ind w:firstLineChars="200" w:firstLine="480"/>
        <w:jc w:val="both"/>
        <w:rPr>
          <w:sz w:val="24"/>
          <w:szCs w:val="22"/>
        </w:rPr>
      </w:pPr>
      <w:bookmarkStart w:id="135" w:name="_Hlk152186840"/>
      <w:r>
        <w:rPr>
          <w:rFonts w:hint="eastAsia"/>
          <w:sz w:val="24"/>
          <w:szCs w:val="22"/>
        </w:rPr>
        <w:t>公司生产的给排水、消防阀门产品主要应用于城镇给排水系统和消防给水系统，阀门的质量、性能和环保能力与人们的日常生活和身体健康息息相关，其产品质量的稳定性、安全性、环保性是终端客户关注的要点。通过不断完善和提升公司质量控制体系，公司产品技术性能优良且质量一直保持稳定，为公司赢得了良好的市场信誉。但由于阀门产品生产环节较多、生产过程复杂，因此不排除因某一环节质量控制疏忽而导致产品出现质量问题，从而对公司市场声誉造成损害，进而影响公司的生产经营与市场开拓业绩，公司存在一定的产品质量稳定性的风险。</w:t>
      </w:r>
    </w:p>
    <w:bookmarkEnd w:id="135"/>
    <w:p w14:paraId="17FD4205" w14:textId="77777777" w:rsidR="004B0883" w:rsidRDefault="004B0883">
      <w:pPr>
        <w:keepNext/>
        <w:keepLines/>
        <w:widowControl w:val="0"/>
        <w:spacing w:beforeLines="50" w:before="120" w:line="360" w:lineRule="auto"/>
        <w:ind w:firstLineChars="200" w:firstLine="482"/>
        <w:jc w:val="both"/>
        <w:outlineLvl w:val="3"/>
        <w:rPr>
          <w:b/>
          <w:bCs/>
          <w:sz w:val="24"/>
          <w:szCs w:val="28"/>
          <w:lang w:val="zh-CN"/>
        </w:rPr>
      </w:pPr>
      <w:r>
        <w:rPr>
          <w:rFonts w:hint="eastAsia"/>
          <w:b/>
          <w:bCs/>
          <w:sz w:val="24"/>
          <w:szCs w:val="28"/>
          <w:lang w:val="zh-CN"/>
        </w:rPr>
        <w:t>5</w:t>
      </w:r>
      <w:r>
        <w:rPr>
          <w:rFonts w:hint="eastAsia"/>
          <w:b/>
          <w:bCs/>
          <w:sz w:val="24"/>
          <w:szCs w:val="28"/>
          <w:lang w:val="zh-CN"/>
        </w:rPr>
        <w:t>、生产规模扩大带来的管理风险</w:t>
      </w:r>
    </w:p>
    <w:p w14:paraId="69DA790E"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本次发行后，随着募集资金到位，公司资产规模将有所增加，对公司的管理水平提出更高的要求。如果公司管理层不能及时应对市场竞争、行业发展、经营规模快速扩张等内外环境的变化，未能完善相应管理体系和制度、健全激励与约束机制以及加大战略方针的执行力度，可能使公司错失发展机遇，从而影响公司长远发展。</w:t>
      </w:r>
    </w:p>
    <w:p w14:paraId="7D62F39C" w14:textId="77777777" w:rsidR="004B0883" w:rsidRDefault="004B0883">
      <w:pPr>
        <w:keepNext/>
        <w:keepLines/>
        <w:widowControl w:val="0"/>
        <w:spacing w:beforeLines="50" w:before="120" w:line="360" w:lineRule="auto"/>
        <w:ind w:firstLineChars="200" w:firstLine="482"/>
        <w:jc w:val="both"/>
        <w:outlineLvl w:val="3"/>
        <w:rPr>
          <w:b/>
          <w:bCs/>
          <w:sz w:val="24"/>
          <w:szCs w:val="28"/>
          <w:lang w:val="zh-CN"/>
        </w:rPr>
      </w:pPr>
      <w:r>
        <w:rPr>
          <w:b/>
          <w:bCs/>
          <w:sz w:val="24"/>
          <w:szCs w:val="28"/>
          <w:lang w:val="zh-CN"/>
        </w:rPr>
        <w:t>6</w:t>
      </w:r>
      <w:r>
        <w:rPr>
          <w:rFonts w:hint="eastAsia"/>
          <w:b/>
          <w:bCs/>
          <w:sz w:val="24"/>
          <w:szCs w:val="28"/>
          <w:lang w:val="zh-CN"/>
        </w:rPr>
        <w:t>、劳动力成本上升的风险</w:t>
      </w:r>
    </w:p>
    <w:p w14:paraId="5828AC98"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随着我国工业化、城镇化进程的持续推进和劳动力素质的不断提高，劳动力成本持续上升已成为我国经济发展的普遍现象和众多企业面临的共性问题。公司通过实施精益化生产管理、引进智能化专业设备等措施降低成本，使劳动力成本在公司相关成本费用构成中所占比重保持相对稳定，但随着制造业劳动力成本的快速上升，仍然可能会推动公司产品价格的提高，从而可能对公司产品在市场竞争中带来一定不利影响。</w:t>
      </w:r>
    </w:p>
    <w:p w14:paraId="2B72260D" w14:textId="77777777" w:rsidR="004B0883" w:rsidRDefault="004B0883">
      <w:pPr>
        <w:keepNext/>
        <w:keepLines/>
        <w:widowControl w:val="0"/>
        <w:spacing w:beforeLines="50" w:before="120" w:line="360" w:lineRule="auto"/>
        <w:ind w:firstLineChars="200" w:firstLine="482"/>
        <w:jc w:val="both"/>
        <w:outlineLvl w:val="3"/>
        <w:rPr>
          <w:rFonts w:ascii="楷体" w:eastAsia="楷体" w:hAnsi="楷体"/>
          <w:b/>
          <w:bCs/>
          <w:sz w:val="24"/>
          <w:szCs w:val="28"/>
          <w:lang w:val="zh-CN"/>
        </w:rPr>
      </w:pPr>
      <w:bookmarkStart w:id="136" w:name="_Hlk154312885"/>
      <w:r>
        <w:rPr>
          <w:rFonts w:ascii="楷体" w:eastAsia="楷体" w:hAnsi="楷体"/>
          <w:b/>
          <w:bCs/>
          <w:sz w:val="24"/>
          <w:szCs w:val="28"/>
          <w:lang w:val="zh-CN"/>
        </w:rPr>
        <w:t>7</w:t>
      </w:r>
      <w:r>
        <w:rPr>
          <w:rFonts w:ascii="楷体" w:eastAsia="楷体" w:hAnsi="楷体" w:hint="eastAsia"/>
          <w:b/>
          <w:bCs/>
          <w:sz w:val="24"/>
          <w:szCs w:val="28"/>
          <w:lang w:val="zh-CN"/>
        </w:rPr>
        <w:t>、汽车配件业务毛利率为负的风险</w:t>
      </w:r>
    </w:p>
    <w:p w14:paraId="552A8A9A" w14:textId="77777777" w:rsidR="004B0883" w:rsidRDefault="004B0883">
      <w:pPr>
        <w:widowControl w:val="0"/>
        <w:spacing w:beforeLines="50" w:before="120" w:line="360" w:lineRule="auto"/>
        <w:ind w:firstLineChars="200" w:firstLine="482"/>
        <w:jc w:val="both"/>
        <w:rPr>
          <w:rFonts w:ascii="楷体" w:eastAsia="楷体" w:hAnsi="楷体" w:hint="eastAsia"/>
          <w:b/>
          <w:bCs/>
          <w:sz w:val="24"/>
          <w:szCs w:val="22"/>
        </w:rPr>
      </w:pPr>
      <w:bookmarkStart w:id="137" w:name="_Hlk155037365"/>
      <w:bookmarkStart w:id="138" w:name="_Hlk155035628"/>
      <w:bookmarkStart w:id="139" w:name="_Hlk154223078"/>
      <w:bookmarkEnd w:id="131"/>
      <w:r>
        <w:rPr>
          <w:rFonts w:ascii="楷体" w:eastAsia="楷体" w:hAnsi="楷体" w:hint="eastAsia"/>
          <w:b/>
          <w:bCs/>
          <w:sz w:val="24"/>
          <w:szCs w:val="22"/>
        </w:rPr>
        <w:t>报告期内，发行人汽车配件毛利率分别为-10.73%、-12.35%、</w:t>
      </w:r>
      <w:r w:rsidR="0099614F">
        <w:rPr>
          <w:rFonts w:ascii="楷体" w:eastAsia="楷体" w:hAnsi="楷体" w:hint="eastAsia"/>
          <w:b/>
          <w:bCs/>
          <w:sz w:val="24"/>
          <w:szCs w:val="22"/>
        </w:rPr>
        <w:t>-</w:t>
      </w:r>
      <w:r>
        <w:rPr>
          <w:rFonts w:ascii="楷体" w:eastAsia="楷体" w:hAnsi="楷体" w:hint="eastAsia"/>
          <w:b/>
          <w:bCs/>
          <w:sz w:val="24"/>
          <w:szCs w:val="22"/>
        </w:rPr>
        <w:t>18.19%和-27.02%，毛利率持续为负。发行人汽车配件业务由生产阀门铸件配套产品的子公司莱州伟隆承担。2019年，莱州伟隆自动铸造生产线验收合格投入使用，莱州铸造产能提高到8万吨/年，超过主营业务阀门生产所需。因铸件生产线可生产汽车配件等产品，为消化增加的产能，莱州伟隆开始开拓汽车配件市场。汽车配件非公司一直以来布局的产品，为打入市场，产品定价相对较低；同时，由于生产线产能利用率未饱和，单位产品成本承担的固定费用较高，导致产品出现负毛利的情况。</w:t>
      </w:r>
    </w:p>
    <w:p w14:paraId="5C141388" w14:textId="77777777" w:rsidR="004B0883" w:rsidRDefault="004B0883">
      <w:pPr>
        <w:widowControl w:val="0"/>
        <w:spacing w:beforeLines="50" w:before="120" w:line="360" w:lineRule="auto"/>
        <w:ind w:firstLineChars="200" w:firstLine="482"/>
        <w:jc w:val="both"/>
        <w:rPr>
          <w:rFonts w:ascii="楷体" w:eastAsia="楷体" w:hAnsi="楷体"/>
          <w:b/>
          <w:bCs/>
          <w:sz w:val="24"/>
          <w:szCs w:val="22"/>
        </w:rPr>
      </w:pPr>
      <w:r>
        <w:rPr>
          <w:rFonts w:ascii="楷体" w:eastAsia="楷体" w:hAnsi="楷体" w:hint="eastAsia"/>
          <w:b/>
          <w:bCs/>
          <w:sz w:val="24"/>
          <w:szCs w:val="22"/>
        </w:rPr>
        <w:t>短期内预计上述因素仍然存在，发行人汽车配件业务未来一定时间内仍然存在亏损的风险</w:t>
      </w:r>
      <w:bookmarkEnd w:id="137"/>
      <w:r>
        <w:rPr>
          <w:rFonts w:ascii="楷体" w:eastAsia="楷体" w:hAnsi="楷体" w:hint="eastAsia"/>
          <w:b/>
          <w:bCs/>
          <w:sz w:val="24"/>
          <w:szCs w:val="22"/>
        </w:rPr>
        <w:t>。</w:t>
      </w:r>
    </w:p>
    <w:bookmarkEnd w:id="136"/>
    <w:bookmarkEnd w:id="138"/>
    <w:p w14:paraId="093E1D3B" w14:textId="77777777" w:rsidR="004B0883" w:rsidRDefault="004B0883">
      <w:pPr>
        <w:keepNext/>
        <w:keepLines/>
        <w:widowControl w:val="0"/>
        <w:snapToGrid w:val="0"/>
        <w:spacing w:beforeLines="50" w:before="120" w:line="360" w:lineRule="auto"/>
        <w:ind w:left="482"/>
        <w:jc w:val="both"/>
        <w:outlineLvl w:val="2"/>
        <w:rPr>
          <w:rFonts w:eastAsia="黑体"/>
          <w:b/>
          <w:bCs/>
          <w:sz w:val="24"/>
          <w:szCs w:val="28"/>
        </w:rPr>
      </w:pPr>
      <w:r>
        <w:rPr>
          <w:rFonts w:eastAsia="黑体" w:hint="eastAsia"/>
          <w:b/>
          <w:bCs/>
          <w:sz w:val="24"/>
          <w:szCs w:val="28"/>
        </w:rPr>
        <w:t>（三）财务风险</w:t>
      </w:r>
    </w:p>
    <w:p w14:paraId="2EF4053A" w14:textId="77777777" w:rsidR="004B0883" w:rsidRDefault="004B0883">
      <w:pPr>
        <w:keepNext/>
        <w:keepLines/>
        <w:widowControl w:val="0"/>
        <w:spacing w:beforeLines="50" w:before="120" w:line="360" w:lineRule="auto"/>
        <w:ind w:firstLineChars="200" w:firstLine="482"/>
        <w:jc w:val="both"/>
        <w:outlineLvl w:val="3"/>
        <w:rPr>
          <w:b/>
          <w:bCs/>
          <w:sz w:val="24"/>
          <w:szCs w:val="28"/>
          <w:lang w:val="zh-CN"/>
        </w:rPr>
      </w:pPr>
      <w:bookmarkStart w:id="140" w:name="_Hlk139979677"/>
      <w:bookmarkEnd w:id="139"/>
      <w:r>
        <w:rPr>
          <w:rFonts w:hint="eastAsia"/>
          <w:b/>
          <w:bCs/>
          <w:sz w:val="24"/>
          <w:szCs w:val="28"/>
          <w:lang w:val="zh-CN"/>
        </w:rPr>
        <w:t>1</w:t>
      </w:r>
      <w:r>
        <w:rPr>
          <w:rFonts w:hint="eastAsia"/>
          <w:b/>
          <w:bCs/>
          <w:sz w:val="24"/>
          <w:szCs w:val="28"/>
          <w:lang w:val="zh-CN"/>
        </w:rPr>
        <w:t>、存货规模增长及存货跌价的风险</w:t>
      </w:r>
    </w:p>
    <w:p w14:paraId="62793CAA" w14:textId="77777777" w:rsidR="004B0883" w:rsidRDefault="004B0883">
      <w:pPr>
        <w:widowControl w:val="0"/>
        <w:spacing w:beforeLines="50" w:before="120" w:line="360" w:lineRule="auto"/>
        <w:ind w:firstLineChars="200" w:firstLine="480"/>
        <w:jc w:val="both"/>
        <w:rPr>
          <w:sz w:val="24"/>
          <w:szCs w:val="22"/>
        </w:rPr>
      </w:pPr>
      <w:bookmarkStart w:id="141" w:name="_Hlk135403089"/>
      <w:bookmarkStart w:id="142" w:name="_Hlk150772613"/>
      <w:r>
        <w:rPr>
          <w:rFonts w:hint="eastAsia"/>
          <w:sz w:val="24"/>
          <w:szCs w:val="22"/>
        </w:rPr>
        <w:t>近年来，公司业务规模快速增长，导致存货规模相应增长。</w:t>
      </w:r>
      <w:r>
        <w:rPr>
          <w:rFonts w:hint="eastAsia"/>
          <w:sz w:val="24"/>
          <w:szCs w:val="22"/>
        </w:rPr>
        <w:t>2020</w:t>
      </w:r>
      <w:r>
        <w:rPr>
          <w:rFonts w:hint="eastAsia"/>
          <w:sz w:val="24"/>
          <w:szCs w:val="22"/>
        </w:rPr>
        <w:t>年末、</w:t>
      </w:r>
      <w:r>
        <w:rPr>
          <w:rFonts w:hint="eastAsia"/>
          <w:sz w:val="24"/>
          <w:szCs w:val="22"/>
        </w:rPr>
        <w:t>2021</w:t>
      </w:r>
      <w:r>
        <w:rPr>
          <w:rFonts w:hint="eastAsia"/>
          <w:sz w:val="24"/>
          <w:szCs w:val="22"/>
        </w:rPr>
        <w:t>年末、</w:t>
      </w:r>
      <w:r>
        <w:rPr>
          <w:rFonts w:hint="eastAsia"/>
          <w:sz w:val="24"/>
          <w:szCs w:val="22"/>
        </w:rPr>
        <w:t>2022</w:t>
      </w:r>
      <w:r>
        <w:rPr>
          <w:rFonts w:hint="eastAsia"/>
          <w:sz w:val="24"/>
          <w:szCs w:val="22"/>
        </w:rPr>
        <w:t>年末和</w:t>
      </w:r>
      <w:r>
        <w:rPr>
          <w:rFonts w:hint="eastAsia"/>
          <w:sz w:val="24"/>
          <w:szCs w:val="22"/>
        </w:rPr>
        <w:t>2023</w:t>
      </w:r>
      <w:r>
        <w:rPr>
          <w:rFonts w:hint="eastAsia"/>
          <w:sz w:val="24"/>
          <w:szCs w:val="22"/>
        </w:rPr>
        <w:t>年</w:t>
      </w:r>
      <w:r>
        <w:rPr>
          <w:rFonts w:hint="eastAsia"/>
          <w:sz w:val="24"/>
          <w:szCs w:val="22"/>
        </w:rPr>
        <w:t>9</w:t>
      </w:r>
      <w:r>
        <w:rPr>
          <w:rFonts w:hint="eastAsia"/>
          <w:sz w:val="24"/>
          <w:szCs w:val="22"/>
        </w:rPr>
        <w:t>月末，公司存货账面价值分别为</w:t>
      </w:r>
      <w:r>
        <w:rPr>
          <w:rFonts w:hint="eastAsia"/>
          <w:sz w:val="24"/>
          <w:szCs w:val="22"/>
        </w:rPr>
        <w:t>7,421.84</w:t>
      </w:r>
      <w:r>
        <w:rPr>
          <w:rFonts w:hint="eastAsia"/>
          <w:sz w:val="24"/>
          <w:szCs w:val="22"/>
        </w:rPr>
        <w:t>万元、</w:t>
      </w:r>
      <w:r>
        <w:rPr>
          <w:rFonts w:hint="eastAsia"/>
          <w:sz w:val="24"/>
          <w:szCs w:val="22"/>
        </w:rPr>
        <w:t>11,252.22</w:t>
      </w:r>
      <w:r>
        <w:rPr>
          <w:rFonts w:hint="eastAsia"/>
          <w:sz w:val="24"/>
          <w:szCs w:val="22"/>
        </w:rPr>
        <w:t>万元、</w:t>
      </w:r>
      <w:r>
        <w:rPr>
          <w:rFonts w:hint="eastAsia"/>
          <w:sz w:val="24"/>
          <w:szCs w:val="22"/>
        </w:rPr>
        <w:t>11,891.25</w:t>
      </w:r>
      <w:r>
        <w:rPr>
          <w:rFonts w:hint="eastAsia"/>
          <w:sz w:val="24"/>
          <w:szCs w:val="22"/>
        </w:rPr>
        <w:t>万元和</w:t>
      </w:r>
      <w:bookmarkStart w:id="143" w:name="_Hlk150772497"/>
      <w:r>
        <w:rPr>
          <w:sz w:val="24"/>
          <w:szCs w:val="22"/>
        </w:rPr>
        <w:t>9,880.80</w:t>
      </w:r>
      <w:bookmarkEnd w:id="143"/>
      <w:r>
        <w:rPr>
          <w:rFonts w:hint="eastAsia"/>
          <w:sz w:val="24"/>
          <w:szCs w:val="22"/>
        </w:rPr>
        <w:t>万元，占各期末流动资产的比例分别为</w:t>
      </w:r>
      <w:r>
        <w:rPr>
          <w:rFonts w:hint="eastAsia"/>
          <w:sz w:val="24"/>
          <w:szCs w:val="22"/>
        </w:rPr>
        <w:t>13.35%</w:t>
      </w:r>
      <w:r>
        <w:rPr>
          <w:rFonts w:hint="eastAsia"/>
          <w:sz w:val="24"/>
          <w:szCs w:val="22"/>
        </w:rPr>
        <w:t>、</w:t>
      </w:r>
      <w:r>
        <w:rPr>
          <w:rFonts w:hint="eastAsia"/>
          <w:sz w:val="24"/>
          <w:szCs w:val="22"/>
        </w:rPr>
        <w:t>19.43%</w:t>
      </w:r>
      <w:r>
        <w:rPr>
          <w:rFonts w:hint="eastAsia"/>
          <w:sz w:val="24"/>
          <w:szCs w:val="22"/>
        </w:rPr>
        <w:t>、</w:t>
      </w:r>
      <w:r>
        <w:rPr>
          <w:rFonts w:hint="eastAsia"/>
          <w:sz w:val="24"/>
          <w:szCs w:val="22"/>
        </w:rPr>
        <w:t>17.26%</w:t>
      </w:r>
      <w:r>
        <w:rPr>
          <w:rFonts w:hint="eastAsia"/>
          <w:sz w:val="24"/>
          <w:szCs w:val="22"/>
        </w:rPr>
        <w:t>和</w:t>
      </w:r>
      <w:bookmarkStart w:id="144" w:name="_Hlk150772502"/>
      <w:r>
        <w:rPr>
          <w:sz w:val="24"/>
          <w:szCs w:val="22"/>
        </w:rPr>
        <w:t>14.59</w:t>
      </w:r>
      <w:r>
        <w:rPr>
          <w:rFonts w:hint="eastAsia"/>
          <w:sz w:val="24"/>
          <w:szCs w:val="22"/>
        </w:rPr>
        <w:t>%</w:t>
      </w:r>
      <w:bookmarkEnd w:id="142"/>
      <w:bookmarkEnd w:id="144"/>
      <w:r>
        <w:rPr>
          <w:rFonts w:hint="eastAsia"/>
          <w:sz w:val="24"/>
          <w:szCs w:val="22"/>
        </w:rPr>
        <w:t>，主要由原材料、在产品、自制半成品、周转材料和库存商品等组成。公司存货规模增长会占用一定的流动资金，若不能有效进行存货管理，将可能导致公司运营效率降低的风险。适量的存货有助于保障公司生产经营的稳定性，但如果未来原材料、库存商品价格出现大幅下降或者供需发生不利变化，公司将面临存货减值的风险，进而对公司经营业绩产生不利影响。</w:t>
      </w:r>
    </w:p>
    <w:bookmarkEnd w:id="141"/>
    <w:p w14:paraId="6019213E" w14:textId="77777777" w:rsidR="004B0883" w:rsidRDefault="004B0883">
      <w:pPr>
        <w:keepNext/>
        <w:keepLines/>
        <w:widowControl w:val="0"/>
        <w:spacing w:beforeLines="50" w:before="120" w:line="360" w:lineRule="auto"/>
        <w:ind w:firstLineChars="200" w:firstLine="482"/>
        <w:jc w:val="both"/>
        <w:outlineLvl w:val="3"/>
        <w:rPr>
          <w:b/>
          <w:bCs/>
          <w:sz w:val="24"/>
          <w:szCs w:val="28"/>
          <w:lang w:val="zh-CN"/>
        </w:rPr>
      </w:pPr>
      <w:r>
        <w:rPr>
          <w:b/>
          <w:bCs/>
          <w:sz w:val="24"/>
          <w:szCs w:val="28"/>
          <w:lang w:val="zh-CN"/>
        </w:rPr>
        <w:t>2</w:t>
      </w:r>
      <w:r>
        <w:rPr>
          <w:rFonts w:hint="eastAsia"/>
          <w:b/>
          <w:bCs/>
          <w:sz w:val="24"/>
          <w:szCs w:val="28"/>
          <w:lang w:val="zh-CN"/>
        </w:rPr>
        <w:t>、主营业务毛利率波动风险</w:t>
      </w:r>
    </w:p>
    <w:p w14:paraId="3F1D3F69" w14:textId="77777777" w:rsidR="004B0883" w:rsidRDefault="004B0883">
      <w:pPr>
        <w:widowControl w:val="0"/>
        <w:spacing w:beforeLines="50" w:before="120" w:line="360" w:lineRule="auto"/>
        <w:ind w:firstLineChars="200" w:firstLine="480"/>
        <w:jc w:val="both"/>
        <w:rPr>
          <w:sz w:val="24"/>
          <w:szCs w:val="22"/>
        </w:rPr>
      </w:pPr>
      <w:bookmarkStart w:id="145" w:name="_Hlk150431784"/>
      <w:r>
        <w:rPr>
          <w:rFonts w:hint="eastAsia"/>
          <w:sz w:val="24"/>
          <w:szCs w:val="22"/>
        </w:rPr>
        <w:t>20</w:t>
      </w:r>
      <w:r>
        <w:rPr>
          <w:sz w:val="24"/>
          <w:szCs w:val="22"/>
        </w:rPr>
        <w:t>20</w:t>
      </w:r>
      <w:r>
        <w:rPr>
          <w:rFonts w:hint="eastAsia"/>
          <w:sz w:val="24"/>
          <w:szCs w:val="22"/>
        </w:rPr>
        <w:t>年、</w:t>
      </w:r>
      <w:r>
        <w:rPr>
          <w:rFonts w:hint="eastAsia"/>
          <w:sz w:val="24"/>
          <w:szCs w:val="22"/>
        </w:rPr>
        <w:t>202</w:t>
      </w:r>
      <w:r>
        <w:rPr>
          <w:sz w:val="24"/>
          <w:szCs w:val="22"/>
        </w:rPr>
        <w:t>1</w:t>
      </w:r>
      <w:r>
        <w:rPr>
          <w:rFonts w:hint="eastAsia"/>
          <w:sz w:val="24"/>
          <w:szCs w:val="22"/>
        </w:rPr>
        <w:t>年、</w:t>
      </w:r>
      <w:r>
        <w:rPr>
          <w:rFonts w:hint="eastAsia"/>
          <w:sz w:val="24"/>
          <w:szCs w:val="22"/>
        </w:rPr>
        <w:t>202</w:t>
      </w:r>
      <w:r>
        <w:rPr>
          <w:sz w:val="24"/>
          <w:szCs w:val="22"/>
        </w:rPr>
        <w:t>2</w:t>
      </w:r>
      <w:r>
        <w:rPr>
          <w:rFonts w:hint="eastAsia"/>
          <w:sz w:val="24"/>
          <w:szCs w:val="22"/>
        </w:rPr>
        <w:t>年和</w:t>
      </w:r>
      <w:r>
        <w:rPr>
          <w:rFonts w:hint="eastAsia"/>
          <w:sz w:val="24"/>
          <w:szCs w:val="22"/>
        </w:rPr>
        <w:t>202</w:t>
      </w:r>
      <w:r>
        <w:rPr>
          <w:sz w:val="24"/>
          <w:szCs w:val="22"/>
        </w:rPr>
        <w:t>3</w:t>
      </w:r>
      <w:r>
        <w:rPr>
          <w:rFonts w:hint="eastAsia"/>
          <w:sz w:val="24"/>
          <w:szCs w:val="22"/>
        </w:rPr>
        <w:t>年</w:t>
      </w:r>
      <w:r>
        <w:rPr>
          <w:rFonts w:hint="eastAsia"/>
          <w:sz w:val="24"/>
          <w:szCs w:val="22"/>
        </w:rPr>
        <w:t>1-</w:t>
      </w:r>
      <w:r>
        <w:rPr>
          <w:sz w:val="24"/>
          <w:szCs w:val="22"/>
        </w:rPr>
        <w:t>9</w:t>
      </w:r>
      <w:r>
        <w:rPr>
          <w:rFonts w:hint="eastAsia"/>
          <w:sz w:val="24"/>
          <w:szCs w:val="22"/>
        </w:rPr>
        <w:t>月，公司主营业务毛利率分别为</w:t>
      </w:r>
      <w:r>
        <w:rPr>
          <w:sz w:val="24"/>
          <w:szCs w:val="22"/>
        </w:rPr>
        <w:t>34.40</w:t>
      </w:r>
      <w:r>
        <w:rPr>
          <w:rFonts w:hint="eastAsia"/>
          <w:sz w:val="24"/>
          <w:szCs w:val="22"/>
        </w:rPr>
        <w:t>%</w:t>
      </w:r>
      <w:r>
        <w:rPr>
          <w:rFonts w:hint="eastAsia"/>
          <w:sz w:val="24"/>
          <w:szCs w:val="22"/>
        </w:rPr>
        <w:t>、</w:t>
      </w:r>
      <w:r>
        <w:rPr>
          <w:sz w:val="24"/>
          <w:szCs w:val="22"/>
        </w:rPr>
        <w:t>32</w:t>
      </w:r>
      <w:r>
        <w:rPr>
          <w:rFonts w:hint="eastAsia"/>
          <w:sz w:val="24"/>
          <w:szCs w:val="22"/>
        </w:rPr>
        <w:t>.</w:t>
      </w:r>
      <w:r>
        <w:rPr>
          <w:sz w:val="24"/>
          <w:szCs w:val="22"/>
        </w:rPr>
        <w:t>32</w:t>
      </w:r>
      <w:r>
        <w:rPr>
          <w:rFonts w:hint="eastAsia"/>
          <w:sz w:val="24"/>
          <w:szCs w:val="22"/>
        </w:rPr>
        <w:t>%</w:t>
      </w:r>
      <w:r>
        <w:rPr>
          <w:rFonts w:hint="eastAsia"/>
          <w:sz w:val="24"/>
          <w:szCs w:val="22"/>
        </w:rPr>
        <w:t>、</w:t>
      </w:r>
      <w:r>
        <w:rPr>
          <w:sz w:val="24"/>
          <w:szCs w:val="22"/>
        </w:rPr>
        <w:t>37.42%</w:t>
      </w:r>
      <w:r>
        <w:rPr>
          <w:rFonts w:hint="eastAsia"/>
          <w:sz w:val="24"/>
          <w:szCs w:val="22"/>
        </w:rPr>
        <w:t>和</w:t>
      </w:r>
      <w:bookmarkStart w:id="146" w:name="_Hlk144010744"/>
      <w:bookmarkStart w:id="147" w:name="_Hlk150431096"/>
      <w:r>
        <w:rPr>
          <w:sz w:val="24"/>
          <w:szCs w:val="22"/>
        </w:rPr>
        <w:t>38.35</w:t>
      </w:r>
      <w:bookmarkEnd w:id="147"/>
      <w:r>
        <w:rPr>
          <w:rFonts w:hint="eastAsia"/>
          <w:sz w:val="24"/>
          <w:szCs w:val="22"/>
        </w:rPr>
        <w:t>%</w:t>
      </w:r>
      <w:bookmarkEnd w:id="145"/>
      <w:bookmarkEnd w:id="146"/>
      <w:r>
        <w:rPr>
          <w:rFonts w:hint="eastAsia"/>
          <w:sz w:val="24"/>
          <w:szCs w:val="22"/>
        </w:rPr>
        <w:t>，波动幅度较大，主要系公司主要原材料受钢铁、有色金属等大宗物资价格影响较大。未来若出现原材料价格进一步上涨，行业政策不利调整、行业竞争加剧、产品售价发生不利变化或者发行人未能保持技术、产品、客户等行业竞争优势等情形，则公司毛利率存在下降的风险。</w:t>
      </w:r>
    </w:p>
    <w:p w14:paraId="60166A98" w14:textId="77777777" w:rsidR="004B0883" w:rsidRDefault="004B0883">
      <w:pPr>
        <w:keepNext/>
        <w:keepLines/>
        <w:widowControl w:val="0"/>
        <w:spacing w:beforeLines="50" w:before="120" w:line="360" w:lineRule="auto"/>
        <w:ind w:firstLineChars="200" w:firstLine="482"/>
        <w:jc w:val="both"/>
        <w:outlineLvl w:val="3"/>
        <w:rPr>
          <w:b/>
          <w:bCs/>
          <w:sz w:val="24"/>
          <w:szCs w:val="28"/>
          <w:lang w:val="zh-CN"/>
        </w:rPr>
      </w:pPr>
      <w:bookmarkStart w:id="148" w:name="_Hlk154311703"/>
      <w:r>
        <w:rPr>
          <w:b/>
          <w:bCs/>
          <w:sz w:val="24"/>
          <w:szCs w:val="28"/>
          <w:lang w:val="zh-CN"/>
        </w:rPr>
        <w:t>3</w:t>
      </w:r>
      <w:r>
        <w:rPr>
          <w:rFonts w:hint="eastAsia"/>
          <w:b/>
          <w:bCs/>
          <w:sz w:val="24"/>
          <w:szCs w:val="28"/>
          <w:lang w:val="zh-CN"/>
        </w:rPr>
        <w:t>、汇率变动风险</w:t>
      </w:r>
    </w:p>
    <w:p w14:paraId="5704460C" w14:textId="77777777" w:rsidR="004B0883" w:rsidRDefault="004B0883">
      <w:pPr>
        <w:widowControl w:val="0"/>
        <w:spacing w:beforeLines="50" w:before="120" w:line="360" w:lineRule="auto"/>
        <w:ind w:firstLineChars="200" w:firstLine="480"/>
        <w:jc w:val="both"/>
        <w:rPr>
          <w:sz w:val="24"/>
          <w:szCs w:val="22"/>
        </w:rPr>
      </w:pPr>
      <w:bookmarkStart w:id="149" w:name="_Hlk155035259"/>
      <w:bookmarkStart w:id="150" w:name="_Hlk155037377"/>
      <w:bookmarkEnd w:id="148"/>
      <w:r>
        <w:rPr>
          <w:rFonts w:hint="eastAsia"/>
          <w:sz w:val="24"/>
          <w:szCs w:val="22"/>
        </w:rPr>
        <w:t>报告期各期，公司境外销售收入占营业收入的比重较高，分别为</w:t>
      </w:r>
      <w:bookmarkStart w:id="151" w:name="_Hlk150431798"/>
      <w:r>
        <w:rPr>
          <w:rFonts w:hint="eastAsia"/>
          <w:sz w:val="24"/>
          <w:szCs w:val="22"/>
        </w:rPr>
        <w:t>80.11%</w:t>
      </w:r>
      <w:r>
        <w:rPr>
          <w:rFonts w:hint="eastAsia"/>
          <w:sz w:val="24"/>
          <w:szCs w:val="22"/>
        </w:rPr>
        <w:t>、</w:t>
      </w:r>
      <w:r>
        <w:rPr>
          <w:rFonts w:hint="eastAsia"/>
          <w:sz w:val="24"/>
          <w:szCs w:val="22"/>
        </w:rPr>
        <w:t>75.33%</w:t>
      </w:r>
      <w:r>
        <w:rPr>
          <w:rFonts w:hint="eastAsia"/>
          <w:sz w:val="24"/>
          <w:szCs w:val="22"/>
        </w:rPr>
        <w:t>、</w:t>
      </w:r>
      <w:r>
        <w:rPr>
          <w:rFonts w:hint="eastAsia"/>
          <w:sz w:val="24"/>
          <w:szCs w:val="22"/>
        </w:rPr>
        <w:t>83.53%</w:t>
      </w:r>
      <w:r>
        <w:rPr>
          <w:rFonts w:hint="eastAsia"/>
          <w:sz w:val="24"/>
          <w:szCs w:val="22"/>
        </w:rPr>
        <w:t>及</w:t>
      </w:r>
      <w:bookmarkStart w:id="152" w:name="_Hlk150772520"/>
      <w:r>
        <w:rPr>
          <w:kern w:val="0"/>
          <w:sz w:val="24"/>
          <w:szCs w:val="22"/>
        </w:rPr>
        <w:t>80.32%</w:t>
      </w:r>
      <w:bookmarkEnd w:id="151"/>
      <w:bookmarkEnd w:id="152"/>
      <w:r>
        <w:rPr>
          <w:rFonts w:hint="eastAsia"/>
          <w:sz w:val="24"/>
          <w:szCs w:val="22"/>
        </w:rPr>
        <w:t>。公司境外业务结算货币以</w:t>
      </w:r>
      <w:r w:rsidRPr="005A5153">
        <w:rPr>
          <w:rFonts w:ascii="楷体" w:eastAsia="楷体" w:hAnsi="楷体" w:hint="eastAsia"/>
          <w:b/>
          <w:sz w:val="24"/>
          <w:szCs w:val="22"/>
        </w:rPr>
        <w:t>美元</w:t>
      </w:r>
      <w:r>
        <w:rPr>
          <w:rFonts w:hint="eastAsia"/>
          <w:sz w:val="24"/>
          <w:szCs w:val="22"/>
        </w:rPr>
        <w:t>为主，人民币兑</w:t>
      </w:r>
      <w:r>
        <w:rPr>
          <w:rFonts w:ascii="楷体" w:eastAsia="楷体" w:hAnsi="楷体" w:hint="eastAsia"/>
          <w:b/>
          <w:sz w:val="24"/>
          <w:szCs w:val="22"/>
        </w:rPr>
        <w:t>美元</w:t>
      </w:r>
      <w:r>
        <w:rPr>
          <w:rFonts w:hint="eastAsia"/>
          <w:sz w:val="24"/>
          <w:szCs w:val="22"/>
        </w:rPr>
        <w:t>的汇率波动会对公司业绩产生影响。未来公司仍将持续拓展海外业务，将面临因外币汇率波动影响公司汇兑损失的风险。</w:t>
      </w:r>
    </w:p>
    <w:p w14:paraId="5A002BBA" w14:textId="77777777" w:rsidR="004B0883" w:rsidRPr="005A5153" w:rsidRDefault="004B0883">
      <w:pPr>
        <w:widowControl w:val="0"/>
        <w:spacing w:beforeLines="50" w:before="120" w:line="360" w:lineRule="auto"/>
        <w:ind w:firstLineChars="200" w:firstLine="482"/>
        <w:jc w:val="both"/>
        <w:rPr>
          <w:rFonts w:ascii="楷体" w:eastAsia="楷体" w:hAnsi="楷体" w:hint="eastAsia"/>
          <w:sz w:val="24"/>
          <w:szCs w:val="24"/>
        </w:rPr>
      </w:pPr>
      <w:bookmarkStart w:id="153" w:name="_Hlk154312688"/>
      <w:r w:rsidRPr="005A5153">
        <w:rPr>
          <w:rFonts w:ascii="楷体" w:eastAsia="楷体" w:hAnsi="楷体"/>
          <w:b/>
          <w:sz w:val="24"/>
          <w:szCs w:val="24"/>
        </w:rPr>
        <w:t>公司境外业务主要采用美元等外币结算，因此公司汇兑损益主要受到人民币兑美元汇率波动影响。报告期内，公司汇兑损益金额分别为124.06万元、139.16万元、-832.82万元</w:t>
      </w:r>
      <w:r>
        <w:rPr>
          <w:rFonts w:ascii="楷体" w:eastAsia="楷体" w:hAnsi="楷体" w:hint="eastAsia"/>
          <w:b/>
          <w:sz w:val="24"/>
          <w:szCs w:val="24"/>
        </w:rPr>
        <w:t>和</w:t>
      </w:r>
      <w:r w:rsidRPr="005A5153">
        <w:rPr>
          <w:rFonts w:ascii="楷体" w:eastAsia="楷体" w:hAnsi="楷体"/>
          <w:b/>
          <w:sz w:val="24"/>
          <w:szCs w:val="24"/>
        </w:rPr>
        <w:t>-250.47万元，占利润总额的比例分别为1.88%、2.06%、-5.38%以及-2.15%，汇率波动对公司年度盈利水平有一定的影响。但公司报告期内累计汇兑收益金额为-820.07万元，占利润总额的比例为-2.03%，汇率波动对公司经营业绩影响有限。汇率波动影响因素众多，汇率随国内外政治、经济环境变化而波动，具有较大的不确定性，并且近年来因全球政治经济波动，汇率变动较为剧烈。随着公司境外经营规模的持续扩大，外币结算量可能进一步增加，如果未来公司主要结算外币发生单边大幅贬值，导致汇率出现不利变动，公司又未能采取有效对冲措施，公司可能会出现较大的汇兑损失，从而对公司当期经营业绩产生不利影响</w:t>
      </w:r>
      <w:bookmarkEnd w:id="150"/>
      <w:r w:rsidRPr="005A5153">
        <w:rPr>
          <w:rFonts w:ascii="楷体" w:eastAsia="楷体" w:hAnsi="楷体"/>
          <w:b/>
          <w:sz w:val="24"/>
          <w:szCs w:val="24"/>
        </w:rPr>
        <w:t>。</w:t>
      </w:r>
    </w:p>
    <w:bookmarkEnd w:id="149"/>
    <w:bookmarkEnd w:id="153"/>
    <w:p w14:paraId="539A5197" w14:textId="77777777" w:rsidR="004B0883" w:rsidRDefault="004B0883">
      <w:pPr>
        <w:keepNext/>
        <w:keepLines/>
        <w:widowControl w:val="0"/>
        <w:spacing w:beforeLines="50" w:before="120" w:line="360" w:lineRule="auto"/>
        <w:ind w:firstLineChars="200" w:firstLine="482"/>
        <w:jc w:val="both"/>
        <w:outlineLvl w:val="3"/>
        <w:rPr>
          <w:b/>
          <w:bCs/>
          <w:sz w:val="24"/>
          <w:szCs w:val="28"/>
          <w:lang w:val="zh-CN"/>
        </w:rPr>
      </w:pPr>
      <w:r>
        <w:rPr>
          <w:b/>
          <w:bCs/>
          <w:sz w:val="24"/>
          <w:szCs w:val="28"/>
          <w:lang w:val="zh-CN"/>
        </w:rPr>
        <w:t>4</w:t>
      </w:r>
      <w:r>
        <w:rPr>
          <w:rFonts w:hint="eastAsia"/>
          <w:b/>
          <w:bCs/>
          <w:sz w:val="24"/>
          <w:szCs w:val="28"/>
          <w:lang w:val="zh-CN"/>
        </w:rPr>
        <w:t>、税收优惠政策变化的风险</w:t>
      </w:r>
    </w:p>
    <w:p w14:paraId="6238F195"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公司出口产品享受增值税</w:t>
      </w:r>
      <w:r>
        <w:rPr>
          <w:rFonts w:ascii="宋体" w:hAnsi="宋体" w:hint="eastAsia"/>
          <w:sz w:val="24"/>
          <w:szCs w:val="22"/>
        </w:rPr>
        <w:t>“</w:t>
      </w:r>
      <w:r>
        <w:rPr>
          <w:rFonts w:hint="eastAsia"/>
          <w:sz w:val="24"/>
          <w:szCs w:val="22"/>
        </w:rPr>
        <w:t>免、抵、退</w:t>
      </w:r>
      <w:r>
        <w:rPr>
          <w:rFonts w:ascii="宋体" w:hAnsi="宋体" w:hint="eastAsia"/>
          <w:sz w:val="24"/>
          <w:szCs w:val="22"/>
        </w:rPr>
        <w:t>”</w:t>
      </w:r>
      <w:r>
        <w:rPr>
          <w:rFonts w:hint="eastAsia"/>
          <w:sz w:val="24"/>
          <w:szCs w:val="22"/>
        </w:rPr>
        <w:t>政策，报告期内，公司产品执行国家规定调整的出口退税率。公司及子公司莱州伟隆取得高新技术企业资格证书，如果国家关于支持高新技术企业发展的税收优惠政策发生变化或者公司不再满足高新技术企业认定的条件，导致无法享受相关税收优惠政策，将会在一定程度上影响公司的经营业绩。从长期来看，出口退税作为一种政府补贴手段，随着我国企业竞争实力的增强以及经济环境的变化，未来出口退税率的调整将对公司经营业绩产生一定影响。</w:t>
      </w:r>
    </w:p>
    <w:p w14:paraId="3D98D844" w14:textId="77777777" w:rsidR="004B0883" w:rsidRDefault="004B0883">
      <w:pPr>
        <w:keepNext/>
        <w:keepLines/>
        <w:widowControl w:val="0"/>
        <w:spacing w:beforeLines="50" w:before="120" w:line="360" w:lineRule="auto"/>
        <w:ind w:firstLineChars="200" w:firstLine="482"/>
        <w:jc w:val="both"/>
        <w:outlineLvl w:val="3"/>
        <w:rPr>
          <w:b/>
          <w:bCs/>
          <w:sz w:val="24"/>
          <w:szCs w:val="28"/>
          <w:lang w:val="zh-CN"/>
        </w:rPr>
      </w:pPr>
      <w:bookmarkStart w:id="154" w:name="_Hlk154311830"/>
      <w:bookmarkStart w:id="155" w:name="_Hlk144497480"/>
      <w:r>
        <w:rPr>
          <w:b/>
          <w:bCs/>
          <w:sz w:val="24"/>
          <w:szCs w:val="28"/>
          <w:lang w:val="zh-CN"/>
        </w:rPr>
        <w:t>5</w:t>
      </w:r>
      <w:r>
        <w:rPr>
          <w:rFonts w:hint="eastAsia"/>
          <w:b/>
          <w:bCs/>
          <w:sz w:val="24"/>
          <w:szCs w:val="28"/>
          <w:lang w:val="zh-CN"/>
        </w:rPr>
        <w:t>、</w:t>
      </w:r>
      <w:bookmarkStart w:id="156" w:name="_Hlk144497628"/>
      <w:r>
        <w:rPr>
          <w:rFonts w:hint="eastAsia"/>
          <w:b/>
          <w:bCs/>
          <w:sz w:val="24"/>
          <w:szCs w:val="28"/>
          <w:lang w:val="zh-CN"/>
        </w:rPr>
        <w:t>业绩波动风险</w:t>
      </w:r>
      <w:bookmarkEnd w:id="156"/>
    </w:p>
    <w:p w14:paraId="2BAD7B33" w14:textId="77777777" w:rsidR="004B0883" w:rsidRDefault="004B0883">
      <w:pPr>
        <w:widowControl w:val="0"/>
        <w:spacing w:beforeLines="50" w:before="120" w:line="360" w:lineRule="auto"/>
        <w:ind w:firstLineChars="200" w:firstLine="480"/>
        <w:jc w:val="both"/>
        <w:rPr>
          <w:sz w:val="24"/>
          <w:szCs w:val="24"/>
        </w:rPr>
      </w:pPr>
      <w:bookmarkStart w:id="157" w:name="_Hlk155037390"/>
      <w:bookmarkStart w:id="158" w:name="_Hlk154312713"/>
      <w:bookmarkEnd w:id="140"/>
      <w:bookmarkEnd w:id="154"/>
      <w:r>
        <w:rPr>
          <w:sz w:val="24"/>
          <w:szCs w:val="24"/>
        </w:rPr>
        <w:t>2023</w:t>
      </w:r>
      <w:r>
        <w:rPr>
          <w:sz w:val="24"/>
          <w:szCs w:val="24"/>
        </w:rPr>
        <w:t>年</w:t>
      </w:r>
      <w:r>
        <w:rPr>
          <w:sz w:val="24"/>
          <w:szCs w:val="24"/>
        </w:rPr>
        <w:t>1-9</w:t>
      </w:r>
      <w:r>
        <w:rPr>
          <w:sz w:val="24"/>
          <w:szCs w:val="24"/>
        </w:rPr>
        <w:t>月，发行人营业收入为</w:t>
      </w:r>
      <w:r>
        <w:rPr>
          <w:sz w:val="24"/>
          <w:szCs w:val="24"/>
        </w:rPr>
        <w:t>39,909.71</w:t>
      </w:r>
      <w:r>
        <w:rPr>
          <w:sz w:val="24"/>
          <w:szCs w:val="24"/>
        </w:rPr>
        <w:t>万元，较上年同比降低</w:t>
      </w:r>
      <w:r>
        <w:rPr>
          <w:sz w:val="24"/>
          <w:szCs w:val="24"/>
        </w:rPr>
        <w:t>1.33%</w:t>
      </w:r>
      <w:r>
        <w:rPr>
          <w:sz w:val="24"/>
          <w:szCs w:val="24"/>
        </w:rPr>
        <w:t>；</w:t>
      </w:r>
      <w:r>
        <w:rPr>
          <w:rFonts w:ascii="楷体" w:eastAsia="楷体" w:hAnsi="楷体"/>
          <w:b/>
          <w:sz w:val="24"/>
          <w:szCs w:val="24"/>
        </w:rPr>
        <w:t>净利润为10,062.09万元，较上年同比下滑14.11%；</w:t>
      </w:r>
      <w:r>
        <w:rPr>
          <w:sz w:val="24"/>
          <w:szCs w:val="24"/>
        </w:rPr>
        <w:t>归属于上市公司股东的扣除非经常性损益的净利润为</w:t>
      </w:r>
      <w:r>
        <w:rPr>
          <w:sz w:val="24"/>
          <w:szCs w:val="24"/>
        </w:rPr>
        <w:t>8,074.40</w:t>
      </w:r>
      <w:r>
        <w:rPr>
          <w:sz w:val="24"/>
          <w:szCs w:val="24"/>
        </w:rPr>
        <w:t>万元，较上年同比增长</w:t>
      </w:r>
      <w:r>
        <w:rPr>
          <w:sz w:val="24"/>
          <w:szCs w:val="24"/>
        </w:rPr>
        <w:t>0.08%</w:t>
      </w:r>
      <w:r>
        <w:rPr>
          <w:sz w:val="24"/>
          <w:szCs w:val="24"/>
        </w:rPr>
        <w:t>。</w:t>
      </w:r>
      <w:r>
        <w:rPr>
          <w:rFonts w:ascii="楷体" w:eastAsia="楷体" w:hAnsi="楷体"/>
          <w:b/>
          <w:sz w:val="24"/>
          <w:szCs w:val="24"/>
        </w:rPr>
        <w:t>2022年，公司处置即聚机电产生投资收益4,164.12万元，提升了当期净利润水平，导致当期净利润与收入波动存在不匹配的情况；由于上年同期存在大额投资收益，2023年1-9月，公司净利润同比下滑14.11%，但归属于上市公司股东的扣除非经常性损益的净利润同比小幅提升</w:t>
      </w:r>
      <w:r>
        <w:rPr>
          <w:rFonts w:ascii="楷体" w:eastAsia="楷体" w:hAnsi="楷体" w:hint="eastAsia"/>
          <w:b/>
          <w:sz w:val="24"/>
          <w:szCs w:val="24"/>
        </w:rPr>
        <w:t>。</w:t>
      </w:r>
    </w:p>
    <w:p w14:paraId="395C2CD8" w14:textId="77777777" w:rsidR="004B0883" w:rsidRDefault="004B0883">
      <w:pPr>
        <w:widowControl w:val="0"/>
        <w:spacing w:beforeLines="50" w:before="120" w:line="360" w:lineRule="auto"/>
        <w:ind w:firstLineChars="200" w:firstLine="480"/>
        <w:jc w:val="both"/>
        <w:rPr>
          <w:rFonts w:hint="eastAsia"/>
          <w:sz w:val="24"/>
          <w:szCs w:val="22"/>
        </w:rPr>
      </w:pPr>
      <w:r>
        <w:rPr>
          <w:sz w:val="24"/>
          <w:szCs w:val="22"/>
        </w:rPr>
        <w:t>若未来国际贸易摩擦升级、宏观经济波动、市场竞争加剧、原材料价格波动、人民币升值等不利因素，叠加在建项目完工后大额固定资产折旧等影响，公司未来经营情况将面临较大市场压力。如果本节披露的风险因素中的某一项因素发生重大不利变化或者多项因素同时发生，公司将出现业绩波动的风险</w:t>
      </w:r>
      <w:bookmarkEnd w:id="157"/>
      <w:r>
        <w:rPr>
          <w:sz w:val="24"/>
          <w:szCs w:val="22"/>
        </w:rPr>
        <w:t>。</w:t>
      </w:r>
    </w:p>
    <w:p w14:paraId="203121BA" w14:textId="77777777" w:rsidR="004B0883" w:rsidRDefault="004B0883">
      <w:pPr>
        <w:keepNext/>
        <w:keepLines/>
        <w:widowControl w:val="0"/>
        <w:snapToGrid w:val="0"/>
        <w:spacing w:beforeLines="50" w:before="120" w:line="360" w:lineRule="auto"/>
        <w:ind w:left="482"/>
        <w:jc w:val="both"/>
        <w:outlineLvl w:val="2"/>
        <w:rPr>
          <w:rFonts w:eastAsia="黑体"/>
          <w:b/>
          <w:bCs/>
          <w:sz w:val="24"/>
          <w:szCs w:val="28"/>
        </w:rPr>
      </w:pPr>
      <w:bookmarkStart w:id="159" w:name="_Hlk154222955"/>
      <w:bookmarkEnd w:id="155"/>
      <w:bookmarkEnd w:id="158"/>
      <w:r>
        <w:rPr>
          <w:rFonts w:eastAsia="黑体" w:hint="eastAsia"/>
          <w:b/>
          <w:bCs/>
          <w:sz w:val="24"/>
          <w:szCs w:val="28"/>
        </w:rPr>
        <w:t>（四）</w:t>
      </w:r>
      <w:bookmarkStart w:id="160" w:name="_Hlk139979686"/>
      <w:r>
        <w:rPr>
          <w:rFonts w:eastAsia="黑体" w:hint="eastAsia"/>
          <w:b/>
          <w:bCs/>
          <w:sz w:val="24"/>
          <w:szCs w:val="28"/>
        </w:rPr>
        <w:t>市场及政策风险</w:t>
      </w:r>
      <w:bookmarkEnd w:id="160"/>
    </w:p>
    <w:p w14:paraId="17E7AC72" w14:textId="77777777" w:rsidR="004B0883" w:rsidRDefault="004B0883">
      <w:pPr>
        <w:keepNext/>
        <w:keepLines/>
        <w:widowControl w:val="0"/>
        <w:spacing w:beforeLines="50" w:before="120" w:line="360" w:lineRule="auto"/>
        <w:ind w:firstLineChars="200" w:firstLine="482"/>
        <w:jc w:val="both"/>
        <w:outlineLvl w:val="3"/>
        <w:rPr>
          <w:b/>
          <w:bCs/>
          <w:sz w:val="24"/>
          <w:szCs w:val="28"/>
          <w:lang w:val="zh-CN"/>
        </w:rPr>
      </w:pPr>
      <w:bookmarkStart w:id="161" w:name="_Hlk154312300"/>
      <w:bookmarkStart w:id="162" w:name="_Hlk139979696"/>
      <w:bookmarkEnd w:id="159"/>
      <w:r>
        <w:rPr>
          <w:rFonts w:hint="eastAsia"/>
          <w:b/>
          <w:bCs/>
          <w:sz w:val="24"/>
          <w:szCs w:val="28"/>
          <w:lang w:val="zh-CN"/>
        </w:rPr>
        <w:t>1</w:t>
      </w:r>
      <w:r>
        <w:rPr>
          <w:rFonts w:hint="eastAsia"/>
          <w:b/>
          <w:bCs/>
          <w:sz w:val="24"/>
          <w:szCs w:val="28"/>
          <w:lang w:val="zh-CN"/>
        </w:rPr>
        <w:t>、</w:t>
      </w:r>
      <w:bookmarkStart w:id="163" w:name="_Hlk139981446"/>
      <w:r>
        <w:rPr>
          <w:rFonts w:hint="eastAsia"/>
          <w:b/>
          <w:bCs/>
          <w:sz w:val="24"/>
          <w:szCs w:val="28"/>
          <w:lang w:val="zh-CN"/>
        </w:rPr>
        <w:t>国际贸易政策变化的风险</w:t>
      </w:r>
      <w:bookmarkEnd w:id="163"/>
    </w:p>
    <w:p w14:paraId="2DCF5D05" w14:textId="77777777" w:rsidR="004B0883" w:rsidRDefault="004B0883">
      <w:pPr>
        <w:widowControl w:val="0"/>
        <w:spacing w:beforeLines="50" w:before="120" w:line="360" w:lineRule="auto"/>
        <w:ind w:firstLineChars="200" w:firstLine="480"/>
        <w:jc w:val="both"/>
        <w:rPr>
          <w:sz w:val="24"/>
          <w:szCs w:val="22"/>
        </w:rPr>
      </w:pPr>
      <w:bookmarkStart w:id="164" w:name="_Hlk155037254"/>
      <w:bookmarkStart w:id="165" w:name="_Hlk155035309"/>
      <w:bookmarkStart w:id="166" w:name="_Hlk154313115"/>
      <w:bookmarkEnd w:id="161"/>
      <w:r>
        <w:rPr>
          <w:rFonts w:hint="eastAsia"/>
          <w:sz w:val="24"/>
          <w:szCs w:val="22"/>
        </w:rPr>
        <w:t>报告期内，公司境外销售收入分别为</w:t>
      </w:r>
      <w:bookmarkStart w:id="167" w:name="_Hlk150431147"/>
      <w:r>
        <w:rPr>
          <w:rFonts w:hint="eastAsia"/>
          <w:sz w:val="24"/>
          <w:szCs w:val="22"/>
        </w:rPr>
        <w:t>27,604.16</w:t>
      </w:r>
      <w:r>
        <w:rPr>
          <w:rFonts w:hint="eastAsia"/>
          <w:sz w:val="24"/>
          <w:szCs w:val="22"/>
        </w:rPr>
        <w:t>万元、</w:t>
      </w:r>
      <w:r>
        <w:rPr>
          <w:rFonts w:hint="eastAsia"/>
          <w:sz w:val="24"/>
          <w:szCs w:val="22"/>
        </w:rPr>
        <w:t>31,275.26</w:t>
      </w:r>
      <w:r>
        <w:rPr>
          <w:rFonts w:hint="eastAsia"/>
          <w:sz w:val="24"/>
          <w:szCs w:val="22"/>
        </w:rPr>
        <w:t>万元、</w:t>
      </w:r>
      <w:r>
        <w:rPr>
          <w:rFonts w:hint="eastAsia"/>
          <w:sz w:val="24"/>
          <w:szCs w:val="22"/>
        </w:rPr>
        <w:t>45,118.28</w:t>
      </w:r>
      <w:r>
        <w:rPr>
          <w:rFonts w:hint="eastAsia"/>
          <w:sz w:val="24"/>
          <w:szCs w:val="22"/>
        </w:rPr>
        <w:t>万元和</w:t>
      </w:r>
      <w:r>
        <w:rPr>
          <w:rFonts w:hint="eastAsia"/>
          <w:sz w:val="24"/>
          <w:szCs w:val="22"/>
        </w:rPr>
        <w:t>32,</w:t>
      </w:r>
      <w:r>
        <w:rPr>
          <w:sz w:val="24"/>
          <w:szCs w:val="22"/>
        </w:rPr>
        <w:t>056</w:t>
      </w:r>
      <w:r>
        <w:rPr>
          <w:rFonts w:hint="eastAsia"/>
          <w:sz w:val="24"/>
          <w:szCs w:val="22"/>
        </w:rPr>
        <w:t>.</w:t>
      </w:r>
      <w:r>
        <w:rPr>
          <w:sz w:val="24"/>
          <w:szCs w:val="22"/>
        </w:rPr>
        <w:t>10</w:t>
      </w:r>
      <w:r>
        <w:rPr>
          <w:rFonts w:hint="eastAsia"/>
          <w:sz w:val="24"/>
          <w:szCs w:val="22"/>
        </w:rPr>
        <w:t>万元，占营业收入的比例分别为</w:t>
      </w:r>
      <w:r>
        <w:rPr>
          <w:rFonts w:hint="eastAsia"/>
          <w:sz w:val="24"/>
          <w:szCs w:val="22"/>
        </w:rPr>
        <w:t>80.11%</w:t>
      </w:r>
      <w:r>
        <w:rPr>
          <w:rFonts w:hint="eastAsia"/>
          <w:sz w:val="24"/>
          <w:szCs w:val="22"/>
        </w:rPr>
        <w:t>、</w:t>
      </w:r>
      <w:r>
        <w:rPr>
          <w:rFonts w:hint="eastAsia"/>
          <w:sz w:val="24"/>
          <w:szCs w:val="22"/>
        </w:rPr>
        <w:t>75.33%</w:t>
      </w:r>
      <w:r>
        <w:rPr>
          <w:rFonts w:hint="eastAsia"/>
          <w:sz w:val="24"/>
          <w:szCs w:val="22"/>
        </w:rPr>
        <w:t>、</w:t>
      </w:r>
      <w:r>
        <w:rPr>
          <w:rFonts w:hint="eastAsia"/>
          <w:sz w:val="24"/>
          <w:szCs w:val="22"/>
        </w:rPr>
        <w:t>83.53%</w:t>
      </w:r>
      <w:r>
        <w:rPr>
          <w:rFonts w:hint="eastAsia"/>
          <w:sz w:val="24"/>
          <w:szCs w:val="22"/>
        </w:rPr>
        <w:t>和</w:t>
      </w:r>
      <w:r>
        <w:rPr>
          <w:rFonts w:hint="eastAsia"/>
          <w:sz w:val="24"/>
          <w:szCs w:val="22"/>
        </w:rPr>
        <w:t>80.32%</w:t>
      </w:r>
      <w:bookmarkEnd w:id="167"/>
      <w:r>
        <w:rPr>
          <w:rFonts w:hint="eastAsia"/>
          <w:sz w:val="24"/>
          <w:szCs w:val="22"/>
        </w:rPr>
        <w:t>。公司出口产品主要销往欧洲、亚洲、北美洲等境外地区，目前国际上涉及阀门的进口政策较为宽松，重大贸易摩擦情况较少发生。但近年来，随着各国经济发展增速的不同变化，各国政府针对进出口贸易的不同类别陆续实施相关贸易保护政策，不排除未来相关国家对阀门的进口贸易政策和产品认证要求等方面发生变化的可能性，进而对公司的经营带来不利影响。</w:t>
      </w:r>
      <w:bookmarkEnd w:id="162"/>
    </w:p>
    <w:p w14:paraId="073046DC" w14:textId="77777777" w:rsidR="004B0883" w:rsidRDefault="004B0883">
      <w:pPr>
        <w:widowControl w:val="0"/>
        <w:spacing w:beforeLines="50" w:before="120" w:line="360" w:lineRule="auto"/>
        <w:ind w:firstLineChars="200" w:firstLine="482"/>
        <w:jc w:val="both"/>
        <w:rPr>
          <w:rFonts w:ascii="楷体" w:eastAsia="楷体" w:hAnsi="楷体"/>
          <w:b/>
          <w:sz w:val="24"/>
          <w:szCs w:val="24"/>
        </w:rPr>
      </w:pPr>
      <w:bookmarkStart w:id="168" w:name="_Hlk154312743"/>
      <w:r>
        <w:rPr>
          <w:rFonts w:ascii="楷体" w:eastAsia="楷体" w:hAnsi="楷体"/>
          <w:b/>
          <w:sz w:val="24"/>
          <w:szCs w:val="24"/>
        </w:rPr>
        <w:t>目前除美国外，其他主要外销所在国家和地区对公司产品的进口均未设置特殊的关税政策。销往美国时会被额外加征关税，本轮中美双方贸易摩擦开始后，美国多次宣布对中国商品加征进口关税，其公布的征税清单中包括部分公司产品，报告期内公司销往美国的主要产品属于加征关税的范围，产品不同对应的额外加征税率不同，加征比例为10%-30%之间，对公司出口产品的盈利能力产生一定的影响。报告期内，公司出口到美国的销售收入分别为7,185.85万元、9,893.70万元、15,703.43万元</w:t>
      </w:r>
      <w:r>
        <w:rPr>
          <w:rFonts w:ascii="楷体" w:eastAsia="楷体" w:hAnsi="楷体" w:hint="eastAsia"/>
          <w:b/>
          <w:sz w:val="24"/>
          <w:szCs w:val="24"/>
        </w:rPr>
        <w:t>和</w:t>
      </w:r>
      <w:r>
        <w:rPr>
          <w:rFonts w:ascii="楷体" w:eastAsia="楷体" w:hAnsi="楷体"/>
          <w:b/>
          <w:sz w:val="24"/>
          <w:szCs w:val="24"/>
        </w:rPr>
        <w:t>11,903.08万元，占境外收入的比例分别为26.03%、31.63%、34.81%</w:t>
      </w:r>
      <w:r>
        <w:rPr>
          <w:rFonts w:ascii="楷体" w:eastAsia="楷体" w:hAnsi="楷体" w:hint="eastAsia"/>
          <w:b/>
          <w:sz w:val="24"/>
          <w:szCs w:val="24"/>
        </w:rPr>
        <w:t>和</w:t>
      </w:r>
      <w:r>
        <w:rPr>
          <w:rFonts w:ascii="楷体" w:eastAsia="楷体" w:hAnsi="楷体"/>
          <w:b/>
          <w:sz w:val="24"/>
          <w:szCs w:val="24"/>
        </w:rPr>
        <w:t>37.13%。若未来中美贸易摩擦加剧或其他进口国家及地区贸易政策发生变化，或下游客户受国际贸易摩擦影响导致产能需求下降，则将在很大程度上提高公司产品的出口成本和贸易门槛，从而使得公司的境外订单减少，公司出口业务可能受到不利影响，进而影响公司的经营业绩</w:t>
      </w:r>
      <w:bookmarkEnd w:id="164"/>
      <w:r>
        <w:rPr>
          <w:rFonts w:ascii="楷体" w:eastAsia="楷体" w:hAnsi="楷体"/>
          <w:b/>
          <w:sz w:val="24"/>
          <w:szCs w:val="24"/>
        </w:rPr>
        <w:t>。</w:t>
      </w:r>
    </w:p>
    <w:p w14:paraId="621B28AE" w14:textId="77777777" w:rsidR="004B0883" w:rsidRDefault="004B0883">
      <w:pPr>
        <w:keepNext/>
        <w:keepLines/>
        <w:widowControl w:val="0"/>
        <w:spacing w:beforeLines="50" w:before="120" w:line="360" w:lineRule="auto"/>
        <w:ind w:firstLineChars="200" w:firstLine="482"/>
        <w:jc w:val="both"/>
        <w:outlineLvl w:val="3"/>
        <w:rPr>
          <w:rFonts w:ascii="楷体" w:eastAsia="楷体" w:hAnsi="楷体"/>
          <w:b/>
          <w:bCs/>
          <w:sz w:val="24"/>
          <w:szCs w:val="28"/>
          <w:lang w:val="zh-CN"/>
        </w:rPr>
      </w:pPr>
      <w:bookmarkStart w:id="169" w:name="_Hlk154311992"/>
      <w:bookmarkStart w:id="170" w:name="_Hlk154312759"/>
      <w:bookmarkEnd w:id="165"/>
      <w:bookmarkEnd w:id="168"/>
      <w:r>
        <w:rPr>
          <w:rFonts w:ascii="楷体" w:eastAsia="楷体" w:hAnsi="楷体"/>
          <w:b/>
          <w:bCs/>
          <w:sz w:val="24"/>
          <w:szCs w:val="28"/>
          <w:lang w:val="zh-CN"/>
        </w:rPr>
        <w:t>2</w:t>
      </w:r>
      <w:r>
        <w:rPr>
          <w:rFonts w:ascii="楷体" w:eastAsia="楷体" w:hAnsi="楷体" w:hint="eastAsia"/>
          <w:b/>
          <w:bCs/>
          <w:sz w:val="24"/>
          <w:szCs w:val="28"/>
          <w:lang w:val="zh-CN"/>
        </w:rPr>
        <w:t>、外销收入下滑的风险</w:t>
      </w:r>
    </w:p>
    <w:p w14:paraId="46F49558" w14:textId="77777777" w:rsidR="004B0883" w:rsidRDefault="004B0883">
      <w:pPr>
        <w:widowControl w:val="0"/>
        <w:spacing w:beforeLines="50" w:before="120" w:line="360" w:lineRule="auto"/>
        <w:ind w:firstLineChars="200" w:firstLine="482"/>
        <w:jc w:val="both"/>
        <w:rPr>
          <w:rFonts w:ascii="楷体" w:eastAsia="楷体" w:hAnsi="楷体"/>
          <w:b/>
          <w:bCs/>
          <w:sz w:val="24"/>
          <w:szCs w:val="22"/>
        </w:rPr>
      </w:pPr>
      <w:bookmarkStart w:id="171" w:name="_Hlk155037268"/>
      <w:bookmarkStart w:id="172" w:name="_Hlk155035546"/>
      <w:bookmarkEnd w:id="169"/>
      <w:r>
        <w:rPr>
          <w:rFonts w:ascii="楷体" w:eastAsia="楷体" w:hAnsi="楷体" w:hint="eastAsia"/>
          <w:b/>
          <w:bCs/>
          <w:sz w:val="24"/>
          <w:szCs w:val="22"/>
        </w:rPr>
        <w:t>报告期内，公司境外销售收入分别为27,604.16万元、31,275.26万元、45,118.28万元和32,056.10万元，占营业收入的比例分别为80.11%、75.33%、83.53%和80.32%。公司出口产品主要销往欧洲、亚洲、北美洲等境外地区，境外销售是公司收入的重要来源，但公司外销收入可能面临进口国政策法规变动、市场竞争激烈、贸易摩擦、受相关国家或地区管制等因素影响，存在外销收入下降的风险</w:t>
      </w:r>
      <w:bookmarkEnd w:id="171"/>
      <w:r>
        <w:rPr>
          <w:rFonts w:ascii="楷体" w:eastAsia="楷体" w:hAnsi="楷体" w:hint="eastAsia"/>
          <w:b/>
          <w:bCs/>
          <w:sz w:val="24"/>
          <w:szCs w:val="22"/>
        </w:rPr>
        <w:t>。</w:t>
      </w:r>
    </w:p>
    <w:p w14:paraId="30122DA8" w14:textId="77777777" w:rsidR="004B0883" w:rsidRDefault="004B0883">
      <w:pPr>
        <w:pStyle w:val="002"/>
        <w:spacing w:before="120" w:after="120"/>
      </w:pPr>
      <w:bookmarkStart w:id="173" w:name="_Toc152320786"/>
      <w:bookmarkEnd w:id="166"/>
      <w:bookmarkEnd w:id="170"/>
      <w:bookmarkEnd w:id="172"/>
      <w:r>
        <w:rPr>
          <w:rFonts w:hint="eastAsia"/>
        </w:rPr>
        <w:t>二、与行业相关的风险</w:t>
      </w:r>
      <w:bookmarkEnd w:id="173"/>
    </w:p>
    <w:p w14:paraId="446E53F5" w14:textId="77777777" w:rsidR="004B0883" w:rsidRDefault="004B0883">
      <w:pPr>
        <w:keepNext/>
        <w:keepLines/>
        <w:widowControl w:val="0"/>
        <w:snapToGrid w:val="0"/>
        <w:spacing w:beforeLines="50" w:before="120" w:line="360" w:lineRule="auto"/>
        <w:ind w:left="482"/>
        <w:jc w:val="both"/>
        <w:outlineLvl w:val="2"/>
        <w:rPr>
          <w:rFonts w:eastAsia="黑体"/>
          <w:b/>
          <w:bCs/>
          <w:sz w:val="24"/>
          <w:szCs w:val="28"/>
        </w:rPr>
      </w:pPr>
      <w:r>
        <w:rPr>
          <w:rFonts w:eastAsia="黑体" w:hint="eastAsia"/>
          <w:b/>
          <w:bCs/>
          <w:sz w:val="24"/>
          <w:szCs w:val="28"/>
        </w:rPr>
        <w:t>（一）</w:t>
      </w:r>
      <w:bookmarkStart w:id="174" w:name="_Hlk139979800"/>
      <w:r>
        <w:rPr>
          <w:rFonts w:eastAsia="黑体" w:hint="eastAsia"/>
          <w:b/>
          <w:bCs/>
          <w:sz w:val="24"/>
          <w:szCs w:val="28"/>
        </w:rPr>
        <w:t>市场竞争加剧的风险</w:t>
      </w:r>
      <w:bookmarkEnd w:id="174"/>
    </w:p>
    <w:p w14:paraId="5797B43F" w14:textId="77777777" w:rsidR="004B0883" w:rsidRDefault="004B0883">
      <w:pPr>
        <w:widowControl w:val="0"/>
        <w:spacing w:beforeLines="50" w:before="120" w:line="360" w:lineRule="auto"/>
        <w:ind w:firstLineChars="200" w:firstLine="480"/>
        <w:jc w:val="both"/>
        <w:rPr>
          <w:sz w:val="24"/>
          <w:szCs w:val="22"/>
        </w:rPr>
      </w:pPr>
      <w:bookmarkStart w:id="175" w:name="_Hlk139979809"/>
      <w:bookmarkStart w:id="176" w:name="_Hlk139980898"/>
      <w:r>
        <w:rPr>
          <w:rFonts w:hint="eastAsia"/>
          <w:sz w:val="24"/>
          <w:szCs w:val="22"/>
        </w:rPr>
        <w:t>近几年，随着阀门产业的持续发展，行业景气度不断提升，越来越多的公司开始进入阀门行业。同时，国内现有的阀门企业也在行业快速发展的背景下，加大了产能建设，随着行业产能规模的不断扩大，阀门行业的竞争也将进一步加剧。虽然公司在技术、市场、产品品质、品牌和服务等方面在市场上有较强的竞争优势，但是随着市场竞争的加剧可能导致产品的终端销售价格下降，拉低公司产品平均毛利率，甚至出现结构性的产能过剩，进而对公司经营产生不利影响</w:t>
      </w:r>
      <w:bookmarkEnd w:id="176"/>
      <w:r>
        <w:rPr>
          <w:rFonts w:hint="eastAsia"/>
          <w:sz w:val="24"/>
          <w:szCs w:val="22"/>
        </w:rPr>
        <w:t>。</w:t>
      </w:r>
    </w:p>
    <w:p w14:paraId="71EAB158" w14:textId="77777777" w:rsidR="004B0883" w:rsidRDefault="004B0883">
      <w:pPr>
        <w:keepNext/>
        <w:keepLines/>
        <w:widowControl w:val="0"/>
        <w:snapToGrid w:val="0"/>
        <w:spacing w:beforeLines="50" w:before="120" w:line="360" w:lineRule="auto"/>
        <w:ind w:left="482"/>
        <w:jc w:val="both"/>
        <w:outlineLvl w:val="2"/>
        <w:rPr>
          <w:rFonts w:eastAsia="黑体"/>
          <w:b/>
          <w:bCs/>
          <w:sz w:val="24"/>
          <w:szCs w:val="28"/>
        </w:rPr>
      </w:pPr>
      <w:bookmarkStart w:id="177" w:name="_Hlk139976696"/>
      <w:bookmarkEnd w:id="175"/>
      <w:r>
        <w:rPr>
          <w:rFonts w:eastAsia="黑体" w:hint="eastAsia"/>
          <w:b/>
          <w:bCs/>
          <w:sz w:val="24"/>
          <w:szCs w:val="28"/>
        </w:rPr>
        <w:t>（二）</w:t>
      </w:r>
      <w:bookmarkStart w:id="178" w:name="_Hlk139979840"/>
      <w:r>
        <w:rPr>
          <w:rFonts w:eastAsia="黑体" w:hint="eastAsia"/>
          <w:b/>
          <w:bCs/>
          <w:sz w:val="24"/>
          <w:szCs w:val="28"/>
        </w:rPr>
        <w:t>宏观经济波动与产业政策变化的风险</w:t>
      </w:r>
      <w:bookmarkEnd w:id="178"/>
    </w:p>
    <w:p w14:paraId="53A282B7"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公司自成立以来一直专注于阀门的研发、生产和销售。近年来，阀门行业在国家产业政策的大力支持下，取得了快速的发展，但未来如果内外部经济环境和产业政策环境出现重大不利变化，将对阀门行业的发展产生不利影响，进而影响公司的经营业绩。</w:t>
      </w:r>
    </w:p>
    <w:p w14:paraId="1C7D892A" w14:textId="77777777" w:rsidR="004B0883" w:rsidRDefault="004B0883">
      <w:pPr>
        <w:pStyle w:val="002"/>
        <w:spacing w:before="120" w:after="120"/>
        <w:rPr>
          <w:rFonts w:hint="eastAsia"/>
        </w:rPr>
      </w:pPr>
      <w:bookmarkStart w:id="179" w:name="_Toc152320787"/>
      <w:bookmarkEnd w:id="177"/>
      <w:r>
        <w:t>三、其他风险</w:t>
      </w:r>
      <w:bookmarkEnd w:id="179"/>
    </w:p>
    <w:p w14:paraId="1703CC34" w14:textId="77777777" w:rsidR="004B0883" w:rsidRDefault="004B0883">
      <w:pPr>
        <w:keepNext/>
        <w:keepLines/>
        <w:widowControl w:val="0"/>
        <w:snapToGrid w:val="0"/>
        <w:spacing w:beforeLines="50" w:before="120" w:line="360" w:lineRule="auto"/>
        <w:ind w:left="482"/>
        <w:jc w:val="both"/>
        <w:outlineLvl w:val="2"/>
        <w:rPr>
          <w:rFonts w:eastAsia="黑体"/>
          <w:b/>
          <w:bCs/>
          <w:sz w:val="24"/>
          <w:szCs w:val="28"/>
        </w:rPr>
      </w:pPr>
      <w:bookmarkStart w:id="180" w:name="_Hlk139978734"/>
      <w:r>
        <w:rPr>
          <w:rFonts w:eastAsia="黑体" w:hint="eastAsia"/>
          <w:b/>
          <w:bCs/>
          <w:sz w:val="24"/>
          <w:szCs w:val="28"/>
        </w:rPr>
        <w:t>（一）与本次可转换公司债券相关的风险</w:t>
      </w:r>
    </w:p>
    <w:p w14:paraId="07BDA65C" w14:textId="77777777" w:rsidR="004B0883" w:rsidRDefault="004B0883">
      <w:pPr>
        <w:keepNext/>
        <w:keepLines/>
        <w:widowControl w:val="0"/>
        <w:spacing w:beforeLines="50" w:before="120" w:line="360" w:lineRule="auto"/>
        <w:ind w:firstLineChars="200" w:firstLine="482"/>
        <w:jc w:val="both"/>
        <w:outlineLvl w:val="3"/>
        <w:rPr>
          <w:b/>
          <w:bCs/>
          <w:sz w:val="24"/>
          <w:szCs w:val="28"/>
        </w:rPr>
      </w:pPr>
      <w:r>
        <w:rPr>
          <w:rFonts w:hint="eastAsia"/>
          <w:b/>
          <w:bCs/>
          <w:sz w:val="24"/>
          <w:szCs w:val="28"/>
        </w:rPr>
        <w:t>1</w:t>
      </w:r>
      <w:r>
        <w:rPr>
          <w:rFonts w:hint="eastAsia"/>
          <w:b/>
          <w:bCs/>
          <w:sz w:val="24"/>
          <w:szCs w:val="28"/>
        </w:rPr>
        <w:t>、可转债转股后</w:t>
      </w:r>
      <w:r>
        <w:rPr>
          <w:b/>
          <w:bCs/>
          <w:sz w:val="24"/>
          <w:szCs w:val="28"/>
        </w:rPr>
        <w:t>摊薄即期回报的风险</w:t>
      </w:r>
    </w:p>
    <w:p w14:paraId="11A3C522"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本次发行完成后，随着转股数量的增加，公司股本规模和净资产规模相应增加。由于募集资金投资项目建设和产生效益需要一定的过程和时间，如果公司营业收入及净利润没有实现同步增长，则短期内公司每股收益将存在下滑的风险。</w:t>
      </w:r>
    </w:p>
    <w:p w14:paraId="52CE552F" w14:textId="77777777" w:rsidR="004B0883" w:rsidRDefault="004B0883">
      <w:pPr>
        <w:keepNext/>
        <w:keepLines/>
        <w:widowControl w:val="0"/>
        <w:spacing w:beforeLines="50" w:before="120" w:line="360" w:lineRule="auto"/>
        <w:ind w:firstLineChars="200" w:firstLine="482"/>
        <w:jc w:val="both"/>
        <w:outlineLvl w:val="3"/>
        <w:rPr>
          <w:b/>
          <w:bCs/>
          <w:sz w:val="24"/>
          <w:szCs w:val="28"/>
        </w:rPr>
      </w:pPr>
      <w:r>
        <w:rPr>
          <w:rFonts w:hint="eastAsia"/>
          <w:b/>
          <w:bCs/>
          <w:sz w:val="24"/>
          <w:szCs w:val="28"/>
        </w:rPr>
        <w:t>2</w:t>
      </w:r>
      <w:r>
        <w:rPr>
          <w:rFonts w:hint="eastAsia"/>
          <w:b/>
          <w:bCs/>
          <w:sz w:val="24"/>
          <w:szCs w:val="28"/>
        </w:rPr>
        <w:t>、可转债到期未能转股的风险</w:t>
      </w:r>
    </w:p>
    <w:p w14:paraId="50A6CFE1"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本次可转换公司债券在转股期内是否转股取决于转股价格、公司股票价格、投资者偏好等因素。如果本次可转债未能在转股期内转股，公司则需对未转股的可转债偿付本金和利息，相比可转债转股的情形，公司将承担更高的财务费用。</w:t>
      </w:r>
    </w:p>
    <w:p w14:paraId="2A81C27B"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此外，在本次可转债存续期间，如果发生可转债回售等情况，公司将面临一定的资金压力。</w:t>
      </w:r>
    </w:p>
    <w:p w14:paraId="4F0EB70F" w14:textId="77777777" w:rsidR="004B0883" w:rsidRDefault="004B0883">
      <w:pPr>
        <w:keepNext/>
        <w:keepLines/>
        <w:widowControl w:val="0"/>
        <w:spacing w:beforeLines="50" w:before="120" w:line="360" w:lineRule="auto"/>
        <w:ind w:firstLineChars="200" w:firstLine="482"/>
        <w:jc w:val="both"/>
        <w:outlineLvl w:val="3"/>
        <w:rPr>
          <w:b/>
          <w:bCs/>
          <w:sz w:val="24"/>
          <w:szCs w:val="28"/>
        </w:rPr>
      </w:pPr>
      <w:r>
        <w:rPr>
          <w:rFonts w:hint="eastAsia"/>
          <w:b/>
          <w:bCs/>
          <w:sz w:val="24"/>
          <w:szCs w:val="28"/>
        </w:rPr>
        <w:t>3</w:t>
      </w:r>
      <w:r>
        <w:rPr>
          <w:rFonts w:hint="eastAsia"/>
          <w:b/>
          <w:bCs/>
          <w:sz w:val="24"/>
          <w:szCs w:val="28"/>
        </w:rPr>
        <w:t>、评级风险</w:t>
      </w:r>
    </w:p>
    <w:p w14:paraId="02919424"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中证鹏元资信评估股份有限公司对本次可转债进行了评级，公司主体长期信用等级为</w:t>
      </w:r>
      <w:r>
        <w:rPr>
          <w:rFonts w:hint="eastAsia"/>
          <w:sz w:val="24"/>
          <w:szCs w:val="22"/>
        </w:rPr>
        <w:t>A</w:t>
      </w:r>
      <w:r>
        <w:rPr>
          <w:sz w:val="24"/>
          <w:szCs w:val="22"/>
        </w:rPr>
        <w:t>，债券信用等级为</w:t>
      </w:r>
      <w:r>
        <w:rPr>
          <w:rFonts w:hint="eastAsia"/>
          <w:sz w:val="24"/>
          <w:szCs w:val="22"/>
        </w:rPr>
        <w:t>A</w:t>
      </w:r>
      <w:r>
        <w:rPr>
          <w:rFonts w:hint="eastAsia"/>
          <w:sz w:val="24"/>
          <w:szCs w:val="22"/>
        </w:rPr>
        <w:t>，评级展望稳定</w:t>
      </w:r>
      <w:r>
        <w:rPr>
          <w:sz w:val="24"/>
          <w:szCs w:val="22"/>
        </w:rPr>
        <w:t>。在本次债券存续期限内，</w:t>
      </w:r>
      <w:r>
        <w:rPr>
          <w:rFonts w:hint="eastAsia"/>
          <w:sz w:val="24"/>
          <w:szCs w:val="22"/>
        </w:rPr>
        <w:t>中证鹏元资信评估股份有限公司</w:t>
      </w:r>
      <w:r>
        <w:rPr>
          <w:sz w:val="24"/>
          <w:szCs w:val="22"/>
        </w:rPr>
        <w:t>将持续关注公司经营环境的变化、经营或财务状况的重大事项等因素，出具跟踪评级报告。如果由于公司外部经营环境、自身或评级标准变化等因素，导致本次债券的信用评级级别变化，将会增大投资者的风险，对投资人的利益产生一定影响。</w:t>
      </w:r>
    </w:p>
    <w:p w14:paraId="25ECECD1" w14:textId="77777777" w:rsidR="004B0883" w:rsidRDefault="004B0883">
      <w:pPr>
        <w:keepNext/>
        <w:keepLines/>
        <w:widowControl w:val="0"/>
        <w:spacing w:beforeLines="50" w:before="120" w:line="360" w:lineRule="auto"/>
        <w:ind w:firstLineChars="200" w:firstLine="482"/>
        <w:jc w:val="both"/>
        <w:outlineLvl w:val="3"/>
        <w:rPr>
          <w:b/>
          <w:bCs/>
          <w:sz w:val="24"/>
          <w:szCs w:val="28"/>
        </w:rPr>
      </w:pPr>
      <w:r>
        <w:rPr>
          <w:rFonts w:hint="eastAsia"/>
          <w:b/>
          <w:bCs/>
          <w:sz w:val="24"/>
          <w:szCs w:val="28"/>
        </w:rPr>
        <w:t>4</w:t>
      </w:r>
      <w:r>
        <w:rPr>
          <w:rFonts w:hint="eastAsia"/>
          <w:b/>
          <w:bCs/>
          <w:sz w:val="24"/>
          <w:szCs w:val="28"/>
        </w:rPr>
        <w:t>、本息兑付风险</w:t>
      </w:r>
    </w:p>
    <w:p w14:paraId="0D45C933"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在可转债的存续期限内，公司需按可转债的发行条款就可转债未转股的部分每年偿付利息及到期兑付本金，并承兑投资者可能提出的回售要求。如果受国家政策、法规、行业和市场等不可控因素的影响，公司的经营活动没有带来预期的回报，使得公司不能从预期的还款来源获得足够的资金，可能影响公司对可转债本息的按时足额兑付，以及对投资者回售要求的承兑能力。</w:t>
      </w:r>
    </w:p>
    <w:p w14:paraId="494467A5" w14:textId="77777777" w:rsidR="004B0883" w:rsidRDefault="004B0883">
      <w:pPr>
        <w:keepNext/>
        <w:keepLines/>
        <w:widowControl w:val="0"/>
        <w:spacing w:beforeLines="50" w:before="120" w:line="360" w:lineRule="auto"/>
        <w:ind w:firstLineChars="200" w:firstLine="482"/>
        <w:jc w:val="both"/>
        <w:outlineLvl w:val="3"/>
        <w:rPr>
          <w:b/>
          <w:bCs/>
          <w:sz w:val="24"/>
          <w:szCs w:val="28"/>
        </w:rPr>
      </w:pPr>
      <w:r>
        <w:rPr>
          <w:rFonts w:hint="eastAsia"/>
          <w:b/>
          <w:bCs/>
          <w:sz w:val="24"/>
          <w:szCs w:val="28"/>
        </w:rPr>
        <w:t>5</w:t>
      </w:r>
      <w:r>
        <w:rPr>
          <w:rFonts w:hint="eastAsia"/>
          <w:b/>
          <w:bCs/>
          <w:sz w:val="24"/>
          <w:szCs w:val="28"/>
        </w:rPr>
        <w:t>、利率风险</w:t>
      </w:r>
    </w:p>
    <w:p w14:paraId="6048EEAB"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本次可转债采用固定利率，在债券存续期内，当市场利率上升时，可转债的价值可能会相应降低，从而使投资者遭受损失。公司提醒投资者充分考虑市场利率波动可能引起的风险，以避免和减少损失。</w:t>
      </w:r>
    </w:p>
    <w:p w14:paraId="68F90C22" w14:textId="77777777" w:rsidR="004B0883" w:rsidRDefault="004B0883">
      <w:pPr>
        <w:keepNext/>
        <w:keepLines/>
        <w:widowControl w:val="0"/>
        <w:spacing w:beforeLines="50" w:before="120" w:line="360" w:lineRule="auto"/>
        <w:ind w:firstLineChars="200" w:firstLine="482"/>
        <w:jc w:val="both"/>
        <w:outlineLvl w:val="3"/>
        <w:rPr>
          <w:b/>
          <w:bCs/>
          <w:sz w:val="24"/>
          <w:szCs w:val="28"/>
        </w:rPr>
      </w:pPr>
      <w:r>
        <w:rPr>
          <w:rFonts w:hint="eastAsia"/>
          <w:b/>
          <w:bCs/>
          <w:sz w:val="24"/>
          <w:szCs w:val="28"/>
        </w:rPr>
        <w:t>6</w:t>
      </w:r>
      <w:r>
        <w:rPr>
          <w:rFonts w:hint="eastAsia"/>
          <w:b/>
          <w:bCs/>
          <w:sz w:val="24"/>
          <w:szCs w:val="28"/>
        </w:rPr>
        <w:t>、未设定担保的风险</w:t>
      </w:r>
    </w:p>
    <w:p w14:paraId="3553516A"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公司本次向不特定对象发行的可转债未设定担保，提请投资者注意本次可转债可能因未设定担保而存在兑付风险。</w:t>
      </w:r>
    </w:p>
    <w:p w14:paraId="586719E9" w14:textId="77777777" w:rsidR="004B0883" w:rsidRDefault="004B0883">
      <w:pPr>
        <w:keepNext/>
        <w:keepLines/>
        <w:widowControl w:val="0"/>
        <w:spacing w:beforeLines="50" w:before="120" w:line="360" w:lineRule="auto"/>
        <w:ind w:firstLineChars="200" w:firstLine="482"/>
        <w:jc w:val="both"/>
        <w:outlineLvl w:val="3"/>
        <w:rPr>
          <w:b/>
          <w:bCs/>
          <w:sz w:val="24"/>
          <w:szCs w:val="28"/>
        </w:rPr>
      </w:pPr>
      <w:r>
        <w:rPr>
          <w:rFonts w:hint="eastAsia"/>
          <w:b/>
          <w:bCs/>
          <w:sz w:val="24"/>
          <w:szCs w:val="28"/>
        </w:rPr>
        <w:t>7</w:t>
      </w:r>
      <w:r>
        <w:rPr>
          <w:rFonts w:hint="eastAsia"/>
          <w:b/>
          <w:bCs/>
          <w:sz w:val="24"/>
          <w:szCs w:val="28"/>
        </w:rPr>
        <w:t>、转股价格向下修正的风险</w:t>
      </w:r>
    </w:p>
    <w:p w14:paraId="0659E7A6"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在本次发行的可转换公司债券存续期间，当公司股票在任意连续三十个交易日中至少有十五个交易日的收盘价低于当期转股价格的</w:t>
      </w:r>
      <w:r>
        <w:rPr>
          <w:sz w:val="24"/>
          <w:szCs w:val="22"/>
        </w:rPr>
        <w:t>85%</w:t>
      </w:r>
      <w:r>
        <w:rPr>
          <w:sz w:val="24"/>
          <w:szCs w:val="22"/>
        </w:rPr>
        <w:t>时，公司董事会有权提出转股价格向下修正方案并提交公司股东大会表决。上述方案须经出席会议的股东所持表决权的三分之二以上通过方可实施。股东大会进行表决时，持有本次发行的可转换公司债券的股东应当回避。修正后的转股价格应不低于本次股东大会召开日前二十个交易日公司股票交易均价和前一交易日均价</w:t>
      </w:r>
      <w:r>
        <w:rPr>
          <w:rFonts w:hint="eastAsia"/>
          <w:sz w:val="24"/>
          <w:szCs w:val="22"/>
        </w:rPr>
        <w:t>之间的较高者</w:t>
      </w:r>
      <w:r>
        <w:rPr>
          <w:sz w:val="24"/>
          <w:szCs w:val="22"/>
        </w:rPr>
        <w:t>。</w:t>
      </w:r>
    </w:p>
    <w:p w14:paraId="42188347"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本次可转债存续期限内，在满足本次可转债转股价格向下修正条件的情况下，公司董事会仍可能基于公司的实际情况、股价走势、市场因素等多重考虑，不提出转股价格向下调整方案；公司董事会审议通过本次可转债转股价格向下修正方案的，亦存在未能通过公司股东大会审议的可能。未来在触发转股价格修正条款时，转股价格是否向下修正存在不确定性。</w:t>
      </w:r>
    </w:p>
    <w:p w14:paraId="41710892"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在本次发行的可转债存续期间，即使公司根据向下修正条款对转股价格进行修正，转股价格的修正幅度也将由于</w:t>
      </w:r>
      <w:r>
        <w:rPr>
          <w:rFonts w:ascii="宋体" w:hAnsi="宋体" w:hint="eastAsia"/>
          <w:sz w:val="24"/>
          <w:szCs w:val="22"/>
        </w:rPr>
        <w:t>“</w:t>
      </w:r>
      <w:r>
        <w:rPr>
          <w:rFonts w:hint="eastAsia"/>
          <w:sz w:val="24"/>
          <w:szCs w:val="22"/>
        </w:rPr>
        <w:t>修正后的转股价格应不低于该次股东大会召开日前二十个交易日公司股票交易均价和前一交易日公司股票交易均价</w:t>
      </w:r>
      <w:r>
        <w:rPr>
          <w:rFonts w:ascii="宋体" w:hAnsi="宋体" w:hint="eastAsia"/>
          <w:sz w:val="24"/>
          <w:szCs w:val="22"/>
        </w:rPr>
        <w:t>”</w:t>
      </w:r>
      <w:r>
        <w:rPr>
          <w:rFonts w:hint="eastAsia"/>
          <w:sz w:val="24"/>
          <w:szCs w:val="22"/>
        </w:rPr>
        <w:t>的规定而受到限制，修正幅度存在不确定性。</w:t>
      </w:r>
    </w:p>
    <w:p w14:paraId="28629159"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如果公司股票在可转债发行后价格持续下跌，则存在公司未能及时向下修正转股价格或即使公司持续向下修正转股价格，但公司股票价格仍低于转股价格，导致本次发行的可转债转股价值发生重大不利变化，并进而可能导致出现可转债在转股期内回售或持有到期不能转股的风险。</w:t>
      </w:r>
    </w:p>
    <w:p w14:paraId="686EC1AC" w14:textId="77777777" w:rsidR="004B0883" w:rsidRDefault="004B0883">
      <w:pPr>
        <w:keepNext/>
        <w:keepLines/>
        <w:widowControl w:val="0"/>
        <w:spacing w:beforeLines="50" w:before="120" w:line="360" w:lineRule="auto"/>
        <w:ind w:firstLineChars="200" w:firstLine="482"/>
        <w:jc w:val="both"/>
        <w:outlineLvl w:val="3"/>
        <w:rPr>
          <w:b/>
          <w:bCs/>
          <w:sz w:val="24"/>
          <w:szCs w:val="28"/>
        </w:rPr>
      </w:pPr>
      <w:r>
        <w:rPr>
          <w:rFonts w:hint="eastAsia"/>
          <w:b/>
          <w:bCs/>
          <w:sz w:val="24"/>
          <w:szCs w:val="28"/>
        </w:rPr>
        <w:t>8</w:t>
      </w:r>
      <w:r>
        <w:rPr>
          <w:rFonts w:hint="eastAsia"/>
          <w:b/>
          <w:bCs/>
          <w:sz w:val="24"/>
          <w:szCs w:val="28"/>
        </w:rPr>
        <w:t>、提前赎回的风险</w:t>
      </w:r>
    </w:p>
    <w:p w14:paraId="7C08C21E"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本次可转换公司债券设置了有条件赎回条款：</w:t>
      </w:r>
    </w:p>
    <w:p w14:paraId="770BE28B"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在本次发行的可转债转股期内，当下述两种情形的任意一种出现时，公司有权决定按照债券面值加当期应计利息的价格赎回全部或部分未转股的可转债：（</w:t>
      </w:r>
      <w:r>
        <w:rPr>
          <w:sz w:val="24"/>
          <w:szCs w:val="22"/>
        </w:rPr>
        <w:t>1</w:t>
      </w:r>
      <w:r>
        <w:rPr>
          <w:sz w:val="24"/>
          <w:szCs w:val="22"/>
        </w:rPr>
        <w:t>）在转股期内，如果公司股票在任意连续三十个交易日中至少十五个交易日的收盘价格不低于当期转股价格的</w:t>
      </w:r>
      <w:r>
        <w:rPr>
          <w:sz w:val="24"/>
          <w:szCs w:val="22"/>
        </w:rPr>
        <w:t>130%</w:t>
      </w:r>
      <w:r>
        <w:rPr>
          <w:sz w:val="24"/>
          <w:szCs w:val="22"/>
        </w:rPr>
        <w:t>（含</w:t>
      </w:r>
      <w:r>
        <w:rPr>
          <w:sz w:val="24"/>
          <w:szCs w:val="22"/>
        </w:rPr>
        <w:t>130%</w:t>
      </w:r>
      <w:r>
        <w:rPr>
          <w:sz w:val="24"/>
          <w:szCs w:val="22"/>
        </w:rPr>
        <w:t>）；</w:t>
      </w:r>
      <w:r>
        <w:rPr>
          <w:rFonts w:hint="eastAsia"/>
          <w:sz w:val="24"/>
          <w:szCs w:val="22"/>
        </w:rPr>
        <w:t>（</w:t>
      </w:r>
      <w:r>
        <w:rPr>
          <w:sz w:val="24"/>
          <w:szCs w:val="22"/>
        </w:rPr>
        <w:t>2</w:t>
      </w:r>
      <w:r>
        <w:rPr>
          <w:sz w:val="24"/>
          <w:szCs w:val="22"/>
        </w:rPr>
        <w:t>）当本次发行的可转债未转股余额不足</w:t>
      </w:r>
      <w:r>
        <w:rPr>
          <w:sz w:val="24"/>
          <w:szCs w:val="22"/>
        </w:rPr>
        <w:t>3,000</w:t>
      </w:r>
      <w:r>
        <w:rPr>
          <w:sz w:val="24"/>
          <w:szCs w:val="22"/>
        </w:rPr>
        <w:t>万元时。</w:t>
      </w:r>
    </w:p>
    <w:p w14:paraId="1DFEF332"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当期应计利息的计算公式为：</w:t>
      </w:r>
      <w:r>
        <w:rPr>
          <w:sz w:val="24"/>
          <w:szCs w:val="22"/>
        </w:rPr>
        <w:t>IA=B×i×t/365</w:t>
      </w:r>
      <w:r>
        <w:rPr>
          <w:rFonts w:hint="eastAsia"/>
          <w:sz w:val="24"/>
          <w:szCs w:val="22"/>
        </w:rPr>
        <w:t>。其中：</w:t>
      </w:r>
      <w:r>
        <w:rPr>
          <w:sz w:val="24"/>
          <w:szCs w:val="22"/>
        </w:rPr>
        <w:t>IA</w:t>
      </w:r>
      <w:r>
        <w:rPr>
          <w:sz w:val="24"/>
          <w:szCs w:val="22"/>
        </w:rPr>
        <w:t>指当期应计利息；</w:t>
      </w:r>
      <w:r>
        <w:rPr>
          <w:sz w:val="24"/>
          <w:szCs w:val="22"/>
        </w:rPr>
        <w:t>B</w:t>
      </w:r>
      <w:r>
        <w:rPr>
          <w:sz w:val="24"/>
          <w:szCs w:val="22"/>
        </w:rPr>
        <w:t>指本次发行的可转债持有人持有的将被赎回的可转债票面总金额；</w:t>
      </w:r>
      <w:r>
        <w:rPr>
          <w:sz w:val="24"/>
          <w:szCs w:val="22"/>
        </w:rPr>
        <w:t>i</w:t>
      </w:r>
      <w:r>
        <w:rPr>
          <w:sz w:val="24"/>
          <w:szCs w:val="22"/>
        </w:rPr>
        <w:t>指可转债当年票面利率；</w:t>
      </w:r>
      <w:r>
        <w:rPr>
          <w:sz w:val="24"/>
          <w:szCs w:val="22"/>
        </w:rPr>
        <w:t>t</w:t>
      </w:r>
      <w:r>
        <w:rPr>
          <w:sz w:val="24"/>
          <w:szCs w:val="22"/>
        </w:rPr>
        <w:t>指计息天数，即从上一个付息日起至本计息年度赎回日止的实际日历天数（算头不算尾）。</w:t>
      </w:r>
    </w:p>
    <w:p w14:paraId="58C49303"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若在前述三十个交易日内发生过转股价格调整的情形，则在调整前的交易日按调整前的转股价格和收盘价计算，调整后的交易日按调整后的转股价格和收盘价计算。</w:t>
      </w:r>
    </w:p>
    <w:p w14:paraId="0848CFBB" w14:textId="77777777" w:rsidR="004B0883" w:rsidRDefault="004B0883">
      <w:pPr>
        <w:widowControl w:val="0"/>
        <w:spacing w:beforeLines="50" w:before="120" w:line="360" w:lineRule="auto"/>
        <w:ind w:firstLineChars="200" w:firstLine="480"/>
        <w:jc w:val="both"/>
        <w:rPr>
          <w:rFonts w:hint="eastAsia"/>
          <w:sz w:val="24"/>
          <w:szCs w:val="22"/>
        </w:rPr>
      </w:pPr>
      <w:r>
        <w:rPr>
          <w:rFonts w:hint="eastAsia"/>
          <w:sz w:val="24"/>
          <w:szCs w:val="22"/>
        </w:rPr>
        <w:t>可转债的存续期内，在相关条件满足的情况下，如果公司行使了上述有条件赎回条款，可能促使本次可转债的投资者提前转股，从而导致投资者面临投资期限缩短、丧失未来预期利息收入的风险。</w:t>
      </w:r>
    </w:p>
    <w:bookmarkEnd w:id="180"/>
    <w:p w14:paraId="6C55F327" w14:textId="77777777" w:rsidR="004B0883" w:rsidRDefault="004B0883">
      <w:pPr>
        <w:keepNext/>
        <w:keepLines/>
        <w:widowControl w:val="0"/>
        <w:snapToGrid w:val="0"/>
        <w:spacing w:beforeLines="50" w:before="120" w:line="360" w:lineRule="auto"/>
        <w:ind w:left="482"/>
        <w:jc w:val="both"/>
        <w:outlineLvl w:val="2"/>
        <w:rPr>
          <w:rFonts w:eastAsia="黑体"/>
          <w:b/>
          <w:bCs/>
          <w:sz w:val="24"/>
          <w:szCs w:val="28"/>
        </w:rPr>
      </w:pPr>
      <w:r>
        <w:rPr>
          <w:rFonts w:eastAsia="黑体" w:hint="eastAsia"/>
          <w:b/>
          <w:bCs/>
          <w:sz w:val="24"/>
          <w:szCs w:val="28"/>
        </w:rPr>
        <w:t>（二）</w:t>
      </w:r>
      <w:bookmarkStart w:id="181" w:name="_Hlk139979864"/>
      <w:r>
        <w:rPr>
          <w:rFonts w:eastAsia="黑体" w:hint="eastAsia"/>
          <w:b/>
          <w:bCs/>
          <w:sz w:val="24"/>
          <w:szCs w:val="28"/>
        </w:rPr>
        <w:t>公司股票价格波动的风险</w:t>
      </w:r>
      <w:bookmarkEnd w:id="181"/>
    </w:p>
    <w:p w14:paraId="385DFE2E" w14:textId="77777777" w:rsidR="004B0883" w:rsidRDefault="004B0883">
      <w:pPr>
        <w:widowControl w:val="0"/>
        <w:spacing w:beforeLines="50" w:before="120" w:line="360" w:lineRule="auto"/>
        <w:ind w:firstLineChars="200" w:firstLine="480"/>
        <w:jc w:val="both"/>
        <w:rPr>
          <w:sz w:val="24"/>
          <w:szCs w:val="22"/>
        </w:rPr>
      </w:pPr>
      <w:bookmarkStart w:id="182" w:name="_Hlk139979873"/>
      <w:r>
        <w:rPr>
          <w:rFonts w:hint="eastAsia"/>
          <w:sz w:val="24"/>
          <w:szCs w:val="22"/>
        </w:rPr>
        <w:t>公司股票在深交所上市，公司股票价格除了受到公司经营状况、财务状况、盈利水平及发展前景等基本面因素影响外，还会受到国内外政治及宏观经济形势、国家经济政策调整或法律变化、利率和汇率的变化、资本市场运行状况、股票供求关系、投资者心理预期以及其他不可预测因素的影响，投资者在考虑投资本公司可转换公司债券时，应预计到前述各类因素可能带来的投资风险，并做出审慎判断</w:t>
      </w:r>
      <w:bookmarkEnd w:id="182"/>
      <w:r>
        <w:rPr>
          <w:rFonts w:hint="eastAsia"/>
          <w:sz w:val="24"/>
          <w:szCs w:val="22"/>
        </w:rPr>
        <w:t>。</w:t>
      </w:r>
    </w:p>
    <w:p w14:paraId="08ECEA7B" w14:textId="77777777" w:rsidR="004B0883" w:rsidRDefault="004B0883">
      <w:pPr>
        <w:keepNext/>
        <w:keepLines/>
        <w:widowControl w:val="0"/>
        <w:snapToGrid w:val="0"/>
        <w:spacing w:beforeLines="50" w:before="120" w:line="360" w:lineRule="auto"/>
        <w:ind w:left="482"/>
        <w:jc w:val="both"/>
        <w:outlineLvl w:val="2"/>
        <w:rPr>
          <w:rFonts w:eastAsia="黑体"/>
          <w:b/>
          <w:bCs/>
          <w:sz w:val="24"/>
          <w:szCs w:val="28"/>
        </w:rPr>
      </w:pPr>
      <w:r>
        <w:rPr>
          <w:rFonts w:eastAsia="黑体" w:hint="eastAsia"/>
          <w:b/>
          <w:bCs/>
          <w:sz w:val="24"/>
          <w:szCs w:val="28"/>
        </w:rPr>
        <w:t>（三）</w:t>
      </w:r>
      <w:bookmarkStart w:id="183" w:name="_Hlk139979887"/>
      <w:r>
        <w:rPr>
          <w:rFonts w:eastAsia="黑体" w:hint="eastAsia"/>
          <w:b/>
          <w:bCs/>
          <w:sz w:val="24"/>
          <w:szCs w:val="28"/>
        </w:rPr>
        <w:t>审批与发行风险</w:t>
      </w:r>
      <w:bookmarkEnd w:id="183"/>
    </w:p>
    <w:p w14:paraId="03EC13E7" w14:textId="77777777" w:rsidR="004B0883" w:rsidRDefault="004B0883">
      <w:pPr>
        <w:pStyle w:val="005"/>
        <w:spacing w:before="120"/>
        <w:ind w:firstLine="480"/>
        <w:rPr>
          <w:rFonts w:hint="eastAsia"/>
        </w:rPr>
      </w:pPr>
      <w:r>
        <w:rPr>
          <w:rFonts w:hint="eastAsia"/>
        </w:rPr>
        <w:t>本</w:t>
      </w:r>
      <w:bookmarkStart w:id="184" w:name="_Hlk139979894"/>
      <w:r>
        <w:rPr>
          <w:rFonts w:hint="eastAsia"/>
        </w:rPr>
        <w:t>次向不特定对象发行可转债方案在董事会、股东大会通过后尚须经过相应审批程序方可实施，包括但不限于深圳证券交易所审核通过并经中国证监会同意注册等。本次发行能否取得有关主管部门的核准，以及最终取得批准的时间均存在不确定性。因此，公司本次向不特定对象发行可转债方案能否最终成功实施存在不确定性。</w:t>
      </w:r>
    </w:p>
    <w:p w14:paraId="12C446A2" w14:textId="77777777" w:rsidR="004B0883" w:rsidRDefault="004B0883">
      <w:pPr>
        <w:pStyle w:val="005"/>
        <w:spacing w:before="120"/>
        <w:ind w:firstLine="480"/>
      </w:pPr>
      <w:r>
        <w:rPr>
          <w:rFonts w:hint="eastAsia"/>
        </w:rPr>
        <w:t>本次可转换公司债券的发行对象为持有中国证券登记结算有限责任公司深圳分公司证券账户的自然人、法人、证券投资基金、符合法律规定的其他投资者等（国家法律、法规禁止者除外），发行结果将受到投资者对于公司及项目认可度的影响。因此，本次向不特定对象发行可转债存在发行募集资金不足甚至无法成功实施的风险</w:t>
      </w:r>
      <w:bookmarkEnd w:id="184"/>
      <w:r>
        <w:rPr>
          <w:rFonts w:hint="eastAsia"/>
        </w:rPr>
        <w:t>。</w:t>
      </w:r>
    </w:p>
    <w:p w14:paraId="0ED673CB" w14:textId="77777777" w:rsidR="004B0883" w:rsidRDefault="004B0883">
      <w:pPr>
        <w:keepNext/>
        <w:keepLines/>
        <w:widowControl w:val="0"/>
        <w:snapToGrid w:val="0"/>
        <w:spacing w:beforeLines="50" w:before="120" w:line="360" w:lineRule="auto"/>
        <w:ind w:left="482"/>
        <w:jc w:val="both"/>
        <w:outlineLvl w:val="2"/>
        <w:rPr>
          <w:rFonts w:eastAsia="黑体"/>
          <w:b/>
          <w:bCs/>
          <w:sz w:val="24"/>
          <w:szCs w:val="28"/>
        </w:rPr>
      </w:pPr>
      <w:bookmarkStart w:id="185" w:name="_Hlk139979934"/>
      <w:r>
        <w:rPr>
          <w:rFonts w:eastAsia="黑体" w:hint="eastAsia"/>
          <w:b/>
          <w:bCs/>
          <w:sz w:val="24"/>
          <w:szCs w:val="28"/>
        </w:rPr>
        <w:t>（四）前瞻性陈述具有不确定性的风险</w:t>
      </w:r>
    </w:p>
    <w:p w14:paraId="5424FC66" w14:textId="77777777" w:rsidR="004B0883" w:rsidRDefault="004B0883">
      <w:pPr>
        <w:pStyle w:val="005"/>
        <w:spacing w:before="120"/>
        <w:ind w:firstLine="480"/>
      </w:pPr>
      <w:bookmarkStart w:id="186" w:name="_Hlk139976892"/>
      <w:r>
        <w:rPr>
          <w:rFonts w:hint="eastAsia"/>
        </w:rPr>
        <w:t>本募集说明书所载的内容中包括部分前瞻性陈述，一般采用诸如</w:t>
      </w:r>
      <w:r>
        <w:rPr>
          <w:rFonts w:ascii="宋体" w:hAnsi="宋体" w:hint="eastAsia"/>
        </w:rPr>
        <w:t>“</w:t>
      </w:r>
      <w:r>
        <w:rPr>
          <w:rFonts w:hint="eastAsia"/>
        </w:rPr>
        <w:t>将</w:t>
      </w:r>
      <w:r>
        <w:rPr>
          <w:rFonts w:ascii="宋体" w:hAnsi="宋体" w:hint="eastAsia"/>
        </w:rPr>
        <w:t>”“</w:t>
      </w:r>
      <w:r>
        <w:rPr>
          <w:rFonts w:hint="eastAsia"/>
        </w:rPr>
        <w:t>将会</w:t>
      </w:r>
      <w:r>
        <w:rPr>
          <w:rFonts w:ascii="宋体" w:hAnsi="宋体" w:hint="eastAsia"/>
        </w:rPr>
        <w:t>”“</w:t>
      </w:r>
      <w:r>
        <w:rPr>
          <w:rFonts w:hint="eastAsia"/>
        </w:rPr>
        <w:t>计划</w:t>
      </w:r>
      <w:r>
        <w:rPr>
          <w:rFonts w:ascii="宋体" w:hAnsi="宋体" w:hint="eastAsia"/>
        </w:rPr>
        <w:t>”“</w:t>
      </w:r>
      <w:r>
        <w:rPr>
          <w:rFonts w:hint="eastAsia"/>
        </w:rPr>
        <w:t>可能</w:t>
      </w:r>
      <w:r>
        <w:rPr>
          <w:rFonts w:ascii="宋体" w:hAnsi="宋体" w:hint="eastAsia"/>
        </w:rPr>
        <w:t>”</w:t>
      </w:r>
      <w:r>
        <w:rPr>
          <w:rFonts w:hint="eastAsia"/>
        </w:rPr>
        <w:t>等带有前瞻性色彩的用词。尽管该等陈述是公司基于行业理性所作出的，但鉴于前瞻性陈述往往具有不确定性或依赖特定条件，包括但不限于本节中所披露的已识别的各种风险因素。因此，本募集说明书中所载的任何前瞻性陈述均不应被视作公司对未来计划、目标、结果等能够实现的承诺，该等前瞻性陈述的实现具有不确定性的风险</w:t>
      </w:r>
      <w:bookmarkEnd w:id="186"/>
      <w:r>
        <w:rPr>
          <w:rFonts w:hint="eastAsia"/>
        </w:rPr>
        <w:t>。</w:t>
      </w:r>
    </w:p>
    <w:p w14:paraId="29F3C41A" w14:textId="77777777" w:rsidR="004B0883" w:rsidRDefault="004B0883">
      <w:pPr>
        <w:keepNext/>
        <w:keepLines/>
        <w:widowControl w:val="0"/>
        <w:snapToGrid w:val="0"/>
        <w:spacing w:beforeLines="50" w:before="120" w:line="360" w:lineRule="auto"/>
        <w:ind w:left="482"/>
        <w:jc w:val="both"/>
        <w:outlineLvl w:val="2"/>
        <w:rPr>
          <w:rFonts w:eastAsia="黑体"/>
          <w:b/>
          <w:bCs/>
          <w:sz w:val="24"/>
          <w:szCs w:val="28"/>
        </w:rPr>
      </w:pPr>
      <w:bookmarkStart w:id="187" w:name="_Hlk139979988"/>
      <w:bookmarkEnd w:id="185"/>
      <w:r>
        <w:rPr>
          <w:rFonts w:eastAsia="黑体" w:hint="eastAsia"/>
          <w:b/>
          <w:bCs/>
          <w:sz w:val="24"/>
          <w:szCs w:val="28"/>
        </w:rPr>
        <w:t>（五）借款及担保事项风险</w:t>
      </w:r>
    </w:p>
    <w:p w14:paraId="07B6D445" w14:textId="77777777" w:rsidR="004B0883" w:rsidRDefault="004B0883">
      <w:pPr>
        <w:pStyle w:val="005"/>
        <w:spacing w:before="120"/>
        <w:ind w:firstLine="480"/>
      </w:pPr>
      <w:bookmarkStart w:id="188" w:name="_Hlk139980012"/>
      <w:r>
        <w:rPr>
          <w:rFonts w:hint="eastAsia"/>
        </w:rPr>
        <w:t>报告期内，公司子公司曾存在报告期前公章被违规使用导致公司被起诉承担还款责任的情形。考虑到此类事项一定程度上存在不确定性，未来阶段如相关借款无法顺利</w:t>
      </w:r>
      <w:bookmarkStart w:id="189" w:name="_Hlk152185699"/>
      <w:r>
        <w:rPr>
          <w:rFonts w:hint="eastAsia"/>
        </w:rPr>
        <w:t>执行回款</w:t>
      </w:r>
      <w:bookmarkEnd w:id="189"/>
      <w:r>
        <w:rPr>
          <w:rFonts w:hint="eastAsia"/>
        </w:rPr>
        <w:t>，则公司可能面临作为担保人承担连带责任或作为共同借款人承担还款责任的风险，相关资产可能面临被查封、冻结或被强制执行的风险</w:t>
      </w:r>
      <w:bookmarkEnd w:id="188"/>
      <w:r>
        <w:rPr>
          <w:rFonts w:hint="eastAsia"/>
        </w:rPr>
        <w:t>。</w:t>
      </w:r>
    </w:p>
    <w:p w14:paraId="0BF9FEBC" w14:textId="77777777" w:rsidR="004B0883" w:rsidRDefault="004B0883">
      <w:pPr>
        <w:keepNext/>
        <w:keepLines/>
        <w:widowControl w:val="0"/>
        <w:snapToGrid w:val="0"/>
        <w:spacing w:beforeLines="50" w:before="120" w:line="360" w:lineRule="auto"/>
        <w:ind w:left="482"/>
        <w:jc w:val="both"/>
        <w:outlineLvl w:val="2"/>
        <w:rPr>
          <w:rFonts w:eastAsia="黑体"/>
          <w:b/>
          <w:bCs/>
          <w:sz w:val="24"/>
          <w:szCs w:val="28"/>
        </w:rPr>
      </w:pPr>
      <w:bookmarkStart w:id="190" w:name="_Hlk139980091"/>
      <w:bookmarkEnd w:id="187"/>
      <w:r>
        <w:rPr>
          <w:rFonts w:eastAsia="黑体" w:hint="eastAsia"/>
          <w:b/>
          <w:bCs/>
          <w:sz w:val="24"/>
          <w:szCs w:val="28"/>
        </w:rPr>
        <w:t>（六）实际控制人控制不当风险</w:t>
      </w:r>
    </w:p>
    <w:p w14:paraId="10AE3775" w14:textId="77777777" w:rsidR="004B0883" w:rsidRDefault="004B0883">
      <w:pPr>
        <w:pStyle w:val="005"/>
        <w:spacing w:before="120"/>
        <w:ind w:firstLine="480"/>
        <w:rPr>
          <w:rFonts w:hint="eastAsia"/>
        </w:rPr>
      </w:pPr>
      <w:r>
        <w:rPr>
          <w:rFonts w:hint="eastAsia"/>
        </w:rPr>
        <w:t>截至</w:t>
      </w:r>
      <w:r>
        <w:rPr>
          <w:rFonts w:hint="eastAsia"/>
        </w:rPr>
        <w:t>2023</w:t>
      </w:r>
      <w:r>
        <w:rPr>
          <w:rFonts w:hint="eastAsia"/>
        </w:rPr>
        <w:t>年</w:t>
      </w:r>
      <w:r>
        <w:t>9</w:t>
      </w:r>
      <w:r>
        <w:rPr>
          <w:rFonts w:hint="eastAsia"/>
        </w:rPr>
        <w:t>月</w:t>
      </w:r>
      <w:r>
        <w:rPr>
          <w:rFonts w:hint="eastAsia"/>
        </w:rPr>
        <w:t>30</w:t>
      </w:r>
      <w:r>
        <w:rPr>
          <w:rFonts w:hint="eastAsia"/>
        </w:rPr>
        <w:t>日，范庆伟、范玉隆分别直接持有公司</w:t>
      </w:r>
      <w:r>
        <w:rPr>
          <w:rFonts w:hint="eastAsia"/>
        </w:rPr>
        <w:t>55.78%</w:t>
      </w:r>
      <w:r>
        <w:rPr>
          <w:rFonts w:hint="eastAsia"/>
        </w:rPr>
        <w:t>和</w:t>
      </w:r>
      <w:r>
        <w:rPr>
          <w:rFonts w:hint="eastAsia"/>
        </w:rPr>
        <w:t>3.72%</w:t>
      </w:r>
      <w:r>
        <w:rPr>
          <w:rFonts w:hint="eastAsia"/>
        </w:rPr>
        <w:t>的股份，范庆伟还通过持有公司法人股东惠隆公司</w:t>
      </w:r>
      <w:r>
        <w:rPr>
          <w:rFonts w:hint="eastAsia"/>
        </w:rPr>
        <w:t>72.73%</w:t>
      </w:r>
      <w:r>
        <w:rPr>
          <w:rFonts w:hint="eastAsia"/>
        </w:rPr>
        <w:t>的股权而间接持有公司</w:t>
      </w:r>
      <w:r>
        <w:rPr>
          <w:rFonts w:hint="eastAsia"/>
        </w:rPr>
        <w:t>3.56%</w:t>
      </w:r>
      <w:r>
        <w:rPr>
          <w:rFonts w:hint="eastAsia"/>
        </w:rPr>
        <w:t>股份，</w:t>
      </w:r>
      <w:r>
        <w:rPr>
          <w:rFonts w:cs="宋体" w:hint="eastAsia"/>
          <w:szCs w:val="24"/>
        </w:rPr>
        <w:t>范庆伟与范玉隆为父子关系，其合计</w:t>
      </w:r>
      <w:r>
        <w:rPr>
          <w:rFonts w:cs="宋体"/>
          <w:szCs w:val="24"/>
        </w:rPr>
        <w:t>直接和间接持</w:t>
      </w:r>
      <w:r>
        <w:rPr>
          <w:rFonts w:cs="宋体" w:hint="eastAsia"/>
          <w:szCs w:val="24"/>
        </w:rPr>
        <w:t>有公司</w:t>
      </w:r>
      <w:r>
        <w:rPr>
          <w:rFonts w:cs="宋体" w:hint="eastAsia"/>
          <w:szCs w:val="24"/>
        </w:rPr>
        <w:t>63.07%</w:t>
      </w:r>
      <w:r>
        <w:rPr>
          <w:rFonts w:cs="宋体" w:hint="eastAsia"/>
          <w:szCs w:val="24"/>
        </w:rPr>
        <w:t>的股权，</w:t>
      </w:r>
      <w:r>
        <w:rPr>
          <w:rFonts w:hint="eastAsia"/>
        </w:rPr>
        <w:t>为公司的实际控制人。本次发行完成后，范庆伟、范玉隆仍为公司实际控制人，持股比例较高。</w:t>
      </w:r>
    </w:p>
    <w:p w14:paraId="06925016" w14:textId="77777777" w:rsidR="004B0883" w:rsidRDefault="004B0883">
      <w:pPr>
        <w:pStyle w:val="005"/>
        <w:spacing w:before="120"/>
        <w:ind w:firstLine="480"/>
      </w:pPr>
      <w:r>
        <w:rPr>
          <w:rFonts w:hint="eastAsia"/>
        </w:rPr>
        <w:t>虽然发行人已依据《公司法》《证券法》《上市公司章程指引》等法律法规和规范性文件的要求，建立了完善的法人治理结构。但作为实际控制人，若其通过行使表决权或其他方式对公司经营、财务决策、重大人事任免和利润分配等方面实施不利影响，可能会给公司及中小股东带来一定的风险。</w:t>
      </w:r>
    </w:p>
    <w:p w14:paraId="36170188" w14:textId="77777777" w:rsidR="004B0883" w:rsidRDefault="004B0883">
      <w:pPr>
        <w:pStyle w:val="001"/>
        <w:spacing w:before="120" w:after="120"/>
        <w:rPr>
          <w:rFonts w:hint="eastAsia"/>
        </w:rPr>
      </w:pPr>
      <w:bookmarkStart w:id="191" w:name="_Toc152320788"/>
      <w:bookmarkEnd w:id="112"/>
      <w:bookmarkEnd w:id="190"/>
      <w:r>
        <w:rPr>
          <w:rFonts w:hint="eastAsia"/>
        </w:rPr>
        <w:t>第四节</w:t>
      </w:r>
      <w:r>
        <w:rPr>
          <w:rFonts w:hint="eastAsia"/>
        </w:rPr>
        <w:t xml:space="preserve"> </w:t>
      </w:r>
      <w:r>
        <w:rPr>
          <w:rFonts w:hint="eastAsia"/>
        </w:rPr>
        <w:t>发行人基本情况</w:t>
      </w:r>
      <w:bookmarkEnd w:id="113"/>
      <w:bookmarkEnd w:id="191"/>
    </w:p>
    <w:p w14:paraId="2BA29852" w14:textId="77777777" w:rsidR="004B0883" w:rsidRDefault="004B0883">
      <w:pPr>
        <w:pStyle w:val="002"/>
        <w:spacing w:before="120" w:after="120"/>
        <w:rPr>
          <w:rFonts w:hint="eastAsia"/>
        </w:rPr>
      </w:pPr>
      <w:bookmarkStart w:id="192" w:name="_Toc523129026"/>
      <w:bookmarkStart w:id="193" w:name="_Hlk39153302"/>
      <w:bookmarkStart w:id="194" w:name="_Toc42001326"/>
      <w:bookmarkStart w:id="195" w:name="_Toc42001331"/>
      <w:bookmarkStart w:id="196" w:name="_Toc152320789"/>
      <w:r>
        <w:rPr>
          <w:rFonts w:hint="eastAsia"/>
        </w:rPr>
        <w:t>一、发行人股本结构及前十名股东持股概况</w:t>
      </w:r>
      <w:bookmarkEnd w:id="196"/>
    </w:p>
    <w:p w14:paraId="17BA5A6F" w14:textId="77777777" w:rsidR="004B0883" w:rsidRDefault="004B0883">
      <w:pPr>
        <w:pStyle w:val="003"/>
        <w:spacing w:before="120" w:after="120"/>
        <w:rPr>
          <w:rFonts w:hint="eastAsia"/>
        </w:rPr>
      </w:pPr>
      <w:bookmarkStart w:id="197" w:name="_Hlk135569719"/>
      <w:r>
        <w:rPr>
          <w:rFonts w:hint="eastAsia"/>
        </w:rPr>
        <w:t>（一）公司股本结构</w:t>
      </w:r>
    </w:p>
    <w:p w14:paraId="632C033A" w14:textId="77777777" w:rsidR="004B0883" w:rsidRDefault="004B0883">
      <w:pPr>
        <w:pStyle w:val="005"/>
        <w:spacing w:before="120"/>
        <w:ind w:firstLine="480"/>
        <w:rPr>
          <w:rFonts w:hint="eastAsia"/>
        </w:rPr>
      </w:pPr>
      <w:r>
        <w:rPr>
          <w:rFonts w:hint="eastAsia"/>
        </w:rPr>
        <w:t>截至</w:t>
      </w:r>
      <w:r>
        <w:rPr>
          <w:rFonts w:hint="eastAsia"/>
        </w:rPr>
        <w:t>202</w:t>
      </w:r>
      <w:r>
        <w:t>3</w:t>
      </w:r>
      <w:r>
        <w:rPr>
          <w:rFonts w:hint="eastAsia"/>
        </w:rPr>
        <w:t>年</w:t>
      </w:r>
      <w:r>
        <w:rPr>
          <w:rFonts w:hint="eastAsia"/>
        </w:rPr>
        <w:t>9</w:t>
      </w:r>
      <w:r>
        <w:rPr>
          <w:rFonts w:hint="eastAsia"/>
        </w:rPr>
        <w:t>月</w:t>
      </w:r>
      <w:r>
        <w:rPr>
          <w:rFonts w:hint="eastAsia"/>
        </w:rPr>
        <w:t>30</w:t>
      </w:r>
      <w:r>
        <w:rPr>
          <w:rFonts w:hint="eastAsia"/>
        </w:rPr>
        <w:t>日，伟隆股份总股本为</w:t>
      </w:r>
      <w:r>
        <w:rPr>
          <w:rFonts w:hint="eastAsia"/>
        </w:rPr>
        <w:t>219,540,292</w:t>
      </w:r>
      <w:r>
        <w:rPr>
          <w:rFonts w:hint="eastAsia"/>
          <w:lang w:val="zh-CN"/>
        </w:rPr>
        <w:t>股</w:t>
      </w:r>
      <w:r>
        <w:rPr>
          <w:rFonts w:hint="eastAsia"/>
        </w:rPr>
        <w:t>，股本结构如下：</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877"/>
        <w:gridCol w:w="2813"/>
        <w:gridCol w:w="2592"/>
      </w:tblGrid>
      <w:tr w:rsidR="004B0883" w14:paraId="5236D68D" w14:textId="77777777">
        <w:trPr>
          <w:trHeight w:val="397"/>
          <w:tblHeader/>
          <w:jc w:val="center"/>
        </w:trPr>
        <w:tc>
          <w:tcPr>
            <w:tcW w:w="1737" w:type="pct"/>
            <w:shd w:val="clear" w:color="auto" w:fill="D9D9D9"/>
            <w:tcMar>
              <w:top w:w="0" w:type="dxa"/>
              <w:left w:w="108" w:type="dxa"/>
              <w:bottom w:w="0" w:type="dxa"/>
              <w:right w:w="108" w:type="dxa"/>
            </w:tcMar>
            <w:vAlign w:val="center"/>
          </w:tcPr>
          <w:p w14:paraId="2A84BD09" w14:textId="77777777" w:rsidR="004B0883" w:rsidRDefault="004B0883">
            <w:pPr>
              <w:adjustRightInd w:val="0"/>
              <w:snapToGrid w:val="0"/>
              <w:jc w:val="center"/>
              <w:rPr>
                <w:b/>
              </w:rPr>
            </w:pPr>
            <w:r>
              <w:rPr>
                <w:rFonts w:hAnsi="宋体"/>
                <w:b/>
              </w:rPr>
              <w:t>股份性质</w:t>
            </w:r>
          </w:p>
        </w:tc>
        <w:tc>
          <w:tcPr>
            <w:tcW w:w="1698" w:type="pct"/>
            <w:shd w:val="clear" w:color="auto" w:fill="D9D9D9"/>
            <w:tcMar>
              <w:top w:w="0" w:type="dxa"/>
              <w:left w:w="108" w:type="dxa"/>
              <w:bottom w:w="0" w:type="dxa"/>
              <w:right w:w="108" w:type="dxa"/>
            </w:tcMar>
            <w:vAlign w:val="center"/>
          </w:tcPr>
          <w:p w14:paraId="4154CA80" w14:textId="77777777" w:rsidR="004B0883" w:rsidRDefault="004B0883">
            <w:pPr>
              <w:adjustRightInd w:val="0"/>
              <w:snapToGrid w:val="0"/>
              <w:jc w:val="center"/>
              <w:rPr>
                <w:b/>
              </w:rPr>
            </w:pPr>
            <w:r>
              <w:rPr>
                <w:rFonts w:hAnsi="宋体"/>
                <w:b/>
              </w:rPr>
              <w:t>数量（股）</w:t>
            </w:r>
          </w:p>
        </w:tc>
        <w:tc>
          <w:tcPr>
            <w:tcW w:w="1565" w:type="pct"/>
            <w:shd w:val="clear" w:color="auto" w:fill="D9D9D9"/>
            <w:tcMar>
              <w:top w:w="0" w:type="dxa"/>
              <w:left w:w="108" w:type="dxa"/>
              <w:bottom w:w="0" w:type="dxa"/>
              <w:right w:w="108" w:type="dxa"/>
            </w:tcMar>
            <w:vAlign w:val="center"/>
          </w:tcPr>
          <w:p w14:paraId="6CE96E3C" w14:textId="77777777" w:rsidR="004B0883" w:rsidRDefault="004B0883">
            <w:pPr>
              <w:adjustRightInd w:val="0"/>
              <w:snapToGrid w:val="0"/>
              <w:jc w:val="center"/>
              <w:rPr>
                <w:b/>
              </w:rPr>
            </w:pPr>
            <w:r>
              <w:rPr>
                <w:rFonts w:hAnsi="宋体"/>
                <w:b/>
              </w:rPr>
              <w:t>比例（</w:t>
            </w:r>
            <w:r>
              <w:rPr>
                <w:b/>
              </w:rPr>
              <w:t>%</w:t>
            </w:r>
            <w:r>
              <w:rPr>
                <w:rFonts w:hAnsi="宋体"/>
                <w:b/>
              </w:rPr>
              <w:t>）</w:t>
            </w:r>
          </w:p>
        </w:tc>
      </w:tr>
      <w:tr w:rsidR="004B0883" w14:paraId="350B8317" w14:textId="77777777">
        <w:trPr>
          <w:trHeight w:val="397"/>
          <w:jc w:val="center"/>
        </w:trPr>
        <w:tc>
          <w:tcPr>
            <w:tcW w:w="1737" w:type="pct"/>
            <w:shd w:val="clear" w:color="auto" w:fill="FFFFFF"/>
            <w:tcMar>
              <w:top w:w="0" w:type="dxa"/>
              <w:left w:w="108" w:type="dxa"/>
              <w:bottom w:w="0" w:type="dxa"/>
              <w:right w:w="108" w:type="dxa"/>
            </w:tcMar>
            <w:vAlign w:val="center"/>
          </w:tcPr>
          <w:p w14:paraId="1CD1C8A6" w14:textId="77777777" w:rsidR="004B0883" w:rsidRDefault="004B0883">
            <w:pPr>
              <w:autoSpaceDE w:val="0"/>
              <w:autoSpaceDN w:val="0"/>
              <w:adjustRightInd w:val="0"/>
              <w:snapToGrid w:val="0"/>
              <w:rPr>
                <w:b/>
                <w:color w:val="000000"/>
              </w:rPr>
            </w:pPr>
            <w:r>
              <w:rPr>
                <w:rFonts w:hAnsi="宋体"/>
                <w:b/>
                <w:color w:val="000000"/>
              </w:rPr>
              <w:t>一、有限售条件的股份</w:t>
            </w:r>
          </w:p>
        </w:tc>
        <w:tc>
          <w:tcPr>
            <w:tcW w:w="2896" w:type="dxa"/>
            <w:shd w:val="clear" w:color="auto" w:fill="FFFFFF"/>
            <w:tcMar>
              <w:top w:w="0" w:type="dxa"/>
              <w:left w:w="108" w:type="dxa"/>
              <w:bottom w:w="0" w:type="dxa"/>
              <w:right w:w="108" w:type="dxa"/>
            </w:tcMar>
            <w:vAlign w:val="center"/>
          </w:tcPr>
          <w:p w14:paraId="370B5196" w14:textId="77777777" w:rsidR="004B0883" w:rsidRDefault="004B0883">
            <w:pPr>
              <w:jc w:val="right"/>
              <w:rPr>
                <w:rFonts w:eastAsia="仿宋_GB2312"/>
                <w:color w:val="000000"/>
              </w:rPr>
            </w:pPr>
            <w:r>
              <w:rPr>
                <w:rFonts w:hint="eastAsia"/>
              </w:rPr>
              <w:t>100,848,464</w:t>
            </w:r>
          </w:p>
        </w:tc>
        <w:tc>
          <w:tcPr>
            <w:tcW w:w="1565" w:type="pct"/>
            <w:shd w:val="clear" w:color="auto" w:fill="FFFFFF"/>
            <w:tcMar>
              <w:top w:w="0" w:type="dxa"/>
              <w:left w:w="108" w:type="dxa"/>
              <w:bottom w:w="0" w:type="dxa"/>
              <w:right w:w="108" w:type="dxa"/>
            </w:tcMar>
            <w:vAlign w:val="center"/>
          </w:tcPr>
          <w:p w14:paraId="4845B3B2" w14:textId="77777777" w:rsidR="004B0883" w:rsidRDefault="004B0883">
            <w:pPr>
              <w:jc w:val="right"/>
              <w:rPr>
                <w:rFonts w:eastAsia="等线"/>
                <w:b/>
                <w:bCs/>
                <w:color w:val="000000"/>
                <w:kern w:val="0"/>
              </w:rPr>
            </w:pPr>
            <w:r>
              <w:rPr>
                <w:rFonts w:eastAsia="等线"/>
                <w:b/>
                <w:bCs/>
                <w:color w:val="000000"/>
              </w:rPr>
              <w:t>4</w:t>
            </w:r>
            <w:r>
              <w:rPr>
                <w:rFonts w:eastAsia="等线" w:hint="eastAsia"/>
                <w:b/>
                <w:bCs/>
                <w:color w:val="000000"/>
              </w:rPr>
              <w:t>5</w:t>
            </w:r>
            <w:r>
              <w:rPr>
                <w:rFonts w:eastAsia="等线"/>
                <w:b/>
                <w:bCs/>
                <w:color w:val="000000"/>
              </w:rPr>
              <w:t>.</w:t>
            </w:r>
            <w:r>
              <w:rPr>
                <w:rFonts w:eastAsia="等线" w:hint="eastAsia"/>
                <w:b/>
                <w:bCs/>
                <w:color w:val="000000"/>
              </w:rPr>
              <w:t>94</w:t>
            </w:r>
          </w:p>
        </w:tc>
      </w:tr>
      <w:tr w:rsidR="004B0883" w14:paraId="03FCCBBA" w14:textId="77777777">
        <w:trPr>
          <w:trHeight w:val="397"/>
          <w:jc w:val="center"/>
        </w:trPr>
        <w:tc>
          <w:tcPr>
            <w:tcW w:w="1737" w:type="pct"/>
            <w:shd w:val="clear" w:color="auto" w:fill="FFFFFF"/>
            <w:tcMar>
              <w:top w:w="0" w:type="dxa"/>
              <w:left w:w="108" w:type="dxa"/>
              <w:bottom w:w="0" w:type="dxa"/>
              <w:right w:w="108" w:type="dxa"/>
            </w:tcMar>
            <w:vAlign w:val="center"/>
          </w:tcPr>
          <w:p w14:paraId="15B0D184" w14:textId="77777777" w:rsidR="004B0883" w:rsidRDefault="004B0883">
            <w:pPr>
              <w:autoSpaceDE w:val="0"/>
              <w:autoSpaceDN w:val="0"/>
              <w:adjustRightInd w:val="0"/>
              <w:snapToGrid w:val="0"/>
              <w:rPr>
                <w:b/>
                <w:color w:val="000000"/>
              </w:rPr>
            </w:pPr>
            <w:r>
              <w:rPr>
                <w:rFonts w:hAnsi="宋体"/>
                <w:b/>
                <w:color w:val="000000"/>
              </w:rPr>
              <w:t>二、无限售条件的股份</w:t>
            </w:r>
          </w:p>
        </w:tc>
        <w:tc>
          <w:tcPr>
            <w:tcW w:w="2896" w:type="dxa"/>
            <w:shd w:val="clear" w:color="auto" w:fill="FFFFFF"/>
            <w:tcMar>
              <w:top w:w="0" w:type="dxa"/>
              <w:left w:w="108" w:type="dxa"/>
              <w:bottom w:w="0" w:type="dxa"/>
              <w:right w:w="108" w:type="dxa"/>
            </w:tcMar>
            <w:vAlign w:val="center"/>
          </w:tcPr>
          <w:p w14:paraId="3B62655B" w14:textId="77777777" w:rsidR="004B0883" w:rsidRDefault="004B0883">
            <w:pPr>
              <w:jc w:val="right"/>
              <w:rPr>
                <w:rFonts w:eastAsia="仿宋_GB2312"/>
                <w:color w:val="000000"/>
              </w:rPr>
            </w:pPr>
            <w:r>
              <w:rPr>
                <w:rFonts w:hint="eastAsia"/>
              </w:rPr>
              <w:t>118,691,828</w:t>
            </w:r>
          </w:p>
        </w:tc>
        <w:tc>
          <w:tcPr>
            <w:tcW w:w="1565" w:type="pct"/>
            <w:shd w:val="clear" w:color="auto" w:fill="FFFFFF"/>
            <w:tcMar>
              <w:top w:w="0" w:type="dxa"/>
              <w:left w:w="108" w:type="dxa"/>
              <w:bottom w:w="0" w:type="dxa"/>
              <w:right w:w="108" w:type="dxa"/>
            </w:tcMar>
            <w:vAlign w:val="center"/>
          </w:tcPr>
          <w:p w14:paraId="48D73AEF" w14:textId="77777777" w:rsidR="004B0883" w:rsidRDefault="004B0883">
            <w:pPr>
              <w:jc w:val="right"/>
              <w:rPr>
                <w:rFonts w:eastAsia="等线"/>
                <w:b/>
                <w:bCs/>
                <w:color w:val="000000"/>
              </w:rPr>
            </w:pPr>
            <w:r>
              <w:rPr>
                <w:rFonts w:eastAsia="等线"/>
                <w:b/>
                <w:bCs/>
                <w:color w:val="000000"/>
              </w:rPr>
              <w:t>5</w:t>
            </w:r>
            <w:r>
              <w:rPr>
                <w:rFonts w:eastAsia="等线" w:hint="eastAsia"/>
                <w:b/>
                <w:bCs/>
                <w:color w:val="000000"/>
              </w:rPr>
              <w:t>4</w:t>
            </w:r>
            <w:r>
              <w:rPr>
                <w:rFonts w:eastAsia="等线"/>
                <w:b/>
                <w:bCs/>
                <w:color w:val="000000"/>
              </w:rPr>
              <w:t>.</w:t>
            </w:r>
            <w:r>
              <w:rPr>
                <w:rFonts w:eastAsia="等线" w:hint="eastAsia"/>
                <w:b/>
                <w:bCs/>
                <w:color w:val="000000"/>
              </w:rPr>
              <w:t>0</w:t>
            </w:r>
            <w:r>
              <w:rPr>
                <w:rFonts w:eastAsia="等线"/>
                <w:b/>
                <w:bCs/>
                <w:color w:val="000000"/>
              </w:rPr>
              <w:t>6</w:t>
            </w:r>
          </w:p>
        </w:tc>
      </w:tr>
      <w:tr w:rsidR="004B0883" w14:paraId="201BD4A8" w14:textId="77777777">
        <w:trPr>
          <w:trHeight w:val="397"/>
          <w:jc w:val="center"/>
        </w:trPr>
        <w:tc>
          <w:tcPr>
            <w:tcW w:w="1737" w:type="pct"/>
            <w:shd w:val="clear" w:color="auto" w:fill="FFFFFF"/>
            <w:tcMar>
              <w:top w:w="0" w:type="dxa"/>
              <w:left w:w="108" w:type="dxa"/>
              <w:bottom w:w="0" w:type="dxa"/>
              <w:right w:w="108" w:type="dxa"/>
            </w:tcMar>
            <w:vAlign w:val="center"/>
          </w:tcPr>
          <w:p w14:paraId="14205D70" w14:textId="77777777" w:rsidR="004B0883" w:rsidRDefault="004B0883">
            <w:pPr>
              <w:autoSpaceDE w:val="0"/>
              <w:autoSpaceDN w:val="0"/>
              <w:adjustRightInd w:val="0"/>
              <w:snapToGrid w:val="0"/>
              <w:rPr>
                <w:b/>
                <w:color w:val="000000"/>
              </w:rPr>
            </w:pPr>
            <w:r>
              <w:rPr>
                <w:rFonts w:hAnsi="宋体"/>
                <w:b/>
                <w:color w:val="000000"/>
              </w:rPr>
              <w:t>三、股份总数</w:t>
            </w:r>
          </w:p>
        </w:tc>
        <w:tc>
          <w:tcPr>
            <w:tcW w:w="2896" w:type="dxa"/>
            <w:shd w:val="clear" w:color="auto" w:fill="FFFFFF"/>
            <w:tcMar>
              <w:top w:w="0" w:type="dxa"/>
              <w:left w:w="108" w:type="dxa"/>
              <w:bottom w:w="0" w:type="dxa"/>
              <w:right w:w="108" w:type="dxa"/>
            </w:tcMar>
            <w:vAlign w:val="center"/>
          </w:tcPr>
          <w:p w14:paraId="38AD5460" w14:textId="77777777" w:rsidR="004B0883" w:rsidRDefault="004B0883">
            <w:pPr>
              <w:jc w:val="right"/>
              <w:rPr>
                <w:b/>
                <w:bCs/>
                <w:color w:val="000000"/>
              </w:rPr>
            </w:pPr>
            <w:r>
              <w:rPr>
                <w:rFonts w:hint="eastAsia"/>
                <w:b/>
                <w:bCs/>
              </w:rPr>
              <w:t>219,540,292</w:t>
            </w:r>
          </w:p>
        </w:tc>
        <w:tc>
          <w:tcPr>
            <w:tcW w:w="1565" w:type="pct"/>
            <w:shd w:val="clear" w:color="auto" w:fill="FFFFFF"/>
            <w:tcMar>
              <w:top w:w="0" w:type="dxa"/>
              <w:left w:w="108" w:type="dxa"/>
              <w:bottom w:w="0" w:type="dxa"/>
              <w:right w:w="108" w:type="dxa"/>
            </w:tcMar>
            <w:vAlign w:val="center"/>
          </w:tcPr>
          <w:p w14:paraId="6C8AB3AD" w14:textId="77777777" w:rsidR="004B0883" w:rsidRDefault="004B0883">
            <w:pPr>
              <w:jc w:val="right"/>
              <w:rPr>
                <w:rFonts w:eastAsia="等线"/>
                <w:b/>
                <w:bCs/>
                <w:color w:val="000000"/>
              </w:rPr>
            </w:pPr>
            <w:r>
              <w:rPr>
                <w:rFonts w:eastAsia="等线"/>
                <w:b/>
                <w:bCs/>
                <w:color w:val="000000"/>
              </w:rPr>
              <w:t>100.00</w:t>
            </w:r>
          </w:p>
        </w:tc>
      </w:tr>
    </w:tbl>
    <w:bookmarkEnd w:id="197"/>
    <w:p w14:paraId="66B9FE94" w14:textId="77777777" w:rsidR="004B0883" w:rsidRDefault="004B0883">
      <w:pPr>
        <w:pStyle w:val="003"/>
        <w:spacing w:before="120" w:after="120"/>
        <w:rPr>
          <w:rFonts w:hint="eastAsia"/>
        </w:rPr>
      </w:pPr>
      <w:r>
        <w:rPr>
          <w:rFonts w:hint="eastAsia"/>
        </w:rPr>
        <w:t>（二）公司前十大股东持股情况</w:t>
      </w:r>
    </w:p>
    <w:p w14:paraId="086873E6" w14:textId="77777777" w:rsidR="004B0883" w:rsidRDefault="004B0883">
      <w:pPr>
        <w:pStyle w:val="005"/>
        <w:spacing w:before="120"/>
        <w:ind w:firstLine="480"/>
        <w:jc w:val="left"/>
        <w:rPr>
          <w:lang w:val="zh-CN"/>
        </w:rPr>
      </w:pPr>
      <w:r>
        <w:rPr>
          <w:rFonts w:hint="eastAsia"/>
          <w:lang w:val="zh-CN"/>
        </w:rPr>
        <w:t>截至</w:t>
      </w:r>
      <w:r>
        <w:rPr>
          <w:rFonts w:hint="eastAsia"/>
        </w:rPr>
        <w:t>2</w:t>
      </w:r>
      <w:r>
        <w:t>023</w:t>
      </w:r>
      <w:r>
        <w:rPr>
          <w:rFonts w:hint="eastAsia"/>
        </w:rPr>
        <w:t>年</w:t>
      </w:r>
      <w:r>
        <w:t>9</w:t>
      </w:r>
      <w:r>
        <w:rPr>
          <w:rFonts w:hint="eastAsia"/>
        </w:rPr>
        <w:t>月</w:t>
      </w:r>
      <w:r>
        <w:rPr>
          <w:rFonts w:hint="eastAsia"/>
        </w:rPr>
        <w:t>30</w:t>
      </w:r>
      <w:r>
        <w:rPr>
          <w:rFonts w:hint="eastAsia"/>
        </w:rPr>
        <w:t>日</w:t>
      </w:r>
      <w:r>
        <w:rPr>
          <w:rFonts w:hint="eastAsia"/>
          <w:lang w:val="zh-CN"/>
        </w:rPr>
        <w:t>，发行人股本总额为</w:t>
      </w:r>
      <w:r>
        <w:rPr>
          <w:rFonts w:hint="eastAsia"/>
        </w:rPr>
        <w:t>219,540,292</w:t>
      </w:r>
      <w:r>
        <w:rPr>
          <w:rFonts w:hint="eastAsia"/>
          <w:lang w:val="zh-CN"/>
        </w:rPr>
        <w:t>股，发行人前十大股东持股情况如下：</w:t>
      </w:r>
    </w:p>
    <w:tbl>
      <w:tblPr>
        <w:tblW w:w="8528" w:type="dxa"/>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219"/>
        <w:gridCol w:w="1219"/>
        <w:gridCol w:w="1218"/>
        <w:gridCol w:w="1218"/>
        <w:gridCol w:w="1218"/>
        <w:gridCol w:w="1218"/>
        <w:gridCol w:w="1218"/>
      </w:tblGrid>
      <w:tr w:rsidR="004B0883" w14:paraId="2110E4F7" w14:textId="77777777">
        <w:trPr>
          <w:trHeight w:val="397"/>
        </w:trPr>
        <w:tc>
          <w:tcPr>
            <w:tcW w:w="1219" w:type="dxa"/>
            <w:shd w:val="clear" w:color="auto" w:fill="D9D9D9"/>
            <w:vAlign w:val="center"/>
          </w:tcPr>
          <w:p w14:paraId="2A32E2E6" w14:textId="77777777" w:rsidR="004B0883" w:rsidRDefault="004B0883">
            <w:pPr>
              <w:spacing w:before="40" w:after="40" w:line="240" w:lineRule="exact"/>
              <w:jc w:val="center"/>
              <w:rPr>
                <w:b/>
                <w:bCs/>
                <w:sz w:val="18"/>
                <w:szCs w:val="18"/>
              </w:rPr>
            </w:pPr>
            <w:r>
              <w:rPr>
                <w:b/>
                <w:bCs/>
                <w:sz w:val="18"/>
                <w:szCs w:val="18"/>
              </w:rPr>
              <w:t>股东名称</w:t>
            </w:r>
          </w:p>
        </w:tc>
        <w:tc>
          <w:tcPr>
            <w:tcW w:w="1219" w:type="dxa"/>
            <w:shd w:val="clear" w:color="auto" w:fill="D9D9D9"/>
            <w:vAlign w:val="center"/>
          </w:tcPr>
          <w:p w14:paraId="7D3748B3" w14:textId="77777777" w:rsidR="004B0883" w:rsidRDefault="004B0883">
            <w:pPr>
              <w:spacing w:before="40" w:after="40" w:line="240" w:lineRule="exact"/>
              <w:jc w:val="center"/>
              <w:rPr>
                <w:b/>
                <w:bCs/>
                <w:sz w:val="18"/>
                <w:szCs w:val="18"/>
              </w:rPr>
            </w:pPr>
            <w:r>
              <w:rPr>
                <w:b/>
                <w:bCs/>
                <w:sz w:val="18"/>
                <w:szCs w:val="18"/>
              </w:rPr>
              <w:t>股东性质</w:t>
            </w:r>
          </w:p>
        </w:tc>
        <w:tc>
          <w:tcPr>
            <w:tcW w:w="1218" w:type="dxa"/>
            <w:shd w:val="clear" w:color="auto" w:fill="D9D9D9"/>
            <w:vAlign w:val="center"/>
          </w:tcPr>
          <w:p w14:paraId="4CECEF3E" w14:textId="77777777" w:rsidR="004B0883" w:rsidRDefault="004B0883">
            <w:pPr>
              <w:spacing w:before="40" w:after="40" w:line="240" w:lineRule="exact"/>
              <w:jc w:val="center"/>
              <w:rPr>
                <w:b/>
                <w:bCs/>
                <w:sz w:val="18"/>
                <w:szCs w:val="18"/>
              </w:rPr>
            </w:pPr>
            <w:r>
              <w:rPr>
                <w:b/>
                <w:bCs/>
                <w:sz w:val="18"/>
                <w:szCs w:val="18"/>
              </w:rPr>
              <w:t>持股比例（</w:t>
            </w:r>
            <w:r>
              <w:rPr>
                <w:b/>
                <w:bCs/>
                <w:sz w:val="18"/>
                <w:szCs w:val="18"/>
              </w:rPr>
              <w:t>%</w:t>
            </w:r>
            <w:r>
              <w:rPr>
                <w:b/>
                <w:bCs/>
                <w:sz w:val="18"/>
                <w:szCs w:val="18"/>
              </w:rPr>
              <w:t>）</w:t>
            </w:r>
          </w:p>
        </w:tc>
        <w:tc>
          <w:tcPr>
            <w:tcW w:w="1218" w:type="dxa"/>
            <w:shd w:val="clear" w:color="auto" w:fill="D9D9D9"/>
            <w:vAlign w:val="center"/>
          </w:tcPr>
          <w:p w14:paraId="38A2ECE0" w14:textId="77777777" w:rsidR="004B0883" w:rsidRDefault="004B0883">
            <w:pPr>
              <w:spacing w:before="40" w:after="40" w:line="240" w:lineRule="exact"/>
              <w:jc w:val="center"/>
              <w:rPr>
                <w:b/>
                <w:bCs/>
                <w:sz w:val="18"/>
                <w:szCs w:val="18"/>
              </w:rPr>
            </w:pPr>
            <w:r>
              <w:rPr>
                <w:b/>
                <w:bCs/>
                <w:sz w:val="18"/>
                <w:szCs w:val="18"/>
              </w:rPr>
              <w:t>持股数量</w:t>
            </w:r>
            <w:r>
              <w:rPr>
                <w:rFonts w:hint="eastAsia"/>
                <w:b/>
                <w:bCs/>
                <w:sz w:val="18"/>
                <w:szCs w:val="18"/>
              </w:rPr>
              <w:t>（股）</w:t>
            </w:r>
          </w:p>
        </w:tc>
        <w:tc>
          <w:tcPr>
            <w:tcW w:w="1218" w:type="dxa"/>
            <w:shd w:val="clear" w:color="auto" w:fill="D9D9D9"/>
            <w:vAlign w:val="center"/>
          </w:tcPr>
          <w:p w14:paraId="5D660E90" w14:textId="77777777" w:rsidR="004B0883" w:rsidRDefault="004B0883">
            <w:pPr>
              <w:spacing w:before="40" w:after="40" w:line="240" w:lineRule="exact"/>
              <w:jc w:val="center"/>
              <w:rPr>
                <w:b/>
                <w:bCs/>
                <w:sz w:val="18"/>
                <w:szCs w:val="18"/>
              </w:rPr>
            </w:pPr>
            <w:r>
              <w:rPr>
                <w:b/>
                <w:bCs/>
                <w:sz w:val="18"/>
                <w:szCs w:val="18"/>
              </w:rPr>
              <w:t>持有有限售条件的股份数量</w:t>
            </w:r>
            <w:r>
              <w:rPr>
                <w:rFonts w:hint="eastAsia"/>
                <w:b/>
                <w:bCs/>
                <w:sz w:val="18"/>
                <w:szCs w:val="18"/>
              </w:rPr>
              <w:t>（股）</w:t>
            </w:r>
          </w:p>
        </w:tc>
        <w:tc>
          <w:tcPr>
            <w:tcW w:w="1218" w:type="dxa"/>
            <w:shd w:val="clear" w:color="auto" w:fill="D9D9D9"/>
            <w:vAlign w:val="center"/>
          </w:tcPr>
          <w:p w14:paraId="2F498534" w14:textId="77777777" w:rsidR="004B0883" w:rsidRDefault="004B0883">
            <w:pPr>
              <w:spacing w:before="40" w:after="40" w:line="240" w:lineRule="exact"/>
              <w:jc w:val="center"/>
              <w:rPr>
                <w:b/>
                <w:bCs/>
                <w:sz w:val="18"/>
                <w:szCs w:val="18"/>
              </w:rPr>
            </w:pPr>
            <w:r>
              <w:rPr>
                <w:b/>
                <w:bCs/>
                <w:sz w:val="18"/>
                <w:szCs w:val="18"/>
              </w:rPr>
              <w:t>持有无限售条件的股份数量</w:t>
            </w:r>
            <w:r>
              <w:rPr>
                <w:rFonts w:hint="eastAsia"/>
                <w:b/>
                <w:bCs/>
                <w:sz w:val="18"/>
                <w:szCs w:val="18"/>
              </w:rPr>
              <w:t>（股）</w:t>
            </w:r>
          </w:p>
        </w:tc>
        <w:tc>
          <w:tcPr>
            <w:tcW w:w="1218" w:type="dxa"/>
            <w:shd w:val="clear" w:color="auto" w:fill="D9D9D9"/>
            <w:vAlign w:val="center"/>
          </w:tcPr>
          <w:p w14:paraId="3287DC08" w14:textId="77777777" w:rsidR="004B0883" w:rsidRDefault="004B0883">
            <w:pPr>
              <w:spacing w:before="40" w:after="40" w:line="240" w:lineRule="exact"/>
              <w:jc w:val="center"/>
              <w:rPr>
                <w:b/>
                <w:bCs/>
                <w:sz w:val="18"/>
                <w:szCs w:val="18"/>
              </w:rPr>
            </w:pPr>
            <w:r>
              <w:rPr>
                <w:b/>
                <w:bCs/>
                <w:sz w:val="18"/>
                <w:szCs w:val="18"/>
              </w:rPr>
              <w:t>质押数量</w:t>
            </w:r>
            <w:r>
              <w:rPr>
                <w:rFonts w:hint="eastAsia"/>
                <w:b/>
                <w:bCs/>
                <w:sz w:val="18"/>
                <w:szCs w:val="18"/>
              </w:rPr>
              <w:t>（股）</w:t>
            </w:r>
          </w:p>
        </w:tc>
      </w:tr>
      <w:tr w:rsidR="004B0883" w14:paraId="63BF35B3" w14:textId="77777777">
        <w:trPr>
          <w:trHeight w:val="397"/>
        </w:trPr>
        <w:tc>
          <w:tcPr>
            <w:tcW w:w="1219" w:type="dxa"/>
            <w:vAlign w:val="center"/>
          </w:tcPr>
          <w:p w14:paraId="202CAB34" w14:textId="77777777" w:rsidR="004B0883" w:rsidRDefault="004B0883">
            <w:pPr>
              <w:jc w:val="both"/>
              <w:textAlignment w:val="center"/>
              <w:rPr>
                <w:color w:val="000000"/>
                <w:kern w:val="0"/>
                <w:sz w:val="18"/>
                <w:szCs w:val="18"/>
              </w:rPr>
            </w:pPr>
            <w:r>
              <w:rPr>
                <w:rFonts w:hint="eastAsia"/>
                <w:sz w:val="18"/>
                <w:szCs w:val="18"/>
              </w:rPr>
              <w:t>范庆伟</w:t>
            </w:r>
          </w:p>
        </w:tc>
        <w:tc>
          <w:tcPr>
            <w:tcW w:w="1219" w:type="dxa"/>
            <w:vAlign w:val="center"/>
          </w:tcPr>
          <w:p w14:paraId="6CB0AAB4" w14:textId="77777777" w:rsidR="004B0883" w:rsidRDefault="004B0883">
            <w:pPr>
              <w:jc w:val="both"/>
              <w:textAlignment w:val="center"/>
              <w:rPr>
                <w:color w:val="000000"/>
                <w:sz w:val="18"/>
                <w:szCs w:val="18"/>
              </w:rPr>
            </w:pPr>
            <w:r>
              <w:rPr>
                <w:rFonts w:hint="eastAsia"/>
                <w:sz w:val="18"/>
                <w:szCs w:val="18"/>
              </w:rPr>
              <w:t>境内自然人</w:t>
            </w:r>
          </w:p>
        </w:tc>
        <w:tc>
          <w:tcPr>
            <w:tcW w:w="1218" w:type="dxa"/>
            <w:vAlign w:val="center"/>
          </w:tcPr>
          <w:p w14:paraId="509199CD" w14:textId="77777777" w:rsidR="004B0883" w:rsidRDefault="004B0883">
            <w:pPr>
              <w:jc w:val="right"/>
              <w:textAlignment w:val="center"/>
              <w:rPr>
                <w:color w:val="000000"/>
                <w:sz w:val="18"/>
                <w:szCs w:val="18"/>
              </w:rPr>
            </w:pPr>
            <w:r>
              <w:rPr>
                <w:rFonts w:hint="eastAsia"/>
                <w:sz w:val="18"/>
                <w:szCs w:val="18"/>
              </w:rPr>
              <w:t>55.78</w:t>
            </w:r>
          </w:p>
        </w:tc>
        <w:tc>
          <w:tcPr>
            <w:tcW w:w="1218" w:type="dxa"/>
            <w:vAlign w:val="center"/>
          </w:tcPr>
          <w:p w14:paraId="7CC62237" w14:textId="77777777" w:rsidR="004B0883" w:rsidRDefault="004B0883">
            <w:pPr>
              <w:jc w:val="right"/>
              <w:rPr>
                <w:color w:val="000000"/>
                <w:sz w:val="18"/>
                <w:szCs w:val="18"/>
              </w:rPr>
            </w:pPr>
            <w:r>
              <w:rPr>
                <w:rFonts w:hint="eastAsia"/>
                <w:sz w:val="18"/>
                <w:szCs w:val="18"/>
              </w:rPr>
              <w:t>122,460,000</w:t>
            </w:r>
          </w:p>
        </w:tc>
        <w:tc>
          <w:tcPr>
            <w:tcW w:w="1218" w:type="dxa"/>
            <w:vAlign w:val="center"/>
          </w:tcPr>
          <w:p w14:paraId="581B8287" w14:textId="77777777" w:rsidR="004B0883" w:rsidRDefault="004B0883">
            <w:pPr>
              <w:jc w:val="right"/>
              <w:rPr>
                <w:color w:val="000000"/>
                <w:sz w:val="18"/>
                <w:szCs w:val="18"/>
              </w:rPr>
            </w:pPr>
            <w:r>
              <w:rPr>
                <w:rFonts w:hint="eastAsia"/>
                <w:sz w:val="18"/>
                <w:szCs w:val="18"/>
              </w:rPr>
              <w:t>91,845,000</w:t>
            </w:r>
          </w:p>
        </w:tc>
        <w:tc>
          <w:tcPr>
            <w:tcW w:w="1218" w:type="dxa"/>
            <w:vAlign w:val="center"/>
          </w:tcPr>
          <w:p w14:paraId="326B5A46" w14:textId="77777777" w:rsidR="004B0883" w:rsidRDefault="004B0883">
            <w:pPr>
              <w:jc w:val="right"/>
              <w:textAlignment w:val="center"/>
              <w:rPr>
                <w:color w:val="000000"/>
                <w:sz w:val="18"/>
                <w:szCs w:val="18"/>
              </w:rPr>
            </w:pPr>
            <w:r>
              <w:rPr>
                <w:rFonts w:hint="eastAsia"/>
                <w:sz w:val="18"/>
                <w:szCs w:val="18"/>
              </w:rPr>
              <w:t>30,615,000</w:t>
            </w:r>
          </w:p>
        </w:tc>
        <w:tc>
          <w:tcPr>
            <w:tcW w:w="1218" w:type="dxa"/>
            <w:vAlign w:val="center"/>
          </w:tcPr>
          <w:p w14:paraId="5B72F21D" w14:textId="77777777" w:rsidR="004B0883" w:rsidRDefault="004B0883">
            <w:pPr>
              <w:jc w:val="right"/>
              <w:textAlignment w:val="center"/>
              <w:rPr>
                <w:color w:val="000000"/>
                <w:sz w:val="18"/>
                <w:szCs w:val="18"/>
              </w:rPr>
            </w:pPr>
            <w:r>
              <w:rPr>
                <w:rFonts w:hint="eastAsia"/>
                <w:sz w:val="18"/>
                <w:szCs w:val="18"/>
              </w:rPr>
              <w:t>0</w:t>
            </w:r>
          </w:p>
        </w:tc>
      </w:tr>
      <w:tr w:rsidR="004B0883" w14:paraId="1134049E" w14:textId="77777777">
        <w:trPr>
          <w:trHeight w:val="397"/>
        </w:trPr>
        <w:tc>
          <w:tcPr>
            <w:tcW w:w="1219" w:type="dxa"/>
            <w:vAlign w:val="center"/>
          </w:tcPr>
          <w:p w14:paraId="397BF4D6" w14:textId="77777777" w:rsidR="004B0883" w:rsidRDefault="004B0883">
            <w:pPr>
              <w:jc w:val="both"/>
              <w:textAlignment w:val="center"/>
              <w:rPr>
                <w:color w:val="000000"/>
                <w:sz w:val="18"/>
                <w:szCs w:val="18"/>
              </w:rPr>
            </w:pPr>
            <w:r>
              <w:rPr>
                <w:rFonts w:hint="eastAsia"/>
                <w:sz w:val="18"/>
                <w:szCs w:val="18"/>
              </w:rPr>
              <w:t>江西惠隆企业管理有限公司</w:t>
            </w:r>
          </w:p>
        </w:tc>
        <w:tc>
          <w:tcPr>
            <w:tcW w:w="1219" w:type="dxa"/>
            <w:vAlign w:val="center"/>
          </w:tcPr>
          <w:p w14:paraId="636C834B" w14:textId="77777777" w:rsidR="004B0883" w:rsidRDefault="004B0883">
            <w:pPr>
              <w:jc w:val="both"/>
              <w:textAlignment w:val="center"/>
              <w:rPr>
                <w:color w:val="000000"/>
                <w:sz w:val="18"/>
                <w:szCs w:val="18"/>
              </w:rPr>
            </w:pPr>
            <w:r>
              <w:rPr>
                <w:rFonts w:hint="eastAsia"/>
                <w:sz w:val="18"/>
                <w:szCs w:val="18"/>
              </w:rPr>
              <w:t>境内非国有法人</w:t>
            </w:r>
          </w:p>
        </w:tc>
        <w:tc>
          <w:tcPr>
            <w:tcW w:w="1218" w:type="dxa"/>
            <w:vAlign w:val="center"/>
          </w:tcPr>
          <w:p w14:paraId="54F5AE02" w14:textId="77777777" w:rsidR="004B0883" w:rsidRDefault="004B0883">
            <w:pPr>
              <w:jc w:val="right"/>
              <w:textAlignment w:val="center"/>
              <w:rPr>
                <w:rFonts w:hint="eastAsia"/>
                <w:color w:val="000000"/>
                <w:sz w:val="18"/>
                <w:szCs w:val="18"/>
              </w:rPr>
            </w:pPr>
            <w:r>
              <w:rPr>
                <w:rFonts w:hint="eastAsia"/>
                <w:sz w:val="18"/>
                <w:szCs w:val="18"/>
              </w:rPr>
              <w:t>4.90</w:t>
            </w:r>
          </w:p>
        </w:tc>
        <w:tc>
          <w:tcPr>
            <w:tcW w:w="1218" w:type="dxa"/>
            <w:vAlign w:val="center"/>
          </w:tcPr>
          <w:p w14:paraId="702173CA" w14:textId="77777777" w:rsidR="004B0883" w:rsidRDefault="004B0883">
            <w:pPr>
              <w:jc w:val="right"/>
              <w:textAlignment w:val="center"/>
              <w:rPr>
                <w:color w:val="000000"/>
                <w:sz w:val="18"/>
                <w:szCs w:val="18"/>
              </w:rPr>
            </w:pPr>
            <w:r>
              <w:rPr>
                <w:rFonts w:hint="eastAsia"/>
                <w:sz w:val="18"/>
                <w:szCs w:val="18"/>
              </w:rPr>
              <w:t>10,756,980</w:t>
            </w:r>
          </w:p>
        </w:tc>
        <w:tc>
          <w:tcPr>
            <w:tcW w:w="1218" w:type="dxa"/>
            <w:vAlign w:val="center"/>
          </w:tcPr>
          <w:p w14:paraId="4E641042" w14:textId="77777777" w:rsidR="004B0883" w:rsidRDefault="004B0883">
            <w:pPr>
              <w:jc w:val="right"/>
              <w:textAlignment w:val="center"/>
              <w:rPr>
                <w:color w:val="000000"/>
                <w:sz w:val="18"/>
                <w:szCs w:val="18"/>
              </w:rPr>
            </w:pPr>
            <w:r>
              <w:rPr>
                <w:rFonts w:hint="eastAsia"/>
                <w:sz w:val="18"/>
                <w:szCs w:val="18"/>
              </w:rPr>
              <w:t>0</w:t>
            </w:r>
          </w:p>
        </w:tc>
        <w:tc>
          <w:tcPr>
            <w:tcW w:w="1218" w:type="dxa"/>
            <w:vAlign w:val="center"/>
          </w:tcPr>
          <w:p w14:paraId="6FD081D3" w14:textId="77777777" w:rsidR="004B0883" w:rsidRDefault="004B0883">
            <w:pPr>
              <w:jc w:val="right"/>
              <w:textAlignment w:val="center"/>
              <w:rPr>
                <w:color w:val="000000"/>
                <w:sz w:val="18"/>
                <w:szCs w:val="18"/>
              </w:rPr>
            </w:pPr>
            <w:r>
              <w:rPr>
                <w:rFonts w:hint="eastAsia"/>
                <w:sz w:val="18"/>
                <w:szCs w:val="18"/>
              </w:rPr>
              <w:t>10,756,980</w:t>
            </w:r>
          </w:p>
        </w:tc>
        <w:tc>
          <w:tcPr>
            <w:tcW w:w="1218" w:type="dxa"/>
            <w:vAlign w:val="center"/>
          </w:tcPr>
          <w:p w14:paraId="2D11714B" w14:textId="77777777" w:rsidR="004B0883" w:rsidRDefault="004B0883">
            <w:pPr>
              <w:jc w:val="right"/>
              <w:textAlignment w:val="center"/>
              <w:rPr>
                <w:color w:val="000000"/>
                <w:sz w:val="18"/>
                <w:szCs w:val="18"/>
              </w:rPr>
            </w:pPr>
            <w:r>
              <w:rPr>
                <w:rFonts w:hint="eastAsia"/>
                <w:sz w:val="18"/>
                <w:szCs w:val="18"/>
              </w:rPr>
              <w:t>0</w:t>
            </w:r>
          </w:p>
        </w:tc>
      </w:tr>
      <w:tr w:rsidR="004B0883" w14:paraId="7B85032B" w14:textId="77777777">
        <w:trPr>
          <w:trHeight w:val="397"/>
        </w:trPr>
        <w:tc>
          <w:tcPr>
            <w:tcW w:w="1219" w:type="dxa"/>
            <w:vAlign w:val="center"/>
          </w:tcPr>
          <w:p w14:paraId="13A1E7FC" w14:textId="77777777" w:rsidR="004B0883" w:rsidRDefault="004B0883">
            <w:pPr>
              <w:jc w:val="both"/>
              <w:textAlignment w:val="center"/>
              <w:rPr>
                <w:color w:val="000000"/>
                <w:sz w:val="18"/>
                <w:szCs w:val="18"/>
              </w:rPr>
            </w:pPr>
            <w:r>
              <w:rPr>
                <w:rFonts w:hint="eastAsia"/>
                <w:sz w:val="18"/>
                <w:szCs w:val="18"/>
              </w:rPr>
              <w:t>范玉隆</w:t>
            </w:r>
          </w:p>
        </w:tc>
        <w:tc>
          <w:tcPr>
            <w:tcW w:w="1219" w:type="dxa"/>
            <w:vAlign w:val="center"/>
          </w:tcPr>
          <w:p w14:paraId="454D6612" w14:textId="77777777" w:rsidR="004B0883" w:rsidRDefault="004B0883">
            <w:pPr>
              <w:jc w:val="both"/>
              <w:textAlignment w:val="center"/>
              <w:rPr>
                <w:color w:val="000000"/>
                <w:sz w:val="18"/>
                <w:szCs w:val="18"/>
              </w:rPr>
            </w:pPr>
            <w:r>
              <w:rPr>
                <w:rFonts w:hint="eastAsia"/>
                <w:sz w:val="18"/>
                <w:szCs w:val="18"/>
              </w:rPr>
              <w:t>境内自然人</w:t>
            </w:r>
          </w:p>
        </w:tc>
        <w:tc>
          <w:tcPr>
            <w:tcW w:w="1218" w:type="dxa"/>
            <w:vAlign w:val="center"/>
          </w:tcPr>
          <w:p w14:paraId="45518ADE" w14:textId="77777777" w:rsidR="004B0883" w:rsidRDefault="004B0883">
            <w:pPr>
              <w:jc w:val="right"/>
              <w:textAlignment w:val="center"/>
              <w:rPr>
                <w:color w:val="000000"/>
                <w:sz w:val="18"/>
                <w:szCs w:val="18"/>
              </w:rPr>
            </w:pPr>
            <w:r>
              <w:rPr>
                <w:rFonts w:hint="eastAsia"/>
                <w:sz w:val="18"/>
                <w:szCs w:val="18"/>
              </w:rPr>
              <w:t>3.72</w:t>
            </w:r>
          </w:p>
        </w:tc>
        <w:tc>
          <w:tcPr>
            <w:tcW w:w="1218" w:type="dxa"/>
            <w:vAlign w:val="center"/>
          </w:tcPr>
          <w:p w14:paraId="644947AE" w14:textId="77777777" w:rsidR="004B0883" w:rsidRDefault="004B0883">
            <w:pPr>
              <w:jc w:val="right"/>
              <w:textAlignment w:val="center"/>
              <w:rPr>
                <w:color w:val="000000"/>
                <w:sz w:val="18"/>
                <w:szCs w:val="18"/>
              </w:rPr>
            </w:pPr>
            <w:r>
              <w:rPr>
                <w:rFonts w:hint="eastAsia"/>
                <w:sz w:val="18"/>
                <w:szCs w:val="18"/>
              </w:rPr>
              <w:t>8,171,475</w:t>
            </w:r>
          </w:p>
        </w:tc>
        <w:tc>
          <w:tcPr>
            <w:tcW w:w="1218" w:type="dxa"/>
            <w:vAlign w:val="center"/>
          </w:tcPr>
          <w:p w14:paraId="6A4FC0AA" w14:textId="77777777" w:rsidR="004B0883" w:rsidRDefault="004B0883">
            <w:pPr>
              <w:jc w:val="right"/>
              <w:textAlignment w:val="center"/>
              <w:rPr>
                <w:color w:val="000000"/>
                <w:sz w:val="18"/>
                <w:szCs w:val="18"/>
              </w:rPr>
            </w:pPr>
            <w:r>
              <w:rPr>
                <w:rFonts w:hint="eastAsia"/>
                <w:sz w:val="18"/>
                <w:szCs w:val="18"/>
              </w:rPr>
              <w:t>6,128,606</w:t>
            </w:r>
          </w:p>
        </w:tc>
        <w:tc>
          <w:tcPr>
            <w:tcW w:w="1218" w:type="dxa"/>
            <w:vAlign w:val="center"/>
          </w:tcPr>
          <w:p w14:paraId="109F2D86" w14:textId="77777777" w:rsidR="004B0883" w:rsidRDefault="004B0883">
            <w:pPr>
              <w:jc w:val="right"/>
              <w:textAlignment w:val="center"/>
              <w:rPr>
                <w:rFonts w:ascii="宋体" w:hAnsi="宋体" w:cs="宋体" w:hint="eastAsia"/>
                <w:color w:val="000000"/>
                <w:sz w:val="18"/>
                <w:szCs w:val="18"/>
              </w:rPr>
            </w:pPr>
            <w:r>
              <w:rPr>
                <w:rFonts w:hint="eastAsia"/>
                <w:sz w:val="18"/>
                <w:szCs w:val="18"/>
              </w:rPr>
              <w:t>2,042,869</w:t>
            </w:r>
          </w:p>
        </w:tc>
        <w:tc>
          <w:tcPr>
            <w:tcW w:w="1218" w:type="dxa"/>
            <w:vAlign w:val="center"/>
          </w:tcPr>
          <w:p w14:paraId="45A23982" w14:textId="77777777" w:rsidR="004B0883" w:rsidRDefault="004B0883">
            <w:pPr>
              <w:jc w:val="right"/>
              <w:textAlignment w:val="center"/>
              <w:rPr>
                <w:color w:val="000000"/>
                <w:sz w:val="18"/>
                <w:szCs w:val="18"/>
              </w:rPr>
            </w:pPr>
            <w:r>
              <w:rPr>
                <w:rFonts w:hint="eastAsia"/>
                <w:sz w:val="18"/>
                <w:szCs w:val="18"/>
              </w:rPr>
              <w:t>0</w:t>
            </w:r>
          </w:p>
        </w:tc>
      </w:tr>
      <w:tr w:rsidR="004B0883" w14:paraId="20E45C2D" w14:textId="77777777">
        <w:trPr>
          <w:trHeight w:val="397"/>
        </w:trPr>
        <w:tc>
          <w:tcPr>
            <w:tcW w:w="1219" w:type="dxa"/>
            <w:vAlign w:val="center"/>
          </w:tcPr>
          <w:p w14:paraId="38D78BBF" w14:textId="77777777" w:rsidR="004B0883" w:rsidRDefault="004B0883">
            <w:pPr>
              <w:jc w:val="both"/>
              <w:textAlignment w:val="center"/>
              <w:rPr>
                <w:color w:val="000000"/>
                <w:sz w:val="18"/>
                <w:szCs w:val="18"/>
              </w:rPr>
            </w:pPr>
            <w:r>
              <w:rPr>
                <w:rFonts w:hint="eastAsia"/>
                <w:sz w:val="18"/>
                <w:szCs w:val="18"/>
              </w:rPr>
              <w:t>杨学良</w:t>
            </w:r>
          </w:p>
        </w:tc>
        <w:tc>
          <w:tcPr>
            <w:tcW w:w="1219" w:type="dxa"/>
            <w:vAlign w:val="center"/>
          </w:tcPr>
          <w:p w14:paraId="4018F36E" w14:textId="77777777" w:rsidR="004B0883" w:rsidRDefault="004B0883">
            <w:pPr>
              <w:jc w:val="both"/>
              <w:textAlignment w:val="center"/>
              <w:rPr>
                <w:color w:val="000000"/>
                <w:sz w:val="18"/>
                <w:szCs w:val="18"/>
              </w:rPr>
            </w:pPr>
            <w:r>
              <w:rPr>
                <w:rFonts w:hint="eastAsia"/>
                <w:sz w:val="18"/>
                <w:szCs w:val="18"/>
              </w:rPr>
              <w:t>境内自然人</w:t>
            </w:r>
          </w:p>
        </w:tc>
        <w:tc>
          <w:tcPr>
            <w:tcW w:w="1218" w:type="dxa"/>
            <w:vAlign w:val="center"/>
          </w:tcPr>
          <w:p w14:paraId="183FA306" w14:textId="77777777" w:rsidR="004B0883" w:rsidRDefault="004B0883">
            <w:pPr>
              <w:jc w:val="right"/>
              <w:textAlignment w:val="center"/>
              <w:rPr>
                <w:color w:val="000000"/>
                <w:sz w:val="18"/>
                <w:szCs w:val="18"/>
              </w:rPr>
            </w:pPr>
            <w:r>
              <w:rPr>
                <w:rFonts w:hint="eastAsia"/>
                <w:sz w:val="18"/>
                <w:szCs w:val="18"/>
              </w:rPr>
              <w:t>1.75</w:t>
            </w:r>
          </w:p>
        </w:tc>
        <w:tc>
          <w:tcPr>
            <w:tcW w:w="1218" w:type="dxa"/>
            <w:vAlign w:val="center"/>
          </w:tcPr>
          <w:p w14:paraId="5C5DCB69" w14:textId="77777777" w:rsidR="004B0883" w:rsidRDefault="004B0883">
            <w:pPr>
              <w:jc w:val="right"/>
              <w:textAlignment w:val="center"/>
              <w:rPr>
                <w:color w:val="000000"/>
                <w:sz w:val="18"/>
                <w:szCs w:val="18"/>
              </w:rPr>
            </w:pPr>
            <w:r>
              <w:rPr>
                <w:rFonts w:hint="eastAsia"/>
                <w:sz w:val="18"/>
                <w:szCs w:val="18"/>
              </w:rPr>
              <w:t>3,839,340</w:t>
            </w:r>
          </w:p>
        </w:tc>
        <w:tc>
          <w:tcPr>
            <w:tcW w:w="1218" w:type="dxa"/>
            <w:vAlign w:val="center"/>
          </w:tcPr>
          <w:p w14:paraId="155157C2" w14:textId="77777777" w:rsidR="004B0883" w:rsidRDefault="004B0883">
            <w:pPr>
              <w:jc w:val="right"/>
              <w:textAlignment w:val="center"/>
              <w:rPr>
                <w:color w:val="000000"/>
                <w:sz w:val="18"/>
                <w:szCs w:val="18"/>
              </w:rPr>
            </w:pPr>
            <w:r>
              <w:rPr>
                <w:rFonts w:hint="eastAsia"/>
                <w:sz w:val="18"/>
                <w:szCs w:val="18"/>
              </w:rPr>
              <w:t>0</w:t>
            </w:r>
          </w:p>
        </w:tc>
        <w:tc>
          <w:tcPr>
            <w:tcW w:w="1218" w:type="dxa"/>
            <w:vAlign w:val="center"/>
          </w:tcPr>
          <w:p w14:paraId="6CA0746E" w14:textId="77777777" w:rsidR="004B0883" w:rsidRDefault="004B0883">
            <w:pPr>
              <w:jc w:val="right"/>
              <w:textAlignment w:val="center"/>
              <w:rPr>
                <w:color w:val="000000"/>
                <w:sz w:val="18"/>
                <w:szCs w:val="18"/>
              </w:rPr>
            </w:pPr>
            <w:r>
              <w:rPr>
                <w:rFonts w:hint="eastAsia"/>
                <w:sz w:val="18"/>
                <w:szCs w:val="18"/>
              </w:rPr>
              <w:t>3,839,340</w:t>
            </w:r>
          </w:p>
        </w:tc>
        <w:tc>
          <w:tcPr>
            <w:tcW w:w="1218" w:type="dxa"/>
            <w:vAlign w:val="center"/>
          </w:tcPr>
          <w:p w14:paraId="629FA0B0" w14:textId="77777777" w:rsidR="004B0883" w:rsidRDefault="004B0883">
            <w:pPr>
              <w:jc w:val="right"/>
              <w:textAlignment w:val="center"/>
              <w:rPr>
                <w:color w:val="000000"/>
                <w:sz w:val="18"/>
                <w:szCs w:val="18"/>
              </w:rPr>
            </w:pPr>
            <w:r>
              <w:rPr>
                <w:rFonts w:hint="eastAsia"/>
                <w:sz w:val="18"/>
                <w:szCs w:val="18"/>
              </w:rPr>
              <w:t>0</w:t>
            </w:r>
          </w:p>
        </w:tc>
      </w:tr>
      <w:tr w:rsidR="004B0883" w14:paraId="5ADF88E7" w14:textId="77777777">
        <w:trPr>
          <w:trHeight w:val="397"/>
        </w:trPr>
        <w:tc>
          <w:tcPr>
            <w:tcW w:w="1219" w:type="dxa"/>
            <w:vAlign w:val="center"/>
          </w:tcPr>
          <w:p w14:paraId="73B0F4D3" w14:textId="77777777" w:rsidR="004B0883" w:rsidRDefault="004B0883">
            <w:pPr>
              <w:jc w:val="both"/>
              <w:textAlignment w:val="center"/>
              <w:rPr>
                <w:color w:val="000000"/>
                <w:sz w:val="18"/>
                <w:szCs w:val="18"/>
              </w:rPr>
            </w:pPr>
            <w:r>
              <w:rPr>
                <w:rFonts w:hint="eastAsia"/>
                <w:sz w:val="18"/>
                <w:szCs w:val="18"/>
              </w:rPr>
              <w:t>基本养老保险基金一零零六组合</w:t>
            </w:r>
          </w:p>
        </w:tc>
        <w:tc>
          <w:tcPr>
            <w:tcW w:w="1219" w:type="dxa"/>
            <w:vAlign w:val="center"/>
          </w:tcPr>
          <w:p w14:paraId="66AD319E" w14:textId="77777777" w:rsidR="004B0883" w:rsidRDefault="004B0883">
            <w:pPr>
              <w:jc w:val="both"/>
              <w:textAlignment w:val="center"/>
              <w:rPr>
                <w:color w:val="000000"/>
                <w:sz w:val="18"/>
                <w:szCs w:val="18"/>
              </w:rPr>
            </w:pPr>
            <w:r>
              <w:rPr>
                <w:rFonts w:hint="eastAsia"/>
                <w:sz w:val="18"/>
                <w:szCs w:val="18"/>
              </w:rPr>
              <w:t>其他</w:t>
            </w:r>
          </w:p>
        </w:tc>
        <w:tc>
          <w:tcPr>
            <w:tcW w:w="1218" w:type="dxa"/>
            <w:vAlign w:val="center"/>
          </w:tcPr>
          <w:p w14:paraId="1D557B0E" w14:textId="77777777" w:rsidR="004B0883" w:rsidRDefault="004B0883">
            <w:pPr>
              <w:jc w:val="right"/>
              <w:textAlignment w:val="center"/>
              <w:rPr>
                <w:color w:val="000000"/>
                <w:sz w:val="18"/>
                <w:szCs w:val="18"/>
              </w:rPr>
            </w:pPr>
            <w:r>
              <w:rPr>
                <w:rFonts w:hint="eastAsia"/>
                <w:sz w:val="18"/>
                <w:szCs w:val="18"/>
              </w:rPr>
              <w:t>0.78</w:t>
            </w:r>
          </w:p>
        </w:tc>
        <w:tc>
          <w:tcPr>
            <w:tcW w:w="1218" w:type="dxa"/>
            <w:vAlign w:val="center"/>
          </w:tcPr>
          <w:p w14:paraId="735E76D7" w14:textId="77777777" w:rsidR="004B0883" w:rsidRDefault="004B0883">
            <w:pPr>
              <w:jc w:val="right"/>
              <w:textAlignment w:val="center"/>
              <w:rPr>
                <w:color w:val="000000"/>
                <w:sz w:val="18"/>
                <w:szCs w:val="18"/>
              </w:rPr>
            </w:pPr>
            <w:r>
              <w:rPr>
                <w:rFonts w:hint="eastAsia"/>
                <w:sz w:val="18"/>
                <w:szCs w:val="18"/>
              </w:rPr>
              <w:t>1,709,140</w:t>
            </w:r>
          </w:p>
        </w:tc>
        <w:tc>
          <w:tcPr>
            <w:tcW w:w="1218" w:type="dxa"/>
            <w:vAlign w:val="center"/>
          </w:tcPr>
          <w:p w14:paraId="0A01FD23" w14:textId="77777777" w:rsidR="004B0883" w:rsidRDefault="004B0883">
            <w:pPr>
              <w:jc w:val="right"/>
              <w:textAlignment w:val="center"/>
              <w:rPr>
                <w:color w:val="000000"/>
                <w:sz w:val="18"/>
                <w:szCs w:val="18"/>
              </w:rPr>
            </w:pPr>
            <w:r>
              <w:rPr>
                <w:rFonts w:hint="eastAsia"/>
                <w:sz w:val="18"/>
                <w:szCs w:val="18"/>
              </w:rPr>
              <w:t>0</w:t>
            </w:r>
          </w:p>
        </w:tc>
        <w:tc>
          <w:tcPr>
            <w:tcW w:w="1218" w:type="dxa"/>
            <w:vAlign w:val="center"/>
          </w:tcPr>
          <w:p w14:paraId="0958D1E7" w14:textId="77777777" w:rsidR="004B0883" w:rsidRDefault="004B0883">
            <w:pPr>
              <w:jc w:val="right"/>
              <w:textAlignment w:val="center"/>
              <w:rPr>
                <w:color w:val="000000"/>
                <w:sz w:val="18"/>
                <w:szCs w:val="18"/>
              </w:rPr>
            </w:pPr>
            <w:r>
              <w:rPr>
                <w:rFonts w:hint="eastAsia"/>
                <w:sz w:val="18"/>
                <w:szCs w:val="18"/>
              </w:rPr>
              <w:t>1,709,140</w:t>
            </w:r>
          </w:p>
        </w:tc>
        <w:tc>
          <w:tcPr>
            <w:tcW w:w="1218" w:type="dxa"/>
            <w:vAlign w:val="center"/>
          </w:tcPr>
          <w:p w14:paraId="2F794883" w14:textId="77777777" w:rsidR="004B0883" w:rsidRDefault="004B0883">
            <w:pPr>
              <w:jc w:val="right"/>
              <w:textAlignment w:val="center"/>
              <w:rPr>
                <w:color w:val="000000"/>
                <w:sz w:val="18"/>
                <w:szCs w:val="18"/>
              </w:rPr>
            </w:pPr>
            <w:r>
              <w:rPr>
                <w:rFonts w:hint="eastAsia"/>
                <w:sz w:val="18"/>
                <w:szCs w:val="18"/>
              </w:rPr>
              <w:t>0</w:t>
            </w:r>
          </w:p>
        </w:tc>
      </w:tr>
      <w:tr w:rsidR="004B0883" w14:paraId="395D982C" w14:textId="77777777">
        <w:trPr>
          <w:trHeight w:val="397"/>
        </w:trPr>
        <w:tc>
          <w:tcPr>
            <w:tcW w:w="1219" w:type="dxa"/>
            <w:vAlign w:val="center"/>
          </w:tcPr>
          <w:p w14:paraId="4C93F26A" w14:textId="77777777" w:rsidR="004B0883" w:rsidRDefault="004B0883">
            <w:pPr>
              <w:jc w:val="both"/>
              <w:textAlignment w:val="center"/>
              <w:rPr>
                <w:color w:val="000000"/>
                <w:sz w:val="18"/>
                <w:szCs w:val="18"/>
              </w:rPr>
            </w:pPr>
            <w:r>
              <w:rPr>
                <w:rFonts w:hint="eastAsia"/>
                <w:sz w:val="18"/>
                <w:szCs w:val="18"/>
              </w:rPr>
              <w:t>周学枚</w:t>
            </w:r>
          </w:p>
        </w:tc>
        <w:tc>
          <w:tcPr>
            <w:tcW w:w="1219" w:type="dxa"/>
            <w:vAlign w:val="center"/>
          </w:tcPr>
          <w:p w14:paraId="62C7A6F2" w14:textId="77777777" w:rsidR="004B0883" w:rsidRDefault="004B0883">
            <w:pPr>
              <w:jc w:val="both"/>
              <w:textAlignment w:val="center"/>
              <w:rPr>
                <w:color w:val="000000"/>
                <w:sz w:val="18"/>
                <w:szCs w:val="18"/>
              </w:rPr>
            </w:pPr>
            <w:r>
              <w:rPr>
                <w:rFonts w:hint="eastAsia"/>
                <w:sz w:val="18"/>
                <w:szCs w:val="18"/>
              </w:rPr>
              <w:t>境内自然人</w:t>
            </w:r>
          </w:p>
        </w:tc>
        <w:tc>
          <w:tcPr>
            <w:tcW w:w="1218" w:type="dxa"/>
            <w:vAlign w:val="center"/>
          </w:tcPr>
          <w:p w14:paraId="205C74F9" w14:textId="77777777" w:rsidR="004B0883" w:rsidRDefault="004B0883">
            <w:pPr>
              <w:jc w:val="right"/>
              <w:textAlignment w:val="center"/>
              <w:rPr>
                <w:color w:val="000000"/>
                <w:sz w:val="18"/>
                <w:szCs w:val="18"/>
              </w:rPr>
            </w:pPr>
            <w:r>
              <w:rPr>
                <w:rFonts w:hint="eastAsia"/>
                <w:sz w:val="18"/>
                <w:szCs w:val="18"/>
              </w:rPr>
              <w:t>0.66</w:t>
            </w:r>
          </w:p>
        </w:tc>
        <w:tc>
          <w:tcPr>
            <w:tcW w:w="1218" w:type="dxa"/>
            <w:vAlign w:val="center"/>
          </w:tcPr>
          <w:p w14:paraId="16002CE2" w14:textId="77777777" w:rsidR="004B0883" w:rsidRDefault="004B0883">
            <w:pPr>
              <w:jc w:val="right"/>
              <w:textAlignment w:val="center"/>
              <w:rPr>
                <w:color w:val="000000"/>
                <w:sz w:val="18"/>
                <w:szCs w:val="18"/>
              </w:rPr>
            </w:pPr>
            <w:r>
              <w:rPr>
                <w:rFonts w:hint="eastAsia"/>
                <w:sz w:val="18"/>
                <w:szCs w:val="18"/>
              </w:rPr>
              <w:t>1,442,950</w:t>
            </w:r>
          </w:p>
        </w:tc>
        <w:tc>
          <w:tcPr>
            <w:tcW w:w="1218" w:type="dxa"/>
            <w:vAlign w:val="center"/>
          </w:tcPr>
          <w:p w14:paraId="1FC684F6" w14:textId="77777777" w:rsidR="004B0883" w:rsidRDefault="004B0883">
            <w:pPr>
              <w:jc w:val="right"/>
              <w:textAlignment w:val="center"/>
              <w:rPr>
                <w:color w:val="000000"/>
                <w:sz w:val="18"/>
                <w:szCs w:val="18"/>
              </w:rPr>
            </w:pPr>
            <w:r>
              <w:rPr>
                <w:rFonts w:hint="eastAsia"/>
                <w:sz w:val="18"/>
                <w:szCs w:val="18"/>
              </w:rPr>
              <w:t>0</w:t>
            </w:r>
          </w:p>
        </w:tc>
        <w:tc>
          <w:tcPr>
            <w:tcW w:w="1218" w:type="dxa"/>
            <w:vAlign w:val="center"/>
          </w:tcPr>
          <w:p w14:paraId="1DE7A750" w14:textId="77777777" w:rsidR="004B0883" w:rsidRDefault="004B0883">
            <w:pPr>
              <w:jc w:val="right"/>
              <w:textAlignment w:val="center"/>
              <w:rPr>
                <w:color w:val="000000"/>
                <w:sz w:val="18"/>
                <w:szCs w:val="18"/>
              </w:rPr>
            </w:pPr>
            <w:r>
              <w:rPr>
                <w:rFonts w:hint="eastAsia"/>
                <w:sz w:val="18"/>
                <w:szCs w:val="18"/>
              </w:rPr>
              <w:t>1,442,950</w:t>
            </w:r>
          </w:p>
        </w:tc>
        <w:tc>
          <w:tcPr>
            <w:tcW w:w="1218" w:type="dxa"/>
            <w:vAlign w:val="center"/>
          </w:tcPr>
          <w:p w14:paraId="5B0A68A6" w14:textId="77777777" w:rsidR="004B0883" w:rsidRDefault="004B0883">
            <w:pPr>
              <w:jc w:val="right"/>
              <w:textAlignment w:val="center"/>
              <w:rPr>
                <w:color w:val="000000"/>
                <w:sz w:val="18"/>
                <w:szCs w:val="18"/>
              </w:rPr>
            </w:pPr>
            <w:r>
              <w:rPr>
                <w:rFonts w:hint="eastAsia"/>
                <w:sz w:val="18"/>
                <w:szCs w:val="18"/>
              </w:rPr>
              <w:t>0</w:t>
            </w:r>
          </w:p>
        </w:tc>
      </w:tr>
      <w:tr w:rsidR="004B0883" w14:paraId="1DEEFA68" w14:textId="77777777">
        <w:trPr>
          <w:trHeight w:val="397"/>
        </w:trPr>
        <w:tc>
          <w:tcPr>
            <w:tcW w:w="1219" w:type="dxa"/>
            <w:vAlign w:val="center"/>
          </w:tcPr>
          <w:p w14:paraId="56A3B117" w14:textId="77777777" w:rsidR="004B0883" w:rsidRDefault="004B0883">
            <w:pPr>
              <w:jc w:val="both"/>
              <w:textAlignment w:val="center"/>
              <w:rPr>
                <w:color w:val="000000"/>
                <w:sz w:val="18"/>
                <w:szCs w:val="18"/>
              </w:rPr>
            </w:pPr>
            <w:r>
              <w:rPr>
                <w:rFonts w:hint="eastAsia"/>
                <w:sz w:val="18"/>
                <w:szCs w:val="18"/>
              </w:rPr>
              <w:t>王传华</w:t>
            </w:r>
          </w:p>
        </w:tc>
        <w:tc>
          <w:tcPr>
            <w:tcW w:w="1219" w:type="dxa"/>
            <w:vAlign w:val="center"/>
          </w:tcPr>
          <w:p w14:paraId="60CDA8C7" w14:textId="77777777" w:rsidR="004B0883" w:rsidRDefault="004B0883">
            <w:pPr>
              <w:jc w:val="both"/>
              <w:textAlignment w:val="center"/>
              <w:rPr>
                <w:color w:val="000000"/>
                <w:sz w:val="18"/>
                <w:szCs w:val="18"/>
              </w:rPr>
            </w:pPr>
            <w:r>
              <w:rPr>
                <w:rFonts w:hint="eastAsia"/>
                <w:sz w:val="18"/>
                <w:szCs w:val="18"/>
              </w:rPr>
              <w:t>境内自然人</w:t>
            </w:r>
          </w:p>
        </w:tc>
        <w:tc>
          <w:tcPr>
            <w:tcW w:w="1218" w:type="dxa"/>
            <w:vAlign w:val="center"/>
          </w:tcPr>
          <w:p w14:paraId="4CD0C9F0" w14:textId="77777777" w:rsidR="004B0883" w:rsidRDefault="004B0883">
            <w:pPr>
              <w:jc w:val="right"/>
              <w:textAlignment w:val="center"/>
              <w:rPr>
                <w:color w:val="000000"/>
                <w:sz w:val="18"/>
                <w:szCs w:val="18"/>
              </w:rPr>
            </w:pPr>
            <w:r>
              <w:rPr>
                <w:rFonts w:hint="eastAsia"/>
                <w:sz w:val="18"/>
                <w:szCs w:val="18"/>
              </w:rPr>
              <w:t>0.59</w:t>
            </w:r>
          </w:p>
        </w:tc>
        <w:tc>
          <w:tcPr>
            <w:tcW w:w="1218" w:type="dxa"/>
            <w:vAlign w:val="center"/>
          </w:tcPr>
          <w:p w14:paraId="00DFC865" w14:textId="77777777" w:rsidR="004B0883" w:rsidRDefault="004B0883">
            <w:pPr>
              <w:jc w:val="right"/>
              <w:textAlignment w:val="center"/>
              <w:rPr>
                <w:color w:val="000000"/>
                <w:sz w:val="18"/>
                <w:szCs w:val="18"/>
              </w:rPr>
            </w:pPr>
            <w:r>
              <w:rPr>
                <w:rFonts w:hint="eastAsia"/>
                <w:sz w:val="18"/>
                <w:szCs w:val="18"/>
              </w:rPr>
              <w:t>1,293,893</w:t>
            </w:r>
          </w:p>
        </w:tc>
        <w:tc>
          <w:tcPr>
            <w:tcW w:w="1218" w:type="dxa"/>
            <w:vAlign w:val="center"/>
          </w:tcPr>
          <w:p w14:paraId="241773C1" w14:textId="77777777" w:rsidR="004B0883" w:rsidRDefault="004B0883">
            <w:pPr>
              <w:jc w:val="right"/>
              <w:textAlignment w:val="center"/>
              <w:rPr>
                <w:color w:val="000000"/>
                <w:sz w:val="18"/>
                <w:szCs w:val="18"/>
              </w:rPr>
            </w:pPr>
            <w:r>
              <w:rPr>
                <w:rFonts w:hint="eastAsia"/>
                <w:sz w:val="18"/>
                <w:szCs w:val="18"/>
              </w:rPr>
              <w:t>0</w:t>
            </w:r>
          </w:p>
        </w:tc>
        <w:tc>
          <w:tcPr>
            <w:tcW w:w="1218" w:type="dxa"/>
            <w:vAlign w:val="center"/>
          </w:tcPr>
          <w:p w14:paraId="32C07B46" w14:textId="77777777" w:rsidR="004B0883" w:rsidRDefault="004B0883">
            <w:pPr>
              <w:jc w:val="right"/>
              <w:textAlignment w:val="center"/>
              <w:rPr>
                <w:color w:val="000000"/>
                <w:sz w:val="18"/>
                <w:szCs w:val="18"/>
              </w:rPr>
            </w:pPr>
            <w:r>
              <w:rPr>
                <w:rFonts w:hint="eastAsia"/>
                <w:sz w:val="18"/>
                <w:szCs w:val="18"/>
              </w:rPr>
              <w:t>1,293,893</w:t>
            </w:r>
          </w:p>
        </w:tc>
        <w:tc>
          <w:tcPr>
            <w:tcW w:w="1218" w:type="dxa"/>
            <w:vAlign w:val="center"/>
          </w:tcPr>
          <w:p w14:paraId="1D45E856" w14:textId="77777777" w:rsidR="004B0883" w:rsidRDefault="004B0883">
            <w:pPr>
              <w:jc w:val="right"/>
              <w:textAlignment w:val="center"/>
              <w:rPr>
                <w:color w:val="000000"/>
                <w:sz w:val="18"/>
                <w:szCs w:val="18"/>
              </w:rPr>
            </w:pPr>
            <w:r>
              <w:rPr>
                <w:rFonts w:hint="eastAsia"/>
                <w:sz w:val="18"/>
                <w:szCs w:val="18"/>
              </w:rPr>
              <w:t>0</w:t>
            </w:r>
          </w:p>
        </w:tc>
      </w:tr>
      <w:tr w:rsidR="004B0883" w14:paraId="19D728E1" w14:textId="77777777">
        <w:trPr>
          <w:trHeight w:val="397"/>
        </w:trPr>
        <w:tc>
          <w:tcPr>
            <w:tcW w:w="1219" w:type="dxa"/>
            <w:vAlign w:val="center"/>
          </w:tcPr>
          <w:p w14:paraId="74092ABA" w14:textId="77777777" w:rsidR="004B0883" w:rsidRDefault="004B0883">
            <w:pPr>
              <w:jc w:val="both"/>
              <w:textAlignment w:val="center"/>
              <w:rPr>
                <w:color w:val="000000"/>
                <w:sz w:val="18"/>
                <w:szCs w:val="18"/>
              </w:rPr>
            </w:pPr>
            <w:r>
              <w:rPr>
                <w:rFonts w:hint="eastAsia"/>
                <w:sz w:val="18"/>
                <w:szCs w:val="18"/>
              </w:rPr>
              <w:t>杨星晨</w:t>
            </w:r>
          </w:p>
        </w:tc>
        <w:tc>
          <w:tcPr>
            <w:tcW w:w="1219" w:type="dxa"/>
            <w:vAlign w:val="center"/>
          </w:tcPr>
          <w:p w14:paraId="1EB919F2" w14:textId="77777777" w:rsidR="004B0883" w:rsidRDefault="004B0883">
            <w:pPr>
              <w:jc w:val="both"/>
              <w:textAlignment w:val="center"/>
              <w:rPr>
                <w:color w:val="000000"/>
                <w:sz w:val="18"/>
                <w:szCs w:val="18"/>
              </w:rPr>
            </w:pPr>
            <w:r>
              <w:rPr>
                <w:rFonts w:hint="eastAsia"/>
                <w:sz w:val="18"/>
                <w:szCs w:val="18"/>
              </w:rPr>
              <w:t>境内自然人</w:t>
            </w:r>
          </w:p>
        </w:tc>
        <w:tc>
          <w:tcPr>
            <w:tcW w:w="1218" w:type="dxa"/>
            <w:vAlign w:val="center"/>
          </w:tcPr>
          <w:p w14:paraId="3E25183B" w14:textId="77777777" w:rsidR="004B0883" w:rsidRDefault="004B0883">
            <w:pPr>
              <w:jc w:val="right"/>
              <w:textAlignment w:val="center"/>
              <w:rPr>
                <w:color w:val="000000"/>
                <w:sz w:val="18"/>
                <w:szCs w:val="18"/>
              </w:rPr>
            </w:pPr>
            <w:r>
              <w:rPr>
                <w:rFonts w:hint="eastAsia"/>
                <w:sz w:val="18"/>
                <w:szCs w:val="18"/>
              </w:rPr>
              <w:t>0.57</w:t>
            </w:r>
          </w:p>
        </w:tc>
        <w:tc>
          <w:tcPr>
            <w:tcW w:w="1218" w:type="dxa"/>
            <w:vAlign w:val="center"/>
          </w:tcPr>
          <w:p w14:paraId="301F5591" w14:textId="77777777" w:rsidR="004B0883" w:rsidRDefault="004B0883">
            <w:pPr>
              <w:jc w:val="right"/>
              <w:textAlignment w:val="center"/>
              <w:rPr>
                <w:color w:val="000000"/>
                <w:sz w:val="18"/>
                <w:szCs w:val="18"/>
              </w:rPr>
            </w:pPr>
            <w:r>
              <w:rPr>
                <w:rFonts w:hint="eastAsia"/>
                <w:sz w:val="18"/>
                <w:szCs w:val="18"/>
              </w:rPr>
              <w:t>1,259,080</w:t>
            </w:r>
          </w:p>
        </w:tc>
        <w:tc>
          <w:tcPr>
            <w:tcW w:w="1218" w:type="dxa"/>
            <w:vAlign w:val="center"/>
          </w:tcPr>
          <w:p w14:paraId="3D22761D" w14:textId="77777777" w:rsidR="004B0883" w:rsidRDefault="004B0883">
            <w:pPr>
              <w:jc w:val="right"/>
              <w:textAlignment w:val="center"/>
              <w:rPr>
                <w:color w:val="000000"/>
                <w:sz w:val="18"/>
                <w:szCs w:val="18"/>
              </w:rPr>
            </w:pPr>
            <w:r>
              <w:rPr>
                <w:rFonts w:hint="eastAsia"/>
                <w:sz w:val="18"/>
                <w:szCs w:val="18"/>
              </w:rPr>
              <w:t>0</w:t>
            </w:r>
          </w:p>
        </w:tc>
        <w:tc>
          <w:tcPr>
            <w:tcW w:w="1218" w:type="dxa"/>
            <w:vAlign w:val="center"/>
          </w:tcPr>
          <w:p w14:paraId="6E1A1996" w14:textId="77777777" w:rsidR="004B0883" w:rsidRDefault="004B0883">
            <w:pPr>
              <w:jc w:val="right"/>
              <w:textAlignment w:val="center"/>
              <w:rPr>
                <w:color w:val="000000"/>
                <w:sz w:val="18"/>
                <w:szCs w:val="18"/>
              </w:rPr>
            </w:pPr>
            <w:r>
              <w:rPr>
                <w:rFonts w:hint="eastAsia"/>
                <w:sz w:val="18"/>
                <w:szCs w:val="18"/>
              </w:rPr>
              <w:t>1,259,080</w:t>
            </w:r>
          </w:p>
        </w:tc>
        <w:tc>
          <w:tcPr>
            <w:tcW w:w="1218" w:type="dxa"/>
            <w:vAlign w:val="center"/>
          </w:tcPr>
          <w:p w14:paraId="7A5494A3" w14:textId="77777777" w:rsidR="004B0883" w:rsidRDefault="004B0883">
            <w:pPr>
              <w:jc w:val="right"/>
              <w:textAlignment w:val="center"/>
              <w:rPr>
                <w:color w:val="000000"/>
                <w:sz w:val="18"/>
                <w:szCs w:val="18"/>
              </w:rPr>
            </w:pPr>
            <w:r>
              <w:rPr>
                <w:rFonts w:hint="eastAsia"/>
                <w:sz w:val="18"/>
                <w:szCs w:val="18"/>
              </w:rPr>
              <w:t>0</w:t>
            </w:r>
          </w:p>
        </w:tc>
      </w:tr>
      <w:tr w:rsidR="004B0883" w14:paraId="54F778C3" w14:textId="77777777">
        <w:trPr>
          <w:trHeight w:val="397"/>
        </w:trPr>
        <w:tc>
          <w:tcPr>
            <w:tcW w:w="1219" w:type="dxa"/>
            <w:vAlign w:val="center"/>
          </w:tcPr>
          <w:p w14:paraId="6E47F65C" w14:textId="77777777" w:rsidR="004B0883" w:rsidRDefault="004B0883">
            <w:pPr>
              <w:jc w:val="both"/>
              <w:textAlignment w:val="center"/>
              <w:rPr>
                <w:color w:val="000000"/>
                <w:sz w:val="18"/>
                <w:szCs w:val="18"/>
              </w:rPr>
            </w:pPr>
            <w:r>
              <w:rPr>
                <w:rFonts w:hint="eastAsia"/>
                <w:sz w:val="18"/>
                <w:szCs w:val="18"/>
              </w:rPr>
              <w:t>应一城</w:t>
            </w:r>
          </w:p>
        </w:tc>
        <w:tc>
          <w:tcPr>
            <w:tcW w:w="1219" w:type="dxa"/>
            <w:vAlign w:val="center"/>
          </w:tcPr>
          <w:p w14:paraId="59C31138" w14:textId="77777777" w:rsidR="004B0883" w:rsidRDefault="004B0883">
            <w:pPr>
              <w:jc w:val="both"/>
              <w:textAlignment w:val="center"/>
              <w:rPr>
                <w:color w:val="000000"/>
                <w:sz w:val="18"/>
                <w:szCs w:val="18"/>
              </w:rPr>
            </w:pPr>
            <w:r>
              <w:rPr>
                <w:rFonts w:hint="eastAsia"/>
                <w:sz w:val="18"/>
                <w:szCs w:val="18"/>
              </w:rPr>
              <w:t>境内自然人</w:t>
            </w:r>
          </w:p>
        </w:tc>
        <w:tc>
          <w:tcPr>
            <w:tcW w:w="1218" w:type="dxa"/>
            <w:vAlign w:val="center"/>
          </w:tcPr>
          <w:p w14:paraId="2B787D78" w14:textId="77777777" w:rsidR="004B0883" w:rsidRDefault="004B0883">
            <w:pPr>
              <w:jc w:val="right"/>
              <w:textAlignment w:val="center"/>
              <w:rPr>
                <w:color w:val="000000"/>
                <w:sz w:val="18"/>
                <w:szCs w:val="18"/>
              </w:rPr>
            </w:pPr>
            <w:r>
              <w:rPr>
                <w:rFonts w:hint="eastAsia"/>
                <w:sz w:val="18"/>
                <w:szCs w:val="18"/>
              </w:rPr>
              <w:t>0.49</w:t>
            </w:r>
          </w:p>
        </w:tc>
        <w:tc>
          <w:tcPr>
            <w:tcW w:w="1218" w:type="dxa"/>
            <w:vAlign w:val="center"/>
          </w:tcPr>
          <w:p w14:paraId="48721C31" w14:textId="77777777" w:rsidR="004B0883" w:rsidRDefault="004B0883">
            <w:pPr>
              <w:jc w:val="right"/>
              <w:textAlignment w:val="center"/>
              <w:rPr>
                <w:color w:val="000000"/>
                <w:sz w:val="18"/>
                <w:szCs w:val="18"/>
              </w:rPr>
            </w:pPr>
            <w:r>
              <w:rPr>
                <w:rFonts w:hint="eastAsia"/>
                <w:sz w:val="18"/>
                <w:szCs w:val="18"/>
              </w:rPr>
              <w:t>1,084,750</w:t>
            </w:r>
          </w:p>
        </w:tc>
        <w:tc>
          <w:tcPr>
            <w:tcW w:w="1218" w:type="dxa"/>
            <w:vAlign w:val="center"/>
          </w:tcPr>
          <w:p w14:paraId="5CB05519" w14:textId="77777777" w:rsidR="004B0883" w:rsidRDefault="004B0883">
            <w:pPr>
              <w:jc w:val="right"/>
              <w:textAlignment w:val="center"/>
              <w:rPr>
                <w:color w:val="000000"/>
                <w:sz w:val="18"/>
                <w:szCs w:val="18"/>
              </w:rPr>
            </w:pPr>
            <w:r>
              <w:rPr>
                <w:rFonts w:hint="eastAsia"/>
                <w:sz w:val="18"/>
                <w:szCs w:val="18"/>
              </w:rPr>
              <w:t>0</w:t>
            </w:r>
          </w:p>
        </w:tc>
        <w:tc>
          <w:tcPr>
            <w:tcW w:w="1218" w:type="dxa"/>
            <w:vAlign w:val="center"/>
          </w:tcPr>
          <w:p w14:paraId="73BD7CFE" w14:textId="77777777" w:rsidR="004B0883" w:rsidRDefault="004B0883">
            <w:pPr>
              <w:jc w:val="right"/>
              <w:textAlignment w:val="center"/>
              <w:rPr>
                <w:color w:val="000000"/>
                <w:sz w:val="18"/>
                <w:szCs w:val="18"/>
              </w:rPr>
            </w:pPr>
            <w:r>
              <w:rPr>
                <w:rFonts w:hint="eastAsia"/>
                <w:sz w:val="18"/>
                <w:szCs w:val="18"/>
              </w:rPr>
              <w:t>1,084,750</w:t>
            </w:r>
          </w:p>
        </w:tc>
        <w:tc>
          <w:tcPr>
            <w:tcW w:w="1218" w:type="dxa"/>
            <w:vAlign w:val="center"/>
          </w:tcPr>
          <w:p w14:paraId="4770FF1B" w14:textId="77777777" w:rsidR="004B0883" w:rsidRDefault="004B0883">
            <w:pPr>
              <w:jc w:val="right"/>
              <w:textAlignment w:val="center"/>
              <w:rPr>
                <w:color w:val="000000"/>
                <w:sz w:val="18"/>
                <w:szCs w:val="18"/>
              </w:rPr>
            </w:pPr>
            <w:r>
              <w:rPr>
                <w:rFonts w:hint="eastAsia"/>
                <w:sz w:val="18"/>
                <w:szCs w:val="18"/>
              </w:rPr>
              <w:t>0</w:t>
            </w:r>
          </w:p>
        </w:tc>
      </w:tr>
      <w:tr w:rsidR="004B0883" w14:paraId="27CB77AF" w14:textId="77777777">
        <w:trPr>
          <w:trHeight w:val="397"/>
        </w:trPr>
        <w:tc>
          <w:tcPr>
            <w:tcW w:w="1219" w:type="dxa"/>
            <w:vAlign w:val="center"/>
          </w:tcPr>
          <w:p w14:paraId="34E0B565" w14:textId="77777777" w:rsidR="004B0883" w:rsidRDefault="004B0883">
            <w:pPr>
              <w:jc w:val="both"/>
              <w:textAlignment w:val="center"/>
              <w:rPr>
                <w:rFonts w:hint="eastAsia"/>
                <w:color w:val="000000"/>
                <w:sz w:val="18"/>
                <w:szCs w:val="18"/>
              </w:rPr>
            </w:pPr>
            <w:r>
              <w:rPr>
                <w:rFonts w:hint="eastAsia"/>
                <w:sz w:val="18"/>
                <w:szCs w:val="18"/>
              </w:rPr>
              <w:t>MERRILL LYNCH INTERNATIONAL</w:t>
            </w:r>
          </w:p>
        </w:tc>
        <w:tc>
          <w:tcPr>
            <w:tcW w:w="1219" w:type="dxa"/>
            <w:vAlign w:val="center"/>
          </w:tcPr>
          <w:p w14:paraId="2B9BB464" w14:textId="77777777" w:rsidR="004B0883" w:rsidRDefault="004B0883">
            <w:pPr>
              <w:jc w:val="both"/>
              <w:textAlignment w:val="center"/>
              <w:rPr>
                <w:rFonts w:hint="eastAsia"/>
                <w:color w:val="000000"/>
                <w:sz w:val="18"/>
                <w:szCs w:val="18"/>
              </w:rPr>
            </w:pPr>
            <w:r>
              <w:rPr>
                <w:rFonts w:hint="eastAsia"/>
                <w:sz w:val="18"/>
                <w:szCs w:val="18"/>
              </w:rPr>
              <w:t>境外法人</w:t>
            </w:r>
          </w:p>
        </w:tc>
        <w:tc>
          <w:tcPr>
            <w:tcW w:w="1218" w:type="dxa"/>
            <w:vAlign w:val="center"/>
          </w:tcPr>
          <w:p w14:paraId="0F642BDC" w14:textId="77777777" w:rsidR="004B0883" w:rsidRDefault="004B0883">
            <w:pPr>
              <w:jc w:val="right"/>
              <w:textAlignment w:val="center"/>
              <w:rPr>
                <w:rFonts w:hint="eastAsia"/>
                <w:color w:val="000000"/>
                <w:sz w:val="18"/>
                <w:szCs w:val="18"/>
              </w:rPr>
            </w:pPr>
            <w:r>
              <w:rPr>
                <w:rFonts w:hint="eastAsia"/>
                <w:sz w:val="18"/>
                <w:szCs w:val="18"/>
              </w:rPr>
              <w:t>0.49</w:t>
            </w:r>
          </w:p>
        </w:tc>
        <w:tc>
          <w:tcPr>
            <w:tcW w:w="1218" w:type="dxa"/>
            <w:vAlign w:val="center"/>
          </w:tcPr>
          <w:p w14:paraId="10F34DFF" w14:textId="77777777" w:rsidR="004B0883" w:rsidRDefault="004B0883">
            <w:pPr>
              <w:jc w:val="right"/>
              <w:textAlignment w:val="center"/>
              <w:rPr>
                <w:rFonts w:hint="eastAsia"/>
                <w:color w:val="000000"/>
                <w:sz w:val="18"/>
                <w:szCs w:val="18"/>
              </w:rPr>
            </w:pPr>
            <w:r>
              <w:rPr>
                <w:rFonts w:hint="eastAsia"/>
                <w:sz w:val="18"/>
                <w:szCs w:val="18"/>
              </w:rPr>
              <w:t>1,070,270</w:t>
            </w:r>
          </w:p>
        </w:tc>
        <w:tc>
          <w:tcPr>
            <w:tcW w:w="1218" w:type="dxa"/>
            <w:vAlign w:val="center"/>
          </w:tcPr>
          <w:p w14:paraId="6103F684" w14:textId="77777777" w:rsidR="004B0883" w:rsidRDefault="004B0883">
            <w:pPr>
              <w:jc w:val="right"/>
              <w:textAlignment w:val="center"/>
              <w:rPr>
                <w:rFonts w:hint="eastAsia"/>
                <w:color w:val="000000"/>
                <w:sz w:val="18"/>
                <w:szCs w:val="18"/>
              </w:rPr>
            </w:pPr>
            <w:r>
              <w:rPr>
                <w:rFonts w:hint="eastAsia"/>
                <w:sz w:val="18"/>
                <w:szCs w:val="18"/>
              </w:rPr>
              <w:t>0</w:t>
            </w:r>
          </w:p>
        </w:tc>
        <w:tc>
          <w:tcPr>
            <w:tcW w:w="1218" w:type="dxa"/>
            <w:vAlign w:val="center"/>
          </w:tcPr>
          <w:p w14:paraId="70151FB6" w14:textId="77777777" w:rsidR="004B0883" w:rsidRDefault="004B0883">
            <w:pPr>
              <w:jc w:val="right"/>
              <w:textAlignment w:val="center"/>
              <w:rPr>
                <w:rFonts w:hint="eastAsia"/>
                <w:color w:val="000000"/>
                <w:sz w:val="18"/>
                <w:szCs w:val="18"/>
              </w:rPr>
            </w:pPr>
            <w:r>
              <w:rPr>
                <w:rFonts w:hint="eastAsia"/>
                <w:sz w:val="18"/>
                <w:szCs w:val="18"/>
              </w:rPr>
              <w:t>1,070,270</w:t>
            </w:r>
          </w:p>
        </w:tc>
        <w:tc>
          <w:tcPr>
            <w:tcW w:w="1218" w:type="dxa"/>
            <w:vAlign w:val="center"/>
          </w:tcPr>
          <w:p w14:paraId="756E6952" w14:textId="77777777" w:rsidR="004B0883" w:rsidRDefault="004B0883">
            <w:pPr>
              <w:jc w:val="right"/>
              <w:textAlignment w:val="center"/>
              <w:rPr>
                <w:rFonts w:hint="eastAsia"/>
                <w:color w:val="000000"/>
                <w:sz w:val="18"/>
                <w:szCs w:val="18"/>
              </w:rPr>
            </w:pPr>
            <w:r>
              <w:rPr>
                <w:rFonts w:hint="eastAsia"/>
                <w:sz w:val="18"/>
                <w:szCs w:val="18"/>
              </w:rPr>
              <w:t>0</w:t>
            </w:r>
          </w:p>
        </w:tc>
      </w:tr>
    </w:tbl>
    <w:p w14:paraId="43BB4905" w14:textId="77777777" w:rsidR="004B0883" w:rsidRDefault="004B0883">
      <w:pPr>
        <w:pStyle w:val="002"/>
        <w:spacing w:before="120" w:after="120"/>
        <w:rPr>
          <w:rFonts w:hint="eastAsia"/>
        </w:rPr>
      </w:pPr>
      <w:bookmarkStart w:id="198" w:name="_Toc152320790"/>
      <w:r>
        <w:rPr>
          <w:rFonts w:hint="eastAsia"/>
        </w:rPr>
        <w:t>二、公司组织结构及重要权益投资情况</w:t>
      </w:r>
      <w:bookmarkEnd w:id="198"/>
    </w:p>
    <w:p w14:paraId="02ED137F" w14:textId="77777777" w:rsidR="004B0883" w:rsidRDefault="004B0883">
      <w:pPr>
        <w:pStyle w:val="003"/>
        <w:spacing w:before="120" w:after="120"/>
        <w:rPr>
          <w:rFonts w:hint="eastAsia"/>
        </w:rPr>
      </w:pPr>
      <w:r>
        <w:rPr>
          <w:rFonts w:hint="eastAsia"/>
        </w:rPr>
        <w:t>（一）公司组织结构图</w:t>
      </w:r>
    </w:p>
    <w:p w14:paraId="5C1197F9" w14:textId="77777777" w:rsidR="004B0883" w:rsidRDefault="004B0883">
      <w:pPr>
        <w:pStyle w:val="005"/>
        <w:spacing w:before="120"/>
        <w:ind w:firstLine="480"/>
      </w:pPr>
      <w:r>
        <w:rPr>
          <w:rFonts w:hint="eastAsia"/>
        </w:rPr>
        <w:t>截至本募集说明书签署日，公司组织架构如下：</w:t>
      </w:r>
    </w:p>
    <w:p w14:paraId="2A000513" w14:textId="3146974C" w:rsidR="004B0883" w:rsidRDefault="0090540C">
      <w:pPr>
        <w:pStyle w:val="005"/>
        <w:spacing w:before="120"/>
        <w:ind w:firstLineChars="0" w:firstLine="0"/>
        <w:rPr>
          <w:rFonts w:hint="eastAsia"/>
        </w:rPr>
      </w:pPr>
      <w:r>
        <w:rPr>
          <w:noProof/>
        </w:rPr>
        <w:drawing>
          <wp:inline distT="0" distB="0" distL="0" distR="0" wp14:anchorId="57409CF0" wp14:editId="3BC49176">
            <wp:extent cx="5398770" cy="3117215"/>
            <wp:effectExtent l="0" t="0" r="0" b="0"/>
            <wp:docPr id="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8770" cy="3117215"/>
                    </a:xfrm>
                    <a:prstGeom prst="rect">
                      <a:avLst/>
                    </a:prstGeom>
                    <a:noFill/>
                    <a:ln>
                      <a:noFill/>
                    </a:ln>
                  </pic:spPr>
                </pic:pic>
              </a:graphicData>
            </a:graphic>
          </wp:inline>
        </w:drawing>
      </w:r>
    </w:p>
    <w:p w14:paraId="5DCF7DAC" w14:textId="77777777" w:rsidR="004B0883" w:rsidRDefault="004B0883">
      <w:pPr>
        <w:pStyle w:val="003"/>
        <w:spacing w:before="120" w:after="120"/>
        <w:rPr>
          <w:rFonts w:hint="eastAsia"/>
        </w:rPr>
      </w:pPr>
      <w:r>
        <w:rPr>
          <w:rFonts w:hint="eastAsia"/>
        </w:rPr>
        <w:t>（二）公司子公司基本情况</w:t>
      </w:r>
    </w:p>
    <w:p w14:paraId="7C150C2B" w14:textId="77777777" w:rsidR="004B0883" w:rsidRDefault="004B0883">
      <w:pPr>
        <w:pStyle w:val="004"/>
        <w:spacing w:before="120" w:after="120"/>
        <w:ind w:firstLine="482"/>
      </w:pPr>
      <w:r>
        <w:rPr>
          <w:rFonts w:hint="eastAsia"/>
        </w:rPr>
        <w:t>1</w:t>
      </w:r>
      <w:r>
        <w:rPr>
          <w:rFonts w:hint="eastAsia"/>
        </w:rPr>
        <w:t>、控股子公司情况</w:t>
      </w:r>
    </w:p>
    <w:p w14:paraId="4E80C1E9" w14:textId="77777777" w:rsidR="004B0883" w:rsidRDefault="004B0883">
      <w:pPr>
        <w:pStyle w:val="005"/>
        <w:spacing w:before="120"/>
        <w:ind w:firstLine="480"/>
      </w:pPr>
      <w:bookmarkStart w:id="199" w:name="_Hlk85707651"/>
      <w:r>
        <w:rPr>
          <w:rFonts w:hint="eastAsia"/>
        </w:rPr>
        <w:t>截至本募集说明书签署日，发行人控股子公司基本情况如下：</w:t>
      </w:r>
    </w:p>
    <w:tbl>
      <w:tblPr>
        <w:tblW w:w="8407"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98"/>
        <w:gridCol w:w="4154"/>
        <w:gridCol w:w="1846"/>
        <w:gridCol w:w="1509"/>
      </w:tblGrid>
      <w:tr w:rsidR="004B0883" w14:paraId="22A7E739" w14:textId="77777777">
        <w:trPr>
          <w:trHeight w:val="397"/>
          <w:tblHeader/>
          <w:jc w:val="center"/>
        </w:trPr>
        <w:tc>
          <w:tcPr>
            <w:tcW w:w="898" w:type="dxa"/>
            <w:shd w:val="clear" w:color="auto" w:fill="D9D9D9"/>
            <w:vAlign w:val="center"/>
          </w:tcPr>
          <w:p w14:paraId="3C9BDDE3" w14:textId="77777777" w:rsidR="004B0883" w:rsidRDefault="004B0883">
            <w:pPr>
              <w:adjustRightInd w:val="0"/>
              <w:snapToGrid w:val="0"/>
              <w:jc w:val="center"/>
              <w:rPr>
                <w:b/>
              </w:rPr>
            </w:pPr>
            <w:r>
              <w:rPr>
                <w:b/>
              </w:rPr>
              <w:t>序号</w:t>
            </w:r>
          </w:p>
        </w:tc>
        <w:tc>
          <w:tcPr>
            <w:tcW w:w="4154" w:type="dxa"/>
            <w:shd w:val="clear" w:color="auto" w:fill="D9D9D9"/>
            <w:vAlign w:val="center"/>
          </w:tcPr>
          <w:p w14:paraId="429C29ED" w14:textId="77777777" w:rsidR="004B0883" w:rsidRDefault="004B0883">
            <w:pPr>
              <w:adjustRightInd w:val="0"/>
              <w:snapToGrid w:val="0"/>
              <w:jc w:val="center"/>
              <w:rPr>
                <w:b/>
              </w:rPr>
            </w:pPr>
            <w:r>
              <w:rPr>
                <w:b/>
              </w:rPr>
              <w:t>公司名称</w:t>
            </w:r>
          </w:p>
        </w:tc>
        <w:tc>
          <w:tcPr>
            <w:tcW w:w="1846" w:type="dxa"/>
            <w:shd w:val="clear" w:color="auto" w:fill="D9D9D9"/>
            <w:vAlign w:val="center"/>
          </w:tcPr>
          <w:p w14:paraId="7C01487A" w14:textId="77777777" w:rsidR="004B0883" w:rsidRDefault="004B0883">
            <w:pPr>
              <w:adjustRightInd w:val="0"/>
              <w:snapToGrid w:val="0"/>
              <w:jc w:val="center"/>
              <w:rPr>
                <w:b/>
              </w:rPr>
            </w:pPr>
            <w:r>
              <w:rPr>
                <w:b/>
              </w:rPr>
              <w:t>公司类型</w:t>
            </w:r>
          </w:p>
        </w:tc>
        <w:tc>
          <w:tcPr>
            <w:tcW w:w="1509" w:type="dxa"/>
            <w:shd w:val="clear" w:color="auto" w:fill="D9D9D9"/>
            <w:vAlign w:val="center"/>
          </w:tcPr>
          <w:p w14:paraId="5846794A" w14:textId="77777777" w:rsidR="004B0883" w:rsidRDefault="004B0883">
            <w:pPr>
              <w:adjustRightInd w:val="0"/>
              <w:snapToGrid w:val="0"/>
              <w:jc w:val="center"/>
              <w:rPr>
                <w:b/>
              </w:rPr>
            </w:pPr>
            <w:r>
              <w:rPr>
                <w:b/>
              </w:rPr>
              <w:t>持股比例</w:t>
            </w:r>
          </w:p>
        </w:tc>
      </w:tr>
      <w:tr w:rsidR="004B0883" w14:paraId="043AB77B" w14:textId="77777777">
        <w:trPr>
          <w:trHeight w:val="397"/>
          <w:jc w:val="center"/>
        </w:trPr>
        <w:tc>
          <w:tcPr>
            <w:tcW w:w="898" w:type="dxa"/>
            <w:shd w:val="clear" w:color="auto" w:fill="auto"/>
            <w:vAlign w:val="center"/>
          </w:tcPr>
          <w:p w14:paraId="1E5E394B" w14:textId="77777777" w:rsidR="004B0883" w:rsidRDefault="004B0883">
            <w:pPr>
              <w:adjustRightInd w:val="0"/>
              <w:snapToGrid w:val="0"/>
              <w:jc w:val="center"/>
            </w:pPr>
            <w:r>
              <w:t>1</w:t>
            </w:r>
          </w:p>
        </w:tc>
        <w:tc>
          <w:tcPr>
            <w:tcW w:w="4154" w:type="dxa"/>
            <w:shd w:val="clear" w:color="000000" w:fill="FFFFFF"/>
            <w:vAlign w:val="center"/>
          </w:tcPr>
          <w:p w14:paraId="1FC8C5F1" w14:textId="77777777" w:rsidR="004B0883" w:rsidRDefault="004B0883">
            <w:pPr>
              <w:adjustRightInd w:val="0"/>
              <w:snapToGrid w:val="0"/>
              <w:rPr>
                <w:b/>
              </w:rPr>
            </w:pPr>
            <w:r>
              <w:rPr>
                <w:rFonts w:ascii="Arial" w:hAnsi="Arial" w:cs="Arial"/>
                <w:sz w:val="20"/>
                <w:szCs w:val="20"/>
              </w:rPr>
              <w:t>莱州伟隆阀门有限公司</w:t>
            </w:r>
          </w:p>
        </w:tc>
        <w:tc>
          <w:tcPr>
            <w:tcW w:w="1846" w:type="dxa"/>
            <w:vAlign w:val="center"/>
          </w:tcPr>
          <w:p w14:paraId="745E8444" w14:textId="77777777" w:rsidR="004B0883" w:rsidRDefault="004B0883">
            <w:pPr>
              <w:adjustRightInd w:val="0"/>
              <w:snapToGrid w:val="0"/>
              <w:jc w:val="center"/>
              <w:rPr>
                <w:b/>
              </w:rPr>
            </w:pPr>
            <w:r>
              <w:rPr>
                <w:color w:val="000000"/>
              </w:rPr>
              <w:t>全资子公司</w:t>
            </w:r>
          </w:p>
        </w:tc>
        <w:tc>
          <w:tcPr>
            <w:tcW w:w="1509" w:type="dxa"/>
            <w:vAlign w:val="center"/>
          </w:tcPr>
          <w:p w14:paraId="69051D1C" w14:textId="77777777" w:rsidR="004B0883" w:rsidRDefault="004B0883">
            <w:pPr>
              <w:adjustRightInd w:val="0"/>
              <w:snapToGrid w:val="0"/>
              <w:jc w:val="right"/>
              <w:rPr>
                <w:b/>
              </w:rPr>
            </w:pPr>
            <w:r>
              <w:rPr>
                <w:color w:val="000000"/>
              </w:rPr>
              <w:t>100.00%</w:t>
            </w:r>
          </w:p>
        </w:tc>
      </w:tr>
      <w:tr w:rsidR="004B0883" w14:paraId="6FD055BE" w14:textId="77777777">
        <w:trPr>
          <w:trHeight w:val="397"/>
          <w:jc w:val="center"/>
        </w:trPr>
        <w:tc>
          <w:tcPr>
            <w:tcW w:w="898" w:type="dxa"/>
            <w:shd w:val="clear" w:color="auto" w:fill="auto"/>
            <w:vAlign w:val="center"/>
          </w:tcPr>
          <w:p w14:paraId="5B9DAA45" w14:textId="77777777" w:rsidR="004B0883" w:rsidRDefault="004B0883">
            <w:pPr>
              <w:adjustRightInd w:val="0"/>
              <w:snapToGrid w:val="0"/>
              <w:jc w:val="center"/>
              <w:rPr>
                <w:color w:val="000000"/>
              </w:rPr>
            </w:pPr>
            <w:r>
              <w:rPr>
                <w:color w:val="000000"/>
              </w:rPr>
              <w:t>2</w:t>
            </w:r>
          </w:p>
        </w:tc>
        <w:tc>
          <w:tcPr>
            <w:tcW w:w="4154" w:type="dxa"/>
            <w:shd w:val="clear" w:color="000000" w:fill="FFFFFF"/>
            <w:vAlign w:val="center"/>
          </w:tcPr>
          <w:p w14:paraId="4A9A08EF" w14:textId="77777777" w:rsidR="004B0883" w:rsidRDefault="004B0883">
            <w:pPr>
              <w:adjustRightInd w:val="0"/>
              <w:snapToGrid w:val="0"/>
            </w:pPr>
            <w:r>
              <w:rPr>
                <w:rFonts w:ascii="Arial" w:hAnsi="Arial" w:cs="Arial"/>
                <w:sz w:val="20"/>
                <w:szCs w:val="20"/>
              </w:rPr>
              <w:t>海南伟隆投资有限公司</w:t>
            </w:r>
          </w:p>
        </w:tc>
        <w:tc>
          <w:tcPr>
            <w:tcW w:w="1846" w:type="dxa"/>
            <w:vAlign w:val="center"/>
          </w:tcPr>
          <w:p w14:paraId="125599EF" w14:textId="77777777" w:rsidR="004B0883" w:rsidRDefault="004B0883">
            <w:pPr>
              <w:adjustRightInd w:val="0"/>
              <w:snapToGrid w:val="0"/>
              <w:jc w:val="center"/>
              <w:rPr>
                <w:color w:val="000000"/>
              </w:rPr>
            </w:pPr>
            <w:r>
              <w:rPr>
                <w:rFonts w:hint="eastAsia"/>
                <w:color w:val="000000"/>
              </w:rPr>
              <w:t>控股</w:t>
            </w:r>
            <w:r>
              <w:rPr>
                <w:color w:val="000000"/>
              </w:rPr>
              <w:t>子公司</w:t>
            </w:r>
          </w:p>
        </w:tc>
        <w:tc>
          <w:tcPr>
            <w:tcW w:w="1509" w:type="dxa"/>
            <w:vAlign w:val="center"/>
          </w:tcPr>
          <w:p w14:paraId="78FF28E2" w14:textId="77777777" w:rsidR="004B0883" w:rsidRDefault="004B0883">
            <w:pPr>
              <w:adjustRightInd w:val="0"/>
              <w:snapToGrid w:val="0"/>
              <w:jc w:val="right"/>
              <w:rPr>
                <w:color w:val="000000"/>
              </w:rPr>
            </w:pPr>
            <w:r>
              <w:rPr>
                <w:color w:val="000000"/>
              </w:rPr>
              <w:t>60.00%</w:t>
            </w:r>
          </w:p>
        </w:tc>
      </w:tr>
      <w:tr w:rsidR="004B0883" w14:paraId="53B62FD5" w14:textId="77777777">
        <w:trPr>
          <w:trHeight w:val="397"/>
          <w:jc w:val="center"/>
        </w:trPr>
        <w:tc>
          <w:tcPr>
            <w:tcW w:w="898" w:type="dxa"/>
            <w:shd w:val="clear" w:color="auto" w:fill="auto"/>
            <w:vAlign w:val="center"/>
          </w:tcPr>
          <w:p w14:paraId="26764CBE" w14:textId="77777777" w:rsidR="004B0883" w:rsidRDefault="004B0883">
            <w:pPr>
              <w:adjustRightInd w:val="0"/>
              <w:snapToGrid w:val="0"/>
              <w:jc w:val="center"/>
              <w:rPr>
                <w:color w:val="000000"/>
              </w:rPr>
            </w:pPr>
            <w:r>
              <w:rPr>
                <w:color w:val="000000"/>
              </w:rPr>
              <w:t>3</w:t>
            </w:r>
          </w:p>
        </w:tc>
        <w:tc>
          <w:tcPr>
            <w:tcW w:w="4154" w:type="dxa"/>
            <w:shd w:val="clear" w:color="000000" w:fill="FFFFFF"/>
            <w:vAlign w:val="center"/>
          </w:tcPr>
          <w:p w14:paraId="236ACC19" w14:textId="77777777" w:rsidR="004B0883" w:rsidRDefault="004B0883">
            <w:pPr>
              <w:adjustRightInd w:val="0"/>
              <w:snapToGrid w:val="0"/>
            </w:pPr>
            <w:r>
              <w:rPr>
                <w:rFonts w:ascii="Arial" w:hAnsi="Arial" w:cs="Arial"/>
                <w:sz w:val="20"/>
                <w:szCs w:val="20"/>
              </w:rPr>
              <w:t>青岛伟隆流体设备有限公司</w:t>
            </w:r>
          </w:p>
        </w:tc>
        <w:tc>
          <w:tcPr>
            <w:tcW w:w="1846" w:type="dxa"/>
            <w:vAlign w:val="center"/>
          </w:tcPr>
          <w:p w14:paraId="5324A1F7" w14:textId="77777777" w:rsidR="004B0883" w:rsidRDefault="004B0883">
            <w:pPr>
              <w:adjustRightInd w:val="0"/>
              <w:snapToGrid w:val="0"/>
              <w:jc w:val="center"/>
              <w:rPr>
                <w:color w:val="000000"/>
              </w:rPr>
            </w:pPr>
            <w:r>
              <w:rPr>
                <w:color w:val="000000"/>
              </w:rPr>
              <w:t>全资子公司</w:t>
            </w:r>
          </w:p>
        </w:tc>
        <w:tc>
          <w:tcPr>
            <w:tcW w:w="1509" w:type="dxa"/>
            <w:vAlign w:val="center"/>
          </w:tcPr>
          <w:p w14:paraId="3F665420" w14:textId="77777777" w:rsidR="004B0883" w:rsidRDefault="004B0883">
            <w:pPr>
              <w:adjustRightInd w:val="0"/>
              <w:snapToGrid w:val="0"/>
              <w:jc w:val="right"/>
              <w:rPr>
                <w:color w:val="000000"/>
              </w:rPr>
            </w:pPr>
            <w:r>
              <w:rPr>
                <w:color w:val="000000"/>
              </w:rPr>
              <w:t>100.00%</w:t>
            </w:r>
          </w:p>
        </w:tc>
      </w:tr>
      <w:tr w:rsidR="004B0883" w14:paraId="134CD318" w14:textId="77777777">
        <w:trPr>
          <w:trHeight w:val="397"/>
          <w:jc w:val="center"/>
        </w:trPr>
        <w:tc>
          <w:tcPr>
            <w:tcW w:w="898" w:type="dxa"/>
            <w:shd w:val="clear" w:color="auto" w:fill="auto"/>
            <w:vAlign w:val="center"/>
          </w:tcPr>
          <w:p w14:paraId="0F55E0EA" w14:textId="77777777" w:rsidR="004B0883" w:rsidRDefault="004B0883">
            <w:pPr>
              <w:adjustRightInd w:val="0"/>
              <w:snapToGrid w:val="0"/>
              <w:jc w:val="center"/>
              <w:rPr>
                <w:color w:val="000000"/>
              </w:rPr>
            </w:pPr>
            <w:r>
              <w:rPr>
                <w:color w:val="000000"/>
              </w:rPr>
              <w:t>4</w:t>
            </w:r>
          </w:p>
        </w:tc>
        <w:tc>
          <w:tcPr>
            <w:tcW w:w="4154" w:type="dxa"/>
            <w:shd w:val="clear" w:color="000000" w:fill="FFFFFF"/>
            <w:vAlign w:val="center"/>
          </w:tcPr>
          <w:p w14:paraId="6CA21F03" w14:textId="77777777" w:rsidR="004B0883" w:rsidRDefault="004B0883">
            <w:pPr>
              <w:adjustRightInd w:val="0"/>
              <w:snapToGrid w:val="0"/>
              <w:rPr>
                <w:color w:val="000000"/>
              </w:rPr>
            </w:pPr>
            <w:r>
              <w:rPr>
                <w:rFonts w:ascii="Arial" w:hAnsi="Arial" w:cs="Arial"/>
                <w:sz w:val="20"/>
                <w:szCs w:val="20"/>
              </w:rPr>
              <w:t>青岛卓信检测技术有限责任公司</w:t>
            </w:r>
          </w:p>
        </w:tc>
        <w:tc>
          <w:tcPr>
            <w:tcW w:w="1846" w:type="dxa"/>
            <w:vAlign w:val="center"/>
          </w:tcPr>
          <w:p w14:paraId="228CA429" w14:textId="77777777" w:rsidR="004B0883" w:rsidRDefault="004B0883">
            <w:pPr>
              <w:adjustRightInd w:val="0"/>
              <w:snapToGrid w:val="0"/>
              <w:jc w:val="center"/>
              <w:rPr>
                <w:color w:val="000000"/>
              </w:rPr>
            </w:pPr>
            <w:r>
              <w:rPr>
                <w:color w:val="000000"/>
              </w:rPr>
              <w:t>全资子公司</w:t>
            </w:r>
          </w:p>
        </w:tc>
        <w:tc>
          <w:tcPr>
            <w:tcW w:w="1509" w:type="dxa"/>
            <w:vAlign w:val="center"/>
          </w:tcPr>
          <w:p w14:paraId="08828C4B" w14:textId="77777777" w:rsidR="004B0883" w:rsidRDefault="004B0883">
            <w:pPr>
              <w:adjustRightInd w:val="0"/>
              <w:snapToGrid w:val="0"/>
              <w:jc w:val="right"/>
              <w:rPr>
                <w:color w:val="000000"/>
              </w:rPr>
            </w:pPr>
            <w:r>
              <w:rPr>
                <w:color w:val="000000"/>
              </w:rPr>
              <w:t>100.00%</w:t>
            </w:r>
          </w:p>
        </w:tc>
      </w:tr>
      <w:tr w:rsidR="004B0883" w14:paraId="4A7F8F52" w14:textId="77777777">
        <w:trPr>
          <w:trHeight w:val="397"/>
          <w:jc w:val="center"/>
        </w:trPr>
        <w:tc>
          <w:tcPr>
            <w:tcW w:w="898" w:type="dxa"/>
            <w:shd w:val="clear" w:color="auto" w:fill="auto"/>
            <w:vAlign w:val="center"/>
          </w:tcPr>
          <w:p w14:paraId="054AFBE4" w14:textId="77777777" w:rsidR="004B0883" w:rsidRDefault="004B0883">
            <w:pPr>
              <w:adjustRightInd w:val="0"/>
              <w:snapToGrid w:val="0"/>
              <w:jc w:val="center"/>
              <w:rPr>
                <w:color w:val="000000"/>
              </w:rPr>
            </w:pPr>
            <w:r>
              <w:rPr>
                <w:rFonts w:hint="eastAsia"/>
                <w:color w:val="000000"/>
              </w:rPr>
              <w:t>5</w:t>
            </w:r>
          </w:p>
        </w:tc>
        <w:tc>
          <w:tcPr>
            <w:tcW w:w="4154" w:type="dxa"/>
            <w:shd w:val="clear" w:color="000000" w:fill="FFFFFF"/>
            <w:vAlign w:val="center"/>
          </w:tcPr>
          <w:p w14:paraId="28AE07D6" w14:textId="77777777" w:rsidR="004B0883" w:rsidRDefault="004B0883">
            <w:pPr>
              <w:adjustRightInd w:val="0"/>
              <w:snapToGrid w:val="0"/>
            </w:pPr>
            <w:r>
              <w:rPr>
                <w:rFonts w:ascii="Arial" w:hAnsi="Arial" w:cs="Arial"/>
                <w:sz w:val="20"/>
                <w:szCs w:val="20"/>
              </w:rPr>
              <w:t>青岛伟隆五金机械有限公司</w:t>
            </w:r>
          </w:p>
        </w:tc>
        <w:tc>
          <w:tcPr>
            <w:tcW w:w="1846" w:type="dxa"/>
            <w:vAlign w:val="center"/>
          </w:tcPr>
          <w:p w14:paraId="376F6473" w14:textId="77777777" w:rsidR="004B0883" w:rsidRDefault="004B0883">
            <w:pPr>
              <w:adjustRightInd w:val="0"/>
              <w:snapToGrid w:val="0"/>
              <w:jc w:val="center"/>
              <w:rPr>
                <w:color w:val="000000"/>
              </w:rPr>
            </w:pPr>
            <w:r>
              <w:rPr>
                <w:color w:val="000000"/>
              </w:rPr>
              <w:t>全资子公司</w:t>
            </w:r>
          </w:p>
        </w:tc>
        <w:tc>
          <w:tcPr>
            <w:tcW w:w="1509" w:type="dxa"/>
            <w:vAlign w:val="center"/>
          </w:tcPr>
          <w:p w14:paraId="476D6319" w14:textId="77777777" w:rsidR="004B0883" w:rsidRDefault="004B0883">
            <w:pPr>
              <w:adjustRightInd w:val="0"/>
              <w:snapToGrid w:val="0"/>
              <w:jc w:val="right"/>
              <w:rPr>
                <w:color w:val="000000"/>
              </w:rPr>
            </w:pPr>
            <w:r>
              <w:rPr>
                <w:color w:val="000000"/>
              </w:rPr>
              <w:t>100.00%</w:t>
            </w:r>
          </w:p>
        </w:tc>
      </w:tr>
      <w:tr w:rsidR="004B0883" w14:paraId="7E5B6B3C" w14:textId="77777777">
        <w:trPr>
          <w:trHeight w:val="397"/>
          <w:jc w:val="center"/>
        </w:trPr>
        <w:tc>
          <w:tcPr>
            <w:tcW w:w="898" w:type="dxa"/>
            <w:shd w:val="clear" w:color="auto" w:fill="auto"/>
            <w:vAlign w:val="center"/>
          </w:tcPr>
          <w:p w14:paraId="1AAA2372" w14:textId="77777777" w:rsidR="004B0883" w:rsidRDefault="004B0883">
            <w:pPr>
              <w:adjustRightInd w:val="0"/>
              <w:snapToGrid w:val="0"/>
              <w:jc w:val="center"/>
              <w:rPr>
                <w:color w:val="000000"/>
              </w:rPr>
            </w:pPr>
            <w:r>
              <w:rPr>
                <w:rFonts w:hint="eastAsia"/>
                <w:color w:val="000000"/>
              </w:rPr>
              <w:t>6</w:t>
            </w:r>
          </w:p>
        </w:tc>
        <w:tc>
          <w:tcPr>
            <w:tcW w:w="4154" w:type="dxa"/>
            <w:shd w:val="clear" w:color="000000" w:fill="FFFFFF"/>
            <w:vAlign w:val="center"/>
          </w:tcPr>
          <w:p w14:paraId="0C1E7A0D" w14:textId="77777777" w:rsidR="004B0883" w:rsidRDefault="004B0883">
            <w:pPr>
              <w:adjustRightInd w:val="0"/>
              <w:snapToGrid w:val="0"/>
              <w:rPr>
                <w:color w:val="000000"/>
              </w:rPr>
            </w:pPr>
            <w:r>
              <w:rPr>
                <w:color w:val="000000"/>
              </w:rPr>
              <w:t>WEFLO VALVE COMPANY LIMITED</w:t>
            </w:r>
          </w:p>
        </w:tc>
        <w:tc>
          <w:tcPr>
            <w:tcW w:w="1846" w:type="dxa"/>
            <w:vAlign w:val="center"/>
          </w:tcPr>
          <w:p w14:paraId="083CE997" w14:textId="77777777" w:rsidR="004B0883" w:rsidRDefault="004B0883">
            <w:pPr>
              <w:adjustRightInd w:val="0"/>
              <w:snapToGrid w:val="0"/>
              <w:jc w:val="center"/>
              <w:rPr>
                <w:color w:val="000000"/>
              </w:rPr>
            </w:pPr>
            <w:r>
              <w:rPr>
                <w:color w:val="000000"/>
              </w:rPr>
              <w:t>全资子公司</w:t>
            </w:r>
          </w:p>
        </w:tc>
        <w:tc>
          <w:tcPr>
            <w:tcW w:w="1509" w:type="dxa"/>
            <w:vAlign w:val="center"/>
          </w:tcPr>
          <w:p w14:paraId="23DA076B" w14:textId="77777777" w:rsidR="004B0883" w:rsidRDefault="004B0883">
            <w:pPr>
              <w:adjustRightInd w:val="0"/>
              <w:snapToGrid w:val="0"/>
              <w:jc w:val="right"/>
              <w:rPr>
                <w:color w:val="000000"/>
              </w:rPr>
            </w:pPr>
            <w:r>
              <w:rPr>
                <w:color w:val="000000"/>
              </w:rPr>
              <w:t>100.00%</w:t>
            </w:r>
          </w:p>
        </w:tc>
      </w:tr>
      <w:tr w:rsidR="004B0883" w14:paraId="7263DEC9" w14:textId="77777777">
        <w:trPr>
          <w:trHeight w:val="397"/>
          <w:jc w:val="center"/>
        </w:trPr>
        <w:tc>
          <w:tcPr>
            <w:tcW w:w="898" w:type="dxa"/>
            <w:shd w:val="clear" w:color="auto" w:fill="auto"/>
            <w:vAlign w:val="center"/>
          </w:tcPr>
          <w:p w14:paraId="142DD50F" w14:textId="77777777" w:rsidR="004B0883" w:rsidRDefault="004B0883">
            <w:pPr>
              <w:adjustRightInd w:val="0"/>
              <w:snapToGrid w:val="0"/>
              <w:jc w:val="center"/>
              <w:rPr>
                <w:color w:val="000000"/>
              </w:rPr>
            </w:pPr>
            <w:r>
              <w:rPr>
                <w:rFonts w:hint="eastAsia"/>
                <w:color w:val="000000"/>
              </w:rPr>
              <w:t>7</w:t>
            </w:r>
          </w:p>
        </w:tc>
        <w:tc>
          <w:tcPr>
            <w:tcW w:w="4154" w:type="dxa"/>
            <w:shd w:val="clear" w:color="000000" w:fill="FFFFFF"/>
            <w:vAlign w:val="center"/>
          </w:tcPr>
          <w:p w14:paraId="3D536875" w14:textId="77777777" w:rsidR="004B0883" w:rsidRDefault="004B0883">
            <w:pPr>
              <w:adjustRightInd w:val="0"/>
              <w:snapToGrid w:val="0"/>
              <w:rPr>
                <w:color w:val="000000"/>
              </w:rPr>
            </w:pPr>
            <w:r>
              <w:rPr>
                <w:rFonts w:hint="eastAsia"/>
                <w:color w:val="000000"/>
              </w:rPr>
              <w:t>伟隆</w:t>
            </w:r>
            <w:r>
              <w:rPr>
                <w:color w:val="000000"/>
              </w:rPr>
              <w:t>（香港）</w:t>
            </w:r>
            <w:r>
              <w:rPr>
                <w:rFonts w:hint="eastAsia"/>
                <w:color w:val="000000"/>
              </w:rPr>
              <w:t>实业</w:t>
            </w:r>
            <w:r>
              <w:rPr>
                <w:color w:val="000000"/>
              </w:rPr>
              <w:t>有限公司</w:t>
            </w:r>
          </w:p>
        </w:tc>
        <w:tc>
          <w:tcPr>
            <w:tcW w:w="1846" w:type="dxa"/>
            <w:vAlign w:val="center"/>
          </w:tcPr>
          <w:p w14:paraId="43DB1956" w14:textId="77777777" w:rsidR="004B0883" w:rsidRDefault="004B0883">
            <w:pPr>
              <w:adjustRightInd w:val="0"/>
              <w:snapToGrid w:val="0"/>
              <w:jc w:val="center"/>
              <w:rPr>
                <w:color w:val="000000"/>
              </w:rPr>
            </w:pPr>
            <w:r>
              <w:rPr>
                <w:color w:val="000000"/>
              </w:rPr>
              <w:t>全资子公司</w:t>
            </w:r>
          </w:p>
        </w:tc>
        <w:tc>
          <w:tcPr>
            <w:tcW w:w="1509" w:type="dxa"/>
            <w:vAlign w:val="center"/>
          </w:tcPr>
          <w:p w14:paraId="4767C0FF" w14:textId="77777777" w:rsidR="004B0883" w:rsidRDefault="004B0883">
            <w:pPr>
              <w:adjustRightInd w:val="0"/>
              <w:snapToGrid w:val="0"/>
              <w:jc w:val="right"/>
              <w:rPr>
                <w:color w:val="000000"/>
              </w:rPr>
            </w:pPr>
            <w:r>
              <w:rPr>
                <w:color w:val="000000"/>
              </w:rPr>
              <w:t>100.00%</w:t>
            </w:r>
          </w:p>
        </w:tc>
      </w:tr>
      <w:tr w:rsidR="004B0883" w14:paraId="33A8332D" w14:textId="77777777">
        <w:trPr>
          <w:trHeight w:val="397"/>
          <w:jc w:val="center"/>
        </w:trPr>
        <w:tc>
          <w:tcPr>
            <w:tcW w:w="898" w:type="dxa"/>
            <w:shd w:val="clear" w:color="auto" w:fill="auto"/>
            <w:vAlign w:val="center"/>
          </w:tcPr>
          <w:p w14:paraId="7C66B14A" w14:textId="77777777" w:rsidR="004B0883" w:rsidRDefault="004B0883">
            <w:pPr>
              <w:adjustRightInd w:val="0"/>
              <w:snapToGrid w:val="0"/>
              <w:jc w:val="center"/>
              <w:rPr>
                <w:color w:val="000000"/>
              </w:rPr>
            </w:pPr>
            <w:r>
              <w:rPr>
                <w:rFonts w:hint="eastAsia"/>
                <w:color w:val="000000"/>
              </w:rPr>
              <w:t>8</w:t>
            </w:r>
          </w:p>
        </w:tc>
        <w:tc>
          <w:tcPr>
            <w:tcW w:w="4154" w:type="dxa"/>
            <w:shd w:val="clear" w:color="000000" w:fill="FFFFFF"/>
            <w:vAlign w:val="center"/>
          </w:tcPr>
          <w:p w14:paraId="0AAC4FDC" w14:textId="77777777" w:rsidR="004B0883" w:rsidRDefault="004B0883">
            <w:pPr>
              <w:adjustRightInd w:val="0"/>
              <w:snapToGrid w:val="0"/>
              <w:rPr>
                <w:color w:val="000000"/>
              </w:rPr>
            </w:pPr>
            <w:r>
              <w:rPr>
                <w:color w:val="000000"/>
              </w:rPr>
              <w:t>WEFLO VALVE LLC</w:t>
            </w:r>
          </w:p>
        </w:tc>
        <w:tc>
          <w:tcPr>
            <w:tcW w:w="1846" w:type="dxa"/>
            <w:vAlign w:val="center"/>
          </w:tcPr>
          <w:p w14:paraId="0F8054A9" w14:textId="77777777" w:rsidR="004B0883" w:rsidRDefault="004B0883">
            <w:pPr>
              <w:adjustRightInd w:val="0"/>
              <w:snapToGrid w:val="0"/>
              <w:jc w:val="center"/>
              <w:rPr>
                <w:color w:val="000000"/>
              </w:rPr>
            </w:pPr>
            <w:r>
              <w:rPr>
                <w:color w:val="000000"/>
              </w:rPr>
              <w:t>全资子公司</w:t>
            </w:r>
          </w:p>
        </w:tc>
        <w:tc>
          <w:tcPr>
            <w:tcW w:w="1509" w:type="dxa"/>
            <w:vAlign w:val="center"/>
          </w:tcPr>
          <w:p w14:paraId="493C918A" w14:textId="77777777" w:rsidR="004B0883" w:rsidRDefault="004B0883">
            <w:pPr>
              <w:adjustRightInd w:val="0"/>
              <w:snapToGrid w:val="0"/>
              <w:jc w:val="right"/>
              <w:rPr>
                <w:color w:val="000000"/>
              </w:rPr>
            </w:pPr>
            <w:r>
              <w:rPr>
                <w:color w:val="000000"/>
              </w:rPr>
              <w:t>100.00%</w:t>
            </w:r>
          </w:p>
        </w:tc>
      </w:tr>
    </w:tbl>
    <w:p w14:paraId="56C0093B" w14:textId="77777777" w:rsidR="004B0883" w:rsidRDefault="004B0883">
      <w:pPr>
        <w:pStyle w:val="004"/>
        <w:spacing w:before="120" w:after="120"/>
        <w:ind w:firstLine="482"/>
      </w:pPr>
      <w:r>
        <w:rPr>
          <w:rFonts w:hint="eastAsia"/>
        </w:rPr>
        <w:t>（</w:t>
      </w:r>
      <w:r>
        <w:rPr>
          <w:rFonts w:hint="eastAsia"/>
        </w:rPr>
        <w:t>1</w:t>
      </w:r>
      <w:r>
        <w:rPr>
          <w:rFonts w:hint="eastAsia"/>
        </w:rPr>
        <w:t>）莱州伟隆</w:t>
      </w:r>
    </w:p>
    <w:tbl>
      <w:tblPr>
        <w:tblW w:w="8528"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553"/>
        <w:gridCol w:w="5975"/>
      </w:tblGrid>
      <w:tr w:rsidR="004B0883" w14:paraId="4E838C20" w14:textId="77777777">
        <w:trPr>
          <w:trHeight w:val="397"/>
          <w:jc w:val="center"/>
        </w:trPr>
        <w:tc>
          <w:tcPr>
            <w:tcW w:w="2553" w:type="dxa"/>
            <w:shd w:val="clear" w:color="auto" w:fill="D9D9D9"/>
            <w:vAlign w:val="center"/>
          </w:tcPr>
          <w:p w14:paraId="202F0C01" w14:textId="77777777" w:rsidR="004B0883" w:rsidRDefault="004B0883">
            <w:pPr>
              <w:adjustRightInd w:val="0"/>
              <w:snapToGrid w:val="0"/>
              <w:jc w:val="center"/>
              <w:rPr>
                <w:b/>
                <w:caps/>
                <w:color w:val="000000"/>
                <w:kern w:val="0"/>
              </w:rPr>
            </w:pPr>
            <w:r>
              <w:rPr>
                <w:b/>
                <w:caps/>
                <w:color w:val="000000"/>
                <w:kern w:val="0"/>
              </w:rPr>
              <w:t>公司名称</w:t>
            </w:r>
          </w:p>
        </w:tc>
        <w:tc>
          <w:tcPr>
            <w:tcW w:w="5975" w:type="dxa"/>
            <w:shd w:val="clear" w:color="auto" w:fill="FFFFFF"/>
            <w:vAlign w:val="center"/>
          </w:tcPr>
          <w:p w14:paraId="47EC4799" w14:textId="77777777" w:rsidR="004B0883" w:rsidRDefault="004B0883">
            <w:pPr>
              <w:adjustRightInd w:val="0"/>
              <w:snapToGrid w:val="0"/>
              <w:rPr>
                <w:caps/>
                <w:color w:val="000000"/>
                <w:kern w:val="0"/>
              </w:rPr>
            </w:pPr>
            <w:r>
              <w:rPr>
                <w:rFonts w:ascii="Arial" w:hAnsi="Arial" w:cs="Arial"/>
                <w:sz w:val="20"/>
                <w:szCs w:val="20"/>
              </w:rPr>
              <w:t>莱州伟隆阀门有限公司</w:t>
            </w:r>
          </w:p>
        </w:tc>
      </w:tr>
      <w:tr w:rsidR="004B0883" w14:paraId="531D26AD" w14:textId="77777777">
        <w:trPr>
          <w:trHeight w:val="397"/>
          <w:jc w:val="center"/>
        </w:trPr>
        <w:tc>
          <w:tcPr>
            <w:tcW w:w="2553" w:type="dxa"/>
            <w:shd w:val="clear" w:color="auto" w:fill="D9D9D9"/>
            <w:vAlign w:val="center"/>
          </w:tcPr>
          <w:p w14:paraId="27A395C5" w14:textId="77777777" w:rsidR="004B0883" w:rsidRDefault="004B0883">
            <w:pPr>
              <w:adjustRightInd w:val="0"/>
              <w:snapToGrid w:val="0"/>
              <w:jc w:val="center"/>
              <w:rPr>
                <w:b/>
                <w:caps/>
                <w:color w:val="000000"/>
                <w:kern w:val="0"/>
              </w:rPr>
            </w:pPr>
            <w:r>
              <w:rPr>
                <w:b/>
                <w:caps/>
                <w:color w:val="000000"/>
                <w:kern w:val="0"/>
              </w:rPr>
              <w:t>统一社会信用代码</w:t>
            </w:r>
          </w:p>
        </w:tc>
        <w:tc>
          <w:tcPr>
            <w:tcW w:w="5975" w:type="dxa"/>
            <w:shd w:val="clear" w:color="auto" w:fill="FFFFFF"/>
            <w:vAlign w:val="center"/>
          </w:tcPr>
          <w:p w14:paraId="49B580DB" w14:textId="77777777" w:rsidR="004B0883" w:rsidRDefault="004B0883">
            <w:pPr>
              <w:adjustRightInd w:val="0"/>
              <w:snapToGrid w:val="0"/>
              <w:rPr>
                <w:caps/>
                <w:color w:val="000000"/>
                <w:kern w:val="0"/>
              </w:rPr>
            </w:pPr>
            <w:r>
              <w:rPr>
                <w:caps/>
                <w:color w:val="000000"/>
                <w:kern w:val="0"/>
              </w:rPr>
              <w:t>91370683265856162M</w:t>
            </w:r>
          </w:p>
        </w:tc>
      </w:tr>
      <w:tr w:rsidR="004B0883" w14:paraId="7CF107D1" w14:textId="77777777">
        <w:trPr>
          <w:trHeight w:val="397"/>
          <w:jc w:val="center"/>
        </w:trPr>
        <w:tc>
          <w:tcPr>
            <w:tcW w:w="2553" w:type="dxa"/>
            <w:shd w:val="clear" w:color="auto" w:fill="D9D9D9"/>
            <w:vAlign w:val="center"/>
          </w:tcPr>
          <w:p w14:paraId="2061A1E0" w14:textId="77777777" w:rsidR="004B0883" w:rsidRDefault="004B0883">
            <w:pPr>
              <w:adjustRightInd w:val="0"/>
              <w:snapToGrid w:val="0"/>
              <w:jc w:val="center"/>
              <w:rPr>
                <w:b/>
                <w:caps/>
                <w:color w:val="000000"/>
                <w:kern w:val="0"/>
              </w:rPr>
            </w:pPr>
            <w:r>
              <w:rPr>
                <w:b/>
                <w:caps/>
                <w:color w:val="000000"/>
                <w:kern w:val="0"/>
              </w:rPr>
              <w:t>公司类型</w:t>
            </w:r>
          </w:p>
        </w:tc>
        <w:tc>
          <w:tcPr>
            <w:tcW w:w="5975" w:type="dxa"/>
            <w:shd w:val="clear" w:color="auto" w:fill="FFFFFF"/>
            <w:vAlign w:val="center"/>
          </w:tcPr>
          <w:p w14:paraId="5C8BDED9" w14:textId="77777777" w:rsidR="004B0883" w:rsidRDefault="004B0883">
            <w:pPr>
              <w:adjustRightInd w:val="0"/>
              <w:snapToGrid w:val="0"/>
              <w:rPr>
                <w:caps/>
                <w:color w:val="000000"/>
                <w:kern w:val="0"/>
              </w:rPr>
            </w:pPr>
            <w:r>
              <w:rPr>
                <w:rFonts w:hint="eastAsia"/>
                <w:caps/>
                <w:color w:val="000000"/>
                <w:kern w:val="0"/>
              </w:rPr>
              <w:t>有限责任公司（自然人投资或控股的法人独资）</w:t>
            </w:r>
          </w:p>
        </w:tc>
      </w:tr>
      <w:tr w:rsidR="004B0883" w14:paraId="06D1DB7B" w14:textId="77777777">
        <w:trPr>
          <w:trHeight w:val="397"/>
          <w:jc w:val="center"/>
        </w:trPr>
        <w:tc>
          <w:tcPr>
            <w:tcW w:w="2553" w:type="dxa"/>
            <w:shd w:val="clear" w:color="auto" w:fill="D9D9D9"/>
            <w:vAlign w:val="center"/>
          </w:tcPr>
          <w:p w14:paraId="45C5C6B9" w14:textId="77777777" w:rsidR="004B0883" w:rsidRDefault="004B0883">
            <w:pPr>
              <w:adjustRightInd w:val="0"/>
              <w:snapToGrid w:val="0"/>
              <w:jc w:val="center"/>
              <w:rPr>
                <w:b/>
                <w:caps/>
                <w:color w:val="000000"/>
                <w:kern w:val="0"/>
              </w:rPr>
            </w:pPr>
            <w:r>
              <w:rPr>
                <w:b/>
                <w:caps/>
                <w:color w:val="000000"/>
                <w:kern w:val="0"/>
              </w:rPr>
              <w:t>法定代表人</w:t>
            </w:r>
          </w:p>
        </w:tc>
        <w:tc>
          <w:tcPr>
            <w:tcW w:w="5975" w:type="dxa"/>
            <w:shd w:val="clear" w:color="auto" w:fill="FFFFFF"/>
            <w:vAlign w:val="center"/>
          </w:tcPr>
          <w:p w14:paraId="4F659354" w14:textId="77777777" w:rsidR="004B0883" w:rsidRDefault="004B0883">
            <w:pPr>
              <w:adjustRightInd w:val="0"/>
              <w:snapToGrid w:val="0"/>
              <w:rPr>
                <w:caps/>
                <w:color w:val="000000"/>
                <w:kern w:val="0"/>
              </w:rPr>
            </w:pPr>
            <w:r>
              <w:rPr>
                <w:caps/>
                <w:color w:val="000000"/>
                <w:kern w:val="0"/>
              </w:rPr>
              <w:t>范庆伟</w:t>
            </w:r>
          </w:p>
        </w:tc>
      </w:tr>
      <w:tr w:rsidR="004B0883" w14:paraId="61EBC387" w14:textId="77777777">
        <w:trPr>
          <w:trHeight w:val="397"/>
          <w:jc w:val="center"/>
        </w:trPr>
        <w:tc>
          <w:tcPr>
            <w:tcW w:w="2553" w:type="dxa"/>
            <w:shd w:val="clear" w:color="auto" w:fill="D9D9D9"/>
            <w:vAlign w:val="center"/>
          </w:tcPr>
          <w:p w14:paraId="3BDDA89E" w14:textId="77777777" w:rsidR="004B0883" w:rsidRDefault="004B0883">
            <w:pPr>
              <w:adjustRightInd w:val="0"/>
              <w:snapToGrid w:val="0"/>
              <w:jc w:val="center"/>
              <w:rPr>
                <w:b/>
                <w:caps/>
                <w:color w:val="000000"/>
                <w:kern w:val="0"/>
              </w:rPr>
            </w:pPr>
            <w:r>
              <w:rPr>
                <w:b/>
                <w:caps/>
                <w:color w:val="000000"/>
                <w:kern w:val="0"/>
              </w:rPr>
              <w:t>注册资本</w:t>
            </w:r>
          </w:p>
        </w:tc>
        <w:tc>
          <w:tcPr>
            <w:tcW w:w="5975" w:type="dxa"/>
            <w:shd w:val="clear" w:color="auto" w:fill="FFFFFF"/>
            <w:vAlign w:val="center"/>
          </w:tcPr>
          <w:p w14:paraId="419A924F" w14:textId="77777777" w:rsidR="004B0883" w:rsidRDefault="004B0883">
            <w:pPr>
              <w:adjustRightInd w:val="0"/>
              <w:snapToGrid w:val="0"/>
              <w:rPr>
                <w:caps/>
                <w:color w:val="000000"/>
                <w:kern w:val="0"/>
              </w:rPr>
            </w:pPr>
            <w:r>
              <w:rPr>
                <w:rFonts w:hint="eastAsia"/>
                <w:caps/>
                <w:color w:val="000000"/>
                <w:kern w:val="0"/>
              </w:rPr>
              <w:t>8</w:t>
            </w:r>
            <w:r>
              <w:rPr>
                <w:caps/>
                <w:color w:val="000000"/>
                <w:kern w:val="0"/>
              </w:rPr>
              <w:t>,</w:t>
            </w:r>
            <w:r>
              <w:rPr>
                <w:rFonts w:hint="eastAsia"/>
                <w:caps/>
                <w:color w:val="000000"/>
                <w:kern w:val="0"/>
              </w:rPr>
              <w:t>000</w:t>
            </w:r>
            <w:r>
              <w:rPr>
                <w:caps/>
                <w:color w:val="000000"/>
                <w:kern w:val="0"/>
              </w:rPr>
              <w:t>.00</w:t>
            </w:r>
            <w:r>
              <w:rPr>
                <w:rFonts w:hint="eastAsia"/>
                <w:caps/>
                <w:color w:val="000000"/>
                <w:kern w:val="0"/>
              </w:rPr>
              <w:t>万元</w:t>
            </w:r>
          </w:p>
        </w:tc>
      </w:tr>
      <w:tr w:rsidR="004B0883" w14:paraId="2D0748A1" w14:textId="77777777">
        <w:trPr>
          <w:trHeight w:val="397"/>
          <w:jc w:val="center"/>
        </w:trPr>
        <w:tc>
          <w:tcPr>
            <w:tcW w:w="2553" w:type="dxa"/>
            <w:shd w:val="clear" w:color="auto" w:fill="D9D9D9"/>
            <w:vAlign w:val="center"/>
          </w:tcPr>
          <w:p w14:paraId="2CB90249" w14:textId="77777777" w:rsidR="004B0883" w:rsidRDefault="004B0883">
            <w:pPr>
              <w:adjustRightInd w:val="0"/>
              <w:snapToGrid w:val="0"/>
              <w:jc w:val="center"/>
              <w:rPr>
                <w:b/>
                <w:caps/>
                <w:color w:val="000000"/>
                <w:kern w:val="0"/>
              </w:rPr>
            </w:pPr>
            <w:r>
              <w:rPr>
                <w:b/>
                <w:caps/>
                <w:color w:val="000000"/>
                <w:kern w:val="0"/>
              </w:rPr>
              <w:t>注册地址</w:t>
            </w:r>
          </w:p>
        </w:tc>
        <w:tc>
          <w:tcPr>
            <w:tcW w:w="5975" w:type="dxa"/>
            <w:shd w:val="clear" w:color="auto" w:fill="FFFFFF"/>
            <w:vAlign w:val="center"/>
          </w:tcPr>
          <w:p w14:paraId="5099881B" w14:textId="77777777" w:rsidR="004B0883" w:rsidRDefault="004B0883">
            <w:pPr>
              <w:adjustRightInd w:val="0"/>
              <w:snapToGrid w:val="0"/>
              <w:rPr>
                <w:caps/>
                <w:color w:val="000000"/>
                <w:kern w:val="0"/>
              </w:rPr>
            </w:pPr>
            <w:r>
              <w:rPr>
                <w:rFonts w:hint="eastAsia"/>
                <w:caps/>
                <w:color w:val="000000"/>
                <w:kern w:val="0"/>
              </w:rPr>
              <w:t>山东省莱州市沙河镇海郑村</w:t>
            </w:r>
          </w:p>
        </w:tc>
      </w:tr>
      <w:tr w:rsidR="004B0883" w14:paraId="56D47242" w14:textId="77777777">
        <w:trPr>
          <w:trHeight w:val="397"/>
          <w:jc w:val="center"/>
        </w:trPr>
        <w:tc>
          <w:tcPr>
            <w:tcW w:w="2553" w:type="dxa"/>
            <w:shd w:val="clear" w:color="auto" w:fill="D9D9D9"/>
            <w:vAlign w:val="center"/>
          </w:tcPr>
          <w:p w14:paraId="0B7A13A5" w14:textId="77777777" w:rsidR="004B0883" w:rsidRDefault="004B0883">
            <w:pPr>
              <w:adjustRightInd w:val="0"/>
              <w:snapToGrid w:val="0"/>
              <w:jc w:val="center"/>
              <w:rPr>
                <w:b/>
                <w:caps/>
                <w:color w:val="000000"/>
                <w:kern w:val="0"/>
              </w:rPr>
            </w:pPr>
            <w:r>
              <w:rPr>
                <w:b/>
                <w:caps/>
                <w:color w:val="000000"/>
                <w:kern w:val="0"/>
              </w:rPr>
              <w:t>成立日期</w:t>
            </w:r>
          </w:p>
        </w:tc>
        <w:tc>
          <w:tcPr>
            <w:tcW w:w="5975" w:type="dxa"/>
            <w:shd w:val="clear" w:color="auto" w:fill="FFFFFF"/>
            <w:vAlign w:val="center"/>
          </w:tcPr>
          <w:p w14:paraId="65505B89" w14:textId="77777777" w:rsidR="004B0883" w:rsidRDefault="004B0883">
            <w:pPr>
              <w:adjustRightInd w:val="0"/>
              <w:snapToGrid w:val="0"/>
              <w:rPr>
                <w:caps/>
                <w:color w:val="000000"/>
                <w:kern w:val="0"/>
              </w:rPr>
            </w:pPr>
            <w:r>
              <w:rPr>
                <w:caps/>
                <w:color w:val="000000"/>
                <w:kern w:val="0"/>
              </w:rPr>
              <w:t>2002</w:t>
            </w:r>
            <w:r>
              <w:rPr>
                <w:rFonts w:hint="eastAsia"/>
                <w:caps/>
                <w:color w:val="000000"/>
                <w:kern w:val="0"/>
              </w:rPr>
              <w:t>年</w:t>
            </w:r>
            <w:r>
              <w:rPr>
                <w:caps/>
                <w:color w:val="000000"/>
                <w:kern w:val="0"/>
              </w:rPr>
              <w:t>6</w:t>
            </w:r>
            <w:r>
              <w:rPr>
                <w:rFonts w:hint="eastAsia"/>
                <w:caps/>
                <w:color w:val="000000"/>
                <w:kern w:val="0"/>
              </w:rPr>
              <w:t>月</w:t>
            </w:r>
            <w:r>
              <w:rPr>
                <w:caps/>
                <w:color w:val="000000"/>
                <w:kern w:val="0"/>
              </w:rPr>
              <w:t>5</w:t>
            </w:r>
            <w:r>
              <w:rPr>
                <w:rFonts w:hint="eastAsia"/>
                <w:caps/>
                <w:color w:val="000000"/>
                <w:kern w:val="0"/>
              </w:rPr>
              <w:t>日</w:t>
            </w:r>
          </w:p>
        </w:tc>
      </w:tr>
      <w:tr w:rsidR="004B0883" w14:paraId="6970331B" w14:textId="77777777">
        <w:trPr>
          <w:trHeight w:val="397"/>
          <w:jc w:val="center"/>
        </w:trPr>
        <w:tc>
          <w:tcPr>
            <w:tcW w:w="2553" w:type="dxa"/>
            <w:shd w:val="clear" w:color="auto" w:fill="D9D9D9"/>
            <w:vAlign w:val="center"/>
          </w:tcPr>
          <w:p w14:paraId="2F301F80" w14:textId="77777777" w:rsidR="004B0883" w:rsidRDefault="004B0883">
            <w:pPr>
              <w:adjustRightInd w:val="0"/>
              <w:snapToGrid w:val="0"/>
              <w:jc w:val="center"/>
              <w:rPr>
                <w:b/>
                <w:caps/>
                <w:color w:val="000000"/>
                <w:kern w:val="0"/>
              </w:rPr>
            </w:pPr>
            <w:r>
              <w:rPr>
                <w:b/>
                <w:caps/>
                <w:color w:val="000000"/>
                <w:kern w:val="0"/>
              </w:rPr>
              <w:t>营业期限</w:t>
            </w:r>
          </w:p>
        </w:tc>
        <w:tc>
          <w:tcPr>
            <w:tcW w:w="5975" w:type="dxa"/>
            <w:shd w:val="clear" w:color="auto" w:fill="FFFFFF"/>
            <w:vAlign w:val="center"/>
          </w:tcPr>
          <w:p w14:paraId="64353CF3" w14:textId="77777777" w:rsidR="004B0883" w:rsidRDefault="004B0883">
            <w:pPr>
              <w:adjustRightInd w:val="0"/>
              <w:snapToGrid w:val="0"/>
              <w:rPr>
                <w:caps/>
                <w:color w:val="000000"/>
                <w:kern w:val="0"/>
              </w:rPr>
            </w:pPr>
            <w:r>
              <w:rPr>
                <w:caps/>
                <w:color w:val="000000"/>
                <w:kern w:val="0"/>
              </w:rPr>
              <w:t>2002</w:t>
            </w:r>
            <w:r>
              <w:rPr>
                <w:rFonts w:hint="eastAsia"/>
                <w:caps/>
                <w:color w:val="000000"/>
                <w:kern w:val="0"/>
              </w:rPr>
              <w:t>年</w:t>
            </w:r>
            <w:r>
              <w:rPr>
                <w:caps/>
                <w:color w:val="000000"/>
                <w:kern w:val="0"/>
              </w:rPr>
              <w:t>6</w:t>
            </w:r>
            <w:r>
              <w:rPr>
                <w:rFonts w:hint="eastAsia"/>
                <w:caps/>
                <w:color w:val="000000"/>
                <w:kern w:val="0"/>
              </w:rPr>
              <w:t>月</w:t>
            </w:r>
            <w:r>
              <w:rPr>
                <w:caps/>
                <w:color w:val="000000"/>
                <w:kern w:val="0"/>
              </w:rPr>
              <w:t>5</w:t>
            </w:r>
            <w:r>
              <w:rPr>
                <w:rFonts w:hint="eastAsia"/>
                <w:caps/>
                <w:color w:val="000000"/>
                <w:kern w:val="0"/>
              </w:rPr>
              <w:t>日至无固定期限</w:t>
            </w:r>
          </w:p>
        </w:tc>
      </w:tr>
      <w:tr w:rsidR="004B0883" w14:paraId="26E54AE1" w14:textId="77777777">
        <w:trPr>
          <w:trHeight w:val="397"/>
          <w:jc w:val="center"/>
        </w:trPr>
        <w:tc>
          <w:tcPr>
            <w:tcW w:w="2553" w:type="dxa"/>
            <w:shd w:val="clear" w:color="auto" w:fill="D9D9D9"/>
            <w:vAlign w:val="center"/>
          </w:tcPr>
          <w:p w14:paraId="1065842E" w14:textId="77777777" w:rsidR="004B0883" w:rsidRDefault="004B0883">
            <w:pPr>
              <w:adjustRightInd w:val="0"/>
              <w:snapToGrid w:val="0"/>
              <w:jc w:val="center"/>
              <w:rPr>
                <w:b/>
                <w:caps/>
                <w:color w:val="000000"/>
                <w:kern w:val="0"/>
              </w:rPr>
            </w:pPr>
            <w:r>
              <w:rPr>
                <w:b/>
                <w:caps/>
                <w:color w:val="000000"/>
                <w:kern w:val="0"/>
              </w:rPr>
              <w:t>经营范围</w:t>
            </w:r>
          </w:p>
        </w:tc>
        <w:tc>
          <w:tcPr>
            <w:tcW w:w="5975" w:type="dxa"/>
            <w:shd w:val="clear" w:color="auto" w:fill="FFFFFF"/>
            <w:vAlign w:val="center"/>
          </w:tcPr>
          <w:p w14:paraId="218C855F" w14:textId="77777777" w:rsidR="004B0883" w:rsidRDefault="004B0883">
            <w:pPr>
              <w:adjustRightInd w:val="0"/>
              <w:snapToGrid w:val="0"/>
              <w:rPr>
                <w:caps/>
                <w:color w:val="000000"/>
                <w:kern w:val="0"/>
              </w:rPr>
            </w:pPr>
            <w:r>
              <w:rPr>
                <w:rFonts w:hint="eastAsia"/>
                <w:caps/>
                <w:color w:val="000000"/>
                <w:kern w:val="0"/>
              </w:rPr>
              <w:t>一般项目：普通阀门和旋塞制造（不含特种设备制造）；阀门和旋塞销售；汽车零部件及配件制造；汽车零配件批发；农林牧渔机械配件制造；农林牧渔机械配件销售；机械零件、零部件加工；机械零件、零部件销售；黑色金属铸造；货物进出口。（除依法须经批准的项目外，凭营业执照依法自主开展经营活动）</w:t>
            </w:r>
          </w:p>
        </w:tc>
      </w:tr>
    </w:tbl>
    <w:p w14:paraId="45766A83" w14:textId="77777777" w:rsidR="004B0883" w:rsidRDefault="004B0883">
      <w:pPr>
        <w:pStyle w:val="004"/>
        <w:spacing w:before="120" w:after="120"/>
        <w:ind w:firstLine="482"/>
      </w:pPr>
      <w:r>
        <w:rPr>
          <w:rFonts w:hint="eastAsia"/>
        </w:rPr>
        <w:t>（</w:t>
      </w:r>
      <w:r>
        <w:rPr>
          <w:rFonts w:hint="eastAsia"/>
        </w:rPr>
        <w:t>2</w:t>
      </w:r>
      <w:r>
        <w:rPr>
          <w:rFonts w:hint="eastAsia"/>
        </w:rPr>
        <w:t>）海南伟隆</w:t>
      </w:r>
    </w:p>
    <w:tbl>
      <w:tblPr>
        <w:tblW w:w="8528"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553"/>
        <w:gridCol w:w="5975"/>
      </w:tblGrid>
      <w:tr w:rsidR="004B0883" w14:paraId="5FB334F4" w14:textId="77777777">
        <w:trPr>
          <w:trHeight w:val="397"/>
          <w:jc w:val="center"/>
        </w:trPr>
        <w:tc>
          <w:tcPr>
            <w:tcW w:w="2553" w:type="dxa"/>
            <w:shd w:val="clear" w:color="auto" w:fill="D9D9D9"/>
            <w:vAlign w:val="center"/>
          </w:tcPr>
          <w:p w14:paraId="6AE0F615" w14:textId="77777777" w:rsidR="004B0883" w:rsidRDefault="004B0883">
            <w:pPr>
              <w:adjustRightInd w:val="0"/>
              <w:snapToGrid w:val="0"/>
              <w:jc w:val="center"/>
              <w:rPr>
                <w:b/>
                <w:caps/>
                <w:color w:val="000000"/>
                <w:kern w:val="0"/>
              </w:rPr>
            </w:pPr>
            <w:r>
              <w:rPr>
                <w:b/>
                <w:caps/>
                <w:color w:val="000000"/>
                <w:kern w:val="0"/>
              </w:rPr>
              <w:t>公司名称</w:t>
            </w:r>
          </w:p>
        </w:tc>
        <w:tc>
          <w:tcPr>
            <w:tcW w:w="5975" w:type="dxa"/>
            <w:shd w:val="clear" w:color="auto" w:fill="FFFFFF"/>
            <w:vAlign w:val="center"/>
          </w:tcPr>
          <w:p w14:paraId="534D834E" w14:textId="77777777" w:rsidR="004B0883" w:rsidRDefault="004B0883">
            <w:pPr>
              <w:adjustRightInd w:val="0"/>
              <w:snapToGrid w:val="0"/>
              <w:rPr>
                <w:caps/>
                <w:color w:val="000000"/>
                <w:kern w:val="0"/>
              </w:rPr>
            </w:pPr>
            <w:r>
              <w:rPr>
                <w:rFonts w:ascii="Arial" w:hAnsi="Arial" w:cs="Arial"/>
                <w:sz w:val="20"/>
                <w:szCs w:val="20"/>
              </w:rPr>
              <w:t>海南伟隆投资有限公司</w:t>
            </w:r>
          </w:p>
        </w:tc>
      </w:tr>
      <w:tr w:rsidR="004B0883" w14:paraId="0161BF17" w14:textId="77777777">
        <w:trPr>
          <w:trHeight w:val="397"/>
          <w:jc w:val="center"/>
        </w:trPr>
        <w:tc>
          <w:tcPr>
            <w:tcW w:w="2553" w:type="dxa"/>
            <w:shd w:val="clear" w:color="auto" w:fill="D9D9D9"/>
            <w:vAlign w:val="center"/>
          </w:tcPr>
          <w:p w14:paraId="79036AE0" w14:textId="77777777" w:rsidR="004B0883" w:rsidRDefault="004B0883">
            <w:pPr>
              <w:adjustRightInd w:val="0"/>
              <w:snapToGrid w:val="0"/>
              <w:jc w:val="center"/>
              <w:rPr>
                <w:b/>
                <w:caps/>
                <w:color w:val="000000"/>
                <w:kern w:val="0"/>
              </w:rPr>
            </w:pPr>
            <w:r>
              <w:rPr>
                <w:b/>
                <w:caps/>
                <w:color w:val="000000"/>
                <w:kern w:val="0"/>
              </w:rPr>
              <w:t>统一社会信用代码</w:t>
            </w:r>
          </w:p>
        </w:tc>
        <w:tc>
          <w:tcPr>
            <w:tcW w:w="5975" w:type="dxa"/>
            <w:shd w:val="clear" w:color="auto" w:fill="FFFFFF"/>
            <w:vAlign w:val="center"/>
          </w:tcPr>
          <w:p w14:paraId="13280558" w14:textId="77777777" w:rsidR="004B0883" w:rsidRDefault="004B0883">
            <w:pPr>
              <w:adjustRightInd w:val="0"/>
              <w:snapToGrid w:val="0"/>
              <w:rPr>
                <w:caps/>
                <w:color w:val="000000"/>
                <w:kern w:val="0"/>
                <w:highlight w:val="yellow"/>
              </w:rPr>
            </w:pPr>
            <w:r>
              <w:rPr>
                <w:caps/>
                <w:color w:val="000000"/>
                <w:kern w:val="0"/>
              </w:rPr>
              <w:t>91460000MA7GW0TP8U</w:t>
            </w:r>
          </w:p>
        </w:tc>
      </w:tr>
      <w:tr w:rsidR="004B0883" w14:paraId="18595A20" w14:textId="77777777">
        <w:trPr>
          <w:trHeight w:val="397"/>
          <w:jc w:val="center"/>
        </w:trPr>
        <w:tc>
          <w:tcPr>
            <w:tcW w:w="2553" w:type="dxa"/>
            <w:shd w:val="clear" w:color="auto" w:fill="D9D9D9"/>
            <w:vAlign w:val="center"/>
          </w:tcPr>
          <w:p w14:paraId="1DEC78B9" w14:textId="77777777" w:rsidR="004B0883" w:rsidRDefault="004B0883">
            <w:pPr>
              <w:adjustRightInd w:val="0"/>
              <w:snapToGrid w:val="0"/>
              <w:jc w:val="center"/>
              <w:rPr>
                <w:b/>
                <w:caps/>
                <w:color w:val="000000"/>
                <w:kern w:val="0"/>
              </w:rPr>
            </w:pPr>
            <w:r>
              <w:rPr>
                <w:b/>
                <w:caps/>
                <w:color w:val="000000"/>
                <w:kern w:val="0"/>
              </w:rPr>
              <w:t>公司类型</w:t>
            </w:r>
          </w:p>
        </w:tc>
        <w:tc>
          <w:tcPr>
            <w:tcW w:w="5975" w:type="dxa"/>
            <w:shd w:val="clear" w:color="auto" w:fill="FFFFFF"/>
            <w:vAlign w:val="center"/>
          </w:tcPr>
          <w:p w14:paraId="13E020DC" w14:textId="77777777" w:rsidR="004B0883" w:rsidRDefault="004B0883">
            <w:pPr>
              <w:adjustRightInd w:val="0"/>
              <w:snapToGrid w:val="0"/>
              <w:rPr>
                <w:caps/>
                <w:color w:val="000000"/>
                <w:kern w:val="0"/>
                <w:highlight w:val="yellow"/>
              </w:rPr>
            </w:pPr>
            <w:r>
              <w:rPr>
                <w:rFonts w:hint="eastAsia"/>
                <w:caps/>
                <w:color w:val="000000"/>
                <w:kern w:val="0"/>
              </w:rPr>
              <w:t>其他有限责任公司</w:t>
            </w:r>
          </w:p>
        </w:tc>
      </w:tr>
      <w:tr w:rsidR="004B0883" w14:paraId="47F8F466" w14:textId="77777777">
        <w:trPr>
          <w:trHeight w:val="397"/>
          <w:jc w:val="center"/>
        </w:trPr>
        <w:tc>
          <w:tcPr>
            <w:tcW w:w="2553" w:type="dxa"/>
            <w:shd w:val="clear" w:color="auto" w:fill="D9D9D9"/>
            <w:vAlign w:val="center"/>
          </w:tcPr>
          <w:p w14:paraId="36E33051" w14:textId="77777777" w:rsidR="004B0883" w:rsidRDefault="004B0883">
            <w:pPr>
              <w:adjustRightInd w:val="0"/>
              <w:snapToGrid w:val="0"/>
              <w:jc w:val="center"/>
              <w:rPr>
                <w:b/>
                <w:caps/>
                <w:color w:val="000000"/>
                <w:kern w:val="0"/>
              </w:rPr>
            </w:pPr>
            <w:r>
              <w:rPr>
                <w:b/>
                <w:caps/>
                <w:color w:val="000000"/>
                <w:kern w:val="0"/>
              </w:rPr>
              <w:t>法定代表人</w:t>
            </w:r>
          </w:p>
        </w:tc>
        <w:tc>
          <w:tcPr>
            <w:tcW w:w="5975" w:type="dxa"/>
            <w:shd w:val="clear" w:color="auto" w:fill="FFFFFF"/>
            <w:vAlign w:val="center"/>
          </w:tcPr>
          <w:p w14:paraId="44C1557A" w14:textId="77777777" w:rsidR="004B0883" w:rsidRDefault="004B0883">
            <w:pPr>
              <w:adjustRightInd w:val="0"/>
              <w:snapToGrid w:val="0"/>
              <w:rPr>
                <w:caps/>
                <w:color w:val="000000"/>
                <w:kern w:val="0"/>
                <w:highlight w:val="yellow"/>
              </w:rPr>
            </w:pPr>
            <w:r>
              <w:rPr>
                <w:rFonts w:hint="eastAsia"/>
                <w:caps/>
                <w:color w:val="000000"/>
                <w:kern w:val="0"/>
              </w:rPr>
              <w:t>李亚军</w:t>
            </w:r>
          </w:p>
        </w:tc>
      </w:tr>
      <w:tr w:rsidR="004B0883" w14:paraId="45939B75" w14:textId="77777777">
        <w:trPr>
          <w:trHeight w:val="397"/>
          <w:jc w:val="center"/>
        </w:trPr>
        <w:tc>
          <w:tcPr>
            <w:tcW w:w="2553" w:type="dxa"/>
            <w:shd w:val="clear" w:color="auto" w:fill="D9D9D9"/>
            <w:vAlign w:val="center"/>
          </w:tcPr>
          <w:p w14:paraId="34C4C70B" w14:textId="77777777" w:rsidR="004B0883" w:rsidRDefault="004B0883">
            <w:pPr>
              <w:adjustRightInd w:val="0"/>
              <w:snapToGrid w:val="0"/>
              <w:jc w:val="center"/>
              <w:rPr>
                <w:b/>
                <w:caps/>
                <w:color w:val="000000"/>
                <w:kern w:val="0"/>
              </w:rPr>
            </w:pPr>
            <w:r>
              <w:rPr>
                <w:b/>
                <w:caps/>
                <w:color w:val="000000"/>
                <w:kern w:val="0"/>
              </w:rPr>
              <w:t>注册资本</w:t>
            </w:r>
          </w:p>
        </w:tc>
        <w:tc>
          <w:tcPr>
            <w:tcW w:w="5975" w:type="dxa"/>
            <w:shd w:val="clear" w:color="auto" w:fill="FFFFFF"/>
            <w:vAlign w:val="center"/>
          </w:tcPr>
          <w:p w14:paraId="7C14D09A" w14:textId="77777777" w:rsidR="004B0883" w:rsidRDefault="004B0883">
            <w:pPr>
              <w:adjustRightInd w:val="0"/>
              <w:snapToGrid w:val="0"/>
              <w:rPr>
                <w:caps/>
                <w:color w:val="000000"/>
                <w:kern w:val="0"/>
                <w:highlight w:val="yellow"/>
              </w:rPr>
            </w:pPr>
            <w:r>
              <w:rPr>
                <w:rFonts w:hint="eastAsia"/>
                <w:caps/>
                <w:color w:val="000000"/>
                <w:kern w:val="0"/>
              </w:rPr>
              <w:t>10</w:t>
            </w:r>
            <w:r>
              <w:rPr>
                <w:caps/>
                <w:color w:val="000000"/>
                <w:kern w:val="0"/>
              </w:rPr>
              <w:t>,</w:t>
            </w:r>
            <w:r>
              <w:rPr>
                <w:rFonts w:hint="eastAsia"/>
                <w:caps/>
                <w:color w:val="000000"/>
                <w:kern w:val="0"/>
              </w:rPr>
              <w:t>000</w:t>
            </w:r>
            <w:r>
              <w:rPr>
                <w:caps/>
                <w:color w:val="000000"/>
                <w:kern w:val="0"/>
              </w:rPr>
              <w:t>.00</w:t>
            </w:r>
            <w:r>
              <w:rPr>
                <w:rFonts w:hint="eastAsia"/>
                <w:caps/>
                <w:color w:val="000000"/>
                <w:kern w:val="0"/>
              </w:rPr>
              <w:t>万元</w:t>
            </w:r>
          </w:p>
        </w:tc>
      </w:tr>
      <w:tr w:rsidR="004B0883" w14:paraId="0D5132B7" w14:textId="77777777">
        <w:trPr>
          <w:trHeight w:val="397"/>
          <w:jc w:val="center"/>
        </w:trPr>
        <w:tc>
          <w:tcPr>
            <w:tcW w:w="2553" w:type="dxa"/>
            <w:shd w:val="clear" w:color="auto" w:fill="D9D9D9"/>
            <w:vAlign w:val="center"/>
          </w:tcPr>
          <w:p w14:paraId="4ABFA68E" w14:textId="77777777" w:rsidR="004B0883" w:rsidRDefault="004B0883">
            <w:pPr>
              <w:adjustRightInd w:val="0"/>
              <w:snapToGrid w:val="0"/>
              <w:jc w:val="center"/>
              <w:rPr>
                <w:b/>
                <w:caps/>
                <w:color w:val="000000"/>
                <w:kern w:val="0"/>
              </w:rPr>
            </w:pPr>
            <w:r>
              <w:rPr>
                <w:b/>
                <w:caps/>
                <w:color w:val="000000"/>
                <w:kern w:val="0"/>
              </w:rPr>
              <w:t>注册地址</w:t>
            </w:r>
          </w:p>
        </w:tc>
        <w:tc>
          <w:tcPr>
            <w:tcW w:w="5975" w:type="dxa"/>
            <w:shd w:val="clear" w:color="auto" w:fill="FFFFFF"/>
            <w:vAlign w:val="center"/>
          </w:tcPr>
          <w:p w14:paraId="35656144" w14:textId="77777777" w:rsidR="004B0883" w:rsidRDefault="004B0883">
            <w:pPr>
              <w:adjustRightInd w:val="0"/>
              <w:snapToGrid w:val="0"/>
              <w:rPr>
                <w:caps/>
                <w:color w:val="000000"/>
                <w:kern w:val="0"/>
                <w:highlight w:val="yellow"/>
              </w:rPr>
            </w:pPr>
            <w:r>
              <w:rPr>
                <w:rFonts w:hint="eastAsia"/>
                <w:caps/>
                <w:color w:val="000000"/>
                <w:kern w:val="0"/>
              </w:rPr>
              <w:t>海南省澄迈县老城镇高新技术产业示范区海南生态软件园孵化楼五楼</w:t>
            </w:r>
            <w:r>
              <w:rPr>
                <w:rFonts w:hint="eastAsia"/>
                <w:caps/>
                <w:color w:val="000000"/>
                <w:kern w:val="0"/>
              </w:rPr>
              <w:t>1001</w:t>
            </w:r>
            <w:r>
              <w:rPr>
                <w:rFonts w:hint="eastAsia"/>
                <w:caps/>
                <w:color w:val="000000"/>
                <w:kern w:val="0"/>
              </w:rPr>
              <w:t>室</w:t>
            </w:r>
          </w:p>
        </w:tc>
      </w:tr>
      <w:tr w:rsidR="004B0883" w14:paraId="7F5A2104" w14:textId="77777777">
        <w:trPr>
          <w:trHeight w:val="397"/>
          <w:jc w:val="center"/>
        </w:trPr>
        <w:tc>
          <w:tcPr>
            <w:tcW w:w="2553" w:type="dxa"/>
            <w:shd w:val="clear" w:color="auto" w:fill="D9D9D9"/>
            <w:vAlign w:val="center"/>
          </w:tcPr>
          <w:p w14:paraId="7F13551E" w14:textId="77777777" w:rsidR="004B0883" w:rsidRDefault="004B0883">
            <w:pPr>
              <w:adjustRightInd w:val="0"/>
              <w:snapToGrid w:val="0"/>
              <w:jc w:val="center"/>
              <w:rPr>
                <w:b/>
                <w:caps/>
                <w:color w:val="000000"/>
                <w:kern w:val="0"/>
              </w:rPr>
            </w:pPr>
            <w:r>
              <w:rPr>
                <w:b/>
                <w:caps/>
                <w:color w:val="000000"/>
                <w:kern w:val="0"/>
              </w:rPr>
              <w:t>成立日期</w:t>
            </w:r>
          </w:p>
        </w:tc>
        <w:tc>
          <w:tcPr>
            <w:tcW w:w="5975" w:type="dxa"/>
            <w:shd w:val="clear" w:color="auto" w:fill="FFFFFF"/>
            <w:vAlign w:val="center"/>
          </w:tcPr>
          <w:p w14:paraId="23B55A69" w14:textId="77777777" w:rsidR="004B0883" w:rsidRDefault="004B0883">
            <w:pPr>
              <w:adjustRightInd w:val="0"/>
              <w:snapToGrid w:val="0"/>
              <w:rPr>
                <w:caps/>
                <w:color w:val="000000"/>
                <w:kern w:val="0"/>
                <w:highlight w:val="yellow"/>
              </w:rPr>
            </w:pPr>
            <w:r>
              <w:rPr>
                <w:caps/>
                <w:color w:val="000000"/>
                <w:kern w:val="0"/>
              </w:rPr>
              <w:t>2022</w:t>
            </w:r>
            <w:r>
              <w:rPr>
                <w:rFonts w:hint="eastAsia"/>
                <w:caps/>
                <w:color w:val="000000"/>
                <w:kern w:val="0"/>
              </w:rPr>
              <w:t>年</w:t>
            </w:r>
            <w:r>
              <w:rPr>
                <w:caps/>
                <w:color w:val="000000"/>
                <w:kern w:val="0"/>
              </w:rPr>
              <w:t>1</w:t>
            </w:r>
            <w:r>
              <w:rPr>
                <w:rFonts w:hint="eastAsia"/>
                <w:caps/>
                <w:color w:val="000000"/>
                <w:kern w:val="0"/>
              </w:rPr>
              <w:t>月</w:t>
            </w:r>
            <w:r>
              <w:rPr>
                <w:caps/>
                <w:color w:val="000000"/>
                <w:kern w:val="0"/>
              </w:rPr>
              <w:t>21</w:t>
            </w:r>
            <w:r>
              <w:rPr>
                <w:rFonts w:hint="eastAsia"/>
                <w:caps/>
                <w:color w:val="000000"/>
                <w:kern w:val="0"/>
              </w:rPr>
              <w:t>日</w:t>
            </w:r>
          </w:p>
        </w:tc>
      </w:tr>
      <w:tr w:rsidR="004B0883" w14:paraId="4CE459D3" w14:textId="77777777">
        <w:trPr>
          <w:trHeight w:val="397"/>
          <w:jc w:val="center"/>
        </w:trPr>
        <w:tc>
          <w:tcPr>
            <w:tcW w:w="2553" w:type="dxa"/>
            <w:shd w:val="clear" w:color="auto" w:fill="D9D9D9"/>
            <w:vAlign w:val="center"/>
          </w:tcPr>
          <w:p w14:paraId="3FB1A378" w14:textId="77777777" w:rsidR="004B0883" w:rsidRDefault="004B0883">
            <w:pPr>
              <w:adjustRightInd w:val="0"/>
              <w:snapToGrid w:val="0"/>
              <w:jc w:val="center"/>
              <w:rPr>
                <w:b/>
                <w:caps/>
                <w:color w:val="000000"/>
                <w:kern w:val="0"/>
              </w:rPr>
            </w:pPr>
            <w:r>
              <w:rPr>
                <w:b/>
                <w:caps/>
                <w:color w:val="000000"/>
                <w:kern w:val="0"/>
              </w:rPr>
              <w:t>营业期限</w:t>
            </w:r>
          </w:p>
        </w:tc>
        <w:tc>
          <w:tcPr>
            <w:tcW w:w="5975" w:type="dxa"/>
            <w:shd w:val="clear" w:color="auto" w:fill="FFFFFF"/>
            <w:vAlign w:val="center"/>
          </w:tcPr>
          <w:p w14:paraId="1CD906BE" w14:textId="77777777" w:rsidR="004B0883" w:rsidRDefault="004B0883">
            <w:pPr>
              <w:adjustRightInd w:val="0"/>
              <w:snapToGrid w:val="0"/>
              <w:rPr>
                <w:caps/>
                <w:color w:val="000000"/>
                <w:kern w:val="0"/>
                <w:highlight w:val="yellow"/>
              </w:rPr>
            </w:pPr>
            <w:r>
              <w:rPr>
                <w:rFonts w:hint="eastAsia"/>
                <w:caps/>
                <w:color w:val="000000"/>
                <w:kern w:val="0"/>
              </w:rPr>
              <w:t>2022</w:t>
            </w:r>
            <w:r>
              <w:rPr>
                <w:rFonts w:hint="eastAsia"/>
                <w:caps/>
                <w:color w:val="000000"/>
                <w:kern w:val="0"/>
              </w:rPr>
              <w:t>年</w:t>
            </w:r>
            <w:r>
              <w:rPr>
                <w:rFonts w:hint="eastAsia"/>
                <w:caps/>
                <w:color w:val="000000"/>
                <w:kern w:val="0"/>
              </w:rPr>
              <w:t>1</w:t>
            </w:r>
            <w:r>
              <w:rPr>
                <w:rFonts w:hint="eastAsia"/>
                <w:caps/>
                <w:color w:val="000000"/>
                <w:kern w:val="0"/>
              </w:rPr>
              <w:t>月</w:t>
            </w:r>
            <w:r>
              <w:rPr>
                <w:rFonts w:hint="eastAsia"/>
                <w:caps/>
                <w:color w:val="000000"/>
                <w:kern w:val="0"/>
              </w:rPr>
              <w:t>21</w:t>
            </w:r>
            <w:r>
              <w:rPr>
                <w:rFonts w:hint="eastAsia"/>
                <w:caps/>
                <w:color w:val="000000"/>
                <w:kern w:val="0"/>
              </w:rPr>
              <w:t>日至无固定期限</w:t>
            </w:r>
          </w:p>
        </w:tc>
      </w:tr>
      <w:tr w:rsidR="004B0883" w14:paraId="37282E47" w14:textId="77777777">
        <w:trPr>
          <w:trHeight w:val="397"/>
          <w:jc w:val="center"/>
        </w:trPr>
        <w:tc>
          <w:tcPr>
            <w:tcW w:w="2553" w:type="dxa"/>
            <w:shd w:val="clear" w:color="auto" w:fill="D9D9D9"/>
            <w:vAlign w:val="center"/>
          </w:tcPr>
          <w:p w14:paraId="6F56D355" w14:textId="77777777" w:rsidR="004B0883" w:rsidRDefault="004B0883">
            <w:pPr>
              <w:adjustRightInd w:val="0"/>
              <w:snapToGrid w:val="0"/>
              <w:jc w:val="center"/>
              <w:rPr>
                <w:b/>
                <w:caps/>
                <w:color w:val="000000"/>
                <w:kern w:val="0"/>
              </w:rPr>
            </w:pPr>
            <w:r>
              <w:rPr>
                <w:b/>
                <w:caps/>
                <w:color w:val="000000"/>
                <w:kern w:val="0"/>
              </w:rPr>
              <w:t>经营范围</w:t>
            </w:r>
          </w:p>
        </w:tc>
        <w:tc>
          <w:tcPr>
            <w:tcW w:w="5975" w:type="dxa"/>
            <w:shd w:val="clear" w:color="auto" w:fill="FFFFFF"/>
            <w:vAlign w:val="center"/>
          </w:tcPr>
          <w:p w14:paraId="70F6625B" w14:textId="77777777" w:rsidR="004B0883" w:rsidRDefault="004B0883">
            <w:pPr>
              <w:adjustRightInd w:val="0"/>
              <w:snapToGrid w:val="0"/>
              <w:rPr>
                <w:caps/>
                <w:color w:val="000000"/>
                <w:kern w:val="0"/>
                <w:highlight w:val="yellow"/>
              </w:rPr>
            </w:pPr>
            <w:r>
              <w:rPr>
                <w:rFonts w:hint="eastAsia"/>
                <w:caps/>
                <w:color w:val="000000"/>
                <w:kern w:val="0"/>
              </w:rPr>
              <w:t>一般项目：以自有资金从事投资活动；创业投资（限投资未上市企业）；资产评估；招投标代理服务；非融资担保服务；认证咨询；企业管理咨询；社会经济咨询服务；融资咨询服务；个人商务服务（除许可业务外，可自主依法经营法律法规非禁止或限制的项目）</w:t>
            </w:r>
          </w:p>
        </w:tc>
      </w:tr>
    </w:tbl>
    <w:p w14:paraId="1B841EF4" w14:textId="77777777" w:rsidR="004B0883" w:rsidRDefault="004B0883">
      <w:pPr>
        <w:pStyle w:val="004"/>
        <w:spacing w:before="120" w:after="120"/>
        <w:ind w:firstLine="482"/>
      </w:pPr>
      <w:r>
        <w:rPr>
          <w:rFonts w:hint="eastAsia"/>
        </w:rPr>
        <w:t>（</w:t>
      </w:r>
      <w:r>
        <w:rPr>
          <w:rFonts w:hint="eastAsia"/>
        </w:rPr>
        <w:t>3</w:t>
      </w:r>
      <w:r>
        <w:rPr>
          <w:rFonts w:hint="eastAsia"/>
        </w:rPr>
        <w:t>）伟隆流体</w:t>
      </w:r>
    </w:p>
    <w:tbl>
      <w:tblPr>
        <w:tblW w:w="8528"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553"/>
        <w:gridCol w:w="5975"/>
      </w:tblGrid>
      <w:tr w:rsidR="004B0883" w14:paraId="405855CD" w14:textId="77777777">
        <w:trPr>
          <w:trHeight w:val="397"/>
          <w:jc w:val="center"/>
        </w:trPr>
        <w:tc>
          <w:tcPr>
            <w:tcW w:w="2553" w:type="dxa"/>
            <w:shd w:val="clear" w:color="auto" w:fill="D9D9D9"/>
            <w:vAlign w:val="center"/>
          </w:tcPr>
          <w:p w14:paraId="36A44338" w14:textId="77777777" w:rsidR="004B0883" w:rsidRDefault="004B0883">
            <w:pPr>
              <w:adjustRightInd w:val="0"/>
              <w:snapToGrid w:val="0"/>
              <w:jc w:val="center"/>
              <w:rPr>
                <w:b/>
                <w:caps/>
                <w:color w:val="000000"/>
                <w:kern w:val="0"/>
              </w:rPr>
            </w:pPr>
            <w:r>
              <w:rPr>
                <w:b/>
                <w:caps/>
                <w:color w:val="000000"/>
                <w:kern w:val="0"/>
              </w:rPr>
              <w:t>公司名称</w:t>
            </w:r>
          </w:p>
        </w:tc>
        <w:tc>
          <w:tcPr>
            <w:tcW w:w="5975" w:type="dxa"/>
            <w:shd w:val="clear" w:color="auto" w:fill="FFFFFF"/>
            <w:vAlign w:val="center"/>
          </w:tcPr>
          <w:p w14:paraId="56B3873F" w14:textId="77777777" w:rsidR="004B0883" w:rsidRDefault="004B0883">
            <w:pPr>
              <w:adjustRightInd w:val="0"/>
              <w:snapToGrid w:val="0"/>
              <w:rPr>
                <w:caps/>
                <w:color w:val="000000"/>
                <w:kern w:val="0"/>
              </w:rPr>
            </w:pPr>
            <w:r>
              <w:rPr>
                <w:rFonts w:hint="eastAsia"/>
              </w:rPr>
              <w:t>青岛伟隆流体设备有限公司</w:t>
            </w:r>
          </w:p>
        </w:tc>
      </w:tr>
      <w:tr w:rsidR="004B0883" w14:paraId="7E7A886F" w14:textId="77777777">
        <w:trPr>
          <w:trHeight w:val="397"/>
          <w:jc w:val="center"/>
        </w:trPr>
        <w:tc>
          <w:tcPr>
            <w:tcW w:w="2553" w:type="dxa"/>
            <w:shd w:val="clear" w:color="auto" w:fill="D9D9D9"/>
            <w:vAlign w:val="center"/>
          </w:tcPr>
          <w:p w14:paraId="17E0721E" w14:textId="77777777" w:rsidR="004B0883" w:rsidRDefault="004B0883">
            <w:pPr>
              <w:adjustRightInd w:val="0"/>
              <w:snapToGrid w:val="0"/>
              <w:jc w:val="center"/>
              <w:rPr>
                <w:b/>
                <w:caps/>
                <w:color w:val="000000"/>
                <w:kern w:val="0"/>
              </w:rPr>
            </w:pPr>
            <w:r>
              <w:rPr>
                <w:b/>
                <w:caps/>
                <w:color w:val="000000"/>
                <w:kern w:val="0"/>
              </w:rPr>
              <w:t>统一社会信用代码</w:t>
            </w:r>
          </w:p>
        </w:tc>
        <w:tc>
          <w:tcPr>
            <w:tcW w:w="5975" w:type="dxa"/>
            <w:shd w:val="clear" w:color="auto" w:fill="FFFFFF"/>
            <w:vAlign w:val="center"/>
          </w:tcPr>
          <w:p w14:paraId="188697CE" w14:textId="77777777" w:rsidR="004B0883" w:rsidRDefault="004B0883">
            <w:pPr>
              <w:adjustRightInd w:val="0"/>
              <w:snapToGrid w:val="0"/>
              <w:rPr>
                <w:caps/>
                <w:color w:val="000000"/>
                <w:kern w:val="0"/>
                <w:highlight w:val="yellow"/>
              </w:rPr>
            </w:pPr>
            <w:r>
              <w:rPr>
                <w:caps/>
                <w:color w:val="000000"/>
                <w:kern w:val="0"/>
              </w:rPr>
              <w:t>91370222575798420B</w:t>
            </w:r>
          </w:p>
        </w:tc>
      </w:tr>
      <w:tr w:rsidR="004B0883" w14:paraId="76D14790" w14:textId="77777777">
        <w:trPr>
          <w:trHeight w:val="397"/>
          <w:jc w:val="center"/>
        </w:trPr>
        <w:tc>
          <w:tcPr>
            <w:tcW w:w="2553" w:type="dxa"/>
            <w:shd w:val="clear" w:color="auto" w:fill="D9D9D9"/>
            <w:vAlign w:val="center"/>
          </w:tcPr>
          <w:p w14:paraId="3DD0F8EB" w14:textId="77777777" w:rsidR="004B0883" w:rsidRDefault="004B0883">
            <w:pPr>
              <w:adjustRightInd w:val="0"/>
              <w:snapToGrid w:val="0"/>
              <w:jc w:val="center"/>
              <w:rPr>
                <w:b/>
                <w:caps/>
                <w:color w:val="000000"/>
                <w:kern w:val="0"/>
              </w:rPr>
            </w:pPr>
            <w:r>
              <w:rPr>
                <w:b/>
                <w:caps/>
                <w:color w:val="000000"/>
                <w:kern w:val="0"/>
              </w:rPr>
              <w:t>公司类型</w:t>
            </w:r>
          </w:p>
        </w:tc>
        <w:tc>
          <w:tcPr>
            <w:tcW w:w="5975" w:type="dxa"/>
            <w:shd w:val="clear" w:color="auto" w:fill="FFFFFF"/>
            <w:vAlign w:val="center"/>
          </w:tcPr>
          <w:p w14:paraId="14EA2D1C" w14:textId="77777777" w:rsidR="004B0883" w:rsidRDefault="004B0883">
            <w:pPr>
              <w:adjustRightInd w:val="0"/>
              <w:snapToGrid w:val="0"/>
              <w:rPr>
                <w:caps/>
                <w:color w:val="000000"/>
                <w:kern w:val="0"/>
                <w:highlight w:val="yellow"/>
              </w:rPr>
            </w:pPr>
            <w:r>
              <w:rPr>
                <w:rFonts w:hint="eastAsia"/>
                <w:caps/>
                <w:color w:val="000000"/>
                <w:kern w:val="0"/>
              </w:rPr>
              <w:t>有限责任公司（自然人投资或控股的法人独资）</w:t>
            </w:r>
          </w:p>
        </w:tc>
      </w:tr>
      <w:tr w:rsidR="004B0883" w14:paraId="14834CD8" w14:textId="77777777">
        <w:trPr>
          <w:trHeight w:val="397"/>
          <w:jc w:val="center"/>
        </w:trPr>
        <w:tc>
          <w:tcPr>
            <w:tcW w:w="2553" w:type="dxa"/>
            <w:shd w:val="clear" w:color="auto" w:fill="D9D9D9"/>
            <w:vAlign w:val="center"/>
          </w:tcPr>
          <w:p w14:paraId="55B34896" w14:textId="77777777" w:rsidR="004B0883" w:rsidRDefault="004B0883">
            <w:pPr>
              <w:adjustRightInd w:val="0"/>
              <w:snapToGrid w:val="0"/>
              <w:jc w:val="center"/>
              <w:rPr>
                <w:b/>
                <w:caps/>
                <w:color w:val="000000"/>
                <w:kern w:val="0"/>
              </w:rPr>
            </w:pPr>
            <w:r>
              <w:rPr>
                <w:b/>
                <w:caps/>
                <w:color w:val="000000"/>
                <w:kern w:val="0"/>
              </w:rPr>
              <w:t>法定代表人</w:t>
            </w:r>
          </w:p>
        </w:tc>
        <w:tc>
          <w:tcPr>
            <w:tcW w:w="5975" w:type="dxa"/>
            <w:shd w:val="clear" w:color="auto" w:fill="FFFFFF"/>
            <w:vAlign w:val="center"/>
          </w:tcPr>
          <w:p w14:paraId="59F48446" w14:textId="77777777" w:rsidR="004B0883" w:rsidRDefault="004B0883">
            <w:pPr>
              <w:adjustRightInd w:val="0"/>
              <w:snapToGrid w:val="0"/>
              <w:rPr>
                <w:caps/>
                <w:color w:val="000000"/>
                <w:kern w:val="0"/>
                <w:highlight w:val="yellow"/>
              </w:rPr>
            </w:pPr>
            <w:r>
              <w:rPr>
                <w:rFonts w:hint="eastAsia"/>
                <w:caps/>
                <w:color w:val="000000"/>
                <w:kern w:val="0"/>
              </w:rPr>
              <w:t>范庆伟</w:t>
            </w:r>
          </w:p>
        </w:tc>
      </w:tr>
      <w:tr w:rsidR="004B0883" w14:paraId="5AAD3034" w14:textId="77777777">
        <w:trPr>
          <w:trHeight w:val="397"/>
          <w:jc w:val="center"/>
        </w:trPr>
        <w:tc>
          <w:tcPr>
            <w:tcW w:w="2553" w:type="dxa"/>
            <w:shd w:val="clear" w:color="auto" w:fill="D9D9D9"/>
            <w:vAlign w:val="center"/>
          </w:tcPr>
          <w:p w14:paraId="0C27C507" w14:textId="77777777" w:rsidR="004B0883" w:rsidRDefault="004B0883">
            <w:pPr>
              <w:adjustRightInd w:val="0"/>
              <w:snapToGrid w:val="0"/>
              <w:jc w:val="center"/>
              <w:rPr>
                <w:b/>
                <w:caps/>
                <w:color w:val="000000"/>
                <w:kern w:val="0"/>
              </w:rPr>
            </w:pPr>
            <w:r>
              <w:rPr>
                <w:b/>
                <w:caps/>
                <w:color w:val="000000"/>
                <w:kern w:val="0"/>
              </w:rPr>
              <w:t>注册资本</w:t>
            </w:r>
          </w:p>
        </w:tc>
        <w:tc>
          <w:tcPr>
            <w:tcW w:w="5975" w:type="dxa"/>
            <w:shd w:val="clear" w:color="auto" w:fill="FFFFFF"/>
            <w:vAlign w:val="center"/>
          </w:tcPr>
          <w:p w14:paraId="6CBE46C0" w14:textId="77777777" w:rsidR="004B0883" w:rsidRDefault="004B0883">
            <w:pPr>
              <w:adjustRightInd w:val="0"/>
              <w:snapToGrid w:val="0"/>
              <w:rPr>
                <w:caps/>
                <w:color w:val="000000"/>
                <w:kern w:val="0"/>
                <w:highlight w:val="yellow"/>
              </w:rPr>
            </w:pPr>
            <w:r>
              <w:rPr>
                <w:caps/>
                <w:color w:val="000000"/>
                <w:kern w:val="0"/>
              </w:rPr>
              <w:t>6,</w:t>
            </w:r>
            <w:r>
              <w:rPr>
                <w:rFonts w:hint="eastAsia"/>
                <w:caps/>
                <w:color w:val="000000"/>
                <w:kern w:val="0"/>
              </w:rPr>
              <w:t>000</w:t>
            </w:r>
            <w:r>
              <w:rPr>
                <w:caps/>
                <w:color w:val="000000"/>
                <w:kern w:val="0"/>
              </w:rPr>
              <w:t>.00</w:t>
            </w:r>
            <w:r>
              <w:rPr>
                <w:rFonts w:hint="eastAsia"/>
                <w:caps/>
                <w:color w:val="000000"/>
                <w:kern w:val="0"/>
              </w:rPr>
              <w:t>万元</w:t>
            </w:r>
          </w:p>
        </w:tc>
      </w:tr>
      <w:tr w:rsidR="004B0883" w14:paraId="77A09F1D" w14:textId="77777777">
        <w:trPr>
          <w:trHeight w:val="397"/>
          <w:jc w:val="center"/>
        </w:trPr>
        <w:tc>
          <w:tcPr>
            <w:tcW w:w="2553" w:type="dxa"/>
            <w:shd w:val="clear" w:color="auto" w:fill="D9D9D9"/>
            <w:vAlign w:val="center"/>
          </w:tcPr>
          <w:p w14:paraId="411F2FDB" w14:textId="77777777" w:rsidR="004B0883" w:rsidRDefault="004B0883">
            <w:pPr>
              <w:adjustRightInd w:val="0"/>
              <w:snapToGrid w:val="0"/>
              <w:jc w:val="center"/>
              <w:rPr>
                <w:b/>
                <w:caps/>
                <w:color w:val="000000"/>
                <w:kern w:val="0"/>
              </w:rPr>
            </w:pPr>
            <w:r>
              <w:rPr>
                <w:b/>
                <w:caps/>
                <w:color w:val="000000"/>
                <w:kern w:val="0"/>
              </w:rPr>
              <w:t>注册地址</w:t>
            </w:r>
          </w:p>
        </w:tc>
        <w:tc>
          <w:tcPr>
            <w:tcW w:w="5975" w:type="dxa"/>
            <w:shd w:val="clear" w:color="auto" w:fill="FFFFFF"/>
            <w:vAlign w:val="center"/>
          </w:tcPr>
          <w:p w14:paraId="647BACCA" w14:textId="77777777" w:rsidR="004B0883" w:rsidRDefault="004B0883">
            <w:pPr>
              <w:adjustRightInd w:val="0"/>
              <w:snapToGrid w:val="0"/>
              <w:rPr>
                <w:caps/>
                <w:color w:val="000000"/>
                <w:kern w:val="0"/>
                <w:highlight w:val="yellow"/>
              </w:rPr>
            </w:pPr>
            <w:r>
              <w:rPr>
                <w:rFonts w:hint="eastAsia"/>
                <w:caps/>
                <w:color w:val="000000"/>
                <w:kern w:val="0"/>
              </w:rPr>
              <w:t>山东省青岛市高新区春阳路</w:t>
            </w:r>
            <w:r>
              <w:rPr>
                <w:rFonts w:hint="eastAsia"/>
                <w:caps/>
                <w:color w:val="000000"/>
                <w:kern w:val="0"/>
              </w:rPr>
              <w:t>789</w:t>
            </w:r>
            <w:r>
              <w:rPr>
                <w:rFonts w:hint="eastAsia"/>
                <w:caps/>
                <w:color w:val="000000"/>
                <w:kern w:val="0"/>
              </w:rPr>
              <w:t>号</w:t>
            </w:r>
          </w:p>
        </w:tc>
      </w:tr>
      <w:tr w:rsidR="004B0883" w14:paraId="6D15D5FF" w14:textId="77777777">
        <w:trPr>
          <w:trHeight w:val="397"/>
          <w:jc w:val="center"/>
        </w:trPr>
        <w:tc>
          <w:tcPr>
            <w:tcW w:w="2553" w:type="dxa"/>
            <w:shd w:val="clear" w:color="auto" w:fill="D9D9D9"/>
            <w:vAlign w:val="center"/>
          </w:tcPr>
          <w:p w14:paraId="680524A7" w14:textId="77777777" w:rsidR="004B0883" w:rsidRDefault="004B0883">
            <w:pPr>
              <w:adjustRightInd w:val="0"/>
              <w:snapToGrid w:val="0"/>
              <w:jc w:val="center"/>
              <w:rPr>
                <w:b/>
                <w:caps/>
                <w:color w:val="000000"/>
                <w:kern w:val="0"/>
              </w:rPr>
            </w:pPr>
            <w:r>
              <w:rPr>
                <w:b/>
                <w:caps/>
                <w:color w:val="000000"/>
                <w:kern w:val="0"/>
              </w:rPr>
              <w:t>成立日期</w:t>
            </w:r>
          </w:p>
        </w:tc>
        <w:tc>
          <w:tcPr>
            <w:tcW w:w="5975" w:type="dxa"/>
            <w:shd w:val="clear" w:color="auto" w:fill="FFFFFF"/>
            <w:vAlign w:val="center"/>
          </w:tcPr>
          <w:p w14:paraId="285C0418" w14:textId="77777777" w:rsidR="004B0883" w:rsidRDefault="004B0883">
            <w:pPr>
              <w:adjustRightInd w:val="0"/>
              <w:snapToGrid w:val="0"/>
              <w:rPr>
                <w:caps/>
                <w:color w:val="000000"/>
                <w:kern w:val="0"/>
                <w:highlight w:val="yellow"/>
              </w:rPr>
            </w:pPr>
            <w:r>
              <w:rPr>
                <w:caps/>
                <w:color w:val="000000"/>
                <w:kern w:val="0"/>
              </w:rPr>
              <w:t>2011</w:t>
            </w:r>
            <w:r>
              <w:rPr>
                <w:rFonts w:hint="eastAsia"/>
                <w:caps/>
                <w:color w:val="000000"/>
                <w:kern w:val="0"/>
              </w:rPr>
              <w:t>年</w:t>
            </w:r>
            <w:r>
              <w:rPr>
                <w:caps/>
                <w:color w:val="000000"/>
                <w:kern w:val="0"/>
              </w:rPr>
              <w:t>7</w:t>
            </w:r>
            <w:r>
              <w:rPr>
                <w:rFonts w:hint="eastAsia"/>
                <w:caps/>
                <w:color w:val="000000"/>
                <w:kern w:val="0"/>
              </w:rPr>
              <w:t>月</w:t>
            </w:r>
            <w:r>
              <w:rPr>
                <w:caps/>
                <w:color w:val="000000"/>
                <w:kern w:val="0"/>
              </w:rPr>
              <w:t>19</w:t>
            </w:r>
            <w:r>
              <w:rPr>
                <w:rFonts w:hint="eastAsia"/>
                <w:caps/>
                <w:color w:val="000000"/>
                <w:kern w:val="0"/>
              </w:rPr>
              <w:t>日</w:t>
            </w:r>
          </w:p>
        </w:tc>
      </w:tr>
      <w:tr w:rsidR="004B0883" w14:paraId="76B91786" w14:textId="77777777">
        <w:trPr>
          <w:trHeight w:val="397"/>
          <w:jc w:val="center"/>
        </w:trPr>
        <w:tc>
          <w:tcPr>
            <w:tcW w:w="2553" w:type="dxa"/>
            <w:shd w:val="clear" w:color="auto" w:fill="D9D9D9"/>
            <w:vAlign w:val="center"/>
          </w:tcPr>
          <w:p w14:paraId="79BF8A33" w14:textId="77777777" w:rsidR="004B0883" w:rsidRDefault="004B0883">
            <w:pPr>
              <w:adjustRightInd w:val="0"/>
              <w:snapToGrid w:val="0"/>
              <w:jc w:val="center"/>
              <w:rPr>
                <w:b/>
                <w:caps/>
                <w:color w:val="000000"/>
                <w:kern w:val="0"/>
              </w:rPr>
            </w:pPr>
            <w:r>
              <w:rPr>
                <w:b/>
                <w:caps/>
                <w:color w:val="000000"/>
                <w:kern w:val="0"/>
              </w:rPr>
              <w:t>营业期限</w:t>
            </w:r>
          </w:p>
        </w:tc>
        <w:tc>
          <w:tcPr>
            <w:tcW w:w="5975" w:type="dxa"/>
            <w:shd w:val="clear" w:color="auto" w:fill="FFFFFF"/>
            <w:vAlign w:val="center"/>
          </w:tcPr>
          <w:p w14:paraId="4425BC64" w14:textId="77777777" w:rsidR="004B0883" w:rsidRDefault="004B0883">
            <w:pPr>
              <w:adjustRightInd w:val="0"/>
              <w:snapToGrid w:val="0"/>
              <w:rPr>
                <w:caps/>
                <w:color w:val="000000"/>
                <w:kern w:val="0"/>
                <w:highlight w:val="yellow"/>
              </w:rPr>
            </w:pPr>
            <w:r>
              <w:rPr>
                <w:rFonts w:hint="eastAsia"/>
                <w:caps/>
                <w:color w:val="000000"/>
                <w:kern w:val="0"/>
              </w:rPr>
              <w:t>2011</w:t>
            </w:r>
            <w:r>
              <w:rPr>
                <w:rFonts w:hint="eastAsia"/>
                <w:caps/>
                <w:color w:val="000000"/>
                <w:kern w:val="0"/>
              </w:rPr>
              <w:t>年</w:t>
            </w:r>
            <w:r>
              <w:rPr>
                <w:rFonts w:hint="eastAsia"/>
                <w:caps/>
                <w:color w:val="000000"/>
                <w:kern w:val="0"/>
              </w:rPr>
              <w:t>7</w:t>
            </w:r>
            <w:r>
              <w:rPr>
                <w:rFonts w:hint="eastAsia"/>
                <w:caps/>
                <w:color w:val="000000"/>
                <w:kern w:val="0"/>
              </w:rPr>
              <w:t>月</w:t>
            </w:r>
            <w:r>
              <w:rPr>
                <w:rFonts w:hint="eastAsia"/>
                <w:caps/>
                <w:color w:val="000000"/>
                <w:kern w:val="0"/>
              </w:rPr>
              <w:t>19</w:t>
            </w:r>
            <w:r>
              <w:rPr>
                <w:rFonts w:hint="eastAsia"/>
                <w:caps/>
                <w:color w:val="000000"/>
                <w:kern w:val="0"/>
              </w:rPr>
              <w:t>日至</w:t>
            </w:r>
            <w:r>
              <w:rPr>
                <w:rFonts w:hint="eastAsia"/>
                <w:caps/>
                <w:color w:val="000000"/>
                <w:kern w:val="0"/>
              </w:rPr>
              <w:t>2026</w:t>
            </w:r>
            <w:r>
              <w:rPr>
                <w:rFonts w:hint="eastAsia"/>
                <w:caps/>
                <w:color w:val="000000"/>
                <w:kern w:val="0"/>
              </w:rPr>
              <w:t>年</w:t>
            </w:r>
            <w:r>
              <w:rPr>
                <w:rFonts w:hint="eastAsia"/>
                <w:caps/>
                <w:color w:val="000000"/>
                <w:kern w:val="0"/>
              </w:rPr>
              <w:t>7</w:t>
            </w:r>
            <w:r>
              <w:rPr>
                <w:rFonts w:hint="eastAsia"/>
                <w:caps/>
                <w:color w:val="000000"/>
                <w:kern w:val="0"/>
              </w:rPr>
              <w:t>月</w:t>
            </w:r>
            <w:r>
              <w:rPr>
                <w:rFonts w:hint="eastAsia"/>
                <w:caps/>
                <w:color w:val="000000"/>
                <w:kern w:val="0"/>
              </w:rPr>
              <w:t>18</w:t>
            </w:r>
            <w:r>
              <w:rPr>
                <w:rFonts w:hint="eastAsia"/>
                <w:caps/>
                <w:color w:val="000000"/>
                <w:kern w:val="0"/>
              </w:rPr>
              <w:t>日</w:t>
            </w:r>
          </w:p>
        </w:tc>
      </w:tr>
      <w:tr w:rsidR="004B0883" w14:paraId="239901A6" w14:textId="77777777">
        <w:trPr>
          <w:trHeight w:val="397"/>
          <w:jc w:val="center"/>
        </w:trPr>
        <w:tc>
          <w:tcPr>
            <w:tcW w:w="2553" w:type="dxa"/>
            <w:shd w:val="clear" w:color="auto" w:fill="D9D9D9"/>
            <w:vAlign w:val="center"/>
          </w:tcPr>
          <w:p w14:paraId="35C86FA8" w14:textId="77777777" w:rsidR="004B0883" w:rsidRDefault="004B0883">
            <w:pPr>
              <w:adjustRightInd w:val="0"/>
              <w:snapToGrid w:val="0"/>
              <w:jc w:val="center"/>
              <w:rPr>
                <w:b/>
                <w:caps/>
                <w:color w:val="000000"/>
                <w:kern w:val="0"/>
              </w:rPr>
            </w:pPr>
            <w:r>
              <w:rPr>
                <w:b/>
                <w:caps/>
                <w:color w:val="000000"/>
                <w:kern w:val="0"/>
              </w:rPr>
              <w:t>经营范围</w:t>
            </w:r>
          </w:p>
        </w:tc>
        <w:tc>
          <w:tcPr>
            <w:tcW w:w="5975" w:type="dxa"/>
            <w:shd w:val="clear" w:color="auto" w:fill="FFFFFF"/>
            <w:vAlign w:val="center"/>
          </w:tcPr>
          <w:p w14:paraId="65706329" w14:textId="77777777" w:rsidR="004B0883" w:rsidRDefault="004B0883">
            <w:pPr>
              <w:adjustRightInd w:val="0"/>
              <w:snapToGrid w:val="0"/>
              <w:rPr>
                <w:caps/>
                <w:color w:val="000000"/>
                <w:kern w:val="0"/>
                <w:highlight w:val="yellow"/>
              </w:rPr>
            </w:pPr>
            <w:r>
              <w:rPr>
                <w:rFonts w:hint="eastAsia"/>
                <w:caps/>
                <w:color w:val="000000"/>
                <w:kern w:val="0"/>
              </w:rPr>
              <w:t>制造销售消防阀门、消防栓、消防设备配件、阀门及其配件、管件、机械配件；批发、零售：工艺品（不含贵重金属）、五金（不含小汽车）、化工产品（不含危险化学品）、流体机械设备、建筑材料、计算机配件；货物和技术进出口，自有房屋租赁，机械设备租赁。（以上范围需经许可经营的，须凭许可证经营）</w:t>
            </w:r>
          </w:p>
        </w:tc>
      </w:tr>
    </w:tbl>
    <w:p w14:paraId="3FE10A68" w14:textId="77777777" w:rsidR="004B0883" w:rsidRDefault="004B0883">
      <w:pPr>
        <w:pStyle w:val="004"/>
        <w:spacing w:before="120" w:after="120"/>
        <w:ind w:firstLine="482"/>
      </w:pPr>
      <w:r>
        <w:rPr>
          <w:rFonts w:hint="eastAsia"/>
        </w:rPr>
        <w:t>（</w:t>
      </w:r>
      <w:r>
        <w:rPr>
          <w:rFonts w:hint="eastAsia"/>
        </w:rPr>
        <w:t>4</w:t>
      </w:r>
      <w:r>
        <w:rPr>
          <w:rFonts w:hint="eastAsia"/>
        </w:rPr>
        <w:t>）青岛卓信</w:t>
      </w:r>
    </w:p>
    <w:tbl>
      <w:tblPr>
        <w:tblW w:w="8528"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553"/>
        <w:gridCol w:w="5975"/>
      </w:tblGrid>
      <w:tr w:rsidR="004B0883" w14:paraId="0E7954DB" w14:textId="77777777">
        <w:trPr>
          <w:trHeight w:val="397"/>
          <w:jc w:val="center"/>
        </w:trPr>
        <w:tc>
          <w:tcPr>
            <w:tcW w:w="2553" w:type="dxa"/>
            <w:shd w:val="clear" w:color="auto" w:fill="D9D9D9"/>
            <w:vAlign w:val="center"/>
          </w:tcPr>
          <w:p w14:paraId="37590E19" w14:textId="77777777" w:rsidR="004B0883" w:rsidRDefault="004B0883">
            <w:pPr>
              <w:adjustRightInd w:val="0"/>
              <w:snapToGrid w:val="0"/>
              <w:jc w:val="center"/>
              <w:rPr>
                <w:b/>
                <w:caps/>
                <w:color w:val="000000"/>
                <w:kern w:val="0"/>
              </w:rPr>
            </w:pPr>
            <w:r>
              <w:rPr>
                <w:b/>
                <w:caps/>
                <w:color w:val="000000"/>
                <w:kern w:val="0"/>
              </w:rPr>
              <w:t>公司名称</w:t>
            </w:r>
          </w:p>
        </w:tc>
        <w:tc>
          <w:tcPr>
            <w:tcW w:w="5975" w:type="dxa"/>
            <w:shd w:val="clear" w:color="auto" w:fill="FFFFFF"/>
            <w:vAlign w:val="center"/>
          </w:tcPr>
          <w:p w14:paraId="6E7EB882" w14:textId="77777777" w:rsidR="004B0883" w:rsidRDefault="004B0883">
            <w:pPr>
              <w:adjustRightInd w:val="0"/>
              <w:snapToGrid w:val="0"/>
              <w:rPr>
                <w:caps/>
                <w:color w:val="000000"/>
                <w:kern w:val="0"/>
              </w:rPr>
            </w:pPr>
            <w:r>
              <w:rPr>
                <w:rFonts w:hint="eastAsia"/>
              </w:rPr>
              <w:t>青岛卓信检测技术有限责任公司</w:t>
            </w:r>
          </w:p>
        </w:tc>
      </w:tr>
      <w:tr w:rsidR="004B0883" w14:paraId="6E9A9461" w14:textId="77777777">
        <w:trPr>
          <w:trHeight w:val="397"/>
          <w:jc w:val="center"/>
        </w:trPr>
        <w:tc>
          <w:tcPr>
            <w:tcW w:w="2553" w:type="dxa"/>
            <w:shd w:val="clear" w:color="auto" w:fill="D9D9D9"/>
            <w:vAlign w:val="center"/>
          </w:tcPr>
          <w:p w14:paraId="5FB91253" w14:textId="77777777" w:rsidR="004B0883" w:rsidRDefault="004B0883">
            <w:pPr>
              <w:adjustRightInd w:val="0"/>
              <w:snapToGrid w:val="0"/>
              <w:jc w:val="center"/>
              <w:rPr>
                <w:b/>
                <w:caps/>
                <w:color w:val="000000"/>
                <w:kern w:val="0"/>
              </w:rPr>
            </w:pPr>
            <w:r>
              <w:rPr>
                <w:b/>
                <w:caps/>
                <w:color w:val="000000"/>
                <w:kern w:val="0"/>
              </w:rPr>
              <w:t>统一社会信用代码</w:t>
            </w:r>
          </w:p>
        </w:tc>
        <w:tc>
          <w:tcPr>
            <w:tcW w:w="5975" w:type="dxa"/>
            <w:shd w:val="clear" w:color="auto" w:fill="FFFFFF"/>
            <w:vAlign w:val="center"/>
          </w:tcPr>
          <w:p w14:paraId="5A00DFE7" w14:textId="77777777" w:rsidR="004B0883" w:rsidRDefault="004B0883">
            <w:pPr>
              <w:adjustRightInd w:val="0"/>
              <w:snapToGrid w:val="0"/>
              <w:rPr>
                <w:caps/>
                <w:color w:val="000000"/>
                <w:kern w:val="0"/>
                <w:highlight w:val="yellow"/>
              </w:rPr>
            </w:pPr>
            <w:r>
              <w:rPr>
                <w:caps/>
                <w:color w:val="000000"/>
                <w:kern w:val="0"/>
              </w:rPr>
              <w:t>91370222MA3TYAHH92</w:t>
            </w:r>
          </w:p>
        </w:tc>
      </w:tr>
      <w:tr w:rsidR="004B0883" w14:paraId="5CF256BC" w14:textId="77777777">
        <w:trPr>
          <w:trHeight w:val="397"/>
          <w:jc w:val="center"/>
        </w:trPr>
        <w:tc>
          <w:tcPr>
            <w:tcW w:w="2553" w:type="dxa"/>
            <w:shd w:val="clear" w:color="auto" w:fill="D9D9D9"/>
            <w:vAlign w:val="center"/>
          </w:tcPr>
          <w:p w14:paraId="3B3B49EB" w14:textId="77777777" w:rsidR="004B0883" w:rsidRDefault="004B0883">
            <w:pPr>
              <w:adjustRightInd w:val="0"/>
              <w:snapToGrid w:val="0"/>
              <w:jc w:val="center"/>
              <w:rPr>
                <w:b/>
                <w:caps/>
                <w:color w:val="000000"/>
                <w:kern w:val="0"/>
              </w:rPr>
            </w:pPr>
            <w:r>
              <w:rPr>
                <w:b/>
                <w:caps/>
                <w:color w:val="000000"/>
                <w:kern w:val="0"/>
              </w:rPr>
              <w:t>公司类型</w:t>
            </w:r>
          </w:p>
        </w:tc>
        <w:tc>
          <w:tcPr>
            <w:tcW w:w="5975" w:type="dxa"/>
            <w:shd w:val="clear" w:color="auto" w:fill="FFFFFF"/>
            <w:vAlign w:val="center"/>
          </w:tcPr>
          <w:p w14:paraId="6C8F9FCC" w14:textId="77777777" w:rsidR="004B0883" w:rsidRDefault="004B0883">
            <w:pPr>
              <w:adjustRightInd w:val="0"/>
              <w:snapToGrid w:val="0"/>
              <w:rPr>
                <w:caps/>
                <w:color w:val="000000"/>
                <w:kern w:val="0"/>
                <w:highlight w:val="yellow"/>
              </w:rPr>
            </w:pPr>
            <w:r>
              <w:rPr>
                <w:rFonts w:hint="eastAsia"/>
                <w:caps/>
                <w:color w:val="000000"/>
                <w:kern w:val="0"/>
              </w:rPr>
              <w:t>有限责任公司（自然人投资或控股的法人独资）</w:t>
            </w:r>
          </w:p>
        </w:tc>
      </w:tr>
      <w:tr w:rsidR="004B0883" w14:paraId="25B62DCC" w14:textId="77777777">
        <w:trPr>
          <w:trHeight w:val="397"/>
          <w:jc w:val="center"/>
        </w:trPr>
        <w:tc>
          <w:tcPr>
            <w:tcW w:w="2553" w:type="dxa"/>
            <w:shd w:val="clear" w:color="auto" w:fill="D9D9D9"/>
            <w:vAlign w:val="center"/>
          </w:tcPr>
          <w:p w14:paraId="57F64D6D" w14:textId="77777777" w:rsidR="004B0883" w:rsidRDefault="004B0883">
            <w:pPr>
              <w:adjustRightInd w:val="0"/>
              <w:snapToGrid w:val="0"/>
              <w:jc w:val="center"/>
              <w:rPr>
                <w:b/>
                <w:caps/>
                <w:color w:val="000000"/>
                <w:kern w:val="0"/>
              </w:rPr>
            </w:pPr>
            <w:r>
              <w:rPr>
                <w:b/>
                <w:caps/>
                <w:color w:val="000000"/>
                <w:kern w:val="0"/>
              </w:rPr>
              <w:t>法定代表人</w:t>
            </w:r>
          </w:p>
        </w:tc>
        <w:tc>
          <w:tcPr>
            <w:tcW w:w="5975" w:type="dxa"/>
            <w:shd w:val="clear" w:color="auto" w:fill="FFFFFF"/>
            <w:vAlign w:val="center"/>
          </w:tcPr>
          <w:p w14:paraId="1F05345A" w14:textId="77777777" w:rsidR="004B0883" w:rsidRDefault="004B0883">
            <w:pPr>
              <w:adjustRightInd w:val="0"/>
              <w:snapToGrid w:val="0"/>
              <w:rPr>
                <w:caps/>
                <w:color w:val="000000"/>
                <w:kern w:val="0"/>
                <w:highlight w:val="yellow"/>
              </w:rPr>
            </w:pPr>
            <w:r>
              <w:rPr>
                <w:rFonts w:hint="eastAsia"/>
                <w:caps/>
                <w:color w:val="000000"/>
                <w:kern w:val="0"/>
              </w:rPr>
              <w:t>张会亭</w:t>
            </w:r>
          </w:p>
        </w:tc>
      </w:tr>
      <w:tr w:rsidR="004B0883" w14:paraId="6AB525CE" w14:textId="77777777">
        <w:trPr>
          <w:trHeight w:val="397"/>
          <w:jc w:val="center"/>
        </w:trPr>
        <w:tc>
          <w:tcPr>
            <w:tcW w:w="2553" w:type="dxa"/>
            <w:shd w:val="clear" w:color="auto" w:fill="D9D9D9"/>
            <w:vAlign w:val="center"/>
          </w:tcPr>
          <w:p w14:paraId="5907C16D" w14:textId="77777777" w:rsidR="004B0883" w:rsidRDefault="004B0883">
            <w:pPr>
              <w:adjustRightInd w:val="0"/>
              <w:snapToGrid w:val="0"/>
              <w:jc w:val="center"/>
              <w:rPr>
                <w:b/>
                <w:caps/>
                <w:color w:val="000000"/>
                <w:kern w:val="0"/>
              </w:rPr>
            </w:pPr>
            <w:r>
              <w:rPr>
                <w:b/>
                <w:caps/>
                <w:color w:val="000000"/>
                <w:kern w:val="0"/>
              </w:rPr>
              <w:t>注册资本</w:t>
            </w:r>
          </w:p>
        </w:tc>
        <w:tc>
          <w:tcPr>
            <w:tcW w:w="5975" w:type="dxa"/>
            <w:shd w:val="clear" w:color="auto" w:fill="FFFFFF"/>
            <w:vAlign w:val="center"/>
          </w:tcPr>
          <w:p w14:paraId="19945608" w14:textId="77777777" w:rsidR="004B0883" w:rsidRDefault="004B0883">
            <w:pPr>
              <w:adjustRightInd w:val="0"/>
              <w:snapToGrid w:val="0"/>
              <w:rPr>
                <w:caps/>
                <w:color w:val="000000"/>
                <w:kern w:val="0"/>
                <w:highlight w:val="yellow"/>
              </w:rPr>
            </w:pPr>
            <w:r>
              <w:rPr>
                <w:rFonts w:hint="eastAsia"/>
                <w:caps/>
                <w:color w:val="000000"/>
                <w:kern w:val="0"/>
              </w:rPr>
              <w:t>5</w:t>
            </w:r>
            <w:r>
              <w:rPr>
                <w:caps/>
                <w:color w:val="000000"/>
                <w:kern w:val="0"/>
              </w:rPr>
              <w:t>00</w:t>
            </w:r>
            <w:r>
              <w:rPr>
                <w:rFonts w:hint="eastAsia"/>
                <w:caps/>
                <w:color w:val="000000"/>
                <w:kern w:val="0"/>
              </w:rPr>
              <w:t>万元</w:t>
            </w:r>
          </w:p>
        </w:tc>
      </w:tr>
      <w:tr w:rsidR="004B0883" w14:paraId="4393755E" w14:textId="77777777">
        <w:trPr>
          <w:trHeight w:val="397"/>
          <w:jc w:val="center"/>
        </w:trPr>
        <w:tc>
          <w:tcPr>
            <w:tcW w:w="2553" w:type="dxa"/>
            <w:shd w:val="clear" w:color="auto" w:fill="D9D9D9"/>
            <w:vAlign w:val="center"/>
          </w:tcPr>
          <w:p w14:paraId="427832D1" w14:textId="77777777" w:rsidR="004B0883" w:rsidRDefault="004B0883">
            <w:pPr>
              <w:adjustRightInd w:val="0"/>
              <w:snapToGrid w:val="0"/>
              <w:jc w:val="center"/>
              <w:rPr>
                <w:b/>
                <w:caps/>
                <w:color w:val="000000"/>
                <w:kern w:val="0"/>
              </w:rPr>
            </w:pPr>
            <w:r>
              <w:rPr>
                <w:b/>
                <w:caps/>
                <w:color w:val="000000"/>
                <w:kern w:val="0"/>
              </w:rPr>
              <w:t>注册地址</w:t>
            </w:r>
          </w:p>
        </w:tc>
        <w:tc>
          <w:tcPr>
            <w:tcW w:w="5975" w:type="dxa"/>
            <w:shd w:val="clear" w:color="auto" w:fill="FFFFFF"/>
            <w:vAlign w:val="center"/>
          </w:tcPr>
          <w:p w14:paraId="184253BF" w14:textId="77777777" w:rsidR="004B0883" w:rsidRDefault="004B0883">
            <w:pPr>
              <w:adjustRightInd w:val="0"/>
              <w:snapToGrid w:val="0"/>
              <w:rPr>
                <w:caps/>
                <w:color w:val="000000"/>
                <w:kern w:val="0"/>
                <w:highlight w:val="yellow"/>
              </w:rPr>
            </w:pPr>
            <w:r>
              <w:rPr>
                <w:rFonts w:hint="eastAsia"/>
                <w:caps/>
                <w:color w:val="000000"/>
                <w:kern w:val="0"/>
              </w:rPr>
              <w:t>山东省青岛市高新区春阳路</w:t>
            </w:r>
            <w:r>
              <w:rPr>
                <w:rFonts w:hint="eastAsia"/>
                <w:caps/>
                <w:color w:val="000000"/>
                <w:kern w:val="0"/>
              </w:rPr>
              <w:t>789</w:t>
            </w:r>
            <w:r>
              <w:rPr>
                <w:rFonts w:hint="eastAsia"/>
                <w:caps/>
                <w:color w:val="000000"/>
                <w:kern w:val="0"/>
              </w:rPr>
              <w:t>号</w:t>
            </w:r>
          </w:p>
        </w:tc>
      </w:tr>
      <w:tr w:rsidR="004B0883" w14:paraId="668778C0" w14:textId="77777777">
        <w:trPr>
          <w:trHeight w:val="397"/>
          <w:jc w:val="center"/>
        </w:trPr>
        <w:tc>
          <w:tcPr>
            <w:tcW w:w="2553" w:type="dxa"/>
            <w:shd w:val="clear" w:color="auto" w:fill="D9D9D9"/>
            <w:vAlign w:val="center"/>
          </w:tcPr>
          <w:p w14:paraId="0B0A6CB8" w14:textId="77777777" w:rsidR="004B0883" w:rsidRDefault="004B0883">
            <w:pPr>
              <w:adjustRightInd w:val="0"/>
              <w:snapToGrid w:val="0"/>
              <w:jc w:val="center"/>
              <w:rPr>
                <w:b/>
                <w:caps/>
                <w:color w:val="000000"/>
                <w:kern w:val="0"/>
              </w:rPr>
            </w:pPr>
            <w:r>
              <w:rPr>
                <w:b/>
                <w:caps/>
                <w:color w:val="000000"/>
                <w:kern w:val="0"/>
              </w:rPr>
              <w:t>成立日期</w:t>
            </w:r>
          </w:p>
        </w:tc>
        <w:tc>
          <w:tcPr>
            <w:tcW w:w="5975" w:type="dxa"/>
            <w:shd w:val="clear" w:color="auto" w:fill="FFFFFF"/>
            <w:vAlign w:val="center"/>
          </w:tcPr>
          <w:p w14:paraId="29F992F5" w14:textId="77777777" w:rsidR="004B0883" w:rsidRDefault="004B0883">
            <w:pPr>
              <w:adjustRightInd w:val="0"/>
              <w:snapToGrid w:val="0"/>
              <w:rPr>
                <w:caps/>
                <w:color w:val="000000"/>
                <w:kern w:val="0"/>
                <w:highlight w:val="yellow"/>
              </w:rPr>
            </w:pPr>
            <w:r>
              <w:rPr>
                <w:caps/>
                <w:color w:val="000000"/>
                <w:kern w:val="0"/>
              </w:rPr>
              <w:t>2020</w:t>
            </w:r>
            <w:r>
              <w:rPr>
                <w:rFonts w:hint="eastAsia"/>
                <w:caps/>
                <w:color w:val="000000"/>
                <w:kern w:val="0"/>
              </w:rPr>
              <w:t>年</w:t>
            </w:r>
            <w:r>
              <w:rPr>
                <w:caps/>
                <w:color w:val="000000"/>
                <w:kern w:val="0"/>
              </w:rPr>
              <w:t>9</w:t>
            </w:r>
            <w:r>
              <w:rPr>
                <w:rFonts w:hint="eastAsia"/>
                <w:caps/>
                <w:color w:val="000000"/>
                <w:kern w:val="0"/>
              </w:rPr>
              <w:t>月</w:t>
            </w:r>
            <w:r>
              <w:rPr>
                <w:caps/>
                <w:color w:val="000000"/>
                <w:kern w:val="0"/>
              </w:rPr>
              <w:t>8</w:t>
            </w:r>
            <w:r>
              <w:rPr>
                <w:rFonts w:hint="eastAsia"/>
                <w:caps/>
                <w:color w:val="000000"/>
                <w:kern w:val="0"/>
              </w:rPr>
              <w:t>日</w:t>
            </w:r>
          </w:p>
        </w:tc>
      </w:tr>
      <w:tr w:rsidR="004B0883" w14:paraId="2B3175B6" w14:textId="77777777">
        <w:trPr>
          <w:trHeight w:val="397"/>
          <w:jc w:val="center"/>
        </w:trPr>
        <w:tc>
          <w:tcPr>
            <w:tcW w:w="2553" w:type="dxa"/>
            <w:shd w:val="clear" w:color="auto" w:fill="D9D9D9"/>
            <w:vAlign w:val="center"/>
          </w:tcPr>
          <w:p w14:paraId="76303CFB" w14:textId="77777777" w:rsidR="004B0883" w:rsidRDefault="004B0883">
            <w:pPr>
              <w:adjustRightInd w:val="0"/>
              <w:snapToGrid w:val="0"/>
              <w:jc w:val="center"/>
              <w:rPr>
                <w:b/>
                <w:caps/>
                <w:color w:val="000000"/>
                <w:kern w:val="0"/>
              </w:rPr>
            </w:pPr>
            <w:r>
              <w:rPr>
                <w:b/>
                <w:caps/>
                <w:color w:val="000000"/>
                <w:kern w:val="0"/>
              </w:rPr>
              <w:t>营业期限</w:t>
            </w:r>
          </w:p>
        </w:tc>
        <w:tc>
          <w:tcPr>
            <w:tcW w:w="5975" w:type="dxa"/>
            <w:shd w:val="clear" w:color="auto" w:fill="FFFFFF"/>
            <w:vAlign w:val="center"/>
          </w:tcPr>
          <w:p w14:paraId="33A06438" w14:textId="77777777" w:rsidR="004B0883" w:rsidRDefault="004B0883">
            <w:pPr>
              <w:adjustRightInd w:val="0"/>
              <w:snapToGrid w:val="0"/>
              <w:rPr>
                <w:caps/>
                <w:color w:val="000000"/>
                <w:kern w:val="0"/>
                <w:highlight w:val="yellow"/>
              </w:rPr>
            </w:pPr>
            <w:r>
              <w:rPr>
                <w:caps/>
                <w:color w:val="000000"/>
                <w:kern w:val="0"/>
              </w:rPr>
              <w:t>2020</w:t>
            </w:r>
            <w:r>
              <w:rPr>
                <w:rFonts w:hint="eastAsia"/>
                <w:caps/>
                <w:color w:val="000000"/>
                <w:kern w:val="0"/>
              </w:rPr>
              <w:t>年</w:t>
            </w:r>
            <w:r>
              <w:rPr>
                <w:caps/>
                <w:color w:val="000000"/>
                <w:kern w:val="0"/>
              </w:rPr>
              <w:t>9</w:t>
            </w:r>
            <w:r>
              <w:rPr>
                <w:rFonts w:hint="eastAsia"/>
                <w:caps/>
                <w:color w:val="000000"/>
                <w:kern w:val="0"/>
              </w:rPr>
              <w:t>月</w:t>
            </w:r>
            <w:r>
              <w:rPr>
                <w:caps/>
                <w:color w:val="000000"/>
                <w:kern w:val="0"/>
              </w:rPr>
              <w:t>8</w:t>
            </w:r>
            <w:r>
              <w:rPr>
                <w:rFonts w:hint="eastAsia"/>
                <w:caps/>
                <w:color w:val="000000"/>
                <w:kern w:val="0"/>
              </w:rPr>
              <w:t>日至无固定期限</w:t>
            </w:r>
          </w:p>
        </w:tc>
      </w:tr>
      <w:tr w:rsidR="004B0883" w14:paraId="33CFC178" w14:textId="77777777">
        <w:trPr>
          <w:trHeight w:val="397"/>
          <w:jc w:val="center"/>
        </w:trPr>
        <w:tc>
          <w:tcPr>
            <w:tcW w:w="2553" w:type="dxa"/>
            <w:shd w:val="clear" w:color="auto" w:fill="D9D9D9"/>
            <w:vAlign w:val="center"/>
          </w:tcPr>
          <w:p w14:paraId="237D97E4" w14:textId="77777777" w:rsidR="004B0883" w:rsidRDefault="004B0883">
            <w:pPr>
              <w:adjustRightInd w:val="0"/>
              <w:snapToGrid w:val="0"/>
              <w:jc w:val="center"/>
              <w:rPr>
                <w:b/>
                <w:caps/>
                <w:color w:val="000000"/>
                <w:kern w:val="0"/>
              </w:rPr>
            </w:pPr>
            <w:r>
              <w:rPr>
                <w:b/>
                <w:caps/>
                <w:color w:val="000000"/>
                <w:kern w:val="0"/>
              </w:rPr>
              <w:t>经营范围</w:t>
            </w:r>
          </w:p>
        </w:tc>
        <w:tc>
          <w:tcPr>
            <w:tcW w:w="5975" w:type="dxa"/>
            <w:shd w:val="clear" w:color="auto" w:fill="FFFFFF"/>
            <w:vAlign w:val="center"/>
          </w:tcPr>
          <w:p w14:paraId="2438D854" w14:textId="77777777" w:rsidR="004B0883" w:rsidRDefault="004B0883">
            <w:pPr>
              <w:adjustRightInd w:val="0"/>
              <w:snapToGrid w:val="0"/>
              <w:rPr>
                <w:caps/>
                <w:color w:val="000000"/>
                <w:kern w:val="0"/>
                <w:highlight w:val="yellow"/>
              </w:rPr>
            </w:pPr>
            <w:r>
              <w:rPr>
                <w:rFonts w:hint="eastAsia"/>
                <w:caps/>
                <w:color w:val="000000"/>
                <w:kern w:val="0"/>
              </w:rPr>
              <w:t>许可项目：检验检测服务。（依法须经批准的项目，经相关部门批准后方可开展经营活动，具体经营项目以相关部门批准文件或许可证件为准）一般项目：计量服务；信息技术咨询服务；技术服务、技术开发、技术咨询、技术交流、技术转让、技术推广。（除依法须经批准的项目外，凭营业执照依法自主开展经营活动）</w:t>
            </w:r>
          </w:p>
        </w:tc>
      </w:tr>
    </w:tbl>
    <w:p w14:paraId="443DDFDA" w14:textId="77777777" w:rsidR="004B0883" w:rsidRDefault="004B0883">
      <w:pPr>
        <w:pStyle w:val="004"/>
        <w:spacing w:before="120" w:after="120"/>
        <w:ind w:firstLine="482"/>
      </w:pPr>
      <w:r>
        <w:rPr>
          <w:rFonts w:hint="eastAsia"/>
        </w:rPr>
        <w:t>（</w:t>
      </w:r>
      <w:r>
        <w:rPr>
          <w:rFonts w:hint="eastAsia"/>
        </w:rPr>
        <w:t>5</w:t>
      </w:r>
      <w:r>
        <w:rPr>
          <w:rFonts w:hint="eastAsia"/>
        </w:rPr>
        <w:t>）伟隆五金</w:t>
      </w:r>
    </w:p>
    <w:tbl>
      <w:tblPr>
        <w:tblW w:w="8528"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553"/>
        <w:gridCol w:w="5975"/>
      </w:tblGrid>
      <w:tr w:rsidR="004B0883" w14:paraId="6458FD7B" w14:textId="77777777">
        <w:trPr>
          <w:trHeight w:val="397"/>
          <w:jc w:val="center"/>
        </w:trPr>
        <w:tc>
          <w:tcPr>
            <w:tcW w:w="2553" w:type="dxa"/>
            <w:shd w:val="clear" w:color="auto" w:fill="D9D9D9"/>
            <w:vAlign w:val="center"/>
          </w:tcPr>
          <w:p w14:paraId="14C17E12" w14:textId="77777777" w:rsidR="004B0883" w:rsidRDefault="004B0883">
            <w:pPr>
              <w:adjustRightInd w:val="0"/>
              <w:snapToGrid w:val="0"/>
              <w:jc w:val="center"/>
              <w:rPr>
                <w:b/>
                <w:caps/>
                <w:color w:val="000000"/>
                <w:kern w:val="0"/>
              </w:rPr>
            </w:pPr>
            <w:r>
              <w:rPr>
                <w:b/>
                <w:caps/>
                <w:color w:val="000000"/>
                <w:kern w:val="0"/>
              </w:rPr>
              <w:t>公司名称</w:t>
            </w:r>
          </w:p>
        </w:tc>
        <w:tc>
          <w:tcPr>
            <w:tcW w:w="5975" w:type="dxa"/>
            <w:shd w:val="clear" w:color="auto" w:fill="FFFFFF"/>
            <w:vAlign w:val="center"/>
          </w:tcPr>
          <w:p w14:paraId="5E0E4424" w14:textId="77777777" w:rsidR="004B0883" w:rsidRDefault="004B0883">
            <w:pPr>
              <w:adjustRightInd w:val="0"/>
              <w:snapToGrid w:val="0"/>
              <w:rPr>
                <w:caps/>
                <w:color w:val="000000"/>
                <w:kern w:val="0"/>
              </w:rPr>
            </w:pPr>
            <w:r>
              <w:rPr>
                <w:rFonts w:hint="eastAsia"/>
              </w:rPr>
              <w:t>青岛伟隆五金机械有限公司</w:t>
            </w:r>
          </w:p>
        </w:tc>
      </w:tr>
      <w:tr w:rsidR="004B0883" w14:paraId="566ABEC7" w14:textId="77777777">
        <w:trPr>
          <w:trHeight w:val="397"/>
          <w:jc w:val="center"/>
        </w:trPr>
        <w:tc>
          <w:tcPr>
            <w:tcW w:w="2553" w:type="dxa"/>
            <w:shd w:val="clear" w:color="auto" w:fill="D9D9D9"/>
            <w:vAlign w:val="center"/>
          </w:tcPr>
          <w:p w14:paraId="450140CF" w14:textId="77777777" w:rsidR="004B0883" w:rsidRDefault="004B0883">
            <w:pPr>
              <w:adjustRightInd w:val="0"/>
              <w:snapToGrid w:val="0"/>
              <w:jc w:val="center"/>
              <w:rPr>
                <w:b/>
                <w:caps/>
                <w:color w:val="000000"/>
                <w:kern w:val="0"/>
              </w:rPr>
            </w:pPr>
            <w:r>
              <w:rPr>
                <w:b/>
                <w:caps/>
                <w:color w:val="000000"/>
                <w:kern w:val="0"/>
              </w:rPr>
              <w:t>统一社会信用代码</w:t>
            </w:r>
          </w:p>
        </w:tc>
        <w:tc>
          <w:tcPr>
            <w:tcW w:w="5975" w:type="dxa"/>
            <w:shd w:val="clear" w:color="auto" w:fill="FFFFFF"/>
            <w:vAlign w:val="center"/>
          </w:tcPr>
          <w:p w14:paraId="5C2018F8" w14:textId="77777777" w:rsidR="004B0883" w:rsidRDefault="004B0883">
            <w:pPr>
              <w:adjustRightInd w:val="0"/>
              <w:snapToGrid w:val="0"/>
              <w:rPr>
                <w:caps/>
                <w:color w:val="000000"/>
                <w:kern w:val="0"/>
                <w:highlight w:val="yellow"/>
              </w:rPr>
            </w:pPr>
            <w:r>
              <w:rPr>
                <w:caps/>
                <w:color w:val="000000"/>
                <w:kern w:val="0"/>
              </w:rPr>
              <w:t>91370212706443401Q</w:t>
            </w:r>
          </w:p>
        </w:tc>
      </w:tr>
      <w:tr w:rsidR="004B0883" w14:paraId="006686FA" w14:textId="77777777">
        <w:trPr>
          <w:trHeight w:val="397"/>
          <w:jc w:val="center"/>
        </w:trPr>
        <w:tc>
          <w:tcPr>
            <w:tcW w:w="2553" w:type="dxa"/>
            <w:shd w:val="clear" w:color="auto" w:fill="D9D9D9"/>
            <w:vAlign w:val="center"/>
          </w:tcPr>
          <w:p w14:paraId="5825CC95" w14:textId="77777777" w:rsidR="004B0883" w:rsidRDefault="004B0883">
            <w:pPr>
              <w:adjustRightInd w:val="0"/>
              <w:snapToGrid w:val="0"/>
              <w:jc w:val="center"/>
              <w:rPr>
                <w:b/>
                <w:caps/>
                <w:color w:val="000000"/>
                <w:kern w:val="0"/>
              </w:rPr>
            </w:pPr>
            <w:r>
              <w:rPr>
                <w:b/>
                <w:caps/>
                <w:color w:val="000000"/>
                <w:kern w:val="0"/>
              </w:rPr>
              <w:t>公司类型</w:t>
            </w:r>
          </w:p>
        </w:tc>
        <w:tc>
          <w:tcPr>
            <w:tcW w:w="5975" w:type="dxa"/>
            <w:shd w:val="clear" w:color="auto" w:fill="FFFFFF"/>
            <w:vAlign w:val="center"/>
          </w:tcPr>
          <w:p w14:paraId="3D26465F" w14:textId="77777777" w:rsidR="004B0883" w:rsidRDefault="004B0883">
            <w:pPr>
              <w:adjustRightInd w:val="0"/>
              <w:snapToGrid w:val="0"/>
              <w:rPr>
                <w:caps/>
                <w:color w:val="000000"/>
                <w:kern w:val="0"/>
                <w:highlight w:val="yellow"/>
              </w:rPr>
            </w:pPr>
            <w:r>
              <w:rPr>
                <w:rFonts w:hint="eastAsia"/>
                <w:caps/>
                <w:color w:val="000000"/>
                <w:kern w:val="0"/>
              </w:rPr>
              <w:t>有限责任公司（自然人投资或控股的法人独资）</w:t>
            </w:r>
          </w:p>
        </w:tc>
      </w:tr>
      <w:tr w:rsidR="004B0883" w14:paraId="313126D8" w14:textId="77777777">
        <w:trPr>
          <w:trHeight w:val="397"/>
          <w:jc w:val="center"/>
        </w:trPr>
        <w:tc>
          <w:tcPr>
            <w:tcW w:w="2553" w:type="dxa"/>
            <w:shd w:val="clear" w:color="auto" w:fill="D9D9D9"/>
            <w:vAlign w:val="center"/>
          </w:tcPr>
          <w:p w14:paraId="7854DDD6" w14:textId="77777777" w:rsidR="004B0883" w:rsidRDefault="004B0883">
            <w:pPr>
              <w:adjustRightInd w:val="0"/>
              <w:snapToGrid w:val="0"/>
              <w:jc w:val="center"/>
              <w:rPr>
                <w:b/>
                <w:caps/>
                <w:color w:val="000000"/>
                <w:kern w:val="0"/>
              </w:rPr>
            </w:pPr>
            <w:r>
              <w:rPr>
                <w:b/>
                <w:caps/>
                <w:color w:val="000000"/>
                <w:kern w:val="0"/>
              </w:rPr>
              <w:t>法定代表人</w:t>
            </w:r>
          </w:p>
        </w:tc>
        <w:tc>
          <w:tcPr>
            <w:tcW w:w="5975" w:type="dxa"/>
            <w:shd w:val="clear" w:color="auto" w:fill="FFFFFF"/>
            <w:vAlign w:val="center"/>
          </w:tcPr>
          <w:p w14:paraId="6ACF63B6" w14:textId="77777777" w:rsidR="004B0883" w:rsidRDefault="004B0883">
            <w:pPr>
              <w:adjustRightInd w:val="0"/>
              <w:snapToGrid w:val="0"/>
              <w:rPr>
                <w:caps/>
                <w:color w:val="000000"/>
                <w:kern w:val="0"/>
                <w:highlight w:val="yellow"/>
              </w:rPr>
            </w:pPr>
            <w:r>
              <w:rPr>
                <w:rFonts w:hint="eastAsia"/>
                <w:caps/>
                <w:color w:val="000000"/>
                <w:kern w:val="0"/>
              </w:rPr>
              <w:t>范庆伟</w:t>
            </w:r>
          </w:p>
        </w:tc>
      </w:tr>
      <w:tr w:rsidR="004B0883" w14:paraId="3779EB43" w14:textId="77777777">
        <w:trPr>
          <w:trHeight w:val="397"/>
          <w:jc w:val="center"/>
        </w:trPr>
        <w:tc>
          <w:tcPr>
            <w:tcW w:w="2553" w:type="dxa"/>
            <w:shd w:val="clear" w:color="auto" w:fill="D9D9D9"/>
            <w:vAlign w:val="center"/>
          </w:tcPr>
          <w:p w14:paraId="45ABEB55" w14:textId="77777777" w:rsidR="004B0883" w:rsidRDefault="004B0883">
            <w:pPr>
              <w:adjustRightInd w:val="0"/>
              <w:snapToGrid w:val="0"/>
              <w:jc w:val="center"/>
              <w:rPr>
                <w:b/>
                <w:caps/>
                <w:color w:val="000000"/>
                <w:kern w:val="0"/>
              </w:rPr>
            </w:pPr>
            <w:r>
              <w:rPr>
                <w:b/>
                <w:caps/>
                <w:color w:val="000000"/>
                <w:kern w:val="0"/>
              </w:rPr>
              <w:t>注册资本</w:t>
            </w:r>
          </w:p>
        </w:tc>
        <w:tc>
          <w:tcPr>
            <w:tcW w:w="5975" w:type="dxa"/>
            <w:shd w:val="clear" w:color="auto" w:fill="FFFFFF"/>
            <w:vAlign w:val="center"/>
          </w:tcPr>
          <w:p w14:paraId="6F7004ED" w14:textId="77777777" w:rsidR="004B0883" w:rsidRDefault="004B0883">
            <w:pPr>
              <w:adjustRightInd w:val="0"/>
              <w:snapToGrid w:val="0"/>
              <w:rPr>
                <w:caps/>
                <w:color w:val="000000"/>
                <w:kern w:val="0"/>
                <w:highlight w:val="yellow"/>
              </w:rPr>
            </w:pPr>
            <w:r>
              <w:rPr>
                <w:rFonts w:hint="eastAsia"/>
                <w:caps/>
                <w:color w:val="000000"/>
                <w:kern w:val="0"/>
              </w:rPr>
              <w:t>5</w:t>
            </w:r>
            <w:r>
              <w:rPr>
                <w:caps/>
                <w:color w:val="000000"/>
                <w:kern w:val="0"/>
              </w:rPr>
              <w:t>0</w:t>
            </w:r>
            <w:r>
              <w:rPr>
                <w:rFonts w:hint="eastAsia"/>
                <w:caps/>
                <w:color w:val="000000"/>
                <w:kern w:val="0"/>
              </w:rPr>
              <w:t>万元</w:t>
            </w:r>
          </w:p>
        </w:tc>
      </w:tr>
      <w:tr w:rsidR="004B0883" w14:paraId="296A23B7" w14:textId="77777777">
        <w:trPr>
          <w:trHeight w:val="397"/>
          <w:jc w:val="center"/>
        </w:trPr>
        <w:tc>
          <w:tcPr>
            <w:tcW w:w="2553" w:type="dxa"/>
            <w:shd w:val="clear" w:color="auto" w:fill="D9D9D9"/>
            <w:vAlign w:val="center"/>
          </w:tcPr>
          <w:p w14:paraId="5B434A39" w14:textId="77777777" w:rsidR="004B0883" w:rsidRDefault="004B0883">
            <w:pPr>
              <w:adjustRightInd w:val="0"/>
              <w:snapToGrid w:val="0"/>
              <w:jc w:val="center"/>
              <w:rPr>
                <w:b/>
                <w:caps/>
                <w:color w:val="000000"/>
                <w:kern w:val="0"/>
              </w:rPr>
            </w:pPr>
            <w:r>
              <w:rPr>
                <w:b/>
                <w:caps/>
                <w:color w:val="000000"/>
                <w:kern w:val="0"/>
              </w:rPr>
              <w:t>注册地址</w:t>
            </w:r>
          </w:p>
        </w:tc>
        <w:tc>
          <w:tcPr>
            <w:tcW w:w="5975" w:type="dxa"/>
            <w:shd w:val="clear" w:color="auto" w:fill="FFFFFF"/>
            <w:vAlign w:val="center"/>
          </w:tcPr>
          <w:p w14:paraId="3F83413A" w14:textId="77777777" w:rsidR="004B0883" w:rsidRDefault="004B0883">
            <w:pPr>
              <w:adjustRightInd w:val="0"/>
              <w:snapToGrid w:val="0"/>
              <w:rPr>
                <w:caps/>
                <w:color w:val="000000"/>
                <w:kern w:val="0"/>
                <w:highlight w:val="yellow"/>
              </w:rPr>
            </w:pPr>
            <w:r>
              <w:rPr>
                <w:rFonts w:hint="eastAsia"/>
                <w:caps/>
                <w:color w:val="000000"/>
                <w:kern w:val="0"/>
              </w:rPr>
              <w:t>中国（山东）自由贸易试验区青岛片区前湾保税港区北京路</w:t>
            </w:r>
            <w:r>
              <w:rPr>
                <w:rFonts w:hint="eastAsia"/>
                <w:caps/>
                <w:color w:val="000000"/>
                <w:kern w:val="0"/>
              </w:rPr>
              <w:t>45</w:t>
            </w:r>
            <w:r>
              <w:rPr>
                <w:rFonts w:hint="eastAsia"/>
                <w:caps/>
                <w:color w:val="000000"/>
                <w:kern w:val="0"/>
              </w:rPr>
              <w:t>号东办公楼一楼</w:t>
            </w:r>
            <w:r>
              <w:rPr>
                <w:rFonts w:hint="eastAsia"/>
                <w:caps/>
                <w:color w:val="000000"/>
                <w:kern w:val="0"/>
              </w:rPr>
              <w:t>2022-2734</w:t>
            </w:r>
            <w:r>
              <w:rPr>
                <w:rFonts w:hint="eastAsia"/>
                <w:caps/>
                <w:color w:val="000000"/>
                <w:kern w:val="0"/>
              </w:rPr>
              <w:t>（</w:t>
            </w:r>
            <w:r>
              <w:rPr>
                <w:rFonts w:hint="eastAsia"/>
                <w:caps/>
                <w:color w:val="000000"/>
                <w:kern w:val="0"/>
              </w:rPr>
              <w:t>A</w:t>
            </w:r>
            <w:r>
              <w:rPr>
                <w:rFonts w:hint="eastAsia"/>
                <w:caps/>
                <w:color w:val="000000"/>
                <w:kern w:val="0"/>
              </w:rPr>
              <w:t>）</w:t>
            </w:r>
          </w:p>
        </w:tc>
      </w:tr>
      <w:tr w:rsidR="004B0883" w14:paraId="2CC77FCC" w14:textId="77777777">
        <w:trPr>
          <w:trHeight w:val="397"/>
          <w:jc w:val="center"/>
        </w:trPr>
        <w:tc>
          <w:tcPr>
            <w:tcW w:w="2553" w:type="dxa"/>
            <w:shd w:val="clear" w:color="auto" w:fill="D9D9D9"/>
            <w:vAlign w:val="center"/>
          </w:tcPr>
          <w:p w14:paraId="67E8EE8E" w14:textId="77777777" w:rsidR="004B0883" w:rsidRDefault="004B0883">
            <w:pPr>
              <w:adjustRightInd w:val="0"/>
              <w:snapToGrid w:val="0"/>
              <w:jc w:val="center"/>
              <w:rPr>
                <w:b/>
                <w:caps/>
                <w:color w:val="000000"/>
                <w:kern w:val="0"/>
              </w:rPr>
            </w:pPr>
            <w:r>
              <w:rPr>
                <w:b/>
                <w:caps/>
                <w:color w:val="000000"/>
                <w:kern w:val="0"/>
              </w:rPr>
              <w:t>成立日期</w:t>
            </w:r>
          </w:p>
        </w:tc>
        <w:tc>
          <w:tcPr>
            <w:tcW w:w="5975" w:type="dxa"/>
            <w:shd w:val="clear" w:color="auto" w:fill="FFFFFF"/>
            <w:vAlign w:val="center"/>
          </w:tcPr>
          <w:p w14:paraId="6E14BDF0" w14:textId="77777777" w:rsidR="004B0883" w:rsidRDefault="004B0883">
            <w:pPr>
              <w:adjustRightInd w:val="0"/>
              <w:snapToGrid w:val="0"/>
              <w:rPr>
                <w:caps/>
                <w:color w:val="000000"/>
                <w:kern w:val="0"/>
                <w:highlight w:val="yellow"/>
              </w:rPr>
            </w:pPr>
            <w:r>
              <w:rPr>
                <w:caps/>
                <w:color w:val="000000"/>
                <w:kern w:val="0"/>
              </w:rPr>
              <w:t>1998</w:t>
            </w:r>
            <w:r>
              <w:rPr>
                <w:rFonts w:hint="eastAsia"/>
                <w:caps/>
                <w:color w:val="000000"/>
                <w:kern w:val="0"/>
              </w:rPr>
              <w:t>年</w:t>
            </w:r>
            <w:r>
              <w:rPr>
                <w:caps/>
                <w:color w:val="000000"/>
                <w:kern w:val="0"/>
              </w:rPr>
              <w:t>9</w:t>
            </w:r>
            <w:r>
              <w:rPr>
                <w:rFonts w:hint="eastAsia"/>
                <w:caps/>
                <w:color w:val="000000"/>
                <w:kern w:val="0"/>
              </w:rPr>
              <w:t>月</w:t>
            </w:r>
            <w:r>
              <w:rPr>
                <w:caps/>
                <w:color w:val="000000"/>
                <w:kern w:val="0"/>
              </w:rPr>
              <w:t>4</w:t>
            </w:r>
            <w:r>
              <w:rPr>
                <w:rFonts w:hint="eastAsia"/>
                <w:caps/>
                <w:color w:val="000000"/>
                <w:kern w:val="0"/>
              </w:rPr>
              <w:t>日</w:t>
            </w:r>
          </w:p>
        </w:tc>
      </w:tr>
      <w:tr w:rsidR="004B0883" w14:paraId="7321357F" w14:textId="77777777">
        <w:trPr>
          <w:trHeight w:val="397"/>
          <w:jc w:val="center"/>
        </w:trPr>
        <w:tc>
          <w:tcPr>
            <w:tcW w:w="2553" w:type="dxa"/>
            <w:shd w:val="clear" w:color="auto" w:fill="D9D9D9"/>
            <w:vAlign w:val="center"/>
          </w:tcPr>
          <w:p w14:paraId="7C7E8641" w14:textId="77777777" w:rsidR="004B0883" w:rsidRDefault="004B0883">
            <w:pPr>
              <w:adjustRightInd w:val="0"/>
              <w:snapToGrid w:val="0"/>
              <w:jc w:val="center"/>
              <w:rPr>
                <w:b/>
                <w:caps/>
                <w:color w:val="000000"/>
                <w:kern w:val="0"/>
              </w:rPr>
            </w:pPr>
            <w:r>
              <w:rPr>
                <w:b/>
                <w:caps/>
                <w:color w:val="000000"/>
                <w:kern w:val="0"/>
              </w:rPr>
              <w:t>营业期限</w:t>
            </w:r>
          </w:p>
        </w:tc>
        <w:tc>
          <w:tcPr>
            <w:tcW w:w="5975" w:type="dxa"/>
            <w:shd w:val="clear" w:color="auto" w:fill="FFFFFF"/>
            <w:vAlign w:val="center"/>
          </w:tcPr>
          <w:p w14:paraId="1CF160F4" w14:textId="77777777" w:rsidR="004B0883" w:rsidRDefault="004B0883">
            <w:pPr>
              <w:adjustRightInd w:val="0"/>
              <w:snapToGrid w:val="0"/>
              <w:rPr>
                <w:caps/>
                <w:color w:val="000000"/>
                <w:kern w:val="0"/>
                <w:highlight w:val="yellow"/>
              </w:rPr>
            </w:pPr>
            <w:r>
              <w:rPr>
                <w:caps/>
                <w:color w:val="000000"/>
                <w:kern w:val="0"/>
              </w:rPr>
              <w:t>1998</w:t>
            </w:r>
            <w:r>
              <w:rPr>
                <w:rFonts w:hint="eastAsia"/>
                <w:caps/>
                <w:color w:val="000000"/>
                <w:kern w:val="0"/>
              </w:rPr>
              <w:t>年</w:t>
            </w:r>
            <w:r>
              <w:rPr>
                <w:caps/>
                <w:color w:val="000000"/>
                <w:kern w:val="0"/>
              </w:rPr>
              <w:t>9</w:t>
            </w:r>
            <w:r>
              <w:rPr>
                <w:rFonts w:hint="eastAsia"/>
                <w:caps/>
                <w:color w:val="000000"/>
                <w:kern w:val="0"/>
              </w:rPr>
              <w:t>月</w:t>
            </w:r>
            <w:r>
              <w:rPr>
                <w:caps/>
                <w:color w:val="000000"/>
                <w:kern w:val="0"/>
              </w:rPr>
              <w:t>4</w:t>
            </w:r>
            <w:r>
              <w:rPr>
                <w:rFonts w:hint="eastAsia"/>
                <w:caps/>
                <w:color w:val="000000"/>
                <w:kern w:val="0"/>
              </w:rPr>
              <w:t>日至</w:t>
            </w:r>
            <w:r>
              <w:rPr>
                <w:rFonts w:hint="eastAsia"/>
                <w:caps/>
                <w:color w:val="000000"/>
                <w:kern w:val="0"/>
              </w:rPr>
              <w:t>2028</w:t>
            </w:r>
            <w:r>
              <w:rPr>
                <w:rFonts w:hint="eastAsia"/>
                <w:caps/>
                <w:color w:val="000000"/>
                <w:kern w:val="0"/>
              </w:rPr>
              <w:t>年</w:t>
            </w:r>
            <w:r>
              <w:rPr>
                <w:rFonts w:hint="eastAsia"/>
                <w:caps/>
                <w:color w:val="000000"/>
                <w:kern w:val="0"/>
              </w:rPr>
              <w:t>9</w:t>
            </w:r>
            <w:r>
              <w:rPr>
                <w:rFonts w:hint="eastAsia"/>
                <w:caps/>
                <w:color w:val="000000"/>
                <w:kern w:val="0"/>
              </w:rPr>
              <w:t>月</w:t>
            </w:r>
            <w:r>
              <w:rPr>
                <w:rFonts w:hint="eastAsia"/>
                <w:caps/>
                <w:color w:val="000000"/>
                <w:kern w:val="0"/>
              </w:rPr>
              <w:t>3</w:t>
            </w:r>
            <w:r>
              <w:rPr>
                <w:rFonts w:hint="eastAsia"/>
                <w:caps/>
                <w:color w:val="000000"/>
                <w:kern w:val="0"/>
              </w:rPr>
              <w:t>日</w:t>
            </w:r>
          </w:p>
        </w:tc>
      </w:tr>
      <w:tr w:rsidR="004B0883" w14:paraId="23F2CEF9" w14:textId="77777777">
        <w:trPr>
          <w:trHeight w:val="397"/>
          <w:jc w:val="center"/>
        </w:trPr>
        <w:tc>
          <w:tcPr>
            <w:tcW w:w="2553" w:type="dxa"/>
            <w:shd w:val="clear" w:color="auto" w:fill="D9D9D9"/>
            <w:vAlign w:val="center"/>
          </w:tcPr>
          <w:p w14:paraId="5C0E4691" w14:textId="77777777" w:rsidR="004B0883" w:rsidRDefault="004B0883">
            <w:pPr>
              <w:adjustRightInd w:val="0"/>
              <w:snapToGrid w:val="0"/>
              <w:jc w:val="center"/>
              <w:rPr>
                <w:b/>
                <w:caps/>
                <w:color w:val="000000"/>
                <w:kern w:val="0"/>
              </w:rPr>
            </w:pPr>
            <w:r>
              <w:rPr>
                <w:b/>
                <w:caps/>
                <w:color w:val="000000"/>
                <w:kern w:val="0"/>
              </w:rPr>
              <w:t>经营范围</w:t>
            </w:r>
          </w:p>
        </w:tc>
        <w:tc>
          <w:tcPr>
            <w:tcW w:w="5975" w:type="dxa"/>
            <w:shd w:val="clear" w:color="auto" w:fill="FFFFFF"/>
            <w:vAlign w:val="center"/>
          </w:tcPr>
          <w:p w14:paraId="2AB60537" w14:textId="77777777" w:rsidR="004B0883" w:rsidRDefault="004B0883">
            <w:pPr>
              <w:adjustRightInd w:val="0"/>
              <w:snapToGrid w:val="0"/>
              <w:rPr>
                <w:caps/>
                <w:color w:val="000000"/>
                <w:kern w:val="0"/>
                <w:highlight w:val="yellow"/>
              </w:rPr>
            </w:pPr>
            <w:r>
              <w:rPr>
                <w:rFonts w:hint="eastAsia"/>
                <w:caps/>
                <w:color w:val="000000"/>
                <w:kern w:val="0"/>
              </w:rPr>
              <w:t>一般项目：机械设备租赁；土地使用权租赁；非居住房地产租赁；阀门、金属制品、锻铸件、机械零部件、汽车零部件、通信设备的贸易；智能设备设计、研发；食品经营（仅销售预包装食品）；货物进出口；技术进出口；进出口代理（除依法须经批准的项目外，凭营业执照依法自主开展经营活动）</w:t>
            </w:r>
          </w:p>
        </w:tc>
      </w:tr>
    </w:tbl>
    <w:bookmarkEnd w:id="199"/>
    <w:p w14:paraId="34FADE94" w14:textId="77777777" w:rsidR="004B0883" w:rsidRDefault="004B0883">
      <w:pPr>
        <w:pStyle w:val="004"/>
        <w:spacing w:before="120" w:after="120"/>
        <w:ind w:firstLine="482"/>
      </w:pPr>
      <w:r>
        <w:rPr>
          <w:rFonts w:hint="eastAsia"/>
        </w:rPr>
        <w:t>（</w:t>
      </w:r>
      <w:r>
        <w:rPr>
          <w:rFonts w:hint="eastAsia"/>
        </w:rPr>
        <w:t>6</w:t>
      </w:r>
      <w:r>
        <w:rPr>
          <w:rFonts w:hint="eastAsia"/>
        </w:rPr>
        <w:t>）英国伟隆</w:t>
      </w:r>
    </w:p>
    <w:tbl>
      <w:tblPr>
        <w:tblW w:w="8528"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553"/>
        <w:gridCol w:w="5975"/>
      </w:tblGrid>
      <w:tr w:rsidR="004B0883" w14:paraId="79CEA1D6" w14:textId="77777777">
        <w:trPr>
          <w:trHeight w:val="397"/>
          <w:jc w:val="center"/>
        </w:trPr>
        <w:tc>
          <w:tcPr>
            <w:tcW w:w="2553" w:type="dxa"/>
            <w:shd w:val="clear" w:color="auto" w:fill="D9D9D9"/>
            <w:vAlign w:val="center"/>
          </w:tcPr>
          <w:p w14:paraId="1739AF7B" w14:textId="77777777" w:rsidR="004B0883" w:rsidRDefault="004B0883">
            <w:pPr>
              <w:adjustRightInd w:val="0"/>
              <w:snapToGrid w:val="0"/>
              <w:jc w:val="center"/>
              <w:rPr>
                <w:b/>
                <w:caps/>
                <w:color w:val="000000"/>
                <w:kern w:val="0"/>
              </w:rPr>
            </w:pPr>
            <w:r>
              <w:rPr>
                <w:b/>
                <w:caps/>
                <w:color w:val="000000"/>
                <w:kern w:val="0"/>
              </w:rPr>
              <w:t>公司名称</w:t>
            </w:r>
          </w:p>
        </w:tc>
        <w:tc>
          <w:tcPr>
            <w:tcW w:w="5975" w:type="dxa"/>
            <w:shd w:val="clear" w:color="auto" w:fill="FFFFFF"/>
            <w:vAlign w:val="center"/>
          </w:tcPr>
          <w:p w14:paraId="1B0DC1C0" w14:textId="77777777" w:rsidR="004B0883" w:rsidRDefault="004B0883">
            <w:pPr>
              <w:adjustRightInd w:val="0"/>
              <w:snapToGrid w:val="0"/>
              <w:rPr>
                <w:caps/>
                <w:color w:val="000000"/>
                <w:kern w:val="0"/>
              </w:rPr>
            </w:pPr>
            <w:r>
              <w:rPr>
                <w:caps/>
                <w:color w:val="000000"/>
                <w:kern w:val="0"/>
              </w:rPr>
              <w:t>Weflo</w:t>
            </w:r>
            <w:r>
              <w:rPr>
                <w:rFonts w:hint="eastAsia"/>
                <w:caps/>
                <w:color w:val="000000"/>
                <w:kern w:val="0"/>
              </w:rPr>
              <w:t xml:space="preserve"> </w:t>
            </w:r>
            <w:r>
              <w:rPr>
                <w:caps/>
                <w:color w:val="000000"/>
                <w:kern w:val="0"/>
              </w:rPr>
              <w:t>Valve Company Limited</w:t>
            </w:r>
          </w:p>
        </w:tc>
      </w:tr>
      <w:tr w:rsidR="004B0883" w14:paraId="2598EA09" w14:textId="77777777">
        <w:trPr>
          <w:trHeight w:val="397"/>
          <w:jc w:val="center"/>
        </w:trPr>
        <w:tc>
          <w:tcPr>
            <w:tcW w:w="2553" w:type="dxa"/>
            <w:shd w:val="clear" w:color="auto" w:fill="D9D9D9"/>
            <w:vAlign w:val="center"/>
          </w:tcPr>
          <w:p w14:paraId="07238CB3" w14:textId="77777777" w:rsidR="004B0883" w:rsidRDefault="004B0883">
            <w:pPr>
              <w:adjustRightInd w:val="0"/>
              <w:snapToGrid w:val="0"/>
              <w:jc w:val="center"/>
              <w:rPr>
                <w:b/>
                <w:caps/>
                <w:color w:val="000000"/>
                <w:kern w:val="0"/>
              </w:rPr>
            </w:pPr>
            <w:r>
              <w:rPr>
                <w:b/>
                <w:caps/>
                <w:color w:val="000000"/>
                <w:kern w:val="0"/>
              </w:rPr>
              <w:t>公司类型</w:t>
            </w:r>
          </w:p>
        </w:tc>
        <w:tc>
          <w:tcPr>
            <w:tcW w:w="5975" w:type="dxa"/>
            <w:shd w:val="clear" w:color="auto" w:fill="FFFFFF"/>
            <w:vAlign w:val="center"/>
          </w:tcPr>
          <w:p w14:paraId="79D96F8A" w14:textId="77777777" w:rsidR="004B0883" w:rsidRDefault="004B0883">
            <w:pPr>
              <w:adjustRightInd w:val="0"/>
              <w:snapToGrid w:val="0"/>
              <w:rPr>
                <w:caps/>
                <w:color w:val="000000"/>
                <w:kern w:val="0"/>
              </w:rPr>
            </w:pPr>
            <w:r>
              <w:rPr>
                <w:caps/>
                <w:color w:val="000000"/>
                <w:kern w:val="0"/>
              </w:rPr>
              <w:t>境外</w:t>
            </w:r>
            <w:r>
              <w:rPr>
                <w:rFonts w:hint="eastAsia"/>
                <w:caps/>
                <w:color w:val="000000"/>
                <w:kern w:val="0"/>
              </w:rPr>
              <w:t>全资子</w:t>
            </w:r>
            <w:r>
              <w:rPr>
                <w:caps/>
                <w:color w:val="000000"/>
                <w:kern w:val="0"/>
              </w:rPr>
              <w:t>公司</w:t>
            </w:r>
          </w:p>
        </w:tc>
      </w:tr>
      <w:tr w:rsidR="004B0883" w14:paraId="3B62035F" w14:textId="77777777">
        <w:trPr>
          <w:trHeight w:val="397"/>
          <w:jc w:val="center"/>
        </w:trPr>
        <w:tc>
          <w:tcPr>
            <w:tcW w:w="2553" w:type="dxa"/>
            <w:shd w:val="clear" w:color="auto" w:fill="D9D9D9"/>
            <w:vAlign w:val="center"/>
          </w:tcPr>
          <w:p w14:paraId="76571A22" w14:textId="77777777" w:rsidR="004B0883" w:rsidRDefault="004B0883">
            <w:pPr>
              <w:adjustRightInd w:val="0"/>
              <w:snapToGrid w:val="0"/>
              <w:jc w:val="center"/>
              <w:rPr>
                <w:b/>
                <w:caps/>
                <w:color w:val="000000"/>
                <w:kern w:val="0"/>
              </w:rPr>
            </w:pPr>
            <w:r>
              <w:rPr>
                <w:b/>
                <w:caps/>
                <w:color w:val="000000"/>
                <w:kern w:val="0"/>
              </w:rPr>
              <w:t>注册资本</w:t>
            </w:r>
          </w:p>
        </w:tc>
        <w:tc>
          <w:tcPr>
            <w:tcW w:w="5975" w:type="dxa"/>
            <w:shd w:val="clear" w:color="auto" w:fill="FFFFFF"/>
            <w:vAlign w:val="center"/>
          </w:tcPr>
          <w:p w14:paraId="06927368" w14:textId="77777777" w:rsidR="004B0883" w:rsidRDefault="004B0883">
            <w:pPr>
              <w:adjustRightInd w:val="0"/>
              <w:snapToGrid w:val="0"/>
              <w:rPr>
                <w:caps/>
                <w:color w:val="000000"/>
                <w:kern w:val="0"/>
              </w:rPr>
            </w:pPr>
            <w:r>
              <w:rPr>
                <w:rFonts w:hint="eastAsia"/>
                <w:caps/>
                <w:color w:val="000000"/>
                <w:kern w:val="0"/>
              </w:rPr>
              <w:t>100</w:t>
            </w:r>
            <w:r>
              <w:rPr>
                <w:rFonts w:hint="eastAsia"/>
                <w:caps/>
                <w:color w:val="000000"/>
                <w:kern w:val="0"/>
              </w:rPr>
              <w:t>英镑</w:t>
            </w:r>
          </w:p>
        </w:tc>
      </w:tr>
      <w:tr w:rsidR="004B0883" w14:paraId="62EB3A03" w14:textId="77777777">
        <w:trPr>
          <w:trHeight w:val="397"/>
          <w:jc w:val="center"/>
        </w:trPr>
        <w:tc>
          <w:tcPr>
            <w:tcW w:w="2553" w:type="dxa"/>
            <w:shd w:val="clear" w:color="auto" w:fill="D9D9D9"/>
            <w:vAlign w:val="center"/>
          </w:tcPr>
          <w:p w14:paraId="3A281BE5" w14:textId="77777777" w:rsidR="004B0883" w:rsidRDefault="004B0883">
            <w:pPr>
              <w:adjustRightInd w:val="0"/>
              <w:snapToGrid w:val="0"/>
              <w:jc w:val="center"/>
              <w:rPr>
                <w:b/>
                <w:caps/>
                <w:color w:val="000000"/>
                <w:kern w:val="0"/>
              </w:rPr>
            </w:pPr>
            <w:r>
              <w:rPr>
                <w:b/>
                <w:caps/>
                <w:color w:val="000000"/>
                <w:kern w:val="0"/>
              </w:rPr>
              <w:t>公司住所</w:t>
            </w:r>
          </w:p>
        </w:tc>
        <w:tc>
          <w:tcPr>
            <w:tcW w:w="5975" w:type="dxa"/>
            <w:shd w:val="clear" w:color="auto" w:fill="FFFFFF"/>
            <w:vAlign w:val="center"/>
          </w:tcPr>
          <w:p w14:paraId="2FC2E580" w14:textId="77777777" w:rsidR="004B0883" w:rsidRDefault="004B0883">
            <w:pPr>
              <w:adjustRightInd w:val="0"/>
              <w:snapToGrid w:val="0"/>
              <w:rPr>
                <w:caps/>
                <w:color w:val="000000"/>
                <w:kern w:val="0"/>
              </w:rPr>
            </w:pPr>
            <w:r>
              <w:rPr>
                <w:rFonts w:hint="eastAsia"/>
                <w:caps/>
                <w:color w:val="000000"/>
                <w:kern w:val="0"/>
              </w:rPr>
              <w:t>20-22 Wenlock Road, London, England, N1 7GU</w:t>
            </w:r>
          </w:p>
        </w:tc>
      </w:tr>
      <w:tr w:rsidR="004B0883" w14:paraId="7DF52445" w14:textId="77777777">
        <w:trPr>
          <w:trHeight w:val="397"/>
          <w:jc w:val="center"/>
        </w:trPr>
        <w:tc>
          <w:tcPr>
            <w:tcW w:w="2553" w:type="dxa"/>
            <w:shd w:val="clear" w:color="auto" w:fill="D9D9D9"/>
            <w:vAlign w:val="center"/>
          </w:tcPr>
          <w:p w14:paraId="751D6F1C" w14:textId="77777777" w:rsidR="004B0883" w:rsidRDefault="004B0883">
            <w:pPr>
              <w:adjustRightInd w:val="0"/>
              <w:snapToGrid w:val="0"/>
              <w:jc w:val="center"/>
              <w:rPr>
                <w:b/>
                <w:caps/>
                <w:color w:val="000000"/>
                <w:kern w:val="0"/>
              </w:rPr>
            </w:pPr>
            <w:r>
              <w:rPr>
                <w:b/>
                <w:caps/>
                <w:color w:val="000000"/>
                <w:kern w:val="0"/>
              </w:rPr>
              <w:t>成立日期</w:t>
            </w:r>
          </w:p>
        </w:tc>
        <w:tc>
          <w:tcPr>
            <w:tcW w:w="5975" w:type="dxa"/>
            <w:shd w:val="clear" w:color="auto" w:fill="FFFFFF"/>
            <w:vAlign w:val="center"/>
          </w:tcPr>
          <w:p w14:paraId="053C8634" w14:textId="77777777" w:rsidR="004B0883" w:rsidRDefault="004B0883">
            <w:pPr>
              <w:adjustRightInd w:val="0"/>
              <w:snapToGrid w:val="0"/>
              <w:rPr>
                <w:caps/>
                <w:color w:val="000000"/>
                <w:kern w:val="0"/>
              </w:rPr>
            </w:pPr>
            <w:r>
              <w:rPr>
                <w:caps/>
                <w:color w:val="000000"/>
                <w:kern w:val="0"/>
              </w:rPr>
              <w:t>2009</w:t>
            </w:r>
            <w:r>
              <w:rPr>
                <w:rFonts w:hint="eastAsia"/>
                <w:caps/>
                <w:color w:val="000000"/>
                <w:kern w:val="0"/>
              </w:rPr>
              <w:t>年</w:t>
            </w:r>
            <w:r>
              <w:rPr>
                <w:rFonts w:hint="eastAsia"/>
                <w:caps/>
                <w:color w:val="000000"/>
                <w:kern w:val="0"/>
              </w:rPr>
              <w:t>4</w:t>
            </w:r>
            <w:r>
              <w:rPr>
                <w:rFonts w:hint="eastAsia"/>
                <w:caps/>
                <w:color w:val="000000"/>
                <w:kern w:val="0"/>
              </w:rPr>
              <w:t>月</w:t>
            </w:r>
            <w:r>
              <w:rPr>
                <w:caps/>
                <w:color w:val="000000"/>
                <w:kern w:val="0"/>
              </w:rPr>
              <w:t>27</w:t>
            </w:r>
            <w:r>
              <w:rPr>
                <w:rFonts w:hint="eastAsia"/>
                <w:caps/>
                <w:color w:val="000000"/>
                <w:kern w:val="0"/>
              </w:rPr>
              <w:t>日</w:t>
            </w:r>
          </w:p>
        </w:tc>
      </w:tr>
      <w:tr w:rsidR="004B0883" w14:paraId="6BEE7347" w14:textId="77777777">
        <w:trPr>
          <w:trHeight w:val="397"/>
          <w:jc w:val="center"/>
        </w:trPr>
        <w:tc>
          <w:tcPr>
            <w:tcW w:w="2553" w:type="dxa"/>
            <w:shd w:val="clear" w:color="auto" w:fill="D9D9D9"/>
            <w:vAlign w:val="center"/>
          </w:tcPr>
          <w:p w14:paraId="407D71CA" w14:textId="77777777" w:rsidR="004B0883" w:rsidRDefault="004B0883">
            <w:pPr>
              <w:adjustRightInd w:val="0"/>
              <w:snapToGrid w:val="0"/>
              <w:jc w:val="center"/>
              <w:rPr>
                <w:b/>
                <w:caps/>
                <w:color w:val="000000"/>
                <w:kern w:val="0"/>
              </w:rPr>
            </w:pPr>
            <w:r>
              <w:rPr>
                <w:rFonts w:hint="eastAsia"/>
                <w:b/>
                <w:caps/>
                <w:color w:val="000000"/>
                <w:kern w:val="0"/>
              </w:rPr>
              <w:t>主营业务</w:t>
            </w:r>
          </w:p>
        </w:tc>
        <w:tc>
          <w:tcPr>
            <w:tcW w:w="5975" w:type="dxa"/>
            <w:shd w:val="clear" w:color="auto" w:fill="FFFFFF"/>
            <w:vAlign w:val="center"/>
          </w:tcPr>
          <w:p w14:paraId="27831CA3" w14:textId="77777777" w:rsidR="004B0883" w:rsidRDefault="004B0883">
            <w:pPr>
              <w:adjustRightInd w:val="0"/>
              <w:snapToGrid w:val="0"/>
              <w:rPr>
                <w:caps/>
                <w:color w:val="000000"/>
                <w:kern w:val="0"/>
              </w:rPr>
            </w:pPr>
            <w:r>
              <w:rPr>
                <w:rFonts w:hint="eastAsia"/>
                <w:caps/>
                <w:color w:val="000000"/>
                <w:kern w:val="0"/>
              </w:rPr>
              <w:t>本公司阀门产品的海外销售与品牌推广</w:t>
            </w:r>
          </w:p>
        </w:tc>
      </w:tr>
    </w:tbl>
    <w:p w14:paraId="35C9515F" w14:textId="77777777" w:rsidR="004B0883" w:rsidRDefault="004B0883">
      <w:pPr>
        <w:pStyle w:val="004"/>
        <w:spacing w:before="120" w:after="120"/>
        <w:ind w:firstLine="482"/>
      </w:pPr>
      <w:r>
        <w:rPr>
          <w:rFonts w:hint="eastAsia"/>
        </w:rPr>
        <w:t>（</w:t>
      </w:r>
      <w:r>
        <w:rPr>
          <w:rFonts w:hint="eastAsia"/>
        </w:rPr>
        <w:t>7</w:t>
      </w:r>
      <w:r>
        <w:rPr>
          <w:rFonts w:hint="eastAsia"/>
        </w:rPr>
        <w:t>）香港伟隆</w:t>
      </w:r>
    </w:p>
    <w:tbl>
      <w:tblPr>
        <w:tblW w:w="8528"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553"/>
        <w:gridCol w:w="5975"/>
      </w:tblGrid>
      <w:tr w:rsidR="004B0883" w14:paraId="6933CF1F" w14:textId="77777777">
        <w:trPr>
          <w:trHeight w:val="397"/>
          <w:jc w:val="center"/>
        </w:trPr>
        <w:tc>
          <w:tcPr>
            <w:tcW w:w="2553" w:type="dxa"/>
            <w:shd w:val="clear" w:color="auto" w:fill="D9D9D9"/>
            <w:vAlign w:val="center"/>
          </w:tcPr>
          <w:p w14:paraId="0743769E" w14:textId="77777777" w:rsidR="004B0883" w:rsidRDefault="004B0883">
            <w:pPr>
              <w:adjustRightInd w:val="0"/>
              <w:snapToGrid w:val="0"/>
              <w:jc w:val="center"/>
              <w:rPr>
                <w:b/>
                <w:caps/>
                <w:color w:val="000000"/>
                <w:kern w:val="0"/>
              </w:rPr>
            </w:pPr>
            <w:r>
              <w:rPr>
                <w:b/>
                <w:caps/>
                <w:color w:val="000000"/>
                <w:kern w:val="0"/>
              </w:rPr>
              <w:t>公司名称</w:t>
            </w:r>
          </w:p>
        </w:tc>
        <w:tc>
          <w:tcPr>
            <w:tcW w:w="5975" w:type="dxa"/>
            <w:shd w:val="clear" w:color="auto" w:fill="FFFFFF"/>
            <w:vAlign w:val="center"/>
          </w:tcPr>
          <w:p w14:paraId="422A3B5A" w14:textId="77777777" w:rsidR="004B0883" w:rsidRDefault="004B0883">
            <w:pPr>
              <w:adjustRightInd w:val="0"/>
              <w:snapToGrid w:val="0"/>
              <w:rPr>
                <w:caps/>
                <w:color w:val="000000"/>
                <w:kern w:val="0"/>
              </w:rPr>
            </w:pPr>
            <w:r>
              <w:rPr>
                <w:rFonts w:hint="eastAsia"/>
              </w:rPr>
              <w:t>伟隆（香港）实业有限公司</w:t>
            </w:r>
          </w:p>
        </w:tc>
      </w:tr>
      <w:tr w:rsidR="004B0883" w14:paraId="3896393B" w14:textId="77777777">
        <w:trPr>
          <w:trHeight w:val="397"/>
          <w:jc w:val="center"/>
        </w:trPr>
        <w:tc>
          <w:tcPr>
            <w:tcW w:w="2553" w:type="dxa"/>
            <w:shd w:val="clear" w:color="auto" w:fill="D9D9D9"/>
            <w:vAlign w:val="center"/>
          </w:tcPr>
          <w:p w14:paraId="039DD9E4" w14:textId="77777777" w:rsidR="004B0883" w:rsidRDefault="004B0883">
            <w:pPr>
              <w:adjustRightInd w:val="0"/>
              <w:snapToGrid w:val="0"/>
              <w:jc w:val="center"/>
              <w:rPr>
                <w:b/>
                <w:caps/>
                <w:color w:val="000000"/>
                <w:kern w:val="0"/>
              </w:rPr>
            </w:pPr>
            <w:r>
              <w:rPr>
                <w:b/>
                <w:caps/>
                <w:color w:val="000000"/>
                <w:kern w:val="0"/>
              </w:rPr>
              <w:t>公司</w:t>
            </w:r>
            <w:r>
              <w:rPr>
                <w:rFonts w:hint="eastAsia"/>
                <w:b/>
                <w:caps/>
                <w:color w:val="000000"/>
                <w:kern w:val="0"/>
              </w:rPr>
              <w:t>类型</w:t>
            </w:r>
          </w:p>
        </w:tc>
        <w:tc>
          <w:tcPr>
            <w:tcW w:w="5975" w:type="dxa"/>
            <w:shd w:val="clear" w:color="auto" w:fill="FFFFFF"/>
            <w:vAlign w:val="center"/>
          </w:tcPr>
          <w:p w14:paraId="59BCBC72" w14:textId="77777777" w:rsidR="004B0883" w:rsidRDefault="004B0883">
            <w:pPr>
              <w:adjustRightInd w:val="0"/>
              <w:snapToGrid w:val="0"/>
              <w:rPr>
                <w:caps/>
                <w:color w:val="000000"/>
                <w:kern w:val="0"/>
              </w:rPr>
            </w:pPr>
            <w:r>
              <w:rPr>
                <w:rFonts w:hint="eastAsia"/>
                <w:caps/>
                <w:color w:val="000000"/>
                <w:kern w:val="0"/>
              </w:rPr>
              <w:t>境外全资子公司</w:t>
            </w:r>
          </w:p>
        </w:tc>
      </w:tr>
      <w:tr w:rsidR="004B0883" w14:paraId="58EDB68B" w14:textId="77777777">
        <w:trPr>
          <w:trHeight w:val="397"/>
          <w:jc w:val="center"/>
        </w:trPr>
        <w:tc>
          <w:tcPr>
            <w:tcW w:w="2553" w:type="dxa"/>
            <w:shd w:val="clear" w:color="auto" w:fill="D9D9D9"/>
            <w:vAlign w:val="center"/>
          </w:tcPr>
          <w:p w14:paraId="761E61C6" w14:textId="77777777" w:rsidR="004B0883" w:rsidRDefault="004B0883">
            <w:pPr>
              <w:adjustRightInd w:val="0"/>
              <w:snapToGrid w:val="0"/>
              <w:jc w:val="center"/>
              <w:rPr>
                <w:b/>
                <w:caps/>
                <w:color w:val="000000"/>
                <w:kern w:val="0"/>
              </w:rPr>
            </w:pPr>
            <w:r>
              <w:rPr>
                <w:rFonts w:hint="eastAsia"/>
                <w:b/>
                <w:caps/>
                <w:color w:val="000000"/>
                <w:kern w:val="0"/>
              </w:rPr>
              <w:t>注册资本</w:t>
            </w:r>
          </w:p>
        </w:tc>
        <w:tc>
          <w:tcPr>
            <w:tcW w:w="5975" w:type="dxa"/>
            <w:shd w:val="clear" w:color="auto" w:fill="FFFFFF"/>
            <w:vAlign w:val="center"/>
          </w:tcPr>
          <w:p w14:paraId="0699E4DD" w14:textId="77777777" w:rsidR="004B0883" w:rsidRDefault="004B0883">
            <w:pPr>
              <w:adjustRightInd w:val="0"/>
              <w:snapToGrid w:val="0"/>
              <w:rPr>
                <w:caps/>
                <w:color w:val="000000"/>
                <w:kern w:val="0"/>
              </w:rPr>
            </w:pPr>
            <w:r>
              <w:rPr>
                <w:rFonts w:hint="eastAsia"/>
                <w:caps/>
                <w:color w:val="000000"/>
                <w:kern w:val="0"/>
              </w:rPr>
              <w:t>5</w:t>
            </w:r>
            <w:r>
              <w:rPr>
                <w:rFonts w:hint="eastAsia"/>
                <w:caps/>
                <w:color w:val="000000"/>
                <w:kern w:val="0"/>
              </w:rPr>
              <w:t>万美元</w:t>
            </w:r>
          </w:p>
        </w:tc>
      </w:tr>
      <w:tr w:rsidR="004B0883" w14:paraId="62D0FDD4" w14:textId="77777777">
        <w:trPr>
          <w:trHeight w:val="397"/>
          <w:jc w:val="center"/>
        </w:trPr>
        <w:tc>
          <w:tcPr>
            <w:tcW w:w="2553" w:type="dxa"/>
            <w:shd w:val="clear" w:color="auto" w:fill="D9D9D9"/>
            <w:vAlign w:val="center"/>
          </w:tcPr>
          <w:p w14:paraId="3280DE8B" w14:textId="77777777" w:rsidR="004B0883" w:rsidRDefault="004B0883">
            <w:pPr>
              <w:adjustRightInd w:val="0"/>
              <w:snapToGrid w:val="0"/>
              <w:jc w:val="center"/>
              <w:rPr>
                <w:b/>
                <w:caps/>
                <w:color w:val="000000"/>
                <w:kern w:val="0"/>
              </w:rPr>
            </w:pPr>
            <w:r>
              <w:rPr>
                <w:rFonts w:hint="eastAsia"/>
                <w:b/>
                <w:caps/>
                <w:color w:val="000000"/>
                <w:kern w:val="0"/>
              </w:rPr>
              <w:t>公司住所</w:t>
            </w:r>
          </w:p>
        </w:tc>
        <w:tc>
          <w:tcPr>
            <w:tcW w:w="5975" w:type="dxa"/>
            <w:shd w:val="clear" w:color="auto" w:fill="FFFFFF"/>
            <w:vAlign w:val="center"/>
          </w:tcPr>
          <w:p w14:paraId="14E6517E" w14:textId="77777777" w:rsidR="004B0883" w:rsidRDefault="004B0883">
            <w:pPr>
              <w:adjustRightInd w:val="0"/>
              <w:snapToGrid w:val="0"/>
              <w:rPr>
                <w:caps/>
                <w:color w:val="000000"/>
                <w:kern w:val="0"/>
              </w:rPr>
            </w:pPr>
            <w:r>
              <w:rPr>
                <w:rFonts w:hint="eastAsia"/>
                <w:caps/>
                <w:color w:val="000000"/>
                <w:kern w:val="0"/>
              </w:rPr>
              <w:t>香港湾仔湾仔道</w:t>
            </w:r>
            <w:r>
              <w:rPr>
                <w:rFonts w:hint="eastAsia"/>
                <w:caps/>
                <w:color w:val="000000"/>
                <w:kern w:val="0"/>
              </w:rPr>
              <w:t>165-171</w:t>
            </w:r>
            <w:r>
              <w:rPr>
                <w:rFonts w:hint="eastAsia"/>
                <w:caps/>
                <w:color w:val="000000"/>
                <w:kern w:val="0"/>
              </w:rPr>
              <w:t>号乐基中心</w:t>
            </w:r>
            <w:r>
              <w:rPr>
                <w:rFonts w:hint="eastAsia"/>
                <w:caps/>
                <w:color w:val="000000"/>
                <w:kern w:val="0"/>
              </w:rPr>
              <w:t>4</w:t>
            </w:r>
            <w:r>
              <w:rPr>
                <w:rFonts w:hint="eastAsia"/>
                <w:caps/>
                <w:color w:val="000000"/>
                <w:kern w:val="0"/>
              </w:rPr>
              <w:t>楼</w:t>
            </w:r>
            <w:r>
              <w:rPr>
                <w:rFonts w:hint="eastAsia"/>
                <w:caps/>
                <w:color w:val="000000"/>
                <w:kern w:val="0"/>
              </w:rPr>
              <w:t>413</w:t>
            </w:r>
            <w:r>
              <w:rPr>
                <w:rFonts w:hint="eastAsia"/>
                <w:caps/>
                <w:color w:val="000000"/>
                <w:kern w:val="0"/>
              </w:rPr>
              <w:t>室</w:t>
            </w:r>
          </w:p>
        </w:tc>
      </w:tr>
      <w:tr w:rsidR="004B0883" w14:paraId="262DCAE4" w14:textId="77777777">
        <w:trPr>
          <w:trHeight w:val="397"/>
          <w:jc w:val="center"/>
        </w:trPr>
        <w:tc>
          <w:tcPr>
            <w:tcW w:w="2553" w:type="dxa"/>
            <w:shd w:val="clear" w:color="auto" w:fill="D9D9D9"/>
            <w:vAlign w:val="center"/>
          </w:tcPr>
          <w:p w14:paraId="06A68A8E" w14:textId="77777777" w:rsidR="004B0883" w:rsidRDefault="004B0883">
            <w:pPr>
              <w:adjustRightInd w:val="0"/>
              <w:snapToGrid w:val="0"/>
              <w:jc w:val="center"/>
              <w:rPr>
                <w:b/>
                <w:caps/>
                <w:color w:val="000000"/>
                <w:kern w:val="0"/>
              </w:rPr>
            </w:pPr>
            <w:r>
              <w:rPr>
                <w:rFonts w:hint="eastAsia"/>
                <w:b/>
                <w:caps/>
                <w:color w:val="000000"/>
                <w:kern w:val="0"/>
              </w:rPr>
              <w:t>成立日期</w:t>
            </w:r>
          </w:p>
        </w:tc>
        <w:tc>
          <w:tcPr>
            <w:tcW w:w="5975" w:type="dxa"/>
            <w:shd w:val="clear" w:color="auto" w:fill="FFFFFF"/>
            <w:vAlign w:val="center"/>
          </w:tcPr>
          <w:p w14:paraId="3E1E2993" w14:textId="77777777" w:rsidR="004B0883" w:rsidRDefault="004B0883">
            <w:pPr>
              <w:adjustRightInd w:val="0"/>
              <w:snapToGrid w:val="0"/>
              <w:rPr>
                <w:caps/>
                <w:color w:val="000000"/>
                <w:kern w:val="0"/>
              </w:rPr>
            </w:pPr>
            <w:r>
              <w:rPr>
                <w:rFonts w:hint="eastAsia"/>
                <w:caps/>
                <w:color w:val="000000"/>
                <w:kern w:val="0"/>
              </w:rPr>
              <w:t>2</w:t>
            </w:r>
            <w:r>
              <w:rPr>
                <w:caps/>
                <w:color w:val="000000"/>
                <w:kern w:val="0"/>
              </w:rPr>
              <w:t>020</w:t>
            </w:r>
            <w:r>
              <w:rPr>
                <w:rFonts w:hint="eastAsia"/>
                <w:caps/>
                <w:color w:val="000000"/>
                <w:kern w:val="0"/>
              </w:rPr>
              <w:t>年</w:t>
            </w:r>
            <w:r>
              <w:rPr>
                <w:rFonts w:hint="eastAsia"/>
                <w:caps/>
                <w:color w:val="000000"/>
                <w:kern w:val="0"/>
              </w:rPr>
              <w:t>3</w:t>
            </w:r>
            <w:r>
              <w:rPr>
                <w:rFonts w:hint="eastAsia"/>
                <w:caps/>
                <w:color w:val="000000"/>
                <w:kern w:val="0"/>
              </w:rPr>
              <w:t>月</w:t>
            </w:r>
            <w:r>
              <w:rPr>
                <w:rFonts w:hint="eastAsia"/>
                <w:caps/>
                <w:color w:val="000000"/>
                <w:kern w:val="0"/>
              </w:rPr>
              <w:t>1</w:t>
            </w:r>
            <w:r>
              <w:rPr>
                <w:caps/>
                <w:color w:val="000000"/>
                <w:kern w:val="0"/>
              </w:rPr>
              <w:t>7</w:t>
            </w:r>
            <w:r>
              <w:rPr>
                <w:rFonts w:hint="eastAsia"/>
                <w:caps/>
                <w:color w:val="000000"/>
                <w:kern w:val="0"/>
              </w:rPr>
              <w:t>日</w:t>
            </w:r>
          </w:p>
        </w:tc>
      </w:tr>
      <w:tr w:rsidR="004B0883" w14:paraId="7187F761" w14:textId="77777777">
        <w:trPr>
          <w:trHeight w:val="397"/>
          <w:jc w:val="center"/>
        </w:trPr>
        <w:tc>
          <w:tcPr>
            <w:tcW w:w="2553" w:type="dxa"/>
            <w:shd w:val="clear" w:color="auto" w:fill="D9D9D9"/>
            <w:vAlign w:val="center"/>
          </w:tcPr>
          <w:p w14:paraId="45CD422D" w14:textId="77777777" w:rsidR="004B0883" w:rsidRDefault="004B0883">
            <w:pPr>
              <w:adjustRightInd w:val="0"/>
              <w:snapToGrid w:val="0"/>
              <w:jc w:val="center"/>
              <w:rPr>
                <w:b/>
                <w:caps/>
                <w:color w:val="000000"/>
                <w:kern w:val="0"/>
              </w:rPr>
            </w:pPr>
            <w:r>
              <w:rPr>
                <w:rFonts w:hint="eastAsia"/>
                <w:b/>
                <w:caps/>
                <w:color w:val="000000"/>
                <w:kern w:val="0"/>
              </w:rPr>
              <w:t>主营业务</w:t>
            </w:r>
          </w:p>
        </w:tc>
        <w:tc>
          <w:tcPr>
            <w:tcW w:w="5975" w:type="dxa"/>
            <w:shd w:val="clear" w:color="auto" w:fill="FFFFFF"/>
            <w:vAlign w:val="center"/>
          </w:tcPr>
          <w:p w14:paraId="6E709EC6" w14:textId="77777777" w:rsidR="004B0883" w:rsidRDefault="004B0883">
            <w:pPr>
              <w:adjustRightInd w:val="0"/>
              <w:snapToGrid w:val="0"/>
              <w:rPr>
                <w:caps/>
                <w:color w:val="000000"/>
                <w:kern w:val="0"/>
              </w:rPr>
            </w:pPr>
            <w:r>
              <w:rPr>
                <w:rFonts w:hint="eastAsia"/>
                <w:caps/>
                <w:color w:val="000000"/>
                <w:kern w:val="0"/>
              </w:rPr>
              <w:t>自有资金投资、投资咨询、企业管理、企业咨询、货物和技术进出口</w:t>
            </w:r>
          </w:p>
        </w:tc>
      </w:tr>
    </w:tbl>
    <w:p w14:paraId="082A4259" w14:textId="77777777" w:rsidR="004B0883" w:rsidRDefault="004B0883">
      <w:pPr>
        <w:pStyle w:val="004"/>
        <w:spacing w:before="120" w:after="120"/>
        <w:ind w:firstLine="482"/>
      </w:pPr>
      <w:r>
        <w:rPr>
          <w:rFonts w:hint="eastAsia"/>
        </w:rPr>
        <w:t>（</w:t>
      </w:r>
      <w:r>
        <w:rPr>
          <w:rFonts w:hint="eastAsia"/>
        </w:rPr>
        <w:t>8</w:t>
      </w:r>
      <w:r>
        <w:rPr>
          <w:rFonts w:hint="eastAsia"/>
        </w:rPr>
        <w:t>）美国伟隆</w:t>
      </w:r>
    </w:p>
    <w:tbl>
      <w:tblPr>
        <w:tblW w:w="8528"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553"/>
        <w:gridCol w:w="5975"/>
      </w:tblGrid>
      <w:tr w:rsidR="004B0883" w14:paraId="4B897E05" w14:textId="77777777">
        <w:trPr>
          <w:trHeight w:val="397"/>
          <w:jc w:val="center"/>
        </w:trPr>
        <w:tc>
          <w:tcPr>
            <w:tcW w:w="2553" w:type="dxa"/>
            <w:shd w:val="clear" w:color="auto" w:fill="D9D9D9"/>
            <w:vAlign w:val="center"/>
          </w:tcPr>
          <w:p w14:paraId="583FF86B" w14:textId="77777777" w:rsidR="004B0883" w:rsidRDefault="004B0883">
            <w:pPr>
              <w:adjustRightInd w:val="0"/>
              <w:snapToGrid w:val="0"/>
              <w:jc w:val="center"/>
              <w:rPr>
                <w:b/>
                <w:caps/>
                <w:color w:val="000000"/>
                <w:kern w:val="0"/>
              </w:rPr>
            </w:pPr>
            <w:r>
              <w:rPr>
                <w:b/>
                <w:caps/>
                <w:color w:val="000000"/>
                <w:kern w:val="0"/>
              </w:rPr>
              <w:t>公司名称</w:t>
            </w:r>
          </w:p>
        </w:tc>
        <w:tc>
          <w:tcPr>
            <w:tcW w:w="5975" w:type="dxa"/>
            <w:shd w:val="clear" w:color="auto" w:fill="FFFFFF"/>
            <w:vAlign w:val="center"/>
          </w:tcPr>
          <w:p w14:paraId="292A0188" w14:textId="77777777" w:rsidR="004B0883" w:rsidRDefault="004B0883">
            <w:pPr>
              <w:adjustRightInd w:val="0"/>
              <w:snapToGrid w:val="0"/>
              <w:rPr>
                <w:caps/>
                <w:color w:val="000000"/>
                <w:kern w:val="0"/>
              </w:rPr>
            </w:pPr>
            <w:r>
              <w:t>WEFLO VALVE LLC</w:t>
            </w:r>
          </w:p>
        </w:tc>
      </w:tr>
      <w:tr w:rsidR="004B0883" w14:paraId="3C65C5F0" w14:textId="77777777">
        <w:trPr>
          <w:trHeight w:val="397"/>
          <w:jc w:val="center"/>
        </w:trPr>
        <w:tc>
          <w:tcPr>
            <w:tcW w:w="2553" w:type="dxa"/>
            <w:shd w:val="clear" w:color="auto" w:fill="D9D9D9"/>
            <w:vAlign w:val="center"/>
          </w:tcPr>
          <w:p w14:paraId="74B467D2" w14:textId="77777777" w:rsidR="004B0883" w:rsidRDefault="004B0883">
            <w:pPr>
              <w:adjustRightInd w:val="0"/>
              <w:snapToGrid w:val="0"/>
              <w:jc w:val="center"/>
              <w:rPr>
                <w:b/>
                <w:caps/>
                <w:color w:val="000000"/>
                <w:kern w:val="0"/>
              </w:rPr>
            </w:pPr>
            <w:r>
              <w:rPr>
                <w:b/>
                <w:caps/>
                <w:color w:val="000000"/>
                <w:kern w:val="0"/>
              </w:rPr>
              <w:t>公司</w:t>
            </w:r>
            <w:r>
              <w:rPr>
                <w:rFonts w:hint="eastAsia"/>
                <w:b/>
                <w:caps/>
                <w:color w:val="000000"/>
                <w:kern w:val="0"/>
              </w:rPr>
              <w:t>类型</w:t>
            </w:r>
          </w:p>
        </w:tc>
        <w:tc>
          <w:tcPr>
            <w:tcW w:w="5975" w:type="dxa"/>
            <w:shd w:val="clear" w:color="auto" w:fill="FFFFFF"/>
            <w:vAlign w:val="center"/>
          </w:tcPr>
          <w:p w14:paraId="47FFD39B" w14:textId="77777777" w:rsidR="004B0883" w:rsidRDefault="004B0883">
            <w:pPr>
              <w:adjustRightInd w:val="0"/>
              <w:snapToGrid w:val="0"/>
              <w:rPr>
                <w:caps/>
                <w:color w:val="000000"/>
                <w:kern w:val="0"/>
              </w:rPr>
            </w:pPr>
            <w:r>
              <w:rPr>
                <w:rFonts w:hint="eastAsia"/>
                <w:caps/>
                <w:color w:val="000000"/>
                <w:kern w:val="0"/>
              </w:rPr>
              <w:t>境外全资子公司</w:t>
            </w:r>
          </w:p>
        </w:tc>
      </w:tr>
      <w:tr w:rsidR="004B0883" w14:paraId="619EB08A" w14:textId="77777777">
        <w:trPr>
          <w:trHeight w:val="397"/>
          <w:jc w:val="center"/>
        </w:trPr>
        <w:tc>
          <w:tcPr>
            <w:tcW w:w="2553" w:type="dxa"/>
            <w:shd w:val="clear" w:color="auto" w:fill="D9D9D9"/>
            <w:vAlign w:val="center"/>
          </w:tcPr>
          <w:p w14:paraId="27675FDB" w14:textId="77777777" w:rsidR="004B0883" w:rsidRDefault="004B0883">
            <w:pPr>
              <w:adjustRightInd w:val="0"/>
              <w:snapToGrid w:val="0"/>
              <w:jc w:val="center"/>
              <w:rPr>
                <w:b/>
                <w:caps/>
                <w:color w:val="000000"/>
                <w:kern w:val="0"/>
              </w:rPr>
            </w:pPr>
            <w:r>
              <w:rPr>
                <w:rFonts w:hint="eastAsia"/>
                <w:b/>
                <w:caps/>
                <w:color w:val="000000"/>
                <w:kern w:val="0"/>
              </w:rPr>
              <w:t>注册资本</w:t>
            </w:r>
          </w:p>
        </w:tc>
        <w:tc>
          <w:tcPr>
            <w:tcW w:w="5975" w:type="dxa"/>
            <w:shd w:val="clear" w:color="auto" w:fill="FFFFFF"/>
            <w:vAlign w:val="center"/>
          </w:tcPr>
          <w:p w14:paraId="43D51BF7" w14:textId="77777777" w:rsidR="004B0883" w:rsidRDefault="004B0883">
            <w:pPr>
              <w:adjustRightInd w:val="0"/>
              <w:snapToGrid w:val="0"/>
              <w:rPr>
                <w:caps/>
                <w:color w:val="000000"/>
                <w:kern w:val="0"/>
              </w:rPr>
            </w:pPr>
            <w:r>
              <w:rPr>
                <w:rFonts w:hint="eastAsia"/>
                <w:caps/>
                <w:color w:val="000000"/>
                <w:kern w:val="0"/>
              </w:rPr>
              <w:t>5</w:t>
            </w:r>
            <w:r>
              <w:rPr>
                <w:rFonts w:hint="eastAsia"/>
                <w:caps/>
                <w:color w:val="000000"/>
                <w:kern w:val="0"/>
              </w:rPr>
              <w:t>万美元</w:t>
            </w:r>
          </w:p>
        </w:tc>
      </w:tr>
      <w:tr w:rsidR="004B0883" w14:paraId="783B4532" w14:textId="77777777">
        <w:trPr>
          <w:trHeight w:val="397"/>
          <w:jc w:val="center"/>
        </w:trPr>
        <w:tc>
          <w:tcPr>
            <w:tcW w:w="2553" w:type="dxa"/>
            <w:shd w:val="clear" w:color="auto" w:fill="D9D9D9"/>
            <w:vAlign w:val="center"/>
          </w:tcPr>
          <w:p w14:paraId="1FE787DC" w14:textId="77777777" w:rsidR="004B0883" w:rsidRDefault="004B0883">
            <w:pPr>
              <w:adjustRightInd w:val="0"/>
              <w:snapToGrid w:val="0"/>
              <w:jc w:val="center"/>
              <w:rPr>
                <w:b/>
                <w:caps/>
                <w:color w:val="000000"/>
                <w:kern w:val="0"/>
              </w:rPr>
            </w:pPr>
            <w:r>
              <w:rPr>
                <w:rFonts w:hint="eastAsia"/>
                <w:b/>
                <w:caps/>
                <w:color w:val="000000"/>
                <w:kern w:val="0"/>
              </w:rPr>
              <w:t>公司住所</w:t>
            </w:r>
          </w:p>
        </w:tc>
        <w:tc>
          <w:tcPr>
            <w:tcW w:w="5975" w:type="dxa"/>
            <w:shd w:val="clear" w:color="auto" w:fill="FFFFFF"/>
            <w:vAlign w:val="center"/>
          </w:tcPr>
          <w:p w14:paraId="1053C1B7" w14:textId="77777777" w:rsidR="004B0883" w:rsidRDefault="004B0883">
            <w:pPr>
              <w:adjustRightInd w:val="0"/>
              <w:snapToGrid w:val="0"/>
              <w:rPr>
                <w:caps/>
                <w:color w:val="000000"/>
                <w:kern w:val="0"/>
              </w:rPr>
            </w:pPr>
            <w:r>
              <w:rPr>
                <w:caps/>
                <w:color w:val="000000"/>
                <w:kern w:val="0"/>
              </w:rPr>
              <w:t>16192 coastal Highway, Lewes</w:t>
            </w:r>
            <w:r>
              <w:rPr>
                <w:rFonts w:hint="eastAsia"/>
                <w:caps/>
                <w:color w:val="000000"/>
                <w:kern w:val="0"/>
              </w:rPr>
              <w:t>, Delaware</w:t>
            </w:r>
          </w:p>
        </w:tc>
      </w:tr>
      <w:tr w:rsidR="004B0883" w14:paraId="1BAE4AB1" w14:textId="77777777">
        <w:trPr>
          <w:trHeight w:val="397"/>
          <w:jc w:val="center"/>
        </w:trPr>
        <w:tc>
          <w:tcPr>
            <w:tcW w:w="2553" w:type="dxa"/>
            <w:shd w:val="clear" w:color="auto" w:fill="D9D9D9"/>
            <w:vAlign w:val="center"/>
          </w:tcPr>
          <w:p w14:paraId="14DA8674" w14:textId="77777777" w:rsidR="004B0883" w:rsidRDefault="004B0883">
            <w:pPr>
              <w:adjustRightInd w:val="0"/>
              <w:snapToGrid w:val="0"/>
              <w:jc w:val="center"/>
              <w:rPr>
                <w:b/>
                <w:caps/>
                <w:color w:val="000000"/>
                <w:kern w:val="0"/>
              </w:rPr>
            </w:pPr>
            <w:r>
              <w:rPr>
                <w:rFonts w:hint="eastAsia"/>
                <w:b/>
                <w:caps/>
                <w:color w:val="000000"/>
                <w:kern w:val="0"/>
              </w:rPr>
              <w:t>成立日期</w:t>
            </w:r>
          </w:p>
        </w:tc>
        <w:tc>
          <w:tcPr>
            <w:tcW w:w="5975" w:type="dxa"/>
            <w:shd w:val="clear" w:color="auto" w:fill="FFFFFF"/>
            <w:vAlign w:val="center"/>
          </w:tcPr>
          <w:p w14:paraId="1E64CA36" w14:textId="77777777" w:rsidR="004B0883" w:rsidRDefault="004B0883">
            <w:pPr>
              <w:adjustRightInd w:val="0"/>
              <w:snapToGrid w:val="0"/>
              <w:rPr>
                <w:caps/>
                <w:color w:val="000000"/>
                <w:kern w:val="0"/>
              </w:rPr>
            </w:pPr>
            <w:r>
              <w:rPr>
                <w:rFonts w:hint="eastAsia"/>
                <w:caps/>
                <w:color w:val="000000"/>
                <w:kern w:val="0"/>
              </w:rPr>
              <w:t>2</w:t>
            </w:r>
            <w:r>
              <w:rPr>
                <w:caps/>
                <w:color w:val="000000"/>
                <w:kern w:val="0"/>
              </w:rPr>
              <w:t>014</w:t>
            </w:r>
            <w:r>
              <w:rPr>
                <w:rFonts w:hint="eastAsia"/>
                <w:caps/>
                <w:color w:val="000000"/>
                <w:kern w:val="0"/>
              </w:rPr>
              <w:t>年</w:t>
            </w:r>
            <w:r>
              <w:rPr>
                <w:rFonts w:hint="eastAsia"/>
                <w:caps/>
                <w:color w:val="000000"/>
                <w:kern w:val="0"/>
              </w:rPr>
              <w:t>3</w:t>
            </w:r>
            <w:r>
              <w:rPr>
                <w:rFonts w:hint="eastAsia"/>
                <w:caps/>
                <w:color w:val="000000"/>
                <w:kern w:val="0"/>
              </w:rPr>
              <w:t>月</w:t>
            </w:r>
            <w:r>
              <w:rPr>
                <w:rFonts w:hint="eastAsia"/>
                <w:caps/>
                <w:color w:val="000000"/>
                <w:kern w:val="0"/>
              </w:rPr>
              <w:t>1</w:t>
            </w:r>
            <w:r>
              <w:rPr>
                <w:caps/>
                <w:color w:val="000000"/>
                <w:kern w:val="0"/>
              </w:rPr>
              <w:t>3</w:t>
            </w:r>
            <w:r>
              <w:rPr>
                <w:rFonts w:hint="eastAsia"/>
                <w:caps/>
                <w:color w:val="000000"/>
                <w:kern w:val="0"/>
              </w:rPr>
              <w:t>日</w:t>
            </w:r>
          </w:p>
        </w:tc>
      </w:tr>
      <w:tr w:rsidR="004B0883" w14:paraId="55569D29" w14:textId="77777777">
        <w:trPr>
          <w:trHeight w:val="397"/>
          <w:jc w:val="center"/>
        </w:trPr>
        <w:tc>
          <w:tcPr>
            <w:tcW w:w="2553" w:type="dxa"/>
            <w:shd w:val="clear" w:color="auto" w:fill="D9D9D9"/>
            <w:vAlign w:val="center"/>
          </w:tcPr>
          <w:p w14:paraId="08743050" w14:textId="77777777" w:rsidR="004B0883" w:rsidRDefault="004B0883">
            <w:pPr>
              <w:adjustRightInd w:val="0"/>
              <w:snapToGrid w:val="0"/>
              <w:jc w:val="center"/>
              <w:rPr>
                <w:b/>
                <w:caps/>
                <w:color w:val="000000"/>
                <w:kern w:val="0"/>
              </w:rPr>
            </w:pPr>
            <w:r>
              <w:rPr>
                <w:rFonts w:hint="eastAsia"/>
                <w:b/>
                <w:caps/>
                <w:color w:val="000000"/>
                <w:kern w:val="0"/>
              </w:rPr>
              <w:t>主营业务</w:t>
            </w:r>
          </w:p>
        </w:tc>
        <w:tc>
          <w:tcPr>
            <w:tcW w:w="5975" w:type="dxa"/>
            <w:shd w:val="clear" w:color="auto" w:fill="FFFFFF"/>
            <w:vAlign w:val="center"/>
          </w:tcPr>
          <w:p w14:paraId="6C6E0F87" w14:textId="77777777" w:rsidR="004B0883" w:rsidRDefault="004B0883">
            <w:pPr>
              <w:adjustRightInd w:val="0"/>
              <w:snapToGrid w:val="0"/>
              <w:rPr>
                <w:caps/>
                <w:color w:val="000000"/>
                <w:kern w:val="0"/>
              </w:rPr>
            </w:pPr>
            <w:r>
              <w:rPr>
                <w:rFonts w:hint="eastAsia"/>
                <w:caps/>
                <w:color w:val="000000"/>
                <w:kern w:val="0"/>
              </w:rPr>
              <w:t>本公司阀门产品的海外销售与品牌推广</w:t>
            </w:r>
          </w:p>
        </w:tc>
      </w:tr>
    </w:tbl>
    <w:p w14:paraId="76D8161E" w14:textId="77777777" w:rsidR="004B0883" w:rsidRDefault="004B0883">
      <w:pPr>
        <w:pStyle w:val="004"/>
        <w:spacing w:before="120" w:after="120"/>
        <w:ind w:firstLine="482"/>
      </w:pPr>
      <w:r>
        <w:rPr>
          <w:rFonts w:hint="eastAsia"/>
        </w:rPr>
        <w:t>2</w:t>
      </w:r>
      <w:r>
        <w:rPr>
          <w:rFonts w:hint="eastAsia"/>
        </w:rPr>
        <w:t>、参股公司情况</w:t>
      </w:r>
    </w:p>
    <w:p w14:paraId="5AD57023" w14:textId="77777777" w:rsidR="004B0883" w:rsidRDefault="004B0883">
      <w:pPr>
        <w:pStyle w:val="005"/>
        <w:spacing w:before="120"/>
        <w:ind w:firstLine="480"/>
        <w:rPr>
          <w:rFonts w:hint="eastAsia"/>
        </w:rPr>
      </w:pPr>
      <w:r>
        <w:rPr>
          <w:rFonts w:hint="eastAsia"/>
        </w:rPr>
        <w:t>截至本募集说明书签署日，发行人无对外参股公司。</w:t>
      </w:r>
    </w:p>
    <w:p w14:paraId="493BD6A4" w14:textId="77777777" w:rsidR="004B0883" w:rsidRDefault="004B0883">
      <w:pPr>
        <w:pStyle w:val="004"/>
        <w:spacing w:before="120" w:after="120"/>
        <w:ind w:firstLine="482"/>
      </w:pPr>
      <w:r>
        <w:t>3</w:t>
      </w:r>
      <w:r>
        <w:rPr>
          <w:rFonts w:hint="eastAsia"/>
        </w:rPr>
        <w:t>、重要子公司主要财务数据</w:t>
      </w:r>
    </w:p>
    <w:p w14:paraId="17A628F3" w14:textId="77777777" w:rsidR="004B0883" w:rsidRDefault="004B0883">
      <w:pPr>
        <w:pStyle w:val="005"/>
        <w:spacing w:before="120"/>
        <w:ind w:firstLine="480"/>
        <w:rPr>
          <w:rFonts w:hint="eastAsia"/>
        </w:rPr>
      </w:pPr>
      <w:r>
        <w:rPr>
          <w:rFonts w:hint="eastAsia"/>
        </w:rPr>
        <w:t>公司重要子公司</w:t>
      </w:r>
      <w:r>
        <w:rPr>
          <w:rStyle w:val="afffa"/>
        </w:rPr>
        <w:footnoteReference w:id="1"/>
      </w:r>
      <w:r>
        <w:rPr>
          <w:rFonts w:hint="eastAsia"/>
        </w:rPr>
        <w:t>为莱州伟隆，其最近一年的主要财务数据如下：</w:t>
      </w:r>
    </w:p>
    <w:p w14:paraId="5C7D9DCF" w14:textId="77777777" w:rsidR="004B0883" w:rsidRDefault="004B0883">
      <w:pPr>
        <w:pStyle w:val="009"/>
        <w:widowControl w:val="0"/>
        <w:rPr>
          <w:rFonts w:hint="eastAsia"/>
        </w:rPr>
      </w:pPr>
      <w:r>
        <w:rPr>
          <w:rFonts w:hint="eastAsia"/>
        </w:rPr>
        <w:t>单位：万元</w:t>
      </w:r>
    </w:p>
    <w:tbl>
      <w:tblPr>
        <w:tblW w:w="0" w:type="auto"/>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75"/>
        <w:gridCol w:w="1610"/>
        <w:gridCol w:w="1450"/>
        <w:gridCol w:w="1760"/>
        <w:gridCol w:w="1585"/>
        <w:gridCol w:w="1448"/>
      </w:tblGrid>
      <w:tr w:rsidR="004B0883" w14:paraId="22A01B4D" w14:textId="77777777">
        <w:trPr>
          <w:trHeight w:val="340"/>
          <w:tblHeader/>
          <w:jc w:val="center"/>
        </w:trPr>
        <w:tc>
          <w:tcPr>
            <w:tcW w:w="675" w:type="dxa"/>
            <w:vMerge w:val="restart"/>
            <w:shd w:val="clear" w:color="auto" w:fill="D9D9D9"/>
            <w:tcMar>
              <w:top w:w="0" w:type="dxa"/>
              <w:left w:w="108" w:type="dxa"/>
              <w:bottom w:w="0" w:type="dxa"/>
              <w:right w:w="108" w:type="dxa"/>
            </w:tcMar>
            <w:vAlign w:val="center"/>
          </w:tcPr>
          <w:p w14:paraId="5A1BFC7E" w14:textId="77777777" w:rsidR="004B0883" w:rsidRDefault="004B0883">
            <w:pPr>
              <w:keepNext/>
              <w:keepLines/>
              <w:widowControl w:val="0"/>
              <w:adjustRightInd w:val="0"/>
              <w:snapToGrid w:val="0"/>
              <w:jc w:val="center"/>
              <w:rPr>
                <w:b/>
                <w:sz w:val="18"/>
                <w:szCs w:val="18"/>
              </w:rPr>
            </w:pPr>
            <w:r>
              <w:rPr>
                <w:rFonts w:hAnsi="宋体"/>
                <w:b/>
                <w:sz w:val="18"/>
                <w:szCs w:val="18"/>
              </w:rPr>
              <w:t>序号</w:t>
            </w:r>
          </w:p>
        </w:tc>
        <w:tc>
          <w:tcPr>
            <w:tcW w:w="1610" w:type="dxa"/>
            <w:vMerge w:val="restart"/>
            <w:shd w:val="clear" w:color="auto" w:fill="D9D9D9"/>
            <w:tcMar>
              <w:top w:w="0" w:type="dxa"/>
              <w:left w:w="108" w:type="dxa"/>
              <w:bottom w:w="0" w:type="dxa"/>
              <w:right w:w="108" w:type="dxa"/>
            </w:tcMar>
            <w:vAlign w:val="center"/>
          </w:tcPr>
          <w:p w14:paraId="7EB255FF" w14:textId="77777777" w:rsidR="004B0883" w:rsidRDefault="004B0883">
            <w:pPr>
              <w:keepNext/>
              <w:keepLines/>
              <w:widowControl w:val="0"/>
              <w:adjustRightInd w:val="0"/>
              <w:snapToGrid w:val="0"/>
              <w:jc w:val="center"/>
              <w:rPr>
                <w:b/>
                <w:sz w:val="18"/>
                <w:szCs w:val="18"/>
              </w:rPr>
            </w:pPr>
            <w:r>
              <w:rPr>
                <w:rFonts w:hAnsi="宋体"/>
                <w:b/>
                <w:sz w:val="18"/>
                <w:szCs w:val="18"/>
              </w:rPr>
              <w:t>公司名称</w:t>
            </w:r>
          </w:p>
        </w:tc>
        <w:tc>
          <w:tcPr>
            <w:tcW w:w="6243" w:type="dxa"/>
            <w:gridSpan w:val="4"/>
            <w:shd w:val="clear" w:color="auto" w:fill="D9D9D9"/>
            <w:tcMar>
              <w:top w:w="0" w:type="dxa"/>
              <w:left w:w="108" w:type="dxa"/>
              <w:bottom w:w="0" w:type="dxa"/>
              <w:right w:w="108" w:type="dxa"/>
            </w:tcMar>
            <w:vAlign w:val="center"/>
          </w:tcPr>
          <w:p w14:paraId="1A9A0AE1" w14:textId="77777777" w:rsidR="004B0883" w:rsidRDefault="004B0883">
            <w:pPr>
              <w:keepNext/>
              <w:keepLines/>
              <w:widowControl w:val="0"/>
              <w:adjustRightInd w:val="0"/>
              <w:snapToGrid w:val="0"/>
              <w:jc w:val="center"/>
              <w:rPr>
                <w:rFonts w:hint="eastAsia"/>
                <w:b/>
                <w:sz w:val="18"/>
                <w:szCs w:val="18"/>
              </w:rPr>
            </w:pPr>
            <w:r>
              <w:rPr>
                <w:b/>
                <w:sz w:val="18"/>
                <w:szCs w:val="18"/>
              </w:rPr>
              <w:t>2022</w:t>
            </w:r>
            <w:r>
              <w:rPr>
                <w:rFonts w:hAnsi="宋体"/>
                <w:b/>
                <w:sz w:val="18"/>
                <w:szCs w:val="18"/>
              </w:rPr>
              <w:t>年度</w:t>
            </w:r>
            <w:r>
              <w:rPr>
                <w:rFonts w:hAnsi="宋体" w:hint="eastAsia"/>
                <w:b/>
                <w:sz w:val="18"/>
                <w:szCs w:val="18"/>
              </w:rPr>
              <w:t>/</w:t>
            </w:r>
            <w:r>
              <w:rPr>
                <w:rFonts w:hAnsi="宋体"/>
                <w:b/>
                <w:sz w:val="18"/>
                <w:szCs w:val="18"/>
              </w:rPr>
              <w:t>2022</w:t>
            </w:r>
            <w:r>
              <w:rPr>
                <w:rFonts w:hAnsi="宋体" w:hint="eastAsia"/>
                <w:b/>
                <w:sz w:val="18"/>
                <w:szCs w:val="18"/>
              </w:rPr>
              <w:t>年</w:t>
            </w:r>
            <w:r>
              <w:rPr>
                <w:rFonts w:hAnsi="宋体" w:hint="eastAsia"/>
                <w:b/>
                <w:sz w:val="18"/>
                <w:szCs w:val="18"/>
              </w:rPr>
              <w:t>1</w:t>
            </w:r>
            <w:r>
              <w:rPr>
                <w:rFonts w:hAnsi="宋体"/>
                <w:b/>
                <w:sz w:val="18"/>
                <w:szCs w:val="18"/>
              </w:rPr>
              <w:t>2</w:t>
            </w:r>
            <w:r>
              <w:rPr>
                <w:rFonts w:hAnsi="宋体" w:hint="eastAsia"/>
                <w:b/>
                <w:sz w:val="18"/>
                <w:szCs w:val="18"/>
              </w:rPr>
              <w:t>月</w:t>
            </w:r>
            <w:r>
              <w:rPr>
                <w:rFonts w:hAnsi="宋体" w:hint="eastAsia"/>
                <w:b/>
                <w:sz w:val="18"/>
                <w:szCs w:val="18"/>
              </w:rPr>
              <w:t>3</w:t>
            </w:r>
            <w:r>
              <w:rPr>
                <w:rFonts w:hAnsi="宋体"/>
                <w:b/>
                <w:sz w:val="18"/>
                <w:szCs w:val="18"/>
              </w:rPr>
              <w:t>1</w:t>
            </w:r>
            <w:r>
              <w:rPr>
                <w:rFonts w:hAnsi="宋体" w:hint="eastAsia"/>
                <w:b/>
                <w:sz w:val="18"/>
                <w:szCs w:val="18"/>
              </w:rPr>
              <w:t>日</w:t>
            </w:r>
          </w:p>
        </w:tc>
      </w:tr>
      <w:tr w:rsidR="004B0883" w14:paraId="25C910D5" w14:textId="77777777">
        <w:trPr>
          <w:trHeight w:val="340"/>
          <w:tblHeader/>
          <w:jc w:val="center"/>
        </w:trPr>
        <w:tc>
          <w:tcPr>
            <w:tcW w:w="675" w:type="dxa"/>
            <w:vMerge/>
            <w:shd w:val="clear" w:color="auto" w:fill="D9D9D9"/>
            <w:tcMar>
              <w:top w:w="0" w:type="dxa"/>
              <w:left w:w="108" w:type="dxa"/>
              <w:bottom w:w="0" w:type="dxa"/>
              <w:right w:w="108" w:type="dxa"/>
            </w:tcMar>
            <w:vAlign w:val="center"/>
          </w:tcPr>
          <w:p w14:paraId="73443056" w14:textId="77777777" w:rsidR="004B0883" w:rsidRDefault="004B0883">
            <w:pPr>
              <w:keepNext/>
              <w:keepLines/>
              <w:widowControl w:val="0"/>
              <w:adjustRightInd w:val="0"/>
              <w:snapToGrid w:val="0"/>
              <w:jc w:val="center"/>
              <w:rPr>
                <w:b/>
                <w:sz w:val="18"/>
                <w:szCs w:val="18"/>
              </w:rPr>
            </w:pPr>
          </w:p>
        </w:tc>
        <w:tc>
          <w:tcPr>
            <w:tcW w:w="1610" w:type="dxa"/>
            <w:vMerge/>
            <w:shd w:val="clear" w:color="auto" w:fill="D9D9D9"/>
            <w:tcMar>
              <w:top w:w="0" w:type="dxa"/>
              <w:left w:w="108" w:type="dxa"/>
              <w:bottom w:w="0" w:type="dxa"/>
              <w:right w:w="108" w:type="dxa"/>
            </w:tcMar>
            <w:vAlign w:val="center"/>
          </w:tcPr>
          <w:p w14:paraId="19FF4B81" w14:textId="77777777" w:rsidR="004B0883" w:rsidRDefault="004B0883">
            <w:pPr>
              <w:keepNext/>
              <w:keepLines/>
              <w:widowControl w:val="0"/>
              <w:adjustRightInd w:val="0"/>
              <w:snapToGrid w:val="0"/>
              <w:jc w:val="center"/>
              <w:rPr>
                <w:b/>
                <w:sz w:val="18"/>
                <w:szCs w:val="18"/>
              </w:rPr>
            </w:pPr>
          </w:p>
        </w:tc>
        <w:tc>
          <w:tcPr>
            <w:tcW w:w="1450" w:type="dxa"/>
            <w:shd w:val="clear" w:color="auto" w:fill="D9D9D9"/>
            <w:tcMar>
              <w:top w:w="0" w:type="dxa"/>
              <w:left w:w="108" w:type="dxa"/>
              <w:bottom w:w="0" w:type="dxa"/>
              <w:right w:w="108" w:type="dxa"/>
            </w:tcMar>
            <w:vAlign w:val="center"/>
          </w:tcPr>
          <w:p w14:paraId="72005BDE" w14:textId="77777777" w:rsidR="004B0883" w:rsidRDefault="004B0883">
            <w:pPr>
              <w:keepNext/>
              <w:keepLines/>
              <w:widowControl w:val="0"/>
              <w:adjustRightInd w:val="0"/>
              <w:snapToGrid w:val="0"/>
              <w:jc w:val="center"/>
              <w:rPr>
                <w:b/>
                <w:sz w:val="18"/>
                <w:szCs w:val="18"/>
              </w:rPr>
            </w:pPr>
            <w:r>
              <w:rPr>
                <w:rFonts w:hAnsi="宋体"/>
                <w:b/>
                <w:sz w:val="18"/>
                <w:szCs w:val="18"/>
              </w:rPr>
              <w:t>总资产</w:t>
            </w:r>
          </w:p>
        </w:tc>
        <w:tc>
          <w:tcPr>
            <w:tcW w:w="1760" w:type="dxa"/>
            <w:shd w:val="clear" w:color="auto" w:fill="D9D9D9"/>
            <w:tcMar>
              <w:top w:w="0" w:type="dxa"/>
              <w:left w:w="108" w:type="dxa"/>
              <w:bottom w:w="0" w:type="dxa"/>
              <w:right w:w="108" w:type="dxa"/>
            </w:tcMar>
            <w:vAlign w:val="center"/>
          </w:tcPr>
          <w:p w14:paraId="12D142D8" w14:textId="77777777" w:rsidR="004B0883" w:rsidRDefault="004B0883">
            <w:pPr>
              <w:keepNext/>
              <w:widowControl w:val="0"/>
              <w:adjustRightInd w:val="0"/>
              <w:snapToGrid w:val="0"/>
              <w:jc w:val="center"/>
              <w:rPr>
                <w:b/>
                <w:sz w:val="18"/>
                <w:szCs w:val="18"/>
              </w:rPr>
            </w:pPr>
            <w:r>
              <w:rPr>
                <w:rFonts w:hAnsi="宋体"/>
                <w:b/>
                <w:sz w:val="18"/>
                <w:szCs w:val="18"/>
              </w:rPr>
              <w:t>净资产</w:t>
            </w:r>
          </w:p>
        </w:tc>
        <w:tc>
          <w:tcPr>
            <w:tcW w:w="1585" w:type="dxa"/>
            <w:shd w:val="clear" w:color="auto" w:fill="D9D9D9"/>
            <w:tcMar>
              <w:top w:w="0" w:type="dxa"/>
              <w:left w:w="108" w:type="dxa"/>
              <w:bottom w:w="0" w:type="dxa"/>
              <w:right w:w="108" w:type="dxa"/>
            </w:tcMar>
            <w:vAlign w:val="center"/>
          </w:tcPr>
          <w:p w14:paraId="00FE213A" w14:textId="77777777" w:rsidR="004B0883" w:rsidRDefault="004B0883">
            <w:pPr>
              <w:keepNext/>
              <w:widowControl w:val="0"/>
              <w:adjustRightInd w:val="0"/>
              <w:snapToGrid w:val="0"/>
              <w:jc w:val="center"/>
              <w:rPr>
                <w:b/>
                <w:sz w:val="18"/>
                <w:szCs w:val="18"/>
              </w:rPr>
            </w:pPr>
            <w:r>
              <w:rPr>
                <w:rFonts w:hAnsi="宋体"/>
                <w:b/>
                <w:sz w:val="18"/>
                <w:szCs w:val="18"/>
              </w:rPr>
              <w:t>营业收入</w:t>
            </w:r>
          </w:p>
        </w:tc>
        <w:tc>
          <w:tcPr>
            <w:tcW w:w="1448" w:type="dxa"/>
            <w:shd w:val="clear" w:color="auto" w:fill="D9D9D9"/>
            <w:tcMar>
              <w:top w:w="0" w:type="dxa"/>
              <w:left w:w="108" w:type="dxa"/>
              <w:bottom w:w="0" w:type="dxa"/>
              <w:right w:w="108" w:type="dxa"/>
            </w:tcMar>
            <w:vAlign w:val="center"/>
          </w:tcPr>
          <w:p w14:paraId="304D6FDC" w14:textId="77777777" w:rsidR="004B0883" w:rsidRDefault="004B0883">
            <w:pPr>
              <w:keepNext/>
              <w:widowControl w:val="0"/>
              <w:adjustRightInd w:val="0"/>
              <w:snapToGrid w:val="0"/>
              <w:jc w:val="center"/>
              <w:rPr>
                <w:b/>
                <w:sz w:val="18"/>
                <w:szCs w:val="18"/>
              </w:rPr>
            </w:pPr>
            <w:r>
              <w:rPr>
                <w:rFonts w:hAnsi="宋体"/>
                <w:b/>
                <w:sz w:val="18"/>
                <w:szCs w:val="18"/>
              </w:rPr>
              <w:t>净利润</w:t>
            </w:r>
          </w:p>
        </w:tc>
      </w:tr>
      <w:tr w:rsidR="004B0883" w14:paraId="28132BE6" w14:textId="77777777">
        <w:trPr>
          <w:trHeight w:val="340"/>
          <w:jc w:val="center"/>
        </w:trPr>
        <w:tc>
          <w:tcPr>
            <w:tcW w:w="675" w:type="dxa"/>
            <w:shd w:val="clear" w:color="auto" w:fill="FFFFFF"/>
            <w:tcMar>
              <w:top w:w="0" w:type="dxa"/>
              <w:left w:w="108" w:type="dxa"/>
              <w:bottom w:w="0" w:type="dxa"/>
              <w:right w:w="108" w:type="dxa"/>
            </w:tcMar>
            <w:vAlign w:val="center"/>
          </w:tcPr>
          <w:p w14:paraId="2D978C6A" w14:textId="77777777" w:rsidR="004B0883" w:rsidRDefault="004B0883">
            <w:pPr>
              <w:adjustRightInd w:val="0"/>
              <w:snapToGrid w:val="0"/>
              <w:jc w:val="center"/>
              <w:rPr>
                <w:sz w:val="18"/>
                <w:szCs w:val="18"/>
              </w:rPr>
            </w:pPr>
            <w:r>
              <w:rPr>
                <w:sz w:val="18"/>
                <w:szCs w:val="18"/>
              </w:rPr>
              <w:t>1</w:t>
            </w:r>
          </w:p>
        </w:tc>
        <w:tc>
          <w:tcPr>
            <w:tcW w:w="1610" w:type="dxa"/>
            <w:shd w:val="clear" w:color="auto" w:fill="FFFFFF"/>
            <w:tcMar>
              <w:top w:w="0" w:type="dxa"/>
              <w:left w:w="108" w:type="dxa"/>
              <w:bottom w:w="0" w:type="dxa"/>
              <w:right w:w="108" w:type="dxa"/>
            </w:tcMar>
            <w:vAlign w:val="center"/>
          </w:tcPr>
          <w:p w14:paraId="29F29637" w14:textId="77777777" w:rsidR="004B0883" w:rsidRDefault="004B0883">
            <w:pPr>
              <w:pStyle w:val="afffffffffd"/>
              <w:adjustRightInd w:val="0"/>
              <w:snapToGrid w:val="0"/>
              <w:spacing w:beforeLines="0" w:before="0" w:afterLines="0" w:after="0"/>
              <w:rPr>
                <w:szCs w:val="18"/>
              </w:rPr>
            </w:pPr>
            <w:r>
              <w:rPr>
                <w:rFonts w:hint="eastAsia"/>
                <w:szCs w:val="18"/>
              </w:rPr>
              <w:t>莱州伟隆</w:t>
            </w:r>
          </w:p>
        </w:tc>
        <w:tc>
          <w:tcPr>
            <w:tcW w:w="1450" w:type="dxa"/>
            <w:shd w:val="clear" w:color="auto" w:fill="FFFFFF"/>
            <w:tcMar>
              <w:top w:w="0" w:type="dxa"/>
              <w:left w:w="108" w:type="dxa"/>
              <w:bottom w:w="0" w:type="dxa"/>
              <w:right w:w="108" w:type="dxa"/>
            </w:tcMar>
            <w:vAlign w:val="center"/>
          </w:tcPr>
          <w:p w14:paraId="5A7973B0" w14:textId="77777777" w:rsidR="004B0883" w:rsidRDefault="004B0883">
            <w:pPr>
              <w:jc w:val="right"/>
              <w:rPr>
                <w:sz w:val="20"/>
                <w:szCs w:val="20"/>
              </w:rPr>
            </w:pPr>
            <w:r>
              <w:rPr>
                <w:rFonts w:hint="eastAsia"/>
                <w:sz w:val="20"/>
                <w:szCs w:val="20"/>
              </w:rPr>
              <w:t>25,264.44</w:t>
            </w:r>
          </w:p>
        </w:tc>
        <w:tc>
          <w:tcPr>
            <w:tcW w:w="1760" w:type="dxa"/>
            <w:shd w:val="clear" w:color="auto" w:fill="FFFFFF"/>
            <w:tcMar>
              <w:top w:w="0" w:type="dxa"/>
              <w:left w:w="108" w:type="dxa"/>
              <w:bottom w:w="0" w:type="dxa"/>
              <w:right w:w="108" w:type="dxa"/>
            </w:tcMar>
            <w:vAlign w:val="center"/>
          </w:tcPr>
          <w:p w14:paraId="005815E0" w14:textId="77777777" w:rsidR="004B0883" w:rsidRDefault="004B0883">
            <w:pPr>
              <w:jc w:val="right"/>
              <w:rPr>
                <w:sz w:val="20"/>
                <w:szCs w:val="20"/>
              </w:rPr>
            </w:pPr>
            <w:r>
              <w:rPr>
                <w:rFonts w:hint="eastAsia"/>
                <w:sz w:val="20"/>
                <w:szCs w:val="20"/>
              </w:rPr>
              <w:t xml:space="preserve"> 13,545.52</w:t>
            </w:r>
          </w:p>
        </w:tc>
        <w:tc>
          <w:tcPr>
            <w:tcW w:w="1585" w:type="dxa"/>
            <w:shd w:val="clear" w:color="auto" w:fill="FFFFFF"/>
            <w:tcMar>
              <w:top w:w="0" w:type="dxa"/>
              <w:left w:w="108" w:type="dxa"/>
              <w:bottom w:w="0" w:type="dxa"/>
              <w:right w:w="108" w:type="dxa"/>
            </w:tcMar>
            <w:vAlign w:val="center"/>
          </w:tcPr>
          <w:p w14:paraId="4E4BCF99" w14:textId="77777777" w:rsidR="004B0883" w:rsidRDefault="004B0883">
            <w:pPr>
              <w:jc w:val="right"/>
              <w:rPr>
                <w:rFonts w:hint="eastAsia"/>
                <w:sz w:val="20"/>
                <w:szCs w:val="20"/>
              </w:rPr>
            </w:pPr>
            <w:r>
              <w:rPr>
                <w:rFonts w:hint="eastAsia"/>
                <w:sz w:val="20"/>
                <w:szCs w:val="20"/>
              </w:rPr>
              <w:t>19,388.50</w:t>
            </w:r>
          </w:p>
        </w:tc>
        <w:tc>
          <w:tcPr>
            <w:tcW w:w="1448" w:type="dxa"/>
            <w:shd w:val="clear" w:color="auto" w:fill="FFFFFF"/>
            <w:tcMar>
              <w:top w:w="0" w:type="dxa"/>
              <w:left w:w="108" w:type="dxa"/>
              <w:bottom w:w="0" w:type="dxa"/>
              <w:right w:w="108" w:type="dxa"/>
            </w:tcMar>
            <w:vAlign w:val="center"/>
          </w:tcPr>
          <w:p w14:paraId="4D67F447" w14:textId="77777777" w:rsidR="004B0883" w:rsidRDefault="004B0883">
            <w:pPr>
              <w:jc w:val="right"/>
              <w:rPr>
                <w:rFonts w:hint="eastAsia"/>
                <w:sz w:val="20"/>
                <w:szCs w:val="20"/>
              </w:rPr>
            </w:pPr>
            <w:r>
              <w:rPr>
                <w:rFonts w:hint="eastAsia"/>
                <w:sz w:val="20"/>
                <w:szCs w:val="20"/>
              </w:rPr>
              <w:t>179.29</w:t>
            </w:r>
          </w:p>
        </w:tc>
      </w:tr>
    </w:tbl>
    <w:p w14:paraId="0287E3CF" w14:textId="77777777" w:rsidR="004B0883" w:rsidRDefault="004B0883">
      <w:pPr>
        <w:pStyle w:val="006"/>
        <w:ind w:firstLine="420"/>
        <w:rPr>
          <w:rFonts w:hint="eastAsia"/>
        </w:rPr>
      </w:pPr>
      <w:r>
        <w:rPr>
          <w:rFonts w:hint="eastAsia"/>
        </w:rPr>
        <w:t>注：莱州伟隆的上述财务数据已经和信会计师事务所（特殊普通合伙）审计。</w:t>
      </w:r>
    </w:p>
    <w:p w14:paraId="323B3A17" w14:textId="77777777" w:rsidR="004B0883" w:rsidRDefault="004B0883">
      <w:pPr>
        <w:pStyle w:val="002"/>
        <w:spacing w:before="120" w:after="120"/>
        <w:rPr>
          <w:rFonts w:hint="eastAsia"/>
        </w:rPr>
      </w:pPr>
      <w:bookmarkStart w:id="201" w:name="_Toc152320791"/>
      <w:r>
        <w:rPr>
          <w:rFonts w:hint="eastAsia"/>
        </w:rPr>
        <w:t>三、公司的控股股东及实际控制人基本情况</w:t>
      </w:r>
      <w:bookmarkEnd w:id="201"/>
    </w:p>
    <w:p w14:paraId="25305F8C" w14:textId="77777777" w:rsidR="004B0883" w:rsidRDefault="004B0883">
      <w:pPr>
        <w:pStyle w:val="003"/>
        <w:spacing w:before="120" w:after="120"/>
      </w:pPr>
      <w:r>
        <w:rPr>
          <w:rFonts w:hint="eastAsia"/>
        </w:rPr>
        <w:t>（一）公司控股股东及实际控制人概况</w:t>
      </w:r>
    </w:p>
    <w:p w14:paraId="4BCE4A83" w14:textId="77777777" w:rsidR="004B0883" w:rsidRDefault="004B0883">
      <w:pPr>
        <w:pStyle w:val="004"/>
        <w:spacing w:before="120" w:after="120"/>
        <w:ind w:firstLine="482"/>
      </w:pPr>
      <w:r>
        <w:rPr>
          <w:rFonts w:hint="eastAsia"/>
        </w:rPr>
        <w:t>1</w:t>
      </w:r>
      <w:r>
        <w:rPr>
          <w:rFonts w:hint="eastAsia"/>
        </w:rPr>
        <w:t>、控股股东及实际控制人</w:t>
      </w:r>
    </w:p>
    <w:p w14:paraId="440D5676" w14:textId="77777777" w:rsidR="004B0883" w:rsidRDefault="004B0883">
      <w:pPr>
        <w:pStyle w:val="005"/>
        <w:spacing w:before="120"/>
        <w:ind w:firstLine="480"/>
        <w:rPr>
          <w:rFonts w:cs="宋体" w:hint="eastAsia"/>
          <w:szCs w:val="24"/>
        </w:rPr>
      </w:pPr>
      <w:r>
        <w:rPr>
          <w:rFonts w:ascii="宋体" w:hAnsi="宋体" w:cs="宋体" w:hint="eastAsia"/>
          <w:szCs w:val="24"/>
        </w:rPr>
        <w:t>截</w:t>
      </w:r>
      <w:r>
        <w:rPr>
          <w:rFonts w:cs="宋体" w:hint="eastAsia"/>
          <w:szCs w:val="24"/>
        </w:rPr>
        <w:t>至</w:t>
      </w:r>
      <w:r>
        <w:rPr>
          <w:rFonts w:cs="宋体" w:hint="eastAsia"/>
          <w:szCs w:val="24"/>
        </w:rPr>
        <w:t>2023</w:t>
      </w:r>
      <w:r>
        <w:rPr>
          <w:rFonts w:cs="宋体" w:hint="eastAsia"/>
          <w:szCs w:val="24"/>
        </w:rPr>
        <w:t>年</w:t>
      </w:r>
      <w:r>
        <w:rPr>
          <w:rFonts w:cs="宋体" w:hint="eastAsia"/>
          <w:szCs w:val="24"/>
        </w:rPr>
        <w:t>9</w:t>
      </w:r>
      <w:r>
        <w:rPr>
          <w:rFonts w:cs="宋体" w:hint="eastAsia"/>
          <w:szCs w:val="24"/>
        </w:rPr>
        <w:t>月</w:t>
      </w:r>
      <w:r>
        <w:rPr>
          <w:rFonts w:cs="宋体" w:hint="eastAsia"/>
          <w:szCs w:val="24"/>
        </w:rPr>
        <w:t>30</w:t>
      </w:r>
      <w:r>
        <w:rPr>
          <w:rFonts w:cs="宋体" w:hint="eastAsia"/>
          <w:szCs w:val="24"/>
        </w:rPr>
        <w:t>日，公司总股本为</w:t>
      </w:r>
      <w:r>
        <w:rPr>
          <w:rFonts w:hint="eastAsia"/>
        </w:rPr>
        <w:t>219,540,292</w:t>
      </w:r>
      <w:r>
        <w:rPr>
          <w:rFonts w:cs="宋体" w:hint="eastAsia"/>
          <w:szCs w:val="24"/>
        </w:rPr>
        <w:t>股，股东范庆伟、范玉隆分别直接持有公司</w:t>
      </w:r>
      <w:r>
        <w:rPr>
          <w:rFonts w:cs="宋体" w:hint="eastAsia"/>
          <w:szCs w:val="24"/>
        </w:rPr>
        <w:t>55.78%</w:t>
      </w:r>
      <w:r>
        <w:rPr>
          <w:rFonts w:cs="宋体" w:hint="eastAsia"/>
          <w:szCs w:val="24"/>
        </w:rPr>
        <w:t>和</w:t>
      </w:r>
      <w:r>
        <w:rPr>
          <w:rFonts w:cs="宋体" w:hint="eastAsia"/>
          <w:szCs w:val="24"/>
        </w:rPr>
        <w:t>3.72%</w:t>
      </w:r>
      <w:r>
        <w:rPr>
          <w:rFonts w:cs="宋体" w:hint="eastAsia"/>
          <w:szCs w:val="24"/>
        </w:rPr>
        <w:t>的股份，范庆伟为公司控股股东。范庆伟还通过持有公司法人股东惠隆公司</w:t>
      </w:r>
      <w:r>
        <w:rPr>
          <w:rFonts w:cs="宋体" w:hint="eastAsia"/>
          <w:szCs w:val="24"/>
        </w:rPr>
        <w:t>72.73%</w:t>
      </w:r>
      <w:r>
        <w:rPr>
          <w:rFonts w:cs="宋体" w:hint="eastAsia"/>
          <w:szCs w:val="24"/>
        </w:rPr>
        <w:t>的股权而间接持有公司</w:t>
      </w:r>
      <w:r>
        <w:rPr>
          <w:rFonts w:cs="宋体" w:hint="eastAsia"/>
          <w:szCs w:val="24"/>
        </w:rPr>
        <w:t>3.56%</w:t>
      </w:r>
      <w:r>
        <w:rPr>
          <w:rFonts w:cs="宋体" w:hint="eastAsia"/>
          <w:szCs w:val="24"/>
        </w:rPr>
        <w:t>股份，范庆伟与范玉隆为父子关系，其合计</w:t>
      </w:r>
      <w:r>
        <w:rPr>
          <w:rFonts w:cs="宋体"/>
          <w:szCs w:val="24"/>
        </w:rPr>
        <w:t>直接和间接持</w:t>
      </w:r>
      <w:r>
        <w:rPr>
          <w:rFonts w:cs="宋体" w:hint="eastAsia"/>
          <w:szCs w:val="24"/>
        </w:rPr>
        <w:t>有公司</w:t>
      </w:r>
      <w:r>
        <w:rPr>
          <w:rFonts w:cs="宋体" w:hint="eastAsia"/>
          <w:szCs w:val="24"/>
        </w:rPr>
        <w:t>63.07%</w:t>
      </w:r>
      <w:r>
        <w:rPr>
          <w:rFonts w:cs="宋体" w:hint="eastAsia"/>
          <w:szCs w:val="24"/>
        </w:rPr>
        <w:t>的股权，因此，范庆伟与范玉隆父子为公司实际控制人。</w:t>
      </w:r>
    </w:p>
    <w:p w14:paraId="4EBAC2A9" w14:textId="77777777" w:rsidR="004B0883" w:rsidRDefault="004B0883">
      <w:pPr>
        <w:pStyle w:val="005"/>
        <w:spacing w:before="120"/>
        <w:ind w:firstLine="480"/>
        <w:rPr>
          <w:rFonts w:hint="eastAsia"/>
        </w:rPr>
      </w:pPr>
      <w:r>
        <w:rPr>
          <w:rFonts w:cs="宋体" w:hint="eastAsia"/>
          <w:szCs w:val="24"/>
        </w:rPr>
        <w:t>截至</w:t>
      </w:r>
      <w:r w:rsidRPr="005A5153">
        <w:rPr>
          <w:rFonts w:ascii="楷体" w:eastAsia="楷体" w:hAnsi="楷体" w:cs="楷体" w:hint="eastAsia"/>
          <w:b/>
          <w:bCs/>
          <w:szCs w:val="24"/>
        </w:rPr>
        <w:t>2023年9月30日</w:t>
      </w:r>
      <w:r>
        <w:rPr>
          <w:rFonts w:cs="宋体" w:hint="eastAsia"/>
          <w:szCs w:val="24"/>
        </w:rPr>
        <w:t>，</w:t>
      </w:r>
      <w:r>
        <w:rPr>
          <w:rFonts w:hint="eastAsia"/>
        </w:rPr>
        <w:t>公司股权结构如下：</w:t>
      </w:r>
    </w:p>
    <w:p w14:paraId="6DCAA668" w14:textId="6F60DA80" w:rsidR="004B0883" w:rsidRDefault="0090540C">
      <w:pPr>
        <w:pStyle w:val="005"/>
        <w:spacing w:before="120"/>
        <w:ind w:firstLineChars="0" w:firstLine="0"/>
        <w:jc w:val="center"/>
        <w:rPr>
          <w:rFonts w:hint="eastAsia"/>
        </w:rPr>
      </w:pPr>
      <w:r>
        <w:rPr>
          <w:noProof/>
        </w:rPr>
        <w:drawing>
          <wp:inline distT="0" distB="0" distL="0" distR="0" wp14:anchorId="64D19527" wp14:editId="427C75EB">
            <wp:extent cx="5271770" cy="1804670"/>
            <wp:effectExtent l="0" t="0" r="0" b="0"/>
            <wp:docPr id="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1770" cy="1804670"/>
                    </a:xfrm>
                    <a:prstGeom prst="rect">
                      <a:avLst/>
                    </a:prstGeom>
                    <a:noFill/>
                    <a:ln>
                      <a:noFill/>
                    </a:ln>
                  </pic:spPr>
                </pic:pic>
              </a:graphicData>
            </a:graphic>
          </wp:inline>
        </w:drawing>
      </w:r>
    </w:p>
    <w:p w14:paraId="125EDBE5" w14:textId="77777777" w:rsidR="004B0883" w:rsidRDefault="004B0883">
      <w:pPr>
        <w:pStyle w:val="005"/>
        <w:spacing w:before="120"/>
        <w:ind w:firstLine="480"/>
      </w:pPr>
      <w:r>
        <w:rPr>
          <w:rFonts w:hint="eastAsia"/>
        </w:rPr>
        <w:t>实际控制人基本情况如下：</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105"/>
        <w:gridCol w:w="1077"/>
        <w:gridCol w:w="1779"/>
        <w:gridCol w:w="1951"/>
        <w:gridCol w:w="2370"/>
      </w:tblGrid>
      <w:tr w:rsidR="004B0883" w14:paraId="2DE53E15" w14:textId="77777777">
        <w:trPr>
          <w:trHeight w:val="340"/>
          <w:tblHeader/>
          <w:jc w:val="center"/>
        </w:trPr>
        <w:tc>
          <w:tcPr>
            <w:tcW w:w="667" w:type="pct"/>
            <w:shd w:val="clear" w:color="auto" w:fill="D9D9D9"/>
            <w:tcMar>
              <w:top w:w="0" w:type="dxa"/>
              <w:bottom w:w="0" w:type="dxa"/>
            </w:tcMar>
            <w:vAlign w:val="center"/>
          </w:tcPr>
          <w:p w14:paraId="5C269A42" w14:textId="77777777" w:rsidR="004B0883" w:rsidRDefault="004B0883">
            <w:pPr>
              <w:pStyle w:val="afffffffffd"/>
              <w:adjustRightInd w:val="0"/>
              <w:snapToGrid w:val="0"/>
              <w:spacing w:beforeLines="0" w:before="0" w:afterLines="0" w:after="0"/>
              <w:rPr>
                <w:b/>
                <w:bCs/>
                <w:szCs w:val="18"/>
              </w:rPr>
            </w:pPr>
            <w:r>
              <w:rPr>
                <w:rFonts w:hint="eastAsia"/>
                <w:b/>
                <w:bCs/>
                <w:szCs w:val="18"/>
              </w:rPr>
              <w:t>姓名</w:t>
            </w:r>
          </w:p>
        </w:tc>
        <w:tc>
          <w:tcPr>
            <w:tcW w:w="650" w:type="pct"/>
            <w:shd w:val="clear" w:color="auto" w:fill="D9D9D9"/>
            <w:tcMar>
              <w:top w:w="0" w:type="dxa"/>
              <w:bottom w:w="0" w:type="dxa"/>
            </w:tcMar>
            <w:vAlign w:val="center"/>
          </w:tcPr>
          <w:p w14:paraId="4FF8CD69" w14:textId="77777777" w:rsidR="004B0883" w:rsidRDefault="004B0883">
            <w:pPr>
              <w:pStyle w:val="afffffffffd"/>
              <w:adjustRightInd w:val="0"/>
              <w:snapToGrid w:val="0"/>
              <w:spacing w:beforeLines="0" w:before="0" w:afterLines="0" w:after="0"/>
              <w:rPr>
                <w:b/>
                <w:bCs/>
                <w:szCs w:val="18"/>
              </w:rPr>
            </w:pPr>
            <w:r>
              <w:rPr>
                <w:rFonts w:hint="eastAsia"/>
                <w:b/>
                <w:bCs/>
                <w:szCs w:val="18"/>
              </w:rPr>
              <w:t>国籍</w:t>
            </w:r>
          </w:p>
        </w:tc>
        <w:tc>
          <w:tcPr>
            <w:tcW w:w="1074" w:type="pct"/>
            <w:shd w:val="clear" w:color="auto" w:fill="D9D9D9"/>
            <w:tcMar>
              <w:top w:w="0" w:type="dxa"/>
              <w:bottom w:w="0" w:type="dxa"/>
            </w:tcMar>
            <w:vAlign w:val="center"/>
          </w:tcPr>
          <w:p w14:paraId="16ED2384" w14:textId="77777777" w:rsidR="004B0883" w:rsidRDefault="004B0883">
            <w:pPr>
              <w:pStyle w:val="afffffffffd"/>
              <w:adjustRightInd w:val="0"/>
              <w:snapToGrid w:val="0"/>
              <w:spacing w:beforeLines="0" w:before="0" w:afterLines="0" w:after="0"/>
              <w:rPr>
                <w:b/>
                <w:bCs/>
                <w:szCs w:val="18"/>
              </w:rPr>
            </w:pPr>
            <w:r>
              <w:rPr>
                <w:rFonts w:hint="eastAsia"/>
                <w:b/>
                <w:bCs/>
                <w:szCs w:val="18"/>
              </w:rPr>
              <w:t>是否有境外居留权</w:t>
            </w:r>
          </w:p>
        </w:tc>
        <w:tc>
          <w:tcPr>
            <w:tcW w:w="1178" w:type="pct"/>
            <w:shd w:val="clear" w:color="auto" w:fill="D9D9D9"/>
            <w:tcMar>
              <w:top w:w="0" w:type="dxa"/>
              <w:bottom w:w="0" w:type="dxa"/>
            </w:tcMar>
            <w:vAlign w:val="center"/>
          </w:tcPr>
          <w:p w14:paraId="227847C9" w14:textId="77777777" w:rsidR="004B0883" w:rsidRDefault="004B0883">
            <w:pPr>
              <w:pStyle w:val="afffffffffd"/>
              <w:adjustRightInd w:val="0"/>
              <w:snapToGrid w:val="0"/>
              <w:spacing w:beforeLines="0" w:before="0" w:afterLines="0" w:after="0"/>
              <w:rPr>
                <w:b/>
                <w:bCs/>
                <w:szCs w:val="18"/>
              </w:rPr>
            </w:pPr>
            <w:r>
              <w:rPr>
                <w:rFonts w:hint="eastAsia"/>
                <w:b/>
                <w:bCs/>
                <w:szCs w:val="18"/>
              </w:rPr>
              <w:t>住所</w:t>
            </w:r>
          </w:p>
        </w:tc>
        <w:tc>
          <w:tcPr>
            <w:tcW w:w="1431" w:type="pct"/>
            <w:shd w:val="clear" w:color="auto" w:fill="D9D9D9"/>
            <w:tcMar>
              <w:top w:w="0" w:type="dxa"/>
              <w:bottom w:w="0" w:type="dxa"/>
            </w:tcMar>
            <w:vAlign w:val="center"/>
          </w:tcPr>
          <w:p w14:paraId="7B66B2C6" w14:textId="77777777" w:rsidR="004B0883" w:rsidRDefault="004B0883">
            <w:pPr>
              <w:pStyle w:val="afffffffffd"/>
              <w:adjustRightInd w:val="0"/>
              <w:snapToGrid w:val="0"/>
              <w:spacing w:beforeLines="0" w:before="0" w:afterLines="0" w:after="0"/>
              <w:rPr>
                <w:b/>
                <w:bCs/>
                <w:szCs w:val="18"/>
              </w:rPr>
            </w:pPr>
            <w:r>
              <w:rPr>
                <w:rFonts w:hint="eastAsia"/>
                <w:b/>
                <w:bCs/>
                <w:szCs w:val="18"/>
              </w:rPr>
              <w:t>身份证号码</w:t>
            </w:r>
          </w:p>
        </w:tc>
      </w:tr>
      <w:tr w:rsidR="004B0883" w14:paraId="10A5A5CD" w14:textId="77777777">
        <w:trPr>
          <w:trHeight w:val="340"/>
          <w:jc w:val="center"/>
        </w:trPr>
        <w:tc>
          <w:tcPr>
            <w:tcW w:w="667" w:type="pct"/>
            <w:tcMar>
              <w:top w:w="0" w:type="dxa"/>
              <w:bottom w:w="0" w:type="dxa"/>
            </w:tcMar>
            <w:vAlign w:val="center"/>
          </w:tcPr>
          <w:p w14:paraId="4E8B71B0" w14:textId="77777777" w:rsidR="004B0883" w:rsidRDefault="004B0883">
            <w:pPr>
              <w:pStyle w:val="afffffffffd"/>
              <w:adjustRightInd w:val="0"/>
              <w:snapToGrid w:val="0"/>
              <w:spacing w:beforeLines="0" w:before="0" w:afterLines="0" w:after="0"/>
              <w:jc w:val="left"/>
              <w:rPr>
                <w:szCs w:val="18"/>
              </w:rPr>
            </w:pPr>
            <w:r>
              <w:rPr>
                <w:rFonts w:hint="eastAsia"/>
                <w:szCs w:val="18"/>
              </w:rPr>
              <w:t>范庆伟</w:t>
            </w:r>
          </w:p>
        </w:tc>
        <w:tc>
          <w:tcPr>
            <w:tcW w:w="650" w:type="pct"/>
            <w:tcMar>
              <w:top w:w="0" w:type="dxa"/>
              <w:bottom w:w="0" w:type="dxa"/>
            </w:tcMar>
            <w:vAlign w:val="center"/>
          </w:tcPr>
          <w:p w14:paraId="56954068" w14:textId="77777777" w:rsidR="004B0883" w:rsidRDefault="004B0883">
            <w:pPr>
              <w:pStyle w:val="afffffffffd"/>
              <w:adjustRightInd w:val="0"/>
              <w:snapToGrid w:val="0"/>
              <w:spacing w:beforeLines="0" w:before="0" w:afterLines="0" w:after="0"/>
              <w:jc w:val="left"/>
              <w:rPr>
                <w:szCs w:val="18"/>
              </w:rPr>
            </w:pPr>
            <w:r>
              <w:rPr>
                <w:rFonts w:hint="eastAsia"/>
                <w:szCs w:val="18"/>
              </w:rPr>
              <w:t>中国</w:t>
            </w:r>
          </w:p>
        </w:tc>
        <w:tc>
          <w:tcPr>
            <w:tcW w:w="1074" w:type="pct"/>
            <w:tcMar>
              <w:top w:w="0" w:type="dxa"/>
              <w:bottom w:w="0" w:type="dxa"/>
            </w:tcMar>
            <w:vAlign w:val="center"/>
          </w:tcPr>
          <w:p w14:paraId="36D4BCF5" w14:textId="77777777" w:rsidR="004B0883" w:rsidRDefault="004B0883">
            <w:pPr>
              <w:pStyle w:val="afffffffffd"/>
              <w:adjustRightInd w:val="0"/>
              <w:snapToGrid w:val="0"/>
              <w:spacing w:beforeLines="0" w:before="0" w:afterLines="0" w:after="0"/>
              <w:jc w:val="left"/>
              <w:rPr>
                <w:szCs w:val="18"/>
              </w:rPr>
            </w:pPr>
            <w:r>
              <w:rPr>
                <w:rFonts w:hint="eastAsia"/>
                <w:szCs w:val="18"/>
              </w:rPr>
              <w:t>否</w:t>
            </w:r>
          </w:p>
        </w:tc>
        <w:tc>
          <w:tcPr>
            <w:tcW w:w="1178" w:type="pct"/>
            <w:tcMar>
              <w:top w:w="0" w:type="dxa"/>
              <w:bottom w:w="0" w:type="dxa"/>
            </w:tcMar>
            <w:vAlign w:val="center"/>
          </w:tcPr>
          <w:p w14:paraId="1A61E16B" w14:textId="77777777" w:rsidR="004B0883" w:rsidRDefault="004B0883">
            <w:pPr>
              <w:pStyle w:val="afffffffffd"/>
              <w:adjustRightInd w:val="0"/>
              <w:snapToGrid w:val="0"/>
              <w:spacing w:beforeLines="0" w:before="0" w:afterLines="0" w:after="0"/>
              <w:jc w:val="left"/>
              <w:rPr>
                <w:szCs w:val="18"/>
              </w:rPr>
            </w:pPr>
            <w:r>
              <w:rPr>
                <w:rFonts w:hint="eastAsia"/>
                <w:szCs w:val="18"/>
              </w:rPr>
              <w:t>山东省青岛市市南区</w:t>
            </w:r>
          </w:p>
        </w:tc>
        <w:tc>
          <w:tcPr>
            <w:tcW w:w="1431" w:type="pct"/>
            <w:tcMar>
              <w:top w:w="0" w:type="dxa"/>
              <w:bottom w:w="0" w:type="dxa"/>
            </w:tcMar>
            <w:vAlign w:val="center"/>
          </w:tcPr>
          <w:p w14:paraId="38117441" w14:textId="77777777" w:rsidR="004B0883" w:rsidRDefault="004B0883">
            <w:pPr>
              <w:pStyle w:val="afffffffffd"/>
              <w:adjustRightInd w:val="0"/>
              <w:snapToGrid w:val="0"/>
              <w:spacing w:beforeLines="0" w:before="0" w:afterLines="0" w:after="0"/>
              <w:jc w:val="both"/>
              <w:rPr>
                <w:szCs w:val="18"/>
              </w:rPr>
            </w:pPr>
            <w:r>
              <w:rPr>
                <w:rFonts w:hint="eastAsia"/>
                <w:szCs w:val="18"/>
              </w:rPr>
              <w:t>370</w:t>
            </w:r>
            <w:r>
              <w:rPr>
                <w:szCs w:val="18"/>
              </w:rPr>
              <w:t>2061961****4815</w:t>
            </w:r>
          </w:p>
        </w:tc>
      </w:tr>
      <w:tr w:rsidR="004B0883" w14:paraId="5527AA02" w14:textId="77777777">
        <w:trPr>
          <w:trHeight w:val="340"/>
          <w:jc w:val="center"/>
        </w:trPr>
        <w:tc>
          <w:tcPr>
            <w:tcW w:w="667" w:type="pct"/>
            <w:tcMar>
              <w:top w:w="0" w:type="dxa"/>
              <w:bottom w:w="0" w:type="dxa"/>
            </w:tcMar>
            <w:vAlign w:val="center"/>
          </w:tcPr>
          <w:p w14:paraId="3DD66830" w14:textId="77777777" w:rsidR="004B0883" w:rsidRDefault="004B0883">
            <w:pPr>
              <w:pStyle w:val="afffffffffd"/>
              <w:adjustRightInd w:val="0"/>
              <w:snapToGrid w:val="0"/>
              <w:spacing w:beforeLines="0" w:before="0" w:afterLines="0" w:after="0"/>
              <w:jc w:val="left"/>
              <w:rPr>
                <w:rFonts w:hint="eastAsia"/>
                <w:szCs w:val="18"/>
              </w:rPr>
            </w:pPr>
            <w:r>
              <w:rPr>
                <w:rFonts w:hint="eastAsia"/>
                <w:szCs w:val="18"/>
              </w:rPr>
              <w:t>范玉隆</w:t>
            </w:r>
          </w:p>
        </w:tc>
        <w:tc>
          <w:tcPr>
            <w:tcW w:w="650" w:type="pct"/>
            <w:tcMar>
              <w:top w:w="0" w:type="dxa"/>
              <w:bottom w:w="0" w:type="dxa"/>
            </w:tcMar>
            <w:vAlign w:val="center"/>
          </w:tcPr>
          <w:p w14:paraId="6567D48C" w14:textId="77777777" w:rsidR="004B0883" w:rsidRDefault="004B0883">
            <w:pPr>
              <w:pStyle w:val="afffffffffd"/>
              <w:adjustRightInd w:val="0"/>
              <w:snapToGrid w:val="0"/>
              <w:spacing w:beforeLines="0" w:before="0" w:afterLines="0" w:after="0"/>
              <w:jc w:val="left"/>
              <w:rPr>
                <w:szCs w:val="18"/>
              </w:rPr>
            </w:pPr>
            <w:r>
              <w:rPr>
                <w:rFonts w:hint="eastAsia"/>
                <w:szCs w:val="18"/>
              </w:rPr>
              <w:t>中国</w:t>
            </w:r>
          </w:p>
        </w:tc>
        <w:tc>
          <w:tcPr>
            <w:tcW w:w="1074" w:type="pct"/>
            <w:tcMar>
              <w:top w:w="0" w:type="dxa"/>
              <w:bottom w:w="0" w:type="dxa"/>
            </w:tcMar>
            <w:vAlign w:val="center"/>
          </w:tcPr>
          <w:p w14:paraId="5B51FA44" w14:textId="77777777" w:rsidR="004B0883" w:rsidRDefault="004B0883">
            <w:pPr>
              <w:pStyle w:val="afffffffffd"/>
              <w:adjustRightInd w:val="0"/>
              <w:snapToGrid w:val="0"/>
              <w:spacing w:beforeLines="0" w:before="0" w:afterLines="0" w:after="0"/>
              <w:jc w:val="left"/>
              <w:rPr>
                <w:szCs w:val="18"/>
              </w:rPr>
            </w:pPr>
            <w:r>
              <w:rPr>
                <w:rFonts w:hint="eastAsia"/>
                <w:szCs w:val="18"/>
              </w:rPr>
              <w:t>否</w:t>
            </w:r>
          </w:p>
        </w:tc>
        <w:tc>
          <w:tcPr>
            <w:tcW w:w="1178" w:type="pct"/>
            <w:tcMar>
              <w:top w:w="0" w:type="dxa"/>
              <w:bottom w:w="0" w:type="dxa"/>
            </w:tcMar>
            <w:vAlign w:val="center"/>
          </w:tcPr>
          <w:p w14:paraId="72FAE2C2" w14:textId="77777777" w:rsidR="004B0883" w:rsidRDefault="004B0883">
            <w:pPr>
              <w:pStyle w:val="afffffffffd"/>
              <w:adjustRightInd w:val="0"/>
              <w:snapToGrid w:val="0"/>
              <w:spacing w:beforeLines="0" w:before="0" w:afterLines="0" w:after="0"/>
              <w:jc w:val="left"/>
              <w:rPr>
                <w:szCs w:val="18"/>
              </w:rPr>
            </w:pPr>
            <w:r>
              <w:rPr>
                <w:rFonts w:hint="eastAsia"/>
                <w:szCs w:val="18"/>
              </w:rPr>
              <w:t>山东省青岛市市南区</w:t>
            </w:r>
          </w:p>
        </w:tc>
        <w:tc>
          <w:tcPr>
            <w:tcW w:w="1431" w:type="pct"/>
            <w:tcMar>
              <w:top w:w="0" w:type="dxa"/>
              <w:bottom w:w="0" w:type="dxa"/>
            </w:tcMar>
            <w:vAlign w:val="center"/>
          </w:tcPr>
          <w:p w14:paraId="1DDA2770" w14:textId="77777777" w:rsidR="004B0883" w:rsidRDefault="004B0883">
            <w:pPr>
              <w:pStyle w:val="afffffffffd"/>
              <w:adjustRightInd w:val="0"/>
              <w:snapToGrid w:val="0"/>
              <w:spacing w:beforeLines="0" w:before="0" w:afterLines="0" w:after="0"/>
              <w:jc w:val="both"/>
              <w:rPr>
                <w:szCs w:val="18"/>
              </w:rPr>
            </w:pPr>
            <w:r>
              <w:rPr>
                <w:szCs w:val="18"/>
              </w:rPr>
              <w:t>3702021988****5419</w:t>
            </w:r>
          </w:p>
        </w:tc>
      </w:tr>
    </w:tbl>
    <w:p w14:paraId="6DB20303" w14:textId="77777777" w:rsidR="004B0883" w:rsidRDefault="004B0883">
      <w:pPr>
        <w:pStyle w:val="005"/>
        <w:spacing w:before="120"/>
        <w:ind w:firstLine="480"/>
        <w:rPr>
          <w:rFonts w:hint="eastAsia"/>
        </w:rPr>
      </w:pPr>
      <w:r>
        <w:rPr>
          <w:rFonts w:hint="eastAsia"/>
        </w:rPr>
        <w:t>范庆伟先生，中国国籍，无境外居留权，</w:t>
      </w:r>
      <w:r>
        <w:rPr>
          <w:rFonts w:hint="eastAsia"/>
        </w:rPr>
        <w:t>1961</w:t>
      </w:r>
      <w:r>
        <w:rPr>
          <w:rFonts w:hint="eastAsia"/>
        </w:rPr>
        <w:t>年出生，本科学历。</w:t>
      </w:r>
      <w:r>
        <w:rPr>
          <w:rFonts w:hint="eastAsia"/>
        </w:rPr>
        <w:t>1983</w:t>
      </w:r>
      <w:r>
        <w:rPr>
          <w:rFonts w:hint="eastAsia"/>
        </w:rPr>
        <w:t>年至</w:t>
      </w:r>
      <w:r>
        <w:rPr>
          <w:rFonts w:hint="eastAsia"/>
        </w:rPr>
        <w:t>1988</w:t>
      </w:r>
      <w:r>
        <w:rPr>
          <w:rFonts w:hint="eastAsia"/>
        </w:rPr>
        <w:t>年在青岛电站阀门厂任助理工程师；</w:t>
      </w:r>
      <w:r>
        <w:rPr>
          <w:rFonts w:hint="eastAsia"/>
        </w:rPr>
        <w:t>1988</w:t>
      </w:r>
      <w:r>
        <w:rPr>
          <w:rFonts w:hint="eastAsia"/>
        </w:rPr>
        <w:t>年至</w:t>
      </w:r>
      <w:r>
        <w:rPr>
          <w:rFonts w:hint="eastAsia"/>
        </w:rPr>
        <w:t>1995</w:t>
      </w:r>
      <w:r>
        <w:rPr>
          <w:rFonts w:hint="eastAsia"/>
        </w:rPr>
        <w:t>年在中国机械进出口公司青岛分公司任分公司经理；</w:t>
      </w:r>
      <w:r>
        <w:rPr>
          <w:rFonts w:hint="eastAsia"/>
        </w:rPr>
        <w:t>1995</w:t>
      </w:r>
      <w:r>
        <w:rPr>
          <w:rFonts w:hint="eastAsia"/>
        </w:rPr>
        <w:t>年至</w:t>
      </w:r>
      <w:r>
        <w:rPr>
          <w:rFonts w:hint="eastAsia"/>
        </w:rPr>
        <w:t>2004</w:t>
      </w:r>
      <w:r>
        <w:rPr>
          <w:rFonts w:hint="eastAsia"/>
        </w:rPr>
        <w:t>年任青岛伟隆经贸有限公司执行董事兼总经理；</w:t>
      </w:r>
      <w:r>
        <w:rPr>
          <w:rFonts w:hint="eastAsia"/>
        </w:rPr>
        <w:t>2004</w:t>
      </w:r>
      <w:r>
        <w:rPr>
          <w:rFonts w:hint="eastAsia"/>
        </w:rPr>
        <w:t>年至</w:t>
      </w:r>
      <w:r>
        <w:rPr>
          <w:rFonts w:hint="eastAsia"/>
        </w:rPr>
        <w:t>2012</w:t>
      </w:r>
      <w:r>
        <w:rPr>
          <w:rFonts w:hint="eastAsia"/>
        </w:rPr>
        <w:t>年</w:t>
      </w:r>
      <w:r>
        <w:rPr>
          <w:rFonts w:hint="eastAsia"/>
        </w:rPr>
        <w:t>3</w:t>
      </w:r>
      <w:r>
        <w:rPr>
          <w:rFonts w:hint="eastAsia"/>
        </w:rPr>
        <w:t>月任青岛伟隆阀门有限公司执行董事兼总经理；</w:t>
      </w:r>
      <w:r>
        <w:rPr>
          <w:rFonts w:hint="eastAsia"/>
        </w:rPr>
        <w:t>2012</w:t>
      </w:r>
      <w:r>
        <w:rPr>
          <w:rFonts w:hint="eastAsia"/>
        </w:rPr>
        <w:t>年</w:t>
      </w:r>
      <w:r>
        <w:rPr>
          <w:rFonts w:hint="eastAsia"/>
        </w:rPr>
        <w:t>3</w:t>
      </w:r>
      <w:r>
        <w:rPr>
          <w:rFonts w:hint="eastAsia"/>
        </w:rPr>
        <w:t>月至</w:t>
      </w:r>
      <w:r>
        <w:rPr>
          <w:rFonts w:hint="eastAsia"/>
        </w:rPr>
        <w:t>2014</w:t>
      </w:r>
      <w:r>
        <w:rPr>
          <w:rFonts w:hint="eastAsia"/>
        </w:rPr>
        <w:t>年</w:t>
      </w:r>
      <w:r>
        <w:rPr>
          <w:rFonts w:hint="eastAsia"/>
        </w:rPr>
        <w:t>11</w:t>
      </w:r>
      <w:r>
        <w:rPr>
          <w:rFonts w:hint="eastAsia"/>
        </w:rPr>
        <w:t>月任青岛伟隆阀门股份有限公司董事长兼总经理；</w:t>
      </w:r>
      <w:r>
        <w:rPr>
          <w:rFonts w:hint="eastAsia"/>
        </w:rPr>
        <w:t>2014</w:t>
      </w:r>
      <w:r>
        <w:rPr>
          <w:rFonts w:hint="eastAsia"/>
        </w:rPr>
        <w:t>年</w:t>
      </w:r>
      <w:r>
        <w:rPr>
          <w:rFonts w:hint="eastAsia"/>
        </w:rPr>
        <w:t>11</w:t>
      </w:r>
      <w:r>
        <w:rPr>
          <w:rFonts w:hint="eastAsia"/>
        </w:rPr>
        <w:t>月至今任青岛伟隆阀门股份有限公司董事长。现兼任莱州伟隆阀门有限公司执行董事、青岛伟隆五金机械有限公司执行董事兼总经理、青岛伟隆流体设备有限公司执行董事、海南伟隆投资有限公司董事长、英国伟隆有限公司董事兼经理、美国伟隆有限公司董事、江西惠隆企业管理有限公司执行董事、伟隆（香港）实业有限公司执行董事、</w:t>
      </w:r>
      <w:r>
        <w:rPr>
          <w:rFonts w:hint="eastAsia"/>
          <w:color w:val="000000"/>
        </w:rPr>
        <w:t>中国机电一体化技术应用协会控制阀分会副理事长</w:t>
      </w:r>
      <w:r>
        <w:rPr>
          <w:rFonts w:hint="eastAsia"/>
        </w:rPr>
        <w:t>。</w:t>
      </w:r>
    </w:p>
    <w:p w14:paraId="612A86B2" w14:textId="77777777" w:rsidR="004B0883" w:rsidRDefault="004B0883">
      <w:pPr>
        <w:pStyle w:val="005"/>
        <w:spacing w:before="120"/>
        <w:ind w:firstLine="480"/>
        <w:rPr>
          <w:rFonts w:hint="eastAsia"/>
        </w:rPr>
      </w:pPr>
      <w:r>
        <w:rPr>
          <w:rFonts w:hint="eastAsia"/>
        </w:rPr>
        <w:t>范玉隆先生，中国国籍，无境外居留权，</w:t>
      </w:r>
      <w:r>
        <w:rPr>
          <w:rFonts w:hint="eastAsia"/>
        </w:rPr>
        <w:t>1988</w:t>
      </w:r>
      <w:r>
        <w:rPr>
          <w:rFonts w:hint="eastAsia"/>
        </w:rPr>
        <w:t>年出生，本科学历。</w:t>
      </w:r>
      <w:r>
        <w:rPr>
          <w:rFonts w:hint="eastAsia"/>
        </w:rPr>
        <w:t>2012</w:t>
      </w:r>
      <w:r>
        <w:rPr>
          <w:rFonts w:hint="eastAsia"/>
        </w:rPr>
        <w:t>年</w:t>
      </w:r>
      <w:r>
        <w:rPr>
          <w:rFonts w:hint="eastAsia"/>
        </w:rPr>
        <w:t>3</w:t>
      </w:r>
      <w:r>
        <w:rPr>
          <w:rFonts w:hint="eastAsia"/>
        </w:rPr>
        <w:t>月至</w:t>
      </w:r>
      <w:r>
        <w:rPr>
          <w:rFonts w:hint="eastAsia"/>
        </w:rPr>
        <w:t>2015</w:t>
      </w:r>
      <w:r>
        <w:rPr>
          <w:rFonts w:hint="eastAsia"/>
        </w:rPr>
        <w:t>年</w:t>
      </w:r>
      <w:r>
        <w:rPr>
          <w:rFonts w:hint="eastAsia"/>
        </w:rPr>
        <w:t>3</w:t>
      </w:r>
      <w:r>
        <w:rPr>
          <w:rFonts w:hint="eastAsia"/>
        </w:rPr>
        <w:t>月任青岛伟隆阀门股份有限公司董事、采购部副部长；</w:t>
      </w:r>
      <w:r>
        <w:rPr>
          <w:rFonts w:hint="eastAsia"/>
        </w:rPr>
        <w:t>2023</w:t>
      </w:r>
      <w:r>
        <w:rPr>
          <w:rFonts w:hint="eastAsia"/>
        </w:rPr>
        <w:t>年</w:t>
      </w:r>
      <w:r>
        <w:rPr>
          <w:rFonts w:hint="eastAsia"/>
        </w:rPr>
        <w:t>2</w:t>
      </w:r>
      <w:r>
        <w:rPr>
          <w:rFonts w:hint="eastAsia"/>
        </w:rPr>
        <w:t>月至</w:t>
      </w:r>
      <w:r>
        <w:rPr>
          <w:rFonts w:hint="eastAsia"/>
        </w:rPr>
        <w:t>2023</w:t>
      </w:r>
      <w:r>
        <w:rPr>
          <w:rFonts w:hint="eastAsia"/>
        </w:rPr>
        <w:t>年</w:t>
      </w:r>
      <w:r>
        <w:rPr>
          <w:rFonts w:hint="eastAsia"/>
        </w:rPr>
        <w:t>8</w:t>
      </w:r>
      <w:r>
        <w:rPr>
          <w:rFonts w:hint="eastAsia"/>
        </w:rPr>
        <w:t>月任青岛伟隆海洋科技有限公司执行董事；</w:t>
      </w:r>
      <w:r>
        <w:rPr>
          <w:rFonts w:hint="eastAsia"/>
        </w:rPr>
        <w:t>2015</w:t>
      </w:r>
      <w:r>
        <w:rPr>
          <w:rFonts w:hint="eastAsia"/>
        </w:rPr>
        <w:t>年</w:t>
      </w:r>
      <w:r>
        <w:rPr>
          <w:rFonts w:hint="eastAsia"/>
        </w:rPr>
        <w:t>3</w:t>
      </w:r>
      <w:r>
        <w:rPr>
          <w:rFonts w:hint="eastAsia"/>
        </w:rPr>
        <w:t>月至今任青岛伟隆阀门股份有限公司董事、生产部总监助理。现兼任青岛伟隆流体设备有限公司监事。</w:t>
      </w:r>
    </w:p>
    <w:p w14:paraId="377E3734" w14:textId="77777777" w:rsidR="004B0883" w:rsidRDefault="004B0883">
      <w:pPr>
        <w:pStyle w:val="003"/>
        <w:spacing w:before="120" w:after="120"/>
        <w:rPr>
          <w:rFonts w:hint="eastAsia"/>
          <w:color w:val="171F46"/>
        </w:rPr>
      </w:pPr>
      <w:r>
        <w:rPr>
          <w:rFonts w:hint="eastAsia"/>
        </w:rPr>
        <w:t>（二）控股股东和实际控制人的变化情况</w:t>
      </w:r>
    </w:p>
    <w:p w14:paraId="001885E2" w14:textId="77777777" w:rsidR="004B0883" w:rsidRDefault="004B0883">
      <w:pPr>
        <w:pStyle w:val="005"/>
        <w:spacing w:before="120"/>
        <w:ind w:firstLine="480"/>
      </w:pPr>
      <w:r>
        <w:t>公司自上市以来，控股股东和实际控制人未发生变化。</w:t>
      </w:r>
    </w:p>
    <w:p w14:paraId="47D4E739" w14:textId="77777777" w:rsidR="004B0883" w:rsidRDefault="004B0883">
      <w:pPr>
        <w:pStyle w:val="003"/>
        <w:spacing w:before="120" w:after="120"/>
      </w:pPr>
      <w:r>
        <w:rPr>
          <w:rFonts w:hint="eastAsia"/>
        </w:rPr>
        <w:t>（三）</w:t>
      </w:r>
      <w:r>
        <w:t>控股股东和实际控制人</w:t>
      </w:r>
      <w:r>
        <w:rPr>
          <w:rFonts w:hint="eastAsia"/>
        </w:rPr>
        <w:t>控制的其他主要企业</w:t>
      </w:r>
    </w:p>
    <w:p w14:paraId="4DB7516C" w14:textId="77777777" w:rsidR="004B0883" w:rsidRDefault="004B0883">
      <w:pPr>
        <w:pStyle w:val="005"/>
        <w:spacing w:before="120"/>
        <w:ind w:firstLine="480"/>
      </w:pPr>
      <w:r>
        <w:rPr>
          <w:rFonts w:hint="eastAsia"/>
        </w:rPr>
        <w:t>发行人主要从事工业阀门产品的设计、研发、生产和销售。</w:t>
      </w:r>
      <w:r>
        <w:rPr>
          <w:rFonts w:hint="eastAsia"/>
          <w:lang w:val="zh-CN"/>
        </w:rPr>
        <w:t>截至</w:t>
      </w:r>
      <w:r>
        <w:rPr>
          <w:rFonts w:hint="eastAsia"/>
          <w:lang w:val="zh-CN"/>
        </w:rPr>
        <w:t>2</w:t>
      </w:r>
      <w:r>
        <w:rPr>
          <w:lang w:val="zh-CN"/>
        </w:rPr>
        <w:t>023</w:t>
      </w:r>
      <w:r>
        <w:rPr>
          <w:rFonts w:hint="eastAsia"/>
          <w:lang w:val="zh-CN"/>
        </w:rPr>
        <w:t>年</w:t>
      </w:r>
      <w:r>
        <w:rPr>
          <w:rFonts w:hint="eastAsia"/>
        </w:rPr>
        <w:t>9</w:t>
      </w:r>
      <w:r>
        <w:rPr>
          <w:rFonts w:hint="eastAsia"/>
          <w:lang w:val="zh-CN"/>
        </w:rPr>
        <w:t>月</w:t>
      </w:r>
      <w:r>
        <w:rPr>
          <w:rFonts w:hint="eastAsia"/>
          <w:lang w:val="zh-CN"/>
        </w:rPr>
        <w:t>3</w:t>
      </w:r>
      <w:r>
        <w:rPr>
          <w:rFonts w:hint="eastAsia"/>
        </w:rPr>
        <w:t>0</w:t>
      </w:r>
      <w:r>
        <w:rPr>
          <w:rFonts w:hint="eastAsia"/>
          <w:lang w:val="zh-CN"/>
        </w:rPr>
        <w:t>日</w:t>
      </w:r>
      <w:r>
        <w:rPr>
          <w:rFonts w:hint="eastAsia"/>
        </w:rPr>
        <w:t>，除公司及公司控股子公司、江西惠隆企业管理有限公司外，公司控股股东、实际控制人范庆伟、范玉隆未控制其他企业。</w:t>
      </w:r>
    </w:p>
    <w:p w14:paraId="0CBB69F0" w14:textId="77777777" w:rsidR="004B0883" w:rsidRDefault="004B0883">
      <w:pPr>
        <w:pStyle w:val="005"/>
        <w:spacing w:before="120"/>
        <w:ind w:firstLine="480"/>
        <w:rPr>
          <w:rFonts w:hint="eastAsia"/>
        </w:rPr>
      </w:pPr>
      <w:r>
        <w:rPr>
          <w:rFonts w:hint="eastAsia"/>
        </w:rPr>
        <w:t>因此，公司控股股东、实际控制人及其控制的其他企业不存在从事与公司相同或相似业务的情况，公司与控股股东、实际控制人及其控制的其他企业之间不存在同业竞争。</w:t>
      </w:r>
    </w:p>
    <w:p w14:paraId="0CDBDD87" w14:textId="77777777" w:rsidR="004B0883" w:rsidRDefault="004B0883">
      <w:pPr>
        <w:pStyle w:val="003"/>
        <w:spacing w:before="120" w:after="120"/>
        <w:rPr>
          <w:rFonts w:hint="eastAsia"/>
        </w:rPr>
      </w:pPr>
      <w:r>
        <w:rPr>
          <w:rFonts w:hint="eastAsia"/>
        </w:rPr>
        <w:t>（</w:t>
      </w:r>
      <w:bookmarkStart w:id="202" w:name="_Hlk123944830"/>
      <w:r>
        <w:t>四</w:t>
      </w:r>
      <w:r>
        <w:rPr>
          <w:rFonts w:hint="eastAsia"/>
        </w:rPr>
        <w:t>）控股股东和实际控制人持有发行人股份质押情况</w:t>
      </w:r>
    </w:p>
    <w:p w14:paraId="69CE4681" w14:textId="77777777" w:rsidR="004B0883" w:rsidRDefault="004B0883">
      <w:pPr>
        <w:widowControl w:val="0"/>
        <w:spacing w:beforeLines="50" w:before="120" w:line="360" w:lineRule="auto"/>
        <w:ind w:firstLineChars="200" w:firstLine="480"/>
        <w:jc w:val="both"/>
        <w:rPr>
          <w:sz w:val="24"/>
          <w:szCs w:val="22"/>
        </w:rPr>
      </w:pPr>
      <w:bookmarkStart w:id="203" w:name="_Hlk102154180"/>
      <w:bookmarkStart w:id="204" w:name="_Hlk107410154"/>
      <w:r>
        <w:rPr>
          <w:rFonts w:hint="eastAsia"/>
          <w:sz w:val="24"/>
          <w:szCs w:val="22"/>
        </w:rPr>
        <w:t>截至本募集说明书签署日，公司控股股东及实际控制人直接持有或间接控制发行人的股份无质押情况</w:t>
      </w:r>
      <w:bookmarkEnd w:id="202"/>
      <w:bookmarkEnd w:id="203"/>
      <w:bookmarkEnd w:id="204"/>
      <w:r>
        <w:rPr>
          <w:rFonts w:hint="eastAsia"/>
          <w:sz w:val="24"/>
          <w:szCs w:val="22"/>
        </w:rPr>
        <w:t>。</w:t>
      </w:r>
    </w:p>
    <w:p w14:paraId="2973A120" w14:textId="77777777" w:rsidR="004B0883" w:rsidRDefault="004B0883">
      <w:pPr>
        <w:widowControl w:val="0"/>
        <w:spacing w:beforeLines="50" w:before="120" w:line="360" w:lineRule="auto"/>
        <w:ind w:firstLineChars="200" w:firstLine="420"/>
        <w:jc w:val="both"/>
        <w:rPr>
          <w:rFonts w:hint="eastAsia"/>
        </w:rPr>
        <w:sectPr w:rsidR="004B0883">
          <w:headerReference w:type="default" r:id="rId16"/>
          <w:footerReference w:type="default" r:id="rId17"/>
          <w:pgSz w:w="11906" w:h="16838"/>
          <w:pgMar w:top="1440" w:right="1797" w:bottom="1440" w:left="1797" w:header="851" w:footer="992" w:gutter="0"/>
          <w:pgNumType w:start="1"/>
          <w:cols w:space="720"/>
          <w:docGrid w:linePitch="312"/>
        </w:sectPr>
      </w:pPr>
      <w:r>
        <w:rPr>
          <w:rFonts w:hint="eastAsia"/>
        </w:rPr>
        <w:t xml:space="preserve"> </w:t>
      </w:r>
    </w:p>
    <w:p w14:paraId="53F90F6E" w14:textId="77777777" w:rsidR="004B0883" w:rsidRDefault="004B0883">
      <w:pPr>
        <w:pStyle w:val="002"/>
        <w:spacing w:before="120" w:after="120"/>
        <w:rPr>
          <w:rFonts w:hint="eastAsia"/>
        </w:rPr>
      </w:pPr>
      <w:bookmarkStart w:id="205" w:name="_Toc152320792"/>
      <w:r>
        <w:rPr>
          <w:rFonts w:hint="eastAsia"/>
        </w:rPr>
        <w:t>四、公司、控股股东、实际控制人、董事、监事、高级管理人员最近三年一期作出的重要承诺及履行情况</w:t>
      </w:r>
      <w:bookmarkEnd w:id="205"/>
    </w:p>
    <w:p w14:paraId="14D1E1C1" w14:textId="77777777" w:rsidR="004B0883" w:rsidRDefault="004B0883">
      <w:pPr>
        <w:pStyle w:val="003"/>
        <w:spacing w:before="120" w:after="120"/>
        <w:rPr>
          <w:rStyle w:val="afff9"/>
          <w:rFonts w:eastAsia="宋体"/>
          <w:b w:val="0"/>
          <w:bCs w:val="0"/>
        </w:rPr>
      </w:pPr>
      <w:bookmarkStart w:id="206" w:name="_Hlk123944866"/>
      <w:r>
        <w:rPr>
          <w:rFonts w:hint="eastAsia"/>
        </w:rPr>
        <w:t>（一）报告期内过往承诺履行情况</w:t>
      </w:r>
    </w:p>
    <w:tbl>
      <w:tblPr>
        <w:tblW w:w="5506"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85"/>
        <w:gridCol w:w="2513"/>
        <w:gridCol w:w="2142"/>
        <w:gridCol w:w="5237"/>
        <w:gridCol w:w="1509"/>
        <w:gridCol w:w="1552"/>
      </w:tblGrid>
      <w:tr w:rsidR="004B0883" w14:paraId="2B00D89E" w14:textId="77777777">
        <w:trPr>
          <w:trHeight w:val="397"/>
          <w:tblHeader/>
          <w:jc w:val="center"/>
        </w:trPr>
        <w:tc>
          <w:tcPr>
            <w:tcW w:w="777" w:type="pct"/>
            <w:shd w:val="clear" w:color="auto" w:fill="D9D9D9"/>
            <w:vAlign w:val="center"/>
          </w:tcPr>
          <w:p w14:paraId="52CE6714" w14:textId="77777777" w:rsidR="004B0883" w:rsidRDefault="004B0883">
            <w:pPr>
              <w:jc w:val="center"/>
              <w:rPr>
                <w:b/>
                <w:bCs/>
                <w:color w:val="000000"/>
                <w:kern w:val="0"/>
              </w:rPr>
            </w:pPr>
            <w:r>
              <w:rPr>
                <w:b/>
                <w:bCs/>
                <w:color w:val="000000"/>
                <w:kern w:val="0"/>
              </w:rPr>
              <w:t>承诺事由</w:t>
            </w:r>
          </w:p>
        </w:tc>
        <w:tc>
          <w:tcPr>
            <w:tcW w:w="819" w:type="pct"/>
            <w:shd w:val="clear" w:color="000000" w:fill="D3D3D3"/>
            <w:vAlign w:val="center"/>
          </w:tcPr>
          <w:p w14:paraId="53554C6C" w14:textId="77777777" w:rsidR="004B0883" w:rsidRDefault="004B0883">
            <w:pPr>
              <w:jc w:val="center"/>
              <w:rPr>
                <w:b/>
                <w:bCs/>
                <w:color w:val="000000"/>
                <w:kern w:val="0"/>
              </w:rPr>
            </w:pPr>
            <w:r>
              <w:rPr>
                <w:b/>
                <w:bCs/>
                <w:color w:val="000000"/>
                <w:kern w:val="0"/>
              </w:rPr>
              <w:t>承诺方</w:t>
            </w:r>
          </w:p>
        </w:tc>
        <w:tc>
          <w:tcPr>
            <w:tcW w:w="698" w:type="pct"/>
            <w:shd w:val="clear" w:color="000000" w:fill="D3D3D3"/>
            <w:vAlign w:val="center"/>
          </w:tcPr>
          <w:p w14:paraId="0A61A321" w14:textId="77777777" w:rsidR="004B0883" w:rsidRDefault="004B0883">
            <w:pPr>
              <w:jc w:val="center"/>
              <w:rPr>
                <w:b/>
                <w:bCs/>
                <w:color w:val="000000"/>
                <w:kern w:val="0"/>
              </w:rPr>
            </w:pPr>
            <w:r>
              <w:rPr>
                <w:b/>
                <w:bCs/>
                <w:color w:val="000000"/>
                <w:kern w:val="0"/>
              </w:rPr>
              <w:t>承诺类型</w:t>
            </w:r>
          </w:p>
        </w:tc>
        <w:tc>
          <w:tcPr>
            <w:tcW w:w="1707" w:type="pct"/>
            <w:shd w:val="clear" w:color="000000" w:fill="D3D3D3"/>
            <w:vAlign w:val="center"/>
          </w:tcPr>
          <w:p w14:paraId="5EBBDEEF" w14:textId="77777777" w:rsidR="004B0883" w:rsidRDefault="004B0883">
            <w:pPr>
              <w:jc w:val="center"/>
              <w:rPr>
                <w:b/>
                <w:bCs/>
                <w:color w:val="000000"/>
                <w:kern w:val="0"/>
              </w:rPr>
            </w:pPr>
            <w:r>
              <w:rPr>
                <w:b/>
                <w:bCs/>
                <w:color w:val="000000"/>
                <w:kern w:val="0"/>
              </w:rPr>
              <w:t>承诺内容</w:t>
            </w:r>
          </w:p>
        </w:tc>
        <w:tc>
          <w:tcPr>
            <w:tcW w:w="492" w:type="pct"/>
            <w:shd w:val="clear" w:color="000000" w:fill="D3D3D3"/>
            <w:vAlign w:val="center"/>
          </w:tcPr>
          <w:p w14:paraId="68646EA2" w14:textId="77777777" w:rsidR="004B0883" w:rsidRDefault="004B0883">
            <w:pPr>
              <w:jc w:val="center"/>
              <w:rPr>
                <w:b/>
                <w:bCs/>
                <w:color w:val="000000"/>
                <w:kern w:val="0"/>
              </w:rPr>
            </w:pPr>
            <w:r>
              <w:rPr>
                <w:b/>
                <w:bCs/>
                <w:color w:val="000000"/>
                <w:kern w:val="0"/>
              </w:rPr>
              <w:t>承诺时间</w:t>
            </w:r>
          </w:p>
        </w:tc>
        <w:tc>
          <w:tcPr>
            <w:tcW w:w="506" w:type="pct"/>
            <w:shd w:val="clear" w:color="000000" w:fill="D3D3D3"/>
            <w:vAlign w:val="center"/>
          </w:tcPr>
          <w:p w14:paraId="6FF527B2" w14:textId="77777777" w:rsidR="004B0883" w:rsidRDefault="004B0883">
            <w:pPr>
              <w:jc w:val="center"/>
              <w:rPr>
                <w:b/>
                <w:bCs/>
                <w:color w:val="000000"/>
                <w:kern w:val="0"/>
              </w:rPr>
            </w:pPr>
            <w:r>
              <w:rPr>
                <w:b/>
                <w:bCs/>
                <w:color w:val="000000"/>
                <w:kern w:val="0"/>
              </w:rPr>
              <w:t>履行情况</w:t>
            </w:r>
          </w:p>
        </w:tc>
      </w:tr>
      <w:tr w:rsidR="004B0883" w14:paraId="0D9D3635" w14:textId="77777777">
        <w:trPr>
          <w:trHeight w:val="397"/>
          <w:jc w:val="center"/>
        </w:trPr>
        <w:tc>
          <w:tcPr>
            <w:tcW w:w="777" w:type="pct"/>
            <w:shd w:val="clear" w:color="auto" w:fill="auto"/>
            <w:vAlign w:val="center"/>
          </w:tcPr>
          <w:p w14:paraId="5A82F01A" w14:textId="77777777" w:rsidR="004B0883" w:rsidRDefault="004B0883">
            <w:pPr>
              <w:textAlignment w:val="center"/>
              <w:rPr>
                <w:color w:val="000000"/>
                <w:kern w:val="0"/>
              </w:rPr>
            </w:pPr>
            <w:r>
              <w:rPr>
                <w:rFonts w:cs="宋体" w:hint="eastAsia"/>
                <w:color w:val="000000"/>
                <w:kern w:val="0"/>
                <w:sz w:val="22"/>
                <w:szCs w:val="22"/>
                <w:lang w:bidi="ar"/>
              </w:rPr>
              <w:t>首次公开发行时所作承诺</w:t>
            </w:r>
          </w:p>
        </w:tc>
        <w:tc>
          <w:tcPr>
            <w:tcW w:w="819" w:type="pct"/>
            <w:shd w:val="clear" w:color="000000" w:fill="FFFFFF"/>
            <w:vAlign w:val="center"/>
          </w:tcPr>
          <w:p w14:paraId="6C41F2F4" w14:textId="77777777" w:rsidR="004B0883" w:rsidRDefault="004B0883">
            <w:pPr>
              <w:textAlignment w:val="center"/>
              <w:rPr>
                <w:color w:val="000000"/>
                <w:kern w:val="0"/>
              </w:rPr>
            </w:pPr>
            <w:r>
              <w:rPr>
                <w:rFonts w:cs="宋体" w:hint="eastAsia"/>
                <w:color w:val="000000"/>
                <w:kern w:val="0"/>
                <w:lang w:bidi="ar"/>
              </w:rPr>
              <w:t>公司董事、监事、高级管理人员</w:t>
            </w:r>
          </w:p>
        </w:tc>
        <w:tc>
          <w:tcPr>
            <w:tcW w:w="698" w:type="pct"/>
            <w:shd w:val="clear" w:color="000000" w:fill="FFFFFF"/>
            <w:vAlign w:val="center"/>
          </w:tcPr>
          <w:p w14:paraId="39126EDB" w14:textId="77777777" w:rsidR="004B0883" w:rsidRDefault="004B0883">
            <w:pPr>
              <w:textAlignment w:val="center"/>
              <w:rPr>
                <w:color w:val="000000"/>
                <w:kern w:val="0"/>
                <w:highlight w:val="yellow"/>
              </w:rPr>
            </w:pPr>
            <w:r>
              <w:rPr>
                <w:rFonts w:cs="宋体" w:hint="eastAsia"/>
                <w:color w:val="000000"/>
                <w:kern w:val="0"/>
                <w:sz w:val="22"/>
                <w:szCs w:val="22"/>
                <w:lang w:bidi="ar"/>
              </w:rPr>
              <w:t>本次发行前股东所持股份的流通限制和自愿锁定股份的承诺</w:t>
            </w:r>
          </w:p>
        </w:tc>
        <w:tc>
          <w:tcPr>
            <w:tcW w:w="1707" w:type="pct"/>
            <w:shd w:val="clear" w:color="000000" w:fill="FFFFFF"/>
            <w:vAlign w:val="center"/>
          </w:tcPr>
          <w:p w14:paraId="133396E9" w14:textId="77777777" w:rsidR="004B0883" w:rsidRDefault="004B0883">
            <w:pPr>
              <w:textAlignment w:val="center"/>
              <w:rPr>
                <w:color w:val="000000"/>
                <w:kern w:val="0"/>
              </w:rPr>
            </w:pPr>
            <w:r>
              <w:rPr>
                <w:rFonts w:cs="宋体" w:hint="eastAsia"/>
                <w:color w:val="000000"/>
                <w:kern w:val="0"/>
                <w:sz w:val="22"/>
                <w:szCs w:val="22"/>
                <w:lang w:bidi="ar"/>
              </w:rPr>
              <w:t>在上述锁定期届满后，在本人任职期间，每年转让公司股份不超过本人直接或间接持有公司股份总数的</w:t>
            </w:r>
            <w:r>
              <w:rPr>
                <w:rFonts w:cs="宋体" w:hint="eastAsia"/>
                <w:color w:val="000000"/>
                <w:kern w:val="0"/>
                <w:sz w:val="22"/>
                <w:szCs w:val="22"/>
                <w:lang w:bidi="ar"/>
              </w:rPr>
              <w:t>25%</w:t>
            </w:r>
            <w:r>
              <w:rPr>
                <w:rFonts w:cs="宋体" w:hint="eastAsia"/>
                <w:color w:val="000000"/>
                <w:kern w:val="0"/>
                <w:sz w:val="22"/>
                <w:szCs w:val="22"/>
                <w:lang w:bidi="ar"/>
              </w:rPr>
              <w:t>；离职后半年内，不转让所持有的公司股份；离职六个月后的十二个月内转让的股份不超过所持公司股份总数的</w:t>
            </w:r>
            <w:r>
              <w:rPr>
                <w:rFonts w:cs="宋体" w:hint="eastAsia"/>
                <w:color w:val="000000"/>
                <w:kern w:val="0"/>
                <w:sz w:val="22"/>
                <w:szCs w:val="22"/>
                <w:lang w:bidi="ar"/>
              </w:rPr>
              <w:t>50%</w:t>
            </w:r>
            <w:r>
              <w:rPr>
                <w:rFonts w:cs="宋体" w:hint="eastAsia"/>
                <w:color w:val="000000"/>
                <w:kern w:val="0"/>
                <w:sz w:val="22"/>
                <w:szCs w:val="22"/>
                <w:lang w:bidi="ar"/>
              </w:rPr>
              <w:t>。有关股份锁定期的承诺在本人离职后仍然有效，不因本人职务变更而拒绝履行有关义务。</w:t>
            </w:r>
          </w:p>
        </w:tc>
        <w:tc>
          <w:tcPr>
            <w:tcW w:w="492" w:type="pct"/>
            <w:shd w:val="clear" w:color="000000" w:fill="FFFFFF"/>
            <w:vAlign w:val="center"/>
          </w:tcPr>
          <w:p w14:paraId="3D3129D5" w14:textId="77777777" w:rsidR="004B0883" w:rsidRDefault="004B0883">
            <w:pPr>
              <w:jc w:val="center"/>
              <w:textAlignment w:val="center"/>
              <w:rPr>
                <w:color w:val="000000"/>
                <w:kern w:val="0"/>
              </w:rPr>
            </w:pPr>
            <w:r>
              <w:rPr>
                <w:rFonts w:cs="宋体" w:hint="eastAsia"/>
                <w:color w:val="000000"/>
                <w:kern w:val="0"/>
                <w:sz w:val="22"/>
                <w:szCs w:val="22"/>
                <w:lang w:bidi="ar"/>
              </w:rPr>
              <w:t>2017</w:t>
            </w:r>
            <w:r>
              <w:rPr>
                <w:rFonts w:cs="宋体" w:hint="eastAsia"/>
                <w:color w:val="000000"/>
                <w:kern w:val="0"/>
                <w:sz w:val="22"/>
                <w:szCs w:val="22"/>
                <w:lang w:bidi="ar"/>
              </w:rPr>
              <w:t>年</w:t>
            </w:r>
            <w:r>
              <w:rPr>
                <w:rFonts w:cs="宋体" w:hint="eastAsia"/>
                <w:color w:val="000000"/>
                <w:kern w:val="0"/>
                <w:sz w:val="22"/>
                <w:szCs w:val="22"/>
                <w:lang w:bidi="ar"/>
              </w:rPr>
              <w:t>3</w:t>
            </w:r>
            <w:r>
              <w:rPr>
                <w:rFonts w:cs="宋体" w:hint="eastAsia"/>
                <w:color w:val="000000"/>
                <w:kern w:val="0"/>
                <w:sz w:val="22"/>
                <w:szCs w:val="22"/>
                <w:lang w:bidi="ar"/>
              </w:rPr>
              <w:t>月</w:t>
            </w:r>
          </w:p>
        </w:tc>
        <w:tc>
          <w:tcPr>
            <w:tcW w:w="506" w:type="pct"/>
            <w:shd w:val="clear" w:color="000000" w:fill="FFFFFF"/>
            <w:vAlign w:val="center"/>
          </w:tcPr>
          <w:p w14:paraId="221EAB45" w14:textId="77777777" w:rsidR="004B0883" w:rsidRDefault="004B0883">
            <w:pPr>
              <w:jc w:val="center"/>
              <w:textAlignment w:val="center"/>
              <w:rPr>
                <w:color w:val="000000"/>
                <w:kern w:val="0"/>
              </w:rPr>
            </w:pPr>
            <w:r>
              <w:rPr>
                <w:rFonts w:cs="宋体" w:hint="eastAsia"/>
                <w:color w:val="000000"/>
                <w:kern w:val="0"/>
                <w:sz w:val="22"/>
                <w:szCs w:val="22"/>
                <w:lang w:bidi="ar"/>
              </w:rPr>
              <w:t>正常履行中</w:t>
            </w:r>
          </w:p>
        </w:tc>
      </w:tr>
      <w:tr w:rsidR="004B0883" w14:paraId="0D7FA2D1" w14:textId="77777777">
        <w:trPr>
          <w:trHeight w:val="397"/>
          <w:jc w:val="center"/>
        </w:trPr>
        <w:tc>
          <w:tcPr>
            <w:tcW w:w="777" w:type="pct"/>
            <w:shd w:val="clear" w:color="auto" w:fill="auto"/>
            <w:vAlign w:val="center"/>
          </w:tcPr>
          <w:p w14:paraId="6335554F" w14:textId="77777777" w:rsidR="004B0883" w:rsidRDefault="004B0883">
            <w:pPr>
              <w:textAlignment w:val="center"/>
              <w:rPr>
                <w:color w:val="000000"/>
                <w:kern w:val="0"/>
              </w:rPr>
            </w:pPr>
            <w:r>
              <w:rPr>
                <w:rFonts w:cs="宋体" w:hint="eastAsia"/>
                <w:color w:val="000000"/>
                <w:kern w:val="0"/>
                <w:sz w:val="22"/>
                <w:szCs w:val="22"/>
                <w:lang w:bidi="ar"/>
              </w:rPr>
              <w:t>首次公开发行时所作承诺</w:t>
            </w:r>
          </w:p>
        </w:tc>
        <w:tc>
          <w:tcPr>
            <w:tcW w:w="819" w:type="pct"/>
            <w:shd w:val="clear" w:color="000000" w:fill="FFFFFF"/>
            <w:vAlign w:val="center"/>
          </w:tcPr>
          <w:p w14:paraId="1016B189" w14:textId="77777777" w:rsidR="004B0883" w:rsidRDefault="004B0883">
            <w:pPr>
              <w:textAlignment w:val="center"/>
              <w:rPr>
                <w:color w:val="000000"/>
                <w:kern w:val="0"/>
                <w:highlight w:val="yellow"/>
              </w:rPr>
            </w:pPr>
            <w:r>
              <w:rPr>
                <w:rFonts w:cs="宋体" w:hint="eastAsia"/>
                <w:color w:val="000000"/>
                <w:kern w:val="0"/>
                <w:sz w:val="22"/>
                <w:szCs w:val="22"/>
                <w:lang w:bidi="ar"/>
              </w:rPr>
              <w:t>公司全体股东</w:t>
            </w:r>
          </w:p>
        </w:tc>
        <w:tc>
          <w:tcPr>
            <w:tcW w:w="698" w:type="pct"/>
            <w:shd w:val="clear" w:color="000000" w:fill="FFFFFF"/>
            <w:vAlign w:val="center"/>
          </w:tcPr>
          <w:p w14:paraId="51A59595" w14:textId="77777777" w:rsidR="004B0883" w:rsidRDefault="004B0883">
            <w:pPr>
              <w:textAlignment w:val="center"/>
              <w:rPr>
                <w:color w:val="000000"/>
                <w:kern w:val="0"/>
                <w:highlight w:val="yellow"/>
              </w:rPr>
            </w:pPr>
            <w:r>
              <w:rPr>
                <w:rFonts w:cs="宋体" w:hint="eastAsia"/>
                <w:color w:val="000000"/>
                <w:kern w:val="0"/>
                <w:sz w:val="22"/>
                <w:szCs w:val="22"/>
                <w:lang w:bidi="ar"/>
              </w:rPr>
              <w:t>本次发行前股东所持股份的流通限制和自愿锁定股份的承诺</w:t>
            </w:r>
          </w:p>
        </w:tc>
        <w:tc>
          <w:tcPr>
            <w:tcW w:w="1707" w:type="pct"/>
            <w:shd w:val="clear" w:color="000000" w:fill="FFFFFF"/>
            <w:vAlign w:val="center"/>
          </w:tcPr>
          <w:p w14:paraId="5868538A" w14:textId="77777777" w:rsidR="004B0883" w:rsidRDefault="004B0883">
            <w:pPr>
              <w:textAlignment w:val="center"/>
              <w:rPr>
                <w:color w:val="000000"/>
                <w:kern w:val="0"/>
              </w:rPr>
            </w:pPr>
            <w:r>
              <w:rPr>
                <w:rFonts w:cs="宋体" w:hint="eastAsia"/>
                <w:color w:val="000000"/>
                <w:kern w:val="0"/>
                <w:sz w:val="22"/>
                <w:szCs w:val="22"/>
                <w:lang w:bidi="ar"/>
              </w:rPr>
              <w:t>如本人</w:t>
            </w:r>
            <w:r>
              <w:rPr>
                <w:rFonts w:cs="宋体" w:hint="eastAsia"/>
                <w:color w:val="000000"/>
                <w:kern w:val="0"/>
                <w:sz w:val="22"/>
                <w:szCs w:val="22"/>
                <w:lang w:bidi="ar"/>
              </w:rPr>
              <w:t>/</w:t>
            </w:r>
            <w:r>
              <w:rPr>
                <w:rFonts w:cs="宋体" w:hint="eastAsia"/>
                <w:color w:val="000000"/>
                <w:kern w:val="0"/>
                <w:sz w:val="22"/>
                <w:szCs w:val="22"/>
                <w:lang w:bidi="ar"/>
              </w:rPr>
              <w:t>本公司违反上述承诺擅自减持公司股份或在任职期间违规转让公司股份的，本人</w:t>
            </w:r>
            <w:r>
              <w:rPr>
                <w:rFonts w:cs="宋体" w:hint="eastAsia"/>
                <w:color w:val="000000"/>
                <w:kern w:val="0"/>
                <w:sz w:val="22"/>
                <w:szCs w:val="22"/>
                <w:lang w:bidi="ar"/>
              </w:rPr>
              <w:t>/</w:t>
            </w:r>
            <w:r>
              <w:rPr>
                <w:rFonts w:cs="宋体" w:hint="eastAsia"/>
                <w:color w:val="000000"/>
                <w:kern w:val="0"/>
                <w:sz w:val="22"/>
                <w:szCs w:val="22"/>
                <w:lang w:bidi="ar"/>
              </w:rPr>
              <w:t>本公司违规减持所得或违规转让所得归公司所有，如未将违规减持所得或违规转让所得上交公司，则公司有权扣留应付本人</w:t>
            </w:r>
            <w:r>
              <w:rPr>
                <w:rFonts w:cs="宋体" w:hint="eastAsia"/>
                <w:color w:val="000000"/>
                <w:kern w:val="0"/>
                <w:sz w:val="22"/>
                <w:szCs w:val="22"/>
                <w:lang w:bidi="ar"/>
              </w:rPr>
              <w:t>/</w:t>
            </w:r>
            <w:r>
              <w:rPr>
                <w:rFonts w:cs="宋体" w:hint="eastAsia"/>
                <w:color w:val="000000"/>
                <w:kern w:val="0"/>
                <w:sz w:val="22"/>
                <w:szCs w:val="22"/>
                <w:lang w:bidi="ar"/>
              </w:rPr>
              <w:t>本公司的现金分红中与本人</w:t>
            </w:r>
            <w:r>
              <w:rPr>
                <w:rFonts w:cs="宋体" w:hint="eastAsia"/>
                <w:color w:val="000000"/>
                <w:kern w:val="0"/>
                <w:sz w:val="22"/>
                <w:szCs w:val="22"/>
                <w:lang w:bidi="ar"/>
              </w:rPr>
              <w:t>/</w:t>
            </w:r>
            <w:r>
              <w:rPr>
                <w:rFonts w:cs="宋体" w:hint="eastAsia"/>
                <w:color w:val="000000"/>
                <w:kern w:val="0"/>
                <w:sz w:val="22"/>
                <w:szCs w:val="22"/>
                <w:lang w:bidi="ar"/>
              </w:rPr>
              <w:t>本公司应上交公司的违规减持所得或违规转让所得金额相等的现金分红。</w:t>
            </w:r>
          </w:p>
        </w:tc>
        <w:tc>
          <w:tcPr>
            <w:tcW w:w="492" w:type="pct"/>
            <w:shd w:val="clear" w:color="000000" w:fill="FFFFFF"/>
            <w:vAlign w:val="center"/>
          </w:tcPr>
          <w:p w14:paraId="3559A9E1" w14:textId="77777777" w:rsidR="004B0883" w:rsidRDefault="004B0883">
            <w:pPr>
              <w:jc w:val="center"/>
              <w:textAlignment w:val="center"/>
              <w:rPr>
                <w:color w:val="000000"/>
                <w:kern w:val="0"/>
              </w:rPr>
            </w:pPr>
            <w:r>
              <w:rPr>
                <w:rFonts w:cs="宋体" w:hint="eastAsia"/>
                <w:color w:val="000000"/>
                <w:kern w:val="0"/>
                <w:sz w:val="22"/>
                <w:szCs w:val="22"/>
                <w:lang w:bidi="ar"/>
              </w:rPr>
              <w:t>2017</w:t>
            </w:r>
            <w:r>
              <w:rPr>
                <w:rFonts w:cs="宋体" w:hint="eastAsia"/>
                <w:color w:val="000000"/>
                <w:kern w:val="0"/>
                <w:sz w:val="22"/>
                <w:szCs w:val="22"/>
                <w:lang w:bidi="ar"/>
              </w:rPr>
              <w:t>年</w:t>
            </w:r>
            <w:r>
              <w:rPr>
                <w:rFonts w:cs="宋体" w:hint="eastAsia"/>
                <w:color w:val="000000"/>
                <w:kern w:val="0"/>
                <w:sz w:val="22"/>
                <w:szCs w:val="22"/>
                <w:lang w:bidi="ar"/>
              </w:rPr>
              <w:t>3</w:t>
            </w:r>
            <w:r>
              <w:rPr>
                <w:rFonts w:cs="宋体" w:hint="eastAsia"/>
                <w:color w:val="000000"/>
                <w:kern w:val="0"/>
                <w:sz w:val="22"/>
                <w:szCs w:val="22"/>
                <w:lang w:bidi="ar"/>
              </w:rPr>
              <w:t>月</w:t>
            </w:r>
          </w:p>
        </w:tc>
        <w:tc>
          <w:tcPr>
            <w:tcW w:w="506" w:type="pct"/>
            <w:shd w:val="clear" w:color="000000" w:fill="FFFFFF"/>
            <w:vAlign w:val="center"/>
          </w:tcPr>
          <w:p w14:paraId="4BD6E0EC" w14:textId="77777777" w:rsidR="004B0883" w:rsidRDefault="004B0883">
            <w:pPr>
              <w:jc w:val="center"/>
              <w:textAlignment w:val="center"/>
              <w:rPr>
                <w:color w:val="000000"/>
                <w:kern w:val="0"/>
              </w:rPr>
            </w:pPr>
            <w:r>
              <w:rPr>
                <w:rFonts w:cs="宋体" w:hint="eastAsia"/>
                <w:color w:val="000000"/>
                <w:kern w:val="0"/>
                <w:sz w:val="22"/>
                <w:szCs w:val="22"/>
                <w:lang w:bidi="ar"/>
              </w:rPr>
              <w:t>正常履行中</w:t>
            </w:r>
          </w:p>
        </w:tc>
      </w:tr>
      <w:tr w:rsidR="004B0883" w14:paraId="2B7E234D" w14:textId="77777777">
        <w:trPr>
          <w:trHeight w:val="397"/>
          <w:jc w:val="center"/>
        </w:trPr>
        <w:tc>
          <w:tcPr>
            <w:tcW w:w="777" w:type="pct"/>
            <w:shd w:val="clear" w:color="auto" w:fill="auto"/>
            <w:vAlign w:val="center"/>
          </w:tcPr>
          <w:p w14:paraId="7495E0AC" w14:textId="77777777" w:rsidR="004B0883" w:rsidRDefault="004B0883">
            <w:pPr>
              <w:textAlignment w:val="center"/>
              <w:rPr>
                <w:color w:val="000000"/>
                <w:kern w:val="0"/>
              </w:rPr>
            </w:pPr>
            <w:r>
              <w:rPr>
                <w:rFonts w:cs="宋体" w:hint="eastAsia"/>
                <w:color w:val="000000"/>
                <w:kern w:val="0"/>
                <w:sz w:val="22"/>
                <w:szCs w:val="22"/>
                <w:lang w:bidi="ar"/>
              </w:rPr>
              <w:t>首次公开发行时所作承诺</w:t>
            </w:r>
          </w:p>
        </w:tc>
        <w:tc>
          <w:tcPr>
            <w:tcW w:w="819" w:type="pct"/>
            <w:shd w:val="clear" w:color="000000" w:fill="FFFFFF"/>
            <w:vAlign w:val="center"/>
          </w:tcPr>
          <w:p w14:paraId="34D921E4" w14:textId="77777777" w:rsidR="004B0883" w:rsidRDefault="004B0883">
            <w:pPr>
              <w:textAlignment w:val="center"/>
              <w:rPr>
                <w:color w:val="000000"/>
                <w:kern w:val="0"/>
              </w:rPr>
            </w:pPr>
            <w:r>
              <w:rPr>
                <w:rFonts w:cs="宋体" w:hint="eastAsia"/>
                <w:color w:val="000000"/>
                <w:kern w:val="0"/>
                <w:sz w:val="22"/>
                <w:szCs w:val="22"/>
                <w:lang w:bidi="ar"/>
              </w:rPr>
              <w:t>持股</w:t>
            </w:r>
            <w:r>
              <w:rPr>
                <w:rFonts w:cs="宋体" w:hint="eastAsia"/>
                <w:color w:val="000000"/>
                <w:kern w:val="0"/>
                <w:sz w:val="22"/>
                <w:szCs w:val="22"/>
                <w:lang w:bidi="ar"/>
              </w:rPr>
              <w:t>5%</w:t>
            </w:r>
            <w:r>
              <w:rPr>
                <w:rFonts w:cs="宋体" w:hint="eastAsia"/>
                <w:color w:val="000000"/>
                <w:kern w:val="0"/>
                <w:sz w:val="22"/>
                <w:szCs w:val="22"/>
                <w:lang w:bidi="ar"/>
              </w:rPr>
              <w:t>以上的股东（范庆伟、范玉隆）</w:t>
            </w:r>
          </w:p>
        </w:tc>
        <w:tc>
          <w:tcPr>
            <w:tcW w:w="698" w:type="pct"/>
            <w:shd w:val="clear" w:color="000000" w:fill="FFFFFF"/>
            <w:vAlign w:val="center"/>
          </w:tcPr>
          <w:p w14:paraId="08F607F7" w14:textId="77777777" w:rsidR="004B0883" w:rsidRDefault="004B0883">
            <w:pPr>
              <w:textAlignment w:val="center"/>
              <w:rPr>
                <w:color w:val="000000"/>
                <w:kern w:val="0"/>
              </w:rPr>
            </w:pPr>
            <w:r>
              <w:rPr>
                <w:rFonts w:cs="宋体" w:hint="eastAsia"/>
                <w:color w:val="000000"/>
                <w:kern w:val="0"/>
                <w:sz w:val="22"/>
                <w:szCs w:val="22"/>
                <w:lang w:bidi="ar"/>
              </w:rPr>
              <w:t>持股</w:t>
            </w:r>
            <w:r>
              <w:rPr>
                <w:rFonts w:cs="宋体" w:hint="eastAsia"/>
                <w:color w:val="000000"/>
                <w:kern w:val="0"/>
                <w:sz w:val="22"/>
                <w:szCs w:val="22"/>
                <w:lang w:bidi="ar"/>
              </w:rPr>
              <w:t>5%</w:t>
            </w:r>
            <w:r>
              <w:rPr>
                <w:rFonts w:cs="宋体" w:hint="eastAsia"/>
                <w:color w:val="000000"/>
                <w:kern w:val="0"/>
                <w:sz w:val="22"/>
                <w:szCs w:val="22"/>
                <w:lang w:bidi="ar"/>
              </w:rPr>
              <w:t>以上股东持股意向以及减持意向承诺</w:t>
            </w:r>
          </w:p>
        </w:tc>
        <w:tc>
          <w:tcPr>
            <w:tcW w:w="1707" w:type="pct"/>
            <w:shd w:val="clear" w:color="000000" w:fill="FFFFFF"/>
            <w:vAlign w:val="center"/>
          </w:tcPr>
          <w:p w14:paraId="619C43EE" w14:textId="77777777" w:rsidR="004B0883" w:rsidRDefault="004B0883">
            <w:pPr>
              <w:textAlignment w:val="center"/>
              <w:rPr>
                <w:color w:val="000000"/>
                <w:kern w:val="0"/>
              </w:rPr>
            </w:pPr>
            <w:r>
              <w:rPr>
                <w:rFonts w:cs="宋体" w:hint="eastAsia"/>
                <w:color w:val="000000"/>
                <w:kern w:val="0"/>
                <w:sz w:val="22"/>
                <w:szCs w:val="22"/>
                <w:lang w:bidi="ar"/>
              </w:rPr>
              <w:t>锁定期满后两年内（锁定期延长则相应顺延，下同），本人将根据需要减持所持伟隆阀门股份，具体安排如下：</w:t>
            </w:r>
            <w:r>
              <w:rPr>
                <w:rFonts w:cs="宋体" w:hint="eastAsia"/>
                <w:color w:val="000000"/>
                <w:kern w:val="0"/>
                <w:sz w:val="22"/>
                <w:szCs w:val="22"/>
                <w:lang w:bidi="ar"/>
              </w:rPr>
              <w:br/>
              <w:t>1</w:t>
            </w:r>
            <w:r>
              <w:rPr>
                <w:rFonts w:cs="宋体" w:hint="eastAsia"/>
                <w:color w:val="000000"/>
                <w:kern w:val="0"/>
                <w:sz w:val="22"/>
                <w:szCs w:val="22"/>
                <w:lang w:bidi="ar"/>
              </w:rPr>
              <w:t>、减持数量：本人在锁定期满后两年内拟进行股份减持，减持股份数量不超过伟隆阀门股份总数的</w:t>
            </w:r>
            <w:r>
              <w:rPr>
                <w:rFonts w:cs="宋体" w:hint="eastAsia"/>
                <w:color w:val="000000"/>
                <w:kern w:val="0"/>
                <w:sz w:val="22"/>
                <w:szCs w:val="22"/>
                <w:lang w:bidi="ar"/>
              </w:rPr>
              <w:t>10%</w:t>
            </w:r>
            <w:r>
              <w:rPr>
                <w:rFonts w:cs="宋体" w:hint="eastAsia"/>
                <w:color w:val="000000"/>
                <w:kern w:val="0"/>
                <w:sz w:val="22"/>
                <w:szCs w:val="22"/>
                <w:lang w:bidi="ar"/>
              </w:rPr>
              <w:t>；锁定期满两年后若拟进行股份减持，减持股份数量将在减持前予以公告；</w:t>
            </w:r>
            <w:r>
              <w:rPr>
                <w:rFonts w:cs="宋体" w:hint="eastAsia"/>
                <w:color w:val="000000"/>
                <w:kern w:val="0"/>
                <w:sz w:val="22"/>
                <w:szCs w:val="22"/>
                <w:lang w:bidi="ar"/>
              </w:rPr>
              <w:br/>
              <w:t>2</w:t>
            </w:r>
            <w:r>
              <w:rPr>
                <w:rFonts w:cs="宋体" w:hint="eastAsia"/>
                <w:color w:val="000000"/>
                <w:kern w:val="0"/>
                <w:sz w:val="22"/>
                <w:szCs w:val="22"/>
                <w:lang w:bidi="ar"/>
              </w:rPr>
              <w:t>、减持方式：通过证券交易所集中竞价交易系统、大宗交易系统进行，或通过协议转让进行等；</w:t>
            </w:r>
            <w:r>
              <w:rPr>
                <w:rFonts w:cs="宋体" w:hint="eastAsia"/>
                <w:color w:val="000000"/>
                <w:kern w:val="0"/>
                <w:sz w:val="22"/>
                <w:szCs w:val="22"/>
                <w:lang w:bidi="ar"/>
              </w:rPr>
              <w:br/>
              <w:t>3</w:t>
            </w:r>
            <w:r>
              <w:rPr>
                <w:rFonts w:cs="宋体" w:hint="eastAsia"/>
                <w:color w:val="000000"/>
                <w:kern w:val="0"/>
                <w:sz w:val="22"/>
                <w:szCs w:val="22"/>
                <w:lang w:bidi="ar"/>
              </w:rPr>
              <w:t>、减持价格：本人所持股票在锁定期满后两年内减持的，减持价格不低于发行价格（如公司有派发现金红利、送股、转增股本等事项的，发行价格将进行除权、除息调整）；</w:t>
            </w:r>
            <w:r>
              <w:rPr>
                <w:rFonts w:cs="宋体" w:hint="eastAsia"/>
                <w:color w:val="000000"/>
                <w:kern w:val="0"/>
                <w:sz w:val="22"/>
                <w:szCs w:val="22"/>
                <w:lang w:bidi="ar"/>
              </w:rPr>
              <w:br/>
              <w:t>4</w:t>
            </w:r>
            <w:r>
              <w:rPr>
                <w:rFonts w:cs="宋体" w:hint="eastAsia"/>
                <w:color w:val="000000"/>
                <w:kern w:val="0"/>
                <w:sz w:val="22"/>
                <w:szCs w:val="22"/>
                <w:lang w:bidi="ar"/>
              </w:rPr>
              <w:t>、减持期限：减持股份行为的期限为减持计划公告后六个月。</w:t>
            </w:r>
          </w:p>
        </w:tc>
        <w:tc>
          <w:tcPr>
            <w:tcW w:w="492" w:type="pct"/>
            <w:shd w:val="clear" w:color="000000" w:fill="FFFFFF"/>
            <w:vAlign w:val="center"/>
          </w:tcPr>
          <w:p w14:paraId="42E6D9F4" w14:textId="77777777" w:rsidR="004B0883" w:rsidRDefault="004B0883">
            <w:pPr>
              <w:jc w:val="center"/>
              <w:textAlignment w:val="center"/>
              <w:rPr>
                <w:color w:val="000000"/>
                <w:kern w:val="0"/>
              </w:rPr>
            </w:pPr>
            <w:r>
              <w:rPr>
                <w:rFonts w:cs="宋体" w:hint="eastAsia"/>
                <w:color w:val="000000"/>
                <w:kern w:val="0"/>
                <w:sz w:val="22"/>
                <w:szCs w:val="22"/>
                <w:lang w:bidi="ar"/>
              </w:rPr>
              <w:t>2017</w:t>
            </w:r>
            <w:r>
              <w:rPr>
                <w:rFonts w:cs="宋体" w:hint="eastAsia"/>
                <w:color w:val="000000"/>
                <w:kern w:val="0"/>
                <w:sz w:val="22"/>
                <w:szCs w:val="22"/>
                <w:lang w:bidi="ar"/>
              </w:rPr>
              <w:t>年</w:t>
            </w:r>
            <w:r>
              <w:rPr>
                <w:rFonts w:cs="宋体" w:hint="eastAsia"/>
                <w:color w:val="000000"/>
                <w:kern w:val="0"/>
                <w:sz w:val="22"/>
                <w:szCs w:val="22"/>
                <w:lang w:bidi="ar"/>
              </w:rPr>
              <w:t>3</w:t>
            </w:r>
            <w:r>
              <w:rPr>
                <w:rFonts w:cs="宋体" w:hint="eastAsia"/>
                <w:color w:val="000000"/>
                <w:kern w:val="0"/>
                <w:sz w:val="22"/>
                <w:szCs w:val="22"/>
                <w:lang w:bidi="ar"/>
              </w:rPr>
              <w:t>月</w:t>
            </w:r>
          </w:p>
        </w:tc>
        <w:tc>
          <w:tcPr>
            <w:tcW w:w="506" w:type="pct"/>
            <w:shd w:val="clear" w:color="000000" w:fill="FFFFFF"/>
            <w:vAlign w:val="center"/>
          </w:tcPr>
          <w:p w14:paraId="2D442CF9" w14:textId="77777777" w:rsidR="004B0883" w:rsidRDefault="004B0883">
            <w:pPr>
              <w:jc w:val="center"/>
              <w:textAlignment w:val="center"/>
              <w:rPr>
                <w:color w:val="000000"/>
                <w:kern w:val="0"/>
              </w:rPr>
            </w:pPr>
            <w:r>
              <w:rPr>
                <w:rFonts w:cs="宋体" w:hint="eastAsia"/>
                <w:color w:val="000000"/>
                <w:kern w:val="0"/>
                <w:sz w:val="22"/>
                <w:szCs w:val="22"/>
                <w:lang w:bidi="ar"/>
              </w:rPr>
              <w:t>正常履行中</w:t>
            </w:r>
          </w:p>
        </w:tc>
      </w:tr>
      <w:tr w:rsidR="004B0883" w14:paraId="70A7C0B7" w14:textId="77777777">
        <w:trPr>
          <w:trHeight w:val="397"/>
          <w:jc w:val="center"/>
        </w:trPr>
        <w:tc>
          <w:tcPr>
            <w:tcW w:w="777" w:type="pct"/>
            <w:shd w:val="clear" w:color="auto" w:fill="auto"/>
            <w:vAlign w:val="center"/>
          </w:tcPr>
          <w:p w14:paraId="211D0875" w14:textId="77777777" w:rsidR="004B0883" w:rsidRDefault="004B0883">
            <w:pPr>
              <w:textAlignment w:val="center"/>
              <w:rPr>
                <w:color w:val="000000"/>
                <w:kern w:val="0"/>
              </w:rPr>
            </w:pPr>
            <w:r>
              <w:rPr>
                <w:rFonts w:cs="宋体" w:hint="eastAsia"/>
                <w:color w:val="000000"/>
                <w:kern w:val="0"/>
                <w:sz w:val="22"/>
                <w:szCs w:val="22"/>
                <w:lang w:bidi="ar"/>
              </w:rPr>
              <w:t>首次公开发行时所作承诺</w:t>
            </w:r>
          </w:p>
        </w:tc>
        <w:tc>
          <w:tcPr>
            <w:tcW w:w="819" w:type="pct"/>
            <w:shd w:val="clear" w:color="000000" w:fill="FFFFFF"/>
            <w:vAlign w:val="center"/>
          </w:tcPr>
          <w:p w14:paraId="71DA2EEB" w14:textId="77777777" w:rsidR="004B0883" w:rsidRDefault="004B0883">
            <w:pPr>
              <w:textAlignment w:val="center"/>
              <w:rPr>
                <w:color w:val="000000"/>
                <w:kern w:val="0"/>
                <w:highlight w:val="yellow"/>
              </w:rPr>
            </w:pPr>
            <w:r>
              <w:rPr>
                <w:rFonts w:cs="宋体" w:hint="eastAsia"/>
                <w:color w:val="000000"/>
                <w:kern w:val="0"/>
                <w:sz w:val="22"/>
                <w:szCs w:val="22"/>
                <w:lang w:bidi="ar"/>
              </w:rPr>
              <w:t>伟隆股份</w:t>
            </w:r>
          </w:p>
        </w:tc>
        <w:tc>
          <w:tcPr>
            <w:tcW w:w="698" w:type="pct"/>
            <w:shd w:val="clear" w:color="000000" w:fill="FFFFFF"/>
            <w:vAlign w:val="center"/>
          </w:tcPr>
          <w:p w14:paraId="5A46D2F9" w14:textId="77777777" w:rsidR="004B0883" w:rsidRDefault="004B0883">
            <w:pPr>
              <w:textAlignment w:val="center"/>
              <w:rPr>
                <w:color w:val="000000"/>
                <w:kern w:val="0"/>
              </w:rPr>
            </w:pPr>
            <w:r>
              <w:rPr>
                <w:rFonts w:cs="宋体" w:hint="eastAsia"/>
                <w:color w:val="000000"/>
                <w:kern w:val="0"/>
                <w:sz w:val="22"/>
                <w:szCs w:val="22"/>
                <w:lang w:bidi="ar"/>
              </w:rPr>
              <w:t>本次发行摊薄即期回报采取的措施及承诺</w:t>
            </w:r>
          </w:p>
        </w:tc>
        <w:tc>
          <w:tcPr>
            <w:tcW w:w="1707" w:type="pct"/>
            <w:shd w:val="clear" w:color="000000" w:fill="FFFFFF"/>
            <w:vAlign w:val="center"/>
          </w:tcPr>
          <w:p w14:paraId="6A187FFC" w14:textId="77777777" w:rsidR="004B0883" w:rsidRDefault="004B0883">
            <w:pPr>
              <w:textAlignment w:val="center"/>
              <w:rPr>
                <w:color w:val="000000"/>
                <w:kern w:val="0"/>
              </w:rPr>
            </w:pPr>
            <w:r>
              <w:rPr>
                <w:rFonts w:cs="宋体" w:hint="eastAsia"/>
                <w:color w:val="000000"/>
                <w:kern w:val="0"/>
                <w:sz w:val="22"/>
                <w:szCs w:val="22"/>
                <w:lang w:bidi="ar"/>
              </w:rPr>
              <w:t>为降低本次发行摊薄即期回报的影响，公司承诺采取以下应对措施：</w:t>
            </w:r>
            <w:r>
              <w:rPr>
                <w:rFonts w:cs="宋体" w:hint="eastAsia"/>
                <w:color w:val="000000"/>
                <w:kern w:val="0"/>
                <w:sz w:val="22"/>
                <w:szCs w:val="22"/>
                <w:lang w:bidi="ar"/>
              </w:rPr>
              <w:br/>
              <w:t>1</w:t>
            </w:r>
            <w:r>
              <w:rPr>
                <w:rFonts w:cs="宋体" w:hint="eastAsia"/>
                <w:color w:val="000000"/>
                <w:kern w:val="0"/>
                <w:sz w:val="22"/>
                <w:szCs w:val="22"/>
                <w:lang w:bidi="ar"/>
              </w:rPr>
              <w:t>、加强主营业务发展，提高公司市场竞争力和持续盈利能力</w:t>
            </w:r>
            <w:r>
              <w:rPr>
                <w:rFonts w:cs="宋体" w:hint="eastAsia"/>
                <w:color w:val="000000"/>
                <w:kern w:val="0"/>
                <w:sz w:val="22"/>
                <w:szCs w:val="22"/>
                <w:lang w:bidi="ar"/>
              </w:rPr>
              <w:br/>
            </w:r>
            <w:r>
              <w:rPr>
                <w:rFonts w:cs="宋体" w:hint="eastAsia"/>
                <w:color w:val="000000"/>
                <w:kern w:val="0"/>
                <w:sz w:val="22"/>
                <w:szCs w:val="22"/>
                <w:lang w:bidi="ar"/>
              </w:rPr>
              <w:t>公司坚持以市场为导向，积极拓展市场，进一步完善国内外营销渠道，通过产品的研发、设计，进一步稳定和扩大市场占有率，加强品牌影响力。通过不断提高产品质量，增强客户满意度，在行业内树立良好的口碑和品牌价值，促进公司持续、稳定、快速、健康发展。</w:t>
            </w:r>
            <w:r>
              <w:rPr>
                <w:rFonts w:cs="宋体" w:hint="eastAsia"/>
                <w:color w:val="000000"/>
                <w:kern w:val="0"/>
                <w:sz w:val="22"/>
                <w:szCs w:val="22"/>
                <w:lang w:bidi="ar"/>
              </w:rPr>
              <w:br/>
              <w:t>2</w:t>
            </w:r>
            <w:r>
              <w:rPr>
                <w:rFonts w:cs="宋体" w:hint="eastAsia"/>
                <w:color w:val="000000"/>
                <w:kern w:val="0"/>
                <w:sz w:val="22"/>
                <w:szCs w:val="22"/>
                <w:lang w:bidi="ar"/>
              </w:rPr>
              <w:t>、贯彻利润分配政策，优化股东回报机制</w:t>
            </w:r>
            <w:r>
              <w:rPr>
                <w:rFonts w:cs="宋体" w:hint="eastAsia"/>
                <w:color w:val="000000"/>
                <w:kern w:val="0"/>
                <w:sz w:val="22"/>
                <w:szCs w:val="22"/>
                <w:lang w:bidi="ar"/>
              </w:rPr>
              <w:br/>
            </w:r>
            <w:r>
              <w:rPr>
                <w:rFonts w:cs="宋体" w:hint="eastAsia"/>
                <w:color w:val="000000"/>
                <w:kern w:val="0"/>
                <w:sz w:val="22"/>
                <w:szCs w:val="22"/>
                <w:lang w:bidi="ar"/>
              </w:rPr>
              <w:t>本公司将按照相关规定，继续实行可持续、稳定、积极的利润分配政策，将结合公司实际情况、政策导向和市场意愿，不断提高公司运营绩效，完善公司股利分配政策，增加分配政策执行的透明度，以更好的保障并提升公司股东利益。</w:t>
            </w:r>
            <w:r>
              <w:rPr>
                <w:rFonts w:cs="宋体" w:hint="eastAsia"/>
                <w:color w:val="000000"/>
                <w:kern w:val="0"/>
                <w:sz w:val="22"/>
                <w:szCs w:val="22"/>
                <w:lang w:bidi="ar"/>
              </w:rPr>
              <w:br/>
              <w:t>3</w:t>
            </w:r>
            <w:r>
              <w:rPr>
                <w:rFonts w:cs="宋体" w:hint="eastAsia"/>
                <w:color w:val="000000"/>
                <w:kern w:val="0"/>
                <w:sz w:val="22"/>
                <w:szCs w:val="22"/>
                <w:lang w:bidi="ar"/>
              </w:rPr>
              <w:t>、提高募集资金使用效率，加强募集资金管理</w:t>
            </w:r>
            <w:r>
              <w:rPr>
                <w:rFonts w:cs="宋体" w:hint="eastAsia"/>
                <w:color w:val="000000"/>
                <w:kern w:val="0"/>
                <w:sz w:val="22"/>
                <w:szCs w:val="22"/>
                <w:lang w:bidi="ar"/>
              </w:rPr>
              <w:br/>
            </w:r>
            <w:r>
              <w:rPr>
                <w:rFonts w:cs="宋体" w:hint="eastAsia"/>
                <w:color w:val="000000"/>
                <w:kern w:val="0"/>
                <w:sz w:val="22"/>
                <w:szCs w:val="22"/>
                <w:lang w:bidi="ar"/>
              </w:rPr>
              <w:t>本次募集资金投资项目的实施符合公司整体发展规划，具有良好的发展前景和经济效益。募投项目的实施将有利于巩固公司在行业内的地位。本次发行募集资金到位后，公司将提高募集资金使用效率，有序地推进募集资金项目的建设和实施，并尽快产生经济效益。同时，公司将严格管理募集资金使用，保证募集资金按照指定用途得到充分有效利用。</w:t>
            </w:r>
            <w:r>
              <w:rPr>
                <w:rFonts w:cs="宋体" w:hint="eastAsia"/>
                <w:color w:val="000000"/>
                <w:kern w:val="0"/>
                <w:sz w:val="22"/>
                <w:szCs w:val="22"/>
                <w:lang w:bidi="ar"/>
              </w:rPr>
              <w:br/>
            </w:r>
            <w:r>
              <w:rPr>
                <w:rFonts w:cs="宋体" w:hint="eastAsia"/>
                <w:color w:val="000000"/>
                <w:kern w:val="0"/>
                <w:sz w:val="22"/>
                <w:szCs w:val="22"/>
                <w:lang w:bidi="ar"/>
              </w:rPr>
              <w:t>发行人承诺：若公司未履行填补被摊薄即期回报措施，将在公司股东大会上公开说明未履行填补被摊薄即期回报措施的具体原因并向公司股东和社会公众投资者道歉；如果未履行相关承诺事项，致使投资者在证券交易中遭受损失的，本公司将依法赔偿。</w:t>
            </w:r>
          </w:p>
        </w:tc>
        <w:tc>
          <w:tcPr>
            <w:tcW w:w="492" w:type="pct"/>
            <w:shd w:val="clear" w:color="000000" w:fill="FFFFFF"/>
            <w:vAlign w:val="center"/>
          </w:tcPr>
          <w:p w14:paraId="48F2C51B" w14:textId="77777777" w:rsidR="004B0883" w:rsidRDefault="004B0883">
            <w:pPr>
              <w:jc w:val="center"/>
              <w:textAlignment w:val="center"/>
              <w:rPr>
                <w:color w:val="000000"/>
                <w:kern w:val="0"/>
              </w:rPr>
            </w:pPr>
            <w:r>
              <w:rPr>
                <w:rFonts w:cs="宋体" w:hint="eastAsia"/>
                <w:color w:val="000000"/>
                <w:kern w:val="0"/>
                <w:sz w:val="22"/>
                <w:szCs w:val="22"/>
                <w:lang w:bidi="ar"/>
              </w:rPr>
              <w:t>2017</w:t>
            </w:r>
            <w:r>
              <w:rPr>
                <w:rFonts w:cs="宋体" w:hint="eastAsia"/>
                <w:color w:val="000000"/>
                <w:kern w:val="0"/>
                <w:sz w:val="22"/>
                <w:szCs w:val="22"/>
                <w:lang w:bidi="ar"/>
              </w:rPr>
              <w:t>年</w:t>
            </w:r>
            <w:r>
              <w:rPr>
                <w:rFonts w:cs="宋体" w:hint="eastAsia"/>
                <w:color w:val="000000"/>
                <w:kern w:val="0"/>
                <w:sz w:val="22"/>
                <w:szCs w:val="22"/>
                <w:lang w:bidi="ar"/>
              </w:rPr>
              <w:t>3</w:t>
            </w:r>
            <w:r>
              <w:rPr>
                <w:rFonts w:cs="宋体" w:hint="eastAsia"/>
                <w:color w:val="000000"/>
                <w:kern w:val="0"/>
                <w:sz w:val="22"/>
                <w:szCs w:val="22"/>
                <w:lang w:bidi="ar"/>
              </w:rPr>
              <w:t>月</w:t>
            </w:r>
          </w:p>
        </w:tc>
        <w:tc>
          <w:tcPr>
            <w:tcW w:w="506" w:type="pct"/>
            <w:shd w:val="clear" w:color="000000" w:fill="FFFFFF"/>
            <w:vAlign w:val="center"/>
          </w:tcPr>
          <w:p w14:paraId="24807F7E" w14:textId="77777777" w:rsidR="004B0883" w:rsidRDefault="004B0883">
            <w:pPr>
              <w:jc w:val="center"/>
              <w:textAlignment w:val="center"/>
              <w:rPr>
                <w:color w:val="000000"/>
                <w:kern w:val="0"/>
              </w:rPr>
            </w:pPr>
            <w:r>
              <w:rPr>
                <w:rFonts w:cs="宋体" w:hint="eastAsia"/>
                <w:color w:val="000000"/>
                <w:kern w:val="0"/>
                <w:sz w:val="22"/>
                <w:szCs w:val="22"/>
                <w:lang w:bidi="ar"/>
              </w:rPr>
              <w:t>正常履行中</w:t>
            </w:r>
          </w:p>
        </w:tc>
      </w:tr>
      <w:tr w:rsidR="004B0883" w14:paraId="1295C284" w14:textId="77777777">
        <w:trPr>
          <w:trHeight w:val="397"/>
          <w:jc w:val="center"/>
        </w:trPr>
        <w:tc>
          <w:tcPr>
            <w:tcW w:w="777" w:type="pct"/>
            <w:shd w:val="clear" w:color="auto" w:fill="auto"/>
            <w:vAlign w:val="center"/>
          </w:tcPr>
          <w:p w14:paraId="6E99124E" w14:textId="77777777" w:rsidR="004B0883" w:rsidRDefault="004B0883">
            <w:pPr>
              <w:textAlignment w:val="center"/>
              <w:rPr>
                <w:color w:val="000000"/>
                <w:kern w:val="0"/>
              </w:rPr>
            </w:pPr>
            <w:r>
              <w:rPr>
                <w:rFonts w:cs="宋体" w:hint="eastAsia"/>
                <w:color w:val="000000"/>
                <w:kern w:val="0"/>
                <w:sz w:val="22"/>
                <w:szCs w:val="22"/>
                <w:lang w:bidi="ar"/>
              </w:rPr>
              <w:t>首次公开发行时所作承诺</w:t>
            </w:r>
          </w:p>
        </w:tc>
        <w:tc>
          <w:tcPr>
            <w:tcW w:w="819" w:type="pct"/>
            <w:shd w:val="clear" w:color="000000" w:fill="FFFFFF"/>
            <w:vAlign w:val="center"/>
          </w:tcPr>
          <w:p w14:paraId="016034D9" w14:textId="77777777" w:rsidR="004B0883" w:rsidRDefault="004B0883">
            <w:pPr>
              <w:textAlignment w:val="center"/>
              <w:rPr>
                <w:color w:val="000000"/>
                <w:kern w:val="0"/>
              </w:rPr>
            </w:pPr>
            <w:r>
              <w:rPr>
                <w:rFonts w:cs="宋体" w:hint="eastAsia"/>
                <w:color w:val="000000"/>
                <w:kern w:val="0"/>
                <w:sz w:val="22"/>
                <w:szCs w:val="22"/>
                <w:lang w:bidi="ar"/>
              </w:rPr>
              <w:t>发行人控股股东、实际控制人范庆伟、实际控制人范玉隆</w:t>
            </w:r>
          </w:p>
        </w:tc>
        <w:tc>
          <w:tcPr>
            <w:tcW w:w="698" w:type="pct"/>
            <w:shd w:val="clear" w:color="000000" w:fill="FFFFFF"/>
            <w:vAlign w:val="center"/>
          </w:tcPr>
          <w:p w14:paraId="62D81BB5" w14:textId="77777777" w:rsidR="004B0883" w:rsidRDefault="004B0883">
            <w:pPr>
              <w:textAlignment w:val="center"/>
              <w:rPr>
                <w:color w:val="000000"/>
                <w:kern w:val="0"/>
              </w:rPr>
            </w:pPr>
            <w:r>
              <w:rPr>
                <w:rFonts w:cs="宋体" w:hint="eastAsia"/>
                <w:color w:val="000000"/>
                <w:kern w:val="0"/>
                <w:sz w:val="22"/>
                <w:szCs w:val="22"/>
                <w:lang w:bidi="ar"/>
              </w:rPr>
              <w:t>本次发行摊薄即期回报采取的措施及承诺</w:t>
            </w:r>
          </w:p>
        </w:tc>
        <w:tc>
          <w:tcPr>
            <w:tcW w:w="1707" w:type="pct"/>
            <w:shd w:val="clear" w:color="000000" w:fill="FFFFFF"/>
            <w:vAlign w:val="center"/>
          </w:tcPr>
          <w:p w14:paraId="17ABD569" w14:textId="77777777" w:rsidR="004B0883" w:rsidRDefault="004B0883">
            <w:pPr>
              <w:textAlignment w:val="center"/>
              <w:rPr>
                <w:color w:val="000000"/>
                <w:kern w:val="0"/>
              </w:rPr>
            </w:pPr>
            <w:r>
              <w:rPr>
                <w:rFonts w:cs="宋体" w:hint="eastAsia"/>
                <w:color w:val="000000"/>
                <w:kern w:val="0"/>
                <w:sz w:val="22"/>
                <w:szCs w:val="22"/>
                <w:lang w:bidi="ar"/>
              </w:rPr>
              <w:t>本人承诺不越权干预公司经营管理活动，不侵占公司利益。</w:t>
            </w:r>
          </w:p>
        </w:tc>
        <w:tc>
          <w:tcPr>
            <w:tcW w:w="492" w:type="pct"/>
            <w:shd w:val="clear" w:color="000000" w:fill="FFFFFF"/>
            <w:vAlign w:val="center"/>
          </w:tcPr>
          <w:p w14:paraId="3626D63E" w14:textId="77777777" w:rsidR="004B0883" w:rsidRDefault="004B0883">
            <w:pPr>
              <w:jc w:val="center"/>
              <w:textAlignment w:val="center"/>
              <w:rPr>
                <w:color w:val="000000"/>
                <w:kern w:val="0"/>
              </w:rPr>
            </w:pPr>
            <w:r>
              <w:rPr>
                <w:rFonts w:cs="宋体" w:hint="eastAsia"/>
                <w:color w:val="000000"/>
                <w:kern w:val="0"/>
                <w:sz w:val="22"/>
                <w:szCs w:val="22"/>
                <w:lang w:bidi="ar"/>
              </w:rPr>
              <w:t>2017</w:t>
            </w:r>
            <w:r>
              <w:rPr>
                <w:rFonts w:cs="宋体" w:hint="eastAsia"/>
                <w:color w:val="000000"/>
                <w:kern w:val="0"/>
                <w:sz w:val="22"/>
                <w:szCs w:val="22"/>
                <w:lang w:bidi="ar"/>
              </w:rPr>
              <w:t>年</w:t>
            </w:r>
            <w:r>
              <w:rPr>
                <w:rFonts w:cs="宋体" w:hint="eastAsia"/>
                <w:color w:val="000000"/>
                <w:kern w:val="0"/>
                <w:sz w:val="22"/>
                <w:szCs w:val="22"/>
                <w:lang w:bidi="ar"/>
              </w:rPr>
              <w:t>3</w:t>
            </w:r>
            <w:r>
              <w:rPr>
                <w:rFonts w:cs="宋体" w:hint="eastAsia"/>
                <w:color w:val="000000"/>
                <w:kern w:val="0"/>
                <w:sz w:val="22"/>
                <w:szCs w:val="22"/>
                <w:lang w:bidi="ar"/>
              </w:rPr>
              <w:t>月</w:t>
            </w:r>
          </w:p>
        </w:tc>
        <w:tc>
          <w:tcPr>
            <w:tcW w:w="506" w:type="pct"/>
            <w:shd w:val="clear" w:color="000000" w:fill="FFFFFF"/>
            <w:vAlign w:val="center"/>
          </w:tcPr>
          <w:p w14:paraId="0AF5CBBD" w14:textId="77777777" w:rsidR="004B0883" w:rsidRDefault="004B0883">
            <w:pPr>
              <w:jc w:val="center"/>
              <w:textAlignment w:val="center"/>
              <w:rPr>
                <w:color w:val="000000"/>
                <w:kern w:val="0"/>
              </w:rPr>
            </w:pPr>
            <w:r>
              <w:rPr>
                <w:rFonts w:cs="宋体" w:hint="eastAsia"/>
                <w:color w:val="000000"/>
                <w:kern w:val="0"/>
                <w:sz w:val="22"/>
                <w:szCs w:val="22"/>
                <w:lang w:bidi="ar"/>
              </w:rPr>
              <w:t>正常履行中</w:t>
            </w:r>
          </w:p>
        </w:tc>
      </w:tr>
      <w:tr w:rsidR="004B0883" w14:paraId="016A81F9" w14:textId="77777777">
        <w:trPr>
          <w:trHeight w:val="397"/>
          <w:jc w:val="center"/>
        </w:trPr>
        <w:tc>
          <w:tcPr>
            <w:tcW w:w="777" w:type="pct"/>
            <w:shd w:val="clear" w:color="auto" w:fill="auto"/>
            <w:vAlign w:val="center"/>
          </w:tcPr>
          <w:p w14:paraId="165405EA" w14:textId="77777777" w:rsidR="004B0883" w:rsidRDefault="004B0883">
            <w:pPr>
              <w:textAlignment w:val="center"/>
              <w:rPr>
                <w:color w:val="000000"/>
                <w:kern w:val="0"/>
              </w:rPr>
            </w:pPr>
            <w:r>
              <w:rPr>
                <w:rFonts w:cs="宋体" w:hint="eastAsia"/>
                <w:color w:val="000000"/>
                <w:kern w:val="0"/>
                <w:sz w:val="22"/>
                <w:szCs w:val="22"/>
                <w:lang w:bidi="ar"/>
              </w:rPr>
              <w:t>首次公开发行时所作承诺</w:t>
            </w:r>
          </w:p>
        </w:tc>
        <w:tc>
          <w:tcPr>
            <w:tcW w:w="819" w:type="pct"/>
            <w:shd w:val="clear" w:color="000000" w:fill="FFFFFF"/>
            <w:vAlign w:val="center"/>
          </w:tcPr>
          <w:p w14:paraId="3073B22F" w14:textId="77777777" w:rsidR="004B0883" w:rsidRDefault="004B0883">
            <w:pPr>
              <w:textAlignment w:val="center"/>
              <w:rPr>
                <w:color w:val="000000"/>
                <w:kern w:val="0"/>
              </w:rPr>
            </w:pPr>
            <w:r>
              <w:rPr>
                <w:rFonts w:cs="宋体" w:hint="eastAsia"/>
                <w:color w:val="000000"/>
                <w:kern w:val="0"/>
                <w:sz w:val="22"/>
                <w:szCs w:val="22"/>
                <w:lang w:bidi="ar"/>
              </w:rPr>
              <w:t>发行人董事、高级管理人员</w:t>
            </w:r>
          </w:p>
        </w:tc>
        <w:tc>
          <w:tcPr>
            <w:tcW w:w="698" w:type="pct"/>
            <w:shd w:val="clear" w:color="000000" w:fill="FFFFFF"/>
            <w:vAlign w:val="center"/>
          </w:tcPr>
          <w:p w14:paraId="6187762F" w14:textId="77777777" w:rsidR="004B0883" w:rsidRDefault="004B0883">
            <w:pPr>
              <w:textAlignment w:val="center"/>
              <w:rPr>
                <w:color w:val="000000"/>
                <w:kern w:val="0"/>
              </w:rPr>
            </w:pPr>
            <w:r>
              <w:rPr>
                <w:rFonts w:cs="宋体" w:hint="eastAsia"/>
                <w:color w:val="000000"/>
                <w:kern w:val="0"/>
                <w:sz w:val="22"/>
                <w:szCs w:val="22"/>
                <w:lang w:bidi="ar"/>
              </w:rPr>
              <w:t>本次发行摊薄即期回报采取的措施及承诺</w:t>
            </w:r>
          </w:p>
        </w:tc>
        <w:tc>
          <w:tcPr>
            <w:tcW w:w="1707" w:type="pct"/>
            <w:shd w:val="clear" w:color="000000" w:fill="FFFFFF"/>
            <w:vAlign w:val="center"/>
          </w:tcPr>
          <w:p w14:paraId="24CDE35C" w14:textId="77777777" w:rsidR="004B0883" w:rsidRDefault="004B0883">
            <w:pPr>
              <w:textAlignment w:val="center"/>
              <w:rPr>
                <w:color w:val="000000"/>
                <w:kern w:val="0"/>
              </w:rPr>
            </w:pPr>
            <w:r>
              <w:rPr>
                <w:rFonts w:cs="宋体" w:hint="eastAsia"/>
                <w:color w:val="000000"/>
                <w:kern w:val="0"/>
                <w:sz w:val="22"/>
                <w:szCs w:val="22"/>
                <w:lang w:bidi="ar"/>
              </w:rPr>
              <w:t>1</w:t>
            </w:r>
            <w:r>
              <w:rPr>
                <w:rFonts w:cs="宋体" w:hint="eastAsia"/>
                <w:color w:val="000000"/>
                <w:kern w:val="0"/>
                <w:sz w:val="22"/>
                <w:szCs w:val="22"/>
                <w:lang w:bidi="ar"/>
              </w:rPr>
              <w:t>、本人承诺不无偿或以不公平条件向其他单位或者个人输送利益，也不采用其他方式损害公司利益。</w:t>
            </w:r>
            <w:r>
              <w:rPr>
                <w:rFonts w:cs="宋体" w:hint="eastAsia"/>
                <w:color w:val="000000"/>
                <w:kern w:val="0"/>
                <w:sz w:val="22"/>
                <w:szCs w:val="22"/>
                <w:lang w:bidi="ar"/>
              </w:rPr>
              <w:br/>
              <w:t>2</w:t>
            </w:r>
            <w:r>
              <w:rPr>
                <w:rFonts w:cs="宋体" w:hint="eastAsia"/>
                <w:color w:val="000000"/>
                <w:kern w:val="0"/>
                <w:sz w:val="22"/>
                <w:szCs w:val="22"/>
                <w:lang w:bidi="ar"/>
              </w:rPr>
              <w:t>、本人承诺对本人的职务消费行为进行约束。</w:t>
            </w:r>
            <w:r>
              <w:rPr>
                <w:rFonts w:cs="宋体" w:hint="eastAsia"/>
                <w:color w:val="000000"/>
                <w:kern w:val="0"/>
                <w:sz w:val="22"/>
                <w:szCs w:val="22"/>
                <w:lang w:bidi="ar"/>
              </w:rPr>
              <w:br/>
              <w:t>3</w:t>
            </w:r>
            <w:r>
              <w:rPr>
                <w:rFonts w:cs="宋体" w:hint="eastAsia"/>
                <w:color w:val="000000"/>
                <w:kern w:val="0"/>
                <w:sz w:val="22"/>
                <w:szCs w:val="22"/>
                <w:lang w:bidi="ar"/>
              </w:rPr>
              <w:t>、本人承诺不动用公司资产从事与履行职责无关的投资、消费活动。</w:t>
            </w:r>
            <w:r>
              <w:rPr>
                <w:rFonts w:cs="宋体" w:hint="eastAsia"/>
                <w:color w:val="000000"/>
                <w:kern w:val="0"/>
                <w:sz w:val="22"/>
                <w:szCs w:val="22"/>
                <w:lang w:bidi="ar"/>
              </w:rPr>
              <w:br/>
              <w:t>4</w:t>
            </w:r>
            <w:r>
              <w:rPr>
                <w:rFonts w:cs="宋体" w:hint="eastAsia"/>
                <w:color w:val="000000"/>
                <w:kern w:val="0"/>
                <w:sz w:val="22"/>
                <w:szCs w:val="22"/>
                <w:lang w:bidi="ar"/>
              </w:rPr>
              <w:t>、本人承诺由董事会或薪酬委员会制定的薪酬制度与公司填补回报措施的执行情况相挂钩。</w:t>
            </w:r>
            <w:r>
              <w:rPr>
                <w:rFonts w:cs="宋体" w:hint="eastAsia"/>
                <w:color w:val="000000"/>
                <w:kern w:val="0"/>
                <w:sz w:val="22"/>
                <w:szCs w:val="22"/>
                <w:lang w:bidi="ar"/>
              </w:rPr>
              <w:br/>
              <w:t>5</w:t>
            </w:r>
            <w:r>
              <w:rPr>
                <w:rFonts w:cs="宋体" w:hint="eastAsia"/>
                <w:color w:val="000000"/>
                <w:kern w:val="0"/>
                <w:sz w:val="22"/>
                <w:szCs w:val="22"/>
                <w:lang w:bidi="ar"/>
              </w:rPr>
              <w:t>、如公司拟实施股权激励，本人承诺拟公布的公司股权激励的行权条件与公司填补回报措施的执行情况相挂钩。</w:t>
            </w:r>
            <w:r>
              <w:rPr>
                <w:rFonts w:cs="宋体" w:hint="eastAsia"/>
                <w:color w:val="000000"/>
                <w:kern w:val="0"/>
                <w:sz w:val="22"/>
                <w:szCs w:val="22"/>
                <w:lang w:bidi="ar"/>
              </w:rPr>
              <w:br/>
            </w:r>
            <w:r>
              <w:rPr>
                <w:rFonts w:cs="宋体" w:hint="eastAsia"/>
                <w:color w:val="000000"/>
                <w:kern w:val="0"/>
                <w:sz w:val="22"/>
                <w:szCs w:val="22"/>
                <w:lang w:bidi="ar"/>
              </w:rPr>
              <w:t>如违反上述承诺给公司或者股东造成损失的，本人将依法承担补偿责任。</w:t>
            </w:r>
          </w:p>
        </w:tc>
        <w:tc>
          <w:tcPr>
            <w:tcW w:w="492" w:type="pct"/>
            <w:shd w:val="clear" w:color="000000" w:fill="FFFFFF"/>
            <w:vAlign w:val="center"/>
          </w:tcPr>
          <w:p w14:paraId="099804AF" w14:textId="77777777" w:rsidR="004B0883" w:rsidRDefault="004B0883">
            <w:pPr>
              <w:jc w:val="center"/>
              <w:textAlignment w:val="center"/>
              <w:rPr>
                <w:color w:val="000000"/>
                <w:kern w:val="0"/>
              </w:rPr>
            </w:pPr>
            <w:r>
              <w:rPr>
                <w:rFonts w:cs="宋体" w:hint="eastAsia"/>
                <w:color w:val="000000"/>
                <w:kern w:val="0"/>
                <w:sz w:val="22"/>
                <w:szCs w:val="22"/>
                <w:lang w:bidi="ar"/>
              </w:rPr>
              <w:t>2017</w:t>
            </w:r>
            <w:r>
              <w:rPr>
                <w:rFonts w:cs="宋体" w:hint="eastAsia"/>
                <w:color w:val="000000"/>
                <w:kern w:val="0"/>
                <w:sz w:val="22"/>
                <w:szCs w:val="22"/>
                <w:lang w:bidi="ar"/>
              </w:rPr>
              <w:t>年</w:t>
            </w:r>
            <w:r>
              <w:rPr>
                <w:rFonts w:cs="宋体" w:hint="eastAsia"/>
                <w:color w:val="000000"/>
                <w:kern w:val="0"/>
                <w:sz w:val="22"/>
                <w:szCs w:val="22"/>
                <w:lang w:bidi="ar"/>
              </w:rPr>
              <w:t>3</w:t>
            </w:r>
            <w:r>
              <w:rPr>
                <w:rFonts w:cs="宋体" w:hint="eastAsia"/>
                <w:color w:val="000000"/>
                <w:kern w:val="0"/>
                <w:sz w:val="22"/>
                <w:szCs w:val="22"/>
                <w:lang w:bidi="ar"/>
              </w:rPr>
              <w:t>月</w:t>
            </w:r>
          </w:p>
        </w:tc>
        <w:tc>
          <w:tcPr>
            <w:tcW w:w="506" w:type="pct"/>
            <w:shd w:val="clear" w:color="000000" w:fill="FFFFFF"/>
            <w:vAlign w:val="center"/>
          </w:tcPr>
          <w:p w14:paraId="27F87342" w14:textId="77777777" w:rsidR="004B0883" w:rsidRDefault="004B0883">
            <w:pPr>
              <w:jc w:val="center"/>
              <w:textAlignment w:val="center"/>
              <w:rPr>
                <w:color w:val="000000"/>
                <w:kern w:val="0"/>
              </w:rPr>
            </w:pPr>
            <w:r>
              <w:rPr>
                <w:rFonts w:cs="宋体" w:hint="eastAsia"/>
                <w:color w:val="000000"/>
                <w:kern w:val="0"/>
                <w:sz w:val="22"/>
                <w:szCs w:val="22"/>
                <w:lang w:bidi="ar"/>
              </w:rPr>
              <w:t>正常履行中</w:t>
            </w:r>
          </w:p>
        </w:tc>
      </w:tr>
      <w:tr w:rsidR="004B0883" w14:paraId="17384CAB" w14:textId="77777777">
        <w:trPr>
          <w:trHeight w:val="397"/>
          <w:jc w:val="center"/>
        </w:trPr>
        <w:tc>
          <w:tcPr>
            <w:tcW w:w="777" w:type="pct"/>
            <w:shd w:val="clear" w:color="auto" w:fill="auto"/>
            <w:vAlign w:val="center"/>
          </w:tcPr>
          <w:p w14:paraId="6E08DC82" w14:textId="77777777" w:rsidR="004B0883" w:rsidRDefault="004B0883">
            <w:pPr>
              <w:textAlignment w:val="center"/>
              <w:rPr>
                <w:color w:val="000000"/>
                <w:kern w:val="0"/>
              </w:rPr>
            </w:pPr>
            <w:r>
              <w:rPr>
                <w:rFonts w:cs="宋体" w:hint="eastAsia"/>
                <w:color w:val="000000"/>
                <w:kern w:val="0"/>
                <w:sz w:val="22"/>
                <w:szCs w:val="22"/>
                <w:lang w:bidi="ar"/>
              </w:rPr>
              <w:t>首次公开发行时所作承诺</w:t>
            </w:r>
          </w:p>
        </w:tc>
        <w:tc>
          <w:tcPr>
            <w:tcW w:w="819" w:type="pct"/>
            <w:shd w:val="clear" w:color="000000" w:fill="FFFFFF"/>
            <w:vAlign w:val="center"/>
          </w:tcPr>
          <w:p w14:paraId="65006A20" w14:textId="77777777" w:rsidR="004B0883" w:rsidRDefault="004B0883">
            <w:pPr>
              <w:textAlignment w:val="center"/>
              <w:rPr>
                <w:color w:val="000000"/>
                <w:kern w:val="0"/>
              </w:rPr>
            </w:pPr>
            <w:r>
              <w:rPr>
                <w:rFonts w:cs="宋体" w:hint="eastAsia"/>
                <w:color w:val="000000"/>
                <w:kern w:val="0"/>
                <w:sz w:val="22"/>
                <w:szCs w:val="22"/>
                <w:lang w:bidi="ar"/>
              </w:rPr>
              <w:t>公司控股股东及实际控制人范庆伟、范玉隆</w:t>
            </w:r>
          </w:p>
        </w:tc>
        <w:tc>
          <w:tcPr>
            <w:tcW w:w="698" w:type="pct"/>
            <w:shd w:val="clear" w:color="000000" w:fill="FFFFFF"/>
            <w:vAlign w:val="center"/>
          </w:tcPr>
          <w:p w14:paraId="5BF43F97" w14:textId="77777777" w:rsidR="004B0883" w:rsidRDefault="004B0883">
            <w:pPr>
              <w:textAlignment w:val="center"/>
              <w:rPr>
                <w:color w:val="000000"/>
                <w:kern w:val="0"/>
              </w:rPr>
            </w:pPr>
            <w:r>
              <w:rPr>
                <w:rFonts w:cs="宋体" w:hint="eastAsia"/>
                <w:color w:val="000000"/>
                <w:kern w:val="0"/>
                <w:sz w:val="22"/>
                <w:szCs w:val="22"/>
                <w:lang w:bidi="ar"/>
              </w:rPr>
              <w:t>关于公司社保及住房公积金被追缴承担补交责任的承诺</w:t>
            </w:r>
          </w:p>
        </w:tc>
        <w:tc>
          <w:tcPr>
            <w:tcW w:w="1707" w:type="pct"/>
            <w:shd w:val="clear" w:color="000000" w:fill="FFFFFF"/>
            <w:vAlign w:val="center"/>
          </w:tcPr>
          <w:p w14:paraId="44386842" w14:textId="77777777" w:rsidR="004B0883" w:rsidRDefault="004B0883">
            <w:pPr>
              <w:textAlignment w:val="center"/>
              <w:rPr>
                <w:color w:val="000000"/>
                <w:kern w:val="0"/>
              </w:rPr>
            </w:pPr>
            <w:r>
              <w:rPr>
                <w:rFonts w:cs="宋体" w:hint="eastAsia"/>
                <w:color w:val="000000"/>
                <w:kern w:val="0"/>
                <w:sz w:val="22"/>
                <w:szCs w:val="22"/>
                <w:lang w:bidi="ar"/>
              </w:rPr>
              <w:t>若发行人及其下属子公司所在地有关社保、住房公积金管理部门在任何时候依法要求发行人及其下属子公司补缴在其首次公开发行股票之前任何期间内应缴的社会保险费用（包括但不限于基本养老保险、基本医疗保险、失业保险、工伤保险、生育保险五种基本保险）和住房公积金，控股股东及实际控制人范庆伟与范玉隆将承担连带责任，按主管部门核定的金额无偿代发行人及其下属子公司补缴，并承担发行人及其下属子公司因补缴社会保险费用、住房公积金而受到的任何罚款或其他损失，保证发行人及其下属子公司不因此遭受任何损失</w:t>
            </w:r>
          </w:p>
        </w:tc>
        <w:tc>
          <w:tcPr>
            <w:tcW w:w="492" w:type="pct"/>
            <w:shd w:val="clear" w:color="000000" w:fill="FFFFFF"/>
            <w:vAlign w:val="center"/>
          </w:tcPr>
          <w:p w14:paraId="4304951A" w14:textId="77777777" w:rsidR="004B0883" w:rsidRDefault="004B0883">
            <w:pPr>
              <w:jc w:val="center"/>
              <w:textAlignment w:val="center"/>
              <w:rPr>
                <w:color w:val="000000"/>
                <w:kern w:val="0"/>
              </w:rPr>
            </w:pPr>
            <w:r>
              <w:rPr>
                <w:rFonts w:cs="宋体" w:hint="eastAsia"/>
                <w:color w:val="000000"/>
                <w:kern w:val="0"/>
                <w:sz w:val="22"/>
                <w:szCs w:val="22"/>
                <w:lang w:bidi="ar"/>
              </w:rPr>
              <w:t>2017</w:t>
            </w:r>
            <w:r>
              <w:rPr>
                <w:rFonts w:cs="宋体" w:hint="eastAsia"/>
                <w:color w:val="000000"/>
                <w:kern w:val="0"/>
                <w:sz w:val="22"/>
                <w:szCs w:val="22"/>
                <w:lang w:bidi="ar"/>
              </w:rPr>
              <w:t>年</w:t>
            </w:r>
            <w:r>
              <w:rPr>
                <w:rFonts w:cs="宋体" w:hint="eastAsia"/>
                <w:color w:val="000000"/>
                <w:kern w:val="0"/>
                <w:sz w:val="22"/>
                <w:szCs w:val="22"/>
                <w:lang w:bidi="ar"/>
              </w:rPr>
              <w:t>3</w:t>
            </w:r>
            <w:r>
              <w:rPr>
                <w:rFonts w:cs="宋体" w:hint="eastAsia"/>
                <w:color w:val="000000"/>
                <w:kern w:val="0"/>
                <w:sz w:val="22"/>
                <w:szCs w:val="22"/>
                <w:lang w:bidi="ar"/>
              </w:rPr>
              <w:t>月</w:t>
            </w:r>
          </w:p>
        </w:tc>
        <w:tc>
          <w:tcPr>
            <w:tcW w:w="506" w:type="pct"/>
            <w:shd w:val="clear" w:color="000000" w:fill="FFFFFF"/>
            <w:vAlign w:val="center"/>
          </w:tcPr>
          <w:p w14:paraId="21D8DA38" w14:textId="77777777" w:rsidR="004B0883" w:rsidRDefault="004B0883">
            <w:pPr>
              <w:jc w:val="center"/>
              <w:textAlignment w:val="center"/>
              <w:rPr>
                <w:color w:val="000000"/>
                <w:kern w:val="0"/>
              </w:rPr>
            </w:pPr>
            <w:r>
              <w:rPr>
                <w:rFonts w:cs="宋体" w:hint="eastAsia"/>
                <w:color w:val="000000"/>
                <w:kern w:val="0"/>
                <w:sz w:val="22"/>
                <w:szCs w:val="22"/>
                <w:lang w:bidi="ar"/>
              </w:rPr>
              <w:t>正常履行中</w:t>
            </w:r>
          </w:p>
        </w:tc>
      </w:tr>
      <w:tr w:rsidR="004B0883" w14:paraId="3DF01E9A" w14:textId="77777777">
        <w:trPr>
          <w:trHeight w:val="397"/>
          <w:jc w:val="center"/>
        </w:trPr>
        <w:tc>
          <w:tcPr>
            <w:tcW w:w="777" w:type="pct"/>
            <w:shd w:val="clear" w:color="auto" w:fill="auto"/>
            <w:vAlign w:val="center"/>
          </w:tcPr>
          <w:p w14:paraId="65E20A0B" w14:textId="77777777" w:rsidR="004B0883" w:rsidRDefault="004B0883">
            <w:pPr>
              <w:textAlignment w:val="center"/>
              <w:rPr>
                <w:color w:val="000000"/>
                <w:kern w:val="0"/>
              </w:rPr>
            </w:pPr>
            <w:r>
              <w:rPr>
                <w:rFonts w:cs="宋体" w:hint="eastAsia"/>
                <w:color w:val="000000"/>
                <w:kern w:val="0"/>
                <w:sz w:val="22"/>
                <w:szCs w:val="22"/>
                <w:lang w:bidi="ar"/>
              </w:rPr>
              <w:t>首次公开发行时所作承诺</w:t>
            </w:r>
          </w:p>
        </w:tc>
        <w:tc>
          <w:tcPr>
            <w:tcW w:w="819" w:type="pct"/>
            <w:shd w:val="clear" w:color="000000" w:fill="FFFFFF"/>
            <w:vAlign w:val="center"/>
          </w:tcPr>
          <w:p w14:paraId="2BA8449A" w14:textId="77777777" w:rsidR="004B0883" w:rsidRDefault="004B0883">
            <w:pPr>
              <w:textAlignment w:val="center"/>
              <w:rPr>
                <w:color w:val="000000"/>
                <w:kern w:val="0"/>
              </w:rPr>
            </w:pPr>
            <w:r>
              <w:rPr>
                <w:rFonts w:cs="宋体" w:hint="eastAsia"/>
                <w:color w:val="000000"/>
                <w:kern w:val="0"/>
                <w:sz w:val="22"/>
                <w:szCs w:val="22"/>
                <w:lang w:bidi="ar"/>
              </w:rPr>
              <w:t>公司实际控制人范庆伟、范玉隆</w:t>
            </w:r>
          </w:p>
        </w:tc>
        <w:tc>
          <w:tcPr>
            <w:tcW w:w="698" w:type="pct"/>
            <w:shd w:val="clear" w:color="000000" w:fill="FFFFFF"/>
            <w:vAlign w:val="center"/>
          </w:tcPr>
          <w:p w14:paraId="715CA467" w14:textId="77777777" w:rsidR="004B0883" w:rsidRDefault="004B0883">
            <w:pPr>
              <w:textAlignment w:val="center"/>
              <w:rPr>
                <w:color w:val="000000"/>
                <w:kern w:val="0"/>
              </w:rPr>
            </w:pPr>
            <w:r>
              <w:rPr>
                <w:rFonts w:cs="宋体" w:hint="eastAsia"/>
                <w:color w:val="000000"/>
                <w:kern w:val="0"/>
                <w:sz w:val="22"/>
                <w:szCs w:val="22"/>
                <w:lang w:bidi="ar"/>
              </w:rPr>
              <w:t>关于避免同业竞争的承诺</w:t>
            </w:r>
          </w:p>
        </w:tc>
        <w:tc>
          <w:tcPr>
            <w:tcW w:w="1707" w:type="pct"/>
            <w:shd w:val="clear" w:color="000000" w:fill="FFFFFF"/>
            <w:vAlign w:val="center"/>
          </w:tcPr>
          <w:p w14:paraId="0A1C092B" w14:textId="77777777" w:rsidR="004B0883" w:rsidRDefault="004B0883">
            <w:pPr>
              <w:textAlignment w:val="center"/>
              <w:rPr>
                <w:color w:val="000000"/>
                <w:kern w:val="0"/>
              </w:rPr>
            </w:pPr>
            <w:r>
              <w:rPr>
                <w:rFonts w:cs="宋体" w:hint="eastAsia"/>
                <w:color w:val="000000"/>
                <w:kern w:val="0"/>
                <w:sz w:val="22"/>
                <w:szCs w:val="22"/>
                <w:lang w:bidi="ar"/>
              </w:rPr>
              <w:t>1</w:t>
            </w:r>
            <w:r>
              <w:rPr>
                <w:rFonts w:cs="宋体" w:hint="eastAsia"/>
                <w:color w:val="000000"/>
                <w:kern w:val="0"/>
                <w:sz w:val="22"/>
                <w:szCs w:val="22"/>
                <w:lang w:bidi="ar"/>
              </w:rPr>
              <w:t>、截至本承诺函出具日，本人及本人控制（包括直接控制和间接控制）的除伟隆阀门及其控制的子公司以外的其它子企业（以下称</w:t>
            </w:r>
            <w:r>
              <w:rPr>
                <w:rFonts w:ascii="宋体" w:hAnsi="宋体" w:cs="宋体" w:hint="eastAsia"/>
                <w:color w:val="000000"/>
                <w:kern w:val="0"/>
                <w:sz w:val="22"/>
                <w:szCs w:val="22"/>
                <w:lang w:bidi="ar"/>
              </w:rPr>
              <w:t>“</w:t>
            </w:r>
            <w:r>
              <w:rPr>
                <w:rFonts w:cs="宋体" w:hint="eastAsia"/>
                <w:color w:val="000000"/>
                <w:kern w:val="0"/>
                <w:sz w:val="22"/>
                <w:szCs w:val="22"/>
                <w:lang w:bidi="ar"/>
              </w:rPr>
              <w:t>其他子企业</w:t>
            </w:r>
            <w:r>
              <w:rPr>
                <w:rFonts w:ascii="宋体" w:hAnsi="宋体" w:cs="宋体" w:hint="eastAsia"/>
                <w:color w:val="000000"/>
                <w:kern w:val="0"/>
                <w:sz w:val="22"/>
                <w:szCs w:val="22"/>
                <w:lang w:bidi="ar"/>
              </w:rPr>
              <w:t>”</w:t>
            </w:r>
            <w:r>
              <w:rPr>
                <w:rFonts w:cs="宋体" w:hint="eastAsia"/>
                <w:color w:val="000000"/>
                <w:kern w:val="0"/>
                <w:sz w:val="22"/>
                <w:szCs w:val="22"/>
                <w:lang w:bidi="ar"/>
              </w:rPr>
              <w:t>）均未投资于任何与伟隆阀门存在相同或类似业务的公司、企业或其他经营实体，未经营也没有为他人经营与伟隆阀门及其控制的子公司相同或类似的业务；本人及本人控制的其他子企业与伟隆阀门及其控制的子公司之间不存在同业竞争。</w:t>
            </w:r>
            <w:r>
              <w:rPr>
                <w:rFonts w:cs="宋体" w:hint="eastAsia"/>
                <w:color w:val="000000"/>
                <w:kern w:val="0"/>
                <w:sz w:val="22"/>
                <w:szCs w:val="22"/>
                <w:lang w:bidi="ar"/>
              </w:rPr>
              <w:br/>
              <w:t>2</w:t>
            </w:r>
            <w:r>
              <w:rPr>
                <w:rFonts w:cs="宋体" w:hint="eastAsia"/>
                <w:color w:val="000000"/>
                <w:kern w:val="0"/>
                <w:sz w:val="22"/>
                <w:szCs w:val="22"/>
                <w:lang w:bidi="ar"/>
              </w:rPr>
              <w:t>、自本承诺函出具日始，本人保证自身不会并保证将促使本人控制的其他子企业不开展对与伟隆阀门及其控制的子公司生产、经营有相同或类似业务的投入，今后不会新设或收购任何与伟隆阀门从事相同或类似业务的子公司、分公司等经营性机构，不在中国境内或境外成立、经营、发展或协助成立、经营、发展任何与伟隆阀门及其控制的子公司业务直接竞争或可能竞争的业务、企业、项目或其他任何活动，以避免对伟隆阀门及其控制的子公司的生产经营构成新的、可能的、直接或间接的业务竞争。</w:t>
            </w:r>
            <w:r>
              <w:rPr>
                <w:rFonts w:cs="宋体" w:hint="eastAsia"/>
                <w:color w:val="000000"/>
                <w:kern w:val="0"/>
                <w:sz w:val="22"/>
                <w:szCs w:val="22"/>
                <w:lang w:bidi="ar"/>
              </w:rPr>
              <w:br/>
              <w:t>3</w:t>
            </w:r>
            <w:r>
              <w:rPr>
                <w:rFonts w:cs="宋体" w:hint="eastAsia"/>
                <w:color w:val="000000"/>
                <w:kern w:val="0"/>
                <w:sz w:val="22"/>
                <w:szCs w:val="22"/>
                <w:lang w:bidi="ar"/>
              </w:rPr>
              <w:t>、本人将不利用对伟隆阀门的控制关系或其它关系进行损害伟隆阀门及其股东利益的经营活动。</w:t>
            </w:r>
            <w:r>
              <w:rPr>
                <w:rFonts w:cs="宋体" w:hint="eastAsia"/>
                <w:color w:val="000000"/>
                <w:kern w:val="0"/>
                <w:sz w:val="22"/>
                <w:szCs w:val="22"/>
                <w:lang w:bidi="ar"/>
              </w:rPr>
              <w:t xml:space="preserve">    </w:t>
            </w:r>
            <w:r>
              <w:rPr>
                <w:rFonts w:cs="宋体" w:hint="eastAsia"/>
                <w:color w:val="000000"/>
                <w:kern w:val="0"/>
                <w:sz w:val="22"/>
                <w:szCs w:val="22"/>
                <w:lang w:bidi="ar"/>
              </w:rPr>
              <w:br/>
              <w:t>4</w:t>
            </w:r>
            <w:r>
              <w:rPr>
                <w:rFonts w:cs="宋体" w:hint="eastAsia"/>
                <w:color w:val="000000"/>
                <w:kern w:val="0"/>
                <w:sz w:val="22"/>
                <w:szCs w:val="22"/>
                <w:lang w:bidi="ar"/>
              </w:rPr>
              <w:t>、本人及本人控制的其他子企业高级管理人员将不兼任伟隆阀门之高级管理人员。</w:t>
            </w:r>
            <w:r>
              <w:rPr>
                <w:rFonts w:cs="宋体" w:hint="eastAsia"/>
                <w:color w:val="000000"/>
                <w:kern w:val="0"/>
                <w:sz w:val="22"/>
                <w:szCs w:val="22"/>
                <w:lang w:bidi="ar"/>
              </w:rPr>
              <w:br/>
              <w:t>5</w:t>
            </w:r>
            <w:r>
              <w:rPr>
                <w:rFonts w:cs="宋体" w:hint="eastAsia"/>
                <w:color w:val="000000"/>
                <w:kern w:val="0"/>
                <w:sz w:val="22"/>
                <w:szCs w:val="22"/>
                <w:lang w:bidi="ar"/>
              </w:rPr>
              <w:t>、无论是由本人或本人控制的其他子企业自身研究开发的、或从国外引进的或与他人合作开发的与伟隆阀门生产、经营有关的新技术、新产品、新项目，伟隆阀门有优先受让、生产和经营的权利。</w:t>
            </w:r>
            <w:r>
              <w:rPr>
                <w:rFonts w:cs="宋体" w:hint="eastAsia"/>
                <w:color w:val="000000"/>
                <w:kern w:val="0"/>
                <w:sz w:val="22"/>
                <w:szCs w:val="22"/>
                <w:lang w:bidi="ar"/>
              </w:rPr>
              <w:br/>
              <w:t>6</w:t>
            </w:r>
            <w:r>
              <w:rPr>
                <w:rFonts w:cs="宋体" w:hint="eastAsia"/>
                <w:color w:val="000000"/>
                <w:kern w:val="0"/>
                <w:sz w:val="22"/>
                <w:szCs w:val="22"/>
                <w:lang w:bidi="ar"/>
              </w:rPr>
              <w:t>、本人或本人其他子企业如拟出售与伟隆阀门生产、经营相关的任何资产、业务或权益，伟隆阀门均有优先购买的权利；本人保证本人自身、并保证将促使本人控制的其他子企业在出售或转让有关资产或业务时给予伟隆阀门的条件不逊于向任何独立第三方提供的条件。</w:t>
            </w:r>
            <w:r>
              <w:rPr>
                <w:rFonts w:cs="宋体" w:hint="eastAsia"/>
                <w:color w:val="000000"/>
                <w:kern w:val="0"/>
                <w:sz w:val="22"/>
                <w:szCs w:val="22"/>
                <w:lang w:bidi="ar"/>
              </w:rPr>
              <w:br/>
              <w:t>7</w:t>
            </w:r>
            <w:r>
              <w:rPr>
                <w:rFonts w:cs="宋体" w:hint="eastAsia"/>
                <w:color w:val="000000"/>
                <w:kern w:val="0"/>
                <w:sz w:val="22"/>
                <w:szCs w:val="22"/>
                <w:lang w:bidi="ar"/>
              </w:rPr>
              <w:t>、若发生本承诺函第</w:t>
            </w:r>
            <w:r>
              <w:rPr>
                <w:rFonts w:cs="宋体" w:hint="eastAsia"/>
                <w:color w:val="000000"/>
                <w:kern w:val="0"/>
                <w:sz w:val="22"/>
                <w:szCs w:val="22"/>
                <w:lang w:bidi="ar"/>
              </w:rPr>
              <w:t>5</w:t>
            </w:r>
            <w:r>
              <w:rPr>
                <w:rFonts w:cs="宋体" w:hint="eastAsia"/>
                <w:color w:val="000000"/>
                <w:kern w:val="0"/>
                <w:sz w:val="22"/>
                <w:szCs w:val="22"/>
                <w:lang w:bidi="ar"/>
              </w:rPr>
              <w:t>、</w:t>
            </w:r>
            <w:r>
              <w:rPr>
                <w:rFonts w:cs="宋体" w:hint="eastAsia"/>
                <w:color w:val="000000"/>
                <w:kern w:val="0"/>
                <w:sz w:val="22"/>
                <w:szCs w:val="22"/>
                <w:lang w:bidi="ar"/>
              </w:rPr>
              <w:t>6</w:t>
            </w:r>
            <w:r>
              <w:rPr>
                <w:rFonts w:cs="宋体" w:hint="eastAsia"/>
                <w:color w:val="000000"/>
                <w:kern w:val="0"/>
                <w:sz w:val="22"/>
                <w:szCs w:val="22"/>
                <w:lang w:bidi="ar"/>
              </w:rPr>
              <w:t>项所述情况，本人承诺本人自身、并保证将促使本人控制的其他子企业尽快将有关新技术、新产品、新项目、欲出售或转让的资产或业务的情况以书面形式通知伟隆阀门，并尽快提供伟隆阀门合理要求的资料。伟隆阀门可在接到本人或本人控制的其他子企业通知后三十天内决定是否行使有关优先生产经营或购买权。</w:t>
            </w:r>
            <w:r>
              <w:rPr>
                <w:rFonts w:cs="宋体" w:hint="eastAsia"/>
                <w:color w:val="000000"/>
                <w:kern w:val="0"/>
                <w:sz w:val="22"/>
                <w:szCs w:val="22"/>
                <w:lang w:bidi="ar"/>
              </w:rPr>
              <w:br/>
              <w:t>8</w:t>
            </w:r>
            <w:r>
              <w:rPr>
                <w:rFonts w:cs="宋体" w:hint="eastAsia"/>
                <w:color w:val="000000"/>
                <w:kern w:val="0"/>
                <w:sz w:val="22"/>
                <w:szCs w:val="22"/>
                <w:lang w:bidi="ar"/>
              </w:rPr>
              <w:t>、本人确认本承诺函旨在保障伟隆阀门全体股东之权益而作出。</w:t>
            </w:r>
            <w:r>
              <w:rPr>
                <w:rFonts w:cs="宋体" w:hint="eastAsia"/>
                <w:color w:val="000000"/>
                <w:kern w:val="0"/>
                <w:sz w:val="22"/>
                <w:szCs w:val="22"/>
                <w:lang w:bidi="ar"/>
              </w:rPr>
              <w:t xml:space="preserve">    </w:t>
            </w:r>
            <w:r>
              <w:rPr>
                <w:rFonts w:cs="宋体" w:hint="eastAsia"/>
                <w:color w:val="000000"/>
                <w:kern w:val="0"/>
                <w:sz w:val="22"/>
                <w:szCs w:val="22"/>
                <w:lang w:bidi="ar"/>
              </w:rPr>
              <w:br/>
              <w:t>9</w:t>
            </w:r>
            <w:r>
              <w:rPr>
                <w:rFonts w:cs="宋体" w:hint="eastAsia"/>
                <w:color w:val="000000"/>
                <w:kern w:val="0"/>
                <w:sz w:val="22"/>
                <w:szCs w:val="22"/>
                <w:lang w:bidi="ar"/>
              </w:rPr>
              <w:t>、本人确认本承诺函所载的每一项承诺均为可独立执行之承诺。任何一项承诺若被视为无效或终止将不影响其他各项承诺的有效性。</w:t>
            </w:r>
            <w:r>
              <w:rPr>
                <w:rFonts w:cs="宋体" w:hint="eastAsia"/>
                <w:color w:val="000000"/>
                <w:kern w:val="0"/>
                <w:sz w:val="22"/>
                <w:szCs w:val="22"/>
                <w:lang w:bidi="ar"/>
              </w:rPr>
              <w:br/>
              <w:t>10</w:t>
            </w:r>
            <w:r>
              <w:rPr>
                <w:rFonts w:cs="宋体" w:hint="eastAsia"/>
                <w:color w:val="000000"/>
                <w:kern w:val="0"/>
                <w:sz w:val="22"/>
                <w:szCs w:val="22"/>
                <w:lang w:bidi="ar"/>
              </w:rPr>
              <w:t>、如违反上述任何一项承诺，本人愿意承担由此给伟隆阀门及其股东造成的直接或间接经济损失、索赔责任及额外的费用支出。</w:t>
            </w:r>
            <w:r>
              <w:rPr>
                <w:rFonts w:cs="宋体" w:hint="eastAsia"/>
                <w:color w:val="000000"/>
                <w:kern w:val="0"/>
                <w:sz w:val="22"/>
                <w:szCs w:val="22"/>
                <w:lang w:bidi="ar"/>
              </w:rPr>
              <w:br/>
              <w:t>11</w:t>
            </w:r>
            <w:r>
              <w:rPr>
                <w:rFonts w:cs="宋体" w:hint="eastAsia"/>
                <w:color w:val="000000"/>
                <w:kern w:val="0"/>
                <w:sz w:val="22"/>
                <w:szCs w:val="22"/>
                <w:lang w:bidi="ar"/>
              </w:rPr>
              <w:t>、本人保证，上述各项承诺在本人作为伟隆阀门实际控制人期间及转让本人直接和间接持有的伟隆阀门全部股份之日起一年内均持续有效且不可变更或撤销。</w:t>
            </w:r>
            <w:r>
              <w:rPr>
                <w:rFonts w:cs="宋体" w:hint="eastAsia"/>
                <w:color w:val="000000"/>
                <w:kern w:val="0"/>
                <w:sz w:val="22"/>
                <w:szCs w:val="22"/>
                <w:lang w:bidi="ar"/>
              </w:rPr>
              <w:br/>
              <w:t>12</w:t>
            </w:r>
            <w:r>
              <w:rPr>
                <w:rFonts w:cs="宋体" w:hint="eastAsia"/>
                <w:color w:val="000000"/>
                <w:kern w:val="0"/>
                <w:sz w:val="22"/>
                <w:szCs w:val="22"/>
                <w:lang w:bidi="ar"/>
              </w:rPr>
              <w:t>、本承诺函自本人签字之日起生效。</w:t>
            </w:r>
          </w:p>
        </w:tc>
        <w:tc>
          <w:tcPr>
            <w:tcW w:w="492" w:type="pct"/>
            <w:shd w:val="clear" w:color="000000" w:fill="FFFFFF"/>
            <w:vAlign w:val="center"/>
          </w:tcPr>
          <w:p w14:paraId="709872F0" w14:textId="77777777" w:rsidR="004B0883" w:rsidRDefault="004B0883">
            <w:pPr>
              <w:jc w:val="center"/>
              <w:textAlignment w:val="center"/>
              <w:rPr>
                <w:color w:val="000000"/>
                <w:kern w:val="0"/>
              </w:rPr>
            </w:pPr>
            <w:r>
              <w:rPr>
                <w:rFonts w:cs="宋体" w:hint="eastAsia"/>
                <w:color w:val="000000"/>
                <w:kern w:val="0"/>
                <w:sz w:val="22"/>
                <w:szCs w:val="22"/>
                <w:lang w:bidi="ar"/>
              </w:rPr>
              <w:t>2015</w:t>
            </w:r>
            <w:r>
              <w:rPr>
                <w:rFonts w:cs="宋体" w:hint="eastAsia"/>
                <w:color w:val="000000"/>
                <w:kern w:val="0"/>
                <w:sz w:val="22"/>
                <w:szCs w:val="22"/>
                <w:lang w:bidi="ar"/>
              </w:rPr>
              <w:t>年</w:t>
            </w:r>
            <w:r>
              <w:rPr>
                <w:rFonts w:cs="宋体" w:hint="eastAsia"/>
                <w:color w:val="000000"/>
                <w:kern w:val="0"/>
                <w:sz w:val="22"/>
                <w:szCs w:val="22"/>
                <w:lang w:bidi="ar"/>
              </w:rPr>
              <w:t>5</w:t>
            </w:r>
            <w:r>
              <w:rPr>
                <w:rFonts w:cs="宋体" w:hint="eastAsia"/>
                <w:color w:val="000000"/>
                <w:kern w:val="0"/>
                <w:sz w:val="22"/>
                <w:szCs w:val="22"/>
                <w:lang w:bidi="ar"/>
              </w:rPr>
              <w:t>月</w:t>
            </w:r>
          </w:p>
        </w:tc>
        <w:tc>
          <w:tcPr>
            <w:tcW w:w="506" w:type="pct"/>
            <w:shd w:val="clear" w:color="000000" w:fill="FFFFFF"/>
            <w:vAlign w:val="center"/>
          </w:tcPr>
          <w:p w14:paraId="237E437F" w14:textId="77777777" w:rsidR="004B0883" w:rsidRDefault="004B0883">
            <w:pPr>
              <w:jc w:val="center"/>
              <w:textAlignment w:val="center"/>
              <w:rPr>
                <w:color w:val="000000"/>
                <w:kern w:val="0"/>
              </w:rPr>
            </w:pPr>
            <w:r>
              <w:rPr>
                <w:rFonts w:cs="宋体" w:hint="eastAsia"/>
                <w:color w:val="000000"/>
                <w:kern w:val="0"/>
                <w:sz w:val="22"/>
                <w:szCs w:val="22"/>
                <w:lang w:bidi="ar"/>
              </w:rPr>
              <w:t>正常履行中</w:t>
            </w:r>
          </w:p>
        </w:tc>
      </w:tr>
      <w:tr w:rsidR="004B0883" w14:paraId="61AC3AFB" w14:textId="77777777">
        <w:trPr>
          <w:trHeight w:val="397"/>
          <w:jc w:val="center"/>
        </w:trPr>
        <w:tc>
          <w:tcPr>
            <w:tcW w:w="777" w:type="pct"/>
            <w:shd w:val="clear" w:color="auto" w:fill="auto"/>
            <w:vAlign w:val="center"/>
          </w:tcPr>
          <w:p w14:paraId="3FD2CE04" w14:textId="77777777" w:rsidR="004B0883" w:rsidRDefault="004B0883">
            <w:pPr>
              <w:textAlignment w:val="center"/>
              <w:rPr>
                <w:color w:val="000000"/>
                <w:kern w:val="0"/>
              </w:rPr>
            </w:pPr>
            <w:r>
              <w:rPr>
                <w:rFonts w:cs="宋体" w:hint="eastAsia"/>
                <w:color w:val="000000"/>
                <w:kern w:val="0"/>
                <w:sz w:val="22"/>
                <w:szCs w:val="22"/>
                <w:lang w:bidi="ar"/>
              </w:rPr>
              <w:t>首次公开发行时所作承诺</w:t>
            </w:r>
          </w:p>
        </w:tc>
        <w:tc>
          <w:tcPr>
            <w:tcW w:w="819" w:type="pct"/>
            <w:shd w:val="clear" w:color="000000" w:fill="FFFFFF"/>
            <w:vAlign w:val="center"/>
          </w:tcPr>
          <w:p w14:paraId="153641A7" w14:textId="77777777" w:rsidR="004B0883" w:rsidRDefault="004B0883">
            <w:pPr>
              <w:textAlignment w:val="center"/>
              <w:rPr>
                <w:color w:val="000000"/>
                <w:kern w:val="0"/>
              </w:rPr>
            </w:pPr>
            <w:r>
              <w:rPr>
                <w:rFonts w:cs="宋体" w:hint="eastAsia"/>
                <w:color w:val="000000"/>
                <w:kern w:val="0"/>
                <w:sz w:val="22"/>
                <w:szCs w:val="22"/>
                <w:lang w:bidi="ar"/>
              </w:rPr>
              <w:t>公司控股股东及实际控制人范庆伟、范玉隆</w:t>
            </w:r>
          </w:p>
        </w:tc>
        <w:tc>
          <w:tcPr>
            <w:tcW w:w="698" w:type="pct"/>
            <w:shd w:val="clear" w:color="000000" w:fill="FFFFFF"/>
            <w:vAlign w:val="center"/>
          </w:tcPr>
          <w:p w14:paraId="5D81611C" w14:textId="77777777" w:rsidR="004B0883" w:rsidRDefault="004B0883">
            <w:pPr>
              <w:textAlignment w:val="center"/>
              <w:rPr>
                <w:color w:val="000000"/>
                <w:kern w:val="0"/>
              </w:rPr>
            </w:pPr>
            <w:r>
              <w:rPr>
                <w:rFonts w:cs="宋体" w:hint="eastAsia"/>
                <w:color w:val="000000"/>
                <w:kern w:val="0"/>
                <w:sz w:val="22"/>
                <w:szCs w:val="22"/>
                <w:lang w:bidi="ar"/>
              </w:rPr>
              <w:t>关于规范关联交易的承诺</w:t>
            </w:r>
          </w:p>
        </w:tc>
        <w:tc>
          <w:tcPr>
            <w:tcW w:w="1707" w:type="pct"/>
            <w:shd w:val="clear" w:color="000000" w:fill="FFFFFF"/>
            <w:vAlign w:val="center"/>
          </w:tcPr>
          <w:p w14:paraId="477746EA" w14:textId="77777777" w:rsidR="004B0883" w:rsidRDefault="004B0883">
            <w:pPr>
              <w:textAlignment w:val="center"/>
              <w:rPr>
                <w:color w:val="000000"/>
                <w:kern w:val="0"/>
              </w:rPr>
            </w:pPr>
            <w:r>
              <w:rPr>
                <w:rFonts w:cs="宋体" w:hint="eastAsia"/>
                <w:color w:val="000000"/>
                <w:kern w:val="0"/>
                <w:sz w:val="22"/>
                <w:szCs w:val="22"/>
                <w:lang w:bidi="ar"/>
              </w:rPr>
              <w:t>1</w:t>
            </w:r>
            <w:r>
              <w:rPr>
                <w:rFonts w:cs="宋体" w:hint="eastAsia"/>
                <w:color w:val="000000"/>
                <w:kern w:val="0"/>
                <w:sz w:val="22"/>
                <w:szCs w:val="22"/>
                <w:lang w:bidi="ar"/>
              </w:rPr>
              <w:t>、本人将诚信和善意履行作为伟隆阀门控股股东和</w:t>
            </w:r>
            <w:r>
              <w:rPr>
                <w:rFonts w:cs="宋体" w:hint="eastAsia"/>
                <w:color w:val="000000"/>
                <w:kern w:val="0"/>
                <w:sz w:val="22"/>
                <w:szCs w:val="22"/>
                <w:lang w:bidi="ar"/>
              </w:rPr>
              <w:t>/</w:t>
            </w:r>
            <w:r>
              <w:rPr>
                <w:rFonts w:cs="宋体" w:hint="eastAsia"/>
                <w:color w:val="000000"/>
                <w:kern w:val="0"/>
                <w:sz w:val="22"/>
                <w:szCs w:val="22"/>
                <w:lang w:bidi="ar"/>
              </w:rPr>
              <w:t>或实际控制人的义务，尽量避免和规范与伟隆阀门（包括其控制的企业）之间的关联交易；对于无法避免或有合理理由存在的关联交易，将与伟隆阀门依法签订规范的关联交易协议，并按照有关法律、法规、规章、其他规范性文件和公司章程的规定履行批准程序；关联交易价格依照与无关联关系的独立第三方进行相同或相似交易时的价格确定，保证关联交易价格具有公允性；保证按照有关法律、法规和公司章程的规定履行关联交易的信息披露义务；保证不利用关联交易非法转移伟隆阀门的资金、利润，不利用关联交易损害伟隆阀门及非关联股东的利益。</w:t>
            </w:r>
            <w:r>
              <w:rPr>
                <w:rFonts w:cs="宋体" w:hint="eastAsia"/>
                <w:color w:val="000000"/>
                <w:kern w:val="0"/>
                <w:sz w:val="22"/>
                <w:szCs w:val="22"/>
                <w:lang w:bidi="ar"/>
              </w:rPr>
              <w:br/>
              <w:t>2</w:t>
            </w:r>
            <w:r>
              <w:rPr>
                <w:rFonts w:cs="宋体" w:hint="eastAsia"/>
                <w:color w:val="000000"/>
                <w:kern w:val="0"/>
                <w:sz w:val="22"/>
                <w:szCs w:val="22"/>
                <w:lang w:bidi="ar"/>
              </w:rPr>
              <w:t>、本人承诺在伟隆阀门股东大会对涉及本人及本人控制的其他企业的有关关联交易事项进行表决时，履行回避表决的义务。</w:t>
            </w:r>
            <w:r>
              <w:rPr>
                <w:rFonts w:cs="宋体" w:hint="eastAsia"/>
                <w:color w:val="000000"/>
                <w:kern w:val="0"/>
                <w:sz w:val="22"/>
                <w:szCs w:val="22"/>
                <w:lang w:bidi="ar"/>
              </w:rPr>
              <w:br/>
              <w:t>3</w:t>
            </w:r>
            <w:r>
              <w:rPr>
                <w:rFonts w:cs="宋体" w:hint="eastAsia"/>
                <w:color w:val="000000"/>
                <w:kern w:val="0"/>
                <w:sz w:val="22"/>
                <w:szCs w:val="22"/>
                <w:lang w:bidi="ar"/>
              </w:rPr>
              <w:t>、本人将不会要求和接受伟隆阀门给予的与其在任何一项市场公平交易中给予独立第三方的条件相比更为优惠的条件。</w:t>
            </w:r>
            <w:r>
              <w:rPr>
                <w:rFonts w:cs="宋体" w:hint="eastAsia"/>
                <w:color w:val="000000"/>
                <w:kern w:val="0"/>
                <w:sz w:val="22"/>
                <w:szCs w:val="22"/>
                <w:lang w:bidi="ar"/>
              </w:rPr>
              <w:br/>
              <w:t>4</w:t>
            </w:r>
            <w:r>
              <w:rPr>
                <w:rFonts w:cs="宋体" w:hint="eastAsia"/>
                <w:color w:val="000000"/>
                <w:kern w:val="0"/>
                <w:sz w:val="22"/>
                <w:szCs w:val="22"/>
                <w:lang w:bidi="ar"/>
              </w:rPr>
              <w:t>、本人保证将依照伟隆阀门的章程规定参加股东大会，平等地行使股东权利并承担股东义务，不利用控股股东地位谋取不正当利益，不损害伟隆阀门及其他股东的合法权益。</w:t>
            </w:r>
            <w:r>
              <w:rPr>
                <w:rFonts w:cs="宋体" w:hint="eastAsia"/>
                <w:color w:val="000000"/>
                <w:kern w:val="0"/>
                <w:sz w:val="22"/>
                <w:szCs w:val="22"/>
                <w:lang w:bidi="ar"/>
              </w:rPr>
              <w:br/>
            </w:r>
            <w:r>
              <w:rPr>
                <w:rFonts w:cs="宋体" w:hint="eastAsia"/>
                <w:color w:val="000000"/>
                <w:kern w:val="0"/>
                <w:sz w:val="22"/>
                <w:szCs w:val="22"/>
                <w:lang w:bidi="ar"/>
              </w:rPr>
              <w:t>除非本人不再为伟隆阀门之控股股东、实际控制人，本承诺始终有效。若本人违反上述承诺给伟隆阀门及其他股东造成损失，一切损失将由本人承担。</w:t>
            </w:r>
          </w:p>
        </w:tc>
        <w:tc>
          <w:tcPr>
            <w:tcW w:w="492" w:type="pct"/>
            <w:shd w:val="clear" w:color="000000" w:fill="FFFFFF"/>
            <w:vAlign w:val="center"/>
          </w:tcPr>
          <w:p w14:paraId="45E84D62" w14:textId="77777777" w:rsidR="004B0883" w:rsidRDefault="004B0883">
            <w:pPr>
              <w:jc w:val="center"/>
              <w:textAlignment w:val="center"/>
              <w:rPr>
                <w:color w:val="000000"/>
                <w:kern w:val="0"/>
              </w:rPr>
            </w:pPr>
            <w:r>
              <w:rPr>
                <w:rFonts w:cs="宋体" w:hint="eastAsia"/>
                <w:color w:val="000000"/>
                <w:kern w:val="0"/>
                <w:sz w:val="22"/>
                <w:szCs w:val="22"/>
                <w:lang w:bidi="ar"/>
              </w:rPr>
              <w:t>2017</w:t>
            </w:r>
            <w:r>
              <w:rPr>
                <w:rFonts w:cs="宋体" w:hint="eastAsia"/>
                <w:color w:val="000000"/>
                <w:kern w:val="0"/>
                <w:sz w:val="22"/>
                <w:szCs w:val="22"/>
                <w:lang w:bidi="ar"/>
              </w:rPr>
              <w:t>年</w:t>
            </w:r>
            <w:r>
              <w:rPr>
                <w:rFonts w:cs="宋体" w:hint="eastAsia"/>
                <w:color w:val="000000"/>
                <w:kern w:val="0"/>
                <w:sz w:val="22"/>
                <w:szCs w:val="22"/>
                <w:lang w:bidi="ar"/>
              </w:rPr>
              <w:t>3</w:t>
            </w:r>
            <w:r>
              <w:rPr>
                <w:rFonts w:cs="宋体" w:hint="eastAsia"/>
                <w:color w:val="000000"/>
                <w:kern w:val="0"/>
                <w:sz w:val="22"/>
                <w:szCs w:val="22"/>
                <w:lang w:bidi="ar"/>
              </w:rPr>
              <w:t>月</w:t>
            </w:r>
          </w:p>
        </w:tc>
        <w:tc>
          <w:tcPr>
            <w:tcW w:w="506" w:type="pct"/>
            <w:shd w:val="clear" w:color="000000" w:fill="FFFFFF"/>
            <w:vAlign w:val="center"/>
          </w:tcPr>
          <w:p w14:paraId="7BED824A" w14:textId="77777777" w:rsidR="004B0883" w:rsidRDefault="004B0883">
            <w:pPr>
              <w:jc w:val="center"/>
              <w:textAlignment w:val="center"/>
              <w:rPr>
                <w:color w:val="000000"/>
                <w:kern w:val="0"/>
              </w:rPr>
            </w:pPr>
            <w:r>
              <w:rPr>
                <w:rFonts w:cs="宋体" w:hint="eastAsia"/>
                <w:color w:val="000000"/>
                <w:kern w:val="0"/>
                <w:sz w:val="22"/>
                <w:szCs w:val="22"/>
                <w:lang w:bidi="ar"/>
              </w:rPr>
              <w:t>正常履行中</w:t>
            </w:r>
          </w:p>
        </w:tc>
      </w:tr>
    </w:tbl>
    <w:p w14:paraId="275F90D1" w14:textId="77777777" w:rsidR="004B0883" w:rsidRDefault="004B0883">
      <w:pPr>
        <w:pStyle w:val="005"/>
        <w:spacing w:before="120"/>
        <w:ind w:firstLine="480"/>
        <w:rPr>
          <w:rFonts w:hint="eastAsia"/>
        </w:rPr>
      </w:pPr>
      <w:r>
        <w:rPr>
          <w:rFonts w:hint="eastAsia"/>
        </w:rPr>
        <w:t>在上述承诺的有效期内，公司及公司控股股东严格遵守了上述承诺及其相关约束条件，不存在未实际履行承诺或变更履行承诺的情况。</w:t>
      </w:r>
    </w:p>
    <w:p w14:paraId="18436F68" w14:textId="77777777" w:rsidR="004B0883" w:rsidRDefault="004B0883">
      <w:pPr>
        <w:pStyle w:val="003"/>
        <w:spacing w:before="120" w:after="120"/>
        <w:rPr>
          <w:rFonts w:eastAsia="宋体" w:hint="eastAsia"/>
        </w:rPr>
      </w:pPr>
      <w:r>
        <w:rPr>
          <w:rFonts w:eastAsia="宋体" w:hint="eastAsia"/>
        </w:rPr>
        <w:t>（二）本次可转债发行相关承诺</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370"/>
        <w:gridCol w:w="1912"/>
        <w:gridCol w:w="1643"/>
        <w:gridCol w:w="5423"/>
        <w:gridCol w:w="1088"/>
        <w:gridCol w:w="1206"/>
        <w:gridCol w:w="1286"/>
      </w:tblGrid>
      <w:tr w:rsidR="004B0883" w14:paraId="302CDE0D" w14:textId="77777777">
        <w:trPr>
          <w:trHeight w:val="340"/>
          <w:tblHeader/>
          <w:jc w:val="center"/>
        </w:trPr>
        <w:tc>
          <w:tcPr>
            <w:tcW w:w="1393" w:type="dxa"/>
            <w:shd w:val="clear" w:color="auto" w:fill="D9D9D9"/>
            <w:tcMar>
              <w:top w:w="0" w:type="dxa"/>
              <w:left w:w="108" w:type="dxa"/>
              <w:bottom w:w="0" w:type="dxa"/>
              <w:right w:w="108" w:type="dxa"/>
            </w:tcMar>
            <w:vAlign w:val="center"/>
          </w:tcPr>
          <w:p w14:paraId="6E159536" w14:textId="77777777" w:rsidR="004B0883" w:rsidRDefault="004B0883">
            <w:pPr>
              <w:adjustRightInd w:val="0"/>
              <w:snapToGrid w:val="0"/>
              <w:jc w:val="center"/>
              <w:rPr>
                <w:b/>
                <w:color w:val="000000"/>
              </w:rPr>
            </w:pPr>
            <w:r>
              <w:rPr>
                <w:b/>
                <w:color w:val="000000"/>
              </w:rPr>
              <w:t>承诺来源</w:t>
            </w:r>
          </w:p>
        </w:tc>
        <w:tc>
          <w:tcPr>
            <w:tcW w:w="1946" w:type="dxa"/>
            <w:shd w:val="clear" w:color="auto" w:fill="D9D9D9"/>
            <w:tcMar>
              <w:top w:w="0" w:type="dxa"/>
              <w:left w:w="108" w:type="dxa"/>
              <w:bottom w:w="0" w:type="dxa"/>
              <w:right w:w="108" w:type="dxa"/>
            </w:tcMar>
            <w:vAlign w:val="center"/>
          </w:tcPr>
          <w:p w14:paraId="4D0A2DCE" w14:textId="77777777" w:rsidR="004B0883" w:rsidRDefault="004B0883">
            <w:pPr>
              <w:adjustRightInd w:val="0"/>
              <w:snapToGrid w:val="0"/>
              <w:jc w:val="center"/>
              <w:rPr>
                <w:b/>
                <w:color w:val="000000"/>
              </w:rPr>
            </w:pPr>
            <w:r>
              <w:rPr>
                <w:b/>
                <w:color w:val="000000"/>
              </w:rPr>
              <w:t>承诺方</w:t>
            </w:r>
          </w:p>
        </w:tc>
        <w:tc>
          <w:tcPr>
            <w:tcW w:w="1671" w:type="dxa"/>
            <w:shd w:val="clear" w:color="auto" w:fill="D9D9D9"/>
            <w:tcMar>
              <w:top w:w="0" w:type="dxa"/>
              <w:left w:w="108" w:type="dxa"/>
              <w:bottom w:w="0" w:type="dxa"/>
              <w:right w:w="108" w:type="dxa"/>
            </w:tcMar>
            <w:vAlign w:val="center"/>
          </w:tcPr>
          <w:p w14:paraId="1A8C14F9" w14:textId="77777777" w:rsidR="004B0883" w:rsidRDefault="004B0883">
            <w:pPr>
              <w:adjustRightInd w:val="0"/>
              <w:snapToGrid w:val="0"/>
              <w:jc w:val="center"/>
              <w:rPr>
                <w:b/>
                <w:color w:val="000000"/>
              </w:rPr>
            </w:pPr>
            <w:r>
              <w:rPr>
                <w:b/>
                <w:color w:val="000000"/>
              </w:rPr>
              <w:t>承诺类型</w:t>
            </w:r>
          </w:p>
        </w:tc>
        <w:tc>
          <w:tcPr>
            <w:tcW w:w="5527" w:type="dxa"/>
            <w:shd w:val="clear" w:color="auto" w:fill="D9D9D9"/>
            <w:tcMar>
              <w:top w:w="0" w:type="dxa"/>
              <w:left w:w="108" w:type="dxa"/>
              <w:bottom w:w="0" w:type="dxa"/>
              <w:right w:w="108" w:type="dxa"/>
            </w:tcMar>
            <w:vAlign w:val="center"/>
          </w:tcPr>
          <w:p w14:paraId="0B0D65D5" w14:textId="77777777" w:rsidR="004B0883" w:rsidRDefault="004B0883">
            <w:pPr>
              <w:adjustRightInd w:val="0"/>
              <w:snapToGrid w:val="0"/>
              <w:jc w:val="center"/>
              <w:rPr>
                <w:b/>
                <w:color w:val="000000"/>
              </w:rPr>
            </w:pPr>
            <w:r>
              <w:rPr>
                <w:b/>
                <w:color w:val="000000"/>
              </w:rPr>
              <w:t>承诺内容</w:t>
            </w:r>
          </w:p>
        </w:tc>
        <w:tc>
          <w:tcPr>
            <w:tcW w:w="1105" w:type="dxa"/>
            <w:shd w:val="clear" w:color="auto" w:fill="D9D9D9"/>
            <w:tcMar>
              <w:top w:w="0" w:type="dxa"/>
              <w:left w:w="108" w:type="dxa"/>
              <w:bottom w:w="0" w:type="dxa"/>
              <w:right w:w="108" w:type="dxa"/>
            </w:tcMar>
            <w:vAlign w:val="center"/>
          </w:tcPr>
          <w:p w14:paraId="1C0859E6" w14:textId="77777777" w:rsidR="004B0883" w:rsidRDefault="004B0883">
            <w:pPr>
              <w:adjustRightInd w:val="0"/>
              <w:snapToGrid w:val="0"/>
              <w:jc w:val="center"/>
              <w:rPr>
                <w:b/>
                <w:color w:val="000000"/>
              </w:rPr>
            </w:pPr>
            <w:r>
              <w:rPr>
                <w:b/>
                <w:color w:val="000000"/>
              </w:rPr>
              <w:t>承诺时间</w:t>
            </w:r>
          </w:p>
        </w:tc>
        <w:tc>
          <w:tcPr>
            <w:tcW w:w="1225" w:type="dxa"/>
            <w:shd w:val="clear" w:color="auto" w:fill="D9D9D9"/>
            <w:tcMar>
              <w:top w:w="0" w:type="dxa"/>
              <w:left w:w="108" w:type="dxa"/>
              <w:bottom w:w="0" w:type="dxa"/>
              <w:right w:w="108" w:type="dxa"/>
            </w:tcMar>
            <w:vAlign w:val="center"/>
          </w:tcPr>
          <w:p w14:paraId="076D84E8" w14:textId="77777777" w:rsidR="004B0883" w:rsidRDefault="004B0883">
            <w:pPr>
              <w:adjustRightInd w:val="0"/>
              <w:snapToGrid w:val="0"/>
              <w:jc w:val="center"/>
              <w:rPr>
                <w:b/>
                <w:color w:val="000000"/>
              </w:rPr>
            </w:pPr>
            <w:r>
              <w:rPr>
                <w:b/>
                <w:color w:val="000000"/>
              </w:rPr>
              <w:t>承诺期限</w:t>
            </w:r>
          </w:p>
        </w:tc>
        <w:tc>
          <w:tcPr>
            <w:tcW w:w="1307" w:type="dxa"/>
            <w:shd w:val="clear" w:color="auto" w:fill="D9D9D9"/>
            <w:tcMar>
              <w:top w:w="0" w:type="dxa"/>
              <w:left w:w="108" w:type="dxa"/>
              <w:bottom w:w="0" w:type="dxa"/>
              <w:right w:w="108" w:type="dxa"/>
            </w:tcMar>
            <w:vAlign w:val="center"/>
          </w:tcPr>
          <w:p w14:paraId="0F905C2D" w14:textId="77777777" w:rsidR="004B0883" w:rsidRDefault="004B0883">
            <w:pPr>
              <w:adjustRightInd w:val="0"/>
              <w:snapToGrid w:val="0"/>
              <w:jc w:val="center"/>
              <w:rPr>
                <w:b/>
                <w:color w:val="000000"/>
              </w:rPr>
            </w:pPr>
            <w:r>
              <w:rPr>
                <w:b/>
                <w:color w:val="000000"/>
              </w:rPr>
              <w:t>履行情况</w:t>
            </w:r>
          </w:p>
        </w:tc>
      </w:tr>
      <w:tr w:rsidR="004B0883" w14:paraId="6A4CE952" w14:textId="77777777">
        <w:trPr>
          <w:trHeight w:val="340"/>
          <w:jc w:val="center"/>
        </w:trPr>
        <w:tc>
          <w:tcPr>
            <w:tcW w:w="1393" w:type="dxa"/>
            <w:shd w:val="clear" w:color="auto" w:fill="FFFFFF"/>
            <w:tcMar>
              <w:top w:w="0" w:type="dxa"/>
              <w:left w:w="108" w:type="dxa"/>
              <w:bottom w:w="0" w:type="dxa"/>
              <w:right w:w="108" w:type="dxa"/>
            </w:tcMar>
            <w:vAlign w:val="center"/>
          </w:tcPr>
          <w:p w14:paraId="444F58F0" w14:textId="77777777" w:rsidR="004B0883" w:rsidRDefault="004B0883">
            <w:pPr>
              <w:adjustRightInd w:val="0"/>
              <w:snapToGrid w:val="0"/>
              <w:jc w:val="center"/>
              <w:rPr>
                <w:color w:val="000000"/>
              </w:rPr>
            </w:pPr>
            <w:r>
              <w:rPr>
                <w:color w:val="000000"/>
              </w:rPr>
              <w:t>本次可转债发行</w:t>
            </w:r>
          </w:p>
        </w:tc>
        <w:tc>
          <w:tcPr>
            <w:tcW w:w="1946" w:type="dxa"/>
            <w:shd w:val="clear" w:color="auto" w:fill="FFFFFF"/>
            <w:tcMar>
              <w:top w:w="0" w:type="dxa"/>
              <w:left w:w="108" w:type="dxa"/>
              <w:bottom w:w="0" w:type="dxa"/>
              <w:right w:w="108" w:type="dxa"/>
            </w:tcMar>
            <w:vAlign w:val="center"/>
          </w:tcPr>
          <w:p w14:paraId="3313BC37" w14:textId="77777777" w:rsidR="004B0883" w:rsidRDefault="004B0883">
            <w:pPr>
              <w:adjustRightInd w:val="0"/>
              <w:snapToGrid w:val="0"/>
              <w:jc w:val="center"/>
              <w:rPr>
                <w:rFonts w:hint="eastAsia"/>
                <w:color w:val="000000"/>
              </w:rPr>
            </w:pPr>
            <w:r>
              <w:rPr>
                <w:rFonts w:hint="eastAsia"/>
              </w:rPr>
              <w:t>公司实际控制人、控股股东、董事（独立董事除外）及高级管理人员</w:t>
            </w:r>
          </w:p>
        </w:tc>
        <w:tc>
          <w:tcPr>
            <w:tcW w:w="1671" w:type="dxa"/>
            <w:shd w:val="clear" w:color="auto" w:fill="FFFFFF"/>
            <w:tcMar>
              <w:top w:w="0" w:type="dxa"/>
              <w:left w:w="108" w:type="dxa"/>
              <w:bottom w:w="0" w:type="dxa"/>
              <w:right w:w="108" w:type="dxa"/>
            </w:tcMar>
            <w:vAlign w:val="center"/>
          </w:tcPr>
          <w:p w14:paraId="17285955" w14:textId="77777777" w:rsidR="004B0883" w:rsidRDefault="004B0883">
            <w:pPr>
              <w:adjustRightInd w:val="0"/>
              <w:snapToGrid w:val="0"/>
              <w:jc w:val="center"/>
              <w:rPr>
                <w:rFonts w:hint="eastAsia"/>
                <w:color w:val="000000"/>
              </w:rPr>
            </w:pPr>
            <w:r>
              <w:rPr>
                <w:rFonts w:hint="eastAsia"/>
              </w:rPr>
              <w:t>视情况参与认购的相关主体及其承诺函</w:t>
            </w:r>
          </w:p>
        </w:tc>
        <w:tc>
          <w:tcPr>
            <w:tcW w:w="5527" w:type="dxa"/>
            <w:shd w:val="clear" w:color="auto" w:fill="FFFFFF"/>
            <w:tcMar>
              <w:top w:w="0" w:type="dxa"/>
              <w:left w:w="108" w:type="dxa"/>
              <w:bottom w:w="0" w:type="dxa"/>
              <w:right w:w="108" w:type="dxa"/>
            </w:tcMar>
            <w:vAlign w:val="center"/>
          </w:tcPr>
          <w:p w14:paraId="01F7D312" w14:textId="77777777" w:rsidR="004B0883" w:rsidRDefault="004B0883">
            <w:pPr>
              <w:adjustRightInd w:val="0"/>
              <w:snapToGrid w:val="0"/>
              <w:rPr>
                <w:rFonts w:hint="eastAsia"/>
                <w:color w:val="000000"/>
              </w:rPr>
            </w:pPr>
            <w:r>
              <w:rPr>
                <w:rFonts w:hint="eastAsia"/>
                <w:color w:val="000000"/>
              </w:rPr>
              <w:t>公司实际控制人、控股股东作出如下承诺：</w:t>
            </w:r>
          </w:p>
          <w:p w14:paraId="1B690E11" w14:textId="77777777" w:rsidR="004B0883" w:rsidRDefault="004B0883">
            <w:pPr>
              <w:adjustRightInd w:val="0"/>
              <w:snapToGrid w:val="0"/>
              <w:rPr>
                <w:rFonts w:hint="eastAsia"/>
                <w:color w:val="000000"/>
              </w:rPr>
            </w:pPr>
            <w:r>
              <w:rPr>
                <w:rFonts w:ascii="宋体" w:hAnsi="宋体" w:hint="eastAsia"/>
                <w:color w:val="000000"/>
              </w:rPr>
              <w:t>“</w:t>
            </w:r>
            <w:r>
              <w:rPr>
                <w:rFonts w:hint="eastAsia"/>
                <w:color w:val="000000"/>
              </w:rPr>
              <w:t>1</w:t>
            </w:r>
            <w:r>
              <w:rPr>
                <w:rFonts w:hint="eastAsia"/>
                <w:color w:val="000000"/>
              </w:rPr>
              <w:t>、如伟隆股份启动本次可转债发行，本人承诺将参与认购，具体认购安排将根据本次可转债发行时确定的发行方案及市场情况确定，并严格履行相应信息披露义务。</w:t>
            </w:r>
          </w:p>
          <w:p w14:paraId="284D6252" w14:textId="77777777" w:rsidR="004B0883" w:rsidRDefault="004B0883">
            <w:pPr>
              <w:adjustRightInd w:val="0"/>
              <w:snapToGrid w:val="0"/>
              <w:rPr>
                <w:rFonts w:hint="eastAsia"/>
                <w:color w:val="000000"/>
              </w:rPr>
            </w:pPr>
            <w:r>
              <w:rPr>
                <w:rFonts w:hint="eastAsia"/>
                <w:color w:val="000000"/>
              </w:rPr>
              <w:t>2</w:t>
            </w:r>
            <w:r>
              <w:rPr>
                <w:rFonts w:hint="eastAsia"/>
                <w:color w:val="000000"/>
              </w:rPr>
              <w:t>、在本承诺函出具之日前六个月内，本人不存在减持伟隆股份股票情形，亦不存在减持伟隆股份股票的计划或安排。</w:t>
            </w:r>
          </w:p>
          <w:p w14:paraId="3BC19A7D" w14:textId="77777777" w:rsidR="004B0883" w:rsidRDefault="004B0883">
            <w:pPr>
              <w:adjustRightInd w:val="0"/>
              <w:snapToGrid w:val="0"/>
              <w:rPr>
                <w:rFonts w:hint="eastAsia"/>
                <w:color w:val="000000"/>
              </w:rPr>
            </w:pPr>
            <w:r>
              <w:rPr>
                <w:rFonts w:hint="eastAsia"/>
                <w:color w:val="000000"/>
              </w:rPr>
              <w:t>3</w:t>
            </w:r>
            <w:r>
              <w:rPr>
                <w:rFonts w:hint="eastAsia"/>
                <w:color w:val="000000"/>
              </w:rPr>
              <w:t>、自本承诺函出具之日至本次可转债发行完成后六个月内，本人不以任何方式减持本人所持有的公司股票和本次发行的可转债；且在上述期间内，亦无任何减持计划或安排。</w:t>
            </w:r>
          </w:p>
          <w:p w14:paraId="0D5077D1" w14:textId="77777777" w:rsidR="004B0883" w:rsidRDefault="004B0883">
            <w:pPr>
              <w:adjustRightInd w:val="0"/>
              <w:snapToGrid w:val="0"/>
              <w:rPr>
                <w:rFonts w:hint="eastAsia"/>
                <w:color w:val="000000"/>
              </w:rPr>
            </w:pPr>
            <w:r>
              <w:rPr>
                <w:rFonts w:hint="eastAsia"/>
                <w:color w:val="000000"/>
              </w:rPr>
              <w:t>4</w:t>
            </w:r>
            <w:r>
              <w:rPr>
                <w:rFonts w:hint="eastAsia"/>
                <w:color w:val="000000"/>
              </w:rPr>
              <w:t>、本人自愿作出上述承诺，并自愿接受本承诺的约束。若本人违反上述承诺发生减持伟隆股份股票或已发行的可转债的情况，本人所得收益全部归伟隆股份所有，并依法承担由此产生的法律责任；若给伟隆股份和其他投资者造成损失的，本人将依法承担赔偿责任。</w:t>
            </w:r>
            <w:r>
              <w:rPr>
                <w:rFonts w:ascii="宋体" w:hAnsi="宋体" w:hint="eastAsia"/>
                <w:color w:val="000000"/>
              </w:rPr>
              <w:t>”</w:t>
            </w:r>
          </w:p>
          <w:p w14:paraId="63114E90" w14:textId="77777777" w:rsidR="004B0883" w:rsidRDefault="004B0883">
            <w:pPr>
              <w:adjustRightInd w:val="0"/>
              <w:snapToGrid w:val="0"/>
              <w:rPr>
                <w:rFonts w:hint="eastAsia"/>
                <w:color w:val="000000"/>
              </w:rPr>
            </w:pPr>
            <w:r>
              <w:rPr>
                <w:rFonts w:hint="eastAsia"/>
                <w:color w:val="000000"/>
              </w:rPr>
              <w:t>发行人董事（独立董事除外）、及高级管理人员作出如下承诺：</w:t>
            </w:r>
          </w:p>
          <w:p w14:paraId="29FFC8A6" w14:textId="77777777" w:rsidR="004B0883" w:rsidRDefault="004B0883">
            <w:pPr>
              <w:adjustRightInd w:val="0"/>
              <w:snapToGrid w:val="0"/>
              <w:rPr>
                <w:rFonts w:hint="eastAsia"/>
                <w:color w:val="000000"/>
              </w:rPr>
            </w:pPr>
            <w:r>
              <w:rPr>
                <w:rFonts w:ascii="宋体" w:hAnsi="宋体" w:hint="eastAsia"/>
                <w:color w:val="000000"/>
              </w:rPr>
              <w:t>“</w:t>
            </w:r>
            <w:r>
              <w:rPr>
                <w:rFonts w:hint="eastAsia"/>
                <w:color w:val="000000"/>
              </w:rPr>
              <w:t>1</w:t>
            </w:r>
            <w:r>
              <w:rPr>
                <w:rFonts w:hint="eastAsia"/>
                <w:color w:val="000000"/>
              </w:rPr>
              <w:t>、如公司启动本次可转债发行，本人将按照《证券法》《可转换公司债券管理办法》等相关规定，将根据本次可转债发行时的市场情况及资金安排决定是否参与认购公司本次发行的可转债，并严格履行相应信息披露义务。若公司启动本次可转债发行之日与本人及配偶、父母、子女最后一次减持公司股票的日期间隔不满六个月（含）的，本人及配偶、父母、子女将不参与认购公司本次发行的可转债。</w:t>
            </w:r>
          </w:p>
          <w:p w14:paraId="54C15614" w14:textId="77777777" w:rsidR="004B0883" w:rsidRDefault="004B0883">
            <w:pPr>
              <w:adjustRightInd w:val="0"/>
              <w:snapToGrid w:val="0"/>
              <w:rPr>
                <w:rFonts w:hint="eastAsia"/>
                <w:color w:val="000000"/>
              </w:rPr>
            </w:pPr>
            <w:r>
              <w:rPr>
                <w:rFonts w:hint="eastAsia"/>
                <w:color w:val="000000"/>
              </w:rPr>
              <w:t>2</w:t>
            </w:r>
            <w:r>
              <w:rPr>
                <w:rFonts w:hint="eastAsia"/>
                <w:color w:val="000000"/>
              </w:rPr>
              <w:t>、若认购成功，本人承诺，本人及配偶、父母、子女将严格遵守相关法律法规对短线交易的要求，即自认购本次可转债之日起至本次可转债发行完成后六个月内不减持公司股票或本次发行的可转债。</w:t>
            </w:r>
          </w:p>
          <w:p w14:paraId="18102BF0" w14:textId="77777777" w:rsidR="004B0883" w:rsidRDefault="004B0883">
            <w:pPr>
              <w:adjustRightInd w:val="0"/>
              <w:snapToGrid w:val="0"/>
              <w:rPr>
                <w:rFonts w:hint="eastAsia"/>
                <w:color w:val="000000"/>
              </w:rPr>
            </w:pPr>
            <w:r>
              <w:rPr>
                <w:rFonts w:hint="eastAsia"/>
                <w:color w:val="000000"/>
              </w:rPr>
              <w:t>3</w:t>
            </w:r>
            <w:r>
              <w:rPr>
                <w:rFonts w:hint="eastAsia"/>
                <w:color w:val="000000"/>
              </w:rPr>
              <w:t>、本人自愿做出本承诺函，并接受本承诺函的约束。若本人及配偶、父母、子女出现违反承诺的情况，由此所得收益全部归公司所有，并依法承担由此产生的法律责任。若给公司和其他投资者造成损失的，本人将依法承担赔偿责任。</w:t>
            </w:r>
            <w:r>
              <w:rPr>
                <w:rFonts w:ascii="宋体" w:hAnsi="宋体" w:hint="eastAsia"/>
                <w:color w:val="000000"/>
              </w:rPr>
              <w:t>”</w:t>
            </w:r>
          </w:p>
        </w:tc>
        <w:tc>
          <w:tcPr>
            <w:tcW w:w="1105" w:type="dxa"/>
            <w:shd w:val="clear" w:color="auto" w:fill="FFFFFF"/>
            <w:tcMar>
              <w:top w:w="0" w:type="dxa"/>
              <w:left w:w="108" w:type="dxa"/>
              <w:bottom w:w="0" w:type="dxa"/>
              <w:right w:w="108" w:type="dxa"/>
            </w:tcMar>
            <w:vAlign w:val="center"/>
          </w:tcPr>
          <w:p w14:paraId="3F725487" w14:textId="77777777" w:rsidR="004B0883" w:rsidRDefault="004B0883">
            <w:pPr>
              <w:adjustRightInd w:val="0"/>
              <w:snapToGrid w:val="0"/>
              <w:jc w:val="center"/>
              <w:rPr>
                <w:color w:val="000000"/>
              </w:rPr>
            </w:pPr>
            <w:r>
              <w:rPr>
                <w:rFonts w:hint="eastAsia"/>
                <w:color w:val="000000"/>
              </w:rPr>
              <w:t>2023</w:t>
            </w:r>
            <w:r>
              <w:rPr>
                <w:rFonts w:hint="eastAsia"/>
                <w:color w:val="000000"/>
              </w:rPr>
              <w:t>年</w:t>
            </w:r>
            <w:r>
              <w:rPr>
                <w:color w:val="000000"/>
              </w:rPr>
              <w:br/>
            </w:r>
            <w:r>
              <w:rPr>
                <w:rFonts w:hint="eastAsia"/>
                <w:color w:val="000000"/>
              </w:rPr>
              <w:t>6</w:t>
            </w:r>
            <w:r>
              <w:rPr>
                <w:rFonts w:hint="eastAsia"/>
                <w:color w:val="000000"/>
              </w:rPr>
              <w:t>月</w:t>
            </w:r>
            <w:r>
              <w:rPr>
                <w:rFonts w:hint="eastAsia"/>
                <w:color w:val="000000"/>
              </w:rPr>
              <w:t>30</w:t>
            </w:r>
            <w:r>
              <w:rPr>
                <w:rFonts w:hint="eastAsia"/>
                <w:color w:val="000000"/>
              </w:rPr>
              <w:t>日</w:t>
            </w:r>
          </w:p>
        </w:tc>
        <w:tc>
          <w:tcPr>
            <w:tcW w:w="1225" w:type="dxa"/>
            <w:shd w:val="clear" w:color="auto" w:fill="FFFFFF"/>
            <w:tcMar>
              <w:top w:w="0" w:type="dxa"/>
              <w:left w:w="108" w:type="dxa"/>
              <w:bottom w:w="0" w:type="dxa"/>
              <w:right w:w="108" w:type="dxa"/>
            </w:tcMar>
            <w:vAlign w:val="center"/>
          </w:tcPr>
          <w:p w14:paraId="20219DAE" w14:textId="77777777" w:rsidR="004B0883" w:rsidRDefault="004B0883">
            <w:pPr>
              <w:adjustRightInd w:val="0"/>
              <w:snapToGrid w:val="0"/>
              <w:jc w:val="center"/>
              <w:rPr>
                <w:rFonts w:hint="eastAsia"/>
                <w:color w:val="000000"/>
              </w:rPr>
            </w:pPr>
            <w:r>
              <w:rPr>
                <w:rFonts w:hint="eastAsia"/>
                <w:color w:val="000000"/>
              </w:rPr>
              <w:t>长期有效</w:t>
            </w:r>
          </w:p>
        </w:tc>
        <w:tc>
          <w:tcPr>
            <w:tcW w:w="1307" w:type="dxa"/>
            <w:shd w:val="clear" w:color="auto" w:fill="FFFFFF"/>
            <w:tcMar>
              <w:top w:w="0" w:type="dxa"/>
              <w:left w:w="108" w:type="dxa"/>
              <w:bottom w:w="0" w:type="dxa"/>
              <w:right w:w="108" w:type="dxa"/>
            </w:tcMar>
            <w:vAlign w:val="center"/>
          </w:tcPr>
          <w:p w14:paraId="44AADF7F" w14:textId="77777777" w:rsidR="004B0883" w:rsidRDefault="004B0883">
            <w:pPr>
              <w:adjustRightInd w:val="0"/>
              <w:snapToGrid w:val="0"/>
              <w:jc w:val="center"/>
              <w:rPr>
                <w:color w:val="000000"/>
              </w:rPr>
            </w:pPr>
            <w:r>
              <w:rPr>
                <w:rFonts w:hint="eastAsia"/>
                <w:color w:val="000000"/>
              </w:rPr>
              <w:t>正在履行中</w:t>
            </w:r>
          </w:p>
        </w:tc>
      </w:tr>
      <w:tr w:rsidR="004B0883" w14:paraId="19A8E653" w14:textId="77777777">
        <w:trPr>
          <w:trHeight w:val="340"/>
          <w:jc w:val="center"/>
        </w:trPr>
        <w:tc>
          <w:tcPr>
            <w:tcW w:w="1393" w:type="dxa"/>
            <w:shd w:val="clear" w:color="auto" w:fill="FFFFFF"/>
            <w:tcMar>
              <w:top w:w="0" w:type="dxa"/>
              <w:left w:w="108" w:type="dxa"/>
              <w:bottom w:w="0" w:type="dxa"/>
              <w:right w:w="108" w:type="dxa"/>
            </w:tcMar>
            <w:vAlign w:val="center"/>
          </w:tcPr>
          <w:p w14:paraId="239FD4FE" w14:textId="77777777" w:rsidR="004B0883" w:rsidRDefault="004B0883">
            <w:pPr>
              <w:adjustRightInd w:val="0"/>
              <w:snapToGrid w:val="0"/>
              <w:jc w:val="center"/>
              <w:rPr>
                <w:color w:val="000000"/>
              </w:rPr>
            </w:pPr>
            <w:r>
              <w:rPr>
                <w:color w:val="000000"/>
              </w:rPr>
              <w:t>本次可转债发行</w:t>
            </w:r>
          </w:p>
        </w:tc>
        <w:tc>
          <w:tcPr>
            <w:tcW w:w="1946" w:type="dxa"/>
            <w:shd w:val="clear" w:color="auto" w:fill="FFFFFF"/>
            <w:tcMar>
              <w:top w:w="0" w:type="dxa"/>
              <w:left w:w="108" w:type="dxa"/>
              <w:bottom w:w="0" w:type="dxa"/>
              <w:right w:w="108" w:type="dxa"/>
            </w:tcMar>
            <w:vAlign w:val="center"/>
          </w:tcPr>
          <w:p w14:paraId="45BAE4D2" w14:textId="77777777" w:rsidR="004B0883" w:rsidRDefault="004B0883">
            <w:pPr>
              <w:adjustRightInd w:val="0"/>
              <w:snapToGrid w:val="0"/>
              <w:jc w:val="center"/>
              <w:rPr>
                <w:color w:val="000000"/>
              </w:rPr>
            </w:pPr>
            <w:r>
              <w:rPr>
                <w:rFonts w:hint="eastAsia"/>
                <w:color w:val="000000"/>
              </w:rPr>
              <w:t>公司独立董事樊培银、宋银立、高科，发行人监事于春红、王凤春、张涛</w:t>
            </w:r>
          </w:p>
        </w:tc>
        <w:tc>
          <w:tcPr>
            <w:tcW w:w="1671" w:type="dxa"/>
            <w:shd w:val="clear" w:color="auto" w:fill="FFFFFF"/>
            <w:tcMar>
              <w:top w:w="0" w:type="dxa"/>
              <w:left w:w="108" w:type="dxa"/>
              <w:bottom w:w="0" w:type="dxa"/>
              <w:right w:w="108" w:type="dxa"/>
            </w:tcMar>
            <w:vAlign w:val="center"/>
          </w:tcPr>
          <w:p w14:paraId="2DE9303F" w14:textId="77777777" w:rsidR="004B0883" w:rsidRDefault="004B0883">
            <w:pPr>
              <w:adjustRightInd w:val="0"/>
              <w:snapToGrid w:val="0"/>
              <w:jc w:val="center"/>
              <w:rPr>
                <w:rFonts w:hint="eastAsia"/>
                <w:color w:val="000000"/>
              </w:rPr>
            </w:pPr>
            <w:r>
              <w:rPr>
                <w:rFonts w:hint="eastAsia"/>
              </w:rPr>
              <w:t>不参与认购的相关主体及其承诺</w:t>
            </w:r>
          </w:p>
        </w:tc>
        <w:tc>
          <w:tcPr>
            <w:tcW w:w="5527" w:type="dxa"/>
            <w:shd w:val="clear" w:color="auto" w:fill="FFFFFF"/>
            <w:tcMar>
              <w:top w:w="0" w:type="dxa"/>
              <w:left w:w="108" w:type="dxa"/>
              <w:bottom w:w="0" w:type="dxa"/>
              <w:right w:w="108" w:type="dxa"/>
            </w:tcMar>
            <w:vAlign w:val="center"/>
          </w:tcPr>
          <w:p w14:paraId="65ECA033" w14:textId="77777777" w:rsidR="004B0883" w:rsidRDefault="004B0883">
            <w:pPr>
              <w:adjustRightInd w:val="0"/>
              <w:snapToGrid w:val="0"/>
              <w:rPr>
                <w:rFonts w:hint="eastAsia"/>
                <w:color w:val="000000"/>
              </w:rPr>
            </w:pPr>
            <w:r>
              <w:rPr>
                <w:rFonts w:hint="eastAsia"/>
                <w:color w:val="000000"/>
              </w:rPr>
              <w:t>公司独立董事樊培银、宋银立、高科，发行人监事于春红、王凤春、张涛将不参与本次发行的认购，作出承诺如下：</w:t>
            </w:r>
          </w:p>
          <w:p w14:paraId="41CAB106" w14:textId="77777777" w:rsidR="004B0883" w:rsidRDefault="004B0883">
            <w:pPr>
              <w:adjustRightInd w:val="0"/>
              <w:snapToGrid w:val="0"/>
              <w:rPr>
                <w:rFonts w:hint="eastAsia"/>
                <w:color w:val="000000"/>
              </w:rPr>
            </w:pPr>
            <w:r>
              <w:rPr>
                <w:rFonts w:ascii="宋体" w:hAnsi="宋体" w:hint="eastAsia"/>
                <w:color w:val="000000"/>
              </w:rPr>
              <w:t>“</w:t>
            </w:r>
            <w:r>
              <w:rPr>
                <w:rFonts w:hint="eastAsia"/>
                <w:color w:val="000000"/>
              </w:rPr>
              <w:t>本人及配偶、父母、子女将不参与认购本次发行的可转债。本人自愿作出上述承诺，并自愿接受本承诺的约束。若本人及本人配偶、父母、子女违反上述承诺的，依法承担由此产生的法律责任；若给伟隆股份和其他投资者造成损失的，本人将依法承担赔偿责任。</w:t>
            </w:r>
            <w:r>
              <w:rPr>
                <w:rFonts w:ascii="宋体" w:hAnsi="宋体" w:hint="eastAsia"/>
                <w:color w:val="000000"/>
              </w:rPr>
              <w:t>”</w:t>
            </w:r>
          </w:p>
        </w:tc>
        <w:tc>
          <w:tcPr>
            <w:tcW w:w="1105" w:type="dxa"/>
            <w:shd w:val="clear" w:color="auto" w:fill="FFFFFF"/>
            <w:tcMar>
              <w:top w:w="0" w:type="dxa"/>
              <w:left w:w="108" w:type="dxa"/>
              <w:bottom w:w="0" w:type="dxa"/>
              <w:right w:w="108" w:type="dxa"/>
            </w:tcMar>
            <w:vAlign w:val="center"/>
          </w:tcPr>
          <w:p w14:paraId="17F60D9F" w14:textId="77777777" w:rsidR="004B0883" w:rsidRDefault="004B0883">
            <w:pPr>
              <w:adjustRightInd w:val="0"/>
              <w:snapToGrid w:val="0"/>
              <w:jc w:val="center"/>
              <w:rPr>
                <w:color w:val="000000"/>
              </w:rPr>
            </w:pPr>
            <w:r>
              <w:rPr>
                <w:rFonts w:hint="eastAsia"/>
                <w:color w:val="000000"/>
              </w:rPr>
              <w:t>2023</w:t>
            </w:r>
            <w:r>
              <w:rPr>
                <w:rFonts w:hint="eastAsia"/>
                <w:color w:val="000000"/>
              </w:rPr>
              <w:t>年</w:t>
            </w:r>
            <w:r>
              <w:rPr>
                <w:color w:val="000000"/>
              </w:rPr>
              <w:br/>
            </w:r>
            <w:r>
              <w:rPr>
                <w:rFonts w:hint="eastAsia"/>
                <w:color w:val="000000"/>
              </w:rPr>
              <w:t>6</w:t>
            </w:r>
            <w:r>
              <w:rPr>
                <w:rFonts w:hint="eastAsia"/>
                <w:color w:val="000000"/>
              </w:rPr>
              <w:t>月</w:t>
            </w:r>
            <w:r>
              <w:rPr>
                <w:rFonts w:hint="eastAsia"/>
                <w:color w:val="000000"/>
              </w:rPr>
              <w:t>30</w:t>
            </w:r>
            <w:r>
              <w:rPr>
                <w:rFonts w:hint="eastAsia"/>
                <w:color w:val="000000"/>
              </w:rPr>
              <w:t>日</w:t>
            </w:r>
          </w:p>
        </w:tc>
        <w:tc>
          <w:tcPr>
            <w:tcW w:w="1225" w:type="dxa"/>
            <w:shd w:val="clear" w:color="auto" w:fill="FFFFFF"/>
            <w:tcMar>
              <w:top w:w="0" w:type="dxa"/>
              <w:left w:w="108" w:type="dxa"/>
              <w:bottom w:w="0" w:type="dxa"/>
              <w:right w:w="108" w:type="dxa"/>
            </w:tcMar>
            <w:vAlign w:val="center"/>
          </w:tcPr>
          <w:p w14:paraId="55754974" w14:textId="77777777" w:rsidR="004B0883" w:rsidRDefault="004B0883">
            <w:pPr>
              <w:adjustRightInd w:val="0"/>
              <w:snapToGrid w:val="0"/>
              <w:jc w:val="center"/>
              <w:rPr>
                <w:color w:val="000000"/>
              </w:rPr>
            </w:pPr>
            <w:r>
              <w:rPr>
                <w:rFonts w:hint="eastAsia"/>
                <w:color w:val="000000"/>
              </w:rPr>
              <w:t>长期有效</w:t>
            </w:r>
          </w:p>
        </w:tc>
        <w:tc>
          <w:tcPr>
            <w:tcW w:w="1307" w:type="dxa"/>
            <w:shd w:val="clear" w:color="auto" w:fill="FFFFFF"/>
            <w:tcMar>
              <w:top w:w="0" w:type="dxa"/>
              <w:left w:w="108" w:type="dxa"/>
              <w:bottom w:w="0" w:type="dxa"/>
              <w:right w:w="108" w:type="dxa"/>
            </w:tcMar>
            <w:vAlign w:val="center"/>
          </w:tcPr>
          <w:p w14:paraId="0F8FC5EE" w14:textId="77777777" w:rsidR="004B0883" w:rsidRDefault="004B0883">
            <w:pPr>
              <w:adjustRightInd w:val="0"/>
              <w:snapToGrid w:val="0"/>
              <w:jc w:val="center"/>
              <w:rPr>
                <w:color w:val="000000"/>
              </w:rPr>
            </w:pPr>
            <w:r>
              <w:rPr>
                <w:rFonts w:hint="eastAsia"/>
                <w:color w:val="000000"/>
              </w:rPr>
              <w:t>正在履行中</w:t>
            </w:r>
          </w:p>
        </w:tc>
      </w:tr>
      <w:tr w:rsidR="004B0883" w14:paraId="7992453B" w14:textId="77777777">
        <w:trPr>
          <w:trHeight w:val="340"/>
          <w:jc w:val="center"/>
        </w:trPr>
        <w:tc>
          <w:tcPr>
            <w:tcW w:w="1393" w:type="dxa"/>
            <w:shd w:val="clear" w:color="auto" w:fill="FFFFFF"/>
            <w:tcMar>
              <w:top w:w="0" w:type="dxa"/>
              <w:left w:w="108" w:type="dxa"/>
              <w:bottom w:w="0" w:type="dxa"/>
              <w:right w:w="108" w:type="dxa"/>
            </w:tcMar>
            <w:vAlign w:val="center"/>
          </w:tcPr>
          <w:p w14:paraId="7F98ADBA" w14:textId="77777777" w:rsidR="004B0883" w:rsidRDefault="004B0883">
            <w:pPr>
              <w:adjustRightInd w:val="0"/>
              <w:snapToGrid w:val="0"/>
              <w:jc w:val="center"/>
              <w:rPr>
                <w:color w:val="000000"/>
              </w:rPr>
            </w:pPr>
            <w:r>
              <w:rPr>
                <w:color w:val="000000"/>
              </w:rPr>
              <w:t>本次可转债发行</w:t>
            </w:r>
          </w:p>
        </w:tc>
        <w:tc>
          <w:tcPr>
            <w:tcW w:w="1946" w:type="dxa"/>
            <w:shd w:val="clear" w:color="auto" w:fill="FFFFFF"/>
            <w:tcMar>
              <w:top w:w="0" w:type="dxa"/>
              <w:left w:w="108" w:type="dxa"/>
              <w:bottom w:w="0" w:type="dxa"/>
              <w:right w:w="108" w:type="dxa"/>
            </w:tcMar>
            <w:vAlign w:val="center"/>
          </w:tcPr>
          <w:p w14:paraId="1F4DC5E3" w14:textId="77777777" w:rsidR="004B0883" w:rsidRDefault="004B0883">
            <w:pPr>
              <w:adjustRightInd w:val="0"/>
              <w:snapToGrid w:val="0"/>
              <w:jc w:val="center"/>
              <w:rPr>
                <w:color w:val="000000"/>
              </w:rPr>
            </w:pPr>
            <w:r>
              <w:rPr>
                <w:color w:val="000000"/>
              </w:rPr>
              <w:t>公司董事、高级管理人员</w:t>
            </w:r>
          </w:p>
        </w:tc>
        <w:tc>
          <w:tcPr>
            <w:tcW w:w="1671" w:type="dxa"/>
            <w:shd w:val="clear" w:color="auto" w:fill="FFFFFF"/>
            <w:tcMar>
              <w:top w:w="0" w:type="dxa"/>
              <w:left w:w="108" w:type="dxa"/>
              <w:bottom w:w="0" w:type="dxa"/>
              <w:right w:w="108" w:type="dxa"/>
            </w:tcMar>
            <w:vAlign w:val="center"/>
          </w:tcPr>
          <w:p w14:paraId="05AD5F20" w14:textId="77777777" w:rsidR="004B0883" w:rsidRDefault="004B0883">
            <w:pPr>
              <w:adjustRightInd w:val="0"/>
              <w:snapToGrid w:val="0"/>
              <w:jc w:val="center"/>
              <w:rPr>
                <w:color w:val="000000"/>
                <w:highlight w:val="yellow"/>
              </w:rPr>
            </w:pPr>
            <w:r>
              <w:rPr>
                <w:rFonts w:hint="eastAsia"/>
                <w:color w:val="000000"/>
              </w:rPr>
              <w:t>董事、高级管理人员关于填补回报措施能够得到切实履行的承诺</w:t>
            </w:r>
          </w:p>
        </w:tc>
        <w:tc>
          <w:tcPr>
            <w:tcW w:w="5527" w:type="dxa"/>
            <w:shd w:val="clear" w:color="auto" w:fill="FFFFFF"/>
            <w:tcMar>
              <w:top w:w="0" w:type="dxa"/>
              <w:left w:w="108" w:type="dxa"/>
              <w:bottom w:w="0" w:type="dxa"/>
              <w:right w:w="108" w:type="dxa"/>
            </w:tcMar>
            <w:vAlign w:val="center"/>
          </w:tcPr>
          <w:p w14:paraId="6726F0F1" w14:textId="77777777" w:rsidR="004B0883" w:rsidRDefault="004B0883">
            <w:pPr>
              <w:adjustRightInd w:val="0"/>
              <w:snapToGrid w:val="0"/>
              <w:rPr>
                <w:rFonts w:hint="eastAsia"/>
                <w:color w:val="000000"/>
              </w:rPr>
            </w:pPr>
            <w:r>
              <w:rPr>
                <w:rFonts w:hint="eastAsia"/>
                <w:color w:val="000000"/>
              </w:rPr>
              <w:t>公司全体董事、高级管理人员对本次向不特定对象发行可转换公司债券摊薄即期回报采取填补措施事宜作出以下承诺：</w:t>
            </w:r>
          </w:p>
          <w:p w14:paraId="5BF62EBB" w14:textId="77777777" w:rsidR="004B0883" w:rsidRDefault="004B0883">
            <w:pPr>
              <w:adjustRightInd w:val="0"/>
              <w:snapToGrid w:val="0"/>
              <w:rPr>
                <w:rFonts w:hint="eastAsia"/>
                <w:color w:val="000000"/>
              </w:rPr>
            </w:pPr>
            <w:r>
              <w:rPr>
                <w:rFonts w:ascii="宋体" w:hAnsi="宋体" w:hint="eastAsia"/>
                <w:color w:val="000000"/>
              </w:rPr>
              <w:t>“</w:t>
            </w:r>
            <w:r>
              <w:rPr>
                <w:rFonts w:hint="eastAsia"/>
                <w:color w:val="000000"/>
              </w:rPr>
              <w:t>1</w:t>
            </w:r>
            <w:r>
              <w:rPr>
                <w:rFonts w:hint="eastAsia"/>
                <w:color w:val="000000"/>
              </w:rPr>
              <w:t>、本人承诺不无偿或以不公平条件向其他单位或者个人输送利益，也不采用其他方式损害公司利益；</w:t>
            </w:r>
          </w:p>
          <w:p w14:paraId="0E6BAC54" w14:textId="77777777" w:rsidR="004B0883" w:rsidRDefault="004B0883">
            <w:pPr>
              <w:adjustRightInd w:val="0"/>
              <w:snapToGrid w:val="0"/>
              <w:rPr>
                <w:rFonts w:hint="eastAsia"/>
                <w:color w:val="000000"/>
              </w:rPr>
            </w:pPr>
            <w:r>
              <w:rPr>
                <w:rFonts w:hint="eastAsia"/>
                <w:color w:val="000000"/>
              </w:rPr>
              <w:t>2</w:t>
            </w:r>
            <w:r>
              <w:rPr>
                <w:rFonts w:hint="eastAsia"/>
                <w:color w:val="000000"/>
              </w:rPr>
              <w:t>、本人承诺对本人的职务消费行为进行约束；</w:t>
            </w:r>
          </w:p>
          <w:p w14:paraId="53BED7AC" w14:textId="77777777" w:rsidR="004B0883" w:rsidRDefault="004B0883">
            <w:pPr>
              <w:adjustRightInd w:val="0"/>
              <w:snapToGrid w:val="0"/>
              <w:rPr>
                <w:rFonts w:hint="eastAsia"/>
                <w:color w:val="000000"/>
              </w:rPr>
            </w:pPr>
            <w:r>
              <w:rPr>
                <w:rFonts w:hint="eastAsia"/>
                <w:color w:val="000000"/>
              </w:rPr>
              <w:t>3</w:t>
            </w:r>
            <w:r>
              <w:rPr>
                <w:rFonts w:hint="eastAsia"/>
                <w:color w:val="000000"/>
              </w:rPr>
              <w:t>、本人承诺不动用公司资产从事与本人履行职责无关的投资、消费活动；</w:t>
            </w:r>
          </w:p>
          <w:p w14:paraId="5B64D46C" w14:textId="77777777" w:rsidR="004B0883" w:rsidRDefault="004B0883">
            <w:pPr>
              <w:adjustRightInd w:val="0"/>
              <w:snapToGrid w:val="0"/>
              <w:rPr>
                <w:rFonts w:hint="eastAsia"/>
                <w:color w:val="000000"/>
              </w:rPr>
            </w:pPr>
            <w:r>
              <w:rPr>
                <w:rFonts w:hint="eastAsia"/>
                <w:color w:val="000000"/>
              </w:rPr>
              <w:t>4</w:t>
            </w:r>
            <w:r>
              <w:rPr>
                <w:rFonts w:hint="eastAsia"/>
                <w:color w:val="000000"/>
              </w:rPr>
              <w:t>、本人承诺由董事会或薪酬委员会制定的薪酬制度与公司填补被摊薄即期回报措施的执行情况相挂钩；</w:t>
            </w:r>
          </w:p>
          <w:p w14:paraId="46362580" w14:textId="77777777" w:rsidR="004B0883" w:rsidRDefault="004B0883">
            <w:pPr>
              <w:adjustRightInd w:val="0"/>
              <w:snapToGrid w:val="0"/>
              <w:rPr>
                <w:rFonts w:hint="eastAsia"/>
                <w:color w:val="000000"/>
              </w:rPr>
            </w:pPr>
            <w:r>
              <w:rPr>
                <w:rFonts w:hint="eastAsia"/>
                <w:color w:val="000000"/>
              </w:rPr>
              <w:t>5</w:t>
            </w:r>
            <w:r>
              <w:rPr>
                <w:rFonts w:hint="eastAsia"/>
                <w:color w:val="000000"/>
              </w:rPr>
              <w:t>、本人承诺如公司拟实施股权激励计划，本人支持拟公布的股权激励的行权条件与公司填补被摊薄即期回报措施的执行情况相挂钩；</w:t>
            </w:r>
          </w:p>
          <w:p w14:paraId="2649796A" w14:textId="77777777" w:rsidR="004B0883" w:rsidRDefault="004B0883">
            <w:pPr>
              <w:adjustRightInd w:val="0"/>
              <w:snapToGrid w:val="0"/>
              <w:rPr>
                <w:rFonts w:hint="eastAsia"/>
                <w:color w:val="000000"/>
              </w:rPr>
            </w:pPr>
            <w:r>
              <w:rPr>
                <w:rFonts w:hint="eastAsia"/>
                <w:color w:val="000000"/>
              </w:rPr>
              <w:t>6</w:t>
            </w:r>
            <w:r>
              <w:rPr>
                <w:rFonts w:hint="eastAsia"/>
                <w:color w:val="000000"/>
              </w:rPr>
              <w:t>、自本承诺出具日后至公司本次发行可转换公司债券完成前，若中国证券监督管理委员会、深圳证券交易所等监管部门作出关于上市公司填补被摊薄即期回报措施及其承诺的其他新的监管规定，且本承诺不能满足国家及证券监管部门的该等规定时，本人承诺届时将按照监管部门的最新规定出具补充承诺；</w:t>
            </w:r>
          </w:p>
          <w:p w14:paraId="6BC3B025" w14:textId="77777777" w:rsidR="004B0883" w:rsidRDefault="004B0883">
            <w:pPr>
              <w:adjustRightInd w:val="0"/>
              <w:snapToGrid w:val="0"/>
              <w:rPr>
                <w:color w:val="000000"/>
                <w:highlight w:val="yellow"/>
              </w:rPr>
            </w:pPr>
            <w:r>
              <w:rPr>
                <w:rFonts w:hint="eastAsia"/>
                <w:color w:val="000000"/>
              </w:rPr>
              <w:t>7</w:t>
            </w:r>
            <w:r>
              <w:rPr>
                <w:rFonts w:hint="eastAsia"/>
                <w:color w:val="000000"/>
              </w:rPr>
              <w:t>、本人承诺切实履行公司制定的有关填补被摊薄即期回报措施以及本承诺，若违反本承诺或拒不履行本承诺而给公司或者投资者造成损失的，本人愿意依法承担相应的补偿责任。</w:t>
            </w:r>
            <w:r>
              <w:rPr>
                <w:rFonts w:ascii="宋体" w:hAnsi="宋体" w:hint="eastAsia"/>
                <w:color w:val="000000"/>
              </w:rPr>
              <w:t>”</w:t>
            </w:r>
          </w:p>
        </w:tc>
        <w:tc>
          <w:tcPr>
            <w:tcW w:w="1105" w:type="dxa"/>
            <w:shd w:val="clear" w:color="auto" w:fill="FFFFFF"/>
            <w:tcMar>
              <w:top w:w="0" w:type="dxa"/>
              <w:left w:w="108" w:type="dxa"/>
              <w:bottom w:w="0" w:type="dxa"/>
              <w:right w:w="108" w:type="dxa"/>
            </w:tcMar>
            <w:vAlign w:val="center"/>
          </w:tcPr>
          <w:p w14:paraId="4D497713" w14:textId="77777777" w:rsidR="004B0883" w:rsidRDefault="004B0883">
            <w:pPr>
              <w:adjustRightInd w:val="0"/>
              <w:snapToGrid w:val="0"/>
              <w:jc w:val="center"/>
              <w:rPr>
                <w:color w:val="000000"/>
              </w:rPr>
            </w:pPr>
            <w:r>
              <w:rPr>
                <w:color w:val="000000"/>
              </w:rPr>
              <w:t>2023</w:t>
            </w:r>
            <w:r>
              <w:rPr>
                <w:color w:val="000000"/>
              </w:rPr>
              <w:t>年</w:t>
            </w:r>
            <w:r>
              <w:rPr>
                <w:color w:val="000000"/>
              </w:rPr>
              <w:br/>
            </w:r>
            <w:r>
              <w:rPr>
                <w:rFonts w:hint="eastAsia"/>
                <w:color w:val="000000"/>
              </w:rPr>
              <w:t>4</w:t>
            </w:r>
            <w:r>
              <w:rPr>
                <w:color w:val="000000"/>
              </w:rPr>
              <w:t>月</w:t>
            </w:r>
            <w:r>
              <w:rPr>
                <w:rFonts w:hint="eastAsia"/>
                <w:color w:val="000000"/>
              </w:rPr>
              <w:t>19</w:t>
            </w:r>
            <w:r>
              <w:rPr>
                <w:color w:val="000000"/>
              </w:rPr>
              <w:t>日</w:t>
            </w:r>
          </w:p>
        </w:tc>
        <w:tc>
          <w:tcPr>
            <w:tcW w:w="1225" w:type="dxa"/>
            <w:shd w:val="clear" w:color="auto" w:fill="FFFFFF"/>
            <w:tcMar>
              <w:top w:w="0" w:type="dxa"/>
              <w:left w:w="108" w:type="dxa"/>
              <w:bottom w:w="0" w:type="dxa"/>
              <w:right w:w="108" w:type="dxa"/>
            </w:tcMar>
            <w:vAlign w:val="center"/>
          </w:tcPr>
          <w:p w14:paraId="1669E2A8" w14:textId="77777777" w:rsidR="004B0883" w:rsidRDefault="004B0883">
            <w:pPr>
              <w:adjustRightInd w:val="0"/>
              <w:snapToGrid w:val="0"/>
              <w:jc w:val="center"/>
              <w:rPr>
                <w:color w:val="000000"/>
              </w:rPr>
            </w:pPr>
            <w:r>
              <w:rPr>
                <w:color w:val="000000"/>
              </w:rPr>
              <w:t>长期有效</w:t>
            </w:r>
          </w:p>
        </w:tc>
        <w:tc>
          <w:tcPr>
            <w:tcW w:w="1307" w:type="dxa"/>
            <w:shd w:val="clear" w:color="auto" w:fill="FFFFFF"/>
            <w:tcMar>
              <w:top w:w="0" w:type="dxa"/>
              <w:left w:w="108" w:type="dxa"/>
              <w:bottom w:w="0" w:type="dxa"/>
              <w:right w:w="108" w:type="dxa"/>
            </w:tcMar>
            <w:vAlign w:val="center"/>
          </w:tcPr>
          <w:p w14:paraId="7728F6D5" w14:textId="77777777" w:rsidR="004B0883" w:rsidRDefault="004B0883">
            <w:pPr>
              <w:adjustRightInd w:val="0"/>
              <w:snapToGrid w:val="0"/>
              <w:jc w:val="center"/>
              <w:rPr>
                <w:color w:val="000000"/>
              </w:rPr>
            </w:pPr>
            <w:r>
              <w:rPr>
                <w:color w:val="000000"/>
              </w:rPr>
              <w:t>正在履行</w:t>
            </w:r>
            <w:r>
              <w:rPr>
                <w:rFonts w:hint="eastAsia"/>
                <w:color w:val="000000"/>
              </w:rPr>
              <w:t>中</w:t>
            </w:r>
          </w:p>
        </w:tc>
      </w:tr>
      <w:tr w:rsidR="004B0883" w14:paraId="295233A3" w14:textId="77777777">
        <w:trPr>
          <w:trHeight w:val="340"/>
          <w:jc w:val="center"/>
        </w:trPr>
        <w:tc>
          <w:tcPr>
            <w:tcW w:w="1393" w:type="dxa"/>
            <w:shd w:val="clear" w:color="auto" w:fill="auto"/>
            <w:tcMar>
              <w:top w:w="0" w:type="dxa"/>
              <w:left w:w="108" w:type="dxa"/>
              <w:bottom w:w="0" w:type="dxa"/>
              <w:right w:w="108" w:type="dxa"/>
            </w:tcMar>
            <w:vAlign w:val="center"/>
          </w:tcPr>
          <w:p w14:paraId="7B76F260" w14:textId="77777777" w:rsidR="004B0883" w:rsidRDefault="004B0883">
            <w:pPr>
              <w:adjustRightInd w:val="0"/>
              <w:snapToGrid w:val="0"/>
              <w:jc w:val="center"/>
              <w:rPr>
                <w:color w:val="000000"/>
              </w:rPr>
            </w:pPr>
            <w:r>
              <w:rPr>
                <w:color w:val="000000"/>
              </w:rPr>
              <w:t>本次可转债发行</w:t>
            </w:r>
          </w:p>
        </w:tc>
        <w:tc>
          <w:tcPr>
            <w:tcW w:w="1946" w:type="dxa"/>
            <w:shd w:val="clear" w:color="auto" w:fill="FFFFFF"/>
            <w:tcMar>
              <w:top w:w="0" w:type="dxa"/>
              <w:left w:w="108" w:type="dxa"/>
              <w:bottom w:w="0" w:type="dxa"/>
              <w:right w:w="108" w:type="dxa"/>
            </w:tcMar>
            <w:vAlign w:val="center"/>
          </w:tcPr>
          <w:p w14:paraId="1D3D3627" w14:textId="77777777" w:rsidR="004B0883" w:rsidRDefault="004B0883">
            <w:pPr>
              <w:adjustRightInd w:val="0"/>
              <w:snapToGrid w:val="0"/>
              <w:jc w:val="center"/>
              <w:rPr>
                <w:color w:val="000000"/>
              </w:rPr>
            </w:pPr>
            <w:r>
              <w:rPr>
                <w:color w:val="000000"/>
              </w:rPr>
              <w:t>控股股东</w:t>
            </w:r>
            <w:r>
              <w:rPr>
                <w:rFonts w:hint="eastAsia"/>
                <w:color w:val="000000"/>
              </w:rPr>
              <w:t>、实际控制人</w:t>
            </w:r>
          </w:p>
        </w:tc>
        <w:tc>
          <w:tcPr>
            <w:tcW w:w="1671" w:type="dxa"/>
            <w:shd w:val="clear" w:color="auto" w:fill="FFFFFF"/>
            <w:tcMar>
              <w:top w:w="0" w:type="dxa"/>
              <w:left w:w="108" w:type="dxa"/>
              <w:bottom w:w="0" w:type="dxa"/>
              <w:right w:w="108" w:type="dxa"/>
            </w:tcMar>
            <w:vAlign w:val="center"/>
          </w:tcPr>
          <w:p w14:paraId="50533196" w14:textId="77777777" w:rsidR="004B0883" w:rsidRDefault="004B0883">
            <w:pPr>
              <w:adjustRightInd w:val="0"/>
              <w:snapToGrid w:val="0"/>
              <w:jc w:val="center"/>
              <w:rPr>
                <w:color w:val="000000"/>
                <w:highlight w:val="yellow"/>
              </w:rPr>
            </w:pPr>
            <w:r>
              <w:rPr>
                <w:rFonts w:hint="eastAsia"/>
                <w:color w:val="000000"/>
              </w:rPr>
              <w:t>控股股东、实际控制人关于填补回报措施能够得到切实履行的承诺</w:t>
            </w:r>
          </w:p>
        </w:tc>
        <w:tc>
          <w:tcPr>
            <w:tcW w:w="5527" w:type="dxa"/>
            <w:shd w:val="clear" w:color="auto" w:fill="FFFFFF"/>
            <w:tcMar>
              <w:top w:w="0" w:type="dxa"/>
              <w:left w:w="108" w:type="dxa"/>
              <w:bottom w:w="0" w:type="dxa"/>
              <w:right w:w="108" w:type="dxa"/>
            </w:tcMar>
            <w:vAlign w:val="center"/>
          </w:tcPr>
          <w:p w14:paraId="22A222E8" w14:textId="77777777" w:rsidR="004B0883" w:rsidRDefault="004B0883">
            <w:pPr>
              <w:adjustRightInd w:val="0"/>
              <w:snapToGrid w:val="0"/>
              <w:rPr>
                <w:rFonts w:hint="eastAsia"/>
                <w:color w:val="000000"/>
              </w:rPr>
            </w:pPr>
            <w:r>
              <w:rPr>
                <w:rFonts w:hint="eastAsia"/>
                <w:color w:val="000000"/>
              </w:rPr>
              <w:t>公司控股股东、实际控制人对向不特定对象发行可转换公司债券摊薄即期回报采取填补措施事宜作出以下承诺：</w:t>
            </w:r>
          </w:p>
          <w:p w14:paraId="4121E8D6" w14:textId="77777777" w:rsidR="004B0883" w:rsidRDefault="004B0883">
            <w:pPr>
              <w:adjustRightInd w:val="0"/>
              <w:snapToGrid w:val="0"/>
              <w:rPr>
                <w:rFonts w:hint="eastAsia"/>
                <w:color w:val="000000"/>
              </w:rPr>
            </w:pPr>
            <w:r>
              <w:rPr>
                <w:rFonts w:ascii="宋体" w:hAnsi="宋体" w:hint="eastAsia"/>
                <w:color w:val="000000"/>
              </w:rPr>
              <w:t>“</w:t>
            </w:r>
            <w:r>
              <w:rPr>
                <w:rFonts w:hint="eastAsia"/>
                <w:color w:val="000000"/>
              </w:rPr>
              <w:t>1</w:t>
            </w:r>
            <w:r>
              <w:rPr>
                <w:rFonts w:hint="eastAsia"/>
                <w:color w:val="000000"/>
              </w:rPr>
              <w:t>、本人承诺不越权干预公司的经营管理活动，不侵占公司利益；</w:t>
            </w:r>
          </w:p>
          <w:p w14:paraId="4CEE2951" w14:textId="77777777" w:rsidR="004B0883" w:rsidRDefault="004B0883">
            <w:pPr>
              <w:adjustRightInd w:val="0"/>
              <w:snapToGrid w:val="0"/>
              <w:rPr>
                <w:rFonts w:hint="eastAsia"/>
                <w:color w:val="000000"/>
              </w:rPr>
            </w:pPr>
            <w:r>
              <w:rPr>
                <w:rFonts w:hint="eastAsia"/>
                <w:color w:val="000000"/>
              </w:rPr>
              <w:t>2</w:t>
            </w:r>
            <w:r>
              <w:rPr>
                <w:rFonts w:hint="eastAsia"/>
                <w:color w:val="000000"/>
              </w:rPr>
              <w:t>、自本承诺出具日至公司本次向不特定对象发行可转换公司债券完成前，若中国证券监督管理委员会、深圳证券交易所等监管部门作出关于上市公司填补被摊薄即期回报措施的其他新的监管规定的，且本承诺不能满足国家及证券监管部门的该等规定时，本人承诺届时将按照中国证券监督管理委员会、深圳证券交易所等监管部门的最新规定出具补充承诺；</w:t>
            </w:r>
          </w:p>
          <w:p w14:paraId="67B3DE84" w14:textId="77777777" w:rsidR="004B0883" w:rsidRDefault="004B0883">
            <w:pPr>
              <w:adjustRightInd w:val="0"/>
              <w:snapToGrid w:val="0"/>
              <w:rPr>
                <w:color w:val="000000"/>
                <w:highlight w:val="yellow"/>
              </w:rPr>
            </w:pPr>
            <w:r>
              <w:rPr>
                <w:rFonts w:hint="eastAsia"/>
                <w:color w:val="000000"/>
              </w:rPr>
              <w:t>3</w:t>
            </w:r>
            <w:r>
              <w:rPr>
                <w:rFonts w:hint="eastAsia"/>
                <w:color w:val="000000"/>
              </w:rPr>
              <w:t>、本人承诺切实履行公司制定的有关填补被摊薄即期回报措施以及本承诺，若违反本承诺或拒不履行本承诺而给公司或者投资者造成损失的，本人愿意依法承担相应的补偿责任。</w:t>
            </w:r>
            <w:r>
              <w:rPr>
                <w:rFonts w:ascii="宋体" w:hAnsi="宋体" w:hint="eastAsia"/>
                <w:color w:val="000000"/>
              </w:rPr>
              <w:t>”</w:t>
            </w:r>
          </w:p>
        </w:tc>
        <w:tc>
          <w:tcPr>
            <w:tcW w:w="1105" w:type="dxa"/>
            <w:shd w:val="clear" w:color="auto" w:fill="FFFFFF"/>
            <w:tcMar>
              <w:top w:w="0" w:type="dxa"/>
              <w:left w:w="108" w:type="dxa"/>
              <w:bottom w:w="0" w:type="dxa"/>
              <w:right w:w="108" w:type="dxa"/>
            </w:tcMar>
            <w:vAlign w:val="center"/>
          </w:tcPr>
          <w:p w14:paraId="7A6C62D7" w14:textId="77777777" w:rsidR="004B0883" w:rsidRDefault="004B0883">
            <w:pPr>
              <w:adjustRightInd w:val="0"/>
              <w:snapToGrid w:val="0"/>
              <w:jc w:val="center"/>
              <w:rPr>
                <w:color w:val="000000"/>
              </w:rPr>
            </w:pPr>
            <w:r>
              <w:rPr>
                <w:color w:val="000000"/>
              </w:rPr>
              <w:t>2023</w:t>
            </w:r>
            <w:r>
              <w:rPr>
                <w:color w:val="000000"/>
              </w:rPr>
              <w:t>年</w:t>
            </w:r>
            <w:r>
              <w:rPr>
                <w:color w:val="000000"/>
              </w:rPr>
              <w:br/>
              <w:t>4</w:t>
            </w:r>
            <w:r>
              <w:rPr>
                <w:color w:val="000000"/>
              </w:rPr>
              <w:t>月</w:t>
            </w:r>
            <w:r>
              <w:rPr>
                <w:rFonts w:hint="eastAsia"/>
                <w:color w:val="000000"/>
              </w:rPr>
              <w:t>1</w:t>
            </w:r>
            <w:r>
              <w:rPr>
                <w:color w:val="000000"/>
              </w:rPr>
              <w:t>9</w:t>
            </w:r>
            <w:r>
              <w:rPr>
                <w:color w:val="000000"/>
              </w:rPr>
              <w:t>日</w:t>
            </w:r>
          </w:p>
        </w:tc>
        <w:tc>
          <w:tcPr>
            <w:tcW w:w="1225" w:type="dxa"/>
            <w:shd w:val="clear" w:color="auto" w:fill="FFFFFF"/>
            <w:tcMar>
              <w:top w:w="0" w:type="dxa"/>
              <w:left w:w="108" w:type="dxa"/>
              <w:bottom w:w="0" w:type="dxa"/>
              <w:right w:w="108" w:type="dxa"/>
            </w:tcMar>
            <w:vAlign w:val="center"/>
          </w:tcPr>
          <w:p w14:paraId="2B18B9BC" w14:textId="77777777" w:rsidR="004B0883" w:rsidRDefault="004B0883">
            <w:pPr>
              <w:adjustRightInd w:val="0"/>
              <w:snapToGrid w:val="0"/>
              <w:jc w:val="center"/>
              <w:rPr>
                <w:color w:val="000000"/>
              </w:rPr>
            </w:pPr>
            <w:r>
              <w:rPr>
                <w:color w:val="000000"/>
              </w:rPr>
              <w:t>长期有效</w:t>
            </w:r>
          </w:p>
        </w:tc>
        <w:tc>
          <w:tcPr>
            <w:tcW w:w="1307" w:type="dxa"/>
            <w:shd w:val="clear" w:color="auto" w:fill="FFFFFF"/>
            <w:tcMar>
              <w:top w:w="0" w:type="dxa"/>
              <w:left w:w="108" w:type="dxa"/>
              <w:bottom w:w="0" w:type="dxa"/>
              <w:right w:w="108" w:type="dxa"/>
            </w:tcMar>
            <w:vAlign w:val="center"/>
          </w:tcPr>
          <w:p w14:paraId="6E9A1CDD" w14:textId="77777777" w:rsidR="004B0883" w:rsidRDefault="004B0883">
            <w:pPr>
              <w:adjustRightInd w:val="0"/>
              <w:snapToGrid w:val="0"/>
              <w:jc w:val="center"/>
              <w:rPr>
                <w:color w:val="000000"/>
              </w:rPr>
            </w:pPr>
            <w:r>
              <w:rPr>
                <w:color w:val="000000"/>
              </w:rPr>
              <w:t>正在履行</w:t>
            </w:r>
            <w:r>
              <w:rPr>
                <w:rFonts w:hint="eastAsia"/>
                <w:color w:val="000000"/>
              </w:rPr>
              <w:t>中</w:t>
            </w:r>
          </w:p>
        </w:tc>
      </w:tr>
      <w:tr w:rsidR="004B0883" w14:paraId="1FF65C02" w14:textId="77777777">
        <w:trPr>
          <w:trHeight w:val="340"/>
          <w:jc w:val="center"/>
        </w:trPr>
        <w:tc>
          <w:tcPr>
            <w:tcW w:w="1393" w:type="dxa"/>
            <w:shd w:val="clear" w:color="auto" w:fill="auto"/>
            <w:tcMar>
              <w:top w:w="0" w:type="dxa"/>
              <w:left w:w="108" w:type="dxa"/>
              <w:bottom w:w="0" w:type="dxa"/>
              <w:right w:w="108" w:type="dxa"/>
            </w:tcMar>
            <w:vAlign w:val="center"/>
          </w:tcPr>
          <w:p w14:paraId="5193B6AD" w14:textId="77777777" w:rsidR="004B0883" w:rsidRDefault="004B0883">
            <w:pPr>
              <w:adjustRightInd w:val="0"/>
              <w:snapToGrid w:val="0"/>
              <w:jc w:val="center"/>
              <w:rPr>
                <w:color w:val="000000"/>
              </w:rPr>
            </w:pPr>
            <w:r>
              <w:rPr>
                <w:color w:val="000000"/>
              </w:rPr>
              <w:t>本次可转债发行</w:t>
            </w:r>
          </w:p>
        </w:tc>
        <w:tc>
          <w:tcPr>
            <w:tcW w:w="1946" w:type="dxa"/>
            <w:shd w:val="clear" w:color="auto" w:fill="FFFFFF"/>
            <w:tcMar>
              <w:top w:w="0" w:type="dxa"/>
              <w:left w:w="108" w:type="dxa"/>
              <w:bottom w:w="0" w:type="dxa"/>
              <w:right w:w="108" w:type="dxa"/>
            </w:tcMar>
            <w:vAlign w:val="center"/>
          </w:tcPr>
          <w:p w14:paraId="2AD3E91C" w14:textId="77777777" w:rsidR="004B0883" w:rsidRDefault="004B0883">
            <w:pPr>
              <w:adjustRightInd w:val="0"/>
              <w:snapToGrid w:val="0"/>
              <w:jc w:val="center"/>
              <w:rPr>
                <w:color w:val="000000"/>
              </w:rPr>
            </w:pPr>
            <w:r>
              <w:rPr>
                <w:color w:val="000000"/>
              </w:rPr>
              <w:t>控股股东</w:t>
            </w:r>
            <w:r>
              <w:rPr>
                <w:rFonts w:hint="eastAsia"/>
                <w:color w:val="000000"/>
              </w:rPr>
              <w:t>、实际控制人</w:t>
            </w:r>
          </w:p>
        </w:tc>
        <w:tc>
          <w:tcPr>
            <w:tcW w:w="1671" w:type="dxa"/>
            <w:shd w:val="clear" w:color="auto" w:fill="FFFFFF"/>
            <w:tcMar>
              <w:top w:w="0" w:type="dxa"/>
              <w:left w:w="108" w:type="dxa"/>
              <w:bottom w:w="0" w:type="dxa"/>
              <w:right w:w="108" w:type="dxa"/>
            </w:tcMar>
            <w:vAlign w:val="center"/>
          </w:tcPr>
          <w:p w14:paraId="1EA29DFB" w14:textId="77777777" w:rsidR="004B0883" w:rsidRDefault="004B0883">
            <w:pPr>
              <w:adjustRightInd w:val="0"/>
              <w:snapToGrid w:val="0"/>
              <w:jc w:val="center"/>
              <w:rPr>
                <w:rFonts w:hint="eastAsia"/>
                <w:color w:val="000000"/>
              </w:rPr>
            </w:pPr>
            <w:r>
              <w:rPr>
                <w:rFonts w:hint="eastAsia"/>
                <w:color w:val="000000"/>
              </w:rPr>
              <w:t>关于规范和减少关联交易的承诺</w:t>
            </w:r>
          </w:p>
        </w:tc>
        <w:tc>
          <w:tcPr>
            <w:tcW w:w="5527" w:type="dxa"/>
            <w:shd w:val="clear" w:color="auto" w:fill="FFFFFF"/>
            <w:tcMar>
              <w:top w:w="0" w:type="dxa"/>
              <w:left w:w="108" w:type="dxa"/>
              <w:bottom w:w="0" w:type="dxa"/>
              <w:right w:w="108" w:type="dxa"/>
            </w:tcMar>
            <w:vAlign w:val="center"/>
          </w:tcPr>
          <w:p w14:paraId="5F93729C" w14:textId="77777777" w:rsidR="004B0883" w:rsidRDefault="004B0883">
            <w:pPr>
              <w:adjustRightInd w:val="0"/>
              <w:snapToGrid w:val="0"/>
              <w:rPr>
                <w:rFonts w:hint="eastAsia"/>
                <w:color w:val="000000"/>
              </w:rPr>
            </w:pPr>
            <w:r>
              <w:rPr>
                <w:rFonts w:hint="eastAsia"/>
                <w:color w:val="000000"/>
              </w:rPr>
              <w:t>为避免关联方利用关联交易损害其他股东的利益，发行人控股股东、实际控制人作出以下承诺：</w:t>
            </w:r>
          </w:p>
          <w:p w14:paraId="36A0AF00" w14:textId="77777777" w:rsidR="004B0883" w:rsidRDefault="004B0883">
            <w:pPr>
              <w:adjustRightInd w:val="0"/>
              <w:snapToGrid w:val="0"/>
              <w:rPr>
                <w:rFonts w:hint="eastAsia"/>
                <w:color w:val="000000"/>
              </w:rPr>
            </w:pPr>
            <w:r>
              <w:rPr>
                <w:rFonts w:hint="eastAsia"/>
                <w:color w:val="000000"/>
              </w:rPr>
              <w:t>1</w:t>
            </w:r>
            <w:r>
              <w:rPr>
                <w:rFonts w:hint="eastAsia"/>
                <w:color w:val="000000"/>
              </w:rPr>
              <w:t>、在本人作为发行人的控股股东、实际控制人期间，将尽量减少与发行人及其下属子公司之间的关联交易；</w:t>
            </w:r>
          </w:p>
          <w:p w14:paraId="4D667528" w14:textId="77777777" w:rsidR="004B0883" w:rsidRDefault="004B0883">
            <w:pPr>
              <w:adjustRightInd w:val="0"/>
              <w:snapToGrid w:val="0"/>
              <w:rPr>
                <w:rFonts w:hint="eastAsia"/>
                <w:color w:val="000000"/>
              </w:rPr>
            </w:pPr>
            <w:r>
              <w:rPr>
                <w:rFonts w:hint="eastAsia"/>
                <w:color w:val="000000"/>
              </w:rPr>
              <w:t>2</w:t>
            </w:r>
            <w:r>
              <w:rPr>
                <w:rFonts w:hint="eastAsia"/>
                <w:color w:val="000000"/>
              </w:rPr>
              <w:t>、对于不可避免或因合理事由与发行人之间发生的关联交易，本人承诺将遵循公平合理、价格公允的原则，按照相关法律法规、规范性文件以及公司章程等的有关规定履行相关程序和信息披露义务，并办理有关报批事宜；</w:t>
            </w:r>
          </w:p>
          <w:p w14:paraId="6EA9576B" w14:textId="77777777" w:rsidR="004B0883" w:rsidRDefault="004B0883">
            <w:pPr>
              <w:adjustRightInd w:val="0"/>
              <w:snapToGrid w:val="0"/>
              <w:rPr>
                <w:rFonts w:hint="eastAsia"/>
                <w:color w:val="000000"/>
              </w:rPr>
            </w:pPr>
            <w:r>
              <w:rPr>
                <w:rFonts w:hint="eastAsia"/>
                <w:color w:val="000000"/>
              </w:rPr>
              <w:t>3</w:t>
            </w:r>
            <w:r>
              <w:rPr>
                <w:rFonts w:hint="eastAsia"/>
                <w:color w:val="000000"/>
              </w:rPr>
              <w:t>、本人保证不通过关联交易损害发行人及其他无关联关系股东的合法权益；</w:t>
            </w:r>
          </w:p>
          <w:p w14:paraId="718BA68B" w14:textId="77777777" w:rsidR="004B0883" w:rsidRDefault="004B0883">
            <w:pPr>
              <w:adjustRightInd w:val="0"/>
              <w:snapToGrid w:val="0"/>
              <w:rPr>
                <w:rFonts w:hint="eastAsia"/>
                <w:color w:val="000000"/>
              </w:rPr>
            </w:pPr>
            <w:r>
              <w:rPr>
                <w:rFonts w:hint="eastAsia"/>
                <w:color w:val="000000"/>
              </w:rPr>
              <w:t>4</w:t>
            </w:r>
            <w:r>
              <w:rPr>
                <w:rFonts w:hint="eastAsia"/>
                <w:color w:val="000000"/>
              </w:rPr>
              <w:t>、截至本承诺函出具之日，本人不存在占用发行人资金或资产的情形，并承诺以后不以任何形式占用发行人资金或资产；</w:t>
            </w:r>
          </w:p>
          <w:p w14:paraId="15811A4F" w14:textId="77777777" w:rsidR="004B0883" w:rsidRDefault="004B0883">
            <w:pPr>
              <w:adjustRightInd w:val="0"/>
              <w:snapToGrid w:val="0"/>
              <w:rPr>
                <w:rFonts w:hint="eastAsia"/>
                <w:color w:val="000000"/>
              </w:rPr>
            </w:pPr>
            <w:r>
              <w:rPr>
                <w:rFonts w:hint="eastAsia"/>
                <w:color w:val="000000"/>
              </w:rPr>
              <w:t>5</w:t>
            </w:r>
            <w:r>
              <w:rPr>
                <w:rFonts w:hint="eastAsia"/>
                <w:color w:val="000000"/>
              </w:rPr>
              <w:t>、本人将督促本人的配偶、父母、子女及其配偶、兄弟姐妹及其配偶，本人配偶的父母、兄弟姐妹，子女配偶的父母，以及本人投资或控制的除公司以外的其他企业、实体等同受本承诺的约束；</w:t>
            </w:r>
          </w:p>
          <w:p w14:paraId="14DB0D43" w14:textId="77777777" w:rsidR="004B0883" w:rsidRDefault="004B0883">
            <w:pPr>
              <w:adjustRightInd w:val="0"/>
              <w:snapToGrid w:val="0"/>
              <w:rPr>
                <w:rFonts w:hint="eastAsia"/>
                <w:color w:val="000000"/>
              </w:rPr>
            </w:pPr>
            <w:r>
              <w:rPr>
                <w:rFonts w:hint="eastAsia"/>
                <w:color w:val="000000"/>
              </w:rPr>
              <w:t>6</w:t>
            </w:r>
            <w:r>
              <w:rPr>
                <w:rFonts w:hint="eastAsia"/>
                <w:color w:val="000000"/>
              </w:rPr>
              <w:t>、本人承诺本承诺函旨在保证发行人全体股东之利益作出，且本承诺函的每一项承诺为独立可操作的承诺，任何一项承诺无效或被终止将不影响其他承诺的有效性；</w:t>
            </w:r>
          </w:p>
          <w:p w14:paraId="32987E89" w14:textId="77777777" w:rsidR="004B0883" w:rsidRDefault="004B0883">
            <w:pPr>
              <w:adjustRightInd w:val="0"/>
              <w:snapToGrid w:val="0"/>
              <w:rPr>
                <w:rFonts w:hint="eastAsia"/>
                <w:color w:val="000000"/>
              </w:rPr>
            </w:pPr>
            <w:r>
              <w:rPr>
                <w:rFonts w:hint="eastAsia"/>
                <w:color w:val="000000"/>
              </w:rPr>
              <w:t>7</w:t>
            </w:r>
            <w:r>
              <w:rPr>
                <w:rFonts w:hint="eastAsia"/>
                <w:color w:val="000000"/>
              </w:rPr>
              <w:t>、该承诺自签字之日起生效，该承诺函所载各项承诺事项在本人作为公司控股股东、实际控制人期间，以及自本人不再为公司控股股东、实际控制人之日起十二个月内持续有效，且不可变更或撤销。</w:t>
            </w:r>
          </w:p>
          <w:p w14:paraId="1F3B1448" w14:textId="77777777" w:rsidR="004B0883" w:rsidRDefault="004B0883">
            <w:pPr>
              <w:adjustRightInd w:val="0"/>
              <w:snapToGrid w:val="0"/>
              <w:rPr>
                <w:rFonts w:hint="eastAsia"/>
                <w:color w:val="000000"/>
              </w:rPr>
            </w:pPr>
            <w:r>
              <w:rPr>
                <w:rFonts w:hint="eastAsia"/>
                <w:color w:val="000000"/>
              </w:rPr>
              <w:t>如违反上述任何一项承诺，本人愿意赔偿由此给发行人及其他股东造成的所有直接和间接经济损失，及相关方因此而支出的其他合理费用。</w:t>
            </w:r>
          </w:p>
        </w:tc>
        <w:tc>
          <w:tcPr>
            <w:tcW w:w="1105" w:type="dxa"/>
            <w:shd w:val="clear" w:color="auto" w:fill="FFFFFF"/>
            <w:tcMar>
              <w:top w:w="0" w:type="dxa"/>
              <w:left w:w="108" w:type="dxa"/>
              <w:bottom w:w="0" w:type="dxa"/>
              <w:right w:w="108" w:type="dxa"/>
            </w:tcMar>
            <w:vAlign w:val="center"/>
          </w:tcPr>
          <w:p w14:paraId="3885BEB6" w14:textId="77777777" w:rsidR="004B0883" w:rsidRDefault="004B0883">
            <w:pPr>
              <w:adjustRightInd w:val="0"/>
              <w:snapToGrid w:val="0"/>
              <w:jc w:val="center"/>
              <w:rPr>
                <w:color w:val="000000"/>
              </w:rPr>
            </w:pPr>
            <w:r>
              <w:rPr>
                <w:rFonts w:hint="eastAsia"/>
                <w:color w:val="000000"/>
              </w:rPr>
              <w:t>2023</w:t>
            </w:r>
            <w:r>
              <w:rPr>
                <w:rFonts w:hint="eastAsia"/>
                <w:color w:val="000000"/>
              </w:rPr>
              <w:t>年</w:t>
            </w:r>
            <w:r>
              <w:rPr>
                <w:color w:val="000000"/>
              </w:rPr>
              <w:br/>
            </w:r>
            <w:r>
              <w:rPr>
                <w:rFonts w:hint="eastAsia"/>
                <w:color w:val="000000"/>
              </w:rPr>
              <w:t>6</w:t>
            </w:r>
            <w:r>
              <w:rPr>
                <w:rFonts w:hint="eastAsia"/>
                <w:color w:val="000000"/>
              </w:rPr>
              <w:t>月</w:t>
            </w:r>
            <w:r>
              <w:rPr>
                <w:rFonts w:hint="eastAsia"/>
                <w:color w:val="000000"/>
              </w:rPr>
              <w:t>30</w:t>
            </w:r>
            <w:r>
              <w:rPr>
                <w:rFonts w:hint="eastAsia"/>
                <w:color w:val="000000"/>
              </w:rPr>
              <w:t>日</w:t>
            </w:r>
          </w:p>
        </w:tc>
        <w:tc>
          <w:tcPr>
            <w:tcW w:w="1225" w:type="dxa"/>
            <w:shd w:val="clear" w:color="auto" w:fill="FFFFFF"/>
            <w:tcMar>
              <w:top w:w="0" w:type="dxa"/>
              <w:left w:w="108" w:type="dxa"/>
              <w:bottom w:w="0" w:type="dxa"/>
              <w:right w:w="108" w:type="dxa"/>
            </w:tcMar>
            <w:vAlign w:val="center"/>
          </w:tcPr>
          <w:p w14:paraId="7DF21A90" w14:textId="77777777" w:rsidR="004B0883" w:rsidRDefault="004B0883">
            <w:pPr>
              <w:adjustRightInd w:val="0"/>
              <w:snapToGrid w:val="0"/>
              <w:jc w:val="center"/>
              <w:rPr>
                <w:color w:val="000000"/>
              </w:rPr>
            </w:pPr>
            <w:r>
              <w:rPr>
                <w:rFonts w:hint="eastAsia"/>
                <w:color w:val="000000"/>
              </w:rPr>
              <w:t>长期有效</w:t>
            </w:r>
          </w:p>
        </w:tc>
        <w:tc>
          <w:tcPr>
            <w:tcW w:w="1307" w:type="dxa"/>
            <w:shd w:val="clear" w:color="auto" w:fill="FFFFFF"/>
            <w:tcMar>
              <w:top w:w="0" w:type="dxa"/>
              <w:left w:w="108" w:type="dxa"/>
              <w:bottom w:w="0" w:type="dxa"/>
              <w:right w:w="108" w:type="dxa"/>
            </w:tcMar>
            <w:vAlign w:val="center"/>
          </w:tcPr>
          <w:p w14:paraId="4BF20D55" w14:textId="77777777" w:rsidR="004B0883" w:rsidRDefault="004B0883">
            <w:pPr>
              <w:adjustRightInd w:val="0"/>
              <w:snapToGrid w:val="0"/>
              <w:jc w:val="center"/>
              <w:rPr>
                <w:color w:val="000000"/>
              </w:rPr>
            </w:pPr>
            <w:r>
              <w:rPr>
                <w:rFonts w:hint="eastAsia"/>
                <w:color w:val="000000"/>
              </w:rPr>
              <w:t>正在履行中</w:t>
            </w:r>
          </w:p>
        </w:tc>
      </w:tr>
      <w:tr w:rsidR="004B0883" w14:paraId="2047718C" w14:textId="77777777">
        <w:trPr>
          <w:trHeight w:val="340"/>
          <w:jc w:val="center"/>
        </w:trPr>
        <w:tc>
          <w:tcPr>
            <w:tcW w:w="1393" w:type="dxa"/>
            <w:shd w:val="clear" w:color="auto" w:fill="auto"/>
            <w:tcMar>
              <w:top w:w="0" w:type="dxa"/>
              <w:left w:w="108" w:type="dxa"/>
              <w:bottom w:w="0" w:type="dxa"/>
              <w:right w:w="108" w:type="dxa"/>
            </w:tcMar>
            <w:vAlign w:val="center"/>
          </w:tcPr>
          <w:p w14:paraId="4934824E" w14:textId="77777777" w:rsidR="004B0883" w:rsidRDefault="004B0883">
            <w:pPr>
              <w:adjustRightInd w:val="0"/>
              <w:snapToGrid w:val="0"/>
              <w:jc w:val="center"/>
              <w:rPr>
                <w:color w:val="000000"/>
              </w:rPr>
            </w:pPr>
            <w:r>
              <w:rPr>
                <w:color w:val="000000"/>
              </w:rPr>
              <w:t>本次可转债发行</w:t>
            </w:r>
          </w:p>
        </w:tc>
        <w:tc>
          <w:tcPr>
            <w:tcW w:w="1946" w:type="dxa"/>
            <w:shd w:val="clear" w:color="auto" w:fill="FFFFFF"/>
            <w:tcMar>
              <w:top w:w="0" w:type="dxa"/>
              <w:left w:w="108" w:type="dxa"/>
              <w:bottom w:w="0" w:type="dxa"/>
              <w:right w:w="108" w:type="dxa"/>
            </w:tcMar>
            <w:vAlign w:val="center"/>
          </w:tcPr>
          <w:p w14:paraId="7E77D268" w14:textId="77777777" w:rsidR="004B0883" w:rsidRDefault="004B0883">
            <w:pPr>
              <w:adjustRightInd w:val="0"/>
              <w:snapToGrid w:val="0"/>
              <w:jc w:val="center"/>
              <w:rPr>
                <w:color w:val="000000"/>
              </w:rPr>
            </w:pPr>
            <w:r>
              <w:rPr>
                <w:color w:val="000000"/>
              </w:rPr>
              <w:t>公司董事、高级管理人员</w:t>
            </w:r>
          </w:p>
        </w:tc>
        <w:tc>
          <w:tcPr>
            <w:tcW w:w="1671" w:type="dxa"/>
            <w:shd w:val="clear" w:color="auto" w:fill="FFFFFF"/>
            <w:tcMar>
              <w:top w:w="0" w:type="dxa"/>
              <w:left w:w="108" w:type="dxa"/>
              <w:bottom w:w="0" w:type="dxa"/>
              <w:right w:w="108" w:type="dxa"/>
            </w:tcMar>
            <w:vAlign w:val="center"/>
          </w:tcPr>
          <w:p w14:paraId="55CFEB72" w14:textId="77777777" w:rsidR="004B0883" w:rsidRDefault="004B0883">
            <w:pPr>
              <w:adjustRightInd w:val="0"/>
              <w:snapToGrid w:val="0"/>
              <w:jc w:val="center"/>
              <w:rPr>
                <w:rFonts w:hint="eastAsia"/>
                <w:color w:val="000000"/>
              </w:rPr>
            </w:pPr>
            <w:r>
              <w:rPr>
                <w:rFonts w:hint="eastAsia"/>
                <w:color w:val="000000"/>
              </w:rPr>
              <w:t>关于规范和减少关联交易的承诺</w:t>
            </w:r>
          </w:p>
        </w:tc>
        <w:tc>
          <w:tcPr>
            <w:tcW w:w="5527" w:type="dxa"/>
            <w:shd w:val="clear" w:color="auto" w:fill="FFFFFF"/>
            <w:tcMar>
              <w:top w:w="0" w:type="dxa"/>
              <w:left w:w="108" w:type="dxa"/>
              <w:bottom w:w="0" w:type="dxa"/>
              <w:right w:w="108" w:type="dxa"/>
            </w:tcMar>
            <w:vAlign w:val="center"/>
          </w:tcPr>
          <w:p w14:paraId="2488646F" w14:textId="77777777" w:rsidR="004B0883" w:rsidRDefault="004B0883">
            <w:pPr>
              <w:adjustRightInd w:val="0"/>
              <w:snapToGrid w:val="0"/>
              <w:rPr>
                <w:rFonts w:hint="eastAsia"/>
                <w:color w:val="000000"/>
              </w:rPr>
            </w:pPr>
            <w:r>
              <w:rPr>
                <w:rFonts w:hint="eastAsia"/>
                <w:color w:val="000000"/>
              </w:rPr>
              <w:t>为避免关联方利用关联交易损害其他股东的利益，发行人董事、监事和高级管理人员作出以下承诺：</w:t>
            </w:r>
          </w:p>
          <w:p w14:paraId="1F81BF02" w14:textId="77777777" w:rsidR="004B0883" w:rsidRDefault="004B0883">
            <w:pPr>
              <w:adjustRightInd w:val="0"/>
              <w:snapToGrid w:val="0"/>
              <w:rPr>
                <w:rFonts w:hint="eastAsia"/>
                <w:color w:val="000000"/>
              </w:rPr>
            </w:pPr>
            <w:r>
              <w:rPr>
                <w:rFonts w:hint="eastAsia"/>
                <w:color w:val="000000"/>
              </w:rPr>
              <w:t>1</w:t>
            </w:r>
            <w:r>
              <w:rPr>
                <w:rFonts w:hint="eastAsia"/>
                <w:color w:val="000000"/>
              </w:rPr>
              <w:t>、在本人作为发行人的董事、监事和高级管理人员期间，将尽量减少与发行人及其下属子公司之间的关联交易；</w:t>
            </w:r>
          </w:p>
          <w:p w14:paraId="4F896A8B" w14:textId="77777777" w:rsidR="004B0883" w:rsidRDefault="004B0883">
            <w:pPr>
              <w:adjustRightInd w:val="0"/>
              <w:snapToGrid w:val="0"/>
              <w:rPr>
                <w:rFonts w:hint="eastAsia"/>
                <w:color w:val="000000"/>
              </w:rPr>
            </w:pPr>
            <w:r>
              <w:rPr>
                <w:rFonts w:hint="eastAsia"/>
                <w:color w:val="000000"/>
              </w:rPr>
              <w:t>2</w:t>
            </w:r>
            <w:r>
              <w:rPr>
                <w:rFonts w:hint="eastAsia"/>
                <w:color w:val="000000"/>
              </w:rPr>
              <w:t>、对于不可避免或因合理事由与发行人之间发生的关联交易，本人承诺将遵循公平合理、价格公允的原则，按照相关法律法规、规范性文件以及公司章程等的有关规定履行相关程序和信息披露义务，并办理有关报批事宜；</w:t>
            </w:r>
          </w:p>
          <w:p w14:paraId="65C946E3" w14:textId="77777777" w:rsidR="004B0883" w:rsidRDefault="004B0883">
            <w:pPr>
              <w:adjustRightInd w:val="0"/>
              <w:snapToGrid w:val="0"/>
              <w:rPr>
                <w:rFonts w:hint="eastAsia"/>
                <w:color w:val="000000"/>
              </w:rPr>
            </w:pPr>
            <w:r>
              <w:rPr>
                <w:rFonts w:hint="eastAsia"/>
                <w:color w:val="000000"/>
              </w:rPr>
              <w:t>3</w:t>
            </w:r>
            <w:r>
              <w:rPr>
                <w:rFonts w:hint="eastAsia"/>
                <w:color w:val="000000"/>
              </w:rPr>
              <w:t>、本人保证不通过关联交易损害发行人及其他无关联关系股东的合法权益；</w:t>
            </w:r>
          </w:p>
          <w:p w14:paraId="75B15DFC" w14:textId="77777777" w:rsidR="004B0883" w:rsidRDefault="004B0883">
            <w:pPr>
              <w:adjustRightInd w:val="0"/>
              <w:snapToGrid w:val="0"/>
              <w:rPr>
                <w:rFonts w:hint="eastAsia"/>
                <w:color w:val="000000"/>
              </w:rPr>
            </w:pPr>
            <w:r>
              <w:rPr>
                <w:rFonts w:hint="eastAsia"/>
                <w:color w:val="000000"/>
              </w:rPr>
              <w:t>4</w:t>
            </w:r>
            <w:r>
              <w:rPr>
                <w:rFonts w:hint="eastAsia"/>
                <w:color w:val="000000"/>
              </w:rPr>
              <w:t>、截至本承诺函出具之日，本人不存在占用发行人资金或资产的情形，并承诺以后不以任何形式占用发行人资金或资产；</w:t>
            </w:r>
          </w:p>
          <w:p w14:paraId="306F7F7D" w14:textId="77777777" w:rsidR="004B0883" w:rsidRDefault="004B0883">
            <w:pPr>
              <w:adjustRightInd w:val="0"/>
              <w:snapToGrid w:val="0"/>
              <w:rPr>
                <w:rFonts w:hint="eastAsia"/>
                <w:color w:val="000000"/>
              </w:rPr>
            </w:pPr>
            <w:r>
              <w:rPr>
                <w:rFonts w:hint="eastAsia"/>
                <w:color w:val="000000"/>
              </w:rPr>
              <w:t>5</w:t>
            </w:r>
            <w:r>
              <w:rPr>
                <w:rFonts w:hint="eastAsia"/>
                <w:color w:val="000000"/>
              </w:rPr>
              <w:t>、本人将督促本人的配偶、父母、子女及其配偶、兄弟姐妹及其配偶，本人配偶的父母、兄弟姐妹，子女配偶的父母，以及本人投资或控制的企业、实体等同受本承诺的约束；</w:t>
            </w:r>
          </w:p>
          <w:p w14:paraId="407AAA76" w14:textId="77777777" w:rsidR="004B0883" w:rsidRDefault="004B0883">
            <w:pPr>
              <w:adjustRightInd w:val="0"/>
              <w:snapToGrid w:val="0"/>
              <w:rPr>
                <w:rFonts w:hint="eastAsia"/>
                <w:color w:val="000000"/>
              </w:rPr>
            </w:pPr>
            <w:r>
              <w:rPr>
                <w:rFonts w:hint="eastAsia"/>
                <w:color w:val="000000"/>
              </w:rPr>
              <w:t>6</w:t>
            </w:r>
            <w:r>
              <w:rPr>
                <w:rFonts w:hint="eastAsia"/>
                <w:color w:val="000000"/>
              </w:rPr>
              <w:t>、本人承诺本承诺函旨在保证发行人全体股东之利益作出，且本承诺函的每一项承诺为独立可操作的承诺，任何一项承诺无效或被终止将不影响其他承诺的有效性；</w:t>
            </w:r>
          </w:p>
          <w:p w14:paraId="3CEA58B8" w14:textId="77777777" w:rsidR="004B0883" w:rsidRDefault="004B0883">
            <w:pPr>
              <w:adjustRightInd w:val="0"/>
              <w:snapToGrid w:val="0"/>
              <w:rPr>
                <w:rFonts w:hint="eastAsia"/>
                <w:color w:val="000000"/>
              </w:rPr>
            </w:pPr>
            <w:r>
              <w:rPr>
                <w:rFonts w:hint="eastAsia"/>
                <w:color w:val="000000"/>
              </w:rPr>
              <w:t>7</w:t>
            </w:r>
            <w:r>
              <w:rPr>
                <w:rFonts w:hint="eastAsia"/>
                <w:color w:val="000000"/>
              </w:rPr>
              <w:t>、该承诺自签字之日起生效，该承诺函所载各项承诺事项在本人作为公司董事、监事和高级管理人员期间，以及自本人不再为公司董事、监事和高级管理人员之日起十二个月内持续有效，且不可变更或撤销。</w:t>
            </w:r>
          </w:p>
        </w:tc>
        <w:tc>
          <w:tcPr>
            <w:tcW w:w="1105" w:type="dxa"/>
            <w:shd w:val="clear" w:color="auto" w:fill="FFFFFF"/>
            <w:tcMar>
              <w:top w:w="0" w:type="dxa"/>
              <w:left w:w="108" w:type="dxa"/>
              <w:bottom w:w="0" w:type="dxa"/>
              <w:right w:w="108" w:type="dxa"/>
            </w:tcMar>
            <w:vAlign w:val="center"/>
          </w:tcPr>
          <w:p w14:paraId="055A5B3F" w14:textId="77777777" w:rsidR="004B0883" w:rsidRDefault="004B0883">
            <w:pPr>
              <w:adjustRightInd w:val="0"/>
              <w:snapToGrid w:val="0"/>
              <w:jc w:val="center"/>
              <w:rPr>
                <w:color w:val="000000"/>
              </w:rPr>
            </w:pPr>
            <w:r>
              <w:rPr>
                <w:rFonts w:hint="eastAsia"/>
                <w:color w:val="000000"/>
              </w:rPr>
              <w:t>2023</w:t>
            </w:r>
            <w:r>
              <w:rPr>
                <w:rFonts w:hint="eastAsia"/>
                <w:color w:val="000000"/>
              </w:rPr>
              <w:t>年</w:t>
            </w:r>
            <w:r>
              <w:rPr>
                <w:color w:val="000000"/>
              </w:rPr>
              <w:br/>
            </w:r>
            <w:r>
              <w:rPr>
                <w:rFonts w:hint="eastAsia"/>
                <w:color w:val="000000"/>
              </w:rPr>
              <w:t>6</w:t>
            </w:r>
            <w:r>
              <w:rPr>
                <w:rFonts w:hint="eastAsia"/>
                <w:color w:val="000000"/>
              </w:rPr>
              <w:t>月</w:t>
            </w:r>
            <w:r>
              <w:rPr>
                <w:rFonts w:hint="eastAsia"/>
                <w:color w:val="000000"/>
              </w:rPr>
              <w:t>30</w:t>
            </w:r>
            <w:r>
              <w:rPr>
                <w:rFonts w:hint="eastAsia"/>
                <w:color w:val="000000"/>
              </w:rPr>
              <w:t>日</w:t>
            </w:r>
          </w:p>
        </w:tc>
        <w:tc>
          <w:tcPr>
            <w:tcW w:w="1225" w:type="dxa"/>
            <w:shd w:val="clear" w:color="auto" w:fill="FFFFFF"/>
            <w:tcMar>
              <w:top w:w="0" w:type="dxa"/>
              <w:left w:w="108" w:type="dxa"/>
              <w:bottom w:w="0" w:type="dxa"/>
              <w:right w:w="108" w:type="dxa"/>
            </w:tcMar>
            <w:vAlign w:val="center"/>
          </w:tcPr>
          <w:p w14:paraId="766B2F8A" w14:textId="77777777" w:rsidR="004B0883" w:rsidRDefault="004B0883">
            <w:pPr>
              <w:adjustRightInd w:val="0"/>
              <w:snapToGrid w:val="0"/>
              <w:jc w:val="center"/>
              <w:rPr>
                <w:color w:val="000000"/>
              </w:rPr>
            </w:pPr>
            <w:r>
              <w:rPr>
                <w:rFonts w:hint="eastAsia"/>
                <w:color w:val="000000"/>
              </w:rPr>
              <w:t>长期有效</w:t>
            </w:r>
          </w:p>
        </w:tc>
        <w:tc>
          <w:tcPr>
            <w:tcW w:w="1307" w:type="dxa"/>
            <w:shd w:val="clear" w:color="auto" w:fill="FFFFFF"/>
            <w:tcMar>
              <w:top w:w="0" w:type="dxa"/>
              <w:left w:w="108" w:type="dxa"/>
              <w:bottom w:w="0" w:type="dxa"/>
              <w:right w:w="108" w:type="dxa"/>
            </w:tcMar>
            <w:vAlign w:val="center"/>
          </w:tcPr>
          <w:p w14:paraId="090BAF0E" w14:textId="77777777" w:rsidR="004B0883" w:rsidRDefault="004B0883">
            <w:pPr>
              <w:adjustRightInd w:val="0"/>
              <w:snapToGrid w:val="0"/>
              <w:jc w:val="center"/>
              <w:rPr>
                <w:color w:val="000000"/>
              </w:rPr>
            </w:pPr>
            <w:r>
              <w:rPr>
                <w:rFonts w:hint="eastAsia"/>
                <w:color w:val="000000"/>
              </w:rPr>
              <w:t>正在履行中</w:t>
            </w:r>
          </w:p>
        </w:tc>
      </w:tr>
      <w:tr w:rsidR="004B0883" w14:paraId="36228705" w14:textId="77777777">
        <w:trPr>
          <w:trHeight w:val="340"/>
          <w:jc w:val="center"/>
        </w:trPr>
        <w:tc>
          <w:tcPr>
            <w:tcW w:w="1393" w:type="dxa"/>
            <w:shd w:val="clear" w:color="auto" w:fill="auto"/>
            <w:tcMar>
              <w:top w:w="0" w:type="dxa"/>
              <w:left w:w="108" w:type="dxa"/>
              <w:bottom w:w="0" w:type="dxa"/>
              <w:right w:w="108" w:type="dxa"/>
            </w:tcMar>
            <w:vAlign w:val="center"/>
          </w:tcPr>
          <w:p w14:paraId="6FDBC9F2" w14:textId="77777777" w:rsidR="004B0883" w:rsidRDefault="004B0883">
            <w:pPr>
              <w:adjustRightInd w:val="0"/>
              <w:snapToGrid w:val="0"/>
              <w:jc w:val="center"/>
              <w:rPr>
                <w:color w:val="000000"/>
              </w:rPr>
            </w:pPr>
            <w:r>
              <w:rPr>
                <w:color w:val="000000"/>
              </w:rPr>
              <w:t>本次可转债发行</w:t>
            </w:r>
          </w:p>
        </w:tc>
        <w:tc>
          <w:tcPr>
            <w:tcW w:w="1946" w:type="dxa"/>
            <w:shd w:val="clear" w:color="auto" w:fill="FFFFFF"/>
            <w:tcMar>
              <w:top w:w="0" w:type="dxa"/>
              <w:left w:w="108" w:type="dxa"/>
              <w:bottom w:w="0" w:type="dxa"/>
              <w:right w:w="108" w:type="dxa"/>
            </w:tcMar>
            <w:vAlign w:val="center"/>
          </w:tcPr>
          <w:p w14:paraId="5DDF2AB2" w14:textId="77777777" w:rsidR="004B0883" w:rsidRDefault="004B0883">
            <w:pPr>
              <w:adjustRightInd w:val="0"/>
              <w:snapToGrid w:val="0"/>
              <w:jc w:val="center"/>
              <w:rPr>
                <w:color w:val="000000"/>
              </w:rPr>
            </w:pPr>
            <w:r>
              <w:rPr>
                <w:color w:val="000000"/>
              </w:rPr>
              <w:t>控股股东</w:t>
            </w:r>
            <w:r>
              <w:rPr>
                <w:rFonts w:hint="eastAsia"/>
                <w:color w:val="000000"/>
              </w:rPr>
              <w:t>、实际控制人</w:t>
            </w:r>
          </w:p>
        </w:tc>
        <w:tc>
          <w:tcPr>
            <w:tcW w:w="1671" w:type="dxa"/>
            <w:shd w:val="clear" w:color="auto" w:fill="FFFFFF"/>
            <w:tcMar>
              <w:top w:w="0" w:type="dxa"/>
              <w:left w:w="108" w:type="dxa"/>
              <w:bottom w:w="0" w:type="dxa"/>
              <w:right w:w="108" w:type="dxa"/>
            </w:tcMar>
            <w:vAlign w:val="center"/>
          </w:tcPr>
          <w:p w14:paraId="5575CA27" w14:textId="77777777" w:rsidR="004B0883" w:rsidRDefault="004B0883">
            <w:pPr>
              <w:adjustRightInd w:val="0"/>
              <w:snapToGrid w:val="0"/>
              <w:jc w:val="center"/>
              <w:rPr>
                <w:rFonts w:hint="eastAsia"/>
                <w:color w:val="000000"/>
              </w:rPr>
            </w:pPr>
            <w:r>
              <w:rPr>
                <w:rFonts w:hint="eastAsia"/>
                <w:color w:val="000000"/>
              </w:rPr>
              <w:t>避免同业竞争承诺函</w:t>
            </w:r>
          </w:p>
        </w:tc>
        <w:tc>
          <w:tcPr>
            <w:tcW w:w="5527" w:type="dxa"/>
            <w:shd w:val="clear" w:color="auto" w:fill="FFFFFF"/>
            <w:tcMar>
              <w:top w:w="0" w:type="dxa"/>
              <w:left w:w="108" w:type="dxa"/>
              <w:bottom w:w="0" w:type="dxa"/>
              <w:right w:w="108" w:type="dxa"/>
            </w:tcMar>
            <w:vAlign w:val="center"/>
          </w:tcPr>
          <w:p w14:paraId="22D90BB1" w14:textId="77777777" w:rsidR="004B0883" w:rsidRDefault="004B0883">
            <w:pPr>
              <w:adjustRightInd w:val="0"/>
              <w:snapToGrid w:val="0"/>
              <w:rPr>
                <w:rFonts w:hint="eastAsia"/>
                <w:color w:val="000000"/>
              </w:rPr>
            </w:pPr>
            <w:r>
              <w:rPr>
                <w:rFonts w:hint="eastAsia"/>
                <w:color w:val="000000"/>
              </w:rPr>
              <w:t>为有效防止或避免今后与发行人可能出现的同业竞争，发行人控股股东、实际控制人作出以下承诺：</w:t>
            </w:r>
          </w:p>
          <w:p w14:paraId="7BA250C0" w14:textId="77777777" w:rsidR="004B0883" w:rsidRDefault="004B0883">
            <w:pPr>
              <w:adjustRightInd w:val="0"/>
              <w:snapToGrid w:val="0"/>
              <w:rPr>
                <w:rFonts w:hint="eastAsia"/>
                <w:color w:val="000000"/>
              </w:rPr>
            </w:pPr>
            <w:r>
              <w:rPr>
                <w:rFonts w:hint="eastAsia"/>
                <w:color w:val="000000"/>
              </w:rPr>
              <w:t>1</w:t>
            </w:r>
            <w:r>
              <w:rPr>
                <w:rFonts w:hint="eastAsia"/>
                <w:color w:val="000000"/>
              </w:rPr>
              <w:t>、截至本承诺书出具之日，本人未以任何方式直接或间接从事与发行人及其下属子公司构成或可能构成竞争的业务或活动，未直接或间接持有与发行人及其下属子公司存在或可能存在同业竞争企业的股权或任何其他权益。</w:t>
            </w:r>
          </w:p>
          <w:p w14:paraId="1D00D295" w14:textId="77777777" w:rsidR="004B0883" w:rsidRDefault="004B0883">
            <w:pPr>
              <w:adjustRightInd w:val="0"/>
              <w:snapToGrid w:val="0"/>
              <w:rPr>
                <w:rFonts w:hint="eastAsia"/>
                <w:color w:val="000000"/>
              </w:rPr>
            </w:pPr>
            <w:r>
              <w:rPr>
                <w:rFonts w:hint="eastAsia"/>
                <w:color w:val="000000"/>
              </w:rPr>
              <w:t>2</w:t>
            </w:r>
            <w:r>
              <w:rPr>
                <w:rFonts w:hint="eastAsia"/>
                <w:color w:val="000000"/>
              </w:rPr>
              <w:t>、本人承诺不从事任何与发行人及其下属子公司的主营业务构成或可能构成直接或间接竞争的业务或活动，且不会新设或收购与公司及其下属子公司从事相同或类似业务的企业、实体等。</w:t>
            </w:r>
          </w:p>
          <w:p w14:paraId="439B6948" w14:textId="77777777" w:rsidR="004B0883" w:rsidRDefault="004B0883">
            <w:pPr>
              <w:adjustRightInd w:val="0"/>
              <w:snapToGrid w:val="0"/>
              <w:rPr>
                <w:rFonts w:hint="eastAsia"/>
                <w:color w:val="000000"/>
              </w:rPr>
            </w:pPr>
            <w:r>
              <w:rPr>
                <w:rFonts w:hint="eastAsia"/>
                <w:color w:val="000000"/>
              </w:rPr>
              <w:t>3</w:t>
            </w:r>
            <w:r>
              <w:rPr>
                <w:rFonts w:hint="eastAsia"/>
                <w:color w:val="000000"/>
              </w:rPr>
              <w:t>、若发行人进一步拓展产品或业务范围，本人承诺将不与发行人拓展后的产品或业务相竞争；可能与发行人拓展后的业务相竞争的，本人承诺通过停止生产经营或转让等形式消除同业竞争。</w:t>
            </w:r>
          </w:p>
          <w:p w14:paraId="3C22D01D" w14:textId="77777777" w:rsidR="004B0883" w:rsidRDefault="004B0883">
            <w:pPr>
              <w:adjustRightInd w:val="0"/>
              <w:snapToGrid w:val="0"/>
              <w:rPr>
                <w:rFonts w:hint="eastAsia"/>
                <w:color w:val="000000"/>
              </w:rPr>
            </w:pPr>
            <w:r>
              <w:rPr>
                <w:rFonts w:hint="eastAsia"/>
                <w:color w:val="000000"/>
              </w:rPr>
              <w:t>4</w:t>
            </w:r>
            <w:r>
              <w:rPr>
                <w:rFonts w:hint="eastAsia"/>
                <w:color w:val="000000"/>
              </w:rPr>
              <w:t>、本人承诺不利用对发行人的控制关系或其他关系进行损害发行人或其他股东正当利益的行为。</w:t>
            </w:r>
          </w:p>
          <w:p w14:paraId="1E96C406" w14:textId="77777777" w:rsidR="004B0883" w:rsidRDefault="004B0883">
            <w:pPr>
              <w:adjustRightInd w:val="0"/>
              <w:snapToGrid w:val="0"/>
              <w:rPr>
                <w:rFonts w:hint="eastAsia"/>
                <w:color w:val="000000"/>
              </w:rPr>
            </w:pPr>
            <w:r>
              <w:rPr>
                <w:rFonts w:hint="eastAsia"/>
                <w:color w:val="000000"/>
              </w:rPr>
              <w:t>5</w:t>
            </w:r>
            <w:r>
              <w:rPr>
                <w:rFonts w:hint="eastAsia"/>
                <w:color w:val="000000"/>
              </w:rPr>
              <w:t>、本人将督促本人的配偶、父母、子女及其配偶、兄弟姐妹及其配偶，本人配偶的父母、兄弟姐妹，子女配偶的父母，以及本人投资或控制的除公司以外的其他企业、实体</w:t>
            </w:r>
            <w:r>
              <w:rPr>
                <w:rFonts w:hint="eastAsia"/>
                <w:color w:val="000000"/>
              </w:rPr>
              <w:t>/</w:t>
            </w:r>
            <w:r>
              <w:rPr>
                <w:rFonts w:hint="eastAsia"/>
                <w:color w:val="000000"/>
              </w:rPr>
              <w:t>本公司将督促本公司投资或控制的除发行人以外的其他企业、实体等同受本承诺的约束。</w:t>
            </w:r>
          </w:p>
          <w:p w14:paraId="18EAEBB4" w14:textId="77777777" w:rsidR="004B0883" w:rsidRDefault="004B0883">
            <w:pPr>
              <w:adjustRightInd w:val="0"/>
              <w:snapToGrid w:val="0"/>
              <w:rPr>
                <w:rFonts w:hint="eastAsia"/>
                <w:color w:val="000000"/>
              </w:rPr>
            </w:pPr>
            <w:r>
              <w:rPr>
                <w:rFonts w:hint="eastAsia"/>
                <w:color w:val="000000"/>
              </w:rPr>
              <w:t>6</w:t>
            </w:r>
            <w:r>
              <w:rPr>
                <w:rFonts w:hint="eastAsia"/>
                <w:color w:val="000000"/>
              </w:rPr>
              <w:t>、本人承诺本承诺函旨在保证发行人全体股东之利益作出，且本承诺函的每一项承诺为独立可操作的承诺，任何一项承诺无效或被终止将不影响其他承诺的有效性。</w:t>
            </w:r>
          </w:p>
          <w:p w14:paraId="076123D9" w14:textId="77777777" w:rsidR="004B0883" w:rsidRDefault="004B0883">
            <w:pPr>
              <w:adjustRightInd w:val="0"/>
              <w:snapToGrid w:val="0"/>
              <w:rPr>
                <w:rFonts w:hint="eastAsia"/>
                <w:color w:val="000000"/>
              </w:rPr>
            </w:pPr>
            <w:r>
              <w:rPr>
                <w:rFonts w:hint="eastAsia"/>
                <w:color w:val="000000"/>
              </w:rPr>
              <w:t>7</w:t>
            </w:r>
            <w:r>
              <w:rPr>
                <w:rFonts w:hint="eastAsia"/>
                <w:color w:val="000000"/>
              </w:rPr>
              <w:t>、该承诺自签字之日起生效，该承诺函所载各项承诺事项在本人作为公司控股股东、实际控制人期间，以及自本公司不再为发行人控股股东、实际控制人之日起十二个月内持续有效，且不可变更或撤销。</w:t>
            </w:r>
          </w:p>
        </w:tc>
        <w:tc>
          <w:tcPr>
            <w:tcW w:w="1105" w:type="dxa"/>
            <w:shd w:val="clear" w:color="auto" w:fill="FFFFFF"/>
            <w:tcMar>
              <w:top w:w="0" w:type="dxa"/>
              <w:left w:w="108" w:type="dxa"/>
              <w:bottom w:w="0" w:type="dxa"/>
              <w:right w:w="108" w:type="dxa"/>
            </w:tcMar>
            <w:vAlign w:val="center"/>
          </w:tcPr>
          <w:p w14:paraId="34A8EBF0" w14:textId="77777777" w:rsidR="004B0883" w:rsidRDefault="004B0883">
            <w:pPr>
              <w:adjustRightInd w:val="0"/>
              <w:snapToGrid w:val="0"/>
              <w:jc w:val="center"/>
              <w:rPr>
                <w:rFonts w:hint="eastAsia"/>
                <w:color w:val="000000"/>
              </w:rPr>
            </w:pPr>
            <w:r>
              <w:rPr>
                <w:rFonts w:hint="eastAsia"/>
                <w:color w:val="000000"/>
              </w:rPr>
              <w:t>2023</w:t>
            </w:r>
            <w:r>
              <w:rPr>
                <w:rFonts w:hint="eastAsia"/>
                <w:color w:val="000000"/>
              </w:rPr>
              <w:t>年</w:t>
            </w:r>
            <w:r>
              <w:rPr>
                <w:color w:val="000000"/>
              </w:rPr>
              <w:br/>
            </w:r>
            <w:r>
              <w:rPr>
                <w:rFonts w:hint="eastAsia"/>
                <w:color w:val="000000"/>
              </w:rPr>
              <w:t>6</w:t>
            </w:r>
            <w:r>
              <w:rPr>
                <w:rFonts w:hint="eastAsia"/>
                <w:color w:val="000000"/>
              </w:rPr>
              <w:t>月</w:t>
            </w:r>
            <w:r>
              <w:rPr>
                <w:rFonts w:hint="eastAsia"/>
                <w:color w:val="000000"/>
              </w:rPr>
              <w:t>30</w:t>
            </w:r>
            <w:r>
              <w:rPr>
                <w:rFonts w:hint="eastAsia"/>
                <w:color w:val="000000"/>
              </w:rPr>
              <w:t>日</w:t>
            </w:r>
          </w:p>
        </w:tc>
        <w:tc>
          <w:tcPr>
            <w:tcW w:w="1225" w:type="dxa"/>
            <w:shd w:val="clear" w:color="auto" w:fill="FFFFFF"/>
            <w:tcMar>
              <w:top w:w="0" w:type="dxa"/>
              <w:left w:w="108" w:type="dxa"/>
              <w:bottom w:w="0" w:type="dxa"/>
              <w:right w:w="108" w:type="dxa"/>
            </w:tcMar>
            <w:vAlign w:val="center"/>
          </w:tcPr>
          <w:p w14:paraId="4F702131" w14:textId="77777777" w:rsidR="004B0883" w:rsidRDefault="004B0883">
            <w:pPr>
              <w:adjustRightInd w:val="0"/>
              <w:snapToGrid w:val="0"/>
              <w:jc w:val="center"/>
              <w:rPr>
                <w:rFonts w:hint="eastAsia"/>
                <w:color w:val="000000"/>
              </w:rPr>
            </w:pPr>
            <w:r>
              <w:rPr>
                <w:rFonts w:hint="eastAsia"/>
                <w:color w:val="000000"/>
              </w:rPr>
              <w:t>长期有效</w:t>
            </w:r>
          </w:p>
        </w:tc>
        <w:tc>
          <w:tcPr>
            <w:tcW w:w="1307" w:type="dxa"/>
            <w:shd w:val="clear" w:color="auto" w:fill="FFFFFF"/>
            <w:tcMar>
              <w:top w:w="0" w:type="dxa"/>
              <w:left w:w="108" w:type="dxa"/>
              <w:bottom w:w="0" w:type="dxa"/>
              <w:right w:w="108" w:type="dxa"/>
            </w:tcMar>
            <w:vAlign w:val="center"/>
          </w:tcPr>
          <w:p w14:paraId="1BB627D3" w14:textId="77777777" w:rsidR="004B0883" w:rsidRDefault="004B0883">
            <w:pPr>
              <w:adjustRightInd w:val="0"/>
              <w:snapToGrid w:val="0"/>
              <w:jc w:val="center"/>
              <w:rPr>
                <w:rFonts w:hint="eastAsia"/>
                <w:color w:val="000000"/>
              </w:rPr>
            </w:pPr>
            <w:r>
              <w:rPr>
                <w:rFonts w:hint="eastAsia"/>
                <w:color w:val="000000"/>
              </w:rPr>
              <w:t>正在履行中</w:t>
            </w:r>
          </w:p>
        </w:tc>
      </w:tr>
      <w:tr w:rsidR="004B0883" w14:paraId="26C1749F" w14:textId="77777777">
        <w:trPr>
          <w:trHeight w:val="340"/>
          <w:jc w:val="center"/>
        </w:trPr>
        <w:tc>
          <w:tcPr>
            <w:tcW w:w="1393" w:type="dxa"/>
            <w:shd w:val="clear" w:color="auto" w:fill="auto"/>
            <w:tcMar>
              <w:top w:w="0" w:type="dxa"/>
              <w:left w:w="108" w:type="dxa"/>
              <w:bottom w:w="0" w:type="dxa"/>
              <w:right w:w="108" w:type="dxa"/>
            </w:tcMar>
            <w:vAlign w:val="center"/>
          </w:tcPr>
          <w:p w14:paraId="65A29B96" w14:textId="77777777" w:rsidR="004B0883" w:rsidRDefault="004B0883">
            <w:pPr>
              <w:adjustRightInd w:val="0"/>
              <w:snapToGrid w:val="0"/>
              <w:jc w:val="center"/>
              <w:rPr>
                <w:color w:val="000000"/>
              </w:rPr>
            </w:pPr>
            <w:r>
              <w:rPr>
                <w:color w:val="000000"/>
              </w:rPr>
              <w:t>本次可转债发行</w:t>
            </w:r>
          </w:p>
        </w:tc>
        <w:tc>
          <w:tcPr>
            <w:tcW w:w="1946" w:type="dxa"/>
            <w:shd w:val="clear" w:color="auto" w:fill="FFFFFF"/>
            <w:tcMar>
              <w:top w:w="0" w:type="dxa"/>
              <w:left w:w="108" w:type="dxa"/>
              <w:bottom w:w="0" w:type="dxa"/>
              <w:right w:w="108" w:type="dxa"/>
            </w:tcMar>
            <w:vAlign w:val="center"/>
          </w:tcPr>
          <w:p w14:paraId="2A37C25A" w14:textId="77777777" w:rsidR="004B0883" w:rsidRDefault="004B0883">
            <w:pPr>
              <w:adjustRightInd w:val="0"/>
              <w:snapToGrid w:val="0"/>
              <w:jc w:val="center"/>
              <w:rPr>
                <w:rFonts w:hint="eastAsia"/>
                <w:color w:val="000000"/>
              </w:rPr>
            </w:pPr>
            <w:r>
              <w:rPr>
                <w:rFonts w:hint="eastAsia"/>
                <w:color w:val="000000"/>
              </w:rPr>
              <w:t>伟隆股份</w:t>
            </w:r>
          </w:p>
        </w:tc>
        <w:tc>
          <w:tcPr>
            <w:tcW w:w="1671" w:type="dxa"/>
            <w:shd w:val="clear" w:color="auto" w:fill="FFFFFF"/>
            <w:tcMar>
              <w:top w:w="0" w:type="dxa"/>
              <w:left w:w="108" w:type="dxa"/>
              <w:bottom w:w="0" w:type="dxa"/>
              <w:right w:w="108" w:type="dxa"/>
            </w:tcMar>
            <w:vAlign w:val="center"/>
          </w:tcPr>
          <w:p w14:paraId="3827D003" w14:textId="77777777" w:rsidR="004B0883" w:rsidRDefault="004B0883">
            <w:pPr>
              <w:adjustRightInd w:val="0"/>
              <w:snapToGrid w:val="0"/>
              <w:jc w:val="center"/>
              <w:rPr>
                <w:rFonts w:hint="eastAsia"/>
                <w:color w:val="000000"/>
              </w:rPr>
            </w:pPr>
            <w:r>
              <w:rPr>
                <w:rFonts w:hint="eastAsia"/>
                <w:color w:val="000000"/>
              </w:rPr>
              <w:t>关于申报后累计债券余额持续满足相关要求的承诺</w:t>
            </w:r>
          </w:p>
        </w:tc>
        <w:tc>
          <w:tcPr>
            <w:tcW w:w="5527" w:type="dxa"/>
            <w:shd w:val="clear" w:color="auto" w:fill="FFFFFF"/>
            <w:tcMar>
              <w:top w:w="0" w:type="dxa"/>
              <w:left w:w="108" w:type="dxa"/>
              <w:bottom w:w="0" w:type="dxa"/>
              <w:right w:w="108" w:type="dxa"/>
            </w:tcMar>
            <w:vAlign w:val="center"/>
          </w:tcPr>
          <w:p w14:paraId="6A63CA58" w14:textId="77777777" w:rsidR="004B0883" w:rsidRDefault="004B0883">
            <w:pPr>
              <w:adjustRightInd w:val="0"/>
              <w:snapToGrid w:val="0"/>
              <w:rPr>
                <w:rFonts w:hint="eastAsia"/>
                <w:color w:val="000000"/>
              </w:rPr>
            </w:pPr>
            <w:r>
              <w:rPr>
                <w:rFonts w:hint="eastAsia"/>
                <w:color w:val="000000"/>
              </w:rPr>
              <w:t>为保证公司累计债券余额占最近一期末净资产比例持续符合相关规定，公司已作出如下承诺：</w:t>
            </w:r>
          </w:p>
          <w:p w14:paraId="11568835" w14:textId="77777777" w:rsidR="004B0883" w:rsidRDefault="004B0883">
            <w:pPr>
              <w:adjustRightInd w:val="0"/>
              <w:snapToGrid w:val="0"/>
              <w:rPr>
                <w:rFonts w:hint="eastAsia"/>
                <w:color w:val="000000"/>
              </w:rPr>
            </w:pPr>
            <w:r>
              <w:rPr>
                <w:rFonts w:hint="eastAsia"/>
                <w:color w:val="000000"/>
              </w:rPr>
              <w:t>自本次可转债申报后，公司每一期末将持续满足发行完成后累计债券余额不超过最近一期末净资产的</w:t>
            </w:r>
            <w:r>
              <w:rPr>
                <w:rFonts w:hint="eastAsia"/>
                <w:color w:val="000000"/>
              </w:rPr>
              <w:t>50%</w:t>
            </w:r>
            <w:r>
              <w:rPr>
                <w:rFonts w:hint="eastAsia"/>
                <w:color w:val="000000"/>
              </w:rPr>
              <w:t>的要求。</w:t>
            </w:r>
          </w:p>
        </w:tc>
        <w:tc>
          <w:tcPr>
            <w:tcW w:w="1105" w:type="dxa"/>
            <w:shd w:val="clear" w:color="auto" w:fill="FFFFFF"/>
            <w:tcMar>
              <w:top w:w="0" w:type="dxa"/>
              <w:left w:w="108" w:type="dxa"/>
              <w:bottom w:w="0" w:type="dxa"/>
              <w:right w:w="108" w:type="dxa"/>
            </w:tcMar>
            <w:vAlign w:val="center"/>
          </w:tcPr>
          <w:p w14:paraId="3FB424DB" w14:textId="77777777" w:rsidR="004B0883" w:rsidRDefault="004B0883">
            <w:pPr>
              <w:adjustRightInd w:val="0"/>
              <w:snapToGrid w:val="0"/>
              <w:jc w:val="center"/>
              <w:rPr>
                <w:rFonts w:hint="eastAsia"/>
                <w:color w:val="000000"/>
              </w:rPr>
            </w:pPr>
            <w:r>
              <w:rPr>
                <w:rFonts w:hint="eastAsia"/>
                <w:color w:val="000000"/>
              </w:rPr>
              <w:t>2023</w:t>
            </w:r>
            <w:r>
              <w:rPr>
                <w:rFonts w:hint="eastAsia"/>
                <w:color w:val="000000"/>
              </w:rPr>
              <w:t>年</w:t>
            </w:r>
            <w:r>
              <w:rPr>
                <w:color w:val="000000"/>
              </w:rPr>
              <w:br/>
            </w:r>
            <w:r>
              <w:rPr>
                <w:rFonts w:hint="eastAsia"/>
                <w:color w:val="000000"/>
              </w:rPr>
              <w:t>6</w:t>
            </w:r>
            <w:r>
              <w:rPr>
                <w:rFonts w:hint="eastAsia"/>
                <w:color w:val="000000"/>
              </w:rPr>
              <w:t>月</w:t>
            </w:r>
            <w:r>
              <w:rPr>
                <w:rFonts w:hint="eastAsia"/>
                <w:color w:val="000000"/>
              </w:rPr>
              <w:t>30</w:t>
            </w:r>
            <w:r>
              <w:rPr>
                <w:rFonts w:hint="eastAsia"/>
                <w:color w:val="000000"/>
              </w:rPr>
              <w:t>日</w:t>
            </w:r>
          </w:p>
        </w:tc>
        <w:tc>
          <w:tcPr>
            <w:tcW w:w="1225" w:type="dxa"/>
            <w:shd w:val="clear" w:color="auto" w:fill="FFFFFF"/>
            <w:tcMar>
              <w:top w:w="0" w:type="dxa"/>
              <w:left w:w="108" w:type="dxa"/>
              <w:bottom w:w="0" w:type="dxa"/>
              <w:right w:w="108" w:type="dxa"/>
            </w:tcMar>
            <w:vAlign w:val="center"/>
          </w:tcPr>
          <w:p w14:paraId="7CF6C9F6" w14:textId="77777777" w:rsidR="004B0883" w:rsidRDefault="004B0883">
            <w:pPr>
              <w:adjustRightInd w:val="0"/>
              <w:snapToGrid w:val="0"/>
              <w:jc w:val="center"/>
              <w:rPr>
                <w:color w:val="000000"/>
              </w:rPr>
            </w:pPr>
            <w:r>
              <w:rPr>
                <w:rFonts w:hint="eastAsia"/>
                <w:color w:val="000000"/>
              </w:rPr>
              <w:t>自申报开始至发行完成</w:t>
            </w:r>
          </w:p>
        </w:tc>
        <w:tc>
          <w:tcPr>
            <w:tcW w:w="1307" w:type="dxa"/>
            <w:shd w:val="clear" w:color="auto" w:fill="FFFFFF"/>
            <w:tcMar>
              <w:top w:w="0" w:type="dxa"/>
              <w:left w:w="108" w:type="dxa"/>
              <w:bottom w:w="0" w:type="dxa"/>
              <w:right w:w="108" w:type="dxa"/>
            </w:tcMar>
            <w:vAlign w:val="center"/>
          </w:tcPr>
          <w:p w14:paraId="22AECB7E" w14:textId="77777777" w:rsidR="004B0883" w:rsidRDefault="004B0883">
            <w:pPr>
              <w:adjustRightInd w:val="0"/>
              <w:snapToGrid w:val="0"/>
              <w:jc w:val="center"/>
              <w:rPr>
                <w:rFonts w:hint="eastAsia"/>
                <w:color w:val="000000"/>
              </w:rPr>
            </w:pPr>
            <w:r>
              <w:rPr>
                <w:rFonts w:hint="eastAsia"/>
                <w:color w:val="000000"/>
              </w:rPr>
              <w:t>正在履行中</w:t>
            </w:r>
          </w:p>
        </w:tc>
      </w:tr>
    </w:tbl>
    <w:p w14:paraId="66A3B50D" w14:textId="77777777" w:rsidR="004B0883" w:rsidRDefault="004B0883">
      <w:pPr>
        <w:rPr>
          <w:rFonts w:hint="eastAsia"/>
        </w:rPr>
        <w:sectPr w:rsidR="004B0883">
          <w:headerReference w:type="default" r:id="rId18"/>
          <w:pgSz w:w="16838" w:h="11906" w:orient="landscape"/>
          <w:pgMar w:top="1797" w:right="1440" w:bottom="1797" w:left="1440" w:header="851" w:footer="992" w:gutter="0"/>
          <w:cols w:space="720"/>
          <w:docGrid w:linePitch="312"/>
        </w:sectPr>
      </w:pPr>
    </w:p>
    <w:p w14:paraId="3165A3E4" w14:textId="77777777" w:rsidR="004B0883" w:rsidRDefault="004B0883">
      <w:pPr>
        <w:pStyle w:val="002"/>
        <w:spacing w:before="120" w:after="120"/>
        <w:ind w:left="570" w:hanging="570"/>
        <w:rPr>
          <w:rFonts w:hint="eastAsia"/>
        </w:rPr>
      </w:pPr>
      <w:bookmarkStart w:id="207" w:name="_Toc152320793"/>
      <w:bookmarkEnd w:id="195"/>
      <w:bookmarkEnd w:id="206"/>
      <w:r>
        <w:t>五、</w:t>
      </w:r>
      <w:r>
        <w:rPr>
          <w:rFonts w:hint="eastAsia"/>
        </w:rPr>
        <w:t>董事、监事、高级管理人员及其他核心人员</w:t>
      </w:r>
      <w:bookmarkEnd w:id="207"/>
    </w:p>
    <w:p w14:paraId="234D3873" w14:textId="77777777" w:rsidR="004B0883" w:rsidRDefault="004B0883">
      <w:pPr>
        <w:pStyle w:val="003"/>
        <w:spacing w:before="120" w:after="120"/>
      </w:pPr>
      <w:bookmarkStart w:id="208" w:name="_Toc107573980"/>
      <w:r>
        <w:rPr>
          <w:rFonts w:hint="eastAsia"/>
        </w:rPr>
        <w:t>（一）董事、监事、高级管理人员及其他核心人员基本情况</w:t>
      </w:r>
      <w:bookmarkEnd w:id="208"/>
    </w:p>
    <w:p w14:paraId="647B465A" w14:textId="77777777" w:rsidR="004B0883" w:rsidRDefault="004B0883">
      <w:pPr>
        <w:pStyle w:val="004"/>
        <w:spacing w:before="120" w:after="120"/>
        <w:ind w:firstLine="482"/>
      </w:pPr>
      <w:r>
        <w:rPr>
          <w:rFonts w:hint="eastAsia"/>
        </w:rPr>
        <w:t>1</w:t>
      </w:r>
      <w:r>
        <w:rPr>
          <w:rFonts w:hint="eastAsia"/>
        </w:rPr>
        <w:t>、任职情况</w:t>
      </w:r>
    </w:p>
    <w:p w14:paraId="6846DBD6" w14:textId="77777777" w:rsidR="004B0883" w:rsidRDefault="004B0883">
      <w:pPr>
        <w:keepNext/>
        <w:keepLines/>
        <w:widowControl w:val="0"/>
        <w:spacing w:beforeLines="50" w:before="120" w:line="360" w:lineRule="auto"/>
        <w:ind w:firstLineChars="200" w:firstLine="482"/>
        <w:jc w:val="both"/>
        <w:outlineLvl w:val="3"/>
        <w:rPr>
          <w:b/>
          <w:bCs/>
          <w:sz w:val="24"/>
          <w:szCs w:val="28"/>
          <w:lang w:val="zh-CN"/>
        </w:rPr>
      </w:pPr>
      <w:bookmarkStart w:id="209" w:name="_Hlk136202638"/>
      <w:r>
        <w:rPr>
          <w:rFonts w:hint="eastAsia"/>
          <w:b/>
          <w:bCs/>
          <w:sz w:val="24"/>
          <w:szCs w:val="28"/>
          <w:lang w:val="zh-CN"/>
        </w:rPr>
        <w:t>（</w:t>
      </w:r>
      <w:r>
        <w:rPr>
          <w:rFonts w:hint="eastAsia"/>
          <w:b/>
          <w:bCs/>
          <w:sz w:val="24"/>
          <w:szCs w:val="28"/>
          <w:lang w:val="zh-CN"/>
        </w:rPr>
        <w:t>1</w:t>
      </w:r>
      <w:r>
        <w:rPr>
          <w:rFonts w:hint="eastAsia"/>
          <w:b/>
          <w:bCs/>
          <w:sz w:val="24"/>
          <w:szCs w:val="28"/>
          <w:lang w:val="zh-CN"/>
        </w:rPr>
        <w:t>）董事任职情况</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37"/>
        <w:gridCol w:w="2613"/>
        <w:gridCol w:w="3630"/>
      </w:tblGrid>
      <w:tr w:rsidR="004B0883" w14:paraId="763390C4" w14:textId="77777777">
        <w:trPr>
          <w:trHeight w:val="397"/>
          <w:tblHeader/>
          <w:jc w:val="center"/>
        </w:trPr>
        <w:tc>
          <w:tcPr>
            <w:tcW w:w="2096" w:type="dxa"/>
            <w:shd w:val="clear" w:color="auto" w:fill="D9D9D9"/>
            <w:vAlign w:val="center"/>
          </w:tcPr>
          <w:p w14:paraId="016C853A" w14:textId="77777777" w:rsidR="004B0883" w:rsidRDefault="004B0883">
            <w:pPr>
              <w:widowControl w:val="0"/>
              <w:adjustRightInd w:val="0"/>
              <w:snapToGrid w:val="0"/>
              <w:jc w:val="center"/>
              <w:rPr>
                <w:rFonts w:ascii="宋体" w:hAnsi="宋体"/>
                <w:b/>
                <w:bCs/>
              </w:rPr>
            </w:pPr>
            <w:r>
              <w:rPr>
                <w:rFonts w:ascii="宋体" w:hAnsi="宋体"/>
                <w:b/>
                <w:bCs/>
              </w:rPr>
              <w:t>姓名</w:t>
            </w:r>
          </w:p>
        </w:tc>
        <w:tc>
          <w:tcPr>
            <w:tcW w:w="2690" w:type="dxa"/>
            <w:shd w:val="clear" w:color="auto" w:fill="D9D9D9"/>
            <w:vAlign w:val="center"/>
          </w:tcPr>
          <w:p w14:paraId="3B3FA570" w14:textId="77777777" w:rsidR="004B0883" w:rsidRDefault="004B0883">
            <w:pPr>
              <w:widowControl w:val="0"/>
              <w:adjustRightInd w:val="0"/>
              <w:snapToGrid w:val="0"/>
              <w:jc w:val="center"/>
              <w:rPr>
                <w:rFonts w:ascii="宋体" w:hAnsi="宋体"/>
                <w:b/>
              </w:rPr>
            </w:pPr>
            <w:r>
              <w:rPr>
                <w:rFonts w:ascii="宋体" w:hAnsi="宋体"/>
                <w:b/>
              </w:rPr>
              <w:t>在公司职务</w:t>
            </w:r>
          </w:p>
        </w:tc>
        <w:tc>
          <w:tcPr>
            <w:tcW w:w="3740" w:type="dxa"/>
            <w:shd w:val="clear" w:color="auto" w:fill="D9D9D9"/>
            <w:vAlign w:val="center"/>
          </w:tcPr>
          <w:p w14:paraId="13BA8957" w14:textId="77777777" w:rsidR="004B0883" w:rsidRDefault="004B0883">
            <w:pPr>
              <w:widowControl w:val="0"/>
              <w:adjustRightInd w:val="0"/>
              <w:snapToGrid w:val="0"/>
              <w:jc w:val="center"/>
              <w:rPr>
                <w:rFonts w:ascii="宋体" w:hAnsi="宋体"/>
                <w:b/>
              </w:rPr>
            </w:pPr>
            <w:r>
              <w:rPr>
                <w:rFonts w:ascii="宋体" w:hAnsi="宋体"/>
                <w:b/>
              </w:rPr>
              <w:t>任职期限</w:t>
            </w:r>
          </w:p>
        </w:tc>
      </w:tr>
      <w:tr w:rsidR="004B0883" w14:paraId="0E89ACF3" w14:textId="77777777">
        <w:trPr>
          <w:trHeight w:val="397"/>
          <w:jc w:val="center"/>
        </w:trPr>
        <w:tc>
          <w:tcPr>
            <w:tcW w:w="2096" w:type="dxa"/>
            <w:vAlign w:val="center"/>
          </w:tcPr>
          <w:p w14:paraId="334597F4" w14:textId="77777777" w:rsidR="004B0883" w:rsidRDefault="004B0883">
            <w:pPr>
              <w:widowControl w:val="0"/>
              <w:adjustRightInd w:val="0"/>
              <w:snapToGrid w:val="0"/>
              <w:jc w:val="center"/>
              <w:rPr>
                <w:rFonts w:ascii="宋体" w:hAnsi="宋体"/>
              </w:rPr>
            </w:pPr>
            <w:r>
              <w:rPr>
                <w:rFonts w:ascii="宋体" w:hAnsi="宋体" w:cs="微软雅黑" w:hint="eastAsia"/>
                <w:color w:val="000000"/>
              </w:rPr>
              <w:t>范庆伟</w:t>
            </w:r>
          </w:p>
        </w:tc>
        <w:tc>
          <w:tcPr>
            <w:tcW w:w="2690" w:type="dxa"/>
            <w:vAlign w:val="center"/>
          </w:tcPr>
          <w:p w14:paraId="0FE34316" w14:textId="77777777" w:rsidR="004B0883" w:rsidRDefault="004B0883">
            <w:pPr>
              <w:widowControl w:val="0"/>
              <w:adjustRightInd w:val="0"/>
              <w:snapToGrid w:val="0"/>
              <w:jc w:val="center"/>
              <w:rPr>
                <w:rFonts w:ascii="宋体" w:hAnsi="宋体"/>
              </w:rPr>
            </w:pPr>
            <w:r>
              <w:rPr>
                <w:rFonts w:ascii="宋体" w:hAnsi="宋体" w:cs="微软雅黑" w:hint="eastAsia"/>
                <w:color w:val="000000"/>
              </w:rPr>
              <w:t>董事长，董事</w:t>
            </w:r>
          </w:p>
        </w:tc>
        <w:tc>
          <w:tcPr>
            <w:tcW w:w="3740" w:type="dxa"/>
            <w:vAlign w:val="center"/>
          </w:tcPr>
          <w:p w14:paraId="1C91557F" w14:textId="77777777" w:rsidR="004B0883" w:rsidRDefault="004B0883">
            <w:pPr>
              <w:adjustRightInd w:val="0"/>
              <w:jc w:val="center"/>
            </w:pPr>
            <w:r>
              <w:t>2021</w:t>
            </w:r>
            <w:r>
              <w:t>年</w:t>
            </w:r>
            <w:r>
              <w:t>3</w:t>
            </w:r>
            <w:r>
              <w:t>月</w:t>
            </w:r>
            <w:r>
              <w:t>17</w:t>
            </w:r>
            <w:r>
              <w:t>日</w:t>
            </w:r>
            <w:r>
              <w:t>—2024</w:t>
            </w:r>
            <w:r>
              <w:t>年</w:t>
            </w:r>
            <w:r>
              <w:t>3</w:t>
            </w:r>
            <w:r>
              <w:t>月</w:t>
            </w:r>
            <w:r>
              <w:t>16</w:t>
            </w:r>
            <w:r>
              <w:t>日</w:t>
            </w:r>
          </w:p>
        </w:tc>
      </w:tr>
      <w:tr w:rsidR="004B0883" w14:paraId="1BC7BC51" w14:textId="77777777">
        <w:trPr>
          <w:trHeight w:val="397"/>
          <w:jc w:val="center"/>
        </w:trPr>
        <w:tc>
          <w:tcPr>
            <w:tcW w:w="2096" w:type="dxa"/>
            <w:vAlign w:val="center"/>
          </w:tcPr>
          <w:p w14:paraId="52BCA883" w14:textId="77777777" w:rsidR="004B0883" w:rsidRDefault="004B0883">
            <w:pPr>
              <w:widowControl w:val="0"/>
              <w:adjustRightInd w:val="0"/>
              <w:snapToGrid w:val="0"/>
              <w:jc w:val="center"/>
              <w:rPr>
                <w:rFonts w:ascii="宋体" w:hAnsi="宋体"/>
              </w:rPr>
            </w:pPr>
            <w:r>
              <w:rPr>
                <w:rFonts w:ascii="宋体" w:hAnsi="宋体" w:cs="微软雅黑" w:hint="eastAsia"/>
                <w:color w:val="000000"/>
              </w:rPr>
              <w:t>李会君</w:t>
            </w:r>
          </w:p>
        </w:tc>
        <w:tc>
          <w:tcPr>
            <w:tcW w:w="2690" w:type="dxa"/>
            <w:vAlign w:val="center"/>
          </w:tcPr>
          <w:p w14:paraId="2A99994F" w14:textId="77777777" w:rsidR="004B0883" w:rsidRDefault="004B0883">
            <w:pPr>
              <w:widowControl w:val="0"/>
              <w:adjustRightInd w:val="0"/>
              <w:snapToGrid w:val="0"/>
              <w:jc w:val="center"/>
              <w:rPr>
                <w:rFonts w:ascii="宋体" w:hAnsi="宋体"/>
              </w:rPr>
            </w:pPr>
            <w:r>
              <w:rPr>
                <w:rFonts w:ascii="宋体" w:hAnsi="宋体" w:cs="微软雅黑" w:hint="eastAsia"/>
                <w:color w:val="000000"/>
              </w:rPr>
              <w:t>董事，总经理</w:t>
            </w:r>
          </w:p>
        </w:tc>
        <w:tc>
          <w:tcPr>
            <w:tcW w:w="3740" w:type="dxa"/>
            <w:vAlign w:val="center"/>
          </w:tcPr>
          <w:p w14:paraId="619B3EDE" w14:textId="77777777" w:rsidR="004B0883" w:rsidRDefault="004B0883">
            <w:pPr>
              <w:adjustRightInd w:val="0"/>
              <w:jc w:val="center"/>
            </w:pPr>
            <w:r>
              <w:t>2021</w:t>
            </w:r>
            <w:r>
              <w:t>年</w:t>
            </w:r>
            <w:r>
              <w:t>3</w:t>
            </w:r>
            <w:r>
              <w:t>月</w:t>
            </w:r>
            <w:r>
              <w:t>17</w:t>
            </w:r>
            <w:r>
              <w:t>日</w:t>
            </w:r>
            <w:r>
              <w:t>—2024</w:t>
            </w:r>
            <w:r>
              <w:t>年</w:t>
            </w:r>
            <w:r>
              <w:t>3</w:t>
            </w:r>
            <w:r>
              <w:t>月</w:t>
            </w:r>
            <w:r>
              <w:t>16</w:t>
            </w:r>
            <w:r>
              <w:t>日</w:t>
            </w:r>
          </w:p>
        </w:tc>
      </w:tr>
      <w:tr w:rsidR="004B0883" w14:paraId="636B6B16" w14:textId="77777777">
        <w:trPr>
          <w:trHeight w:val="397"/>
          <w:jc w:val="center"/>
        </w:trPr>
        <w:tc>
          <w:tcPr>
            <w:tcW w:w="2096" w:type="dxa"/>
            <w:vAlign w:val="center"/>
          </w:tcPr>
          <w:p w14:paraId="589037F5" w14:textId="77777777" w:rsidR="004B0883" w:rsidRDefault="004B0883">
            <w:pPr>
              <w:widowControl w:val="0"/>
              <w:adjustRightInd w:val="0"/>
              <w:snapToGrid w:val="0"/>
              <w:jc w:val="center"/>
              <w:rPr>
                <w:rFonts w:ascii="宋体" w:hAnsi="宋体"/>
              </w:rPr>
            </w:pPr>
            <w:r>
              <w:rPr>
                <w:rFonts w:ascii="宋体" w:hAnsi="宋体" w:cs="微软雅黑" w:hint="eastAsia"/>
                <w:color w:val="000000"/>
              </w:rPr>
              <w:t>迟娜娜</w:t>
            </w:r>
          </w:p>
        </w:tc>
        <w:tc>
          <w:tcPr>
            <w:tcW w:w="2690" w:type="dxa"/>
            <w:vAlign w:val="center"/>
          </w:tcPr>
          <w:p w14:paraId="2FBF8540" w14:textId="77777777" w:rsidR="004B0883" w:rsidRDefault="004B0883">
            <w:pPr>
              <w:widowControl w:val="0"/>
              <w:adjustRightInd w:val="0"/>
              <w:snapToGrid w:val="0"/>
              <w:jc w:val="center"/>
              <w:rPr>
                <w:rFonts w:ascii="宋体" w:hAnsi="宋体"/>
              </w:rPr>
            </w:pPr>
            <w:r>
              <w:rPr>
                <w:rFonts w:ascii="宋体" w:hAnsi="宋体" w:cs="微软雅黑" w:hint="eastAsia"/>
                <w:color w:val="000000"/>
              </w:rPr>
              <w:t>董事，财务总监</w:t>
            </w:r>
          </w:p>
        </w:tc>
        <w:tc>
          <w:tcPr>
            <w:tcW w:w="3740" w:type="dxa"/>
            <w:vAlign w:val="center"/>
          </w:tcPr>
          <w:p w14:paraId="6167BA85" w14:textId="77777777" w:rsidR="004B0883" w:rsidRDefault="004B0883">
            <w:pPr>
              <w:adjustRightInd w:val="0"/>
              <w:jc w:val="center"/>
            </w:pPr>
            <w:r>
              <w:t>2021</w:t>
            </w:r>
            <w:r>
              <w:t>年</w:t>
            </w:r>
            <w:r>
              <w:t>3</w:t>
            </w:r>
            <w:r>
              <w:t>月</w:t>
            </w:r>
            <w:r>
              <w:t>17</w:t>
            </w:r>
            <w:r>
              <w:t>日</w:t>
            </w:r>
            <w:r>
              <w:t>—2024</w:t>
            </w:r>
            <w:r>
              <w:t>年</w:t>
            </w:r>
            <w:r>
              <w:t>3</w:t>
            </w:r>
            <w:r>
              <w:t>月</w:t>
            </w:r>
            <w:r>
              <w:t>16</w:t>
            </w:r>
            <w:r>
              <w:t>日</w:t>
            </w:r>
          </w:p>
        </w:tc>
      </w:tr>
      <w:tr w:rsidR="004B0883" w14:paraId="6F3D22BF" w14:textId="77777777">
        <w:trPr>
          <w:trHeight w:val="397"/>
          <w:jc w:val="center"/>
        </w:trPr>
        <w:tc>
          <w:tcPr>
            <w:tcW w:w="2096" w:type="dxa"/>
            <w:vAlign w:val="center"/>
          </w:tcPr>
          <w:p w14:paraId="2AF824FA" w14:textId="77777777" w:rsidR="004B0883" w:rsidRDefault="004B0883">
            <w:pPr>
              <w:widowControl w:val="0"/>
              <w:adjustRightInd w:val="0"/>
              <w:snapToGrid w:val="0"/>
              <w:jc w:val="center"/>
              <w:rPr>
                <w:rFonts w:ascii="宋体" w:hAnsi="宋体"/>
              </w:rPr>
            </w:pPr>
            <w:r>
              <w:rPr>
                <w:rFonts w:ascii="宋体" w:hAnsi="宋体" w:cs="微软雅黑" w:hint="eastAsia"/>
                <w:color w:val="000000"/>
              </w:rPr>
              <w:t>范玉隆</w:t>
            </w:r>
          </w:p>
        </w:tc>
        <w:tc>
          <w:tcPr>
            <w:tcW w:w="2690" w:type="dxa"/>
            <w:vAlign w:val="center"/>
          </w:tcPr>
          <w:p w14:paraId="0CAF5993" w14:textId="77777777" w:rsidR="004B0883" w:rsidRDefault="004B0883">
            <w:pPr>
              <w:widowControl w:val="0"/>
              <w:adjustRightInd w:val="0"/>
              <w:snapToGrid w:val="0"/>
              <w:jc w:val="center"/>
              <w:rPr>
                <w:rFonts w:ascii="宋体" w:hAnsi="宋体"/>
              </w:rPr>
            </w:pPr>
            <w:r>
              <w:rPr>
                <w:rFonts w:ascii="宋体" w:hAnsi="宋体" w:cs="微软雅黑" w:hint="eastAsia"/>
                <w:color w:val="000000"/>
              </w:rPr>
              <w:t>董事</w:t>
            </w:r>
          </w:p>
        </w:tc>
        <w:tc>
          <w:tcPr>
            <w:tcW w:w="3740" w:type="dxa"/>
            <w:vAlign w:val="center"/>
          </w:tcPr>
          <w:p w14:paraId="3E0C0C35" w14:textId="77777777" w:rsidR="004B0883" w:rsidRDefault="004B0883">
            <w:pPr>
              <w:adjustRightInd w:val="0"/>
              <w:jc w:val="center"/>
            </w:pPr>
            <w:r>
              <w:t>2021</w:t>
            </w:r>
            <w:r>
              <w:t>年</w:t>
            </w:r>
            <w:r>
              <w:t>3</w:t>
            </w:r>
            <w:r>
              <w:t>月</w:t>
            </w:r>
            <w:r>
              <w:t>17</w:t>
            </w:r>
            <w:r>
              <w:t>日</w:t>
            </w:r>
            <w:r>
              <w:t>—2024</w:t>
            </w:r>
            <w:r>
              <w:t>年</w:t>
            </w:r>
            <w:r>
              <w:t>3</w:t>
            </w:r>
            <w:r>
              <w:t>月</w:t>
            </w:r>
            <w:r>
              <w:t>16</w:t>
            </w:r>
            <w:r>
              <w:t>日</w:t>
            </w:r>
          </w:p>
        </w:tc>
      </w:tr>
      <w:tr w:rsidR="004B0883" w14:paraId="3A8B160A" w14:textId="77777777">
        <w:trPr>
          <w:trHeight w:val="397"/>
          <w:jc w:val="center"/>
        </w:trPr>
        <w:tc>
          <w:tcPr>
            <w:tcW w:w="2096" w:type="dxa"/>
            <w:vAlign w:val="center"/>
          </w:tcPr>
          <w:p w14:paraId="176ADCE5" w14:textId="77777777" w:rsidR="004B0883" w:rsidRDefault="004B0883">
            <w:pPr>
              <w:widowControl w:val="0"/>
              <w:adjustRightInd w:val="0"/>
              <w:snapToGrid w:val="0"/>
              <w:jc w:val="center"/>
              <w:rPr>
                <w:rFonts w:ascii="宋体" w:hAnsi="宋体"/>
              </w:rPr>
            </w:pPr>
            <w:r>
              <w:rPr>
                <w:rFonts w:ascii="宋体" w:hAnsi="宋体" w:cs="微软雅黑" w:hint="eastAsia"/>
                <w:color w:val="000000"/>
              </w:rPr>
              <w:t>宋银立</w:t>
            </w:r>
          </w:p>
        </w:tc>
        <w:tc>
          <w:tcPr>
            <w:tcW w:w="2690" w:type="dxa"/>
            <w:vAlign w:val="center"/>
          </w:tcPr>
          <w:p w14:paraId="79A8F90E" w14:textId="77777777" w:rsidR="004B0883" w:rsidRDefault="004B0883">
            <w:pPr>
              <w:widowControl w:val="0"/>
              <w:adjustRightInd w:val="0"/>
              <w:snapToGrid w:val="0"/>
              <w:jc w:val="center"/>
              <w:rPr>
                <w:rFonts w:ascii="宋体" w:hAnsi="宋体"/>
              </w:rPr>
            </w:pPr>
            <w:r>
              <w:rPr>
                <w:rFonts w:ascii="宋体" w:hAnsi="宋体" w:cs="微软雅黑" w:hint="eastAsia"/>
                <w:color w:val="000000"/>
              </w:rPr>
              <w:t>独立董事</w:t>
            </w:r>
          </w:p>
        </w:tc>
        <w:tc>
          <w:tcPr>
            <w:tcW w:w="3740" w:type="dxa"/>
            <w:vAlign w:val="center"/>
          </w:tcPr>
          <w:p w14:paraId="6267934F" w14:textId="77777777" w:rsidR="004B0883" w:rsidRDefault="004B0883">
            <w:pPr>
              <w:adjustRightInd w:val="0"/>
              <w:jc w:val="center"/>
            </w:pPr>
            <w:r>
              <w:t>2021</w:t>
            </w:r>
            <w:r>
              <w:t>年</w:t>
            </w:r>
            <w:r>
              <w:t>3</w:t>
            </w:r>
            <w:r>
              <w:t>月</w:t>
            </w:r>
            <w:r>
              <w:t>17</w:t>
            </w:r>
            <w:r>
              <w:t>日</w:t>
            </w:r>
            <w:r>
              <w:t>—2024</w:t>
            </w:r>
            <w:r>
              <w:t>年</w:t>
            </w:r>
            <w:r>
              <w:t>3</w:t>
            </w:r>
            <w:r>
              <w:t>月</w:t>
            </w:r>
            <w:r>
              <w:t>16</w:t>
            </w:r>
            <w:r>
              <w:t>日</w:t>
            </w:r>
          </w:p>
        </w:tc>
      </w:tr>
      <w:tr w:rsidR="004B0883" w14:paraId="040A38FC" w14:textId="77777777">
        <w:trPr>
          <w:trHeight w:val="397"/>
          <w:jc w:val="center"/>
        </w:trPr>
        <w:tc>
          <w:tcPr>
            <w:tcW w:w="2096" w:type="dxa"/>
            <w:vAlign w:val="center"/>
          </w:tcPr>
          <w:p w14:paraId="04D95D65" w14:textId="77777777" w:rsidR="004B0883" w:rsidRDefault="004B0883">
            <w:pPr>
              <w:widowControl w:val="0"/>
              <w:adjustRightInd w:val="0"/>
              <w:snapToGrid w:val="0"/>
              <w:jc w:val="center"/>
              <w:rPr>
                <w:rFonts w:ascii="宋体" w:hAnsi="宋体"/>
              </w:rPr>
            </w:pPr>
            <w:r>
              <w:rPr>
                <w:rFonts w:ascii="宋体" w:hAnsi="宋体" w:cs="微软雅黑" w:hint="eastAsia"/>
                <w:color w:val="000000"/>
              </w:rPr>
              <w:t>樊培银</w:t>
            </w:r>
          </w:p>
        </w:tc>
        <w:tc>
          <w:tcPr>
            <w:tcW w:w="2690" w:type="dxa"/>
            <w:vAlign w:val="center"/>
          </w:tcPr>
          <w:p w14:paraId="21E0A46A" w14:textId="77777777" w:rsidR="004B0883" w:rsidRDefault="004B0883">
            <w:pPr>
              <w:widowControl w:val="0"/>
              <w:adjustRightInd w:val="0"/>
              <w:snapToGrid w:val="0"/>
              <w:jc w:val="center"/>
              <w:rPr>
                <w:rFonts w:ascii="宋体" w:hAnsi="宋体"/>
              </w:rPr>
            </w:pPr>
            <w:r>
              <w:rPr>
                <w:rFonts w:ascii="宋体" w:hAnsi="宋体" w:cs="微软雅黑" w:hint="eastAsia"/>
                <w:color w:val="000000"/>
              </w:rPr>
              <w:t>独立董事</w:t>
            </w:r>
          </w:p>
        </w:tc>
        <w:tc>
          <w:tcPr>
            <w:tcW w:w="3740" w:type="dxa"/>
            <w:vAlign w:val="center"/>
          </w:tcPr>
          <w:p w14:paraId="42103D3E" w14:textId="77777777" w:rsidR="004B0883" w:rsidRDefault="004B0883">
            <w:pPr>
              <w:adjustRightInd w:val="0"/>
              <w:jc w:val="center"/>
            </w:pPr>
            <w:r>
              <w:t>2021</w:t>
            </w:r>
            <w:r>
              <w:t>年</w:t>
            </w:r>
            <w:r>
              <w:t>3</w:t>
            </w:r>
            <w:r>
              <w:t>月</w:t>
            </w:r>
            <w:r>
              <w:t>17</w:t>
            </w:r>
            <w:r>
              <w:t>日</w:t>
            </w:r>
            <w:r>
              <w:t>—2024</w:t>
            </w:r>
            <w:r>
              <w:t>年</w:t>
            </w:r>
            <w:r>
              <w:t>3</w:t>
            </w:r>
            <w:r>
              <w:t>月</w:t>
            </w:r>
            <w:r>
              <w:t>16</w:t>
            </w:r>
            <w:r>
              <w:t>日</w:t>
            </w:r>
          </w:p>
        </w:tc>
      </w:tr>
      <w:tr w:rsidR="004B0883" w14:paraId="19190E42" w14:textId="77777777">
        <w:trPr>
          <w:trHeight w:val="397"/>
          <w:jc w:val="center"/>
        </w:trPr>
        <w:tc>
          <w:tcPr>
            <w:tcW w:w="2096" w:type="dxa"/>
            <w:vAlign w:val="center"/>
          </w:tcPr>
          <w:p w14:paraId="1738DDA3" w14:textId="77777777" w:rsidR="004B0883" w:rsidRDefault="004B0883">
            <w:pPr>
              <w:widowControl w:val="0"/>
              <w:adjustRightInd w:val="0"/>
              <w:snapToGrid w:val="0"/>
              <w:jc w:val="center"/>
              <w:rPr>
                <w:rFonts w:ascii="宋体" w:hAnsi="宋体"/>
              </w:rPr>
            </w:pPr>
            <w:r>
              <w:rPr>
                <w:rFonts w:ascii="宋体" w:hAnsi="宋体" w:cs="微软雅黑" w:hint="eastAsia"/>
                <w:color w:val="000000"/>
              </w:rPr>
              <w:t>高科</w:t>
            </w:r>
          </w:p>
        </w:tc>
        <w:tc>
          <w:tcPr>
            <w:tcW w:w="2690" w:type="dxa"/>
            <w:vAlign w:val="center"/>
          </w:tcPr>
          <w:p w14:paraId="7B9B71A1" w14:textId="77777777" w:rsidR="004B0883" w:rsidRDefault="004B0883">
            <w:pPr>
              <w:widowControl w:val="0"/>
              <w:adjustRightInd w:val="0"/>
              <w:snapToGrid w:val="0"/>
              <w:jc w:val="center"/>
              <w:rPr>
                <w:rFonts w:ascii="宋体" w:hAnsi="宋体"/>
              </w:rPr>
            </w:pPr>
            <w:r>
              <w:rPr>
                <w:rFonts w:ascii="宋体" w:hAnsi="宋体" w:cs="微软雅黑" w:hint="eastAsia"/>
                <w:color w:val="000000"/>
              </w:rPr>
              <w:t>独立董事</w:t>
            </w:r>
          </w:p>
        </w:tc>
        <w:tc>
          <w:tcPr>
            <w:tcW w:w="3740" w:type="dxa"/>
            <w:vAlign w:val="center"/>
          </w:tcPr>
          <w:p w14:paraId="15632F44" w14:textId="77777777" w:rsidR="004B0883" w:rsidRDefault="004B0883">
            <w:pPr>
              <w:adjustRightInd w:val="0"/>
              <w:jc w:val="center"/>
            </w:pPr>
            <w:r>
              <w:t>2021</w:t>
            </w:r>
            <w:r>
              <w:t>年</w:t>
            </w:r>
            <w:r>
              <w:t>3</w:t>
            </w:r>
            <w:r>
              <w:t>月</w:t>
            </w:r>
            <w:r>
              <w:t>17</w:t>
            </w:r>
            <w:r>
              <w:t>日</w:t>
            </w:r>
            <w:r>
              <w:t>—2024</w:t>
            </w:r>
            <w:r>
              <w:t>年</w:t>
            </w:r>
            <w:r>
              <w:t>3</w:t>
            </w:r>
            <w:r>
              <w:t>月</w:t>
            </w:r>
            <w:r>
              <w:t>16</w:t>
            </w:r>
            <w:r>
              <w:t>日</w:t>
            </w:r>
          </w:p>
        </w:tc>
      </w:tr>
    </w:tbl>
    <w:p w14:paraId="7144C98C" w14:textId="77777777" w:rsidR="004B0883" w:rsidRDefault="004B0883">
      <w:pPr>
        <w:keepNext/>
        <w:keepLines/>
        <w:widowControl w:val="0"/>
        <w:spacing w:beforeLines="50" w:before="120" w:line="360" w:lineRule="auto"/>
        <w:ind w:firstLineChars="200" w:firstLine="482"/>
        <w:jc w:val="both"/>
        <w:outlineLvl w:val="3"/>
        <w:rPr>
          <w:b/>
          <w:bCs/>
          <w:sz w:val="24"/>
          <w:szCs w:val="28"/>
          <w:lang w:val="zh-CN"/>
        </w:rPr>
      </w:pPr>
      <w:r>
        <w:rPr>
          <w:rFonts w:hint="eastAsia"/>
          <w:b/>
          <w:bCs/>
          <w:sz w:val="24"/>
          <w:szCs w:val="28"/>
          <w:lang w:val="zh-CN"/>
        </w:rPr>
        <w:t>（</w:t>
      </w:r>
      <w:r>
        <w:rPr>
          <w:rFonts w:hint="eastAsia"/>
          <w:b/>
          <w:bCs/>
          <w:sz w:val="24"/>
          <w:szCs w:val="28"/>
          <w:lang w:val="zh-CN"/>
        </w:rPr>
        <w:t>2</w:t>
      </w:r>
      <w:r>
        <w:rPr>
          <w:rFonts w:hint="eastAsia"/>
          <w:b/>
          <w:bCs/>
          <w:sz w:val="24"/>
          <w:szCs w:val="28"/>
          <w:lang w:val="zh-CN"/>
        </w:rPr>
        <w:t>）监事任职情况</w:t>
      </w:r>
    </w:p>
    <w:tbl>
      <w:tblPr>
        <w:tblW w:w="8528"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96"/>
        <w:gridCol w:w="2691"/>
        <w:gridCol w:w="3741"/>
      </w:tblGrid>
      <w:tr w:rsidR="004B0883" w14:paraId="27945B8A" w14:textId="77777777">
        <w:trPr>
          <w:trHeight w:val="397"/>
          <w:tblHeader/>
          <w:jc w:val="center"/>
        </w:trPr>
        <w:tc>
          <w:tcPr>
            <w:tcW w:w="2096" w:type="dxa"/>
            <w:shd w:val="clear" w:color="auto" w:fill="D9D9D9"/>
            <w:vAlign w:val="center"/>
          </w:tcPr>
          <w:p w14:paraId="76F4FC50" w14:textId="77777777" w:rsidR="004B0883" w:rsidRDefault="004B0883">
            <w:pPr>
              <w:widowControl w:val="0"/>
              <w:adjustRightInd w:val="0"/>
              <w:snapToGrid w:val="0"/>
              <w:jc w:val="center"/>
              <w:rPr>
                <w:rFonts w:ascii="宋体" w:hAnsi="宋体"/>
                <w:b/>
                <w:bCs/>
              </w:rPr>
            </w:pPr>
            <w:r>
              <w:rPr>
                <w:rFonts w:ascii="宋体" w:hAnsi="宋体"/>
                <w:b/>
                <w:bCs/>
              </w:rPr>
              <w:t>姓名</w:t>
            </w:r>
          </w:p>
        </w:tc>
        <w:tc>
          <w:tcPr>
            <w:tcW w:w="2691" w:type="dxa"/>
            <w:shd w:val="clear" w:color="auto" w:fill="D9D9D9"/>
            <w:vAlign w:val="center"/>
          </w:tcPr>
          <w:p w14:paraId="2F807E07" w14:textId="77777777" w:rsidR="004B0883" w:rsidRDefault="004B0883">
            <w:pPr>
              <w:widowControl w:val="0"/>
              <w:adjustRightInd w:val="0"/>
              <w:snapToGrid w:val="0"/>
              <w:jc w:val="center"/>
              <w:rPr>
                <w:rFonts w:ascii="宋体" w:hAnsi="宋体"/>
                <w:b/>
              </w:rPr>
            </w:pPr>
            <w:r>
              <w:rPr>
                <w:rFonts w:ascii="宋体" w:hAnsi="宋体"/>
                <w:b/>
              </w:rPr>
              <w:t>在公司职务</w:t>
            </w:r>
          </w:p>
        </w:tc>
        <w:tc>
          <w:tcPr>
            <w:tcW w:w="3741" w:type="dxa"/>
            <w:shd w:val="clear" w:color="auto" w:fill="D9D9D9"/>
            <w:vAlign w:val="center"/>
          </w:tcPr>
          <w:p w14:paraId="6F6F9AD9" w14:textId="77777777" w:rsidR="004B0883" w:rsidRDefault="004B0883">
            <w:pPr>
              <w:widowControl w:val="0"/>
              <w:adjustRightInd w:val="0"/>
              <w:snapToGrid w:val="0"/>
              <w:jc w:val="center"/>
              <w:rPr>
                <w:rFonts w:ascii="宋体" w:hAnsi="宋体"/>
                <w:b/>
              </w:rPr>
            </w:pPr>
            <w:r>
              <w:rPr>
                <w:rFonts w:ascii="宋体" w:hAnsi="宋体"/>
                <w:b/>
              </w:rPr>
              <w:t>任职期限</w:t>
            </w:r>
          </w:p>
        </w:tc>
      </w:tr>
      <w:tr w:rsidR="004B0883" w14:paraId="6979673C" w14:textId="77777777">
        <w:trPr>
          <w:trHeight w:val="397"/>
          <w:tblHeader/>
          <w:jc w:val="center"/>
        </w:trPr>
        <w:tc>
          <w:tcPr>
            <w:tcW w:w="2096" w:type="dxa"/>
            <w:vAlign w:val="center"/>
          </w:tcPr>
          <w:p w14:paraId="01887568" w14:textId="77777777" w:rsidR="004B0883" w:rsidRDefault="004B0883">
            <w:pPr>
              <w:widowControl w:val="0"/>
              <w:adjustRightInd w:val="0"/>
              <w:snapToGrid w:val="0"/>
              <w:jc w:val="center"/>
              <w:rPr>
                <w:rFonts w:ascii="宋体" w:hAnsi="宋体"/>
              </w:rPr>
            </w:pPr>
            <w:r>
              <w:rPr>
                <w:rFonts w:ascii="宋体" w:hAnsi="宋体" w:cs="微软雅黑" w:hint="eastAsia"/>
                <w:color w:val="000000"/>
              </w:rPr>
              <w:t>于春红</w:t>
            </w:r>
          </w:p>
        </w:tc>
        <w:tc>
          <w:tcPr>
            <w:tcW w:w="2691" w:type="dxa"/>
            <w:vAlign w:val="center"/>
          </w:tcPr>
          <w:p w14:paraId="6B0CDA11" w14:textId="77777777" w:rsidR="004B0883" w:rsidRDefault="004B0883">
            <w:pPr>
              <w:widowControl w:val="0"/>
              <w:adjustRightInd w:val="0"/>
              <w:snapToGrid w:val="0"/>
              <w:jc w:val="center"/>
              <w:rPr>
                <w:rFonts w:ascii="宋体" w:hAnsi="宋体"/>
              </w:rPr>
            </w:pPr>
            <w:r>
              <w:rPr>
                <w:rFonts w:ascii="宋体" w:hAnsi="宋体" w:cs="微软雅黑" w:hint="eastAsia"/>
                <w:color w:val="000000"/>
              </w:rPr>
              <w:t>监事会主席</w:t>
            </w:r>
          </w:p>
        </w:tc>
        <w:tc>
          <w:tcPr>
            <w:tcW w:w="3741" w:type="dxa"/>
            <w:vAlign w:val="center"/>
          </w:tcPr>
          <w:p w14:paraId="67169C5C" w14:textId="77777777" w:rsidR="004B0883" w:rsidRDefault="004B0883">
            <w:pPr>
              <w:adjustRightInd w:val="0"/>
              <w:jc w:val="center"/>
            </w:pPr>
            <w:r>
              <w:t>2021</w:t>
            </w:r>
            <w:r>
              <w:t>年</w:t>
            </w:r>
            <w:r>
              <w:t>3</w:t>
            </w:r>
            <w:r>
              <w:t>月</w:t>
            </w:r>
            <w:r>
              <w:t>17</w:t>
            </w:r>
            <w:r>
              <w:t>日</w:t>
            </w:r>
            <w:r>
              <w:t>—2024</w:t>
            </w:r>
            <w:r>
              <w:t>年</w:t>
            </w:r>
            <w:r>
              <w:t>3</w:t>
            </w:r>
            <w:r>
              <w:t>月</w:t>
            </w:r>
            <w:r>
              <w:t>16</w:t>
            </w:r>
            <w:r>
              <w:t>日</w:t>
            </w:r>
          </w:p>
        </w:tc>
      </w:tr>
      <w:tr w:rsidR="004B0883" w14:paraId="26320F6C" w14:textId="77777777">
        <w:trPr>
          <w:trHeight w:val="397"/>
          <w:tblHeader/>
          <w:jc w:val="center"/>
        </w:trPr>
        <w:tc>
          <w:tcPr>
            <w:tcW w:w="2096" w:type="dxa"/>
            <w:vAlign w:val="center"/>
          </w:tcPr>
          <w:p w14:paraId="717A65A0" w14:textId="77777777" w:rsidR="004B0883" w:rsidRDefault="004B0883">
            <w:pPr>
              <w:widowControl w:val="0"/>
              <w:adjustRightInd w:val="0"/>
              <w:snapToGrid w:val="0"/>
              <w:jc w:val="center"/>
              <w:rPr>
                <w:rFonts w:ascii="宋体" w:hAnsi="宋体"/>
              </w:rPr>
            </w:pPr>
            <w:r>
              <w:rPr>
                <w:rFonts w:ascii="宋体" w:hAnsi="宋体" w:cs="微软雅黑" w:hint="eastAsia"/>
                <w:color w:val="000000"/>
              </w:rPr>
              <w:t>王凤春</w:t>
            </w:r>
          </w:p>
        </w:tc>
        <w:tc>
          <w:tcPr>
            <w:tcW w:w="2691" w:type="dxa"/>
            <w:vAlign w:val="center"/>
          </w:tcPr>
          <w:p w14:paraId="7F999C7D" w14:textId="77777777" w:rsidR="004B0883" w:rsidRDefault="004B0883">
            <w:pPr>
              <w:widowControl w:val="0"/>
              <w:adjustRightInd w:val="0"/>
              <w:snapToGrid w:val="0"/>
              <w:jc w:val="center"/>
              <w:rPr>
                <w:rFonts w:ascii="宋体" w:hAnsi="宋体"/>
              </w:rPr>
            </w:pPr>
            <w:r>
              <w:rPr>
                <w:rFonts w:ascii="宋体" w:hAnsi="宋体" w:cs="微软雅黑" w:hint="eastAsia"/>
                <w:color w:val="000000"/>
              </w:rPr>
              <w:t>监事</w:t>
            </w:r>
          </w:p>
        </w:tc>
        <w:tc>
          <w:tcPr>
            <w:tcW w:w="3741" w:type="dxa"/>
            <w:vAlign w:val="center"/>
          </w:tcPr>
          <w:p w14:paraId="431560DE" w14:textId="77777777" w:rsidR="004B0883" w:rsidRDefault="004B0883">
            <w:pPr>
              <w:adjustRightInd w:val="0"/>
              <w:jc w:val="center"/>
            </w:pPr>
            <w:r>
              <w:t>2021</w:t>
            </w:r>
            <w:r>
              <w:t>年</w:t>
            </w:r>
            <w:r>
              <w:t>3</w:t>
            </w:r>
            <w:r>
              <w:t>月</w:t>
            </w:r>
            <w:r>
              <w:t>17</w:t>
            </w:r>
            <w:r>
              <w:t>日</w:t>
            </w:r>
            <w:r>
              <w:t>—2024</w:t>
            </w:r>
            <w:r>
              <w:t>年</w:t>
            </w:r>
            <w:r>
              <w:t>3</w:t>
            </w:r>
            <w:r>
              <w:t>月</w:t>
            </w:r>
            <w:r>
              <w:t>16</w:t>
            </w:r>
            <w:r>
              <w:t>日</w:t>
            </w:r>
          </w:p>
        </w:tc>
      </w:tr>
      <w:tr w:rsidR="004B0883" w14:paraId="0CA77F25" w14:textId="77777777">
        <w:trPr>
          <w:trHeight w:val="397"/>
          <w:jc w:val="center"/>
        </w:trPr>
        <w:tc>
          <w:tcPr>
            <w:tcW w:w="2096" w:type="dxa"/>
            <w:vAlign w:val="center"/>
          </w:tcPr>
          <w:p w14:paraId="698675DA" w14:textId="77777777" w:rsidR="004B0883" w:rsidRDefault="004B0883">
            <w:pPr>
              <w:widowControl w:val="0"/>
              <w:adjustRightInd w:val="0"/>
              <w:snapToGrid w:val="0"/>
              <w:jc w:val="center"/>
              <w:rPr>
                <w:rFonts w:ascii="宋体" w:hAnsi="宋体"/>
              </w:rPr>
            </w:pPr>
            <w:r>
              <w:rPr>
                <w:rFonts w:ascii="宋体" w:hAnsi="宋体" w:cs="微软雅黑" w:hint="eastAsia"/>
                <w:color w:val="000000"/>
              </w:rPr>
              <w:t>张涛</w:t>
            </w:r>
          </w:p>
        </w:tc>
        <w:tc>
          <w:tcPr>
            <w:tcW w:w="2691" w:type="dxa"/>
            <w:vAlign w:val="center"/>
          </w:tcPr>
          <w:p w14:paraId="6664214E" w14:textId="77777777" w:rsidR="004B0883" w:rsidRDefault="004B0883">
            <w:pPr>
              <w:widowControl w:val="0"/>
              <w:adjustRightInd w:val="0"/>
              <w:snapToGrid w:val="0"/>
              <w:jc w:val="center"/>
              <w:rPr>
                <w:rFonts w:ascii="宋体" w:hAnsi="宋体"/>
              </w:rPr>
            </w:pPr>
            <w:r>
              <w:rPr>
                <w:rFonts w:ascii="宋体" w:hAnsi="宋体" w:cs="微软雅黑" w:hint="eastAsia"/>
                <w:color w:val="000000"/>
              </w:rPr>
              <w:t>监事</w:t>
            </w:r>
          </w:p>
        </w:tc>
        <w:tc>
          <w:tcPr>
            <w:tcW w:w="3741" w:type="dxa"/>
            <w:vAlign w:val="center"/>
          </w:tcPr>
          <w:p w14:paraId="2A5EA9DE" w14:textId="77777777" w:rsidR="004B0883" w:rsidRDefault="004B0883">
            <w:pPr>
              <w:adjustRightInd w:val="0"/>
              <w:jc w:val="center"/>
            </w:pPr>
            <w:r>
              <w:t>2021</w:t>
            </w:r>
            <w:r>
              <w:t>年</w:t>
            </w:r>
            <w:r>
              <w:t>3</w:t>
            </w:r>
            <w:r>
              <w:t>月</w:t>
            </w:r>
            <w:r>
              <w:t>17</w:t>
            </w:r>
            <w:r>
              <w:t>日</w:t>
            </w:r>
            <w:r>
              <w:t>—2024</w:t>
            </w:r>
            <w:r>
              <w:t>年</w:t>
            </w:r>
            <w:r>
              <w:t>3</w:t>
            </w:r>
            <w:r>
              <w:t>月</w:t>
            </w:r>
            <w:r>
              <w:t>16</w:t>
            </w:r>
            <w:r>
              <w:t>日</w:t>
            </w:r>
          </w:p>
        </w:tc>
      </w:tr>
    </w:tbl>
    <w:p w14:paraId="10C56B96" w14:textId="77777777" w:rsidR="004B0883" w:rsidRDefault="004B0883">
      <w:pPr>
        <w:keepNext/>
        <w:keepLines/>
        <w:widowControl w:val="0"/>
        <w:numPr>
          <w:ilvl w:val="0"/>
          <w:numId w:val="23"/>
        </w:numPr>
        <w:spacing w:beforeLines="50" w:before="120" w:line="360" w:lineRule="auto"/>
        <w:ind w:firstLineChars="200" w:firstLine="482"/>
        <w:jc w:val="both"/>
        <w:outlineLvl w:val="3"/>
        <w:rPr>
          <w:rFonts w:hint="eastAsia"/>
          <w:b/>
          <w:bCs/>
          <w:sz w:val="24"/>
          <w:szCs w:val="28"/>
          <w:lang w:val="zh-CN"/>
        </w:rPr>
      </w:pPr>
      <w:r>
        <w:rPr>
          <w:rFonts w:hint="eastAsia"/>
          <w:b/>
          <w:bCs/>
          <w:sz w:val="24"/>
          <w:szCs w:val="28"/>
          <w:lang w:val="zh-CN"/>
        </w:rPr>
        <w:t>高级管理人员任职情况</w:t>
      </w:r>
    </w:p>
    <w:tbl>
      <w:tblPr>
        <w:tblW w:w="8528"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96"/>
        <w:gridCol w:w="2691"/>
        <w:gridCol w:w="3741"/>
      </w:tblGrid>
      <w:tr w:rsidR="004B0883" w14:paraId="4DCB5EC4" w14:textId="77777777">
        <w:trPr>
          <w:trHeight w:val="397"/>
          <w:tblHeader/>
          <w:jc w:val="center"/>
        </w:trPr>
        <w:tc>
          <w:tcPr>
            <w:tcW w:w="2096" w:type="dxa"/>
            <w:shd w:val="clear" w:color="auto" w:fill="D9D9D9"/>
            <w:vAlign w:val="center"/>
          </w:tcPr>
          <w:p w14:paraId="00BD155D" w14:textId="77777777" w:rsidR="004B0883" w:rsidRDefault="004B0883">
            <w:pPr>
              <w:widowControl w:val="0"/>
              <w:adjustRightInd w:val="0"/>
              <w:snapToGrid w:val="0"/>
              <w:jc w:val="center"/>
              <w:rPr>
                <w:b/>
                <w:bCs/>
              </w:rPr>
            </w:pPr>
            <w:r>
              <w:rPr>
                <w:b/>
                <w:bCs/>
              </w:rPr>
              <w:t>姓名</w:t>
            </w:r>
          </w:p>
        </w:tc>
        <w:tc>
          <w:tcPr>
            <w:tcW w:w="2691" w:type="dxa"/>
            <w:shd w:val="clear" w:color="auto" w:fill="D9D9D9"/>
            <w:vAlign w:val="center"/>
          </w:tcPr>
          <w:p w14:paraId="70E94947" w14:textId="77777777" w:rsidR="004B0883" w:rsidRDefault="004B0883">
            <w:pPr>
              <w:widowControl w:val="0"/>
              <w:adjustRightInd w:val="0"/>
              <w:snapToGrid w:val="0"/>
              <w:jc w:val="center"/>
              <w:rPr>
                <w:b/>
              </w:rPr>
            </w:pPr>
            <w:r>
              <w:rPr>
                <w:b/>
              </w:rPr>
              <w:t>在公司职务</w:t>
            </w:r>
          </w:p>
        </w:tc>
        <w:tc>
          <w:tcPr>
            <w:tcW w:w="3741" w:type="dxa"/>
            <w:shd w:val="clear" w:color="auto" w:fill="D9D9D9"/>
            <w:vAlign w:val="center"/>
          </w:tcPr>
          <w:p w14:paraId="40AD2759" w14:textId="77777777" w:rsidR="004B0883" w:rsidRDefault="004B0883">
            <w:pPr>
              <w:widowControl w:val="0"/>
              <w:adjustRightInd w:val="0"/>
              <w:snapToGrid w:val="0"/>
              <w:jc w:val="center"/>
              <w:rPr>
                <w:b/>
              </w:rPr>
            </w:pPr>
            <w:r>
              <w:rPr>
                <w:b/>
              </w:rPr>
              <w:t>任职期限</w:t>
            </w:r>
          </w:p>
        </w:tc>
      </w:tr>
      <w:tr w:rsidR="004B0883" w14:paraId="4EB0D355" w14:textId="77777777">
        <w:trPr>
          <w:trHeight w:val="397"/>
          <w:jc w:val="center"/>
        </w:trPr>
        <w:tc>
          <w:tcPr>
            <w:tcW w:w="2096" w:type="dxa"/>
            <w:vAlign w:val="center"/>
          </w:tcPr>
          <w:p w14:paraId="0DFF7274" w14:textId="77777777" w:rsidR="004B0883" w:rsidRDefault="004B0883">
            <w:pPr>
              <w:widowControl w:val="0"/>
              <w:adjustRightInd w:val="0"/>
              <w:snapToGrid w:val="0"/>
              <w:jc w:val="center"/>
            </w:pPr>
            <w:r>
              <w:t>张会亭</w:t>
            </w:r>
          </w:p>
        </w:tc>
        <w:tc>
          <w:tcPr>
            <w:tcW w:w="2691" w:type="dxa"/>
            <w:vAlign w:val="center"/>
          </w:tcPr>
          <w:p w14:paraId="1BD6792D" w14:textId="77777777" w:rsidR="004B0883" w:rsidRDefault="004B0883">
            <w:pPr>
              <w:widowControl w:val="0"/>
              <w:adjustRightInd w:val="0"/>
              <w:snapToGrid w:val="0"/>
              <w:jc w:val="center"/>
            </w:pPr>
            <w:r>
              <w:rPr>
                <w:color w:val="000000"/>
              </w:rPr>
              <w:t>研发技术总监</w:t>
            </w:r>
          </w:p>
        </w:tc>
        <w:tc>
          <w:tcPr>
            <w:tcW w:w="3741" w:type="dxa"/>
            <w:vAlign w:val="center"/>
          </w:tcPr>
          <w:p w14:paraId="0DF36D32" w14:textId="77777777" w:rsidR="004B0883" w:rsidRDefault="004B0883">
            <w:pPr>
              <w:jc w:val="center"/>
            </w:pPr>
            <w:r>
              <w:t>2021</w:t>
            </w:r>
            <w:r>
              <w:t>年</w:t>
            </w:r>
            <w:r>
              <w:t>3</w:t>
            </w:r>
            <w:r>
              <w:t>月</w:t>
            </w:r>
            <w:r>
              <w:rPr>
                <w:rFonts w:hint="eastAsia"/>
              </w:rPr>
              <w:t>22</w:t>
            </w:r>
            <w:r>
              <w:t>日</w:t>
            </w:r>
            <w:r>
              <w:t>—2024</w:t>
            </w:r>
            <w:r>
              <w:t>年</w:t>
            </w:r>
            <w:r>
              <w:t>3</w:t>
            </w:r>
            <w:r>
              <w:t>月</w:t>
            </w:r>
            <w:r>
              <w:t>16</w:t>
            </w:r>
            <w:r>
              <w:t>日</w:t>
            </w:r>
          </w:p>
        </w:tc>
      </w:tr>
      <w:tr w:rsidR="004B0883" w14:paraId="07963144" w14:textId="77777777">
        <w:trPr>
          <w:trHeight w:val="397"/>
          <w:jc w:val="center"/>
        </w:trPr>
        <w:tc>
          <w:tcPr>
            <w:tcW w:w="2096" w:type="dxa"/>
            <w:vAlign w:val="center"/>
          </w:tcPr>
          <w:p w14:paraId="70A8383F" w14:textId="77777777" w:rsidR="004B0883" w:rsidRDefault="004B0883">
            <w:pPr>
              <w:widowControl w:val="0"/>
              <w:adjustRightInd w:val="0"/>
              <w:snapToGrid w:val="0"/>
              <w:jc w:val="center"/>
            </w:pPr>
            <w:r>
              <w:t>王兆健</w:t>
            </w:r>
          </w:p>
        </w:tc>
        <w:tc>
          <w:tcPr>
            <w:tcW w:w="2691" w:type="dxa"/>
            <w:vAlign w:val="center"/>
          </w:tcPr>
          <w:p w14:paraId="0082B6F6" w14:textId="77777777" w:rsidR="004B0883" w:rsidRDefault="004B0883">
            <w:pPr>
              <w:widowControl w:val="0"/>
              <w:adjustRightInd w:val="0"/>
              <w:snapToGrid w:val="0"/>
              <w:jc w:val="center"/>
            </w:pPr>
            <w:r>
              <w:rPr>
                <w:color w:val="000000"/>
              </w:rPr>
              <w:t>质量总监</w:t>
            </w:r>
          </w:p>
        </w:tc>
        <w:tc>
          <w:tcPr>
            <w:tcW w:w="3741" w:type="dxa"/>
            <w:vAlign w:val="center"/>
          </w:tcPr>
          <w:p w14:paraId="31B1A866" w14:textId="77777777" w:rsidR="004B0883" w:rsidRDefault="004B0883">
            <w:pPr>
              <w:jc w:val="center"/>
            </w:pPr>
            <w:r>
              <w:t>2021</w:t>
            </w:r>
            <w:r>
              <w:t>年</w:t>
            </w:r>
            <w:r>
              <w:t>3</w:t>
            </w:r>
            <w:r>
              <w:t>月</w:t>
            </w:r>
            <w:r>
              <w:rPr>
                <w:rFonts w:hint="eastAsia"/>
              </w:rPr>
              <w:t>22</w:t>
            </w:r>
            <w:r>
              <w:t>日</w:t>
            </w:r>
            <w:r>
              <w:t>—2024</w:t>
            </w:r>
            <w:r>
              <w:t>年</w:t>
            </w:r>
            <w:r>
              <w:t>3</w:t>
            </w:r>
            <w:r>
              <w:t>月</w:t>
            </w:r>
            <w:r>
              <w:t>16</w:t>
            </w:r>
            <w:r>
              <w:t>日</w:t>
            </w:r>
          </w:p>
        </w:tc>
      </w:tr>
      <w:tr w:rsidR="004B0883" w14:paraId="71F9102E" w14:textId="77777777">
        <w:trPr>
          <w:trHeight w:val="397"/>
          <w:jc w:val="center"/>
        </w:trPr>
        <w:tc>
          <w:tcPr>
            <w:tcW w:w="2096" w:type="dxa"/>
            <w:vAlign w:val="center"/>
          </w:tcPr>
          <w:p w14:paraId="27ECC560" w14:textId="77777777" w:rsidR="004B0883" w:rsidRDefault="004B0883">
            <w:pPr>
              <w:widowControl w:val="0"/>
              <w:adjustRightInd w:val="0"/>
              <w:snapToGrid w:val="0"/>
              <w:jc w:val="center"/>
            </w:pPr>
            <w:r>
              <w:t>郭成尼</w:t>
            </w:r>
          </w:p>
        </w:tc>
        <w:tc>
          <w:tcPr>
            <w:tcW w:w="2691" w:type="dxa"/>
            <w:vAlign w:val="center"/>
          </w:tcPr>
          <w:p w14:paraId="415CB088" w14:textId="77777777" w:rsidR="004B0883" w:rsidRDefault="004B0883">
            <w:pPr>
              <w:widowControl w:val="0"/>
              <w:adjustRightInd w:val="0"/>
              <w:snapToGrid w:val="0"/>
              <w:jc w:val="center"/>
            </w:pPr>
            <w:r>
              <w:rPr>
                <w:color w:val="000000"/>
              </w:rPr>
              <w:t>国际销售总监</w:t>
            </w:r>
          </w:p>
        </w:tc>
        <w:tc>
          <w:tcPr>
            <w:tcW w:w="3741" w:type="dxa"/>
            <w:vAlign w:val="center"/>
          </w:tcPr>
          <w:p w14:paraId="1BED1987" w14:textId="77777777" w:rsidR="004B0883" w:rsidRDefault="004B0883">
            <w:pPr>
              <w:jc w:val="center"/>
            </w:pPr>
            <w:r>
              <w:t>2021</w:t>
            </w:r>
            <w:r>
              <w:t>年</w:t>
            </w:r>
            <w:r>
              <w:t>3</w:t>
            </w:r>
            <w:r>
              <w:t>月</w:t>
            </w:r>
            <w:r>
              <w:rPr>
                <w:rFonts w:hint="eastAsia"/>
              </w:rPr>
              <w:t>22</w:t>
            </w:r>
            <w:r>
              <w:t>日</w:t>
            </w:r>
            <w:r>
              <w:t>—2024</w:t>
            </w:r>
            <w:r>
              <w:t>年</w:t>
            </w:r>
            <w:r>
              <w:t>3</w:t>
            </w:r>
            <w:r>
              <w:t>月</w:t>
            </w:r>
            <w:r>
              <w:t>16</w:t>
            </w:r>
            <w:r>
              <w:t>日</w:t>
            </w:r>
          </w:p>
        </w:tc>
      </w:tr>
      <w:tr w:rsidR="004B0883" w14:paraId="56A22867" w14:textId="77777777">
        <w:trPr>
          <w:trHeight w:val="397"/>
          <w:jc w:val="center"/>
        </w:trPr>
        <w:tc>
          <w:tcPr>
            <w:tcW w:w="2096" w:type="dxa"/>
            <w:vAlign w:val="center"/>
          </w:tcPr>
          <w:p w14:paraId="7AEEA121" w14:textId="77777777" w:rsidR="004B0883" w:rsidRDefault="004B0883">
            <w:pPr>
              <w:widowControl w:val="0"/>
              <w:adjustRightInd w:val="0"/>
              <w:snapToGrid w:val="0"/>
              <w:jc w:val="center"/>
            </w:pPr>
            <w:r>
              <w:t>陈存明</w:t>
            </w:r>
          </w:p>
        </w:tc>
        <w:tc>
          <w:tcPr>
            <w:tcW w:w="2691" w:type="dxa"/>
            <w:vAlign w:val="center"/>
          </w:tcPr>
          <w:p w14:paraId="2FA868E6" w14:textId="77777777" w:rsidR="004B0883" w:rsidRDefault="004B0883">
            <w:pPr>
              <w:widowControl w:val="0"/>
              <w:adjustRightInd w:val="0"/>
              <w:snapToGrid w:val="0"/>
              <w:jc w:val="center"/>
              <w:rPr>
                <w:color w:val="000000"/>
              </w:rPr>
            </w:pPr>
            <w:r>
              <w:rPr>
                <w:color w:val="000000"/>
              </w:rPr>
              <w:t>营销中心总监</w:t>
            </w:r>
          </w:p>
        </w:tc>
        <w:tc>
          <w:tcPr>
            <w:tcW w:w="3741" w:type="dxa"/>
            <w:vAlign w:val="center"/>
          </w:tcPr>
          <w:p w14:paraId="6ACD0769" w14:textId="77777777" w:rsidR="004B0883" w:rsidRDefault="004B0883">
            <w:pPr>
              <w:jc w:val="center"/>
            </w:pPr>
            <w:r>
              <w:t>2023</w:t>
            </w:r>
            <w:r>
              <w:t>年</w:t>
            </w:r>
            <w:r>
              <w:t>3</w:t>
            </w:r>
            <w:r>
              <w:t>月</w:t>
            </w:r>
            <w:r>
              <w:t>20</w:t>
            </w:r>
            <w:r>
              <w:t>日</w:t>
            </w:r>
            <w:r>
              <w:t>—2024</w:t>
            </w:r>
            <w:r>
              <w:t>年</w:t>
            </w:r>
            <w:r>
              <w:t>3</w:t>
            </w:r>
            <w:r>
              <w:t>月</w:t>
            </w:r>
            <w:r>
              <w:t>16</w:t>
            </w:r>
            <w:r>
              <w:t>日</w:t>
            </w:r>
          </w:p>
        </w:tc>
      </w:tr>
      <w:tr w:rsidR="004B0883" w14:paraId="6A428A5E" w14:textId="77777777">
        <w:trPr>
          <w:trHeight w:val="397"/>
          <w:jc w:val="center"/>
        </w:trPr>
        <w:tc>
          <w:tcPr>
            <w:tcW w:w="2096" w:type="dxa"/>
            <w:vAlign w:val="center"/>
          </w:tcPr>
          <w:p w14:paraId="25F4C891" w14:textId="77777777" w:rsidR="004B0883" w:rsidRDefault="004B0883">
            <w:pPr>
              <w:widowControl w:val="0"/>
              <w:adjustRightInd w:val="0"/>
              <w:snapToGrid w:val="0"/>
              <w:jc w:val="center"/>
            </w:pPr>
            <w:r>
              <w:t>渠汇成</w:t>
            </w:r>
          </w:p>
        </w:tc>
        <w:tc>
          <w:tcPr>
            <w:tcW w:w="2691" w:type="dxa"/>
            <w:vAlign w:val="center"/>
          </w:tcPr>
          <w:p w14:paraId="3ABF31A7" w14:textId="77777777" w:rsidR="004B0883" w:rsidRDefault="004B0883">
            <w:pPr>
              <w:widowControl w:val="0"/>
              <w:adjustRightInd w:val="0"/>
              <w:snapToGrid w:val="0"/>
              <w:jc w:val="center"/>
              <w:rPr>
                <w:color w:val="000000"/>
              </w:rPr>
            </w:pPr>
            <w:r>
              <w:rPr>
                <w:color w:val="000000"/>
              </w:rPr>
              <w:t>生产总监</w:t>
            </w:r>
          </w:p>
        </w:tc>
        <w:tc>
          <w:tcPr>
            <w:tcW w:w="3741" w:type="dxa"/>
            <w:vAlign w:val="center"/>
          </w:tcPr>
          <w:p w14:paraId="53E09860" w14:textId="77777777" w:rsidR="004B0883" w:rsidRDefault="004B0883">
            <w:pPr>
              <w:jc w:val="center"/>
            </w:pPr>
            <w:r>
              <w:t>2021</w:t>
            </w:r>
            <w:r>
              <w:t>年</w:t>
            </w:r>
            <w:r>
              <w:t>3</w:t>
            </w:r>
            <w:r>
              <w:t>月</w:t>
            </w:r>
            <w:r>
              <w:rPr>
                <w:rFonts w:hint="eastAsia"/>
              </w:rPr>
              <w:t>22</w:t>
            </w:r>
            <w:r>
              <w:t>日</w:t>
            </w:r>
            <w:r>
              <w:t>—2024</w:t>
            </w:r>
            <w:r>
              <w:t>年</w:t>
            </w:r>
            <w:r>
              <w:t>3</w:t>
            </w:r>
            <w:r>
              <w:t>月</w:t>
            </w:r>
            <w:r>
              <w:t>16</w:t>
            </w:r>
            <w:r>
              <w:t>日</w:t>
            </w:r>
          </w:p>
        </w:tc>
      </w:tr>
      <w:tr w:rsidR="004B0883" w14:paraId="337E5AD1" w14:textId="77777777">
        <w:trPr>
          <w:trHeight w:val="397"/>
          <w:jc w:val="center"/>
        </w:trPr>
        <w:tc>
          <w:tcPr>
            <w:tcW w:w="2096" w:type="dxa"/>
            <w:vAlign w:val="center"/>
          </w:tcPr>
          <w:p w14:paraId="15C31CC8" w14:textId="77777777" w:rsidR="004B0883" w:rsidRDefault="004B0883">
            <w:pPr>
              <w:widowControl w:val="0"/>
              <w:adjustRightInd w:val="0"/>
              <w:snapToGrid w:val="0"/>
              <w:jc w:val="center"/>
              <w:rPr>
                <w:color w:val="000000"/>
              </w:rPr>
            </w:pPr>
            <w:r>
              <w:rPr>
                <w:color w:val="000000"/>
              </w:rPr>
              <w:t>李鹏飞</w:t>
            </w:r>
          </w:p>
        </w:tc>
        <w:tc>
          <w:tcPr>
            <w:tcW w:w="2691" w:type="dxa"/>
            <w:vAlign w:val="center"/>
          </w:tcPr>
          <w:p w14:paraId="7933D5F5" w14:textId="77777777" w:rsidR="004B0883" w:rsidRDefault="004B0883">
            <w:pPr>
              <w:widowControl w:val="0"/>
              <w:adjustRightInd w:val="0"/>
              <w:snapToGrid w:val="0"/>
              <w:jc w:val="center"/>
              <w:rPr>
                <w:color w:val="000000"/>
              </w:rPr>
            </w:pPr>
            <w:r>
              <w:rPr>
                <w:color w:val="000000"/>
              </w:rPr>
              <w:t>董事会秘书</w:t>
            </w:r>
          </w:p>
        </w:tc>
        <w:tc>
          <w:tcPr>
            <w:tcW w:w="3741" w:type="dxa"/>
            <w:vAlign w:val="center"/>
          </w:tcPr>
          <w:p w14:paraId="54A405C6" w14:textId="77777777" w:rsidR="004B0883" w:rsidRDefault="004B0883">
            <w:pPr>
              <w:widowControl w:val="0"/>
              <w:adjustRightInd w:val="0"/>
              <w:snapToGrid w:val="0"/>
              <w:jc w:val="center"/>
              <w:rPr>
                <w:color w:val="000000"/>
              </w:rPr>
            </w:pPr>
            <w:r>
              <w:rPr>
                <w:szCs w:val="24"/>
              </w:rPr>
              <w:t>2023</w:t>
            </w:r>
            <w:r>
              <w:rPr>
                <w:szCs w:val="24"/>
              </w:rPr>
              <w:t>年</w:t>
            </w:r>
            <w:r>
              <w:rPr>
                <w:szCs w:val="24"/>
              </w:rPr>
              <w:t>5</w:t>
            </w:r>
            <w:r>
              <w:rPr>
                <w:szCs w:val="24"/>
              </w:rPr>
              <w:t>月</w:t>
            </w:r>
            <w:r>
              <w:rPr>
                <w:szCs w:val="24"/>
              </w:rPr>
              <w:t>11</w:t>
            </w:r>
            <w:r>
              <w:rPr>
                <w:szCs w:val="24"/>
              </w:rPr>
              <w:t>日</w:t>
            </w:r>
            <w:r>
              <w:rPr>
                <w:szCs w:val="24"/>
              </w:rPr>
              <w:t>—2024</w:t>
            </w:r>
            <w:r>
              <w:rPr>
                <w:szCs w:val="24"/>
              </w:rPr>
              <w:t>年</w:t>
            </w:r>
            <w:r>
              <w:rPr>
                <w:szCs w:val="24"/>
              </w:rPr>
              <w:t>3</w:t>
            </w:r>
            <w:r>
              <w:rPr>
                <w:szCs w:val="24"/>
              </w:rPr>
              <w:t>月</w:t>
            </w:r>
            <w:r>
              <w:rPr>
                <w:szCs w:val="24"/>
              </w:rPr>
              <w:t>16</w:t>
            </w:r>
            <w:r>
              <w:rPr>
                <w:szCs w:val="24"/>
              </w:rPr>
              <w:t>日</w:t>
            </w:r>
          </w:p>
        </w:tc>
      </w:tr>
    </w:tbl>
    <w:bookmarkEnd w:id="209"/>
    <w:p w14:paraId="116ECE42" w14:textId="77777777" w:rsidR="004B0883" w:rsidRDefault="004B0883">
      <w:pPr>
        <w:pStyle w:val="004"/>
        <w:spacing w:before="120" w:after="120"/>
        <w:ind w:firstLine="482"/>
      </w:pPr>
      <w:r>
        <w:rPr>
          <w:rFonts w:hint="eastAsia"/>
        </w:rPr>
        <w:t>2</w:t>
      </w:r>
      <w:r>
        <w:rPr>
          <w:rFonts w:hint="eastAsia"/>
        </w:rPr>
        <w:t>、董事、监事、高级管理人员及其他核心人员简历</w:t>
      </w:r>
    </w:p>
    <w:p w14:paraId="62EB74A5" w14:textId="77777777" w:rsidR="004B0883" w:rsidRDefault="004B0883">
      <w:pPr>
        <w:pStyle w:val="005"/>
        <w:spacing w:before="120"/>
        <w:ind w:firstLine="480"/>
      </w:pPr>
      <w:bookmarkStart w:id="210" w:name="_Hlk136203009"/>
      <w:r>
        <w:rPr>
          <w:rFonts w:hint="eastAsia"/>
        </w:rPr>
        <w:t>（</w:t>
      </w:r>
      <w:r>
        <w:rPr>
          <w:rFonts w:hint="eastAsia"/>
        </w:rPr>
        <w:t>1</w:t>
      </w:r>
      <w:r>
        <w:rPr>
          <w:rFonts w:hint="eastAsia"/>
        </w:rPr>
        <w:t>）董事会成员简历</w:t>
      </w:r>
    </w:p>
    <w:p w14:paraId="7DE6C065" w14:textId="77777777" w:rsidR="004B0883" w:rsidRDefault="004B0883">
      <w:pPr>
        <w:pStyle w:val="005"/>
        <w:spacing w:before="120"/>
        <w:ind w:firstLine="480"/>
        <w:rPr>
          <w:rFonts w:hint="eastAsia"/>
        </w:rPr>
      </w:pPr>
      <w:r>
        <w:rPr>
          <w:rFonts w:hint="eastAsia"/>
        </w:rPr>
        <w:t>1</w:t>
      </w:r>
      <w:r>
        <w:rPr>
          <w:rFonts w:hint="eastAsia"/>
        </w:rPr>
        <w:t>）范庆伟先生，简历详见</w:t>
      </w:r>
      <w:r>
        <w:rPr>
          <w:rFonts w:ascii="宋体" w:hAnsi="宋体" w:hint="eastAsia"/>
        </w:rPr>
        <w:t>“</w:t>
      </w:r>
      <w:r>
        <w:rPr>
          <w:rFonts w:hint="eastAsia"/>
        </w:rPr>
        <w:t>第四节</w:t>
      </w:r>
      <w:r>
        <w:rPr>
          <w:rFonts w:hint="eastAsia"/>
        </w:rPr>
        <w:t xml:space="preserve"> </w:t>
      </w:r>
      <w:r>
        <w:rPr>
          <w:rFonts w:hint="eastAsia"/>
        </w:rPr>
        <w:t>发行人基本情况</w:t>
      </w:r>
      <w:r>
        <w:rPr>
          <w:rFonts w:ascii="宋体" w:hAnsi="宋体" w:hint="eastAsia"/>
        </w:rPr>
        <w:t>”</w:t>
      </w:r>
      <w:r>
        <w:rPr>
          <w:rFonts w:hint="eastAsia"/>
        </w:rPr>
        <w:t>之</w:t>
      </w:r>
      <w:r>
        <w:rPr>
          <w:rFonts w:ascii="宋体" w:hAnsi="宋体" w:hint="eastAsia"/>
        </w:rPr>
        <w:t>“</w:t>
      </w:r>
      <w:r>
        <w:rPr>
          <w:rFonts w:hint="eastAsia"/>
        </w:rPr>
        <w:t>三、公司的控股股东及实际控制人基本情况</w:t>
      </w:r>
      <w:r>
        <w:rPr>
          <w:rFonts w:ascii="宋体" w:hAnsi="宋体" w:hint="eastAsia"/>
        </w:rPr>
        <w:t>”</w:t>
      </w:r>
      <w:r>
        <w:rPr>
          <w:rFonts w:hint="eastAsia"/>
        </w:rPr>
        <w:t>。</w:t>
      </w:r>
    </w:p>
    <w:p w14:paraId="186FD675" w14:textId="77777777" w:rsidR="004B0883" w:rsidRDefault="004B0883">
      <w:pPr>
        <w:pStyle w:val="005"/>
        <w:spacing w:before="120"/>
        <w:ind w:firstLine="480"/>
      </w:pPr>
      <w:r>
        <w:rPr>
          <w:rFonts w:hint="eastAsia"/>
        </w:rPr>
        <w:t>2</w:t>
      </w:r>
      <w:r>
        <w:rPr>
          <w:rFonts w:hint="eastAsia"/>
        </w:rPr>
        <w:t>）李会君先生，中国国籍，无境外居留权，</w:t>
      </w:r>
      <w:r>
        <w:rPr>
          <w:rFonts w:hint="eastAsia"/>
        </w:rPr>
        <w:t>1964</w:t>
      </w:r>
      <w:r>
        <w:rPr>
          <w:rFonts w:hint="eastAsia"/>
        </w:rPr>
        <w:t>年出生，本科学历，高级工程师。</w:t>
      </w:r>
      <w:r>
        <w:rPr>
          <w:rFonts w:hint="eastAsia"/>
        </w:rPr>
        <w:t>1985</w:t>
      </w:r>
      <w:r>
        <w:rPr>
          <w:rFonts w:hint="eastAsia"/>
        </w:rPr>
        <w:t>年至</w:t>
      </w:r>
      <w:r>
        <w:rPr>
          <w:rFonts w:hint="eastAsia"/>
        </w:rPr>
        <w:t>1998</w:t>
      </w:r>
      <w:r>
        <w:rPr>
          <w:rFonts w:hint="eastAsia"/>
        </w:rPr>
        <w:t>年任青岛电站阀门厂工程师；</w:t>
      </w:r>
      <w:r>
        <w:rPr>
          <w:rFonts w:hint="eastAsia"/>
        </w:rPr>
        <w:t>1998</w:t>
      </w:r>
      <w:r>
        <w:rPr>
          <w:rFonts w:hint="eastAsia"/>
        </w:rPr>
        <w:t>年至</w:t>
      </w:r>
      <w:r>
        <w:rPr>
          <w:rFonts w:hint="eastAsia"/>
        </w:rPr>
        <w:t>2004</w:t>
      </w:r>
      <w:r>
        <w:rPr>
          <w:rFonts w:hint="eastAsia"/>
        </w:rPr>
        <w:t>年任青岛伟隆经贸有限公司副总经理；</w:t>
      </w:r>
      <w:r>
        <w:rPr>
          <w:rFonts w:hint="eastAsia"/>
        </w:rPr>
        <w:t>2004</w:t>
      </w:r>
      <w:r>
        <w:rPr>
          <w:rFonts w:hint="eastAsia"/>
        </w:rPr>
        <w:t>年至</w:t>
      </w:r>
      <w:r>
        <w:rPr>
          <w:rFonts w:hint="eastAsia"/>
        </w:rPr>
        <w:t>2012</w:t>
      </w:r>
      <w:r>
        <w:rPr>
          <w:rFonts w:hint="eastAsia"/>
        </w:rPr>
        <w:t>年</w:t>
      </w:r>
      <w:r>
        <w:rPr>
          <w:rFonts w:hint="eastAsia"/>
        </w:rPr>
        <w:t>3</w:t>
      </w:r>
      <w:r>
        <w:rPr>
          <w:rFonts w:hint="eastAsia"/>
        </w:rPr>
        <w:t>月任青岛伟隆阀门有限公司副总经理；</w:t>
      </w:r>
      <w:r>
        <w:rPr>
          <w:rFonts w:hint="eastAsia"/>
        </w:rPr>
        <w:t>2012</w:t>
      </w:r>
      <w:r>
        <w:rPr>
          <w:rFonts w:hint="eastAsia"/>
        </w:rPr>
        <w:t>年</w:t>
      </w:r>
      <w:r>
        <w:rPr>
          <w:rFonts w:hint="eastAsia"/>
        </w:rPr>
        <w:t>3</w:t>
      </w:r>
      <w:r>
        <w:rPr>
          <w:rFonts w:hint="eastAsia"/>
        </w:rPr>
        <w:t>月至</w:t>
      </w:r>
      <w:r>
        <w:rPr>
          <w:rFonts w:hint="eastAsia"/>
        </w:rPr>
        <w:t>2014</w:t>
      </w:r>
      <w:r>
        <w:rPr>
          <w:rFonts w:hint="eastAsia"/>
        </w:rPr>
        <w:t>年</w:t>
      </w:r>
      <w:r>
        <w:rPr>
          <w:rFonts w:hint="eastAsia"/>
        </w:rPr>
        <w:t>11</w:t>
      </w:r>
      <w:r>
        <w:rPr>
          <w:rFonts w:hint="eastAsia"/>
        </w:rPr>
        <w:t>月任青岛伟隆阀门股份有限公司董事兼副总经理；</w:t>
      </w:r>
      <w:r>
        <w:rPr>
          <w:rFonts w:hint="eastAsia"/>
        </w:rPr>
        <w:t>2014</w:t>
      </w:r>
      <w:r>
        <w:rPr>
          <w:rFonts w:hint="eastAsia"/>
        </w:rPr>
        <w:t>年</w:t>
      </w:r>
      <w:r>
        <w:rPr>
          <w:rFonts w:hint="eastAsia"/>
        </w:rPr>
        <w:t>11</w:t>
      </w:r>
      <w:r>
        <w:rPr>
          <w:rFonts w:hint="eastAsia"/>
        </w:rPr>
        <w:t>月至今任青岛伟隆阀门股份有限公司董事兼总经理；</w:t>
      </w:r>
      <w:r>
        <w:rPr>
          <w:rFonts w:hint="eastAsia"/>
        </w:rPr>
        <w:t>2020</w:t>
      </w:r>
      <w:r>
        <w:rPr>
          <w:rFonts w:hint="eastAsia"/>
        </w:rPr>
        <w:t>年</w:t>
      </w:r>
      <w:r>
        <w:rPr>
          <w:rFonts w:hint="eastAsia"/>
        </w:rPr>
        <w:t>1</w:t>
      </w:r>
      <w:r>
        <w:rPr>
          <w:rFonts w:hint="eastAsia"/>
        </w:rPr>
        <w:t>月至</w:t>
      </w:r>
      <w:r>
        <w:rPr>
          <w:rFonts w:hint="eastAsia"/>
        </w:rPr>
        <w:t>2022</w:t>
      </w:r>
      <w:r>
        <w:rPr>
          <w:rFonts w:hint="eastAsia"/>
        </w:rPr>
        <w:t>年</w:t>
      </w:r>
      <w:r>
        <w:rPr>
          <w:rFonts w:hint="eastAsia"/>
        </w:rPr>
        <w:t>5</w:t>
      </w:r>
      <w:r>
        <w:rPr>
          <w:rFonts w:hint="eastAsia"/>
        </w:rPr>
        <w:t>月兼任青岛即聚机电有限责任公司执行董事兼经理。</w:t>
      </w:r>
    </w:p>
    <w:p w14:paraId="15831269" w14:textId="77777777" w:rsidR="004B0883" w:rsidRDefault="004B0883">
      <w:pPr>
        <w:pStyle w:val="005"/>
        <w:spacing w:before="120"/>
        <w:ind w:firstLine="480"/>
        <w:rPr>
          <w:rFonts w:hint="eastAsia"/>
        </w:rPr>
      </w:pPr>
      <w:r>
        <w:rPr>
          <w:rFonts w:hint="eastAsia"/>
        </w:rPr>
        <w:t>3</w:t>
      </w:r>
      <w:r>
        <w:rPr>
          <w:rFonts w:hint="eastAsia"/>
        </w:rPr>
        <w:t>）范玉隆先生，简历详见</w:t>
      </w:r>
      <w:r>
        <w:rPr>
          <w:rFonts w:ascii="宋体" w:hAnsi="宋体" w:hint="eastAsia"/>
        </w:rPr>
        <w:t>“</w:t>
      </w:r>
      <w:r>
        <w:rPr>
          <w:rFonts w:hint="eastAsia"/>
        </w:rPr>
        <w:t>第四节</w:t>
      </w:r>
      <w:r>
        <w:rPr>
          <w:rFonts w:hint="eastAsia"/>
        </w:rPr>
        <w:t xml:space="preserve"> </w:t>
      </w:r>
      <w:r>
        <w:rPr>
          <w:rFonts w:hint="eastAsia"/>
        </w:rPr>
        <w:t>发行人基本情况</w:t>
      </w:r>
      <w:r>
        <w:rPr>
          <w:rFonts w:ascii="宋体" w:hAnsi="宋体" w:hint="eastAsia"/>
        </w:rPr>
        <w:t>”</w:t>
      </w:r>
      <w:r>
        <w:rPr>
          <w:rFonts w:hint="eastAsia"/>
        </w:rPr>
        <w:t>之</w:t>
      </w:r>
      <w:r>
        <w:rPr>
          <w:rFonts w:ascii="宋体" w:hAnsi="宋体" w:hint="eastAsia"/>
        </w:rPr>
        <w:t>“</w:t>
      </w:r>
      <w:r>
        <w:rPr>
          <w:rFonts w:hint="eastAsia"/>
        </w:rPr>
        <w:t>三、公司的控股股东及实际控制人基本情况</w:t>
      </w:r>
      <w:r>
        <w:rPr>
          <w:rFonts w:ascii="宋体" w:hAnsi="宋体" w:hint="eastAsia"/>
        </w:rPr>
        <w:t>”</w:t>
      </w:r>
      <w:r>
        <w:rPr>
          <w:rFonts w:hint="eastAsia"/>
        </w:rPr>
        <w:t>。</w:t>
      </w:r>
    </w:p>
    <w:p w14:paraId="6065F9B2" w14:textId="77777777" w:rsidR="004B0883" w:rsidRDefault="004B0883">
      <w:pPr>
        <w:pStyle w:val="005"/>
        <w:spacing w:before="120"/>
        <w:ind w:firstLine="480"/>
      </w:pPr>
      <w:r>
        <w:rPr>
          <w:rFonts w:hint="eastAsia"/>
        </w:rPr>
        <w:t>4</w:t>
      </w:r>
      <w:r>
        <w:rPr>
          <w:rFonts w:hint="eastAsia"/>
        </w:rPr>
        <w:t>）迟娜娜女士，中国国籍，无境外居留权，</w:t>
      </w:r>
      <w:r>
        <w:rPr>
          <w:rFonts w:hint="eastAsia"/>
        </w:rPr>
        <w:t>1979</w:t>
      </w:r>
      <w:r>
        <w:rPr>
          <w:rFonts w:hint="eastAsia"/>
        </w:rPr>
        <w:t>年出生，本科学历，高级会计师。</w:t>
      </w:r>
      <w:r>
        <w:rPr>
          <w:rFonts w:hint="eastAsia"/>
        </w:rPr>
        <w:t>2003</w:t>
      </w:r>
      <w:r>
        <w:rPr>
          <w:rFonts w:hint="eastAsia"/>
        </w:rPr>
        <w:t>年</w:t>
      </w:r>
      <w:r>
        <w:rPr>
          <w:rFonts w:hint="eastAsia"/>
        </w:rPr>
        <w:t>9</w:t>
      </w:r>
      <w:r>
        <w:rPr>
          <w:rFonts w:hint="eastAsia"/>
        </w:rPr>
        <w:t>月至</w:t>
      </w:r>
      <w:r>
        <w:rPr>
          <w:rFonts w:hint="eastAsia"/>
        </w:rPr>
        <w:t>2012</w:t>
      </w:r>
      <w:r>
        <w:rPr>
          <w:rFonts w:hint="eastAsia"/>
        </w:rPr>
        <w:t>年</w:t>
      </w:r>
      <w:r>
        <w:rPr>
          <w:rFonts w:hint="eastAsia"/>
        </w:rPr>
        <w:t>3</w:t>
      </w:r>
      <w:r>
        <w:rPr>
          <w:rFonts w:hint="eastAsia"/>
        </w:rPr>
        <w:t>月历任青岛伟隆五金机械有限公司会计、财务部长、青岛伟隆阀门有限公司会计、财务部长；</w:t>
      </w:r>
      <w:r>
        <w:rPr>
          <w:rFonts w:hint="eastAsia"/>
        </w:rPr>
        <w:t>2012</w:t>
      </w:r>
      <w:r>
        <w:rPr>
          <w:rFonts w:hint="eastAsia"/>
        </w:rPr>
        <w:t>年</w:t>
      </w:r>
      <w:r>
        <w:rPr>
          <w:rFonts w:hint="eastAsia"/>
        </w:rPr>
        <w:t>3</w:t>
      </w:r>
      <w:r>
        <w:rPr>
          <w:rFonts w:hint="eastAsia"/>
        </w:rPr>
        <w:t>月至今任青岛伟隆阀门股份有限公司董事兼财务总监；</w:t>
      </w:r>
      <w:r>
        <w:rPr>
          <w:rFonts w:hint="eastAsia"/>
        </w:rPr>
        <w:t>2022</w:t>
      </w:r>
      <w:r>
        <w:rPr>
          <w:rFonts w:hint="eastAsia"/>
        </w:rPr>
        <w:t>年</w:t>
      </w:r>
      <w:r>
        <w:rPr>
          <w:rFonts w:hint="eastAsia"/>
        </w:rPr>
        <w:t>1</w:t>
      </w:r>
      <w:r>
        <w:rPr>
          <w:rFonts w:hint="eastAsia"/>
        </w:rPr>
        <w:t>月至今兼任海南伟隆投资有限公司董事；</w:t>
      </w:r>
      <w:r>
        <w:rPr>
          <w:rFonts w:hint="eastAsia"/>
        </w:rPr>
        <w:t>20</w:t>
      </w:r>
      <w:r>
        <w:t>22</w:t>
      </w:r>
      <w:r>
        <w:rPr>
          <w:rFonts w:hint="eastAsia"/>
        </w:rPr>
        <w:t>年</w:t>
      </w:r>
      <w:r>
        <w:t>6</w:t>
      </w:r>
      <w:r>
        <w:rPr>
          <w:rFonts w:hint="eastAsia"/>
        </w:rPr>
        <w:t>月至</w:t>
      </w:r>
      <w:r>
        <w:rPr>
          <w:rFonts w:hint="eastAsia"/>
        </w:rPr>
        <w:t>2</w:t>
      </w:r>
      <w:r>
        <w:t>023</w:t>
      </w:r>
      <w:r>
        <w:rPr>
          <w:rFonts w:hint="eastAsia"/>
        </w:rPr>
        <w:t>年</w:t>
      </w:r>
      <w:r>
        <w:rPr>
          <w:rFonts w:hint="eastAsia"/>
        </w:rPr>
        <w:t>5</w:t>
      </w:r>
      <w:r>
        <w:rPr>
          <w:rFonts w:hint="eastAsia"/>
        </w:rPr>
        <w:t>月兼任青岛伟隆阀门股份有限公司董事会秘书。</w:t>
      </w:r>
    </w:p>
    <w:p w14:paraId="4328FA4E" w14:textId="77777777" w:rsidR="004B0883" w:rsidRDefault="004B0883">
      <w:pPr>
        <w:pStyle w:val="005"/>
        <w:spacing w:before="120"/>
        <w:ind w:firstLine="480"/>
        <w:rPr>
          <w:rFonts w:hint="eastAsia"/>
        </w:rPr>
      </w:pPr>
      <w:r>
        <w:rPr>
          <w:rFonts w:hint="eastAsia"/>
        </w:rPr>
        <w:t>5</w:t>
      </w:r>
      <w:r>
        <w:rPr>
          <w:rFonts w:hint="eastAsia"/>
        </w:rPr>
        <w:t>）樊培银先生，中国国籍，无境外居留权，</w:t>
      </w:r>
      <w:r>
        <w:rPr>
          <w:rFonts w:hint="eastAsia"/>
        </w:rPr>
        <w:t>1965</w:t>
      </w:r>
      <w:r>
        <w:rPr>
          <w:rFonts w:hint="eastAsia"/>
        </w:rPr>
        <w:t>年出生，博士研究生学历。</w:t>
      </w:r>
      <w:r>
        <w:rPr>
          <w:rFonts w:hint="eastAsia"/>
        </w:rPr>
        <w:t>1989</w:t>
      </w:r>
      <w:r>
        <w:rPr>
          <w:rFonts w:hint="eastAsia"/>
        </w:rPr>
        <w:t>年</w:t>
      </w:r>
      <w:r>
        <w:rPr>
          <w:rFonts w:hint="eastAsia"/>
        </w:rPr>
        <w:t>6</w:t>
      </w:r>
      <w:r>
        <w:rPr>
          <w:rFonts w:hint="eastAsia"/>
        </w:rPr>
        <w:t>月至</w:t>
      </w:r>
      <w:r>
        <w:rPr>
          <w:rFonts w:hint="eastAsia"/>
        </w:rPr>
        <w:t>1996</w:t>
      </w:r>
      <w:r>
        <w:rPr>
          <w:rFonts w:hint="eastAsia"/>
        </w:rPr>
        <w:t>年</w:t>
      </w:r>
      <w:r>
        <w:rPr>
          <w:rFonts w:hint="eastAsia"/>
        </w:rPr>
        <w:t>7</w:t>
      </w:r>
      <w:r>
        <w:rPr>
          <w:rFonts w:hint="eastAsia"/>
        </w:rPr>
        <w:t>月任吉林农业大学助教、讲师；</w:t>
      </w:r>
      <w:r>
        <w:rPr>
          <w:rFonts w:hint="eastAsia"/>
        </w:rPr>
        <w:t>2001</w:t>
      </w:r>
      <w:r>
        <w:rPr>
          <w:rFonts w:hint="eastAsia"/>
        </w:rPr>
        <w:t>年</w:t>
      </w:r>
      <w:r>
        <w:rPr>
          <w:rFonts w:hint="eastAsia"/>
        </w:rPr>
        <w:t>4</w:t>
      </w:r>
      <w:r>
        <w:rPr>
          <w:rFonts w:hint="eastAsia"/>
        </w:rPr>
        <w:t>月至今任中国海洋大学会计系讲师、副教授；</w:t>
      </w:r>
      <w:r>
        <w:rPr>
          <w:rFonts w:hint="eastAsia"/>
        </w:rPr>
        <w:t>2009</w:t>
      </w:r>
      <w:r>
        <w:rPr>
          <w:rFonts w:hint="eastAsia"/>
        </w:rPr>
        <w:t>年</w:t>
      </w:r>
      <w:r>
        <w:rPr>
          <w:rFonts w:hint="eastAsia"/>
        </w:rPr>
        <w:t>4</w:t>
      </w:r>
      <w:r>
        <w:rPr>
          <w:rFonts w:hint="eastAsia"/>
        </w:rPr>
        <w:t>月至</w:t>
      </w:r>
      <w:r>
        <w:rPr>
          <w:rFonts w:hint="eastAsia"/>
        </w:rPr>
        <w:t>2013</w:t>
      </w:r>
      <w:r>
        <w:rPr>
          <w:rFonts w:hint="eastAsia"/>
        </w:rPr>
        <w:t>年</w:t>
      </w:r>
      <w:r>
        <w:rPr>
          <w:rFonts w:hint="eastAsia"/>
        </w:rPr>
        <w:t>12</w:t>
      </w:r>
      <w:r>
        <w:rPr>
          <w:rFonts w:hint="eastAsia"/>
        </w:rPr>
        <w:t>月，任青岛黄海橡胶股份有限公司独立董事；</w:t>
      </w:r>
      <w:r>
        <w:rPr>
          <w:rFonts w:hint="eastAsia"/>
        </w:rPr>
        <w:t>2009</w:t>
      </w:r>
      <w:r>
        <w:rPr>
          <w:rFonts w:hint="eastAsia"/>
        </w:rPr>
        <w:t>年</w:t>
      </w:r>
      <w:r>
        <w:rPr>
          <w:rFonts w:hint="eastAsia"/>
        </w:rPr>
        <w:t>6</w:t>
      </w:r>
      <w:r>
        <w:rPr>
          <w:rFonts w:hint="eastAsia"/>
        </w:rPr>
        <w:t>月至</w:t>
      </w:r>
      <w:r>
        <w:rPr>
          <w:rFonts w:hint="eastAsia"/>
        </w:rPr>
        <w:t>2015</w:t>
      </w:r>
      <w:r>
        <w:rPr>
          <w:rFonts w:hint="eastAsia"/>
        </w:rPr>
        <w:t>年</w:t>
      </w:r>
      <w:r>
        <w:rPr>
          <w:rFonts w:hint="eastAsia"/>
        </w:rPr>
        <w:t>6</w:t>
      </w:r>
      <w:r>
        <w:rPr>
          <w:rFonts w:hint="eastAsia"/>
        </w:rPr>
        <w:t>月、</w:t>
      </w:r>
      <w:r>
        <w:rPr>
          <w:rFonts w:hint="eastAsia"/>
        </w:rPr>
        <w:t>2019</w:t>
      </w:r>
      <w:r>
        <w:rPr>
          <w:rFonts w:hint="eastAsia"/>
        </w:rPr>
        <w:t>年</w:t>
      </w:r>
      <w:r>
        <w:rPr>
          <w:rFonts w:hint="eastAsia"/>
        </w:rPr>
        <w:t>12</w:t>
      </w:r>
      <w:r>
        <w:rPr>
          <w:rFonts w:hint="eastAsia"/>
        </w:rPr>
        <w:t>月至今，任青岛汉缆股份有限公司独立董事；</w:t>
      </w:r>
      <w:r>
        <w:rPr>
          <w:rFonts w:hint="eastAsia"/>
        </w:rPr>
        <w:t>2013</w:t>
      </w:r>
      <w:r>
        <w:rPr>
          <w:rFonts w:hint="eastAsia"/>
        </w:rPr>
        <w:t>年</w:t>
      </w:r>
      <w:r>
        <w:rPr>
          <w:rFonts w:hint="eastAsia"/>
        </w:rPr>
        <w:t>3</w:t>
      </w:r>
      <w:r>
        <w:rPr>
          <w:rFonts w:hint="eastAsia"/>
        </w:rPr>
        <w:t>月至</w:t>
      </w:r>
      <w:r>
        <w:rPr>
          <w:rFonts w:hint="eastAsia"/>
        </w:rPr>
        <w:t>2019</w:t>
      </w:r>
      <w:r>
        <w:rPr>
          <w:rFonts w:hint="eastAsia"/>
        </w:rPr>
        <w:t>年</w:t>
      </w:r>
      <w:r>
        <w:rPr>
          <w:rFonts w:hint="eastAsia"/>
        </w:rPr>
        <w:t>5</w:t>
      </w:r>
      <w:r>
        <w:rPr>
          <w:rFonts w:hint="eastAsia"/>
        </w:rPr>
        <w:t>月、</w:t>
      </w:r>
      <w:r>
        <w:rPr>
          <w:rFonts w:hint="eastAsia"/>
        </w:rPr>
        <w:t>2022</w:t>
      </w:r>
      <w:r>
        <w:rPr>
          <w:rFonts w:hint="eastAsia"/>
        </w:rPr>
        <w:t>年</w:t>
      </w:r>
      <w:r>
        <w:rPr>
          <w:rFonts w:hint="eastAsia"/>
        </w:rPr>
        <w:t>6</w:t>
      </w:r>
      <w:r>
        <w:rPr>
          <w:rFonts w:hint="eastAsia"/>
        </w:rPr>
        <w:t>月至今任青岛东方铁塔股份有限公司独立董事；</w:t>
      </w:r>
      <w:r>
        <w:rPr>
          <w:rFonts w:hint="eastAsia"/>
        </w:rPr>
        <w:t>2016</w:t>
      </w:r>
      <w:r>
        <w:rPr>
          <w:rFonts w:hint="eastAsia"/>
        </w:rPr>
        <w:t>年</w:t>
      </w:r>
      <w:r>
        <w:rPr>
          <w:rFonts w:hint="eastAsia"/>
        </w:rPr>
        <w:t>4</w:t>
      </w:r>
      <w:r>
        <w:rPr>
          <w:rFonts w:hint="eastAsia"/>
        </w:rPr>
        <w:t>月至</w:t>
      </w:r>
      <w:r>
        <w:rPr>
          <w:rFonts w:hint="eastAsia"/>
        </w:rPr>
        <w:t>2</w:t>
      </w:r>
      <w:r>
        <w:t>022</w:t>
      </w:r>
      <w:r>
        <w:rPr>
          <w:rFonts w:hint="eastAsia"/>
        </w:rPr>
        <w:t>年</w:t>
      </w:r>
      <w:r>
        <w:rPr>
          <w:rFonts w:hint="eastAsia"/>
        </w:rPr>
        <w:t>6</w:t>
      </w:r>
      <w:r>
        <w:rPr>
          <w:rFonts w:hint="eastAsia"/>
        </w:rPr>
        <w:t>月任青岛日辰食品股份有限公司独立董事；</w:t>
      </w:r>
      <w:r>
        <w:rPr>
          <w:rFonts w:hint="eastAsia"/>
        </w:rPr>
        <w:t>2016</w:t>
      </w:r>
      <w:r>
        <w:rPr>
          <w:rFonts w:hint="eastAsia"/>
        </w:rPr>
        <w:t>年</w:t>
      </w:r>
      <w:r>
        <w:rPr>
          <w:rFonts w:hint="eastAsia"/>
        </w:rPr>
        <w:t>6</w:t>
      </w:r>
      <w:r>
        <w:rPr>
          <w:rFonts w:hint="eastAsia"/>
        </w:rPr>
        <w:t>月至今任青岛国林科技集团股份有限公司独立董事；</w:t>
      </w:r>
      <w:r>
        <w:rPr>
          <w:rFonts w:hint="eastAsia"/>
        </w:rPr>
        <w:t>2018</w:t>
      </w:r>
      <w:r>
        <w:rPr>
          <w:rFonts w:hint="eastAsia"/>
        </w:rPr>
        <w:t>年</w:t>
      </w:r>
      <w:r>
        <w:rPr>
          <w:rFonts w:hint="eastAsia"/>
        </w:rPr>
        <w:t>11</w:t>
      </w:r>
      <w:r>
        <w:rPr>
          <w:rFonts w:hint="eastAsia"/>
        </w:rPr>
        <w:t>月至</w:t>
      </w:r>
      <w:r>
        <w:rPr>
          <w:rFonts w:hint="eastAsia"/>
        </w:rPr>
        <w:t>2022</w:t>
      </w:r>
      <w:r>
        <w:rPr>
          <w:rFonts w:hint="eastAsia"/>
        </w:rPr>
        <w:t>年</w:t>
      </w:r>
      <w:r>
        <w:rPr>
          <w:rFonts w:hint="eastAsia"/>
        </w:rPr>
        <w:t>6</w:t>
      </w:r>
      <w:r>
        <w:rPr>
          <w:rFonts w:hint="eastAsia"/>
        </w:rPr>
        <w:t>月，任深圳大通实业股份有限公司独立董事。现兼任青岛市财政局、科技局财务评审专家。</w:t>
      </w:r>
      <w:r>
        <w:rPr>
          <w:rFonts w:hint="eastAsia"/>
        </w:rPr>
        <w:t>2</w:t>
      </w:r>
      <w:r>
        <w:t>018</w:t>
      </w:r>
      <w:r>
        <w:rPr>
          <w:rFonts w:hint="eastAsia"/>
        </w:rPr>
        <w:t>年</w:t>
      </w:r>
      <w:r>
        <w:rPr>
          <w:rFonts w:hint="eastAsia"/>
        </w:rPr>
        <w:t>3</w:t>
      </w:r>
      <w:r>
        <w:rPr>
          <w:rFonts w:hint="eastAsia"/>
        </w:rPr>
        <w:t>月至今任青岛伟隆阀门股份有限公司独立董事。</w:t>
      </w:r>
    </w:p>
    <w:p w14:paraId="1617579B" w14:textId="77777777" w:rsidR="004B0883" w:rsidRDefault="004B0883">
      <w:pPr>
        <w:pStyle w:val="005"/>
        <w:spacing w:before="120"/>
        <w:ind w:firstLine="480"/>
      </w:pPr>
      <w:r>
        <w:rPr>
          <w:rFonts w:hint="eastAsia"/>
        </w:rPr>
        <w:t>6</w:t>
      </w:r>
      <w:r>
        <w:rPr>
          <w:rFonts w:hint="eastAsia"/>
        </w:rPr>
        <w:t>）高科先生，中国国籍，无境外居留权，</w:t>
      </w:r>
      <w:r>
        <w:rPr>
          <w:rFonts w:hint="eastAsia"/>
        </w:rPr>
        <w:t>1978</w:t>
      </w:r>
      <w:r>
        <w:rPr>
          <w:rFonts w:hint="eastAsia"/>
        </w:rPr>
        <w:t>年出生，硕士研究生学历。</w:t>
      </w:r>
      <w:r>
        <w:rPr>
          <w:rFonts w:hint="eastAsia"/>
        </w:rPr>
        <w:t>2012</w:t>
      </w:r>
      <w:r>
        <w:rPr>
          <w:rFonts w:hint="eastAsia"/>
        </w:rPr>
        <w:t>年</w:t>
      </w:r>
      <w:r>
        <w:rPr>
          <w:rFonts w:hint="eastAsia"/>
        </w:rPr>
        <w:t>10</w:t>
      </w:r>
      <w:r>
        <w:rPr>
          <w:rFonts w:hint="eastAsia"/>
        </w:rPr>
        <w:t>月至</w:t>
      </w:r>
      <w:r>
        <w:rPr>
          <w:rFonts w:hint="eastAsia"/>
        </w:rPr>
        <w:t>2017</w:t>
      </w:r>
      <w:r>
        <w:rPr>
          <w:rFonts w:hint="eastAsia"/>
        </w:rPr>
        <w:t>年</w:t>
      </w:r>
      <w:r>
        <w:rPr>
          <w:rFonts w:hint="eastAsia"/>
        </w:rPr>
        <w:t>6</w:t>
      </w:r>
      <w:r>
        <w:rPr>
          <w:rFonts w:hint="eastAsia"/>
        </w:rPr>
        <w:t>月历任中信证券（山东）有限责任公司、中信证券股份有限公司高级经理、助理副总裁。</w:t>
      </w:r>
      <w:r>
        <w:rPr>
          <w:rFonts w:hint="eastAsia"/>
        </w:rPr>
        <w:t>2017</w:t>
      </w:r>
      <w:r>
        <w:rPr>
          <w:rFonts w:hint="eastAsia"/>
        </w:rPr>
        <w:t>年</w:t>
      </w:r>
      <w:r>
        <w:rPr>
          <w:rFonts w:hint="eastAsia"/>
        </w:rPr>
        <w:t>6</w:t>
      </w:r>
      <w:r>
        <w:rPr>
          <w:rFonts w:hint="eastAsia"/>
        </w:rPr>
        <w:t>月至</w:t>
      </w:r>
      <w:r>
        <w:rPr>
          <w:rFonts w:hint="eastAsia"/>
        </w:rPr>
        <w:t>2018</w:t>
      </w:r>
      <w:r>
        <w:rPr>
          <w:rFonts w:hint="eastAsia"/>
        </w:rPr>
        <w:t>年</w:t>
      </w:r>
      <w:r>
        <w:rPr>
          <w:rFonts w:hint="eastAsia"/>
        </w:rPr>
        <w:t>3</w:t>
      </w:r>
      <w:r>
        <w:rPr>
          <w:rFonts w:hint="eastAsia"/>
        </w:rPr>
        <w:t>月，任中国光大银行股份有限公司青岛分行战略客户与投资银行部总经理助理，</w:t>
      </w:r>
      <w:r>
        <w:rPr>
          <w:rFonts w:hint="eastAsia"/>
        </w:rPr>
        <w:t>2018</w:t>
      </w:r>
      <w:r>
        <w:rPr>
          <w:rFonts w:hint="eastAsia"/>
        </w:rPr>
        <w:t>年</w:t>
      </w:r>
      <w:r>
        <w:rPr>
          <w:rFonts w:hint="eastAsia"/>
        </w:rPr>
        <w:t>3</w:t>
      </w:r>
      <w:r>
        <w:rPr>
          <w:rFonts w:hint="eastAsia"/>
        </w:rPr>
        <w:t>月至今任山东文康律师事务所合伙人，</w:t>
      </w:r>
      <w:r>
        <w:rPr>
          <w:rFonts w:hint="eastAsia"/>
        </w:rPr>
        <w:t>2020</w:t>
      </w:r>
      <w:r>
        <w:rPr>
          <w:rFonts w:hint="eastAsia"/>
        </w:rPr>
        <w:t>年</w:t>
      </w:r>
      <w:r>
        <w:rPr>
          <w:rFonts w:hint="eastAsia"/>
        </w:rPr>
        <w:t>9</w:t>
      </w:r>
      <w:r>
        <w:rPr>
          <w:rFonts w:hint="eastAsia"/>
        </w:rPr>
        <w:t>月至今任山东朗进科技股份有限公司独立董事。</w:t>
      </w:r>
      <w:r>
        <w:rPr>
          <w:rFonts w:hint="eastAsia"/>
        </w:rPr>
        <w:t>2</w:t>
      </w:r>
      <w:r>
        <w:t>021</w:t>
      </w:r>
      <w:r>
        <w:rPr>
          <w:rFonts w:hint="eastAsia"/>
        </w:rPr>
        <w:t>年</w:t>
      </w:r>
      <w:r>
        <w:rPr>
          <w:rFonts w:hint="eastAsia"/>
        </w:rPr>
        <w:t>3</w:t>
      </w:r>
      <w:r>
        <w:rPr>
          <w:rFonts w:hint="eastAsia"/>
        </w:rPr>
        <w:t>月至今任青岛伟隆阀门股份有限公司独立董事。</w:t>
      </w:r>
    </w:p>
    <w:p w14:paraId="1888A3E9" w14:textId="77777777" w:rsidR="004B0883" w:rsidRDefault="004B0883">
      <w:pPr>
        <w:pStyle w:val="005"/>
        <w:spacing w:before="120"/>
        <w:ind w:firstLine="480"/>
      </w:pPr>
      <w:r>
        <w:rPr>
          <w:rFonts w:hint="eastAsia"/>
        </w:rPr>
        <w:t>7</w:t>
      </w:r>
      <w:r>
        <w:rPr>
          <w:rFonts w:hint="eastAsia"/>
        </w:rPr>
        <w:t>）宋银立先生，中国国籍，无境外居留权，</w:t>
      </w:r>
      <w:r>
        <w:rPr>
          <w:rFonts w:hint="eastAsia"/>
        </w:rPr>
        <w:t>1965</w:t>
      </w:r>
      <w:r>
        <w:rPr>
          <w:rFonts w:hint="eastAsia"/>
        </w:rPr>
        <w:t>年出生，大学本科学历，教授级高级工程师。</w:t>
      </w:r>
      <w:r>
        <w:rPr>
          <w:rFonts w:hint="eastAsia"/>
        </w:rPr>
        <w:t>1988</w:t>
      </w:r>
      <w:r>
        <w:rPr>
          <w:rFonts w:hint="eastAsia"/>
        </w:rPr>
        <w:t>年至</w:t>
      </w:r>
      <w:r>
        <w:rPr>
          <w:rFonts w:hint="eastAsia"/>
        </w:rPr>
        <w:t>2004</w:t>
      </w:r>
      <w:r>
        <w:rPr>
          <w:rFonts w:hint="eastAsia"/>
        </w:rPr>
        <w:t>年，任开封高压阀门厂总工办副主任、开封高压阀门厂厂长助理、开封高压阀门有限公司副总经理；</w:t>
      </w:r>
      <w:r>
        <w:rPr>
          <w:rFonts w:hint="eastAsia"/>
        </w:rPr>
        <w:t>2004</w:t>
      </w:r>
      <w:r>
        <w:rPr>
          <w:rFonts w:hint="eastAsia"/>
        </w:rPr>
        <w:t>年</w:t>
      </w:r>
      <w:r>
        <w:rPr>
          <w:rFonts w:hint="eastAsia"/>
        </w:rPr>
        <w:t>3</w:t>
      </w:r>
      <w:r>
        <w:rPr>
          <w:rFonts w:hint="eastAsia"/>
        </w:rPr>
        <w:t>月至</w:t>
      </w:r>
      <w:r>
        <w:rPr>
          <w:rFonts w:hint="eastAsia"/>
        </w:rPr>
        <w:t>2022</w:t>
      </w:r>
      <w:r>
        <w:rPr>
          <w:rFonts w:hint="eastAsia"/>
        </w:rPr>
        <w:t>年</w:t>
      </w:r>
      <w:r>
        <w:rPr>
          <w:rFonts w:hint="eastAsia"/>
        </w:rPr>
        <w:t>1</w:t>
      </w:r>
      <w:r>
        <w:rPr>
          <w:rFonts w:hint="eastAsia"/>
        </w:rPr>
        <w:t>月，任中国通用机械工业协会副秘书长、中国通用机械工业协会阀门分会秘书长；</w:t>
      </w:r>
      <w:r>
        <w:rPr>
          <w:rFonts w:hint="eastAsia"/>
        </w:rPr>
        <w:t>2006</w:t>
      </w:r>
      <w:r>
        <w:rPr>
          <w:rFonts w:hint="eastAsia"/>
        </w:rPr>
        <w:t>年至</w:t>
      </w:r>
      <w:r>
        <w:rPr>
          <w:rFonts w:hint="eastAsia"/>
        </w:rPr>
        <w:t>2021</w:t>
      </w:r>
      <w:r>
        <w:rPr>
          <w:rFonts w:hint="eastAsia"/>
        </w:rPr>
        <w:t>年，任中国阀门科技专家委员会副主任委员；</w:t>
      </w:r>
      <w:r>
        <w:rPr>
          <w:rFonts w:hint="eastAsia"/>
        </w:rPr>
        <w:t>2012</w:t>
      </w:r>
      <w:r>
        <w:rPr>
          <w:rFonts w:hint="eastAsia"/>
        </w:rPr>
        <w:t>年至</w:t>
      </w:r>
      <w:r>
        <w:rPr>
          <w:rFonts w:hint="eastAsia"/>
        </w:rPr>
        <w:t>2013</w:t>
      </w:r>
      <w:r>
        <w:rPr>
          <w:rFonts w:hint="eastAsia"/>
        </w:rPr>
        <w:t>年，任四川禾嘉股份有限公司独立董事；</w:t>
      </w:r>
      <w:r>
        <w:rPr>
          <w:rFonts w:hint="eastAsia"/>
        </w:rPr>
        <w:t>2012</w:t>
      </w:r>
      <w:r>
        <w:rPr>
          <w:rFonts w:hint="eastAsia"/>
        </w:rPr>
        <w:t>年至</w:t>
      </w:r>
      <w:r>
        <w:rPr>
          <w:rFonts w:hint="eastAsia"/>
        </w:rPr>
        <w:t>2015</w:t>
      </w:r>
      <w:r>
        <w:rPr>
          <w:rFonts w:hint="eastAsia"/>
        </w:rPr>
        <w:t>年，任江苏神通阀门股份有限公司独立董事及中阀科技股份有限公司独立董事；</w:t>
      </w:r>
      <w:r>
        <w:rPr>
          <w:rFonts w:hint="eastAsia"/>
        </w:rPr>
        <w:t>2017</w:t>
      </w:r>
      <w:r>
        <w:rPr>
          <w:rFonts w:hint="eastAsia"/>
        </w:rPr>
        <w:t>年至</w:t>
      </w:r>
      <w:r>
        <w:rPr>
          <w:rFonts w:hint="eastAsia"/>
        </w:rPr>
        <w:t>2019</w:t>
      </w:r>
      <w:r>
        <w:rPr>
          <w:rFonts w:hint="eastAsia"/>
        </w:rPr>
        <w:t>年，任浙江迪艾智控科技股份有限公司独立董事；</w:t>
      </w:r>
      <w:r>
        <w:rPr>
          <w:rFonts w:hint="eastAsia"/>
        </w:rPr>
        <w:t>2018</w:t>
      </w:r>
      <w:r>
        <w:rPr>
          <w:rFonts w:hint="eastAsia"/>
        </w:rPr>
        <w:t>年</w:t>
      </w:r>
      <w:r>
        <w:rPr>
          <w:rFonts w:hint="eastAsia"/>
        </w:rPr>
        <w:t>7</w:t>
      </w:r>
      <w:r>
        <w:rPr>
          <w:rFonts w:hint="eastAsia"/>
        </w:rPr>
        <w:t>月至</w:t>
      </w:r>
      <w:r>
        <w:rPr>
          <w:rFonts w:hint="eastAsia"/>
        </w:rPr>
        <w:t>2022</w:t>
      </w:r>
      <w:r>
        <w:rPr>
          <w:rFonts w:hint="eastAsia"/>
        </w:rPr>
        <w:t>年</w:t>
      </w:r>
      <w:r>
        <w:rPr>
          <w:rFonts w:hint="eastAsia"/>
        </w:rPr>
        <w:t>12</w:t>
      </w:r>
      <w:r>
        <w:rPr>
          <w:rFonts w:hint="eastAsia"/>
        </w:rPr>
        <w:t>月，任巴阀工业控制系统（南通）有限公司监事；</w:t>
      </w:r>
      <w:r>
        <w:rPr>
          <w:rFonts w:hint="eastAsia"/>
        </w:rPr>
        <w:t>2020</w:t>
      </w:r>
      <w:r>
        <w:rPr>
          <w:rFonts w:hint="eastAsia"/>
        </w:rPr>
        <w:t>年</w:t>
      </w:r>
      <w:r>
        <w:rPr>
          <w:rFonts w:hint="eastAsia"/>
        </w:rPr>
        <w:t>3</w:t>
      </w:r>
      <w:r>
        <w:rPr>
          <w:rFonts w:hint="eastAsia"/>
        </w:rPr>
        <w:t>月至今，任常州电站辅机股份有限公司独立董事。</w:t>
      </w:r>
      <w:r>
        <w:rPr>
          <w:rFonts w:hint="eastAsia"/>
        </w:rPr>
        <w:t>2018</w:t>
      </w:r>
      <w:r>
        <w:rPr>
          <w:rFonts w:hint="eastAsia"/>
        </w:rPr>
        <w:t>年至今任青岛伟隆阀门股份有限公司独立董事。现兼任兰州理工大学客座教授、硕士生导师，全国阀门技术标准委员会委员，《中国企业报》集团机械工业中心主任，中国石油天然气集团有限公司、中国石油化工集团有限公司和中国海洋石油集团有限公司的阀门采购评审专家，核电装备国产化理事会理事，中国石油和化学工业联合会科学技术奖评审专家，国家能源核电站核级研发中心学术委员会委员和工信部</w:t>
      </w:r>
      <w:r>
        <w:rPr>
          <w:rFonts w:ascii="宋体" w:hAnsi="宋体" w:hint="eastAsia"/>
        </w:rPr>
        <w:t>“</w:t>
      </w:r>
      <w:r>
        <w:rPr>
          <w:rFonts w:hint="eastAsia"/>
        </w:rPr>
        <w:t>专精特新</w:t>
      </w:r>
      <w:r>
        <w:rPr>
          <w:rFonts w:ascii="宋体" w:hAnsi="宋体" w:hint="eastAsia"/>
        </w:rPr>
        <w:t>”</w:t>
      </w:r>
      <w:r>
        <w:rPr>
          <w:rFonts w:hint="eastAsia"/>
        </w:rPr>
        <w:t>小巨人评审委评审委员、</w:t>
      </w:r>
      <w:r>
        <w:rPr>
          <w:rFonts w:hint="eastAsia"/>
          <w:color w:val="000000"/>
        </w:rPr>
        <w:t>中国机电一体化技术应用协会控制阀分会副理事长</w:t>
      </w:r>
      <w:r>
        <w:rPr>
          <w:rFonts w:hint="eastAsia"/>
        </w:rPr>
        <w:t>。</w:t>
      </w:r>
    </w:p>
    <w:p w14:paraId="4D04E9E0" w14:textId="77777777" w:rsidR="004B0883" w:rsidRDefault="004B0883">
      <w:pPr>
        <w:pStyle w:val="005"/>
        <w:spacing w:before="120"/>
        <w:ind w:firstLine="480"/>
      </w:pPr>
      <w:r>
        <w:rPr>
          <w:rFonts w:hint="eastAsia"/>
        </w:rPr>
        <w:t>（</w:t>
      </w:r>
      <w:r>
        <w:rPr>
          <w:rFonts w:hint="eastAsia"/>
        </w:rPr>
        <w:t>2</w:t>
      </w:r>
      <w:r>
        <w:rPr>
          <w:rFonts w:hint="eastAsia"/>
        </w:rPr>
        <w:t>）监事会成员简历</w:t>
      </w:r>
    </w:p>
    <w:p w14:paraId="508D141C" w14:textId="77777777" w:rsidR="004B0883" w:rsidRDefault="004B0883">
      <w:pPr>
        <w:pStyle w:val="005"/>
        <w:spacing w:before="120"/>
        <w:ind w:firstLine="480"/>
      </w:pPr>
      <w:r>
        <w:rPr>
          <w:rFonts w:hint="eastAsia"/>
        </w:rPr>
        <w:t>1</w:t>
      </w:r>
      <w:r>
        <w:rPr>
          <w:rFonts w:hint="eastAsia"/>
        </w:rPr>
        <w:t>）于春红女士，中国国籍，无境外居留权，</w:t>
      </w:r>
      <w:r>
        <w:rPr>
          <w:rFonts w:hint="eastAsia"/>
        </w:rPr>
        <w:t>1980</w:t>
      </w:r>
      <w:r>
        <w:rPr>
          <w:rFonts w:hint="eastAsia"/>
        </w:rPr>
        <w:t>年</w:t>
      </w:r>
      <w:r>
        <w:rPr>
          <w:rFonts w:hint="eastAsia"/>
        </w:rPr>
        <w:t>6</w:t>
      </w:r>
      <w:r>
        <w:rPr>
          <w:rFonts w:hint="eastAsia"/>
        </w:rPr>
        <w:t>月出生，本科学历。</w:t>
      </w:r>
      <w:r>
        <w:rPr>
          <w:rFonts w:hint="eastAsia"/>
        </w:rPr>
        <w:t>2004</w:t>
      </w:r>
      <w:r>
        <w:rPr>
          <w:rFonts w:hint="eastAsia"/>
        </w:rPr>
        <w:t>年至</w:t>
      </w:r>
      <w:r>
        <w:rPr>
          <w:rFonts w:hint="eastAsia"/>
        </w:rPr>
        <w:t>2</w:t>
      </w:r>
      <w:r>
        <w:t>010</w:t>
      </w:r>
      <w:r>
        <w:rPr>
          <w:rFonts w:hint="eastAsia"/>
        </w:rPr>
        <w:t>年，任青岛环海木制品有限公司行政助理，</w:t>
      </w:r>
      <w:r>
        <w:rPr>
          <w:rFonts w:hint="eastAsia"/>
        </w:rPr>
        <w:t>2010</w:t>
      </w:r>
      <w:r>
        <w:rPr>
          <w:rFonts w:hint="eastAsia"/>
        </w:rPr>
        <w:t>年至</w:t>
      </w:r>
      <w:r>
        <w:rPr>
          <w:rFonts w:hint="eastAsia"/>
        </w:rPr>
        <w:t>2</w:t>
      </w:r>
      <w:r>
        <w:t>012</w:t>
      </w:r>
      <w:r>
        <w:rPr>
          <w:rFonts w:hint="eastAsia"/>
        </w:rPr>
        <w:t>年任青岛三鼎橡塑有限公司人事专员，</w:t>
      </w:r>
      <w:r>
        <w:rPr>
          <w:rFonts w:hint="eastAsia"/>
        </w:rPr>
        <w:t>2012</w:t>
      </w:r>
      <w:r>
        <w:rPr>
          <w:rFonts w:hint="eastAsia"/>
        </w:rPr>
        <w:t>年</w:t>
      </w:r>
      <w:r>
        <w:rPr>
          <w:rFonts w:hint="eastAsia"/>
        </w:rPr>
        <w:t>9</w:t>
      </w:r>
      <w:r>
        <w:rPr>
          <w:rFonts w:hint="eastAsia"/>
        </w:rPr>
        <w:t>月至今任青岛伟隆阀门股份有限公司人力资源部人事专员。</w:t>
      </w:r>
      <w:r>
        <w:rPr>
          <w:rFonts w:hint="eastAsia"/>
        </w:rPr>
        <w:t>2</w:t>
      </w:r>
      <w:r>
        <w:t>019</w:t>
      </w:r>
      <w:r>
        <w:rPr>
          <w:rFonts w:hint="eastAsia"/>
        </w:rPr>
        <w:t>年</w:t>
      </w:r>
      <w:r>
        <w:rPr>
          <w:rFonts w:hint="eastAsia"/>
        </w:rPr>
        <w:t>3</w:t>
      </w:r>
      <w:r>
        <w:rPr>
          <w:rFonts w:hint="eastAsia"/>
        </w:rPr>
        <w:t>月至今任青岛伟隆阀门股份有限公司监事会主席。</w:t>
      </w:r>
    </w:p>
    <w:p w14:paraId="4F4958ED" w14:textId="77777777" w:rsidR="004B0883" w:rsidRDefault="004B0883">
      <w:pPr>
        <w:pStyle w:val="005"/>
        <w:spacing w:before="120"/>
        <w:ind w:firstLine="480"/>
      </w:pPr>
      <w:r>
        <w:rPr>
          <w:rFonts w:hint="eastAsia"/>
        </w:rPr>
        <w:t>2</w:t>
      </w:r>
      <w:r>
        <w:rPr>
          <w:rFonts w:hint="eastAsia"/>
        </w:rPr>
        <w:t>）张涛先生，中国国籍，无境外居留权，</w:t>
      </w:r>
      <w:r>
        <w:rPr>
          <w:rFonts w:hint="eastAsia"/>
        </w:rPr>
        <w:t>1994</w:t>
      </w:r>
      <w:r>
        <w:rPr>
          <w:rFonts w:hint="eastAsia"/>
        </w:rPr>
        <w:t>年</w:t>
      </w:r>
      <w:r>
        <w:rPr>
          <w:rFonts w:hint="eastAsia"/>
        </w:rPr>
        <w:t>9</w:t>
      </w:r>
      <w:r>
        <w:rPr>
          <w:rFonts w:hint="eastAsia"/>
        </w:rPr>
        <w:t>月出生，大专学历。</w:t>
      </w:r>
      <w:r>
        <w:rPr>
          <w:rFonts w:hint="eastAsia"/>
        </w:rPr>
        <w:t>2016</w:t>
      </w:r>
      <w:r>
        <w:rPr>
          <w:rFonts w:hint="eastAsia"/>
        </w:rPr>
        <w:t>年至</w:t>
      </w:r>
      <w:r>
        <w:rPr>
          <w:rFonts w:hint="eastAsia"/>
        </w:rPr>
        <w:t>2</w:t>
      </w:r>
      <w:r>
        <w:t>017</w:t>
      </w:r>
      <w:r>
        <w:rPr>
          <w:rFonts w:hint="eastAsia"/>
        </w:rPr>
        <w:t>年，任青岛相欣和融企业管理策划有限公司电商专员，</w:t>
      </w:r>
      <w:r>
        <w:rPr>
          <w:rFonts w:hint="eastAsia"/>
        </w:rPr>
        <w:t>2017</w:t>
      </w:r>
      <w:r>
        <w:rPr>
          <w:rFonts w:hint="eastAsia"/>
        </w:rPr>
        <w:t>年任青岛海康水产发展有限公司统计员；</w:t>
      </w:r>
      <w:r>
        <w:rPr>
          <w:rFonts w:hint="eastAsia"/>
        </w:rPr>
        <w:t>2017</w:t>
      </w:r>
      <w:r>
        <w:rPr>
          <w:rFonts w:hint="eastAsia"/>
        </w:rPr>
        <w:t>年</w:t>
      </w:r>
      <w:r>
        <w:rPr>
          <w:rFonts w:hint="eastAsia"/>
        </w:rPr>
        <w:t>6</w:t>
      </w:r>
      <w:r>
        <w:rPr>
          <w:rFonts w:hint="eastAsia"/>
        </w:rPr>
        <w:t>月至今任青岛伟隆阀门股份有限公司审计监督部审计员。</w:t>
      </w:r>
      <w:r>
        <w:rPr>
          <w:rFonts w:hint="eastAsia"/>
        </w:rPr>
        <w:t>2</w:t>
      </w:r>
      <w:r>
        <w:t>019</w:t>
      </w:r>
      <w:r>
        <w:rPr>
          <w:rFonts w:hint="eastAsia"/>
        </w:rPr>
        <w:t>年</w:t>
      </w:r>
      <w:r>
        <w:rPr>
          <w:rFonts w:hint="eastAsia"/>
        </w:rPr>
        <w:t>4</w:t>
      </w:r>
      <w:r>
        <w:rPr>
          <w:rFonts w:hint="eastAsia"/>
        </w:rPr>
        <w:t>月至今任青岛伟隆阀门股份有限公司监事。</w:t>
      </w:r>
    </w:p>
    <w:p w14:paraId="4BE5655F" w14:textId="77777777" w:rsidR="004B0883" w:rsidRDefault="004B0883">
      <w:pPr>
        <w:pStyle w:val="005"/>
        <w:spacing w:before="120"/>
        <w:ind w:firstLine="480"/>
      </w:pPr>
      <w:r>
        <w:rPr>
          <w:rFonts w:hint="eastAsia"/>
        </w:rPr>
        <w:t>3</w:t>
      </w:r>
      <w:r>
        <w:rPr>
          <w:rFonts w:hint="eastAsia"/>
        </w:rPr>
        <w:t>）王凤春女士，中国国籍，无境外居留权，</w:t>
      </w:r>
      <w:r>
        <w:rPr>
          <w:rFonts w:hint="eastAsia"/>
        </w:rPr>
        <w:t>1980</w:t>
      </w:r>
      <w:r>
        <w:rPr>
          <w:rFonts w:hint="eastAsia"/>
        </w:rPr>
        <w:t>年</w:t>
      </w:r>
      <w:r>
        <w:rPr>
          <w:rFonts w:hint="eastAsia"/>
        </w:rPr>
        <w:t>4</w:t>
      </w:r>
      <w:r>
        <w:rPr>
          <w:rFonts w:hint="eastAsia"/>
        </w:rPr>
        <w:t>月出生，研究生学历。</w:t>
      </w:r>
      <w:r>
        <w:rPr>
          <w:rFonts w:hint="eastAsia"/>
        </w:rPr>
        <w:t>2007</w:t>
      </w:r>
      <w:r>
        <w:rPr>
          <w:rFonts w:hint="eastAsia"/>
        </w:rPr>
        <w:t>年</w:t>
      </w:r>
      <w:r>
        <w:rPr>
          <w:rFonts w:hint="eastAsia"/>
        </w:rPr>
        <w:t>7</w:t>
      </w:r>
      <w:r>
        <w:rPr>
          <w:rFonts w:hint="eastAsia"/>
        </w:rPr>
        <w:t>月至</w:t>
      </w:r>
      <w:r>
        <w:rPr>
          <w:rFonts w:hint="eastAsia"/>
        </w:rPr>
        <w:t>2013</w:t>
      </w:r>
      <w:r>
        <w:rPr>
          <w:rFonts w:hint="eastAsia"/>
        </w:rPr>
        <w:t>年</w:t>
      </w:r>
      <w:r>
        <w:rPr>
          <w:rFonts w:hint="eastAsia"/>
        </w:rPr>
        <w:t>5</w:t>
      </w:r>
      <w:r>
        <w:rPr>
          <w:rFonts w:hint="eastAsia"/>
        </w:rPr>
        <w:t>月，任青岛飞洋职业技术学院教务处副处长、大学讲师；</w:t>
      </w:r>
      <w:r>
        <w:rPr>
          <w:rFonts w:hint="eastAsia"/>
        </w:rPr>
        <w:t>2021</w:t>
      </w:r>
      <w:r>
        <w:rPr>
          <w:rFonts w:hint="eastAsia"/>
        </w:rPr>
        <w:t>年</w:t>
      </w:r>
      <w:r>
        <w:rPr>
          <w:rFonts w:hint="eastAsia"/>
        </w:rPr>
        <w:t>4</w:t>
      </w:r>
      <w:r>
        <w:rPr>
          <w:rFonts w:hint="eastAsia"/>
        </w:rPr>
        <w:t>月至今，任</w:t>
      </w:r>
      <w:r>
        <w:rPr>
          <w:rFonts w:ascii="宋体" w:hAnsi="宋体" w:hint="eastAsia"/>
          <w:szCs w:val="21"/>
        </w:rPr>
        <w:t>青岛卓信检测技术有限责任公司质量负责人和青岛汇芯联电子有限公司执行董事兼总经理；</w:t>
      </w:r>
      <w:r>
        <w:rPr>
          <w:rFonts w:hint="eastAsia"/>
        </w:rPr>
        <w:t>2013</w:t>
      </w:r>
      <w:r>
        <w:rPr>
          <w:rFonts w:hint="eastAsia"/>
        </w:rPr>
        <w:t>年</w:t>
      </w:r>
      <w:r>
        <w:rPr>
          <w:rFonts w:hint="eastAsia"/>
        </w:rPr>
        <w:t>5</w:t>
      </w:r>
      <w:r>
        <w:rPr>
          <w:rFonts w:hint="eastAsia"/>
        </w:rPr>
        <w:t>月至今，任青岛伟隆阀门股份有限公司品管部职员。</w:t>
      </w:r>
      <w:r>
        <w:rPr>
          <w:rFonts w:hint="eastAsia"/>
        </w:rPr>
        <w:t>2</w:t>
      </w:r>
      <w:r>
        <w:t>018</w:t>
      </w:r>
      <w:r>
        <w:rPr>
          <w:rFonts w:hint="eastAsia"/>
        </w:rPr>
        <w:t>年</w:t>
      </w:r>
      <w:r>
        <w:t>3</w:t>
      </w:r>
      <w:r>
        <w:rPr>
          <w:rFonts w:hint="eastAsia"/>
        </w:rPr>
        <w:t>月至今任青岛伟隆阀门股份有限公司监事。</w:t>
      </w:r>
    </w:p>
    <w:p w14:paraId="3A6ECF38" w14:textId="77777777" w:rsidR="004B0883" w:rsidRDefault="004B0883">
      <w:pPr>
        <w:pStyle w:val="005"/>
        <w:spacing w:before="120"/>
        <w:ind w:firstLine="480"/>
      </w:pPr>
      <w:r>
        <w:rPr>
          <w:rFonts w:hint="eastAsia"/>
        </w:rPr>
        <w:t>（</w:t>
      </w:r>
      <w:r>
        <w:rPr>
          <w:rFonts w:hint="eastAsia"/>
        </w:rPr>
        <w:t>3</w:t>
      </w:r>
      <w:r>
        <w:rPr>
          <w:rFonts w:hint="eastAsia"/>
        </w:rPr>
        <w:t>）高级管理人员简历</w:t>
      </w:r>
    </w:p>
    <w:p w14:paraId="48106BCA" w14:textId="77777777" w:rsidR="004B0883" w:rsidRDefault="004B0883">
      <w:pPr>
        <w:pStyle w:val="005"/>
        <w:spacing w:before="120"/>
        <w:ind w:firstLine="480"/>
        <w:rPr>
          <w:rFonts w:hint="eastAsia"/>
        </w:rPr>
      </w:pPr>
      <w:bookmarkStart w:id="211" w:name="_Hlk123945424"/>
      <w:bookmarkStart w:id="212" w:name="_Hlk120267471"/>
      <w:bookmarkEnd w:id="210"/>
      <w:r>
        <w:rPr>
          <w:rFonts w:hint="eastAsia"/>
        </w:rPr>
        <w:t>1</w:t>
      </w:r>
      <w:r>
        <w:rPr>
          <w:rFonts w:hint="eastAsia"/>
        </w:rPr>
        <w:t>）李会君先生，简历详见本节之</w:t>
      </w:r>
      <w:r>
        <w:rPr>
          <w:rFonts w:ascii="宋体" w:hAnsi="宋体" w:hint="eastAsia"/>
        </w:rPr>
        <w:t>“</w:t>
      </w:r>
      <w:r>
        <w:rPr>
          <w:rFonts w:hint="eastAsia"/>
        </w:rPr>
        <w:t>五、董事、监事、高级管理人员及其他核心人员</w:t>
      </w:r>
      <w:r>
        <w:rPr>
          <w:rFonts w:ascii="宋体" w:hAnsi="宋体" w:hint="eastAsia"/>
        </w:rPr>
        <w:t>”</w:t>
      </w:r>
      <w:r>
        <w:rPr>
          <w:rFonts w:hint="eastAsia"/>
        </w:rPr>
        <w:t>之</w:t>
      </w:r>
      <w:r>
        <w:rPr>
          <w:rFonts w:ascii="宋体" w:hAnsi="宋体" w:hint="eastAsia"/>
        </w:rPr>
        <w:t>“</w:t>
      </w:r>
      <w:r>
        <w:rPr>
          <w:rFonts w:hint="eastAsia"/>
        </w:rPr>
        <w:t>（一）董事、监事、高级管理人员及其他核心人员基本情况</w:t>
      </w:r>
      <w:r>
        <w:rPr>
          <w:rFonts w:ascii="宋体" w:hAnsi="宋体" w:hint="eastAsia"/>
        </w:rPr>
        <w:t>”</w:t>
      </w:r>
      <w:r>
        <w:rPr>
          <w:rFonts w:hint="eastAsia"/>
        </w:rPr>
        <w:t>之</w:t>
      </w:r>
      <w:r>
        <w:rPr>
          <w:rFonts w:ascii="宋体" w:hAnsi="宋体" w:hint="eastAsia"/>
        </w:rPr>
        <w:t>“</w:t>
      </w:r>
      <w:r>
        <w:rPr>
          <w:rFonts w:hint="eastAsia"/>
        </w:rPr>
        <w:t>2</w:t>
      </w:r>
      <w:r>
        <w:rPr>
          <w:rFonts w:hint="eastAsia"/>
        </w:rPr>
        <w:t>、董事、监事、高级管理人员及其他核心人员简历</w:t>
      </w:r>
      <w:r>
        <w:rPr>
          <w:rFonts w:ascii="宋体" w:hAnsi="宋体" w:hint="eastAsia"/>
        </w:rPr>
        <w:t>”</w:t>
      </w:r>
      <w:r>
        <w:rPr>
          <w:rFonts w:hint="eastAsia"/>
        </w:rPr>
        <w:t>之</w:t>
      </w:r>
      <w:r>
        <w:rPr>
          <w:rFonts w:ascii="宋体" w:hAnsi="宋体" w:hint="eastAsia"/>
        </w:rPr>
        <w:t>“</w:t>
      </w:r>
      <w:r>
        <w:rPr>
          <w:rFonts w:hint="eastAsia"/>
        </w:rPr>
        <w:t>（</w:t>
      </w:r>
      <w:r>
        <w:rPr>
          <w:rFonts w:hint="eastAsia"/>
        </w:rPr>
        <w:t>1</w:t>
      </w:r>
      <w:r>
        <w:rPr>
          <w:rFonts w:hint="eastAsia"/>
        </w:rPr>
        <w:t>）董事会成员简历</w:t>
      </w:r>
      <w:r>
        <w:rPr>
          <w:rFonts w:ascii="宋体" w:hAnsi="宋体" w:hint="eastAsia"/>
        </w:rPr>
        <w:t>”</w:t>
      </w:r>
      <w:r>
        <w:rPr>
          <w:rFonts w:hint="eastAsia"/>
        </w:rPr>
        <w:t>。</w:t>
      </w:r>
    </w:p>
    <w:p w14:paraId="3903F30F" w14:textId="77777777" w:rsidR="004B0883" w:rsidRDefault="004B0883">
      <w:pPr>
        <w:pStyle w:val="005"/>
        <w:spacing w:before="120"/>
        <w:ind w:firstLine="480"/>
        <w:rPr>
          <w:rFonts w:hint="eastAsia"/>
        </w:rPr>
      </w:pPr>
      <w:r>
        <w:rPr>
          <w:rFonts w:hint="eastAsia"/>
        </w:rPr>
        <w:t>2</w:t>
      </w:r>
      <w:r>
        <w:rPr>
          <w:rFonts w:hint="eastAsia"/>
        </w:rPr>
        <w:t>）迟娜娜女士，简历详见本节之</w:t>
      </w:r>
      <w:r>
        <w:rPr>
          <w:rFonts w:ascii="宋体" w:hAnsi="宋体" w:hint="eastAsia"/>
        </w:rPr>
        <w:t>“</w:t>
      </w:r>
      <w:r>
        <w:rPr>
          <w:rFonts w:hint="eastAsia"/>
        </w:rPr>
        <w:t>五、董事、监事、高级管理人员及其他核心人员</w:t>
      </w:r>
      <w:r>
        <w:rPr>
          <w:rFonts w:ascii="宋体" w:hAnsi="宋体" w:hint="eastAsia"/>
        </w:rPr>
        <w:t>”</w:t>
      </w:r>
      <w:r>
        <w:rPr>
          <w:rFonts w:hint="eastAsia"/>
        </w:rPr>
        <w:t>之</w:t>
      </w:r>
      <w:r>
        <w:rPr>
          <w:rFonts w:ascii="宋体" w:hAnsi="宋体" w:hint="eastAsia"/>
        </w:rPr>
        <w:t>“</w:t>
      </w:r>
      <w:r>
        <w:rPr>
          <w:rFonts w:hint="eastAsia"/>
        </w:rPr>
        <w:t>（一）董事、监事、高级管理人员及其他核心人员基本情况</w:t>
      </w:r>
      <w:r>
        <w:rPr>
          <w:rFonts w:ascii="宋体" w:hAnsi="宋体" w:hint="eastAsia"/>
        </w:rPr>
        <w:t>”</w:t>
      </w:r>
      <w:r>
        <w:rPr>
          <w:rFonts w:hint="eastAsia"/>
        </w:rPr>
        <w:t>之</w:t>
      </w:r>
      <w:r>
        <w:rPr>
          <w:rFonts w:ascii="宋体" w:hAnsi="宋体" w:hint="eastAsia"/>
        </w:rPr>
        <w:t>“</w:t>
      </w:r>
      <w:r>
        <w:rPr>
          <w:rFonts w:hint="eastAsia"/>
        </w:rPr>
        <w:t>2</w:t>
      </w:r>
      <w:r>
        <w:rPr>
          <w:rFonts w:hint="eastAsia"/>
        </w:rPr>
        <w:t>、董事、监事、高级管理人员及其他核心人员简历</w:t>
      </w:r>
      <w:r>
        <w:rPr>
          <w:rFonts w:ascii="宋体" w:hAnsi="宋体" w:hint="eastAsia"/>
        </w:rPr>
        <w:t>”</w:t>
      </w:r>
      <w:r>
        <w:rPr>
          <w:rFonts w:hint="eastAsia"/>
        </w:rPr>
        <w:t>之</w:t>
      </w:r>
      <w:r>
        <w:rPr>
          <w:rFonts w:ascii="宋体" w:hAnsi="宋体" w:hint="eastAsia"/>
        </w:rPr>
        <w:t>“</w:t>
      </w:r>
      <w:r>
        <w:rPr>
          <w:rFonts w:hint="eastAsia"/>
        </w:rPr>
        <w:t>（</w:t>
      </w:r>
      <w:r>
        <w:rPr>
          <w:rFonts w:hint="eastAsia"/>
        </w:rPr>
        <w:t>1</w:t>
      </w:r>
      <w:r>
        <w:rPr>
          <w:rFonts w:hint="eastAsia"/>
        </w:rPr>
        <w:t>）董事会成员简历</w:t>
      </w:r>
      <w:r>
        <w:rPr>
          <w:rFonts w:ascii="宋体" w:hAnsi="宋体" w:hint="eastAsia"/>
        </w:rPr>
        <w:t>”</w:t>
      </w:r>
      <w:r>
        <w:rPr>
          <w:rFonts w:hint="eastAsia"/>
        </w:rPr>
        <w:t>。</w:t>
      </w:r>
    </w:p>
    <w:p w14:paraId="679055A5" w14:textId="77777777" w:rsidR="004B0883" w:rsidRDefault="004B0883">
      <w:pPr>
        <w:pStyle w:val="005"/>
        <w:spacing w:before="120"/>
        <w:ind w:firstLine="480"/>
      </w:pPr>
      <w:r>
        <w:rPr>
          <w:rFonts w:hint="eastAsia"/>
        </w:rPr>
        <w:t>3</w:t>
      </w:r>
      <w:r>
        <w:rPr>
          <w:rFonts w:hint="eastAsia"/>
        </w:rPr>
        <w:t>）郭成尼先生，中国国籍，无境外居留权，</w:t>
      </w:r>
      <w:r>
        <w:rPr>
          <w:rFonts w:hint="eastAsia"/>
        </w:rPr>
        <w:t>1969</w:t>
      </w:r>
      <w:r>
        <w:rPr>
          <w:rFonts w:hint="eastAsia"/>
        </w:rPr>
        <w:t>年出生，大专学历。</w:t>
      </w:r>
      <w:r>
        <w:rPr>
          <w:rFonts w:hint="eastAsia"/>
        </w:rPr>
        <w:t>1989</w:t>
      </w:r>
      <w:r>
        <w:rPr>
          <w:rFonts w:hint="eastAsia"/>
        </w:rPr>
        <w:t>年至</w:t>
      </w:r>
      <w:r>
        <w:rPr>
          <w:rFonts w:hint="eastAsia"/>
        </w:rPr>
        <w:t>1992</w:t>
      </w:r>
      <w:r>
        <w:rPr>
          <w:rFonts w:hint="eastAsia"/>
        </w:rPr>
        <w:t>年任青岛市八大关宾馆职员；</w:t>
      </w:r>
      <w:r>
        <w:rPr>
          <w:rFonts w:hint="eastAsia"/>
        </w:rPr>
        <w:t>1993</w:t>
      </w:r>
      <w:r>
        <w:rPr>
          <w:rFonts w:hint="eastAsia"/>
        </w:rPr>
        <w:t>年至</w:t>
      </w:r>
      <w:r>
        <w:rPr>
          <w:rFonts w:hint="eastAsia"/>
        </w:rPr>
        <w:t>1994</w:t>
      </w:r>
      <w:r>
        <w:rPr>
          <w:rFonts w:hint="eastAsia"/>
        </w:rPr>
        <w:t>年任崂山工具厂销售经理；</w:t>
      </w:r>
      <w:r>
        <w:rPr>
          <w:rFonts w:hint="eastAsia"/>
        </w:rPr>
        <w:t>1995</w:t>
      </w:r>
      <w:r>
        <w:rPr>
          <w:rFonts w:hint="eastAsia"/>
        </w:rPr>
        <w:t>年至今历任青岛伟隆经贸有限公司、青岛伟隆阀门有限公司、青岛伟隆阀门股份有限公司部长、销售总监等职务。</w:t>
      </w:r>
      <w:r>
        <w:rPr>
          <w:rFonts w:hint="eastAsia"/>
        </w:rPr>
        <w:t>2015</w:t>
      </w:r>
      <w:r>
        <w:rPr>
          <w:rFonts w:hint="eastAsia"/>
        </w:rPr>
        <w:t>年</w:t>
      </w:r>
      <w:r>
        <w:rPr>
          <w:rFonts w:hint="eastAsia"/>
        </w:rPr>
        <w:t>3</w:t>
      </w:r>
      <w:r>
        <w:rPr>
          <w:rFonts w:hint="eastAsia"/>
        </w:rPr>
        <w:t>月至今任青岛伟隆阀门股份有限公司国际销售总监。</w:t>
      </w:r>
    </w:p>
    <w:p w14:paraId="27329AEC" w14:textId="77777777" w:rsidR="004B0883" w:rsidRDefault="004B0883">
      <w:pPr>
        <w:pStyle w:val="005"/>
        <w:spacing w:before="120"/>
        <w:ind w:firstLine="480"/>
      </w:pPr>
      <w:r>
        <w:rPr>
          <w:rFonts w:hint="eastAsia"/>
        </w:rPr>
        <w:t>4</w:t>
      </w:r>
      <w:r>
        <w:rPr>
          <w:rFonts w:hint="eastAsia"/>
        </w:rPr>
        <w:t>）张会亭先生，中国国籍，无境外居留权，</w:t>
      </w:r>
      <w:r>
        <w:rPr>
          <w:rFonts w:hint="eastAsia"/>
        </w:rPr>
        <w:t>1966</w:t>
      </w:r>
      <w:r>
        <w:rPr>
          <w:rFonts w:hint="eastAsia"/>
        </w:rPr>
        <w:t>年出生，本科学历，高级工程师。</w:t>
      </w:r>
      <w:r>
        <w:rPr>
          <w:rFonts w:hint="eastAsia"/>
        </w:rPr>
        <w:t>1989</w:t>
      </w:r>
      <w:r>
        <w:rPr>
          <w:rFonts w:hint="eastAsia"/>
        </w:rPr>
        <w:t>年</w:t>
      </w:r>
      <w:r>
        <w:rPr>
          <w:rFonts w:hint="eastAsia"/>
        </w:rPr>
        <w:t>7</w:t>
      </w:r>
      <w:r>
        <w:rPr>
          <w:rFonts w:hint="eastAsia"/>
        </w:rPr>
        <w:t>月至</w:t>
      </w:r>
      <w:r>
        <w:rPr>
          <w:rFonts w:hint="eastAsia"/>
        </w:rPr>
        <w:t>1999</w:t>
      </w:r>
      <w:r>
        <w:rPr>
          <w:rFonts w:hint="eastAsia"/>
        </w:rPr>
        <w:t>年</w:t>
      </w:r>
      <w:r>
        <w:rPr>
          <w:rFonts w:hint="eastAsia"/>
        </w:rPr>
        <w:t>4</w:t>
      </w:r>
      <w:r>
        <w:rPr>
          <w:rFonts w:hint="eastAsia"/>
        </w:rPr>
        <w:t>月任青岛阀门厂工程师；</w:t>
      </w:r>
      <w:r>
        <w:rPr>
          <w:rFonts w:hint="eastAsia"/>
        </w:rPr>
        <w:t>1999</w:t>
      </w:r>
      <w:r>
        <w:rPr>
          <w:rFonts w:hint="eastAsia"/>
        </w:rPr>
        <w:t>年</w:t>
      </w:r>
      <w:r>
        <w:rPr>
          <w:rFonts w:hint="eastAsia"/>
        </w:rPr>
        <w:t>5</w:t>
      </w:r>
      <w:r>
        <w:rPr>
          <w:rFonts w:hint="eastAsia"/>
        </w:rPr>
        <w:t>月至</w:t>
      </w:r>
      <w:r>
        <w:rPr>
          <w:rFonts w:hint="eastAsia"/>
        </w:rPr>
        <w:t>2018</w:t>
      </w:r>
      <w:r>
        <w:rPr>
          <w:rFonts w:hint="eastAsia"/>
        </w:rPr>
        <w:t>年</w:t>
      </w:r>
      <w:r>
        <w:rPr>
          <w:rFonts w:hint="eastAsia"/>
        </w:rPr>
        <w:t>3</w:t>
      </w:r>
      <w:r>
        <w:rPr>
          <w:rFonts w:hint="eastAsia"/>
        </w:rPr>
        <w:t>月历任青岛伟隆经贸有限公司、青岛伟隆阀门有限公司、青岛伟隆阀门股份有限公司部长、研发总监等职务。</w:t>
      </w:r>
      <w:r>
        <w:rPr>
          <w:rFonts w:hint="eastAsia"/>
        </w:rPr>
        <w:t>2018</w:t>
      </w:r>
      <w:r>
        <w:rPr>
          <w:rFonts w:hint="eastAsia"/>
        </w:rPr>
        <w:t>年</w:t>
      </w:r>
      <w:r>
        <w:rPr>
          <w:rFonts w:hint="eastAsia"/>
        </w:rPr>
        <w:t>3</w:t>
      </w:r>
      <w:r>
        <w:rPr>
          <w:rFonts w:hint="eastAsia"/>
        </w:rPr>
        <w:t>月至今任青岛伟隆阀门股份有限公司研发技术总监。</w:t>
      </w:r>
    </w:p>
    <w:p w14:paraId="5B6E0C80" w14:textId="77777777" w:rsidR="004B0883" w:rsidRDefault="004B0883">
      <w:pPr>
        <w:pStyle w:val="005"/>
        <w:spacing w:before="120"/>
        <w:ind w:firstLine="480"/>
      </w:pPr>
      <w:r>
        <w:rPr>
          <w:rFonts w:hint="eastAsia"/>
        </w:rPr>
        <w:t>5</w:t>
      </w:r>
      <w:r>
        <w:rPr>
          <w:rFonts w:hint="eastAsia"/>
        </w:rPr>
        <w:t>）王兆健先生，中国国籍，无境外居留权，</w:t>
      </w:r>
      <w:r>
        <w:rPr>
          <w:rFonts w:hint="eastAsia"/>
        </w:rPr>
        <w:t>1980</w:t>
      </w:r>
      <w:r>
        <w:rPr>
          <w:rFonts w:hint="eastAsia"/>
        </w:rPr>
        <w:t>年出生，本科学历。</w:t>
      </w:r>
      <w:r>
        <w:rPr>
          <w:rFonts w:hint="eastAsia"/>
        </w:rPr>
        <w:t>2005</w:t>
      </w:r>
      <w:r>
        <w:rPr>
          <w:rFonts w:hint="eastAsia"/>
        </w:rPr>
        <w:t>至</w:t>
      </w:r>
      <w:r>
        <w:rPr>
          <w:rFonts w:hint="eastAsia"/>
        </w:rPr>
        <w:t>2009</w:t>
      </w:r>
      <w:r>
        <w:rPr>
          <w:rFonts w:hint="eastAsia"/>
        </w:rPr>
        <w:t>年，任青岛天赢铸锻有限公司质量工程师，</w:t>
      </w:r>
      <w:r>
        <w:rPr>
          <w:rFonts w:hint="eastAsia"/>
        </w:rPr>
        <w:t>2009</w:t>
      </w:r>
      <w:r>
        <w:rPr>
          <w:rFonts w:hint="eastAsia"/>
        </w:rPr>
        <w:t>至</w:t>
      </w:r>
      <w:r>
        <w:rPr>
          <w:rFonts w:hint="eastAsia"/>
        </w:rPr>
        <w:t>2010</w:t>
      </w:r>
      <w:r>
        <w:rPr>
          <w:rFonts w:hint="eastAsia"/>
        </w:rPr>
        <w:t>年，任贝克曼沃玛（青岛）金属技术有限公司质量主管，</w:t>
      </w:r>
      <w:r>
        <w:rPr>
          <w:rFonts w:hint="eastAsia"/>
        </w:rPr>
        <w:t>2011</w:t>
      </w:r>
      <w:r>
        <w:rPr>
          <w:rFonts w:hint="eastAsia"/>
        </w:rPr>
        <w:t>年至</w:t>
      </w:r>
      <w:r>
        <w:rPr>
          <w:rFonts w:hint="eastAsia"/>
        </w:rPr>
        <w:t>2012</w:t>
      </w:r>
      <w:r>
        <w:rPr>
          <w:rFonts w:hint="eastAsia"/>
        </w:rPr>
        <w:t>年，任青岛天摩亚太汽车部件有限公司质量主管，</w:t>
      </w:r>
      <w:r>
        <w:rPr>
          <w:rFonts w:hint="eastAsia"/>
        </w:rPr>
        <w:t>2012</w:t>
      </w:r>
      <w:r>
        <w:rPr>
          <w:rFonts w:hint="eastAsia"/>
        </w:rPr>
        <w:t>年</w:t>
      </w:r>
      <w:r>
        <w:rPr>
          <w:rFonts w:hint="eastAsia"/>
        </w:rPr>
        <w:t>12</w:t>
      </w:r>
      <w:r>
        <w:rPr>
          <w:rFonts w:hint="eastAsia"/>
        </w:rPr>
        <w:t>月至</w:t>
      </w:r>
      <w:r>
        <w:rPr>
          <w:rFonts w:hint="eastAsia"/>
        </w:rPr>
        <w:t>2020</w:t>
      </w:r>
      <w:r>
        <w:rPr>
          <w:rFonts w:hint="eastAsia"/>
        </w:rPr>
        <w:t>年</w:t>
      </w:r>
      <w:r>
        <w:rPr>
          <w:rFonts w:hint="eastAsia"/>
        </w:rPr>
        <w:t>12</w:t>
      </w:r>
      <w:r>
        <w:rPr>
          <w:rFonts w:hint="eastAsia"/>
        </w:rPr>
        <w:t>月历任</w:t>
      </w:r>
      <w:r>
        <w:t>青岛伟隆阀门股份有限公司</w:t>
      </w:r>
      <w:r>
        <w:rPr>
          <w:rFonts w:hint="eastAsia"/>
        </w:rPr>
        <w:t>副部长、部长。</w:t>
      </w:r>
      <w:r>
        <w:t>2021</w:t>
      </w:r>
      <w:r>
        <w:rPr>
          <w:rFonts w:hint="eastAsia"/>
        </w:rPr>
        <w:t>年</w:t>
      </w:r>
      <w:r>
        <w:rPr>
          <w:rFonts w:hint="eastAsia"/>
        </w:rPr>
        <w:t>3</w:t>
      </w:r>
      <w:r>
        <w:rPr>
          <w:rFonts w:hint="eastAsia"/>
        </w:rPr>
        <w:t>月至今任青岛伟隆阀门股份有限公司质量总监。</w:t>
      </w:r>
    </w:p>
    <w:p w14:paraId="27E27041" w14:textId="77777777" w:rsidR="004B0883" w:rsidRDefault="004B0883">
      <w:pPr>
        <w:pStyle w:val="005"/>
        <w:spacing w:before="120"/>
        <w:ind w:firstLine="480"/>
      </w:pPr>
      <w:r>
        <w:rPr>
          <w:rFonts w:hint="eastAsia"/>
        </w:rPr>
        <w:t>6</w:t>
      </w:r>
      <w:r>
        <w:rPr>
          <w:rFonts w:hint="eastAsia"/>
        </w:rPr>
        <w:t>）渠汇成先生，中国国籍，无境外居留权，</w:t>
      </w:r>
      <w:r>
        <w:rPr>
          <w:rFonts w:hint="eastAsia"/>
        </w:rPr>
        <w:t>1984</w:t>
      </w:r>
      <w:r>
        <w:rPr>
          <w:rFonts w:hint="eastAsia"/>
        </w:rPr>
        <w:t>年出生，大专学历。</w:t>
      </w:r>
      <w:r>
        <w:rPr>
          <w:rFonts w:hint="eastAsia"/>
        </w:rPr>
        <w:t>2002</w:t>
      </w:r>
      <w:r>
        <w:rPr>
          <w:rFonts w:hint="eastAsia"/>
        </w:rPr>
        <w:t>年至</w:t>
      </w:r>
      <w:r>
        <w:rPr>
          <w:rFonts w:hint="eastAsia"/>
        </w:rPr>
        <w:t>2004</w:t>
      </w:r>
      <w:r>
        <w:rPr>
          <w:rFonts w:hint="eastAsia"/>
        </w:rPr>
        <w:t>年任青岛伟隆经贸有限公司生产部副部长；</w:t>
      </w:r>
      <w:r>
        <w:rPr>
          <w:rFonts w:hint="eastAsia"/>
        </w:rPr>
        <w:t>2004</w:t>
      </w:r>
      <w:r>
        <w:rPr>
          <w:rFonts w:hint="eastAsia"/>
        </w:rPr>
        <w:t>年至</w:t>
      </w:r>
      <w:r>
        <w:rPr>
          <w:rFonts w:hint="eastAsia"/>
        </w:rPr>
        <w:t>2012</w:t>
      </w:r>
      <w:r>
        <w:rPr>
          <w:rFonts w:hint="eastAsia"/>
        </w:rPr>
        <w:t>年历任青岛伟隆阀门有限公司生产部副部长、部长、总经理助理；</w:t>
      </w:r>
      <w:r>
        <w:rPr>
          <w:rFonts w:hint="eastAsia"/>
        </w:rPr>
        <w:t>2012</w:t>
      </w:r>
      <w:r>
        <w:rPr>
          <w:rFonts w:hint="eastAsia"/>
        </w:rPr>
        <w:t>年</w:t>
      </w:r>
      <w:r>
        <w:rPr>
          <w:rFonts w:hint="eastAsia"/>
        </w:rPr>
        <w:t>3</w:t>
      </w:r>
      <w:r>
        <w:rPr>
          <w:rFonts w:hint="eastAsia"/>
        </w:rPr>
        <w:t>月至</w:t>
      </w:r>
      <w:r>
        <w:rPr>
          <w:rFonts w:hint="eastAsia"/>
        </w:rPr>
        <w:t>2018</w:t>
      </w:r>
      <w:r>
        <w:rPr>
          <w:rFonts w:hint="eastAsia"/>
        </w:rPr>
        <w:t>年</w:t>
      </w:r>
      <w:r>
        <w:rPr>
          <w:rFonts w:hint="eastAsia"/>
        </w:rPr>
        <w:t>3</w:t>
      </w:r>
      <w:r>
        <w:rPr>
          <w:rFonts w:hint="eastAsia"/>
        </w:rPr>
        <w:t>月历任青岛伟隆阀门股份有限公司职工监事、监事会主席。</w:t>
      </w:r>
      <w:r>
        <w:rPr>
          <w:rFonts w:hint="eastAsia"/>
        </w:rPr>
        <w:t>2018</w:t>
      </w:r>
      <w:r>
        <w:rPr>
          <w:rFonts w:hint="eastAsia"/>
        </w:rPr>
        <w:t>年</w:t>
      </w:r>
      <w:r>
        <w:rPr>
          <w:rFonts w:hint="eastAsia"/>
        </w:rPr>
        <w:t>3</w:t>
      </w:r>
      <w:r>
        <w:rPr>
          <w:rFonts w:hint="eastAsia"/>
        </w:rPr>
        <w:t>月至今任青岛伟隆阀门股份有限公司生产总监。</w:t>
      </w:r>
    </w:p>
    <w:p w14:paraId="34F93AB7" w14:textId="77777777" w:rsidR="004B0883" w:rsidRDefault="004B0883">
      <w:pPr>
        <w:pStyle w:val="005"/>
        <w:spacing w:before="120"/>
        <w:ind w:firstLine="480"/>
      </w:pPr>
      <w:r>
        <w:t>7</w:t>
      </w:r>
      <w:r>
        <w:rPr>
          <w:rFonts w:hint="eastAsia"/>
        </w:rPr>
        <w:t>）陈存明先生，中国国籍，无境外居留权，</w:t>
      </w:r>
      <w:r>
        <w:rPr>
          <w:rFonts w:hint="eastAsia"/>
        </w:rPr>
        <w:t>1980</w:t>
      </w:r>
      <w:r>
        <w:rPr>
          <w:rFonts w:hint="eastAsia"/>
        </w:rPr>
        <w:t>年出生，大学本科学历。</w:t>
      </w:r>
      <w:r>
        <w:rPr>
          <w:rFonts w:hint="eastAsia"/>
        </w:rPr>
        <w:t>2003</w:t>
      </w:r>
      <w:r>
        <w:rPr>
          <w:rFonts w:hint="eastAsia"/>
        </w:rPr>
        <w:t>年至</w:t>
      </w:r>
      <w:r>
        <w:rPr>
          <w:rFonts w:hint="eastAsia"/>
        </w:rPr>
        <w:t>2007</w:t>
      </w:r>
      <w:r>
        <w:rPr>
          <w:rFonts w:hint="eastAsia"/>
        </w:rPr>
        <w:t>年，任深圳市许继昌达电气有限公司电气工程师；</w:t>
      </w:r>
      <w:r>
        <w:rPr>
          <w:rFonts w:hint="eastAsia"/>
        </w:rPr>
        <w:t>2008</w:t>
      </w:r>
      <w:r>
        <w:rPr>
          <w:rFonts w:hint="eastAsia"/>
        </w:rPr>
        <w:t>年至</w:t>
      </w:r>
      <w:r>
        <w:rPr>
          <w:rFonts w:hint="eastAsia"/>
        </w:rPr>
        <w:t>2012</w:t>
      </w:r>
      <w:r>
        <w:rPr>
          <w:rFonts w:hint="eastAsia"/>
        </w:rPr>
        <w:t>年，任上海许继电气有限公司深圳分公司工程技术部经理；</w:t>
      </w:r>
      <w:r>
        <w:rPr>
          <w:rFonts w:hint="eastAsia"/>
        </w:rPr>
        <w:t>2013</w:t>
      </w:r>
      <w:r>
        <w:rPr>
          <w:rFonts w:hint="eastAsia"/>
        </w:rPr>
        <w:t>年至</w:t>
      </w:r>
      <w:r>
        <w:rPr>
          <w:rFonts w:hint="eastAsia"/>
        </w:rPr>
        <w:t>2015</w:t>
      </w:r>
      <w:r>
        <w:rPr>
          <w:rFonts w:hint="eastAsia"/>
        </w:rPr>
        <w:t>年，任深圳市艾立格信息技术有限公司市场部经理；</w:t>
      </w:r>
      <w:r>
        <w:rPr>
          <w:rFonts w:hint="eastAsia"/>
        </w:rPr>
        <w:t>2015</w:t>
      </w:r>
      <w:r>
        <w:rPr>
          <w:rFonts w:hint="eastAsia"/>
        </w:rPr>
        <w:t>年</w:t>
      </w:r>
      <w:r>
        <w:rPr>
          <w:rFonts w:hint="eastAsia"/>
        </w:rPr>
        <w:t>9</w:t>
      </w:r>
      <w:r>
        <w:rPr>
          <w:rFonts w:hint="eastAsia"/>
        </w:rPr>
        <w:t>月至</w:t>
      </w:r>
      <w:r>
        <w:rPr>
          <w:rFonts w:hint="eastAsia"/>
        </w:rPr>
        <w:t>2016</w:t>
      </w:r>
      <w:r>
        <w:rPr>
          <w:rFonts w:hint="eastAsia"/>
        </w:rPr>
        <w:t>年</w:t>
      </w:r>
      <w:r>
        <w:rPr>
          <w:rFonts w:hint="eastAsia"/>
        </w:rPr>
        <w:t>12</w:t>
      </w:r>
      <w:r>
        <w:rPr>
          <w:rFonts w:hint="eastAsia"/>
        </w:rPr>
        <w:t>月，任</w:t>
      </w:r>
      <w:r>
        <w:t>青岛伟隆阀门股份有限公司任</w:t>
      </w:r>
      <w:r>
        <w:rPr>
          <w:rFonts w:hint="eastAsia"/>
        </w:rPr>
        <w:t>青岛办事处业务经理；</w:t>
      </w:r>
      <w:r>
        <w:rPr>
          <w:rFonts w:hint="eastAsia"/>
        </w:rPr>
        <w:t>2017</w:t>
      </w:r>
      <w:r>
        <w:rPr>
          <w:rFonts w:hint="eastAsia"/>
        </w:rPr>
        <w:t>年</w:t>
      </w:r>
      <w:r>
        <w:rPr>
          <w:rFonts w:hint="eastAsia"/>
        </w:rPr>
        <w:t>1</w:t>
      </w:r>
      <w:r>
        <w:rPr>
          <w:rFonts w:hint="eastAsia"/>
        </w:rPr>
        <w:t>月至今，任</w:t>
      </w:r>
      <w:r>
        <w:t>青岛伟隆阀门股份有限公司</w:t>
      </w:r>
      <w:r>
        <w:rPr>
          <w:rFonts w:hint="eastAsia"/>
        </w:rPr>
        <w:t>任华南大区经理。</w:t>
      </w:r>
      <w:r>
        <w:rPr>
          <w:rFonts w:hint="eastAsia"/>
        </w:rPr>
        <w:t>2</w:t>
      </w:r>
      <w:r>
        <w:t>023</w:t>
      </w:r>
      <w:r>
        <w:rPr>
          <w:rFonts w:hint="eastAsia"/>
        </w:rPr>
        <w:t>年</w:t>
      </w:r>
      <w:r>
        <w:rPr>
          <w:rFonts w:hint="eastAsia"/>
        </w:rPr>
        <w:t>3</w:t>
      </w:r>
      <w:r>
        <w:rPr>
          <w:rFonts w:hint="eastAsia"/>
        </w:rPr>
        <w:t>月至今任青岛伟隆阀门股份有限公司营销中心总监。</w:t>
      </w:r>
    </w:p>
    <w:p w14:paraId="584E54CC" w14:textId="77777777" w:rsidR="004B0883" w:rsidRDefault="004B0883">
      <w:pPr>
        <w:pStyle w:val="005"/>
        <w:spacing w:before="120"/>
        <w:ind w:firstLine="480"/>
      </w:pPr>
      <w:r>
        <w:t>8</w:t>
      </w:r>
      <w:r>
        <w:rPr>
          <w:rFonts w:hint="eastAsia"/>
        </w:rPr>
        <w:t>）李鹏飞先生，中国国籍，无境外居留权，</w:t>
      </w:r>
      <w:r>
        <w:rPr>
          <w:rFonts w:hint="eastAsia"/>
        </w:rPr>
        <w:t>1990</w:t>
      </w:r>
      <w:r>
        <w:rPr>
          <w:rFonts w:hint="eastAsia"/>
        </w:rPr>
        <w:t>年出生，研究生学历。</w:t>
      </w:r>
      <w:r>
        <w:rPr>
          <w:rFonts w:hint="eastAsia"/>
        </w:rPr>
        <w:t>2013</w:t>
      </w:r>
      <w:r>
        <w:rPr>
          <w:rFonts w:hint="eastAsia"/>
        </w:rPr>
        <w:t>年</w:t>
      </w:r>
      <w:r>
        <w:rPr>
          <w:rFonts w:hint="eastAsia"/>
        </w:rPr>
        <w:t>7</w:t>
      </w:r>
      <w:r>
        <w:rPr>
          <w:rFonts w:hint="eastAsia"/>
        </w:rPr>
        <w:t>月至</w:t>
      </w:r>
      <w:r>
        <w:rPr>
          <w:rFonts w:hint="eastAsia"/>
        </w:rPr>
        <w:t>2018</w:t>
      </w:r>
      <w:r>
        <w:rPr>
          <w:rFonts w:hint="eastAsia"/>
        </w:rPr>
        <w:t>年</w:t>
      </w:r>
      <w:r>
        <w:rPr>
          <w:rFonts w:hint="eastAsia"/>
        </w:rPr>
        <w:t>6</w:t>
      </w:r>
      <w:r>
        <w:rPr>
          <w:rFonts w:hint="eastAsia"/>
        </w:rPr>
        <w:t>月历任澳大利亚</w:t>
      </w:r>
      <w:r>
        <w:rPr>
          <w:rFonts w:hint="eastAsia"/>
        </w:rPr>
        <w:t>Comscentre Pty Ltd.</w:t>
      </w:r>
      <w:r>
        <w:rPr>
          <w:rFonts w:hint="eastAsia"/>
        </w:rPr>
        <w:t>会计助理、总账会计；</w:t>
      </w:r>
      <w:r>
        <w:rPr>
          <w:rFonts w:hint="eastAsia"/>
        </w:rPr>
        <w:t>2018</w:t>
      </w:r>
      <w:r>
        <w:rPr>
          <w:rFonts w:hint="eastAsia"/>
        </w:rPr>
        <w:t>年</w:t>
      </w:r>
      <w:r>
        <w:rPr>
          <w:rFonts w:hint="eastAsia"/>
        </w:rPr>
        <w:t>8</w:t>
      </w:r>
      <w:r>
        <w:rPr>
          <w:rFonts w:hint="eastAsia"/>
        </w:rPr>
        <w:t>月至</w:t>
      </w:r>
      <w:r>
        <w:rPr>
          <w:rFonts w:hint="eastAsia"/>
        </w:rPr>
        <w:t>2019</w:t>
      </w:r>
      <w:r>
        <w:rPr>
          <w:rFonts w:hint="eastAsia"/>
        </w:rPr>
        <w:t>年</w:t>
      </w:r>
      <w:r>
        <w:rPr>
          <w:rFonts w:hint="eastAsia"/>
        </w:rPr>
        <w:t>7</w:t>
      </w:r>
      <w:r>
        <w:rPr>
          <w:rFonts w:hint="eastAsia"/>
        </w:rPr>
        <w:t>月任青岛乾元顺纳米科技包装有限公司董事长助理；</w:t>
      </w:r>
      <w:r>
        <w:rPr>
          <w:rFonts w:hint="eastAsia"/>
        </w:rPr>
        <w:t>2019</w:t>
      </w:r>
      <w:r>
        <w:rPr>
          <w:rFonts w:hint="eastAsia"/>
        </w:rPr>
        <w:t>年</w:t>
      </w:r>
      <w:r>
        <w:rPr>
          <w:rFonts w:hint="eastAsia"/>
        </w:rPr>
        <w:t>8</w:t>
      </w:r>
      <w:r>
        <w:rPr>
          <w:rFonts w:hint="eastAsia"/>
        </w:rPr>
        <w:t>月至</w:t>
      </w:r>
      <w:r>
        <w:rPr>
          <w:rFonts w:hint="eastAsia"/>
        </w:rPr>
        <w:t>2021</w:t>
      </w:r>
      <w:r>
        <w:rPr>
          <w:rFonts w:hint="eastAsia"/>
        </w:rPr>
        <w:t>年</w:t>
      </w:r>
      <w:r>
        <w:rPr>
          <w:rFonts w:hint="eastAsia"/>
        </w:rPr>
        <w:t>1</w:t>
      </w:r>
      <w:r>
        <w:rPr>
          <w:rFonts w:hint="eastAsia"/>
        </w:rPr>
        <w:t>月任</w:t>
      </w:r>
      <w:r>
        <w:t>青岛伟隆阀门股份有限公司</w:t>
      </w:r>
      <w:r>
        <w:rPr>
          <w:rFonts w:hint="eastAsia"/>
        </w:rPr>
        <w:t>涉外会计；</w:t>
      </w:r>
      <w:r>
        <w:rPr>
          <w:rFonts w:hint="eastAsia"/>
        </w:rPr>
        <w:t>2021</w:t>
      </w:r>
      <w:r>
        <w:rPr>
          <w:rFonts w:hint="eastAsia"/>
        </w:rPr>
        <w:t>年</w:t>
      </w:r>
      <w:r>
        <w:rPr>
          <w:rFonts w:hint="eastAsia"/>
        </w:rPr>
        <w:t>1</w:t>
      </w:r>
      <w:r>
        <w:rPr>
          <w:rFonts w:hint="eastAsia"/>
        </w:rPr>
        <w:t>月至今任本公司投资融资部副部长。</w:t>
      </w:r>
      <w:r>
        <w:rPr>
          <w:rFonts w:hint="eastAsia"/>
        </w:rPr>
        <w:t>2</w:t>
      </w:r>
      <w:r>
        <w:t>023</w:t>
      </w:r>
      <w:r>
        <w:rPr>
          <w:rFonts w:hint="eastAsia"/>
        </w:rPr>
        <w:t>年</w:t>
      </w:r>
      <w:r>
        <w:rPr>
          <w:rFonts w:hint="eastAsia"/>
        </w:rPr>
        <w:t>5</w:t>
      </w:r>
      <w:r>
        <w:rPr>
          <w:rFonts w:hint="eastAsia"/>
        </w:rPr>
        <w:t>月至今任青岛伟隆阀门股份有限公司董事会秘书。</w:t>
      </w:r>
    </w:p>
    <w:bookmarkEnd w:id="212"/>
    <w:p w14:paraId="5017F98A" w14:textId="77777777" w:rsidR="004B0883" w:rsidRDefault="004B0883">
      <w:pPr>
        <w:pStyle w:val="003"/>
        <w:spacing w:before="120" w:after="120"/>
      </w:pPr>
      <w:r>
        <w:rPr>
          <w:rFonts w:hint="eastAsia"/>
        </w:rPr>
        <w:t>（二）董事、监事、高级管理人员兼职情况</w:t>
      </w:r>
    </w:p>
    <w:p w14:paraId="42CCFE65" w14:textId="77777777" w:rsidR="004B0883" w:rsidRDefault="004B0883">
      <w:pPr>
        <w:pStyle w:val="005"/>
        <w:spacing w:before="120"/>
        <w:ind w:firstLine="480"/>
        <w:rPr>
          <w:rFonts w:hint="eastAsia"/>
        </w:rPr>
      </w:pPr>
      <w:r>
        <w:rPr>
          <w:rFonts w:hint="eastAsia"/>
        </w:rPr>
        <w:t>截至本募集说明书签署日，发行人现任董事、监事和高级管理人员除在公司（含下属控股子公司）任职外，在其他单位的主要任职情况如下：</w:t>
      </w:r>
    </w:p>
    <w:tbl>
      <w:tblPr>
        <w:tblW w:w="8651"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981"/>
        <w:gridCol w:w="1430"/>
        <w:gridCol w:w="2259"/>
        <w:gridCol w:w="1914"/>
        <w:gridCol w:w="2067"/>
      </w:tblGrid>
      <w:tr w:rsidR="004B0883" w14:paraId="48BDFABF" w14:textId="77777777">
        <w:trPr>
          <w:trHeight w:val="397"/>
          <w:tblHeader/>
          <w:jc w:val="center"/>
        </w:trPr>
        <w:tc>
          <w:tcPr>
            <w:tcW w:w="981" w:type="dxa"/>
            <w:vMerge w:val="restart"/>
            <w:shd w:val="clear" w:color="auto" w:fill="D9D9D9"/>
            <w:vAlign w:val="center"/>
          </w:tcPr>
          <w:p w14:paraId="4D484BAC" w14:textId="77777777" w:rsidR="004B0883" w:rsidRDefault="004B0883">
            <w:pPr>
              <w:adjustRightInd w:val="0"/>
              <w:snapToGrid w:val="0"/>
              <w:jc w:val="center"/>
              <w:rPr>
                <w:b/>
                <w:color w:val="000000"/>
              </w:rPr>
            </w:pPr>
            <w:r>
              <w:rPr>
                <w:b/>
                <w:color w:val="000000"/>
              </w:rPr>
              <w:t>姓名</w:t>
            </w:r>
          </w:p>
        </w:tc>
        <w:tc>
          <w:tcPr>
            <w:tcW w:w="1430" w:type="dxa"/>
            <w:vMerge w:val="restart"/>
            <w:shd w:val="clear" w:color="auto" w:fill="D9D9D9"/>
            <w:vAlign w:val="center"/>
          </w:tcPr>
          <w:p w14:paraId="698BDD4C" w14:textId="77777777" w:rsidR="004B0883" w:rsidRDefault="004B0883">
            <w:pPr>
              <w:adjustRightInd w:val="0"/>
              <w:snapToGrid w:val="0"/>
              <w:jc w:val="center"/>
              <w:rPr>
                <w:b/>
                <w:color w:val="000000"/>
              </w:rPr>
            </w:pPr>
            <w:r>
              <w:rPr>
                <w:b/>
                <w:color w:val="000000"/>
              </w:rPr>
              <w:t>在公司任职情况</w:t>
            </w:r>
          </w:p>
        </w:tc>
        <w:tc>
          <w:tcPr>
            <w:tcW w:w="4173" w:type="dxa"/>
            <w:gridSpan w:val="2"/>
            <w:shd w:val="clear" w:color="auto" w:fill="D9D9D9"/>
            <w:vAlign w:val="center"/>
          </w:tcPr>
          <w:p w14:paraId="35B5A851" w14:textId="77777777" w:rsidR="004B0883" w:rsidRDefault="004B0883">
            <w:pPr>
              <w:adjustRightInd w:val="0"/>
              <w:snapToGrid w:val="0"/>
              <w:jc w:val="center"/>
              <w:rPr>
                <w:b/>
                <w:color w:val="000000"/>
              </w:rPr>
            </w:pPr>
            <w:r>
              <w:rPr>
                <w:b/>
                <w:color w:val="000000"/>
              </w:rPr>
              <w:t>兼职情况</w:t>
            </w:r>
          </w:p>
        </w:tc>
        <w:tc>
          <w:tcPr>
            <w:tcW w:w="2067" w:type="dxa"/>
            <w:vMerge w:val="restart"/>
            <w:shd w:val="clear" w:color="auto" w:fill="D9D9D9"/>
            <w:vAlign w:val="center"/>
          </w:tcPr>
          <w:p w14:paraId="150700FF" w14:textId="77777777" w:rsidR="004B0883" w:rsidRDefault="004B0883">
            <w:pPr>
              <w:adjustRightInd w:val="0"/>
              <w:snapToGrid w:val="0"/>
              <w:jc w:val="center"/>
              <w:rPr>
                <w:b/>
                <w:color w:val="000000"/>
              </w:rPr>
            </w:pPr>
            <w:r>
              <w:rPr>
                <w:b/>
                <w:color w:val="000000"/>
              </w:rPr>
              <w:t>兼职企业与发行人的关联关系</w:t>
            </w:r>
          </w:p>
        </w:tc>
      </w:tr>
      <w:tr w:rsidR="004B0883" w14:paraId="0DA6175F" w14:textId="77777777">
        <w:trPr>
          <w:trHeight w:val="397"/>
          <w:tblHeader/>
          <w:jc w:val="center"/>
        </w:trPr>
        <w:tc>
          <w:tcPr>
            <w:tcW w:w="981" w:type="dxa"/>
            <w:vMerge/>
            <w:shd w:val="clear" w:color="auto" w:fill="D9D9D9"/>
            <w:vAlign w:val="center"/>
          </w:tcPr>
          <w:p w14:paraId="3B494F7F" w14:textId="77777777" w:rsidR="004B0883" w:rsidRDefault="004B0883">
            <w:pPr>
              <w:adjustRightInd w:val="0"/>
              <w:snapToGrid w:val="0"/>
              <w:jc w:val="center"/>
              <w:rPr>
                <w:color w:val="000000"/>
              </w:rPr>
            </w:pPr>
          </w:p>
        </w:tc>
        <w:tc>
          <w:tcPr>
            <w:tcW w:w="1430" w:type="dxa"/>
            <w:vMerge/>
            <w:shd w:val="clear" w:color="auto" w:fill="D9D9D9"/>
            <w:vAlign w:val="center"/>
          </w:tcPr>
          <w:p w14:paraId="067B9A60" w14:textId="77777777" w:rsidR="004B0883" w:rsidRDefault="004B0883">
            <w:pPr>
              <w:adjustRightInd w:val="0"/>
              <w:snapToGrid w:val="0"/>
              <w:jc w:val="center"/>
              <w:rPr>
                <w:color w:val="000000"/>
              </w:rPr>
            </w:pPr>
          </w:p>
        </w:tc>
        <w:tc>
          <w:tcPr>
            <w:tcW w:w="2259" w:type="dxa"/>
            <w:shd w:val="clear" w:color="auto" w:fill="D9D9D9"/>
            <w:vAlign w:val="center"/>
          </w:tcPr>
          <w:p w14:paraId="4EDE032E" w14:textId="77777777" w:rsidR="004B0883" w:rsidRDefault="004B0883">
            <w:pPr>
              <w:adjustRightInd w:val="0"/>
              <w:snapToGrid w:val="0"/>
              <w:jc w:val="center"/>
              <w:rPr>
                <w:b/>
                <w:color w:val="000000"/>
              </w:rPr>
            </w:pPr>
            <w:r>
              <w:rPr>
                <w:b/>
                <w:color w:val="000000"/>
              </w:rPr>
              <w:t>单位名称</w:t>
            </w:r>
          </w:p>
        </w:tc>
        <w:tc>
          <w:tcPr>
            <w:tcW w:w="1914" w:type="dxa"/>
            <w:shd w:val="clear" w:color="auto" w:fill="D9D9D9"/>
            <w:vAlign w:val="center"/>
          </w:tcPr>
          <w:p w14:paraId="362CDF4B" w14:textId="77777777" w:rsidR="004B0883" w:rsidRDefault="004B0883">
            <w:pPr>
              <w:adjustRightInd w:val="0"/>
              <w:snapToGrid w:val="0"/>
              <w:jc w:val="center"/>
              <w:rPr>
                <w:b/>
                <w:color w:val="000000"/>
              </w:rPr>
            </w:pPr>
            <w:r>
              <w:rPr>
                <w:b/>
                <w:color w:val="000000"/>
              </w:rPr>
              <w:t>职务</w:t>
            </w:r>
          </w:p>
        </w:tc>
        <w:tc>
          <w:tcPr>
            <w:tcW w:w="2067" w:type="dxa"/>
            <w:vMerge/>
            <w:shd w:val="clear" w:color="auto" w:fill="D9D9D9"/>
            <w:vAlign w:val="center"/>
          </w:tcPr>
          <w:p w14:paraId="727F0314" w14:textId="77777777" w:rsidR="004B0883" w:rsidRDefault="004B0883">
            <w:pPr>
              <w:adjustRightInd w:val="0"/>
              <w:snapToGrid w:val="0"/>
              <w:rPr>
                <w:color w:val="000000"/>
              </w:rPr>
            </w:pPr>
          </w:p>
        </w:tc>
      </w:tr>
      <w:tr w:rsidR="004B0883" w14:paraId="3B4A689E" w14:textId="77777777">
        <w:trPr>
          <w:trHeight w:val="397"/>
          <w:jc w:val="center"/>
        </w:trPr>
        <w:tc>
          <w:tcPr>
            <w:tcW w:w="981" w:type="dxa"/>
            <w:shd w:val="clear" w:color="auto" w:fill="FFFFFF"/>
            <w:vAlign w:val="center"/>
          </w:tcPr>
          <w:p w14:paraId="37DB49CA" w14:textId="77777777" w:rsidR="004B0883" w:rsidRDefault="004B0883">
            <w:pPr>
              <w:adjustRightInd w:val="0"/>
              <w:snapToGrid w:val="0"/>
              <w:jc w:val="center"/>
              <w:rPr>
                <w:color w:val="000000"/>
              </w:rPr>
            </w:pPr>
            <w:r>
              <w:rPr>
                <w:color w:val="000000"/>
              </w:rPr>
              <w:t>范庆伟</w:t>
            </w:r>
          </w:p>
        </w:tc>
        <w:tc>
          <w:tcPr>
            <w:tcW w:w="1430" w:type="dxa"/>
            <w:shd w:val="clear" w:color="auto" w:fill="FFFFFF"/>
            <w:vAlign w:val="center"/>
          </w:tcPr>
          <w:p w14:paraId="72AA9FA6" w14:textId="77777777" w:rsidR="004B0883" w:rsidRDefault="004B0883">
            <w:pPr>
              <w:adjustRightInd w:val="0"/>
              <w:snapToGrid w:val="0"/>
              <w:jc w:val="center"/>
              <w:rPr>
                <w:color w:val="000000"/>
              </w:rPr>
            </w:pPr>
            <w:r>
              <w:rPr>
                <w:color w:val="000000"/>
              </w:rPr>
              <w:t>董事长</w:t>
            </w:r>
          </w:p>
        </w:tc>
        <w:tc>
          <w:tcPr>
            <w:tcW w:w="2259" w:type="dxa"/>
            <w:shd w:val="clear" w:color="auto" w:fill="FFFFFF"/>
            <w:vAlign w:val="center"/>
          </w:tcPr>
          <w:p w14:paraId="16BB9845" w14:textId="77777777" w:rsidR="004B0883" w:rsidRDefault="004B0883">
            <w:pPr>
              <w:adjustRightInd w:val="0"/>
              <w:snapToGrid w:val="0"/>
              <w:jc w:val="center"/>
              <w:rPr>
                <w:color w:val="000000"/>
              </w:rPr>
            </w:pPr>
            <w:r>
              <w:rPr>
                <w:rFonts w:ascii="宋体" w:hAnsi="宋体" w:hint="eastAsia"/>
              </w:rPr>
              <w:t>江西惠隆企业管理有限公司</w:t>
            </w:r>
          </w:p>
        </w:tc>
        <w:tc>
          <w:tcPr>
            <w:tcW w:w="1914" w:type="dxa"/>
            <w:shd w:val="clear" w:color="auto" w:fill="FFFFFF"/>
            <w:vAlign w:val="center"/>
          </w:tcPr>
          <w:p w14:paraId="35CD5760" w14:textId="77777777" w:rsidR="004B0883" w:rsidRDefault="004B0883">
            <w:pPr>
              <w:adjustRightInd w:val="0"/>
              <w:snapToGrid w:val="0"/>
              <w:jc w:val="center"/>
              <w:rPr>
                <w:color w:val="000000"/>
              </w:rPr>
            </w:pPr>
            <w:r>
              <w:rPr>
                <w:rFonts w:hint="eastAsia"/>
                <w:color w:val="000000"/>
              </w:rPr>
              <w:t>执行董事兼总经理</w:t>
            </w:r>
          </w:p>
        </w:tc>
        <w:tc>
          <w:tcPr>
            <w:tcW w:w="2067" w:type="dxa"/>
            <w:shd w:val="clear" w:color="auto" w:fill="FFFFFF"/>
            <w:vAlign w:val="center"/>
          </w:tcPr>
          <w:p w14:paraId="219DBC38" w14:textId="77777777" w:rsidR="004B0883" w:rsidRDefault="004B0883">
            <w:pPr>
              <w:adjustRightInd w:val="0"/>
              <w:snapToGrid w:val="0"/>
              <w:jc w:val="center"/>
              <w:rPr>
                <w:color w:val="000000"/>
              </w:rPr>
            </w:pPr>
            <w:r>
              <w:rPr>
                <w:rFonts w:hint="eastAsia"/>
                <w:color w:val="000000"/>
              </w:rPr>
              <w:t>发行人股东</w:t>
            </w:r>
          </w:p>
        </w:tc>
      </w:tr>
      <w:tr w:rsidR="004B0883" w14:paraId="607B71A3" w14:textId="77777777">
        <w:trPr>
          <w:trHeight w:val="397"/>
          <w:jc w:val="center"/>
        </w:trPr>
        <w:tc>
          <w:tcPr>
            <w:tcW w:w="981" w:type="dxa"/>
            <w:shd w:val="clear" w:color="auto" w:fill="FFFFFF"/>
            <w:vAlign w:val="center"/>
          </w:tcPr>
          <w:p w14:paraId="309C38AF" w14:textId="77777777" w:rsidR="004B0883" w:rsidRDefault="004B0883">
            <w:pPr>
              <w:adjustRightInd w:val="0"/>
              <w:snapToGrid w:val="0"/>
              <w:jc w:val="center"/>
              <w:rPr>
                <w:rFonts w:hint="eastAsia"/>
                <w:color w:val="000000"/>
                <w:sz w:val="18"/>
                <w:szCs w:val="18"/>
              </w:rPr>
            </w:pPr>
            <w:r>
              <w:rPr>
                <w:color w:val="000000"/>
              </w:rPr>
              <w:t>范庆伟</w:t>
            </w:r>
          </w:p>
        </w:tc>
        <w:tc>
          <w:tcPr>
            <w:tcW w:w="1430" w:type="dxa"/>
            <w:shd w:val="clear" w:color="auto" w:fill="FFFFFF"/>
            <w:vAlign w:val="center"/>
          </w:tcPr>
          <w:p w14:paraId="74376FC2" w14:textId="77777777" w:rsidR="004B0883" w:rsidRDefault="004B0883">
            <w:pPr>
              <w:adjustRightInd w:val="0"/>
              <w:snapToGrid w:val="0"/>
              <w:jc w:val="center"/>
              <w:rPr>
                <w:rFonts w:hint="eastAsia"/>
                <w:color w:val="000000"/>
                <w:sz w:val="18"/>
                <w:szCs w:val="18"/>
              </w:rPr>
            </w:pPr>
            <w:r>
              <w:rPr>
                <w:color w:val="000000"/>
              </w:rPr>
              <w:t>董事长</w:t>
            </w:r>
          </w:p>
        </w:tc>
        <w:tc>
          <w:tcPr>
            <w:tcW w:w="2259" w:type="dxa"/>
            <w:shd w:val="clear" w:color="auto" w:fill="FFFFFF"/>
            <w:vAlign w:val="center"/>
          </w:tcPr>
          <w:p w14:paraId="0DC74BAF" w14:textId="77777777" w:rsidR="004B0883" w:rsidRDefault="004B0883">
            <w:pPr>
              <w:adjustRightInd w:val="0"/>
              <w:snapToGrid w:val="0"/>
              <w:jc w:val="center"/>
              <w:rPr>
                <w:rFonts w:hint="eastAsia"/>
                <w:color w:val="000000"/>
                <w:sz w:val="18"/>
                <w:szCs w:val="18"/>
              </w:rPr>
            </w:pPr>
            <w:r>
              <w:rPr>
                <w:rFonts w:hint="eastAsia"/>
                <w:color w:val="000000"/>
              </w:rPr>
              <w:t>中国机电一体化技术应用协会控制阀分会</w:t>
            </w:r>
          </w:p>
        </w:tc>
        <w:tc>
          <w:tcPr>
            <w:tcW w:w="1914" w:type="dxa"/>
            <w:shd w:val="clear" w:color="auto" w:fill="FFFFFF"/>
            <w:vAlign w:val="center"/>
          </w:tcPr>
          <w:p w14:paraId="31AF22C3" w14:textId="77777777" w:rsidR="004B0883" w:rsidRDefault="004B0883">
            <w:pPr>
              <w:adjustRightInd w:val="0"/>
              <w:snapToGrid w:val="0"/>
              <w:jc w:val="center"/>
              <w:rPr>
                <w:rFonts w:hint="eastAsia"/>
                <w:color w:val="000000"/>
                <w:sz w:val="18"/>
                <w:szCs w:val="18"/>
              </w:rPr>
            </w:pPr>
            <w:r>
              <w:rPr>
                <w:rFonts w:hint="eastAsia"/>
                <w:color w:val="000000"/>
              </w:rPr>
              <w:t>副理事长</w:t>
            </w:r>
          </w:p>
        </w:tc>
        <w:tc>
          <w:tcPr>
            <w:tcW w:w="2067" w:type="dxa"/>
            <w:shd w:val="clear" w:color="auto" w:fill="FFFFFF"/>
            <w:vAlign w:val="center"/>
          </w:tcPr>
          <w:p w14:paraId="26D5506F" w14:textId="77777777" w:rsidR="004B0883" w:rsidRDefault="004B0883">
            <w:pPr>
              <w:jc w:val="center"/>
              <w:rPr>
                <w:rFonts w:ascii="宋体" w:hAnsi="宋体" w:cs="宋体" w:hint="eastAsia"/>
              </w:rPr>
            </w:pPr>
            <w:r>
              <w:rPr>
                <w:color w:val="000000"/>
              </w:rPr>
              <w:t>无关联关系</w:t>
            </w:r>
          </w:p>
        </w:tc>
      </w:tr>
      <w:tr w:rsidR="004B0883" w14:paraId="143271F3" w14:textId="77777777">
        <w:trPr>
          <w:trHeight w:val="397"/>
          <w:jc w:val="center"/>
        </w:trPr>
        <w:tc>
          <w:tcPr>
            <w:tcW w:w="981" w:type="dxa"/>
            <w:shd w:val="clear" w:color="auto" w:fill="FFFFFF"/>
            <w:vAlign w:val="center"/>
          </w:tcPr>
          <w:p w14:paraId="7AC366B5" w14:textId="77777777" w:rsidR="004B0883" w:rsidRDefault="004B0883">
            <w:pPr>
              <w:adjustRightInd w:val="0"/>
              <w:snapToGrid w:val="0"/>
              <w:jc w:val="center"/>
              <w:rPr>
                <w:rFonts w:hint="eastAsia"/>
                <w:color w:val="000000"/>
              </w:rPr>
            </w:pPr>
            <w:r>
              <w:rPr>
                <w:rFonts w:hint="eastAsia"/>
                <w:color w:val="000000"/>
              </w:rPr>
              <w:t>宋银立</w:t>
            </w:r>
          </w:p>
        </w:tc>
        <w:tc>
          <w:tcPr>
            <w:tcW w:w="1430" w:type="dxa"/>
            <w:shd w:val="clear" w:color="auto" w:fill="FFFFFF"/>
            <w:vAlign w:val="center"/>
          </w:tcPr>
          <w:p w14:paraId="35482E8E" w14:textId="77777777" w:rsidR="004B0883" w:rsidRDefault="004B0883">
            <w:pPr>
              <w:adjustRightInd w:val="0"/>
              <w:snapToGrid w:val="0"/>
              <w:jc w:val="center"/>
              <w:rPr>
                <w:rFonts w:hint="eastAsia"/>
                <w:color w:val="000000"/>
              </w:rPr>
            </w:pPr>
            <w:r>
              <w:rPr>
                <w:rFonts w:hint="eastAsia"/>
                <w:color w:val="000000"/>
              </w:rPr>
              <w:t>独立董事</w:t>
            </w:r>
          </w:p>
        </w:tc>
        <w:tc>
          <w:tcPr>
            <w:tcW w:w="2259" w:type="dxa"/>
            <w:shd w:val="clear" w:color="auto" w:fill="FFFFFF"/>
            <w:vAlign w:val="center"/>
          </w:tcPr>
          <w:p w14:paraId="2D2EE0B8" w14:textId="77777777" w:rsidR="004B0883" w:rsidRDefault="004B0883">
            <w:pPr>
              <w:adjustRightInd w:val="0"/>
              <w:snapToGrid w:val="0"/>
              <w:jc w:val="center"/>
              <w:rPr>
                <w:rFonts w:ascii="宋体" w:hAnsi="宋体" w:hint="eastAsia"/>
              </w:rPr>
            </w:pPr>
            <w:r>
              <w:rPr>
                <w:rFonts w:hint="eastAsia"/>
              </w:rPr>
              <w:t>兰州理工大学</w:t>
            </w:r>
          </w:p>
        </w:tc>
        <w:tc>
          <w:tcPr>
            <w:tcW w:w="1914" w:type="dxa"/>
            <w:shd w:val="clear" w:color="auto" w:fill="FFFFFF"/>
            <w:vAlign w:val="center"/>
          </w:tcPr>
          <w:p w14:paraId="7A6FB23B" w14:textId="77777777" w:rsidR="004B0883" w:rsidRDefault="004B0883">
            <w:pPr>
              <w:adjustRightInd w:val="0"/>
              <w:snapToGrid w:val="0"/>
              <w:jc w:val="center"/>
              <w:rPr>
                <w:rFonts w:ascii="宋体" w:hAnsi="宋体" w:hint="eastAsia"/>
              </w:rPr>
            </w:pPr>
            <w:r>
              <w:rPr>
                <w:rFonts w:hint="eastAsia"/>
              </w:rPr>
              <w:t>客座教授、硕士生导师</w:t>
            </w:r>
          </w:p>
        </w:tc>
        <w:tc>
          <w:tcPr>
            <w:tcW w:w="2067" w:type="dxa"/>
            <w:shd w:val="clear" w:color="auto" w:fill="FFFFFF"/>
            <w:vAlign w:val="center"/>
          </w:tcPr>
          <w:p w14:paraId="2A1574E6" w14:textId="77777777" w:rsidR="004B0883" w:rsidRDefault="004B0883">
            <w:pPr>
              <w:adjustRightInd w:val="0"/>
              <w:snapToGrid w:val="0"/>
              <w:jc w:val="center"/>
              <w:rPr>
                <w:color w:val="000000"/>
              </w:rPr>
            </w:pPr>
            <w:r>
              <w:rPr>
                <w:color w:val="000000"/>
              </w:rPr>
              <w:t>无关联关系</w:t>
            </w:r>
          </w:p>
        </w:tc>
      </w:tr>
      <w:tr w:rsidR="004B0883" w14:paraId="032D5836" w14:textId="77777777">
        <w:trPr>
          <w:trHeight w:val="397"/>
          <w:jc w:val="center"/>
        </w:trPr>
        <w:tc>
          <w:tcPr>
            <w:tcW w:w="981" w:type="dxa"/>
            <w:shd w:val="clear" w:color="auto" w:fill="FFFFFF"/>
            <w:vAlign w:val="center"/>
          </w:tcPr>
          <w:p w14:paraId="6E4A3B4F" w14:textId="77777777" w:rsidR="004B0883" w:rsidRDefault="004B0883">
            <w:pPr>
              <w:adjustRightInd w:val="0"/>
              <w:snapToGrid w:val="0"/>
              <w:jc w:val="center"/>
              <w:rPr>
                <w:rFonts w:hint="eastAsia"/>
                <w:color w:val="000000"/>
              </w:rPr>
            </w:pPr>
            <w:r>
              <w:rPr>
                <w:rFonts w:hint="eastAsia"/>
                <w:color w:val="000000"/>
              </w:rPr>
              <w:t>宋银立</w:t>
            </w:r>
          </w:p>
        </w:tc>
        <w:tc>
          <w:tcPr>
            <w:tcW w:w="1430" w:type="dxa"/>
            <w:shd w:val="clear" w:color="auto" w:fill="FFFFFF"/>
            <w:vAlign w:val="center"/>
          </w:tcPr>
          <w:p w14:paraId="30D24335" w14:textId="77777777" w:rsidR="004B0883" w:rsidRDefault="004B0883">
            <w:pPr>
              <w:adjustRightInd w:val="0"/>
              <w:snapToGrid w:val="0"/>
              <w:jc w:val="center"/>
              <w:rPr>
                <w:rFonts w:hint="eastAsia"/>
                <w:color w:val="000000"/>
              </w:rPr>
            </w:pPr>
            <w:r>
              <w:rPr>
                <w:rFonts w:hint="eastAsia"/>
                <w:color w:val="000000"/>
              </w:rPr>
              <w:t>独立董事</w:t>
            </w:r>
          </w:p>
        </w:tc>
        <w:tc>
          <w:tcPr>
            <w:tcW w:w="2259" w:type="dxa"/>
            <w:shd w:val="clear" w:color="auto" w:fill="FFFFFF"/>
            <w:vAlign w:val="center"/>
          </w:tcPr>
          <w:p w14:paraId="0D690553" w14:textId="77777777" w:rsidR="004B0883" w:rsidRDefault="004B0883">
            <w:pPr>
              <w:adjustRightInd w:val="0"/>
              <w:snapToGrid w:val="0"/>
              <w:jc w:val="center"/>
              <w:rPr>
                <w:rFonts w:ascii="宋体" w:hAnsi="宋体" w:hint="eastAsia"/>
              </w:rPr>
            </w:pPr>
            <w:r>
              <w:rPr>
                <w:rFonts w:hint="eastAsia"/>
              </w:rPr>
              <w:t>全国阀门技术标准委员会</w:t>
            </w:r>
          </w:p>
        </w:tc>
        <w:tc>
          <w:tcPr>
            <w:tcW w:w="1914" w:type="dxa"/>
            <w:shd w:val="clear" w:color="auto" w:fill="FFFFFF"/>
            <w:vAlign w:val="center"/>
          </w:tcPr>
          <w:p w14:paraId="10FDF60E" w14:textId="77777777" w:rsidR="004B0883" w:rsidRDefault="004B0883">
            <w:pPr>
              <w:adjustRightInd w:val="0"/>
              <w:snapToGrid w:val="0"/>
              <w:jc w:val="center"/>
              <w:rPr>
                <w:rFonts w:ascii="宋体" w:hAnsi="宋体" w:hint="eastAsia"/>
              </w:rPr>
            </w:pPr>
            <w:r>
              <w:rPr>
                <w:rFonts w:hint="eastAsia"/>
              </w:rPr>
              <w:t>委员</w:t>
            </w:r>
          </w:p>
        </w:tc>
        <w:tc>
          <w:tcPr>
            <w:tcW w:w="2067" w:type="dxa"/>
            <w:shd w:val="clear" w:color="auto" w:fill="FFFFFF"/>
            <w:vAlign w:val="center"/>
          </w:tcPr>
          <w:p w14:paraId="79D533B3" w14:textId="77777777" w:rsidR="004B0883" w:rsidRDefault="004B0883">
            <w:pPr>
              <w:adjustRightInd w:val="0"/>
              <w:snapToGrid w:val="0"/>
              <w:jc w:val="center"/>
              <w:rPr>
                <w:color w:val="000000"/>
              </w:rPr>
            </w:pPr>
            <w:r>
              <w:rPr>
                <w:color w:val="000000"/>
              </w:rPr>
              <w:t>无关联关系</w:t>
            </w:r>
          </w:p>
        </w:tc>
      </w:tr>
      <w:tr w:rsidR="004B0883" w14:paraId="35D8024A" w14:textId="77777777">
        <w:trPr>
          <w:trHeight w:val="397"/>
          <w:jc w:val="center"/>
        </w:trPr>
        <w:tc>
          <w:tcPr>
            <w:tcW w:w="981" w:type="dxa"/>
            <w:shd w:val="clear" w:color="auto" w:fill="FFFFFF"/>
            <w:vAlign w:val="center"/>
          </w:tcPr>
          <w:p w14:paraId="7D9DBE98" w14:textId="77777777" w:rsidR="004B0883" w:rsidRDefault="004B0883">
            <w:pPr>
              <w:adjustRightInd w:val="0"/>
              <w:snapToGrid w:val="0"/>
              <w:jc w:val="center"/>
              <w:rPr>
                <w:rFonts w:hint="eastAsia"/>
                <w:color w:val="000000"/>
              </w:rPr>
            </w:pPr>
            <w:r>
              <w:rPr>
                <w:rFonts w:hint="eastAsia"/>
                <w:color w:val="000000"/>
              </w:rPr>
              <w:t>宋银立</w:t>
            </w:r>
          </w:p>
        </w:tc>
        <w:tc>
          <w:tcPr>
            <w:tcW w:w="1430" w:type="dxa"/>
            <w:shd w:val="clear" w:color="auto" w:fill="FFFFFF"/>
            <w:vAlign w:val="center"/>
          </w:tcPr>
          <w:p w14:paraId="27A5C928" w14:textId="77777777" w:rsidR="004B0883" w:rsidRDefault="004B0883">
            <w:pPr>
              <w:adjustRightInd w:val="0"/>
              <w:snapToGrid w:val="0"/>
              <w:jc w:val="center"/>
              <w:rPr>
                <w:rFonts w:hint="eastAsia"/>
                <w:color w:val="000000"/>
              </w:rPr>
            </w:pPr>
            <w:r>
              <w:rPr>
                <w:rFonts w:hint="eastAsia"/>
                <w:color w:val="000000"/>
              </w:rPr>
              <w:t>独立董事</w:t>
            </w:r>
          </w:p>
        </w:tc>
        <w:tc>
          <w:tcPr>
            <w:tcW w:w="2259" w:type="dxa"/>
            <w:shd w:val="clear" w:color="auto" w:fill="FFFFFF"/>
            <w:vAlign w:val="center"/>
          </w:tcPr>
          <w:p w14:paraId="1E22B85C" w14:textId="77777777" w:rsidR="004B0883" w:rsidRDefault="004B0883">
            <w:pPr>
              <w:adjustRightInd w:val="0"/>
              <w:snapToGrid w:val="0"/>
              <w:jc w:val="center"/>
              <w:rPr>
                <w:rFonts w:hint="eastAsia"/>
              </w:rPr>
            </w:pPr>
            <w:r>
              <w:rPr>
                <w:rFonts w:hint="eastAsia"/>
              </w:rPr>
              <w:t>《中国企业报》集团机械工业中心</w:t>
            </w:r>
          </w:p>
        </w:tc>
        <w:tc>
          <w:tcPr>
            <w:tcW w:w="1914" w:type="dxa"/>
            <w:shd w:val="clear" w:color="auto" w:fill="FFFFFF"/>
            <w:vAlign w:val="center"/>
          </w:tcPr>
          <w:p w14:paraId="35075712" w14:textId="77777777" w:rsidR="004B0883" w:rsidRDefault="004B0883">
            <w:pPr>
              <w:adjustRightInd w:val="0"/>
              <w:snapToGrid w:val="0"/>
              <w:jc w:val="center"/>
              <w:rPr>
                <w:rFonts w:hint="eastAsia"/>
              </w:rPr>
            </w:pPr>
            <w:r>
              <w:rPr>
                <w:rFonts w:hint="eastAsia"/>
              </w:rPr>
              <w:t>主任</w:t>
            </w:r>
          </w:p>
        </w:tc>
        <w:tc>
          <w:tcPr>
            <w:tcW w:w="2067" w:type="dxa"/>
            <w:shd w:val="clear" w:color="auto" w:fill="FFFFFF"/>
            <w:vAlign w:val="center"/>
          </w:tcPr>
          <w:p w14:paraId="75A42979" w14:textId="77777777" w:rsidR="004B0883" w:rsidRDefault="004B0883">
            <w:pPr>
              <w:adjustRightInd w:val="0"/>
              <w:snapToGrid w:val="0"/>
              <w:jc w:val="center"/>
              <w:rPr>
                <w:color w:val="000000"/>
              </w:rPr>
            </w:pPr>
            <w:r>
              <w:rPr>
                <w:color w:val="000000"/>
              </w:rPr>
              <w:t>无关联关系</w:t>
            </w:r>
          </w:p>
        </w:tc>
      </w:tr>
      <w:tr w:rsidR="004B0883" w14:paraId="2891DE07" w14:textId="77777777">
        <w:trPr>
          <w:trHeight w:val="397"/>
          <w:jc w:val="center"/>
        </w:trPr>
        <w:tc>
          <w:tcPr>
            <w:tcW w:w="981" w:type="dxa"/>
            <w:shd w:val="clear" w:color="auto" w:fill="FFFFFF"/>
            <w:vAlign w:val="center"/>
          </w:tcPr>
          <w:p w14:paraId="3ADCAA20" w14:textId="77777777" w:rsidR="004B0883" w:rsidRDefault="004B0883">
            <w:pPr>
              <w:adjustRightInd w:val="0"/>
              <w:snapToGrid w:val="0"/>
              <w:jc w:val="center"/>
              <w:rPr>
                <w:rFonts w:hint="eastAsia"/>
                <w:color w:val="000000"/>
              </w:rPr>
            </w:pPr>
            <w:r>
              <w:rPr>
                <w:rFonts w:hint="eastAsia"/>
                <w:color w:val="000000"/>
              </w:rPr>
              <w:t>宋银立</w:t>
            </w:r>
          </w:p>
        </w:tc>
        <w:tc>
          <w:tcPr>
            <w:tcW w:w="1430" w:type="dxa"/>
            <w:shd w:val="clear" w:color="auto" w:fill="FFFFFF"/>
            <w:vAlign w:val="center"/>
          </w:tcPr>
          <w:p w14:paraId="3E774DEA" w14:textId="77777777" w:rsidR="004B0883" w:rsidRDefault="004B0883">
            <w:pPr>
              <w:adjustRightInd w:val="0"/>
              <w:snapToGrid w:val="0"/>
              <w:jc w:val="center"/>
              <w:rPr>
                <w:rFonts w:hint="eastAsia"/>
                <w:color w:val="000000"/>
              </w:rPr>
            </w:pPr>
            <w:r>
              <w:rPr>
                <w:rFonts w:hint="eastAsia"/>
                <w:color w:val="000000"/>
              </w:rPr>
              <w:t>独立董事</w:t>
            </w:r>
          </w:p>
        </w:tc>
        <w:tc>
          <w:tcPr>
            <w:tcW w:w="2259" w:type="dxa"/>
            <w:shd w:val="clear" w:color="auto" w:fill="FFFFFF"/>
            <w:vAlign w:val="center"/>
          </w:tcPr>
          <w:p w14:paraId="01F4DE02" w14:textId="77777777" w:rsidR="004B0883" w:rsidRDefault="004B0883">
            <w:pPr>
              <w:adjustRightInd w:val="0"/>
              <w:snapToGrid w:val="0"/>
              <w:jc w:val="center"/>
              <w:rPr>
                <w:rFonts w:hint="eastAsia"/>
              </w:rPr>
            </w:pPr>
            <w:r>
              <w:rPr>
                <w:rFonts w:hint="eastAsia"/>
              </w:rPr>
              <w:t>中国石油天然气集团有限公司</w:t>
            </w:r>
          </w:p>
        </w:tc>
        <w:tc>
          <w:tcPr>
            <w:tcW w:w="1914" w:type="dxa"/>
            <w:shd w:val="clear" w:color="auto" w:fill="FFFFFF"/>
            <w:vAlign w:val="center"/>
          </w:tcPr>
          <w:p w14:paraId="29F59798" w14:textId="77777777" w:rsidR="004B0883" w:rsidRDefault="004B0883">
            <w:pPr>
              <w:adjustRightInd w:val="0"/>
              <w:snapToGrid w:val="0"/>
              <w:jc w:val="center"/>
              <w:rPr>
                <w:rFonts w:hint="eastAsia"/>
              </w:rPr>
            </w:pPr>
            <w:r>
              <w:rPr>
                <w:rFonts w:ascii="宋体" w:hAnsi="宋体" w:cs="宋体" w:hint="eastAsia"/>
                <w:kern w:val="28"/>
              </w:rPr>
              <w:t>阀门采购评审专家</w:t>
            </w:r>
          </w:p>
        </w:tc>
        <w:tc>
          <w:tcPr>
            <w:tcW w:w="2067" w:type="dxa"/>
            <w:shd w:val="clear" w:color="auto" w:fill="FFFFFF"/>
            <w:vAlign w:val="center"/>
          </w:tcPr>
          <w:p w14:paraId="4DC563C8" w14:textId="77777777" w:rsidR="004B0883" w:rsidRDefault="004B0883">
            <w:pPr>
              <w:adjustRightInd w:val="0"/>
              <w:snapToGrid w:val="0"/>
              <w:jc w:val="center"/>
              <w:rPr>
                <w:color w:val="000000"/>
              </w:rPr>
            </w:pPr>
            <w:r>
              <w:rPr>
                <w:color w:val="000000"/>
              </w:rPr>
              <w:t>无关联关系</w:t>
            </w:r>
          </w:p>
        </w:tc>
      </w:tr>
      <w:tr w:rsidR="004B0883" w14:paraId="3843E02C" w14:textId="77777777">
        <w:trPr>
          <w:trHeight w:val="397"/>
          <w:jc w:val="center"/>
        </w:trPr>
        <w:tc>
          <w:tcPr>
            <w:tcW w:w="981" w:type="dxa"/>
            <w:shd w:val="clear" w:color="auto" w:fill="FFFFFF"/>
            <w:vAlign w:val="center"/>
          </w:tcPr>
          <w:p w14:paraId="7EFF7B5F" w14:textId="77777777" w:rsidR="004B0883" w:rsidRDefault="004B0883">
            <w:pPr>
              <w:adjustRightInd w:val="0"/>
              <w:snapToGrid w:val="0"/>
              <w:jc w:val="center"/>
              <w:rPr>
                <w:rFonts w:hint="eastAsia"/>
                <w:color w:val="000000"/>
              </w:rPr>
            </w:pPr>
            <w:r>
              <w:rPr>
                <w:rFonts w:hint="eastAsia"/>
                <w:color w:val="000000"/>
              </w:rPr>
              <w:t>宋银立</w:t>
            </w:r>
          </w:p>
        </w:tc>
        <w:tc>
          <w:tcPr>
            <w:tcW w:w="1430" w:type="dxa"/>
            <w:shd w:val="clear" w:color="auto" w:fill="FFFFFF"/>
            <w:vAlign w:val="center"/>
          </w:tcPr>
          <w:p w14:paraId="2A2CDAA2" w14:textId="77777777" w:rsidR="004B0883" w:rsidRDefault="004B0883">
            <w:pPr>
              <w:adjustRightInd w:val="0"/>
              <w:snapToGrid w:val="0"/>
              <w:jc w:val="center"/>
              <w:rPr>
                <w:rFonts w:hint="eastAsia"/>
                <w:color w:val="000000"/>
              </w:rPr>
            </w:pPr>
            <w:r>
              <w:rPr>
                <w:rFonts w:hint="eastAsia"/>
                <w:color w:val="000000"/>
              </w:rPr>
              <w:t>独立董事</w:t>
            </w:r>
          </w:p>
        </w:tc>
        <w:tc>
          <w:tcPr>
            <w:tcW w:w="2259" w:type="dxa"/>
            <w:shd w:val="clear" w:color="auto" w:fill="FFFFFF"/>
            <w:vAlign w:val="center"/>
          </w:tcPr>
          <w:p w14:paraId="15CC3AB7" w14:textId="77777777" w:rsidR="004B0883" w:rsidRDefault="004B0883">
            <w:pPr>
              <w:adjustRightInd w:val="0"/>
              <w:snapToGrid w:val="0"/>
              <w:jc w:val="center"/>
              <w:rPr>
                <w:rFonts w:hint="eastAsia"/>
              </w:rPr>
            </w:pPr>
            <w:r>
              <w:rPr>
                <w:rFonts w:hint="eastAsia"/>
              </w:rPr>
              <w:t>中国石油化工集团有限公司</w:t>
            </w:r>
          </w:p>
        </w:tc>
        <w:tc>
          <w:tcPr>
            <w:tcW w:w="1914" w:type="dxa"/>
            <w:shd w:val="clear" w:color="auto" w:fill="FFFFFF"/>
            <w:vAlign w:val="center"/>
          </w:tcPr>
          <w:p w14:paraId="56F54B5B" w14:textId="77777777" w:rsidR="004B0883" w:rsidRDefault="004B0883">
            <w:pPr>
              <w:adjustRightInd w:val="0"/>
              <w:snapToGrid w:val="0"/>
              <w:jc w:val="center"/>
              <w:rPr>
                <w:rFonts w:hint="eastAsia"/>
              </w:rPr>
            </w:pPr>
            <w:r>
              <w:rPr>
                <w:rFonts w:ascii="宋体" w:hAnsi="宋体" w:cs="宋体" w:hint="eastAsia"/>
                <w:kern w:val="28"/>
              </w:rPr>
              <w:t>阀门采购评审专家</w:t>
            </w:r>
          </w:p>
        </w:tc>
        <w:tc>
          <w:tcPr>
            <w:tcW w:w="2067" w:type="dxa"/>
            <w:shd w:val="clear" w:color="auto" w:fill="FFFFFF"/>
            <w:vAlign w:val="center"/>
          </w:tcPr>
          <w:p w14:paraId="1B58C9D6" w14:textId="77777777" w:rsidR="004B0883" w:rsidRDefault="004B0883">
            <w:pPr>
              <w:adjustRightInd w:val="0"/>
              <w:snapToGrid w:val="0"/>
              <w:jc w:val="center"/>
              <w:rPr>
                <w:color w:val="000000"/>
              </w:rPr>
            </w:pPr>
            <w:r>
              <w:rPr>
                <w:color w:val="000000"/>
              </w:rPr>
              <w:t>无关联关系</w:t>
            </w:r>
          </w:p>
        </w:tc>
      </w:tr>
      <w:tr w:rsidR="004B0883" w14:paraId="4C9734F8" w14:textId="77777777">
        <w:trPr>
          <w:trHeight w:val="397"/>
          <w:jc w:val="center"/>
        </w:trPr>
        <w:tc>
          <w:tcPr>
            <w:tcW w:w="981" w:type="dxa"/>
            <w:shd w:val="clear" w:color="auto" w:fill="FFFFFF"/>
            <w:vAlign w:val="center"/>
          </w:tcPr>
          <w:p w14:paraId="1EFBD220" w14:textId="77777777" w:rsidR="004B0883" w:rsidRDefault="004B0883">
            <w:pPr>
              <w:adjustRightInd w:val="0"/>
              <w:snapToGrid w:val="0"/>
              <w:jc w:val="center"/>
              <w:rPr>
                <w:rFonts w:hint="eastAsia"/>
                <w:color w:val="000000"/>
              </w:rPr>
            </w:pPr>
            <w:r>
              <w:rPr>
                <w:rFonts w:hint="eastAsia"/>
                <w:color w:val="000000"/>
              </w:rPr>
              <w:t>宋银立</w:t>
            </w:r>
          </w:p>
        </w:tc>
        <w:tc>
          <w:tcPr>
            <w:tcW w:w="1430" w:type="dxa"/>
            <w:shd w:val="clear" w:color="auto" w:fill="FFFFFF"/>
            <w:vAlign w:val="center"/>
          </w:tcPr>
          <w:p w14:paraId="3DB8DCCF" w14:textId="77777777" w:rsidR="004B0883" w:rsidRDefault="004B0883">
            <w:pPr>
              <w:adjustRightInd w:val="0"/>
              <w:snapToGrid w:val="0"/>
              <w:jc w:val="center"/>
              <w:rPr>
                <w:rFonts w:hint="eastAsia"/>
                <w:color w:val="000000"/>
              </w:rPr>
            </w:pPr>
            <w:r>
              <w:rPr>
                <w:rFonts w:hint="eastAsia"/>
                <w:color w:val="000000"/>
              </w:rPr>
              <w:t>独立董事</w:t>
            </w:r>
          </w:p>
        </w:tc>
        <w:tc>
          <w:tcPr>
            <w:tcW w:w="2259" w:type="dxa"/>
            <w:shd w:val="clear" w:color="auto" w:fill="FFFFFF"/>
            <w:vAlign w:val="center"/>
          </w:tcPr>
          <w:p w14:paraId="77FBBA1A" w14:textId="77777777" w:rsidR="004B0883" w:rsidRDefault="004B0883">
            <w:pPr>
              <w:adjustRightInd w:val="0"/>
              <w:snapToGrid w:val="0"/>
              <w:jc w:val="center"/>
              <w:rPr>
                <w:rFonts w:hint="eastAsia"/>
              </w:rPr>
            </w:pPr>
            <w:r>
              <w:rPr>
                <w:rFonts w:hint="eastAsia"/>
              </w:rPr>
              <w:t>中国海洋石油集团有限公司</w:t>
            </w:r>
          </w:p>
        </w:tc>
        <w:tc>
          <w:tcPr>
            <w:tcW w:w="1914" w:type="dxa"/>
            <w:shd w:val="clear" w:color="auto" w:fill="FFFFFF"/>
            <w:vAlign w:val="center"/>
          </w:tcPr>
          <w:p w14:paraId="0F1F6D89" w14:textId="77777777" w:rsidR="004B0883" w:rsidRDefault="004B0883">
            <w:pPr>
              <w:adjustRightInd w:val="0"/>
              <w:snapToGrid w:val="0"/>
              <w:jc w:val="center"/>
              <w:rPr>
                <w:rFonts w:hint="eastAsia"/>
              </w:rPr>
            </w:pPr>
            <w:r>
              <w:rPr>
                <w:rFonts w:ascii="宋体" w:hAnsi="宋体" w:cs="宋体" w:hint="eastAsia"/>
                <w:kern w:val="28"/>
              </w:rPr>
              <w:t>阀门采购评审专家</w:t>
            </w:r>
          </w:p>
        </w:tc>
        <w:tc>
          <w:tcPr>
            <w:tcW w:w="2067" w:type="dxa"/>
            <w:shd w:val="clear" w:color="auto" w:fill="FFFFFF"/>
            <w:vAlign w:val="center"/>
          </w:tcPr>
          <w:p w14:paraId="43B9DE70" w14:textId="77777777" w:rsidR="004B0883" w:rsidRDefault="004B0883">
            <w:pPr>
              <w:adjustRightInd w:val="0"/>
              <w:snapToGrid w:val="0"/>
              <w:jc w:val="center"/>
              <w:rPr>
                <w:color w:val="000000"/>
              </w:rPr>
            </w:pPr>
            <w:r>
              <w:rPr>
                <w:color w:val="000000"/>
              </w:rPr>
              <w:t>无关联关系</w:t>
            </w:r>
          </w:p>
        </w:tc>
      </w:tr>
      <w:tr w:rsidR="004B0883" w14:paraId="45C84F02" w14:textId="77777777">
        <w:trPr>
          <w:trHeight w:val="397"/>
          <w:jc w:val="center"/>
        </w:trPr>
        <w:tc>
          <w:tcPr>
            <w:tcW w:w="981" w:type="dxa"/>
            <w:shd w:val="clear" w:color="auto" w:fill="FFFFFF"/>
            <w:vAlign w:val="center"/>
          </w:tcPr>
          <w:p w14:paraId="5FD7F678" w14:textId="77777777" w:rsidR="004B0883" w:rsidRDefault="004B0883">
            <w:pPr>
              <w:adjustRightInd w:val="0"/>
              <w:snapToGrid w:val="0"/>
              <w:jc w:val="center"/>
              <w:rPr>
                <w:rFonts w:hint="eastAsia"/>
                <w:color w:val="000000"/>
                <w:sz w:val="18"/>
                <w:szCs w:val="18"/>
              </w:rPr>
            </w:pPr>
            <w:r>
              <w:rPr>
                <w:rFonts w:hint="eastAsia"/>
                <w:color w:val="000000"/>
              </w:rPr>
              <w:t>宋银立</w:t>
            </w:r>
          </w:p>
        </w:tc>
        <w:tc>
          <w:tcPr>
            <w:tcW w:w="1430" w:type="dxa"/>
            <w:shd w:val="clear" w:color="auto" w:fill="FFFFFF"/>
            <w:vAlign w:val="center"/>
          </w:tcPr>
          <w:p w14:paraId="7B173467" w14:textId="77777777" w:rsidR="004B0883" w:rsidRDefault="004B0883">
            <w:pPr>
              <w:adjustRightInd w:val="0"/>
              <w:snapToGrid w:val="0"/>
              <w:jc w:val="center"/>
              <w:rPr>
                <w:rFonts w:hint="eastAsia"/>
                <w:color w:val="000000"/>
                <w:sz w:val="18"/>
                <w:szCs w:val="18"/>
              </w:rPr>
            </w:pPr>
            <w:r>
              <w:rPr>
                <w:rFonts w:hint="eastAsia"/>
                <w:color w:val="000000"/>
              </w:rPr>
              <w:t>独立董事</w:t>
            </w:r>
          </w:p>
        </w:tc>
        <w:tc>
          <w:tcPr>
            <w:tcW w:w="2259" w:type="dxa"/>
            <w:shd w:val="clear" w:color="auto" w:fill="FFFFFF"/>
            <w:vAlign w:val="center"/>
          </w:tcPr>
          <w:p w14:paraId="44425951" w14:textId="77777777" w:rsidR="004B0883" w:rsidRDefault="004B0883">
            <w:pPr>
              <w:adjustRightInd w:val="0"/>
              <w:snapToGrid w:val="0"/>
              <w:jc w:val="center"/>
              <w:rPr>
                <w:rFonts w:ascii="宋体" w:hAnsi="宋体" w:cs="宋体" w:hint="eastAsia"/>
                <w:kern w:val="28"/>
              </w:rPr>
            </w:pPr>
            <w:r>
              <w:rPr>
                <w:rFonts w:ascii="宋体" w:hAnsi="宋体" w:cs="宋体" w:hint="eastAsia"/>
                <w:kern w:val="28"/>
              </w:rPr>
              <w:t>国家电力投资集团有限公司</w:t>
            </w:r>
          </w:p>
        </w:tc>
        <w:tc>
          <w:tcPr>
            <w:tcW w:w="1914" w:type="dxa"/>
            <w:shd w:val="clear" w:color="auto" w:fill="FFFFFF"/>
            <w:vAlign w:val="center"/>
          </w:tcPr>
          <w:p w14:paraId="406942AE" w14:textId="77777777" w:rsidR="004B0883" w:rsidRDefault="004B0883">
            <w:pPr>
              <w:adjustRightInd w:val="0"/>
              <w:snapToGrid w:val="0"/>
              <w:jc w:val="center"/>
              <w:rPr>
                <w:rFonts w:hint="eastAsia"/>
                <w:sz w:val="18"/>
                <w:szCs w:val="18"/>
              </w:rPr>
            </w:pPr>
            <w:r>
              <w:rPr>
                <w:rFonts w:ascii="宋体" w:hAnsi="宋体" w:cs="宋体" w:hint="eastAsia"/>
                <w:kern w:val="28"/>
              </w:rPr>
              <w:t>阀门采购评审专家</w:t>
            </w:r>
          </w:p>
        </w:tc>
        <w:tc>
          <w:tcPr>
            <w:tcW w:w="2067" w:type="dxa"/>
            <w:shd w:val="clear" w:color="auto" w:fill="FFFFFF"/>
            <w:vAlign w:val="center"/>
          </w:tcPr>
          <w:p w14:paraId="212FE747" w14:textId="77777777" w:rsidR="004B0883" w:rsidRDefault="004B0883">
            <w:pPr>
              <w:adjustRightInd w:val="0"/>
              <w:snapToGrid w:val="0"/>
              <w:jc w:val="center"/>
              <w:rPr>
                <w:color w:val="000000"/>
                <w:sz w:val="18"/>
                <w:szCs w:val="18"/>
              </w:rPr>
            </w:pPr>
            <w:r>
              <w:rPr>
                <w:color w:val="000000"/>
              </w:rPr>
              <w:t>无关联关系</w:t>
            </w:r>
          </w:p>
        </w:tc>
      </w:tr>
      <w:tr w:rsidR="004B0883" w14:paraId="3466FF2C" w14:textId="77777777">
        <w:trPr>
          <w:trHeight w:val="397"/>
          <w:jc w:val="center"/>
        </w:trPr>
        <w:tc>
          <w:tcPr>
            <w:tcW w:w="981" w:type="dxa"/>
            <w:shd w:val="clear" w:color="auto" w:fill="FFFFFF"/>
            <w:vAlign w:val="center"/>
          </w:tcPr>
          <w:p w14:paraId="308BCCC1" w14:textId="77777777" w:rsidR="004B0883" w:rsidRDefault="004B0883">
            <w:pPr>
              <w:adjustRightInd w:val="0"/>
              <w:snapToGrid w:val="0"/>
              <w:jc w:val="center"/>
              <w:rPr>
                <w:rFonts w:hint="eastAsia"/>
                <w:color w:val="000000"/>
              </w:rPr>
            </w:pPr>
            <w:r>
              <w:rPr>
                <w:rFonts w:hint="eastAsia"/>
                <w:color w:val="000000"/>
              </w:rPr>
              <w:t>宋银立</w:t>
            </w:r>
          </w:p>
        </w:tc>
        <w:tc>
          <w:tcPr>
            <w:tcW w:w="1430" w:type="dxa"/>
            <w:shd w:val="clear" w:color="auto" w:fill="FFFFFF"/>
            <w:vAlign w:val="center"/>
          </w:tcPr>
          <w:p w14:paraId="7E3AD775" w14:textId="77777777" w:rsidR="004B0883" w:rsidRDefault="004B0883">
            <w:pPr>
              <w:adjustRightInd w:val="0"/>
              <w:snapToGrid w:val="0"/>
              <w:jc w:val="center"/>
              <w:rPr>
                <w:rFonts w:hint="eastAsia"/>
                <w:color w:val="000000"/>
              </w:rPr>
            </w:pPr>
            <w:r>
              <w:rPr>
                <w:rFonts w:hint="eastAsia"/>
                <w:color w:val="000000"/>
              </w:rPr>
              <w:t>独立董事</w:t>
            </w:r>
          </w:p>
        </w:tc>
        <w:tc>
          <w:tcPr>
            <w:tcW w:w="2259" w:type="dxa"/>
            <w:shd w:val="clear" w:color="auto" w:fill="FFFFFF"/>
            <w:vAlign w:val="center"/>
          </w:tcPr>
          <w:p w14:paraId="3268B16B" w14:textId="77777777" w:rsidR="004B0883" w:rsidRDefault="004B0883">
            <w:pPr>
              <w:adjustRightInd w:val="0"/>
              <w:snapToGrid w:val="0"/>
              <w:jc w:val="center"/>
              <w:rPr>
                <w:rFonts w:hint="eastAsia"/>
              </w:rPr>
            </w:pPr>
            <w:r>
              <w:rPr>
                <w:rFonts w:ascii="宋体" w:hAnsi="宋体" w:cs="宋体" w:hint="eastAsia"/>
                <w:kern w:val="28"/>
              </w:rPr>
              <w:t>核电装备国产化理事会</w:t>
            </w:r>
          </w:p>
        </w:tc>
        <w:tc>
          <w:tcPr>
            <w:tcW w:w="1914" w:type="dxa"/>
            <w:shd w:val="clear" w:color="auto" w:fill="FFFFFF"/>
            <w:vAlign w:val="center"/>
          </w:tcPr>
          <w:p w14:paraId="756B30E8" w14:textId="77777777" w:rsidR="004B0883" w:rsidRDefault="004B0883">
            <w:pPr>
              <w:adjustRightInd w:val="0"/>
              <w:snapToGrid w:val="0"/>
              <w:jc w:val="center"/>
              <w:rPr>
                <w:rFonts w:hint="eastAsia"/>
              </w:rPr>
            </w:pPr>
            <w:r>
              <w:rPr>
                <w:rFonts w:ascii="宋体" w:hAnsi="宋体" w:cs="宋体" w:hint="eastAsia"/>
                <w:kern w:val="28"/>
              </w:rPr>
              <w:t>理事</w:t>
            </w:r>
          </w:p>
        </w:tc>
        <w:tc>
          <w:tcPr>
            <w:tcW w:w="2067" w:type="dxa"/>
            <w:shd w:val="clear" w:color="auto" w:fill="FFFFFF"/>
            <w:vAlign w:val="center"/>
          </w:tcPr>
          <w:p w14:paraId="2C4028B9" w14:textId="77777777" w:rsidR="004B0883" w:rsidRDefault="004B0883">
            <w:pPr>
              <w:adjustRightInd w:val="0"/>
              <w:snapToGrid w:val="0"/>
              <w:jc w:val="center"/>
              <w:rPr>
                <w:color w:val="000000"/>
              </w:rPr>
            </w:pPr>
            <w:r>
              <w:rPr>
                <w:color w:val="000000"/>
              </w:rPr>
              <w:t>无关联关系</w:t>
            </w:r>
          </w:p>
        </w:tc>
      </w:tr>
      <w:tr w:rsidR="004B0883" w14:paraId="563F8329" w14:textId="77777777">
        <w:trPr>
          <w:trHeight w:val="397"/>
          <w:jc w:val="center"/>
        </w:trPr>
        <w:tc>
          <w:tcPr>
            <w:tcW w:w="981" w:type="dxa"/>
            <w:shd w:val="clear" w:color="auto" w:fill="FFFFFF"/>
            <w:vAlign w:val="center"/>
          </w:tcPr>
          <w:p w14:paraId="6E581D23" w14:textId="77777777" w:rsidR="004B0883" w:rsidRDefault="004B0883">
            <w:pPr>
              <w:adjustRightInd w:val="0"/>
              <w:snapToGrid w:val="0"/>
              <w:jc w:val="center"/>
              <w:rPr>
                <w:rFonts w:hint="eastAsia"/>
                <w:color w:val="000000"/>
              </w:rPr>
            </w:pPr>
            <w:r>
              <w:rPr>
                <w:rFonts w:hint="eastAsia"/>
                <w:color w:val="000000"/>
              </w:rPr>
              <w:t>宋银立</w:t>
            </w:r>
          </w:p>
        </w:tc>
        <w:tc>
          <w:tcPr>
            <w:tcW w:w="1430" w:type="dxa"/>
            <w:shd w:val="clear" w:color="auto" w:fill="FFFFFF"/>
            <w:vAlign w:val="center"/>
          </w:tcPr>
          <w:p w14:paraId="4562C5F8" w14:textId="77777777" w:rsidR="004B0883" w:rsidRDefault="004B0883">
            <w:pPr>
              <w:adjustRightInd w:val="0"/>
              <w:snapToGrid w:val="0"/>
              <w:jc w:val="center"/>
              <w:rPr>
                <w:rFonts w:hint="eastAsia"/>
                <w:color w:val="000000"/>
              </w:rPr>
            </w:pPr>
            <w:r>
              <w:rPr>
                <w:rFonts w:hint="eastAsia"/>
                <w:color w:val="000000"/>
              </w:rPr>
              <w:t>独立董事</w:t>
            </w:r>
          </w:p>
        </w:tc>
        <w:tc>
          <w:tcPr>
            <w:tcW w:w="2259" w:type="dxa"/>
            <w:shd w:val="clear" w:color="auto" w:fill="FFFFFF"/>
            <w:vAlign w:val="center"/>
          </w:tcPr>
          <w:p w14:paraId="7951977A" w14:textId="77777777" w:rsidR="004B0883" w:rsidRDefault="004B0883">
            <w:pPr>
              <w:adjustRightInd w:val="0"/>
              <w:snapToGrid w:val="0"/>
              <w:jc w:val="center"/>
              <w:rPr>
                <w:rFonts w:hint="eastAsia"/>
              </w:rPr>
            </w:pPr>
            <w:r>
              <w:rPr>
                <w:rFonts w:ascii="宋体" w:hAnsi="宋体" w:cs="宋体" w:hint="eastAsia"/>
                <w:kern w:val="28"/>
              </w:rPr>
              <w:t>中国石油和化学工业联合会</w:t>
            </w:r>
          </w:p>
        </w:tc>
        <w:tc>
          <w:tcPr>
            <w:tcW w:w="1914" w:type="dxa"/>
            <w:shd w:val="clear" w:color="auto" w:fill="FFFFFF"/>
            <w:vAlign w:val="center"/>
          </w:tcPr>
          <w:p w14:paraId="4A2D2219" w14:textId="77777777" w:rsidR="004B0883" w:rsidRDefault="004B0883">
            <w:pPr>
              <w:adjustRightInd w:val="0"/>
              <w:snapToGrid w:val="0"/>
              <w:jc w:val="center"/>
              <w:rPr>
                <w:rFonts w:hint="eastAsia"/>
              </w:rPr>
            </w:pPr>
            <w:r>
              <w:rPr>
                <w:rFonts w:ascii="宋体" w:hAnsi="宋体" w:cs="宋体" w:hint="eastAsia"/>
                <w:kern w:val="28"/>
              </w:rPr>
              <w:t>科学技术奖评审专家</w:t>
            </w:r>
          </w:p>
        </w:tc>
        <w:tc>
          <w:tcPr>
            <w:tcW w:w="2067" w:type="dxa"/>
            <w:shd w:val="clear" w:color="auto" w:fill="FFFFFF"/>
            <w:vAlign w:val="center"/>
          </w:tcPr>
          <w:p w14:paraId="4081FFCF" w14:textId="77777777" w:rsidR="004B0883" w:rsidRDefault="004B0883">
            <w:pPr>
              <w:adjustRightInd w:val="0"/>
              <w:snapToGrid w:val="0"/>
              <w:jc w:val="center"/>
              <w:rPr>
                <w:color w:val="000000"/>
              </w:rPr>
            </w:pPr>
            <w:r>
              <w:rPr>
                <w:color w:val="000000"/>
              </w:rPr>
              <w:t>无关联关系</w:t>
            </w:r>
          </w:p>
        </w:tc>
      </w:tr>
      <w:tr w:rsidR="004B0883" w14:paraId="6F1DDD47" w14:textId="77777777">
        <w:trPr>
          <w:trHeight w:val="397"/>
          <w:jc w:val="center"/>
        </w:trPr>
        <w:tc>
          <w:tcPr>
            <w:tcW w:w="981" w:type="dxa"/>
            <w:shd w:val="clear" w:color="auto" w:fill="FFFFFF"/>
            <w:vAlign w:val="center"/>
          </w:tcPr>
          <w:p w14:paraId="5D97A95D" w14:textId="77777777" w:rsidR="004B0883" w:rsidRDefault="004B0883">
            <w:pPr>
              <w:adjustRightInd w:val="0"/>
              <w:snapToGrid w:val="0"/>
              <w:jc w:val="center"/>
              <w:rPr>
                <w:rFonts w:hint="eastAsia"/>
                <w:color w:val="000000"/>
              </w:rPr>
            </w:pPr>
            <w:r>
              <w:rPr>
                <w:rFonts w:hint="eastAsia"/>
                <w:color w:val="000000"/>
              </w:rPr>
              <w:t>宋银立</w:t>
            </w:r>
          </w:p>
        </w:tc>
        <w:tc>
          <w:tcPr>
            <w:tcW w:w="1430" w:type="dxa"/>
            <w:shd w:val="clear" w:color="auto" w:fill="FFFFFF"/>
            <w:vAlign w:val="center"/>
          </w:tcPr>
          <w:p w14:paraId="1E493D16" w14:textId="77777777" w:rsidR="004B0883" w:rsidRDefault="004B0883">
            <w:pPr>
              <w:adjustRightInd w:val="0"/>
              <w:snapToGrid w:val="0"/>
              <w:jc w:val="center"/>
              <w:rPr>
                <w:rFonts w:hint="eastAsia"/>
                <w:color w:val="000000"/>
              </w:rPr>
            </w:pPr>
            <w:r>
              <w:rPr>
                <w:rFonts w:hint="eastAsia"/>
                <w:color w:val="000000"/>
              </w:rPr>
              <w:t>独立董事</w:t>
            </w:r>
          </w:p>
        </w:tc>
        <w:tc>
          <w:tcPr>
            <w:tcW w:w="2259" w:type="dxa"/>
            <w:shd w:val="clear" w:color="auto" w:fill="FFFFFF"/>
            <w:vAlign w:val="center"/>
          </w:tcPr>
          <w:p w14:paraId="7AB948D5" w14:textId="77777777" w:rsidR="004B0883" w:rsidRDefault="004B0883">
            <w:pPr>
              <w:adjustRightInd w:val="0"/>
              <w:snapToGrid w:val="0"/>
              <w:jc w:val="center"/>
              <w:rPr>
                <w:rFonts w:ascii="宋体" w:hAnsi="宋体" w:cs="宋体" w:hint="eastAsia"/>
                <w:kern w:val="28"/>
              </w:rPr>
            </w:pPr>
            <w:r>
              <w:rPr>
                <w:rFonts w:ascii="宋体" w:hAnsi="宋体" w:cs="宋体" w:hint="eastAsia"/>
                <w:kern w:val="28"/>
              </w:rPr>
              <w:t>国家能源核电站核级研发中心</w:t>
            </w:r>
          </w:p>
        </w:tc>
        <w:tc>
          <w:tcPr>
            <w:tcW w:w="1914" w:type="dxa"/>
            <w:shd w:val="clear" w:color="auto" w:fill="FFFFFF"/>
            <w:vAlign w:val="center"/>
          </w:tcPr>
          <w:p w14:paraId="312C1D66" w14:textId="77777777" w:rsidR="004B0883" w:rsidRDefault="004B0883">
            <w:pPr>
              <w:adjustRightInd w:val="0"/>
              <w:snapToGrid w:val="0"/>
              <w:jc w:val="center"/>
              <w:rPr>
                <w:rFonts w:ascii="宋体" w:hAnsi="宋体" w:cs="宋体" w:hint="eastAsia"/>
                <w:kern w:val="28"/>
              </w:rPr>
            </w:pPr>
            <w:r>
              <w:rPr>
                <w:rFonts w:ascii="宋体" w:hAnsi="宋体" w:cs="宋体" w:hint="eastAsia"/>
                <w:kern w:val="28"/>
              </w:rPr>
              <w:t>学术委员会委员</w:t>
            </w:r>
          </w:p>
        </w:tc>
        <w:tc>
          <w:tcPr>
            <w:tcW w:w="2067" w:type="dxa"/>
            <w:shd w:val="clear" w:color="auto" w:fill="FFFFFF"/>
            <w:vAlign w:val="center"/>
          </w:tcPr>
          <w:p w14:paraId="04709C03" w14:textId="77777777" w:rsidR="004B0883" w:rsidRDefault="004B0883">
            <w:pPr>
              <w:adjustRightInd w:val="0"/>
              <w:snapToGrid w:val="0"/>
              <w:jc w:val="center"/>
              <w:rPr>
                <w:color w:val="000000"/>
              </w:rPr>
            </w:pPr>
            <w:r>
              <w:rPr>
                <w:color w:val="000000"/>
              </w:rPr>
              <w:t>无关联关系</w:t>
            </w:r>
          </w:p>
        </w:tc>
      </w:tr>
      <w:tr w:rsidR="004B0883" w14:paraId="796275BB" w14:textId="77777777">
        <w:trPr>
          <w:trHeight w:val="397"/>
          <w:jc w:val="center"/>
        </w:trPr>
        <w:tc>
          <w:tcPr>
            <w:tcW w:w="981" w:type="dxa"/>
            <w:shd w:val="clear" w:color="auto" w:fill="FFFFFF"/>
            <w:vAlign w:val="center"/>
          </w:tcPr>
          <w:p w14:paraId="67BEE3DA" w14:textId="77777777" w:rsidR="004B0883" w:rsidRDefault="004B0883">
            <w:pPr>
              <w:adjustRightInd w:val="0"/>
              <w:snapToGrid w:val="0"/>
              <w:jc w:val="center"/>
              <w:rPr>
                <w:rFonts w:hint="eastAsia"/>
                <w:color w:val="000000"/>
              </w:rPr>
            </w:pPr>
            <w:r>
              <w:rPr>
                <w:rFonts w:hint="eastAsia"/>
                <w:color w:val="000000"/>
              </w:rPr>
              <w:t>宋银立</w:t>
            </w:r>
          </w:p>
        </w:tc>
        <w:tc>
          <w:tcPr>
            <w:tcW w:w="1430" w:type="dxa"/>
            <w:shd w:val="clear" w:color="auto" w:fill="FFFFFF"/>
            <w:vAlign w:val="center"/>
          </w:tcPr>
          <w:p w14:paraId="2138142A" w14:textId="77777777" w:rsidR="004B0883" w:rsidRDefault="004B0883">
            <w:pPr>
              <w:adjustRightInd w:val="0"/>
              <w:snapToGrid w:val="0"/>
              <w:jc w:val="center"/>
              <w:rPr>
                <w:rFonts w:hint="eastAsia"/>
                <w:color w:val="000000"/>
              </w:rPr>
            </w:pPr>
            <w:r>
              <w:rPr>
                <w:rFonts w:hint="eastAsia"/>
                <w:color w:val="000000"/>
              </w:rPr>
              <w:t>独立董事</w:t>
            </w:r>
          </w:p>
        </w:tc>
        <w:tc>
          <w:tcPr>
            <w:tcW w:w="2259" w:type="dxa"/>
            <w:shd w:val="clear" w:color="auto" w:fill="FFFFFF"/>
            <w:vAlign w:val="center"/>
          </w:tcPr>
          <w:p w14:paraId="7F6A4D4B" w14:textId="77777777" w:rsidR="004B0883" w:rsidRDefault="004B0883">
            <w:pPr>
              <w:adjustRightInd w:val="0"/>
              <w:snapToGrid w:val="0"/>
              <w:jc w:val="center"/>
              <w:rPr>
                <w:rFonts w:ascii="宋体" w:hAnsi="宋体" w:cs="宋体" w:hint="eastAsia"/>
                <w:kern w:val="28"/>
              </w:rPr>
            </w:pPr>
            <w:r>
              <w:rPr>
                <w:rFonts w:ascii="宋体" w:hAnsi="宋体" w:cs="宋体" w:hint="eastAsia"/>
                <w:kern w:val="28"/>
              </w:rPr>
              <w:t>工信部“专精特新”小巨人评审委</w:t>
            </w:r>
          </w:p>
        </w:tc>
        <w:tc>
          <w:tcPr>
            <w:tcW w:w="1914" w:type="dxa"/>
            <w:shd w:val="clear" w:color="auto" w:fill="FFFFFF"/>
            <w:vAlign w:val="center"/>
          </w:tcPr>
          <w:p w14:paraId="2C2445BC" w14:textId="77777777" w:rsidR="004B0883" w:rsidRDefault="004B0883">
            <w:pPr>
              <w:adjustRightInd w:val="0"/>
              <w:snapToGrid w:val="0"/>
              <w:jc w:val="center"/>
              <w:rPr>
                <w:rFonts w:ascii="宋体" w:hAnsi="宋体" w:cs="宋体" w:hint="eastAsia"/>
                <w:kern w:val="28"/>
              </w:rPr>
            </w:pPr>
            <w:r>
              <w:rPr>
                <w:rFonts w:ascii="宋体" w:hAnsi="宋体" w:cs="宋体" w:hint="eastAsia"/>
                <w:kern w:val="28"/>
              </w:rPr>
              <w:t>评审委员</w:t>
            </w:r>
          </w:p>
        </w:tc>
        <w:tc>
          <w:tcPr>
            <w:tcW w:w="2067" w:type="dxa"/>
            <w:shd w:val="clear" w:color="auto" w:fill="FFFFFF"/>
            <w:vAlign w:val="center"/>
          </w:tcPr>
          <w:p w14:paraId="06941125" w14:textId="77777777" w:rsidR="004B0883" w:rsidRDefault="004B0883">
            <w:pPr>
              <w:adjustRightInd w:val="0"/>
              <w:snapToGrid w:val="0"/>
              <w:jc w:val="center"/>
              <w:rPr>
                <w:color w:val="000000"/>
              </w:rPr>
            </w:pPr>
            <w:r>
              <w:rPr>
                <w:color w:val="000000"/>
              </w:rPr>
              <w:t>无关联关系</w:t>
            </w:r>
          </w:p>
        </w:tc>
      </w:tr>
      <w:tr w:rsidR="004B0883" w14:paraId="5574ADCC" w14:textId="77777777">
        <w:trPr>
          <w:trHeight w:val="397"/>
          <w:jc w:val="center"/>
        </w:trPr>
        <w:tc>
          <w:tcPr>
            <w:tcW w:w="981" w:type="dxa"/>
            <w:shd w:val="clear" w:color="auto" w:fill="FFFFFF"/>
            <w:vAlign w:val="center"/>
          </w:tcPr>
          <w:p w14:paraId="514B771A" w14:textId="77777777" w:rsidR="004B0883" w:rsidRDefault="004B0883">
            <w:pPr>
              <w:adjustRightInd w:val="0"/>
              <w:snapToGrid w:val="0"/>
              <w:jc w:val="center"/>
              <w:rPr>
                <w:color w:val="000000"/>
              </w:rPr>
            </w:pPr>
            <w:r>
              <w:rPr>
                <w:rFonts w:hint="eastAsia"/>
                <w:color w:val="000000"/>
              </w:rPr>
              <w:t>宋银立</w:t>
            </w:r>
          </w:p>
        </w:tc>
        <w:tc>
          <w:tcPr>
            <w:tcW w:w="1430" w:type="dxa"/>
            <w:shd w:val="clear" w:color="auto" w:fill="FFFFFF"/>
            <w:vAlign w:val="center"/>
          </w:tcPr>
          <w:p w14:paraId="5724F723" w14:textId="77777777" w:rsidR="004B0883" w:rsidRDefault="004B0883">
            <w:pPr>
              <w:adjustRightInd w:val="0"/>
              <w:snapToGrid w:val="0"/>
              <w:jc w:val="center"/>
              <w:rPr>
                <w:color w:val="000000"/>
              </w:rPr>
            </w:pPr>
            <w:r>
              <w:rPr>
                <w:rFonts w:hint="eastAsia"/>
                <w:color w:val="000000"/>
              </w:rPr>
              <w:t>独立董事</w:t>
            </w:r>
          </w:p>
        </w:tc>
        <w:tc>
          <w:tcPr>
            <w:tcW w:w="2259" w:type="dxa"/>
            <w:shd w:val="clear" w:color="auto" w:fill="FFFFFF"/>
            <w:vAlign w:val="center"/>
          </w:tcPr>
          <w:p w14:paraId="4029D9A0" w14:textId="77777777" w:rsidR="004B0883" w:rsidRDefault="004B0883">
            <w:pPr>
              <w:adjustRightInd w:val="0"/>
              <w:snapToGrid w:val="0"/>
              <w:jc w:val="center"/>
              <w:rPr>
                <w:rFonts w:ascii="宋体" w:hAnsi="宋体"/>
              </w:rPr>
            </w:pPr>
            <w:r>
              <w:rPr>
                <w:rFonts w:ascii="宋体" w:hAnsi="宋体" w:hint="eastAsia"/>
              </w:rPr>
              <w:t>常州电站辅机股份有限公司</w:t>
            </w:r>
          </w:p>
        </w:tc>
        <w:tc>
          <w:tcPr>
            <w:tcW w:w="1914" w:type="dxa"/>
            <w:shd w:val="clear" w:color="auto" w:fill="FFFFFF"/>
            <w:vAlign w:val="center"/>
          </w:tcPr>
          <w:p w14:paraId="208E95C9" w14:textId="77777777" w:rsidR="004B0883" w:rsidRDefault="004B0883">
            <w:pPr>
              <w:adjustRightInd w:val="0"/>
              <w:snapToGrid w:val="0"/>
              <w:jc w:val="center"/>
              <w:rPr>
                <w:rFonts w:ascii="宋体" w:hAnsi="宋体"/>
              </w:rPr>
            </w:pPr>
            <w:r>
              <w:rPr>
                <w:rFonts w:ascii="宋体" w:hAnsi="宋体" w:hint="eastAsia"/>
              </w:rPr>
              <w:t>独立董事</w:t>
            </w:r>
          </w:p>
        </w:tc>
        <w:tc>
          <w:tcPr>
            <w:tcW w:w="2067" w:type="dxa"/>
            <w:shd w:val="clear" w:color="auto" w:fill="FFFFFF"/>
            <w:vAlign w:val="center"/>
          </w:tcPr>
          <w:p w14:paraId="1914FE83" w14:textId="77777777" w:rsidR="004B0883" w:rsidRDefault="004B0883">
            <w:pPr>
              <w:adjustRightInd w:val="0"/>
              <w:snapToGrid w:val="0"/>
              <w:jc w:val="center"/>
              <w:rPr>
                <w:color w:val="000000"/>
              </w:rPr>
            </w:pPr>
            <w:r>
              <w:rPr>
                <w:color w:val="000000"/>
              </w:rPr>
              <w:t>无关联关系</w:t>
            </w:r>
          </w:p>
        </w:tc>
      </w:tr>
      <w:tr w:rsidR="004B0883" w14:paraId="139EB378" w14:textId="77777777">
        <w:trPr>
          <w:trHeight w:val="397"/>
          <w:jc w:val="center"/>
        </w:trPr>
        <w:tc>
          <w:tcPr>
            <w:tcW w:w="981" w:type="dxa"/>
            <w:shd w:val="clear" w:color="auto" w:fill="FFFFFF"/>
            <w:vAlign w:val="center"/>
          </w:tcPr>
          <w:p w14:paraId="783C4C83" w14:textId="77777777" w:rsidR="004B0883" w:rsidRDefault="004B0883">
            <w:pPr>
              <w:adjustRightInd w:val="0"/>
              <w:snapToGrid w:val="0"/>
              <w:jc w:val="center"/>
              <w:rPr>
                <w:rFonts w:hint="eastAsia"/>
                <w:color w:val="000000"/>
                <w:sz w:val="18"/>
                <w:szCs w:val="18"/>
              </w:rPr>
            </w:pPr>
            <w:r>
              <w:rPr>
                <w:rFonts w:hint="eastAsia"/>
                <w:color w:val="000000"/>
              </w:rPr>
              <w:t>宋银立</w:t>
            </w:r>
          </w:p>
        </w:tc>
        <w:tc>
          <w:tcPr>
            <w:tcW w:w="1430" w:type="dxa"/>
            <w:shd w:val="clear" w:color="auto" w:fill="FFFFFF"/>
            <w:vAlign w:val="center"/>
          </w:tcPr>
          <w:p w14:paraId="3C5042E3" w14:textId="77777777" w:rsidR="004B0883" w:rsidRDefault="004B0883">
            <w:pPr>
              <w:adjustRightInd w:val="0"/>
              <w:snapToGrid w:val="0"/>
              <w:jc w:val="center"/>
              <w:rPr>
                <w:rFonts w:hint="eastAsia"/>
                <w:color w:val="000000"/>
                <w:sz w:val="18"/>
                <w:szCs w:val="18"/>
              </w:rPr>
            </w:pPr>
            <w:r>
              <w:rPr>
                <w:rFonts w:hint="eastAsia"/>
                <w:color w:val="000000"/>
              </w:rPr>
              <w:t>独立董事</w:t>
            </w:r>
          </w:p>
        </w:tc>
        <w:tc>
          <w:tcPr>
            <w:tcW w:w="2259" w:type="dxa"/>
            <w:shd w:val="clear" w:color="auto" w:fill="FFFFFF"/>
            <w:vAlign w:val="center"/>
          </w:tcPr>
          <w:p w14:paraId="6E22DDB2" w14:textId="77777777" w:rsidR="004B0883" w:rsidRDefault="004B0883">
            <w:pPr>
              <w:adjustRightInd w:val="0"/>
              <w:snapToGrid w:val="0"/>
              <w:jc w:val="center"/>
              <w:rPr>
                <w:rFonts w:hint="eastAsia"/>
                <w:color w:val="000000"/>
              </w:rPr>
            </w:pPr>
            <w:r>
              <w:rPr>
                <w:rFonts w:hint="eastAsia"/>
                <w:color w:val="000000"/>
              </w:rPr>
              <w:t>中国机电一体化技术应用协会控制阀分会</w:t>
            </w:r>
          </w:p>
        </w:tc>
        <w:tc>
          <w:tcPr>
            <w:tcW w:w="1914" w:type="dxa"/>
            <w:shd w:val="clear" w:color="auto" w:fill="FFFFFF"/>
            <w:vAlign w:val="center"/>
          </w:tcPr>
          <w:p w14:paraId="4A9FF0B2" w14:textId="77777777" w:rsidR="004B0883" w:rsidRDefault="004B0883">
            <w:pPr>
              <w:adjustRightInd w:val="0"/>
              <w:snapToGrid w:val="0"/>
              <w:jc w:val="center"/>
              <w:rPr>
                <w:rFonts w:hint="eastAsia"/>
                <w:color w:val="000000"/>
              </w:rPr>
            </w:pPr>
            <w:r>
              <w:rPr>
                <w:rFonts w:hint="eastAsia"/>
                <w:color w:val="000000"/>
              </w:rPr>
              <w:t>副理事长</w:t>
            </w:r>
          </w:p>
        </w:tc>
        <w:tc>
          <w:tcPr>
            <w:tcW w:w="2067" w:type="dxa"/>
            <w:shd w:val="clear" w:color="auto" w:fill="FFFFFF"/>
            <w:vAlign w:val="center"/>
          </w:tcPr>
          <w:p w14:paraId="74E1C064" w14:textId="77777777" w:rsidR="004B0883" w:rsidRDefault="004B0883">
            <w:pPr>
              <w:jc w:val="center"/>
              <w:rPr>
                <w:rFonts w:ascii="宋体" w:hAnsi="宋体" w:cs="宋体" w:hint="eastAsia"/>
              </w:rPr>
            </w:pPr>
            <w:r>
              <w:rPr>
                <w:color w:val="000000"/>
              </w:rPr>
              <w:t>无关联关系</w:t>
            </w:r>
          </w:p>
        </w:tc>
      </w:tr>
      <w:tr w:rsidR="004B0883" w14:paraId="4627A4BA" w14:textId="77777777">
        <w:trPr>
          <w:trHeight w:val="397"/>
          <w:jc w:val="center"/>
        </w:trPr>
        <w:tc>
          <w:tcPr>
            <w:tcW w:w="981" w:type="dxa"/>
            <w:shd w:val="clear" w:color="auto" w:fill="FFFFFF"/>
            <w:vAlign w:val="center"/>
          </w:tcPr>
          <w:p w14:paraId="4A57AEE0" w14:textId="77777777" w:rsidR="004B0883" w:rsidRDefault="004B0883">
            <w:pPr>
              <w:adjustRightInd w:val="0"/>
              <w:snapToGrid w:val="0"/>
              <w:jc w:val="center"/>
              <w:rPr>
                <w:color w:val="000000"/>
              </w:rPr>
            </w:pPr>
            <w:r>
              <w:rPr>
                <w:rFonts w:hint="eastAsia"/>
                <w:color w:val="000000"/>
              </w:rPr>
              <w:t>樊培银</w:t>
            </w:r>
          </w:p>
        </w:tc>
        <w:tc>
          <w:tcPr>
            <w:tcW w:w="1430" w:type="dxa"/>
            <w:shd w:val="clear" w:color="auto" w:fill="FFFFFF"/>
            <w:vAlign w:val="center"/>
          </w:tcPr>
          <w:p w14:paraId="20DCAEA1" w14:textId="77777777" w:rsidR="004B0883" w:rsidRDefault="004B0883">
            <w:pPr>
              <w:adjustRightInd w:val="0"/>
              <w:snapToGrid w:val="0"/>
              <w:jc w:val="center"/>
              <w:rPr>
                <w:color w:val="000000"/>
              </w:rPr>
            </w:pPr>
            <w:r>
              <w:rPr>
                <w:rFonts w:hint="eastAsia"/>
                <w:color w:val="000000"/>
              </w:rPr>
              <w:t>独立董事</w:t>
            </w:r>
          </w:p>
        </w:tc>
        <w:tc>
          <w:tcPr>
            <w:tcW w:w="2259" w:type="dxa"/>
            <w:shd w:val="clear" w:color="auto" w:fill="FFFFFF"/>
            <w:vAlign w:val="center"/>
          </w:tcPr>
          <w:p w14:paraId="4D241581" w14:textId="77777777" w:rsidR="004B0883" w:rsidRDefault="004B0883">
            <w:pPr>
              <w:adjustRightInd w:val="0"/>
              <w:snapToGrid w:val="0"/>
              <w:jc w:val="center"/>
              <w:rPr>
                <w:rFonts w:ascii="宋体" w:hAnsi="宋体"/>
              </w:rPr>
            </w:pPr>
            <w:r>
              <w:rPr>
                <w:rFonts w:ascii="宋体" w:hAnsi="宋体" w:hint="eastAsia"/>
              </w:rPr>
              <w:t>中国海洋大学会计系</w:t>
            </w:r>
          </w:p>
        </w:tc>
        <w:tc>
          <w:tcPr>
            <w:tcW w:w="1914" w:type="dxa"/>
            <w:shd w:val="clear" w:color="auto" w:fill="FFFFFF"/>
            <w:vAlign w:val="center"/>
          </w:tcPr>
          <w:p w14:paraId="7C59C67C" w14:textId="77777777" w:rsidR="004B0883" w:rsidRDefault="004B0883">
            <w:pPr>
              <w:adjustRightInd w:val="0"/>
              <w:snapToGrid w:val="0"/>
              <w:jc w:val="center"/>
              <w:rPr>
                <w:rFonts w:ascii="宋体" w:hAnsi="宋体"/>
              </w:rPr>
            </w:pPr>
            <w:r>
              <w:rPr>
                <w:rFonts w:ascii="宋体" w:hAnsi="宋体" w:hint="eastAsia"/>
              </w:rPr>
              <w:t>讲师、副教授</w:t>
            </w:r>
          </w:p>
        </w:tc>
        <w:tc>
          <w:tcPr>
            <w:tcW w:w="2067" w:type="dxa"/>
            <w:shd w:val="clear" w:color="auto" w:fill="FFFFFF"/>
            <w:vAlign w:val="center"/>
          </w:tcPr>
          <w:p w14:paraId="1B206DF9" w14:textId="77777777" w:rsidR="004B0883" w:rsidRDefault="004B0883">
            <w:pPr>
              <w:adjustRightInd w:val="0"/>
              <w:snapToGrid w:val="0"/>
              <w:jc w:val="center"/>
              <w:rPr>
                <w:color w:val="000000"/>
              </w:rPr>
            </w:pPr>
            <w:r>
              <w:rPr>
                <w:color w:val="000000"/>
              </w:rPr>
              <w:t>无关联关系</w:t>
            </w:r>
          </w:p>
        </w:tc>
      </w:tr>
      <w:tr w:rsidR="004B0883" w14:paraId="3518EBDA" w14:textId="77777777">
        <w:trPr>
          <w:trHeight w:val="397"/>
          <w:jc w:val="center"/>
        </w:trPr>
        <w:tc>
          <w:tcPr>
            <w:tcW w:w="981" w:type="dxa"/>
            <w:shd w:val="clear" w:color="auto" w:fill="FFFFFF"/>
            <w:vAlign w:val="center"/>
          </w:tcPr>
          <w:p w14:paraId="79E7410B" w14:textId="77777777" w:rsidR="004B0883" w:rsidRDefault="004B0883">
            <w:pPr>
              <w:adjustRightInd w:val="0"/>
              <w:snapToGrid w:val="0"/>
              <w:jc w:val="center"/>
              <w:rPr>
                <w:color w:val="000000"/>
              </w:rPr>
            </w:pPr>
            <w:r>
              <w:rPr>
                <w:rFonts w:hint="eastAsia"/>
                <w:color w:val="000000"/>
              </w:rPr>
              <w:t>樊培银</w:t>
            </w:r>
          </w:p>
        </w:tc>
        <w:tc>
          <w:tcPr>
            <w:tcW w:w="1430" w:type="dxa"/>
            <w:shd w:val="clear" w:color="auto" w:fill="FFFFFF"/>
            <w:vAlign w:val="center"/>
          </w:tcPr>
          <w:p w14:paraId="37B73C28" w14:textId="77777777" w:rsidR="004B0883" w:rsidRDefault="004B0883">
            <w:pPr>
              <w:adjustRightInd w:val="0"/>
              <w:snapToGrid w:val="0"/>
              <w:jc w:val="center"/>
              <w:rPr>
                <w:color w:val="000000"/>
              </w:rPr>
            </w:pPr>
            <w:r>
              <w:rPr>
                <w:rFonts w:hint="eastAsia"/>
                <w:color w:val="000000"/>
              </w:rPr>
              <w:t>独立董事</w:t>
            </w:r>
          </w:p>
        </w:tc>
        <w:tc>
          <w:tcPr>
            <w:tcW w:w="2259" w:type="dxa"/>
            <w:shd w:val="clear" w:color="auto" w:fill="FFFFFF"/>
            <w:vAlign w:val="center"/>
          </w:tcPr>
          <w:p w14:paraId="0B8B996F" w14:textId="77777777" w:rsidR="004B0883" w:rsidRDefault="004B0883">
            <w:pPr>
              <w:adjustRightInd w:val="0"/>
              <w:snapToGrid w:val="0"/>
              <w:jc w:val="center"/>
              <w:rPr>
                <w:rFonts w:ascii="宋体" w:hAnsi="宋体"/>
              </w:rPr>
            </w:pPr>
            <w:r>
              <w:rPr>
                <w:rFonts w:ascii="宋体" w:hAnsi="宋体" w:hint="eastAsia"/>
              </w:rPr>
              <w:t>青岛汉缆股份有限公司</w:t>
            </w:r>
          </w:p>
        </w:tc>
        <w:tc>
          <w:tcPr>
            <w:tcW w:w="1914" w:type="dxa"/>
            <w:shd w:val="clear" w:color="auto" w:fill="FFFFFF"/>
            <w:vAlign w:val="center"/>
          </w:tcPr>
          <w:p w14:paraId="0589F512" w14:textId="77777777" w:rsidR="004B0883" w:rsidRDefault="004B0883">
            <w:pPr>
              <w:adjustRightInd w:val="0"/>
              <w:snapToGrid w:val="0"/>
              <w:jc w:val="center"/>
              <w:rPr>
                <w:rFonts w:ascii="宋体" w:hAnsi="宋体"/>
              </w:rPr>
            </w:pPr>
            <w:r>
              <w:rPr>
                <w:rFonts w:ascii="宋体" w:hAnsi="宋体" w:hint="eastAsia"/>
              </w:rPr>
              <w:t>独立董事</w:t>
            </w:r>
          </w:p>
        </w:tc>
        <w:tc>
          <w:tcPr>
            <w:tcW w:w="2067" w:type="dxa"/>
            <w:shd w:val="clear" w:color="auto" w:fill="FFFFFF"/>
            <w:vAlign w:val="center"/>
          </w:tcPr>
          <w:p w14:paraId="188B5A6E" w14:textId="77777777" w:rsidR="004B0883" w:rsidRDefault="004B0883">
            <w:pPr>
              <w:adjustRightInd w:val="0"/>
              <w:snapToGrid w:val="0"/>
              <w:jc w:val="center"/>
              <w:rPr>
                <w:color w:val="000000"/>
              </w:rPr>
            </w:pPr>
            <w:r>
              <w:rPr>
                <w:color w:val="000000"/>
              </w:rPr>
              <w:t>无关联关系</w:t>
            </w:r>
          </w:p>
        </w:tc>
      </w:tr>
      <w:tr w:rsidR="004B0883" w14:paraId="45E061BA" w14:textId="77777777">
        <w:trPr>
          <w:trHeight w:val="397"/>
          <w:jc w:val="center"/>
        </w:trPr>
        <w:tc>
          <w:tcPr>
            <w:tcW w:w="981" w:type="dxa"/>
            <w:shd w:val="clear" w:color="auto" w:fill="FFFFFF"/>
            <w:vAlign w:val="center"/>
          </w:tcPr>
          <w:p w14:paraId="181CE563" w14:textId="77777777" w:rsidR="004B0883" w:rsidRDefault="004B0883">
            <w:pPr>
              <w:adjustRightInd w:val="0"/>
              <w:snapToGrid w:val="0"/>
              <w:jc w:val="center"/>
              <w:rPr>
                <w:color w:val="000000"/>
              </w:rPr>
            </w:pPr>
            <w:r>
              <w:rPr>
                <w:rFonts w:hint="eastAsia"/>
                <w:color w:val="000000"/>
              </w:rPr>
              <w:t>樊培银</w:t>
            </w:r>
          </w:p>
        </w:tc>
        <w:tc>
          <w:tcPr>
            <w:tcW w:w="1430" w:type="dxa"/>
            <w:shd w:val="clear" w:color="auto" w:fill="FFFFFF"/>
            <w:vAlign w:val="center"/>
          </w:tcPr>
          <w:p w14:paraId="2798BC9E" w14:textId="77777777" w:rsidR="004B0883" w:rsidRDefault="004B0883">
            <w:pPr>
              <w:adjustRightInd w:val="0"/>
              <w:snapToGrid w:val="0"/>
              <w:jc w:val="center"/>
              <w:rPr>
                <w:color w:val="000000"/>
              </w:rPr>
            </w:pPr>
            <w:r>
              <w:rPr>
                <w:rFonts w:hint="eastAsia"/>
                <w:color w:val="000000"/>
              </w:rPr>
              <w:t>独立董事</w:t>
            </w:r>
          </w:p>
        </w:tc>
        <w:tc>
          <w:tcPr>
            <w:tcW w:w="2259" w:type="dxa"/>
            <w:shd w:val="clear" w:color="auto" w:fill="FFFFFF"/>
            <w:vAlign w:val="center"/>
          </w:tcPr>
          <w:p w14:paraId="2988AEF9" w14:textId="77777777" w:rsidR="004B0883" w:rsidRDefault="004B0883">
            <w:pPr>
              <w:adjustRightInd w:val="0"/>
              <w:snapToGrid w:val="0"/>
              <w:jc w:val="center"/>
              <w:rPr>
                <w:rFonts w:ascii="宋体" w:hAnsi="宋体"/>
              </w:rPr>
            </w:pPr>
            <w:r>
              <w:rPr>
                <w:rFonts w:ascii="宋体" w:hAnsi="宋体" w:hint="eastAsia"/>
              </w:rPr>
              <w:t>青岛东方铁塔股份有限公司</w:t>
            </w:r>
          </w:p>
        </w:tc>
        <w:tc>
          <w:tcPr>
            <w:tcW w:w="1914" w:type="dxa"/>
            <w:shd w:val="clear" w:color="auto" w:fill="FFFFFF"/>
            <w:vAlign w:val="center"/>
          </w:tcPr>
          <w:p w14:paraId="7BAD5B6C" w14:textId="77777777" w:rsidR="004B0883" w:rsidRDefault="004B0883">
            <w:pPr>
              <w:adjustRightInd w:val="0"/>
              <w:snapToGrid w:val="0"/>
              <w:jc w:val="center"/>
              <w:rPr>
                <w:rFonts w:ascii="宋体" w:hAnsi="宋体"/>
              </w:rPr>
            </w:pPr>
            <w:r>
              <w:rPr>
                <w:rFonts w:ascii="宋体" w:hAnsi="宋体" w:hint="eastAsia"/>
              </w:rPr>
              <w:t>独立董事</w:t>
            </w:r>
          </w:p>
        </w:tc>
        <w:tc>
          <w:tcPr>
            <w:tcW w:w="2067" w:type="dxa"/>
            <w:shd w:val="clear" w:color="auto" w:fill="FFFFFF"/>
            <w:vAlign w:val="center"/>
          </w:tcPr>
          <w:p w14:paraId="44993DB0" w14:textId="77777777" w:rsidR="004B0883" w:rsidRDefault="004B0883">
            <w:pPr>
              <w:adjustRightInd w:val="0"/>
              <w:snapToGrid w:val="0"/>
              <w:jc w:val="center"/>
              <w:rPr>
                <w:color w:val="000000"/>
              </w:rPr>
            </w:pPr>
            <w:r>
              <w:rPr>
                <w:color w:val="000000"/>
              </w:rPr>
              <w:t>无关联关系</w:t>
            </w:r>
          </w:p>
        </w:tc>
      </w:tr>
      <w:tr w:rsidR="004B0883" w14:paraId="793EDB83" w14:textId="77777777">
        <w:trPr>
          <w:trHeight w:val="397"/>
          <w:jc w:val="center"/>
        </w:trPr>
        <w:tc>
          <w:tcPr>
            <w:tcW w:w="981" w:type="dxa"/>
            <w:shd w:val="clear" w:color="auto" w:fill="FFFFFF"/>
            <w:vAlign w:val="center"/>
          </w:tcPr>
          <w:p w14:paraId="4C11FFC6" w14:textId="77777777" w:rsidR="004B0883" w:rsidRDefault="004B0883">
            <w:pPr>
              <w:adjustRightInd w:val="0"/>
              <w:snapToGrid w:val="0"/>
              <w:jc w:val="center"/>
              <w:rPr>
                <w:color w:val="000000"/>
              </w:rPr>
            </w:pPr>
            <w:r>
              <w:rPr>
                <w:rFonts w:hint="eastAsia"/>
                <w:color w:val="000000"/>
              </w:rPr>
              <w:t>樊培银</w:t>
            </w:r>
          </w:p>
        </w:tc>
        <w:tc>
          <w:tcPr>
            <w:tcW w:w="1430" w:type="dxa"/>
            <w:shd w:val="clear" w:color="auto" w:fill="FFFFFF"/>
            <w:vAlign w:val="center"/>
          </w:tcPr>
          <w:p w14:paraId="698E3BA6" w14:textId="77777777" w:rsidR="004B0883" w:rsidRDefault="004B0883">
            <w:pPr>
              <w:adjustRightInd w:val="0"/>
              <w:snapToGrid w:val="0"/>
              <w:jc w:val="center"/>
              <w:rPr>
                <w:color w:val="000000"/>
              </w:rPr>
            </w:pPr>
            <w:r>
              <w:rPr>
                <w:rFonts w:hint="eastAsia"/>
                <w:color w:val="000000"/>
              </w:rPr>
              <w:t>独立董事</w:t>
            </w:r>
          </w:p>
        </w:tc>
        <w:tc>
          <w:tcPr>
            <w:tcW w:w="2259" w:type="dxa"/>
            <w:shd w:val="clear" w:color="auto" w:fill="FFFFFF"/>
            <w:vAlign w:val="center"/>
          </w:tcPr>
          <w:p w14:paraId="10933EA7" w14:textId="77777777" w:rsidR="004B0883" w:rsidRDefault="004B0883">
            <w:pPr>
              <w:adjustRightInd w:val="0"/>
              <w:snapToGrid w:val="0"/>
              <w:jc w:val="center"/>
              <w:rPr>
                <w:rFonts w:ascii="宋体" w:hAnsi="宋体"/>
              </w:rPr>
            </w:pPr>
            <w:r>
              <w:rPr>
                <w:rFonts w:ascii="宋体" w:hAnsi="宋体" w:hint="eastAsia"/>
              </w:rPr>
              <w:t>青岛国林环保科技股份有限公司</w:t>
            </w:r>
          </w:p>
        </w:tc>
        <w:tc>
          <w:tcPr>
            <w:tcW w:w="1914" w:type="dxa"/>
            <w:shd w:val="clear" w:color="auto" w:fill="FFFFFF"/>
            <w:vAlign w:val="center"/>
          </w:tcPr>
          <w:p w14:paraId="7BD73CFE" w14:textId="77777777" w:rsidR="004B0883" w:rsidRDefault="004B0883">
            <w:pPr>
              <w:adjustRightInd w:val="0"/>
              <w:snapToGrid w:val="0"/>
              <w:jc w:val="center"/>
              <w:rPr>
                <w:rFonts w:ascii="宋体" w:hAnsi="宋体"/>
              </w:rPr>
            </w:pPr>
            <w:r>
              <w:rPr>
                <w:rFonts w:ascii="宋体" w:hAnsi="宋体" w:hint="eastAsia"/>
              </w:rPr>
              <w:t>独立董事</w:t>
            </w:r>
          </w:p>
        </w:tc>
        <w:tc>
          <w:tcPr>
            <w:tcW w:w="2067" w:type="dxa"/>
            <w:shd w:val="clear" w:color="auto" w:fill="FFFFFF"/>
            <w:vAlign w:val="center"/>
          </w:tcPr>
          <w:p w14:paraId="0B4BE28C" w14:textId="77777777" w:rsidR="004B0883" w:rsidRDefault="004B0883">
            <w:pPr>
              <w:adjustRightInd w:val="0"/>
              <w:snapToGrid w:val="0"/>
              <w:jc w:val="center"/>
              <w:rPr>
                <w:color w:val="000000"/>
              </w:rPr>
            </w:pPr>
            <w:r>
              <w:rPr>
                <w:color w:val="000000"/>
              </w:rPr>
              <w:t>无关联关系</w:t>
            </w:r>
          </w:p>
        </w:tc>
      </w:tr>
      <w:tr w:rsidR="004B0883" w14:paraId="47B69F20" w14:textId="77777777">
        <w:trPr>
          <w:trHeight w:val="397"/>
          <w:jc w:val="center"/>
        </w:trPr>
        <w:tc>
          <w:tcPr>
            <w:tcW w:w="981" w:type="dxa"/>
            <w:shd w:val="clear" w:color="auto" w:fill="FFFFFF"/>
            <w:vAlign w:val="center"/>
          </w:tcPr>
          <w:p w14:paraId="7B783BCE" w14:textId="77777777" w:rsidR="004B0883" w:rsidRDefault="004B0883">
            <w:pPr>
              <w:adjustRightInd w:val="0"/>
              <w:snapToGrid w:val="0"/>
              <w:jc w:val="center"/>
              <w:rPr>
                <w:color w:val="000000"/>
              </w:rPr>
            </w:pPr>
            <w:r>
              <w:rPr>
                <w:rFonts w:hint="eastAsia"/>
                <w:color w:val="000000"/>
              </w:rPr>
              <w:t>高科</w:t>
            </w:r>
          </w:p>
        </w:tc>
        <w:tc>
          <w:tcPr>
            <w:tcW w:w="1430" w:type="dxa"/>
            <w:shd w:val="clear" w:color="auto" w:fill="FFFFFF"/>
            <w:vAlign w:val="center"/>
          </w:tcPr>
          <w:p w14:paraId="4E9B3A8E" w14:textId="77777777" w:rsidR="004B0883" w:rsidRDefault="004B0883">
            <w:pPr>
              <w:adjustRightInd w:val="0"/>
              <w:snapToGrid w:val="0"/>
              <w:jc w:val="center"/>
              <w:rPr>
                <w:color w:val="000000"/>
              </w:rPr>
            </w:pPr>
            <w:r>
              <w:rPr>
                <w:rFonts w:hint="eastAsia"/>
                <w:color w:val="000000"/>
              </w:rPr>
              <w:t>独立董事</w:t>
            </w:r>
          </w:p>
        </w:tc>
        <w:tc>
          <w:tcPr>
            <w:tcW w:w="2259" w:type="dxa"/>
            <w:shd w:val="clear" w:color="auto" w:fill="FFFFFF"/>
            <w:vAlign w:val="center"/>
          </w:tcPr>
          <w:p w14:paraId="34224901" w14:textId="77777777" w:rsidR="004B0883" w:rsidRDefault="004B0883">
            <w:pPr>
              <w:adjustRightInd w:val="0"/>
              <w:snapToGrid w:val="0"/>
              <w:jc w:val="center"/>
              <w:rPr>
                <w:rFonts w:ascii="宋体" w:hAnsi="宋体"/>
              </w:rPr>
            </w:pPr>
            <w:r>
              <w:rPr>
                <w:rFonts w:ascii="宋体" w:hAnsi="宋体" w:hint="eastAsia"/>
              </w:rPr>
              <w:t>山东文康律师事务所</w:t>
            </w:r>
          </w:p>
        </w:tc>
        <w:tc>
          <w:tcPr>
            <w:tcW w:w="1914" w:type="dxa"/>
            <w:shd w:val="clear" w:color="auto" w:fill="FFFFFF"/>
            <w:vAlign w:val="center"/>
          </w:tcPr>
          <w:p w14:paraId="22578907" w14:textId="77777777" w:rsidR="004B0883" w:rsidRDefault="004B0883">
            <w:pPr>
              <w:adjustRightInd w:val="0"/>
              <w:snapToGrid w:val="0"/>
              <w:jc w:val="center"/>
              <w:rPr>
                <w:rFonts w:ascii="宋体" w:hAnsi="宋体"/>
              </w:rPr>
            </w:pPr>
            <w:r>
              <w:rPr>
                <w:rFonts w:ascii="宋体" w:hAnsi="宋体" w:hint="eastAsia"/>
              </w:rPr>
              <w:t>合伙人</w:t>
            </w:r>
          </w:p>
        </w:tc>
        <w:tc>
          <w:tcPr>
            <w:tcW w:w="2067" w:type="dxa"/>
            <w:shd w:val="clear" w:color="auto" w:fill="FFFFFF"/>
            <w:vAlign w:val="center"/>
          </w:tcPr>
          <w:p w14:paraId="133086F8" w14:textId="77777777" w:rsidR="004B0883" w:rsidRDefault="004B0883">
            <w:pPr>
              <w:adjustRightInd w:val="0"/>
              <w:snapToGrid w:val="0"/>
              <w:jc w:val="center"/>
              <w:rPr>
                <w:color w:val="000000"/>
              </w:rPr>
            </w:pPr>
            <w:r>
              <w:rPr>
                <w:color w:val="000000"/>
              </w:rPr>
              <w:t>无关联关系</w:t>
            </w:r>
          </w:p>
        </w:tc>
      </w:tr>
      <w:tr w:rsidR="004B0883" w14:paraId="550F31D1" w14:textId="77777777">
        <w:trPr>
          <w:trHeight w:val="397"/>
          <w:jc w:val="center"/>
        </w:trPr>
        <w:tc>
          <w:tcPr>
            <w:tcW w:w="981" w:type="dxa"/>
            <w:shd w:val="clear" w:color="auto" w:fill="FFFFFF"/>
            <w:vAlign w:val="center"/>
          </w:tcPr>
          <w:p w14:paraId="44036FF5" w14:textId="77777777" w:rsidR="004B0883" w:rsidRDefault="004B0883">
            <w:pPr>
              <w:adjustRightInd w:val="0"/>
              <w:snapToGrid w:val="0"/>
              <w:jc w:val="center"/>
              <w:rPr>
                <w:color w:val="000000"/>
              </w:rPr>
            </w:pPr>
            <w:r>
              <w:rPr>
                <w:rFonts w:hint="eastAsia"/>
                <w:color w:val="000000"/>
              </w:rPr>
              <w:t>高科</w:t>
            </w:r>
          </w:p>
        </w:tc>
        <w:tc>
          <w:tcPr>
            <w:tcW w:w="1430" w:type="dxa"/>
            <w:shd w:val="clear" w:color="auto" w:fill="FFFFFF"/>
            <w:vAlign w:val="center"/>
          </w:tcPr>
          <w:p w14:paraId="52EAE1F8" w14:textId="77777777" w:rsidR="004B0883" w:rsidRDefault="004B0883">
            <w:pPr>
              <w:adjustRightInd w:val="0"/>
              <w:snapToGrid w:val="0"/>
              <w:jc w:val="center"/>
              <w:rPr>
                <w:color w:val="000000"/>
              </w:rPr>
            </w:pPr>
            <w:r>
              <w:rPr>
                <w:rFonts w:hint="eastAsia"/>
                <w:color w:val="000000"/>
              </w:rPr>
              <w:t>独立董事</w:t>
            </w:r>
          </w:p>
        </w:tc>
        <w:tc>
          <w:tcPr>
            <w:tcW w:w="2259" w:type="dxa"/>
            <w:shd w:val="clear" w:color="auto" w:fill="FFFFFF"/>
            <w:vAlign w:val="center"/>
          </w:tcPr>
          <w:p w14:paraId="17EBCA60" w14:textId="77777777" w:rsidR="004B0883" w:rsidRDefault="004B0883">
            <w:pPr>
              <w:adjustRightInd w:val="0"/>
              <w:snapToGrid w:val="0"/>
              <w:jc w:val="center"/>
              <w:rPr>
                <w:rFonts w:ascii="宋体" w:hAnsi="宋体"/>
              </w:rPr>
            </w:pPr>
            <w:r>
              <w:rPr>
                <w:rFonts w:ascii="宋体" w:hAnsi="宋体" w:hint="eastAsia"/>
              </w:rPr>
              <w:t>山东朗进科技股份有限公司</w:t>
            </w:r>
          </w:p>
        </w:tc>
        <w:tc>
          <w:tcPr>
            <w:tcW w:w="1914" w:type="dxa"/>
            <w:shd w:val="clear" w:color="auto" w:fill="FFFFFF"/>
            <w:vAlign w:val="center"/>
          </w:tcPr>
          <w:p w14:paraId="4BBF9233" w14:textId="77777777" w:rsidR="004B0883" w:rsidRDefault="004B0883">
            <w:pPr>
              <w:adjustRightInd w:val="0"/>
              <w:snapToGrid w:val="0"/>
              <w:jc w:val="center"/>
              <w:rPr>
                <w:rFonts w:ascii="宋体" w:hAnsi="宋体"/>
              </w:rPr>
            </w:pPr>
            <w:r>
              <w:rPr>
                <w:rFonts w:ascii="宋体" w:hAnsi="宋体" w:hint="eastAsia"/>
              </w:rPr>
              <w:t>独立董事</w:t>
            </w:r>
          </w:p>
        </w:tc>
        <w:tc>
          <w:tcPr>
            <w:tcW w:w="2067" w:type="dxa"/>
            <w:shd w:val="clear" w:color="auto" w:fill="FFFFFF"/>
            <w:vAlign w:val="center"/>
          </w:tcPr>
          <w:p w14:paraId="0F5899C1" w14:textId="77777777" w:rsidR="004B0883" w:rsidRDefault="004B0883">
            <w:pPr>
              <w:adjustRightInd w:val="0"/>
              <w:snapToGrid w:val="0"/>
              <w:jc w:val="center"/>
              <w:rPr>
                <w:color w:val="000000"/>
              </w:rPr>
            </w:pPr>
            <w:r>
              <w:rPr>
                <w:color w:val="000000"/>
              </w:rPr>
              <w:t>无关联关系</w:t>
            </w:r>
          </w:p>
        </w:tc>
      </w:tr>
      <w:tr w:rsidR="004B0883" w14:paraId="317D1547" w14:textId="77777777">
        <w:trPr>
          <w:trHeight w:val="397"/>
          <w:jc w:val="center"/>
        </w:trPr>
        <w:tc>
          <w:tcPr>
            <w:tcW w:w="981" w:type="dxa"/>
            <w:shd w:val="clear" w:color="auto" w:fill="FFFFFF"/>
            <w:vAlign w:val="center"/>
          </w:tcPr>
          <w:p w14:paraId="42F6FB50" w14:textId="77777777" w:rsidR="004B0883" w:rsidRDefault="004B0883">
            <w:pPr>
              <w:adjustRightInd w:val="0"/>
              <w:snapToGrid w:val="0"/>
              <w:jc w:val="center"/>
              <w:rPr>
                <w:rFonts w:hint="eastAsia"/>
                <w:color w:val="000000"/>
              </w:rPr>
            </w:pPr>
            <w:r>
              <w:rPr>
                <w:rFonts w:hint="eastAsia"/>
                <w:color w:val="000000"/>
              </w:rPr>
              <w:t>王凤春</w:t>
            </w:r>
          </w:p>
        </w:tc>
        <w:tc>
          <w:tcPr>
            <w:tcW w:w="1430" w:type="dxa"/>
            <w:shd w:val="clear" w:color="auto" w:fill="FFFFFF"/>
            <w:vAlign w:val="center"/>
          </w:tcPr>
          <w:p w14:paraId="1814047B" w14:textId="77777777" w:rsidR="004B0883" w:rsidRDefault="004B0883">
            <w:pPr>
              <w:adjustRightInd w:val="0"/>
              <w:snapToGrid w:val="0"/>
              <w:jc w:val="center"/>
              <w:rPr>
                <w:rFonts w:hint="eastAsia"/>
                <w:color w:val="000000"/>
              </w:rPr>
            </w:pPr>
            <w:r>
              <w:rPr>
                <w:rFonts w:hint="eastAsia"/>
                <w:color w:val="000000"/>
              </w:rPr>
              <w:t>监事</w:t>
            </w:r>
          </w:p>
        </w:tc>
        <w:tc>
          <w:tcPr>
            <w:tcW w:w="2259" w:type="dxa"/>
            <w:shd w:val="clear" w:color="auto" w:fill="FFFFFF"/>
            <w:vAlign w:val="center"/>
          </w:tcPr>
          <w:p w14:paraId="52FCA30C" w14:textId="77777777" w:rsidR="004B0883" w:rsidRDefault="004B0883">
            <w:pPr>
              <w:adjustRightInd w:val="0"/>
              <w:snapToGrid w:val="0"/>
              <w:jc w:val="center"/>
              <w:rPr>
                <w:rFonts w:ascii="宋体" w:hAnsi="宋体" w:hint="eastAsia"/>
              </w:rPr>
            </w:pPr>
            <w:r>
              <w:rPr>
                <w:rFonts w:ascii="宋体" w:hAnsi="宋体" w:hint="eastAsia"/>
              </w:rPr>
              <w:t>青岛汇芯联电子有限公司</w:t>
            </w:r>
          </w:p>
        </w:tc>
        <w:tc>
          <w:tcPr>
            <w:tcW w:w="1914" w:type="dxa"/>
            <w:shd w:val="clear" w:color="auto" w:fill="FFFFFF"/>
            <w:vAlign w:val="center"/>
          </w:tcPr>
          <w:p w14:paraId="4107DE53" w14:textId="77777777" w:rsidR="004B0883" w:rsidRDefault="004B0883">
            <w:pPr>
              <w:adjustRightInd w:val="0"/>
              <w:snapToGrid w:val="0"/>
              <w:jc w:val="center"/>
              <w:rPr>
                <w:rFonts w:ascii="宋体" w:hAnsi="宋体" w:hint="eastAsia"/>
              </w:rPr>
            </w:pPr>
            <w:r>
              <w:rPr>
                <w:rFonts w:ascii="宋体" w:hAnsi="宋体" w:hint="eastAsia"/>
              </w:rPr>
              <w:t>执行董事兼总经理</w:t>
            </w:r>
          </w:p>
        </w:tc>
        <w:tc>
          <w:tcPr>
            <w:tcW w:w="2067" w:type="dxa"/>
            <w:shd w:val="clear" w:color="auto" w:fill="FFFFFF"/>
            <w:vAlign w:val="center"/>
          </w:tcPr>
          <w:p w14:paraId="65E8DD42" w14:textId="77777777" w:rsidR="004B0883" w:rsidRDefault="004B0883">
            <w:pPr>
              <w:adjustRightInd w:val="0"/>
              <w:snapToGrid w:val="0"/>
              <w:jc w:val="center"/>
              <w:rPr>
                <w:rFonts w:hint="eastAsia"/>
                <w:color w:val="000000"/>
              </w:rPr>
            </w:pPr>
            <w:r>
              <w:rPr>
                <w:rFonts w:hint="eastAsia"/>
                <w:color w:val="000000"/>
              </w:rPr>
              <w:t>公司监事王凤春及其配偶合计持有</w:t>
            </w:r>
            <w:r>
              <w:rPr>
                <w:rFonts w:hint="eastAsia"/>
                <w:color w:val="000000"/>
              </w:rPr>
              <w:t>100%</w:t>
            </w:r>
            <w:r>
              <w:rPr>
                <w:rFonts w:hint="eastAsia"/>
                <w:color w:val="000000"/>
              </w:rPr>
              <w:t>股权</w:t>
            </w:r>
          </w:p>
        </w:tc>
      </w:tr>
    </w:tbl>
    <w:p w14:paraId="26A618A4" w14:textId="77777777" w:rsidR="004B0883" w:rsidRDefault="004B0883">
      <w:pPr>
        <w:pStyle w:val="003"/>
        <w:spacing w:before="120" w:after="120"/>
        <w:rPr>
          <w:rFonts w:hint="eastAsia"/>
        </w:rPr>
      </w:pPr>
      <w:bookmarkStart w:id="213" w:name="_Hlk123945734"/>
      <w:bookmarkEnd w:id="211"/>
      <w:r>
        <w:rPr>
          <w:rFonts w:hint="eastAsia"/>
        </w:rPr>
        <w:t>（三）董事、监事、高级管理人员薪酬情况</w:t>
      </w:r>
    </w:p>
    <w:p w14:paraId="4D0C08DE" w14:textId="77777777" w:rsidR="004B0883" w:rsidRDefault="004B0883">
      <w:pPr>
        <w:pStyle w:val="005"/>
        <w:spacing w:before="120"/>
        <w:ind w:firstLine="480"/>
        <w:rPr>
          <w:rFonts w:hint="eastAsia"/>
        </w:rPr>
      </w:pPr>
      <w:r>
        <w:rPr>
          <w:rFonts w:hint="eastAsia"/>
        </w:rPr>
        <w:t>公司现任董事、监事、高级管理人员</w:t>
      </w:r>
      <w:r>
        <w:rPr>
          <w:rFonts w:hint="eastAsia"/>
        </w:rPr>
        <w:t>202</w:t>
      </w:r>
      <w:r>
        <w:t>2</w:t>
      </w:r>
      <w:r>
        <w:rPr>
          <w:rFonts w:hint="eastAsia"/>
        </w:rPr>
        <w:t>年度在公司领取薪酬情况如下：</w:t>
      </w:r>
    </w:p>
    <w:p w14:paraId="61BD1CD0" w14:textId="77777777" w:rsidR="004B0883" w:rsidRDefault="004B0883">
      <w:pPr>
        <w:pStyle w:val="009"/>
        <w:rPr>
          <w:rFonts w:hint="eastAsia"/>
        </w:rPr>
      </w:pPr>
      <w:r>
        <w:rPr>
          <w:rFonts w:hint="eastAsia"/>
        </w:rPr>
        <w:t>单位：万元</w:t>
      </w:r>
    </w:p>
    <w:tbl>
      <w:tblPr>
        <w:tblW w:w="8528" w:type="dxa"/>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132"/>
        <w:gridCol w:w="2132"/>
        <w:gridCol w:w="1514"/>
        <w:gridCol w:w="2750"/>
      </w:tblGrid>
      <w:tr w:rsidR="004B0883" w14:paraId="171EA4ED" w14:textId="77777777">
        <w:trPr>
          <w:trHeight w:val="397"/>
          <w:tblHeader/>
        </w:trPr>
        <w:tc>
          <w:tcPr>
            <w:tcW w:w="2132" w:type="dxa"/>
            <w:shd w:val="clear" w:color="auto" w:fill="D9D9D9"/>
            <w:vAlign w:val="center"/>
          </w:tcPr>
          <w:p w14:paraId="2F07548B" w14:textId="77777777" w:rsidR="004B0883" w:rsidRDefault="004B0883">
            <w:pPr>
              <w:widowControl w:val="0"/>
              <w:adjustRightInd w:val="0"/>
              <w:snapToGrid w:val="0"/>
              <w:jc w:val="center"/>
              <w:rPr>
                <w:b/>
                <w:color w:val="000000"/>
                <w:kern w:val="0"/>
              </w:rPr>
            </w:pPr>
            <w:r>
              <w:rPr>
                <w:b/>
                <w:color w:val="000000"/>
                <w:kern w:val="0"/>
              </w:rPr>
              <w:t>姓名</w:t>
            </w:r>
          </w:p>
        </w:tc>
        <w:tc>
          <w:tcPr>
            <w:tcW w:w="2132" w:type="dxa"/>
            <w:shd w:val="clear" w:color="auto" w:fill="D9D9D9"/>
            <w:vAlign w:val="center"/>
          </w:tcPr>
          <w:p w14:paraId="47433170" w14:textId="77777777" w:rsidR="004B0883" w:rsidRDefault="004B0883">
            <w:pPr>
              <w:widowControl w:val="0"/>
              <w:adjustRightInd w:val="0"/>
              <w:snapToGrid w:val="0"/>
              <w:jc w:val="center"/>
              <w:rPr>
                <w:b/>
                <w:color w:val="000000"/>
                <w:kern w:val="0"/>
              </w:rPr>
            </w:pPr>
            <w:r>
              <w:rPr>
                <w:b/>
                <w:color w:val="000000"/>
                <w:kern w:val="0"/>
              </w:rPr>
              <w:t>职务</w:t>
            </w:r>
          </w:p>
        </w:tc>
        <w:tc>
          <w:tcPr>
            <w:tcW w:w="1514" w:type="dxa"/>
            <w:shd w:val="clear" w:color="auto" w:fill="D9D9D9"/>
            <w:vAlign w:val="center"/>
          </w:tcPr>
          <w:p w14:paraId="77CC6076" w14:textId="77777777" w:rsidR="004B0883" w:rsidRDefault="004B0883">
            <w:pPr>
              <w:widowControl w:val="0"/>
              <w:adjustRightInd w:val="0"/>
              <w:snapToGrid w:val="0"/>
              <w:jc w:val="center"/>
              <w:rPr>
                <w:b/>
                <w:color w:val="000000"/>
                <w:kern w:val="0"/>
              </w:rPr>
            </w:pPr>
            <w:r>
              <w:rPr>
                <w:b/>
                <w:color w:val="000000"/>
                <w:kern w:val="0"/>
              </w:rPr>
              <w:t>任职状态</w:t>
            </w:r>
          </w:p>
        </w:tc>
        <w:tc>
          <w:tcPr>
            <w:tcW w:w="2750" w:type="dxa"/>
            <w:shd w:val="clear" w:color="auto" w:fill="D9D9D9"/>
            <w:vAlign w:val="center"/>
          </w:tcPr>
          <w:p w14:paraId="769D99B5" w14:textId="77777777" w:rsidR="004B0883" w:rsidRDefault="004B0883">
            <w:pPr>
              <w:widowControl w:val="0"/>
              <w:adjustRightInd w:val="0"/>
              <w:snapToGrid w:val="0"/>
              <w:jc w:val="center"/>
              <w:rPr>
                <w:b/>
                <w:color w:val="000000"/>
                <w:kern w:val="0"/>
              </w:rPr>
            </w:pPr>
            <w:r>
              <w:rPr>
                <w:b/>
                <w:color w:val="000000"/>
                <w:kern w:val="0"/>
              </w:rPr>
              <w:t>从公司获得的税前报酬总额</w:t>
            </w:r>
          </w:p>
        </w:tc>
      </w:tr>
      <w:tr w:rsidR="004B0883" w14:paraId="06585137" w14:textId="77777777">
        <w:trPr>
          <w:trHeight w:val="397"/>
        </w:trPr>
        <w:tc>
          <w:tcPr>
            <w:tcW w:w="2132" w:type="dxa"/>
            <w:vAlign w:val="center"/>
          </w:tcPr>
          <w:p w14:paraId="0DA9C86E" w14:textId="77777777" w:rsidR="004B0883" w:rsidRDefault="004B0883">
            <w:pPr>
              <w:adjustRightInd w:val="0"/>
              <w:snapToGrid w:val="0"/>
              <w:jc w:val="center"/>
              <w:rPr>
                <w:color w:val="000000"/>
                <w:kern w:val="0"/>
              </w:rPr>
            </w:pPr>
            <w:r>
              <w:rPr>
                <w:color w:val="000000"/>
                <w:kern w:val="0"/>
              </w:rPr>
              <w:t>范庆伟</w:t>
            </w:r>
          </w:p>
        </w:tc>
        <w:tc>
          <w:tcPr>
            <w:tcW w:w="2132" w:type="dxa"/>
            <w:vAlign w:val="center"/>
          </w:tcPr>
          <w:p w14:paraId="457ADD82" w14:textId="77777777" w:rsidR="004B0883" w:rsidRDefault="004B0883">
            <w:pPr>
              <w:adjustRightInd w:val="0"/>
              <w:snapToGrid w:val="0"/>
              <w:jc w:val="center"/>
              <w:rPr>
                <w:color w:val="000000"/>
                <w:kern w:val="0"/>
              </w:rPr>
            </w:pPr>
            <w:r>
              <w:rPr>
                <w:color w:val="000000"/>
                <w:kern w:val="0"/>
              </w:rPr>
              <w:t>董事长</w:t>
            </w:r>
            <w:r>
              <w:rPr>
                <w:rFonts w:hint="eastAsia"/>
                <w:color w:val="000000"/>
                <w:kern w:val="0"/>
              </w:rPr>
              <w:t>、董事</w:t>
            </w:r>
          </w:p>
        </w:tc>
        <w:tc>
          <w:tcPr>
            <w:tcW w:w="1514" w:type="dxa"/>
            <w:vAlign w:val="center"/>
          </w:tcPr>
          <w:p w14:paraId="15908AE3" w14:textId="77777777" w:rsidR="004B0883" w:rsidRDefault="004B0883">
            <w:pPr>
              <w:adjustRightInd w:val="0"/>
              <w:snapToGrid w:val="0"/>
              <w:jc w:val="center"/>
              <w:rPr>
                <w:color w:val="000000"/>
                <w:kern w:val="0"/>
              </w:rPr>
            </w:pPr>
            <w:r>
              <w:rPr>
                <w:color w:val="000000"/>
                <w:kern w:val="0"/>
              </w:rPr>
              <w:t>现任</w:t>
            </w:r>
          </w:p>
        </w:tc>
        <w:tc>
          <w:tcPr>
            <w:tcW w:w="2750" w:type="dxa"/>
            <w:vAlign w:val="center"/>
          </w:tcPr>
          <w:p w14:paraId="652CE4F4" w14:textId="77777777" w:rsidR="004B0883" w:rsidRDefault="004B0883">
            <w:pPr>
              <w:adjustRightInd w:val="0"/>
              <w:snapToGrid w:val="0"/>
              <w:jc w:val="right"/>
              <w:rPr>
                <w:color w:val="000000"/>
                <w:kern w:val="0"/>
              </w:rPr>
            </w:pPr>
            <w:r>
              <w:rPr>
                <w:color w:val="000000"/>
                <w:kern w:val="0"/>
              </w:rPr>
              <w:t>147.29</w:t>
            </w:r>
          </w:p>
        </w:tc>
      </w:tr>
      <w:tr w:rsidR="004B0883" w14:paraId="7167777C" w14:textId="77777777">
        <w:trPr>
          <w:trHeight w:val="397"/>
        </w:trPr>
        <w:tc>
          <w:tcPr>
            <w:tcW w:w="2132" w:type="dxa"/>
            <w:vAlign w:val="center"/>
          </w:tcPr>
          <w:p w14:paraId="05306607" w14:textId="77777777" w:rsidR="004B0883" w:rsidRDefault="004B0883">
            <w:pPr>
              <w:adjustRightInd w:val="0"/>
              <w:snapToGrid w:val="0"/>
              <w:jc w:val="center"/>
              <w:rPr>
                <w:color w:val="000000"/>
                <w:kern w:val="0"/>
              </w:rPr>
            </w:pPr>
            <w:r>
              <w:rPr>
                <w:color w:val="000000"/>
                <w:kern w:val="0"/>
              </w:rPr>
              <w:t>李会君</w:t>
            </w:r>
          </w:p>
        </w:tc>
        <w:tc>
          <w:tcPr>
            <w:tcW w:w="2132" w:type="dxa"/>
            <w:vAlign w:val="center"/>
          </w:tcPr>
          <w:p w14:paraId="2CC6D31E" w14:textId="77777777" w:rsidR="004B0883" w:rsidRDefault="004B0883">
            <w:pPr>
              <w:adjustRightInd w:val="0"/>
              <w:snapToGrid w:val="0"/>
              <w:jc w:val="center"/>
              <w:rPr>
                <w:color w:val="000000"/>
                <w:kern w:val="0"/>
              </w:rPr>
            </w:pPr>
            <w:r>
              <w:rPr>
                <w:rFonts w:hint="eastAsia"/>
                <w:color w:val="000000"/>
                <w:kern w:val="0"/>
              </w:rPr>
              <w:t>董事，</w:t>
            </w:r>
            <w:r>
              <w:rPr>
                <w:color w:val="000000"/>
                <w:kern w:val="0"/>
              </w:rPr>
              <w:t>总经理</w:t>
            </w:r>
          </w:p>
        </w:tc>
        <w:tc>
          <w:tcPr>
            <w:tcW w:w="1514" w:type="dxa"/>
            <w:vAlign w:val="center"/>
          </w:tcPr>
          <w:p w14:paraId="629DDEB1" w14:textId="77777777" w:rsidR="004B0883" w:rsidRDefault="004B0883">
            <w:pPr>
              <w:adjustRightInd w:val="0"/>
              <w:snapToGrid w:val="0"/>
              <w:jc w:val="center"/>
              <w:rPr>
                <w:color w:val="000000"/>
                <w:kern w:val="0"/>
              </w:rPr>
            </w:pPr>
            <w:r>
              <w:rPr>
                <w:color w:val="000000"/>
                <w:kern w:val="0"/>
              </w:rPr>
              <w:t>现任</w:t>
            </w:r>
          </w:p>
        </w:tc>
        <w:tc>
          <w:tcPr>
            <w:tcW w:w="2750" w:type="dxa"/>
            <w:vAlign w:val="center"/>
          </w:tcPr>
          <w:p w14:paraId="5D75205D" w14:textId="77777777" w:rsidR="004B0883" w:rsidRDefault="004B0883">
            <w:pPr>
              <w:adjustRightInd w:val="0"/>
              <w:snapToGrid w:val="0"/>
              <w:jc w:val="right"/>
              <w:rPr>
                <w:color w:val="000000"/>
                <w:kern w:val="0"/>
              </w:rPr>
            </w:pPr>
            <w:r>
              <w:rPr>
                <w:color w:val="000000"/>
                <w:kern w:val="0"/>
              </w:rPr>
              <w:t>110.98</w:t>
            </w:r>
          </w:p>
        </w:tc>
      </w:tr>
      <w:tr w:rsidR="004B0883" w14:paraId="0B9CE807" w14:textId="77777777">
        <w:trPr>
          <w:trHeight w:val="397"/>
        </w:trPr>
        <w:tc>
          <w:tcPr>
            <w:tcW w:w="2132" w:type="dxa"/>
            <w:vAlign w:val="center"/>
          </w:tcPr>
          <w:p w14:paraId="295FB8E0" w14:textId="77777777" w:rsidR="004B0883" w:rsidRDefault="004B0883">
            <w:pPr>
              <w:adjustRightInd w:val="0"/>
              <w:snapToGrid w:val="0"/>
              <w:jc w:val="center"/>
              <w:rPr>
                <w:color w:val="000000"/>
                <w:kern w:val="0"/>
              </w:rPr>
            </w:pPr>
            <w:r>
              <w:rPr>
                <w:color w:val="000000"/>
                <w:kern w:val="0"/>
              </w:rPr>
              <w:t>范玉隆</w:t>
            </w:r>
          </w:p>
        </w:tc>
        <w:tc>
          <w:tcPr>
            <w:tcW w:w="2132" w:type="dxa"/>
            <w:vAlign w:val="center"/>
          </w:tcPr>
          <w:p w14:paraId="58442158" w14:textId="77777777" w:rsidR="004B0883" w:rsidRDefault="004B0883">
            <w:pPr>
              <w:adjustRightInd w:val="0"/>
              <w:snapToGrid w:val="0"/>
              <w:jc w:val="center"/>
              <w:rPr>
                <w:color w:val="000000"/>
                <w:kern w:val="0"/>
              </w:rPr>
            </w:pPr>
            <w:r>
              <w:rPr>
                <w:rFonts w:hint="eastAsia"/>
                <w:color w:val="000000"/>
                <w:kern w:val="0"/>
              </w:rPr>
              <w:t>董事</w:t>
            </w:r>
          </w:p>
        </w:tc>
        <w:tc>
          <w:tcPr>
            <w:tcW w:w="1514" w:type="dxa"/>
            <w:vAlign w:val="center"/>
          </w:tcPr>
          <w:p w14:paraId="48C0211B" w14:textId="77777777" w:rsidR="004B0883" w:rsidRDefault="004B0883">
            <w:pPr>
              <w:adjustRightInd w:val="0"/>
              <w:snapToGrid w:val="0"/>
              <w:jc w:val="center"/>
              <w:rPr>
                <w:color w:val="000000"/>
                <w:kern w:val="0"/>
              </w:rPr>
            </w:pPr>
            <w:r>
              <w:rPr>
                <w:color w:val="000000"/>
                <w:kern w:val="0"/>
              </w:rPr>
              <w:t>现任</w:t>
            </w:r>
          </w:p>
        </w:tc>
        <w:tc>
          <w:tcPr>
            <w:tcW w:w="2750" w:type="dxa"/>
            <w:vAlign w:val="center"/>
          </w:tcPr>
          <w:p w14:paraId="0DC2F77B" w14:textId="77777777" w:rsidR="004B0883" w:rsidRDefault="004B0883">
            <w:pPr>
              <w:adjustRightInd w:val="0"/>
              <w:snapToGrid w:val="0"/>
              <w:jc w:val="right"/>
              <w:rPr>
                <w:color w:val="000000"/>
                <w:kern w:val="0"/>
              </w:rPr>
            </w:pPr>
            <w:r>
              <w:rPr>
                <w:color w:val="000000"/>
                <w:kern w:val="0"/>
              </w:rPr>
              <w:t>9.39</w:t>
            </w:r>
          </w:p>
        </w:tc>
      </w:tr>
      <w:tr w:rsidR="004B0883" w14:paraId="0CC8B566" w14:textId="77777777">
        <w:trPr>
          <w:trHeight w:val="397"/>
        </w:trPr>
        <w:tc>
          <w:tcPr>
            <w:tcW w:w="2132" w:type="dxa"/>
            <w:vAlign w:val="center"/>
          </w:tcPr>
          <w:p w14:paraId="1D7E0CD1" w14:textId="77777777" w:rsidR="004B0883" w:rsidRDefault="004B0883">
            <w:pPr>
              <w:adjustRightInd w:val="0"/>
              <w:snapToGrid w:val="0"/>
              <w:jc w:val="center"/>
              <w:rPr>
                <w:color w:val="000000"/>
                <w:kern w:val="0"/>
              </w:rPr>
            </w:pPr>
            <w:r>
              <w:rPr>
                <w:color w:val="000000"/>
                <w:kern w:val="0"/>
              </w:rPr>
              <w:t>迟娜娜</w:t>
            </w:r>
          </w:p>
        </w:tc>
        <w:tc>
          <w:tcPr>
            <w:tcW w:w="2132" w:type="dxa"/>
            <w:vAlign w:val="center"/>
          </w:tcPr>
          <w:p w14:paraId="07BE7137" w14:textId="77777777" w:rsidR="004B0883" w:rsidRDefault="004B0883">
            <w:pPr>
              <w:adjustRightInd w:val="0"/>
              <w:snapToGrid w:val="0"/>
              <w:jc w:val="center"/>
              <w:rPr>
                <w:color w:val="000000"/>
                <w:kern w:val="0"/>
              </w:rPr>
            </w:pPr>
            <w:r>
              <w:rPr>
                <w:rFonts w:hint="eastAsia"/>
                <w:color w:val="000000"/>
                <w:kern w:val="0"/>
              </w:rPr>
              <w:t>董事，</w:t>
            </w:r>
            <w:r>
              <w:rPr>
                <w:color w:val="000000"/>
                <w:kern w:val="0"/>
              </w:rPr>
              <w:t>财务总监</w:t>
            </w:r>
          </w:p>
        </w:tc>
        <w:tc>
          <w:tcPr>
            <w:tcW w:w="1514" w:type="dxa"/>
            <w:vAlign w:val="center"/>
          </w:tcPr>
          <w:p w14:paraId="300A02CE" w14:textId="77777777" w:rsidR="004B0883" w:rsidRDefault="004B0883">
            <w:pPr>
              <w:adjustRightInd w:val="0"/>
              <w:snapToGrid w:val="0"/>
              <w:jc w:val="center"/>
              <w:rPr>
                <w:color w:val="000000"/>
                <w:kern w:val="0"/>
              </w:rPr>
            </w:pPr>
            <w:r>
              <w:rPr>
                <w:color w:val="000000"/>
                <w:kern w:val="0"/>
              </w:rPr>
              <w:t>现任</w:t>
            </w:r>
          </w:p>
        </w:tc>
        <w:tc>
          <w:tcPr>
            <w:tcW w:w="2750" w:type="dxa"/>
            <w:vAlign w:val="center"/>
          </w:tcPr>
          <w:p w14:paraId="0B1A58AE" w14:textId="77777777" w:rsidR="004B0883" w:rsidRDefault="004B0883">
            <w:pPr>
              <w:adjustRightInd w:val="0"/>
              <w:snapToGrid w:val="0"/>
              <w:jc w:val="right"/>
              <w:rPr>
                <w:color w:val="000000"/>
                <w:kern w:val="0"/>
              </w:rPr>
            </w:pPr>
            <w:r>
              <w:rPr>
                <w:color w:val="000000"/>
                <w:kern w:val="0"/>
              </w:rPr>
              <w:t>75.43</w:t>
            </w:r>
          </w:p>
        </w:tc>
      </w:tr>
      <w:tr w:rsidR="004B0883" w14:paraId="5955558B" w14:textId="77777777">
        <w:trPr>
          <w:trHeight w:val="397"/>
        </w:trPr>
        <w:tc>
          <w:tcPr>
            <w:tcW w:w="2132" w:type="dxa"/>
            <w:vAlign w:val="center"/>
          </w:tcPr>
          <w:p w14:paraId="0AE3C7A6" w14:textId="77777777" w:rsidR="004B0883" w:rsidRDefault="004B0883">
            <w:pPr>
              <w:adjustRightInd w:val="0"/>
              <w:snapToGrid w:val="0"/>
              <w:jc w:val="center"/>
              <w:rPr>
                <w:color w:val="000000"/>
                <w:kern w:val="0"/>
              </w:rPr>
            </w:pPr>
            <w:r>
              <w:rPr>
                <w:color w:val="000000"/>
                <w:kern w:val="0"/>
              </w:rPr>
              <w:t>樊培银</w:t>
            </w:r>
          </w:p>
        </w:tc>
        <w:tc>
          <w:tcPr>
            <w:tcW w:w="2132" w:type="dxa"/>
            <w:vAlign w:val="center"/>
          </w:tcPr>
          <w:p w14:paraId="5F6EEA9E" w14:textId="77777777" w:rsidR="004B0883" w:rsidRDefault="004B0883">
            <w:pPr>
              <w:adjustRightInd w:val="0"/>
              <w:snapToGrid w:val="0"/>
              <w:jc w:val="center"/>
              <w:rPr>
                <w:color w:val="000000"/>
                <w:kern w:val="0"/>
              </w:rPr>
            </w:pPr>
            <w:r>
              <w:rPr>
                <w:color w:val="000000"/>
                <w:kern w:val="0"/>
              </w:rPr>
              <w:t>独立董事</w:t>
            </w:r>
          </w:p>
        </w:tc>
        <w:tc>
          <w:tcPr>
            <w:tcW w:w="1514" w:type="dxa"/>
            <w:vAlign w:val="center"/>
          </w:tcPr>
          <w:p w14:paraId="3D2B9BE5" w14:textId="77777777" w:rsidR="004B0883" w:rsidRDefault="004B0883">
            <w:pPr>
              <w:adjustRightInd w:val="0"/>
              <w:snapToGrid w:val="0"/>
              <w:jc w:val="center"/>
              <w:rPr>
                <w:color w:val="000000"/>
                <w:kern w:val="0"/>
              </w:rPr>
            </w:pPr>
            <w:r>
              <w:rPr>
                <w:color w:val="000000"/>
                <w:kern w:val="0"/>
              </w:rPr>
              <w:t>现任</w:t>
            </w:r>
          </w:p>
        </w:tc>
        <w:tc>
          <w:tcPr>
            <w:tcW w:w="2750" w:type="dxa"/>
            <w:vAlign w:val="center"/>
          </w:tcPr>
          <w:p w14:paraId="4D087AA1" w14:textId="77777777" w:rsidR="004B0883" w:rsidRDefault="004B0883">
            <w:pPr>
              <w:adjustRightInd w:val="0"/>
              <w:snapToGrid w:val="0"/>
              <w:jc w:val="right"/>
              <w:rPr>
                <w:color w:val="000000"/>
                <w:kern w:val="0"/>
              </w:rPr>
            </w:pPr>
            <w:r>
              <w:rPr>
                <w:color w:val="000000"/>
                <w:kern w:val="0"/>
              </w:rPr>
              <w:t>6.00</w:t>
            </w:r>
          </w:p>
        </w:tc>
      </w:tr>
      <w:tr w:rsidR="004B0883" w14:paraId="339B7443" w14:textId="77777777">
        <w:trPr>
          <w:trHeight w:val="397"/>
        </w:trPr>
        <w:tc>
          <w:tcPr>
            <w:tcW w:w="2132" w:type="dxa"/>
            <w:vAlign w:val="center"/>
          </w:tcPr>
          <w:p w14:paraId="39BF9448" w14:textId="77777777" w:rsidR="004B0883" w:rsidRDefault="004B0883">
            <w:pPr>
              <w:adjustRightInd w:val="0"/>
              <w:snapToGrid w:val="0"/>
              <w:jc w:val="center"/>
              <w:rPr>
                <w:color w:val="000000"/>
                <w:kern w:val="0"/>
              </w:rPr>
            </w:pPr>
            <w:r>
              <w:rPr>
                <w:color w:val="000000"/>
                <w:kern w:val="0"/>
              </w:rPr>
              <w:t>宋银立</w:t>
            </w:r>
          </w:p>
        </w:tc>
        <w:tc>
          <w:tcPr>
            <w:tcW w:w="2132" w:type="dxa"/>
            <w:vAlign w:val="center"/>
          </w:tcPr>
          <w:p w14:paraId="05A85F62" w14:textId="77777777" w:rsidR="004B0883" w:rsidRDefault="004B0883">
            <w:pPr>
              <w:adjustRightInd w:val="0"/>
              <w:snapToGrid w:val="0"/>
              <w:jc w:val="center"/>
              <w:rPr>
                <w:color w:val="000000"/>
                <w:kern w:val="0"/>
              </w:rPr>
            </w:pPr>
            <w:r>
              <w:rPr>
                <w:color w:val="000000"/>
                <w:kern w:val="0"/>
              </w:rPr>
              <w:t>独立董事</w:t>
            </w:r>
          </w:p>
        </w:tc>
        <w:tc>
          <w:tcPr>
            <w:tcW w:w="1514" w:type="dxa"/>
            <w:vAlign w:val="center"/>
          </w:tcPr>
          <w:p w14:paraId="275FE22F" w14:textId="77777777" w:rsidR="004B0883" w:rsidRDefault="004B0883">
            <w:pPr>
              <w:adjustRightInd w:val="0"/>
              <w:snapToGrid w:val="0"/>
              <w:jc w:val="center"/>
              <w:rPr>
                <w:color w:val="000000"/>
                <w:kern w:val="0"/>
              </w:rPr>
            </w:pPr>
            <w:r>
              <w:rPr>
                <w:color w:val="000000"/>
                <w:kern w:val="0"/>
              </w:rPr>
              <w:t>现任</w:t>
            </w:r>
          </w:p>
        </w:tc>
        <w:tc>
          <w:tcPr>
            <w:tcW w:w="2750" w:type="dxa"/>
            <w:vAlign w:val="center"/>
          </w:tcPr>
          <w:p w14:paraId="2474E5AA" w14:textId="77777777" w:rsidR="004B0883" w:rsidRDefault="004B0883">
            <w:pPr>
              <w:adjustRightInd w:val="0"/>
              <w:snapToGrid w:val="0"/>
              <w:jc w:val="right"/>
              <w:rPr>
                <w:color w:val="000000"/>
                <w:kern w:val="0"/>
              </w:rPr>
            </w:pPr>
            <w:r>
              <w:rPr>
                <w:color w:val="000000"/>
                <w:kern w:val="0"/>
              </w:rPr>
              <w:t>6.00</w:t>
            </w:r>
          </w:p>
        </w:tc>
      </w:tr>
      <w:tr w:rsidR="004B0883" w14:paraId="19E58317" w14:textId="77777777">
        <w:trPr>
          <w:trHeight w:val="397"/>
        </w:trPr>
        <w:tc>
          <w:tcPr>
            <w:tcW w:w="2132" w:type="dxa"/>
            <w:vAlign w:val="center"/>
          </w:tcPr>
          <w:p w14:paraId="6DC80F72" w14:textId="77777777" w:rsidR="004B0883" w:rsidRDefault="004B0883">
            <w:pPr>
              <w:adjustRightInd w:val="0"/>
              <w:snapToGrid w:val="0"/>
              <w:jc w:val="center"/>
              <w:rPr>
                <w:color w:val="000000"/>
                <w:kern w:val="0"/>
              </w:rPr>
            </w:pPr>
            <w:r>
              <w:rPr>
                <w:color w:val="000000"/>
                <w:kern w:val="0"/>
              </w:rPr>
              <w:t>高科</w:t>
            </w:r>
          </w:p>
        </w:tc>
        <w:tc>
          <w:tcPr>
            <w:tcW w:w="2132" w:type="dxa"/>
            <w:vAlign w:val="center"/>
          </w:tcPr>
          <w:p w14:paraId="2F0571D7" w14:textId="77777777" w:rsidR="004B0883" w:rsidRDefault="004B0883">
            <w:pPr>
              <w:adjustRightInd w:val="0"/>
              <w:snapToGrid w:val="0"/>
              <w:jc w:val="center"/>
              <w:rPr>
                <w:color w:val="000000"/>
                <w:kern w:val="0"/>
              </w:rPr>
            </w:pPr>
            <w:r>
              <w:rPr>
                <w:color w:val="000000"/>
                <w:kern w:val="0"/>
              </w:rPr>
              <w:t>独立董事</w:t>
            </w:r>
          </w:p>
        </w:tc>
        <w:tc>
          <w:tcPr>
            <w:tcW w:w="1514" w:type="dxa"/>
            <w:vAlign w:val="center"/>
          </w:tcPr>
          <w:p w14:paraId="7EED0E75" w14:textId="77777777" w:rsidR="004B0883" w:rsidRDefault="004B0883">
            <w:pPr>
              <w:adjustRightInd w:val="0"/>
              <w:snapToGrid w:val="0"/>
              <w:jc w:val="center"/>
              <w:rPr>
                <w:color w:val="000000"/>
                <w:kern w:val="0"/>
              </w:rPr>
            </w:pPr>
            <w:r>
              <w:rPr>
                <w:color w:val="000000"/>
                <w:kern w:val="0"/>
              </w:rPr>
              <w:t>现任</w:t>
            </w:r>
          </w:p>
        </w:tc>
        <w:tc>
          <w:tcPr>
            <w:tcW w:w="2750" w:type="dxa"/>
            <w:vAlign w:val="center"/>
          </w:tcPr>
          <w:p w14:paraId="67509809" w14:textId="77777777" w:rsidR="004B0883" w:rsidRDefault="004B0883">
            <w:pPr>
              <w:adjustRightInd w:val="0"/>
              <w:snapToGrid w:val="0"/>
              <w:jc w:val="right"/>
              <w:rPr>
                <w:color w:val="000000"/>
                <w:kern w:val="0"/>
              </w:rPr>
            </w:pPr>
            <w:r>
              <w:rPr>
                <w:color w:val="000000"/>
                <w:kern w:val="0"/>
              </w:rPr>
              <w:t>6.00</w:t>
            </w:r>
          </w:p>
        </w:tc>
      </w:tr>
      <w:tr w:rsidR="004B0883" w14:paraId="3A444FFD" w14:textId="77777777">
        <w:trPr>
          <w:trHeight w:val="397"/>
        </w:trPr>
        <w:tc>
          <w:tcPr>
            <w:tcW w:w="2132" w:type="dxa"/>
            <w:vAlign w:val="center"/>
          </w:tcPr>
          <w:p w14:paraId="14E2B976" w14:textId="77777777" w:rsidR="004B0883" w:rsidRDefault="004B0883">
            <w:pPr>
              <w:adjustRightInd w:val="0"/>
              <w:snapToGrid w:val="0"/>
              <w:jc w:val="center"/>
              <w:rPr>
                <w:color w:val="000000"/>
                <w:kern w:val="0"/>
              </w:rPr>
            </w:pPr>
            <w:r>
              <w:rPr>
                <w:color w:val="000000"/>
                <w:kern w:val="0"/>
              </w:rPr>
              <w:t>于春红</w:t>
            </w:r>
          </w:p>
        </w:tc>
        <w:tc>
          <w:tcPr>
            <w:tcW w:w="2132" w:type="dxa"/>
            <w:vAlign w:val="center"/>
          </w:tcPr>
          <w:p w14:paraId="58F1AEDF" w14:textId="77777777" w:rsidR="004B0883" w:rsidRDefault="004B0883">
            <w:pPr>
              <w:adjustRightInd w:val="0"/>
              <w:snapToGrid w:val="0"/>
              <w:jc w:val="center"/>
              <w:rPr>
                <w:color w:val="000000"/>
                <w:kern w:val="0"/>
              </w:rPr>
            </w:pPr>
            <w:r>
              <w:rPr>
                <w:rFonts w:hint="eastAsia"/>
                <w:color w:val="000000"/>
                <w:kern w:val="0"/>
              </w:rPr>
              <w:t>监事会主席</w:t>
            </w:r>
          </w:p>
        </w:tc>
        <w:tc>
          <w:tcPr>
            <w:tcW w:w="1514" w:type="dxa"/>
            <w:vAlign w:val="center"/>
          </w:tcPr>
          <w:p w14:paraId="4ACE7408" w14:textId="77777777" w:rsidR="004B0883" w:rsidRDefault="004B0883">
            <w:pPr>
              <w:adjustRightInd w:val="0"/>
              <w:snapToGrid w:val="0"/>
              <w:jc w:val="center"/>
              <w:rPr>
                <w:color w:val="000000"/>
                <w:kern w:val="0"/>
              </w:rPr>
            </w:pPr>
            <w:r>
              <w:rPr>
                <w:color w:val="000000"/>
                <w:kern w:val="0"/>
              </w:rPr>
              <w:t>现任</w:t>
            </w:r>
          </w:p>
        </w:tc>
        <w:tc>
          <w:tcPr>
            <w:tcW w:w="2750" w:type="dxa"/>
            <w:vAlign w:val="center"/>
          </w:tcPr>
          <w:p w14:paraId="6D463AA2" w14:textId="77777777" w:rsidR="004B0883" w:rsidRDefault="004B0883">
            <w:pPr>
              <w:adjustRightInd w:val="0"/>
              <w:snapToGrid w:val="0"/>
              <w:jc w:val="right"/>
              <w:rPr>
                <w:color w:val="000000"/>
                <w:kern w:val="0"/>
              </w:rPr>
            </w:pPr>
            <w:r>
              <w:rPr>
                <w:color w:val="000000"/>
                <w:kern w:val="0"/>
              </w:rPr>
              <w:t>11.94</w:t>
            </w:r>
          </w:p>
        </w:tc>
      </w:tr>
      <w:tr w:rsidR="004B0883" w14:paraId="6A78BE06" w14:textId="77777777">
        <w:trPr>
          <w:trHeight w:val="397"/>
        </w:trPr>
        <w:tc>
          <w:tcPr>
            <w:tcW w:w="2132" w:type="dxa"/>
            <w:vAlign w:val="center"/>
          </w:tcPr>
          <w:p w14:paraId="69BD6F8E" w14:textId="77777777" w:rsidR="004B0883" w:rsidRDefault="004B0883">
            <w:pPr>
              <w:adjustRightInd w:val="0"/>
              <w:snapToGrid w:val="0"/>
              <w:jc w:val="center"/>
              <w:rPr>
                <w:color w:val="000000"/>
                <w:kern w:val="0"/>
              </w:rPr>
            </w:pPr>
            <w:r>
              <w:rPr>
                <w:color w:val="000000"/>
                <w:kern w:val="0"/>
              </w:rPr>
              <w:t>王凤春</w:t>
            </w:r>
          </w:p>
        </w:tc>
        <w:tc>
          <w:tcPr>
            <w:tcW w:w="2132" w:type="dxa"/>
            <w:vAlign w:val="center"/>
          </w:tcPr>
          <w:p w14:paraId="236D81D7" w14:textId="77777777" w:rsidR="004B0883" w:rsidRDefault="004B0883">
            <w:pPr>
              <w:adjustRightInd w:val="0"/>
              <w:snapToGrid w:val="0"/>
              <w:jc w:val="center"/>
              <w:rPr>
                <w:rFonts w:hint="eastAsia"/>
                <w:color w:val="000000"/>
                <w:kern w:val="0"/>
              </w:rPr>
            </w:pPr>
            <w:r>
              <w:rPr>
                <w:rFonts w:hint="eastAsia"/>
                <w:color w:val="000000"/>
                <w:kern w:val="0"/>
              </w:rPr>
              <w:t>监事</w:t>
            </w:r>
          </w:p>
        </w:tc>
        <w:tc>
          <w:tcPr>
            <w:tcW w:w="1514" w:type="dxa"/>
            <w:vAlign w:val="center"/>
          </w:tcPr>
          <w:p w14:paraId="3B1AD41F" w14:textId="77777777" w:rsidR="004B0883" w:rsidRDefault="004B0883">
            <w:pPr>
              <w:adjustRightInd w:val="0"/>
              <w:snapToGrid w:val="0"/>
              <w:jc w:val="center"/>
              <w:rPr>
                <w:color w:val="000000"/>
                <w:kern w:val="0"/>
              </w:rPr>
            </w:pPr>
            <w:r>
              <w:rPr>
                <w:color w:val="000000"/>
                <w:kern w:val="0"/>
              </w:rPr>
              <w:t>现任</w:t>
            </w:r>
          </w:p>
        </w:tc>
        <w:tc>
          <w:tcPr>
            <w:tcW w:w="2750" w:type="dxa"/>
            <w:vAlign w:val="center"/>
          </w:tcPr>
          <w:p w14:paraId="0F4879E3" w14:textId="77777777" w:rsidR="004B0883" w:rsidRDefault="004B0883">
            <w:pPr>
              <w:adjustRightInd w:val="0"/>
              <w:snapToGrid w:val="0"/>
              <w:jc w:val="right"/>
              <w:rPr>
                <w:color w:val="000000"/>
                <w:kern w:val="0"/>
              </w:rPr>
            </w:pPr>
            <w:r>
              <w:rPr>
                <w:color w:val="000000"/>
                <w:kern w:val="0"/>
              </w:rPr>
              <w:t>14.45</w:t>
            </w:r>
          </w:p>
        </w:tc>
      </w:tr>
      <w:tr w:rsidR="004B0883" w14:paraId="45F6A2DC" w14:textId="77777777">
        <w:trPr>
          <w:trHeight w:val="397"/>
        </w:trPr>
        <w:tc>
          <w:tcPr>
            <w:tcW w:w="2132" w:type="dxa"/>
            <w:vAlign w:val="center"/>
          </w:tcPr>
          <w:p w14:paraId="351ECDBD" w14:textId="77777777" w:rsidR="004B0883" w:rsidRDefault="004B0883">
            <w:pPr>
              <w:adjustRightInd w:val="0"/>
              <w:snapToGrid w:val="0"/>
              <w:jc w:val="center"/>
              <w:rPr>
                <w:color w:val="000000"/>
                <w:kern w:val="0"/>
              </w:rPr>
            </w:pPr>
            <w:r>
              <w:rPr>
                <w:color w:val="000000"/>
                <w:kern w:val="0"/>
              </w:rPr>
              <w:t>张涛</w:t>
            </w:r>
          </w:p>
        </w:tc>
        <w:tc>
          <w:tcPr>
            <w:tcW w:w="2132" w:type="dxa"/>
            <w:vAlign w:val="center"/>
          </w:tcPr>
          <w:p w14:paraId="79C7922A" w14:textId="77777777" w:rsidR="004B0883" w:rsidRDefault="004B0883">
            <w:pPr>
              <w:adjustRightInd w:val="0"/>
              <w:snapToGrid w:val="0"/>
              <w:jc w:val="center"/>
              <w:rPr>
                <w:rFonts w:hint="eastAsia"/>
                <w:color w:val="000000"/>
                <w:kern w:val="0"/>
              </w:rPr>
            </w:pPr>
            <w:r>
              <w:rPr>
                <w:rFonts w:hint="eastAsia"/>
                <w:color w:val="000000"/>
                <w:kern w:val="0"/>
              </w:rPr>
              <w:t>监事</w:t>
            </w:r>
          </w:p>
        </w:tc>
        <w:tc>
          <w:tcPr>
            <w:tcW w:w="1514" w:type="dxa"/>
            <w:vAlign w:val="center"/>
          </w:tcPr>
          <w:p w14:paraId="783F5289" w14:textId="77777777" w:rsidR="004B0883" w:rsidRDefault="004B0883">
            <w:pPr>
              <w:adjustRightInd w:val="0"/>
              <w:snapToGrid w:val="0"/>
              <w:jc w:val="center"/>
              <w:rPr>
                <w:color w:val="000000"/>
                <w:kern w:val="0"/>
              </w:rPr>
            </w:pPr>
            <w:r>
              <w:rPr>
                <w:color w:val="000000"/>
                <w:kern w:val="0"/>
              </w:rPr>
              <w:t>现任</w:t>
            </w:r>
          </w:p>
        </w:tc>
        <w:tc>
          <w:tcPr>
            <w:tcW w:w="2750" w:type="dxa"/>
            <w:vAlign w:val="center"/>
          </w:tcPr>
          <w:p w14:paraId="304E4696" w14:textId="77777777" w:rsidR="004B0883" w:rsidRDefault="004B0883">
            <w:pPr>
              <w:adjustRightInd w:val="0"/>
              <w:snapToGrid w:val="0"/>
              <w:jc w:val="right"/>
              <w:rPr>
                <w:color w:val="000000"/>
                <w:kern w:val="0"/>
              </w:rPr>
            </w:pPr>
            <w:r>
              <w:rPr>
                <w:color w:val="000000"/>
                <w:kern w:val="0"/>
              </w:rPr>
              <w:t>12.45</w:t>
            </w:r>
          </w:p>
        </w:tc>
      </w:tr>
      <w:tr w:rsidR="004B0883" w14:paraId="3C8484FE" w14:textId="77777777">
        <w:trPr>
          <w:trHeight w:val="397"/>
        </w:trPr>
        <w:tc>
          <w:tcPr>
            <w:tcW w:w="2132" w:type="dxa"/>
            <w:vAlign w:val="center"/>
          </w:tcPr>
          <w:p w14:paraId="21D2BEDF" w14:textId="77777777" w:rsidR="004B0883" w:rsidRDefault="004B0883">
            <w:pPr>
              <w:adjustRightInd w:val="0"/>
              <w:snapToGrid w:val="0"/>
              <w:jc w:val="center"/>
              <w:rPr>
                <w:color w:val="000000"/>
                <w:kern w:val="0"/>
              </w:rPr>
            </w:pPr>
            <w:r>
              <w:rPr>
                <w:color w:val="000000"/>
                <w:kern w:val="0"/>
              </w:rPr>
              <w:t>渠汇成</w:t>
            </w:r>
          </w:p>
        </w:tc>
        <w:tc>
          <w:tcPr>
            <w:tcW w:w="2132" w:type="dxa"/>
            <w:vAlign w:val="center"/>
          </w:tcPr>
          <w:p w14:paraId="2CF12889" w14:textId="77777777" w:rsidR="004B0883" w:rsidRDefault="004B0883">
            <w:pPr>
              <w:adjustRightInd w:val="0"/>
              <w:snapToGrid w:val="0"/>
              <w:jc w:val="center"/>
              <w:rPr>
                <w:color w:val="000000"/>
                <w:kern w:val="0"/>
              </w:rPr>
            </w:pPr>
            <w:r>
              <w:rPr>
                <w:color w:val="000000"/>
                <w:kern w:val="0"/>
              </w:rPr>
              <w:t>生产总监</w:t>
            </w:r>
          </w:p>
        </w:tc>
        <w:tc>
          <w:tcPr>
            <w:tcW w:w="1514" w:type="dxa"/>
            <w:vAlign w:val="center"/>
          </w:tcPr>
          <w:p w14:paraId="3AACDA19" w14:textId="77777777" w:rsidR="004B0883" w:rsidRDefault="004B0883">
            <w:pPr>
              <w:adjustRightInd w:val="0"/>
              <w:snapToGrid w:val="0"/>
              <w:jc w:val="center"/>
              <w:rPr>
                <w:color w:val="000000"/>
                <w:kern w:val="0"/>
              </w:rPr>
            </w:pPr>
            <w:r>
              <w:rPr>
                <w:color w:val="000000"/>
                <w:kern w:val="0"/>
              </w:rPr>
              <w:t>现任</w:t>
            </w:r>
          </w:p>
        </w:tc>
        <w:tc>
          <w:tcPr>
            <w:tcW w:w="2750" w:type="dxa"/>
            <w:vAlign w:val="center"/>
          </w:tcPr>
          <w:p w14:paraId="1437D21E" w14:textId="77777777" w:rsidR="004B0883" w:rsidRDefault="004B0883">
            <w:pPr>
              <w:adjustRightInd w:val="0"/>
              <w:snapToGrid w:val="0"/>
              <w:jc w:val="right"/>
              <w:rPr>
                <w:color w:val="000000"/>
                <w:kern w:val="0"/>
              </w:rPr>
            </w:pPr>
            <w:r>
              <w:rPr>
                <w:color w:val="000000"/>
                <w:kern w:val="0"/>
              </w:rPr>
              <w:t>69.17</w:t>
            </w:r>
          </w:p>
        </w:tc>
      </w:tr>
      <w:tr w:rsidR="004B0883" w14:paraId="1E89A81F" w14:textId="77777777">
        <w:trPr>
          <w:trHeight w:val="397"/>
        </w:trPr>
        <w:tc>
          <w:tcPr>
            <w:tcW w:w="2132" w:type="dxa"/>
            <w:vAlign w:val="center"/>
          </w:tcPr>
          <w:p w14:paraId="42EED1AD" w14:textId="77777777" w:rsidR="004B0883" w:rsidRDefault="004B0883">
            <w:pPr>
              <w:adjustRightInd w:val="0"/>
              <w:snapToGrid w:val="0"/>
              <w:jc w:val="center"/>
              <w:rPr>
                <w:color w:val="000000"/>
                <w:kern w:val="0"/>
              </w:rPr>
            </w:pPr>
            <w:r>
              <w:rPr>
                <w:color w:val="000000"/>
                <w:kern w:val="0"/>
              </w:rPr>
              <w:t>张会亭</w:t>
            </w:r>
          </w:p>
        </w:tc>
        <w:tc>
          <w:tcPr>
            <w:tcW w:w="2132" w:type="dxa"/>
            <w:vAlign w:val="center"/>
          </w:tcPr>
          <w:p w14:paraId="5EEEA5AC" w14:textId="77777777" w:rsidR="004B0883" w:rsidRDefault="004B0883">
            <w:pPr>
              <w:adjustRightInd w:val="0"/>
              <w:snapToGrid w:val="0"/>
              <w:jc w:val="center"/>
              <w:rPr>
                <w:color w:val="000000"/>
                <w:kern w:val="0"/>
              </w:rPr>
            </w:pPr>
            <w:r>
              <w:rPr>
                <w:color w:val="000000"/>
                <w:kern w:val="0"/>
              </w:rPr>
              <w:t>研发技术总监</w:t>
            </w:r>
          </w:p>
        </w:tc>
        <w:tc>
          <w:tcPr>
            <w:tcW w:w="1514" w:type="dxa"/>
            <w:vAlign w:val="center"/>
          </w:tcPr>
          <w:p w14:paraId="0456B0CC" w14:textId="77777777" w:rsidR="004B0883" w:rsidRDefault="004B0883">
            <w:pPr>
              <w:adjustRightInd w:val="0"/>
              <w:snapToGrid w:val="0"/>
              <w:jc w:val="center"/>
              <w:rPr>
                <w:color w:val="000000"/>
                <w:kern w:val="0"/>
              </w:rPr>
            </w:pPr>
            <w:r>
              <w:rPr>
                <w:color w:val="000000"/>
                <w:kern w:val="0"/>
              </w:rPr>
              <w:t>现任</w:t>
            </w:r>
          </w:p>
        </w:tc>
        <w:tc>
          <w:tcPr>
            <w:tcW w:w="2750" w:type="dxa"/>
            <w:vAlign w:val="center"/>
          </w:tcPr>
          <w:p w14:paraId="0CC93883" w14:textId="77777777" w:rsidR="004B0883" w:rsidRDefault="004B0883">
            <w:pPr>
              <w:adjustRightInd w:val="0"/>
              <w:snapToGrid w:val="0"/>
              <w:jc w:val="right"/>
              <w:rPr>
                <w:color w:val="000000"/>
                <w:kern w:val="0"/>
              </w:rPr>
            </w:pPr>
            <w:r>
              <w:rPr>
                <w:color w:val="000000"/>
                <w:kern w:val="0"/>
              </w:rPr>
              <w:t>78.01</w:t>
            </w:r>
          </w:p>
        </w:tc>
      </w:tr>
      <w:tr w:rsidR="004B0883" w14:paraId="062029AA" w14:textId="77777777">
        <w:trPr>
          <w:trHeight w:val="397"/>
        </w:trPr>
        <w:tc>
          <w:tcPr>
            <w:tcW w:w="2132" w:type="dxa"/>
            <w:vAlign w:val="center"/>
          </w:tcPr>
          <w:p w14:paraId="22037F63" w14:textId="77777777" w:rsidR="004B0883" w:rsidRDefault="004B0883">
            <w:pPr>
              <w:adjustRightInd w:val="0"/>
              <w:snapToGrid w:val="0"/>
              <w:jc w:val="center"/>
              <w:rPr>
                <w:color w:val="000000"/>
                <w:kern w:val="0"/>
              </w:rPr>
            </w:pPr>
            <w:r>
              <w:rPr>
                <w:color w:val="000000"/>
                <w:kern w:val="0"/>
              </w:rPr>
              <w:t>郭成尼</w:t>
            </w:r>
          </w:p>
        </w:tc>
        <w:tc>
          <w:tcPr>
            <w:tcW w:w="2132" w:type="dxa"/>
            <w:vAlign w:val="center"/>
          </w:tcPr>
          <w:p w14:paraId="7B3AAF6F" w14:textId="77777777" w:rsidR="004B0883" w:rsidRDefault="004B0883">
            <w:pPr>
              <w:adjustRightInd w:val="0"/>
              <w:snapToGrid w:val="0"/>
              <w:jc w:val="center"/>
              <w:rPr>
                <w:color w:val="000000"/>
                <w:kern w:val="0"/>
              </w:rPr>
            </w:pPr>
            <w:r>
              <w:rPr>
                <w:color w:val="000000"/>
                <w:kern w:val="0"/>
              </w:rPr>
              <w:t>国际销售总监</w:t>
            </w:r>
          </w:p>
        </w:tc>
        <w:tc>
          <w:tcPr>
            <w:tcW w:w="1514" w:type="dxa"/>
            <w:vAlign w:val="center"/>
          </w:tcPr>
          <w:p w14:paraId="1569378D" w14:textId="77777777" w:rsidR="004B0883" w:rsidRDefault="004B0883">
            <w:pPr>
              <w:adjustRightInd w:val="0"/>
              <w:snapToGrid w:val="0"/>
              <w:jc w:val="center"/>
              <w:rPr>
                <w:color w:val="000000"/>
                <w:kern w:val="0"/>
              </w:rPr>
            </w:pPr>
            <w:r>
              <w:rPr>
                <w:color w:val="000000"/>
                <w:kern w:val="0"/>
              </w:rPr>
              <w:t>现任</w:t>
            </w:r>
          </w:p>
        </w:tc>
        <w:tc>
          <w:tcPr>
            <w:tcW w:w="2750" w:type="dxa"/>
            <w:vAlign w:val="center"/>
          </w:tcPr>
          <w:p w14:paraId="0084EA61" w14:textId="77777777" w:rsidR="004B0883" w:rsidRDefault="004B0883">
            <w:pPr>
              <w:adjustRightInd w:val="0"/>
              <w:snapToGrid w:val="0"/>
              <w:jc w:val="right"/>
              <w:rPr>
                <w:color w:val="000000"/>
                <w:kern w:val="0"/>
              </w:rPr>
            </w:pPr>
            <w:r>
              <w:rPr>
                <w:color w:val="000000"/>
                <w:kern w:val="0"/>
              </w:rPr>
              <w:t>82.02</w:t>
            </w:r>
          </w:p>
        </w:tc>
      </w:tr>
      <w:tr w:rsidR="004B0883" w14:paraId="13C885E9" w14:textId="77777777">
        <w:trPr>
          <w:trHeight w:val="397"/>
        </w:trPr>
        <w:tc>
          <w:tcPr>
            <w:tcW w:w="2132" w:type="dxa"/>
            <w:vAlign w:val="center"/>
          </w:tcPr>
          <w:p w14:paraId="1AEB087F" w14:textId="77777777" w:rsidR="004B0883" w:rsidRDefault="004B0883">
            <w:pPr>
              <w:adjustRightInd w:val="0"/>
              <w:snapToGrid w:val="0"/>
              <w:jc w:val="center"/>
              <w:rPr>
                <w:color w:val="000000"/>
                <w:kern w:val="0"/>
              </w:rPr>
            </w:pPr>
            <w:r>
              <w:rPr>
                <w:color w:val="000000"/>
                <w:kern w:val="0"/>
              </w:rPr>
              <w:t>王兆健</w:t>
            </w:r>
          </w:p>
        </w:tc>
        <w:tc>
          <w:tcPr>
            <w:tcW w:w="2132" w:type="dxa"/>
            <w:vAlign w:val="center"/>
          </w:tcPr>
          <w:p w14:paraId="45B1B5C7" w14:textId="77777777" w:rsidR="004B0883" w:rsidRDefault="004B0883">
            <w:pPr>
              <w:adjustRightInd w:val="0"/>
              <w:snapToGrid w:val="0"/>
              <w:jc w:val="center"/>
              <w:rPr>
                <w:color w:val="000000"/>
                <w:kern w:val="0"/>
              </w:rPr>
            </w:pPr>
            <w:r>
              <w:rPr>
                <w:color w:val="000000"/>
                <w:kern w:val="0"/>
              </w:rPr>
              <w:t>质量总监</w:t>
            </w:r>
          </w:p>
        </w:tc>
        <w:tc>
          <w:tcPr>
            <w:tcW w:w="1514" w:type="dxa"/>
            <w:vAlign w:val="center"/>
          </w:tcPr>
          <w:p w14:paraId="4D977257" w14:textId="77777777" w:rsidR="004B0883" w:rsidRDefault="004B0883">
            <w:pPr>
              <w:adjustRightInd w:val="0"/>
              <w:snapToGrid w:val="0"/>
              <w:jc w:val="center"/>
              <w:rPr>
                <w:color w:val="000000"/>
                <w:kern w:val="0"/>
              </w:rPr>
            </w:pPr>
            <w:r>
              <w:rPr>
                <w:color w:val="000000"/>
                <w:kern w:val="0"/>
              </w:rPr>
              <w:t>现任</w:t>
            </w:r>
          </w:p>
        </w:tc>
        <w:tc>
          <w:tcPr>
            <w:tcW w:w="2750" w:type="dxa"/>
            <w:vAlign w:val="center"/>
          </w:tcPr>
          <w:p w14:paraId="460A4A13" w14:textId="77777777" w:rsidR="004B0883" w:rsidRDefault="004B0883">
            <w:pPr>
              <w:adjustRightInd w:val="0"/>
              <w:snapToGrid w:val="0"/>
              <w:jc w:val="right"/>
              <w:rPr>
                <w:color w:val="000000"/>
                <w:kern w:val="0"/>
              </w:rPr>
            </w:pPr>
            <w:r>
              <w:rPr>
                <w:color w:val="000000"/>
                <w:kern w:val="0"/>
              </w:rPr>
              <w:t>58.23</w:t>
            </w:r>
          </w:p>
        </w:tc>
      </w:tr>
      <w:tr w:rsidR="004B0883" w14:paraId="5355716D" w14:textId="77777777">
        <w:trPr>
          <w:trHeight w:val="397"/>
        </w:trPr>
        <w:tc>
          <w:tcPr>
            <w:tcW w:w="2132" w:type="dxa"/>
            <w:vAlign w:val="center"/>
          </w:tcPr>
          <w:p w14:paraId="0EC5E84E" w14:textId="77777777" w:rsidR="004B0883" w:rsidRDefault="004B0883">
            <w:pPr>
              <w:adjustRightInd w:val="0"/>
              <w:snapToGrid w:val="0"/>
              <w:jc w:val="center"/>
              <w:rPr>
                <w:rFonts w:hint="eastAsia"/>
                <w:color w:val="000000"/>
                <w:kern w:val="0"/>
              </w:rPr>
            </w:pPr>
            <w:r>
              <w:rPr>
                <w:rFonts w:hint="eastAsia"/>
                <w:color w:val="000000"/>
                <w:kern w:val="0"/>
              </w:rPr>
              <w:t>陈存明</w:t>
            </w:r>
          </w:p>
        </w:tc>
        <w:tc>
          <w:tcPr>
            <w:tcW w:w="2132" w:type="dxa"/>
            <w:vAlign w:val="center"/>
          </w:tcPr>
          <w:p w14:paraId="596DB5B3" w14:textId="77777777" w:rsidR="004B0883" w:rsidRDefault="004B0883">
            <w:pPr>
              <w:widowControl w:val="0"/>
              <w:adjustRightInd w:val="0"/>
              <w:snapToGrid w:val="0"/>
              <w:jc w:val="center"/>
              <w:rPr>
                <w:rFonts w:ascii="宋体" w:hAnsi="宋体"/>
                <w:color w:val="000000"/>
              </w:rPr>
            </w:pPr>
            <w:r>
              <w:rPr>
                <w:rFonts w:ascii="宋体" w:hAnsi="宋体" w:cs="微软雅黑" w:hint="eastAsia"/>
                <w:color w:val="000000"/>
              </w:rPr>
              <w:t>营销中心总监</w:t>
            </w:r>
          </w:p>
        </w:tc>
        <w:tc>
          <w:tcPr>
            <w:tcW w:w="1514" w:type="dxa"/>
            <w:vAlign w:val="center"/>
          </w:tcPr>
          <w:p w14:paraId="60E08B29" w14:textId="77777777" w:rsidR="004B0883" w:rsidRDefault="004B0883">
            <w:pPr>
              <w:adjustRightInd w:val="0"/>
              <w:snapToGrid w:val="0"/>
              <w:jc w:val="center"/>
              <w:rPr>
                <w:color w:val="000000"/>
                <w:kern w:val="0"/>
              </w:rPr>
            </w:pPr>
            <w:r>
              <w:rPr>
                <w:color w:val="000000"/>
                <w:kern w:val="0"/>
              </w:rPr>
              <w:t>现任</w:t>
            </w:r>
          </w:p>
        </w:tc>
        <w:tc>
          <w:tcPr>
            <w:tcW w:w="2750" w:type="dxa"/>
            <w:vAlign w:val="center"/>
          </w:tcPr>
          <w:p w14:paraId="21479CC2" w14:textId="77777777" w:rsidR="004B0883" w:rsidRDefault="004B0883">
            <w:pPr>
              <w:adjustRightInd w:val="0"/>
              <w:snapToGrid w:val="0"/>
              <w:jc w:val="right"/>
              <w:rPr>
                <w:rFonts w:hint="eastAsia"/>
                <w:color w:val="000000"/>
                <w:kern w:val="0"/>
              </w:rPr>
            </w:pPr>
            <w:r>
              <w:rPr>
                <w:rFonts w:hint="eastAsia"/>
                <w:color w:val="000000"/>
                <w:kern w:val="0"/>
              </w:rPr>
              <w:t>13.38</w:t>
            </w:r>
          </w:p>
        </w:tc>
      </w:tr>
      <w:tr w:rsidR="004B0883" w14:paraId="3031CF8D" w14:textId="77777777">
        <w:trPr>
          <w:trHeight w:val="397"/>
        </w:trPr>
        <w:tc>
          <w:tcPr>
            <w:tcW w:w="2132" w:type="dxa"/>
            <w:vAlign w:val="center"/>
          </w:tcPr>
          <w:p w14:paraId="0FED5039" w14:textId="77777777" w:rsidR="004B0883" w:rsidRDefault="004B0883">
            <w:pPr>
              <w:adjustRightInd w:val="0"/>
              <w:snapToGrid w:val="0"/>
              <w:jc w:val="center"/>
              <w:rPr>
                <w:color w:val="000000"/>
                <w:kern w:val="0"/>
              </w:rPr>
            </w:pPr>
            <w:r>
              <w:rPr>
                <w:rFonts w:hint="eastAsia"/>
                <w:color w:val="000000"/>
                <w:kern w:val="0"/>
              </w:rPr>
              <w:t>李鹏飞</w:t>
            </w:r>
          </w:p>
        </w:tc>
        <w:tc>
          <w:tcPr>
            <w:tcW w:w="2132" w:type="dxa"/>
            <w:vAlign w:val="center"/>
          </w:tcPr>
          <w:p w14:paraId="1E2B4438" w14:textId="77777777" w:rsidR="004B0883" w:rsidRDefault="004B0883">
            <w:pPr>
              <w:adjustRightInd w:val="0"/>
              <w:snapToGrid w:val="0"/>
              <w:jc w:val="center"/>
              <w:rPr>
                <w:color w:val="000000"/>
                <w:kern w:val="0"/>
              </w:rPr>
            </w:pPr>
            <w:r>
              <w:rPr>
                <w:rFonts w:hint="eastAsia"/>
                <w:color w:val="000000"/>
                <w:kern w:val="0"/>
              </w:rPr>
              <w:t>董事会秘书</w:t>
            </w:r>
          </w:p>
        </w:tc>
        <w:tc>
          <w:tcPr>
            <w:tcW w:w="1514" w:type="dxa"/>
            <w:vAlign w:val="center"/>
          </w:tcPr>
          <w:p w14:paraId="7CE4E3F1" w14:textId="77777777" w:rsidR="004B0883" w:rsidRDefault="004B0883">
            <w:pPr>
              <w:adjustRightInd w:val="0"/>
              <w:snapToGrid w:val="0"/>
              <w:jc w:val="center"/>
              <w:rPr>
                <w:color w:val="000000"/>
                <w:kern w:val="0"/>
              </w:rPr>
            </w:pPr>
            <w:r>
              <w:rPr>
                <w:color w:val="000000"/>
                <w:kern w:val="0"/>
              </w:rPr>
              <w:t>现任</w:t>
            </w:r>
          </w:p>
        </w:tc>
        <w:tc>
          <w:tcPr>
            <w:tcW w:w="2750" w:type="dxa"/>
            <w:vAlign w:val="center"/>
          </w:tcPr>
          <w:p w14:paraId="74099F51" w14:textId="77777777" w:rsidR="004B0883" w:rsidRDefault="004B0883">
            <w:pPr>
              <w:adjustRightInd w:val="0"/>
              <w:snapToGrid w:val="0"/>
              <w:jc w:val="right"/>
              <w:rPr>
                <w:color w:val="000000"/>
                <w:kern w:val="0"/>
              </w:rPr>
            </w:pPr>
            <w:r>
              <w:rPr>
                <w:rFonts w:hint="eastAsia"/>
                <w:color w:val="000000"/>
                <w:kern w:val="0"/>
              </w:rPr>
              <w:t>22.60</w:t>
            </w:r>
          </w:p>
        </w:tc>
      </w:tr>
      <w:tr w:rsidR="004B0883" w14:paraId="3265848A" w14:textId="77777777">
        <w:trPr>
          <w:trHeight w:val="397"/>
        </w:trPr>
        <w:tc>
          <w:tcPr>
            <w:tcW w:w="2132" w:type="dxa"/>
            <w:vAlign w:val="center"/>
          </w:tcPr>
          <w:p w14:paraId="01F42812" w14:textId="77777777" w:rsidR="004B0883" w:rsidRDefault="004B0883">
            <w:pPr>
              <w:adjustRightInd w:val="0"/>
              <w:snapToGrid w:val="0"/>
              <w:jc w:val="center"/>
              <w:rPr>
                <w:b/>
                <w:bCs/>
                <w:color w:val="000000"/>
                <w:kern w:val="0"/>
              </w:rPr>
            </w:pPr>
            <w:r>
              <w:rPr>
                <w:b/>
                <w:bCs/>
                <w:color w:val="000000"/>
                <w:kern w:val="0"/>
              </w:rPr>
              <w:t>合计</w:t>
            </w:r>
          </w:p>
        </w:tc>
        <w:tc>
          <w:tcPr>
            <w:tcW w:w="2132" w:type="dxa"/>
            <w:vAlign w:val="center"/>
          </w:tcPr>
          <w:p w14:paraId="0EB1F7D5" w14:textId="77777777" w:rsidR="004B0883" w:rsidRDefault="004B0883">
            <w:pPr>
              <w:adjustRightInd w:val="0"/>
              <w:snapToGrid w:val="0"/>
              <w:jc w:val="center"/>
              <w:rPr>
                <w:b/>
                <w:bCs/>
                <w:color w:val="000000"/>
                <w:kern w:val="0"/>
              </w:rPr>
            </w:pPr>
            <w:r>
              <w:rPr>
                <w:rFonts w:hint="eastAsia"/>
                <w:b/>
                <w:bCs/>
                <w:color w:val="000000"/>
                <w:kern w:val="0"/>
              </w:rPr>
              <w:t>-</w:t>
            </w:r>
          </w:p>
        </w:tc>
        <w:tc>
          <w:tcPr>
            <w:tcW w:w="1514" w:type="dxa"/>
            <w:vAlign w:val="center"/>
          </w:tcPr>
          <w:p w14:paraId="5C7D702F" w14:textId="77777777" w:rsidR="004B0883" w:rsidRDefault="004B0883">
            <w:pPr>
              <w:adjustRightInd w:val="0"/>
              <w:snapToGrid w:val="0"/>
              <w:jc w:val="center"/>
              <w:rPr>
                <w:b/>
                <w:bCs/>
                <w:color w:val="000000"/>
                <w:kern w:val="0"/>
              </w:rPr>
            </w:pPr>
            <w:r>
              <w:rPr>
                <w:rFonts w:hint="eastAsia"/>
                <w:b/>
                <w:bCs/>
                <w:color w:val="000000"/>
                <w:kern w:val="0"/>
              </w:rPr>
              <w:t>-</w:t>
            </w:r>
          </w:p>
        </w:tc>
        <w:tc>
          <w:tcPr>
            <w:tcW w:w="2750" w:type="dxa"/>
            <w:vAlign w:val="center"/>
          </w:tcPr>
          <w:p w14:paraId="5345A8B2" w14:textId="77777777" w:rsidR="004B0883" w:rsidRDefault="004B0883">
            <w:pPr>
              <w:adjustRightInd w:val="0"/>
              <w:snapToGrid w:val="0"/>
              <w:jc w:val="right"/>
              <w:rPr>
                <w:rFonts w:hint="eastAsia"/>
                <w:b/>
                <w:bCs/>
                <w:color w:val="000000"/>
                <w:kern w:val="0"/>
              </w:rPr>
            </w:pPr>
            <w:r>
              <w:rPr>
                <w:b/>
                <w:bCs/>
                <w:color w:val="000000"/>
                <w:kern w:val="0"/>
              </w:rPr>
              <w:t>723</w:t>
            </w:r>
            <w:r>
              <w:rPr>
                <w:rFonts w:hint="eastAsia"/>
                <w:b/>
                <w:bCs/>
                <w:color w:val="000000"/>
                <w:kern w:val="0"/>
              </w:rPr>
              <w:t>.3</w:t>
            </w:r>
            <w:r>
              <w:rPr>
                <w:b/>
                <w:bCs/>
                <w:color w:val="000000"/>
                <w:kern w:val="0"/>
              </w:rPr>
              <w:t>4</w:t>
            </w:r>
          </w:p>
        </w:tc>
      </w:tr>
    </w:tbl>
    <w:p w14:paraId="7B9A6DBB" w14:textId="77777777" w:rsidR="004B0883" w:rsidRDefault="004B0883">
      <w:pPr>
        <w:pStyle w:val="003"/>
        <w:spacing w:beforeLines="0" w:before="0" w:afterLines="0" w:after="0" w:line="240" w:lineRule="auto"/>
        <w:jc w:val="both"/>
        <w:outlineLvl w:val="9"/>
        <w:rPr>
          <w:rFonts w:hint="eastAsia"/>
          <w:b w:val="0"/>
          <w:bCs w:val="0"/>
          <w:sz w:val="21"/>
          <w:szCs w:val="21"/>
        </w:rPr>
      </w:pPr>
      <w:bookmarkStart w:id="214" w:name="_Hlk123946092"/>
      <w:bookmarkEnd w:id="213"/>
      <w:r>
        <w:rPr>
          <w:rFonts w:eastAsia="宋体" w:hint="eastAsia"/>
          <w:b w:val="0"/>
          <w:bCs w:val="0"/>
          <w:sz w:val="21"/>
          <w:szCs w:val="21"/>
        </w:rPr>
        <w:t>注：</w:t>
      </w:r>
      <w:r>
        <w:rPr>
          <w:rFonts w:eastAsia="宋体" w:hint="eastAsia"/>
          <w:b w:val="0"/>
          <w:bCs w:val="0"/>
          <w:sz w:val="21"/>
          <w:szCs w:val="21"/>
        </w:rPr>
        <w:t>2023</w:t>
      </w:r>
      <w:r>
        <w:rPr>
          <w:rFonts w:eastAsia="宋体" w:hint="eastAsia"/>
          <w:b w:val="0"/>
          <w:bCs w:val="0"/>
          <w:sz w:val="21"/>
          <w:szCs w:val="21"/>
        </w:rPr>
        <w:t>年</w:t>
      </w:r>
      <w:r>
        <w:rPr>
          <w:rFonts w:eastAsia="宋体" w:hint="eastAsia"/>
          <w:b w:val="0"/>
          <w:bCs w:val="0"/>
          <w:sz w:val="21"/>
          <w:szCs w:val="21"/>
        </w:rPr>
        <w:t>6</w:t>
      </w:r>
      <w:r>
        <w:rPr>
          <w:rFonts w:eastAsia="宋体" w:hint="eastAsia"/>
          <w:b w:val="0"/>
          <w:bCs w:val="0"/>
          <w:sz w:val="21"/>
          <w:szCs w:val="21"/>
        </w:rPr>
        <w:t>月</w:t>
      </w:r>
      <w:r>
        <w:rPr>
          <w:rFonts w:eastAsia="宋体" w:hint="eastAsia"/>
          <w:b w:val="0"/>
          <w:bCs w:val="0"/>
          <w:sz w:val="21"/>
          <w:szCs w:val="21"/>
        </w:rPr>
        <w:t>21</w:t>
      </w:r>
      <w:r>
        <w:rPr>
          <w:rFonts w:eastAsia="宋体" w:hint="eastAsia"/>
          <w:b w:val="0"/>
          <w:bCs w:val="0"/>
          <w:sz w:val="21"/>
          <w:szCs w:val="21"/>
        </w:rPr>
        <w:t>日，发行人发布《关于公司高级管理人员辞职的公告》，杨杰先生因个人原因，申请辞去其所担任的公司副总经理职务，辞职后不再担任公司其他任何职务。原公司副总经理杨杰</w:t>
      </w:r>
      <w:r>
        <w:rPr>
          <w:rFonts w:eastAsia="宋体" w:hint="eastAsia"/>
          <w:b w:val="0"/>
          <w:bCs w:val="0"/>
          <w:sz w:val="21"/>
          <w:szCs w:val="21"/>
        </w:rPr>
        <w:t>2022</w:t>
      </w:r>
      <w:r>
        <w:rPr>
          <w:rFonts w:eastAsia="宋体" w:hint="eastAsia"/>
          <w:b w:val="0"/>
          <w:bCs w:val="0"/>
          <w:sz w:val="21"/>
          <w:szCs w:val="21"/>
        </w:rPr>
        <w:t>年从公司领取的报酬为</w:t>
      </w:r>
      <w:r>
        <w:rPr>
          <w:rFonts w:eastAsia="宋体" w:hint="eastAsia"/>
          <w:b w:val="0"/>
          <w:bCs w:val="0"/>
          <w:sz w:val="21"/>
          <w:szCs w:val="21"/>
        </w:rPr>
        <w:t>39.29</w:t>
      </w:r>
      <w:r>
        <w:rPr>
          <w:rFonts w:eastAsia="宋体" w:hint="eastAsia"/>
          <w:b w:val="0"/>
          <w:bCs w:val="0"/>
          <w:sz w:val="21"/>
          <w:szCs w:val="21"/>
        </w:rPr>
        <w:t>万元。</w:t>
      </w:r>
    </w:p>
    <w:p w14:paraId="6E70A9B3" w14:textId="77777777" w:rsidR="004B0883" w:rsidRDefault="004B0883">
      <w:pPr>
        <w:pStyle w:val="003"/>
        <w:spacing w:before="120" w:after="120"/>
        <w:rPr>
          <w:rFonts w:hint="eastAsia"/>
        </w:rPr>
      </w:pPr>
      <w:r>
        <w:rPr>
          <w:rFonts w:hint="eastAsia"/>
        </w:rPr>
        <w:t>（四）董事、监事及高级管理人员直接持有发行人股份的情况</w:t>
      </w:r>
    </w:p>
    <w:p w14:paraId="732B2126" w14:textId="77777777" w:rsidR="004B0883" w:rsidRDefault="004B0883">
      <w:pPr>
        <w:pStyle w:val="005"/>
        <w:spacing w:before="120"/>
        <w:ind w:firstLine="480"/>
        <w:rPr>
          <w:rFonts w:hint="eastAsia"/>
        </w:rPr>
      </w:pPr>
      <w:r>
        <w:rPr>
          <w:rFonts w:hint="eastAsia"/>
        </w:rPr>
        <w:t>截至本募集说明书签署日，发行人董事、监事和高级管理人员直接持有发行人股份情况如下表：</w:t>
      </w:r>
    </w:p>
    <w:tbl>
      <w:tblPr>
        <w:tblW w:w="8528"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424"/>
        <w:gridCol w:w="2582"/>
        <w:gridCol w:w="2117"/>
        <w:gridCol w:w="2405"/>
      </w:tblGrid>
      <w:tr w:rsidR="004B0883" w14:paraId="5BA90016" w14:textId="77777777">
        <w:trPr>
          <w:trHeight w:val="397"/>
          <w:tblHeader/>
          <w:jc w:val="center"/>
        </w:trPr>
        <w:tc>
          <w:tcPr>
            <w:tcW w:w="1424" w:type="dxa"/>
            <w:shd w:val="clear" w:color="auto" w:fill="D9D9D9"/>
            <w:vAlign w:val="center"/>
          </w:tcPr>
          <w:p w14:paraId="58A3A903" w14:textId="77777777" w:rsidR="004B0883" w:rsidRDefault="004B0883">
            <w:pPr>
              <w:widowControl w:val="0"/>
              <w:adjustRightInd w:val="0"/>
              <w:snapToGrid w:val="0"/>
              <w:jc w:val="center"/>
              <w:rPr>
                <w:rFonts w:ascii="宋体" w:hAnsi="宋体"/>
                <w:b/>
                <w:kern w:val="0"/>
              </w:rPr>
            </w:pPr>
            <w:r>
              <w:rPr>
                <w:rFonts w:ascii="宋体" w:hAnsi="宋体"/>
                <w:b/>
                <w:kern w:val="0"/>
              </w:rPr>
              <w:t>姓名</w:t>
            </w:r>
          </w:p>
        </w:tc>
        <w:tc>
          <w:tcPr>
            <w:tcW w:w="2582" w:type="dxa"/>
            <w:shd w:val="clear" w:color="auto" w:fill="D9D9D9"/>
            <w:vAlign w:val="center"/>
          </w:tcPr>
          <w:p w14:paraId="1997BBD2" w14:textId="77777777" w:rsidR="004B0883" w:rsidRDefault="004B0883">
            <w:pPr>
              <w:widowControl w:val="0"/>
              <w:adjustRightInd w:val="0"/>
              <w:snapToGrid w:val="0"/>
              <w:jc w:val="center"/>
              <w:rPr>
                <w:rFonts w:ascii="宋体" w:hAnsi="宋体"/>
                <w:b/>
                <w:kern w:val="0"/>
              </w:rPr>
            </w:pPr>
            <w:r>
              <w:rPr>
                <w:rFonts w:ascii="宋体" w:hAnsi="宋体"/>
                <w:b/>
                <w:kern w:val="0"/>
              </w:rPr>
              <w:t>职务</w:t>
            </w:r>
          </w:p>
        </w:tc>
        <w:tc>
          <w:tcPr>
            <w:tcW w:w="2117" w:type="dxa"/>
            <w:shd w:val="clear" w:color="auto" w:fill="D9D9D9"/>
            <w:vAlign w:val="center"/>
          </w:tcPr>
          <w:p w14:paraId="6D0D380F" w14:textId="77777777" w:rsidR="004B0883" w:rsidRDefault="004B0883">
            <w:pPr>
              <w:widowControl w:val="0"/>
              <w:adjustRightInd w:val="0"/>
              <w:snapToGrid w:val="0"/>
              <w:jc w:val="center"/>
              <w:rPr>
                <w:rFonts w:ascii="宋体" w:hAnsi="宋体"/>
                <w:b/>
                <w:kern w:val="0"/>
              </w:rPr>
            </w:pPr>
            <w:r>
              <w:rPr>
                <w:rFonts w:ascii="宋体" w:hAnsi="宋体"/>
                <w:b/>
                <w:kern w:val="0"/>
              </w:rPr>
              <w:t>持股数</w:t>
            </w:r>
            <w:r>
              <w:rPr>
                <w:rFonts w:ascii="宋体" w:hAnsi="宋体" w:hint="eastAsia"/>
                <w:b/>
                <w:kern w:val="0"/>
              </w:rPr>
              <w:t>量</w:t>
            </w:r>
            <w:r>
              <w:rPr>
                <w:rFonts w:ascii="宋体" w:hAnsi="宋体"/>
                <w:b/>
                <w:kern w:val="0"/>
              </w:rPr>
              <w:t>（股）</w:t>
            </w:r>
          </w:p>
        </w:tc>
        <w:tc>
          <w:tcPr>
            <w:tcW w:w="2405" w:type="dxa"/>
            <w:shd w:val="clear" w:color="auto" w:fill="D9D9D9"/>
            <w:vAlign w:val="center"/>
          </w:tcPr>
          <w:p w14:paraId="2F2C904F" w14:textId="77777777" w:rsidR="004B0883" w:rsidRDefault="004B0883">
            <w:pPr>
              <w:widowControl w:val="0"/>
              <w:adjustRightInd w:val="0"/>
              <w:snapToGrid w:val="0"/>
              <w:jc w:val="center"/>
              <w:rPr>
                <w:rFonts w:ascii="宋体" w:hAnsi="宋体"/>
                <w:b/>
                <w:kern w:val="0"/>
              </w:rPr>
            </w:pPr>
            <w:r>
              <w:rPr>
                <w:rFonts w:ascii="宋体" w:hAnsi="宋体"/>
                <w:b/>
                <w:kern w:val="0"/>
              </w:rPr>
              <w:t xml:space="preserve">持股比例 </w:t>
            </w:r>
          </w:p>
        </w:tc>
      </w:tr>
      <w:tr w:rsidR="004B0883" w14:paraId="78E3A55C" w14:textId="77777777">
        <w:trPr>
          <w:trHeight w:val="397"/>
          <w:jc w:val="center"/>
        </w:trPr>
        <w:tc>
          <w:tcPr>
            <w:tcW w:w="1424" w:type="dxa"/>
            <w:shd w:val="clear" w:color="auto" w:fill="FFFFFF"/>
            <w:vAlign w:val="center"/>
          </w:tcPr>
          <w:p w14:paraId="7D754094" w14:textId="77777777" w:rsidR="004B0883" w:rsidRDefault="004B0883">
            <w:pPr>
              <w:widowControl w:val="0"/>
              <w:adjustRightInd w:val="0"/>
              <w:snapToGrid w:val="0"/>
              <w:jc w:val="center"/>
              <w:rPr>
                <w:rFonts w:ascii="宋体" w:hAnsi="宋体"/>
                <w:kern w:val="0"/>
              </w:rPr>
            </w:pPr>
            <w:r>
              <w:rPr>
                <w:rFonts w:ascii="宋体" w:hAnsi="宋体" w:cs="微软雅黑" w:hint="eastAsia"/>
                <w:color w:val="000000"/>
              </w:rPr>
              <w:t>范庆伟</w:t>
            </w:r>
          </w:p>
        </w:tc>
        <w:tc>
          <w:tcPr>
            <w:tcW w:w="2582" w:type="dxa"/>
            <w:shd w:val="clear" w:color="auto" w:fill="FFFFFF"/>
            <w:vAlign w:val="center"/>
          </w:tcPr>
          <w:p w14:paraId="163B5FE2" w14:textId="77777777" w:rsidR="004B0883" w:rsidRDefault="004B0883">
            <w:pPr>
              <w:widowControl w:val="0"/>
              <w:adjustRightInd w:val="0"/>
              <w:snapToGrid w:val="0"/>
              <w:jc w:val="center"/>
              <w:rPr>
                <w:rFonts w:ascii="宋体" w:hAnsi="宋体"/>
                <w:kern w:val="0"/>
              </w:rPr>
            </w:pPr>
            <w:r>
              <w:rPr>
                <w:rFonts w:ascii="宋体" w:hAnsi="宋体" w:cs="微软雅黑" w:hint="eastAsia"/>
                <w:color w:val="000000"/>
              </w:rPr>
              <w:t>董事长,董事</w:t>
            </w:r>
          </w:p>
        </w:tc>
        <w:tc>
          <w:tcPr>
            <w:tcW w:w="2117" w:type="dxa"/>
            <w:shd w:val="clear" w:color="auto" w:fill="FFFFFF"/>
            <w:vAlign w:val="center"/>
          </w:tcPr>
          <w:p w14:paraId="7EDA2D26" w14:textId="77777777" w:rsidR="004B0883" w:rsidRDefault="004B0883">
            <w:pPr>
              <w:widowControl w:val="0"/>
              <w:adjustRightInd w:val="0"/>
              <w:snapToGrid w:val="0"/>
              <w:ind w:right="105"/>
              <w:jc w:val="right"/>
              <w:rPr>
                <w:kern w:val="0"/>
              </w:rPr>
            </w:pPr>
            <w:r>
              <w:t>122,460,000</w:t>
            </w:r>
          </w:p>
        </w:tc>
        <w:tc>
          <w:tcPr>
            <w:tcW w:w="2405" w:type="dxa"/>
            <w:shd w:val="clear" w:color="auto" w:fill="FFFFFF"/>
            <w:vAlign w:val="center"/>
          </w:tcPr>
          <w:p w14:paraId="13031906" w14:textId="77777777" w:rsidR="004B0883" w:rsidRDefault="004B0883">
            <w:pPr>
              <w:widowControl w:val="0"/>
              <w:adjustRightInd w:val="0"/>
              <w:snapToGrid w:val="0"/>
              <w:ind w:right="105"/>
              <w:jc w:val="right"/>
            </w:pPr>
            <w:r>
              <w:t>55.78%</w:t>
            </w:r>
          </w:p>
        </w:tc>
      </w:tr>
      <w:tr w:rsidR="004B0883" w14:paraId="4FA83E8B" w14:textId="77777777">
        <w:trPr>
          <w:trHeight w:val="397"/>
          <w:jc w:val="center"/>
        </w:trPr>
        <w:tc>
          <w:tcPr>
            <w:tcW w:w="1424" w:type="dxa"/>
            <w:shd w:val="clear" w:color="auto" w:fill="FFFFFF"/>
            <w:vAlign w:val="center"/>
          </w:tcPr>
          <w:p w14:paraId="504BC4BD" w14:textId="77777777" w:rsidR="004B0883" w:rsidRDefault="004B0883">
            <w:pPr>
              <w:widowControl w:val="0"/>
              <w:adjustRightInd w:val="0"/>
              <w:snapToGrid w:val="0"/>
              <w:jc w:val="center"/>
              <w:rPr>
                <w:rFonts w:ascii="宋体" w:hAnsi="宋体" w:cs="微软雅黑"/>
                <w:color w:val="000000"/>
              </w:rPr>
            </w:pPr>
            <w:r>
              <w:rPr>
                <w:rFonts w:ascii="宋体" w:hAnsi="宋体" w:cs="微软雅黑" w:hint="eastAsia"/>
                <w:color w:val="000000"/>
              </w:rPr>
              <w:t>李会君</w:t>
            </w:r>
          </w:p>
        </w:tc>
        <w:tc>
          <w:tcPr>
            <w:tcW w:w="2582" w:type="dxa"/>
            <w:shd w:val="clear" w:color="auto" w:fill="FFFFFF"/>
            <w:vAlign w:val="center"/>
          </w:tcPr>
          <w:p w14:paraId="05C76C7E" w14:textId="77777777" w:rsidR="004B0883" w:rsidRDefault="004B0883">
            <w:pPr>
              <w:widowControl w:val="0"/>
              <w:adjustRightInd w:val="0"/>
              <w:snapToGrid w:val="0"/>
              <w:jc w:val="center"/>
              <w:rPr>
                <w:rFonts w:ascii="宋体" w:hAnsi="宋体" w:cs="微软雅黑"/>
                <w:color w:val="000000"/>
              </w:rPr>
            </w:pPr>
            <w:r>
              <w:rPr>
                <w:rFonts w:ascii="宋体" w:hAnsi="宋体" w:cs="微软雅黑" w:hint="eastAsia"/>
                <w:color w:val="000000"/>
              </w:rPr>
              <w:t>董事,总经理</w:t>
            </w:r>
          </w:p>
        </w:tc>
        <w:tc>
          <w:tcPr>
            <w:tcW w:w="2117" w:type="dxa"/>
            <w:shd w:val="clear" w:color="auto" w:fill="FFFFFF"/>
            <w:vAlign w:val="center"/>
          </w:tcPr>
          <w:p w14:paraId="4E99CB7B" w14:textId="77777777" w:rsidR="004B0883" w:rsidRDefault="004B0883">
            <w:pPr>
              <w:widowControl w:val="0"/>
              <w:adjustRightInd w:val="0"/>
              <w:snapToGrid w:val="0"/>
              <w:ind w:right="105"/>
              <w:jc w:val="right"/>
              <w:rPr>
                <w:color w:val="000000"/>
              </w:rPr>
            </w:pPr>
            <w:r>
              <w:rPr>
                <w:rFonts w:eastAsia="等线" w:hint="eastAsia"/>
                <w:color w:val="000000"/>
                <w:sz w:val="22"/>
                <w:szCs w:val="22"/>
              </w:rPr>
              <w:t>78,000</w:t>
            </w:r>
          </w:p>
        </w:tc>
        <w:tc>
          <w:tcPr>
            <w:tcW w:w="2405" w:type="dxa"/>
            <w:shd w:val="clear" w:color="auto" w:fill="FFFFFF"/>
            <w:vAlign w:val="center"/>
          </w:tcPr>
          <w:p w14:paraId="7D1FFFE0" w14:textId="77777777" w:rsidR="004B0883" w:rsidRDefault="004B0883">
            <w:pPr>
              <w:widowControl w:val="0"/>
              <w:adjustRightInd w:val="0"/>
              <w:snapToGrid w:val="0"/>
              <w:ind w:right="105"/>
              <w:jc w:val="right"/>
            </w:pPr>
            <w:r>
              <w:t>0.04%</w:t>
            </w:r>
          </w:p>
        </w:tc>
      </w:tr>
      <w:tr w:rsidR="004B0883" w14:paraId="106CF473" w14:textId="77777777">
        <w:trPr>
          <w:trHeight w:val="397"/>
          <w:jc w:val="center"/>
        </w:trPr>
        <w:tc>
          <w:tcPr>
            <w:tcW w:w="1424" w:type="dxa"/>
            <w:shd w:val="clear" w:color="auto" w:fill="FFFFFF"/>
            <w:vAlign w:val="center"/>
          </w:tcPr>
          <w:p w14:paraId="0474323E" w14:textId="77777777" w:rsidR="004B0883" w:rsidRDefault="004B0883">
            <w:pPr>
              <w:widowControl w:val="0"/>
              <w:adjustRightInd w:val="0"/>
              <w:snapToGrid w:val="0"/>
              <w:jc w:val="center"/>
              <w:rPr>
                <w:rFonts w:ascii="宋体" w:hAnsi="宋体"/>
                <w:kern w:val="0"/>
              </w:rPr>
            </w:pPr>
            <w:r>
              <w:rPr>
                <w:rFonts w:ascii="宋体" w:hAnsi="宋体" w:cs="微软雅黑" w:hint="eastAsia"/>
                <w:color w:val="000000"/>
              </w:rPr>
              <w:t>范玉隆</w:t>
            </w:r>
          </w:p>
        </w:tc>
        <w:tc>
          <w:tcPr>
            <w:tcW w:w="2582" w:type="dxa"/>
            <w:shd w:val="clear" w:color="auto" w:fill="FFFFFF"/>
            <w:vAlign w:val="center"/>
          </w:tcPr>
          <w:p w14:paraId="78B81C88" w14:textId="77777777" w:rsidR="004B0883" w:rsidRDefault="004B0883">
            <w:pPr>
              <w:widowControl w:val="0"/>
              <w:adjustRightInd w:val="0"/>
              <w:snapToGrid w:val="0"/>
              <w:jc w:val="center"/>
              <w:rPr>
                <w:rFonts w:ascii="宋体" w:hAnsi="宋体"/>
                <w:kern w:val="0"/>
              </w:rPr>
            </w:pPr>
            <w:r>
              <w:rPr>
                <w:rFonts w:ascii="宋体" w:hAnsi="宋体" w:cs="微软雅黑" w:hint="eastAsia"/>
                <w:color w:val="000000"/>
              </w:rPr>
              <w:t>董事</w:t>
            </w:r>
          </w:p>
        </w:tc>
        <w:tc>
          <w:tcPr>
            <w:tcW w:w="2117" w:type="dxa"/>
            <w:shd w:val="clear" w:color="auto" w:fill="FFFFFF"/>
            <w:vAlign w:val="center"/>
          </w:tcPr>
          <w:p w14:paraId="4A2B8D75" w14:textId="77777777" w:rsidR="004B0883" w:rsidRDefault="004B0883">
            <w:pPr>
              <w:widowControl w:val="0"/>
              <w:adjustRightInd w:val="0"/>
              <w:snapToGrid w:val="0"/>
              <w:ind w:right="105"/>
              <w:jc w:val="right"/>
              <w:rPr>
                <w:color w:val="000000"/>
              </w:rPr>
            </w:pPr>
            <w:r>
              <w:rPr>
                <w:rFonts w:eastAsia="等线" w:hint="eastAsia"/>
                <w:color w:val="000000"/>
                <w:sz w:val="22"/>
                <w:szCs w:val="22"/>
              </w:rPr>
              <w:t>8,171,475</w:t>
            </w:r>
          </w:p>
        </w:tc>
        <w:tc>
          <w:tcPr>
            <w:tcW w:w="2405" w:type="dxa"/>
            <w:shd w:val="clear" w:color="auto" w:fill="FFFFFF"/>
            <w:vAlign w:val="center"/>
          </w:tcPr>
          <w:p w14:paraId="03DEABAE" w14:textId="77777777" w:rsidR="004B0883" w:rsidRDefault="004B0883">
            <w:pPr>
              <w:widowControl w:val="0"/>
              <w:adjustRightInd w:val="0"/>
              <w:snapToGrid w:val="0"/>
              <w:ind w:right="105"/>
              <w:jc w:val="right"/>
            </w:pPr>
            <w:r>
              <w:rPr>
                <w:rFonts w:hint="eastAsia"/>
              </w:rPr>
              <w:t>3.72</w:t>
            </w:r>
            <w:r>
              <w:t>%</w:t>
            </w:r>
          </w:p>
        </w:tc>
      </w:tr>
      <w:tr w:rsidR="004B0883" w14:paraId="0F2B5584" w14:textId="77777777">
        <w:trPr>
          <w:trHeight w:val="397"/>
          <w:jc w:val="center"/>
        </w:trPr>
        <w:tc>
          <w:tcPr>
            <w:tcW w:w="1424" w:type="dxa"/>
            <w:shd w:val="clear" w:color="auto" w:fill="FFFFFF"/>
            <w:vAlign w:val="center"/>
          </w:tcPr>
          <w:p w14:paraId="3EEAA922" w14:textId="77777777" w:rsidR="004B0883" w:rsidRDefault="004B0883">
            <w:pPr>
              <w:widowControl w:val="0"/>
              <w:adjustRightInd w:val="0"/>
              <w:snapToGrid w:val="0"/>
              <w:jc w:val="center"/>
              <w:rPr>
                <w:rFonts w:ascii="宋体" w:hAnsi="宋体"/>
                <w:kern w:val="0"/>
              </w:rPr>
            </w:pPr>
            <w:r>
              <w:rPr>
                <w:rFonts w:ascii="宋体" w:hAnsi="宋体" w:cs="微软雅黑" w:hint="eastAsia"/>
                <w:color w:val="000000"/>
              </w:rPr>
              <w:t>迟娜娜</w:t>
            </w:r>
          </w:p>
        </w:tc>
        <w:tc>
          <w:tcPr>
            <w:tcW w:w="2582" w:type="dxa"/>
            <w:shd w:val="clear" w:color="auto" w:fill="FFFFFF"/>
            <w:vAlign w:val="center"/>
          </w:tcPr>
          <w:p w14:paraId="4B675086" w14:textId="77777777" w:rsidR="004B0883" w:rsidRDefault="004B0883">
            <w:pPr>
              <w:widowControl w:val="0"/>
              <w:adjustRightInd w:val="0"/>
              <w:snapToGrid w:val="0"/>
              <w:jc w:val="center"/>
              <w:rPr>
                <w:rFonts w:ascii="宋体" w:hAnsi="宋体"/>
                <w:kern w:val="0"/>
              </w:rPr>
            </w:pPr>
            <w:r>
              <w:rPr>
                <w:rFonts w:ascii="宋体" w:hAnsi="宋体" w:cs="微软雅黑" w:hint="eastAsia"/>
                <w:color w:val="000000"/>
              </w:rPr>
              <w:t>董事,财务总监</w:t>
            </w:r>
          </w:p>
        </w:tc>
        <w:tc>
          <w:tcPr>
            <w:tcW w:w="2117" w:type="dxa"/>
            <w:shd w:val="clear" w:color="auto" w:fill="FFFFFF"/>
            <w:vAlign w:val="center"/>
          </w:tcPr>
          <w:p w14:paraId="5588EFFB" w14:textId="77777777" w:rsidR="004B0883" w:rsidRDefault="004B0883">
            <w:pPr>
              <w:widowControl w:val="0"/>
              <w:adjustRightInd w:val="0"/>
              <w:snapToGrid w:val="0"/>
              <w:ind w:right="105"/>
              <w:jc w:val="right"/>
              <w:rPr>
                <w:color w:val="000000"/>
              </w:rPr>
            </w:pPr>
            <w:r>
              <w:rPr>
                <w:rFonts w:eastAsia="等线" w:hint="eastAsia"/>
                <w:color w:val="000000"/>
                <w:sz w:val="22"/>
                <w:szCs w:val="22"/>
              </w:rPr>
              <w:t>130,000</w:t>
            </w:r>
          </w:p>
        </w:tc>
        <w:tc>
          <w:tcPr>
            <w:tcW w:w="2405" w:type="dxa"/>
            <w:shd w:val="clear" w:color="auto" w:fill="FFFFFF"/>
            <w:vAlign w:val="center"/>
          </w:tcPr>
          <w:p w14:paraId="016B5F15" w14:textId="77777777" w:rsidR="004B0883" w:rsidRDefault="004B0883">
            <w:pPr>
              <w:widowControl w:val="0"/>
              <w:adjustRightInd w:val="0"/>
              <w:snapToGrid w:val="0"/>
              <w:ind w:right="105"/>
              <w:jc w:val="right"/>
            </w:pPr>
            <w:r>
              <w:t>0.06%</w:t>
            </w:r>
          </w:p>
        </w:tc>
      </w:tr>
      <w:tr w:rsidR="004B0883" w14:paraId="0C99255D" w14:textId="77777777">
        <w:trPr>
          <w:trHeight w:val="397"/>
          <w:jc w:val="center"/>
        </w:trPr>
        <w:tc>
          <w:tcPr>
            <w:tcW w:w="1424" w:type="dxa"/>
            <w:shd w:val="clear" w:color="auto" w:fill="FFFFFF"/>
            <w:vAlign w:val="center"/>
          </w:tcPr>
          <w:p w14:paraId="0C7C54DE" w14:textId="77777777" w:rsidR="004B0883" w:rsidRDefault="004B0883">
            <w:pPr>
              <w:widowControl w:val="0"/>
              <w:adjustRightInd w:val="0"/>
              <w:snapToGrid w:val="0"/>
              <w:jc w:val="center"/>
              <w:rPr>
                <w:rFonts w:ascii="宋体" w:hAnsi="宋体"/>
                <w:color w:val="000000"/>
                <w:kern w:val="0"/>
              </w:rPr>
            </w:pPr>
            <w:r>
              <w:rPr>
                <w:rFonts w:ascii="宋体" w:hAnsi="宋体" w:cs="微软雅黑" w:hint="eastAsia"/>
                <w:color w:val="000000"/>
              </w:rPr>
              <w:t>宋银立</w:t>
            </w:r>
          </w:p>
        </w:tc>
        <w:tc>
          <w:tcPr>
            <w:tcW w:w="2582" w:type="dxa"/>
            <w:shd w:val="clear" w:color="auto" w:fill="FFFFFF"/>
            <w:vAlign w:val="center"/>
          </w:tcPr>
          <w:p w14:paraId="18D07233" w14:textId="77777777" w:rsidR="004B0883" w:rsidRDefault="004B0883">
            <w:pPr>
              <w:widowControl w:val="0"/>
              <w:adjustRightInd w:val="0"/>
              <w:snapToGrid w:val="0"/>
              <w:jc w:val="center"/>
              <w:rPr>
                <w:rFonts w:ascii="宋体" w:hAnsi="宋体"/>
                <w:color w:val="000000"/>
                <w:kern w:val="0"/>
              </w:rPr>
            </w:pPr>
            <w:r>
              <w:rPr>
                <w:rFonts w:ascii="宋体" w:hAnsi="宋体" w:cs="微软雅黑" w:hint="eastAsia"/>
                <w:color w:val="000000"/>
              </w:rPr>
              <w:t>独立董事</w:t>
            </w:r>
          </w:p>
        </w:tc>
        <w:tc>
          <w:tcPr>
            <w:tcW w:w="2117" w:type="dxa"/>
            <w:shd w:val="clear" w:color="auto" w:fill="FFFFFF"/>
            <w:vAlign w:val="center"/>
          </w:tcPr>
          <w:p w14:paraId="0FB9CA70" w14:textId="77777777" w:rsidR="004B0883" w:rsidRDefault="004B0883">
            <w:pPr>
              <w:widowControl w:val="0"/>
              <w:adjustRightInd w:val="0"/>
              <w:snapToGrid w:val="0"/>
              <w:ind w:right="105"/>
              <w:jc w:val="right"/>
              <w:rPr>
                <w:color w:val="000000"/>
              </w:rPr>
            </w:pPr>
            <w:r>
              <w:rPr>
                <w:rFonts w:eastAsia="等线"/>
                <w:color w:val="000000"/>
                <w:sz w:val="22"/>
                <w:szCs w:val="22"/>
              </w:rPr>
              <w:t>-</w:t>
            </w:r>
          </w:p>
        </w:tc>
        <w:tc>
          <w:tcPr>
            <w:tcW w:w="2405" w:type="dxa"/>
            <w:shd w:val="clear" w:color="auto" w:fill="FFFFFF"/>
            <w:vAlign w:val="center"/>
          </w:tcPr>
          <w:p w14:paraId="6597D37C" w14:textId="77777777" w:rsidR="004B0883" w:rsidRDefault="004B0883">
            <w:pPr>
              <w:widowControl w:val="0"/>
              <w:adjustRightInd w:val="0"/>
              <w:snapToGrid w:val="0"/>
              <w:ind w:right="105"/>
              <w:jc w:val="right"/>
            </w:pPr>
            <w:r>
              <w:t>-</w:t>
            </w:r>
          </w:p>
        </w:tc>
      </w:tr>
      <w:tr w:rsidR="004B0883" w14:paraId="599E78A7" w14:textId="77777777">
        <w:trPr>
          <w:trHeight w:val="397"/>
          <w:jc w:val="center"/>
        </w:trPr>
        <w:tc>
          <w:tcPr>
            <w:tcW w:w="1424" w:type="dxa"/>
            <w:shd w:val="clear" w:color="auto" w:fill="FFFFFF"/>
            <w:vAlign w:val="center"/>
          </w:tcPr>
          <w:p w14:paraId="6A3B0C64" w14:textId="77777777" w:rsidR="004B0883" w:rsidRDefault="004B0883">
            <w:pPr>
              <w:widowControl w:val="0"/>
              <w:adjustRightInd w:val="0"/>
              <w:snapToGrid w:val="0"/>
              <w:jc w:val="center"/>
              <w:rPr>
                <w:rFonts w:ascii="宋体" w:hAnsi="宋体"/>
                <w:kern w:val="0"/>
              </w:rPr>
            </w:pPr>
            <w:r>
              <w:rPr>
                <w:rFonts w:ascii="宋体" w:hAnsi="宋体" w:cs="微软雅黑" w:hint="eastAsia"/>
                <w:color w:val="000000"/>
              </w:rPr>
              <w:t>樊培银</w:t>
            </w:r>
          </w:p>
        </w:tc>
        <w:tc>
          <w:tcPr>
            <w:tcW w:w="2582" w:type="dxa"/>
            <w:shd w:val="clear" w:color="auto" w:fill="FFFFFF"/>
            <w:vAlign w:val="center"/>
          </w:tcPr>
          <w:p w14:paraId="76574D97" w14:textId="77777777" w:rsidR="004B0883" w:rsidRDefault="004B0883">
            <w:pPr>
              <w:widowControl w:val="0"/>
              <w:adjustRightInd w:val="0"/>
              <w:snapToGrid w:val="0"/>
              <w:jc w:val="center"/>
              <w:rPr>
                <w:rFonts w:ascii="宋体" w:hAnsi="宋体"/>
                <w:kern w:val="0"/>
              </w:rPr>
            </w:pPr>
            <w:r>
              <w:rPr>
                <w:rFonts w:ascii="宋体" w:hAnsi="宋体" w:cs="微软雅黑" w:hint="eastAsia"/>
                <w:color w:val="000000"/>
              </w:rPr>
              <w:t>独立董事</w:t>
            </w:r>
          </w:p>
        </w:tc>
        <w:tc>
          <w:tcPr>
            <w:tcW w:w="2117" w:type="dxa"/>
            <w:shd w:val="clear" w:color="auto" w:fill="FFFFFF"/>
            <w:vAlign w:val="center"/>
          </w:tcPr>
          <w:p w14:paraId="0E487DF7" w14:textId="77777777" w:rsidR="004B0883" w:rsidRDefault="004B0883">
            <w:pPr>
              <w:widowControl w:val="0"/>
              <w:adjustRightInd w:val="0"/>
              <w:snapToGrid w:val="0"/>
              <w:ind w:right="105"/>
              <w:jc w:val="right"/>
              <w:rPr>
                <w:color w:val="000000"/>
              </w:rPr>
            </w:pPr>
            <w:r>
              <w:rPr>
                <w:rFonts w:eastAsia="等线"/>
                <w:color w:val="000000"/>
                <w:sz w:val="22"/>
                <w:szCs w:val="22"/>
              </w:rPr>
              <w:t>-</w:t>
            </w:r>
          </w:p>
        </w:tc>
        <w:tc>
          <w:tcPr>
            <w:tcW w:w="2405" w:type="dxa"/>
            <w:shd w:val="clear" w:color="auto" w:fill="FFFFFF"/>
            <w:vAlign w:val="center"/>
          </w:tcPr>
          <w:p w14:paraId="0E15139F" w14:textId="77777777" w:rsidR="004B0883" w:rsidRDefault="004B0883">
            <w:pPr>
              <w:widowControl w:val="0"/>
              <w:adjustRightInd w:val="0"/>
              <w:snapToGrid w:val="0"/>
              <w:ind w:right="105"/>
              <w:jc w:val="right"/>
            </w:pPr>
            <w:r>
              <w:t>-</w:t>
            </w:r>
          </w:p>
        </w:tc>
      </w:tr>
      <w:tr w:rsidR="004B0883" w14:paraId="67FC0357" w14:textId="77777777">
        <w:trPr>
          <w:trHeight w:val="397"/>
          <w:jc w:val="center"/>
        </w:trPr>
        <w:tc>
          <w:tcPr>
            <w:tcW w:w="1424" w:type="dxa"/>
            <w:shd w:val="clear" w:color="auto" w:fill="FFFFFF"/>
            <w:vAlign w:val="center"/>
          </w:tcPr>
          <w:p w14:paraId="2F8779DB" w14:textId="77777777" w:rsidR="004B0883" w:rsidRDefault="004B0883">
            <w:pPr>
              <w:widowControl w:val="0"/>
              <w:adjustRightInd w:val="0"/>
              <w:snapToGrid w:val="0"/>
              <w:jc w:val="center"/>
              <w:rPr>
                <w:rFonts w:ascii="宋体" w:hAnsi="宋体"/>
                <w:color w:val="000000"/>
                <w:kern w:val="0"/>
              </w:rPr>
            </w:pPr>
            <w:r>
              <w:rPr>
                <w:rFonts w:ascii="宋体" w:hAnsi="宋体" w:cs="微软雅黑" w:hint="eastAsia"/>
                <w:color w:val="000000"/>
              </w:rPr>
              <w:t>高科</w:t>
            </w:r>
          </w:p>
        </w:tc>
        <w:tc>
          <w:tcPr>
            <w:tcW w:w="2582" w:type="dxa"/>
            <w:shd w:val="clear" w:color="auto" w:fill="FFFFFF"/>
            <w:vAlign w:val="center"/>
          </w:tcPr>
          <w:p w14:paraId="7B5AA291" w14:textId="77777777" w:rsidR="004B0883" w:rsidRDefault="004B0883">
            <w:pPr>
              <w:widowControl w:val="0"/>
              <w:adjustRightInd w:val="0"/>
              <w:snapToGrid w:val="0"/>
              <w:jc w:val="center"/>
              <w:rPr>
                <w:rFonts w:ascii="宋体" w:hAnsi="宋体"/>
                <w:color w:val="000000"/>
                <w:kern w:val="0"/>
              </w:rPr>
            </w:pPr>
            <w:r>
              <w:rPr>
                <w:rFonts w:ascii="宋体" w:hAnsi="宋体" w:cs="微软雅黑" w:hint="eastAsia"/>
                <w:color w:val="000000"/>
              </w:rPr>
              <w:t>独立董事</w:t>
            </w:r>
          </w:p>
        </w:tc>
        <w:tc>
          <w:tcPr>
            <w:tcW w:w="2117" w:type="dxa"/>
            <w:shd w:val="clear" w:color="auto" w:fill="FFFFFF"/>
            <w:vAlign w:val="center"/>
          </w:tcPr>
          <w:p w14:paraId="5F1B96F9" w14:textId="77777777" w:rsidR="004B0883" w:rsidRDefault="004B0883">
            <w:pPr>
              <w:widowControl w:val="0"/>
              <w:adjustRightInd w:val="0"/>
              <w:snapToGrid w:val="0"/>
              <w:ind w:right="105"/>
              <w:jc w:val="right"/>
              <w:rPr>
                <w:color w:val="000000"/>
              </w:rPr>
            </w:pPr>
            <w:r>
              <w:rPr>
                <w:rFonts w:eastAsia="等线"/>
                <w:color w:val="000000"/>
                <w:sz w:val="22"/>
                <w:szCs w:val="22"/>
              </w:rPr>
              <w:t>-</w:t>
            </w:r>
          </w:p>
        </w:tc>
        <w:tc>
          <w:tcPr>
            <w:tcW w:w="2405" w:type="dxa"/>
            <w:shd w:val="clear" w:color="auto" w:fill="FFFFFF"/>
            <w:vAlign w:val="center"/>
          </w:tcPr>
          <w:p w14:paraId="407BC9DD" w14:textId="77777777" w:rsidR="004B0883" w:rsidRDefault="004B0883">
            <w:pPr>
              <w:widowControl w:val="0"/>
              <w:adjustRightInd w:val="0"/>
              <w:snapToGrid w:val="0"/>
              <w:ind w:right="105"/>
              <w:jc w:val="right"/>
            </w:pPr>
            <w:r>
              <w:t>-</w:t>
            </w:r>
          </w:p>
        </w:tc>
      </w:tr>
      <w:tr w:rsidR="004B0883" w14:paraId="54707D03" w14:textId="77777777">
        <w:trPr>
          <w:trHeight w:val="397"/>
          <w:jc w:val="center"/>
        </w:trPr>
        <w:tc>
          <w:tcPr>
            <w:tcW w:w="1424" w:type="dxa"/>
            <w:shd w:val="clear" w:color="auto" w:fill="FFFFFF"/>
            <w:vAlign w:val="center"/>
          </w:tcPr>
          <w:p w14:paraId="4A191B90" w14:textId="77777777" w:rsidR="004B0883" w:rsidRDefault="004B0883">
            <w:pPr>
              <w:widowControl w:val="0"/>
              <w:adjustRightInd w:val="0"/>
              <w:snapToGrid w:val="0"/>
              <w:jc w:val="center"/>
              <w:rPr>
                <w:rFonts w:ascii="宋体" w:hAnsi="宋体"/>
                <w:kern w:val="0"/>
              </w:rPr>
            </w:pPr>
            <w:r>
              <w:rPr>
                <w:rFonts w:ascii="宋体" w:hAnsi="宋体" w:cs="微软雅黑" w:hint="eastAsia"/>
                <w:color w:val="000000"/>
              </w:rPr>
              <w:t>于春红</w:t>
            </w:r>
          </w:p>
        </w:tc>
        <w:tc>
          <w:tcPr>
            <w:tcW w:w="2582" w:type="dxa"/>
            <w:shd w:val="clear" w:color="auto" w:fill="FFFFFF"/>
            <w:vAlign w:val="center"/>
          </w:tcPr>
          <w:p w14:paraId="40433FED" w14:textId="77777777" w:rsidR="004B0883" w:rsidRDefault="004B0883">
            <w:pPr>
              <w:widowControl w:val="0"/>
              <w:adjustRightInd w:val="0"/>
              <w:snapToGrid w:val="0"/>
              <w:jc w:val="center"/>
              <w:rPr>
                <w:rFonts w:ascii="宋体" w:hAnsi="宋体"/>
                <w:kern w:val="0"/>
              </w:rPr>
            </w:pPr>
            <w:r>
              <w:rPr>
                <w:rFonts w:ascii="宋体" w:hAnsi="宋体" w:cs="微软雅黑" w:hint="eastAsia"/>
                <w:color w:val="000000"/>
              </w:rPr>
              <w:t>监事会主席</w:t>
            </w:r>
          </w:p>
        </w:tc>
        <w:tc>
          <w:tcPr>
            <w:tcW w:w="2117" w:type="dxa"/>
            <w:shd w:val="clear" w:color="auto" w:fill="FFFFFF"/>
            <w:vAlign w:val="center"/>
          </w:tcPr>
          <w:p w14:paraId="6EF82E0D" w14:textId="77777777" w:rsidR="004B0883" w:rsidRDefault="004B0883">
            <w:pPr>
              <w:widowControl w:val="0"/>
              <w:adjustRightInd w:val="0"/>
              <w:snapToGrid w:val="0"/>
              <w:ind w:right="105"/>
              <w:jc w:val="right"/>
              <w:rPr>
                <w:color w:val="000000"/>
              </w:rPr>
            </w:pPr>
            <w:r>
              <w:rPr>
                <w:rFonts w:eastAsia="等线"/>
                <w:color w:val="000000"/>
                <w:sz w:val="22"/>
                <w:szCs w:val="22"/>
              </w:rPr>
              <w:t>-</w:t>
            </w:r>
          </w:p>
        </w:tc>
        <w:tc>
          <w:tcPr>
            <w:tcW w:w="2405" w:type="dxa"/>
            <w:shd w:val="clear" w:color="auto" w:fill="FFFFFF"/>
            <w:vAlign w:val="center"/>
          </w:tcPr>
          <w:p w14:paraId="420BA973" w14:textId="77777777" w:rsidR="004B0883" w:rsidRDefault="004B0883">
            <w:pPr>
              <w:widowControl w:val="0"/>
              <w:adjustRightInd w:val="0"/>
              <w:snapToGrid w:val="0"/>
              <w:ind w:right="105"/>
              <w:jc w:val="right"/>
            </w:pPr>
            <w:r>
              <w:t>-</w:t>
            </w:r>
          </w:p>
        </w:tc>
      </w:tr>
      <w:tr w:rsidR="004B0883" w14:paraId="13FC482E" w14:textId="77777777">
        <w:trPr>
          <w:trHeight w:val="397"/>
          <w:jc w:val="center"/>
        </w:trPr>
        <w:tc>
          <w:tcPr>
            <w:tcW w:w="1424" w:type="dxa"/>
            <w:shd w:val="clear" w:color="auto" w:fill="FFFFFF"/>
            <w:vAlign w:val="center"/>
          </w:tcPr>
          <w:p w14:paraId="7A78CCEE" w14:textId="77777777" w:rsidR="004B0883" w:rsidRDefault="004B0883">
            <w:pPr>
              <w:widowControl w:val="0"/>
              <w:adjustRightInd w:val="0"/>
              <w:snapToGrid w:val="0"/>
              <w:jc w:val="center"/>
              <w:rPr>
                <w:rFonts w:ascii="宋体" w:hAnsi="宋体"/>
                <w:kern w:val="0"/>
              </w:rPr>
            </w:pPr>
            <w:r>
              <w:rPr>
                <w:rFonts w:ascii="宋体" w:hAnsi="宋体" w:cs="微软雅黑" w:hint="eastAsia"/>
                <w:color w:val="000000"/>
              </w:rPr>
              <w:t>王凤春</w:t>
            </w:r>
          </w:p>
        </w:tc>
        <w:tc>
          <w:tcPr>
            <w:tcW w:w="2582" w:type="dxa"/>
            <w:shd w:val="clear" w:color="auto" w:fill="FFFFFF"/>
            <w:vAlign w:val="center"/>
          </w:tcPr>
          <w:p w14:paraId="075AB56F" w14:textId="77777777" w:rsidR="004B0883" w:rsidRDefault="004B0883">
            <w:pPr>
              <w:widowControl w:val="0"/>
              <w:adjustRightInd w:val="0"/>
              <w:snapToGrid w:val="0"/>
              <w:jc w:val="center"/>
              <w:rPr>
                <w:rFonts w:ascii="宋体" w:hAnsi="宋体"/>
                <w:kern w:val="0"/>
              </w:rPr>
            </w:pPr>
            <w:r>
              <w:rPr>
                <w:rFonts w:ascii="宋体" w:hAnsi="宋体" w:cs="微软雅黑" w:hint="eastAsia"/>
                <w:color w:val="000000"/>
              </w:rPr>
              <w:t>监事</w:t>
            </w:r>
          </w:p>
        </w:tc>
        <w:tc>
          <w:tcPr>
            <w:tcW w:w="2117" w:type="dxa"/>
            <w:shd w:val="clear" w:color="auto" w:fill="FFFFFF"/>
            <w:vAlign w:val="center"/>
          </w:tcPr>
          <w:p w14:paraId="3DEF1740" w14:textId="77777777" w:rsidR="004B0883" w:rsidRDefault="004B0883">
            <w:pPr>
              <w:widowControl w:val="0"/>
              <w:adjustRightInd w:val="0"/>
              <w:snapToGrid w:val="0"/>
              <w:ind w:right="105"/>
              <w:jc w:val="right"/>
              <w:rPr>
                <w:color w:val="000000"/>
              </w:rPr>
            </w:pPr>
            <w:r>
              <w:rPr>
                <w:rFonts w:eastAsia="等线"/>
                <w:color w:val="000000"/>
                <w:sz w:val="22"/>
                <w:szCs w:val="22"/>
              </w:rPr>
              <w:t>-</w:t>
            </w:r>
          </w:p>
        </w:tc>
        <w:tc>
          <w:tcPr>
            <w:tcW w:w="2405" w:type="dxa"/>
            <w:shd w:val="clear" w:color="auto" w:fill="FFFFFF"/>
            <w:vAlign w:val="center"/>
          </w:tcPr>
          <w:p w14:paraId="185BC75F" w14:textId="77777777" w:rsidR="004B0883" w:rsidRDefault="004B0883">
            <w:pPr>
              <w:widowControl w:val="0"/>
              <w:adjustRightInd w:val="0"/>
              <w:snapToGrid w:val="0"/>
              <w:ind w:right="105"/>
              <w:jc w:val="right"/>
            </w:pPr>
            <w:r>
              <w:t>-</w:t>
            </w:r>
          </w:p>
        </w:tc>
      </w:tr>
      <w:tr w:rsidR="004B0883" w14:paraId="347473C1" w14:textId="77777777">
        <w:trPr>
          <w:trHeight w:val="397"/>
          <w:jc w:val="center"/>
        </w:trPr>
        <w:tc>
          <w:tcPr>
            <w:tcW w:w="1424" w:type="dxa"/>
            <w:shd w:val="clear" w:color="auto" w:fill="FFFFFF"/>
            <w:vAlign w:val="center"/>
          </w:tcPr>
          <w:p w14:paraId="5069B6D2" w14:textId="77777777" w:rsidR="004B0883" w:rsidRDefault="004B0883">
            <w:pPr>
              <w:widowControl w:val="0"/>
              <w:adjustRightInd w:val="0"/>
              <w:snapToGrid w:val="0"/>
              <w:jc w:val="center"/>
              <w:rPr>
                <w:rFonts w:ascii="宋体" w:hAnsi="宋体"/>
                <w:kern w:val="0"/>
              </w:rPr>
            </w:pPr>
            <w:r>
              <w:rPr>
                <w:rFonts w:ascii="宋体" w:hAnsi="宋体" w:cs="微软雅黑" w:hint="eastAsia"/>
                <w:color w:val="000000"/>
              </w:rPr>
              <w:t>张涛</w:t>
            </w:r>
          </w:p>
        </w:tc>
        <w:tc>
          <w:tcPr>
            <w:tcW w:w="2582" w:type="dxa"/>
            <w:shd w:val="clear" w:color="auto" w:fill="FFFFFF"/>
            <w:vAlign w:val="center"/>
          </w:tcPr>
          <w:p w14:paraId="02977347" w14:textId="77777777" w:rsidR="004B0883" w:rsidRDefault="004B0883">
            <w:pPr>
              <w:widowControl w:val="0"/>
              <w:adjustRightInd w:val="0"/>
              <w:snapToGrid w:val="0"/>
              <w:jc w:val="center"/>
              <w:rPr>
                <w:rFonts w:ascii="宋体" w:hAnsi="宋体"/>
                <w:kern w:val="0"/>
              </w:rPr>
            </w:pPr>
            <w:r>
              <w:rPr>
                <w:rFonts w:ascii="宋体" w:hAnsi="宋体" w:cs="微软雅黑" w:hint="eastAsia"/>
                <w:color w:val="000000"/>
              </w:rPr>
              <w:t>监事</w:t>
            </w:r>
          </w:p>
        </w:tc>
        <w:tc>
          <w:tcPr>
            <w:tcW w:w="2117" w:type="dxa"/>
            <w:shd w:val="clear" w:color="auto" w:fill="FFFFFF"/>
            <w:vAlign w:val="center"/>
          </w:tcPr>
          <w:p w14:paraId="072E2E3B" w14:textId="77777777" w:rsidR="004B0883" w:rsidRDefault="004B0883">
            <w:pPr>
              <w:widowControl w:val="0"/>
              <w:adjustRightInd w:val="0"/>
              <w:snapToGrid w:val="0"/>
              <w:ind w:right="105"/>
              <w:jc w:val="right"/>
              <w:rPr>
                <w:color w:val="000000"/>
              </w:rPr>
            </w:pPr>
            <w:r>
              <w:rPr>
                <w:rFonts w:eastAsia="等线"/>
                <w:color w:val="000000"/>
                <w:sz w:val="22"/>
                <w:szCs w:val="22"/>
              </w:rPr>
              <w:t>-</w:t>
            </w:r>
          </w:p>
        </w:tc>
        <w:tc>
          <w:tcPr>
            <w:tcW w:w="2405" w:type="dxa"/>
            <w:shd w:val="clear" w:color="auto" w:fill="FFFFFF"/>
            <w:vAlign w:val="center"/>
          </w:tcPr>
          <w:p w14:paraId="11B05333" w14:textId="77777777" w:rsidR="004B0883" w:rsidRDefault="004B0883">
            <w:pPr>
              <w:widowControl w:val="0"/>
              <w:adjustRightInd w:val="0"/>
              <w:snapToGrid w:val="0"/>
              <w:ind w:right="105"/>
              <w:jc w:val="right"/>
            </w:pPr>
            <w:r>
              <w:t>-</w:t>
            </w:r>
          </w:p>
        </w:tc>
      </w:tr>
      <w:tr w:rsidR="004B0883" w14:paraId="11279878" w14:textId="77777777">
        <w:trPr>
          <w:trHeight w:val="397"/>
          <w:jc w:val="center"/>
        </w:trPr>
        <w:tc>
          <w:tcPr>
            <w:tcW w:w="1424" w:type="dxa"/>
            <w:shd w:val="clear" w:color="auto" w:fill="FFFFFF"/>
            <w:vAlign w:val="center"/>
          </w:tcPr>
          <w:p w14:paraId="72899275" w14:textId="77777777" w:rsidR="004B0883" w:rsidRDefault="004B0883">
            <w:pPr>
              <w:widowControl w:val="0"/>
              <w:adjustRightInd w:val="0"/>
              <w:snapToGrid w:val="0"/>
              <w:jc w:val="center"/>
              <w:rPr>
                <w:rFonts w:ascii="宋体" w:hAnsi="宋体"/>
                <w:kern w:val="0"/>
              </w:rPr>
            </w:pPr>
            <w:r>
              <w:rPr>
                <w:rFonts w:ascii="宋体" w:hAnsi="宋体" w:cs="微软雅黑" w:hint="eastAsia"/>
                <w:color w:val="000000"/>
              </w:rPr>
              <w:t>张会亭</w:t>
            </w:r>
          </w:p>
        </w:tc>
        <w:tc>
          <w:tcPr>
            <w:tcW w:w="2582" w:type="dxa"/>
            <w:shd w:val="clear" w:color="auto" w:fill="FFFFFF"/>
            <w:vAlign w:val="center"/>
          </w:tcPr>
          <w:p w14:paraId="22C484CF" w14:textId="77777777" w:rsidR="004B0883" w:rsidRDefault="004B0883">
            <w:pPr>
              <w:widowControl w:val="0"/>
              <w:adjustRightInd w:val="0"/>
              <w:snapToGrid w:val="0"/>
              <w:jc w:val="center"/>
              <w:rPr>
                <w:rFonts w:ascii="宋体" w:hAnsi="宋体"/>
                <w:kern w:val="0"/>
              </w:rPr>
            </w:pPr>
            <w:r>
              <w:rPr>
                <w:rFonts w:ascii="宋体" w:hAnsi="宋体" w:cs="微软雅黑" w:hint="eastAsia"/>
                <w:color w:val="000000"/>
              </w:rPr>
              <w:t>研发技术总监</w:t>
            </w:r>
          </w:p>
        </w:tc>
        <w:tc>
          <w:tcPr>
            <w:tcW w:w="2117" w:type="dxa"/>
            <w:shd w:val="clear" w:color="auto" w:fill="FFFFFF"/>
            <w:vAlign w:val="center"/>
          </w:tcPr>
          <w:p w14:paraId="6827C373" w14:textId="77777777" w:rsidR="004B0883" w:rsidRDefault="004B0883">
            <w:pPr>
              <w:widowControl w:val="0"/>
              <w:adjustRightInd w:val="0"/>
              <w:snapToGrid w:val="0"/>
              <w:ind w:right="105"/>
              <w:jc w:val="right"/>
              <w:rPr>
                <w:color w:val="000000"/>
              </w:rPr>
            </w:pPr>
            <w:r>
              <w:rPr>
                <w:rFonts w:eastAsia="等线" w:hint="eastAsia"/>
                <w:color w:val="000000"/>
                <w:sz w:val="22"/>
                <w:szCs w:val="22"/>
              </w:rPr>
              <w:t>153,777</w:t>
            </w:r>
          </w:p>
        </w:tc>
        <w:tc>
          <w:tcPr>
            <w:tcW w:w="2405" w:type="dxa"/>
            <w:shd w:val="clear" w:color="auto" w:fill="FFFFFF"/>
            <w:vAlign w:val="center"/>
          </w:tcPr>
          <w:p w14:paraId="58821334" w14:textId="77777777" w:rsidR="004B0883" w:rsidRDefault="004B0883">
            <w:pPr>
              <w:widowControl w:val="0"/>
              <w:adjustRightInd w:val="0"/>
              <w:snapToGrid w:val="0"/>
              <w:ind w:right="105"/>
              <w:jc w:val="right"/>
            </w:pPr>
            <w:r>
              <w:t>0.07%</w:t>
            </w:r>
          </w:p>
        </w:tc>
      </w:tr>
      <w:tr w:rsidR="004B0883" w14:paraId="51981338" w14:textId="77777777">
        <w:trPr>
          <w:trHeight w:val="397"/>
          <w:jc w:val="center"/>
        </w:trPr>
        <w:tc>
          <w:tcPr>
            <w:tcW w:w="1424" w:type="dxa"/>
            <w:shd w:val="clear" w:color="auto" w:fill="FFFFFF"/>
            <w:vAlign w:val="center"/>
          </w:tcPr>
          <w:p w14:paraId="3711009F" w14:textId="77777777" w:rsidR="004B0883" w:rsidRDefault="004B0883">
            <w:pPr>
              <w:widowControl w:val="0"/>
              <w:adjustRightInd w:val="0"/>
              <w:snapToGrid w:val="0"/>
              <w:jc w:val="center"/>
              <w:rPr>
                <w:rFonts w:ascii="宋体" w:hAnsi="宋体"/>
                <w:kern w:val="0"/>
              </w:rPr>
            </w:pPr>
            <w:r>
              <w:rPr>
                <w:rFonts w:ascii="宋体" w:hAnsi="宋体" w:cs="微软雅黑" w:hint="eastAsia"/>
                <w:color w:val="000000"/>
              </w:rPr>
              <w:t>王兆健</w:t>
            </w:r>
          </w:p>
        </w:tc>
        <w:tc>
          <w:tcPr>
            <w:tcW w:w="2582" w:type="dxa"/>
            <w:shd w:val="clear" w:color="auto" w:fill="FFFFFF"/>
            <w:vAlign w:val="center"/>
          </w:tcPr>
          <w:p w14:paraId="2251A31D" w14:textId="77777777" w:rsidR="004B0883" w:rsidRDefault="004B0883">
            <w:pPr>
              <w:widowControl w:val="0"/>
              <w:adjustRightInd w:val="0"/>
              <w:snapToGrid w:val="0"/>
              <w:jc w:val="center"/>
              <w:rPr>
                <w:rFonts w:ascii="宋体" w:hAnsi="宋体"/>
                <w:kern w:val="0"/>
              </w:rPr>
            </w:pPr>
            <w:r>
              <w:rPr>
                <w:rFonts w:ascii="宋体" w:hAnsi="宋体" w:cs="微软雅黑" w:hint="eastAsia"/>
                <w:color w:val="000000"/>
              </w:rPr>
              <w:t>质量总监</w:t>
            </w:r>
          </w:p>
        </w:tc>
        <w:tc>
          <w:tcPr>
            <w:tcW w:w="2117" w:type="dxa"/>
            <w:shd w:val="clear" w:color="auto" w:fill="FFFFFF"/>
            <w:vAlign w:val="center"/>
          </w:tcPr>
          <w:p w14:paraId="30EB50B9" w14:textId="77777777" w:rsidR="004B0883" w:rsidRDefault="004B0883">
            <w:pPr>
              <w:widowControl w:val="0"/>
              <w:adjustRightInd w:val="0"/>
              <w:snapToGrid w:val="0"/>
              <w:ind w:right="105"/>
              <w:jc w:val="right"/>
              <w:rPr>
                <w:color w:val="000000"/>
              </w:rPr>
            </w:pPr>
            <w:r>
              <w:rPr>
                <w:rFonts w:eastAsia="等线" w:hint="eastAsia"/>
                <w:color w:val="000000"/>
                <w:sz w:val="22"/>
                <w:szCs w:val="22"/>
              </w:rPr>
              <w:t>104,295</w:t>
            </w:r>
          </w:p>
        </w:tc>
        <w:tc>
          <w:tcPr>
            <w:tcW w:w="2405" w:type="dxa"/>
            <w:shd w:val="clear" w:color="auto" w:fill="FFFFFF"/>
            <w:vAlign w:val="center"/>
          </w:tcPr>
          <w:p w14:paraId="4E84A418" w14:textId="77777777" w:rsidR="004B0883" w:rsidRDefault="004B0883">
            <w:pPr>
              <w:widowControl w:val="0"/>
              <w:adjustRightInd w:val="0"/>
              <w:snapToGrid w:val="0"/>
              <w:ind w:right="105"/>
              <w:jc w:val="right"/>
            </w:pPr>
            <w:r>
              <w:t>0.05%</w:t>
            </w:r>
          </w:p>
        </w:tc>
      </w:tr>
      <w:tr w:rsidR="004B0883" w14:paraId="1B9F3695" w14:textId="77777777">
        <w:trPr>
          <w:trHeight w:val="397"/>
          <w:jc w:val="center"/>
        </w:trPr>
        <w:tc>
          <w:tcPr>
            <w:tcW w:w="1424" w:type="dxa"/>
            <w:shd w:val="clear" w:color="auto" w:fill="FFFFFF"/>
            <w:vAlign w:val="center"/>
          </w:tcPr>
          <w:p w14:paraId="522637C4" w14:textId="77777777" w:rsidR="004B0883" w:rsidRDefault="004B0883">
            <w:pPr>
              <w:widowControl w:val="0"/>
              <w:adjustRightInd w:val="0"/>
              <w:snapToGrid w:val="0"/>
              <w:jc w:val="center"/>
              <w:rPr>
                <w:rFonts w:ascii="宋体" w:hAnsi="宋体"/>
                <w:color w:val="000000"/>
              </w:rPr>
            </w:pPr>
            <w:r>
              <w:rPr>
                <w:rFonts w:ascii="宋体" w:hAnsi="宋体" w:cs="微软雅黑" w:hint="eastAsia"/>
                <w:color w:val="000000"/>
              </w:rPr>
              <w:t>郭成尼</w:t>
            </w:r>
          </w:p>
        </w:tc>
        <w:tc>
          <w:tcPr>
            <w:tcW w:w="2582" w:type="dxa"/>
            <w:shd w:val="clear" w:color="auto" w:fill="FFFFFF"/>
            <w:vAlign w:val="center"/>
          </w:tcPr>
          <w:p w14:paraId="1F362DAD" w14:textId="77777777" w:rsidR="004B0883" w:rsidRDefault="004B0883">
            <w:pPr>
              <w:widowControl w:val="0"/>
              <w:adjustRightInd w:val="0"/>
              <w:snapToGrid w:val="0"/>
              <w:jc w:val="center"/>
              <w:rPr>
                <w:rFonts w:ascii="宋体" w:hAnsi="宋体"/>
                <w:color w:val="000000"/>
              </w:rPr>
            </w:pPr>
            <w:r>
              <w:rPr>
                <w:rFonts w:ascii="宋体" w:hAnsi="宋体" w:cs="微软雅黑" w:hint="eastAsia"/>
                <w:color w:val="000000"/>
              </w:rPr>
              <w:t>国际销售总监</w:t>
            </w:r>
          </w:p>
        </w:tc>
        <w:tc>
          <w:tcPr>
            <w:tcW w:w="2117" w:type="dxa"/>
            <w:shd w:val="clear" w:color="auto" w:fill="FFFFFF"/>
            <w:vAlign w:val="center"/>
          </w:tcPr>
          <w:p w14:paraId="7C8306A8" w14:textId="77777777" w:rsidR="004B0883" w:rsidRDefault="004B0883">
            <w:pPr>
              <w:widowControl w:val="0"/>
              <w:adjustRightInd w:val="0"/>
              <w:snapToGrid w:val="0"/>
              <w:ind w:right="105"/>
              <w:jc w:val="right"/>
              <w:rPr>
                <w:color w:val="000000"/>
              </w:rPr>
            </w:pPr>
            <w:r>
              <w:rPr>
                <w:rFonts w:eastAsia="等线" w:hint="eastAsia"/>
                <w:color w:val="000000"/>
                <w:sz w:val="22"/>
                <w:szCs w:val="22"/>
              </w:rPr>
              <w:t>162,259</w:t>
            </w:r>
          </w:p>
        </w:tc>
        <w:tc>
          <w:tcPr>
            <w:tcW w:w="2405" w:type="dxa"/>
            <w:shd w:val="clear" w:color="auto" w:fill="FFFFFF"/>
            <w:vAlign w:val="center"/>
          </w:tcPr>
          <w:p w14:paraId="49A35FCE" w14:textId="77777777" w:rsidR="004B0883" w:rsidRDefault="004B0883">
            <w:pPr>
              <w:widowControl w:val="0"/>
              <w:adjustRightInd w:val="0"/>
              <w:snapToGrid w:val="0"/>
              <w:ind w:right="105"/>
              <w:jc w:val="right"/>
            </w:pPr>
            <w:r>
              <w:t>0.07%</w:t>
            </w:r>
          </w:p>
        </w:tc>
      </w:tr>
      <w:tr w:rsidR="004B0883" w14:paraId="21057A87" w14:textId="77777777">
        <w:trPr>
          <w:trHeight w:val="397"/>
          <w:jc w:val="center"/>
        </w:trPr>
        <w:tc>
          <w:tcPr>
            <w:tcW w:w="1424" w:type="dxa"/>
            <w:shd w:val="clear" w:color="auto" w:fill="FFFFFF"/>
            <w:vAlign w:val="center"/>
          </w:tcPr>
          <w:p w14:paraId="45FDB650" w14:textId="77777777" w:rsidR="004B0883" w:rsidRDefault="004B0883">
            <w:pPr>
              <w:widowControl w:val="0"/>
              <w:adjustRightInd w:val="0"/>
              <w:snapToGrid w:val="0"/>
              <w:jc w:val="center"/>
              <w:rPr>
                <w:rFonts w:ascii="宋体" w:hAnsi="宋体"/>
                <w:color w:val="000000"/>
              </w:rPr>
            </w:pPr>
            <w:r>
              <w:rPr>
                <w:rFonts w:ascii="宋体" w:hAnsi="宋体" w:cs="微软雅黑" w:hint="eastAsia"/>
                <w:color w:val="000000"/>
              </w:rPr>
              <w:t>渠汇成</w:t>
            </w:r>
          </w:p>
        </w:tc>
        <w:tc>
          <w:tcPr>
            <w:tcW w:w="2582" w:type="dxa"/>
            <w:shd w:val="clear" w:color="auto" w:fill="FFFFFF"/>
            <w:vAlign w:val="center"/>
          </w:tcPr>
          <w:p w14:paraId="31480024" w14:textId="77777777" w:rsidR="004B0883" w:rsidRDefault="004B0883">
            <w:pPr>
              <w:widowControl w:val="0"/>
              <w:adjustRightInd w:val="0"/>
              <w:snapToGrid w:val="0"/>
              <w:jc w:val="center"/>
              <w:rPr>
                <w:rFonts w:ascii="宋体" w:hAnsi="宋体"/>
                <w:color w:val="000000"/>
              </w:rPr>
            </w:pPr>
            <w:r>
              <w:rPr>
                <w:rFonts w:ascii="宋体" w:hAnsi="宋体" w:cs="微软雅黑" w:hint="eastAsia"/>
                <w:color w:val="000000"/>
              </w:rPr>
              <w:t>生产总监</w:t>
            </w:r>
          </w:p>
        </w:tc>
        <w:tc>
          <w:tcPr>
            <w:tcW w:w="2117" w:type="dxa"/>
            <w:shd w:val="clear" w:color="auto" w:fill="FFFFFF"/>
            <w:vAlign w:val="center"/>
          </w:tcPr>
          <w:p w14:paraId="323A4031" w14:textId="77777777" w:rsidR="004B0883" w:rsidRDefault="004B0883">
            <w:pPr>
              <w:widowControl w:val="0"/>
              <w:adjustRightInd w:val="0"/>
              <w:snapToGrid w:val="0"/>
              <w:ind w:right="105"/>
              <w:jc w:val="right"/>
              <w:rPr>
                <w:color w:val="000000"/>
              </w:rPr>
            </w:pPr>
            <w:r>
              <w:rPr>
                <w:rFonts w:eastAsia="等线" w:hint="eastAsia"/>
                <w:color w:val="000000"/>
                <w:sz w:val="22"/>
                <w:szCs w:val="22"/>
              </w:rPr>
              <w:t>199,582</w:t>
            </w:r>
          </w:p>
        </w:tc>
        <w:tc>
          <w:tcPr>
            <w:tcW w:w="2405" w:type="dxa"/>
            <w:shd w:val="clear" w:color="auto" w:fill="FFFFFF"/>
            <w:vAlign w:val="center"/>
          </w:tcPr>
          <w:p w14:paraId="7FBD6CD7" w14:textId="77777777" w:rsidR="004B0883" w:rsidRDefault="004B0883">
            <w:pPr>
              <w:widowControl w:val="0"/>
              <w:adjustRightInd w:val="0"/>
              <w:snapToGrid w:val="0"/>
              <w:ind w:right="105"/>
              <w:jc w:val="right"/>
            </w:pPr>
            <w:r>
              <w:t>0.09%</w:t>
            </w:r>
          </w:p>
        </w:tc>
      </w:tr>
      <w:tr w:rsidR="004B0883" w14:paraId="13EE061E" w14:textId="77777777">
        <w:trPr>
          <w:trHeight w:val="397"/>
          <w:jc w:val="center"/>
        </w:trPr>
        <w:tc>
          <w:tcPr>
            <w:tcW w:w="1424" w:type="dxa"/>
            <w:shd w:val="clear" w:color="auto" w:fill="FFFFFF"/>
            <w:vAlign w:val="center"/>
          </w:tcPr>
          <w:p w14:paraId="6A3A61C9" w14:textId="77777777" w:rsidR="004B0883" w:rsidRDefault="004B0883">
            <w:pPr>
              <w:widowControl w:val="0"/>
              <w:adjustRightInd w:val="0"/>
              <w:snapToGrid w:val="0"/>
              <w:jc w:val="center"/>
              <w:rPr>
                <w:rFonts w:ascii="宋体" w:hAnsi="宋体"/>
                <w:color w:val="000000"/>
              </w:rPr>
            </w:pPr>
            <w:r>
              <w:rPr>
                <w:rFonts w:ascii="宋体" w:hAnsi="宋体" w:cs="微软雅黑" w:hint="eastAsia"/>
                <w:color w:val="000000"/>
              </w:rPr>
              <w:t>陈存明</w:t>
            </w:r>
          </w:p>
        </w:tc>
        <w:tc>
          <w:tcPr>
            <w:tcW w:w="2582" w:type="dxa"/>
            <w:shd w:val="clear" w:color="auto" w:fill="FFFFFF"/>
            <w:vAlign w:val="center"/>
          </w:tcPr>
          <w:p w14:paraId="5CC64691" w14:textId="77777777" w:rsidR="004B0883" w:rsidRDefault="004B0883">
            <w:pPr>
              <w:widowControl w:val="0"/>
              <w:adjustRightInd w:val="0"/>
              <w:snapToGrid w:val="0"/>
              <w:jc w:val="center"/>
              <w:rPr>
                <w:rFonts w:ascii="宋体" w:hAnsi="宋体"/>
                <w:color w:val="000000"/>
              </w:rPr>
            </w:pPr>
            <w:r>
              <w:rPr>
                <w:rFonts w:ascii="宋体" w:hAnsi="宋体" w:cs="微软雅黑" w:hint="eastAsia"/>
                <w:color w:val="000000"/>
              </w:rPr>
              <w:t>营销中心总监</w:t>
            </w:r>
          </w:p>
        </w:tc>
        <w:tc>
          <w:tcPr>
            <w:tcW w:w="2117" w:type="dxa"/>
            <w:shd w:val="clear" w:color="auto" w:fill="FFFFFF"/>
            <w:vAlign w:val="center"/>
          </w:tcPr>
          <w:p w14:paraId="3D8E0DC1" w14:textId="77777777" w:rsidR="004B0883" w:rsidRDefault="004B0883">
            <w:pPr>
              <w:widowControl w:val="0"/>
              <w:adjustRightInd w:val="0"/>
              <w:snapToGrid w:val="0"/>
              <w:jc w:val="right"/>
              <w:rPr>
                <w:kern w:val="0"/>
              </w:rPr>
            </w:pPr>
            <w:r>
              <w:rPr>
                <w:rFonts w:eastAsia="等线"/>
                <w:color w:val="000000"/>
                <w:sz w:val="22"/>
                <w:szCs w:val="22"/>
              </w:rPr>
              <w:t>-</w:t>
            </w:r>
          </w:p>
        </w:tc>
        <w:tc>
          <w:tcPr>
            <w:tcW w:w="2405" w:type="dxa"/>
            <w:shd w:val="clear" w:color="auto" w:fill="FFFFFF"/>
            <w:vAlign w:val="center"/>
          </w:tcPr>
          <w:p w14:paraId="0DB2803B" w14:textId="77777777" w:rsidR="004B0883" w:rsidRDefault="004B0883">
            <w:pPr>
              <w:widowControl w:val="0"/>
              <w:adjustRightInd w:val="0"/>
              <w:snapToGrid w:val="0"/>
              <w:ind w:right="105"/>
              <w:jc w:val="right"/>
            </w:pPr>
            <w:r>
              <w:t>-</w:t>
            </w:r>
          </w:p>
        </w:tc>
      </w:tr>
      <w:tr w:rsidR="004B0883" w14:paraId="1A8C70B4" w14:textId="77777777">
        <w:trPr>
          <w:trHeight w:val="397"/>
          <w:jc w:val="center"/>
        </w:trPr>
        <w:tc>
          <w:tcPr>
            <w:tcW w:w="1424" w:type="dxa"/>
            <w:shd w:val="clear" w:color="auto" w:fill="FFFFFF"/>
            <w:vAlign w:val="center"/>
          </w:tcPr>
          <w:p w14:paraId="2D6D6698" w14:textId="77777777" w:rsidR="004B0883" w:rsidRDefault="004B0883">
            <w:pPr>
              <w:widowControl w:val="0"/>
              <w:adjustRightInd w:val="0"/>
              <w:snapToGrid w:val="0"/>
              <w:jc w:val="center"/>
              <w:rPr>
                <w:rFonts w:ascii="宋体" w:hAnsi="宋体" w:cs="微软雅黑"/>
                <w:color w:val="000000"/>
              </w:rPr>
            </w:pPr>
            <w:r>
              <w:rPr>
                <w:rFonts w:ascii="宋体" w:hAnsi="宋体" w:cs="微软雅黑" w:hint="eastAsia"/>
                <w:color w:val="000000"/>
              </w:rPr>
              <w:t>李鹏飞</w:t>
            </w:r>
          </w:p>
        </w:tc>
        <w:tc>
          <w:tcPr>
            <w:tcW w:w="2582" w:type="dxa"/>
            <w:shd w:val="clear" w:color="auto" w:fill="FFFFFF"/>
            <w:vAlign w:val="center"/>
          </w:tcPr>
          <w:p w14:paraId="5905A9D0" w14:textId="77777777" w:rsidR="004B0883" w:rsidRDefault="004B0883">
            <w:pPr>
              <w:widowControl w:val="0"/>
              <w:adjustRightInd w:val="0"/>
              <w:snapToGrid w:val="0"/>
              <w:jc w:val="center"/>
              <w:rPr>
                <w:rFonts w:ascii="宋体" w:hAnsi="宋体" w:cs="微软雅黑"/>
                <w:color w:val="000000"/>
              </w:rPr>
            </w:pPr>
            <w:r>
              <w:rPr>
                <w:rFonts w:ascii="宋体" w:hAnsi="宋体" w:cs="微软雅黑" w:hint="eastAsia"/>
                <w:color w:val="000000"/>
              </w:rPr>
              <w:t>董事会秘书</w:t>
            </w:r>
          </w:p>
        </w:tc>
        <w:tc>
          <w:tcPr>
            <w:tcW w:w="2117" w:type="dxa"/>
            <w:shd w:val="clear" w:color="auto" w:fill="FFFFFF"/>
            <w:vAlign w:val="center"/>
          </w:tcPr>
          <w:p w14:paraId="49506D2C" w14:textId="77777777" w:rsidR="004B0883" w:rsidRDefault="004B0883">
            <w:pPr>
              <w:widowControl w:val="0"/>
              <w:adjustRightInd w:val="0"/>
              <w:snapToGrid w:val="0"/>
              <w:jc w:val="right"/>
              <w:rPr>
                <w:kern w:val="0"/>
              </w:rPr>
            </w:pPr>
            <w:r>
              <w:rPr>
                <w:rFonts w:eastAsia="等线"/>
                <w:color w:val="000000"/>
                <w:sz w:val="22"/>
                <w:szCs w:val="22"/>
              </w:rPr>
              <w:t>40</w:t>
            </w:r>
            <w:r>
              <w:rPr>
                <w:rFonts w:eastAsia="等线" w:hint="eastAsia"/>
                <w:color w:val="000000"/>
                <w:sz w:val="22"/>
                <w:szCs w:val="22"/>
              </w:rPr>
              <w:t>,</w:t>
            </w:r>
            <w:r>
              <w:rPr>
                <w:rFonts w:eastAsia="等线"/>
                <w:color w:val="000000"/>
                <w:sz w:val="22"/>
                <w:szCs w:val="22"/>
              </w:rPr>
              <w:t>690</w:t>
            </w:r>
          </w:p>
        </w:tc>
        <w:tc>
          <w:tcPr>
            <w:tcW w:w="2405" w:type="dxa"/>
            <w:shd w:val="clear" w:color="auto" w:fill="FFFFFF"/>
            <w:vAlign w:val="center"/>
          </w:tcPr>
          <w:p w14:paraId="2D791E4E" w14:textId="77777777" w:rsidR="004B0883" w:rsidRDefault="004B0883">
            <w:pPr>
              <w:widowControl w:val="0"/>
              <w:adjustRightInd w:val="0"/>
              <w:snapToGrid w:val="0"/>
              <w:ind w:right="105"/>
              <w:jc w:val="right"/>
            </w:pPr>
            <w:r>
              <w:t>0.02%</w:t>
            </w:r>
          </w:p>
        </w:tc>
      </w:tr>
    </w:tbl>
    <w:bookmarkEnd w:id="214"/>
    <w:p w14:paraId="18CC5F1E" w14:textId="77777777" w:rsidR="004B0883" w:rsidRDefault="004B0883">
      <w:pPr>
        <w:pStyle w:val="003"/>
        <w:spacing w:before="120" w:after="120"/>
      </w:pPr>
      <w:r>
        <w:rPr>
          <w:rFonts w:hint="eastAsia"/>
        </w:rPr>
        <w:t>（五）最近三年及一期内董事、监事及高级管理人员变动情况</w:t>
      </w:r>
    </w:p>
    <w:p w14:paraId="7369BE70" w14:textId="77777777" w:rsidR="004B0883" w:rsidRDefault="004B0883">
      <w:pPr>
        <w:pStyle w:val="004"/>
        <w:spacing w:before="120" w:after="120"/>
        <w:ind w:firstLine="482"/>
      </w:pPr>
      <w:r>
        <w:rPr>
          <w:rFonts w:hint="eastAsia"/>
        </w:rPr>
        <w:t>1</w:t>
      </w:r>
      <w:r>
        <w:rPr>
          <w:rFonts w:hint="eastAsia"/>
        </w:rPr>
        <w:t>、董事会人员变化</w:t>
      </w:r>
    </w:p>
    <w:p w14:paraId="3ABBC5E6" w14:textId="77777777" w:rsidR="004B0883" w:rsidRDefault="004B0883">
      <w:pPr>
        <w:pStyle w:val="1fff2"/>
        <w:tabs>
          <w:tab w:val="left" w:pos="0"/>
        </w:tabs>
        <w:autoSpaceDE w:val="0"/>
        <w:autoSpaceDN w:val="0"/>
        <w:spacing w:beforeLines="50" w:before="120" w:afterLines="50" w:after="120" w:line="360" w:lineRule="auto"/>
        <w:ind w:firstLine="480"/>
        <w:rPr>
          <w:color w:val="000000"/>
          <w:sz w:val="24"/>
          <w:szCs w:val="24"/>
        </w:rPr>
      </w:pPr>
      <w:r>
        <w:rPr>
          <w:rFonts w:cs="宋体"/>
          <w:sz w:val="24"/>
        </w:rPr>
        <w:t>2021</w:t>
      </w:r>
      <w:r>
        <w:rPr>
          <w:rFonts w:cs="宋体" w:hint="eastAsia"/>
          <w:sz w:val="24"/>
        </w:rPr>
        <w:t>年</w:t>
      </w:r>
      <w:r>
        <w:rPr>
          <w:rFonts w:cs="宋体" w:hint="eastAsia"/>
          <w:sz w:val="24"/>
        </w:rPr>
        <w:t>3</w:t>
      </w:r>
      <w:r>
        <w:rPr>
          <w:rFonts w:cs="宋体" w:hint="eastAsia"/>
          <w:sz w:val="24"/>
        </w:rPr>
        <w:t>月</w:t>
      </w:r>
      <w:r>
        <w:rPr>
          <w:rFonts w:cs="宋体" w:hint="eastAsia"/>
          <w:sz w:val="24"/>
        </w:rPr>
        <w:t>1</w:t>
      </w:r>
      <w:r>
        <w:rPr>
          <w:rFonts w:cs="宋体"/>
          <w:sz w:val="24"/>
        </w:rPr>
        <w:t>7</w:t>
      </w:r>
      <w:r>
        <w:rPr>
          <w:rFonts w:cs="宋体" w:hint="eastAsia"/>
          <w:sz w:val="24"/>
        </w:rPr>
        <w:t>日，发行人召开</w:t>
      </w:r>
      <w:r>
        <w:rPr>
          <w:rFonts w:cs="宋体" w:hint="eastAsia"/>
          <w:sz w:val="24"/>
        </w:rPr>
        <w:t>2</w:t>
      </w:r>
      <w:r>
        <w:rPr>
          <w:rFonts w:cs="宋体"/>
          <w:sz w:val="24"/>
        </w:rPr>
        <w:t>021</w:t>
      </w:r>
      <w:r>
        <w:rPr>
          <w:rFonts w:cs="宋体" w:hint="eastAsia"/>
          <w:sz w:val="24"/>
        </w:rPr>
        <w:t>年第一次临时股东大会，选举</w:t>
      </w:r>
      <w:r>
        <w:rPr>
          <w:rFonts w:cs="宋体"/>
          <w:sz w:val="24"/>
        </w:rPr>
        <w:t>范庆伟先生、李会君先生、迟娜娜女士、范玉隆先生共</w:t>
      </w:r>
      <w:r>
        <w:rPr>
          <w:rFonts w:cs="宋体" w:hint="eastAsia"/>
          <w:sz w:val="24"/>
        </w:rPr>
        <w:t>4</w:t>
      </w:r>
      <w:r>
        <w:rPr>
          <w:rFonts w:cs="宋体"/>
          <w:sz w:val="24"/>
        </w:rPr>
        <w:t>人为公司第四届董事会非独立董事，同意樊培银先生、宋银立先生、高科先生</w:t>
      </w:r>
      <w:r>
        <w:rPr>
          <w:rFonts w:cs="宋体" w:hint="eastAsia"/>
          <w:sz w:val="24"/>
        </w:rPr>
        <w:t>共</w:t>
      </w:r>
      <w:r>
        <w:rPr>
          <w:rFonts w:cs="宋体"/>
          <w:sz w:val="24"/>
        </w:rPr>
        <w:t>3</w:t>
      </w:r>
      <w:r>
        <w:rPr>
          <w:rFonts w:cs="宋体"/>
          <w:sz w:val="24"/>
        </w:rPr>
        <w:t>人为公司第四届董事会独立董事。</w:t>
      </w:r>
      <w:r>
        <w:rPr>
          <w:rFonts w:cs="宋体" w:hint="eastAsia"/>
          <w:sz w:val="24"/>
        </w:rPr>
        <w:t>第三届独立董事丁乃秀不再担任公司独立董事职务及其他任何职务</w:t>
      </w:r>
      <w:r>
        <w:rPr>
          <w:rFonts w:hint="eastAsia"/>
          <w:color w:val="000000"/>
          <w:sz w:val="24"/>
          <w:szCs w:val="24"/>
        </w:rPr>
        <w:t>。</w:t>
      </w:r>
    </w:p>
    <w:p w14:paraId="50A3E218" w14:textId="77777777" w:rsidR="004B0883" w:rsidRDefault="004B0883">
      <w:pPr>
        <w:pStyle w:val="004"/>
        <w:spacing w:before="120" w:after="120"/>
        <w:ind w:firstLine="482"/>
      </w:pPr>
      <w:r>
        <w:rPr>
          <w:rFonts w:hint="eastAsia"/>
        </w:rPr>
        <w:t>2</w:t>
      </w:r>
      <w:r>
        <w:rPr>
          <w:rFonts w:hint="eastAsia"/>
        </w:rPr>
        <w:t>、监事会人员变化</w:t>
      </w:r>
    </w:p>
    <w:p w14:paraId="3A258EE2" w14:textId="77777777" w:rsidR="004B0883" w:rsidRDefault="004B0883">
      <w:pPr>
        <w:widowControl w:val="0"/>
        <w:snapToGrid w:val="0"/>
        <w:spacing w:beforeLines="50" w:before="120" w:after="120" w:line="360" w:lineRule="auto"/>
        <w:ind w:firstLineChars="200" w:firstLine="480"/>
        <w:jc w:val="both"/>
        <w:rPr>
          <w:color w:val="000000"/>
          <w:sz w:val="24"/>
          <w:szCs w:val="24"/>
        </w:rPr>
      </w:pPr>
      <w:r>
        <w:rPr>
          <w:rFonts w:cs="宋体" w:hint="eastAsia"/>
          <w:sz w:val="24"/>
        </w:rPr>
        <w:t>最近三年及一期，发行人监事未发生变化。</w:t>
      </w:r>
    </w:p>
    <w:p w14:paraId="4DE7379D" w14:textId="77777777" w:rsidR="004B0883" w:rsidRDefault="004B0883">
      <w:pPr>
        <w:pStyle w:val="004"/>
        <w:spacing w:before="120" w:after="120"/>
        <w:ind w:firstLine="482"/>
      </w:pPr>
      <w:r>
        <w:rPr>
          <w:rFonts w:hint="eastAsia"/>
        </w:rPr>
        <w:t>3</w:t>
      </w:r>
      <w:r>
        <w:rPr>
          <w:rFonts w:hint="eastAsia"/>
        </w:rPr>
        <w:t>、高级管理人员变化</w:t>
      </w:r>
    </w:p>
    <w:p w14:paraId="3A4D4EC3" w14:textId="77777777" w:rsidR="004B0883" w:rsidRDefault="004B0883">
      <w:pPr>
        <w:widowControl w:val="0"/>
        <w:tabs>
          <w:tab w:val="left" w:pos="0"/>
        </w:tabs>
        <w:autoSpaceDE w:val="0"/>
        <w:autoSpaceDN w:val="0"/>
        <w:spacing w:beforeLines="50" w:before="120" w:afterLines="50" w:after="120" w:line="360" w:lineRule="auto"/>
        <w:ind w:firstLine="420"/>
        <w:jc w:val="both"/>
        <w:rPr>
          <w:rFonts w:cs="宋体"/>
          <w:sz w:val="24"/>
          <w:szCs w:val="22"/>
        </w:rPr>
      </w:pPr>
      <w:r>
        <w:rPr>
          <w:rFonts w:cs="宋体" w:hint="eastAsia"/>
          <w:sz w:val="24"/>
          <w:szCs w:val="22"/>
        </w:rPr>
        <w:t>2</w:t>
      </w:r>
      <w:r>
        <w:rPr>
          <w:rFonts w:cs="宋体"/>
          <w:sz w:val="24"/>
          <w:szCs w:val="22"/>
        </w:rPr>
        <w:t>020</w:t>
      </w:r>
      <w:r>
        <w:rPr>
          <w:rFonts w:cs="宋体" w:hint="eastAsia"/>
          <w:sz w:val="24"/>
          <w:szCs w:val="22"/>
        </w:rPr>
        <w:t>年</w:t>
      </w:r>
      <w:r>
        <w:rPr>
          <w:rFonts w:cs="宋体" w:hint="eastAsia"/>
          <w:sz w:val="24"/>
          <w:szCs w:val="22"/>
        </w:rPr>
        <w:t>1</w:t>
      </w:r>
      <w:r>
        <w:rPr>
          <w:rFonts w:cs="宋体"/>
          <w:sz w:val="24"/>
          <w:szCs w:val="22"/>
        </w:rPr>
        <w:t>1</w:t>
      </w:r>
      <w:r>
        <w:rPr>
          <w:rFonts w:cs="宋体" w:hint="eastAsia"/>
          <w:sz w:val="24"/>
          <w:szCs w:val="22"/>
        </w:rPr>
        <w:t>月</w:t>
      </w:r>
      <w:r>
        <w:rPr>
          <w:rFonts w:cs="宋体" w:hint="eastAsia"/>
          <w:sz w:val="24"/>
          <w:szCs w:val="22"/>
        </w:rPr>
        <w:t>2</w:t>
      </w:r>
      <w:r>
        <w:rPr>
          <w:rFonts w:cs="宋体"/>
          <w:sz w:val="24"/>
          <w:szCs w:val="22"/>
        </w:rPr>
        <w:t>5</w:t>
      </w:r>
      <w:r>
        <w:rPr>
          <w:rFonts w:cs="宋体" w:hint="eastAsia"/>
          <w:sz w:val="24"/>
          <w:szCs w:val="22"/>
        </w:rPr>
        <w:t>日，发行人第三届董事会第二十次会议审议通过了《关于聘任公司高级管理人员的议案》，经公司董事会提名委员会提名，董事会审核并同意聘任刘鹏先生为公司副总经理，任期自公司董事会审议通过之日起至第三届董事会任期届满。</w:t>
      </w:r>
    </w:p>
    <w:p w14:paraId="42D368AE" w14:textId="77777777" w:rsidR="004B0883" w:rsidRDefault="004B0883">
      <w:pPr>
        <w:widowControl w:val="0"/>
        <w:tabs>
          <w:tab w:val="left" w:pos="0"/>
        </w:tabs>
        <w:autoSpaceDE w:val="0"/>
        <w:autoSpaceDN w:val="0"/>
        <w:spacing w:beforeLines="50" w:before="120" w:afterLines="50" w:after="120" w:line="360" w:lineRule="auto"/>
        <w:ind w:firstLine="420"/>
        <w:jc w:val="both"/>
        <w:rPr>
          <w:rFonts w:cs="宋体"/>
          <w:sz w:val="24"/>
          <w:szCs w:val="22"/>
        </w:rPr>
      </w:pPr>
      <w:r>
        <w:rPr>
          <w:rFonts w:cs="宋体" w:hint="eastAsia"/>
          <w:sz w:val="24"/>
          <w:szCs w:val="22"/>
        </w:rPr>
        <w:t>2</w:t>
      </w:r>
      <w:r>
        <w:rPr>
          <w:rFonts w:cs="宋体"/>
          <w:sz w:val="24"/>
          <w:szCs w:val="22"/>
        </w:rPr>
        <w:t>021</w:t>
      </w:r>
      <w:r>
        <w:rPr>
          <w:rFonts w:cs="宋体" w:hint="eastAsia"/>
          <w:sz w:val="24"/>
          <w:szCs w:val="22"/>
        </w:rPr>
        <w:t>年</w:t>
      </w:r>
      <w:r>
        <w:rPr>
          <w:rFonts w:cs="宋体" w:hint="eastAsia"/>
          <w:sz w:val="24"/>
          <w:szCs w:val="22"/>
        </w:rPr>
        <w:t>1</w:t>
      </w:r>
      <w:r>
        <w:rPr>
          <w:rFonts w:cs="宋体" w:hint="eastAsia"/>
          <w:sz w:val="24"/>
          <w:szCs w:val="22"/>
        </w:rPr>
        <w:t>月</w:t>
      </w:r>
      <w:r>
        <w:rPr>
          <w:rFonts w:cs="宋体" w:hint="eastAsia"/>
          <w:sz w:val="24"/>
          <w:szCs w:val="22"/>
        </w:rPr>
        <w:t>6</w:t>
      </w:r>
      <w:r>
        <w:rPr>
          <w:rFonts w:cs="宋体" w:hint="eastAsia"/>
          <w:sz w:val="24"/>
          <w:szCs w:val="22"/>
        </w:rPr>
        <w:t>日，发行人发布《关于公司高级管理人员辞去品质总监职务的公告》，发行人品质总监崔兴建因工作变动原因申请辞去公司品质总监职务，辞去上述职务后，崔兴建先生将担任公司工艺技术顾问职务。</w:t>
      </w:r>
    </w:p>
    <w:p w14:paraId="4363ACE2" w14:textId="77777777" w:rsidR="004B0883" w:rsidRDefault="004B0883">
      <w:pPr>
        <w:widowControl w:val="0"/>
        <w:tabs>
          <w:tab w:val="left" w:pos="0"/>
        </w:tabs>
        <w:autoSpaceDE w:val="0"/>
        <w:autoSpaceDN w:val="0"/>
        <w:spacing w:beforeLines="50" w:before="120" w:afterLines="50" w:after="120" w:line="360" w:lineRule="auto"/>
        <w:ind w:firstLine="420"/>
        <w:jc w:val="both"/>
        <w:rPr>
          <w:rFonts w:cs="宋体"/>
          <w:sz w:val="24"/>
          <w:szCs w:val="22"/>
        </w:rPr>
      </w:pPr>
      <w:r>
        <w:rPr>
          <w:rFonts w:cs="宋体" w:hint="eastAsia"/>
          <w:sz w:val="24"/>
          <w:szCs w:val="22"/>
        </w:rPr>
        <w:t>2021</w:t>
      </w:r>
      <w:r>
        <w:rPr>
          <w:rFonts w:cs="宋体" w:hint="eastAsia"/>
          <w:sz w:val="24"/>
          <w:szCs w:val="22"/>
        </w:rPr>
        <w:t>年</w:t>
      </w:r>
      <w:r>
        <w:rPr>
          <w:rFonts w:cs="宋体" w:hint="eastAsia"/>
          <w:sz w:val="24"/>
          <w:szCs w:val="22"/>
        </w:rPr>
        <w:t>3</w:t>
      </w:r>
      <w:r>
        <w:rPr>
          <w:rFonts w:cs="宋体" w:hint="eastAsia"/>
          <w:sz w:val="24"/>
          <w:szCs w:val="22"/>
        </w:rPr>
        <w:t>月</w:t>
      </w:r>
      <w:r>
        <w:rPr>
          <w:rFonts w:cs="宋体" w:hint="eastAsia"/>
          <w:sz w:val="24"/>
          <w:szCs w:val="22"/>
        </w:rPr>
        <w:t>22</w:t>
      </w:r>
      <w:r>
        <w:rPr>
          <w:rFonts w:cs="宋体" w:hint="eastAsia"/>
          <w:sz w:val="24"/>
          <w:szCs w:val="22"/>
        </w:rPr>
        <w:t>日，发行人第四届董事会第一次会议审议通过《关于聘任公司高级管理人员的议案》，聘任李会君为总经理、高峰为副总经理、刘克平为副总经理兼董事会秘书、刘鹏为副总经理、迟娜娜为财务总监、郭成尼为国际销售总监、张会亭为研发技术总监、渠汇成为生产总监、王兆健担任质量总监，任期与第四届董事会任期相同。</w:t>
      </w:r>
    </w:p>
    <w:p w14:paraId="61EC337D" w14:textId="77777777" w:rsidR="004B0883" w:rsidRDefault="004B0883">
      <w:pPr>
        <w:widowControl w:val="0"/>
        <w:tabs>
          <w:tab w:val="left" w:pos="0"/>
        </w:tabs>
        <w:autoSpaceDE w:val="0"/>
        <w:autoSpaceDN w:val="0"/>
        <w:spacing w:beforeLines="50" w:before="120" w:afterLines="50" w:after="120" w:line="360" w:lineRule="auto"/>
        <w:ind w:firstLine="420"/>
        <w:jc w:val="both"/>
        <w:rPr>
          <w:rFonts w:cs="宋体"/>
          <w:sz w:val="24"/>
          <w:szCs w:val="22"/>
        </w:rPr>
      </w:pPr>
      <w:r>
        <w:rPr>
          <w:rFonts w:cs="宋体" w:hint="eastAsia"/>
          <w:sz w:val="24"/>
          <w:szCs w:val="22"/>
        </w:rPr>
        <w:t>2</w:t>
      </w:r>
      <w:r>
        <w:rPr>
          <w:rFonts w:cs="宋体"/>
          <w:sz w:val="24"/>
          <w:szCs w:val="22"/>
        </w:rPr>
        <w:t>021</w:t>
      </w:r>
      <w:r>
        <w:rPr>
          <w:rFonts w:cs="宋体" w:hint="eastAsia"/>
          <w:sz w:val="24"/>
          <w:szCs w:val="22"/>
        </w:rPr>
        <w:t>年</w:t>
      </w:r>
      <w:r>
        <w:rPr>
          <w:rFonts w:cs="宋体" w:hint="eastAsia"/>
          <w:sz w:val="24"/>
          <w:szCs w:val="22"/>
        </w:rPr>
        <w:t>8</w:t>
      </w:r>
      <w:r>
        <w:rPr>
          <w:rFonts w:cs="宋体" w:hint="eastAsia"/>
          <w:sz w:val="24"/>
          <w:szCs w:val="22"/>
        </w:rPr>
        <w:t>月</w:t>
      </w:r>
      <w:r>
        <w:rPr>
          <w:rFonts w:cs="宋体" w:hint="eastAsia"/>
          <w:sz w:val="24"/>
          <w:szCs w:val="22"/>
        </w:rPr>
        <w:t>5</w:t>
      </w:r>
      <w:r>
        <w:rPr>
          <w:rFonts w:cs="宋体" w:hint="eastAsia"/>
          <w:sz w:val="24"/>
          <w:szCs w:val="22"/>
        </w:rPr>
        <w:t>日，发行人发布《关于公司副总经理刘鹏先生辞职的公告》，刘鹏先生因个人原因，申请辞去其所担任的公司副总经理职务，辞职后不再担任公司其他任何职务。</w:t>
      </w:r>
    </w:p>
    <w:p w14:paraId="3D803700" w14:textId="77777777" w:rsidR="004B0883" w:rsidRDefault="004B0883">
      <w:pPr>
        <w:shd w:val="clear" w:color="auto" w:fill="FFFFFF"/>
        <w:spacing w:beforeLines="50" w:before="120" w:afterLines="50" w:after="120" w:line="360" w:lineRule="auto"/>
        <w:ind w:firstLineChars="200" w:firstLine="480"/>
        <w:jc w:val="both"/>
        <w:rPr>
          <w:rFonts w:cs="宋体"/>
          <w:sz w:val="24"/>
          <w:szCs w:val="22"/>
        </w:rPr>
      </w:pPr>
      <w:r>
        <w:rPr>
          <w:rFonts w:cs="宋体" w:hint="eastAsia"/>
          <w:sz w:val="24"/>
          <w:szCs w:val="22"/>
        </w:rPr>
        <w:t>2</w:t>
      </w:r>
      <w:r>
        <w:rPr>
          <w:rFonts w:cs="宋体"/>
          <w:sz w:val="24"/>
          <w:szCs w:val="22"/>
        </w:rPr>
        <w:t>022</w:t>
      </w:r>
      <w:r>
        <w:rPr>
          <w:rFonts w:cs="宋体" w:hint="eastAsia"/>
          <w:sz w:val="24"/>
          <w:szCs w:val="22"/>
        </w:rPr>
        <w:t>年</w:t>
      </w:r>
      <w:r>
        <w:rPr>
          <w:rFonts w:cs="宋体" w:hint="eastAsia"/>
          <w:sz w:val="24"/>
          <w:szCs w:val="22"/>
        </w:rPr>
        <w:t>6</w:t>
      </w:r>
      <w:r>
        <w:rPr>
          <w:rFonts w:cs="宋体" w:hint="eastAsia"/>
          <w:sz w:val="24"/>
          <w:szCs w:val="22"/>
        </w:rPr>
        <w:t>月</w:t>
      </w:r>
      <w:r>
        <w:rPr>
          <w:rFonts w:cs="宋体" w:hint="eastAsia"/>
          <w:sz w:val="24"/>
          <w:szCs w:val="22"/>
        </w:rPr>
        <w:t>1</w:t>
      </w:r>
      <w:r>
        <w:rPr>
          <w:rFonts w:cs="宋体" w:hint="eastAsia"/>
          <w:sz w:val="24"/>
          <w:szCs w:val="22"/>
        </w:rPr>
        <w:t>日，发行人发布《关于董事会秘书退休辞任并指定财务总监代行董事会秘书职责的公告》，因刘克平先生达到退休年龄办理退休原因向公司第四届董事会提出辞去公司副总经理、董事会秘书的申请，刘克平先生离任后仍在公司担任顾问工作。在公司未正式聘任新的董事会秘书期间，公司董事会指定公司董事、财务总监迟娜娜女士于</w:t>
      </w:r>
      <w:r>
        <w:rPr>
          <w:rFonts w:cs="宋体" w:hint="eastAsia"/>
          <w:sz w:val="24"/>
          <w:szCs w:val="22"/>
        </w:rPr>
        <w:t>2022</w:t>
      </w:r>
      <w:r>
        <w:rPr>
          <w:rFonts w:cs="宋体" w:hint="eastAsia"/>
          <w:sz w:val="24"/>
          <w:szCs w:val="22"/>
        </w:rPr>
        <w:t>年</w:t>
      </w:r>
      <w:r>
        <w:rPr>
          <w:rFonts w:cs="宋体" w:hint="eastAsia"/>
          <w:sz w:val="24"/>
          <w:szCs w:val="22"/>
        </w:rPr>
        <w:t>6</w:t>
      </w:r>
      <w:r>
        <w:rPr>
          <w:rFonts w:cs="宋体" w:hint="eastAsia"/>
          <w:sz w:val="24"/>
          <w:szCs w:val="22"/>
        </w:rPr>
        <w:t>月</w:t>
      </w:r>
      <w:r>
        <w:rPr>
          <w:rFonts w:cs="宋体" w:hint="eastAsia"/>
          <w:sz w:val="24"/>
          <w:szCs w:val="22"/>
        </w:rPr>
        <w:t>1</w:t>
      </w:r>
      <w:r>
        <w:rPr>
          <w:rFonts w:cs="宋体" w:hint="eastAsia"/>
          <w:sz w:val="24"/>
          <w:szCs w:val="22"/>
        </w:rPr>
        <w:t>日起代行董事会秘书职责，代行时间不超过三个月。</w:t>
      </w:r>
    </w:p>
    <w:p w14:paraId="7ACAC6C0" w14:textId="77777777" w:rsidR="004B0883" w:rsidRDefault="004B0883">
      <w:pPr>
        <w:widowControl w:val="0"/>
        <w:tabs>
          <w:tab w:val="left" w:pos="0"/>
        </w:tabs>
        <w:autoSpaceDE w:val="0"/>
        <w:autoSpaceDN w:val="0"/>
        <w:spacing w:beforeLines="50" w:before="120" w:afterLines="50" w:after="120" w:line="360" w:lineRule="auto"/>
        <w:ind w:firstLine="420"/>
        <w:jc w:val="both"/>
        <w:rPr>
          <w:rFonts w:cs="宋体" w:hint="eastAsia"/>
          <w:sz w:val="24"/>
          <w:szCs w:val="22"/>
        </w:rPr>
      </w:pPr>
      <w:r>
        <w:rPr>
          <w:rFonts w:cs="宋体" w:hint="eastAsia"/>
          <w:sz w:val="24"/>
          <w:szCs w:val="22"/>
        </w:rPr>
        <w:t>2022</w:t>
      </w:r>
      <w:r>
        <w:rPr>
          <w:rFonts w:cs="宋体" w:hint="eastAsia"/>
          <w:sz w:val="24"/>
          <w:szCs w:val="22"/>
        </w:rPr>
        <w:t>年</w:t>
      </w:r>
      <w:r>
        <w:rPr>
          <w:rFonts w:cs="宋体" w:hint="eastAsia"/>
          <w:sz w:val="24"/>
          <w:szCs w:val="22"/>
        </w:rPr>
        <w:t>8</w:t>
      </w:r>
      <w:r>
        <w:rPr>
          <w:rFonts w:cs="宋体" w:hint="eastAsia"/>
          <w:sz w:val="24"/>
          <w:szCs w:val="22"/>
        </w:rPr>
        <w:t>月</w:t>
      </w:r>
      <w:r>
        <w:rPr>
          <w:rFonts w:cs="宋体" w:hint="eastAsia"/>
          <w:sz w:val="24"/>
          <w:szCs w:val="22"/>
        </w:rPr>
        <w:t>30</w:t>
      </w:r>
      <w:r>
        <w:rPr>
          <w:rFonts w:cs="宋体" w:hint="eastAsia"/>
          <w:sz w:val="24"/>
          <w:szCs w:val="22"/>
        </w:rPr>
        <w:t>日，发行人第四届董事会第十三次会议审议通过了《关于聘任公司董事会秘书的议案》，经公司董事长提名，董事会提名委员会审查，第四届董事会第十三次会议审议通过，同意聘任迟娜娜女士为公司董事会秘书，其任期自公司董事会审议通过之日起至公司第四届董事会任期届满之日止。</w:t>
      </w:r>
    </w:p>
    <w:p w14:paraId="5037A617" w14:textId="77777777" w:rsidR="004B0883" w:rsidRDefault="004B0883">
      <w:pPr>
        <w:widowControl w:val="0"/>
        <w:tabs>
          <w:tab w:val="left" w:pos="0"/>
        </w:tabs>
        <w:autoSpaceDE w:val="0"/>
        <w:autoSpaceDN w:val="0"/>
        <w:spacing w:beforeLines="50" w:before="120" w:afterLines="50" w:after="120" w:line="360" w:lineRule="auto"/>
        <w:ind w:firstLine="420"/>
        <w:jc w:val="both"/>
      </w:pPr>
      <w:r>
        <w:rPr>
          <w:rFonts w:cs="宋体" w:hint="eastAsia"/>
          <w:sz w:val="24"/>
          <w:szCs w:val="22"/>
        </w:rPr>
        <w:t>2</w:t>
      </w:r>
      <w:r>
        <w:rPr>
          <w:rFonts w:cs="宋体"/>
          <w:sz w:val="24"/>
          <w:szCs w:val="22"/>
        </w:rPr>
        <w:t>022</w:t>
      </w:r>
      <w:r>
        <w:rPr>
          <w:rFonts w:cs="宋体" w:hint="eastAsia"/>
          <w:sz w:val="24"/>
          <w:szCs w:val="22"/>
        </w:rPr>
        <w:t>年</w:t>
      </w:r>
      <w:r>
        <w:rPr>
          <w:rFonts w:cs="宋体" w:hint="eastAsia"/>
          <w:sz w:val="24"/>
          <w:szCs w:val="22"/>
        </w:rPr>
        <w:t>8</w:t>
      </w:r>
      <w:r>
        <w:rPr>
          <w:rFonts w:cs="宋体" w:hint="eastAsia"/>
          <w:sz w:val="24"/>
          <w:szCs w:val="22"/>
        </w:rPr>
        <w:t>月</w:t>
      </w:r>
      <w:r>
        <w:rPr>
          <w:rFonts w:cs="宋体" w:hint="eastAsia"/>
          <w:sz w:val="24"/>
          <w:szCs w:val="22"/>
        </w:rPr>
        <w:t>3</w:t>
      </w:r>
      <w:r>
        <w:rPr>
          <w:rFonts w:cs="宋体"/>
          <w:sz w:val="24"/>
          <w:szCs w:val="22"/>
        </w:rPr>
        <w:t>0</w:t>
      </w:r>
      <w:r>
        <w:rPr>
          <w:rFonts w:cs="宋体" w:hint="eastAsia"/>
          <w:sz w:val="24"/>
          <w:szCs w:val="22"/>
        </w:rPr>
        <w:t>日，发行人第四届董事会第十三次会议审议通过了《关于聘任公司高级管理人员的议案》，经公司总经理提名，董事会提名委员会审查，第四届董事会第十三次会议审议通过，同意聘任杨杰先生为公司副总经理，其任期自公司董事会审议通过之日起至第四届董事会任期届满之日止。</w:t>
      </w:r>
    </w:p>
    <w:p w14:paraId="01EBA164" w14:textId="77777777" w:rsidR="004B0883" w:rsidRDefault="004B0883">
      <w:pPr>
        <w:widowControl w:val="0"/>
        <w:tabs>
          <w:tab w:val="left" w:pos="0"/>
        </w:tabs>
        <w:autoSpaceDE w:val="0"/>
        <w:autoSpaceDN w:val="0"/>
        <w:spacing w:beforeLines="50" w:before="120" w:afterLines="50" w:after="120" w:line="360" w:lineRule="auto"/>
        <w:ind w:firstLine="420"/>
        <w:jc w:val="both"/>
        <w:rPr>
          <w:rFonts w:cs="宋体" w:hint="eastAsia"/>
          <w:sz w:val="24"/>
          <w:szCs w:val="22"/>
        </w:rPr>
      </w:pPr>
      <w:r>
        <w:rPr>
          <w:rFonts w:cs="宋体" w:hint="eastAsia"/>
          <w:sz w:val="24"/>
          <w:szCs w:val="22"/>
        </w:rPr>
        <w:t>2</w:t>
      </w:r>
      <w:r>
        <w:rPr>
          <w:rFonts w:cs="宋体"/>
          <w:sz w:val="24"/>
          <w:szCs w:val="22"/>
        </w:rPr>
        <w:t>022</w:t>
      </w:r>
      <w:r>
        <w:rPr>
          <w:rFonts w:cs="宋体" w:hint="eastAsia"/>
          <w:sz w:val="24"/>
          <w:szCs w:val="22"/>
        </w:rPr>
        <w:t>年</w:t>
      </w:r>
      <w:r>
        <w:rPr>
          <w:rFonts w:cs="宋体" w:hint="eastAsia"/>
          <w:sz w:val="24"/>
          <w:szCs w:val="22"/>
        </w:rPr>
        <w:t>9</w:t>
      </w:r>
      <w:r>
        <w:rPr>
          <w:rFonts w:cs="宋体" w:hint="eastAsia"/>
          <w:sz w:val="24"/>
          <w:szCs w:val="22"/>
        </w:rPr>
        <w:t>月</w:t>
      </w:r>
      <w:r>
        <w:rPr>
          <w:rFonts w:cs="宋体" w:hint="eastAsia"/>
          <w:sz w:val="24"/>
          <w:szCs w:val="22"/>
        </w:rPr>
        <w:t>3</w:t>
      </w:r>
      <w:r>
        <w:rPr>
          <w:rFonts w:cs="宋体"/>
          <w:sz w:val="24"/>
          <w:szCs w:val="22"/>
        </w:rPr>
        <w:t>0</w:t>
      </w:r>
      <w:r>
        <w:rPr>
          <w:rFonts w:cs="宋体" w:hint="eastAsia"/>
          <w:sz w:val="24"/>
          <w:szCs w:val="22"/>
        </w:rPr>
        <w:t>日，发行人发布《关于公司高级管理人员辞职的公告》，高峰先生因个人原因，申请辞去其所担任的公司副总经理职务，辞职后不再担任公司其他任何职务。</w:t>
      </w:r>
    </w:p>
    <w:p w14:paraId="479B356C" w14:textId="77777777" w:rsidR="004B0883" w:rsidRDefault="004B0883">
      <w:pPr>
        <w:pStyle w:val="TOC2"/>
        <w:ind w:leftChars="0" w:left="0" w:firstLineChars="200" w:firstLine="480"/>
        <w:rPr>
          <w:rFonts w:hint="eastAsia"/>
        </w:rPr>
      </w:pPr>
      <w:r>
        <w:rPr>
          <w:rFonts w:hint="eastAsia"/>
        </w:rPr>
        <w:t>2023</w:t>
      </w:r>
      <w:r>
        <w:rPr>
          <w:rFonts w:hint="eastAsia"/>
        </w:rPr>
        <w:t>年</w:t>
      </w:r>
      <w:r>
        <w:rPr>
          <w:rFonts w:hint="eastAsia"/>
        </w:rPr>
        <w:t>3</w:t>
      </w:r>
      <w:r>
        <w:rPr>
          <w:rFonts w:hint="eastAsia"/>
        </w:rPr>
        <w:t>月</w:t>
      </w:r>
      <w:r>
        <w:rPr>
          <w:rFonts w:hint="eastAsia"/>
        </w:rPr>
        <w:t>20</w:t>
      </w:r>
      <w:r>
        <w:rPr>
          <w:rFonts w:hint="eastAsia"/>
        </w:rPr>
        <w:t>日，</w:t>
      </w:r>
      <w:r>
        <w:rPr>
          <w:rFonts w:cs="宋体" w:hint="eastAsia"/>
          <w:szCs w:val="22"/>
        </w:rPr>
        <w:t>发行人召开第四届董事会第十九次会议，审议通过了《关于聘任公司高级管理人员的议案》，经公司总经理提名，董事会提名委员会审查，第四届董事会第十九次会议审议通过，同意聘任陈存明先生为公司营销中心总监，其任期自公司董事会审议通过之日起至第四届董事会任期届满之日止。</w:t>
      </w:r>
    </w:p>
    <w:p w14:paraId="285D3DA4" w14:textId="77777777" w:rsidR="004B0883" w:rsidRDefault="004B0883">
      <w:pPr>
        <w:widowControl w:val="0"/>
        <w:tabs>
          <w:tab w:val="left" w:pos="0"/>
        </w:tabs>
        <w:autoSpaceDE w:val="0"/>
        <w:autoSpaceDN w:val="0"/>
        <w:spacing w:beforeLines="50" w:before="120" w:afterLines="50" w:after="120" w:line="360" w:lineRule="auto"/>
        <w:ind w:firstLine="420"/>
        <w:jc w:val="both"/>
        <w:rPr>
          <w:rFonts w:cs="宋体"/>
          <w:sz w:val="24"/>
          <w:szCs w:val="22"/>
        </w:rPr>
      </w:pPr>
      <w:r>
        <w:rPr>
          <w:rFonts w:cs="宋体" w:hint="eastAsia"/>
          <w:sz w:val="24"/>
          <w:szCs w:val="22"/>
        </w:rPr>
        <w:t>2</w:t>
      </w:r>
      <w:r>
        <w:rPr>
          <w:rFonts w:cs="宋体"/>
          <w:sz w:val="24"/>
          <w:szCs w:val="22"/>
        </w:rPr>
        <w:t>023</w:t>
      </w:r>
      <w:r>
        <w:rPr>
          <w:rFonts w:cs="宋体" w:hint="eastAsia"/>
          <w:sz w:val="24"/>
          <w:szCs w:val="22"/>
        </w:rPr>
        <w:t>年</w:t>
      </w:r>
      <w:r>
        <w:rPr>
          <w:rFonts w:cs="宋体" w:hint="eastAsia"/>
          <w:sz w:val="24"/>
          <w:szCs w:val="22"/>
        </w:rPr>
        <w:t>5</w:t>
      </w:r>
      <w:r>
        <w:rPr>
          <w:rFonts w:cs="宋体" w:hint="eastAsia"/>
          <w:sz w:val="24"/>
          <w:szCs w:val="22"/>
        </w:rPr>
        <w:t>月</w:t>
      </w:r>
      <w:r>
        <w:rPr>
          <w:rFonts w:cs="宋体" w:hint="eastAsia"/>
          <w:sz w:val="24"/>
          <w:szCs w:val="22"/>
        </w:rPr>
        <w:t>1</w:t>
      </w:r>
      <w:r>
        <w:rPr>
          <w:rFonts w:cs="宋体"/>
          <w:sz w:val="24"/>
          <w:szCs w:val="22"/>
        </w:rPr>
        <w:t>1</w:t>
      </w:r>
      <w:r>
        <w:rPr>
          <w:rFonts w:cs="宋体" w:hint="eastAsia"/>
          <w:sz w:val="24"/>
          <w:szCs w:val="22"/>
        </w:rPr>
        <w:t>日，发行人召开第四届董事会第二十二次会议，审议通过了《关于变更公司董事会秘书的议案》，迟娜娜女士因工作分工调整申请辞去公司董事会秘书职务，辞职报告自送达公司董事会之日起生效，董事会同意聘任李鹏飞先生任公司第四届董事会的董事会秘书，任期至公司第四届董事会届满之日。</w:t>
      </w:r>
    </w:p>
    <w:p w14:paraId="1C12790C" w14:textId="77777777" w:rsidR="004B0883" w:rsidRDefault="004B0883">
      <w:pPr>
        <w:widowControl w:val="0"/>
        <w:tabs>
          <w:tab w:val="left" w:pos="0"/>
        </w:tabs>
        <w:autoSpaceDE w:val="0"/>
        <w:autoSpaceDN w:val="0"/>
        <w:spacing w:beforeLines="50" w:before="120" w:afterLines="50" w:after="120" w:line="360" w:lineRule="auto"/>
        <w:ind w:firstLine="420"/>
        <w:jc w:val="both"/>
        <w:rPr>
          <w:rFonts w:cs="宋体" w:hint="eastAsia"/>
          <w:sz w:val="24"/>
          <w:szCs w:val="22"/>
        </w:rPr>
      </w:pPr>
      <w:r>
        <w:rPr>
          <w:rFonts w:cs="宋体" w:hint="eastAsia"/>
          <w:sz w:val="24"/>
          <w:szCs w:val="22"/>
        </w:rPr>
        <w:t>2</w:t>
      </w:r>
      <w:r>
        <w:rPr>
          <w:rFonts w:cs="宋体"/>
          <w:sz w:val="24"/>
          <w:szCs w:val="22"/>
        </w:rPr>
        <w:t>023</w:t>
      </w:r>
      <w:r>
        <w:rPr>
          <w:rFonts w:cs="宋体" w:hint="eastAsia"/>
          <w:sz w:val="24"/>
          <w:szCs w:val="22"/>
        </w:rPr>
        <w:t>年</w:t>
      </w:r>
      <w:r>
        <w:rPr>
          <w:rFonts w:cs="宋体"/>
          <w:sz w:val="24"/>
          <w:szCs w:val="22"/>
        </w:rPr>
        <w:t>6</w:t>
      </w:r>
      <w:r>
        <w:rPr>
          <w:rFonts w:cs="宋体" w:hint="eastAsia"/>
          <w:sz w:val="24"/>
          <w:szCs w:val="22"/>
        </w:rPr>
        <w:t>月</w:t>
      </w:r>
      <w:r>
        <w:rPr>
          <w:rFonts w:cs="宋体"/>
          <w:sz w:val="24"/>
          <w:szCs w:val="22"/>
        </w:rPr>
        <w:t>21</w:t>
      </w:r>
      <w:r>
        <w:rPr>
          <w:rFonts w:cs="宋体" w:hint="eastAsia"/>
          <w:sz w:val="24"/>
          <w:szCs w:val="22"/>
        </w:rPr>
        <w:t>日，发行人发布《关于公司高级管理人员辞职的公告》，杨杰先生因个人原因，申请辞去其所担任的公司副总经理职务，辞职后不再担任公司其他任何职务。</w:t>
      </w:r>
    </w:p>
    <w:p w14:paraId="0BBA8B3E" w14:textId="77777777" w:rsidR="004B0883" w:rsidRDefault="004B0883">
      <w:pPr>
        <w:pStyle w:val="003"/>
        <w:spacing w:before="120" w:after="120"/>
        <w:rPr>
          <w:rFonts w:hint="eastAsia"/>
        </w:rPr>
      </w:pPr>
      <w:r>
        <w:rPr>
          <w:rFonts w:hint="eastAsia"/>
        </w:rPr>
        <w:t>（六）公司对董事、高级管理人员及其他员工的激励情况</w:t>
      </w:r>
    </w:p>
    <w:p w14:paraId="0E7C80C0" w14:textId="77777777" w:rsidR="004B0883" w:rsidRDefault="004B0883">
      <w:pPr>
        <w:pStyle w:val="005"/>
        <w:spacing w:before="120"/>
        <w:ind w:firstLine="480"/>
      </w:pPr>
      <w:r>
        <w:rPr>
          <w:rFonts w:hint="eastAsia"/>
        </w:rPr>
        <w:t>报告期内，为进一步促进公司建立健全长期激励与约束机制，充分调动公司激励对象的积极性与创造性，公司对董事、高级管理人员及其他员工的激励情况如下：</w:t>
      </w:r>
    </w:p>
    <w:p w14:paraId="5963F434" w14:textId="77777777" w:rsidR="004B0883" w:rsidRDefault="004B0883">
      <w:pPr>
        <w:keepNext/>
        <w:keepLines/>
        <w:widowControl w:val="0"/>
        <w:spacing w:beforeLines="50" w:before="120" w:line="360" w:lineRule="auto"/>
        <w:ind w:firstLineChars="200" w:firstLine="482"/>
        <w:jc w:val="both"/>
        <w:rPr>
          <w:b/>
          <w:bCs/>
          <w:sz w:val="24"/>
          <w:szCs w:val="28"/>
          <w:lang w:val="zh-CN"/>
        </w:rPr>
      </w:pPr>
      <w:r>
        <w:rPr>
          <w:rFonts w:hint="eastAsia"/>
          <w:b/>
          <w:bCs/>
          <w:sz w:val="24"/>
          <w:szCs w:val="28"/>
          <w:lang w:val="zh-CN"/>
        </w:rPr>
        <w:t>1</w:t>
      </w:r>
      <w:r>
        <w:rPr>
          <w:rFonts w:hint="eastAsia"/>
          <w:b/>
          <w:bCs/>
          <w:sz w:val="24"/>
          <w:szCs w:val="28"/>
          <w:lang w:val="zh-CN"/>
        </w:rPr>
        <w:t>、第一期限制性股票激励计划</w:t>
      </w:r>
    </w:p>
    <w:p w14:paraId="6A9C6068" w14:textId="77777777" w:rsidR="004B0883" w:rsidRDefault="004B0883">
      <w:pPr>
        <w:widowControl w:val="0"/>
        <w:spacing w:beforeLines="50" w:before="120" w:line="360" w:lineRule="auto"/>
        <w:ind w:firstLineChars="200" w:firstLine="480"/>
        <w:jc w:val="both"/>
        <w:rPr>
          <w:sz w:val="24"/>
          <w:szCs w:val="22"/>
        </w:rPr>
      </w:pPr>
      <w:r>
        <w:rPr>
          <w:sz w:val="24"/>
          <w:szCs w:val="22"/>
        </w:rPr>
        <w:t>2018</w:t>
      </w:r>
      <w:r>
        <w:rPr>
          <w:rFonts w:hint="eastAsia"/>
          <w:sz w:val="24"/>
          <w:szCs w:val="22"/>
        </w:rPr>
        <w:t>年</w:t>
      </w:r>
      <w:r>
        <w:rPr>
          <w:sz w:val="24"/>
          <w:szCs w:val="22"/>
        </w:rPr>
        <w:t>9</w:t>
      </w:r>
      <w:r>
        <w:rPr>
          <w:rFonts w:hint="eastAsia"/>
          <w:sz w:val="24"/>
          <w:szCs w:val="22"/>
        </w:rPr>
        <w:t>月</w:t>
      </w:r>
      <w:r>
        <w:rPr>
          <w:sz w:val="24"/>
          <w:szCs w:val="22"/>
        </w:rPr>
        <w:t>11</w:t>
      </w:r>
      <w:r>
        <w:rPr>
          <w:rFonts w:hint="eastAsia"/>
          <w:sz w:val="24"/>
          <w:szCs w:val="22"/>
        </w:rPr>
        <w:t>日，公司召开</w:t>
      </w:r>
      <w:r>
        <w:rPr>
          <w:sz w:val="24"/>
          <w:szCs w:val="22"/>
        </w:rPr>
        <w:t>2018</w:t>
      </w:r>
      <w:r>
        <w:rPr>
          <w:rFonts w:hint="eastAsia"/>
          <w:sz w:val="24"/>
          <w:szCs w:val="22"/>
        </w:rPr>
        <w:t>年第三次临时股东大会，审议通过了《关于</w:t>
      </w:r>
      <w:r>
        <w:rPr>
          <w:sz w:val="24"/>
          <w:szCs w:val="22"/>
        </w:rPr>
        <w:t>&lt;</w:t>
      </w:r>
      <w:r>
        <w:rPr>
          <w:rFonts w:hint="eastAsia"/>
          <w:sz w:val="24"/>
          <w:szCs w:val="22"/>
        </w:rPr>
        <w:t>公司</w:t>
      </w:r>
      <w:r>
        <w:rPr>
          <w:sz w:val="24"/>
          <w:szCs w:val="22"/>
        </w:rPr>
        <w:t>2018</w:t>
      </w:r>
      <w:r>
        <w:rPr>
          <w:rFonts w:hint="eastAsia"/>
          <w:sz w:val="24"/>
          <w:szCs w:val="22"/>
        </w:rPr>
        <w:t>年限制性股票激励计划（草案）及其摘要</w:t>
      </w:r>
      <w:r>
        <w:rPr>
          <w:sz w:val="24"/>
          <w:szCs w:val="22"/>
        </w:rPr>
        <w:t>&gt;</w:t>
      </w:r>
      <w:r>
        <w:rPr>
          <w:rFonts w:hint="eastAsia"/>
          <w:sz w:val="24"/>
          <w:szCs w:val="22"/>
        </w:rPr>
        <w:t>的议案》《关于</w:t>
      </w:r>
      <w:r>
        <w:rPr>
          <w:sz w:val="24"/>
          <w:szCs w:val="22"/>
        </w:rPr>
        <w:t>&lt;</w:t>
      </w:r>
      <w:r>
        <w:rPr>
          <w:rFonts w:hint="eastAsia"/>
          <w:sz w:val="24"/>
          <w:szCs w:val="22"/>
        </w:rPr>
        <w:t>公司</w:t>
      </w:r>
      <w:r>
        <w:rPr>
          <w:sz w:val="24"/>
          <w:szCs w:val="22"/>
        </w:rPr>
        <w:t>2018</w:t>
      </w:r>
      <w:r>
        <w:rPr>
          <w:rFonts w:hint="eastAsia"/>
          <w:sz w:val="24"/>
          <w:szCs w:val="22"/>
        </w:rPr>
        <w:t>年限制性股票激励计划实施考核管理办法</w:t>
      </w:r>
      <w:r>
        <w:rPr>
          <w:sz w:val="24"/>
          <w:szCs w:val="22"/>
        </w:rPr>
        <w:t>&gt;</w:t>
      </w:r>
      <w:r>
        <w:rPr>
          <w:rFonts w:hint="eastAsia"/>
          <w:sz w:val="24"/>
          <w:szCs w:val="22"/>
        </w:rPr>
        <w:t>的议案》以及《关于提请股东大会授权董事会办理公司</w:t>
      </w:r>
      <w:r>
        <w:rPr>
          <w:sz w:val="24"/>
          <w:szCs w:val="22"/>
        </w:rPr>
        <w:t>2018</w:t>
      </w:r>
      <w:r>
        <w:rPr>
          <w:rFonts w:hint="eastAsia"/>
          <w:sz w:val="24"/>
          <w:szCs w:val="22"/>
        </w:rPr>
        <w:t>年限制性股票激励计划有关事项的议案》。</w:t>
      </w:r>
    </w:p>
    <w:p w14:paraId="0C2B56BE" w14:textId="77777777" w:rsidR="004B0883" w:rsidRDefault="004B0883">
      <w:pPr>
        <w:widowControl w:val="0"/>
        <w:spacing w:beforeLines="50" w:before="120" w:line="360" w:lineRule="auto"/>
        <w:ind w:firstLineChars="200" w:firstLine="480"/>
        <w:jc w:val="both"/>
        <w:rPr>
          <w:sz w:val="24"/>
          <w:szCs w:val="22"/>
        </w:rPr>
      </w:pPr>
      <w:r>
        <w:rPr>
          <w:sz w:val="24"/>
          <w:szCs w:val="22"/>
        </w:rPr>
        <w:t>2018</w:t>
      </w:r>
      <w:r>
        <w:rPr>
          <w:rFonts w:hint="eastAsia"/>
          <w:sz w:val="24"/>
          <w:szCs w:val="22"/>
        </w:rPr>
        <w:t>年</w:t>
      </w:r>
      <w:r>
        <w:rPr>
          <w:sz w:val="24"/>
          <w:szCs w:val="22"/>
        </w:rPr>
        <w:t>11</w:t>
      </w:r>
      <w:r>
        <w:rPr>
          <w:rFonts w:hint="eastAsia"/>
          <w:sz w:val="24"/>
          <w:szCs w:val="22"/>
        </w:rPr>
        <w:t>月</w:t>
      </w:r>
      <w:r>
        <w:rPr>
          <w:sz w:val="24"/>
          <w:szCs w:val="22"/>
        </w:rPr>
        <w:t>20</w:t>
      </w:r>
      <w:r>
        <w:rPr>
          <w:rFonts w:hint="eastAsia"/>
          <w:sz w:val="24"/>
          <w:szCs w:val="22"/>
        </w:rPr>
        <w:t>日，公司召开第三届董事会第七次会议审议通过了《关于调整公司</w:t>
      </w:r>
      <w:r>
        <w:rPr>
          <w:sz w:val="24"/>
          <w:szCs w:val="22"/>
        </w:rPr>
        <w:t>2018</w:t>
      </w:r>
      <w:r>
        <w:rPr>
          <w:rFonts w:hint="eastAsia"/>
          <w:sz w:val="24"/>
          <w:szCs w:val="22"/>
        </w:rPr>
        <w:t>年限制性股票激励计划相关事项的议案》《关于向激励对象授予限制性股票的议案》，董事会认为激励计划规定的授予条件已经成就，同意以</w:t>
      </w:r>
      <w:r>
        <w:rPr>
          <w:sz w:val="24"/>
          <w:szCs w:val="22"/>
        </w:rPr>
        <w:t>2018</w:t>
      </w:r>
      <w:r>
        <w:rPr>
          <w:rFonts w:hint="eastAsia"/>
          <w:sz w:val="24"/>
          <w:szCs w:val="22"/>
        </w:rPr>
        <w:t>年</w:t>
      </w:r>
      <w:r>
        <w:rPr>
          <w:sz w:val="24"/>
          <w:szCs w:val="22"/>
        </w:rPr>
        <w:t>11</w:t>
      </w:r>
      <w:r>
        <w:rPr>
          <w:rFonts w:hint="eastAsia"/>
          <w:sz w:val="24"/>
          <w:szCs w:val="22"/>
        </w:rPr>
        <w:t>月</w:t>
      </w:r>
      <w:r>
        <w:rPr>
          <w:sz w:val="24"/>
          <w:szCs w:val="22"/>
        </w:rPr>
        <w:t>20</w:t>
      </w:r>
      <w:r>
        <w:rPr>
          <w:rFonts w:hint="eastAsia"/>
          <w:sz w:val="24"/>
          <w:szCs w:val="22"/>
        </w:rPr>
        <w:t>日为授予日，向符合条件的</w:t>
      </w:r>
      <w:r>
        <w:rPr>
          <w:sz w:val="24"/>
          <w:szCs w:val="22"/>
        </w:rPr>
        <w:t>39</w:t>
      </w:r>
      <w:r>
        <w:rPr>
          <w:rFonts w:hint="eastAsia"/>
          <w:sz w:val="24"/>
          <w:szCs w:val="22"/>
        </w:rPr>
        <w:t>名激励对象授予</w:t>
      </w:r>
      <w:r>
        <w:rPr>
          <w:sz w:val="24"/>
          <w:szCs w:val="22"/>
        </w:rPr>
        <w:t>114.20</w:t>
      </w:r>
      <w:r>
        <w:rPr>
          <w:rFonts w:hint="eastAsia"/>
          <w:sz w:val="24"/>
          <w:szCs w:val="22"/>
        </w:rPr>
        <w:t>万股限制性股票。公司独立董事对此发表了独立意见。</w:t>
      </w:r>
      <w:r>
        <w:rPr>
          <w:sz w:val="24"/>
          <w:szCs w:val="22"/>
        </w:rPr>
        <w:t>2018</w:t>
      </w:r>
      <w:r>
        <w:rPr>
          <w:rFonts w:hint="eastAsia"/>
          <w:sz w:val="24"/>
          <w:szCs w:val="22"/>
        </w:rPr>
        <w:t>年</w:t>
      </w:r>
      <w:r>
        <w:rPr>
          <w:sz w:val="24"/>
          <w:szCs w:val="22"/>
        </w:rPr>
        <w:t>11</w:t>
      </w:r>
      <w:r>
        <w:rPr>
          <w:rFonts w:hint="eastAsia"/>
          <w:sz w:val="24"/>
          <w:szCs w:val="22"/>
        </w:rPr>
        <w:t>月</w:t>
      </w:r>
      <w:r>
        <w:rPr>
          <w:sz w:val="24"/>
          <w:szCs w:val="22"/>
        </w:rPr>
        <w:t>20</w:t>
      </w:r>
      <w:r>
        <w:rPr>
          <w:rFonts w:hint="eastAsia"/>
          <w:sz w:val="24"/>
          <w:szCs w:val="22"/>
        </w:rPr>
        <w:t>日，公司召开第三届监事会第六次会议审议通过了《关于调整公司</w:t>
      </w:r>
      <w:r>
        <w:rPr>
          <w:sz w:val="24"/>
          <w:szCs w:val="22"/>
        </w:rPr>
        <w:t>2018</w:t>
      </w:r>
      <w:r>
        <w:rPr>
          <w:rFonts w:hint="eastAsia"/>
          <w:sz w:val="24"/>
          <w:szCs w:val="22"/>
        </w:rPr>
        <w:t>年限制性股票激励计划相关事项的议案》《关于向激励对象授予限制性股票的议案》，并出具《青岛伟隆阀门股份有限公司监事会关于公司</w:t>
      </w:r>
      <w:r>
        <w:rPr>
          <w:sz w:val="24"/>
          <w:szCs w:val="22"/>
        </w:rPr>
        <w:t>2018</w:t>
      </w:r>
      <w:r>
        <w:rPr>
          <w:rFonts w:hint="eastAsia"/>
          <w:sz w:val="24"/>
          <w:szCs w:val="22"/>
        </w:rPr>
        <w:t>年限制性股票激励计划激励对象名单（调整后）的核查意见》，监事会认为激励计划规定的授予条件已经成就，同意以</w:t>
      </w:r>
      <w:r>
        <w:rPr>
          <w:sz w:val="24"/>
          <w:szCs w:val="22"/>
        </w:rPr>
        <w:t>2018</w:t>
      </w:r>
      <w:r>
        <w:rPr>
          <w:rFonts w:hint="eastAsia"/>
          <w:sz w:val="24"/>
          <w:szCs w:val="22"/>
        </w:rPr>
        <w:t>年</w:t>
      </w:r>
      <w:r>
        <w:rPr>
          <w:sz w:val="24"/>
          <w:szCs w:val="22"/>
        </w:rPr>
        <w:t>11</w:t>
      </w:r>
      <w:r>
        <w:rPr>
          <w:rFonts w:hint="eastAsia"/>
          <w:sz w:val="24"/>
          <w:szCs w:val="22"/>
        </w:rPr>
        <w:t>月</w:t>
      </w:r>
      <w:r>
        <w:rPr>
          <w:sz w:val="24"/>
          <w:szCs w:val="22"/>
        </w:rPr>
        <w:t>20</w:t>
      </w:r>
      <w:r>
        <w:rPr>
          <w:rFonts w:hint="eastAsia"/>
          <w:sz w:val="24"/>
          <w:szCs w:val="22"/>
        </w:rPr>
        <w:t>日为授予日，向符合条件的</w:t>
      </w:r>
      <w:r>
        <w:rPr>
          <w:sz w:val="24"/>
          <w:szCs w:val="22"/>
        </w:rPr>
        <w:t>39</w:t>
      </w:r>
      <w:r>
        <w:rPr>
          <w:rFonts w:hint="eastAsia"/>
          <w:sz w:val="24"/>
          <w:szCs w:val="22"/>
        </w:rPr>
        <w:t>名激励对象授予</w:t>
      </w:r>
      <w:r>
        <w:rPr>
          <w:sz w:val="24"/>
          <w:szCs w:val="22"/>
        </w:rPr>
        <w:t>114.20</w:t>
      </w:r>
      <w:r>
        <w:rPr>
          <w:rFonts w:hint="eastAsia"/>
          <w:sz w:val="24"/>
          <w:szCs w:val="22"/>
        </w:rPr>
        <w:t>万股限制性股票。</w:t>
      </w:r>
    </w:p>
    <w:p w14:paraId="75AB6C25" w14:textId="77777777" w:rsidR="004B0883" w:rsidRDefault="004B0883">
      <w:pPr>
        <w:widowControl w:val="0"/>
        <w:spacing w:beforeLines="50" w:before="120" w:line="360" w:lineRule="auto"/>
        <w:ind w:firstLineChars="200" w:firstLine="480"/>
        <w:jc w:val="both"/>
        <w:rPr>
          <w:sz w:val="24"/>
          <w:szCs w:val="22"/>
        </w:rPr>
      </w:pPr>
      <w:r>
        <w:rPr>
          <w:sz w:val="24"/>
          <w:szCs w:val="22"/>
        </w:rPr>
        <w:t>2019</w:t>
      </w:r>
      <w:r>
        <w:rPr>
          <w:rFonts w:hint="eastAsia"/>
          <w:sz w:val="24"/>
          <w:szCs w:val="22"/>
        </w:rPr>
        <w:t>年</w:t>
      </w:r>
      <w:r>
        <w:rPr>
          <w:sz w:val="24"/>
          <w:szCs w:val="22"/>
        </w:rPr>
        <w:t>11</w:t>
      </w:r>
      <w:r>
        <w:rPr>
          <w:rFonts w:hint="eastAsia"/>
          <w:sz w:val="24"/>
          <w:szCs w:val="22"/>
        </w:rPr>
        <w:t>月</w:t>
      </w:r>
      <w:r>
        <w:rPr>
          <w:sz w:val="24"/>
          <w:szCs w:val="22"/>
        </w:rPr>
        <w:t>27</w:t>
      </w:r>
      <w:r>
        <w:rPr>
          <w:rFonts w:hint="eastAsia"/>
          <w:sz w:val="24"/>
          <w:szCs w:val="22"/>
        </w:rPr>
        <w:t>日，公司分别召开第三届董事会第十二次会议、第三届监事会第十一次会议通过了《关于</w:t>
      </w:r>
      <w:r>
        <w:rPr>
          <w:sz w:val="24"/>
          <w:szCs w:val="22"/>
        </w:rPr>
        <w:t>2018</w:t>
      </w:r>
      <w:r>
        <w:rPr>
          <w:rFonts w:hint="eastAsia"/>
          <w:sz w:val="24"/>
          <w:szCs w:val="22"/>
        </w:rPr>
        <w:t>年限制性股票激励计划第一个解锁期解锁条件成就的议案》《关于调整限制性股票回购价格的议案》《关于回购注销部分限制性股票的议案》。经审议，认为公司本次股权激励计划第一个解除限售期解除限售条件已成就，同意为激励对象统一办理符合解除限售条件的限制性股票的解除限售事宜。同时，同意将已不符合激励条件的激励对象已获授但尚未解除限售的限制性股票</w:t>
      </w:r>
      <w:r>
        <w:rPr>
          <w:sz w:val="24"/>
          <w:szCs w:val="22"/>
        </w:rPr>
        <w:t>20,000</w:t>
      </w:r>
      <w:r>
        <w:rPr>
          <w:rFonts w:hint="eastAsia"/>
          <w:sz w:val="24"/>
          <w:szCs w:val="22"/>
        </w:rPr>
        <w:t>股进行回购注销。</w:t>
      </w:r>
      <w:r>
        <w:rPr>
          <w:sz w:val="24"/>
          <w:szCs w:val="22"/>
        </w:rPr>
        <w:t>2019</w:t>
      </w:r>
      <w:r>
        <w:rPr>
          <w:rFonts w:hint="eastAsia"/>
          <w:sz w:val="24"/>
          <w:szCs w:val="22"/>
        </w:rPr>
        <w:t>年</w:t>
      </w:r>
      <w:r>
        <w:rPr>
          <w:sz w:val="24"/>
          <w:szCs w:val="22"/>
        </w:rPr>
        <w:t>12</w:t>
      </w:r>
      <w:r>
        <w:rPr>
          <w:rFonts w:hint="eastAsia"/>
          <w:sz w:val="24"/>
          <w:szCs w:val="22"/>
        </w:rPr>
        <w:t>月</w:t>
      </w:r>
      <w:r>
        <w:rPr>
          <w:sz w:val="24"/>
          <w:szCs w:val="22"/>
        </w:rPr>
        <w:t>13</w:t>
      </w:r>
      <w:r>
        <w:rPr>
          <w:rFonts w:hint="eastAsia"/>
          <w:sz w:val="24"/>
          <w:szCs w:val="22"/>
        </w:rPr>
        <w:t>日，公司召开</w:t>
      </w:r>
      <w:r>
        <w:rPr>
          <w:sz w:val="24"/>
          <w:szCs w:val="22"/>
        </w:rPr>
        <w:t>2019</w:t>
      </w:r>
      <w:r>
        <w:rPr>
          <w:rFonts w:hint="eastAsia"/>
          <w:sz w:val="24"/>
          <w:szCs w:val="22"/>
        </w:rPr>
        <w:t>年第一次临时股东大会通过了《关于回购注销部分限制性股票的议案》。</w:t>
      </w:r>
    </w:p>
    <w:p w14:paraId="4C60BF54" w14:textId="77777777" w:rsidR="004B0883" w:rsidRDefault="004B0883">
      <w:pPr>
        <w:widowControl w:val="0"/>
        <w:spacing w:beforeLines="50" w:before="120" w:line="360" w:lineRule="auto"/>
        <w:ind w:firstLineChars="200" w:firstLine="480"/>
        <w:jc w:val="both"/>
        <w:rPr>
          <w:rFonts w:hint="eastAsia"/>
          <w:sz w:val="24"/>
          <w:szCs w:val="22"/>
        </w:rPr>
      </w:pPr>
      <w:r>
        <w:rPr>
          <w:sz w:val="24"/>
          <w:szCs w:val="22"/>
        </w:rPr>
        <w:t>2020</w:t>
      </w:r>
      <w:r>
        <w:rPr>
          <w:rFonts w:hint="eastAsia"/>
          <w:sz w:val="24"/>
          <w:szCs w:val="22"/>
        </w:rPr>
        <w:t>年</w:t>
      </w:r>
      <w:r>
        <w:rPr>
          <w:sz w:val="24"/>
          <w:szCs w:val="22"/>
        </w:rPr>
        <w:t>11</w:t>
      </w:r>
      <w:r>
        <w:rPr>
          <w:rFonts w:hint="eastAsia"/>
          <w:sz w:val="24"/>
          <w:szCs w:val="22"/>
        </w:rPr>
        <w:t>月</w:t>
      </w:r>
      <w:r>
        <w:rPr>
          <w:sz w:val="24"/>
          <w:szCs w:val="22"/>
        </w:rPr>
        <w:t>25</w:t>
      </w:r>
      <w:r>
        <w:rPr>
          <w:rFonts w:hint="eastAsia"/>
          <w:sz w:val="24"/>
          <w:szCs w:val="22"/>
        </w:rPr>
        <w:t>日，公司分别召开第三届董事会第二十次会议、第三届监事会第十五次会议通过了《关于</w:t>
      </w:r>
      <w:r>
        <w:rPr>
          <w:sz w:val="24"/>
          <w:szCs w:val="22"/>
        </w:rPr>
        <w:t>2018</w:t>
      </w:r>
      <w:r>
        <w:rPr>
          <w:rFonts w:hint="eastAsia"/>
          <w:sz w:val="24"/>
          <w:szCs w:val="22"/>
        </w:rPr>
        <w:t>年限制性股票激励计划第二个解锁期解锁条件成就的议案》《关于调整限制性股票回购价格的议案》《关于回购注销部分限制性股票的议案》《关于调整</w:t>
      </w:r>
      <w:r>
        <w:rPr>
          <w:sz w:val="24"/>
          <w:szCs w:val="22"/>
        </w:rPr>
        <w:t>2018</w:t>
      </w:r>
      <w:r>
        <w:rPr>
          <w:rFonts w:hint="eastAsia"/>
          <w:sz w:val="24"/>
          <w:szCs w:val="22"/>
        </w:rPr>
        <w:t>年限制性股票激励计划部分业绩考核指标的议案》等议案。经审议，认为公司本次股权激励计划第二个解除限售期解除限售条件已成就，同意为激励对象统一办理符合解除限售条件的限制性股票的解除限售事宜。同时，董事会同意将已不符合激励条件的激励对象已获授但尚未解除限售的限制性股票</w:t>
      </w:r>
      <w:r>
        <w:rPr>
          <w:sz w:val="24"/>
          <w:szCs w:val="22"/>
        </w:rPr>
        <w:t>42,000</w:t>
      </w:r>
      <w:r>
        <w:rPr>
          <w:rFonts w:hint="eastAsia"/>
          <w:sz w:val="24"/>
          <w:szCs w:val="22"/>
        </w:rPr>
        <w:t>股进行回购注销。</w:t>
      </w:r>
      <w:r>
        <w:rPr>
          <w:sz w:val="24"/>
          <w:szCs w:val="22"/>
        </w:rPr>
        <w:t>2020</w:t>
      </w:r>
      <w:r>
        <w:rPr>
          <w:rFonts w:hint="eastAsia"/>
          <w:sz w:val="24"/>
          <w:szCs w:val="22"/>
        </w:rPr>
        <w:t>年</w:t>
      </w:r>
      <w:r>
        <w:rPr>
          <w:sz w:val="24"/>
          <w:szCs w:val="22"/>
        </w:rPr>
        <w:t>12</w:t>
      </w:r>
      <w:r>
        <w:rPr>
          <w:rFonts w:hint="eastAsia"/>
          <w:sz w:val="24"/>
          <w:szCs w:val="22"/>
        </w:rPr>
        <w:t>月</w:t>
      </w:r>
      <w:r>
        <w:rPr>
          <w:sz w:val="24"/>
          <w:szCs w:val="22"/>
        </w:rPr>
        <w:t>11</w:t>
      </w:r>
      <w:r>
        <w:rPr>
          <w:rFonts w:hint="eastAsia"/>
          <w:sz w:val="24"/>
          <w:szCs w:val="22"/>
        </w:rPr>
        <w:t>日，公司召开</w:t>
      </w:r>
      <w:r>
        <w:rPr>
          <w:sz w:val="24"/>
          <w:szCs w:val="22"/>
        </w:rPr>
        <w:t>2020</w:t>
      </w:r>
      <w:r>
        <w:rPr>
          <w:rFonts w:hint="eastAsia"/>
          <w:sz w:val="24"/>
          <w:szCs w:val="22"/>
        </w:rPr>
        <w:t>年第一次临时股东大会通过了《关于回购注销部分限制性股票的议案》《关于修订</w:t>
      </w:r>
      <w:r>
        <w:rPr>
          <w:sz w:val="24"/>
          <w:szCs w:val="22"/>
        </w:rPr>
        <w:t>2018</w:t>
      </w:r>
      <w:r>
        <w:rPr>
          <w:rFonts w:hint="eastAsia"/>
          <w:sz w:val="24"/>
          <w:szCs w:val="22"/>
        </w:rPr>
        <w:t>年限制性股票激励计划公司层面业绩考核指标的议案》。</w:t>
      </w:r>
    </w:p>
    <w:p w14:paraId="3698C4F8" w14:textId="77777777" w:rsidR="004B0883" w:rsidRDefault="004B0883">
      <w:pPr>
        <w:widowControl w:val="0"/>
        <w:spacing w:beforeLines="50" w:before="120" w:line="360" w:lineRule="auto"/>
        <w:ind w:firstLineChars="200" w:firstLine="480"/>
        <w:jc w:val="both"/>
        <w:rPr>
          <w:rFonts w:hint="eastAsia"/>
          <w:sz w:val="24"/>
          <w:szCs w:val="22"/>
        </w:rPr>
      </w:pPr>
      <w:r>
        <w:rPr>
          <w:sz w:val="24"/>
          <w:szCs w:val="22"/>
        </w:rPr>
        <w:t>20</w:t>
      </w:r>
      <w:r>
        <w:rPr>
          <w:rFonts w:hint="eastAsia"/>
          <w:sz w:val="24"/>
          <w:szCs w:val="22"/>
        </w:rPr>
        <w:t>21</w:t>
      </w:r>
      <w:r>
        <w:rPr>
          <w:rFonts w:hint="eastAsia"/>
          <w:sz w:val="24"/>
          <w:szCs w:val="22"/>
        </w:rPr>
        <w:t>年</w:t>
      </w:r>
      <w:r>
        <w:rPr>
          <w:sz w:val="24"/>
          <w:szCs w:val="22"/>
        </w:rPr>
        <w:t>1</w:t>
      </w:r>
      <w:r>
        <w:rPr>
          <w:rFonts w:hint="eastAsia"/>
          <w:sz w:val="24"/>
          <w:szCs w:val="22"/>
        </w:rPr>
        <w:t>1</w:t>
      </w:r>
      <w:r>
        <w:rPr>
          <w:rFonts w:hint="eastAsia"/>
          <w:sz w:val="24"/>
          <w:szCs w:val="22"/>
        </w:rPr>
        <w:t>月</w:t>
      </w:r>
      <w:r>
        <w:rPr>
          <w:sz w:val="24"/>
          <w:szCs w:val="22"/>
        </w:rPr>
        <w:t>2</w:t>
      </w:r>
      <w:r>
        <w:rPr>
          <w:rFonts w:hint="eastAsia"/>
          <w:sz w:val="24"/>
          <w:szCs w:val="22"/>
        </w:rPr>
        <w:t>4</w:t>
      </w:r>
      <w:r>
        <w:rPr>
          <w:rFonts w:hint="eastAsia"/>
          <w:sz w:val="24"/>
          <w:szCs w:val="22"/>
        </w:rPr>
        <w:t>日，公司分别召开第四届董事会第七次会议、第四届监事会第六次会议通过了《关于</w:t>
      </w:r>
      <w:r>
        <w:rPr>
          <w:sz w:val="24"/>
          <w:szCs w:val="22"/>
        </w:rPr>
        <w:t>20</w:t>
      </w:r>
      <w:r>
        <w:rPr>
          <w:rFonts w:hint="eastAsia"/>
          <w:sz w:val="24"/>
          <w:szCs w:val="22"/>
        </w:rPr>
        <w:t>18</w:t>
      </w:r>
      <w:r>
        <w:rPr>
          <w:rFonts w:hint="eastAsia"/>
          <w:sz w:val="24"/>
          <w:szCs w:val="22"/>
        </w:rPr>
        <w:t>年限制性股票激励计划第三个解锁期解锁条件成就的议案》《关于调整限制性股票回购价格的议案》《关于回购注销部分限制性股票的议案》。经审议，认为公司本次股权激励计划第三个解除限售期解除限售条件已成就，同意为激励对象统一办理符合解除限售条件的限制性股票的解除限售事宜。同时，公司董事会决定对</w:t>
      </w:r>
      <w:r>
        <w:rPr>
          <w:rFonts w:hint="eastAsia"/>
          <w:sz w:val="24"/>
          <w:szCs w:val="22"/>
        </w:rPr>
        <w:t>3</w:t>
      </w:r>
      <w:r>
        <w:rPr>
          <w:rFonts w:hint="eastAsia"/>
          <w:sz w:val="24"/>
          <w:szCs w:val="22"/>
        </w:rPr>
        <w:t>名离职人员所持已获授但尚未解锁的</w:t>
      </w:r>
      <w:r>
        <w:rPr>
          <w:rFonts w:hint="eastAsia"/>
          <w:sz w:val="24"/>
          <w:szCs w:val="22"/>
        </w:rPr>
        <w:t>37,700</w:t>
      </w:r>
      <w:r>
        <w:rPr>
          <w:rFonts w:hint="eastAsia"/>
          <w:sz w:val="24"/>
          <w:szCs w:val="22"/>
        </w:rPr>
        <w:t>股限制性股票进行回购注销；同时，根据公司《</w:t>
      </w:r>
      <w:r>
        <w:rPr>
          <w:rFonts w:hint="eastAsia"/>
          <w:sz w:val="24"/>
          <w:szCs w:val="22"/>
        </w:rPr>
        <w:t>2018</w:t>
      </w:r>
      <w:r>
        <w:rPr>
          <w:rFonts w:hint="eastAsia"/>
          <w:sz w:val="24"/>
          <w:szCs w:val="22"/>
        </w:rPr>
        <w:t>年限制性股票激励计划（草案修订稿）》的规定，公司拟对全部第三期限制性股票激励计划已获授但尚未解除限售的限制性股票的</w:t>
      </w:r>
      <w:r>
        <w:rPr>
          <w:rFonts w:hint="eastAsia"/>
          <w:sz w:val="24"/>
          <w:szCs w:val="22"/>
        </w:rPr>
        <w:t>20%</w:t>
      </w:r>
      <w:r>
        <w:rPr>
          <w:rFonts w:hint="eastAsia"/>
          <w:sz w:val="24"/>
          <w:szCs w:val="22"/>
        </w:rPr>
        <w:t>，即</w:t>
      </w:r>
      <w:r>
        <w:rPr>
          <w:rFonts w:hint="eastAsia"/>
          <w:sz w:val="24"/>
          <w:szCs w:val="22"/>
        </w:rPr>
        <w:t>115,652</w:t>
      </w:r>
      <w:r>
        <w:rPr>
          <w:rFonts w:hint="eastAsia"/>
          <w:sz w:val="24"/>
          <w:szCs w:val="22"/>
        </w:rPr>
        <w:t>股进行回购注销。本次回购注销的限制性股票合计</w:t>
      </w:r>
      <w:r>
        <w:rPr>
          <w:rFonts w:hint="eastAsia"/>
          <w:sz w:val="24"/>
          <w:szCs w:val="22"/>
        </w:rPr>
        <w:t>153,352</w:t>
      </w:r>
      <w:r>
        <w:rPr>
          <w:rFonts w:hint="eastAsia"/>
          <w:sz w:val="24"/>
          <w:szCs w:val="22"/>
        </w:rPr>
        <w:t>股，占本次股权激励计划合计授予的限制性股票比例为</w:t>
      </w:r>
      <w:r>
        <w:rPr>
          <w:rFonts w:hint="eastAsia"/>
          <w:sz w:val="24"/>
          <w:szCs w:val="22"/>
        </w:rPr>
        <w:t>9.96%</w:t>
      </w:r>
      <w:r>
        <w:rPr>
          <w:rFonts w:hint="eastAsia"/>
          <w:sz w:val="24"/>
          <w:szCs w:val="22"/>
        </w:rPr>
        <w:t>，占回购注销前总股本比例为</w:t>
      </w:r>
      <w:r>
        <w:rPr>
          <w:rFonts w:hint="eastAsia"/>
          <w:sz w:val="24"/>
          <w:szCs w:val="22"/>
        </w:rPr>
        <w:t>0.09064%</w:t>
      </w:r>
      <w:r>
        <w:rPr>
          <w:rFonts w:hint="eastAsia"/>
          <w:sz w:val="24"/>
          <w:szCs w:val="22"/>
        </w:rPr>
        <w:t>。</w:t>
      </w:r>
      <w:r>
        <w:rPr>
          <w:sz w:val="24"/>
          <w:szCs w:val="22"/>
        </w:rPr>
        <w:t>20</w:t>
      </w:r>
      <w:r>
        <w:rPr>
          <w:rFonts w:hint="eastAsia"/>
          <w:sz w:val="24"/>
          <w:szCs w:val="22"/>
        </w:rPr>
        <w:t>21</w:t>
      </w:r>
      <w:r>
        <w:rPr>
          <w:rFonts w:hint="eastAsia"/>
          <w:sz w:val="24"/>
          <w:szCs w:val="22"/>
        </w:rPr>
        <w:t>年</w:t>
      </w:r>
      <w:r>
        <w:rPr>
          <w:rFonts w:hint="eastAsia"/>
          <w:sz w:val="24"/>
          <w:szCs w:val="22"/>
        </w:rPr>
        <w:t>12</w:t>
      </w:r>
      <w:r>
        <w:rPr>
          <w:rFonts w:hint="eastAsia"/>
          <w:sz w:val="24"/>
          <w:szCs w:val="22"/>
        </w:rPr>
        <w:t>月</w:t>
      </w:r>
      <w:r>
        <w:rPr>
          <w:sz w:val="24"/>
          <w:szCs w:val="22"/>
        </w:rPr>
        <w:t>1</w:t>
      </w:r>
      <w:r>
        <w:rPr>
          <w:rFonts w:hint="eastAsia"/>
          <w:sz w:val="24"/>
          <w:szCs w:val="22"/>
        </w:rPr>
        <w:t>0</w:t>
      </w:r>
      <w:r>
        <w:rPr>
          <w:rFonts w:hint="eastAsia"/>
          <w:sz w:val="24"/>
          <w:szCs w:val="22"/>
        </w:rPr>
        <w:t>日，公司召开</w:t>
      </w:r>
      <w:r>
        <w:rPr>
          <w:sz w:val="24"/>
          <w:szCs w:val="22"/>
        </w:rPr>
        <w:t>20</w:t>
      </w:r>
      <w:r>
        <w:rPr>
          <w:rFonts w:hint="eastAsia"/>
          <w:sz w:val="24"/>
          <w:szCs w:val="22"/>
        </w:rPr>
        <w:t>21</w:t>
      </w:r>
      <w:r>
        <w:rPr>
          <w:rFonts w:hint="eastAsia"/>
          <w:sz w:val="24"/>
          <w:szCs w:val="22"/>
        </w:rPr>
        <w:t>年第三次临时股东大会通过了《关于回购注销部分限制性股票的议案》。</w:t>
      </w:r>
    </w:p>
    <w:p w14:paraId="1DC93490" w14:textId="77777777" w:rsidR="004B0883" w:rsidRDefault="004B0883">
      <w:pPr>
        <w:keepNext/>
        <w:keepLines/>
        <w:widowControl w:val="0"/>
        <w:spacing w:beforeLines="50" w:before="120" w:line="360" w:lineRule="auto"/>
        <w:ind w:firstLineChars="200" w:firstLine="482"/>
        <w:jc w:val="both"/>
        <w:rPr>
          <w:b/>
          <w:bCs/>
          <w:sz w:val="24"/>
          <w:szCs w:val="28"/>
          <w:lang w:val="zh-CN"/>
        </w:rPr>
      </w:pPr>
      <w:r>
        <w:rPr>
          <w:rFonts w:hint="eastAsia"/>
          <w:b/>
          <w:bCs/>
          <w:sz w:val="24"/>
          <w:szCs w:val="28"/>
          <w:lang w:val="zh-CN"/>
        </w:rPr>
        <w:t>2</w:t>
      </w:r>
      <w:r>
        <w:rPr>
          <w:rFonts w:hint="eastAsia"/>
          <w:b/>
          <w:bCs/>
          <w:sz w:val="24"/>
          <w:szCs w:val="28"/>
          <w:lang w:val="zh-CN"/>
        </w:rPr>
        <w:t>、第二期限制性股票激励计划</w:t>
      </w:r>
    </w:p>
    <w:p w14:paraId="4AF24351"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2021</w:t>
      </w:r>
      <w:r>
        <w:rPr>
          <w:rFonts w:hint="eastAsia"/>
          <w:sz w:val="24"/>
          <w:szCs w:val="22"/>
        </w:rPr>
        <w:t>年</w:t>
      </w:r>
      <w:r>
        <w:rPr>
          <w:rFonts w:hint="eastAsia"/>
          <w:sz w:val="24"/>
          <w:szCs w:val="22"/>
        </w:rPr>
        <w:t>10</w:t>
      </w:r>
      <w:r>
        <w:rPr>
          <w:rFonts w:hint="eastAsia"/>
          <w:sz w:val="24"/>
          <w:szCs w:val="22"/>
        </w:rPr>
        <w:t>月</w:t>
      </w:r>
      <w:r>
        <w:rPr>
          <w:rFonts w:hint="eastAsia"/>
          <w:sz w:val="24"/>
          <w:szCs w:val="22"/>
        </w:rPr>
        <w:t>14</w:t>
      </w:r>
      <w:r>
        <w:rPr>
          <w:rFonts w:hint="eastAsia"/>
          <w:sz w:val="24"/>
          <w:szCs w:val="22"/>
        </w:rPr>
        <w:t>日，公司召开</w:t>
      </w:r>
      <w:r>
        <w:rPr>
          <w:rFonts w:hint="eastAsia"/>
          <w:sz w:val="24"/>
          <w:szCs w:val="22"/>
        </w:rPr>
        <w:t>2021</w:t>
      </w:r>
      <w:r>
        <w:rPr>
          <w:rFonts w:hint="eastAsia"/>
          <w:sz w:val="24"/>
          <w:szCs w:val="22"/>
        </w:rPr>
        <w:t>年第二次临时股东大会，审议通过了《关于〈公司</w:t>
      </w:r>
      <w:r>
        <w:rPr>
          <w:rFonts w:hint="eastAsia"/>
          <w:sz w:val="24"/>
          <w:szCs w:val="22"/>
        </w:rPr>
        <w:t>2021</w:t>
      </w:r>
      <w:r>
        <w:rPr>
          <w:rFonts w:hint="eastAsia"/>
          <w:sz w:val="24"/>
          <w:szCs w:val="22"/>
        </w:rPr>
        <w:t>年限制性股票激励计划（草案）及其摘要〉的议案》《关于〈公司</w:t>
      </w:r>
      <w:r>
        <w:rPr>
          <w:rFonts w:hint="eastAsia"/>
          <w:sz w:val="24"/>
          <w:szCs w:val="22"/>
        </w:rPr>
        <w:t>2021</w:t>
      </w:r>
      <w:r>
        <w:rPr>
          <w:rFonts w:hint="eastAsia"/>
          <w:sz w:val="24"/>
          <w:szCs w:val="22"/>
        </w:rPr>
        <w:t>年限制性股票激励计划实施考核管理办法〉的议案》以及《关于提请股东大会授权董事会办理公司</w:t>
      </w:r>
      <w:r>
        <w:rPr>
          <w:rFonts w:hint="eastAsia"/>
          <w:sz w:val="24"/>
          <w:szCs w:val="22"/>
        </w:rPr>
        <w:t>2021</w:t>
      </w:r>
      <w:r>
        <w:rPr>
          <w:rFonts w:hint="eastAsia"/>
          <w:sz w:val="24"/>
          <w:szCs w:val="22"/>
        </w:rPr>
        <w:t>年限制性股票激励计划有关事项的议案》。</w:t>
      </w:r>
    </w:p>
    <w:p w14:paraId="4B0D4D72"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2021</w:t>
      </w:r>
      <w:r>
        <w:rPr>
          <w:rFonts w:hint="eastAsia"/>
          <w:sz w:val="24"/>
          <w:szCs w:val="22"/>
        </w:rPr>
        <w:t>年</w:t>
      </w:r>
      <w:r>
        <w:rPr>
          <w:rFonts w:hint="eastAsia"/>
          <w:sz w:val="24"/>
          <w:szCs w:val="22"/>
        </w:rPr>
        <w:t>10</w:t>
      </w:r>
      <w:r>
        <w:rPr>
          <w:rFonts w:hint="eastAsia"/>
          <w:sz w:val="24"/>
          <w:szCs w:val="22"/>
        </w:rPr>
        <w:t>月</w:t>
      </w:r>
      <w:r>
        <w:rPr>
          <w:rFonts w:hint="eastAsia"/>
          <w:sz w:val="24"/>
          <w:szCs w:val="22"/>
        </w:rPr>
        <w:t>27</w:t>
      </w:r>
      <w:r>
        <w:rPr>
          <w:rFonts w:hint="eastAsia"/>
          <w:sz w:val="24"/>
          <w:szCs w:val="22"/>
        </w:rPr>
        <w:t>日，公司召开第四届董事会第六次会议审议通过了《关于调整公司</w:t>
      </w:r>
      <w:r>
        <w:rPr>
          <w:rFonts w:hint="eastAsia"/>
          <w:sz w:val="24"/>
          <w:szCs w:val="22"/>
        </w:rPr>
        <w:t>2021</w:t>
      </w:r>
      <w:r>
        <w:rPr>
          <w:rFonts w:hint="eastAsia"/>
          <w:sz w:val="24"/>
          <w:szCs w:val="22"/>
        </w:rPr>
        <w:t>年限制性股票激励计划相关事项的议案》《关于向激励对象授予限制性股票的议案》，董事会认为激励计划规定的授予条件已经成就，同意以</w:t>
      </w:r>
      <w:r>
        <w:rPr>
          <w:rFonts w:hint="eastAsia"/>
          <w:sz w:val="24"/>
          <w:szCs w:val="22"/>
        </w:rPr>
        <w:t>2021</w:t>
      </w:r>
      <w:r>
        <w:rPr>
          <w:rFonts w:hint="eastAsia"/>
          <w:sz w:val="24"/>
          <w:szCs w:val="22"/>
        </w:rPr>
        <w:t>年</w:t>
      </w:r>
      <w:r>
        <w:rPr>
          <w:rFonts w:hint="eastAsia"/>
          <w:sz w:val="24"/>
          <w:szCs w:val="22"/>
        </w:rPr>
        <w:t>10</w:t>
      </w:r>
      <w:r>
        <w:rPr>
          <w:rFonts w:hint="eastAsia"/>
          <w:sz w:val="24"/>
          <w:szCs w:val="22"/>
        </w:rPr>
        <w:t>月</w:t>
      </w:r>
      <w:r>
        <w:rPr>
          <w:rFonts w:hint="eastAsia"/>
          <w:sz w:val="24"/>
          <w:szCs w:val="22"/>
        </w:rPr>
        <w:t>28</w:t>
      </w:r>
      <w:r>
        <w:rPr>
          <w:rFonts w:hint="eastAsia"/>
          <w:sz w:val="24"/>
          <w:szCs w:val="22"/>
        </w:rPr>
        <w:t>日为授予日，向符合条件的</w:t>
      </w:r>
      <w:r>
        <w:rPr>
          <w:rFonts w:hint="eastAsia"/>
          <w:sz w:val="24"/>
          <w:szCs w:val="22"/>
        </w:rPr>
        <w:t>80</w:t>
      </w:r>
      <w:r>
        <w:rPr>
          <w:rFonts w:hint="eastAsia"/>
          <w:sz w:val="24"/>
          <w:szCs w:val="22"/>
        </w:rPr>
        <w:t>名激励对象授予</w:t>
      </w:r>
      <w:r>
        <w:rPr>
          <w:rFonts w:hint="eastAsia"/>
          <w:sz w:val="24"/>
          <w:szCs w:val="22"/>
        </w:rPr>
        <w:t>272</w:t>
      </w:r>
      <w:r>
        <w:rPr>
          <w:rFonts w:hint="eastAsia"/>
          <w:sz w:val="24"/>
          <w:szCs w:val="22"/>
        </w:rPr>
        <w:t>万股限制性股票。</w:t>
      </w:r>
      <w:r>
        <w:rPr>
          <w:rFonts w:hint="eastAsia"/>
          <w:sz w:val="24"/>
          <w:szCs w:val="22"/>
        </w:rPr>
        <w:t>2021</w:t>
      </w:r>
      <w:r>
        <w:rPr>
          <w:rFonts w:hint="eastAsia"/>
          <w:sz w:val="24"/>
          <w:szCs w:val="22"/>
        </w:rPr>
        <w:t>年</w:t>
      </w:r>
      <w:r>
        <w:rPr>
          <w:rFonts w:hint="eastAsia"/>
          <w:sz w:val="24"/>
          <w:szCs w:val="22"/>
        </w:rPr>
        <w:t>10</w:t>
      </w:r>
      <w:r>
        <w:rPr>
          <w:rFonts w:hint="eastAsia"/>
          <w:sz w:val="24"/>
          <w:szCs w:val="22"/>
        </w:rPr>
        <w:t>月</w:t>
      </w:r>
      <w:r>
        <w:rPr>
          <w:rFonts w:hint="eastAsia"/>
          <w:sz w:val="24"/>
          <w:szCs w:val="22"/>
        </w:rPr>
        <w:t>27</w:t>
      </w:r>
      <w:r>
        <w:rPr>
          <w:rFonts w:hint="eastAsia"/>
          <w:sz w:val="24"/>
          <w:szCs w:val="22"/>
        </w:rPr>
        <w:t>日，公司召开第四届监事会第五次会议审议通过了《关于调整公司</w:t>
      </w:r>
      <w:r>
        <w:rPr>
          <w:rFonts w:hint="eastAsia"/>
          <w:sz w:val="24"/>
          <w:szCs w:val="22"/>
        </w:rPr>
        <w:t>2021</w:t>
      </w:r>
      <w:r>
        <w:rPr>
          <w:rFonts w:hint="eastAsia"/>
          <w:sz w:val="24"/>
          <w:szCs w:val="22"/>
        </w:rPr>
        <w:t>年限制性股票激励计划相关事项的议案》《关于向激励对象授予限制性股票的议案》，并出具《青岛伟隆阀门股份有限公司监事会关于公司</w:t>
      </w:r>
      <w:r>
        <w:rPr>
          <w:rFonts w:hint="eastAsia"/>
          <w:sz w:val="24"/>
          <w:szCs w:val="22"/>
        </w:rPr>
        <w:t>2021</w:t>
      </w:r>
      <w:r>
        <w:rPr>
          <w:rFonts w:hint="eastAsia"/>
          <w:sz w:val="24"/>
          <w:szCs w:val="22"/>
        </w:rPr>
        <w:t>年限制性股票激励计划激励对象名单（调整后）的核查意见》，监事会认为激励计划规定的授予条件已经成就，同意以</w:t>
      </w:r>
      <w:r>
        <w:rPr>
          <w:rFonts w:hint="eastAsia"/>
          <w:sz w:val="24"/>
          <w:szCs w:val="22"/>
        </w:rPr>
        <w:t>2021</w:t>
      </w:r>
      <w:r>
        <w:rPr>
          <w:rFonts w:hint="eastAsia"/>
          <w:sz w:val="24"/>
          <w:szCs w:val="22"/>
        </w:rPr>
        <w:t>年</w:t>
      </w:r>
      <w:r>
        <w:rPr>
          <w:rFonts w:hint="eastAsia"/>
          <w:sz w:val="24"/>
          <w:szCs w:val="22"/>
        </w:rPr>
        <w:t>10</w:t>
      </w:r>
      <w:r>
        <w:rPr>
          <w:rFonts w:hint="eastAsia"/>
          <w:sz w:val="24"/>
          <w:szCs w:val="22"/>
        </w:rPr>
        <w:t>月</w:t>
      </w:r>
      <w:r>
        <w:rPr>
          <w:rFonts w:hint="eastAsia"/>
          <w:sz w:val="24"/>
          <w:szCs w:val="22"/>
        </w:rPr>
        <w:t>28</w:t>
      </w:r>
      <w:r>
        <w:rPr>
          <w:rFonts w:hint="eastAsia"/>
          <w:sz w:val="24"/>
          <w:szCs w:val="22"/>
        </w:rPr>
        <w:t>日为授予日，向符合条件的</w:t>
      </w:r>
      <w:r>
        <w:rPr>
          <w:rFonts w:hint="eastAsia"/>
          <w:sz w:val="24"/>
          <w:szCs w:val="22"/>
        </w:rPr>
        <w:t>80</w:t>
      </w:r>
      <w:r>
        <w:rPr>
          <w:rFonts w:hint="eastAsia"/>
          <w:sz w:val="24"/>
          <w:szCs w:val="22"/>
        </w:rPr>
        <w:t>名激励对象授予</w:t>
      </w:r>
      <w:r>
        <w:rPr>
          <w:rFonts w:hint="eastAsia"/>
          <w:sz w:val="24"/>
          <w:szCs w:val="22"/>
        </w:rPr>
        <w:t>272</w:t>
      </w:r>
      <w:r>
        <w:rPr>
          <w:rFonts w:hint="eastAsia"/>
          <w:sz w:val="24"/>
          <w:szCs w:val="22"/>
        </w:rPr>
        <w:t>万股限制性股票，授予价格为</w:t>
      </w:r>
      <w:r>
        <w:rPr>
          <w:rFonts w:hint="eastAsia"/>
          <w:sz w:val="24"/>
          <w:szCs w:val="22"/>
        </w:rPr>
        <w:t>5.00</w:t>
      </w:r>
      <w:r>
        <w:rPr>
          <w:rFonts w:hint="eastAsia"/>
          <w:sz w:val="24"/>
          <w:szCs w:val="22"/>
        </w:rPr>
        <w:t>元</w:t>
      </w:r>
      <w:r>
        <w:rPr>
          <w:rFonts w:hint="eastAsia"/>
          <w:sz w:val="24"/>
          <w:szCs w:val="22"/>
        </w:rPr>
        <w:t>/</w:t>
      </w:r>
      <w:r>
        <w:rPr>
          <w:rFonts w:hint="eastAsia"/>
          <w:sz w:val="24"/>
          <w:szCs w:val="22"/>
        </w:rPr>
        <w:t>股。</w:t>
      </w:r>
    </w:p>
    <w:p w14:paraId="5860F224"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2022</w:t>
      </w:r>
      <w:r>
        <w:rPr>
          <w:rFonts w:hint="eastAsia"/>
          <w:sz w:val="24"/>
          <w:szCs w:val="22"/>
        </w:rPr>
        <w:t>年</w:t>
      </w:r>
      <w:r>
        <w:rPr>
          <w:rFonts w:hint="eastAsia"/>
          <w:sz w:val="24"/>
          <w:szCs w:val="22"/>
        </w:rPr>
        <w:t>9</w:t>
      </w:r>
      <w:r>
        <w:rPr>
          <w:rFonts w:hint="eastAsia"/>
          <w:sz w:val="24"/>
          <w:szCs w:val="22"/>
        </w:rPr>
        <w:t>月</w:t>
      </w:r>
      <w:r>
        <w:rPr>
          <w:rFonts w:hint="eastAsia"/>
          <w:sz w:val="24"/>
          <w:szCs w:val="22"/>
        </w:rPr>
        <w:t>8</w:t>
      </w:r>
      <w:r>
        <w:rPr>
          <w:rFonts w:hint="eastAsia"/>
          <w:sz w:val="24"/>
          <w:szCs w:val="22"/>
        </w:rPr>
        <w:t>日，公司召开第四届董事会第十四次会议，审议通过了《关于调整</w:t>
      </w:r>
      <w:r>
        <w:rPr>
          <w:rFonts w:hint="eastAsia"/>
          <w:sz w:val="24"/>
          <w:szCs w:val="22"/>
        </w:rPr>
        <w:t>2021</w:t>
      </w:r>
      <w:r>
        <w:rPr>
          <w:rFonts w:hint="eastAsia"/>
          <w:sz w:val="24"/>
          <w:szCs w:val="22"/>
        </w:rPr>
        <w:t>年限制性股票激励计划预留部分授予价格的议案》《关于向</w:t>
      </w:r>
      <w:r>
        <w:rPr>
          <w:rFonts w:hint="eastAsia"/>
          <w:sz w:val="24"/>
          <w:szCs w:val="22"/>
        </w:rPr>
        <w:t>2021</w:t>
      </w:r>
      <w:r>
        <w:rPr>
          <w:rFonts w:hint="eastAsia"/>
          <w:sz w:val="24"/>
          <w:szCs w:val="22"/>
        </w:rPr>
        <w:t>年限制性股票激励计划激励对象授予预留部分限制性股票的议案》，同意公司</w:t>
      </w:r>
      <w:r>
        <w:rPr>
          <w:rFonts w:hint="eastAsia"/>
          <w:sz w:val="24"/>
          <w:szCs w:val="22"/>
        </w:rPr>
        <w:t>2021</w:t>
      </w:r>
      <w:r>
        <w:rPr>
          <w:rFonts w:hint="eastAsia"/>
          <w:sz w:val="24"/>
          <w:szCs w:val="22"/>
        </w:rPr>
        <w:t>年限制性股票激励计划预留部分限制性股票授予价格由</w:t>
      </w:r>
      <w:r>
        <w:rPr>
          <w:rFonts w:hint="eastAsia"/>
          <w:sz w:val="24"/>
          <w:szCs w:val="22"/>
        </w:rPr>
        <w:t>5.00</w:t>
      </w:r>
      <w:r>
        <w:rPr>
          <w:rFonts w:hint="eastAsia"/>
          <w:sz w:val="24"/>
          <w:szCs w:val="22"/>
        </w:rPr>
        <w:t>元</w:t>
      </w:r>
      <w:r>
        <w:rPr>
          <w:rFonts w:hint="eastAsia"/>
          <w:sz w:val="24"/>
          <w:szCs w:val="22"/>
        </w:rPr>
        <w:t>/</w:t>
      </w:r>
      <w:r>
        <w:rPr>
          <w:rFonts w:hint="eastAsia"/>
          <w:sz w:val="24"/>
          <w:szCs w:val="22"/>
        </w:rPr>
        <w:t>股调整为</w:t>
      </w:r>
      <w:r>
        <w:rPr>
          <w:rFonts w:hint="eastAsia"/>
          <w:sz w:val="24"/>
          <w:szCs w:val="22"/>
        </w:rPr>
        <w:t>4.65</w:t>
      </w:r>
      <w:r>
        <w:rPr>
          <w:rFonts w:hint="eastAsia"/>
          <w:sz w:val="24"/>
          <w:szCs w:val="22"/>
        </w:rPr>
        <w:t>元</w:t>
      </w:r>
      <w:r>
        <w:rPr>
          <w:rFonts w:hint="eastAsia"/>
          <w:sz w:val="24"/>
          <w:szCs w:val="22"/>
        </w:rPr>
        <w:t>/</w:t>
      </w:r>
      <w:r>
        <w:rPr>
          <w:rFonts w:hint="eastAsia"/>
          <w:sz w:val="24"/>
          <w:szCs w:val="22"/>
        </w:rPr>
        <w:t>股。董事会认为激励计划规定的预留部分授予条件已经成就，同意以</w:t>
      </w:r>
      <w:r>
        <w:rPr>
          <w:rFonts w:hint="eastAsia"/>
          <w:sz w:val="24"/>
          <w:szCs w:val="22"/>
        </w:rPr>
        <w:t>2022</w:t>
      </w:r>
      <w:r>
        <w:rPr>
          <w:rFonts w:hint="eastAsia"/>
          <w:sz w:val="24"/>
          <w:szCs w:val="22"/>
        </w:rPr>
        <w:t>年</w:t>
      </w:r>
      <w:r>
        <w:rPr>
          <w:rFonts w:hint="eastAsia"/>
          <w:sz w:val="24"/>
          <w:szCs w:val="22"/>
        </w:rPr>
        <w:t>9</w:t>
      </w:r>
      <w:r>
        <w:rPr>
          <w:rFonts w:hint="eastAsia"/>
          <w:sz w:val="24"/>
          <w:szCs w:val="22"/>
        </w:rPr>
        <w:t>月</w:t>
      </w:r>
      <w:r>
        <w:rPr>
          <w:rFonts w:hint="eastAsia"/>
          <w:sz w:val="24"/>
          <w:szCs w:val="22"/>
        </w:rPr>
        <w:t>8</w:t>
      </w:r>
      <w:r>
        <w:rPr>
          <w:rFonts w:hint="eastAsia"/>
          <w:sz w:val="24"/>
          <w:szCs w:val="22"/>
        </w:rPr>
        <w:t>日为授予日，向符合条件的</w:t>
      </w:r>
      <w:r>
        <w:rPr>
          <w:rFonts w:hint="eastAsia"/>
          <w:sz w:val="24"/>
          <w:szCs w:val="22"/>
        </w:rPr>
        <w:t>27</w:t>
      </w:r>
      <w:r>
        <w:rPr>
          <w:rFonts w:hint="eastAsia"/>
          <w:sz w:val="24"/>
          <w:szCs w:val="22"/>
        </w:rPr>
        <w:t>名激励对象授予</w:t>
      </w:r>
      <w:r>
        <w:rPr>
          <w:rFonts w:hint="eastAsia"/>
          <w:sz w:val="24"/>
          <w:szCs w:val="22"/>
        </w:rPr>
        <w:t>42.7626</w:t>
      </w:r>
      <w:r>
        <w:rPr>
          <w:rFonts w:hint="eastAsia"/>
          <w:sz w:val="24"/>
          <w:szCs w:val="22"/>
        </w:rPr>
        <w:t>万股限制性股票。</w:t>
      </w:r>
    </w:p>
    <w:p w14:paraId="1A364637" w14:textId="77777777" w:rsidR="004B0883" w:rsidRDefault="004B0883">
      <w:pPr>
        <w:widowControl w:val="0"/>
        <w:spacing w:beforeLines="50" w:before="120" w:line="360" w:lineRule="auto"/>
        <w:ind w:firstLineChars="200" w:firstLine="480"/>
        <w:jc w:val="both"/>
        <w:rPr>
          <w:rFonts w:hint="eastAsia"/>
          <w:sz w:val="24"/>
          <w:szCs w:val="22"/>
        </w:rPr>
      </w:pPr>
      <w:r>
        <w:rPr>
          <w:rFonts w:hint="eastAsia"/>
          <w:sz w:val="24"/>
          <w:szCs w:val="22"/>
        </w:rPr>
        <w:t>2022</w:t>
      </w:r>
      <w:r>
        <w:rPr>
          <w:rFonts w:hint="eastAsia"/>
          <w:sz w:val="24"/>
          <w:szCs w:val="22"/>
        </w:rPr>
        <w:t>年</w:t>
      </w:r>
      <w:r>
        <w:rPr>
          <w:rFonts w:hint="eastAsia"/>
          <w:sz w:val="24"/>
          <w:szCs w:val="22"/>
        </w:rPr>
        <w:t>9</w:t>
      </w:r>
      <w:r>
        <w:rPr>
          <w:rFonts w:hint="eastAsia"/>
          <w:sz w:val="24"/>
          <w:szCs w:val="22"/>
        </w:rPr>
        <w:t>月</w:t>
      </w:r>
      <w:r>
        <w:rPr>
          <w:rFonts w:hint="eastAsia"/>
          <w:sz w:val="24"/>
          <w:szCs w:val="22"/>
        </w:rPr>
        <w:t>8</w:t>
      </w:r>
      <w:r>
        <w:rPr>
          <w:rFonts w:hint="eastAsia"/>
          <w:sz w:val="24"/>
          <w:szCs w:val="22"/>
        </w:rPr>
        <w:t>日，公司召开第四届监事会第十二次会议，审议通过了《关于调整</w:t>
      </w:r>
      <w:r>
        <w:rPr>
          <w:rFonts w:hint="eastAsia"/>
          <w:sz w:val="24"/>
          <w:szCs w:val="22"/>
        </w:rPr>
        <w:t>2021</w:t>
      </w:r>
      <w:r>
        <w:rPr>
          <w:rFonts w:hint="eastAsia"/>
          <w:sz w:val="24"/>
          <w:szCs w:val="22"/>
        </w:rPr>
        <w:t>年限制性股票激励计划预留部分授予价格的议案》《关于向</w:t>
      </w:r>
      <w:r>
        <w:rPr>
          <w:rFonts w:hint="eastAsia"/>
          <w:sz w:val="24"/>
          <w:szCs w:val="22"/>
        </w:rPr>
        <w:t>2021</w:t>
      </w:r>
      <w:r>
        <w:rPr>
          <w:rFonts w:hint="eastAsia"/>
          <w:sz w:val="24"/>
          <w:szCs w:val="22"/>
        </w:rPr>
        <w:t>年限制性股票激励计划激励对象授予预留部分限制性股票的议案》，并出具《青岛伟隆阀门股份有限公司监事会关于</w:t>
      </w:r>
      <w:r>
        <w:rPr>
          <w:rFonts w:hint="eastAsia"/>
          <w:sz w:val="24"/>
          <w:szCs w:val="22"/>
        </w:rPr>
        <w:t>2021</w:t>
      </w:r>
      <w:r>
        <w:rPr>
          <w:rFonts w:hint="eastAsia"/>
          <w:sz w:val="24"/>
          <w:szCs w:val="22"/>
        </w:rPr>
        <w:t>年限制性股票激励计划预留部分授予激励对象名单的核查意见》，监事会认为激励计划规定的预留部分授予条件已经成就，同意以</w:t>
      </w:r>
      <w:r>
        <w:rPr>
          <w:rFonts w:hint="eastAsia"/>
          <w:sz w:val="24"/>
          <w:szCs w:val="22"/>
        </w:rPr>
        <w:t>2022</w:t>
      </w:r>
      <w:r>
        <w:rPr>
          <w:rFonts w:hint="eastAsia"/>
          <w:sz w:val="24"/>
          <w:szCs w:val="22"/>
        </w:rPr>
        <w:t>年</w:t>
      </w:r>
      <w:r>
        <w:rPr>
          <w:rFonts w:hint="eastAsia"/>
          <w:sz w:val="24"/>
          <w:szCs w:val="22"/>
        </w:rPr>
        <w:t>9</w:t>
      </w:r>
      <w:r>
        <w:rPr>
          <w:rFonts w:hint="eastAsia"/>
          <w:sz w:val="24"/>
          <w:szCs w:val="22"/>
        </w:rPr>
        <w:t>月</w:t>
      </w:r>
      <w:r>
        <w:rPr>
          <w:rFonts w:hint="eastAsia"/>
          <w:sz w:val="24"/>
          <w:szCs w:val="22"/>
        </w:rPr>
        <w:t>8</w:t>
      </w:r>
      <w:r>
        <w:rPr>
          <w:rFonts w:hint="eastAsia"/>
          <w:sz w:val="24"/>
          <w:szCs w:val="22"/>
        </w:rPr>
        <w:t>日为授予日，向符合条件的</w:t>
      </w:r>
      <w:r>
        <w:rPr>
          <w:rFonts w:hint="eastAsia"/>
          <w:sz w:val="24"/>
          <w:szCs w:val="22"/>
        </w:rPr>
        <w:t>27</w:t>
      </w:r>
      <w:r>
        <w:rPr>
          <w:rFonts w:hint="eastAsia"/>
          <w:sz w:val="24"/>
          <w:szCs w:val="22"/>
        </w:rPr>
        <w:t>名激励对象授予</w:t>
      </w:r>
      <w:r>
        <w:rPr>
          <w:rFonts w:hint="eastAsia"/>
          <w:sz w:val="24"/>
          <w:szCs w:val="22"/>
        </w:rPr>
        <w:t>42.7626</w:t>
      </w:r>
      <w:r>
        <w:rPr>
          <w:rFonts w:hint="eastAsia"/>
          <w:sz w:val="24"/>
          <w:szCs w:val="22"/>
        </w:rPr>
        <w:t>万股限制性股票，授予价格为</w:t>
      </w:r>
      <w:r>
        <w:rPr>
          <w:rFonts w:hint="eastAsia"/>
          <w:sz w:val="24"/>
          <w:szCs w:val="22"/>
        </w:rPr>
        <w:t>4.65</w:t>
      </w:r>
      <w:r>
        <w:rPr>
          <w:rFonts w:hint="eastAsia"/>
          <w:sz w:val="24"/>
          <w:szCs w:val="22"/>
        </w:rPr>
        <w:t>元</w:t>
      </w:r>
      <w:r>
        <w:rPr>
          <w:rFonts w:hint="eastAsia"/>
          <w:sz w:val="24"/>
          <w:szCs w:val="22"/>
        </w:rPr>
        <w:t>/</w:t>
      </w:r>
      <w:r>
        <w:rPr>
          <w:rFonts w:hint="eastAsia"/>
          <w:sz w:val="24"/>
          <w:szCs w:val="22"/>
        </w:rPr>
        <w:t>股。</w:t>
      </w:r>
      <w:r>
        <w:rPr>
          <w:rFonts w:hint="eastAsia"/>
          <w:sz w:val="24"/>
          <w:szCs w:val="22"/>
        </w:rPr>
        <w:t>2022</w:t>
      </w:r>
      <w:r>
        <w:rPr>
          <w:rFonts w:hint="eastAsia"/>
          <w:sz w:val="24"/>
          <w:szCs w:val="22"/>
        </w:rPr>
        <w:t>年</w:t>
      </w:r>
      <w:r>
        <w:rPr>
          <w:rFonts w:hint="eastAsia"/>
          <w:sz w:val="24"/>
          <w:szCs w:val="22"/>
        </w:rPr>
        <w:t>9</w:t>
      </w:r>
      <w:r>
        <w:rPr>
          <w:rFonts w:hint="eastAsia"/>
          <w:sz w:val="24"/>
          <w:szCs w:val="22"/>
        </w:rPr>
        <w:t>月</w:t>
      </w:r>
      <w:r>
        <w:rPr>
          <w:rFonts w:hint="eastAsia"/>
          <w:sz w:val="24"/>
          <w:szCs w:val="22"/>
        </w:rPr>
        <w:t>22</w:t>
      </w:r>
      <w:r>
        <w:rPr>
          <w:rFonts w:hint="eastAsia"/>
          <w:sz w:val="24"/>
          <w:szCs w:val="22"/>
        </w:rPr>
        <w:t>日，授予完成。</w:t>
      </w:r>
    </w:p>
    <w:p w14:paraId="2F307E7A" w14:textId="77777777" w:rsidR="004B0883" w:rsidRDefault="004B0883">
      <w:pPr>
        <w:widowControl w:val="0"/>
        <w:spacing w:beforeLines="50" w:before="120" w:line="360" w:lineRule="auto"/>
        <w:ind w:firstLineChars="200" w:firstLine="480"/>
        <w:jc w:val="both"/>
        <w:rPr>
          <w:rFonts w:hint="eastAsia"/>
          <w:sz w:val="24"/>
          <w:szCs w:val="22"/>
        </w:rPr>
      </w:pPr>
      <w:r>
        <w:rPr>
          <w:sz w:val="24"/>
          <w:szCs w:val="22"/>
        </w:rPr>
        <w:t>20</w:t>
      </w:r>
      <w:r>
        <w:rPr>
          <w:rFonts w:hint="eastAsia"/>
          <w:sz w:val="24"/>
          <w:szCs w:val="22"/>
        </w:rPr>
        <w:t>22</w:t>
      </w:r>
      <w:r>
        <w:rPr>
          <w:rFonts w:hint="eastAsia"/>
          <w:sz w:val="24"/>
          <w:szCs w:val="22"/>
        </w:rPr>
        <w:t>年</w:t>
      </w:r>
      <w:r>
        <w:rPr>
          <w:sz w:val="24"/>
          <w:szCs w:val="22"/>
        </w:rPr>
        <w:t>1</w:t>
      </w:r>
      <w:r>
        <w:rPr>
          <w:rFonts w:hint="eastAsia"/>
          <w:sz w:val="24"/>
          <w:szCs w:val="22"/>
        </w:rPr>
        <w:t>0</w:t>
      </w:r>
      <w:r>
        <w:rPr>
          <w:rFonts w:hint="eastAsia"/>
          <w:sz w:val="24"/>
          <w:szCs w:val="22"/>
        </w:rPr>
        <w:t>月</w:t>
      </w:r>
      <w:r>
        <w:rPr>
          <w:sz w:val="24"/>
          <w:szCs w:val="22"/>
        </w:rPr>
        <w:t>27</w:t>
      </w:r>
      <w:r>
        <w:rPr>
          <w:rFonts w:hint="eastAsia"/>
          <w:sz w:val="24"/>
          <w:szCs w:val="22"/>
        </w:rPr>
        <w:t>日，公司分别召开第四届董事会第十五次会议、第四届监事会第十三次会议通过了《关于</w:t>
      </w:r>
      <w:r>
        <w:rPr>
          <w:sz w:val="24"/>
          <w:szCs w:val="22"/>
        </w:rPr>
        <w:t>20</w:t>
      </w:r>
      <w:r>
        <w:rPr>
          <w:rFonts w:hint="eastAsia"/>
          <w:sz w:val="24"/>
          <w:szCs w:val="22"/>
        </w:rPr>
        <w:t>21</w:t>
      </w:r>
      <w:r>
        <w:rPr>
          <w:rFonts w:hint="eastAsia"/>
          <w:sz w:val="24"/>
          <w:szCs w:val="22"/>
        </w:rPr>
        <w:t>年限制性股票激励计划第一个解锁期解锁条件成就的议案》《关于调整限制性股票回购价格的议案》《关于回购注销部分限制性股票的议案》。经审议，认为公司本次股权激励计划第一个解除限售期解除限售条件已成就，同意为激励对象统一办理符合解除限售条件的限制性股票的解除限售事宜。同时，公司董事会决定对</w:t>
      </w:r>
      <w:r>
        <w:rPr>
          <w:rFonts w:hint="eastAsia"/>
          <w:sz w:val="24"/>
          <w:szCs w:val="22"/>
        </w:rPr>
        <w:t>3</w:t>
      </w:r>
      <w:r>
        <w:rPr>
          <w:rFonts w:hint="eastAsia"/>
          <w:sz w:val="24"/>
          <w:szCs w:val="22"/>
        </w:rPr>
        <w:t>名离职人员、</w:t>
      </w:r>
      <w:r>
        <w:rPr>
          <w:rFonts w:hint="eastAsia"/>
          <w:sz w:val="24"/>
          <w:szCs w:val="22"/>
        </w:rPr>
        <w:t>4</w:t>
      </w:r>
      <w:r>
        <w:rPr>
          <w:rFonts w:hint="eastAsia"/>
          <w:sz w:val="24"/>
          <w:szCs w:val="22"/>
        </w:rPr>
        <w:t>名个人绩效考核未</w:t>
      </w:r>
      <w:r>
        <w:rPr>
          <w:rFonts w:hint="eastAsia"/>
          <w:sz w:val="24"/>
          <w:szCs w:val="22"/>
        </w:rPr>
        <w:t>100%</w:t>
      </w:r>
      <w:r>
        <w:rPr>
          <w:rFonts w:hint="eastAsia"/>
          <w:sz w:val="24"/>
          <w:szCs w:val="22"/>
        </w:rPr>
        <w:t>解锁的人员所持已获授但尚未解锁的</w:t>
      </w:r>
      <w:r>
        <w:rPr>
          <w:rFonts w:hint="eastAsia"/>
          <w:sz w:val="24"/>
          <w:szCs w:val="22"/>
        </w:rPr>
        <w:t>155,500</w:t>
      </w:r>
      <w:r>
        <w:rPr>
          <w:rFonts w:hint="eastAsia"/>
          <w:sz w:val="24"/>
          <w:szCs w:val="22"/>
        </w:rPr>
        <w:t>股限制性股票进行回购注销。</w:t>
      </w:r>
      <w:r>
        <w:rPr>
          <w:sz w:val="24"/>
          <w:szCs w:val="22"/>
        </w:rPr>
        <w:t>20</w:t>
      </w:r>
      <w:r>
        <w:rPr>
          <w:rFonts w:hint="eastAsia"/>
          <w:sz w:val="24"/>
          <w:szCs w:val="22"/>
        </w:rPr>
        <w:t>22</w:t>
      </w:r>
      <w:r>
        <w:rPr>
          <w:rFonts w:hint="eastAsia"/>
          <w:sz w:val="24"/>
          <w:szCs w:val="22"/>
        </w:rPr>
        <w:t>年</w:t>
      </w:r>
      <w:r>
        <w:rPr>
          <w:rFonts w:hint="eastAsia"/>
          <w:sz w:val="24"/>
          <w:szCs w:val="22"/>
        </w:rPr>
        <w:t>11</w:t>
      </w:r>
      <w:r>
        <w:rPr>
          <w:rFonts w:hint="eastAsia"/>
          <w:sz w:val="24"/>
          <w:szCs w:val="22"/>
        </w:rPr>
        <w:t>月</w:t>
      </w:r>
      <w:r>
        <w:rPr>
          <w:sz w:val="24"/>
          <w:szCs w:val="22"/>
        </w:rPr>
        <w:t>1</w:t>
      </w:r>
      <w:r>
        <w:rPr>
          <w:rFonts w:hint="eastAsia"/>
          <w:sz w:val="24"/>
          <w:szCs w:val="22"/>
        </w:rPr>
        <w:t>4</w:t>
      </w:r>
      <w:r>
        <w:rPr>
          <w:rFonts w:hint="eastAsia"/>
          <w:sz w:val="24"/>
          <w:szCs w:val="22"/>
        </w:rPr>
        <w:t>日，公司召开</w:t>
      </w:r>
      <w:r>
        <w:rPr>
          <w:sz w:val="24"/>
          <w:szCs w:val="22"/>
        </w:rPr>
        <w:t>20</w:t>
      </w:r>
      <w:r>
        <w:rPr>
          <w:rFonts w:hint="eastAsia"/>
          <w:sz w:val="24"/>
          <w:szCs w:val="22"/>
        </w:rPr>
        <w:t>22</w:t>
      </w:r>
      <w:r>
        <w:rPr>
          <w:rFonts w:hint="eastAsia"/>
          <w:sz w:val="24"/>
          <w:szCs w:val="22"/>
        </w:rPr>
        <w:t>年第四次临时股东大会通过了《关于回购注销部分限制性股票的议案》。</w:t>
      </w:r>
    </w:p>
    <w:p w14:paraId="7270E7A2"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2023</w:t>
      </w:r>
      <w:r>
        <w:rPr>
          <w:rFonts w:hint="eastAsia"/>
          <w:sz w:val="24"/>
          <w:szCs w:val="22"/>
        </w:rPr>
        <w:t>年</w:t>
      </w:r>
      <w:r>
        <w:rPr>
          <w:rFonts w:hint="eastAsia"/>
          <w:sz w:val="24"/>
          <w:szCs w:val="22"/>
        </w:rPr>
        <w:t>10</w:t>
      </w:r>
      <w:r>
        <w:rPr>
          <w:rFonts w:hint="eastAsia"/>
          <w:sz w:val="24"/>
          <w:szCs w:val="22"/>
        </w:rPr>
        <w:t>月</w:t>
      </w:r>
      <w:r>
        <w:rPr>
          <w:rFonts w:hint="eastAsia"/>
          <w:sz w:val="24"/>
          <w:szCs w:val="22"/>
        </w:rPr>
        <w:t>18</w:t>
      </w:r>
      <w:r>
        <w:rPr>
          <w:rFonts w:hint="eastAsia"/>
          <w:sz w:val="24"/>
          <w:szCs w:val="22"/>
        </w:rPr>
        <w:t>日，公司分别召开第四届董事会第二十六次会议、第四届监事会第二十次会议通过了《关于</w:t>
      </w:r>
      <w:r>
        <w:rPr>
          <w:rFonts w:hint="eastAsia"/>
          <w:sz w:val="24"/>
          <w:szCs w:val="22"/>
        </w:rPr>
        <w:t>2021</w:t>
      </w:r>
      <w:r>
        <w:rPr>
          <w:rFonts w:hint="eastAsia"/>
          <w:sz w:val="24"/>
          <w:szCs w:val="22"/>
        </w:rPr>
        <w:t>年限制性股票激励计划首次授予部分第二个解锁期解锁条件成就的议案》《关于回购注销部分限制性股票的议案》。经审议，认为公司本次股权激励计划第二个解除限售期解除限售条件已成就，同意为激励对象统一办理符合解除限售条件的限制性股票的解除限售事宜。同时，公司董事会决定对</w:t>
      </w:r>
      <w:r>
        <w:rPr>
          <w:rFonts w:hint="eastAsia"/>
          <w:sz w:val="24"/>
          <w:szCs w:val="22"/>
        </w:rPr>
        <w:t>4</w:t>
      </w:r>
      <w:r>
        <w:rPr>
          <w:rFonts w:hint="eastAsia"/>
          <w:sz w:val="24"/>
          <w:szCs w:val="22"/>
        </w:rPr>
        <w:t>名离职人员和</w:t>
      </w:r>
      <w:r>
        <w:rPr>
          <w:rFonts w:hint="eastAsia"/>
          <w:sz w:val="24"/>
          <w:szCs w:val="22"/>
        </w:rPr>
        <w:t>4</w:t>
      </w:r>
      <w:r>
        <w:rPr>
          <w:rFonts w:hint="eastAsia"/>
          <w:sz w:val="24"/>
          <w:szCs w:val="22"/>
        </w:rPr>
        <w:t>名考核结果未达优秀的人员所持已获授但尚未解锁的</w:t>
      </w:r>
      <w:r>
        <w:rPr>
          <w:rFonts w:hint="eastAsia"/>
          <w:sz w:val="24"/>
          <w:szCs w:val="22"/>
        </w:rPr>
        <w:t>171,405</w:t>
      </w:r>
      <w:r>
        <w:rPr>
          <w:rFonts w:hint="eastAsia"/>
          <w:sz w:val="24"/>
          <w:szCs w:val="22"/>
        </w:rPr>
        <w:t>股限制性股票进行回购注销。</w:t>
      </w:r>
      <w:r>
        <w:rPr>
          <w:rFonts w:hint="eastAsia"/>
          <w:sz w:val="24"/>
          <w:szCs w:val="22"/>
        </w:rPr>
        <w:t>2023</w:t>
      </w:r>
      <w:r>
        <w:rPr>
          <w:rFonts w:hint="eastAsia"/>
          <w:sz w:val="24"/>
          <w:szCs w:val="22"/>
        </w:rPr>
        <w:t>年</w:t>
      </w:r>
      <w:r>
        <w:rPr>
          <w:rFonts w:hint="eastAsia"/>
          <w:sz w:val="24"/>
          <w:szCs w:val="22"/>
        </w:rPr>
        <w:t>11</w:t>
      </w:r>
      <w:r>
        <w:rPr>
          <w:rFonts w:hint="eastAsia"/>
          <w:sz w:val="24"/>
          <w:szCs w:val="22"/>
        </w:rPr>
        <w:t>月</w:t>
      </w:r>
      <w:r>
        <w:rPr>
          <w:rFonts w:hint="eastAsia"/>
          <w:sz w:val="24"/>
          <w:szCs w:val="22"/>
        </w:rPr>
        <w:t>3</w:t>
      </w:r>
      <w:r>
        <w:rPr>
          <w:rFonts w:hint="eastAsia"/>
          <w:sz w:val="24"/>
          <w:szCs w:val="22"/>
        </w:rPr>
        <w:t>日，公司召开</w:t>
      </w:r>
      <w:r>
        <w:rPr>
          <w:sz w:val="24"/>
          <w:szCs w:val="22"/>
        </w:rPr>
        <w:t>20</w:t>
      </w:r>
      <w:r>
        <w:rPr>
          <w:rFonts w:hint="eastAsia"/>
          <w:sz w:val="24"/>
          <w:szCs w:val="22"/>
        </w:rPr>
        <w:t>23</w:t>
      </w:r>
      <w:r>
        <w:rPr>
          <w:rFonts w:hint="eastAsia"/>
          <w:sz w:val="24"/>
          <w:szCs w:val="22"/>
        </w:rPr>
        <w:t>年第三次临时股东大会通过了《关于回购注销部分限制性股票的议案》。</w:t>
      </w:r>
    </w:p>
    <w:p w14:paraId="70731F78" w14:textId="77777777" w:rsidR="004B0883" w:rsidRDefault="004B0883">
      <w:pPr>
        <w:pStyle w:val="005"/>
        <w:spacing w:before="120"/>
        <w:ind w:firstLine="480"/>
        <w:rPr>
          <w:rFonts w:hint="eastAsia"/>
        </w:rPr>
      </w:pPr>
      <w:r>
        <w:rPr>
          <w:rFonts w:hint="eastAsia"/>
        </w:rPr>
        <w:t>除上述情况外，报告期内公司不存在其他对发行人管理层的股权激励事项。</w:t>
      </w:r>
    </w:p>
    <w:p w14:paraId="0B8B34E9" w14:textId="77777777" w:rsidR="004B0883" w:rsidRDefault="004B0883">
      <w:pPr>
        <w:pStyle w:val="002"/>
        <w:spacing w:before="120" w:after="120"/>
        <w:rPr>
          <w:rFonts w:hint="eastAsia"/>
        </w:rPr>
      </w:pPr>
      <w:bookmarkStart w:id="215" w:name="_Toc152320794"/>
      <w:bookmarkStart w:id="216" w:name="_Hlk521357436"/>
      <w:bookmarkStart w:id="217" w:name="_Toc523129038"/>
      <w:bookmarkStart w:id="218" w:name="_Toc42001332"/>
      <w:bookmarkEnd w:id="192"/>
      <w:bookmarkEnd w:id="193"/>
      <w:bookmarkEnd w:id="194"/>
      <w:r>
        <w:rPr>
          <w:rFonts w:hint="eastAsia"/>
        </w:rPr>
        <w:t>六、公司所处行业的基本情况</w:t>
      </w:r>
      <w:bookmarkEnd w:id="215"/>
    </w:p>
    <w:p w14:paraId="76797AED" w14:textId="77777777" w:rsidR="004B0883" w:rsidRDefault="004B0883">
      <w:pPr>
        <w:pStyle w:val="005"/>
        <w:spacing w:before="120" w:after="120"/>
        <w:ind w:firstLine="480"/>
        <w:rPr>
          <w:rFonts w:hint="eastAsia"/>
        </w:rPr>
      </w:pPr>
      <w:r>
        <w:rPr>
          <w:rFonts w:hint="eastAsia"/>
        </w:rPr>
        <w:t>根据国家统计局制定的《国民经济行业分类》（</w:t>
      </w:r>
      <w:r>
        <w:rPr>
          <w:rFonts w:hint="eastAsia"/>
        </w:rPr>
        <w:t>GB/T 4754-2017</w:t>
      </w:r>
      <w:r>
        <w:rPr>
          <w:rFonts w:hint="eastAsia"/>
        </w:rPr>
        <w:t>），发行人所处阀门制造行业属于通用设备制造业中的泵、阀门、压缩机及类似机械制造（</w:t>
      </w:r>
      <w:r>
        <w:rPr>
          <w:rFonts w:hint="eastAsia"/>
        </w:rPr>
        <w:t>C3</w:t>
      </w:r>
      <w:r>
        <w:t>4</w:t>
      </w:r>
      <w:r>
        <w:rPr>
          <w:rFonts w:hint="eastAsia"/>
        </w:rPr>
        <w:t>4</w:t>
      </w:r>
      <w:r>
        <w:rPr>
          <w:rFonts w:hint="eastAsia"/>
        </w:rPr>
        <w:t>）中的阀门和旋塞制造（</w:t>
      </w:r>
      <w:r>
        <w:rPr>
          <w:rFonts w:hint="eastAsia"/>
        </w:rPr>
        <w:t>C3</w:t>
      </w:r>
      <w:r>
        <w:t>4</w:t>
      </w:r>
      <w:r>
        <w:rPr>
          <w:rFonts w:hint="eastAsia"/>
        </w:rPr>
        <w:t>43</w:t>
      </w:r>
      <w:r>
        <w:rPr>
          <w:rFonts w:hint="eastAsia"/>
        </w:rPr>
        <w:t>）。</w:t>
      </w:r>
    </w:p>
    <w:p w14:paraId="2D6DBD5A" w14:textId="77777777" w:rsidR="004B0883" w:rsidRDefault="004B0883">
      <w:pPr>
        <w:pStyle w:val="003"/>
        <w:spacing w:before="120" w:after="120"/>
        <w:rPr>
          <w:rFonts w:hint="eastAsia"/>
        </w:rPr>
      </w:pPr>
      <w:r>
        <w:rPr>
          <w:rFonts w:hint="eastAsia"/>
        </w:rPr>
        <w:t>（一）行业监督管理体制和主要法律法规</w:t>
      </w:r>
    </w:p>
    <w:p w14:paraId="6605E4DC" w14:textId="77777777" w:rsidR="004B0883" w:rsidRDefault="004B0883">
      <w:pPr>
        <w:pStyle w:val="004"/>
        <w:spacing w:before="120" w:after="120"/>
        <w:ind w:firstLine="482"/>
        <w:rPr>
          <w:rFonts w:hint="eastAsia"/>
          <w:kern w:val="0"/>
        </w:rPr>
      </w:pPr>
      <w:r>
        <w:rPr>
          <w:rFonts w:hint="eastAsia"/>
          <w:kern w:val="0"/>
        </w:rPr>
        <w:t>1</w:t>
      </w:r>
      <w:r>
        <w:rPr>
          <w:rFonts w:hint="eastAsia"/>
          <w:kern w:val="0"/>
        </w:rPr>
        <w:t>、行业主管部门</w:t>
      </w:r>
    </w:p>
    <w:p w14:paraId="0B29AA7C" w14:textId="77777777" w:rsidR="004B0883" w:rsidRDefault="004B0883">
      <w:pPr>
        <w:pStyle w:val="005"/>
        <w:spacing w:before="120" w:after="120"/>
        <w:ind w:firstLine="480"/>
        <w:rPr>
          <w:rFonts w:hint="eastAsia"/>
        </w:rPr>
      </w:pPr>
      <w:bookmarkStart w:id="219" w:name="_Hlk124642434"/>
      <w:r>
        <w:rPr>
          <w:rFonts w:hint="eastAsia"/>
        </w:rPr>
        <w:t>公司所属行业的行政主管部门主要为国家发改委、工业和信息化部、国家市场监督管理总局、生态环境部等政府职能部门。以上政府职能部门通过制定行业发展规划、行业管理规章制度、行业标准体系间接对阀门企业生产经营施加影响，其中国家发改委负责制定行业发展规划和行业管理规章制度；国家市场监督管理总局针对压力管道元件等特种设备生产设定许可方式和许可程序。</w:t>
      </w:r>
    </w:p>
    <w:p w14:paraId="587E135D" w14:textId="77777777" w:rsidR="004B0883" w:rsidRDefault="004B0883">
      <w:pPr>
        <w:pStyle w:val="005"/>
        <w:spacing w:before="120" w:after="120"/>
        <w:ind w:firstLine="480"/>
        <w:rPr>
          <w:rFonts w:hint="eastAsia"/>
          <w:szCs w:val="24"/>
        </w:rPr>
      </w:pPr>
      <w:r>
        <w:rPr>
          <w:rFonts w:hint="eastAsia"/>
        </w:rPr>
        <w:t>公司所属行业的全国性自律组织主要有中国机械工业联合会和中国通用机械工业协会阀门分会等，前述行业协会主要通过信息搜集和发布、召开行业内企业交流会等形式指导企业进行阀门产品的研发、生产和销售。全国阀门标准化技术委员会是由国家标准化行政主管部门统一规划、组建和管理的进行全国阀门标准化技术工作的组织，在中国机械工业联合会指导下负责全国通用、特殊用途的各种材质的高中低压阀门、阀门驱动装置、过压保护安全装置等专业领域的标准化工作。</w:t>
      </w:r>
    </w:p>
    <w:bookmarkEnd w:id="219"/>
    <w:p w14:paraId="77B9B917" w14:textId="77777777" w:rsidR="004B0883" w:rsidRDefault="004B0883">
      <w:pPr>
        <w:pStyle w:val="004"/>
        <w:spacing w:before="120" w:after="120"/>
        <w:ind w:firstLine="482"/>
        <w:rPr>
          <w:rFonts w:hint="eastAsia"/>
          <w:kern w:val="0"/>
        </w:rPr>
      </w:pPr>
      <w:r>
        <w:rPr>
          <w:rFonts w:hint="eastAsia"/>
          <w:kern w:val="0"/>
        </w:rPr>
        <w:t>2</w:t>
      </w:r>
      <w:r>
        <w:rPr>
          <w:rFonts w:hint="eastAsia"/>
          <w:kern w:val="0"/>
        </w:rPr>
        <w:t>、主要法律法规及政策</w:t>
      </w:r>
    </w:p>
    <w:p w14:paraId="2AFE8D2F" w14:textId="77777777" w:rsidR="004B0883" w:rsidRDefault="004B0883">
      <w:pPr>
        <w:pStyle w:val="005"/>
        <w:spacing w:before="120" w:after="120"/>
        <w:ind w:firstLine="480"/>
        <w:rPr>
          <w:kern w:val="0"/>
        </w:rPr>
      </w:pPr>
      <w:r>
        <w:rPr>
          <w:rFonts w:hint="eastAsia"/>
          <w:kern w:val="0"/>
        </w:rPr>
        <w:t>自</w:t>
      </w:r>
      <w:r>
        <w:rPr>
          <w:rFonts w:hint="eastAsia"/>
          <w:kern w:val="0"/>
        </w:rPr>
        <w:t>2016</w:t>
      </w:r>
      <w:r>
        <w:rPr>
          <w:rFonts w:hint="eastAsia"/>
          <w:kern w:val="0"/>
        </w:rPr>
        <w:t>年以来，对工业阀门制造业有重要影响的产业政策如下：</w:t>
      </w:r>
    </w:p>
    <w:tbl>
      <w:tblPr>
        <w:tblW w:w="5112"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36"/>
        <w:gridCol w:w="1512"/>
        <w:gridCol w:w="931"/>
        <w:gridCol w:w="1033"/>
        <w:gridCol w:w="4253"/>
      </w:tblGrid>
      <w:tr w:rsidR="004B0883" w14:paraId="126F9E2F" w14:textId="77777777">
        <w:trPr>
          <w:trHeight w:val="397"/>
          <w:tblHeader/>
          <w:jc w:val="center"/>
        </w:trPr>
        <w:tc>
          <w:tcPr>
            <w:tcW w:w="435" w:type="pct"/>
            <w:shd w:val="clear" w:color="auto" w:fill="D9D9D9"/>
            <w:tcMar>
              <w:top w:w="0" w:type="dxa"/>
              <w:bottom w:w="0" w:type="dxa"/>
            </w:tcMar>
            <w:vAlign w:val="center"/>
          </w:tcPr>
          <w:p w14:paraId="027B1839" w14:textId="77777777" w:rsidR="004B0883" w:rsidRDefault="004B0883">
            <w:pPr>
              <w:keepNext/>
              <w:adjustRightInd w:val="0"/>
              <w:snapToGrid w:val="0"/>
              <w:jc w:val="center"/>
              <w:rPr>
                <w:b/>
                <w:bCs/>
                <w:kern w:val="0"/>
                <w:sz w:val="18"/>
                <w:szCs w:val="18"/>
              </w:rPr>
            </w:pPr>
            <w:bookmarkStart w:id="220" w:name="_Hlk151558977"/>
            <w:r>
              <w:rPr>
                <w:b/>
                <w:bCs/>
                <w:sz w:val="18"/>
                <w:szCs w:val="18"/>
              </w:rPr>
              <w:t>序号</w:t>
            </w:r>
          </w:p>
        </w:tc>
        <w:tc>
          <w:tcPr>
            <w:tcW w:w="893" w:type="pct"/>
            <w:shd w:val="clear" w:color="auto" w:fill="D9D9D9"/>
            <w:tcMar>
              <w:top w:w="0" w:type="dxa"/>
              <w:bottom w:w="0" w:type="dxa"/>
            </w:tcMar>
            <w:vAlign w:val="center"/>
          </w:tcPr>
          <w:p w14:paraId="475CF582" w14:textId="77777777" w:rsidR="004B0883" w:rsidRDefault="004B0883">
            <w:pPr>
              <w:keepNext/>
              <w:adjustRightInd w:val="0"/>
              <w:snapToGrid w:val="0"/>
              <w:jc w:val="center"/>
              <w:rPr>
                <w:b/>
                <w:bCs/>
                <w:kern w:val="0"/>
                <w:sz w:val="18"/>
                <w:szCs w:val="18"/>
              </w:rPr>
            </w:pPr>
            <w:r>
              <w:rPr>
                <w:b/>
                <w:bCs/>
                <w:sz w:val="18"/>
                <w:szCs w:val="18"/>
              </w:rPr>
              <w:t>文件名称</w:t>
            </w:r>
          </w:p>
        </w:tc>
        <w:tc>
          <w:tcPr>
            <w:tcW w:w="550" w:type="pct"/>
            <w:shd w:val="clear" w:color="auto" w:fill="D9D9D9"/>
            <w:tcMar>
              <w:top w:w="0" w:type="dxa"/>
              <w:bottom w:w="0" w:type="dxa"/>
            </w:tcMar>
            <w:vAlign w:val="center"/>
          </w:tcPr>
          <w:p w14:paraId="54435BE9" w14:textId="77777777" w:rsidR="004B0883" w:rsidRDefault="004B0883">
            <w:pPr>
              <w:keepNext/>
              <w:adjustRightInd w:val="0"/>
              <w:snapToGrid w:val="0"/>
              <w:jc w:val="center"/>
              <w:rPr>
                <w:b/>
                <w:bCs/>
                <w:kern w:val="0"/>
                <w:sz w:val="18"/>
                <w:szCs w:val="18"/>
              </w:rPr>
            </w:pPr>
            <w:r>
              <w:rPr>
                <w:b/>
                <w:bCs/>
                <w:sz w:val="18"/>
                <w:szCs w:val="18"/>
              </w:rPr>
              <w:t>发布部门</w:t>
            </w:r>
          </w:p>
        </w:tc>
        <w:tc>
          <w:tcPr>
            <w:tcW w:w="610" w:type="pct"/>
            <w:shd w:val="clear" w:color="auto" w:fill="D9D9D9"/>
            <w:tcMar>
              <w:top w:w="0" w:type="dxa"/>
              <w:bottom w:w="0" w:type="dxa"/>
            </w:tcMar>
            <w:vAlign w:val="center"/>
          </w:tcPr>
          <w:p w14:paraId="3729E8C4" w14:textId="77777777" w:rsidR="004B0883" w:rsidRDefault="004B0883">
            <w:pPr>
              <w:keepNext/>
              <w:adjustRightInd w:val="0"/>
              <w:snapToGrid w:val="0"/>
              <w:jc w:val="center"/>
              <w:rPr>
                <w:b/>
                <w:bCs/>
                <w:kern w:val="0"/>
                <w:sz w:val="18"/>
                <w:szCs w:val="18"/>
              </w:rPr>
            </w:pPr>
            <w:r>
              <w:rPr>
                <w:b/>
                <w:bCs/>
                <w:sz w:val="18"/>
                <w:szCs w:val="18"/>
              </w:rPr>
              <w:t>发布时间</w:t>
            </w:r>
          </w:p>
        </w:tc>
        <w:tc>
          <w:tcPr>
            <w:tcW w:w="2512" w:type="pct"/>
            <w:shd w:val="clear" w:color="auto" w:fill="D9D9D9"/>
            <w:vAlign w:val="center"/>
          </w:tcPr>
          <w:p w14:paraId="5DD368FD" w14:textId="77777777" w:rsidR="004B0883" w:rsidRDefault="004B0883">
            <w:pPr>
              <w:keepNext/>
              <w:adjustRightInd w:val="0"/>
              <w:snapToGrid w:val="0"/>
              <w:jc w:val="center"/>
              <w:rPr>
                <w:b/>
                <w:bCs/>
                <w:kern w:val="0"/>
                <w:sz w:val="18"/>
                <w:szCs w:val="18"/>
              </w:rPr>
            </w:pPr>
            <w:r>
              <w:rPr>
                <w:b/>
                <w:bCs/>
                <w:sz w:val="18"/>
                <w:szCs w:val="18"/>
              </w:rPr>
              <w:t>主要相关内容</w:t>
            </w:r>
          </w:p>
        </w:tc>
      </w:tr>
      <w:tr w:rsidR="004B0883" w14:paraId="7AF453FD" w14:textId="77777777">
        <w:trPr>
          <w:trHeight w:val="397"/>
          <w:jc w:val="center"/>
        </w:trPr>
        <w:tc>
          <w:tcPr>
            <w:tcW w:w="435" w:type="pct"/>
            <w:tcMar>
              <w:top w:w="0" w:type="dxa"/>
              <w:bottom w:w="0" w:type="dxa"/>
            </w:tcMar>
            <w:vAlign w:val="center"/>
          </w:tcPr>
          <w:p w14:paraId="5F14369B" w14:textId="77777777" w:rsidR="004B0883" w:rsidRDefault="004B0883">
            <w:pPr>
              <w:adjustRightInd w:val="0"/>
              <w:snapToGrid w:val="0"/>
              <w:jc w:val="center"/>
              <w:rPr>
                <w:color w:val="000000"/>
                <w:sz w:val="18"/>
                <w:szCs w:val="18"/>
              </w:rPr>
            </w:pPr>
            <w:r>
              <w:rPr>
                <w:rFonts w:hint="eastAsia"/>
                <w:color w:val="000000"/>
                <w:sz w:val="18"/>
                <w:szCs w:val="18"/>
              </w:rPr>
              <w:t>1</w:t>
            </w:r>
          </w:p>
        </w:tc>
        <w:tc>
          <w:tcPr>
            <w:tcW w:w="893" w:type="pct"/>
            <w:tcMar>
              <w:top w:w="0" w:type="dxa"/>
              <w:bottom w:w="0" w:type="dxa"/>
            </w:tcMar>
            <w:vAlign w:val="center"/>
          </w:tcPr>
          <w:p w14:paraId="257FC7BB" w14:textId="77777777" w:rsidR="004B0883" w:rsidRDefault="004B0883">
            <w:pPr>
              <w:adjustRightInd w:val="0"/>
              <w:snapToGrid w:val="0"/>
              <w:rPr>
                <w:color w:val="000000"/>
                <w:sz w:val="18"/>
                <w:szCs w:val="18"/>
              </w:rPr>
            </w:pPr>
            <w:r>
              <w:rPr>
                <w:rFonts w:hint="eastAsia"/>
                <w:color w:val="000000"/>
                <w:sz w:val="18"/>
                <w:szCs w:val="18"/>
              </w:rPr>
              <w:t>《国家水网建设规划纲要》</w:t>
            </w:r>
          </w:p>
        </w:tc>
        <w:tc>
          <w:tcPr>
            <w:tcW w:w="550" w:type="pct"/>
            <w:tcMar>
              <w:top w:w="0" w:type="dxa"/>
              <w:bottom w:w="0" w:type="dxa"/>
            </w:tcMar>
            <w:vAlign w:val="center"/>
          </w:tcPr>
          <w:p w14:paraId="321E083B" w14:textId="77777777" w:rsidR="004B0883" w:rsidRDefault="004B0883">
            <w:pPr>
              <w:adjustRightInd w:val="0"/>
              <w:snapToGrid w:val="0"/>
              <w:jc w:val="center"/>
              <w:rPr>
                <w:color w:val="000000"/>
                <w:sz w:val="18"/>
                <w:szCs w:val="18"/>
              </w:rPr>
            </w:pPr>
            <w:r>
              <w:rPr>
                <w:color w:val="000000"/>
                <w:sz w:val="18"/>
                <w:szCs w:val="18"/>
              </w:rPr>
              <w:t>国务院</w:t>
            </w:r>
          </w:p>
        </w:tc>
        <w:tc>
          <w:tcPr>
            <w:tcW w:w="610" w:type="pct"/>
            <w:tcMar>
              <w:top w:w="0" w:type="dxa"/>
              <w:bottom w:w="0" w:type="dxa"/>
            </w:tcMar>
            <w:vAlign w:val="center"/>
          </w:tcPr>
          <w:p w14:paraId="452E9B39" w14:textId="77777777" w:rsidR="004B0883" w:rsidRDefault="004B0883">
            <w:pPr>
              <w:adjustRightInd w:val="0"/>
              <w:snapToGrid w:val="0"/>
              <w:jc w:val="center"/>
              <w:rPr>
                <w:color w:val="000000"/>
                <w:sz w:val="18"/>
                <w:szCs w:val="18"/>
              </w:rPr>
            </w:pPr>
            <w:r>
              <w:rPr>
                <w:color w:val="000000"/>
                <w:sz w:val="18"/>
                <w:szCs w:val="18"/>
              </w:rPr>
              <w:t>2023</w:t>
            </w:r>
            <w:r>
              <w:rPr>
                <w:color w:val="000000"/>
                <w:sz w:val="18"/>
                <w:szCs w:val="18"/>
              </w:rPr>
              <w:t>年</w:t>
            </w:r>
          </w:p>
        </w:tc>
        <w:tc>
          <w:tcPr>
            <w:tcW w:w="2512" w:type="pct"/>
            <w:vAlign w:val="center"/>
          </w:tcPr>
          <w:p w14:paraId="2805A0BE" w14:textId="77777777" w:rsidR="004B0883" w:rsidRDefault="004B0883">
            <w:pPr>
              <w:adjustRightInd w:val="0"/>
              <w:snapToGrid w:val="0"/>
              <w:rPr>
                <w:color w:val="000000"/>
                <w:sz w:val="18"/>
                <w:szCs w:val="18"/>
              </w:rPr>
            </w:pPr>
            <w:r>
              <w:rPr>
                <w:rFonts w:hint="eastAsia"/>
                <w:color w:val="000000"/>
                <w:sz w:val="18"/>
                <w:szCs w:val="18"/>
              </w:rPr>
              <w:t>加快补齐基础设施等领域短板，实施国家水网重大工程，充分发挥超大规模水利工程体系的优势和综合效益</w:t>
            </w:r>
            <w:r>
              <w:rPr>
                <w:rFonts w:hint="eastAsia"/>
                <w:color w:val="000000"/>
                <w:sz w:val="18"/>
                <w:szCs w:val="18"/>
              </w:rPr>
              <w:t>.</w:t>
            </w:r>
          </w:p>
        </w:tc>
      </w:tr>
      <w:tr w:rsidR="004B0883" w14:paraId="0BB61ECE" w14:textId="77777777">
        <w:trPr>
          <w:trHeight w:val="397"/>
          <w:jc w:val="center"/>
        </w:trPr>
        <w:tc>
          <w:tcPr>
            <w:tcW w:w="435" w:type="pct"/>
            <w:tcMar>
              <w:top w:w="0" w:type="dxa"/>
              <w:bottom w:w="0" w:type="dxa"/>
            </w:tcMar>
            <w:vAlign w:val="center"/>
          </w:tcPr>
          <w:p w14:paraId="0A470F3E" w14:textId="77777777" w:rsidR="004B0883" w:rsidRDefault="004B0883">
            <w:pPr>
              <w:adjustRightInd w:val="0"/>
              <w:snapToGrid w:val="0"/>
              <w:jc w:val="center"/>
              <w:rPr>
                <w:color w:val="000000"/>
                <w:sz w:val="18"/>
                <w:szCs w:val="18"/>
              </w:rPr>
            </w:pPr>
            <w:r>
              <w:rPr>
                <w:color w:val="000000"/>
                <w:sz w:val="18"/>
                <w:szCs w:val="18"/>
              </w:rPr>
              <w:t>2</w:t>
            </w:r>
          </w:p>
        </w:tc>
        <w:tc>
          <w:tcPr>
            <w:tcW w:w="893" w:type="pct"/>
            <w:tcMar>
              <w:top w:w="0" w:type="dxa"/>
              <w:bottom w:w="0" w:type="dxa"/>
            </w:tcMar>
            <w:vAlign w:val="center"/>
          </w:tcPr>
          <w:p w14:paraId="63207A97" w14:textId="77777777" w:rsidR="004B0883" w:rsidRDefault="004B0883">
            <w:pPr>
              <w:adjustRightInd w:val="0"/>
              <w:snapToGrid w:val="0"/>
              <w:rPr>
                <w:color w:val="000000"/>
                <w:sz w:val="18"/>
                <w:szCs w:val="18"/>
              </w:rPr>
            </w:pPr>
            <w:r>
              <w:rPr>
                <w:color w:val="000000"/>
                <w:sz w:val="18"/>
                <w:szCs w:val="18"/>
              </w:rPr>
              <w:t>《产业结构调整指导目录（</w:t>
            </w:r>
            <w:r>
              <w:rPr>
                <w:color w:val="000000"/>
                <w:sz w:val="18"/>
                <w:szCs w:val="18"/>
              </w:rPr>
              <w:t>2023</w:t>
            </w:r>
            <w:r>
              <w:rPr>
                <w:color w:val="000000"/>
                <w:sz w:val="18"/>
                <w:szCs w:val="18"/>
              </w:rPr>
              <w:t>年本，征求意见稿）</w:t>
            </w:r>
            <w:r>
              <w:rPr>
                <w:rFonts w:hint="eastAsia"/>
                <w:color w:val="000000"/>
                <w:sz w:val="18"/>
                <w:szCs w:val="18"/>
              </w:rPr>
              <w:t>》</w:t>
            </w:r>
          </w:p>
        </w:tc>
        <w:tc>
          <w:tcPr>
            <w:tcW w:w="550" w:type="pct"/>
            <w:tcMar>
              <w:top w:w="0" w:type="dxa"/>
              <w:bottom w:w="0" w:type="dxa"/>
            </w:tcMar>
            <w:vAlign w:val="center"/>
          </w:tcPr>
          <w:p w14:paraId="700BCE1E" w14:textId="77777777" w:rsidR="004B0883" w:rsidRDefault="004B0883">
            <w:pPr>
              <w:adjustRightInd w:val="0"/>
              <w:snapToGrid w:val="0"/>
              <w:jc w:val="center"/>
              <w:rPr>
                <w:color w:val="000000"/>
                <w:sz w:val="18"/>
                <w:szCs w:val="18"/>
              </w:rPr>
            </w:pPr>
            <w:r>
              <w:rPr>
                <w:color w:val="000000"/>
                <w:sz w:val="18"/>
                <w:szCs w:val="18"/>
              </w:rPr>
              <w:t>发改委</w:t>
            </w:r>
          </w:p>
        </w:tc>
        <w:tc>
          <w:tcPr>
            <w:tcW w:w="610" w:type="pct"/>
            <w:tcMar>
              <w:top w:w="0" w:type="dxa"/>
              <w:bottom w:w="0" w:type="dxa"/>
            </w:tcMar>
            <w:vAlign w:val="center"/>
          </w:tcPr>
          <w:p w14:paraId="0FEF37E2" w14:textId="77777777" w:rsidR="004B0883" w:rsidRDefault="004B0883">
            <w:pPr>
              <w:adjustRightInd w:val="0"/>
              <w:snapToGrid w:val="0"/>
              <w:jc w:val="center"/>
              <w:rPr>
                <w:color w:val="000000"/>
                <w:sz w:val="18"/>
                <w:szCs w:val="18"/>
              </w:rPr>
            </w:pPr>
            <w:r>
              <w:rPr>
                <w:color w:val="000000"/>
                <w:sz w:val="18"/>
                <w:szCs w:val="18"/>
              </w:rPr>
              <w:t>2023</w:t>
            </w:r>
            <w:r>
              <w:rPr>
                <w:color w:val="000000"/>
                <w:sz w:val="18"/>
                <w:szCs w:val="18"/>
              </w:rPr>
              <w:t>年</w:t>
            </w:r>
          </w:p>
        </w:tc>
        <w:tc>
          <w:tcPr>
            <w:tcW w:w="2512" w:type="pct"/>
            <w:vAlign w:val="center"/>
          </w:tcPr>
          <w:p w14:paraId="673F8AA1" w14:textId="77777777" w:rsidR="004B0883" w:rsidRDefault="004B0883">
            <w:pPr>
              <w:adjustRightInd w:val="0"/>
              <w:snapToGrid w:val="0"/>
              <w:rPr>
                <w:color w:val="000000"/>
                <w:sz w:val="18"/>
                <w:szCs w:val="18"/>
              </w:rPr>
            </w:pPr>
            <w:r>
              <w:rPr>
                <w:color w:val="000000"/>
                <w:sz w:val="18"/>
                <w:szCs w:val="18"/>
              </w:rPr>
              <w:t>将节水供水工程、城镇供排水工程及相关设备生产和节能技术开发应用列为鼓励类</w:t>
            </w:r>
            <w:r>
              <w:rPr>
                <w:rFonts w:hint="eastAsia"/>
                <w:color w:val="000000"/>
                <w:sz w:val="18"/>
                <w:szCs w:val="18"/>
              </w:rPr>
              <w:t>。</w:t>
            </w:r>
          </w:p>
        </w:tc>
      </w:tr>
      <w:tr w:rsidR="004B0883" w14:paraId="3B373B70" w14:textId="77777777">
        <w:trPr>
          <w:trHeight w:val="397"/>
          <w:jc w:val="center"/>
        </w:trPr>
        <w:tc>
          <w:tcPr>
            <w:tcW w:w="435" w:type="pct"/>
            <w:tcMar>
              <w:top w:w="0" w:type="dxa"/>
              <w:bottom w:w="0" w:type="dxa"/>
            </w:tcMar>
            <w:vAlign w:val="center"/>
          </w:tcPr>
          <w:p w14:paraId="64C86FEB" w14:textId="77777777" w:rsidR="004B0883" w:rsidRDefault="004B0883">
            <w:pPr>
              <w:adjustRightInd w:val="0"/>
              <w:snapToGrid w:val="0"/>
              <w:jc w:val="center"/>
              <w:rPr>
                <w:color w:val="000000"/>
                <w:sz w:val="18"/>
                <w:szCs w:val="18"/>
              </w:rPr>
            </w:pPr>
            <w:r>
              <w:rPr>
                <w:color w:val="000000"/>
                <w:sz w:val="18"/>
                <w:szCs w:val="18"/>
              </w:rPr>
              <w:t>3</w:t>
            </w:r>
          </w:p>
        </w:tc>
        <w:tc>
          <w:tcPr>
            <w:tcW w:w="893" w:type="pct"/>
            <w:tcMar>
              <w:top w:w="0" w:type="dxa"/>
              <w:bottom w:w="0" w:type="dxa"/>
            </w:tcMar>
            <w:vAlign w:val="center"/>
          </w:tcPr>
          <w:p w14:paraId="787A7537" w14:textId="77777777" w:rsidR="004B0883" w:rsidRDefault="004B0883">
            <w:pPr>
              <w:adjustRightInd w:val="0"/>
              <w:snapToGrid w:val="0"/>
              <w:rPr>
                <w:rFonts w:ascii="宋体" w:hAnsi="宋体"/>
                <w:color w:val="000000"/>
                <w:sz w:val="18"/>
                <w:szCs w:val="18"/>
              </w:rPr>
            </w:pPr>
            <w:r>
              <w:rPr>
                <w:rFonts w:ascii="宋体" w:hAnsi="宋体"/>
                <w:color w:val="000000"/>
                <w:sz w:val="18"/>
                <w:szCs w:val="18"/>
              </w:rPr>
              <w:t>《“十四五”现代能源体系规划》</w:t>
            </w:r>
          </w:p>
        </w:tc>
        <w:tc>
          <w:tcPr>
            <w:tcW w:w="550" w:type="pct"/>
            <w:tcMar>
              <w:top w:w="0" w:type="dxa"/>
              <w:bottom w:w="0" w:type="dxa"/>
            </w:tcMar>
            <w:vAlign w:val="center"/>
          </w:tcPr>
          <w:p w14:paraId="0CEFBFEF" w14:textId="77777777" w:rsidR="004B0883" w:rsidRDefault="004B0883">
            <w:pPr>
              <w:adjustRightInd w:val="0"/>
              <w:snapToGrid w:val="0"/>
              <w:jc w:val="center"/>
              <w:rPr>
                <w:color w:val="000000"/>
                <w:sz w:val="18"/>
                <w:szCs w:val="18"/>
              </w:rPr>
            </w:pPr>
            <w:r>
              <w:rPr>
                <w:color w:val="000000"/>
                <w:sz w:val="18"/>
                <w:szCs w:val="18"/>
              </w:rPr>
              <w:t>发改委、能源局</w:t>
            </w:r>
          </w:p>
        </w:tc>
        <w:tc>
          <w:tcPr>
            <w:tcW w:w="610" w:type="pct"/>
            <w:tcMar>
              <w:top w:w="0" w:type="dxa"/>
              <w:bottom w:w="0" w:type="dxa"/>
            </w:tcMar>
            <w:vAlign w:val="center"/>
          </w:tcPr>
          <w:p w14:paraId="64A2FE87" w14:textId="77777777" w:rsidR="004B0883" w:rsidRDefault="004B0883">
            <w:pPr>
              <w:adjustRightInd w:val="0"/>
              <w:snapToGrid w:val="0"/>
              <w:jc w:val="center"/>
              <w:rPr>
                <w:color w:val="000000"/>
                <w:sz w:val="18"/>
                <w:szCs w:val="18"/>
              </w:rPr>
            </w:pPr>
            <w:r>
              <w:rPr>
                <w:color w:val="000000"/>
                <w:sz w:val="18"/>
                <w:szCs w:val="18"/>
              </w:rPr>
              <w:t>2022</w:t>
            </w:r>
            <w:r>
              <w:rPr>
                <w:color w:val="000000"/>
                <w:sz w:val="18"/>
                <w:szCs w:val="18"/>
              </w:rPr>
              <w:t>年</w:t>
            </w:r>
          </w:p>
        </w:tc>
        <w:tc>
          <w:tcPr>
            <w:tcW w:w="2512" w:type="pct"/>
            <w:vAlign w:val="center"/>
          </w:tcPr>
          <w:p w14:paraId="5C0B5E8D" w14:textId="77777777" w:rsidR="004B0883" w:rsidRDefault="004B0883">
            <w:pPr>
              <w:adjustRightInd w:val="0"/>
              <w:snapToGrid w:val="0"/>
              <w:rPr>
                <w:color w:val="000000"/>
                <w:sz w:val="18"/>
                <w:szCs w:val="18"/>
              </w:rPr>
            </w:pPr>
            <w:r>
              <w:rPr>
                <w:color w:val="000000"/>
                <w:sz w:val="18"/>
                <w:szCs w:val="18"/>
              </w:rPr>
              <w:t>提升天然气储备和调节能力，统筹推进地下储气库、液化天然气（</w:t>
            </w:r>
            <w:r>
              <w:rPr>
                <w:color w:val="000000"/>
                <w:sz w:val="18"/>
                <w:szCs w:val="18"/>
              </w:rPr>
              <w:t>LNG</w:t>
            </w:r>
            <w:r>
              <w:rPr>
                <w:color w:val="000000"/>
                <w:sz w:val="18"/>
                <w:szCs w:val="18"/>
              </w:rPr>
              <w:t>）接收站等储气设施建设。构建供气企业、国家管网、城镇燃气企业和地方政府四方协同履约新机制，推动各方落实储气责任。</w:t>
            </w:r>
          </w:p>
        </w:tc>
      </w:tr>
      <w:tr w:rsidR="004B0883" w14:paraId="68EA7953" w14:textId="77777777">
        <w:trPr>
          <w:trHeight w:val="397"/>
          <w:jc w:val="center"/>
        </w:trPr>
        <w:tc>
          <w:tcPr>
            <w:tcW w:w="435" w:type="pct"/>
            <w:tcMar>
              <w:top w:w="0" w:type="dxa"/>
              <w:bottom w:w="0" w:type="dxa"/>
            </w:tcMar>
            <w:vAlign w:val="center"/>
          </w:tcPr>
          <w:p w14:paraId="50F006F6" w14:textId="77777777" w:rsidR="004B0883" w:rsidRDefault="004B0883">
            <w:pPr>
              <w:adjustRightInd w:val="0"/>
              <w:snapToGrid w:val="0"/>
              <w:jc w:val="center"/>
              <w:rPr>
                <w:color w:val="000000"/>
                <w:sz w:val="18"/>
                <w:szCs w:val="18"/>
              </w:rPr>
            </w:pPr>
            <w:r>
              <w:rPr>
                <w:color w:val="000000"/>
                <w:sz w:val="18"/>
                <w:szCs w:val="18"/>
              </w:rPr>
              <w:t>4</w:t>
            </w:r>
          </w:p>
        </w:tc>
        <w:tc>
          <w:tcPr>
            <w:tcW w:w="893" w:type="pct"/>
            <w:tcMar>
              <w:top w:w="0" w:type="dxa"/>
              <w:bottom w:w="0" w:type="dxa"/>
            </w:tcMar>
            <w:vAlign w:val="center"/>
          </w:tcPr>
          <w:p w14:paraId="2347EBF4" w14:textId="77777777" w:rsidR="004B0883" w:rsidRDefault="004B0883">
            <w:pPr>
              <w:adjustRightInd w:val="0"/>
              <w:snapToGrid w:val="0"/>
              <w:rPr>
                <w:rFonts w:ascii="宋体" w:hAnsi="宋体"/>
                <w:color w:val="000000"/>
                <w:sz w:val="18"/>
                <w:szCs w:val="18"/>
              </w:rPr>
            </w:pPr>
            <w:r>
              <w:rPr>
                <w:rFonts w:ascii="宋体" w:hAnsi="宋体"/>
                <w:color w:val="000000"/>
                <w:sz w:val="18"/>
                <w:szCs w:val="18"/>
              </w:rPr>
              <w:t>《“十四五”国家消防工作规划》</w:t>
            </w:r>
          </w:p>
        </w:tc>
        <w:tc>
          <w:tcPr>
            <w:tcW w:w="550" w:type="pct"/>
            <w:tcMar>
              <w:top w:w="0" w:type="dxa"/>
              <w:bottom w:w="0" w:type="dxa"/>
            </w:tcMar>
            <w:vAlign w:val="center"/>
          </w:tcPr>
          <w:p w14:paraId="1933A84A" w14:textId="77777777" w:rsidR="004B0883" w:rsidRDefault="004B0883">
            <w:pPr>
              <w:adjustRightInd w:val="0"/>
              <w:snapToGrid w:val="0"/>
              <w:jc w:val="center"/>
              <w:rPr>
                <w:color w:val="000000"/>
                <w:sz w:val="18"/>
                <w:szCs w:val="18"/>
              </w:rPr>
            </w:pPr>
            <w:r>
              <w:rPr>
                <w:color w:val="000000"/>
                <w:sz w:val="18"/>
                <w:szCs w:val="18"/>
              </w:rPr>
              <w:t>国务院</w:t>
            </w:r>
          </w:p>
        </w:tc>
        <w:tc>
          <w:tcPr>
            <w:tcW w:w="610" w:type="pct"/>
            <w:tcMar>
              <w:top w:w="0" w:type="dxa"/>
              <w:bottom w:w="0" w:type="dxa"/>
            </w:tcMar>
            <w:vAlign w:val="center"/>
          </w:tcPr>
          <w:p w14:paraId="6DCBDEA5" w14:textId="77777777" w:rsidR="004B0883" w:rsidRDefault="004B0883">
            <w:pPr>
              <w:adjustRightInd w:val="0"/>
              <w:snapToGrid w:val="0"/>
              <w:jc w:val="center"/>
              <w:rPr>
                <w:color w:val="000000"/>
                <w:sz w:val="18"/>
                <w:szCs w:val="18"/>
              </w:rPr>
            </w:pPr>
            <w:r>
              <w:rPr>
                <w:color w:val="000000"/>
                <w:sz w:val="18"/>
                <w:szCs w:val="18"/>
              </w:rPr>
              <w:t>2022</w:t>
            </w:r>
            <w:r>
              <w:rPr>
                <w:color w:val="000000"/>
                <w:sz w:val="18"/>
                <w:szCs w:val="18"/>
              </w:rPr>
              <w:t>年</w:t>
            </w:r>
          </w:p>
        </w:tc>
        <w:tc>
          <w:tcPr>
            <w:tcW w:w="2512" w:type="pct"/>
            <w:vAlign w:val="center"/>
          </w:tcPr>
          <w:p w14:paraId="41294FE2" w14:textId="77777777" w:rsidR="004B0883" w:rsidRDefault="004B0883">
            <w:pPr>
              <w:adjustRightInd w:val="0"/>
              <w:snapToGrid w:val="0"/>
              <w:rPr>
                <w:color w:val="000000"/>
                <w:sz w:val="18"/>
                <w:szCs w:val="18"/>
              </w:rPr>
            </w:pPr>
            <w:r>
              <w:rPr>
                <w:color w:val="000000"/>
                <w:sz w:val="18"/>
                <w:szCs w:val="18"/>
              </w:rPr>
              <w:t>防范化解消防安全风险、构建中国特色消防救援力量体系、加强应急救援综合保障、加强公共消防设施建设、强化科技引领和人才支撑、筑牢消防治理基础。</w:t>
            </w:r>
          </w:p>
        </w:tc>
      </w:tr>
      <w:tr w:rsidR="004B0883" w14:paraId="4C634762" w14:textId="77777777">
        <w:trPr>
          <w:trHeight w:val="397"/>
          <w:jc w:val="center"/>
        </w:trPr>
        <w:tc>
          <w:tcPr>
            <w:tcW w:w="435" w:type="pct"/>
            <w:tcMar>
              <w:top w:w="0" w:type="dxa"/>
              <w:bottom w:w="0" w:type="dxa"/>
            </w:tcMar>
            <w:vAlign w:val="center"/>
          </w:tcPr>
          <w:p w14:paraId="063D5865" w14:textId="77777777" w:rsidR="004B0883" w:rsidRDefault="004B0883">
            <w:pPr>
              <w:adjustRightInd w:val="0"/>
              <w:snapToGrid w:val="0"/>
              <w:jc w:val="center"/>
              <w:rPr>
                <w:color w:val="000000"/>
                <w:sz w:val="18"/>
                <w:szCs w:val="18"/>
              </w:rPr>
            </w:pPr>
            <w:r>
              <w:rPr>
                <w:color w:val="000000"/>
                <w:sz w:val="18"/>
                <w:szCs w:val="18"/>
              </w:rPr>
              <w:t>5</w:t>
            </w:r>
          </w:p>
        </w:tc>
        <w:tc>
          <w:tcPr>
            <w:tcW w:w="893" w:type="pct"/>
            <w:tcMar>
              <w:top w:w="0" w:type="dxa"/>
              <w:bottom w:w="0" w:type="dxa"/>
            </w:tcMar>
            <w:vAlign w:val="center"/>
          </w:tcPr>
          <w:p w14:paraId="7A74DC1A" w14:textId="77777777" w:rsidR="004B0883" w:rsidRDefault="004B0883">
            <w:pPr>
              <w:adjustRightInd w:val="0"/>
              <w:snapToGrid w:val="0"/>
              <w:rPr>
                <w:color w:val="000000"/>
                <w:sz w:val="18"/>
                <w:szCs w:val="18"/>
              </w:rPr>
            </w:pPr>
            <w:r>
              <w:rPr>
                <w:color w:val="000000"/>
                <w:sz w:val="18"/>
                <w:szCs w:val="18"/>
              </w:rPr>
              <w:t>《</w:t>
            </w:r>
            <w:r>
              <w:rPr>
                <w:color w:val="000000"/>
                <w:sz w:val="18"/>
                <w:szCs w:val="18"/>
              </w:rPr>
              <w:t>2022</w:t>
            </w:r>
            <w:r>
              <w:rPr>
                <w:color w:val="000000"/>
                <w:sz w:val="18"/>
                <w:szCs w:val="18"/>
              </w:rPr>
              <w:t>年政府工作报告》</w:t>
            </w:r>
          </w:p>
        </w:tc>
        <w:tc>
          <w:tcPr>
            <w:tcW w:w="550" w:type="pct"/>
            <w:tcMar>
              <w:top w:w="0" w:type="dxa"/>
              <w:bottom w:w="0" w:type="dxa"/>
            </w:tcMar>
            <w:vAlign w:val="center"/>
          </w:tcPr>
          <w:p w14:paraId="702CC13C" w14:textId="77777777" w:rsidR="004B0883" w:rsidRDefault="004B0883">
            <w:pPr>
              <w:adjustRightInd w:val="0"/>
              <w:snapToGrid w:val="0"/>
              <w:jc w:val="center"/>
              <w:rPr>
                <w:color w:val="000000"/>
                <w:sz w:val="18"/>
                <w:szCs w:val="18"/>
              </w:rPr>
            </w:pPr>
            <w:r>
              <w:rPr>
                <w:color w:val="000000"/>
                <w:sz w:val="18"/>
                <w:szCs w:val="18"/>
              </w:rPr>
              <w:t>国务院</w:t>
            </w:r>
          </w:p>
        </w:tc>
        <w:tc>
          <w:tcPr>
            <w:tcW w:w="610" w:type="pct"/>
            <w:tcMar>
              <w:top w:w="0" w:type="dxa"/>
              <w:bottom w:w="0" w:type="dxa"/>
            </w:tcMar>
            <w:vAlign w:val="center"/>
          </w:tcPr>
          <w:p w14:paraId="7FFE1B4C" w14:textId="77777777" w:rsidR="004B0883" w:rsidRDefault="004B0883">
            <w:pPr>
              <w:adjustRightInd w:val="0"/>
              <w:snapToGrid w:val="0"/>
              <w:jc w:val="center"/>
              <w:rPr>
                <w:color w:val="000000"/>
                <w:sz w:val="18"/>
                <w:szCs w:val="18"/>
              </w:rPr>
            </w:pPr>
            <w:r>
              <w:rPr>
                <w:color w:val="000000"/>
                <w:sz w:val="18"/>
                <w:szCs w:val="18"/>
              </w:rPr>
              <w:t>2022</w:t>
            </w:r>
            <w:r>
              <w:rPr>
                <w:color w:val="000000"/>
                <w:sz w:val="18"/>
                <w:szCs w:val="18"/>
              </w:rPr>
              <w:t>年</w:t>
            </w:r>
          </w:p>
        </w:tc>
        <w:tc>
          <w:tcPr>
            <w:tcW w:w="2512" w:type="pct"/>
            <w:vAlign w:val="center"/>
          </w:tcPr>
          <w:p w14:paraId="526A203B" w14:textId="77777777" w:rsidR="004B0883" w:rsidRDefault="004B0883">
            <w:pPr>
              <w:adjustRightInd w:val="0"/>
              <w:snapToGrid w:val="0"/>
              <w:rPr>
                <w:color w:val="000000"/>
                <w:sz w:val="18"/>
                <w:szCs w:val="18"/>
              </w:rPr>
            </w:pPr>
            <w:r>
              <w:rPr>
                <w:color w:val="000000"/>
                <w:sz w:val="18"/>
                <w:szCs w:val="18"/>
              </w:rPr>
              <w:t>延续实施研发费用加计扣除政策，将制造业企业研发费用加计扣除比例提高到</w:t>
            </w:r>
            <w:r>
              <w:rPr>
                <w:color w:val="000000"/>
                <w:sz w:val="18"/>
                <w:szCs w:val="18"/>
              </w:rPr>
              <w:t>100%</w:t>
            </w:r>
            <w:r>
              <w:rPr>
                <w:color w:val="000000"/>
                <w:sz w:val="18"/>
                <w:szCs w:val="18"/>
              </w:rPr>
              <w:t>。</w:t>
            </w:r>
          </w:p>
        </w:tc>
      </w:tr>
      <w:tr w:rsidR="004B0883" w14:paraId="5E3CA390" w14:textId="77777777">
        <w:trPr>
          <w:trHeight w:val="397"/>
          <w:jc w:val="center"/>
        </w:trPr>
        <w:tc>
          <w:tcPr>
            <w:tcW w:w="435" w:type="pct"/>
            <w:tcMar>
              <w:top w:w="0" w:type="dxa"/>
              <w:bottom w:w="0" w:type="dxa"/>
            </w:tcMar>
            <w:vAlign w:val="center"/>
          </w:tcPr>
          <w:p w14:paraId="17B64D2D" w14:textId="77777777" w:rsidR="004B0883" w:rsidRDefault="004B0883">
            <w:pPr>
              <w:adjustRightInd w:val="0"/>
              <w:snapToGrid w:val="0"/>
              <w:jc w:val="center"/>
              <w:rPr>
                <w:color w:val="000000"/>
                <w:sz w:val="18"/>
                <w:szCs w:val="18"/>
              </w:rPr>
            </w:pPr>
            <w:r>
              <w:rPr>
                <w:color w:val="000000"/>
                <w:sz w:val="18"/>
                <w:szCs w:val="18"/>
              </w:rPr>
              <w:t>6</w:t>
            </w:r>
          </w:p>
        </w:tc>
        <w:tc>
          <w:tcPr>
            <w:tcW w:w="893" w:type="pct"/>
            <w:tcMar>
              <w:top w:w="0" w:type="dxa"/>
              <w:bottom w:w="0" w:type="dxa"/>
            </w:tcMar>
            <w:vAlign w:val="center"/>
          </w:tcPr>
          <w:p w14:paraId="47BB7144" w14:textId="77777777" w:rsidR="004B0883" w:rsidRDefault="004B0883">
            <w:pPr>
              <w:adjustRightInd w:val="0"/>
              <w:snapToGrid w:val="0"/>
              <w:rPr>
                <w:color w:val="000000"/>
                <w:sz w:val="18"/>
                <w:szCs w:val="18"/>
              </w:rPr>
            </w:pPr>
            <w:r>
              <w:rPr>
                <w:color w:val="000000"/>
                <w:sz w:val="18"/>
                <w:szCs w:val="18"/>
              </w:rPr>
              <w:t>《</w:t>
            </w:r>
            <w:r>
              <w:rPr>
                <w:color w:val="000000"/>
                <w:sz w:val="18"/>
                <w:szCs w:val="18"/>
              </w:rPr>
              <w:t>2020</w:t>
            </w:r>
            <w:r>
              <w:rPr>
                <w:color w:val="000000"/>
                <w:sz w:val="18"/>
                <w:szCs w:val="18"/>
              </w:rPr>
              <w:t>年第三批阀门制造行业标准制修订计划》</w:t>
            </w:r>
          </w:p>
        </w:tc>
        <w:tc>
          <w:tcPr>
            <w:tcW w:w="550" w:type="pct"/>
            <w:tcMar>
              <w:top w:w="0" w:type="dxa"/>
              <w:bottom w:w="0" w:type="dxa"/>
            </w:tcMar>
            <w:vAlign w:val="center"/>
          </w:tcPr>
          <w:p w14:paraId="7CF52733" w14:textId="77777777" w:rsidR="004B0883" w:rsidRDefault="004B0883">
            <w:pPr>
              <w:adjustRightInd w:val="0"/>
              <w:snapToGrid w:val="0"/>
              <w:jc w:val="center"/>
              <w:rPr>
                <w:color w:val="000000"/>
                <w:sz w:val="18"/>
                <w:szCs w:val="18"/>
              </w:rPr>
            </w:pPr>
            <w:r>
              <w:rPr>
                <w:color w:val="000000"/>
                <w:sz w:val="18"/>
                <w:szCs w:val="18"/>
              </w:rPr>
              <w:t>工信部</w:t>
            </w:r>
          </w:p>
        </w:tc>
        <w:tc>
          <w:tcPr>
            <w:tcW w:w="610" w:type="pct"/>
            <w:tcMar>
              <w:top w:w="0" w:type="dxa"/>
              <w:bottom w:w="0" w:type="dxa"/>
            </w:tcMar>
            <w:vAlign w:val="center"/>
          </w:tcPr>
          <w:p w14:paraId="63EDC623" w14:textId="77777777" w:rsidR="004B0883" w:rsidRDefault="004B0883">
            <w:pPr>
              <w:adjustRightInd w:val="0"/>
              <w:snapToGrid w:val="0"/>
              <w:jc w:val="center"/>
              <w:rPr>
                <w:color w:val="000000"/>
                <w:sz w:val="18"/>
                <w:szCs w:val="18"/>
              </w:rPr>
            </w:pPr>
            <w:r>
              <w:rPr>
                <w:color w:val="000000"/>
                <w:sz w:val="18"/>
                <w:szCs w:val="18"/>
              </w:rPr>
              <w:t>2021</w:t>
            </w:r>
            <w:r>
              <w:rPr>
                <w:color w:val="000000"/>
                <w:sz w:val="18"/>
                <w:szCs w:val="18"/>
              </w:rPr>
              <w:t>年</w:t>
            </w:r>
          </w:p>
        </w:tc>
        <w:tc>
          <w:tcPr>
            <w:tcW w:w="2512" w:type="pct"/>
            <w:vAlign w:val="center"/>
          </w:tcPr>
          <w:p w14:paraId="33D71B3C" w14:textId="77777777" w:rsidR="004B0883" w:rsidRDefault="004B0883">
            <w:pPr>
              <w:adjustRightInd w:val="0"/>
              <w:snapToGrid w:val="0"/>
              <w:rPr>
                <w:color w:val="000000"/>
                <w:sz w:val="18"/>
                <w:szCs w:val="18"/>
              </w:rPr>
            </w:pPr>
            <w:r>
              <w:rPr>
                <w:color w:val="000000"/>
                <w:sz w:val="18"/>
                <w:szCs w:val="18"/>
              </w:rPr>
              <w:t>由全国阀门标准化技术委员会归口的标准项目</w:t>
            </w:r>
            <w:r>
              <w:rPr>
                <w:color w:val="000000"/>
                <w:sz w:val="18"/>
                <w:szCs w:val="18"/>
              </w:rPr>
              <w:t>6</w:t>
            </w:r>
            <w:r>
              <w:rPr>
                <w:color w:val="000000"/>
                <w:sz w:val="18"/>
                <w:szCs w:val="18"/>
              </w:rPr>
              <w:t>项，均为一般项目。</w:t>
            </w:r>
          </w:p>
        </w:tc>
      </w:tr>
      <w:tr w:rsidR="004B0883" w14:paraId="55C661B8" w14:textId="77777777">
        <w:trPr>
          <w:trHeight w:val="397"/>
          <w:jc w:val="center"/>
        </w:trPr>
        <w:tc>
          <w:tcPr>
            <w:tcW w:w="435" w:type="pct"/>
            <w:tcMar>
              <w:top w:w="0" w:type="dxa"/>
              <w:bottom w:w="0" w:type="dxa"/>
            </w:tcMar>
            <w:vAlign w:val="center"/>
          </w:tcPr>
          <w:p w14:paraId="575BB230" w14:textId="77777777" w:rsidR="004B0883" w:rsidRDefault="004B0883">
            <w:pPr>
              <w:adjustRightInd w:val="0"/>
              <w:snapToGrid w:val="0"/>
              <w:jc w:val="center"/>
              <w:rPr>
                <w:color w:val="000000"/>
                <w:sz w:val="18"/>
                <w:szCs w:val="18"/>
              </w:rPr>
            </w:pPr>
            <w:r>
              <w:rPr>
                <w:color w:val="000000"/>
                <w:sz w:val="18"/>
                <w:szCs w:val="18"/>
              </w:rPr>
              <w:t>7</w:t>
            </w:r>
          </w:p>
        </w:tc>
        <w:tc>
          <w:tcPr>
            <w:tcW w:w="893" w:type="pct"/>
            <w:tcMar>
              <w:top w:w="0" w:type="dxa"/>
              <w:bottom w:w="0" w:type="dxa"/>
            </w:tcMar>
            <w:vAlign w:val="center"/>
          </w:tcPr>
          <w:p w14:paraId="73CFC456" w14:textId="77777777" w:rsidR="004B0883" w:rsidRDefault="004B0883">
            <w:pPr>
              <w:adjustRightInd w:val="0"/>
              <w:snapToGrid w:val="0"/>
              <w:rPr>
                <w:color w:val="000000"/>
                <w:sz w:val="18"/>
                <w:szCs w:val="18"/>
              </w:rPr>
            </w:pPr>
            <w:r>
              <w:rPr>
                <w:color w:val="000000"/>
                <w:sz w:val="18"/>
                <w:szCs w:val="18"/>
              </w:rPr>
              <w:t>《</w:t>
            </w:r>
            <w:r>
              <w:rPr>
                <w:color w:val="000000"/>
                <w:sz w:val="18"/>
                <w:szCs w:val="18"/>
              </w:rPr>
              <w:t>2030</w:t>
            </w:r>
            <w:r>
              <w:rPr>
                <w:color w:val="000000"/>
                <w:sz w:val="18"/>
                <w:szCs w:val="18"/>
              </w:rPr>
              <w:t>年前碳达峰行动方案》</w:t>
            </w:r>
          </w:p>
        </w:tc>
        <w:tc>
          <w:tcPr>
            <w:tcW w:w="550" w:type="pct"/>
            <w:tcMar>
              <w:top w:w="0" w:type="dxa"/>
              <w:bottom w:w="0" w:type="dxa"/>
            </w:tcMar>
            <w:vAlign w:val="center"/>
          </w:tcPr>
          <w:p w14:paraId="04ABFC79" w14:textId="77777777" w:rsidR="004B0883" w:rsidRDefault="004B0883">
            <w:pPr>
              <w:adjustRightInd w:val="0"/>
              <w:snapToGrid w:val="0"/>
              <w:jc w:val="center"/>
              <w:rPr>
                <w:color w:val="000000"/>
                <w:sz w:val="18"/>
                <w:szCs w:val="18"/>
              </w:rPr>
            </w:pPr>
            <w:r>
              <w:rPr>
                <w:color w:val="000000"/>
                <w:sz w:val="18"/>
                <w:szCs w:val="18"/>
              </w:rPr>
              <w:t>国务院</w:t>
            </w:r>
          </w:p>
        </w:tc>
        <w:tc>
          <w:tcPr>
            <w:tcW w:w="610" w:type="pct"/>
            <w:tcMar>
              <w:top w:w="0" w:type="dxa"/>
              <w:bottom w:w="0" w:type="dxa"/>
            </w:tcMar>
            <w:vAlign w:val="center"/>
          </w:tcPr>
          <w:p w14:paraId="550170B8" w14:textId="77777777" w:rsidR="004B0883" w:rsidRDefault="004B0883">
            <w:pPr>
              <w:adjustRightInd w:val="0"/>
              <w:snapToGrid w:val="0"/>
              <w:jc w:val="center"/>
              <w:rPr>
                <w:color w:val="000000"/>
                <w:sz w:val="18"/>
                <w:szCs w:val="18"/>
              </w:rPr>
            </w:pPr>
            <w:r>
              <w:rPr>
                <w:color w:val="000000"/>
                <w:sz w:val="18"/>
                <w:szCs w:val="18"/>
              </w:rPr>
              <w:t>2021</w:t>
            </w:r>
            <w:r>
              <w:rPr>
                <w:color w:val="000000"/>
                <w:sz w:val="18"/>
                <w:szCs w:val="18"/>
              </w:rPr>
              <w:t>年</w:t>
            </w:r>
          </w:p>
        </w:tc>
        <w:tc>
          <w:tcPr>
            <w:tcW w:w="2512" w:type="pct"/>
            <w:vAlign w:val="center"/>
          </w:tcPr>
          <w:p w14:paraId="334E169D" w14:textId="77777777" w:rsidR="004B0883" w:rsidRDefault="004B0883">
            <w:pPr>
              <w:adjustRightInd w:val="0"/>
              <w:snapToGrid w:val="0"/>
              <w:rPr>
                <w:color w:val="000000"/>
                <w:sz w:val="18"/>
                <w:szCs w:val="18"/>
              </w:rPr>
            </w:pPr>
            <w:r>
              <w:rPr>
                <w:color w:val="000000"/>
                <w:sz w:val="18"/>
                <w:szCs w:val="18"/>
              </w:rPr>
              <w:t>有序引导天然气消费，优化利用结构，优先保障民生用气，大力推动天然气与多种能源融合发展，因地制宜建设天然气调峰电站，合理引导工业用气和化工原料用气。支持车船使用液化天然气作为燃料。</w:t>
            </w:r>
          </w:p>
        </w:tc>
      </w:tr>
      <w:tr w:rsidR="004B0883" w14:paraId="48BCD1FD" w14:textId="77777777">
        <w:trPr>
          <w:trHeight w:val="397"/>
          <w:jc w:val="center"/>
        </w:trPr>
        <w:tc>
          <w:tcPr>
            <w:tcW w:w="435" w:type="pct"/>
            <w:tcMar>
              <w:top w:w="0" w:type="dxa"/>
              <w:bottom w:w="0" w:type="dxa"/>
            </w:tcMar>
            <w:vAlign w:val="center"/>
          </w:tcPr>
          <w:p w14:paraId="369FC422" w14:textId="77777777" w:rsidR="004B0883" w:rsidRDefault="004B0883">
            <w:pPr>
              <w:adjustRightInd w:val="0"/>
              <w:snapToGrid w:val="0"/>
              <w:jc w:val="center"/>
              <w:rPr>
                <w:color w:val="000000"/>
                <w:sz w:val="18"/>
                <w:szCs w:val="18"/>
              </w:rPr>
            </w:pPr>
            <w:r>
              <w:rPr>
                <w:color w:val="000000"/>
                <w:sz w:val="18"/>
                <w:szCs w:val="18"/>
              </w:rPr>
              <w:t>8</w:t>
            </w:r>
          </w:p>
        </w:tc>
        <w:tc>
          <w:tcPr>
            <w:tcW w:w="893" w:type="pct"/>
            <w:tcMar>
              <w:top w:w="0" w:type="dxa"/>
              <w:bottom w:w="0" w:type="dxa"/>
            </w:tcMar>
            <w:vAlign w:val="center"/>
          </w:tcPr>
          <w:p w14:paraId="2A342298" w14:textId="77777777" w:rsidR="004B0883" w:rsidRDefault="004B0883">
            <w:pPr>
              <w:adjustRightInd w:val="0"/>
              <w:snapToGrid w:val="0"/>
              <w:rPr>
                <w:color w:val="000000"/>
                <w:sz w:val="18"/>
                <w:szCs w:val="18"/>
              </w:rPr>
            </w:pPr>
            <w:r>
              <w:rPr>
                <w:color w:val="000000"/>
                <w:sz w:val="18"/>
                <w:szCs w:val="18"/>
              </w:rPr>
              <w:t>《中华人民共和国国民经济和社会发展第十四个五年规划和</w:t>
            </w:r>
            <w:r>
              <w:rPr>
                <w:color w:val="000000"/>
                <w:sz w:val="18"/>
                <w:szCs w:val="18"/>
              </w:rPr>
              <w:t>2035</w:t>
            </w:r>
            <w:r>
              <w:rPr>
                <w:color w:val="000000"/>
                <w:sz w:val="18"/>
                <w:szCs w:val="18"/>
              </w:rPr>
              <w:t>年远景目标纲要》</w:t>
            </w:r>
          </w:p>
        </w:tc>
        <w:tc>
          <w:tcPr>
            <w:tcW w:w="550" w:type="pct"/>
            <w:tcMar>
              <w:top w:w="0" w:type="dxa"/>
              <w:bottom w:w="0" w:type="dxa"/>
            </w:tcMar>
            <w:vAlign w:val="center"/>
          </w:tcPr>
          <w:p w14:paraId="2D1FFDAF" w14:textId="77777777" w:rsidR="004B0883" w:rsidRDefault="004B0883">
            <w:pPr>
              <w:adjustRightInd w:val="0"/>
              <w:snapToGrid w:val="0"/>
              <w:jc w:val="center"/>
              <w:rPr>
                <w:color w:val="000000"/>
                <w:sz w:val="18"/>
                <w:szCs w:val="18"/>
              </w:rPr>
            </w:pPr>
            <w:r>
              <w:rPr>
                <w:color w:val="000000"/>
                <w:sz w:val="18"/>
                <w:szCs w:val="18"/>
              </w:rPr>
              <w:t>国务院</w:t>
            </w:r>
          </w:p>
        </w:tc>
        <w:tc>
          <w:tcPr>
            <w:tcW w:w="610" w:type="pct"/>
            <w:tcMar>
              <w:top w:w="0" w:type="dxa"/>
              <w:bottom w:w="0" w:type="dxa"/>
            </w:tcMar>
            <w:vAlign w:val="center"/>
          </w:tcPr>
          <w:p w14:paraId="3F53DB98" w14:textId="77777777" w:rsidR="004B0883" w:rsidRDefault="004B0883">
            <w:pPr>
              <w:adjustRightInd w:val="0"/>
              <w:snapToGrid w:val="0"/>
              <w:jc w:val="center"/>
              <w:rPr>
                <w:color w:val="000000"/>
                <w:sz w:val="18"/>
                <w:szCs w:val="18"/>
              </w:rPr>
            </w:pPr>
            <w:r>
              <w:rPr>
                <w:color w:val="000000"/>
                <w:sz w:val="18"/>
                <w:szCs w:val="18"/>
              </w:rPr>
              <w:t>2021</w:t>
            </w:r>
            <w:r>
              <w:rPr>
                <w:color w:val="000000"/>
                <w:sz w:val="18"/>
                <w:szCs w:val="18"/>
              </w:rPr>
              <w:t>年</w:t>
            </w:r>
          </w:p>
        </w:tc>
        <w:tc>
          <w:tcPr>
            <w:tcW w:w="2512" w:type="pct"/>
            <w:vAlign w:val="center"/>
          </w:tcPr>
          <w:p w14:paraId="0F1C38D4" w14:textId="77777777" w:rsidR="004B0883" w:rsidRDefault="004B0883">
            <w:pPr>
              <w:adjustRightInd w:val="0"/>
              <w:snapToGrid w:val="0"/>
              <w:rPr>
                <w:color w:val="000000"/>
                <w:sz w:val="18"/>
                <w:szCs w:val="18"/>
              </w:rPr>
            </w:pPr>
            <w:r>
              <w:rPr>
                <w:color w:val="000000"/>
                <w:sz w:val="18"/>
                <w:szCs w:val="18"/>
              </w:rPr>
              <w:t>完善煤炭跨区域运输通道和集疏运体系，加快建设天然气主干管道，完善油气互联互通网络；夯实国内产量基础，保持原油和天然气稳产增产，做好煤制油气战略基地规划布局和管控。</w:t>
            </w:r>
          </w:p>
        </w:tc>
      </w:tr>
      <w:tr w:rsidR="004B0883" w14:paraId="06BEC7A5" w14:textId="77777777">
        <w:trPr>
          <w:trHeight w:val="397"/>
          <w:jc w:val="center"/>
        </w:trPr>
        <w:tc>
          <w:tcPr>
            <w:tcW w:w="435" w:type="pct"/>
            <w:tcMar>
              <w:top w:w="0" w:type="dxa"/>
              <w:bottom w:w="0" w:type="dxa"/>
            </w:tcMar>
            <w:vAlign w:val="center"/>
          </w:tcPr>
          <w:p w14:paraId="0ED0C0DD" w14:textId="77777777" w:rsidR="004B0883" w:rsidRDefault="004B0883">
            <w:pPr>
              <w:adjustRightInd w:val="0"/>
              <w:snapToGrid w:val="0"/>
              <w:jc w:val="center"/>
              <w:rPr>
                <w:color w:val="000000"/>
                <w:sz w:val="18"/>
                <w:szCs w:val="18"/>
              </w:rPr>
            </w:pPr>
            <w:r>
              <w:rPr>
                <w:color w:val="000000"/>
                <w:sz w:val="18"/>
                <w:szCs w:val="18"/>
              </w:rPr>
              <w:t>9</w:t>
            </w:r>
          </w:p>
        </w:tc>
        <w:tc>
          <w:tcPr>
            <w:tcW w:w="893" w:type="pct"/>
            <w:tcMar>
              <w:top w:w="0" w:type="dxa"/>
              <w:bottom w:w="0" w:type="dxa"/>
            </w:tcMar>
            <w:vAlign w:val="center"/>
          </w:tcPr>
          <w:p w14:paraId="79838B9D" w14:textId="77777777" w:rsidR="004B0883" w:rsidRDefault="004B0883">
            <w:pPr>
              <w:adjustRightInd w:val="0"/>
              <w:snapToGrid w:val="0"/>
              <w:rPr>
                <w:color w:val="000000"/>
                <w:sz w:val="18"/>
                <w:szCs w:val="18"/>
              </w:rPr>
            </w:pPr>
            <w:r>
              <w:rPr>
                <w:color w:val="000000"/>
                <w:sz w:val="18"/>
                <w:szCs w:val="18"/>
              </w:rPr>
              <w:t>《</w:t>
            </w:r>
            <w:r>
              <w:rPr>
                <w:rFonts w:ascii="宋体" w:hAnsi="宋体"/>
                <w:color w:val="000000"/>
                <w:sz w:val="18"/>
                <w:szCs w:val="18"/>
              </w:rPr>
              <w:t>“</w:t>
            </w:r>
            <w:r>
              <w:rPr>
                <w:color w:val="000000"/>
                <w:sz w:val="18"/>
                <w:szCs w:val="18"/>
              </w:rPr>
              <w:t>十四五</w:t>
            </w:r>
            <w:r>
              <w:rPr>
                <w:rFonts w:ascii="宋体" w:hAnsi="宋体"/>
                <w:color w:val="000000"/>
                <w:sz w:val="18"/>
                <w:szCs w:val="18"/>
              </w:rPr>
              <w:t>”</w:t>
            </w:r>
            <w:r>
              <w:rPr>
                <w:color w:val="000000"/>
                <w:sz w:val="18"/>
                <w:szCs w:val="18"/>
              </w:rPr>
              <w:t>城镇污水处理及资源化利用发展规划》</w:t>
            </w:r>
          </w:p>
        </w:tc>
        <w:tc>
          <w:tcPr>
            <w:tcW w:w="550" w:type="pct"/>
            <w:tcMar>
              <w:top w:w="0" w:type="dxa"/>
              <w:bottom w:w="0" w:type="dxa"/>
            </w:tcMar>
            <w:vAlign w:val="center"/>
          </w:tcPr>
          <w:p w14:paraId="4690021E" w14:textId="77777777" w:rsidR="004B0883" w:rsidRDefault="004B0883">
            <w:pPr>
              <w:adjustRightInd w:val="0"/>
              <w:snapToGrid w:val="0"/>
              <w:jc w:val="center"/>
              <w:rPr>
                <w:color w:val="000000"/>
                <w:sz w:val="18"/>
                <w:szCs w:val="18"/>
              </w:rPr>
            </w:pPr>
            <w:r>
              <w:rPr>
                <w:color w:val="000000"/>
                <w:sz w:val="18"/>
                <w:szCs w:val="18"/>
              </w:rPr>
              <w:t>发改委、住建部</w:t>
            </w:r>
          </w:p>
        </w:tc>
        <w:tc>
          <w:tcPr>
            <w:tcW w:w="610" w:type="pct"/>
            <w:tcMar>
              <w:top w:w="0" w:type="dxa"/>
              <w:bottom w:w="0" w:type="dxa"/>
            </w:tcMar>
            <w:vAlign w:val="center"/>
          </w:tcPr>
          <w:p w14:paraId="1DAE0AF3" w14:textId="77777777" w:rsidR="004B0883" w:rsidRDefault="004B0883">
            <w:pPr>
              <w:adjustRightInd w:val="0"/>
              <w:snapToGrid w:val="0"/>
              <w:jc w:val="center"/>
              <w:rPr>
                <w:color w:val="000000"/>
                <w:sz w:val="18"/>
                <w:szCs w:val="18"/>
              </w:rPr>
            </w:pPr>
            <w:r>
              <w:rPr>
                <w:color w:val="000000"/>
                <w:sz w:val="18"/>
                <w:szCs w:val="18"/>
              </w:rPr>
              <w:t>2021</w:t>
            </w:r>
            <w:r>
              <w:rPr>
                <w:color w:val="000000"/>
                <w:sz w:val="18"/>
                <w:szCs w:val="18"/>
              </w:rPr>
              <w:t>年</w:t>
            </w:r>
          </w:p>
        </w:tc>
        <w:tc>
          <w:tcPr>
            <w:tcW w:w="2512" w:type="pct"/>
            <w:vAlign w:val="center"/>
          </w:tcPr>
          <w:p w14:paraId="38E6BBC8" w14:textId="77777777" w:rsidR="004B0883" w:rsidRDefault="004B0883">
            <w:pPr>
              <w:adjustRightInd w:val="0"/>
              <w:snapToGrid w:val="0"/>
              <w:rPr>
                <w:color w:val="000000"/>
                <w:sz w:val="18"/>
                <w:szCs w:val="18"/>
              </w:rPr>
            </w:pPr>
            <w:r>
              <w:rPr>
                <w:color w:val="000000"/>
                <w:sz w:val="18"/>
                <w:szCs w:val="18"/>
              </w:rPr>
              <w:t>至</w:t>
            </w:r>
            <w:r>
              <w:rPr>
                <w:color w:val="000000"/>
                <w:sz w:val="18"/>
                <w:szCs w:val="18"/>
              </w:rPr>
              <w:t>2025</w:t>
            </w:r>
            <w:r>
              <w:rPr>
                <w:color w:val="000000"/>
                <w:sz w:val="18"/>
                <w:szCs w:val="18"/>
              </w:rPr>
              <w:t>年，我国计划基本消除城市建成区生活污水直排口和收集处理设施空白区，全国城市生活污水集中收集率力争达到</w:t>
            </w:r>
            <w:r>
              <w:rPr>
                <w:color w:val="000000"/>
                <w:sz w:val="18"/>
                <w:szCs w:val="18"/>
              </w:rPr>
              <w:t>70%</w:t>
            </w:r>
            <w:r>
              <w:rPr>
                <w:color w:val="000000"/>
                <w:sz w:val="18"/>
                <w:szCs w:val="18"/>
              </w:rPr>
              <w:t>以上；城市和县城污水处理能力基本满足经济社会发展需要，县城污水处理率达到</w:t>
            </w:r>
            <w:r>
              <w:rPr>
                <w:color w:val="000000"/>
                <w:sz w:val="18"/>
                <w:szCs w:val="18"/>
              </w:rPr>
              <w:t>95%</w:t>
            </w:r>
            <w:r>
              <w:rPr>
                <w:color w:val="000000"/>
                <w:sz w:val="18"/>
                <w:szCs w:val="18"/>
              </w:rPr>
              <w:t>以上。</w:t>
            </w:r>
          </w:p>
        </w:tc>
      </w:tr>
      <w:tr w:rsidR="004B0883" w14:paraId="794E8A2E" w14:textId="77777777">
        <w:trPr>
          <w:trHeight w:val="397"/>
          <w:jc w:val="center"/>
        </w:trPr>
        <w:tc>
          <w:tcPr>
            <w:tcW w:w="435" w:type="pct"/>
            <w:tcMar>
              <w:top w:w="0" w:type="dxa"/>
              <w:bottom w:w="0" w:type="dxa"/>
            </w:tcMar>
            <w:vAlign w:val="center"/>
          </w:tcPr>
          <w:p w14:paraId="5FFDAC34" w14:textId="77777777" w:rsidR="004B0883" w:rsidRDefault="004B0883">
            <w:pPr>
              <w:adjustRightInd w:val="0"/>
              <w:snapToGrid w:val="0"/>
              <w:jc w:val="center"/>
              <w:rPr>
                <w:color w:val="000000"/>
                <w:sz w:val="18"/>
                <w:szCs w:val="18"/>
              </w:rPr>
            </w:pPr>
            <w:r>
              <w:rPr>
                <w:color w:val="000000"/>
                <w:sz w:val="18"/>
                <w:szCs w:val="18"/>
              </w:rPr>
              <w:t>10</w:t>
            </w:r>
          </w:p>
        </w:tc>
        <w:tc>
          <w:tcPr>
            <w:tcW w:w="893" w:type="pct"/>
            <w:tcMar>
              <w:top w:w="0" w:type="dxa"/>
              <w:bottom w:w="0" w:type="dxa"/>
            </w:tcMar>
            <w:vAlign w:val="center"/>
          </w:tcPr>
          <w:p w14:paraId="21C427A0" w14:textId="77777777" w:rsidR="004B0883" w:rsidRDefault="004B0883">
            <w:pPr>
              <w:adjustRightInd w:val="0"/>
              <w:snapToGrid w:val="0"/>
              <w:rPr>
                <w:color w:val="000000"/>
                <w:sz w:val="18"/>
                <w:szCs w:val="18"/>
              </w:rPr>
            </w:pPr>
            <w:r>
              <w:rPr>
                <w:color w:val="000000"/>
                <w:sz w:val="18"/>
                <w:szCs w:val="18"/>
              </w:rPr>
              <w:t>《</w:t>
            </w:r>
            <w:r>
              <w:rPr>
                <w:rFonts w:ascii="宋体" w:hAnsi="宋体"/>
                <w:color w:val="000000"/>
                <w:sz w:val="18"/>
                <w:szCs w:val="18"/>
              </w:rPr>
              <w:t>“</w:t>
            </w:r>
            <w:r>
              <w:rPr>
                <w:color w:val="000000"/>
                <w:sz w:val="18"/>
                <w:szCs w:val="18"/>
              </w:rPr>
              <w:t>十四五</w:t>
            </w:r>
            <w:r>
              <w:rPr>
                <w:rFonts w:ascii="宋体" w:hAnsi="宋体"/>
                <w:color w:val="000000"/>
                <w:sz w:val="18"/>
                <w:szCs w:val="18"/>
              </w:rPr>
              <w:t>”</w:t>
            </w:r>
            <w:r>
              <w:rPr>
                <w:color w:val="000000"/>
                <w:sz w:val="18"/>
                <w:szCs w:val="18"/>
              </w:rPr>
              <w:t>节水型社会建设规划》</w:t>
            </w:r>
          </w:p>
        </w:tc>
        <w:tc>
          <w:tcPr>
            <w:tcW w:w="550" w:type="pct"/>
            <w:tcMar>
              <w:top w:w="0" w:type="dxa"/>
              <w:bottom w:w="0" w:type="dxa"/>
            </w:tcMar>
            <w:vAlign w:val="center"/>
          </w:tcPr>
          <w:p w14:paraId="7D30EBB4" w14:textId="77777777" w:rsidR="004B0883" w:rsidRDefault="004B0883">
            <w:pPr>
              <w:adjustRightInd w:val="0"/>
              <w:snapToGrid w:val="0"/>
              <w:jc w:val="center"/>
              <w:rPr>
                <w:color w:val="000000"/>
                <w:sz w:val="18"/>
                <w:szCs w:val="18"/>
              </w:rPr>
            </w:pPr>
            <w:r>
              <w:rPr>
                <w:color w:val="000000"/>
                <w:sz w:val="18"/>
                <w:szCs w:val="18"/>
              </w:rPr>
              <w:t>发改委</w:t>
            </w:r>
          </w:p>
        </w:tc>
        <w:tc>
          <w:tcPr>
            <w:tcW w:w="610" w:type="pct"/>
            <w:tcMar>
              <w:top w:w="0" w:type="dxa"/>
              <w:bottom w:w="0" w:type="dxa"/>
            </w:tcMar>
            <w:vAlign w:val="center"/>
          </w:tcPr>
          <w:p w14:paraId="58CF5CA3" w14:textId="77777777" w:rsidR="004B0883" w:rsidRDefault="004B0883">
            <w:pPr>
              <w:adjustRightInd w:val="0"/>
              <w:snapToGrid w:val="0"/>
              <w:jc w:val="center"/>
              <w:rPr>
                <w:color w:val="000000"/>
                <w:sz w:val="18"/>
                <w:szCs w:val="18"/>
              </w:rPr>
            </w:pPr>
            <w:r>
              <w:rPr>
                <w:color w:val="000000"/>
                <w:sz w:val="18"/>
                <w:szCs w:val="18"/>
              </w:rPr>
              <w:t>2021</w:t>
            </w:r>
            <w:r>
              <w:rPr>
                <w:color w:val="000000"/>
                <w:sz w:val="18"/>
                <w:szCs w:val="18"/>
              </w:rPr>
              <w:t>年</w:t>
            </w:r>
          </w:p>
        </w:tc>
        <w:tc>
          <w:tcPr>
            <w:tcW w:w="2512" w:type="pct"/>
            <w:vAlign w:val="center"/>
          </w:tcPr>
          <w:p w14:paraId="2621C9FC" w14:textId="77777777" w:rsidR="004B0883" w:rsidRDefault="004B0883">
            <w:pPr>
              <w:adjustRightInd w:val="0"/>
              <w:snapToGrid w:val="0"/>
              <w:rPr>
                <w:color w:val="000000"/>
                <w:sz w:val="18"/>
                <w:szCs w:val="18"/>
              </w:rPr>
            </w:pPr>
            <w:r>
              <w:rPr>
                <w:color w:val="000000"/>
                <w:sz w:val="18"/>
                <w:szCs w:val="18"/>
              </w:rPr>
              <w:t>老城区结合更新改造，抓紧补齐供水管网短板，新城区高起点规划、高标准建设供水管网。按需选择分区计量实施路线，建设分区计量工程，逐步实现供水管网的网格化、精细化管理，积极推进管网改造、供水管网压力调控工程。强化科技支撑，促进节水技术装备研发和产业化，推广节水产品，培育节水产业。完善节水技术推广机制，加大先进适用节水技术、工艺和装备推广力度。</w:t>
            </w:r>
          </w:p>
        </w:tc>
      </w:tr>
      <w:tr w:rsidR="004B0883" w14:paraId="65559943" w14:textId="77777777">
        <w:trPr>
          <w:trHeight w:val="397"/>
          <w:jc w:val="center"/>
        </w:trPr>
        <w:tc>
          <w:tcPr>
            <w:tcW w:w="435" w:type="pct"/>
            <w:tcMar>
              <w:top w:w="0" w:type="dxa"/>
              <w:bottom w:w="0" w:type="dxa"/>
            </w:tcMar>
            <w:vAlign w:val="center"/>
          </w:tcPr>
          <w:p w14:paraId="55180B68" w14:textId="77777777" w:rsidR="004B0883" w:rsidRDefault="004B0883">
            <w:pPr>
              <w:adjustRightInd w:val="0"/>
              <w:snapToGrid w:val="0"/>
              <w:jc w:val="center"/>
              <w:rPr>
                <w:color w:val="000000"/>
                <w:sz w:val="18"/>
                <w:szCs w:val="18"/>
              </w:rPr>
            </w:pPr>
            <w:r>
              <w:rPr>
                <w:color w:val="000000"/>
                <w:sz w:val="18"/>
                <w:szCs w:val="18"/>
              </w:rPr>
              <w:t>11</w:t>
            </w:r>
          </w:p>
        </w:tc>
        <w:tc>
          <w:tcPr>
            <w:tcW w:w="893" w:type="pct"/>
            <w:tcMar>
              <w:top w:w="0" w:type="dxa"/>
              <w:bottom w:w="0" w:type="dxa"/>
            </w:tcMar>
            <w:vAlign w:val="center"/>
          </w:tcPr>
          <w:p w14:paraId="167A88FF" w14:textId="77777777" w:rsidR="004B0883" w:rsidRDefault="004B0883">
            <w:pPr>
              <w:adjustRightInd w:val="0"/>
              <w:snapToGrid w:val="0"/>
              <w:rPr>
                <w:color w:val="000000"/>
                <w:sz w:val="18"/>
                <w:szCs w:val="18"/>
              </w:rPr>
            </w:pPr>
            <w:r>
              <w:rPr>
                <w:color w:val="000000"/>
                <w:sz w:val="18"/>
                <w:szCs w:val="18"/>
              </w:rPr>
              <w:t>《国民经济和社会发展第十四个五年规划和</w:t>
            </w:r>
            <w:r>
              <w:rPr>
                <w:color w:val="000000"/>
                <w:sz w:val="18"/>
                <w:szCs w:val="18"/>
              </w:rPr>
              <w:t>2035</w:t>
            </w:r>
            <w:r>
              <w:rPr>
                <w:color w:val="000000"/>
                <w:sz w:val="18"/>
                <w:szCs w:val="18"/>
              </w:rPr>
              <w:t>年远景目标纲要》</w:t>
            </w:r>
          </w:p>
        </w:tc>
        <w:tc>
          <w:tcPr>
            <w:tcW w:w="550" w:type="pct"/>
            <w:tcMar>
              <w:top w:w="0" w:type="dxa"/>
              <w:bottom w:w="0" w:type="dxa"/>
            </w:tcMar>
            <w:vAlign w:val="center"/>
          </w:tcPr>
          <w:p w14:paraId="75E66DE8" w14:textId="77777777" w:rsidR="004B0883" w:rsidRDefault="004B0883">
            <w:pPr>
              <w:adjustRightInd w:val="0"/>
              <w:snapToGrid w:val="0"/>
              <w:jc w:val="center"/>
              <w:rPr>
                <w:color w:val="000000"/>
                <w:sz w:val="18"/>
                <w:szCs w:val="18"/>
              </w:rPr>
            </w:pPr>
            <w:r>
              <w:rPr>
                <w:color w:val="000000"/>
                <w:sz w:val="18"/>
                <w:szCs w:val="18"/>
              </w:rPr>
              <w:t>全国人民代表大会</w:t>
            </w:r>
          </w:p>
        </w:tc>
        <w:tc>
          <w:tcPr>
            <w:tcW w:w="610" w:type="pct"/>
            <w:tcMar>
              <w:top w:w="0" w:type="dxa"/>
              <w:bottom w:w="0" w:type="dxa"/>
            </w:tcMar>
            <w:vAlign w:val="center"/>
          </w:tcPr>
          <w:p w14:paraId="2413643B" w14:textId="77777777" w:rsidR="004B0883" w:rsidRDefault="004B0883">
            <w:pPr>
              <w:adjustRightInd w:val="0"/>
              <w:snapToGrid w:val="0"/>
              <w:jc w:val="center"/>
              <w:rPr>
                <w:color w:val="000000"/>
                <w:sz w:val="18"/>
                <w:szCs w:val="18"/>
              </w:rPr>
            </w:pPr>
            <w:r>
              <w:rPr>
                <w:color w:val="000000"/>
                <w:sz w:val="18"/>
                <w:szCs w:val="18"/>
              </w:rPr>
              <w:t>2021</w:t>
            </w:r>
            <w:r>
              <w:rPr>
                <w:color w:val="000000"/>
                <w:sz w:val="18"/>
                <w:szCs w:val="18"/>
              </w:rPr>
              <w:t>年</w:t>
            </w:r>
          </w:p>
        </w:tc>
        <w:tc>
          <w:tcPr>
            <w:tcW w:w="2512" w:type="pct"/>
            <w:vAlign w:val="center"/>
          </w:tcPr>
          <w:p w14:paraId="16F8E428" w14:textId="77777777" w:rsidR="004B0883" w:rsidRDefault="004B0883">
            <w:pPr>
              <w:adjustRightInd w:val="0"/>
              <w:snapToGrid w:val="0"/>
              <w:rPr>
                <w:color w:val="000000"/>
                <w:sz w:val="18"/>
                <w:szCs w:val="18"/>
              </w:rPr>
            </w:pPr>
            <w:r>
              <w:rPr>
                <w:color w:val="000000"/>
                <w:sz w:val="18"/>
                <w:szCs w:val="18"/>
              </w:rPr>
              <w:t>实施国家节水行动，建立水资源刚性约束制度，强化农业节水增效、工业节水减排和城镇节水降损，鼓励再生水利用，单位</w:t>
            </w:r>
            <w:r>
              <w:rPr>
                <w:color w:val="000000"/>
                <w:sz w:val="18"/>
                <w:szCs w:val="18"/>
              </w:rPr>
              <w:t>GDP</w:t>
            </w:r>
            <w:r>
              <w:rPr>
                <w:color w:val="000000"/>
                <w:sz w:val="18"/>
                <w:szCs w:val="18"/>
              </w:rPr>
              <w:t>用水量下降</w:t>
            </w:r>
            <w:r>
              <w:rPr>
                <w:color w:val="000000"/>
                <w:sz w:val="18"/>
                <w:szCs w:val="18"/>
              </w:rPr>
              <w:t>16%</w:t>
            </w:r>
            <w:r>
              <w:rPr>
                <w:color w:val="000000"/>
                <w:sz w:val="18"/>
                <w:szCs w:val="18"/>
              </w:rPr>
              <w:t>左右。</w:t>
            </w:r>
          </w:p>
        </w:tc>
      </w:tr>
      <w:tr w:rsidR="004B0883" w14:paraId="54EDA623" w14:textId="77777777">
        <w:trPr>
          <w:trHeight w:val="397"/>
          <w:jc w:val="center"/>
        </w:trPr>
        <w:tc>
          <w:tcPr>
            <w:tcW w:w="435" w:type="pct"/>
            <w:tcMar>
              <w:top w:w="0" w:type="dxa"/>
              <w:bottom w:w="0" w:type="dxa"/>
            </w:tcMar>
            <w:vAlign w:val="center"/>
          </w:tcPr>
          <w:p w14:paraId="1FE58B2A" w14:textId="77777777" w:rsidR="004B0883" w:rsidRDefault="004B0883">
            <w:pPr>
              <w:adjustRightInd w:val="0"/>
              <w:snapToGrid w:val="0"/>
              <w:jc w:val="center"/>
              <w:rPr>
                <w:color w:val="000000"/>
                <w:sz w:val="18"/>
                <w:szCs w:val="18"/>
              </w:rPr>
            </w:pPr>
            <w:r>
              <w:rPr>
                <w:color w:val="000000"/>
                <w:sz w:val="18"/>
                <w:szCs w:val="18"/>
              </w:rPr>
              <w:t>12</w:t>
            </w:r>
          </w:p>
        </w:tc>
        <w:tc>
          <w:tcPr>
            <w:tcW w:w="893" w:type="pct"/>
            <w:tcMar>
              <w:top w:w="0" w:type="dxa"/>
              <w:bottom w:w="0" w:type="dxa"/>
            </w:tcMar>
            <w:vAlign w:val="center"/>
          </w:tcPr>
          <w:p w14:paraId="44188C58" w14:textId="77777777" w:rsidR="004B0883" w:rsidRDefault="004B0883">
            <w:pPr>
              <w:adjustRightInd w:val="0"/>
              <w:snapToGrid w:val="0"/>
              <w:rPr>
                <w:color w:val="000000"/>
                <w:sz w:val="18"/>
                <w:szCs w:val="18"/>
              </w:rPr>
            </w:pPr>
            <w:r>
              <w:rPr>
                <w:color w:val="000000"/>
                <w:sz w:val="18"/>
                <w:szCs w:val="18"/>
              </w:rPr>
              <w:t>《重大技术装备进口税收政策管理办法实施细则》</w:t>
            </w:r>
          </w:p>
        </w:tc>
        <w:tc>
          <w:tcPr>
            <w:tcW w:w="550" w:type="pct"/>
            <w:tcMar>
              <w:top w:w="0" w:type="dxa"/>
              <w:bottom w:w="0" w:type="dxa"/>
            </w:tcMar>
            <w:vAlign w:val="center"/>
          </w:tcPr>
          <w:p w14:paraId="7CCCEDBF" w14:textId="77777777" w:rsidR="004B0883" w:rsidRDefault="004B0883">
            <w:pPr>
              <w:adjustRightInd w:val="0"/>
              <w:snapToGrid w:val="0"/>
              <w:jc w:val="center"/>
              <w:rPr>
                <w:color w:val="000000"/>
                <w:sz w:val="18"/>
                <w:szCs w:val="18"/>
              </w:rPr>
            </w:pPr>
            <w:r>
              <w:rPr>
                <w:color w:val="000000"/>
                <w:sz w:val="18"/>
                <w:szCs w:val="18"/>
              </w:rPr>
              <w:t>财政部、工信部、海关总署、税务总局、能源局</w:t>
            </w:r>
          </w:p>
        </w:tc>
        <w:tc>
          <w:tcPr>
            <w:tcW w:w="610" w:type="pct"/>
            <w:tcMar>
              <w:top w:w="0" w:type="dxa"/>
              <w:bottom w:w="0" w:type="dxa"/>
            </w:tcMar>
            <w:vAlign w:val="center"/>
          </w:tcPr>
          <w:p w14:paraId="5CC9BA29" w14:textId="77777777" w:rsidR="004B0883" w:rsidRDefault="004B0883">
            <w:pPr>
              <w:adjustRightInd w:val="0"/>
              <w:snapToGrid w:val="0"/>
              <w:jc w:val="center"/>
              <w:rPr>
                <w:color w:val="000000"/>
                <w:sz w:val="18"/>
                <w:szCs w:val="18"/>
              </w:rPr>
            </w:pPr>
            <w:r>
              <w:rPr>
                <w:color w:val="000000"/>
                <w:sz w:val="18"/>
                <w:szCs w:val="18"/>
              </w:rPr>
              <w:t>2020</w:t>
            </w:r>
            <w:r>
              <w:rPr>
                <w:color w:val="000000"/>
                <w:sz w:val="18"/>
                <w:szCs w:val="18"/>
              </w:rPr>
              <w:t>年</w:t>
            </w:r>
          </w:p>
        </w:tc>
        <w:tc>
          <w:tcPr>
            <w:tcW w:w="2512" w:type="pct"/>
            <w:vAlign w:val="center"/>
          </w:tcPr>
          <w:p w14:paraId="41F7A7D0" w14:textId="77777777" w:rsidR="004B0883" w:rsidRDefault="004B0883">
            <w:pPr>
              <w:adjustRightInd w:val="0"/>
              <w:snapToGrid w:val="0"/>
              <w:rPr>
                <w:color w:val="000000"/>
                <w:sz w:val="18"/>
                <w:szCs w:val="18"/>
              </w:rPr>
            </w:pPr>
            <w:r>
              <w:rPr>
                <w:color w:val="000000"/>
                <w:sz w:val="18"/>
                <w:szCs w:val="18"/>
              </w:rPr>
              <w:t>支持我国重大技术装备制造业发展，对于生产国家支持发展的重大技术装备或产品的企业，承诺具备较强的设计研发和生产制造能力以及专业比较齐全的技术人员队伍实行一定程度的进口税收优惠。</w:t>
            </w:r>
          </w:p>
        </w:tc>
      </w:tr>
      <w:tr w:rsidR="004B0883" w14:paraId="71C51D37" w14:textId="77777777">
        <w:trPr>
          <w:trHeight w:val="397"/>
          <w:jc w:val="center"/>
        </w:trPr>
        <w:tc>
          <w:tcPr>
            <w:tcW w:w="435" w:type="pct"/>
            <w:tcMar>
              <w:top w:w="0" w:type="dxa"/>
              <w:bottom w:w="0" w:type="dxa"/>
            </w:tcMar>
            <w:vAlign w:val="center"/>
          </w:tcPr>
          <w:p w14:paraId="3C0B62CF" w14:textId="77777777" w:rsidR="004B0883" w:rsidRDefault="004B0883">
            <w:pPr>
              <w:adjustRightInd w:val="0"/>
              <w:snapToGrid w:val="0"/>
              <w:jc w:val="center"/>
              <w:rPr>
                <w:color w:val="000000"/>
                <w:sz w:val="18"/>
                <w:szCs w:val="18"/>
              </w:rPr>
            </w:pPr>
            <w:r>
              <w:rPr>
                <w:color w:val="000000"/>
                <w:sz w:val="18"/>
                <w:szCs w:val="18"/>
              </w:rPr>
              <w:t>13</w:t>
            </w:r>
          </w:p>
        </w:tc>
        <w:tc>
          <w:tcPr>
            <w:tcW w:w="893" w:type="pct"/>
            <w:tcMar>
              <w:top w:w="0" w:type="dxa"/>
              <w:bottom w:w="0" w:type="dxa"/>
            </w:tcMar>
            <w:vAlign w:val="center"/>
          </w:tcPr>
          <w:p w14:paraId="1BDA6DBA" w14:textId="77777777" w:rsidR="004B0883" w:rsidRDefault="004B0883">
            <w:pPr>
              <w:adjustRightInd w:val="0"/>
              <w:snapToGrid w:val="0"/>
              <w:rPr>
                <w:color w:val="000000"/>
                <w:sz w:val="18"/>
                <w:szCs w:val="18"/>
              </w:rPr>
            </w:pPr>
            <w:r>
              <w:rPr>
                <w:color w:val="000000"/>
                <w:sz w:val="18"/>
                <w:szCs w:val="18"/>
              </w:rPr>
              <w:t>《关于推动先进制造业和现代服务业深度融合发展的实施意见》</w:t>
            </w:r>
          </w:p>
        </w:tc>
        <w:tc>
          <w:tcPr>
            <w:tcW w:w="550" w:type="pct"/>
            <w:tcMar>
              <w:top w:w="0" w:type="dxa"/>
              <w:bottom w:w="0" w:type="dxa"/>
            </w:tcMar>
            <w:vAlign w:val="center"/>
          </w:tcPr>
          <w:p w14:paraId="25B039D6" w14:textId="77777777" w:rsidR="004B0883" w:rsidRDefault="004B0883">
            <w:pPr>
              <w:adjustRightInd w:val="0"/>
              <w:snapToGrid w:val="0"/>
              <w:jc w:val="center"/>
              <w:rPr>
                <w:color w:val="000000"/>
                <w:sz w:val="18"/>
                <w:szCs w:val="18"/>
              </w:rPr>
            </w:pPr>
            <w:r>
              <w:rPr>
                <w:color w:val="000000"/>
                <w:sz w:val="18"/>
                <w:szCs w:val="18"/>
              </w:rPr>
              <w:t>发改委、工信部等</w:t>
            </w:r>
            <w:r>
              <w:rPr>
                <w:color w:val="000000"/>
                <w:sz w:val="18"/>
                <w:szCs w:val="18"/>
              </w:rPr>
              <w:t>15</w:t>
            </w:r>
            <w:r>
              <w:rPr>
                <w:color w:val="000000"/>
                <w:sz w:val="18"/>
                <w:szCs w:val="18"/>
              </w:rPr>
              <w:t>部门</w:t>
            </w:r>
          </w:p>
        </w:tc>
        <w:tc>
          <w:tcPr>
            <w:tcW w:w="610" w:type="pct"/>
            <w:tcMar>
              <w:top w:w="0" w:type="dxa"/>
              <w:bottom w:w="0" w:type="dxa"/>
            </w:tcMar>
            <w:vAlign w:val="center"/>
          </w:tcPr>
          <w:p w14:paraId="74A7823B" w14:textId="77777777" w:rsidR="004B0883" w:rsidRDefault="004B0883">
            <w:pPr>
              <w:adjustRightInd w:val="0"/>
              <w:snapToGrid w:val="0"/>
              <w:jc w:val="center"/>
              <w:rPr>
                <w:color w:val="000000"/>
                <w:sz w:val="18"/>
                <w:szCs w:val="18"/>
              </w:rPr>
            </w:pPr>
            <w:r>
              <w:rPr>
                <w:color w:val="000000"/>
                <w:sz w:val="18"/>
                <w:szCs w:val="18"/>
              </w:rPr>
              <w:t>2019</w:t>
            </w:r>
            <w:r>
              <w:rPr>
                <w:color w:val="000000"/>
                <w:sz w:val="18"/>
                <w:szCs w:val="18"/>
              </w:rPr>
              <w:t>年</w:t>
            </w:r>
          </w:p>
        </w:tc>
        <w:tc>
          <w:tcPr>
            <w:tcW w:w="2512" w:type="pct"/>
            <w:vAlign w:val="center"/>
          </w:tcPr>
          <w:p w14:paraId="593C1A2D" w14:textId="77777777" w:rsidR="004B0883" w:rsidRDefault="004B0883">
            <w:pPr>
              <w:adjustRightInd w:val="0"/>
              <w:snapToGrid w:val="0"/>
              <w:rPr>
                <w:color w:val="000000"/>
                <w:sz w:val="18"/>
                <w:szCs w:val="18"/>
              </w:rPr>
            </w:pPr>
            <w:r>
              <w:rPr>
                <w:color w:val="000000"/>
                <w:sz w:val="18"/>
                <w:szCs w:val="18"/>
              </w:rPr>
              <w:t>提出培育融合发展新业态新模式，探索重点行业重点领域融合发展新路径，发挥多元化融合发展主体作用，到</w:t>
            </w:r>
            <w:r>
              <w:rPr>
                <w:color w:val="000000"/>
                <w:sz w:val="18"/>
                <w:szCs w:val="18"/>
              </w:rPr>
              <w:t>2025</w:t>
            </w:r>
            <w:r>
              <w:rPr>
                <w:color w:val="000000"/>
                <w:sz w:val="18"/>
                <w:szCs w:val="18"/>
              </w:rPr>
              <w:t>年，形成一批创新活跃、效益显著、质量卓越、带动效应突出的深度融合发展企业、平台和示范区，企业生产性服务投入逐步提高，产业生态不断完善，两业融合成为推动制造业高质量发展的重要支撑。</w:t>
            </w:r>
          </w:p>
        </w:tc>
      </w:tr>
      <w:tr w:rsidR="004B0883" w14:paraId="09DEAE2B" w14:textId="77777777">
        <w:trPr>
          <w:trHeight w:val="397"/>
          <w:jc w:val="center"/>
        </w:trPr>
        <w:tc>
          <w:tcPr>
            <w:tcW w:w="435" w:type="pct"/>
            <w:tcMar>
              <w:top w:w="0" w:type="dxa"/>
              <w:bottom w:w="0" w:type="dxa"/>
            </w:tcMar>
            <w:vAlign w:val="center"/>
          </w:tcPr>
          <w:p w14:paraId="31FEC443" w14:textId="77777777" w:rsidR="004B0883" w:rsidRDefault="004B0883">
            <w:pPr>
              <w:adjustRightInd w:val="0"/>
              <w:snapToGrid w:val="0"/>
              <w:jc w:val="center"/>
              <w:rPr>
                <w:color w:val="000000"/>
                <w:sz w:val="18"/>
                <w:szCs w:val="18"/>
              </w:rPr>
            </w:pPr>
            <w:r>
              <w:rPr>
                <w:color w:val="000000"/>
                <w:sz w:val="18"/>
                <w:szCs w:val="18"/>
              </w:rPr>
              <w:t>14</w:t>
            </w:r>
          </w:p>
        </w:tc>
        <w:tc>
          <w:tcPr>
            <w:tcW w:w="893" w:type="pct"/>
            <w:tcMar>
              <w:top w:w="0" w:type="dxa"/>
              <w:bottom w:w="0" w:type="dxa"/>
            </w:tcMar>
            <w:vAlign w:val="center"/>
          </w:tcPr>
          <w:p w14:paraId="15BC0CCB" w14:textId="77777777" w:rsidR="004B0883" w:rsidRDefault="004B0883">
            <w:pPr>
              <w:adjustRightInd w:val="0"/>
              <w:snapToGrid w:val="0"/>
              <w:rPr>
                <w:color w:val="000000"/>
                <w:sz w:val="18"/>
                <w:szCs w:val="18"/>
              </w:rPr>
            </w:pPr>
            <w:r>
              <w:rPr>
                <w:color w:val="000000"/>
                <w:sz w:val="18"/>
                <w:szCs w:val="18"/>
              </w:rPr>
              <w:t>《战略性新兴产业分类（</w:t>
            </w:r>
            <w:r>
              <w:rPr>
                <w:color w:val="000000"/>
                <w:sz w:val="18"/>
                <w:szCs w:val="18"/>
              </w:rPr>
              <w:t>2018</w:t>
            </w:r>
            <w:r>
              <w:rPr>
                <w:color w:val="000000"/>
                <w:sz w:val="18"/>
                <w:szCs w:val="18"/>
              </w:rPr>
              <w:t>）》</w:t>
            </w:r>
          </w:p>
        </w:tc>
        <w:tc>
          <w:tcPr>
            <w:tcW w:w="550" w:type="pct"/>
            <w:tcMar>
              <w:top w:w="0" w:type="dxa"/>
              <w:bottom w:w="0" w:type="dxa"/>
            </w:tcMar>
            <w:vAlign w:val="center"/>
          </w:tcPr>
          <w:p w14:paraId="6A43820A" w14:textId="77777777" w:rsidR="004B0883" w:rsidRDefault="004B0883">
            <w:pPr>
              <w:adjustRightInd w:val="0"/>
              <w:snapToGrid w:val="0"/>
              <w:jc w:val="center"/>
              <w:rPr>
                <w:color w:val="000000"/>
                <w:sz w:val="18"/>
                <w:szCs w:val="18"/>
              </w:rPr>
            </w:pPr>
            <w:r>
              <w:rPr>
                <w:color w:val="000000"/>
                <w:sz w:val="18"/>
                <w:szCs w:val="18"/>
              </w:rPr>
              <w:t>统计局</w:t>
            </w:r>
          </w:p>
        </w:tc>
        <w:tc>
          <w:tcPr>
            <w:tcW w:w="610" w:type="pct"/>
            <w:tcMar>
              <w:top w:w="0" w:type="dxa"/>
              <w:bottom w:w="0" w:type="dxa"/>
            </w:tcMar>
            <w:vAlign w:val="center"/>
          </w:tcPr>
          <w:p w14:paraId="3AE09F9C" w14:textId="77777777" w:rsidR="004B0883" w:rsidRDefault="004B0883">
            <w:pPr>
              <w:adjustRightInd w:val="0"/>
              <w:snapToGrid w:val="0"/>
              <w:jc w:val="center"/>
              <w:rPr>
                <w:color w:val="000000"/>
                <w:sz w:val="18"/>
                <w:szCs w:val="18"/>
              </w:rPr>
            </w:pPr>
            <w:r>
              <w:rPr>
                <w:color w:val="000000"/>
                <w:sz w:val="18"/>
                <w:szCs w:val="18"/>
              </w:rPr>
              <w:t>2018</w:t>
            </w:r>
            <w:r>
              <w:rPr>
                <w:color w:val="000000"/>
                <w:sz w:val="18"/>
                <w:szCs w:val="18"/>
              </w:rPr>
              <w:t>年</w:t>
            </w:r>
          </w:p>
        </w:tc>
        <w:tc>
          <w:tcPr>
            <w:tcW w:w="2512" w:type="pct"/>
            <w:vAlign w:val="center"/>
          </w:tcPr>
          <w:p w14:paraId="565805AD" w14:textId="77777777" w:rsidR="004B0883" w:rsidRDefault="004B0883">
            <w:pPr>
              <w:adjustRightInd w:val="0"/>
              <w:snapToGrid w:val="0"/>
              <w:rPr>
                <w:color w:val="000000"/>
                <w:sz w:val="18"/>
                <w:szCs w:val="18"/>
              </w:rPr>
            </w:pPr>
            <w:r>
              <w:rPr>
                <w:color w:val="000000"/>
                <w:sz w:val="18"/>
                <w:szCs w:val="18"/>
              </w:rPr>
              <w:t>将</w:t>
            </w:r>
            <w:r>
              <w:rPr>
                <w:rFonts w:ascii="宋体" w:hAnsi="宋体"/>
                <w:color w:val="000000"/>
                <w:sz w:val="18"/>
                <w:szCs w:val="18"/>
              </w:rPr>
              <w:t>“节</w:t>
            </w:r>
            <w:r>
              <w:rPr>
                <w:color w:val="000000"/>
                <w:sz w:val="18"/>
                <w:szCs w:val="18"/>
              </w:rPr>
              <w:t>水阀门</w:t>
            </w:r>
            <w:r>
              <w:rPr>
                <w:rFonts w:ascii="宋体" w:hAnsi="宋体"/>
                <w:color w:val="000000"/>
                <w:sz w:val="18"/>
                <w:szCs w:val="18"/>
              </w:rPr>
              <w:t>”</w:t>
            </w:r>
            <w:r>
              <w:rPr>
                <w:color w:val="000000"/>
                <w:sz w:val="18"/>
                <w:szCs w:val="18"/>
              </w:rPr>
              <w:t>列为战略性新兴产业重点产品。</w:t>
            </w:r>
          </w:p>
        </w:tc>
      </w:tr>
      <w:tr w:rsidR="004B0883" w14:paraId="489006C5" w14:textId="77777777">
        <w:trPr>
          <w:trHeight w:val="397"/>
          <w:jc w:val="center"/>
        </w:trPr>
        <w:tc>
          <w:tcPr>
            <w:tcW w:w="435" w:type="pct"/>
            <w:tcMar>
              <w:top w:w="0" w:type="dxa"/>
              <w:bottom w:w="0" w:type="dxa"/>
            </w:tcMar>
            <w:vAlign w:val="center"/>
          </w:tcPr>
          <w:p w14:paraId="3ECC65D0" w14:textId="77777777" w:rsidR="004B0883" w:rsidRDefault="004B0883">
            <w:pPr>
              <w:adjustRightInd w:val="0"/>
              <w:snapToGrid w:val="0"/>
              <w:jc w:val="center"/>
              <w:rPr>
                <w:color w:val="000000"/>
                <w:sz w:val="18"/>
                <w:szCs w:val="18"/>
              </w:rPr>
            </w:pPr>
            <w:r>
              <w:rPr>
                <w:color w:val="000000"/>
                <w:sz w:val="18"/>
                <w:szCs w:val="18"/>
              </w:rPr>
              <w:t>15</w:t>
            </w:r>
          </w:p>
        </w:tc>
        <w:tc>
          <w:tcPr>
            <w:tcW w:w="893" w:type="pct"/>
            <w:tcMar>
              <w:top w:w="0" w:type="dxa"/>
              <w:bottom w:w="0" w:type="dxa"/>
            </w:tcMar>
            <w:vAlign w:val="center"/>
          </w:tcPr>
          <w:p w14:paraId="426AAD43" w14:textId="77777777" w:rsidR="004B0883" w:rsidRDefault="004B0883">
            <w:pPr>
              <w:adjustRightInd w:val="0"/>
              <w:snapToGrid w:val="0"/>
              <w:rPr>
                <w:color w:val="000000"/>
                <w:sz w:val="18"/>
                <w:szCs w:val="18"/>
              </w:rPr>
            </w:pPr>
            <w:r>
              <w:rPr>
                <w:color w:val="000000"/>
                <w:sz w:val="18"/>
                <w:szCs w:val="18"/>
              </w:rPr>
              <w:t>《国家重点支持的高新技术领域》</w:t>
            </w:r>
          </w:p>
        </w:tc>
        <w:tc>
          <w:tcPr>
            <w:tcW w:w="550" w:type="pct"/>
            <w:tcMar>
              <w:top w:w="0" w:type="dxa"/>
              <w:bottom w:w="0" w:type="dxa"/>
            </w:tcMar>
            <w:vAlign w:val="center"/>
          </w:tcPr>
          <w:p w14:paraId="1185AEDF" w14:textId="77777777" w:rsidR="004B0883" w:rsidRDefault="004B0883">
            <w:pPr>
              <w:adjustRightInd w:val="0"/>
              <w:snapToGrid w:val="0"/>
              <w:jc w:val="center"/>
              <w:rPr>
                <w:color w:val="000000"/>
                <w:sz w:val="18"/>
                <w:szCs w:val="18"/>
              </w:rPr>
            </w:pPr>
            <w:r>
              <w:rPr>
                <w:color w:val="000000"/>
                <w:sz w:val="18"/>
                <w:szCs w:val="18"/>
              </w:rPr>
              <w:t>国务院</w:t>
            </w:r>
          </w:p>
        </w:tc>
        <w:tc>
          <w:tcPr>
            <w:tcW w:w="610" w:type="pct"/>
            <w:tcMar>
              <w:top w:w="0" w:type="dxa"/>
              <w:bottom w:w="0" w:type="dxa"/>
            </w:tcMar>
            <w:vAlign w:val="center"/>
          </w:tcPr>
          <w:p w14:paraId="50925815" w14:textId="77777777" w:rsidR="004B0883" w:rsidRDefault="004B0883">
            <w:pPr>
              <w:adjustRightInd w:val="0"/>
              <w:snapToGrid w:val="0"/>
              <w:jc w:val="center"/>
              <w:rPr>
                <w:color w:val="000000"/>
                <w:sz w:val="18"/>
                <w:szCs w:val="18"/>
              </w:rPr>
            </w:pPr>
            <w:r>
              <w:rPr>
                <w:color w:val="000000"/>
                <w:sz w:val="18"/>
                <w:szCs w:val="18"/>
              </w:rPr>
              <w:t>2016</w:t>
            </w:r>
            <w:r>
              <w:rPr>
                <w:color w:val="000000"/>
                <w:sz w:val="18"/>
                <w:szCs w:val="18"/>
              </w:rPr>
              <w:t>年</w:t>
            </w:r>
          </w:p>
        </w:tc>
        <w:tc>
          <w:tcPr>
            <w:tcW w:w="2512" w:type="pct"/>
            <w:vAlign w:val="center"/>
          </w:tcPr>
          <w:p w14:paraId="194A0AE1" w14:textId="77777777" w:rsidR="004B0883" w:rsidRDefault="004B0883">
            <w:pPr>
              <w:adjustRightInd w:val="0"/>
              <w:snapToGrid w:val="0"/>
              <w:rPr>
                <w:color w:val="000000"/>
                <w:sz w:val="18"/>
                <w:szCs w:val="18"/>
              </w:rPr>
            </w:pPr>
            <w:r>
              <w:rPr>
                <w:color w:val="000000"/>
                <w:sz w:val="18"/>
                <w:szCs w:val="18"/>
              </w:rPr>
              <w:t>百万千瓦级先进压水堆核电站关键技术，铀浓缩技术及关键设备、高性能燃料零件技术、铀钚混合氧化物燃料技术，先进乏燃料后处理技术，核辐射安全与监测技术，放射性废物处理和处置技术，快中子堆和高温气冷堆核电站技术。</w:t>
            </w:r>
          </w:p>
        </w:tc>
      </w:tr>
      <w:tr w:rsidR="004B0883" w14:paraId="253B7556" w14:textId="77777777">
        <w:trPr>
          <w:trHeight w:val="397"/>
          <w:jc w:val="center"/>
        </w:trPr>
        <w:tc>
          <w:tcPr>
            <w:tcW w:w="435" w:type="pct"/>
            <w:tcMar>
              <w:top w:w="0" w:type="dxa"/>
              <w:bottom w:w="0" w:type="dxa"/>
            </w:tcMar>
            <w:vAlign w:val="center"/>
          </w:tcPr>
          <w:p w14:paraId="586093C6" w14:textId="77777777" w:rsidR="004B0883" w:rsidRDefault="004B0883">
            <w:pPr>
              <w:adjustRightInd w:val="0"/>
              <w:snapToGrid w:val="0"/>
              <w:jc w:val="center"/>
              <w:rPr>
                <w:color w:val="000000"/>
                <w:sz w:val="18"/>
                <w:szCs w:val="18"/>
              </w:rPr>
            </w:pPr>
            <w:r>
              <w:rPr>
                <w:color w:val="000000"/>
                <w:sz w:val="18"/>
                <w:szCs w:val="18"/>
              </w:rPr>
              <w:t>16</w:t>
            </w:r>
          </w:p>
        </w:tc>
        <w:tc>
          <w:tcPr>
            <w:tcW w:w="893" w:type="pct"/>
            <w:tcMar>
              <w:top w:w="0" w:type="dxa"/>
              <w:bottom w:w="0" w:type="dxa"/>
            </w:tcMar>
            <w:vAlign w:val="center"/>
          </w:tcPr>
          <w:p w14:paraId="0C11F577" w14:textId="77777777" w:rsidR="004B0883" w:rsidRDefault="004B0883">
            <w:pPr>
              <w:adjustRightInd w:val="0"/>
              <w:snapToGrid w:val="0"/>
              <w:rPr>
                <w:color w:val="000000"/>
                <w:sz w:val="18"/>
                <w:szCs w:val="18"/>
              </w:rPr>
            </w:pPr>
            <w:r>
              <w:rPr>
                <w:color w:val="000000"/>
                <w:sz w:val="18"/>
                <w:szCs w:val="18"/>
              </w:rPr>
              <w:t>《国家创新驱动发展战略纲要》</w:t>
            </w:r>
          </w:p>
        </w:tc>
        <w:tc>
          <w:tcPr>
            <w:tcW w:w="550" w:type="pct"/>
            <w:tcMar>
              <w:top w:w="0" w:type="dxa"/>
              <w:bottom w:w="0" w:type="dxa"/>
            </w:tcMar>
            <w:vAlign w:val="center"/>
          </w:tcPr>
          <w:p w14:paraId="2802843D" w14:textId="77777777" w:rsidR="004B0883" w:rsidRDefault="004B0883">
            <w:pPr>
              <w:adjustRightInd w:val="0"/>
              <w:snapToGrid w:val="0"/>
              <w:jc w:val="center"/>
              <w:rPr>
                <w:color w:val="000000"/>
                <w:sz w:val="18"/>
                <w:szCs w:val="18"/>
              </w:rPr>
            </w:pPr>
            <w:r>
              <w:rPr>
                <w:color w:val="000000"/>
                <w:sz w:val="18"/>
                <w:szCs w:val="18"/>
              </w:rPr>
              <w:t>国务院</w:t>
            </w:r>
          </w:p>
        </w:tc>
        <w:tc>
          <w:tcPr>
            <w:tcW w:w="610" w:type="pct"/>
            <w:tcMar>
              <w:top w:w="0" w:type="dxa"/>
              <w:bottom w:w="0" w:type="dxa"/>
            </w:tcMar>
            <w:vAlign w:val="center"/>
          </w:tcPr>
          <w:p w14:paraId="0397DFDF" w14:textId="77777777" w:rsidR="004B0883" w:rsidRDefault="004B0883">
            <w:pPr>
              <w:adjustRightInd w:val="0"/>
              <w:snapToGrid w:val="0"/>
              <w:jc w:val="center"/>
              <w:rPr>
                <w:color w:val="000000"/>
                <w:sz w:val="18"/>
                <w:szCs w:val="18"/>
              </w:rPr>
            </w:pPr>
            <w:r>
              <w:rPr>
                <w:color w:val="000000"/>
                <w:sz w:val="18"/>
                <w:szCs w:val="18"/>
              </w:rPr>
              <w:t>2016</w:t>
            </w:r>
            <w:r>
              <w:rPr>
                <w:color w:val="000000"/>
                <w:sz w:val="18"/>
                <w:szCs w:val="18"/>
              </w:rPr>
              <w:t>年</w:t>
            </w:r>
          </w:p>
        </w:tc>
        <w:tc>
          <w:tcPr>
            <w:tcW w:w="2512" w:type="pct"/>
            <w:vAlign w:val="center"/>
          </w:tcPr>
          <w:p w14:paraId="74741AF7" w14:textId="77777777" w:rsidR="004B0883" w:rsidRDefault="004B0883">
            <w:pPr>
              <w:adjustRightInd w:val="0"/>
              <w:snapToGrid w:val="0"/>
              <w:rPr>
                <w:color w:val="000000"/>
                <w:sz w:val="18"/>
                <w:szCs w:val="18"/>
              </w:rPr>
            </w:pPr>
            <w:r>
              <w:rPr>
                <w:color w:val="000000"/>
                <w:sz w:val="18"/>
                <w:szCs w:val="18"/>
              </w:rPr>
              <w:t>发展资源高效利用和生态环保技术，建设资源节约型和环境友好型社会。采用系统化的技术方案和产业化路径，发展污染治理和资源循环利用的技术与产业。</w:t>
            </w:r>
          </w:p>
        </w:tc>
      </w:tr>
    </w:tbl>
    <w:bookmarkEnd w:id="220"/>
    <w:p w14:paraId="7511249A" w14:textId="77777777" w:rsidR="004B0883" w:rsidRDefault="004B0883">
      <w:pPr>
        <w:keepNext/>
        <w:keepLines/>
        <w:widowControl w:val="0"/>
        <w:spacing w:beforeLines="50" w:before="120" w:line="360" w:lineRule="auto"/>
        <w:ind w:firstLineChars="200" w:firstLine="482"/>
        <w:jc w:val="both"/>
        <w:outlineLvl w:val="3"/>
        <w:rPr>
          <w:b/>
          <w:bCs/>
          <w:sz w:val="24"/>
          <w:szCs w:val="28"/>
        </w:rPr>
      </w:pPr>
      <w:r>
        <w:rPr>
          <w:rFonts w:hint="eastAsia"/>
          <w:b/>
          <w:bCs/>
          <w:sz w:val="24"/>
          <w:szCs w:val="28"/>
        </w:rPr>
        <w:t>3</w:t>
      </w:r>
      <w:r>
        <w:rPr>
          <w:rFonts w:hint="eastAsia"/>
          <w:b/>
          <w:bCs/>
          <w:sz w:val="24"/>
          <w:szCs w:val="28"/>
        </w:rPr>
        <w:t>、行业主要法规政策对发行人经营发展的影响</w:t>
      </w:r>
    </w:p>
    <w:p w14:paraId="2DB62946" w14:textId="77777777" w:rsidR="004B0883" w:rsidRDefault="004B0883">
      <w:pPr>
        <w:pStyle w:val="005"/>
        <w:spacing w:before="120" w:after="120"/>
        <w:ind w:firstLine="480"/>
        <w:rPr>
          <w:rFonts w:hint="eastAsia"/>
          <w:kern w:val="0"/>
        </w:rPr>
      </w:pPr>
      <w:r>
        <w:rPr>
          <w:rFonts w:hint="eastAsia"/>
          <w:kern w:val="0"/>
        </w:rPr>
        <w:t>公司是阀门行业的优秀企业之一，上述法律法规及行业政策的推出，为行业的有序竞争及健康发展营造了良好的制度环境，对于进一步扩大市场需求，推动行业稳定持续增长具有重要作用，对公司的经营发展带来积极影响。</w:t>
      </w:r>
    </w:p>
    <w:p w14:paraId="405A29B0" w14:textId="77777777" w:rsidR="004B0883" w:rsidRDefault="004B0883">
      <w:pPr>
        <w:pStyle w:val="003"/>
        <w:spacing w:before="120" w:after="120"/>
        <w:rPr>
          <w:rFonts w:hint="eastAsia"/>
        </w:rPr>
      </w:pPr>
      <w:bookmarkStart w:id="221" w:name="_Hlk122740302"/>
      <w:r>
        <w:rPr>
          <w:rFonts w:hint="eastAsia"/>
        </w:rPr>
        <w:t>（二）行业基本情况</w:t>
      </w:r>
    </w:p>
    <w:p w14:paraId="5DFE14CF" w14:textId="77777777" w:rsidR="004B0883" w:rsidRDefault="004B0883">
      <w:pPr>
        <w:pStyle w:val="004"/>
        <w:spacing w:before="120" w:after="120"/>
        <w:ind w:firstLine="482"/>
        <w:rPr>
          <w:rFonts w:hint="eastAsia"/>
        </w:rPr>
      </w:pPr>
      <w:r>
        <w:rPr>
          <w:rFonts w:hint="eastAsia"/>
        </w:rPr>
        <w:t>1</w:t>
      </w:r>
      <w:r>
        <w:rPr>
          <w:rFonts w:hint="eastAsia"/>
        </w:rPr>
        <w:t>、全球阀门行业发展概况</w:t>
      </w:r>
    </w:p>
    <w:p w14:paraId="77713B29" w14:textId="77777777" w:rsidR="004B0883" w:rsidRDefault="004B0883">
      <w:pPr>
        <w:widowControl w:val="0"/>
        <w:spacing w:beforeLines="50" w:before="120" w:line="360" w:lineRule="auto"/>
        <w:ind w:firstLineChars="200" w:firstLine="480"/>
        <w:jc w:val="both"/>
        <w:rPr>
          <w:sz w:val="24"/>
          <w:szCs w:val="22"/>
        </w:rPr>
      </w:pPr>
      <w:bookmarkStart w:id="222" w:name="_Hlk122739887"/>
      <w:bookmarkStart w:id="223" w:name="_Hlk122739910"/>
      <w:r>
        <w:rPr>
          <w:rFonts w:hint="eastAsia"/>
          <w:sz w:val="24"/>
          <w:szCs w:val="22"/>
        </w:rPr>
        <w:t>阀门行业属于传统制造业，相较于其他工业设备制造行业而言发展历史较长；自二战后，阀门行业依托于世界范围内工业及材料行业而发展，在材料、技术以及品类层面迅速扩张，现已成为机械工业的一个重要子行业。阀门制造业的下游行业包括油气、能源、炼化工业、化工、废水、造纸、灌溉、钢铁、医药、基建等多个行业，并在其中扮演重要角色。根据</w:t>
      </w:r>
      <w:r>
        <w:rPr>
          <w:rFonts w:hint="eastAsia"/>
          <w:sz w:val="24"/>
          <w:szCs w:val="22"/>
        </w:rPr>
        <w:t>Research and Markets</w:t>
      </w:r>
      <w:r>
        <w:rPr>
          <w:rFonts w:hint="eastAsia"/>
          <w:sz w:val="24"/>
          <w:szCs w:val="22"/>
        </w:rPr>
        <w:t>统计数据，</w:t>
      </w:r>
      <w:r>
        <w:rPr>
          <w:rFonts w:hint="eastAsia"/>
          <w:sz w:val="24"/>
          <w:szCs w:val="22"/>
        </w:rPr>
        <w:t>2021</w:t>
      </w:r>
      <w:r>
        <w:rPr>
          <w:rFonts w:hint="eastAsia"/>
          <w:sz w:val="24"/>
          <w:szCs w:val="22"/>
        </w:rPr>
        <w:t>年全球工业阀门市场的市场规模约</w:t>
      </w:r>
      <w:r>
        <w:rPr>
          <w:rFonts w:hint="eastAsia"/>
          <w:sz w:val="24"/>
          <w:szCs w:val="22"/>
        </w:rPr>
        <w:t>730</w:t>
      </w:r>
      <w:r>
        <w:rPr>
          <w:rFonts w:hint="eastAsia"/>
          <w:sz w:val="24"/>
          <w:szCs w:val="22"/>
        </w:rPr>
        <w:t>亿美元，</w:t>
      </w:r>
      <w:r>
        <w:rPr>
          <w:rFonts w:hint="eastAsia"/>
          <w:sz w:val="24"/>
          <w:szCs w:val="22"/>
        </w:rPr>
        <w:t>2026</w:t>
      </w:r>
      <w:r>
        <w:rPr>
          <w:rFonts w:hint="eastAsia"/>
          <w:sz w:val="24"/>
          <w:szCs w:val="22"/>
        </w:rPr>
        <w:t>年市场规模预计达到</w:t>
      </w:r>
      <w:r>
        <w:rPr>
          <w:rFonts w:hint="eastAsia"/>
          <w:sz w:val="24"/>
          <w:szCs w:val="22"/>
        </w:rPr>
        <w:t>905</w:t>
      </w:r>
      <w:r>
        <w:rPr>
          <w:rFonts w:hint="eastAsia"/>
          <w:sz w:val="24"/>
          <w:szCs w:val="22"/>
        </w:rPr>
        <w:t>亿美元，</w:t>
      </w:r>
      <w:r>
        <w:rPr>
          <w:rFonts w:hint="eastAsia"/>
          <w:sz w:val="24"/>
          <w:szCs w:val="22"/>
        </w:rPr>
        <w:t>2021</w:t>
      </w:r>
      <w:r>
        <w:rPr>
          <w:rFonts w:hint="eastAsia"/>
          <w:sz w:val="24"/>
          <w:szCs w:val="22"/>
        </w:rPr>
        <w:t>年到</w:t>
      </w:r>
      <w:r>
        <w:rPr>
          <w:rFonts w:hint="eastAsia"/>
          <w:sz w:val="24"/>
          <w:szCs w:val="22"/>
        </w:rPr>
        <w:t>2026</w:t>
      </w:r>
      <w:r>
        <w:rPr>
          <w:rFonts w:hint="eastAsia"/>
          <w:sz w:val="24"/>
          <w:szCs w:val="22"/>
        </w:rPr>
        <w:t>年复合增长率达到</w:t>
      </w:r>
      <w:r>
        <w:rPr>
          <w:rFonts w:hint="eastAsia"/>
          <w:sz w:val="24"/>
          <w:szCs w:val="22"/>
        </w:rPr>
        <w:t>4.4%</w:t>
      </w:r>
      <w:r>
        <w:rPr>
          <w:rFonts w:hint="eastAsia"/>
          <w:sz w:val="24"/>
          <w:szCs w:val="22"/>
        </w:rPr>
        <w:t>，如下图所示：</w:t>
      </w:r>
    </w:p>
    <w:p w14:paraId="4DF79EA9" w14:textId="6A2C8873" w:rsidR="004B0883" w:rsidRDefault="0090540C">
      <w:pPr>
        <w:widowControl w:val="0"/>
        <w:spacing w:beforeLines="50" w:before="120" w:line="360" w:lineRule="auto"/>
        <w:jc w:val="center"/>
        <w:rPr>
          <w:sz w:val="24"/>
          <w:szCs w:val="22"/>
        </w:rPr>
      </w:pPr>
      <w:r>
        <w:rPr>
          <w:noProof/>
          <w:sz w:val="24"/>
          <w:szCs w:val="22"/>
          <w:lang w:val="en-US" w:eastAsia="zh-CN"/>
        </w:rPr>
        <w:drawing>
          <wp:inline distT="0" distB="0" distL="0" distR="0" wp14:anchorId="5753DD92" wp14:editId="313C1CE0">
            <wp:extent cx="5039868" cy="4029328"/>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19758" name="图片 1"/>
                    <pic:cNvPicPr>
                      <a:picLocks noChangeAspect="1" noChangeArrowheads="1"/>
                    </pic:cNvPicPr>
                  </pic:nvPicPr>
                  <pic:blipFill>
                    <a:blip r:embed="rId19"/>
                    <a:stretch>
                      <a:fillRect/>
                    </a:stretch>
                  </pic:blipFill>
                  <pic:spPr bwMode="auto">
                    <a:xfrm>
                      <a:off x="0" y="0"/>
                      <a:ext cx="5039360" cy="4029075"/>
                    </a:xfrm>
                    <a:prstGeom prst="rect">
                      <a:avLst/>
                    </a:prstGeom>
                  </pic:spPr>
                </pic:pic>
              </a:graphicData>
            </a:graphic>
          </wp:inline>
        </w:drawing>
      </w:r>
    </w:p>
    <w:p w14:paraId="2F8EA285" w14:textId="77777777" w:rsidR="004B0883" w:rsidRDefault="004B0883">
      <w:pPr>
        <w:pStyle w:val="006"/>
        <w:ind w:firstLine="420"/>
      </w:pPr>
      <w:r>
        <w:rPr>
          <w:rFonts w:hint="eastAsia"/>
        </w:rPr>
        <w:t>数据来源：</w:t>
      </w:r>
      <w:r>
        <w:t>Research and Markets</w:t>
      </w:r>
    </w:p>
    <w:p w14:paraId="0DFD9C17" w14:textId="77777777" w:rsidR="004B0883" w:rsidRDefault="004B0883">
      <w:pPr>
        <w:pStyle w:val="004"/>
        <w:spacing w:before="120" w:after="120"/>
        <w:ind w:firstLine="482"/>
      </w:pPr>
      <w:r>
        <w:rPr>
          <w:rFonts w:hint="eastAsia"/>
        </w:rPr>
        <w:t>2</w:t>
      </w:r>
      <w:r>
        <w:rPr>
          <w:rFonts w:hint="eastAsia"/>
        </w:rPr>
        <w:t>、国内阀门行业</w:t>
      </w:r>
      <w:r>
        <w:t>发展概况</w:t>
      </w:r>
      <w:bookmarkEnd w:id="223"/>
    </w:p>
    <w:p w14:paraId="5559D4AD" w14:textId="77777777" w:rsidR="004B0883" w:rsidRDefault="004B0883">
      <w:pPr>
        <w:widowControl w:val="0"/>
        <w:spacing w:beforeLines="50" w:before="120" w:line="360" w:lineRule="auto"/>
        <w:ind w:firstLineChars="200" w:firstLine="480"/>
        <w:jc w:val="both"/>
        <w:rPr>
          <w:sz w:val="24"/>
          <w:szCs w:val="22"/>
        </w:rPr>
      </w:pPr>
      <w:bookmarkStart w:id="224" w:name="_Hlk124642813"/>
      <w:bookmarkStart w:id="225" w:name="_Hlk124362602"/>
      <w:r>
        <w:rPr>
          <w:rFonts w:hint="eastAsia"/>
          <w:sz w:val="24"/>
          <w:szCs w:val="22"/>
        </w:rPr>
        <w:t>我国加入</w:t>
      </w:r>
      <w:r>
        <w:rPr>
          <w:rFonts w:hint="eastAsia"/>
          <w:sz w:val="24"/>
          <w:szCs w:val="22"/>
        </w:rPr>
        <w:t>WTO</w:t>
      </w:r>
      <w:r>
        <w:rPr>
          <w:rFonts w:hint="eastAsia"/>
          <w:sz w:val="24"/>
          <w:szCs w:val="22"/>
        </w:rPr>
        <w:t>以来，阀门行业已经获得了快速发展，阀门行业的制造技术、产品质量及品类得到了长足的发展。长期以来受技术及资金壁垒等因素的影响，目前行业内大部分阀门企业主要聚焦于中低端市场，我国高端阀门市场仍对进口阀门有所依赖。同时因下游市场对定制阀门需求较高，多样化、分散化小订单在行业内较为普遍，导致我国阀门制造行业集中度较低，根据</w:t>
      </w:r>
      <w:r>
        <w:rPr>
          <w:rFonts w:hint="eastAsia"/>
          <w:sz w:val="24"/>
          <w:szCs w:val="22"/>
        </w:rPr>
        <w:t>GIA</w:t>
      </w:r>
      <w:r>
        <w:rPr>
          <w:rFonts w:hint="eastAsia"/>
          <w:sz w:val="24"/>
          <w:szCs w:val="22"/>
        </w:rPr>
        <w:t>统计，我国阀门市场营业收入前三名企业的市场占有率总和低于</w:t>
      </w:r>
      <w:r>
        <w:rPr>
          <w:rFonts w:hint="eastAsia"/>
          <w:sz w:val="24"/>
          <w:szCs w:val="22"/>
        </w:rPr>
        <w:t>5%</w:t>
      </w:r>
      <w:r>
        <w:rPr>
          <w:rFonts w:hint="eastAsia"/>
          <w:sz w:val="24"/>
          <w:szCs w:val="22"/>
        </w:rPr>
        <w:t>。近年来，国内行业龙头企业通过研发、合作及整合优质资源的模式，以期实现其产品高端化目标，逐步实现生产型制造向服务型制造转变，已开始进入国际阀门产业前列。</w:t>
      </w:r>
    </w:p>
    <w:p w14:paraId="7240E522" w14:textId="161B9FB6" w:rsidR="004B0883" w:rsidRDefault="0090540C">
      <w:pPr>
        <w:widowControl w:val="0"/>
        <w:spacing w:beforeLines="50" w:before="120" w:line="360" w:lineRule="auto"/>
        <w:ind w:firstLineChars="59" w:firstLine="142"/>
        <w:rPr>
          <w:sz w:val="24"/>
          <w:szCs w:val="22"/>
        </w:rPr>
      </w:pPr>
      <w:r>
        <w:rPr>
          <w:noProof/>
          <w:sz w:val="24"/>
          <w:szCs w:val="22"/>
          <w:lang w:val="en-US" w:eastAsia="zh-CN"/>
        </w:rPr>
        <w:drawing>
          <wp:inline distT="0" distB="0" distL="0" distR="0" wp14:anchorId="4768132A" wp14:editId="4B805A79">
            <wp:extent cx="5039868" cy="3569970"/>
            <wp:effectExtent l="0" t="0" r="0" b="0"/>
            <wp:docPr id="7"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20"/>
                    <a:stretch>
                      <a:fillRect/>
                    </a:stretch>
                  </pic:blipFill>
                  <pic:spPr>
                    <a:xfrm>
                      <a:off x="0" y="0"/>
                      <a:ext cx="5039360" cy="3569970"/>
                    </a:xfrm>
                    <a:prstGeom prst="rect">
                      <a:avLst/>
                    </a:prstGeom>
                  </pic:spPr>
                </pic:pic>
              </a:graphicData>
            </a:graphic>
          </wp:inline>
        </w:drawing>
      </w:r>
    </w:p>
    <w:p w14:paraId="3EA345F5" w14:textId="77777777" w:rsidR="004B0883" w:rsidRDefault="004B0883">
      <w:pPr>
        <w:pStyle w:val="006"/>
        <w:ind w:firstLine="420"/>
      </w:pPr>
      <w:r>
        <w:rPr>
          <w:rFonts w:hint="eastAsia"/>
        </w:rPr>
        <w:t>数据来源：赛迪顾问</w:t>
      </w:r>
    </w:p>
    <w:p w14:paraId="18BFA48B"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根据赛迪顾问统计，我国阀门市场规模自</w:t>
      </w:r>
      <w:r>
        <w:rPr>
          <w:rFonts w:hint="eastAsia"/>
          <w:sz w:val="24"/>
          <w:szCs w:val="22"/>
        </w:rPr>
        <w:t>2016</w:t>
      </w:r>
      <w:r>
        <w:rPr>
          <w:rFonts w:hint="eastAsia"/>
          <w:sz w:val="24"/>
          <w:szCs w:val="22"/>
        </w:rPr>
        <w:t>年至</w:t>
      </w:r>
      <w:r>
        <w:rPr>
          <w:rFonts w:hint="eastAsia"/>
          <w:sz w:val="24"/>
          <w:szCs w:val="22"/>
        </w:rPr>
        <w:t>202</w:t>
      </w:r>
      <w:r>
        <w:rPr>
          <w:sz w:val="24"/>
          <w:szCs w:val="22"/>
        </w:rPr>
        <w:t>1</w:t>
      </w:r>
      <w:r>
        <w:rPr>
          <w:rFonts w:hint="eastAsia"/>
          <w:sz w:val="24"/>
          <w:szCs w:val="22"/>
        </w:rPr>
        <w:t>年整体呈增长趋势，</w:t>
      </w:r>
      <w:r>
        <w:rPr>
          <w:rFonts w:hint="eastAsia"/>
          <w:sz w:val="24"/>
          <w:szCs w:val="22"/>
        </w:rPr>
        <w:t>202</w:t>
      </w:r>
      <w:r>
        <w:rPr>
          <w:sz w:val="24"/>
          <w:szCs w:val="22"/>
        </w:rPr>
        <w:t>1</w:t>
      </w:r>
      <w:r>
        <w:rPr>
          <w:rFonts w:hint="eastAsia"/>
          <w:sz w:val="24"/>
          <w:szCs w:val="22"/>
        </w:rPr>
        <w:t>年阀门市场规模约为</w:t>
      </w:r>
      <w:r>
        <w:rPr>
          <w:sz w:val="24"/>
          <w:szCs w:val="22"/>
        </w:rPr>
        <w:t>2,777</w:t>
      </w:r>
      <w:r>
        <w:rPr>
          <w:rFonts w:hint="eastAsia"/>
          <w:sz w:val="24"/>
          <w:szCs w:val="22"/>
        </w:rPr>
        <w:t>亿元，较</w:t>
      </w:r>
      <w:r>
        <w:rPr>
          <w:rFonts w:hint="eastAsia"/>
          <w:sz w:val="24"/>
          <w:szCs w:val="22"/>
        </w:rPr>
        <w:t>2016</w:t>
      </w:r>
      <w:r>
        <w:rPr>
          <w:rFonts w:hint="eastAsia"/>
          <w:sz w:val="24"/>
          <w:szCs w:val="22"/>
        </w:rPr>
        <w:t>年的</w:t>
      </w:r>
      <w:r>
        <w:rPr>
          <w:rFonts w:hint="eastAsia"/>
          <w:sz w:val="24"/>
          <w:szCs w:val="22"/>
        </w:rPr>
        <w:t>2,</w:t>
      </w:r>
      <w:r>
        <w:rPr>
          <w:sz w:val="24"/>
          <w:szCs w:val="22"/>
        </w:rPr>
        <w:t>133</w:t>
      </w:r>
      <w:r>
        <w:rPr>
          <w:rFonts w:hint="eastAsia"/>
          <w:sz w:val="24"/>
          <w:szCs w:val="22"/>
        </w:rPr>
        <w:t>亿元增长约</w:t>
      </w:r>
      <w:r>
        <w:rPr>
          <w:sz w:val="24"/>
          <w:szCs w:val="22"/>
        </w:rPr>
        <w:t>30</w:t>
      </w:r>
      <w:r>
        <w:rPr>
          <w:rFonts w:hint="eastAsia"/>
          <w:sz w:val="24"/>
          <w:szCs w:val="22"/>
        </w:rPr>
        <w:t>.</w:t>
      </w:r>
      <w:r>
        <w:rPr>
          <w:sz w:val="24"/>
          <w:szCs w:val="22"/>
        </w:rPr>
        <w:t>19</w:t>
      </w:r>
      <w:r>
        <w:rPr>
          <w:rFonts w:hint="eastAsia"/>
          <w:sz w:val="24"/>
          <w:szCs w:val="22"/>
        </w:rPr>
        <w:t>%</w:t>
      </w:r>
      <w:r>
        <w:rPr>
          <w:rFonts w:hint="eastAsia"/>
          <w:sz w:val="24"/>
          <w:szCs w:val="22"/>
        </w:rPr>
        <w:t>。预计到</w:t>
      </w:r>
      <w:r>
        <w:rPr>
          <w:rFonts w:hint="eastAsia"/>
          <w:sz w:val="24"/>
          <w:szCs w:val="22"/>
        </w:rPr>
        <w:t>202</w:t>
      </w:r>
      <w:r>
        <w:rPr>
          <w:sz w:val="24"/>
          <w:szCs w:val="22"/>
        </w:rPr>
        <w:t>3</w:t>
      </w:r>
      <w:r>
        <w:rPr>
          <w:rFonts w:hint="eastAsia"/>
          <w:sz w:val="24"/>
          <w:szCs w:val="22"/>
        </w:rPr>
        <w:t>年末，我国阀门制造市场规模将达到</w:t>
      </w:r>
      <w:r>
        <w:rPr>
          <w:sz w:val="24"/>
          <w:szCs w:val="22"/>
        </w:rPr>
        <w:t>3</w:t>
      </w:r>
      <w:r>
        <w:rPr>
          <w:rFonts w:hint="eastAsia"/>
          <w:sz w:val="24"/>
          <w:szCs w:val="22"/>
        </w:rPr>
        <w:t>,</w:t>
      </w:r>
      <w:r>
        <w:rPr>
          <w:sz w:val="24"/>
          <w:szCs w:val="22"/>
        </w:rPr>
        <w:t>096</w:t>
      </w:r>
      <w:r>
        <w:rPr>
          <w:rFonts w:hint="eastAsia"/>
          <w:sz w:val="24"/>
          <w:szCs w:val="22"/>
        </w:rPr>
        <w:t>亿元，较</w:t>
      </w:r>
      <w:r>
        <w:rPr>
          <w:rFonts w:hint="eastAsia"/>
          <w:sz w:val="24"/>
          <w:szCs w:val="22"/>
        </w:rPr>
        <w:t>202</w:t>
      </w:r>
      <w:r>
        <w:rPr>
          <w:sz w:val="24"/>
          <w:szCs w:val="22"/>
        </w:rPr>
        <w:t>1</w:t>
      </w:r>
      <w:r>
        <w:rPr>
          <w:rFonts w:hint="eastAsia"/>
          <w:sz w:val="24"/>
          <w:szCs w:val="22"/>
        </w:rPr>
        <w:t>年上升</w:t>
      </w:r>
      <w:r>
        <w:rPr>
          <w:sz w:val="24"/>
          <w:szCs w:val="22"/>
        </w:rPr>
        <w:t>11.49</w:t>
      </w:r>
      <w:r>
        <w:rPr>
          <w:rFonts w:hint="eastAsia"/>
          <w:sz w:val="24"/>
          <w:szCs w:val="22"/>
        </w:rPr>
        <w:t>%</w:t>
      </w:r>
      <w:r>
        <w:rPr>
          <w:rFonts w:hint="eastAsia"/>
          <w:sz w:val="24"/>
          <w:szCs w:val="22"/>
        </w:rPr>
        <w:t>。</w:t>
      </w:r>
    </w:p>
    <w:p w14:paraId="0B18287D" w14:textId="77777777" w:rsidR="004B0883" w:rsidRDefault="004B0883">
      <w:pPr>
        <w:widowControl w:val="0"/>
        <w:spacing w:beforeLines="50" w:before="120" w:line="360" w:lineRule="auto"/>
        <w:ind w:firstLineChars="200" w:firstLine="480"/>
        <w:jc w:val="both"/>
        <w:rPr>
          <w:rFonts w:hint="eastAsia"/>
          <w:sz w:val="24"/>
          <w:szCs w:val="22"/>
        </w:rPr>
      </w:pPr>
      <w:r>
        <w:rPr>
          <w:rFonts w:hint="eastAsia"/>
          <w:sz w:val="24"/>
          <w:szCs w:val="22"/>
        </w:rPr>
        <w:t>根据赛迪顾问数据，</w:t>
      </w:r>
      <w:r>
        <w:rPr>
          <w:rFonts w:hint="eastAsia"/>
          <w:sz w:val="24"/>
          <w:szCs w:val="22"/>
        </w:rPr>
        <w:t>2021</w:t>
      </w:r>
      <w:r>
        <w:rPr>
          <w:rFonts w:hint="eastAsia"/>
          <w:sz w:val="24"/>
          <w:szCs w:val="22"/>
        </w:rPr>
        <w:t>年我国阀门市场进口阀门以及类似装置金额约</w:t>
      </w:r>
      <w:r>
        <w:rPr>
          <w:rFonts w:hint="eastAsia"/>
          <w:sz w:val="24"/>
          <w:szCs w:val="22"/>
        </w:rPr>
        <w:t>581</w:t>
      </w:r>
      <w:r>
        <w:rPr>
          <w:rFonts w:hint="eastAsia"/>
          <w:sz w:val="24"/>
          <w:szCs w:val="22"/>
        </w:rPr>
        <w:t>亿元，国产替代空间广阔。我国阀门行业呈现市场集中度低、低端产品竞争激烈的特点，根据</w:t>
      </w:r>
      <w:r>
        <w:rPr>
          <w:rFonts w:hint="eastAsia"/>
          <w:sz w:val="24"/>
          <w:szCs w:val="22"/>
        </w:rPr>
        <w:t>GIA</w:t>
      </w:r>
      <w:r>
        <w:rPr>
          <w:rFonts w:hint="eastAsia"/>
          <w:sz w:val="24"/>
          <w:szCs w:val="22"/>
        </w:rPr>
        <w:t>数据，</w:t>
      </w:r>
      <w:r>
        <w:rPr>
          <w:rFonts w:hint="eastAsia"/>
          <w:sz w:val="24"/>
          <w:szCs w:val="22"/>
        </w:rPr>
        <w:t>2021</w:t>
      </w:r>
      <w:r>
        <w:rPr>
          <w:rFonts w:hint="eastAsia"/>
          <w:sz w:val="24"/>
          <w:szCs w:val="22"/>
        </w:rPr>
        <w:t>年我国阀门行业</w:t>
      </w:r>
      <w:r>
        <w:rPr>
          <w:rFonts w:hint="eastAsia"/>
          <w:sz w:val="24"/>
          <w:szCs w:val="22"/>
        </w:rPr>
        <w:t>CR3</w:t>
      </w:r>
      <w:r>
        <w:rPr>
          <w:rFonts w:hint="eastAsia"/>
          <w:sz w:val="24"/>
          <w:szCs w:val="22"/>
        </w:rPr>
        <w:t>为</w:t>
      </w:r>
      <w:r>
        <w:rPr>
          <w:rFonts w:hint="eastAsia"/>
          <w:sz w:val="24"/>
          <w:szCs w:val="22"/>
        </w:rPr>
        <w:t>6.23%</w:t>
      </w:r>
      <w:r>
        <w:rPr>
          <w:rFonts w:hint="eastAsia"/>
          <w:sz w:val="24"/>
          <w:szCs w:val="22"/>
        </w:rPr>
        <w:t>。伴随国内制造业转型升级，阀门产品正趋于大型化、高参数化、高性能、自动化，在该背景下，我国阀门产品迎来从传统低端向中高端转型发展的重要机遇，国产化率与市场集中度有望提升。</w:t>
      </w:r>
    </w:p>
    <w:bookmarkEnd w:id="221"/>
    <w:bookmarkEnd w:id="222"/>
    <w:bookmarkEnd w:id="224"/>
    <w:bookmarkEnd w:id="225"/>
    <w:p w14:paraId="38D5FB88" w14:textId="77777777" w:rsidR="004B0883" w:rsidRDefault="004B0883">
      <w:pPr>
        <w:pStyle w:val="003"/>
        <w:spacing w:before="120" w:after="120"/>
        <w:rPr>
          <w:rFonts w:hint="eastAsia"/>
        </w:rPr>
      </w:pPr>
      <w:r>
        <w:rPr>
          <w:rFonts w:hint="eastAsia"/>
        </w:rPr>
        <w:t>（三）行业竞争状况及市场集中情况</w:t>
      </w:r>
    </w:p>
    <w:p w14:paraId="041F6C1F" w14:textId="77777777" w:rsidR="004B0883" w:rsidRDefault="004B0883">
      <w:pPr>
        <w:keepNext/>
        <w:keepLines/>
        <w:widowControl w:val="0"/>
        <w:spacing w:beforeLines="50" w:before="120" w:line="360" w:lineRule="auto"/>
        <w:ind w:firstLineChars="200" w:firstLine="482"/>
        <w:jc w:val="both"/>
        <w:outlineLvl w:val="3"/>
        <w:rPr>
          <w:b/>
          <w:bCs/>
          <w:sz w:val="24"/>
          <w:szCs w:val="28"/>
        </w:rPr>
      </w:pPr>
      <w:bookmarkStart w:id="226" w:name="_Hlk124362767"/>
      <w:bookmarkStart w:id="227" w:name="_Hlk124643117"/>
      <w:r>
        <w:rPr>
          <w:rFonts w:hint="eastAsia"/>
          <w:b/>
          <w:bCs/>
          <w:sz w:val="24"/>
          <w:szCs w:val="28"/>
        </w:rPr>
        <w:t>1</w:t>
      </w:r>
      <w:r>
        <w:rPr>
          <w:rFonts w:hint="eastAsia"/>
          <w:b/>
          <w:bCs/>
          <w:sz w:val="24"/>
          <w:szCs w:val="28"/>
        </w:rPr>
        <w:t>、全球阀门行业</w:t>
      </w:r>
    </w:p>
    <w:p w14:paraId="4483A153"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传统领先的阀门制造商主要集中在北美、日本和德国。近年来，东亚和东南亚的阀门进出口增长较为显著。随着美国和欧盟等国家和地区的产业升级，伴随世界经济的全球化进程及成本上涨等因素，全球阀门产业自其原主要生产国向发展中国家进行产业转移的趋势较为显著。据中国通用机械工业协会和机械工业信息研究院统计，</w:t>
      </w:r>
      <w:r>
        <w:rPr>
          <w:rFonts w:hint="eastAsia"/>
          <w:sz w:val="24"/>
          <w:szCs w:val="22"/>
        </w:rPr>
        <w:t>2021</w:t>
      </w:r>
      <w:r>
        <w:rPr>
          <w:rFonts w:hint="eastAsia"/>
          <w:sz w:val="24"/>
          <w:szCs w:val="22"/>
        </w:rPr>
        <w:t>年我国阀门市场规模位居世界第一，其次为美国、印度、日本、俄罗斯等国。根据</w:t>
      </w:r>
      <w:r>
        <w:rPr>
          <w:rFonts w:hint="eastAsia"/>
          <w:sz w:val="24"/>
          <w:szCs w:val="22"/>
        </w:rPr>
        <w:t>Research And Markets</w:t>
      </w:r>
      <w:r>
        <w:rPr>
          <w:rFonts w:hint="eastAsia"/>
          <w:sz w:val="24"/>
          <w:szCs w:val="22"/>
        </w:rPr>
        <w:t>所披露数据，全球约</w:t>
      </w:r>
      <w:r>
        <w:rPr>
          <w:rFonts w:hint="eastAsia"/>
          <w:sz w:val="24"/>
          <w:szCs w:val="22"/>
        </w:rPr>
        <w:t>50%</w:t>
      </w:r>
      <w:r>
        <w:rPr>
          <w:rFonts w:hint="eastAsia"/>
          <w:sz w:val="24"/>
          <w:szCs w:val="22"/>
        </w:rPr>
        <w:t>的阀门零部件从我国采购。从阀门行业进出口数量来看，海关总署数据显示</w:t>
      </w:r>
      <w:r>
        <w:rPr>
          <w:rFonts w:hint="eastAsia"/>
          <w:sz w:val="24"/>
          <w:szCs w:val="22"/>
        </w:rPr>
        <w:t>2022</w:t>
      </w:r>
      <w:r>
        <w:rPr>
          <w:rFonts w:hint="eastAsia"/>
          <w:sz w:val="24"/>
          <w:szCs w:val="22"/>
        </w:rPr>
        <w:t>年我国阀门进口数量为</w:t>
      </w:r>
      <w:r>
        <w:rPr>
          <w:rFonts w:hint="eastAsia"/>
          <w:sz w:val="24"/>
          <w:szCs w:val="22"/>
        </w:rPr>
        <w:t>108,505</w:t>
      </w:r>
      <w:r>
        <w:rPr>
          <w:rFonts w:hint="eastAsia"/>
          <w:sz w:val="24"/>
          <w:szCs w:val="22"/>
        </w:rPr>
        <w:t>万套，累计金额为</w:t>
      </w:r>
      <w:r>
        <w:rPr>
          <w:rFonts w:hint="eastAsia"/>
          <w:sz w:val="24"/>
          <w:szCs w:val="22"/>
        </w:rPr>
        <w:t>5,511,554</w:t>
      </w:r>
      <w:r>
        <w:rPr>
          <w:rFonts w:hint="eastAsia"/>
          <w:sz w:val="24"/>
          <w:szCs w:val="22"/>
        </w:rPr>
        <w:t>万元，出口数量为</w:t>
      </w:r>
      <w:r>
        <w:rPr>
          <w:rFonts w:hint="eastAsia"/>
          <w:sz w:val="24"/>
          <w:szCs w:val="22"/>
        </w:rPr>
        <w:t>532,264</w:t>
      </w:r>
      <w:r>
        <w:rPr>
          <w:rFonts w:hint="eastAsia"/>
          <w:sz w:val="24"/>
          <w:szCs w:val="22"/>
        </w:rPr>
        <w:t>万套，累计金额为</w:t>
      </w:r>
      <w:r>
        <w:rPr>
          <w:rFonts w:hint="eastAsia"/>
          <w:sz w:val="24"/>
          <w:szCs w:val="22"/>
        </w:rPr>
        <w:t>11,431,503</w:t>
      </w:r>
      <w:r>
        <w:rPr>
          <w:rFonts w:hint="eastAsia"/>
          <w:sz w:val="24"/>
          <w:szCs w:val="22"/>
        </w:rPr>
        <w:t>万元。尽管目前我国阀门出口数量众多，阀门出口数量为进口数量的</w:t>
      </w:r>
      <w:r>
        <w:rPr>
          <w:rFonts w:hint="eastAsia"/>
          <w:sz w:val="24"/>
          <w:szCs w:val="22"/>
        </w:rPr>
        <w:t>4.91</w:t>
      </w:r>
      <w:r>
        <w:rPr>
          <w:rFonts w:hint="eastAsia"/>
          <w:sz w:val="24"/>
          <w:szCs w:val="22"/>
        </w:rPr>
        <w:t>倍，但产品价值相对不高，出口金额只有进口金额的</w:t>
      </w:r>
      <w:r>
        <w:rPr>
          <w:rFonts w:hint="eastAsia"/>
          <w:sz w:val="24"/>
          <w:szCs w:val="22"/>
        </w:rPr>
        <w:t>2.07</w:t>
      </w:r>
      <w:r>
        <w:rPr>
          <w:rFonts w:hint="eastAsia"/>
          <w:sz w:val="24"/>
          <w:szCs w:val="22"/>
        </w:rPr>
        <w:t>倍，高价值阀门高度依赖进口。</w:t>
      </w:r>
    </w:p>
    <w:p w14:paraId="08D0D29C"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近年来，国内行业龙头企业通过研发、合作及整合优质资源的模式，以期实现其产品高端化目标，逐步实现生产型制造向服务型制造转变，已开始进入国际阀门产业前列。未来，随着国内阀门企业研发实力的不断提升，我国阀门制造企业依靠更强的成本控制能力以及更贴近市场需求的优势，有望对中高端市场持续实现进口替代。随着我国工业阀门企业研发能力的不断增强和技术的持续进步，</w:t>
      </w:r>
      <w:r>
        <w:rPr>
          <w:rFonts w:hint="eastAsia"/>
          <w:sz w:val="24"/>
          <w:szCs w:val="22"/>
        </w:rPr>
        <w:t>2022</w:t>
      </w:r>
      <w:r>
        <w:rPr>
          <w:rFonts w:hint="eastAsia"/>
          <w:sz w:val="24"/>
          <w:szCs w:val="22"/>
        </w:rPr>
        <w:t>年我国阀门产品进口金额同比减少</w:t>
      </w:r>
      <w:r>
        <w:rPr>
          <w:rFonts w:hint="eastAsia"/>
          <w:sz w:val="24"/>
          <w:szCs w:val="22"/>
        </w:rPr>
        <w:t>5.10%</w:t>
      </w:r>
      <w:r>
        <w:rPr>
          <w:rFonts w:hint="eastAsia"/>
          <w:sz w:val="24"/>
          <w:szCs w:val="22"/>
        </w:rPr>
        <w:t>，出口金额同比增长</w:t>
      </w:r>
      <w:r>
        <w:rPr>
          <w:rFonts w:hint="eastAsia"/>
          <w:sz w:val="24"/>
          <w:szCs w:val="22"/>
        </w:rPr>
        <w:t>10.70%</w:t>
      </w:r>
      <w:r>
        <w:rPr>
          <w:rFonts w:hint="eastAsia"/>
          <w:sz w:val="24"/>
          <w:szCs w:val="22"/>
        </w:rPr>
        <w:t>，国产替代已初现雏形，我国高性能、高价值阀门产品的国产化率将会不断提高，具有巨大的国际市场竞争潜力。</w:t>
      </w:r>
    </w:p>
    <w:p w14:paraId="4E2C5BE6" w14:textId="77777777" w:rsidR="004B0883" w:rsidRDefault="004B0883">
      <w:pPr>
        <w:keepNext/>
        <w:keepLines/>
        <w:widowControl w:val="0"/>
        <w:spacing w:beforeLines="50" w:before="120" w:line="360" w:lineRule="auto"/>
        <w:ind w:firstLineChars="200" w:firstLine="482"/>
        <w:jc w:val="both"/>
        <w:outlineLvl w:val="3"/>
        <w:rPr>
          <w:b/>
          <w:bCs/>
          <w:sz w:val="24"/>
          <w:szCs w:val="28"/>
        </w:rPr>
      </w:pPr>
      <w:r>
        <w:rPr>
          <w:rFonts w:hint="eastAsia"/>
          <w:b/>
          <w:bCs/>
          <w:sz w:val="24"/>
          <w:szCs w:val="28"/>
        </w:rPr>
        <w:t>2</w:t>
      </w:r>
      <w:r>
        <w:rPr>
          <w:rFonts w:hint="eastAsia"/>
          <w:b/>
          <w:bCs/>
          <w:sz w:val="24"/>
          <w:szCs w:val="28"/>
        </w:rPr>
        <w:t>、国内阀门行业</w:t>
      </w:r>
    </w:p>
    <w:p w14:paraId="16CE6D5C" w14:textId="77777777" w:rsidR="004B0883" w:rsidRDefault="004B0883">
      <w:pPr>
        <w:widowControl w:val="0"/>
        <w:spacing w:beforeLines="50" w:before="120" w:line="360" w:lineRule="auto"/>
        <w:ind w:firstLineChars="200" w:firstLine="480"/>
        <w:jc w:val="both"/>
        <w:rPr>
          <w:sz w:val="24"/>
          <w:szCs w:val="28"/>
        </w:rPr>
      </w:pPr>
      <w:r>
        <w:rPr>
          <w:rFonts w:hint="eastAsia"/>
          <w:sz w:val="24"/>
          <w:szCs w:val="28"/>
        </w:rPr>
        <w:t>在国内阀门企业中，由于阀门行业的下游应用领域较多，不同阀门企业专注于不同的细分领域，并选择一个或几个应用领域作为市场开拓的重点。虽然给排水阀门行业企业数量较多，但大多数企业规模较小且产品类别较少，市场集中度较低。据中国通用机械协会阀门分会统计，国内阀门生产企业销售规模以上的企业数量达到</w:t>
      </w:r>
      <w:r>
        <w:rPr>
          <w:rFonts w:hint="eastAsia"/>
          <w:sz w:val="24"/>
          <w:szCs w:val="28"/>
        </w:rPr>
        <w:t>2,000</w:t>
      </w:r>
      <w:r>
        <w:rPr>
          <w:rFonts w:hint="eastAsia"/>
          <w:sz w:val="24"/>
          <w:szCs w:val="28"/>
        </w:rPr>
        <w:t>余家。阀门产业逐渐向智能化、高端化方向发展，总体市场对业内具有一定规模、掌握自主研发技术的行业内优秀企业来说仍存在可观的整合成长空间，国内市场处于高速发展状态。</w:t>
      </w:r>
    </w:p>
    <w:bookmarkEnd w:id="226"/>
    <w:p w14:paraId="08461DFE" w14:textId="77777777" w:rsidR="004B0883" w:rsidRDefault="004B0883">
      <w:pPr>
        <w:pStyle w:val="004"/>
        <w:spacing w:before="120" w:after="120"/>
        <w:ind w:firstLine="482"/>
        <w:rPr>
          <w:rFonts w:hint="eastAsia"/>
        </w:rPr>
      </w:pPr>
      <w:r>
        <w:t>3</w:t>
      </w:r>
      <w:r>
        <w:rPr>
          <w:rFonts w:hint="eastAsia"/>
        </w:rPr>
        <w:t>、主要竞争对手</w:t>
      </w:r>
    </w:p>
    <w:p w14:paraId="04F95C43" w14:textId="77777777" w:rsidR="004B0883" w:rsidRDefault="004B0883">
      <w:pPr>
        <w:pStyle w:val="005"/>
        <w:spacing w:before="120"/>
        <w:ind w:firstLine="480"/>
        <w:rPr>
          <w:rFonts w:hint="eastAsia"/>
        </w:rPr>
      </w:pPr>
      <w:r>
        <w:rPr>
          <w:rFonts w:hint="eastAsia"/>
        </w:rPr>
        <w:t>（</w:t>
      </w:r>
      <w:r>
        <w:rPr>
          <w:rFonts w:hint="eastAsia"/>
        </w:rPr>
        <w:t>1</w:t>
      </w:r>
      <w:r>
        <w:rPr>
          <w:rFonts w:hint="eastAsia"/>
        </w:rPr>
        <w:t>）中核科技（</w:t>
      </w:r>
      <w:r>
        <w:t>000777.SZ</w:t>
      </w:r>
      <w:r>
        <w:rPr>
          <w:rFonts w:hint="eastAsia"/>
        </w:rPr>
        <w:t>）</w:t>
      </w:r>
    </w:p>
    <w:p w14:paraId="6D5538A6" w14:textId="77777777" w:rsidR="004B0883" w:rsidRDefault="004B0883">
      <w:pPr>
        <w:pStyle w:val="005"/>
        <w:spacing w:before="120" w:after="120"/>
        <w:ind w:firstLine="480"/>
        <w:rPr>
          <w:rFonts w:hint="eastAsia"/>
        </w:rPr>
      </w:pPr>
      <w:r>
        <w:rPr>
          <w:rFonts w:hint="eastAsia"/>
        </w:rPr>
        <w:t>中核苏阀科技实业股份有限公司（证券简称</w:t>
      </w:r>
      <w:r>
        <w:rPr>
          <w:rFonts w:ascii="宋体" w:hAnsi="宋体" w:hint="eastAsia"/>
        </w:rPr>
        <w:t>“</w:t>
      </w:r>
      <w:r>
        <w:rPr>
          <w:rFonts w:hint="eastAsia"/>
        </w:rPr>
        <w:t>中核科技</w:t>
      </w:r>
      <w:r>
        <w:rPr>
          <w:rFonts w:ascii="宋体" w:hAnsi="宋体" w:hint="eastAsia"/>
        </w:rPr>
        <w:t>”</w:t>
      </w:r>
      <w:r>
        <w:rPr>
          <w:rFonts w:hint="eastAsia"/>
        </w:rPr>
        <w:t>）主要从事工业用阀门的研发、生产、销售及服务，中核科技主要产品包括闸阀、截止阀、止回阀、球阀、蝶阀、调节阀、隔膜阀等。产品主要应用于核工程、石油石化、公用工程、火电等市场领域。中核科技于</w:t>
      </w:r>
      <w:r>
        <w:t>1997</w:t>
      </w:r>
      <w:r>
        <w:rPr>
          <w:rFonts w:hint="eastAsia"/>
        </w:rPr>
        <w:t>年在深圳证券交易所上市，截至</w:t>
      </w:r>
      <w:r>
        <w:rPr>
          <w:rFonts w:hint="eastAsia"/>
        </w:rPr>
        <w:t>202</w:t>
      </w:r>
      <w:r>
        <w:t>3</w:t>
      </w:r>
      <w:r>
        <w:rPr>
          <w:rFonts w:hint="eastAsia"/>
        </w:rPr>
        <w:t>年</w:t>
      </w:r>
      <w:r>
        <w:t>9</w:t>
      </w:r>
      <w:r>
        <w:rPr>
          <w:rFonts w:hint="eastAsia"/>
        </w:rPr>
        <w:t>月</w:t>
      </w:r>
      <w:r>
        <w:rPr>
          <w:rFonts w:hint="eastAsia"/>
        </w:rPr>
        <w:t>3</w:t>
      </w:r>
      <w:r>
        <w:t>0</w:t>
      </w:r>
      <w:r>
        <w:rPr>
          <w:rFonts w:hint="eastAsia"/>
        </w:rPr>
        <w:t>日，总资产为</w:t>
      </w:r>
      <w:r>
        <w:t>316</w:t>
      </w:r>
      <w:r>
        <w:rPr>
          <w:rFonts w:hint="eastAsia"/>
        </w:rPr>
        <w:t>,</w:t>
      </w:r>
      <w:r>
        <w:t>090</w:t>
      </w:r>
      <w:r>
        <w:rPr>
          <w:rFonts w:hint="eastAsia"/>
        </w:rPr>
        <w:t>.</w:t>
      </w:r>
      <w:r>
        <w:t>75</w:t>
      </w:r>
      <w:r>
        <w:rPr>
          <w:rFonts w:hint="eastAsia"/>
        </w:rPr>
        <w:t>万元，</w:t>
      </w:r>
      <w:r>
        <w:rPr>
          <w:rFonts w:hint="eastAsia"/>
        </w:rPr>
        <w:t>2</w:t>
      </w:r>
      <w:r>
        <w:t>023</w:t>
      </w:r>
      <w:r>
        <w:rPr>
          <w:rFonts w:hint="eastAsia"/>
        </w:rPr>
        <w:t>年</w:t>
      </w:r>
      <w:r>
        <w:rPr>
          <w:rFonts w:hint="eastAsia"/>
        </w:rPr>
        <w:t>1-</w:t>
      </w:r>
      <w:r>
        <w:t>9</w:t>
      </w:r>
      <w:r>
        <w:rPr>
          <w:rFonts w:hint="eastAsia"/>
        </w:rPr>
        <w:t>月实现营业总收入</w:t>
      </w:r>
      <w:r>
        <w:t>111</w:t>
      </w:r>
      <w:r>
        <w:rPr>
          <w:rFonts w:hint="eastAsia"/>
        </w:rPr>
        <w:t>,</w:t>
      </w:r>
      <w:r>
        <w:t>722</w:t>
      </w:r>
      <w:r>
        <w:rPr>
          <w:rFonts w:hint="eastAsia"/>
        </w:rPr>
        <w:t>.</w:t>
      </w:r>
      <w:r>
        <w:t>86</w:t>
      </w:r>
      <w:r>
        <w:rPr>
          <w:rFonts w:hint="eastAsia"/>
        </w:rPr>
        <w:t>万元，净利润</w:t>
      </w:r>
      <w:r>
        <w:t>13,027</w:t>
      </w:r>
      <w:r>
        <w:rPr>
          <w:rFonts w:hint="eastAsia"/>
        </w:rPr>
        <w:t>.</w:t>
      </w:r>
      <w:r>
        <w:t>99</w:t>
      </w:r>
      <w:r>
        <w:rPr>
          <w:rFonts w:hint="eastAsia"/>
        </w:rPr>
        <w:t>万元。</w:t>
      </w:r>
    </w:p>
    <w:p w14:paraId="796B2EFD" w14:textId="77777777" w:rsidR="004B0883" w:rsidRDefault="004B0883">
      <w:pPr>
        <w:pStyle w:val="005"/>
        <w:spacing w:before="120" w:after="120"/>
        <w:ind w:firstLine="480"/>
        <w:rPr>
          <w:rFonts w:hint="eastAsia"/>
        </w:rPr>
      </w:pPr>
      <w:r>
        <w:rPr>
          <w:rFonts w:hint="eastAsia"/>
        </w:rPr>
        <w:t>（</w:t>
      </w:r>
      <w:r>
        <w:t>2</w:t>
      </w:r>
      <w:r>
        <w:rPr>
          <w:rFonts w:hint="eastAsia"/>
        </w:rPr>
        <w:t>）江苏神通（</w:t>
      </w:r>
      <w:r>
        <w:t>002438.</w:t>
      </w:r>
      <w:r>
        <w:rPr>
          <w:rFonts w:hint="eastAsia"/>
        </w:rPr>
        <w:t>SZ</w:t>
      </w:r>
      <w:r>
        <w:rPr>
          <w:rFonts w:hint="eastAsia"/>
        </w:rPr>
        <w:t>）</w:t>
      </w:r>
    </w:p>
    <w:p w14:paraId="1FF69553" w14:textId="77777777" w:rsidR="004B0883" w:rsidRDefault="004B0883">
      <w:pPr>
        <w:widowControl w:val="0"/>
        <w:spacing w:beforeLines="50" w:before="120" w:after="120" w:line="360" w:lineRule="auto"/>
        <w:ind w:firstLineChars="200" w:firstLine="480"/>
        <w:jc w:val="both"/>
        <w:rPr>
          <w:sz w:val="24"/>
          <w:szCs w:val="28"/>
        </w:rPr>
      </w:pPr>
      <w:r>
        <w:rPr>
          <w:rFonts w:hint="eastAsia"/>
          <w:sz w:val="24"/>
          <w:szCs w:val="28"/>
        </w:rPr>
        <w:t>江苏神通阀门股份有限公司（证券简称</w:t>
      </w:r>
      <w:r>
        <w:rPr>
          <w:rFonts w:ascii="宋体" w:hAnsi="宋体" w:hint="eastAsia"/>
          <w:sz w:val="24"/>
          <w:szCs w:val="28"/>
        </w:rPr>
        <w:t>“</w:t>
      </w:r>
      <w:r>
        <w:rPr>
          <w:rFonts w:hint="eastAsia"/>
          <w:sz w:val="24"/>
          <w:szCs w:val="28"/>
        </w:rPr>
        <w:t>江苏神通</w:t>
      </w:r>
      <w:r>
        <w:rPr>
          <w:rFonts w:ascii="宋体" w:hAnsi="宋体" w:hint="eastAsia"/>
          <w:sz w:val="24"/>
          <w:szCs w:val="28"/>
        </w:rPr>
        <w:t>”</w:t>
      </w:r>
      <w:r>
        <w:rPr>
          <w:rFonts w:hint="eastAsia"/>
          <w:sz w:val="24"/>
          <w:szCs w:val="28"/>
        </w:rPr>
        <w:t>）主要业务包括冶金领域的高炉煤气全干法除尘系统、转炉煤气除尘与回收系统、焦炉烟气除尘系统、煤气管网系统的特种阀门、法兰，应用于核电站的核级蝶阀和球阀、核级法兰和锻件、非核级蝶阀和球阀及其配套设备，应用于核化工领域的专用设备及阀门，以及应用于石油石化、煤化工、超（超）临界火电、</w:t>
      </w:r>
      <w:r>
        <w:rPr>
          <w:rFonts w:hint="eastAsia"/>
          <w:sz w:val="24"/>
          <w:szCs w:val="28"/>
        </w:rPr>
        <w:t>LNG</w:t>
      </w:r>
      <w:r>
        <w:rPr>
          <w:rFonts w:hint="eastAsia"/>
          <w:sz w:val="24"/>
          <w:szCs w:val="28"/>
        </w:rPr>
        <w:t>超低温阀门和法兰及锻件的研发、生产和销售。江苏神通于</w:t>
      </w:r>
      <w:r>
        <w:rPr>
          <w:sz w:val="24"/>
          <w:szCs w:val="28"/>
        </w:rPr>
        <w:t>2010</w:t>
      </w:r>
      <w:r>
        <w:rPr>
          <w:rFonts w:hint="eastAsia"/>
          <w:sz w:val="24"/>
          <w:szCs w:val="28"/>
        </w:rPr>
        <w:t>年在</w:t>
      </w:r>
      <w:r>
        <w:rPr>
          <w:sz w:val="24"/>
          <w:szCs w:val="28"/>
        </w:rPr>
        <w:t>深圳证券交易所上市</w:t>
      </w:r>
      <w:r>
        <w:rPr>
          <w:rFonts w:hint="eastAsia"/>
          <w:sz w:val="24"/>
          <w:szCs w:val="28"/>
        </w:rPr>
        <w:t>。截至</w:t>
      </w:r>
      <w:r>
        <w:rPr>
          <w:rFonts w:hint="eastAsia"/>
          <w:sz w:val="24"/>
          <w:szCs w:val="28"/>
        </w:rPr>
        <w:t>2023</w:t>
      </w:r>
      <w:r>
        <w:rPr>
          <w:rFonts w:hint="eastAsia"/>
          <w:sz w:val="24"/>
          <w:szCs w:val="28"/>
        </w:rPr>
        <w:t>年</w:t>
      </w:r>
      <w:r>
        <w:rPr>
          <w:rFonts w:hint="eastAsia"/>
          <w:sz w:val="24"/>
          <w:szCs w:val="28"/>
        </w:rPr>
        <w:t>9</w:t>
      </w:r>
      <w:r>
        <w:rPr>
          <w:rFonts w:hint="eastAsia"/>
          <w:sz w:val="24"/>
          <w:szCs w:val="28"/>
        </w:rPr>
        <w:t>月</w:t>
      </w:r>
      <w:r>
        <w:rPr>
          <w:rFonts w:hint="eastAsia"/>
          <w:sz w:val="24"/>
          <w:szCs w:val="28"/>
        </w:rPr>
        <w:t>30</w:t>
      </w:r>
      <w:r>
        <w:rPr>
          <w:rFonts w:hint="eastAsia"/>
          <w:sz w:val="24"/>
          <w:szCs w:val="28"/>
        </w:rPr>
        <w:t>日，总资产为</w:t>
      </w:r>
      <w:r>
        <w:rPr>
          <w:sz w:val="24"/>
          <w:szCs w:val="28"/>
        </w:rPr>
        <w:t>559,011.52</w:t>
      </w:r>
      <w:r>
        <w:rPr>
          <w:rFonts w:hint="eastAsia"/>
          <w:sz w:val="24"/>
          <w:szCs w:val="28"/>
        </w:rPr>
        <w:t>万元，</w:t>
      </w:r>
      <w:r>
        <w:rPr>
          <w:rFonts w:hint="eastAsia"/>
          <w:sz w:val="24"/>
          <w:szCs w:val="28"/>
        </w:rPr>
        <w:t>2023</w:t>
      </w:r>
      <w:r>
        <w:rPr>
          <w:rFonts w:hint="eastAsia"/>
          <w:sz w:val="24"/>
          <w:szCs w:val="28"/>
        </w:rPr>
        <w:t>年</w:t>
      </w:r>
      <w:r>
        <w:rPr>
          <w:rFonts w:hint="eastAsia"/>
          <w:sz w:val="24"/>
          <w:szCs w:val="28"/>
        </w:rPr>
        <w:t>1-</w:t>
      </w:r>
      <w:r>
        <w:rPr>
          <w:sz w:val="24"/>
          <w:szCs w:val="28"/>
        </w:rPr>
        <w:t>9</w:t>
      </w:r>
      <w:r>
        <w:rPr>
          <w:rFonts w:hint="eastAsia"/>
          <w:sz w:val="24"/>
          <w:szCs w:val="28"/>
        </w:rPr>
        <w:t>月实现营业总收入</w:t>
      </w:r>
      <w:r>
        <w:rPr>
          <w:sz w:val="24"/>
          <w:szCs w:val="28"/>
        </w:rPr>
        <w:t>154,330.94</w:t>
      </w:r>
      <w:r>
        <w:rPr>
          <w:rFonts w:hint="eastAsia"/>
          <w:sz w:val="24"/>
          <w:szCs w:val="28"/>
        </w:rPr>
        <w:t>万元，净利润</w:t>
      </w:r>
      <w:r>
        <w:rPr>
          <w:sz w:val="24"/>
          <w:szCs w:val="28"/>
        </w:rPr>
        <w:t>20,156.05</w:t>
      </w:r>
      <w:r>
        <w:rPr>
          <w:rFonts w:hint="eastAsia"/>
          <w:sz w:val="24"/>
          <w:szCs w:val="28"/>
        </w:rPr>
        <w:t>万元。</w:t>
      </w:r>
    </w:p>
    <w:p w14:paraId="51CB5CE7" w14:textId="77777777" w:rsidR="004B0883" w:rsidRDefault="004B0883">
      <w:pPr>
        <w:pStyle w:val="005"/>
        <w:spacing w:before="120" w:after="120"/>
        <w:ind w:firstLine="480"/>
        <w:rPr>
          <w:rFonts w:hint="eastAsia"/>
        </w:rPr>
      </w:pPr>
      <w:r>
        <w:rPr>
          <w:rFonts w:hint="eastAsia"/>
        </w:rPr>
        <w:t>（</w:t>
      </w:r>
      <w:r>
        <w:rPr>
          <w:rFonts w:hint="eastAsia"/>
        </w:rPr>
        <w:t>3</w:t>
      </w:r>
      <w:r>
        <w:rPr>
          <w:rFonts w:hint="eastAsia"/>
        </w:rPr>
        <w:t>）纽威股份（</w:t>
      </w:r>
      <w:r>
        <w:t>603699.SH</w:t>
      </w:r>
      <w:r>
        <w:rPr>
          <w:rFonts w:hint="eastAsia"/>
        </w:rPr>
        <w:t>）</w:t>
      </w:r>
    </w:p>
    <w:p w14:paraId="01B7FC43" w14:textId="77777777" w:rsidR="004B0883" w:rsidRDefault="004B0883">
      <w:pPr>
        <w:pStyle w:val="005"/>
        <w:spacing w:before="120" w:after="120"/>
        <w:ind w:firstLine="480"/>
        <w:rPr>
          <w:kern w:val="0"/>
        </w:rPr>
      </w:pPr>
      <w:r>
        <w:rPr>
          <w:rFonts w:hint="eastAsia"/>
          <w:kern w:val="0"/>
        </w:rPr>
        <w:t>苏州纽威阀门股份有限公司（证券简称</w:t>
      </w:r>
      <w:r>
        <w:rPr>
          <w:rFonts w:ascii="宋体" w:hAnsi="宋体" w:hint="eastAsia"/>
          <w:kern w:val="0"/>
        </w:rPr>
        <w:t>“</w:t>
      </w:r>
      <w:r>
        <w:rPr>
          <w:rFonts w:hint="eastAsia"/>
          <w:kern w:val="0"/>
        </w:rPr>
        <w:t>纽威股份</w:t>
      </w:r>
      <w:r>
        <w:rPr>
          <w:rFonts w:ascii="宋体" w:hAnsi="宋体" w:hint="eastAsia"/>
          <w:kern w:val="0"/>
        </w:rPr>
        <w:t>”</w:t>
      </w:r>
      <w:r>
        <w:rPr>
          <w:rFonts w:hint="eastAsia"/>
          <w:kern w:val="0"/>
        </w:rPr>
        <w:t>）主要业务为工业阀门的生产和研发，生产球阀、蝶阀、闸阀、截止阀、止回阀、调节阀、核电阀、</w:t>
      </w:r>
      <w:r>
        <w:rPr>
          <w:rFonts w:hint="eastAsia"/>
          <w:kern w:val="0"/>
        </w:rPr>
        <w:t>API6A</w:t>
      </w:r>
      <w:r>
        <w:rPr>
          <w:rFonts w:hint="eastAsia"/>
          <w:kern w:val="0"/>
        </w:rPr>
        <w:t>阀、水下阀和安全阀等产品。纽威股份的产品主要应用于石油天然气、化工和电力等场景。纽威股份于</w:t>
      </w:r>
      <w:r>
        <w:rPr>
          <w:rFonts w:hint="eastAsia"/>
          <w:kern w:val="0"/>
        </w:rPr>
        <w:t>2</w:t>
      </w:r>
      <w:r>
        <w:rPr>
          <w:kern w:val="0"/>
        </w:rPr>
        <w:t>014</w:t>
      </w:r>
      <w:r>
        <w:rPr>
          <w:kern w:val="0"/>
        </w:rPr>
        <w:t>年在</w:t>
      </w:r>
      <w:r>
        <w:rPr>
          <w:rFonts w:hint="eastAsia"/>
          <w:kern w:val="0"/>
        </w:rPr>
        <w:t>上海证券交易所</w:t>
      </w:r>
      <w:r>
        <w:rPr>
          <w:kern w:val="0"/>
        </w:rPr>
        <w:t>上市，</w:t>
      </w:r>
      <w:r>
        <w:rPr>
          <w:rFonts w:hint="eastAsia"/>
          <w:kern w:val="0"/>
        </w:rPr>
        <w:t>截至</w:t>
      </w:r>
      <w:r>
        <w:rPr>
          <w:rFonts w:hint="eastAsia"/>
          <w:szCs w:val="28"/>
        </w:rPr>
        <w:t>2023</w:t>
      </w:r>
      <w:r>
        <w:rPr>
          <w:rFonts w:hint="eastAsia"/>
          <w:szCs w:val="28"/>
        </w:rPr>
        <w:t>年</w:t>
      </w:r>
      <w:r>
        <w:t>9</w:t>
      </w:r>
      <w:r>
        <w:rPr>
          <w:rFonts w:hint="eastAsia"/>
        </w:rPr>
        <w:t>月</w:t>
      </w:r>
      <w:r>
        <w:rPr>
          <w:rFonts w:hint="eastAsia"/>
        </w:rPr>
        <w:t>3</w:t>
      </w:r>
      <w:r>
        <w:t>0</w:t>
      </w:r>
      <w:r>
        <w:rPr>
          <w:rFonts w:hint="eastAsia"/>
        </w:rPr>
        <w:t>日</w:t>
      </w:r>
      <w:r>
        <w:rPr>
          <w:rFonts w:hint="eastAsia"/>
          <w:kern w:val="0"/>
        </w:rPr>
        <w:t>，总资产为</w:t>
      </w:r>
      <w:r>
        <w:rPr>
          <w:kern w:val="0"/>
        </w:rPr>
        <w:t>768,360.05</w:t>
      </w:r>
      <w:r>
        <w:rPr>
          <w:rFonts w:hint="eastAsia"/>
          <w:kern w:val="0"/>
        </w:rPr>
        <w:t>万元，</w:t>
      </w:r>
      <w:r>
        <w:rPr>
          <w:rFonts w:hint="eastAsia"/>
          <w:kern w:val="0"/>
        </w:rPr>
        <w:t>2023</w:t>
      </w:r>
      <w:r>
        <w:rPr>
          <w:rFonts w:hint="eastAsia"/>
          <w:kern w:val="0"/>
        </w:rPr>
        <w:t>年</w:t>
      </w:r>
      <w:r>
        <w:rPr>
          <w:rFonts w:hint="eastAsia"/>
          <w:kern w:val="0"/>
        </w:rPr>
        <w:t>1</w:t>
      </w:r>
      <w:r>
        <w:rPr>
          <w:kern w:val="0"/>
        </w:rPr>
        <w:t>-9</w:t>
      </w:r>
      <w:r>
        <w:rPr>
          <w:rFonts w:hint="eastAsia"/>
          <w:kern w:val="0"/>
        </w:rPr>
        <w:t>月实现营业总收入</w:t>
      </w:r>
      <w:r>
        <w:rPr>
          <w:kern w:val="0"/>
        </w:rPr>
        <w:t>423,955.95</w:t>
      </w:r>
      <w:r>
        <w:rPr>
          <w:rFonts w:hint="eastAsia"/>
          <w:kern w:val="0"/>
        </w:rPr>
        <w:t>万元，净利润</w:t>
      </w:r>
      <w:r>
        <w:rPr>
          <w:kern w:val="0"/>
        </w:rPr>
        <w:t>59,419.11</w:t>
      </w:r>
      <w:r>
        <w:rPr>
          <w:rFonts w:hint="eastAsia"/>
          <w:kern w:val="0"/>
        </w:rPr>
        <w:t>万元</w:t>
      </w:r>
      <w:r>
        <w:rPr>
          <w:kern w:val="0"/>
        </w:rPr>
        <w:t>。</w:t>
      </w:r>
    </w:p>
    <w:p w14:paraId="0A5550DD" w14:textId="77777777" w:rsidR="004B0883" w:rsidRDefault="004B0883">
      <w:pPr>
        <w:pStyle w:val="005"/>
        <w:spacing w:before="120" w:after="120"/>
        <w:ind w:firstLine="480"/>
        <w:rPr>
          <w:kern w:val="0"/>
        </w:rPr>
      </w:pPr>
      <w:r>
        <w:rPr>
          <w:rFonts w:hint="eastAsia"/>
          <w:kern w:val="0"/>
        </w:rPr>
        <w:t>（</w:t>
      </w:r>
      <w:r>
        <w:rPr>
          <w:kern w:val="0"/>
        </w:rPr>
        <w:t>4</w:t>
      </w:r>
      <w:r>
        <w:rPr>
          <w:rFonts w:hint="eastAsia"/>
          <w:kern w:val="0"/>
        </w:rPr>
        <w:t>）冠龙节能（</w:t>
      </w:r>
      <w:r>
        <w:rPr>
          <w:rFonts w:hint="eastAsia"/>
          <w:kern w:val="0"/>
        </w:rPr>
        <w:t>3</w:t>
      </w:r>
      <w:r>
        <w:rPr>
          <w:kern w:val="0"/>
        </w:rPr>
        <w:t>01151.SZ</w:t>
      </w:r>
      <w:r>
        <w:rPr>
          <w:rFonts w:hint="eastAsia"/>
          <w:kern w:val="0"/>
        </w:rPr>
        <w:t>）</w:t>
      </w:r>
    </w:p>
    <w:p w14:paraId="060BDC72" w14:textId="77777777" w:rsidR="004B0883" w:rsidRDefault="004B0883">
      <w:pPr>
        <w:pStyle w:val="005"/>
        <w:spacing w:before="120" w:after="120"/>
        <w:ind w:firstLine="480"/>
        <w:rPr>
          <w:rFonts w:hint="eastAsia"/>
          <w:kern w:val="0"/>
        </w:rPr>
      </w:pPr>
      <w:r>
        <w:rPr>
          <w:rFonts w:hint="eastAsia"/>
          <w:kern w:val="0"/>
        </w:rPr>
        <w:t>上海冠龙阀门节能设备股份有限公司（证券简称</w:t>
      </w:r>
      <w:r>
        <w:rPr>
          <w:rFonts w:ascii="宋体" w:hAnsi="宋体" w:hint="eastAsia"/>
          <w:kern w:val="0"/>
        </w:rPr>
        <w:t>“</w:t>
      </w:r>
      <w:r>
        <w:rPr>
          <w:rFonts w:hint="eastAsia"/>
          <w:kern w:val="0"/>
        </w:rPr>
        <w:t>冠龙节能</w:t>
      </w:r>
      <w:r>
        <w:rPr>
          <w:rFonts w:ascii="宋体" w:hAnsi="宋体" w:hint="eastAsia"/>
          <w:kern w:val="0"/>
        </w:rPr>
        <w:t>”</w:t>
      </w:r>
      <w:r>
        <w:rPr>
          <w:rFonts w:hint="eastAsia"/>
          <w:kern w:val="0"/>
        </w:rPr>
        <w:t>）主要业务为节水阀门的研发、设计、生产和销售，主要产品包括蝶阀、闸阀、控制阀、止回阀等阀门产品及其他配套产品，为城镇给排水、水利和工业等下游应用领域提供产品及综合解决方案。冠龙节能于</w:t>
      </w:r>
      <w:r>
        <w:rPr>
          <w:rFonts w:hint="eastAsia"/>
          <w:kern w:val="0"/>
        </w:rPr>
        <w:t>20</w:t>
      </w:r>
      <w:r>
        <w:rPr>
          <w:kern w:val="0"/>
        </w:rPr>
        <w:t>22</w:t>
      </w:r>
      <w:r>
        <w:rPr>
          <w:rFonts w:hint="eastAsia"/>
          <w:kern w:val="0"/>
        </w:rPr>
        <w:t>年在深圳证券交易所上市，截至</w:t>
      </w:r>
      <w:r>
        <w:rPr>
          <w:rFonts w:hint="eastAsia"/>
          <w:szCs w:val="28"/>
        </w:rPr>
        <w:t>2023</w:t>
      </w:r>
      <w:r>
        <w:rPr>
          <w:rFonts w:hint="eastAsia"/>
          <w:szCs w:val="28"/>
        </w:rPr>
        <w:t>年</w:t>
      </w:r>
      <w:r>
        <w:t>9</w:t>
      </w:r>
      <w:r>
        <w:rPr>
          <w:rFonts w:hint="eastAsia"/>
        </w:rPr>
        <w:t>月</w:t>
      </w:r>
      <w:r>
        <w:t>30</w:t>
      </w:r>
      <w:r>
        <w:rPr>
          <w:rFonts w:hint="eastAsia"/>
        </w:rPr>
        <w:t>日</w:t>
      </w:r>
      <w:r>
        <w:rPr>
          <w:rFonts w:hint="eastAsia"/>
          <w:kern w:val="0"/>
        </w:rPr>
        <w:t>，总资产为</w:t>
      </w:r>
      <w:r>
        <w:rPr>
          <w:kern w:val="0"/>
        </w:rPr>
        <w:t>272,165.38</w:t>
      </w:r>
      <w:r>
        <w:rPr>
          <w:rFonts w:hint="eastAsia"/>
          <w:kern w:val="0"/>
        </w:rPr>
        <w:t>万元，</w:t>
      </w:r>
      <w:r>
        <w:rPr>
          <w:rFonts w:hint="eastAsia"/>
          <w:kern w:val="0"/>
        </w:rPr>
        <w:t>2023</w:t>
      </w:r>
      <w:r>
        <w:rPr>
          <w:rFonts w:hint="eastAsia"/>
          <w:kern w:val="0"/>
        </w:rPr>
        <w:t>年</w:t>
      </w:r>
      <w:r>
        <w:rPr>
          <w:rFonts w:hint="eastAsia"/>
          <w:kern w:val="0"/>
        </w:rPr>
        <w:t>1-</w:t>
      </w:r>
      <w:r>
        <w:rPr>
          <w:kern w:val="0"/>
        </w:rPr>
        <w:t>9</w:t>
      </w:r>
      <w:r>
        <w:rPr>
          <w:rFonts w:hint="eastAsia"/>
          <w:kern w:val="0"/>
        </w:rPr>
        <w:t>月实现营业总收入</w:t>
      </w:r>
      <w:r>
        <w:rPr>
          <w:kern w:val="0"/>
        </w:rPr>
        <w:t>66,358.79</w:t>
      </w:r>
      <w:r>
        <w:rPr>
          <w:rFonts w:hint="eastAsia"/>
          <w:kern w:val="0"/>
        </w:rPr>
        <w:t>万元，净利润</w:t>
      </w:r>
      <w:r>
        <w:rPr>
          <w:kern w:val="0"/>
        </w:rPr>
        <w:t>5,847.79</w:t>
      </w:r>
      <w:r>
        <w:rPr>
          <w:rFonts w:hint="eastAsia"/>
          <w:kern w:val="0"/>
        </w:rPr>
        <w:t>万元。</w:t>
      </w:r>
    </w:p>
    <w:p w14:paraId="1014C7B1" w14:textId="77777777" w:rsidR="004B0883" w:rsidRDefault="004B0883">
      <w:pPr>
        <w:pStyle w:val="005"/>
        <w:spacing w:before="120" w:after="120"/>
        <w:ind w:firstLine="480"/>
        <w:rPr>
          <w:rFonts w:hint="eastAsia"/>
        </w:rPr>
      </w:pPr>
      <w:r>
        <w:rPr>
          <w:rFonts w:hint="eastAsia"/>
        </w:rPr>
        <w:t>（</w:t>
      </w:r>
      <w:r>
        <w:t>5</w:t>
      </w:r>
      <w:r>
        <w:rPr>
          <w:rFonts w:hint="eastAsia"/>
        </w:rPr>
        <w:t>）安徽铜都流体科技股份有限公司</w:t>
      </w:r>
    </w:p>
    <w:p w14:paraId="083D840F" w14:textId="77777777" w:rsidR="004B0883" w:rsidRDefault="004B0883">
      <w:pPr>
        <w:pStyle w:val="005"/>
        <w:spacing w:before="120" w:after="120"/>
        <w:ind w:firstLine="480"/>
        <w:rPr>
          <w:rFonts w:hint="eastAsia"/>
        </w:rPr>
      </w:pPr>
      <w:r>
        <w:rPr>
          <w:rFonts w:hint="eastAsia"/>
        </w:rPr>
        <w:t>安徽铜都流体科技股份有限公司主要业务为给排水阀门和环保水工设备的研发、制造、销售。</w:t>
      </w:r>
    </w:p>
    <w:p w14:paraId="3AFFED38" w14:textId="77777777" w:rsidR="004B0883" w:rsidRDefault="004B0883">
      <w:pPr>
        <w:pStyle w:val="005"/>
        <w:spacing w:before="120" w:after="120"/>
        <w:ind w:firstLine="480"/>
        <w:rPr>
          <w:rFonts w:hint="eastAsia"/>
        </w:rPr>
      </w:pPr>
      <w:r>
        <w:rPr>
          <w:rFonts w:hint="eastAsia"/>
        </w:rPr>
        <w:t>（</w:t>
      </w:r>
      <w:r>
        <w:t>6</w:t>
      </w:r>
      <w:r>
        <w:rPr>
          <w:rFonts w:hint="eastAsia"/>
        </w:rPr>
        <w:t>）武汉大禹阀门股份有限公司</w:t>
      </w:r>
    </w:p>
    <w:p w14:paraId="073C58E9" w14:textId="77777777" w:rsidR="004B0883" w:rsidRDefault="004B0883">
      <w:pPr>
        <w:pStyle w:val="005"/>
        <w:spacing w:before="120" w:after="120"/>
        <w:ind w:firstLine="480"/>
        <w:rPr>
          <w:rFonts w:hint="eastAsia"/>
          <w:kern w:val="0"/>
        </w:rPr>
      </w:pPr>
      <w:r>
        <w:rPr>
          <w:rFonts w:hint="eastAsia"/>
          <w:kern w:val="0"/>
        </w:rPr>
        <w:t>武汉大禹阀门股份有限公司主要业务为雨淋报警阀、活塞式控制阀、偏心半球阀等阀门的研发、设计、生产及销售，主要应用于大型工程。</w:t>
      </w:r>
    </w:p>
    <w:bookmarkEnd w:id="227"/>
    <w:p w14:paraId="312B94C6" w14:textId="77777777" w:rsidR="004B0883" w:rsidRDefault="004B0883">
      <w:pPr>
        <w:pStyle w:val="003"/>
        <w:spacing w:before="120" w:after="120"/>
        <w:rPr>
          <w:rFonts w:hint="eastAsia"/>
        </w:rPr>
      </w:pPr>
      <w:r>
        <w:rPr>
          <w:rFonts w:hint="eastAsia"/>
        </w:rPr>
        <w:t>（四）行业进入壁垒</w:t>
      </w:r>
    </w:p>
    <w:p w14:paraId="6FF73742" w14:textId="77777777" w:rsidR="004B0883" w:rsidRDefault="004B0883">
      <w:pPr>
        <w:pStyle w:val="004"/>
        <w:spacing w:before="120" w:after="120"/>
        <w:ind w:firstLine="482"/>
        <w:rPr>
          <w:rFonts w:hint="eastAsia"/>
          <w:kern w:val="0"/>
        </w:rPr>
      </w:pPr>
      <w:r>
        <w:rPr>
          <w:rFonts w:hint="eastAsia"/>
          <w:kern w:val="0"/>
        </w:rPr>
        <w:t>1</w:t>
      </w:r>
      <w:r>
        <w:rPr>
          <w:rFonts w:hint="eastAsia"/>
          <w:kern w:val="0"/>
        </w:rPr>
        <w:t>、资质壁垒</w:t>
      </w:r>
    </w:p>
    <w:p w14:paraId="7A0FDC2E" w14:textId="77777777" w:rsidR="004B0883" w:rsidRDefault="004B0883">
      <w:pPr>
        <w:pStyle w:val="005"/>
        <w:spacing w:before="120" w:after="120"/>
        <w:ind w:firstLine="480"/>
        <w:rPr>
          <w:rFonts w:hint="eastAsia"/>
          <w:kern w:val="0"/>
        </w:rPr>
      </w:pPr>
      <w:bookmarkStart w:id="228" w:name="_Hlk145923129"/>
      <w:r>
        <w:rPr>
          <w:rFonts w:hint="eastAsia"/>
          <w:kern w:val="0"/>
        </w:rPr>
        <w:t>为了解决长期困扰我国</w:t>
      </w:r>
      <w:bookmarkStart w:id="229" w:name="_Hlk145923109"/>
      <w:r>
        <w:rPr>
          <w:rFonts w:hint="eastAsia"/>
          <w:kern w:val="0"/>
        </w:rPr>
        <w:t>高</w:t>
      </w:r>
      <w:bookmarkEnd w:id="229"/>
      <w:r>
        <w:rPr>
          <w:rFonts w:hint="eastAsia"/>
          <w:kern w:val="0"/>
        </w:rPr>
        <w:t>压力范围的管道元件质量问题，我国在</w:t>
      </w:r>
      <w:bookmarkStart w:id="230" w:name="_Hlk145923115"/>
      <w:r>
        <w:rPr>
          <w:rFonts w:hint="eastAsia"/>
          <w:kern w:val="0"/>
        </w:rPr>
        <w:t>高</w:t>
      </w:r>
      <w:bookmarkEnd w:id="230"/>
      <w:r>
        <w:rPr>
          <w:rFonts w:hint="eastAsia"/>
          <w:kern w:val="0"/>
        </w:rPr>
        <w:t>压力管道元件领域制定了前置生产许可制度。对于没有取得相应生产许可的企业，不允许进行高压力管道元件的生产和销售活动</w:t>
      </w:r>
      <w:bookmarkEnd w:id="228"/>
      <w:r>
        <w:rPr>
          <w:rFonts w:hint="eastAsia"/>
          <w:kern w:val="0"/>
        </w:rPr>
        <w:t>。</w:t>
      </w:r>
    </w:p>
    <w:p w14:paraId="4D7EBEA1" w14:textId="77777777" w:rsidR="004B0883" w:rsidRDefault="004B0883">
      <w:pPr>
        <w:pStyle w:val="005"/>
        <w:spacing w:before="120" w:after="120"/>
        <w:ind w:firstLine="480"/>
        <w:rPr>
          <w:rFonts w:hint="eastAsia"/>
          <w:kern w:val="0"/>
        </w:rPr>
      </w:pPr>
      <w:r>
        <w:rPr>
          <w:rFonts w:hint="eastAsia"/>
          <w:kern w:val="0"/>
        </w:rPr>
        <w:t>在核电阀门生产领域，出于安全性考虑，各类资质和门槛均较高。在技术标准方面，无论采用哪国技术，阀门生产企业均需满足较高的质量管理体系要求，若采用中国技术则要符合</w:t>
      </w:r>
      <w:r>
        <w:rPr>
          <w:rFonts w:hint="eastAsia"/>
          <w:kern w:val="0"/>
        </w:rPr>
        <w:t>HAF003</w:t>
      </w:r>
      <w:r>
        <w:rPr>
          <w:rFonts w:hint="eastAsia"/>
          <w:kern w:val="0"/>
        </w:rPr>
        <w:t>、</w:t>
      </w:r>
      <w:r>
        <w:rPr>
          <w:rFonts w:hint="eastAsia"/>
          <w:kern w:val="0"/>
        </w:rPr>
        <w:t>HAF601</w:t>
      </w:r>
      <w:r>
        <w:rPr>
          <w:rFonts w:hint="eastAsia"/>
          <w:kern w:val="0"/>
        </w:rPr>
        <w:t>、</w:t>
      </w:r>
      <w:r>
        <w:rPr>
          <w:rFonts w:hint="eastAsia"/>
          <w:kern w:val="0"/>
        </w:rPr>
        <w:t>HAF602</w:t>
      </w:r>
      <w:r>
        <w:rPr>
          <w:rFonts w:hint="eastAsia"/>
          <w:kern w:val="0"/>
        </w:rPr>
        <w:t>及</w:t>
      </w:r>
      <w:r>
        <w:rPr>
          <w:rFonts w:hint="eastAsia"/>
          <w:kern w:val="0"/>
        </w:rPr>
        <w:t>HAF603</w:t>
      </w:r>
      <w:r>
        <w:rPr>
          <w:rFonts w:hint="eastAsia"/>
          <w:kern w:val="0"/>
        </w:rPr>
        <w:t>等规定；若采用美国技术则要符合美国</w:t>
      </w:r>
      <w:r>
        <w:rPr>
          <w:rFonts w:hint="eastAsia"/>
          <w:kern w:val="0"/>
        </w:rPr>
        <w:t>ASME</w:t>
      </w:r>
      <w:r>
        <w:rPr>
          <w:rFonts w:hint="eastAsia"/>
          <w:kern w:val="0"/>
        </w:rPr>
        <w:t>标准；若采用法国技术则要符合法国</w:t>
      </w:r>
      <w:r>
        <w:rPr>
          <w:rFonts w:hint="eastAsia"/>
          <w:kern w:val="0"/>
        </w:rPr>
        <w:t>RCC-M</w:t>
      </w:r>
      <w:r>
        <w:rPr>
          <w:rFonts w:hint="eastAsia"/>
          <w:kern w:val="0"/>
        </w:rPr>
        <w:t>系列标准。在生产方面，相关资质证书包括：</w:t>
      </w:r>
      <w:bookmarkStart w:id="231" w:name="_Hlk145930518"/>
      <w:r>
        <w:rPr>
          <w:rFonts w:hint="eastAsia"/>
          <w:kern w:val="0"/>
        </w:rPr>
        <w:t>《中华人民共和国特种设备生产许可证》</w:t>
      </w:r>
      <w:bookmarkEnd w:id="231"/>
      <w:r>
        <w:rPr>
          <w:rFonts w:hint="eastAsia"/>
          <w:kern w:val="0"/>
        </w:rPr>
        <w:t>《中华人民共和国民用核安全机械设备设计许可证》及《中华人民共和国民用核安全机械设备制造许可证》。在质量认证方面，相关的质量认证包括：</w:t>
      </w:r>
      <w:r>
        <w:rPr>
          <w:rFonts w:hint="eastAsia"/>
          <w:kern w:val="0"/>
        </w:rPr>
        <w:t>ISO9001</w:t>
      </w:r>
      <w:r>
        <w:rPr>
          <w:rFonts w:hint="eastAsia"/>
          <w:kern w:val="0"/>
        </w:rPr>
        <w:t>质量体系认证、欧盟</w:t>
      </w:r>
      <w:r>
        <w:rPr>
          <w:rFonts w:hint="eastAsia"/>
          <w:kern w:val="0"/>
        </w:rPr>
        <w:t>CE</w:t>
      </w:r>
      <w:r>
        <w:rPr>
          <w:rFonts w:hint="eastAsia"/>
          <w:kern w:val="0"/>
        </w:rPr>
        <w:t>认证、</w:t>
      </w:r>
      <w:r>
        <w:rPr>
          <w:rFonts w:hint="eastAsia"/>
          <w:kern w:val="0"/>
        </w:rPr>
        <w:t>ISO14001</w:t>
      </w:r>
      <w:r>
        <w:rPr>
          <w:rFonts w:hint="eastAsia"/>
          <w:kern w:val="0"/>
        </w:rPr>
        <w:t>环境管理体系认证。</w:t>
      </w:r>
    </w:p>
    <w:p w14:paraId="12641250" w14:textId="77777777" w:rsidR="004B0883" w:rsidRDefault="004B0883">
      <w:pPr>
        <w:pStyle w:val="004"/>
        <w:spacing w:before="120" w:after="120"/>
        <w:ind w:firstLine="482"/>
        <w:rPr>
          <w:rFonts w:hint="eastAsia"/>
          <w:kern w:val="0"/>
        </w:rPr>
      </w:pPr>
      <w:r>
        <w:rPr>
          <w:rFonts w:hint="eastAsia"/>
          <w:kern w:val="0"/>
        </w:rPr>
        <w:t>2</w:t>
      </w:r>
      <w:r>
        <w:rPr>
          <w:rFonts w:hint="eastAsia"/>
          <w:kern w:val="0"/>
        </w:rPr>
        <w:t>、市场准入壁垒</w:t>
      </w:r>
    </w:p>
    <w:p w14:paraId="241F4927" w14:textId="77777777" w:rsidR="004B0883" w:rsidRDefault="004B0883">
      <w:pPr>
        <w:pStyle w:val="005"/>
        <w:spacing w:before="120" w:after="120"/>
        <w:ind w:firstLine="480"/>
        <w:rPr>
          <w:rFonts w:hint="eastAsia"/>
          <w:kern w:val="0"/>
        </w:rPr>
      </w:pPr>
      <w:r>
        <w:rPr>
          <w:rFonts w:hint="eastAsia"/>
          <w:kern w:val="0"/>
        </w:rPr>
        <w:t>为保障阀门产品的通用性、阀门产品质量标准的一致性以及降低阀门市场的信息不对称性，全球各主要市场的权威机构对阀门产品建立了质量认证体系，取得这些权威机构的质量认证是阀门产品在全球阀门市场进行销售的重要条件。</w:t>
      </w:r>
    </w:p>
    <w:p w14:paraId="5F461896" w14:textId="77777777" w:rsidR="004B0883" w:rsidRDefault="004B0883">
      <w:pPr>
        <w:pStyle w:val="005"/>
        <w:spacing w:before="120" w:after="120"/>
        <w:ind w:firstLine="480"/>
        <w:rPr>
          <w:rFonts w:hint="eastAsia"/>
          <w:kern w:val="0"/>
        </w:rPr>
      </w:pPr>
      <w:r>
        <w:rPr>
          <w:rFonts w:hint="eastAsia"/>
          <w:kern w:val="0"/>
        </w:rPr>
        <w:t>如欧美等主要发达国家往往以法律法规的形式对给排水阀门产品的质量标准进行严格的要求，并建立了产品认证机构对产品进行检测，只有符合当地产品质量标准并且通过相关机构认证的产品才能出口到当地进行销售。各国相关认证机构对供应商的生产流程、产品质量管理体系等均有严格的要求，并且认证条件苛刻、程序复杂、认证周期长，短期内通过上述认证具有较大困难。</w:t>
      </w:r>
    </w:p>
    <w:p w14:paraId="1F2A0DE8" w14:textId="77777777" w:rsidR="004B0883" w:rsidRDefault="004B0883">
      <w:pPr>
        <w:pStyle w:val="004"/>
        <w:spacing w:before="120" w:after="120"/>
        <w:ind w:firstLine="482"/>
        <w:rPr>
          <w:rFonts w:hint="eastAsia"/>
          <w:kern w:val="0"/>
        </w:rPr>
      </w:pPr>
      <w:r>
        <w:rPr>
          <w:rFonts w:hint="eastAsia"/>
          <w:kern w:val="0"/>
        </w:rPr>
        <w:t>3</w:t>
      </w:r>
      <w:r>
        <w:rPr>
          <w:rFonts w:hint="eastAsia"/>
          <w:kern w:val="0"/>
        </w:rPr>
        <w:t>、资金及生产规模壁垒</w:t>
      </w:r>
    </w:p>
    <w:p w14:paraId="2B6447D6" w14:textId="77777777" w:rsidR="004B0883" w:rsidRDefault="004B0883">
      <w:pPr>
        <w:pStyle w:val="005"/>
        <w:spacing w:before="120" w:after="120"/>
        <w:ind w:firstLine="480"/>
        <w:rPr>
          <w:kern w:val="0"/>
        </w:rPr>
      </w:pPr>
      <w:r>
        <w:rPr>
          <w:rFonts w:hint="eastAsia"/>
          <w:kern w:val="0"/>
        </w:rPr>
        <w:t>阀门行业市场化程度较高，竞争激烈，属于资金、人才、技术密集型的行业，产品生产具有典型的多品种、多规格、小批量特点，并向集成化的系统供应方向发展，对企业的生产规模及柔性化生产水平有较高的要求。同时中高端阀门生产需要现代化的生产厂房和实验室、先进的生产设备和精密的检验检测仪器，初始和后续投入较大，对企业的资金实力要求较高，上述因素均会导致阀门制造行业需要较大的固定资产投入、研发投入及运营资金配套，因此对行业新进入者而言，阀门行业具有一定的资金及生产规模壁垒。</w:t>
      </w:r>
    </w:p>
    <w:p w14:paraId="4124AC51" w14:textId="77777777" w:rsidR="004B0883" w:rsidRDefault="004B0883">
      <w:pPr>
        <w:pStyle w:val="004"/>
        <w:spacing w:before="120" w:after="120"/>
        <w:ind w:firstLine="482"/>
        <w:rPr>
          <w:rFonts w:hint="eastAsia"/>
          <w:kern w:val="0"/>
        </w:rPr>
      </w:pPr>
      <w:r>
        <w:rPr>
          <w:kern w:val="0"/>
        </w:rPr>
        <w:t>4</w:t>
      </w:r>
      <w:r>
        <w:rPr>
          <w:rFonts w:hint="eastAsia"/>
          <w:kern w:val="0"/>
        </w:rPr>
        <w:t>、技术和生产经验壁垒</w:t>
      </w:r>
    </w:p>
    <w:p w14:paraId="36F37585" w14:textId="77777777" w:rsidR="004B0883" w:rsidRDefault="004B0883">
      <w:pPr>
        <w:pStyle w:val="005"/>
        <w:spacing w:before="120" w:after="120"/>
        <w:ind w:firstLine="480"/>
        <w:rPr>
          <w:rFonts w:hint="eastAsia"/>
          <w:kern w:val="0"/>
        </w:rPr>
      </w:pPr>
      <w:r>
        <w:rPr>
          <w:rFonts w:hint="eastAsia"/>
          <w:kern w:val="0"/>
        </w:rPr>
        <w:t>近年来，随着行业的技术创新步伐不断加快，产品升级换代压力很大，需要接受新材料、新工艺的不断挑战。另外，工业阀门加工生产涉及的产品种类繁多，生产工艺复杂多样，生产出高品质的产品不仅需要生产设备的投入，更需要精细的生产管理技术和长期的生产技术经验积累。</w:t>
      </w:r>
    </w:p>
    <w:p w14:paraId="34F03DD8" w14:textId="77777777" w:rsidR="004B0883" w:rsidRDefault="004B0883">
      <w:pPr>
        <w:pStyle w:val="005"/>
        <w:spacing w:before="120" w:after="120"/>
        <w:ind w:firstLine="480"/>
        <w:rPr>
          <w:kern w:val="0"/>
        </w:rPr>
      </w:pPr>
      <w:r>
        <w:rPr>
          <w:rFonts w:hint="eastAsia"/>
          <w:kern w:val="0"/>
        </w:rPr>
        <w:t>目前，只有行业内的主流厂商具有较强的技术和研发能力，能够根据市场需求变化或订单要求快速开发设计符合要求的新产品，这对后进入的企业构成较高的技术和生产经验壁垒。</w:t>
      </w:r>
    </w:p>
    <w:p w14:paraId="7F8148BA" w14:textId="77777777" w:rsidR="004B0883" w:rsidRDefault="004B0883">
      <w:pPr>
        <w:pStyle w:val="004"/>
        <w:spacing w:before="120" w:after="120"/>
        <w:ind w:firstLine="482"/>
        <w:rPr>
          <w:rFonts w:hint="eastAsia"/>
          <w:kern w:val="0"/>
        </w:rPr>
      </w:pPr>
      <w:r>
        <w:rPr>
          <w:kern w:val="0"/>
        </w:rPr>
        <w:t>5</w:t>
      </w:r>
      <w:r>
        <w:rPr>
          <w:rFonts w:hint="eastAsia"/>
          <w:kern w:val="0"/>
        </w:rPr>
        <w:t>、客户和营销网络壁垒</w:t>
      </w:r>
    </w:p>
    <w:p w14:paraId="1DD00FCB" w14:textId="77777777" w:rsidR="004B0883" w:rsidRDefault="004B0883">
      <w:pPr>
        <w:pStyle w:val="005"/>
        <w:spacing w:before="120" w:after="120"/>
        <w:ind w:firstLine="480"/>
        <w:rPr>
          <w:rFonts w:hint="eastAsia"/>
          <w:kern w:val="0"/>
        </w:rPr>
      </w:pPr>
      <w:r>
        <w:rPr>
          <w:rFonts w:hint="eastAsia"/>
          <w:kern w:val="0"/>
        </w:rPr>
        <w:t>国内给排水阀门生产企业数量众多，竞争较为激烈，因此，是否具有稳定优质的客户群体以及成熟完善的营销网络成为企业在市场竞争中胜出的关键因素。给排水阀门作为给排水工程或设备的重要组成部分，关系到整个给排水工程的可靠性和安全性，因此对供应商产品质量的稳定性、售后服务能力、设备的可靠性、历史业绩、生产资质等因素要求较高，行业新进入者进入国内给排水领域时需要经历客户较为长期的信任过程，并需要形成良好的产品安全使用记录。</w:t>
      </w:r>
    </w:p>
    <w:p w14:paraId="51FA9AEA" w14:textId="77777777" w:rsidR="004B0883" w:rsidRDefault="004B0883">
      <w:pPr>
        <w:pStyle w:val="005"/>
        <w:spacing w:before="120" w:after="120"/>
        <w:ind w:firstLine="480"/>
        <w:rPr>
          <w:rFonts w:hint="eastAsia"/>
          <w:kern w:val="0"/>
        </w:rPr>
      </w:pPr>
      <w:r>
        <w:rPr>
          <w:rFonts w:hint="eastAsia"/>
          <w:kern w:val="0"/>
        </w:rPr>
        <w:t>成熟完善的营销网络一方面有利于及时把握各区域客户的个性化需求，有针对性地取得销售订单；另一方面也有利于提高公司的售后服务能力，提高下游客户满意度，树立公司的市场知名度。而营销网络的建立前期投入较大，成本较高且需要许多具有营销和技术服务经验的专业人才，业内现有企业在这方面已形成了较明显的先发优势。</w:t>
      </w:r>
    </w:p>
    <w:p w14:paraId="1615D761" w14:textId="77777777" w:rsidR="004B0883" w:rsidRDefault="004B0883">
      <w:pPr>
        <w:pStyle w:val="003"/>
        <w:spacing w:before="120" w:after="120"/>
        <w:rPr>
          <w:rFonts w:hint="eastAsia"/>
        </w:rPr>
      </w:pPr>
      <w:r>
        <w:rPr>
          <w:rFonts w:hint="eastAsia"/>
        </w:rPr>
        <w:t>（五）所处行业与上下游行业间的关系</w:t>
      </w:r>
    </w:p>
    <w:p w14:paraId="5EF46BF1" w14:textId="77777777" w:rsidR="004B0883" w:rsidRDefault="004B0883">
      <w:pPr>
        <w:pStyle w:val="005"/>
        <w:spacing w:before="120" w:after="120"/>
        <w:ind w:firstLine="480"/>
        <w:rPr>
          <w:kern w:val="0"/>
        </w:rPr>
      </w:pPr>
      <w:r>
        <w:rPr>
          <w:rFonts w:hint="eastAsia"/>
          <w:kern w:val="0"/>
        </w:rPr>
        <w:t>阀门行业的上游行业主要包括生铁、废钢、各类铸件、铜件、不锈钢、橡胶、驱动装置以及标准件等制造行业；而下游行业主要包括城镇给排水系统、消防给水系统、空调暖通系统及污水处理系统、天然气输气系统等行业。产业链结构如下图所示：</w:t>
      </w:r>
    </w:p>
    <w:p w14:paraId="61DDF63C" w14:textId="56F861EC" w:rsidR="004B0883" w:rsidRDefault="0090540C">
      <w:pPr>
        <w:pStyle w:val="005"/>
        <w:spacing w:before="120" w:after="120"/>
        <w:ind w:firstLineChars="0" w:firstLine="0"/>
        <w:jc w:val="center"/>
        <w:rPr>
          <w:rFonts w:hint="eastAsia"/>
          <w:kern w:val="0"/>
        </w:rPr>
      </w:pPr>
      <w:r>
        <w:rPr>
          <w:noProof/>
          <w:kern w:val="0"/>
        </w:rPr>
        <w:drawing>
          <wp:inline distT="0" distB="0" distL="0" distR="0" wp14:anchorId="7EB40606" wp14:editId="0F33F2DB">
            <wp:extent cx="4985385" cy="1654175"/>
            <wp:effectExtent l="0" t="0" r="0" b="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85385" cy="1654175"/>
                    </a:xfrm>
                    <a:prstGeom prst="rect">
                      <a:avLst/>
                    </a:prstGeom>
                    <a:noFill/>
                    <a:ln>
                      <a:noFill/>
                    </a:ln>
                  </pic:spPr>
                </pic:pic>
              </a:graphicData>
            </a:graphic>
          </wp:inline>
        </w:drawing>
      </w:r>
    </w:p>
    <w:p w14:paraId="1B3C350A" w14:textId="77777777" w:rsidR="004B0883" w:rsidRDefault="004B0883">
      <w:pPr>
        <w:pStyle w:val="004"/>
        <w:spacing w:before="120" w:after="120"/>
        <w:ind w:firstLine="482"/>
        <w:rPr>
          <w:kern w:val="0"/>
        </w:rPr>
      </w:pPr>
      <w:r>
        <w:rPr>
          <w:rFonts w:hint="eastAsia"/>
          <w:kern w:val="0"/>
        </w:rPr>
        <w:t>1</w:t>
      </w:r>
      <w:r>
        <w:rPr>
          <w:rFonts w:hint="eastAsia"/>
          <w:kern w:val="0"/>
        </w:rPr>
        <w:t>、上游行业对本行业的影响</w:t>
      </w:r>
    </w:p>
    <w:p w14:paraId="6FCB80EB" w14:textId="77777777" w:rsidR="004B0883" w:rsidRDefault="004B0883">
      <w:pPr>
        <w:pStyle w:val="005"/>
        <w:spacing w:before="120" w:after="120"/>
        <w:ind w:firstLine="480"/>
        <w:rPr>
          <w:rFonts w:hint="eastAsia"/>
          <w:kern w:val="0"/>
        </w:rPr>
      </w:pPr>
      <w:r>
        <w:rPr>
          <w:rFonts w:hint="eastAsia"/>
          <w:kern w:val="0"/>
        </w:rPr>
        <w:t>阀门的原材料价格是影响阀门成本变动的重要因素，阀门生铁、废钢、各类铸件、铜件、不锈钢、橡胶、驱动装置以及标准件等原材料价格上涨，将直接导致使用相关材料的阀门产品成本上升，短期会压缩阀门产品的利润空间，给阀门行业带来不利影响。相反，原材料价格下降，短期内也会提升阀门产品的利润空间，给阀门行业带来有利影响。</w:t>
      </w:r>
    </w:p>
    <w:p w14:paraId="6D1DB1BA" w14:textId="77777777" w:rsidR="004B0883" w:rsidRDefault="004B0883">
      <w:pPr>
        <w:pStyle w:val="005"/>
        <w:spacing w:before="120" w:after="120"/>
        <w:ind w:firstLine="480"/>
        <w:rPr>
          <w:rFonts w:hint="eastAsia"/>
          <w:kern w:val="0"/>
        </w:rPr>
      </w:pPr>
      <w:r>
        <w:rPr>
          <w:rFonts w:hint="eastAsia"/>
          <w:kern w:val="0"/>
        </w:rPr>
        <w:t>由于阀门行业原材料成本的上涨最终将导致成品价格的上涨，短期而言可能影响阀门产品的销售，但长期来看，因为成本的上涨将能够转嫁一部分至下游客户，长期而言对阀门行业的利润影响较小。</w:t>
      </w:r>
    </w:p>
    <w:p w14:paraId="27381E3D" w14:textId="77777777" w:rsidR="004B0883" w:rsidRDefault="004B0883">
      <w:pPr>
        <w:pStyle w:val="004"/>
        <w:spacing w:before="120" w:after="120"/>
        <w:ind w:firstLine="482"/>
        <w:rPr>
          <w:rFonts w:hint="eastAsia"/>
          <w:kern w:val="0"/>
        </w:rPr>
      </w:pPr>
      <w:r>
        <w:rPr>
          <w:rFonts w:hint="eastAsia"/>
          <w:kern w:val="0"/>
        </w:rPr>
        <w:t>2</w:t>
      </w:r>
      <w:r>
        <w:rPr>
          <w:rFonts w:hint="eastAsia"/>
          <w:kern w:val="0"/>
        </w:rPr>
        <w:t>、下游行业对</w:t>
      </w:r>
      <w:r>
        <w:rPr>
          <w:rFonts w:hint="eastAsia"/>
        </w:rPr>
        <w:t>本</w:t>
      </w:r>
      <w:r>
        <w:rPr>
          <w:rFonts w:hint="eastAsia"/>
          <w:kern w:val="0"/>
        </w:rPr>
        <w:t>行业影响</w:t>
      </w:r>
    </w:p>
    <w:p w14:paraId="2EECD2C4" w14:textId="77777777" w:rsidR="004B0883" w:rsidRDefault="004B0883">
      <w:pPr>
        <w:pStyle w:val="005"/>
        <w:spacing w:before="120" w:after="120"/>
        <w:ind w:firstLine="480"/>
        <w:rPr>
          <w:kern w:val="0"/>
        </w:rPr>
      </w:pPr>
      <w:r>
        <w:rPr>
          <w:rFonts w:hint="eastAsia"/>
          <w:kern w:val="0"/>
        </w:rPr>
        <w:t>阀门的应用领域广泛，下游市场众多，主要包括城镇给排水系统、消防给水系统、空调暖通系统及污水处理系统、天然气输气系统等行业。下游行业的需求增加将对阀门行业带来有利影响。总体而言，阀门行业将随着下游行业在各自领域的不断发展而保持良好的增长势头。</w:t>
      </w:r>
    </w:p>
    <w:p w14:paraId="4E5E836B" w14:textId="77777777" w:rsidR="004B0883" w:rsidRDefault="004B0883">
      <w:pPr>
        <w:pStyle w:val="003"/>
        <w:spacing w:before="120" w:after="120"/>
        <w:rPr>
          <w:rFonts w:hint="eastAsia"/>
        </w:rPr>
      </w:pPr>
      <w:r>
        <w:rPr>
          <w:rFonts w:hint="eastAsia"/>
        </w:rPr>
        <w:t>（六）影响行业发展的有利因素及不利因素</w:t>
      </w:r>
    </w:p>
    <w:p w14:paraId="1AE46E06" w14:textId="77777777" w:rsidR="004B0883" w:rsidRDefault="004B0883">
      <w:pPr>
        <w:pStyle w:val="004"/>
        <w:spacing w:before="120" w:after="120"/>
        <w:ind w:firstLine="482"/>
        <w:rPr>
          <w:rFonts w:hint="eastAsia"/>
          <w:kern w:val="0"/>
        </w:rPr>
      </w:pPr>
      <w:r>
        <w:rPr>
          <w:rFonts w:hint="eastAsia"/>
          <w:kern w:val="0"/>
        </w:rPr>
        <w:t>1</w:t>
      </w:r>
      <w:r>
        <w:rPr>
          <w:rFonts w:hint="eastAsia"/>
          <w:kern w:val="0"/>
        </w:rPr>
        <w:t>、有利因素</w:t>
      </w:r>
    </w:p>
    <w:p w14:paraId="485DA0F7" w14:textId="77777777" w:rsidR="004B0883" w:rsidRDefault="004B0883">
      <w:pPr>
        <w:pStyle w:val="005"/>
        <w:spacing w:before="120" w:after="120"/>
        <w:ind w:firstLine="480"/>
        <w:rPr>
          <w:kern w:val="0"/>
        </w:rPr>
      </w:pPr>
      <w:r>
        <w:rPr>
          <w:rFonts w:hint="eastAsia"/>
          <w:kern w:val="0"/>
        </w:rPr>
        <w:t>（</w:t>
      </w:r>
      <w:r>
        <w:rPr>
          <w:kern w:val="0"/>
        </w:rPr>
        <w:t>1</w:t>
      </w:r>
      <w:r>
        <w:rPr>
          <w:rFonts w:hint="eastAsia"/>
          <w:kern w:val="0"/>
        </w:rPr>
        <w:t>）阀门市场发展前景广阔</w:t>
      </w:r>
    </w:p>
    <w:p w14:paraId="4AF4F3D4" w14:textId="77777777" w:rsidR="004B0883" w:rsidRDefault="004B0883">
      <w:pPr>
        <w:pStyle w:val="005"/>
        <w:spacing w:before="120" w:after="120"/>
        <w:ind w:firstLine="480"/>
        <w:rPr>
          <w:rFonts w:hint="eastAsia"/>
          <w:kern w:val="0"/>
        </w:rPr>
      </w:pPr>
      <w:r>
        <w:rPr>
          <w:rFonts w:hint="eastAsia"/>
          <w:kern w:val="0"/>
        </w:rPr>
        <w:t>阀门行业市场容量较大，行业发展迅速。根据</w:t>
      </w:r>
      <w:r>
        <w:rPr>
          <w:rFonts w:hint="eastAsia"/>
          <w:kern w:val="0"/>
        </w:rPr>
        <w:t>Research and Markets</w:t>
      </w:r>
      <w:r>
        <w:rPr>
          <w:rFonts w:hint="eastAsia"/>
          <w:kern w:val="0"/>
        </w:rPr>
        <w:t>的数据，</w:t>
      </w:r>
      <w:r>
        <w:rPr>
          <w:rFonts w:hint="eastAsia"/>
          <w:kern w:val="0"/>
        </w:rPr>
        <w:t>2021</w:t>
      </w:r>
      <w:r>
        <w:rPr>
          <w:rFonts w:hint="eastAsia"/>
          <w:kern w:val="0"/>
        </w:rPr>
        <w:t>年全球工业阀门市场（</w:t>
      </w:r>
      <w:r>
        <w:rPr>
          <w:rFonts w:hint="eastAsia"/>
          <w:kern w:val="0"/>
        </w:rPr>
        <w:t>Industrial Valve Market</w:t>
      </w:r>
      <w:r>
        <w:rPr>
          <w:rFonts w:hint="eastAsia"/>
          <w:kern w:val="0"/>
        </w:rPr>
        <w:t>，包括石油和天然气、水和污水处理、能源和电力等多个领域）的市场规模约</w:t>
      </w:r>
      <w:r>
        <w:rPr>
          <w:rFonts w:hint="eastAsia"/>
          <w:kern w:val="0"/>
        </w:rPr>
        <w:t>730</w:t>
      </w:r>
      <w:r>
        <w:rPr>
          <w:rFonts w:hint="eastAsia"/>
          <w:kern w:val="0"/>
        </w:rPr>
        <w:t>亿美元，</w:t>
      </w:r>
      <w:r>
        <w:rPr>
          <w:rFonts w:hint="eastAsia"/>
          <w:kern w:val="0"/>
        </w:rPr>
        <w:t>2026</w:t>
      </w:r>
      <w:r>
        <w:rPr>
          <w:rFonts w:hint="eastAsia"/>
          <w:kern w:val="0"/>
        </w:rPr>
        <w:t>年市场规模预计达到</w:t>
      </w:r>
      <w:r>
        <w:rPr>
          <w:rFonts w:hint="eastAsia"/>
          <w:kern w:val="0"/>
        </w:rPr>
        <w:t>905</w:t>
      </w:r>
      <w:r>
        <w:rPr>
          <w:rFonts w:hint="eastAsia"/>
          <w:kern w:val="0"/>
        </w:rPr>
        <w:t>亿美元。未来几年，随着医疗保健和制药行业需求、核电站新建和改造需求、工业设备维护需求以及全球智慧城市发展的需求增加，阀门市场容量将持续扩张。</w:t>
      </w:r>
    </w:p>
    <w:p w14:paraId="323AEC86" w14:textId="77777777" w:rsidR="004B0883" w:rsidRDefault="004B0883">
      <w:pPr>
        <w:pStyle w:val="005"/>
        <w:spacing w:before="120" w:after="120"/>
        <w:ind w:firstLine="480"/>
        <w:rPr>
          <w:rFonts w:hint="eastAsia"/>
          <w:kern w:val="0"/>
        </w:rPr>
      </w:pPr>
      <w:r>
        <w:rPr>
          <w:rFonts w:hint="eastAsia"/>
          <w:kern w:val="0"/>
        </w:rPr>
        <w:t>得益于我国经济的迅速发展，我国阀门市场增速较快。根据</w:t>
      </w:r>
      <w:r>
        <w:rPr>
          <w:rFonts w:hint="eastAsia"/>
          <w:kern w:val="0"/>
        </w:rPr>
        <w:t>GIA</w:t>
      </w:r>
      <w:r>
        <w:rPr>
          <w:rFonts w:hint="eastAsia"/>
          <w:kern w:val="0"/>
        </w:rPr>
        <w:t>的数据，</w:t>
      </w:r>
      <w:r>
        <w:rPr>
          <w:rFonts w:hint="eastAsia"/>
          <w:kern w:val="0"/>
        </w:rPr>
        <w:t>2021</w:t>
      </w:r>
      <w:r>
        <w:rPr>
          <w:rFonts w:hint="eastAsia"/>
          <w:kern w:val="0"/>
        </w:rPr>
        <w:t>年我国工业阀门市场的市场规模约</w:t>
      </w:r>
      <w:r>
        <w:rPr>
          <w:rFonts w:hint="eastAsia"/>
          <w:kern w:val="0"/>
        </w:rPr>
        <w:t>135</w:t>
      </w:r>
      <w:r>
        <w:rPr>
          <w:rFonts w:hint="eastAsia"/>
          <w:kern w:val="0"/>
        </w:rPr>
        <w:t>亿美元，为全球第二大阀门市场，</w:t>
      </w:r>
      <w:r>
        <w:rPr>
          <w:rFonts w:hint="eastAsia"/>
          <w:kern w:val="0"/>
        </w:rPr>
        <w:t>2021</w:t>
      </w:r>
      <w:r>
        <w:rPr>
          <w:rFonts w:hint="eastAsia"/>
          <w:kern w:val="0"/>
        </w:rPr>
        <w:t>年到</w:t>
      </w:r>
      <w:r>
        <w:rPr>
          <w:rFonts w:hint="eastAsia"/>
          <w:kern w:val="0"/>
        </w:rPr>
        <w:t>2025</w:t>
      </w:r>
      <w:r>
        <w:rPr>
          <w:rFonts w:hint="eastAsia"/>
          <w:kern w:val="0"/>
        </w:rPr>
        <w:t>年的复合增长率预计为</w:t>
      </w:r>
      <w:r>
        <w:rPr>
          <w:rFonts w:hint="eastAsia"/>
          <w:kern w:val="0"/>
        </w:rPr>
        <w:t>6.1%</w:t>
      </w:r>
      <w:r>
        <w:rPr>
          <w:rFonts w:hint="eastAsia"/>
          <w:kern w:val="0"/>
        </w:rPr>
        <w:t>，</w:t>
      </w:r>
      <w:r>
        <w:rPr>
          <w:rFonts w:hint="eastAsia"/>
          <w:kern w:val="0"/>
        </w:rPr>
        <w:t>2025</w:t>
      </w:r>
      <w:r>
        <w:rPr>
          <w:rFonts w:hint="eastAsia"/>
          <w:kern w:val="0"/>
        </w:rPr>
        <w:t>年我国阀门制造业市场规模有望达到</w:t>
      </w:r>
      <w:r>
        <w:rPr>
          <w:rFonts w:hint="eastAsia"/>
          <w:kern w:val="0"/>
        </w:rPr>
        <w:t>171</w:t>
      </w:r>
      <w:r>
        <w:rPr>
          <w:rFonts w:hint="eastAsia"/>
          <w:kern w:val="0"/>
        </w:rPr>
        <w:t>亿美元。</w:t>
      </w:r>
    </w:p>
    <w:p w14:paraId="1990A8B9" w14:textId="77777777" w:rsidR="004B0883" w:rsidRDefault="004B0883">
      <w:pPr>
        <w:pStyle w:val="005"/>
        <w:spacing w:before="120" w:after="120"/>
        <w:ind w:firstLine="480"/>
        <w:rPr>
          <w:kern w:val="0"/>
        </w:rPr>
      </w:pPr>
      <w:r>
        <w:rPr>
          <w:rFonts w:hint="eastAsia"/>
          <w:kern w:val="0"/>
        </w:rPr>
        <w:t>阀门作为诸多行业发展的必需产品，处于不可或缺的重要地位，市场需求旺盛，发展前景广阔。</w:t>
      </w:r>
    </w:p>
    <w:p w14:paraId="5DA58517" w14:textId="77777777" w:rsidR="004B0883" w:rsidRDefault="004B0883">
      <w:pPr>
        <w:pStyle w:val="005"/>
        <w:spacing w:before="120" w:after="120"/>
        <w:ind w:firstLine="480"/>
        <w:rPr>
          <w:kern w:val="0"/>
        </w:rPr>
      </w:pPr>
      <w:r>
        <w:rPr>
          <w:rFonts w:hint="eastAsia"/>
          <w:kern w:val="0"/>
        </w:rPr>
        <w:t>（</w:t>
      </w:r>
      <w:r>
        <w:rPr>
          <w:kern w:val="0"/>
        </w:rPr>
        <w:t>2</w:t>
      </w:r>
      <w:r>
        <w:rPr>
          <w:rFonts w:hint="eastAsia"/>
          <w:kern w:val="0"/>
        </w:rPr>
        <w:t>）国家政策的大力支持</w:t>
      </w:r>
    </w:p>
    <w:p w14:paraId="31EFB2ED" w14:textId="77777777" w:rsidR="004B0883" w:rsidRDefault="004B0883">
      <w:pPr>
        <w:pStyle w:val="005"/>
        <w:spacing w:before="120" w:after="120"/>
        <w:ind w:firstLine="480"/>
        <w:rPr>
          <w:rFonts w:hint="eastAsia"/>
          <w:kern w:val="0"/>
        </w:rPr>
      </w:pPr>
      <w:r>
        <w:rPr>
          <w:rFonts w:hint="eastAsia"/>
          <w:kern w:val="0"/>
        </w:rPr>
        <w:t>根据国务院发布的《中国制造</w:t>
      </w:r>
      <w:r>
        <w:rPr>
          <w:rFonts w:hint="eastAsia"/>
          <w:kern w:val="0"/>
        </w:rPr>
        <w:t>2025</w:t>
      </w:r>
      <w:r>
        <w:rPr>
          <w:rFonts w:hint="eastAsia"/>
          <w:kern w:val="0"/>
        </w:rPr>
        <w:t>》《</w:t>
      </w:r>
      <w:r>
        <w:rPr>
          <w:rFonts w:ascii="宋体" w:hAnsi="宋体" w:hint="eastAsia"/>
          <w:kern w:val="0"/>
        </w:rPr>
        <w:t>“</w:t>
      </w:r>
      <w:r>
        <w:rPr>
          <w:rFonts w:hint="eastAsia"/>
          <w:kern w:val="0"/>
        </w:rPr>
        <w:t>十四五</w:t>
      </w:r>
      <w:r>
        <w:rPr>
          <w:rFonts w:ascii="宋体" w:hAnsi="宋体" w:hint="eastAsia"/>
          <w:kern w:val="0"/>
        </w:rPr>
        <w:t>”</w:t>
      </w:r>
      <w:r>
        <w:rPr>
          <w:rFonts w:hint="eastAsia"/>
          <w:kern w:val="0"/>
        </w:rPr>
        <w:t>智能制造发展规划》等政策，我国正迫切需要从制造业大国向制造业强国转型，制造业的发展方向将重点体现在提升国产化率、提高国产工业产品质量、优化产业结构以及鼓励发展智能制造。在国家相关政策的不断发布以及新一轮科技革命影响下，以智能制造作为主攻方向，大力推进数字化、自动化、智能化已经成为各个行业下一发展阶段的重要任务。</w:t>
      </w:r>
    </w:p>
    <w:p w14:paraId="53AFF355" w14:textId="77777777" w:rsidR="004B0883" w:rsidRDefault="004B0883">
      <w:pPr>
        <w:pStyle w:val="005"/>
        <w:spacing w:before="120" w:after="120"/>
        <w:ind w:firstLine="480"/>
        <w:rPr>
          <w:kern w:val="0"/>
        </w:rPr>
      </w:pPr>
      <w:r>
        <w:rPr>
          <w:rFonts w:hint="eastAsia"/>
          <w:kern w:val="0"/>
        </w:rPr>
        <w:t>2022</w:t>
      </w:r>
      <w:r>
        <w:rPr>
          <w:rFonts w:hint="eastAsia"/>
          <w:kern w:val="0"/>
        </w:rPr>
        <w:t>年</w:t>
      </w:r>
      <w:r>
        <w:rPr>
          <w:rFonts w:hint="eastAsia"/>
          <w:kern w:val="0"/>
        </w:rPr>
        <w:t>1</w:t>
      </w:r>
      <w:r>
        <w:rPr>
          <w:rFonts w:hint="eastAsia"/>
          <w:kern w:val="0"/>
        </w:rPr>
        <w:t>月，住房城乡建设部办公厅、发展改革委办公厅联合发布《关于加强公共供水管网漏损控制的通知》，强调在管线建设改造、设备安装及分区计量系统建设中，积极推广采用先进的流量计量设备、阀门、水压水质监测设备和数据采集与传输装置，逐步实现供水管网网格化、精细化管理。此外，《产业结构调整指导目录（</w:t>
      </w:r>
      <w:r>
        <w:rPr>
          <w:rFonts w:hint="eastAsia"/>
          <w:kern w:val="0"/>
        </w:rPr>
        <w:t>20</w:t>
      </w:r>
      <w:r>
        <w:rPr>
          <w:kern w:val="0"/>
        </w:rPr>
        <w:t>23</w:t>
      </w:r>
      <w:r>
        <w:rPr>
          <w:rFonts w:hint="eastAsia"/>
          <w:kern w:val="0"/>
        </w:rPr>
        <w:t>年本，征求意见稿）》还将</w:t>
      </w:r>
      <w:r>
        <w:rPr>
          <w:rFonts w:ascii="宋体" w:hAnsi="宋体" w:hint="eastAsia"/>
          <w:kern w:val="0"/>
        </w:rPr>
        <w:t>“</w:t>
      </w:r>
      <w:r>
        <w:rPr>
          <w:rFonts w:hint="eastAsia"/>
          <w:kern w:val="0"/>
        </w:rPr>
        <w:t>城镇供排水工程及相关设备生产</w:t>
      </w:r>
      <w:r>
        <w:rPr>
          <w:rFonts w:ascii="宋体" w:hAnsi="宋体" w:hint="eastAsia"/>
          <w:kern w:val="0"/>
        </w:rPr>
        <w:t>”</w:t>
      </w:r>
      <w:r>
        <w:rPr>
          <w:rFonts w:hint="eastAsia"/>
          <w:kern w:val="0"/>
        </w:rPr>
        <w:t>列入鼓励类产业。以上政策推动了阀门产品不断向智能化、节能化发展。国家政策对于制造过程智能化以及阀门产品智能化、节能化的大力支持，为行业发展提供了良好的政策保障。</w:t>
      </w:r>
    </w:p>
    <w:p w14:paraId="2016D76D" w14:textId="77777777" w:rsidR="004B0883" w:rsidRDefault="004B0883">
      <w:pPr>
        <w:pStyle w:val="004"/>
        <w:spacing w:before="120" w:after="120"/>
        <w:ind w:firstLine="482"/>
        <w:rPr>
          <w:rFonts w:hint="eastAsia"/>
        </w:rPr>
      </w:pPr>
      <w:r>
        <w:rPr>
          <w:rFonts w:hint="eastAsia"/>
        </w:rPr>
        <w:t>2</w:t>
      </w:r>
      <w:r>
        <w:rPr>
          <w:rFonts w:hint="eastAsia"/>
        </w:rPr>
        <w:t>、不利因素</w:t>
      </w:r>
    </w:p>
    <w:p w14:paraId="27533861" w14:textId="77777777" w:rsidR="004B0883" w:rsidRDefault="004B0883">
      <w:pPr>
        <w:pStyle w:val="005"/>
        <w:spacing w:before="120" w:after="120"/>
        <w:ind w:firstLine="480"/>
        <w:rPr>
          <w:kern w:val="0"/>
        </w:rPr>
      </w:pPr>
      <w:r>
        <w:rPr>
          <w:rFonts w:hint="eastAsia"/>
          <w:kern w:val="0"/>
        </w:rPr>
        <w:t>（</w:t>
      </w:r>
      <w:r>
        <w:rPr>
          <w:rFonts w:hint="eastAsia"/>
          <w:kern w:val="0"/>
        </w:rPr>
        <w:t>1</w:t>
      </w:r>
      <w:r>
        <w:rPr>
          <w:rFonts w:hint="eastAsia"/>
          <w:kern w:val="0"/>
        </w:rPr>
        <w:t>）原材料价格上涨的影响</w:t>
      </w:r>
    </w:p>
    <w:p w14:paraId="3EA6BB87" w14:textId="77777777" w:rsidR="004B0883" w:rsidRDefault="004B0883">
      <w:pPr>
        <w:pStyle w:val="005"/>
        <w:spacing w:before="120" w:after="120"/>
        <w:ind w:firstLine="480"/>
        <w:rPr>
          <w:rFonts w:hint="eastAsia"/>
          <w:kern w:val="0"/>
        </w:rPr>
      </w:pPr>
      <w:r>
        <w:rPr>
          <w:rFonts w:hint="eastAsia"/>
          <w:kern w:val="0"/>
        </w:rPr>
        <w:t>公司生产经营所需的原材料主要包括铸件、加工件、生铁、废钢、阀杆和驱动头等。其中铸件价格的变化主要取决于钢铁价格的变化情况。报告期内，原材料成本占公司主营业务成本的比例较大。</w:t>
      </w:r>
      <w:r>
        <w:rPr>
          <w:rFonts w:hint="eastAsia"/>
          <w:kern w:val="0"/>
        </w:rPr>
        <w:t>2021</w:t>
      </w:r>
      <w:r>
        <w:rPr>
          <w:rFonts w:hint="eastAsia"/>
          <w:kern w:val="0"/>
        </w:rPr>
        <w:t>年以来，钢铁、有色金属等大宗物资价格大幅上涨，引起公司产品成本增加的波动，带来一定的不利影响。</w:t>
      </w:r>
    </w:p>
    <w:p w14:paraId="1D74FF2A" w14:textId="77777777" w:rsidR="004B0883" w:rsidRDefault="004B0883">
      <w:pPr>
        <w:pStyle w:val="005"/>
        <w:spacing w:before="120" w:after="120"/>
        <w:ind w:firstLine="480"/>
        <w:rPr>
          <w:rFonts w:hint="eastAsia"/>
          <w:kern w:val="0"/>
        </w:rPr>
      </w:pPr>
      <w:r>
        <w:rPr>
          <w:rFonts w:hint="eastAsia"/>
          <w:kern w:val="0"/>
        </w:rPr>
        <w:t>（</w:t>
      </w:r>
      <w:r>
        <w:rPr>
          <w:kern w:val="0"/>
        </w:rPr>
        <w:t>2</w:t>
      </w:r>
      <w:r>
        <w:rPr>
          <w:rFonts w:hint="eastAsia"/>
          <w:kern w:val="0"/>
        </w:rPr>
        <w:t>）国际经济政治环境变动的影响</w:t>
      </w:r>
    </w:p>
    <w:p w14:paraId="2C6DAEEC" w14:textId="77777777" w:rsidR="004B0883" w:rsidRDefault="004B0883">
      <w:pPr>
        <w:pStyle w:val="005"/>
        <w:spacing w:before="120" w:after="120"/>
        <w:ind w:firstLine="480"/>
        <w:rPr>
          <w:rFonts w:hint="eastAsia"/>
          <w:kern w:val="0"/>
        </w:rPr>
      </w:pPr>
      <w:r>
        <w:rPr>
          <w:rFonts w:hint="eastAsia"/>
          <w:kern w:val="0"/>
        </w:rPr>
        <w:t>全球经济增速放缓，国际经济政治环境日趋复杂。我国阀门出口量较大，其中大部分产品出口至欧美发达国家。国际经济政治环境的变动，对于我国阀门出口及与欧美国家下游客户的稳定合作会造成一定不利影响，从而可能会给阀门企业的生产经营带来一定的不利影响。</w:t>
      </w:r>
    </w:p>
    <w:p w14:paraId="06DC6436" w14:textId="77777777" w:rsidR="004B0883" w:rsidRDefault="004B0883">
      <w:pPr>
        <w:pStyle w:val="005"/>
        <w:spacing w:before="120" w:after="120"/>
        <w:ind w:firstLine="480"/>
        <w:rPr>
          <w:rFonts w:hint="eastAsia"/>
          <w:kern w:val="0"/>
        </w:rPr>
      </w:pPr>
      <w:r>
        <w:rPr>
          <w:rFonts w:hint="eastAsia"/>
          <w:kern w:val="0"/>
        </w:rPr>
        <w:t>（</w:t>
      </w:r>
      <w:r>
        <w:rPr>
          <w:kern w:val="0"/>
        </w:rPr>
        <w:t>3</w:t>
      </w:r>
      <w:r>
        <w:rPr>
          <w:rFonts w:hint="eastAsia"/>
          <w:kern w:val="0"/>
        </w:rPr>
        <w:t>）市场竞争日趋激烈</w:t>
      </w:r>
    </w:p>
    <w:p w14:paraId="4FFD223D" w14:textId="77777777" w:rsidR="004B0883" w:rsidRDefault="004B0883">
      <w:pPr>
        <w:pStyle w:val="005"/>
        <w:spacing w:before="120" w:after="120"/>
        <w:ind w:firstLine="480"/>
        <w:rPr>
          <w:rFonts w:hint="eastAsia"/>
          <w:kern w:val="0"/>
        </w:rPr>
      </w:pPr>
      <w:r>
        <w:rPr>
          <w:rFonts w:hint="eastAsia"/>
          <w:kern w:val="0"/>
        </w:rPr>
        <w:t>我国阀门行业集中度较低，竞争格局日趋激烈。阀门作为诸多行业的重要部件之一，正迎来广阔的发展空间，市场规模快速扩大，市场竞争不断加剧。</w:t>
      </w:r>
    </w:p>
    <w:p w14:paraId="3D1767F6" w14:textId="77777777" w:rsidR="004B0883" w:rsidRDefault="004B0883">
      <w:pPr>
        <w:pStyle w:val="005"/>
        <w:spacing w:before="120" w:after="120"/>
        <w:ind w:firstLine="480"/>
        <w:rPr>
          <w:rFonts w:hint="eastAsia"/>
          <w:kern w:val="0"/>
        </w:rPr>
      </w:pPr>
      <w:r>
        <w:rPr>
          <w:rFonts w:hint="eastAsia"/>
          <w:kern w:val="0"/>
        </w:rPr>
        <w:t>（</w:t>
      </w:r>
      <w:r>
        <w:rPr>
          <w:kern w:val="0"/>
        </w:rPr>
        <w:t>4</w:t>
      </w:r>
      <w:r>
        <w:rPr>
          <w:rFonts w:hint="eastAsia"/>
          <w:kern w:val="0"/>
        </w:rPr>
        <w:t>）劳动力成本上升</w:t>
      </w:r>
    </w:p>
    <w:p w14:paraId="45FC0E20" w14:textId="77777777" w:rsidR="004B0883" w:rsidRDefault="004B0883">
      <w:pPr>
        <w:pStyle w:val="005"/>
        <w:spacing w:before="120" w:after="120"/>
        <w:ind w:firstLine="480"/>
        <w:rPr>
          <w:kern w:val="0"/>
        </w:rPr>
      </w:pPr>
      <w:r>
        <w:rPr>
          <w:rFonts w:hint="eastAsia"/>
          <w:kern w:val="0"/>
        </w:rPr>
        <w:t>近年来我国劳动力成本不断升高，直接增加了阀门企业的用工成本，压缩了企业的利润空间，给阀门企业的发展带来了一定的不利影响。阀门行业在加快自动化建设的同时，亦需加强企业经营的精细化管理，提升自身盈利能力。</w:t>
      </w:r>
    </w:p>
    <w:p w14:paraId="71B6BF95" w14:textId="77777777" w:rsidR="004B0883" w:rsidRDefault="004B0883">
      <w:pPr>
        <w:pStyle w:val="003"/>
        <w:spacing w:before="120" w:after="120"/>
        <w:rPr>
          <w:rFonts w:hint="eastAsia"/>
        </w:rPr>
      </w:pPr>
      <w:r>
        <w:rPr>
          <w:rFonts w:hint="eastAsia"/>
        </w:rPr>
        <w:t>（七）公司的行业竞争优势</w:t>
      </w:r>
    </w:p>
    <w:p w14:paraId="0AE0AECB" w14:textId="77777777" w:rsidR="004B0883" w:rsidRDefault="004B0883">
      <w:pPr>
        <w:pStyle w:val="004"/>
        <w:spacing w:before="120" w:after="120"/>
        <w:ind w:firstLine="482"/>
      </w:pPr>
      <w:r>
        <w:t>1</w:t>
      </w:r>
      <w:r>
        <w:t>、</w:t>
      </w:r>
      <w:r>
        <w:rPr>
          <w:rFonts w:hint="eastAsia"/>
        </w:rPr>
        <w:t>技术和研发优势</w:t>
      </w:r>
    </w:p>
    <w:p w14:paraId="689E585E" w14:textId="77777777" w:rsidR="004B0883" w:rsidRDefault="004B0883">
      <w:pPr>
        <w:pStyle w:val="005"/>
        <w:spacing w:before="120" w:after="120"/>
        <w:ind w:firstLine="480"/>
        <w:rPr>
          <w:rFonts w:hint="eastAsia"/>
          <w:kern w:val="0"/>
        </w:rPr>
      </w:pPr>
      <w:bookmarkStart w:id="232" w:name="_Hlk145922487"/>
      <w:bookmarkStart w:id="233" w:name="_Hlk136036256"/>
      <w:bookmarkStart w:id="234" w:name="_Hlk124643784"/>
      <w:r>
        <w:rPr>
          <w:rFonts w:hint="eastAsia"/>
          <w:kern w:val="0"/>
        </w:rPr>
        <w:t>公司从事阀门行业</w:t>
      </w:r>
      <w:r>
        <w:rPr>
          <w:rFonts w:hint="eastAsia"/>
          <w:kern w:val="0"/>
        </w:rPr>
        <w:t>30</w:t>
      </w:r>
      <w:r>
        <w:rPr>
          <w:rFonts w:hint="eastAsia"/>
          <w:kern w:val="0"/>
        </w:rPr>
        <w:t>多年，核心团队稳定，研发队伍不断壮大，积累了深厚的技术和人才储备，具有丰富的研发设计和生产经验，自主技术创新能力不断加强，为公司的发展壮大和技术进步提供了强有力的支撑。公司一直瞄准世界阀门行业先进技术前沿，专注于阀门产品的研发和创新，先后获得多个国内外著名认证。公司建立了完整的产研体系、研发投入核算体系、研发项目管理制度、研发人员绩效考核激励制度和知识产权保护及奖励机制，创造了良好的技术创新的文化氛围，极大地激发了研发技术人员的积极性。公司成立了以阀门测试及材料检测为主的青岛卓信检测技术有限责任公司，先后通过了中国合格评定国家认可委员会实验室认可证书和山东省市场监督管理局检验检测机构资质认定证书，为公司产品的质量进步和技术发展保驾护航</w:t>
      </w:r>
      <w:bookmarkEnd w:id="232"/>
      <w:r>
        <w:rPr>
          <w:rFonts w:hint="eastAsia"/>
          <w:kern w:val="0"/>
        </w:rPr>
        <w:t>。</w:t>
      </w:r>
    </w:p>
    <w:p w14:paraId="1DB0F7F3" w14:textId="77777777" w:rsidR="004B0883" w:rsidRDefault="004B0883">
      <w:pPr>
        <w:pStyle w:val="005"/>
        <w:spacing w:before="120" w:after="120"/>
        <w:ind w:firstLine="480"/>
        <w:rPr>
          <w:kern w:val="0"/>
          <w:szCs w:val="24"/>
        </w:rPr>
      </w:pPr>
      <w:r>
        <w:rPr>
          <w:rFonts w:hint="eastAsia"/>
          <w:kern w:val="0"/>
        </w:rPr>
        <w:t>公司核心团队拥有较强的技术研发能力，不断探索阀门行业前沿技术，为阀门行业的发展和进步做出不懈努力，在阀门领域积累了比较全面的技术成果，截至</w:t>
      </w:r>
      <w:r>
        <w:rPr>
          <w:rFonts w:hint="eastAsia"/>
          <w:kern w:val="0"/>
        </w:rPr>
        <w:t>2023</w:t>
      </w:r>
      <w:r>
        <w:rPr>
          <w:rFonts w:hint="eastAsia"/>
          <w:kern w:val="0"/>
        </w:rPr>
        <w:t>年</w:t>
      </w:r>
      <w:r>
        <w:rPr>
          <w:kern w:val="0"/>
        </w:rPr>
        <w:t>9</w:t>
      </w:r>
      <w:r>
        <w:rPr>
          <w:rFonts w:hint="eastAsia"/>
          <w:kern w:val="0"/>
        </w:rPr>
        <w:t>月末，公司拥有专利</w:t>
      </w:r>
      <w:r>
        <w:rPr>
          <w:rFonts w:hint="eastAsia"/>
          <w:kern w:val="0"/>
        </w:rPr>
        <w:t>7</w:t>
      </w:r>
      <w:r>
        <w:rPr>
          <w:kern w:val="0"/>
        </w:rPr>
        <w:t>6</w:t>
      </w:r>
      <w:r>
        <w:rPr>
          <w:rFonts w:hint="eastAsia"/>
          <w:kern w:val="0"/>
        </w:rPr>
        <w:t>项，获得</w:t>
      </w:r>
      <w:r>
        <w:rPr>
          <w:rFonts w:hint="eastAsia"/>
          <w:kern w:val="0"/>
        </w:rPr>
        <w:t>1</w:t>
      </w:r>
      <w:r>
        <w:rPr>
          <w:rFonts w:hint="eastAsia"/>
          <w:kern w:val="0"/>
        </w:rPr>
        <w:t>项中国专利优秀奖</w:t>
      </w:r>
      <w:r>
        <w:rPr>
          <w:rFonts w:hint="eastAsia"/>
          <w:kern w:val="0"/>
          <w:szCs w:val="24"/>
        </w:rPr>
        <w:t>。</w:t>
      </w:r>
    </w:p>
    <w:bookmarkEnd w:id="233"/>
    <w:p w14:paraId="2924EB0A" w14:textId="77777777" w:rsidR="004B0883" w:rsidRDefault="004B0883">
      <w:pPr>
        <w:pStyle w:val="004"/>
        <w:spacing w:before="120" w:after="120"/>
        <w:ind w:firstLine="482"/>
      </w:pPr>
      <w:r>
        <w:t>2</w:t>
      </w:r>
      <w:r>
        <w:t>、</w:t>
      </w:r>
      <w:r>
        <w:rPr>
          <w:rFonts w:hint="eastAsia"/>
        </w:rPr>
        <w:t>国际市场开拓和客户资源能力</w:t>
      </w:r>
    </w:p>
    <w:p w14:paraId="0859963C" w14:textId="77777777" w:rsidR="004B0883" w:rsidRDefault="004B0883">
      <w:pPr>
        <w:pStyle w:val="005"/>
        <w:spacing w:before="120" w:after="120"/>
        <w:ind w:firstLine="480"/>
        <w:rPr>
          <w:rFonts w:hint="eastAsia"/>
          <w:kern w:val="0"/>
        </w:rPr>
      </w:pPr>
      <w:r>
        <w:rPr>
          <w:rFonts w:hint="eastAsia"/>
          <w:kern w:val="0"/>
        </w:rPr>
        <w:t>公司多年专业从事国际市场给排水、消防阀门经营业务，拥有丰富的国际市场开拓和销售经验，在英国、美国、香港设有全资子公司作为国际市场销售平台。凭借可靠的产品质量和稳定的产品性能，公司</w:t>
      </w:r>
      <w:r>
        <w:rPr>
          <w:rFonts w:hint="eastAsia"/>
          <w:kern w:val="0"/>
        </w:rPr>
        <w:t>WEFLO</w:t>
      </w:r>
      <w:r>
        <w:rPr>
          <w:rFonts w:hint="eastAsia"/>
          <w:kern w:val="0"/>
        </w:rPr>
        <w:t>品牌在国际市场声誉优质，受客户所信赖，在市场上的销售份额逐步提升。公司在亚洲、欧洲、美洲、大洋洲及非洲的多个国家和地区积累了一批优质的品牌客户，其中多数为长期战略客户，与公司形成了稳定的合作关系，保证了公司具有充裕、稳定的销售订单业务量和营业收入的稳步增长。</w:t>
      </w:r>
    </w:p>
    <w:p w14:paraId="6FE526BA" w14:textId="77777777" w:rsidR="004B0883" w:rsidRDefault="004B0883">
      <w:pPr>
        <w:pStyle w:val="004"/>
        <w:spacing w:before="120" w:after="120"/>
        <w:ind w:firstLine="482"/>
      </w:pPr>
      <w:r>
        <w:t>3</w:t>
      </w:r>
      <w:r>
        <w:t>、</w:t>
      </w:r>
      <w:r>
        <w:rPr>
          <w:rFonts w:hint="eastAsia"/>
        </w:rPr>
        <w:t>产品质量管理优势</w:t>
      </w:r>
    </w:p>
    <w:p w14:paraId="450BB0D8" w14:textId="77777777" w:rsidR="004B0883" w:rsidRDefault="004B0883">
      <w:pPr>
        <w:pStyle w:val="005"/>
        <w:spacing w:before="120" w:after="120"/>
        <w:ind w:firstLine="480"/>
        <w:rPr>
          <w:kern w:val="0"/>
        </w:rPr>
      </w:pPr>
      <w:bookmarkStart w:id="235" w:name="_Hlk136036553"/>
      <w:bookmarkStart w:id="236" w:name="_Hlk136293854"/>
      <w:r>
        <w:rPr>
          <w:rFonts w:hint="eastAsia"/>
          <w:kern w:val="0"/>
        </w:rPr>
        <w:t>为保障阀门产品的通用性、阀门产品质量标准的一致性以及降低阀门市场的信息不对称性，全球各主要市场的权威机构对阀门产品建立了质量认证体系，取得这些权威机构的质量认证是阀门产品在全球阀门市场进行销售的重要条件。公司产品取得了欧盟</w:t>
      </w:r>
      <w:r>
        <w:rPr>
          <w:rFonts w:hint="eastAsia"/>
          <w:kern w:val="0"/>
        </w:rPr>
        <w:t>CE</w:t>
      </w:r>
      <w:r>
        <w:rPr>
          <w:rFonts w:hint="eastAsia"/>
          <w:kern w:val="0"/>
        </w:rPr>
        <w:t>产品安全认证、英国</w:t>
      </w:r>
      <w:r>
        <w:rPr>
          <w:rFonts w:hint="eastAsia"/>
          <w:kern w:val="0"/>
        </w:rPr>
        <w:t>WRAS</w:t>
      </w:r>
      <w:r>
        <w:rPr>
          <w:rFonts w:hint="eastAsia"/>
          <w:kern w:val="0"/>
        </w:rPr>
        <w:t>饮用水认证、美国</w:t>
      </w:r>
      <w:r>
        <w:rPr>
          <w:rFonts w:hint="eastAsia"/>
          <w:kern w:val="0"/>
        </w:rPr>
        <w:t>UL</w:t>
      </w:r>
      <w:r>
        <w:rPr>
          <w:rFonts w:hint="eastAsia"/>
          <w:kern w:val="0"/>
        </w:rPr>
        <w:t>饮用水认证、美国</w:t>
      </w:r>
      <w:r>
        <w:rPr>
          <w:rFonts w:hint="eastAsia"/>
          <w:kern w:val="0"/>
        </w:rPr>
        <w:t>UL</w:t>
      </w:r>
      <w:r>
        <w:rPr>
          <w:rFonts w:hint="eastAsia"/>
          <w:kern w:val="0"/>
        </w:rPr>
        <w:t>认证、美国</w:t>
      </w:r>
      <w:r>
        <w:rPr>
          <w:rFonts w:hint="eastAsia"/>
          <w:kern w:val="0"/>
        </w:rPr>
        <w:t>FM</w:t>
      </w:r>
      <w:r>
        <w:rPr>
          <w:rFonts w:hint="eastAsia"/>
          <w:kern w:val="0"/>
        </w:rPr>
        <w:t>认证、美国</w:t>
      </w:r>
      <w:r>
        <w:rPr>
          <w:rFonts w:hint="eastAsia"/>
          <w:kern w:val="0"/>
        </w:rPr>
        <w:t>NSF</w:t>
      </w:r>
      <w:r>
        <w:rPr>
          <w:rFonts w:hint="eastAsia"/>
          <w:kern w:val="0"/>
        </w:rPr>
        <w:t>认证、加拿大</w:t>
      </w:r>
      <w:r>
        <w:rPr>
          <w:rFonts w:hint="eastAsia"/>
          <w:kern w:val="0"/>
        </w:rPr>
        <w:t>UL</w:t>
      </w:r>
      <w:r>
        <w:rPr>
          <w:rFonts w:hint="eastAsia"/>
          <w:kern w:val="0"/>
        </w:rPr>
        <w:t>认证、澳大利亚</w:t>
      </w:r>
      <w:r>
        <w:rPr>
          <w:rFonts w:hint="eastAsia"/>
          <w:kern w:val="0"/>
        </w:rPr>
        <w:t>IAPMO</w:t>
      </w:r>
      <w:r>
        <w:rPr>
          <w:rFonts w:hint="eastAsia"/>
          <w:kern w:val="0"/>
        </w:rPr>
        <w:t>审核</w:t>
      </w:r>
      <w:r>
        <w:rPr>
          <w:rFonts w:hint="eastAsia"/>
          <w:kern w:val="0"/>
        </w:rPr>
        <w:t>Water</w:t>
      </w:r>
      <w:r>
        <w:rPr>
          <w:kern w:val="0"/>
        </w:rPr>
        <w:t xml:space="preserve"> </w:t>
      </w:r>
      <w:r>
        <w:rPr>
          <w:rFonts w:hint="eastAsia"/>
          <w:kern w:val="0"/>
        </w:rPr>
        <w:t>Mark</w:t>
      </w:r>
      <w:r>
        <w:rPr>
          <w:rFonts w:hint="eastAsia"/>
          <w:kern w:val="0"/>
        </w:rPr>
        <w:t>认证和</w:t>
      </w:r>
      <w:r>
        <w:rPr>
          <w:rFonts w:hint="eastAsia"/>
          <w:kern w:val="0"/>
        </w:rPr>
        <w:t>AGA\Ocean</w:t>
      </w:r>
      <w:r>
        <w:rPr>
          <w:kern w:val="0"/>
        </w:rPr>
        <w:t xml:space="preserve"> </w:t>
      </w:r>
      <w:r>
        <w:rPr>
          <w:rFonts w:hint="eastAsia"/>
          <w:kern w:val="0"/>
        </w:rPr>
        <w:t>Mark</w:t>
      </w:r>
      <w:r>
        <w:rPr>
          <w:rFonts w:hint="eastAsia"/>
          <w:kern w:val="0"/>
        </w:rPr>
        <w:t>认证、中国船级社型式认可证书、</w:t>
      </w:r>
      <w:r>
        <w:rPr>
          <w:rFonts w:hint="eastAsia"/>
          <w:szCs w:val="21"/>
        </w:rPr>
        <w:t>军选民用装备承制单位资格</w:t>
      </w:r>
      <w:r>
        <w:rPr>
          <w:rFonts w:hint="eastAsia"/>
          <w:kern w:val="0"/>
        </w:rPr>
        <w:t>、阿联酋</w:t>
      </w:r>
      <w:r>
        <w:rPr>
          <w:rFonts w:hint="eastAsia"/>
          <w:kern w:val="0"/>
        </w:rPr>
        <w:t>Civil Defense</w:t>
      </w:r>
      <w:r>
        <w:rPr>
          <w:rFonts w:hint="eastAsia"/>
          <w:kern w:val="0"/>
        </w:rPr>
        <w:t>民防认证、</w:t>
      </w:r>
      <w:r>
        <w:rPr>
          <w:rFonts w:hint="eastAsia"/>
          <w:kern w:val="0"/>
        </w:rPr>
        <w:t>CCC</w:t>
      </w:r>
      <w:r>
        <w:rPr>
          <w:rFonts w:hint="eastAsia"/>
          <w:kern w:val="0"/>
        </w:rPr>
        <w:t>中国国家强制性产品认证证书、香港水务署认证、德国</w:t>
      </w:r>
      <w:r>
        <w:rPr>
          <w:rFonts w:hint="eastAsia"/>
          <w:kern w:val="0"/>
        </w:rPr>
        <w:t>VDS</w:t>
      </w:r>
      <w:r>
        <w:rPr>
          <w:rFonts w:hint="eastAsia"/>
          <w:kern w:val="0"/>
        </w:rPr>
        <w:t>认证以及获得</w:t>
      </w:r>
      <w:r>
        <w:rPr>
          <w:rFonts w:hint="eastAsia"/>
          <w:kern w:val="0"/>
        </w:rPr>
        <w:t>ISO9001</w:t>
      </w:r>
      <w:r>
        <w:rPr>
          <w:rFonts w:hint="eastAsia"/>
          <w:kern w:val="0"/>
        </w:rPr>
        <w:t>质量管理体系、</w:t>
      </w:r>
      <w:r>
        <w:rPr>
          <w:rFonts w:hint="eastAsia"/>
          <w:kern w:val="0"/>
        </w:rPr>
        <w:t>ISO14001</w:t>
      </w:r>
      <w:r>
        <w:rPr>
          <w:rFonts w:hint="eastAsia"/>
          <w:kern w:val="0"/>
        </w:rPr>
        <w:t>环境管理体系、</w:t>
      </w:r>
      <w:bookmarkStart w:id="237" w:name="_Hlk144457452"/>
      <w:r>
        <w:rPr>
          <w:kern w:val="0"/>
        </w:rPr>
        <w:t>ISO45001</w:t>
      </w:r>
      <w:bookmarkEnd w:id="237"/>
      <w:r>
        <w:rPr>
          <w:rFonts w:hint="eastAsia"/>
          <w:kern w:val="0"/>
        </w:rPr>
        <w:t>职业健康安全管理体系认证、</w:t>
      </w:r>
      <w:r>
        <w:rPr>
          <w:rFonts w:hint="eastAsia"/>
          <w:kern w:val="0"/>
        </w:rPr>
        <w:t>GB/T29490</w:t>
      </w:r>
      <w:r>
        <w:rPr>
          <w:rFonts w:hint="eastAsia"/>
          <w:kern w:val="0"/>
        </w:rPr>
        <w:t>知识产权管理体系认证、</w:t>
      </w:r>
      <w:r>
        <w:rPr>
          <w:rFonts w:hint="eastAsia"/>
          <w:kern w:val="0"/>
        </w:rPr>
        <w:t>GJB9001C</w:t>
      </w:r>
      <w:r>
        <w:rPr>
          <w:rFonts w:hint="eastAsia"/>
          <w:kern w:val="0"/>
        </w:rPr>
        <w:t>国军标质量管理体系和《两化融合管理体系评定证书》认证等多项认证，且获得</w:t>
      </w:r>
      <w:bookmarkStart w:id="238" w:name="_Hlk146030360"/>
      <w:r>
        <w:rPr>
          <w:rFonts w:hint="eastAsia"/>
          <w:kern w:val="0"/>
        </w:rPr>
        <w:t>中国国际贸易促进委员会</w:t>
      </w:r>
      <w:bookmarkStart w:id="239" w:name="_Hlk146030322"/>
      <w:r>
        <w:rPr>
          <w:rFonts w:hint="eastAsia"/>
          <w:kern w:val="0"/>
        </w:rPr>
        <w:t>颁发的</w:t>
      </w:r>
      <w:bookmarkEnd w:id="238"/>
      <w:bookmarkEnd w:id="239"/>
      <w:r>
        <w:rPr>
          <w:rFonts w:hint="eastAsia"/>
          <w:kern w:val="0"/>
        </w:rPr>
        <w:t>《中国商品出口品牌证明书》，为国内给排水阀门行业取得认证较多的企业之一，体现公司产品质量的优越性和公司对于产品质量管理的高度重视，公司产品具有较强的国际市场竞争力</w:t>
      </w:r>
      <w:bookmarkEnd w:id="236"/>
      <w:r>
        <w:rPr>
          <w:rFonts w:hint="eastAsia"/>
          <w:kern w:val="0"/>
        </w:rPr>
        <w:t>。</w:t>
      </w:r>
    </w:p>
    <w:bookmarkEnd w:id="235"/>
    <w:p w14:paraId="6C8C314C" w14:textId="77777777" w:rsidR="004B0883" w:rsidRDefault="004B0883">
      <w:pPr>
        <w:pStyle w:val="004"/>
        <w:spacing w:before="120" w:after="120"/>
        <w:ind w:firstLine="482"/>
      </w:pPr>
      <w:r>
        <w:t>4</w:t>
      </w:r>
      <w:r>
        <w:rPr>
          <w:rFonts w:hint="eastAsia"/>
        </w:rPr>
        <w:t>、产品产业链、品类优势</w:t>
      </w:r>
    </w:p>
    <w:p w14:paraId="594C20DA" w14:textId="77777777" w:rsidR="004B0883" w:rsidRDefault="004B0883">
      <w:pPr>
        <w:pStyle w:val="005"/>
        <w:spacing w:before="120" w:after="120"/>
        <w:ind w:firstLine="480"/>
        <w:rPr>
          <w:kern w:val="0"/>
        </w:rPr>
      </w:pPr>
      <w:bookmarkStart w:id="240" w:name="_Hlk107160596"/>
      <w:bookmarkStart w:id="241" w:name="_Hlk136297668"/>
      <w:r>
        <w:rPr>
          <w:rFonts w:hint="eastAsia"/>
          <w:kern w:val="0"/>
        </w:rPr>
        <w:t>公司专注于给排水阀门细分领域，产品类别涵盖阀门分类的多个系列、</w:t>
      </w:r>
      <w:r>
        <w:rPr>
          <w:rFonts w:hint="eastAsia"/>
          <w:kern w:val="0"/>
        </w:rPr>
        <w:t>2,000</w:t>
      </w:r>
      <w:r>
        <w:rPr>
          <w:rFonts w:hint="eastAsia"/>
          <w:kern w:val="0"/>
        </w:rPr>
        <w:t>余个规格，具备大规格阀门的生产能力。公司组建了专业的国内外市场销售、自主研发设计、模具开发、模具加工中心、技术工艺、质量控制、原材料采购、铸件铸造、橡胶配件硫化、生产数控加工、涂装装配试验、仓储物流等管理部门及生产团队。公司生产配套能力较强，形成了较完整的产品生产产业链。公司产品类别结构齐全，规格型号众多，且具备快速高效的交货能力，能够有效满足下游客户的一站式采购要求，提高客户的采购效率，为公司与客户建立良好合作关系奠定了优势</w:t>
      </w:r>
      <w:bookmarkEnd w:id="241"/>
      <w:r>
        <w:rPr>
          <w:rFonts w:hint="eastAsia"/>
          <w:kern w:val="0"/>
        </w:rPr>
        <w:t>。</w:t>
      </w:r>
    </w:p>
    <w:bookmarkEnd w:id="240"/>
    <w:p w14:paraId="589528EE" w14:textId="77777777" w:rsidR="004B0883" w:rsidRDefault="004B0883">
      <w:pPr>
        <w:pStyle w:val="004"/>
        <w:spacing w:before="120" w:after="120"/>
        <w:ind w:firstLine="482"/>
      </w:pPr>
      <w:r>
        <w:t>5</w:t>
      </w:r>
      <w:r>
        <w:rPr>
          <w:rFonts w:hint="eastAsia"/>
        </w:rPr>
        <w:t>、原材料供应优势</w:t>
      </w:r>
    </w:p>
    <w:p w14:paraId="6D501537" w14:textId="77777777" w:rsidR="004B0883" w:rsidRDefault="004B0883">
      <w:pPr>
        <w:pStyle w:val="005"/>
        <w:spacing w:before="120" w:after="120"/>
        <w:ind w:firstLine="480"/>
        <w:rPr>
          <w:kern w:val="0"/>
        </w:rPr>
      </w:pPr>
      <w:bookmarkStart w:id="242" w:name="_Hlk136293898"/>
      <w:r>
        <w:rPr>
          <w:rFonts w:hint="eastAsia"/>
          <w:kern w:val="0"/>
        </w:rPr>
        <w:t>公司全资子公司莱州伟隆是拥有多年铸造生产经验的专业阀门铸件配套企业，其新投产的两条自动化铸造生产线具有充足的铸件生产能力，保证了公司阀门产品质量，减少了公司对铸件供应商的依赖。公司建有先进的模具加工中心和橡胶制品配件自动化生产硫化车间，实现了主要模具开发加工配套能力，保证了橡胶配件的质量和数量。对于其他各类辅助配件如铜件、不锈钢件和标准件等，公司与各类配件供应商建立了长期稳定的合作关系，建立了高效的配件供应体系。得益于阀门铸件生产的垂直供应以及高效的配件供应体系，公司拥有稳定可靠的产品质量及较短的交货周期，极大保障了公司的履约能力，从而在产品质量和采购原材料履约能力方面形成了独特的竞争优势</w:t>
      </w:r>
      <w:bookmarkEnd w:id="242"/>
      <w:r>
        <w:rPr>
          <w:rFonts w:hint="eastAsia"/>
          <w:kern w:val="0"/>
        </w:rPr>
        <w:t>。</w:t>
      </w:r>
    </w:p>
    <w:p w14:paraId="344AC841" w14:textId="77777777" w:rsidR="004B0883" w:rsidRDefault="004B0883">
      <w:pPr>
        <w:pStyle w:val="002"/>
        <w:spacing w:before="120" w:after="120"/>
        <w:rPr>
          <w:rFonts w:hint="eastAsia"/>
        </w:rPr>
      </w:pPr>
      <w:bookmarkStart w:id="243" w:name="_Toc152320795"/>
      <w:bookmarkEnd w:id="234"/>
      <w:r>
        <w:rPr>
          <w:rFonts w:hint="eastAsia"/>
        </w:rPr>
        <w:t>七、公司主营业务的具体情况</w:t>
      </w:r>
      <w:bookmarkEnd w:id="243"/>
    </w:p>
    <w:p w14:paraId="33F14765" w14:textId="77777777" w:rsidR="004B0883" w:rsidRDefault="004B0883">
      <w:pPr>
        <w:pStyle w:val="005"/>
        <w:spacing w:before="120" w:after="120"/>
        <w:ind w:firstLine="480"/>
        <w:rPr>
          <w:rFonts w:hint="eastAsia"/>
        </w:rPr>
      </w:pPr>
      <w:bookmarkStart w:id="244" w:name="_Hlk138679399"/>
      <w:r>
        <w:rPr>
          <w:rFonts w:hint="eastAsia"/>
        </w:rPr>
        <w:t>公司主要从事工业阀门产品的设计、研发、生产和销售。近年来公司在研发和生产方面积累了</w:t>
      </w:r>
      <w:r>
        <w:rPr>
          <w:rFonts w:hint="eastAsia"/>
        </w:rPr>
        <w:t>7</w:t>
      </w:r>
      <w:r>
        <w:t>6</w:t>
      </w:r>
      <w:r>
        <w:rPr>
          <w:rFonts w:hint="eastAsia"/>
        </w:rPr>
        <w:t>项专利和核心技术，覆盖产品设计、生产工艺等领域，依托自身阀门研发领域技术经验积累，构建了丰富的产品体系，主要产品包括闸阀、蝶阀、调节阀、止回阀、过滤器和不停水加装闸门等，产品矩阵丰富，能够满足全球下游客户的多元化需求。</w:t>
      </w:r>
    </w:p>
    <w:bookmarkEnd w:id="244"/>
    <w:p w14:paraId="4A4CC91B" w14:textId="77777777" w:rsidR="004B0883" w:rsidRDefault="004B0883">
      <w:pPr>
        <w:pStyle w:val="003"/>
        <w:spacing w:before="120" w:after="120"/>
        <w:rPr>
          <w:rFonts w:hint="eastAsia"/>
          <w:kern w:val="0"/>
        </w:rPr>
      </w:pPr>
      <w:r>
        <w:rPr>
          <w:rFonts w:hint="eastAsia"/>
          <w:kern w:val="0"/>
        </w:rPr>
        <w:t>（一）公司的主要产品及其用途</w:t>
      </w:r>
    </w:p>
    <w:p w14:paraId="7ECBDB5C" w14:textId="77777777" w:rsidR="004B0883" w:rsidRDefault="004B0883">
      <w:pPr>
        <w:pStyle w:val="005"/>
        <w:spacing w:before="120" w:after="120"/>
        <w:ind w:firstLine="480"/>
        <w:rPr>
          <w:kern w:val="0"/>
        </w:rPr>
      </w:pPr>
      <w:r>
        <w:rPr>
          <w:rFonts w:hint="eastAsia"/>
          <w:kern w:val="0"/>
        </w:rPr>
        <w:t>公司的产品涵盖闸阀、蝶阀、调节阀、止回阀、过滤器和不停水加装闸门等，公司的主要产品及其用途如下：</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074"/>
        <w:gridCol w:w="3988"/>
        <w:gridCol w:w="3218"/>
      </w:tblGrid>
      <w:tr w:rsidR="004B0883" w14:paraId="7C5BBE98" w14:textId="77777777">
        <w:trPr>
          <w:trHeight w:val="397"/>
          <w:tblHeader/>
          <w:jc w:val="center"/>
        </w:trPr>
        <w:tc>
          <w:tcPr>
            <w:tcW w:w="1101" w:type="dxa"/>
            <w:shd w:val="clear" w:color="auto" w:fill="D9D9D9"/>
            <w:vAlign w:val="center"/>
          </w:tcPr>
          <w:p w14:paraId="6DAB4E5B" w14:textId="77777777" w:rsidR="004B0883" w:rsidRDefault="004B0883">
            <w:pPr>
              <w:widowControl w:val="0"/>
              <w:adjustRightInd w:val="0"/>
              <w:snapToGrid w:val="0"/>
              <w:jc w:val="center"/>
              <w:rPr>
                <w:b/>
                <w:kern w:val="0"/>
              </w:rPr>
            </w:pPr>
            <w:r>
              <w:rPr>
                <w:b/>
                <w:kern w:val="0"/>
              </w:rPr>
              <w:t>产品名称</w:t>
            </w:r>
          </w:p>
        </w:tc>
        <w:tc>
          <w:tcPr>
            <w:tcW w:w="4110" w:type="dxa"/>
            <w:shd w:val="clear" w:color="auto" w:fill="D9D9D9"/>
            <w:vAlign w:val="center"/>
          </w:tcPr>
          <w:p w14:paraId="5FE9F5AA" w14:textId="77777777" w:rsidR="004B0883" w:rsidRDefault="004B0883">
            <w:pPr>
              <w:widowControl w:val="0"/>
              <w:adjustRightInd w:val="0"/>
              <w:snapToGrid w:val="0"/>
              <w:jc w:val="center"/>
              <w:rPr>
                <w:b/>
                <w:kern w:val="0"/>
              </w:rPr>
            </w:pPr>
            <w:r>
              <w:rPr>
                <w:rFonts w:hint="eastAsia"/>
                <w:b/>
                <w:kern w:val="0"/>
              </w:rPr>
              <w:t>产品用途</w:t>
            </w:r>
          </w:p>
        </w:tc>
        <w:tc>
          <w:tcPr>
            <w:tcW w:w="3315" w:type="dxa"/>
            <w:shd w:val="clear" w:color="auto" w:fill="D9D9D9"/>
            <w:vAlign w:val="center"/>
          </w:tcPr>
          <w:p w14:paraId="2D82574C" w14:textId="77777777" w:rsidR="004B0883" w:rsidRDefault="004B0883">
            <w:pPr>
              <w:widowControl w:val="0"/>
              <w:adjustRightInd w:val="0"/>
              <w:snapToGrid w:val="0"/>
              <w:jc w:val="center"/>
              <w:rPr>
                <w:b/>
                <w:kern w:val="0"/>
              </w:rPr>
            </w:pPr>
            <w:r>
              <w:rPr>
                <w:b/>
                <w:kern w:val="0"/>
              </w:rPr>
              <w:t>图示</w:t>
            </w:r>
          </w:p>
        </w:tc>
      </w:tr>
      <w:tr w:rsidR="004B0883" w14:paraId="2ACA752C" w14:textId="77777777">
        <w:trPr>
          <w:trHeight w:val="1961"/>
          <w:jc w:val="center"/>
        </w:trPr>
        <w:tc>
          <w:tcPr>
            <w:tcW w:w="1101" w:type="dxa"/>
            <w:vAlign w:val="center"/>
          </w:tcPr>
          <w:p w14:paraId="66ABD211" w14:textId="77777777" w:rsidR="004B0883" w:rsidRDefault="004B0883">
            <w:pPr>
              <w:widowControl w:val="0"/>
              <w:adjustRightInd w:val="0"/>
              <w:snapToGrid w:val="0"/>
              <w:jc w:val="center"/>
              <w:rPr>
                <w:bCs/>
                <w:kern w:val="0"/>
              </w:rPr>
            </w:pPr>
            <w:r>
              <w:rPr>
                <w:rFonts w:hint="eastAsia"/>
                <w:bCs/>
                <w:kern w:val="0"/>
              </w:rPr>
              <w:t>闸阀</w:t>
            </w:r>
          </w:p>
        </w:tc>
        <w:tc>
          <w:tcPr>
            <w:tcW w:w="4110" w:type="dxa"/>
            <w:vAlign w:val="center"/>
          </w:tcPr>
          <w:p w14:paraId="68A6B1F6" w14:textId="77777777" w:rsidR="004B0883" w:rsidRDefault="004B0883">
            <w:pPr>
              <w:widowControl w:val="0"/>
              <w:adjustRightInd w:val="0"/>
              <w:snapToGrid w:val="0"/>
              <w:jc w:val="both"/>
              <w:rPr>
                <w:szCs w:val="24"/>
                <w:lang w:val="en-US" w:eastAsia="zh-CN"/>
              </w:rPr>
            </w:pPr>
            <w:r>
              <w:rPr>
                <w:rFonts w:hint="eastAsia"/>
                <w:bCs/>
                <w:kern w:val="0"/>
              </w:rPr>
              <w:t>闸阀是一种最常见的启闭阀，利用闸板来接通（全开）或截断（全关）管路中的介质，闸板沿通路中心线的垂直方向移动，在管路中主要作切断用。</w:t>
            </w:r>
          </w:p>
        </w:tc>
        <w:tc>
          <w:tcPr>
            <w:tcW w:w="3315" w:type="dxa"/>
            <w:vAlign w:val="center"/>
          </w:tcPr>
          <w:p w14:paraId="5E0617C3" w14:textId="4C38D30D" w:rsidR="004B0883" w:rsidRDefault="0090540C">
            <w:pPr>
              <w:widowControl w:val="0"/>
              <w:adjustRightInd w:val="0"/>
              <w:snapToGrid w:val="0"/>
              <w:jc w:val="center"/>
              <w:rPr>
                <w:bCs/>
                <w:kern w:val="0"/>
              </w:rPr>
            </w:pPr>
            <w:r>
              <w:rPr>
                <w:noProof/>
                <w:szCs w:val="24"/>
                <w:lang w:val="en-US" w:eastAsia="zh-CN"/>
              </w:rPr>
              <w:drawing>
                <wp:inline distT="0" distB="0" distL="0" distR="0" wp14:anchorId="5B58173A" wp14:editId="2A9FB6E9">
                  <wp:extent cx="787400" cy="1184910"/>
                  <wp:effectExtent l="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7400" cy="1184910"/>
                          </a:xfrm>
                          <a:prstGeom prst="rect">
                            <a:avLst/>
                          </a:prstGeom>
                          <a:noFill/>
                          <a:ln>
                            <a:noFill/>
                          </a:ln>
                        </pic:spPr>
                      </pic:pic>
                    </a:graphicData>
                  </a:graphic>
                </wp:inline>
              </w:drawing>
            </w:r>
          </w:p>
        </w:tc>
      </w:tr>
      <w:tr w:rsidR="004B0883" w14:paraId="754CFCA6" w14:textId="77777777">
        <w:trPr>
          <w:trHeight w:val="397"/>
          <w:jc w:val="center"/>
        </w:trPr>
        <w:tc>
          <w:tcPr>
            <w:tcW w:w="1101" w:type="dxa"/>
            <w:vAlign w:val="center"/>
          </w:tcPr>
          <w:p w14:paraId="33FDF0F4" w14:textId="77777777" w:rsidR="004B0883" w:rsidRDefault="004B0883">
            <w:pPr>
              <w:widowControl w:val="0"/>
              <w:adjustRightInd w:val="0"/>
              <w:snapToGrid w:val="0"/>
              <w:jc w:val="center"/>
              <w:rPr>
                <w:bCs/>
                <w:kern w:val="0"/>
              </w:rPr>
            </w:pPr>
            <w:r>
              <w:rPr>
                <w:rFonts w:hint="eastAsia"/>
                <w:bCs/>
                <w:kern w:val="0"/>
              </w:rPr>
              <w:t>蝶阀</w:t>
            </w:r>
          </w:p>
        </w:tc>
        <w:tc>
          <w:tcPr>
            <w:tcW w:w="4110" w:type="dxa"/>
            <w:vAlign w:val="center"/>
          </w:tcPr>
          <w:p w14:paraId="30117D8F" w14:textId="77777777" w:rsidR="004B0883" w:rsidRDefault="004B0883">
            <w:pPr>
              <w:widowControl w:val="0"/>
              <w:adjustRightInd w:val="0"/>
              <w:snapToGrid w:val="0"/>
              <w:jc w:val="both"/>
              <w:rPr>
                <w:szCs w:val="24"/>
                <w:lang w:val="en-US" w:eastAsia="zh-CN"/>
              </w:rPr>
            </w:pPr>
            <w:r>
              <w:rPr>
                <w:rFonts w:hint="eastAsia"/>
                <w:szCs w:val="24"/>
                <w:lang w:val="en-US" w:eastAsia="zh-CN"/>
              </w:rPr>
              <w:t>蝶阀又叫翻板阀，其关闭件（阀瓣或蝶板）为圆盘，是通过围绕阀轴旋转来达到开启与关闭的一种阀，可用于控制空气、水、蒸汽、泥浆、油品等各种类型流体的流动，在管道上主要起切断和节流作用。</w:t>
            </w:r>
          </w:p>
        </w:tc>
        <w:tc>
          <w:tcPr>
            <w:tcW w:w="3315" w:type="dxa"/>
            <w:vAlign w:val="center"/>
          </w:tcPr>
          <w:p w14:paraId="2A0AA447" w14:textId="441BD80B" w:rsidR="004B0883" w:rsidRDefault="0090540C">
            <w:pPr>
              <w:widowControl w:val="0"/>
              <w:adjustRightInd w:val="0"/>
              <w:snapToGrid w:val="0"/>
              <w:jc w:val="center"/>
              <w:rPr>
                <w:bCs/>
                <w:kern w:val="0"/>
              </w:rPr>
            </w:pPr>
            <w:r>
              <w:rPr>
                <w:noProof/>
                <w:szCs w:val="24"/>
                <w:lang w:val="en-US" w:eastAsia="zh-CN"/>
              </w:rPr>
              <w:drawing>
                <wp:inline distT="0" distB="0" distL="0" distR="0" wp14:anchorId="5D80006F" wp14:editId="5FCC851F">
                  <wp:extent cx="803275" cy="1002030"/>
                  <wp:effectExtent l="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3275" cy="1002030"/>
                          </a:xfrm>
                          <a:prstGeom prst="rect">
                            <a:avLst/>
                          </a:prstGeom>
                          <a:noFill/>
                          <a:ln>
                            <a:noFill/>
                          </a:ln>
                        </pic:spPr>
                      </pic:pic>
                    </a:graphicData>
                  </a:graphic>
                </wp:inline>
              </w:drawing>
            </w:r>
          </w:p>
        </w:tc>
      </w:tr>
      <w:tr w:rsidR="004B0883" w14:paraId="3839266B" w14:textId="77777777">
        <w:trPr>
          <w:trHeight w:val="397"/>
          <w:jc w:val="center"/>
        </w:trPr>
        <w:tc>
          <w:tcPr>
            <w:tcW w:w="1101" w:type="dxa"/>
            <w:vAlign w:val="center"/>
          </w:tcPr>
          <w:p w14:paraId="258569BD" w14:textId="77777777" w:rsidR="004B0883" w:rsidRDefault="004B0883">
            <w:pPr>
              <w:widowControl w:val="0"/>
              <w:adjustRightInd w:val="0"/>
              <w:snapToGrid w:val="0"/>
              <w:jc w:val="center"/>
              <w:rPr>
                <w:bCs/>
                <w:kern w:val="0"/>
              </w:rPr>
            </w:pPr>
            <w:r>
              <w:rPr>
                <w:rFonts w:hint="eastAsia"/>
                <w:bCs/>
                <w:kern w:val="0"/>
              </w:rPr>
              <w:t>调节阀</w:t>
            </w:r>
          </w:p>
        </w:tc>
        <w:tc>
          <w:tcPr>
            <w:tcW w:w="4110" w:type="dxa"/>
            <w:vAlign w:val="center"/>
          </w:tcPr>
          <w:p w14:paraId="0A362DD6" w14:textId="77777777" w:rsidR="004B0883" w:rsidRDefault="004B0883">
            <w:pPr>
              <w:widowControl w:val="0"/>
              <w:adjustRightInd w:val="0"/>
              <w:snapToGrid w:val="0"/>
              <w:jc w:val="both"/>
              <w:rPr>
                <w:szCs w:val="24"/>
                <w:lang w:val="en-US" w:eastAsia="zh-CN"/>
              </w:rPr>
            </w:pPr>
            <w:r>
              <w:rPr>
                <w:rFonts w:hint="eastAsia"/>
                <w:szCs w:val="24"/>
                <w:lang w:val="en-US" w:eastAsia="zh-CN"/>
              </w:rPr>
              <w:t>调节阀又名控制阀，通过接受调节控制单元输出的控制信号，借助动力操作去改变流体流量，一般由执行结构和阀门组成，主要用于调节介质的流量、压力和液位等参数。</w:t>
            </w:r>
          </w:p>
        </w:tc>
        <w:tc>
          <w:tcPr>
            <w:tcW w:w="3315" w:type="dxa"/>
            <w:vAlign w:val="center"/>
          </w:tcPr>
          <w:p w14:paraId="5B892ABB" w14:textId="01126DA8" w:rsidR="004B0883" w:rsidRDefault="0090540C">
            <w:pPr>
              <w:widowControl w:val="0"/>
              <w:adjustRightInd w:val="0"/>
              <w:snapToGrid w:val="0"/>
              <w:jc w:val="center"/>
              <w:rPr>
                <w:bCs/>
                <w:kern w:val="0"/>
              </w:rPr>
            </w:pPr>
            <w:r>
              <w:rPr>
                <w:noProof/>
                <w:szCs w:val="24"/>
                <w:lang w:val="en-US" w:eastAsia="zh-CN"/>
              </w:rPr>
              <w:drawing>
                <wp:inline distT="0" distB="0" distL="0" distR="0" wp14:anchorId="129D7F8A" wp14:editId="43CF418C">
                  <wp:extent cx="993775" cy="1264285"/>
                  <wp:effectExtent l="0" t="0" r="0" b="0"/>
                  <wp:docPr id="1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3775" cy="1264285"/>
                          </a:xfrm>
                          <a:prstGeom prst="rect">
                            <a:avLst/>
                          </a:prstGeom>
                          <a:noFill/>
                          <a:ln>
                            <a:noFill/>
                          </a:ln>
                        </pic:spPr>
                      </pic:pic>
                    </a:graphicData>
                  </a:graphic>
                </wp:inline>
              </w:drawing>
            </w:r>
          </w:p>
        </w:tc>
      </w:tr>
      <w:tr w:rsidR="004B0883" w14:paraId="4A43B460" w14:textId="77777777">
        <w:trPr>
          <w:trHeight w:val="397"/>
          <w:jc w:val="center"/>
        </w:trPr>
        <w:tc>
          <w:tcPr>
            <w:tcW w:w="1101" w:type="dxa"/>
            <w:vAlign w:val="center"/>
          </w:tcPr>
          <w:p w14:paraId="0383B296" w14:textId="77777777" w:rsidR="004B0883" w:rsidRDefault="004B0883">
            <w:pPr>
              <w:widowControl w:val="0"/>
              <w:adjustRightInd w:val="0"/>
              <w:snapToGrid w:val="0"/>
              <w:jc w:val="center"/>
              <w:rPr>
                <w:bCs/>
                <w:kern w:val="0"/>
              </w:rPr>
            </w:pPr>
            <w:r>
              <w:rPr>
                <w:rFonts w:hint="eastAsia"/>
                <w:bCs/>
                <w:kern w:val="0"/>
              </w:rPr>
              <w:t>止回阀</w:t>
            </w:r>
          </w:p>
        </w:tc>
        <w:tc>
          <w:tcPr>
            <w:tcW w:w="4110" w:type="dxa"/>
            <w:vAlign w:val="center"/>
          </w:tcPr>
          <w:p w14:paraId="6E66E48E" w14:textId="77777777" w:rsidR="004B0883" w:rsidRDefault="004B0883">
            <w:pPr>
              <w:widowControl w:val="0"/>
              <w:adjustRightInd w:val="0"/>
              <w:snapToGrid w:val="0"/>
              <w:jc w:val="both"/>
              <w:rPr>
                <w:szCs w:val="24"/>
                <w:lang w:val="en-US" w:eastAsia="zh-CN"/>
              </w:rPr>
            </w:pPr>
            <w:r>
              <w:rPr>
                <w:rFonts w:hint="eastAsia"/>
                <w:szCs w:val="24"/>
                <w:lang w:val="en-US" w:eastAsia="zh-CN"/>
              </w:rPr>
              <w:t>止回阀又称单向阀或逆止阀，其作用是防止管路中的介质倒流，启闭件靠介质流动和力量自行开启或关闭，以防止介质倒流，主要用于介质单向流动的管道上，只允许介质向一个方向流动，以防止发生事故。</w:t>
            </w:r>
          </w:p>
        </w:tc>
        <w:tc>
          <w:tcPr>
            <w:tcW w:w="3315" w:type="dxa"/>
            <w:vAlign w:val="center"/>
          </w:tcPr>
          <w:p w14:paraId="7C5B0109" w14:textId="37E562E3" w:rsidR="004B0883" w:rsidRDefault="0090540C">
            <w:pPr>
              <w:widowControl w:val="0"/>
              <w:adjustRightInd w:val="0"/>
              <w:snapToGrid w:val="0"/>
              <w:jc w:val="center"/>
              <w:rPr>
                <w:bCs/>
                <w:kern w:val="0"/>
              </w:rPr>
            </w:pPr>
            <w:r>
              <w:rPr>
                <w:noProof/>
                <w:szCs w:val="24"/>
                <w:lang w:val="en-US" w:eastAsia="zh-CN"/>
              </w:rPr>
              <w:drawing>
                <wp:inline distT="0" distB="0" distL="0" distR="0" wp14:anchorId="3F32831C" wp14:editId="7939C271">
                  <wp:extent cx="1057275" cy="1009650"/>
                  <wp:effectExtent l="0" t="0" r="0" b="0"/>
                  <wp:docPr id="1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7275" cy="1009650"/>
                          </a:xfrm>
                          <a:prstGeom prst="rect">
                            <a:avLst/>
                          </a:prstGeom>
                          <a:noFill/>
                          <a:ln>
                            <a:noFill/>
                          </a:ln>
                        </pic:spPr>
                      </pic:pic>
                    </a:graphicData>
                  </a:graphic>
                </wp:inline>
              </w:drawing>
            </w:r>
          </w:p>
        </w:tc>
      </w:tr>
      <w:tr w:rsidR="004B0883" w14:paraId="2D5BB85B" w14:textId="77777777">
        <w:trPr>
          <w:trHeight w:val="397"/>
          <w:jc w:val="center"/>
        </w:trPr>
        <w:tc>
          <w:tcPr>
            <w:tcW w:w="1101" w:type="dxa"/>
            <w:vAlign w:val="center"/>
          </w:tcPr>
          <w:p w14:paraId="226B9554" w14:textId="77777777" w:rsidR="004B0883" w:rsidRDefault="004B0883">
            <w:pPr>
              <w:widowControl w:val="0"/>
              <w:adjustRightInd w:val="0"/>
              <w:snapToGrid w:val="0"/>
              <w:jc w:val="center"/>
              <w:rPr>
                <w:bCs/>
                <w:kern w:val="0"/>
              </w:rPr>
            </w:pPr>
            <w:r>
              <w:rPr>
                <w:rFonts w:hint="eastAsia"/>
                <w:bCs/>
                <w:kern w:val="0"/>
              </w:rPr>
              <w:t>过滤器</w:t>
            </w:r>
          </w:p>
        </w:tc>
        <w:tc>
          <w:tcPr>
            <w:tcW w:w="4110" w:type="dxa"/>
            <w:vAlign w:val="center"/>
          </w:tcPr>
          <w:p w14:paraId="144C71D0" w14:textId="77777777" w:rsidR="004B0883" w:rsidRDefault="004B0883">
            <w:pPr>
              <w:widowControl w:val="0"/>
              <w:adjustRightInd w:val="0"/>
              <w:snapToGrid w:val="0"/>
              <w:jc w:val="both"/>
              <w:rPr>
                <w:lang w:val="en-US" w:eastAsia="zh-CN"/>
              </w:rPr>
            </w:pPr>
            <w:r>
              <w:rPr>
                <w:rFonts w:hint="eastAsia"/>
                <w:lang w:val="en-US" w:eastAsia="zh-CN"/>
              </w:rPr>
              <w:t>过滤器是输送介质管道上不可缺少的一种装置，由筒体、不锈钢滤网、排污装置等组成，安装在减压阀、泄压阀、定水位阀或其他设备的进口端，用于过滤水中的杂质，如水草等，保护阀门及设备的正常使用。</w:t>
            </w:r>
          </w:p>
        </w:tc>
        <w:tc>
          <w:tcPr>
            <w:tcW w:w="3315" w:type="dxa"/>
            <w:vAlign w:val="center"/>
          </w:tcPr>
          <w:p w14:paraId="53B6F82D" w14:textId="19FA3C6B" w:rsidR="004B0883" w:rsidRDefault="0090540C">
            <w:pPr>
              <w:widowControl w:val="0"/>
              <w:adjustRightInd w:val="0"/>
              <w:snapToGrid w:val="0"/>
              <w:jc w:val="center"/>
              <w:rPr>
                <w:lang w:val="en-US" w:eastAsia="zh-CN"/>
              </w:rPr>
            </w:pPr>
            <w:r>
              <w:rPr>
                <w:noProof/>
                <w:lang w:val="en-US" w:eastAsia="zh-CN"/>
              </w:rPr>
              <w:drawing>
                <wp:inline distT="0" distB="0" distL="0" distR="0" wp14:anchorId="0FDCA8EF" wp14:editId="5A59CF8F">
                  <wp:extent cx="1081405" cy="94615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1405" cy="946150"/>
                          </a:xfrm>
                          <a:prstGeom prst="rect">
                            <a:avLst/>
                          </a:prstGeom>
                          <a:noFill/>
                          <a:ln>
                            <a:noFill/>
                          </a:ln>
                        </pic:spPr>
                      </pic:pic>
                    </a:graphicData>
                  </a:graphic>
                </wp:inline>
              </w:drawing>
            </w:r>
          </w:p>
        </w:tc>
      </w:tr>
      <w:tr w:rsidR="004B0883" w14:paraId="7C8E292D" w14:textId="77777777">
        <w:trPr>
          <w:trHeight w:val="397"/>
          <w:jc w:val="center"/>
        </w:trPr>
        <w:tc>
          <w:tcPr>
            <w:tcW w:w="1101" w:type="dxa"/>
            <w:vAlign w:val="center"/>
          </w:tcPr>
          <w:p w14:paraId="32BC4504" w14:textId="77777777" w:rsidR="004B0883" w:rsidRDefault="004B0883">
            <w:pPr>
              <w:widowControl w:val="0"/>
              <w:adjustRightInd w:val="0"/>
              <w:snapToGrid w:val="0"/>
              <w:jc w:val="center"/>
              <w:rPr>
                <w:bCs/>
                <w:kern w:val="0"/>
              </w:rPr>
            </w:pPr>
            <w:r>
              <w:rPr>
                <w:rFonts w:hint="eastAsia"/>
                <w:bCs/>
                <w:kern w:val="0"/>
              </w:rPr>
              <w:t>不停水加装闸门</w:t>
            </w:r>
          </w:p>
        </w:tc>
        <w:tc>
          <w:tcPr>
            <w:tcW w:w="4110" w:type="dxa"/>
            <w:vAlign w:val="center"/>
          </w:tcPr>
          <w:p w14:paraId="7BB068A4" w14:textId="77777777" w:rsidR="004B0883" w:rsidRDefault="004B0883">
            <w:pPr>
              <w:widowControl w:val="0"/>
              <w:adjustRightInd w:val="0"/>
              <w:snapToGrid w:val="0"/>
              <w:jc w:val="both"/>
              <w:rPr>
                <w:lang w:val="en-US" w:eastAsia="zh-CN"/>
              </w:rPr>
            </w:pPr>
            <w:r>
              <w:rPr>
                <w:rFonts w:hint="eastAsia"/>
                <w:lang w:val="en-US" w:eastAsia="zh-CN"/>
              </w:rPr>
              <w:t>与传统加装阀门的施工技术相比，公司首创的不停水加装闸门技术克服了需要停水操作、施工时间长、劳动强度大、管道运行受干扰、浪费水资源等困难，改变了传统施工方法存在的缺陷，大大提高供水企业不间断供水的能力，使城市供水可以不受外界环境的影响，不会因为道路建设，管道维修等因素影响用户用水。</w:t>
            </w:r>
          </w:p>
        </w:tc>
        <w:tc>
          <w:tcPr>
            <w:tcW w:w="3315" w:type="dxa"/>
            <w:vAlign w:val="center"/>
          </w:tcPr>
          <w:p w14:paraId="39AB52A4" w14:textId="2B7BA795" w:rsidR="004B0883" w:rsidRDefault="0090540C">
            <w:pPr>
              <w:widowControl w:val="0"/>
              <w:adjustRightInd w:val="0"/>
              <w:snapToGrid w:val="0"/>
              <w:jc w:val="center"/>
              <w:rPr>
                <w:lang w:val="en-US" w:eastAsia="zh-CN"/>
              </w:rPr>
            </w:pPr>
            <w:r>
              <w:rPr>
                <w:noProof/>
                <w:szCs w:val="24"/>
                <w:lang w:val="en-US" w:eastAsia="zh-CN"/>
              </w:rPr>
              <w:drawing>
                <wp:inline distT="0" distB="0" distL="0" distR="0" wp14:anchorId="1F49918C" wp14:editId="7019DE8D">
                  <wp:extent cx="1081405" cy="1208405"/>
                  <wp:effectExtent l="0" t="0" r="0" b="0"/>
                  <wp:docPr id="1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1405" cy="1208405"/>
                          </a:xfrm>
                          <a:prstGeom prst="rect">
                            <a:avLst/>
                          </a:prstGeom>
                          <a:noFill/>
                          <a:ln>
                            <a:noFill/>
                          </a:ln>
                        </pic:spPr>
                      </pic:pic>
                    </a:graphicData>
                  </a:graphic>
                </wp:inline>
              </w:drawing>
            </w:r>
          </w:p>
        </w:tc>
      </w:tr>
    </w:tbl>
    <w:p w14:paraId="74CEAE1D" w14:textId="77777777" w:rsidR="004B0883" w:rsidRDefault="004B0883">
      <w:pPr>
        <w:pStyle w:val="005"/>
        <w:spacing w:before="120" w:after="120"/>
        <w:ind w:firstLine="480"/>
        <w:rPr>
          <w:kern w:val="0"/>
        </w:rPr>
      </w:pPr>
      <w:r>
        <w:rPr>
          <w:rFonts w:hint="eastAsia"/>
          <w:kern w:val="0"/>
        </w:rPr>
        <w:t>除上述所列主要产品外，公司还可以为客户提供减压阀、报警阀、雨淋阀、截止阀、旋塞阀等多种产品，产品类别丰富且型号多样，能够满足客户的一站式采购需求。</w:t>
      </w:r>
    </w:p>
    <w:p w14:paraId="37FA77A9" w14:textId="77777777" w:rsidR="004B0883" w:rsidRDefault="004B0883">
      <w:pPr>
        <w:keepNext/>
        <w:keepLines/>
        <w:widowControl w:val="0"/>
        <w:snapToGrid w:val="0"/>
        <w:spacing w:beforeLines="50" w:before="120" w:after="120" w:line="360" w:lineRule="auto"/>
        <w:jc w:val="both"/>
        <w:outlineLvl w:val="2"/>
        <w:rPr>
          <w:rFonts w:eastAsia="黑体"/>
          <w:b/>
          <w:bCs/>
          <w:sz w:val="24"/>
          <w:szCs w:val="28"/>
        </w:rPr>
      </w:pPr>
      <w:r>
        <w:rPr>
          <w:rFonts w:eastAsia="黑体" w:hint="eastAsia"/>
          <w:b/>
          <w:bCs/>
          <w:sz w:val="24"/>
          <w:szCs w:val="28"/>
        </w:rPr>
        <w:t>（二）公司主要产品的生产工艺流程</w:t>
      </w:r>
    </w:p>
    <w:p w14:paraId="1ECD623E" w14:textId="77777777" w:rsidR="004B0883" w:rsidRDefault="004B0883">
      <w:pPr>
        <w:pStyle w:val="005"/>
        <w:spacing w:before="120" w:after="120"/>
        <w:ind w:firstLine="480"/>
        <w:rPr>
          <w:kern w:val="0"/>
        </w:rPr>
      </w:pPr>
      <w:r>
        <w:rPr>
          <w:rFonts w:hint="eastAsia"/>
          <w:kern w:val="0"/>
        </w:rPr>
        <w:t>公司主要阀门产品的生产工艺流程大致相同，一般工艺流程均为：</w:t>
      </w:r>
      <w:r>
        <w:t>由生铁、废钢加工铸件或外购铸件后对铸件进行加工、热处理、打磨</w:t>
      </w:r>
      <w:r>
        <w:rPr>
          <w:rFonts w:hint="eastAsia"/>
        </w:rPr>
        <w:t>、抛丸、</w:t>
      </w:r>
      <w:r>
        <w:t>喷涂，然后与加工后的阀杆等零部件组装形成阀门成品，后经试验合格并</w:t>
      </w:r>
      <w:r>
        <w:rPr>
          <w:rFonts w:hint="eastAsia"/>
        </w:rPr>
        <w:t>包装交付</w:t>
      </w:r>
      <w:r>
        <w:t>客户，其工艺流程图如下</w:t>
      </w:r>
      <w:r>
        <w:rPr>
          <w:rFonts w:hint="eastAsia"/>
          <w:kern w:val="0"/>
        </w:rPr>
        <w:t>：</w:t>
      </w:r>
    </w:p>
    <w:p w14:paraId="483EA1D1" w14:textId="196C45DD" w:rsidR="004B0883" w:rsidRDefault="0090540C">
      <w:pPr>
        <w:pStyle w:val="005"/>
        <w:spacing w:before="120" w:after="120"/>
        <w:ind w:firstLineChars="531" w:firstLine="1274"/>
        <w:rPr>
          <w:rFonts w:hint="eastAsia"/>
          <w:kern w:val="0"/>
        </w:rPr>
      </w:pPr>
      <w:r>
        <w:rPr>
          <w:noProof/>
        </w:rPr>
        <w:drawing>
          <wp:inline distT="0" distB="0" distL="0" distR="0" wp14:anchorId="64616E97" wp14:editId="1396C0B9">
            <wp:extent cx="3601720" cy="1399540"/>
            <wp:effectExtent l="0" t="0" r="0" b="0"/>
            <wp:docPr id="1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1720" cy="1399540"/>
                    </a:xfrm>
                    <a:prstGeom prst="rect">
                      <a:avLst/>
                    </a:prstGeom>
                    <a:noFill/>
                    <a:ln>
                      <a:noFill/>
                    </a:ln>
                  </pic:spPr>
                </pic:pic>
              </a:graphicData>
            </a:graphic>
          </wp:inline>
        </w:drawing>
      </w:r>
    </w:p>
    <w:p w14:paraId="25D298BB" w14:textId="498A5CE2" w:rsidR="004B0883" w:rsidRDefault="0090540C">
      <w:pPr>
        <w:keepNext/>
        <w:keepLines/>
        <w:widowControl w:val="0"/>
        <w:snapToGrid w:val="0"/>
        <w:spacing w:beforeLines="50" w:before="120" w:line="360" w:lineRule="auto"/>
        <w:jc w:val="both"/>
        <w:outlineLvl w:val="2"/>
        <w:rPr>
          <w:rFonts w:eastAsia="黑体"/>
          <w:b/>
          <w:bCs/>
          <w:sz w:val="24"/>
          <w:szCs w:val="28"/>
        </w:rPr>
      </w:pPr>
      <w:r>
        <w:rPr>
          <w:rFonts w:eastAsia="黑体"/>
          <w:b/>
          <w:bCs/>
          <w:noProof/>
          <w:sz w:val="24"/>
          <w:szCs w:val="28"/>
          <w:lang w:val="en-US" w:eastAsia="zh-CN"/>
        </w:rPr>
        <mc:AlternateContent>
          <mc:Choice Requires="wps">
            <w:drawing>
              <wp:anchor distT="4294967295" distB="4294967295" distL="114300" distR="114300" simplePos="0" relativeHeight="251650560" behindDoc="0" locked="0" layoutInCell="1" allowOverlap="1" wp14:anchorId="7A068E18" wp14:editId="04D3B9C5">
                <wp:simplePos x="0" y="0"/>
                <wp:positionH relativeFrom="column">
                  <wp:posOffset>7239000</wp:posOffset>
                </wp:positionH>
                <wp:positionV relativeFrom="paragraph">
                  <wp:posOffset>226694</wp:posOffset>
                </wp:positionV>
                <wp:extent cx="635" cy="0"/>
                <wp:effectExtent l="0" t="0" r="0" b="0"/>
                <wp:wrapNone/>
                <wp:docPr id="1172597825"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643AF21F" id="直接连接符 1" o:spid="_x0000_s1026" style="position:absolute;left:0;text-align:left;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0pt,17.85pt" to="570.0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"/>
            </w:pict>
          </mc:Fallback>
        </mc:AlternateContent>
      </w:r>
      <w:r w:rsidR="004B0883">
        <w:rPr>
          <w:rFonts w:eastAsia="黑体" w:hint="eastAsia"/>
          <w:b/>
          <w:bCs/>
          <w:sz w:val="24"/>
          <w:szCs w:val="28"/>
        </w:rPr>
        <w:t>（三）公司主要经营模式</w:t>
      </w:r>
    </w:p>
    <w:p w14:paraId="1B3A148E" w14:textId="77777777" w:rsidR="004B0883" w:rsidRDefault="004B0883">
      <w:pPr>
        <w:keepNext/>
        <w:keepLines/>
        <w:widowControl w:val="0"/>
        <w:spacing w:beforeLines="50" w:before="120" w:after="120" w:line="360" w:lineRule="auto"/>
        <w:ind w:firstLineChars="200" w:firstLine="482"/>
        <w:jc w:val="both"/>
        <w:outlineLvl w:val="3"/>
        <w:rPr>
          <w:b/>
          <w:bCs/>
          <w:sz w:val="24"/>
          <w:szCs w:val="28"/>
          <w:lang w:val="zh-CN"/>
        </w:rPr>
      </w:pPr>
      <w:r>
        <w:rPr>
          <w:b/>
          <w:bCs/>
          <w:sz w:val="24"/>
          <w:szCs w:val="28"/>
          <w:lang w:val="zh-CN"/>
        </w:rPr>
        <w:t>1</w:t>
      </w:r>
      <w:r>
        <w:rPr>
          <w:b/>
          <w:bCs/>
          <w:sz w:val="24"/>
          <w:szCs w:val="28"/>
          <w:lang w:val="zh-CN"/>
        </w:rPr>
        <w:t>、公司的采购模式</w:t>
      </w:r>
    </w:p>
    <w:p w14:paraId="1E333E2A" w14:textId="77777777" w:rsidR="004B0883" w:rsidRDefault="004B0883">
      <w:pPr>
        <w:widowControl w:val="0"/>
        <w:spacing w:beforeLines="50" w:before="120" w:after="120" w:line="360" w:lineRule="auto"/>
        <w:ind w:firstLineChars="200" w:firstLine="480"/>
        <w:jc w:val="both"/>
        <w:rPr>
          <w:rFonts w:hint="eastAsia"/>
          <w:sz w:val="24"/>
          <w:szCs w:val="22"/>
          <w:lang w:val="zh-CN"/>
        </w:rPr>
      </w:pPr>
      <w:r>
        <w:rPr>
          <w:rFonts w:hint="eastAsia"/>
          <w:sz w:val="24"/>
          <w:szCs w:val="22"/>
          <w:lang w:val="zh-CN"/>
        </w:rPr>
        <w:t>公司制定了严格的《采购管理程序》《供应商产品质量考核办法》及《产品外协加工业务管理规范》等管理制度、流程。采购管理部负责编制采购计划并实施采购，工程技术部负责采购及外协用技术资料的发放、回收、控制，品质管理部负责外购、外协产品的进厂检验，仓储物流部负责外购产品检验合格后的入库、仓储、发运工作。</w:t>
      </w:r>
    </w:p>
    <w:p w14:paraId="2EE49C0A" w14:textId="77777777" w:rsidR="004B0883" w:rsidRDefault="004B0883">
      <w:pPr>
        <w:widowControl w:val="0"/>
        <w:spacing w:beforeLines="50" w:before="120" w:after="120" w:line="360" w:lineRule="auto"/>
        <w:ind w:firstLineChars="200" w:firstLine="480"/>
        <w:jc w:val="both"/>
        <w:rPr>
          <w:sz w:val="24"/>
          <w:szCs w:val="22"/>
          <w:lang w:val="zh-CN"/>
        </w:rPr>
      </w:pPr>
      <w:r>
        <w:rPr>
          <w:rFonts w:hint="eastAsia"/>
          <w:sz w:val="24"/>
          <w:szCs w:val="22"/>
          <w:lang w:val="zh-CN"/>
        </w:rPr>
        <w:t>公司阀门产品所用的主要铸铁铸件由全资子公司莱州伟隆供应，以铸造生产批量阀门铸件为主，同时辅以生产汽车、农机配件等铸件产品，大幅提升了铸件供应保障能力；公司建有先进的橡胶制品配件自动化生产硫化车间，保证了主要橡胶配件的质量和数量。对于其他各类辅助配件如铜件、不锈钢件和标准件等，公司与周边各类配件供应商建立了长期稳定的合作关系，建立了垂直供应及高效的配件供应体系，从而在产品采购供应质量和履约能力方面形成了独特的优势。</w:t>
      </w:r>
    </w:p>
    <w:p w14:paraId="1342E9C0" w14:textId="77777777" w:rsidR="004B0883" w:rsidRDefault="004B0883">
      <w:pPr>
        <w:keepNext/>
        <w:keepLines/>
        <w:widowControl w:val="0"/>
        <w:spacing w:beforeLines="50" w:before="120" w:after="120" w:line="360" w:lineRule="auto"/>
        <w:ind w:firstLineChars="200" w:firstLine="482"/>
        <w:jc w:val="both"/>
        <w:outlineLvl w:val="3"/>
        <w:rPr>
          <w:b/>
          <w:bCs/>
          <w:sz w:val="24"/>
          <w:szCs w:val="28"/>
          <w:lang w:val="zh-CN"/>
        </w:rPr>
      </w:pPr>
      <w:r>
        <w:rPr>
          <w:b/>
          <w:bCs/>
          <w:sz w:val="24"/>
          <w:szCs w:val="28"/>
          <w:lang w:val="zh-CN"/>
        </w:rPr>
        <w:t>2</w:t>
      </w:r>
      <w:r>
        <w:rPr>
          <w:b/>
          <w:bCs/>
          <w:sz w:val="24"/>
          <w:szCs w:val="28"/>
          <w:lang w:val="zh-CN"/>
        </w:rPr>
        <w:t>、公司的生产模式</w:t>
      </w:r>
    </w:p>
    <w:p w14:paraId="090E347C" w14:textId="77777777" w:rsidR="004B0883" w:rsidRDefault="004B0883">
      <w:pPr>
        <w:widowControl w:val="0"/>
        <w:spacing w:beforeLines="50" w:before="120" w:after="120" w:line="360" w:lineRule="auto"/>
        <w:ind w:firstLineChars="200" w:firstLine="480"/>
        <w:jc w:val="both"/>
        <w:rPr>
          <w:sz w:val="24"/>
          <w:szCs w:val="22"/>
          <w:lang w:val="zh-CN"/>
        </w:rPr>
      </w:pPr>
      <w:r>
        <w:rPr>
          <w:rFonts w:hint="eastAsia"/>
          <w:sz w:val="24"/>
          <w:szCs w:val="22"/>
          <w:lang w:val="zh-CN"/>
        </w:rPr>
        <w:t>公司阀门产品主要采取</w:t>
      </w:r>
      <w:r>
        <w:rPr>
          <w:rFonts w:ascii="宋体" w:hAnsi="宋体" w:hint="eastAsia"/>
          <w:sz w:val="24"/>
          <w:szCs w:val="22"/>
          <w:lang w:val="zh-CN"/>
        </w:rPr>
        <w:t>“</w:t>
      </w:r>
      <w:r>
        <w:rPr>
          <w:rFonts w:hint="eastAsia"/>
          <w:sz w:val="24"/>
          <w:szCs w:val="22"/>
          <w:lang w:val="zh-CN"/>
        </w:rPr>
        <w:t>以销定产</w:t>
      </w:r>
      <w:r>
        <w:rPr>
          <w:rFonts w:ascii="宋体" w:hAnsi="宋体" w:hint="eastAsia"/>
          <w:sz w:val="24"/>
          <w:szCs w:val="22"/>
          <w:lang w:val="zh-CN"/>
        </w:rPr>
        <w:t>”</w:t>
      </w:r>
      <w:r>
        <w:rPr>
          <w:rFonts w:hint="eastAsia"/>
          <w:sz w:val="24"/>
          <w:szCs w:val="22"/>
          <w:lang w:val="zh-CN"/>
        </w:rPr>
        <w:t>的生产制造模式。根据客户订单绝大多数是以单件、多品种、小批量为主的特点，对产品规格、标准的具体要求和采购意向制定采购计划和生产计划，其中对于非标准化产品和批量大、交货时间短的订单，由工程技术部和生产管理部根据订单图纸和技术参数进行技术、原材料等分析后向客户发出销售订单确认。对于部分简单的机加工工序，采取外协方合作加工方式解决，为加强对外协方的管理和产品质量控制，公司制定了《产品外协加工业务管理规范》，用于公司外协方的选择确认、定价、发货、验收、入库和结算等过程的管理。公司不断推进车间班组</w:t>
      </w:r>
      <w:r>
        <w:rPr>
          <w:rFonts w:hint="eastAsia"/>
          <w:sz w:val="24"/>
          <w:szCs w:val="22"/>
          <w:lang w:val="zh-CN"/>
        </w:rPr>
        <w:t>U</w:t>
      </w:r>
      <w:r>
        <w:rPr>
          <w:rFonts w:hint="eastAsia"/>
          <w:sz w:val="24"/>
          <w:szCs w:val="22"/>
          <w:lang w:val="zh-CN"/>
        </w:rPr>
        <w:t>型生产单元和柔性化装配单元，通过开发实施制造执行系统加快数据信息处理传递，加强各部门的协同能力，提高工作效率、降低生产成本，优化生产制造管理模式，强化过程管理和控制，提升精益化生产管理水平。</w:t>
      </w:r>
    </w:p>
    <w:p w14:paraId="01002256" w14:textId="77777777" w:rsidR="004B0883" w:rsidRDefault="004B0883">
      <w:pPr>
        <w:keepNext/>
        <w:keepLines/>
        <w:widowControl w:val="0"/>
        <w:spacing w:beforeLines="50" w:before="120" w:after="120" w:line="360" w:lineRule="auto"/>
        <w:ind w:firstLineChars="200" w:firstLine="482"/>
        <w:jc w:val="both"/>
        <w:outlineLvl w:val="3"/>
        <w:rPr>
          <w:b/>
          <w:bCs/>
          <w:sz w:val="24"/>
          <w:szCs w:val="28"/>
          <w:lang w:val="zh-CN"/>
        </w:rPr>
      </w:pPr>
      <w:r>
        <w:rPr>
          <w:b/>
          <w:bCs/>
          <w:sz w:val="24"/>
          <w:szCs w:val="28"/>
          <w:lang w:val="zh-CN"/>
        </w:rPr>
        <w:t>3</w:t>
      </w:r>
      <w:r>
        <w:rPr>
          <w:b/>
          <w:bCs/>
          <w:sz w:val="24"/>
          <w:szCs w:val="28"/>
          <w:lang w:val="zh-CN"/>
        </w:rPr>
        <w:t>、公司的销售模式</w:t>
      </w:r>
    </w:p>
    <w:p w14:paraId="7D31F3F0" w14:textId="77777777" w:rsidR="004B0883" w:rsidRDefault="004B0883">
      <w:pPr>
        <w:widowControl w:val="0"/>
        <w:spacing w:beforeLines="50" w:before="120" w:line="360" w:lineRule="auto"/>
        <w:ind w:firstLineChars="200" w:firstLine="480"/>
        <w:jc w:val="both"/>
        <w:rPr>
          <w:sz w:val="24"/>
          <w:szCs w:val="22"/>
        </w:rPr>
      </w:pPr>
      <w:bookmarkStart w:id="245" w:name="_Hlk136036975"/>
      <w:bookmarkStart w:id="246" w:name="_Hlk139740192"/>
      <w:bookmarkStart w:id="247" w:name="_Hlk136036828"/>
      <w:r>
        <w:rPr>
          <w:rFonts w:hint="eastAsia"/>
          <w:sz w:val="24"/>
          <w:szCs w:val="22"/>
        </w:rPr>
        <w:t>公司主要</w:t>
      </w:r>
      <w:r>
        <w:rPr>
          <w:sz w:val="24"/>
          <w:szCs w:val="22"/>
        </w:rPr>
        <w:t>采取</w:t>
      </w:r>
      <w:r>
        <w:rPr>
          <w:rFonts w:hint="eastAsia"/>
          <w:sz w:val="24"/>
          <w:szCs w:val="22"/>
        </w:rPr>
        <w:t>贴牌和自有品牌模式</w:t>
      </w:r>
      <w:r>
        <w:rPr>
          <w:sz w:val="24"/>
          <w:szCs w:val="22"/>
        </w:rPr>
        <w:t>相结合的业务模式</w:t>
      </w:r>
      <w:r>
        <w:rPr>
          <w:rFonts w:hint="eastAsia"/>
          <w:sz w:val="24"/>
          <w:szCs w:val="22"/>
        </w:rPr>
        <w:t>。在贴牌模式下，公司通过国内外知名阀门企业的质量考核成为其合格供应商后，以对方品牌或商标进行生产和销售，由对方负责对最终用户的技术方案解决和售后服务。该模式下，虽然公司不直接面向最终用户或工程承包商，但仍需要满足相应国家地区和最终用户的质量体系认证，并有严格的质量考核体系。</w:t>
      </w:r>
    </w:p>
    <w:bookmarkEnd w:id="247"/>
    <w:p w14:paraId="00682EF6"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在自有品牌模式下，公司在国内市场中，</w:t>
      </w:r>
      <w:r>
        <w:rPr>
          <w:sz w:val="24"/>
          <w:szCs w:val="22"/>
        </w:rPr>
        <w:t>根据国内</w:t>
      </w:r>
      <w:r>
        <w:rPr>
          <w:rFonts w:hint="eastAsia"/>
          <w:sz w:val="24"/>
          <w:szCs w:val="22"/>
        </w:rPr>
        <w:t>客户</w:t>
      </w:r>
      <w:r>
        <w:rPr>
          <w:sz w:val="24"/>
          <w:szCs w:val="22"/>
        </w:rPr>
        <w:t>对阀门产品的需求，不断优化自主品牌</w:t>
      </w:r>
      <w:r>
        <w:rPr>
          <w:rFonts w:ascii="宋体" w:hAnsi="宋体"/>
          <w:sz w:val="24"/>
          <w:szCs w:val="22"/>
        </w:rPr>
        <w:t>“</w:t>
      </w:r>
      <w:r>
        <w:rPr>
          <w:sz w:val="24"/>
          <w:szCs w:val="22"/>
        </w:rPr>
        <w:t>WEFLO</w:t>
      </w:r>
      <w:r>
        <w:rPr>
          <w:rFonts w:ascii="宋体" w:hAnsi="宋体"/>
          <w:sz w:val="24"/>
          <w:szCs w:val="22"/>
        </w:rPr>
        <w:t>”</w:t>
      </w:r>
      <w:r>
        <w:rPr>
          <w:sz w:val="24"/>
          <w:szCs w:val="22"/>
        </w:rPr>
        <w:t>的产品结构，完善产品销售激励政策，努力调动销售人员的积极性，积极参与重点工程项目的招投标工作，取得了较好的销售业绩，提高了公司产品在国内的市场占有率和品牌影响力，</w:t>
      </w:r>
      <w:r>
        <w:rPr>
          <w:rFonts w:hint="eastAsia"/>
          <w:sz w:val="24"/>
          <w:szCs w:val="22"/>
        </w:rPr>
        <w:t>目前公司已成为国内重要阀门供应商之一。在国外市场中</w:t>
      </w:r>
      <w:bookmarkStart w:id="248" w:name="_Hlk136037286"/>
      <w:bookmarkEnd w:id="245"/>
      <w:r>
        <w:rPr>
          <w:rFonts w:hint="eastAsia"/>
          <w:sz w:val="24"/>
          <w:szCs w:val="22"/>
        </w:rPr>
        <w:t>，公司利用</w:t>
      </w:r>
      <w:r>
        <w:rPr>
          <w:sz w:val="24"/>
          <w:szCs w:val="22"/>
        </w:rPr>
        <w:t>北美和欧洲</w:t>
      </w:r>
      <w:r>
        <w:rPr>
          <w:rFonts w:hint="eastAsia"/>
          <w:sz w:val="24"/>
          <w:szCs w:val="22"/>
        </w:rPr>
        <w:t>等</w:t>
      </w:r>
      <w:r>
        <w:rPr>
          <w:sz w:val="24"/>
          <w:szCs w:val="22"/>
        </w:rPr>
        <w:t>市场客户基础，充分发挥英国、美国</w:t>
      </w:r>
      <w:r>
        <w:rPr>
          <w:rFonts w:hint="eastAsia"/>
          <w:sz w:val="24"/>
          <w:szCs w:val="22"/>
        </w:rPr>
        <w:t>、香港</w:t>
      </w:r>
      <w:r>
        <w:rPr>
          <w:sz w:val="24"/>
          <w:szCs w:val="22"/>
        </w:rPr>
        <w:t>子公司的国际销售平台和销售团队能力，推进自主品牌</w:t>
      </w:r>
      <w:r>
        <w:rPr>
          <w:rFonts w:ascii="宋体" w:hAnsi="宋体"/>
          <w:sz w:val="24"/>
          <w:szCs w:val="22"/>
        </w:rPr>
        <w:t>“</w:t>
      </w:r>
      <w:r>
        <w:rPr>
          <w:sz w:val="24"/>
          <w:szCs w:val="22"/>
        </w:rPr>
        <w:t>WEFLO</w:t>
      </w:r>
      <w:r>
        <w:rPr>
          <w:rFonts w:ascii="宋体" w:hAnsi="宋体"/>
          <w:sz w:val="24"/>
          <w:szCs w:val="22"/>
        </w:rPr>
        <w:t>”</w:t>
      </w:r>
      <w:r>
        <w:rPr>
          <w:sz w:val="24"/>
          <w:szCs w:val="22"/>
        </w:rPr>
        <w:t>的市场开拓</w:t>
      </w:r>
      <w:r>
        <w:rPr>
          <w:rFonts w:hint="eastAsia"/>
          <w:sz w:val="24"/>
          <w:szCs w:val="22"/>
        </w:rPr>
        <w:t>。目前公司</w:t>
      </w:r>
      <w:r>
        <w:rPr>
          <w:sz w:val="24"/>
          <w:szCs w:val="22"/>
        </w:rPr>
        <w:t>已跻身于国际市场阀门产品的知名供应商企业行列之中。</w:t>
      </w:r>
    </w:p>
    <w:bookmarkEnd w:id="246"/>
    <w:bookmarkEnd w:id="248"/>
    <w:p w14:paraId="37DE3A41" w14:textId="77777777" w:rsidR="004B0883" w:rsidRDefault="004B0883">
      <w:pPr>
        <w:keepNext/>
        <w:keepLines/>
        <w:widowControl w:val="0"/>
        <w:snapToGrid w:val="0"/>
        <w:spacing w:beforeLines="50" w:before="120" w:line="360" w:lineRule="auto"/>
        <w:jc w:val="both"/>
        <w:outlineLvl w:val="2"/>
        <w:rPr>
          <w:rFonts w:eastAsia="黑体"/>
          <w:b/>
          <w:bCs/>
          <w:sz w:val="24"/>
          <w:szCs w:val="28"/>
        </w:rPr>
      </w:pPr>
      <w:r>
        <w:rPr>
          <w:rFonts w:eastAsia="黑体" w:hint="eastAsia"/>
          <w:b/>
          <w:bCs/>
          <w:sz w:val="24"/>
          <w:szCs w:val="28"/>
        </w:rPr>
        <w:t>（四）公司报告期主要产品的生产销售情况</w:t>
      </w:r>
    </w:p>
    <w:p w14:paraId="636DB3DE" w14:textId="77777777" w:rsidR="004B0883" w:rsidRDefault="004B0883">
      <w:pPr>
        <w:keepNext/>
        <w:keepLines/>
        <w:widowControl w:val="0"/>
        <w:spacing w:beforeLines="50" w:before="120" w:after="120" w:line="360" w:lineRule="auto"/>
        <w:ind w:firstLineChars="200" w:firstLine="482"/>
        <w:jc w:val="both"/>
        <w:outlineLvl w:val="3"/>
        <w:rPr>
          <w:b/>
          <w:bCs/>
          <w:sz w:val="24"/>
          <w:szCs w:val="28"/>
          <w:lang w:val="zh-CN"/>
        </w:rPr>
      </w:pPr>
      <w:r>
        <w:rPr>
          <w:b/>
          <w:bCs/>
          <w:sz w:val="24"/>
          <w:szCs w:val="28"/>
          <w:lang w:val="zh-CN"/>
        </w:rPr>
        <w:t>1</w:t>
      </w:r>
      <w:r>
        <w:rPr>
          <w:b/>
          <w:bCs/>
          <w:sz w:val="24"/>
          <w:szCs w:val="28"/>
          <w:lang w:val="zh-CN"/>
        </w:rPr>
        <w:t>、报告期</w:t>
      </w:r>
      <w:r>
        <w:rPr>
          <w:rFonts w:hint="eastAsia"/>
          <w:b/>
          <w:bCs/>
          <w:sz w:val="24"/>
          <w:szCs w:val="28"/>
          <w:lang w:val="zh-CN"/>
        </w:rPr>
        <w:t>公司</w:t>
      </w:r>
      <w:r>
        <w:rPr>
          <w:b/>
          <w:bCs/>
          <w:sz w:val="24"/>
          <w:szCs w:val="28"/>
          <w:lang w:val="zh-CN"/>
        </w:rPr>
        <w:t>产品的产销情况</w:t>
      </w:r>
    </w:p>
    <w:p w14:paraId="029A353A" w14:textId="77777777" w:rsidR="004B0883" w:rsidRDefault="004B0883">
      <w:pPr>
        <w:widowControl w:val="0"/>
        <w:spacing w:beforeLines="50" w:before="120" w:after="120" w:line="360" w:lineRule="auto"/>
        <w:ind w:firstLineChars="200" w:firstLine="480"/>
        <w:rPr>
          <w:sz w:val="24"/>
          <w:szCs w:val="22"/>
          <w:lang w:val="zh-CN" w:bidi="en-US"/>
        </w:rPr>
      </w:pPr>
      <w:bookmarkStart w:id="249" w:name="_Hlk140225991"/>
      <w:r>
        <w:rPr>
          <w:rFonts w:hint="eastAsia"/>
          <w:sz w:val="24"/>
          <w:szCs w:val="22"/>
          <w:lang w:val="zh-CN" w:bidi="en-US"/>
        </w:rPr>
        <w:t>报告期内，公司产品的产能、产量、销量、产能利用率和产销率总体呈现逐年增长趋势</w:t>
      </w:r>
      <w:bookmarkStart w:id="250" w:name="_Hlk123947290"/>
      <w:r>
        <w:rPr>
          <w:rFonts w:hint="eastAsia"/>
          <w:sz w:val="24"/>
          <w:szCs w:val="22"/>
          <w:lang w:val="zh-CN" w:bidi="en-US"/>
        </w:rPr>
        <w:t>，具体情况如下：</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92"/>
        <w:gridCol w:w="1596"/>
        <w:gridCol w:w="1597"/>
        <w:gridCol w:w="1597"/>
        <w:gridCol w:w="1598"/>
      </w:tblGrid>
      <w:tr w:rsidR="004B0883" w14:paraId="2CD11024" w14:textId="77777777">
        <w:trPr>
          <w:trHeight w:val="397"/>
          <w:jc w:val="center"/>
        </w:trPr>
        <w:tc>
          <w:tcPr>
            <w:tcW w:w="1950" w:type="dxa"/>
            <w:shd w:val="clear" w:color="auto" w:fill="D9D9D9"/>
            <w:vAlign w:val="center"/>
          </w:tcPr>
          <w:bookmarkEnd w:id="249"/>
          <w:p w14:paraId="70F8A2EC" w14:textId="77777777" w:rsidR="004B0883" w:rsidRDefault="004B0883">
            <w:pPr>
              <w:tabs>
                <w:tab w:val="right" w:leader="dot" w:pos="8295"/>
              </w:tabs>
              <w:contextualSpacing/>
              <w:jc w:val="center"/>
              <w:rPr>
                <w:lang w:val="zh-CN" w:bidi="en-US"/>
              </w:rPr>
            </w:pPr>
            <w:r>
              <w:rPr>
                <w:b/>
                <w:bCs/>
                <w:kern w:val="0"/>
                <w:lang w:bidi="ar"/>
              </w:rPr>
              <w:t>项目</w:t>
            </w:r>
          </w:p>
        </w:tc>
        <w:tc>
          <w:tcPr>
            <w:tcW w:w="1643" w:type="dxa"/>
            <w:shd w:val="clear" w:color="auto" w:fill="D9D9D9"/>
            <w:vAlign w:val="center"/>
          </w:tcPr>
          <w:p w14:paraId="0D8F2210" w14:textId="77777777" w:rsidR="004B0883" w:rsidRDefault="004B0883">
            <w:pPr>
              <w:tabs>
                <w:tab w:val="right" w:leader="dot" w:pos="8295"/>
              </w:tabs>
              <w:contextualSpacing/>
              <w:jc w:val="center"/>
              <w:rPr>
                <w:b/>
                <w:bCs/>
                <w:kern w:val="0"/>
                <w:lang w:bidi="ar"/>
              </w:rPr>
            </w:pPr>
            <w:r>
              <w:rPr>
                <w:rFonts w:hint="eastAsia"/>
                <w:b/>
                <w:bCs/>
                <w:kern w:val="0"/>
                <w:lang w:bidi="ar"/>
              </w:rPr>
              <w:t>2</w:t>
            </w:r>
            <w:r>
              <w:rPr>
                <w:b/>
                <w:bCs/>
                <w:kern w:val="0"/>
                <w:lang w:bidi="ar"/>
              </w:rPr>
              <w:t>023</w:t>
            </w:r>
            <w:r>
              <w:rPr>
                <w:b/>
                <w:bCs/>
                <w:kern w:val="0"/>
                <w:lang w:bidi="ar"/>
              </w:rPr>
              <w:t>年</w:t>
            </w:r>
            <w:r>
              <w:rPr>
                <w:rFonts w:hint="eastAsia"/>
                <w:b/>
                <w:bCs/>
                <w:kern w:val="0"/>
                <w:lang w:bidi="ar"/>
              </w:rPr>
              <w:t>1-</w:t>
            </w:r>
            <w:r>
              <w:rPr>
                <w:b/>
                <w:bCs/>
                <w:kern w:val="0"/>
                <w:lang w:bidi="ar"/>
              </w:rPr>
              <w:t>9</w:t>
            </w:r>
            <w:r>
              <w:rPr>
                <w:rFonts w:hint="eastAsia"/>
                <w:b/>
                <w:bCs/>
                <w:kern w:val="0"/>
                <w:lang w:bidi="ar"/>
              </w:rPr>
              <w:t>月</w:t>
            </w:r>
          </w:p>
        </w:tc>
        <w:tc>
          <w:tcPr>
            <w:tcW w:w="1644" w:type="dxa"/>
            <w:shd w:val="clear" w:color="auto" w:fill="D9D9D9"/>
            <w:vAlign w:val="center"/>
          </w:tcPr>
          <w:p w14:paraId="471A80A0" w14:textId="77777777" w:rsidR="004B0883" w:rsidRDefault="004B0883">
            <w:pPr>
              <w:tabs>
                <w:tab w:val="right" w:leader="dot" w:pos="8295"/>
              </w:tabs>
              <w:contextualSpacing/>
              <w:jc w:val="center"/>
              <w:rPr>
                <w:lang w:val="zh-CN" w:bidi="en-US"/>
              </w:rPr>
            </w:pPr>
            <w:r>
              <w:rPr>
                <w:b/>
                <w:bCs/>
                <w:kern w:val="0"/>
                <w:lang w:bidi="ar"/>
              </w:rPr>
              <w:t>2022</w:t>
            </w:r>
            <w:r>
              <w:rPr>
                <w:b/>
                <w:bCs/>
                <w:kern w:val="0"/>
                <w:lang w:bidi="ar"/>
              </w:rPr>
              <w:t>年</w:t>
            </w:r>
          </w:p>
        </w:tc>
        <w:tc>
          <w:tcPr>
            <w:tcW w:w="1644" w:type="dxa"/>
            <w:shd w:val="clear" w:color="auto" w:fill="D9D9D9"/>
            <w:vAlign w:val="center"/>
          </w:tcPr>
          <w:p w14:paraId="5EC55888" w14:textId="77777777" w:rsidR="004B0883" w:rsidRDefault="004B0883">
            <w:pPr>
              <w:tabs>
                <w:tab w:val="right" w:leader="dot" w:pos="8295"/>
              </w:tabs>
              <w:contextualSpacing/>
              <w:jc w:val="center"/>
              <w:rPr>
                <w:lang w:val="zh-CN" w:bidi="en-US"/>
              </w:rPr>
            </w:pPr>
            <w:r>
              <w:rPr>
                <w:b/>
                <w:bCs/>
                <w:kern w:val="0"/>
                <w:lang w:bidi="ar"/>
              </w:rPr>
              <w:t>2021</w:t>
            </w:r>
            <w:r>
              <w:rPr>
                <w:b/>
                <w:bCs/>
                <w:kern w:val="0"/>
                <w:lang w:bidi="ar"/>
              </w:rPr>
              <w:t>年</w:t>
            </w:r>
          </w:p>
        </w:tc>
        <w:tc>
          <w:tcPr>
            <w:tcW w:w="1645" w:type="dxa"/>
            <w:shd w:val="clear" w:color="auto" w:fill="D9D9D9"/>
            <w:vAlign w:val="center"/>
          </w:tcPr>
          <w:p w14:paraId="53E25483" w14:textId="77777777" w:rsidR="004B0883" w:rsidRDefault="004B0883">
            <w:pPr>
              <w:tabs>
                <w:tab w:val="right" w:leader="dot" w:pos="8295"/>
              </w:tabs>
              <w:contextualSpacing/>
              <w:jc w:val="center"/>
              <w:rPr>
                <w:lang w:val="zh-CN" w:bidi="en-US"/>
              </w:rPr>
            </w:pPr>
            <w:r>
              <w:rPr>
                <w:b/>
                <w:bCs/>
                <w:kern w:val="0"/>
                <w:lang w:bidi="ar"/>
              </w:rPr>
              <w:t>2020</w:t>
            </w:r>
            <w:r>
              <w:rPr>
                <w:b/>
                <w:bCs/>
                <w:kern w:val="0"/>
                <w:lang w:bidi="ar"/>
              </w:rPr>
              <w:t>年</w:t>
            </w:r>
          </w:p>
        </w:tc>
      </w:tr>
      <w:tr w:rsidR="004B0883" w14:paraId="6EFEBC6E" w14:textId="77777777">
        <w:trPr>
          <w:trHeight w:val="397"/>
          <w:jc w:val="center"/>
        </w:trPr>
        <w:tc>
          <w:tcPr>
            <w:tcW w:w="1950" w:type="dxa"/>
            <w:vAlign w:val="center"/>
          </w:tcPr>
          <w:p w14:paraId="6B64F3CA" w14:textId="77777777" w:rsidR="004B0883" w:rsidRDefault="004B0883">
            <w:pPr>
              <w:tabs>
                <w:tab w:val="right" w:leader="dot" w:pos="8295"/>
              </w:tabs>
              <w:jc w:val="both"/>
              <w:rPr>
                <w:lang w:val="zh-CN" w:bidi="en-US"/>
              </w:rPr>
            </w:pPr>
            <w:r>
              <w:rPr>
                <w:rFonts w:hint="eastAsia"/>
                <w:lang w:val="zh-CN" w:bidi="en-US"/>
              </w:rPr>
              <w:t>产能（万套）</w:t>
            </w:r>
          </w:p>
        </w:tc>
        <w:tc>
          <w:tcPr>
            <w:tcW w:w="1643" w:type="dxa"/>
            <w:vAlign w:val="center"/>
          </w:tcPr>
          <w:p w14:paraId="1AE98DDD" w14:textId="77777777" w:rsidR="004B0883" w:rsidRDefault="004B0883">
            <w:pPr>
              <w:tabs>
                <w:tab w:val="right" w:leader="dot" w:pos="8295"/>
              </w:tabs>
              <w:jc w:val="right"/>
              <w:rPr>
                <w:rFonts w:eastAsia="等线"/>
                <w:color w:val="000000"/>
              </w:rPr>
            </w:pPr>
            <w:r>
              <w:rPr>
                <w:color w:val="000000"/>
              </w:rPr>
              <w:t>31.16</w:t>
            </w:r>
          </w:p>
        </w:tc>
        <w:tc>
          <w:tcPr>
            <w:tcW w:w="1644" w:type="dxa"/>
            <w:vAlign w:val="center"/>
          </w:tcPr>
          <w:p w14:paraId="0CF405F8" w14:textId="77777777" w:rsidR="004B0883" w:rsidRDefault="004B0883">
            <w:pPr>
              <w:tabs>
                <w:tab w:val="right" w:leader="dot" w:pos="8295"/>
              </w:tabs>
              <w:jc w:val="right"/>
              <w:rPr>
                <w:color w:val="000000"/>
                <w:lang w:val="zh-CN" w:bidi="en-US"/>
              </w:rPr>
            </w:pPr>
            <w:r>
              <w:rPr>
                <w:color w:val="000000"/>
              </w:rPr>
              <w:t>51.25</w:t>
            </w:r>
          </w:p>
        </w:tc>
        <w:tc>
          <w:tcPr>
            <w:tcW w:w="1644" w:type="dxa"/>
            <w:vAlign w:val="center"/>
          </w:tcPr>
          <w:p w14:paraId="0895B4CB" w14:textId="77777777" w:rsidR="004B0883" w:rsidRDefault="004B0883">
            <w:pPr>
              <w:tabs>
                <w:tab w:val="right" w:leader="dot" w:pos="8295"/>
              </w:tabs>
              <w:jc w:val="right"/>
              <w:rPr>
                <w:color w:val="000000"/>
                <w:lang w:val="zh-CN" w:bidi="en-US"/>
              </w:rPr>
            </w:pPr>
            <w:r>
              <w:rPr>
                <w:color w:val="000000"/>
              </w:rPr>
              <w:t>44.85</w:t>
            </w:r>
          </w:p>
        </w:tc>
        <w:tc>
          <w:tcPr>
            <w:tcW w:w="1645" w:type="dxa"/>
            <w:vAlign w:val="center"/>
          </w:tcPr>
          <w:p w14:paraId="72457DF9" w14:textId="77777777" w:rsidR="004B0883" w:rsidRDefault="004B0883">
            <w:pPr>
              <w:tabs>
                <w:tab w:val="right" w:leader="dot" w:pos="8295"/>
              </w:tabs>
              <w:jc w:val="right"/>
              <w:rPr>
                <w:color w:val="000000"/>
                <w:lang w:val="zh-CN" w:bidi="en-US"/>
              </w:rPr>
            </w:pPr>
            <w:r>
              <w:rPr>
                <w:color w:val="000000"/>
              </w:rPr>
              <w:t>46.88</w:t>
            </w:r>
          </w:p>
        </w:tc>
      </w:tr>
      <w:tr w:rsidR="004B0883" w14:paraId="6AFCF6B4" w14:textId="77777777">
        <w:trPr>
          <w:trHeight w:val="397"/>
          <w:jc w:val="center"/>
        </w:trPr>
        <w:tc>
          <w:tcPr>
            <w:tcW w:w="1950" w:type="dxa"/>
            <w:vAlign w:val="center"/>
          </w:tcPr>
          <w:p w14:paraId="3D8FB548" w14:textId="77777777" w:rsidR="004B0883" w:rsidRDefault="004B0883">
            <w:pPr>
              <w:tabs>
                <w:tab w:val="right" w:leader="dot" w:pos="8295"/>
              </w:tabs>
              <w:jc w:val="both"/>
              <w:rPr>
                <w:lang w:val="zh-CN" w:bidi="en-US"/>
              </w:rPr>
            </w:pPr>
            <w:r>
              <w:rPr>
                <w:rFonts w:hint="eastAsia"/>
                <w:lang w:val="zh-CN" w:bidi="en-US"/>
              </w:rPr>
              <w:t>产量（万套）</w:t>
            </w:r>
          </w:p>
        </w:tc>
        <w:tc>
          <w:tcPr>
            <w:tcW w:w="1643" w:type="dxa"/>
            <w:vAlign w:val="center"/>
          </w:tcPr>
          <w:p w14:paraId="4D2A6598" w14:textId="77777777" w:rsidR="004B0883" w:rsidRDefault="004B0883">
            <w:pPr>
              <w:tabs>
                <w:tab w:val="right" w:leader="dot" w:pos="8295"/>
              </w:tabs>
              <w:jc w:val="right"/>
              <w:rPr>
                <w:rFonts w:cs="楷体"/>
                <w:color w:val="000000"/>
                <w:kern w:val="0"/>
                <w:lang w:bidi="ar"/>
              </w:rPr>
            </w:pPr>
            <w:r>
              <w:rPr>
                <w:color w:val="000000"/>
              </w:rPr>
              <w:t>29.48</w:t>
            </w:r>
          </w:p>
        </w:tc>
        <w:tc>
          <w:tcPr>
            <w:tcW w:w="1644" w:type="dxa"/>
            <w:vAlign w:val="center"/>
          </w:tcPr>
          <w:p w14:paraId="6E885B45" w14:textId="77777777" w:rsidR="004B0883" w:rsidRDefault="004B0883">
            <w:pPr>
              <w:tabs>
                <w:tab w:val="right" w:leader="dot" w:pos="8295"/>
              </w:tabs>
              <w:jc w:val="right"/>
              <w:rPr>
                <w:color w:val="000000"/>
                <w:lang w:val="zh-CN" w:bidi="en-US"/>
              </w:rPr>
            </w:pPr>
            <w:r>
              <w:rPr>
                <w:color w:val="000000"/>
              </w:rPr>
              <w:t>50.11</w:t>
            </w:r>
          </w:p>
        </w:tc>
        <w:tc>
          <w:tcPr>
            <w:tcW w:w="1644" w:type="dxa"/>
            <w:vAlign w:val="center"/>
          </w:tcPr>
          <w:p w14:paraId="00226B38" w14:textId="77777777" w:rsidR="004B0883" w:rsidRDefault="004B0883">
            <w:pPr>
              <w:tabs>
                <w:tab w:val="right" w:leader="dot" w:pos="8295"/>
              </w:tabs>
              <w:jc w:val="right"/>
              <w:rPr>
                <w:color w:val="000000"/>
                <w:lang w:val="zh-CN" w:bidi="en-US"/>
              </w:rPr>
            </w:pPr>
            <w:r>
              <w:rPr>
                <w:color w:val="000000"/>
              </w:rPr>
              <w:t>42.72</w:t>
            </w:r>
          </w:p>
        </w:tc>
        <w:tc>
          <w:tcPr>
            <w:tcW w:w="1645" w:type="dxa"/>
            <w:vAlign w:val="center"/>
          </w:tcPr>
          <w:p w14:paraId="4377EE47" w14:textId="77777777" w:rsidR="004B0883" w:rsidRDefault="004B0883">
            <w:pPr>
              <w:tabs>
                <w:tab w:val="right" w:leader="dot" w:pos="8295"/>
              </w:tabs>
              <w:jc w:val="right"/>
              <w:rPr>
                <w:color w:val="000000"/>
                <w:lang w:val="zh-CN" w:bidi="en-US"/>
              </w:rPr>
            </w:pPr>
            <w:r>
              <w:rPr>
                <w:color w:val="000000"/>
              </w:rPr>
              <w:t>44.16</w:t>
            </w:r>
          </w:p>
        </w:tc>
      </w:tr>
      <w:tr w:rsidR="004B0883" w14:paraId="594A3ECE" w14:textId="77777777">
        <w:trPr>
          <w:trHeight w:val="397"/>
          <w:jc w:val="center"/>
        </w:trPr>
        <w:tc>
          <w:tcPr>
            <w:tcW w:w="1950" w:type="dxa"/>
            <w:vAlign w:val="center"/>
          </w:tcPr>
          <w:p w14:paraId="0591489C" w14:textId="77777777" w:rsidR="004B0883" w:rsidRDefault="004B0883">
            <w:pPr>
              <w:tabs>
                <w:tab w:val="right" w:leader="dot" w:pos="8295"/>
              </w:tabs>
              <w:jc w:val="both"/>
              <w:rPr>
                <w:lang w:val="zh-CN" w:bidi="en-US"/>
              </w:rPr>
            </w:pPr>
            <w:r>
              <w:rPr>
                <w:rFonts w:hint="eastAsia"/>
                <w:lang w:val="zh-CN" w:bidi="en-US"/>
              </w:rPr>
              <w:t>产能利用率</w:t>
            </w:r>
          </w:p>
        </w:tc>
        <w:tc>
          <w:tcPr>
            <w:tcW w:w="1643" w:type="dxa"/>
            <w:vAlign w:val="center"/>
          </w:tcPr>
          <w:p w14:paraId="319B4DD5" w14:textId="77777777" w:rsidR="004B0883" w:rsidRDefault="004B0883">
            <w:pPr>
              <w:tabs>
                <w:tab w:val="right" w:leader="dot" w:pos="8295"/>
              </w:tabs>
              <w:jc w:val="right"/>
              <w:rPr>
                <w:rFonts w:cs="楷体"/>
                <w:color w:val="000000"/>
                <w:kern w:val="0"/>
                <w:szCs w:val="24"/>
                <w:lang w:bidi="ar"/>
              </w:rPr>
            </w:pPr>
            <w:r>
              <w:rPr>
                <w:color w:val="000000"/>
              </w:rPr>
              <w:t>94.61%</w:t>
            </w:r>
          </w:p>
        </w:tc>
        <w:tc>
          <w:tcPr>
            <w:tcW w:w="1644" w:type="dxa"/>
            <w:vAlign w:val="center"/>
          </w:tcPr>
          <w:p w14:paraId="2E05B0F5" w14:textId="77777777" w:rsidR="004B0883" w:rsidRDefault="004B0883">
            <w:pPr>
              <w:tabs>
                <w:tab w:val="right" w:leader="dot" w:pos="8295"/>
              </w:tabs>
              <w:jc w:val="right"/>
              <w:rPr>
                <w:color w:val="000000"/>
                <w:lang w:val="zh-CN" w:bidi="en-US"/>
              </w:rPr>
            </w:pPr>
            <w:r>
              <w:rPr>
                <w:color w:val="000000"/>
                <w:szCs w:val="24"/>
              </w:rPr>
              <w:t>97.77%</w:t>
            </w:r>
          </w:p>
        </w:tc>
        <w:tc>
          <w:tcPr>
            <w:tcW w:w="1644" w:type="dxa"/>
            <w:vAlign w:val="center"/>
          </w:tcPr>
          <w:p w14:paraId="2B6272E8" w14:textId="77777777" w:rsidR="004B0883" w:rsidRDefault="004B0883">
            <w:pPr>
              <w:tabs>
                <w:tab w:val="right" w:leader="dot" w:pos="8295"/>
              </w:tabs>
              <w:jc w:val="right"/>
              <w:rPr>
                <w:color w:val="000000"/>
                <w:lang w:val="zh-CN" w:bidi="en-US"/>
              </w:rPr>
            </w:pPr>
            <w:r>
              <w:rPr>
                <w:color w:val="000000"/>
                <w:szCs w:val="24"/>
              </w:rPr>
              <w:t>95.24%</w:t>
            </w:r>
          </w:p>
        </w:tc>
        <w:tc>
          <w:tcPr>
            <w:tcW w:w="1645" w:type="dxa"/>
            <w:vAlign w:val="center"/>
          </w:tcPr>
          <w:p w14:paraId="7ADF0831" w14:textId="77777777" w:rsidR="004B0883" w:rsidRDefault="004B0883">
            <w:pPr>
              <w:tabs>
                <w:tab w:val="right" w:leader="dot" w:pos="8295"/>
              </w:tabs>
              <w:jc w:val="right"/>
              <w:rPr>
                <w:color w:val="000000"/>
                <w:lang w:val="zh-CN" w:bidi="en-US"/>
              </w:rPr>
            </w:pPr>
            <w:r>
              <w:rPr>
                <w:color w:val="000000"/>
                <w:szCs w:val="24"/>
              </w:rPr>
              <w:t>94.20%</w:t>
            </w:r>
          </w:p>
        </w:tc>
      </w:tr>
      <w:tr w:rsidR="004B0883" w14:paraId="5BB358C7" w14:textId="77777777">
        <w:trPr>
          <w:trHeight w:val="397"/>
          <w:jc w:val="center"/>
        </w:trPr>
        <w:tc>
          <w:tcPr>
            <w:tcW w:w="1950" w:type="dxa"/>
            <w:vAlign w:val="center"/>
          </w:tcPr>
          <w:p w14:paraId="10583A2F" w14:textId="77777777" w:rsidR="004B0883" w:rsidRDefault="004B0883">
            <w:pPr>
              <w:tabs>
                <w:tab w:val="right" w:leader="dot" w:pos="8295"/>
              </w:tabs>
              <w:jc w:val="both"/>
              <w:rPr>
                <w:lang w:val="zh-CN" w:bidi="en-US"/>
              </w:rPr>
            </w:pPr>
            <w:r>
              <w:rPr>
                <w:rFonts w:hint="eastAsia"/>
                <w:lang w:val="zh-CN" w:bidi="en-US"/>
              </w:rPr>
              <w:t>销量（万套）</w:t>
            </w:r>
          </w:p>
        </w:tc>
        <w:tc>
          <w:tcPr>
            <w:tcW w:w="1643" w:type="dxa"/>
            <w:vAlign w:val="center"/>
          </w:tcPr>
          <w:p w14:paraId="23BCCC48" w14:textId="77777777" w:rsidR="004B0883" w:rsidRDefault="004B0883">
            <w:pPr>
              <w:tabs>
                <w:tab w:val="right" w:leader="dot" w:pos="8295"/>
              </w:tabs>
              <w:jc w:val="right"/>
              <w:rPr>
                <w:rFonts w:hint="eastAsia"/>
                <w:color w:val="000000"/>
                <w:kern w:val="0"/>
                <w:lang w:bidi="ar"/>
              </w:rPr>
            </w:pPr>
            <w:r>
              <w:rPr>
                <w:color w:val="000000"/>
              </w:rPr>
              <w:t>33.28</w:t>
            </w:r>
          </w:p>
        </w:tc>
        <w:tc>
          <w:tcPr>
            <w:tcW w:w="1644" w:type="dxa"/>
            <w:vAlign w:val="center"/>
          </w:tcPr>
          <w:p w14:paraId="1CF5AA45" w14:textId="77777777" w:rsidR="004B0883" w:rsidRDefault="004B0883">
            <w:pPr>
              <w:tabs>
                <w:tab w:val="right" w:leader="dot" w:pos="8295"/>
              </w:tabs>
              <w:jc w:val="right"/>
              <w:rPr>
                <w:color w:val="000000"/>
                <w:lang w:val="zh-CN" w:bidi="en-US"/>
              </w:rPr>
            </w:pPr>
            <w:r>
              <w:rPr>
                <w:color w:val="000000"/>
              </w:rPr>
              <w:t>51.60</w:t>
            </w:r>
          </w:p>
        </w:tc>
        <w:tc>
          <w:tcPr>
            <w:tcW w:w="1644" w:type="dxa"/>
            <w:vAlign w:val="center"/>
          </w:tcPr>
          <w:p w14:paraId="1791D0D1" w14:textId="77777777" w:rsidR="004B0883" w:rsidRDefault="004B0883">
            <w:pPr>
              <w:tabs>
                <w:tab w:val="right" w:leader="dot" w:pos="8295"/>
              </w:tabs>
              <w:jc w:val="right"/>
              <w:rPr>
                <w:color w:val="000000"/>
                <w:lang w:val="zh-CN" w:bidi="en-US"/>
              </w:rPr>
            </w:pPr>
            <w:r>
              <w:rPr>
                <w:color w:val="000000"/>
              </w:rPr>
              <w:t>42.89</w:t>
            </w:r>
          </w:p>
        </w:tc>
        <w:tc>
          <w:tcPr>
            <w:tcW w:w="1645" w:type="dxa"/>
            <w:vAlign w:val="center"/>
          </w:tcPr>
          <w:p w14:paraId="50049ACC" w14:textId="77777777" w:rsidR="004B0883" w:rsidRDefault="004B0883">
            <w:pPr>
              <w:tabs>
                <w:tab w:val="right" w:leader="dot" w:pos="8295"/>
              </w:tabs>
              <w:jc w:val="right"/>
              <w:rPr>
                <w:color w:val="000000"/>
                <w:lang w:val="zh-CN" w:bidi="en-US"/>
              </w:rPr>
            </w:pPr>
            <w:r>
              <w:rPr>
                <w:color w:val="000000"/>
              </w:rPr>
              <w:t>42.69</w:t>
            </w:r>
          </w:p>
        </w:tc>
      </w:tr>
      <w:tr w:rsidR="004B0883" w14:paraId="2353DA52" w14:textId="77777777">
        <w:trPr>
          <w:trHeight w:val="397"/>
          <w:jc w:val="center"/>
        </w:trPr>
        <w:tc>
          <w:tcPr>
            <w:tcW w:w="1950" w:type="dxa"/>
            <w:vAlign w:val="center"/>
          </w:tcPr>
          <w:p w14:paraId="0A61ADE0" w14:textId="77777777" w:rsidR="004B0883" w:rsidRDefault="004B0883">
            <w:pPr>
              <w:tabs>
                <w:tab w:val="right" w:leader="dot" w:pos="8295"/>
              </w:tabs>
              <w:jc w:val="both"/>
              <w:rPr>
                <w:lang w:val="zh-CN" w:bidi="en-US"/>
              </w:rPr>
            </w:pPr>
            <w:r>
              <w:rPr>
                <w:rFonts w:hint="eastAsia"/>
                <w:lang w:val="zh-CN" w:bidi="en-US"/>
              </w:rPr>
              <w:t>产销率</w:t>
            </w:r>
          </w:p>
        </w:tc>
        <w:tc>
          <w:tcPr>
            <w:tcW w:w="1643" w:type="dxa"/>
            <w:vAlign w:val="center"/>
          </w:tcPr>
          <w:p w14:paraId="60582D36" w14:textId="77777777" w:rsidR="004B0883" w:rsidRDefault="004B0883">
            <w:pPr>
              <w:tabs>
                <w:tab w:val="right" w:leader="dot" w:pos="8295"/>
              </w:tabs>
              <w:jc w:val="right"/>
              <w:rPr>
                <w:color w:val="000000"/>
                <w:kern w:val="0"/>
                <w:lang w:bidi="ar"/>
              </w:rPr>
            </w:pPr>
            <w:r>
              <w:rPr>
                <w:color w:val="000000"/>
              </w:rPr>
              <w:t>112.87%</w:t>
            </w:r>
          </w:p>
        </w:tc>
        <w:tc>
          <w:tcPr>
            <w:tcW w:w="1644" w:type="dxa"/>
            <w:vAlign w:val="center"/>
          </w:tcPr>
          <w:p w14:paraId="31CB4B5B" w14:textId="77777777" w:rsidR="004B0883" w:rsidRDefault="004B0883">
            <w:pPr>
              <w:tabs>
                <w:tab w:val="right" w:leader="dot" w:pos="8295"/>
              </w:tabs>
              <w:jc w:val="right"/>
              <w:rPr>
                <w:color w:val="000000"/>
                <w:lang w:val="zh-CN" w:bidi="en-US"/>
              </w:rPr>
            </w:pPr>
            <w:r>
              <w:rPr>
                <w:color w:val="000000"/>
              </w:rPr>
              <w:t>102.96%</w:t>
            </w:r>
          </w:p>
        </w:tc>
        <w:tc>
          <w:tcPr>
            <w:tcW w:w="1644" w:type="dxa"/>
            <w:vAlign w:val="center"/>
          </w:tcPr>
          <w:p w14:paraId="5F16BA9F" w14:textId="77777777" w:rsidR="004B0883" w:rsidRDefault="004B0883">
            <w:pPr>
              <w:tabs>
                <w:tab w:val="right" w:leader="dot" w:pos="8295"/>
              </w:tabs>
              <w:jc w:val="right"/>
              <w:rPr>
                <w:color w:val="000000"/>
                <w:lang w:val="zh-CN" w:bidi="en-US"/>
              </w:rPr>
            </w:pPr>
            <w:r>
              <w:rPr>
                <w:color w:val="000000"/>
              </w:rPr>
              <w:t>100.39%</w:t>
            </w:r>
          </w:p>
        </w:tc>
        <w:tc>
          <w:tcPr>
            <w:tcW w:w="1645" w:type="dxa"/>
            <w:vAlign w:val="center"/>
          </w:tcPr>
          <w:p w14:paraId="06025A6E" w14:textId="77777777" w:rsidR="004B0883" w:rsidRDefault="004B0883">
            <w:pPr>
              <w:tabs>
                <w:tab w:val="right" w:leader="dot" w:pos="8295"/>
              </w:tabs>
              <w:jc w:val="right"/>
              <w:rPr>
                <w:color w:val="000000"/>
                <w:lang w:val="zh-CN" w:bidi="en-US"/>
              </w:rPr>
            </w:pPr>
            <w:r>
              <w:rPr>
                <w:color w:val="000000"/>
              </w:rPr>
              <w:t>96.68%</w:t>
            </w:r>
          </w:p>
        </w:tc>
      </w:tr>
    </w:tbl>
    <w:p w14:paraId="62EB43A5"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报告期各期，公司营业收入构成情况如下：</w:t>
      </w:r>
    </w:p>
    <w:p w14:paraId="768EF232" w14:textId="77777777" w:rsidR="004B0883" w:rsidRDefault="004B0883">
      <w:pPr>
        <w:keepNext/>
        <w:jc w:val="right"/>
        <w:rPr>
          <w:szCs w:val="22"/>
        </w:rPr>
      </w:pPr>
      <w:r>
        <w:rPr>
          <w:rFonts w:hint="eastAsia"/>
          <w:szCs w:val="22"/>
        </w:rPr>
        <w:t>单位：万元</w:t>
      </w:r>
    </w:p>
    <w:tbl>
      <w:tblPr>
        <w:tblW w:w="6000" w:type="pct"/>
        <w:jc w:val="center"/>
        <w:tblInd w:w="0" w:type="dxa"/>
        <w:tblBorders>
          <w:top w:val="single" w:sz="12" w:space="0" w:color="010000"/>
          <w:left w:val="single" w:sz="12" w:space="0" w:color="010000"/>
          <w:bottom w:val="single" w:sz="12" w:space="0" w:color="010000"/>
          <w:right w:val="single" w:sz="12" w:space="0" w:color="010000"/>
          <w:insideH w:val="single" w:sz="4" w:space="0" w:color="010000"/>
          <w:insideV w:val="single" w:sz="4" w:space="0" w:color="010000"/>
        </w:tblBorders>
        <w:tblLook w:val="0000" w:firstRow="0" w:lastRow="0" w:firstColumn="0" w:lastColumn="0" w:noHBand="0" w:noVBand="0"/>
      </w:tblPr>
      <w:tblGrid>
        <w:gridCol w:w="1120"/>
        <w:gridCol w:w="1101"/>
        <w:gridCol w:w="1103"/>
        <w:gridCol w:w="1101"/>
        <w:gridCol w:w="1103"/>
        <w:gridCol w:w="1101"/>
        <w:gridCol w:w="1103"/>
        <w:gridCol w:w="1101"/>
        <w:gridCol w:w="1103"/>
      </w:tblGrid>
      <w:tr w:rsidR="004B0883" w14:paraId="581C7C4E" w14:textId="77777777">
        <w:trPr>
          <w:cantSplit/>
          <w:trHeight w:val="397"/>
          <w:tblHeader/>
          <w:jc w:val="center"/>
        </w:trPr>
        <w:tc>
          <w:tcPr>
            <w:tcW w:w="563" w:type="pct"/>
            <w:vMerge w:val="restart"/>
            <w:tcBorders>
              <w:top w:val="single" w:sz="12" w:space="0" w:color="010000"/>
              <w:bottom w:val="single" w:sz="4" w:space="0" w:color="010000"/>
            </w:tcBorders>
            <w:shd w:val="clear" w:color="auto" w:fill="D9D9D9"/>
            <w:vAlign w:val="center"/>
          </w:tcPr>
          <w:p w14:paraId="64EE5F86" w14:textId="77777777" w:rsidR="004B0883" w:rsidRDefault="004B0883">
            <w:pPr>
              <w:jc w:val="center"/>
              <w:rPr>
                <w:b/>
                <w:color w:val="000000"/>
              </w:rPr>
            </w:pPr>
            <w:r>
              <w:rPr>
                <w:rFonts w:hint="eastAsia"/>
                <w:b/>
                <w:color w:val="000000"/>
              </w:rPr>
              <w:t>项目</w:t>
            </w:r>
          </w:p>
        </w:tc>
        <w:tc>
          <w:tcPr>
            <w:tcW w:w="1109" w:type="pct"/>
            <w:gridSpan w:val="2"/>
            <w:tcBorders>
              <w:top w:val="single" w:sz="12" w:space="0" w:color="010000"/>
              <w:bottom w:val="single" w:sz="4" w:space="0" w:color="010000"/>
            </w:tcBorders>
            <w:shd w:val="clear" w:color="auto" w:fill="D9D9D9"/>
            <w:vAlign w:val="center"/>
          </w:tcPr>
          <w:p w14:paraId="27D37F28" w14:textId="77777777" w:rsidR="004B0883" w:rsidRDefault="004B0883">
            <w:pPr>
              <w:jc w:val="center"/>
              <w:rPr>
                <w:b/>
                <w:color w:val="000000"/>
              </w:rPr>
            </w:pPr>
            <w:r>
              <w:rPr>
                <w:b/>
                <w:color w:val="000000"/>
              </w:rPr>
              <w:t>2023</w:t>
            </w:r>
            <w:r>
              <w:rPr>
                <w:rFonts w:hint="eastAsia"/>
                <w:b/>
                <w:color w:val="000000"/>
              </w:rPr>
              <w:t>年</w:t>
            </w:r>
            <w:r>
              <w:rPr>
                <w:b/>
                <w:color w:val="000000"/>
              </w:rPr>
              <w:t>1-9</w:t>
            </w:r>
            <w:r>
              <w:rPr>
                <w:rFonts w:hint="eastAsia"/>
                <w:b/>
                <w:color w:val="000000"/>
              </w:rPr>
              <w:t>月</w:t>
            </w:r>
          </w:p>
        </w:tc>
        <w:tc>
          <w:tcPr>
            <w:tcW w:w="1109" w:type="pct"/>
            <w:gridSpan w:val="2"/>
            <w:tcBorders>
              <w:top w:val="single" w:sz="12" w:space="0" w:color="010000"/>
              <w:bottom w:val="single" w:sz="4" w:space="0" w:color="010000"/>
            </w:tcBorders>
            <w:shd w:val="clear" w:color="auto" w:fill="D9D9D9"/>
            <w:vAlign w:val="center"/>
          </w:tcPr>
          <w:p w14:paraId="77C1F573" w14:textId="77777777" w:rsidR="004B0883" w:rsidRDefault="004B0883">
            <w:pPr>
              <w:jc w:val="center"/>
              <w:rPr>
                <w:b/>
                <w:color w:val="000000"/>
              </w:rPr>
            </w:pPr>
            <w:r>
              <w:rPr>
                <w:b/>
                <w:color w:val="000000"/>
              </w:rPr>
              <w:t>2022</w:t>
            </w:r>
            <w:r>
              <w:rPr>
                <w:rFonts w:hint="eastAsia"/>
                <w:b/>
                <w:color w:val="000000"/>
              </w:rPr>
              <w:t>年度</w:t>
            </w:r>
          </w:p>
        </w:tc>
        <w:tc>
          <w:tcPr>
            <w:tcW w:w="1109" w:type="pct"/>
            <w:gridSpan w:val="2"/>
            <w:tcBorders>
              <w:top w:val="single" w:sz="12" w:space="0" w:color="010000"/>
              <w:bottom w:val="single" w:sz="4" w:space="0" w:color="010000"/>
            </w:tcBorders>
            <w:shd w:val="clear" w:color="auto" w:fill="D9D9D9"/>
            <w:vAlign w:val="center"/>
          </w:tcPr>
          <w:p w14:paraId="66F22766" w14:textId="77777777" w:rsidR="004B0883" w:rsidRDefault="004B0883">
            <w:pPr>
              <w:jc w:val="center"/>
              <w:rPr>
                <w:b/>
                <w:color w:val="000000"/>
              </w:rPr>
            </w:pPr>
            <w:r>
              <w:rPr>
                <w:b/>
                <w:color w:val="000000"/>
              </w:rPr>
              <w:t>2021</w:t>
            </w:r>
            <w:r>
              <w:rPr>
                <w:rFonts w:hint="eastAsia"/>
                <w:b/>
                <w:color w:val="000000"/>
              </w:rPr>
              <w:t>年度</w:t>
            </w:r>
          </w:p>
        </w:tc>
        <w:tc>
          <w:tcPr>
            <w:tcW w:w="1109" w:type="pct"/>
            <w:gridSpan w:val="2"/>
            <w:tcBorders>
              <w:top w:val="single" w:sz="12" w:space="0" w:color="010000"/>
              <w:bottom w:val="single" w:sz="4" w:space="0" w:color="010000"/>
            </w:tcBorders>
            <w:shd w:val="clear" w:color="auto" w:fill="D9D9D9"/>
            <w:vAlign w:val="center"/>
          </w:tcPr>
          <w:p w14:paraId="72DE602C" w14:textId="77777777" w:rsidR="004B0883" w:rsidRDefault="004B0883">
            <w:pPr>
              <w:jc w:val="center"/>
              <w:rPr>
                <w:b/>
                <w:color w:val="000000"/>
              </w:rPr>
            </w:pPr>
            <w:r>
              <w:rPr>
                <w:b/>
                <w:color w:val="000000"/>
              </w:rPr>
              <w:t>2020</w:t>
            </w:r>
            <w:r>
              <w:rPr>
                <w:rFonts w:hint="eastAsia"/>
                <w:b/>
                <w:color w:val="000000"/>
              </w:rPr>
              <w:t>年度</w:t>
            </w:r>
          </w:p>
        </w:tc>
      </w:tr>
      <w:tr w:rsidR="004B0883" w14:paraId="66A5DED0" w14:textId="77777777">
        <w:trPr>
          <w:cantSplit/>
          <w:trHeight w:val="397"/>
          <w:tblHeader/>
          <w:jc w:val="center"/>
        </w:trPr>
        <w:tc>
          <w:tcPr>
            <w:tcW w:w="563" w:type="pct"/>
            <w:vMerge/>
            <w:tcBorders>
              <w:top w:val="single" w:sz="4" w:space="0" w:color="010000"/>
              <w:bottom w:val="single" w:sz="4" w:space="0" w:color="010000"/>
            </w:tcBorders>
            <w:shd w:val="clear" w:color="auto" w:fill="D9D9D9"/>
            <w:vAlign w:val="center"/>
          </w:tcPr>
          <w:p w14:paraId="57D9B425" w14:textId="77777777" w:rsidR="004B0883" w:rsidRDefault="004B0883">
            <w:pPr>
              <w:jc w:val="center"/>
              <w:rPr>
                <w:b/>
                <w:color w:val="000000"/>
              </w:rPr>
            </w:pPr>
          </w:p>
        </w:tc>
        <w:tc>
          <w:tcPr>
            <w:tcW w:w="554" w:type="pct"/>
            <w:tcBorders>
              <w:top w:val="single" w:sz="4" w:space="0" w:color="010000"/>
              <w:bottom w:val="single" w:sz="4" w:space="0" w:color="010000"/>
            </w:tcBorders>
            <w:shd w:val="clear" w:color="auto" w:fill="D9D9D9"/>
            <w:vAlign w:val="center"/>
          </w:tcPr>
          <w:p w14:paraId="55E0DA4A" w14:textId="77777777" w:rsidR="004B0883" w:rsidRDefault="004B0883">
            <w:pPr>
              <w:jc w:val="center"/>
              <w:rPr>
                <w:b/>
                <w:color w:val="000000"/>
              </w:rPr>
            </w:pPr>
            <w:r>
              <w:rPr>
                <w:rFonts w:hint="eastAsia"/>
                <w:b/>
                <w:color w:val="000000"/>
              </w:rPr>
              <w:t>金额</w:t>
            </w:r>
          </w:p>
        </w:tc>
        <w:tc>
          <w:tcPr>
            <w:tcW w:w="555" w:type="pct"/>
            <w:tcBorders>
              <w:top w:val="single" w:sz="4" w:space="0" w:color="010000"/>
              <w:bottom w:val="single" w:sz="4" w:space="0" w:color="010000"/>
            </w:tcBorders>
            <w:shd w:val="clear" w:color="auto" w:fill="D9D9D9"/>
            <w:vAlign w:val="center"/>
          </w:tcPr>
          <w:p w14:paraId="2E232379" w14:textId="77777777" w:rsidR="004B0883" w:rsidRDefault="004B0883">
            <w:pPr>
              <w:jc w:val="center"/>
              <w:rPr>
                <w:b/>
                <w:color w:val="000000"/>
              </w:rPr>
            </w:pPr>
            <w:r>
              <w:rPr>
                <w:rFonts w:hint="eastAsia"/>
                <w:b/>
                <w:color w:val="000000"/>
              </w:rPr>
              <w:t>占比</w:t>
            </w:r>
          </w:p>
        </w:tc>
        <w:tc>
          <w:tcPr>
            <w:tcW w:w="554" w:type="pct"/>
            <w:tcBorders>
              <w:top w:val="single" w:sz="4" w:space="0" w:color="010000"/>
              <w:bottom w:val="single" w:sz="4" w:space="0" w:color="010000"/>
            </w:tcBorders>
            <w:shd w:val="clear" w:color="auto" w:fill="D9D9D9"/>
            <w:vAlign w:val="center"/>
          </w:tcPr>
          <w:p w14:paraId="1514A397" w14:textId="77777777" w:rsidR="004B0883" w:rsidRDefault="004B0883">
            <w:pPr>
              <w:jc w:val="center"/>
              <w:rPr>
                <w:b/>
                <w:color w:val="000000"/>
              </w:rPr>
            </w:pPr>
            <w:r>
              <w:rPr>
                <w:rFonts w:hint="eastAsia"/>
                <w:b/>
                <w:color w:val="000000"/>
              </w:rPr>
              <w:t>金额</w:t>
            </w:r>
          </w:p>
        </w:tc>
        <w:tc>
          <w:tcPr>
            <w:tcW w:w="555" w:type="pct"/>
            <w:tcBorders>
              <w:top w:val="single" w:sz="4" w:space="0" w:color="010000"/>
              <w:bottom w:val="single" w:sz="4" w:space="0" w:color="010000"/>
            </w:tcBorders>
            <w:shd w:val="clear" w:color="auto" w:fill="D9D9D9"/>
            <w:vAlign w:val="center"/>
          </w:tcPr>
          <w:p w14:paraId="53D48809" w14:textId="77777777" w:rsidR="004B0883" w:rsidRDefault="004B0883">
            <w:pPr>
              <w:jc w:val="center"/>
              <w:rPr>
                <w:b/>
                <w:color w:val="000000"/>
              </w:rPr>
            </w:pPr>
            <w:r>
              <w:rPr>
                <w:rFonts w:hint="eastAsia"/>
                <w:b/>
                <w:color w:val="000000"/>
              </w:rPr>
              <w:t>占比</w:t>
            </w:r>
          </w:p>
        </w:tc>
        <w:tc>
          <w:tcPr>
            <w:tcW w:w="554" w:type="pct"/>
            <w:tcBorders>
              <w:top w:val="single" w:sz="4" w:space="0" w:color="010000"/>
              <w:bottom w:val="single" w:sz="4" w:space="0" w:color="010000"/>
            </w:tcBorders>
            <w:shd w:val="clear" w:color="auto" w:fill="D9D9D9"/>
            <w:vAlign w:val="center"/>
          </w:tcPr>
          <w:p w14:paraId="1B73933E" w14:textId="77777777" w:rsidR="004B0883" w:rsidRDefault="004B0883">
            <w:pPr>
              <w:jc w:val="center"/>
              <w:rPr>
                <w:b/>
                <w:color w:val="000000"/>
              </w:rPr>
            </w:pPr>
            <w:r>
              <w:rPr>
                <w:rFonts w:hint="eastAsia"/>
                <w:b/>
                <w:color w:val="000000"/>
              </w:rPr>
              <w:t>金额</w:t>
            </w:r>
          </w:p>
        </w:tc>
        <w:tc>
          <w:tcPr>
            <w:tcW w:w="555" w:type="pct"/>
            <w:tcBorders>
              <w:top w:val="single" w:sz="4" w:space="0" w:color="010000"/>
              <w:bottom w:val="single" w:sz="4" w:space="0" w:color="010000"/>
            </w:tcBorders>
            <w:shd w:val="clear" w:color="auto" w:fill="D9D9D9"/>
            <w:vAlign w:val="center"/>
          </w:tcPr>
          <w:p w14:paraId="3BE4806C" w14:textId="77777777" w:rsidR="004B0883" w:rsidRDefault="004B0883">
            <w:pPr>
              <w:jc w:val="center"/>
              <w:rPr>
                <w:b/>
                <w:color w:val="000000"/>
              </w:rPr>
            </w:pPr>
            <w:r>
              <w:rPr>
                <w:rFonts w:hint="eastAsia"/>
                <w:b/>
                <w:color w:val="000000"/>
              </w:rPr>
              <w:t>占比</w:t>
            </w:r>
          </w:p>
        </w:tc>
        <w:tc>
          <w:tcPr>
            <w:tcW w:w="554" w:type="pct"/>
            <w:tcBorders>
              <w:top w:val="single" w:sz="4" w:space="0" w:color="010000"/>
              <w:bottom w:val="single" w:sz="4" w:space="0" w:color="010000"/>
            </w:tcBorders>
            <w:shd w:val="clear" w:color="auto" w:fill="D9D9D9"/>
            <w:vAlign w:val="center"/>
          </w:tcPr>
          <w:p w14:paraId="481F9357" w14:textId="77777777" w:rsidR="004B0883" w:rsidRDefault="004B0883">
            <w:pPr>
              <w:jc w:val="center"/>
              <w:rPr>
                <w:b/>
                <w:color w:val="000000"/>
              </w:rPr>
            </w:pPr>
            <w:r>
              <w:rPr>
                <w:rFonts w:hint="eastAsia"/>
                <w:b/>
                <w:color w:val="000000"/>
              </w:rPr>
              <w:t>金额</w:t>
            </w:r>
          </w:p>
        </w:tc>
        <w:tc>
          <w:tcPr>
            <w:tcW w:w="555" w:type="pct"/>
            <w:tcBorders>
              <w:top w:val="single" w:sz="4" w:space="0" w:color="010000"/>
              <w:bottom w:val="single" w:sz="4" w:space="0" w:color="010000"/>
            </w:tcBorders>
            <w:shd w:val="clear" w:color="auto" w:fill="D9D9D9"/>
            <w:vAlign w:val="center"/>
          </w:tcPr>
          <w:p w14:paraId="7E643DDA" w14:textId="77777777" w:rsidR="004B0883" w:rsidRDefault="004B0883">
            <w:pPr>
              <w:jc w:val="center"/>
              <w:rPr>
                <w:b/>
                <w:color w:val="000000"/>
              </w:rPr>
            </w:pPr>
            <w:r>
              <w:rPr>
                <w:rFonts w:hint="eastAsia"/>
                <w:b/>
                <w:color w:val="000000"/>
              </w:rPr>
              <w:t>占比</w:t>
            </w:r>
          </w:p>
        </w:tc>
      </w:tr>
      <w:tr w:rsidR="004B0883" w14:paraId="64B3915E" w14:textId="77777777">
        <w:trPr>
          <w:cantSplit/>
          <w:trHeight w:val="397"/>
          <w:jc w:val="center"/>
        </w:trPr>
        <w:tc>
          <w:tcPr>
            <w:tcW w:w="563" w:type="pct"/>
            <w:tcBorders>
              <w:top w:val="single" w:sz="4" w:space="0" w:color="010000"/>
            </w:tcBorders>
            <w:vAlign w:val="center"/>
          </w:tcPr>
          <w:p w14:paraId="0461ACE7" w14:textId="77777777" w:rsidR="004B0883" w:rsidRDefault="004B0883">
            <w:pPr>
              <w:rPr>
                <w:color w:val="000000"/>
              </w:rPr>
            </w:pPr>
            <w:r>
              <w:rPr>
                <w:rFonts w:hint="eastAsia"/>
                <w:color w:val="000000"/>
              </w:rPr>
              <w:t>主营业务收入</w:t>
            </w:r>
          </w:p>
        </w:tc>
        <w:tc>
          <w:tcPr>
            <w:tcW w:w="554" w:type="pct"/>
            <w:tcBorders>
              <w:top w:val="single" w:sz="4" w:space="0" w:color="010000"/>
            </w:tcBorders>
            <w:vAlign w:val="center"/>
          </w:tcPr>
          <w:p w14:paraId="3232DD81" w14:textId="77777777" w:rsidR="004B0883" w:rsidRDefault="004B0883">
            <w:pPr>
              <w:jc w:val="right"/>
              <w:rPr>
                <w:rFonts w:eastAsia="等线"/>
                <w:color w:val="000000"/>
              </w:rPr>
            </w:pPr>
            <w:r>
              <w:rPr>
                <w:rFonts w:eastAsia="等线" w:hint="eastAsia"/>
                <w:color w:val="000000"/>
              </w:rPr>
              <w:t xml:space="preserve">39,681.76 </w:t>
            </w:r>
          </w:p>
        </w:tc>
        <w:tc>
          <w:tcPr>
            <w:tcW w:w="555" w:type="pct"/>
            <w:tcBorders>
              <w:top w:val="single" w:sz="4" w:space="0" w:color="010000"/>
            </w:tcBorders>
            <w:vAlign w:val="center"/>
          </w:tcPr>
          <w:p w14:paraId="6468718E" w14:textId="77777777" w:rsidR="004B0883" w:rsidRDefault="004B0883">
            <w:pPr>
              <w:jc w:val="right"/>
              <w:rPr>
                <w:rFonts w:cs="宋体"/>
                <w:color w:val="000000"/>
                <w:sz w:val="22"/>
                <w:szCs w:val="22"/>
              </w:rPr>
            </w:pPr>
            <w:r>
              <w:rPr>
                <w:rFonts w:hint="eastAsia"/>
                <w:color w:val="000000"/>
                <w:sz w:val="22"/>
                <w:szCs w:val="22"/>
              </w:rPr>
              <w:t>99.</w:t>
            </w:r>
            <w:r>
              <w:rPr>
                <w:color w:val="000000"/>
                <w:sz w:val="22"/>
                <w:szCs w:val="22"/>
              </w:rPr>
              <w:t>43</w:t>
            </w:r>
            <w:r>
              <w:rPr>
                <w:rFonts w:hint="eastAsia"/>
                <w:color w:val="000000"/>
                <w:sz w:val="22"/>
                <w:szCs w:val="22"/>
              </w:rPr>
              <w:t>%</w:t>
            </w:r>
          </w:p>
        </w:tc>
        <w:tc>
          <w:tcPr>
            <w:tcW w:w="554" w:type="pct"/>
            <w:tcBorders>
              <w:top w:val="single" w:sz="4" w:space="0" w:color="010000"/>
            </w:tcBorders>
            <w:vAlign w:val="center"/>
          </w:tcPr>
          <w:p w14:paraId="15D950AC" w14:textId="77777777" w:rsidR="004B0883" w:rsidRDefault="004B0883">
            <w:pPr>
              <w:jc w:val="right"/>
              <w:rPr>
                <w:color w:val="000000"/>
              </w:rPr>
            </w:pPr>
            <w:r>
              <w:rPr>
                <w:rFonts w:eastAsia="等线"/>
                <w:color w:val="000000"/>
              </w:rPr>
              <w:t>53,496.13</w:t>
            </w:r>
          </w:p>
        </w:tc>
        <w:tc>
          <w:tcPr>
            <w:tcW w:w="555" w:type="pct"/>
            <w:tcBorders>
              <w:top w:val="single" w:sz="4" w:space="0" w:color="010000"/>
            </w:tcBorders>
            <w:noWrap/>
            <w:vAlign w:val="center"/>
          </w:tcPr>
          <w:p w14:paraId="4CF8822B" w14:textId="77777777" w:rsidR="004B0883" w:rsidRDefault="004B0883">
            <w:pPr>
              <w:jc w:val="right"/>
              <w:rPr>
                <w:color w:val="000000"/>
                <w:szCs w:val="22"/>
              </w:rPr>
            </w:pPr>
            <w:r>
              <w:rPr>
                <w:rFonts w:eastAsia="等线"/>
                <w:color w:val="000000"/>
                <w:sz w:val="22"/>
                <w:szCs w:val="22"/>
              </w:rPr>
              <w:t>99.04%</w:t>
            </w:r>
          </w:p>
        </w:tc>
        <w:tc>
          <w:tcPr>
            <w:tcW w:w="554" w:type="pct"/>
            <w:tcBorders>
              <w:top w:val="single" w:sz="4" w:space="0" w:color="010000"/>
            </w:tcBorders>
            <w:vAlign w:val="center"/>
          </w:tcPr>
          <w:p w14:paraId="74A6817C" w14:textId="77777777" w:rsidR="004B0883" w:rsidRDefault="004B0883">
            <w:pPr>
              <w:jc w:val="right"/>
              <w:rPr>
                <w:color w:val="000000"/>
              </w:rPr>
            </w:pPr>
            <w:r>
              <w:rPr>
                <w:rFonts w:eastAsia="等线"/>
                <w:color w:val="000000"/>
              </w:rPr>
              <w:t>41,175.41</w:t>
            </w:r>
          </w:p>
        </w:tc>
        <w:tc>
          <w:tcPr>
            <w:tcW w:w="555" w:type="pct"/>
            <w:tcBorders>
              <w:top w:val="single" w:sz="4" w:space="0" w:color="010000"/>
            </w:tcBorders>
            <w:noWrap/>
            <w:vAlign w:val="center"/>
          </w:tcPr>
          <w:p w14:paraId="32C27865" w14:textId="77777777" w:rsidR="004B0883" w:rsidRDefault="004B0883">
            <w:pPr>
              <w:jc w:val="right"/>
              <w:rPr>
                <w:color w:val="000000"/>
                <w:szCs w:val="22"/>
              </w:rPr>
            </w:pPr>
            <w:r>
              <w:rPr>
                <w:rFonts w:eastAsia="等线"/>
                <w:color w:val="000000"/>
                <w:sz w:val="22"/>
                <w:szCs w:val="22"/>
              </w:rPr>
              <w:t>99.18%</w:t>
            </w:r>
          </w:p>
        </w:tc>
        <w:tc>
          <w:tcPr>
            <w:tcW w:w="554" w:type="pct"/>
            <w:tcBorders>
              <w:top w:val="single" w:sz="4" w:space="0" w:color="010000"/>
            </w:tcBorders>
            <w:vAlign w:val="center"/>
          </w:tcPr>
          <w:p w14:paraId="69918864" w14:textId="77777777" w:rsidR="004B0883" w:rsidRDefault="004B0883">
            <w:pPr>
              <w:jc w:val="right"/>
              <w:rPr>
                <w:color w:val="000000"/>
              </w:rPr>
            </w:pPr>
            <w:r>
              <w:rPr>
                <w:rFonts w:eastAsia="等线"/>
                <w:color w:val="000000"/>
              </w:rPr>
              <w:t>34,335.39</w:t>
            </w:r>
          </w:p>
        </w:tc>
        <w:tc>
          <w:tcPr>
            <w:tcW w:w="555" w:type="pct"/>
            <w:tcBorders>
              <w:top w:val="single" w:sz="4" w:space="0" w:color="010000"/>
            </w:tcBorders>
            <w:noWrap/>
            <w:vAlign w:val="center"/>
          </w:tcPr>
          <w:p w14:paraId="0F2A4C08" w14:textId="77777777" w:rsidR="004B0883" w:rsidRDefault="004B0883">
            <w:pPr>
              <w:jc w:val="right"/>
              <w:rPr>
                <w:color w:val="000000"/>
                <w:szCs w:val="22"/>
              </w:rPr>
            </w:pPr>
            <w:r>
              <w:rPr>
                <w:rFonts w:eastAsia="等线"/>
                <w:color w:val="000000"/>
                <w:sz w:val="22"/>
                <w:szCs w:val="22"/>
              </w:rPr>
              <w:t>99.64%</w:t>
            </w:r>
          </w:p>
        </w:tc>
      </w:tr>
      <w:tr w:rsidR="004B0883" w14:paraId="37E25334" w14:textId="77777777">
        <w:trPr>
          <w:cantSplit/>
          <w:trHeight w:val="397"/>
          <w:jc w:val="center"/>
        </w:trPr>
        <w:tc>
          <w:tcPr>
            <w:tcW w:w="563" w:type="pct"/>
            <w:vAlign w:val="center"/>
          </w:tcPr>
          <w:p w14:paraId="57DCA168" w14:textId="77777777" w:rsidR="004B0883" w:rsidRDefault="004B0883">
            <w:pPr>
              <w:rPr>
                <w:color w:val="000000"/>
              </w:rPr>
            </w:pPr>
            <w:r>
              <w:rPr>
                <w:rFonts w:hint="eastAsia"/>
                <w:color w:val="000000"/>
              </w:rPr>
              <w:t>其他业务收入</w:t>
            </w:r>
          </w:p>
        </w:tc>
        <w:tc>
          <w:tcPr>
            <w:tcW w:w="554" w:type="pct"/>
            <w:vAlign w:val="center"/>
          </w:tcPr>
          <w:p w14:paraId="4628FFF4" w14:textId="77777777" w:rsidR="004B0883" w:rsidRDefault="004B0883">
            <w:pPr>
              <w:jc w:val="right"/>
              <w:rPr>
                <w:rFonts w:eastAsia="等线"/>
                <w:color w:val="000000"/>
              </w:rPr>
            </w:pPr>
            <w:r>
              <w:rPr>
                <w:rFonts w:eastAsia="等线" w:hint="eastAsia"/>
                <w:color w:val="000000"/>
              </w:rPr>
              <w:t xml:space="preserve">227.95 </w:t>
            </w:r>
          </w:p>
        </w:tc>
        <w:tc>
          <w:tcPr>
            <w:tcW w:w="555" w:type="pct"/>
            <w:vAlign w:val="center"/>
          </w:tcPr>
          <w:p w14:paraId="2DF00012" w14:textId="77777777" w:rsidR="004B0883" w:rsidRDefault="004B0883">
            <w:pPr>
              <w:jc w:val="right"/>
              <w:rPr>
                <w:rFonts w:cs="宋体"/>
                <w:color w:val="000000"/>
                <w:sz w:val="22"/>
                <w:szCs w:val="22"/>
              </w:rPr>
            </w:pPr>
            <w:r>
              <w:rPr>
                <w:rFonts w:hint="eastAsia"/>
                <w:color w:val="000000"/>
                <w:sz w:val="22"/>
                <w:szCs w:val="22"/>
              </w:rPr>
              <w:t>0.</w:t>
            </w:r>
            <w:r>
              <w:rPr>
                <w:color w:val="000000"/>
                <w:sz w:val="22"/>
                <w:szCs w:val="22"/>
              </w:rPr>
              <w:t>57</w:t>
            </w:r>
            <w:r>
              <w:rPr>
                <w:rFonts w:hint="eastAsia"/>
                <w:color w:val="000000"/>
                <w:sz w:val="22"/>
                <w:szCs w:val="22"/>
              </w:rPr>
              <w:t>%</w:t>
            </w:r>
          </w:p>
        </w:tc>
        <w:tc>
          <w:tcPr>
            <w:tcW w:w="554" w:type="pct"/>
            <w:vAlign w:val="center"/>
          </w:tcPr>
          <w:p w14:paraId="6B3F7081" w14:textId="77777777" w:rsidR="004B0883" w:rsidRDefault="004B0883">
            <w:pPr>
              <w:jc w:val="right"/>
              <w:rPr>
                <w:color w:val="000000"/>
              </w:rPr>
            </w:pPr>
            <w:r>
              <w:rPr>
                <w:rFonts w:eastAsia="等线"/>
                <w:color w:val="000000"/>
              </w:rPr>
              <w:t>518.03</w:t>
            </w:r>
          </w:p>
        </w:tc>
        <w:tc>
          <w:tcPr>
            <w:tcW w:w="555" w:type="pct"/>
            <w:noWrap/>
            <w:vAlign w:val="center"/>
          </w:tcPr>
          <w:p w14:paraId="7BCBE704" w14:textId="77777777" w:rsidR="004B0883" w:rsidRDefault="004B0883">
            <w:pPr>
              <w:jc w:val="right"/>
              <w:rPr>
                <w:color w:val="000000"/>
                <w:szCs w:val="22"/>
              </w:rPr>
            </w:pPr>
            <w:r>
              <w:rPr>
                <w:rFonts w:eastAsia="等线"/>
                <w:color w:val="000000"/>
                <w:sz w:val="22"/>
                <w:szCs w:val="22"/>
              </w:rPr>
              <w:t>0.96%</w:t>
            </w:r>
          </w:p>
        </w:tc>
        <w:tc>
          <w:tcPr>
            <w:tcW w:w="554" w:type="pct"/>
            <w:vAlign w:val="center"/>
          </w:tcPr>
          <w:p w14:paraId="586A82DB" w14:textId="77777777" w:rsidR="004B0883" w:rsidRDefault="004B0883">
            <w:pPr>
              <w:jc w:val="right"/>
              <w:rPr>
                <w:color w:val="000000"/>
              </w:rPr>
            </w:pPr>
            <w:r>
              <w:rPr>
                <w:rFonts w:eastAsia="等线"/>
                <w:color w:val="000000"/>
              </w:rPr>
              <w:t>340.87</w:t>
            </w:r>
          </w:p>
        </w:tc>
        <w:tc>
          <w:tcPr>
            <w:tcW w:w="555" w:type="pct"/>
            <w:noWrap/>
            <w:vAlign w:val="center"/>
          </w:tcPr>
          <w:p w14:paraId="092AF5E3" w14:textId="77777777" w:rsidR="004B0883" w:rsidRDefault="004B0883">
            <w:pPr>
              <w:jc w:val="right"/>
              <w:rPr>
                <w:color w:val="000000"/>
                <w:szCs w:val="22"/>
              </w:rPr>
            </w:pPr>
            <w:r>
              <w:rPr>
                <w:rFonts w:eastAsia="等线"/>
                <w:color w:val="000000"/>
                <w:sz w:val="22"/>
                <w:szCs w:val="22"/>
              </w:rPr>
              <w:t>0.82%</w:t>
            </w:r>
          </w:p>
        </w:tc>
        <w:tc>
          <w:tcPr>
            <w:tcW w:w="554" w:type="pct"/>
            <w:vAlign w:val="center"/>
          </w:tcPr>
          <w:p w14:paraId="5027AF46" w14:textId="77777777" w:rsidR="004B0883" w:rsidRDefault="004B0883">
            <w:pPr>
              <w:jc w:val="right"/>
              <w:rPr>
                <w:color w:val="000000"/>
              </w:rPr>
            </w:pPr>
            <w:r>
              <w:rPr>
                <w:rFonts w:eastAsia="等线"/>
                <w:color w:val="000000"/>
              </w:rPr>
              <w:t>123.61</w:t>
            </w:r>
          </w:p>
        </w:tc>
        <w:tc>
          <w:tcPr>
            <w:tcW w:w="555" w:type="pct"/>
            <w:noWrap/>
            <w:vAlign w:val="center"/>
          </w:tcPr>
          <w:p w14:paraId="1D7BF7E8" w14:textId="77777777" w:rsidR="004B0883" w:rsidRDefault="004B0883">
            <w:pPr>
              <w:jc w:val="right"/>
              <w:rPr>
                <w:color w:val="000000"/>
                <w:szCs w:val="22"/>
              </w:rPr>
            </w:pPr>
            <w:r>
              <w:rPr>
                <w:rFonts w:eastAsia="等线"/>
                <w:color w:val="000000"/>
                <w:sz w:val="22"/>
                <w:szCs w:val="22"/>
              </w:rPr>
              <w:t>0.36%</w:t>
            </w:r>
          </w:p>
        </w:tc>
      </w:tr>
      <w:tr w:rsidR="004B0883" w14:paraId="1E9B5FCB" w14:textId="77777777">
        <w:trPr>
          <w:cantSplit/>
          <w:trHeight w:val="397"/>
          <w:jc w:val="center"/>
        </w:trPr>
        <w:tc>
          <w:tcPr>
            <w:tcW w:w="563" w:type="pct"/>
            <w:vAlign w:val="center"/>
          </w:tcPr>
          <w:p w14:paraId="009EB628" w14:textId="77777777" w:rsidR="004B0883" w:rsidRDefault="004B0883">
            <w:pPr>
              <w:jc w:val="center"/>
              <w:rPr>
                <w:b/>
                <w:color w:val="000000"/>
              </w:rPr>
            </w:pPr>
            <w:r>
              <w:rPr>
                <w:rFonts w:hint="eastAsia"/>
                <w:b/>
                <w:color w:val="000000"/>
              </w:rPr>
              <w:t>合计</w:t>
            </w:r>
          </w:p>
        </w:tc>
        <w:tc>
          <w:tcPr>
            <w:tcW w:w="554" w:type="pct"/>
            <w:vAlign w:val="center"/>
          </w:tcPr>
          <w:p w14:paraId="63BEBBD9" w14:textId="77777777" w:rsidR="004B0883" w:rsidRDefault="004B0883">
            <w:pPr>
              <w:jc w:val="right"/>
              <w:rPr>
                <w:rFonts w:eastAsia="等线"/>
                <w:b/>
                <w:bCs/>
                <w:color w:val="000000"/>
              </w:rPr>
            </w:pPr>
            <w:r>
              <w:rPr>
                <w:rFonts w:eastAsia="等线" w:hint="eastAsia"/>
                <w:b/>
                <w:bCs/>
                <w:color w:val="000000"/>
              </w:rPr>
              <w:t xml:space="preserve">39,909.71 </w:t>
            </w:r>
          </w:p>
        </w:tc>
        <w:tc>
          <w:tcPr>
            <w:tcW w:w="555" w:type="pct"/>
            <w:vAlign w:val="center"/>
          </w:tcPr>
          <w:p w14:paraId="27397131" w14:textId="77777777" w:rsidR="004B0883" w:rsidRDefault="004B0883">
            <w:pPr>
              <w:jc w:val="right"/>
              <w:rPr>
                <w:b/>
                <w:color w:val="000000"/>
              </w:rPr>
            </w:pPr>
            <w:r>
              <w:rPr>
                <w:b/>
                <w:color w:val="000000"/>
              </w:rPr>
              <w:t>100.00%</w:t>
            </w:r>
          </w:p>
        </w:tc>
        <w:tc>
          <w:tcPr>
            <w:tcW w:w="554" w:type="pct"/>
            <w:vAlign w:val="center"/>
          </w:tcPr>
          <w:p w14:paraId="61B81F51" w14:textId="77777777" w:rsidR="004B0883" w:rsidRDefault="004B0883">
            <w:pPr>
              <w:jc w:val="right"/>
              <w:rPr>
                <w:b/>
                <w:color w:val="000000"/>
              </w:rPr>
            </w:pPr>
            <w:r>
              <w:rPr>
                <w:rFonts w:eastAsia="等线"/>
                <w:b/>
                <w:bCs/>
                <w:color w:val="000000"/>
              </w:rPr>
              <w:t>54,014.16</w:t>
            </w:r>
          </w:p>
        </w:tc>
        <w:tc>
          <w:tcPr>
            <w:tcW w:w="555" w:type="pct"/>
            <w:vAlign w:val="center"/>
          </w:tcPr>
          <w:p w14:paraId="6F96614E" w14:textId="77777777" w:rsidR="004B0883" w:rsidRDefault="004B0883">
            <w:pPr>
              <w:jc w:val="right"/>
              <w:rPr>
                <w:b/>
                <w:color w:val="000000"/>
              </w:rPr>
            </w:pPr>
            <w:r>
              <w:rPr>
                <w:rFonts w:eastAsia="等线"/>
                <w:b/>
                <w:bCs/>
                <w:color w:val="000000"/>
              </w:rPr>
              <w:t>100.00%</w:t>
            </w:r>
          </w:p>
        </w:tc>
        <w:tc>
          <w:tcPr>
            <w:tcW w:w="554" w:type="pct"/>
            <w:vAlign w:val="center"/>
          </w:tcPr>
          <w:p w14:paraId="771FE957" w14:textId="77777777" w:rsidR="004B0883" w:rsidRDefault="004B0883">
            <w:pPr>
              <w:jc w:val="right"/>
              <w:rPr>
                <w:b/>
                <w:color w:val="000000"/>
              </w:rPr>
            </w:pPr>
            <w:r>
              <w:rPr>
                <w:rFonts w:eastAsia="等线"/>
                <w:b/>
                <w:bCs/>
                <w:color w:val="000000"/>
              </w:rPr>
              <w:t>41,516.27</w:t>
            </w:r>
          </w:p>
        </w:tc>
        <w:tc>
          <w:tcPr>
            <w:tcW w:w="555" w:type="pct"/>
            <w:vAlign w:val="center"/>
          </w:tcPr>
          <w:p w14:paraId="1E47A020" w14:textId="77777777" w:rsidR="004B0883" w:rsidRDefault="004B0883">
            <w:pPr>
              <w:jc w:val="right"/>
              <w:rPr>
                <w:b/>
                <w:color w:val="000000"/>
              </w:rPr>
            </w:pPr>
            <w:r>
              <w:rPr>
                <w:rFonts w:eastAsia="等线"/>
                <w:b/>
                <w:bCs/>
                <w:color w:val="000000"/>
              </w:rPr>
              <w:t>100.00%</w:t>
            </w:r>
          </w:p>
        </w:tc>
        <w:tc>
          <w:tcPr>
            <w:tcW w:w="554" w:type="pct"/>
            <w:vAlign w:val="center"/>
          </w:tcPr>
          <w:p w14:paraId="3CD6A64B" w14:textId="77777777" w:rsidR="004B0883" w:rsidRDefault="004B0883">
            <w:pPr>
              <w:jc w:val="right"/>
              <w:rPr>
                <w:b/>
                <w:color w:val="000000"/>
              </w:rPr>
            </w:pPr>
            <w:r>
              <w:rPr>
                <w:rFonts w:eastAsia="等线"/>
                <w:b/>
                <w:bCs/>
                <w:color w:val="000000"/>
              </w:rPr>
              <w:t>34,459.00</w:t>
            </w:r>
          </w:p>
        </w:tc>
        <w:tc>
          <w:tcPr>
            <w:tcW w:w="555" w:type="pct"/>
            <w:vAlign w:val="center"/>
          </w:tcPr>
          <w:p w14:paraId="11B66DB4" w14:textId="77777777" w:rsidR="004B0883" w:rsidRDefault="004B0883">
            <w:pPr>
              <w:jc w:val="right"/>
              <w:rPr>
                <w:b/>
                <w:color w:val="000000"/>
              </w:rPr>
            </w:pPr>
            <w:r>
              <w:rPr>
                <w:rFonts w:eastAsia="等线"/>
                <w:b/>
                <w:bCs/>
                <w:color w:val="000000"/>
              </w:rPr>
              <w:t>100.00%</w:t>
            </w:r>
          </w:p>
        </w:tc>
      </w:tr>
    </w:tbl>
    <w:p w14:paraId="49B6BA93"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报告期各期，</w:t>
      </w:r>
      <w:r>
        <w:rPr>
          <w:rFonts w:hint="eastAsia"/>
          <w:bCs/>
          <w:sz w:val="24"/>
          <w:szCs w:val="22"/>
        </w:rPr>
        <w:t>公司营业收入主要来源于主营业务收入，主营业务收入占公司营业收入的比重均超过</w:t>
      </w:r>
      <w:r>
        <w:rPr>
          <w:rFonts w:hint="eastAsia"/>
          <w:sz w:val="24"/>
          <w:szCs w:val="22"/>
        </w:rPr>
        <w:t>9</w:t>
      </w:r>
      <w:r>
        <w:rPr>
          <w:sz w:val="24"/>
          <w:szCs w:val="22"/>
        </w:rPr>
        <w:t>9</w:t>
      </w:r>
      <w:r>
        <w:rPr>
          <w:rFonts w:hint="eastAsia"/>
          <w:sz w:val="24"/>
          <w:szCs w:val="22"/>
        </w:rPr>
        <w:t>%</w:t>
      </w:r>
      <w:r>
        <w:rPr>
          <w:rFonts w:hint="eastAsia"/>
          <w:sz w:val="24"/>
          <w:szCs w:val="22"/>
        </w:rPr>
        <w:t>。</w:t>
      </w:r>
    </w:p>
    <w:p w14:paraId="02206C5A"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报告期内，公司分产品的主营业务收入构成情况如下：</w:t>
      </w:r>
    </w:p>
    <w:p w14:paraId="30E96F18" w14:textId="77777777" w:rsidR="004B0883" w:rsidRDefault="004B0883">
      <w:pPr>
        <w:keepNext/>
        <w:widowControl w:val="0"/>
        <w:jc w:val="right"/>
        <w:rPr>
          <w:szCs w:val="22"/>
        </w:rPr>
      </w:pPr>
      <w:r>
        <w:rPr>
          <w:rFonts w:hint="eastAsia"/>
          <w:szCs w:val="22"/>
        </w:rPr>
        <w:t>单位：万元</w:t>
      </w:r>
    </w:p>
    <w:tbl>
      <w:tblPr>
        <w:tblW w:w="6138" w:type="pct"/>
        <w:jc w:val="center"/>
        <w:tblInd w:w="0" w:type="dxa"/>
        <w:tblBorders>
          <w:top w:val="single" w:sz="12" w:space="0" w:color="010000"/>
          <w:left w:val="single" w:sz="12" w:space="0" w:color="010000"/>
          <w:bottom w:val="single" w:sz="12" w:space="0" w:color="010000"/>
          <w:right w:val="single" w:sz="12" w:space="0" w:color="010000"/>
          <w:insideH w:val="single" w:sz="4" w:space="0" w:color="010000"/>
          <w:insideV w:val="single" w:sz="4" w:space="0" w:color="010000"/>
        </w:tblBorders>
        <w:tblLayout w:type="fixed"/>
        <w:tblLook w:val="0000" w:firstRow="0" w:lastRow="0" w:firstColumn="0" w:lastColumn="0" w:noHBand="0" w:noVBand="0"/>
      </w:tblPr>
      <w:tblGrid>
        <w:gridCol w:w="1350"/>
        <w:gridCol w:w="1102"/>
        <w:gridCol w:w="1102"/>
        <w:gridCol w:w="1102"/>
        <w:gridCol w:w="1102"/>
        <w:gridCol w:w="1102"/>
        <w:gridCol w:w="1102"/>
        <w:gridCol w:w="1189"/>
        <w:gridCol w:w="1014"/>
      </w:tblGrid>
      <w:tr w:rsidR="004B0883" w14:paraId="6CF6B8C7" w14:textId="77777777">
        <w:trPr>
          <w:cantSplit/>
          <w:trHeight w:val="397"/>
          <w:tblHeader/>
          <w:jc w:val="center"/>
        </w:trPr>
        <w:tc>
          <w:tcPr>
            <w:tcW w:w="664" w:type="pct"/>
            <w:vMerge w:val="restart"/>
            <w:tcBorders>
              <w:top w:val="single" w:sz="12" w:space="0" w:color="010000"/>
              <w:bottom w:val="single" w:sz="4" w:space="0" w:color="010000"/>
            </w:tcBorders>
            <w:shd w:val="clear" w:color="auto" w:fill="D9D9D9"/>
            <w:vAlign w:val="center"/>
          </w:tcPr>
          <w:p w14:paraId="0657C09E" w14:textId="77777777" w:rsidR="004B0883" w:rsidRDefault="004B0883">
            <w:pPr>
              <w:jc w:val="center"/>
              <w:rPr>
                <w:b/>
                <w:color w:val="000000"/>
              </w:rPr>
            </w:pPr>
            <w:bookmarkStart w:id="251" w:name="_Hlk137543392"/>
            <w:r>
              <w:rPr>
                <w:rFonts w:hint="eastAsia"/>
                <w:b/>
                <w:color w:val="000000"/>
              </w:rPr>
              <w:t>产品名称</w:t>
            </w:r>
          </w:p>
        </w:tc>
        <w:tc>
          <w:tcPr>
            <w:tcW w:w="1083" w:type="pct"/>
            <w:gridSpan w:val="2"/>
            <w:tcBorders>
              <w:top w:val="single" w:sz="12" w:space="0" w:color="010000"/>
              <w:bottom w:val="single" w:sz="4" w:space="0" w:color="010000"/>
            </w:tcBorders>
            <w:shd w:val="clear" w:color="auto" w:fill="D9D9D9"/>
            <w:vAlign w:val="center"/>
          </w:tcPr>
          <w:p w14:paraId="6F853028" w14:textId="77777777" w:rsidR="004B0883" w:rsidRDefault="004B0883">
            <w:pPr>
              <w:jc w:val="center"/>
              <w:rPr>
                <w:b/>
                <w:color w:val="000000"/>
              </w:rPr>
            </w:pPr>
            <w:r>
              <w:rPr>
                <w:b/>
                <w:color w:val="000000"/>
              </w:rPr>
              <w:t>2023</w:t>
            </w:r>
            <w:r>
              <w:rPr>
                <w:rFonts w:hint="eastAsia"/>
                <w:b/>
                <w:color w:val="000000"/>
              </w:rPr>
              <w:t>年</w:t>
            </w:r>
            <w:r>
              <w:rPr>
                <w:b/>
                <w:color w:val="000000"/>
              </w:rPr>
              <w:t>1-9</w:t>
            </w:r>
            <w:r>
              <w:rPr>
                <w:rFonts w:hint="eastAsia"/>
                <w:b/>
                <w:color w:val="000000"/>
              </w:rPr>
              <w:t>月</w:t>
            </w:r>
          </w:p>
        </w:tc>
        <w:tc>
          <w:tcPr>
            <w:tcW w:w="1084" w:type="pct"/>
            <w:gridSpan w:val="2"/>
            <w:tcBorders>
              <w:top w:val="single" w:sz="12" w:space="0" w:color="010000"/>
              <w:bottom w:val="single" w:sz="4" w:space="0" w:color="010000"/>
            </w:tcBorders>
            <w:shd w:val="clear" w:color="auto" w:fill="D9D9D9"/>
            <w:vAlign w:val="center"/>
          </w:tcPr>
          <w:p w14:paraId="639568AA" w14:textId="77777777" w:rsidR="004B0883" w:rsidRDefault="004B0883">
            <w:pPr>
              <w:jc w:val="center"/>
              <w:rPr>
                <w:b/>
                <w:color w:val="000000"/>
              </w:rPr>
            </w:pPr>
            <w:r>
              <w:rPr>
                <w:b/>
                <w:color w:val="000000"/>
              </w:rPr>
              <w:t>2022</w:t>
            </w:r>
            <w:r>
              <w:rPr>
                <w:rFonts w:hint="eastAsia"/>
                <w:b/>
                <w:color w:val="000000"/>
              </w:rPr>
              <w:t>年度</w:t>
            </w:r>
          </w:p>
        </w:tc>
        <w:tc>
          <w:tcPr>
            <w:tcW w:w="1084" w:type="pct"/>
            <w:gridSpan w:val="2"/>
            <w:tcBorders>
              <w:top w:val="single" w:sz="12" w:space="0" w:color="010000"/>
              <w:bottom w:val="single" w:sz="4" w:space="0" w:color="010000"/>
            </w:tcBorders>
            <w:shd w:val="clear" w:color="auto" w:fill="D9D9D9"/>
            <w:vAlign w:val="center"/>
          </w:tcPr>
          <w:p w14:paraId="75DD1E97" w14:textId="77777777" w:rsidR="004B0883" w:rsidRDefault="004B0883">
            <w:pPr>
              <w:jc w:val="center"/>
              <w:rPr>
                <w:b/>
                <w:color w:val="000000"/>
              </w:rPr>
            </w:pPr>
            <w:r>
              <w:rPr>
                <w:b/>
                <w:color w:val="000000"/>
              </w:rPr>
              <w:t>2021</w:t>
            </w:r>
            <w:r>
              <w:rPr>
                <w:rFonts w:hint="eastAsia"/>
                <w:b/>
                <w:color w:val="000000"/>
              </w:rPr>
              <w:t>年度</w:t>
            </w:r>
          </w:p>
        </w:tc>
        <w:tc>
          <w:tcPr>
            <w:tcW w:w="1084" w:type="pct"/>
            <w:gridSpan w:val="2"/>
            <w:tcBorders>
              <w:top w:val="single" w:sz="12" w:space="0" w:color="010000"/>
              <w:bottom w:val="single" w:sz="4" w:space="0" w:color="010000"/>
            </w:tcBorders>
            <w:shd w:val="clear" w:color="auto" w:fill="D9D9D9"/>
            <w:vAlign w:val="center"/>
          </w:tcPr>
          <w:p w14:paraId="3EEB8915" w14:textId="77777777" w:rsidR="004B0883" w:rsidRDefault="004B0883">
            <w:pPr>
              <w:jc w:val="center"/>
              <w:rPr>
                <w:b/>
                <w:color w:val="000000"/>
              </w:rPr>
            </w:pPr>
            <w:r>
              <w:rPr>
                <w:b/>
                <w:color w:val="000000"/>
              </w:rPr>
              <w:t>2020</w:t>
            </w:r>
            <w:r>
              <w:rPr>
                <w:rFonts w:hint="eastAsia"/>
                <w:b/>
                <w:color w:val="000000"/>
              </w:rPr>
              <w:t>年度</w:t>
            </w:r>
          </w:p>
        </w:tc>
      </w:tr>
      <w:tr w:rsidR="004B0883" w14:paraId="070756B2" w14:textId="77777777">
        <w:trPr>
          <w:cantSplit/>
          <w:trHeight w:val="397"/>
          <w:tblHeader/>
          <w:jc w:val="center"/>
        </w:trPr>
        <w:tc>
          <w:tcPr>
            <w:tcW w:w="664" w:type="pct"/>
            <w:vMerge/>
            <w:tcBorders>
              <w:top w:val="single" w:sz="4" w:space="0" w:color="010000"/>
              <w:bottom w:val="single" w:sz="4" w:space="0" w:color="010000"/>
            </w:tcBorders>
            <w:shd w:val="clear" w:color="auto" w:fill="D9D9D9"/>
            <w:vAlign w:val="center"/>
          </w:tcPr>
          <w:p w14:paraId="501B9571" w14:textId="77777777" w:rsidR="004B0883" w:rsidRDefault="004B0883">
            <w:pPr>
              <w:jc w:val="center"/>
              <w:rPr>
                <w:b/>
                <w:color w:val="000000"/>
              </w:rPr>
            </w:pPr>
          </w:p>
        </w:tc>
        <w:tc>
          <w:tcPr>
            <w:tcW w:w="542" w:type="pct"/>
            <w:tcBorders>
              <w:top w:val="single" w:sz="4" w:space="0" w:color="010000"/>
              <w:bottom w:val="single" w:sz="4" w:space="0" w:color="010000"/>
            </w:tcBorders>
            <w:shd w:val="clear" w:color="auto" w:fill="D9D9D9"/>
            <w:vAlign w:val="center"/>
          </w:tcPr>
          <w:p w14:paraId="4D40E04C" w14:textId="77777777" w:rsidR="004B0883" w:rsidRDefault="004B0883">
            <w:pPr>
              <w:jc w:val="center"/>
              <w:rPr>
                <w:b/>
                <w:color w:val="000000"/>
              </w:rPr>
            </w:pPr>
            <w:r>
              <w:rPr>
                <w:rFonts w:hint="eastAsia"/>
                <w:b/>
                <w:color w:val="000000"/>
              </w:rPr>
              <w:t>金额</w:t>
            </w:r>
          </w:p>
        </w:tc>
        <w:tc>
          <w:tcPr>
            <w:tcW w:w="542" w:type="pct"/>
            <w:tcBorders>
              <w:top w:val="single" w:sz="4" w:space="0" w:color="010000"/>
              <w:bottom w:val="single" w:sz="4" w:space="0" w:color="010000"/>
            </w:tcBorders>
            <w:shd w:val="clear" w:color="auto" w:fill="D9D9D9"/>
            <w:vAlign w:val="center"/>
          </w:tcPr>
          <w:p w14:paraId="4CE9B20E" w14:textId="77777777" w:rsidR="004B0883" w:rsidRDefault="004B0883">
            <w:pPr>
              <w:jc w:val="center"/>
              <w:rPr>
                <w:rFonts w:hint="eastAsia"/>
                <w:b/>
                <w:color w:val="000000"/>
              </w:rPr>
            </w:pPr>
            <w:r>
              <w:rPr>
                <w:rFonts w:hint="eastAsia"/>
                <w:b/>
                <w:color w:val="000000"/>
              </w:rPr>
              <w:t>占比</w:t>
            </w:r>
          </w:p>
        </w:tc>
        <w:tc>
          <w:tcPr>
            <w:tcW w:w="542" w:type="pct"/>
            <w:tcBorders>
              <w:top w:val="single" w:sz="4" w:space="0" w:color="010000"/>
              <w:bottom w:val="single" w:sz="4" w:space="0" w:color="010000"/>
            </w:tcBorders>
            <w:shd w:val="clear" w:color="auto" w:fill="D9D9D9"/>
            <w:vAlign w:val="center"/>
          </w:tcPr>
          <w:p w14:paraId="3C6092E3" w14:textId="77777777" w:rsidR="004B0883" w:rsidRDefault="004B0883">
            <w:pPr>
              <w:jc w:val="center"/>
              <w:rPr>
                <w:rFonts w:hint="eastAsia"/>
                <w:b/>
                <w:color w:val="000000"/>
              </w:rPr>
            </w:pPr>
            <w:r>
              <w:rPr>
                <w:rFonts w:hint="eastAsia"/>
                <w:b/>
                <w:color w:val="000000"/>
              </w:rPr>
              <w:t>金额</w:t>
            </w:r>
          </w:p>
        </w:tc>
        <w:tc>
          <w:tcPr>
            <w:tcW w:w="542" w:type="pct"/>
            <w:tcBorders>
              <w:top w:val="single" w:sz="4" w:space="0" w:color="010000"/>
              <w:bottom w:val="single" w:sz="4" w:space="0" w:color="010000"/>
            </w:tcBorders>
            <w:shd w:val="clear" w:color="auto" w:fill="D9D9D9"/>
            <w:vAlign w:val="center"/>
          </w:tcPr>
          <w:p w14:paraId="5FEFD319" w14:textId="77777777" w:rsidR="004B0883" w:rsidRDefault="004B0883">
            <w:pPr>
              <w:jc w:val="center"/>
              <w:rPr>
                <w:rFonts w:hint="eastAsia"/>
                <w:b/>
                <w:color w:val="000000"/>
              </w:rPr>
            </w:pPr>
            <w:r>
              <w:rPr>
                <w:rFonts w:hint="eastAsia"/>
                <w:b/>
                <w:color w:val="000000"/>
              </w:rPr>
              <w:t>占比</w:t>
            </w:r>
          </w:p>
        </w:tc>
        <w:tc>
          <w:tcPr>
            <w:tcW w:w="542" w:type="pct"/>
            <w:tcBorders>
              <w:top w:val="single" w:sz="4" w:space="0" w:color="010000"/>
              <w:bottom w:val="single" w:sz="4" w:space="0" w:color="010000"/>
            </w:tcBorders>
            <w:shd w:val="clear" w:color="auto" w:fill="D9D9D9"/>
            <w:vAlign w:val="center"/>
          </w:tcPr>
          <w:p w14:paraId="0E824E9C" w14:textId="77777777" w:rsidR="004B0883" w:rsidRDefault="004B0883">
            <w:pPr>
              <w:jc w:val="center"/>
              <w:rPr>
                <w:rFonts w:hint="eastAsia"/>
                <w:b/>
                <w:color w:val="000000"/>
              </w:rPr>
            </w:pPr>
            <w:r>
              <w:rPr>
                <w:rFonts w:hint="eastAsia"/>
                <w:b/>
                <w:color w:val="000000"/>
              </w:rPr>
              <w:t>金额</w:t>
            </w:r>
          </w:p>
        </w:tc>
        <w:tc>
          <w:tcPr>
            <w:tcW w:w="542" w:type="pct"/>
            <w:tcBorders>
              <w:top w:val="single" w:sz="4" w:space="0" w:color="010000"/>
              <w:bottom w:val="single" w:sz="4" w:space="0" w:color="010000"/>
            </w:tcBorders>
            <w:shd w:val="clear" w:color="auto" w:fill="D9D9D9"/>
            <w:vAlign w:val="center"/>
          </w:tcPr>
          <w:p w14:paraId="380E790F" w14:textId="77777777" w:rsidR="004B0883" w:rsidRDefault="004B0883">
            <w:pPr>
              <w:jc w:val="center"/>
              <w:rPr>
                <w:rFonts w:hint="eastAsia"/>
                <w:b/>
                <w:color w:val="000000"/>
              </w:rPr>
            </w:pPr>
            <w:r>
              <w:rPr>
                <w:rFonts w:hint="eastAsia"/>
                <w:b/>
                <w:color w:val="000000"/>
              </w:rPr>
              <w:t>占比</w:t>
            </w:r>
          </w:p>
        </w:tc>
        <w:tc>
          <w:tcPr>
            <w:tcW w:w="585" w:type="pct"/>
            <w:tcBorders>
              <w:top w:val="single" w:sz="4" w:space="0" w:color="010000"/>
              <w:bottom w:val="single" w:sz="4" w:space="0" w:color="010000"/>
            </w:tcBorders>
            <w:shd w:val="clear" w:color="auto" w:fill="D9D9D9"/>
            <w:vAlign w:val="center"/>
          </w:tcPr>
          <w:p w14:paraId="1E470BBE" w14:textId="77777777" w:rsidR="004B0883" w:rsidRDefault="004B0883">
            <w:pPr>
              <w:jc w:val="center"/>
              <w:rPr>
                <w:rFonts w:hint="eastAsia"/>
                <w:b/>
                <w:color w:val="000000"/>
              </w:rPr>
            </w:pPr>
            <w:r>
              <w:rPr>
                <w:rFonts w:hint="eastAsia"/>
                <w:b/>
                <w:color w:val="000000"/>
              </w:rPr>
              <w:t>金额</w:t>
            </w:r>
          </w:p>
        </w:tc>
        <w:tc>
          <w:tcPr>
            <w:tcW w:w="499" w:type="pct"/>
            <w:tcBorders>
              <w:top w:val="single" w:sz="4" w:space="0" w:color="010000"/>
              <w:bottom w:val="single" w:sz="4" w:space="0" w:color="010000"/>
            </w:tcBorders>
            <w:shd w:val="clear" w:color="auto" w:fill="D9D9D9"/>
            <w:vAlign w:val="center"/>
          </w:tcPr>
          <w:p w14:paraId="269A42F4" w14:textId="77777777" w:rsidR="004B0883" w:rsidRDefault="004B0883">
            <w:pPr>
              <w:jc w:val="center"/>
              <w:rPr>
                <w:rFonts w:hint="eastAsia"/>
                <w:b/>
                <w:color w:val="000000"/>
              </w:rPr>
            </w:pPr>
            <w:r>
              <w:rPr>
                <w:rFonts w:hint="eastAsia"/>
                <w:b/>
                <w:color w:val="000000"/>
              </w:rPr>
              <w:t>占比</w:t>
            </w:r>
          </w:p>
        </w:tc>
      </w:tr>
      <w:tr w:rsidR="004B0883" w14:paraId="74928C0F" w14:textId="77777777">
        <w:trPr>
          <w:cantSplit/>
          <w:trHeight w:val="397"/>
          <w:jc w:val="center"/>
        </w:trPr>
        <w:tc>
          <w:tcPr>
            <w:tcW w:w="664" w:type="pct"/>
            <w:tcBorders>
              <w:top w:val="single" w:sz="4" w:space="0" w:color="010000"/>
            </w:tcBorders>
            <w:noWrap/>
            <w:vAlign w:val="center"/>
          </w:tcPr>
          <w:p w14:paraId="3F95AC27" w14:textId="77777777" w:rsidR="004B0883" w:rsidRDefault="004B0883">
            <w:pPr>
              <w:rPr>
                <w:rFonts w:hint="eastAsia"/>
                <w:color w:val="000000"/>
              </w:rPr>
            </w:pPr>
            <w:r>
              <w:rPr>
                <w:rFonts w:hint="eastAsia"/>
                <w:color w:val="000000"/>
              </w:rPr>
              <w:t>阀门销售</w:t>
            </w:r>
          </w:p>
        </w:tc>
        <w:tc>
          <w:tcPr>
            <w:tcW w:w="542" w:type="pct"/>
            <w:tcBorders>
              <w:top w:val="single" w:sz="4" w:space="0" w:color="010000"/>
            </w:tcBorders>
            <w:noWrap/>
            <w:vAlign w:val="center"/>
          </w:tcPr>
          <w:p w14:paraId="6BFA2490" w14:textId="77777777" w:rsidR="004B0883" w:rsidRDefault="004B0883">
            <w:pPr>
              <w:jc w:val="right"/>
              <w:rPr>
                <w:rFonts w:hint="eastAsia"/>
                <w:color w:val="000000"/>
              </w:rPr>
            </w:pPr>
            <w:r>
              <w:rPr>
                <w:rFonts w:hint="eastAsia"/>
                <w:color w:val="000000"/>
              </w:rPr>
              <w:t>33,015.89</w:t>
            </w:r>
          </w:p>
        </w:tc>
        <w:tc>
          <w:tcPr>
            <w:tcW w:w="542" w:type="pct"/>
            <w:tcBorders>
              <w:top w:val="single" w:sz="4" w:space="0" w:color="010000"/>
            </w:tcBorders>
            <w:noWrap/>
            <w:vAlign w:val="center"/>
          </w:tcPr>
          <w:p w14:paraId="7659A4B1" w14:textId="77777777" w:rsidR="004B0883" w:rsidRDefault="004B0883">
            <w:pPr>
              <w:jc w:val="right"/>
              <w:rPr>
                <w:color w:val="000000"/>
              </w:rPr>
            </w:pPr>
            <w:r>
              <w:rPr>
                <w:rFonts w:hint="eastAsia"/>
                <w:color w:val="000000"/>
              </w:rPr>
              <w:t>83.20%</w:t>
            </w:r>
          </w:p>
        </w:tc>
        <w:tc>
          <w:tcPr>
            <w:tcW w:w="542" w:type="pct"/>
            <w:tcBorders>
              <w:top w:val="single" w:sz="4" w:space="0" w:color="010000"/>
            </w:tcBorders>
            <w:noWrap/>
            <w:vAlign w:val="center"/>
          </w:tcPr>
          <w:p w14:paraId="68100838" w14:textId="77777777" w:rsidR="004B0883" w:rsidRDefault="004B0883">
            <w:pPr>
              <w:jc w:val="right"/>
              <w:rPr>
                <w:rFonts w:hint="eastAsia"/>
                <w:color w:val="000000"/>
              </w:rPr>
            </w:pPr>
            <w:r>
              <w:rPr>
                <w:color w:val="000000"/>
              </w:rPr>
              <w:t>44,605.52</w:t>
            </w:r>
          </w:p>
        </w:tc>
        <w:tc>
          <w:tcPr>
            <w:tcW w:w="542" w:type="pct"/>
            <w:tcBorders>
              <w:top w:val="single" w:sz="4" w:space="0" w:color="010000"/>
            </w:tcBorders>
            <w:noWrap/>
            <w:vAlign w:val="center"/>
          </w:tcPr>
          <w:p w14:paraId="4A18382A" w14:textId="77777777" w:rsidR="004B0883" w:rsidRDefault="004B0883">
            <w:pPr>
              <w:jc w:val="right"/>
              <w:rPr>
                <w:color w:val="000000"/>
                <w:szCs w:val="22"/>
              </w:rPr>
            </w:pPr>
            <w:r>
              <w:rPr>
                <w:rFonts w:hint="eastAsia"/>
                <w:color w:val="000000"/>
                <w:szCs w:val="22"/>
              </w:rPr>
              <w:t>83.38%</w:t>
            </w:r>
          </w:p>
        </w:tc>
        <w:tc>
          <w:tcPr>
            <w:tcW w:w="542" w:type="pct"/>
            <w:tcBorders>
              <w:top w:val="single" w:sz="4" w:space="0" w:color="010000"/>
            </w:tcBorders>
            <w:noWrap/>
            <w:vAlign w:val="center"/>
          </w:tcPr>
          <w:p w14:paraId="1E2F8BB6" w14:textId="77777777" w:rsidR="004B0883" w:rsidRDefault="004B0883">
            <w:pPr>
              <w:jc w:val="right"/>
              <w:rPr>
                <w:rFonts w:hint="eastAsia"/>
                <w:color w:val="000000"/>
              </w:rPr>
            </w:pPr>
            <w:r>
              <w:rPr>
                <w:color w:val="000000"/>
              </w:rPr>
              <w:t>32,449.93</w:t>
            </w:r>
          </w:p>
        </w:tc>
        <w:tc>
          <w:tcPr>
            <w:tcW w:w="542" w:type="pct"/>
            <w:tcBorders>
              <w:top w:val="single" w:sz="4" w:space="0" w:color="010000"/>
            </w:tcBorders>
            <w:noWrap/>
            <w:vAlign w:val="center"/>
          </w:tcPr>
          <w:p w14:paraId="210F808A" w14:textId="77777777" w:rsidR="004B0883" w:rsidRDefault="004B0883">
            <w:pPr>
              <w:jc w:val="right"/>
              <w:rPr>
                <w:color w:val="000000"/>
                <w:szCs w:val="22"/>
              </w:rPr>
            </w:pPr>
            <w:r>
              <w:rPr>
                <w:rFonts w:hint="eastAsia"/>
                <w:color w:val="000000"/>
                <w:szCs w:val="22"/>
              </w:rPr>
              <w:t>78.81%</w:t>
            </w:r>
          </w:p>
        </w:tc>
        <w:tc>
          <w:tcPr>
            <w:tcW w:w="585" w:type="pct"/>
            <w:tcBorders>
              <w:top w:val="single" w:sz="4" w:space="0" w:color="010000"/>
            </w:tcBorders>
            <w:noWrap/>
            <w:vAlign w:val="center"/>
          </w:tcPr>
          <w:p w14:paraId="6AC2E32E" w14:textId="77777777" w:rsidR="004B0883" w:rsidRDefault="004B0883">
            <w:pPr>
              <w:jc w:val="right"/>
              <w:rPr>
                <w:rFonts w:hint="eastAsia"/>
                <w:color w:val="000000"/>
              </w:rPr>
            </w:pPr>
            <w:r>
              <w:rPr>
                <w:color w:val="000000"/>
              </w:rPr>
              <w:t>27,606.93</w:t>
            </w:r>
          </w:p>
        </w:tc>
        <w:tc>
          <w:tcPr>
            <w:tcW w:w="499" w:type="pct"/>
            <w:tcBorders>
              <w:top w:val="single" w:sz="4" w:space="0" w:color="010000"/>
            </w:tcBorders>
            <w:noWrap/>
            <w:vAlign w:val="center"/>
          </w:tcPr>
          <w:p w14:paraId="51924CA1" w14:textId="77777777" w:rsidR="004B0883" w:rsidRDefault="004B0883">
            <w:pPr>
              <w:jc w:val="right"/>
              <w:rPr>
                <w:color w:val="000000"/>
                <w:szCs w:val="22"/>
              </w:rPr>
            </w:pPr>
            <w:r>
              <w:rPr>
                <w:rFonts w:hint="eastAsia"/>
                <w:color w:val="000000"/>
                <w:szCs w:val="22"/>
              </w:rPr>
              <w:t>80.40%</w:t>
            </w:r>
          </w:p>
        </w:tc>
      </w:tr>
      <w:tr w:rsidR="004B0883" w14:paraId="4A78A1FC" w14:textId="77777777">
        <w:trPr>
          <w:cantSplit/>
          <w:trHeight w:val="397"/>
          <w:jc w:val="center"/>
        </w:trPr>
        <w:tc>
          <w:tcPr>
            <w:tcW w:w="664" w:type="pct"/>
            <w:noWrap/>
            <w:vAlign w:val="center"/>
          </w:tcPr>
          <w:p w14:paraId="351417E8" w14:textId="77777777" w:rsidR="004B0883" w:rsidRDefault="004B0883">
            <w:pPr>
              <w:rPr>
                <w:rFonts w:hint="eastAsia"/>
                <w:color w:val="000000"/>
              </w:rPr>
            </w:pPr>
            <w:r>
              <w:rPr>
                <w:rFonts w:hint="eastAsia"/>
                <w:color w:val="000000"/>
              </w:rPr>
              <w:t>过滤器销售</w:t>
            </w:r>
          </w:p>
        </w:tc>
        <w:tc>
          <w:tcPr>
            <w:tcW w:w="542" w:type="pct"/>
            <w:noWrap/>
            <w:vAlign w:val="center"/>
          </w:tcPr>
          <w:p w14:paraId="5EE5EDE1" w14:textId="77777777" w:rsidR="004B0883" w:rsidRDefault="004B0883">
            <w:pPr>
              <w:jc w:val="right"/>
              <w:rPr>
                <w:rFonts w:hint="eastAsia"/>
                <w:color w:val="000000"/>
              </w:rPr>
            </w:pPr>
            <w:r>
              <w:rPr>
                <w:rFonts w:hint="eastAsia"/>
                <w:color w:val="000000"/>
              </w:rPr>
              <w:t>1,646.84</w:t>
            </w:r>
          </w:p>
        </w:tc>
        <w:tc>
          <w:tcPr>
            <w:tcW w:w="542" w:type="pct"/>
            <w:noWrap/>
            <w:vAlign w:val="center"/>
          </w:tcPr>
          <w:p w14:paraId="35E3BF55" w14:textId="77777777" w:rsidR="004B0883" w:rsidRDefault="004B0883">
            <w:pPr>
              <w:jc w:val="right"/>
              <w:rPr>
                <w:color w:val="000000"/>
              </w:rPr>
            </w:pPr>
            <w:r>
              <w:rPr>
                <w:rFonts w:hint="eastAsia"/>
                <w:color w:val="000000"/>
              </w:rPr>
              <w:t>4.15%</w:t>
            </w:r>
          </w:p>
        </w:tc>
        <w:tc>
          <w:tcPr>
            <w:tcW w:w="542" w:type="pct"/>
            <w:noWrap/>
            <w:vAlign w:val="center"/>
          </w:tcPr>
          <w:p w14:paraId="7D2FFD9C" w14:textId="77777777" w:rsidR="004B0883" w:rsidRDefault="004B0883">
            <w:pPr>
              <w:jc w:val="right"/>
              <w:rPr>
                <w:rFonts w:hint="eastAsia"/>
                <w:color w:val="000000"/>
              </w:rPr>
            </w:pPr>
            <w:r>
              <w:rPr>
                <w:color w:val="000000"/>
              </w:rPr>
              <w:t>2,787.39</w:t>
            </w:r>
          </w:p>
        </w:tc>
        <w:tc>
          <w:tcPr>
            <w:tcW w:w="542" w:type="pct"/>
            <w:noWrap/>
            <w:vAlign w:val="center"/>
          </w:tcPr>
          <w:p w14:paraId="352152CB" w14:textId="77777777" w:rsidR="004B0883" w:rsidRDefault="004B0883">
            <w:pPr>
              <w:jc w:val="right"/>
              <w:rPr>
                <w:color w:val="000000"/>
                <w:szCs w:val="22"/>
              </w:rPr>
            </w:pPr>
            <w:r>
              <w:rPr>
                <w:rFonts w:hint="eastAsia"/>
                <w:color w:val="000000"/>
                <w:szCs w:val="22"/>
              </w:rPr>
              <w:t>5.21%</w:t>
            </w:r>
          </w:p>
        </w:tc>
        <w:tc>
          <w:tcPr>
            <w:tcW w:w="542" w:type="pct"/>
            <w:noWrap/>
            <w:vAlign w:val="center"/>
          </w:tcPr>
          <w:p w14:paraId="5A71F8CE" w14:textId="77777777" w:rsidR="004B0883" w:rsidRDefault="004B0883">
            <w:pPr>
              <w:jc w:val="right"/>
              <w:rPr>
                <w:rFonts w:hint="eastAsia"/>
                <w:color w:val="000000"/>
              </w:rPr>
            </w:pPr>
            <w:r>
              <w:rPr>
                <w:color w:val="000000"/>
              </w:rPr>
              <w:t>2,202.71</w:t>
            </w:r>
          </w:p>
        </w:tc>
        <w:tc>
          <w:tcPr>
            <w:tcW w:w="542" w:type="pct"/>
            <w:noWrap/>
            <w:vAlign w:val="center"/>
          </w:tcPr>
          <w:p w14:paraId="6162E67A" w14:textId="77777777" w:rsidR="004B0883" w:rsidRDefault="004B0883">
            <w:pPr>
              <w:jc w:val="right"/>
              <w:rPr>
                <w:color w:val="000000"/>
                <w:szCs w:val="22"/>
              </w:rPr>
            </w:pPr>
            <w:r>
              <w:rPr>
                <w:rFonts w:hint="eastAsia"/>
                <w:color w:val="000000"/>
                <w:sz w:val="22"/>
                <w:szCs w:val="22"/>
              </w:rPr>
              <w:t>5.35%</w:t>
            </w:r>
          </w:p>
        </w:tc>
        <w:tc>
          <w:tcPr>
            <w:tcW w:w="585" w:type="pct"/>
            <w:noWrap/>
            <w:vAlign w:val="center"/>
          </w:tcPr>
          <w:p w14:paraId="2A30C8E3" w14:textId="77777777" w:rsidR="004B0883" w:rsidRDefault="004B0883">
            <w:pPr>
              <w:jc w:val="right"/>
              <w:rPr>
                <w:rFonts w:hint="eastAsia"/>
                <w:color w:val="000000"/>
              </w:rPr>
            </w:pPr>
            <w:r>
              <w:rPr>
                <w:color w:val="000000"/>
              </w:rPr>
              <w:t>1,890.08</w:t>
            </w:r>
          </w:p>
        </w:tc>
        <w:tc>
          <w:tcPr>
            <w:tcW w:w="499" w:type="pct"/>
            <w:noWrap/>
            <w:vAlign w:val="center"/>
          </w:tcPr>
          <w:p w14:paraId="2C977BE4" w14:textId="77777777" w:rsidR="004B0883" w:rsidRDefault="004B0883">
            <w:pPr>
              <w:jc w:val="right"/>
              <w:rPr>
                <w:color w:val="000000"/>
                <w:szCs w:val="22"/>
              </w:rPr>
            </w:pPr>
            <w:r>
              <w:rPr>
                <w:rFonts w:hint="eastAsia"/>
                <w:color w:val="000000"/>
                <w:sz w:val="22"/>
                <w:szCs w:val="22"/>
              </w:rPr>
              <w:t>5.50%</w:t>
            </w:r>
          </w:p>
        </w:tc>
      </w:tr>
      <w:tr w:rsidR="004B0883" w14:paraId="41E23F86" w14:textId="77777777">
        <w:trPr>
          <w:cantSplit/>
          <w:trHeight w:val="397"/>
          <w:jc w:val="center"/>
        </w:trPr>
        <w:tc>
          <w:tcPr>
            <w:tcW w:w="664" w:type="pct"/>
            <w:noWrap/>
            <w:vAlign w:val="center"/>
          </w:tcPr>
          <w:p w14:paraId="10EB1751" w14:textId="77777777" w:rsidR="004B0883" w:rsidRDefault="004B0883">
            <w:pPr>
              <w:rPr>
                <w:rFonts w:hint="eastAsia"/>
                <w:color w:val="000000"/>
              </w:rPr>
            </w:pPr>
            <w:r>
              <w:rPr>
                <w:rFonts w:hint="eastAsia"/>
                <w:color w:val="000000"/>
              </w:rPr>
              <w:t>阀门零件及管件销售</w:t>
            </w:r>
          </w:p>
        </w:tc>
        <w:tc>
          <w:tcPr>
            <w:tcW w:w="542" w:type="pct"/>
            <w:noWrap/>
            <w:vAlign w:val="center"/>
          </w:tcPr>
          <w:p w14:paraId="25EA3EF1" w14:textId="77777777" w:rsidR="004B0883" w:rsidRDefault="004B0883">
            <w:pPr>
              <w:jc w:val="right"/>
              <w:rPr>
                <w:rFonts w:hint="eastAsia"/>
                <w:color w:val="000000"/>
              </w:rPr>
            </w:pPr>
            <w:r>
              <w:rPr>
                <w:rFonts w:hint="eastAsia"/>
                <w:color w:val="000000"/>
              </w:rPr>
              <w:t>3,614.32</w:t>
            </w:r>
          </w:p>
        </w:tc>
        <w:tc>
          <w:tcPr>
            <w:tcW w:w="542" w:type="pct"/>
            <w:noWrap/>
            <w:vAlign w:val="center"/>
          </w:tcPr>
          <w:p w14:paraId="267D6617" w14:textId="77777777" w:rsidR="004B0883" w:rsidRDefault="004B0883">
            <w:pPr>
              <w:jc w:val="right"/>
              <w:rPr>
                <w:color w:val="000000"/>
              </w:rPr>
            </w:pPr>
            <w:r>
              <w:rPr>
                <w:rFonts w:hint="eastAsia"/>
                <w:color w:val="000000"/>
              </w:rPr>
              <w:t>9.11%</w:t>
            </w:r>
          </w:p>
        </w:tc>
        <w:tc>
          <w:tcPr>
            <w:tcW w:w="542" w:type="pct"/>
            <w:noWrap/>
            <w:vAlign w:val="center"/>
          </w:tcPr>
          <w:p w14:paraId="33C23F39" w14:textId="77777777" w:rsidR="004B0883" w:rsidRDefault="004B0883">
            <w:pPr>
              <w:jc w:val="right"/>
              <w:rPr>
                <w:rFonts w:hint="eastAsia"/>
                <w:color w:val="000000"/>
              </w:rPr>
            </w:pPr>
            <w:r>
              <w:rPr>
                <w:color w:val="000000"/>
              </w:rPr>
              <w:t>4,853.61</w:t>
            </w:r>
          </w:p>
        </w:tc>
        <w:tc>
          <w:tcPr>
            <w:tcW w:w="542" w:type="pct"/>
            <w:noWrap/>
            <w:vAlign w:val="center"/>
          </w:tcPr>
          <w:p w14:paraId="3E003065" w14:textId="77777777" w:rsidR="004B0883" w:rsidRDefault="004B0883">
            <w:pPr>
              <w:jc w:val="right"/>
              <w:rPr>
                <w:color w:val="000000"/>
                <w:szCs w:val="22"/>
              </w:rPr>
            </w:pPr>
            <w:r>
              <w:rPr>
                <w:rFonts w:hint="eastAsia"/>
                <w:color w:val="000000"/>
                <w:szCs w:val="22"/>
              </w:rPr>
              <w:t>9.07%</w:t>
            </w:r>
          </w:p>
        </w:tc>
        <w:tc>
          <w:tcPr>
            <w:tcW w:w="542" w:type="pct"/>
            <w:noWrap/>
            <w:vAlign w:val="center"/>
          </w:tcPr>
          <w:p w14:paraId="284D5F7F" w14:textId="77777777" w:rsidR="004B0883" w:rsidRDefault="004B0883">
            <w:pPr>
              <w:jc w:val="right"/>
              <w:rPr>
                <w:rFonts w:hint="eastAsia"/>
                <w:color w:val="000000"/>
              </w:rPr>
            </w:pPr>
            <w:r>
              <w:rPr>
                <w:color w:val="000000"/>
              </w:rPr>
              <w:t>3,253.76</w:t>
            </w:r>
          </w:p>
        </w:tc>
        <w:tc>
          <w:tcPr>
            <w:tcW w:w="542" w:type="pct"/>
            <w:noWrap/>
            <w:vAlign w:val="center"/>
          </w:tcPr>
          <w:p w14:paraId="3B554595" w14:textId="77777777" w:rsidR="004B0883" w:rsidRDefault="004B0883">
            <w:pPr>
              <w:jc w:val="right"/>
              <w:rPr>
                <w:color w:val="000000"/>
                <w:szCs w:val="22"/>
              </w:rPr>
            </w:pPr>
            <w:r>
              <w:rPr>
                <w:rFonts w:hint="eastAsia"/>
                <w:color w:val="000000"/>
                <w:sz w:val="22"/>
                <w:szCs w:val="22"/>
              </w:rPr>
              <w:t>7.90%</w:t>
            </w:r>
          </w:p>
        </w:tc>
        <w:tc>
          <w:tcPr>
            <w:tcW w:w="585" w:type="pct"/>
            <w:noWrap/>
            <w:vAlign w:val="center"/>
          </w:tcPr>
          <w:p w14:paraId="515B32AE" w14:textId="77777777" w:rsidR="004B0883" w:rsidRDefault="004B0883">
            <w:pPr>
              <w:jc w:val="right"/>
              <w:rPr>
                <w:rFonts w:hint="eastAsia"/>
                <w:color w:val="000000"/>
              </w:rPr>
            </w:pPr>
            <w:r>
              <w:rPr>
                <w:color w:val="000000"/>
              </w:rPr>
              <w:t>2,928.62</w:t>
            </w:r>
          </w:p>
        </w:tc>
        <w:tc>
          <w:tcPr>
            <w:tcW w:w="499" w:type="pct"/>
            <w:noWrap/>
            <w:vAlign w:val="center"/>
          </w:tcPr>
          <w:p w14:paraId="32B416FA" w14:textId="77777777" w:rsidR="004B0883" w:rsidRDefault="004B0883">
            <w:pPr>
              <w:jc w:val="right"/>
              <w:rPr>
                <w:color w:val="000000"/>
                <w:szCs w:val="22"/>
              </w:rPr>
            </w:pPr>
            <w:r>
              <w:rPr>
                <w:rFonts w:hint="eastAsia"/>
                <w:color w:val="000000"/>
                <w:sz w:val="22"/>
                <w:szCs w:val="22"/>
              </w:rPr>
              <w:t>8.53%</w:t>
            </w:r>
          </w:p>
        </w:tc>
      </w:tr>
      <w:tr w:rsidR="004B0883" w14:paraId="47F3BDEA" w14:textId="77777777">
        <w:trPr>
          <w:cantSplit/>
          <w:trHeight w:val="397"/>
          <w:jc w:val="center"/>
        </w:trPr>
        <w:tc>
          <w:tcPr>
            <w:tcW w:w="664" w:type="pct"/>
            <w:noWrap/>
            <w:vAlign w:val="center"/>
          </w:tcPr>
          <w:p w14:paraId="1FABD531" w14:textId="77777777" w:rsidR="004B0883" w:rsidRDefault="004B0883">
            <w:pPr>
              <w:rPr>
                <w:rFonts w:hint="eastAsia"/>
                <w:color w:val="000000"/>
              </w:rPr>
            </w:pPr>
            <w:r>
              <w:rPr>
                <w:rFonts w:hint="eastAsia"/>
                <w:color w:val="000000"/>
              </w:rPr>
              <w:t>汽车配件</w:t>
            </w:r>
          </w:p>
        </w:tc>
        <w:tc>
          <w:tcPr>
            <w:tcW w:w="542" w:type="pct"/>
            <w:noWrap/>
            <w:vAlign w:val="center"/>
          </w:tcPr>
          <w:p w14:paraId="1E1E86A7" w14:textId="77777777" w:rsidR="004B0883" w:rsidRDefault="004B0883">
            <w:pPr>
              <w:jc w:val="right"/>
              <w:rPr>
                <w:rFonts w:hint="eastAsia"/>
                <w:color w:val="000000"/>
              </w:rPr>
            </w:pPr>
            <w:r>
              <w:rPr>
                <w:rFonts w:hint="eastAsia"/>
                <w:color w:val="000000"/>
              </w:rPr>
              <w:t>1,397.47</w:t>
            </w:r>
          </w:p>
        </w:tc>
        <w:tc>
          <w:tcPr>
            <w:tcW w:w="542" w:type="pct"/>
            <w:noWrap/>
            <w:vAlign w:val="center"/>
          </w:tcPr>
          <w:p w14:paraId="142083F2" w14:textId="77777777" w:rsidR="004B0883" w:rsidRDefault="004B0883">
            <w:pPr>
              <w:jc w:val="right"/>
              <w:rPr>
                <w:color w:val="000000"/>
              </w:rPr>
            </w:pPr>
            <w:r>
              <w:rPr>
                <w:rFonts w:hint="eastAsia"/>
                <w:color w:val="000000"/>
              </w:rPr>
              <w:t>3.52%</w:t>
            </w:r>
          </w:p>
        </w:tc>
        <w:tc>
          <w:tcPr>
            <w:tcW w:w="542" w:type="pct"/>
            <w:noWrap/>
            <w:vAlign w:val="center"/>
          </w:tcPr>
          <w:p w14:paraId="3E729522" w14:textId="77777777" w:rsidR="004B0883" w:rsidRDefault="004B0883">
            <w:pPr>
              <w:jc w:val="right"/>
              <w:rPr>
                <w:rFonts w:hint="eastAsia"/>
                <w:color w:val="000000"/>
              </w:rPr>
            </w:pPr>
            <w:r>
              <w:rPr>
                <w:color w:val="000000"/>
              </w:rPr>
              <w:t>1,217.18</w:t>
            </w:r>
          </w:p>
        </w:tc>
        <w:tc>
          <w:tcPr>
            <w:tcW w:w="542" w:type="pct"/>
            <w:noWrap/>
            <w:vAlign w:val="center"/>
          </w:tcPr>
          <w:p w14:paraId="4CD0185C" w14:textId="77777777" w:rsidR="004B0883" w:rsidRDefault="004B0883">
            <w:pPr>
              <w:jc w:val="right"/>
              <w:rPr>
                <w:color w:val="000000"/>
                <w:szCs w:val="22"/>
              </w:rPr>
            </w:pPr>
            <w:r>
              <w:rPr>
                <w:rFonts w:hint="eastAsia"/>
                <w:color w:val="000000"/>
                <w:szCs w:val="22"/>
              </w:rPr>
              <w:t>2.28%</w:t>
            </w:r>
          </w:p>
        </w:tc>
        <w:tc>
          <w:tcPr>
            <w:tcW w:w="542" w:type="pct"/>
            <w:noWrap/>
            <w:vAlign w:val="center"/>
          </w:tcPr>
          <w:p w14:paraId="6643678C" w14:textId="77777777" w:rsidR="004B0883" w:rsidRDefault="004B0883">
            <w:pPr>
              <w:jc w:val="right"/>
              <w:rPr>
                <w:rFonts w:hint="eastAsia"/>
                <w:color w:val="000000"/>
              </w:rPr>
            </w:pPr>
            <w:r>
              <w:rPr>
                <w:color w:val="000000"/>
              </w:rPr>
              <w:t>3,262.44</w:t>
            </w:r>
          </w:p>
        </w:tc>
        <w:tc>
          <w:tcPr>
            <w:tcW w:w="542" w:type="pct"/>
            <w:noWrap/>
            <w:vAlign w:val="center"/>
          </w:tcPr>
          <w:p w14:paraId="42E855CD" w14:textId="77777777" w:rsidR="004B0883" w:rsidRDefault="004B0883">
            <w:pPr>
              <w:jc w:val="right"/>
              <w:rPr>
                <w:color w:val="000000"/>
                <w:szCs w:val="22"/>
              </w:rPr>
            </w:pPr>
            <w:r>
              <w:rPr>
                <w:rFonts w:hint="eastAsia"/>
                <w:color w:val="000000"/>
                <w:szCs w:val="22"/>
              </w:rPr>
              <w:t>7.92%</w:t>
            </w:r>
          </w:p>
        </w:tc>
        <w:tc>
          <w:tcPr>
            <w:tcW w:w="585" w:type="pct"/>
            <w:noWrap/>
            <w:vAlign w:val="center"/>
          </w:tcPr>
          <w:p w14:paraId="6630818C" w14:textId="77777777" w:rsidR="004B0883" w:rsidRDefault="004B0883">
            <w:pPr>
              <w:jc w:val="right"/>
              <w:rPr>
                <w:rFonts w:hint="eastAsia"/>
                <w:color w:val="000000"/>
              </w:rPr>
            </w:pPr>
            <w:r>
              <w:rPr>
                <w:color w:val="000000"/>
              </w:rPr>
              <w:t>1,909.76</w:t>
            </w:r>
          </w:p>
        </w:tc>
        <w:tc>
          <w:tcPr>
            <w:tcW w:w="499" w:type="pct"/>
            <w:noWrap/>
            <w:vAlign w:val="center"/>
          </w:tcPr>
          <w:p w14:paraId="6DE6BD29" w14:textId="77777777" w:rsidR="004B0883" w:rsidRDefault="004B0883">
            <w:pPr>
              <w:jc w:val="right"/>
              <w:rPr>
                <w:color w:val="000000"/>
                <w:szCs w:val="22"/>
              </w:rPr>
            </w:pPr>
            <w:r>
              <w:rPr>
                <w:rFonts w:hint="eastAsia"/>
                <w:color w:val="000000"/>
                <w:szCs w:val="22"/>
              </w:rPr>
              <w:t>5.56%</w:t>
            </w:r>
          </w:p>
        </w:tc>
      </w:tr>
      <w:tr w:rsidR="004B0883" w14:paraId="30C49B16" w14:textId="77777777">
        <w:trPr>
          <w:cantSplit/>
          <w:trHeight w:val="397"/>
          <w:jc w:val="center"/>
        </w:trPr>
        <w:tc>
          <w:tcPr>
            <w:tcW w:w="664" w:type="pct"/>
            <w:noWrap/>
            <w:vAlign w:val="center"/>
          </w:tcPr>
          <w:p w14:paraId="6CC982C3" w14:textId="77777777" w:rsidR="004B0883" w:rsidRDefault="004B0883">
            <w:pPr>
              <w:rPr>
                <w:rFonts w:hint="eastAsia"/>
                <w:color w:val="000000"/>
              </w:rPr>
            </w:pPr>
            <w:r>
              <w:rPr>
                <w:rFonts w:hint="eastAsia"/>
                <w:color w:val="000000"/>
              </w:rPr>
              <w:t>其他</w:t>
            </w:r>
          </w:p>
        </w:tc>
        <w:tc>
          <w:tcPr>
            <w:tcW w:w="542" w:type="pct"/>
            <w:noWrap/>
            <w:vAlign w:val="center"/>
          </w:tcPr>
          <w:p w14:paraId="09AA5AFE" w14:textId="77777777" w:rsidR="004B0883" w:rsidRDefault="004B0883">
            <w:pPr>
              <w:jc w:val="right"/>
              <w:rPr>
                <w:rFonts w:hint="eastAsia"/>
                <w:color w:val="000000"/>
              </w:rPr>
            </w:pPr>
            <w:r>
              <w:rPr>
                <w:rFonts w:hint="eastAsia"/>
                <w:color w:val="000000"/>
              </w:rPr>
              <w:t>7.24</w:t>
            </w:r>
          </w:p>
        </w:tc>
        <w:tc>
          <w:tcPr>
            <w:tcW w:w="542" w:type="pct"/>
            <w:noWrap/>
            <w:vAlign w:val="center"/>
          </w:tcPr>
          <w:p w14:paraId="67718854" w14:textId="77777777" w:rsidR="004B0883" w:rsidRDefault="004B0883">
            <w:pPr>
              <w:jc w:val="right"/>
              <w:rPr>
                <w:color w:val="000000"/>
              </w:rPr>
            </w:pPr>
            <w:r>
              <w:rPr>
                <w:rFonts w:hint="eastAsia"/>
                <w:color w:val="000000"/>
              </w:rPr>
              <w:t>0.02%</w:t>
            </w:r>
          </w:p>
        </w:tc>
        <w:tc>
          <w:tcPr>
            <w:tcW w:w="542" w:type="pct"/>
            <w:noWrap/>
            <w:vAlign w:val="center"/>
          </w:tcPr>
          <w:p w14:paraId="0987F85A" w14:textId="77777777" w:rsidR="004B0883" w:rsidRDefault="004B0883">
            <w:pPr>
              <w:jc w:val="right"/>
              <w:rPr>
                <w:rFonts w:hint="eastAsia"/>
                <w:color w:val="000000"/>
              </w:rPr>
            </w:pPr>
            <w:r>
              <w:rPr>
                <w:color w:val="000000"/>
              </w:rPr>
              <w:t>32.43</w:t>
            </w:r>
          </w:p>
        </w:tc>
        <w:tc>
          <w:tcPr>
            <w:tcW w:w="542" w:type="pct"/>
            <w:noWrap/>
            <w:vAlign w:val="center"/>
          </w:tcPr>
          <w:p w14:paraId="404F5582" w14:textId="77777777" w:rsidR="004B0883" w:rsidRDefault="004B0883">
            <w:pPr>
              <w:jc w:val="right"/>
              <w:rPr>
                <w:color w:val="000000"/>
                <w:szCs w:val="22"/>
              </w:rPr>
            </w:pPr>
            <w:r>
              <w:rPr>
                <w:rFonts w:hint="eastAsia"/>
                <w:color w:val="000000"/>
                <w:szCs w:val="22"/>
              </w:rPr>
              <w:t>0.06%</w:t>
            </w:r>
          </w:p>
        </w:tc>
        <w:tc>
          <w:tcPr>
            <w:tcW w:w="542" w:type="pct"/>
            <w:noWrap/>
            <w:vAlign w:val="center"/>
          </w:tcPr>
          <w:p w14:paraId="3E903AA3" w14:textId="77777777" w:rsidR="004B0883" w:rsidRDefault="004B0883">
            <w:pPr>
              <w:jc w:val="right"/>
              <w:rPr>
                <w:rFonts w:hint="eastAsia"/>
                <w:color w:val="000000"/>
              </w:rPr>
            </w:pPr>
            <w:r>
              <w:rPr>
                <w:color w:val="000000"/>
              </w:rPr>
              <w:t>6.57</w:t>
            </w:r>
          </w:p>
        </w:tc>
        <w:tc>
          <w:tcPr>
            <w:tcW w:w="542" w:type="pct"/>
            <w:noWrap/>
            <w:vAlign w:val="center"/>
          </w:tcPr>
          <w:p w14:paraId="3E2653F6" w14:textId="77777777" w:rsidR="004B0883" w:rsidRDefault="004B0883">
            <w:pPr>
              <w:jc w:val="right"/>
              <w:rPr>
                <w:color w:val="000000"/>
                <w:szCs w:val="22"/>
              </w:rPr>
            </w:pPr>
            <w:r>
              <w:rPr>
                <w:rFonts w:hint="eastAsia"/>
                <w:color w:val="000000"/>
                <w:szCs w:val="22"/>
              </w:rPr>
              <w:t>0.02%</w:t>
            </w:r>
          </w:p>
        </w:tc>
        <w:tc>
          <w:tcPr>
            <w:tcW w:w="585" w:type="pct"/>
            <w:noWrap/>
            <w:vAlign w:val="center"/>
          </w:tcPr>
          <w:p w14:paraId="5F6FC88D" w14:textId="77777777" w:rsidR="004B0883" w:rsidRDefault="004B0883">
            <w:pPr>
              <w:jc w:val="right"/>
              <w:rPr>
                <w:rFonts w:hint="eastAsia"/>
                <w:color w:val="000000"/>
              </w:rPr>
            </w:pPr>
            <w:r>
              <w:rPr>
                <w:color w:val="000000"/>
              </w:rPr>
              <w:t>-</w:t>
            </w:r>
          </w:p>
        </w:tc>
        <w:tc>
          <w:tcPr>
            <w:tcW w:w="499" w:type="pct"/>
            <w:noWrap/>
            <w:vAlign w:val="center"/>
          </w:tcPr>
          <w:p w14:paraId="5E6DAE4D" w14:textId="77777777" w:rsidR="004B0883" w:rsidRDefault="004B0883">
            <w:pPr>
              <w:jc w:val="right"/>
              <w:rPr>
                <w:color w:val="000000"/>
                <w:szCs w:val="22"/>
              </w:rPr>
            </w:pPr>
            <w:r>
              <w:rPr>
                <w:rFonts w:hint="eastAsia"/>
                <w:color w:val="000000"/>
                <w:szCs w:val="22"/>
              </w:rPr>
              <w:t>-</w:t>
            </w:r>
          </w:p>
        </w:tc>
      </w:tr>
      <w:tr w:rsidR="004B0883" w14:paraId="289691E3" w14:textId="77777777">
        <w:trPr>
          <w:cantSplit/>
          <w:trHeight w:val="397"/>
          <w:jc w:val="center"/>
        </w:trPr>
        <w:tc>
          <w:tcPr>
            <w:tcW w:w="664" w:type="pct"/>
            <w:noWrap/>
            <w:vAlign w:val="center"/>
          </w:tcPr>
          <w:p w14:paraId="017E700A" w14:textId="77777777" w:rsidR="004B0883" w:rsidRDefault="004B0883">
            <w:pPr>
              <w:jc w:val="center"/>
              <w:rPr>
                <w:rFonts w:hint="eastAsia"/>
                <w:b/>
                <w:color w:val="000000"/>
              </w:rPr>
            </w:pPr>
            <w:r>
              <w:rPr>
                <w:rFonts w:hint="eastAsia"/>
                <w:b/>
                <w:color w:val="000000"/>
              </w:rPr>
              <w:t>合计</w:t>
            </w:r>
          </w:p>
        </w:tc>
        <w:tc>
          <w:tcPr>
            <w:tcW w:w="542" w:type="pct"/>
            <w:vAlign w:val="center"/>
          </w:tcPr>
          <w:p w14:paraId="6A9CE953" w14:textId="77777777" w:rsidR="004B0883" w:rsidRDefault="004B0883">
            <w:pPr>
              <w:jc w:val="right"/>
              <w:rPr>
                <w:rFonts w:hint="eastAsia"/>
                <w:b/>
                <w:bCs/>
                <w:color w:val="000000"/>
              </w:rPr>
            </w:pPr>
            <w:r>
              <w:rPr>
                <w:rFonts w:hint="eastAsia"/>
                <w:b/>
                <w:bCs/>
                <w:color w:val="000000"/>
              </w:rPr>
              <w:t>39,681.76</w:t>
            </w:r>
          </w:p>
        </w:tc>
        <w:tc>
          <w:tcPr>
            <w:tcW w:w="542" w:type="pct"/>
            <w:vAlign w:val="center"/>
          </w:tcPr>
          <w:p w14:paraId="20B0101D" w14:textId="77777777" w:rsidR="004B0883" w:rsidRDefault="004B0883">
            <w:pPr>
              <w:jc w:val="right"/>
              <w:rPr>
                <w:b/>
                <w:bCs/>
                <w:color w:val="000000"/>
              </w:rPr>
            </w:pPr>
            <w:r>
              <w:rPr>
                <w:rFonts w:hint="eastAsia"/>
                <w:b/>
                <w:bCs/>
                <w:color w:val="000000"/>
              </w:rPr>
              <w:t>100.00%</w:t>
            </w:r>
          </w:p>
        </w:tc>
        <w:tc>
          <w:tcPr>
            <w:tcW w:w="542" w:type="pct"/>
            <w:vAlign w:val="center"/>
          </w:tcPr>
          <w:p w14:paraId="1D66EA40" w14:textId="77777777" w:rsidR="004B0883" w:rsidRDefault="004B0883">
            <w:pPr>
              <w:jc w:val="right"/>
              <w:rPr>
                <w:b/>
                <w:color w:val="000000"/>
              </w:rPr>
            </w:pPr>
            <w:r>
              <w:rPr>
                <w:b/>
                <w:color w:val="000000"/>
              </w:rPr>
              <w:t>53,496.13</w:t>
            </w:r>
          </w:p>
        </w:tc>
        <w:tc>
          <w:tcPr>
            <w:tcW w:w="542" w:type="pct"/>
            <w:vAlign w:val="center"/>
          </w:tcPr>
          <w:p w14:paraId="10355831" w14:textId="77777777" w:rsidR="004B0883" w:rsidRDefault="004B0883">
            <w:pPr>
              <w:jc w:val="right"/>
              <w:rPr>
                <w:b/>
                <w:color w:val="000000"/>
              </w:rPr>
            </w:pPr>
            <w:r>
              <w:rPr>
                <w:b/>
                <w:color w:val="000000"/>
              </w:rPr>
              <w:t>100.00%</w:t>
            </w:r>
          </w:p>
        </w:tc>
        <w:tc>
          <w:tcPr>
            <w:tcW w:w="542" w:type="pct"/>
            <w:vAlign w:val="center"/>
          </w:tcPr>
          <w:p w14:paraId="69851974" w14:textId="77777777" w:rsidR="004B0883" w:rsidRDefault="004B0883">
            <w:pPr>
              <w:jc w:val="right"/>
              <w:rPr>
                <w:b/>
                <w:color w:val="000000"/>
              </w:rPr>
            </w:pPr>
            <w:r>
              <w:rPr>
                <w:b/>
                <w:color w:val="000000"/>
              </w:rPr>
              <w:t>41,175.41</w:t>
            </w:r>
          </w:p>
        </w:tc>
        <w:tc>
          <w:tcPr>
            <w:tcW w:w="542" w:type="pct"/>
            <w:vAlign w:val="center"/>
          </w:tcPr>
          <w:p w14:paraId="322E662F" w14:textId="77777777" w:rsidR="004B0883" w:rsidRDefault="004B0883">
            <w:pPr>
              <w:jc w:val="right"/>
              <w:rPr>
                <w:b/>
                <w:color w:val="000000"/>
              </w:rPr>
            </w:pPr>
            <w:r>
              <w:rPr>
                <w:b/>
                <w:color w:val="000000"/>
              </w:rPr>
              <w:t>100.00%</w:t>
            </w:r>
          </w:p>
        </w:tc>
        <w:tc>
          <w:tcPr>
            <w:tcW w:w="585" w:type="pct"/>
            <w:vAlign w:val="center"/>
          </w:tcPr>
          <w:p w14:paraId="3912FA42" w14:textId="77777777" w:rsidR="004B0883" w:rsidRDefault="004B0883">
            <w:pPr>
              <w:jc w:val="right"/>
              <w:rPr>
                <w:b/>
                <w:color w:val="000000"/>
              </w:rPr>
            </w:pPr>
            <w:r>
              <w:rPr>
                <w:b/>
                <w:color w:val="000000"/>
              </w:rPr>
              <w:t>34,335.39</w:t>
            </w:r>
          </w:p>
        </w:tc>
        <w:tc>
          <w:tcPr>
            <w:tcW w:w="499" w:type="pct"/>
            <w:vAlign w:val="center"/>
          </w:tcPr>
          <w:p w14:paraId="28178002" w14:textId="77777777" w:rsidR="004B0883" w:rsidRDefault="004B0883">
            <w:pPr>
              <w:jc w:val="right"/>
              <w:rPr>
                <w:b/>
                <w:color w:val="000000"/>
              </w:rPr>
            </w:pPr>
            <w:r>
              <w:rPr>
                <w:b/>
                <w:color w:val="000000"/>
              </w:rPr>
              <w:t>100.00%</w:t>
            </w:r>
          </w:p>
        </w:tc>
      </w:tr>
    </w:tbl>
    <w:bookmarkEnd w:id="251"/>
    <w:p w14:paraId="33677E0B"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报告期各期，根据产品分类，公司主营业务收入来自阀门、过滤器、阀门零件及管件和汽车配件的销售，其中，阀门销售业务占公司主营业务收入的比例分别为</w:t>
      </w:r>
      <w:r>
        <w:rPr>
          <w:rFonts w:hint="eastAsia"/>
          <w:sz w:val="24"/>
          <w:szCs w:val="22"/>
        </w:rPr>
        <w:t>80.</w:t>
      </w:r>
      <w:r>
        <w:rPr>
          <w:sz w:val="24"/>
          <w:szCs w:val="22"/>
        </w:rPr>
        <w:t>40</w:t>
      </w:r>
      <w:r>
        <w:rPr>
          <w:rFonts w:hint="eastAsia"/>
          <w:sz w:val="24"/>
          <w:szCs w:val="22"/>
        </w:rPr>
        <w:t>%</w:t>
      </w:r>
      <w:r>
        <w:rPr>
          <w:rFonts w:hint="eastAsia"/>
          <w:sz w:val="24"/>
          <w:szCs w:val="22"/>
        </w:rPr>
        <w:t>、</w:t>
      </w:r>
      <w:r>
        <w:rPr>
          <w:rFonts w:hint="eastAsia"/>
          <w:sz w:val="24"/>
          <w:szCs w:val="22"/>
        </w:rPr>
        <w:t>78.</w:t>
      </w:r>
      <w:r>
        <w:rPr>
          <w:sz w:val="24"/>
          <w:szCs w:val="22"/>
        </w:rPr>
        <w:t>81</w:t>
      </w:r>
      <w:r>
        <w:rPr>
          <w:rFonts w:hint="eastAsia"/>
          <w:sz w:val="24"/>
          <w:szCs w:val="22"/>
        </w:rPr>
        <w:t>%</w:t>
      </w:r>
      <w:r>
        <w:rPr>
          <w:rFonts w:hint="eastAsia"/>
          <w:sz w:val="24"/>
          <w:szCs w:val="22"/>
        </w:rPr>
        <w:t>、</w:t>
      </w:r>
      <w:r>
        <w:rPr>
          <w:rFonts w:hint="eastAsia"/>
          <w:sz w:val="24"/>
          <w:szCs w:val="22"/>
        </w:rPr>
        <w:t>8</w:t>
      </w:r>
      <w:r>
        <w:rPr>
          <w:sz w:val="24"/>
          <w:szCs w:val="22"/>
        </w:rPr>
        <w:t>3</w:t>
      </w:r>
      <w:r>
        <w:rPr>
          <w:rFonts w:hint="eastAsia"/>
          <w:sz w:val="24"/>
          <w:szCs w:val="22"/>
        </w:rPr>
        <w:t>.</w:t>
      </w:r>
      <w:r>
        <w:rPr>
          <w:sz w:val="24"/>
          <w:szCs w:val="22"/>
        </w:rPr>
        <w:t>38</w:t>
      </w:r>
      <w:r>
        <w:rPr>
          <w:rFonts w:hint="eastAsia"/>
          <w:sz w:val="24"/>
          <w:szCs w:val="22"/>
        </w:rPr>
        <w:t>%</w:t>
      </w:r>
      <w:r>
        <w:rPr>
          <w:rFonts w:hint="eastAsia"/>
          <w:sz w:val="24"/>
          <w:szCs w:val="22"/>
        </w:rPr>
        <w:t>和</w:t>
      </w:r>
      <w:r>
        <w:rPr>
          <w:sz w:val="24"/>
          <w:szCs w:val="22"/>
        </w:rPr>
        <w:t>83.20%</w:t>
      </w:r>
      <w:r>
        <w:rPr>
          <w:rFonts w:hint="eastAsia"/>
          <w:sz w:val="24"/>
          <w:szCs w:val="22"/>
        </w:rPr>
        <w:t>，为公司主营业务收入的主要来源。报告期内，公司主营业务收入呈明显增长趋势，主要系阀门销售收入的快速增长。</w:t>
      </w:r>
    </w:p>
    <w:p w14:paraId="245B37E7"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报告期内，公司阀门销售收入的持续增长，主要系</w:t>
      </w:r>
      <w:r>
        <w:rPr>
          <w:rFonts w:hint="eastAsia"/>
          <w:sz w:val="24"/>
          <w:szCs w:val="22"/>
        </w:rPr>
        <w:t>2021</w:t>
      </w:r>
      <w:r>
        <w:rPr>
          <w:rFonts w:hint="eastAsia"/>
          <w:sz w:val="24"/>
          <w:szCs w:val="22"/>
        </w:rPr>
        <w:t>年以来公司产品的主要原材料价格持续上涨，成本端价格的提升支撑了阀门市场价格的提升，随着公司价格联动机制效应的落地，公司报告期内的阀门产品销售价格持续上调；此外，公司不断拓展海外市场，外销订单及销量持续增加，销售规模不断提高。</w:t>
      </w:r>
    </w:p>
    <w:p w14:paraId="5A7C4C78"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按销售区域划分，公司收入分为内销收入与外销收入，报告期各期，公司收入按地域分类情况如下：</w:t>
      </w:r>
    </w:p>
    <w:p w14:paraId="6D8E703B" w14:textId="77777777" w:rsidR="004B0883" w:rsidRDefault="004B0883">
      <w:pPr>
        <w:keepNext/>
        <w:widowControl w:val="0"/>
        <w:jc w:val="right"/>
        <w:rPr>
          <w:szCs w:val="22"/>
        </w:rPr>
      </w:pPr>
      <w:r>
        <w:rPr>
          <w:rFonts w:hint="eastAsia"/>
          <w:szCs w:val="22"/>
        </w:rPr>
        <w:t>单位：万元</w:t>
      </w:r>
    </w:p>
    <w:tbl>
      <w:tblPr>
        <w:tblW w:w="6000" w:type="pct"/>
        <w:jc w:val="center"/>
        <w:tblInd w:w="0" w:type="dxa"/>
        <w:tblBorders>
          <w:top w:val="single" w:sz="12" w:space="0" w:color="010000"/>
          <w:left w:val="single" w:sz="12" w:space="0" w:color="010000"/>
          <w:bottom w:val="single" w:sz="12" w:space="0" w:color="010000"/>
          <w:right w:val="single" w:sz="12" w:space="0" w:color="010000"/>
          <w:insideH w:val="single" w:sz="4" w:space="0" w:color="010000"/>
          <w:insideV w:val="single" w:sz="4" w:space="0" w:color="010000"/>
        </w:tblBorders>
        <w:tblLook w:val="0000" w:firstRow="0" w:lastRow="0" w:firstColumn="0" w:lastColumn="0" w:noHBand="0" w:noVBand="0"/>
      </w:tblPr>
      <w:tblGrid>
        <w:gridCol w:w="756"/>
        <w:gridCol w:w="1146"/>
        <w:gridCol w:w="1148"/>
        <w:gridCol w:w="1147"/>
        <w:gridCol w:w="1149"/>
        <w:gridCol w:w="1147"/>
        <w:gridCol w:w="1149"/>
        <w:gridCol w:w="1147"/>
        <w:gridCol w:w="1147"/>
      </w:tblGrid>
      <w:tr w:rsidR="004B0883" w14:paraId="3613CC22" w14:textId="77777777">
        <w:trPr>
          <w:cantSplit/>
          <w:trHeight w:val="397"/>
          <w:tblHeader/>
          <w:jc w:val="center"/>
        </w:trPr>
        <w:tc>
          <w:tcPr>
            <w:tcW w:w="381" w:type="pct"/>
            <w:vMerge w:val="restart"/>
            <w:tcBorders>
              <w:top w:val="single" w:sz="12" w:space="0" w:color="010000"/>
              <w:bottom w:val="single" w:sz="4" w:space="0" w:color="010000"/>
            </w:tcBorders>
            <w:shd w:val="clear" w:color="auto" w:fill="D9D9D9"/>
            <w:vAlign w:val="center"/>
          </w:tcPr>
          <w:p w14:paraId="0C748312" w14:textId="77777777" w:rsidR="004B0883" w:rsidRDefault="004B0883">
            <w:pPr>
              <w:jc w:val="center"/>
              <w:rPr>
                <w:b/>
                <w:color w:val="000000"/>
              </w:rPr>
            </w:pPr>
            <w:r>
              <w:rPr>
                <w:rFonts w:hint="eastAsia"/>
                <w:b/>
                <w:color w:val="000000"/>
              </w:rPr>
              <w:t>业务类别</w:t>
            </w:r>
          </w:p>
        </w:tc>
        <w:tc>
          <w:tcPr>
            <w:tcW w:w="1154" w:type="pct"/>
            <w:gridSpan w:val="2"/>
            <w:tcBorders>
              <w:top w:val="single" w:sz="12" w:space="0" w:color="010000"/>
              <w:bottom w:val="single" w:sz="4" w:space="0" w:color="010000"/>
            </w:tcBorders>
            <w:shd w:val="clear" w:color="auto" w:fill="D9D9D9"/>
            <w:vAlign w:val="center"/>
          </w:tcPr>
          <w:p w14:paraId="6CD4F1EC" w14:textId="77777777" w:rsidR="004B0883" w:rsidRDefault="004B0883">
            <w:pPr>
              <w:jc w:val="center"/>
              <w:rPr>
                <w:b/>
                <w:color w:val="000000"/>
              </w:rPr>
            </w:pPr>
            <w:r>
              <w:rPr>
                <w:b/>
                <w:color w:val="000000"/>
              </w:rPr>
              <w:t>2023</w:t>
            </w:r>
            <w:r>
              <w:rPr>
                <w:rFonts w:hint="eastAsia"/>
                <w:b/>
                <w:color w:val="000000"/>
              </w:rPr>
              <w:t>年</w:t>
            </w:r>
            <w:r>
              <w:rPr>
                <w:b/>
                <w:color w:val="000000"/>
              </w:rPr>
              <w:t>1-9</w:t>
            </w:r>
            <w:r>
              <w:rPr>
                <w:rFonts w:hint="eastAsia"/>
                <w:b/>
                <w:color w:val="000000"/>
              </w:rPr>
              <w:t>月</w:t>
            </w:r>
          </w:p>
        </w:tc>
        <w:tc>
          <w:tcPr>
            <w:tcW w:w="1155" w:type="pct"/>
            <w:gridSpan w:val="2"/>
            <w:tcBorders>
              <w:top w:val="single" w:sz="12" w:space="0" w:color="010000"/>
              <w:bottom w:val="single" w:sz="4" w:space="0" w:color="010000"/>
            </w:tcBorders>
            <w:shd w:val="clear" w:color="auto" w:fill="D9D9D9"/>
            <w:vAlign w:val="center"/>
          </w:tcPr>
          <w:p w14:paraId="4051E744" w14:textId="77777777" w:rsidR="004B0883" w:rsidRDefault="004B0883">
            <w:pPr>
              <w:jc w:val="center"/>
              <w:rPr>
                <w:b/>
                <w:color w:val="000000"/>
              </w:rPr>
            </w:pPr>
            <w:r>
              <w:rPr>
                <w:b/>
                <w:color w:val="000000"/>
              </w:rPr>
              <w:t>2022</w:t>
            </w:r>
            <w:r>
              <w:rPr>
                <w:rFonts w:hint="eastAsia"/>
                <w:b/>
                <w:color w:val="000000"/>
              </w:rPr>
              <w:t>年度</w:t>
            </w:r>
          </w:p>
        </w:tc>
        <w:tc>
          <w:tcPr>
            <w:tcW w:w="1155" w:type="pct"/>
            <w:gridSpan w:val="2"/>
            <w:tcBorders>
              <w:top w:val="single" w:sz="12" w:space="0" w:color="010000"/>
              <w:bottom w:val="single" w:sz="4" w:space="0" w:color="010000"/>
            </w:tcBorders>
            <w:shd w:val="clear" w:color="auto" w:fill="D9D9D9"/>
            <w:vAlign w:val="center"/>
          </w:tcPr>
          <w:p w14:paraId="2121F159" w14:textId="77777777" w:rsidR="004B0883" w:rsidRDefault="004B0883">
            <w:pPr>
              <w:jc w:val="center"/>
              <w:rPr>
                <w:b/>
                <w:color w:val="000000"/>
              </w:rPr>
            </w:pPr>
            <w:r>
              <w:rPr>
                <w:b/>
                <w:color w:val="000000"/>
              </w:rPr>
              <w:t>2021</w:t>
            </w:r>
            <w:r>
              <w:rPr>
                <w:rFonts w:hint="eastAsia"/>
                <w:b/>
                <w:color w:val="000000"/>
              </w:rPr>
              <w:t>年度</w:t>
            </w:r>
          </w:p>
        </w:tc>
        <w:tc>
          <w:tcPr>
            <w:tcW w:w="1154" w:type="pct"/>
            <w:gridSpan w:val="2"/>
            <w:tcBorders>
              <w:top w:val="single" w:sz="12" w:space="0" w:color="010000"/>
              <w:bottom w:val="single" w:sz="4" w:space="0" w:color="010000"/>
            </w:tcBorders>
            <w:shd w:val="clear" w:color="auto" w:fill="D9D9D9"/>
            <w:vAlign w:val="center"/>
          </w:tcPr>
          <w:p w14:paraId="2E34AE69" w14:textId="77777777" w:rsidR="004B0883" w:rsidRDefault="004B0883">
            <w:pPr>
              <w:jc w:val="center"/>
              <w:rPr>
                <w:b/>
                <w:color w:val="000000"/>
              </w:rPr>
            </w:pPr>
            <w:r>
              <w:rPr>
                <w:b/>
                <w:color w:val="000000"/>
              </w:rPr>
              <w:t>2020</w:t>
            </w:r>
            <w:r>
              <w:rPr>
                <w:rFonts w:hint="eastAsia"/>
                <w:b/>
                <w:color w:val="000000"/>
              </w:rPr>
              <w:t>年度</w:t>
            </w:r>
          </w:p>
        </w:tc>
      </w:tr>
      <w:tr w:rsidR="004B0883" w14:paraId="6568DB35" w14:textId="77777777">
        <w:trPr>
          <w:cantSplit/>
          <w:trHeight w:val="397"/>
          <w:tblHeader/>
          <w:jc w:val="center"/>
        </w:trPr>
        <w:tc>
          <w:tcPr>
            <w:tcW w:w="381" w:type="pct"/>
            <w:vMerge/>
            <w:tcBorders>
              <w:top w:val="single" w:sz="4" w:space="0" w:color="010000"/>
              <w:bottom w:val="single" w:sz="4" w:space="0" w:color="010000"/>
            </w:tcBorders>
            <w:shd w:val="clear" w:color="auto" w:fill="D9D9D9"/>
            <w:vAlign w:val="center"/>
          </w:tcPr>
          <w:p w14:paraId="308B13F6" w14:textId="77777777" w:rsidR="004B0883" w:rsidRDefault="004B0883">
            <w:pPr>
              <w:jc w:val="center"/>
              <w:rPr>
                <w:b/>
                <w:color w:val="000000"/>
              </w:rPr>
            </w:pPr>
          </w:p>
        </w:tc>
        <w:tc>
          <w:tcPr>
            <w:tcW w:w="577" w:type="pct"/>
            <w:tcBorders>
              <w:top w:val="single" w:sz="4" w:space="0" w:color="010000"/>
              <w:bottom w:val="single" w:sz="4" w:space="0" w:color="010000"/>
            </w:tcBorders>
            <w:shd w:val="clear" w:color="auto" w:fill="D9D9D9"/>
            <w:vAlign w:val="center"/>
          </w:tcPr>
          <w:p w14:paraId="62899583" w14:textId="77777777" w:rsidR="004B0883" w:rsidRDefault="004B0883">
            <w:pPr>
              <w:jc w:val="center"/>
              <w:rPr>
                <w:b/>
                <w:color w:val="000000"/>
              </w:rPr>
            </w:pPr>
            <w:r>
              <w:rPr>
                <w:rFonts w:hint="eastAsia"/>
                <w:b/>
                <w:color w:val="000000"/>
              </w:rPr>
              <w:t>金额</w:t>
            </w:r>
          </w:p>
        </w:tc>
        <w:tc>
          <w:tcPr>
            <w:tcW w:w="578" w:type="pct"/>
            <w:tcBorders>
              <w:top w:val="single" w:sz="4" w:space="0" w:color="010000"/>
              <w:bottom w:val="single" w:sz="4" w:space="0" w:color="010000"/>
            </w:tcBorders>
            <w:shd w:val="clear" w:color="auto" w:fill="D9D9D9"/>
            <w:vAlign w:val="center"/>
          </w:tcPr>
          <w:p w14:paraId="5339B7ED" w14:textId="77777777" w:rsidR="004B0883" w:rsidRDefault="004B0883">
            <w:pPr>
              <w:jc w:val="center"/>
              <w:rPr>
                <w:b/>
                <w:color w:val="000000"/>
              </w:rPr>
            </w:pPr>
            <w:r>
              <w:rPr>
                <w:rFonts w:hint="eastAsia"/>
                <w:b/>
                <w:color w:val="000000"/>
              </w:rPr>
              <w:t>占比</w:t>
            </w:r>
          </w:p>
        </w:tc>
        <w:tc>
          <w:tcPr>
            <w:tcW w:w="577" w:type="pct"/>
            <w:tcBorders>
              <w:top w:val="single" w:sz="4" w:space="0" w:color="010000"/>
              <w:bottom w:val="single" w:sz="4" w:space="0" w:color="010000"/>
            </w:tcBorders>
            <w:shd w:val="clear" w:color="auto" w:fill="D9D9D9"/>
            <w:vAlign w:val="center"/>
          </w:tcPr>
          <w:p w14:paraId="6851EA2B" w14:textId="77777777" w:rsidR="004B0883" w:rsidRDefault="004B0883">
            <w:pPr>
              <w:jc w:val="center"/>
              <w:rPr>
                <w:b/>
                <w:color w:val="000000"/>
              </w:rPr>
            </w:pPr>
            <w:r>
              <w:rPr>
                <w:rFonts w:hint="eastAsia"/>
                <w:b/>
                <w:color w:val="000000"/>
              </w:rPr>
              <w:t>金额</w:t>
            </w:r>
          </w:p>
        </w:tc>
        <w:tc>
          <w:tcPr>
            <w:tcW w:w="578" w:type="pct"/>
            <w:tcBorders>
              <w:top w:val="single" w:sz="4" w:space="0" w:color="010000"/>
              <w:bottom w:val="single" w:sz="4" w:space="0" w:color="010000"/>
            </w:tcBorders>
            <w:shd w:val="clear" w:color="auto" w:fill="D9D9D9"/>
            <w:vAlign w:val="center"/>
          </w:tcPr>
          <w:p w14:paraId="2991631E" w14:textId="77777777" w:rsidR="004B0883" w:rsidRDefault="004B0883">
            <w:pPr>
              <w:jc w:val="center"/>
              <w:rPr>
                <w:b/>
                <w:color w:val="000000"/>
              </w:rPr>
            </w:pPr>
            <w:r>
              <w:rPr>
                <w:rFonts w:hint="eastAsia"/>
                <w:b/>
                <w:color w:val="000000"/>
              </w:rPr>
              <w:t>占比</w:t>
            </w:r>
          </w:p>
        </w:tc>
        <w:tc>
          <w:tcPr>
            <w:tcW w:w="577" w:type="pct"/>
            <w:tcBorders>
              <w:top w:val="single" w:sz="4" w:space="0" w:color="010000"/>
              <w:bottom w:val="single" w:sz="4" w:space="0" w:color="010000"/>
            </w:tcBorders>
            <w:shd w:val="clear" w:color="auto" w:fill="D9D9D9"/>
            <w:vAlign w:val="center"/>
          </w:tcPr>
          <w:p w14:paraId="4994342A" w14:textId="77777777" w:rsidR="004B0883" w:rsidRDefault="004B0883">
            <w:pPr>
              <w:jc w:val="center"/>
              <w:rPr>
                <w:b/>
                <w:color w:val="000000"/>
              </w:rPr>
            </w:pPr>
            <w:r>
              <w:rPr>
                <w:rFonts w:hint="eastAsia"/>
                <w:b/>
                <w:color w:val="000000"/>
              </w:rPr>
              <w:t>金额</w:t>
            </w:r>
          </w:p>
        </w:tc>
        <w:tc>
          <w:tcPr>
            <w:tcW w:w="578" w:type="pct"/>
            <w:tcBorders>
              <w:top w:val="single" w:sz="4" w:space="0" w:color="010000"/>
              <w:bottom w:val="single" w:sz="4" w:space="0" w:color="010000"/>
            </w:tcBorders>
            <w:shd w:val="clear" w:color="auto" w:fill="D9D9D9"/>
            <w:vAlign w:val="center"/>
          </w:tcPr>
          <w:p w14:paraId="55A206EC" w14:textId="77777777" w:rsidR="004B0883" w:rsidRDefault="004B0883">
            <w:pPr>
              <w:jc w:val="center"/>
              <w:rPr>
                <w:b/>
                <w:color w:val="000000"/>
              </w:rPr>
            </w:pPr>
            <w:r>
              <w:rPr>
                <w:rFonts w:hint="eastAsia"/>
                <w:b/>
                <w:color w:val="000000"/>
              </w:rPr>
              <w:t>占比</w:t>
            </w:r>
          </w:p>
        </w:tc>
        <w:tc>
          <w:tcPr>
            <w:tcW w:w="577" w:type="pct"/>
            <w:tcBorders>
              <w:top w:val="single" w:sz="4" w:space="0" w:color="010000"/>
              <w:bottom w:val="single" w:sz="4" w:space="0" w:color="010000"/>
            </w:tcBorders>
            <w:shd w:val="clear" w:color="auto" w:fill="D9D9D9"/>
            <w:vAlign w:val="center"/>
          </w:tcPr>
          <w:p w14:paraId="43F07981" w14:textId="77777777" w:rsidR="004B0883" w:rsidRDefault="004B0883">
            <w:pPr>
              <w:jc w:val="center"/>
              <w:rPr>
                <w:b/>
                <w:color w:val="000000"/>
              </w:rPr>
            </w:pPr>
            <w:r>
              <w:rPr>
                <w:rFonts w:hint="eastAsia"/>
                <w:b/>
                <w:color w:val="000000"/>
              </w:rPr>
              <w:t>金额</w:t>
            </w:r>
          </w:p>
        </w:tc>
        <w:tc>
          <w:tcPr>
            <w:tcW w:w="577" w:type="pct"/>
            <w:tcBorders>
              <w:top w:val="single" w:sz="4" w:space="0" w:color="010000"/>
              <w:bottom w:val="single" w:sz="4" w:space="0" w:color="010000"/>
            </w:tcBorders>
            <w:shd w:val="clear" w:color="auto" w:fill="D9D9D9"/>
            <w:vAlign w:val="center"/>
          </w:tcPr>
          <w:p w14:paraId="7B7227AC" w14:textId="77777777" w:rsidR="004B0883" w:rsidRDefault="004B0883">
            <w:pPr>
              <w:jc w:val="center"/>
              <w:rPr>
                <w:b/>
                <w:color w:val="000000"/>
              </w:rPr>
            </w:pPr>
            <w:r>
              <w:rPr>
                <w:rFonts w:hint="eastAsia"/>
                <w:b/>
                <w:color w:val="000000"/>
              </w:rPr>
              <w:t>占比</w:t>
            </w:r>
          </w:p>
        </w:tc>
      </w:tr>
      <w:tr w:rsidR="004B0883" w14:paraId="2EFED2E8" w14:textId="77777777">
        <w:trPr>
          <w:cantSplit/>
          <w:trHeight w:val="397"/>
          <w:jc w:val="center"/>
        </w:trPr>
        <w:tc>
          <w:tcPr>
            <w:tcW w:w="381" w:type="pct"/>
            <w:tcBorders>
              <w:top w:val="single" w:sz="4" w:space="0" w:color="010000"/>
            </w:tcBorders>
            <w:noWrap/>
            <w:vAlign w:val="center"/>
          </w:tcPr>
          <w:p w14:paraId="02AE657C" w14:textId="77777777" w:rsidR="004B0883" w:rsidRDefault="004B0883">
            <w:pPr>
              <w:rPr>
                <w:color w:val="000000"/>
              </w:rPr>
            </w:pPr>
            <w:r>
              <w:rPr>
                <w:rFonts w:hint="eastAsia"/>
                <w:color w:val="000000"/>
              </w:rPr>
              <w:t>外销</w:t>
            </w:r>
          </w:p>
        </w:tc>
        <w:tc>
          <w:tcPr>
            <w:tcW w:w="577" w:type="pct"/>
            <w:tcBorders>
              <w:top w:val="single" w:sz="4" w:space="0" w:color="010000"/>
            </w:tcBorders>
            <w:vAlign w:val="center"/>
          </w:tcPr>
          <w:p w14:paraId="777808BB" w14:textId="77777777" w:rsidR="004B0883" w:rsidRDefault="004B0883">
            <w:pPr>
              <w:jc w:val="right"/>
              <w:rPr>
                <w:rFonts w:hint="eastAsia"/>
                <w:color w:val="000000"/>
                <w:szCs w:val="22"/>
              </w:rPr>
            </w:pPr>
            <w:r>
              <w:rPr>
                <w:color w:val="000000"/>
              </w:rPr>
              <w:t>32,056.10</w:t>
            </w:r>
          </w:p>
        </w:tc>
        <w:tc>
          <w:tcPr>
            <w:tcW w:w="578" w:type="pct"/>
            <w:tcBorders>
              <w:top w:val="single" w:sz="4" w:space="0" w:color="010000"/>
            </w:tcBorders>
            <w:noWrap/>
            <w:vAlign w:val="center"/>
          </w:tcPr>
          <w:p w14:paraId="52F3E11A" w14:textId="77777777" w:rsidR="004B0883" w:rsidRDefault="004B0883">
            <w:pPr>
              <w:jc w:val="right"/>
              <w:rPr>
                <w:color w:val="000000"/>
              </w:rPr>
            </w:pPr>
            <w:r>
              <w:rPr>
                <w:rFonts w:hint="eastAsia"/>
                <w:color w:val="000000"/>
              </w:rPr>
              <w:t>80.32%</w:t>
            </w:r>
          </w:p>
        </w:tc>
        <w:tc>
          <w:tcPr>
            <w:tcW w:w="577" w:type="pct"/>
            <w:tcBorders>
              <w:top w:val="single" w:sz="4" w:space="0" w:color="010000"/>
            </w:tcBorders>
            <w:vAlign w:val="center"/>
          </w:tcPr>
          <w:p w14:paraId="710F73E4" w14:textId="77777777" w:rsidR="004B0883" w:rsidRDefault="004B0883">
            <w:pPr>
              <w:jc w:val="right"/>
              <w:rPr>
                <w:color w:val="000000"/>
              </w:rPr>
            </w:pPr>
            <w:r>
              <w:rPr>
                <w:color w:val="000000"/>
                <w:szCs w:val="22"/>
              </w:rPr>
              <w:t>45,118.28</w:t>
            </w:r>
          </w:p>
        </w:tc>
        <w:tc>
          <w:tcPr>
            <w:tcW w:w="578" w:type="pct"/>
            <w:tcBorders>
              <w:top w:val="single" w:sz="4" w:space="0" w:color="010000"/>
            </w:tcBorders>
            <w:noWrap/>
            <w:vAlign w:val="center"/>
          </w:tcPr>
          <w:p w14:paraId="78DDDCAC" w14:textId="77777777" w:rsidR="004B0883" w:rsidRDefault="004B0883">
            <w:pPr>
              <w:jc w:val="right"/>
              <w:rPr>
                <w:color w:val="000000"/>
              </w:rPr>
            </w:pPr>
            <w:r>
              <w:rPr>
                <w:rFonts w:hint="eastAsia"/>
                <w:color w:val="000000"/>
              </w:rPr>
              <w:t>83.53%</w:t>
            </w:r>
          </w:p>
        </w:tc>
        <w:tc>
          <w:tcPr>
            <w:tcW w:w="577" w:type="pct"/>
            <w:tcBorders>
              <w:top w:val="single" w:sz="4" w:space="0" w:color="010000"/>
            </w:tcBorders>
            <w:vAlign w:val="center"/>
          </w:tcPr>
          <w:p w14:paraId="7267B395" w14:textId="77777777" w:rsidR="004B0883" w:rsidRDefault="004B0883">
            <w:pPr>
              <w:jc w:val="right"/>
              <w:rPr>
                <w:color w:val="000000"/>
              </w:rPr>
            </w:pPr>
            <w:r>
              <w:rPr>
                <w:color w:val="000000"/>
              </w:rPr>
              <w:t>31,275.26</w:t>
            </w:r>
          </w:p>
        </w:tc>
        <w:tc>
          <w:tcPr>
            <w:tcW w:w="578" w:type="pct"/>
            <w:tcBorders>
              <w:top w:val="single" w:sz="4" w:space="0" w:color="010000"/>
            </w:tcBorders>
            <w:noWrap/>
            <w:vAlign w:val="center"/>
          </w:tcPr>
          <w:p w14:paraId="0F615A23" w14:textId="77777777" w:rsidR="004B0883" w:rsidRDefault="004B0883">
            <w:pPr>
              <w:jc w:val="right"/>
              <w:rPr>
                <w:color w:val="000000"/>
              </w:rPr>
            </w:pPr>
            <w:r>
              <w:rPr>
                <w:rFonts w:hint="eastAsia"/>
                <w:color w:val="000000"/>
              </w:rPr>
              <w:t>75.33%</w:t>
            </w:r>
          </w:p>
        </w:tc>
        <w:tc>
          <w:tcPr>
            <w:tcW w:w="577" w:type="pct"/>
            <w:tcBorders>
              <w:top w:val="single" w:sz="4" w:space="0" w:color="010000"/>
            </w:tcBorders>
            <w:vAlign w:val="center"/>
          </w:tcPr>
          <w:p w14:paraId="24CB9FB2" w14:textId="77777777" w:rsidR="004B0883" w:rsidRDefault="004B0883">
            <w:pPr>
              <w:jc w:val="right"/>
              <w:rPr>
                <w:color w:val="000000"/>
              </w:rPr>
            </w:pPr>
            <w:r>
              <w:rPr>
                <w:color w:val="000000"/>
              </w:rPr>
              <w:t>27,604.16</w:t>
            </w:r>
          </w:p>
        </w:tc>
        <w:tc>
          <w:tcPr>
            <w:tcW w:w="577" w:type="pct"/>
            <w:tcBorders>
              <w:top w:val="single" w:sz="4" w:space="0" w:color="010000"/>
            </w:tcBorders>
            <w:noWrap/>
            <w:vAlign w:val="center"/>
          </w:tcPr>
          <w:p w14:paraId="32BA453C" w14:textId="77777777" w:rsidR="004B0883" w:rsidRDefault="004B0883">
            <w:pPr>
              <w:jc w:val="right"/>
              <w:rPr>
                <w:color w:val="000000"/>
              </w:rPr>
            </w:pPr>
            <w:r>
              <w:rPr>
                <w:rFonts w:hint="eastAsia"/>
                <w:color w:val="000000"/>
              </w:rPr>
              <w:t>80.11%</w:t>
            </w:r>
          </w:p>
        </w:tc>
      </w:tr>
      <w:tr w:rsidR="004B0883" w14:paraId="6707728A" w14:textId="77777777">
        <w:trPr>
          <w:cantSplit/>
          <w:trHeight w:val="397"/>
          <w:jc w:val="center"/>
        </w:trPr>
        <w:tc>
          <w:tcPr>
            <w:tcW w:w="381" w:type="pct"/>
            <w:noWrap/>
            <w:vAlign w:val="center"/>
          </w:tcPr>
          <w:p w14:paraId="00EDEC65" w14:textId="77777777" w:rsidR="004B0883" w:rsidRDefault="004B0883">
            <w:pPr>
              <w:rPr>
                <w:color w:val="000000"/>
              </w:rPr>
            </w:pPr>
            <w:r>
              <w:rPr>
                <w:rFonts w:hint="eastAsia"/>
                <w:color w:val="000000"/>
              </w:rPr>
              <w:t>内销</w:t>
            </w:r>
          </w:p>
        </w:tc>
        <w:tc>
          <w:tcPr>
            <w:tcW w:w="577" w:type="pct"/>
            <w:vAlign w:val="center"/>
          </w:tcPr>
          <w:p w14:paraId="42929790" w14:textId="77777777" w:rsidR="004B0883" w:rsidRDefault="004B0883">
            <w:pPr>
              <w:jc w:val="right"/>
              <w:rPr>
                <w:color w:val="000000"/>
                <w:szCs w:val="22"/>
              </w:rPr>
            </w:pPr>
            <w:r>
              <w:rPr>
                <w:color w:val="000000"/>
              </w:rPr>
              <w:t>7,853.61</w:t>
            </w:r>
          </w:p>
        </w:tc>
        <w:tc>
          <w:tcPr>
            <w:tcW w:w="578" w:type="pct"/>
            <w:noWrap/>
            <w:vAlign w:val="center"/>
          </w:tcPr>
          <w:p w14:paraId="0CCD43FC" w14:textId="77777777" w:rsidR="004B0883" w:rsidRDefault="004B0883">
            <w:pPr>
              <w:jc w:val="right"/>
              <w:rPr>
                <w:color w:val="000000"/>
              </w:rPr>
            </w:pPr>
            <w:r>
              <w:rPr>
                <w:rFonts w:hint="eastAsia"/>
                <w:color w:val="000000"/>
              </w:rPr>
              <w:t>19.68%</w:t>
            </w:r>
          </w:p>
        </w:tc>
        <w:tc>
          <w:tcPr>
            <w:tcW w:w="577" w:type="pct"/>
            <w:vAlign w:val="center"/>
          </w:tcPr>
          <w:p w14:paraId="39B5E33A" w14:textId="77777777" w:rsidR="004B0883" w:rsidRDefault="004B0883">
            <w:pPr>
              <w:jc w:val="right"/>
              <w:rPr>
                <w:color w:val="000000"/>
              </w:rPr>
            </w:pPr>
            <w:r>
              <w:rPr>
                <w:color w:val="000000"/>
                <w:szCs w:val="22"/>
              </w:rPr>
              <w:t>8,895.88</w:t>
            </w:r>
          </w:p>
        </w:tc>
        <w:tc>
          <w:tcPr>
            <w:tcW w:w="578" w:type="pct"/>
            <w:noWrap/>
            <w:vAlign w:val="center"/>
          </w:tcPr>
          <w:p w14:paraId="11DB0941" w14:textId="77777777" w:rsidR="004B0883" w:rsidRDefault="004B0883">
            <w:pPr>
              <w:jc w:val="right"/>
              <w:rPr>
                <w:color w:val="000000"/>
              </w:rPr>
            </w:pPr>
            <w:r>
              <w:rPr>
                <w:rFonts w:hint="eastAsia"/>
                <w:color w:val="000000"/>
              </w:rPr>
              <w:t>16.47%</w:t>
            </w:r>
          </w:p>
        </w:tc>
        <w:tc>
          <w:tcPr>
            <w:tcW w:w="577" w:type="pct"/>
            <w:vAlign w:val="center"/>
          </w:tcPr>
          <w:p w14:paraId="1AFECCA5" w14:textId="77777777" w:rsidR="004B0883" w:rsidRDefault="004B0883">
            <w:pPr>
              <w:jc w:val="right"/>
              <w:rPr>
                <w:color w:val="000000"/>
              </w:rPr>
            </w:pPr>
            <w:r>
              <w:rPr>
                <w:color w:val="000000"/>
              </w:rPr>
              <w:t>10,241.01</w:t>
            </w:r>
          </w:p>
        </w:tc>
        <w:tc>
          <w:tcPr>
            <w:tcW w:w="578" w:type="pct"/>
            <w:noWrap/>
            <w:vAlign w:val="center"/>
          </w:tcPr>
          <w:p w14:paraId="3BFD9B1A" w14:textId="77777777" w:rsidR="004B0883" w:rsidRDefault="004B0883">
            <w:pPr>
              <w:jc w:val="right"/>
              <w:rPr>
                <w:color w:val="000000"/>
              </w:rPr>
            </w:pPr>
            <w:r>
              <w:rPr>
                <w:rFonts w:hint="eastAsia"/>
                <w:color w:val="000000"/>
              </w:rPr>
              <w:t>24.67%</w:t>
            </w:r>
          </w:p>
        </w:tc>
        <w:tc>
          <w:tcPr>
            <w:tcW w:w="577" w:type="pct"/>
            <w:vAlign w:val="center"/>
          </w:tcPr>
          <w:p w14:paraId="0B340107" w14:textId="77777777" w:rsidR="004B0883" w:rsidRDefault="004B0883">
            <w:pPr>
              <w:jc w:val="right"/>
              <w:rPr>
                <w:color w:val="000000"/>
              </w:rPr>
            </w:pPr>
            <w:r>
              <w:rPr>
                <w:color w:val="000000"/>
              </w:rPr>
              <w:t>6,854.84</w:t>
            </w:r>
          </w:p>
        </w:tc>
        <w:tc>
          <w:tcPr>
            <w:tcW w:w="577" w:type="pct"/>
            <w:noWrap/>
            <w:vAlign w:val="center"/>
          </w:tcPr>
          <w:p w14:paraId="65180F15" w14:textId="77777777" w:rsidR="004B0883" w:rsidRDefault="004B0883">
            <w:pPr>
              <w:jc w:val="right"/>
              <w:rPr>
                <w:color w:val="000000"/>
              </w:rPr>
            </w:pPr>
            <w:r>
              <w:rPr>
                <w:rFonts w:hint="eastAsia"/>
                <w:color w:val="000000"/>
              </w:rPr>
              <w:t>19.89%</w:t>
            </w:r>
          </w:p>
        </w:tc>
      </w:tr>
      <w:tr w:rsidR="004B0883" w14:paraId="16CC7F24" w14:textId="77777777">
        <w:trPr>
          <w:cantSplit/>
          <w:trHeight w:val="397"/>
          <w:jc w:val="center"/>
        </w:trPr>
        <w:tc>
          <w:tcPr>
            <w:tcW w:w="381" w:type="pct"/>
            <w:noWrap/>
            <w:vAlign w:val="center"/>
          </w:tcPr>
          <w:p w14:paraId="23C21723" w14:textId="77777777" w:rsidR="004B0883" w:rsidRDefault="004B0883">
            <w:pPr>
              <w:jc w:val="center"/>
              <w:rPr>
                <w:b/>
                <w:color w:val="000000"/>
              </w:rPr>
            </w:pPr>
            <w:r>
              <w:rPr>
                <w:rFonts w:hint="eastAsia"/>
                <w:b/>
                <w:color w:val="000000"/>
              </w:rPr>
              <w:t>合计</w:t>
            </w:r>
          </w:p>
        </w:tc>
        <w:tc>
          <w:tcPr>
            <w:tcW w:w="577" w:type="pct"/>
            <w:vAlign w:val="center"/>
          </w:tcPr>
          <w:p w14:paraId="67FE6EFB" w14:textId="77777777" w:rsidR="004B0883" w:rsidRDefault="004B0883">
            <w:pPr>
              <w:jc w:val="right"/>
              <w:rPr>
                <w:b/>
                <w:bCs/>
                <w:color w:val="000000"/>
                <w:szCs w:val="22"/>
              </w:rPr>
            </w:pPr>
            <w:r>
              <w:rPr>
                <w:b/>
                <w:color w:val="000000"/>
              </w:rPr>
              <w:t>39,909.71</w:t>
            </w:r>
          </w:p>
        </w:tc>
        <w:tc>
          <w:tcPr>
            <w:tcW w:w="578" w:type="pct"/>
            <w:vAlign w:val="center"/>
          </w:tcPr>
          <w:p w14:paraId="26F48826" w14:textId="77777777" w:rsidR="004B0883" w:rsidRDefault="004B0883">
            <w:pPr>
              <w:jc w:val="right"/>
              <w:rPr>
                <w:b/>
                <w:color w:val="000000"/>
              </w:rPr>
            </w:pPr>
            <w:r>
              <w:rPr>
                <w:b/>
                <w:color w:val="000000"/>
              </w:rPr>
              <w:t>100.00%</w:t>
            </w:r>
          </w:p>
        </w:tc>
        <w:tc>
          <w:tcPr>
            <w:tcW w:w="577" w:type="pct"/>
            <w:vAlign w:val="center"/>
          </w:tcPr>
          <w:p w14:paraId="0E17E20A" w14:textId="77777777" w:rsidR="004B0883" w:rsidRDefault="004B0883">
            <w:pPr>
              <w:jc w:val="right"/>
              <w:rPr>
                <w:b/>
                <w:color w:val="000000"/>
              </w:rPr>
            </w:pPr>
            <w:r>
              <w:rPr>
                <w:b/>
                <w:color w:val="000000"/>
              </w:rPr>
              <w:t>54,014.16</w:t>
            </w:r>
          </w:p>
        </w:tc>
        <w:tc>
          <w:tcPr>
            <w:tcW w:w="578" w:type="pct"/>
            <w:vAlign w:val="center"/>
          </w:tcPr>
          <w:p w14:paraId="45475101" w14:textId="77777777" w:rsidR="004B0883" w:rsidRDefault="004B0883">
            <w:pPr>
              <w:jc w:val="right"/>
              <w:rPr>
                <w:b/>
                <w:color w:val="000000"/>
              </w:rPr>
            </w:pPr>
            <w:r>
              <w:rPr>
                <w:b/>
                <w:color w:val="000000"/>
              </w:rPr>
              <w:t>100.00%</w:t>
            </w:r>
          </w:p>
        </w:tc>
        <w:tc>
          <w:tcPr>
            <w:tcW w:w="577" w:type="pct"/>
            <w:vAlign w:val="center"/>
          </w:tcPr>
          <w:p w14:paraId="5BFB761E" w14:textId="77777777" w:rsidR="004B0883" w:rsidRDefault="004B0883">
            <w:pPr>
              <w:jc w:val="right"/>
              <w:rPr>
                <w:b/>
                <w:color w:val="000000"/>
              </w:rPr>
            </w:pPr>
            <w:r>
              <w:rPr>
                <w:b/>
                <w:color w:val="000000"/>
              </w:rPr>
              <w:t>41,516.27</w:t>
            </w:r>
          </w:p>
        </w:tc>
        <w:tc>
          <w:tcPr>
            <w:tcW w:w="578" w:type="pct"/>
            <w:vAlign w:val="center"/>
          </w:tcPr>
          <w:p w14:paraId="58EF462C" w14:textId="77777777" w:rsidR="004B0883" w:rsidRDefault="004B0883">
            <w:pPr>
              <w:jc w:val="right"/>
              <w:rPr>
                <w:b/>
                <w:color w:val="000000"/>
              </w:rPr>
            </w:pPr>
            <w:r>
              <w:rPr>
                <w:b/>
                <w:color w:val="000000"/>
              </w:rPr>
              <w:t>100.00%</w:t>
            </w:r>
          </w:p>
        </w:tc>
        <w:tc>
          <w:tcPr>
            <w:tcW w:w="577" w:type="pct"/>
            <w:vAlign w:val="center"/>
          </w:tcPr>
          <w:p w14:paraId="6E63E7B0" w14:textId="77777777" w:rsidR="004B0883" w:rsidRDefault="004B0883">
            <w:pPr>
              <w:jc w:val="right"/>
              <w:rPr>
                <w:b/>
                <w:color w:val="000000"/>
              </w:rPr>
            </w:pPr>
            <w:r>
              <w:rPr>
                <w:b/>
                <w:color w:val="000000"/>
              </w:rPr>
              <w:t>34,459.00</w:t>
            </w:r>
          </w:p>
        </w:tc>
        <w:tc>
          <w:tcPr>
            <w:tcW w:w="577" w:type="pct"/>
            <w:vAlign w:val="center"/>
          </w:tcPr>
          <w:p w14:paraId="09BC45C0" w14:textId="77777777" w:rsidR="004B0883" w:rsidRDefault="004B0883">
            <w:pPr>
              <w:jc w:val="right"/>
              <w:rPr>
                <w:b/>
                <w:color w:val="000000"/>
              </w:rPr>
            </w:pPr>
            <w:r>
              <w:rPr>
                <w:b/>
                <w:color w:val="000000"/>
              </w:rPr>
              <w:t>100.00%</w:t>
            </w:r>
          </w:p>
        </w:tc>
      </w:tr>
    </w:tbl>
    <w:p w14:paraId="3E3637E2"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报告期各期，公司外销收入占收入的比重分别为</w:t>
      </w:r>
      <w:r>
        <w:rPr>
          <w:rFonts w:hint="eastAsia"/>
          <w:sz w:val="24"/>
          <w:szCs w:val="22"/>
        </w:rPr>
        <w:t>8</w:t>
      </w:r>
      <w:r>
        <w:rPr>
          <w:sz w:val="24"/>
          <w:szCs w:val="22"/>
        </w:rPr>
        <w:t>0.11%</w:t>
      </w:r>
      <w:r>
        <w:rPr>
          <w:rFonts w:hint="eastAsia"/>
          <w:sz w:val="24"/>
          <w:szCs w:val="22"/>
        </w:rPr>
        <w:t>、</w:t>
      </w:r>
      <w:r>
        <w:rPr>
          <w:rFonts w:hint="eastAsia"/>
          <w:sz w:val="24"/>
          <w:szCs w:val="22"/>
        </w:rPr>
        <w:t>7</w:t>
      </w:r>
      <w:r>
        <w:rPr>
          <w:sz w:val="24"/>
          <w:szCs w:val="22"/>
        </w:rPr>
        <w:t>5.33%</w:t>
      </w:r>
      <w:r>
        <w:rPr>
          <w:rFonts w:hint="eastAsia"/>
          <w:sz w:val="24"/>
          <w:szCs w:val="22"/>
        </w:rPr>
        <w:t>、</w:t>
      </w:r>
      <w:r>
        <w:rPr>
          <w:rFonts w:hint="eastAsia"/>
          <w:sz w:val="24"/>
          <w:szCs w:val="22"/>
        </w:rPr>
        <w:t>8</w:t>
      </w:r>
      <w:r>
        <w:rPr>
          <w:sz w:val="24"/>
          <w:szCs w:val="22"/>
        </w:rPr>
        <w:t>3.53%</w:t>
      </w:r>
      <w:r>
        <w:rPr>
          <w:rFonts w:hint="eastAsia"/>
          <w:sz w:val="24"/>
          <w:szCs w:val="22"/>
        </w:rPr>
        <w:t>及</w:t>
      </w:r>
      <w:r>
        <w:rPr>
          <w:sz w:val="24"/>
          <w:szCs w:val="22"/>
        </w:rPr>
        <w:t>80.32%</w:t>
      </w:r>
      <w:r>
        <w:rPr>
          <w:rFonts w:hint="eastAsia"/>
          <w:sz w:val="24"/>
          <w:szCs w:val="22"/>
        </w:rPr>
        <w:t>，为收入的主要来源。</w:t>
      </w:r>
      <w:r>
        <w:rPr>
          <w:rFonts w:hint="eastAsia"/>
          <w:sz w:val="24"/>
          <w:szCs w:val="22"/>
        </w:rPr>
        <w:t>2022</w:t>
      </w:r>
      <w:r>
        <w:rPr>
          <w:rFonts w:hint="eastAsia"/>
          <w:sz w:val="24"/>
          <w:szCs w:val="22"/>
        </w:rPr>
        <w:t>年随着全球突发性公共卫生事件的逐步缓解，公司及时复产复工并进一步扩大了海外市场的开拓，外销的订单量和销售发货量较上年同期呈大幅增长。</w:t>
      </w:r>
    </w:p>
    <w:p w14:paraId="410AAE98" w14:textId="77777777" w:rsidR="004B0883" w:rsidRDefault="004B0883">
      <w:pPr>
        <w:widowControl w:val="0"/>
        <w:spacing w:beforeLines="50" w:before="120" w:line="360" w:lineRule="auto"/>
        <w:ind w:firstLineChars="200" w:firstLine="480"/>
        <w:jc w:val="both"/>
        <w:rPr>
          <w:sz w:val="24"/>
          <w:szCs w:val="22"/>
        </w:rPr>
      </w:pPr>
      <w:bookmarkStart w:id="252" w:name="_Hlk144291797"/>
      <w:r>
        <w:rPr>
          <w:rFonts w:hint="eastAsia"/>
          <w:sz w:val="24"/>
          <w:szCs w:val="22"/>
        </w:rPr>
        <w:t>报告期各期，公司分销售模式的收入构成情况如下：</w:t>
      </w:r>
    </w:p>
    <w:p w14:paraId="51D8E0B9" w14:textId="77777777" w:rsidR="004B0883" w:rsidRDefault="004B0883">
      <w:pPr>
        <w:keepNext/>
        <w:widowControl w:val="0"/>
        <w:jc w:val="right"/>
        <w:rPr>
          <w:szCs w:val="22"/>
        </w:rPr>
      </w:pPr>
      <w:r>
        <w:rPr>
          <w:rFonts w:hint="eastAsia"/>
          <w:szCs w:val="22"/>
        </w:rPr>
        <w:t>单位：万元</w:t>
      </w:r>
    </w:p>
    <w:tbl>
      <w:tblPr>
        <w:tblW w:w="6000" w:type="pct"/>
        <w:jc w:val="center"/>
        <w:tblInd w:w="0" w:type="dxa"/>
        <w:tblBorders>
          <w:top w:val="single" w:sz="12" w:space="0" w:color="010000"/>
          <w:left w:val="single" w:sz="12" w:space="0" w:color="010000"/>
          <w:bottom w:val="single" w:sz="12" w:space="0" w:color="010000"/>
          <w:right w:val="single" w:sz="12" w:space="0" w:color="010000"/>
          <w:insideH w:val="single" w:sz="4" w:space="0" w:color="010000"/>
          <w:insideV w:val="single" w:sz="4" w:space="0" w:color="010000"/>
        </w:tblBorders>
        <w:tblLayout w:type="fixed"/>
        <w:tblLook w:val="0000" w:firstRow="0" w:lastRow="0" w:firstColumn="0" w:lastColumn="0" w:noHBand="0" w:noVBand="0"/>
      </w:tblPr>
      <w:tblGrid>
        <w:gridCol w:w="1122"/>
        <w:gridCol w:w="1102"/>
        <w:gridCol w:w="1102"/>
        <w:gridCol w:w="1102"/>
        <w:gridCol w:w="1101"/>
        <w:gridCol w:w="1101"/>
        <w:gridCol w:w="1101"/>
        <w:gridCol w:w="1188"/>
        <w:gridCol w:w="1017"/>
      </w:tblGrid>
      <w:tr w:rsidR="004B0883" w14:paraId="0EB6B8B9" w14:textId="77777777">
        <w:trPr>
          <w:cantSplit/>
          <w:trHeight w:val="397"/>
          <w:tblHeader/>
          <w:jc w:val="center"/>
        </w:trPr>
        <w:tc>
          <w:tcPr>
            <w:tcW w:w="564" w:type="pct"/>
            <w:vMerge w:val="restart"/>
            <w:tcBorders>
              <w:top w:val="single" w:sz="12" w:space="0" w:color="010000"/>
              <w:bottom w:val="single" w:sz="4" w:space="0" w:color="010000"/>
            </w:tcBorders>
            <w:shd w:val="clear" w:color="auto" w:fill="D9D9D9"/>
            <w:vAlign w:val="center"/>
          </w:tcPr>
          <w:p w14:paraId="0831FB71" w14:textId="77777777" w:rsidR="004B0883" w:rsidRDefault="004B0883">
            <w:pPr>
              <w:keepNext/>
              <w:widowControl w:val="0"/>
              <w:jc w:val="center"/>
              <w:rPr>
                <w:b/>
                <w:color w:val="000000"/>
              </w:rPr>
            </w:pPr>
            <w:r>
              <w:rPr>
                <w:rFonts w:hint="eastAsia"/>
                <w:b/>
                <w:color w:val="000000"/>
              </w:rPr>
              <w:t>产品名称</w:t>
            </w:r>
          </w:p>
        </w:tc>
        <w:tc>
          <w:tcPr>
            <w:tcW w:w="1108" w:type="pct"/>
            <w:gridSpan w:val="2"/>
            <w:tcBorders>
              <w:top w:val="single" w:sz="12" w:space="0" w:color="010000"/>
              <w:bottom w:val="single" w:sz="4" w:space="0" w:color="010000"/>
            </w:tcBorders>
            <w:shd w:val="clear" w:color="auto" w:fill="D9D9D9"/>
            <w:vAlign w:val="center"/>
          </w:tcPr>
          <w:p w14:paraId="0087D68D" w14:textId="77777777" w:rsidR="004B0883" w:rsidRDefault="004B0883">
            <w:pPr>
              <w:keepNext/>
              <w:widowControl w:val="0"/>
              <w:jc w:val="center"/>
              <w:rPr>
                <w:b/>
                <w:color w:val="000000"/>
              </w:rPr>
            </w:pPr>
            <w:r>
              <w:rPr>
                <w:b/>
                <w:color w:val="000000"/>
              </w:rPr>
              <w:t>2023</w:t>
            </w:r>
            <w:r>
              <w:rPr>
                <w:rFonts w:hint="eastAsia"/>
                <w:b/>
                <w:color w:val="000000"/>
              </w:rPr>
              <w:t>年</w:t>
            </w:r>
            <w:r>
              <w:rPr>
                <w:b/>
                <w:color w:val="000000"/>
              </w:rPr>
              <w:t>1-9</w:t>
            </w:r>
            <w:r>
              <w:rPr>
                <w:rFonts w:hint="eastAsia"/>
                <w:b/>
                <w:color w:val="000000"/>
              </w:rPr>
              <w:t>月</w:t>
            </w:r>
          </w:p>
        </w:tc>
        <w:tc>
          <w:tcPr>
            <w:tcW w:w="1108" w:type="pct"/>
            <w:gridSpan w:val="2"/>
            <w:tcBorders>
              <w:top w:val="single" w:sz="12" w:space="0" w:color="010000"/>
              <w:bottom w:val="single" w:sz="4" w:space="0" w:color="010000"/>
            </w:tcBorders>
            <w:shd w:val="clear" w:color="auto" w:fill="D9D9D9"/>
            <w:vAlign w:val="center"/>
          </w:tcPr>
          <w:p w14:paraId="763E910C" w14:textId="77777777" w:rsidR="004B0883" w:rsidRDefault="004B0883">
            <w:pPr>
              <w:keepNext/>
              <w:widowControl w:val="0"/>
              <w:jc w:val="center"/>
              <w:rPr>
                <w:b/>
                <w:color w:val="000000"/>
              </w:rPr>
            </w:pPr>
            <w:r>
              <w:rPr>
                <w:b/>
                <w:color w:val="000000"/>
              </w:rPr>
              <w:t>2022</w:t>
            </w:r>
            <w:r>
              <w:rPr>
                <w:rFonts w:hint="eastAsia"/>
                <w:b/>
                <w:color w:val="000000"/>
              </w:rPr>
              <w:t>年度</w:t>
            </w:r>
          </w:p>
        </w:tc>
        <w:tc>
          <w:tcPr>
            <w:tcW w:w="1108" w:type="pct"/>
            <w:gridSpan w:val="2"/>
            <w:tcBorders>
              <w:top w:val="single" w:sz="12" w:space="0" w:color="010000"/>
              <w:bottom w:val="single" w:sz="4" w:space="0" w:color="010000"/>
            </w:tcBorders>
            <w:shd w:val="clear" w:color="auto" w:fill="D9D9D9"/>
            <w:vAlign w:val="center"/>
          </w:tcPr>
          <w:p w14:paraId="594F718B" w14:textId="77777777" w:rsidR="004B0883" w:rsidRDefault="004B0883">
            <w:pPr>
              <w:keepNext/>
              <w:widowControl w:val="0"/>
              <w:jc w:val="center"/>
              <w:rPr>
                <w:b/>
                <w:color w:val="000000"/>
              </w:rPr>
            </w:pPr>
            <w:r>
              <w:rPr>
                <w:b/>
                <w:color w:val="000000"/>
              </w:rPr>
              <w:t>2021</w:t>
            </w:r>
            <w:r>
              <w:rPr>
                <w:rFonts w:hint="eastAsia"/>
                <w:b/>
                <w:color w:val="000000"/>
              </w:rPr>
              <w:t>年度</w:t>
            </w:r>
          </w:p>
        </w:tc>
        <w:tc>
          <w:tcPr>
            <w:tcW w:w="1110" w:type="pct"/>
            <w:gridSpan w:val="2"/>
            <w:tcBorders>
              <w:top w:val="single" w:sz="12" w:space="0" w:color="010000"/>
              <w:bottom w:val="single" w:sz="4" w:space="0" w:color="010000"/>
            </w:tcBorders>
            <w:shd w:val="clear" w:color="auto" w:fill="D9D9D9"/>
            <w:vAlign w:val="center"/>
          </w:tcPr>
          <w:p w14:paraId="57C3D45C" w14:textId="77777777" w:rsidR="004B0883" w:rsidRDefault="004B0883">
            <w:pPr>
              <w:keepNext/>
              <w:widowControl w:val="0"/>
              <w:jc w:val="center"/>
              <w:rPr>
                <w:b/>
                <w:color w:val="000000"/>
              </w:rPr>
            </w:pPr>
            <w:r>
              <w:rPr>
                <w:b/>
                <w:color w:val="000000"/>
              </w:rPr>
              <w:t>2020</w:t>
            </w:r>
            <w:r>
              <w:rPr>
                <w:rFonts w:hint="eastAsia"/>
                <w:b/>
                <w:color w:val="000000"/>
              </w:rPr>
              <w:t>年度</w:t>
            </w:r>
          </w:p>
        </w:tc>
      </w:tr>
      <w:tr w:rsidR="004B0883" w14:paraId="2F77581E" w14:textId="77777777">
        <w:trPr>
          <w:cantSplit/>
          <w:trHeight w:val="397"/>
          <w:tblHeader/>
          <w:jc w:val="center"/>
        </w:trPr>
        <w:tc>
          <w:tcPr>
            <w:tcW w:w="564" w:type="pct"/>
            <w:vMerge/>
            <w:tcBorders>
              <w:top w:val="single" w:sz="4" w:space="0" w:color="010000"/>
              <w:bottom w:val="single" w:sz="4" w:space="0" w:color="010000"/>
            </w:tcBorders>
            <w:shd w:val="clear" w:color="auto" w:fill="D9D9D9"/>
            <w:vAlign w:val="center"/>
          </w:tcPr>
          <w:p w14:paraId="12D948E2" w14:textId="77777777" w:rsidR="004B0883" w:rsidRDefault="004B0883">
            <w:pPr>
              <w:keepNext/>
              <w:widowControl w:val="0"/>
              <w:jc w:val="center"/>
              <w:rPr>
                <w:b/>
                <w:color w:val="000000"/>
              </w:rPr>
            </w:pPr>
          </w:p>
        </w:tc>
        <w:tc>
          <w:tcPr>
            <w:tcW w:w="554" w:type="pct"/>
            <w:tcBorders>
              <w:top w:val="single" w:sz="4" w:space="0" w:color="010000"/>
              <w:bottom w:val="single" w:sz="4" w:space="0" w:color="010000"/>
            </w:tcBorders>
            <w:shd w:val="clear" w:color="auto" w:fill="D9D9D9"/>
            <w:vAlign w:val="center"/>
          </w:tcPr>
          <w:p w14:paraId="34CDB801" w14:textId="77777777" w:rsidR="004B0883" w:rsidRDefault="004B0883">
            <w:pPr>
              <w:keepNext/>
              <w:widowControl w:val="0"/>
              <w:jc w:val="center"/>
              <w:rPr>
                <w:b/>
                <w:color w:val="000000"/>
              </w:rPr>
            </w:pPr>
            <w:r>
              <w:rPr>
                <w:rFonts w:hint="eastAsia"/>
                <w:b/>
                <w:color w:val="000000"/>
              </w:rPr>
              <w:t>金额</w:t>
            </w:r>
          </w:p>
        </w:tc>
        <w:tc>
          <w:tcPr>
            <w:tcW w:w="554" w:type="pct"/>
            <w:tcBorders>
              <w:top w:val="single" w:sz="4" w:space="0" w:color="010000"/>
              <w:bottom w:val="single" w:sz="4" w:space="0" w:color="010000"/>
            </w:tcBorders>
            <w:shd w:val="clear" w:color="auto" w:fill="D9D9D9"/>
            <w:vAlign w:val="center"/>
          </w:tcPr>
          <w:p w14:paraId="5318D727" w14:textId="77777777" w:rsidR="004B0883" w:rsidRDefault="004B0883">
            <w:pPr>
              <w:keepNext/>
              <w:widowControl w:val="0"/>
              <w:jc w:val="center"/>
              <w:rPr>
                <w:rFonts w:hint="eastAsia"/>
                <w:b/>
                <w:color w:val="000000"/>
              </w:rPr>
            </w:pPr>
            <w:r>
              <w:rPr>
                <w:rFonts w:hint="eastAsia"/>
                <w:b/>
                <w:color w:val="000000"/>
              </w:rPr>
              <w:t>占比</w:t>
            </w:r>
          </w:p>
        </w:tc>
        <w:tc>
          <w:tcPr>
            <w:tcW w:w="554" w:type="pct"/>
            <w:tcBorders>
              <w:top w:val="single" w:sz="4" w:space="0" w:color="010000"/>
              <w:bottom w:val="single" w:sz="4" w:space="0" w:color="010000"/>
            </w:tcBorders>
            <w:shd w:val="clear" w:color="auto" w:fill="D9D9D9"/>
            <w:vAlign w:val="center"/>
          </w:tcPr>
          <w:p w14:paraId="7B02D65F" w14:textId="77777777" w:rsidR="004B0883" w:rsidRDefault="004B0883">
            <w:pPr>
              <w:keepNext/>
              <w:widowControl w:val="0"/>
              <w:jc w:val="center"/>
              <w:rPr>
                <w:rFonts w:hint="eastAsia"/>
                <w:b/>
                <w:color w:val="000000"/>
              </w:rPr>
            </w:pPr>
            <w:r>
              <w:rPr>
                <w:rFonts w:hint="eastAsia"/>
                <w:b/>
                <w:color w:val="000000"/>
              </w:rPr>
              <w:t>金额</w:t>
            </w:r>
          </w:p>
        </w:tc>
        <w:tc>
          <w:tcPr>
            <w:tcW w:w="554" w:type="pct"/>
            <w:tcBorders>
              <w:top w:val="single" w:sz="4" w:space="0" w:color="010000"/>
              <w:bottom w:val="single" w:sz="4" w:space="0" w:color="010000"/>
            </w:tcBorders>
            <w:shd w:val="clear" w:color="auto" w:fill="D9D9D9"/>
            <w:vAlign w:val="center"/>
          </w:tcPr>
          <w:p w14:paraId="36E6E73C" w14:textId="77777777" w:rsidR="004B0883" w:rsidRDefault="004B0883">
            <w:pPr>
              <w:keepNext/>
              <w:widowControl w:val="0"/>
              <w:jc w:val="center"/>
              <w:rPr>
                <w:rFonts w:hint="eastAsia"/>
                <w:b/>
                <w:color w:val="000000"/>
              </w:rPr>
            </w:pPr>
            <w:r>
              <w:rPr>
                <w:rFonts w:hint="eastAsia"/>
                <w:b/>
                <w:color w:val="000000"/>
              </w:rPr>
              <w:t>占比</w:t>
            </w:r>
          </w:p>
        </w:tc>
        <w:tc>
          <w:tcPr>
            <w:tcW w:w="554" w:type="pct"/>
            <w:tcBorders>
              <w:top w:val="single" w:sz="4" w:space="0" w:color="010000"/>
              <w:bottom w:val="single" w:sz="4" w:space="0" w:color="010000"/>
            </w:tcBorders>
            <w:shd w:val="clear" w:color="auto" w:fill="D9D9D9"/>
            <w:vAlign w:val="center"/>
          </w:tcPr>
          <w:p w14:paraId="5341B1DA" w14:textId="77777777" w:rsidR="004B0883" w:rsidRDefault="004B0883">
            <w:pPr>
              <w:keepNext/>
              <w:widowControl w:val="0"/>
              <w:jc w:val="center"/>
              <w:rPr>
                <w:rFonts w:hint="eastAsia"/>
                <w:b/>
                <w:color w:val="000000"/>
              </w:rPr>
            </w:pPr>
            <w:r>
              <w:rPr>
                <w:rFonts w:hint="eastAsia"/>
                <w:b/>
                <w:color w:val="000000"/>
              </w:rPr>
              <w:t>金额</w:t>
            </w:r>
          </w:p>
        </w:tc>
        <w:tc>
          <w:tcPr>
            <w:tcW w:w="554" w:type="pct"/>
            <w:tcBorders>
              <w:top w:val="single" w:sz="4" w:space="0" w:color="010000"/>
              <w:bottom w:val="single" w:sz="4" w:space="0" w:color="010000"/>
            </w:tcBorders>
            <w:shd w:val="clear" w:color="auto" w:fill="D9D9D9"/>
            <w:vAlign w:val="center"/>
          </w:tcPr>
          <w:p w14:paraId="1A50D5DC" w14:textId="77777777" w:rsidR="004B0883" w:rsidRDefault="004B0883">
            <w:pPr>
              <w:keepNext/>
              <w:widowControl w:val="0"/>
              <w:jc w:val="center"/>
              <w:rPr>
                <w:rFonts w:hint="eastAsia"/>
                <w:b/>
                <w:color w:val="000000"/>
              </w:rPr>
            </w:pPr>
            <w:r>
              <w:rPr>
                <w:rFonts w:hint="eastAsia"/>
                <w:b/>
                <w:color w:val="000000"/>
              </w:rPr>
              <w:t>占比</w:t>
            </w:r>
          </w:p>
        </w:tc>
        <w:tc>
          <w:tcPr>
            <w:tcW w:w="598" w:type="pct"/>
            <w:tcBorders>
              <w:top w:val="single" w:sz="4" w:space="0" w:color="010000"/>
              <w:bottom w:val="single" w:sz="4" w:space="0" w:color="010000"/>
            </w:tcBorders>
            <w:shd w:val="clear" w:color="auto" w:fill="D9D9D9"/>
            <w:vAlign w:val="center"/>
          </w:tcPr>
          <w:p w14:paraId="2A290E59" w14:textId="77777777" w:rsidR="004B0883" w:rsidRDefault="004B0883">
            <w:pPr>
              <w:keepNext/>
              <w:widowControl w:val="0"/>
              <w:jc w:val="center"/>
              <w:rPr>
                <w:rFonts w:hint="eastAsia"/>
                <w:b/>
                <w:color w:val="000000"/>
              </w:rPr>
            </w:pPr>
            <w:r>
              <w:rPr>
                <w:rFonts w:hint="eastAsia"/>
                <w:b/>
                <w:color w:val="000000"/>
              </w:rPr>
              <w:t>金额</w:t>
            </w:r>
          </w:p>
        </w:tc>
        <w:tc>
          <w:tcPr>
            <w:tcW w:w="512" w:type="pct"/>
            <w:tcBorders>
              <w:top w:val="single" w:sz="4" w:space="0" w:color="010000"/>
              <w:bottom w:val="single" w:sz="4" w:space="0" w:color="010000"/>
            </w:tcBorders>
            <w:shd w:val="clear" w:color="auto" w:fill="D9D9D9"/>
            <w:vAlign w:val="center"/>
          </w:tcPr>
          <w:p w14:paraId="0418335E" w14:textId="77777777" w:rsidR="004B0883" w:rsidRDefault="004B0883">
            <w:pPr>
              <w:keepNext/>
              <w:widowControl w:val="0"/>
              <w:jc w:val="center"/>
              <w:rPr>
                <w:rFonts w:hint="eastAsia"/>
                <w:b/>
                <w:color w:val="000000"/>
              </w:rPr>
            </w:pPr>
            <w:r>
              <w:rPr>
                <w:rFonts w:hint="eastAsia"/>
                <w:b/>
                <w:color w:val="000000"/>
              </w:rPr>
              <w:t>占比</w:t>
            </w:r>
          </w:p>
        </w:tc>
      </w:tr>
      <w:tr w:rsidR="004B0883" w14:paraId="252A0114" w14:textId="77777777">
        <w:trPr>
          <w:cantSplit/>
          <w:trHeight w:val="397"/>
          <w:jc w:val="center"/>
        </w:trPr>
        <w:tc>
          <w:tcPr>
            <w:tcW w:w="564" w:type="pct"/>
            <w:tcBorders>
              <w:top w:val="single" w:sz="4" w:space="0" w:color="010000"/>
            </w:tcBorders>
            <w:noWrap/>
            <w:vAlign w:val="center"/>
          </w:tcPr>
          <w:p w14:paraId="107C4EDE" w14:textId="77777777" w:rsidR="004B0883" w:rsidRDefault="004B0883">
            <w:pPr>
              <w:keepNext/>
              <w:widowControl w:val="0"/>
              <w:rPr>
                <w:rFonts w:hint="eastAsia"/>
                <w:color w:val="000000"/>
              </w:rPr>
            </w:pPr>
            <w:r>
              <w:rPr>
                <w:rFonts w:hint="eastAsia"/>
                <w:color w:val="000000"/>
              </w:rPr>
              <w:t>贴牌</w:t>
            </w:r>
          </w:p>
        </w:tc>
        <w:tc>
          <w:tcPr>
            <w:tcW w:w="554" w:type="pct"/>
            <w:tcBorders>
              <w:top w:val="single" w:sz="4" w:space="0" w:color="010000"/>
            </w:tcBorders>
            <w:noWrap/>
            <w:vAlign w:val="center"/>
          </w:tcPr>
          <w:p w14:paraId="0BEA5792" w14:textId="77777777" w:rsidR="004B0883" w:rsidRDefault="004B0883">
            <w:pPr>
              <w:keepNext/>
              <w:widowControl w:val="0"/>
              <w:jc w:val="right"/>
              <w:rPr>
                <w:rFonts w:hint="eastAsia"/>
              </w:rPr>
            </w:pPr>
            <w:r>
              <w:rPr>
                <w:rFonts w:hint="eastAsia"/>
              </w:rPr>
              <w:t>23,836.49</w:t>
            </w:r>
          </w:p>
        </w:tc>
        <w:tc>
          <w:tcPr>
            <w:tcW w:w="554" w:type="pct"/>
            <w:tcBorders>
              <w:top w:val="single" w:sz="4" w:space="0" w:color="010000"/>
            </w:tcBorders>
            <w:noWrap/>
            <w:vAlign w:val="center"/>
          </w:tcPr>
          <w:p w14:paraId="382E2301" w14:textId="77777777" w:rsidR="004B0883" w:rsidRDefault="004B0883">
            <w:pPr>
              <w:keepNext/>
              <w:widowControl w:val="0"/>
              <w:jc w:val="right"/>
            </w:pPr>
            <w:r>
              <w:rPr>
                <w:rFonts w:hint="eastAsia"/>
              </w:rPr>
              <w:t>59.73%</w:t>
            </w:r>
          </w:p>
        </w:tc>
        <w:tc>
          <w:tcPr>
            <w:tcW w:w="554" w:type="pct"/>
            <w:tcBorders>
              <w:top w:val="single" w:sz="4" w:space="0" w:color="010000"/>
            </w:tcBorders>
            <w:noWrap/>
            <w:vAlign w:val="center"/>
          </w:tcPr>
          <w:p w14:paraId="5D01A239" w14:textId="77777777" w:rsidR="004B0883" w:rsidRDefault="004B0883">
            <w:pPr>
              <w:keepNext/>
              <w:widowControl w:val="0"/>
              <w:jc w:val="right"/>
              <w:rPr>
                <w:rFonts w:hint="eastAsia"/>
                <w:color w:val="000000"/>
              </w:rPr>
            </w:pPr>
            <w:r>
              <w:t>33,334.62</w:t>
            </w:r>
          </w:p>
        </w:tc>
        <w:tc>
          <w:tcPr>
            <w:tcW w:w="554" w:type="pct"/>
            <w:tcBorders>
              <w:top w:val="single" w:sz="4" w:space="0" w:color="010000"/>
            </w:tcBorders>
            <w:noWrap/>
            <w:vAlign w:val="center"/>
          </w:tcPr>
          <w:p w14:paraId="22B93BC7" w14:textId="77777777" w:rsidR="004B0883" w:rsidRDefault="004B0883">
            <w:pPr>
              <w:keepNext/>
              <w:widowControl w:val="0"/>
              <w:jc w:val="right"/>
              <w:rPr>
                <w:color w:val="000000"/>
                <w:szCs w:val="22"/>
              </w:rPr>
            </w:pPr>
            <w:r>
              <w:t>61.71%</w:t>
            </w:r>
          </w:p>
        </w:tc>
        <w:tc>
          <w:tcPr>
            <w:tcW w:w="554" w:type="pct"/>
            <w:tcBorders>
              <w:top w:val="single" w:sz="4" w:space="0" w:color="010000"/>
            </w:tcBorders>
            <w:noWrap/>
            <w:vAlign w:val="center"/>
          </w:tcPr>
          <w:p w14:paraId="3736F751" w14:textId="77777777" w:rsidR="004B0883" w:rsidRDefault="004B0883">
            <w:pPr>
              <w:keepNext/>
              <w:widowControl w:val="0"/>
              <w:jc w:val="right"/>
              <w:rPr>
                <w:rFonts w:hint="eastAsia"/>
                <w:color w:val="000000"/>
              </w:rPr>
            </w:pPr>
            <w:r>
              <w:t>22,838.97</w:t>
            </w:r>
          </w:p>
        </w:tc>
        <w:tc>
          <w:tcPr>
            <w:tcW w:w="554" w:type="pct"/>
            <w:tcBorders>
              <w:top w:val="single" w:sz="4" w:space="0" w:color="010000"/>
            </w:tcBorders>
            <w:noWrap/>
            <w:vAlign w:val="center"/>
          </w:tcPr>
          <w:p w14:paraId="52BAB6D7" w14:textId="77777777" w:rsidR="004B0883" w:rsidRDefault="004B0883">
            <w:pPr>
              <w:keepNext/>
              <w:widowControl w:val="0"/>
              <w:jc w:val="right"/>
              <w:rPr>
                <w:color w:val="000000"/>
                <w:szCs w:val="22"/>
              </w:rPr>
            </w:pPr>
            <w:r>
              <w:t>55.01%</w:t>
            </w:r>
          </w:p>
        </w:tc>
        <w:tc>
          <w:tcPr>
            <w:tcW w:w="598" w:type="pct"/>
            <w:tcBorders>
              <w:top w:val="single" w:sz="4" w:space="0" w:color="010000"/>
            </w:tcBorders>
            <w:noWrap/>
            <w:vAlign w:val="center"/>
          </w:tcPr>
          <w:p w14:paraId="60053CD5" w14:textId="77777777" w:rsidR="004B0883" w:rsidRDefault="004B0883">
            <w:pPr>
              <w:keepNext/>
              <w:widowControl w:val="0"/>
              <w:jc w:val="right"/>
              <w:rPr>
                <w:rFonts w:hint="eastAsia"/>
                <w:color w:val="000000"/>
              </w:rPr>
            </w:pPr>
            <w:r>
              <w:t>18,978.11</w:t>
            </w:r>
          </w:p>
        </w:tc>
        <w:tc>
          <w:tcPr>
            <w:tcW w:w="512" w:type="pct"/>
            <w:tcBorders>
              <w:top w:val="single" w:sz="4" w:space="0" w:color="010000"/>
            </w:tcBorders>
            <w:noWrap/>
            <w:vAlign w:val="center"/>
          </w:tcPr>
          <w:p w14:paraId="43FB9258" w14:textId="77777777" w:rsidR="004B0883" w:rsidRDefault="004B0883">
            <w:pPr>
              <w:keepNext/>
              <w:widowControl w:val="0"/>
              <w:jc w:val="right"/>
              <w:rPr>
                <w:color w:val="000000"/>
                <w:szCs w:val="22"/>
              </w:rPr>
            </w:pPr>
            <w:r>
              <w:t>55.07%</w:t>
            </w:r>
          </w:p>
        </w:tc>
      </w:tr>
      <w:tr w:rsidR="004B0883" w14:paraId="02C24C7C" w14:textId="77777777">
        <w:trPr>
          <w:cantSplit/>
          <w:trHeight w:val="397"/>
          <w:jc w:val="center"/>
        </w:trPr>
        <w:tc>
          <w:tcPr>
            <w:tcW w:w="564" w:type="pct"/>
            <w:noWrap/>
            <w:vAlign w:val="center"/>
          </w:tcPr>
          <w:p w14:paraId="57781E34" w14:textId="77777777" w:rsidR="004B0883" w:rsidRDefault="004B0883">
            <w:pPr>
              <w:keepNext/>
              <w:widowControl w:val="0"/>
              <w:rPr>
                <w:rFonts w:hint="eastAsia"/>
                <w:color w:val="000000"/>
              </w:rPr>
            </w:pPr>
            <w:r>
              <w:rPr>
                <w:rFonts w:hint="eastAsia"/>
                <w:color w:val="000000"/>
              </w:rPr>
              <w:t>自有品牌经销</w:t>
            </w:r>
          </w:p>
        </w:tc>
        <w:tc>
          <w:tcPr>
            <w:tcW w:w="554" w:type="pct"/>
            <w:noWrap/>
            <w:vAlign w:val="center"/>
          </w:tcPr>
          <w:p w14:paraId="362B84BC" w14:textId="77777777" w:rsidR="004B0883" w:rsidRDefault="004B0883">
            <w:pPr>
              <w:keepNext/>
              <w:widowControl w:val="0"/>
              <w:jc w:val="right"/>
              <w:rPr>
                <w:rFonts w:hint="eastAsia"/>
              </w:rPr>
            </w:pPr>
            <w:r>
              <w:rPr>
                <w:rFonts w:hint="eastAsia"/>
              </w:rPr>
              <w:t>11,643.55</w:t>
            </w:r>
          </w:p>
        </w:tc>
        <w:tc>
          <w:tcPr>
            <w:tcW w:w="554" w:type="pct"/>
            <w:noWrap/>
            <w:vAlign w:val="center"/>
          </w:tcPr>
          <w:p w14:paraId="3E9003F4" w14:textId="77777777" w:rsidR="004B0883" w:rsidRDefault="004B0883">
            <w:pPr>
              <w:keepNext/>
              <w:widowControl w:val="0"/>
              <w:jc w:val="right"/>
            </w:pPr>
            <w:r>
              <w:rPr>
                <w:rFonts w:hint="eastAsia"/>
              </w:rPr>
              <w:t>29.17%</w:t>
            </w:r>
          </w:p>
        </w:tc>
        <w:tc>
          <w:tcPr>
            <w:tcW w:w="554" w:type="pct"/>
            <w:noWrap/>
            <w:vAlign w:val="center"/>
          </w:tcPr>
          <w:p w14:paraId="35F47172" w14:textId="77777777" w:rsidR="004B0883" w:rsidRDefault="004B0883">
            <w:pPr>
              <w:keepNext/>
              <w:widowControl w:val="0"/>
              <w:jc w:val="right"/>
              <w:rPr>
                <w:rFonts w:hint="eastAsia"/>
                <w:color w:val="000000"/>
              </w:rPr>
            </w:pPr>
            <w:r>
              <w:t>17,839.06</w:t>
            </w:r>
          </w:p>
        </w:tc>
        <w:tc>
          <w:tcPr>
            <w:tcW w:w="554" w:type="pct"/>
            <w:noWrap/>
            <w:vAlign w:val="center"/>
          </w:tcPr>
          <w:p w14:paraId="7DB0F907" w14:textId="77777777" w:rsidR="004B0883" w:rsidRDefault="004B0883">
            <w:pPr>
              <w:keepNext/>
              <w:widowControl w:val="0"/>
              <w:jc w:val="right"/>
              <w:rPr>
                <w:color w:val="000000"/>
                <w:szCs w:val="22"/>
              </w:rPr>
            </w:pPr>
            <w:r>
              <w:t>33.03%</w:t>
            </w:r>
          </w:p>
        </w:tc>
        <w:tc>
          <w:tcPr>
            <w:tcW w:w="554" w:type="pct"/>
            <w:noWrap/>
            <w:vAlign w:val="center"/>
          </w:tcPr>
          <w:p w14:paraId="094E80DA" w14:textId="77777777" w:rsidR="004B0883" w:rsidRDefault="004B0883">
            <w:pPr>
              <w:keepNext/>
              <w:widowControl w:val="0"/>
              <w:jc w:val="right"/>
              <w:rPr>
                <w:rFonts w:hint="eastAsia"/>
                <w:color w:val="000000"/>
              </w:rPr>
            </w:pPr>
            <w:r>
              <w:t>13,996.16</w:t>
            </w:r>
          </w:p>
        </w:tc>
        <w:tc>
          <w:tcPr>
            <w:tcW w:w="554" w:type="pct"/>
            <w:noWrap/>
            <w:vAlign w:val="center"/>
          </w:tcPr>
          <w:p w14:paraId="23B1CFB0" w14:textId="77777777" w:rsidR="004B0883" w:rsidRDefault="004B0883">
            <w:pPr>
              <w:keepNext/>
              <w:widowControl w:val="0"/>
              <w:jc w:val="right"/>
              <w:rPr>
                <w:color w:val="000000"/>
                <w:szCs w:val="22"/>
              </w:rPr>
            </w:pPr>
            <w:r>
              <w:t>33.71%</w:t>
            </w:r>
          </w:p>
        </w:tc>
        <w:tc>
          <w:tcPr>
            <w:tcW w:w="598" w:type="pct"/>
            <w:noWrap/>
            <w:vAlign w:val="center"/>
          </w:tcPr>
          <w:p w14:paraId="77795805" w14:textId="77777777" w:rsidR="004B0883" w:rsidRDefault="004B0883">
            <w:pPr>
              <w:keepNext/>
              <w:widowControl w:val="0"/>
              <w:jc w:val="right"/>
              <w:rPr>
                <w:rFonts w:hint="eastAsia"/>
                <w:color w:val="000000"/>
              </w:rPr>
            </w:pPr>
            <w:r>
              <w:t>11,836.95</w:t>
            </w:r>
          </w:p>
        </w:tc>
        <w:tc>
          <w:tcPr>
            <w:tcW w:w="512" w:type="pct"/>
            <w:noWrap/>
            <w:vAlign w:val="center"/>
          </w:tcPr>
          <w:p w14:paraId="0532A3CB" w14:textId="77777777" w:rsidR="004B0883" w:rsidRDefault="004B0883">
            <w:pPr>
              <w:keepNext/>
              <w:widowControl w:val="0"/>
              <w:jc w:val="right"/>
              <w:rPr>
                <w:color w:val="000000"/>
                <w:szCs w:val="22"/>
              </w:rPr>
            </w:pPr>
            <w:r>
              <w:t>34.35%</w:t>
            </w:r>
          </w:p>
        </w:tc>
      </w:tr>
      <w:tr w:rsidR="004B0883" w14:paraId="5A6383E5" w14:textId="77777777">
        <w:trPr>
          <w:cantSplit/>
          <w:trHeight w:val="397"/>
          <w:jc w:val="center"/>
        </w:trPr>
        <w:tc>
          <w:tcPr>
            <w:tcW w:w="564" w:type="pct"/>
            <w:noWrap/>
            <w:vAlign w:val="center"/>
          </w:tcPr>
          <w:p w14:paraId="72FCEB30" w14:textId="77777777" w:rsidR="004B0883" w:rsidRDefault="004B0883">
            <w:pPr>
              <w:keepNext/>
              <w:widowControl w:val="0"/>
              <w:rPr>
                <w:rFonts w:hint="eastAsia"/>
                <w:color w:val="000000"/>
              </w:rPr>
            </w:pPr>
            <w:r>
              <w:rPr>
                <w:rFonts w:hint="eastAsia"/>
                <w:color w:val="000000"/>
              </w:rPr>
              <w:t>自有品牌直销</w:t>
            </w:r>
          </w:p>
        </w:tc>
        <w:tc>
          <w:tcPr>
            <w:tcW w:w="554" w:type="pct"/>
            <w:noWrap/>
            <w:vAlign w:val="center"/>
          </w:tcPr>
          <w:p w14:paraId="6BD78ED7" w14:textId="77777777" w:rsidR="004B0883" w:rsidRDefault="004B0883">
            <w:pPr>
              <w:keepNext/>
              <w:widowControl w:val="0"/>
              <w:jc w:val="right"/>
              <w:rPr>
                <w:rFonts w:hint="eastAsia"/>
              </w:rPr>
            </w:pPr>
            <w:r>
              <w:rPr>
                <w:rFonts w:hint="eastAsia"/>
              </w:rPr>
              <w:t>4,429.67</w:t>
            </w:r>
          </w:p>
        </w:tc>
        <w:tc>
          <w:tcPr>
            <w:tcW w:w="554" w:type="pct"/>
            <w:noWrap/>
            <w:vAlign w:val="center"/>
          </w:tcPr>
          <w:p w14:paraId="478FCF5B" w14:textId="77777777" w:rsidR="004B0883" w:rsidRDefault="004B0883">
            <w:pPr>
              <w:keepNext/>
              <w:widowControl w:val="0"/>
              <w:jc w:val="right"/>
            </w:pPr>
            <w:r>
              <w:rPr>
                <w:rFonts w:hint="eastAsia"/>
              </w:rPr>
              <w:t>11.10%</w:t>
            </w:r>
          </w:p>
        </w:tc>
        <w:tc>
          <w:tcPr>
            <w:tcW w:w="554" w:type="pct"/>
            <w:noWrap/>
            <w:vAlign w:val="center"/>
          </w:tcPr>
          <w:p w14:paraId="7312BCA2" w14:textId="77777777" w:rsidR="004B0883" w:rsidRDefault="004B0883">
            <w:pPr>
              <w:keepNext/>
              <w:widowControl w:val="0"/>
              <w:jc w:val="right"/>
              <w:rPr>
                <w:rFonts w:hint="eastAsia"/>
                <w:color w:val="000000"/>
              </w:rPr>
            </w:pPr>
            <w:r>
              <w:rPr>
                <w:rFonts w:hint="eastAsia"/>
              </w:rPr>
              <w:t>2,840.48</w:t>
            </w:r>
          </w:p>
        </w:tc>
        <w:tc>
          <w:tcPr>
            <w:tcW w:w="554" w:type="pct"/>
            <w:noWrap/>
            <w:vAlign w:val="center"/>
          </w:tcPr>
          <w:p w14:paraId="30DB863E" w14:textId="77777777" w:rsidR="004B0883" w:rsidRDefault="004B0883">
            <w:pPr>
              <w:keepNext/>
              <w:widowControl w:val="0"/>
              <w:jc w:val="right"/>
              <w:rPr>
                <w:color w:val="000000"/>
                <w:szCs w:val="22"/>
              </w:rPr>
            </w:pPr>
            <w:r>
              <w:rPr>
                <w:rFonts w:hint="eastAsia"/>
              </w:rPr>
              <w:t>5.26%</w:t>
            </w:r>
          </w:p>
        </w:tc>
        <w:tc>
          <w:tcPr>
            <w:tcW w:w="554" w:type="pct"/>
            <w:noWrap/>
            <w:vAlign w:val="center"/>
          </w:tcPr>
          <w:p w14:paraId="70B9C7DF" w14:textId="77777777" w:rsidR="004B0883" w:rsidRDefault="004B0883">
            <w:pPr>
              <w:keepNext/>
              <w:widowControl w:val="0"/>
              <w:jc w:val="right"/>
              <w:rPr>
                <w:rFonts w:hint="eastAsia"/>
                <w:color w:val="000000"/>
              </w:rPr>
            </w:pPr>
            <w:r>
              <w:rPr>
                <w:rFonts w:hint="eastAsia"/>
              </w:rPr>
              <w:t>4,681.14</w:t>
            </w:r>
          </w:p>
        </w:tc>
        <w:tc>
          <w:tcPr>
            <w:tcW w:w="554" w:type="pct"/>
            <w:noWrap/>
            <w:vAlign w:val="center"/>
          </w:tcPr>
          <w:p w14:paraId="22359D91" w14:textId="77777777" w:rsidR="004B0883" w:rsidRDefault="004B0883">
            <w:pPr>
              <w:keepNext/>
              <w:widowControl w:val="0"/>
              <w:jc w:val="right"/>
              <w:rPr>
                <w:color w:val="000000"/>
                <w:szCs w:val="22"/>
              </w:rPr>
            </w:pPr>
            <w:r>
              <w:rPr>
                <w:rFonts w:hint="eastAsia"/>
              </w:rPr>
              <w:t>11.28%</w:t>
            </w:r>
          </w:p>
        </w:tc>
        <w:tc>
          <w:tcPr>
            <w:tcW w:w="598" w:type="pct"/>
            <w:noWrap/>
            <w:vAlign w:val="center"/>
          </w:tcPr>
          <w:p w14:paraId="7DEA7859" w14:textId="77777777" w:rsidR="004B0883" w:rsidRDefault="004B0883">
            <w:pPr>
              <w:keepNext/>
              <w:widowControl w:val="0"/>
              <w:jc w:val="right"/>
              <w:rPr>
                <w:rFonts w:hint="eastAsia"/>
                <w:color w:val="000000"/>
              </w:rPr>
            </w:pPr>
            <w:r>
              <w:rPr>
                <w:rFonts w:hint="eastAsia"/>
              </w:rPr>
              <w:t>3,643.94</w:t>
            </w:r>
          </w:p>
        </w:tc>
        <w:tc>
          <w:tcPr>
            <w:tcW w:w="512" w:type="pct"/>
            <w:noWrap/>
            <w:vAlign w:val="center"/>
          </w:tcPr>
          <w:p w14:paraId="2717E2C6" w14:textId="77777777" w:rsidR="004B0883" w:rsidRDefault="004B0883">
            <w:pPr>
              <w:keepNext/>
              <w:widowControl w:val="0"/>
              <w:jc w:val="right"/>
              <w:rPr>
                <w:color w:val="000000"/>
                <w:szCs w:val="22"/>
              </w:rPr>
            </w:pPr>
            <w:r>
              <w:rPr>
                <w:rFonts w:hint="eastAsia"/>
              </w:rPr>
              <w:t>10.58%</w:t>
            </w:r>
          </w:p>
        </w:tc>
      </w:tr>
      <w:tr w:rsidR="004B0883" w14:paraId="39827B5A" w14:textId="77777777">
        <w:trPr>
          <w:cantSplit/>
          <w:trHeight w:val="397"/>
          <w:jc w:val="center"/>
        </w:trPr>
        <w:tc>
          <w:tcPr>
            <w:tcW w:w="564" w:type="pct"/>
            <w:noWrap/>
            <w:vAlign w:val="center"/>
          </w:tcPr>
          <w:p w14:paraId="36C7CA59" w14:textId="77777777" w:rsidR="004B0883" w:rsidRDefault="004B0883">
            <w:pPr>
              <w:keepNext/>
              <w:widowControl w:val="0"/>
              <w:jc w:val="center"/>
              <w:rPr>
                <w:rFonts w:hint="eastAsia"/>
                <w:b/>
                <w:color w:val="000000"/>
              </w:rPr>
            </w:pPr>
            <w:r>
              <w:rPr>
                <w:rFonts w:hint="eastAsia"/>
                <w:b/>
                <w:color w:val="000000"/>
              </w:rPr>
              <w:t>合计</w:t>
            </w:r>
          </w:p>
        </w:tc>
        <w:tc>
          <w:tcPr>
            <w:tcW w:w="554" w:type="pct"/>
            <w:vAlign w:val="center"/>
          </w:tcPr>
          <w:p w14:paraId="29AA9039" w14:textId="77777777" w:rsidR="004B0883" w:rsidRDefault="004B0883">
            <w:pPr>
              <w:keepNext/>
              <w:widowControl w:val="0"/>
              <w:jc w:val="right"/>
              <w:rPr>
                <w:rFonts w:hint="eastAsia"/>
                <w:b/>
                <w:bCs/>
              </w:rPr>
            </w:pPr>
            <w:r>
              <w:rPr>
                <w:rFonts w:hint="eastAsia"/>
                <w:b/>
                <w:bCs/>
              </w:rPr>
              <w:t>39,909.71</w:t>
            </w:r>
          </w:p>
        </w:tc>
        <w:tc>
          <w:tcPr>
            <w:tcW w:w="554" w:type="pct"/>
            <w:vAlign w:val="center"/>
          </w:tcPr>
          <w:p w14:paraId="0F6BB706" w14:textId="77777777" w:rsidR="004B0883" w:rsidRDefault="004B0883">
            <w:pPr>
              <w:keepNext/>
              <w:widowControl w:val="0"/>
              <w:jc w:val="right"/>
              <w:rPr>
                <w:b/>
                <w:bCs/>
              </w:rPr>
            </w:pPr>
            <w:r>
              <w:rPr>
                <w:rFonts w:hint="eastAsia"/>
                <w:b/>
                <w:bCs/>
              </w:rPr>
              <w:t>100.00%</w:t>
            </w:r>
          </w:p>
        </w:tc>
        <w:tc>
          <w:tcPr>
            <w:tcW w:w="554" w:type="pct"/>
            <w:vAlign w:val="center"/>
          </w:tcPr>
          <w:p w14:paraId="32590C44" w14:textId="77777777" w:rsidR="004B0883" w:rsidRDefault="004B0883">
            <w:pPr>
              <w:keepNext/>
              <w:widowControl w:val="0"/>
              <w:jc w:val="right"/>
              <w:rPr>
                <w:b/>
                <w:bCs/>
                <w:color w:val="000000"/>
              </w:rPr>
            </w:pPr>
            <w:r>
              <w:rPr>
                <w:b/>
                <w:bCs/>
              </w:rPr>
              <w:t>54,014.16</w:t>
            </w:r>
          </w:p>
        </w:tc>
        <w:tc>
          <w:tcPr>
            <w:tcW w:w="554" w:type="pct"/>
            <w:vAlign w:val="center"/>
          </w:tcPr>
          <w:p w14:paraId="1D385131" w14:textId="77777777" w:rsidR="004B0883" w:rsidRDefault="004B0883">
            <w:pPr>
              <w:keepNext/>
              <w:widowControl w:val="0"/>
              <w:jc w:val="right"/>
              <w:rPr>
                <w:b/>
                <w:bCs/>
                <w:color w:val="000000"/>
              </w:rPr>
            </w:pPr>
            <w:r>
              <w:rPr>
                <w:b/>
                <w:bCs/>
              </w:rPr>
              <w:t>100.00%</w:t>
            </w:r>
          </w:p>
        </w:tc>
        <w:tc>
          <w:tcPr>
            <w:tcW w:w="554" w:type="pct"/>
            <w:vAlign w:val="center"/>
          </w:tcPr>
          <w:p w14:paraId="148F7907" w14:textId="77777777" w:rsidR="004B0883" w:rsidRDefault="004B0883">
            <w:pPr>
              <w:keepNext/>
              <w:widowControl w:val="0"/>
              <w:jc w:val="right"/>
              <w:rPr>
                <w:b/>
                <w:bCs/>
                <w:color w:val="000000"/>
              </w:rPr>
            </w:pPr>
            <w:r>
              <w:rPr>
                <w:b/>
                <w:bCs/>
              </w:rPr>
              <w:t>41,516.27</w:t>
            </w:r>
          </w:p>
        </w:tc>
        <w:tc>
          <w:tcPr>
            <w:tcW w:w="554" w:type="pct"/>
            <w:vAlign w:val="center"/>
          </w:tcPr>
          <w:p w14:paraId="5F22CC2C" w14:textId="77777777" w:rsidR="004B0883" w:rsidRDefault="004B0883">
            <w:pPr>
              <w:keepNext/>
              <w:widowControl w:val="0"/>
              <w:jc w:val="right"/>
              <w:rPr>
                <w:b/>
                <w:bCs/>
                <w:color w:val="000000"/>
              </w:rPr>
            </w:pPr>
            <w:r>
              <w:rPr>
                <w:b/>
                <w:bCs/>
              </w:rPr>
              <w:t>100.00%</w:t>
            </w:r>
          </w:p>
        </w:tc>
        <w:tc>
          <w:tcPr>
            <w:tcW w:w="598" w:type="pct"/>
            <w:vAlign w:val="center"/>
          </w:tcPr>
          <w:p w14:paraId="54FF8A87" w14:textId="77777777" w:rsidR="004B0883" w:rsidRDefault="004B0883">
            <w:pPr>
              <w:keepNext/>
              <w:widowControl w:val="0"/>
              <w:jc w:val="right"/>
              <w:rPr>
                <w:b/>
                <w:bCs/>
                <w:color w:val="000000"/>
              </w:rPr>
            </w:pPr>
            <w:r>
              <w:rPr>
                <w:b/>
                <w:bCs/>
              </w:rPr>
              <w:t>34,459.00</w:t>
            </w:r>
          </w:p>
        </w:tc>
        <w:tc>
          <w:tcPr>
            <w:tcW w:w="512" w:type="pct"/>
            <w:vAlign w:val="center"/>
          </w:tcPr>
          <w:p w14:paraId="6A722F03" w14:textId="77777777" w:rsidR="004B0883" w:rsidRDefault="004B0883">
            <w:pPr>
              <w:keepNext/>
              <w:widowControl w:val="0"/>
              <w:jc w:val="right"/>
              <w:rPr>
                <w:b/>
                <w:bCs/>
                <w:color w:val="000000"/>
              </w:rPr>
            </w:pPr>
            <w:r>
              <w:rPr>
                <w:b/>
                <w:bCs/>
              </w:rPr>
              <w:t>100.00%</w:t>
            </w:r>
          </w:p>
        </w:tc>
      </w:tr>
    </w:tbl>
    <w:p w14:paraId="5DC30FCC"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报告期各期，公司贴牌模式下的销售收入占总收入的比例分别为</w:t>
      </w:r>
      <w:r>
        <w:rPr>
          <w:rFonts w:hint="eastAsia"/>
          <w:sz w:val="24"/>
          <w:szCs w:val="22"/>
        </w:rPr>
        <w:t>5</w:t>
      </w:r>
      <w:r>
        <w:rPr>
          <w:sz w:val="24"/>
          <w:szCs w:val="22"/>
        </w:rPr>
        <w:t>5.07%</w:t>
      </w:r>
      <w:r>
        <w:rPr>
          <w:rFonts w:hint="eastAsia"/>
          <w:sz w:val="24"/>
          <w:szCs w:val="22"/>
        </w:rPr>
        <w:t>、</w:t>
      </w:r>
      <w:r>
        <w:rPr>
          <w:rFonts w:hint="eastAsia"/>
          <w:sz w:val="24"/>
          <w:szCs w:val="22"/>
        </w:rPr>
        <w:t>5</w:t>
      </w:r>
      <w:r>
        <w:rPr>
          <w:sz w:val="24"/>
          <w:szCs w:val="22"/>
        </w:rPr>
        <w:t>5.01%</w:t>
      </w:r>
      <w:r>
        <w:rPr>
          <w:rFonts w:hint="eastAsia"/>
          <w:sz w:val="24"/>
          <w:szCs w:val="22"/>
        </w:rPr>
        <w:t>、</w:t>
      </w:r>
      <w:r>
        <w:rPr>
          <w:rFonts w:hint="eastAsia"/>
          <w:sz w:val="24"/>
          <w:szCs w:val="22"/>
        </w:rPr>
        <w:t>6</w:t>
      </w:r>
      <w:r>
        <w:rPr>
          <w:sz w:val="24"/>
          <w:szCs w:val="22"/>
        </w:rPr>
        <w:t>1.71%</w:t>
      </w:r>
      <w:r>
        <w:rPr>
          <w:rFonts w:hint="eastAsia"/>
          <w:sz w:val="24"/>
          <w:szCs w:val="22"/>
        </w:rPr>
        <w:t>和</w:t>
      </w:r>
      <w:r>
        <w:rPr>
          <w:sz w:val="24"/>
          <w:szCs w:val="22"/>
        </w:rPr>
        <w:t>59.73%</w:t>
      </w:r>
      <w:r>
        <w:rPr>
          <w:rFonts w:hint="eastAsia"/>
          <w:sz w:val="24"/>
          <w:szCs w:val="22"/>
        </w:rPr>
        <w:t>，为公司最重要的销售模式。</w:t>
      </w:r>
    </w:p>
    <w:bookmarkEnd w:id="252"/>
    <w:p w14:paraId="1F41F8BA" w14:textId="77777777" w:rsidR="004B0883" w:rsidRDefault="004B0883">
      <w:pPr>
        <w:keepNext/>
        <w:keepLines/>
        <w:widowControl w:val="0"/>
        <w:spacing w:beforeLines="50" w:before="120" w:after="120" w:line="360" w:lineRule="auto"/>
        <w:ind w:firstLineChars="200" w:firstLine="482"/>
        <w:jc w:val="both"/>
        <w:outlineLvl w:val="3"/>
        <w:rPr>
          <w:b/>
          <w:bCs/>
          <w:sz w:val="24"/>
          <w:szCs w:val="28"/>
          <w:lang w:val="zh-CN"/>
        </w:rPr>
      </w:pPr>
      <w:r>
        <w:rPr>
          <w:b/>
          <w:bCs/>
          <w:sz w:val="24"/>
          <w:szCs w:val="28"/>
          <w:lang w:val="zh-CN"/>
        </w:rPr>
        <w:t>2</w:t>
      </w:r>
      <w:r>
        <w:rPr>
          <w:b/>
          <w:bCs/>
          <w:sz w:val="24"/>
          <w:szCs w:val="28"/>
          <w:lang w:val="zh-CN"/>
        </w:rPr>
        <w:t>、公司报告期内向前五名客户销售情况</w:t>
      </w:r>
    </w:p>
    <w:p w14:paraId="40EFB576" w14:textId="77777777" w:rsidR="004B0883" w:rsidRDefault="004B0883">
      <w:pPr>
        <w:widowControl w:val="0"/>
        <w:spacing w:beforeLines="50" w:before="120" w:line="360" w:lineRule="auto"/>
        <w:ind w:firstLineChars="200" w:firstLine="480"/>
        <w:jc w:val="both"/>
        <w:rPr>
          <w:sz w:val="24"/>
          <w:szCs w:val="22"/>
        </w:rPr>
      </w:pPr>
      <w:bookmarkStart w:id="253" w:name="_Hlk491687989"/>
      <w:bookmarkStart w:id="254" w:name="_Hlk136270692"/>
      <w:bookmarkStart w:id="255" w:name="_Hlk123947143"/>
      <w:bookmarkStart w:id="256" w:name="_Toc234753909"/>
      <w:bookmarkEnd w:id="250"/>
      <w:r>
        <w:rPr>
          <w:rFonts w:hint="eastAsia"/>
          <w:sz w:val="24"/>
          <w:szCs w:val="22"/>
        </w:rPr>
        <w:t>报告期内，</w:t>
      </w:r>
      <w:bookmarkEnd w:id="256"/>
      <w:r>
        <w:rPr>
          <w:rFonts w:hint="eastAsia"/>
          <w:sz w:val="24"/>
          <w:szCs w:val="22"/>
        </w:rPr>
        <w:t>公司向前五大客户销售情况如下：</w:t>
      </w:r>
      <w:bookmarkEnd w:id="253"/>
    </w:p>
    <w:p w14:paraId="47114B0E" w14:textId="77777777" w:rsidR="004B0883" w:rsidRDefault="004B0883">
      <w:pPr>
        <w:keepNext/>
        <w:keepLines/>
        <w:widowControl w:val="0"/>
        <w:spacing w:beforeLines="50" w:before="120" w:after="120" w:line="360" w:lineRule="auto"/>
        <w:ind w:firstLineChars="200" w:firstLine="480"/>
        <w:jc w:val="both"/>
        <w:outlineLvl w:val="4"/>
        <w:rPr>
          <w:sz w:val="24"/>
          <w:szCs w:val="22"/>
          <w:lang w:val="zh-CN" w:bidi="en-US"/>
        </w:rPr>
      </w:pPr>
      <w:bookmarkStart w:id="257" w:name="_Hlk141441107"/>
      <w:bookmarkStart w:id="258" w:name="_Hlk102049754"/>
      <w:r>
        <w:rPr>
          <w:sz w:val="24"/>
          <w:szCs w:val="22"/>
          <w:lang w:val="zh-CN" w:bidi="en-US"/>
        </w:rPr>
        <w:t>（</w:t>
      </w:r>
      <w:r>
        <w:rPr>
          <w:sz w:val="24"/>
          <w:szCs w:val="22"/>
          <w:lang w:val="zh-CN" w:bidi="en-US"/>
        </w:rPr>
        <w:t>1</w:t>
      </w:r>
      <w:r>
        <w:rPr>
          <w:sz w:val="24"/>
          <w:szCs w:val="22"/>
          <w:lang w:val="zh-CN" w:bidi="en-US"/>
        </w:rPr>
        <w:t>）</w:t>
      </w:r>
      <w:r>
        <w:rPr>
          <w:sz w:val="24"/>
          <w:szCs w:val="22"/>
          <w:lang w:val="zh-CN" w:bidi="en-US"/>
        </w:rPr>
        <w:t>2023</w:t>
      </w:r>
      <w:r>
        <w:rPr>
          <w:sz w:val="24"/>
          <w:szCs w:val="22"/>
          <w:lang w:val="zh-CN" w:bidi="en-US"/>
        </w:rPr>
        <w:t>年</w:t>
      </w:r>
      <w:r>
        <w:rPr>
          <w:rFonts w:hint="eastAsia"/>
          <w:sz w:val="24"/>
          <w:szCs w:val="22"/>
          <w:lang w:val="zh-CN" w:bidi="en-US"/>
        </w:rPr>
        <w:t>1-</w:t>
      </w:r>
      <w:r>
        <w:rPr>
          <w:sz w:val="24"/>
          <w:szCs w:val="22"/>
          <w:lang w:val="zh-CN" w:bidi="en-US"/>
        </w:rPr>
        <w:t>9</w:t>
      </w:r>
      <w:r>
        <w:rPr>
          <w:rFonts w:hint="eastAsia"/>
          <w:sz w:val="24"/>
          <w:szCs w:val="22"/>
          <w:lang w:val="zh-CN" w:bidi="en-US"/>
        </w:rPr>
        <w:t>月</w:t>
      </w:r>
    </w:p>
    <w:tbl>
      <w:tblPr>
        <w:tblW w:w="6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97"/>
        <w:gridCol w:w="4121"/>
        <w:gridCol w:w="1065"/>
        <w:gridCol w:w="1101"/>
        <w:gridCol w:w="1013"/>
        <w:gridCol w:w="1002"/>
        <w:gridCol w:w="1137"/>
      </w:tblGrid>
      <w:tr w:rsidR="004B0883" w14:paraId="3FF64286" w14:textId="77777777">
        <w:trPr>
          <w:trHeight w:val="397"/>
          <w:tblHeader/>
          <w:jc w:val="center"/>
        </w:trPr>
        <w:tc>
          <w:tcPr>
            <w:tcW w:w="250" w:type="pct"/>
            <w:shd w:val="clear" w:color="auto" w:fill="D9D9D9"/>
            <w:tcMar>
              <w:top w:w="0" w:type="dxa"/>
              <w:bottom w:w="0" w:type="dxa"/>
            </w:tcMar>
            <w:vAlign w:val="center"/>
          </w:tcPr>
          <w:p w14:paraId="7D793418" w14:textId="77777777" w:rsidR="004B0883" w:rsidRDefault="004B0883">
            <w:pPr>
              <w:widowControl w:val="0"/>
              <w:adjustRightInd w:val="0"/>
              <w:snapToGrid w:val="0"/>
              <w:jc w:val="center"/>
              <w:rPr>
                <w:b/>
                <w:sz w:val="18"/>
                <w:szCs w:val="18"/>
              </w:rPr>
            </w:pPr>
            <w:bookmarkStart w:id="259" w:name="_Hlk145357762"/>
            <w:r>
              <w:rPr>
                <w:b/>
                <w:sz w:val="18"/>
                <w:szCs w:val="18"/>
              </w:rPr>
              <w:t>序号</w:t>
            </w:r>
          </w:p>
        </w:tc>
        <w:tc>
          <w:tcPr>
            <w:tcW w:w="2074" w:type="pct"/>
            <w:shd w:val="clear" w:color="auto" w:fill="D9D9D9"/>
            <w:tcMar>
              <w:top w:w="0" w:type="dxa"/>
              <w:bottom w:w="0" w:type="dxa"/>
            </w:tcMar>
            <w:vAlign w:val="center"/>
          </w:tcPr>
          <w:p w14:paraId="2DD07F05" w14:textId="77777777" w:rsidR="004B0883" w:rsidRDefault="004B0883">
            <w:pPr>
              <w:widowControl w:val="0"/>
              <w:adjustRightInd w:val="0"/>
              <w:snapToGrid w:val="0"/>
              <w:jc w:val="center"/>
              <w:rPr>
                <w:b/>
                <w:sz w:val="18"/>
                <w:szCs w:val="18"/>
              </w:rPr>
            </w:pPr>
            <w:r>
              <w:rPr>
                <w:b/>
                <w:sz w:val="18"/>
                <w:szCs w:val="18"/>
              </w:rPr>
              <w:t>单位名称</w:t>
            </w:r>
          </w:p>
        </w:tc>
        <w:tc>
          <w:tcPr>
            <w:tcW w:w="536" w:type="pct"/>
            <w:shd w:val="clear" w:color="auto" w:fill="D9D9D9"/>
            <w:tcMar>
              <w:top w:w="0" w:type="dxa"/>
              <w:bottom w:w="0" w:type="dxa"/>
            </w:tcMar>
            <w:vAlign w:val="center"/>
          </w:tcPr>
          <w:p w14:paraId="32A5B7DC" w14:textId="77777777" w:rsidR="004B0883" w:rsidRDefault="004B0883">
            <w:pPr>
              <w:widowControl w:val="0"/>
              <w:adjustRightInd w:val="0"/>
              <w:snapToGrid w:val="0"/>
              <w:jc w:val="center"/>
              <w:rPr>
                <w:b/>
                <w:sz w:val="18"/>
                <w:szCs w:val="18"/>
              </w:rPr>
            </w:pPr>
            <w:r>
              <w:rPr>
                <w:b/>
                <w:sz w:val="18"/>
                <w:szCs w:val="18"/>
              </w:rPr>
              <w:t>销售额（万元）</w:t>
            </w:r>
          </w:p>
        </w:tc>
        <w:tc>
          <w:tcPr>
            <w:tcW w:w="554" w:type="pct"/>
            <w:shd w:val="clear" w:color="auto" w:fill="D9D9D9"/>
            <w:tcMar>
              <w:top w:w="0" w:type="dxa"/>
              <w:bottom w:w="0" w:type="dxa"/>
            </w:tcMar>
            <w:vAlign w:val="center"/>
          </w:tcPr>
          <w:p w14:paraId="1A8B52FC" w14:textId="77777777" w:rsidR="004B0883" w:rsidRDefault="004B0883">
            <w:pPr>
              <w:widowControl w:val="0"/>
              <w:adjustRightInd w:val="0"/>
              <w:snapToGrid w:val="0"/>
              <w:jc w:val="center"/>
              <w:rPr>
                <w:b/>
                <w:sz w:val="18"/>
                <w:szCs w:val="18"/>
              </w:rPr>
            </w:pPr>
            <w:r>
              <w:rPr>
                <w:b/>
                <w:sz w:val="18"/>
                <w:szCs w:val="18"/>
              </w:rPr>
              <w:t>占营业收入比例</w:t>
            </w:r>
          </w:p>
        </w:tc>
        <w:tc>
          <w:tcPr>
            <w:tcW w:w="510" w:type="pct"/>
            <w:shd w:val="clear" w:color="auto" w:fill="D9D9D9"/>
            <w:vAlign w:val="center"/>
          </w:tcPr>
          <w:p w14:paraId="6DFB3BC6" w14:textId="77777777" w:rsidR="004B0883" w:rsidRDefault="004B0883">
            <w:pPr>
              <w:widowControl w:val="0"/>
              <w:adjustRightInd w:val="0"/>
              <w:snapToGrid w:val="0"/>
              <w:jc w:val="center"/>
              <w:rPr>
                <w:b/>
                <w:sz w:val="18"/>
                <w:szCs w:val="18"/>
              </w:rPr>
            </w:pPr>
            <w:r>
              <w:rPr>
                <w:rFonts w:hint="eastAsia"/>
                <w:b/>
                <w:sz w:val="18"/>
                <w:szCs w:val="18"/>
              </w:rPr>
              <w:t>国家</w:t>
            </w:r>
          </w:p>
        </w:tc>
        <w:tc>
          <w:tcPr>
            <w:tcW w:w="504" w:type="pct"/>
            <w:shd w:val="clear" w:color="auto" w:fill="D9D9D9"/>
            <w:vAlign w:val="center"/>
          </w:tcPr>
          <w:p w14:paraId="5A311DE7" w14:textId="77777777" w:rsidR="004B0883" w:rsidRDefault="004B0883">
            <w:pPr>
              <w:widowControl w:val="0"/>
              <w:adjustRightInd w:val="0"/>
              <w:snapToGrid w:val="0"/>
              <w:jc w:val="center"/>
              <w:rPr>
                <w:b/>
                <w:sz w:val="18"/>
                <w:szCs w:val="18"/>
              </w:rPr>
            </w:pPr>
            <w:r>
              <w:rPr>
                <w:rFonts w:hint="eastAsia"/>
                <w:b/>
                <w:sz w:val="18"/>
                <w:szCs w:val="18"/>
              </w:rPr>
              <w:t>客户类型</w:t>
            </w:r>
          </w:p>
        </w:tc>
        <w:tc>
          <w:tcPr>
            <w:tcW w:w="573" w:type="pct"/>
            <w:shd w:val="clear" w:color="auto" w:fill="D9D9D9"/>
            <w:vAlign w:val="center"/>
          </w:tcPr>
          <w:p w14:paraId="2955143D" w14:textId="77777777" w:rsidR="004B0883" w:rsidRDefault="004B0883">
            <w:pPr>
              <w:widowControl w:val="0"/>
              <w:adjustRightInd w:val="0"/>
              <w:snapToGrid w:val="0"/>
              <w:jc w:val="center"/>
              <w:rPr>
                <w:rFonts w:hint="eastAsia"/>
                <w:b/>
                <w:sz w:val="18"/>
                <w:szCs w:val="18"/>
              </w:rPr>
            </w:pPr>
            <w:r>
              <w:rPr>
                <w:rFonts w:hint="eastAsia"/>
                <w:b/>
                <w:sz w:val="18"/>
                <w:szCs w:val="18"/>
              </w:rPr>
              <w:t>销售产品</w:t>
            </w:r>
          </w:p>
        </w:tc>
      </w:tr>
      <w:tr w:rsidR="004B0883" w14:paraId="12BD2F6B" w14:textId="77777777">
        <w:trPr>
          <w:trHeight w:val="397"/>
          <w:jc w:val="center"/>
        </w:trPr>
        <w:tc>
          <w:tcPr>
            <w:tcW w:w="250" w:type="pct"/>
            <w:tcMar>
              <w:top w:w="0" w:type="dxa"/>
              <w:bottom w:w="0" w:type="dxa"/>
            </w:tcMar>
            <w:vAlign w:val="center"/>
          </w:tcPr>
          <w:p w14:paraId="6562EAC4" w14:textId="77777777" w:rsidR="004B0883" w:rsidRDefault="004B0883">
            <w:pPr>
              <w:widowControl w:val="0"/>
              <w:adjustRightInd w:val="0"/>
              <w:snapToGrid w:val="0"/>
              <w:jc w:val="center"/>
              <w:rPr>
                <w:sz w:val="18"/>
                <w:szCs w:val="18"/>
              </w:rPr>
            </w:pPr>
            <w:r>
              <w:rPr>
                <w:sz w:val="18"/>
                <w:szCs w:val="18"/>
              </w:rPr>
              <w:t>1</w:t>
            </w:r>
          </w:p>
        </w:tc>
        <w:tc>
          <w:tcPr>
            <w:tcW w:w="2074" w:type="pct"/>
            <w:tcMar>
              <w:top w:w="0" w:type="dxa"/>
              <w:bottom w:w="0" w:type="dxa"/>
            </w:tcMar>
            <w:vAlign w:val="center"/>
          </w:tcPr>
          <w:p w14:paraId="1ED5441C" w14:textId="77777777" w:rsidR="004B0883" w:rsidRDefault="004B0883">
            <w:pPr>
              <w:widowControl w:val="0"/>
              <w:adjustRightInd w:val="0"/>
              <w:snapToGrid w:val="0"/>
              <w:jc w:val="both"/>
              <w:rPr>
                <w:sz w:val="18"/>
                <w:szCs w:val="18"/>
              </w:rPr>
            </w:pPr>
            <w:r>
              <w:rPr>
                <w:rFonts w:hint="eastAsia"/>
                <w:color w:val="000000"/>
                <w:sz w:val="18"/>
                <w:szCs w:val="22"/>
              </w:rPr>
              <w:t>J&amp;S Valve, Inc</w:t>
            </w:r>
          </w:p>
        </w:tc>
        <w:tc>
          <w:tcPr>
            <w:tcW w:w="536" w:type="pct"/>
            <w:tcMar>
              <w:top w:w="0" w:type="dxa"/>
              <w:bottom w:w="0" w:type="dxa"/>
            </w:tcMar>
            <w:vAlign w:val="center"/>
          </w:tcPr>
          <w:p w14:paraId="76A2B704" w14:textId="77777777" w:rsidR="004B0883" w:rsidRDefault="004B0883">
            <w:pPr>
              <w:widowControl w:val="0"/>
              <w:adjustRightInd w:val="0"/>
              <w:snapToGrid w:val="0"/>
              <w:jc w:val="right"/>
              <w:rPr>
                <w:color w:val="000000"/>
                <w:sz w:val="18"/>
              </w:rPr>
            </w:pPr>
            <w:r>
              <w:rPr>
                <w:rFonts w:hint="eastAsia"/>
                <w:color w:val="000000"/>
                <w:sz w:val="18"/>
              </w:rPr>
              <w:t>4,727.04</w:t>
            </w:r>
          </w:p>
        </w:tc>
        <w:tc>
          <w:tcPr>
            <w:tcW w:w="554" w:type="pct"/>
            <w:tcMar>
              <w:top w:w="0" w:type="dxa"/>
              <w:bottom w:w="0" w:type="dxa"/>
            </w:tcMar>
            <w:vAlign w:val="center"/>
          </w:tcPr>
          <w:p w14:paraId="5B541448" w14:textId="77777777" w:rsidR="004B0883" w:rsidRDefault="004B0883">
            <w:pPr>
              <w:widowControl w:val="0"/>
              <w:adjustRightInd w:val="0"/>
              <w:snapToGrid w:val="0"/>
              <w:jc w:val="right"/>
              <w:rPr>
                <w:color w:val="000000"/>
                <w:sz w:val="18"/>
              </w:rPr>
            </w:pPr>
            <w:r>
              <w:rPr>
                <w:rFonts w:hint="eastAsia"/>
                <w:color w:val="000000"/>
                <w:sz w:val="18"/>
              </w:rPr>
              <w:t>11.84%</w:t>
            </w:r>
          </w:p>
        </w:tc>
        <w:tc>
          <w:tcPr>
            <w:tcW w:w="510" w:type="pct"/>
            <w:vAlign w:val="center"/>
          </w:tcPr>
          <w:p w14:paraId="439AE380" w14:textId="77777777" w:rsidR="004B0883" w:rsidRDefault="004B0883">
            <w:pPr>
              <w:widowControl w:val="0"/>
              <w:adjustRightInd w:val="0"/>
              <w:snapToGrid w:val="0"/>
              <w:jc w:val="center"/>
              <w:rPr>
                <w:color w:val="000000"/>
                <w:sz w:val="18"/>
              </w:rPr>
            </w:pPr>
            <w:r>
              <w:rPr>
                <w:rFonts w:hint="eastAsia"/>
                <w:color w:val="000000"/>
                <w:sz w:val="18"/>
                <w:szCs w:val="22"/>
              </w:rPr>
              <w:t>美国</w:t>
            </w:r>
          </w:p>
        </w:tc>
        <w:tc>
          <w:tcPr>
            <w:tcW w:w="504" w:type="pct"/>
            <w:vAlign w:val="center"/>
          </w:tcPr>
          <w:p w14:paraId="28167B12" w14:textId="77777777" w:rsidR="004B0883" w:rsidRDefault="004B0883">
            <w:pPr>
              <w:widowControl w:val="0"/>
              <w:adjustRightInd w:val="0"/>
              <w:snapToGrid w:val="0"/>
              <w:jc w:val="center"/>
              <w:rPr>
                <w:color w:val="000000"/>
                <w:sz w:val="18"/>
              </w:rPr>
            </w:pPr>
            <w:r>
              <w:rPr>
                <w:rFonts w:hint="eastAsia"/>
                <w:color w:val="000000"/>
                <w:sz w:val="18"/>
                <w:szCs w:val="22"/>
              </w:rPr>
              <w:t>贴牌</w:t>
            </w:r>
          </w:p>
        </w:tc>
        <w:tc>
          <w:tcPr>
            <w:tcW w:w="573" w:type="pct"/>
            <w:vAlign w:val="center"/>
          </w:tcPr>
          <w:p w14:paraId="017C25A7" w14:textId="77777777" w:rsidR="004B0883" w:rsidRDefault="004B0883">
            <w:pPr>
              <w:widowControl w:val="0"/>
              <w:adjustRightInd w:val="0"/>
              <w:snapToGrid w:val="0"/>
              <w:jc w:val="center"/>
              <w:rPr>
                <w:rFonts w:hint="eastAsia"/>
                <w:color w:val="000000"/>
                <w:sz w:val="18"/>
                <w:szCs w:val="22"/>
              </w:rPr>
            </w:pPr>
            <w:r>
              <w:rPr>
                <w:rFonts w:hint="eastAsia"/>
                <w:color w:val="000000"/>
                <w:sz w:val="18"/>
                <w:szCs w:val="22"/>
              </w:rPr>
              <w:t>阀门类产品</w:t>
            </w:r>
          </w:p>
        </w:tc>
      </w:tr>
      <w:tr w:rsidR="004B0883" w14:paraId="2C1AA255" w14:textId="77777777">
        <w:trPr>
          <w:trHeight w:val="397"/>
          <w:jc w:val="center"/>
        </w:trPr>
        <w:tc>
          <w:tcPr>
            <w:tcW w:w="250" w:type="pct"/>
            <w:tcMar>
              <w:top w:w="0" w:type="dxa"/>
              <w:bottom w:w="0" w:type="dxa"/>
            </w:tcMar>
            <w:vAlign w:val="center"/>
          </w:tcPr>
          <w:p w14:paraId="7ED0D4BD" w14:textId="77777777" w:rsidR="004B0883" w:rsidRDefault="004B0883">
            <w:pPr>
              <w:widowControl w:val="0"/>
              <w:adjustRightInd w:val="0"/>
              <w:snapToGrid w:val="0"/>
              <w:jc w:val="center"/>
              <w:rPr>
                <w:sz w:val="18"/>
                <w:szCs w:val="18"/>
              </w:rPr>
            </w:pPr>
            <w:r>
              <w:rPr>
                <w:sz w:val="18"/>
                <w:szCs w:val="18"/>
              </w:rPr>
              <w:t>2</w:t>
            </w:r>
          </w:p>
        </w:tc>
        <w:tc>
          <w:tcPr>
            <w:tcW w:w="2074" w:type="pct"/>
            <w:tcMar>
              <w:top w:w="0" w:type="dxa"/>
              <w:bottom w:w="0" w:type="dxa"/>
            </w:tcMar>
            <w:vAlign w:val="center"/>
          </w:tcPr>
          <w:p w14:paraId="2C7E5D32" w14:textId="77777777" w:rsidR="004B0883" w:rsidRDefault="004B0883">
            <w:pPr>
              <w:widowControl w:val="0"/>
              <w:adjustRightInd w:val="0"/>
              <w:snapToGrid w:val="0"/>
              <w:jc w:val="both"/>
              <w:rPr>
                <w:sz w:val="18"/>
                <w:szCs w:val="18"/>
              </w:rPr>
            </w:pPr>
            <w:r>
              <w:rPr>
                <w:color w:val="000000"/>
                <w:sz w:val="18"/>
                <w:szCs w:val="22"/>
              </w:rPr>
              <w:t>LANSDALE INTERNATIONAL LLC</w:t>
            </w:r>
          </w:p>
        </w:tc>
        <w:tc>
          <w:tcPr>
            <w:tcW w:w="536" w:type="pct"/>
            <w:tcMar>
              <w:top w:w="0" w:type="dxa"/>
              <w:bottom w:w="0" w:type="dxa"/>
            </w:tcMar>
            <w:vAlign w:val="center"/>
          </w:tcPr>
          <w:p w14:paraId="06CA1312" w14:textId="77777777" w:rsidR="004B0883" w:rsidRDefault="004B0883">
            <w:pPr>
              <w:widowControl w:val="0"/>
              <w:adjustRightInd w:val="0"/>
              <w:snapToGrid w:val="0"/>
              <w:jc w:val="right"/>
              <w:rPr>
                <w:color w:val="000000"/>
                <w:sz w:val="18"/>
              </w:rPr>
            </w:pPr>
            <w:r>
              <w:rPr>
                <w:rFonts w:hint="eastAsia"/>
                <w:color w:val="000000"/>
                <w:sz w:val="18"/>
              </w:rPr>
              <w:t>2,144.03</w:t>
            </w:r>
          </w:p>
        </w:tc>
        <w:tc>
          <w:tcPr>
            <w:tcW w:w="554" w:type="pct"/>
            <w:tcMar>
              <w:top w:w="0" w:type="dxa"/>
              <w:bottom w:w="0" w:type="dxa"/>
            </w:tcMar>
            <w:vAlign w:val="center"/>
          </w:tcPr>
          <w:p w14:paraId="114A4D18" w14:textId="77777777" w:rsidR="004B0883" w:rsidRDefault="004B0883">
            <w:pPr>
              <w:widowControl w:val="0"/>
              <w:adjustRightInd w:val="0"/>
              <w:snapToGrid w:val="0"/>
              <w:jc w:val="right"/>
              <w:rPr>
                <w:color w:val="000000"/>
                <w:sz w:val="18"/>
              </w:rPr>
            </w:pPr>
            <w:r>
              <w:rPr>
                <w:rFonts w:hint="eastAsia"/>
                <w:color w:val="000000"/>
                <w:sz w:val="18"/>
              </w:rPr>
              <w:t>5.37%</w:t>
            </w:r>
          </w:p>
        </w:tc>
        <w:tc>
          <w:tcPr>
            <w:tcW w:w="510" w:type="pct"/>
            <w:vAlign w:val="center"/>
          </w:tcPr>
          <w:p w14:paraId="6A7C43FE" w14:textId="77777777" w:rsidR="004B0883" w:rsidRDefault="004B0883">
            <w:pPr>
              <w:widowControl w:val="0"/>
              <w:adjustRightInd w:val="0"/>
              <w:snapToGrid w:val="0"/>
              <w:jc w:val="center"/>
              <w:rPr>
                <w:color w:val="000000"/>
                <w:sz w:val="18"/>
              </w:rPr>
            </w:pPr>
            <w:r>
              <w:rPr>
                <w:rFonts w:hint="eastAsia"/>
                <w:color w:val="000000"/>
                <w:sz w:val="18"/>
                <w:szCs w:val="22"/>
              </w:rPr>
              <w:t>美国</w:t>
            </w:r>
          </w:p>
        </w:tc>
        <w:tc>
          <w:tcPr>
            <w:tcW w:w="504" w:type="pct"/>
            <w:vAlign w:val="center"/>
          </w:tcPr>
          <w:p w14:paraId="3C4962E8" w14:textId="77777777" w:rsidR="004B0883" w:rsidRDefault="004B0883">
            <w:pPr>
              <w:widowControl w:val="0"/>
              <w:adjustRightInd w:val="0"/>
              <w:snapToGrid w:val="0"/>
              <w:jc w:val="center"/>
              <w:rPr>
                <w:color w:val="000000"/>
                <w:sz w:val="18"/>
              </w:rPr>
            </w:pPr>
            <w:r>
              <w:rPr>
                <w:rFonts w:hint="eastAsia"/>
                <w:color w:val="000000"/>
                <w:sz w:val="18"/>
                <w:szCs w:val="22"/>
              </w:rPr>
              <w:t>贴牌</w:t>
            </w:r>
          </w:p>
        </w:tc>
        <w:tc>
          <w:tcPr>
            <w:tcW w:w="573" w:type="pct"/>
            <w:vAlign w:val="center"/>
          </w:tcPr>
          <w:p w14:paraId="66642CE1" w14:textId="77777777" w:rsidR="004B0883" w:rsidRDefault="004B0883">
            <w:pPr>
              <w:widowControl w:val="0"/>
              <w:adjustRightInd w:val="0"/>
              <w:snapToGrid w:val="0"/>
              <w:jc w:val="center"/>
              <w:rPr>
                <w:rFonts w:hint="eastAsia"/>
                <w:color w:val="000000"/>
                <w:sz w:val="18"/>
                <w:szCs w:val="22"/>
              </w:rPr>
            </w:pPr>
            <w:r>
              <w:rPr>
                <w:rFonts w:hint="eastAsia"/>
                <w:color w:val="000000"/>
                <w:sz w:val="18"/>
                <w:szCs w:val="22"/>
              </w:rPr>
              <w:t>阀门类产品</w:t>
            </w:r>
          </w:p>
        </w:tc>
      </w:tr>
      <w:tr w:rsidR="004B0883" w14:paraId="132B5481" w14:textId="77777777">
        <w:trPr>
          <w:trHeight w:val="397"/>
          <w:jc w:val="center"/>
        </w:trPr>
        <w:tc>
          <w:tcPr>
            <w:tcW w:w="250" w:type="pct"/>
            <w:tcMar>
              <w:top w:w="0" w:type="dxa"/>
              <w:bottom w:w="0" w:type="dxa"/>
            </w:tcMar>
            <w:vAlign w:val="center"/>
          </w:tcPr>
          <w:p w14:paraId="14D2749E" w14:textId="77777777" w:rsidR="004B0883" w:rsidRDefault="004B0883">
            <w:pPr>
              <w:widowControl w:val="0"/>
              <w:adjustRightInd w:val="0"/>
              <w:snapToGrid w:val="0"/>
              <w:jc w:val="center"/>
              <w:rPr>
                <w:sz w:val="18"/>
                <w:szCs w:val="18"/>
              </w:rPr>
            </w:pPr>
            <w:r>
              <w:rPr>
                <w:sz w:val="18"/>
                <w:szCs w:val="18"/>
              </w:rPr>
              <w:t>3</w:t>
            </w:r>
          </w:p>
        </w:tc>
        <w:tc>
          <w:tcPr>
            <w:tcW w:w="2074" w:type="pct"/>
            <w:tcMar>
              <w:top w:w="0" w:type="dxa"/>
              <w:bottom w:w="0" w:type="dxa"/>
            </w:tcMar>
            <w:vAlign w:val="center"/>
          </w:tcPr>
          <w:p w14:paraId="68D08DCA" w14:textId="77777777" w:rsidR="004B0883" w:rsidRDefault="004B0883">
            <w:pPr>
              <w:widowControl w:val="0"/>
              <w:adjustRightInd w:val="0"/>
              <w:snapToGrid w:val="0"/>
              <w:jc w:val="both"/>
              <w:rPr>
                <w:sz w:val="18"/>
                <w:szCs w:val="18"/>
              </w:rPr>
            </w:pPr>
            <w:r>
              <w:rPr>
                <w:rFonts w:hint="eastAsia"/>
                <w:color w:val="000000"/>
                <w:sz w:val="18"/>
                <w:szCs w:val="18"/>
              </w:rPr>
              <w:t xml:space="preserve">Victaulic Europe bvba </w:t>
            </w:r>
            <w:r>
              <w:rPr>
                <w:color w:val="000000"/>
                <w:sz w:val="18"/>
                <w:szCs w:val="18"/>
              </w:rPr>
              <w:t>–</w:t>
            </w:r>
            <w:r>
              <w:rPr>
                <w:rFonts w:hint="eastAsia"/>
                <w:color w:val="000000"/>
                <w:sz w:val="18"/>
                <w:szCs w:val="18"/>
              </w:rPr>
              <w:t xml:space="preserve"> Belgium</w:t>
            </w:r>
          </w:p>
        </w:tc>
        <w:tc>
          <w:tcPr>
            <w:tcW w:w="536" w:type="pct"/>
            <w:tcMar>
              <w:top w:w="0" w:type="dxa"/>
              <w:bottom w:w="0" w:type="dxa"/>
            </w:tcMar>
            <w:vAlign w:val="center"/>
          </w:tcPr>
          <w:p w14:paraId="23DC67A9" w14:textId="77777777" w:rsidR="004B0883" w:rsidRDefault="004B0883">
            <w:pPr>
              <w:widowControl w:val="0"/>
              <w:adjustRightInd w:val="0"/>
              <w:snapToGrid w:val="0"/>
              <w:jc w:val="right"/>
              <w:rPr>
                <w:color w:val="000000"/>
                <w:sz w:val="18"/>
              </w:rPr>
            </w:pPr>
            <w:r>
              <w:rPr>
                <w:rFonts w:hint="eastAsia"/>
                <w:color w:val="000000"/>
                <w:sz w:val="18"/>
              </w:rPr>
              <w:t>1,818.75</w:t>
            </w:r>
          </w:p>
        </w:tc>
        <w:tc>
          <w:tcPr>
            <w:tcW w:w="554" w:type="pct"/>
            <w:tcMar>
              <w:top w:w="0" w:type="dxa"/>
              <w:bottom w:w="0" w:type="dxa"/>
            </w:tcMar>
            <w:vAlign w:val="center"/>
          </w:tcPr>
          <w:p w14:paraId="598179BD" w14:textId="77777777" w:rsidR="004B0883" w:rsidRDefault="004B0883">
            <w:pPr>
              <w:widowControl w:val="0"/>
              <w:adjustRightInd w:val="0"/>
              <w:snapToGrid w:val="0"/>
              <w:jc w:val="right"/>
              <w:rPr>
                <w:color w:val="000000"/>
                <w:sz w:val="18"/>
              </w:rPr>
            </w:pPr>
            <w:r>
              <w:rPr>
                <w:rFonts w:hint="eastAsia"/>
                <w:color w:val="000000"/>
                <w:sz w:val="18"/>
              </w:rPr>
              <w:t>4.56%</w:t>
            </w:r>
          </w:p>
        </w:tc>
        <w:tc>
          <w:tcPr>
            <w:tcW w:w="510" w:type="pct"/>
            <w:vAlign w:val="center"/>
          </w:tcPr>
          <w:p w14:paraId="57281C1A" w14:textId="77777777" w:rsidR="004B0883" w:rsidRDefault="004B0883">
            <w:pPr>
              <w:widowControl w:val="0"/>
              <w:adjustRightInd w:val="0"/>
              <w:snapToGrid w:val="0"/>
              <w:jc w:val="center"/>
              <w:rPr>
                <w:color w:val="000000"/>
                <w:sz w:val="18"/>
              </w:rPr>
            </w:pPr>
            <w:r>
              <w:rPr>
                <w:rFonts w:hint="eastAsia"/>
                <w:color w:val="000000"/>
                <w:sz w:val="18"/>
                <w:szCs w:val="22"/>
              </w:rPr>
              <w:t>比利时</w:t>
            </w:r>
          </w:p>
        </w:tc>
        <w:tc>
          <w:tcPr>
            <w:tcW w:w="504" w:type="pct"/>
            <w:vAlign w:val="center"/>
          </w:tcPr>
          <w:p w14:paraId="38CB067C" w14:textId="77777777" w:rsidR="004B0883" w:rsidRDefault="004B0883">
            <w:pPr>
              <w:widowControl w:val="0"/>
              <w:adjustRightInd w:val="0"/>
              <w:snapToGrid w:val="0"/>
              <w:jc w:val="center"/>
              <w:rPr>
                <w:color w:val="000000"/>
                <w:sz w:val="18"/>
              </w:rPr>
            </w:pPr>
            <w:r>
              <w:rPr>
                <w:rFonts w:hint="eastAsia"/>
                <w:color w:val="000000"/>
                <w:sz w:val="18"/>
                <w:szCs w:val="22"/>
              </w:rPr>
              <w:t>贴牌</w:t>
            </w:r>
          </w:p>
        </w:tc>
        <w:tc>
          <w:tcPr>
            <w:tcW w:w="573" w:type="pct"/>
            <w:vAlign w:val="center"/>
          </w:tcPr>
          <w:p w14:paraId="5FC4923F" w14:textId="77777777" w:rsidR="004B0883" w:rsidRDefault="004B0883">
            <w:pPr>
              <w:widowControl w:val="0"/>
              <w:adjustRightInd w:val="0"/>
              <w:snapToGrid w:val="0"/>
              <w:jc w:val="center"/>
              <w:rPr>
                <w:rFonts w:hint="eastAsia"/>
                <w:color w:val="000000"/>
                <w:sz w:val="18"/>
                <w:szCs w:val="22"/>
              </w:rPr>
            </w:pPr>
            <w:r>
              <w:rPr>
                <w:rFonts w:hint="eastAsia"/>
                <w:color w:val="000000"/>
                <w:sz w:val="18"/>
                <w:szCs w:val="22"/>
              </w:rPr>
              <w:t>阀门类产品</w:t>
            </w:r>
          </w:p>
        </w:tc>
      </w:tr>
      <w:tr w:rsidR="004B0883" w14:paraId="3C9DAA39" w14:textId="77777777">
        <w:trPr>
          <w:trHeight w:val="397"/>
          <w:jc w:val="center"/>
        </w:trPr>
        <w:tc>
          <w:tcPr>
            <w:tcW w:w="250" w:type="pct"/>
            <w:tcMar>
              <w:top w:w="0" w:type="dxa"/>
              <w:bottom w:w="0" w:type="dxa"/>
            </w:tcMar>
            <w:vAlign w:val="center"/>
          </w:tcPr>
          <w:p w14:paraId="005595A2" w14:textId="77777777" w:rsidR="004B0883" w:rsidRDefault="004B0883">
            <w:pPr>
              <w:widowControl w:val="0"/>
              <w:adjustRightInd w:val="0"/>
              <w:snapToGrid w:val="0"/>
              <w:jc w:val="center"/>
              <w:rPr>
                <w:sz w:val="18"/>
                <w:szCs w:val="18"/>
              </w:rPr>
            </w:pPr>
            <w:r>
              <w:rPr>
                <w:sz w:val="18"/>
                <w:szCs w:val="18"/>
              </w:rPr>
              <w:t>4</w:t>
            </w:r>
          </w:p>
        </w:tc>
        <w:tc>
          <w:tcPr>
            <w:tcW w:w="2074" w:type="pct"/>
            <w:tcMar>
              <w:top w:w="0" w:type="dxa"/>
              <w:bottom w:w="0" w:type="dxa"/>
            </w:tcMar>
            <w:vAlign w:val="center"/>
          </w:tcPr>
          <w:p w14:paraId="6E5A273D" w14:textId="77777777" w:rsidR="004B0883" w:rsidRDefault="004B0883">
            <w:pPr>
              <w:widowControl w:val="0"/>
              <w:adjustRightInd w:val="0"/>
              <w:snapToGrid w:val="0"/>
              <w:jc w:val="both"/>
              <w:rPr>
                <w:sz w:val="18"/>
                <w:szCs w:val="18"/>
              </w:rPr>
            </w:pPr>
            <w:r>
              <w:rPr>
                <w:rFonts w:hint="eastAsia"/>
                <w:color w:val="000000"/>
                <w:sz w:val="18"/>
                <w:szCs w:val="22"/>
              </w:rPr>
              <w:t>GIACOMINI UNIVAL TESISAT ARMATURLERI SAN.VE TIC.LTD.STI.</w:t>
            </w:r>
          </w:p>
        </w:tc>
        <w:tc>
          <w:tcPr>
            <w:tcW w:w="536" w:type="pct"/>
            <w:tcMar>
              <w:top w:w="0" w:type="dxa"/>
              <w:bottom w:w="0" w:type="dxa"/>
            </w:tcMar>
            <w:vAlign w:val="center"/>
          </w:tcPr>
          <w:p w14:paraId="13A042A1" w14:textId="77777777" w:rsidR="004B0883" w:rsidRDefault="004B0883">
            <w:pPr>
              <w:widowControl w:val="0"/>
              <w:adjustRightInd w:val="0"/>
              <w:snapToGrid w:val="0"/>
              <w:jc w:val="right"/>
              <w:rPr>
                <w:color w:val="000000"/>
                <w:sz w:val="18"/>
              </w:rPr>
            </w:pPr>
            <w:r>
              <w:rPr>
                <w:rFonts w:hint="eastAsia"/>
                <w:color w:val="000000"/>
                <w:sz w:val="18"/>
              </w:rPr>
              <w:t>1,734.31</w:t>
            </w:r>
          </w:p>
        </w:tc>
        <w:tc>
          <w:tcPr>
            <w:tcW w:w="554" w:type="pct"/>
            <w:tcMar>
              <w:top w:w="0" w:type="dxa"/>
              <w:bottom w:w="0" w:type="dxa"/>
            </w:tcMar>
            <w:vAlign w:val="center"/>
          </w:tcPr>
          <w:p w14:paraId="0628D8E8" w14:textId="77777777" w:rsidR="004B0883" w:rsidRDefault="004B0883">
            <w:pPr>
              <w:widowControl w:val="0"/>
              <w:adjustRightInd w:val="0"/>
              <w:snapToGrid w:val="0"/>
              <w:jc w:val="right"/>
              <w:rPr>
                <w:rFonts w:hint="eastAsia"/>
                <w:color w:val="000000"/>
                <w:sz w:val="18"/>
              </w:rPr>
            </w:pPr>
            <w:r>
              <w:rPr>
                <w:rFonts w:hint="eastAsia"/>
                <w:color w:val="000000"/>
                <w:sz w:val="18"/>
              </w:rPr>
              <w:t>4.35%</w:t>
            </w:r>
          </w:p>
        </w:tc>
        <w:tc>
          <w:tcPr>
            <w:tcW w:w="510" w:type="pct"/>
            <w:vAlign w:val="center"/>
          </w:tcPr>
          <w:p w14:paraId="6815FB85" w14:textId="77777777" w:rsidR="004B0883" w:rsidRDefault="004B0883">
            <w:pPr>
              <w:widowControl w:val="0"/>
              <w:adjustRightInd w:val="0"/>
              <w:snapToGrid w:val="0"/>
              <w:jc w:val="center"/>
              <w:rPr>
                <w:color w:val="000000"/>
                <w:sz w:val="18"/>
              </w:rPr>
            </w:pPr>
            <w:r>
              <w:rPr>
                <w:rFonts w:hint="eastAsia"/>
                <w:color w:val="000000"/>
                <w:sz w:val="18"/>
                <w:szCs w:val="22"/>
              </w:rPr>
              <w:t>土耳其</w:t>
            </w:r>
          </w:p>
        </w:tc>
        <w:tc>
          <w:tcPr>
            <w:tcW w:w="504" w:type="pct"/>
            <w:vAlign w:val="center"/>
          </w:tcPr>
          <w:p w14:paraId="2E5F02D8" w14:textId="77777777" w:rsidR="004B0883" w:rsidRDefault="004B0883">
            <w:pPr>
              <w:widowControl w:val="0"/>
              <w:adjustRightInd w:val="0"/>
              <w:snapToGrid w:val="0"/>
              <w:jc w:val="center"/>
              <w:rPr>
                <w:color w:val="000000"/>
                <w:sz w:val="18"/>
              </w:rPr>
            </w:pPr>
            <w:r>
              <w:rPr>
                <w:rFonts w:hint="eastAsia"/>
                <w:color w:val="000000"/>
                <w:sz w:val="18"/>
                <w:szCs w:val="22"/>
              </w:rPr>
              <w:t>贴牌</w:t>
            </w:r>
          </w:p>
        </w:tc>
        <w:tc>
          <w:tcPr>
            <w:tcW w:w="573" w:type="pct"/>
            <w:vAlign w:val="center"/>
          </w:tcPr>
          <w:p w14:paraId="0DFCF708" w14:textId="77777777" w:rsidR="004B0883" w:rsidRDefault="004B0883">
            <w:pPr>
              <w:widowControl w:val="0"/>
              <w:adjustRightInd w:val="0"/>
              <w:snapToGrid w:val="0"/>
              <w:jc w:val="center"/>
              <w:rPr>
                <w:rFonts w:hint="eastAsia"/>
                <w:color w:val="000000"/>
                <w:sz w:val="18"/>
                <w:szCs w:val="22"/>
              </w:rPr>
            </w:pPr>
            <w:r>
              <w:rPr>
                <w:rFonts w:hint="eastAsia"/>
                <w:color w:val="000000"/>
                <w:sz w:val="18"/>
                <w:szCs w:val="22"/>
              </w:rPr>
              <w:t>阀门类产品</w:t>
            </w:r>
          </w:p>
        </w:tc>
      </w:tr>
      <w:tr w:rsidR="004B0883" w14:paraId="4E7D8DF0" w14:textId="77777777">
        <w:trPr>
          <w:trHeight w:val="397"/>
          <w:jc w:val="center"/>
        </w:trPr>
        <w:tc>
          <w:tcPr>
            <w:tcW w:w="250" w:type="pct"/>
            <w:tcMar>
              <w:top w:w="0" w:type="dxa"/>
              <w:bottom w:w="0" w:type="dxa"/>
            </w:tcMar>
            <w:vAlign w:val="center"/>
          </w:tcPr>
          <w:p w14:paraId="07982F04" w14:textId="77777777" w:rsidR="004B0883" w:rsidRDefault="004B0883">
            <w:pPr>
              <w:widowControl w:val="0"/>
              <w:adjustRightInd w:val="0"/>
              <w:snapToGrid w:val="0"/>
              <w:jc w:val="center"/>
              <w:rPr>
                <w:sz w:val="18"/>
                <w:szCs w:val="18"/>
              </w:rPr>
            </w:pPr>
            <w:r>
              <w:rPr>
                <w:sz w:val="18"/>
                <w:szCs w:val="18"/>
              </w:rPr>
              <w:t>5</w:t>
            </w:r>
          </w:p>
        </w:tc>
        <w:tc>
          <w:tcPr>
            <w:tcW w:w="2074" w:type="pct"/>
            <w:tcMar>
              <w:top w:w="0" w:type="dxa"/>
              <w:bottom w:w="0" w:type="dxa"/>
            </w:tcMar>
            <w:vAlign w:val="center"/>
          </w:tcPr>
          <w:p w14:paraId="74506BEA" w14:textId="77777777" w:rsidR="004B0883" w:rsidRDefault="004B0883">
            <w:pPr>
              <w:widowControl w:val="0"/>
              <w:adjustRightInd w:val="0"/>
              <w:snapToGrid w:val="0"/>
              <w:jc w:val="both"/>
              <w:rPr>
                <w:sz w:val="18"/>
                <w:szCs w:val="18"/>
              </w:rPr>
            </w:pPr>
            <w:r>
              <w:rPr>
                <w:rFonts w:hint="eastAsia"/>
                <w:color w:val="000000"/>
                <w:sz w:val="18"/>
                <w:szCs w:val="18"/>
              </w:rPr>
              <w:t>LICHFIELD FIRE &amp; SAFETY EQUIPMENT FZE</w:t>
            </w:r>
          </w:p>
        </w:tc>
        <w:tc>
          <w:tcPr>
            <w:tcW w:w="536" w:type="pct"/>
            <w:tcMar>
              <w:top w:w="0" w:type="dxa"/>
              <w:bottom w:w="0" w:type="dxa"/>
            </w:tcMar>
            <w:vAlign w:val="center"/>
          </w:tcPr>
          <w:p w14:paraId="4C48EA71" w14:textId="77777777" w:rsidR="004B0883" w:rsidRDefault="004B0883">
            <w:pPr>
              <w:widowControl w:val="0"/>
              <w:adjustRightInd w:val="0"/>
              <w:snapToGrid w:val="0"/>
              <w:jc w:val="right"/>
              <w:rPr>
                <w:color w:val="000000"/>
                <w:sz w:val="18"/>
              </w:rPr>
            </w:pPr>
            <w:r>
              <w:rPr>
                <w:rFonts w:hint="eastAsia"/>
                <w:color w:val="000000"/>
                <w:sz w:val="18"/>
              </w:rPr>
              <w:t>1,588.66</w:t>
            </w:r>
          </w:p>
        </w:tc>
        <w:tc>
          <w:tcPr>
            <w:tcW w:w="554" w:type="pct"/>
            <w:tcMar>
              <w:top w:w="0" w:type="dxa"/>
              <w:bottom w:w="0" w:type="dxa"/>
            </w:tcMar>
            <w:vAlign w:val="center"/>
          </w:tcPr>
          <w:p w14:paraId="2456C366" w14:textId="77777777" w:rsidR="004B0883" w:rsidRDefault="004B0883">
            <w:pPr>
              <w:widowControl w:val="0"/>
              <w:adjustRightInd w:val="0"/>
              <w:snapToGrid w:val="0"/>
              <w:jc w:val="right"/>
              <w:rPr>
                <w:color w:val="000000"/>
                <w:sz w:val="18"/>
              </w:rPr>
            </w:pPr>
            <w:r>
              <w:rPr>
                <w:rFonts w:hint="eastAsia"/>
                <w:color w:val="000000"/>
                <w:sz w:val="18"/>
              </w:rPr>
              <w:t>3.98%</w:t>
            </w:r>
          </w:p>
        </w:tc>
        <w:tc>
          <w:tcPr>
            <w:tcW w:w="510" w:type="pct"/>
            <w:vAlign w:val="center"/>
          </w:tcPr>
          <w:p w14:paraId="2F92EB6F" w14:textId="77777777" w:rsidR="004B0883" w:rsidRDefault="004B0883">
            <w:pPr>
              <w:widowControl w:val="0"/>
              <w:adjustRightInd w:val="0"/>
              <w:snapToGrid w:val="0"/>
              <w:jc w:val="center"/>
              <w:rPr>
                <w:color w:val="000000"/>
                <w:sz w:val="18"/>
              </w:rPr>
            </w:pPr>
            <w:r>
              <w:rPr>
                <w:rFonts w:hint="eastAsia"/>
                <w:color w:val="000000"/>
                <w:sz w:val="18"/>
                <w:szCs w:val="22"/>
              </w:rPr>
              <w:t>阿联酋</w:t>
            </w:r>
          </w:p>
        </w:tc>
        <w:tc>
          <w:tcPr>
            <w:tcW w:w="504" w:type="pct"/>
            <w:vAlign w:val="center"/>
          </w:tcPr>
          <w:p w14:paraId="325ED0D3" w14:textId="77777777" w:rsidR="004B0883" w:rsidRDefault="004B0883">
            <w:pPr>
              <w:widowControl w:val="0"/>
              <w:adjustRightInd w:val="0"/>
              <w:snapToGrid w:val="0"/>
              <w:jc w:val="center"/>
              <w:rPr>
                <w:color w:val="000000"/>
                <w:sz w:val="18"/>
              </w:rPr>
            </w:pPr>
            <w:r>
              <w:rPr>
                <w:rFonts w:hint="eastAsia"/>
                <w:color w:val="000000"/>
                <w:sz w:val="18"/>
                <w:szCs w:val="22"/>
              </w:rPr>
              <w:t>贴牌</w:t>
            </w:r>
          </w:p>
        </w:tc>
        <w:tc>
          <w:tcPr>
            <w:tcW w:w="573" w:type="pct"/>
            <w:vAlign w:val="center"/>
          </w:tcPr>
          <w:p w14:paraId="7A7DFDC6" w14:textId="77777777" w:rsidR="004B0883" w:rsidRDefault="004B0883">
            <w:pPr>
              <w:widowControl w:val="0"/>
              <w:adjustRightInd w:val="0"/>
              <w:snapToGrid w:val="0"/>
              <w:jc w:val="center"/>
              <w:rPr>
                <w:rFonts w:hint="eastAsia"/>
                <w:color w:val="000000"/>
                <w:sz w:val="18"/>
                <w:szCs w:val="22"/>
              </w:rPr>
            </w:pPr>
            <w:r>
              <w:rPr>
                <w:rFonts w:hint="eastAsia"/>
                <w:color w:val="000000"/>
                <w:sz w:val="18"/>
                <w:szCs w:val="22"/>
              </w:rPr>
              <w:t>阀门类产品</w:t>
            </w:r>
          </w:p>
        </w:tc>
      </w:tr>
      <w:tr w:rsidR="004B0883" w14:paraId="6376CEBB" w14:textId="77777777">
        <w:trPr>
          <w:trHeight w:val="397"/>
          <w:jc w:val="center"/>
        </w:trPr>
        <w:tc>
          <w:tcPr>
            <w:tcW w:w="2324" w:type="pct"/>
            <w:gridSpan w:val="2"/>
            <w:tcMar>
              <w:top w:w="0" w:type="dxa"/>
              <w:bottom w:w="0" w:type="dxa"/>
            </w:tcMar>
            <w:vAlign w:val="center"/>
          </w:tcPr>
          <w:p w14:paraId="41BB1784" w14:textId="77777777" w:rsidR="004B0883" w:rsidRDefault="004B0883">
            <w:pPr>
              <w:widowControl w:val="0"/>
              <w:adjustRightInd w:val="0"/>
              <w:snapToGrid w:val="0"/>
              <w:jc w:val="center"/>
              <w:rPr>
                <w:b/>
                <w:color w:val="000000"/>
                <w:sz w:val="18"/>
                <w:szCs w:val="18"/>
              </w:rPr>
            </w:pPr>
            <w:r>
              <w:rPr>
                <w:b/>
                <w:color w:val="000000"/>
                <w:sz w:val="18"/>
                <w:szCs w:val="18"/>
              </w:rPr>
              <w:t>合计</w:t>
            </w:r>
          </w:p>
        </w:tc>
        <w:tc>
          <w:tcPr>
            <w:tcW w:w="536" w:type="pct"/>
            <w:tcMar>
              <w:top w:w="0" w:type="dxa"/>
              <w:bottom w:w="0" w:type="dxa"/>
            </w:tcMar>
            <w:vAlign w:val="center"/>
          </w:tcPr>
          <w:p w14:paraId="4181E8F0" w14:textId="77777777" w:rsidR="004B0883" w:rsidRDefault="004B0883">
            <w:pPr>
              <w:widowControl w:val="0"/>
              <w:adjustRightInd w:val="0"/>
              <w:snapToGrid w:val="0"/>
              <w:jc w:val="right"/>
              <w:rPr>
                <w:rFonts w:hint="eastAsia"/>
                <w:b/>
                <w:bCs/>
                <w:color w:val="000000"/>
                <w:sz w:val="18"/>
              </w:rPr>
            </w:pPr>
            <w:r>
              <w:rPr>
                <w:b/>
                <w:bCs/>
                <w:color w:val="000000"/>
                <w:sz w:val="18"/>
              </w:rPr>
              <w:t>12,012.79</w:t>
            </w:r>
          </w:p>
        </w:tc>
        <w:tc>
          <w:tcPr>
            <w:tcW w:w="554" w:type="pct"/>
            <w:tcMar>
              <w:top w:w="0" w:type="dxa"/>
              <w:bottom w:w="0" w:type="dxa"/>
            </w:tcMar>
            <w:vAlign w:val="center"/>
          </w:tcPr>
          <w:p w14:paraId="2FD20BB1" w14:textId="77777777" w:rsidR="004B0883" w:rsidRDefault="004B0883">
            <w:pPr>
              <w:widowControl w:val="0"/>
              <w:adjustRightInd w:val="0"/>
              <w:snapToGrid w:val="0"/>
              <w:jc w:val="right"/>
              <w:rPr>
                <w:b/>
                <w:bCs/>
                <w:color w:val="000000"/>
                <w:sz w:val="18"/>
              </w:rPr>
            </w:pPr>
            <w:r>
              <w:rPr>
                <w:b/>
                <w:bCs/>
                <w:color w:val="000000"/>
                <w:sz w:val="18"/>
              </w:rPr>
              <w:t>30.10%</w:t>
            </w:r>
          </w:p>
        </w:tc>
        <w:tc>
          <w:tcPr>
            <w:tcW w:w="510" w:type="pct"/>
            <w:vAlign w:val="center"/>
          </w:tcPr>
          <w:p w14:paraId="28174A3D" w14:textId="77777777" w:rsidR="004B0883" w:rsidRDefault="004B0883">
            <w:pPr>
              <w:widowControl w:val="0"/>
              <w:adjustRightInd w:val="0"/>
              <w:snapToGrid w:val="0"/>
              <w:jc w:val="center"/>
              <w:rPr>
                <w:b/>
                <w:color w:val="000000"/>
                <w:sz w:val="18"/>
              </w:rPr>
            </w:pPr>
            <w:r>
              <w:rPr>
                <w:rFonts w:hint="eastAsia"/>
                <w:b/>
                <w:bCs/>
                <w:color w:val="000000"/>
                <w:sz w:val="18"/>
                <w:szCs w:val="22"/>
              </w:rPr>
              <w:t>-</w:t>
            </w:r>
          </w:p>
        </w:tc>
        <w:tc>
          <w:tcPr>
            <w:tcW w:w="504" w:type="pct"/>
            <w:vAlign w:val="center"/>
          </w:tcPr>
          <w:p w14:paraId="2087BDD6" w14:textId="77777777" w:rsidR="004B0883" w:rsidRDefault="004B0883">
            <w:pPr>
              <w:widowControl w:val="0"/>
              <w:adjustRightInd w:val="0"/>
              <w:snapToGrid w:val="0"/>
              <w:jc w:val="center"/>
              <w:rPr>
                <w:b/>
                <w:color w:val="000000"/>
                <w:sz w:val="18"/>
              </w:rPr>
            </w:pPr>
            <w:r>
              <w:rPr>
                <w:rFonts w:hint="eastAsia"/>
                <w:b/>
                <w:bCs/>
                <w:color w:val="000000"/>
                <w:sz w:val="18"/>
                <w:szCs w:val="22"/>
              </w:rPr>
              <w:t>-</w:t>
            </w:r>
          </w:p>
        </w:tc>
        <w:tc>
          <w:tcPr>
            <w:tcW w:w="573" w:type="pct"/>
            <w:vAlign w:val="center"/>
          </w:tcPr>
          <w:p w14:paraId="128A6CA6" w14:textId="77777777" w:rsidR="004B0883" w:rsidRDefault="004B0883">
            <w:pPr>
              <w:widowControl w:val="0"/>
              <w:adjustRightInd w:val="0"/>
              <w:snapToGrid w:val="0"/>
              <w:jc w:val="center"/>
              <w:rPr>
                <w:rFonts w:hint="eastAsia"/>
                <w:b/>
                <w:bCs/>
                <w:color w:val="000000"/>
                <w:sz w:val="18"/>
                <w:szCs w:val="22"/>
              </w:rPr>
            </w:pPr>
            <w:r>
              <w:rPr>
                <w:rFonts w:hint="eastAsia"/>
                <w:b/>
                <w:bCs/>
                <w:color w:val="000000"/>
                <w:sz w:val="18"/>
                <w:szCs w:val="22"/>
              </w:rPr>
              <w:t>-</w:t>
            </w:r>
          </w:p>
        </w:tc>
      </w:tr>
    </w:tbl>
    <w:bookmarkEnd w:id="257"/>
    <w:bookmarkEnd w:id="259"/>
    <w:p w14:paraId="5FE5BF23" w14:textId="77777777" w:rsidR="004B0883" w:rsidRDefault="004B0883">
      <w:pPr>
        <w:keepNext/>
        <w:keepLines/>
        <w:widowControl w:val="0"/>
        <w:spacing w:beforeLines="50" w:before="120" w:after="120" w:line="360" w:lineRule="auto"/>
        <w:ind w:firstLineChars="200" w:firstLine="480"/>
        <w:jc w:val="both"/>
        <w:outlineLvl w:val="4"/>
        <w:rPr>
          <w:sz w:val="24"/>
          <w:szCs w:val="22"/>
        </w:rPr>
      </w:pPr>
      <w:r>
        <w:rPr>
          <w:sz w:val="24"/>
          <w:szCs w:val="22"/>
          <w:lang w:val="zh-CN" w:bidi="en-US"/>
        </w:rPr>
        <w:t>（</w:t>
      </w:r>
      <w:r>
        <w:rPr>
          <w:sz w:val="24"/>
          <w:szCs w:val="22"/>
          <w:lang w:val="zh-CN" w:bidi="en-US"/>
        </w:rPr>
        <w:t>2</w:t>
      </w:r>
      <w:r>
        <w:rPr>
          <w:sz w:val="24"/>
          <w:szCs w:val="22"/>
          <w:lang w:val="zh-CN" w:bidi="en-US"/>
        </w:rPr>
        <w:t>）</w:t>
      </w:r>
      <w:r>
        <w:rPr>
          <w:sz w:val="24"/>
          <w:szCs w:val="22"/>
          <w:lang w:val="zh-CN" w:bidi="en-US"/>
        </w:rPr>
        <w:t>2022</w:t>
      </w:r>
      <w:r>
        <w:rPr>
          <w:sz w:val="24"/>
          <w:szCs w:val="22"/>
          <w:lang w:val="zh-CN" w:bidi="en-US"/>
        </w:rPr>
        <w:t>年</w:t>
      </w:r>
      <w:r>
        <w:rPr>
          <w:rFonts w:hint="eastAsia"/>
          <w:sz w:val="24"/>
          <w:szCs w:val="22"/>
          <w:lang w:val="zh-CN" w:bidi="en-US"/>
        </w:rPr>
        <w:t>度</w:t>
      </w:r>
    </w:p>
    <w:tbl>
      <w:tblPr>
        <w:tblW w:w="6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6"/>
        <w:gridCol w:w="4139"/>
        <w:gridCol w:w="960"/>
        <w:gridCol w:w="1101"/>
        <w:gridCol w:w="1006"/>
        <w:gridCol w:w="1069"/>
        <w:gridCol w:w="1145"/>
      </w:tblGrid>
      <w:tr w:rsidR="004B0883" w14:paraId="201371AE" w14:textId="77777777">
        <w:trPr>
          <w:trHeight w:val="397"/>
          <w:tblHeader/>
          <w:jc w:val="center"/>
        </w:trPr>
        <w:tc>
          <w:tcPr>
            <w:tcW w:w="260" w:type="pct"/>
            <w:shd w:val="clear" w:color="auto" w:fill="D9D9D9"/>
            <w:tcMar>
              <w:top w:w="0" w:type="dxa"/>
              <w:bottom w:w="0" w:type="dxa"/>
            </w:tcMar>
            <w:vAlign w:val="center"/>
          </w:tcPr>
          <w:p w14:paraId="0BE28E70" w14:textId="77777777" w:rsidR="004B0883" w:rsidRDefault="004B0883">
            <w:pPr>
              <w:widowControl w:val="0"/>
              <w:adjustRightInd w:val="0"/>
              <w:snapToGrid w:val="0"/>
              <w:jc w:val="center"/>
              <w:rPr>
                <w:b/>
                <w:sz w:val="18"/>
                <w:szCs w:val="18"/>
              </w:rPr>
            </w:pPr>
            <w:bookmarkStart w:id="260" w:name="_Hlk145929336"/>
            <w:r>
              <w:rPr>
                <w:b/>
                <w:sz w:val="18"/>
                <w:szCs w:val="18"/>
              </w:rPr>
              <w:t>序号</w:t>
            </w:r>
          </w:p>
        </w:tc>
        <w:tc>
          <w:tcPr>
            <w:tcW w:w="2083" w:type="pct"/>
            <w:shd w:val="clear" w:color="auto" w:fill="D9D9D9"/>
            <w:tcMar>
              <w:top w:w="0" w:type="dxa"/>
              <w:bottom w:w="0" w:type="dxa"/>
            </w:tcMar>
            <w:vAlign w:val="center"/>
          </w:tcPr>
          <w:p w14:paraId="0D7F27AC" w14:textId="77777777" w:rsidR="004B0883" w:rsidRDefault="004B0883">
            <w:pPr>
              <w:widowControl w:val="0"/>
              <w:adjustRightInd w:val="0"/>
              <w:snapToGrid w:val="0"/>
              <w:jc w:val="center"/>
              <w:rPr>
                <w:b/>
                <w:sz w:val="18"/>
                <w:szCs w:val="18"/>
              </w:rPr>
            </w:pPr>
            <w:r>
              <w:rPr>
                <w:b/>
                <w:sz w:val="18"/>
                <w:szCs w:val="18"/>
              </w:rPr>
              <w:t>单位名称</w:t>
            </w:r>
          </w:p>
        </w:tc>
        <w:tc>
          <w:tcPr>
            <w:tcW w:w="483" w:type="pct"/>
            <w:shd w:val="clear" w:color="auto" w:fill="D9D9D9"/>
            <w:tcMar>
              <w:top w:w="0" w:type="dxa"/>
              <w:bottom w:w="0" w:type="dxa"/>
            </w:tcMar>
            <w:vAlign w:val="center"/>
          </w:tcPr>
          <w:p w14:paraId="6221A1D0" w14:textId="77777777" w:rsidR="004B0883" w:rsidRDefault="004B0883">
            <w:pPr>
              <w:widowControl w:val="0"/>
              <w:adjustRightInd w:val="0"/>
              <w:snapToGrid w:val="0"/>
              <w:jc w:val="center"/>
              <w:rPr>
                <w:b/>
                <w:sz w:val="18"/>
                <w:szCs w:val="18"/>
              </w:rPr>
            </w:pPr>
            <w:r>
              <w:rPr>
                <w:b/>
                <w:sz w:val="18"/>
                <w:szCs w:val="18"/>
              </w:rPr>
              <w:t>销售额（万元）</w:t>
            </w:r>
          </w:p>
        </w:tc>
        <w:tc>
          <w:tcPr>
            <w:tcW w:w="554" w:type="pct"/>
            <w:shd w:val="clear" w:color="auto" w:fill="D9D9D9"/>
            <w:tcMar>
              <w:top w:w="0" w:type="dxa"/>
              <w:bottom w:w="0" w:type="dxa"/>
            </w:tcMar>
            <w:vAlign w:val="center"/>
          </w:tcPr>
          <w:p w14:paraId="3F498879" w14:textId="77777777" w:rsidR="004B0883" w:rsidRDefault="004B0883">
            <w:pPr>
              <w:widowControl w:val="0"/>
              <w:adjustRightInd w:val="0"/>
              <w:snapToGrid w:val="0"/>
              <w:jc w:val="center"/>
              <w:rPr>
                <w:b/>
                <w:sz w:val="18"/>
                <w:szCs w:val="18"/>
              </w:rPr>
            </w:pPr>
            <w:r>
              <w:rPr>
                <w:b/>
                <w:sz w:val="18"/>
                <w:szCs w:val="18"/>
              </w:rPr>
              <w:t>占营业收入比例</w:t>
            </w:r>
          </w:p>
        </w:tc>
        <w:tc>
          <w:tcPr>
            <w:tcW w:w="506" w:type="pct"/>
            <w:shd w:val="clear" w:color="auto" w:fill="D9D9D9"/>
            <w:vAlign w:val="center"/>
          </w:tcPr>
          <w:p w14:paraId="0305509E" w14:textId="77777777" w:rsidR="004B0883" w:rsidRDefault="004B0883">
            <w:pPr>
              <w:widowControl w:val="0"/>
              <w:adjustRightInd w:val="0"/>
              <w:snapToGrid w:val="0"/>
              <w:jc w:val="center"/>
              <w:rPr>
                <w:b/>
                <w:sz w:val="18"/>
                <w:szCs w:val="18"/>
              </w:rPr>
            </w:pPr>
            <w:r>
              <w:rPr>
                <w:rFonts w:hint="eastAsia"/>
                <w:b/>
                <w:sz w:val="18"/>
                <w:szCs w:val="18"/>
              </w:rPr>
              <w:t>国家</w:t>
            </w:r>
          </w:p>
        </w:tc>
        <w:tc>
          <w:tcPr>
            <w:tcW w:w="538" w:type="pct"/>
            <w:shd w:val="clear" w:color="auto" w:fill="D9D9D9"/>
            <w:vAlign w:val="center"/>
          </w:tcPr>
          <w:p w14:paraId="7DF27BE3" w14:textId="77777777" w:rsidR="004B0883" w:rsidRDefault="004B0883">
            <w:pPr>
              <w:widowControl w:val="0"/>
              <w:adjustRightInd w:val="0"/>
              <w:snapToGrid w:val="0"/>
              <w:jc w:val="center"/>
              <w:rPr>
                <w:b/>
                <w:sz w:val="18"/>
                <w:szCs w:val="18"/>
              </w:rPr>
            </w:pPr>
            <w:r>
              <w:rPr>
                <w:rFonts w:hint="eastAsia"/>
                <w:b/>
                <w:sz w:val="18"/>
                <w:szCs w:val="18"/>
              </w:rPr>
              <w:t>客户类型</w:t>
            </w:r>
          </w:p>
        </w:tc>
        <w:tc>
          <w:tcPr>
            <w:tcW w:w="576" w:type="pct"/>
            <w:shd w:val="clear" w:color="auto" w:fill="D9D9D9"/>
            <w:vAlign w:val="center"/>
          </w:tcPr>
          <w:p w14:paraId="5A87A009" w14:textId="77777777" w:rsidR="004B0883" w:rsidRDefault="004B0883">
            <w:pPr>
              <w:widowControl w:val="0"/>
              <w:adjustRightInd w:val="0"/>
              <w:snapToGrid w:val="0"/>
              <w:jc w:val="center"/>
              <w:rPr>
                <w:rFonts w:hint="eastAsia"/>
                <w:b/>
                <w:sz w:val="18"/>
                <w:szCs w:val="18"/>
              </w:rPr>
            </w:pPr>
            <w:r>
              <w:rPr>
                <w:rFonts w:hint="eastAsia"/>
                <w:b/>
                <w:sz w:val="18"/>
                <w:szCs w:val="18"/>
              </w:rPr>
              <w:t>销售产品</w:t>
            </w:r>
          </w:p>
        </w:tc>
      </w:tr>
      <w:tr w:rsidR="004B0883" w14:paraId="051BE68D" w14:textId="77777777">
        <w:trPr>
          <w:trHeight w:val="397"/>
          <w:jc w:val="center"/>
        </w:trPr>
        <w:tc>
          <w:tcPr>
            <w:tcW w:w="260" w:type="pct"/>
            <w:tcMar>
              <w:top w:w="0" w:type="dxa"/>
              <w:bottom w:w="0" w:type="dxa"/>
            </w:tcMar>
            <w:vAlign w:val="center"/>
          </w:tcPr>
          <w:p w14:paraId="24FCF615" w14:textId="77777777" w:rsidR="004B0883" w:rsidRDefault="004B0883">
            <w:pPr>
              <w:widowControl w:val="0"/>
              <w:adjustRightInd w:val="0"/>
              <w:snapToGrid w:val="0"/>
              <w:jc w:val="center"/>
              <w:rPr>
                <w:sz w:val="18"/>
                <w:szCs w:val="18"/>
              </w:rPr>
            </w:pPr>
            <w:r>
              <w:rPr>
                <w:sz w:val="18"/>
                <w:szCs w:val="18"/>
              </w:rPr>
              <w:t>1</w:t>
            </w:r>
          </w:p>
        </w:tc>
        <w:tc>
          <w:tcPr>
            <w:tcW w:w="2083" w:type="pct"/>
            <w:tcMar>
              <w:top w:w="0" w:type="dxa"/>
              <w:bottom w:w="0" w:type="dxa"/>
            </w:tcMar>
            <w:vAlign w:val="center"/>
          </w:tcPr>
          <w:p w14:paraId="17793D40" w14:textId="77777777" w:rsidR="004B0883" w:rsidRDefault="004B0883">
            <w:pPr>
              <w:widowControl w:val="0"/>
              <w:adjustRightInd w:val="0"/>
              <w:snapToGrid w:val="0"/>
              <w:jc w:val="both"/>
              <w:rPr>
                <w:sz w:val="18"/>
                <w:szCs w:val="18"/>
              </w:rPr>
            </w:pPr>
            <w:r>
              <w:rPr>
                <w:color w:val="000000"/>
                <w:sz w:val="18"/>
                <w:szCs w:val="22"/>
              </w:rPr>
              <w:t>LANSDALE INTERNATIONAL LLC</w:t>
            </w:r>
          </w:p>
        </w:tc>
        <w:tc>
          <w:tcPr>
            <w:tcW w:w="483" w:type="pct"/>
            <w:tcMar>
              <w:top w:w="0" w:type="dxa"/>
              <w:bottom w:w="0" w:type="dxa"/>
            </w:tcMar>
            <w:vAlign w:val="center"/>
          </w:tcPr>
          <w:p w14:paraId="212F8DE1" w14:textId="77777777" w:rsidR="004B0883" w:rsidRDefault="004B0883">
            <w:pPr>
              <w:widowControl w:val="0"/>
              <w:adjustRightInd w:val="0"/>
              <w:snapToGrid w:val="0"/>
              <w:jc w:val="right"/>
              <w:rPr>
                <w:kern w:val="0"/>
                <w:sz w:val="18"/>
                <w:szCs w:val="18"/>
              </w:rPr>
            </w:pPr>
            <w:r>
              <w:rPr>
                <w:color w:val="000000"/>
                <w:sz w:val="18"/>
              </w:rPr>
              <w:t>3,862.85</w:t>
            </w:r>
          </w:p>
        </w:tc>
        <w:tc>
          <w:tcPr>
            <w:tcW w:w="554" w:type="pct"/>
            <w:tcMar>
              <w:top w:w="0" w:type="dxa"/>
              <w:bottom w:w="0" w:type="dxa"/>
            </w:tcMar>
            <w:vAlign w:val="center"/>
          </w:tcPr>
          <w:p w14:paraId="3862AB1C" w14:textId="77777777" w:rsidR="004B0883" w:rsidRDefault="004B0883">
            <w:pPr>
              <w:widowControl w:val="0"/>
              <w:adjustRightInd w:val="0"/>
              <w:snapToGrid w:val="0"/>
              <w:jc w:val="right"/>
              <w:rPr>
                <w:kern w:val="0"/>
                <w:sz w:val="18"/>
                <w:szCs w:val="18"/>
              </w:rPr>
            </w:pPr>
            <w:r>
              <w:rPr>
                <w:color w:val="000000"/>
                <w:sz w:val="18"/>
              </w:rPr>
              <w:t>7.15%</w:t>
            </w:r>
          </w:p>
        </w:tc>
        <w:tc>
          <w:tcPr>
            <w:tcW w:w="506" w:type="pct"/>
            <w:vAlign w:val="center"/>
          </w:tcPr>
          <w:p w14:paraId="3C4B17C1" w14:textId="77777777" w:rsidR="004B0883" w:rsidRDefault="004B0883">
            <w:pPr>
              <w:widowControl w:val="0"/>
              <w:adjustRightInd w:val="0"/>
              <w:snapToGrid w:val="0"/>
              <w:jc w:val="center"/>
              <w:rPr>
                <w:color w:val="000000"/>
                <w:sz w:val="18"/>
              </w:rPr>
            </w:pPr>
            <w:r>
              <w:rPr>
                <w:rFonts w:hint="eastAsia"/>
                <w:color w:val="000000"/>
                <w:sz w:val="18"/>
                <w:szCs w:val="22"/>
              </w:rPr>
              <w:t>美国</w:t>
            </w:r>
          </w:p>
        </w:tc>
        <w:tc>
          <w:tcPr>
            <w:tcW w:w="538" w:type="pct"/>
            <w:vAlign w:val="center"/>
          </w:tcPr>
          <w:p w14:paraId="27DB2500" w14:textId="77777777" w:rsidR="004B0883" w:rsidRDefault="004B0883">
            <w:pPr>
              <w:widowControl w:val="0"/>
              <w:adjustRightInd w:val="0"/>
              <w:snapToGrid w:val="0"/>
              <w:jc w:val="center"/>
              <w:rPr>
                <w:color w:val="000000"/>
                <w:sz w:val="18"/>
              </w:rPr>
            </w:pPr>
            <w:r>
              <w:rPr>
                <w:rFonts w:hint="eastAsia"/>
                <w:color w:val="000000"/>
                <w:sz w:val="18"/>
                <w:szCs w:val="22"/>
              </w:rPr>
              <w:t>贴牌</w:t>
            </w:r>
          </w:p>
        </w:tc>
        <w:tc>
          <w:tcPr>
            <w:tcW w:w="576" w:type="pct"/>
            <w:vAlign w:val="center"/>
          </w:tcPr>
          <w:p w14:paraId="1D273B55" w14:textId="77777777" w:rsidR="004B0883" w:rsidRDefault="004B0883">
            <w:pPr>
              <w:widowControl w:val="0"/>
              <w:adjustRightInd w:val="0"/>
              <w:snapToGrid w:val="0"/>
              <w:jc w:val="center"/>
              <w:rPr>
                <w:rFonts w:hint="eastAsia"/>
                <w:color w:val="000000"/>
                <w:sz w:val="18"/>
                <w:szCs w:val="22"/>
              </w:rPr>
            </w:pPr>
            <w:r>
              <w:rPr>
                <w:rFonts w:hint="eastAsia"/>
                <w:color w:val="000000"/>
                <w:sz w:val="18"/>
                <w:szCs w:val="22"/>
              </w:rPr>
              <w:t>阀门类产品</w:t>
            </w:r>
          </w:p>
        </w:tc>
      </w:tr>
      <w:tr w:rsidR="004B0883" w14:paraId="7780313E" w14:textId="77777777">
        <w:trPr>
          <w:trHeight w:val="397"/>
          <w:jc w:val="center"/>
        </w:trPr>
        <w:tc>
          <w:tcPr>
            <w:tcW w:w="260" w:type="pct"/>
            <w:tcMar>
              <w:top w:w="0" w:type="dxa"/>
              <w:bottom w:w="0" w:type="dxa"/>
            </w:tcMar>
            <w:vAlign w:val="center"/>
          </w:tcPr>
          <w:p w14:paraId="1A686B51" w14:textId="77777777" w:rsidR="004B0883" w:rsidRDefault="004B0883">
            <w:pPr>
              <w:widowControl w:val="0"/>
              <w:adjustRightInd w:val="0"/>
              <w:snapToGrid w:val="0"/>
              <w:jc w:val="center"/>
              <w:rPr>
                <w:sz w:val="18"/>
                <w:szCs w:val="18"/>
              </w:rPr>
            </w:pPr>
            <w:r>
              <w:rPr>
                <w:sz w:val="18"/>
                <w:szCs w:val="18"/>
              </w:rPr>
              <w:t>2</w:t>
            </w:r>
          </w:p>
        </w:tc>
        <w:tc>
          <w:tcPr>
            <w:tcW w:w="2083" w:type="pct"/>
            <w:tcMar>
              <w:top w:w="0" w:type="dxa"/>
              <w:bottom w:w="0" w:type="dxa"/>
            </w:tcMar>
            <w:vAlign w:val="center"/>
          </w:tcPr>
          <w:p w14:paraId="32E9CFD4" w14:textId="77777777" w:rsidR="004B0883" w:rsidRDefault="004B0883">
            <w:pPr>
              <w:widowControl w:val="0"/>
              <w:adjustRightInd w:val="0"/>
              <w:snapToGrid w:val="0"/>
              <w:jc w:val="both"/>
              <w:rPr>
                <w:sz w:val="18"/>
                <w:szCs w:val="18"/>
              </w:rPr>
            </w:pPr>
            <w:r>
              <w:rPr>
                <w:rFonts w:hint="eastAsia"/>
                <w:color w:val="000000"/>
                <w:sz w:val="18"/>
                <w:szCs w:val="18"/>
              </w:rPr>
              <w:t>REECE AUSTRALIA PTY LTD</w:t>
            </w:r>
          </w:p>
        </w:tc>
        <w:tc>
          <w:tcPr>
            <w:tcW w:w="483" w:type="pct"/>
            <w:tcMar>
              <w:top w:w="0" w:type="dxa"/>
              <w:bottom w:w="0" w:type="dxa"/>
            </w:tcMar>
            <w:vAlign w:val="center"/>
          </w:tcPr>
          <w:p w14:paraId="4ED6C3D8" w14:textId="77777777" w:rsidR="004B0883" w:rsidRDefault="004B0883">
            <w:pPr>
              <w:widowControl w:val="0"/>
              <w:adjustRightInd w:val="0"/>
              <w:snapToGrid w:val="0"/>
              <w:jc w:val="right"/>
              <w:rPr>
                <w:sz w:val="18"/>
                <w:szCs w:val="18"/>
              </w:rPr>
            </w:pPr>
            <w:r>
              <w:rPr>
                <w:color w:val="000000"/>
                <w:sz w:val="18"/>
              </w:rPr>
              <w:t>2,953.49</w:t>
            </w:r>
          </w:p>
        </w:tc>
        <w:tc>
          <w:tcPr>
            <w:tcW w:w="554" w:type="pct"/>
            <w:tcMar>
              <w:top w:w="0" w:type="dxa"/>
              <w:bottom w:w="0" w:type="dxa"/>
            </w:tcMar>
            <w:vAlign w:val="center"/>
          </w:tcPr>
          <w:p w14:paraId="2024086B" w14:textId="77777777" w:rsidR="004B0883" w:rsidRDefault="004B0883">
            <w:pPr>
              <w:widowControl w:val="0"/>
              <w:adjustRightInd w:val="0"/>
              <w:snapToGrid w:val="0"/>
              <w:jc w:val="right"/>
              <w:rPr>
                <w:sz w:val="18"/>
                <w:szCs w:val="18"/>
              </w:rPr>
            </w:pPr>
            <w:r>
              <w:rPr>
                <w:color w:val="000000"/>
                <w:sz w:val="18"/>
              </w:rPr>
              <w:t>5.47%</w:t>
            </w:r>
          </w:p>
        </w:tc>
        <w:tc>
          <w:tcPr>
            <w:tcW w:w="506" w:type="pct"/>
            <w:vAlign w:val="center"/>
          </w:tcPr>
          <w:p w14:paraId="2163A745" w14:textId="77777777" w:rsidR="004B0883" w:rsidRDefault="004B0883">
            <w:pPr>
              <w:widowControl w:val="0"/>
              <w:adjustRightInd w:val="0"/>
              <w:snapToGrid w:val="0"/>
              <w:jc w:val="center"/>
              <w:rPr>
                <w:color w:val="000000"/>
                <w:sz w:val="18"/>
              </w:rPr>
            </w:pPr>
            <w:r>
              <w:rPr>
                <w:rFonts w:hint="eastAsia"/>
                <w:color w:val="000000"/>
                <w:sz w:val="18"/>
                <w:szCs w:val="22"/>
              </w:rPr>
              <w:t>澳大利亚</w:t>
            </w:r>
          </w:p>
        </w:tc>
        <w:tc>
          <w:tcPr>
            <w:tcW w:w="538" w:type="pct"/>
            <w:vAlign w:val="center"/>
          </w:tcPr>
          <w:p w14:paraId="0714D6F7" w14:textId="77777777" w:rsidR="004B0883" w:rsidRDefault="004B0883">
            <w:pPr>
              <w:widowControl w:val="0"/>
              <w:adjustRightInd w:val="0"/>
              <w:snapToGrid w:val="0"/>
              <w:jc w:val="center"/>
              <w:rPr>
                <w:color w:val="000000"/>
                <w:sz w:val="18"/>
              </w:rPr>
            </w:pPr>
            <w:r>
              <w:rPr>
                <w:rFonts w:hint="eastAsia"/>
                <w:color w:val="000000"/>
                <w:sz w:val="18"/>
                <w:szCs w:val="22"/>
              </w:rPr>
              <w:t>贴牌</w:t>
            </w:r>
          </w:p>
        </w:tc>
        <w:tc>
          <w:tcPr>
            <w:tcW w:w="576" w:type="pct"/>
            <w:vAlign w:val="center"/>
          </w:tcPr>
          <w:p w14:paraId="45876D7D" w14:textId="77777777" w:rsidR="004B0883" w:rsidRDefault="004B0883">
            <w:pPr>
              <w:widowControl w:val="0"/>
              <w:adjustRightInd w:val="0"/>
              <w:snapToGrid w:val="0"/>
              <w:jc w:val="center"/>
              <w:rPr>
                <w:rFonts w:hint="eastAsia"/>
                <w:color w:val="000000"/>
                <w:sz w:val="18"/>
                <w:szCs w:val="22"/>
              </w:rPr>
            </w:pPr>
            <w:r>
              <w:rPr>
                <w:rFonts w:hint="eastAsia"/>
                <w:color w:val="000000"/>
                <w:sz w:val="18"/>
                <w:szCs w:val="22"/>
              </w:rPr>
              <w:t>阀门类产品</w:t>
            </w:r>
          </w:p>
        </w:tc>
      </w:tr>
      <w:tr w:rsidR="004B0883" w14:paraId="58E79319" w14:textId="77777777">
        <w:trPr>
          <w:trHeight w:val="397"/>
          <w:jc w:val="center"/>
        </w:trPr>
        <w:tc>
          <w:tcPr>
            <w:tcW w:w="260" w:type="pct"/>
            <w:tcMar>
              <w:top w:w="0" w:type="dxa"/>
              <w:bottom w:w="0" w:type="dxa"/>
            </w:tcMar>
            <w:vAlign w:val="center"/>
          </w:tcPr>
          <w:p w14:paraId="0BEE19C1" w14:textId="77777777" w:rsidR="004B0883" w:rsidRDefault="004B0883">
            <w:pPr>
              <w:widowControl w:val="0"/>
              <w:adjustRightInd w:val="0"/>
              <w:snapToGrid w:val="0"/>
              <w:jc w:val="center"/>
              <w:rPr>
                <w:sz w:val="18"/>
                <w:szCs w:val="18"/>
              </w:rPr>
            </w:pPr>
            <w:r>
              <w:rPr>
                <w:sz w:val="18"/>
                <w:szCs w:val="18"/>
              </w:rPr>
              <w:t>3</w:t>
            </w:r>
          </w:p>
        </w:tc>
        <w:tc>
          <w:tcPr>
            <w:tcW w:w="2083" w:type="pct"/>
            <w:tcMar>
              <w:top w:w="0" w:type="dxa"/>
              <w:bottom w:w="0" w:type="dxa"/>
            </w:tcMar>
            <w:vAlign w:val="center"/>
          </w:tcPr>
          <w:p w14:paraId="485EA8E6" w14:textId="77777777" w:rsidR="004B0883" w:rsidRDefault="004B0883">
            <w:pPr>
              <w:widowControl w:val="0"/>
              <w:adjustRightInd w:val="0"/>
              <w:snapToGrid w:val="0"/>
              <w:jc w:val="both"/>
              <w:rPr>
                <w:sz w:val="18"/>
                <w:szCs w:val="18"/>
              </w:rPr>
            </w:pPr>
            <w:r>
              <w:rPr>
                <w:rFonts w:hint="eastAsia"/>
                <w:color w:val="000000"/>
                <w:sz w:val="18"/>
                <w:szCs w:val="18"/>
              </w:rPr>
              <w:t>J&amp;S Valve, Inc</w:t>
            </w:r>
          </w:p>
        </w:tc>
        <w:tc>
          <w:tcPr>
            <w:tcW w:w="483" w:type="pct"/>
            <w:tcMar>
              <w:top w:w="0" w:type="dxa"/>
              <w:bottom w:w="0" w:type="dxa"/>
            </w:tcMar>
            <w:vAlign w:val="center"/>
          </w:tcPr>
          <w:p w14:paraId="72826AB3" w14:textId="77777777" w:rsidR="004B0883" w:rsidRDefault="004B0883">
            <w:pPr>
              <w:widowControl w:val="0"/>
              <w:adjustRightInd w:val="0"/>
              <w:snapToGrid w:val="0"/>
              <w:jc w:val="right"/>
              <w:rPr>
                <w:sz w:val="18"/>
                <w:szCs w:val="18"/>
              </w:rPr>
            </w:pPr>
            <w:r>
              <w:rPr>
                <w:color w:val="000000"/>
                <w:sz w:val="18"/>
              </w:rPr>
              <w:t>2,360.28</w:t>
            </w:r>
          </w:p>
        </w:tc>
        <w:tc>
          <w:tcPr>
            <w:tcW w:w="554" w:type="pct"/>
            <w:tcMar>
              <w:top w:w="0" w:type="dxa"/>
              <w:bottom w:w="0" w:type="dxa"/>
            </w:tcMar>
            <w:vAlign w:val="center"/>
          </w:tcPr>
          <w:p w14:paraId="10444B7E" w14:textId="77777777" w:rsidR="004B0883" w:rsidRDefault="004B0883">
            <w:pPr>
              <w:widowControl w:val="0"/>
              <w:adjustRightInd w:val="0"/>
              <w:snapToGrid w:val="0"/>
              <w:jc w:val="right"/>
              <w:rPr>
                <w:sz w:val="18"/>
                <w:szCs w:val="18"/>
              </w:rPr>
            </w:pPr>
            <w:r>
              <w:rPr>
                <w:color w:val="000000"/>
                <w:sz w:val="18"/>
              </w:rPr>
              <w:t>4.37%</w:t>
            </w:r>
          </w:p>
        </w:tc>
        <w:tc>
          <w:tcPr>
            <w:tcW w:w="506" w:type="pct"/>
            <w:vAlign w:val="center"/>
          </w:tcPr>
          <w:p w14:paraId="2710DAFF" w14:textId="77777777" w:rsidR="004B0883" w:rsidRDefault="004B0883">
            <w:pPr>
              <w:widowControl w:val="0"/>
              <w:adjustRightInd w:val="0"/>
              <w:snapToGrid w:val="0"/>
              <w:jc w:val="center"/>
              <w:rPr>
                <w:color w:val="000000"/>
                <w:sz w:val="18"/>
              </w:rPr>
            </w:pPr>
            <w:r>
              <w:rPr>
                <w:rFonts w:hint="eastAsia"/>
                <w:color w:val="000000"/>
                <w:sz w:val="18"/>
                <w:szCs w:val="22"/>
              </w:rPr>
              <w:t>美国</w:t>
            </w:r>
          </w:p>
        </w:tc>
        <w:tc>
          <w:tcPr>
            <w:tcW w:w="538" w:type="pct"/>
            <w:vAlign w:val="center"/>
          </w:tcPr>
          <w:p w14:paraId="4CAE2148" w14:textId="77777777" w:rsidR="004B0883" w:rsidRDefault="004B0883">
            <w:pPr>
              <w:widowControl w:val="0"/>
              <w:adjustRightInd w:val="0"/>
              <w:snapToGrid w:val="0"/>
              <w:jc w:val="center"/>
              <w:rPr>
                <w:color w:val="000000"/>
                <w:sz w:val="18"/>
              </w:rPr>
            </w:pPr>
            <w:r>
              <w:rPr>
                <w:rFonts w:hint="eastAsia"/>
                <w:color w:val="000000"/>
                <w:sz w:val="18"/>
                <w:szCs w:val="22"/>
              </w:rPr>
              <w:t>贴牌</w:t>
            </w:r>
          </w:p>
        </w:tc>
        <w:tc>
          <w:tcPr>
            <w:tcW w:w="576" w:type="pct"/>
            <w:vAlign w:val="center"/>
          </w:tcPr>
          <w:p w14:paraId="4F3FAD48" w14:textId="77777777" w:rsidR="004B0883" w:rsidRDefault="004B0883">
            <w:pPr>
              <w:widowControl w:val="0"/>
              <w:adjustRightInd w:val="0"/>
              <w:snapToGrid w:val="0"/>
              <w:jc w:val="center"/>
              <w:rPr>
                <w:rFonts w:hint="eastAsia"/>
                <w:color w:val="000000"/>
                <w:sz w:val="18"/>
                <w:szCs w:val="22"/>
              </w:rPr>
            </w:pPr>
            <w:r>
              <w:rPr>
                <w:rFonts w:hint="eastAsia"/>
                <w:color w:val="000000"/>
                <w:sz w:val="18"/>
                <w:szCs w:val="22"/>
              </w:rPr>
              <w:t>阀门类产品</w:t>
            </w:r>
          </w:p>
        </w:tc>
      </w:tr>
      <w:tr w:rsidR="004B0883" w14:paraId="153DCF74" w14:textId="77777777">
        <w:trPr>
          <w:trHeight w:val="397"/>
          <w:jc w:val="center"/>
        </w:trPr>
        <w:tc>
          <w:tcPr>
            <w:tcW w:w="260" w:type="pct"/>
            <w:tcMar>
              <w:top w:w="0" w:type="dxa"/>
              <w:bottom w:w="0" w:type="dxa"/>
            </w:tcMar>
            <w:vAlign w:val="center"/>
          </w:tcPr>
          <w:p w14:paraId="47030E28" w14:textId="77777777" w:rsidR="004B0883" w:rsidRDefault="004B0883">
            <w:pPr>
              <w:widowControl w:val="0"/>
              <w:adjustRightInd w:val="0"/>
              <w:snapToGrid w:val="0"/>
              <w:jc w:val="center"/>
              <w:rPr>
                <w:sz w:val="18"/>
                <w:szCs w:val="18"/>
              </w:rPr>
            </w:pPr>
            <w:r>
              <w:rPr>
                <w:sz w:val="18"/>
                <w:szCs w:val="18"/>
              </w:rPr>
              <w:t>4</w:t>
            </w:r>
          </w:p>
        </w:tc>
        <w:tc>
          <w:tcPr>
            <w:tcW w:w="2083" w:type="pct"/>
            <w:tcMar>
              <w:top w:w="0" w:type="dxa"/>
              <w:bottom w:w="0" w:type="dxa"/>
            </w:tcMar>
            <w:vAlign w:val="center"/>
          </w:tcPr>
          <w:p w14:paraId="5B42F9D5" w14:textId="77777777" w:rsidR="004B0883" w:rsidRDefault="004B0883">
            <w:pPr>
              <w:widowControl w:val="0"/>
              <w:adjustRightInd w:val="0"/>
              <w:snapToGrid w:val="0"/>
              <w:jc w:val="both"/>
              <w:rPr>
                <w:sz w:val="18"/>
                <w:szCs w:val="18"/>
              </w:rPr>
            </w:pPr>
            <w:r>
              <w:rPr>
                <w:rFonts w:hint="eastAsia"/>
                <w:color w:val="000000"/>
                <w:sz w:val="18"/>
                <w:szCs w:val="18"/>
              </w:rPr>
              <w:t>Victaulic Europe bvba - Belgium</w:t>
            </w:r>
          </w:p>
        </w:tc>
        <w:tc>
          <w:tcPr>
            <w:tcW w:w="483" w:type="pct"/>
            <w:tcMar>
              <w:top w:w="0" w:type="dxa"/>
              <w:bottom w:w="0" w:type="dxa"/>
            </w:tcMar>
            <w:vAlign w:val="center"/>
          </w:tcPr>
          <w:p w14:paraId="33775066" w14:textId="77777777" w:rsidR="004B0883" w:rsidRDefault="004B0883">
            <w:pPr>
              <w:widowControl w:val="0"/>
              <w:adjustRightInd w:val="0"/>
              <w:snapToGrid w:val="0"/>
              <w:jc w:val="right"/>
              <w:rPr>
                <w:sz w:val="18"/>
                <w:szCs w:val="18"/>
              </w:rPr>
            </w:pPr>
            <w:r>
              <w:rPr>
                <w:color w:val="000000"/>
                <w:sz w:val="18"/>
              </w:rPr>
              <w:t>1</w:t>
            </w:r>
            <w:r>
              <w:rPr>
                <w:rFonts w:hint="eastAsia"/>
                <w:color w:val="000000"/>
                <w:sz w:val="18"/>
              </w:rPr>
              <w:t>,</w:t>
            </w:r>
            <w:r>
              <w:rPr>
                <w:color w:val="000000"/>
                <w:sz w:val="18"/>
              </w:rPr>
              <w:t>852.41</w:t>
            </w:r>
          </w:p>
        </w:tc>
        <w:tc>
          <w:tcPr>
            <w:tcW w:w="554" w:type="pct"/>
            <w:tcMar>
              <w:top w:w="0" w:type="dxa"/>
              <w:bottom w:w="0" w:type="dxa"/>
            </w:tcMar>
            <w:vAlign w:val="center"/>
          </w:tcPr>
          <w:p w14:paraId="035421BD" w14:textId="77777777" w:rsidR="004B0883" w:rsidRDefault="004B0883">
            <w:pPr>
              <w:widowControl w:val="0"/>
              <w:adjustRightInd w:val="0"/>
              <w:snapToGrid w:val="0"/>
              <w:jc w:val="right"/>
              <w:rPr>
                <w:sz w:val="18"/>
                <w:szCs w:val="18"/>
              </w:rPr>
            </w:pPr>
            <w:r>
              <w:rPr>
                <w:color w:val="000000"/>
                <w:sz w:val="18"/>
              </w:rPr>
              <w:t>3.43%</w:t>
            </w:r>
          </w:p>
        </w:tc>
        <w:tc>
          <w:tcPr>
            <w:tcW w:w="506" w:type="pct"/>
            <w:vAlign w:val="center"/>
          </w:tcPr>
          <w:p w14:paraId="4D9F0A7A" w14:textId="77777777" w:rsidR="004B0883" w:rsidRDefault="004B0883">
            <w:pPr>
              <w:widowControl w:val="0"/>
              <w:adjustRightInd w:val="0"/>
              <w:snapToGrid w:val="0"/>
              <w:jc w:val="center"/>
              <w:rPr>
                <w:color w:val="000000"/>
                <w:sz w:val="18"/>
              </w:rPr>
            </w:pPr>
            <w:r>
              <w:rPr>
                <w:rFonts w:hint="eastAsia"/>
                <w:color w:val="000000"/>
                <w:sz w:val="18"/>
                <w:szCs w:val="22"/>
              </w:rPr>
              <w:t>比利时</w:t>
            </w:r>
          </w:p>
        </w:tc>
        <w:tc>
          <w:tcPr>
            <w:tcW w:w="538" w:type="pct"/>
            <w:vAlign w:val="center"/>
          </w:tcPr>
          <w:p w14:paraId="6961DAB6" w14:textId="77777777" w:rsidR="004B0883" w:rsidRDefault="004B0883">
            <w:pPr>
              <w:widowControl w:val="0"/>
              <w:adjustRightInd w:val="0"/>
              <w:snapToGrid w:val="0"/>
              <w:jc w:val="center"/>
              <w:rPr>
                <w:color w:val="000000"/>
                <w:sz w:val="18"/>
              </w:rPr>
            </w:pPr>
            <w:r>
              <w:rPr>
                <w:rFonts w:hint="eastAsia"/>
                <w:color w:val="000000"/>
                <w:sz w:val="18"/>
                <w:szCs w:val="22"/>
              </w:rPr>
              <w:t>贴牌</w:t>
            </w:r>
          </w:p>
        </w:tc>
        <w:tc>
          <w:tcPr>
            <w:tcW w:w="576" w:type="pct"/>
            <w:vAlign w:val="center"/>
          </w:tcPr>
          <w:p w14:paraId="6A107AA4" w14:textId="77777777" w:rsidR="004B0883" w:rsidRDefault="004B0883">
            <w:pPr>
              <w:widowControl w:val="0"/>
              <w:adjustRightInd w:val="0"/>
              <w:snapToGrid w:val="0"/>
              <w:jc w:val="center"/>
              <w:rPr>
                <w:rFonts w:hint="eastAsia"/>
                <w:color w:val="000000"/>
                <w:sz w:val="18"/>
                <w:szCs w:val="22"/>
              </w:rPr>
            </w:pPr>
            <w:r>
              <w:rPr>
                <w:rFonts w:hint="eastAsia"/>
                <w:color w:val="000000"/>
                <w:sz w:val="18"/>
                <w:szCs w:val="22"/>
              </w:rPr>
              <w:t>阀门类产品</w:t>
            </w:r>
          </w:p>
        </w:tc>
      </w:tr>
      <w:tr w:rsidR="004B0883" w14:paraId="0AA3CA5D" w14:textId="77777777">
        <w:trPr>
          <w:trHeight w:val="397"/>
          <w:jc w:val="center"/>
        </w:trPr>
        <w:tc>
          <w:tcPr>
            <w:tcW w:w="260" w:type="pct"/>
            <w:tcMar>
              <w:top w:w="0" w:type="dxa"/>
              <w:bottom w:w="0" w:type="dxa"/>
            </w:tcMar>
            <w:vAlign w:val="center"/>
          </w:tcPr>
          <w:p w14:paraId="7F4C61DD" w14:textId="77777777" w:rsidR="004B0883" w:rsidRDefault="004B0883">
            <w:pPr>
              <w:widowControl w:val="0"/>
              <w:adjustRightInd w:val="0"/>
              <w:snapToGrid w:val="0"/>
              <w:jc w:val="center"/>
              <w:rPr>
                <w:sz w:val="18"/>
                <w:szCs w:val="18"/>
              </w:rPr>
            </w:pPr>
            <w:r>
              <w:rPr>
                <w:sz w:val="18"/>
                <w:szCs w:val="18"/>
              </w:rPr>
              <w:t>5</w:t>
            </w:r>
          </w:p>
        </w:tc>
        <w:tc>
          <w:tcPr>
            <w:tcW w:w="2083" w:type="pct"/>
            <w:tcMar>
              <w:top w:w="0" w:type="dxa"/>
              <w:bottom w:w="0" w:type="dxa"/>
            </w:tcMar>
            <w:vAlign w:val="center"/>
          </w:tcPr>
          <w:p w14:paraId="30535B7D" w14:textId="77777777" w:rsidR="004B0883" w:rsidRDefault="004B0883">
            <w:pPr>
              <w:widowControl w:val="0"/>
              <w:adjustRightInd w:val="0"/>
              <w:snapToGrid w:val="0"/>
              <w:jc w:val="both"/>
              <w:rPr>
                <w:sz w:val="18"/>
                <w:szCs w:val="18"/>
              </w:rPr>
            </w:pPr>
            <w:r>
              <w:rPr>
                <w:rFonts w:hint="eastAsia"/>
                <w:color w:val="000000"/>
                <w:sz w:val="18"/>
                <w:szCs w:val="18"/>
              </w:rPr>
              <w:t>LICHFIELD FIRE &amp; SAFETY EQUIPMENT FZE</w:t>
            </w:r>
          </w:p>
        </w:tc>
        <w:tc>
          <w:tcPr>
            <w:tcW w:w="483" w:type="pct"/>
            <w:tcMar>
              <w:top w:w="0" w:type="dxa"/>
              <w:bottom w:w="0" w:type="dxa"/>
            </w:tcMar>
            <w:vAlign w:val="center"/>
          </w:tcPr>
          <w:p w14:paraId="08E99C29" w14:textId="77777777" w:rsidR="004B0883" w:rsidRDefault="004B0883">
            <w:pPr>
              <w:widowControl w:val="0"/>
              <w:adjustRightInd w:val="0"/>
              <w:snapToGrid w:val="0"/>
              <w:jc w:val="right"/>
              <w:rPr>
                <w:sz w:val="18"/>
                <w:szCs w:val="18"/>
              </w:rPr>
            </w:pPr>
            <w:r>
              <w:rPr>
                <w:color w:val="000000"/>
                <w:sz w:val="18"/>
              </w:rPr>
              <w:t>1,830.60</w:t>
            </w:r>
          </w:p>
        </w:tc>
        <w:tc>
          <w:tcPr>
            <w:tcW w:w="554" w:type="pct"/>
            <w:tcMar>
              <w:top w:w="0" w:type="dxa"/>
              <w:bottom w:w="0" w:type="dxa"/>
            </w:tcMar>
            <w:vAlign w:val="center"/>
          </w:tcPr>
          <w:p w14:paraId="05188AE5" w14:textId="77777777" w:rsidR="004B0883" w:rsidRDefault="004B0883">
            <w:pPr>
              <w:widowControl w:val="0"/>
              <w:adjustRightInd w:val="0"/>
              <w:snapToGrid w:val="0"/>
              <w:jc w:val="right"/>
              <w:rPr>
                <w:sz w:val="18"/>
                <w:szCs w:val="18"/>
              </w:rPr>
            </w:pPr>
            <w:r>
              <w:rPr>
                <w:color w:val="000000"/>
                <w:sz w:val="18"/>
              </w:rPr>
              <w:t>3.39%</w:t>
            </w:r>
          </w:p>
        </w:tc>
        <w:tc>
          <w:tcPr>
            <w:tcW w:w="506" w:type="pct"/>
            <w:vAlign w:val="center"/>
          </w:tcPr>
          <w:p w14:paraId="199516EF" w14:textId="77777777" w:rsidR="004B0883" w:rsidRDefault="004B0883">
            <w:pPr>
              <w:widowControl w:val="0"/>
              <w:adjustRightInd w:val="0"/>
              <w:snapToGrid w:val="0"/>
              <w:jc w:val="center"/>
              <w:rPr>
                <w:color w:val="000000"/>
                <w:sz w:val="18"/>
              </w:rPr>
            </w:pPr>
            <w:r>
              <w:rPr>
                <w:rFonts w:hint="eastAsia"/>
                <w:color w:val="000000"/>
                <w:sz w:val="18"/>
                <w:szCs w:val="22"/>
              </w:rPr>
              <w:t>阿联酋</w:t>
            </w:r>
          </w:p>
        </w:tc>
        <w:tc>
          <w:tcPr>
            <w:tcW w:w="538" w:type="pct"/>
            <w:vAlign w:val="center"/>
          </w:tcPr>
          <w:p w14:paraId="079D9AF5" w14:textId="77777777" w:rsidR="004B0883" w:rsidRDefault="004B0883">
            <w:pPr>
              <w:widowControl w:val="0"/>
              <w:adjustRightInd w:val="0"/>
              <w:snapToGrid w:val="0"/>
              <w:jc w:val="center"/>
              <w:rPr>
                <w:color w:val="000000"/>
                <w:sz w:val="18"/>
              </w:rPr>
            </w:pPr>
            <w:r>
              <w:rPr>
                <w:rFonts w:hint="eastAsia"/>
                <w:color w:val="000000"/>
                <w:sz w:val="18"/>
                <w:szCs w:val="22"/>
              </w:rPr>
              <w:t>贴牌</w:t>
            </w:r>
          </w:p>
        </w:tc>
        <w:tc>
          <w:tcPr>
            <w:tcW w:w="576" w:type="pct"/>
            <w:vAlign w:val="center"/>
          </w:tcPr>
          <w:p w14:paraId="444E4B19" w14:textId="77777777" w:rsidR="004B0883" w:rsidRDefault="004B0883">
            <w:pPr>
              <w:widowControl w:val="0"/>
              <w:adjustRightInd w:val="0"/>
              <w:snapToGrid w:val="0"/>
              <w:jc w:val="center"/>
              <w:rPr>
                <w:rFonts w:hint="eastAsia"/>
                <w:color w:val="000000"/>
                <w:sz w:val="18"/>
                <w:szCs w:val="22"/>
              </w:rPr>
            </w:pPr>
            <w:r>
              <w:rPr>
                <w:rFonts w:hint="eastAsia"/>
                <w:color w:val="000000"/>
                <w:sz w:val="18"/>
                <w:szCs w:val="22"/>
              </w:rPr>
              <w:t>阀门类产品</w:t>
            </w:r>
          </w:p>
        </w:tc>
      </w:tr>
      <w:tr w:rsidR="004B0883" w14:paraId="78ED74AE" w14:textId="77777777">
        <w:trPr>
          <w:trHeight w:val="397"/>
          <w:jc w:val="center"/>
        </w:trPr>
        <w:tc>
          <w:tcPr>
            <w:tcW w:w="2343" w:type="pct"/>
            <w:gridSpan w:val="2"/>
            <w:tcMar>
              <w:top w:w="0" w:type="dxa"/>
              <w:bottom w:w="0" w:type="dxa"/>
            </w:tcMar>
            <w:vAlign w:val="center"/>
          </w:tcPr>
          <w:p w14:paraId="489701D0" w14:textId="77777777" w:rsidR="004B0883" w:rsidRDefault="004B0883">
            <w:pPr>
              <w:widowControl w:val="0"/>
              <w:adjustRightInd w:val="0"/>
              <w:snapToGrid w:val="0"/>
              <w:jc w:val="center"/>
              <w:rPr>
                <w:b/>
                <w:color w:val="000000"/>
                <w:sz w:val="18"/>
                <w:szCs w:val="18"/>
              </w:rPr>
            </w:pPr>
            <w:r>
              <w:rPr>
                <w:b/>
                <w:color w:val="000000"/>
                <w:sz w:val="18"/>
                <w:szCs w:val="18"/>
              </w:rPr>
              <w:t>合计</w:t>
            </w:r>
          </w:p>
        </w:tc>
        <w:tc>
          <w:tcPr>
            <w:tcW w:w="483" w:type="pct"/>
            <w:tcMar>
              <w:top w:w="0" w:type="dxa"/>
              <w:bottom w:w="0" w:type="dxa"/>
            </w:tcMar>
            <w:vAlign w:val="center"/>
          </w:tcPr>
          <w:p w14:paraId="642D72F5" w14:textId="77777777" w:rsidR="004B0883" w:rsidRDefault="004B0883">
            <w:pPr>
              <w:widowControl w:val="0"/>
              <w:adjustRightInd w:val="0"/>
              <w:snapToGrid w:val="0"/>
              <w:jc w:val="right"/>
              <w:rPr>
                <w:b/>
                <w:color w:val="000000"/>
                <w:sz w:val="18"/>
                <w:szCs w:val="18"/>
              </w:rPr>
            </w:pPr>
            <w:r>
              <w:rPr>
                <w:b/>
                <w:bCs/>
                <w:color w:val="000000"/>
                <w:sz w:val="18"/>
              </w:rPr>
              <w:t>12,859.63</w:t>
            </w:r>
          </w:p>
        </w:tc>
        <w:tc>
          <w:tcPr>
            <w:tcW w:w="554" w:type="pct"/>
            <w:tcMar>
              <w:top w:w="0" w:type="dxa"/>
              <w:bottom w:w="0" w:type="dxa"/>
            </w:tcMar>
            <w:vAlign w:val="center"/>
          </w:tcPr>
          <w:p w14:paraId="3EA01E82" w14:textId="77777777" w:rsidR="004B0883" w:rsidRDefault="004B0883">
            <w:pPr>
              <w:widowControl w:val="0"/>
              <w:adjustRightInd w:val="0"/>
              <w:snapToGrid w:val="0"/>
              <w:jc w:val="right"/>
              <w:rPr>
                <w:b/>
                <w:color w:val="000000"/>
                <w:sz w:val="18"/>
                <w:szCs w:val="18"/>
              </w:rPr>
            </w:pPr>
            <w:r>
              <w:rPr>
                <w:b/>
                <w:color w:val="000000"/>
                <w:sz w:val="18"/>
              </w:rPr>
              <w:t>23.81%</w:t>
            </w:r>
          </w:p>
        </w:tc>
        <w:tc>
          <w:tcPr>
            <w:tcW w:w="506" w:type="pct"/>
            <w:vAlign w:val="center"/>
          </w:tcPr>
          <w:p w14:paraId="1FBF4495" w14:textId="77777777" w:rsidR="004B0883" w:rsidRDefault="004B0883">
            <w:pPr>
              <w:widowControl w:val="0"/>
              <w:adjustRightInd w:val="0"/>
              <w:snapToGrid w:val="0"/>
              <w:jc w:val="center"/>
              <w:rPr>
                <w:b/>
                <w:color w:val="000000"/>
                <w:sz w:val="18"/>
              </w:rPr>
            </w:pPr>
            <w:r>
              <w:rPr>
                <w:rFonts w:hint="eastAsia"/>
                <w:b/>
                <w:bCs/>
                <w:color w:val="000000"/>
                <w:sz w:val="18"/>
                <w:szCs w:val="22"/>
              </w:rPr>
              <w:t>-</w:t>
            </w:r>
          </w:p>
        </w:tc>
        <w:tc>
          <w:tcPr>
            <w:tcW w:w="538" w:type="pct"/>
            <w:vAlign w:val="center"/>
          </w:tcPr>
          <w:p w14:paraId="07B6DC6D" w14:textId="77777777" w:rsidR="004B0883" w:rsidRDefault="004B0883">
            <w:pPr>
              <w:widowControl w:val="0"/>
              <w:adjustRightInd w:val="0"/>
              <w:snapToGrid w:val="0"/>
              <w:jc w:val="center"/>
              <w:rPr>
                <w:b/>
                <w:color w:val="000000"/>
                <w:sz w:val="18"/>
              </w:rPr>
            </w:pPr>
            <w:r>
              <w:rPr>
                <w:rFonts w:hint="eastAsia"/>
                <w:b/>
                <w:bCs/>
                <w:color w:val="000000"/>
                <w:sz w:val="18"/>
                <w:szCs w:val="22"/>
              </w:rPr>
              <w:t>-</w:t>
            </w:r>
          </w:p>
        </w:tc>
        <w:tc>
          <w:tcPr>
            <w:tcW w:w="576" w:type="pct"/>
            <w:vAlign w:val="center"/>
          </w:tcPr>
          <w:p w14:paraId="0D330257" w14:textId="77777777" w:rsidR="004B0883" w:rsidRDefault="004B0883">
            <w:pPr>
              <w:widowControl w:val="0"/>
              <w:adjustRightInd w:val="0"/>
              <w:snapToGrid w:val="0"/>
              <w:jc w:val="center"/>
              <w:rPr>
                <w:rFonts w:hint="eastAsia"/>
                <w:b/>
                <w:bCs/>
                <w:color w:val="000000"/>
                <w:sz w:val="18"/>
                <w:szCs w:val="22"/>
              </w:rPr>
            </w:pPr>
            <w:r>
              <w:rPr>
                <w:rFonts w:hint="eastAsia"/>
                <w:b/>
                <w:bCs/>
                <w:color w:val="000000"/>
                <w:sz w:val="18"/>
                <w:szCs w:val="22"/>
              </w:rPr>
              <w:t>-</w:t>
            </w:r>
          </w:p>
        </w:tc>
      </w:tr>
    </w:tbl>
    <w:bookmarkEnd w:id="260"/>
    <w:p w14:paraId="48A23670" w14:textId="77777777" w:rsidR="004B0883" w:rsidRDefault="004B0883">
      <w:pPr>
        <w:keepNext/>
        <w:keepLines/>
        <w:widowControl w:val="0"/>
        <w:spacing w:beforeLines="50" w:before="120" w:after="120" w:line="360" w:lineRule="auto"/>
        <w:ind w:firstLineChars="200" w:firstLine="480"/>
        <w:jc w:val="both"/>
        <w:outlineLvl w:val="4"/>
        <w:rPr>
          <w:sz w:val="24"/>
          <w:szCs w:val="22"/>
        </w:rPr>
      </w:pPr>
      <w:r>
        <w:rPr>
          <w:sz w:val="24"/>
          <w:szCs w:val="22"/>
          <w:lang w:val="zh-CN" w:bidi="en-US"/>
        </w:rPr>
        <w:t>（</w:t>
      </w:r>
      <w:r>
        <w:rPr>
          <w:sz w:val="24"/>
          <w:szCs w:val="22"/>
          <w:lang w:val="zh-CN" w:bidi="en-US"/>
        </w:rPr>
        <w:t>3</w:t>
      </w:r>
      <w:r>
        <w:rPr>
          <w:sz w:val="24"/>
          <w:szCs w:val="22"/>
          <w:lang w:val="zh-CN" w:bidi="en-US"/>
        </w:rPr>
        <w:t>）</w:t>
      </w:r>
      <w:r>
        <w:rPr>
          <w:sz w:val="24"/>
          <w:szCs w:val="22"/>
          <w:lang w:val="zh-CN" w:bidi="en-US"/>
        </w:rPr>
        <w:t>2021</w:t>
      </w:r>
      <w:r>
        <w:rPr>
          <w:sz w:val="24"/>
          <w:szCs w:val="22"/>
          <w:lang w:val="zh-CN" w:bidi="en-US"/>
        </w:rPr>
        <w:t>年</w:t>
      </w:r>
      <w:r>
        <w:rPr>
          <w:rFonts w:hint="eastAsia"/>
          <w:sz w:val="24"/>
          <w:szCs w:val="22"/>
          <w:lang w:val="zh-CN" w:bidi="en-US"/>
        </w:rPr>
        <w:t>度</w:t>
      </w:r>
    </w:p>
    <w:tbl>
      <w:tblPr>
        <w:tblW w:w="6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7"/>
        <w:gridCol w:w="4135"/>
        <w:gridCol w:w="964"/>
        <w:gridCol w:w="1115"/>
        <w:gridCol w:w="1029"/>
        <w:gridCol w:w="1089"/>
        <w:gridCol w:w="1087"/>
      </w:tblGrid>
      <w:tr w:rsidR="004B0883" w14:paraId="74B393EE" w14:textId="77777777">
        <w:trPr>
          <w:trHeight w:val="397"/>
          <w:tblHeader/>
          <w:jc w:val="center"/>
        </w:trPr>
        <w:tc>
          <w:tcPr>
            <w:tcW w:w="260" w:type="pct"/>
            <w:shd w:val="clear" w:color="auto" w:fill="D9D9D9"/>
            <w:tcMar>
              <w:top w:w="0" w:type="dxa"/>
              <w:bottom w:w="0" w:type="dxa"/>
            </w:tcMar>
            <w:vAlign w:val="center"/>
          </w:tcPr>
          <w:p w14:paraId="120F5104" w14:textId="77777777" w:rsidR="004B0883" w:rsidRDefault="004B0883">
            <w:pPr>
              <w:widowControl w:val="0"/>
              <w:adjustRightInd w:val="0"/>
              <w:snapToGrid w:val="0"/>
              <w:jc w:val="center"/>
              <w:rPr>
                <w:b/>
                <w:sz w:val="18"/>
                <w:szCs w:val="18"/>
              </w:rPr>
            </w:pPr>
            <w:bookmarkStart w:id="261" w:name="_Hlk145929324"/>
            <w:r>
              <w:rPr>
                <w:b/>
                <w:sz w:val="18"/>
                <w:szCs w:val="18"/>
              </w:rPr>
              <w:t>序号</w:t>
            </w:r>
          </w:p>
        </w:tc>
        <w:tc>
          <w:tcPr>
            <w:tcW w:w="2081" w:type="pct"/>
            <w:shd w:val="clear" w:color="auto" w:fill="D9D9D9"/>
            <w:tcMar>
              <w:top w:w="0" w:type="dxa"/>
              <w:bottom w:w="0" w:type="dxa"/>
            </w:tcMar>
            <w:vAlign w:val="center"/>
          </w:tcPr>
          <w:p w14:paraId="70A3B043" w14:textId="77777777" w:rsidR="004B0883" w:rsidRDefault="004B0883">
            <w:pPr>
              <w:widowControl w:val="0"/>
              <w:adjustRightInd w:val="0"/>
              <w:snapToGrid w:val="0"/>
              <w:jc w:val="center"/>
              <w:rPr>
                <w:b/>
                <w:sz w:val="18"/>
                <w:szCs w:val="18"/>
              </w:rPr>
            </w:pPr>
            <w:r>
              <w:rPr>
                <w:b/>
                <w:sz w:val="18"/>
                <w:szCs w:val="18"/>
              </w:rPr>
              <w:t>单位名称</w:t>
            </w:r>
          </w:p>
        </w:tc>
        <w:tc>
          <w:tcPr>
            <w:tcW w:w="485" w:type="pct"/>
            <w:shd w:val="clear" w:color="auto" w:fill="D9D9D9"/>
            <w:tcMar>
              <w:top w:w="0" w:type="dxa"/>
              <w:bottom w:w="0" w:type="dxa"/>
            </w:tcMar>
            <w:vAlign w:val="center"/>
          </w:tcPr>
          <w:p w14:paraId="52ADE1D1" w14:textId="77777777" w:rsidR="004B0883" w:rsidRDefault="004B0883">
            <w:pPr>
              <w:widowControl w:val="0"/>
              <w:adjustRightInd w:val="0"/>
              <w:snapToGrid w:val="0"/>
              <w:jc w:val="center"/>
              <w:rPr>
                <w:b/>
                <w:sz w:val="18"/>
                <w:szCs w:val="18"/>
              </w:rPr>
            </w:pPr>
            <w:r>
              <w:rPr>
                <w:b/>
                <w:sz w:val="18"/>
                <w:szCs w:val="18"/>
              </w:rPr>
              <w:t>销售额（万元）</w:t>
            </w:r>
          </w:p>
        </w:tc>
        <w:tc>
          <w:tcPr>
            <w:tcW w:w="561" w:type="pct"/>
            <w:shd w:val="clear" w:color="auto" w:fill="D9D9D9"/>
            <w:tcMar>
              <w:top w:w="0" w:type="dxa"/>
              <w:bottom w:w="0" w:type="dxa"/>
            </w:tcMar>
            <w:vAlign w:val="center"/>
          </w:tcPr>
          <w:p w14:paraId="73BCE2EB" w14:textId="77777777" w:rsidR="004B0883" w:rsidRDefault="004B0883">
            <w:pPr>
              <w:widowControl w:val="0"/>
              <w:adjustRightInd w:val="0"/>
              <w:snapToGrid w:val="0"/>
              <w:jc w:val="center"/>
              <w:rPr>
                <w:b/>
                <w:sz w:val="18"/>
                <w:szCs w:val="18"/>
              </w:rPr>
            </w:pPr>
            <w:r>
              <w:rPr>
                <w:b/>
                <w:sz w:val="18"/>
                <w:szCs w:val="18"/>
              </w:rPr>
              <w:t>占营业收入比例</w:t>
            </w:r>
          </w:p>
        </w:tc>
        <w:tc>
          <w:tcPr>
            <w:tcW w:w="518" w:type="pct"/>
            <w:shd w:val="clear" w:color="auto" w:fill="D9D9D9"/>
            <w:vAlign w:val="center"/>
          </w:tcPr>
          <w:p w14:paraId="305A42F7" w14:textId="77777777" w:rsidR="004B0883" w:rsidRDefault="004B0883">
            <w:pPr>
              <w:widowControl w:val="0"/>
              <w:adjustRightInd w:val="0"/>
              <w:snapToGrid w:val="0"/>
              <w:jc w:val="center"/>
              <w:rPr>
                <w:b/>
                <w:sz w:val="18"/>
                <w:szCs w:val="18"/>
              </w:rPr>
            </w:pPr>
            <w:r>
              <w:rPr>
                <w:rFonts w:hint="eastAsia"/>
                <w:b/>
                <w:sz w:val="18"/>
                <w:szCs w:val="18"/>
              </w:rPr>
              <w:t>国家</w:t>
            </w:r>
          </w:p>
        </w:tc>
        <w:tc>
          <w:tcPr>
            <w:tcW w:w="548" w:type="pct"/>
            <w:shd w:val="clear" w:color="auto" w:fill="D9D9D9"/>
            <w:vAlign w:val="center"/>
          </w:tcPr>
          <w:p w14:paraId="11C7BF4C" w14:textId="77777777" w:rsidR="004B0883" w:rsidRDefault="004B0883">
            <w:pPr>
              <w:widowControl w:val="0"/>
              <w:adjustRightInd w:val="0"/>
              <w:snapToGrid w:val="0"/>
              <w:jc w:val="center"/>
              <w:rPr>
                <w:b/>
                <w:sz w:val="18"/>
                <w:szCs w:val="18"/>
              </w:rPr>
            </w:pPr>
            <w:r>
              <w:rPr>
                <w:rFonts w:hint="eastAsia"/>
                <w:b/>
                <w:sz w:val="18"/>
                <w:szCs w:val="18"/>
              </w:rPr>
              <w:t>客户类型</w:t>
            </w:r>
          </w:p>
        </w:tc>
        <w:tc>
          <w:tcPr>
            <w:tcW w:w="547" w:type="pct"/>
            <w:shd w:val="clear" w:color="auto" w:fill="D9D9D9"/>
            <w:vAlign w:val="center"/>
          </w:tcPr>
          <w:p w14:paraId="3702779D" w14:textId="77777777" w:rsidR="004B0883" w:rsidRDefault="004B0883">
            <w:pPr>
              <w:widowControl w:val="0"/>
              <w:adjustRightInd w:val="0"/>
              <w:snapToGrid w:val="0"/>
              <w:jc w:val="center"/>
              <w:rPr>
                <w:rFonts w:hint="eastAsia"/>
                <w:b/>
                <w:sz w:val="18"/>
                <w:szCs w:val="18"/>
              </w:rPr>
            </w:pPr>
            <w:r>
              <w:rPr>
                <w:rFonts w:hint="eastAsia"/>
                <w:b/>
                <w:sz w:val="18"/>
                <w:szCs w:val="18"/>
              </w:rPr>
              <w:t>销售产品</w:t>
            </w:r>
          </w:p>
        </w:tc>
      </w:tr>
      <w:tr w:rsidR="004B0883" w14:paraId="18EDA5BB" w14:textId="77777777">
        <w:trPr>
          <w:trHeight w:val="397"/>
          <w:jc w:val="center"/>
        </w:trPr>
        <w:tc>
          <w:tcPr>
            <w:tcW w:w="260" w:type="pct"/>
            <w:tcMar>
              <w:top w:w="0" w:type="dxa"/>
              <w:bottom w:w="0" w:type="dxa"/>
            </w:tcMar>
            <w:vAlign w:val="center"/>
          </w:tcPr>
          <w:p w14:paraId="283EFFC2" w14:textId="77777777" w:rsidR="004B0883" w:rsidRDefault="004B0883">
            <w:pPr>
              <w:widowControl w:val="0"/>
              <w:adjustRightInd w:val="0"/>
              <w:snapToGrid w:val="0"/>
              <w:jc w:val="center"/>
              <w:rPr>
                <w:sz w:val="18"/>
                <w:szCs w:val="18"/>
              </w:rPr>
            </w:pPr>
            <w:r>
              <w:rPr>
                <w:sz w:val="18"/>
                <w:szCs w:val="18"/>
              </w:rPr>
              <w:t>1</w:t>
            </w:r>
          </w:p>
        </w:tc>
        <w:tc>
          <w:tcPr>
            <w:tcW w:w="2081" w:type="pct"/>
            <w:tcMar>
              <w:top w:w="0" w:type="dxa"/>
              <w:bottom w:w="0" w:type="dxa"/>
            </w:tcMar>
            <w:vAlign w:val="center"/>
          </w:tcPr>
          <w:p w14:paraId="13E67757" w14:textId="77777777" w:rsidR="004B0883" w:rsidRDefault="004B0883">
            <w:pPr>
              <w:widowControl w:val="0"/>
              <w:adjustRightInd w:val="0"/>
              <w:snapToGrid w:val="0"/>
              <w:jc w:val="both"/>
              <w:rPr>
                <w:sz w:val="18"/>
                <w:szCs w:val="18"/>
              </w:rPr>
            </w:pPr>
            <w:r>
              <w:rPr>
                <w:color w:val="000000"/>
                <w:sz w:val="18"/>
                <w:szCs w:val="22"/>
              </w:rPr>
              <w:t>LANSDALE INTERNATIONAL LLC</w:t>
            </w:r>
          </w:p>
        </w:tc>
        <w:tc>
          <w:tcPr>
            <w:tcW w:w="485" w:type="pct"/>
            <w:tcMar>
              <w:top w:w="0" w:type="dxa"/>
              <w:bottom w:w="0" w:type="dxa"/>
            </w:tcMar>
            <w:vAlign w:val="center"/>
          </w:tcPr>
          <w:p w14:paraId="0B7D117C" w14:textId="77777777" w:rsidR="004B0883" w:rsidRDefault="004B0883">
            <w:pPr>
              <w:widowControl w:val="0"/>
              <w:adjustRightInd w:val="0"/>
              <w:snapToGrid w:val="0"/>
              <w:jc w:val="right"/>
              <w:rPr>
                <w:kern w:val="0"/>
                <w:sz w:val="18"/>
                <w:szCs w:val="18"/>
              </w:rPr>
            </w:pPr>
            <w:r>
              <w:rPr>
                <w:color w:val="000000"/>
                <w:sz w:val="18"/>
                <w:szCs w:val="18"/>
              </w:rPr>
              <w:t>2,765.50</w:t>
            </w:r>
          </w:p>
        </w:tc>
        <w:tc>
          <w:tcPr>
            <w:tcW w:w="561" w:type="pct"/>
            <w:tcMar>
              <w:top w:w="0" w:type="dxa"/>
              <w:bottom w:w="0" w:type="dxa"/>
            </w:tcMar>
            <w:vAlign w:val="center"/>
          </w:tcPr>
          <w:p w14:paraId="58148375" w14:textId="77777777" w:rsidR="004B0883" w:rsidRDefault="004B0883">
            <w:pPr>
              <w:widowControl w:val="0"/>
              <w:adjustRightInd w:val="0"/>
              <w:snapToGrid w:val="0"/>
              <w:jc w:val="right"/>
              <w:rPr>
                <w:kern w:val="0"/>
                <w:sz w:val="18"/>
                <w:szCs w:val="18"/>
              </w:rPr>
            </w:pPr>
            <w:r>
              <w:rPr>
                <w:color w:val="000000"/>
                <w:sz w:val="18"/>
                <w:szCs w:val="18"/>
              </w:rPr>
              <w:t>6.66%</w:t>
            </w:r>
          </w:p>
        </w:tc>
        <w:tc>
          <w:tcPr>
            <w:tcW w:w="518" w:type="pct"/>
            <w:vAlign w:val="center"/>
          </w:tcPr>
          <w:p w14:paraId="26040F4C" w14:textId="77777777" w:rsidR="004B0883" w:rsidRDefault="004B0883">
            <w:pPr>
              <w:widowControl w:val="0"/>
              <w:adjustRightInd w:val="0"/>
              <w:snapToGrid w:val="0"/>
              <w:jc w:val="center"/>
              <w:rPr>
                <w:color w:val="000000"/>
                <w:sz w:val="18"/>
                <w:szCs w:val="18"/>
              </w:rPr>
            </w:pPr>
            <w:r>
              <w:rPr>
                <w:rFonts w:hint="eastAsia"/>
                <w:color w:val="000000"/>
                <w:sz w:val="18"/>
                <w:szCs w:val="22"/>
              </w:rPr>
              <w:t>美国</w:t>
            </w:r>
          </w:p>
        </w:tc>
        <w:tc>
          <w:tcPr>
            <w:tcW w:w="548" w:type="pct"/>
            <w:vAlign w:val="center"/>
          </w:tcPr>
          <w:p w14:paraId="04CBB0C1" w14:textId="77777777" w:rsidR="004B0883" w:rsidRDefault="004B0883">
            <w:pPr>
              <w:widowControl w:val="0"/>
              <w:adjustRightInd w:val="0"/>
              <w:snapToGrid w:val="0"/>
              <w:jc w:val="center"/>
              <w:rPr>
                <w:color w:val="000000"/>
                <w:sz w:val="18"/>
                <w:szCs w:val="18"/>
              </w:rPr>
            </w:pPr>
            <w:r>
              <w:rPr>
                <w:rFonts w:hint="eastAsia"/>
                <w:color w:val="000000"/>
                <w:sz w:val="18"/>
                <w:szCs w:val="22"/>
              </w:rPr>
              <w:t>贴牌</w:t>
            </w:r>
          </w:p>
        </w:tc>
        <w:tc>
          <w:tcPr>
            <w:tcW w:w="547" w:type="pct"/>
            <w:vAlign w:val="center"/>
          </w:tcPr>
          <w:p w14:paraId="15487CEF" w14:textId="77777777" w:rsidR="004B0883" w:rsidRDefault="004B0883">
            <w:pPr>
              <w:widowControl w:val="0"/>
              <w:adjustRightInd w:val="0"/>
              <w:snapToGrid w:val="0"/>
              <w:jc w:val="center"/>
              <w:rPr>
                <w:rFonts w:hint="eastAsia"/>
                <w:color w:val="000000"/>
                <w:sz w:val="18"/>
                <w:szCs w:val="22"/>
              </w:rPr>
            </w:pPr>
            <w:r>
              <w:rPr>
                <w:rFonts w:hint="eastAsia"/>
                <w:color w:val="000000"/>
                <w:sz w:val="18"/>
                <w:szCs w:val="22"/>
              </w:rPr>
              <w:t>阀门类产品</w:t>
            </w:r>
          </w:p>
        </w:tc>
      </w:tr>
      <w:tr w:rsidR="004B0883" w14:paraId="0B277A04" w14:textId="77777777">
        <w:trPr>
          <w:trHeight w:val="397"/>
          <w:jc w:val="center"/>
        </w:trPr>
        <w:tc>
          <w:tcPr>
            <w:tcW w:w="260" w:type="pct"/>
            <w:tcMar>
              <w:top w:w="0" w:type="dxa"/>
              <w:bottom w:w="0" w:type="dxa"/>
            </w:tcMar>
            <w:vAlign w:val="center"/>
          </w:tcPr>
          <w:p w14:paraId="6FFBC6A8" w14:textId="77777777" w:rsidR="004B0883" w:rsidRDefault="004B0883">
            <w:pPr>
              <w:widowControl w:val="0"/>
              <w:adjustRightInd w:val="0"/>
              <w:snapToGrid w:val="0"/>
              <w:jc w:val="center"/>
              <w:rPr>
                <w:sz w:val="18"/>
                <w:szCs w:val="18"/>
              </w:rPr>
            </w:pPr>
            <w:r>
              <w:rPr>
                <w:sz w:val="18"/>
                <w:szCs w:val="18"/>
              </w:rPr>
              <w:t>2</w:t>
            </w:r>
          </w:p>
        </w:tc>
        <w:tc>
          <w:tcPr>
            <w:tcW w:w="2081" w:type="pct"/>
            <w:tcMar>
              <w:top w:w="0" w:type="dxa"/>
              <w:bottom w:w="0" w:type="dxa"/>
            </w:tcMar>
            <w:vAlign w:val="center"/>
          </w:tcPr>
          <w:p w14:paraId="2900FF10" w14:textId="77777777" w:rsidR="004B0883" w:rsidRDefault="004B0883">
            <w:pPr>
              <w:widowControl w:val="0"/>
              <w:adjustRightInd w:val="0"/>
              <w:snapToGrid w:val="0"/>
              <w:jc w:val="both"/>
              <w:rPr>
                <w:sz w:val="18"/>
                <w:szCs w:val="18"/>
              </w:rPr>
            </w:pPr>
            <w:r>
              <w:rPr>
                <w:rFonts w:hint="eastAsia"/>
                <w:color w:val="000000"/>
                <w:sz w:val="18"/>
                <w:szCs w:val="22"/>
              </w:rPr>
              <w:t>J&amp;S Valve, Inc</w:t>
            </w:r>
          </w:p>
        </w:tc>
        <w:tc>
          <w:tcPr>
            <w:tcW w:w="485" w:type="pct"/>
            <w:tcMar>
              <w:top w:w="0" w:type="dxa"/>
              <w:bottom w:w="0" w:type="dxa"/>
            </w:tcMar>
            <w:vAlign w:val="center"/>
          </w:tcPr>
          <w:p w14:paraId="2645CF2C" w14:textId="77777777" w:rsidR="004B0883" w:rsidRDefault="004B0883">
            <w:pPr>
              <w:widowControl w:val="0"/>
              <w:adjustRightInd w:val="0"/>
              <w:snapToGrid w:val="0"/>
              <w:jc w:val="right"/>
              <w:rPr>
                <w:sz w:val="18"/>
                <w:szCs w:val="18"/>
              </w:rPr>
            </w:pPr>
            <w:r>
              <w:rPr>
                <w:color w:val="000000"/>
                <w:sz w:val="18"/>
                <w:szCs w:val="18"/>
              </w:rPr>
              <w:t>2,281.08</w:t>
            </w:r>
          </w:p>
        </w:tc>
        <w:tc>
          <w:tcPr>
            <w:tcW w:w="561" w:type="pct"/>
            <w:tcMar>
              <w:top w:w="0" w:type="dxa"/>
              <w:bottom w:w="0" w:type="dxa"/>
            </w:tcMar>
            <w:vAlign w:val="center"/>
          </w:tcPr>
          <w:p w14:paraId="5F2993F7" w14:textId="77777777" w:rsidR="004B0883" w:rsidRDefault="004B0883">
            <w:pPr>
              <w:widowControl w:val="0"/>
              <w:adjustRightInd w:val="0"/>
              <w:snapToGrid w:val="0"/>
              <w:jc w:val="right"/>
              <w:rPr>
                <w:sz w:val="18"/>
                <w:szCs w:val="18"/>
              </w:rPr>
            </w:pPr>
            <w:r>
              <w:rPr>
                <w:color w:val="000000"/>
                <w:sz w:val="18"/>
                <w:szCs w:val="18"/>
              </w:rPr>
              <w:t>5.49%</w:t>
            </w:r>
          </w:p>
        </w:tc>
        <w:tc>
          <w:tcPr>
            <w:tcW w:w="518" w:type="pct"/>
            <w:vAlign w:val="center"/>
          </w:tcPr>
          <w:p w14:paraId="591E416C" w14:textId="77777777" w:rsidR="004B0883" w:rsidRDefault="004B0883">
            <w:pPr>
              <w:widowControl w:val="0"/>
              <w:adjustRightInd w:val="0"/>
              <w:snapToGrid w:val="0"/>
              <w:jc w:val="center"/>
              <w:rPr>
                <w:color w:val="000000"/>
                <w:sz w:val="18"/>
                <w:szCs w:val="18"/>
              </w:rPr>
            </w:pPr>
            <w:r>
              <w:rPr>
                <w:rFonts w:hint="eastAsia"/>
                <w:color w:val="000000"/>
                <w:sz w:val="18"/>
                <w:szCs w:val="22"/>
              </w:rPr>
              <w:t>美国</w:t>
            </w:r>
          </w:p>
        </w:tc>
        <w:tc>
          <w:tcPr>
            <w:tcW w:w="548" w:type="pct"/>
            <w:vAlign w:val="center"/>
          </w:tcPr>
          <w:p w14:paraId="78C0AC24" w14:textId="77777777" w:rsidR="004B0883" w:rsidRDefault="004B0883">
            <w:pPr>
              <w:widowControl w:val="0"/>
              <w:adjustRightInd w:val="0"/>
              <w:snapToGrid w:val="0"/>
              <w:jc w:val="center"/>
              <w:rPr>
                <w:color w:val="000000"/>
                <w:sz w:val="18"/>
                <w:szCs w:val="18"/>
              </w:rPr>
            </w:pPr>
            <w:r>
              <w:rPr>
                <w:rFonts w:hint="eastAsia"/>
                <w:color w:val="000000"/>
                <w:sz w:val="18"/>
                <w:szCs w:val="22"/>
              </w:rPr>
              <w:t>贴牌</w:t>
            </w:r>
          </w:p>
        </w:tc>
        <w:tc>
          <w:tcPr>
            <w:tcW w:w="547" w:type="pct"/>
            <w:vAlign w:val="center"/>
          </w:tcPr>
          <w:p w14:paraId="1298CE1A" w14:textId="77777777" w:rsidR="004B0883" w:rsidRDefault="004B0883">
            <w:pPr>
              <w:widowControl w:val="0"/>
              <w:adjustRightInd w:val="0"/>
              <w:snapToGrid w:val="0"/>
              <w:jc w:val="center"/>
              <w:rPr>
                <w:rFonts w:hint="eastAsia"/>
                <w:color w:val="000000"/>
                <w:sz w:val="18"/>
                <w:szCs w:val="22"/>
              </w:rPr>
            </w:pPr>
            <w:r>
              <w:rPr>
                <w:rFonts w:hint="eastAsia"/>
                <w:color w:val="000000"/>
                <w:sz w:val="18"/>
                <w:szCs w:val="22"/>
              </w:rPr>
              <w:t>阀门类产品</w:t>
            </w:r>
          </w:p>
        </w:tc>
      </w:tr>
      <w:tr w:rsidR="004B0883" w14:paraId="712F80EC" w14:textId="77777777">
        <w:trPr>
          <w:trHeight w:val="397"/>
          <w:jc w:val="center"/>
        </w:trPr>
        <w:tc>
          <w:tcPr>
            <w:tcW w:w="260" w:type="pct"/>
            <w:tcMar>
              <w:top w:w="0" w:type="dxa"/>
              <w:bottom w:w="0" w:type="dxa"/>
            </w:tcMar>
            <w:vAlign w:val="center"/>
          </w:tcPr>
          <w:p w14:paraId="04809245" w14:textId="77777777" w:rsidR="004B0883" w:rsidRDefault="004B0883">
            <w:pPr>
              <w:widowControl w:val="0"/>
              <w:adjustRightInd w:val="0"/>
              <w:snapToGrid w:val="0"/>
              <w:jc w:val="center"/>
              <w:rPr>
                <w:sz w:val="18"/>
                <w:szCs w:val="18"/>
              </w:rPr>
            </w:pPr>
            <w:r>
              <w:rPr>
                <w:sz w:val="18"/>
                <w:szCs w:val="18"/>
              </w:rPr>
              <w:t>3</w:t>
            </w:r>
          </w:p>
        </w:tc>
        <w:tc>
          <w:tcPr>
            <w:tcW w:w="2081" w:type="pct"/>
            <w:tcMar>
              <w:top w:w="0" w:type="dxa"/>
              <w:bottom w:w="0" w:type="dxa"/>
            </w:tcMar>
            <w:vAlign w:val="center"/>
          </w:tcPr>
          <w:p w14:paraId="537817FD" w14:textId="77777777" w:rsidR="004B0883" w:rsidRDefault="004B0883">
            <w:pPr>
              <w:widowControl w:val="0"/>
              <w:adjustRightInd w:val="0"/>
              <w:snapToGrid w:val="0"/>
              <w:jc w:val="both"/>
              <w:rPr>
                <w:sz w:val="18"/>
                <w:szCs w:val="18"/>
              </w:rPr>
            </w:pPr>
            <w:r>
              <w:rPr>
                <w:color w:val="000000"/>
                <w:sz w:val="18"/>
                <w:szCs w:val="22"/>
              </w:rPr>
              <w:t>REECE AUSTRALIA PTY LTD</w:t>
            </w:r>
          </w:p>
        </w:tc>
        <w:tc>
          <w:tcPr>
            <w:tcW w:w="485" w:type="pct"/>
            <w:tcMar>
              <w:top w:w="0" w:type="dxa"/>
              <w:bottom w:w="0" w:type="dxa"/>
            </w:tcMar>
            <w:vAlign w:val="center"/>
          </w:tcPr>
          <w:p w14:paraId="413D2438" w14:textId="77777777" w:rsidR="004B0883" w:rsidRDefault="004B0883">
            <w:pPr>
              <w:widowControl w:val="0"/>
              <w:adjustRightInd w:val="0"/>
              <w:snapToGrid w:val="0"/>
              <w:jc w:val="right"/>
              <w:rPr>
                <w:sz w:val="18"/>
                <w:szCs w:val="18"/>
              </w:rPr>
            </w:pPr>
            <w:r>
              <w:rPr>
                <w:color w:val="000000"/>
                <w:sz w:val="18"/>
                <w:szCs w:val="18"/>
              </w:rPr>
              <w:t>1,923.47</w:t>
            </w:r>
          </w:p>
        </w:tc>
        <w:tc>
          <w:tcPr>
            <w:tcW w:w="561" w:type="pct"/>
            <w:tcMar>
              <w:top w:w="0" w:type="dxa"/>
              <w:bottom w:w="0" w:type="dxa"/>
            </w:tcMar>
            <w:vAlign w:val="center"/>
          </w:tcPr>
          <w:p w14:paraId="61A353FB" w14:textId="77777777" w:rsidR="004B0883" w:rsidRDefault="004B0883">
            <w:pPr>
              <w:widowControl w:val="0"/>
              <w:adjustRightInd w:val="0"/>
              <w:snapToGrid w:val="0"/>
              <w:jc w:val="right"/>
              <w:rPr>
                <w:sz w:val="18"/>
                <w:szCs w:val="18"/>
              </w:rPr>
            </w:pPr>
            <w:r>
              <w:rPr>
                <w:color w:val="000000"/>
                <w:sz w:val="18"/>
                <w:szCs w:val="18"/>
              </w:rPr>
              <w:t>4.63%</w:t>
            </w:r>
          </w:p>
        </w:tc>
        <w:tc>
          <w:tcPr>
            <w:tcW w:w="518" w:type="pct"/>
            <w:vAlign w:val="center"/>
          </w:tcPr>
          <w:p w14:paraId="51D9A3A4" w14:textId="77777777" w:rsidR="004B0883" w:rsidRDefault="004B0883">
            <w:pPr>
              <w:widowControl w:val="0"/>
              <w:adjustRightInd w:val="0"/>
              <w:snapToGrid w:val="0"/>
              <w:jc w:val="center"/>
              <w:rPr>
                <w:color w:val="000000"/>
                <w:sz w:val="18"/>
                <w:szCs w:val="18"/>
              </w:rPr>
            </w:pPr>
            <w:r>
              <w:rPr>
                <w:rFonts w:hint="eastAsia"/>
                <w:color w:val="000000"/>
                <w:sz w:val="18"/>
                <w:szCs w:val="22"/>
              </w:rPr>
              <w:t>澳大利亚</w:t>
            </w:r>
          </w:p>
        </w:tc>
        <w:tc>
          <w:tcPr>
            <w:tcW w:w="548" w:type="pct"/>
            <w:vAlign w:val="center"/>
          </w:tcPr>
          <w:p w14:paraId="2567B427" w14:textId="77777777" w:rsidR="004B0883" w:rsidRDefault="004B0883">
            <w:pPr>
              <w:widowControl w:val="0"/>
              <w:adjustRightInd w:val="0"/>
              <w:snapToGrid w:val="0"/>
              <w:jc w:val="center"/>
              <w:rPr>
                <w:color w:val="000000"/>
                <w:sz w:val="18"/>
                <w:szCs w:val="18"/>
              </w:rPr>
            </w:pPr>
            <w:r>
              <w:rPr>
                <w:rFonts w:hint="eastAsia"/>
                <w:color w:val="000000"/>
                <w:sz w:val="18"/>
                <w:szCs w:val="22"/>
              </w:rPr>
              <w:t>贴牌</w:t>
            </w:r>
          </w:p>
        </w:tc>
        <w:tc>
          <w:tcPr>
            <w:tcW w:w="547" w:type="pct"/>
            <w:vAlign w:val="center"/>
          </w:tcPr>
          <w:p w14:paraId="16771363" w14:textId="77777777" w:rsidR="004B0883" w:rsidRDefault="004B0883">
            <w:pPr>
              <w:widowControl w:val="0"/>
              <w:adjustRightInd w:val="0"/>
              <w:snapToGrid w:val="0"/>
              <w:jc w:val="center"/>
              <w:rPr>
                <w:rFonts w:hint="eastAsia"/>
                <w:color w:val="000000"/>
                <w:sz w:val="18"/>
                <w:szCs w:val="22"/>
              </w:rPr>
            </w:pPr>
            <w:r>
              <w:rPr>
                <w:rFonts w:hint="eastAsia"/>
                <w:color w:val="000000"/>
                <w:sz w:val="18"/>
                <w:szCs w:val="22"/>
              </w:rPr>
              <w:t>阀门类产品</w:t>
            </w:r>
          </w:p>
        </w:tc>
      </w:tr>
      <w:tr w:rsidR="004B0883" w14:paraId="5007CF52" w14:textId="77777777">
        <w:trPr>
          <w:trHeight w:val="397"/>
          <w:jc w:val="center"/>
        </w:trPr>
        <w:tc>
          <w:tcPr>
            <w:tcW w:w="260" w:type="pct"/>
            <w:tcMar>
              <w:top w:w="0" w:type="dxa"/>
              <w:bottom w:w="0" w:type="dxa"/>
            </w:tcMar>
            <w:vAlign w:val="center"/>
          </w:tcPr>
          <w:p w14:paraId="4671D445" w14:textId="77777777" w:rsidR="004B0883" w:rsidRDefault="004B0883">
            <w:pPr>
              <w:widowControl w:val="0"/>
              <w:adjustRightInd w:val="0"/>
              <w:snapToGrid w:val="0"/>
              <w:jc w:val="center"/>
              <w:rPr>
                <w:sz w:val="18"/>
                <w:szCs w:val="18"/>
              </w:rPr>
            </w:pPr>
            <w:r>
              <w:rPr>
                <w:sz w:val="18"/>
                <w:szCs w:val="18"/>
              </w:rPr>
              <w:t>4</w:t>
            </w:r>
          </w:p>
        </w:tc>
        <w:tc>
          <w:tcPr>
            <w:tcW w:w="2081" w:type="pct"/>
            <w:tcMar>
              <w:top w:w="0" w:type="dxa"/>
              <w:bottom w:w="0" w:type="dxa"/>
            </w:tcMar>
            <w:vAlign w:val="center"/>
          </w:tcPr>
          <w:p w14:paraId="17E942B2" w14:textId="77777777" w:rsidR="004B0883" w:rsidRDefault="004B0883">
            <w:pPr>
              <w:widowControl w:val="0"/>
              <w:adjustRightInd w:val="0"/>
              <w:snapToGrid w:val="0"/>
              <w:jc w:val="both"/>
              <w:rPr>
                <w:sz w:val="18"/>
                <w:szCs w:val="18"/>
              </w:rPr>
            </w:pPr>
            <w:r>
              <w:rPr>
                <w:rFonts w:hint="eastAsia"/>
                <w:color w:val="000000"/>
                <w:sz w:val="18"/>
                <w:szCs w:val="22"/>
              </w:rPr>
              <w:t>青岛博泰汽车零部件有限责任公司</w:t>
            </w:r>
          </w:p>
        </w:tc>
        <w:tc>
          <w:tcPr>
            <w:tcW w:w="485" w:type="pct"/>
            <w:tcMar>
              <w:top w:w="0" w:type="dxa"/>
              <w:bottom w:w="0" w:type="dxa"/>
            </w:tcMar>
            <w:vAlign w:val="center"/>
          </w:tcPr>
          <w:p w14:paraId="6AB06228" w14:textId="77777777" w:rsidR="004B0883" w:rsidRDefault="004B0883">
            <w:pPr>
              <w:widowControl w:val="0"/>
              <w:adjustRightInd w:val="0"/>
              <w:snapToGrid w:val="0"/>
              <w:jc w:val="right"/>
              <w:rPr>
                <w:sz w:val="18"/>
                <w:szCs w:val="18"/>
              </w:rPr>
            </w:pPr>
            <w:r>
              <w:rPr>
                <w:color w:val="000000"/>
                <w:sz w:val="18"/>
                <w:szCs w:val="18"/>
              </w:rPr>
              <w:t>1,446.47</w:t>
            </w:r>
          </w:p>
        </w:tc>
        <w:tc>
          <w:tcPr>
            <w:tcW w:w="561" w:type="pct"/>
            <w:tcMar>
              <w:top w:w="0" w:type="dxa"/>
              <w:bottom w:w="0" w:type="dxa"/>
            </w:tcMar>
            <w:vAlign w:val="center"/>
          </w:tcPr>
          <w:p w14:paraId="0BB27AEA" w14:textId="77777777" w:rsidR="004B0883" w:rsidRDefault="004B0883">
            <w:pPr>
              <w:widowControl w:val="0"/>
              <w:adjustRightInd w:val="0"/>
              <w:snapToGrid w:val="0"/>
              <w:jc w:val="right"/>
              <w:rPr>
                <w:sz w:val="18"/>
                <w:szCs w:val="18"/>
              </w:rPr>
            </w:pPr>
            <w:r>
              <w:rPr>
                <w:color w:val="000000"/>
                <w:sz w:val="18"/>
                <w:szCs w:val="18"/>
              </w:rPr>
              <w:t>3.48%</w:t>
            </w:r>
          </w:p>
        </w:tc>
        <w:tc>
          <w:tcPr>
            <w:tcW w:w="518" w:type="pct"/>
            <w:vAlign w:val="center"/>
          </w:tcPr>
          <w:p w14:paraId="59222970" w14:textId="77777777" w:rsidR="004B0883" w:rsidRDefault="004B0883">
            <w:pPr>
              <w:widowControl w:val="0"/>
              <w:adjustRightInd w:val="0"/>
              <w:snapToGrid w:val="0"/>
              <w:jc w:val="center"/>
              <w:rPr>
                <w:color w:val="000000"/>
                <w:sz w:val="18"/>
                <w:szCs w:val="18"/>
              </w:rPr>
            </w:pPr>
            <w:r>
              <w:rPr>
                <w:rFonts w:hint="eastAsia"/>
                <w:color w:val="000000"/>
                <w:sz w:val="18"/>
                <w:szCs w:val="22"/>
              </w:rPr>
              <w:t>中国</w:t>
            </w:r>
          </w:p>
        </w:tc>
        <w:tc>
          <w:tcPr>
            <w:tcW w:w="548" w:type="pct"/>
            <w:vAlign w:val="center"/>
          </w:tcPr>
          <w:p w14:paraId="0E9CA401" w14:textId="77777777" w:rsidR="004B0883" w:rsidRDefault="004B0883">
            <w:pPr>
              <w:widowControl w:val="0"/>
              <w:adjustRightInd w:val="0"/>
              <w:snapToGrid w:val="0"/>
              <w:jc w:val="center"/>
              <w:rPr>
                <w:color w:val="000000"/>
                <w:sz w:val="18"/>
                <w:szCs w:val="18"/>
              </w:rPr>
            </w:pPr>
            <w:r>
              <w:rPr>
                <w:rFonts w:hint="eastAsia"/>
                <w:color w:val="000000"/>
                <w:sz w:val="18"/>
                <w:szCs w:val="18"/>
              </w:rPr>
              <w:t>自有品牌直销</w:t>
            </w:r>
          </w:p>
        </w:tc>
        <w:tc>
          <w:tcPr>
            <w:tcW w:w="547" w:type="pct"/>
            <w:vAlign w:val="center"/>
          </w:tcPr>
          <w:p w14:paraId="2A4C6693" w14:textId="77777777" w:rsidR="004B0883" w:rsidRDefault="004B0883">
            <w:pPr>
              <w:widowControl w:val="0"/>
              <w:adjustRightInd w:val="0"/>
              <w:snapToGrid w:val="0"/>
              <w:jc w:val="center"/>
              <w:rPr>
                <w:rFonts w:hint="eastAsia"/>
                <w:color w:val="000000"/>
                <w:sz w:val="18"/>
                <w:szCs w:val="18"/>
              </w:rPr>
            </w:pPr>
            <w:r>
              <w:rPr>
                <w:rFonts w:hint="eastAsia"/>
                <w:color w:val="000000"/>
                <w:sz w:val="18"/>
                <w:szCs w:val="18"/>
              </w:rPr>
              <w:t>汽车配件</w:t>
            </w:r>
          </w:p>
        </w:tc>
      </w:tr>
      <w:tr w:rsidR="004B0883" w14:paraId="18DC248B" w14:textId="77777777">
        <w:trPr>
          <w:trHeight w:val="397"/>
          <w:jc w:val="center"/>
        </w:trPr>
        <w:tc>
          <w:tcPr>
            <w:tcW w:w="260" w:type="pct"/>
            <w:tcMar>
              <w:top w:w="0" w:type="dxa"/>
              <w:bottom w:w="0" w:type="dxa"/>
            </w:tcMar>
            <w:vAlign w:val="center"/>
          </w:tcPr>
          <w:p w14:paraId="56A96649" w14:textId="77777777" w:rsidR="004B0883" w:rsidRDefault="004B0883">
            <w:pPr>
              <w:widowControl w:val="0"/>
              <w:adjustRightInd w:val="0"/>
              <w:snapToGrid w:val="0"/>
              <w:jc w:val="center"/>
              <w:rPr>
                <w:sz w:val="18"/>
                <w:szCs w:val="18"/>
              </w:rPr>
            </w:pPr>
            <w:r>
              <w:rPr>
                <w:sz w:val="18"/>
                <w:szCs w:val="18"/>
              </w:rPr>
              <w:t>5</w:t>
            </w:r>
          </w:p>
        </w:tc>
        <w:tc>
          <w:tcPr>
            <w:tcW w:w="2081" w:type="pct"/>
            <w:tcMar>
              <w:top w:w="0" w:type="dxa"/>
              <w:bottom w:w="0" w:type="dxa"/>
            </w:tcMar>
            <w:vAlign w:val="center"/>
          </w:tcPr>
          <w:p w14:paraId="3BC5F522" w14:textId="77777777" w:rsidR="004B0883" w:rsidRDefault="004B0883">
            <w:pPr>
              <w:widowControl w:val="0"/>
              <w:adjustRightInd w:val="0"/>
              <w:snapToGrid w:val="0"/>
              <w:jc w:val="both"/>
              <w:rPr>
                <w:sz w:val="18"/>
                <w:szCs w:val="18"/>
              </w:rPr>
            </w:pPr>
            <w:r>
              <w:rPr>
                <w:rFonts w:hint="eastAsia"/>
                <w:color w:val="000000"/>
                <w:sz w:val="18"/>
                <w:szCs w:val="22"/>
              </w:rPr>
              <w:t>山东安博机械科技股份有限公司</w:t>
            </w:r>
          </w:p>
        </w:tc>
        <w:tc>
          <w:tcPr>
            <w:tcW w:w="485" w:type="pct"/>
            <w:tcMar>
              <w:top w:w="0" w:type="dxa"/>
              <w:bottom w:w="0" w:type="dxa"/>
            </w:tcMar>
            <w:vAlign w:val="center"/>
          </w:tcPr>
          <w:p w14:paraId="3459E16F" w14:textId="77777777" w:rsidR="004B0883" w:rsidRDefault="004B0883">
            <w:pPr>
              <w:widowControl w:val="0"/>
              <w:adjustRightInd w:val="0"/>
              <w:snapToGrid w:val="0"/>
              <w:jc w:val="right"/>
              <w:rPr>
                <w:sz w:val="18"/>
                <w:szCs w:val="18"/>
              </w:rPr>
            </w:pPr>
            <w:r>
              <w:rPr>
                <w:color w:val="000000"/>
                <w:sz w:val="18"/>
                <w:szCs w:val="18"/>
              </w:rPr>
              <w:t>1,164.74</w:t>
            </w:r>
          </w:p>
        </w:tc>
        <w:tc>
          <w:tcPr>
            <w:tcW w:w="561" w:type="pct"/>
            <w:tcMar>
              <w:top w:w="0" w:type="dxa"/>
              <w:bottom w:w="0" w:type="dxa"/>
            </w:tcMar>
            <w:vAlign w:val="center"/>
          </w:tcPr>
          <w:p w14:paraId="772A2F1F" w14:textId="77777777" w:rsidR="004B0883" w:rsidRDefault="004B0883">
            <w:pPr>
              <w:widowControl w:val="0"/>
              <w:adjustRightInd w:val="0"/>
              <w:snapToGrid w:val="0"/>
              <w:jc w:val="right"/>
              <w:rPr>
                <w:sz w:val="18"/>
                <w:szCs w:val="18"/>
              </w:rPr>
            </w:pPr>
            <w:r>
              <w:rPr>
                <w:color w:val="000000"/>
                <w:sz w:val="18"/>
                <w:szCs w:val="18"/>
              </w:rPr>
              <w:t>2.81%</w:t>
            </w:r>
          </w:p>
        </w:tc>
        <w:tc>
          <w:tcPr>
            <w:tcW w:w="518" w:type="pct"/>
            <w:vAlign w:val="center"/>
          </w:tcPr>
          <w:p w14:paraId="285EA343" w14:textId="77777777" w:rsidR="004B0883" w:rsidRDefault="004B0883">
            <w:pPr>
              <w:widowControl w:val="0"/>
              <w:adjustRightInd w:val="0"/>
              <w:snapToGrid w:val="0"/>
              <w:jc w:val="center"/>
              <w:rPr>
                <w:color w:val="000000"/>
                <w:sz w:val="18"/>
                <w:szCs w:val="18"/>
              </w:rPr>
            </w:pPr>
            <w:r>
              <w:rPr>
                <w:rFonts w:hint="eastAsia"/>
                <w:color w:val="000000"/>
                <w:sz w:val="18"/>
                <w:szCs w:val="22"/>
              </w:rPr>
              <w:t>中国</w:t>
            </w:r>
          </w:p>
        </w:tc>
        <w:tc>
          <w:tcPr>
            <w:tcW w:w="548" w:type="pct"/>
            <w:vAlign w:val="center"/>
          </w:tcPr>
          <w:p w14:paraId="51AA0380" w14:textId="77777777" w:rsidR="004B0883" w:rsidRDefault="004B0883">
            <w:pPr>
              <w:widowControl w:val="0"/>
              <w:adjustRightInd w:val="0"/>
              <w:snapToGrid w:val="0"/>
              <w:jc w:val="center"/>
              <w:rPr>
                <w:color w:val="000000"/>
                <w:sz w:val="18"/>
                <w:szCs w:val="18"/>
              </w:rPr>
            </w:pPr>
            <w:r>
              <w:rPr>
                <w:rFonts w:hint="eastAsia"/>
                <w:color w:val="000000"/>
                <w:sz w:val="18"/>
                <w:szCs w:val="22"/>
              </w:rPr>
              <w:t>自有品牌直销</w:t>
            </w:r>
          </w:p>
        </w:tc>
        <w:tc>
          <w:tcPr>
            <w:tcW w:w="547" w:type="pct"/>
            <w:vAlign w:val="center"/>
          </w:tcPr>
          <w:p w14:paraId="02552E41" w14:textId="77777777" w:rsidR="004B0883" w:rsidRDefault="004B0883">
            <w:pPr>
              <w:widowControl w:val="0"/>
              <w:adjustRightInd w:val="0"/>
              <w:snapToGrid w:val="0"/>
              <w:jc w:val="center"/>
              <w:rPr>
                <w:rFonts w:hint="eastAsia"/>
                <w:color w:val="000000"/>
                <w:sz w:val="18"/>
                <w:szCs w:val="22"/>
              </w:rPr>
            </w:pPr>
            <w:r>
              <w:rPr>
                <w:rFonts w:hint="eastAsia"/>
                <w:color w:val="000000"/>
                <w:sz w:val="18"/>
                <w:szCs w:val="18"/>
              </w:rPr>
              <w:t>汽车配件</w:t>
            </w:r>
          </w:p>
        </w:tc>
      </w:tr>
      <w:tr w:rsidR="004B0883" w14:paraId="691FA00E" w14:textId="77777777">
        <w:trPr>
          <w:trHeight w:val="397"/>
          <w:jc w:val="center"/>
        </w:trPr>
        <w:tc>
          <w:tcPr>
            <w:tcW w:w="2341" w:type="pct"/>
            <w:gridSpan w:val="2"/>
            <w:tcMar>
              <w:top w:w="0" w:type="dxa"/>
              <w:bottom w:w="0" w:type="dxa"/>
            </w:tcMar>
            <w:vAlign w:val="center"/>
          </w:tcPr>
          <w:p w14:paraId="5072B36D" w14:textId="77777777" w:rsidR="004B0883" w:rsidRDefault="004B0883">
            <w:pPr>
              <w:widowControl w:val="0"/>
              <w:adjustRightInd w:val="0"/>
              <w:snapToGrid w:val="0"/>
              <w:jc w:val="center"/>
              <w:rPr>
                <w:b/>
                <w:color w:val="000000"/>
                <w:sz w:val="18"/>
                <w:szCs w:val="18"/>
              </w:rPr>
            </w:pPr>
            <w:r>
              <w:rPr>
                <w:b/>
                <w:color w:val="000000"/>
                <w:sz w:val="18"/>
                <w:szCs w:val="18"/>
              </w:rPr>
              <w:t>合计</w:t>
            </w:r>
          </w:p>
        </w:tc>
        <w:tc>
          <w:tcPr>
            <w:tcW w:w="485" w:type="pct"/>
            <w:tcMar>
              <w:top w:w="0" w:type="dxa"/>
              <w:bottom w:w="0" w:type="dxa"/>
            </w:tcMar>
            <w:vAlign w:val="center"/>
          </w:tcPr>
          <w:p w14:paraId="5B5A3FA7" w14:textId="77777777" w:rsidR="004B0883" w:rsidRDefault="004B0883">
            <w:pPr>
              <w:widowControl w:val="0"/>
              <w:adjustRightInd w:val="0"/>
              <w:snapToGrid w:val="0"/>
              <w:jc w:val="right"/>
              <w:rPr>
                <w:b/>
                <w:color w:val="000000"/>
                <w:sz w:val="18"/>
                <w:szCs w:val="18"/>
              </w:rPr>
            </w:pPr>
            <w:r>
              <w:rPr>
                <w:b/>
                <w:bCs/>
                <w:color w:val="000000"/>
                <w:sz w:val="18"/>
                <w:szCs w:val="18"/>
              </w:rPr>
              <w:t>9,581.26</w:t>
            </w:r>
          </w:p>
        </w:tc>
        <w:tc>
          <w:tcPr>
            <w:tcW w:w="561" w:type="pct"/>
            <w:tcMar>
              <w:top w:w="0" w:type="dxa"/>
              <w:bottom w:w="0" w:type="dxa"/>
            </w:tcMar>
            <w:vAlign w:val="center"/>
          </w:tcPr>
          <w:p w14:paraId="3048C874" w14:textId="77777777" w:rsidR="004B0883" w:rsidRDefault="004B0883">
            <w:pPr>
              <w:widowControl w:val="0"/>
              <w:adjustRightInd w:val="0"/>
              <w:snapToGrid w:val="0"/>
              <w:jc w:val="right"/>
              <w:rPr>
                <w:b/>
                <w:color w:val="000000"/>
                <w:sz w:val="18"/>
                <w:szCs w:val="18"/>
              </w:rPr>
            </w:pPr>
            <w:r>
              <w:rPr>
                <w:b/>
                <w:bCs/>
                <w:color w:val="000000"/>
                <w:sz w:val="18"/>
                <w:szCs w:val="18"/>
              </w:rPr>
              <w:t>23.08%</w:t>
            </w:r>
          </w:p>
        </w:tc>
        <w:tc>
          <w:tcPr>
            <w:tcW w:w="518" w:type="pct"/>
            <w:vAlign w:val="center"/>
          </w:tcPr>
          <w:p w14:paraId="733EDB5C" w14:textId="77777777" w:rsidR="004B0883" w:rsidRDefault="004B0883">
            <w:pPr>
              <w:widowControl w:val="0"/>
              <w:adjustRightInd w:val="0"/>
              <w:snapToGrid w:val="0"/>
              <w:jc w:val="center"/>
              <w:rPr>
                <w:b/>
                <w:bCs/>
                <w:color w:val="000000"/>
                <w:sz w:val="18"/>
                <w:szCs w:val="18"/>
              </w:rPr>
            </w:pPr>
            <w:r>
              <w:rPr>
                <w:rFonts w:hint="eastAsia"/>
                <w:b/>
                <w:bCs/>
                <w:color w:val="000000"/>
                <w:sz w:val="18"/>
                <w:szCs w:val="22"/>
              </w:rPr>
              <w:t>-</w:t>
            </w:r>
          </w:p>
        </w:tc>
        <w:tc>
          <w:tcPr>
            <w:tcW w:w="548" w:type="pct"/>
            <w:vAlign w:val="center"/>
          </w:tcPr>
          <w:p w14:paraId="4D7254BA" w14:textId="77777777" w:rsidR="004B0883" w:rsidRDefault="004B0883">
            <w:pPr>
              <w:widowControl w:val="0"/>
              <w:adjustRightInd w:val="0"/>
              <w:snapToGrid w:val="0"/>
              <w:jc w:val="center"/>
              <w:rPr>
                <w:b/>
                <w:bCs/>
                <w:color w:val="000000"/>
                <w:sz w:val="18"/>
                <w:szCs w:val="18"/>
              </w:rPr>
            </w:pPr>
            <w:r>
              <w:rPr>
                <w:rFonts w:hint="eastAsia"/>
                <w:b/>
                <w:bCs/>
                <w:color w:val="000000"/>
                <w:sz w:val="18"/>
                <w:szCs w:val="22"/>
              </w:rPr>
              <w:t>-</w:t>
            </w:r>
          </w:p>
        </w:tc>
        <w:tc>
          <w:tcPr>
            <w:tcW w:w="547" w:type="pct"/>
            <w:vAlign w:val="center"/>
          </w:tcPr>
          <w:p w14:paraId="36294A99" w14:textId="77777777" w:rsidR="004B0883" w:rsidRDefault="004B0883">
            <w:pPr>
              <w:widowControl w:val="0"/>
              <w:adjustRightInd w:val="0"/>
              <w:snapToGrid w:val="0"/>
              <w:jc w:val="center"/>
              <w:rPr>
                <w:rFonts w:hint="eastAsia"/>
                <w:b/>
                <w:bCs/>
                <w:color w:val="000000"/>
                <w:sz w:val="18"/>
                <w:szCs w:val="22"/>
              </w:rPr>
            </w:pPr>
            <w:r>
              <w:rPr>
                <w:rFonts w:hint="eastAsia"/>
                <w:b/>
                <w:bCs/>
                <w:color w:val="000000"/>
                <w:sz w:val="18"/>
                <w:szCs w:val="22"/>
              </w:rPr>
              <w:t>-</w:t>
            </w:r>
          </w:p>
        </w:tc>
      </w:tr>
    </w:tbl>
    <w:bookmarkEnd w:id="261"/>
    <w:p w14:paraId="7D4C1612" w14:textId="77777777" w:rsidR="004B0883" w:rsidRDefault="004B0883">
      <w:pPr>
        <w:keepNext/>
        <w:keepLines/>
        <w:widowControl w:val="0"/>
        <w:spacing w:beforeLines="50" w:before="120" w:after="120" w:line="360" w:lineRule="auto"/>
        <w:ind w:firstLineChars="200" w:firstLine="480"/>
        <w:jc w:val="both"/>
        <w:outlineLvl w:val="4"/>
        <w:rPr>
          <w:sz w:val="24"/>
          <w:szCs w:val="22"/>
        </w:rPr>
      </w:pPr>
      <w:r>
        <w:rPr>
          <w:sz w:val="24"/>
          <w:szCs w:val="22"/>
          <w:lang w:val="zh-CN" w:bidi="en-US"/>
        </w:rPr>
        <w:t>（</w:t>
      </w:r>
      <w:r>
        <w:rPr>
          <w:rFonts w:hint="eastAsia"/>
          <w:sz w:val="24"/>
          <w:szCs w:val="22"/>
          <w:lang w:val="zh-CN" w:bidi="en-US"/>
        </w:rPr>
        <w:t>4</w:t>
      </w:r>
      <w:r>
        <w:rPr>
          <w:sz w:val="24"/>
          <w:szCs w:val="22"/>
          <w:lang w:val="zh-CN" w:bidi="en-US"/>
        </w:rPr>
        <w:t>）</w:t>
      </w:r>
      <w:r>
        <w:rPr>
          <w:sz w:val="24"/>
          <w:szCs w:val="22"/>
          <w:lang w:val="zh-CN" w:bidi="en-US"/>
        </w:rPr>
        <w:t>2020</w:t>
      </w:r>
      <w:r>
        <w:rPr>
          <w:sz w:val="24"/>
          <w:szCs w:val="22"/>
          <w:lang w:val="zh-CN" w:bidi="en-US"/>
        </w:rPr>
        <w:t>年</w:t>
      </w:r>
      <w:r>
        <w:rPr>
          <w:sz w:val="24"/>
          <w:szCs w:val="22"/>
          <w:lang w:bidi="en-US"/>
        </w:rPr>
        <w:t>度</w:t>
      </w:r>
    </w:p>
    <w:tbl>
      <w:tblPr>
        <w:tblW w:w="6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51"/>
        <w:gridCol w:w="4121"/>
        <w:gridCol w:w="942"/>
        <w:gridCol w:w="1115"/>
        <w:gridCol w:w="1029"/>
        <w:gridCol w:w="1089"/>
        <w:gridCol w:w="1089"/>
      </w:tblGrid>
      <w:tr w:rsidR="004B0883" w14:paraId="007C3A4D" w14:textId="77777777">
        <w:trPr>
          <w:trHeight w:val="397"/>
          <w:tblHeader/>
          <w:jc w:val="center"/>
        </w:trPr>
        <w:tc>
          <w:tcPr>
            <w:tcW w:w="277" w:type="pct"/>
            <w:shd w:val="clear" w:color="auto" w:fill="D9D9D9"/>
            <w:tcMar>
              <w:top w:w="0" w:type="dxa"/>
              <w:bottom w:w="0" w:type="dxa"/>
            </w:tcMar>
            <w:vAlign w:val="center"/>
          </w:tcPr>
          <w:p w14:paraId="6AF79A56" w14:textId="77777777" w:rsidR="004B0883" w:rsidRDefault="004B0883">
            <w:pPr>
              <w:widowControl w:val="0"/>
              <w:adjustRightInd w:val="0"/>
              <w:snapToGrid w:val="0"/>
              <w:jc w:val="center"/>
              <w:rPr>
                <w:b/>
                <w:sz w:val="18"/>
                <w:szCs w:val="18"/>
              </w:rPr>
            </w:pPr>
            <w:bookmarkStart w:id="262" w:name="_Hlk145929310"/>
            <w:r>
              <w:rPr>
                <w:b/>
                <w:sz w:val="18"/>
                <w:szCs w:val="18"/>
              </w:rPr>
              <w:t>序号</w:t>
            </w:r>
          </w:p>
        </w:tc>
        <w:tc>
          <w:tcPr>
            <w:tcW w:w="2074" w:type="pct"/>
            <w:shd w:val="clear" w:color="auto" w:fill="D9D9D9"/>
            <w:tcMar>
              <w:top w:w="0" w:type="dxa"/>
              <w:bottom w:w="0" w:type="dxa"/>
            </w:tcMar>
            <w:vAlign w:val="center"/>
          </w:tcPr>
          <w:p w14:paraId="37E8C15D" w14:textId="77777777" w:rsidR="004B0883" w:rsidRDefault="004B0883">
            <w:pPr>
              <w:widowControl w:val="0"/>
              <w:adjustRightInd w:val="0"/>
              <w:snapToGrid w:val="0"/>
              <w:jc w:val="center"/>
              <w:rPr>
                <w:b/>
                <w:sz w:val="18"/>
                <w:szCs w:val="18"/>
              </w:rPr>
            </w:pPr>
            <w:r>
              <w:rPr>
                <w:b/>
                <w:sz w:val="18"/>
                <w:szCs w:val="18"/>
              </w:rPr>
              <w:t>单位名称</w:t>
            </w:r>
          </w:p>
        </w:tc>
        <w:tc>
          <w:tcPr>
            <w:tcW w:w="474" w:type="pct"/>
            <w:shd w:val="clear" w:color="auto" w:fill="D9D9D9"/>
            <w:tcMar>
              <w:top w:w="0" w:type="dxa"/>
              <w:bottom w:w="0" w:type="dxa"/>
            </w:tcMar>
            <w:vAlign w:val="center"/>
          </w:tcPr>
          <w:p w14:paraId="774EEAD1" w14:textId="77777777" w:rsidR="004B0883" w:rsidRDefault="004B0883">
            <w:pPr>
              <w:widowControl w:val="0"/>
              <w:adjustRightInd w:val="0"/>
              <w:snapToGrid w:val="0"/>
              <w:jc w:val="center"/>
              <w:rPr>
                <w:b/>
                <w:sz w:val="18"/>
                <w:szCs w:val="18"/>
              </w:rPr>
            </w:pPr>
            <w:r>
              <w:rPr>
                <w:b/>
                <w:sz w:val="18"/>
                <w:szCs w:val="18"/>
              </w:rPr>
              <w:t>销售额（万元）</w:t>
            </w:r>
          </w:p>
        </w:tc>
        <w:tc>
          <w:tcPr>
            <w:tcW w:w="561" w:type="pct"/>
            <w:shd w:val="clear" w:color="auto" w:fill="D9D9D9"/>
            <w:tcMar>
              <w:top w:w="0" w:type="dxa"/>
              <w:bottom w:w="0" w:type="dxa"/>
            </w:tcMar>
            <w:vAlign w:val="center"/>
          </w:tcPr>
          <w:p w14:paraId="2993528E" w14:textId="77777777" w:rsidR="004B0883" w:rsidRDefault="004B0883">
            <w:pPr>
              <w:widowControl w:val="0"/>
              <w:adjustRightInd w:val="0"/>
              <w:snapToGrid w:val="0"/>
              <w:jc w:val="center"/>
              <w:rPr>
                <w:b/>
                <w:sz w:val="18"/>
                <w:szCs w:val="18"/>
              </w:rPr>
            </w:pPr>
            <w:r>
              <w:rPr>
                <w:b/>
                <w:sz w:val="18"/>
                <w:szCs w:val="18"/>
              </w:rPr>
              <w:t>占营业收入比例</w:t>
            </w:r>
          </w:p>
        </w:tc>
        <w:tc>
          <w:tcPr>
            <w:tcW w:w="518" w:type="pct"/>
            <w:shd w:val="clear" w:color="auto" w:fill="D9D9D9"/>
            <w:vAlign w:val="center"/>
          </w:tcPr>
          <w:p w14:paraId="13D2EA87" w14:textId="77777777" w:rsidR="004B0883" w:rsidRDefault="004B0883">
            <w:pPr>
              <w:widowControl w:val="0"/>
              <w:adjustRightInd w:val="0"/>
              <w:snapToGrid w:val="0"/>
              <w:jc w:val="center"/>
              <w:rPr>
                <w:b/>
                <w:sz w:val="18"/>
                <w:szCs w:val="18"/>
              </w:rPr>
            </w:pPr>
            <w:r>
              <w:rPr>
                <w:rFonts w:hint="eastAsia"/>
                <w:b/>
                <w:sz w:val="18"/>
                <w:szCs w:val="18"/>
              </w:rPr>
              <w:t>国家</w:t>
            </w:r>
          </w:p>
        </w:tc>
        <w:tc>
          <w:tcPr>
            <w:tcW w:w="548" w:type="pct"/>
            <w:shd w:val="clear" w:color="auto" w:fill="D9D9D9"/>
            <w:vAlign w:val="center"/>
          </w:tcPr>
          <w:p w14:paraId="1D7C07D3" w14:textId="77777777" w:rsidR="004B0883" w:rsidRDefault="004B0883">
            <w:pPr>
              <w:widowControl w:val="0"/>
              <w:adjustRightInd w:val="0"/>
              <w:snapToGrid w:val="0"/>
              <w:jc w:val="center"/>
              <w:rPr>
                <w:b/>
                <w:sz w:val="18"/>
                <w:szCs w:val="18"/>
              </w:rPr>
            </w:pPr>
            <w:r>
              <w:rPr>
                <w:rFonts w:hint="eastAsia"/>
                <w:b/>
                <w:sz w:val="18"/>
                <w:szCs w:val="18"/>
              </w:rPr>
              <w:t>客户类型</w:t>
            </w:r>
          </w:p>
        </w:tc>
        <w:tc>
          <w:tcPr>
            <w:tcW w:w="548" w:type="pct"/>
            <w:shd w:val="clear" w:color="auto" w:fill="D9D9D9"/>
            <w:vAlign w:val="center"/>
          </w:tcPr>
          <w:p w14:paraId="3A44E7C5" w14:textId="77777777" w:rsidR="004B0883" w:rsidRDefault="004B0883">
            <w:pPr>
              <w:widowControl w:val="0"/>
              <w:adjustRightInd w:val="0"/>
              <w:snapToGrid w:val="0"/>
              <w:jc w:val="center"/>
              <w:rPr>
                <w:rFonts w:hint="eastAsia"/>
                <w:b/>
                <w:sz w:val="18"/>
                <w:szCs w:val="18"/>
              </w:rPr>
            </w:pPr>
            <w:r>
              <w:rPr>
                <w:rFonts w:hint="eastAsia"/>
                <w:b/>
                <w:sz w:val="18"/>
                <w:szCs w:val="18"/>
              </w:rPr>
              <w:t>销售产品</w:t>
            </w:r>
          </w:p>
        </w:tc>
      </w:tr>
      <w:tr w:rsidR="004B0883" w14:paraId="603E4DFB" w14:textId="77777777">
        <w:trPr>
          <w:trHeight w:val="397"/>
          <w:jc w:val="center"/>
        </w:trPr>
        <w:tc>
          <w:tcPr>
            <w:tcW w:w="277" w:type="pct"/>
            <w:tcMar>
              <w:top w:w="0" w:type="dxa"/>
              <w:bottom w:w="0" w:type="dxa"/>
            </w:tcMar>
            <w:vAlign w:val="center"/>
          </w:tcPr>
          <w:p w14:paraId="38D54542" w14:textId="77777777" w:rsidR="004B0883" w:rsidRDefault="004B0883">
            <w:pPr>
              <w:widowControl w:val="0"/>
              <w:adjustRightInd w:val="0"/>
              <w:snapToGrid w:val="0"/>
              <w:jc w:val="center"/>
              <w:rPr>
                <w:bCs/>
                <w:sz w:val="18"/>
                <w:szCs w:val="18"/>
              </w:rPr>
            </w:pPr>
            <w:r>
              <w:rPr>
                <w:bCs/>
                <w:sz w:val="18"/>
                <w:szCs w:val="18"/>
              </w:rPr>
              <w:t>1</w:t>
            </w:r>
          </w:p>
        </w:tc>
        <w:tc>
          <w:tcPr>
            <w:tcW w:w="2074" w:type="pct"/>
            <w:tcMar>
              <w:top w:w="0" w:type="dxa"/>
              <w:bottom w:w="0" w:type="dxa"/>
            </w:tcMar>
            <w:vAlign w:val="center"/>
          </w:tcPr>
          <w:p w14:paraId="68CED209" w14:textId="77777777" w:rsidR="004B0883" w:rsidRDefault="004B0883">
            <w:pPr>
              <w:widowControl w:val="0"/>
              <w:adjustRightInd w:val="0"/>
              <w:snapToGrid w:val="0"/>
              <w:jc w:val="both"/>
              <w:rPr>
                <w:bCs/>
                <w:sz w:val="18"/>
                <w:szCs w:val="18"/>
              </w:rPr>
            </w:pPr>
            <w:r>
              <w:rPr>
                <w:color w:val="000000"/>
                <w:sz w:val="18"/>
                <w:szCs w:val="18"/>
              </w:rPr>
              <w:t>REECE AUSTRALIA PTY LTD</w:t>
            </w:r>
          </w:p>
        </w:tc>
        <w:tc>
          <w:tcPr>
            <w:tcW w:w="474" w:type="pct"/>
            <w:tcMar>
              <w:top w:w="0" w:type="dxa"/>
              <w:bottom w:w="0" w:type="dxa"/>
            </w:tcMar>
            <w:vAlign w:val="center"/>
          </w:tcPr>
          <w:p w14:paraId="615C9F80" w14:textId="77777777" w:rsidR="004B0883" w:rsidRDefault="004B0883">
            <w:pPr>
              <w:widowControl w:val="0"/>
              <w:adjustRightInd w:val="0"/>
              <w:snapToGrid w:val="0"/>
              <w:jc w:val="right"/>
              <w:rPr>
                <w:bCs/>
                <w:kern w:val="0"/>
                <w:sz w:val="18"/>
                <w:szCs w:val="18"/>
              </w:rPr>
            </w:pPr>
            <w:r>
              <w:rPr>
                <w:color w:val="000000"/>
                <w:sz w:val="18"/>
              </w:rPr>
              <w:t>1,847.04</w:t>
            </w:r>
          </w:p>
        </w:tc>
        <w:tc>
          <w:tcPr>
            <w:tcW w:w="561" w:type="pct"/>
            <w:tcMar>
              <w:top w:w="0" w:type="dxa"/>
              <w:bottom w:w="0" w:type="dxa"/>
            </w:tcMar>
            <w:vAlign w:val="center"/>
          </w:tcPr>
          <w:p w14:paraId="395FD17C" w14:textId="77777777" w:rsidR="004B0883" w:rsidRDefault="004B0883">
            <w:pPr>
              <w:widowControl w:val="0"/>
              <w:adjustRightInd w:val="0"/>
              <w:snapToGrid w:val="0"/>
              <w:jc w:val="right"/>
              <w:rPr>
                <w:bCs/>
                <w:kern w:val="0"/>
                <w:sz w:val="18"/>
                <w:szCs w:val="18"/>
              </w:rPr>
            </w:pPr>
            <w:r>
              <w:rPr>
                <w:color w:val="000000"/>
                <w:sz w:val="18"/>
              </w:rPr>
              <w:t>5.36%</w:t>
            </w:r>
          </w:p>
        </w:tc>
        <w:tc>
          <w:tcPr>
            <w:tcW w:w="518" w:type="pct"/>
            <w:vAlign w:val="center"/>
          </w:tcPr>
          <w:p w14:paraId="2BF44FAD" w14:textId="77777777" w:rsidR="004B0883" w:rsidRDefault="004B0883">
            <w:pPr>
              <w:widowControl w:val="0"/>
              <w:adjustRightInd w:val="0"/>
              <w:snapToGrid w:val="0"/>
              <w:jc w:val="center"/>
              <w:rPr>
                <w:color w:val="000000"/>
                <w:sz w:val="18"/>
              </w:rPr>
            </w:pPr>
            <w:r>
              <w:rPr>
                <w:rFonts w:hint="eastAsia"/>
                <w:color w:val="000000"/>
                <w:sz w:val="18"/>
                <w:szCs w:val="22"/>
              </w:rPr>
              <w:t>澳大利亚</w:t>
            </w:r>
          </w:p>
        </w:tc>
        <w:tc>
          <w:tcPr>
            <w:tcW w:w="548" w:type="pct"/>
            <w:vAlign w:val="center"/>
          </w:tcPr>
          <w:p w14:paraId="56A15A37" w14:textId="77777777" w:rsidR="004B0883" w:rsidRDefault="004B0883">
            <w:pPr>
              <w:widowControl w:val="0"/>
              <w:adjustRightInd w:val="0"/>
              <w:snapToGrid w:val="0"/>
              <w:jc w:val="center"/>
              <w:rPr>
                <w:color w:val="000000"/>
                <w:sz w:val="18"/>
              </w:rPr>
            </w:pPr>
            <w:r>
              <w:rPr>
                <w:rFonts w:hint="eastAsia"/>
                <w:color w:val="000000"/>
                <w:sz w:val="18"/>
                <w:szCs w:val="22"/>
              </w:rPr>
              <w:t>贴牌</w:t>
            </w:r>
          </w:p>
        </w:tc>
        <w:tc>
          <w:tcPr>
            <w:tcW w:w="548" w:type="pct"/>
            <w:vAlign w:val="center"/>
          </w:tcPr>
          <w:p w14:paraId="070EDCEE" w14:textId="77777777" w:rsidR="004B0883" w:rsidRDefault="004B0883">
            <w:pPr>
              <w:widowControl w:val="0"/>
              <w:adjustRightInd w:val="0"/>
              <w:snapToGrid w:val="0"/>
              <w:jc w:val="center"/>
              <w:rPr>
                <w:rFonts w:hint="eastAsia"/>
                <w:color w:val="000000"/>
                <w:sz w:val="18"/>
                <w:szCs w:val="22"/>
              </w:rPr>
            </w:pPr>
            <w:r>
              <w:rPr>
                <w:rFonts w:hint="eastAsia"/>
                <w:color w:val="000000"/>
                <w:sz w:val="18"/>
                <w:szCs w:val="22"/>
              </w:rPr>
              <w:t>阀门类产品</w:t>
            </w:r>
          </w:p>
        </w:tc>
      </w:tr>
      <w:tr w:rsidR="004B0883" w14:paraId="64DE6460" w14:textId="77777777">
        <w:trPr>
          <w:trHeight w:val="397"/>
          <w:jc w:val="center"/>
        </w:trPr>
        <w:tc>
          <w:tcPr>
            <w:tcW w:w="277" w:type="pct"/>
            <w:tcMar>
              <w:top w:w="0" w:type="dxa"/>
              <w:bottom w:w="0" w:type="dxa"/>
            </w:tcMar>
            <w:vAlign w:val="center"/>
          </w:tcPr>
          <w:p w14:paraId="514286E0" w14:textId="77777777" w:rsidR="004B0883" w:rsidRDefault="004B0883">
            <w:pPr>
              <w:widowControl w:val="0"/>
              <w:adjustRightInd w:val="0"/>
              <w:snapToGrid w:val="0"/>
              <w:jc w:val="center"/>
              <w:rPr>
                <w:bCs/>
                <w:sz w:val="18"/>
                <w:szCs w:val="18"/>
              </w:rPr>
            </w:pPr>
            <w:r>
              <w:rPr>
                <w:bCs/>
                <w:sz w:val="18"/>
                <w:szCs w:val="18"/>
              </w:rPr>
              <w:t>2</w:t>
            </w:r>
          </w:p>
        </w:tc>
        <w:tc>
          <w:tcPr>
            <w:tcW w:w="2074" w:type="pct"/>
            <w:tcMar>
              <w:top w:w="0" w:type="dxa"/>
              <w:bottom w:w="0" w:type="dxa"/>
            </w:tcMar>
            <w:vAlign w:val="center"/>
          </w:tcPr>
          <w:p w14:paraId="003D2069" w14:textId="77777777" w:rsidR="004B0883" w:rsidRDefault="004B0883">
            <w:pPr>
              <w:widowControl w:val="0"/>
              <w:adjustRightInd w:val="0"/>
              <w:snapToGrid w:val="0"/>
              <w:jc w:val="both"/>
              <w:rPr>
                <w:bCs/>
                <w:sz w:val="18"/>
                <w:szCs w:val="18"/>
              </w:rPr>
            </w:pPr>
            <w:r>
              <w:rPr>
                <w:rFonts w:hint="eastAsia"/>
                <w:color w:val="000000"/>
                <w:sz w:val="18"/>
                <w:szCs w:val="18"/>
              </w:rPr>
              <w:t>J&amp;S Valve, Inc</w:t>
            </w:r>
          </w:p>
        </w:tc>
        <w:tc>
          <w:tcPr>
            <w:tcW w:w="474" w:type="pct"/>
            <w:tcMar>
              <w:top w:w="0" w:type="dxa"/>
              <w:bottom w:w="0" w:type="dxa"/>
            </w:tcMar>
            <w:vAlign w:val="center"/>
          </w:tcPr>
          <w:p w14:paraId="4411183D" w14:textId="77777777" w:rsidR="004B0883" w:rsidRDefault="004B0883">
            <w:pPr>
              <w:widowControl w:val="0"/>
              <w:adjustRightInd w:val="0"/>
              <w:snapToGrid w:val="0"/>
              <w:jc w:val="right"/>
              <w:rPr>
                <w:bCs/>
                <w:sz w:val="18"/>
                <w:szCs w:val="18"/>
              </w:rPr>
            </w:pPr>
            <w:r>
              <w:rPr>
                <w:color w:val="000000"/>
                <w:sz w:val="18"/>
              </w:rPr>
              <w:t>1,597.85</w:t>
            </w:r>
          </w:p>
        </w:tc>
        <w:tc>
          <w:tcPr>
            <w:tcW w:w="561" w:type="pct"/>
            <w:tcMar>
              <w:top w:w="0" w:type="dxa"/>
              <w:bottom w:w="0" w:type="dxa"/>
            </w:tcMar>
            <w:vAlign w:val="center"/>
          </w:tcPr>
          <w:p w14:paraId="5EDBA990" w14:textId="77777777" w:rsidR="004B0883" w:rsidRDefault="004B0883">
            <w:pPr>
              <w:widowControl w:val="0"/>
              <w:adjustRightInd w:val="0"/>
              <w:snapToGrid w:val="0"/>
              <w:jc w:val="right"/>
              <w:rPr>
                <w:bCs/>
                <w:sz w:val="18"/>
                <w:szCs w:val="18"/>
              </w:rPr>
            </w:pPr>
            <w:r>
              <w:rPr>
                <w:color w:val="000000"/>
                <w:sz w:val="18"/>
              </w:rPr>
              <w:t>4.64%</w:t>
            </w:r>
          </w:p>
        </w:tc>
        <w:tc>
          <w:tcPr>
            <w:tcW w:w="518" w:type="pct"/>
            <w:vAlign w:val="center"/>
          </w:tcPr>
          <w:p w14:paraId="2C04D387" w14:textId="77777777" w:rsidR="004B0883" w:rsidRDefault="004B0883">
            <w:pPr>
              <w:widowControl w:val="0"/>
              <w:adjustRightInd w:val="0"/>
              <w:snapToGrid w:val="0"/>
              <w:jc w:val="center"/>
              <w:rPr>
                <w:color w:val="000000"/>
                <w:sz w:val="18"/>
              </w:rPr>
            </w:pPr>
            <w:r>
              <w:rPr>
                <w:rFonts w:hint="eastAsia"/>
                <w:color w:val="000000"/>
                <w:sz w:val="18"/>
                <w:szCs w:val="22"/>
              </w:rPr>
              <w:t>美国</w:t>
            </w:r>
          </w:p>
        </w:tc>
        <w:tc>
          <w:tcPr>
            <w:tcW w:w="548" w:type="pct"/>
            <w:vAlign w:val="center"/>
          </w:tcPr>
          <w:p w14:paraId="5033B031" w14:textId="77777777" w:rsidR="004B0883" w:rsidRDefault="004B0883">
            <w:pPr>
              <w:widowControl w:val="0"/>
              <w:adjustRightInd w:val="0"/>
              <w:snapToGrid w:val="0"/>
              <w:jc w:val="center"/>
              <w:rPr>
                <w:color w:val="000000"/>
                <w:sz w:val="18"/>
              </w:rPr>
            </w:pPr>
            <w:r>
              <w:rPr>
                <w:rFonts w:hint="eastAsia"/>
                <w:color w:val="000000"/>
                <w:sz w:val="18"/>
                <w:szCs w:val="22"/>
              </w:rPr>
              <w:t>贴牌</w:t>
            </w:r>
          </w:p>
        </w:tc>
        <w:tc>
          <w:tcPr>
            <w:tcW w:w="548" w:type="pct"/>
            <w:vAlign w:val="center"/>
          </w:tcPr>
          <w:p w14:paraId="69FB32F2" w14:textId="77777777" w:rsidR="004B0883" w:rsidRDefault="004B0883">
            <w:pPr>
              <w:widowControl w:val="0"/>
              <w:adjustRightInd w:val="0"/>
              <w:snapToGrid w:val="0"/>
              <w:jc w:val="center"/>
              <w:rPr>
                <w:rFonts w:hint="eastAsia"/>
                <w:color w:val="000000"/>
                <w:sz w:val="18"/>
                <w:szCs w:val="22"/>
              </w:rPr>
            </w:pPr>
            <w:r>
              <w:rPr>
                <w:rFonts w:hint="eastAsia"/>
                <w:color w:val="000000"/>
                <w:sz w:val="18"/>
                <w:szCs w:val="22"/>
              </w:rPr>
              <w:t>阀门类产品</w:t>
            </w:r>
          </w:p>
        </w:tc>
      </w:tr>
      <w:tr w:rsidR="004B0883" w14:paraId="235A5250" w14:textId="77777777">
        <w:trPr>
          <w:trHeight w:val="397"/>
          <w:jc w:val="center"/>
        </w:trPr>
        <w:tc>
          <w:tcPr>
            <w:tcW w:w="277" w:type="pct"/>
            <w:tcMar>
              <w:top w:w="0" w:type="dxa"/>
              <w:bottom w:w="0" w:type="dxa"/>
            </w:tcMar>
            <w:vAlign w:val="center"/>
          </w:tcPr>
          <w:p w14:paraId="42BD9762" w14:textId="77777777" w:rsidR="004B0883" w:rsidRDefault="004B0883">
            <w:pPr>
              <w:widowControl w:val="0"/>
              <w:adjustRightInd w:val="0"/>
              <w:snapToGrid w:val="0"/>
              <w:jc w:val="center"/>
              <w:rPr>
                <w:bCs/>
                <w:sz w:val="18"/>
                <w:szCs w:val="18"/>
              </w:rPr>
            </w:pPr>
            <w:r>
              <w:rPr>
                <w:bCs/>
                <w:sz w:val="18"/>
                <w:szCs w:val="18"/>
              </w:rPr>
              <w:t>3</w:t>
            </w:r>
          </w:p>
        </w:tc>
        <w:tc>
          <w:tcPr>
            <w:tcW w:w="2074" w:type="pct"/>
            <w:tcMar>
              <w:top w:w="0" w:type="dxa"/>
              <w:bottom w:w="0" w:type="dxa"/>
            </w:tcMar>
            <w:vAlign w:val="center"/>
          </w:tcPr>
          <w:p w14:paraId="7E6562A4" w14:textId="77777777" w:rsidR="004B0883" w:rsidRDefault="004B0883">
            <w:pPr>
              <w:widowControl w:val="0"/>
              <w:adjustRightInd w:val="0"/>
              <w:snapToGrid w:val="0"/>
              <w:jc w:val="both"/>
              <w:rPr>
                <w:bCs/>
                <w:color w:val="000000"/>
                <w:sz w:val="18"/>
                <w:szCs w:val="18"/>
              </w:rPr>
            </w:pPr>
            <w:r>
              <w:rPr>
                <w:color w:val="000000"/>
                <w:sz w:val="18"/>
                <w:szCs w:val="22"/>
              </w:rPr>
              <w:t>LANSDALE INTERNATIONAL LLC</w:t>
            </w:r>
          </w:p>
        </w:tc>
        <w:tc>
          <w:tcPr>
            <w:tcW w:w="474" w:type="pct"/>
            <w:tcMar>
              <w:top w:w="0" w:type="dxa"/>
              <w:bottom w:w="0" w:type="dxa"/>
            </w:tcMar>
            <w:vAlign w:val="center"/>
          </w:tcPr>
          <w:p w14:paraId="128617D4" w14:textId="77777777" w:rsidR="004B0883" w:rsidRDefault="004B0883">
            <w:pPr>
              <w:widowControl w:val="0"/>
              <w:adjustRightInd w:val="0"/>
              <w:snapToGrid w:val="0"/>
              <w:jc w:val="right"/>
              <w:rPr>
                <w:bCs/>
                <w:color w:val="000000"/>
                <w:kern w:val="0"/>
                <w:sz w:val="18"/>
                <w:szCs w:val="18"/>
                <w:lang w:bidi="ar"/>
              </w:rPr>
            </w:pPr>
            <w:r>
              <w:rPr>
                <w:color w:val="000000"/>
                <w:sz w:val="18"/>
              </w:rPr>
              <w:t>1,456.08</w:t>
            </w:r>
          </w:p>
        </w:tc>
        <w:tc>
          <w:tcPr>
            <w:tcW w:w="561" w:type="pct"/>
            <w:tcMar>
              <w:top w:w="0" w:type="dxa"/>
              <w:bottom w:w="0" w:type="dxa"/>
            </w:tcMar>
            <w:vAlign w:val="center"/>
          </w:tcPr>
          <w:p w14:paraId="3D4CE95F" w14:textId="77777777" w:rsidR="004B0883" w:rsidRDefault="004B0883">
            <w:pPr>
              <w:widowControl w:val="0"/>
              <w:adjustRightInd w:val="0"/>
              <w:snapToGrid w:val="0"/>
              <w:jc w:val="right"/>
              <w:rPr>
                <w:bCs/>
                <w:color w:val="000000"/>
                <w:kern w:val="0"/>
                <w:sz w:val="18"/>
                <w:szCs w:val="18"/>
                <w:lang w:bidi="ar"/>
              </w:rPr>
            </w:pPr>
            <w:r>
              <w:rPr>
                <w:color w:val="000000"/>
                <w:sz w:val="18"/>
              </w:rPr>
              <w:t>4.23%</w:t>
            </w:r>
          </w:p>
        </w:tc>
        <w:tc>
          <w:tcPr>
            <w:tcW w:w="518" w:type="pct"/>
            <w:vAlign w:val="center"/>
          </w:tcPr>
          <w:p w14:paraId="4AA1B4AF" w14:textId="77777777" w:rsidR="004B0883" w:rsidRDefault="004B0883">
            <w:pPr>
              <w:widowControl w:val="0"/>
              <w:adjustRightInd w:val="0"/>
              <w:snapToGrid w:val="0"/>
              <w:jc w:val="center"/>
              <w:rPr>
                <w:color w:val="000000"/>
                <w:sz w:val="18"/>
              </w:rPr>
            </w:pPr>
            <w:r>
              <w:rPr>
                <w:rFonts w:hint="eastAsia"/>
                <w:color w:val="000000"/>
                <w:sz w:val="18"/>
                <w:szCs w:val="22"/>
              </w:rPr>
              <w:t>美国</w:t>
            </w:r>
          </w:p>
        </w:tc>
        <w:tc>
          <w:tcPr>
            <w:tcW w:w="548" w:type="pct"/>
            <w:vAlign w:val="center"/>
          </w:tcPr>
          <w:p w14:paraId="389D68E1" w14:textId="77777777" w:rsidR="004B0883" w:rsidRDefault="004B0883">
            <w:pPr>
              <w:widowControl w:val="0"/>
              <w:adjustRightInd w:val="0"/>
              <w:snapToGrid w:val="0"/>
              <w:jc w:val="center"/>
              <w:rPr>
                <w:color w:val="000000"/>
                <w:sz w:val="18"/>
              </w:rPr>
            </w:pPr>
            <w:r>
              <w:rPr>
                <w:rFonts w:hint="eastAsia"/>
                <w:color w:val="000000"/>
                <w:sz w:val="18"/>
                <w:szCs w:val="22"/>
              </w:rPr>
              <w:t>贴牌</w:t>
            </w:r>
          </w:p>
        </w:tc>
        <w:tc>
          <w:tcPr>
            <w:tcW w:w="548" w:type="pct"/>
            <w:vAlign w:val="center"/>
          </w:tcPr>
          <w:p w14:paraId="09CD4846" w14:textId="77777777" w:rsidR="004B0883" w:rsidRDefault="004B0883">
            <w:pPr>
              <w:widowControl w:val="0"/>
              <w:adjustRightInd w:val="0"/>
              <w:snapToGrid w:val="0"/>
              <w:jc w:val="center"/>
              <w:rPr>
                <w:rFonts w:hint="eastAsia"/>
                <w:color w:val="000000"/>
                <w:sz w:val="18"/>
                <w:szCs w:val="22"/>
              </w:rPr>
            </w:pPr>
            <w:r>
              <w:rPr>
                <w:rFonts w:hint="eastAsia"/>
                <w:color w:val="000000"/>
                <w:sz w:val="18"/>
                <w:szCs w:val="22"/>
              </w:rPr>
              <w:t>阀门类产品</w:t>
            </w:r>
          </w:p>
        </w:tc>
      </w:tr>
      <w:tr w:rsidR="004B0883" w14:paraId="05997020" w14:textId="77777777">
        <w:trPr>
          <w:trHeight w:val="397"/>
          <w:jc w:val="center"/>
        </w:trPr>
        <w:tc>
          <w:tcPr>
            <w:tcW w:w="277" w:type="pct"/>
            <w:tcMar>
              <w:top w:w="0" w:type="dxa"/>
              <w:bottom w:w="0" w:type="dxa"/>
            </w:tcMar>
            <w:vAlign w:val="center"/>
          </w:tcPr>
          <w:p w14:paraId="5B149955" w14:textId="77777777" w:rsidR="004B0883" w:rsidRDefault="004B0883">
            <w:pPr>
              <w:widowControl w:val="0"/>
              <w:adjustRightInd w:val="0"/>
              <w:snapToGrid w:val="0"/>
              <w:jc w:val="center"/>
              <w:rPr>
                <w:bCs/>
                <w:sz w:val="18"/>
                <w:szCs w:val="18"/>
              </w:rPr>
            </w:pPr>
            <w:r>
              <w:rPr>
                <w:bCs/>
                <w:sz w:val="18"/>
                <w:szCs w:val="18"/>
              </w:rPr>
              <w:t>4</w:t>
            </w:r>
          </w:p>
        </w:tc>
        <w:tc>
          <w:tcPr>
            <w:tcW w:w="2074" w:type="pct"/>
            <w:tcMar>
              <w:top w:w="0" w:type="dxa"/>
              <w:bottom w:w="0" w:type="dxa"/>
            </w:tcMar>
            <w:vAlign w:val="center"/>
          </w:tcPr>
          <w:p w14:paraId="404B3CA7" w14:textId="77777777" w:rsidR="004B0883" w:rsidRDefault="004B0883">
            <w:pPr>
              <w:widowControl w:val="0"/>
              <w:adjustRightInd w:val="0"/>
              <w:snapToGrid w:val="0"/>
              <w:jc w:val="both"/>
              <w:rPr>
                <w:bCs/>
                <w:color w:val="000000"/>
                <w:sz w:val="18"/>
                <w:szCs w:val="18"/>
              </w:rPr>
            </w:pPr>
            <w:r>
              <w:rPr>
                <w:color w:val="000000"/>
                <w:sz w:val="18"/>
                <w:szCs w:val="18"/>
              </w:rPr>
              <w:t>CRANE LIMITED</w:t>
            </w:r>
          </w:p>
        </w:tc>
        <w:tc>
          <w:tcPr>
            <w:tcW w:w="474" w:type="pct"/>
            <w:tcMar>
              <w:top w:w="0" w:type="dxa"/>
              <w:bottom w:w="0" w:type="dxa"/>
            </w:tcMar>
            <w:vAlign w:val="center"/>
          </w:tcPr>
          <w:p w14:paraId="2162A64A" w14:textId="77777777" w:rsidR="004B0883" w:rsidRDefault="004B0883">
            <w:pPr>
              <w:widowControl w:val="0"/>
              <w:adjustRightInd w:val="0"/>
              <w:snapToGrid w:val="0"/>
              <w:jc w:val="right"/>
              <w:rPr>
                <w:bCs/>
                <w:color w:val="000000"/>
                <w:kern w:val="0"/>
                <w:sz w:val="18"/>
                <w:szCs w:val="18"/>
                <w:lang w:bidi="ar"/>
              </w:rPr>
            </w:pPr>
            <w:r>
              <w:rPr>
                <w:color w:val="000000"/>
                <w:sz w:val="18"/>
              </w:rPr>
              <w:t>1</w:t>
            </w:r>
            <w:r>
              <w:rPr>
                <w:rFonts w:hint="eastAsia"/>
                <w:color w:val="000000"/>
                <w:sz w:val="18"/>
              </w:rPr>
              <w:t>,</w:t>
            </w:r>
            <w:r>
              <w:rPr>
                <w:color w:val="000000"/>
                <w:sz w:val="18"/>
              </w:rPr>
              <w:t>240.74</w:t>
            </w:r>
          </w:p>
        </w:tc>
        <w:tc>
          <w:tcPr>
            <w:tcW w:w="561" w:type="pct"/>
            <w:tcMar>
              <w:top w:w="0" w:type="dxa"/>
              <w:bottom w:w="0" w:type="dxa"/>
            </w:tcMar>
            <w:vAlign w:val="center"/>
          </w:tcPr>
          <w:p w14:paraId="609233A1" w14:textId="77777777" w:rsidR="004B0883" w:rsidRDefault="004B0883">
            <w:pPr>
              <w:widowControl w:val="0"/>
              <w:adjustRightInd w:val="0"/>
              <w:snapToGrid w:val="0"/>
              <w:jc w:val="right"/>
              <w:rPr>
                <w:bCs/>
                <w:color w:val="000000"/>
                <w:kern w:val="0"/>
                <w:sz w:val="18"/>
                <w:szCs w:val="18"/>
                <w:lang w:bidi="ar"/>
              </w:rPr>
            </w:pPr>
            <w:r>
              <w:rPr>
                <w:color w:val="000000"/>
                <w:sz w:val="18"/>
              </w:rPr>
              <w:t>3.60%</w:t>
            </w:r>
          </w:p>
        </w:tc>
        <w:tc>
          <w:tcPr>
            <w:tcW w:w="518" w:type="pct"/>
            <w:vAlign w:val="center"/>
          </w:tcPr>
          <w:p w14:paraId="63D3A404" w14:textId="77777777" w:rsidR="004B0883" w:rsidRDefault="004B0883">
            <w:pPr>
              <w:widowControl w:val="0"/>
              <w:adjustRightInd w:val="0"/>
              <w:snapToGrid w:val="0"/>
              <w:jc w:val="center"/>
              <w:rPr>
                <w:color w:val="000000"/>
                <w:sz w:val="18"/>
              </w:rPr>
            </w:pPr>
            <w:r>
              <w:rPr>
                <w:rFonts w:hint="eastAsia"/>
                <w:color w:val="000000"/>
                <w:sz w:val="18"/>
                <w:szCs w:val="22"/>
              </w:rPr>
              <w:t>英国</w:t>
            </w:r>
          </w:p>
        </w:tc>
        <w:tc>
          <w:tcPr>
            <w:tcW w:w="548" w:type="pct"/>
            <w:vAlign w:val="center"/>
          </w:tcPr>
          <w:p w14:paraId="4948294F" w14:textId="77777777" w:rsidR="004B0883" w:rsidRDefault="004B0883">
            <w:pPr>
              <w:widowControl w:val="0"/>
              <w:adjustRightInd w:val="0"/>
              <w:snapToGrid w:val="0"/>
              <w:jc w:val="center"/>
              <w:rPr>
                <w:color w:val="000000"/>
                <w:sz w:val="18"/>
              </w:rPr>
            </w:pPr>
            <w:r>
              <w:rPr>
                <w:rFonts w:hint="eastAsia"/>
                <w:color w:val="000000"/>
                <w:sz w:val="18"/>
                <w:szCs w:val="22"/>
              </w:rPr>
              <w:t>贴牌</w:t>
            </w:r>
          </w:p>
        </w:tc>
        <w:tc>
          <w:tcPr>
            <w:tcW w:w="548" w:type="pct"/>
            <w:vAlign w:val="center"/>
          </w:tcPr>
          <w:p w14:paraId="70659F34" w14:textId="77777777" w:rsidR="004B0883" w:rsidRDefault="004B0883">
            <w:pPr>
              <w:widowControl w:val="0"/>
              <w:adjustRightInd w:val="0"/>
              <w:snapToGrid w:val="0"/>
              <w:jc w:val="center"/>
              <w:rPr>
                <w:rFonts w:hint="eastAsia"/>
                <w:color w:val="000000"/>
                <w:sz w:val="18"/>
                <w:szCs w:val="22"/>
              </w:rPr>
            </w:pPr>
            <w:r>
              <w:rPr>
                <w:rFonts w:hint="eastAsia"/>
                <w:color w:val="000000"/>
                <w:sz w:val="18"/>
                <w:szCs w:val="22"/>
              </w:rPr>
              <w:t>阀门类产品</w:t>
            </w:r>
          </w:p>
        </w:tc>
      </w:tr>
      <w:tr w:rsidR="004B0883" w14:paraId="0BC1FF50" w14:textId="77777777">
        <w:trPr>
          <w:trHeight w:val="397"/>
          <w:jc w:val="center"/>
        </w:trPr>
        <w:tc>
          <w:tcPr>
            <w:tcW w:w="277" w:type="pct"/>
            <w:tcMar>
              <w:top w:w="0" w:type="dxa"/>
              <w:bottom w:w="0" w:type="dxa"/>
            </w:tcMar>
            <w:vAlign w:val="center"/>
          </w:tcPr>
          <w:p w14:paraId="6A6F3432" w14:textId="77777777" w:rsidR="004B0883" w:rsidRDefault="004B0883">
            <w:pPr>
              <w:widowControl w:val="0"/>
              <w:adjustRightInd w:val="0"/>
              <w:snapToGrid w:val="0"/>
              <w:jc w:val="center"/>
              <w:rPr>
                <w:bCs/>
                <w:sz w:val="18"/>
                <w:szCs w:val="18"/>
              </w:rPr>
            </w:pPr>
            <w:r>
              <w:rPr>
                <w:bCs/>
                <w:sz w:val="18"/>
                <w:szCs w:val="18"/>
              </w:rPr>
              <w:t>5</w:t>
            </w:r>
          </w:p>
        </w:tc>
        <w:tc>
          <w:tcPr>
            <w:tcW w:w="2074" w:type="pct"/>
            <w:tcMar>
              <w:top w:w="0" w:type="dxa"/>
              <w:bottom w:w="0" w:type="dxa"/>
            </w:tcMar>
            <w:vAlign w:val="center"/>
          </w:tcPr>
          <w:p w14:paraId="47324153" w14:textId="77777777" w:rsidR="004B0883" w:rsidRDefault="004B0883">
            <w:pPr>
              <w:widowControl w:val="0"/>
              <w:adjustRightInd w:val="0"/>
              <w:snapToGrid w:val="0"/>
              <w:jc w:val="both"/>
              <w:rPr>
                <w:bCs/>
                <w:color w:val="000000"/>
                <w:sz w:val="18"/>
                <w:szCs w:val="18"/>
              </w:rPr>
            </w:pPr>
            <w:r>
              <w:rPr>
                <w:color w:val="000000"/>
                <w:sz w:val="18"/>
                <w:szCs w:val="18"/>
              </w:rPr>
              <w:t>NATIONAL FIRE FIGHTING MANUFACTURING FZCO</w:t>
            </w:r>
          </w:p>
        </w:tc>
        <w:tc>
          <w:tcPr>
            <w:tcW w:w="474" w:type="pct"/>
            <w:tcMar>
              <w:top w:w="0" w:type="dxa"/>
              <w:bottom w:w="0" w:type="dxa"/>
            </w:tcMar>
            <w:vAlign w:val="center"/>
          </w:tcPr>
          <w:p w14:paraId="6E00DADA" w14:textId="77777777" w:rsidR="004B0883" w:rsidRDefault="004B0883">
            <w:pPr>
              <w:widowControl w:val="0"/>
              <w:adjustRightInd w:val="0"/>
              <w:snapToGrid w:val="0"/>
              <w:jc w:val="right"/>
              <w:rPr>
                <w:bCs/>
                <w:color w:val="000000"/>
                <w:kern w:val="0"/>
                <w:sz w:val="18"/>
                <w:szCs w:val="18"/>
                <w:lang w:bidi="ar"/>
              </w:rPr>
            </w:pPr>
            <w:r>
              <w:rPr>
                <w:color w:val="000000"/>
                <w:sz w:val="18"/>
              </w:rPr>
              <w:t>1</w:t>
            </w:r>
            <w:r>
              <w:rPr>
                <w:rFonts w:hint="eastAsia"/>
                <w:color w:val="000000"/>
                <w:sz w:val="18"/>
              </w:rPr>
              <w:t>,</w:t>
            </w:r>
            <w:r>
              <w:rPr>
                <w:color w:val="000000"/>
                <w:sz w:val="18"/>
              </w:rPr>
              <w:t>165.33</w:t>
            </w:r>
          </w:p>
        </w:tc>
        <w:tc>
          <w:tcPr>
            <w:tcW w:w="561" w:type="pct"/>
            <w:tcMar>
              <w:top w:w="0" w:type="dxa"/>
              <w:bottom w:w="0" w:type="dxa"/>
            </w:tcMar>
            <w:vAlign w:val="center"/>
          </w:tcPr>
          <w:p w14:paraId="31D8C4E6" w14:textId="77777777" w:rsidR="004B0883" w:rsidRDefault="004B0883">
            <w:pPr>
              <w:widowControl w:val="0"/>
              <w:adjustRightInd w:val="0"/>
              <w:snapToGrid w:val="0"/>
              <w:jc w:val="right"/>
              <w:rPr>
                <w:bCs/>
                <w:color w:val="000000"/>
                <w:kern w:val="0"/>
                <w:sz w:val="18"/>
                <w:szCs w:val="18"/>
                <w:lang w:bidi="ar"/>
              </w:rPr>
            </w:pPr>
            <w:r>
              <w:rPr>
                <w:color w:val="000000"/>
                <w:sz w:val="18"/>
              </w:rPr>
              <w:t>3.38%</w:t>
            </w:r>
          </w:p>
        </w:tc>
        <w:tc>
          <w:tcPr>
            <w:tcW w:w="518" w:type="pct"/>
            <w:vAlign w:val="center"/>
          </w:tcPr>
          <w:p w14:paraId="64066E04" w14:textId="77777777" w:rsidR="004B0883" w:rsidRDefault="004B0883">
            <w:pPr>
              <w:widowControl w:val="0"/>
              <w:adjustRightInd w:val="0"/>
              <w:snapToGrid w:val="0"/>
              <w:jc w:val="center"/>
              <w:rPr>
                <w:color w:val="000000"/>
                <w:sz w:val="18"/>
              </w:rPr>
            </w:pPr>
            <w:r>
              <w:rPr>
                <w:rFonts w:hint="eastAsia"/>
                <w:color w:val="000000"/>
                <w:sz w:val="18"/>
                <w:szCs w:val="22"/>
              </w:rPr>
              <w:t>阿联酋</w:t>
            </w:r>
          </w:p>
        </w:tc>
        <w:tc>
          <w:tcPr>
            <w:tcW w:w="548" w:type="pct"/>
            <w:vAlign w:val="center"/>
          </w:tcPr>
          <w:p w14:paraId="65B76DB6" w14:textId="77777777" w:rsidR="004B0883" w:rsidRDefault="004B0883">
            <w:pPr>
              <w:widowControl w:val="0"/>
              <w:adjustRightInd w:val="0"/>
              <w:snapToGrid w:val="0"/>
              <w:jc w:val="center"/>
              <w:rPr>
                <w:color w:val="000000"/>
                <w:sz w:val="18"/>
              </w:rPr>
            </w:pPr>
            <w:r>
              <w:rPr>
                <w:rFonts w:hint="eastAsia"/>
                <w:color w:val="000000"/>
                <w:sz w:val="18"/>
                <w:szCs w:val="22"/>
              </w:rPr>
              <w:t>贴牌</w:t>
            </w:r>
          </w:p>
        </w:tc>
        <w:tc>
          <w:tcPr>
            <w:tcW w:w="548" w:type="pct"/>
            <w:vAlign w:val="center"/>
          </w:tcPr>
          <w:p w14:paraId="48F8CC4A" w14:textId="77777777" w:rsidR="004B0883" w:rsidRDefault="004B0883">
            <w:pPr>
              <w:widowControl w:val="0"/>
              <w:adjustRightInd w:val="0"/>
              <w:snapToGrid w:val="0"/>
              <w:jc w:val="center"/>
              <w:rPr>
                <w:rFonts w:hint="eastAsia"/>
                <w:color w:val="000000"/>
                <w:sz w:val="18"/>
                <w:szCs w:val="22"/>
              </w:rPr>
            </w:pPr>
            <w:r>
              <w:rPr>
                <w:rFonts w:hint="eastAsia"/>
                <w:color w:val="000000"/>
                <w:sz w:val="18"/>
                <w:szCs w:val="22"/>
              </w:rPr>
              <w:t>阀门类产品</w:t>
            </w:r>
          </w:p>
        </w:tc>
      </w:tr>
      <w:tr w:rsidR="004B0883" w14:paraId="34554638" w14:textId="77777777">
        <w:trPr>
          <w:trHeight w:val="397"/>
          <w:jc w:val="center"/>
        </w:trPr>
        <w:tc>
          <w:tcPr>
            <w:tcW w:w="2351" w:type="pct"/>
            <w:gridSpan w:val="2"/>
            <w:tcMar>
              <w:top w:w="0" w:type="dxa"/>
              <w:bottom w:w="0" w:type="dxa"/>
            </w:tcMar>
            <w:vAlign w:val="center"/>
          </w:tcPr>
          <w:p w14:paraId="2C6C5E08" w14:textId="77777777" w:rsidR="004B0883" w:rsidRDefault="004B0883">
            <w:pPr>
              <w:widowControl w:val="0"/>
              <w:adjustRightInd w:val="0"/>
              <w:snapToGrid w:val="0"/>
              <w:jc w:val="center"/>
              <w:rPr>
                <w:b/>
                <w:color w:val="000000"/>
                <w:sz w:val="18"/>
                <w:szCs w:val="18"/>
              </w:rPr>
            </w:pPr>
            <w:r>
              <w:rPr>
                <w:b/>
                <w:color w:val="000000"/>
                <w:sz w:val="18"/>
                <w:szCs w:val="18"/>
              </w:rPr>
              <w:t>合计</w:t>
            </w:r>
          </w:p>
        </w:tc>
        <w:tc>
          <w:tcPr>
            <w:tcW w:w="474" w:type="pct"/>
            <w:tcMar>
              <w:top w:w="0" w:type="dxa"/>
              <w:bottom w:w="0" w:type="dxa"/>
            </w:tcMar>
            <w:vAlign w:val="center"/>
          </w:tcPr>
          <w:p w14:paraId="546014B3" w14:textId="77777777" w:rsidR="004B0883" w:rsidRDefault="004B0883">
            <w:pPr>
              <w:widowControl w:val="0"/>
              <w:adjustRightInd w:val="0"/>
              <w:snapToGrid w:val="0"/>
              <w:jc w:val="right"/>
              <w:rPr>
                <w:b/>
                <w:color w:val="000000"/>
                <w:sz w:val="18"/>
                <w:szCs w:val="18"/>
              </w:rPr>
            </w:pPr>
            <w:r>
              <w:rPr>
                <w:b/>
                <w:bCs/>
                <w:color w:val="000000"/>
                <w:sz w:val="18"/>
              </w:rPr>
              <w:t>7,307.03</w:t>
            </w:r>
          </w:p>
        </w:tc>
        <w:tc>
          <w:tcPr>
            <w:tcW w:w="561" w:type="pct"/>
            <w:tcMar>
              <w:top w:w="0" w:type="dxa"/>
              <w:bottom w:w="0" w:type="dxa"/>
            </w:tcMar>
            <w:vAlign w:val="center"/>
          </w:tcPr>
          <w:p w14:paraId="0506EEEC" w14:textId="77777777" w:rsidR="004B0883" w:rsidRDefault="004B0883">
            <w:pPr>
              <w:widowControl w:val="0"/>
              <w:adjustRightInd w:val="0"/>
              <w:snapToGrid w:val="0"/>
              <w:jc w:val="right"/>
              <w:rPr>
                <w:b/>
                <w:color w:val="000000"/>
                <w:sz w:val="18"/>
                <w:szCs w:val="18"/>
              </w:rPr>
            </w:pPr>
            <w:r>
              <w:rPr>
                <w:b/>
                <w:bCs/>
                <w:color w:val="000000"/>
                <w:sz w:val="18"/>
              </w:rPr>
              <w:t>21.21%</w:t>
            </w:r>
          </w:p>
        </w:tc>
        <w:tc>
          <w:tcPr>
            <w:tcW w:w="518" w:type="pct"/>
            <w:vAlign w:val="center"/>
          </w:tcPr>
          <w:p w14:paraId="760889AE" w14:textId="77777777" w:rsidR="004B0883" w:rsidRDefault="004B0883">
            <w:pPr>
              <w:widowControl w:val="0"/>
              <w:adjustRightInd w:val="0"/>
              <w:snapToGrid w:val="0"/>
              <w:jc w:val="center"/>
              <w:rPr>
                <w:b/>
                <w:bCs/>
                <w:color w:val="000000"/>
                <w:sz w:val="18"/>
              </w:rPr>
            </w:pPr>
            <w:r>
              <w:rPr>
                <w:rFonts w:hint="eastAsia"/>
                <w:b/>
                <w:bCs/>
                <w:color w:val="000000"/>
                <w:sz w:val="18"/>
                <w:szCs w:val="22"/>
              </w:rPr>
              <w:t>-</w:t>
            </w:r>
          </w:p>
        </w:tc>
        <w:tc>
          <w:tcPr>
            <w:tcW w:w="548" w:type="pct"/>
            <w:vAlign w:val="center"/>
          </w:tcPr>
          <w:p w14:paraId="4096D006" w14:textId="77777777" w:rsidR="004B0883" w:rsidRDefault="004B0883">
            <w:pPr>
              <w:widowControl w:val="0"/>
              <w:adjustRightInd w:val="0"/>
              <w:snapToGrid w:val="0"/>
              <w:jc w:val="center"/>
              <w:rPr>
                <w:b/>
                <w:bCs/>
                <w:color w:val="000000"/>
                <w:sz w:val="18"/>
              </w:rPr>
            </w:pPr>
            <w:r>
              <w:rPr>
                <w:rFonts w:hint="eastAsia"/>
                <w:b/>
                <w:bCs/>
                <w:color w:val="000000"/>
                <w:sz w:val="18"/>
                <w:szCs w:val="22"/>
              </w:rPr>
              <w:t>-</w:t>
            </w:r>
          </w:p>
        </w:tc>
        <w:tc>
          <w:tcPr>
            <w:tcW w:w="548" w:type="pct"/>
            <w:vAlign w:val="center"/>
          </w:tcPr>
          <w:p w14:paraId="74B73ABC" w14:textId="77777777" w:rsidR="004B0883" w:rsidRDefault="004B0883">
            <w:pPr>
              <w:widowControl w:val="0"/>
              <w:adjustRightInd w:val="0"/>
              <w:snapToGrid w:val="0"/>
              <w:jc w:val="center"/>
              <w:rPr>
                <w:rFonts w:hint="eastAsia"/>
                <w:b/>
                <w:bCs/>
                <w:color w:val="000000"/>
                <w:sz w:val="18"/>
                <w:szCs w:val="22"/>
              </w:rPr>
            </w:pPr>
            <w:r>
              <w:rPr>
                <w:rFonts w:hint="eastAsia"/>
                <w:b/>
                <w:bCs/>
                <w:color w:val="000000"/>
                <w:sz w:val="18"/>
                <w:szCs w:val="22"/>
              </w:rPr>
              <w:t>-</w:t>
            </w:r>
          </w:p>
        </w:tc>
      </w:tr>
    </w:tbl>
    <w:bookmarkEnd w:id="258"/>
    <w:bookmarkEnd w:id="262"/>
    <w:p w14:paraId="46739900" w14:textId="77777777" w:rsidR="004B0883" w:rsidRDefault="004B0883">
      <w:pPr>
        <w:widowControl w:val="0"/>
        <w:ind w:firstLineChars="200" w:firstLine="420"/>
        <w:jc w:val="both"/>
        <w:rPr>
          <w:rFonts w:cs="Arial"/>
          <w:bCs/>
          <w:szCs w:val="22"/>
        </w:rPr>
      </w:pPr>
      <w:r>
        <w:rPr>
          <w:rFonts w:cs="Arial" w:hint="eastAsia"/>
          <w:bCs/>
          <w:szCs w:val="22"/>
        </w:rPr>
        <w:t>注：上表中受同一实际控制人控制的多个客户已合并计算销售金额。</w:t>
      </w:r>
    </w:p>
    <w:p w14:paraId="5BC179DA" w14:textId="77777777" w:rsidR="004B0883" w:rsidRDefault="004B0883">
      <w:pPr>
        <w:widowControl w:val="0"/>
        <w:spacing w:beforeLines="50" w:before="120" w:after="120" w:line="360" w:lineRule="auto"/>
        <w:ind w:firstLineChars="200" w:firstLine="480"/>
        <w:jc w:val="both"/>
        <w:rPr>
          <w:sz w:val="24"/>
          <w:szCs w:val="22"/>
          <w:lang w:val="zh-CN"/>
        </w:rPr>
      </w:pPr>
      <w:r>
        <w:rPr>
          <w:rFonts w:hint="eastAsia"/>
          <w:sz w:val="24"/>
          <w:szCs w:val="22"/>
          <w:lang w:val="zh-CN"/>
        </w:rPr>
        <w:t>报告期内，公司与主要客户的合作长期且稳定，</w:t>
      </w:r>
      <w:r>
        <w:rPr>
          <w:rFonts w:hint="eastAsia"/>
          <w:sz w:val="24"/>
          <w:szCs w:val="22"/>
        </w:rPr>
        <w:t>公司通过多年的技术和品牌积累，产品性能和品质</w:t>
      </w:r>
      <w:r>
        <w:rPr>
          <w:rFonts w:hint="eastAsia"/>
          <w:sz w:val="24"/>
          <w:szCs w:val="22"/>
          <w:lang w:val="zh-CN"/>
        </w:rPr>
        <w:t>得到了客户的广泛认可，报告期内公司前五大客户有所变动主要系客户根据其自身生产需求调整采购金额所致。</w:t>
      </w:r>
      <w:bookmarkStart w:id="263" w:name="_Hlk130643355"/>
      <w:r>
        <w:rPr>
          <w:sz w:val="24"/>
          <w:szCs w:val="22"/>
          <w:lang w:val="zh-CN"/>
        </w:rPr>
        <w:t>发行人报告期内不存在</w:t>
      </w:r>
      <w:r>
        <w:rPr>
          <w:rFonts w:hint="eastAsia"/>
          <w:sz w:val="24"/>
          <w:szCs w:val="22"/>
          <w:lang w:val="zh-CN"/>
        </w:rPr>
        <w:t>向前五大客户的销售占比超过</w:t>
      </w:r>
      <w:r>
        <w:rPr>
          <w:rFonts w:hint="eastAsia"/>
          <w:sz w:val="24"/>
          <w:szCs w:val="22"/>
          <w:lang w:val="zh-CN"/>
        </w:rPr>
        <w:t>5</w:t>
      </w:r>
      <w:r>
        <w:rPr>
          <w:sz w:val="24"/>
          <w:szCs w:val="22"/>
          <w:lang w:val="zh-CN"/>
        </w:rPr>
        <w:t>0</w:t>
      </w:r>
      <w:r>
        <w:rPr>
          <w:rFonts w:hint="eastAsia"/>
          <w:sz w:val="24"/>
          <w:szCs w:val="22"/>
          <w:lang w:val="zh-CN"/>
        </w:rPr>
        <w:t>%</w:t>
      </w:r>
      <w:r>
        <w:rPr>
          <w:rFonts w:hint="eastAsia"/>
          <w:sz w:val="24"/>
          <w:szCs w:val="22"/>
          <w:lang w:val="zh-CN"/>
        </w:rPr>
        <w:t>、向单个客户的销售占比超过</w:t>
      </w:r>
      <w:r>
        <w:rPr>
          <w:rFonts w:hint="eastAsia"/>
          <w:sz w:val="24"/>
          <w:szCs w:val="22"/>
          <w:lang w:val="zh-CN"/>
        </w:rPr>
        <w:t>3</w:t>
      </w:r>
      <w:r>
        <w:rPr>
          <w:sz w:val="24"/>
          <w:szCs w:val="22"/>
          <w:lang w:val="zh-CN"/>
        </w:rPr>
        <w:t>0</w:t>
      </w:r>
      <w:r>
        <w:rPr>
          <w:rFonts w:hint="eastAsia"/>
          <w:sz w:val="24"/>
          <w:szCs w:val="22"/>
          <w:lang w:val="zh-CN"/>
        </w:rPr>
        <w:t>%</w:t>
      </w:r>
      <w:r>
        <w:rPr>
          <w:sz w:val="24"/>
          <w:szCs w:val="22"/>
          <w:lang w:val="zh-CN"/>
        </w:rPr>
        <w:t>的情况。</w:t>
      </w:r>
      <w:bookmarkEnd w:id="263"/>
    </w:p>
    <w:p w14:paraId="286C8CC5" w14:textId="77777777" w:rsidR="004B0883" w:rsidRDefault="004B0883">
      <w:pPr>
        <w:widowControl w:val="0"/>
        <w:spacing w:beforeLines="50" w:before="120" w:after="120" w:line="360" w:lineRule="auto"/>
        <w:ind w:firstLineChars="200" w:firstLine="480"/>
        <w:jc w:val="both"/>
        <w:rPr>
          <w:rFonts w:hint="eastAsia"/>
          <w:sz w:val="24"/>
          <w:szCs w:val="22"/>
          <w:lang w:val="zh-CN"/>
        </w:rPr>
      </w:pPr>
      <w:r>
        <w:rPr>
          <w:rFonts w:hint="eastAsia"/>
          <w:sz w:val="24"/>
          <w:szCs w:val="22"/>
          <w:lang w:val="zh-CN"/>
        </w:rPr>
        <w:t>公司的董事、监事、高级管理人员以及其他核心人员不存在持有上述客户权益的情况。</w:t>
      </w:r>
    </w:p>
    <w:bookmarkEnd w:id="254"/>
    <w:bookmarkEnd w:id="255"/>
    <w:p w14:paraId="67611C9C" w14:textId="77777777" w:rsidR="004B0883" w:rsidRDefault="004B0883">
      <w:pPr>
        <w:keepNext/>
        <w:keepLines/>
        <w:widowControl w:val="0"/>
        <w:snapToGrid w:val="0"/>
        <w:spacing w:beforeLines="50" w:before="120" w:line="360" w:lineRule="auto"/>
        <w:jc w:val="both"/>
        <w:outlineLvl w:val="2"/>
        <w:rPr>
          <w:rFonts w:eastAsia="黑体"/>
          <w:b/>
          <w:bCs/>
          <w:sz w:val="24"/>
          <w:szCs w:val="28"/>
        </w:rPr>
      </w:pPr>
      <w:r>
        <w:rPr>
          <w:rFonts w:eastAsia="黑体" w:hint="eastAsia"/>
          <w:b/>
          <w:bCs/>
          <w:sz w:val="24"/>
          <w:szCs w:val="28"/>
        </w:rPr>
        <w:t>（五）公司报告期主要产品的原材料、能源及其供应情况</w:t>
      </w:r>
    </w:p>
    <w:p w14:paraId="13936B9C" w14:textId="77777777" w:rsidR="004B0883" w:rsidRDefault="004B0883">
      <w:pPr>
        <w:keepNext/>
        <w:keepLines/>
        <w:widowControl w:val="0"/>
        <w:spacing w:beforeLines="50" w:before="120" w:after="120" w:line="360" w:lineRule="auto"/>
        <w:ind w:firstLineChars="200" w:firstLine="482"/>
        <w:jc w:val="both"/>
        <w:outlineLvl w:val="3"/>
        <w:rPr>
          <w:b/>
          <w:bCs/>
          <w:sz w:val="24"/>
          <w:szCs w:val="28"/>
          <w:lang w:val="zh-CN"/>
        </w:rPr>
      </w:pPr>
      <w:r>
        <w:rPr>
          <w:b/>
          <w:bCs/>
          <w:sz w:val="24"/>
          <w:szCs w:val="28"/>
          <w:lang w:val="zh-CN"/>
        </w:rPr>
        <w:t>1</w:t>
      </w:r>
      <w:r>
        <w:rPr>
          <w:b/>
          <w:bCs/>
          <w:sz w:val="24"/>
          <w:szCs w:val="28"/>
          <w:lang w:val="zh-CN"/>
        </w:rPr>
        <w:t>、公司报告期主要产品的</w:t>
      </w:r>
      <w:r>
        <w:rPr>
          <w:rFonts w:hint="eastAsia"/>
          <w:b/>
          <w:bCs/>
          <w:sz w:val="24"/>
          <w:szCs w:val="28"/>
          <w:lang w:val="zh-CN"/>
        </w:rPr>
        <w:t>原材料和能源采购</w:t>
      </w:r>
      <w:r>
        <w:rPr>
          <w:b/>
          <w:bCs/>
          <w:sz w:val="24"/>
          <w:szCs w:val="28"/>
          <w:lang w:val="zh-CN"/>
        </w:rPr>
        <w:t>情况</w:t>
      </w:r>
    </w:p>
    <w:p w14:paraId="1993F878" w14:textId="77777777" w:rsidR="004B0883" w:rsidRDefault="004B0883">
      <w:pPr>
        <w:widowControl w:val="0"/>
        <w:spacing w:beforeLines="50" w:before="120" w:after="120" w:line="360" w:lineRule="auto"/>
        <w:ind w:firstLineChars="200" w:firstLine="480"/>
        <w:jc w:val="both"/>
        <w:rPr>
          <w:sz w:val="24"/>
          <w:szCs w:val="22"/>
        </w:rPr>
      </w:pPr>
      <w:bookmarkStart w:id="264" w:name="_Hlk123951119"/>
      <w:r>
        <w:rPr>
          <w:rFonts w:hint="eastAsia"/>
          <w:sz w:val="24"/>
          <w:szCs w:val="22"/>
        </w:rPr>
        <w:t>报告期内，公司原材料主要由铸件、加工件、生铁、废钢、阀杆和驱动头等构成，公司与原材料供应商建立了稳定的合作伙伴关系，保证了公司原材料的稳定供应。具体原材料构成情况如下：</w:t>
      </w:r>
    </w:p>
    <w:tbl>
      <w:tblPr>
        <w:tblW w:w="5000" w:type="pct"/>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69"/>
        <w:gridCol w:w="1474"/>
        <w:gridCol w:w="1512"/>
        <w:gridCol w:w="1391"/>
        <w:gridCol w:w="1560"/>
        <w:gridCol w:w="1774"/>
      </w:tblGrid>
      <w:tr w:rsidR="004B0883" w14:paraId="6262E1F2" w14:textId="77777777">
        <w:trPr>
          <w:trHeight w:val="397"/>
        </w:trPr>
        <w:tc>
          <w:tcPr>
            <w:tcW w:w="8526" w:type="dxa"/>
            <w:gridSpan w:val="6"/>
            <w:shd w:val="clear" w:color="auto" w:fill="D9D9D9"/>
            <w:vAlign w:val="center"/>
          </w:tcPr>
          <w:p w14:paraId="5CAFE14B" w14:textId="77777777" w:rsidR="004B0883" w:rsidRDefault="004B0883">
            <w:pPr>
              <w:keepNext/>
              <w:widowControl w:val="0"/>
              <w:jc w:val="center"/>
              <w:rPr>
                <w:rFonts w:cs="华文中宋"/>
                <w:b/>
                <w:bCs/>
              </w:rPr>
            </w:pPr>
            <w:bookmarkStart w:id="265" w:name="_Hlk137586867"/>
            <w:r>
              <w:rPr>
                <w:rFonts w:cs="华文中宋" w:hint="eastAsia"/>
                <w:b/>
                <w:bCs/>
                <w:color w:val="000000"/>
              </w:rPr>
              <w:t>2023</w:t>
            </w:r>
            <w:r>
              <w:rPr>
                <w:rFonts w:cs="华文中宋" w:hint="eastAsia"/>
                <w:b/>
                <w:bCs/>
                <w:color w:val="000000"/>
              </w:rPr>
              <w:t>年</w:t>
            </w:r>
            <w:r>
              <w:rPr>
                <w:rFonts w:cs="华文中宋" w:hint="eastAsia"/>
                <w:b/>
                <w:bCs/>
                <w:color w:val="000000"/>
              </w:rPr>
              <w:t>1</w:t>
            </w:r>
            <w:r>
              <w:rPr>
                <w:rFonts w:cs="华文中宋"/>
                <w:b/>
                <w:bCs/>
                <w:color w:val="000000"/>
              </w:rPr>
              <w:t>-9</w:t>
            </w:r>
            <w:r>
              <w:rPr>
                <w:rFonts w:cs="华文中宋" w:hint="eastAsia"/>
                <w:b/>
                <w:bCs/>
                <w:color w:val="000000"/>
              </w:rPr>
              <w:t>月</w:t>
            </w:r>
          </w:p>
        </w:tc>
      </w:tr>
      <w:tr w:rsidR="004B0883" w14:paraId="3AD253FC" w14:textId="77777777">
        <w:trPr>
          <w:trHeight w:val="397"/>
        </w:trPr>
        <w:tc>
          <w:tcPr>
            <w:tcW w:w="582" w:type="dxa"/>
            <w:shd w:val="clear" w:color="auto" w:fill="D9D9D9"/>
            <w:vAlign w:val="center"/>
          </w:tcPr>
          <w:p w14:paraId="0682E9BE" w14:textId="77777777" w:rsidR="004B0883" w:rsidRDefault="004B0883">
            <w:pPr>
              <w:jc w:val="center"/>
              <w:rPr>
                <w:rFonts w:cs="华文中宋"/>
                <w:b/>
                <w:bCs/>
              </w:rPr>
            </w:pPr>
            <w:r>
              <w:rPr>
                <w:rFonts w:cs="华文中宋" w:hint="eastAsia"/>
                <w:b/>
                <w:bCs/>
                <w:color w:val="000000"/>
              </w:rPr>
              <w:t>序号</w:t>
            </w:r>
          </w:p>
        </w:tc>
        <w:tc>
          <w:tcPr>
            <w:tcW w:w="1529" w:type="dxa"/>
            <w:shd w:val="clear" w:color="auto" w:fill="D9D9D9"/>
            <w:vAlign w:val="center"/>
          </w:tcPr>
          <w:p w14:paraId="674DD5EB" w14:textId="77777777" w:rsidR="004B0883" w:rsidRDefault="004B0883">
            <w:pPr>
              <w:jc w:val="center"/>
              <w:rPr>
                <w:rFonts w:cs="华文中宋"/>
                <w:b/>
                <w:bCs/>
              </w:rPr>
            </w:pPr>
            <w:r>
              <w:rPr>
                <w:rFonts w:cs="华文中宋" w:hint="eastAsia"/>
                <w:b/>
                <w:bCs/>
                <w:color w:val="000000"/>
              </w:rPr>
              <w:t>原材料名称</w:t>
            </w:r>
          </w:p>
        </w:tc>
        <w:tc>
          <w:tcPr>
            <w:tcW w:w="1529" w:type="dxa"/>
            <w:shd w:val="clear" w:color="auto" w:fill="D9D9D9"/>
            <w:vAlign w:val="center"/>
          </w:tcPr>
          <w:p w14:paraId="3014858B" w14:textId="77777777" w:rsidR="004B0883" w:rsidRDefault="004B0883">
            <w:pPr>
              <w:jc w:val="center"/>
              <w:rPr>
                <w:rFonts w:cs="华文中宋"/>
                <w:b/>
                <w:bCs/>
              </w:rPr>
            </w:pPr>
            <w:r>
              <w:rPr>
                <w:rFonts w:cs="华文中宋" w:hint="eastAsia"/>
                <w:b/>
                <w:bCs/>
                <w:color w:val="000000"/>
              </w:rPr>
              <w:t>采购数量</w:t>
            </w:r>
          </w:p>
        </w:tc>
        <w:tc>
          <w:tcPr>
            <w:tcW w:w="1430" w:type="dxa"/>
            <w:shd w:val="clear" w:color="auto" w:fill="D9D9D9"/>
            <w:vAlign w:val="center"/>
          </w:tcPr>
          <w:p w14:paraId="1E53F1ED" w14:textId="77777777" w:rsidR="004B0883" w:rsidRDefault="004B0883">
            <w:pPr>
              <w:jc w:val="center"/>
              <w:rPr>
                <w:rFonts w:cs="华文中宋" w:hint="eastAsia"/>
                <w:b/>
                <w:bCs/>
              </w:rPr>
            </w:pPr>
            <w:r>
              <w:rPr>
                <w:rFonts w:cs="华文中宋" w:hint="eastAsia"/>
                <w:b/>
                <w:bCs/>
                <w:color w:val="000000"/>
              </w:rPr>
              <w:t>平均采购单价（元）</w:t>
            </w:r>
          </w:p>
        </w:tc>
        <w:tc>
          <w:tcPr>
            <w:tcW w:w="1605" w:type="dxa"/>
            <w:shd w:val="clear" w:color="auto" w:fill="D9D9D9"/>
            <w:vAlign w:val="center"/>
          </w:tcPr>
          <w:p w14:paraId="1574CF11" w14:textId="77777777" w:rsidR="004B0883" w:rsidRDefault="004B0883">
            <w:pPr>
              <w:jc w:val="center"/>
              <w:rPr>
                <w:rFonts w:cs="华文中宋"/>
                <w:b/>
                <w:bCs/>
              </w:rPr>
            </w:pPr>
            <w:r>
              <w:rPr>
                <w:rFonts w:cs="华文中宋" w:hint="eastAsia"/>
                <w:b/>
                <w:bCs/>
                <w:color w:val="000000"/>
              </w:rPr>
              <w:t>采购总金额（万元）</w:t>
            </w:r>
          </w:p>
        </w:tc>
        <w:tc>
          <w:tcPr>
            <w:tcW w:w="1851" w:type="dxa"/>
            <w:shd w:val="clear" w:color="auto" w:fill="D9D9D9"/>
            <w:vAlign w:val="center"/>
          </w:tcPr>
          <w:p w14:paraId="3D387AF8" w14:textId="77777777" w:rsidR="004B0883" w:rsidRDefault="004B0883">
            <w:pPr>
              <w:jc w:val="center"/>
              <w:rPr>
                <w:rFonts w:cs="华文中宋"/>
                <w:b/>
                <w:bCs/>
              </w:rPr>
            </w:pPr>
            <w:r>
              <w:rPr>
                <w:rFonts w:cs="华文中宋" w:hint="eastAsia"/>
                <w:b/>
                <w:bCs/>
                <w:color w:val="000000"/>
              </w:rPr>
              <w:t>占当期采购总额比例</w:t>
            </w:r>
          </w:p>
        </w:tc>
      </w:tr>
      <w:tr w:rsidR="004B0883" w14:paraId="3656373A" w14:textId="77777777">
        <w:trPr>
          <w:trHeight w:val="397"/>
        </w:trPr>
        <w:tc>
          <w:tcPr>
            <w:tcW w:w="582" w:type="dxa"/>
            <w:vAlign w:val="center"/>
          </w:tcPr>
          <w:p w14:paraId="31ECC6DC" w14:textId="77777777" w:rsidR="004B0883" w:rsidRDefault="004B0883">
            <w:pPr>
              <w:jc w:val="center"/>
              <w:rPr>
                <w:rFonts w:cs="华文中宋"/>
              </w:rPr>
            </w:pPr>
            <w:r>
              <w:rPr>
                <w:rFonts w:cs="华文中宋" w:hint="eastAsia"/>
                <w:color w:val="000000"/>
              </w:rPr>
              <w:t>1</w:t>
            </w:r>
          </w:p>
        </w:tc>
        <w:tc>
          <w:tcPr>
            <w:tcW w:w="1529" w:type="dxa"/>
            <w:vAlign w:val="center"/>
          </w:tcPr>
          <w:p w14:paraId="6395B75E" w14:textId="77777777" w:rsidR="004B0883" w:rsidRDefault="004B0883">
            <w:pPr>
              <w:rPr>
                <w:rFonts w:cs="华文中宋"/>
              </w:rPr>
            </w:pPr>
            <w:r>
              <w:rPr>
                <w:rFonts w:cs="华文中宋" w:hint="eastAsia"/>
                <w:color w:val="000000"/>
              </w:rPr>
              <w:t>铸件（吨）</w:t>
            </w:r>
          </w:p>
        </w:tc>
        <w:tc>
          <w:tcPr>
            <w:tcW w:w="1529" w:type="dxa"/>
            <w:vAlign w:val="center"/>
          </w:tcPr>
          <w:p w14:paraId="01A87C00" w14:textId="77777777" w:rsidR="004B0883" w:rsidRDefault="004B0883">
            <w:pPr>
              <w:jc w:val="right"/>
              <w:rPr>
                <w:rFonts w:cs="华文中宋"/>
                <w:color w:val="000000"/>
              </w:rPr>
            </w:pPr>
            <w:r>
              <w:rPr>
                <w:rFonts w:cs="华文中宋" w:hint="eastAsia"/>
                <w:color w:val="000000"/>
              </w:rPr>
              <w:t>3,491.23</w:t>
            </w:r>
          </w:p>
        </w:tc>
        <w:tc>
          <w:tcPr>
            <w:tcW w:w="1430" w:type="dxa"/>
            <w:vAlign w:val="center"/>
          </w:tcPr>
          <w:p w14:paraId="37A9C03A" w14:textId="77777777" w:rsidR="004B0883" w:rsidRDefault="004B0883">
            <w:pPr>
              <w:jc w:val="right"/>
              <w:rPr>
                <w:rFonts w:cs="华文中宋"/>
                <w:color w:val="000000"/>
              </w:rPr>
            </w:pPr>
            <w:r>
              <w:rPr>
                <w:rFonts w:cs="华文中宋" w:hint="eastAsia"/>
                <w:color w:val="000000"/>
              </w:rPr>
              <w:t>8,869.28</w:t>
            </w:r>
          </w:p>
        </w:tc>
        <w:tc>
          <w:tcPr>
            <w:tcW w:w="1605" w:type="dxa"/>
            <w:vAlign w:val="center"/>
          </w:tcPr>
          <w:p w14:paraId="06403BB4" w14:textId="77777777" w:rsidR="004B0883" w:rsidRDefault="004B0883">
            <w:pPr>
              <w:jc w:val="right"/>
              <w:rPr>
                <w:rFonts w:cs="华文中宋"/>
                <w:color w:val="000000"/>
              </w:rPr>
            </w:pPr>
            <w:r>
              <w:rPr>
                <w:rFonts w:cs="华文中宋" w:hint="eastAsia"/>
                <w:color w:val="000000"/>
              </w:rPr>
              <w:t>3,096.47</w:t>
            </w:r>
          </w:p>
        </w:tc>
        <w:tc>
          <w:tcPr>
            <w:tcW w:w="1851" w:type="dxa"/>
            <w:vAlign w:val="center"/>
          </w:tcPr>
          <w:p w14:paraId="693F2408" w14:textId="77777777" w:rsidR="004B0883" w:rsidRDefault="004B0883">
            <w:pPr>
              <w:jc w:val="right"/>
              <w:rPr>
                <w:rFonts w:cs="华文中宋"/>
                <w:color w:val="000000"/>
              </w:rPr>
            </w:pPr>
            <w:r>
              <w:rPr>
                <w:rFonts w:hint="eastAsia"/>
                <w:sz w:val="20"/>
                <w:szCs w:val="20"/>
              </w:rPr>
              <w:t>17.76%</w:t>
            </w:r>
          </w:p>
        </w:tc>
      </w:tr>
      <w:tr w:rsidR="004B0883" w14:paraId="3E40DCE5" w14:textId="77777777">
        <w:trPr>
          <w:trHeight w:val="397"/>
        </w:trPr>
        <w:tc>
          <w:tcPr>
            <w:tcW w:w="582" w:type="dxa"/>
            <w:vAlign w:val="center"/>
          </w:tcPr>
          <w:p w14:paraId="24916A43" w14:textId="77777777" w:rsidR="004B0883" w:rsidRDefault="004B0883">
            <w:pPr>
              <w:jc w:val="center"/>
              <w:rPr>
                <w:rFonts w:cs="华文中宋"/>
              </w:rPr>
            </w:pPr>
            <w:r>
              <w:rPr>
                <w:rFonts w:cs="华文中宋" w:hint="eastAsia"/>
                <w:color w:val="000000"/>
              </w:rPr>
              <w:t>2</w:t>
            </w:r>
          </w:p>
        </w:tc>
        <w:tc>
          <w:tcPr>
            <w:tcW w:w="1529" w:type="dxa"/>
            <w:vAlign w:val="center"/>
          </w:tcPr>
          <w:p w14:paraId="79A65D09" w14:textId="77777777" w:rsidR="004B0883" w:rsidRDefault="004B0883">
            <w:pPr>
              <w:rPr>
                <w:rFonts w:cs="华文中宋"/>
              </w:rPr>
            </w:pPr>
            <w:r>
              <w:rPr>
                <w:rFonts w:cs="华文中宋" w:hint="eastAsia"/>
                <w:color w:val="000000"/>
              </w:rPr>
              <w:t>加工件（件）</w:t>
            </w:r>
          </w:p>
        </w:tc>
        <w:tc>
          <w:tcPr>
            <w:tcW w:w="1529" w:type="dxa"/>
            <w:vAlign w:val="center"/>
          </w:tcPr>
          <w:p w14:paraId="7E4C1428" w14:textId="77777777" w:rsidR="004B0883" w:rsidRDefault="004B0883">
            <w:pPr>
              <w:jc w:val="right"/>
              <w:rPr>
                <w:rFonts w:cs="华文中宋"/>
                <w:color w:val="000000"/>
              </w:rPr>
            </w:pPr>
            <w:r>
              <w:rPr>
                <w:rFonts w:cs="华文中宋" w:hint="eastAsia"/>
                <w:color w:val="000000"/>
              </w:rPr>
              <w:t>1,313,231.</w:t>
            </w:r>
            <w:r>
              <w:rPr>
                <w:rFonts w:cs="华文中宋"/>
                <w:color w:val="000000"/>
              </w:rPr>
              <w:t>0</w:t>
            </w:r>
            <w:r>
              <w:rPr>
                <w:rFonts w:cs="华文中宋" w:hint="eastAsia"/>
                <w:color w:val="000000"/>
              </w:rPr>
              <w:t>0</w:t>
            </w:r>
          </w:p>
        </w:tc>
        <w:tc>
          <w:tcPr>
            <w:tcW w:w="1430" w:type="dxa"/>
            <w:vAlign w:val="center"/>
          </w:tcPr>
          <w:p w14:paraId="47AE4654" w14:textId="77777777" w:rsidR="004B0883" w:rsidRDefault="004B0883">
            <w:pPr>
              <w:jc w:val="right"/>
              <w:rPr>
                <w:rFonts w:cs="华文中宋"/>
                <w:color w:val="000000"/>
              </w:rPr>
            </w:pPr>
            <w:r>
              <w:rPr>
                <w:rFonts w:cs="华文中宋" w:hint="eastAsia"/>
                <w:color w:val="000000"/>
              </w:rPr>
              <w:t>20.00</w:t>
            </w:r>
          </w:p>
        </w:tc>
        <w:tc>
          <w:tcPr>
            <w:tcW w:w="1605" w:type="dxa"/>
            <w:vAlign w:val="center"/>
          </w:tcPr>
          <w:p w14:paraId="03CCF1D7" w14:textId="77777777" w:rsidR="004B0883" w:rsidRDefault="004B0883">
            <w:pPr>
              <w:jc w:val="right"/>
              <w:rPr>
                <w:rFonts w:cs="华文中宋"/>
                <w:color w:val="000000"/>
              </w:rPr>
            </w:pPr>
            <w:r>
              <w:rPr>
                <w:rFonts w:cs="华文中宋" w:hint="eastAsia"/>
                <w:color w:val="000000"/>
              </w:rPr>
              <w:t>2,626.03</w:t>
            </w:r>
          </w:p>
        </w:tc>
        <w:tc>
          <w:tcPr>
            <w:tcW w:w="1851" w:type="dxa"/>
            <w:vAlign w:val="center"/>
          </w:tcPr>
          <w:p w14:paraId="6866791B" w14:textId="77777777" w:rsidR="004B0883" w:rsidRDefault="004B0883">
            <w:pPr>
              <w:jc w:val="right"/>
              <w:rPr>
                <w:rFonts w:cs="华文中宋"/>
                <w:color w:val="000000"/>
              </w:rPr>
            </w:pPr>
            <w:r>
              <w:rPr>
                <w:rFonts w:hint="eastAsia"/>
                <w:sz w:val="20"/>
                <w:szCs w:val="20"/>
              </w:rPr>
              <w:t>15.06%</w:t>
            </w:r>
          </w:p>
        </w:tc>
      </w:tr>
      <w:tr w:rsidR="004B0883" w14:paraId="2D919AB8" w14:textId="77777777">
        <w:trPr>
          <w:trHeight w:val="397"/>
        </w:trPr>
        <w:tc>
          <w:tcPr>
            <w:tcW w:w="582" w:type="dxa"/>
            <w:vAlign w:val="center"/>
          </w:tcPr>
          <w:p w14:paraId="59672018" w14:textId="77777777" w:rsidR="004B0883" w:rsidRDefault="004B0883">
            <w:pPr>
              <w:jc w:val="center"/>
              <w:rPr>
                <w:rFonts w:cs="华文中宋"/>
              </w:rPr>
            </w:pPr>
            <w:r>
              <w:rPr>
                <w:rFonts w:cs="华文中宋" w:hint="eastAsia"/>
                <w:color w:val="000000"/>
              </w:rPr>
              <w:t>3</w:t>
            </w:r>
          </w:p>
        </w:tc>
        <w:tc>
          <w:tcPr>
            <w:tcW w:w="1529" w:type="dxa"/>
            <w:vAlign w:val="center"/>
          </w:tcPr>
          <w:p w14:paraId="64472FEE" w14:textId="77777777" w:rsidR="004B0883" w:rsidRDefault="004B0883">
            <w:pPr>
              <w:rPr>
                <w:rFonts w:cs="华文中宋"/>
              </w:rPr>
            </w:pPr>
            <w:r>
              <w:rPr>
                <w:rFonts w:cs="华文中宋" w:hint="eastAsia"/>
                <w:color w:val="000000"/>
              </w:rPr>
              <w:t>生铁（吨）</w:t>
            </w:r>
          </w:p>
        </w:tc>
        <w:tc>
          <w:tcPr>
            <w:tcW w:w="1529" w:type="dxa"/>
            <w:vAlign w:val="center"/>
          </w:tcPr>
          <w:p w14:paraId="1A0696EE" w14:textId="77777777" w:rsidR="004B0883" w:rsidRDefault="004B0883">
            <w:pPr>
              <w:jc w:val="right"/>
              <w:rPr>
                <w:rFonts w:cs="华文中宋"/>
                <w:color w:val="000000"/>
              </w:rPr>
            </w:pPr>
            <w:r>
              <w:rPr>
                <w:rFonts w:cs="华文中宋" w:hint="eastAsia"/>
                <w:color w:val="000000"/>
              </w:rPr>
              <w:t>2,805.14</w:t>
            </w:r>
          </w:p>
        </w:tc>
        <w:tc>
          <w:tcPr>
            <w:tcW w:w="1430" w:type="dxa"/>
            <w:vAlign w:val="center"/>
          </w:tcPr>
          <w:p w14:paraId="09D8D74B" w14:textId="77777777" w:rsidR="004B0883" w:rsidRDefault="004B0883">
            <w:pPr>
              <w:jc w:val="right"/>
              <w:rPr>
                <w:rFonts w:cs="华文中宋"/>
                <w:color w:val="000000"/>
              </w:rPr>
            </w:pPr>
            <w:r>
              <w:rPr>
                <w:rFonts w:cs="华文中宋" w:hint="eastAsia"/>
                <w:color w:val="000000"/>
              </w:rPr>
              <w:t>3,105.12</w:t>
            </w:r>
          </w:p>
        </w:tc>
        <w:tc>
          <w:tcPr>
            <w:tcW w:w="1605" w:type="dxa"/>
            <w:vAlign w:val="center"/>
          </w:tcPr>
          <w:p w14:paraId="5EC81FE0" w14:textId="77777777" w:rsidR="004B0883" w:rsidRDefault="004B0883">
            <w:pPr>
              <w:jc w:val="right"/>
              <w:rPr>
                <w:rFonts w:cs="华文中宋"/>
                <w:color w:val="000000"/>
              </w:rPr>
            </w:pPr>
            <w:r>
              <w:rPr>
                <w:rFonts w:cs="华文中宋" w:hint="eastAsia"/>
                <w:color w:val="000000"/>
              </w:rPr>
              <w:t>871.03</w:t>
            </w:r>
          </w:p>
        </w:tc>
        <w:tc>
          <w:tcPr>
            <w:tcW w:w="1851" w:type="dxa"/>
            <w:vAlign w:val="center"/>
          </w:tcPr>
          <w:p w14:paraId="3E7BC717" w14:textId="77777777" w:rsidR="004B0883" w:rsidRDefault="004B0883">
            <w:pPr>
              <w:jc w:val="right"/>
              <w:rPr>
                <w:rFonts w:cs="华文中宋"/>
                <w:color w:val="000000"/>
              </w:rPr>
            </w:pPr>
            <w:r>
              <w:rPr>
                <w:rFonts w:hint="eastAsia"/>
                <w:sz w:val="20"/>
                <w:szCs w:val="20"/>
              </w:rPr>
              <w:t>5.00%</w:t>
            </w:r>
          </w:p>
        </w:tc>
      </w:tr>
      <w:tr w:rsidR="004B0883" w14:paraId="676AC1E4" w14:textId="77777777">
        <w:trPr>
          <w:trHeight w:val="397"/>
        </w:trPr>
        <w:tc>
          <w:tcPr>
            <w:tcW w:w="582" w:type="dxa"/>
            <w:vAlign w:val="center"/>
          </w:tcPr>
          <w:p w14:paraId="45E944C2" w14:textId="77777777" w:rsidR="004B0883" w:rsidRDefault="004B0883">
            <w:pPr>
              <w:jc w:val="center"/>
              <w:rPr>
                <w:rFonts w:cs="华文中宋"/>
              </w:rPr>
            </w:pPr>
            <w:r>
              <w:rPr>
                <w:rFonts w:cs="华文中宋" w:hint="eastAsia"/>
                <w:color w:val="000000"/>
              </w:rPr>
              <w:t>4</w:t>
            </w:r>
          </w:p>
        </w:tc>
        <w:tc>
          <w:tcPr>
            <w:tcW w:w="1529" w:type="dxa"/>
            <w:vAlign w:val="center"/>
          </w:tcPr>
          <w:p w14:paraId="20FF9DFF" w14:textId="77777777" w:rsidR="004B0883" w:rsidRDefault="004B0883">
            <w:pPr>
              <w:rPr>
                <w:rFonts w:cs="华文中宋"/>
              </w:rPr>
            </w:pPr>
            <w:r>
              <w:rPr>
                <w:rFonts w:cs="华文中宋" w:hint="eastAsia"/>
                <w:color w:val="000000"/>
              </w:rPr>
              <w:t>废钢（吨）</w:t>
            </w:r>
          </w:p>
        </w:tc>
        <w:tc>
          <w:tcPr>
            <w:tcW w:w="1529" w:type="dxa"/>
            <w:vAlign w:val="center"/>
          </w:tcPr>
          <w:p w14:paraId="095CF91C" w14:textId="77777777" w:rsidR="004B0883" w:rsidRDefault="004B0883">
            <w:pPr>
              <w:jc w:val="right"/>
              <w:rPr>
                <w:rFonts w:cs="华文中宋"/>
                <w:color w:val="000000"/>
              </w:rPr>
            </w:pPr>
            <w:r>
              <w:rPr>
                <w:rFonts w:cs="华文中宋" w:hint="eastAsia"/>
                <w:color w:val="000000"/>
              </w:rPr>
              <w:t>3,852.46</w:t>
            </w:r>
          </w:p>
        </w:tc>
        <w:tc>
          <w:tcPr>
            <w:tcW w:w="1430" w:type="dxa"/>
            <w:vAlign w:val="center"/>
          </w:tcPr>
          <w:p w14:paraId="4ECD66DC" w14:textId="77777777" w:rsidR="004B0883" w:rsidRDefault="004B0883">
            <w:pPr>
              <w:jc w:val="right"/>
              <w:rPr>
                <w:rFonts w:cs="华文中宋"/>
                <w:color w:val="000000"/>
              </w:rPr>
            </w:pPr>
            <w:r>
              <w:rPr>
                <w:rFonts w:cs="华文中宋" w:hint="eastAsia"/>
                <w:color w:val="000000"/>
              </w:rPr>
              <w:t>2,909.05</w:t>
            </w:r>
          </w:p>
        </w:tc>
        <w:tc>
          <w:tcPr>
            <w:tcW w:w="1605" w:type="dxa"/>
            <w:vAlign w:val="center"/>
          </w:tcPr>
          <w:p w14:paraId="38EFEEE6" w14:textId="77777777" w:rsidR="004B0883" w:rsidRDefault="004B0883">
            <w:pPr>
              <w:jc w:val="right"/>
              <w:rPr>
                <w:rFonts w:cs="华文中宋"/>
                <w:color w:val="000000"/>
              </w:rPr>
            </w:pPr>
            <w:r>
              <w:rPr>
                <w:rFonts w:cs="华文中宋" w:hint="eastAsia"/>
                <w:color w:val="000000"/>
              </w:rPr>
              <w:t>1,120.70</w:t>
            </w:r>
          </w:p>
        </w:tc>
        <w:tc>
          <w:tcPr>
            <w:tcW w:w="1851" w:type="dxa"/>
            <w:vAlign w:val="center"/>
          </w:tcPr>
          <w:p w14:paraId="67ACB363" w14:textId="77777777" w:rsidR="004B0883" w:rsidRDefault="004B0883">
            <w:pPr>
              <w:jc w:val="right"/>
              <w:rPr>
                <w:rFonts w:cs="华文中宋"/>
                <w:color w:val="000000"/>
              </w:rPr>
            </w:pPr>
            <w:r>
              <w:rPr>
                <w:rFonts w:hint="eastAsia"/>
                <w:sz w:val="20"/>
                <w:szCs w:val="20"/>
              </w:rPr>
              <w:t>6.43%</w:t>
            </w:r>
          </w:p>
        </w:tc>
      </w:tr>
      <w:tr w:rsidR="004B0883" w14:paraId="7C7120D0" w14:textId="77777777">
        <w:trPr>
          <w:trHeight w:val="397"/>
        </w:trPr>
        <w:tc>
          <w:tcPr>
            <w:tcW w:w="582" w:type="dxa"/>
            <w:vAlign w:val="center"/>
          </w:tcPr>
          <w:p w14:paraId="059D3B5F" w14:textId="77777777" w:rsidR="004B0883" w:rsidRDefault="004B0883">
            <w:pPr>
              <w:jc w:val="center"/>
              <w:rPr>
                <w:rFonts w:cs="华文中宋"/>
              </w:rPr>
            </w:pPr>
            <w:r>
              <w:rPr>
                <w:rFonts w:cs="华文中宋" w:hint="eastAsia"/>
                <w:color w:val="000000"/>
              </w:rPr>
              <w:t>5</w:t>
            </w:r>
          </w:p>
        </w:tc>
        <w:tc>
          <w:tcPr>
            <w:tcW w:w="1529" w:type="dxa"/>
            <w:vAlign w:val="center"/>
          </w:tcPr>
          <w:p w14:paraId="7BFB626E" w14:textId="77777777" w:rsidR="004B0883" w:rsidRDefault="004B0883">
            <w:pPr>
              <w:rPr>
                <w:rFonts w:cs="华文中宋"/>
              </w:rPr>
            </w:pPr>
            <w:r>
              <w:rPr>
                <w:rFonts w:cs="华文中宋" w:hint="eastAsia"/>
                <w:color w:val="000000"/>
              </w:rPr>
              <w:t>阀杆（件）</w:t>
            </w:r>
          </w:p>
        </w:tc>
        <w:tc>
          <w:tcPr>
            <w:tcW w:w="1529" w:type="dxa"/>
            <w:vAlign w:val="center"/>
          </w:tcPr>
          <w:p w14:paraId="75FC1BA1" w14:textId="77777777" w:rsidR="004B0883" w:rsidRDefault="004B0883">
            <w:pPr>
              <w:jc w:val="right"/>
              <w:rPr>
                <w:rFonts w:cs="华文中宋"/>
                <w:color w:val="000000"/>
              </w:rPr>
            </w:pPr>
            <w:r>
              <w:rPr>
                <w:rFonts w:cs="华文中宋" w:hint="eastAsia"/>
                <w:color w:val="000000"/>
              </w:rPr>
              <w:t>277,088.00</w:t>
            </w:r>
          </w:p>
        </w:tc>
        <w:tc>
          <w:tcPr>
            <w:tcW w:w="1430" w:type="dxa"/>
            <w:vAlign w:val="center"/>
          </w:tcPr>
          <w:p w14:paraId="63BCF17D" w14:textId="77777777" w:rsidR="004B0883" w:rsidRDefault="004B0883">
            <w:pPr>
              <w:jc w:val="right"/>
              <w:rPr>
                <w:rFonts w:cs="华文中宋"/>
                <w:color w:val="000000"/>
              </w:rPr>
            </w:pPr>
            <w:r>
              <w:rPr>
                <w:rFonts w:cs="华文中宋" w:hint="eastAsia"/>
                <w:color w:val="000000"/>
              </w:rPr>
              <w:t>31.02</w:t>
            </w:r>
          </w:p>
        </w:tc>
        <w:tc>
          <w:tcPr>
            <w:tcW w:w="1605" w:type="dxa"/>
            <w:vAlign w:val="center"/>
          </w:tcPr>
          <w:p w14:paraId="628927F1" w14:textId="77777777" w:rsidR="004B0883" w:rsidRDefault="004B0883">
            <w:pPr>
              <w:jc w:val="right"/>
              <w:rPr>
                <w:rFonts w:cs="华文中宋"/>
                <w:color w:val="000000"/>
              </w:rPr>
            </w:pPr>
            <w:r>
              <w:rPr>
                <w:rFonts w:cs="华文中宋" w:hint="eastAsia"/>
                <w:color w:val="000000"/>
              </w:rPr>
              <w:t>859.46</w:t>
            </w:r>
          </w:p>
        </w:tc>
        <w:tc>
          <w:tcPr>
            <w:tcW w:w="1851" w:type="dxa"/>
            <w:vAlign w:val="center"/>
          </w:tcPr>
          <w:p w14:paraId="42CE3918" w14:textId="77777777" w:rsidR="004B0883" w:rsidRDefault="004B0883">
            <w:pPr>
              <w:jc w:val="right"/>
              <w:rPr>
                <w:rFonts w:cs="华文中宋"/>
                <w:color w:val="000000"/>
              </w:rPr>
            </w:pPr>
            <w:r>
              <w:rPr>
                <w:rFonts w:hint="eastAsia"/>
                <w:sz w:val="20"/>
                <w:szCs w:val="20"/>
              </w:rPr>
              <w:t>4.93%</w:t>
            </w:r>
          </w:p>
        </w:tc>
      </w:tr>
      <w:tr w:rsidR="004B0883" w14:paraId="456AC20F" w14:textId="77777777">
        <w:trPr>
          <w:trHeight w:val="397"/>
        </w:trPr>
        <w:tc>
          <w:tcPr>
            <w:tcW w:w="582" w:type="dxa"/>
            <w:vAlign w:val="center"/>
          </w:tcPr>
          <w:p w14:paraId="1B04B643" w14:textId="77777777" w:rsidR="004B0883" w:rsidRDefault="004B0883">
            <w:pPr>
              <w:jc w:val="center"/>
              <w:rPr>
                <w:rFonts w:cs="华文中宋"/>
              </w:rPr>
            </w:pPr>
            <w:r>
              <w:rPr>
                <w:rFonts w:cs="华文中宋" w:hint="eastAsia"/>
                <w:color w:val="000000"/>
              </w:rPr>
              <w:t>6</w:t>
            </w:r>
          </w:p>
        </w:tc>
        <w:tc>
          <w:tcPr>
            <w:tcW w:w="1529" w:type="dxa"/>
            <w:vAlign w:val="center"/>
          </w:tcPr>
          <w:p w14:paraId="1ED0F4FE" w14:textId="77777777" w:rsidR="004B0883" w:rsidRDefault="004B0883">
            <w:pPr>
              <w:rPr>
                <w:rFonts w:cs="华文中宋"/>
              </w:rPr>
            </w:pPr>
            <w:r>
              <w:rPr>
                <w:rFonts w:cs="华文中宋" w:hint="eastAsia"/>
                <w:color w:val="000000"/>
              </w:rPr>
              <w:t>驱动头（件）</w:t>
            </w:r>
          </w:p>
        </w:tc>
        <w:tc>
          <w:tcPr>
            <w:tcW w:w="1529" w:type="dxa"/>
            <w:vAlign w:val="center"/>
          </w:tcPr>
          <w:p w14:paraId="51538725" w14:textId="77777777" w:rsidR="004B0883" w:rsidRDefault="004B0883">
            <w:pPr>
              <w:jc w:val="right"/>
              <w:rPr>
                <w:rFonts w:cs="华文中宋"/>
                <w:color w:val="000000"/>
              </w:rPr>
            </w:pPr>
            <w:r>
              <w:rPr>
                <w:rFonts w:cs="华文中宋" w:hint="eastAsia"/>
                <w:color w:val="000000"/>
              </w:rPr>
              <w:t>37,085.00</w:t>
            </w:r>
          </w:p>
        </w:tc>
        <w:tc>
          <w:tcPr>
            <w:tcW w:w="1430" w:type="dxa"/>
            <w:vAlign w:val="center"/>
          </w:tcPr>
          <w:p w14:paraId="0C746C3D" w14:textId="77777777" w:rsidR="004B0883" w:rsidRDefault="004B0883">
            <w:pPr>
              <w:jc w:val="right"/>
              <w:rPr>
                <w:rFonts w:cs="华文中宋"/>
                <w:color w:val="000000"/>
              </w:rPr>
            </w:pPr>
            <w:r>
              <w:rPr>
                <w:rFonts w:cs="华文中宋" w:hint="eastAsia"/>
                <w:color w:val="000000"/>
              </w:rPr>
              <w:t>201.14</w:t>
            </w:r>
          </w:p>
        </w:tc>
        <w:tc>
          <w:tcPr>
            <w:tcW w:w="1605" w:type="dxa"/>
            <w:vAlign w:val="center"/>
          </w:tcPr>
          <w:p w14:paraId="696912CF" w14:textId="77777777" w:rsidR="004B0883" w:rsidRDefault="004B0883">
            <w:pPr>
              <w:jc w:val="right"/>
              <w:rPr>
                <w:rFonts w:cs="华文中宋"/>
                <w:color w:val="000000"/>
              </w:rPr>
            </w:pPr>
            <w:r>
              <w:rPr>
                <w:rFonts w:cs="华文中宋" w:hint="eastAsia"/>
                <w:color w:val="000000"/>
              </w:rPr>
              <w:t>745.93</w:t>
            </w:r>
          </w:p>
        </w:tc>
        <w:tc>
          <w:tcPr>
            <w:tcW w:w="1851" w:type="dxa"/>
            <w:vAlign w:val="center"/>
          </w:tcPr>
          <w:p w14:paraId="7F03874E" w14:textId="77777777" w:rsidR="004B0883" w:rsidRDefault="004B0883">
            <w:pPr>
              <w:jc w:val="right"/>
              <w:rPr>
                <w:rFonts w:cs="华文中宋"/>
                <w:color w:val="000000"/>
              </w:rPr>
            </w:pPr>
            <w:r>
              <w:rPr>
                <w:rFonts w:hint="eastAsia"/>
                <w:sz w:val="20"/>
                <w:szCs w:val="20"/>
              </w:rPr>
              <w:t>4.28%</w:t>
            </w:r>
          </w:p>
        </w:tc>
      </w:tr>
      <w:tr w:rsidR="004B0883" w14:paraId="772B4BF8" w14:textId="77777777">
        <w:trPr>
          <w:trHeight w:val="397"/>
        </w:trPr>
        <w:tc>
          <w:tcPr>
            <w:tcW w:w="2111" w:type="dxa"/>
            <w:gridSpan w:val="2"/>
            <w:vAlign w:val="center"/>
          </w:tcPr>
          <w:p w14:paraId="2BA383B4" w14:textId="77777777" w:rsidR="004B0883" w:rsidRDefault="004B0883">
            <w:pPr>
              <w:jc w:val="center"/>
              <w:rPr>
                <w:rFonts w:cs="华文中宋"/>
                <w:b/>
                <w:bCs/>
              </w:rPr>
            </w:pPr>
            <w:r>
              <w:rPr>
                <w:rFonts w:cs="华文中宋" w:hint="eastAsia"/>
                <w:b/>
                <w:bCs/>
                <w:color w:val="000000"/>
              </w:rPr>
              <w:t>合计</w:t>
            </w:r>
          </w:p>
        </w:tc>
        <w:tc>
          <w:tcPr>
            <w:tcW w:w="1529" w:type="dxa"/>
            <w:vAlign w:val="center"/>
          </w:tcPr>
          <w:p w14:paraId="3B006A74" w14:textId="77777777" w:rsidR="004B0883" w:rsidRDefault="004B0883">
            <w:pPr>
              <w:jc w:val="right"/>
              <w:rPr>
                <w:rFonts w:cs="华文中宋"/>
                <w:b/>
                <w:bCs/>
                <w:color w:val="000000"/>
              </w:rPr>
            </w:pPr>
            <w:r>
              <w:rPr>
                <w:rFonts w:cs="华文中宋"/>
                <w:b/>
                <w:bCs/>
                <w:color w:val="000000"/>
              </w:rPr>
              <w:t>-</w:t>
            </w:r>
          </w:p>
        </w:tc>
        <w:tc>
          <w:tcPr>
            <w:tcW w:w="1430" w:type="dxa"/>
            <w:vAlign w:val="center"/>
          </w:tcPr>
          <w:p w14:paraId="1A00CAB8" w14:textId="77777777" w:rsidR="004B0883" w:rsidRDefault="004B0883">
            <w:pPr>
              <w:jc w:val="right"/>
              <w:rPr>
                <w:rFonts w:cs="华文中宋"/>
                <w:b/>
                <w:bCs/>
                <w:color w:val="000000"/>
              </w:rPr>
            </w:pPr>
            <w:r>
              <w:rPr>
                <w:rFonts w:cs="华文中宋" w:hint="eastAsia"/>
                <w:b/>
                <w:bCs/>
                <w:color w:val="000000"/>
              </w:rPr>
              <w:t>-</w:t>
            </w:r>
          </w:p>
        </w:tc>
        <w:tc>
          <w:tcPr>
            <w:tcW w:w="1605" w:type="dxa"/>
            <w:vAlign w:val="center"/>
          </w:tcPr>
          <w:p w14:paraId="2B6DC1DF" w14:textId="77777777" w:rsidR="004B0883" w:rsidRDefault="004B0883">
            <w:pPr>
              <w:jc w:val="right"/>
              <w:rPr>
                <w:rFonts w:cs="华文中宋"/>
                <w:b/>
                <w:bCs/>
                <w:color w:val="000000"/>
              </w:rPr>
            </w:pPr>
            <w:r>
              <w:rPr>
                <w:rFonts w:cs="华文中宋" w:hint="eastAsia"/>
                <w:b/>
                <w:bCs/>
                <w:color w:val="000000"/>
              </w:rPr>
              <w:t>9,319.62</w:t>
            </w:r>
          </w:p>
        </w:tc>
        <w:tc>
          <w:tcPr>
            <w:tcW w:w="1851" w:type="dxa"/>
            <w:vAlign w:val="center"/>
          </w:tcPr>
          <w:p w14:paraId="2CB3575D" w14:textId="77777777" w:rsidR="004B0883" w:rsidRDefault="004B0883">
            <w:pPr>
              <w:jc w:val="right"/>
              <w:rPr>
                <w:rFonts w:cs="华文中宋" w:hint="eastAsia"/>
                <w:b/>
                <w:bCs/>
                <w:color w:val="000000"/>
              </w:rPr>
            </w:pPr>
            <w:r>
              <w:rPr>
                <w:rFonts w:cs="华文中宋" w:hint="eastAsia"/>
                <w:b/>
                <w:bCs/>
                <w:color w:val="000000"/>
              </w:rPr>
              <w:t>53.46%</w:t>
            </w:r>
          </w:p>
        </w:tc>
      </w:tr>
      <w:tr w:rsidR="004B0883" w14:paraId="6B12988B" w14:textId="77777777">
        <w:trPr>
          <w:trHeight w:val="397"/>
        </w:trPr>
        <w:tc>
          <w:tcPr>
            <w:tcW w:w="8526" w:type="dxa"/>
            <w:gridSpan w:val="6"/>
            <w:shd w:val="clear" w:color="auto" w:fill="D9D9D9"/>
            <w:vAlign w:val="center"/>
          </w:tcPr>
          <w:p w14:paraId="530E6A58" w14:textId="77777777" w:rsidR="004B0883" w:rsidRDefault="004B0883">
            <w:pPr>
              <w:jc w:val="center"/>
              <w:rPr>
                <w:rFonts w:cs="华文中宋"/>
                <w:b/>
                <w:bCs/>
              </w:rPr>
            </w:pPr>
            <w:r>
              <w:rPr>
                <w:rFonts w:cs="华文中宋" w:hint="eastAsia"/>
                <w:b/>
                <w:bCs/>
                <w:color w:val="000000"/>
              </w:rPr>
              <w:t>2022</w:t>
            </w:r>
            <w:r>
              <w:rPr>
                <w:rFonts w:cs="华文中宋" w:hint="eastAsia"/>
                <w:b/>
                <w:bCs/>
                <w:color w:val="000000"/>
              </w:rPr>
              <w:t>年度</w:t>
            </w:r>
          </w:p>
        </w:tc>
      </w:tr>
      <w:tr w:rsidR="004B0883" w14:paraId="42835B50" w14:textId="77777777">
        <w:trPr>
          <w:trHeight w:val="397"/>
        </w:trPr>
        <w:tc>
          <w:tcPr>
            <w:tcW w:w="582" w:type="dxa"/>
            <w:shd w:val="clear" w:color="auto" w:fill="D9D9D9"/>
            <w:vAlign w:val="center"/>
          </w:tcPr>
          <w:p w14:paraId="4372FFE3" w14:textId="77777777" w:rsidR="004B0883" w:rsidRDefault="004B0883">
            <w:pPr>
              <w:jc w:val="center"/>
              <w:rPr>
                <w:rFonts w:cs="华文中宋"/>
                <w:b/>
                <w:bCs/>
              </w:rPr>
            </w:pPr>
            <w:r>
              <w:rPr>
                <w:rFonts w:cs="华文中宋" w:hint="eastAsia"/>
                <w:b/>
                <w:bCs/>
                <w:color w:val="000000"/>
              </w:rPr>
              <w:t>序号</w:t>
            </w:r>
          </w:p>
        </w:tc>
        <w:tc>
          <w:tcPr>
            <w:tcW w:w="1529" w:type="dxa"/>
            <w:shd w:val="clear" w:color="auto" w:fill="D9D9D9"/>
            <w:vAlign w:val="center"/>
          </w:tcPr>
          <w:p w14:paraId="2DCF76D1" w14:textId="77777777" w:rsidR="004B0883" w:rsidRDefault="004B0883">
            <w:pPr>
              <w:jc w:val="center"/>
              <w:rPr>
                <w:rFonts w:cs="华文中宋"/>
                <w:b/>
                <w:bCs/>
              </w:rPr>
            </w:pPr>
            <w:r>
              <w:rPr>
                <w:rFonts w:cs="华文中宋" w:hint="eastAsia"/>
                <w:b/>
                <w:bCs/>
                <w:color w:val="000000"/>
              </w:rPr>
              <w:t>原材料名称</w:t>
            </w:r>
          </w:p>
        </w:tc>
        <w:tc>
          <w:tcPr>
            <w:tcW w:w="1529" w:type="dxa"/>
            <w:shd w:val="clear" w:color="auto" w:fill="D9D9D9"/>
            <w:vAlign w:val="center"/>
          </w:tcPr>
          <w:p w14:paraId="0B0DF11E" w14:textId="77777777" w:rsidR="004B0883" w:rsidRDefault="004B0883">
            <w:pPr>
              <w:jc w:val="center"/>
              <w:rPr>
                <w:rFonts w:cs="华文中宋"/>
                <w:b/>
                <w:bCs/>
              </w:rPr>
            </w:pPr>
            <w:r>
              <w:rPr>
                <w:rFonts w:cs="华文中宋" w:hint="eastAsia"/>
                <w:b/>
                <w:bCs/>
                <w:color w:val="000000"/>
              </w:rPr>
              <w:t>采购数量</w:t>
            </w:r>
          </w:p>
        </w:tc>
        <w:tc>
          <w:tcPr>
            <w:tcW w:w="1430" w:type="dxa"/>
            <w:shd w:val="clear" w:color="auto" w:fill="D9D9D9"/>
            <w:vAlign w:val="center"/>
          </w:tcPr>
          <w:p w14:paraId="30E7C06D" w14:textId="77777777" w:rsidR="004B0883" w:rsidRDefault="004B0883">
            <w:pPr>
              <w:jc w:val="center"/>
              <w:rPr>
                <w:rFonts w:cs="华文中宋"/>
                <w:b/>
                <w:bCs/>
              </w:rPr>
            </w:pPr>
            <w:r>
              <w:rPr>
                <w:rFonts w:cs="华文中宋" w:hint="eastAsia"/>
                <w:b/>
                <w:bCs/>
                <w:color w:val="000000"/>
              </w:rPr>
              <w:t>平均采购单价（元）</w:t>
            </w:r>
          </w:p>
        </w:tc>
        <w:tc>
          <w:tcPr>
            <w:tcW w:w="1605" w:type="dxa"/>
            <w:shd w:val="clear" w:color="auto" w:fill="D9D9D9"/>
            <w:vAlign w:val="center"/>
          </w:tcPr>
          <w:p w14:paraId="45CDD5BC" w14:textId="77777777" w:rsidR="004B0883" w:rsidRDefault="004B0883">
            <w:pPr>
              <w:jc w:val="center"/>
              <w:rPr>
                <w:rFonts w:cs="华文中宋"/>
                <w:b/>
                <w:bCs/>
              </w:rPr>
            </w:pPr>
            <w:r>
              <w:rPr>
                <w:rFonts w:cs="华文中宋" w:hint="eastAsia"/>
                <w:b/>
                <w:bCs/>
                <w:color w:val="000000"/>
              </w:rPr>
              <w:t>采购总金额（万元）</w:t>
            </w:r>
          </w:p>
        </w:tc>
        <w:tc>
          <w:tcPr>
            <w:tcW w:w="1851" w:type="dxa"/>
            <w:shd w:val="clear" w:color="auto" w:fill="D9D9D9"/>
            <w:vAlign w:val="center"/>
          </w:tcPr>
          <w:p w14:paraId="048D79B9" w14:textId="77777777" w:rsidR="004B0883" w:rsidRDefault="004B0883">
            <w:pPr>
              <w:jc w:val="center"/>
              <w:rPr>
                <w:rFonts w:cs="华文中宋"/>
                <w:b/>
                <w:bCs/>
              </w:rPr>
            </w:pPr>
            <w:r>
              <w:rPr>
                <w:rFonts w:cs="华文中宋" w:hint="eastAsia"/>
                <w:b/>
                <w:bCs/>
                <w:color w:val="000000"/>
              </w:rPr>
              <w:t>占当年采购总额比例</w:t>
            </w:r>
          </w:p>
        </w:tc>
      </w:tr>
      <w:tr w:rsidR="004B0883" w14:paraId="4C27C74C" w14:textId="77777777">
        <w:trPr>
          <w:trHeight w:val="397"/>
        </w:trPr>
        <w:tc>
          <w:tcPr>
            <w:tcW w:w="582" w:type="dxa"/>
            <w:vAlign w:val="center"/>
          </w:tcPr>
          <w:p w14:paraId="4452F33D" w14:textId="77777777" w:rsidR="004B0883" w:rsidRDefault="004B0883">
            <w:pPr>
              <w:jc w:val="center"/>
              <w:rPr>
                <w:rFonts w:cs="华文中宋"/>
              </w:rPr>
            </w:pPr>
            <w:r>
              <w:rPr>
                <w:rFonts w:cs="华文中宋" w:hint="eastAsia"/>
                <w:color w:val="000000"/>
              </w:rPr>
              <w:t>1</w:t>
            </w:r>
          </w:p>
        </w:tc>
        <w:tc>
          <w:tcPr>
            <w:tcW w:w="1529" w:type="dxa"/>
            <w:vAlign w:val="center"/>
          </w:tcPr>
          <w:p w14:paraId="3D4A4992" w14:textId="77777777" w:rsidR="004B0883" w:rsidRDefault="004B0883">
            <w:pPr>
              <w:rPr>
                <w:rFonts w:cs="华文中宋"/>
              </w:rPr>
            </w:pPr>
            <w:r>
              <w:rPr>
                <w:rFonts w:cs="华文中宋" w:hint="eastAsia"/>
                <w:color w:val="000000"/>
              </w:rPr>
              <w:t>铸件（吨）</w:t>
            </w:r>
          </w:p>
        </w:tc>
        <w:tc>
          <w:tcPr>
            <w:tcW w:w="1529" w:type="dxa"/>
            <w:vAlign w:val="center"/>
          </w:tcPr>
          <w:p w14:paraId="65F53AC8" w14:textId="77777777" w:rsidR="004B0883" w:rsidRDefault="004B0883">
            <w:pPr>
              <w:jc w:val="right"/>
              <w:rPr>
                <w:rFonts w:cs="华文中宋"/>
              </w:rPr>
            </w:pPr>
            <w:r>
              <w:rPr>
                <w:rFonts w:cs="华文中宋" w:hint="eastAsia"/>
                <w:color w:val="000000"/>
              </w:rPr>
              <w:t>4,632.81</w:t>
            </w:r>
          </w:p>
        </w:tc>
        <w:tc>
          <w:tcPr>
            <w:tcW w:w="1430" w:type="dxa"/>
            <w:vAlign w:val="center"/>
          </w:tcPr>
          <w:p w14:paraId="0BDCF535" w14:textId="77777777" w:rsidR="004B0883" w:rsidRDefault="004B0883">
            <w:pPr>
              <w:jc w:val="right"/>
              <w:rPr>
                <w:rFonts w:cs="华文中宋"/>
              </w:rPr>
            </w:pPr>
            <w:r>
              <w:rPr>
                <w:rFonts w:cs="华文中宋" w:hint="eastAsia"/>
                <w:color w:val="000000"/>
              </w:rPr>
              <w:t>9,465.11</w:t>
            </w:r>
          </w:p>
        </w:tc>
        <w:tc>
          <w:tcPr>
            <w:tcW w:w="1605" w:type="dxa"/>
            <w:vAlign w:val="center"/>
          </w:tcPr>
          <w:p w14:paraId="36B7B0F8" w14:textId="77777777" w:rsidR="004B0883" w:rsidRDefault="004B0883">
            <w:pPr>
              <w:jc w:val="right"/>
              <w:rPr>
                <w:rFonts w:cs="华文中宋"/>
              </w:rPr>
            </w:pPr>
            <w:r>
              <w:rPr>
                <w:rFonts w:cs="华文中宋" w:hint="eastAsia"/>
                <w:color w:val="000000"/>
              </w:rPr>
              <w:t>4,385.01</w:t>
            </w:r>
          </w:p>
        </w:tc>
        <w:tc>
          <w:tcPr>
            <w:tcW w:w="1851" w:type="dxa"/>
            <w:vAlign w:val="center"/>
          </w:tcPr>
          <w:p w14:paraId="400CF535" w14:textId="77777777" w:rsidR="004B0883" w:rsidRDefault="004B0883">
            <w:pPr>
              <w:jc w:val="right"/>
              <w:rPr>
                <w:rFonts w:cs="华文中宋"/>
              </w:rPr>
            </w:pPr>
            <w:r>
              <w:rPr>
                <w:rFonts w:cs="华文中宋" w:hint="eastAsia"/>
                <w:color w:val="000000"/>
              </w:rPr>
              <w:t>15.81%</w:t>
            </w:r>
          </w:p>
        </w:tc>
      </w:tr>
      <w:tr w:rsidR="004B0883" w14:paraId="6F8D620E" w14:textId="77777777">
        <w:trPr>
          <w:trHeight w:val="397"/>
        </w:trPr>
        <w:tc>
          <w:tcPr>
            <w:tcW w:w="582" w:type="dxa"/>
            <w:vAlign w:val="center"/>
          </w:tcPr>
          <w:p w14:paraId="2D158EAB" w14:textId="77777777" w:rsidR="004B0883" w:rsidRDefault="004B0883">
            <w:pPr>
              <w:jc w:val="center"/>
              <w:rPr>
                <w:rFonts w:cs="华文中宋"/>
              </w:rPr>
            </w:pPr>
            <w:r>
              <w:rPr>
                <w:rFonts w:cs="华文中宋" w:hint="eastAsia"/>
                <w:color w:val="000000"/>
              </w:rPr>
              <w:t>2</w:t>
            </w:r>
          </w:p>
        </w:tc>
        <w:tc>
          <w:tcPr>
            <w:tcW w:w="1529" w:type="dxa"/>
            <w:vAlign w:val="center"/>
          </w:tcPr>
          <w:p w14:paraId="2F0F0AB7" w14:textId="77777777" w:rsidR="004B0883" w:rsidRDefault="004B0883">
            <w:pPr>
              <w:rPr>
                <w:rFonts w:cs="华文中宋"/>
              </w:rPr>
            </w:pPr>
            <w:r>
              <w:rPr>
                <w:rFonts w:cs="华文中宋" w:hint="eastAsia"/>
                <w:color w:val="000000"/>
              </w:rPr>
              <w:t>加工件（件）</w:t>
            </w:r>
          </w:p>
        </w:tc>
        <w:tc>
          <w:tcPr>
            <w:tcW w:w="1529" w:type="dxa"/>
            <w:vAlign w:val="center"/>
          </w:tcPr>
          <w:p w14:paraId="6F1AEB17" w14:textId="77777777" w:rsidR="004B0883" w:rsidRDefault="004B0883">
            <w:pPr>
              <w:jc w:val="right"/>
              <w:rPr>
                <w:rFonts w:cs="华文中宋"/>
              </w:rPr>
            </w:pPr>
            <w:r>
              <w:rPr>
                <w:rFonts w:cs="华文中宋" w:hint="eastAsia"/>
                <w:color w:val="000000"/>
              </w:rPr>
              <w:t>1,813,960.</w:t>
            </w:r>
            <w:r>
              <w:rPr>
                <w:rFonts w:cs="华文中宋"/>
                <w:color w:val="000000"/>
              </w:rPr>
              <w:t>00</w:t>
            </w:r>
          </w:p>
        </w:tc>
        <w:tc>
          <w:tcPr>
            <w:tcW w:w="1430" w:type="dxa"/>
            <w:vAlign w:val="center"/>
          </w:tcPr>
          <w:p w14:paraId="76B9BEAC" w14:textId="77777777" w:rsidR="004B0883" w:rsidRDefault="004B0883">
            <w:pPr>
              <w:jc w:val="right"/>
              <w:rPr>
                <w:rFonts w:cs="华文中宋"/>
              </w:rPr>
            </w:pPr>
            <w:r>
              <w:rPr>
                <w:rFonts w:cs="华文中宋" w:hint="eastAsia"/>
                <w:color w:val="000000"/>
              </w:rPr>
              <w:t>23.82</w:t>
            </w:r>
          </w:p>
        </w:tc>
        <w:tc>
          <w:tcPr>
            <w:tcW w:w="1605" w:type="dxa"/>
            <w:vAlign w:val="center"/>
          </w:tcPr>
          <w:p w14:paraId="4ED4CD49" w14:textId="77777777" w:rsidR="004B0883" w:rsidRDefault="004B0883">
            <w:pPr>
              <w:jc w:val="right"/>
              <w:rPr>
                <w:rFonts w:cs="华文中宋"/>
              </w:rPr>
            </w:pPr>
            <w:r>
              <w:rPr>
                <w:rFonts w:cs="华文中宋" w:hint="eastAsia"/>
                <w:color w:val="000000"/>
              </w:rPr>
              <w:t>4,320.08</w:t>
            </w:r>
          </w:p>
        </w:tc>
        <w:tc>
          <w:tcPr>
            <w:tcW w:w="1851" w:type="dxa"/>
            <w:vAlign w:val="center"/>
          </w:tcPr>
          <w:p w14:paraId="54D44CA6" w14:textId="77777777" w:rsidR="004B0883" w:rsidRDefault="004B0883">
            <w:pPr>
              <w:jc w:val="right"/>
              <w:rPr>
                <w:rFonts w:cs="华文中宋"/>
              </w:rPr>
            </w:pPr>
            <w:r>
              <w:rPr>
                <w:rFonts w:cs="华文中宋" w:hint="eastAsia"/>
                <w:color w:val="000000"/>
              </w:rPr>
              <w:t>15.58%</w:t>
            </w:r>
          </w:p>
        </w:tc>
      </w:tr>
      <w:tr w:rsidR="004B0883" w14:paraId="04C612DE" w14:textId="77777777">
        <w:trPr>
          <w:trHeight w:val="397"/>
        </w:trPr>
        <w:tc>
          <w:tcPr>
            <w:tcW w:w="582" w:type="dxa"/>
            <w:vAlign w:val="center"/>
          </w:tcPr>
          <w:p w14:paraId="1DF7A68E" w14:textId="77777777" w:rsidR="004B0883" w:rsidRDefault="004B0883">
            <w:pPr>
              <w:jc w:val="center"/>
              <w:rPr>
                <w:rFonts w:cs="华文中宋"/>
              </w:rPr>
            </w:pPr>
            <w:r>
              <w:rPr>
                <w:rFonts w:cs="华文中宋" w:hint="eastAsia"/>
                <w:color w:val="000000"/>
              </w:rPr>
              <w:t>3</w:t>
            </w:r>
          </w:p>
        </w:tc>
        <w:tc>
          <w:tcPr>
            <w:tcW w:w="1529" w:type="dxa"/>
            <w:vAlign w:val="center"/>
          </w:tcPr>
          <w:p w14:paraId="40BD459E" w14:textId="77777777" w:rsidR="004B0883" w:rsidRDefault="004B0883">
            <w:pPr>
              <w:rPr>
                <w:rFonts w:cs="华文中宋"/>
              </w:rPr>
            </w:pPr>
            <w:r>
              <w:rPr>
                <w:rFonts w:cs="华文中宋" w:hint="eastAsia"/>
                <w:color w:val="000000"/>
              </w:rPr>
              <w:t>生铁（吨）</w:t>
            </w:r>
          </w:p>
        </w:tc>
        <w:tc>
          <w:tcPr>
            <w:tcW w:w="1529" w:type="dxa"/>
            <w:vAlign w:val="center"/>
          </w:tcPr>
          <w:p w14:paraId="3824826F" w14:textId="77777777" w:rsidR="004B0883" w:rsidRDefault="004B0883">
            <w:pPr>
              <w:jc w:val="right"/>
              <w:rPr>
                <w:rFonts w:cs="华文中宋"/>
              </w:rPr>
            </w:pPr>
            <w:r>
              <w:rPr>
                <w:rFonts w:cs="华文中宋" w:hint="eastAsia"/>
                <w:color w:val="000000"/>
              </w:rPr>
              <w:t>2,642.01</w:t>
            </w:r>
          </w:p>
        </w:tc>
        <w:tc>
          <w:tcPr>
            <w:tcW w:w="1430" w:type="dxa"/>
            <w:vAlign w:val="center"/>
          </w:tcPr>
          <w:p w14:paraId="6BACB377" w14:textId="77777777" w:rsidR="004B0883" w:rsidRDefault="004B0883">
            <w:pPr>
              <w:jc w:val="right"/>
              <w:rPr>
                <w:rFonts w:cs="华文中宋"/>
              </w:rPr>
            </w:pPr>
            <w:r>
              <w:rPr>
                <w:rFonts w:cs="华文中宋" w:hint="eastAsia"/>
                <w:color w:val="000000"/>
              </w:rPr>
              <w:t>3,494.20</w:t>
            </w:r>
          </w:p>
        </w:tc>
        <w:tc>
          <w:tcPr>
            <w:tcW w:w="1605" w:type="dxa"/>
            <w:vAlign w:val="center"/>
          </w:tcPr>
          <w:p w14:paraId="5B6DBF96" w14:textId="77777777" w:rsidR="004B0883" w:rsidRDefault="004B0883">
            <w:pPr>
              <w:jc w:val="right"/>
              <w:rPr>
                <w:rFonts w:cs="华文中宋"/>
              </w:rPr>
            </w:pPr>
            <w:r>
              <w:rPr>
                <w:rFonts w:cs="华文中宋" w:hint="eastAsia"/>
                <w:color w:val="000000"/>
              </w:rPr>
              <w:t>923.17</w:t>
            </w:r>
          </w:p>
        </w:tc>
        <w:tc>
          <w:tcPr>
            <w:tcW w:w="1851" w:type="dxa"/>
            <w:vAlign w:val="center"/>
          </w:tcPr>
          <w:p w14:paraId="1C5BB1F0" w14:textId="77777777" w:rsidR="004B0883" w:rsidRDefault="004B0883">
            <w:pPr>
              <w:jc w:val="right"/>
              <w:rPr>
                <w:rFonts w:cs="华文中宋"/>
              </w:rPr>
            </w:pPr>
            <w:r>
              <w:rPr>
                <w:rFonts w:cs="华文中宋" w:hint="eastAsia"/>
                <w:color w:val="000000"/>
              </w:rPr>
              <w:t>3.33%</w:t>
            </w:r>
          </w:p>
        </w:tc>
      </w:tr>
      <w:tr w:rsidR="004B0883" w14:paraId="53D52770" w14:textId="77777777">
        <w:trPr>
          <w:trHeight w:val="397"/>
        </w:trPr>
        <w:tc>
          <w:tcPr>
            <w:tcW w:w="582" w:type="dxa"/>
            <w:vAlign w:val="center"/>
          </w:tcPr>
          <w:p w14:paraId="3DCE777C" w14:textId="77777777" w:rsidR="004B0883" w:rsidRDefault="004B0883">
            <w:pPr>
              <w:jc w:val="center"/>
              <w:rPr>
                <w:rFonts w:cs="华文中宋"/>
              </w:rPr>
            </w:pPr>
            <w:r>
              <w:rPr>
                <w:rFonts w:cs="华文中宋" w:hint="eastAsia"/>
                <w:color w:val="000000"/>
              </w:rPr>
              <w:t>4</w:t>
            </w:r>
          </w:p>
        </w:tc>
        <w:tc>
          <w:tcPr>
            <w:tcW w:w="1529" w:type="dxa"/>
            <w:vAlign w:val="center"/>
          </w:tcPr>
          <w:p w14:paraId="34CAA9AA" w14:textId="77777777" w:rsidR="004B0883" w:rsidRDefault="004B0883">
            <w:pPr>
              <w:rPr>
                <w:rFonts w:cs="华文中宋"/>
              </w:rPr>
            </w:pPr>
            <w:r>
              <w:rPr>
                <w:rFonts w:cs="华文中宋" w:hint="eastAsia"/>
                <w:color w:val="000000"/>
              </w:rPr>
              <w:t>废钢（吨）</w:t>
            </w:r>
          </w:p>
        </w:tc>
        <w:tc>
          <w:tcPr>
            <w:tcW w:w="1529" w:type="dxa"/>
            <w:vAlign w:val="center"/>
          </w:tcPr>
          <w:p w14:paraId="5DDB9B86" w14:textId="77777777" w:rsidR="004B0883" w:rsidRDefault="004B0883">
            <w:pPr>
              <w:jc w:val="right"/>
              <w:rPr>
                <w:rFonts w:cs="华文中宋"/>
              </w:rPr>
            </w:pPr>
            <w:r>
              <w:rPr>
                <w:rFonts w:cs="华文中宋" w:hint="eastAsia"/>
                <w:color w:val="000000"/>
              </w:rPr>
              <w:t>8,733.95</w:t>
            </w:r>
          </w:p>
        </w:tc>
        <w:tc>
          <w:tcPr>
            <w:tcW w:w="1430" w:type="dxa"/>
            <w:vAlign w:val="center"/>
          </w:tcPr>
          <w:p w14:paraId="4CEA496F" w14:textId="77777777" w:rsidR="004B0883" w:rsidRDefault="004B0883">
            <w:pPr>
              <w:jc w:val="right"/>
              <w:rPr>
                <w:rFonts w:cs="华文中宋"/>
              </w:rPr>
            </w:pPr>
            <w:r>
              <w:rPr>
                <w:rFonts w:cs="华文中宋" w:hint="eastAsia"/>
                <w:color w:val="000000"/>
              </w:rPr>
              <w:t>3,328.73</w:t>
            </w:r>
          </w:p>
        </w:tc>
        <w:tc>
          <w:tcPr>
            <w:tcW w:w="1605" w:type="dxa"/>
            <w:vAlign w:val="center"/>
          </w:tcPr>
          <w:p w14:paraId="530FF46D" w14:textId="77777777" w:rsidR="004B0883" w:rsidRDefault="004B0883">
            <w:pPr>
              <w:jc w:val="right"/>
              <w:rPr>
                <w:rFonts w:cs="华文中宋"/>
              </w:rPr>
            </w:pPr>
            <w:r>
              <w:rPr>
                <w:rFonts w:cs="华文中宋" w:hint="eastAsia"/>
                <w:color w:val="000000"/>
              </w:rPr>
              <w:t>2,907.30</w:t>
            </w:r>
          </w:p>
        </w:tc>
        <w:tc>
          <w:tcPr>
            <w:tcW w:w="1851" w:type="dxa"/>
            <w:vAlign w:val="center"/>
          </w:tcPr>
          <w:p w14:paraId="2620CFEB" w14:textId="77777777" w:rsidR="004B0883" w:rsidRDefault="004B0883">
            <w:pPr>
              <w:jc w:val="right"/>
              <w:rPr>
                <w:rFonts w:cs="华文中宋"/>
              </w:rPr>
            </w:pPr>
            <w:r>
              <w:rPr>
                <w:rFonts w:cs="华文中宋" w:hint="eastAsia"/>
                <w:color w:val="000000"/>
              </w:rPr>
              <w:t>10.48%</w:t>
            </w:r>
          </w:p>
        </w:tc>
      </w:tr>
      <w:tr w:rsidR="004B0883" w14:paraId="33F80D5D" w14:textId="77777777">
        <w:trPr>
          <w:trHeight w:val="397"/>
        </w:trPr>
        <w:tc>
          <w:tcPr>
            <w:tcW w:w="582" w:type="dxa"/>
            <w:vAlign w:val="center"/>
          </w:tcPr>
          <w:p w14:paraId="3356CEF4" w14:textId="77777777" w:rsidR="004B0883" w:rsidRDefault="004B0883">
            <w:pPr>
              <w:jc w:val="center"/>
              <w:rPr>
                <w:rFonts w:cs="华文中宋"/>
              </w:rPr>
            </w:pPr>
            <w:r>
              <w:rPr>
                <w:rFonts w:cs="华文中宋" w:hint="eastAsia"/>
                <w:color w:val="000000"/>
              </w:rPr>
              <w:t>5</w:t>
            </w:r>
          </w:p>
        </w:tc>
        <w:tc>
          <w:tcPr>
            <w:tcW w:w="1529" w:type="dxa"/>
            <w:vAlign w:val="center"/>
          </w:tcPr>
          <w:p w14:paraId="244E2342" w14:textId="77777777" w:rsidR="004B0883" w:rsidRDefault="004B0883">
            <w:pPr>
              <w:rPr>
                <w:rFonts w:cs="华文中宋"/>
              </w:rPr>
            </w:pPr>
            <w:r>
              <w:rPr>
                <w:rFonts w:cs="华文中宋" w:hint="eastAsia"/>
                <w:color w:val="000000"/>
              </w:rPr>
              <w:t>阀杆（件）</w:t>
            </w:r>
          </w:p>
        </w:tc>
        <w:tc>
          <w:tcPr>
            <w:tcW w:w="1529" w:type="dxa"/>
            <w:vAlign w:val="center"/>
          </w:tcPr>
          <w:p w14:paraId="64AB72CA" w14:textId="77777777" w:rsidR="004B0883" w:rsidRDefault="004B0883">
            <w:pPr>
              <w:jc w:val="right"/>
              <w:rPr>
                <w:rFonts w:cs="华文中宋"/>
              </w:rPr>
            </w:pPr>
            <w:r>
              <w:rPr>
                <w:rFonts w:cs="华文中宋" w:hint="eastAsia"/>
                <w:color w:val="000000"/>
              </w:rPr>
              <w:t>281,502.00</w:t>
            </w:r>
          </w:p>
        </w:tc>
        <w:tc>
          <w:tcPr>
            <w:tcW w:w="1430" w:type="dxa"/>
            <w:vAlign w:val="center"/>
          </w:tcPr>
          <w:p w14:paraId="205FAB17" w14:textId="77777777" w:rsidR="004B0883" w:rsidRDefault="004B0883">
            <w:pPr>
              <w:jc w:val="right"/>
              <w:rPr>
                <w:rFonts w:cs="华文中宋"/>
              </w:rPr>
            </w:pPr>
            <w:r>
              <w:rPr>
                <w:rFonts w:cs="华文中宋" w:hint="eastAsia"/>
                <w:color w:val="000000"/>
              </w:rPr>
              <w:t>47.26</w:t>
            </w:r>
          </w:p>
        </w:tc>
        <w:tc>
          <w:tcPr>
            <w:tcW w:w="1605" w:type="dxa"/>
            <w:vAlign w:val="center"/>
          </w:tcPr>
          <w:p w14:paraId="113366ED" w14:textId="77777777" w:rsidR="004B0883" w:rsidRDefault="004B0883">
            <w:pPr>
              <w:jc w:val="right"/>
              <w:rPr>
                <w:rFonts w:cs="华文中宋"/>
              </w:rPr>
            </w:pPr>
            <w:r>
              <w:rPr>
                <w:rFonts w:cs="华文中宋" w:hint="eastAsia"/>
                <w:color w:val="000000"/>
              </w:rPr>
              <w:t>1,330.50</w:t>
            </w:r>
          </w:p>
        </w:tc>
        <w:tc>
          <w:tcPr>
            <w:tcW w:w="1851" w:type="dxa"/>
            <w:vAlign w:val="center"/>
          </w:tcPr>
          <w:p w14:paraId="7C005634" w14:textId="77777777" w:rsidR="004B0883" w:rsidRDefault="004B0883">
            <w:pPr>
              <w:jc w:val="right"/>
              <w:rPr>
                <w:rFonts w:cs="华文中宋"/>
              </w:rPr>
            </w:pPr>
            <w:r>
              <w:rPr>
                <w:rFonts w:cs="华文中宋" w:hint="eastAsia"/>
                <w:color w:val="000000"/>
              </w:rPr>
              <w:t>4.80%</w:t>
            </w:r>
          </w:p>
        </w:tc>
      </w:tr>
      <w:tr w:rsidR="004B0883" w14:paraId="4294D4FE" w14:textId="77777777">
        <w:trPr>
          <w:trHeight w:val="397"/>
        </w:trPr>
        <w:tc>
          <w:tcPr>
            <w:tcW w:w="582" w:type="dxa"/>
            <w:vAlign w:val="center"/>
          </w:tcPr>
          <w:p w14:paraId="4E258805" w14:textId="77777777" w:rsidR="004B0883" w:rsidRDefault="004B0883">
            <w:pPr>
              <w:jc w:val="center"/>
              <w:rPr>
                <w:rFonts w:cs="华文中宋"/>
              </w:rPr>
            </w:pPr>
            <w:r>
              <w:rPr>
                <w:rFonts w:cs="华文中宋" w:hint="eastAsia"/>
                <w:color w:val="000000"/>
              </w:rPr>
              <w:t>6</w:t>
            </w:r>
          </w:p>
        </w:tc>
        <w:tc>
          <w:tcPr>
            <w:tcW w:w="1529" w:type="dxa"/>
            <w:vAlign w:val="center"/>
          </w:tcPr>
          <w:p w14:paraId="10DFFC7D" w14:textId="77777777" w:rsidR="004B0883" w:rsidRDefault="004B0883">
            <w:pPr>
              <w:rPr>
                <w:rFonts w:cs="华文中宋"/>
              </w:rPr>
            </w:pPr>
            <w:r>
              <w:rPr>
                <w:rFonts w:cs="华文中宋" w:hint="eastAsia"/>
                <w:color w:val="000000"/>
              </w:rPr>
              <w:t>驱动头（件）</w:t>
            </w:r>
          </w:p>
        </w:tc>
        <w:tc>
          <w:tcPr>
            <w:tcW w:w="1529" w:type="dxa"/>
            <w:vAlign w:val="center"/>
          </w:tcPr>
          <w:p w14:paraId="7BE604A0" w14:textId="77777777" w:rsidR="004B0883" w:rsidRDefault="004B0883">
            <w:pPr>
              <w:jc w:val="right"/>
              <w:rPr>
                <w:rFonts w:cs="华文中宋"/>
              </w:rPr>
            </w:pPr>
            <w:r>
              <w:rPr>
                <w:rFonts w:cs="华文中宋" w:hint="eastAsia"/>
                <w:color w:val="000000"/>
              </w:rPr>
              <w:t>49,749.00</w:t>
            </w:r>
          </w:p>
        </w:tc>
        <w:tc>
          <w:tcPr>
            <w:tcW w:w="1430" w:type="dxa"/>
            <w:vAlign w:val="center"/>
          </w:tcPr>
          <w:p w14:paraId="424C5753" w14:textId="77777777" w:rsidR="004B0883" w:rsidRDefault="004B0883">
            <w:pPr>
              <w:jc w:val="right"/>
              <w:rPr>
                <w:rFonts w:cs="华文中宋"/>
              </w:rPr>
            </w:pPr>
            <w:r>
              <w:rPr>
                <w:rFonts w:cs="华文中宋" w:hint="eastAsia"/>
                <w:color w:val="000000"/>
              </w:rPr>
              <w:t>175.78</w:t>
            </w:r>
          </w:p>
        </w:tc>
        <w:tc>
          <w:tcPr>
            <w:tcW w:w="1605" w:type="dxa"/>
            <w:vAlign w:val="center"/>
          </w:tcPr>
          <w:p w14:paraId="05BEE5E5" w14:textId="77777777" w:rsidR="004B0883" w:rsidRDefault="004B0883">
            <w:pPr>
              <w:jc w:val="right"/>
              <w:rPr>
                <w:rFonts w:cs="华文中宋"/>
              </w:rPr>
            </w:pPr>
            <w:r>
              <w:rPr>
                <w:rFonts w:cs="华文中宋" w:hint="eastAsia"/>
                <w:color w:val="000000"/>
              </w:rPr>
              <w:t>874.49</w:t>
            </w:r>
          </w:p>
        </w:tc>
        <w:tc>
          <w:tcPr>
            <w:tcW w:w="1851" w:type="dxa"/>
            <w:vAlign w:val="center"/>
          </w:tcPr>
          <w:p w14:paraId="07863466" w14:textId="77777777" w:rsidR="004B0883" w:rsidRDefault="004B0883">
            <w:pPr>
              <w:jc w:val="right"/>
              <w:rPr>
                <w:rFonts w:cs="华文中宋"/>
              </w:rPr>
            </w:pPr>
            <w:r>
              <w:rPr>
                <w:rFonts w:cs="华文中宋" w:hint="eastAsia"/>
                <w:color w:val="000000"/>
              </w:rPr>
              <w:t>3.15%</w:t>
            </w:r>
          </w:p>
        </w:tc>
      </w:tr>
      <w:tr w:rsidR="004B0883" w14:paraId="1EF7DDBE" w14:textId="77777777">
        <w:trPr>
          <w:trHeight w:val="397"/>
        </w:trPr>
        <w:tc>
          <w:tcPr>
            <w:tcW w:w="2111" w:type="dxa"/>
            <w:gridSpan w:val="2"/>
            <w:vAlign w:val="center"/>
          </w:tcPr>
          <w:p w14:paraId="62BBE6FE" w14:textId="77777777" w:rsidR="004B0883" w:rsidRDefault="004B0883">
            <w:pPr>
              <w:jc w:val="center"/>
              <w:rPr>
                <w:rFonts w:cs="华文中宋"/>
                <w:b/>
                <w:bCs/>
              </w:rPr>
            </w:pPr>
            <w:r>
              <w:rPr>
                <w:rFonts w:cs="华文中宋" w:hint="eastAsia"/>
                <w:b/>
                <w:bCs/>
                <w:color w:val="000000"/>
              </w:rPr>
              <w:t>合计</w:t>
            </w:r>
          </w:p>
        </w:tc>
        <w:tc>
          <w:tcPr>
            <w:tcW w:w="1529" w:type="dxa"/>
            <w:vAlign w:val="center"/>
          </w:tcPr>
          <w:p w14:paraId="5D998C7E" w14:textId="77777777" w:rsidR="004B0883" w:rsidRDefault="004B0883">
            <w:pPr>
              <w:jc w:val="right"/>
              <w:rPr>
                <w:rFonts w:cs="华文中宋"/>
              </w:rPr>
            </w:pPr>
            <w:r>
              <w:rPr>
                <w:rFonts w:cs="华文中宋"/>
                <w:color w:val="000000"/>
              </w:rPr>
              <w:t>-</w:t>
            </w:r>
          </w:p>
        </w:tc>
        <w:tc>
          <w:tcPr>
            <w:tcW w:w="1430" w:type="dxa"/>
            <w:vAlign w:val="center"/>
          </w:tcPr>
          <w:p w14:paraId="66AF9F07" w14:textId="77777777" w:rsidR="004B0883" w:rsidRDefault="004B0883">
            <w:pPr>
              <w:jc w:val="right"/>
              <w:rPr>
                <w:rFonts w:cs="华文中宋"/>
              </w:rPr>
            </w:pPr>
            <w:r>
              <w:rPr>
                <w:rFonts w:cs="华文中宋" w:hint="eastAsia"/>
                <w:color w:val="000000"/>
              </w:rPr>
              <w:t>-</w:t>
            </w:r>
          </w:p>
        </w:tc>
        <w:tc>
          <w:tcPr>
            <w:tcW w:w="1605" w:type="dxa"/>
            <w:vAlign w:val="center"/>
          </w:tcPr>
          <w:p w14:paraId="7A74C6E7" w14:textId="77777777" w:rsidR="004B0883" w:rsidRDefault="004B0883">
            <w:pPr>
              <w:jc w:val="right"/>
              <w:rPr>
                <w:rFonts w:cs="华文中宋"/>
                <w:b/>
                <w:bCs/>
              </w:rPr>
            </w:pPr>
            <w:r>
              <w:rPr>
                <w:rFonts w:cs="华文中宋" w:hint="eastAsia"/>
                <w:b/>
                <w:bCs/>
                <w:color w:val="000000"/>
              </w:rPr>
              <w:t>14,740.55</w:t>
            </w:r>
          </w:p>
        </w:tc>
        <w:tc>
          <w:tcPr>
            <w:tcW w:w="1851" w:type="dxa"/>
            <w:vAlign w:val="center"/>
          </w:tcPr>
          <w:p w14:paraId="6CFF7351" w14:textId="77777777" w:rsidR="004B0883" w:rsidRDefault="004B0883">
            <w:pPr>
              <w:jc w:val="right"/>
              <w:rPr>
                <w:rFonts w:cs="华文中宋"/>
                <w:b/>
                <w:bCs/>
              </w:rPr>
            </w:pPr>
            <w:r>
              <w:rPr>
                <w:rFonts w:cs="华文中宋"/>
                <w:b/>
                <w:bCs/>
                <w:color w:val="000000"/>
              </w:rPr>
              <w:t>53.16%</w:t>
            </w:r>
          </w:p>
        </w:tc>
      </w:tr>
      <w:tr w:rsidR="004B0883" w14:paraId="4A875CF6" w14:textId="77777777">
        <w:trPr>
          <w:trHeight w:val="397"/>
        </w:trPr>
        <w:tc>
          <w:tcPr>
            <w:tcW w:w="8526" w:type="dxa"/>
            <w:gridSpan w:val="6"/>
            <w:shd w:val="clear" w:color="auto" w:fill="D9D9D9"/>
            <w:vAlign w:val="center"/>
          </w:tcPr>
          <w:p w14:paraId="26028A7B" w14:textId="77777777" w:rsidR="004B0883" w:rsidRDefault="004B0883">
            <w:pPr>
              <w:jc w:val="center"/>
              <w:rPr>
                <w:rFonts w:cs="华文中宋"/>
                <w:b/>
                <w:bCs/>
              </w:rPr>
            </w:pPr>
            <w:r>
              <w:rPr>
                <w:rFonts w:cs="华文中宋" w:hint="eastAsia"/>
                <w:b/>
                <w:bCs/>
                <w:color w:val="000000"/>
              </w:rPr>
              <w:t>2021</w:t>
            </w:r>
            <w:r>
              <w:rPr>
                <w:rFonts w:cs="华文中宋" w:hint="eastAsia"/>
                <w:b/>
                <w:bCs/>
                <w:color w:val="000000"/>
              </w:rPr>
              <w:t>年度</w:t>
            </w:r>
          </w:p>
        </w:tc>
      </w:tr>
      <w:tr w:rsidR="004B0883" w14:paraId="6B225184" w14:textId="77777777">
        <w:trPr>
          <w:trHeight w:val="397"/>
        </w:trPr>
        <w:tc>
          <w:tcPr>
            <w:tcW w:w="582" w:type="dxa"/>
            <w:shd w:val="clear" w:color="auto" w:fill="D9D9D9"/>
            <w:vAlign w:val="center"/>
          </w:tcPr>
          <w:p w14:paraId="46061FC2" w14:textId="77777777" w:rsidR="004B0883" w:rsidRDefault="004B0883">
            <w:pPr>
              <w:jc w:val="center"/>
              <w:rPr>
                <w:rFonts w:cs="华文中宋"/>
                <w:b/>
                <w:bCs/>
              </w:rPr>
            </w:pPr>
            <w:r>
              <w:rPr>
                <w:rFonts w:cs="华文中宋" w:hint="eastAsia"/>
                <w:b/>
                <w:bCs/>
                <w:color w:val="000000"/>
              </w:rPr>
              <w:t>序号</w:t>
            </w:r>
          </w:p>
        </w:tc>
        <w:tc>
          <w:tcPr>
            <w:tcW w:w="1529" w:type="dxa"/>
            <w:shd w:val="clear" w:color="auto" w:fill="D9D9D9"/>
            <w:vAlign w:val="center"/>
          </w:tcPr>
          <w:p w14:paraId="73FD3FDF" w14:textId="77777777" w:rsidR="004B0883" w:rsidRDefault="004B0883">
            <w:pPr>
              <w:jc w:val="center"/>
              <w:rPr>
                <w:rFonts w:cs="华文中宋"/>
                <w:b/>
                <w:bCs/>
              </w:rPr>
            </w:pPr>
            <w:r>
              <w:rPr>
                <w:rFonts w:cs="华文中宋" w:hint="eastAsia"/>
                <w:b/>
                <w:bCs/>
                <w:color w:val="000000"/>
              </w:rPr>
              <w:t>原材料名称</w:t>
            </w:r>
          </w:p>
        </w:tc>
        <w:tc>
          <w:tcPr>
            <w:tcW w:w="1529" w:type="dxa"/>
            <w:shd w:val="clear" w:color="auto" w:fill="D9D9D9"/>
            <w:vAlign w:val="center"/>
          </w:tcPr>
          <w:p w14:paraId="55884B84" w14:textId="77777777" w:rsidR="004B0883" w:rsidRDefault="004B0883">
            <w:pPr>
              <w:jc w:val="center"/>
              <w:rPr>
                <w:rFonts w:cs="华文中宋"/>
                <w:b/>
                <w:bCs/>
              </w:rPr>
            </w:pPr>
            <w:r>
              <w:rPr>
                <w:rFonts w:cs="华文中宋" w:hint="eastAsia"/>
                <w:b/>
                <w:bCs/>
                <w:color w:val="000000"/>
              </w:rPr>
              <w:t>采购数量</w:t>
            </w:r>
          </w:p>
        </w:tc>
        <w:tc>
          <w:tcPr>
            <w:tcW w:w="1430" w:type="dxa"/>
            <w:shd w:val="clear" w:color="auto" w:fill="D9D9D9"/>
            <w:vAlign w:val="center"/>
          </w:tcPr>
          <w:p w14:paraId="68C5EA61" w14:textId="77777777" w:rsidR="004B0883" w:rsidRDefault="004B0883">
            <w:pPr>
              <w:jc w:val="center"/>
              <w:rPr>
                <w:rFonts w:cs="华文中宋"/>
                <w:b/>
                <w:bCs/>
              </w:rPr>
            </w:pPr>
            <w:r>
              <w:rPr>
                <w:rFonts w:cs="华文中宋" w:hint="eastAsia"/>
                <w:b/>
                <w:bCs/>
                <w:color w:val="000000"/>
              </w:rPr>
              <w:t>平均采购单价（元）</w:t>
            </w:r>
          </w:p>
        </w:tc>
        <w:tc>
          <w:tcPr>
            <w:tcW w:w="1605" w:type="dxa"/>
            <w:shd w:val="clear" w:color="auto" w:fill="D9D9D9"/>
            <w:vAlign w:val="center"/>
          </w:tcPr>
          <w:p w14:paraId="0BBD8CDE" w14:textId="77777777" w:rsidR="004B0883" w:rsidRDefault="004B0883">
            <w:pPr>
              <w:jc w:val="center"/>
              <w:rPr>
                <w:rFonts w:cs="华文中宋"/>
                <w:b/>
                <w:bCs/>
              </w:rPr>
            </w:pPr>
            <w:r>
              <w:rPr>
                <w:rFonts w:cs="华文中宋" w:hint="eastAsia"/>
                <w:b/>
                <w:bCs/>
                <w:color w:val="000000"/>
              </w:rPr>
              <w:t>采购总金额（万元）</w:t>
            </w:r>
          </w:p>
        </w:tc>
        <w:tc>
          <w:tcPr>
            <w:tcW w:w="1851" w:type="dxa"/>
            <w:shd w:val="clear" w:color="auto" w:fill="D9D9D9"/>
            <w:vAlign w:val="center"/>
          </w:tcPr>
          <w:p w14:paraId="01D1DD45" w14:textId="77777777" w:rsidR="004B0883" w:rsidRDefault="004B0883">
            <w:pPr>
              <w:jc w:val="center"/>
              <w:rPr>
                <w:rFonts w:cs="华文中宋"/>
                <w:b/>
                <w:bCs/>
              </w:rPr>
            </w:pPr>
            <w:r>
              <w:rPr>
                <w:rFonts w:cs="华文中宋" w:hint="eastAsia"/>
                <w:b/>
                <w:bCs/>
                <w:color w:val="000000"/>
              </w:rPr>
              <w:t>占当年采购总额比例</w:t>
            </w:r>
          </w:p>
        </w:tc>
      </w:tr>
      <w:tr w:rsidR="004B0883" w14:paraId="2C03EC2A" w14:textId="77777777">
        <w:trPr>
          <w:trHeight w:val="397"/>
        </w:trPr>
        <w:tc>
          <w:tcPr>
            <w:tcW w:w="582" w:type="dxa"/>
            <w:vAlign w:val="center"/>
          </w:tcPr>
          <w:p w14:paraId="1E9E30AA" w14:textId="77777777" w:rsidR="004B0883" w:rsidRDefault="004B0883">
            <w:pPr>
              <w:jc w:val="center"/>
              <w:rPr>
                <w:rFonts w:cs="华文中宋"/>
              </w:rPr>
            </w:pPr>
            <w:r>
              <w:rPr>
                <w:rFonts w:cs="华文中宋" w:hint="eastAsia"/>
                <w:color w:val="000000"/>
              </w:rPr>
              <w:t>1</w:t>
            </w:r>
          </w:p>
        </w:tc>
        <w:tc>
          <w:tcPr>
            <w:tcW w:w="1529" w:type="dxa"/>
            <w:vAlign w:val="center"/>
          </w:tcPr>
          <w:p w14:paraId="35BDAFF7" w14:textId="77777777" w:rsidR="004B0883" w:rsidRDefault="004B0883">
            <w:pPr>
              <w:rPr>
                <w:rFonts w:cs="华文中宋"/>
              </w:rPr>
            </w:pPr>
            <w:r>
              <w:rPr>
                <w:rFonts w:cs="华文中宋" w:hint="eastAsia"/>
                <w:color w:val="000000"/>
              </w:rPr>
              <w:t>铸件（吨）</w:t>
            </w:r>
          </w:p>
        </w:tc>
        <w:tc>
          <w:tcPr>
            <w:tcW w:w="1529" w:type="dxa"/>
            <w:vAlign w:val="center"/>
          </w:tcPr>
          <w:p w14:paraId="49147823" w14:textId="77777777" w:rsidR="004B0883" w:rsidRDefault="004B0883">
            <w:pPr>
              <w:jc w:val="right"/>
              <w:rPr>
                <w:rFonts w:cs="华文中宋"/>
              </w:rPr>
            </w:pPr>
            <w:r>
              <w:rPr>
                <w:rFonts w:cs="华文中宋" w:hint="eastAsia"/>
                <w:color w:val="000000"/>
              </w:rPr>
              <w:t>4,431.09</w:t>
            </w:r>
          </w:p>
        </w:tc>
        <w:tc>
          <w:tcPr>
            <w:tcW w:w="1430" w:type="dxa"/>
            <w:vAlign w:val="center"/>
          </w:tcPr>
          <w:p w14:paraId="3151B5A6" w14:textId="77777777" w:rsidR="004B0883" w:rsidRDefault="004B0883">
            <w:pPr>
              <w:jc w:val="right"/>
              <w:rPr>
                <w:rFonts w:cs="华文中宋"/>
              </w:rPr>
            </w:pPr>
            <w:r>
              <w:rPr>
                <w:rFonts w:cs="华文中宋" w:hint="eastAsia"/>
                <w:color w:val="000000"/>
              </w:rPr>
              <w:t>9,047.01</w:t>
            </w:r>
          </w:p>
        </w:tc>
        <w:tc>
          <w:tcPr>
            <w:tcW w:w="1605" w:type="dxa"/>
            <w:vAlign w:val="center"/>
          </w:tcPr>
          <w:p w14:paraId="26B28077" w14:textId="77777777" w:rsidR="004B0883" w:rsidRDefault="004B0883">
            <w:pPr>
              <w:jc w:val="right"/>
              <w:rPr>
                <w:rFonts w:cs="华文中宋"/>
              </w:rPr>
            </w:pPr>
            <w:r>
              <w:rPr>
                <w:rFonts w:cs="华文中宋" w:hint="eastAsia"/>
                <w:color w:val="000000"/>
              </w:rPr>
              <w:t>4,008.81</w:t>
            </w:r>
          </w:p>
        </w:tc>
        <w:tc>
          <w:tcPr>
            <w:tcW w:w="1851" w:type="dxa"/>
            <w:vAlign w:val="center"/>
          </w:tcPr>
          <w:p w14:paraId="28F722EF" w14:textId="77777777" w:rsidR="004B0883" w:rsidRDefault="004B0883">
            <w:pPr>
              <w:jc w:val="right"/>
              <w:rPr>
                <w:rFonts w:cs="华文中宋"/>
              </w:rPr>
            </w:pPr>
            <w:r>
              <w:rPr>
                <w:rFonts w:cs="华文中宋" w:hint="eastAsia"/>
                <w:color w:val="000000"/>
              </w:rPr>
              <w:t>13.35%</w:t>
            </w:r>
          </w:p>
        </w:tc>
      </w:tr>
      <w:tr w:rsidR="004B0883" w14:paraId="61AF23A5" w14:textId="77777777">
        <w:trPr>
          <w:trHeight w:val="397"/>
        </w:trPr>
        <w:tc>
          <w:tcPr>
            <w:tcW w:w="582" w:type="dxa"/>
            <w:vAlign w:val="center"/>
          </w:tcPr>
          <w:p w14:paraId="2D87C9B8" w14:textId="77777777" w:rsidR="004B0883" w:rsidRDefault="004B0883">
            <w:pPr>
              <w:jc w:val="center"/>
              <w:rPr>
                <w:rFonts w:cs="华文中宋"/>
              </w:rPr>
            </w:pPr>
            <w:r>
              <w:rPr>
                <w:rFonts w:cs="华文中宋" w:hint="eastAsia"/>
                <w:color w:val="000000"/>
              </w:rPr>
              <w:t>2</w:t>
            </w:r>
          </w:p>
        </w:tc>
        <w:tc>
          <w:tcPr>
            <w:tcW w:w="1529" w:type="dxa"/>
            <w:vAlign w:val="center"/>
          </w:tcPr>
          <w:p w14:paraId="4D52761A" w14:textId="77777777" w:rsidR="004B0883" w:rsidRDefault="004B0883">
            <w:pPr>
              <w:rPr>
                <w:rFonts w:cs="华文中宋"/>
              </w:rPr>
            </w:pPr>
            <w:r>
              <w:rPr>
                <w:rFonts w:cs="华文中宋" w:hint="eastAsia"/>
                <w:color w:val="000000"/>
              </w:rPr>
              <w:t>加工件（件）</w:t>
            </w:r>
          </w:p>
        </w:tc>
        <w:tc>
          <w:tcPr>
            <w:tcW w:w="1529" w:type="dxa"/>
            <w:vAlign w:val="center"/>
          </w:tcPr>
          <w:p w14:paraId="6F89B09D" w14:textId="77777777" w:rsidR="004B0883" w:rsidRDefault="004B0883">
            <w:pPr>
              <w:jc w:val="right"/>
              <w:rPr>
                <w:rFonts w:cs="华文中宋"/>
              </w:rPr>
            </w:pPr>
            <w:r>
              <w:rPr>
                <w:rFonts w:cs="华文中宋" w:hint="eastAsia"/>
                <w:color w:val="000000"/>
              </w:rPr>
              <w:t>1,940,178.</w:t>
            </w:r>
            <w:r>
              <w:rPr>
                <w:rFonts w:cs="华文中宋"/>
                <w:color w:val="000000"/>
              </w:rPr>
              <w:t>00</w:t>
            </w:r>
          </w:p>
        </w:tc>
        <w:tc>
          <w:tcPr>
            <w:tcW w:w="1430" w:type="dxa"/>
            <w:vAlign w:val="center"/>
          </w:tcPr>
          <w:p w14:paraId="104969D4" w14:textId="77777777" w:rsidR="004B0883" w:rsidRDefault="004B0883">
            <w:pPr>
              <w:jc w:val="right"/>
              <w:rPr>
                <w:rFonts w:cs="华文中宋"/>
              </w:rPr>
            </w:pPr>
            <w:r>
              <w:rPr>
                <w:rFonts w:cs="华文中宋" w:hint="eastAsia"/>
                <w:color w:val="000000"/>
              </w:rPr>
              <w:t>17.53</w:t>
            </w:r>
          </w:p>
        </w:tc>
        <w:tc>
          <w:tcPr>
            <w:tcW w:w="1605" w:type="dxa"/>
            <w:vAlign w:val="center"/>
          </w:tcPr>
          <w:p w14:paraId="6B6DA7FB" w14:textId="77777777" w:rsidR="004B0883" w:rsidRDefault="004B0883">
            <w:pPr>
              <w:jc w:val="right"/>
              <w:rPr>
                <w:rFonts w:cs="华文中宋"/>
              </w:rPr>
            </w:pPr>
            <w:r>
              <w:rPr>
                <w:rFonts w:cs="华文中宋" w:hint="eastAsia"/>
                <w:color w:val="000000"/>
              </w:rPr>
              <w:t>3,402.04</w:t>
            </w:r>
          </w:p>
        </w:tc>
        <w:tc>
          <w:tcPr>
            <w:tcW w:w="1851" w:type="dxa"/>
            <w:vAlign w:val="center"/>
          </w:tcPr>
          <w:p w14:paraId="68D22A56" w14:textId="77777777" w:rsidR="004B0883" w:rsidRDefault="004B0883">
            <w:pPr>
              <w:jc w:val="right"/>
              <w:rPr>
                <w:rFonts w:cs="华文中宋"/>
              </w:rPr>
            </w:pPr>
            <w:r>
              <w:rPr>
                <w:rFonts w:cs="华文中宋" w:hint="eastAsia"/>
                <w:color w:val="000000"/>
              </w:rPr>
              <w:t>11.33%</w:t>
            </w:r>
          </w:p>
        </w:tc>
      </w:tr>
      <w:tr w:rsidR="004B0883" w14:paraId="49AAA17E" w14:textId="77777777">
        <w:trPr>
          <w:trHeight w:val="397"/>
        </w:trPr>
        <w:tc>
          <w:tcPr>
            <w:tcW w:w="582" w:type="dxa"/>
            <w:vAlign w:val="center"/>
          </w:tcPr>
          <w:p w14:paraId="16F75B31" w14:textId="77777777" w:rsidR="004B0883" w:rsidRDefault="004B0883">
            <w:pPr>
              <w:jc w:val="center"/>
              <w:rPr>
                <w:rFonts w:cs="华文中宋"/>
              </w:rPr>
            </w:pPr>
            <w:r>
              <w:rPr>
                <w:rFonts w:cs="华文中宋" w:hint="eastAsia"/>
                <w:color w:val="000000"/>
              </w:rPr>
              <w:t>3</w:t>
            </w:r>
          </w:p>
        </w:tc>
        <w:tc>
          <w:tcPr>
            <w:tcW w:w="1529" w:type="dxa"/>
            <w:vAlign w:val="center"/>
          </w:tcPr>
          <w:p w14:paraId="2A723002" w14:textId="77777777" w:rsidR="004B0883" w:rsidRDefault="004B0883">
            <w:pPr>
              <w:rPr>
                <w:rFonts w:cs="华文中宋"/>
              </w:rPr>
            </w:pPr>
            <w:r>
              <w:rPr>
                <w:rFonts w:cs="华文中宋" w:hint="eastAsia"/>
                <w:color w:val="000000"/>
              </w:rPr>
              <w:t>生铁（吨）</w:t>
            </w:r>
          </w:p>
        </w:tc>
        <w:tc>
          <w:tcPr>
            <w:tcW w:w="1529" w:type="dxa"/>
            <w:vAlign w:val="center"/>
          </w:tcPr>
          <w:p w14:paraId="79A881F5" w14:textId="77777777" w:rsidR="004B0883" w:rsidRDefault="004B0883">
            <w:pPr>
              <w:jc w:val="right"/>
              <w:rPr>
                <w:rFonts w:cs="华文中宋"/>
              </w:rPr>
            </w:pPr>
            <w:r>
              <w:rPr>
                <w:rFonts w:cs="华文中宋" w:hint="eastAsia"/>
                <w:color w:val="000000"/>
              </w:rPr>
              <w:t>2,595.91</w:t>
            </w:r>
          </w:p>
        </w:tc>
        <w:tc>
          <w:tcPr>
            <w:tcW w:w="1430" w:type="dxa"/>
            <w:vAlign w:val="center"/>
          </w:tcPr>
          <w:p w14:paraId="508E8DE9" w14:textId="77777777" w:rsidR="004B0883" w:rsidRDefault="004B0883">
            <w:pPr>
              <w:jc w:val="right"/>
              <w:rPr>
                <w:rFonts w:cs="华文中宋"/>
              </w:rPr>
            </w:pPr>
            <w:r>
              <w:rPr>
                <w:rFonts w:cs="华文中宋" w:hint="eastAsia"/>
                <w:color w:val="000000"/>
              </w:rPr>
              <w:t>3,881.26</w:t>
            </w:r>
          </w:p>
        </w:tc>
        <w:tc>
          <w:tcPr>
            <w:tcW w:w="1605" w:type="dxa"/>
            <w:vAlign w:val="center"/>
          </w:tcPr>
          <w:p w14:paraId="07E711DE" w14:textId="77777777" w:rsidR="004B0883" w:rsidRDefault="004B0883">
            <w:pPr>
              <w:jc w:val="right"/>
              <w:rPr>
                <w:rFonts w:cs="华文中宋"/>
              </w:rPr>
            </w:pPr>
            <w:r>
              <w:rPr>
                <w:rFonts w:cs="华文中宋" w:hint="eastAsia"/>
                <w:color w:val="000000"/>
              </w:rPr>
              <w:t>1,007.54</w:t>
            </w:r>
          </w:p>
        </w:tc>
        <w:tc>
          <w:tcPr>
            <w:tcW w:w="1851" w:type="dxa"/>
            <w:vAlign w:val="center"/>
          </w:tcPr>
          <w:p w14:paraId="46A52C8B" w14:textId="77777777" w:rsidR="004B0883" w:rsidRDefault="004B0883">
            <w:pPr>
              <w:jc w:val="right"/>
              <w:rPr>
                <w:rFonts w:cs="华文中宋"/>
              </w:rPr>
            </w:pPr>
            <w:r>
              <w:rPr>
                <w:rFonts w:cs="华文中宋" w:hint="eastAsia"/>
                <w:color w:val="000000"/>
              </w:rPr>
              <w:t>3.35%</w:t>
            </w:r>
          </w:p>
        </w:tc>
      </w:tr>
      <w:tr w:rsidR="004B0883" w14:paraId="6AB973D4" w14:textId="77777777">
        <w:trPr>
          <w:trHeight w:val="397"/>
        </w:trPr>
        <w:tc>
          <w:tcPr>
            <w:tcW w:w="582" w:type="dxa"/>
            <w:vAlign w:val="center"/>
          </w:tcPr>
          <w:p w14:paraId="3202462D" w14:textId="77777777" w:rsidR="004B0883" w:rsidRDefault="004B0883">
            <w:pPr>
              <w:jc w:val="center"/>
              <w:rPr>
                <w:rFonts w:cs="华文中宋"/>
              </w:rPr>
            </w:pPr>
            <w:r>
              <w:rPr>
                <w:rFonts w:cs="华文中宋" w:hint="eastAsia"/>
                <w:color w:val="000000"/>
              </w:rPr>
              <w:t>4</w:t>
            </w:r>
          </w:p>
        </w:tc>
        <w:tc>
          <w:tcPr>
            <w:tcW w:w="1529" w:type="dxa"/>
            <w:vAlign w:val="center"/>
          </w:tcPr>
          <w:p w14:paraId="1C4AF94D" w14:textId="77777777" w:rsidR="004B0883" w:rsidRDefault="004B0883">
            <w:pPr>
              <w:rPr>
                <w:rFonts w:cs="华文中宋"/>
              </w:rPr>
            </w:pPr>
            <w:r>
              <w:rPr>
                <w:rFonts w:cs="华文中宋" w:hint="eastAsia"/>
                <w:color w:val="000000"/>
              </w:rPr>
              <w:t>废钢（吨）</w:t>
            </w:r>
          </w:p>
        </w:tc>
        <w:tc>
          <w:tcPr>
            <w:tcW w:w="1529" w:type="dxa"/>
            <w:vAlign w:val="center"/>
          </w:tcPr>
          <w:p w14:paraId="034AC75B" w14:textId="77777777" w:rsidR="004B0883" w:rsidRDefault="004B0883">
            <w:pPr>
              <w:jc w:val="right"/>
              <w:rPr>
                <w:rFonts w:cs="华文中宋"/>
              </w:rPr>
            </w:pPr>
            <w:r>
              <w:rPr>
                <w:rFonts w:cs="华文中宋" w:hint="eastAsia"/>
                <w:color w:val="000000"/>
              </w:rPr>
              <w:t>8,540.60</w:t>
            </w:r>
          </w:p>
        </w:tc>
        <w:tc>
          <w:tcPr>
            <w:tcW w:w="1430" w:type="dxa"/>
            <w:vAlign w:val="center"/>
          </w:tcPr>
          <w:p w14:paraId="66CEB35D" w14:textId="77777777" w:rsidR="004B0883" w:rsidRDefault="004B0883">
            <w:pPr>
              <w:jc w:val="right"/>
              <w:rPr>
                <w:rFonts w:cs="华文中宋"/>
              </w:rPr>
            </w:pPr>
            <w:r>
              <w:rPr>
                <w:rFonts w:cs="华文中宋" w:hint="eastAsia"/>
                <w:color w:val="000000"/>
              </w:rPr>
              <w:t>3,469.16</w:t>
            </w:r>
          </w:p>
        </w:tc>
        <w:tc>
          <w:tcPr>
            <w:tcW w:w="1605" w:type="dxa"/>
            <w:vAlign w:val="center"/>
          </w:tcPr>
          <w:p w14:paraId="22C3F7AB" w14:textId="77777777" w:rsidR="004B0883" w:rsidRDefault="004B0883">
            <w:pPr>
              <w:jc w:val="right"/>
              <w:rPr>
                <w:rFonts w:cs="华文中宋"/>
              </w:rPr>
            </w:pPr>
            <w:r>
              <w:rPr>
                <w:rFonts w:cs="华文中宋" w:hint="eastAsia"/>
                <w:color w:val="000000"/>
              </w:rPr>
              <w:t>2,962.87</w:t>
            </w:r>
          </w:p>
        </w:tc>
        <w:tc>
          <w:tcPr>
            <w:tcW w:w="1851" w:type="dxa"/>
            <w:vAlign w:val="center"/>
          </w:tcPr>
          <w:p w14:paraId="53010F6C" w14:textId="77777777" w:rsidR="004B0883" w:rsidRDefault="004B0883">
            <w:pPr>
              <w:jc w:val="right"/>
              <w:rPr>
                <w:rFonts w:cs="华文中宋"/>
              </w:rPr>
            </w:pPr>
            <w:r>
              <w:rPr>
                <w:rFonts w:cs="华文中宋" w:hint="eastAsia"/>
                <w:color w:val="000000"/>
              </w:rPr>
              <w:t>9.86%</w:t>
            </w:r>
          </w:p>
        </w:tc>
      </w:tr>
      <w:tr w:rsidR="004B0883" w14:paraId="2C34EA80" w14:textId="77777777">
        <w:trPr>
          <w:trHeight w:val="397"/>
        </w:trPr>
        <w:tc>
          <w:tcPr>
            <w:tcW w:w="582" w:type="dxa"/>
            <w:vAlign w:val="center"/>
          </w:tcPr>
          <w:p w14:paraId="679D84CC" w14:textId="77777777" w:rsidR="004B0883" w:rsidRDefault="004B0883">
            <w:pPr>
              <w:jc w:val="center"/>
              <w:rPr>
                <w:rFonts w:cs="华文中宋"/>
              </w:rPr>
            </w:pPr>
            <w:r>
              <w:rPr>
                <w:rFonts w:cs="华文中宋" w:hint="eastAsia"/>
                <w:color w:val="000000"/>
              </w:rPr>
              <w:t>5</w:t>
            </w:r>
          </w:p>
        </w:tc>
        <w:tc>
          <w:tcPr>
            <w:tcW w:w="1529" w:type="dxa"/>
            <w:vAlign w:val="center"/>
          </w:tcPr>
          <w:p w14:paraId="20FC7ED2" w14:textId="77777777" w:rsidR="004B0883" w:rsidRDefault="004B0883">
            <w:pPr>
              <w:rPr>
                <w:rFonts w:cs="华文中宋"/>
              </w:rPr>
            </w:pPr>
            <w:r>
              <w:rPr>
                <w:rFonts w:cs="华文中宋" w:hint="eastAsia"/>
                <w:color w:val="000000"/>
              </w:rPr>
              <w:t>阀杆（件）</w:t>
            </w:r>
          </w:p>
        </w:tc>
        <w:tc>
          <w:tcPr>
            <w:tcW w:w="1529" w:type="dxa"/>
            <w:vAlign w:val="center"/>
          </w:tcPr>
          <w:p w14:paraId="119A09AC" w14:textId="77777777" w:rsidR="004B0883" w:rsidRDefault="004B0883">
            <w:pPr>
              <w:jc w:val="right"/>
              <w:rPr>
                <w:rFonts w:cs="华文中宋"/>
              </w:rPr>
            </w:pPr>
            <w:r>
              <w:rPr>
                <w:rFonts w:cs="华文中宋" w:hint="eastAsia"/>
                <w:color w:val="000000"/>
              </w:rPr>
              <w:t>266,907.00</w:t>
            </w:r>
          </w:p>
        </w:tc>
        <w:tc>
          <w:tcPr>
            <w:tcW w:w="1430" w:type="dxa"/>
            <w:vAlign w:val="center"/>
          </w:tcPr>
          <w:p w14:paraId="5D71B49E" w14:textId="77777777" w:rsidR="004B0883" w:rsidRDefault="004B0883">
            <w:pPr>
              <w:jc w:val="right"/>
              <w:rPr>
                <w:rFonts w:cs="华文中宋"/>
              </w:rPr>
            </w:pPr>
            <w:r>
              <w:rPr>
                <w:rFonts w:cs="华文中宋" w:hint="eastAsia"/>
                <w:color w:val="000000"/>
              </w:rPr>
              <w:t>36.63</w:t>
            </w:r>
          </w:p>
        </w:tc>
        <w:tc>
          <w:tcPr>
            <w:tcW w:w="1605" w:type="dxa"/>
            <w:vAlign w:val="center"/>
          </w:tcPr>
          <w:p w14:paraId="6E2B06E2" w14:textId="77777777" w:rsidR="004B0883" w:rsidRDefault="004B0883">
            <w:pPr>
              <w:jc w:val="right"/>
              <w:rPr>
                <w:rFonts w:cs="华文中宋"/>
              </w:rPr>
            </w:pPr>
            <w:r>
              <w:rPr>
                <w:rFonts w:cs="华文中宋" w:hint="eastAsia"/>
                <w:color w:val="000000"/>
              </w:rPr>
              <w:t>977.79</w:t>
            </w:r>
          </w:p>
        </w:tc>
        <w:tc>
          <w:tcPr>
            <w:tcW w:w="1851" w:type="dxa"/>
            <w:vAlign w:val="center"/>
          </w:tcPr>
          <w:p w14:paraId="03B4051D" w14:textId="77777777" w:rsidR="004B0883" w:rsidRDefault="004B0883">
            <w:pPr>
              <w:jc w:val="right"/>
              <w:rPr>
                <w:rFonts w:cs="华文中宋"/>
              </w:rPr>
            </w:pPr>
            <w:r>
              <w:rPr>
                <w:rFonts w:cs="华文中宋" w:hint="eastAsia"/>
                <w:color w:val="000000"/>
              </w:rPr>
              <w:t>3.26%</w:t>
            </w:r>
          </w:p>
        </w:tc>
      </w:tr>
      <w:tr w:rsidR="004B0883" w14:paraId="0DFFD1E4" w14:textId="77777777">
        <w:trPr>
          <w:trHeight w:val="397"/>
        </w:trPr>
        <w:tc>
          <w:tcPr>
            <w:tcW w:w="582" w:type="dxa"/>
            <w:vAlign w:val="center"/>
          </w:tcPr>
          <w:p w14:paraId="0514F67D" w14:textId="77777777" w:rsidR="004B0883" w:rsidRDefault="004B0883">
            <w:pPr>
              <w:jc w:val="center"/>
              <w:rPr>
                <w:rFonts w:cs="华文中宋"/>
              </w:rPr>
            </w:pPr>
            <w:r>
              <w:rPr>
                <w:rFonts w:cs="华文中宋" w:hint="eastAsia"/>
                <w:color w:val="000000"/>
              </w:rPr>
              <w:t>6</w:t>
            </w:r>
          </w:p>
        </w:tc>
        <w:tc>
          <w:tcPr>
            <w:tcW w:w="1529" w:type="dxa"/>
            <w:vAlign w:val="center"/>
          </w:tcPr>
          <w:p w14:paraId="1040BF8D" w14:textId="77777777" w:rsidR="004B0883" w:rsidRDefault="004B0883">
            <w:pPr>
              <w:rPr>
                <w:rFonts w:cs="华文中宋"/>
              </w:rPr>
            </w:pPr>
            <w:r>
              <w:rPr>
                <w:rFonts w:cs="华文中宋" w:hint="eastAsia"/>
                <w:color w:val="000000"/>
              </w:rPr>
              <w:t>驱动头（件）</w:t>
            </w:r>
          </w:p>
        </w:tc>
        <w:tc>
          <w:tcPr>
            <w:tcW w:w="1529" w:type="dxa"/>
            <w:vAlign w:val="center"/>
          </w:tcPr>
          <w:p w14:paraId="1F014929" w14:textId="77777777" w:rsidR="004B0883" w:rsidRDefault="004B0883">
            <w:pPr>
              <w:jc w:val="right"/>
              <w:rPr>
                <w:rFonts w:cs="华文中宋"/>
              </w:rPr>
            </w:pPr>
            <w:r>
              <w:rPr>
                <w:rFonts w:cs="华文中宋" w:hint="eastAsia"/>
                <w:color w:val="000000"/>
              </w:rPr>
              <w:t>51,697.00</w:t>
            </w:r>
          </w:p>
        </w:tc>
        <w:tc>
          <w:tcPr>
            <w:tcW w:w="1430" w:type="dxa"/>
            <w:vAlign w:val="center"/>
          </w:tcPr>
          <w:p w14:paraId="0F606192" w14:textId="77777777" w:rsidR="004B0883" w:rsidRDefault="004B0883">
            <w:pPr>
              <w:jc w:val="right"/>
              <w:rPr>
                <w:rFonts w:cs="华文中宋"/>
              </w:rPr>
            </w:pPr>
            <w:r>
              <w:rPr>
                <w:rFonts w:cs="华文中宋" w:hint="eastAsia"/>
                <w:color w:val="000000"/>
              </w:rPr>
              <w:t>124.89</w:t>
            </w:r>
          </w:p>
        </w:tc>
        <w:tc>
          <w:tcPr>
            <w:tcW w:w="1605" w:type="dxa"/>
            <w:vAlign w:val="center"/>
          </w:tcPr>
          <w:p w14:paraId="7F8BCFF0" w14:textId="77777777" w:rsidR="004B0883" w:rsidRDefault="004B0883">
            <w:pPr>
              <w:jc w:val="right"/>
              <w:rPr>
                <w:rFonts w:cs="华文中宋"/>
              </w:rPr>
            </w:pPr>
            <w:r>
              <w:rPr>
                <w:rFonts w:cs="华文中宋" w:hint="eastAsia"/>
                <w:color w:val="000000"/>
              </w:rPr>
              <w:t>645.64</w:t>
            </w:r>
          </w:p>
        </w:tc>
        <w:tc>
          <w:tcPr>
            <w:tcW w:w="1851" w:type="dxa"/>
            <w:vAlign w:val="center"/>
          </w:tcPr>
          <w:p w14:paraId="31B52958" w14:textId="77777777" w:rsidR="004B0883" w:rsidRDefault="004B0883">
            <w:pPr>
              <w:jc w:val="right"/>
              <w:rPr>
                <w:rFonts w:cs="华文中宋"/>
              </w:rPr>
            </w:pPr>
            <w:r>
              <w:rPr>
                <w:rFonts w:cs="华文中宋" w:hint="eastAsia"/>
                <w:color w:val="000000"/>
              </w:rPr>
              <w:t>2.15%</w:t>
            </w:r>
          </w:p>
        </w:tc>
      </w:tr>
      <w:tr w:rsidR="004B0883" w14:paraId="6C1ACED6" w14:textId="77777777">
        <w:trPr>
          <w:trHeight w:val="397"/>
        </w:trPr>
        <w:tc>
          <w:tcPr>
            <w:tcW w:w="2111" w:type="dxa"/>
            <w:gridSpan w:val="2"/>
            <w:vAlign w:val="center"/>
          </w:tcPr>
          <w:p w14:paraId="2A23BECB" w14:textId="77777777" w:rsidR="004B0883" w:rsidRDefault="004B0883">
            <w:pPr>
              <w:jc w:val="center"/>
              <w:rPr>
                <w:rFonts w:cs="华文中宋"/>
                <w:b/>
                <w:bCs/>
              </w:rPr>
            </w:pPr>
            <w:r>
              <w:rPr>
                <w:rFonts w:cs="华文中宋" w:hint="eastAsia"/>
                <w:b/>
                <w:bCs/>
                <w:color w:val="000000"/>
              </w:rPr>
              <w:t>合计</w:t>
            </w:r>
          </w:p>
        </w:tc>
        <w:tc>
          <w:tcPr>
            <w:tcW w:w="1529" w:type="dxa"/>
            <w:vAlign w:val="center"/>
          </w:tcPr>
          <w:p w14:paraId="385B369B" w14:textId="77777777" w:rsidR="004B0883" w:rsidRDefault="004B0883">
            <w:pPr>
              <w:jc w:val="right"/>
              <w:rPr>
                <w:rFonts w:cs="华文中宋"/>
                <w:b/>
                <w:bCs/>
              </w:rPr>
            </w:pPr>
            <w:r>
              <w:rPr>
                <w:rFonts w:cs="华文中宋"/>
                <w:b/>
                <w:bCs/>
                <w:color w:val="000000"/>
              </w:rPr>
              <w:t>-</w:t>
            </w:r>
          </w:p>
        </w:tc>
        <w:tc>
          <w:tcPr>
            <w:tcW w:w="1430" w:type="dxa"/>
            <w:vAlign w:val="center"/>
          </w:tcPr>
          <w:p w14:paraId="1E4AAF61" w14:textId="77777777" w:rsidR="004B0883" w:rsidRDefault="004B0883">
            <w:pPr>
              <w:jc w:val="right"/>
              <w:rPr>
                <w:rFonts w:cs="华文中宋"/>
                <w:b/>
                <w:bCs/>
              </w:rPr>
            </w:pPr>
            <w:r>
              <w:rPr>
                <w:rFonts w:cs="华文中宋" w:hint="eastAsia"/>
                <w:b/>
                <w:bCs/>
                <w:color w:val="000000"/>
              </w:rPr>
              <w:t>-</w:t>
            </w:r>
          </w:p>
        </w:tc>
        <w:tc>
          <w:tcPr>
            <w:tcW w:w="1605" w:type="dxa"/>
            <w:vAlign w:val="center"/>
          </w:tcPr>
          <w:p w14:paraId="3236D243" w14:textId="77777777" w:rsidR="004B0883" w:rsidRDefault="004B0883">
            <w:pPr>
              <w:jc w:val="right"/>
              <w:rPr>
                <w:rFonts w:cs="华文中宋"/>
                <w:b/>
                <w:bCs/>
              </w:rPr>
            </w:pPr>
            <w:r>
              <w:rPr>
                <w:rFonts w:cs="华文中宋" w:hint="eastAsia"/>
                <w:b/>
                <w:bCs/>
                <w:color w:val="000000"/>
              </w:rPr>
              <w:t>13,004.69</w:t>
            </w:r>
          </w:p>
        </w:tc>
        <w:tc>
          <w:tcPr>
            <w:tcW w:w="1851" w:type="dxa"/>
            <w:vAlign w:val="center"/>
          </w:tcPr>
          <w:p w14:paraId="7C2D2CC0" w14:textId="77777777" w:rsidR="004B0883" w:rsidRDefault="004B0883">
            <w:pPr>
              <w:jc w:val="right"/>
              <w:rPr>
                <w:rFonts w:cs="华文中宋"/>
                <w:b/>
                <w:bCs/>
              </w:rPr>
            </w:pPr>
            <w:r>
              <w:rPr>
                <w:rFonts w:cs="华文中宋"/>
                <w:b/>
                <w:bCs/>
                <w:color w:val="000000"/>
              </w:rPr>
              <w:t>43.30%</w:t>
            </w:r>
          </w:p>
        </w:tc>
      </w:tr>
      <w:tr w:rsidR="004B0883" w14:paraId="0865FE98" w14:textId="77777777">
        <w:trPr>
          <w:trHeight w:val="397"/>
        </w:trPr>
        <w:tc>
          <w:tcPr>
            <w:tcW w:w="8526" w:type="dxa"/>
            <w:gridSpan w:val="6"/>
            <w:shd w:val="clear" w:color="auto" w:fill="D9D9D9"/>
            <w:vAlign w:val="center"/>
          </w:tcPr>
          <w:p w14:paraId="5B7DE924" w14:textId="77777777" w:rsidR="004B0883" w:rsidRDefault="004B0883">
            <w:pPr>
              <w:jc w:val="center"/>
              <w:rPr>
                <w:rFonts w:cs="华文中宋"/>
                <w:b/>
                <w:bCs/>
              </w:rPr>
            </w:pPr>
            <w:r>
              <w:rPr>
                <w:rFonts w:cs="华文中宋" w:hint="eastAsia"/>
                <w:b/>
                <w:bCs/>
                <w:color w:val="000000"/>
              </w:rPr>
              <w:t>2020</w:t>
            </w:r>
            <w:r>
              <w:rPr>
                <w:rFonts w:cs="华文中宋" w:hint="eastAsia"/>
                <w:b/>
                <w:bCs/>
                <w:color w:val="000000"/>
              </w:rPr>
              <w:t>年度</w:t>
            </w:r>
          </w:p>
        </w:tc>
      </w:tr>
      <w:tr w:rsidR="004B0883" w14:paraId="75EDDD4E" w14:textId="77777777">
        <w:trPr>
          <w:trHeight w:val="397"/>
        </w:trPr>
        <w:tc>
          <w:tcPr>
            <w:tcW w:w="582" w:type="dxa"/>
            <w:shd w:val="clear" w:color="auto" w:fill="D9D9D9"/>
            <w:vAlign w:val="center"/>
          </w:tcPr>
          <w:p w14:paraId="4BE4D201" w14:textId="77777777" w:rsidR="004B0883" w:rsidRDefault="004B0883">
            <w:pPr>
              <w:jc w:val="center"/>
              <w:rPr>
                <w:rFonts w:cs="华文中宋"/>
                <w:b/>
                <w:bCs/>
              </w:rPr>
            </w:pPr>
            <w:r>
              <w:rPr>
                <w:rFonts w:cs="华文中宋" w:hint="eastAsia"/>
                <w:b/>
                <w:bCs/>
                <w:color w:val="000000"/>
              </w:rPr>
              <w:t>序号</w:t>
            </w:r>
          </w:p>
        </w:tc>
        <w:tc>
          <w:tcPr>
            <w:tcW w:w="1529" w:type="dxa"/>
            <w:shd w:val="clear" w:color="auto" w:fill="D9D9D9"/>
            <w:vAlign w:val="center"/>
          </w:tcPr>
          <w:p w14:paraId="24594077" w14:textId="77777777" w:rsidR="004B0883" w:rsidRDefault="004B0883">
            <w:pPr>
              <w:jc w:val="center"/>
              <w:rPr>
                <w:rFonts w:cs="华文中宋"/>
                <w:b/>
                <w:bCs/>
              </w:rPr>
            </w:pPr>
            <w:r>
              <w:rPr>
                <w:rFonts w:cs="华文中宋" w:hint="eastAsia"/>
                <w:b/>
                <w:bCs/>
                <w:color w:val="000000"/>
              </w:rPr>
              <w:t>原材料名称</w:t>
            </w:r>
          </w:p>
        </w:tc>
        <w:tc>
          <w:tcPr>
            <w:tcW w:w="1529" w:type="dxa"/>
            <w:shd w:val="clear" w:color="auto" w:fill="D9D9D9"/>
            <w:vAlign w:val="center"/>
          </w:tcPr>
          <w:p w14:paraId="0F0ACF61" w14:textId="77777777" w:rsidR="004B0883" w:rsidRDefault="004B0883">
            <w:pPr>
              <w:jc w:val="center"/>
              <w:rPr>
                <w:rFonts w:cs="华文中宋"/>
                <w:b/>
                <w:bCs/>
              </w:rPr>
            </w:pPr>
            <w:r>
              <w:rPr>
                <w:rFonts w:cs="华文中宋" w:hint="eastAsia"/>
                <w:b/>
                <w:bCs/>
                <w:color w:val="000000"/>
              </w:rPr>
              <w:t>采购数量</w:t>
            </w:r>
          </w:p>
        </w:tc>
        <w:tc>
          <w:tcPr>
            <w:tcW w:w="1430" w:type="dxa"/>
            <w:shd w:val="clear" w:color="auto" w:fill="D9D9D9"/>
            <w:vAlign w:val="center"/>
          </w:tcPr>
          <w:p w14:paraId="2CC26DEB" w14:textId="77777777" w:rsidR="004B0883" w:rsidRDefault="004B0883">
            <w:pPr>
              <w:jc w:val="center"/>
              <w:rPr>
                <w:rFonts w:cs="华文中宋"/>
                <w:b/>
                <w:bCs/>
              </w:rPr>
            </w:pPr>
            <w:r>
              <w:rPr>
                <w:rFonts w:cs="华文中宋" w:hint="eastAsia"/>
                <w:b/>
                <w:bCs/>
                <w:color w:val="000000"/>
              </w:rPr>
              <w:t>平均采购单价（元）</w:t>
            </w:r>
          </w:p>
        </w:tc>
        <w:tc>
          <w:tcPr>
            <w:tcW w:w="1605" w:type="dxa"/>
            <w:shd w:val="clear" w:color="auto" w:fill="D9D9D9"/>
            <w:vAlign w:val="center"/>
          </w:tcPr>
          <w:p w14:paraId="39FF9442" w14:textId="77777777" w:rsidR="004B0883" w:rsidRDefault="004B0883">
            <w:pPr>
              <w:jc w:val="center"/>
              <w:rPr>
                <w:rFonts w:cs="华文中宋"/>
                <w:b/>
                <w:bCs/>
              </w:rPr>
            </w:pPr>
            <w:r>
              <w:rPr>
                <w:rFonts w:cs="华文中宋" w:hint="eastAsia"/>
                <w:b/>
                <w:bCs/>
                <w:color w:val="000000"/>
              </w:rPr>
              <w:t>采购总金额（万元）</w:t>
            </w:r>
          </w:p>
        </w:tc>
        <w:tc>
          <w:tcPr>
            <w:tcW w:w="1851" w:type="dxa"/>
            <w:shd w:val="clear" w:color="auto" w:fill="D9D9D9"/>
            <w:vAlign w:val="center"/>
          </w:tcPr>
          <w:p w14:paraId="1CE7712F" w14:textId="77777777" w:rsidR="004B0883" w:rsidRDefault="004B0883">
            <w:pPr>
              <w:jc w:val="center"/>
              <w:rPr>
                <w:rFonts w:cs="华文中宋"/>
                <w:b/>
                <w:bCs/>
              </w:rPr>
            </w:pPr>
            <w:r>
              <w:rPr>
                <w:rFonts w:cs="华文中宋" w:hint="eastAsia"/>
                <w:b/>
                <w:bCs/>
                <w:color w:val="000000"/>
              </w:rPr>
              <w:t>占当年采购总额比例</w:t>
            </w:r>
          </w:p>
        </w:tc>
      </w:tr>
      <w:tr w:rsidR="004B0883" w14:paraId="09ABBCA8" w14:textId="77777777">
        <w:trPr>
          <w:trHeight w:val="397"/>
        </w:trPr>
        <w:tc>
          <w:tcPr>
            <w:tcW w:w="582" w:type="dxa"/>
            <w:vAlign w:val="center"/>
          </w:tcPr>
          <w:p w14:paraId="414FF33F" w14:textId="77777777" w:rsidR="004B0883" w:rsidRDefault="004B0883">
            <w:pPr>
              <w:jc w:val="center"/>
              <w:rPr>
                <w:rFonts w:cs="华文中宋"/>
              </w:rPr>
            </w:pPr>
            <w:r>
              <w:rPr>
                <w:rFonts w:cs="华文中宋" w:hint="eastAsia"/>
                <w:color w:val="000000"/>
              </w:rPr>
              <w:t>1</w:t>
            </w:r>
          </w:p>
        </w:tc>
        <w:tc>
          <w:tcPr>
            <w:tcW w:w="1529" w:type="dxa"/>
            <w:vAlign w:val="center"/>
          </w:tcPr>
          <w:p w14:paraId="33337FBE" w14:textId="77777777" w:rsidR="004B0883" w:rsidRDefault="004B0883">
            <w:pPr>
              <w:rPr>
                <w:rFonts w:cs="华文中宋"/>
              </w:rPr>
            </w:pPr>
            <w:r>
              <w:rPr>
                <w:rFonts w:cs="华文中宋" w:hint="eastAsia"/>
                <w:color w:val="000000"/>
              </w:rPr>
              <w:t>铸件（吨）</w:t>
            </w:r>
          </w:p>
        </w:tc>
        <w:tc>
          <w:tcPr>
            <w:tcW w:w="1529" w:type="dxa"/>
            <w:vAlign w:val="center"/>
          </w:tcPr>
          <w:p w14:paraId="59B87D47" w14:textId="77777777" w:rsidR="004B0883" w:rsidRDefault="004B0883">
            <w:pPr>
              <w:jc w:val="right"/>
              <w:rPr>
                <w:rFonts w:cs="华文中宋"/>
              </w:rPr>
            </w:pPr>
            <w:r>
              <w:rPr>
                <w:rFonts w:cs="华文中宋" w:hint="eastAsia"/>
                <w:color w:val="000000"/>
              </w:rPr>
              <w:t>3,380.72</w:t>
            </w:r>
          </w:p>
        </w:tc>
        <w:tc>
          <w:tcPr>
            <w:tcW w:w="1430" w:type="dxa"/>
            <w:vAlign w:val="center"/>
          </w:tcPr>
          <w:p w14:paraId="15AB0428" w14:textId="77777777" w:rsidR="004B0883" w:rsidRDefault="004B0883">
            <w:pPr>
              <w:jc w:val="right"/>
              <w:rPr>
                <w:rFonts w:cs="华文中宋"/>
              </w:rPr>
            </w:pPr>
            <w:r>
              <w:rPr>
                <w:rFonts w:cs="华文中宋" w:hint="eastAsia"/>
                <w:color w:val="000000"/>
              </w:rPr>
              <w:t>7,935.17</w:t>
            </w:r>
          </w:p>
        </w:tc>
        <w:tc>
          <w:tcPr>
            <w:tcW w:w="1605" w:type="dxa"/>
            <w:vAlign w:val="center"/>
          </w:tcPr>
          <w:p w14:paraId="5CCB3391" w14:textId="77777777" w:rsidR="004B0883" w:rsidRDefault="004B0883">
            <w:pPr>
              <w:jc w:val="right"/>
              <w:rPr>
                <w:rFonts w:cs="华文中宋"/>
              </w:rPr>
            </w:pPr>
            <w:r>
              <w:rPr>
                <w:rFonts w:cs="华文中宋" w:hint="eastAsia"/>
                <w:color w:val="000000"/>
              </w:rPr>
              <w:t>2,682.66</w:t>
            </w:r>
          </w:p>
        </w:tc>
        <w:tc>
          <w:tcPr>
            <w:tcW w:w="1851" w:type="dxa"/>
            <w:vAlign w:val="center"/>
          </w:tcPr>
          <w:p w14:paraId="7A8634FD" w14:textId="77777777" w:rsidR="004B0883" w:rsidRDefault="004B0883">
            <w:pPr>
              <w:jc w:val="right"/>
              <w:rPr>
                <w:rFonts w:cs="华文中宋"/>
              </w:rPr>
            </w:pPr>
            <w:r>
              <w:rPr>
                <w:rFonts w:cs="华文中宋" w:hint="eastAsia"/>
                <w:color w:val="000000"/>
              </w:rPr>
              <w:t>14.31%</w:t>
            </w:r>
          </w:p>
        </w:tc>
      </w:tr>
      <w:tr w:rsidR="004B0883" w14:paraId="02082604" w14:textId="77777777">
        <w:trPr>
          <w:trHeight w:val="397"/>
        </w:trPr>
        <w:tc>
          <w:tcPr>
            <w:tcW w:w="582" w:type="dxa"/>
            <w:vAlign w:val="center"/>
          </w:tcPr>
          <w:p w14:paraId="1C713E7E" w14:textId="77777777" w:rsidR="004B0883" w:rsidRDefault="004B0883">
            <w:pPr>
              <w:jc w:val="center"/>
              <w:rPr>
                <w:rFonts w:cs="华文中宋"/>
              </w:rPr>
            </w:pPr>
            <w:r>
              <w:rPr>
                <w:rFonts w:cs="华文中宋" w:hint="eastAsia"/>
                <w:color w:val="000000"/>
              </w:rPr>
              <w:t>2</w:t>
            </w:r>
          </w:p>
        </w:tc>
        <w:tc>
          <w:tcPr>
            <w:tcW w:w="1529" w:type="dxa"/>
            <w:vAlign w:val="center"/>
          </w:tcPr>
          <w:p w14:paraId="3F7729DC" w14:textId="77777777" w:rsidR="004B0883" w:rsidRDefault="004B0883">
            <w:pPr>
              <w:rPr>
                <w:rFonts w:cs="华文中宋"/>
              </w:rPr>
            </w:pPr>
            <w:r>
              <w:rPr>
                <w:rFonts w:cs="华文中宋" w:hint="eastAsia"/>
                <w:color w:val="000000"/>
              </w:rPr>
              <w:t>加工件（件）</w:t>
            </w:r>
          </w:p>
        </w:tc>
        <w:tc>
          <w:tcPr>
            <w:tcW w:w="1529" w:type="dxa"/>
            <w:vAlign w:val="center"/>
          </w:tcPr>
          <w:p w14:paraId="598DBEB4" w14:textId="77777777" w:rsidR="004B0883" w:rsidRDefault="004B0883">
            <w:pPr>
              <w:jc w:val="right"/>
              <w:rPr>
                <w:rFonts w:cs="华文中宋"/>
              </w:rPr>
            </w:pPr>
            <w:r>
              <w:rPr>
                <w:rFonts w:cs="华文中宋" w:hint="eastAsia"/>
                <w:color w:val="000000"/>
              </w:rPr>
              <w:t>1,162,771.</w:t>
            </w:r>
            <w:r>
              <w:rPr>
                <w:rFonts w:cs="华文中宋"/>
                <w:color w:val="000000"/>
              </w:rPr>
              <w:t>0</w:t>
            </w:r>
            <w:r>
              <w:rPr>
                <w:rFonts w:cs="华文中宋" w:hint="eastAsia"/>
                <w:color w:val="000000"/>
              </w:rPr>
              <w:t>0</w:t>
            </w:r>
          </w:p>
        </w:tc>
        <w:tc>
          <w:tcPr>
            <w:tcW w:w="1430" w:type="dxa"/>
            <w:vAlign w:val="center"/>
          </w:tcPr>
          <w:p w14:paraId="2DD9DACE" w14:textId="77777777" w:rsidR="004B0883" w:rsidRDefault="004B0883">
            <w:pPr>
              <w:jc w:val="right"/>
              <w:rPr>
                <w:rFonts w:cs="华文中宋"/>
              </w:rPr>
            </w:pPr>
            <w:r>
              <w:rPr>
                <w:rFonts w:cs="华文中宋" w:hint="eastAsia"/>
                <w:color w:val="000000"/>
              </w:rPr>
              <w:t>17.35</w:t>
            </w:r>
          </w:p>
        </w:tc>
        <w:tc>
          <w:tcPr>
            <w:tcW w:w="1605" w:type="dxa"/>
            <w:vAlign w:val="center"/>
          </w:tcPr>
          <w:p w14:paraId="19ABDB64" w14:textId="77777777" w:rsidR="004B0883" w:rsidRDefault="004B0883">
            <w:pPr>
              <w:jc w:val="right"/>
              <w:rPr>
                <w:rFonts w:cs="华文中宋"/>
              </w:rPr>
            </w:pPr>
            <w:r>
              <w:rPr>
                <w:rFonts w:cs="华文中宋" w:hint="eastAsia"/>
                <w:color w:val="000000"/>
              </w:rPr>
              <w:t>2,017.41</w:t>
            </w:r>
          </w:p>
        </w:tc>
        <w:tc>
          <w:tcPr>
            <w:tcW w:w="1851" w:type="dxa"/>
            <w:vAlign w:val="center"/>
          </w:tcPr>
          <w:p w14:paraId="710C5AE6" w14:textId="77777777" w:rsidR="004B0883" w:rsidRDefault="004B0883">
            <w:pPr>
              <w:jc w:val="right"/>
              <w:rPr>
                <w:rFonts w:cs="华文中宋"/>
              </w:rPr>
            </w:pPr>
            <w:r>
              <w:rPr>
                <w:rFonts w:cs="华文中宋" w:hint="eastAsia"/>
                <w:color w:val="000000"/>
              </w:rPr>
              <w:t>10.76%</w:t>
            </w:r>
          </w:p>
        </w:tc>
      </w:tr>
      <w:tr w:rsidR="004B0883" w14:paraId="4165B89A" w14:textId="77777777">
        <w:trPr>
          <w:trHeight w:val="397"/>
        </w:trPr>
        <w:tc>
          <w:tcPr>
            <w:tcW w:w="582" w:type="dxa"/>
            <w:vAlign w:val="center"/>
          </w:tcPr>
          <w:p w14:paraId="0DA70FB1" w14:textId="77777777" w:rsidR="004B0883" w:rsidRDefault="004B0883">
            <w:pPr>
              <w:jc w:val="center"/>
              <w:rPr>
                <w:rFonts w:cs="华文中宋"/>
              </w:rPr>
            </w:pPr>
            <w:r>
              <w:rPr>
                <w:rFonts w:cs="华文中宋" w:hint="eastAsia"/>
                <w:color w:val="000000"/>
              </w:rPr>
              <w:t>3</w:t>
            </w:r>
          </w:p>
        </w:tc>
        <w:tc>
          <w:tcPr>
            <w:tcW w:w="1529" w:type="dxa"/>
            <w:vAlign w:val="center"/>
          </w:tcPr>
          <w:p w14:paraId="5D11C188" w14:textId="77777777" w:rsidR="004B0883" w:rsidRDefault="004B0883">
            <w:pPr>
              <w:rPr>
                <w:rFonts w:cs="华文中宋"/>
              </w:rPr>
            </w:pPr>
            <w:r>
              <w:rPr>
                <w:rFonts w:cs="华文中宋" w:hint="eastAsia"/>
                <w:color w:val="000000"/>
              </w:rPr>
              <w:t>生铁（吨）</w:t>
            </w:r>
          </w:p>
        </w:tc>
        <w:tc>
          <w:tcPr>
            <w:tcW w:w="1529" w:type="dxa"/>
            <w:vAlign w:val="center"/>
          </w:tcPr>
          <w:p w14:paraId="0D3A7326" w14:textId="77777777" w:rsidR="004B0883" w:rsidRDefault="004B0883">
            <w:pPr>
              <w:jc w:val="right"/>
              <w:rPr>
                <w:rFonts w:cs="华文中宋"/>
              </w:rPr>
            </w:pPr>
            <w:r>
              <w:rPr>
                <w:rFonts w:cs="华文中宋" w:hint="eastAsia"/>
                <w:color w:val="000000"/>
              </w:rPr>
              <w:t>3,585.22</w:t>
            </w:r>
          </w:p>
        </w:tc>
        <w:tc>
          <w:tcPr>
            <w:tcW w:w="1430" w:type="dxa"/>
            <w:vAlign w:val="center"/>
          </w:tcPr>
          <w:p w14:paraId="16602C22" w14:textId="77777777" w:rsidR="004B0883" w:rsidRDefault="004B0883">
            <w:pPr>
              <w:jc w:val="right"/>
              <w:rPr>
                <w:rFonts w:cs="华文中宋"/>
              </w:rPr>
            </w:pPr>
            <w:r>
              <w:rPr>
                <w:rFonts w:cs="华文中宋" w:hint="eastAsia"/>
                <w:color w:val="000000"/>
              </w:rPr>
              <w:t>2,913.63</w:t>
            </w:r>
          </w:p>
        </w:tc>
        <w:tc>
          <w:tcPr>
            <w:tcW w:w="1605" w:type="dxa"/>
            <w:vAlign w:val="center"/>
          </w:tcPr>
          <w:p w14:paraId="0289D817" w14:textId="77777777" w:rsidR="004B0883" w:rsidRDefault="004B0883">
            <w:pPr>
              <w:jc w:val="right"/>
              <w:rPr>
                <w:rFonts w:cs="华文中宋"/>
              </w:rPr>
            </w:pPr>
            <w:r>
              <w:rPr>
                <w:rFonts w:cs="华文中宋" w:hint="eastAsia"/>
                <w:color w:val="000000"/>
              </w:rPr>
              <w:t>1,044.60</w:t>
            </w:r>
          </w:p>
        </w:tc>
        <w:tc>
          <w:tcPr>
            <w:tcW w:w="1851" w:type="dxa"/>
            <w:vAlign w:val="center"/>
          </w:tcPr>
          <w:p w14:paraId="7D33A59F" w14:textId="77777777" w:rsidR="004B0883" w:rsidRDefault="004B0883">
            <w:pPr>
              <w:jc w:val="right"/>
              <w:rPr>
                <w:rFonts w:cs="华文中宋"/>
              </w:rPr>
            </w:pPr>
            <w:r>
              <w:rPr>
                <w:rFonts w:cs="华文中宋" w:hint="eastAsia"/>
                <w:color w:val="000000"/>
              </w:rPr>
              <w:t>5.57%</w:t>
            </w:r>
          </w:p>
        </w:tc>
      </w:tr>
      <w:tr w:rsidR="004B0883" w14:paraId="5D7129CC" w14:textId="77777777">
        <w:trPr>
          <w:trHeight w:val="397"/>
        </w:trPr>
        <w:tc>
          <w:tcPr>
            <w:tcW w:w="582" w:type="dxa"/>
            <w:vAlign w:val="center"/>
          </w:tcPr>
          <w:p w14:paraId="7667D5D1" w14:textId="77777777" w:rsidR="004B0883" w:rsidRDefault="004B0883">
            <w:pPr>
              <w:jc w:val="center"/>
              <w:rPr>
                <w:rFonts w:cs="华文中宋"/>
              </w:rPr>
            </w:pPr>
            <w:r>
              <w:rPr>
                <w:rFonts w:cs="华文中宋" w:hint="eastAsia"/>
                <w:color w:val="000000"/>
              </w:rPr>
              <w:t>4</w:t>
            </w:r>
          </w:p>
        </w:tc>
        <w:tc>
          <w:tcPr>
            <w:tcW w:w="1529" w:type="dxa"/>
            <w:vAlign w:val="center"/>
          </w:tcPr>
          <w:p w14:paraId="0882A605" w14:textId="77777777" w:rsidR="004B0883" w:rsidRDefault="004B0883">
            <w:pPr>
              <w:rPr>
                <w:rFonts w:cs="华文中宋"/>
              </w:rPr>
            </w:pPr>
            <w:r>
              <w:rPr>
                <w:rFonts w:cs="华文中宋" w:hint="eastAsia"/>
                <w:color w:val="000000"/>
              </w:rPr>
              <w:t>废钢（吨）</w:t>
            </w:r>
          </w:p>
        </w:tc>
        <w:tc>
          <w:tcPr>
            <w:tcW w:w="1529" w:type="dxa"/>
            <w:vAlign w:val="center"/>
          </w:tcPr>
          <w:p w14:paraId="1727C14C" w14:textId="77777777" w:rsidR="004B0883" w:rsidRDefault="004B0883">
            <w:pPr>
              <w:jc w:val="right"/>
              <w:rPr>
                <w:rFonts w:cs="华文中宋"/>
              </w:rPr>
            </w:pPr>
            <w:r>
              <w:rPr>
                <w:rFonts w:cs="华文中宋" w:hint="eastAsia"/>
                <w:color w:val="000000"/>
              </w:rPr>
              <w:t>6,174.52</w:t>
            </w:r>
          </w:p>
        </w:tc>
        <w:tc>
          <w:tcPr>
            <w:tcW w:w="1430" w:type="dxa"/>
            <w:vAlign w:val="center"/>
          </w:tcPr>
          <w:p w14:paraId="6B2F2BEA" w14:textId="77777777" w:rsidR="004B0883" w:rsidRDefault="004B0883">
            <w:pPr>
              <w:jc w:val="right"/>
              <w:rPr>
                <w:rFonts w:cs="华文中宋"/>
              </w:rPr>
            </w:pPr>
            <w:r>
              <w:rPr>
                <w:rFonts w:cs="华文中宋" w:hint="eastAsia"/>
                <w:color w:val="000000"/>
              </w:rPr>
              <w:t>2,646.33</w:t>
            </w:r>
          </w:p>
        </w:tc>
        <w:tc>
          <w:tcPr>
            <w:tcW w:w="1605" w:type="dxa"/>
            <w:vAlign w:val="center"/>
          </w:tcPr>
          <w:p w14:paraId="0BB4AFC4" w14:textId="77777777" w:rsidR="004B0883" w:rsidRDefault="004B0883">
            <w:pPr>
              <w:jc w:val="right"/>
              <w:rPr>
                <w:rFonts w:cs="华文中宋"/>
              </w:rPr>
            </w:pPr>
            <w:r>
              <w:rPr>
                <w:rFonts w:cs="华文中宋" w:hint="eastAsia"/>
                <w:color w:val="000000"/>
              </w:rPr>
              <w:t>1,633.98</w:t>
            </w:r>
          </w:p>
        </w:tc>
        <w:tc>
          <w:tcPr>
            <w:tcW w:w="1851" w:type="dxa"/>
            <w:vAlign w:val="center"/>
          </w:tcPr>
          <w:p w14:paraId="2DC79A24" w14:textId="77777777" w:rsidR="004B0883" w:rsidRDefault="004B0883">
            <w:pPr>
              <w:jc w:val="right"/>
              <w:rPr>
                <w:rFonts w:cs="华文中宋"/>
              </w:rPr>
            </w:pPr>
            <w:r>
              <w:rPr>
                <w:rFonts w:cs="华文中宋" w:hint="eastAsia"/>
                <w:color w:val="000000"/>
              </w:rPr>
              <w:t>8.71%</w:t>
            </w:r>
          </w:p>
        </w:tc>
      </w:tr>
      <w:tr w:rsidR="004B0883" w14:paraId="334CDA31" w14:textId="77777777">
        <w:trPr>
          <w:trHeight w:val="397"/>
        </w:trPr>
        <w:tc>
          <w:tcPr>
            <w:tcW w:w="582" w:type="dxa"/>
            <w:vAlign w:val="center"/>
          </w:tcPr>
          <w:p w14:paraId="595D6554" w14:textId="77777777" w:rsidR="004B0883" w:rsidRDefault="004B0883">
            <w:pPr>
              <w:jc w:val="center"/>
              <w:rPr>
                <w:rFonts w:cs="华文中宋"/>
              </w:rPr>
            </w:pPr>
            <w:r>
              <w:rPr>
                <w:rFonts w:cs="华文中宋" w:hint="eastAsia"/>
                <w:color w:val="000000"/>
              </w:rPr>
              <w:t>5</w:t>
            </w:r>
          </w:p>
        </w:tc>
        <w:tc>
          <w:tcPr>
            <w:tcW w:w="1529" w:type="dxa"/>
            <w:vAlign w:val="center"/>
          </w:tcPr>
          <w:p w14:paraId="6F0528C5" w14:textId="77777777" w:rsidR="004B0883" w:rsidRDefault="004B0883">
            <w:pPr>
              <w:rPr>
                <w:rFonts w:cs="华文中宋"/>
              </w:rPr>
            </w:pPr>
            <w:r>
              <w:rPr>
                <w:rFonts w:cs="华文中宋" w:hint="eastAsia"/>
                <w:color w:val="000000"/>
              </w:rPr>
              <w:t>阀杆（件）</w:t>
            </w:r>
          </w:p>
        </w:tc>
        <w:tc>
          <w:tcPr>
            <w:tcW w:w="1529" w:type="dxa"/>
            <w:vAlign w:val="center"/>
          </w:tcPr>
          <w:p w14:paraId="33FA04EE" w14:textId="77777777" w:rsidR="004B0883" w:rsidRDefault="004B0883">
            <w:pPr>
              <w:jc w:val="right"/>
              <w:rPr>
                <w:rFonts w:cs="华文中宋"/>
              </w:rPr>
            </w:pPr>
            <w:r>
              <w:rPr>
                <w:rFonts w:cs="华文中宋" w:hint="eastAsia"/>
                <w:color w:val="000000"/>
              </w:rPr>
              <w:t>336,150.00</w:t>
            </w:r>
          </w:p>
        </w:tc>
        <w:tc>
          <w:tcPr>
            <w:tcW w:w="1430" w:type="dxa"/>
            <w:vAlign w:val="center"/>
          </w:tcPr>
          <w:p w14:paraId="199BDF94" w14:textId="77777777" w:rsidR="004B0883" w:rsidRDefault="004B0883">
            <w:pPr>
              <w:jc w:val="right"/>
              <w:rPr>
                <w:rFonts w:cs="华文中宋"/>
              </w:rPr>
            </w:pPr>
            <w:r>
              <w:rPr>
                <w:rFonts w:cs="华文中宋" w:hint="eastAsia"/>
                <w:color w:val="000000"/>
              </w:rPr>
              <w:t>17.61</w:t>
            </w:r>
          </w:p>
        </w:tc>
        <w:tc>
          <w:tcPr>
            <w:tcW w:w="1605" w:type="dxa"/>
            <w:vAlign w:val="center"/>
          </w:tcPr>
          <w:p w14:paraId="0BDCDE53" w14:textId="77777777" w:rsidR="004B0883" w:rsidRDefault="004B0883">
            <w:pPr>
              <w:jc w:val="right"/>
              <w:rPr>
                <w:rFonts w:cs="华文中宋"/>
              </w:rPr>
            </w:pPr>
            <w:r>
              <w:rPr>
                <w:rFonts w:cs="华文中宋" w:hint="eastAsia"/>
                <w:color w:val="000000"/>
              </w:rPr>
              <w:t>591.95</w:t>
            </w:r>
          </w:p>
        </w:tc>
        <w:tc>
          <w:tcPr>
            <w:tcW w:w="1851" w:type="dxa"/>
            <w:vAlign w:val="center"/>
          </w:tcPr>
          <w:p w14:paraId="3349DA6A" w14:textId="77777777" w:rsidR="004B0883" w:rsidRDefault="004B0883">
            <w:pPr>
              <w:jc w:val="right"/>
              <w:rPr>
                <w:rFonts w:cs="华文中宋"/>
              </w:rPr>
            </w:pPr>
            <w:r>
              <w:rPr>
                <w:rFonts w:cs="华文中宋" w:hint="eastAsia"/>
                <w:color w:val="000000"/>
              </w:rPr>
              <w:t>3.16%</w:t>
            </w:r>
          </w:p>
        </w:tc>
      </w:tr>
      <w:tr w:rsidR="004B0883" w14:paraId="5AD47D64" w14:textId="77777777">
        <w:trPr>
          <w:trHeight w:val="397"/>
        </w:trPr>
        <w:tc>
          <w:tcPr>
            <w:tcW w:w="582" w:type="dxa"/>
            <w:vAlign w:val="center"/>
          </w:tcPr>
          <w:p w14:paraId="265B60CB" w14:textId="77777777" w:rsidR="004B0883" w:rsidRDefault="004B0883">
            <w:pPr>
              <w:jc w:val="center"/>
              <w:rPr>
                <w:rFonts w:cs="华文中宋"/>
              </w:rPr>
            </w:pPr>
            <w:r>
              <w:rPr>
                <w:rFonts w:cs="华文中宋" w:hint="eastAsia"/>
                <w:color w:val="000000"/>
              </w:rPr>
              <w:t>6</w:t>
            </w:r>
          </w:p>
        </w:tc>
        <w:tc>
          <w:tcPr>
            <w:tcW w:w="1529" w:type="dxa"/>
            <w:vAlign w:val="center"/>
          </w:tcPr>
          <w:p w14:paraId="1A9D212B" w14:textId="77777777" w:rsidR="004B0883" w:rsidRDefault="004B0883">
            <w:pPr>
              <w:rPr>
                <w:rFonts w:cs="华文中宋"/>
              </w:rPr>
            </w:pPr>
            <w:r>
              <w:rPr>
                <w:rFonts w:cs="华文中宋" w:hint="eastAsia"/>
                <w:color w:val="000000"/>
              </w:rPr>
              <w:t>驱动头（件）</w:t>
            </w:r>
          </w:p>
        </w:tc>
        <w:tc>
          <w:tcPr>
            <w:tcW w:w="1529" w:type="dxa"/>
            <w:vAlign w:val="center"/>
          </w:tcPr>
          <w:p w14:paraId="190E24CC" w14:textId="77777777" w:rsidR="004B0883" w:rsidRDefault="004B0883">
            <w:pPr>
              <w:jc w:val="right"/>
              <w:rPr>
                <w:rFonts w:cs="华文中宋"/>
              </w:rPr>
            </w:pPr>
            <w:r>
              <w:rPr>
                <w:rFonts w:cs="华文中宋" w:hint="eastAsia"/>
                <w:color w:val="000000"/>
              </w:rPr>
              <w:t>53,227.00</w:t>
            </w:r>
          </w:p>
        </w:tc>
        <w:tc>
          <w:tcPr>
            <w:tcW w:w="1430" w:type="dxa"/>
            <w:vAlign w:val="center"/>
          </w:tcPr>
          <w:p w14:paraId="4EA66619" w14:textId="77777777" w:rsidR="004B0883" w:rsidRDefault="004B0883">
            <w:pPr>
              <w:jc w:val="right"/>
              <w:rPr>
                <w:rFonts w:cs="华文中宋"/>
              </w:rPr>
            </w:pPr>
            <w:r>
              <w:rPr>
                <w:rFonts w:cs="华文中宋" w:hint="eastAsia"/>
                <w:color w:val="000000"/>
              </w:rPr>
              <w:t>118.11</w:t>
            </w:r>
          </w:p>
        </w:tc>
        <w:tc>
          <w:tcPr>
            <w:tcW w:w="1605" w:type="dxa"/>
            <w:vAlign w:val="center"/>
          </w:tcPr>
          <w:p w14:paraId="60A7AB91" w14:textId="77777777" w:rsidR="004B0883" w:rsidRDefault="004B0883">
            <w:pPr>
              <w:jc w:val="right"/>
              <w:rPr>
                <w:rFonts w:cs="华文中宋"/>
              </w:rPr>
            </w:pPr>
            <w:r>
              <w:rPr>
                <w:rFonts w:cs="华文中宋" w:hint="eastAsia"/>
                <w:color w:val="000000"/>
              </w:rPr>
              <w:t>628.65</w:t>
            </w:r>
          </w:p>
        </w:tc>
        <w:tc>
          <w:tcPr>
            <w:tcW w:w="1851" w:type="dxa"/>
            <w:vAlign w:val="center"/>
          </w:tcPr>
          <w:p w14:paraId="1B6DB564" w14:textId="77777777" w:rsidR="004B0883" w:rsidRDefault="004B0883">
            <w:pPr>
              <w:jc w:val="right"/>
              <w:rPr>
                <w:rFonts w:cs="华文中宋"/>
              </w:rPr>
            </w:pPr>
            <w:r>
              <w:rPr>
                <w:rFonts w:cs="华文中宋" w:hint="eastAsia"/>
                <w:color w:val="000000"/>
              </w:rPr>
              <w:t>3.35%</w:t>
            </w:r>
          </w:p>
        </w:tc>
      </w:tr>
      <w:tr w:rsidR="004B0883" w14:paraId="2EDD8676" w14:textId="77777777">
        <w:trPr>
          <w:trHeight w:val="397"/>
        </w:trPr>
        <w:tc>
          <w:tcPr>
            <w:tcW w:w="2111" w:type="dxa"/>
            <w:gridSpan w:val="2"/>
            <w:vAlign w:val="center"/>
          </w:tcPr>
          <w:p w14:paraId="24DB4AC8" w14:textId="77777777" w:rsidR="004B0883" w:rsidRDefault="004B0883">
            <w:pPr>
              <w:jc w:val="center"/>
              <w:rPr>
                <w:rFonts w:cs="华文中宋"/>
                <w:b/>
                <w:bCs/>
              </w:rPr>
            </w:pPr>
            <w:r>
              <w:rPr>
                <w:rFonts w:cs="华文中宋" w:hint="eastAsia"/>
                <w:b/>
                <w:bCs/>
                <w:color w:val="000000"/>
              </w:rPr>
              <w:t>合计</w:t>
            </w:r>
          </w:p>
        </w:tc>
        <w:tc>
          <w:tcPr>
            <w:tcW w:w="1529" w:type="dxa"/>
            <w:vAlign w:val="center"/>
          </w:tcPr>
          <w:p w14:paraId="0BD0B240" w14:textId="77777777" w:rsidR="004B0883" w:rsidRDefault="004B0883">
            <w:pPr>
              <w:jc w:val="right"/>
              <w:rPr>
                <w:rFonts w:cs="华文中宋"/>
                <w:b/>
                <w:bCs/>
              </w:rPr>
            </w:pPr>
            <w:r>
              <w:rPr>
                <w:rFonts w:cs="华文中宋"/>
                <w:b/>
                <w:bCs/>
                <w:color w:val="000000"/>
              </w:rPr>
              <w:t>-</w:t>
            </w:r>
          </w:p>
        </w:tc>
        <w:tc>
          <w:tcPr>
            <w:tcW w:w="1430" w:type="dxa"/>
            <w:vAlign w:val="center"/>
          </w:tcPr>
          <w:p w14:paraId="605301B0" w14:textId="77777777" w:rsidR="004B0883" w:rsidRDefault="004B0883">
            <w:pPr>
              <w:jc w:val="right"/>
              <w:rPr>
                <w:rFonts w:cs="华文中宋"/>
                <w:b/>
                <w:bCs/>
              </w:rPr>
            </w:pPr>
            <w:r>
              <w:rPr>
                <w:rFonts w:cs="华文中宋" w:hint="eastAsia"/>
                <w:b/>
                <w:bCs/>
                <w:color w:val="000000"/>
              </w:rPr>
              <w:t>-</w:t>
            </w:r>
          </w:p>
        </w:tc>
        <w:tc>
          <w:tcPr>
            <w:tcW w:w="1605" w:type="dxa"/>
            <w:vAlign w:val="center"/>
          </w:tcPr>
          <w:p w14:paraId="6B749EDE" w14:textId="77777777" w:rsidR="004B0883" w:rsidRDefault="004B0883">
            <w:pPr>
              <w:jc w:val="right"/>
              <w:rPr>
                <w:rFonts w:cs="华文中宋"/>
                <w:b/>
                <w:bCs/>
              </w:rPr>
            </w:pPr>
            <w:r>
              <w:rPr>
                <w:rFonts w:cs="华文中宋" w:hint="eastAsia"/>
                <w:b/>
                <w:bCs/>
                <w:color w:val="000000"/>
              </w:rPr>
              <w:t>8,599.24</w:t>
            </w:r>
          </w:p>
        </w:tc>
        <w:tc>
          <w:tcPr>
            <w:tcW w:w="1851" w:type="dxa"/>
            <w:vAlign w:val="center"/>
          </w:tcPr>
          <w:p w14:paraId="73FF93FF" w14:textId="77777777" w:rsidR="004B0883" w:rsidRDefault="004B0883">
            <w:pPr>
              <w:jc w:val="right"/>
              <w:rPr>
                <w:rFonts w:cs="华文中宋"/>
                <w:b/>
                <w:bCs/>
              </w:rPr>
            </w:pPr>
            <w:r>
              <w:rPr>
                <w:rFonts w:cs="华文中宋"/>
                <w:b/>
                <w:bCs/>
                <w:color w:val="000000"/>
              </w:rPr>
              <w:t>45.86%</w:t>
            </w:r>
          </w:p>
        </w:tc>
      </w:tr>
    </w:tbl>
    <w:p w14:paraId="037C3B35" w14:textId="77777777" w:rsidR="004B0883" w:rsidRDefault="004B0883">
      <w:pPr>
        <w:widowControl w:val="0"/>
        <w:spacing w:beforeLines="50" w:before="120" w:line="360" w:lineRule="auto"/>
        <w:ind w:firstLineChars="200" w:firstLine="480"/>
        <w:jc w:val="both"/>
        <w:rPr>
          <w:sz w:val="24"/>
          <w:szCs w:val="22"/>
        </w:rPr>
      </w:pPr>
      <w:bookmarkStart w:id="266" w:name="_Hlk135408261"/>
      <w:bookmarkEnd w:id="265"/>
      <w:r>
        <w:rPr>
          <w:rFonts w:hint="eastAsia"/>
          <w:sz w:val="24"/>
          <w:szCs w:val="22"/>
        </w:rPr>
        <w:t>报告期内，公司的主要消耗能源为电力。公司电力供应正常，未发生供应困难导致严重影响生产正常进行的情况。报告期内电力消耗情况如下：</w:t>
      </w:r>
    </w:p>
    <w:p w14:paraId="4FF807AA" w14:textId="77777777" w:rsidR="004B0883" w:rsidRDefault="004B0883">
      <w:pPr>
        <w:keepNext/>
        <w:widowControl w:val="0"/>
        <w:jc w:val="right"/>
        <w:rPr>
          <w:szCs w:val="22"/>
        </w:rPr>
      </w:pP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502"/>
        <w:gridCol w:w="1443"/>
        <w:gridCol w:w="1445"/>
        <w:gridCol w:w="1445"/>
        <w:gridCol w:w="1445"/>
      </w:tblGrid>
      <w:tr w:rsidR="004B0883" w14:paraId="672F0CB6" w14:textId="77777777">
        <w:trPr>
          <w:trHeight w:val="397"/>
          <w:tblHeader/>
          <w:jc w:val="center"/>
        </w:trPr>
        <w:tc>
          <w:tcPr>
            <w:tcW w:w="2616" w:type="dxa"/>
            <w:shd w:val="clear" w:color="auto" w:fill="D9D9D9"/>
            <w:vAlign w:val="center"/>
          </w:tcPr>
          <w:p w14:paraId="794AF36C" w14:textId="77777777" w:rsidR="004B0883" w:rsidRDefault="004B0883">
            <w:pPr>
              <w:keepNext/>
              <w:widowControl w:val="0"/>
              <w:adjustRightInd w:val="0"/>
              <w:snapToGrid w:val="0"/>
              <w:jc w:val="center"/>
              <w:rPr>
                <w:b/>
                <w:bCs/>
                <w:color w:val="000000"/>
                <w:kern w:val="0"/>
              </w:rPr>
            </w:pPr>
            <w:r>
              <w:rPr>
                <w:b/>
                <w:bCs/>
                <w:color w:val="000000"/>
                <w:kern w:val="0"/>
              </w:rPr>
              <w:t>项目</w:t>
            </w:r>
          </w:p>
        </w:tc>
        <w:tc>
          <w:tcPr>
            <w:tcW w:w="1476" w:type="dxa"/>
            <w:shd w:val="clear" w:color="auto" w:fill="D9D9D9"/>
            <w:vAlign w:val="center"/>
          </w:tcPr>
          <w:p w14:paraId="4B69814D" w14:textId="77777777" w:rsidR="004B0883" w:rsidRDefault="004B0883">
            <w:pPr>
              <w:keepNext/>
              <w:widowControl w:val="0"/>
              <w:autoSpaceDE w:val="0"/>
              <w:autoSpaceDN w:val="0"/>
              <w:adjustRightInd w:val="0"/>
              <w:snapToGrid w:val="0"/>
              <w:jc w:val="center"/>
              <w:rPr>
                <w:b/>
                <w:bCs/>
                <w:color w:val="000000"/>
              </w:rPr>
            </w:pPr>
            <w:r>
              <w:rPr>
                <w:b/>
                <w:bCs/>
                <w:color w:val="000000"/>
              </w:rPr>
              <w:t>2023</w:t>
            </w:r>
            <w:r>
              <w:rPr>
                <w:b/>
                <w:bCs/>
                <w:color w:val="000000"/>
              </w:rPr>
              <w:t>年</w:t>
            </w:r>
            <w:r>
              <w:rPr>
                <w:b/>
                <w:bCs/>
                <w:color w:val="000000"/>
              </w:rPr>
              <w:t>1-9</w:t>
            </w:r>
            <w:r>
              <w:rPr>
                <w:b/>
                <w:bCs/>
                <w:color w:val="000000"/>
              </w:rPr>
              <w:t>月</w:t>
            </w:r>
          </w:p>
        </w:tc>
        <w:tc>
          <w:tcPr>
            <w:tcW w:w="1478" w:type="dxa"/>
            <w:shd w:val="clear" w:color="auto" w:fill="D9D9D9"/>
            <w:vAlign w:val="center"/>
          </w:tcPr>
          <w:p w14:paraId="2992459C" w14:textId="77777777" w:rsidR="004B0883" w:rsidRDefault="004B0883">
            <w:pPr>
              <w:keepNext/>
              <w:widowControl w:val="0"/>
              <w:autoSpaceDE w:val="0"/>
              <w:autoSpaceDN w:val="0"/>
              <w:adjustRightInd w:val="0"/>
              <w:snapToGrid w:val="0"/>
              <w:jc w:val="center"/>
              <w:rPr>
                <w:b/>
                <w:bCs/>
                <w:color w:val="000000"/>
              </w:rPr>
            </w:pPr>
            <w:r>
              <w:rPr>
                <w:b/>
                <w:bCs/>
                <w:color w:val="000000"/>
              </w:rPr>
              <w:t>2022</w:t>
            </w:r>
            <w:r>
              <w:rPr>
                <w:b/>
                <w:bCs/>
                <w:color w:val="000000"/>
              </w:rPr>
              <w:t>年</w:t>
            </w:r>
          </w:p>
        </w:tc>
        <w:tc>
          <w:tcPr>
            <w:tcW w:w="1478" w:type="dxa"/>
            <w:shd w:val="clear" w:color="auto" w:fill="D9D9D9"/>
            <w:vAlign w:val="center"/>
          </w:tcPr>
          <w:p w14:paraId="6B8534F5" w14:textId="77777777" w:rsidR="004B0883" w:rsidRDefault="004B0883">
            <w:pPr>
              <w:keepNext/>
              <w:widowControl w:val="0"/>
              <w:autoSpaceDE w:val="0"/>
              <w:autoSpaceDN w:val="0"/>
              <w:adjustRightInd w:val="0"/>
              <w:snapToGrid w:val="0"/>
              <w:jc w:val="center"/>
              <w:rPr>
                <w:b/>
                <w:bCs/>
                <w:color w:val="000000"/>
              </w:rPr>
            </w:pPr>
            <w:r>
              <w:rPr>
                <w:b/>
                <w:bCs/>
                <w:color w:val="000000"/>
              </w:rPr>
              <w:t>2021</w:t>
            </w:r>
            <w:r>
              <w:rPr>
                <w:b/>
                <w:bCs/>
                <w:color w:val="000000"/>
              </w:rPr>
              <w:t>年</w:t>
            </w:r>
          </w:p>
        </w:tc>
        <w:tc>
          <w:tcPr>
            <w:tcW w:w="1478" w:type="dxa"/>
            <w:shd w:val="clear" w:color="auto" w:fill="D9D9D9"/>
            <w:vAlign w:val="center"/>
          </w:tcPr>
          <w:p w14:paraId="704D7930" w14:textId="77777777" w:rsidR="004B0883" w:rsidRDefault="004B0883">
            <w:pPr>
              <w:keepNext/>
              <w:widowControl w:val="0"/>
              <w:autoSpaceDE w:val="0"/>
              <w:autoSpaceDN w:val="0"/>
              <w:adjustRightInd w:val="0"/>
              <w:snapToGrid w:val="0"/>
              <w:jc w:val="center"/>
              <w:rPr>
                <w:b/>
                <w:bCs/>
                <w:color w:val="000000"/>
              </w:rPr>
            </w:pPr>
            <w:r>
              <w:rPr>
                <w:b/>
                <w:bCs/>
                <w:color w:val="000000"/>
              </w:rPr>
              <w:t>2020</w:t>
            </w:r>
            <w:r>
              <w:rPr>
                <w:b/>
                <w:bCs/>
                <w:color w:val="000000"/>
              </w:rPr>
              <w:t>年</w:t>
            </w:r>
          </w:p>
        </w:tc>
      </w:tr>
      <w:tr w:rsidR="004B0883" w14:paraId="40619BCD" w14:textId="77777777">
        <w:trPr>
          <w:trHeight w:val="397"/>
          <w:jc w:val="center"/>
        </w:trPr>
        <w:tc>
          <w:tcPr>
            <w:tcW w:w="2616" w:type="dxa"/>
            <w:vAlign w:val="center"/>
          </w:tcPr>
          <w:p w14:paraId="1307A013" w14:textId="77777777" w:rsidR="004B0883" w:rsidRDefault="004B0883">
            <w:pPr>
              <w:widowControl w:val="0"/>
              <w:adjustRightInd w:val="0"/>
              <w:snapToGrid w:val="0"/>
              <w:jc w:val="both"/>
            </w:pPr>
            <w:r>
              <w:rPr>
                <w:rFonts w:hint="eastAsia"/>
              </w:rPr>
              <w:t>电力消耗额（万元）</w:t>
            </w:r>
          </w:p>
        </w:tc>
        <w:tc>
          <w:tcPr>
            <w:tcW w:w="1476" w:type="dxa"/>
            <w:vAlign w:val="center"/>
          </w:tcPr>
          <w:p w14:paraId="2694B958" w14:textId="77777777" w:rsidR="004B0883" w:rsidRDefault="004B0883">
            <w:pPr>
              <w:widowControl w:val="0"/>
              <w:adjustRightInd w:val="0"/>
              <w:snapToGrid w:val="0"/>
              <w:jc w:val="right"/>
              <w:rPr>
                <w:color w:val="000000"/>
                <w:kern w:val="0"/>
              </w:rPr>
            </w:pPr>
            <w:r>
              <w:t>1,229.25</w:t>
            </w:r>
          </w:p>
        </w:tc>
        <w:tc>
          <w:tcPr>
            <w:tcW w:w="1478" w:type="dxa"/>
            <w:vAlign w:val="center"/>
          </w:tcPr>
          <w:p w14:paraId="3297208A" w14:textId="77777777" w:rsidR="004B0883" w:rsidRDefault="004B0883">
            <w:pPr>
              <w:widowControl w:val="0"/>
              <w:adjustRightInd w:val="0"/>
              <w:snapToGrid w:val="0"/>
              <w:jc w:val="right"/>
              <w:rPr>
                <w:color w:val="000000"/>
                <w:kern w:val="0"/>
              </w:rPr>
            </w:pPr>
            <w:r>
              <w:t>2,118.47</w:t>
            </w:r>
          </w:p>
        </w:tc>
        <w:tc>
          <w:tcPr>
            <w:tcW w:w="1478" w:type="dxa"/>
            <w:vAlign w:val="center"/>
          </w:tcPr>
          <w:p w14:paraId="6AC8111E" w14:textId="77777777" w:rsidR="004B0883" w:rsidRDefault="004B0883">
            <w:pPr>
              <w:widowControl w:val="0"/>
              <w:adjustRightInd w:val="0"/>
              <w:snapToGrid w:val="0"/>
              <w:jc w:val="right"/>
              <w:rPr>
                <w:color w:val="000000"/>
                <w:kern w:val="0"/>
              </w:rPr>
            </w:pPr>
            <w:r>
              <w:t>1,730.05</w:t>
            </w:r>
          </w:p>
        </w:tc>
        <w:tc>
          <w:tcPr>
            <w:tcW w:w="1478" w:type="dxa"/>
            <w:vAlign w:val="center"/>
          </w:tcPr>
          <w:p w14:paraId="18459493" w14:textId="77777777" w:rsidR="004B0883" w:rsidRDefault="004B0883">
            <w:pPr>
              <w:widowControl w:val="0"/>
              <w:adjustRightInd w:val="0"/>
              <w:snapToGrid w:val="0"/>
              <w:jc w:val="right"/>
              <w:rPr>
                <w:color w:val="000000"/>
                <w:kern w:val="0"/>
              </w:rPr>
            </w:pPr>
            <w:r>
              <w:t>1,117.31</w:t>
            </w:r>
          </w:p>
        </w:tc>
      </w:tr>
      <w:tr w:rsidR="004B0883" w14:paraId="7BEA480A" w14:textId="77777777">
        <w:trPr>
          <w:trHeight w:val="397"/>
          <w:jc w:val="center"/>
        </w:trPr>
        <w:tc>
          <w:tcPr>
            <w:tcW w:w="2616" w:type="dxa"/>
            <w:vAlign w:val="center"/>
          </w:tcPr>
          <w:p w14:paraId="7BA2DD7D" w14:textId="77777777" w:rsidR="004B0883" w:rsidRDefault="004B0883">
            <w:pPr>
              <w:widowControl w:val="0"/>
              <w:adjustRightInd w:val="0"/>
              <w:snapToGrid w:val="0"/>
              <w:jc w:val="both"/>
              <w:rPr>
                <w:rFonts w:hint="eastAsia"/>
              </w:rPr>
            </w:pPr>
            <w:r>
              <w:rPr>
                <w:rFonts w:hint="eastAsia"/>
              </w:rPr>
              <w:t>用电量（万度）</w:t>
            </w:r>
          </w:p>
        </w:tc>
        <w:tc>
          <w:tcPr>
            <w:tcW w:w="1476" w:type="dxa"/>
            <w:vAlign w:val="center"/>
          </w:tcPr>
          <w:p w14:paraId="3217F255" w14:textId="77777777" w:rsidR="004B0883" w:rsidRDefault="004B0883">
            <w:pPr>
              <w:widowControl w:val="0"/>
              <w:adjustRightInd w:val="0"/>
              <w:snapToGrid w:val="0"/>
              <w:jc w:val="right"/>
              <w:rPr>
                <w:color w:val="000000"/>
              </w:rPr>
            </w:pPr>
            <w:r>
              <w:t>1,578.78</w:t>
            </w:r>
          </w:p>
        </w:tc>
        <w:tc>
          <w:tcPr>
            <w:tcW w:w="1478" w:type="dxa"/>
            <w:vAlign w:val="center"/>
          </w:tcPr>
          <w:p w14:paraId="5BB86C56" w14:textId="77777777" w:rsidR="004B0883" w:rsidRDefault="004B0883">
            <w:pPr>
              <w:widowControl w:val="0"/>
              <w:adjustRightInd w:val="0"/>
              <w:snapToGrid w:val="0"/>
              <w:jc w:val="right"/>
              <w:rPr>
                <w:rFonts w:hint="eastAsia"/>
                <w:color w:val="000000"/>
                <w:kern w:val="0"/>
              </w:rPr>
            </w:pPr>
            <w:r>
              <w:t>2,696.53</w:t>
            </w:r>
          </w:p>
        </w:tc>
        <w:tc>
          <w:tcPr>
            <w:tcW w:w="1478" w:type="dxa"/>
            <w:vAlign w:val="center"/>
          </w:tcPr>
          <w:p w14:paraId="4D2107B1" w14:textId="77777777" w:rsidR="004B0883" w:rsidRDefault="004B0883">
            <w:pPr>
              <w:widowControl w:val="0"/>
              <w:adjustRightInd w:val="0"/>
              <w:snapToGrid w:val="0"/>
              <w:jc w:val="right"/>
              <w:rPr>
                <w:color w:val="000000"/>
                <w:kern w:val="0"/>
              </w:rPr>
            </w:pPr>
            <w:r>
              <w:t>2,711.79</w:t>
            </w:r>
          </w:p>
        </w:tc>
        <w:tc>
          <w:tcPr>
            <w:tcW w:w="1478" w:type="dxa"/>
            <w:vAlign w:val="center"/>
          </w:tcPr>
          <w:p w14:paraId="0730F316" w14:textId="77777777" w:rsidR="004B0883" w:rsidRDefault="004B0883">
            <w:pPr>
              <w:widowControl w:val="0"/>
              <w:adjustRightInd w:val="0"/>
              <w:snapToGrid w:val="0"/>
              <w:jc w:val="right"/>
              <w:rPr>
                <w:color w:val="000000"/>
                <w:kern w:val="0"/>
              </w:rPr>
            </w:pPr>
            <w:r>
              <w:t>1,879.89</w:t>
            </w:r>
          </w:p>
        </w:tc>
      </w:tr>
      <w:tr w:rsidR="004B0883" w14:paraId="7AA20493" w14:textId="77777777">
        <w:trPr>
          <w:trHeight w:val="397"/>
          <w:jc w:val="center"/>
        </w:trPr>
        <w:tc>
          <w:tcPr>
            <w:tcW w:w="2616" w:type="dxa"/>
            <w:vAlign w:val="center"/>
          </w:tcPr>
          <w:p w14:paraId="65DA988C" w14:textId="77777777" w:rsidR="004B0883" w:rsidRDefault="004B0883">
            <w:pPr>
              <w:widowControl w:val="0"/>
              <w:adjustRightInd w:val="0"/>
              <w:snapToGrid w:val="0"/>
              <w:jc w:val="both"/>
              <w:rPr>
                <w:rFonts w:hint="eastAsia"/>
              </w:rPr>
            </w:pPr>
            <w:r>
              <w:rPr>
                <w:rFonts w:hint="eastAsia"/>
              </w:rPr>
              <w:t>平均电价（元</w:t>
            </w:r>
            <w:r>
              <w:rPr>
                <w:rFonts w:hint="eastAsia"/>
              </w:rPr>
              <w:t>/</w:t>
            </w:r>
            <w:r>
              <w:t>度）</w:t>
            </w:r>
          </w:p>
        </w:tc>
        <w:tc>
          <w:tcPr>
            <w:tcW w:w="1476" w:type="dxa"/>
            <w:vAlign w:val="center"/>
          </w:tcPr>
          <w:p w14:paraId="0E1B28E0" w14:textId="77777777" w:rsidR="004B0883" w:rsidRDefault="004B0883">
            <w:pPr>
              <w:widowControl w:val="0"/>
              <w:adjustRightInd w:val="0"/>
              <w:snapToGrid w:val="0"/>
              <w:jc w:val="right"/>
              <w:rPr>
                <w:color w:val="000000"/>
              </w:rPr>
            </w:pPr>
            <w:r>
              <w:t>0.78</w:t>
            </w:r>
          </w:p>
        </w:tc>
        <w:tc>
          <w:tcPr>
            <w:tcW w:w="1478" w:type="dxa"/>
            <w:vAlign w:val="center"/>
          </w:tcPr>
          <w:p w14:paraId="42FBD013" w14:textId="77777777" w:rsidR="004B0883" w:rsidRDefault="004B0883">
            <w:pPr>
              <w:widowControl w:val="0"/>
              <w:adjustRightInd w:val="0"/>
              <w:snapToGrid w:val="0"/>
              <w:jc w:val="right"/>
              <w:rPr>
                <w:rFonts w:hint="eastAsia"/>
                <w:color w:val="000000"/>
                <w:kern w:val="0"/>
              </w:rPr>
            </w:pPr>
            <w:r>
              <w:t>0.79</w:t>
            </w:r>
          </w:p>
        </w:tc>
        <w:tc>
          <w:tcPr>
            <w:tcW w:w="1478" w:type="dxa"/>
            <w:vAlign w:val="center"/>
          </w:tcPr>
          <w:p w14:paraId="516A334E" w14:textId="77777777" w:rsidR="004B0883" w:rsidRDefault="004B0883">
            <w:pPr>
              <w:widowControl w:val="0"/>
              <w:adjustRightInd w:val="0"/>
              <w:snapToGrid w:val="0"/>
              <w:jc w:val="right"/>
              <w:rPr>
                <w:color w:val="000000"/>
                <w:kern w:val="0"/>
              </w:rPr>
            </w:pPr>
            <w:r>
              <w:t>0.64</w:t>
            </w:r>
          </w:p>
        </w:tc>
        <w:tc>
          <w:tcPr>
            <w:tcW w:w="1478" w:type="dxa"/>
            <w:vAlign w:val="center"/>
          </w:tcPr>
          <w:p w14:paraId="723F1F55" w14:textId="77777777" w:rsidR="004B0883" w:rsidRDefault="004B0883">
            <w:pPr>
              <w:widowControl w:val="0"/>
              <w:adjustRightInd w:val="0"/>
              <w:snapToGrid w:val="0"/>
              <w:jc w:val="right"/>
              <w:rPr>
                <w:color w:val="000000"/>
                <w:kern w:val="0"/>
              </w:rPr>
            </w:pPr>
            <w:r>
              <w:t>0.59</w:t>
            </w:r>
          </w:p>
        </w:tc>
      </w:tr>
      <w:tr w:rsidR="004B0883" w14:paraId="34833DD7" w14:textId="77777777">
        <w:trPr>
          <w:trHeight w:val="397"/>
          <w:jc w:val="center"/>
        </w:trPr>
        <w:tc>
          <w:tcPr>
            <w:tcW w:w="2616" w:type="dxa"/>
            <w:vAlign w:val="center"/>
          </w:tcPr>
          <w:p w14:paraId="34966F9E" w14:textId="77777777" w:rsidR="004B0883" w:rsidRDefault="004B0883">
            <w:pPr>
              <w:widowControl w:val="0"/>
              <w:adjustRightInd w:val="0"/>
              <w:snapToGrid w:val="0"/>
              <w:jc w:val="both"/>
              <w:rPr>
                <w:rFonts w:hint="eastAsia"/>
              </w:rPr>
            </w:pPr>
            <w:r>
              <w:rPr>
                <w:rFonts w:hint="eastAsia"/>
              </w:rPr>
              <w:t>占营业成本比例（</w:t>
            </w:r>
            <w:r>
              <w:rPr>
                <w:rFonts w:hint="eastAsia"/>
              </w:rPr>
              <w:t>%</w:t>
            </w:r>
            <w:r>
              <w:rPr>
                <w:rFonts w:hint="eastAsia"/>
              </w:rPr>
              <w:t>）</w:t>
            </w:r>
          </w:p>
        </w:tc>
        <w:tc>
          <w:tcPr>
            <w:tcW w:w="1476" w:type="dxa"/>
            <w:vAlign w:val="center"/>
          </w:tcPr>
          <w:p w14:paraId="0A44CFC0" w14:textId="77777777" w:rsidR="004B0883" w:rsidRDefault="004B0883">
            <w:pPr>
              <w:widowControl w:val="0"/>
              <w:adjustRightInd w:val="0"/>
              <w:snapToGrid w:val="0"/>
              <w:jc w:val="right"/>
              <w:rPr>
                <w:color w:val="000000"/>
              </w:rPr>
            </w:pPr>
            <w:r>
              <w:t>5.01</w:t>
            </w:r>
          </w:p>
        </w:tc>
        <w:tc>
          <w:tcPr>
            <w:tcW w:w="1478" w:type="dxa"/>
            <w:vAlign w:val="center"/>
          </w:tcPr>
          <w:p w14:paraId="0CE2B9F1" w14:textId="77777777" w:rsidR="004B0883" w:rsidRDefault="004B0883">
            <w:pPr>
              <w:widowControl w:val="0"/>
              <w:adjustRightInd w:val="0"/>
              <w:snapToGrid w:val="0"/>
              <w:jc w:val="right"/>
              <w:rPr>
                <w:rFonts w:hint="eastAsia"/>
                <w:color w:val="000000"/>
                <w:kern w:val="0"/>
              </w:rPr>
            </w:pPr>
            <w:r>
              <w:t>6.27</w:t>
            </w:r>
          </w:p>
        </w:tc>
        <w:tc>
          <w:tcPr>
            <w:tcW w:w="1478" w:type="dxa"/>
            <w:vAlign w:val="center"/>
          </w:tcPr>
          <w:p w14:paraId="71040713" w14:textId="77777777" w:rsidR="004B0883" w:rsidRDefault="004B0883">
            <w:pPr>
              <w:widowControl w:val="0"/>
              <w:adjustRightInd w:val="0"/>
              <w:snapToGrid w:val="0"/>
              <w:jc w:val="right"/>
              <w:rPr>
                <w:color w:val="000000"/>
                <w:kern w:val="0"/>
              </w:rPr>
            </w:pPr>
            <w:r>
              <w:t>6.18</w:t>
            </w:r>
          </w:p>
        </w:tc>
        <w:tc>
          <w:tcPr>
            <w:tcW w:w="1478" w:type="dxa"/>
            <w:vAlign w:val="center"/>
          </w:tcPr>
          <w:p w14:paraId="42904A68" w14:textId="77777777" w:rsidR="004B0883" w:rsidRDefault="004B0883">
            <w:pPr>
              <w:widowControl w:val="0"/>
              <w:adjustRightInd w:val="0"/>
              <w:snapToGrid w:val="0"/>
              <w:jc w:val="right"/>
              <w:rPr>
                <w:color w:val="000000"/>
                <w:kern w:val="0"/>
              </w:rPr>
            </w:pPr>
            <w:r>
              <w:t>4.95</w:t>
            </w:r>
          </w:p>
        </w:tc>
      </w:tr>
    </w:tbl>
    <w:bookmarkEnd w:id="266"/>
    <w:p w14:paraId="29E83494" w14:textId="77777777" w:rsidR="004B0883" w:rsidRDefault="004B0883">
      <w:pPr>
        <w:keepNext/>
        <w:keepLines/>
        <w:widowControl w:val="0"/>
        <w:spacing w:beforeLines="50" w:before="120" w:after="120" w:line="360" w:lineRule="auto"/>
        <w:ind w:firstLineChars="200" w:firstLine="482"/>
        <w:jc w:val="both"/>
        <w:outlineLvl w:val="3"/>
        <w:rPr>
          <w:rFonts w:hint="eastAsia"/>
          <w:b/>
          <w:bCs/>
          <w:sz w:val="24"/>
          <w:szCs w:val="28"/>
          <w:lang w:val="zh-CN"/>
        </w:rPr>
      </w:pPr>
      <w:r>
        <w:rPr>
          <w:b/>
          <w:bCs/>
          <w:sz w:val="24"/>
          <w:szCs w:val="28"/>
          <w:lang w:val="zh-CN"/>
        </w:rPr>
        <w:t>2</w:t>
      </w:r>
      <w:r>
        <w:rPr>
          <w:b/>
          <w:bCs/>
          <w:sz w:val="24"/>
          <w:szCs w:val="28"/>
          <w:lang w:val="zh-CN"/>
        </w:rPr>
        <w:t>、公司报告期内向主要供应商采购情况</w:t>
      </w:r>
    </w:p>
    <w:p w14:paraId="4C35D294" w14:textId="77777777" w:rsidR="004B0883" w:rsidRDefault="004B0883">
      <w:pPr>
        <w:widowControl w:val="0"/>
        <w:spacing w:beforeLines="50" w:before="120" w:line="360" w:lineRule="auto"/>
        <w:ind w:firstLineChars="200" w:firstLine="480"/>
        <w:jc w:val="both"/>
        <w:rPr>
          <w:rFonts w:hint="eastAsia"/>
          <w:sz w:val="24"/>
          <w:szCs w:val="22"/>
        </w:rPr>
      </w:pPr>
      <w:bookmarkStart w:id="267" w:name="_Hlk136269947"/>
      <w:bookmarkStart w:id="268" w:name="_Hlk136269888"/>
      <w:r>
        <w:rPr>
          <w:rFonts w:hint="eastAsia"/>
          <w:sz w:val="24"/>
          <w:szCs w:val="22"/>
        </w:rPr>
        <w:t>报告期内，发行人前五大供应商情况如下所示：</w:t>
      </w:r>
    </w:p>
    <w:p w14:paraId="47DC562D" w14:textId="77777777" w:rsidR="004B0883" w:rsidRDefault="004B0883">
      <w:pPr>
        <w:keepNext/>
        <w:keepLines/>
        <w:widowControl w:val="0"/>
        <w:spacing w:beforeLines="50" w:before="120" w:after="120" w:line="360" w:lineRule="auto"/>
        <w:ind w:firstLineChars="200" w:firstLine="480"/>
        <w:jc w:val="both"/>
        <w:outlineLvl w:val="4"/>
        <w:rPr>
          <w:sz w:val="24"/>
          <w:szCs w:val="22"/>
          <w:lang w:val="zh-CN" w:bidi="en-US"/>
        </w:rPr>
      </w:pPr>
      <w:bookmarkStart w:id="269" w:name="_Hlk102049993"/>
      <w:r>
        <w:rPr>
          <w:sz w:val="24"/>
          <w:szCs w:val="22"/>
          <w:lang w:val="zh-CN" w:bidi="en-US"/>
        </w:rPr>
        <w:t>（</w:t>
      </w:r>
      <w:r>
        <w:rPr>
          <w:sz w:val="24"/>
          <w:szCs w:val="22"/>
          <w:lang w:val="zh-CN" w:bidi="en-US"/>
        </w:rPr>
        <w:t>1</w:t>
      </w:r>
      <w:r>
        <w:rPr>
          <w:sz w:val="24"/>
          <w:szCs w:val="22"/>
          <w:lang w:val="zh-CN" w:bidi="en-US"/>
        </w:rPr>
        <w:t>）</w:t>
      </w:r>
      <w:r>
        <w:rPr>
          <w:sz w:val="24"/>
          <w:szCs w:val="22"/>
          <w:lang w:val="zh-CN" w:bidi="en-US"/>
        </w:rPr>
        <w:t>2023</w:t>
      </w:r>
      <w:r>
        <w:rPr>
          <w:sz w:val="24"/>
          <w:szCs w:val="22"/>
          <w:lang w:val="zh-CN" w:bidi="en-US"/>
        </w:rPr>
        <w:t>年</w:t>
      </w:r>
      <w:r>
        <w:rPr>
          <w:rFonts w:hint="eastAsia"/>
          <w:sz w:val="24"/>
          <w:szCs w:val="22"/>
          <w:lang w:val="zh-CN" w:bidi="en-US"/>
        </w:rPr>
        <w:t>1-</w:t>
      </w:r>
      <w:r>
        <w:rPr>
          <w:sz w:val="24"/>
          <w:szCs w:val="22"/>
          <w:lang w:val="zh-CN" w:bidi="en-US"/>
        </w:rPr>
        <w:t>9</w:t>
      </w:r>
      <w:r>
        <w:rPr>
          <w:rFonts w:hint="eastAsia"/>
          <w:sz w:val="24"/>
          <w:szCs w:val="22"/>
          <w:lang w:val="zh-CN" w:bidi="en-US"/>
        </w:rPr>
        <w:t>月</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63"/>
        <w:gridCol w:w="2472"/>
        <w:gridCol w:w="2063"/>
        <w:gridCol w:w="1651"/>
        <w:gridCol w:w="1431"/>
      </w:tblGrid>
      <w:tr w:rsidR="004B0883" w14:paraId="76B65A35" w14:textId="77777777">
        <w:trPr>
          <w:trHeight w:val="397"/>
          <w:jc w:val="center"/>
        </w:trPr>
        <w:tc>
          <w:tcPr>
            <w:tcW w:w="400" w:type="pct"/>
            <w:shd w:val="clear" w:color="auto" w:fill="D9D9D9"/>
            <w:tcMar>
              <w:top w:w="0" w:type="dxa"/>
              <w:bottom w:w="0" w:type="dxa"/>
            </w:tcMar>
            <w:vAlign w:val="center"/>
          </w:tcPr>
          <w:p w14:paraId="6AE2D117" w14:textId="77777777" w:rsidR="004B0883" w:rsidRDefault="004B0883">
            <w:pPr>
              <w:widowControl w:val="0"/>
              <w:adjustRightInd w:val="0"/>
              <w:snapToGrid w:val="0"/>
              <w:jc w:val="center"/>
              <w:rPr>
                <w:b/>
                <w:bCs/>
                <w:sz w:val="18"/>
                <w:szCs w:val="18"/>
              </w:rPr>
            </w:pPr>
            <w:r>
              <w:rPr>
                <w:b/>
                <w:bCs/>
                <w:sz w:val="18"/>
                <w:szCs w:val="18"/>
              </w:rPr>
              <w:t>序号</w:t>
            </w:r>
          </w:p>
        </w:tc>
        <w:tc>
          <w:tcPr>
            <w:tcW w:w="1493" w:type="pct"/>
            <w:shd w:val="clear" w:color="auto" w:fill="D9D9D9"/>
            <w:tcMar>
              <w:top w:w="0" w:type="dxa"/>
              <w:bottom w:w="0" w:type="dxa"/>
            </w:tcMar>
            <w:vAlign w:val="center"/>
          </w:tcPr>
          <w:p w14:paraId="1A7C49E8" w14:textId="77777777" w:rsidR="004B0883" w:rsidRDefault="004B0883">
            <w:pPr>
              <w:widowControl w:val="0"/>
              <w:adjustRightInd w:val="0"/>
              <w:snapToGrid w:val="0"/>
              <w:jc w:val="center"/>
              <w:rPr>
                <w:b/>
                <w:bCs/>
                <w:sz w:val="18"/>
                <w:szCs w:val="18"/>
              </w:rPr>
            </w:pPr>
            <w:r>
              <w:rPr>
                <w:b/>
                <w:bCs/>
                <w:sz w:val="18"/>
                <w:szCs w:val="18"/>
              </w:rPr>
              <w:t>单位名称</w:t>
            </w:r>
          </w:p>
        </w:tc>
        <w:tc>
          <w:tcPr>
            <w:tcW w:w="1246" w:type="pct"/>
            <w:shd w:val="clear" w:color="auto" w:fill="D9D9D9"/>
            <w:tcMar>
              <w:top w:w="0" w:type="dxa"/>
              <w:bottom w:w="0" w:type="dxa"/>
            </w:tcMar>
            <w:vAlign w:val="center"/>
          </w:tcPr>
          <w:p w14:paraId="2D2C0826" w14:textId="77777777" w:rsidR="004B0883" w:rsidRDefault="004B0883">
            <w:pPr>
              <w:widowControl w:val="0"/>
              <w:adjustRightInd w:val="0"/>
              <w:snapToGrid w:val="0"/>
              <w:jc w:val="center"/>
              <w:rPr>
                <w:b/>
                <w:bCs/>
                <w:sz w:val="18"/>
                <w:szCs w:val="18"/>
              </w:rPr>
            </w:pPr>
            <w:r>
              <w:rPr>
                <w:b/>
                <w:bCs/>
                <w:sz w:val="18"/>
                <w:szCs w:val="18"/>
              </w:rPr>
              <w:t>采购额（万元）</w:t>
            </w:r>
          </w:p>
        </w:tc>
        <w:tc>
          <w:tcPr>
            <w:tcW w:w="997" w:type="pct"/>
            <w:shd w:val="clear" w:color="auto" w:fill="D9D9D9"/>
            <w:tcMar>
              <w:top w:w="0" w:type="dxa"/>
              <w:bottom w:w="0" w:type="dxa"/>
            </w:tcMar>
            <w:vAlign w:val="center"/>
          </w:tcPr>
          <w:p w14:paraId="0D415C7F" w14:textId="77777777" w:rsidR="004B0883" w:rsidRDefault="004B0883">
            <w:pPr>
              <w:widowControl w:val="0"/>
              <w:adjustRightInd w:val="0"/>
              <w:snapToGrid w:val="0"/>
              <w:jc w:val="center"/>
              <w:rPr>
                <w:b/>
                <w:bCs/>
                <w:sz w:val="18"/>
                <w:szCs w:val="18"/>
              </w:rPr>
            </w:pPr>
            <w:r>
              <w:rPr>
                <w:b/>
                <w:bCs/>
                <w:sz w:val="18"/>
                <w:szCs w:val="18"/>
              </w:rPr>
              <w:t>占采购总额的比例</w:t>
            </w:r>
          </w:p>
        </w:tc>
        <w:tc>
          <w:tcPr>
            <w:tcW w:w="864" w:type="pct"/>
            <w:shd w:val="clear" w:color="auto" w:fill="D9D9D9"/>
            <w:vAlign w:val="center"/>
          </w:tcPr>
          <w:p w14:paraId="1F861A94" w14:textId="77777777" w:rsidR="004B0883" w:rsidRDefault="004B0883">
            <w:pPr>
              <w:widowControl w:val="0"/>
              <w:adjustRightInd w:val="0"/>
              <w:snapToGrid w:val="0"/>
              <w:jc w:val="center"/>
              <w:rPr>
                <w:b/>
                <w:bCs/>
                <w:sz w:val="18"/>
                <w:szCs w:val="18"/>
              </w:rPr>
            </w:pPr>
            <w:r>
              <w:rPr>
                <w:rFonts w:hint="eastAsia"/>
                <w:b/>
                <w:bCs/>
                <w:sz w:val="18"/>
                <w:szCs w:val="18"/>
              </w:rPr>
              <w:t>采购内容</w:t>
            </w:r>
          </w:p>
        </w:tc>
      </w:tr>
      <w:tr w:rsidR="004B0883" w14:paraId="4BA42F09" w14:textId="77777777">
        <w:trPr>
          <w:trHeight w:val="397"/>
          <w:jc w:val="center"/>
        </w:trPr>
        <w:tc>
          <w:tcPr>
            <w:tcW w:w="400" w:type="pct"/>
            <w:tcMar>
              <w:top w:w="0" w:type="dxa"/>
              <w:bottom w:w="0" w:type="dxa"/>
            </w:tcMar>
            <w:vAlign w:val="center"/>
          </w:tcPr>
          <w:p w14:paraId="4CAF972B" w14:textId="77777777" w:rsidR="004B0883" w:rsidRDefault="004B0883">
            <w:pPr>
              <w:widowControl w:val="0"/>
              <w:adjustRightInd w:val="0"/>
              <w:snapToGrid w:val="0"/>
              <w:jc w:val="center"/>
              <w:rPr>
                <w:color w:val="000000"/>
                <w:sz w:val="18"/>
                <w:szCs w:val="18"/>
              </w:rPr>
            </w:pPr>
            <w:r>
              <w:rPr>
                <w:color w:val="000000"/>
                <w:sz w:val="18"/>
                <w:szCs w:val="18"/>
              </w:rPr>
              <w:t>1</w:t>
            </w:r>
          </w:p>
        </w:tc>
        <w:tc>
          <w:tcPr>
            <w:tcW w:w="1493" w:type="pct"/>
            <w:tcMar>
              <w:top w:w="0" w:type="dxa"/>
              <w:bottom w:w="0" w:type="dxa"/>
            </w:tcMar>
            <w:vAlign w:val="center"/>
          </w:tcPr>
          <w:p w14:paraId="07472677" w14:textId="77777777" w:rsidR="004B0883" w:rsidRDefault="004B0883">
            <w:pPr>
              <w:widowControl w:val="0"/>
              <w:adjustRightInd w:val="0"/>
              <w:snapToGrid w:val="0"/>
              <w:jc w:val="both"/>
              <w:rPr>
                <w:color w:val="000000"/>
                <w:sz w:val="18"/>
                <w:szCs w:val="18"/>
              </w:rPr>
            </w:pPr>
            <w:r>
              <w:rPr>
                <w:rFonts w:hint="eastAsia"/>
                <w:color w:val="000000"/>
                <w:sz w:val="18"/>
                <w:szCs w:val="18"/>
              </w:rPr>
              <w:t>莱州诚源盐化有限公司</w:t>
            </w:r>
          </w:p>
        </w:tc>
        <w:tc>
          <w:tcPr>
            <w:tcW w:w="1246" w:type="pct"/>
            <w:tcMar>
              <w:top w:w="0" w:type="dxa"/>
              <w:bottom w:w="0" w:type="dxa"/>
            </w:tcMar>
            <w:vAlign w:val="center"/>
          </w:tcPr>
          <w:p w14:paraId="4F9B4E8A" w14:textId="77777777" w:rsidR="004B0883" w:rsidRDefault="004B0883">
            <w:pPr>
              <w:widowControl w:val="0"/>
              <w:adjustRightInd w:val="0"/>
              <w:snapToGrid w:val="0"/>
              <w:jc w:val="right"/>
              <w:rPr>
                <w:color w:val="000000"/>
                <w:sz w:val="18"/>
                <w:szCs w:val="18"/>
              </w:rPr>
            </w:pPr>
            <w:r>
              <w:rPr>
                <w:rFonts w:hint="eastAsia"/>
                <w:color w:val="000000"/>
                <w:sz w:val="18"/>
                <w:szCs w:val="18"/>
              </w:rPr>
              <w:t>1,014.50</w:t>
            </w:r>
          </w:p>
        </w:tc>
        <w:tc>
          <w:tcPr>
            <w:tcW w:w="997" w:type="pct"/>
            <w:tcMar>
              <w:top w:w="0" w:type="dxa"/>
              <w:bottom w:w="0" w:type="dxa"/>
            </w:tcMar>
            <w:vAlign w:val="center"/>
          </w:tcPr>
          <w:p w14:paraId="1420DD86" w14:textId="77777777" w:rsidR="004B0883" w:rsidRDefault="004B0883">
            <w:pPr>
              <w:widowControl w:val="0"/>
              <w:adjustRightInd w:val="0"/>
              <w:snapToGrid w:val="0"/>
              <w:jc w:val="right"/>
              <w:rPr>
                <w:color w:val="000000"/>
                <w:sz w:val="18"/>
                <w:szCs w:val="18"/>
              </w:rPr>
            </w:pPr>
            <w:r>
              <w:rPr>
                <w:rFonts w:hint="eastAsia"/>
                <w:color w:val="000000"/>
                <w:sz w:val="18"/>
                <w:szCs w:val="18"/>
              </w:rPr>
              <w:t>5.82%</w:t>
            </w:r>
          </w:p>
        </w:tc>
        <w:tc>
          <w:tcPr>
            <w:tcW w:w="864" w:type="pct"/>
            <w:vAlign w:val="center"/>
          </w:tcPr>
          <w:p w14:paraId="4BDF2BE8" w14:textId="77777777" w:rsidR="004B0883" w:rsidRDefault="004B0883">
            <w:pPr>
              <w:widowControl w:val="0"/>
              <w:adjustRightInd w:val="0"/>
              <w:snapToGrid w:val="0"/>
              <w:jc w:val="center"/>
              <w:rPr>
                <w:rFonts w:hint="eastAsia"/>
                <w:color w:val="000000"/>
                <w:sz w:val="18"/>
                <w:szCs w:val="18"/>
              </w:rPr>
            </w:pPr>
            <w:r>
              <w:rPr>
                <w:rFonts w:hint="eastAsia"/>
                <w:color w:val="000000"/>
                <w:sz w:val="18"/>
                <w:szCs w:val="18"/>
              </w:rPr>
              <w:t>能源</w:t>
            </w:r>
          </w:p>
        </w:tc>
      </w:tr>
      <w:tr w:rsidR="004B0883" w14:paraId="15B06371" w14:textId="77777777">
        <w:trPr>
          <w:trHeight w:val="397"/>
          <w:jc w:val="center"/>
        </w:trPr>
        <w:tc>
          <w:tcPr>
            <w:tcW w:w="400" w:type="pct"/>
            <w:tcMar>
              <w:top w:w="0" w:type="dxa"/>
              <w:bottom w:w="0" w:type="dxa"/>
            </w:tcMar>
            <w:vAlign w:val="center"/>
          </w:tcPr>
          <w:p w14:paraId="74AD383E" w14:textId="77777777" w:rsidR="004B0883" w:rsidRDefault="004B0883">
            <w:pPr>
              <w:widowControl w:val="0"/>
              <w:adjustRightInd w:val="0"/>
              <w:snapToGrid w:val="0"/>
              <w:jc w:val="center"/>
              <w:rPr>
                <w:color w:val="000000"/>
                <w:sz w:val="18"/>
                <w:szCs w:val="18"/>
              </w:rPr>
            </w:pPr>
            <w:r>
              <w:rPr>
                <w:color w:val="000000"/>
                <w:sz w:val="18"/>
                <w:szCs w:val="18"/>
              </w:rPr>
              <w:t>2</w:t>
            </w:r>
          </w:p>
        </w:tc>
        <w:tc>
          <w:tcPr>
            <w:tcW w:w="1493" w:type="pct"/>
            <w:tcMar>
              <w:top w:w="0" w:type="dxa"/>
              <w:bottom w:w="0" w:type="dxa"/>
            </w:tcMar>
            <w:vAlign w:val="center"/>
          </w:tcPr>
          <w:p w14:paraId="3453A9C5" w14:textId="77777777" w:rsidR="004B0883" w:rsidRDefault="004B0883">
            <w:pPr>
              <w:widowControl w:val="0"/>
              <w:adjustRightInd w:val="0"/>
              <w:snapToGrid w:val="0"/>
              <w:jc w:val="both"/>
              <w:rPr>
                <w:color w:val="000000"/>
                <w:sz w:val="18"/>
                <w:szCs w:val="18"/>
              </w:rPr>
            </w:pPr>
            <w:r>
              <w:rPr>
                <w:rFonts w:hint="eastAsia"/>
                <w:color w:val="000000"/>
                <w:sz w:val="18"/>
                <w:szCs w:val="18"/>
              </w:rPr>
              <w:t>山东德礼科技发展有限公司</w:t>
            </w:r>
          </w:p>
        </w:tc>
        <w:tc>
          <w:tcPr>
            <w:tcW w:w="1246" w:type="pct"/>
            <w:tcMar>
              <w:top w:w="0" w:type="dxa"/>
              <w:bottom w:w="0" w:type="dxa"/>
            </w:tcMar>
            <w:vAlign w:val="center"/>
          </w:tcPr>
          <w:p w14:paraId="08A4BF2A" w14:textId="77777777" w:rsidR="004B0883" w:rsidRDefault="004B0883">
            <w:pPr>
              <w:widowControl w:val="0"/>
              <w:adjustRightInd w:val="0"/>
              <w:snapToGrid w:val="0"/>
              <w:jc w:val="right"/>
              <w:rPr>
                <w:color w:val="000000"/>
                <w:sz w:val="18"/>
                <w:szCs w:val="18"/>
              </w:rPr>
            </w:pPr>
            <w:r>
              <w:rPr>
                <w:rFonts w:hint="eastAsia"/>
                <w:color w:val="000000"/>
                <w:sz w:val="18"/>
                <w:szCs w:val="18"/>
              </w:rPr>
              <w:t>710.86</w:t>
            </w:r>
          </w:p>
        </w:tc>
        <w:tc>
          <w:tcPr>
            <w:tcW w:w="997" w:type="pct"/>
            <w:tcMar>
              <w:top w:w="0" w:type="dxa"/>
              <w:bottom w:w="0" w:type="dxa"/>
            </w:tcMar>
            <w:vAlign w:val="center"/>
          </w:tcPr>
          <w:p w14:paraId="33466482" w14:textId="77777777" w:rsidR="004B0883" w:rsidRDefault="004B0883">
            <w:pPr>
              <w:widowControl w:val="0"/>
              <w:adjustRightInd w:val="0"/>
              <w:snapToGrid w:val="0"/>
              <w:jc w:val="right"/>
              <w:rPr>
                <w:color w:val="000000"/>
                <w:sz w:val="18"/>
                <w:szCs w:val="18"/>
              </w:rPr>
            </w:pPr>
            <w:r>
              <w:rPr>
                <w:rFonts w:hint="eastAsia"/>
                <w:color w:val="000000"/>
                <w:sz w:val="18"/>
                <w:szCs w:val="18"/>
              </w:rPr>
              <w:t>4.08%</w:t>
            </w:r>
          </w:p>
        </w:tc>
        <w:tc>
          <w:tcPr>
            <w:tcW w:w="864" w:type="pct"/>
            <w:vAlign w:val="center"/>
          </w:tcPr>
          <w:p w14:paraId="2E8A962F" w14:textId="77777777" w:rsidR="004B0883" w:rsidRDefault="004B0883">
            <w:pPr>
              <w:widowControl w:val="0"/>
              <w:adjustRightInd w:val="0"/>
              <w:snapToGrid w:val="0"/>
              <w:jc w:val="center"/>
              <w:rPr>
                <w:color w:val="000000"/>
                <w:sz w:val="18"/>
                <w:szCs w:val="18"/>
              </w:rPr>
            </w:pPr>
            <w:r>
              <w:rPr>
                <w:rFonts w:hint="eastAsia"/>
                <w:color w:val="000000"/>
                <w:sz w:val="18"/>
                <w:szCs w:val="18"/>
              </w:rPr>
              <w:t>备件</w:t>
            </w:r>
          </w:p>
        </w:tc>
      </w:tr>
      <w:tr w:rsidR="004B0883" w14:paraId="41D47C12" w14:textId="77777777">
        <w:trPr>
          <w:trHeight w:val="397"/>
          <w:jc w:val="center"/>
        </w:trPr>
        <w:tc>
          <w:tcPr>
            <w:tcW w:w="400" w:type="pct"/>
            <w:tcMar>
              <w:top w:w="0" w:type="dxa"/>
              <w:bottom w:w="0" w:type="dxa"/>
            </w:tcMar>
            <w:vAlign w:val="center"/>
          </w:tcPr>
          <w:p w14:paraId="2AE39BC7" w14:textId="77777777" w:rsidR="004B0883" w:rsidRDefault="004B0883">
            <w:pPr>
              <w:widowControl w:val="0"/>
              <w:adjustRightInd w:val="0"/>
              <w:snapToGrid w:val="0"/>
              <w:jc w:val="center"/>
              <w:rPr>
                <w:color w:val="000000"/>
                <w:sz w:val="18"/>
                <w:szCs w:val="18"/>
              </w:rPr>
            </w:pPr>
            <w:r>
              <w:rPr>
                <w:color w:val="000000"/>
                <w:sz w:val="18"/>
                <w:szCs w:val="18"/>
              </w:rPr>
              <w:t>3</w:t>
            </w:r>
          </w:p>
        </w:tc>
        <w:tc>
          <w:tcPr>
            <w:tcW w:w="1493" w:type="pct"/>
            <w:tcMar>
              <w:top w:w="0" w:type="dxa"/>
              <w:bottom w:w="0" w:type="dxa"/>
            </w:tcMar>
            <w:vAlign w:val="center"/>
          </w:tcPr>
          <w:p w14:paraId="78DBDDD5" w14:textId="77777777" w:rsidR="004B0883" w:rsidRDefault="004B0883">
            <w:pPr>
              <w:widowControl w:val="0"/>
              <w:adjustRightInd w:val="0"/>
              <w:snapToGrid w:val="0"/>
              <w:jc w:val="both"/>
              <w:rPr>
                <w:color w:val="000000"/>
                <w:sz w:val="18"/>
                <w:szCs w:val="18"/>
              </w:rPr>
            </w:pPr>
            <w:r>
              <w:rPr>
                <w:rFonts w:hint="eastAsia"/>
                <w:color w:val="000000"/>
                <w:sz w:val="18"/>
                <w:szCs w:val="18"/>
              </w:rPr>
              <w:t>莱州市源良机械厂</w:t>
            </w:r>
          </w:p>
        </w:tc>
        <w:tc>
          <w:tcPr>
            <w:tcW w:w="1246" w:type="pct"/>
            <w:tcMar>
              <w:top w:w="0" w:type="dxa"/>
              <w:bottom w:w="0" w:type="dxa"/>
            </w:tcMar>
            <w:vAlign w:val="center"/>
          </w:tcPr>
          <w:p w14:paraId="25DA2B97" w14:textId="77777777" w:rsidR="004B0883" w:rsidRDefault="004B0883">
            <w:pPr>
              <w:widowControl w:val="0"/>
              <w:adjustRightInd w:val="0"/>
              <w:snapToGrid w:val="0"/>
              <w:jc w:val="right"/>
              <w:rPr>
                <w:color w:val="000000"/>
                <w:sz w:val="18"/>
                <w:szCs w:val="18"/>
              </w:rPr>
            </w:pPr>
            <w:r>
              <w:rPr>
                <w:rFonts w:hint="eastAsia"/>
                <w:color w:val="000000"/>
                <w:sz w:val="18"/>
                <w:szCs w:val="18"/>
              </w:rPr>
              <w:t>590.29</w:t>
            </w:r>
          </w:p>
        </w:tc>
        <w:tc>
          <w:tcPr>
            <w:tcW w:w="997" w:type="pct"/>
            <w:tcMar>
              <w:top w:w="0" w:type="dxa"/>
              <w:bottom w:w="0" w:type="dxa"/>
            </w:tcMar>
            <w:vAlign w:val="center"/>
          </w:tcPr>
          <w:p w14:paraId="3DC71965" w14:textId="77777777" w:rsidR="004B0883" w:rsidRDefault="004B0883">
            <w:pPr>
              <w:widowControl w:val="0"/>
              <w:adjustRightInd w:val="0"/>
              <w:snapToGrid w:val="0"/>
              <w:jc w:val="right"/>
              <w:rPr>
                <w:color w:val="000000"/>
                <w:sz w:val="18"/>
                <w:szCs w:val="18"/>
              </w:rPr>
            </w:pPr>
            <w:r>
              <w:rPr>
                <w:rFonts w:hint="eastAsia"/>
                <w:color w:val="000000"/>
                <w:sz w:val="18"/>
                <w:szCs w:val="18"/>
              </w:rPr>
              <w:t>3.39%</w:t>
            </w:r>
          </w:p>
        </w:tc>
        <w:tc>
          <w:tcPr>
            <w:tcW w:w="864" w:type="pct"/>
            <w:vAlign w:val="center"/>
          </w:tcPr>
          <w:p w14:paraId="1A2613DB" w14:textId="77777777" w:rsidR="004B0883" w:rsidRDefault="004B0883">
            <w:pPr>
              <w:widowControl w:val="0"/>
              <w:adjustRightInd w:val="0"/>
              <w:snapToGrid w:val="0"/>
              <w:jc w:val="center"/>
              <w:rPr>
                <w:color w:val="000000"/>
                <w:sz w:val="18"/>
                <w:szCs w:val="18"/>
              </w:rPr>
            </w:pPr>
            <w:r>
              <w:rPr>
                <w:color w:val="000000"/>
                <w:sz w:val="18"/>
                <w:szCs w:val="18"/>
              </w:rPr>
              <w:t>驱动头</w:t>
            </w:r>
          </w:p>
        </w:tc>
      </w:tr>
      <w:tr w:rsidR="004B0883" w14:paraId="615E862D" w14:textId="77777777">
        <w:trPr>
          <w:trHeight w:val="397"/>
          <w:jc w:val="center"/>
        </w:trPr>
        <w:tc>
          <w:tcPr>
            <w:tcW w:w="400" w:type="pct"/>
            <w:tcMar>
              <w:top w:w="0" w:type="dxa"/>
              <w:bottom w:w="0" w:type="dxa"/>
            </w:tcMar>
            <w:vAlign w:val="center"/>
          </w:tcPr>
          <w:p w14:paraId="0FA88B45" w14:textId="77777777" w:rsidR="004B0883" w:rsidRDefault="004B0883">
            <w:pPr>
              <w:widowControl w:val="0"/>
              <w:adjustRightInd w:val="0"/>
              <w:snapToGrid w:val="0"/>
              <w:jc w:val="center"/>
              <w:rPr>
                <w:color w:val="000000"/>
                <w:sz w:val="18"/>
                <w:szCs w:val="18"/>
              </w:rPr>
            </w:pPr>
            <w:r>
              <w:rPr>
                <w:color w:val="000000"/>
                <w:sz w:val="18"/>
                <w:szCs w:val="18"/>
              </w:rPr>
              <w:t>4</w:t>
            </w:r>
          </w:p>
        </w:tc>
        <w:tc>
          <w:tcPr>
            <w:tcW w:w="1493" w:type="pct"/>
            <w:tcMar>
              <w:top w:w="0" w:type="dxa"/>
              <w:bottom w:w="0" w:type="dxa"/>
            </w:tcMar>
            <w:vAlign w:val="center"/>
          </w:tcPr>
          <w:p w14:paraId="4FF3898B" w14:textId="77777777" w:rsidR="004B0883" w:rsidRDefault="004B0883">
            <w:pPr>
              <w:widowControl w:val="0"/>
              <w:adjustRightInd w:val="0"/>
              <w:snapToGrid w:val="0"/>
              <w:jc w:val="both"/>
              <w:rPr>
                <w:color w:val="000000"/>
                <w:sz w:val="18"/>
                <w:szCs w:val="18"/>
              </w:rPr>
            </w:pPr>
            <w:r>
              <w:rPr>
                <w:rFonts w:hint="eastAsia"/>
                <w:color w:val="000000"/>
                <w:sz w:val="18"/>
                <w:szCs w:val="18"/>
              </w:rPr>
              <w:t>青岛金鑫盛阀门配件厂</w:t>
            </w:r>
          </w:p>
        </w:tc>
        <w:tc>
          <w:tcPr>
            <w:tcW w:w="1246" w:type="pct"/>
            <w:tcMar>
              <w:top w:w="0" w:type="dxa"/>
              <w:bottom w:w="0" w:type="dxa"/>
            </w:tcMar>
            <w:vAlign w:val="center"/>
          </w:tcPr>
          <w:p w14:paraId="4CF06B2B" w14:textId="77777777" w:rsidR="004B0883" w:rsidRDefault="004B0883">
            <w:pPr>
              <w:widowControl w:val="0"/>
              <w:adjustRightInd w:val="0"/>
              <w:snapToGrid w:val="0"/>
              <w:jc w:val="right"/>
              <w:rPr>
                <w:color w:val="000000"/>
                <w:sz w:val="18"/>
                <w:szCs w:val="18"/>
              </w:rPr>
            </w:pPr>
            <w:r>
              <w:rPr>
                <w:rFonts w:hint="eastAsia"/>
                <w:color w:val="000000"/>
                <w:sz w:val="18"/>
                <w:szCs w:val="18"/>
              </w:rPr>
              <w:t>517.38</w:t>
            </w:r>
          </w:p>
        </w:tc>
        <w:tc>
          <w:tcPr>
            <w:tcW w:w="997" w:type="pct"/>
            <w:tcMar>
              <w:top w:w="0" w:type="dxa"/>
              <w:bottom w:w="0" w:type="dxa"/>
            </w:tcMar>
            <w:vAlign w:val="center"/>
          </w:tcPr>
          <w:p w14:paraId="3E4C2A03" w14:textId="77777777" w:rsidR="004B0883" w:rsidRDefault="004B0883">
            <w:pPr>
              <w:widowControl w:val="0"/>
              <w:adjustRightInd w:val="0"/>
              <w:snapToGrid w:val="0"/>
              <w:jc w:val="right"/>
              <w:rPr>
                <w:color w:val="000000"/>
                <w:sz w:val="18"/>
                <w:szCs w:val="18"/>
              </w:rPr>
            </w:pPr>
            <w:r>
              <w:rPr>
                <w:rFonts w:hint="eastAsia"/>
                <w:color w:val="000000"/>
                <w:sz w:val="18"/>
                <w:szCs w:val="18"/>
              </w:rPr>
              <w:t>2.97%</w:t>
            </w:r>
          </w:p>
        </w:tc>
        <w:tc>
          <w:tcPr>
            <w:tcW w:w="864" w:type="pct"/>
            <w:vAlign w:val="center"/>
          </w:tcPr>
          <w:p w14:paraId="0AF48352" w14:textId="77777777" w:rsidR="004B0883" w:rsidRDefault="004B0883">
            <w:pPr>
              <w:widowControl w:val="0"/>
              <w:adjustRightInd w:val="0"/>
              <w:snapToGrid w:val="0"/>
              <w:jc w:val="center"/>
              <w:rPr>
                <w:color w:val="000000"/>
                <w:sz w:val="18"/>
                <w:szCs w:val="18"/>
              </w:rPr>
            </w:pPr>
            <w:r>
              <w:rPr>
                <w:color w:val="000000"/>
                <w:sz w:val="18"/>
                <w:szCs w:val="18"/>
              </w:rPr>
              <w:t>阀杆及</w:t>
            </w:r>
            <w:r>
              <w:rPr>
                <w:rFonts w:hint="eastAsia"/>
                <w:color w:val="000000"/>
                <w:sz w:val="18"/>
                <w:szCs w:val="18"/>
              </w:rPr>
              <w:t>加工件</w:t>
            </w:r>
          </w:p>
        </w:tc>
      </w:tr>
      <w:tr w:rsidR="004B0883" w14:paraId="190EA249" w14:textId="77777777">
        <w:trPr>
          <w:trHeight w:val="397"/>
          <w:jc w:val="center"/>
        </w:trPr>
        <w:tc>
          <w:tcPr>
            <w:tcW w:w="400" w:type="pct"/>
            <w:tcMar>
              <w:top w:w="0" w:type="dxa"/>
              <w:bottom w:w="0" w:type="dxa"/>
            </w:tcMar>
            <w:vAlign w:val="center"/>
          </w:tcPr>
          <w:p w14:paraId="024E5EB1" w14:textId="77777777" w:rsidR="004B0883" w:rsidRDefault="004B0883">
            <w:pPr>
              <w:widowControl w:val="0"/>
              <w:adjustRightInd w:val="0"/>
              <w:snapToGrid w:val="0"/>
              <w:jc w:val="center"/>
              <w:rPr>
                <w:color w:val="000000"/>
                <w:sz w:val="18"/>
                <w:szCs w:val="18"/>
              </w:rPr>
            </w:pPr>
            <w:r>
              <w:rPr>
                <w:color w:val="000000"/>
                <w:sz w:val="18"/>
                <w:szCs w:val="18"/>
              </w:rPr>
              <w:t>5</w:t>
            </w:r>
          </w:p>
        </w:tc>
        <w:tc>
          <w:tcPr>
            <w:tcW w:w="1493" w:type="pct"/>
            <w:tcMar>
              <w:top w:w="0" w:type="dxa"/>
              <w:bottom w:w="0" w:type="dxa"/>
            </w:tcMar>
            <w:vAlign w:val="center"/>
          </w:tcPr>
          <w:p w14:paraId="139366D3" w14:textId="77777777" w:rsidR="004B0883" w:rsidRDefault="004B0883">
            <w:pPr>
              <w:widowControl w:val="0"/>
              <w:adjustRightInd w:val="0"/>
              <w:snapToGrid w:val="0"/>
              <w:jc w:val="both"/>
              <w:rPr>
                <w:color w:val="000000"/>
                <w:sz w:val="18"/>
                <w:szCs w:val="18"/>
              </w:rPr>
            </w:pPr>
            <w:r>
              <w:rPr>
                <w:rFonts w:hint="eastAsia"/>
                <w:color w:val="000000"/>
                <w:sz w:val="18"/>
                <w:szCs w:val="18"/>
              </w:rPr>
              <w:t>山东强宇机械制造有限公司</w:t>
            </w:r>
          </w:p>
        </w:tc>
        <w:tc>
          <w:tcPr>
            <w:tcW w:w="1246" w:type="pct"/>
            <w:tcMar>
              <w:top w:w="0" w:type="dxa"/>
              <w:bottom w:w="0" w:type="dxa"/>
            </w:tcMar>
            <w:vAlign w:val="center"/>
          </w:tcPr>
          <w:p w14:paraId="18DC5AD0" w14:textId="77777777" w:rsidR="004B0883" w:rsidRDefault="004B0883">
            <w:pPr>
              <w:widowControl w:val="0"/>
              <w:adjustRightInd w:val="0"/>
              <w:snapToGrid w:val="0"/>
              <w:jc w:val="right"/>
              <w:rPr>
                <w:color w:val="000000"/>
                <w:sz w:val="18"/>
                <w:szCs w:val="18"/>
              </w:rPr>
            </w:pPr>
            <w:r>
              <w:rPr>
                <w:rFonts w:hint="eastAsia"/>
                <w:color w:val="000000"/>
                <w:sz w:val="18"/>
                <w:szCs w:val="18"/>
              </w:rPr>
              <w:t>438.15</w:t>
            </w:r>
          </w:p>
        </w:tc>
        <w:tc>
          <w:tcPr>
            <w:tcW w:w="997" w:type="pct"/>
            <w:tcMar>
              <w:top w:w="0" w:type="dxa"/>
              <w:bottom w:w="0" w:type="dxa"/>
            </w:tcMar>
            <w:vAlign w:val="center"/>
          </w:tcPr>
          <w:p w14:paraId="5894A3D8" w14:textId="77777777" w:rsidR="004B0883" w:rsidRDefault="004B0883">
            <w:pPr>
              <w:widowControl w:val="0"/>
              <w:adjustRightInd w:val="0"/>
              <w:snapToGrid w:val="0"/>
              <w:jc w:val="right"/>
              <w:rPr>
                <w:color w:val="000000"/>
                <w:sz w:val="18"/>
                <w:szCs w:val="18"/>
              </w:rPr>
            </w:pPr>
            <w:r>
              <w:rPr>
                <w:rFonts w:hint="eastAsia"/>
                <w:color w:val="000000"/>
                <w:sz w:val="18"/>
                <w:szCs w:val="18"/>
              </w:rPr>
              <w:t>2.51%</w:t>
            </w:r>
          </w:p>
        </w:tc>
        <w:tc>
          <w:tcPr>
            <w:tcW w:w="864" w:type="pct"/>
            <w:vAlign w:val="center"/>
          </w:tcPr>
          <w:p w14:paraId="595E7DD8" w14:textId="77777777" w:rsidR="004B0883" w:rsidRDefault="004B0883">
            <w:pPr>
              <w:widowControl w:val="0"/>
              <w:adjustRightInd w:val="0"/>
              <w:snapToGrid w:val="0"/>
              <w:jc w:val="center"/>
              <w:rPr>
                <w:color w:val="000000"/>
                <w:sz w:val="18"/>
                <w:szCs w:val="18"/>
              </w:rPr>
            </w:pPr>
            <w:r>
              <w:rPr>
                <w:rFonts w:hint="eastAsia"/>
                <w:color w:val="000000"/>
                <w:sz w:val="18"/>
                <w:szCs w:val="18"/>
              </w:rPr>
              <w:t>铸件</w:t>
            </w:r>
          </w:p>
        </w:tc>
      </w:tr>
      <w:tr w:rsidR="004B0883" w14:paraId="2E40B4ED" w14:textId="77777777">
        <w:trPr>
          <w:trHeight w:val="397"/>
          <w:jc w:val="center"/>
        </w:trPr>
        <w:tc>
          <w:tcPr>
            <w:tcW w:w="1893" w:type="pct"/>
            <w:gridSpan w:val="2"/>
            <w:tcMar>
              <w:top w:w="0" w:type="dxa"/>
              <w:bottom w:w="0" w:type="dxa"/>
            </w:tcMar>
            <w:vAlign w:val="center"/>
          </w:tcPr>
          <w:p w14:paraId="617483B0" w14:textId="77777777" w:rsidR="004B0883" w:rsidRDefault="004B0883">
            <w:pPr>
              <w:widowControl w:val="0"/>
              <w:adjustRightInd w:val="0"/>
              <w:snapToGrid w:val="0"/>
              <w:jc w:val="center"/>
              <w:rPr>
                <w:b/>
                <w:bCs/>
                <w:color w:val="000000"/>
                <w:sz w:val="18"/>
                <w:szCs w:val="18"/>
              </w:rPr>
            </w:pPr>
            <w:r>
              <w:rPr>
                <w:b/>
                <w:bCs/>
                <w:color w:val="000000"/>
                <w:sz w:val="18"/>
                <w:szCs w:val="18"/>
              </w:rPr>
              <w:t>合计</w:t>
            </w:r>
          </w:p>
        </w:tc>
        <w:tc>
          <w:tcPr>
            <w:tcW w:w="1246" w:type="pct"/>
            <w:tcMar>
              <w:top w:w="0" w:type="dxa"/>
              <w:bottom w:w="0" w:type="dxa"/>
            </w:tcMar>
            <w:vAlign w:val="center"/>
          </w:tcPr>
          <w:p w14:paraId="4DECE77B" w14:textId="77777777" w:rsidR="004B0883" w:rsidRDefault="004B0883">
            <w:pPr>
              <w:widowControl w:val="0"/>
              <w:adjustRightInd w:val="0"/>
              <w:snapToGrid w:val="0"/>
              <w:jc w:val="right"/>
              <w:rPr>
                <w:b/>
                <w:bCs/>
                <w:color w:val="000000"/>
                <w:sz w:val="18"/>
                <w:szCs w:val="18"/>
              </w:rPr>
            </w:pPr>
            <w:r>
              <w:rPr>
                <w:b/>
                <w:bCs/>
                <w:color w:val="000000"/>
                <w:sz w:val="18"/>
                <w:szCs w:val="22"/>
              </w:rPr>
              <w:t>3,271.18</w:t>
            </w:r>
          </w:p>
        </w:tc>
        <w:tc>
          <w:tcPr>
            <w:tcW w:w="997" w:type="pct"/>
            <w:tcMar>
              <w:top w:w="0" w:type="dxa"/>
              <w:bottom w:w="0" w:type="dxa"/>
            </w:tcMar>
            <w:vAlign w:val="center"/>
          </w:tcPr>
          <w:p w14:paraId="14792CC8" w14:textId="77777777" w:rsidR="004B0883" w:rsidRDefault="004B0883">
            <w:pPr>
              <w:widowControl w:val="0"/>
              <w:adjustRightInd w:val="0"/>
              <w:snapToGrid w:val="0"/>
              <w:jc w:val="right"/>
              <w:rPr>
                <w:b/>
                <w:bCs/>
                <w:color w:val="000000"/>
                <w:sz w:val="18"/>
                <w:szCs w:val="18"/>
              </w:rPr>
            </w:pPr>
            <w:r>
              <w:rPr>
                <w:b/>
                <w:bCs/>
                <w:color w:val="000000"/>
                <w:sz w:val="18"/>
                <w:szCs w:val="22"/>
              </w:rPr>
              <w:t>18.76%</w:t>
            </w:r>
          </w:p>
        </w:tc>
        <w:tc>
          <w:tcPr>
            <w:tcW w:w="864" w:type="pct"/>
            <w:vAlign w:val="center"/>
          </w:tcPr>
          <w:p w14:paraId="07B7B8FF" w14:textId="77777777" w:rsidR="004B0883" w:rsidRDefault="004B0883">
            <w:pPr>
              <w:widowControl w:val="0"/>
              <w:adjustRightInd w:val="0"/>
              <w:snapToGrid w:val="0"/>
              <w:jc w:val="center"/>
              <w:rPr>
                <w:b/>
                <w:bCs/>
                <w:sz w:val="18"/>
              </w:rPr>
            </w:pPr>
            <w:r>
              <w:rPr>
                <w:b/>
                <w:bCs/>
                <w:color w:val="000000"/>
                <w:sz w:val="18"/>
                <w:szCs w:val="22"/>
              </w:rPr>
              <w:t>-</w:t>
            </w:r>
          </w:p>
        </w:tc>
      </w:tr>
    </w:tbl>
    <w:p w14:paraId="0369BAF9" w14:textId="77777777" w:rsidR="004B0883" w:rsidRDefault="004B0883">
      <w:pPr>
        <w:keepNext/>
        <w:keepLines/>
        <w:widowControl w:val="0"/>
        <w:spacing w:beforeLines="50" w:before="120" w:after="120" w:line="360" w:lineRule="auto"/>
        <w:ind w:firstLineChars="200" w:firstLine="480"/>
        <w:jc w:val="both"/>
        <w:outlineLvl w:val="4"/>
        <w:rPr>
          <w:sz w:val="24"/>
          <w:szCs w:val="22"/>
          <w:lang w:val="zh-CN" w:bidi="en-US"/>
        </w:rPr>
      </w:pPr>
      <w:r>
        <w:rPr>
          <w:sz w:val="24"/>
          <w:szCs w:val="22"/>
          <w:lang w:val="zh-CN" w:bidi="en-US"/>
        </w:rPr>
        <w:t>（</w:t>
      </w:r>
      <w:r>
        <w:rPr>
          <w:sz w:val="24"/>
          <w:szCs w:val="22"/>
          <w:lang w:val="zh-CN" w:bidi="en-US"/>
        </w:rPr>
        <w:t>2</w:t>
      </w:r>
      <w:r>
        <w:rPr>
          <w:sz w:val="24"/>
          <w:szCs w:val="22"/>
          <w:lang w:val="zh-CN" w:bidi="en-US"/>
        </w:rPr>
        <w:t>）</w:t>
      </w:r>
      <w:r>
        <w:rPr>
          <w:sz w:val="24"/>
          <w:szCs w:val="22"/>
          <w:lang w:val="zh-CN" w:bidi="en-US"/>
        </w:rPr>
        <w:t>2022</w:t>
      </w:r>
      <w:r>
        <w:rPr>
          <w:sz w:val="24"/>
          <w:szCs w:val="22"/>
          <w:lang w:val="zh-CN" w:bidi="en-US"/>
        </w:rPr>
        <w:t>年度</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63"/>
        <w:gridCol w:w="2472"/>
        <w:gridCol w:w="2063"/>
        <w:gridCol w:w="1651"/>
        <w:gridCol w:w="1431"/>
      </w:tblGrid>
      <w:tr w:rsidR="004B0883" w14:paraId="39E5EA10" w14:textId="77777777">
        <w:trPr>
          <w:trHeight w:val="397"/>
          <w:jc w:val="center"/>
        </w:trPr>
        <w:tc>
          <w:tcPr>
            <w:tcW w:w="400" w:type="pct"/>
            <w:shd w:val="clear" w:color="auto" w:fill="D9D9D9"/>
            <w:tcMar>
              <w:top w:w="0" w:type="dxa"/>
              <w:bottom w:w="0" w:type="dxa"/>
            </w:tcMar>
            <w:vAlign w:val="center"/>
          </w:tcPr>
          <w:p w14:paraId="0A3691E4" w14:textId="77777777" w:rsidR="004B0883" w:rsidRDefault="004B0883">
            <w:pPr>
              <w:widowControl w:val="0"/>
              <w:adjustRightInd w:val="0"/>
              <w:snapToGrid w:val="0"/>
              <w:jc w:val="center"/>
              <w:rPr>
                <w:b/>
                <w:bCs/>
                <w:sz w:val="18"/>
                <w:szCs w:val="18"/>
              </w:rPr>
            </w:pPr>
            <w:r>
              <w:rPr>
                <w:b/>
                <w:bCs/>
                <w:sz w:val="18"/>
                <w:szCs w:val="18"/>
              </w:rPr>
              <w:t>序号</w:t>
            </w:r>
          </w:p>
        </w:tc>
        <w:tc>
          <w:tcPr>
            <w:tcW w:w="1493" w:type="pct"/>
            <w:shd w:val="clear" w:color="auto" w:fill="D9D9D9"/>
            <w:tcMar>
              <w:top w:w="0" w:type="dxa"/>
              <w:bottom w:w="0" w:type="dxa"/>
            </w:tcMar>
            <w:vAlign w:val="center"/>
          </w:tcPr>
          <w:p w14:paraId="6A878A7A" w14:textId="77777777" w:rsidR="004B0883" w:rsidRDefault="004B0883">
            <w:pPr>
              <w:widowControl w:val="0"/>
              <w:adjustRightInd w:val="0"/>
              <w:snapToGrid w:val="0"/>
              <w:jc w:val="center"/>
              <w:rPr>
                <w:b/>
                <w:bCs/>
                <w:sz w:val="18"/>
                <w:szCs w:val="18"/>
              </w:rPr>
            </w:pPr>
            <w:r>
              <w:rPr>
                <w:b/>
                <w:bCs/>
                <w:sz w:val="18"/>
                <w:szCs w:val="18"/>
              </w:rPr>
              <w:t>单位名称</w:t>
            </w:r>
          </w:p>
        </w:tc>
        <w:tc>
          <w:tcPr>
            <w:tcW w:w="1246" w:type="pct"/>
            <w:shd w:val="clear" w:color="auto" w:fill="D9D9D9"/>
            <w:tcMar>
              <w:top w:w="0" w:type="dxa"/>
              <w:bottom w:w="0" w:type="dxa"/>
            </w:tcMar>
            <w:vAlign w:val="center"/>
          </w:tcPr>
          <w:p w14:paraId="6CD8626E" w14:textId="77777777" w:rsidR="004B0883" w:rsidRDefault="004B0883">
            <w:pPr>
              <w:widowControl w:val="0"/>
              <w:adjustRightInd w:val="0"/>
              <w:snapToGrid w:val="0"/>
              <w:jc w:val="center"/>
              <w:rPr>
                <w:b/>
                <w:bCs/>
                <w:sz w:val="18"/>
                <w:szCs w:val="18"/>
              </w:rPr>
            </w:pPr>
            <w:r>
              <w:rPr>
                <w:b/>
                <w:bCs/>
                <w:sz w:val="18"/>
                <w:szCs w:val="18"/>
              </w:rPr>
              <w:t>采购额（万元）</w:t>
            </w:r>
          </w:p>
        </w:tc>
        <w:tc>
          <w:tcPr>
            <w:tcW w:w="997" w:type="pct"/>
            <w:shd w:val="clear" w:color="auto" w:fill="D9D9D9"/>
            <w:tcMar>
              <w:top w:w="0" w:type="dxa"/>
              <w:bottom w:w="0" w:type="dxa"/>
            </w:tcMar>
            <w:vAlign w:val="center"/>
          </w:tcPr>
          <w:p w14:paraId="4444F652" w14:textId="77777777" w:rsidR="004B0883" w:rsidRDefault="004B0883">
            <w:pPr>
              <w:widowControl w:val="0"/>
              <w:adjustRightInd w:val="0"/>
              <w:snapToGrid w:val="0"/>
              <w:jc w:val="center"/>
              <w:rPr>
                <w:b/>
                <w:bCs/>
                <w:sz w:val="18"/>
                <w:szCs w:val="18"/>
              </w:rPr>
            </w:pPr>
            <w:r>
              <w:rPr>
                <w:b/>
                <w:bCs/>
                <w:sz w:val="18"/>
                <w:szCs w:val="18"/>
              </w:rPr>
              <w:t>占采购总额的比例</w:t>
            </w:r>
          </w:p>
        </w:tc>
        <w:tc>
          <w:tcPr>
            <w:tcW w:w="864" w:type="pct"/>
            <w:shd w:val="clear" w:color="auto" w:fill="D9D9D9"/>
            <w:vAlign w:val="center"/>
          </w:tcPr>
          <w:p w14:paraId="24AA720C" w14:textId="77777777" w:rsidR="004B0883" w:rsidRDefault="004B0883">
            <w:pPr>
              <w:widowControl w:val="0"/>
              <w:adjustRightInd w:val="0"/>
              <w:snapToGrid w:val="0"/>
              <w:jc w:val="center"/>
              <w:rPr>
                <w:b/>
                <w:bCs/>
                <w:sz w:val="18"/>
                <w:szCs w:val="18"/>
              </w:rPr>
            </w:pPr>
            <w:r>
              <w:rPr>
                <w:rFonts w:hint="eastAsia"/>
                <w:b/>
                <w:bCs/>
                <w:sz w:val="18"/>
                <w:szCs w:val="18"/>
              </w:rPr>
              <w:t>采购内容</w:t>
            </w:r>
          </w:p>
        </w:tc>
      </w:tr>
      <w:tr w:rsidR="004B0883" w14:paraId="04F76881" w14:textId="77777777">
        <w:trPr>
          <w:trHeight w:val="397"/>
          <w:jc w:val="center"/>
        </w:trPr>
        <w:tc>
          <w:tcPr>
            <w:tcW w:w="400" w:type="pct"/>
            <w:tcMar>
              <w:top w:w="0" w:type="dxa"/>
              <w:bottom w:w="0" w:type="dxa"/>
            </w:tcMar>
            <w:vAlign w:val="center"/>
          </w:tcPr>
          <w:p w14:paraId="44512807" w14:textId="77777777" w:rsidR="004B0883" w:rsidRDefault="004B0883">
            <w:pPr>
              <w:widowControl w:val="0"/>
              <w:adjustRightInd w:val="0"/>
              <w:snapToGrid w:val="0"/>
              <w:jc w:val="center"/>
              <w:rPr>
                <w:color w:val="000000"/>
                <w:sz w:val="18"/>
                <w:szCs w:val="18"/>
              </w:rPr>
            </w:pPr>
            <w:r>
              <w:rPr>
                <w:color w:val="000000"/>
                <w:sz w:val="18"/>
                <w:szCs w:val="18"/>
              </w:rPr>
              <w:t>1</w:t>
            </w:r>
          </w:p>
        </w:tc>
        <w:tc>
          <w:tcPr>
            <w:tcW w:w="1493" w:type="pct"/>
            <w:tcMar>
              <w:top w:w="0" w:type="dxa"/>
              <w:bottom w:w="0" w:type="dxa"/>
            </w:tcMar>
            <w:vAlign w:val="center"/>
          </w:tcPr>
          <w:p w14:paraId="78796191" w14:textId="77777777" w:rsidR="004B0883" w:rsidRDefault="004B0883">
            <w:pPr>
              <w:widowControl w:val="0"/>
              <w:adjustRightInd w:val="0"/>
              <w:snapToGrid w:val="0"/>
              <w:jc w:val="both"/>
              <w:rPr>
                <w:color w:val="000000"/>
                <w:sz w:val="18"/>
                <w:szCs w:val="18"/>
              </w:rPr>
            </w:pPr>
            <w:r>
              <w:rPr>
                <w:rFonts w:hint="eastAsia"/>
                <w:color w:val="000000"/>
                <w:sz w:val="18"/>
                <w:szCs w:val="18"/>
              </w:rPr>
              <w:t>莱州诚源盐化有限公司</w:t>
            </w:r>
          </w:p>
        </w:tc>
        <w:tc>
          <w:tcPr>
            <w:tcW w:w="1246" w:type="pct"/>
            <w:tcMar>
              <w:top w:w="0" w:type="dxa"/>
              <w:bottom w:w="0" w:type="dxa"/>
            </w:tcMar>
            <w:vAlign w:val="center"/>
          </w:tcPr>
          <w:p w14:paraId="63A0ED63" w14:textId="77777777" w:rsidR="004B0883" w:rsidRDefault="004B0883">
            <w:pPr>
              <w:widowControl w:val="0"/>
              <w:adjustRightInd w:val="0"/>
              <w:snapToGrid w:val="0"/>
              <w:jc w:val="right"/>
              <w:rPr>
                <w:color w:val="000000"/>
                <w:sz w:val="18"/>
                <w:szCs w:val="18"/>
              </w:rPr>
            </w:pPr>
            <w:r>
              <w:rPr>
                <w:color w:val="000000"/>
                <w:sz w:val="18"/>
                <w:szCs w:val="18"/>
              </w:rPr>
              <w:t>1,795.09</w:t>
            </w:r>
          </w:p>
        </w:tc>
        <w:tc>
          <w:tcPr>
            <w:tcW w:w="997" w:type="pct"/>
            <w:tcMar>
              <w:top w:w="0" w:type="dxa"/>
              <w:bottom w:w="0" w:type="dxa"/>
            </w:tcMar>
            <w:vAlign w:val="center"/>
          </w:tcPr>
          <w:p w14:paraId="2FBFD698" w14:textId="77777777" w:rsidR="004B0883" w:rsidRDefault="004B0883">
            <w:pPr>
              <w:widowControl w:val="0"/>
              <w:adjustRightInd w:val="0"/>
              <w:snapToGrid w:val="0"/>
              <w:jc w:val="right"/>
              <w:rPr>
                <w:color w:val="000000"/>
                <w:sz w:val="18"/>
                <w:szCs w:val="18"/>
              </w:rPr>
            </w:pPr>
            <w:r>
              <w:rPr>
                <w:color w:val="000000"/>
                <w:sz w:val="18"/>
                <w:szCs w:val="18"/>
              </w:rPr>
              <w:t>6.47%</w:t>
            </w:r>
          </w:p>
        </w:tc>
        <w:tc>
          <w:tcPr>
            <w:tcW w:w="864" w:type="pct"/>
            <w:vAlign w:val="center"/>
          </w:tcPr>
          <w:p w14:paraId="6D9840B6" w14:textId="77777777" w:rsidR="004B0883" w:rsidRDefault="004B0883">
            <w:pPr>
              <w:widowControl w:val="0"/>
              <w:adjustRightInd w:val="0"/>
              <w:snapToGrid w:val="0"/>
              <w:jc w:val="center"/>
              <w:rPr>
                <w:color w:val="000000"/>
                <w:sz w:val="18"/>
                <w:szCs w:val="18"/>
              </w:rPr>
            </w:pPr>
            <w:r>
              <w:rPr>
                <w:rFonts w:hint="eastAsia"/>
                <w:color w:val="000000"/>
                <w:sz w:val="18"/>
                <w:szCs w:val="18"/>
              </w:rPr>
              <w:t>能源</w:t>
            </w:r>
          </w:p>
        </w:tc>
      </w:tr>
      <w:tr w:rsidR="004B0883" w14:paraId="53DF4BAF" w14:textId="77777777">
        <w:trPr>
          <w:trHeight w:val="397"/>
          <w:jc w:val="center"/>
        </w:trPr>
        <w:tc>
          <w:tcPr>
            <w:tcW w:w="400" w:type="pct"/>
            <w:tcMar>
              <w:top w:w="0" w:type="dxa"/>
              <w:bottom w:w="0" w:type="dxa"/>
            </w:tcMar>
            <w:vAlign w:val="center"/>
          </w:tcPr>
          <w:p w14:paraId="2270BD02" w14:textId="77777777" w:rsidR="004B0883" w:rsidRDefault="004B0883">
            <w:pPr>
              <w:widowControl w:val="0"/>
              <w:adjustRightInd w:val="0"/>
              <w:snapToGrid w:val="0"/>
              <w:jc w:val="center"/>
              <w:rPr>
                <w:color w:val="000000"/>
                <w:sz w:val="18"/>
                <w:szCs w:val="18"/>
              </w:rPr>
            </w:pPr>
            <w:r>
              <w:rPr>
                <w:color w:val="000000"/>
                <w:sz w:val="18"/>
                <w:szCs w:val="18"/>
              </w:rPr>
              <w:t>2</w:t>
            </w:r>
          </w:p>
        </w:tc>
        <w:tc>
          <w:tcPr>
            <w:tcW w:w="1493" w:type="pct"/>
            <w:tcMar>
              <w:top w:w="0" w:type="dxa"/>
              <w:bottom w:w="0" w:type="dxa"/>
            </w:tcMar>
            <w:vAlign w:val="center"/>
          </w:tcPr>
          <w:p w14:paraId="5A0FCCA4" w14:textId="77777777" w:rsidR="004B0883" w:rsidRDefault="004B0883">
            <w:pPr>
              <w:widowControl w:val="0"/>
              <w:adjustRightInd w:val="0"/>
              <w:snapToGrid w:val="0"/>
              <w:jc w:val="both"/>
              <w:rPr>
                <w:color w:val="000000"/>
                <w:sz w:val="18"/>
                <w:szCs w:val="18"/>
              </w:rPr>
            </w:pPr>
            <w:r>
              <w:rPr>
                <w:rFonts w:hint="eastAsia"/>
                <w:color w:val="000000"/>
                <w:sz w:val="18"/>
                <w:szCs w:val="18"/>
              </w:rPr>
              <w:t>青岛义国环保科技有限公司</w:t>
            </w:r>
          </w:p>
        </w:tc>
        <w:tc>
          <w:tcPr>
            <w:tcW w:w="1246" w:type="pct"/>
            <w:tcMar>
              <w:top w:w="0" w:type="dxa"/>
              <w:bottom w:w="0" w:type="dxa"/>
            </w:tcMar>
            <w:vAlign w:val="center"/>
          </w:tcPr>
          <w:p w14:paraId="2B2AA465" w14:textId="77777777" w:rsidR="004B0883" w:rsidRDefault="004B0883">
            <w:pPr>
              <w:widowControl w:val="0"/>
              <w:adjustRightInd w:val="0"/>
              <w:snapToGrid w:val="0"/>
              <w:jc w:val="right"/>
              <w:rPr>
                <w:color w:val="000000"/>
                <w:sz w:val="18"/>
                <w:szCs w:val="18"/>
              </w:rPr>
            </w:pPr>
            <w:r>
              <w:rPr>
                <w:color w:val="000000"/>
                <w:sz w:val="18"/>
                <w:szCs w:val="18"/>
              </w:rPr>
              <w:t>1,336.47</w:t>
            </w:r>
          </w:p>
        </w:tc>
        <w:tc>
          <w:tcPr>
            <w:tcW w:w="997" w:type="pct"/>
            <w:tcMar>
              <w:top w:w="0" w:type="dxa"/>
              <w:bottom w:w="0" w:type="dxa"/>
            </w:tcMar>
            <w:vAlign w:val="center"/>
          </w:tcPr>
          <w:p w14:paraId="1DF170FD" w14:textId="77777777" w:rsidR="004B0883" w:rsidRDefault="004B0883">
            <w:pPr>
              <w:widowControl w:val="0"/>
              <w:adjustRightInd w:val="0"/>
              <w:snapToGrid w:val="0"/>
              <w:jc w:val="right"/>
              <w:rPr>
                <w:color w:val="000000"/>
                <w:sz w:val="18"/>
                <w:szCs w:val="18"/>
              </w:rPr>
            </w:pPr>
            <w:r>
              <w:rPr>
                <w:color w:val="000000"/>
                <w:sz w:val="18"/>
                <w:szCs w:val="18"/>
              </w:rPr>
              <w:t>4.82%</w:t>
            </w:r>
          </w:p>
        </w:tc>
        <w:tc>
          <w:tcPr>
            <w:tcW w:w="864" w:type="pct"/>
            <w:vAlign w:val="center"/>
          </w:tcPr>
          <w:p w14:paraId="52885986" w14:textId="77777777" w:rsidR="004B0883" w:rsidRDefault="004B0883">
            <w:pPr>
              <w:widowControl w:val="0"/>
              <w:adjustRightInd w:val="0"/>
              <w:snapToGrid w:val="0"/>
              <w:jc w:val="center"/>
              <w:rPr>
                <w:color w:val="000000"/>
                <w:sz w:val="18"/>
                <w:szCs w:val="18"/>
              </w:rPr>
            </w:pPr>
            <w:r>
              <w:rPr>
                <w:rFonts w:hint="eastAsia"/>
                <w:color w:val="000000"/>
                <w:sz w:val="18"/>
                <w:szCs w:val="18"/>
              </w:rPr>
              <w:t>废铁</w:t>
            </w:r>
          </w:p>
        </w:tc>
      </w:tr>
      <w:tr w:rsidR="004B0883" w14:paraId="29B1EAF6" w14:textId="77777777">
        <w:trPr>
          <w:trHeight w:val="397"/>
          <w:jc w:val="center"/>
        </w:trPr>
        <w:tc>
          <w:tcPr>
            <w:tcW w:w="400" w:type="pct"/>
            <w:tcMar>
              <w:top w:w="0" w:type="dxa"/>
              <w:bottom w:w="0" w:type="dxa"/>
            </w:tcMar>
            <w:vAlign w:val="center"/>
          </w:tcPr>
          <w:p w14:paraId="386768E4" w14:textId="77777777" w:rsidR="004B0883" w:rsidRDefault="004B0883">
            <w:pPr>
              <w:widowControl w:val="0"/>
              <w:adjustRightInd w:val="0"/>
              <w:snapToGrid w:val="0"/>
              <w:jc w:val="center"/>
              <w:rPr>
                <w:color w:val="000000"/>
                <w:sz w:val="18"/>
                <w:szCs w:val="18"/>
              </w:rPr>
            </w:pPr>
            <w:r>
              <w:rPr>
                <w:color w:val="000000"/>
                <w:sz w:val="18"/>
                <w:szCs w:val="18"/>
              </w:rPr>
              <w:t>3</w:t>
            </w:r>
          </w:p>
        </w:tc>
        <w:tc>
          <w:tcPr>
            <w:tcW w:w="1493" w:type="pct"/>
            <w:tcMar>
              <w:top w:w="0" w:type="dxa"/>
              <w:bottom w:w="0" w:type="dxa"/>
            </w:tcMar>
            <w:vAlign w:val="center"/>
          </w:tcPr>
          <w:p w14:paraId="722FD761" w14:textId="77777777" w:rsidR="004B0883" w:rsidRDefault="004B0883">
            <w:pPr>
              <w:widowControl w:val="0"/>
              <w:adjustRightInd w:val="0"/>
              <w:snapToGrid w:val="0"/>
              <w:jc w:val="both"/>
              <w:rPr>
                <w:color w:val="000000"/>
                <w:sz w:val="18"/>
                <w:szCs w:val="18"/>
              </w:rPr>
            </w:pPr>
            <w:r>
              <w:rPr>
                <w:rFonts w:hint="eastAsia"/>
                <w:color w:val="000000"/>
                <w:sz w:val="18"/>
                <w:szCs w:val="18"/>
              </w:rPr>
              <w:t>青岛金鑫盛阀门配件厂</w:t>
            </w:r>
          </w:p>
        </w:tc>
        <w:tc>
          <w:tcPr>
            <w:tcW w:w="1246" w:type="pct"/>
            <w:tcMar>
              <w:top w:w="0" w:type="dxa"/>
              <w:bottom w:w="0" w:type="dxa"/>
            </w:tcMar>
            <w:vAlign w:val="center"/>
          </w:tcPr>
          <w:p w14:paraId="30669B4D" w14:textId="77777777" w:rsidR="004B0883" w:rsidRDefault="004B0883">
            <w:pPr>
              <w:widowControl w:val="0"/>
              <w:adjustRightInd w:val="0"/>
              <w:snapToGrid w:val="0"/>
              <w:jc w:val="right"/>
              <w:rPr>
                <w:color w:val="000000"/>
                <w:sz w:val="18"/>
                <w:szCs w:val="18"/>
              </w:rPr>
            </w:pPr>
            <w:r>
              <w:rPr>
                <w:color w:val="000000"/>
                <w:sz w:val="18"/>
                <w:szCs w:val="18"/>
              </w:rPr>
              <w:t>915.46</w:t>
            </w:r>
          </w:p>
        </w:tc>
        <w:tc>
          <w:tcPr>
            <w:tcW w:w="997" w:type="pct"/>
            <w:tcMar>
              <w:top w:w="0" w:type="dxa"/>
              <w:bottom w:w="0" w:type="dxa"/>
            </w:tcMar>
            <w:vAlign w:val="center"/>
          </w:tcPr>
          <w:p w14:paraId="6B60A493" w14:textId="77777777" w:rsidR="004B0883" w:rsidRDefault="004B0883">
            <w:pPr>
              <w:widowControl w:val="0"/>
              <w:adjustRightInd w:val="0"/>
              <w:snapToGrid w:val="0"/>
              <w:jc w:val="right"/>
              <w:rPr>
                <w:color w:val="000000"/>
                <w:sz w:val="18"/>
                <w:szCs w:val="18"/>
              </w:rPr>
            </w:pPr>
            <w:r>
              <w:rPr>
                <w:color w:val="000000"/>
                <w:sz w:val="18"/>
                <w:szCs w:val="18"/>
              </w:rPr>
              <w:t>3.30%</w:t>
            </w:r>
          </w:p>
        </w:tc>
        <w:tc>
          <w:tcPr>
            <w:tcW w:w="864" w:type="pct"/>
            <w:vAlign w:val="center"/>
          </w:tcPr>
          <w:p w14:paraId="75967FCE" w14:textId="77777777" w:rsidR="004B0883" w:rsidRDefault="004B0883">
            <w:pPr>
              <w:widowControl w:val="0"/>
              <w:adjustRightInd w:val="0"/>
              <w:snapToGrid w:val="0"/>
              <w:jc w:val="center"/>
              <w:rPr>
                <w:color w:val="000000"/>
                <w:sz w:val="18"/>
                <w:szCs w:val="18"/>
              </w:rPr>
            </w:pPr>
            <w:r>
              <w:rPr>
                <w:color w:val="000000"/>
                <w:sz w:val="18"/>
                <w:szCs w:val="18"/>
              </w:rPr>
              <w:t>阀杆及</w:t>
            </w:r>
            <w:r>
              <w:rPr>
                <w:rFonts w:hint="eastAsia"/>
                <w:color w:val="000000"/>
                <w:sz w:val="18"/>
                <w:szCs w:val="18"/>
              </w:rPr>
              <w:t>加工件</w:t>
            </w:r>
          </w:p>
        </w:tc>
      </w:tr>
      <w:tr w:rsidR="004B0883" w14:paraId="1A7E6E8F" w14:textId="77777777">
        <w:trPr>
          <w:trHeight w:val="397"/>
          <w:jc w:val="center"/>
        </w:trPr>
        <w:tc>
          <w:tcPr>
            <w:tcW w:w="400" w:type="pct"/>
            <w:tcMar>
              <w:top w:w="0" w:type="dxa"/>
              <w:bottom w:w="0" w:type="dxa"/>
            </w:tcMar>
            <w:vAlign w:val="center"/>
          </w:tcPr>
          <w:p w14:paraId="298FB337" w14:textId="77777777" w:rsidR="004B0883" w:rsidRDefault="004B0883">
            <w:pPr>
              <w:widowControl w:val="0"/>
              <w:adjustRightInd w:val="0"/>
              <w:snapToGrid w:val="0"/>
              <w:jc w:val="center"/>
              <w:rPr>
                <w:color w:val="000000"/>
                <w:sz w:val="18"/>
                <w:szCs w:val="18"/>
              </w:rPr>
            </w:pPr>
            <w:r>
              <w:rPr>
                <w:color w:val="000000"/>
                <w:sz w:val="18"/>
                <w:szCs w:val="18"/>
              </w:rPr>
              <w:t>4</w:t>
            </w:r>
          </w:p>
        </w:tc>
        <w:tc>
          <w:tcPr>
            <w:tcW w:w="1493" w:type="pct"/>
            <w:tcMar>
              <w:top w:w="0" w:type="dxa"/>
              <w:bottom w:w="0" w:type="dxa"/>
            </w:tcMar>
            <w:vAlign w:val="center"/>
          </w:tcPr>
          <w:p w14:paraId="08DB0247" w14:textId="77777777" w:rsidR="004B0883" w:rsidRDefault="004B0883">
            <w:pPr>
              <w:widowControl w:val="0"/>
              <w:adjustRightInd w:val="0"/>
              <w:snapToGrid w:val="0"/>
              <w:jc w:val="both"/>
              <w:rPr>
                <w:color w:val="000000"/>
                <w:sz w:val="18"/>
                <w:szCs w:val="18"/>
              </w:rPr>
            </w:pPr>
            <w:r>
              <w:rPr>
                <w:rFonts w:hint="eastAsia"/>
                <w:color w:val="000000"/>
                <w:sz w:val="18"/>
                <w:szCs w:val="18"/>
              </w:rPr>
              <w:t>莱州市隆顺机械有限公司</w:t>
            </w:r>
          </w:p>
        </w:tc>
        <w:tc>
          <w:tcPr>
            <w:tcW w:w="1246" w:type="pct"/>
            <w:tcMar>
              <w:top w:w="0" w:type="dxa"/>
              <w:bottom w:w="0" w:type="dxa"/>
            </w:tcMar>
            <w:vAlign w:val="center"/>
          </w:tcPr>
          <w:p w14:paraId="54F3013C" w14:textId="77777777" w:rsidR="004B0883" w:rsidRDefault="004B0883">
            <w:pPr>
              <w:widowControl w:val="0"/>
              <w:adjustRightInd w:val="0"/>
              <w:snapToGrid w:val="0"/>
              <w:jc w:val="right"/>
              <w:rPr>
                <w:color w:val="000000"/>
                <w:sz w:val="18"/>
                <w:szCs w:val="18"/>
              </w:rPr>
            </w:pPr>
            <w:r>
              <w:rPr>
                <w:color w:val="000000"/>
                <w:sz w:val="18"/>
                <w:szCs w:val="18"/>
              </w:rPr>
              <w:t>912.45</w:t>
            </w:r>
          </w:p>
        </w:tc>
        <w:tc>
          <w:tcPr>
            <w:tcW w:w="997" w:type="pct"/>
            <w:tcMar>
              <w:top w:w="0" w:type="dxa"/>
              <w:bottom w:w="0" w:type="dxa"/>
            </w:tcMar>
            <w:vAlign w:val="center"/>
          </w:tcPr>
          <w:p w14:paraId="0983316B" w14:textId="77777777" w:rsidR="004B0883" w:rsidRDefault="004B0883">
            <w:pPr>
              <w:widowControl w:val="0"/>
              <w:adjustRightInd w:val="0"/>
              <w:snapToGrid w:val="0"/>
              <w:jc w:val="right"/>
              <w:rPr>
                <w:color w:val="000000"/>
                <w:sz w:val="18"/>
                <w:szCs w:val="18"/>
              </w:rPr>
            </w:pPr>
            <w:r>
              <w:rPr>
                <w:color w:val="000000"/>
                <w:sz w:val="18"/>
                <w:szCs w:val="18"/>
              </w:rPr>
              <w:t>3.29%</w:t>
            </w:r>
          </w:p>
        </w:tc>
        <w:tc>
          <w:tcPr>
            <w:tcW w:w="864" w:type="pct"/>
            <w:vAlign w:val="center"/>
          </w:tcPr>
          <w:p w14:paraId="090B8874" w14:textId="77777777" w:rsidR="004B0883" w:rsidRDefault="004B0883">
            <w:pPr>
              <w:widowControl w:val="0"/>
              <w:adjustRightInd w:val="0"/>
              <w:snapToGrid w:val="0"/>
              <w:jc w:val="center"/>
              <w:rPr>
                <w:color w:val="000000"/>
                <w:sz w:val="18"/>
                <w:szCs w:val="18"/>
              </w:rPr>
            </w:pPr>
            <w:r>
              <w:rPr>
                <w:rFonts w:hint="eastAsia"/>
                <w:color w:val="000000"/>
                <w:sz w:val="18"/>
                <w:szCs w:val="18"/>
              </w:rPr>
              <w:t>铸件及加工件</w:t>
            </w:r>
          </w:p>
        </w:tc>
      </w:tr>
      <w:tr w:rsidR="004B0883" w14:paraId="1008CDA2" w14:textId="77777777">
        <w:trPr>
          <w:trHeight w:val="397"/>
          <w:jc w:val="center"/>
        </w:trPr>
        <w:tc>
          <w:tcPr>
            <w:tcW w:w="400" w:type="pct"/>
            <w:tcMar>
              <w:top w:w="0" w:type="dxa"/>
              <w:bottom w:w="0" w:type="dxa"/>
            </w:tcMar>
            <w:vAlign w:val="center"/>
          </w:tcPr>
          <w:p w14:paraId="7F642210" w14:textId="77777777" w:rsidR="004B0883" w:rsidRDefault="004B0883">
            <w:pPr>
              <w:widowControl w:val="0"/>
              <w:adjustRightInd w:val="0"/>
              <w:snapToGrid w:val="0"/>
              <w:jc w:val="center"/>
              <w:rPr>
                <w:color w:val="000000"/>
                <w:sz w:val="18"/>
                <w:szCs w:val="18"/>
              </w:rPr>
            </w:pPr>
            <w:r>
              <w:rPr>
                <w:color w:val="000000"/>
                <w:sz w:val="18"/>
                <w:szCs w:val="18"/>
              </w:rPr>
              <w:t>5</w:t>
            </w:r>
          </w:p>
        </w:tc>
        <w:tc>
          <w:tcPr>
            <w:tcW w:w="1493" w:type="pct"/>
            <w:tcMar>
              <w:top w:w="0" w:type="dxa"/>
              <w:bottom w:w="0" w:type="dxa"/>
            </w:tcMar>
            <w:vAlign w:val="center"/>
          </w:tcPr>
          <w:p w14:paraId="3F7BAFE8" w14:textId="77777777" w:rsidR="004B0883" w:rsidRDefault="004B0883">
            <w:pPr>
              <w:widowControl w:val="0"/>
              <w:adjustRightInd w:val="0"/>
              <w:snapToGrid w:val="0"/>
              <w:jc w:val="both"/>
              <w:rPr>
                <w:color w:val="000000"/>
                <w:sz w:val="18"/>
                <w:szCs w:val="18"/>
              </w:rPr>
            </w:pPr>
            <w:r>
              <w:rPr>
                <w:rFonts w:hint="eastAsia"/>
                <w:color w:val="000000"/>
                <w:sz w:val="18"/>
                <w:szCs w:val="18"/>
              </w:rPr>
              <w:t>莱州市源良机械厂</w:t>
            </w:r>
          </w:p>
        </w:tc>
        <w:tc>
          <w:tcPr>
            <w:tcW w:w="1246" w:type="pct"/>
            <w:tcMar>
              <w:top w:w="0" w:type="dxa"/>
              <w:bottom w:w="0" w:type="dxa"/>
            </w:tcMar>
            <w:vAlign w:val="center"/>
          </w:tcPr>
          <w:p w14:paraId="071826EF" w14:textId="77777777" w:rsidR="004B0883" w:rsidRDefault="004B0883">
            <w:pPr>
              <w:widowControl w:val="0"/>
              <w:adjustRightInd w:val="0"/>
              <w:snapToGrid w:val="0"/>
              <w:jc w:val="right"/>
              <w:rPr>
                <w:color w:val="000000"/>
                <w:sz w:val="18"/>
                <w:szCs w:val="18"/>
              </w:rPr>
            </w:pPr>
            <w:r>
              <w:rPr>
                <w:color w:val="000000"/>
                <w:sz w:val="18"/>
                <w:szCs w:val="18"/>
              </w:rPr>
              <w:t>789.31</w:t>
            </w:r>
          </w:p>
        </w:tc>
        <w:tc>
          <w:tcPr>
            <w:tcW w:w="997" w:type="pct"/>
            <w:tcMar>
              <w:top w:w="0" w:type="dxa"/>
              <w:bottom w:w="0" w:type="dxa"/>
            </w:tcMar>
            <w:vAlign w:val="center"/>
          </w:tcPr>
          <w:p w14:paraId="449A5586" w14:textId="77777777" w:rsidR="004B0883" w:rsidRDefault="004B0883">
            <w:pPr>
              <w:widowControl w:val="0"/>
              <w:adjustRightInd w:val="0"/>
              <w:snapToGrid w:val="0"/>
              <w:jc w:val="right"/>
              <w:rPr>
                <w:color w:val="000000"/>
                <w:sz w:val="18"/>
                <w:szCs w:val="18"/>
              </w:rPr>
            </w:pPr>
            <w:r>
              <w:rPr>
                <w:color w:val="000000"/>
                <w:sz w:val="18"/>
                <w:szCs w:val="18"/>
              </w:rPr>
              <w:t>2.85%</w:t>
            </w:r>
          </w:p>
        </w:tc>
        <w:tc>
          <w:tcPr>
            <w:tcW w:w="864" w:type="pct"/>
            <w:vAlign w:val="center"/>
          </w:tcPr>
          <w:p w14:paraId="6FCFC015" w14:textId="77777777" w:rsidR="004B0883" w:rsidRDefault="004B0883">
            <w:pPr>
              <w:widowControl w:val="0"/>
              <w:adjustRightInd w:val="0"/>
              <w:snapToGrid w:val="0"/>
              <w:jc w:val="center"/>
              <w:rPr>
                <w:color w:val="000000"/>
                <w:sz w:val="18"/>
                <w:szCs w:val="18"/>
              </w:rPr>
            </w:pPr>
            <w:r>
              <w:rPr>
                <w:color w:val="000000"/>
                <w:sz w:val="18"/>
                <w:szCs w:val="18"/>
              </w:rPr>
              <w:t>驱动头</w:t>
            </w:r>
          </w:p>
        </w:tc>
      </w:tr>
      <w:tr w:rsidR="004B0883" w14:paraId="31239C4A" w14:textId="77777777">
        <w:trPr>
          <w:trHeight w:val="397"/>
          <w:jc w:val="center"/>
        </w:trPr>
        <w:tc>
          <w:tcPr>
            <w:tcW w:w="1893" w:type="pct"/>
            <w:gridSpan w:val="2"/>
            <w:tcMar>
              <w:top w:w="0" w:type="dxa"/>
              <w:bottom w:w="0" w:type="dxa"/>
            </w:tcMar>
            <w:vAlign w:val="center"/>
          </w:tcPr>
          <w:p w14:paraId="3CC577D3" w14:textId="77777777" w:rsidR="004B0883" w:rsidRDefault="004B0883">
            <w:pPr>
              <w:widowControl w:val="0"/>
              <w:adjustRightInd w:val="0"/>
              <w:snapToGrid w:val="0"/>
              <w:jc w:val="center"/>
              <w:rPr>
                <w:b/>
                <w:bCs/>
                <w:color w:val="000000"/>
                <w:sz w:val="18"/>
                <w:szCs w:val="18"/>
              </w:rPr>
            </w:pPr>
            <w:r>
              <w:rPr>
                <w:b/>
                <w:bCs/>
                <w:color w:val="000000"/>
                <w:sz w:val="18"/>
                <w:szCs w:val="18"/>
              </w:rPr>
              <w:t>合计</w:t>
            </w:r>
          </w:p>
        </w:tc>
        <w:tc>
          <w:tcPr>
            <w:tcW w:w="1246" w:type="pct"/>
            <w:tcMar>
              <w:top w:w="0" w:type="dxa"/>
              <w:bottom w:w="0" w:type="dxa"/>
            </w:tcMar>
            <w:vAlign w:val="center"/>
          </w:tcPr>
          <w:p w14:paraId="7E92A76D" w14:textId="77777777" w:rsidR="004B0883" w:rsidRDefault="004B0883">
            <w:pPr>
              <w:widowControl w:val="0"/>
              <w:adjustRightInd w:val="0"/>
              <w:snapToGrid w:val="0"/>
              <w:jc w:val="right"/>
              <w:rPr>
                <w:b/>
                <w:bCs/>
                <w:color w:val="000000"/>
                <w:sz w:val="18"/>
                <w:szCs w:val="18"/>
              </w:rPr>
            </w:pPr>
            <w:r>
              <w:rPr>
                <w:b/>
                <w:bCs/>
                <w:sz w:val="18"/>
              </w:rPr>
              <w:t>5,748.79</w:t>
            </w:r>
          </w:p>
        </w:tc>
        <w:tc>
          <w:tcPr>
            <w:tcW w:w="997" w:type="pct"/>
            <w:tcMar>
              <w:top w:w="0" w:type="dxa"/>
              <w:bottom w:w="0" w:type="dxa"/>
            </w:tcMar>
            <w:vAlign w:val="center"/>
          </w:tcPr>
          <w:p w14:paraId="5B2DEF44" w14:textId="77777777" w:rsidR="004B0883" w:rsidRDefault="004B0883">
            <w:pPr>
              <w:widowControl w:val="0"/>
              <w:adjustRightInd w:val="0"/>
              <w:snapToGrid w:val="0"/>
              <w:jc w:val="right"/>
              <w:rPr>
                <w:b/>
                <w:bCs/>
                <w:color w:val="000000"/>
                <w:sz w:val="18"/>
                <w:szCs w:val="18"/>
              </w:rPr>
            </w:pPr>
            <w:r>
              <w:rPr>
                <w:b/>
                <w:bCs/>
                <w:sz w:val="18"/>
              </w:rPr>
              <w:t>20.73%</w:t>
            </w:r>
          </w:p>
        </w:tc>
        <w:tc>
          <w:tcPr>
            <w:tcW w:w="864" w:type="pct"/>
            <w:vAlign w:val="center"/>
          </w:tcPr>
          <w:p w14:paraId="0C40E87C" w14:textId="77777777" w:rsidR="004B0883" w:rsidRDefault="004B0883">
            <w:pPr>
              <w:widowControl w:val="0"/>
              <w:adjustRightInd w:val="0"/>
              <w:snapToGrid w:val="0"/>
              <w:jc w:val="center"/>
              <w:rPr>
                <w:b/>
                <w:bCs/>
                <w:sz w:val="18"/>
              </w:rPr>
            </w:pPr>
            <w:r>
              <w:rPr>
                <w:rFonts w:hint="eastAsia"/>
                <w:b/>
                <w:bCs/>
                <w:sz w:val="18"/>
              </w:rPr>
              <w:t>-</w:t>
            </w:r>
          </w:p>
        </w:tc>
      </w:tr>
    </w:tbl>
    <w:bookmarkEnd w:id="269"/>
    <w:p w14:paraId="3E2F820C" w14:textId="77777777" w:rsidR="004B0883" w:rsidRDefault="004B0883">
      <w:pPr>
        <w:keepNext/>
        <w:keepLines/>
        <w:widowControl w:val="0"/>
        <w:spacing w:beforeLines="50" w:before="120" w:after="120" w:line="360" w:lineRule="auto"/>
        <w:ind w:firstLineChars="200" w:firstLine="480"/>
        <w:jc w:val="both"/>
        <w:outlineLvl w:val="4"/>
        <w:rPr>
          <w:sz w:val="24"/>
          <w:szCs w:val="22"/>
          <w:lang w:val="zh-CN" w:bidi="en-US"/>
        </w:rPr>
      </w:pPr>
      <w:r>
        <w:rPr>
          <w:rFonts w:hint="eastAsia"/>
          <w:sz w:val="24"/>
          <w:szCs w:val="22"/>
          <w:lang w:val="zh-CN" w:bidi="en-US"/>
        </w:rPr>
        <w:t>（</w:t>
      </w:r>
      <w:r>
        <w:rPr>
          <w:sz w:val="24"/>
          <w:szCs w:val="22"/>
          <w:lang w:val="zh-CN" w:bidi="en-US"/>
        </w:rPr>
        <w:t>3</w:t>
      </w:r>
      <w:r>
        <w:rPr>
          <w:rFonts w:hint="eastAsia"/>
          <w:sz w:val="24"/>
          <w:szCs w:val="22"/>
          <w:lang w:val="zh-CN" w:bidi="en-US"/>
        </w:rPr>
        <w:t>）</w:t>
      </w:r>
      <w:r>
        <w:rPr>
          <w:sz w:val="24"/>
          <w:szCs w:val="22"/>
          <w:lang w:val="zh-CN" w:bidi="en-US"/>
        </w:rPr>
        <w:t>2021</w:t>
      </w:r>
      <w:r>
        <w:rPr>
          <w:rFonts w:hint="eastAsia"/>
          <w:sz w:val="24"/>
          <w:szCs w:val="22"/>
          <w:lang w:val="zh-CN" w:bidi="en-US"/>
        </w:rPr>
        <w:t>年度</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62"/>
        <w:gridCol w:w="2471"/>
        <w:gridCol w:w="2065"/>
        <w:gridCol w:w="1651"/>
        <w:gridCol w:w="1431"/>
      </w:tblGrid>
      <w:tr w:rsidR="004B0883" w14:paraId="1ECA9479" w14:textId="77777777">
        <w:trPr>
          <w:trHeight w:val="340"/>
          <w:tblHeader/>
          <w:jc w:val="center"/>
        </w:trPr>
        <w:tc>
          <w:tcPr>
            <w:tcW w:w="400" w:type="pct"/>
            <w:shd w:val="clear" w:color="auto" w:fill="D9D9D9"/>
            <w:tcMar>
              <w:top w:w="0" w:type="dxa"/>
              <w:bottom w:w="0" w:type="dxa"/>
            </w:tcMar>
            <w:vAlign w:val="center"/>
          </w:tcPr>
          <w:p w14:paraId="3F9CE4EB" w14:textId="77777777" w:rsidR="004B0883" w:rsidRDefault="004B0883">
            <w:pPr>
              <w:widowControl w:val="0"/>
              <w:adjustRightInd w:val="0"/>
              <w:snapToGrid w:val="0"/>
              <w:jc w:val="center"/>
              <w:rPr>
                <w:b/>
                <w:bCs/>
                <w:sz w:val="18"/>
                <w:szCs w:val="18"/>
              </w:rPr>
            </w:pPr>
            <w:r>
              <w:rPr>
                <w:b/>
                <w:bCs/>
                <w:sz w:val="18"/>
                <w:szCs w:val="18"/>
              </w:rPr>
              <w:t>序号</w:t>
            </w:r>
          </w:p>
        </w:tc>
        <w:tc>
          <w:tcPr>
            <w:tcW w:w="1492" w:type="pct"/>
            <w:shd w:val="clear" w:color="auto" w:fill="D9D9D9"/>
            <w:tcMar>
              <w:top w:w="0" w:type="dxa"/>
              <w:bottom w:w="0" w:type="dxa"/>
            </w:tcMar>
            <w:vAlign w:val="center"/>
          </w:tcPr>
          <w:p w14:paraId="0106EE0E" w14:textId="77777777" w:rsidR="004B0883" w:rsidRDefault="004B0883">
            <w:pPr>
              <w:widowControl w:val="0"/>
              <w:adjustRightInd w:val="0"/>
              <w:snapToGrid w:val="0"/>
              <w:jc w:val="center"/>
              <w:rPr>
                <w:b/>
                <w:bCs/>
                <w:sz w:val="18"/>
                <w:szCs w:val="18"/>
              </w:rPr>
            </w:pPr>
            <w:r>
              <w:rPr>
                <w:b/>
                <w:bCs/>
                <w:sz w:val="18"/>
                <w:szCs w:val="18"/>
              </w:rPr>
              <w:t>单位名称</w:t>
            </w:r>
          </w:p>
        </w:tc>
        <w:tc>
          <w:tcPr>
            <w:tcW w:w="1247" w:type="pct"/>
            <w:shd w:val="clear" w:color="auto" w:fill="D9D9D9"/>
            <w:tcMar>
              <w:top w:w="0" w:type="dxa"/>
              <w:bottom w:w="0" w:type="dxa"/>
            </w:tcMar>
            <w:vAlign w:val="center"/>
          </w:tcPr>
          <w:p w14:paraId="01E74B08" w14:textId="77777777" w:rsidR="004B0883" w:rsidRDefault="004B0883">
            <w:pPr>
              <w:widowControl w:val="0"/>
              <w:adjustRightInd w:val="0"/>
              <w:snapToGrid w:val="0"/>
              <w:jc w:val="center"/>
              <w:rPr>
                <w:b/>
                <w:bCs/>
                <w:sz w:val="18"/>
                <w:szCs w:val="18"/>
              </w:rPr>
            </w:pPr>
            <w:r>
              <w:rPr>
                <w:b/>
                <w:bCs/>
                <w:sz w:val="18"/>
                <w:szCs w:val="18"/>
              </w:rPr>
              <w:t>采购额（万元）</w:t>
            </w:r>
          </w:p>
        </w:tc>
        <w:tc>
          <w:tcPr>
            <w:tcW w:w="997" w:type="pct"/>
            <w:shd w:val="clear" w:color="auto" w:fill="D9D9D9"/>
            <w:tcMar>
              <w:top w:w="0" w:type="dxa"/>
              <w:bottom w:w="0" w:type="dxa"/>
            </w:tcMar>
            <w:vAlign w:val="center"/>
          </w:tcPr>
          <w:p w14:paraId="21363160" w14:textId="77777777" w:rsidR="004B0883" w:rsidRDefault="004B0883">
            <w:pPr>
              <w:widowControl w:val="0"/>
              <w:adjustRightInd w:val="0"/>
              <w:snapToGrid w:val="0"/>
              <w:jc w:val="center"/>
              <w:rPr>
                <w:b/>
                <w:bCs/>
                <w:sz w:val="18"/>
                <w:szCs w:val="18"/>
              </w:rPr>
            </w:pPr>
            <w:r>
              <w:rPr>
                <w:b/>
                <w:bCs/>
                <w:sz w:val="18"/>
                <w:szCs w:val="18"/>
              </w:rPr>
              <w:t>占采购总额的比例</w:t>
            </w:r>
          </w:p>
        </w:tc>
        <w:tc>
          <w:tcPr>
            <w:tcW w:w="864" w:type="pct"/>
            <w:shd w:val="clear" w:color="auto" w:fill="D9D9D9"/>
            <w:vAlign w:val="center"/>
          </w:tcPr>
          <w:p w14:paraId="3710E915" w14:textId="77777777" w:rsidR="004B0883" w:rsidRDefault="004B0883">
            <w:pPr>
              <w:widowControl w:val="0"/>
              <w:adjustRightInd w:val="0"/>
              <w:snapToGrid w:val="0"/>
              <w:jc w:val="center"/>
              <w:rPr>
                <w:b/>
                <w:bCs/>
                <w:sz w:val="18"/>
                <w:szCs w:val="18"/>
              </w:rPr>
            </w:pPr>
            <w:r>
              <w:rPr>
                <w:rFonts w:hint="eastAsia"/>
                <w:b/>
                <w:bCs/>
                <w:sz w:val="18"/>
                <w:szCs w:val="18"/>
              </w:rPr>
              <w:t>采购内容</w:t>
            </w:r>
          </w:p>
        </w:tc>
      </w:tr>
      <w:tr w:rsidR="004B0883" w14:paraId="1B953589" w14:textId="77777777">
        <w:trPr>
          <w:trHeight w:val="340"/>
          <w:jc w:val="center"/>
        </w:trPr>
        <w:tc>
          <w:tcPr>
            <w:tcW w:w="400" w:type="pct"/>
            <w:tcMar>
              <w:top w:w="0" w:type="dxa"/>
              <w:bottom w:w="0" w:type="dxa"/>
            </w:tcMar>
            <w:vAlign w:val="center"/>
          </w:tcPr>
          <w:p w14:paraId="5CAEACD6" w14:textId="77777777" w:rsidR="004B0883" w:rsidRDefault="004B0883">
            <w:pPr>
              <w:widowControl w:val="0"/>
              <w:adjustRightInd w:val="0"/>
              <w:snapToGrid w:val="0"/>
              <w:jc w:val="center"/>
              <w:rPr>
                <w:color w:val="000000"/>
                <w:sz w:val="18"/>
                <w:szCs w:val="18"/>
              </w:rPr>
            </w:pPr>
            <w:r>
              <w:rPr>
                <w:color w:val="000000"/>
                <w:sz w:val="18"/>
                <w:szCs w:val="18"/>
              </w:rPr>
              <w:t>1</w:t>
            </w:r>
          </w:p>
        </w:tc>
        <w:tc>
          <w:tcPr>
            <w:tcW w:w="1492" w:type="pct"/>
            <w:tcMar>
              <w:top w:w="0" w:type="dxa"/>
              <w:bottom w:w="0" w:type="dxa"/>
            </w:tcMar>
            <w:vAlign w:val="center"/>
          </w:tcPr>
          <w:p w14:paraId="34298780" w14:textId="77777777" w:rsidR="004B0883" w:rsidRDefault="004B0883">
            <w:pPr>
              <w:widowControl w:val="0"/>
              <w:adjustRightInd w:val="0"/>
              <w:snapToGrid w:val="0"/>
              <w:jc w:val="both"/>
              <w:rPr>
                <w:color w:val="000000"/>
                <w:kern w:val="0"/>
                <w:sz w:val="18"/>
                <w:szCs w:val="18"/>
              </w:rPr>
            </w:pPr>
            <w:r>
              <w:rPr>
                <w:rFonts w:hint="eastAsia"/>
                <w:sz w:val="18"/>
                <w:szCs w:val="18"/>
              </w:rPr>
              <w:t>莱州市炜盛铸造有限公司</w:t>
            </w:r>
          </w:p>
        </w:tc>
        <w:tc>
          <w:tcPr>
            <w:tcW w:w="1247" w:type="pct"/>
            <w:tcMar>
              <w:top w:w="0" w:type="dxa"/>
              <w:bottom w:w="0" w:type="dxa"/>
            </w:tcMar>
            <w:vAlign w:val="center"/>
          </w:tcPr>
          <w:p w14:paraId="384019B5" w14:textId="77777777" w:rsidR="004B0883" w:rsidRDefault="004B0883">
            <w:pPr>
              <w:widowControl w:val="0"/>
              <w:adjustRightInd w:val="0"/>
              <w:snapToGrid w:val="0"/>
              <w:jc w:val="right"/>
              <w:rPr>
                <w:color w:val="000000"/>
                <w:kern w:val="0"/>
                <w:sz w:val="18"/>
                <w:szCs w:val="18"/>
              </w:rPr>
            </w:pPr>
            <w:r>
              <w:rPr>
                <w:sz w:val="18"/>
              </w:rPr>
              <w:t>1,971.51</w:t>
            </w:r>
          </w:p>
        </w:tc>
        <w:tc>
          <w:tcPr>
            <w:tcW w:w="997" w:type="pct"/>
            <w:tcMar>
              <w:top w:w="0" w:type="dxa"/>
              <w:bottom w:w="0" w:type="dxa"/>
            </w:tcMar>
            <w:vAlign w:val="center"/>
          </w:tcPr>
          <w:p w14:paraId="0E27174A" w14:textId="77777777" w:rsidR="004B0883" w:rsidRDefault="004B0883">
            <w:pPr>
              <w:widowControl w:val="0"/>
              <w:adjustRightInd w:val="0"/>
              <w:snapToGrid w:val="0"/>
              <w:jc w:val="right"/>
              <w:rPr>
                <w:color w:val="000000"/>
                <w:sz w:val="18"/>
                <w:szCs w:val="18"/>
              </w:rPr>
            </w:pPr>
            <w:r>
              <w:rPr>
                <w:sz w:val="18"/>
              </w:rPr>
              <w:t>6.56%</w:t>
            </w:r>
          </w:p>
        </w:tc>
        <w:tc>
          <w:tcPr>
            <w:tcW w:w="864" w:type="pct"/>
            <w:vAlign w:val="center"/>
          </w:tcPr>
          <w:p w14:paraId="0CB51FE4" w14:textId="77777777" w:rsidR="004B0883" w:rsidRDefault="004B0883">
            <w:pPr>
              <w:widowControl w:val="0"/>
              <w:adjustRightInd w:val="0"/>
              <w:snapToGrid w:val="0"/>
              <w:jc w:val="center"/>
              <w:rPr>
                <w:sz w:val="18"/>
              </w:rPr>
            </w:pPr>
            <w:r>
              <w:rPr>
                <w:sz w:val="18"/>
              </w:rPr>
              <w:t>铸件</w:t>
            </w:r>
          </w:p>
        </w:tc>
      </w:tr>
      <w:tr w:rsidR="004B0883" w14:paraId="4DDE3270" w14:textId="77777777">
        <w:trPr>
          <w:trHeight w:val="340"/>
          <w:jc w:val="center"/>
        </w:trPr>
        <w:tc>
          <w:tcPr>
            <w:tcW w:w="400" w:type="pct"/>
            <w:tcMar>
              <w:top w:w="0" w:type="dxa"/>
              <w:bottom w:w="0" w:type="dxa"/>
            </w:tcMar>
            <w:vAlign w:val="center"/>
          </w:tcPr>
          <w:p w14:paraId="46339C17" w14:textId="77777777" w:rsidR="004B0883" w:rsidRDefault="004B0883">
            <w:pPr>
              <w:widowControl w:val="0"/>
              <w:adjustRightInd w:val="0"/>
              <w:snapToGrid w:val="0"/>
              <w:jc w:val="center"/>
              <w:rPr>
                <w:color w:val="000000"/>
                <w:sz w:val="18"/>
                <w:szCs w:val="18"/>
              </w:rPr>
            </w:pPr>
            <w:r>
              <w:rPr>
                <w:color w:val="000000"/>
                <w:sz w:val="18"/>
                <w:szCs w:val="18"/>
              </w:rPr>
              <w:t>2</w:t>
            </w:r>
          </w:p>
        </w:tc>
        <w:tc>
          <w:tcPr>
            <w:tcW w:w="1492" w:type="pct"/>
            <w:tcMar>
              <w:top w:w="0" w:type="dxa"/>
              <w:bottom w:w="0" w:type="dxa"/>
            </w:tcMar>
            <w:vAlign w:val="center"/>
          </w:tcPr>
          <w:p w14:paraId="44F7F798" w14:textId="77777777" w:rsidR="004B0883" w:rsidRDefault="004B0883">
            <w:pPr>
              <w:widowControl w:val="0"/>
              <w:adjustRightInd w:val="0"/>
              <w:snapToGrid w:val="0"/>
              <w:jc w:val="both"/>
              <w:rPr>
                <w:color w:val="000000"/>
                <w:sz w:val="18"/>
                <w:szCs w:val="18"/>
              </w:rPr>
            </w:pPr>
            <w:r>
              <w:rPr>
                <w:rFonts w:hint="eastAsia"/>
                <w:sz w:val="18"/>
                <w:szCs w:val="18"/>
              </w:rPr>
              <w:t>青岛义国环保科技有限公司</w:t>
            </w:r>
          </w:p>
        </w:tc>
        <w:tc>
          <w:tcPr>
            <w:tcW w:w="1247" w:type="pct"/>
            <w:tcMar>
              <w:top w:w="0" w:type="dxa"/>
              <w:bottom w:w="0" w:type="dxa"/>
            </w:tcMar>
            <w:vAlign w:val="center"/>
          </w:tcPr>
          <w:p w14:paraId="77E268DE" w14:textId="77777777" w:rsidR="004B0883" w:rsidRDefault="004B0883">
            <w:pPr>
              <w:widowControl w:val="0"/>
              <w:adjustRightInd w:val="0"/>
              <w:snapToGrid w:val="0"/>
              <w:jc w:val="right"/>
              <w:rPr>
                <w:color w:val="000000"/>
                <w:sz w:val="18"/>
                <w:szCs w:val="18"/>
              </w:rPr>
            </w:pPr>
            <w:r>
              <w:rPr>
                <w:sz w:val="18"/>
              </w:rPr>
              <w:t>1,475.94</w:t>
            </w:r>
          </w:p>
        </w:tc>
        <w:tc>
          <w:tcPr>
            <w:tcW w:w="997" w:type="pct"/>
            <w:tcMar>
              <w:top w:w="0" w:type="dxa"/>
              <w:bottom w:w="0" w:type="dxa"/>
            </w:tcMar>
            <w:vAlign w:val="center"/>
          </w:tcPr>
          <w:p w14:paraId="43DE0702" w14:textId="77777777" w:rsidR="004B0883" w:rsidRDefault="004B0883">
            <w:pPr>
              <w:widowControl w:val="0"/>
              <w:adjustRightInd w:val="0"/>
              <w:snapToGrid w:val="0"/>
              <w:jc w:val="right"/>
              <w:rPr>
                <w:color w:val="000000"/>
                <w:sz w:val="18"/>
                <w:szCs w:val="18"/>
              </w:rPr>
            </w:pPr>
            <w:r>
              <w:rPr>
                <w:sz w:val="18"/>
              </w:rPr>
              <w:t>4.91%</w:t>
            </w:r>
          </w:p>
        </w:tc>
        <w:tc>
          <w:tcPr>
            <w:tcW w:w="864" w:type="pct"/>
            <w:vAlign w:val="center"/>
          </w:tcPr>
          <w:p w14:paraId="37BFA308" w14:textId="77777777" w:rsidR="004B0883" w:rsidRDefault="004B0883">
            <w:pPr>
              <w:widowControl w:val="0"/>
              <w:adjustRightInd w:val="0"/>
              <w:snapToGrid w:val="0"/>
              <w:jc w:val="center"/>
              <w:rPr>
                <w:sz w:val="18"/>
              </w:rPr>
            </w:pPr>
            <w:r>
              <w:rPr>
                <w:rFonts w:hint="eastAsia"/>
                <w:sz w:val="18"/>
              </w:rPr>
              <w:t>废铁</w:t>
            </w:r>
          </w:p>
        </w:tc>
      </w:tr>
      <w:tr w:rsidR="004B0883" w14:paraId="34147238" w14:textId="77777777">
        <w:trPr>
          <w:trHeight w:val="340"/>
          <w:jc w:val="center"/>
        </w:trPr>
        <w:tc>
          <w:tcPr>
            <w:tcW w:w="400" w:type="pct"/>
            <w:tcMar>
              <w:top w:w="0" w:type="dxa"/>
              <w:bottom w:w="0" w:type="dxa"/>
            </w:tcMar>
            <w:vAlign w:val="center"/>
          </w:tcPr>
          <w:p w14:paraId="6041C5EE" w14:textId="77777777" w:rsidR="004B0883" w:rsidRDefault="004B0883">
            <w:pPr>
              <w:widowControl w:val="0"/>
              <w:adjustRightInd w:val="0"/>
              <w:snapToGrid w:val="0"/>
              <w:jc w:val="center"/>
              <w:rPr>
                <w:color w:val="000000"/>
                <w:sz w:val="18"/>
                <w:szCs w:val="18"/>
              </w:rPr>
            </w:pPr>
            <w:r>
              <w:rPr>
                <w:color w:val="000000"/>
                <w:sz w:val="18"/>
                <w:szCs w:val="18"/>
              </w:rPr>
              <w:t>3</w:t>
            </w:r>
          </w:p>
        </w:tc>
        <w:tc>
          <w:tcPr>
            <w:tcW w:w="1492" w:type="pct"/>
            <w:tcMar>
              <w:top w:w="0" w:type="dxa"/>
              <w:bottom w:w="0" w:type="dxa"/>
            </w:tcMar>
            <w:vAlign w:val="center"/>
          </w:tcPr>
          <w:p w14:paraId="56533418" w14:textId="77777777" w:rsidR="004B0883" w:rsidRDefault="004B0883">
            <w:pPr>
              <w:widowControl w:val="0"/>
              <w:adjustRightInd w:val="0"/>
              <w:snapToGrid w:val="0"/>
              <w:jc w:val="both"/>
              <w:rPr>
                <w:color w:val="000000"/>
                <w:sz w:val="18"/>
                <w:szCs w:val="18"/>
              </w:rPr>
            </w:pPr>
            <w:r>
              <w:rPr>
                <w:rFonts w:hint="eastAsia"/>
                <w:sz w:val="18"/>
                <w:szCs w:val="18"/>
              </w:rPr>
              <w:t>莱州诚源盐化有限公司</w:t>
            </w:r>
          </w:p>
        </w:tc>
        <w:tc>
          <w:tcPr>
            <w:tcW w:w="1247" w:type="pct"/>
            <w:tcMar>
              <w:top w:w="0" w:type="dxa"/>
              <w:bottom w:w="0" w:type="dxa"/>
            </w:tcMar>
            <w:vAlign w:val="center"/>
          </w:tcPr>
          <w:p w14:paraId="5102677E" w14:textId="77777777" w:rsidR="004B0883" w:rsidRDefault="004B0883">
            <w:pPr>
              <w:widowControl w:val="0"/>
              <w:adjustRightInd w:val="0"/>
              <w:snapToGrid w:val="0"/>
              <w:jc w:val="right"/>
              <w:rPr>
                <w:color w:val="000000"/>
                <w:sz w:val="18"/>
                <w:szCs w:val="18"/>
              </w:rPr>
            </w:pPr>
            <w:r>
              <w:rPr>
                <w:sz w:val="18"/>
              </w:rPr>
              <w:t>1,351.57</w:t>
            </w:r>
          </w:p>
        </w:tc>
        <w:tc>
          <w:tcPr>
            <w:tcW w:w="997" w:type="pct"/>
            <w:tcMar>
              <w:top w:w="0" w:type="dxa"/>
              <w:bottom w:w="0" w:type="dxa"/>
            </w:tcMar>
            <w:vAlign w:val="center"/>
          </w:tcPr>
          <w:p w14:paraId="64492064" w14:textId="77777777" w:rsidR="004B0883" w:rsidRDefault="004B0883">
            <w:pPr>
              <w:widowControl w:val="0"/>
              <w:adjustRightInd w:val="0"/>
              <w:snapToGrid w:val="0"/>
              <w:jc w:val="right"/>
              <w:rPr>
                <w:color w:val="000000"/>
                <w:sz w:val="18"/>
                <w:szCs w:val="18"/>
              </w:rPr>
            </w:pPr>
            <w:r>
              <w:rPr>
                <w:sz w:val="18"/>
              </w:rPr>
              <w:t>4.50%</w:t>
            </w:r>
          </w:p>
        </w:tc>
        <w:tc>
          <w:tcPr>
            <w:tcW w:w="864" w:type="pct"/>
            <w:vAlign w:val="center"/>
          </w:tcPr>
          <w:p w14:paraId="646C9170" w14:textId="77777777" w:rsidR="004B0883" w:rsidRDefault="004B0883">
            <w:pPr>
              <w:widowControl w:val="0"/>
              <w:adjustRightInd w:val="0"/>
              <w:snapToGrid w:val="0"/>
              <w:jc w:val="center"/>
              <w:rPr>
                <w:sz w:val="18"/>
              </w:rPr>
            </w:pPr>
            <w:r>
              <w:rPr>
                <w:sz w:val="18"/>
              </w:rPr>
              <w:t>能源</w:t>
            </w:r>
          </w:p>
        </w:tc>
      </w:tr>
      <w:tr w:rsidR="004B0883" w14:paraId="421703F1" w14:textId="77777777">
        <w:trPr>
          <w:trHeight w:val="340"/>
          <w:jc w:val="center"/>
        </w:trPr>
        <w:tc>
          <w:tcPr>
            <w:tcW w:w="400" w:type="pct"/>
            <w:tcMar>
              <w:top w:w="0" w:type="dxa"/>
              <w:bottom w:w="0" w:type="dxa"/>
            </w:tcMar>
            <w:vAlign w:val="center"/>
          </w:tcPr>
          <w:p w14:paraId="0F6EA3D7" w14:textId="77777777" w:rsidR="004B0883" w:rsidRDefault="004B0883">
            <w:pPr>
              <w:widowControl w:val="0"/>
              <w:adjustRightInd w:val="0"/>
              <w:snapToGrid w:val="0"/>
              <w:jc w:val="center"/>
              <w:rPr>
                <w:color w:val="000000"/>
                <w:sz w:val="18"/>
                <w:szCs w:val="18"/>
              </w:rPr>
            </w:pPr>
            <w:r>
              <w:rPr>
                <w:color w:val="000000"/>
                <w:sz w:val="18"/>
                <w:szCs w:val="18"/>
              </w:rPr>
              <w:t>4</w:t>
            </w:r>
          </w:p>
        </w:tc>
        <w:tc>
          <w:tcPr>
            <w:tcW w:w="1492" w:type="pct"/>
            <w:tcMar>
              <w:top w:w="0" w:type="dxa"/>
              <w:bottom w:w="0" w:type="dxa"/>
            </w:tcMar>
            <w:vAlign w:val="center"/>
          </w:tcPr>
          <w:p w14:paraId="22902C40" w14:textId="77777777" w:rsidR="004B0883" w:rsidRDefault="004B0883">
            <w:pPr>
              <w:widowControl w:val="0"/>
              <w:adjustRightInd w:val="0"/>
              <w:snapToGrid w:val="0"/>
              <w:jc w:val="both"/>
              <w:rPr>
                <w:color w:val="000000"/>
                <w:sz w:val="18"/>
                <w:szCs w:val="18"/>
              </w:rPr>
            </w:pPr>
            <w:r>
              <w:rPr>
                <w:rFonts w:hint="eastAsia"/>
                <w:sz w:val="18"/>
                <w:szCs w:val="18"/>
              </w:rPr>
              <w:t>莱州市隆顺机械有限公司</w:t>
            </w:r>
          </w:p>
        </w:tc>
        <w:tc>
          <w:tcPr>
            <w:tcW w:w="1247" w:type="pct"/>
            <w:tcMar>
              <w:top w:w="0" w:type="dxa"/>
              <w:bottom w:w="0" w:type="dxa"/>
            </w:tcMar>
            <w:vAlign w:val="center"/>
          </w:tcPr>
          <w:p w14:paraId="0FFE4F1F" w14:textId="77777777" w:rsidR="004B0883" w:rsidRDefault="004B0883">
            <w:pPr>
              <w:widowControl w:val="0"/>
              <w:adjustRightInd w:val="0"/>
              <w:snapToGrid w:val="0"/>
              <w:jc w:val="right"/>
              <w:rPr>
                <w:color w:val="000000"/>
                <w:sz w:val="18"/>
                <w:szCs w:val="18"/>
              </w:rPr>
            </w:pPr>
            <w:r>
              <w:rPr>
                <w:sz w:val="18"/>
              </w:rPr>
              <w:t>869.64</w:t>
            </w:r>
          </w:p>
        </w:tc>
        <w:tc>
          <w:tcPr>
            <w:tcW w:w="997" w:type="pct"/>
            <w:tcMar>
              <w:top w:w="0" w:type="dxa"/>
              <w:bottom w:w="0" w:type="dxa"/>
            </w:tcMar>
            <w:vAlign w:val="center"/>
          </w:tcPr>
          <w:p w14:paraId="2A2E10C2" w14:textId="77777777" w:rsidR="004B0883" w:rsidRDefault="004B0883">
            <w:pPr>
              <w:widowControl w:val="0"/>
              <w:adjustRightInd w:val="0"/>
              <w:snapToGrid w:val="0"/>
              <w:jc w:val="right"/>
              <w:rPr>
                <w:color w:val="000000"/>
                <w:sz w:val="18"/>
                <w:szCs w:val="18"/>
              </w:rPr>
            </w:pPr>
            <w:r>
              <w:rPr>
                <w:sz w:val="18"/>
              </w:rPr>
              <w:t>2.90%</w:t>
            </w:r>
          </w:p>
        </w:tc>
        <w:tc>
          <w:tcPr>
            <w:tcW w:w="864" w:type="pct"/>
            <w:vAlign w:val="center"/>
          </w:tcPr>
          <w:p w14:paraId="4445BAAB" w14:textId="77777777" w:rsidR="004B0883" w:rsidRDefault="004B0883">
            <w:pPr>
              <w:widowControl w:val="0"/>
              <w:adjustRightInd w:val="0"/>
              <w:snapToGrid w:val="0"/>
              <w:jc w:val="center"/>
              <w:rPr>
                <w:sz w:val="18"/>
              </w:rPr>
            </w:pPr>
            <w:r>
              <w:rPr>
                <w:sz w:val="18"/>
              </w:rPr>
              <w:t>铸件</w:t>
            </w:r>
            <w:r>
              <w:rPr>
                <w:rFonts w:hint="eastAsia"/>
                <w:sz w:val="18"/>
              </w:rPr>
              <w:t>及加工件</w:t>
            </w:r>
          </w:p>
        </w:tc>
      </w:tr>
      <w:tr w:rsidR="004B0883" w14:paraId="26ECC2BE" w14:textId="77777777">
        <w:trPr>
          <w:trHeight w:val="340"/>
          <w:jc w:val="center"/>
        </w:trPr>
        <w:tc>
          <w:tcPr>
            <w:tcW w:w="400" w:type="pct"/>
            <w:tcMar>
              <w:top w:w="0" w:type="dxa"/>
              <w:bottom w:w="0" w:type="dxa"/>
            </w:tcMar>
            <w:vAlign w:val="center"/>
          </w:tcPr>
          <w:p w14:paraId="07FF1BE1" w14:textId="77777777" w:rsidR="004B0883" w:rsidRDefault="004B0883">
            <w:pPr>
              <w:widowControl w:val="0"/>
              <w:adjustRightInd w:val="0"/>
              <w:snapToGrid w:val="0"/>
              <w:jc w:val="center"/>
              <w:rPr>
                <w:color w:val="000000"/>
                <w:sz w:val="18"/>
                <w:szCs w:val="18"/>
              </w:rPr>
            </w:pPr>
            <w:r>
              <w:rPr>
                <w:color w:val="000000"/>
                <w:sz w:val="18"/>
                <w:szCs w:val="18"/>
              </w:rPr>
              <w:t>5</w:t>
            </w:r>
          </w:p>
        </w:tc>
        <w:tc>
          <w:tcPr>
            <w:tcW w:w="1492" w:type="pct"/>
            <w:tcMar>
              <w:top w:w="0" w:type="dxa"/>
              <w:bottom w:w="0" w:type="dxa"/>
            </w:tcMar>
            <w:vAlign w:val="center"/>
          </w:tcPr>
          <w:p w14:paraId="60DD4CB8" w14:textId="77777777" w:rsidR="004B0883" w:rsidRDefault="004B0883">
            <w:pPr>
              <w:widowControl w:val="0"/>
              <w:adjustRightInd w:val="0"/>
              <w:snapToGrid w:val="0"/>
              <w:jc w:val="both"/>
              <w:rPr>
                <w:color w:val="000000"/>
                <w:kern w:val="0"/>
                <w:sz w:val="18"/>
                <w:szCs w:val="18"/>
                <w:lang w:bidi="ar"/>
              </w:rPr>
            </w:pPr>
            <w:r>
              <w:rPr>
                <w:rFonts w:hint="eastAsia"/>
                <w:sz w:val="18"/>
                <w:szCs w:val="18"/>
              </w:rPr>
              <w:t>莱州市源良机械厂</w:t>
            </w:r>
          </w:p>
        </w:tc>
        <w:tc>
          <w:tcPr>
            <w:tcW w:w="1247" w:type="pct"/>
            <w:tcMar>
              <w:top w:w="0" w:type="dxa"/>
              <w:bottom w:w="0" w:type="dxa"/>
            </w:tcMar>
            <w:vAlign w:val="center"/>
          </w:tcPr>
          <w:p w14:paraId="24D521B6" w14:textId="77777777" w:rsidR="004B0883" w:rsidRDefault="004B0883">
            <w:pPr>
              <w:widowControl w:val="0"/>
              <w:adjustRightInd w:val="0"/>
              <w:snapToGrid w:val="0"/>
              <w:jc w:val="right"/>
              <w:rPr>
                <w:color w:val="000000"/>
                <w:kern w:val="0"/>
                <w:sz w:val="18"/>
                <w:szCs w:val="18"/>
                <w:lang w:bidi="ar"/>
              </w:rPr>
            </w:pPr>
            <w:r>
              <w:rPr>
                <w:sz w:val="18"/>
              </w:rPr>
              <w:t>672.73</w:t>
            </w:r>
          </w:p>
        </w:tc>
        <w:tc>
          <w:tcPr>
            <w:tcW w:w="997" w:type="pct"/>
            <w:tcMar>
              <w:top w:w="0" w:type="dxa"/>
              <w:bottom w:w="0" w:type="dxa"/>
            </w:tcMar>
            <w:vAlign w:val="center"/>
          </w:tcPr>
          <w:p w14:paraId="1F7B080E" w14:textId="77777777" w:rsidR="004B0883" w:rsidRDefault="004B0883">
            <w:pPr>
              <w:widowControl w:val="0"/>
              <w:adjustRightInd w:val="0"/>
              <w:snapToGrid w:val="0"/>
              <w:jc w:val="right"/>
              <w:rPr>
                <w:color w:val="000000"/>
                <w:kern w:val="0"/>
                <w:sz w:val="18"/>
                <w:szCs w:val="18"/>
                <w:lang w:bidi="ar"/>
              </w:rPr>
            </w:pPr>
            <w:r>
              <w:rPr>
                <w:sz w:val="18"/>
              </w:rPr>
              <w:t>2.24%</w:t>
            </w:r>
          </w:p>
        </w:tc>
        <w:tc>
          <w:tcPr>
            <w:tcW w:w="864" w:type="pct"/>
            <w:vAlign w:val="center"/>
          </w:tcPr>
          <w:p w14:paraId="4DF0B8C2" w14:textId="77777777" w:rsidR="004B0883" w:rsidRDefault="004B0883">
            <w:pPr>
              <w:widowControl w:val="0"/>
              <w:adjustRightInd w:val="0"/>
              <w:snapToGrid w:val="0"/>
              <w:jc w:val="center"/>
              <w:rPr>
                <w:sz w:val="18"/>
              </w:rPr>
            </w:pPr>
            <w:r>
              <w:rPr>
                <w:sz w:val="18"/>
              </w:rPr>
              <w:t>驱动头</w:t>
            </w:r>
          </w:p>
        </w:tc>
      </w:tr>
      <w:tr w:rsidR="004B0883" w14:paraId="5663B2F5" w14:textId="77777777">
        <w:trPr>
          <w:trHeight w:val="340"/>
          <w:jc w:val="center"/>
        </w:trPr>
        <w:tc>
          <w:tcPr>
            <w:tcW w:w="1892" w:type="pct"/>
            <w:gridSpan w:val="2"/>
            <w:tcMar>
              <w:top w:w="0" w:type="dxa"/>
              <w:bottom w:w="0" w:type="dxa"/>
            </w:tcMar>
            <w:vAlign w:val="center"/>
          </w:tcPr>
          <w:p w14:paraId="63F7CBD0" w14:textId="77777777" w:rsidR="004B0883" w:rsidRDefault="004B0883">
            <w:pPr>
              <w:widowControl w:val="0"/>
              <w:adjustRightInd w:val="0"/>
              <w:snapToGrid w:val="0"/>
              <w:jc w:val="center"/>
              <w:rPr>
                <w:b/>
                <w:bCs/>
                <w:color w:val="000000"/>
                <w:sz w:val="18"/>
                <w:szCs w:val="18"/>
              </w:rPr>
            </w:pPr>
            <w:r>
              <w:rPr>
                <w:b/>
                <w:bCs/>
                <w:color w:val="000000"/>
                <w:sz w:val="18"/>
                <w:szCs w:val="18"/>
              </w:rPr>
              <w:t>合计</w:t>
            </w:r>
          </w:p>
        </w:tc>
        <w:tc>
          <w:tcPr>
            <w:tcW w:w="1247" w:type="pct"/>
            <w:tcMar>
              <w:top w:w="0" w:type="dxa"/>
              <w:bottom w:w="0" w:type="dxa"/>
            </w:tcMar>
            <w:vAlign w:val="center"/>
          </w:tcPr>
          <w:p w14:paraId="3452CDC5" w14:textId="77777777" w:rsidR="004B0883" w:rsidRDefault="004B0883">
            <w:pPr>
              <w:widowControl w:val="0"/>
              <w:adjustRightInd w:val="0"/>
              <w:snapToGrid w:val="0"/>
              <w:jc w:val="right"/>
              <w:rPr>
                <w:b/>
                <w:bCs/>
                <w:color w:val="000000"/>
                <w:sz w:val="18"/>
                <w:szCs w:val="18"/>
              </w:rPr>
            </w:pPr>
            <w:r>
              <w:rPr>
                <w:b/>
                <w:bCs/>
                <w:sz w:val="18"/>
              </w:rPr>
              <w:t>6,341.39</w:t>
            </w:r>
          </w:p>
        </w:tc>
        <w:tc>
          <w:tcPr>
            <w:tcW w:w="997" w:type="pct"/>
            <w:tcMar>
              <w:top w:w="0" w:type="dxa"/>
              <w:bottom w:w="0" w:type="dxa"/>
            </w:tcMar>
            <w:vAlign w:val="center"/>
          </w:tcPr>
          <w:p w14:paraId="67ACC4EC" w14:textId="77777777" w:rsidR="004B0883" w:rsidRDefault="004B0883">
            <w:pPr>
              <w:widowControl w:val="0"/>
              <w:adjustRightInd w:val="0"/>
              <w:snapToGrid w:val="0"/>
              <w:jc w:val="right"/>
              <w:rPr>
                <w:b/>
                <w:bCs/>
                <w:color w:val="000000"/>
                <w:sz w:val="18"/>
                <w:szCs w:val="18"/>
              </w:rPr>
            </w:pPr>
            <w:r>
              <w:rPr>
                <w:b/>
                <w:bCs/>
                <w:sz w:val="18"/>
              </w:rPr>
              <w:t>21.11%</w:t>
            </w:r>
          </w:p>
        </w:tc>
        <w:tc>
          <w:tcPr>
            <w:tcW w:w="864" w:type="pct"/>
            <w:vAlign w:val="center"/>
          </w:tcPr>
          <w:p w14:paraId="6A0B8113" w14:textId="77777777" w:rsidR="004B0883" w:rsidRDefault="004B0883">
            <w:pPr>
              <w:widowControl w:val="0"/>
              <w:adjustRightInd w:val="0"/>
              <w:snapToGrid w:val="0"/>
              <w:jc w:val="center"/>
              <w:rPr>
                <w:b/>
                <w:bCs/>
                <w:sz w:val="18"/>
              </w:rPr>
            </w:pPr>
            <w:r>
              <w:rPr>
                <w:rFonts w:hint="eastAsia"/>
                <w:b/>
                <w:bCs/>
                <w:sz w:val="18"/>
              </w:rPr>
              <w:t>-</w:t>
            </w:r>
          </w:p>
        </w:tc>
      </w:tr>
    </w:tbl>
    <w:p w14:paraId="49D540E9" w14:textId="77777777" w:rsidR="004B0883" w:rsidRDefault="004B0883">
      <w:pPr>
        <w:keepNext/>
        <w:keepLines/>
        <w:widowControl w:val="0"/>
        <w:spacing w:beforeLines="50" w:before="120" w:after="120" w:line="360" w:lineRule="auto"/>
        <w:ind w:firstLineChars="200" w:firstLine="480"/>
        <w:jc w:val="both"/>
        <w:outlineLvl w:val="4"/>
        <w:rPr>
          <w:sz w:val="24"/>
          <w:szCs w:val="22"/>
          <w:lang w:val="zh-CN" w:bidi="en-US"/>
        </w:rPr>
      </w:pPr>
      <w:r>
        <w:rPr>
          <w:rFonts w:hint="eastAsia"/>
          <w:sz w:val="24"/>
          <w:szCs w:val="22"/>
          <w:lang w:val="zh-CN" w:bidi="en-US"/>
        </w:rPr>
        <w:t>（</w:t>
      </w:r>
      <w:r>
        <w:rPr>
          <w:sz w:val="24"/>
          <w:szCs w:val="22"/>
          <w:lang w:val="zh-CN" w:bidi="en-US"/>
        </w:rPr>
        <w:t>4</w:t>
      </w:r>
      <w:r>
        <w:rPr>
          <w:rFonts w:hint="eastAsia"/>
          <w:sz w:val="24"/>
          <w:szCs w:val="22"/>
          <w:lang w:val="zh-CN" w:bidi="en-US"/>
        </w:rPr>
        <w:t>）</w:t>
      </w:r>
      <w:r>
        <w:rPr>
          <w:sz w:val="24"/>
          <w:szCs w:val="22"/>
          <w:lang w:val="zh-CN" w:bidi="en-US"/>
        </w:rPr>
        <w:t>2020</w:t>
      </w:r>
      <w:r>
        <w:rPr>
          <w:rFonts w:hint="eastAsia"/>
          <w:sz w:val="24"/>
          <w:szCs w:val="22"/>
          <w:lang w:val="zh-CN" w:bidi="en-US"/>
        </w:rPr>
        <w:t>年度</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62"/>
        <w:gridCol w:w="2471"/>
        <w:gridCol w:w="2063"/>
        <w:gridCol w:w="1653"/>
        <w:gridCol w:w="1431"/>
      </w:tblGrid>
      <w:tr w:rsidR="004B0883" w14:paraId="453E13DA" w14:textId="77777777">
        <w:trPr>
          <w:trHeight w:val="340"/>
          <w:tblHeader/>
          <w:jc w:val="center"/>
        </w:trPr>
        <w:tc>
          <w:tcPr>
            <w:tcW w:w="400" w:type="pct"/>
            <w:shd w:val="clear" w:color="auto" w:fill="D9D9D9"/>
            <w:tcMar>
              <w:top w:w="0" w:type="dxa"/>
              <w:bottom w:w="0" w:type="dxa"/>
            </w:tcMar>
            <w:vAlign w:val="center"/>
          </w:tcPr>
          <w:p w14:paraId="152817AB" w14:textId="77777777" w:rsidR="004B0883" w:rsidRDefault="004B0883">
            <w:pPr>
              <w:widowControl w:val="0"/>
              <w:adjustRightInd w:val="0"/>
              <w:snapToGrid w:val="0"/>
              <w:jc w:val="center"/>
              <w:rPr>
                <w:b/>
                <w:bCs/>
                <w:sz w:val="18"/>
                <w:szCs w:val="18"/>
              </w:rPr>
            </w:pPr>
            <w:r>
              <w:rPr>
                <w:b/>
                <w:bCs/>
                <w:sz w:val="18"/>
                <w:szCs w:val="18"/>
              </w:rPr>
              <w:t>序号</w:t>
            </w:r>
          </w:p>
        </w:tc>
        <w:tc>
          <w:tcPr>
            <w:tcW w:w="1492" w:type="pct"/>
            <w:shd w:val="clear" w:color="auto" w:fill="D9D9D9"/>
            <w:tcMar>
              <w:top w:w="0" w:type="dxa"/>
              <w:bottom w:w="0" w:type="dxa"/>
            </w:tcMar>
            <w:vAlign w:val="center"/>
          </w:tcPr>
          <w:p w14:paraId="3E20B99D" w14:textId="77777777" w:rsidR="004B0883" w:rsidRDefault="004B0883">
            <w:pPr>
              <w:widowControl w:val="0"/>
              <w:adjustRightInd w:val="0"/>
              <w:snapToGrid w:val="0"/>
              <w:jc w:val="center"/>
              <w:rPr>
                <w:b/>
                <w:bCs/>
                <w:sz w:val="18"/>
                <w:szCs w:val="18"/>
              </w:rPr>
            </w:pPr>
            <w:r>
              <w:rPr>
                <w:b/>
                <w:bCs/>
                <w:sz w:val="18"/>
                <w:szCs w:val="18"/>
              </w:rPr>
              <w:t>单位名称</w:t>
            </w:r>
          </w:p>
        </w:tc>
        <w:tc>
          <w:tcPr>
            <w:tcW w:w="1246" w:type="pct"/>
            <w:shd w:val="clear" w:color="auto" w:fill="D9D9D9"/>
            <w:tcMar>
              <w:top w:w="0" w:type="dxa"/>
              <w:bottom w:w="0" w:type="dxa"/>
            </w:tcMar>
            <w:vAlign w:val="center"/>
          </w:tcPr>
          <w:p w14:paraId="087D823F" w14:textId="77777777" w:rsidR="004B0883" w:rsidRDefault="004B0883">
            <w:pPr>
              <w:widowControl w:val="0"/>
              <w:adjustRightInd w:val="0"/>
              <w:snapToGrid w:val="0"/>
              <w:jc w:val="center"/>
              <w:rPr>
                <w:b/>
                <w:bCs/>
                <w:sz w:val="18"/>
                <w:szCs w:val="18"/>
              </w:rPr>
            </w:pPr>
            <w:r>
              <w:rPr>
                <w:b/>
                <w:bCs/>
                <w:sz w:val="18"/>
                <w:szCs w:val="18"/>
              </w:rPr>
              <w:t>采购额（万元）</w:t>
            </w:r>
          </w:p>
        </w:tc>
        <w:tc>
          <w:tcPr>
            <w:tcW w:w="998" w:type="pct"/>
            <w:shd w:val="clear" w:color="auto" w:fill="D9D9D9"/>
            <w:tcMar>
              <w:top w:w="0" w:type="dxa"/>
              <w:bottom w:w="0" w:type="dxa"/>
            </w:tcMar>
            <w:vAlign w:val="center"/>
          </w:tcPr>
          <w:p w14:paraId="51FA65EE" w14:textId="77777777" w:rsidR="004B0883" w:rsidRDefault="004B0883">
            <w:pPr>
              <w:widowControl w:val="0"/>
              <w:adjustRightInd w:val="0"/>
              <w:snapToGrid w:val="0"/>
              <w:jc w:val="center"/>
              <w:rPr>
                <w:b/>
                <w:bCs/>
                <w:sz w:val="18"/>
                <w:szCs w:val="18"/>
              </w:rPr>
            </w:pPr>
            <w:r>
              <w:rPr>
                <w:b/>
                <w:bCs/>
                <w:sz w:val="18"/>
                <w:szCs w:val="18"/>
              </w:rPr>
              <w:t>占采购总额的比例</w:t>
            </w:r>
          </w:p>
        </w:tc>
        <w:tc>
          <w:tcPr>
            <w:tcW w:w="864" w:type="pct"/>
            <w:shd w:val="clear" w:color="auto" w:fill="D9D9D9"/>
            <w:vAlign w:val="center"/>
          </w:tcPr>
          <w:p w14:paraId="0E253A66" w14:textId="77777777" w:rsidR="004B0883" w:rsidRDefault="004B0883">
            <w:pPr>
              <w:widowControl w:val="0"/>
              <w:adjustRightInd w:val="0"/>
              <w:snapToGrid w:val="0"/>
              <w:jc w:val="center"/>
              <w:rPr>
                <w:b/>
                <w:bCs/>
                <w:sz w:val="18"/>
                <w:szCs w:val="18"/>
              </w:rPr>
            </w:pPr>
            <w:r>
              <w:rPr>
                <w:rFonts w:hint="eastAsia"/>
                <w:b/>
                <w:bCs/>
                <w:sz w:val="18"/>
                <w:szCs w:val="18"/>
              </w:rPr>
              <w:t>采购内容</w:t>
            </w:r>
          </w:p>
        </w:tc>
      </w:tr>
      <w:tr w:rsidR="004B0883" w14:paraId="6A1FFE3B" w14:textId="77777777">
        <w:trPr>
          <w:trHeight w:val="340"/>
          <w:jc w:val="center"/>
        </w:trPr>
        <w:tc>
          <w:tcPr>
            <w:tcW w:w="400" w:type="pct"/>
            <w:tcMar>
              <w:top w:w="0" w:type="dxa"/>
              <w:bottom w:w="0" w:type="dxa"/>
            </w:tcMar>
            <w:vAlign w:val="center"/>
          </w:tcPr>
          <w:p w14:paraId="798C5FE5" w14:textId="77777777" w:rsidR="004B0883" w:rsidRDefault="004B0883">
            <w:pPr>
              <w:widowControl w:val="0"/>
              <w:adjustRightInd w:val="0"/>
              <w:snapToGrid w:val="0"/>
              <w:jc w:val="center"/>
              <w:rPr>
                <w:color w:val="000000"/>
                <w:sz w:val="18"/>
                <w:szCs w:val="18"/>
              </w:rPr>
            </w:pPr>
            <w:r>
              <w:rPr>
                <w:color w:val="000000"/>
                <w:sz w:val="18"/>
                <w:szCs w:val="18"/>
              </w:rPr>
              <w:t>1</w:t>
            </w:r>
          </w:p>
        </w:tc>
        <w:tc>
          <w:tcPr>
            <w:tcW w:w="1492" w:type="pct"/>
            <w:tcMar>
              <w:top w:w="0" w:type="dxa"/>
              <w:bottom w:w="0" w:type="dxa"/>
            </w:tcMar>
            <w:vAlign w:val="center"/>
          </w:tcPr>
          <w:p w14:paraId="1947BBE5" w14:textId="77777777" w:rsidR="004B0883" w:rsidRDefault="004B0883">
            <w:pPr>
              <w:widowControl w:val="0"/>
              <w:adjustRightInd w:val="0"/>
              <w:snapToGrid w:val="0"/>
              <w:jc w:val="both"/>
              <w:rPr>
                <w:color w:val="000000"/>
                <w:kern w:val="0"/>
                <w:sz w:val="18"/>
                <w:szCs w:val="18"/>
              </w:rPr>
            </w:pPr>
            <w:r>
              <w:rPr>
                <w:rFonts w:hint="eastAsia"/>
                <w:color w:val="000000"/>
                <w:sz w:val="18"/>
                <w:szCs w:val="18"/>
              </w:rPr>
              <w:t>青岛大宇再生资源有限公司</w:t>
            </w:r>
          </w:p>
        </w:tc>
        <w:tc>
          <w:tcPr>
            <w:tcW w:w="1246" w:type="pct"/>
            <w:tcMar>
              <w:top w:w="0" w:type="dxa"/>
              <w:bottom w:w="0" w:type="dxa"/>
            </w:tcMar>
            <w:vAlign w:val="center"/>
          </w:tcPr>
          <w:p w14:paraId="700002A6" w14:textId="77777777" w:rsidR="004B0883" w:rsidRDefault="004B0883">
            <w:pPr>
              <w:widowControl w:val="0"/>
              <w:adjustRightInd w:val="0"/>
              <w:snapToGrid w:val="0"/>
              <w:jc w:val="right"/>
              <w:rPr>
                <w:color w:val="000000"/>
                <w:kern w:val="0"/>
                <w:sz w:val="18"/>
                <w:szCs w:val="18"/>
              </w:rPr>
            </w:pPr>
            <w:r>
              <w:rPr>
                <w:sz w:val="18"/>
              </w:rPr>
              <w:t>1,313.01</w:t>
            </w:r>
          </w:p>
        </w:tc>
        <w:tc>
          <w:tcPr>
            <w:tcW w:w="998" w:type="pct"/>
            <w:tcMar>
              <w:top w:w="0" w:type="dxa"/>
              <w:bottom w:w="0" w:type="dxa"/>
            </w:tcMar>
            <w:vAlign w:val="center"/>
          </w:tcPr>
          <w:p w14:paraId="4B729EED" w14:textId="77777777" w:rsidR="004B0883" w:rsidRDefault="004B0883">
            <w:pPr>
              <w:widowControl w:val="0"/>
              <w:adjustRightInd w:val="0"/>
              <w:snapToGrid w:val="0"/>
              <w:jc w:val="right"/>
              <w:rPr>
                <w:color w:val="000000"/>
                <w:sz w:val="18"/>
                <w:szCs w:val="18"/>
              </w:rPr>
            </w:pPr>
            <w:r>
              <w:rPr>
                <w:sz w:val="18"/>
              </w:rPr>
              <w:t>7.00%</w:t>
            </w:r>
          </w:p>
        </w:tc>
        <w:tc>
          <w:tcPr>
            <w:tcW w:w="864" w:type="pct"/>
            <w:vAlign w:val="center"/>
          </w:tcPr>
          <w:p w14:paraId="0747D76C" w14:textId="77777777" w:rsidR="004B0883" w:rsidRDefault="004B0883">
            <w:pPr>
              <w:widowControl w:val="0"/>
              <w:adjustRightInd w:val="0"/>
              <w:snapToGrid w:val="0"/>
              <w:jc w:val="center"/>
              <w:rPr>
                <w:sz w:val="18"/>
              </w:rPr>
            </w:pPr>
            <w:r>
              <w:rPr>
                <w:rFonts w:hint="eastAsia"/>
                <w:sz w:val="18"/>
              </w:rPr>
              <w:t>废钢</w:t>
            </w:r>
          </w:p>
        </w:tc>
      </w:tr>
      <w:tr w:rsidR="004B0883" w14:paraId="3C35F02D" w14:textId="77777777">
        <w:trPr>
          <w:trHeight w:val="340"/>
          <w:jc w:val="center"/>
        </w:trPr>
        <w:tc>
          <w:tcPr>
            <w:tcW w:w="400" w:type="pct"/>
            <w:tcMar>
              <w:top w:w="0" w:type="dxa"/>
              <w:bottom w:w="0" w:type="dxa"/>
            </w:tcMar>
            <w:vAlign w:val="center"/>
          </w:tcPr>
          <w:p w14:paraId="68691FE2" w14:textId="77777777" w:rsidR="004B0883" w:rsidRDefault="004B0883">
            <w:pPr>
              <w:widowControl w:val="0"/>
              <w:adjustRightInd w:val="0"/>
              <w:snapToGrid w:val="0"/>
              <w:jc w:val="center"/>
              <w:rPr>
                <w:color w:val="000000"/>
                <w:sz w:val="18"/>
                <w:szCs w:val="18"/>
              </w:rPr>
            </w:pPr>
            <w:r>
              <w:rPr>
                <w:color w:val="000000"/>
                <w:sz w:val="18"/>
                <w:szCs w:val="18"/>
              </w:rPr>
              <w:t>2</w:t>
            </w:r>
          </w:p>
        </w:tc>
        <w:tc>
          <w:tcPr>
            <w:tcW w:w="1492" w:type="pct"/>
            <w:tcMar>
              <w:top w:w="0" w:type="dxa"/>
              <w:bottom w:w="0" w:type="dxa"/>
            </w:tcMar>
            <w:vAlign w:val="center"/>
          </w:tcPr>
          <w:p w14:paraId="23F90402" w14:textId="77777777" w:rsidR="004B0883" w:rsidRDefault="004B0883">
            <w:pPr>
              <w:widowControl w:val="0"/>
              <w:adjustRightInd w:val="0"/>
              <w:snapToGrid w:val="0"/>
              <w:jc w:val="both"/>
              <w:rPr>
                <w:color w:val="000000"/>
                <w:sz w:val="18"/>
                <w:szCs w:val="18"/>
              </w:rPr>
            </w:pPr>
            <w:r>
              <w:rPr>
                <w:rFonts w:hint="eastAsia"/>
                <w:color w:val="000000"/>
                <w:sz w:val="18"/>
                <w:szCs w:val="18"/>
              </w:rPr>
              <w:t>莱州诚源盐化有限公司</w:t>
            </w:r>
          </w:p>
        </w:tc>
        <w:tc>
          <w:tcPr>
            <w:tcW w:w="1246" w:type="pct"/>
            <w:tcMar>
              <w:top w:w="0" w:type="dxa"/>
              <w:bottom w:w="0" w:type="dxa"/>
            </w:tcMar>
            <w:vAlign w:val="center"/>
          </w:tcPr>
          <w:p w14:paraId="231B9194" w14:textId="77777777" w:rsidR="004B0883" w:rsidRDefault="004B0883">
            <w:pPr>
              <w:widowControl w:val="0"/>
              <w:adjustRightInd w:val="0"/>
              <w:snapToGrid w:val="0"/>
              <w:jc w:val="right"/>
              <w:rPr>
                <w:color w:val="000000"/>
                <w:sz w:val="18"/>
                <w:szCs w:val="18"/>
              </w:rPr>
            </w:pPr>
            <w:r>
              <w:rPr>
                <w:sz w:val="18"/>
              </w:rPr>
              <w:t>757.36</w:t>
            </w:r>
          </w:p>
        </w:tc>
        <w:tc>
          <w:tcPr>
            <w:tcW w:w="998" w:type="pct"/>
            <w:tcMar>
              <w:top w:w="0" w:type="dxa"/>
              <w:bottom w:w="0" w:type="dxa"/>
            </w:tcMar>
            <w:vAlign w:val="center"/>
          </w:tcPr>
          <w:p w14:paraId="73AC8DDD" w14:textId="77777777" w:rsidR="004B0883" w:rsidRDefault="004B0883">
            <w:pPr>
              <w:widowControl w:val="0"/>
              <w:adjustRightInd w:val="0"/>
              <w:snapToGrid w:val="0"/>
              <w:jc w:val="right"/>
              <w:rPr>
                <w:color w:val="000000"/>
                <w:sz w:val="18"/>
                <w:szCs w:val="18"/>
              </w:rPr>
            </w:pPr>
            <w:r>
              <w:rPr>
                <w:sz w:val="18"/>
              </w:rPr>
              <w:t>4.04%</w:t>
            </w:r>
          </w:p>
        </w:tc>
        <w:tc>
          <w:tcPr>
            <w:tcW w:w="864" w:type="pct"/>
            <w:vAlign w:val="center"/>
          </w:tcPr>
          <w:p w14:paraId="3DCB52D8" w14:textId="77777777" w:rsidR="004B0883" w:rsidRDefault="004B0883">
            <w:pPr>
              <w:widowControl w:val="0"/>
              <w:adjustRightInd w:val="0"/>
              <w:snapToGrid w:val="0"/>
              <w:jc w:val="center"/>
              <w:rPr>
                <w:sz w:val="18"/>
              </w:rPr>
            </w:pPr>
            <w:r>
              <w:rPr>
                <w:sz w:val="18"/>
              </w:rPr>
              <w:t>能源</w:t>
            </w:r>
          </w:p>
        </w:tc>
      </w:tr>
      <w:tr w:rsidR="004B0883" w14:paraId="416C58EF" w14:textId="77777777">
        <w:trPr>
          <w:trHeight w:val="340"/>
          <w:jc w:val="center"/>
        </w:trPr>
        <w:tc>
          <w:tcPr>
            <w:tcW w:w="400" w:type="pct"/>
            <w:tcMar>
              <w:top w:w="0" w:type="dxa"/>
              <w:bottom w:w="0" w:type="dxa"/>
            </w:tcMar>
            <w:vAlign w:val="center"/>
          </w:tcPr>
          <w:p w14:paraId="7C4BC1AA" w14:textId="77777777" w:rsidR="004B0883" w:rsidRDefault="004B0883">
            <w:pPr>
              <w:widowControl w:val="0"/>
              <w:adjustRightInd w:val="0"/>
              <w:snapToGrid w:val="0"/>
              <w:jc w:val="center"/>
              <w:rPr>
                <w:color w:val="000000"/>
                <w:sz w:val="18"/>
                <w:szCs w:val="18"/>
              </w:rPr>
            </w:pPr>
            <w:r>
              <w:rPr>
                <w:color w:val="000000"/>
                <w:sz w:val="18"/>
                <w:szCs w:val="18"/>
              </w:rPr>
              <w:t>3</w:t>
            </w:r>
          </w:p>
        </w:tc>
        <w:tc>
          <w:tcPr>
            <w:tcW w:w="1492" w:type="pct"/>
            <w:tcMar>
              <w:top w:w="0" w:type="dxa"/>
              <w:bottom w:w="0" w:type="dxa"/>
            </w:tcMar>
            <w:vAlign w:val="center"/>
          </w:tcPr>
          <w:p w14:paraId="0151965D" w14:textId="77777777" w:rsidR="004B0883" w:rsidRDefault="004B0883">
            <w:pPr>
              <w:widowControl w:val="0"/>
              <w:adjustRightInd w:val="0"/>
              <w:snapToGrid w:val="0"/>
              <w:jc w:val="both"/>
              <w:rPr>
                <w:color w:val="000000"/>
                <w:sz w:val="18"/>
                <w:szCs w:val="18"/>
              </w:rPr>
            </w:pPr>
            <w:r>
              <w:rPr>
                <w:rFonts w:hint="eastAsia"/>
                <w:color w:val="000000"/>
                <w:sz w:val="18"/>
                <w:szCs w:val="18"/>
              </w:rPr>
              <w:t>莱州市源良机械厂</w:t>
            </w:r>
          </w:p>
        </w:tc>
        <w:tc>
          <w:tcPr>
            <w:tcW w:w="1246" w:type="pct"/>
            <w:tcMar>
              <w:top w:w="0" w:type="dxa"/>
              <w:bottom w:w="0" w:type="dxa"/>
            </w:tcMar>
            <w:vAlign w:val="center"/>
          </w:tcPr>
          <w:p w14:paraId="32022E26" w14:textId="77777777" w:rsidR="004B0883" w:rsidRDefault="004B0883">
            <w:pPr>
              <w:widowControl w:val="0"/>
              <w:adjustRightInd w:val="0"/>
              <w:snapToGrid w:val="0"/>
              <w:jc w:val="right"/>
              <w:rPr>
                <w:color w:val="000000"/>
                <w:sz w:val="18"/>
                <w:szCs w:val="18"/>
              </w:rPr>
            </w:pPr>
            <w:r>
              <w:rPr>
                <w:sz w:val="18"/>
              </w:rPr>
              <w:t>630.22</w:t>
            </w:r>
          </w:p>
        </w:tc>
        <w:tc>
          <w:tcPr>
            <w:tcW w:w="998" w:type="pct"/>
            <w:tcMar>
              <w:top w:w="0" w:type="dxa"/>
              <w:bottom w:w="0" w:type="dxa"/>
            </w:tcMar>
            <w:vAlign w:val="center"/>
          </w:tcPr>
          <w:p w14:paraId="18B142C6" w14:textId="77777777" w:rsidR="004B0883" w:rsidRDefault="004B0883">
            <w:pPr>
              <w:widowControl w:val="0"/>
              <w:adjustRightInd w:val="0"/>
              <w:snapToGrid w:val="0"/>
              <w:jc w:val="right"/>
              <w:rPr>
                <w:color w:val="000000"/>
                <w:sz w:val="18"/>
                <w:szCs w:val="18"/>
              </w:rPr>
            </w:pPr>
            <w:r>
              <w:rPr>
                <w:sz w:val="18"/>
              </w:rPr>
              <w:t>3.36%</w:t>
            </w:r>
          </w:p>
        </w:tc>
        <w:tc>
          <w:tcPr>
            <w:tcW w:w="864" w:type="pct"/>
            <w:vAlign w:val="center"/>
          </w:tcPr>
          <w:p w14:paraId="635B522C" w14:textId="77777777" w:rsidR="004B0883" w:rsidRDefault="004B0883">
            <w:pPr>
              <w:widowControl w:val="0"/>
              <w:adjustRightInd w:val="0"/>
              <w:snapToGrid w:val="0"/>
              <w:jc w:val="center"/>
              <w:rPr>
                <w:sz w:val="18"/>
              </w:rPr>
            </w:pPr>
            <w:r>
              <w:rPr>
                <w:sz w:val="18"/>
              </w:rPr>
              <w:t>驱动头</w:t>
            </w:r>
          </w:p>
        </w:tc>
      </w:tr>
      <w:tr w:rsidR="004B0883" w14:paraId="60B61A9B" w14:textId="77777777">
        <w:trPr>
          <w:trHeight w:val="340"/>
          <w:jc w:val="center"/>
        </w:trPr>
        <w:tc>
          <w:tcPr>
            <w:tcW w:w="400" w:type="pct"/>
            <w:tcMar>
              <w:top w:w="0" w:type="dxa"/>
              <w:bottom w:w="0" w:type="dxa"/>
            </w:tcMar>
            <w:vAlign w:val="center"/>
          </w:tcPr>
          <w:p w14:paraId="749C9D0A" w14:textId="77777777" w:rsidR="004B0883" w:rsidRDefault="004B0883">
            <w:pPr>
              <w:widowControl w:val="0"/>
              <w:adjustRightInd w:val="0"/>
              <w:snapToGrid w:val="0"/>
              <w:jc w:val="center"/>
              <w:rPr>
                <w:color w:val="000000"/>
                <w:sz w:val="18"/>
                <w:szCs w:val="18"/>
              </w:rPr>
            </w:pPr>
            <w:r>
              <w:rPr>
                <w:color w:val="000000"/>
                <w:sz w:val="18"/>
                <w:szCs w:val="18"/>
              </w:rPr>
              <w:t>4</w:t>
            </w:r>
          </w:p>
        </w:tc>
        <w:tc>
          <w:tcPr>
            <w:tcW w:w="1492" w:type="pct"/>
            <w:tcMar>
              <w:top w:w="0" w:type="dxa"/>
              <w:bottom w:w="0" w:type="dxa"/>
            </w:tcMar>
            <w:vAlign w:val="center"/>
          </w:tcPr>
          <w:p w14:paraId="37418F21" w14:textId="77777777" w:rsidR="004B0883" w:rsidRDefault="004B0883">
            <w:pPr>
              <w:widowControl w:val="0"/>
              <w:adjustRightInd w:val="0"/>
              <w:snapToGrid w:val="0"/>
              <w:jc w:val="both"/>
              <w:rPr>
                <w:color w:val="000000"/>
                <w:sz w:val="18"/>
                <w:szCs w:val="18"/>
              </w:rPr>
            </w:pPr>
            <w:r>
              <w:rPr>
                <w:rFonts w:hint="eastAsia"/>
                <w:color w:val="000000"/>
                <w:sz w:val="18"/>
                <w:szCs w:val="18"/>
              </w:rPr>
              <w:t>莱州市隆顺机械有限公司</w:t>
            </w:r>
          </w:p>
        </w:tc>
        <w:tc>
          <w:tcPr>
            <w:tcW w:w="1246" w:type="pct"/>
            <w:tcMar>
              <w:top w:w="0" w:type="dxa"/>
              <w:bottom w:w="0" w:type="dxa"/>
            </w:tcMar>
            <w:vAlign w:val="center"/>
          </w:tcPr>
          <w:p w14:paraId="691CC0A0" w14:textId="77777777" w:rsidR="004B0883" w:rsidRDefault="004B0883">
            <w:pPr>
              <w:widowControl w:val="0"/>
              <w:adjustRightInd w:val="0"/>
              <w:snapToGrid w:val="0"/>
              <w:jc w:val="right"/>
              <w:rPr>
                <w:color w:val="000000"/>
                <w:sz w:val="18"/>
                <w:szCs w:val="18"/>
              </w:rPr>
            </w:pPr>
            <w:r>
              <w:rPr>
                <w:sz w:val="18"/>
              </w:rPr>
              <w:t>625.52</w:t>
            </w:r>
          </w:p>
        </w:tc>
        <w:tc>
          <w:tcPr>
            <w:tcW w:w="998" w:type="pct"/>
            <w:tcMar>
              <w:top w:w="0" w:type="dxa"/>
              <w:bottom w:w="0" w:type="dxa"/>
            </w:tcMar>
            <w:vAlign w:val="center"/>
          </w:tcPr>
          <w:p w14:paraId="0F169996" w14:textId="77777777" w:rsidR="004B0883" w:rsidRDefault="004B0883">
            <w:pPr>
              <w:widowControl w:val="0"/>
              <w:adjustRightInd w:val="0"/>
              <w:snapToGrid w:val="0"/>
              <w:jc w:val="right"/>
              <w:rPr>
                <w:color w:val="000000"/>
                <w:sz w:val="18"/>
                <w:szCs w:val="18"/>
              </w:rPr>
            </w:pPr>
            <w:r>
              <w:rPr>
                <w:sz w:val="18"/>
              </w:rPr>
              <w:t>3.34%</w:t>
            </w:r>
          </w:p>
        </w:tc>
        <w:tc>
          <w:tcPr>
            <w:tcW w:w="864" w:type="pct"/>
            <w:vAlign w:val="center"/>
          </w:tcPr>
          <w:p w14:paraId="710ED2B3" w14:textId="77777777" w:rsidR="004B0883" w:rsidRDefault="004B0883">
            <w:pPr>
              <w:widowControl w:val="0"/>
              <w:adjustRightInd w:val="0"/>
              <w:snapToGrid w:val="0"/>
              <w:jc w:val="center"/>
              <w:rPr>
                <w:sz w:val="18"/>
              </w:rPr>
            </w:pPr>
            <w:r>
              <w:rPr>
                <w:sz w:val="18"/>
              </w:rPr>
              <w:t>铸件</w:t>
            </w:r>
            <w:r>
              <w:rPr>
                <w:rFonts w:hint="eastAsia"/>
                <w:sz w:val="18"/>
              </w:rPr>
              <w:t>及加工件</w:t>
            </w:r>
          </w:p>
        </w:tc>
      </w:tr>
      <w:tr w:rsidR="004B0883" w14:paraId="752C8D99" w14:textId="77777777">
        <w:trPr>
          <w:trHeight w:val="340"/>
          <w:jc w:val="center"/>
        </w:trPr>
        <w:tc>
          <w:tcPr>
            <w:tcW w:w="400" w:type="pct"/>
            <w:tcMar>
              <w:top w:w="0" w:type="dxa"/>
              <w:bottom w:w="0" w:type="dxa"/>
            </w:tcMar>
            <w:vAlign w:val="center"/>
          </w:tcPr>
          <w:p w14:paraId="452796A2" w14:textId="77777777" w:rsidR="004B0883" w:rsidRDefault="004B0883">
            <w:pPr>
              <w:widowControl w:val="0"/>
              <w:adjustRightInd w:val="0"/>
              <w:snapToGrid w:val="0"/>
              <w:jc w:val="center"/>
              <w:rPr>
                <w:color w:val="000000"/>
                <w:sz w:val="18"/>
                <w:szCs w:val="18"/>
              </w:rPr>
            </w:pPr>
            <w:r>
              <w:rPr>
                <w:color w:val="000000"/>
                <w:sz w:val="18"/>
                <w:szCs w:val="18"/>
              </w:rPr>
              <w:t>5</w:t>
            </w:r>
          </w:p>
        </w:tc>
        <w:tc>
          <w:tcPr>
            <w:tcW w:w="1492" w:type="pct"/>
            <w:tcMar>
              <w:top w:w="0" w:type="dxa"/>
              <w:bottom w:w="0" w:type="dxa"/>
            </w:tcMar>
            <w:vAlign w:val="center"/>
          </w:tcPr>
          <w:p w14:paraId="1ACA9507" w14:textId="77777777" w:rsidR="004B0883" w:rsidRDefault="004B0883">
            <w:pPr>
              <w:widowControl w:val="0"/>
              <w:adjustRightInd w:val="0"/>
              <w:snapToGrid w:val="0"/>
              <w:jc w:val="both"/>
              <w:rPr>
                <w:color w:val="000000"/>
                <w:kern w:val="0"/>
                <w:sz w:val="18"/>
                <w:szCs w:val="18"/>
                <w:lang w:bidi="ar"/>
              </w:rPr>
            </w:pPr>
            <w:r>
              <w:rPr>
                <w:rFonts w:hint="eastAsia"/>
                <w:color w:val="000000"/>
                <w:sz w:val="18"/>
                <w:szCs w:val="18"/>
              </w:rPr>
              <w:t>青岛富尔达标准件有限公司</w:t>
            </w:r>
          </w:p>
        </w:tc>
        <w:tc>
          <w:tcPr>
            <w:tcW w:w="1246" w:type="pct"/>
            <w:tcMar>
              <w:top w:w="0" w:type="dxa"/>
              <w:bottom w:w="0" w:type="dxa"/>
            </w:tcMar>
            <w:vAlign w:val="center"/>
          </w:tcPr>
          <w:p w14:paraId="68C3EEA7" w14:textId="77777777" w:rsidR="004B0883" w:rsidRDefault="004B0883">
            <w:pPr>
              <w:widowControl w:val="0"/>
              <w:adjustRightInd w:val="0"/>
              <w:snapToGrid w:val="0"/>
              <w:jc w:val="right"/>
              <w:rPr>
                <w:color w:val="000000"/>
                <w:kern w:val="0"/>
                <w:sz w:val="18"/>
                <w:szCs w:val="18"/>
                <w:lang w:bidi="ar"/>
              </w:rPr>
            </w:pPr>
            <w:r>
              <w:rPr>
                <w:sz w:val="18"/>
              </w:rPr>
              <w:t>411.16</w:t>
            </w:r>
          </w:p>
        </w:tc>
        <w:tc>
          <w:tcPr>
            <w:tcW w:w="998" w:type="pct"/>
            <w:tcMar>
              <w:top w:w="0" w:type="dxa"/>
              <w:bottom w:w="0" w:type="dxa"/>
            </w:tcMar>
            <w:vAlign w:val="center"/>
          </w:tcPr>
          <w:p w14:paraId="3FA776F4" w14:textId="77777777" w:rsidR="004B0883" w:rsidRDefault="004B0883">
            <w:pPr>
              <w:widowControl w:val="0"/>
              <w:adjustRightInd w:val="0"/>
              <w:snapToGrid w:val="0"/>
              <w:jc w:val="right"/>
              <w:rPr>
                <w:color w:val="000000"/>
                <w:kern w:val="0"/>
                <w:sz w:val="18"/>
                <w:szCs w:val="18"/>
                <w:lang w:bidi="ar"/>
              </w:rPr>
            </w:pPr>
            <w:r>
              <w:rPr>
                <w:sz w:val="18"/>
              </w:rPr>
              <w:t>2.19%</w:t>
            </w:r>
          </w:p>
        </w:tc>
        <w:tc>
          <w:tcPr>
            <w:tcW w:w="864" w:type="pct"/>
            <w:vAlign w:val="center"/>
          </w:tcPr>
          <w:p w14:paraId="168B32E7" w14:textId="77777777" w:rsidR="004B0883" w:rsidRDefault="004B0883">
            <w:pPr>
              <w:widowControl w:val="0"/>
              <w:adjustRightInd w:val="0"/>
              <w:snapToGrid w:val="0"/>
              <w:jc w:val="center"/>
              <w:rPr>
                <w:sz w:val="18"/>
              </w:rPr>
            </w:pPr>
            <w:r>
              <w:rPr>
                <w:rFonts w:hint="eastAsia"/>
                <w:sz w:val="18"/>
              </w:rPr>
              <w:t>标准件</w:t>
            </w:r>
          </w:p>
        </w:tc>
      </w:tr>
      <w:tr w:rsidR="004B0883" w14:paraId="422C300D" w14:textId="77777777">
        <w:trPr>
          <w:trHeight w:val="340"/>
          <w:jc w:val="center"/>
        </w:trPr>
        <w:tc>
          <w:tcPr>
            <w:tcW w:w="1892" w:type="pct"/>
            <w:gridSpan w:val="2"/>
            <w:tcMar>
              <w:top w:w="0" w:type="dxa"/>
              <w:bottom w:w="0" w:type="dxa"/>
            </w:tcMar>
            <w:vAlign w:val="center"/>
          </w:tcPr>
          <w:p w14:paraId="494123F0" w14:textId="77777777" w:rsidR="004B0883" w:rsidRDefault="004B0883">
            <w:pPr>
              <w:widowControl w:val="0"/>
              <w:adjustRightInd w:val="0"/>
              <w:snapToGrid w:val="0"/>
              <w:jc w:val="center"/>
              <w:rPr>
                <w:b/>
                <w:bCs/>
                <w:color w:val="000000"/>
                <w:sz w:val="18"/>
                <w:szCs w:val="18"/>
              </w:rPr>
            </w:pPr>
            <w:r>
              <w:rPr>
                <w:b/>
                <w:bCs/>
                <w:color w:val="000000"/>
                <w:sz w:val="18"/>
                <w:szCs w:val="18"/>
              </w:rPr>
              <w:t>合计</w:t>
            </w:r>
          </w:p>
        </w:tc>
        <w:tc>
          <w:tcPr>
            <w:tcW w:w="1246" w:type="pct"/>
            <w:tcMar>
              <w:top w:w="0" w:type="dxa"/>
              <w:bottom w:w="0" w:type="dxa"/>
            </w:tcMar>
            <w:vAlign w:val="center"/>
          </w:tcPr>
          <w:p w14:paraId="630C83AE" w14:textId="77777777" w:rsidR="004B0883" w:rsidRDefault="004B0883">
            <w:pPr>
              <w:widowControl w:val="0"/>
              <w:adjustRightInd w:val="0"/>
              <w:snapToGrid w:val="0"/>
              <w:jc w:val="right"/>
              <w:rPr>
                <w:b/>
                <w:bCs/>
                <w:color w:val="000000"/>
                <w:sz w:val="18"/>
                <w:szCs w:val="18"/>
              </w:rPr>
            </w:pPr>
            <w:r>
              <w:rPr>
                <w:b/>
                <w:bCs/>
                <w:sz w:val="18"/>
              </w:rPr>
              <w:t>3,737.26</w:t>
            </w:r>
          </w:p>
        </w:tc>
        <w:tc>
          <w:tcPr>
            <w:tcW w:w="998" w:type="pct"/>
            <w:tcMar>
              <w:top w:w="0" w:type="dxa"/>
              <w:bottom w:w="0" w:type="dxa"/>
            </w:tcMar>
            <w:vAlign w:val="center"/>
          </w:tcPr>
          <w:p w14:paraId="72248DB7" w14:textId="77777777" w:rsidR="004B0883" w:rsidRDefault="004B0883">
            <w:pPr>
              <w:widowControl w:val="0"/>
              <w:adjustRightInd w:val="0"/>
              <w:snapToGrid w:val="0"/>
              <w:jc w:val="right"/>
              <w:rPr>
                <w:b/>
                <w:bCs/>
                <w:color w:val="000000"/>
                <w:sz w:val="18"/>
                <w:szCs w:val="18"/>
              </w:rPr>
            </w:pPr>
            <w:r>
              <w:rPr>
                <w:b/>
                <w:bCs/>
                <w:sz w:val="18"/>
              </w:rPr>
              <w:t>19.93%</w:t>
            </w:r>
          </w:p>
        </w:tc>
        <w:tc>
          <w:tcPr>
            <w:tcW w:w="864" w:type="pct"/>
            <w:vAlign w:val="center"/>
          </w:tcPr>
          <w:p w14:paraId="7F5D87B5" w14:textId="77777777" w:rsidR="004B0883" w:rsidRDefault="004B0883">
            <w:pPr>
              <w:widowControl w:val="0"/>
              <w:adjustRightInd w:val="0"/>
              <w:snapToGrid w:val="0"/>
              <w:jc w:val="center"/>
              <w:rPr>
                <w:b/>
                <w:bCs/>
                <w:sz w:val="18"/>
              </w:rPr>
            </w:pPr>
            <w:r>
              <w:rPr>
                <w:b/>
                <w:bCs/>
                <w:sz w:val="18"/>
              </w:rPr>
              <w:t>-</w:t>
            </w:r>
          </w:p>
        </w:tc>
      </w:tr>
    </w:tbl>
    <w:p w14:paraId="343C41F5" w14:textId="77777777" w:rsidR="004B0883" w:rsidRDefault="004B0883">
      <w:pPr>
        <w:widowControl w:val="0"/>
        <w:spacing w:beforeLines="50" w:before="120" w:after="120" w:line="360" w:lineRule="auto"/>
        <w:ind w:firstLineChars="200" w:firstLine="480"/>
        <w:jc w:val="both"/>
        <w:rPr>
          <w:sz w:val="24"/>
          <w:szCs w:val="22"/>
        </w:rPr>
      </w:pPr>
      <w:r>
        <w:rPr>
          <w:rFonts w:hint="eastAsia"/>
          <w:sz w:val="24"/>
          <w:szCs w:val="22"/>
          <w:lang w:val="zh-CN"/>
        </w:rPr>
        <w:t>报告期内，公司主要供应商基本保持稳定，前五大供应商有所变动主要系公司根据自身生产需求、供应商产品质量、供货能力及供货稳定性等因素调整采购金额所致。</w:t>
      </w:r>
      <w:bookmarkStart w:id="270" w:name="_Hlk130643377"/>
      <w:r>
        <w:rPr>
          <w:rFonts w:hint="eastAsia"/>
          <w:sz w:val="24"/>
          <w:szCs w:val="22"/>
        </w:rPr>
        <w:t>发行人</w:t>
      </w:r>
      <w:r>
        <w:rPr>
          <w:sz w:val="24"/>
          <w:szCs w:val="22"/>
          <w:lang w:val="zh-CN"/>
        </w:rPr>
        <w:t>报告期内</w:t>
      </w:r>
      <w:r>
        <w:rPr>
          <w:rFonts w:hint="eastAsia"/>
          <w:sz w:val="24"/>
          <w:szCs w:val="22"/>
        </w:rPr>
        <w:t>不存在向前五大供应商采购占比超过</w:t>
      </w:r>
      <w:r>
        <w:rPr>
          <w:rFonts w:hint="eastAsia"/>
          <w:sz w:val="24"/>
          <w:szCs w:val="22"/>
        </w:rPr>
        <w:t>5</w:t>
      </w:r>
      <w:r>
        <w:rPr>
          <w:sz w:val="24"/>
          <w:szCs w:val="22"/>
        </w:rPr>
        <w:t>0</w:t>
      </w:r>
      <w:r>
        <w:rPr>
          <w:rFonts w:hint="eastAsia"/>
          <w:sz w:val="24"/>
          <w:szCs w:val="22"/>
        </w:rPr>
        <w:t>%</w:t>
      </w:r>
      <w:r>
        <w:rPr>
          <w:rFonts w:hint="eastAsia"/>
          <w:sz w:val="24"/>
          <w:szCs w:val="22"/>
        </w:rPr>
        <w:t>、向单个供应商的采购占比超过</w:t>
      </w:r>
      <w:r>
        <w:rPr>
          <w:rFonts w:hint="eastAsia"/>
          <w:sz w:val="24"/>
          <w:szCs w:val="22"/>
        </w:rPr>
        <w:t>3</w:t>
      </w:r>
      <w:r>
        <w:rPr>
          <w:sz w:val="24"/>
          <w:szCs w:val="22"/>
        </w:rPr>
        <w:t>0</w:t>
      </w:r>
      <w:r>
        <w:rPr>
          <w:rFonts w:hint="eastAsia"/>
          <w:sz w:val="24"/>
          <w:szCs w:val="22"/>
        </w:rPr>
        <w:t>%</w:t>
      </w:r>
      <w:r>
        <w:rPr>
          <w:rFonts w:hint="eastAsia"/>
          <w:sz w:val="24"/>
          <w:szCs w:val="22"/>
        </w:rPr>
        <w:t>的情况。</w:t>
      </w:r>
      <w:bookmarkEnd w:id="270"/>
    </w:p>
    <w:p w14:paraId="06BB28AD" w14:textId="77777777" w:rsidR="004B0883" w:rsidRDefault="004B0883">
      <w:pPr>
        <w:widowControl w:val="0"/>
        <w:spacing w:beforeLines="50" w:before="120" w:after="120" w:line="360" w:lineRule="auto"/>
        <w:ind w:firstLineChars="200" w:firstLine="480"/>
        <w:jc w:val="both"/>
        <w:rPr>
          <w:rFonts w:hint="eastAsia"/>
          <w:sz w:val="24"/>
          <w:szCs w:val="22"/>
        </w:rPr>
      </w:pPr>
      <w:r>
        <w:rPr>
          <w:rFonts w:hint="eastAsia"/>
          <w:sz w:val="24"/>
          <w:szCs w:val="22"/>
        </w:rPr>
        <w:t>报告期内发行人董事、监事、高级管理人员及其他核心人员不存在在上述供应商中持有股份的情况。</w:t>
      </w:r>
    </w:p>
    <w:bookmarkEnd w:id="264"/>
    <w:bookmarkEnd w:id="267"/>
    <w:bookmarkEnd w:id="268"/>
    <w:p w14:paraId="55143210" w14:textId="77777777" w:rsidR="004B0883" w:rsidRDefault="004B0883">
      <w:pPr>
        <w:keepNext/>
        <w:keepLines/>
        <w:widowControl w:val="0"/>
        <w:snapToGrid w:val="0"/>
        <w:spacing w:beforeLines="50" w:before="120" w:line="360" w:lineRule="auto"/>
        <w:jc w:val="both"/>
        <w:outlineLvl w:val="2"/>
        <w:rPr>
          <w:rFonts w:eastAsia="黑体"/>
          <w:b/>
          <w:bCs/>
          <w:sz w:val="24"/>
          <w:szCs w:val="28"/>
        </w:rPr>
      </w:pPr>
      <w:r>
        <w:rPr>
          <w:rFonts w:eastAsia="黑体" w:hint="eastAsia"/>
          <w:b/>
          <w:bCs/>
          <w:sz w:val="24"/>
          <w:szCs w:val="28"/>
        </w:rPr>
        <w:t>（六）环保和安全生产方面的措施</w:t>
      </w:r>
    </w:p>
    <w:p w14:paraId="02D17904" w14:textId="77777777" w:rsidR="004B0883" w:rsidRDefault="004B0883">
      <w:pPr>
        <w:keepNext/>
        <w:keepLines/>
        <w:widowControl w:val="0"/>
        <w:spacing w:beforeLines="50" w:before="120" w:after="120" w:line="360" w:lineRule="auto"/>
        <w:ind w:firstLineChars="200" w:firstLine="482"/>
        <w:jc w:val="both"/>
        <w:outlineLvl w:val="3"/>
        <w:rPr>
          <w:b/>
          <w:bCs/>
          <w:sz w:val="24"/>
          <w:szCs w:val="28"/>
          <w:lang w:val="zh-CN"/>
        </w:rPr>
      </w:pPr>
      <w:r>
        <w:rPr>
          <w:b/>
          <w:bCs/>
          <w:sz w:val="24"/>
          <w:szCs w:val="28"/>
          <w:lang w:val="zh-CN"/>
        </w:rPr>
        <w:t>1</w:t>
      </w:r>
      <w:r>
        <w:rPr>
          <w:b/>
          <w:bCs/>
          <w:sz w:val="24"/>
          <w:szCs w:val="28"/>
          <w:lang w:val="zh-CN"/>
        </w:rPr>
        <w:t>、环保措施</w:t>
      </w:r>
    </w:p>
    <w:p w14:paraId="391C42D4" w14:textId="77777777" w:rsidR="004B0883" w:rsidRDefault="004B0883">
      <w:pPr>
        <w:widowControl w:val="0"/>
        <w:spacing w:beforeLines="50" w:before="120" w:after="120" w:line="360" w:lineRule="auto"/>
        <w:ind w:firstLineChars="200" w:firstLine="480"/>
        <w:jc w:val="both"/>
        <w:rPr>
          <w:sz w:val="24"/>
          <w:szCs w:val="22"/>
        </w:rPr>
      </w:pPr>
      <w:r>
        <w:rPr>
          <w:rFonts w:hint="eastAsia"/>
          <w:sz w:val="24"/>
          <w:szCs w:val="22"/>
        </w:rPr>
        <w:t>公司行业属于通用设备制造业中的泵、阀门、压缩机及类似机械制造（</w:t>
      </w:r>
      <w:r>
        <w:rPr>
          <w:rFonts w:hint="eastAsia"/>
          <w:sz w:val="24"/>
          <w:szCs w:val="22"/>
        </w:rPr>
        <w:t>C344</w:t>
      </w:r>
      <w:r>
        <w:rPr>
          <w:rFonts w:hint="eastAsia"/>
          <w:sz w:val="24"/>
          <w:szCs w:val="22"/>
        </w:rPr>
        <w:t>）中的阀门和旋塞制造（</w:t>
      </w:r>
      <w:r>
        <w:rPr>
          <w:rFonts w:hint="eastAsia"/>
          <w:sz w:val="24"/>
          <w:szCs w:val="22"/>
        </w:rPr>
        <w:t>C3443</w:t>
      </w:r>
      <w:r>
        <w:rPr>
          <w:rFonts w:hint="eastAsia"/>
          <w:sz w:val="24"/>
          <w:szCs w:val="22"/>
        </w:rPr>
        <w:t>）。根据环境保护部颁布的《环境保护综合名录》（</w:t>
      </w:r>
      <w:r>
        <w:rPr>
          <w:rFonts w:hint="eastAsia"/>
          <w:sz w:val="24"/>
          <w:szCs w:val="22"/>
        </w:rPr>
        <w:t>2021</w:t>
      </w:r>
      <w:r>
        <w:rPr>
          <w:rFonts w:hint="eastAsia"/>
          <w:sz w:val="24"/>
          <w:szCs w:val="22"/>
        </w:rPr>
        <w:t>年版），公司产品未被列入高污染、高环境风险产品名录。同时，根据《上市公司环保核查行业分类管理名录》，公司及其控股子公司不属于环境保护部门公布的重点排污单位。</w:t>
      </w:r>
    </w:p>
    <w:p w14:paraId="0C3C9796" w14:textId="77777777" w:rsidR="004B0883" w:rsidRDefault="004B0883">
      <w:pPr>
        <w:widowControl w:val="0"/>
        <w:spacing w:beforeLines="50" w:before="120" w:after="120" w:line="360" w:lineRule="auto"/>
        <w:ind w:firstLineChars="200" w:firstLine="480"/>
        <w:jc w:val="both"/>
        <w:rPr>
          <w:rFonts w:hint="eastAsia"/>
          <w:sz w:val="24"/>
          <w:szCs w:val="22"/>
        </w:rPr>
      </w:pPr>
      <w:r>
        <w:rPr>
          <w:rFonts w:hint="eastAsia"/>
          <w:sz w:val="24"/>
          <w:szCs w:val="22"/>
        </w:rPr>
        <w:t>公司注重环境保护，严格遵守各类环境保护法律法规，公司环保设施运转正常。公司及其控股子公司在日常生产经营中认真执行《中华人民共和国环境保护法》《中华人民共和国水污染防治法》《中华人民共和国大气污染防治法》《中华人民共和国环境噪声污染防治法》《中华人民共和国固体废物污染防治法》等环保方面的法律法规，报告期内不存在环境保护方面的重大违法违规行为。</w:t>
      </w:r>
    </w:p>
    <w:p w14:paraId="0B90146F" w14:textId="77777777" w:rsidR="004B0883" w:rsidRDefault="004B0883">
      <w:pPr>
        <w:keepNext/>
        <w:keepLines/>
        <w:widowControl w:val="0"/>
        <w:spacing w:beforeLines="50" w:before="120" w:after="120" w:line="360" w:lineRule="auto"/>
        <w:ind w:firstLineChars="200" w:firstLine="482"/>
        <w:jc w:val="both"/>
        <w:outlineLvl w:val="3"/>
        <w:rPr>
          <w:b/>
          <w:bCs/>
          <w:sz w:val="24"/>
          <w:szCs w:val="28"/>
          <w:lang w:val="zh-CN"/>
        </w:rPr>
      </w:pPr>
      <w:r>
        <w:rPr>
          <w:b/>
          <w:bCs/>
          <w:sz w:val="24"/>
          <w:szCs w:val="28"/>
          <w:lang w:val="zh-CN"/>
        </w:rPr>
        <w:t>2</w:t>
      </w:r>
      <w:r>
        <w:rPr>
          <w:b/>
          <w:bCs/>
          <w:sz w:val="24"/>
          <w:szCs w:val="28"/>
          <w:lang w:val="zh-CN"/>
        </w:rPr>
        <w:t>、安全生产措施</w:t>
      </w:r>
    </w:p>
    <w:p w14:paraId="316CAFFB" w14:textId="77777777" w:rsidR="004B0883" w:rsidRDefault="004B0883">
      <w:pPr>
        <w:widowControl w:val="0"/>
        <w:spacing w:beforeLines="50" w:before="120" w:after="120" w:line="360" w:lineRule="auto"/>
        <w:ind w:firstLineChars="200" w:firstLine="480"/>
        <w:jc w:val="both"/>
        <w:rPr>
          <w:sz w:val="24"/>
          <w:szCs w:val="22"/>
        </w:rPr>
      </w:pPr>
      <w:r>
        <w:rPr>
          <w:rFonts w:hint="eastAsia"/>
          <w:sz w:val="24"/>
          <w:szCs w:val="22"/>
        </w:rPr>
        <w:t>公司为加强安全管理，消除、减少危害，增强事故防控能力，有效遏制重特大生产安全事故，建立了全面有效的安全管理制度，并定期对安全防护设施运行情况、作业人员作业规范情况、应急设备配备情况、应急管理及应急人员的应急能力情况等因素进行评估检查，以减少、消除安全生产事故。</w:t>
      </w:r>
    </w:p>
    <w:p w14:paraId="31A7F8DE" w14:textId="77777777" w:rsidR="004B0883" w:rsidRDefault="004B0883">
      <w:pPr>
        <w:widowControl w:val="0"/>
        <w:spacing w:beforeLines="50" w:before="120" w:after="120" w:line="360" w:lineRule="auto"/>
        <w:ind w:firstLineChars="200" w:firstLine="480"/>
        <w:jc w:val="both"/>
        <w:rPr>
          <w:sz w:val="24"/>
          <w:szCs w:val="22"/>
        </w:rPr>
      </w:pPr>
      <w:r>
        <w:rPr>
          <w:rFonts w:hint="eastAsia"/>
          <w:sz w:val="24"/>
          <w:szCs w:val="22"/>
        </w:rPr>
        <w:t>公司自成立以来，严格遵守安全生产各类法律法规，报告期内未发生重大安全生产事故。</w:t>
      </w:r>
    </w:p>
    <w:p w14:paraId="14031778" w14:textId="77777777" w:rsidR="004B0883" w:rsidRDefault="004B0883">
      <w:pPr>
        <w:keepNext/>
        <w:keepLines/>
        <w:widowControl w:val="0"/>
        <w:snapToGrid w:val="0"/>
        <w:spacing w:beforeLines="50" w:before="120" w:line="360" w:lineRule="auto"/>
        <w:jc w:val="both"/>
        <w:outlineLvl w:val="2"/>
        <w:rPr>
          <w:rFonts w:eastAsia="黑体"/>
          <w:b/>
          <w:bCs/>
          <w:sz w:val="24"/>
          <w:szCs w:val="28"/>
        </w:rPr>
      </w:pPr>
      <w:r>
        <w:rPr>
          <w:rFonts w:eastAsia="黑体" w:hint="eastAsia"/>
          <w:b/>
          <w:bCs/>
          <w:sz w:val="24"/>
          <w:szCs w:val="28"/>
        </w:rPr>
        <w:t>（七）现有业务发展安排及未来发展战略</w:t>
      </w:r>
    </w:p>
    <w:p w14:paraId="55A8209F" w14:textId="77777777" w:rsidR="004B0883" w:rsidRDefault="004B0883">
      <w:pPr>
        <w:keepNext/>
        <w:keepLines/>
        <w:widowControl w:val="0"/>
        <w:spacing w:beforeLines="50" w:before="120" w:after="120" w:line="360" w:lineRule="auto"/>
        <w:ind w:firstLineChars="200" w:firstLine="482"/>
        <w:jc w:val="both"/>
        <w:outlineLvl w:val="3"/>
        <w:rPr>
          <w:b/>
          <w:bCs/>
          <w:sz w:val="24"/>
          <w:szCs w:val="28"/>
          <w:lang w:val="zh-CN"/>
        </w:rPr>
      </w:pPr>
      <w:r>
        <w:rPr>
          <w:b/>
          <w:bCs/>
          <w:sz w:val="24"/>
          <w:szCs w:val="28"/>
          <w:lang w:val="zh-CN"/>
        </w:rPr>
        <w:t>1</w:t>
      </w:r>
      <w:r>
        <w:rPr>
          <w:b/>
          <w:bCs/>
          <w:sz w:val="24"/>
          <w:szCs w:val="28"/>
          <w:lang w:val="zh-CN"/>
        </w:rPr>
        <w:t>、</w:t>
      </w:r>
      <w:r>
        <w:rPr>
          <w:rFonts w:hint="eastAsia"/>
          <w:b/>
          <w:bCs/>
          <w:sz w:val="24"/>
          <w:szCs w:val="28"/>
          <w:lang w:val="zh-CN"/>
        </w:rPr>
        <w:t>现有业务安排</w:t>
      </w:r>
    </w:p>
    <w:p w14:paraId="2DF85F49" w14:textId="77777777" w:rsidR="004B0883" w:rsidRDefault="004B0883">
      <w:pPr>
        <w:widowControl w:val="0"/>
        <w:spacing w:beforeLines="50" w:before="120" w:after="120" w:line="360" w:lineRule="auto"/>
        <w:ind w:firstLineChars="200" w:firstLine="480"/>
        <w:jc w:val="both"/>
        <w:rPr>
          <w:sz w:val="24"/>
          <w:szCs w:val="22"/>
        </w:rPr>
      </w:pPr>
      <w:r>
        <w:rPr>
          <w:rFonts w:hint="eastAsia"/>
          <w:sz w:val="24"/>
          <w:szCs w:val="22"/>
        </w:rPr>
        <w:t>公司目前主要业务是工业阀门产品的设计、研发、生产和销售。</w:t>
      </w:r>
    </w:p>
    <w:p w14:paraId="2C6C4019" w14:textId="77777777" w:rsidR="004B0883" w:rsidRDefault="004B0883">
      <w:pPr>
        <w:widowControl w:val="0"/>
        <w:spacing w:beforeLines="50" w:before="120" w:after="120" w:line="360" w:lineRule="auto"/>
        <w:ind w:firstLineChars="200" w:firstLine="480"/>
        <w:jc w:val="both"/>
        <w:rPr>
          <w:rFonts w:hint="eastAsia"/>
          <w:sz w:val="24"/>
          <w:szCs w:val="22"/>
        </w:rPr>
      </w:pPr>
      <w:r>
        <w:rPr>
          <w:rFonts w:hint="eastAsia"/>
          <w:sz w:val="24"/>
          <w:szCs w:val="22"/>
        </w:rPr>
        <w:t>近年来公司持续围绕主营业务的战略目标，有序推进产能建设、市场拓展和组织建设，主营业务收入及主业利润均实现较大增长。</w:t>
      </w:r>
    </w:p>
    <w:p w14:paraId="4FE3CAFC" w14:textId="77777777" w:rsidR="004B0883" w:rsidRDefault="004B0883">
      <w:pPr>
        <w:keepNext/>
        <w:keepLines/>
        <w:widowControl w:val="0"/>
        <w:spacing w:beforeLines="50" w:before="120" w:after="120" w:line="360" w:lineRule="auto"/>
        <w:ind w:firstLineChars="200" w:firstLine="482"/>
        <w:jc w:val="both"/>
        <w:outlineLvl w:val="3"/>
        <w:rPr>
          <w:b/>
          <w:bCs/>
          <w:sz w:val="24"/>
          <w:szCs w:val="28"/>
          <w:lang w:val="zh-CN"/>
        </w:rPr>
      </w:pPr>
      <w:r>
        <w:rPr>
          <w:b/>
          <w:bCs/>
          <w:sz w:val="24"/>
          <w:szCs w:val="28"/>
          <w:lang w:val="zh-CN"/>
        </w:rPr>
        <w:t>2</w:t>
      </w:r>
      <w:r>
        <w:rPr>
          <w:b/>
          <w:bCs/>
          <w:sz w:val="24"/>
          <w:szCs w:val="28"/>
          <w:lang w:val="zh-CN"/>
        </w:rPr>
        <w:t>、</w:t>
      </w:r>
      <w:r>
        <w:rPr>
          <w:rFonts w:hint="eastAsia"/>
          <w:b/>
          <w:bCs/>
          <w:sz w:val="24"/>
          <w:szCs w:val="28"/>
          <w:lang w:val="zh-CN"/>
        </w:rPr>
        <w:t>未来发展战略</w:t>
      </w:r>
    </w:p>
    <w:p w14:paraId="70EEFF75" w14:textId="77777777" w:rsidR="004B0883" w:rsidRDefault="004B0883">
      <w:pPr>
        <w:widowControl w:val="0"/>
        <w:spacing w:beforeLines="50" w:before="120" w:after="120" w:line="360" w:lineRule="auto"/>
        <w:ind w:firstLineChars="200" w:firstLine="480"/>
        <w:jc w:val="both"/>
        <w:rPr>
          <w:sz w:val="24"/>
          <w:szCs w:val="22"/>
        </w:rPr>
      </w:pPr>
      <w:r>
        <w:rPr>
          <w:rFonts w:hint="eastAsia"/>
          <w:sz w:val="24"/>
          <w:szCs w:val="22"/>
        </w:rPr>
        <w:t>未来，公司将继续聚焦主营业务发展战略，明确技术创新、产品创新对公司发展的重要意义，不断强化在行业内技术领先地位，继续提高产品品质。在新的环境和条件下，公司将在做好各项运营工作的同时，放眼全球格局、对标世界一流水平，努力推动阀门产品国产化。</w:t>
      </w:r>
    </w:p>
    <w:p w14:paraId="1BCB2A83" w14:textId="77777777" w:rsidR="004B0883" w:rsidRDefault="004B0883">
      <w:pPr>
        <w:pStyle w:val="002"/>
        <w:spacing w:before="120" w:after="120"/>
        <w:rPr>
          <w:rFonts w:hint="eastAsia"/>
          <w:kern w:val="0"/>
        </w:rPr>
      </w:pPr>
      <w:bookmarkStart w:id="271" w:name="_Toc152320796"/>
      <w:r>
        <w:rPr>
          <w:rFonts w:hint="eastAsia"/>
          <w:kern w:val="0"/>
        </w:rPr>
        <w:t>八、公司的技术与研发情况</w:t>
      </w:r>
      <w:bookmarkEnd w:id="271"/>
    </w:p>
    <w:p w14:paraId="5C2A9292" w14:textId="77777777" w:rsidR="004B0883" w:rsidRDefault="004B0883">
      <w:pPr>
        <w:widowControl w:val="0"/>
        <w:spacing w:beforeLines="50" w:before="120" w:after="120" w:line="360" w:lineRule="auto"/>
        <w:ind w:firstLineChars="200" w:firstLine="480"/>
        <w:jc w:val="both"/>
        <w:rPr>
          <w:kern w:val="0"/>
          <w:sz w:val="24"/>
          <w:szCs w:val="22"/>
        </w:rPr>
      </w:pPr>
      <w:bookmarkStart w:id="272" w:name="_Hlk124764549"/>
      <w:r>
        <w:rPr>
          <w:rFonts w:hint="eastAsia"/>
          <w:sz w:val="24"/>
          <w:szCs w:val="22"/>
        </w:rPr>
        <w:t>公司为了保持在阀门领域的技术领先优势，注重自主研发和技术创新，在研发方面的投入不断增加。公司报告期内的研发投入金额具体如下表所示</w:t>
      </w:r>
      <w:r>
        <w:rPr>
          <w:kern w:val="0"/>
          <w:sz w:val="24"/>
          <w:szCs w:val="22"/>
        </w:rPr>
        <w:t>：</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033"/>
        <w:gridCol w:w="1561"/>
        <w:gridCol w:w="1562"/>
        <w:gridCol w:w="1562"/>
        <w:gridCol w:w="1562"/>
      </w:tblGrid>
      <w:tr w:rsidR="004B0883" w14:paraId="75B46F95" w14:textId="77777777">
        <w:trPr>
          <w:trHeight w:val="397"/>
          <w:jc w:val="center"/>
        </w:trPr>
        <w:tc>
          <w:tcPr>
            <w:tcW w:w="1228" w:type="pct"/>
            <w:shd w:val="clear" w:color="auto" w:fill="D9D9D9"/>
            <w:tcMar>
              <w:top w:w="0" w:type="dxa"/>
              <w:bottom w:w="0" w:type="dxa"/>
            </w:tcMar>
            <w:vAlign w:val="center"/>
          </w:tcPr>
          <w:p w14:paraId="6845C09B" w14:textId="77777777" w:rsidR="004B0883" w:rsidRDefault="004B0883">
            <w:pPr>
              <w:widowControl w:val="0"/>
              <w:adjustRightInd w:val="0"/>
              <w:snapToGrid w:val="0"/>
              <w:jc w:val="center"/>
              <w:rPr>
                <w:b/>
                <w:snapToGrid w:val="0"/>
                <w:kern w:val="0"/>
              </w:rPr>
            </w:pPr>
            <w:r>
              <w:rPr>
                <w:b/>
                <w:snapToGrid w:val="0"/>
                <w:kern w:val="0"/>
              </w:rPr>
              <w:t>项目</w:t>
            </w:r>
          </w:p>
        </w:tc>
        <w:tc>
          <w:tcPr>
            <w:tcW w:w="943" w:type="pct"/>
            <w:shd w:val="clear" w:color="auto" w:fill="D9D9D9"/>
            <w:tcMar>
              <w:top w:w="0" w:type="dxa"/>
              <w:bottom w:w="0" w:type="dxa"/>
            </w:tcMar>
            <w:vAlign w:val="center"/>
          </w:tcPr>
          <w:p w14:paraId="56FAE4C8" w14:textId="77777777" w:rsidR="004B0883" w:rsidRDefault="004B0883">
            <w:pPr>
              <w:widowControl w:val="0"/>
              <w:adjustRightInd w:val="0"/>
              <w:snapToGrid w:val="0"/>
              <w:jc w:val="center"/>
              <w:rPr>
                <w:b/>
                <w:snapToGrid w:val="0"/>
                <w:kern w:val="0"/>
              </w:rPr>
            </w:pPr>
            <w:r>
              <w:rPr>
                <w:rFonts w:hint="eastAsia"/>
                <w:b/>
                <w:snapToGrid w:val="0"/>
                <w:kern w:val="0"/>
              </w:rPr>
              <w:t>2</w:t>
            </w:r>
            <w:r>
              <w:rPr>
                <w:b/>
                <w:snapToGrid w:val="0"/>
                <w:kern w:val="0"/>
              </w:rPr>
              <w:t>023</w:t>
            </w:r>
            <w:r>
              <w:rPr>
                <w:rFonts w:hint="eastAsia"/>
                <w:b/>
                <w:snapToGrid w:val="0"/>
                <w:kern w:val="0"/>
              </w:rPr>
              <w:t>年</w:t>
            </w:r>
            <w:r>
              <w:rPr>
                <w:rFonts w:hint="eastAsia"/>
                <w:b/>
                <w:snapToGrid w:val="0"/>
                <w:kern w:val="0"/>
              </w:rPr>
              <w:t>1-</w:t>
            </w:r>
            <w:r>
              <w:rPr>
                <w:b/>
                <w:snapToGrid w:val="0"/>
                <w:kern w:val="0"/>
              </w:rPr>
              <w:t>9</w:t>
            </w:r>
            <w:r>
              <w:rPr>
                <w:rFonts w:hint="eastAsia"/>
                <w:b/>
                <w:snapToGrid w:val="0"/>
                <w:kern w:val="0"/>
              </w:rPr>
              <w:t>月</w:t>
            </w:r>
          </w:p>
        </w:tc>
        <w:tc>
          <w:tcPr>
            <w:tcW w:w="943" w:type="pct"/>
            <w:shd w:val="clear" w:color="auto" w:fill="D9D9D9"/>
            <w:tcMar>
              <w:top w:w="0" w:type="dxa"/>
              <w:bottom w:w="0" w:type="dxa"/>
            </w:tcMar>
            <w:vAlign w:val="center"/>
          </w:tcPr>
          <w:p w14:paraId="7227AAC3" w14:textId="77777777" w:rsidR="004B0883" w:rsidRDefault="004B0883">
            <w:pPr>
              <w:widowControl w:val="0"/>
              <w:adjustRightInd w:val="0"/>
              <w:snapToGrid w:val="0"/>
              <w:jc w:val="center"/>
              <w:rPr>
                <w:b/>
                <w:snapToGrid w:val="0"/>
                <w:kern w:val="0"/>
              </w:rPr>
            </w:pPr>
            <w:r>
              <w:rPr>
                <w:b/>
                <w:snapToGrid w:val="0"/>
                <w:kern w:val="0"/>
              </w:rPr>
              <w:t>2022</w:t>
            </w:r>
            <w:r>
              <w:rPr>
                <w:rFonts w:hint="eastAsia"/>
                <w:b/>
                <w:snapToGrid w:val="0"/>
                <w:kern w:val="0"/>
              </w:rPr>
              <w:t>年度</w:t>
            </w:r>
          </w:p>
        </w:tc>
        <w:tc>
          <w:tcPr>
            <w:tcW w:w="943" w:type="pct"/>
            <w:shd w:val="clear" w:color="auto" w:fill="D9D9D9"/>
            <w:tcMar>
              <w:top w:w="0" w:type="dxa"/>
              <w:bottom w:w="0" w:type="dxa"/>
            </w:tcMar>
            <w:vAlign w:val="center"/>
          </w:tcPr>
          <w:p w14:paraId="76CF006F" w14:textId="77777777" w:rsidR="004B0883" w:rsidRDefault="004B0883">
            <w:pPr>
              <w:widowControl w:val="0"/>
              <w:adjustRightInd w:val="0"/>
              <w:snapToGrid w:val="0"/>
              <w:jc w:val="center"/>
              <w:rPr>
                <w:b/>
                <w:snapToGrid w:val="0"/>
                <w:kern w:val="0"/>
              </w:rPr>
            </w:pPr>
            <w:r>
              <w:rPr>
                <w:b/>
                <w:snapToGrid w:val="0"/>
                <w:kern w:val="0"/>
              </w:rPr>
              <w:t>2021</w:t>
            </w:r>
            <w:r>
              <w:rPr>
                <w:rFonts w:hint="eastAsia"/>
                <w:b/>
                <w:snapToGrid w:val="0"/>
                <w:kern w:val="0"/>
              </w:rPr>
              <w:t>年度</w:t>
            </w:r>
          </w:p>
        </w:tc>
        <w:tc>
          <w:tcPr>
            <w:tcW w:w="943" w:type="pct"/>
            <w:shd w:val="clear" w:color="auto" w:fill="D9D9D9"/>
            <w:tcMar>
              <w:top w:w="0" w:type="dxa"/>
              <w:bottom w:w="0" w:type="dxa"/>
            </w:tcMar>
            <w:vAlign w:val="center"/>
          </w:tcPr>
          <w:p w14:paraId="7E509D6E" w14:textId="77777777" w:rsidR="004B0883" w:rsidRDefault="004B0883">
            <w:pPr>
              <w:widowControl w:val="0"/>
              <w:adjustRightInd w:val="0"/>
              <w:snapToGrid w:val="0"/>
              <w:jc w:val="center"/>
              <w:rPr>
                <w:b/>
                <w:snapToGrid w:val="0"/>
                <w:kern w:val="0"/>
              </w:rPr>
            </w:pPr>
            <w:r>
              <w:rPr>
                <w:b/>
                <w:snapToGrid w:val="0"/>
                <w:kern w:val="0"/>
              </w:rPr>
              <w:t>2020</w:t>
            </w:r>
            <w:r>
              <w:rPr>
                <w:rFonts w:hint="eastAsia"/>
                <w:b/>
                <w:snapToGrid w:val="0"/>
                <w:kern w:val="0"/>
              </w:rPr>
              <w:t>年度</w:t>
            </w:r>
          </w:p>
        </w:tc>
      </w:tr>
      <w:tr w:rsidR="004B0883" w14:paraId="55271724" w14:textId="77777777">
        <w:trPr>
          <w:trHeight w:val="397"/>
          <w:jc w:val="center"/>
        </w:trPr>
        <w:tc>
          <w:tcPr>
            <w:tcW w:w="1228" w:type="pct"/>
            <w:tcMar>
              <w:top w:w="0" w:type="dxa"/>
              <w:bottom w:w="0" w:type="dxa"/>
            </w:tcMar>
            <w:vAlign w:val="center"/>
          </w:tcPr>
          <w:p w14:paraId="26299341" w14:textId="77777777" w:rsidR="004B0883" w:rsidRDefault="004B0883">
            <w:pPr>
              <w:widowControl w:val="0"/>
              <w:adjustRightInd w:val="0"/>
              <w:snapToGrid w:val="0"/>
              <w:jc w:val="center"/>
              <w:rPr>
                <w:snapToGrid w:val="0"/>
                <w:kern w:val="0"/>
              </w:rPr>
            </w:pPr>
            <w:r>
              <w:rPr>
                <w:snapToGrid w:val="0"/>
                <w:kern w:val="0"/>
              </w:rPr>
              <w:t>研发</w:t>
            </w:r>
            <w:r>
              <w:rPr>
                <w:rFonts w:hint="eastAsia"/>
                <w:snapToGrid w:val="0"/>
                <w:kern w:val="0"/>
              </w:rPr>
              <w:t>费用</w:t>
            </w:r>
            <w:r>
              <w:rPr>
                <w:snapToGrid w:val="0"/>
                <w:kern w:val="0"/>
              </w:rPr>
              <w:t>（万元）</w:t>
            </w:r>
          </w:p>
        </w:tc>
        <w:tc>
          <w:tcPr>
            <w:tcW w:w="943" w:type="pct"/>
            <w:tcMar>
              <w:top w:w="0" w:type="dxa"/>
              <w:bottom w:w="0" w:type="dxa"/>
            </w:tcMar>
            <w:vAlign w:val="center"/>
          </w:tcPr>
          <w:p w14:paraId="2402DC49" w14:textId="77777777" w:rsidR="004B0883" w:rsidRDefault="004B0883">
            <w:pPr>
              <w:widowControl w:val="0"/>
              <w:adjustRightInd w:val="0"/>
              <w:snapToGrid w:val="0"/>
              <w:jc w:val="right"/>
              <w:textAlignment w:val="center"/>
              <w:rPr>
                <w:bCs/>
                <w:color w:val="000000"/>
                <w:kern w:val="0"/>
                <w:lang w:bidi="ar"/>
              </w:rPr>
            </w:pPr>
            <w:r>
              <w:rPr>
                <w:color w:val="000000"/>
              </w:rPr>
              <w:t>1,626.82</w:t>
            </w:r>
          </w:p>
        </w:tc>
        <w:tc>
          <w:tcPr>
            <w:tcW w:w="943" w:type="pct"/>
            <w:tcMar>
              <w:top w:w="0" w:type="dxa"/>
              <w:bottom w:w="0" w:type="dxa"/>
            </w:tcMar>
            <w:vAlign w:val="center"/>
          </w:tcPr>
          <w:p w14:paraId="1CC9B4CA" w14:textId="77777777" w:rsidR="004B0883" w:rsidRDefault="004B0883">
            <w:pPr>
              <w:widowControl w:val="0"/>
              <w:adjustRightInd w:val="0"/>
              <w:snapToGrid w:val="0"/>
              <w:jc w:val="right"/>
              <w:textAlignment w:val="center"/>
              <w:rPr>
                <w:bCs/>
                <w:kern w:val="0"/>
              </w:rPr>
            </w:pPr>
            <w:r>
              <w:t>2,650.47</w:t>
            </w:r>
          </w:p>
        </w:tc>
        <w:tc>
          <w:tcPr>
            <w:tcW w:w="943" w:type="pct"/>
            <w:tcMar>
              <w:top w:w="0" w:type="dxa"/>
              <w:bottom w:w="0" w:type="dxa"/>
            </w:tcMar>
            <w:vAlign w:val="center"/>
          </w:tcPr>
          <w:p w14:paraId="01295BD0" w14:textId="77777777" w:rsidR="004B0883" w:rsidRDefault="004B0883">
            <w:pPr>
              <w:widowControl w:val="0"/>
              <w:adjustRightInd w:val="0"/>
              <w:snapToGrid w:val="0"/>
              <w:jc w:val="right"/>
              <w:textAlignment w:val="center"/>
              <w:rPr>
                <w:kern w:val="0"/>
              </w:rPr>
            </w:pPr>
            <w:r>
              <w:t>2,419.61</w:t>
            </w:r>
          </w:p>
        </w:tc>
        <w:tc>
          <w:tcPr>
            <w:tcW w:w="943" w:type="pct"/>
            <w:tcMar>
              <w:top w:w="0" w:type="dxa"/>
              <w:bottom w:w="0" w:type="dxa"/>
            </w:tcMar>
            <w:vAlign w:val="center"/>
          </w:tcPr>
          <w:p w14:paraId="2AB3F768" w14:textId="77777777" w:rsidR="004B0883" w:rsidRDefault="004B0883">
            <w:pPr>
              <w:widowControl w:val="0"/>
              <w:adjustRightInd w:val="0"/>
              <w:snapToGrid w:val="0"/>
              <w:jc w:val="right"/>
              <w:rPr>
                <w:b/>
                <w:bCs/>
                <w:color w:val="000000"/>
                <w:kern w:val="0"/>
              </w:rPr>
            </w:pPr>
            <w:r>
              <w:t>2,123.79</w:t>
            </w:r>
          </w:p>
        </w:tc>
      </w:tr>
      <w:tr w:rsidR="004B0883" w14:paraId="0CD5ABD0" w14:textId="77777777">
        <w:trPr>
          <w:trHeight w:val="397"/>
          <w:jc w:val="center"/>
        </w:trPr>
        <w:tc>
          <w:tcPr>
            <w:tcW w:w="1228" w:type="pct"/>
            <w:tcMar>
              <w:top w:w="0" w:type="dxa"/>
              <w:bottom w:w="0" w:type="dxa"/>
            </w:tcMar>
            <w:vAlign w:val="center"/>
          </w:tcPr>
          <w:p w14:paraId="57AF948F" w14:textId="77777777" w:rsidR="004B0883" w:rsidRDefault="004B0883">
            <w:pPr>
              <w:widowControl w:val="0"/>
              <w:adjustRightInd w:val="0"/>
              <w:snapToGrid w:val="0"/>
              <w:jc w:val="center"/>
              <w:rPr>
                <w:snapToGrid w:val="0"/>
                <w:kern w:val="0"/>
              </w:rPr>
            </w:pPr>
            <w:r>
              <w:rPr>
                <w:snapToGrid w:val="0"/>
                <w:kern w:val="0"/>
              </w:rPr>
              <w:t>研发</w:t>
            </w:r>
            <w:r>
              <w:rPr>
                <w:rFonts w:hint="eastAsia"/>
                <w:snapToGrid w:val="0"/>
                <w:kern w:val="0"/>
              </w:rPr>
              <w:t>费用</w:t>
            </w:r>
            <w:r>
              <w:rPr>
                <w:snapToGrid w:val="0"/>
                <w:kern w:val="0"/>
              </w:rPr>
              <w:t>/</w:t>
            </w:r>
            <w:r>
              <w:rPr>
                <w:snapToGrid w:val="0"/>
                <w:kern w:val="0"/>
              </w:rPr>
              <w:t>销售收入</w:t>
            </w:r>
          </w:p>
        </w:tc>
        <w:tc>
          <w:tcPr>
            <w:tcW w:w="943" w:type="pct"/>
            <w:tcMar>
              <w:top w:w="0" w:type="dxa"/>
              <w:bottom w:w="0" w:type="dxa"/>
            </w:tcMar>
            <w:vAlign w:val="center"/>
          </w:tcPr>
          <w:p w14:paraId="05E31742" w14:textId="77777777" w:rsidR="004B0883" w:rsidRDefault="004B0883">
            <w:pPr>
              <w:widowControl w:val="0"/>
              <w:adjustRightInd w:val="0"/>
              <w:snapToGrid w:val="0"/>
              <w:jc w:val="right"/>
              <w:textAlignment w:val="center"/>
              <w:rPr>
                <w:bCs/>
                <w:color w:val="000000"/>
                <w:kern w:val="0"/>
                <w:lang w:bidi="ar"/>
              </w:rPr>
            </w:pPr>
            <w:r>
              <w:rPr>
                <w:color w:val="000000"/>
              </w:rPr>
              <w:t>4.08%</w:t>
            </w:r>
          </w:p>
        </w:tc>
        <w:tc>
          <w:tcPr>
            <w:tcW w:w="943" w:type="pct"/>
            <w:tcMar>
              <w:top w:w="0" w:type="dxa"/>
              <w:bottom w:w="0" w:type="dxa"/>
            </w:tcMar>
            <w:vAlign w:val="center"/>
          </w:tcPr>
          <w:p w14:paraId="73FFE244" w14:textId="77777777" w:rsidR="004B0883" w:rsidRDefault="004B0883">
            <w:pPr>
              <w:widowControl w:val="0"/>
              <w:adjustRightInd w:val="0"/>
              <w:snapToGrid w:val="0"/>
              <w:jc w:val="right"/>
              <w:textAlignment w:val="center"/>
              <w:rPr>
                <w:bCs/>
                <w:kern w:val="0"/>
              </w:rPr>
            </w:pPr>
            <w:r>
              <w:t>4.91%</w:t>
            </w:r>
          </w:p>
        </w:tc>
        <w:tc>
          <w:tcPr>
            <w:tcW w:w="943" w:type="pct"/>
            <w:tcMar>
              <w:top w:w="0" w:type="dxa"/>
              <w:bottom w:w="0" w:type="dxa"/>
            </w:tcMar>
            <w:vAlign w:val="center"/>
          </w:tcPr>
          <w:p w14:paraId="3A9839BF" w14:textId="77777777" w:rsidR="004B0883" w:rsidRDefault="004B0883">
            <w:pPr>
              <w:widowControl w:val="0"/>
              <w:adjustRightInd w:val="0"/>
              <w:snapToGrid w:val="0"/>
              <w:jc w:val="right"/>
              <w:textAlignment w:val="center"/>
              <w:rPr>
                <w:kern w:val="0"/>
              </w:rPr>
            </w:pPr>
            <w:r>
              <w:t>5.83%</w:t>
            </w:r>
          </w:p>
        </w:tc>
        <w:tc>
          <w:tcPr>
            <w:tcW w:w="943" w:type="pct"/>
            <w:tcMar>
              <w:top w:w="0" w:type="dxa"/>
              <w:bottom w:w="0" w:type="dxa"/>
            </w:tcMar>
            <w:vAlign w:val="center"/>
          </w:tcPr>
          <w:p w14:paraId="7CEC35B7" w14:textId="77777777" w:rsidR="004B0883" w:rsidRDefault="004B0883">
            <w:pPr>
              <w:widowControl w:val="0"/>
              <w:adjustRightInd w:val="0"/>
              <w:snapToGrid w:val="0"/>
              <w:jc w:val="right"/>
              <w:rPr>
                <w:kern w:val="0"/>
              </w:rPr>
            </w:pPr>
            <w:r>
              <w:t>6.16%</w:t>
            </w:r>
          </w:p>
        </w:tc>
      </w:tr>
    </w:tbl>
    <w:p w14:paraId="7C2D07A0" w14:textId="77777777" w:rsidR="004B0883" w:rsidRDefault="004B0883">
      <w:pPr>
        <w:widowControl w:val="0"/>
        <w:spacing w:beforeLines="50" w:before="120" w:afterLines="50" w:after="120" w:line="360" w:lineRule="auto"/>
        <w:ind w:firstLineChars="200" w:firstLine="480"/>
        <w:jc w:val="both"/>
        <w:rPr>
          <w:sz w:val="24"/>
          <w:szCs w:val="24"/>
        </w:rPr>
      </w:pPr>
      <w:r>
        <w:rPr>
          <w:rFonts w:hint="eastAsia"/>
          <w:sz w:val="24"/>
          <w:szCs w:val="24"/>
        </w:rPr>
        <w:t>公司核心技术主要来源于公司自主研发，公司成立了由公司总经理直接负责的技术管理委员会和由外聘专家组成的专家委员会，拥有多名专业技术人员，长期从事阀门产品的研发设计，积累了丰富的研发设计和生产经验</w:t>
      </w:r>
      <w:r>
        <w:rPr>
          <w:sz w:val="24"/>
          <w:szCs w:val="24"/>
        </w:rPr>
        <w:t>，拥有较强的技术研发能力。</w:t>
      </w:r>
      <w:r>
        <w:rPr>
          <w:rFonts w:hint="eastAsia"/>
          <w:sz w:val="24"/>
          <w:szCs w:val="24"/>
        </w:rPr>
        <w:t>公司根据市场调研、技术进步和下游客户需求等情况不断优化各项核心技术，在提升现有产品技术水平和生产效率的同时，不断研发新产品和新技术。</w:t>
      </w:r>
    </w:p>
    <w:p w14:paraId="668A86C0" w14:textId="77777777" w:rsidR="004B0883" w:rsidRDefault="004B0883">
      <w:pPr>
        <w:widowControl w:val="0"/>
        <w:spacing w:beforeLines="50" w:before="120" w:afterLines="50" w:after="120" w:line="360" w:lineRule="auto"/>
        <w:ind w:firstLineChars="200" w:firstLine="480"/>
        <w:jc w:val="both"/>
        <w:rPr>
          <w:sz w:val="24"/>
          <w:szCs w:val="24"/>
        </w:rPr>
      </w:pPr>
      <w:r>
        <w:rPr>
          <w:rFonts w:hint="eastAsia"/>
          <w:sz w:val="24"/>
          <w:szCs w:val="24"/>
        </w:rPr>
        <w:t>目前，</w:t>
      </w:r>
      <w:r>
        <w:rPr>
          <w:sz w:val="24"/>
          <w:szCs w:val="24"/>
        </w:rPr>
        <w:t>公司在阀门领域已积累了比较全面的技术成果</w:t>
      </w:r>
      <w:r>
        <w:rPr>
          <w:rFonts w:hint="eastAsia"/>
          <w:sz w:val="24"/>
          <w:szCs w:val="24"/>
        </w:rPr>
        <w:t>。</w:t>
      </w:r>
      <w:r>
        <w:rPr>
          <w:sz w:val="24"/>
          <w:szCs w:val="24"/>
        </w:rPr>
        <w:t>公司深厚的研发实力为本次募投项目的顺利开展奠定坚实的技术基础，也为</w:t>
      </w:r>
      <w:r>
        <w:rPr>
          <w:rFonts w:hint="eastAsia"/>
          <w:sz w:val="24"/>
          <w:szCs w:val="24"/>
        </w:rPr>
        <w:t>公司</w:t>
      </w:r>
      <w:r>
        <w:rPr>
          <w:sz w:val="24"/>
          <w:szCs w:val="24"/>
        </w:rPr>
        <w:t>阀门</w:t>
      </w:r>
      <w:r>
        <w:rPr>
          <w:rFonts w:hint="eastAsia"/>
          <w:sz w:val="24"/>
          <w:szCs w:val="24"/>
        </w:rPr>
        <w:t>产品</w:t>
      </w:r>
      <w:r>
        <w:rPr>
          <w:sz w:val="24"/>
          <w:szCs w:val="24"/>
        </w:rPr>
        <w:t>性能的不断提升提供充分保障。</w:t>
      </w:r>
    </w:p>
    <w:p w14:paraId="6B6056E1" w14:textId="77777777" w:rsidR="004B0883" w:rsidRDefault="004B0883">
      <w:pPr>
        <w:pStyle w:val="002"/>
        <w:spacing w:before="120" w:after="120"/>
        <w:rPr>
          <w:rFonts w:hint="eastAsia"/>
          <w:kern w:val="0"/>
        </w:rPr>
      </w:pPr>
      <w:bookmarkStart w:id="273" w:name="_Toc152320797"/>
      <w:bookmarkEnd w:id="272"/>
      <w:r>
        <w:rPr>
          <w:rFonts w:hint="eastAsia"/>
        </w:rPr>
        <w:t>九、</w:t>
      </w:r>
      <w:r>
        <w:rPr>
          <w:rFonts w:hint="eastAsia"/>
          <w:kern w:val="0"/>
        </w:rPr>
        <w:t>公司的主要资产情况</w:t>
      </w:r>
      <w:bookmarkEnd w:id="273"/>
    </w:p>
    <w:p w14:paraId="69F1DB7D" w14:textId="77777777" w:rsidR="004B0883" w:rsidRDefault="004B0883">
      <w:pPr>
        <w:pStyle w:val="003"/>
        <w:spacing w:before="120" w:after="120"/>
      </w:pPr>
      <w:r>
        <w:rPr>
          <w:rFonts w:hint="eastAsia"/>
        </w:rPr>
        <w:t>（一）主要固定资产情况</w:t>
      </w:r>
    </w:p>
    <w:p w14:paraId="7E7E3E05" w14:textId="77777777" w:rsidR="004B0883" w:rsidRDefault="004B0883">
      <w:pPr>
        <w:widowControl w:val="0"/>
        <w:spacing w:beforeLines="50" w:before="120" w:after="120" w:line="360" w:lineRule="auto"/>
        <w:ind w:firstLineChars="200" w:firstLine="480"/>
        <w:jc w:val="both"/>
        <w:rPr>
          <w:sz w:val="24"/>
          <w:szCs w:val="22"/>
        </w:rPr>
      </w:pPr>
      <w:r>
        <w:rPr>
          <w:sz w:val="24"/>
          <w:szCs w:val="22"/>
        </w:rPr>
        <w:t>截至</w:t>
      </w:r>
      <w:r>
        <w:rPr>
          <w:sz w:val="24"/>
          <w:szCs w:val="22"/>
        </w:rPr>
        <w:t>2023</w:t>
      </w:r>
      <w:r>
        <w:rPr>
          <w:sz w:val="24"/>
          <w:szCs w:val="22"/>
        </w:rPr>
        <w:t>年</w:t>
      </w:r>
      <w:r>
        <w:rPr>
          <w:sz w:val="24"/>
          <w:szCs w:val="22"/>
        </w:rPr>
        <w:t>9</w:t>
      </w:r>
      <w:r>
        <w:rPr>
          <w:sz w:val="24"/>
          <w:szCs w:val="22"/>
        </w:rPr>
        <w:t>月</w:t>
      </w:r>
      <w:r>
        <w:rPr>
          <w:sz w:val="24"/>
          <w:szCs w:val="22"/>
        </w:rPr>
        <w:t>30</w:t>
      </w:r>
      <w:r>
        <w:rPr>
          <w:sz w:val="24"/>
          <w:szCs w:val="22"/>
        </w:rPr>
        <w:t>日，公司固定资产情况如下表所示：</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619"/>
        <w:gridCol w:w="1926"/>
        <w:gridCol w:w="1928"/>
        <w:gridCol w:w="1926"/>
        <w:gridCol w:w="881"/>
      </w:tblGrid>
      <w:tr w:rsidR="004B0883" w14:paraId="49FC765E" w14:textId="77777777">
        <w:trPr>
          <w:trHeight w:val="397"/>
          <w:jc w:val="center"/>
        </w:trPr>
        <w:tc>
          <w:tcPr>
            <w:tcW w:w="978" w:type="pct"/>
            <w:shd w:val="clear" w:color="auto" w:fill="D9D9D9"/>
            <w:tcMar>
              <w:top w:w="0" w:type="dxa"/>
              <w:bottom w:w="0" w:type="dxa"/>
            </w:tcMar>
            <w:vAlign w:val="center"/>
          </w:tcPr>
          <w:p w14:paraId="4C1E506F" w14:textId="77777777" w:rsidR="004B0883" w:rsidRDefault="004B0883">
            <w:pPr>
              <w:widowControl w:val="0"/>
              <w:adjustRightInd w:val="0"/>
              <w:snapToGrid w:val="0"/>
              <w:jc w:val="center"/>
              <w:rPr>
                <w:b/>
                <w:sz w:val="18"/>
                <w:szCs w:val="18"/>
              </w:rPr>
            </w:pPr>
            <w:bookmarkStart w:id="274" w:name="_Hlk106531763"/>
            <w:r>
              <w:rPr>
                <w:b/>
                <w:sz w:val="18"/>
                <w:szCs w:val="18"/>
              </w:rPr>
              <w:t>项目</w:t>
            </w:r>
          </w:p>
        </w:tc>
        <w:tc>
          <w:tcPr>
            <w:tcW w:w="1163" w:type="pct"/>
            <w:shd w:val="clear" w:color="auto" w:fill="D9D9D9"/>
            <w:tcMar>
              <w:top w:w="0" w:type="dxa"/>
              <w:bottom w:w="0" w:type="dxa"/>
            </w:tcMar>
            <w:vAlign w:val="center"/>
          </w:tcPr>
          <w:p w14:paraId="42008DA9" w14:textId="77777777" w:rsidR="004B0883" w:rsidRDefault="004B0883">
            <w:pPr>
              <w:widowControl w:val="0"/>
              <w:adjustRightInd w:val="0"/>
              <w:snapToGrid w:val="0"/>
              <w:jc w:val="center"/>
              <w:rPr>
                <w:b/>
                <w:sz w:val="18"/>
                <w:szCs w:val="18"/>
              </w:rPr>
            </w:pPr>
            <w:r>
              <w:rPr>
                <w:b/>
                <w:sz w:val="18"/>
                <w:szCs w:val="18"/>
              </w:rPr>
              <w:t>资产原值（万元）</w:t>
            </w:r>
          </w:p>
        </w:tc>
        <w:tc>
          <w:tcPr>
            <w:tcW w:w="1164" w:type="pct"/>
            <w:shd w:val="clear" w:color="auto" w:fill="D9D9D9"/>
            <w:tcMar>
              <w:top w:w="0" w:type="dxa"/>
              <w:bottom w:w="0" w:type="dxa"/>
            </w:tcMar>
            <w:vAlign w:val="center"/>
          </w:tcPr>
          <w:p w14:paraId="2A477658" w14:textId="77777777" w:rsidR="004B0883" w:rsidRDefault="004B0883">
            <w:pPr>
              <w:widowControl w:val="0"/>
              <w:adjustRightInd w:val="0"/>
              <w:snapToGrid w:val="0"/>
              <w:jc w:val="center"/>
              <w:rPr>
                <w:b/>
                <w:sz w:val="18"/>
                <w:szCs w:val="18"/>
              </w:rPr>
            </w:pPr>
            <w:r>
              <w:rPr>
                <w:b/>
                <w:sz w:val="18"/>
                <w:szCs w:val="18"/>
              </w:rPr>
              <w:t>累计折旧（万元）</w:t>
            </w:r>
          </w:p>
        </w:tc>
        <w:tc>
          <w:tcPr>
            <w:tcW w:w="1163" w:type="pct"/>
            <w:shd w:val="clear" w:color="auto" w:fill="D9D9D9"/>
            <w:tcMar>
              <w:top w:w="0" w:type="dxa"/>
              <w:bottom w:w="0" w:type="dxa"/>
            </w:tcMar>
            <w:vAlign w:val="center"/>
          </w:tcPr>
          <w:p w14:paraId="1293E1AB" w14:textId="77777777" w:rsidR="004B0883" w:rsidRDefault="004B0883">
            <w:pPr>
              <w:widowControl w:val="0"/>
              <w:adjustRightInd w:val="0"/>
              <w:snapToGrid w:val="0"/>
              <w:jc w:val="center"/>
              <w:rPr>
                <w:b/>
                <w:sz w:val="18"/>
                <w:szCs w:val="18"/>
              </w:rPr>
            </w:pPr>
            <w:r>
              <w:rPr>
                <w:b/>
                <w:sz w:val="18"/>
                <w:szCs w:val="18"/>
              </w:rPr>
              <w:t>资产净值（万元）</w:t>
            </w:r>
          </w:p>
        </w:tc>
        <w:tc>
          <w:tcPr>
            <w:tcW w:w="532" w:type="pct"/>
            <w:shd w:val="clear" w:color="auto" w:fill="D9D9D9"/>
            <w:tcMar>
              <w:top w:w="0" w:type="dxa"/>
              <w:bottom w:w="0" w:type="dxa"/>
            </w:tcMar>
            <w:vAlign w:val="center"/>
          </w:tcPr>
          <w:p w14:paraId="4E450C7A" w14:textId="77777777" w:rsidR="004B0883" w:rsidRDefault="004B0883">
            <w:pPr>
              <w:widowControl w:val="0"/>
              <w:adjustRightInd w:val="0"/>
              <w:snapToGrid w:val="0"/>
              <w:jc w:val="center"/>
              <w:rPr>
                <w:b/>
                <w:sz w:val="18"/>
                <w:szCs w:val="18"/>
              </w:rPr>
            </w:pPr>
            <w:r>
              <w:rPr>
                <w:rFonts w:hint="eastAsia"/>
                <w:b/>
                <w:sz w:val="18"/>
                <w:szCs w:val="18"/>
              </w:rPr>
              <w:t>成新率</w:t>
            </w:r>
          </w:p>
        </w:tc>
      </w:tr>
      <w:tr w:rsidR="004B0883" w14:paraId="346E5448" w14:textId="77777777">
        <w:trPr>
          <w:trHeight w:val="397"/>
          <w:jc w:val="center"/>
        </w:trPr>
        <w:tc>
          <w:tcPr>
            <w:tcW w:w="978" w:type="pct"/>
            <w:tcMar>
              <w:top w:w="0" w:type="dxa"/>
              <w:bottom w:w="0" w:type="dxa"/>
            </w:tcMar>
            <w:vAlign w:val="center"/>
          </w:tcPr>
          <w:p w14:paraId="7555CA03" w14:textId="77777777" w:rsidR="004B0883" w:rsidRDefault="004B0883">
            <w:pPr>
              <w:widowControl w:val="0"/>
              <w:adjustRightInd w:val="0"/>
              <w:snapToGrid w:val="0"/>
              <w:jc w:val="center"/>
              <w:rPr>
                <w:rFonts w:ascii="宋体" w:hAnsi="宋体"/>
                <w:color w:val="000000"/>
                <w:kern w:val="0"/>
                <w:sz w:val="18"/>
                <w:szCs w:val="18"/>
              </w:rPr>
            </w:pPr>
            <w:r>
              <w:rPr>
                <w:rFonts w:ascii="宋体" w:hAnsi="宋体"/>
                <w:color w:val="000000"/>
                <w:kern w:val="0"/>
                <w:sz w:val="18"/>
                <w:szCs w:val="18"/>
              </w:rPr>
              <w:t>房屋及建筑物</w:t>
            </w:r>
          </w:p>
        </w:tc>
        <w:tc>
          <w:tcPr>
            <w:tcW w:w="1163" w:type="pct"/>
            <w:tcMar>
              <w:top w:w="0" w:type="dxa"/>
              <w:bottom w:w="0" w:type="dxa"/>
            </w:tcMar>
            <w:vAlign w:val="center"/>
          </w:tcPr>
          <w:p w14:paraId="7733DB6F" w14:textId="77777777" w:rsidR="004B0883" w:rsidRDefault="004B0883">
            <w:pPr>
              <w:widowControl w:val="0"/>
              <w:adjustRightInd w:val="0"/>
              <w:snapToGrid w:val="0"/>
              <w:jc w:val="right"/>
              <w:rPr>
                <w:bCs/>
                <w:color w:val="000000"/>
                <w:kern w:val="0"/>
                <w:sz w:val="18"/>
                <w:szCs w:val="18"/>
              </w:rPr>
            </w:pPr>
            <w:r>
              <w:rPr>
                <w:rFonts w:hint="eastAsia"/>
                <w:sz w:val="18"/>
                <w:szCs w:val="18"/>
              </w:rPr>
              <w:t>16,476.68</w:t>
            </w:r>
          </w:p>
        </w:tc>
        <w:tc>
          <w:tcPr>
            <w:tcW w:w="1164" w:type="pct"/>
            <w:tcMar>
              <w:top w:w="0" w:type="dxa"/>
              <w:bottom w:w="0" w:type="dxa"/>
            </w:tcMar>
            <w:vAlign w:val="center"/>
          </w:tcPr>
          <w:p w14:paraId="1B762564" w14:textId="77777777" w:rsidR="004B0883" w:rsidRDefault="004B0883">
            <w:pPr>
              <w:jc w:val="right"/>
              <w:rPr>
                <w:rFonts w:hint="eastAsia"/>
                <w:kern w:val="0"/>
                <w:sz w:val="18"/>
                <w:szCs w:val="18"/>
              </w:rPr>
            </w:pPr>
            <w:r>
              <w:rPr>
                <w:rFonts w:hint="eastAsia"/>
                <w:sz w:val="18"/>
                <w:szCs w:val="18"/>
              </w:rPr>
              <w:t>6,326.9</w:t>
            </w:r>
            <w:r>
              <w:rPr>
                <w:sz w:val="18"/>
                <w:szCs w:val="18"/>
              </w:rPr>
              <w:t>7</w:t>
            </w:r>
            <w:r>
              <w:rPr>
                <w:rFonts w:hint="eastAsia"/>
                <w:sz w:val="18"/>
                <w:szCs w:val="18"/>
              </w:rPr>
              <w:t xml:space="preserve"> </w:t>
            </w:r>
          </w:p>
        </w:tc>
        <w:tc>
          <w:tcPr>
            <w:tcW w:w="1163" w:type="pct"/>
            <w:tcMar>
              <w:top w:w="0" w:type="dxa"/>
              <w:bottom w:w="0" w:type="dxa"/>
            </w:tcMar>
            <w:vAlign w:val="center"/>
          </w:tcPr>
          <w:p w14:paraId="1E852EBE" w14:textId="77777777" w:rsidR="004B0883" w:rsidRDefault="004B0883">
            <w:pPr>
              <w:jc w:val="right"/>
              <w:rPr>
                <w:rFonts w:hint="eastAsia"/>
                <w:kern w:val="0"/>
                <w:sz w:val="18"/>
                <w:szCs w:val="18"/>
              </w:rPr>
            </w:pPr>
            <w:r>
              <w:rPr>
                <w:rFonts w:hint="eastAsia"/>
                <w:sz w:val="18"/>
                <w:szCs w:val="18"/>
              </w:rPr>
              <w:t xml:space="preserve">10,149.71 </w:t>
            </w:r>
          </w:p>
        </w:tc>
        <w:tc>
          <w:tcPr>
            <w:tcW w:w="532" w:type="pct"/>
            <w:tcMar>
              <w:top w:w="0" w:type="dxa"/>
              <w:bottom w:w="0" w:type="dxa"/>
            </w:tcMar>
            <w:vAlign w:val="center"/>
          </w:tcPr>
          <w:p w14:paraId="765EF873" w14:textId="77777777" w:rsidR="004B0883" w:rsidRDefault="004B0883">
            <w:pPr>
              <w:widowControl w:val="0"/>
              <w:adjustRightInd w:val="0"/>
              <w:snapToGrid w:val="0"/>
              <w:jc w:val="right"/>
              <w:rPr>
                <w:sz w:val="18"/>
                <w:szCs w:val="18"/>
              </w:rPr>
            </w:pPr>
            <w:r>
              <w:rPr>
                <w:color w:val="000000"/>
                <w:sz w:val="18"/>
                <w:szCs w:val="18"/>
              </w:rPr>
              <w:t>61.60%</w:t>
            </w:r>
          </w:p>
        </w:tc>
      </w:tr>
      <w:tr w:rsidR="004B0883" w14:paraId="48F56F5B" w14:textId="77777777">
        <w:trPr>
          <w:trHeight w:val="397"/>
          <w:jc w:val="center"/>
        </w:trPr>
        <w:tc>
          <w:tcPr>
            <w:tcW w:w="978" w:type="pct"/>
            <w:tcMar>
              <w:top w:w="0" w:type="dxa"/>
              <w:bottom w:w="0" w:type="dxa"/>
            </w:tcMar>
            <w:vAlign w:val="center"/>
          </w:tcPr>
          <w:p w14:paraId="07A4156B" w14:textId="77777777" w:rsidR="004B0883" w:rsidRDefault="004B0883">
            <w:pPr>
              <w:widowControl w:val="0"/>
              <w:adjustRightInd w:val="0"/>
              <w:snapToGrid w:val="0"/>
              <w:jc w:val="center"/>
              <w:rPr>
                <w:rFonts w:ascii="宋体" w:hAnsi="宋体"/>
                <w:color w:val="000000"/>
                <w:kern w:val="0"/>
                <w:sz w:val="18"/>
                <w:szCs w:val="18"/>
              </w:rPr>
            </w:pPr>
            <w:r>
              <w:rPr>
                <w:rFonts w:ascii="宋体" w:hAnsi="宋体"/>
                <w:color w:val="000000"/>
                <w:kern w:val="0"/>
                <w:sz w:val="18"/>
                <w:szCs w:val="18"/>
              </w:rPr>
              <w:t>机器设备</w:t>
            </w:r>
          </w:p>
        </w:tc>
        <w:tc>
          <w:tcPr>
            <w:tcW w:w="1163" w:type="pct"/>
            <w:tcMar>
              <w:top w:w="0" w:type="dxa"/>
              <w:bottom w:w="0" w:type="dxa"/>
            </w:tcMar>
            <w:vAlign w:val="center"/>
          </w:tcPr>
          <w:p w14:paraId="3CD65362" w14:textId="77777777" w:rsidR="004B0883" w:rsidRDefault="004B0883">
            <w:pPr>
              <w:jc w:val="right"/>
              <w:rPr>
                <w:rFonts w:hint="eastAsia"/>
                <w:kern w:val="0"/>
                <w:sz w:val="18"/>
                <w:szCs w:val="18"/>
              </w:rPr>
            </w:pPr>
            <w:r>
              <w:rPr>
                <w:rFonts w:hint="eastAsia"/>
                <w:sz w:val="18"/>
                <w:szCs w:val="18"/>
              </w:rPr>
              <w:t xml:space="preserve">19,917.64 </w:t>
            </w:r>
          </w:p>
        </w:tc>
        <w:tc>
          <w:tcPr>
            <w:tcW w:w="1164" w:type="pct"/>
            <w:tcMar>
              <w:top w:w="0" w:type="dxa"/>
              <w:bottom w:w="0" w:type="dxa"/>
            </w:tcMar>
            <w:vAlign w:val="center"/>
          </w:tcPr>
          <w:p w14:paraId="0549A235" w14:textId="77777777" w:rsidR="004B0883" w:rsidRDefault="004B0883">
            <w:pPr>
              <w:jc w:val="right"/>
              <w:rPr>
                <w:rFonts w:hint="eastAsia"/>
                <w:kern w:val="0"/>
                <w:sz w:val="18"/>
                <w:szCs w:val="18"/>
              </w:rPr>
            </w:pPr>
            <w:r>
              <w:rPr>
                <w:rFonts w:hint="eastAsia"/>
                <w:sz w:val="18"/>
                <w:szCs w:val="18"/>
              </w:rPr>
              <w:t xml:space="preserve">7,953.69 </w:t>
            </w:r>
          </w:p>
        </w:tc>
        <w:tc>
          <w:tcPr>
            <w:tcW w:w="1163" w:type="pct"/>
            <w:tcMar>
              <w:top w:w="0" w:type="dxa"/>
              <w:bottom w:w="0" w:type="dxa"/>
            </w:tcMar>
            <w:vAlign w:val="center"/>
          </w:tcPr>
          <w:p w14:paraId="74E0894B" w14:textId="77777777" w:rsidR="004B0883" w:rsidRDefault="004B0883">
            <w:pPr>
              <w:jc w:val="right"/>
              <w:rPr>
                <w:rFonts w:hint="eastAsia"/>
                <w:kern w:val="0"/>
                <w:sz w:val="18"/>
                <w:szCs w:val="18"/>
              </w:rPr>
            </w:pPr>
            <w:r>
              <w:rPr>
                <w:rFonts w:hint="eastAsia"/>
                <w:sz w:val="18"/>
                <w:szCs w:val="18"/>
              </w:rPr>
              <w:t xml:space="preserve">11,963.95 </w:t>
            </w:r>
          </w:p>
        </w:tc>
        <w:tc>
          <w:tcPr>
            <w:tcW w:w="532" w:type="pct"/>
            <w:tcMar>
              <w:top w:w="0" w:type="dxa"/>
              <w:bottom w:w="0" w:type="dxa"/>
            </w:tcMar>
            <w:vAlign w:val="center"/>
          </w:tcPr>
          <w:p w14:paraId="64FFEB5E" w14:textId="77777777" w:rsidR="004B0883" w:rsidRDefault="004B0883">
            <w:pPr>
              <w:widowControl w:val="0"/>
              <w:adjustRightInd w:val="0"/>
              <w:snapToGrid w:val="0"/>
              <w:jc w:val="right"/>
              <w:rPr>
                <w:sz w:val="18"/>
                <w:szCs w:val="18"/>
              </w:rPr>
            </w:pPr>
            <w:r>
              <w:rPr>
                <w:color w:val="000000"/>
                <w:sz w:val="18"/>
                <w:szCs w:val="18"/>
              </w:rPr>
              <w:t>60.07%</w:t>
            </w:r>
          </w:p>
        </w:tc>
      </w:tr>
      <w:tr w:rsidR="004B0883" w14:paraId="746D718C" w14:textId="77777777">
        <w:trPr>
          <w:trHeight w:val="397"/>
          <w:jc w:val="center"/>
        </w:trPr>
        <w:tc>
          <w:tcPr>
            <w:tcW w:w="978" w:type="pct"/>
            <w:tcMar>
              <w:top w:w="0" w:type="dxa"/>
              <w:bottom w:w="0" w:type="dxa"/>
            </w:tcMar>
            <w:vAlign w:val="center"/>
          </w:tcPr>
          <w:p w14:paraId="0ABDD9B8" w14:textId="77777777" w:rsidR="004B0883" w:rsidRDefault="004B0883">
            <w:pPr>
              <w:widowControl w:val="0"/>
              <w:adjustRightInd w:val="0"/>
              <w:snapToGrid w:val="0"/>
              <w:jc w:val="center"/>
              <w:rPr>
                <w:rFonts w:ascii="宋体" w:hAnsi="宋体"/>
                <w:color w:val="000000"/>
                <w:kern w:val="0"/>
                <w:sz w:val="18"/>
                <w:szCs w:val="18"/>
              </w:rPr>
            </w:pPr>
            <w:r>
              <w:rPr>
                <w:rFonts w:ascii="宋体" w:hAnsi="宋体"/>
                <w:color w:val="000000"/>
                <w:kern w:val="0"/>
                <w:sz w:val="18"/>
                <w:szCs w:val="18"/>
              </w:rPr>
              <w:t>运输设备</w:t>
            </w:r>
          </w:p>
        </w:tc>
        <w:tc>
          <w:tcPr>
            <w:tcW w:w="1163" w:type="pct"/>
            <w:tcMar>
              <w:top w:w="0" w:type="dxa"/>
              <w:bottom w:w="0" w:type="dxa"/>
            </w:tcMar>
            <w:vAlign w:val="center"/>
          </w:tcPr>
          <w:p w14:paraId="30560B49" w14:textId="77777777" w:rsidR="004B0883" w:rsidRDefault="004B0883">
            <w:pPr>
              <w:jc w:val="right"/>
              <w:rPr>
                <w:rFonts w:hint="eastAsia"/>
                <w:kern w:val="0"/>
                <w:sz w:val="18"/>
                <w:szCs w:val="18"/>
              </w:rPr>
            </w:pPr>
            <w:r>
              <w:rPr>
                <w:rFonts w:hint="eastAsia"/>
                <w:sz w:val="18"/>
                <w:szCs w:val="18"/>
              </w:rPr>
              <w:t xml:space="preserve">572.60 </w:t>
            </w:r>
          </w:p>
        </w:tc>
        <w:tc>
          <w:tcPr>
            <w:tcW w:w="1164" w:type="pct"/>
            <w:tcMar>
              <w:top w:w="0" w:type="dxa"/>
              <w:bottom w:w="0" w:type="dxa"/>
            </w:tcMar>
            <w:vAlign w:val="center"/>
          </w:tcPr>
          <w:p w14:paraId="6FFBC622" w14:textId="77777777" w:rsidR="004B0883" w:rsidRDefault="004B0883">
            <w:pPr>
              <w:jc w:val="right"/>
              <w:rPr>
                <w:rFonts w:hint="eastAsia"/>
                <w:kern w:val="0"/>
                <w:sz w:val="18"/>
                <w:szCs w:val="18"/>
              </w:rPr>
            </w:pPr>
            <w:r>
              <w:rPr>
                <w:rFonts w:hint="eastAsia"/>
                <w:sz w:val="18"/>
                <w:szCs w:val="18"/>
              </w:rPr>
              <w:t xml:space="preserve">471.11 </w:t>
            </w:r>
          </w:p>
        </w:tc>
        <w:tc>
          <w:tcPr>
            <w:tcW w:w="1163" w:type="pct"/>
            <w:tcMar>
              <w:top w:w="0" w:type="dxa"/>
              <w:bottom w:w="0" w:type="dxa"/>
            </w:tcMar>
            <w:vAlign w:val="center"/>
          </w:tcPr>
          <w:p w14:paraId="28ED05A8" w14:textId="77777777" w:rsidR="004B0883" w:rsidRDefault="004B0883">
            <w:pPr>
              <w:jc w:val="right"/>
              <w:rPr>
                <w:rFonts w:hint="eastAsia"/>
                <w:kern w:val="0"/>
                <w:sz w:val="18"/>
                <w:szCs w:val="18"/>
              </w:rPr>
            </w:pPr>
            <w:r>
              <w:rPr>
                <w:rFonts w:hint="eastAsia"/>
                <w:sz w:val="18"/>
                <w:szCs w:val="18"/>
              </w:rPr>
              <w:t xml:space="preserve">101.49 </w:t>
            </w:r>
          </w:p>
        </w:tc>
        <w:tc>
          <w:tcPr>
            <w:tcW w:w="532" w:type="pct"/>
            <w:tcMar>
              <w:top w:w="0" w:type="dxa"/>
              <w:bottom w:w="0" w:type="dxa"/>
            </w:tcMar>
            <w:vAlign w:val="center"/>
          </w:tcPr>
          <w:p w14:paraId="27FEC8E3" w14:textId="77777777" w:rsidR="004B0883" w:rsidRDefault="004B0883">
            <w:pPr>
              <w:widowControl w:val="0"/>
              <w:adjustRightInd w:val="0"/>
              <w:snapToGrid w:val="0"/>
              <w:jc w:val="right"/>
              <w:rPr>
                <w:sz w:val="18"/>
                <w:szCs w:val="18"/>
              </w:rPr>
            </w:pPr>
            <w:r>
              <w:rPr>
                <w:color w:val="000000"/>
                <w:sz w:val="18"/>
                <w:szCs w:val="18"/>
              </w:rPr>
              <w:t>17.72%</w:t>
            </w:r>
          </w:p>
        </w:tc>
      </w:tr>
      <w:tr w:rsidR="004B0883" w14:paraId="4F5A5251" w14:textId="77777777">
        <w:trPr>
          <w:trHeight w:val="397"/>
          <w:jc w:val="center"/>
        </w:trPr>
        <w:tc>
          <w:tcPr>
            <w:tcW w:w="978" w:type="pct"/>
            <w:tcMar>
              <w:top w:w="0" w:type="dxa"/>
              <w:bottom w:w="0" w:type="dxa"/>
            </w:tcMar>
            <w:vAlign w:val="center"/>
          </w:tcPr>
          <w:p w14:paraId="25A9F3D5" w14:textId="77777777" w:rsidR="004B0883" w:rsidRDefault="004B0883">
            <w:pPr>
              <w:widowControl w:val="0"/>
              <w:adjustRightInd w:val="0"/>
              <w:snapToGrid w:val="0"/>
              <w:jc w:val="center"/>
              <w:rPr>
                <w:rFonts w:ascii="宋体" w:hAnsi="宋体"/>
                <w:color w:val="000000"/>
                <w:kern w:val="0"/>
                <w:sz w:val="18"/>
                <w:szCs w:val="18"/>
              </w:rPr>
            </w:pPr>
            <w:r>
              <w:rPr>
                <w:rFonts w:ascii="宋体" w:hAnsi="宋体"/>
                <w:color w:val="000000"/>
                <w:kern w:val="0"/>
                <w:sz w:val="18"/>
                <w:szCs w:val="18"/>
              </w:rPr>
              <w:t>电子设备</w:t>
            </w:r>
            <w:r>
              <w:rPr>
                <w:rFonts w:ascii="宋体" w:hAnsi="宋体" w:hint="eastAsia"/>
                <w:color w:val="000000"/>
                <w:kern w:val="0"/>
                <w:sz w:val="18"/>
                <w:szCs w:val="18"/>
              </w:rPr>
              <w:t>及其他</w:t>
            </w:r>
          </w:p>
        </w:tc>
        <w:tc>
          <w:tcPr>
            <w:tcW w:w="1163" w:type="pct"/>
            <w:tcMar>
              <w:top w:w="0" w:type="dxa"/>
              <w:bottom w:w="0" w:type="dxa"/>
            </w:tcMar>
            <w:vAlign w:val="center"/>
          </w:tcPr>
          <w:p w14:paraId="03FC027B" w14:textId="77777777" w:rsidR="004B0883" w:rsidRDefault="004B0883">
            <w:pPr>
              <w:jc w:val="right"/>
              <w:rPr>
                <w:rFonts w:hint="eastAsia"/>
                <w:kern w:val="0"/>
                <w:sz w:val="18"/>
                <w:szCs w:val="18"/>
              </w:rPr>
            </w:pPr>
            <w:r>
              <w:rPr>
                <w:rFonts w:hint="eastAsia"/>
                <w:sz w:val="18"/>
                <w:szCs w:val="18"/>
              </w:rPr>
              <w:t xml:space="preserve">1,019.69 </w:t>
            </w:r>
          </w:p>
        </w:tc>
        <w:tc>
          <w:tcPr>
            <w:tcW w:w="1164" w:type="pct"/>
            <w:tcMar>
              <w:top w:w="0" w:type="dxa"/>
              <w:bottom w:w="0" w:type="dxa"/>
            </w:tcMar>
            <w:vAlign w:val="center"/>
          </w:tcPr>
          <w:p w14:paraId="75F7E2D3" w14:textId="77777777" w:rsidR="004B0883" w:rsidRDefault="004B0883">
            <w:pPr>
              <w:jc w:val="right"/>
              <w:rPr>
                <w:rFonts w:hint="eastAsia"/>
                <w:kern w:val="0"/>
                <w:sz w:val="18"/>
                <w:szCs w:val="18"/>
              </w:rPr>
            </w:pPr>
            <w:r>
              <w:rPr>
                <w:rFonts w:hint="eastAsia"/>
                <w:sz w:val="18"/>
                <w:szCs w:val="18"/>
              </w:rPr>
              <w:t xml:space="preserve">704.19 </w:t>
            </w:r>
          </w:p>
        </w:tc>
        <w:tc>
          <w:tcPr>
            <w:tcW w:w="1163" w:type="pct"/>
            <w:tcMar>
              <w:top w:w="0" w:type="dxa"/>
              <w:bottom w:w="0" w:type="dxa"/>
            </w:tcMar>
            <w:vAlign w:val="center"/>
          </w:tcPr>
          <w:p w14:paraId="41C5B70E" w14:textId="77777777" w:rsidR="004B0883" w:rsidRDefault="004B0883">
            <w:pPr>
              <w:jc w:val="right"/>
              <w:rPr>
                <w:rFonts w:hint="eastAsia"/>
                <w:kern w:val="0"/>
                <w:sz w:val="18"/>
                <w:szCs w:val="18"/>
              </w:rPr>
            </w:pPr>
            <w:r>
              <w:rPr>
                <w:rFonts w:hint="eastAsia"/>
                <w:sz w:val="18"/>
                <w:szCs w:val="18"/>
              </w:rPr>
              <w:t xml:space="preserve">315.50 </w:t>
            </w:r>
          </w:p>
        </w:tc>
        <w:tc>
          <w:tcPr>
            <w:tcW w:w="532" w:type="pct"/>
            <w:tcMar>
              <w:top w:w="0" w:type="dxa"/>
              <w:bottom w:w="0" w:type="dxa"/>
            </w:tcMar>
            <w:vAlign w:val="center"/>
          </w:tcPr>
          <w:p w14:paraId="590C7E68" w14:textId="77777777" w:rsidR="004B0883" w:rsidRDefault="004B0883">
            <w:pPr>
              <w:widowControl w:val="0"/>
              <w:adjustRightInd w:val="0"/>
              <w:snapToGrid w:val="0"/>
              <w:jc w:val="right"/>
              <w:rPr>
                <w:sz w:val="18"/>
                <w:szCs w:val="18"/>
              </w:rPr>
            </w:pPr>
            <w:r>
              <w:rPr>
                <w:color w:val="000000"/>
                <w:sz w:val="18"/>
                <w:szCs w:val="18"/>
              </w:rPr>
              <w:t>30.94%</w:t>
            </w:r>
          </w:p>
        </w:tc>
      </w:tr>
      <w:tr w:rsidR="004B0883" w14:paraId="6ADFAFAB" w14:textId="77777777">
        <w:trPr>
          <w:trHeight w:val="397"/>
          <w:jc w:val="center"/>
        </w:trPr>
        <w:tc>
          <w:tcPr>
            <w:tcW w:w="978" w:type="pct"/>
            <w:tcMar>
              <w:top w:w="0" w:type="dxa"/>
              <w:bottom w:w="0" w:type="dxa"/>
            </w:tcMar>
            <w:vAlign w:val="center"/>
          </w:tcPr>
          <w:p w14:paraId="5714D4E7" w14:textId="77777777" w:rsidR="004B0883" w:rsidRDefault="004B0883">
            <w:pPr>
              <w:widowControl w:val="0"/>
              <w:adjustRightInd w:val="0"/>
              <w:snapToGrid w:val="0"/>
              <w:jc w:val="center"/>
              <w:rPr>
                <w:rFonts w:ascii="宋体" w:hAnsi="宋体"/>
                <w:b/>
                <w:bCs/>
                <w:sz w:val="18"/>
                <w:szCs w:val="18"/>
              </w:rPr>
            </w:pPr>
            <w:r>
              <w:rPr>
                <w:rFonts w:ascii="宋体" w:hAnsi="宋体"/>
                <w:b/>
                <w:bCs/>
                <w:color w:val="000000"/>
                <w:kern w:val="0"/>
                <w:sz w:val="18"/>
                <w:szCs w:val="18"/>
              </w:rPr>
              <w:t>合计</w:t>
            </w:r>
          </w:p>
        </w:tc>
        <w:tc>
          <w:tcPr>
            <w:tcW w:w="1163" w:type="pct"/>
            <w:tcMar>
              <w:top w:w="0" w:type="dxa"/>
              <w:bottom w:w="0" w:type="dxa"/>
            </w:tcMar>
            <w:vAlign w:val="center"/>
          </w:tcPr>
          <w:p w14:paraId="553875D6" w14:textId="77777777" w:rsidR="004B0883" w:rsidRDefault="004B0883">
            <w:pPr>
              <w:widowControl w:val="0"/>
              <w:adjustRightInd w:val="0"/>
              <w:snapToGrid w:val="0"/>
              <w:jc w:val="right"/>
              <w:rPr>
                <w:b/>
                <w:bCs/>
                <w:color w:val="000000"/>
                <w:sz w:val="18"/>
                <w:szCs w:val="18"/>
              </w:rPr>
            </w:pPr>
            <w:r>
              <w:rPr>
                <w:b/>
                <w:bCs/>
                <w:color w:val="000000"/>
                <w:sz w:val="18"/>
                <w:szCs w:val="18"/>
              </w:rPr>
              <w:t>37,986.61</w:t>
            </w:r>
          </w:p>
        </w:tc>
        <w:tc>
          <w:tcPr>
            <w:tcW w:w="1164" w:type="pct"/>
            <w:tcMar>
              <w:top w:w="0" w:type="dxa"/>
              <w:bottom w:w="0" w:type="dxa"/>
            </w:tcMar>
            <w:vAlign w:val="center"/>
          </w:tcPr>
          <w:p w14:paraId="720D7D5D" w14:textId="77777777" w:rsidR="004B0883" w:rsidRDefault="004B0883">
            <w:pPr>
              <w:widowControl w:val="0"/>
              <w:adjustRightInd w:val="0"/>
              <w:snapToGrid w:val="0"/>
              <w:jc w:val="right"/>
              <w:rPr>
                <w:b/>
                <w:bCs/>
                <w:color w:val="000000"/>
                <w:sz w:val="18"/>
                <w:szCs w:val="18"/>
              </w:rPr>
            </w:pPr>
            <w:r>
              <w:rPr>
                <w:b/>
                <w:bCs/>
                <w:color w:val="000000"/>
                <w:sz w:val="18"/>
                <w:szCs w:val="18"/>
              </w:rPr>
              <w:t>15,455.96</w:t>
            </w:r>
          </w:p>
        </w:tc>
        <w:tc>
          <w:tcPr>
            <w:tcW w:w="1163" w:type="pct"/>
            <w:tcMar>
              <w:top w:w="0" w:type="dxa"/>
              <w:bottom w:w="0" w:type="dxa"/>
            </w:tcMar>
            <w:vAlign w:val="center"/>
          </w:tcPr>
          <w:p w14:paraId="0A8F44D6" w14:textId="77777777" w:rsidR="004B0883" w:rsidRDefault="004B0883">
            <w:pPr>
              <w:widowControl w:val="0"/>
              <w:adjustRightInd w:val="0"/>
              <w:snapToGrid w:val="0"/>
              <w:jc w:val="right"/>
              <w:rPr>
                <w:b/>
                <w:bCs/>
                <w:color w:val="000000"/>
                <w:sz w:val="18"/>
                <w:szCs w:val="18"/>
              </w:rPr>
            </w:pPr>
            <w:r>
              <w:rPr>
                <w:b/>
                <w:bCs/>
                <w:color w:val="000000"/>
                <w:sz w:val="18"/>
                <w:szCs w:val="18"/>
              </w:rPr>
              <w:t>22,530.65</w:t>
            </w:r>
          </w:p>
        </w:tc>
        <w:tc>
          <w:tcPr>
            <w:tcW w:w="532" w:type="pct"/>
            <w:tcMar>
              <w:top w:w="0" w:type="dxa"/>
              <w:bottom w:w="0" w:type="dxa"/>
            </w:tcMar>
            <w:vAlign w:val="center"/>
          </w:tcPr>
          <w:p w14:paraId="35507686" w14:textId="77777777" w:rsidR="004B0883" w:rsidRDefault="004B0883">
            <w:pPr>
              <w:widowControl w:val="0"/>
              <w:adjustRightInd w:val="0"/>
              <w:snapToGrid w:val="0"/>
              <w:jc w:val="right"/>
              <w:rPr>
                <w:b/>
                <w:bCs/>
                <w:kern w:val="0"/>
                <w:sz w:val="18"/>
                <w:szCs w:val="18"/>
              </w:rPr>
            </w:pPr>
            <w:r>
              <w:rPr>
                <w:b/>
                <w:bCs/>
                <w:sz w:val="18"/>
                <w:szCs w:val="18"/>
              </w:rPr>
              <w:t>-</w:t>
            </w:r>
          </w:p>
        </w:tc>
      </w:tr>
    </w:tbl>
    <w:bookmarkEnd w:id="274"/>
    <w:p w14:paraId="22632DC8" w14:textId="77777777" w:rsidR="004B0883" w:rsidRDefault="004B0883">
      <w:pPr>
        <w:keepNext/>
        <w:keepLines/>
        <w:widowControl w:val="0"/>
        <w:spacing w:beforeLines="50" w:before="120" w:after="120" w:line="360" w:lineRule="auto"/>
        <w:ind w:firstLineChars="200" w:firstLine="482"/>
        <w:jc w:val="both"/>
        <w:outlineLvl w:val="3"/>
        <w:rPr>
          <w:b/>
          <w:bCs/>
          <w:sz w:val="24"/>
          <w:szCs w:val="28"/>
          <w:lang w:val="zh-CN"/>
        </w:rPr>
      </w:pPr>
      <w:r>
        <w:rPr>
          <w:b/>
          <w:bCs/>
          <w:sz w:val="24"/>
          <w:szCs w:val="28"/>
          <w:lang w:val="zh-CN"/>
        </w:rPr>
        <w:t>1</w:t>
      </w:r>
      <w:r>
        <w:rPr>
          <w:b/>
          <w:bCs/>
          <w:sz w:val="24"/>
          <w:szCs w:val="28"/>
          <w:lang w:val="zh-CN"/>
        </w:rPr>
        <w:t>、房屋所有权</w:t>
      </w:r>
    </w:p>
    <w:p w14:paraId="51E01278" w14:textId="77777777" w:rsidR="004B0883" w:rsidRDefault="004B0883">
      <w:pPr>
        <w:widowControl w:val="0"/>
        <w:spacing w:beforeLines="50" w:before="120" w:after="120" w:line="360" w:lineRule="auto"/>
        <w:ind w:firstLineChars="200" w:firstLine="480"/>
        <w:jc w:val="both"/>
        <w:rPr>
          <w:sz w:val="24"/>
          <w:szCs w:val="22"/>
          <w:lang w:val="zh-CN"/>
        </w:rPr>
      </w:pPr>
      <w:r>
        <w:rPr>
          <w:sz w:val="24"/>
          <w:szCs w:val="22"/>
        </w:rPr>
        <w:t>截至</w:t>
      </w:r>
      <w:r>
        <w:rPr>
          <w:sz w:val="24"/>
          <w:szCs w:val="22"/>
        </w:rPr>
        <w:t>2023</w:t>
      </w:r>
      <w:r>
        <w:rPr>
          <w:sz w:val="24"/>
          <w:szCs w:val="22"/>
        </w:rPr>
        <w:t>年</w:t>
      </w:r>
      <w:r>
        <w:rPr>
          <w:rFonts w:hint="eastAsia"/>
          <w:sz w:val="24"/>
          <w:szCs w:val="22"/>
        </w:rPr>
        <w:t>9</w:t>
      </w:r>
      <w:r>
        <w:rPr>
          <w:sz w:val="24"/>
          <w:szCs w:val="22"/>
        </w:rPr>
        <w:t>月</w:t>
      </w:r>
      <w:r>
        <w:rPr>
          <w:sz w:val="24"/>
          <w:szCs w:val="22"/>
        </w:rPr>
        <w:t>3</w:t>
      </w:r>
      <w:r>
        <w:rPr>
          <w:rFonts w:hint="eastAsia"/>
          <w:sz w:val="24"/>
          <w:szCs w:val="22"/>
        </w:rPr>
        <w:t>0</w:t>
      </w:r>
      <w:r>
        <w:rPr>
          <w:sz w:val="24"/>
          <w:szCs w:val="22"/>
        </w:rPr>
        <w:t>日</w:t>
      </w:r>
      <w:r>
        <w:rPr>
          <w:sz w:val="24"/>
          <w:szCs w:val="22"/>
          <w:lang w:val="zh-CN"/>
        </w:rPr>
        <w:t>，公司及控股子公司拥有的房屋所有权情况如下：</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66"/>
        <w:gridCol w:w="642"/>
        <w:gridCol w:w="1519"/>
        <w:gridCol w:w="964"/>
        <w:gridCol w:w="2201"/>
        <w:gridCol w:w="1232"/>
        <w:gridCol w:w="1156"/>
      </w:tblGrid>
      <w:tr w:rsidR="004B0883" w14:paraId="47AC76D2" w14:textId="77777777">
        <w:trPr>
          <w:trHeight w:val="397"/>
          <w:tblHeader/>
          <w:jc w:val="center"/>
        </w:trPr>
        <w:tc>
          <w:tcPr>
            <w:tcW w:w="578" w:type="dxa"/>
            <w:shd w:val="clear" w:color="auto" w:fill="D9D9D9"/>
            <w:vAlign w:val="center"/>
          </w:tcPr>
          <w:p w14:paraId="1C316402" w14:textId="77777777" w:rsidR="004B0883" w:rsidRDefault="004B0883">
            <w:pPr>
              <w:widowControl w:val="0"/>
              <w:adjustRightInd w:val="0"/>
              <w:snapToGrid w:val="0"/>
              <w:jc w:val="center"/>
              <w:rPr>
                <w:b/>
                <w:color w:val="000000"/>
                <w:sz w:val="18"/>
                <w:szCs w:val="18"/>
              </w:rPr>
            </w:pPr>
            <w:bookmarkStart w:id="275" w:name="_Hlk136116128"/>
            <w:r>
              <w:rPr>
                <w:b/>
                <w:color w:val="000000"/>
                <w:sz w:val="18"/>
                <w:szCs w:val="18"/>
              </w:rPr>
              <w:t>序号</w:t>
            </w:r>
          </w:p>
        </w:tc>
        <w:tc>
          <w:tcPr>
            <w:tcW w:w="657" w:type="dxa"/>
            <w:shd w:val="clear" w:color="auto" w:fill="D9D9D9"/>
            <w:vAlign w:val="center"/>
          </w:tcPr>
          <w:p w14:paraId="2DD64F1C" w14:textId="77777777" w:rsidR="004B0883" w:rsidRDefault="004B0883">
            <w:pPr>
              <w:widowControl w:val="0"/>
              <w:adjustRightInd w:val="0"/>
              <w:snapToGrid w:val="0"/>
              <w:jc w:val="center"/>
              <w:rPr>
                <w:b/>
                <w:color w:val="000000"/>
                <w:sz w:val="18"/>
                <w:szCs w:val="18"/>
              </w:rPr>
            </w:pPr>
            <w:r>
              <w:rPr>
                <w:rFonts w:cs="宋体" w:hint="eastAsia"/>
                <w:b/>
                <w:kern w:val="0"/>
                <w:sz w:val="18"/>
                <w:szCs w:val="18"/>
              </w:rPr>
              <w:t>权属</w:t>
            </w:r>
          </w:p>
        </w:tc>
        <w:tc>
          <w:tcPr>
            <w:tcW w:w="1567" w:type="dxa"/>
            <w:shd w:val="clear" w:color="auto" w:fill="D9D9D9"/>
            <w:vAlign w:val="center"/>
          </w:tcPr>
          <w:p w14:paraId="11A5A95C" w14:textId="77777777" w:rsidR="004B0883" w:rsidRDefault="004B0883">
            <w:pPr>
              <w:widowControl w:val="0"/>
              <w:adjustRightInd w:val="0"/>
              <w:snapToGrid w:val="0"/>
              <w:jc w:val="center"/>
              <w:rPr>
                <w:b/>
                <w:color w:val="000000"/>
                <w:sz w:val="18"/>
                <w:szCs w:val="18"/>
              </w:rPr>
            </w:pPr>
            <w:r>
              <w:rPr>
                <w:rFonts w:cs="宋体" w:hint="eastAsia"/>
                <w:b/>
                <w:kern w:val="0"/>
                <w:sz w:val="18"/>
                <w:szCs w:val="18"/>
              </w:rPr>
              <w:t>证号</w:t>
            </w:r>
          </w:p>
        </w:tc>
        <w:tc>
          <w:tcPr>
            <w:tcW w:w="991" w:type="dxa"/>
            <w:shd w:val="clear" w:color="auto" w:fill="D9D9D9"/>
            <w:vAlign w:val="center"/>
          </w:tcPr>
          <w:p w14:paraId="1B5EED24" w14:textId="77777777" w:rsidR="004B0883" w:rsidRDefault="004B0883">
            <w:pPr>
              <w:widowControl w:val="0"/>
              <w:jc w:val="center"/>
              <w:rPr>
                <w:rFonts w:cs="宋体"/>
                <w:b/>
                <w:kern w:val="0"/>
                <w:sz w:val="18"/>
                <w:szCs w:val="18"/>
              </w:rPr>
            </w:pPr>
            <w:r>
              <w:rPr>
                <w:rFonts w:cs="宋体" w:hint="eastAsia"/>
                <w:b/>
                <w:kern w:val="0"/>
                <w:sz w:val="18"/>
                <w:szCs w:val="18"/>
              </w:rPr>
              <w:t>建筑面积</w:t>
            </w:r>
            <w:r>
              <w:rPr>
                <w:rFonts w:cs="宋体" w:hint="eastAsia"/>
                <w:b/>
                <w:kern w:val="0"/>
                <w:sz w:val="18"/>
                <w:szCs w:val="18"/>
              </w:rPr>
              <w:t>(</w:t>
            </w:r>
            <w:r>
              <w:rPr>
                <w:rFonts w:cs="宋体" w:hint="eastAsia"/>
                <w:b/>
                <w:kern w:val="0"/>
                <w:sz w:val="18"/>
                <w:szCs w:val="18"/>
              </w:rPr>
              <w:t>平方米</w:t>
            </w:r>
            <w:r>
              <w:rPr>
                <w:rFonts w:cs="宋体" w:hint="eastAsia"/>
                <w:b/>
                <w:kern w:val="0"/>
                <w:sz w:val="18"/>
                <w:szCs w:val="18"/>
              </w:rPr>
              <w:t>)</w:t>
            </w:r>
          </w:p>
        </w:tc>
        <w:tc>
          <w:tcPr>
            <w:tcW w:w="2274" w:type="dxa"/>
            <w:shd w:val="clear" w:color="auto" w:fill="D9D9D9"/>
            <w:vAlign w:val="center"/>
          </w:tcPr>
          <w:p w14:paraId="23BC32D4" w14:textId="77777777" w:rsidR="004B0883" w:rsidRDefault="004B0883">
            <w:pPr>
              <w:widowControl w:val="0"/>
              <w:adjustRightInd w:val="0"/>
              <w:snapToGrid w:val="0"/>
              <w:jc w:val="center"/>
              <w:rPr>
                <w:b/>
                <w:color w:val="000000"/>
                <w:sz w:val="18"/>
                <w:szCs w:val="18"/>
              </w:rPr>
            </w:pPr>
            <w:r>
              <w:rPr>
                <w:rFonts w:cs="宋体" w:hint="eastAsia"/>
                <w:b/>
                <w:kern w:val="0"/>
                <w:sz w:val="18"/>
                <w:szCs w:val="18"/>
              </w:rPr>
              <w:t>房屋坐落</w:t>
            </w:r>
          </w:p>
        </w:tc>
        <w:tc>
          <w:tcPr>
            <w:tcW w:w="1269" w:type="dxa"/>
            <w:shd w:val="clear" w:color="auto" w:fill="D9D9D9"/>
            <w:vAlign w:val="center"/>
          </w:tcPr>
          <w:p w14:paraId="05F6C410" w14:textId="77777777" w:rsidR="004B0883" w:rsidRDefault="004B0883">
            <w:pPr>
              <w:widowControl w:val="0"/>
              <w:jc w:val="center"/>
              <w:rPr>
                <w:rFonts w:cs="宋体"/>
                <w:b/>
                <w:kern w:val="0"/>
                <w:sz w:val="18"/>
                <w:szCs w:val="18"/>
              </w:rPr>
            </w:pPr>
            <w:r>
              <w:rPr>
                <w:rFonts w:cs="宋体" w:hint="eastAsia"/>
                <w:b/>
                <w:kern w:val="0"/>
                <w:sz w:val="18"/>
                <w:szCs w:val="18"/>
              </w:rPr>
              <w:t>规划用途</w:t>
            </w:r>
          </w:p>
        </w:tc>
        <w:tc>
          <w:tcPr>
            <w:tcW w:w="1190" w:type="dxa"/>
            <w:shd w:val="clear" w:color="auto" w:fill="D9D9D9"/>
            <w:vAlign w:val="center"/>
          </w:tcPr>
          <w:p w14:paraId="66CC5381" w14:textId="77777777" w:rsidR="004B0883" w:rsidRDefault="004B0883">
            <w:pPr>
              <w:widowControl w:val="0"/>
              <w:jc w:val="center"/>
              <w:rPr>
                <w:rFonts w:cs="宋体"/>
                <w:b/>
                <w:kern w:val="0"/>
                <w:sz w:val="18"/>
                <w:szCs w:val="18"/>
              </w:rPr>
            </w:pPr>
            <w:r>
              <w:rPr>
                <w:rFonts w:cs="宋体" w:hint="eastAsia"/>
                <w:b/>
                <w:kern w:val="0"/>
                <w:sz w:val="18"/>
                <w:szCs w:val="18"/>
              </w:rPr>
              <w:t>所有权截止时间</w:t>
            </w:r>
          </w:p>
        </w:tc>
      </w:tr>
      <w:tr w:rsidR="004B0883" w14:paraId="736217B2" w14:textId="77777777">
        <w:trPr>
          <w:trHeight w:val="397"/>
          <w:jc w:val="center"/>
        </w:trPr>
        <w:tc>
          <w:tcPr>
            <w:tcW w:w="578" w:type="dxa"/>
            <w:vAlign w:val="center"/>
          </w:tcPr>
          <w:p w14:paraId="3E5732E7" w14:textId="77777777" w:rsidR="004B0883" w:rsidRDefault="004B0883">
            <w:pPr>
              <w:widowControl w:val="0"/>
              <w:adjustRightInd w:val="0"/>
              <w:snapToGrid w:val="0"/>
              <w:jc w:val="center"/>
              <w:rPr>
                <w:sz w:val="18"/>
                <w:szCs w:val="18"/>
              </w:rPr>
            </w:pPr>
            <w:r>
              <w:rPr>
                <w:rFonts w:hint="eastAsia"/>
                <w:sz w:val="18"/>
                <w:szCs w:val="18"/>
              </w:rPr>
              <w:t>1</w:t>
            </w:r>
          </w:p>
        </w:tc>
        <w:tc>
          <w:tcPr>
            <w:tcW w:w="657" w:type="dxa"/>
            <w:vAlign w:val="center"/>
          </w:tcPr>
          <w:p w14:paraId="32488EE0" w14:textId="77777777" w:rsidR="004B0883" w:rsidRDefault="004B0883">
            <w:pPr>
              <w:widowControl w:val="0"/>
              <w:jc w:val="center"/>
              <w:rPr>
                <w:rFonts w:cs="宋体"/>
                <w:kern w:val="0"/>
                <w:sz w:val="18"/>
                <w:szCs w:val="18"/>
              </w:rPr>
            </w:pPr>
            <w:r>
              <w:rPr>
                <w:rFonts w:cs="宋体" w:hint="eastAsia"/>
                <w:kern w:val="0"/>
                <w:sz w:val="18"/>
                <w:szCs w:val="18"/>
              </w:rPr>
              <w:t>莱州</w:t>
            </w:r>
          </w:p>
          <w:p w14:paraId="249E01BE" w14:textId="77777777" w:rsidR="004B0883" w:rsidRDefault="004B0883">
            <w:pPr>
              <w:widowControl w:val="0"/>
              <w:adjustRightInd w:val="0"/>
              <w:snapToGrid w:val="0"/>
              <w:jc w:val="center"/>
              <w:rPr>
                <w:color w:val="000000"/>
                <w:sz w:val="18"/>
                <w:szCs w:val="18"/>
              </w:rPr>
            </w:pPr>
            <w:r>
              <w:rPr>
                <w:rFonts w:cs="宋体" w:hint="eastAsia"/>
                <w:kern w:val="0"/>
                <w:sz w:val="18"/>
                <w:szCs w:val="18"/>
              </w:rPr>
              <w:t>伟隆</w:t>
            </w:r>
          </w:p>
        </w:tc>
        <w:tc>
          <w:tcPr>
            <w:tcW w:w="1567" w:type="dxa"/>
            <w:vAlign w:val="center"/>
          </w:tcPr>
          <w:p w14:paraId="5CB58BBF" w14:textId="77777777" w:rsidR="004B0883" w:rsidRDefault="004B0883">
            <w:pPr>
              <w:jc w:val="both"/>
              <w:rPr>
                <w:rFonts w:cs="宋体" w:hint="eastAsia"/>
                <w:kern w:val="0"/>
                <w:sz w:val="18"/>
                <w:szCs w:val="18"/>
              </w:rPr>
            </w:pPr>
            <w:r>
              <w:rPr>
                <w:rFonts w:cs="宋体" w:hint="eastAsia"/>
                <w:kern w:val="0"/>
                <w:sz w:val="18"/>
                <w:szCs w:val="18"/>
              </w:rPr>
              <w:t>莱房权证沙河镇字第</w:t>
            </w:r>
            <w:r>
              <w:rPr>
                <w:rFonts w:cs="宋体" w:hint="eastAsia"/>
                <w:kern w:val="0"/>
                <w:sz w:val="18"/>
                <w:szCs w:val="18"/>
              </w:rPr>
              <w:t>068624</w:t>
            </w:r>
            <w:r>
              <w:rPr>
                <w:rFonts w:cs="宋体" w:hint="eastAsia"/>
                <w:kern w:val="0"/>
                <w:sz w:val="18"/>
                <w:szCs w:val="18"/>
              </w:rPr>
              <w:t>号</w:t>
            </w:r>
          </w:p>
        </w:tc>
        <w:tc>
          <w:tcPr>
            <w:tcW w:w="991" w:type="dxa"/>
            <w:vAlign w:val="center"/>
          </w:tcPr>
          <w:p w14:paraId="3BBF014B" w14:textId="77777777" w:rsidR="004B0883" w:rsidRDefault="004B0883">
            <w:pPr>
              <w:widowControl w:val="0"/>
              <w:adjustRightInd w:val="0"/>
              <w:snapToGrid w:val="0"/>
              <w:jc w:val="right"/>
              <w:rPr>
                <w:sz w:val="18"/>
                <w:szCs w:val="18"/>
              </w:rPr>
            </w:pPr>
            <w:r>
              <w:rPr>
                <w:rFonts w:cs="宋体"/>
                <w:kern w:val="0"/>
                <w:sz w:val="18"/>
                <w:szCs w:val="18"/>
              </w:rPr>
              <w:t>3,033</w:t>
            </w:r>
            <w:r>
              <w:rPr>
                <w:rFonts w:cs="宋体" w:hint="eastAsia"/>
                <w:kern w:val="0"/>
                <w:sz w:val="18"/>
                <w:szCs w:val="18"/>
              </w:rPr>
              <w:t>.</w:t>
            </w:r>
            <w:r>
              <w:rPr>
                <w:rFonts w:cs="宋体"/>
                <w:kern w:val="0"/>
                <w:sz w:val="18"/>
                <w:szCs w:val="18"/>
              </w:rPr>
              <w:t>48</w:t>
            </w:r>
          </w:p>
        </w:tc>
        <w:tc>
          <w:tcPr>
            <w:tcW w:w="2274" w:type="dxa"/>
            <w:vAlign w:val="center"/>
          </w:tcPr>
          <w:p w14:paraId="29A16B18" w14:textId="77777777" w:rsidR="004B0883" w:rsidRDefault="004B0883">
            <w:pPr>
              <w:widowControl w:val="0"/>
              <w:adjustRightInd w:val="0"/>
              <w:snapToGrid w:val="0"/>
              <w:jc w:val="both"/>
              <w:rPr>
                <w:sz w:val="18"/>
                <w:szCs w:val="18"/>
              </w:rPr>
            </w:pPr>
            <w:r>
              <w:rPr>
                <w:rFonts w:cs="宋体" w:hint="eastAsia"/>
                <w:kern w:val="0"/>
                <w:sz w:val="18"/>
                <w:szCs w:val="18"/>
              </w:rPr>
              <w:t>沙河镇海郑村（</w:t>
            </w:r>
            <w:r>
              <w:rPr>
                <w:rFonts w:cs="宋体" w:hint="eastAsia"/>
                <w:kern w:val="0"/>
                <w:sz w:val="18"/>
                <w:szCs w:val="18"/>
              </w:rPr>
              <w:t>1</w:t>
            </w:r>
            <w:r>
              <w:rPr>
                <w:rFonts w:cs="宋体"/>
                <w:kern w:val="0"/>
                <w:sz w:val="18"/>
                <w:szCs w:val="18"/>
              </w:rPr>
              <w:t>10/5/89</w:t>
            </w:r>
            <w:r>
              <w:rPr>
                <w:rFonts w:cs="宋体" w:hint="eastAsia"/>
                <w:kern w:val="0"/>
                <w:sz w:val="18"/>
                <w:szCs w:val="18"/>
              </w:rPr>
              <w:t>）</w:t>
            </w:r>
            <w:r>
              <w:rPr>
                <w:rFonts w:cs="宋体" w:hint="eastAsia"/>
                <w:kern w:val="0"/>
                <w:sz w:val="18"/>
                <w:szCs w:val="18"/>
              </w:rPr>
              <w:t>1</w:t>
            </w:r>
            <w:r>
              <w:rPr>
                <w:rFonts w:cs="宋体" w:hint="eastAsia"/>
                <w:kern w:val="0"/>
                <w:sz w:val="18"/>
                <w:szCs w:val="18"/>
              </w:rPr>
              <w:t>幢等</w:t>
            </w:r>
            <w:r>
              <w:rPr>
                <w:rFonts w:cs="宋体" w:hint="eastAsia"/>
                <w:kern w:val="0"/>
                <w:sz w:val="18"/>
                <w:szCs w:val="18"/>
              </w:rPr>
              <w:t>9</w:t>
            </w:r>
            <w:r>
              <w:rPr>
                <w:rFonts w:cs="宋体" w:hint="eastAsia"/>
                <w:kern w:val="0"/>
                <w:sz w:val="18"/>
                <w:szCs w:val="18"/>
              </w:rPr>
              <w:t>幢楼</w:t>
            </w:r>
          </w:p>
        </w:tc>
        <w:tc>
          <w:tcPr>
            <w:tcW w:w="1269" w:type="dxa"/>
            <w:vAlign w:val="center"/>
          </w:tcPr>
          <w:p w14:paraId="3096512F" w14:textId="77777777" w:rsidR="004B0883" w:rsidRDefault="004B0883">
            <w:pPr>
              <w:widowControl w:val="0"/>
              <w:adjustRightInd w:val="0"/>
              <w:snapToGrid w:val="0"/>
              <w:jc w:val="both"/>
              <w:rPr>
                <w:color w:val="000000"/>
                <w:sz w:val="18"/>
                <w:szCs w:val="18"/>
              </w:rPr>
            </w:pPr>
            <w:r>
              <w:rPr>
                <w:rFonts w:cs="宋体" w:hint="eastAsia"/>
                <w:kern w:val="0"/>
                <w:sz w:val="18"/>
                <w:szCs w:val="18"/>
              </w:rPr>
              <w:t>办公、工业、其他</w:t>
            </w:r>
          </w:p>
        </w:tc>
        <w:tc>
          <w:tcPr>
            <w:tcW w:w="1190" w:type="dxa"/>
            <w:vAlign w:val="center"/>
          </w:tcPr>
          <w:p w14:paraId="11B54D45" w14:textId="77777777" w:rsidR="004B0883" w:rsidRDefault="004B0883">
            <w:pPr>
              <w:widowControl w:val="0"/>
              <w:adjustRightInd w:val="0"/>
              <w:snapToGrid w:val="0"/>
              <w:jc w:val="right"/>
              <w:rPr>
                <w:rFonts w:hint="eastAsia"/>
                <w:sz w:val="18"/>
                <w:szCs w:val="18"/>
              </w:rPr>
            </w:pPr>
            <w:r>
              <w:rPr>
                <w:rFonts w:cs="宋体" w:hint="eastAsia"/>
                <w:kern w:val="0"/>
                <w:sz w:val="18"/>
                <w:szCs w:val="18"/>
              </w:rPr>
              <w:t>20</w:t>
            </w:r>
            <w:r>
              <w:rPr>
                <w:rFonts w:cs="宋体"/>
                <w:kern w:val="0"/>
                <w:sz w:val="18"/>
                <w:szCs w:val="18"/>
              </w:rPr>
              <w:t>51</w:t>
            </w:r>
            <w:r>
              <w:rPr>
                <w:rFonts w:cs="宋体" w:hint="eastAsia"/>
                <w:kern w:val="0"/>
                <w:sz w:val="18"/>
                <w:szCs w:val="18"/>
              </w:rPr>
              <w:t>.0</w:t>
            </w:r>
            <w:r>
              <w:rPr>
                <w:rFonts w:cs="宋体"/>
                <w:kern w:val="0"/>
                <w:sz w:val="18"/>
                <w:szCs w:val="18"/>
              </w:rPr>
              <w:t>9</w:t>
            </w:r>
            <w:r>
              <w:rPr>
                <w:rFonts w:cs="宋体" w:hint="eastAsia"/>
                <w:kern w:val="0"/>
                <w:sz w:val="18"/>
                <w:szCs w:val="18"/>
              </w:rPr>
              <w:t>.</w:t>
            </w:r>
            <w:r>
              <w:rPr>
                <w:rFonts w:cs="宋体"/>
                <w:kern w:val="0"/>
                <w:sz w:val="18"/>
                <w:szCs w:val="18"/>
              </w:rPr>
              <w:t>14</w:t>
            </w:r>
          </w:p>
        </w:tc>
      </w:tr>
      <w:tr w:rsidR="004B0883" w14:paraId="60998A3F" w14:textId="77777777">
        <w:trPr>
          <w:trHeight w:val="397"/>
          <w:jc w:val="center"/>
        </w:trPr>
        <w:tc>
          <w:tcPr>
            <w:tcW w:w="578" w:type="dxa"/>
            <w:vAlign w:val="center"/>
          </w:tcPr>
          <w:p w14:paraId="1533FA62" w14:textId="77777777" w:rsidR="004B0883" w:rsidRDefault="004B0883">
            <w:pPr>
              <w:widowControl w:val="0"/>
              <w:adjustRightInd w:val="0"/>
              <w:snapToGrid w:val="0"/>
              <w:jc w:val="center"/>
              <w:rPr>
                <w:sz w:val="18"/>
                <w:szCs w:val="18"/>
              </w:rPr>
            </w:pPr>
            <w:r>
              <w:rPr>
                <w:rFonts w:hint="eastAsia"/>
                <w:sz w:val="18"/>
                <w:szCs w:val="18"/>
              </w:rPr>
              <w:t>2</w:t>
            </w:r>
          </w:p>
        </w:tc>
        <w:tc>
          <w:tcPr>
            <w:tcW w:w="657" w:type="dxa"/>
            <w:vAlign w:val="center"/>
          </w:tcPr>
          <w:p w14:paraId="061938AD" w14:textId="77777777" w:rsidR="004B0883" w:rsidRDefault="004B0883">
            <w:pPr>
              <w:widowControl w:val="0"/>
              <w:jc w:val="center"/>
              <w:rPr>
                <w:rFonts w:cs="宋体"/>
                <w:kern w:val="0"/>
                <w:sz w:val="18"/>
                <w:szCs w:val="18"/>
              </w:rPr>
            </w:pPr>
            <w:r>
              <w:rPr>
                <w:rFonts w:cs="宋体" w:hint="eastAsia"/>
                <w:kern w:val="0"/>
                <w:sz w:val="18"/>
                <w:szCs w:val="18"/>
              </w:rPr>
              <w:t>莱州</w:t>
            </w:r>
          </w:p>
          <w:p w14:paraId="10A00BBC" w14:textId="77777777" w:rsidR="004B0883" w:rsidRDefault="004B0883">
            <w:pPr>
              <w:widowControl w:val="0"/>
              <w:adjustRightInd w:val="0"/>
              <w:snapToGrid w:val="0"/>
              <w:jc w:val="center"/>
              <w:rPr>
                <w:color w:val="000000"/>
                <w:sz w:val="18"/>
                <w:szCs w:val="18"/>
              </w:rPr>
            </w:pPr>
            <w:r>
              <w:rPr>
                <w:rFonts w:cs="宋体" w:hint="eastAsia"/>
                <w:kern w:val="0"/>
                <w:sz w:val="18"/>
                <w:szCs w:val="18"/>
              </w:rPr>
              <w:t>伟隆</w:t>
            </w:r>
          </w:p>
        </w:tc>
        <w:tc>
          <w:tcPr>
            <w:tcW w:w="1567" w:type="dxa"/>
            <w:vAlign w:val="center"/>
          </w:tcPr>
          <w:p w14:paraId="66EED854" w14:textId="77777777" w:rsidR="004B0883" w:rsidRDefault="004B0883">
            <w:pPr>
              <w:jc w:val="both"/>
              <w:rPr>
                <w:rFonts w:cs="宋体" w:hint="eastAsia"/>
                <w:kern w:val="0"/>
                <w:sz w:val="18"/>
                <w:szCs w:val="18"/>
              </w:rPr>
            </w:pPr>
            <w:r>
              <w:rPr>
                <w:rFonts w:cs="宋体" w:hint="eastAsia"/>
                <w:kern w:val="0"/>
                <w:sz w:val="18"/>
                <w:szCs w:val="18"/>
              </w:rPr>
              <w:t>莱房权证沙河镇字第</w:t>
            </w:r>
            <w:r>
              <w:rPr>
                <w:rFonts w:cs="宋体" w:hint="eastAsia"/>
                <w:kern w:val="0"/>
                <w:sz w:val="18"/>
                <w:szCs w:val="18"/>
              </w:rPr>
              <w:t>027237</w:t>
            </w:r>
            <w:r>
              <w:rPr>
                <w:rFonts w:cs="宋体" w:hint="eastAsia"/>
                <w:kern w:val="0"/>
                <w:sz w:val="18"/>
                <w:szCs w:val="18"/>
              </w:rPr>
              <w:t>号</w:t>
            </w:r>
          </w:p>
        </w:tc>
        <w:tc>
          <w:tcPr>
            <w:tcW w:w="991" w:type="dxa"/>
            <w:vAlign w:val="center"/>
          </w:tcPr>
          <w:p w14:paraId="73EDEEB9" w14:textId="77777777" w:rsidR="004B0883" w:rsidRDefault="004B0883">
            <w:pPr>
              <w:widowControl w:val="0"/>
              <w:adjustRightInd w:val="0"/>
              <w:snapToGrid w:val="0"/>
              <w:jc w:val="right"/>
              <w:rPr>
                <w:sz w:val="18"/>
                <w:szCs w:val="18"/>
              </w:rPr>
            </w:pPr>
            <w:r>
              <w:rPr>
                <w:rFonts w:cs="宋体" w:hint="eastAsia"/>
                <w:kern w:val="0"/>
                <w:sz w:val="18"/>
                <w:szCs w:val="18"/>
              </w:rPr>
              <w:t>1</w:t>
            </w:r>
            <w:r>
              <w:rPr>
                <w:rFonts w:cs="宋体"/>
                <w:kern w:val="0"/>
                <w:sz w:val="18"/>
                <w:szCs w:val="18"/>
              </w:rPr>
              <w:t>2,209</w:t>
            </w:r>
            <w:r>
              <w:rPr>
                <w:rFonts w:cs="宋体" w:hint="eastAsia"/>
                <w:kern w:val="0"/>
                <w:sz w:val="18"/>
                <w:szCs w:val="18"/>
              </w:rPr>
              <w:t>.</w:t>
            </w:r>
            <w:r>
              <w:rPr>
                <w:rFonts w:cs="宋体"/>
                <w:kern w:val="0"/>
                <w:sz w:val="18"/>
                <w:szCs w:val="18"/>
              </w:rPr>
              <w:t>40</w:t>
            </w:r>
          </w:p>
        </w:tc>
        <w:tc>
          <w:tcPr>
            <w:tcW w:w="2274" w:type="dxa"/>
            <w:vAlign w:val="center"/>
          </w:tcPr>
          <w:p w14:paraId="09EC11BE" w14:textId="77777777" w:rsidR="004B0883" w:rsidRDefault="004B0883">
            <w:pPr>
              <w:widowControl w:val="0"/>
              <w:adjustRightInd w:val="0"/>
              <w:snapToGrid w:val="0"/>
              <w:jc w:val="both"/>
              <w:rPr>
                <w:sz w:val="18"/>
                <w:szCs w:val="18"/>
              </w:rPr>
            </w:pPr>
            <w:r>
              <w:rPr>
                <w:rFonts w:cs="宋体" w:hint="eastAsia"/>
                <w:kern w:val="0"/>
                <w:sz w:val="18"/>
                <w:szCs w:val="18"/>
              </w:rPr>
              <w:t>沙河镇海郑村</w:t>
            </w:r>
            <w:r>
              <w:rPr>
                <w:rFonts w:cs="宋体" w:hint="eastAsia"/>
                <w:kern w:val="0"/>
                <w:sz w:val="18"/>
                <w:szCs w:val="18"/>
              </w:rPr>
              <w:t>1</w:t>
            </w:r>
            <w:r>
              <w:rPr>
                <w:rFonts w:cs="宋体" w:hint="eastAsia"/>
                <w:kern w:val="0"/>
                <w:sz w:val="18"/>
                <w:szCs w:val="18"/>
              </w:rPr>
              <w:t>幢</w:t>
            </w:r>
            <w:r>
              <w:rPr>
                <w:rFonts w:cs="宋体" w:hint="eastAsia"/>
                <w:kern w:val="0"/>
                <w:sz w:val="18"/>
                <w:szCs w:val="18"/>
              </w:rPr>
              <w:t>1</w:t>
            </w:r>
            <w:r>
              <w:rPr>
                <w:rFonts w:cs="宋体" w:hint="eastAsia"/>
                <w:kern w:val="0"/>
                <w:sz w:val="18"/>
                <w:szCs w:val="18"/>
              </w:rPr>
              <w:t>号房、</w:t>
            </w:r>
            <w:r>
              <w:rPr>
                <w:rFonts w:cs="宋体" w:hint="eastAsia"/>
                <w:kern w:val="0"/>
                <w:sz w:val="18"/>
                <w:szCs w:val="18"/>
              </w:rPr>
              <w:t>2</w:t>
            </w:r>
            <w:r>
              <w:rPr>
                <w:rFonts w:cs="宋体" w:hint="eastAsia"/>
                <w:kern w:val="0"/>
                <w:sz w:val="18"/>
                <w:szCs w:val="18"/>
              </w:rPr>
              <w:t>幢</w:t>
            </w:r>
            <w:r>
              <w:rPr>
                <w:rFonts w:cs="宋体" w:hint="eastAsia"/>
                <w:kern w:val="0"/>
                <w:sz w:val="18"/>
                <w:szCs w:val="18"/>
              </w:rPr>
              <w:t>1</w:t>
            </w:r>
            <w:r>
              <w:rPr>
                <w:rFonts w:cs="宋体" w:hint="eastAsia"/>
                <w:kern w:val="0"/>
                <w:sz w:val="18"/>
                <w:szCs w:val="18"/>
              </w:rPr>
              <w:t>号房</w:t>
            </w:r>
          </w:p>
        </w:tc>
        <w:tc>
          <w:tcPr>
            <w:tcW w:w="1269" w:type="dxa"/>
            <w:vAlign w:val="center"/>
          </w:tcPr>
          <w:p w14:paraId="4071541B" w14:textId="77777777" w:rsidR="004B0883" w:rsidRDefault="004B0883">
            <w:pPr>
              <w:widowControl w:val="0"/>
              <w:adjustRightInd w:val="0"/>
              <w:snapToGrid w:val="0"/>
              <w:jc w:val="both"/>
              <w:rPr>
                <w:color w:val="000000"/>
                <w:sz w:val="18"/>
                <w:szCs w:val="18"/>
              </w:rPr>
            </w:pPr>
            <w:r>
              <w:rPr>
                <w:rFonts w:cs="宋体" w:hint="eastAsia"/>
                <w:kern w:val="0"/>
                <w:sz w:val="18"/>
                <w:szCs w:val="18"/>
              </w:rPr>
              <w:t>工业</w:t>
            </w:r>
          </w:p>
        </w:tc>
        <w:tc>
          <w:tcPr>
            <w:tcW w:w="1190" w:type="dxa"/>
            <w:vAlign w:val="center"/>
          </w:tcPr>
          <w:p w14:paraId="56B45E7B" w14:textId="77777777" w:rsidR="004B0883" w:rsidRDefault="004B0883">
            <w:pPr>
              <w:widowControl w:val="0"/>
              <w:adjustRightInd w:val="0"/>
              <w:snapToGrid w:val="0"/>
              <w:jc w:val="right"/>
              <w:rPr>
                <w:rFonts w:hint="eastAsia"/>
                <w:color w:val="000000"/>
                <w:sz w:val="18"/>
                <w:szCs w:val="18"/>
              </w:rPr>
            </w:pPr>
            <w:r>
              <w:rPr>
                <w:rFonts w:cs="宋体" w:hint="eastAsia"/>
                <w:kern w:val="0"/>
                <w:sz w:val="18"/>
                <w:szCs w:val="18"/>
              </w:rPr>
              <w:t>20</w:t>
            </w:r>
            <w:r>
              <w:rPr>
                <w:rFonts w:cs="宋体"/>
                <w:kern w:val="0"/>
                <w:sz w:val="18"/>
                <w:szCs w:val="18"/>
              </w:rPr>
              <w:t>56</w:t>
            </w:r>
            <w:r>
              <w:rPr>
                <w:rFonts w:cs="宋体" w:hint="eastAsia"/>
                <w:kern w:val="0"/>
                <w:sz w:val="18"/>
                <w:szCs w:val="18"/>
              </w:rPr>
              <w:t>.</w:t>
            </w:r>
            <w:r>
              <w:rPr>
                <w:rFonts w:cs="宋体"/>
                <w:kern w:val="0"/>
                <w:sz w:val="18"/>
                <w:szCs w:val="18"/>
              </w:rPr>
              <w:t>12</w:t>
            </w:r>
            <w:r>
              <w:rPr>
                <w:rFonts w:cs="宋体" w:hint="eastAsia"/>
                <w:kern w:val="0"/>
                <w:sz w:val="18"/>
                <w:szCs w:val="18"/>
              </w:rPr>
              <w:t>.30</w:t>
            </w:r>
          </w:p>
        </w:tc>
      </w:tr>
      <w:tr w:rsidR="004B0883" w14:paraId="3EF9745D" w14:textId="77777777">
        <w:trPr>
          <w:trHeight w:val="397"/>
          <w:jc w:val="center"/>
        </w:trPr>
        <w:tc>
          <w:tcPr>
            <w:tcW w:w="578" w:type="dxa"/>
            <w:vAlign w:val="center"/>
          </w:tcPr>
          <w:p w14:paraId="7D596C7F" w14:textId="77777777" w:rsidR="004B0883" w:rsidRDefault="004B0883">
            <w:pPr>
              <w:widowControl w:val="0"/>
              <w:adjustRightInd w:val="0"/>
              <w:snapToGrid w:val="0"/>
              <w:jc w:val="center"/>
              <w:rPr>
                <w:sz w:val="18"/>
                <w:szCs w:val="18"/>
              </w:rPr>
            </w:pPr>
            <w:r>
              <w:rPr>
                <w:sz w:val="18"/>
                <w:szCs w:val="18"/>
              </w:rPr>
              <w:t>3</w:t>
            </w:r>
          </w:p>
        </w:tc>
        <w:tc>
          <w:tcPr>
            <w:tcW w:w="657" w:type="dxa"/>
            <w:vAlign w:val="center"/>
          </w:tcPr>
          <w:p w14:paraId="6AA44DA1" w14:textId="77777777" w:rsidR="004B0883" w:rsidRDefault="004B0883">
            <w:pPr>
              <w:widowControl w:val="0"/>
              <w:jc w:val="center"/>
              <w:rPr>
                <w:rFonts w:cs="宋体"/>
                <w:kern w:val="0"/>
                <w:sz w:val="18"/>
                <w:szCs w:val="18"/>
              </w:rPr>
            </w:pPr>
            <w:r>
              <w:rPr>
                <w:rFonts w:cs="宋体" w:hint="eastAsia"/>
                <w:kern w:val="0"/>
                <w:sz w:val="18"/>
                <w:szCs w:val="18"/>
              </w:rPr>
              <w:t>莱州</w:t>
            </w:r>
          </w:p>
          <w:p w14:paraId="3C42FF51" w14:textId="77777777" w:rsidR="004B0883" w:rsidRDefault="004B0883">
            <w:pPr>
              <w:widowControl w:val="0"/>
              <w:adjustRightInd w:val="0"/>
              <w:snapToGrid w:val="0"/>
              <w:jc w:val="center"/>
              <w:rPr>
                <w:color w:val="000000"/>
                <w:sz w:val="18"/>
                <w:szCs w:val="18"/>
              </w:rPr>
            </w:pPr>
            <w:r>
              <w:rPr>
                <w:rFonts w:cs="宋体" w:hint="eastAsia"/>
                <w:kern w:val="0"/>
                <w:sz w:val="18"/>
                <w:szCs w:val="18"/>
              </w:rPr>
              <w:t>伟隆</w:t>
            </w:r>
          </w:p>
        </w:tc>
        <w:tc>
          <w:tcPr>
            <w:tcW w:w="1567" w:type="dxa"/>
            <w:vAlign w:val="center"/>
          </w:tcPr>
          <w:p w14:paraId="71499A7E" w14:textId="77777777" w:rsidR="004B0883" w:rsidRDefault="004B0883">
            <w:pPr>
              <w:jc w:val="both"/>
              <w:rPr>
                <w:rFonts w:cs="宋体" w:hint="eastAsia"/>
                <w:kern w:val="0"/>
                <w:sz w:val="18"/>
                <w:szCs w:val="18"/>
              </w:rPr>
            </w:pPr>
            <w:r>
              <w:rPr>
                <w:rFonts w:cs="宋体" w:hint="eastAsia"/>
                <w:kern w:val="0"/>
                <w:sz w:val="18"/>
                <w:szCs w:val="18"/>
              </w:rPr>
              <w:t>莱房权证沙河镇字第</w:t>
            </w:r>
            <w:r>
              <w:rPr>
                <w:rFonts w:cs="宋体" w:hint="eastAsia"/>
                <w:kern w:val="0"/>
                <w:sz w:val="18"/>
                <w:szCs w:val="18"/>
              </w:rPr>
              <w:t>068626</w:t>
            </w:r>
            <w:r>
              <w:rPr>
                <w:rFonts w:cs="宋体" w:hint="eastAsia"/>
                <w:kern w:val="0"/>
                <w:sz w:val="18"/>
                <w:szCs w:val="18"/>
              </w:rPr>
              <w:t>号</w:t>
            </w:r>
          </w:p>
        </w:tc>
        <w:tc>
          <w:tcPr>
            <w:tcW w:w="991" w:type="dxa"/>
            <w:vAlign w:val="center"/>
          </w:tcPr>
          <w:p w14:paraId="2FB8CC56" w14:textId="77777777" w:rsidR="004B0883" w:rsidRDefault="004B0883">
            <w:pPr>
              <w:widowControl w:val="0"/>
              <w:adjustRightInd w:val="0"/>
              <w:snapToGrid w:val="0"/>
              <w:jc w:val="right"/>
              <w:rPr>
                <w:sz w:val="18"/>
                <w:szCs w:val="18"/>
              </w:rPr>
            </w:pPr>
            <w:r>
              <w:rPr>
                <w:rFonts w:cs="宋体"/>
                <w:kern w:val="0"/>
                <w:sz w:val="18"/>
                <w:szCs w:val="18"/>
              </w:rPr>
              <w:t>5,086.79</w:t>
            </w:r>
          </w:p>
        </w:tc>
        <w:tc>
          <w:tcPr>
            <w:tcW w:w="2274" w:type="dxa"/>
            <w:vAlign w:val="center"/>
          </w:tcPr>
          <w:p w14:paraId="5F83BCC2" w14:textId="77777777" w:rsidR="004B0883" w:rsidRDefault="004B0883">
            <w:pPr>
              <w:widowControl w:val="0"/>
              <w:adjustRightInd w:val="0"/>
              <w:snapToGrid w:val="0"/>
              <w:jc w:val="both"/>
              <w:rPr>
                <w:sz w:val="18"/>
                <w:szCs w:val="18"/>
              </w:rPr>
            </w:pPr>
            <w:r>
              <w:rPr>
                <w:rFonts w:cs="宋体" w:hint="eastAsia"/>
                <w:kern w:val="0"/>
                <w:sz w:val="18"/>
                <w:szCs w:val="18"/>
              </w:rPr>
              <w:t>沙河镇海郑村（</w:t>
            </w:r>
            <w:r>
              <w:rPr>
                <w:rFonts w:cs="宋体" w:hint="eastAsia"/>
                <w:kern w:val="0"/>
                <w:sz w:val="18"/>
                <w:szCs w:val="18"/>
              </w:rPr>
              <w:t>1</w:t>
            </w:r>
            <w:r>
              <w:rPr>
                <w:rFonts w:cs="宋体"/>
                <w:kern w:val="0"/>
                <w:sz w:val="18"/>
                <w:szCs w:val="18"/>
              </w:rPr>
              <w:t>10/4/31</w:t>
            </w:r>
            <w:r>
              <w:rPr>
                <w:rFonts w:cs="宋体" w:hint="eastAsia"/>
                <w:kern w:val="0"/>
                <w:sz w:val="18"/>
                <w:szCs w:val="18"/>
              </w:rPr>
              <w:t>）</w:t>
            </w:r>
            <w:r>
              <w:rPr>
                <w:rFonts w:cs="宋体" w:hint="eastAsia"/>
                <w:kern w:val="0"/>
                <w:sz w:val="18"/>
                <w:szCs w:val="18"/>
              </w:rPr>
              <w:t>1</w:t>
            </w:r>
            <w:r>
              <w:rPr>
                <w:rFonts w:cs="宋体" w:hint="eastAsia"/>
                <w:kern w:val="0"/>
                <w:sz w:val="18"/>
                <w:szCs w:val="18"/>
              </w:rPr>
              <w:t>幢</w:t>
            </w:r>
            <w:r>
              <w:rPr>
                <w:rFonts w:cs="宋体" w:hint="eastAsia"/>
                <w:kern w:val="0"/>
                <w:sz w:val="18"/>
                <w:szCs w:val="18"/>
              </w:rPr>
              <w:t>1</w:t>
            </w:r>
            <w:r>
              <w:rPr>
                <w:rFonts w:cs="宋体" w:hint="eastAsia"/>
                <w:kern w:val="0"/>
                <w:sz w:val="18"/>
                <w:szCs w:val="18"/>
              </w:rPr>
              <w:t>号房；</w:t>
            </w:r>
            <w:r>
              <w:rPr>
                <w:rFonts w:cs="宋体" w:hint="eastAsia"/>
                <w:kern w:val="0"/>
                <w:sz w:val="18"/>
                <w:szCs w:val="18"/>
              </w:rPr>
              <w:t>2</w:t>
            </w:r>
            <w:r>
              <w:rPr>
                <w:rFonts w:cs="宋体" w:hint="eastAsia"/>
                <w:kern w:val="0"/>
                <w:sz w:val="18"/>
                <w:szCs w:val="18"/>
              </w:rPr>
              <w:t>幢</w:t>
            </w:r>
            <w:r>
              <w:rPr>
                <w:rFonts w:cs="宋体" w:hint="eastAsia"/>
                <w:kern w:val="0"/>
                <w:sz w:val="18"/>
                <w:szCs w:val="18"/>
              </w:rPr>
              <w:t>1</w:t>
            </w:r>
            <w:r>
              <w:rPr>
                <w:rFonts w:cs="宋体" w:hint="eastAsia"/>
                <w:kern w:val="0"/>
                <w:sz w:val="18"/>
                <w:szCs w:val="18"/>
              </w:rPr>
              <w:t>号房；</w:t>
            </w:r>
            <w:r>
              <w:rPr>
                <w:rFonts w:cs="宋体" w:hint="eastAsia"/>
                <w:kern w:val="0"/>
                <w:sz w:val="18"/>
                <w:szCs w:val="18"/>
              </w:rPr>
              <w:t>3</w:t>
            </w:r>
            <w:r>
              <w:rPr>
                <w:rFonts w:cs="宋体" w:hint="eastAsia"/>
                <w:kern w:val="0"/>
                <w:sz w:val="18"/>
                <w:szCs w:val="18"/>
              </w:rPr>
              <w:t>幢</w:t>
            </w:r>
            <w:r>
              <w:rPr>
                <w:rFonts w:cs="宋体" w:hint="eastAsia"/>
                <w:kern w:val="0"/>
                <w:sz w:val="18"/>
                <w:szCs w:val="18"/>
              </w:rPr>
              <w:t>1</w:t>
            </w:r>
            <w:r>
              <w:rPr>
                <w:rFonts w:cs="宋体" w:hint="eastAsia"/>
                <w:kern w:val="0"/>
                <w:sz w:val="18"/>
                <w:szCs w:val="18"/>
              </w:rPr>
              <w:t>号房</w:t>
            </w:r>
          </w:p>
        </w:tc>
        <w:tc>
          <w:tcPr>
            <w:tcW w:w="1269" w:type="dxa"/>
            <w:vAlign w:val="center"/>
          </w:tcPr>
          <w:p w14:paraId="5BED3D2F" w14:textId="77777777" w:rsidR="004B0883" w:rsidRDefault="004B0883">
            <w:pPr>
              <w:widowControl w:val="0"/>
              <w:jc w:val="both"/>
              <w:rPr>
                <w:rFonts w:cs="宋体"/>
                <w:kern w:val="0"/>
                <w:sz w:val="18"/>
                <w:szCs w:val="18"/>
              </w:rPr>
            </w:pPr>
            <w:r>
              <w:rPr>
                <w:rFonts w:cs="宋体" w:hint="eastAsia"/>
                <w:kern w:val="0"/>
                <w:sz w:val="18"/>
                <w:szCs w:val="18"/>
              </w:rPr>
              <w:t>工业、其他</w:t>
            </w:r>
          </w:p>
        </w:tc>
        <w:tc>
          <w:tcPr>
            <w:tcW w:w="1190" w:type="dxa"/>
            <w:vAlign w:val="center"/>
          </w:tcPr>
          <w:p w14:paraId="375124B1" w14:textId="77777777" w:rsidR="004B0883" w:rsidRDefault="004B0883">
            <w:pPr>
              <w:widowControl w:val="0"/>
              <w:adjustRightInd w:val="0"/>
              <w:snapToGrid w:val="0"/>
              <w:jc w:val="right"/>
              <w:rPr>
                <w:rFonts w:hint="eastAsia"/>
                <w:color w:val="000000"/>
                <w:sz w:val="18"/>
                <w:szCs w:val="18"/>
              </w:rPr>
            </w:pPr>
            <w:r>
              <w:rPr>
                <w:rFonts w:cs="宋体" w:hint="eastAsia"/>
                <w:kern w:val="0"/>
                <w:sz w:val="18"/>
                <w:szCs w:val="18"/>
              </w:rPr>
              <w:t>20</w:t>
            </w:r>
            <w:r>
              <w:rPr>
                <w:rFonts w:cs="宋体"/>
                <w:kern w:val="0"/>
                <w:sz w:val="18"/>
                <w:szCs w:val="18"/>
              </w:rPr>
              <w:t>61</w:t>
            </w:r>
            <w:r>
              <w:rPr>
                <w:rFonts w:cs="宋体" w:hint="eastAsia"/>
                <w:kern w:val="0"/>
                <w:sz w:val="18"/>
                <w:szCs w:val="18"/>
              </w:rPr>
              <w:t>.0</w:t>
            </w:r>
            <w:r>
              <w:rPr>
                <w:rFonts w:cs="宋体"/>
                <w:kern w:val="0"/>
                <w:sz w:val="18"/>
                <w:szCs w:val="18"/>
              </w:rPr>
              <w:t>7</w:t>
            </w:r>
            <w:r>
              <w:rPr>
                <w:rFonts w:cs="宋体" w:hint="eastAsia"/>
                <w:kern w:val="0"/>
                <w:sz w:val="18"/>
                <w:szCs w:val="18"/>
              </w:rPr>
              <w:t>.</w:t>
            </w:r>
            <w:r>
              <w:rPr>
                <w:rFonts w:cs="宋体"/>
                <w:kern w:val="0"/>
                <w:sz w:val="18"/>
                <w:szCs w:val="18"/>
              </w:rPr>
              <w:t>06</w:t>
            </w:r>
          </w:p>
        </w:tc>
      </w:tr>
      <w:tr w:rsidR="004B0883" w14:paraId="3B0E940A" w14:textId="77777777">
        <w:trPr>
          <w:trHeight w:val="397"/>
          <w:jc w:val="center"/>
        </w:trPr>
        <w:tc>
          <w:tcPr>
            <w:tcW w:w="578" w:type="dxa"/>
            <w:vAlign w:val="center"/>
          </w:tcPr>
          <w:p w14:paraId="02F1FA5E" w14:textId="77777777" w:rsidR="004B0883" w:rsidRDefault="004B0883">
            <w:pPr>
              <w:widowControl w:val="0"/>
              <w:adjustRightInd w:val="0"/>
              <w:snapToGrid w:val="0"/>
              <w:jc w:val="center"/>
              <w:rPr>
                <w:sz w:val="18"/>
                <w:szCs w:val="18"/>
              </w:rPr>
            </w:pPr>
            <w:r>
              <w:rPr>
                <w:rFonts w:hint="eastAsia"/>
                <w:sz w:val="18"/>
                <w:szCs w:val="18"/>
              </w:rPr>
              <w:t>4</w:t>
            </w:r>
          </w:p>
        </w:tc>
        <w:tc>
          <w:tcPr>
            <w:tcW w:w="657" w:type="dxa"/>
            <w:vAlign w:val="center"/>
          </w:tcPr>
          <w:p w14:paraId="181E8ED0" w14:textId="77777777" w:rsidR="004B0883" w:rsidRDefault="004B0883">
            <w:pPr>
              <w:widowControl w:val="0"/>
              <w:jc w:val="center"/>
              <w:rPr>
                <w:rFonts w:cs="宋体"/>
                <w:kern w:val="0"/>
                <w:sz w:val="18"/>
                <w:szCs w:val="18"/>
              </w:rPr>
            </w:pPr>
            <w:r>
              <w:rPr>
                <w:rFonts w:cs="宋体" w:hint="eastAsia"/>
                <w:kern w:val="0"/>
                <w:sz w:val="18"/>
                <w:szCs w:val="18"/>
              </w:rPr>
              <w:t>莱州</w:t>
            </w:r>
          </w:p>
          <w:p w14:paraId="675990E9" w14:textId="77777777" w:rsidR="004B0883" w:rsidRDefault="004B0883">
            <w:pPr>
              <w:widowControl w:val="0"/>
              <w:adjustRightInd w:val="0"/>
              <w:snapToGrid w:val="0"/>
              <w:jc w:val="center"/>
              <w:rPr>
                <w:color w:val="000000"/>
                <w:sz w:val="18"/>
                <w:szCs w:val="18"/>
              </w:rPr>
            </w:pPr>
            <w:r>
              <w:rPr>
                <w:rFonts w:cs="宋体" w:hint="eastAsia"/>
                <w:kern w:val="0"/>
                <w:sz w:val="18"/>
                <w:szCs w:val="18"/>
              </w:rPr>
              <w:t>伟隆</w:t>
            </w:r>
          </w:p>
        </w:tc>
        <w:tc>
          <w:tcPr>
            <w:tcW w:w="1567" w:type="dxa"/>
            <w:vAlign w:val="center"/>
          </w:tcPr>
          <w:p w14:paraId="72193932" w14:textId="77777777" w:rsidR="004B0883" w:rsidRDefault="004B0883">
            <w:pPr>
              <w:jc w:val="both"/>
              <w:rPr>
                <w:rFonts w:cs="宋体" w:hint="eastAsia"/>
                <w:kern w:val="0"/>
                <w:sz w:val="18"/>
                <w:szCs w:val="18"/>
              </w:rPr>
            </w:pPr>
            <w:r>
              <w:rPr>
                <w:rFonts w:cs="宋体" w:hint="eastAsia"/>
                <w:kern w:val="0"/>
                <w:sz w:val="18"/>
                <w:szCs w:val="18"/>
              </w:rPr>
              <w:t>莱房权证沙河镇字第</w:t>
            </w:r>
            <w:r>
              <w:rPr>
                <w:rFonts w:cs="宋体" w:hint="eastAsia"/>
                <w:kern w:val="0"/>
                <w:sz w:val="18"/>
                <w:szCs w:val="18"/>
              </w:rPr>
              <w:t>068625</w:t>
            </w:r>
            <w:r>
              <w:rPr>
                <w:rFonts w:cs="宋体" w:hint="eastAsia"/>
                <w:kern w:val="0"/>
                <w:sz w:val="18"/>
                <w:szCs w:val="18"/>
              </w:rPr>
              <w:t>号</w:t>
            </w:r>
          </w:p>
        </w:tc>
        <w:tc>
          <w:tcPr>
            <w:tcW w:w="991" w:type="dxa"/>
            <w:vAlign w:val="center"/>
          </w:tcPr>
          <w:p w14:paraId="4CB42B59" w14:textId="77777777" w:rsidR="004B0883" w:rsidRDefault="004B0883">
            <w:pPr>
              <w:widowControl w:val="0"/>
              <w:adjustRightInd w:val="0"/>
              <w:snapToGrid w:val="0"/>
              <w:jc w:val="right"/>
              <w:rPr>
                <w:sz w:val="18"/>
                <w:szCs w:val="18"/>
              </w:rPr>
            </w:pPr>
            <w:r>
              <w:rPr>
                <w:rFonts w:cs="宋体" w:hint="eastAsia"/>
                <w:kern w:val="0"/>
                <w:sz w:val="18"/>
                <w:szCs w:val="18"/>
              </w:rPr>
              <w:t>3</w:t>
            </w:r>
            <w:r>
              <w:rPr>
                <w:rFonts w:cs="宋体"/>
                <w:kern w:val="0"/>
                <w:sz w:val="18"/>
                <w:szCs w:val="18"/>
              </w:rPr>
              <w:t>,402.76</w:t>
            </w:r>
          </w:p>
        </w:tc>
        <w:tc>
          <w:tcPr>
            <w:tcW w:w="2274" w:type="dxa"/>
            <w:vAlign w:val="center"/>
          </w:tcPr>
          <w:p w14:paraId="36EFDCA9" w14:textId="77777777" w:rsidR="004B0883" w:rsidRDefault="004B0883">
            <w:pPr>
              <w:widowControl w:val="0"/>
              <w:jc w:val="both"/>
              <w:rPr>
                <w:rFonts w:cs="宋体"/>
                <w:kern w:val="0"/>
                <w:sz w:val="18"/>
                <w:szCs w:val="18"/>
              </w:rPr>
            </w:pPr>
            <w:r>
              <w:rPr>
                <w:rFonts w:cs="宋体" w:hint="eastAsia"/>
                <w:kern w:val="0"/>
                <w:sz w:val="18"/>
                <w:szCs w:val="18"/>
              </w:rPr>
              <w:t>沙河镇海郑村（</w:t>
            </w:r>
            <w:r>
              <w:rPr>
                <w:rFonts w:cs="宋体" w:hint="eastAsia"/>
                <w:kern w:val="0"/>
                <w:sz w:val="18"/>
                <w:szCs w:val="18"/>
              </w:rPr>
              <w:t>6</w:t>
            </w:r>
            <w:r>
              <w:rPr>
                <w:rFonts w:cs="宋体"/>
                <w:kern w:val="0"/>
                <w:sz w:val="18"/>
                <w:szCs w:val="18"/>
              </w:rPr>
              <w:t>830060423004</w:t>
            </w:r>
            <w:r>
              <w:rPr>
                <w:rFonts w:cs="宋体" w:hint="eastAsia"/>
                <w:kern w:val="0"/>
                <w:sz w:val="18"/>
                <w:szCs w:val="18"/>
              </w:rPr>
              <w:t>）</w:t>
            </w:r>
          </w:p>
          <w:p w14:paraId="2AF10561" w14:textId="77777777" w:rsidR="004B0883" w:rsidRDefault="004B0883">
            <w:pPr>
              <w:widowControl w:val="0"/>
              <w:adjustRightInd w:val="0"/>
              <w:snapToGrid w:val="0"/>
              <w:jc w:val="both"/>
              <w:rPr>
                <w:sz w:val="18"/>
                <w:szCs w:val="18"/>
              </w:rPr>
            </w:pPr>
            <w:r>
              <w:rPr>
                <w:rFonts w:cs="宋体" w:hint="eastAsia"/>
                <w:kern w:val="0"/>
                <w:sz w:val="18"/>
                <w:szCs w:val="18"/>
              </w:rPr>
              <w:t>4</w:t>
            </w:r>
            <w:r>
              <w:rPr>
                <w:rFonts w:cs="宋体" w:hint="eastAsia"/>
                <w:kern w:val="0"/>
                <w:sz w:val="18"/>
                <w:szCs w:val="18"/>
              </w:rPr>
              <w:t>幢等</w:t>
            </w:r>
            <w:r>
              <w:rPr>
                <w:rFonts w:cs="宋体" w:hint="eastAsia"/>
                <w:kern w:val="0"/>
                <w:sz w:val="18"/>
                <w:szCs w:val="18"/>
              </w:rPr>
              <w:t>6</w:t>
            </w:r>
            <w:r>
              <w:rPr>
                <w:rFonts w:cs="宋体" w:hint="eastAsia"/>
                <w:kern w:val="0"/>
                <w:sz w:val="18"/>
                <w:szCs w:val="18"/>
              </w:rPr>
              <w:t>幢楼</w:t>
            </w:r>
          </w:p>
        </w:tc>
        <w:tc>
          <w:tcPr>
            <w:tcW w:w="1269" w:type="dxa"/>
            <w:vAlign w:val="center"/>
          </w:tcPr>
          <w:p w14:paraId="7B6826BD" w14:textId="77777777" w:rsidR="004B0883" w:rsidRDefault="004B0883">
            <w:pPr>
              <w:widowControl w:val="0"/>
              <w:jc w:val="both"/>
              <w:rPr>
                <w:rFonts w:cs="宋体"/>
                <w:kern w:val="0"/>
                <w:sz w:val="18"/>
                <w:szCs w:val="18"/>
              </w:rPr>
            </w:pPr>
            <w:r>
              <w:rPr>
                <w:rFonts w:cs="宋体" w:hint="eastAsia"/>
                <w:kern w:val="0"/>
                <w:sz w:val="18"/>
                <w:szCs w:val="18"/>
              </w:rPr>
              <w:t>工业、其他</w:t>
            </w:r>
          </w:p>
        </w:tc>
        <w:tc>
          <w:tcPr>
            <w:tcW w:w="1190" w:type="dxa"/>
            <w:vAlign w:val="center"/>
          </w:tcPr>
          <w:p w14:paraId="65A30BF5" w14:textId="77777777" w:rsidR="004B0883" w:rsidRDefault="004B0883">
            <w:pPr>
              <w:widowControl w:val="0"/>
              <w:adjustRightInd w:val="0"/>
              <w:snapToGrid w:val="0"/>
              <w:jc w:val="right"/>
              <w:rPr>
                <w:rFonts w:hint="eastAsia"/>
                <w:color w:val="000000"/>
                <w:sz w:val="18"/>
                <w:szCs w:val="18"/>
              </w:rPr>
            </w:pPr>
            <w:r>
              <w:rPr>
                <w:rFonts w:cs="宋体" w:hint="eastAsia"/>
                <w:kern w:val="0"/>
                <w:sz w:val="18"/>
                <w:szCs w:val="18"/>
              </w:rPr>
              <w:t>2</w:t>
            </w:r>
            <w:r>
              <w:rPr>
                <w:rFonts w:cs="宋体"/>
                <w:kern w:val="0"/>
                <w:sz w:val="18"/>
                <w:szCs w:val="18"/>
              </w:rPr>
              <w:t>061.07.06</w:t>
            </w:r>
          </w:p>
        </w:tc>
      </w:tr>
      <w:tr w:rsidR="004B0883" w14:paraId="29FF8BC5" w14:textId="77777777">
        <w:trPr>
          <w:trHeight w:val="397"/>
          <w:jc w:val="center"/>
        </w:trPr>
        <w:tc>
          <w:tcPr>
            <w:tcW w:w="578" w:type="dxa"/>
            <w:vAlign w:val="center"/>
          </w:tcPr>
          <w:p w14:paraId="39521BE6" w14:textId="77777777" w:rsidR="004B0883" w:rsidRDefault="004B0883">
            <w:pPr>
              <w:widowControl w:val="0"/>
              <w:adjustRightInd w:val="0"/>
              <w:snapToGrid w:val="0"/>
              <w:jc w:val="center"/>
              <w:rPr>
                <w:sz w:val="18"/>
                <w:szCs w:val="18"/>
              </w:rPr>
            </w:pPr>
            <w:r>
              <w:rPr>
                <w:rFonts w:hint="eastAsia"/>
                <w:sz w:val="18"/>
                <w:szCs w:val="18"/>
              </w:rPr>
              <w:t>5</w:t>
            </w:r>
          </w:p>
        </w:tc>
        <w:tc>
          <w:tcPr>
            <w:tcW w:w="657" w:type="dxa"/>
            <w:vAlign w:val="center"/>
          </w:tcPr>
          <w:p w14:paraId="1E051F59" w14:textId="77777777" w:rsidR="004B0883" w:rsidRDefault="004B0883">
            <w:pPr>
              <w:widowControl w:val="0"/>
              <w:jc w:val="center"/>
              <w:rPr>
                <w:rFonts w:cs="宋体"/>
                <w:kern w:val="0"/>
                <w:sz w:val="18"/>
                <w:szCs w:val="18"/>
              </w:rPr>
            </w:pPr>
            <w:r>
              <w:rPr>
                <w:rFonts w:cs="宋体" w:hint="eastAsia"/>
                <w:kern w:val="0"/>
                <w:sz w:val="18"/>
                <w:szCs w:val="18"/>
              </w:rPr>
              <w:t>莱州</w:t>
            </w:r>
          </w:p>
          <w:p w14:paraId="4590562C" w14:textId="77777777" w:rsidR="004B0883" w:rsidRDefault="004B0883">
            <w:pPr>
              <w:widowControl w:val="0"/>
              <w:adjustRightInd w:val="0"/>
              <w:snapToGrid w:val="0"/>
              <w:jc w:val="center"/>
              <w:rPr>
                <w:color w:val="000000"/>
                <w:sz w:val="18"/>
                <w:szCs w:val="18"/>
              </w:rPr>
            </w:pPr>
            <w:r>
              <w:rPr>
                <w:rFonts w:cs="宋体" w:hint="eastAsia"/>
                <w:kern w:val="0"/>
                <w:sz w:val="18"/>
                <w:szCs w:val="18"/>
              </w:rPr>
              <w:t>伟隆</w:t>
            </w:r>
          </w:p>
        </w:tc>
        <w:tc>
          <w:tcPr>
            <w:tcW w:w="1567" w:type="dxa"/>
            <w:vAlign w:val="center"/>
          </w:tcPr>
          <w:p w14:paraId="4D46C2B4" w14:textId="77777777" w:rsidR="004B0883" w:rsidRDefault="004B0883">
            <w:pPr>
              <w:jc w:val="both"/>
              <w:rPr>
                <w:rFonts w:cs="宋体" w:hint="eastAsia"/>
                <w:kern w:val="0"/>
                <w:sz w:val="18"/>
                <w:szCs w:val="18"/>
              </w:rPr>
            </w:pPr>
            <w:r>
              <w:rPr>
                <w:rFonts w:cs="宋体" w:hint="eastAsia"/>
                <w:kern w:val="0"/>
                <w:sz w:val="18"/>
                <w:szCs w:val="18"/>
              </w:rPr>
              <w:t>莱房权证沙河镇字第</w:t>
            </w:r>
            <w:r>
              <w:rPr>
                <w:rFonts w:cs="宋体" w:hint="eastAsia"/>
                <w:kern w:val="0"/>
                <w:sz w:val="18"/>
                <w:szCs w:val="18"/>
              </w:rPr>
              <w:t>068628</w:t>
            </w:r>
            <w:r>
              <w:rPr>
                <w:rFonts w:cs="宋体" w:hint="eastAsia"/>
                <w:kern w:val="0"/>
                <w:sz w:val="18"/>
                <w:szCs w:val="18"/>
              </w:rPr>
              <w:t>号</w:t>
            </w:r>
          </w:p>
        </w:tc>
        <w:tc>
          <w:tcPr>
            <w:tcW w:w="991" w:type="dxa"/>
            <w:vAlign w:val="center"/>
          </w:tcPr>
          <w:p w14:paraId="2EA862BC" w14:textId="77777777" w:rsidR="004B0883" w:rsidRDefault="004B0883">
            <w:pPr>
              <w:widowControl w:val="0"/>
              <w:adjustRightInd w:val="0"/>
              <w:snapToGrid w:val="0"/>
              <w:jc w:val="right"/>
              <w:rPr>
                <w:sz w:val="18"/>
                <w:szCs w:val="18"/>
              </w:rPr>
            </w:pPr>
            <w:r>
              <w:rPr>
                <w:rFonts w:cs="宋体"/>
                <w:kern w:val="0"/>
                <w:sz w:val="18"/>
                <w:szCs w:val="18"/>
              </w:rPr>
              <w:t>9,776.15</w:t>
            </w:r>
          </w:p>
        </w:tc>
        <w:tc>
          <w:tcPr>
            <w:tcW w:w="2274" w:type="dxa"/>
            <w:vAlign w:val="center"/>
          </w:tcPr>
          <w:p w14:paraId="0CE09CFE" w14:textId="77777777" w:rsidR="004B0883" w:rsidRDefault="004B0883">
            <w:pPr>
              <w:widowControl w:val="0"/>
              <w:adjustRightInd w:val="0"/>
              <w:snapToGrid w:val="0"/>
              <w:jc w:val="both"/>
              <w:rPr>
                <w:sz w:val="18"/>
                <w:szCs w:val="18"/>
              </w:rPr>
            </w:pPr>
            <w:r>
              <w:rPr>
                <w:rFonts w:cs="宋体" w:hint="eastAsia"/>
                <w:kern w:val="0"/>
                <w:sz w:val="18"/>
                <w:szCs w:val="18"/>
              </w:rPr>
              <w:t>沙河镇海郑村（</w:t>
            </w:r>
            <w:r>
              <w:rPr>
                <w:rFonts w:cs="宋体" w:hint="eastAsia"/>
                <w:kern w:val="0"/>
                <w:sz w:val="18"/>
                <w:szCs w:val="18"/>
              </w:rPr>
              <w:t>1</w:t>
            </w:r>
            <w:r>
              <w:rPr>
                <w:rFonts w:cs="宋体"/>
                <w:kern w:val="0"/>
                <w:sz w:val="18"/>
                <w:szCs w:val="18"/>
              </w:rPr>
              <w:t>10/4/58</w:t>
            </w:r>
            <w:r>
              <w:rPr>
                <w:rFonts w:cs="宋体" w:hint="eastAsia"/>
                <w:kern w:val="0"/>
                <w:sz w:val="18"/>
                <w:szCs w:val="18"/>
              </w:rPr>
              <w:t>）</w:t>
            </w:r>
            <w:r>
              <w:rPr>
                <w:rFonts w:cs="宋体" w:hint="eastAsia"/>
                <w:kern w:val="0"/>
                <w:sz w:val="18"/>
                <w:szCs w:val="18"/>
              </w:rPr>
              <w:t>1</w:t>
            </w:r>
            <w:r>
              <w:rPr>
                <w:rFonts w:cs="宋体" w:hint="eastAsia"/>
                <w:kern w:val="0"/>
                <w:sz w:val="18"/>
                <w:szCs w:val="18"/>
              </w:rPr>
              <w:t>幢</w:t>
            </w:r>
            <w:r>
              <w:rPr>
                <w:rFonts w:cs="宋体" w:hint="eastAsia"/>
                <w:kern w:val="0"/>
                <w:sz w:val="18"/>
                <w:szCs w:val="18"/>
              </w:rPr>
              <w:t>1</w:t>
            </w:r>
            <w:r>
              <w:rPr>
                <w:rFonts w:cs="宋体" w:hint="eastAsia"/>
                <w:kern w:val="0"/>
                <w:sz w:val="18"/>
                <w:szCs w:val="18"/>
              </w:rPr>
              <w:t>号房；</w:t>
            </w:r>
            <w:r>
              <w:rPr>
                <w:rFonts w:cs="宋体" w:hint="eastAsia"/>
                <w:kern w:val="0"/>
                <w:sz w:val="18"/>
                <w:szCs w:val="18"/>
              </w:rPr>
              <w:t>2</w:t>
            </w:r>
            <w:r>
              <w:rPr>
                <w:rFonts w:cs="宋体" w:hint="eastAsia"/>
                <w:kern w:val="0"/>
                <w:sz w:val="18"/>
                <w:szCs w:val="18"/>
              </w:rPr>
              <w:t>幢</w:t>
            </w:r>
            <w:r>
              <w:rPr>
                <w:rFonts w:cs="宋体" w:hint="eastAsia"/>
                <w:kern w:val="0"/>
                <w:sz w:val="18"/>
                <w:szCs w:val="18"/>
              </w:rPr>
              <w:t>1</w:t>
            </w:r>
            <w:r>
              <w:rPr>
                <w:rFonts w:cs="宋体" w:hint="eastAsia"/>
                <w:kern w:val="0"/>
                <w:sz w:val="18"/>
                <w:szCs w:val="18"/>
              </w:rPr>
              <w:t>号房；</w:t>
            </w:r>
            <w:r>
              <w:rPr>
                <w:rFonts w:cs="宋体" w:hint="eastAsia"/>
                <w:kern w:val="0"/>
                <w:sz w:val="18"/>
                <w:szCs w:val="18"/>
              </w:rPr>
              <w:t>3</w:t>
            </w:r>
            <w:r>
              <w:rPr>
                <w:rFonts w:cs="宋体" w:hint="eastAsia"/>
                <w:kern w:val="0"/>
                <w:sz w:val="18"/>
                <w:szCs w:val="18"/>
              </w:rPr>
              <w:t>幢</w:t>
            </w:r>
            <w:r>
              <w:rPr>
                <w:rFonts w:cs="宋体" w:hint="eastAsia"/>
                <w:kern w:val="0"/>
                <w:sz w:val="18"/>
                <w:szCs w:val="18"/>
              </w:rPr>
              <w:t>1</w:t>
            </w:r>
            <w:r>
              <w:rPr>
                <w:rFonts w:cs="宋体" w:hint="eastAsia"/>
                <w:kern w:val="0"/>
                <w:sz w:val="18"/>
                <w:szCs w:val="18"/>
              </w:rPr>
              <w:t>号房</w:t>
            </w:r>
          </w:p>
        </w:tc>
        <w:tc>
          <w:tcPr>
            <w:tcW w:w="1269" w:type="dxa"/>
            <w:vAlign w:val="center"/>
          </w:tcPr>
          <w:p w14:paraId="1FF375D2" w14:textId="77777777" w:rsidR="004B0883" w:rsidRDefault="004B0883">
            <w:pPr>
              <w:widowControl w:val="0"/>
              <w:jc w:val="both"/>
              <w:rPr>
                <w:rFonts w:cs="宋体"/>
                <w:kern w:val="0"/>
                <w:sz w:val="18"/>
                <w:szCs w:val="18"/>
              </w:rPr>
            </w:pPr>
            <w:r>
              <w:rPr>
                <w:rFonts w:cs="宋体" w:hint="eastAsia"/>
                <w:kern w:val="0"/>
                <w:sz w:val="18"/>
                <w:szCs w:val="18"/>
              </w:rPr>
              <w:t>办公、工业</w:t>
            </w:r>
          </w:p>
        </w:tc>
        <w:tc>
          <w:tcPr>
            <w:tcW w:w="1190" w:type="dxa"/>
            <w:vAlign w:val="center"/>
          </w:tcPr>
          <w:p w14:paraId="59FBBFF2" w14:textId="77777777" w:rsidR="004B0883" w:rsidRDefault="004B0883">
            <w:pPr>
              <w:widowControl w:val="0"/>
              <w:adjustRightInd w:val="0"/>
              <w:snapToGrid w:val="0"/>
              <w:jc w:val="right"/>
              <w:rPr>
                <w:rFonts w:hint="eastAsia"/>
                <w:color w:val="000000"/>
                <w:sz w:val="18"/>
                <w:szCs w:val="18"/>
              </w:rPr>
            </w:pPr>
            <w:r>
              <w:rPr>
                <w:rFonts w:cs="宋体" w:hint="eastAsia"/>
                <w:kern w:val="0"/>
                <w:sz w:val="18"/>
                <w:szCs w:val="18"/>
              </w:rPr>
              <w:t>2</w:t>
            </w:r>
            <w:r>
              <w:rPr>
                <w:rFonts w:cs="宋体"/>
                <w:kern w:val="0"/>
                <w:sz w:val="18"/>
                <w:szCs w:val="18"/>
              </w:rPr>
              <w:t>061.07.06</w:t>
            </w:r>
          </w:p>
        </w:tc>
      </w:tr>
      <w:tr w:rsidR="004B0883" w14:paraId="0D9434CE" w14:textId="77777777">
        <w:trPr>
          <w:trHeight w:val="397"/>
          <w:jc w:val="center"/>
        </w:trPr>
        <w:tc>
          <w:tcPr>
            <w:tcW w:w="578" w:type="dxa"/>
            <w:vAlign w:val="center"/>
          </w:tcPr>
          <w:p w14:paraId="4BA1CAC6" w14:textId="77777777" w:rsidR="004B0883" w:rsidRDefault="004B0883">
            <w:pPr>
              <w:widowControl w:val="0"/>
              <w:adjustRightInd w:val="0"/>
              <w:snapToGrid w:val="0"/>
              <w:jc w:val="center"/>
              <w:rPr>
                <w:sz w:val="18"/>
                <w:szCs w:val="18"/>
              </w:rPr>
            </w:pPr>
            <w:r>
              <w:rPr>
                <w:rFonts w:hint="eastAsia"/>
                <w:sz w:val="18"/>
                <w:szCs w:val="18"/>
              </w:rPr>
              <w:t>6</w:t>
            </w:r>
          </w:p>
        </w:tc>
        <w:tc>
          <w:tcPr>
            <w:tcW w:w="657" w:type="dxa"/>
            <w:vAlign w:val="center"/>
          </w:tcPr>
          <w:p w14:paraId="18ECEF57" w14:textId="77777777" w:rsidR="004B0883" w:rsidRDefault="004B0883">
            <w:pPr>
              <w:widowControl w:val="0"/>
              <w:jc w:val="center"/>
              <w:rPr>
                <w:rFonts w:cs="宋体"/>
                <w:kern w:val="0"/>
                <w:sz w:val="18"/>
                <w:szCs w:val="18"/>
              </w:rPr>
            </w:pPr>
            <w:r>
              <w:rPr>
                <w:rFonts w:cs="宋体" w:hint="eastAsia"/>
                <w:kern w:val="0"/>
                <w:sz w:val="18"/>
                <w:szCs w:val="18"/>
              </w:rPr>
              <w:t>莱州</w:t>
            </w:r>
          </w:p>
          <w:p w14:paraId="54A6952D" w14:textId="77777777" w:rsidR="004B0883" w:rsidRDefault="004B0883">
            <w:pPr>
              <w:widowControl w:val="0"/>
              <w:adjustRightInd w:val="0"/>
              <w:snapToGrid w:val="0"/>
              <w:jc w:val="center"/>
              <w:rPr>
                <w:color w:val="000000"/>
                <w:sz w:val="18"/>
                <w:szCs w:val="18"/>
              </w:rPr>
            </w:pPr>
            <w:r>
              <w:rPr>
                <w:rFonts w:cs="宋体" w:hint="eastAsia"/>
                <w:kern w:val="0"/>
                <w:sz w:val="18"/>
                <w:szCs w:val="18"/>
              </w:rPr>
              <w:t>伟隆</w:t>
            </w:r>
          </w:p>
        </w:tc>
        <w:tc>
          <w:tcPr>
            <w:tcW w:w="1567" w:type="dxa"/>
            <w:vAlign w:val="center"/>
          </w:tcPr>
          <w:p w14:paraId="15B5BE82" w14:textId="77777777" w:rsidR="004B0883" w:rsidRDefault="004B0883">
            <w:pPr>
              <w:jc w:val="both"/>
              <w:rPr>
                <w:rFonts w:cs="宋体" w:hint="eastAsia"/>
                <w:kern w:val="0"/>
                <w:sz w:val="18"/>
                <w:szCs w:val="18"/>
              </w:rPr>
            </w:pPr>
            <w:r>
              <w:rPr>
                <w:rFonts w:cs="宋体" w:hint="eastAsia"/>
                <w:kern w:val="0"/>
                <w:sz w:val="18"/>
                <w:szCs w:val="18"/>
              </w:rPr>
              <w:t>莱房权证沙河镇字第</w:t>
            </w:r>
            <w:r>
              <w:rPr>
                <w:rFonts w:cs="宋体" w:hint="eastAsia"/>
                <w:kern w:val="0"/>
                <w:sz w:val="18"/>
                <w:szCs w:val="18"/>
              </w:rPr>
              <w:t>068629</w:t>
            </w:r>
            <w:r>
              <w:rPr>
                <w:rFonts w:cs="宋体" w:hint="eastAsia"/>
                <w:kern w:val="0"/>
                <w:sz w:val="18"/>
                <w:szCs w:val="18"/>
              </w:rPr>
              <w:t>号</w:t>
            </w:r>
          </w:p>
        </w:tc>
        <w:tc>
          <w:tcPr>
            <w:tcW w:w="991" w:type="dxa"/>
            <w:vAlign w:val="center"/>
          </w:tcPr>
          <w:p w14:paraId="785A4EED" w14:textId="77777777" w:rsidR="004B0883" w:rsidRDefault="004B0883">
            <w:pPr>
              <w:widowControl w:val="0"/>
              <w:adjustRightInd w:val="0"/>
              <w:snapToGrid w:val="0"/>
              <w:jc w:val="right"/>
              <w:rPr>
                <w:sz w:val="18"/>
                <w:szCs w:val="18"/>
              </w:rPr>
            </w:pPr>
            <w:r>
              <w:rPr>
                <w:rFonts w:cs="宋体"/>
                <w:kern w:val="0"/>
                <w:sz w:val="18"/>
                <w:szCs w:val="18"/>
              </w:rPr>
              <w:t>537.72</w:t>
            </w:r>
          </w:p>
        </w:tc>
        <w:tc>
          <w:tcPr>
            <w:tcW w:w="2274" w:type="dxa"/>
            <w:vAlign w:val="center"/>
          </w:tcPr>
          <w:p w14:paraId="3B92C1CD" w14:textId="77777777" w:rsidR="004B0883" w:rsidRDefault="004B0883">
            <w:pPr>
              <w:widowControl w:val="0"/>
              <w:adjustRightInd w:val="0"/>
              <w:snapToGrid w:val="0"/>
              <w:jc w:val="both"/>
              <w:rPr>
                <w:sz w:val="18"/>
                <w:szCs w:val="18"/>
              </w:rPr>
            </w:pPr>
            <w:r>
              <w:rPr>
                <w:rFonts w:cs="宋体" w:hint="eastAsia"/>
                <w:kern w:val="0"/>
                <w:sz w:val="18"/>
                <w:szCs w:val="18"/>
              </w:rPr>
              <w:t>沙河镇海郑村（</w:t>
            </w:r>
            <w:r>
              <w:rPr>
                <w:rFonts w:cs="宋体" w:hint="eastAsia"/>
                <w:kern w:val="0"/>
                <w:sz w:val="18"/>
                <w:szCs w:val="18"/>
              </w:rPr>
              <w:t>6</w:t>
            </w:r>
            <w:r>
              <w:rPr>
                <w:rFonts w:cs="宋体"/>
                <w:kern w:val="0"/>
                <w:sz w:val="18"/>
                <w:szCs w:val="18"/>
              </w:rPr>
              <w:t>830060423005</w:t>
            </w:r>
            <w:r>
              <w:rPr>
                <w:rFonts w:cs="宋体" w:hint="eastAsia"/>
                <w:kern w:val="0"/>
                <w:sz w:val="18"/>
                <w:szCs w:val="18"/>
              </w:rPr>
              <w:t>）</w:t>
            </w:r>
            <w:r>
              <w:rPr>
                <w:rFonts w:cs="宋体" w:hint="eastAsia"/>
                <w:kern w:val="0"/>
                <w:sz w:val="18"/>
                <w:szCs w:val="18"/>
              </w:rPr>
              <w:t>4</w:t>
            </w:r>
            <w:r>
              <w:rPr>
                <w:rFonts w:cs="宋体" w:hint="eastAsia"/>
                <w:kern w:val="0"/>
                <w:sz w:val="18"/>
                <w:szCs w:val="18"/>
              </w:rPr>
              <w:t>幢</w:t>
            </w:r>
            <w:r>
              <w:rPr>
                <w:rFonts w:cs="宋体" w:hint="eastAsia"/>
                <w:kern w:val="0"/>
                <w:sz w:val="18"/>
                <w:szCs w:val="18"/>
              </w:rPr>
              <w:t>1</w:t>
            </w:r>
            <w:r>
              <w:rPr>
                <w:rFonts w:cs="宋体" w:hint="eastAsia"/>
                <w:kern w:val="0"/>
                <w:sz w:val="18"/>
                <w:szCs w:val="18"/>
              </w:rPr>
              <w:t>号房；</w:t>
            </w:r>
            <w:r>
              <w:rPr>
                <w:rFonts w:cs="宋体" w:hint="eastAsia"/>
                <w:kern w:val="0"/>
                <w:sz w:val="18"/>
                <w:szCs w:val="18"/>
              </w:rPr>
              <w:t>5</w:t>
            </w:r>
            <w:r>
              <w:rPr>
                <w:rFonts w:cs="宋体" w:hint="eastAsia"/>
                <w:kern w:val="0"/>
                <w:sz w:val="18"/>
                <w:szCs w:val="18"/>
              </w:rPr>
              <w:t>幢</w:t>
            </w:r>
            <w:r>
              <w:rPr>
                <w:rFonts w:cs="宋体" w:hint="eastAsia"/>
                <w:kern w:val="0"/>
                <w:sz w:val="18"/>
                <w:szCs w:val="18"/>
              </w:rPr>
              <w:t>1</w:t>
            </w:r>
            <w:r>
              <w:rPr>
                <w:rFonts w:cs="宋体" w:hint="eastAsia"/>
                <w:kern w:val="0"/>
                <w:sz w:val="18"/>
                <w:szCs w:val="18"/>
              </w:rPr>
              <w:t>号房；</w:t>
            </w:r>
            <w:r>
              <w:rPr>
                <w:rFonts w:cs="宋体" w:hint="eastAsia"/>
                <w:kern w:val="0"/>
                <w:sz w:val="18"/>
                <w:szCs w:val="18"/>
              </w:rPr>
              <w:t>6</w:t>
            </w:r>
            <w:r>
              <w:rPr>
                <w:rFonts w:cs="宋体" w:hint="eastAsia"/>
                <w:kern w:val="0"/>
                <w:sz w:val="18"/>
                <w:szCs w:val="18"/>
              </w:rPr>
              <w:t>幢</w:t>
            </w:r>
            <w:r>
              <w:rPr>
                <w:rFonts w:cs="宋体" w:hint="eastAsia"/>
                <w:kern w:val="0"/>
                <w:sz w:val="18"/>
                <w:szCs w:val="18"/>
              </w:rPr>
              <w:t>1</w:t>
            </w:r>
            <w:r>
              <w:rPr>
                <w:rFonts w:cs="宋体" w:hint="eastAsia"/>
                <w:kern w:val="0"/>
                <w:sz w:val="18"/>
                <w:szCs w:val="18"/>
              </w:rPr>
              <w:t>号房；</w:t>
            </w:r>
            <w:r>
              <w:rPr>
                <w:rFonts w:cs="宋体" w:hint="eastAsia"/>
                <w:kern w:val="0"/>
                <w:sz w:val="18"/>
                <w:szCs w:val="18"/>
              </w:rPr>
              <w:t>7</w:t>
            </w:r>
            <w:r>
              <w:rPr>
                <w:rFonts w:cs="宋体" w:hint="eastAsia"/>
                <w:kern w:val="0"/>
                <w:sz w:val="18"/>
                <w:szCs w:val="18"/>
              </w:rPr>
              <w:t>幢</w:t>
            </w:r>
            <w:r>
              <w:rPr>
                <w:rFonts w:cs="宋体" w:hint="eastAsia"/>
                <w:kern w:val="0"/>
                <w:sz w:val="18"/>
                <w:szCs w:val="18"/>
              </w:rPr>
              <w:t>1</w:t>
            </w:r>
            <w:r>
              <w:rPr>
                <w:rFonts w:cs="宋体" w:hint="eastAsia"/>
                <w:kern w:val="0"/>
                <w:sz w:val="18"/>
                <w:szCs w:val="18"/>
              </w:rPr>
              <w:t>号房</w:t>
            </w:r>
          </w:p>
        </w:tc>
        <w:tc>
          <w:tcPr>
            <w:tcW w:w="1269" w:type="dxa"/>
            <w:vAlign w:val="center"/>
          </w:tcPr>
          <w:p w14:paraId="082197F0" w14:textId="77777777" w:rsidR="004B0883" w:rsidRDefault="004B0883">
            <w:pPr>
              <w:widowControl w:val="0"/>
              <w:adjustRightInd w:val="0"/>
              <w:snapToGrid w:val="0"/>
              <w:jc w:val="both"/>
              <w:rPr>
                <w:color w:val="000000"/>
                <w:sz w:val="18"/>
                <w:szCs w:val="18"/>
              </w:rPr>
            </w:pPr>
            <w:r>
              <w:rPr>
                <w:rFonts w:cs="宋体" w:hint="eastAsia"/>
                <w:kern w:val="0"/>
                <w:sz w:val="18"/>
                <w:szCs w:val="18"/>
              </w:rPr>
              <w:t>工业、其他</w:t>
            </w:r>
          </w:p>
        </w:tc>
        <w:tc>
          <w:tcPr>
            <w:tcW w:w="1190" w:type="dxa"/>
            <w:vAlign w:val="center"/>
          </w:tcPr>
          <w:p w14:paraId="0BCE8A16" w14:textId="77777777" w:rsidR="004B0883" w:rsidRDefault="004B0883">
            <w:pPr>
              <w:widowControl w:val="0"/>
              <w:adjustRightInd w:val="0"/>
              <w:snapToGrid w:val="0"/>
              <w:jc w:val="right"/>
              <w:rPr>
                <w:rFonts w:hint="eastAsia"/>
                <w:color w:val="000000"/>
                <w:sz w:val="18"/>
                <w:szCs w:val="18"/>
              </w:rPr>
            </w:pPr>
            <w:r>
              <w:rPr>
                <w:rFonts w:cs="宋体" w:hint="eastAsia"/>
                <w:kern w:val="0"/>
                <w:sz w:val="18"/>
                <w:szCs w:val="18"/>
              </w:rPr>
              <w:t>2</w:t>
            </w:r>
            <w:r>
              <w:rPr>
                <w:rFonts w:cs="宋体"/>
                <w:kern w:val="0"/>
                <w:sz w:val="18"/>
                <w:szCs w:val="18"/>
              </w:rPr>
              <w:t>061.07.06</w:t>
            </w:r>
          </w:p>
        </w:tc>
      </w:tr>
      <w:tr w:rsidR="004B0883" w14:paraId="3329A0A4" w14:textId="77777777">
        <w:trPr>
          <w:trHeight w:val="397"/>
          <w:jc w:val="center"/>
        </w:trPr>
        <w:tc>
          <w:tcPr>
            <w:tcW w:w="578" w:type="dxa"/>
            <w:vAlign w:val="center"/>
          </w:tcPr>
          <w:p w14:paraId="09BA68E7" w14:textId="77777777" w:rsidR="004B0883" w:rsidRDefault="004B0883">
            <w:pPr>
              <w:widowControl w:val="0"/>
              <w:adjustRightInd w:val="0"/>
              <w:snapToGrid w:val="0"/>
              <w:jc w:val="center"/>
              <w:rPr>
                <w:rFonts w:hint="eastAsia"/>
                <w:sz w:val="18"/>
                <w:szCs w:val="18"/>
              </w:rPr>
            </w:pPr>
            <w:r>
              <w:rPr>
                <w:rFonts w:cs="宋体" w:hint="eastAsia"/>
                <w:kern w:val="0"/>
                <w:sz w:val="18"/>
                <w:szCs w:val="18"/>
              </w:rPr>
              <w:t>7</w:t>
            </w:r>
          </w:p>
        </w:tc>
        <w:tc>
          <w:tcPr>
            <w:tcW w:w="657" w:type="dxa"/>
            <w:vAlign w:val="center"/>
          </w:tcPr>
          <w:p w14:paraId="4F5723E2" w14:textId="77777777" w:rsidR="004B0883" w:rsidRDefault="004B0883">
            <w:pPr>
              <w:jc w:val="center"/>
              <w:rPr>
                <w:rFonts w:cs="宋体"/>
                <w:kern w:val="0"/>
                <w:sz w:val="18"/>
                <w:szCs w:val="18"/>
              </w:rPr>
            </w:pPr>
            <w:r>
              <w:rPr>
                <w:rFonts w:cs="宋体" w:hint="eastAsia"/>
                <w:kern w:val="0"/>
                <w:sz w:val="18"/>
                <w:szCs w:val="18"/>
              </w:rPr>
              <w:t>莱州</w:t>
            </w:r>
          </w:p>
          <w:p w14:paraId="5D087742" w14:textId="77777777" w:rsidR="004B0883" w:rsidRDefault="004B0883">
            <w:pPr>
              <w:widowControl w:val="0"/>
              <w:jc w:val="center"/>
              <w:rPr>
                <w:rFonts w:cs="宋体" w:hint="eastAsia"/>
                <w:kern w:val="0"/>
                <w:sz w:val="18"/>
                <w:szCs w:val="18"/>
              </w:rPr>
            </w:pPr>
            <w:r>
              <w:rPr>
                <w:rFonts w:cs="宋体" w:hint="eastAsia"/>
                <w:kern w:val="0"/>
                <w:sz w:val="18"/>
                <w:szCs w:val="18"/>
              </w:rPr>
              <w:t>伟隆</w:t>
            </w:r>
          </w:p>
        </w:tc>
        <w:tc>
          <w:tcPr>
            <w:tcW w:w="1567" w:type="dxa"/>
            <w:vAlign w:val="center"/>
          </w:tcPr>
          <w:p w14:paraId="28D3F6DF" w14:textId="77777777" w:rsidR="004B0883" w:rsidRDefault="004B0883">
            <w:pPr>
              <w:jc w:val="both"/>
              <w:rPr>
                <w:rFonts w:cs="宋体" w:hint="eastAsia"/>
                <w:kern w:val="0"/>
                <w:sz w:val="18"/>
                <w:szCs w:val="18"/>
              </w:rPr>
            </w:pPr>
            <w:r>
              <w:rPr>
                <w:rFonts w:cs="宋体" w:hint="eastAsia"/>
                <w:kern w:val="0"/>
                <w:sz w:val="18"/>
                <w:szCs w:val="18"/>
              </w:rPr>
              <w:t>鲁（</w:t>
            </w:r>
            <w:r>
              <w:rPr>
                <w:rFonts w:cs="宋体" w:hint="eastAsia"/>
                <w:kern w:val="0"/>
                <w:sz w:val="18"/>
                <w:szCs w:val="18"/>
              </w:rPr>
              <w:t>2018</w:t>
            </w:r>
            <w:r>
              <w:rPr>
                <w:rFonts w:cs="宋体" w:hint="eastAsia"/>
                <w:kern w:val="0"/>
                <w:sz w:val="18"/>
                <w:szCs w:val="18"/>
              </w:rPr>
              <w:t>）莱州市不动产权第</w:t>
            </w:r>
            <w:r>
              <w:rPr>
                <w:rFonts w:cs="宋体" w:hint="eastAsia"/>
                <w:kern w:val="0"/>
                <w:sz w:val="18"/>
                <w:szCs w:val="18"/>
              </w:rPr>
              <w:t>0000422</w:t>
            </w:r>
            <w:r>
              <w:rPr>
                <w:rFonts w:cs="宋体" w:hint="eastAsia"/>
                <w:kern w:val="0"/>
                <w:sz w:val="18"/>
                <w:szCs w:val="18"/>
              </w:rPr>
              <w:t>号</w:t>
            </w:r>
          </w:p>
        </w:tc>
        <w:tc>
          <w:tcPr>
            <w:tcW w:w="991" w:type="dxa"/>
            <w:vAlign w:val="center"/>
          </w:tcPr>
          <w:p w14:paraId="66B27EF5" w14:textId="77777777" w:rsidR="004B0883" w:rsidRDefault="004B0883">
            <w:pPr>
              <w:jc w:val="right"/>
              <w:rPr>
                <w:rFonts w:cs="宋体"/>
                <w:kern w:val="0"/>
                <w:sz w:val="18"/>
                <w:szCs w:val="18"/>
              </w:rPr>
            </w:pPr>
            <w:r>
              <w:rPr>
                <w:rFonts w:cs="宋体" w:hint="eastAsia"/>
                <w:kern w:val="0"/>
                <w:sz w:val="18"/>
                <w:szCs w:val="18"/>
              </w:rPr>
              <w:t>1</w:t>
            </w:r>
            <w:r>
              <w:rPr>
                <w:rFonts w:cs="宋体"/>
                <w:kern w:val="0"/>
                <w:sz w:val="18"/>
                <w:szCs w:val="18"/>
              </w:rPr>
              <w:t>8,288.85</w:t>
            </w:r>
          </w:p>
          <w:p w14:paraId="68BD74D0" w14:textId="77777777" w:rsidR="004B0883" w:rsidRDefault="004B0883">
            <w:pPr>
              <w:widowControl w:val="0"/>
              <w:adjustRightInd w:val="0"/>
              <w:snapToGrid w:val="0"/>
              <w:jc w:val="right"/>
              <w:rPr>
                <w:rFonts w:cs="宋体"/>
                <w:kern w:val="0"/>
                <w:sz w:val="18"/>
                <w:szCs w:val="18"/>
              </w:rPr>
            </w:pPr>
            <w:r>
              <w:rPr>
                <w:rFonts w:cs="宋体"/>
                <w:kern w:val="0"/>
                <w:sz w:val="18"/>
                <w:szCs w:val="18"/>
              </w:rPr>
              <w:t>/4,029.53</w:t>
            </w:r>
          </w:p>
        </w:tc>
        <w:tc>
          <w:tcPr>
            <w:tcW w:w="2274" w:type="dxa"/>
            <w:vAlign w:val="center"/>
          </w:tcPr>
          <w:p w14:paraId="47373A69" w14:textId="77777777" w:rsidR="004B0883" w:rsidRDefault="004B0883">
            <w:pPr>
              <w:widowControl w:val="0"/>
              <w:adjustRightInd w:val="0"/>
              <w:snapToGrid w:val="0"/>
              <w:jc w:val="both"/>
              <w:rPr>
                <w:rFonts w:cs="宋体" w:hint="eastAsia"/>
                <w:kern w:val="0"/>
                <w:sz w:val="18"/>
                <w:szCs w:val="18"/>
              </w:rPr>
            </w:pPr>
            <w:r>
              <w:rPr>
                <w:rFonts w:cs="宋体" w:hint="eastAsia"/>
                <w:kern w:val="0"/>
                <w:sz w:val="18"/>
                <w:szCs w:val="18"/>
              </w:rPr>
              <w:t>沙河镇大东庄村北</w:t>
            </w:r>
            <w:r>
              <w:rPr>
                <w:rFonts w:cs="宋体" w:hint="eastAsia"/>
                <w:kern w:val="0"/>
                <w:sz w:val="18"/>
                <w:szCs w:val="18"/>
              </w:rPr>
              <w:t>1</w:t>
            </w:r>
            <w:r>
              <w:rPr>
                <w:rFonts w:cs="宋体" w:hint="eastAsia"/>
                <w:kern w:val="0"/>
                <w:sz w:val="18"/>
                <w:szCs w:val="18"/>
              </w:rPr>
              <w:t>幢、</w:t>
            </w:r>
            <w:r>
              <w:rPr>
                <w:rFonts w:cs="宋体" w:hint="eastAsia"/>
                <w:kern w:val="0"/>
                <w:sz w:val="18"/>
                <w:szCs w:val="18"/>
              </w:rPr>
              <w:t>2</w:t>
            </w:r>
            <w:r>
              <w:rPr>
                <w:rFonts w:cs="宋体" w:hint="eastAsia"/>
                <w:kern w:val="0"/>
                <w:sz w:val="18"/>
                <w:szCs w:val="18"/>
              </w:rPr>
              <w:t>幢</w:t>
            </w:r>
          </w:p>
        </w:tc>
        <w:tc>
          <w:tcPr>
            <w:tcW w:w="1269" w:type="dxa"/>
            <w:vAlign w:val="center"/>
          </w:tcPr>
          <w:p w14:paraId="2CC8A8BC" w14:textId="77777777" w:rsidR="004B0883" w:rsidRDefault="004B0883">
            <w:pPr>
              <w:widowControl w:val="0"/>
              <w:adjustRightInd w:val="0"/>
              <w:snapToGrid w:val="0"/>
              <w:jc w:val="both"/>
              <w:rPr>
                <w:rFonts w:cs="宋体" w:hint="eastAsia"/>
                <w:kern w:val="0"/>
                <w:sz w:val="18"/>
                <w:szCs w:val="18"/>
              </w:rPr>
            </w:pPr>
            <w:r>
              <w:rPr>
                <w:rFonts w:cs="宋体" w:hint="eastAsia"/>
                <w:kern w:val="0"/>
                <w:sz w:val="18"/>
                <w:szCs w:val="18"/>
              </w:rPr>
              <w:t>工业</w:t>
            </w:r>
          </w:p>
        </w:tc>
        <w:tc>
          <w:tcPr>
            <w:tcW w:w="1190" w:type="dxa"/>
            <w:vAlign w:val="center"/>
          </w:tcPr>
          <w:p w14:paraId="28FDFEED" w14:textId="77777777" w:rsidR="004B0883" w:rsidRDefault="004B0883">
            <w:pPr>
              <w:widowControl w:val="0"/>
              <w:adjustRightInd w:val="0"/>
              <w:snapToGrid w:val="0"/>
              <w:jc w:val="right"/>
              <w:rPr>
                <w:rFonts w:cs="宋体" w:hint="eastAsia"/>
                <w:kern w:val="0"/>
                <w:sz w:val="18"/>
                <w:szCs w:val="18"/>
              </w:rPr>
            </w:pPr>
            <w:r>
              <w:rPr>
                <w:rFonts w:cs="宋体" w:hint="eastAsia"/>
                <w:kern w:val="0"/>
                <w:sz w:val="18"/>
                <w:szCs w:val="18"/>
              </w:rPr>
              <w:t>2</w:t>
            </w:r>
            <w:r>
              <w:rPr>
                <w:rFonts w:cs="宋体"/>
                <w:kern w:val="0"/>
                <w:sz w:val="18"/>
                <w:szCs w:val="18"/>
              </w:rPr>
              <w:t>056.05.08</w:t>
            </w:r>
          </w:p>
        </w:tc>
      </w:tr>
      <w:tr w:rsidR="004B0883" w14:paraId="2EEB5C5A" w14:textId="77777777">
        <w:trPr>
          <w:trHeight w:val="397"/>
          <w:jc w:val="center"/>
        </w:trPr>
        <w:tc>
          <w:tcPr>
            <w:tcW w:w="578" w:type="dxa"/>
            <w:vAlign w:val="center"/>
          </w:tcPr>
          <w:p w14:paraId="5F04858C" w14:textId="77777777" w:rsidR="004B0883" w:rsidRDefault="004B0883">
            <w:pPr>
              <w:widowControl w:val="0"/>
              <w:adjustRightInd w:val="0"/>
              <w:snapToGrid w:val="0"/>
              <w:jc w:val="center"/>
              <w:rPr>
                <w:sz w:val="18"/>
                <w:szCs w:val="18"/>
              </w:rPr>
            </w:pPr>
            <w:r>
              <w:rPr>
                <w:rFonts w:hint="eastAsia"/>
                <w:sz w:val="18"/>
                <w:szCs w:val="18"/>
              </w:rPr>
              <w:t>8</w:t>
            </w:r>
          </w:p>
        </w:tc>
        <w:tc>
          <w:tcPr>
            <w:tcW w:w="657" w:type="dxa"/>
            <w:vAlign w:val="center"/>
          </w:tcPr>
          <w:p w14:paraId="4B84411F" w14:textId="77777777" w:rsidR="004B0883" w:rsidRDefault="004B0883">
            <w:pPr>
              <w:widowControl w:val="0"/>
              <w:jc w:val="center"/>
              <w:rPr>
                <w:rFonts w:cs="宋体"/>
                <w:kern w:val="0"/>
                <w:sz w:val="18"/>
                <w:szCs w:val="18"/>
              </w:rPr>
            </w:pPr>
            <w:r>
              <w:rPr>
                <w:rFonts w:cs="宋体" w:hint="eastAsia"/>
                <w:kern w:val="0"/>
                <w:sz w:val="18"/>
                <w:szCs w:val="18"/>
              </w:rPr>
              <w:t>伟隆</w:t>
            </w:r>
          </w:p>
          <w:p w14:paraId="2BC3265E" w14:textId="77777777" w:rsidR="004B0883" w:rsidRDefault="004B0883">
            <w:pPr>
              <w:widowControl w:val="0"/>
              <w:adjustRightInd w:val="0"/>
              <w:snapToGrid w:val="0"/>
              <w:jc w:val="center"/>
              <w:rPr>
                <w:color w:val="000000"/>
                <w:sz w:val="18"/>
                <w:szCs w:val="18"/>
              </w:rPr>
            </w:pPr>
            <w:r>
              <w:rPr>
                <w:rFonts w:cs="宋体" w:hint="eastAsia"/>
                <w:kern w:val="0"/>
                <w:sz w:val="18"/>
                <w:szCs w:val="18"/>
              </w:rPr>
              <w:t>流体</w:t>
            </w:r>
          </w:p>
        </w:tc>
        <w:tc>
          <w:tcPr>
            <w:tcW w:w="1567" w:type="dxa"/>
            <w:vAlign w:val="center"/>
          </w:tcPr>
          <w:p w14:paraId="78A3B165" w14:textId="77777777" w:rsidR="004B0883" w:rsidRDefault="004B0883">
            <w:pPr>
              <w:jc w:val="both"/>
              <w:rPr>
                <w:rFonts w:cs="宋体" w:hint="eastAsia"/>
                <w:kern w:val="0"/>
                <w:sz w:val="18"/>
                <w:szCs w:val="18"/>
              </w:rPr>
            </w:pPr>
            <w:r>
              <w:rPr>
                <w:rFonts w:cs="宋体" w:hint="eastAsia"/>
                <w:kern w:val="0"/>
                <w:sz w:val="18"/>
                <w:szCs w:val="18"/>
              </w:rPr>
              <w:t>青房地权市字第</w:t>
            </w:r>
            <w:r>
              <w:rPr>
                <w:rFonts w:cs="宋体" w:hint="eastAsia"/>
                <w:kern w:val="0"/>
                <w:sz w:val="18"/>
                <w:szCs w:val="18"/>
              </w:rPr>
              <w:t>201546822</w:t>
            </w:r>
            <w:r>
              <w:rPr>
                <w:rFonts w:cs="宋体" w:hint="eastAsia"/>
                <w:kern w:val="0"/>
                <w:sz w:val="18"/>
                <w:szCs w:val="18"/>
              </w:rPr>
              <w:t>号</w:t>
            </w:r>
          </w:p>
        </w:tc>
        <w:tc>
          <w:tcPr>
            <w:tcW w:w="991" w:type="dxa"/>
            <w:vAlign w:val="center"/>
          </w:tcPr>
          <w:p w14:paraId="3AD97A4F" w14:textId="77777777" w:rsidR="004B0883" w:rsidRDefault="004B0883">
            <w:pPr>
              <w:widowControl w:val="0"/>
              <w:adjustRightInd w:val="0"/>
              <w:snapToGrid w:val="0"/>
              <w:jc w:val="right"/>
              <w:rPr>
                <w:sz w:val="18"/>
                <w:szCs w:val="18"/>
              </w:rPr>
            </w:pPr>
            <w:r>
              <w:rPr>
                <w:rFonts w:cs="宋体" w:hint="eastAsia"/>
                <w:kern w:val="0"/>
                <w:sz w:val="18"/>
                <w:szCs w:val="18"/>
              </w:rPr>
              <w:t>3</w:t>
            </w:r>
            <w:r>
              <w:rPr>
                <w:rFonts w:cs="宋体"/>
                <w:kern w:val="0"/>
                <w:sz w:val="18"/>
                <w:szCs w:val="18"/>
              </w:rPr>
              <w:t>9</w:t>
            </w:r>
            <w:r>
              <w:rPr>
                <w:rFonts w:cs="宋体" w:hint="eastAsia"/>
                <w:kern w:val="0"/>
                <w:sz w:val="18"/>
                <w:szCs w:val="18"/>
              </w:rPr>
              <w:t>,</w:t>
            </w:r>
            <w:r>
              <w:rPr>
                <w:rFonts w:cs="宋体"/>
                <w:kern w:val="0"/>
                <w:sz w:val="18"/>
                <w:szCs w:val="18"/>
              </w:rPr>
              <w:t>949.86</w:t>
            </w:r>
          </w:p>
        </w:tc>
        <w:tc>
          <w:tcPr>
            <w:tcW w:w="2274" w:type="dxa"/>
            <w:vAlign w:val="center"/>
          </w:tcPr>
          <w:p w14:paraId="44360409" w14:textId="77777777" w:rsidR="004B0883" w:rsidRDefault="004B0883">
            <w:pPr>
              <w:widowControl w:val="0"/>
              <w:adjustRightInd w:val="0"/>
              <w:snapToGrid w:val="0"/>
              <w:jc w:val="both"/>
              <w:rPr>
                <w:sz w:val="18"/>
                <w:szCs w:val="18"/>
              </w:rPr>
            </w:pPr>
            <w:r>
              <w:rPr>
                <w:rFonts w:cs="宋体" w:hint="eastAsia"/>
                <w:kern w:val="0"/>
                <w:sz w:val="18"/>
                <w:szCs w:val="18"/>
              </w:rPr>
              <w:t>青岛高新区华贯路以东，华东路以西，科海路以南</w:t>
            </w:r>
          </w:p>
        </w:tc>
        <w:tc>
          <w:tcPr>
            <w:tcW w:w="1269" w:type="dxa"/>
            <w:vAlign w:val="center"/>
          </w:tcPr>
          <w:p w14:paraId="6745B737" w14:textId="77777777" w:rsidR="004B0883" w:rsidRDefault="004B0883">
            <w:pPr>
              <w:widowControl w:val="0"/>
              <w:adjustRightInd w:val="0"/>
              <w:snapToGrid w:val="0"/>
              <w:jc w:val="both"/>
              <w:rPr>
                <w:color w:val="000000"/>
                <w:sz w:val="18"/>
                <w:szCs w:val="18"/>
              </w:rPr>
            </w:pPr>
            <w:r>
              <w:rPr>
                <w:rFonts w:cs="宋体" w:hint="eastAsia"/>
                <w:kern w:val="0"/>
                <w:sz w:val="18"/>
                <w:szCs w:val="18"/>
              </w:rPr>
              <w:t>工业</w:t>
            </w:r>
          </w:p>
        </w:tc>
        <w:tc>
          <w:tcPr>
            <w:tcW w:w="1190" w:type="dxa"/>
            <w:vAlign w:val="center"/>
          </w:tcPr>
          <w:p w14:paraId="7892B309" w14:textId="77777777" w:rsidR="004B0883" w:rsidRDefault="004B0883">
            <w:pPr>
              <w:widowControl w:val="0"/>
              <w:adjustRightInd w:val="0"/>
              <w:snapToGrid w:val="0"/>
              <w:jc w:val="right"/>
              <w:rPr>
                <w:rFonts w:hint="eastAsia"/>
                <w:color w:val="000000"/>
                <w:sz w:val="18"/>
                <w:szCs w:val="18"/>
              </w:rPr>
            </w:pPr>
            <w:r>
              <w:rPr>
                <w:rFonts w:cs="宋体" w:hint="eastAsia"/>
                <w:kern w:val="0"/>
                <w:sz w:val="18"/>
                <w:szCs w:val="18"/>
              </w:rPr>
              <w:t>2</w:t>
            </w:r>
            <w:r>
              <w:rPr>
                <w:rFonts w:cs="宋体"/>
                <w:kern w:val="0"/>
                <w:sz w:val="18"/>
                <w:szCs w:val="18"/>
              </w:rPr>
              <w:t>062.02.12</w:t>
            </w:r>
          </w:p>
        </w:tc>
      </w:tr>
      <w:tr w:rsidR="004B0883" w14:paraId="150E599D" w14:textId="77777777">
        <w:trPr>
          <w:trHeight w:val="397"/>
          <w:jc w:val="center"/>
        </w:trPr>
        <w:tc>
          <w:tcPr>
            <w:tcW w:w="578" w:type="dxa"/>
            <w:vAlign w:val="center"/>
          </w:tcPr>
          <w:p w14:paraId="1642BABF" w14:textId="77777777" w:rsidR="004B0883" w:rsidRDefault="004B0883">
            <w:pPr>
              <w:widowControl w:val="0"/>
              <w:adjustRightInd w:val="0"/>
              <w:snapToGrid w:val="0"/>
              <w:jc w:val="center"/>
              <w:rPr>
                <w:sz w:val="18"/>
                <w:szCs w:val="18"/>
              </w:rPr>
            </w:pPr>
            <w:r>
              <w:rPr>
                <w:rFonts w:hint="eastAsia"/>
                <w:sz w:val="18"/>
                <w:szCs w:val="18"/>
              </w:rPr>
              <w:t>9</w:t>
            </w:r>
          </w:p>
        </w:tc>
        <w:tc>
          <w:tcPr>
            <w:tcW w:w="657" w:type="dxa"/>
            <w:vAlign w:val="center"/>
          </w:tcPr>
          <w:p w14:paraId="1902E0E5" w14:textId="77777777" w:rsidR="004B0883" w:rsidRDefault="004B0883">
            <w:pPr>
              <w:widowControl w:val="0"/>
              <w:jc w:val="center"/>
              <w:rPr>
                <w:rFonts w:cs="宋体"/>
                <w:kern w:val="0"/>
                <w:sz w:val="18"/>
                <w:szCs w:val="18"/>
              </w:rPr>
            </w:pPr>
            <w:r>
              <w:rPr>
                <w:rFonts w:cs="宋体" w:hint="eastAsia"/>
                <w:kern w:val="0"/>
                <w:sz w:val="18"/>
                <w:szCs w:val="18"/>
              </w:rPr>
              <w:t>伟隆</w:t>
            </w:r>
          </w:p>
          <w:p w14:paraId="1E7A6AD0" w14:textId="77777777" w:rsidR="004B0883" w:rsidRDefault="004B0883">
            <w:pPr>
              <w:widowControl w:val="0"/>
              <w:adjustRightInd w:val="0"/>
              <w:snapToGrid w:val="0"/>
              <w:jc w:val="center"/>
              <w:rPr>
                <w:color w:val="000000"/>
                <w:sz w:val="18"/>
                <w:szCs w:val="18"/>
              </w:rPr>
            </w:pPr>
            <w:r>
              <w:rPr>
                <w:rFonts w:cs="宋体" w:hint="eastAsia"/>
                <w:kern w:val="0"/>
                <w:sz w:val="18"/>
                <w:szCs w:val="18"/>
              </w:rPr>
              <w:t>五金</w:t>
            </w:r>
          </w:p>
        </w:tc>
        <w:tc>
          <w:tcPr>
            <w:tcW w:w="1567" w:type="dxa"/>
            <w:vAlign w:val="center"/>
          </w:tcPr>
          <w:p w14:paraId="59607B30" w14:textId="77777777" w:rsidR="004B0883" w:rsidRDefault="004B0883">
            <w:pPr>
              <w:jc w:val="both"/>
              <w:rPr>
                <w:rFonts w:cs="宋体" w:hint="eastAsia"/>
                <w:kern w:val="0"/>
                <w:sz w:val="18"/>
                <w:szCs w:val="18"/>
              </w:rPr>
            </w:pPr>
            <w:r>
              <w:rPr>
                <w:rFonts w:cs="宋体" w:hint="eastAsia"/>
                <w:kern w:val="0"/>
                <w:sz w:val="18"/>
                <w:szCs w:val="18"/>
              </w:rPr>
              <w:t>城国用（</w:t>
            </w:r>
            <w:r>
              <w:rPr>
                <w:rFonts w:cs="宋体" w:hint="eastAsia"/>
                <w:kern w:val="0"/>
                <w:sz w:val="18"/>
                <w:szCs w:val="18"/>
              </w:rPr>
              <w:t>2001</w:t>
            </w:r>
            <w:r>
              <w:rPr>
                <w:rFonts w:cs="宋体" w:hint="eastAsia"/>
                <w:kern w:val="0"/>
                <w:sz w:val="18"/>
                <w:szCs w:val="18"/>
              </w:rPr>
              <w:t>）字第</w:t>
            </w:r>
            <w:r>
              <w:rPr>
                <w:rFonts w:cs="宋体" w:hint="eastAsia"/>
                <w:kern w:val="0"/>
                <w:sz w:val="18"/>
                <w:szCs w:val="18"/>
              </w:rPr>
              <w:t>34</w:t>
            </w:r>
            <w:r>
              <w:rPr>
                <w:rFonts w:cs="宋体" w:hint="eastAsia"/>
                <w:kern w:val="0"/>
                <w:sz w:val="18"/>
                <w:szCs w:val="18"/>
              </w:rPr>
              <w:t>号</w:t>
            </w:r>
          </w:p>
        </w:tc>
        <w:tc>
          <w:tcPr>
            <w:tcW w:w="991" w:type="dxa"/>
            <w:vAlign w:val="center"/>
          </w:tcPr>
          <w:p w14:paraId="6562C12B" w14:textId="77777777" w:rsidR="004B0883" w:rsidRDefault="004B0883">
            <w:pPr>
              <w:widowControl w:val="0"/>
              <w:adjustRightInd w:val="0"/>
              <w:snapToGrid w:val="0"/>
              <w:jc w:val="right"/>
              <w:rPr>
                <w:sz w:val="18"/>
                <w:szCs w:val="18"/>
              </w:rPr>
            </w:pPr>
            <w:r>
              <w:rPr>
                <w:rFonts w:cs="宋体" w:hint="eastAsia"/>
                <w:kern w:val="0"/>
                <w:sz w:val="18"/>
                <w:szCs w:val="18"/>
              </w:rPr>
              <w:t>1</w:t>
            </w:r>
            <w:r>
              <w:rPr>
                <w:rFonts w:cs="宋体"/>
                <w:kern w:val="0"/>
                <w:sz w:val="18"/>
                <w:szCs w:val="18"/>
              </w:rPr>
              <w:t>0,385.18</w:t>
            </w:r>
          </w:p>
        </w:tc>
        <w:tc>
          <w:tcPr>
            <w:tcW w:w="2274" w:type="dxa"/>
            <w:vAlign w:val="center"/>
          </w:tcPr>
          <w:p w14:paraId="18997B92" w14:textId="77777777" w:rsidR="004B0883" w:rsidRDefault="004B0883">
            <w:pPr>
              <w:widowControl w:val="0"/>
              <w:adjustRightInd w:val="0"/>
              <w:snapToGrid w:val="0"/>
              <w:jc w:val="both"/>
              <w:rPr>
                <w:sz w:val="18"/>
                <w:szCs w:val="18"/>
              </w:rPr>
            </w:pPr>
            <w:r>
              <w:rPr>
                <w:rFonts w:cs="宋体" w:hint="eastAsia"/>
                <w:kern w:val="0"/>
                <w:sz w:val="18"/>
                <w:szCs w:val="18"/>
              </w:rPr>
              <w:t>棘洪滩镇后海西村</w:t>
            </w:r>
          </w:p>
        </w:tc>
        <w:tc>
          <w:tcPr>
            <w:tcW w:w="1269" w:type="dxa"/>
            <w:vAlign w:val="center"/>
          </w:tcPr>
          <w:p w14:paraId="5326478F" w14:textId="77777777" w:rsidR="004B0883" w:rsidRDefault="004B0883">
            <w:pPr>
              <w:widowControl w:val="0"/>
              <w:adjustRightInd w:val="0"/>
              <w:snapToGrid w:val="0"/>
              <w:jc w:val="both"/>
              <w:rPr>
                <w:color w:val="000000"/>
                <w:sz w:val="18"/>
                <w:szCs w:val="18"/>
              </w:rPr>
            </w:pPr>
            <w:r>
              <w:rPr>
                <w:rFonts w:cs="宋体" w:hint="eastAsia"/>
                <w:kern w:val="0"/>
                <w:sz w:val="18"/>
                <w:szCs w:val="18"/>
              </w:rPr>
              <w:t>工业</w:t>
            </w:r>
          </w:p>
        </w:tc>
        <w:tc>
          <w:tcPr>
            <w:tcW w:w="1190" w:type="dxa"/>
            <w:vAlign w:val="center"/>
          </w:tcPr>
          <w:p w14:paraId="7E9429A3" w14:textId="77777777" w:rsidR="004B0883" w:rsidRDefault="004B0883">
            <w:pPr>
              <w:widowControl w:val="0"/>
              <w:adjustRightInd w:val="0"/>
              <w:snapToGrid w:val="0"/>
              <w:jc w:val="right"/>
              <w:rPr>
                <w:rFonts w:hint="eastAsia"/>
                <w:color w:val="000000"/>
                <w:sz w:val="18"/>
                <w:szCs w:val="18"/>
              </w:rPr>
            </w:pPr>
            <w:r>
              <w:rPr>
                <w:rFonts w:cs="宋体" w:hint="eastAsia"/>
                <w:kern w:val="0"/>
                <w:sz w:val="18"/>
                <w:szCs w:val="18"/>
              </w:rPr>
              <w:t>2</w:t>
            </w:r>
            <w:r>
              <w:rPr>
                <w:rFonts w:cs="宋体"/>
                <w:kern w:val="0"/>
                <w:sz w:val="18"/>
                <w:szCs w:val="18"/>
              </w:rPr>
              <w:t>048.12.25</w:t>
            </w:r>
          </w:p>
        </w:tc>
      </w:tr>
    </w:tbl>
    <w:bookmarkEnd w:id="275"/>
    <w:p w14:paraId="62909833" w14:textId="77777777" w:rsidR="004B0883" w:rsidRDefault="004B0883">
      <w:pPr>
        <w:keepNext/>
        <w:keepLines/>
        <w:widowControl w:val="0"/>
        <w:spacing w:beforeLines="50" w:before="120" w:after="120" w:line="360" w:lineRule="auto"/>
        <w:ind w:firstLineChars="200" w:firstLine="482"/>
        <w:jc w:val="both"/>
        <w:outlineLvl w:val="3"/>
        <w:rPr>
          <w:b/>
          <w:bCs/>
          <w:sz w:val="24"/>
          <w:szCs w:val="28"/>
          <w:lang w:val="zh-CN"/>
        </w:rPr>
      </w:pPr>
      <w:r>
        <w:rPr>
          <w:b/>
          <w:bCs/>
          <w:sz w:val="24"/>
          <w:szCs w:val="28"/>
          <w:lang w:val="zh-CN"/>
        </w:rPr>
        <w:t>2</w:t>
      </w:r>
      <w:r>
        <w:rPr>
          <w:b/>
          <w:bCs/>
          <w:sz w:val="24"/>
          <w:szCs w:val="28"/>
          <w:lang w:val="zh-CN"/>
        </w:rPr>
        <w:t>、房屋租赁情况</w:t>
      </w:r>
    </w:p>
    <w:p w14:paraId="602BD742" w14:textId="77777777" w:rsidR="004B0883" w:rsidRDefault="004B0883">
      <w:pPr>
        <w:widowControl w:val="0"/>
        <w:spacing w:beforeLines="50" w:before="120" w:after="120" w:line="360" w:lineRule="auto"/>
        <w:ind w:firstLineChars="200" w:firstLine="480"/>
        <w:jc w:val="both"/>
        <w:rPr>
          <w:rFonts w:hint="eastAsia"/>
          <w:sz w:val="24"/>
          <w:szCs w:val="22"/>
        </w:rPr>
      </w:pPr>
      <w:r>
        <w:rPr>
          <w:sz w:val="24"/>
          <w:szCs w:val="22"/>
        </w:rPr>
        <w:t>截至</w:t>
      </w:r>
      <w:r>
        <w:rPr>
          <w:sz w:val="24"/>
          <w:szCs w:val="22"/>
        </w:rPr>
        <w:t>2023</w:t>
      </w:r>
      <w:r>
        <w:rPr>
          <w:sz w:val="24"/>
          <w:szCs w:val="22"/>
        </w:rPr>
        <w:t>年</w:t>
      </w:r>
      <w:r>
        <w:rPr>
          <w:rFonts w:hint="eastAsia"/>
          <w:sz w:val="24"/>
          <w:szCs w:val="22"/>
        </w:rPr>
        <w:t>9</w:t>
      </w:r>
      <w:r>
        <w:rPr>
          <w:sz w:val="24"/>
          <w:szCs w:val="22"/>
        </w:rPr>
        <w:t>月</w:t>
      </w:r>
      <w:r>
        <w:rPr>
          <w:sz w:val="24"/>
          <w:szCs w:val="22"/>
        </w:rPr>
        <w:t>3</w:t>
      </w:r>
      <w:r>
        <w:rPr>
          <w:rFonts w:hint="eastAsia"/>
          <w:sz w:val="24"/>
          <w:szCs w:val="22"/>
        </w:rPr>
        <w:t>0</w:t>
      </w:r>
      <w:r>
        <w:rPr>
          <w:sz w:val="24"/>
          <w:szCs w:val="22"/>
        </w:rPr>
        <w:t>日</w:t>
      </w:r>
      <w:r>
        <w:rPr>
          <w:rFonts w:hint="eastAsia"/>
          <w:sz w:val="24"/>
          <w:szCs w:val="22"/>
        </w:rPr>
        <w:t>，发行人及其控股子公司不存在从其他方租赁房产情况。</w:t>
      </w:r>
    </w:p>
    <w:p w14:paraId="0CEDED0D" w14:textId="77777777" w:rsidR="004B0883" w:rsidRDefault="004B0883">
      <w:pPr>
        <w:pStyle w:val="003"/>
        <w:spacing w:before="120" w:after="120"/>
      </w:pPr>
      <w:r>
        <w:rPr>
          <w:rFonts w:hint="eastAsia"/>
        </w:rPr>
        <w:t>（二）主要无形资产情况</w:t>
      </w:r>
    </w:p>
    <w:p w14:paraId="1EABB8AF" w14:textId="77777777" w:rsidR="004B0883" w:rsidRDefault="004B0883">
      <w:pPr>
        <w:keepNext/>
        <w:keepLines/>
        <w:widowControl w:val="0"/>
        <w:spacing w:beforeLines="50" w:before="120" w:after="120" w:line="360" w:lineRule="auto"/>
        <w:ind w:firstLineChars="200" w:firstLine="482"/>
        <w:jc w:val="both"/>
        <w:outlineLvl w:val="3"/>
        <w:rPr>
          <w:b/>
          <w:bCs/>
          <w:sz w:val="24"/>
          <w:szCs w:val="28"/>
          <w:lang w:val="zh-CN"/>
        </w:rPr>
      </w:pPr>
      <w:r>
        <w:rPr>
          <w:b/>
          <w:bCs/>
          <w:sz w:val="24"/>
          <w:szCs w:val="28"/>
          <w:lang w:val="zh-CN"/>
        </w:rPr>
        <w:t>1</w:t>
      </w:r>
      <w:r>
        <w:rPr>
          <w:b/>
          <w:bCs/>
          <w:sz w:val="24"/>
          <w:szCs w:val="28"/>
          <w:lang w:val="zh-CN"/>
        </w:rPr>
        <w:t>、土地使用权及不动产权</w:t>
      </w:r>
    </w:p>
    <w:p w14:paraId="3CD8C473" w14:textId="77777777" w:rsidR="004B0883" w:rsidRDefault="004B0883">
      <w:pPr>
        <w:widowControl w:val="0"/>
        <w:spacing w:beforeLines="50" w:before="120" w:after="120" w:line="360" w:lineRule="auto"/>
        <w:ind w:firstLineChars="200" w:firstLine="480"/>
        <w:jc w:val="both"/>
        <w:rPr>
          <w:sz w:val="24"/>
          <w:szCs w:val="22"/>
        </w:rPr>
      </w:pPr>
      <w:r>
        <w:rPr>
          <w:sz w:val="24"/>
          <w:szCs w:val="22"/>
          <w:lang w:val="zh-CN"/>
        </w:rPr>
        <w:t>截至</w:t>
      </w:r>
      <w:r>
        <w:rPr>
          <w:sz w:val="24"/>
          <w:szCs w:val="22"/>
        </w:rPr>
        <w:t>2023</w:t>
      </w:r>
      <w:r>
        <w:rPr>
          <w:sz w:val="24"/>
          <w:szCs w:val="22"/>
        </w:rPr>
        <w:t>年</w:t>
      </w:r>
      <w:r>
        <w:rPr>
          <w:rFonts w:hint="eastAsia"/>
          <w:sz w:val="24"/>
          <w:szCs w:val="22"/>
        </w:rPr>
        <w:t>9</w:t>
      </w:r>
      <w:r>
        <w:rPr>
          <w:sz w:val="24"/>
          <w:szCs w:val="22"/>
        </w:rPr>
        <w:t>月</w:t>
      </w:r>
      <w:r>
        <w:rPr>
          <w:sz w:val="24"/>
          <w:szCs w:val="22"/>
        </w:rPr>
        <w:t>3</w:t>
      </w:r>
      <w:r>
        <w:rPr>
          <w:rFonts w:hint="eastAsia"/>
          <w:sz w:val="24"/>
          <w:szCs w:val="22"/>
        </w:rPr>
        <w:t>0</w:t>
      </w:r>
      <w:r>
        <w:rPr>
          <w:sz w:val="24"/>
          <w:szCs w:val="22"/>
        </w:rPr>
        <w:t>日，公司及其控股子公司拥有的土地使用权</w:t>
      </w:r>
      <w:r>
        <w:rPr>
          <w:sz w:val="24"/>
          <w:szCs w:val="22"/>
        </w:rPr>
        <w:t>/</w:t>
      </w:r>
      <w:r>
        <w:rPr>
          <w:sz w:val="24"/>
          <w:szCs w:val="22"/>
        </w:rPr>
        <w:t>不动产权情况如下：</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66"/>
        <w:gridCol w:w="971"/>
        <w:gridCol w:w="1265"/>
        <w:gridCol w:w="1098"/>
        <w:gridCol w:w="1124"/>
        <w:gridCol w:w="1827"/>
        <w:gridCol w:w="689"/>
        <w:gridCol w:w="740"/>
      </w:tblGrid>
      <w:tr w:rsidR="004B0883" w14:paraId="2066E04C" w14:textId="77777777">
        <w:trPr>
          <w:trHeight w:val="397"/>
          <w:tblHeader/>
          <w:jc w:val="center"/>
        </w:trPr>
        <w:tc>
          <w:tcPr>
            <w:tcW w:w="341" w:type="pct"/>
            <w:shd w:val="clear" w:color="auto" w:fill="D9D9D9"/>
            <w:tcMar>
              <w:top w:w="0" w:type="dxa"/>
              <w:bottom w:w="0" w:type="dxa"/>
            </w:tcMar>
            <w:vAlign w:val="center"/>
          </w:tcPr>
          <w:p w14:paraId="62F5566D" w14:textId="77777777" w:rsidR="004B0883" w:rsidRDefault="004B0883">
            <w:pPr>
              <w:widowControl w:val="0"/>
              <w:adjustRightInd w:val="0"/>
              <w:snapToGrid w:val="0"/>
              <w:jc w:val="center"/>
              <w:rPr>
                <w:b/>
                <w:bCs/>
                <w:sz w:val="18"/>
                <w:szCs w:val="18"/>
              </w:rPr>
            </w:pPr>
            <w:bookmarkStart w:id="276" w:name="_Hlk124645120"/>
            <w:r>
              <w:rPr>
                <w:b/>
                <w:color w:val="000000"/>
                <w:sz w:val="18"/>
                <w:szCs w:val="18"/>
              </w:rPr>
              <w:t>序号</w:t>
            </w:r>
          </w:p>
        </w:tc>
        <w:tc>
          <w:tcPr>
            <w:tcW w:w="586" w:type="pct"/>
            <w:shd w:val="clear" w:color="auto" w:fill="D9D9D9"/>
            <w:tcMar>
              <w:top w:w="0" w:type="dxa"/>
              <w:bottom w:w="0" w:type="dxa"/>
            </w:tcMar>
            <w:vAlign w:val="center"/>
          </w:tcPr>
          <w:p w14:paraId="79018DF4" w14:textId="77777777" w:rsidR="004B0883" w:rsidRDefault="004B0883">
            <w:pPr>
              <w:widowControl w:val="0"/>
              <w:adjustRightInd w:val="0"/>
              <w:snapToGrid w:val="0"/>
              <w:jc w:val="center"/>
              <w:rPr>
                <w:b/>
                <w:bCs/>
                <w:sz w:val="18"/>
                <w:szCs w:val="18"/>
              </w:rPr>
            </w:pPr>
            <w:r>
              <w:rPr>
                <w:rFonts w:cs="宋体" w:hint="eastAsia"/>
                <w:b/>
                <w:kern w:val="0"/>
                <w:sz w:val="18"/>
                <w:szCs w:val="18"/>
              </w:rPr>
              <w:t>权属</w:t>
            </w:r>
          </w:p>
        </w:tc>
        <w:tc>
          <w:tcPr>
            <w:tcW w:w="764" w:type="pct"/>
            <w:shd w:val="clear" w:color="auto" w:fill="D9D9D9"/>
            <w:tcMar>
              <w:top w:w="0" w:type="dxa"/>
              <w:bottom w:w="0" w:type="dxa"/>
            </w:tcMar>
            <w:vAlign w:val="center"/>
          </w:tcPr>
          <w:p w14:paraId="4BAFBB3B" w14:textId="77777777" w:rsidR="004B0883" w:rsidRDefault="004B0883">
            <w:pPr>
              <w:widowControl w:val="0"/>
              <w:adjustRightInd w:val="0"/>
              <w:snapToGrid w:val="0"/>
              <w:jc w:val="center"/>
              <w:rPr>
                <w:b/>
                <w:bCs/>
                <w:sz w:val="18"/>
                <w:szCs w:val="18"/>
              </w:rPr>
            </w:pPr>
            <w:r>
              <w:rPr>
                <w:rFonts w:cs="宋体" w:hint="eastAsia"/>
                <w:b/>
                <w:kern w:val="0"/>
                <w:sz w:val="18"/>
                <w:szCs w:val="18"/>
              </w:rPr>
              <w:t>证号</w:t>
            </w:r>
            <w:r>
              <w:rPr>
                <w:rFonts w:cs="宋体" w:hint="eastAsia"/>
                <w:b/>
                <w:kern w:val="0"/>
                <w:sz w:val="18"/>
                <w:szCs w:val="18"/>
              </w:rPr>
              <w:t>/</w:t>
            </w:r>
            <w:r>
              <w:rPr>
                <w:rFonts w:cs="宋体" w:hint="eastAsia"/>
                <w:b/>
                <w:kern w:val="0"/>
                <w:sz w:val="18"/>
                <w:szCs w:val="18"/>
              </w:rPr>
              <w:t>地号</w:t>
            </w:r>
          </w:p>
        </w:tc>
        <w:tc>
          <w:tcPr>
            <w:tcW w:w="663" w:type="pct"/>
            <w:shd w:val="clear" w:color="auto" w:fill="D9D9D9"/>
            <w:tcMar>
              <w:top w:w="0" w:type="dxa"/>
              <w:bottom w:w="0" w:type="dxa"/>
            </w:tcMar>
            <w:vAlign w:val="center"/>
          </w:tcPr>
          <w:p w14:paraId="2FAEAE5C" w14:textId="77777777" w:rsidR="004B0883" w:rsidRDefault="004B0883">
            <w:pPr>
              <w:widowControl w:val="0"/>
              <w:adjustRightInd w:val="0"/>
              <w:snapToGrid w:val="0"/>
              <w:jc w:val="center"/>
              <w:rPr>
                <w:b/>
                <w:bCs/>
                <w:sz w:val="18"/>
                <w:szCs w:val="18"/>
              </w:rPr>
            </w:pPr>
            <w:r>
              <w:rPr>
                <w:rFonts w:cs="宋体" w:hint="eastAsia"/>
                <w:b/>
                <w:kern w:val="0"/>
                <w:sz w:val="18"/>
                <w:szCs w:val="18"/>
              </w:rPr>
              <w:t>面积（㎡）</w:t>
            </w:r>
          </w:p>
        </w:tc>
        <w:tc>
          <w:tcPr>
            <w:tcW w:w="679" w:type="pct"/>
            <w:shd w:val="clear" w:color="auto" w:fill="D9D9D9"/>
            <w:tcMar>
              <w:top w:w="0" w:type="dxa"/>
              <w:bottom w:w="0" w:type="dxa"/>
            </w:tcMar>
            <w:vAlign w:val="center"/>
          </w:tcPr>
          <w:p w14:paraId="5B63D6C9" w14:textId="77777777" w:rsidR="004B0883" w:rsidRDefault="004B0883">
            <w:pPr>
              <w:widowControl w:val="0"/>
              <w:adjustRightInd w:val="0"/>
              <w:snapToGrid w:val="0"/>
              <w:jc w:val="center"/>
              <w:rPr>
                <w:b/>
                <w:bCs/>
                <w:sz w:val="18"/>
                <w:szCs w:val="18"/>
              </w:rPr>
            </w:pPr>
            <w:r>
              <w:rPr>
                <w:rFonts w:cs="宋体" w:hint="eastAsia"/>
                <w:b/>
                <w:kern w:val="0"/>
                <w:sz w:val="18"/>
                <w:szCs w:val="18"/>
              </w:rPr>
              <w:t>终止日期</w:t>
            </w:r>
          </w:p>
        </w:tc>
        <w:tc>
          <w:tcPr>
            <w:tcW w:w="1103" w:type="pct"/>
            <w:shd w:val="clear" w:color="auto" w:fill="D9D9D9"/>
            <w:tcMar>
              <w:top w:w="0" w:type="dxa"/>
              <w:bottom w:w="0" w:type="dxa"/>
            </w:tcMar>
            <w:vAlign w:val="center"/>
          </w:tcPr>
          <w:p w14:paraId="2033D548" w14:textId="77777777" w:rsidR="004B0883" w:rsidRDefault="004B0883">
            <w:pPr>
              <w:widowControl w:val="0"/>
              <w:adjustRightInd w:val="0"/>
              <w:snapToGrid w:val="0"/>
              <w:jc w:val="center"/>
              <w:rPr>
                <w:b/>
                <w:bCs/>
                <w:sz w:val="18"/>
                <w:szCs w:val="18"/>
              </w:rPr>
            </w:pPr>
            <w:r>
              <w:rPr>
                <w:rFonts w:cs="宋体" w:hint="eastAsia"/>
                <w:b/>
                <w:kern w:val="0"/>
                <w:sz w:val="18"/>
                <w:szCs w:val="18"/>
              </w:rPr>
              <w:t>坐落</w:t>
            </w:r>
          </w:p>
        </w:tc>
        <w:tc>
          <w:tcPr>
            <w:tcW w:w="416" w:type="pct"/>
            <w:shd w:val="clear" w:color="auto" w:fill="D9D9D9"/>
            <w:tcMar>
              <w:top w:w="0" w:type="dxa"/>
              <w:bottom w:w="0" w:type="dxa"/>
            </w:tcMar>
            <w:vAlign w:val="center"/>
          </w:tcPr>
          <w:p w14:paraId="7F89F315" w14:textId="77777777" w:rsidR="004B0883" w:rsidRDefault="004B0883">
            <w:pPr>
              <w:widowControl w:val="0"/>
              <w:adjustRightInd w:val="0"/>
              <w:snapToGrid w:val="0"/>
              <w:jc w:val="center"/>
              <w:rPr>
                <w:b/>
                <w:bCs/>
                <w:sz w:val="18"/>
                <w:szCs w:val="18"/>
              </w:rPr>
            </w:pPr>
            <w:r>
              <w:rPr>
                <w:rFonts w:cs="宋体" w:hint="eastAsia"/>
                <w:b/>
                <w:kern w:val="0"/>
                <w:sz w:val="18"/>
                <w:szCs w:val="18"/>
              </w:rPr>
              <w:t>类型</w:t>
            </w:r>
          </w:p>
        </w:tc>
        <w:tc>
          <w:tcPr>
            <w:tcW w:w="447" w:type="pct"/>
            <w:shd w:val="clear" w:color="auto" w:fill="D9D9D9"/>
            <w:vAlign w:val="center"/>
          </w:tcPr>
          <w:p w14:paraId="6A3F7B37" w14:textId="77777777" w:rsidR="004B0883" w:rsidRDefault="004B0883">
            <w:pPr>
              <w:adjustRightInd w:val="0"/>
              <w:snapToGrid w:val="0"/>
              <w:jc w:val="center"/>
              <w:rPr>
                <w:b/>
                <w:color w:val="000000"/>
                <w:sz w:val="18"/>
                <w:szCs w:val="18"/>
              </w:rPr>
            </w:pPr>
            <w:r>
              <w:rPr>
                <w:rFonts w:cs="宋体" w:hint="eastAsia"/>
                <w:b/>
                <w:kern w:val="0"/>
                <w:sz w:val="18"/>
                <w:szCs w:val="18"/>
              </w:rPr>
              <w:t>用途</w:t>
            </w:r>
          </w:p>
        </w:tc>
      </w:tr>
      <w:tr w:rsidR="004B0883" w14:paraId="7F14F4B0" w14:textId="77777777">
        <w:trPr>
          <w:trHeight w:val="397"/>
          <w:jc w:val="center"/>
        </w:trPr>
        <w:tc>
          <w:tcPr>
            <w:tcW w:w="341" w:type="pct"/>
            <w:tcMar>
              <w:top w:w="0" w:type="dxa"/>
              <w:bottom w:w="0" w:type="dxa"/>
            </w:tcMar>
            <w:vAlign w:val="center"/>
          </w:tcPr>
          <w:p w14:paraId="25B78BFE" w14:textId="77777777" w:rsidR="004B0883" w:rsidRDefault="004B0883">
            <w:pPr>
              <w:widowControl w:val="0"/>
              <w:adjustRightInd w:val="0"/>
              <w:snapToGrid w:val="0"/>
              <w:jc w:val="center"/>
              <w:rPr>
                <w:sz w:val="18"/>
                <w:szCs w:val="18"/>
              </w:rPr>
            </w:pPr>
            <w:r>
              <w:rPr>
                <w:sz w:val="18"/>
                <w:szCs w:val="18"/>
              </w:rPr>
              <w:t>1</w:t>
            </w:r>
          </w:p>
        </w:tc>
        <w:tc>
          <w:tcPr>
            <w:tcW w:w="586" w:type="pct"/>
            <w:tcMar>
              <w:top w:w="0" w:type="dxa"/>
              <w:bottom w:w="0" w:type="dxa"/>
            </w:tcMar>
            <w:vAlign w:val="center"/>
          </w:tcPr>
          <w:p w14:paraId="0D825496" w14:textId="77777777" w:rsidR="004B0883" w:rsidRDefault="004B0883">
            <w:pPr>
              <w:jc w:val="both"/>
              <w:rPr>
                <w:rFonts w:cs="宋体"/>
                <w:kern w:val="0"/>
                <w:sz w:val="18"/>
                <w:szCs w:val="18"/>
              </w:rPr>
            </w:pPr>
            <w:r>
              <w:rPr>
                <w:rFonts w:cs="宋体" w:hint="eastAsia"/>
                <w:kern w:val="0"/>
                <w:sz w:val="18"/>
                <w:szCs w:val="18"/>
              </w:rPr>
              <w:t>莱州伟隆</w:t>
            </w:r>
          </w:p>
        </w:tc>
        <w:tc>
          <w:tcPr>
            <w:tcW w:w="1303" w:type="dxa"/>
            <w:tcMar>
              <w:top w:w="0" w:type="dxa"/>
              <w:bottom w:w="0" w:type="dxa"/>
            </w:tcMar>
            <w:vAlign w:val="center"/>
          </w:tcPr>
          <w:p w14:paraId="5BF3B2A4" w14:textId="77777777" w:rsidR="004B0883" w:rsidRDefault="004B0883">
            <w:pPr>
              <w:jc w:val="both"/>
              <w:rPr>
                <w:rFonts w:cs="宋体" w:hint="eastAsia"/>
                <w:kern w:val="0"/>
                <w:sz w:val="18"/>
                <w:szCs w:val="18"/>
              </w:rPr>
            </w:pPr>
            <w:r>
              <w:rPr>
                <w:rFonts w:cs="宋体" w:hint="eastAsia"/>
                <w:kern w:val="0"/>
                <w:sz w:val="18"/>
                <w:szCs w:val="18"/>
              </w:rPr>
              <w:t>莱州国用（</w:t>
            </w:r>
            <w:r>
              <w:rPr>
                <w:rFonts w:cs="宋体" w:hint="eastAsia"/>
                <w:kern w:val="0"/>
                <w:sz w:val="18"/>
                <w:szCs w:val="18"/>
              </w:rPr>
              <w:t>2013</w:t>
            </w:r>
            <w:r>
              <w:rPr>
                <w:rFonts w:cs="宋体" w:hint="eastAsia"/>
                <w:kern w:val="0"/>
                <w:sz w:val="18"/>
                <w:szCs w:val="18"/>
              </w:rPr>
              <w:t>）第</w:t>
            </w:r>
            <w:r>
              <w:rPr>
                <w:rFonts w:cs="宋体" w:hint="eastAsia"/>
                <w:kern w:val="0"/>
                <w:sz w:val="18"/>
                <w:szCs w:val="18"/>
              </w:rPr>
              <w:t>3097</w:t>
            </w:r>
            <w:r>
              <w:rPr>
                <w:rFonts w:cs="宋体" w:hint="eastAsia"/>
                <w:kern w:val="0"/>
                <w:sz w:val="18"/>
                <w:szCs w:val="18"/>
              </w:rPr>
              <w:t>号</w:t>
            </w:r>
          </w:p>
        </w:tc>
        <w:tc>
          <w:tcPr>
            <w:tcW w:w="663" w:type="pct"/>
            <w:tcMar>
              <w:top w:w="0" w:type="dxa"/>
              <w:bottom w:w="0" w:type="dxa"/>
            </w:tcMar>
            <w:vAlign w:val="center"/>
          </w:tcPr>
          <w:p w14:paraId="2F19279A" w14:textId="77777777" w:rsidR="004B0883" w:rsidRDefault="004B0883">
            <w:pPr>
              <w:widowControl w:val="0"/>
              <w:adjustRightInd w:val="0"/>
              <w:snapToGrid w:val="0"/>
              <w:jc w:val="right"/>
              <w:rPr>
                <w:color w:val="000000"/>
                <w:sz w:val="18"/>
                <w:szCs w:val="18"/>
              </w:rPr>
            </w:pPr>
            <w:r>
              <w:rPr>
                <w:kern w:val="0"/>
                <w:sz w:val="18"/>
                <w:szCs w:val="18"/>
                <w:lang w:bidi="ar"/>
              </w:rPr>
              <w:t>7,062.00</w:t>
            </w:r>
          </w:p>
        </w:tc>
        <w:tc>
          <w:tcPr>
            <w:tcW w:w="1158" w:type="dxa"/>
            <w:tcMar>
              <w:top w:w="0" w:type="dxa"/>
              <w:bottom w:w="0" w:type="dxa"/>
            </w:tcMar>
            <w:vAlign w:val="center"/>
          </w:tcPr>
          <w:p w14:paraId="7311199B" w14:textId="77777777" w:rsidR="004B0883" w:rsidRDefault="004B0883">
            <w:pPr>
              <w:jc w:val="center"/>
              <w:rPr>
                <w:rFonts w:cs="宋体" w:hint="eastAsia"/>
                <w:kern w:val="0"/>
                <w:sz w:val="18"/>
                <w:szCs w:val="18"/>
              </w:rPr>
            </w:pPr>
            <w:r>
              <w:rPr>
                <w:rFonts w:cs="宋体" w:hint="eastAsia"/>
                <w:kern w:val="0"/>
                <w:sz w:val="18"/>
                <w:szCs w:val="18"/>
              </w:rPr>
              <w:t>2051.09.14</w:t>
            </w:r>
          </w:p>
        </w:tc>
        <w:tc>
          <w:tcPr>
            <w:tcW w:w="1103" w:type="pct"/>
            <w:tcMar>
              <w:top w:w="0" w:type="dxa"/>
              <w:bottom w:w="0" w:type="dxa"/>
            </w:tcMar>
            <w:vAlign w:val="center"/>
          </w:tcPr>
          <w:p w14:paraId="72104744" w14:textId="77777777" w:rsidR="004B0883" w:rsidRDefault="004B0883">
            <w:pPr>
              <w:widowControl w:val="0"/>
              <w:adjustRightInd w:val="0"/>
              <w:snapToGrid w:val="0"/>
              <w:jc w:val="both"/>
              <w:rPr>
                <w:bCs/>
                <w:sz w:val="18"/>
                <w:szCs w:val="18"/>
              </w:rPr>
            </w:pPr>
            <w:r>
              <w:rPr>
                <w:rFonts w:cs="宋体" w:hint="eastAsia"/>
                <w:kern w:val="0"/>
                <w:sz w:val="18"/>
                <w:szCs w:val="18"/>
              </w:rPr>
              <w:t>沙河镇海郑村</w:t>
            </w:r>
          </w:p>
        </w:tc>
        <w:tc>
          <w:tcPr>
            <w:tcW w:w="416" w:type="pct"/>
            <w:tcMar>
              <w:top w:w="0" w:type="dxa"/>
              <w:bottom w:w="0" w:type="dxa"/>
            </w:tcMar>
            <w:vAlign w:val="center"/>
          </w:tcPr>
          <w:p w14:paraId="758AF48F" w14:textId="77777777" w:rsidR="004B0883" w:rsidRDefault="004B0883">
            <w:pPr>
              <w:widowControl w:val="0"/>
              <w:adjustRightInd w:val="0"/>
              <w:snapToGrid w:val="0"/>
              <w:jc w:val="both"/>
              <w:rPr>
                <w:bCs/>
                <w:sz w:val="18"/>
                <w:szCs w:val="18"/>
              </w:rPr>
            </w:pPr>
            <w:r>
              <w:rPr>
                <w:rFonts w:hint="eastAsia"/>
                <w:kern w:val="0"/>
                <w:sz w:val="18"/>
                <w:szCs w:val="18"/>
                <w:lang w:bidi="ar"/>
              </w:rPr>
              <w:t>出让</w:t>
            </w:r>
          </w:p>
        </w:tc>
        <w:tc>
          <w:tcPr>
            <w:tcW w:w="447" w:type="pct"/>
            <w:vAlign w:val="center"/>
          </w:tcPr>
          <w:p w14:paraId="6ED511B3" w14:textId="77777777" w:rsidR="004B0883" w:rsidRDefault="004B0883">
            <w:pPr>
              <w:widowControl w:val="0"/>
              <w:adjustRightInd w:val="0"/>
              <w:snapToGrid w:val="0"/>
              <w:jc w:val="both"/>
              <w:rPr>
                <w:sz w:val="18"/>
                <w:szCs w:val="18"/>
              </w:rPr>
            </w:pPr>
            <w:r>
              <w:rPr>
                <w:rFonts w:hint="eastAsia"/>
                <w:kern w:val="0"/>
                <w:sz w:val="18"/>
                <w:szCs w:val="18"/>
                <w:lang w:bidi="ar"/>
              </w:rPr>
              <w:t>工业</w:t>
            </w:r>
          </w:p>
        </w:tc>
      </w:tr>
      <w:tr w:rsidR="004B0883" w14:paraId="5D17AB79" w14:textId="77777777">
        <w:trPr>
          <w:trHeight w:val="397"/>
          <w:jc w:val="center"/>
        </w:trPr>
        <w:tc>
          <w:tcPr>
            <w:tcW w:w="341" w:type="pct"/>
            <w:tcMar>
              <w:top w:w="0" w:type="dxa"/>
              <w:bottom w:w="0" w:type="dxa"/>
            </w:tcMar>
            <w:vAlign w:val="center"/>
          </w:tcPr>
          <w:p w14:paraId="61FBFD18" w14:textId="77777777" w:rsidR="004B0883" w:rsidRDefault="004B0883">
            <w:pPr>
              <w:widowControl w:val="0"/>
              <w:adjustRightInd w:val="0"/>
              <w:snapToGrid w:val="0"/>
              <w:jc w:val="center"/>
              <w:rPr>
                <w:sz w:val="18"/>
                <w:szCs w:val="18"/>
              </w:rPr>
            </w:pPr>
            <w:r>
              <w:rPr>
                <w:rFonts w:hint="eastAsia"/>
                <w:sz w:val="18"/>
                <w:szCs w:val="18"/>
              </w:rPr>
              <w:t>2</w:t>
            </w:r>
          </w:p>
        </w:tc>
        <w:tc>
          <w:tcPr>
            <w:tcW w:w="586" w:type="pct"/>
            <w:tcMar>
              <w:top w:w="0" w:type="dxa"/>
              <w:bottom w:w="0" w:type="dxa"/>
            </w:tcMar>
            <w:vAlign w:val="center"/>
          </w:tcPr>
          <w:p w14:paraId="1B2976FC" w14:textId="77777777" w:rsidR="004B0883" w:rsidRDefault="004B0883">
            <w:pPr>
              <w:jc w:val="both"/>
              <w:rPr>
                <w:rFonts w:cs="宋体"/>
                <w:kern w:val="0"/>
                <w:sz w:val="18"/>
                <w:szCs w:val="18"/>
              </w:rPr>
            </w:pPr>
            <w:r>
              <w:rPr>
                <w:rFonts w:cs="宋体" w:hint="eastAsia"/>
                <w:kern w:val="0"/>
                <w:sz w:val="18"/>
                <w:szCs w:val="18"/>
              </w:rPr>
              <w:t>莱州伟隆</w:t>
            </w:r>
          </w:p>
        </w:tc>
        <w:tc>
          <w:tcPr>
            <w:tcW w:w="1303" w:type="dxa"/>
            <w:tcMar>
              <w:top w:w="0" w:type="dxa"/>
              <w:bottom w:w="0" w:type="dxa"/>
            </w:tcMar>
            <w:vAlign w:val="center"/>
          </w:tcPr>
          <w:p w14:paraId="20C65F4A" w14:textId="77777777" w:rsidR="004B0883" w:rsidRDefault="004B0883">
            <w:pPr>
              <w:jc w:val="both"/>
              <w:rPr>
                <w:rFonts w:cs="宋体" w:hint="eastAsia"/>
                <w:kern w:val="0"/>
                <w:sz w:val="18"/>
                <w:szCs w:val="18"/>
              </w:rPr>
            </w:pPr>
            <w:r>
              <w:rPr>
                <w:rFonts w:cs="宋体" w:hint="eastAsia"/>
                <w:kern w:val="0"/>
                <w:sz w:val="18"/>
                <w:szCs w:val="18"/>
              </w:rPr>
              <w:t>莱州国用（</w:t>
            </w:r>
            <w:r>
              <w:rPr>
                <w:rFonts w:cs="宋体" w:hint="eastAsia"/>
                <w:kern w:val="0"/>
                <w:sz w:val="18"/>
                <w:szCs w:val="18"/>
              </w:rPr>
              <w:t>2009</w:t>
            </w:r>
            <w:r>
              <w:rPr>
                <w:rFonts w:cs="宋体" w:hint="eastAsia"/>
                <w:kern w:val="0"/>
                <w:sz w:val="18"/>
                <w:szCs w:val="18"/>
              </w:rPr>
              <w:t>）第</w:t>
            </w:r>
            <w:r>
              <w:rPr>
                <w:rFonts w:cs="宋体" w:hint="eastAsia"/>
                <w:kern w:val="0"/>
                <w:sz w:val="18"/>
                <w:szCs w:val="18"/>
              </w:rPr>
              <w:t>2929</w:t>
            </w:r>
            <w:r>
              <w:rPr>
                <w:rFonts w:cs="宋体" w:hint="eastAsia"/>
                <w:kern w:val="0"/>
                <w:sz w:val="18"/>
                <w:szCs w:val="18"/>
              </w:rPr>
              <w:t>号</w:t>
            </w:r>
          </w:p>
        </w:tc>
        <w:tc>
          <w:tcPr>
            <w:tcW w:w="663" w:type="pct"/>
            <w:tcMar>
              <w:top w:w="0" w:type="dxa"/>
              <w:bottom w:w="0" w:type="dxa"/>
            </w:tcMar>
            <w:vAlign w:val="center"/>
          </w:tcPr>
          <w:p w14:paraId="75426722" w14:textId="77777777" w:rsidR="004B0883" w:rsidRDefault="004B0883">
            <w:pPr>
              <w:widowControl w:val="0"/>
              <w:adjustRightInd w:val="0"/>
              <w:snapToGrid w:val="0"/>
              <w:jc w:val="right"/>
              <w:rPr>
                <w:bCs/>
                <w:sz w:val="18"/>
                <w:szCs w:val="18"/>
              </w:rPr>
            </w:pPr>
            <w:r>
              <w:rPr>
                <w:rFonts w:hint="eastAsia"/>
                <w:kern w:val="0"/>
                <w:sz w:val="18"/>
                <w:szCs w:val="18"/>
                <w:lang w:bidi="ar"/>
              </w:rPr>
              <w:t>1</w:t>
            </w:r>
            <w:r>
              <w:rPr>
                <w:kern w:val="0"/>
                <w:sz w:val="18"/>
                <w:szCs w:val="18"/>
                <w:lang w:bidi="ar"/>
              </w:rPr>
              <w:t>7,160.10</w:t>
            </w:r>
          </w:p>
        </w:tc>
        <w:tc>
          <w:tcPr>
            <w:tcW w:w="1158" w:type="dxa"/>
            <w:tcMar>
              <w:top w:w="0" w:type="dxa"/>
              <w:bottom w:w="0" w:type="dxa"/>
            </w:tcMar>
            <w:vAlign w:val="center"/>
          </w:tcPr>
          <w:p w14:paraId="0F7B679C" w14:textId="77777777" w:rsidR="004B0883" w:rsidRDefault="004B0883">
            <w:pPr>
              <w:jc w:val="center"/>
              <w:rPr>
                <w:rFonts w:cs="宋体" w:hint="eastAsia"/>
                <w:kern w:val="0"/>
                <w:sz w:val="18"/>
                <w:szCs w:val="18"/>
              </w:rPr>
            </w:pPr>
            <w:r>
              <w:rPr>
                <w:rFonts w:cs="宋体" w:hint="eastAsia"/>
                <w:kern w:val="0"/>
                <w:sz w:val="18"/>
                <w:szCs w:val="18"/>
              </w:rPr>
              <w:t>2056.12.30</w:t>
            </w:r>
          </w:p>
        </w:tc>
        <w:tc>
          <w:tcPr>
            <w:tcW w:w="1103" w:type="pct"/>
            <w:tcMar>
              <w:top w:w="0" w:type="dxa"/>
              <w:bottom w:w="0" w:type="dxa"/>
            </w:tcMar>
            <w:vAlign w:val="center"/>
          </w:tcPr>
          <w:p w14:paraId="0C4280A6" w14:textId="77777777" w:rsidR="004B0883" w:rsidRDefault="004B0883">
            <w:pPr>
              <w:widowControl w:val="0"/>
              <w:adjustRightInd w:val="0"/>
              <w:snapToGrid w:val="0"/>
              <w:jc w:val="both"/>
              <w:rPr>
                <w:bCs/>
                <w:sz w:val="18"/>
                <w:szCs w:val="18"/>
              </w:rPr>
            </w:pPr>
            <w:r>
              <w:rPr>
                <w:rFonts w:cs="宋体" w:hint="eastAsia"/>
                <w:kern w:val="0"/>
                <w:sz w:val="18"/>
                <w:szCs w:val="18"/>
              </w:rPr>
              <w:t>沙河镇海郑村</w:t>
            </w:r>
          </w:p>
        </w:tc>
        <w:tc>
          <w:tcPr>
            <w:tcW w:w="416" w:type="pct"/>
            <w:tcMar>
              <w:top w:w="0" w:type="dxa"/>
              <w:bottom w:w="0" w:type="dxa"/>
            </w:tcMar>
            <w:vAlign w:val="center"/>
          </w:tcPr>
          <w:p w14:paraId="6E4E23E3" w14:textId="77777777" w:rsidR="004B0883" w:rsidRDefault="004B0883">
            <w:pPr>
              <w:widowControl w:val="0"/>
              <w:adjustRightInd w:val="0"/>
              <w:snapToGrid w:val="0"/>
              <w:jc w:val="both"/>
              <w:rPr>
                <w:bCs/>
                <w:sz w:val="18"/>
                <w:szCs w:val="18"/>
              </w:rPr>
            </w:pPr>
            <w:r>
              <w:rPr>
                <w:rFonts w:hint="eastAsia"/>
                <w:kern w:val="0"/>
                <w:sz w:val="18"/>
                <w:szCs w:val="18"/>
                <w:lang w:bidi="ar"/>
              </w:rPr>
              <w:t>出让</w:t>
            </w:r>
          </w:p>
        </w:tc>
        <w:tc>
          <w:tcPr>
            <w:tcW w:w="447" w:type="pct"/>
            <w:vAlign w:val="center"/>
          </w:tcPr>
          <w:p w14:paraId="46C3B586" w14:textId="77777777" w:rsidR="004B0883" w:rsidRDefault="004B0883">
            <w:pPr>
              <w:widowControl w:val="0"/>
              <w:adjustRightInd w:val="0"/>
              <w:snapToGrid w:val="0"/>
              <w:jc w:val="both"/>
              <w:rPr>
                <w:rFonts w:hint="eastAsia"/>
                <w:sz w:val="18"/>
                <w:szCs w:val="18"/>
              </w:rPr>
            </w:pPr>
            <w:r>
              <w:rPr>
                <w:rFonts w:hint="eastAsia"/>
                <w:kern w:val="0"/>
                <w:sz w:val="18"/>
                <w:szCs w:val="18"/>
                <w:lang w:bidi="ar"/>
              </w:rPr>
              <w:t>工业</w:t>
            </w:r>
          </w:p>
        </w:tc>
      </w:tr>
      <w:tr w:rsidR="004B0883" w14:paraId="6C60EF4D" w14:textId="77777777">
        <w:trPr>
          <w:trHeight w:val="397"/>
          <w:jc w:val="center"/>
        </w:trPr>
        <w:tc>
          <w:tcPr>
            <w:tcW w:w="341" w:type="pct"/>
            <w:tcMar>
              <w:top w:w="0" w:type="dxa"/>
              <w:bottom w:w="0" w:type="dxa"/>
            </w:tcMar>
            <w:vAlign w:val="center"/>
          </w:tcPr>
          <w:p w14:paraId="701A19F8" w14:textId="77777777" w:rsidR="004B0883" w:rsidRDefault="004B0883">
            <w:pPr>
              <w:widowControl w:val="0"/>
              <w:adjustRightInd w:val="0"/>
              <w:snapToGrid w:val="0"/>
              <w:jc w:val="center"/>
              <w:rPr>
                <w:sz w:val="18"/>
                <w:szCs w:val="18"/>
              </w:rPr>
            </w:pPr>
            <w:r>
              <w:rPr>
                <w:rFonts w:hint="eastAsia"/>
                <w:sz w:val="18"/>
                <w:szCs w:val="18"/>
              </w:rPr>
              <w:t>3</w:t>
            </w:r>
          </w:p>
        </w:tc>
        <w:tc>
          <w:tcPr>
            <w:tcW w:w="586" w:type="pct"/>
            <w:tcMar>
              <w:top w:w="0" w:type="dxa"/>
              <w:bottom w:w="0" w:type="dxa"/>
            </w:tcMar>
            <w:vAlign w:val="center"/>
          </w:tcPr>
          <w:p w14:paraId="34633734" w14:textId="77777777" w:rsidR="004B0883" w:rsidRDefault="004B0883">
            <w:pPr>
              <w:jc w:val="both"/>
              <w:rPr>
                <w:rFonts w:cs="宋体"/>
                <w:kern w:val="0"/>
                <w:sz w:val="18"/>
                <w:szCs w:val="18"/>
              </w:rPr>
            </w:pPr>
            <w:r>
              <w:rPr>
                <w:rFonts w:cs="宋体" w:hint="eastAsia"/>
                <w:kern w:val="0"/>
                <w:sz w:val="18"/>
                <w:szCs w:val="18"/>
              </w:rPr>
              <w:t>莱州伟隆</w:t>
            </w:r>
          </w:p>
        </w:tc>
        <w:tc>
          <w:tcPr>
            <w:tcW w:w="1303" w:type="dxa"/>
            <w:tcMar>
              <w:top w:w="0" w:type="dxa"/>
              <w:bottom w:w="0" w:type="dxa"/>
            </w:tcMar>
            <w:vAlign w:val="center"/>
          </w:tcPr>
          <w:p w14:paraId="5D49A652" w14:textId="77777777" w:rsidR="004B0883" w:rsidRDefault="004B0883">
            <w:pPr>
              <w:jc w:val="both"/>
              <w:rPr>
                <w:rFonts w:cs="宋体" w:hint="eastAsia"/>
                <w:kern w:val="0"/>
                <w:sz w:val="18"/>
                <w:szCs w:val="18"/>
              </w:rPr>
            </w:pPr>
            <w:r>
              <w:rPr>
                <w:rFonts w:cs="宋体" w:hint="eastAsia"/>
                <w:kern w:val="0"/>
                <w:sz w:val="18"/>
                <w:szCs w:val="18"/>
              </w:rPr>
              <w:t>莱州国用（</w:t>
            </w:r>
            <w:r>
              <w:rPr>
                <w:rFonts w:cs="宋体" w:hint="eastAsia"/>
                <w:kern w:val="0"/>
                <w:sz w:val="18"/>
                <w:szCs w:val="18"/>
              </w:rPr>
              <w:t>2013</w:t>
            </w:r>
            <w:r>
              <w:rPr>
                <w:rFonts w:cs="宋体" w:hint="eastAsia"/>
                <w:kern w:val="0"/>
                <w:sz w:val="18"/>
                <w:szCs w:val="18"/>
              </w:rPr>
              <w:t>）第</w:t>
            </w:r>
            <w:r>
              <w:rPr>
                <w:rFonts w:cs="宋体" w:hint="eastAsia"/>
                <w:kern w:val="0"/>
                <w:sz w:val="18"/>
                <w:szCs w:val="18"/>
              </w:rPr>
              <w:t>3098</w:t>
            </w:r>
            <w:r>
              <w:rPr>
                <w:rFonts w:cs="宋体" w:hint="eastAsia"/>
                <w:kern w:val="0"/>
                <w:sz w:val="18"/>
                <w:szCs w:val="18"/>
              </w:rPr>
              <w:t>号</w:t>
            </w:r>
          </w:p>
        </w:tc>
        <w:tc>
          <w:tcPr>
            <w:tcW w:w="663" w:type="pct"/>
            <w:tcMar>
              <w:top w:w="0" w:type="dxa"/>
              <w:bottom w:w="0" w:type="dxa"/>
            </w:tcMar>
            <w:vAlign w:val="center"/>
          </w:tcPr>
          <w:p w14:paraId="6D7E8F39" w14:textId="77777777" w:rsidR="004B0883" w:rsidRDefault="004B0883">
            <w:pPr>
              <w:widowControl w:val="0"/>
              <w:adjustRightInd w:val="0"/>
              <w:snapToGrid w:val="0"/>
              <w:jc w:val="right"/>
              <w:rPr>
                <w:bCs/>
                <w:sz w:val="18"/>
                <w:szCs w:val="18"/>
              </w:rPr>
            </w:pPr>
            <w:r>
              <w:rPr>
                <w:rFonts w:hint="eastAsia"/>
                <w:kern w:val="0"/>
                <w:sz w:val="18"/>
                <w:szCs w:val="18"/>
                <w:lang w:bidi="ar"/>
              </w:rPr>
              <w:t>1</w:t>
            </w:r>
            <w:r>
              <w:rPr>
                <w:kern w:val="0"/>
                <w:sz w:val="18"/>
                <w:szCs w:val="18"/>
                <w:lang w:bidi="ar"/>
              </w:rPr>
              <w:t>6,605.00</w:t>
            </w:r>
          </w:p>
        </w:tc>
        <w:tc>
          <w:tcPr>
            <w:tcW w:w="1158" w:type="dxa"/>
            <w:tcMar>
              <w:top w:w="0" w:type="dxa"/>
              <w:bottom w:w="0" w:type="dxa"/>
            </w:tcMar>
            <w:vAlign w:val="center"/>
          </w:tcPr>
          <w:p w14:paraId="2B496C14" w14:textId="77777777" w:rsidR="004B0883" w:rsidRDefault="004B0883">
            <w:pPr>
              <w:jc w:val="center"/>
              <w:rPr>
                <w:rFonts w:cs="宋体" w:hint="eastAsia"/>
                <w:kern w:val="0"/>
                <w:sz w:val="18"/>
                <w:szCs w:val="18"/>
              </w:rPr>
            </w:pPr>
            <w:r>
              <w:rPr>
                <w:rFonts w:cs="宋体" w:hint="eastAsia"/>
                <w:kern w:val="0"/>
                <w:sz w:val="18"/>
                <w:szCs w:val="18"/>
              </w:rPr>
              <w:t>2061.07.06</w:t>
            </w:r>
          </w:p>
        </w:tc>
        <w:tc>
          <w:tcPr>
            <w:tcW w:w="1103" w:type="pct"/>
            <w:tcMar>
              <w:top w:w="0" w:type="dxa"/>
              <w:bottom w:w="0" w:type="dxa"/>
            </w:tcMar>
            <w:vAlign w:val="center"/>
          </w:tcPr>
          <w:p w14:paraId="3AC4042C" w14:textId="77777777" w:rsidR="004B0883" w:rsidRDefault="004B0883">
            <w:pPr>
              <w:widowControl w:val="0"/>
              <w:adjustRightInd w:val="0"/>
              <w:snapToGrid w:val="0"/>
              <w:jc w:val="both"/>
              <w:rPr>
                <w:bCs/>
                <w:sz w:val="18"/>
                <w:szCs w:val="18"/>
              </w:rPr>
            </w:pPr>
            <w:r>
              <w:rPr>
                <w:rFonts w:cs="宋体" w:hint="eastAsia"/>
                <w:kern w:val="0"/>
                <w:sz w:val="18"/>
                <w:szCs w:val="18"/>
              </w:rPr>
              <w:t>沙河镇海郑村</w:t>
            </w:r>
          </w:p>
        </w:tc>
        <w:tc>
          <w:tcPr>
            <w:tcW w:w="416" w:type="pct"/>
            <w:tcMar>
              <w:top w:w="0" w:type="dxa"/>
              <w:bottom w:w="0" w:type="dxa"/>
            </w:tcMar>
            <w:vAlign w:val="center"/>
          </w:tcPr>
          <w:p w14:paraId="0CE0DBB6" w14:textId="77777777" w:rsidR="004B0883" w:rsidRDefault="004B0883">
            <w:pPr>
              <w:widowControl w:val="0"/>
              <w:adjustRightInd w:val="0"/>
              <w:snapToGrid w:val="0"/>
              <w:jc w:val="both"/>
              <w:rPr>
                <w:bCs/>
                <w:sz w:val="18"/>
                <w:szCs w:val="18"/>
              </w:rPr>
            </w:pPr>
            <w:r>
              <w:rPr>
                <w:rFonts w:hint="eastAsia"/>
                <w:kern w:val="0"/>
                <w:sz w:val="18"/>
                <w:szCs w:val="18"/>
                <w:lang w:bidi="ar"/>
              </w:rPr>
              <w:t>出让</w:t>
            </w:r>
          </w:p>
        </w:tc>
        <w:tc>
          <w:tcPr>
            <w:tcW w:w="447" w:type="pct"/>
            <w:vAlign w:val="center"/>
          </w:tcPr>
          <w:p w14:paraId="295992C9" w14:textId="77777777" w:rsidR="004B0883" w:rsidRDefault="004B0883">
            <w:pPr>
              <w:widowControl w:val="0"/>
              <w:adjustRightInd w:val="0"/>
              <w:snapToGrid w:val="0"/>
              <w:jc w:val="both"/>
              <w:rPr>
                <w:rFonts w:hint="eastAsia"/>
                <w:sz w:val="18"/>
                <w:szCs w:val="18"/>
              </w:rPr>
            </w:pPr>
            <w:r>
              <w:rPr>
                <w:rFonts w:hint="eastAsia"/>
                <w:kern w:val="0"/>
                <w:sz w:val="18"/>
                <w:szCs w:val="18"/>
                <w:lang w:bidi="ar"/>
              </w:rPr>
              <w:t>工业</w:t>
            </w:r>
          </w:p>
        </w:tc>
      </w:tr>
      <w:tr w:rsidR="004B0883" w14:paraId="1DE1F8D5" w14:textId="77777777">
        <w:trPr>
          <w:trHeight w:val="397"/>
          <w:jc w:val="center"/>
        </w:trPr>
        <w:tc>
          <w:tcPr>
            <w:tcW w:w="341" w:type="pct"/>
            <w:tcMar>
              <w:top w:w="0" w:type="dxa"/>
              <w:bottom w:w="0" w:type="dxa"/>
            </w:tcMar>
            <w:vAlign w:val="center"/>
          </w:tcPr>
          <w:p w14:paraId="5DC94559" w14:textId="77777777" w:rsidR="004B0883" w:rsidRDefault="004B0883">
            <w:pPr>
              <w:widowControl w:val="0"/>
              <w:adjustRightInd w:val="0"/>
              <w:snapToGrid w:val="0"/>
              <w:jc w:val="center"/>
              <w:rPr>
                <w:sz w:val="18"/>
                <w:szCs w:val="18"/>
              </w:rPr>
            </w:pPr>
            <w:r>
              <w:rPr>
                <w:rFonts w:hint="eastAsia"/>
                <w:sz w:val="18"/>
                <w:szCs w:val="18"/>
              </w:rPr>
              <w:t>4</w:t>
            </w:r>
          </w:p>
        </w:tc>
        <w:tc>
          <w:tcPr>
            <w:tcW w:w="586" w:type="pct"/>
            <w:tcMar>
              <w:top w:w="0" w:type="dxa"/>
              <w:bottom w:w="0" w:type="dxa"/>
            </w:tcMar>
            <w:vAlign w:val="center"/>
          </w:tcPr>
          <w:p w14:paraId="0D764239" w14:textId="77777777" w:rsidR="004B0883" w:rsidRDefault="004B0883">
            <w:pPr>
              <w:jc w:val="both"/>
              <w:rPr>
                <w:rFonts w:cs="宋体"/>
                <w:kern w:val="0"/>
                <w:sz w:val="18"/>
                <w:szCs w:val="18"/>
              </w:rPr>
            </w:pPr>
            <w:r>
              <w:rPr>
                <w:rFonts w:cs="宋体" w:hint="eastAsia"/>
                <w:kern w:val="0"/>
                <w:sz w:val="18"/>
                <w:szCs w:val="18"/>
              </w:rPr>
              <w:t>莱州伟隆</w:t>
            </w:r>
          </w:p>
        </w:tc>
        <w:tc>
          <w:tcPr>
            <w:tcW w:w="1303" w:type="dxa"/>
            <w:tcMar>
              <w:top w:w="0" w:type="dxa"/>
              <w:bottom w:w="0" w:type="dxa"/>
            </w:tcMar>
            <w:vAlign w:val="center"/>
          </w:tcPr>
          <w:p w14:paraId="0CD744D9" w14:textId="77777777" w:rsidR="004B0883" w:rsidRDefault="004B0883">
            <w:pPr>
              <w:jc w:val="both"/>
              <w:rPr>
                <w:rFonts w:cs="宋体" w:hint="eastAsia"/>
                <w:kern w:val="0"/>
                <w:sz w:val="18"/>
                <w:szCs w:val="18"/>
              </w:rPr>
            </w:pPr>
            <w:r>
              <w:rPr>
                <w:rFonts w:cs="宋体" w:hint="eastAsia"/>
                <w:kern w:val="0"/>
                <w:sz w:val="18"/>
                <w:szCs w:val="18"/>
              </w:rPr>
              <w:t>莱州国用（</w:t>
            </w:r>
            <w:r>
              <w:rPr>
                <w:rFonts w:cs="宋体" w:hint="eastAsia"/>
                <w:kern w:val="0"/>
                <w:sz w:val="18"/>
                <w:szCs w:val="18"/>
              </w:rPr>
              <w:t>2013</w:t>
            </w:r>
            <w:r>
              <w:rPr>
                <w:rFonts w:cs="宋体" w:hint="eastAsia"/>
                <w:kern w:val="0"/>
                <w:sz w:val="18"/>
                <w:szCs w:val="18"/>
              </w:rPr>
              <w:t>）第</w:t>
            </w:r>
            <w:r>
              <w:rPr>
                <w:rFonts w:cs="宋体" w:hint="eastAsia"/>
                <w:kern w:val="0"/>
                <w:sz w:val="18"/>
                <w:szCs w:val="18"/>
              </w:rPr>
              <w:t>3099</w:t>
            </w:r>
            <w:r>
              <w:rPr>
                <w:rFonts w:cs="宋体" w:hint="eastAsia"/>
                <w:kern w:val="0"/>
                <w:sz w:val="18"/>
                <w:szCs w:val="18"/>
              </w:rPr>
              <w:t>号</w:t>
            </w:r>
          </w:p>
        </w:tc>
        <w:tc>
          <w:tcPr>
            <w:tcW w:w="663" w:type="pct"/>
            <w:tcMar>
              <w:top w:w="0" w:type="dxa"/>
              <w:bottom w:w="0" w:type="dxa"/>
            </w:tcMar>
            <w:vAlign w:val="center"/>
          </w:tcPr>
          <w:p w14:paraId="3978FEE4" w14:textId="77777777" w:rsidR="004B0883" w:rsidRDefault="004B0883">
            <w:pPr>
              <w:widowControl w:val="0"/>
              <w:adjustRightInd w:val="0"/>
              <w:snapToGrid w:val="0"/>
              <w:jc w:val="right"/>
              <w:rPr>
                <w:bCs/>
                <w:sz w:val="18"/>
                <w:szCs w:val="18"/>
              </w:rPr>
            </w:pPr>
            <w:r>
              <w:rPr>
                <w:rFonts w:hint="eastAsia"/>
                <w:kern w:val="0"/>
                <w:sz w:val="18"/>
                <w:szCs w:val="18"/>
                <w:lang w:bidi="ar"/>
              </w:rPr>
              <w:t>1</w:t>
            </w:r>
            <w:r>
              <w:rPr>
                <w:kern w:val="0"/>
                <w:sz w:val="18"/>
                <w:szCs w:val="18"/>
                <w:lang w:bidi="ar"/>
              </w:rPr>
              <w:t>6,547.19</w:t>
            </w:r>
          </w:p>
        </w:tc>
        <w:tc>
          <w:tcPr>
            <w:tcW w:w="1158" w:type="dxa"/>
            <w:tcMar>
              <w:top w:w="0" w:type="dxa"/>
              <w:bottom w:w="0" w:type="dxa"/>
            </w:tcMar>
            <w:vAlign w:val="center"/>
          </w:tcPr>
          <w:p w14:paraId="71D7444C" w14:textId="77777777" w:rsidR="004B0883" w:rsidRDefault="004B0883">
            <w:pPr>
              <w:jc w:val="center"/>
              <w:rPr>
                <w:rFonts w:cs="宋体" w:hint="eastAsia"/>
                <w:kern w:val="0"/>
                <w:sz w:val="18"/>
                <w:szCs w:val="18"/>
              </w:rPr>
            </w:pPr>
            <w:r>
              <w:rPr>
                <w:rFonts w:cs="宋体" w:hint="eastAsia"/>
                <w:kern w:val="0"/>
                <w:sz w:val="18"/>
                <w:szCs w:val="18"/>
              </w:rPr>
              <w:t>2061.07.06</w:t>
            </w:r>
          </w:p>
        </w:tc>
        <w:tc>
          <w:tcPr>
            <w:tcW w:w="1103" w:type="pct"/>
            <w:tcMar>
              <w:top w:w="0" w:type="dxa"/>
              <w:bottom w:w="0" w:type="dxa"/>
            </w:tcMar>
            <w:vAlign w:val="center"/>
          </w:tcPr>
          <w:p w14:paraId="6A63FEC9" w14:textId="77777777" w:rsidR="004B0883" w:rsidRDefault="004B0883">
            <w:pPr>
              <w:widowControl w:val="0"/>
              <w:adjustRightInd w:val="0"/>
              <w:snapToGrid w:val="0"/>
              <w:jc w:val="both"/>
              <w:rPr>
                <w:bCs/>
                <w:sz w:val="18"/>
                <w:szCs w:val="18"/>
              </w:rPr>
            </w:pPr>
            <w:r>
              <w:rPr>
                <w:rFonts w:cs="宋体" w:hint="eastAsia"/>
                <w:kern w:val="0"/>
                <w:sz w:val="18"/>
                <w:szCs w:val="18"/>
              </w:rPr>
              <w:t>沙河镇海郑村</w:t>
            </w:r>
          </w:p>
        </w:tc>
        <w:tc>
          <w:tcPr>
            <w:tcW w:w="416" w:type="pct"/>
            <w:tcMar>
              <w:top w:w="0" w:type="dxa"/>
              <w:bottom w:w="0" w:type="dxa"/>
            </w:tcMar>
            <w:vAlign w:val="center"/>
          </w:tcPr>
          <w:p w14:paraId="19324382" w14:textId="77777777" w:rsidR="004B0883" w:rsidRDefault="004B0883">
            <w:pPr>
              <w:widowControl w:val="0"/>
              <w:adjustRightInd w:val="0"/>
              <w:snapToGrid w:val="0"/>
              <w:jc w:val="both"/>
              <w:rPr>
                <w:bCs/>
                <w:sz w:val="18"/>
                <w:szCs w:val="18"/>
              </w:rPr>
            </w:pPr>
            <w:r>
              <w:rPr>
                <w:rFonts w:hint="eastAsia"/>
                <w:kern w:val="0"/>
                <w:sz w:val="18"/>
                <w:szCs w:val="18"/>
                <w:lang w:bidi="ar"/>
              </w:rPr>
              <w:t>出让</w:t>
            </w:r>
          </w:p>
        </w:tc>
        <w:tc>
          <w:tcPr>
            <w:tcW w:w="447" w:type="pct"/>
            <w:vAlign w:val="center"/>
          </w:tcPr>
          <w:p w14:paraId="38548794" w14:textId="77777777" w:rsidR="004B0883" w:rsidRDefault="004B0883">
            <w:pPr>
              <w:widowControl w:val="0"/>
              <w:adjustRightInd w:val="0"/>
              <w:snapToGrid w:val="0"/>
              <w:jc w:val="both"/>
              <w:rPr>
                <w:rFonts w:hint="eastAsia"/>
                <w:sz w:val="18"/>
                <w:szCs w:val="18"/>
              </w:rPr>
            </w:pPr>
            <w:r>
              <w:rPr>
                <w:rFonts w:hint="eastAsia"/>
                <w:kern w:val="0"/>
                <w:sz w:val="18"/>
                <w:szCs w:val="18"/>
                <w:lang w:bidi="ar"/>
              </w:rPr>
              <w:t>工业</w:t>
            </w:r>
          </w:p>
        </w:tc>
      </w:tr>
      <w:tr w:rsidR="004B0883" w14:paraId="229FEE6A" w14:textId="77777777">
        <w:trPr>
          <w:trHeight w:val="397"/>
          <w:jc w:val="center"/>
        </w:trPr>
        <w:tc>
          <w:tcPr>
            <w:tcW w:w="341" w:type="pct"/>
            <w:tcMar>
              <w:top w:w="0" w:type="dxa"/>
              <w:bottom w:w="0" w:type="dxa"/>
            </w:tcMar>
            <w:vAlign w:val="center"/>
          </w:tcPr>
          <w:p w14:paraId="0113C279" w14:textId="77777777" w:rsidR="004B0883" w:rsidRDefault="004B0883">
            <w:pPr>
              <w:widowControl w:val="0"/>
              <w:adjustRightInd w:val="0"/>
              <w:snapToGrid w:val="0"/>
              <w:jc w:val="center"/>
              <w:rPr>
                <w:rFonts w:hint="eastAsia"/>
                <w:sz w:val="18"/>
                <w:szCs w:val="18"/>
              </w:rPr>
            </w:pPr>
            <w:r>
              <w:rPr>
                <w:rFonts w:hint="eastAsia"/>
                <w:sz w:val="18"/>
                <w:szCs w:val="18"/>
              </w:rPr>
              <w:t>5</w:t>
            </w:r>
          </w:p>
        </w:tc>
        <w:tc>
          <w:tcPr>
            <w:tcW w:w="586" w:type="pct"/>
            <w:tcMar>
              <w:top w:w="0" w:type="dxa"/>
              <w:bottom w:w="0" w:type="dxa"/>
            </w:tcMar>
            <w:vAlign w:val="center"/>
          </w:tcPr>
          <w:p w14:paraId="6E184D2F" w14:textId="77777777" w:rsidR="004B0883" w:rsidRDefault="004B0883">
            <w:pPr>
              <w:rPr>
                <w:rFonts w:cs="宋体" w:hint="eastAsia"/>
                <w:kern w:val="0"/>
                <w:sz w:val="18"/>
                <w:szCs w:val="18"/>
              </w:rPr>
            </w:pPr>
            <w:r>
              <w:rPr>
                <w:rFonts w:cs="宋体" w:hint="eastAsia"/>
                <w:kern w:val="0"/>
                <w:sz w:val="18"/>
                <w:szCs w:val="18"/>
              </w:rPr>
              <w:t>莱州伟隆</w:t>
            </w:r>
          </w:p>
        </w:tc>
        <w:tc>
          <w:tcPr>
            <w:tcW w:w="1303" w:type="dxa"/>
            <w:tcMar>
              <w:top w:w="0" w:type="dxa"/>
              <w:bottom w:w="0" w:type="dxa"/>
            </w:tcMar>
            <w:vAlign w:val="center"/>
          </w:tcPr>
          <w:p w14:paraId="3555EAE1" w14:textId="77777777" w:rsidR="004B0883" w:rsidRDefault="004B0883">
            <w:pPr>
              <w:jc w:val="both"/>
              <w:rPr>
                <w:rFonts w:cs="宋体" w:hint="eastAsia"/>
                <w:kern w:val="0"/>
                <w:sz w:val="18"/>
                <w:szCs w:val="18"/>
              </w:rPr>
            </w:pPr>
            <w:r>
              <w:rPr>
                <w:rFonts w:cs="宋体" w:hint="eastAsia"/>
                <w:kern w:val="0"/>
                <w:sz w:val="18"/>
                <w:szCs w:val="18"/>
              </w:rPr>
              <w:t>鲁（</w:t>
            </w:r>
            <w:r>
              <w:rPr>
                <w:rFonts w:cs="宋体" w:hint="eastAsia"/>
                <w:kern w:val="0"/>
                <w:sz w:val="18"/>
                <w:szCs w:val="18"/>
              </w:rPr>
              <w:t>2018</w:t>
            </w:r>
            <w:r>
              <w:rPr>
                <w:rFonts w:cs="宋体" w:hint="eastAsia"/>
                <w:kern w:val="0"/>
                <w:sz w:val="18"/>
                <w:szCs w:val="18"/>
              </w:rPr>
              <w:t>）莱州市不动产权第</w:t>
            </w:r>
            <w:r>
              <w:rPr>
                <w:rFonts w:cs="宋体" w:hint="eastAsia"/>
                <w:kern w:val="0"/>
                <w:sz w:val="18"/>
                <w:szCs w:val="18"/>
              </w:rPr>
              <w:t>0000422</w:t>
            </w:r>
            <w:r>
              <w:rPr>
                <w:rFonts w:cs="宋体" w:hint="eastAsia"/>
                <w:kern w:val="0"/>
                <w:sz w:val="18"/>
                <w:szCs w:val="18"/>
              </w:rPr>
              <w:t>号</w:t>
            </w:r>
          </w:p>
        </w:tc>
        <w:tc>
          <w:tcPr>
            <w:tcW w:w="663" w:type="pct"/>
            <w:tcMar>
              <w:top w:w="0" w:type="dxa"/>
              <w:bottom w:w="0" w:type="dxa"/>
            </w:tcMar>
            <w:vAlign w:val="center"/>
          </w:tcPr>
          <w:p w14:paraId="3C2080D9" w14:textId="77777777" w:rsidR="004B0883" w:rsidRDefault="004B0883">
            <w:pPr>
              <w:widowControl w:val="0"/>
              <w:adjustRightInd w:val="0"/>
              <w:snapToGrid w:val="0"/>
              <w:jc w:val="right"/>
              <w:rPr>
                <w:rFonts w:hint="eastAsia"/>
                <w:kern w:val="0"/>
                <w:sz w:val="18"/>
                <w:szCs w:val="18"/>
                <w:lang w:bidi="ar"/>
              </w:rPr>
            </w:pPr>
            <w:r>
              <w:rPr>
                <w:rFonts w:cs="宋体" w:hint="eastAsia"/>
                <w:kern w:val="0"/>
                <w:sz w:val="18"/>
                <w:szCs w:val="18"/>
              </w:rPr>
              <w:t>45</w:t>
            </w:r>
            <w:r>
              <w:rPr>
                <w:rFonts w:cs="宋体"/>
                <w:kern w:val="0"/>
                <w:sz w:val="18"/>
                <w:szCs w:val="18"/>
              </w:rPr>
              <w:t>,</w:t>
            </w:r>
            <w:r>
              <w:rPr>
                <w:rFonts w:cs="宋体" w:hint="eastAsia"/>
                <w:kern w:val="0"/>
                <w:sz w:val="18"/>
                <w:szCs w:val="18"/>
              </w:rPr>
              <w:t>666.49</w:t>
            </w:r>
          </w:p>
        </w:tc>
        <w:tc>
          <w:tcPr>
            <w:tcW w:w="1158" w:type="dxa"/>
            <w:tcMar>
              <w:top w:w="0" w:type="dxa"/>
              <w:bottom w:w="0" w:type="dxa"/>
            </w:tcMar>
            <w:vAlign w:val="center"/>
          </w:tcPr>
          <w:p w14:paraId="45FBC6C5" w14:textId="77777777" w:rsidR="004B0883" w:rsidRDefault="004B0883">
            <w:pPr>
              <w:jc w:val="center"/>
              <w:rPr>
                <w:rFonts w:cs="宋体" w:hint="eastAsia"/>
                <w:kern w:val="0"/>
                <w:sz w:val="18"/>
                <w:szCs w:val="18"/>
              </w:rPr>
            </w:pPr>
            <w:r>
              <w:rPr>
                <w:rFonts w:cs="宋体" w:hint="eastAsia"/>
                <w:kern w:val="0"/>
                <w:sz w:val="18"/>
                <w:szCs w:val="18"/>
              </w:rPr>
              <w:t>2056.05.08</w:t>
            </w:r>
          </w:p>
        </w:tc>
        <w:tc>
          <w:tcPr>
            <w:tcW w:w="1103" w:type="pct"/>
            <w:tcMar>
              <w:top w:w="0" w:type="dxa"/>
              <w:bottom w:w="0" w:type="dxa"/>
            </w:tcMar>
            <w:vAlign w:val="center"/>
          </w:tcPr>
          <w:p w14:paraId="67054769" w14:textId="77777777" w:rsidR="004B0883" w:rsidRDefault="004B0883">
            <w:pPr>
              <w:widowControl w:val="0"/>
              <w:adjustRightInd w:val="0"/>
              <w:snapToGrid w:val="0"/>
              <w:jc w:val="both"/>
              <w:rPr>
                <w:rFonts w:cs="宋体" w:hint="eastAsia"/>
                <w:kern w:val="0"/>
                <w:sz w:val="18"/>
                <w:szCs w:val="18"/>
              </w:rPr>
            </w:pPr>
            <w:r>
              <w:rPr>
                <w:rFonts w:cs="宋体" w:hint="eastAsia"/>
                <w:kern w:val="0"/>
                <w:sz w:val="18"/>
                <w:szCs w:val="18"/>
              </w:rPr>
              <w:t>沙河镇大东庄村北</w:t>
            </w:r>
            <w:r>
              <w:rPr>
                <w:rFonts w:cs="宋体" w:hint="eastAsia"/>
                <w:kern w:val="0"/>
                <w:sz w:val="18"/>
                <w:szCs w:val="18"/>
              </w:rPr>
              <w:t>1</w:t>
            </w:r>
            <w:r>
              <w:rPr>
                <w:rFonts w:cs="宋体" w:hint="eastAsia"/>
                <w:kern w:val="0"/>
                <w:sz w:val="18"/>
                <w:szCs w:val="18"/>
              </w:rPr>
              <w:t>幢、</w:t>
            </w:r>
            <w:r>
              <w:rPr>
                <w:rFonts w:cs="宋体" w:hint="eastAsia"/>
                <w:kern w:val="0"/>
                <w:sz w:val="18"/>
                <w:szCs w:val="18"/>
              </w:rPr>
              <w:t>2</w:t>
            </w:r>
            <w:r>
              <w:rPr>
                <w:rFonts w:cs="宋体" w:hint="eastAsia"/>
                <w:kern w:val="0"/>
                <w:sz w:val="18"/>
                <w:szCs w:val="18"/>
              </w:rPr>
              <w:t>幢</w:t>
            </w:r>
          </w:p>
        </w:tc>
        <w:tc>
          <w:tcPr>
            <w:tcW w:w="416" w:type="pct"/>
            <w:tcMar>
              <w:top w:w="0" w:type="dxa"/>
              <w:bottom w:w="0" w:type="dxa"/>
            </w:tcMar>
            <w:vAlign w:val="center"/>
          </w:tcPr>
          <w:p w14:paraId="50916ACC" w14:textId="77777777" w:rsidR="004B0883" w:rsidRDefault="004B0883">
            <w:pPr>
              <w:widowControl w:val="0"/>
              <w:adjustRightInd w:val="0"/>
              <w:snapToGrid w:val="0"/>
              <w:jc w:val="both"/>
              <w:rPr>
                <w:rFonts w:hint="eastAsia"/>
                <w:kern w:val="0"/>
                <w:sz w:val="18"/>
                <w:szCs w:val="18"/>
                <w:lang w:bidi="ar"/>
              </w:rPr>
            </w:pPr>
            <w:r>
              <w:rPr>
                <w:rFonts w:hint="eastAsia"/>
                <w:kern w:val="0"/>
                <w:sz w:val="18"/>
                <w:szCs w:val="18"/>
                <w:lang w:bidi="ar"/>
              </w:rPr>
              <w:t>出让</w:t>
            </w:r>
          </w:p>
        </w:tc>
        <w:tc>
          <w:tcPr>
            <w:tcW w:w="447" w:type="pct"/>
            <w:vAlign w:val="center"/>
          </w:tcPr>
          <w:p w14:paraId="75BB0446" w14:textId="77777777" w:rsidR="004B0883" w:rsidRDefault="004B0883">
            <w:pPr>
              <w:widowControl w:val="0"/>
              <w:adjustRightInd w:val="0"/>
              <w:snapToGrid w:val="0"/>
              <w:jc w:val="both"/>
              <w:rPr>
                <w:rFonts w:hint="eastAsia"/>
                <w:kern w:val="0"/>
                <w:sz w:val="18"/>
                <w:szCs w:val="18"/>
                <w:lang w:bidi="ar"/>
              </w:rPr>
            </w:pPr>
            <w:r>
              <w:rPr>
                <w:rFonts w:cs="宋体" w:hint="eastAsia"/>
                <w:kern w:val="0"/>
                <w:sz w:val="18"/>
                <w:szCs w:val="18"/>
              </w:rPr>
              <w:t>工业</w:t>
            </w:r>
          </w:p>
        </w:tc>
      </w:tr>
      <w:tr w:rsidR="004B0883" w14:paraId="2B668884" w14:textId="77777777">
        <w:trPr>
          <w:trHeight w:val="397"/>
          <w:jc w:val="center"/>
        </w:trPr>
        <w:tc>
          <w:tcPr>
            <w:tcW w:w="341" w:type="pct"/>
            <w:tcMar>
              <w:top w:w="0" w:type="dxa"/>
              <w:bottom w:w="0" w:type="dxa"/>
            </w:tcMar>
            <w:vAlign w:val="center"/>
          </w:tcPr>
          <w:p w14:paraId="6C8A0B15" w14:textId="77777777" w:rsidR="004B0883" w:rsidRDefault="004B0883">
            <w:pPr>
              <w:widowControl w:val="0"/>
              <w:adjustRightInd w:val="0"/>
              <w:snapToGrid w:val="0"/>
              <w:jc w:val="center"/>
              <w:rPr>
                <w:sz w:val="18"/>
                <w:szCs w:val="18"/>
              </w:rPr>
            </w:pPr>
            <w:r>
              <w:rPr>
                <w:rFonts w:hint="eastAsia"/>
                <w:sz w:val="18"/>
                <w:szCs w:val="18"/>
              </w:rPr>
              <w:t>6</w:t>
            </w:r>
          </w:p>
        </w:tc>
        <w:tc>
          <w:tcPr>
            <w:tcW w:w="586" w:type="pct"/>
            <w:tcMar>
              <w:top w:w="0" w:type="dxa"/>
              <w:bottom w:w="0" w:type="dxa"/>
            </w:tcMar>
            <w:vAlign w:val="center"/>
          </w:tcPr>
          <w:p w14:paraId="06D815C6" w14:textId="77777777" w:rsidR="004B0883" w:rsidRDefault="004B0883">
            <w:pPr>
              <w:jc w:val="both"/>
              <w:rPr>
                <w:rFonts w:cs="宋体"/>
                <w:kern w:val="0"/>
                <w:sz w:val="18"/>
                <w:szCs w:val="18"/>
              </w:rPr>
            </w:pPr>
            <w:r>
              <w:rPr>
                <w:rFonts w:cs="宋体" w:hint="eastAsia"/>
                <w:kern w:val="0"/>
                <w:sz w:val="18"/>
                <w:szCs w:val="18"/>
              </w:rPr>
              <w:t>伟隆流体</w:t>
            </w:r>
          </w:p>
        </w:tc>
        <w:tc>
          <w:tcPr>
            <w:tcW w:w="1303" w:type="dxa"/>
            <w:tcMar>
              <w:top w:w="0" w:type="dxa"/>
              <w:bottom w:w="0" w:type="dxa"/>
            </w:tcMar>
            <w:vAlign w:val="center"/>
          </w:tcPr>
          <w:p w14:paraId="2AC80B32" w14:textId="77777777" w:rsidR="004B0883" w:rsidRDefault="004B0883">
            <w:pPr>
              <w:jc w:val="both"/>
              <w:rPr>
                <w:rFonts w:cs="宋体" w:hint="eastAsia"/>
                <w:kern w:val="0"/>
                <w:sz w:val="18"/>
                <w:szCs w:val="18"/>
              </w:rPr>
            </w:pPr>
            <w:r>
              <w:rPr>
                <w:rFonts w:cs="宋体" w:hint="eastAsia"/>
                <w:kern w:val="0"/>
                <w:sz w:val="18"/>
                <w:szCs w:val="18"/>
              </w:rPr>
              <w:t>青房地权市字第</w:t>
            </w:r>
            <w:r>
              <w:rPr>
                <w:rFonts w:cs="宋体" w:hint="eastAsia"/>
                <w:kern w:val="0"/>
                <w:sz w:val="18"/>
                <w:szCs w:val="18"/>
              </w:rPr>
              <w:t>201546822</w:t>
            </w:r>
            <w:r>
              <w:rPr>
                <w:rFonts w:cs="宋体" w:hint="eastAsia"/>
                <w:kern w:val="0"/>
                <w:sz w:val="18"/>
                <w:szCs w:val="18"/>
              </w:rPr>
              <w:t>号</w:t>
            </w:r>
          </w:p>
        </w:tc>
        <w:tc>
          <w:tcPr>
            <w:tcW w:w="663" w:type="pct"/>
            <w:tcMar>
              <w:top w:w="0" w:type="dxa"/>
              <w:bottom w:w="0" w:type="dxa"/>
            </w:tcMar>
            <w:vAlign w:val="center"/>
          </w:tcPr>
          <w:p w14:paraId="576254D4" w14:textId="77777777" w:rsidR="004B0883" w:rsidRDefault="004B0883">
            <w:pPr>
              <w:widowControl w:val="0"/>
              <w:adjustRightInd w:val="0"/>
              <w:snapToGrid w:val="0"/>
              <w:jc w:val="right"/>
              <w:rPr>
                <w:color w:val="000000"/>
                <w:sz w:val="18"/>
                <w:szCs w:val="18"/>
              </w:rPr>
            </w:pPr>
            <w:r>
              <w:rPr>
                <w:rFonts w:hint="eastAsia"/>
                <w:kern w:val="0"/>
                <w:sz w:val="18"/>
                <w:szCs w:val="18"/>
                <w:lang w:bidi="ar"/>
              </w:rPr>
              <w:t>6</w:t>
            </w:r>
            <w:r>
              <w:rPr>
                <w:kern w:val="0"/>
                <w:sz w:val="18"/>
                <w:szCs w:val="18"/>
                <w:lang w:bidi="ar"/>
              </w:rPr>
              <w:t>6,666.60</w:t>
            </w:r>
          </w:p>
        </w:tc>
        <w:tc>
          <w:tcPr>
            <w:tcW w:w="1158" w:type="dxa"/>
            <w:tcMar>
              <w:top w:w="0" w:type="dxa"/>
              <w:bottom w:w="0" w:type="dxa"/>
            </w:tcMar>
            <w:vAlign w:val="center"/>
          </w:tcPr>
          <w:p w14:paraId="725D36C8" w14:textId="77777777" w:rsidR="004B0883" w:rsidRDefault="004B0883">
            <w:pPr>
              <w:jc w:val="center"/>
              <w:rPr>
                <w:rFonts w:cs="宋体" w:hint="eastAsia"/>
                <w:kern w:val="0"/>
                <w:sz w:val="18"/>
                <w:szCs w:val="18"/>
              </w:rPr>
            </w:pPr>
            <w:r>
              <w:rPr>
                <w:rFonts w:cs="宋体" w:hint="eastAsia"/>
                <w:kern w:val="0"/>
                <w:sz w:val="18"/>
                <w:szCs w:val="18"/>
              </w:rPr>
              <w:t>2062.02.12</w:t>
            </w:r>
          </w:p>
        </w:tc>
        <w:tc>
          <w:tcPr>
            <w:tcW w:w="1103" w:type="pct"/>
            <w:tcMar>
              <w:top w:w="0" w:type="dxa"/>
              <w:bottom w:w="0" w:type="dxa"/>
            </w:tcMar>
            <w:vAlign w:val="center"/>
          </w:tcPr>
          <w:p w14:paraId="7D0B9AD4" w14:textId="77777777" w:rsidR="004B0883" w:rsidRDefault="004B0883">
            <w:pPr>
              <w:widowControl w:val="0"/>
              <w:adjustRightInd w:val="0"/>
              <w:snapToGrid w:val="0"/>
              <w:jc w:val="both"/>
              <w:rPr>
                <w:bCs/>
                <w:sz w:val="18"/>
                <w:szCs w:val="18"/>
              </w:rPr>
            </w:pPr>
            <w:r>
              <w:rPr>
                <w:rFonts w:cs="宋体" w:hint="eastAsia"/>
                <w:kern w:val="0"/>
                <w:sz w:val="18"/>
                <w:szCs w:val="18"/>
              </w:rPr>
              <w:t>青岛高新区华贯路以东，华东路以西，科海路以南</w:t>
            </w:r>
          </w:p>
        </w:tc>
        <w:tc>
          <w:tcPr>
            <w:tcW w:w="416" w:type="pct"/>
            <w:tcMar>
              <w:top w:w="0" w:type="dxa"/>
              <w:bottom w:w="0" w:type="dxa"/>
            </w:tcMar>
            <w:vAlign w:val="center"/>
          </w:tcPr>
          <w:p w14:paraId="413FA0BD" w14:textId="77777777" w:rsidR="004B0883" w:rsidRDefault="004B0883">
            <w:pPr>
              <w:widowControl w:val="0"/>
              <w:adjustRightInd w:val="0"/>
              <w:snapToGrid w:val="0"/>
              <w:jc w:val="both"/>
              <w:rPr>
                <w:bCs/>
                <w:sz w:val="18"/>
                <w:szCs w:val="18"/>
              </w:rPr>
            </w:pPr>
            <w:r>
              <w:rPr>
                <w:rFonts w:hint="eastAsia"/>
                <w:kern w:val="0"/>
                <w:sz w:val="18"/>
                <w:szCs w:val="18"/>
                <w:lang w:bidi="ar"/>
              </w:rPr>
              <w:t>出让</w:t>
            </w:r>
          </w:p>
        </w:tc>
        <w:tc>
          <w:tcPr>
            <w:tcW w:w="447" w:type="pct"/>
            <w:vAlign w:val="center"/>
          </w:tcPr>
          <w:p w14:paraId="410657E3" w14:textId="77777777" w:rsidR="004B0883" w:rsidRDefault="004B0883">
            <w:pPr>
              <w:widowControl w:val="0"/>
              <w:adjustRightInd w:val="0"/>
              <w:snapToGrid w:val="0"/>
              <w:jc w:val="both"/>
              <w:rPr>
                <w:sz w:val="18"/>
                <w:szCs w:val="18"/>
              </w:rPr>
            </w:pPr>
            <w:r>
              <w:rPr>
                <w:rFonts w:hint="eastAsia"/>
                <w:kern w:val="0"/>
                <w:sz w:val="18"/>
                <w:szCs w:val="18"/>
                <w:lang w:bidi="ar"/>
              </w:rPr>
              <w:t>工业</w:t>
            </w:r>
          </w:p>
        </w:tc>
      </w:tr>
      <w:tr w:rsidR="004B0883" w14:paraId="1F2466AA" w14:textId="77777777">
        <w:trPr>
          <w:trHeight w:val="397"/>
          <w:jc w:val="center"/>
        </w:trPr>
        <w:tc>
          <w:tcPr>
            <w:tcW w:w="341" w:type="pct"/>
            <w:tcMar>
              <w:top w:w="0" w:type="dxa"/>
              <w:bottom w:w="0" w:type="dxa"/>
            </w:tcMar>
            <w:vAlign w:val="center"/>
          </w:tcPr>
          <w:p w14:paraId="178FFCC2" w14:textId="77777777" w:rsidR="004B0883" w:rsidRDefault="004B0883">
            <w:pPr>
              <w:widowControl w:val="0"/>
              <w:adjustRightInd w:val="0"/>
              <w:snapToGrid w:val="0"/>
              <w:jc w:val="center"/>
              <w:rPr>
                <w:sz w:val="18"/>
                <w:szCs w:val="18"/>
              </w:rPr>
            </w:pPr>
            <w:r>
              <w:rPr>
                <w:rFonts w:hint="eastAsia"/>
                <w:sz w:val="18"/>
                <w:szCs w:val="18"/>
              </w:rPr>
              <w:t>7</w:t>
            </w:r>
          </w:p>
        </w:tc>
        <w:tc>
          <w:tcPr>
            <w:tcW w:w="586" w:type="pct"/>
            <w:tcMar>
              <w:top w:w="0" w:type="dxa"/>
              <w:bottom w:w="0" w:type="dxa"/>
            </w:tcMar>
            <w:vAlign w:val="center"/>
          </w:tcPr>
          <w:p w14:paraId="09E058ED" w14:textId="77777777" w:rsidR="004B0883" w:rsidRDefault="004B0883">
            <w:pPr>
              <w:jc w:val="both"/>
              <w:rPr>
                <w:rFonts w:cs="宋体"/>
                <w:kern w:val="0"/>
                <w:sz w:val="18"/>
                <w:szCs w:val="18"/>
              </w:rPr>
            </w:pPr>
            <w:r>
              <w:rPr>
                <w:rFonts w:cs="宋体" w:hint="eastAsia"/>
                <w:kern w:val="0"/>
                <w:sz w:val="18"/>
                <w:szCs w:val="18"/>
              </w:rPr>
              <w:t>伟隆五金</w:t>
            </w:r>
          </w:p>
        </w:tc>
        <w:tc>
          <w:tcPr>
            <w:tcW w:w="1303" w:type="dxa"/>
            <w:tcMar>
              <w:top w:w="0" w:type="dxa"/>
              <w:bottom w:w="0" w:type="dxa"/>
            </w:tcMar>
            <w:vAlign w:val="center"/>
          </w:tcPr>
          <w:p w14:paraId="7EC02348" w14:textId="77777777" w:rsidR="004B0883" w:rsidRDefault="004B0883">
            <w:pPr>
              <w:jc w:val="both"/>
              <w:rPr>
                <w:rFonts w:cs="宋体" w:hint="eastAsia"/>
                <w:kern w:val="0"/>
                <w:sz w:val="18"/>
                <w:szCs w:val="18"/>
              </w:rPr>
            </w:pPr>
            <w:r>
              <w:rPr>
                <w:rFonts w:cs="宋体" w:hint="eastAsia"/>
                <w:kern w:val="0"/>
                <w:sz w:val="18"/>
                <w:szCs w:val="18"/>
              </w:rPr>
              <w:t>青房地权城字第</w:t>
            </w:r>
            <w:r>
              <w:rPr>
                <w:rFonts w:cs="宋体" w:hint="eastAsia"/>
                <w:kern w:val="0"/>
                <w:sz w:val="18"/>
                <w:szCs w:val="18"/>
              </w:rPr>
              <w:t>007439</w:t>
            </w:r>
            <w:r>
              <w:rPr>
                <w:rFonts w:cs="宋体" w:hint="eastAsia"/>
                <w:kern w:val="0"/>
                <w:sz w:val="18"/>
                <w:szCs w:val="18"/>
              </w:rPr>
              <w:t>号</w:t>
            </w:r>
          </w:p>
        </w:tc>
        <w:tc>
          <w:tcPr>
            <w:tcW w:w="663" w:type="pct"/>
            <w:tcMar>
              <w:top w:w="0" w:type="dxa"/>
              <w:bottom w:w="0" w:type="dxa"/>
            </w:tcMar>
            <w:vAlign w:val="center"/>
          </w:tcPr>
          <w:p w14:paraId="2C168149" w14:textId="77777777" w:rsidR="004B0883" w:rsidRDefault="004B0883">
            <w:pPr>
              <w:widowControl w:val="0"/>
              <w:adjustRightInd w:val="0"/>
              <w:snapToGrid w:val="0"/>
              <w:jc w:val="right"/>
              <w:rPr>
                <w:color w:val="000000"/>
                <w:sz w:val="18"/>
                <w:szCs w:val="18"/>
              </w:rPr>
            </w:pPr>
            <w:r>
              <w:rPr>
                <w:rFonts w:hint="eastAsia"/>
                <w:kern w:val="0"/>
                <w:sz w:val="18"/>
                <w:szCs w:val="18"/>
                <w:lang w:bidi="ar"/>
              </w:rPr>
              <w:t>5</w:t>
            </w:r>
            <w:r>
              <w:rPr>
                <w:kern w:val="0"/>
                <w:sz w:val="18"/>
                <w:szCs w:val="18"/>
                <w:lang w:bidi="ar"/>
              </w:rPr>
              <w:t>,979.44</w:t>
            </w:r>
          </w:p>
        </w:tc>
        <w:tc>
          <w:tcPr>
            <w:tcW w:w="1158" w:type="dxa"/>
            <w:tcMar>
              <w:top w:w="0" w:type="dxa"/>
              <w:bottom w:w="0" w:type="dxa"/>
            </w:tcMar>
            <w:vAlign w:val="center"/>
          </w:tcPr>
          <w:p w14:paraId="766A985F" w14:textId="77777777" w:rsidR="004B0883" w:rsidRDefault="004B0883">
            <w:pPr>
              <w:jc w:val="center"/>
              <w:rPr>
                <w:rFonts w:cs="宋体" w:hint="eastAsia"/>
                <w:kern w:val="0"/>
                <w:sz w:val="18"/>
                <w:szCs w:val="18"/>
              </w:rPr>
            </w:pPr>
            <w:r>
              <w:rPr>
                <w:rFonts w:cs="宋体" w:hint="eastAsia"/>
                <w:kern w:val="0"/>
                <w:sz w:val="18"/>
                <w:szCs w:val="18"/>
              </w:rPr>
              <w:t>2048.12.25</w:t>
            </w:r>
          </w:p>
        </w:tc>
        <w:tc>
          <w:tcPr>
            <w:tcW w:w="1103" w:type="pct"/>
            <w:tcMar>
              <w:top w:w="0" w:type="dxa"/>
              <w:bottom w:w="0" w:type="dxa"/>
            </w:tcMar>
            <w:vAlign w:val="center"/>
          </w:tcPr>
          <w:p w14:paraId="72645FF5" w14:textId="77777777" w:rsidR="004B0883" w:rsidRDefault="004B0883">
            <w:pPr>
              <w:widowControl w:val="0"/>
              <w:adjustRightInd w:val="0"/>
              <w:snapToGrid w:val="0"/>
              <w:jc w:val="both"/>
              <w:rPr>
                <w:bCs/>
                <w:sz w:val="18"/>
                <w:szCs w:val="18"/>
              </w:rPr>
            </w:pPr>
            <w:r>
              <w:rPr>
                <w:rFonts w:cs="宋体" w:hint="eastAsia"/>
                <w:kern w:val="0"/>
                <w:sz w:val="18"/>
                <w:szCs w:val="18"/>
              </w:rPr>
              <w:t>城阳区棘洪滩街道后海西社区</w:t>
            </w:r>
            <w:r>
              <w:rPr>
                <w:rFonts w:cs="宋体" w:hint="eastAsia"/>
                <w:kern w:val="0"/>
                <w:sz w:val="18"/>
                <w:szCs w:val="18"/>
              </w:rPr>
              <w:t>7</w:t>
            </w:r>
            <w:r>
              <w:rPr>
                <w:rFonts w:cs="宋体"/>
                <w:kern w:val="0"/>
                <w:sz w:val="18"/>
                <w:szCs w:val="18"/>
              </w:rPr>
              <w:t>439</w:t>
            </w:r>
          </w:p>
        </w:tc>
        <w:tc>
          <w:tcPr>
            <w:tcW w:w="416" w:type="pct"/>
            <w:tcMar>
              <w:top w:w="0" w:type="dxa"/>
              <w:bottom w:w="0" w:type="dxa"/>
            </w:tcMar>
            <w:vAlign w:val="center"/>
          </w:tcPr>
          <w:p w14:paraId="0FC22621" w14:textId="77777777" w:rsidR="004B0883" w:rsidRDefault="004B0883">
            <w:pPr>
              <w:widowControl w:val="0"/>
              <w:adjustRightInd w:val="0"/>
              <w:snapToGrid w:val="0"/>
              <w:jc w:val="both"/>
              <w:rPr>
                <w:bCs/>
                <w:sz w:val="18"/>
                <w:szCs w:val="18"/>
              </w:rPr>
            </w:pPr>
            <w:r>
              <w:rPr>
                <w:rFonts w:hint="eastAsia"/>
                <w:kern w:val="0"/>
                <w:sz w:val="18"/>
                <w:szCs w:val="18"/>
                <w:lang w:bidi="ar"/>
              </w:rPr>
              <w:t>出让</w:t>
            </w:r>
          </w:p>
        </w:tc>
        <w:tc>
          <w:tcPr>
            <w:tcW w:w="447" w:type="pct"/>
            <w:vAlign w:val="center"/>
          </w:tcPr>
          <w:p w14:paraId="263D77A9" w14:textId="77777777" w:rsidR="004B0883" w:rsidRDefault="004B0883">
            <w:pPr>
              <w:widowControl w:val="0"/>
              <w:adjustRightInd w:val="0"/>
              <w:snapToGrid w:val="0"/>
              <w:jc w:val="both"/>
              <w:rPr>
                <w:rFonts w:hint="eastAsia"/>
                <w:color w:val="000000"/>
                <w:sz w:val="18"/>
                <w:szCs w:val="18"/>
              </w:rPr>
            </w:pPr>
            <w:r>
              <w:rPr>
                <w:rFonts w:hint="eastAsia"/>
                <w:kern w:val="0"/>
                <w:sz w:val="18"/>
                <w:szCs w:val="18"/>
                <w:lang w:bidi="ar"/>
              </w:rPr>
              <w:t>车间、办公</w:t>
            </w:r>
          </w:p>
        </w:tc>
      </w:tr>
      <w:tr w:rsidR="004B0883" w14:paraId="16A16432" w14:textId="77777777">
        <w:trPr>
          <w:trHeight w:val="397"/>
          <w:jc w:val="center"/>
        </w:trPr>
        <w:tc>
          <w:tcPr>
            <w:tcW w:w="341" w:type="pct"/>
            <w:tcMar>
              <w:top w:w="0" w:type="dxa"/>
              <w:bottom w:w="0" w:type="dxa"/>
            </w:tcMar>
            <w:vAlign w:val="center"/>
          </w:tcPr>
          <w:p w14:paraId="52833A2F" w14:textId="77777777" w:rsidR="004B0883" w:rsidRDefault="004B0883">
            <w:pPr>
              <w:widowControl w:val="0"/>
              <w:adjustRightInd w:val="0"/>
              <w:snapToGrid w:val="0"/>
              <w:jc w:val="center"/>
              <w:rPr>
                <w:rFonts w:hint="eastAsia"/>
                <w:sz w:val="18"/>
                <w:szCs w:val="18"/>
              </w:rPr>
            </w:pPr>
            <w:r>
              <w:rPr>
                <w:rFonts w:hint="eastAsia"/>
                <w:sz w:val="18"/>
                <w:szCs w:val="18"/>
              </w:rPr>
              <w:t>8</w:t>
            </w:r>
          </w:p>
        </w:tc>
        <w:tc>
          <w:tcPr>
            <w:tcW w:w="586" w:type="pct"/>
            <w:tcMar>
              <w:top w:w="0" w:type="dxa"/>
              <w:bottom w:w="0" w:type="dxa"/>
            </w:tcMar>
            <w:vAlign w:val="center"/>
          </w:tcPr>
          <w:p w14:paraId="0F5C0048" w14:textId="77777777" w:rsidR="004B0883" w:rsidRDefault="004B0883">
            <w:pPr>
              <w:jc w:val="both"/>
              <w:rPr>
                <w:rFonts w:cs="宋体" w:hint="eastAsia"/>
                <w:kern w:val="0"/>
                <w:sz w:val="18"/>
                <w:szCs w:val="18"/>
              </w:rPr>
            </w:pPr>
            <w:r>
              <w:rPr>
                <w:rFonts w:cs="宋体" w:hint="eastAsia"/>
                <w:kern w:val="0"/>
                <w:sz w:val="18"/>
                <w:szCs w:val="18"/>
              </w:rPr>
              <w:t>伟隆股份</w:t>
            </w:r>
          </w:p>
        </w:tc>
        <w:tc>
          <w:tcPr>
            <w:tcW w:w="1303" w:type="dxa"/>
            <w:tcMar>
              <w:top w:w="0" w:type="dxa"/>
              <w:bottom w:w="0" w:type="dxa"/>
            </w:tcMar>
            <w:vAlign w:val="center"/>
          </w:tcPr>
          <w:p w14:paraId="57839083" w14:textId="77777777" w:rsidR="004B0883" w:rsidRDefault="004B0883">
            <w:pPr>
              <w:adjustRightInd w:val="0"/>
              <w:snapToGrid w:val="0"/>
              <w:rPr>
                <w:rFonts w:cs="宋体" w:hint="eastAsia"/>
                <w:kern w:val="0"/>
                <w:sz w:val="18"/>
                <w:szCs w:val="18"/>
              </w:rPr>
            </w:pPr>
            <w:r>
              <w:rPr>
                <w:rFonts w:cs="宋体" w:hint="eastAsia"/>
                <w:kern w:val="0"/>
                <w:sz w:val="18"/>
                <w:szCs w:val="18"/>
              </w:rPr>
              <w:t>鲁（</w:t>
            </w:r>
            <w:r>
              <w:rPr>
                <w:rFonts w:cs="宋体" w:hint="eastAsia"/>
                <w:kern w:val="0"/>
                <w:sz w:val="18"/>
                <w:szCs w:val="18"/>
              </w:rPr>
              <w:t>2023</w:t>
            </w:r>
            <w:r>
              <w:rPr>
                <w:rFonts w:cs="宋体" w:hint="eastAsia"/>
                <w:kern w:val="0"/>
                <w:sz w:val="18"/>
                <w:szCs w:val="18"/>
              </w:rPr>
              <w:t>）青岛市高新区不动产权第</w:t>
            </w:r>
            <w:r>
              <w:rPr>
                <w:rFonts w:cs="宋体" w:hint="eastAsia"/>
                <w:kern w:val="0"/>
                <w:sz w:val="18"/>
                <w:szCs w:val="18"/>
              </w:rPr>
              <w:t>0044317</w:t>
            </w:r>
            <w:r>
              <w:rPr>
                <w:rFonts w:cs="宋体" w:hint="eastAsia"/>
                <w:kern w:val="0"/>
                <w:sz w:val="18"/>
                <w:szCs w:val="18"/>
              </w:rPr>
              <w:t>号</w:t>
            </w:r>
          </w:p>
        </w:tc>
        <w:tc>
          <w:tcPr>
            <w:tcW w:w="663" w:type="pct"/>
            <w:tcMar>
              <w:top w:w="0" w:type="dxa"/>
              <w:bottom w:w="0" w:type="dxa"/>
            </w:tcMar>
            <w:vAlign w:val="center"/>
          </w:tcPr>
          <w:p w14:paraId="6D4BE0EE" w14:textId="77777777" w:rsidR="004B0883" w:rsidRDefault="004B0883">
            <w:pPr>
              <w:widowControl w:val="0"/>
              <w:adjustRightInd w:val="0"/>
              <w:snapToGrid w:val="0"/>
              <w:jc w:val="right"/>
              <w:rPr>
                <w:rFonts w:hint="eastAsia"/>
                <w:sz w:val="18"/>
                <w:szCs w:val="18"/>
              </w:rPr>
            </w:pPr>
            <w:r>
              <w:rPr>
                <w:kern w:val="0"/>
                <w:sz w:val="18"/>
                <w:szCs w:val="18"/>
                <w:lang w:bidi="ar"/>
              </w:rPr>
              <w:t>26,666</w:t>
            </w:r>
            <w:r>
              <w:rPr>
                <w:rFonts w:hint="eastAsia"/>
                <w:kern w:val="0"/>
                <w:sz w:val="18"/>
                <w:szCs w:val="18"/>
                <w:lang w:bidi="ar"/>
              </w:rPr>
              <w:t>.</w:t>
            </w:r>
            <w:r>
              <w:rPr>
                <w:kern w:val="0"/>
                <w:sz w:val="18"/>
                <w:szCs w:val="18"/>
                <w:lang w:bidi="ar"/>
              </w:rPr>
              <w:t>70</w:t>
            </w:r>
          </w:p>
        </w:tc>
        <w:tc>
          <w:tcPr>
            <w:tcW w:w="1158" w:type="dxa"/>
            <w:tcMar>
              <w:top w:w="0" w:type="dxa"/>
              <w:bottom w:w="0" w:type="dxa"/>
            </w:tcMar>
            <w:vAlign w:val="center"/>
          </w:tcPr>
          <w:p w14:paraId="13010785" w14:textId="77777777" w:rsidR="004B0883" w:rsidRDefault="004B0883">
            <w:pPr>
              <w:jc w:val="center"/>
              <w:rPr>
                <w:rFonts w:cs="宋体" w:hint="eastAsia"/>
                <w:kern w:val="0"/>
                <w:sz w:val="18"/>
                <w:szCs w:val="18"/>
              </w:rPr>
            </w:pPr>
            <w:r>
              <w:rPr>
                <w:rFonts w:cs="宋体" w:hint="eastAsia"/>
                <w:kern w:val="0"/>
                <w:sz w:val="18"/>
                <w:szCs w:val="18"/>
              </w:rPr>
              <w:t>2073.03.29</w:t>
            </w:r>
          </w:p>
        </w:tc>
        <w:tc>
          <w:tcPr>
            <w:tcW w:w="1103" w:type="pct"/>
            <w:tcMar>
              <w:top w:w="0" w:type="dxa"/>
              <w:bottom w:w="0" w:type="dxa"/>
            </w:tcMar>
            <w:vAlign w:val="center"/>
          </w:tcPr>
          <w:p w14:paraId="298A32F0" w14:textId="77777777" w:rsidR="004B0883" w:rsidRDefault="004B0883">
            <w:pPr>
              <w:widowControl w:val="0"/>
              <w:adjustRightInd w:val="0"/>
              <w:snapToGrid w:val="0"/>
              <w:jc w:val="both"/>
              <w:rPr>
                <w:rFonts w:hint="eastAsia"/>
                <w:sz w:val="18"/>
                <w:szCs w:val="18"/>
              </w:rPr>
            </w:pPr>
            <w:r>
              <w:rPr>
                <w:rFonts w:cs="宋体" w:hint="eastAsia"/>
                <w:kern w:val="0"/>
                <w:sz w:val="18"/>
                <w:szCs w:val="18"/>
              </w:rPr>
              <w:t>青岛市高新区科韵路东延长线以南、规划华东路以西</w:t>
            </w:r>
          </w:p>
        </w:tc>
        <w:tc>
          <w:tcPr>
            <w:tcW w:w="416" w:type="pct"/>
            <w:tcMar>
              <w:top w:w="0" w:type="dxa"/>
              <w:bottom w:w="0" w:type="dxa"/>
            </w:tcMar>
            <w:vAlign w:val="center"/>
          </w:tcPr>
          <w:p w14:paraId="35D0EED0" w14:textId="77777777" w:rsidR="004B0883" w:rsidRDefault="004B0883">
            <w:pPr>
              <w:widowControl w:val="0"/>
              <w:adjustRightInd w:val="0"/>
              <w:snapToGrid w:val="0"/>
              <w:jc w:val="both"/>
              <w:rPr>
                <w:rFonts w:hint="eastAsia"/>
                <w:sz w:val="18"/>
                <w:szCs w:val="18"/>
              </w:rPr>
            </w:pPr>
            <w:r>
              <w:rPr>
                <w:rFonts w:hint="eastAsia"/>
                <w:kern w:val="0"/>
                <w:sz w:val="18"/>
                <w:szCs w:val="18"/>
                <w:lang w:bidi="ar"/>
              </w:rPr>
              <w:t>出让</w:t>
            </w:r>
          </w:p>
        </w:tc>
        <w:tc>
          <w:tcPr>
            <w:tcW w:w="447" w:type="pct"/>
            <w:vAlign w:val="center"/>
          </w:tcPr>
          <w:p w14:paraId="2B66824C" w14:textId="77777777" w:rsidR="004B0883" w:rsidRDefault="004B0883">
            <w:pPr>
              <w:widowControl w:val="0"/>
              <w:adjustRightInd w:val="0"/>
              <w:snapToGrid w:val="0"/>
              <w:jc w:val="both"/>
              <w:rPr>
                <w:rFonts w:hint="eastAsia"/>
                <w:sz w:val="18"/>
                <w:szCs w:val="18"/>
              </w:rPr>
            </w:pPr>
            <w:r>
              <w:rPr>
                <w:rFonts w:hint="eastAsia"/>
                <w:kern w:val="0"/>
                <w:sz w:val="18"/>
                <w:szCs w:val="18"/>
                <w:lang w:bidi="ar"/>
              </w:rPr>
              <w:t>工业</w:t>
            </w:r>
          </w:p>
        </w:tc>
      </w:tr>
    </w:tbl>
    <w:bookmarkEnd w:id="276"/>
    <w:p w14:paraId="488D89B0" w14:textId="77777777" w:rsidR="004B0883" w:rsidRDefault="004B0883">
      <w:pPr>
        <w:keepNext/>
        <w:keepLines/>
        <w:widowControl w:val="0"/>
        <w:spacing w:beforeLines="50" w:before="120" w:after="120" w:line="360" w:lineRule="auto"/>
        <w:ind w:firstLineChars="200" w:firstLine="482"/>
        <w:jc w:val="both"/>
        <w:outlineLvl w:val="3"/>
        <w:rPr>
          <w:b/>
          <w:bCs/>
          <w:sz w:val="24"/>
          <w:szCs w:val="28"/>
          <w:lang w:val="zh-CN"/>
        </w:rPr>
      </w:pPr>
      <w:r>
        <w:rPr>
          <w:b/>
          <w:bCs/>
          <w:sz w:val="24"/>
          <w:szCs w:val="28"/>
          <w:lang w:val="zh-CN"/>
        </w:rPr>
        <w:t>2</w:t>
      </w:r>
      <w:r>
        <w:rPr>
          <w:b/>
          <w:bCs/>
          <w:sz w:val="24"/>
          <w:szCs w:val="28"/>
          <w:lang w:val="zh-CN"/>
        </w:rPr>
        <w:t>、商标</w:t>
      </w:r>
    </w:p>
    <w:p w14:paraId="78E7EF43" w14:textId="77777777" w:rsidR="004B0883" w:rsidRDefault="004B0883">
      <w:pPr>
        <w:widowControl w:val="0"/>
        <w:spacing w:beforeLines="50" w:before="120" w:after="120" w:line="360" w:lineRule="auto"/>
        <w:ind w:firstLineChars="200" w:firstLine="480"/>
        <w:jc w:val="both"/>
        <w:rPr>
          <w:b/>
          <w:bCs/>
          <w:sz w:val="24"/>
          <w:szCs w:val="22"/>
          <w:lang w:val="zh-CN"/>
        </w:rPr>
      </w:pPr>
      <w:r>
        <w:rPr>
          <w:sz w:val="24"/>
          <w:szCs w:val="22"/>
          <w:lang w:val="zh-CN"/>
        </w:rPr>
        <w:t>截至</w:t>
      </w:r>
      <w:r>
        <w:rPr>
          <w:sz w:val="24"/>
          <w:szCs w:val="22"/>
        </w:rPr>
        <w:t>2023</w:t>
      </w:r>
      <w:r>
        <w:rPr>
          <w:sz w:val="24"/>
          <w:szCs w:val="22"/>
        </w:rPr>
        <w:t>年</w:t>
      </w:r>
      <w:r>
        <w:rPr>
          <w:rFonts w:hint="eastAsia"/>
          <w:sz w:val="24"/>
          <w:szCs w:val="22"/>
        </w:rPr>
        <w:t>9</w:t>
      </w:r>
      <w:r>
        <w:rPr>
          <w:sz w:val="24"/>
          <w:szCs w:val="22"/>
        </w:rPr>
        <w:t>月</w:t>
      </w:r>
      <w:r>
        <w:rPr>
          <w:sz w:val="24"/>
          <w:szCs w:val="22"/>
        </w:rPr>
        <w:t>30</w:t>
      </w:r>
      <w:r>
        <w:rPr>
          <w:sz w:val="24"/>
          <w:szCs w:val="22"/>
        </w:rPr>
        <w:t>日，</w:t>
      </w:r>
      <w:r>
        <w:rPr>
          <w:sz w:val="24"/>
          <w:szCs w:val="22"/>
          <w:lang w:val="zh-CN"/>
        </w:rPr>
        <w:t>公司</w:t>
      </w:r>
      <w:r>
        <w:rPr>
          <w:sz w:val="24"/>
          <w:szCs w:val="22"/>
        </w:rPr>
        <w:t>及其控股子公司拥有</w:t>
      </w:r>
      <w:r>
        <w:rPr>
          <w:sz w:val="24"/>
          <w:szCs w:val="22"/>
        </w:rPr>
        <w:t>76</w:t>
      </w:r>
      <w:r>
        <w:rPr>
          <w:sz w:val="24"/>
          <w:szCs w:val="22"/>
        </w:rPr>
        <w:t>项注册商标，其中境内商标</w:t>
      </w:r>
      <w:r>
        <w:rPr>
          <w:sz w:val="24"/>
          <w:szCs w:val="22"/>
        </w:rPr>
        <w:t>18</w:t>
      </w:r>
      <w:r>
        <w:rPr>
          <w:sz w:val="24"/>
          <w:szCs w:val="22"/>
        </w:rPr>
        <w:t>项，境外商标</w:t>
      </w:r>
      <w:r>
        <w:rPr>
          <w:sz w:val="24"/>
          <w:szCs w:val="22"/>
        </w:rPr>
        <w:t>5</w:t>
      </w:r>
      <w:r>
        <w:rPr>
          <w:rFonts w:hint="eastAsia"/>
          <w:sz w:val="24"/>
          <w:szCs w:val="22"/>
        </w:rPr>
        <w:t>8</w:t>
      </w:r>
      <w:r>
        <w:rPr>
          <w:sz w:val="24"/>
          <w:szCs w:val="22"/>
        </w:rPr>
        <w:t>项</w:t>
      </w:r>
      <w:r>
        <w:rPr>
          <w:rFonts w:hint="eastAsia"/>
          <w:sz w:val="24"/>
          <w:szCs w:val="22"/>
          <w:lang w:val="zh-CN"/>
        </w:rPr>
        <w:t>，具体情况详见本募集说明书</w:t>
      </w:r>
      <w:r>
        <w:rPr>
          <w:rFonts w:ascii="宋体" w:hAnsi="宋体" w:hint="eastAsia"/>
          <w:sz w:val="24"/>
          <w:szCs w:val="22"/>
          <w:lang w:val="zh-CN"/>
        </w:rPr>
        <w:t>“</w:t>
      </w:r>
      <w:r>
        <w:rPr>
          <w:rFonts w:hint="eastAsia"/>
          <w:sz w:val="24"/>
          <w:szCs w:val="22"/>
          <w:lang w:val="zh-CN"/>
        </w:rPr>
        <w:t>附件一</w:t>
      </w:r>
      <w:r>
        <w:rPr>
          <w:rFonts w:hint="eastAsia"/>
          <w:sz w:val="24"/>
          <w:szCs w:val="22"/>
          <w:lang w:val="zh-CN"/>
        </w:rPr>
        <w:t xml:space="preserve"> </w:t>
      </w:r>
      <w:r>
        <w:rPr>
          <w:rFonts w:hint="eastAsia"/>
          <w:sz w:val="24"/>
          <w:szCs w:val="22"/>
          <w:lang w:val="zh-CN"/>
        </w:rPr>
        <w:t>注册商标</w:t>
      </w:r>
      <w:r>
        <w:rPr>
          <w:rFonts w:ascii="宋体" w:hAnsi="宋体" w:hint="eastAsia"/>
          <w:sz w:val="24"/>
          <w:szCs w:val="22"/>
          <w:lang w:val="zh-CN"/>
        </w:rPr>
        <w:t>”</w:t>
      </w:r>
      <w:r>
        <w:rPr>
          <w:rFonts w:hint="eastAsia"/>
          <w:sz w:val="24"/>
          <w:szCs w:val="22"/>
          <w:lang w:val="zh-CN"/>
        </w:rPr>
        <w:t>。</w:t>
      </w:r>
    </w:p>
    <w:p w14:paraId="74D2E4BB" w14:textId="77777777" w:rsidR="004B0883" w:rsidRDefault="004B0883">
      <w:pPr>
        <w:keepNext/>
        <w:keepLines/>
        <w:widowControl w:val="0"/>
        <w:spacing w:beforeLines="50" w:before="120" w:after="120" w:line="360" w:lineRule="auto"/>
        <w:ind w:firstLineChars="200" w:firstLine="482"/>
        <w:jc w:val="both"/>
        <w:outlineLvl w:val="3"/>
        <w:rPr>
          <w:b/>
          <w:bCs/>
          <w:sz w:val="24"/>
          <w:szCs w:val="28"/>
          <w:lang w:val="zh-CN"/>
        </w:rPr>
      </w:pPr>
      <w:r>
        <w:rPr>
          <w:rFonts w:hint="eastAsia"/>
          <w:b/>
          <w:bCs/>
          <w:sz w:val="24"/>
          <w:szCs w:val="28"/>
          <w:lang w:val="zh-CN"/>
        </w:rPr>
        <w:t>3</w:t>
      </w:r>
      <w:r>
        <w:rPr>
          <w:rFonts w:hint="eastAsia"/>
          <w:b/>
          <w:bCs/>
          <w:sz w:val="24"/>
          <w:szCs w:val="28"/>
          <w:lang w:val="zh-CN"/>
        </w:rPr>
        <w:t>、专利</w:t>
      </w:r>
    </w:p>
    <w:p w14:paraId="599DE2D4" w14:textId="77777777" w:rsidR="004B0883" w:rsidRDefault="004B0883">
      <w:pPr>
        <w:widowControl w:val="0"/>
        <w:spacing w:beforeLines="50" w:before="120" w:after="120" w:line="360" w:lineRule="auto"/>
        <w:ind w:firstLineChars="200" w:firstLine="480"/>
        <w:jc w:val="both"/>
        <w:rPr>
          <w:sz w:val="24"/>
          <w:szCs w:val="22"/>
        </w:rPr>
      </w:pPr>
      <w:r>
        <w:rPr>
          <w:sz w:val="24"/>
          <w:szCs w:val="22"/>
          <w:lang w:val="zh-CN"/>
        </w:rPr>
        <w:t>截至</w:t>
      </w:r>
      <w:r>
        <w:rPr>
          <w:rFonts w:hint="eastAsia"/>
          <w:sz w:val="24"/>
          <w:szCs w:val="22"/>
        </w:rPr>
        <w:t>2023</w:t>
      </w:r>
      <w:r>
        <w:rPr>
          <w:rFonts w:hint="eastAsia"/>
          <w:sz w:val="24"/>
          <w:szCs w:val="22"/>
        </w:rPr>
        <w:t>年</w:t>
      </w:r>
      <w:r>
        <w:rPr>
          <w:rFonts w:hint="eastAsia"/>
          <w:sz w:val="24"/>
          <w:szCs w:val="22"/>
        </w:rPr>
        <w:t>9</w:t>
      </w:r>
      <w:r>
        <w:rPr>
          <w:rFonts w:hint="eastAsia"/>
          <w:sz w:val="24"/>
          <w:szCs w:val="22"/>
        </w:rPr>
        <w:t>月</w:t>
      </w:r>
      <w:r>
        <w:rPr>
          <w:rFonts w:hint="eastAsia"/>
          <w:sz w:val="24"/>
          <w:szCs w:val="22"/>
        </w:rPr>
        <w:t>3</w:t>
      </w:r>
      <w:r>
        <w:rPr>
          <w:sz w:val="24"/>
          <w:szCs w:val="22"/>
        </w:rPr>
        <w:t>0</w:t>
      </w:r>
      <w:r>
        <w:rPr>
          <w:rFonts w:hint="eastAsia"/>
          <w:sz w:val="24"/>
          <w:szCs w:val="22"/>
        </w:rPr>
        <w:t>日</w:t>
      </w:r>
      <w:r>
        <w:rPr>
          <w:sz w:val="24"/>
          <w:szCs w:val="22"/>
          <w:lang w:val="zh-CN"/>
        </w:rPr>
        <w:t>，公司及其控股子公司已</w:t>
      </w:r>
      <w:r>
        <w:rPr>
          <w:rFonts w:hint="eastAsia"/>
          <w:sz w:val="24"/>
          <w:szCs w:val="22"/>
          <w:lang w:val="zh-CN"/>
        </w:rPr>
        <w:t>取得</w:t>
      </w:r>
      <w:r>
        <w:rPr>
          <w:rFonts w:hint="eastAsia"/>
          <w:sz w:val="24"/>
          <w:szCs w:val="22"/>
        </w:rPr>
        <w:t>76</w:t>
      </w:r>
      <w:r>
        <w:rPr>
          <w:rFonts w:hint="eastAsia"/>
          <w:sz w:val="24"/>
          <w:szCs w:val="22"/>
          <w:lang w:val="zh-CN"/>
        </w:rPr>
        <w:t>项境内</w:t>
      </w:r>
      <w:r>
        <w:rPr>
          <w:sz w:val="24"/>
          <w:szCs w:val="22"/>
          <w:lang w:val="zh-CN"/>
        </w:rPr>
        <w:t>专利，其中发明专利</w:t>
      </w:r>
      <w:r>
        <w:rPr>
          <w:sz w:val="24"/>
          <w:szCs w:val="22"/>
          <w:lang w:val="zh-CN"/>
        </w:rPr>
        <w:t>2</w:t>
      </w:r>
      <w:r>
        <w:rPr>
          <w:sz w:val="24"/>
          <w:szCs w:val="22"/>
          <w:lang w:val="zh-CN"/>
        </w:rPr>
        <w:t>项、实用新型专利</w:t>
      </w:r>
      <w:r>
        <w:rPr>
          <w:rFonts w:hint="eastAsia"/>
          <w:sz w:val="24"/>
          <w:szCs w:val="22"/>
        </w:rPr>
        <w:t>74</w:t>
      </w:r>
      <w:r>
        <w:rPr>
          <w:sz w:val="24"/>
          <w:szCs w:val="22"/>
          <w:lang w:val="zh-CN"/>
        </w:rPr>
        <w:t>项</w:t>
      </w:r>
      <w:r>
        <w:rPr>
          <w:rFonts w:hint="eastAsia"/>
          <w:sz w:val="24"/>
          <w:szCs w:val="22"/>
          <w:lang w:val="zh-CN"/>
        </w:rPr>
        <w:t>，具体情况详见本募集说明书</w:t>
      </w:r>
      <w:r>
        <w:rPr>
          <w:rFonts w:ascii="宋体" w:hAnsi="宋体" w:hint="eastAsia"/>
          <w:sz w:val="24"/>
          <w:szCs w:val="22"/>
          <w:lang w:val="zh-CN"/>
        </w:rPr>
        <w:t>“</w:t>
      </w:r>
      <w:r>
        <w:rPr>
          <w:rFonts w:hint="eastAsia"/>
          <w:sz w:val="24"/>
          <w:szCs w:val="22"/>
          <w:lang w:val="zh-CN"/>
        </w:rPr>
        <w:t>附件二</w:t>
      </w:r>
      <w:r>
        <w:rPr>
          <w:rFonts w:hint="eastAsia"/>
          <w:sz w:val="24"/>
          <w:szCs w:val="22"/>
          <w:lang w:val="zh-CN"/>
        </w:rPr>
        <w:t xml:space="preserve"> </w:t>
      </w:r>
      <w:r>
        <w:rPr>
          <w:rFonts w:hint="eastAsia"/>
          <w:sz w:val="24"/>
          <w:szCs w:val="22"/>
          <w:lang w:val="zh-CN"/>
        </w:rPr>
        <w:t>专利清单</w:t>
      </w:r>
      <w:r>
        <w:rPr>
          <w:rFonts w:ascii="宋体" w:hAnsi="宋体" w:hint="eastAsia"/>
          <w:sz w:val="24"/>
          <w:szCs w:val="22"/>
          <w:lang w:val="zh-CN"/>
        </w:rPr>
        <w:t>”</w:t>
      </w:r>
      <w:r>
        <w:rPr>
          <w:rFonts w:hint="eastAsia"/>
          <w:sz w:val="24"/>
          <w:szCs w:val="22"/>
          <w:lang w:val="zh-CN"/>
        </w:rPr>
        <w:t>。</w:t>
      </w:r>
    </w:p>
    <w:p w14:paraId="1913B376" w14:textId="77777777" w:rsidR="004B0883" w:rsidRDefault="004B0883">
      <w:pPr>
        <w:keepNext/>
        <w:keepLines/>
        <w:widowControl w:val="0"/>
        <w:spacing w:beforeLines="50" w:before="120" w:after="120" w:line="360" w:lineRule="auto"/>
        <w:ind w:firstLineChars="200" w:firstLine="482"/>
        <w:jc w:val="both"/>
        <w:outlineLvl w:val="3"/>
        <w:rPr>
          <w:b/>
          <w:bCs/>
          <w:sz w:val="24"/>
          <w:szCs w:val="28"/>
          <w:lang w:val="zh-CN"/>
        </w:rPr>
      </w:pPr>
      <w:r>
        <w:rPr>
          <w:rFonts w:hint="eastAsia"/>
          <w:b/>
          <w:bCs/>
          <w:sz w:val="24"/>
          <w:szCs w:val="28"/>
          <w:lang w:val="zh-CN"/>
        </w:rPr>
        <w:t>4</w:t>
      </w:r>
      <w:r>
        <w:rPr>
          <w:rFonts w:hint="eastAsia"/>
          <w:b/>
          <w:bCs/>
          <w:sz w:val="24"/>
          <w:szCs w:val="28"/>
          <w:lang w:val="zh-CN"/>
        </w:rPr>
        <w:t>、软件著作权</w:t>
      </w:r>
    </w:p>
    <w:p w14:paraId="23D8848B" w14:textId="77777777" w:rsidR="004B0883" w:rsidRDefault="004B0883">
      <w:pPr>
        <w:widowControl w:val="0"/>
        <w:spacing w:beforeLines="50" w:before="120" w:after="120" w:line="360" w:lineRule="auto"/>
        <w:ind w:firstLineChars="200" w:firstLine="480"/>
        <w:jc w:val="both"/>
        <w:rPr>
          <w:sz w:val="24"/>
          <w:szCs w:val="22"/>
          <w:lang w:val="zh-CN"/>
        </w:rPr>
      </w:pPr>
      <w:r>
        <w:rPr>
          <w:sz w:val="24"/>
          <w:szCs w:val="22"/>
          <w:lang w:val="zh-CN"/>
        </w:rPr>
        <w:t>截至</w:t>
      </w:r>
      <w:r>
        <w:rPr>
          <w:rFonts w:hint="eastAsia"/>
          <w:sz w:val="24"/>
          <w:szCs w:val="22"/>
        </w:rPr>
        <w:t>2023</w:t>
      </w:r>
      <w:r>
        <w:rPr>
          <w:rFonts w:hint="eastAsia"/>
          <w:sz w:val="24"/>
          <w:szCs w:val="22"/>
        </w:rPr>
        <w:t>年</w:t>
      </w:r>
      <w:r>
        <w:rPr>
          <w:rFonts w:hint="eastAsia"/>
          <w:sz w:val="24"/>
          <w:szCs w:val="22"/>
        </w:rPr>
        <w:t>9</w:t>
      </w:r>
      <w:r>
        <w:rPr>
          <w:rFonts w:hint="eastAsia"/>
          <w:sz w:val="24"/>
          <w:szCs w:val="22"/>
        </w:rPr>
        <w:t>月</w:t>
      </w:r>
      <w:r>
        <w:rPr>
          <w:rFonts w:hint="eastAsia"/>
          <w:sz w:val="24"/>
          <w:szCs w:val="22"/>
        </w:rPr>
        <w:t>3</w:t>
      </w:r>
      <w:r>
        <w:rPr>
          <w:sz w:val="24"/>
          <w:szCs w:val="22"/>
        </w:rPr>
        <w:t>0</w:t>
      </w:r>
      <w:r>
        <w:rPr>
          <w:rFonts w:hint="eastAsia"/>
          <w:sz w:val="24"/>
          <w:szCs w:val="22"/>
        </w:rPr>
        <w:t>日</w:t>
      </w:r>
      <w:r>
        <w:rPr>
          <w:sz w:val="24"/>
          <w:szCs w:val="22"/>
        </w:rPr>
        <w:t>，</w:t>
      </w:r>
      <w:r>
        <w:rPr>
          <w:sz w:val="24"/>
          <w:szCs w:val="22"/>
          <w:lang w:val="zh-CN"/>
        </w:rPr>
        <w:t>发行人及其控股子公司</w:t>
      </w:r>
      <w:r>
        <w:rPr>
          <w:rFonts w:hint="eastAsia"/>
          <w:sz w:val="24"/>
          <w:szCs w:val="22"/>
          <w:lang w:val="zh-CN"/>
        </w:rPr>
        <w:t>无</w:t>
      </w:r>
      <w:r>
        <w:rPr>
          <w:sz w:val="24"/>
          <w:szCs w:val="22"/>
          <w:lang w:val="zh-CN"/>
        </w:rPr>
        <w:t>软件著作权</w:t>
      </w:r>
      <w:r>
        <w:rPr>
          <w:rFonts w:hint="eastAsia"/>
          <w:sz w:val="24"/>
          <w:szCs w:val="22"/>
          <w:lang w:val="zh-CN"/>
        </w:rPr>
        <w:t>。</w:t>
      </w:r>
    </w:p>
    <w:p w14:paraId="446197B2" w14:textId="77777777" w:rsidR="004B0883" w:rsidRDefault="004B0883">
      <w:pPr>
        <w:pStyle w:val="002"/>
        <w:spacing w:before="120" w:after="120"/>
        <w:rPr>
          <w:kern w:val="0"/>
        </w:rPr>
      </w:pPr>
      <w:bookmarkStart w:id="277" w:name="_Toc152320798"/>
      <w:r>
        <w:rPr>
          <w:rFonts w:hint="eastAsia"/>
        </w:rPr>
        <w:t>十、</w:t>
      </w:r>
      <w:r>
        <w:rPr>
          <w:rFonts w:hint="eastAsia"/>
          <w:kern w:val="0"/>
        </w:rPr>
        <w:t>公司的业务资质情况</w:t>
      </w:r>
      <w:bookmarkEnd w:id="277"/>
    </w:p>
    <w:p w14:paraId="6F056147" w14:textId="77777777" w:rsidR="004B0883" w:rsidRDefault="004B0883">
      <w:pPr>
        <w:keepNext/>
        <w:keepLines/>
        <w:widowControl w:val="0"/>
        <w:spacing w:beforeLines="50" w:before="120" w:afterLines="50" w:after="120" w:line="360" w:lineRule="auto"/>
        <w:jc w:val="both"/>
        <w:outlineLvl w:val="2"/>
        <w:rPr>
          <w:rFonts w:eastAsia="黑体"/>
          <w:b/>
          <w:bCs/>
          <w:sz w:val="24"/>
          <w:szCs w:val="28"/>
        </w:rPr>
      </w:pPr>
      <w:r>
        <w:rPr>
          <w:rFonts w:eastAsia="黑体"/>
          <w:b/>
          <w:bCs/>
          <w:sz w:val="24"/>
          <w:szCs w:val="28"/>
        </w:rPr>
        <w:t>（一）高新技术企业证书</w:t>
      </w:r>
    </w:p>
    <w:p w14:paraId="3C71C3EC" w14:textId="77777777" w:rsidR="004B0883" w:rsidRDefault="004B0883">
      <w:pPr>
        <w:widowControl w:val="0"/>
        <w:spacing w:beforeLines="50" w:before="120" w:line="360" w:lineRule="auto"/>
        <w:ind w:firstLineChars="200" w:firstLine="480"/>
        <w:jc w:val="both"/>
        <w:rPr>
          <w:sz w:val="24"/>
          <w:szCs w:val="22"/>
          <w:lang w:val="zh-CN"/>
        </w:rPr>
      </w:pPr>
      <w:r>
        <w:rPr>
          <w:sz w:val="24"/>
          <w:szCs w:val="22"/>
          <w:lang w:val="zh-CN"/>
        </w:rPr>
        <w:t>截</w:t>
      </w:r>
      <w:r>
        <w:rPr>
          <w:sz w:val="24"/>
          <w:szCs w:val="22"/>
        </w:rPr>
        <w:t>至</w:t>
      </w:r>
      <w:r>
        <w:rPr>
          <w:rFonts w:hint="eastAsia"/>
          <w:sz w:val="24"/>
          <w:szCs w:val="22"/>
          <w:lang w:val="zh-CN"/>
        </w:rPr>
        <w:t>2</w:t>
      </w:r>
      <w:r>
        <w:rPr>
          <w:sz w:val="24"/>
          <w:szCs w:val="22"/>
          <w:lang w:val="zh-CN"/>
        </w:rPr>
        <w:t>023</w:t>
      </w:r>
      <w:r>
        <w:rPr>
          <w:sz w:val="24"/>
          <w:szCs w:val="22"/>
          <w:lang w:val="zh-CN"/>
        </w:rPr>
        <w:t>年</w:t>
      </w:r>
      <w:r>
        <w:rPr>
          <w:sz w:val="24"/>
          <w:szCs w:val="22"/>
          <w:lang w:val="zh-CN"/>
        </w:rPr>
        <w:t>9</w:t>
      </w:r>
      <w:r>
        <w:rPr>
          <w:sz w:val="24"/>
          <w:szCs w:val="22"/>
          <w:lang w:val="zh-CN"/>
        </w:rPr>
        <w:t>月</w:t>
      </w:r>
      <w:r>
        <w:rPr>
          <w:rFonts w:hint="eastAsia"/>
          <w:sz w:val="24"/>
          <w:szCs w:val="22"/>
          <w:lang w:val="zh-CN"/>
        </w:rPr>
        <w:t>3</w:t>
      </w:r>
      <w:r>
        <w:rPr>
          <w:sz w:val="24"/>
          <w:szCs w:val="22"/>
          <w:lang w:val="zh-CN"/>
        </w:rPr>
        <w:t>0</w:t>
      </w:r>
      <w:r>
        <w:rPr>
          <w:sz w:val="24"/>
          <w:szCs w:val="22"/>
          <w:lang w:val="zh-CN"/>
        </w:rPr>
        <w:t>日，发行人及其子公司取得的</w:t>
      </w:r>
      <w:r>
        <w:rPr>
          <w:rFonts w:hint="eastAsia"/>
          <w:sz w:val="24"/>
          <w:szCs w:val="22"/>
          <w:lang w:val="zh-CN"/>
        </w:rPr>
        <w:t>高新技术企业证书如下</w:t>
      </w:r>
      <w:r>
        <w:rPr>
          <w:sz w:val="24"/>
          <w:szCs w:val="22"/>
          <w:lang w:val="zh-CN"/>
        </w:rPr>
        <w:t>：</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242"/>
        <w:gridCol w:w="1437"/>
        <w:gridCol w:w="3047"/>
        <w:gridCol w:w="1396"/>
        <w:gridCol w:w="1158"/>
      </w:tblGrid>
      <w:tr w:rsidR="004B0883" w14:paraId="75C7D887" w14:textId="77777777">
        <w:trPr>
          <w:trHeight w:val="397"/>
          <w:tblHeader/>
          <w:jc w:val="center"/>
        </w:trPr>
        <w:tc>
          <w:tcPr>
            <w:tcW w:w="1277" w:type="dxa"/>
            <w:shd w:val="clear" w:color="auto" w:fill="D8D8D8"/>
            <w:tcMar>
              <w:top w:w="0" w:type="dxa"/>
              <w:left w:w="108" w:type="dxa"/>
              <w:bottom w:w="0" w:type="dxa"/>
              <w:right w:w="108" w:type="dxa"/>
            </w:tcMar>
            <w:vAlign w:val="center"/>
          </w:tcPr>
          <w:p w14:paraId="73761A8F" w14:textId="77777777" w:rsidR="004B0883" w:rsidRDefault="004B0883">
            <w:pPr>
              <w:widowControl w:val="0"/>
              <w:adjustRightInd w:val="0"/>
              <w:snapToGrid w:val="0"/>
              <w:jc w:val="center"/>
              <w:rPr>
                <w:b/>
                <w:bCs/>
              </w:rPr>
            </w:pPr>
            <w:r>
              <w:rPr>
                <w:b/>
                <w:bCs/>
              </w:rPr>
              <w:t>持证人</w:t>
            </w:r>
          </w:p>
        </w:tc>
        <w:tc>
          <w:tcPr>
            <w:tcW w:w="1479" w:type="dxa"/>
            <w:shd w:val="clear" w:color="auto" w:fill="D8D8D8"/>
            <w:tcMar>
              <w:top w:w="0" w:type="dxa"/>
              <w:left w:w="108" w:type="dxa"/>
              <w:bottom w:w="0" w:type="dxa"/>
              <w:right w:w="108" w:type="dxa"/>
            </w:tcMar>
            <w:vAlign w:val="center"/>
          </w:tcPr>
          <w:p w14:paraId="14E5DA63" w14:textId="77777777" w:rsidR="004B0883" w:rsidRDefault="004B0883">
            <w:pPr>
              <w:widowControl w:val="0"/>
              <w:adjustRightInd w:val="0"/>
              <w:snapToGrid w:val="0"/>
              <w:jc w:val="center"/>
              <w:rPr>
                <w:b/>
                <w:bCs/>
              </w:rPr>
            </w:pPr>
            <w:r>
              <w:rPr>
                <w:b/>
                <w:bCs/>
              </w:rPr>
              <w:t>证书名称</w:t>
            </w:r>
          </w:p>
        </w:tc>
        <w:tc>
          <w:tcPr>
            <w:tcW w:w="3145" w:type="dxa"/>
            <w:shd w:val="clear" w:color="auto" w:fill="D8D8D8"/>
            <w:tcMar>
              <w:top w:w="0" w:type="dxa"/>
              <w:left w:w="108" w:type="dxa"/>
              <w:bottom w:w="0" w:type="dxa"/>
              <w:right w:w="108" w:type="dxa"/>
            </w:tcMar>
            <w:vAlign w:val="center"/>
          </w:tcPr>
          <w:p w14:paraId="50F7B3F2" w14:textId="77777777" w:rsidR="004B0883" w:rsidRDefault="004B0883">
            <w:pPr>
              <w:widowControl w:val="0"/>
              <w:adjustRightInd w:val="0"/>
              <w:snapToGrid w:val="0"/>
              <w:jc w:val="center"/>
              <w:rPr>
                <w:b/>
                <w:bCs/>
              </w:rPr>
            </w:pPr>
            <w:r>
              <w:rPr>
                <w:b/>
                <w:bCs/>
              </w:rPr>
              <w:t>发证机关</w:t>
            </w:r>
          </w:p>
        </w:tc>
        <w:tc>
          <w:tcPr>
            <w:tcW w:w="1437" w:type="dxa"/>
            <w:shd w:val="clear" w:color="auto" w:fill="D8D8D8"/>
            <w:tcMar>
              <w:top w:w="0" w:type="dxa"/>
              <w:left w:w="108" w:type="dxa"/>
              <w:bottom w:w="0" w:type="dxa"/>
              <w:right w:w="108" w:type="dxa"/>
            </w:tcMar>
            <w:vAlign w:val="center"/>
          </w:tcPr>
          <w:p w14:paraId="49BF3CA8" w14:textId="77777777" w:rsidR="004B0883" w:rsidRDefault="004B0883">
            <w:pPr>
              <w:widowControl w:val="0"/>
              <w:adjustRightInd w:val="0"/>
              <w:snapToGrid w:val="0"/>
              <w:jc w:val="center"/>
              <w:rPr>
                <w:b/>
                <w:bCs/>
              </w:rPr>
            </w:pPr>
            <w:r>
              <w:rPr>
                <w:b/>
                <w:bCs/>
              </w:rPr>
              <w:t>发证时间</w:t>
            </w:r>
          </w:p>
        </w:tc>
        <w:tc>
          <w:tcPr>
            <w:tcW w:w="1190" w:type="dxa"/>
            <w:shd w:val="clear" w:color="auto" w:fill="D8D8D8"/>
            <w:tcMar>
              <w:top w:w="0" w:type="dxa"/>
              <w:left w:w="108" w:type="dxa"/>
              <w:bottom w:w="0" w:type="dxa"/>
              <w:right w:w="108" w:type="dxa"/>
            </w:tcMar>
            <w:vAlign w:val="center"/>
          </w:tcPr>
          <w:p w14:paraId="4886C888" w14:textId="77777777" w:rsidR="004B0883" w:rsidRDefault="004B0883">
            <w:pPr>
              <w:widowControl w:val="0"/>
              <w:adjustRightInd w:val="0"/>
              <w:snapToGrid w:val="0"/>
              <w:jc w:val="center"/>
              <w:rPr>
                <w:b/>
                <w:bCs/>
              </w:rPr>
            </w:pPr>
            <w:r>
              <w:rPr>
                <w:b/>
                <w:bCs/>
              </w:rPr>
              <w:t>有效期至</w:t>
            </w:r>
          </w:p>
        </w:tc>
      </w:tr>
      <w:tr w:rsidR="004B0883" w14:paraId="1EBFEAAF" w14:textId="77777777">
        <w:trPr>
          <w:trHeight w:val="397"/>
          <w:jc w:val="center"/>
        </w:trPr>
        <w:tc>
          <w:tcPr>
            <w:tcW w:w="1277" w:type="dxa"/>
            <w:tcMar>
              <w:top w:w="0" w:type="dxa"/>
              <w:left w:w="108" w:type="dxa"/>
              <w:bottom w:w="0" w:type="dxa"/>
              <w:right w:w="108" w:type="dxa"/>
            </w:tcMar>
            <w:vAlign w:val="center"/>
          </w:tcPr>
          <w:p w14:paraId="0ECAAC0E" w14:textId="77777777" w:rsidR="004B0883" w:rsidRDefault="004B0883">
            <w:pPr>
              <w:widowControl w:val="0"/>
              <w:adjustRightInd w:val="0"/>
              <w:snapToGrid w:val="0"/>
              <w:jc w:val="both"/>
            </w:pPr>
            <w:r>
              <w:t>伟隆股份</w:t>
            </w:r>
          </w:p>
        </w:tc>
        <w:tc>
          <w:tcPr>
            <w:tcW w:w="1479" w:type="dxa"/>
            <w:tcMar>
              <w:top w:w="0" w:type="dxa"/>
              <w:left w:w="108" w:type="dxa"/>
              <w:bottom w:w="0" w:type="dxa"/>
              <w:right w:w="108" w:type="dxa"/>
            </w:tcMar>
            <w:vAlign w:val="center"/>
          </w:tcPr>
          <w:p w14:paraId="1037560D" w14:textId="77777777" w:rsidR="004B0883" w:rsidRDefault="004B0883">
            <w:pPr>
              <w:widowControl w:val="0"/>
              <w:adjustRightInd w:val="0"/>
              <w:snapToGrid w:val="0"/>
              <w:jc w:val="both"/>
            </w:pPr>
            <w:r>
              <w:t>高新技术企业证书</w:t>
            </w:r>
          </w:p>
        </w:tc>
        <w:tc>
          <w:tcPr>
            <w:tcW w:w="3145" w:type="dxa"/>
            <w:tcMar>
              <w:top w:w="0" w:type="dxa"/>
              <w:left w:w="108" w:type="dxa"/>
              <w:bottom w:w="0" w:type="dxa"/>
              <w:right w:w="108" w:type="dxa"/>
            </w:tcMar>
            <w:vAlign w:val="center"/>
          </w:tcPr>
          <w:p w14:paraId="35ECF6B5" w14:textId="77777777" w:rsidR="004B0883" w:rsidRDefault="004B0883">
            <w:pPr>
              <w:widowControl w:val="0"/>
              <w:adjustRightInd w:val="0"/>
              <w:snapToGrid w:val="0"/>
              <w:jc w:val="both"/>
              <w:rPr>
                <w:color w:val="FF0000"/>
                <w:highlight w:val="yellow"/>
              </w:rPr>
            </w:pPr>
            <w:r>
              <w:t>青岛市科技局、财政局、</w:t>
            </w:r>
            <w:r>
              <w:rPr>
                <w:rFonts w:hint="eastAsia"/>
              </w:rPr>
              <w:t>国家税务总局青岛市税务局</w:t>
            </w:r>
          </w:p>
        </w:tc>
        <w:tc>
          <w:tcPr>
            <w:tcW w:w="1437" w:type="dxa"/>
            <w:tcMar>
              <w:top w:w="0" w:type="dxa"/>
              <w:left w:w="108" w:type="dxa"/>
              <w:bottom w:w="0" w:type="dxa"/>
              <w:right w:w="108" w:type="dxa"/>
            </w:tcMar>
            <w:vAlign w:val="center"/>
          </w:tcPr>
          <w:p w14:paraId="5EC14A41" w14:textId="77777777" w:rsidR="004B0883" w:rsidRDefault="004B0883">
            <w:pPr>
              <w:widowControl w:val="0"/>
              <w:adjustRightInd w:val="0"/>
              <w:snapToGrid w:val="0"/>
              <w:jc w:val="center"/>
            </w:pPr>
            <w:r>
              <w:t>2021.12.14</w:t>
            </w:r>
          </w:p>
        </w:tc>
        <w:tc>
          <w:tcPr>
            <w:tcW w:w="1190" w:type="dxa"/>
            <w:tcMar>
              <w:top w:w="0" w:type="dxa"/>
              <w:left w:w="108" w:type="dxa"/>
              <w:bottom w:w="0" w:type="dxa"/>
              <w:right w:w="108" w:type="dxa"/>
            </w:tcMar>
            <w:vAlign w:val="center"/>
          </w:tcPr>
          <w:p w14:paraId="384A8AE9" w14:textId="77777777" w:rsidR="004B0883" w:rsidRDefault="004B0883">
            <w:pPr>
              <w:widowControl w:val="0"/>
              <w:adjustRightInd w:val="0"/>
              <w:snapToGrid w:val="0"/>
              <w:jc w:val="center"/>
              <w:rPr>
                <w:rFonts w:hint="eastAsia"/>
              </w:rPr>
            </w:pPr>
            <w:r>
              <w:t>2024.12.1</w:t>
            </w:r>
            <w:r>
              <w:rPr>
                <w:rFonts w:hint="eastAsia"/>
              </w:rPr>
              <w:t>4</w:t>
            </w:r>
          </w:p>
        </w:tc>
      </w:tr>
      <w:tr w:rsidR="004B0883" w14:paraId="12CB5302" w14:textId="77777777">
        <w:trPr>
          <w:trHeight w:val="397"/>
          <w:jc w:val="center"/>
        </w:trPr>
        <w:tc>
          <w:tcPr>
            <w:tcW w:w="1277" w:type="dxa"/>
            <w:tcMar>
              <w:top w:w="0" w:type="dxa"/>
              <w:left w:w="108" w:type="dxa"/>
              <w:bottom w:w="0" w:type="dxa"/>
              <w:right w:w="108" w:type="dxa"/>
            </w:tcMar>
            <w:vAlign w:val="center"/>
          </w:tcPr>
          <w:p w14:paraId="439AED7A" w14:textId="77777777" w:rsidR="004B0883" w:rsidRDefault="004B0883">
            <w:pPr>
              <w:widowControl w:val="0"/>
              <w:adjustRightInd w:val="0"/>
              <w:snapToGrid w:val="0"/>
              <w:jc w:val="both"/>
            </w:pPr>
            <w:r>
              <w:rPr>
                <w:rFonts w:hint="eastAsia"/>
              </w:rPr>
              <w:t>莱州伟隆</w:t>
            </w:r>
          </w:p>
        </w:tc>
        <w:tc>
          <w:tcPr>
            <w:tcW w:w="1479" w:type="dxa"/>
            <w:tcMar>
              <w:top w:w="0" w:type="dxa"/>
              <w:left w:w="108" w:type="dxa"/>
              <w:bottom w:w="0" w:type="dxa"/>
              <w:right w:w="108" w:type="dxa"/>
            </w:tcMar>
            <w:vAlign w:val="center"/>
          </w:tcPr>
          <w:p w14:paraId="29953A1D" w14:textId="77777777" w:rsidR="004B0883" w:rsidRDefault="004B0883">
            <w:pPr>
              <w:widowControl w:val="0"/>
              <w:adjustRightInd w:val="0"/>
              <w:snapToGrid w:val="0"/>
              <w:jc w:val="both"/>
            </w:pPr>
            <w:r>
              <w:t>高新技术企业证书</w:t>
            </w:r>
          </w:p>
        </w:tc>
        <w:tc>
          <w:tcPr>
            <w:tcW w:w="3145" w:type="dxa"/>
            <w:tcMar>
              <w:top w:w="0" w:type="dxa"/>
              <w:left w:w="108" w:type="dxa"/>
              <w:bottom w:w="0" w:type="dxa"/>
              <w:right w:w="108" w:type="dxa"/>
            </w:tcMar>
            <w:vAlign w:val="center"/>
          </w:tcPr>
          <w:p w14:paraId="5CE32760" w14:textId="77777777" w:rsidR="004B0883" w:rsidRDefault="004B0883">
            <w:pPr>
              <w:widowControl w:val="0"/>
              <w:adjustRightInd w:val="0"/>
              <w:snapToGrid w:val="0"/>
              <w:jc w:val="both"/>
            </w:pPr>
            <w:r>
              <w:rPr>
                <w:rFonts w:hint="eastAsia"/>
              </w:rPr>
              <w:t>山东省科学技术厅、山东省财政厅、国家税务总局山东省税务局</w:t>
            </w:r>
          </w:p>
        </w:tc>
        <w:tc>
          <w:tcPr>
            <w:tcW w:w="1437" w:type="dxa"/>
            <w:tcMar>
              <w:top w:w="0" w:type="dxa"/>
              <w:left w:w="108" w:type="dxa"/>
              <w:bottom w:w="0" w:type="dxa"/>
              <w:right w:w="108" w:type="dxa"/>
            </w:tcMar>
            <w:vAlign w:val="center"/>
          </w:tcPr>
          <w:p w14:paraId="116A7A99" w14:textId="77777777" w:rsidR="004B0883" w:rsidRDefault="004B0883">
            <w:pPr>
              <w:widowControl w:val="0"/>
              <w:adjustRightInd w:val="0"/>
              <w:snapToGrid w:val="0"/>
              <w:jc w:val="center"/>
            </w:pPr>
            <w:r>
              <w:rPr>
                <w:rFonts w:hint="eastAsia"/>
              </w:rPr>
              <w:t>2</w:t>
            </w:r>
            <w:r>
              <w:t>022.12.12</w:t>
            </w:r>
          </w:p>
        </w:tc>
        <w:tc>
          <w:tcPr>
            <w:tcW w:w="1190" w:type="dxa"/>
            <w:tcMar>
              <w:top w:w="0" w:type="dxa"/>
              <w:left w:w="108" w:type="dxa"/>
              <w:bottom w:w="0" w:type="dxa"/>
              <w:right w:w="108" w:type="dxa"/>
            </w:tcMar>
            <w:vAlign w:val="center"/>
          </w:tcPr>
          <w:p w14:paraId="3CEE0890" w14:textId="77777777" w:rsidR="004B0883" w:rsidRDefault="004B0883">
            <w:pPr>
              <w:widowControl w:val="0"/>
              <w:adjustRightInd w:val="0"/>
              <w:snapToGrid w:val="0"/>
              <w:jc w:val="center"/>
            </w:pPr>
            <w:r>
              <w:rPr>
                <w:rFonts w:hint="eastAsia"/>
              </w:rPr>
              <w:t>2</w:t>
            </w:r>
            <w:r>
              <w:t>025.12.12</w:t>
            </w:r>
          </w:p>
        </w:tc>
      </w:tr>
    </w:tbl>
    <w:p w14:paraId="1D3C2D46" w14:textId="77777777" w:rsidR="004B0883" w:rsidRDefault="004B0883">
      <w:pPr>
        <w:keepNext/>
        <w:keepLines/>
        <w:widowControl w:val="0"/>
        <w:spacing w:beforeLines="50" w:before="120" w:afterLines="50" w:after="120" w:line="360" w:lineRule="auto"/>
        <w:jc w:val="both"/>
        <w:outlineLvl w:val="2"/>
        <w:rPr>
          <w:rFonts w:eastAsia="黑体"/>
          <w:b/>
          <w:bCs/>
          <w:sz w:val="24"/>
          <w:szCs w:val="28"/>
        </w:rPr>
      </w:pPr>
      <w:r>
        <w:rPr>
          <w:rFonts w:eastAsia="黑体"/>
          <w:b/>
          <w:bCs/>
          <w:sz w:val="24"/>
          <w:szCs w:val="28"/>
        </w:rPr>
        <w:t>（二）质量技术资质证书</w:t>
      </w:r>
    </w:p>
    <w:p w14:paraId="28A19D17" w14:textId="77777777" w:rsidR="004B0883" w:rsidRDefault="004B0883">
      <w:pPr>
        <w:widowControl w:val="0"/>
        <w:spacing w:beforeLines="50" w:before="120" w:line="360" w:lineRule="auto"/>
        <w:ind w:firstLineChars="200" w:firstLine="480"/>
        <w:jc w:val="both"/>
        <w:rPr>
          <w:sz w:val="24"/>
          <w:szCs w:val="22"/>
          <w:lang w:val="zh-CN"/>
        </w:rPr>
      </w:pPr>
      <w:r>
        <w:rPr>
          <w:sz w:val="24"/>
          <w:szCs w:val="22"/>
          <w:lang w:val="zh-CN"/>
        </w:rPr>
        <w:t>截</w:t>
      </w:r>
      <w:r>
        <w:rPr>
          <w:sz w:val="24"/>
          <w:szCs w:val="22"/>
        </w:rPr>
        <w:t>至</w:t>
      </w:r>
      <w:r>
        <w:rPr>
          <w:rFonts w:hint="eastAsia"/>
          <w:sz w:val="24"/>
          <w:szCs w:val="22"/>
          <w:lang w:val="zh-CN"/>
        </w:rPr>
        <w:t>本募集说明书签署日</w:t>
      </w:r>
      <w:r>
        <w:rPr>
          <w:sz w:val="24"/>
          <w:szCs w:val="22"/>
          <w:lang w:val="zh-CN"/>
        </w:rPr>
        <w:t>，发行人及其子公司取得的</w:t>
      </w:r>
      <w:r>
        <w:rPr>
          <w:rFonts w:hint="eastAsia"/>
          <w:sz w:val="24"/>
          <w:szCs w:val="22"/>
          <w:lang w:val="zh-CN"/>
        </w:rPr>
        <w:t>有关产品质量、技术的资质证书如下</w:t>
      </w:r>
      <w:r>
        <w:rPr>
          <w:sz w:val="24"/>
          <w:szCs w:val="22"/>
          <w:lang w:val="zh-CN"/>
        </w:rPr>
        <w:t>：</w:t>
      </w:r>
    </w:p>
    <w:tbl>
      <w:tblPr>
        <w:tblW w:w="5000" w:type="pct"/>
        <w:tblInd w:w="0" w:type="dxa"/>
        <w:tblBorders>
          <w:top w:val="single" w:sz="12" w:space="0" w:color="010000"/>
          <w:left w:val="single" w:sz="12" w:space="0" w:color="010000"/>
          <w:bottom w:val="single" w:sz="12" w:space="0" w:color="010000"/>
          <w:right w:val="single" w:sz="12" w:space="0" w:color="010000"/>
          <w:insideH w:val="single" w:sz="4" w:space="0" w:color="010000"/>
          <w:insideV w:val="single" w:sz="4" w:space="0" w:color="010000"/>
        </w:tblBorders>
        <w:tblLook w:val="0000" w:firstRow="0" w:lastRow="0" w:firstColumn="0" w:lastColumn="0" w:noHBand="0" w:noVBand="0"/>
      </w:tblPr>
      <w:tblGrid>
        <w:gridCol w:w="590"/>
        <w:gridCol w:w="1150"/>
        <w:gridCol w:w="2711"/>
        <w:gridCol w:w="2668"/>
        <w:gridCol w:w="1161"/>
      </w:tblGrid>
      <w:tr w:rsidR="004B0883" w14:paraId="7DEE2770" w14:textId="77777777">
        <w:trPr>
          <w:cantSplit/>
          <w:trHeight w:val="397"/>
          <w:tblHeader/>
        </w:trPr>
        <w:tc>
          <w:tcPr>
            <w:tcW w:w="362" w:type="pct"/>
            <w:tcBorders>
              <w:top w:val="single" w:sz="12" w:space="0" w:color="010000"/>
              <w:bottom w:val="single" w:sz="4" w:space="0" w:color="010000"/>
            </w:tcBorders>
            <w:shd w:val="clear" w:color="auto" w:fill="D9D9D9"/>
            <w:vAlign w:val="center"/>
          </w:tcPr>
          <w:p w14:paraId="5B1439D8" w14:textId="77777777" w:rsidR="004B0883" w:rsidRDefault="004B0883">
            <w:pPr>
              <w:keepNext/>
              <w:widowControl w:val="0"/>
              <w:jc w:val="center"/>
              <w:rPr>
                <w:b/>
                <w:color w:val="000000"/>
                <w:szCs w:val="24"/>
                <w:lang w:val="zh-CN"/>
              </w:rPr>
            </w:pPr>
            <w:r>
              <w:rPr>
                <w:rFonts w:hint="eastAsia"/>
                <w:b/>
                <w:color w:val="000000"/>
                <w:szCs w:val="24"/>
              </w:rPr>
              <w:t>序号</w:t>
            </w:r>
          </w:p>
        </w:tc>
        <w:tc>
          <w:tcPr>
            <w:tcW w:w="699" w:type="pct"/>
            <w:tcBorders>
              <w:top w:val="single" w:sz="12" w:space="0" w:color="010000"/>
              <w:bottom w:val="single" w:sz="4" w:space="0" w:color="010000"/>
            </w:tcBorders>
            <w:shd w:val="clear" w:color="auto" w:fill="D9D9D9"/>
            <w:vAlign w:val="center"/>
          </w:tcPr>
          <w:p w14:paraId="31FC000B" w14:textId="77777777" w:rsidR="004B0883" w:rsidRDefault="004B0883">
            <w:pPr>
              <w:keepNext/>
              <w:widowControl w:val="0"/>
              <w:jc w:val="center"/>
              <w:rPr>
                <w:b/>
                <w:color w:val="000000"/>
                <w:szCs w:val="24"/>
              </w:rPr>
            </w:pPr>
            <w:r>
              <w:rPr>
                <w:rFonts w:hint="eastAsia"/>
                <w:b/>
                <w:color w:val="000000"/>
                <w:szCs w:val="24"/>
              </w:rPr>
              <w:t>所有权人</w:t>
            </w:r>
          </w:p>
        </w:tc>
        <w:tc>
          <w:tcPr>
            <w:tcW w:w="1642" w:type="pct"/>
            <w:tcBorders>
              <w:top w:val="single" w:sz="12" w:space="0" w:color="010000"/>
              <w:bottom w:val="single" w:sz="4" w:space="0" w:color="010000"/>
            </w:tcBorders>
            <w:shd w:val="clear" w:color="auto" w:fill="D9D9D9"/>
            <w:vAlign w:val="center"/>
          </w:tcPr>
          <w:p w14:paraId="2B9A610B" w14:textId="77777777" w:rsidR="004B0883" w:rsidRDefault="004B0883">
            <w:pPr>
              <w:keepNext/>
              <w:widowControl w:val="0"/>
              <w:jc w:val="center"/>
              <w:rPr>
                <w:b/>
                <w:color w:val="000000"/>
                <w:szCs w:val="24"/>
                <w:lang w:val="zh-CN"/>
              </w:rPr>
            </w:pPr>
            <w:r>
              <w:rPr>
                <w:rFonts w:hint="eastAsia"/>
                <w:b/>
                <w:color w:val="000000"/>
                <w:szCs w:val="24"/>
                <w:lang w:val="zh-CN"/>
              </w:rPr>
              <w:t>证书名称</w:t>
            </w:r>
          </w:p>
        </w:tc>
        <w:tc>
          <w:tcPr>
            <w:tcW w:w="1616" w:type="pct"/>
            <w:tcBorders>
              <w:top w:val="single" w:sz="12" w:space="0" w:color="010000"/>
              <w:bottom w:val="single" w:sz="4" w:space="0" w:color="010000"/>
            </w:tcBorders>
            <w:shd w:val="clear" w:color="auto" w:fill="D9D9D9"/>
            <w:vAlign w:val="center"/>
          </w:tcPr>
          <w:p w14:paraId="5C899B91" w14:textId="77777777" w:rsidR="004B0883" w:rsidRDefault="004B0883">
            <w:pPr>
              <w:keepNext/>
              <w:widowControl w:val="0"/>
              <w:jc w:val="center"/>
              <w:rPr>
                <w:b/>
                <w:color w:val="000000"/>
                <w:szCs w:val="24"/>
                <w:lang w:val="zh-CN"/>
              </w:rPr>
            </w:pPr>
            <w:r>
              <w:rPr>
                <w:rFonts w:hint="eastAsia"/>
                <w:b/>
                <w:color w:val="000000"/>
                <w:szCs w:val="24"/>
                <w:lang w:val="zh-CN"/>
              </w:rPr>
              <w:t>注册号</w:t>
            </w:r>
            <w:r>
              <w:rPr>
                <w:rFonts w:hint="eastAsia"/>
                <w:b/>
                <w:color w:val="000000"/>
                <w:szCs w:val="24"/>
                <w:lang w:val="zh-CN"/>
              </w:rPr>
              <w:t>/</w:t>
            </w:r>
            <w:r>
              <w:rPr>
                <w:rFonts w:hint="eastAsia"/>
                <w:b/>
                <w:color w:val="000000"/>
                <w:szCs w:val="24"/>
                <w:lang w:val="zh-CN"/>
              </w:rPr>
              <w:t>证书编号</w:t>
            </w:r>
          </w:p>
        </w:tc>
        <w:tc>
          <w:tcPr>
            <w:tcW w:w="681" w:type="pct"/>
            <w:tcBorders>
              <w:top w:val="single" w:sz="12" w:space="0" w:color="010000"/>
              <w:bottom w:val="single" w:sz="4" w:space="0" w:color="010000"/>
            </w:tcBorders>
            <w:shd w:val="clear" w:color="auto" w:fill="D9D9D9"/>
            <w:vAlign w:val="center"/>
          </w:tcPr>
          <w:p w14:paraId="2621E8D6" w14:textId="77777777" w:rsidR="004B0883" w:rsidRDefault="004B0883">
            <w:pPr>
              <w:keepNext/>
              <w:widowControl w:val="0"/>
              <w:jc w:val="center"/>
              <w:rPr>
                <w:b/>
                <w:color w:val="000000"/>
                <w:szCs w:val="24"/>
                <w:lang w:val="zh-CN"/>
              </w:rPr>
            </w:pPr>
            <w:r>
              <w:rPr>
                <w:rFonts w:hint="eastAsia"/>
                <w:b/>
                <w:color w:val="000000"/>
                <w:szCs w:val="24"/>
                <w:lang w:val="zh-CN"/>
              </w:rPr>
              <w:t>有效期至</w:t>
            </w:r>
          </w:p>
        </w:tc>
      </w:tr>
      <w:tr w:rsidR="004B0883" w14:paraId="274688C7" w14:textId="77777777">
        <w:trPr>
          <w:cantSplit/>
          <w:trHeight w:val="397"/>
        </w:trPr>
        <w:tc>
          <w:tcPr>
            <w:tcW w:w="362" w:type="pct"/>
            <w:tcBorders>
              <w:top w:val="single" w:sz="4" w:space="0" w:color="010000"/>
            </w:tcBorders>
            <w:vAlign w:val="center"/>
          </w:tcPr>
          <w:p w14:paraId="346C01C1" w14:textId="77777777" w:rsidR="004B0883" w:rsidRDefault="004B0883">
            <w:pPr>
              <w:widowControl w:val="0"/>
              <w:jc w:val="center"/>
              <w:rPr>
                <w:color w:val="000000"/>
                <w:szCs w:val="24"/>
              </w:rPr>
            </w:pPr>
            <w:r>
              <w:rPr>
                <w:rFonts w:hint="eastAsia"/>
                <w:color w:val="000000"/>
                <w:szCs w:val="24"/>
              </w:rPr>
              <w:t>1</w:t>
            </w:r>
          </w:p>
        </w:tc>
        <w:tc>
          <w:tcPr>
            <w:tcW w:w="699" w:type="pct"/>
            <w:tcBorders>
              <w:top w:val="single" w:sz="4" w:space="0" w:color="010000"/>
            </w:tcBorders>
            <w:vAlign w:val="center"/>
          </w:tcPr>
          <w:p w14:paraId="2E8C0B93" w14:textId="77777777" w:rsidR="004B0883" w:rsidRDefault="004B0883">
            <w:pPr>
              <w:widowControl w:val="0"/>
              <w:jc w:val="both"/>
              <w:rPr>
                <w:color w:val="000000"/>
                <w:szCs w:val="24"/>
              </w:rPr>
            </w:pPr>
            <w:r>
              <w:t>伟隆股份</w:t>
            </w:r>
          </w:p>
        </w:tc>
        <w:tc>
          <w:tcPr>
            <w:tcW w:w="1642" w:type="pct"/>
            <w:tcBorders>
              <w:top w:val="single" w:sz="4" w:space="0" w:color="010000"/>
            </w:tcBorders>
            <w:vAlign w:val="center"/>
          </w:tcPr>
          <w:p w14:paraId="4DA4E4A9" w14:textId="77777777" w:rsidR="004B0883" w:rsidRDefault="004B0883">
            <w:pPr>
              <w:widowControl w:val="0"/>
              <w:rPr>
                <w:rFonts w:cs="宋体"/>
                <w:color w:val="000000"/>
                <w:szCs w:val="24"/>
              </w:rPr>
            </w:pPr>
            <w:r>
              <w:rPr>
                <w:rFonts w:cs="宋体" w:hint="eastAsia"/>
                <w:color w:val="000000"/>
                <w:szCs w:val="24"/>
              </w:rPr>
              <w:t>商品售后服务评价认证</w:t>
            </w:r>
          </w:p>
        </w:tc>
        <w:tc>
          <w:tcPr>
            <w:tcW w:w="1616" w:type="pct"/>
            <w:tcBorders>
              <w:top w:val="single" w:sz="4" w:space="0" w:color="010000"/>
            </w:tcBorders>
            <w:vAlign w:val="center"/>
          </w:tcPr>
          <w:p w14:paraId="49E51491" w14:textId="77777777" w:rsidR="004B0883" w:rsidRDefault="004B0883">
            <w:pPr>
              <w:widowControl w:val="0"/>
              <w:rPr>
                <w:color w:val="000000"/>
                <w:szCs w:val="24"/>
              </w:rPr>
            </w:pPr>
            <w:r>
              <w:rPr>
                <w:color w:val="000000"/>
                <w:szCs w:val="24"/>
                <w:shd w:val="clear" w:color="auto" w:fill="FFFFFF"/>
              </w:rPr>
              <w:t>GH005-2021SC140106</w:t>
            </w:r>
          </w:p>
        </w:tc>
        <w:tc>
          <w:tcPr>
            <w:tcW w:w="681" w:type="pct"/>
            <w:tcBorders>
              <w:top w:val="single" w:sz="4" w:space="0" w:color="010000"/>
            </w:tcBorders>
            <w:vAlign w:val="center"/>
          </w:tcPr>
          <w:p w14:paraId="7452CB1A" w14:textId="77777777" w:rsidR="004B0883" w:rsidRDefault="004B0883">
            <w:pPr>
              <w:widowControl w:val="0"/>
              <w:rPr>
                <w:color w:val="000000"/>
                <w:szCs w:val="24"/>
              </w:rPr>
            </w:pPr>
            <w:r>
              <w:rPr>
                <w:rFonts w:cs="宋体" w:hint="eastAsia"/>
                <w:color w:val="000000"/>
                <w:szCs w:val="24"/>
              </w:rPr>
              <w:t>202</w:t>
            </w:r>
            <w:r>
              <w:rPr>
                <w:rFonts w:cs="宋体"/>
                <w:color w:val="000000"/>
                <w:szCs w:val="24"/>
              </w:rPr>
              <w:t>4.04.08</w:t>
            </w:r>
          </w:p>
        </w:tc>
      </w:tr>
      <w:tr w:rsidR="004B0883" w14:paraId="27FD05FB" w14:textId="77777777">
        <w:trPr>
          <w:cantSplit/>
          <w:trHeight w:val="397"/>
        </w:trPr>
        <w:tc>
          <w:tcPr>
            <w:tcW w:w="362" w:type="pct"/>
            <w:vAlign w:val="center"/>
          </w:tcPr>
          <w:p w14:paraId="57F9F629" w14:textId="77777777" w:rsidR="004B0883" w:rsidRDefault="004B0883">
            <w:pPr>
              <w:widowControl w:val="0"/>
              <w:jc w:val="center"/>
              <w:rPr>
                <w:color w:val="000000"/>
                <w:szCs w:val="24"/>
                <w:lang w:val="zh-CN"/>
              </w:rPr>
            </w:pPr>
            <w:r>
              <w:rPr>
                <w:rFonts w:hint="eastAsia"/>
                <w:color w:val="000000"/>
                <w:szCs w:val="24"/>
                <w:lang w:val="zh-CN"/>
              </w:rPr>
              <w:t>2</w:t>
            </w:r>
          </w:p>
        </w:tc>
        <w:tc>
          <w:tcPr>
            <w:tcW w:w="699" w:type="pct"/>
            <w:vAlign w:val="center"/>
          </w:tcPr>
          <w:p w14:paraId="2B6561C1" w14:textId="77777777" w:rsidR="004B0883" w:rsidRDefault="004B0883">
            <w:pPr>
              <w:widowControl w:val="0"/>
              <w:jc w:val="both"/>
              <w:rPr>
                <w:color w:val="000000"/>
                <w:szCs w:val="24"/>
                <w:lang w:val="zh-CN"/>
              </w:rPr>
            </w:pPr>
            <w:r>
              <w:t>伟隆股份</w:t>
            </w:r>
          </w:p>
        </w:tc>
        <w:tc>
          <w:tcPr>
            <w:tcW w:w="1642" w:type="pct"/>
            <w:vAlign w:val="center"/>
          </w:tcPr>
          <w:p w14:paraId="6B64014D" w14:textId="77777777" w:rsidR="004B0883" w:rsidRDefault="004B0883">
            <w:pPr>
              <w:widowControl w:val="0"/>
              <w:rPr>
                <w:rFonts w:cs="宋体"/>
                <w:color w:val="000000"/>
                <w:szCs w:val="24"/>
              </w:rPr>
            </w:pPr>
            <w:r>
              <w:rPr>
                <w:rFonts w:cs="宋体" w:hint="eastAsia"/>
                <w:color w:val="000000"/>
                <w:szCs w:val="24"/>
              </w:rPr>
              <w:t>质量管理体系认证（</w:t>
            </w:r>
            <w:r>
              <w:rPr>
                <w:rFonts w:cs="宋体" w:hint="eastAsia"/>
                <w:color w:val="000000"/>
                <w:szCs w:val="24"/>
              </w:rPr>
              <w:t>I</w:t>
            </w:r>
            <w:r>
              <w:rPr>
                <w:rFonts w:cs="宋体"/>
                <w:color w:val="000000"/>
                <w:szCs w:val="24"/>
              </w:rPr>
              <w:t>SO9001</w:t>
            </w:r>
            <w:r>
              <w:rPr>
                <w:rFonts w:cs="宋体" w:hint="eastAsia"/>
                <w:color w:val="000000"/>
                <w:szCs w:val="24"/>
              </w:rPr>
              <w:t>）</w:t>
            </w:r>
          </w:p>
        </w:tc>
        <w:tc>
          <w:tcPr>
            <w:tcW w:w="1616" w:type="pct"/>
            <w:vAlign w:val="center"/>
          </w:tcPr>
          <w:p w14:paraId="7692DF28" w14:textId="77777777" w:rsidR="004B0883" w:rsidRDefault="004B0883">
            <w:pPr>
              <w:widowControl w:val="0"/>
              <w:rPr>
                <w:color w:val="000000"/>
                <w:szCs w:val="24"/>
              </w:rPr>
            </w:pPr>
            <w:r>
              <w:rPr>
                <w:color w:val="000000"/>
                <w:szCs w:val="24"/>
                <w:shd w:val="clear" w:color="auto" w:fill="FFFFFF"/>
              </w:rPr>
              <w:t>1132-2004-AQ-RGC-RVA</w:t>
            </w:r>
          </w:p>
        </w:tc>
        <w:tc>
          <w:tcPr>
            <w:tcW w:w="681" w:type="pct"/>
            <w:vAlign w:val="center"/>
          </w:tcPr>
          <w:p w14:paraId="7B87E8DB" w14:textId="77777777" w:rsidR="004B0883" w:rsidRDefault="004B0883">
            <w:pPr>
              <w:widowControl w:val="0"/>
              <w:rPr>
                <w:color w:val="000000"/>
                <w:szCs w:val="24"/>
              </w:rPr>
            </w:pPr>
            <w:r>
              <w:rPr>
                <w:rFonts w:cs="宋体" w:hint="eastAsia"/>
                <w:color w:val="000000"/>
                <w:szCs w:val="24"/>
              </w:rPr>
              <w:t>202</w:t>
            </w:r>
            <w:r>
              <w:rPr>
                <w:rFonts w:cs="宋体"/>
                <w:color w:val="000000"/>
                <w:szCs w:val="24"/>
              </w:rPr>
              <w:t>4</w:t>
            </w:r>
            <w:r>
              <w:rPr>
                <w:rFonts w:cs="宋体" w:hint="eastAsia"/>
                <w:color w:val="000000"/>
                <w:szCs w:val="24"/>
              </w:rPr>
              <w:t>.</w:t>
            </w:r>
            <w:r>
              <w:rPr>
                <w:rFonts w:cs="宋体"/>
                <w:color w:val="000000"/>
                <w:szCs w:val="24"/>
              </w:rPr>
              <w:t>12</w:t>
            </w:r>
            <w:r>
              <w:rPr>
                <w:rFonts w:cs="宋体" w:hint="eastAsia"/>
                <w:color w:val="000000"/>
                <w:szCs w:val="24"/>
              </w:rPr>
              <w:t>.</w:t>
            </w:r>
            <w:r>
              <w:rPr>
                <w:rFonts w:cs="宋体"/>
                <w:color w:val="000000"/>
                <w:szCs w:val="24"/>
              </w:rPr>
              <w:t>23</w:t>
            </w:r>
          </w:p>
        </w:tc>
      </w:tr>
      <w:tr w:rsidR="004B0883" w14:paraId="59C8166B" w14:textId="77777777">
        <w:trPr>
          <w:cantSplit/>
          <w:trHeight w:val="397"/>
        </w:trPr>
        <w:tc>
          <w:tcPr>
            <w:tcW w:w="362" w:type="pct"/>
            <w:vAlign w:val="center"/>
          </w:tcPr>
          <w:p w14:paraId="30DB41BB" w14:textId="77777777" w:rsidR="004B0883" w:rsidRDefault="004B0883">
            <w:pPr>
              <w:widowControl w:val="0"/>
              <w:jc w:val="center"/>
              <w:rPr>
                <w:color w:val="000000"/>
                <w:szCs w:val="24"/>
                <w:lang w:val="zh-CN"/>
              </w:rPr>
            </w:pPr>
            <w:r>
              <w:rPr>
                <w:rFonts w:hint="eastAsia"/>
                <w:color w:val="000000"/>
                <w:szCs w:val="24"/>
                <w:lang w:val="zh-CN"/>
              </w:rPr>
              <w:t>3</w:t>
            </w:r>
          </w:p>
        </w:tc>
        <w:tc>
          <w:tcPr>
            <w:tcW w:w="699" w:type="pct"/>
            <w:vAlign w:val="center"/>
          </w:tcPr>
          <w:p w14:paraId="66756AB6" w14:textId="77777777" w:rsidR="004B0883" w:rsidRDefault="004B0883">
            <w:pPr>
              <w:widowControl w:val="0"/>
              <w:jc w:val="both"/>
              <w:rPr>
                <w:color w:val="000000"/>
                <w:szCs w:val="24"/>
                <w:lang w:val="zh-CN"/>
              </w:rPr>
            </w:pPr>
            <w:r>
              <w:t>伟隆股份</w:t>
            </w:r>
          </w:p>
        </w:tc>
        <w:tc>
          <w:tcPr>
            <w:tcW w:w="1642" w:type="pct"/>
            <w:vAlign w:val="center"/>
          </w:tcPr>
          <w:p w14:paraId="418BC8C5" w14:textId="77777777" w:rsidR="004B0883" w:rsidRDefault="004B0883">
            <w:pPr>
              <w:widowControl w:val="0"/>
              <w:rPr>
                <w:rFonts w:cs="宋体"/>
                <w:color w:val="000000"/>
                <w:szCs w:val="24"/>
              </w:rPr>
            </w:pPr>
            <w:r>
              <w:rPr>
                <w:rFonts w:cs="宋体" w:hint="eastAsia"/>
                <w:color w:val="000000"/>
                <w:szCs w:val="24"/>
              </w:rPr>
              <w:t>质量管理体系认证（</w:t>
            </w:r>
            <w:r>
              <w:rPr>
                <w:rFonts w:cs="宋体" w:hint="eastAsia"/>
                <w:color w:val="000000"/>
                <w:szCs w:val="24"/>
              </w:rPr>
              <w:t>I</w:t>
            </w:r>
            <w:r>
              <w:rPr>
                <w:rFonts w:cs="宋体"/>
                <w:color w:val="000000"/>
                <w:szCs w:val="24"/>
              </w:rPr>
              <w:t>SO9001</w:t>
            </w:r>
            <w:r>
              <w:rPr>
                <w:rFonts w:cs="宋体" w:hint="eastAsia"/>
                <w:color w:val="000000"/>
                <w:szCs w:val="24"/>
              </w:rPr>
              <w:t>）</w:t>
            </w:r>
          </w:p>
        </w:tc>
        <w:tc>
          <w:tcPr>
            <w:tcW w:w="1616" w:type="pct"/>
            <w:vAlign w:val="center"/>
          </w:tcPr>
          <w:p w14:paraId="2AA202B0" w14:textId="77777777" w:rsidR="004B0883" w:rsidRDefault="004B0883">
            <w:pPr>
              <w:widowControl w:val="0"/>
              <w:rPr>
                <w:color w:val="000000"/>
                <w:szCs w:val="24"/>
                <w:shd w:val="clear" w:color="auto" w:fill="FFFFFF"/>
              </w:rPr>
            </w:pPr>
            <w:r>
              <w:rPr>
                <w:color w:val="000000"/>
                <w:szCs w:val="24"/>
                <w:shd w:val="clear" w:color="auto" w:fill="FFFFFF"/>
              </w:rPr>
              <w:t>507730-2021-AQ-RGC-UKAS</w:t>
            </w:r>
          </w:p>
        </w:tc>
        <w:tc>
          <w:tcPr>
            <w:tcW w:w="681" w:type="pct"/>
            <w:vAlign w:val="center"/>
          </w:tcPr>
          <w:p w14:paraId="244DDA9A" w14:textId="77777777" w:rsidR="004B0883" w:rsidRDefault="004B0883">
            <w:pPr>
              <w:widowControl w:val="0"/>
              <w:rPr>
                <w:rFonts w:cs="宋体"/>
                <w:color w:val="000000"/>
                <w:szCs w:val="24"/>
              </w:rPr>
            </w:pPr>
            <w:r>
              <w:rPr>
                <w:rFonts w:cs="宋体" w:hint="eastAsia"/>
                <w:color w:val="000000"/>
                <w:szCs w:val="24"/>
              </w:rPr>
              <w:t>2</w:t>
            </w:r>
            <w:r>
              <w:rPr>
                <w:rFonts w:cs="宋体"/>
                <w:color w:val="000000"/>
                <w:szCs w:val="24"/>
              </w:rPr>
              <w:t>024.12.23</w:t>
            </w:r>
          </w:p>
        </w:tc>
      </w:tr>
      <w:tr w:rsidR="004B0883" w14:paraId="20825F50" w14:textId="77777777">
        <w:trPr>
          <w:cantSplit/>
          <w:trHeight w:val="397"/>
        </w:trPr>
        <w:tc>
          <w:tcPr>
            <w:tcW w:w="362" w:type="pct"/>
            <w:vAlign w:val="center"/>
          </w:tcPr>
          <w:p w14:paraId="6C10E3DB" w14:textId="77777777" w:rsidR="004B0883" w:rsidRDefault="004B0883">
            <w:pPr>
              <w:widowControl w:val="0"/>
              <w:jc w:val="center"/>
              <w:rPr>
                <w:color w:val="000000"/>
                <w:szCs w:val="24"/>
                <w:lang w:val="zh-CN"/>
              </w:rPr>
            </w:pPr>
            <w:r>
              <w:rPr>
                <w:rFonts w:hint="eastAsia"/>
                <w:color w:val="000000"/>
                <w:szCs w:val="24"/>
                <w:lang w:val="zh-CN"/>
              </w:rPr>
              <w:t>4</w:t>
            </w:r>
          </w:p>
        </w:tc>
        <w:tc>
          <w:tcPr>
            <w:tcW w:w="699" w:type="pct"/>
            <w:vAlign w:val="center"/>
          </w:tcPr>
          <w:p w14:paraId="5F02325B" w14:textId="77777777" w:rsidR="004B0883" w:rsidRDefault="004B0883">
            <w:pPr>
              <w:widowControl w:val="0"/>
              <w:jc w:val="both"/>
              <w:rPr>
                <w:color w:val="000000"/>
                <w:szCs w:val="24"/>
                <w:lang w:val="zh-CN"/>
              </w:rPr>
            </w:pPr>
            <w:r>
              <w:t>伟隆股份</w:t>
            </w:r>
          </w:p>
        </w:tc>
        <w:tc>
          <w:tcPr>
            <w:tcW w:w="1642" w:type="pct"/>
            <w:vAlign w:val="center"/>
          </w:tcPr>
          <w:p w14:paraId="7252B92D" w14:textId="77777777" w:rsidR="004B0883" w:rsidRDefault="004B0883">
            <w:pPr>
              <w:widowControl w:val="0"/>
              <w:rPr>
                <w:rFonts w:cs="宋体"/>
                <w:color w:val="000000"/>
                <w:szCs w:val="24"/>
              </w:rPr>
            </w:pPr>
            <w:r>
              <w:rPr>
                <w:rFonts w:cs="宋体" w:hint="eastAsia"/>
                <w:color w:val="000000"/>
                <w:szCs w:val="24"/>
              </w:rPr>
              <w:t>环境管理体系认证</w:t>
            </w:r>
          </w:p>
        </w:tc>
        <w:tc>
          <w:tcPr>
            <w:tcW w:w="1616" w:type="pct"/>
            <w:vAlign w:val="center"/>
          </w:tcPr>
          <w:p w14:paraId="6A96F7AB" w14:textId="77777777" w:rsidR="004B0883" w:rsidRDefault="004B0883">
            <w:pPr>
              <w:widowControl w:val="0"/>
              <w:rPr>
                <w:color w:val="000000"/>
                <w:szCs w:val="24"/>
                <w:shd w:val="clear" w:color="auto" w:fill="FFFFFF"/>
              </w:rPr>
            </w:pPr>
            <w:r>
              <w:rPr>
                <w:color w:val="000000"/>
                <w:szCs w:val="24"/>
                <w:shd w:val="clear" w:color="auto" w:fill="FFFFFF"/>
              </w:rPr>
              <w:t>21721E01290R1M</w:t>
            </w:r>
          </w:p>
        </w:tc>
        <w:tc>
          <w:tcPr>
            <w:tcW w:w="681" w:type="pct"/>
            <w:vAlign w:val="center"/>
          </w:tcPr>
          <w:p w14:paraId="3CA852EF" w14:textId="77777777" w:rsidR="004B0883" w:rsidRDefault="004B0883">
            <w:pPr>
              <w:widowControl w:val="0"/>
              <w:rPr>
                <w:rFonts w:cs="宋体"/>
                <w:color w:val="000000"/>
                <w:szCs w:val="24"/>
              </w:rPr>
            </w:pPr>
            <w:r>
              <w:rPr>
                <w:rFonts w:cs="宋体" w:hint="eastAsia"/>
                <w:color w:val="000000"/>
                <w:szCs w:val="24"/>
              </w:rPr>
              <w:t>2</w:t>
            </w:r>
            <w:r>
              <w:rPr>
                <w:rFonts w:cs="宋体"/>
                <w:color w:val="000000"/>
                <w:szCs w:val="24"/>
              </w:rPr>
              <w:t>024.11.11</w:t>
            </w:r>
          </w:p>
        </w:tc>
      </w:tr>
      <w:tr w:rsidR="004B0883" w14:paraId="6592A0D3" w14:textId="77777777">
        <w:trPr>
          <w:cantSplit/>
          <w:trHeight w:val="397"/>
        </w:trPr>
        <w:tc>
          <w:tcPr>
            <w:tcW w:w="362" w:type="pct"/>
            <w:vAlign w:val="center"/>
          </w:tcPr>
          <w:p w14:paraId="448F344A" w14:textId="77777777" w:rsidR="004B0883" w:rsidRDefault="004B0883">
            <w:pPr>
              <w:widowControl w:val="0"/>
              <w:jc w:val="center"/>
              <w:rPr>
                <w:color w:val="000000"/>
                <w:szCs w:val="24"/>
                <w:lang w:val="zh-CN"/>
              </w:rPr>
            </w:pPr>
            <w:r>
              <w:rPr>
                <w:rFonts w:hint="eastAsia"/>
                <w:color w:val="000000"/>
                <w:szCs w:val="24"/>
                <w:lang w:val="zh-CN"/>
              </w:rPr>
              <w:t>5</w:t>
            </w:r>
          </w:p>
        </w:tc>
        <w:tc>
          <w:tcPr>
            <w:tcW w:w="699" w:type="pct"/>
            <w:vAlign w:val="center"/>
          </w:tcPr>
          <w:p w14:paraId="44D5C583" w14:textId="77777777" w:rsidR="004B0883" w:rsidRDefault="004B0883">
            <w:pPr>
              <w:widowControl w:val="0"/>
              <w:jc w:val="both"/>
              <w:rPr>
                <w:color w:val="000000"/>
                <w:szCs w:val="24"/>
                <w:lang w:val="zh-CN"/>
              </w:rPr>
            </w:pPr>
            <w:r>
              <w:t>伟隆股份</w:t>
            </w:r>
          </w:p>
        </w:tc>
        <w:tc>
          <w:tcPr>
            <w:tcW w:w="1642" w:type="pct"/>
            <w:vAlign w:val="center"/>
          </w:tcPr>
          <w:p w14:paraId="58070922" w14:textId="77777777" w:rsidR="004B0883" w:rsidRDefault="004B0883">
            <w:pPr>
              <w:widowControl w:val="0"/>
              <w:rPr>
                <w:rFonts w:cs="宋体"/>
                <w:color w:val="000000"/>
                <w:szCs w:val="24"/>
              </w:rPr>
            </w:pPr>
            <w:r>
              <w:rPr>
                <w:rFonts w:cs="宋体" w:hint="eastAsia"/>
                <w:color w:val="000000"/>
                <w:szCs w:val="24"/>
              </w:rPr>
              <w:t>中国职业健康安全管理体系认证</w:t>
            </w:r>
          </w:p>
        </w:tc>
        <w:tc>
          <w:tcPr>
            <w:tcW w:w="1616" w:type="pct"/>
            <w:vAlign w:val="center"/>
          </w:tcPr>
          <w:p w14:paraId="20F62F53" w14:textId="77777777" w:rsidR="004B0883" w:rsidRDefault="004B0883">
            <w:pPr>
              <w:widowControl w:val="0"/>
              <w:rPr>
                <w:color w:val="000000"/>
                <w:szCs w:val="24"/>
                <w:shd w:val="clear" w:color="auto" w:fill="FFFFFF"/>
              </w:rPr>
            </w:pPr>
            <w:r>
              <w:rPr>
                <w:color w:val="000000"/>
                <w:szCs w:val="24"/>
                <w:shd w:val="clear" w:color="auto" w:fill="FFFFFF"/>
              </w:rPr>
              <w:t>21721S01214R1M</w:t>
            </w:r>
          </w:p>
        </w:tc>
        <w:tc>
          <w:tcPr>
            <w:tcW w:w="681" w:type="pct"/>
            <w:vAlign w:val="center"/>
          </w:tcPr>
          <w:p w14:paraId="1F82520E" w14:textId="77777777" w:rsidR="004B0883" w:rsidRDefault="004B0883">
            <w:pPr>
              <w:widowControl w:val="0"/>
              <w:rPr>
                <w:rFonts w:cs="宋体"/>
                <w:color w:val="000000"/>
                <w:szCs w:val="24"/>
              </w:rPr>
            </w:pPr>
            <w:r>
              <w:rPr>
                <w:rFonts w:cs="宋体" w:hint="eastAsia"/>
                <w:color w:val="000000"/>
                <w:szCs w:val="24"/>
              </w:rPr>
              <w:t>2</w:t>
            </w:r>
            <w:r>
              <w:rPr>
                <w:rFonts w:cs="宋体"/>
                <w:color w:val="000000"/>
                <w:szCs w:val="24"/>
              </w:rPr>
              <w:t>024.11.11</w:t>
            </w:r>
          </w:p>
        </w:tc>
      </w:tr>
      <w:tr w:rsidR="004B0883" w14:paraId="76ACDB3A" w14:textId="77777777">
        <w:trPr>
          <w:cantSplit/>
          <w:trHeight w:val="397"/>
        </w:trPr>
        <w:tc>
          <w:tcPr>
            <w:tcW w:w="362" w:type="pct"/>
            <w:vAlign w:val="center"/>
          </w:tcPr>
          <w:p w14:paraId="4530B244" w14:textId="77777777" w:rsidR="004B0883" w:rsidRDefault="004B0883">
            <w:pPr>
              <w:widowControl w:val="0"/>
              <w:jc w:val="center"/>
              <w:rPr>
                <w:color w:val="000000"/>
                <w:szCs w:val="24"/>
                <w:lang w:val="zh-CN"/>
              </w:rPr>
            </w:pPr>
            <w:r>
              <w:rPr>
                <w:rFonts w:hint="eastAsia"/>
                <w:color w:val="000000"/>
                <w:szCs w:val="24"/>
                <w:lang w:val="zh-CN"/>
              </w:rPr>
              <w:t>6</w:t>
            </w:r>
          </w:p>
        </w:tc>
        <w:tc>
          <w:tcPr>
            <w:tcW w:w="699" w:type="pct"/>
            <w:vAlign w:val="center"/>
          </w:tcPr>
          <w:p w14:paraId="7833BEF4" w14:textId="77777777" w:rsidR="004B0883" w:rsidRDefault="004B0883">
            <w:pPr>
              <w:widowControl w:val="0"/>
              <w:jc w:val="both"/>
              <w:rPr>
                <w:color w:val="000000"/>
                <w:szCs w:val="24"/>
                <w:lang w:val="zh-CN"/>
              </w:rPr>
            </w:pPr>
            <w:r>
              <w:t>伟隆股份</w:t>
            </w:r>
          </w:p>
        </w:tc>
        <w:tc>
          <w:tcPr>
            <w:tcW w:w="1642" w:type="pct"/>
            <w:vAlign w:val="center"/>
          </w:tcPr>
          <w:p w14:paraId="74319830" w14:textId="77777777" w:rsidR="004B0883" w:rsidRDefault="004B0883">
            <w:pPr>
              <w:widowControl w:val="0"/>
              <w:rPr>
                <w:rFonts w:cs="宋体"/>
                <w:color w:val="000000"/>
                <w:szCs w:val="24"/>
              </w:rPr>
            </w:pPr>
            <w:r>
              <w:rPr>
                <w:rFonts w:cs="宋体" w:hint="eastAsia"/>
                <w:color w:val="000000"/>
                <w:szCs w:val="24"/>
              </w:rPr>
              <w:t>企业知识产权管理体系认证</w:t>
            </w:r>
          </w:p>
        </w:tc>
        <w:tc>
          <w:tcPr>
            <w:tcW w:w="1616" w:type="pct"/>
            <w:vAlign w:val="center"/>
          </w:tcPr>
          <w:p w14:paraId="2DA86BE4" w14:textId="77777777" w:rsidR="004B0883" w:rsidRDefault="004B0883">
            <w:pPr>
              <w:widowControl w:val="0"/>
              <w:rPr>
                <w:color w:val="000000"/>
                <w:szCs w:val="24"/>
                <w:shd w:val="clear" w:color="auto" w:fill="FFFFFF"/>
              </w:rPr>
            </w:pPr>
            <w:r>
              <w:rPr>
                <w:color w:val="000000"/>
                <w:szCs w:val="24"/>
                <w:shd w:val="clear" w:color="auto" w:fill="FFFFFF"/>
              </w:rPr>
              <w:t>165IP183519R1S</w:t>
            </w:r>
          </w:p>
        </w:tc>
        <w:tc>
          <w:tcPr>
            <w:tcW w:w="681" w:type="pct"/>
            <w:vAlign w:val="center"/>
          </w:tcPr>
          <w:p w14:paraId="313FC672" w14:textId="77777777" w:rsidR="004B0883" w:rsidRDefault="004B0883">
            <w:pPr>
              <w:widowControl w:val="0"/>
              <w:rPr>
                <w:rFonts w:cs="宋体"/>
                <w:color w:val="000000"/>
                <w:szCs w:val="24"/>
              </w:rPr>
            </w:pPr>
            <w:r>
              <w:rPr>
                <w:rFonts w:cs="宋体" w:hint="eastAsia"/>
                <w:color w:val="000000"/>
                <w:szCs w:val="24"/>
              </w:rPr>
              <w:t>2</w:t>
            </w:r>
            <w:r>
              <w:rPr>
                <w:rFonts w:cs="宋体"/>
                <w:color w:val="000000"/>
                <w:szCs w:val="24"/>
              </w:rPr>
              <w:t>024.11.06</w:t>
            </w:r>
          </w:p>
        </w:tc>
      </w:tr>
      <w:tr w:rsidR="004B0883" w14:paraId="00AF06CC" w14:textId="77777777">
        <w:trPr>
          <w:cantSplit/>
          <w:trHeight w:val="397"/>
        </w:trPr>
        <w:tc>
          <w:tcPr>
            <w:tcW w:w="362" w:type="pct"/>
            <w:vAlign w:val="center"/>
          </w:tcPr>
          <w:p w14:paraId="60633BC6" w14:textId="77777777" w:rsidR="004B0883" w:rsidRDefault="004B0883">
            <w:pPr>
              <w:widowControl w:val="0"/>
              <w:jc w:val="center"/>
              <w:rPr>
                <w:color w:val="000000"/>
                <w:szCs w:val="24"/>
                <w:lang w:val="zh-CN"/>
              </w:rPr>
            </w:pPr>
            <w:r>
              <w:rPr>
                <w:rFonts w:hint="eastAsia"/>
                <w:color w:val="000000"/>
                <w:szCs w:val="24"/>
                <w:lang w:val="zh-CN"/>
              </w:rPr>
              <w:t>7</w:t>
            </w:r>
          </w:p>
        </w:tc>
        <w:tc>
          <w:tcPr>
            <w:tcW w:w="699" w:type="pct"/>
            <w:vAlign w:val="center"/>
          </w:tcPr>
          <w:p w14:paraId="59F916EF" w14:textId="77777777" w:rsidR="004B0883" w:rsidRDefault="004B0883">
            <w:pPr>
              <w:widowControl w:val="0"/>
              <w:rPr>
                <w:color w:val="000000"/>
                <w:szCs w:val="24"/>
                <w:lang w:val="zh-CN"/>
              </w:rPr>
            </w:pPr>
            <w:r>
              <w:rPr>
                <w:rFonts w:hint="eastAsia"/>
                <w:color w:val="000000"/>
                <w:szCs w:val="24"/>
                <w:lang w:val="zh-CN"/>
              </w:rPr>
              <w:t>莱州伟隆</w:t>
            </w:r>
          </w:p>
        </w:tc>
        <w:tc>
          <w:tcPr>
            <w:tcW w:w="1642" w:type="pct"/>
            <w:vAlign w:val="center"/>
          </w:tcPr>
          <w:p w14:paraId="43F1C044" w14:textId="77777777" w:rsidR="004B0883" w:rsidRDefault="004B0883">
            <w:pPr>
              <w:widowControl w:val="0"/>
              <w:rPr>
                <w:rFonts w:cs="宋体"/>
                <w:color w:val="000000"/>
                <w:szCs w:val="24"/>
              </w:rPr>
            </w:pPr>
            <w:r>
              <w:rPr>
                <w:rFonts w:cs="宋体" w:hint="eastAsia"/>
                <w:color w:val="000000"/>
                <w:szCs w:val="24"/>
              </w:rPr>
              <w:t>质量管理体系认证（</w:t>
            </w:r>
            <w:r>
              <w:rPr>
                <w:rFonts w:cs="宋体" w:hint="eastAsia"/>
                <w:color w:val="000000"/>
                <w:szCs w:val="24"/>
              </w:rPr>
              <w:t>I</w:t>
            </w:r>
            <w:r>
              <w:rPr>
                <w:rFonts w:cs="宋体"/>
                <w:color w:val="000000"/>
                <w:szCs w:val="24"/>
              </w:rPr>
              <w:t>SO9001</w:t>
            </w:r>
            <w:r>
              <w:rPr>
                <w:rFonts w:cs="宋体" w:hint="eastAsia"/>
                <w:color w:val="000000"/>
                <w:szCs w:val="24"/>
              </w:rPr>
              <w:t>）</w:t>
            </w:r>
          </w:p>
        </w:tc>
        <w:tc>
          <w:tcPr>
            <w:tcW w:w="1616" w:type="pct"/>
            <w:vAlign w:val="center"/>
          </w:tcPr>
          <w:p w14:paraId="2C69CAB2" w14:textId="77777777" w:rsidR="004B0883" w:rsidRDefault="004B0883">
            <w:pPr>
              <w:widowControl w:val="0"/>
              <w:rPr>
                <w:color w:val="000000"/>
                <w:szCs w:val="24"/>
              </w:rPr>
            </w:pPr>
            <w:r>
              <w:rPr>
                <w:color w:val="000000"/>
                <w:szCs w:val="24"/>
                <w:shd w:val="clear" w:color="auto" w:fill="FFFFFF"/>
              </w:rPr>
              <w:t>1132-2004-AQ-RGC-RVA</w:t>
            </w:r>
          </w:p>
        </w:tc>
        <w:tc>
          <w:tcPr>
            <w:tcW w:w="681" w:type="pct"/>
            <w:vAlign w:val="center"/>
          </w:tcPr>
          <w:p w14:paraId="7191C7E8" w14:textId="77777777" w:rsidR="004B0883" w:rsidRDefault="004B0883">
            <w:pPr>
              <w:widowControl w:val="0"/>
              <w:rPr>
                <w:color w:val="000000"/>
                <w:szCs w:val="24"/>
              </w:rPr>
            </w:pPr>
            <w:r>
              <w:rPr>
                <w:rFonts w:cs="宋体" w:hint="eastAsia"/>
                <w:color w:val="000000"/>
                <w:szCs w:val="24"/>
              </w:rPr>
              <w:t>202</w:t>
            </w:r>
            <w:r>
              <w:rPr>
                <w:rFonts w:cs="宋体"/>
                <w:color w:val="000000"/>
                <w:szCs w:val="24"/>
              </w:rPr>
              <w:t>4</w:t>
            </w:r>
            <w:r>
              <w:rPr>
                <w:rFonts w:cs="宋体" w:hint="eastAsia"/>
                <w:color w:val="000000"/>
                <w:szCs w:val="24"/>
              </w:rPr>
              <w:t>.</w:t>
            </w:r>
            <w:r>
              <w:rPr>
                <w:rFonts w:cs="宋体"/>
                <w:color w:val="000000"/>
                <w:szCs w:val="24"/>
              </w:rPr>
              <w:t>12</w:t>
            </w:r>
            <w:r>
              <w:rPr>
                <w:rFonts w:cs="宋体" w:hint="eastAsia"/>
                <w:color w:val="000000"/>
                <w:szCs w:val="24"/>
              </w:rPr>
              <w:t>.</w:t>
            </w:r>
            <w:r>
              <w:rPr>
                <w:rFonts w:cs="宋体"/>
                <w:color w:val="000000"/>
                <w:szCs w:val="24"/>
              </w:rPr>
              <w:t>23</w:t>
            </w:r>
          </w:p>
        </w:tc>
      </w:tr>
      <w:tr w:rsidR="004B0883" w14:paraId="50876B5E" w14:textId="77777777">
        <w:trPr>
          <w:cantSplit/>
          <w:trHeight w:val="397"/>
        </w:trPr>
        <w:tc>
          <w:tcPr>
            <w:tcW w:w="362" w:type="pct"/>
            <w:vAlign w:val="center"/>
          </w:tcPr>
          <w:p w14:paraId="55A468CB" w14:textId="77777777" w:rsidR="004B0883" w:rsidRDefault="004B0883">
            <w:pPr>
              <w:widowControl w:val="0"/>
              <w:jc w:val="center"/>
              <w:rPr>
                <w:color w:val="000000"/>
                <w:szCs w:val="24"/>
              </w:rPr>
            </w:pPr>
            <w:r>
              <w:rPr>
                <w:rFonts w:hint="eastAsia"/>
                <w:color w:val="000000"/>
                <w:szCs w:val="24"/>
              </w:rPr>
              <w:t>8</w:t>
            </w:r>
          </w:p>
        </w:tc>
        <w:tc>
          <w:tcPr>
            <w:tcW w:w="699" w:type="pct"/>
            <w:vAlign w:val="center"/>
          </w:tcPr>
          <w:p w14:paraId="1F5525CA" w14:textId="77777777" w:rsidR="004B0883" w:rsidRDefault="004B0883">
            <w:pPr>
              <w:widowControl w:val="0"/>
              <w:rPr>
                <w:color w:val="000000"/>
                <w:szCs w:val="24"/>
                <w:lang w:val="zh-CN"/>
              </w:rPr>
            </w:pPr>
            <w:r>
              <w:rPr>
                <w:rFonts w:hint="eastAsia"/>
                <w:color w:val="000000"/>
                <w:szCs w:val="24"/>
                <w:lang w:val="zh-CN"/>
              </w:rPr>
              <w:t>莱州伟隆</w:t>
            </w:r>
          </w:p>
        </w:tc>
        <w:tc>
          <w:tcPr>
            <w:tcW w:w="1642" w:type="pct"/>
            <w:vAlign w:val="center"/>
          </w:tcPr>
          <w:p w14:paraId="209786DC" w14:textId="77777777" w:rsidR="004B0883" w:rsidRDefault="004B0883">
            <w:pPr>
              <w:widowControl w:val="0"/>
              <w:rPr>
                <w:color w:val="000000"/>
                <w:szCs w:val="24"/>
                <w:lang w:val="zh-CN"/>
              </w:rPr>
            </w:pPr>
            <w:r>
              <w:rPr>
                <w:rFonts w:cs="宋体" w:hint="eastAsia"/>
                <w:color w:val="000000"/>
                <w:szCs w:val="24"/>
              </w:rPr>
              <w:t>质量管理体系认证（</w:t>
            </w:r>
            <w:r>
              <w:rPr>
                <w:rFonts w:cs="宋体" w:hint="eastAsia"/>
                <w:color w:val="000000"/>
                <w:szCs w:val="24"/>
              </w:rPr>
              <w:t>I</w:t>
            </w:r>
            <w:r>
              <w:rPr>
                <w:rFonts w:cs="宋体"/>
                <w:color w:val="000000"/>
                <w:szCs w:val="24"/>
              </w:rPr>
              <w:t>SO9001</w:t>
            </w:r>
            <w:r>
              <w:rPr>
                <w:rFonts w:cs="宋体" w:hint="eastAsia"/>
                <w:color w:val="000000"/>
                <w:szCs w:val="24"/>
              </w:rPr>
              <w:t>）</w:t>
            </w:r>
          </w:p>
        </w:tc>
        <w:tc>
          <w:tcPr>
            <w:tcW w:w="1616" w:type="pct"/>
            <w:vAlign w:val="center"/>
          </w:tcPr>
          <w:p w14:paraId="701D5C8B" w14:textId="77777777" w:rsidR="004B0883" w:rsidRDefault="004B0883">
            <w:pPr>
              <w:widowControl w:val="0"/>
              <w:rPr>
                <w:color w:val="000000"/>
                <w:szCs w:val="24"/>
              </w:rPr>
            </w:pPr>
            <w:r>
              <w:rPr>
                <w:color w:val="000000"/>
                <w:szCs w:val="24"/>
                <w:shd w:val="clear" w:color="auto" w:fill="FFFFFF"/>
              </w:rPr>
              <w:t>507730-2021-AQ-RGC-UKAS</w:t>
            </w:r>
          </w:p>
        </w:tc>
        <w:tc>
          <w:tcPr>
            <w:tcW w:w="681" w:type="pct"/>
            <w:vAlign w:val="center"/>
          </w:tcPr>
          <w:p w14:paraId="31742A4C" w14:textId="77777777" w:rsidR="004B0883" w:rsidRDefault="004B0883">
            <w:pPr>
              <w:widowControl w:val="0"/>
              <w:rPr>
                <w:color w:val="000000"/>
                <w:szCs w:val="24"/>
              </w:rPr>
            </w:pPr>
            <w:r>
              <w:rPr>
                <w:rFonts w:cs="宋体" w:hint="eastAsia"/>
                <w:color w:val="000000"/>
                <w:szCs w:val="24"/>
              </w:rPr>
              <w:t>2</w:t>
            </w:r>
            <w:r>
              <w:rPr>
                <w:rFonts w:cs="宋体"/>
                <w:color w:val="000000"/>
                <w:szCs w:val="24"/>
              </w:rPr>
              <w:t>024.12.16</w:t>
            </w:r>
          </w:p>
        </w:tc>
      </w:tr>
    </w:tbl>
    <w:p w14:paraId="762ED31B" w14:textId="77777777" w:rsidR="004B0883" w:rsidRDefault="004B0883">
      <w:pPr>
        <w:keepNext/>
        <w:keepLines/>
        <w:widowControl w:val="0"/>
        <w:spacing w:beforeLines="50" w:before="120" w:afterLines="50" w:after="120" w:line="360" w:lineRule="auto"/>
        <w:jc w:val="both"/>
        <w:outlineLvl w:val="2"/>
        <w:rPr>
          <w:rFonts w:eastAsia="黑体"/>
          <w:b/>
          <w:bCs/>
          <w:sz w:val="24"/>
          <w:szCs w:val="28"/>
        </w:rPr>
      </w:pPr>
      <w:r>
        <w:rPr>
          <w:rFonts w:eastAsia="黑体"/>
          <w:b/>
          <w:bCs/>
          <w:sz w:val="24"/>
          <w:szCs w:val="28"/>
        </w:rPr>
        <w:t>（三）中国消防认证</w:t>
      </w:r>
    </w:p>
    <w:p w14:paraId="7D65AA77" w14:textId="77777777" w:rsidR="004B0883" w:rsidRDefault="004B0883">
      <w:pPr>
        <w:widowControl w:val="0"/>
        <w:spacing w:beforeLines="50" w:before="120" w:line="360" w:lineRule="auto"/>
        <w:ind w:firstLineChars="200" w:firstLine="480"/>
        <w:jc w:val="both"/>
        <w:rPr>
          <w:sz w:val="24"/>
          <w:szCs w:val="22"/>
          <w:lang w:val="zh-CN"/>
        </w:rPr>
      </w:pPr>
      <w:r>
        <w:rPr>
          <w:sz w:val="24"/>
          <w:szCs w:val="22"/>
          <w:lang w:val="zh-CN"/>
        </w:rPr>
        <w:t>截</w:t>
      </w:r>
      <w:r>
        <w:rPr>
          <w:sz w:val="24"/>
          <w:szCs w:val="22"/>
        </w:rPr>
        <w:t>至</w:t>
      </w:r>
      <w:r>
        <w:rPr>
          <w:rFonts w:hint="eastAsia"/>
          <w:sz w:val="24"/>
          <w:szCs w:val="22"/>
          <w:lang w:val="zh-CN"/>
        </w:rPr>
        <w:t>2</w:t>
      </w:r>
      <w:r>
        <w:rPr>
          <w:sz w:val="24"/>
          <w:szCs w:val="22"/>
          <w:lang w:val="zh-CN"/>
        </w:rPr>
        <w:t>023</w:t>
      </w:r>
      <w:r>
        <w:rPr>
          <w:sz w:val="24"/>
          <w:szCs w:val="22"/>
          <w:lang w:val="zh-CN"/>
        </w:rPr>
        <w:t>年</w:t>
      </w:r>
      <w:r>
        <w:rPr>
          <w:sz w:val="24"/>
          <w:szCs w:val="22"/>
          <w:lang w:val="zh-CN"/>
        </w:rPr>
        <w:t>9</w:t>
      </w:r>
      <w:r>
        <w:rPr>
          <w:sz w:val="24"/>
          <w:szCs w:val="22"/>
          <w:lang w:val="zh-CN"/>
        </w:rPr>
        <w:t>月</w:t>
      </w:r>
      <w:r>
        <w:rPr>
          <w:rFonts w:hint="eastAsia"/>
          <w:sz w:val="24"/>
          <w:szCs w:val="22"/>
          <w:lang w:val="zh-CN"/>
        </w:rPr>
        <w:t>3</w:t>
      </w:r>
      <w:r>
        <w:rPr>
          <w:sz w:val="24"/>
          <w:szCs w:val="22"/>
          <w:lang w:val="zh-CN"/>
        </w:rPr>
        <w:t>0</w:t>
      </w:r>
      <w:r>
        <w:rPr>
          <w:sz w:val="24"/>
          <w:szCs w:val="22"/>
          <w:lang w:val="zh-CN"/>
        </w:rPr>
        <w:t>日，发行人及其子公司取得的</w:t>
      </w:r>
      <w:r>
        <w:rPr>
          <w:rFonts w:hint="eastAsia"/>
          <w:sz w:val="24"/>
          <w:szCs w:val="22"/>
          <w:lang w:val="zh-CN"/>
        </w:rPr>
        <w:t>中国消防认证证书如下</w:t>
      </w:r>
      <w:r>
        <w:rPr>
          <w:sz w:val="24"/>
          <w:szCs w:val="22"/>
          <w:lang w:val="zh-CN"/>
        </w:rPr>
        <w:t>：</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346"/>
        <w:gridCol w:w="3710"/>
        <w:gridCol w:w="1928"/>
        <w:gridCol w:w="1296"/>
      </w:tblGrid>
      <w:tr w:rsidR="004B0883" w14:paraId="5F663F05" w14:textId="77777777">
        <w:trPr>
          <w:trHeight w:val="397"/>
          <w:tblHeader/>
          <w:jc w:val="center"/>
        </w:trPr>
        <w:tc>
          <w:tcPr>
            <w:tcW w:w="1384" w:type="dxa"/>
            <w:shd w:val="clear" w:color="auto" w:fill="D9D9D9"/>
            <w:tcMar>
              <w:top w:w="0" w:type="dxa"/>
              <w:left w:w="108" w:type="dxa"/>
              <w:bottom w:w="0" w:type="dxa"/>
              <w:right w:w="108" w:type="dxa"/>
            </w:tcMar>
            <w:vAlign w:val="center"/>
          </w:tcPr>
          <w:p w14:paraId="40499A94" w14:textId="77777777" w:rsidR="004B0883" w:rsidRDefault="004B0883">
            <w:pPr>
              <w:widowControl w:val="0"/>
              <w:adjustRightInd w:val="0"/>
              <w:snapToGrid w:val="0"/>
              <w:jc w:val="center"/>
              <w:rPr>
                <w:b/>
              </w:rPr>
            </w:pPr>
            <w:r>
              <w:rPr>
                <w:b/>
              </w:rPr>
              <w:t>序号</w:t>
            </w:r>
          </w:p>
        </w:tc>
        <w:tc>
          <w:tcPr>
            <w:tcW w:w="3827" w:type="dxa"/>
            <w:shd w:val="clear" w:color="auto" w:fill="D9D9D9"/>
            <w:tcMar>
              <w:top w:w="0" w:type="dxa"/>
              <w:left w:w="108" w:type="dxa"/>
              <w:bottom w:w="0" w:type="dxa"/>
              <w:right w:w="108" w:type="dxa"/>
            </w:tcMar>
            <w:vAlign w:val="center"/>
          </w:tcPr>
          <w:p w14:paraId="62BC09A3" w14:textId="77777777" w:rsidR="004B0883" w:rsidRDefault="004B0883">
            <w:pPr>
              <w:widowControl w:val="0"/>
              <w:adjustRightInd w:val="0"/>
              <w:snapToGrid w:val="0"/>
              <w:jc w:val="center"/>
              <w:rPr>
                <w:b/>
              </w:rPr>
            </w:pPr>
            <w:r>
              <w:rPr>
                <w:b/>
              </w:rPr>
              <w:t>证书名称</w:t>
            </w:r>
          </w:p>
        </w:tc>
        <w:tc>
          <w:tcPr>
            <w:tcW w:w="1985" w:type="dxa"/>
            <w:shd w:val="clear" w:color="auto" w:fill="D9D9D9"/>
            <w:tcMar>
              <w:top w:w="0" w:type="dxa"/>
              <w:left w:w="108" w:type="dxa"/>
              <w:bottom w:w="0" w:type="dxa"/>
              <w:right w:w="108" w:type="dxa"/>
            </w:tcMar>
            <w:vAlign w:val="center"/>
          </w:tcPr>
          <w:p w14:paraId="62CAA54E" w14:textId="77777777" w:rsidR="004B0883" w:rsidRDefault="004B0883">
            <w:pPr>
              <w:widowControl w:val="0"/>
              <w:adjustRightInd w:val="0"/>
              <w:snapToGrid w:val="0"/>
              <w:jc w:val="center"/>
              <w:rPr>
                <w:b/>
              </w:rPr>
            </w:pPr>
            <w:r>
              <w:rPr>
                <w:b/>
              </w:rPr>
              <w:t>开始时间</w:t>
            </w:r>
          </w:p>
        </w:tc>
        <w:tc>
          <w:tcPr>
            <w:tcW w:w="1332" w:type="dxa"/>
            <w:shd w:val="clear" w:color="auto" w:fill="D9D9D9"/>
            <w:tcMar>
              <w:top w:w="0" w:type="dxa"/>
              <w:left w:w="108" w:type="dxa"/>
              <w:bottom w:w="0" w:type="dxa"/>
              <w:right w:w="108" w:type="dxa"/>
            </w:tcMar>
            <w:vAlign w:val="center"/>
          </w:tcPr>
          <w:p w14:paraId="13347B2E" w14:textId="77777777" w:rsidR="004B0883" w:rsidRDefault="004B0883">
            <w:pPr>
              <w:widowControl w:val="0"/>
              <w:adjustRightInd w:val="0"/>
              <w:snapToGrid w:val="0"/>
              <w:jc w:val="center"/>
              <w:rPr>
                <w:b/>
              </w:rPr>
            </w:pPr>
            <w:r>
              <w:rPr>
                <w:b/>
              </w:rPr>
              <w:t>到期时间</w:t>
            </w:r>
          </w:p>
        </w:tc>
      </w:tr>
      <w:tr w:rsidR="004B0883" w14:paraId="0A689FA5" w14:textId="77777777">
        <w:trPr>
          <w:trHeight w:val="397"/>
          <w:jc w:val="center"/>
        </w:trPr>
        <w:tc>
          <w:tcPr>
            <w:tcW w:w="1384" w:type="dxa"/>
            <w:tcMar>
              <w:top w:w="0" w:type="dxa"/>
              <w:left w:w="108" w:type="dxa"/>
              <w:bottom w:w="0" w:type="dxa"/>
              <w:right w:w="108" w:type="dxa"/>
            </w:tcMar>
            <w:vAlign w:val="center"/>
          </w:tcPr>
          <w:p w14:paraId="708C7C34" w14:textId="77777777" w:rsidR="004B0883" w:rsidRDefault="004B0883">
            <w:pPr>
              <w:widowControl w:val="0"/>
              <w:adjustRightInd w:val="0"/>
              <w:snapToGrid w:val="0"/>
              <w:jc w:val="center"/>
            </w:pPr>
            <w:r>
              <w:t>1</w:t>
            </w:r>
          </w:p>
        </w:tc>
        <w:tc>
          <w:tcPr>
            <w:tcW w:w="3827" w:type="dxa"/>
            <w:tcMar>
              <w:top w:w="0" w:type="dxa"/>
              <w:left w:w="108" w:type="dxa"/>
              <w:bottom w:w="0" w:type="dxa"/>
              <w:right w:w="108" w:type="dxa"/>
            </w:tcMar>
            <w:vAlign w:val="center"/>
          </w:tcPr>
          <w:p w14:paraId="5885CB7A" w14:textId="77777777" w:rsidR="004B0883" w:rsidRDefault="004B0883">
            <w:pPr>
              <w:widowControl w:val="0"/>
              <w:adjustRightInd w:val="0"/>
              <w:snapToGrid w:val="0"/>
              <w:jc w:val="both"/>
            </w:pPr>
            <w:r>
              <w:rPr>
                <w:color w:val="000000"/>
              </w:rPr>
              <w:t>CCCF</w:t>
            </w:r>
            <w:r>
              <w:rPr>
                <w:color w:val="000000"/>
              </w:rPr>
              <w:t>消防产品认证证书</w:t>
            </w:r>
            <w:r>
              <w:rPr>
                <w:color w:val="000000"/>
              </w:rPr>
              <w:t>-</w:t>
            </w:r>
            <w:r>
              <w:rPr>
                <w:color w:val="000000"/>
              </w:rPr>
              <w:t>消防闸阀</w:t>
            </w:r>
          </w:p>
        </w:tc>
        <w:tc>
          <w:tcPr>
            <w:tcW w:w="1985" w:type="dxa"/>
            <w:tcMar>
              <w:top w:w="0" w:type="dxa"/>
              <w:left w:w="108" w:type="dxa"/>
              <w:bottom w:w="0" w:type="dxa"/>
              <w:right w:w="108" w:type="dxa"/>
            </w:tcMar>
            <w:vAlign w:val="center"/>
          </w:tcPr>
          <w:p w14:paraId="1FDBF970" w14:textId="77777777" w:rsidR="004B0883" w:rsidRDefault="004B0883">
            <w:pPr>
              <w:widowControl w:val="0"/>
              <w:adjustRightInd w:val="0"/>
              <w:snapToGrid w:val="0"/>
              <w:jc w:val="right"/>
              <w:rPr>
                <w:color w:val="000000"/>
              </w:rPr>
            </w:pPr>
            <w:r>
              <w:rPr>
                <w:color w:val="000000"/>
              </w:rPr>
              <w:t>2019.07.31</w:t>
            </w:r>
          </w:p>
        </w:tc>
        <w:tc>
          <w:tcPr>
            <w:tcW w:w="1332" w:type="dxa"/>
            <w:tcMar>
              <w:top w:w="0" w:type="dxa"/>
              <w:left w:w="108" w:type="dxa"/>
              <w:bottom w:w="0" w:type="dxa"/>
              <w:right w:w="108" w:type="dxa"/>
            </w:tcMar>
            <w:vAlign w:val="center"/>
          </w:tcPr>
          <w:p w14:paraId="54FD09AA" w14:textId="77777777" w:rsidR="004B0883" w:rsidRDefault="004B0883">
            <w:pPr>
              <w:widowControl w:val="0"/>
              <w:adjustRightInd w:val="0"/>
              <w:snapToGrid w:val="0"/>
              <w:jc w:val="right"/>
              <w:rPr>
                <w:color w:val="000000"/>
              </w:rPr>
            </w:pPr>
            <w:r>
              <w:rPr>
                <w:color w:val="000000"/>
              </w:rPr>
              <w:t>2024.07.30</w:t>
            </w:r>
          </w:p>
        </w:tc>
      </w:tr>
      <w:tr w:rsidR="004B0883" w14:paraId="76CC27DA" w14:textId="77777777">
        <w:trPr>
          <w:trHeight w:val="397"/>
          <w:jc w:val="center"/>
        </w:trPr>
        <w:tc>
          <w:tcPr>
            <w:tcW w:w="1384" w:type="dxa"/>
            <w:tcMar>
              <w:top w:w="0" w:type="dxa"/>
              <w:left w:w="108" w:type="dxa"/>
              <w:bottom w:w="0" w:type="dxa"/>
              <w:right w:w="108" w:type="dxa"/>
            </w:tcMar>
            <w:vAlign w:val="center"/>
          </w:tcPr>
          <w:p w14:paraId="6AC12B18" w14:textId="77777777" w:rsidR="004B0883" w:rsidRDefault="004B0883">
            <w:pPr>
              <w:widowControl w:val="0"/>
              <w:adjustRightInd w:val="0"/>
              <w:snapToGrid w:val="0"/>
              <w:jc w:val="center"/>
            </w:pPr>
            <w:r>
              <w:t>2</w:t>
            </w:r>
          </w:p>
        </w:tc>
        <w:tc>
          <w:tcPr>
            <w:tcW w:w="3827" w:type="dxa"/>
            <w:tcMar>
              <w:top w:w="0" w:type="dxa"/>
              <w:left w:w="108" w:type="dxa"/>
              <w:bottom w:w="0" w:type="dxa"/>
              <w:right w:w="108" w:type="dxa"/>
            </w:tcMar>
            <w:vAlign w:val="center"/>
          </w:tcPr>
          <w:p w14:paraId="0F9F33BA" w14:textId="77777777" w:rsidR="004B0883" w:rsidRDefault="004B0883">
            <w:pPr>
              <w:widowControl w:val="0"/>
              <w:adjustRightInd w:val="0"/>
              <w:snapToGrid w:val="0"/>
              <w:jc w:val="both"/>
            </w:pPr>
            <w:r>
              <w:rPr>
                <w:color w:val="000000"/>
              </w:rPr>
              <w:t>CCCF</w:t>
            </w:r>
            <w:r>
              <w:rPr>
                <w:color w:val="000000"/>
              </w:rPr>
              <w:t>消防产品认证证书</w:t>
            </w:r>
            <w:r>
              <w:rPr>
                <w:color w:val="000000"/>
              </w:rPr>
              <w:t>-</w:t>
            </w:r>
            <w:r>
              <w:rPr>
                <w:color w:val="000000"/>
              </w:rPr>
              <w:t>消防信号蝶阀</w:t>
            </w:r>
          </w:p>
        </w:tc>
        <w:tc>
          <w:tcPr>
            <w:tcW w:w="1985" w:type="dxa"/>
            <w:tcMar>
              <w:top w:w="0" w:type="dxa"/>
              <w:left w:w="108" w:type="dxa"/>
              <w:bottom w:w="0" w:type="dxa"/>
              <w:right w:w="108" w:type="dxa"/>
            </w:tcMar>
            <w:vAlign w:val="center"/>
          </w:tcPr>
          <w:p w14:paraId="699031A5" w14:textId="77777777" w:rsidR="004B0883" w:rsidRDefault="004B0883">
            <w:pPr>
              <w:widowControl w:val="0"/>
              <w:adjustRightInd w:val="0"/>
              <w:snapToGrid w:val="0"/>
              <w:jc w:val="right"/>
              <w:rPr>
                <w:color w:val="000000"/>
              </w:rPr>
            </w:pPr>
            <w:r>
              <w:rPr>
                <w:color w:val="000000"/>
              </w:rPr>
              <w:t>2019.07.31</w:t>
            </w:r>
          </w:p>
        </w:tc>
        <w:tc>
          <w:tcPr>
            <w:tcW w:w="1332" w:type="dxa"/>
            <w:tcMar>
              <w:top w:w="0" w:type="dxa"/>
              <w:left w:w="108" w:type="dxa"/>
              <w:bottom w:w="0" w:type="dxa"/>
              <w:right w:w="108" w:type="dxa"/>
            </w:tcMar>
            <w:vAlign w:val="center"/>
          </w:tcPr>
          <w:p w14:paraId="5BCD874B" w14:textId="77777777" w:rsidR="004B0883" w:rsidRDefault="004B0883">
            <w:pPr>
              <w:widowControl w:val="0"/>
              <w:adjustRightInd w:val="0"/>
              <w:snapToGrid w:val="0"/>
              <w:jc w:val="right"/>
              <w:rPr>
                <w:color w:val="000000"/>
              </w:rPr>
            </w:pPr>
            <w:r>
              <w:rPr>
                <w:color w:val="000000"/>
              </w:rPr>
              <w:t>2024.07.30</w:t>
            </w:r>
          </w:p>
        </w:tc>
      </w:tr>
      <w:tr w:rsidR="004B0883" w14:paraId="4C621B5F" w14:textId="77777777">
        <w:trPr>
          <w:trHeight w:val="397"/>
          <w:jc w:val="center"/>
        </w:trPr>
        <w:tc>
          <w:tcPr>
            <w:tcW w:w="1384" w:type="dxa"/>
            <w:tcMar>
              <w:top w:w="0" w:type="dxa"/>
              <w:left w:w="108" w:type="dxa"/>
              <w:bottom w:w="0" w:type="dxa"/>
              <w:right w:w="108" w:type="dxa"/>
            </w:tcMar>
            <w:vAlign w:val="center"/>
          </w:tcPr>
          <w:p w14:paraId="1121CDB6" w14:textId="77777777" w:rsidR="004B0883" w:rsidRDefault="004B0883">
            <w:pPr>
              <w:widowControl w:val="0"/>
              <w:adjustRightInd w:val="0"/>
              <w:snapToGrid w:val="0"/>
              <w:jc w:val="center"/>
            </w:pPr>
            <w:r>
              <w:t>3</w:t>
            </w:r>
          </w:p>
        </w:tc>
        <w:tc>
          <w:tcPr>
            <w:tcW w:w="3827" w:type="dxa"/>
            <w:tcMar>
              <w:top w:w="0" w:type="dxa"/>
              <w:left w:w="108" w:type="dxa"/>
              <w:bottom w:w="0" w:type="dxa"/>
              <w:right w:w="108" w:type="dxa"/>
            </w:tcMar>
            <w:vAlign w:val="center"/>
          </w:tcPr>
          <w:p w14:paraId="58DD67CD" w14:textId="77777777" w:rsidR="004B0883" w:rsidRDefault="004B0883">
            <w:pPr>
              <w:widowControl w:val="0"/>
              <w:adjustRightInd w:val="0"/>
              <w:snapToGrid w:val="0"/>
              <w:jc w:val="both"/>
            </w:pPr>
            <w:r>
              <w:rPr>
                <w:color w:val="000000"/>
              </w:rPr>
              <w:t>CCCF</w:t>
            </w:r>
            <w:r>
              <w:rPr>
                <w:color w:val="000000"/>
              </w:rPr>
              <w:t>消防产品认证证书</w:t>
            </w:r>
            <w:r>
              <w:rPr>
                <w:color w:val="000000"/>
              </w:rPr>
              <w:t>-</w:t>
            </w:r>
            <w:r>
              <w:rPr>
                <w:color w:val="000000"/>
              </w:rPr>
              <w:t>消防信号蝶阀</w:t>
            </w:r>
          </w:p>
        </w:tc>
        <w:tc>
          <w:tcPr>
            <w:tcW w:w="1985" w:type="dxa"/>
            <w:tcMar>
              <w:top w:w="0" w:type="dxa"/>
              <w:left w:w="108" w:type="dxa"/>
              <w:bottom w:w="0" w:type="dxa"/>
              <w:right w:w="108" w:type="dxa"/>
            </w:tcMar>
            <w:vAlign w:val="center"/>
          </w:tcPr>
          <w:p w14:paraId="40E41584" w14:textId="77777777" w:rsidR="004B0883" w:rsidRDefault="004B0883">
            <w:pPr>
              <w:widowControl w:val="0"/>
              <w:adjustRightInd w:val="0"/>
              <w:snapToGrid w:val="0"/>
              <w:jc w:val="right"/>
            </w:pPr>
            <w:r>
              <w:rPr>
                <w:color w:val="000000"/>
              </w:rPr>
              <w:t>2019.07.31</w:t>
            </w:r>
          </w:p>
        </w:tc>
        <w:tc>
          <w:tcPr>
            <w:tcW w:w="1332" w:type="dxa"/>
            <w:tcMar>
              <w:top w:w="0" w:type="dxa"/>
              <w:left w:w="108" w:type="dxa"/>
              <w:bottom w:w="0" w:type="dxa"/>
              <w:right w:w="108" w:type="dxa"/>
            </w:tcMar>
            <w:vAlign w:val="center"/>
          </w:tcPr>
          <w:p w14:paraId="091A2DF7" w14:textId="77777777" w:rsidR="004B0883" w:rsidRDefault="004B0883">
            <w:pPr>
              <w:widowControl w:val="0"/>
              <w:adjustRightInd w:val="0"/>
              <w:snapToGrid w:val="0"/>
              <w:jc w:val="right"/>
            </w:pPr>
            <w:r>
              <w:rPr>
                <w:color w:val="000000"/>
              </w:rPr>
              <w:t>2024.07.30</w:t>
            </w:r>
          </w:p>
        </w:tc>
      </w:tr>
      <w:tr w:rsidR="004B0883" w14:paraId="3496D322" w14:textId="77777777">
        <w:trPr>
          <w:trHeight w:val="397"/>
          <w:jc w:val="center"/>
        </w:trPr>
        <w:tc>
          <w:tcPr>
            <w:tcW w:w="1384" w:type="dxa"/>
            <w:tcMar>
              <w:top w:w="0" w:type="dxa"/>
              <w:left w:w="108" w:type="dxa"/>
              <w:bottom w:w="0" w:type="dxa"/>
              <w:right w:w="108" w:type="dxa"/>
            </w:tcMar>
            <w:vAlign w:val="center"/>
          </w:tcPr>
          <w:p w14:paraId="6AC0DFA7" w14:textId="77777777" w:rsidR="004B0883" w:rsidRDefault="004B0883">
            <w:pPr>
              <w:widowControl w:val="0"/>
              <w:adjustRightInd w:val="0"/>
              <w:snapToGrid w:val="0"/>
              <w:jc w:val="center"/>
            </w:pPr>
            <w:r>
              <w:t>4</w:t>
            </w:r>
          </w:p>
        </w:tc>
        <w:tc>
          <w:tcPr>
            <w:tcW w:w="3827" w:type="dxa"/>
            <w:tcMar>
              <w:top w:w="0" w:type="dxa"/>
              <w:left w:w="108" w:type="dxa"/>
              <w:bottom w:w="0" w:type="dxa"/>
              <w:right w:w="108" w:type="dxa"/>
            </w:tcMar>
            <w:vAlign w:val="center"/>
          </w:tcPr>
          <w:p w14:paraId="04510933" w14:textId="77777777" w:rsidR="004B0883" w:rsidRDefault="004B0883">
            <w:pPr>
              <w:widowControl w:val="0"/>
              <w:adjustRightInd w:val="0"/>
              <w:snapToGrid w:val="0"/>
              <w:jc w:val="both"/>
            </w:pPr>
            <w:r>
              <w:rPr>
                <w:color w:val="000000"/>
              </w:rPr>
              <w:t>CCCF</w:t>
            </w:r>
            <w:r>
              <w:rPr>
                <w:color w:val="000000"/>
              </w:rPr>
              <w:t>消防产品认证证书</w:t>
            </w:r>
            <w:r>
              <w:rPr>
                <w:color w:val="000000"/>
              </w:rPr>
              <w:t>-</w:t>
            </w:r>
            <w:r>
              <w:rPr>
                <w:color w:val="000000"/>
              </w:rPr>
              <w:t>雨淋报警阀</w:t>
            </w:r>
          </w:p>
        </w:tc>
        <w:tc>
          <w:tcPr>
            <w:tcW w:w="1985" w:type="dxa"/>
            <w:tcMar>
              <w:top w:w="0" w:type="dxa"/>
              <w:left w:w="108" w:type="dxa"/>
              <w:bottom w:w="0" w:type="dxa"/>
              <w:right w:w="108" w:type="dxa"/>
            </w:tcMar>
            <w:vAlign w:val="center"/>
          </w:tcPr>
          <w:p w14:paraId="33DAA2D9" w14:textId="77777777" w:rsidR="004B0883" w:rsidRDefault="004B0883">
            <w:pPr>
              <w:widowControl w:val="0"/>
              <w:adjustRightInd w:val="0"/>
              <w:snapToGrid w:val="0"/>
              <w:jc w:val="right"/>
            </w:pPr>
            <w:r>
              <w:rPr>
                <w:color w:val="000000"/>
              </w:rPr>
              <w:t>2019.07.31</w:t>
            </w:r>
          </w:p>
        </w:tc>
        <w:tc>
          <w:tcPr>
            <w:tcW w:w="1332" w:type="dxa"/>
            <w:tcMar>
              <w:top w:w="0" w:type="dxa"/>
              <w:left w:w="108" w:type="dxa"/>
              <w:bottom w:w="0" w:type="dxa"/>
              <w:right w:w="108" w:type="dxa"/>
            </w:tcMar>
            <w:vAlign w:val="center"/>
          </w:tcPr>
          <w:p w14:paraId="65A636F2" w14:textId="77777777" w:rsidR="004B0883" w:rsidRDefault="004B0883">
            <w:pPr>
              <w:widowControl w:val="0"/>
              <w:adjustRightInd w:val="0"/>
              <w:snapToGrid w:val="0"/>
              <w:jc w:val="right"/>
            </w:pPr>
            <w:r>
              <w:rPr>
                <w:color w:val="000000"/>
              </w:rPr>
              <w:t>2024.07.30</w:t>
            </w:r>
          </w:p>
        </w:tc>
      </w:tr>
      <w:tr w:rsidR="004B0883" w14:paraId="19990D91" w14:textId="77777777">
        <w:trPr>
          <w:trHeight w:val="397"/>
          <w:jc w:val="center"/>
        </w:trPr>
        <w:tc>
          <w:tcPr>
            <w:tcW w:w="1384" w:type="dxa"/>
            <w:tcMar>
              <w:top w:w="0" w:type="dxa"/>
              <w:left w:w="108" w:type="dxa"/>
              <w:bottom w:w="0" w:type="dxa"/>
              <w:right w:w="108" w:type="dxa"/>
            </w:tcMar>
            <w:vAlign w:val="center"/>
          </w:tcPr>
          <w:p w14:paraId="192E8470" w14:textId="77777777" w:rsidR="004B0883" w:rsidRDefault="004B0883">
            <w:pPr>
              <w:widowControl w:val="0"/>
              <w:adjustRightInd w:val="0"/>
              <w:snapToGrid w:val="0"/>
              <w:jc w:val="center"/>
            </w:pPr>
            <w:r>
              <w:t>5</w:t>
            </w:r>
          </w:p>
        </w:tc>
        <w:tc>
          <w:tcPr>
            <w:tcW w:w="3827" w:type="dxa"/>
            <w:tcMar>
              <w:top w:w="0" w:type="dxa"/>
              <w:left w:w="108" w:type="dxa"/>
              <w:bottom w:w="0" w:type="dxa"/>
              <w:right w:w="108" w:type="dxa"/>
            </w:tcMar>
            <w:vAlign w:val="center"/>
          </w:tcPr>
          <w:p w14:paraId="289B824C" w14:textId="77777777" w:rsidR="004B0883" w:rsidRDefault="004B0883">
            <w:pPr>
              <w:widowControl w:val="0"/>
              <w:adjustRightInd w:val="0"/>
              <w:snapToGrid w:val="0"/>
              <w:jc w:val="both"/>
            </w:pPr>
            <w:r>
              <w:rPr>
                <w:color w:val="000000"/>
              </w:rPr>
              <w:t>CCCF</w:t>
            </w:r>
            <w:r>
              <w:rPr>
                <w:color w:val="000000"/>
              </w:rPr>
              <w:t>消防产品认证证书</w:t>
            </w:r>
            <w:r>
              <w:rPr>
                <w:color w:val="000000"/>
              </w:rPr>
              <w:t>-</w:t>
            </w:r>
            <w:r>
              <w:rPr>
                <w:color w:val="000000"/>
              </w:rPr>
              <w:t>减压阀</w:t>
            </w:r>
          </w:p>
        </w:tc>
        <w:tc>
          <w:tcPr>
            <w:tcW w:w="1985" w:type="dxa"/>
            <w:tcMar>
              <w:top w:w="0" w:type="dxa"/>
              <w:left w:w="108" w:type="dxa"/>
              <w:bottom w:w="0" w:type="dxa"/>
              <w:right w:w="108" w:type="dxa"/>
            </w:tcMar>
            <w:vAlign w:val="center"/>
          </w:tcPr>
          <w:p w14:paraId="70E26DA1" w14:textId="77777777" w:rsidR="004B0883" w:rsidRDefault="004B0883">
            <w:pPr>
              <w:widowControl w:val="0"/>
              <w:adjustRightInd w:val="0"/>
              <w:snapToGrid w:val="0"/>
              <w:jc w:val="right"/>
              <w:rPr>
                <w:color w:val="000000"/>
              </w:rPr>
            </w:pPr>
            <w:r>
              <w:rPr>
                <w:color w:val="000000"/>
              </w:rPr>
              <w:t>2019.07.31</w:t>
            </w:r>
          </w:p>
        </w:tc>
        <w:tc>
          <w:tcPr>
            <w:tcW w:w="1332" w:type="dxa"/>
            <w:tcMar>
              <w:top w:w="0" w:type="dxa"/>
              <w:left w:w="108" w:type="dxa"/>
              <w:bottom w:w="0" w:type="dxa"/>
              <w:right w:w="108" w:type="dxa"/>
            </w:tcMar>
            <w:vAlign w:val="center"/>
          </w:tcPr>
          <w:p w14:paraId="3994B964" w14:textId="77777777" w:rsidR="004B0883" w:rsidRDefault="004B0883">
            <w:pPr>
              <w:widowControl w:val="0"/>
              <w:adjustRightInd w:val="0"/>
              <w:snapToGrid w:val="0"/>
              <w:jc w:val="right"/>
              <w:rPr>
                <w:color w:val="000000"/>
              </w:rPr>
            </w:pPr>
            <w:r>
              <w:rPr>
                <w:color w:val="000000"/>
              </w:rPr>
              <w:t>2024.07.30</w:t>
            </w:r>
          </w:p>
        </w:tc>
      </w:tr>
      <w:tr w:rsidR="004B0883" w14:paraId="03413CD3" w14:textId="77777777">
        <w:trPr>
          <w:trHeight w:val="397"/>
          <w:jc w:val="center"/>
        </w:trPr>
        <w:tc>
          <w:tcPr>
            <w:tcW w:w="1384" w:type="dxa"/>
            <w:tcMar>
              <w:top w:w="0" w:type="dxa"/>
              <w:left w:w="108" w:type="dxa"/>
              <w:bottom w:w="0" w:type="dxa"/>
              <w:right w:w="108" w:type="dxa"/>
            </w:tcMar>
            <w:vAlign w:val="center"/>
          </w:tcPr>
          <w:p w14:paraId="1FAA3E28" w14:textId="77777777" w:rsidR="004B0883" w:rsidRDefault="004B0883">
            <w:pPr>
              <w:widowControl w:val="0"/>
              <w:adjustRightInd w:val="0"/>
              <w:snapToGrid w:val="0"/>
              <w:jc w:val="center"/>
            </w:pPr>
            <w:r>
              <w:t>6</w:t>
            </w:r>
          </w:p>
        </w:tc>
        <w:tc>
          <w:tcPr>
            <w:tcW w:w="3827" w:type="dxa"/>
            <w:tcMar>
              <w:top w:w="0" w:type="dxa"/>
              <w:left w:w="108" w:type="dxa"/>
              <w:bottom w:w="0" w:type="dxa"/>
              <w:right w:w="108" w:type="dxa"/>
            </w:tcMar>
            <w:vAlign w:val="center"/>
          </w:tcPr>
          <w:p w14:paraId="611F4D23" w14:textId="77777777" w:rsidR="004B0883" w:rsidRDefault="004B0883">
            <w:pPr>
              <w:widowControl w:val="0"/>
              <w:adjustRightInd w:val="0"/>
              <w:snapToGrid w:val="0"/>
              <w:jc w:val="both"/>
            </w:pPr>
            <w:r>
              <w:rPr>
                <w:color w:val="000000"/>
              </w:rPr>
              <w:t>CCCF</w:t>
            </w:r>
            <w:r>
              <w:rPr>
                <w:color w:val="000000"/>
              </w:rPr>
              <w:t>消防产品认证证书</w:t>
            </w:r>
            <w:r>
              <w:rPr>
                <w:color w:val="000000"/>
              </w:rPr>
              <w:t>-</w:t>
            </w:r>
            <w:r>
              <w:rPr>
                <w:color w:val="000000"/>
              </w:rPr>
              <w:t>地上消火栓</w:t>
            </w:r>
          </w:p>
        </w:tc>
        <w:tc>
          <w:tcPr>
            <w:tcW w:w="1985" w:type="dxa"/>
            <w:tcMar>
              <w:top w:w="0" w:type="dxa"/>
              <w:left w:w="108" w:type="dxa"/>
              <w:bottom w:w="0" w:type="dxa"/>
              <w:right w:w="108" w:type="dxa"/>
            </w:tcMar>
            <w:vAlign w:val="center"/>
          </w:tcPr>
          <w:p w14:paraId="08DF11EF" w14:textId="77777777" w:rsidR="004B0883" w:rsidRDefault="004B0883">
            <w:pPr>
              <w:widowControl w:val="0"/>
              <w:adjustRightInd w:val="0"/>
              <w:snapToGrid w:val="0"/>
              <w:jc w:val="right"/>
              <w:rPr>
                <w:color w:val="000000"/>
              </w:rPr>
            </w:pPr>
            <w:r>
              <w:rPr>
                <w:color w:val="000000"/>
              </w:rPr>
              <w:t>2020.09.02</w:t>
            </w:r>
          </w:p>
        </w:tc>
        <w:tc>
          <w:tcPr>
            <w:tcW w:w="1332" w:type="dxa"/>
            <w:tcMar>
              <w:top w:w="0" w:type="dxa"/>
              <w:left w:w="108" w:type="dxa"/>
              <w:bottom w:w="0" w:type="dxa"/>
              <w:right w:w="108" w:type="dxa"/>
            </w:tcMar>
            <w:vAlign w:val="center"/>
          </w:tcPr>
          <w:p w14:paraId="70BFA59C" w14:textId="77777777" w:rsidR="004B0883" w:rsidRDefault="004B0883">
            <w:pPr>
              <w:widowControl w:val="0"/>
              <w:adjustRightInd w:val="0"/>
              <w:snapToGrid w:val="0"/>
              <w:jc w:val="right"/>
              <w:rPr>
                <w:color w:val="000000"/>
              </w:rPr>
            </w:pPr>
            <w:r>
              <w:rPr>
                <w:color w:val="000000"/>
              </w:rPr>
              <w:t>2024.07.30</w:t>
            </w:r>
          </w:p>
        </w:tc>
      </w:tr>
      <w:tr w:rsidR="004B0883" w14:paraId="20EEE5BC" w14:textId="77777777">
        <w:trPr>
          <w:trHeight w:val="397"/>
          <w:jc w:val="center"/>
        </w:trPr>
        <w:tc>
          <w:tcPr>
            <w:tcW w:w="1384" w:type="dxa"/>
            <w:tcMar>
              <w:top w:w="0" w:type="dxa"/>
              <w:left w:w="108" w:type="dxa"/>
              <w:bottom w:w="0" w:type="dxa"/>
              <w:right w:w="108" w:type="dxa"/>
            </w:tcMar>
            <w:vAlign w:val="center"/>
          </w:tcPr>
          <w:p w14:paraId="78C71489" w14:textId="77777777" w:rsidR="004B0883" w:rsidRDefault="004B0883">
            <w:pPr>
              <w:widowControl w:val="0"/>
              <w:adjustRightInd w:val="0"/>
              <w:snapToGrid w:val="0"/>
              <w:jc w:val="center"/>
            </w:pPr>
            <w:r>
              <w:t>7</w:t>
            </w:r>
          </w:p>
        </w:tc>
        <w:tc>
          <w:tcPr>
            <w:tcW w:w="3827" w:type="dxa"/>
            <w:tcMar>
              <w:top w:w="0" w:type="dxa"/>
              <w:left w:w="108" w:type="dxa"/>
              <w:bottom w:w="0" w:type="dxa"/>
              <w:right w:w="108" w:type="dxa"/>
            </w:tcMar>
            <w:vAlign w:val="center"/>
          </w:tcPr>
          <w:p w14:paraId="086BBA38" w14:textId="77777777" w:rsidR="004B0883" w:rsidRDefault="004B0883">
            <w:pPr>
              <w:widowControl w:val="0"/>
              <w:adjustRightInd w:val="0"/>
              <w:snapToGrid w:val="0"/>
              <w:jc w:val="both"/>
            </w:pPr>
            <w:r>
              <w:rPr>
                <w:color w:val="000000"/>
              </w:rPr>
              <w:t>CCCF</w:t>
            </w:r>
            <w:r>
              <w:rPr>
                <w:color w:val="000000"/>
              </w:rPr>
              <w:t>消防产品认证证书</w:t>
            </w:r>
            <w:r>
              <w:rPr>
                <w:color w:val="000000"/>
              </w:rPr>
              <w:t>-</w:t>
            </w:r>
            <w:r>
              <w:rPr>
                <w:color w:val="000000"/>
              </w:rPr>
              <w:t>水流指示器</w:t>
            </w:r>
          </w:p>
        </w:tc>
        <w:tc>
          <w:tcPr>
            <w:tcW w:w="1985" w:type="dxa"/>
            <w:tcMar>
              <w:top w:w="0" w:type="dxa"/>
              <w:left w:w="108" w:type="dxa"/>
              <w:bottom w:w="0" w:type="dxa"/>
              <w:right w:w="108" w:type="dxa"/>
            </w:tcMar>
            <w:vAlign w:val="center"/>
          </w:tcPr>
          <w:p w14:paraId="27D3B6DC" w14:textId="77777777" w:rsidR="004B0883" w:rsidRDefault="004B0883">
            <w:pPr>
              <w:widowControl w:val="0"/>
              <w:adjustRightInd w:val="0"/>
              <w:snapToGrid w:val="0"/>
              <w:jc w:val="right"/>
              <w:rPr>
                <w:color w:val="000000"/>
              </w:rPr>
            </w:pPr>
            <w:r>
              <w:rPr>
                <w:color w:val="000000"/>
              </w:rPr>
              <w:t>2019.07.31</w:t>
            </w:r>
          </w:p>
        </w:tc>
        <w:tc>
          <w:tcPr>
            <w:tcW w:w="1332" w:type="dxa"/>
            <w:tcMar>
              <w:top w:w="0" w:type="dxa"/>
              <w:left w:w="108" w:type="dxa"/>
              <w:bottom w:w="0" w:type="dxa"/>
              <w:right w:w="108" w:type="dxa"/>
            </w:tcMar>
            <w:vAlign w:val="center"/>
          </w:tcPr>
          <w:p w14:paraId="001AD876" w14:textId="77777777" w:rsidR="004B0883" w:rsidRDefault="004B0883">
            <w:pPr>
              <w:widowControl w:val="0"/>
              <w:adjustRightInd w:val="0"/>
              <w:snapToGrid w:val="0"/>
              <w:jc w:val="right"/>
              <w:rPr>
                <w:color w:val="000000"/>
              </w:rPr>
            </w:pPr>
            <w:r>
              <w:rPr>
                <w:color w:val="000000"/>
              </w:rPr>
              <w:t>2024.07.30</w:t>
            </w:r>
          </w:p>
        </w:tc>
      </w:tr>
      <w:tr w:rsidR="004B0883" w14:paraId="7898992E" w14:textId="77777777">
        <w:trPr>
          <w:trHeight w:val="397"/>
          <w:jc w:val="center"/>
        </w:trPr>
        <w:tc>
          <w:tcPr>
            <w:tcW w:w="1384" w:type="dxa"/>
            <w:tcMar>
              <w:top w:w="0" w:type="dxa"/>
              <w:left w:w="108" w:type="dxa"/>
              <w:bottom w:w="0" w:type="dxa"/>
              <w:right w:w="108" w:type="dxa"/>
            </w:tcMar>
            <w:vAlign w:val="center"/>
          </w:tcPr>
          <w:p w14:paraId="07F01FFD" w14:textId="77777777" w:rsidR="004B0883" w:rsidRDefault="004B0883">
            <w:pPr>
              <w:widowControl w:val="0"/>
              <w:adjustRightInd w:val="0"/>
              <w:snapToGrid w:val="0"/>
              <w:jc w:val="center"/>
            </w:pPr>
            <w:r>
              <w:t>8</w:t>
            </w:r>
          </w:p>
        </w:tc>
        <w:tc>
          <w:tcPr>
            <w:tcW w:w="3827" w:type="dxa"/>
            <w:tcMar>
              <w:top w:w="0" w:type="dxa"/>
              <w:left w:w="108" w:type="dxa"/>
              <w:bottom w:w="0" w:type="dxa"/>
              <w:right w:w="108" w:type="dxa"/>
            </w:tcMar>
            <w:vAlign w:val="center"/>
          </w:tcPr>
          <w:p w14:paraId="2207E1BD" w14:textId="77777777" w:rsidR="004B0883" w:rsidRDefault="004B0883">
            <w:pPr>
              <w:widowControl w:val="0"/>
              <w:adjustRightInd w:val="0"/>
              <w:snapToGrid w:val="0"/>
              <w:jc w:val="both"/>
            </w:pPr>
            <w:r>
              <w:rPr>
                <w:color w:val="000000"/>
              </w:rPr>
              <w:t>CCCF</w:t>
            </w:r>
            <w:r>
              <w:rPr>
                <w:color w:val="000000"/>
              </w:rPr>
              <w:t>消防产品认证证书</w:t>
            </w:r>
            <w:r>
              <w:rPr>
                <w:color w:val="000000"/>
              </w:rPr>
              <w:t>-</w:t>
            </w:r>
            <w:r>
              <w:rPr>
                <w:color w:val="000000"/>
              </w:rPr>
              <w:t>消防闸阀</w:t>
            </w:r>
          </w:p>
        </w:tc>
        <w:tc>
          <w:tcPr>
            <w:tcW w:w="1985" w:type="dxa"/>
            <w:tcMar>
              <w:top w:w="0" w:type="dxa"/>
              <w:left w:w="108" w:type="dxa"/>
              <w:bottom w:w="0" w:type="dxa"/>
              <w:right w:w="108" w:type="dxa"/>
            </w:tcMar>
            <w:vAlign w:val="center"/>
          </w:tcPr>
          <w:p w14:paraId="236BC550" w14:textId="77777777" w:rsidR="004B0883" w:rsidRDefault="004B0883">
            <w:pPr>
              <w:widowControl w:val="0"/>
              <w:adjustRightInd w:val="0"/>
              <w:snapToGrid w:val="0"/>
              <w:jc w:val="right"/>
              <w:rPr>
                <w:color w:val="000000"/>
              </w:rPr>
            </w:pPr>
            <w:r>
              <w:rPr>
                <w:color w:val="000000"/>
              </w:rPr>
              <w:t>2019.07.31</w:t>
            </w:r>
          </w:p>
        </w:tc>
        <w:tc>
          <w:tcPr>
            <w:tcW w:w="1332" w:type="dxa"/>
            <w:tcMar>
              <w:top w:w="0" w:type="dxa"/>
              <w:left w:w="108" w:type="dxa"/>
              <w:bottom w:w="0" w:type="dxa"/>
              <w:right w:w="108" w:type="dxa"/>
            </w:tcMar>
            <w:vAlign w:val="center"/>
          </w:tcPr>
          <w:p w14:paraId="787D43A2" w14:textId="77777777" w:rsidR="004B0883" w:rsidRDefault="004B0883">
            <w:pPr>
              <w:widowControl w:val="0"/>
              <w:adjustRightInd w:val="0"/>
              <w:snapToGrid w:val="0"/>
              <w:jc w:val="right"/>
              <w:rPr>
                <w:color w:val="000000"/>
              </w:rPr>
            </w:pPr>
            <w:r>
              <w:rPr>
                <w:color w:val="000000"/>
              </w:rPr>
              <w:t>2024.07.30</w:t>
            </w:r>
          </w:p>
        </w:tc>
      </w:tr>
      <w:tr w:rsidR="004B0883" w14:paraId="40D391FD" w14:textId="77777777">
        <w:trPr>
          <w:trHeight w:val="397"/>
          <w:jc w:val="center"/>
        </w:trPr>
        <w:tc>
          <w:tcPr>
            <w:tcW w:w="1384" w:type="dxa"/>
            <w:tcMar>
              <w:top w:w="0" w:type="dxa"/>
              <w:left w:w="108" w:type="dxa"/>
              <w:bottom w:w="0" w:type="dxa"/>
              <w:right w:w="108" w:type="dxa"/>
            </w:tcMar>
            <w:vAlign w:val="center"/>
          </w:tcPr>
          <w:p w14:paraId="11397951" w14:textId="77777777" w:rsidR="004B0883" w:rsidRDefault="004B0883">
            <w:pPr>
              <w:widowControl w:val="0"/>
              <w:adjustRightInd w:val="0"/>
              <w:snapToGrid w:val="0"/>
              <w:jc w:val="center"/>
            </w:pPr>
            <w:r>
              <w:t>9</w:t>
            </w:r>
          </w:p>
        </w:tc>
        <w:tc>
          <w:tcPr>
            <w:tcW w:w="3827" w:type="dxa"/>
            <w:tcMar>
              <w:top w:w="0" w:type="dxa"/>
              <w:left w:w="108" w:type="dxa"/>
              <w:bottom w:w="0" w:type="dxa"/>
              <w:right w:w="108" w:type="dxa"/>
            </w:tcMar>
            <w:vAlign w:val="center"/>
          </w:tcPr>
          <w:p w14:paraId="64EFD8CA" w14:textId="77777777" w:rsidR="004B0883" w:rsidRDefault="004B0883">
            <w:pPr>
              <w:widowControl w:val="0"/>
              <w:adjustRightInd w:val="0"/>
              <w:snapToGrid w:val="0"/>
              <w:jc w:val="both"/>
            </w:pPr>
            <w:r>
              <w:rPr>
                <w:color w:val="000000"/>
              </w:rPr>
              <w:t>CCCF</w:t>
            </w:r>
            <w:r>
              <w:rPr>
                <w:color w:val="000000"/>
              </w:rPr>
              <w:t>消防产品认证证书</w:t>
            </w:r>
            <w:r>
              <w:rPr>
                <w:color w:val="000000"/>
              </w:rPr>
              <w:t>-</w:t>
            </w:r>
            <w:r>
              <w:rPr>
                <w:color w:val="000000"/>
              </w:rPr>
              <w:t>消防蝶阀</w:t>
            </w:r>
          </w:p>
        </w:tc>
        <w:tc>
          <w:tcPr>
            <w:tcW w:w="1985" w:type="dxa"/>
            <w:tcMar>
              <w:top w:w="0" w:type="dxa"/>
              <w:left w:w="108" w:type="dxa"/>
              <w:bottom w:w="0" w:type="dxa"/>
              <w:right w:w="108" w:type="dxa"/>
            </w:tcMar>
            <w:vAlign w:val="center"/>
          </w:tcPr>
          <w:p w14:paraId="605C9858" w14:textId="77777777" w:rsidR="004B0883" w:rsidRDefault="004B0883">
            <w:pPr>
              <w:widowControl w:val="0"/>
              <w:adjustRightInd w:val="0"/>
              <w:snapToGrid w:val="0"/>
              <w:jc w:val="right"/>
              <w:rPr>
                <w:color w:val="000000"/>
              </w:rPr>
            </w:pPr>
            <w:r>
              <w:rPr>
                <w:color w:val="000000"/>
              </w:rPr>
              <w:t>2019.07.31</w:t>
            </w:r>
          </w:p>
        </w:tc>
        <w:tc>
          <w:tcPr>
            <w:tcW w:w="1332" w:type="dxa"/>
            <w:tcMar>
              <w:top w:w="0" w:type="dxa"/>
              <w:left w:w="108" w:type="dxa"/>
              <w:bottom w:w="0" w:type="dxa"/>
              <w:right w:w="108" w:type="dxa"/>
            </w:tcMar>
            <w:vAlign w:val="center"/>
          </w:tcPr>
          <w:p w14:paraId="5B4D5570" w14:textId="77777777" w:rsidR="004B0883" w:rsidRDefault="004B0883">
            <w:pPr>
              <w:widowControl w:val="0"/>
              <w:adjustRightInd w:val="0"/>
              <w:snapToGrid w:val="0"/>
              <w:jc w:val="right"/>
              <w:rPr>
                <w:color w:val="000000"/>
              </w:rPr>
            </w:pPr>
            <w:r>
              <w:rPr>
                <w:color w:val="000000"/>
              </w:rPr>
              <w:t>2024.07.30</w:t>
            </w:r>
          </w:p>
        </w:tc>
      </w:tr>
      <w:tr w:rsidR="004B0883" w14:paraId="779E4DED" w14:textId="77777777">
        <w:trPr>
          <w:trHeight w:val="397"/>
          <w:jc w:val="center"/>
        </w:trPr>
        <w:tc>
          <w:tcPr>
            <w:tcW w:w="1384" w:type="dxa"/>
            <w:tcMar>
              <w:top w:w="0" w:type="dxa"/>
              <w:left w:w="108" w:type="dxa"/>
              <w:bottom w:w="0" w:type="dxa"/>
              <w:right w:w="108" w:type="dxa"/>
            </w:tcMar>
            <w:vAlign w:val="center"/>
          </w:tcPr>
          <w:p w14:paraId="0F946AC2" w14:textId="77777777" w:rsidR="004B0883" w:rsidRDefault="004B0883">
            <w:pPr>
              <w:widowControl w:val="0"/>
              <w:adjustRightInd w:val="0"/>
              <w:snapToGrid w:val="0"/>
              <w:jc w:val="center"/>
            </w:pPr>
            <w:r>
              <w:t>10</w:t>
            </w:r>
          </w:p>
        </w:tc>
        <w:tc>
          <w:tcPr>
            <w:tcW w:w="3827" w:type="dxa"/>
            <w:tcMar>
              <w:top w:w="0" w:type="dxa"/>
              <w:left w:w="108" w:type="dxa"/>
              <w:bottom w:w="0" w:type="dxa"/>
              <w:right w:w="108" w:type="dxa"/>
            </w:tcMar>
            <w:vAlign w:val="center"/>
          </w:tcPr>
          <w:p w14:paraId="4BD051C4" w14:textId="77777777" w:rsidR="004B0883" w:rsidRDefault="004B0883">
            <w:pPr>
              <w:widowControl w:val="0"/>
              <w:adjustRightInd w:val="0"/>
              <w:snapToGrid w:val="0"/>
              <w:jc w:val="both"/>
            </w:pPr>
            <w:r>
              <w:rPr>
                <w:color w:val="000000"/>
              </w:rPr>
              <w:t>CCCF</w:t>
            </w:r>
            <w:r>
              <w:rPr>
                <w:color w:val="000000"/>
              </w:rPr>
              <w:t>消防产品认证证书</w:t>
            </w:r>
            <w:r>
              <w:rPr>
                <w:color w:val="000000"/>
              </w:rPr>
              <w:t>-</w:t>
            </w:r>
            <w:r>
              <w:rPr>
                <w:color w:val="000000"/>
              </w:rPr>
              <w:t>消防蝶阀</w:t>
            </w:r>
          </w:p>
        </w:tc>
        <w:tc>
          <w:tcPr>
            <w:tcW w:w="1985" w:type="dxa"/>
            <w:tcMar>
              <w:top w:w="0" w:type="dxa"/>
              <w:left w:w="108" w:type="dxa"/>
              <w:bottom w:w="0" w:type="dxa"/>
              <w:right w:w="108" w:type="dxa"/>
            </w:tcMar>
            <w:vAlign w:val="center"/>
          </w:tcPr>
          <w:p w14:paraId="11DDBC60" w14:textId="77777777" w:rsidR="004B0883" w:rsidRDefault="004B0883">
            <w:pPr>
              <w:widowControl w:val="0"/>
              <w:adjustRightInd w:val="0"/>
              <w:snapToGrid w:val="0"/>
              <w:jc w:val="right"/>
              <w:rPr>
                <w:color w:val="000000"/>
              </w:rPr>
            </w:pPr>
            <w:r>
              <w:rPr>
                <w:color w:val="000000"/>
              </w:rPr>
              <w:t>2019.07.31</w:t>
            </w:r>
          </w:p>
        </w:tc>
        <w:tc>
          <w:tcPr>
            <w:tcW w:w="1332" w:type="dxa"/>
            <w:tcMar>
              <w:top w:w="0" w:type="dxa"/>
              <w:left w:w="108" w:type="dxa"/>
              <w:bottom w:w="0" w:type="dxa"/>
              <w:right w:w="108" w:type="dxa"/>
            </w:tcMar>
            <w:vAlign w:val="center"/>
          </w:tcPr>
          <w:p w14:paraId="02905F22" w14:textId="77777777" w:rsidR="004B0883" w:rsidRDefault="004B0883">
            <w:pPr>
              <w:widowControl w:val="0"/>
              <w:adjustRightInd w:val="0"/>
              <w:snapToGrid w:val="0"/>
              <w:jc w:val="right"/>
              <w:rPr>
                <w:color w:val="000000"/>
              </w:rPr>
            </w:pPr>
            <w:r>
              <w:rPr>
                <w:color w:val="000000"/>
              </w:rPr>
              <w:t>2024.07.30</w:t>
            </w:r>
          </w:p>
        </w:tc>
      </w:tr>
      <w:tr w:rsidR="004B0883" w14:paraId="57EBFAD8" w14:textId="77777777">
        <w:trPr>
          <w:trHeight w:val="397"/>
          <w:jc w:val="center"/>
        </w:trPr>
        <w:tc>
          <w:tcPr>
            <w:tcW w:w="1384" w:type="dxa"/>
            <w:tcMar>
              <w:top w:w="0" w:type="dxa"/>
              <w:left w:w="108" w:type="dxa"/>
              <w:bottom w:w="0" w:type="dxa"/>
              <w:right w:w="108" w:type="dxa"/>
            </w:tcMar>
            <w:vAlign w:val="center"/>
          </w:tcPr>
          <w:p w14:paraId="0F206E3F" w14:textId="77777777" w:rsidR="004B0883" w:rsidRDefault="004B0883">
            <w:pPr>
              <w:widowControl w:val="0"/>
              <w:adjustRightInd w:val="0"/>
              <w:snapToGrid w:val="0"/>
              <w:jc w:val="center"/>
            </w:pPr>
            <w:r>
              <w:t>11</w:t>
            </w:r>
          </w:p>
        </w:tc>
        <w:tc>
          <w:tcPr>
            <w:tcW w:w="3827" w:type="dxa"/>
            <w:tcMar>
              <w:top w:w="0" w:type="dxa"/>
              <w:left w:w="108" w:type="dxa"/>
              <w:bottom w:w="0" w:type="dxa"/>
              <w:right w:w="108" w:type="dxa"/>
            </w:tcMar>
            <w:vAlign w:val="center"/>
          </w:tcPr>
          <w:p w14:paraId="6A3215B7" w14:textId="77777777" w:rsidR="004B0883" w:rsidRDefault="004B0883">
            <w:pPr>
              <w:widowControl w:val="0"/>
              <w:adjustRightInd w:val="0"/>
              <w:snapToGrid w:val="0"/>
              <w:jc w:val="both"/>
            </w:pPr>
            <w:r>
              <w:rPr>
                <w:color w:val="000000"/>
              </w:rPr>
              <w:t>CCCF</w:t>
            </w:r>
            <w:r>
              <w:rPr>
                <w:color w:val="000000"/>
              </w:rPr>
              <w:t>消防产品认证证书</w:t>
            </w:r>
            <w:r>
              <w:rPr>
                <w:color w:val="000000"/>
              </w:rPr>
              <w:t>-</w:t>
            </w:r>
            <w:r>
              <w:rPr>
                <w:color w:val="000000"/>
              </w:rPr>
              <w:t>消防蝶阀</w:t>
            </w:r>
          </w:p>
        </w:tc>
        <w:tc>
          <w:tcPr>
            <w:tcW w:w="1985" w:type="dxa"/>
            <w:tcMar>
              <w:top w:w="0" w:type="dxa"/>
              <w:left w:w="108" w:type="dxa"/>
              <w:bottom w:w="0" w:type="dxa"/>
              <w:right w:w="108" w:type="dxa"/>
            </w:tcMar>
            <w:vAlign w:val="center"/>
          </w:tcPr>
          <w:p w14:paraId="1E77FB7A" w14:textId="77777777" w:rsidR="004B0883" w:rsidRDefault="004B0883">
            <w:pPr>
              <w:widowControl w:val="0"/>
              <w:adjustRightInd w:val="0"/>
              <w:snapToGrid w:val="0"/>
              <w:jc w:val="right"/>
              <w:rPr>
                <w:color w:val="000000"/>
              </w:rPr>
            </w:pPr>
            <w:r>
              <w:rPr>
                <w:color w:val="000000"/>
              </w:rPr>
              <w:t>2019.07.31</w:t>
            </w:r>
          </w:p>
        </w:tc>
        <w:tc>
          <w:tcPr>
            <w:tcW w:w="1332" w:type="dxa"/>
            <w:tcMar>
              <w:top w:w="0" w:type="dxa"/>
              <w:left w:w="108" w:type="dxa"/>
              <w:bottom w:w="0" w:type="dxa"/>
              <w:right w:w="108" w:type="dxa"/>
            </w:tcMar>
            <w:vAlign w:val="center"/>
          </w:tcPr>
          <w:p w14:paraId="7BF743AB" w14:textId="77777777" w:rsidR="004B0883" w:rsidRDefault="004B0883">
            <w:pPr>
              <w:widowControl w:val="0"/>
              <w:adjustRightInd w:val="0"/>
              <w:snapToGrid w:val="0"/>
              <w:jc w:val="right"/>
              <w:rPr>
                <w:color w:val="000000"/>
              </w:rPr>
            </w:pPr>
            <w:r>
              <w:rPr>
                <w:color w:val="000000"/>
              </w:rPr>
              <w:t>2024.07.30</w:t>
            </w:r>
          </w:p>
        </w:tc>
      </w:tr>
      <w:tr w:rsidR="004B0883" w14:paraId="11E5B80F" w14:textId="77777777">
        <w:trPr>
          <w:trHeight w:val="397"/>
          <w:jc w:val="center"/>
        </w:trPr>
        <w:tc>
          <w:tcPr>
            <w:tcW w:w="1384" w:type="dxa"/>
            <w:tcMar>
              <w:top w:w="0" w:type="dxa"/>
              <w:left w:w="108" w:type="dxa"/>
              <w:bottom w:w="0" w:type="dxa"/>
              <w:right w:w="108" w:type="dxa"/>
            </w:tcMar>
            <w:vAlign w:val="center"/>
          </w:tcPr>
          <w:p w14:paraId="130316E6" w14:textId="77777777" w:rsidR="004B0883" w:rsidRDefault="004B0883">
            <w:pPr>
              <w:widowControl w:val="0"/>
              <w:adjustRightInd w:val="0"/>
              <w:snapToGrid w:val="0"/>
              <w:jc w:val="center"/>
            </w:pPr>
            <w:r>
              <w:t>12</w:t>
            </w:r>
          </w:p>
        </w:tc>
        <w:tc>
          <w:tcPr>
            <w:tcW w:w="3827" w:type="dxa"/>
            <w:tcMar>
              <w:top w:w="0" w:type="dxa"/>
              <w:left w:w="108" w:type="dxa"/>
              <w:bottom w:w="0" w:type="dxa"/>
              <w:right w:w="108" w:type="dxa"/>
            </w:tcMar>
            <w:vAlign w:val="center"/>
          </w:tcPr>
          <w:p w14:paraId="789234A4" w14:textId="77777777" w:rsidR="004B0883" w:rsidRDefault="004B0883">
            <w:pPr>
              <w:widowControl w:val="0"/>
              <w:adjustRightInd w:val="0"/>
              <w:snapToGrid w:val="0"/>
              <w:jc w:val="both"/>
            </w:pPr>
            <w:r>
              <w:rPr>
                <w:color w:val="000000"/>
              </w:rPr>
              <w:t>CCCF</w:t>
            </w:r>
            <w:r>
              <w:rPr>
                <w:color w:val="000000"/>
              </w:rPr>
              <w:t>消防产品认证证书</w:t>
            </w:r>
            <w:r>
              <w:rPr>
                <w:color w:val="000000"/>
              </w:rPr>
              <w:t>-</w:t>
            </w:r>
            <w:r>
              <w:rPr>
                <w:color w:val="000000"/>
              </w:rPr>
              <w:t>压力开关</w:t>
            </w:r>
          </w:p>
        </w:tc>
        <w:tc>
          <w:tcPr>
            <w:tcW w:w="1985" w:type="dxa"/>
            <w:tcMar>
              <w:top w:w="0" w:type="dxa"/>
              <w:left w:w="108" w:type="dxa"/>
              <w:bottom w:w="0" w:type="dxa"/>
              <w:right w:w="108" w:type="dxa"/>
            </w:tcMar>
            <w:vAlign w:val="center"/>
          </w:tcPr>
          <w:p w14:paraId="1BFA7589" w14:textId="77777777" w:rsidR="004B0883" w:rsidRDefault="004B0883">
            <w:pPr>
              <w:widowControl w:val="0"/>
              <w:adjustRightInd w:val="0"/>
              <w:snapToGrid w:val="0"/>
              <w:jc w:val="right"/>
              <w:rPr>
                <w:color w:val="000000"/>
              </w:rPr>
            </w:pPr>
            <w:r>
              <w:rPr>
                <w:color w:val="000000"/>
              </w:rPr>
              <w:t>2019.07.31</w:t>
            </w:r>
          </w:p>
        </w:tc>
        <w:tc>
          <w:tcPr>
            <w:tcW w:w="1332" w:type="dxa"/>
            <w:tcMar>
              <w:top w:w="0" w:type="dxa"/>
              <w:left w:w="108" w:type="dxa"/>
              <w:bottom w:w="0" w:type="dxa"/>
              <w:right w:w="108" w:type="dxa"/>
            </w:tcMar>
            <w:vAlign w:val="center"/>
          </w:tcPr>
          <w:p w14:paraId="727BC948" w14:textId="77777777" w:rsidR="004B0883" w:rsidRDefault="004B0883">
            <w:pPr>
              <w:widowControl w:val="0"/>
              <w:adjustRightInd w:val="0"/>
              <w:snapToGrid w:val="0"/>
              <w:jc w:val="right"/>
              <w:rPr>
                <w:color w:val="000000"/>
              </w:rPr>
            </w:pPr>
            <w:r>
              <w:rPr>
                <w:color w:val="000000"/>
              </w:rPr>
              <w:t>2024.07.30</w:t>
            </w:r>
          </w:p>
        </w:tc>
      </w:tr>
      <w:tr w:rsidR="004B0883" w14:paraId="0BB13547" w14:textId="77777777">
        <w:trPr>
          <w:trHeight w:val="397"/>
          <w:jc w:val="center"/>
        </w:trPr>
        <w:tc>
          <w:tcPr>
            <w:tcW w:w="1384" w:type="dxa"/>
            <w:tcMar>
              <w:top w:w="0" w:type="dxa"/>
              <w:left w:w="108" w:type="dxa"/>
              <w:bottom w:w="0" w:type="dxa"/>
              <w:right w:w="108" w:type="dxa"/>
            </w:tcMar>
            <w:vAlign w:val="center"/>
          </w:tcPr>
          <w:p w14:paraId="34D2D651" w14:textId="77777777" w:rsidR="004B0883" w:rsidRDefault="004B0883">
            <w:pPr>
              <w:widowControl w:val="0"/>
              <w:adjustRightInd w:val="0"/>
              <w:snapToGrid w:val="0"/>
              <w:jc w:val="center"/>
            </w:pPr>
            <w:r>
              <w:t>13</w:t>
            </w:r>
          </w:p>
        </w:tc>
        <w:tc>
          <w:tcPr>
            <w:tcW w:w="3827" w:type="dxa"/>
            <w:tcMar>
              <w:top w:w="0" w:type="dxa"/>
              <w:left w:w="108" w:type="dxa"/>
              <w:bottom w:w="0" w:type="dxa"/>
              <w:right w:w="108" w:type="dxa"/>
            </w:tcMar>
            <w:vAlign w:val="center"/>
          </w:tcPr>
          <w:p w14:paraId="1774A41D" w14:textId="77777777" w:rsidR="004B0883" w:rsidRDefault="004B0883">
            <w:pPr>
              <w:widowControl w:val="0"/>
              <w:adjustRightInd w:val="0"/>
              <w:snapToGrid w:val="0"/>
              <w:jc w:val="both"/>
            </w:pPr>
            <w:r>
              <w:rPr>
                <w:color w:val="000000"/>
              </w:rPr>
              <w:t>CCCF</w:t>
            </w:r>
            <w:r>
              <w:rPr>
                <w:color w:val="000000"/>
              </w:rPr>
              <w:t>消防产品认证证书</w:t>
            </w:r>
            <w:r>
              <w:rPr>
                <w:color w:val="000000"/>
              </w:rPr>
              <w:t>-</w:t>
            </w:r>
            <w:r>
              <w:rPr>
                <w:color w:val="000000"/>
              </w:rPr>
              <w:t>压力开关</w:t>
            </w:r>
          </w:p>
        </w:tc>
        <w:tc>
          <w:tcPr>
            <w:tcW w:w="1985" w:type="dxa"/>
            <w:tcMar>
              <w:top w:w="0" w:type="dxa"/>
              <w:left w:w="108" w:type="dxa"/>
              <w:bottom w:w="0" w:type="dxa"/>
              <w:right w:w="108" w:type="dxa"/>
            </w:tcMar>
            <w:vAlign w:val="center"/>
          </w:tcPr>
          <w:p w14:paraId="70C8B956" w14:textId="77777777" w:rsidR="004B0883" w:rsidRDefault="004B0883">
            <w:pPr>
              <w:widowControl w:val="0"/>
              <w:adjustRightInd w:val="0"/>
              <w:snapToGrid w:val="0"/>
              <w:jc w:val="right"/>
              <w:rPr>
                <w:color w:val="000000"/>
              </w:rPr>
            </w:pPr>
            <w:r>
              <w:rPr>
                <w:color w:val="000000"/>
              </w:rPr>
              <w:t>2019.07.31</w:t>
            </w:r>
          </w:p>
        </w:tc>
        <w:tc>
          <w:tcPr>
            <w:tcW w:w="1332" w:type="dxa"/>
            <w:tcMar>
              <w:top w:w="0" w:type="dxa"/>
              <w:left w:w="108" w:type="dxa"/>
              <w:bottom w:w="0" w:type="dxa"/>
              <w:right w:w="108" w:type="dxa"/>
            </w:tcMar>
            <w:vAlign w:val="center"/>
          </w:tcPr>
          <w:p w14:paraId="5F7AF90C" w14:textId="77777777" w:rsidR="004B0883" w:rsidRDefault="004B0883">
            <w:pPr>
              <w:widowControl w:val="0"/>
              <w:adjustRightInd w:val="0"/>
              <w:snapToGrid w:val="0"/>
              <w:jc w:val="right"/>
              <w:rPr>
                <w:color w:val="000000"/>
              </w:rPr>
            </w:pPr>
            <w:r>
              <w:rPr>
                <w:color w:val="000000"/>
              </w:rPr>
              <w:t>2024.07.30</w:t>
            </w:r>
          </w:p>
        </w:tc>
      </w:tr>
      <w:tr w:rsidR="004B0883" w14:paraId="1AF88AAA" w14:textId="77777777">
        <w:trPr>
          <w:trHeight w:val="397"/>
          <w:jc w:val="center"/>
        </w:trPr>
        <w:tc>
          <w:tcPr>
            <w:tcW w:w="1384" w:type="dxa"/>
            <w:tcMar>
              <w:top w:w="0" w:type="dxa"/>
              <w:left w:w="108" w:type="dxa"/>
              <w:bottom w:w="0" w:type="dxa"/>
              <w:right w:w="108" w:type="dxa"/>
            </w:tcMar>
            <w:vAlign w:val="center"/>
          </w:tcPr>
          <w:p w14:paraId="28559832" w14:textId="77777777" w:rsidR="004B0883" w:rsidRDefault="004B0883">
            <w:pPr>
              <w:widowControl w:val="0"/>
              <w:adjustRightInd w:val="0"/>
              <w:snapToGrid w:val="0"/>
              <w:jc w:val="center"/>
            </w:pPr>
            <w:r>
              <w:t>14</w:t>
            </w:r>
          </w:p>
        </w:tc>
        <w:tc>
          <w:tcPr>
            <w:tcW w:w="3827" w:type="dxa"/>
            <w:tcMar>
              <w:top w:w="0" w:type="dxa"/>
              <w:left w:w="108" w:type="dxa"/>
              <w:bottom w:w="0" w:type="dxa"/>
              <w:right w:w="108" w:type="dxa"/>
            </w:tcMar>
            <w:vAlign w:val="center"/>
          </w:tcPr>
          <w:p w14:paraId="76BC80DD" w14:textId="77777777" w:rsidR="004B0883" w:rsidRDefault="004B0883">
            <w:pPr>
              <w:widowControl w:val="0"/>
              <w:adjustRightInd w:val="0"/>
              <w:snapToGrid w:val="0"/>
              <w:jc w:val="both"/>
            </w:pPr>
            <w:r>
              <w:rPr>
                <w:color w:val="000000"/>
              </w:rPr>
              <w:t>CCCF</w:t>
            </w:r>
            <w:r>
              <w:rPr>
                <w:color w:val="000000"/>
              </w:rPr>
              <w:t>消防产品认证证书</w:t>
            </w:r>
            <w:r>
              <w:rPr>
                <w:color w:val="000000"/>
              </w:rPr>
              <w:t>-</w:t>
            </w:r>
            <w:r>
              <w:rPr>
                <w:color w:val="000000"/>
              </w:rPr>
              <w:t>消防蝶阀</w:t>
            </w:r>
          </w:p>
        </w:tc>
        <w:tc>
          <w:tcPr>
            <w:tcW w:w="1985" w:type="dxa"/>
            <w:tcMar>
              <w:top w:w="0" w:type="dxa"/>
              <w:left w:w="108" w:type="dxa"/>
              <w:bottom w:w="0" w:type="dxa"/>
              <w:right w:w="108" w:type="dxa"/>
            </w:tcMar>
            <w:vAlign w:val="center"/>
          </w:tcPr>
          <w:p w14:paraId="38A8A229" w14:textId="77777777" w:rsidR="004B0883" w:rsidRDefault="004B0883">
            <w:pPr>
              <w:widowControl w:val="0"/>
              <w:adjustRightInd w:val="0"/>
              <w:snapToGrid w:val="0"/>
              <w:jc w:val="right"/>
              <w:rPr>
                <w:color w:val="000000"/>
              </w:rPr>
            </w:pPr>
            <w:r>
              <w:rPr>
                <w:color w:val="000000"/>
              </w:rPr>
              <w:t>2019.10.22</w:t>
            </w:r>
          </w:p>
        </w:tc>
        <w:tc>
          <w:tcPr>
            <w:tcW w:w="1332" w:type="dxa"/>
            <w:tcMar>
              <w:top w:w="0" w:type="dxa"/>
              <w:left w:w="108" w:type="dxa"/>
              <w:bottom w:w="0" w:type="dxa"/>
              <w:right w:w="108" w:type="dxa"/>
            </w:tcMar>
            <w:vAlign w:val="center"/>
          </w:tcPr>
          <w:p w14:paraId="3861CCBF" w14:textId="77777777" w:rsidR="004B0883" w:rsidRDefault="004B0883">
            <w:pPr>
              <w:widowControl w:val="0"/>
              <w:adjustRightInd w:val="0"/>
              <w:snapToGrid w:val="0"/>
              <w:jc w:val="right"/>
              <w:rPr>
                <w:color w:val="000000"/>
              </w:rPr>
            </w:pPr>
            <w:r>
              <w:rPr>
                <w:color w:val="000000"/>
              </w:rPr>
              <w:t>2024.10.21</w:t>
            </w:r>
          </w:p>
        </w:tc>
      </w:tr>
      <w:tr w:rsidR="004B0883" w14:paraId="2A2DDA0B" w14:textId="77777777">
        <w:trPr>
          <w:trHeight w:val="397"/>
          <w:jc w:val="center"/>
        </w:trPr>
        <w:tc>
          <w:tcPr>
            <w:tcW w:w="1384" w:type="dxa"/>
            <w:tcMar>
              <w:top w:w="0" w:type="dxa"/>
              <w:left w:w="108" w:type="dxa"/>
              <w:bottom w:w="0" w:type="dxa"/>
              <w:right w:w="108" w:type="dxa"/>
            </w:tcMar>
            <w:vAlign w:val="center"/>
          </w:tcPr>
          <w:p w14:paraId="4BEC55FA" w14:textId="77777777" w:rsidR="004B0883" w:rsidRDefault="004B0883">
            <w:pPr>
              <w:widowControl w:val="0"/>
              <w:adjustRightInd w:val="0"/>
              <w:snapToGrid w:val="0"/>
              <w:jc w:val="center"/>
            </w:pPr>
            <w:r>
              <w:t>15</w:t>
            </w:r>
          </w:p>
        </w:tc>
        <w:tc>
          <w:tcPr>
            <w:tcW w:w="3827" w:type="dxa"/>
            <w:tcMar>
              <w:top w:w="0" w:type="dxa"/>
              <w:left w:w="108" w:type="dxa"/>
              <w:bottom w:w="0" w:type="dxa"/>
              <w:right w:w="108" w:type="dxa"/>
            </w:tcMar>
            <w:vAlign w:val="center"/>
          </w:tcPr>
          <w:p w14:paraId="44AB36D4" w14:textId="77777777" w:rsidR="004B0883" w:rsidRDefault="004B0883">
            <w:pPr>
              <w:widowControl w:val="0"/>
              <w:adjustRightInd w:val="0"/>
              <w:snapToGrid w:val="0"/>
              <w:jc w:val="both"/>
            </w:pPr>
            <w:r>
              <w:rPr>
                <w:color w:val="000000"/>
              </w:rPr>
              <w:t>CCCF</w:t>
            </w:r>
            <w:r>
              <w:rPr>
                <w:color w:val="000000"/>
              </w:rPr>
              <w:t>消防产品认证证书</w:t>
            </w:r>
            <w:r>
              <w:rPr>
                <w:color w:val="000000"/>
              </w:rPr>
              <w:t>-</w:t>
            </w:r>
            <w:r>
              <w:rPr>
                <w:color w:val="000000"/>
              </w:rPr>
              <w:t>消防蝶阀</w:t>
            </w:r>
          </w:p>
        </w:tc>
        <w:tc>
          <w:tcPr>
            <w:tcW w:w="1985" w:type="dxa"/>
            <w:tcMar>
              <w:top w:w="0" w:type="dxa"/>
              <w:left w:w="108" w:type="dxa"/>
              <w:bottom w:w="0" w:type="dxa"/>
              <w:right w:w="108" w:type="dxa"/>
            </w:tcMar>
            <w:vAlign w:val="center"/>
          </w:tcPr>
          <w:p w14:paraId="77634924" w14:textId="77777777" w:rsidR="004B0883" w:rsidRDefault="004B0883">
            <w:pPr>
              <w:widowControl w:val="0"/>
              <w:adjustRightInd w:val="0"/>
              <w:snapToGrid w:val="0"/>
              <w:jc w:val="right"/>
              <w:rPr>
                <w:color w:val="000000"/>
              </w:rPr>
            </w:pPr>
            <w:r>
              <w:rPr>
                <w:color w:val="000000"/>
              </w:rPr>
              <w:t>2019.10.22</w:t>
            </w:r>
          </w:p>
        </w:tc>
        <w:tc>
          <w:tcPr>
            <w:tcW w:w="1332" w:type="dxa"/>
            <w:tcMar>
              <w:top w:w="0" w:type="dxa"/>
              <w:left w:w="108" w:type="dxa"/>
              <w:bottom w:w="0" w:type="dxa"/>
              <w:right w:w="108" w:type="dxa"/>
            </w:tcMar>
            <w:vAlign w:val="center"/>
          </w:tcPr>
          <w:p w14:paraId="36F9DA06" w14:textId="77777777" w:rsidR="004B0883" w:rsidRDefault="004B0883">
            <w:pPr>
              <w:widowControl w:val="0"/>
              <w:adjustRightInd w:val="0"/>
              <w:snapToGrid w:val="0"/>
              <w:jc w:val="right"/>
              <w:rPr>
                <w:color w:val="000000"/>
              </w:rPr>
            </w:pPr>
            <w:r>
              <w:rPr>
                <w:color w:val="000000"/>
              </w:rPr>
              <w:t>2024.10.21</w:t>
            </w:r>
          </w:p>
        </w:tc>
      </w:tr>
      <w:tr w:rsidR="004B0883" w14:paraId="6C330D92" w14:textId="77777777">
        <w:trPr>
          <w:trHeight w:val="397"/>
          <w:jc w:val="center"/>
        </w:trPr>
        <w:tc>
          <w:tcPr>
            <w:tcW w:w="1384" w:type="dxa"/>
            <w:tcMar>
              <w:top w:w="0" w:type="dxa"/>
              <w:left w:w="108" w:type="dxa"/>
              <w:bottom w:w="0" w:type="dxa"/>
              <w:right w:w="108" w:type="dxa"/>
            </w:tcMar>
            <w:vAlign w:val="center"/>
          </w:tcPr>
          <w:p w14:paraId="3C12A4E0" w14:textId="77777777" w:rsidR="004B0883" w:rsidRDefault="004B0883">
            <w:pPr>
              <w:widowControl w:val="0"/>
              <w:adjustRightInd w:val="0"/>
              <w:snapToGrid w:val="0"/>
              <w:jc w:val="center"/>
            </w:pPr>
            <w:r>
              <w:t>16</w:t>
            </w:r>
          </w:p>
        </w:tc>
        <w:tc>
          <w:tcPr>
            <w:tcW w:w="3827" w:type="dxa"/>
            <w:tcMar>
              <w:top w:w="0" w:type="dxa"/>
              <w:left w:w="108" w:type="dxa"/>
              <w:bottom w:w="0" w:type="dxa"/>
              <w:right w:w="108" w:type="dxa"/>
            </w:tcMar>
            <w:vAlign w:val="center"/>
          </w:tcPr>
          <w:p w14:paraId="324BE6CA" w14:textId="77777777" w:rsidR="004B0883" w:rsidRDefault="004B0883">
            <w:pPr>
              <w:widowControl w:val="0"/>
              <w:adjustRightInd w:val="0"/>
              <w:snapToGrid w:val="0"/>
              <w:jc w:val="both"/>
            </w:pPr>
            <w:r>
              <w:rPr>
                <w:color w:val="000000"/>
              </w:rPr>
              <w:t>CCCF</w:t>
            </w:r>
            <w:r>
              <w:rPr>
                <w:color w:val="000000"/>
              </w:rPr>
              <w:t>消防产品认证证书</w:t>
            </w:r>
            <w:r>
              <w:rPr>
                <w:color w:val="000000"/>
              </w:rPr>
              <w:t>-</w:t>
            </w:r>
            <w:r>
              <w:rPr>
                <w:color w:val="000000"/>
              </w:rPr>
              <w:t>水流指示器</w:t>
            </w:r>
          </w:p>
        </w:tc>
        <w:tc>
          <w:tcPr>
            <w:tcW w:w="1985" w:type="dxa"/>
            <w:tcMar>
              <w:top w:w="0" w:type="dxa"/>
              <w:left w:w="108" w:type="dxa"/>
              <w:bottom w:w="0" w:type="dxa"/>
              <w:right w:w="108" w:type="dxa"/>
            </w:tcMar>
            <w:vAlign w:val="center"/>
          </w:tcPr>
          <w:p w14:paraId="24E19CD1" w14:textId="77777777" w:rsidR="004B0883" w:rsidRDefault="004B0883">
            <w:pPr>
              <w:widowControl w:val="0"/>
              <w:adjustRightInd w:val="0"/>
              <w:snapToGrid w:val="0"/>
              <w:jc w:val="right"/>
              <w:rPr>
                <w:color w:val="000000"/>
              </w:rPr>
            </w:pPr>
            <w:r>
              <w:rPr>
                <w:color w:val="000000"/>
              </w:rPr>
              <w:t>2019.10.23</w:t>
            </w:r>
          </w:p>
        </w:tc>
        <w:tc>
          <w:tcPr>
            <w:tcW w:w="1332" w:type="dxa"/>
            <w:tcMar>
              <w:top w:w="0" w:type="dxa"/>
              <w:left w:w="108" w:type="dxa"/>
              <w:bottom w:w="0" w:type="dxa"/>
              <w:right w:w="108" w:type="dxa"/>
            </w:tcMar>
            <w:vAlign w:val="center"/>
          </w:tcPr>
          <w:p w14:paraId="7E49B1B3" w14:textId="77777777" w:rsidR="004B0883" w:rsidRDefault="004B0883">
            <w:pPr>
              <w:widowControl w:val="0"/>
              <w:adjustRightInd w:val="0"/>
              <w:snapToGrid w:val="0"/>
              <w:jc w:val="right"/>
              <w:rPr>
                <w:color w:val="000000"/>
              </w:rPr>
            </w:pPr>
            <w:r>
              <w:rPr>
                <w:color w:val="000000"/>
              </w:rPr>
              <w:t>2024.07.30</w:t>
            </w:r>
          </w:p>
        </w:tc>
      </w:tr>
    </w:tbl>
    <w:p w14:paraId="7D9C8974" w14:textId="77777777" w:rsidR="004B0883" w:rsidRDefault="004B0883">
      <w:pPr>
        <w:keepNext/>
        <w:keepLines/>
        <w:widowControl w:val="0"/>
        <w:spacing w:beforeLines="50" w:before="120" w:afterLines="50" w:after="120" w:line="360" w:lineRule="auto"/>
        <w:jc w:val="both"/>
        <w:outlineLvl w:val="2"/>
        <w:rPr>
          <w:rFonts w:eastAsia="黑体"/>
          <w:b/>
          <w:bCs/>
          <w:sz w:val="24"/>
          <w:szCs w:val="28"/>
        </w:rPr>
      </w:pPr>
      <w:r>
        <w:rPr>
          <w:rFonts w:eastAsia="黑体"/>
          <w:b/>
          <w:bCs/>
          <w:sz w:val="24"/>
          <w:szCs w:val="28"/>
        </w:rPr>
        <w:t>（四）海外认证资质</w:t>
      </w:r>
    </w:p>
    <w:p w14:paraId="79522B3C" w14:textId="77777777" w:rsidR="004B0883" w:rsidRDefault="004B0883">
      <w:pPr>
        <w:widowControl w:val="0"/>
        <w:spacing w:beforeLines="50" w:before="120" w:line="360" w:lineRule="auto"/>
        <w:ind w:firstLineChars="200" w:firstLine="480"/>
        <w:jc w:val="both"/>
        <w:rPr>
          <w:sz w:val="24"/>
          <w:szCs w:val="22"/>
          <w:lang w:val="zh-CN"/>
        </w:rPr>
      </w:pPr>
      <w:r>
        <w:rPr>
          <w:sz w:val="24"/>
          <w:szCs w:val="22"/>
        </w:rPr>
        <w:t>公司产品取得了欧盟</w:t>
      </w:r>
      <w:r>
        <w:rPr>
          <w:sz w:val="24"/>
          <w:szCs w:val="22"/>
        </w:rPr>
        <w:t>CE</w:t>
      </w:r>
      <w:r>
        <w:rPr>
          <w:sz w:val="24"/>
          <w:szCs w:val="22"/>
        </w:rPr>
        <w:t>产品安全认证、英国</w:t>
      </w:r>
      <w:r>
        <w:rPr>
          <w:sz w:val="24"/>
          <w:szCs w:val="22"/>
        </w:rPr>
        <w:t>WRAS</w:t>
      </w:r>
      <w:r>
        <w:rPr>
          <w:sz w:val="24"/>
          <w:szCs w:val="22"/>
        </w:rPr>
        <w:t>饮用水认证、美国</w:t>
      </w:r>
      <w:r>
        <w:rPr>
          <w:sz w:val="24"/>
          <w:szCs w:val="22"/>
        </w:rPr>
        <w:t>UL</w:t>
      </w:r>
      <w:r>
        <w:rPr>
          <w:sz w:val="24"/>
          <w:szCs w:val="22"/>
        </w:rPr>
        <w:t>饮用水认证、美国</w:t>
      </w:r>
      <w:r>
        <w:rPr>
          <w:sz w:val="24"/>
          <w:szCs w:val="22"/>
        </w:rPr>
        <w:t>UL</w:t>
      </w:r>
      <w:r>
        <w:rPr>
          <w:sz w:val="24"/>
          <w:szCs w:val="22"/>
        </w:rPr>
        <w:t>认证、美国</w:t>
      </w:r>
      <w:r>
        <w:rPr>
          <w:sz w:val="24"/>
          <w:szCs w:val="22"/>
        </w:rPr>
        <w:t>FM</w:t>
      </w:r>
      <w:r>
        <w:rPr>
          <w:sz w:val="24"/>
          <w:szCs w:val="22"/>
        </w:rPr>
        <w:t>认证、美国</w:t>
      </w:r>
      <w:r>
        <w:rPr>
          <w:sz w:val="24"/>
          <w:szCs w:val="22"/>
        </w:rPr>
        <w:t>NSF</w:t>
      </w:r>
      <w:r>
        <w:rPr>
          <w:sz w:val="24"/>
          <w:szCs w:val="22"/>
        </w:rPr>
        <w:t>认证、加拿大</w:t>
      </w:r>
      <w:r>
        <w:rPr>
          <w:sz w:val="24"/>
          <w:szCs w:val="22"/>
        </w:rPr>
        <w:t>UL</w:t>
      </w:r>
      <w:r>
        <w:rPr>
          <w:sz w:val="24"/>
          <w:szCs w:val="22"/>
        </w:rPr>
        <w:t>认证、澳大利亚</w:t>
      </w:r>
      <w:r>
        <w:rPr>
          <w:sz w:val="24"/>
          <w:szCs w:val="22"/>
        </w:rPr>
        <w:t>IAPMO</w:t>
      </w:r>
      <w:r>
        <w:rPr>
          <w:sz w:val="24"/>
          <w:szCs w:val="22"/>
        </w:rPr>
        <w:t>审核</w:t>
      </w:r>
      <w:r>
        <w:rPr>
          <w:sz w:val="24"/>
          <w:szCs w:val="22"/>
        </w:rPr>
        <w:t>Water Mark</w:t>
      </w:r>
      <w:r>
        <w:rPr>
          <w:sz w:val="24"/>
          <w:szCs w:val="22"/>
        </w:rPr>
        <w:t>认证和</w:t>
      </w:r>
      <w:r>
        <w:rPr>
          <w:sz w:val="24"/>
          <w:szCs w:val="22"/>
        </w:rPr>
        <w:t>AGA\Ocean Mark</w:t>
      </w:r>
      <w:r>
        <w:rPr>
          <w:sz w:val="24"/>
          <w:szCs w:val="22"/>
        </w:rPr>
        <w:t>认证、阿联酋</w:t>
      </w:r>
      <w:r>
        <w:rPr>
          <w:sz w:val="24"/>
          <w:szCs w:val="22"/>
        </w:rPr>
        <w:t>Civil Defense</w:t>
      </w:r>
      <w:r>
        <w:rPr>
          <w:sz w:val="24"/>
          <w:szCs w:val="22"/>
        </w:rPr>
        <w:t>民防认证、香港水务署认证和德国</w:t>
      </w:r>
      <w:r>
        <w:rPr>
          <w:sz w:val="24"/>
          <w:szCs w:val="22"/>
        </w:rPr>
        <w:t>VDS</w:t>
      </w:r>
      <w:r>
        <w:rPr>
          <w:sz w:val="24"/>
          <w:szCs w:val="22"/>
        </w:rPr>
        <w:t>认证等多项海外认证，公司产品得到了世界各国相关部门和机构的广泛认可</w:t>
      </w:r>
      <w:r>
        <w:rPr>
          <w:sz w:val="24"/>
          <w:szCs w:val="22"/>
          <w:lang w:val="zh-CN"/>
        </w:rPr>
        <w:t>。</w:t>
      </w:r>
    </w:p>
    <w:p w14:paraId="6051A5FD" w14:textId="77777777" w:rsidR="004B0883" w:rsidRDefault="004B0883">
      <w:pPr>
        <w:keepNext/>
        <w:keepLines/>
        <w:widowControl w:val="0"/>
        <w:spacing w:beforeLines="50" w:before="120" w:afterLines="50" w:after="120" w:line="360" w:lineRule="auto"/>
        <w:jc w:val="both"/>
        <w:outlineLvl w:val="2"/>
        <w:rPr>
          <w:rFonts w:eastAsia="黑体"/>
          <w:b/>
          <w:bCs/>
          <w:sz w:val="24"/>
          <w:szCs w:val="28"/>
        </w:rPr>
      </w:pPr>
      <w:bookmarkStart w:id="278" w:name="_Hlk145441712"/>
      <w:r>
        <w:rPr>
          <w:rFonts w:eastAsia="黑体"/>
          <w:b/>
          <w:bCs/>
          <w:sz w:val="24"/>
          <w:szCs w:val="28"/>
        </w:rPr>
        <w:t>（</w:t>
      </w:r>
      <w:r>
        <w:rPr>
          <w:rFonts w:eastAsia="黑体" w:hint="eastAsia"/>
          <w:b/>
          <w:bCs/>
          <w:sz w:val="24"/>
          <w:szCs w:val="28"/>
        </w:rPr>
        <w:t>五</w:t>
      </w:r>
      <w:r>
        <w:rPr>
          <w:rFonts w:eastAsia="黑体"/>
          <w:b/>
          <w:bCs/>
          <w:sz w:val="24"/>
          <w:szCs w:val="28"/>
        </w:rPr>
        <w:t>）</w:t>
      </w:r>
      <w:bookmarkStart w:id="279" w:name="_Hlk145441701"/>
      <w:r>
        <w:rPr>
          <w:rFonts w:eastAsia="黑体" w:hint="eastAsia"/>
          <w:b/>
          <w:bCs/>
          <w:sz w:val="24"/>
          <w:szCs w:val="28"/>
        </w:rPr>
        <w:t>排污许可情况</w:t>
      </w:r>
      <w:bookmarkEnd w:id="279"/>
    </w:p>
    <w:p w14:paraId="3759CB3B" w14:textId="77777777" w:rsidR="004B0883" w:rsidRDefault="004B0883">
      <w:pPr>
        <w:widowControl w:val="0"/>
        <w:spacing w:beforeLines="50" w:before="120" w:line="360" w:lineRule="auto"/>
        <w:ind w:firstLineChars="200" w:firstLine="480"/>
        <w:jc w:val="both"/>
        <w:rPr>
          <w:sz w:val="24"/>
          <w:szCs w:val="22"/>
          <w:lang w:val="zh-CN"/>
        </w:rPr>
      </w:pPr>
      <w:r>
        <w:rPr>
          <w:sz w:val="24"/>
          <w:szCs w:val="22"/>
          <w:lang w:val="zh-CN"/>
        </w:rPr>
        <w:t>截</w:t>
      </w:r>
      <w:r>
        <w:rPr>
          <w:sz w:val="24"/>
          <w:szCs w:val="22"/>
        </w:rPr>
        <w:t>至</w:t>
      </w:r>
      <w:r>
        <w:rPr>
          <w:rFonts w:hint="eastAsia"/>
          <w:sz w:val="24"/>
          <w:szCs w:val="22"/>
          <w:lang w:val="zh-CN"/>
        </w:rPr>
        <w:t>2</w:t>
      </w:r>
      <w:r>
        <w:rPr>
          <w:sz w:val="24"/>
          <w:szCs w:val="22"/>
          <w:lang w:val="zh-CN"/>
        </w:rPr>
        <w:t>023</w:t>
      </w:r>
      <w:r>
        <w:rPr>
          <w:sz w:val="24"/>
          <w:szCs w:val="22"/>
          <w:lang w:val="zh-CN"/>
        </w:rPr>
        <w:t>年</w:t>
      </w:r>
      <w:r>
        <w:rPr>
          <w:sz w:val="24"/>
          <w:szCs w:val="22"/>
          <w:lang w:val="zh-CN"/>
        </w:rPr>
        <w:t>9</w:t>
      </w:r>
      <w:r>
        <w:rPr>
          <w:sz w:val="24"/>
          <w:szCs w:val="22"/>
          <w:lang w:val="zh-CN"/>
        </w:rPr>
        <w:t>月</w:t>
      </w:r>
      <w:r>
        <w:rPr>
          <w:rFonts w:hint="eastAsia"/>
          <w:sz w:val="24"/>
          <w:szCs w:val="22"/>
          <w:lang w:val="zh-CN"/>
        </w:rPr>
        <w:t>3</w:t>
      </w:r>
      <w:r>
        <w:rPr>
          <w:sz w:val="24"/>
          <w:szCs w:val="22"/>
          <w:lang w:val="zh-CN"/>
        </w:rPr>
        <w:t>0</w:t>
      </w:r>
      <w:r>
        <w:rPr>
          <w:sz w:val="24"/>
          <w:szCs w:val="22"/>
          <w:lang w:val="zh-CN"/>
        </w:rPr>
        <w:t>日，发行人及其子公司取得的</w:t>
      </w:r>
      <w:r>
        <w:rPr>
          <w:rFonts w:hint="eastAsia"/>
          <w:sz w:val="24"/>
          <w:szCs w:val="22"/>
          <w:lang w:val="zh-CN"/>
        </w:rPr>
        <w:t>排污许可情况如下</w:t>
      </w:r>
      <w:r>
        <w:rPr>
          <w:sz w:val="24"/>
          <w:szCs w:val="22"/>
          <w:lang w:val="zh-CN"/>
        </w:rPr>
        <w:t>：</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86"/>
        <w:gridCol w:w="1322"/>
        <w:gridCol w:w="2841"/>
        <w:gridCol w:w="1207"/>
        <w:gridCol w:w="1058"/>
        <w:gridCol w:w="1366"/>
      </w:tblGrid>
      <w:tr w:rsidR="004B0883" w14:paraId="2971E62A" w14:textId="77777777">
        <w:trPr>
          <w:trHeight w:val="397"/>
          <w:tblHeader/>
          <w:jc w:val="center"/>
        </w:trPr>
        <w:tc>
          <w:tcPr>
            <w:tcW w:w="293" w:type="pct"/>
            <w:shd w:val="clear" w:color="auto" w:fill="D9D9D9"/>
            <w:tcMar>
              <w:top w:w="0" w:type="dxa"/>
              <w:left w:w="108" w:type="dxa"/>
              <w:bottom w:w="0" w:type="dxa"/>
              <w:right w:w="108" w:type="dxa"/>
            </w:tcMar>
            <w:vAlign w:val="center"/>
          </w:tcPr>
          <w:p w14:paraId="0AD654A1" w14:textId="77777777" w:rsidR="004B0883" w:rsidRDefault="004B0883">
            <w:pPr>
              <w:widowControl w:val="0"/>
              <w:adjustRightInd w:val="0"/>
              <w:snapToGrid w:val="0"/>
              <w:jc w:val="center"/>
              <w:rPr>
                <w:b/>
              </w:rPr>
            </w:pPr>
            <w:bookmarkStart w:id="280" w:name="_Hlk145442066"/>
            <w:r>
              <w:rPr>
                <w:b/>
              </w:rPr>
              <w:t>序号</w:t>
            </w:r>
          </w:p>
        </w:tc>
        <w:tc>
          <w:tcPr>
            <w:tcW w:w="798" w:type="pct"/>
            <w:shd w:val="clear" w:color="auto" w:fill="D9D9D9"/>
            <w:tcMar>
              <w:top w:w="0" w:type="dxa"/>
              <w:left w:w="108" w:type="dxa"/>
              <w:bottom w:w="0" w:type="dxa"/>
              <w:right w:w="108" w:type="dxa"/>
            </w:tcMar>
            <w:vAlign w:val="center"/>
          </w:tcPr>
          <w:p w14:paraId="5B794ED2" w14:textId="77777777" w:rsidR="004B0883" w:rsidRDefault="004B0883">
            <w:pPr>
              <w:widowControl w:val="0"/>
              <w:adjustRightInd w:val="0"/>
              <w:snapToGrid w:val="0"/>
              <w:jc w:val="center"/>
              <w:rPr>
                <w:b/>
              </w:rPr>
            </w:pPr>
            <w:r>
              <w:rPr>
                <w:rFonts w:hint="eastAsia"/>
                <w:b/>
              </w:rPr>
              <w:t>证书</w:t>
            </w:r>
            <w:r>
              <w:rPr>
                <w:b/>
              </w:rPr>
              <w:t>名称</w:t>
            </w:r>
          </w:p>
        </w:tc>
        <w:tc>
          <w:tcPr>
            <w:tcW w:w="1715" w:type="pct"/>
            <w:shd w:val="clear" w:color="auto" w:fill="D9D9D9"/>
            <w:tcMar>
              <w:top w:w="0" w:type="dxa"/>
              <w:left w:w="108" w:type="dxa"/>
              <w:bottom w:w="0" w:type="dxa"/>
              <w:right w:w="108" w:type="dxa"/>
            </w:tcMar>
            <w:vAlign w:val="center"/>
          </w:tcPr>
          <w:p w14:paraId="57D1C02E" w14:textId="77777777" w:rsidR="004B0883" w:rsidRDefault="004B0883">
            <w:pPr>
              <w:widowControl w:val="0"/>
              <w:adjustRightInd w:val="0"/>
              <w:snapToGrid w:val="0"/>
              <w:jc w:val="center"/>
              <w:rPr>
                <w:b/>
              </w:rPr>
            </w:pPr>
            <w:r>
              <w:rPr>
                <w:rFonts w:hint="eastAsia"/>
                <w:b/>
              </w:rPr>
              <w:t>证书编号</w:t>
            </w:r>
          </w:p>
        </w:tc>
        <w:tc>
          <w:tcPr>
            <w:tcW w:w="729" w:type="pct"/>
            <w:shd w:val="clear" w:color="auto" w:fill="D9D9D9"/>
            <w:tcMar>
              <w:top w:w="0" w:type="dxa"/>
              <w:left w:w="108" w:type="dxa"/>
              <w:bottom w:w="0" w:type="dxa"/>
              <w:right w:w="108" w:type="dxa"/>
            </w:tcMar>
            <w:vAlign w:val="center"/>
          </w:tcPr>
          <w:p w14:paraId="24C68226" w14:textId="77777777" w:rsidR="004B0883" w:rsidRDefault="004B0883">
            <w:pPr>
              <w:widowControl w:val="0"/>
              <w:adjustRightInd w:val="0"/>
              <w:snapToGrid w:val="0"/>
              <w:jc w:val="center"/>
              <w:rPr>
                <w:b/>
              </w:rPr>
            </w:pPr>
            <w:r>
              <w:rPr>
                <w:rFonts w:hint="eastAsia"/>
                <w:b/>
              </w:rPr>
              <w:t>单位名称</w:t>
            </w:r>
          </w:p>
        </w:tc>
        <w:tc>
          <w:tcPr>
            <w:tcW w:w="639" w:type="pct"/>
            <w:shd w:val="clear" w:color="auto" w:fill="D9D9D9"/>
            <w:tcMar>
              <w:top w:w="0" w:type="dxa"/>
              <w:left w:w="108" w:type="dxa"/>
              <w:bottom w:w="0" w:type="dxa"/>
              <w:right w:w="108" w:type="dxa"/>
            </w:tcMar>
            <w:vAlign w:val="center"/>
          </w:tcPr>
          <w:p w14:paraId="6E7BB2AF" w14:textId="77777777" w:rsidR="004B0883" w:rsidRDefault="004B0883">
            <w:pPr>
              <w:widowControl w:val="0"/>
              <w:adjustRightInd w:val="0"/>
              <w:snapToGrid w:val="0"/>
              <w:jc w:val="center"/>
              <w:rPr>
                <w:b/>
              </w:rPr>
            </w:pPr>
            <w:r>
              <w:rPr>
                <w:rFonts w:hint="eastAsia"/>
                <w:b/>
              </w:rPr>
              <w:t>发证机关</w:t>
            </w:r>
          </w:p>
        </w:tc>
        <w:tc>
          <w:tcPr>
            <w:tcW w:w="825" w:type="pct"/>
            <w:shd w:val="clear" w:color="auto" w:fill="D9D9D9"/>
            <w:tcMar>
              <w:top w:w="0" w:type="dxa"/>
              <w:left w:w="108" w:type="dxa"/>
              <w:bottom w:w="0" w:type="dxa"/>
              <w:right w:w="108" w:type="dxa"/>
            </w:tcMar>
            <w:vAlign w:val="center"/>
          </w:tcPr>
          <w:p w14:paraId="1A82DD56" w14:textId="77777777" w:rsidR="004B0883" w:rsidRDefault="004B0883">
            <w:pPr>
              <w:widowControl w:val="0"/>
              <w:adjustRightInd w:val="0"/>
              <w:snapToGrid w:val="0"/>
              <w:jc w:val="center"/>
              <w:rPr>
                <w:b/>
              </w:rPr>
            </w:pPr>
            <w:r>
              <w:rPr>
                <w:rFonts w:hint="eastAsia"/>
                <w:b/>
              </w:rPr>
              <w:t>有效期至</w:t>
            </w:r>
          </w:p>
        </w:tc>
      </w:tr>
      <w:tr w:rsidR="004B0883" w14:paraId="2464D1F9" w14:textId="77777777">
        <w:trPr>
          <w:trHeight w:val="397"/>
          <w:jc w:val="center"/>
        </w:trPr>
        <w:tc>
          <w:tcPr>
            <w:tcW w:w="293" w:type="pct"/>
            <w:tcMar>
              <w:top w:w="0" w:type="dxa"/>
              <w:left w:w="108" w:type="dxa"/>
              <w:bottom w:w="0" w:type="dxa"/>
              <w:right w:w="108" w:type="dxa"/>
            </w:tcMar>
            <w:vAlign w:val="center"/>
          </w:tcPr>
          <w:p w14:paraId="11979C66" w14:textId="77777777" w:rsidR="004B0883" w:rsidRDefault="004B0883">
            <w:pPr>
              <w:widowControl w:val="0"/>
              <w:adjustRightInd w:val="0"/>
              <w:snapToGrid w:val="0"/>
              <w:jc w:val="center"/>
            </w:pPr>
            <w:r>
              <w:t>1</w:t>
            </w:r>
          </w:p>
        </w:tc>
        <w:tc>
          <w:tcPr>
            <w:tcW w:w="798" w:type="pct"/>
            <w:tcMar>
              <w:top w:w="0" w:type="dxa"/>
              <w:left w:w="108" w:type="dxa"/>
              <w:bottom w:w="0" w:type="dxa"/>
              <w:right w:w="108" w:type="dxa"/>
            </w:tcMar>
            <w:vAlign w:val="center"/>
          </w:tcPr>
          <w:p w14:paraId="00579EF2" w14:textId="77777777" w:rsidR="004B0883" w:rsidRDefault="004B0883">
            <w:pPr>
              <w:widowControl w:val="0"/>
              <w:adjustRightInd w:val="0"/>
              <w:snapToGrid w:val="0"/>
              <w:jc w:val="both"/>
            </w:pPr>
            <w:r>
              <w:rPr>
                <w:rFonts w:hint="eastAsia"/>
              </w:rPr>
              <w:t>固定污染源排污登记回执</w:t>
            </w:r>
          </w:p>
        </w:tc>
        <w:tc>
          <w:tcPr>
            <w:tcW w:w="1715" w:type="pct"/>
            <w:tcMar>
              <w:top w:w="0" w:type="dxa"/>
              <w:left w:w="108" w:type="dxa"/>
              <w:bottom w:w="0" w:type="dxa"/>
              <w:right w:w="108" w:type="dxa"/>
            </w:tcMar>
            <w:vAlign w:val="center"/>
          </w:tcPr>
          <w:p w14:paraId="3C794BA2" w14:textId="77777777" w:rsidR="004B0883" w:rsidRDefault="004B0883">
            <w:pPr>
              <w:widowControl w:val="0"/>
              <w:adjustRightInd w:val="0"/>
              <w:snapToGrid w:val="0"/>
              <w:jc w:val="center"/>
            </w:pPr>
            <w:r>
              <w:t>91370200614257783M001X</w:t>
            </w:r>
          </w:p>
        </w:tc>
        <w:tc>
          <w:tcPr>
            <w:tcW w:w="729" w:type="pct"/>
            <w:tcMar>
              <w:top w:w="0" w:type="dxa"/>
              <w:left w:w="108" w:type="dxa"/>
              <w:bottom w:w="0" w:type="dxa"/>
              <w:right w:w="108" w:type="dxa"/>
            </w:tcMar>
            <w:vAlign w:val="center"/>
          </w:tcPr>
          <w:p w14:paraId="145755A8" w14:textId="77777777" w:rsidR="004B0883" w:rsidRDefault="004B0883">
            <w:pPr>
              <w:widowControl w:val="0"/>
              <w:adjustRightInd w:val="0"/>
              <w:snapToGrid w:val="0"/>
              <w:jc w:val="both"/>
            </w:pPr>
            <w:r>
              <w:rPr>
                <w:rFonts w:hint="eastAsia"/>
              </w:rPr>
              <w:t>伟隆股份</w:t>
            </w:r>
          </w:p>
        </w:tc>
        <w:tc>
          <w:tcPr>
            <w:tcW w:w="639" w:type="pct"/>
            <w:tcMar>
              <w:top w:w="0" w:type="dxa"/>
              <w:left w:w="108" w:type="dxa"/>
              <w:bottom w:w="0" w:type="dxa"/>
              <w:right w:w="108" w:type="dxa"/>
            </w:tcMar>
            <w:vAlign w:val="center"/>
          </w:tcPr>
          <w:p w14:paraId="757DBAB0" w14:textId="77777777" w:rsidR="004B0883" w:rsidRDefault="004B0883">
            <w:pPr>
              <w:widowControl w:val="0"/>
              <w:adjustRightInd w:val="0"/>
              <w:snapToGrid w:val="0"/>
              <w:jc w:val="center"/>
            </w:pPr>
            <w:r>
              <w:rPr>
                <w:rFonts w:hint="eastAsia"/>
              </w:rPr>
              <w:t>-</w:t>
            </w:r>
          </w:p>
        </w:tc>
        <w:tc>
          <w:tcPr>
            <w:tcW w:w="825" w:type="pct"/>
            <w:tcMar>
              <w:top w:w="0" w:type="dxa"/>
              <w:left w:w="108" w:type="dxa"/>
              <w:bottom w:w="0" w:type="dxa"/>
              <w:right w:w="108" w:type="dxa"/>
            </w:tcMar>
            <w:vAlign w:val="center"/>
          </w:tcPr>
          <w:p w14:paraId="736FD5AA" w14:textId="77777777" w:rsidR="004B0883" w:rsidRDefault="004B0883">
            <w:pPr>
              <w:widowControl w:val="0"/>
              <w:adjustRightInd w:val="0"/>
              <w:snapToGrid w:val="0"/>
              <w:jc w:val="right"/>
            </w:pPr>
            <w:r>
              <w:rPr>
                <w:rFonts w:hint="eastAsia"/>
              </w:rPr>
              <w:t>2</w:t>
            </w:r>
            <w:r>
              <w:t>025.11.04</w:t>
            </w:r>
          </w:p>
        </w:tc>
      </w:tr>
      <w:tr w:rsidR="004B0883" w14:paraId="2283BF1F" w14:textId="77777777">
        <w:trPr>
          <w:trHeight w:val="397"/>
          <w:jc w:val="center"/>
        </w:trPr>
        <w:tc>
          <w:tcPr>
            <w:tcW w:w="293" w:type="pct"/>
            <w:tcMar>
              <w:top w:w="0" w:type="dxa"/>
              <w:left w:w="108" w:type="dxa"/>
              <w:bottom w:w="0" w:type="dxa"/>
              <w:right w:w="108" w:type="dxa"/>
            </w:tcMar>
            <w:vAlign w:val="center"/>
          </w:tcPr>
          <w:p w14:paraId="4AD7F0A2" w14:textId="77777777" w:rsidR="004B0883" w:rsidRDefault="004B0883">
            <w:pPr>
              <w:widowControl w:val="0"/>
              <w:adjustRightInd w:val="0"/>
              <w:snapToGrid w:val="0"/>
              <w:jc w:val="center"/>
            </w:pPr>
            <w:r>
              <w:t>2</w:t>
            </w:r>
          </w:p>
        </w:tc>
        <w:tc>
          <w:tcPr>
            <w:tcW w:w="798" w:type="pct"/>
            <w:tcMar>
              <w:top w:w="0" w:type="dxa"/>
              <w:left w:w="108" w:type="dxa"/>
              <w:bottom w:w="0" w:type="dxa"/>
              <w:right w:w="108" w:type="dxa"/>
            </w:tcMar>
            <w:vAlign w:val="center"/>
          </w:tcPr>
          <w:p w14:paraId="59375303" w14:textId="77777777" w:rsidR="004B0883" w:rsidRDefault="004B0883">
            <w:pPr>
              <w:widowControl w:val="0"/>
              <w:adjustRightInd w:val="0"/>
              <w:snapToGrid w:val="0"/>
              <w:jc w:val="both"/>
            </w:pPr>
            <w:r>
              <w:rPr>
                <w:rFonts w:hint="eastAsia"/>
                <w:color w:val="000000"/>
              </w:rPr>
              <w:t>排污许可证</w:t>
            </w:r>
          </w:p>
        </w:tc>
        <w:tc>
          <w:tcPr>
            <w:tcW w:w="1715" w:type="pct"/>
            <w:tcMar>
              <w:top w:w="0" w:type="dxa"/>
              <w:left w:w="108" w:type="dxa"/>
              <w:bottom w:w="0" w:type="dxa"/>
              <w:right w:w="108" w:type="dxa"/>
            </w:tcMar>
            <w:vAlign w:val="center"/>
          </w:tcPr>
          <w:p w14:paraId="3A7883F7" w14:textId="77777777" w:rsidR="004B0883" w:rsidRDefault="004B0883">
            <w:pPr>
              <w:widowControl w:val="0"/>
              <w:adjustRightInd w:val="0"/>
              <w:snapToGrid w:val="0"/>
              <w:jc w:val="center"/>
              <w:rPr>
                <w:color w:val="000000"/>
              </w:rPr>
            </w:pPr>
            <w:r>
              <w:rPr>
                <w:color w:val="000000"/>
              </w:rPr>
              <w:t>91370222575798420B001U</w:t>
            </w:r>
          </w:p>
        </w:tc>
        <w:tc>
          <w:tcPr>
            <w:tcW w:w="729" w:type="pct"/>
            <w:tcMar>
              <w:top w:w="0" w:type="dxa"/>
              <w:left w:w="108" w:type="dxa"/>
              <w:bottom w:w="0" w:type="dxa"/>
              <w:right w:w="108" w:type="dxa"/>
            </w:tcMar>
            <w:vAlign w:val="center"/>
          </w:tcPr>
          <w:p w14:paraId="3C6B6775" w14:textId="77777777" w:rsidR="004B0883" w:rsidRDefault="004B0883">
            <w:pPr>
              <w:widowControl w:val="0"/>
              <w:adjustRightInd w:val="0"/>
              <w:snapToGrid w:val="0"/>
              <w:jc w:val="both"/>
              <w:rPr>
                <w:color w:val="000000"/>
              </w:rPr>
            </w:pPr>
            <w:r>
              <w:rPr>
                <w:rFonts w:hint="eastAsia"/>
                <w:color w:val="000000"/>
              </w:rPr>
              <w:t>伟隆流体</w:t>
            </w:r>
          </w:p>
        </w:tc>
        <w:tc>
          <w:tcPr>
            <w:tcW w:w="639" w:type="pct"/>
            <w:tcMar>
              <w:top w:w="0" w:type="dxa"/>
              <w:left w:w="108" w:type="dxa"/>
              <w:bottom w:w="0" w:type="dxa"/>
              <w:right w:w="108" w:type="dxa"/>
            </w:tcMar>
            <w:vAlign w:val="center"/>
          </w:tcPr>
          <w:p w14:paraId="7F6CCD57" w14:textId="77777777" w:rsidR="004B0883" w:rsidRDefault="004B0883">
            <w:pPr>
              <w:widowControl w:val="0"/>
              <w:adjustRightInd w:val="0"/>
              <w:snapToGrid w:val="0"/>
              <w:jc w:val="center"/>
              <w:rPr>
                <w:color w:val="000000"/>
              </w:rPr>
            </w:pPr>
            <w:r>
              <w:rPr>
                <w:rFonts w:hint="eastAsia"/>
                <w:color w:val="000000"/>
              </w:rPr>
              <w:t>青岛市生态环境局</w:t>
            </w:r>
          </w:p>
        </w:tc>
        <w:tc>
          <w:tcPr>
            <w:tcW w:w="825" w:type="pct"/>
            <w:tcMar>
              <w:top w:w="0" w:type="dxa"/>
              <w:left w:w="108" w:type="dxa"/>
              <w:bottom w:w="0" w:type="dxa"/>
              <w:right w:w="108" w:type="dxa"/>
            </w:tcMar>
            <w:vAlign w:val="center"/>
          </w:tcPr>
          <w:p w14:paraId="0C0E7AA5" w14:textId="77777777" w:rsidR="004B0883" w:rsidRDefault="004B0883">
            <w:pPr>
              <w:widowControl w:val="0"/>
              <w:adjustRightInd w:val="0"/>
              <w:snapToGrid w:val="0"/>
              <w:jc w:val="right"/>
              <w:rPr>
                <w:color w:val="000000"/>
              </w:rPr>
            </w:pPr>
            <w:r>
              <w:rPr>
                <w:rFonts w:hint="eastAsia"/>
                <w:color w:val="000000"/>
              </w:rPr>
              <w:t>2</w:t>
            </w:r>
            <w:r>
              <w:rPr>
                <w:color w:val="000000"/>
              </w:rPr>
              <w:t>028.06.18</w:t>
            </w:r>
          </w:p>
        </w:tc>
      </w:tr>
      <w:tr w:rsidR="004B0883" w14:paraId="0312327F" w14:textId="77777777">
        <w:trPr>
          <w:trHeight w:val="397"/>
          <w:jc w:val="center"/>
        </w:trPr>
        <w:tc>
          <w:tcPr>
            <w:tcW w:w="293" w:type="pct"/>
            <w:tcMar>
              <w:top w:w="0" w:type="dxa"/>
              <w:left w:w="108" w:type="dxa"/>
              <w:bottom w:w="0" w:type="dxa"/>
              <w:right w:w="108" w:type="dxa"/>
            </w:tcMar>
            <w:vAlign w:val="center"/>
          </w:tcPr>
          <w:p w14:paraId="3347BE10" w14:textId="77777777" w:rsidR="004B0883" w:rsidRDefault="004B0883">
            <w:pPr>
              <w:widowControl w:val="0"/>
              <w:adjustRightInd w:val="0"/>
              <w:snapToGrid w:val="0"/>
              <w:jc w:val="center"/>
            </w:pPr>
            <w:r>
              <w:rPr>
                <w:rFonts w:hint="eastAsia"/>
              </w:rPr>
              <w:t>3</w:t>
            </w:r>
          </w:p>
        </w:tc>
        <w:tc>
          <w:tcPr>
            <w:tcW w:w="798" w:type="pct"/>
            <w:tcMar>
              <w:top w:w="0" w:type="dxa"/>
              <w:left w:w="108" w:type="dxa"/>
              <w:bottom w:w="0" w:type="dxa"/>
              <w:right w:w="108" w:type="dxa"/>
            </w:tcMar>
            <w:vAlign w:val="center"/>
          </w:tcPr>
          <w:p w14:paraId="62532F52" w14:textId="77777777" w:rsidR="004B0883" w:rsidRDefault="004B0883">
            <w:pPr>
              <w:widowControl w:val="0"/>
              <w:adjustRightInd w:val="0"/>
              <w:snapToGrid w:val="0"/>
              <w:jc w:val="both"/>
              <w:rPr>
                <w:rFonts w:hint="eastAsia"/>
                <w:color w:val="000000"/>
              </w:rPr>
            </w:pPr>
            <w:r>
              <w:rPr>
                <w:rFonts w:hint="eastAsia"/>
                <w:color w:val="000000"/>
              </w:rPr>
              <w:t>排污许可证</w:t>
            </w:r>
          </w:p>
        </w:tc>
        <w:tc>
          <w:tcPr>
            <w:tcW w:w="1715" w:type="pct"/>
            <w:tcMar>
              <w:top w:w="0" w:type="dxa"/>
              <w:left w:w="108" w:type="dxa"/>
              <w:bottom w:w="0" w:type="dxa"/>
              <w:right w:w="108" w:type="dxa"/>
            </w:tcMar>
            <w:vAlign w:val="center"/>
          </w:tcPr>
          <w:p w14:paraId="2C4B4FE1" w14:textId="77777777" w:rsidR="004B0883" w:rsidRDefault="004B0883">
            <w:pPr>
              <w:widowControl w:val="0"/>
              <w:adjustRightInd w:val="0"/>
              <w:snapToGrid w:val="0"/>
              <w:jc w:val="center"/>
              <w:rPr>
                <w:color w:val="000000"/>
              </w:rPr>
            </w:pPr>
            <w:r>
              <w:rPr>
                <w:bCs/>
                <w:lang w:val="zh-CN"/>
              </w:rPr>
              <w:t>91370683265856162M001W</w:t>
            </w:r>
          </w:p>
        </w:tc>
        <w:tc>
          <w:tcPr>
            <w:tcW w:w="729" w:type="pct"/>
            <w:tcMar>
              <w:top w:w="0" w:type="dxa"/>
              <w:left w:w="108" w:type="dxa"/>
              <w:bottom w:w="0" w:type="dxa"/>
              <w:right w:w="108" w:type="dxa"/>
            </w:tcMar>
            <w:vAlign w:val="center"/>
          </w:tcPr>
          <w:p w14:paraId="60444493" w14:textId="77777777" w:rsidR="004B0883" w:rsidRDefault="004B0883">
            <w:pPr>
              <w:widowControl w:val="0"/>
              <w:adjustRightInd w:val="0"/>
              <w:snapToGrid w:val="0"/>
              <w:jc w:val="both"/>
              <w:rPr>
                <w:rFonts w:hint="eastAsia"/>
                <w:color w:val="000000"/>
              </w:rPr>
            </w:pPr>
            <w:r>
              <w:rPr>
                <w:rFonts w:hint="eastAsia"/>
                <w:color w:val="000000"/>
              </w:rPr>
              <w:t>莱州伟隆</w:t>
            </w:r>
          </w:p>
        </w:tc>
        <w:tc>
          <w:tcPr>
            <w:tcW w:w="639" w:type="pct"/>
            <w:tcMar>
              <w:top w:w="0" w:type="dxa"/>
              <w:left w:w="108" w:type="dxa"/>
              <w:bottom w:w="0" w:type="dxa"/>
              <w:right w:w="108" w:type="dxa"/>
            </w:tcMar>
            <w:vAlign w:val="center"/>
          </w:tcPr>
          <w:p w14:paraId="3607B370" w14:textId="77777777" w:rsidR="004B0883" w:rsidRDefault="004B0883">
            <w:pPr>
              <w:widowControl w:val="0"/>
              <w:adjustRightInd w:val="0"/>
              <w:snapToGrid w:val="0"/>
              <w:jc w:val="center"/>
              <w:rPr>
                <w:rFonts w:hint="eastAsia"/>
                <w:color w:val="000000"/>
              </w:rPr>
            </w:pPr>
            <w:r>
              <w:rPr>
                <w:rFonts w:hint="eastAsia"/>
                <w:color w:val="000000"/>
              </w:rPr>
              <w:t>烟台市生态环境局</w:t>
            </w:r>
          </w:p>
        </w:tc>
        <w:tc>
          <w:tcPr>
            <w:tcW w:w="825" w:type="pct"/>
            <w:tcMar>
              <w:top w:w="0" w:type="dxa"/>
              <w:left w:w="108" w:type="dxa"/>
              <w:bottom w:w="0" w:type="dxa"/>
              <w:right w:w="108" w:type="dxa"/>
            </w:tcMar>
            <w:vAlign w:val="center"/>
          </w:tcPr>
          <w:p w14:paraId="607BA913" w14:textId="77777777" w:rsidR="004B0883" w:rsidRDefault="004B0883">
            <w:pPr>
              <w:widowControl w:val="0"/>
              <w:adjustRightInd w:val="0"/>
              <w:snapToGrid w:val="0"/>
              <w:jc w:val="right"/>
              <w:rPr>
                <w:rFonts w:hint="eastAsia"/>
                <w:color w:val="000000"/>
              </w:rPr>
            </w:pPr>
            <w:r>
              <w:rPr>
                <w:bCs/>
                <w:lang w:val="zh-CN"/>
              </w:rPr>
              <w:t>2028.09.25</w:t>
            </w:r>
          </w:p>
        </w:tc>
      </w:tr>
    </w:tbl>
    <w:bookmarkEnd w:id="278"/>
    <w:bookmarkEnd w:id="280"/>
    <w:p w14:paraId="6C27D786" w14:textId="77777777" w:rsidR="004B0883" w:rsidRDefault="004B0883">
      <w:pPr>
        <w:keepNext/>
        <w:keepLines/>
        <w:spacing w:beforeLines="50" w:before="120" w:afterLines="50" w:after="120" w:line="360" w:lineRule="auto"/>
        <w:outlineLvl w:val="2"/>
        <w:rPr>
          <w:rFonts w:eastAsia="黑体"/>
          <w:b/>
          <w:bCs/>
          <w:sz w:val="24"/>
          <w:szCs w:val="28"/>
        </w:rPr>
      </w:pPr>
      <w:r>
        <w:rPr>
          <w:rFonts w:eastAsia="黑体"/>
          <w:b/>
          <w:bCs/>
          <w:sz w:val="24"/>
          <w:szCs w:val="28"/>
        </w:rPr>
        <w:t>（</w:t>
      </w:r>
      <w:r>
        <w:rPr>
          <w:rFonts w:eastAsia="黑体" w:hint="eastAsia"/>
          <w:b/>
          <w:bCs/>
          <w:sz w:val="24"/>
          <w:szCs w:val="28"/>
        </w:rPr>
        <w:t>六</w:t>
      </w:r>
      <w:r>
        <w:rPr>
          <w:rFonts w:eastAsia="黑体"/>
          <w:b/>
          <w:bCs/>
          <w:sz w:val="24"/>
          <w:szCs w:val="28"/>
        </w:rPr>
        <w:t>）</w:t>
      </w:r>
      <w:r>
        <w:rPr>
          <w:rFonts w:eastAsia="黑体" w:hint="eastAsia"/>
          <w:b/>
          <w:bCs/>
          <w:sz w:val="24"/>
          <w:szCs w:val="28"/>
        </w:rPr>
        <w:t>装备承制单位资格证书</w:t>
      </w:r>
    </w:p>
    <w:p w14:paraId="4F842206" w14:textId="77777777" w:rsidR="004B0883" w:rsidRDefault="004B0883">
      <w:pPr>
        <w:widowControl w:val="0"/>
        <w:spacing w:beforeLines="50" w:before="120" w:line="360" w:lineRule="auto"/>
        <w:ind w:firstLineChars="200" w:firstLine="480"/>
        <w:jc w:val="both"/>
        <w:rPr>
          <w:sz w:val="24"/>
          <w:szCs w:val="22"/>
          <w:lang w:val="zh-CN"/>
        </w:rPr>
      </w:pPr>
      <w:r>
        <w:rPr>
          <w:sz w:val="24"/>
          <w:szCs w:val="22"/>
          <w:lang w:val="zh-CN"/>
        </w:rPr>
        <w:t>截</w:t>
      </w:r>
      <w:r>
        <w:rPr>
          <w:sz w:val="24"/>
          <w:szCs w:val="22"/>
        </w:rPr>
        <w:t>至</w:t>
      </w:r>
      <w:r>
        <w:rPr>
          <w:rFonts w:hint="eastAsia"/>
          <w:sz w:val="24"/>
          <w:szCs w:val="22"/>
          <w:lang w:val="zh-CN"/>
        </w:rPr>
        <w:t>2</w:t>
      </w:r>
      <w:r>
        <w:rPr>
          <w:sz w:val="24"/>
          <w:szCs w:val="22"/>
          <w:lang w:val="zh-CN"/>
        </w:rPr>
        <w:t>023</w:t>
      </w:r>
      <w:r>
        <w:rPr>
          <w:sz w:val="24"/>
          <w:szCs w:val="22"/>
          <w:lang w:val="zh-CN"/>
        </w:rPr>
        <w:t>年</w:t>
      </w:r>
      <w:r>
        <w:rPr>
          <w:sz w:val="24"/>
          <w:szCs w:val="22"/>
          <w:lang w:val="zh-CN"/>
        </w:rPr>
        <w:t>9</w:t>
      </w:r>
      <w:r>
        <w:rPr>
          <w:sz w:val="24"/>
          <w:szCs w:val="22"/>
          <w:lang w:val="zh-CN"/>
        </w:rPr>
        <w:t>月</w:t>
      </w:r>
      <w:r>
        <w:rPr>
          <w:rFonts w:hint="eastAsia"/>
          <w:sz w:val="24"/>
          <w:szCs w:val="22"/>
          <w:lang w:val="zh-CN"/>
        </w:rPr>
        <w:t>3</w:t>
      </w:r>
      <w:r>
        <w:rPr>
          <w:sz w:val="24"/>
          <w:szCs w:val="22"/>
          <w:lang w:val="zh-CN"/>
        </w:rPr>
        <w:t>0</w:t>
      </w:r>
      <w:r>
        <w:rPr>
          <w:sz w:val="24"/>
          <w:szCs w:val="22"/>
          <w:lang w:val="zh-CN"/>
        </w:rPr>
        <w:t>日，发行人及其子公司取得的</w:t>
      </w:r>
      <w:r>
        <w:rPr>
          <w:rFonts w:hint="eastAsia"/>
          <w:sz w:val="24"/>
          <w:szCs w:val="22"/>
          <w:lang w:val="zh-CN"/>
        </w:rPr>
        <w:t>装备承制单位资格证书如下</w:t>
      </w:r>
      <w:r>
        <w:rPr>
          <w:sz w:val="24"/>
          <w:szCs w:val="22"/>
          <w:lang w:val="zh-CN"/>
        </w:rPr>
        <w:t>：</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32"/>
        <w:gridCol w:w="1500"/>
        <w:gridCol w:w="1378"/>
        <w:gridCol w:w="2065"/>
        <w:gridCol w:w="1376"/>
        <w:gridCol w:w="1429"/>
      </w:tblGrid>
      <w:tr w:rsidR="004B0883" w14:paraId="27A42E11" w14:textId="77777777">
        <w:trPr>
          <w:trHeight w:val="397"/>
          <w:tblHeader/>
          <w:jc w:val="center"/>
        </w:trPr>
        <w:tc>
          <w:tcPr>
            <w:tcW w:w="321" w:type="pct"/>
            <w:shd w:val="clear" w:color="auto" w:fill="D9D9D9"/>
            <w:tcMar>
              <w:top w:w="0" w:type="dxa"/>
              <w:left w:w="108" w:type="dxa"/>
              <w:bottom w:w="0" w:type="dxa"/>
              <w:right w:w="108" w:type="dxa"/>
            </w:tcMar>
            <w:vAlign w:val="center"/>
          </w:tcPr>
          <w:p w14:paraId="1B1A11C7" w14:textId="77777777" w:rsidR="004B0883" w:rsidRDefault="004B0883">
            <w:pPr>
              <w:widowControl w:val="0"/>
              <w:adjustRightInd w:val="0"/>
              <w:snapToGrid w:val="0"/>
              <w:jc w:val="center"/>
              <w:rPr>
                <w:b/>
              </w:rPr>
            </w:pPr>
            <w:r>
              <w:rPr>
                <w:b/>
              </w:rPr>
              <w:t>序号</w:t>
            </w:r>
          </w:p>
        </w:tc>
        <w:tc>
          <w:tcPr>
            <w:tcW w:w="906" w:type="pct"/>
            <w:shd w:val="clear" w:color="auto" w:fill="D9D9D9"/>
            <w:tcMar>
              <w:top w:w="0" w:type="dxa"/>
              <w:left w:w="108" w:type="dxa"/>
              <w:bottom w:w="0" w:type="dxa"/>
              <w:right w:w="108" w:type="dxa"/>
            </w:tcMar>
            <w:vAlign w:val="center"/>
          </w:tcPr>
          <w:p w14:paraId="5228D1B7" w14:textId="77777777" w:rsidR="004B0883" w:rsidRDefault="004B0883">
            <w:pPr>
              <w:widowControl w:val="0"/>
              <w:adjustRightInd w:val="0"/>
              <w:snapToGrid w:val="0"/>
              <w:jc w:val="center"/>
              <w:rPr>
                <w:b/>
              </w:rPr>
            </w:pPr>
            <w:r>
              <w:rPr>
                <w:rFonts w:hint="eastAsia"/>
                <w:b/>
              </w:rPr>
              <w:t>证书</w:t>
            </w:r>
            <w:r>
              <w:rPr>
                <w:b/>
              </w:rPr>
              <w:t>名称</w:t>
            </w:r>
          </w:p>
        </w:tc>
        <w:tc>
          <w:tcPr>
            <w:tcW w:w="832" w:type="pct"/>
            <w:shd w:val="clear" w:color="auto" w:fill="D9D9D9"/>
            <w:tcMar>
              <w:top w:w="0" w:type="dxa"/>
              <w:left w:w="108" w:type="dxa"/>
              <w:bottom w:w="0" w:type="dxa"/>
              <w:right w:w="108" w:type="dxa"/>
            </w:tcMar>
            <w:vAlign w:val="center"/>
          </w:tcPr>
          <w:p w14:paraId="03022BD5" w14:textId="77777777" w:rsidR="004B0883" w:rsidRDefault="004B0883">
            <w:pPr>
              <w:widowControl w:val="0"/>
              <w:adjustRightInd w:val="0"/>
              <w:snapToGrid w:val="0"/>
              <w:jc w:val="center"/>
              <w:rPr>
                <w:b/>
              </w:rPr>
            </w:pPr>
            <w:r>
              <w:rPr>
                <w:rFonts w:hint="eastAsia"/>
                <w:b/>
              </w:rPr>
              <w:t>证书编号</w:t>
            </w:r>
          </w:p>
        </w:tc>
        <w:tc>
          <w:tcPr>
            <w:tcW w:w="1247" w:type="pct"/>
            <w:shd w:val="clear" w:color="auto" w:fill="D9D9D9"/>
            <w:tcMar>
              <w:top w:w="0" w:type="dxa"/>
              <w:left w:w="108" w:type="dxa"/>
              <w:bottom w:w="0" w:type="dxa"/>
              <w:right w:w="108" w:type="dxa"/>
            </w:tcMar>
            <w:vAlign w:val="center"/>
          </w:tcPr>
          <w:p w14:paraId="05582F66" w14:textId="77777777" w:rsidR="004B0883" w:rsidRDefault="004B0883">
            <w:pPr>
              <w:widowControl w:val="0"/>
              <w:adjustRightInd w:val="0"/>
              <w:snapToGrid w:val="0"/>
              <w:jc w:val="center"/>
              <w:rPr>
                <w:b/>
              </w:rPr>
            </w:pPr>
            <w:r>
              <w:rPr>
                <w:b/>
              </w:rPr>
              <w:t>发证</w:t>
            </w:r>
            <w:r>
              <w:rPr>
                <w:rFonts w:hint="eastAsia"/>
                <w:b/>
              </w:rPr>
              <w:t>机关</w:t>
            </w:r>
          </w:p>
        </w:tc>
        <w:tc>
          <w:tcPr>
            <w:tcW w:w="831" w:type="pct"/>
            <w:shd w:val="clear" w:color="auto" w:fill="D9D9D9"/>
            <w:tcMar>
              <w:top w:w="0" w:type="dxa"/>
              <w:left w:w="108" w:type="dxa"/>
              <w:bottom w:w="0" w:type="dxa"/>
              <w:right w:w="108" w:type="dxa"/>
            </w:tcMar>
            <w:vAlign w:val="center"/>
          </w:tcPr>
          <w:p w14:paraId="231F0532" w14:textId="77777777" w:rsidR="004B0883" w:rsidRDefault="004B0883">
            <w:pPr>
              <w:widowControl w:val="0"/>
              <w:adjustRightInd w:val="0"/>
              <w:snapToGrid w:val="0"/>
              <w:jc w:val="center"/>
              <w:rPr>
                <w:b/>
              </w:rPr>
            </w:pPr>
            <w:r>
              <w:rPr>
                <w:rFonts w:hint="eastAsia"/>
                <w:b/>
              </w:rPr>
              <w:t>开始时间</w:t>
            </w:r>
          </w:p>
        </w:tc>
        <w:tc>
          <w:tcPr>
            <w:tcW w:w="863" w:type="pct"/>
            <w:shd w:val="clear" w:color="auto" w:fill="D9D9D9"/>
            <w:tcMar>
              <w:top w:w="0" w:type="dxa"/>
              <w:left w:w="108" w:type="dxa"/>
              <w:bottom w:w="0" w:type="dxa"/>
              <w:right w:w="108" w:type="dxa"/>
            </w:tcMar>
            <w:vAlign w:val="center"/>
          </w:tcPr>
          <w:p w14:paraId="78170EEA" w14:textId="77777777" w:rsidR="004B0883" w:rsidRDefault="004B0883">
            <w:pPr>
              <w:widowControl w:val="0"/>
              <w:adjustRightInd w:val="0"/>
              <w:snapToGrid w:val="0"/>
              <w:jc w:val="center"/>
              <w:rPr>
                <w:b/>
              </w:rPr>
            </w:pPr>
            <w:r>
              <w:rPr>
                <w:rFonts w:hint="eastAsia"/>
                <w:b/>
              </w:rPr>
              <w:t>有效期至</w:t>
            </w:r>
          </w:p>
        </w:tc>
      </w:tr>
      <w:tr w:rsidR="004B0883" w14:paraId="503A7D88" w14:textId="77777777">
        <w:trPr>
          <w:trHeight w:val="397"/>
          <w:jc w:val="center"/>
        </w:trPr>
        <w:tc>
          <w:tcPr>
            <w:tcW w:w="321" w:type="pct"/>
            <w:tcMar>
              <w:top w:w="0" w:type="dxa"/>
              <w:left w:w="108" w:type="dxa"/>
              <w:bottom w:w="0" w:type="dxa"/>
              <w:right w:w="108" w:type="dxa"/>
            </w:tcMar>
            <w:vAlign w:val="center"/>
          </w:tcPr>
          <w:p w14:paraId="60881891" w14:textId="77777777" w:rsidR="004B0883" w:rsidRDefault="004B0883">
            <w:pPr>
              <w:widowControl w:val="0"/>
              <w:adjustRightInd w:val="0"/>
              <w:snapToGrid w:val="0"/>
              <w:jc w:val="center"/>
            </w:pPr>
            <w:r>
              <w:t>1</w:t>
            </w:r>
          </w:p>
        </w:tc>
        <w:tc>
          <w:tcPr>
            <w:tcW w:w="906" w:type="pct"/>
            <w:tcMar>
              <w:top w:w="0" w:type="dxa"/>
              <w:left w:w="108" w:type="dxa"/>
              <w:bottom w:w="0" w:type="dxa"/>
              <w:right w:w="108" w:type="dxa"/>
            </w:tcMar>
            <w:vAlign w:val="center"/>
          </w:tcPr>
          <w:p w14:paraId="60235D13" w14:textId="77777777" w:rsidR="004B0883" w:rsidRDefault="004B0883">
            <w:pPr>
              <w:widowControl w:val="0"/>
              <w:adjustRightInd w:val="0"/>
              <w:snapToGrid w:val="0"/>
              <w:jc w:val="both"/>
            </w:pPr>
            <w:r>
              <w:rPr>
                <w:rFonts w:hint="eastAsia"/>
              </w:rPr>
              <w:t>装备承制单位资格证书</w:t>
            </w:r>
          </w:p>
        </w:tc>
        <w:tc>
          <w:tcPr>
            <w:tcW w:w="832" w:type="pct"/>
            <w:tcMar>
              <w:top w:w="0" w:type="dxa"/>
              <w:left w:w="108" w:type="dxa"/>
              <w:bottom w:w="0" w:type="dxa"/>
              <w:right w:w="108" w:type="dxa"/>
            </w:tcMar>
            <w:vAlign w:val="center"/>
          </w:tcPr>
          <w:p w14:paraId="47B6790B" w14:textId="77777777" w:rsidR="004B0883" w:rsidRDefault="004B0883">
            <w:pPr>
              <w:widowControl w:val="0"/>
              <w:adjustRightInd w:val="0"/>
              <w:snapToGrid w:val="0"/>
              <w:jc w:val="right"/>
            </w:pPr>
            <w:r>
              <w:rPr>
                <w:rFonts w:hint="eastAsia"/>
              </w:rPr>
              <w:t>22B0000110</w:t>
            </w:r>
          </w:p>
        </w:tc>
        <w:tc>
          <w:tcPr>
            <w:tcW w:w="1247" w:type="pct"/>
            <w:tcMar>
              <w:top w:w="0" w:type="dxa"/>
              <w:left w:w="108" w:type="dxa"/>
              <w:bottom w:w="0" w:type="dxa"/>
              <w:right w:w="108" w:type="dxa"/>
            </w:tcMar>
            <w:vAlign w:val="center"/>
          </w:tcPr>
          <w:p w14:paraId="3E4E7E5A" w14:textId="77777777" w:rsidR="004B0883" w:rsidRDefault="004B0883">
            <w:pPr>
              <w:widowControl w:val="0"/>
              <w:adjustRightInd w:val="0"/>
              <w:snapToGrid w:val="0"/>
              <w:jc w:val="both"/>
            </w:pPr>
            <w:r>
              <w:rPr>
                <w:rFonts w:hint="eastAsia"/>
              </w:rPr>
              <w:t>中央军委装备发展部</w:t>
            </w:r>
          </w:p>
        </w:tc>
        <w:tc>
          <w:tcPr>
            <w:tcW w:w="831" w:type="pct"/>
            <w:tcMar>
              <w:top w:w="0" w:type="dxa"/>
              <w:left w:w="108" w:type="dxa"/>
              <w:bottom w:w="0" w:type="dxa"/>
              <w:right w:w="108" w:type="dxa"/>
            </w:tcMar>
            <w:vAlign w:val="center"/>
          </w:tcPr>
          <w:p w14:paraId="645216FD" w14:textId="77777777" w:rsidR="004B0883" w:rsidRDefault="004B0883">
            <w:pPr>
              <w:widowControl w:val="0"/>
              <w:adjustRightInd w:val="0"/>
              <w:snapToGrid w:val="0"/>
              <w:jc w:val="center"/>
            </w:pPr>
            <w:r>
              <w:t>2022</w:t>
            </w:r>
            <w:r>
              <w:t>年</w:t>
            </w:r>
            <w:r>
              <w:t>10</w:t>
            </w:r>
            <w:r>
              <w:t>月</w:t>
            </w:r>
          </w:p>
        </w:tc>
        <w:tc>
          <w:tcPr>
            <w:tcW w:w="863" w:type="pct"/>
            <w:tcMar>
              <w:top w:w="0" w:type="dxa"/>
              <w:left w:w="108" w:type="dxa"/>
              <w:bottom w:w="0" w:type="dxa"/>
              <w:right w:w="108" w:type="dxa"/>
            </w:tcMar>
            <w:vAlign w:val="center"/>
          </w:tcPr>
          <w:p w14:paraId="3C48CF03" w14:textId="77777777" w:rsidR="004B0883" w:rsidRDefault="004B0883">
            <w:pPr>
              <w:widowControl w:val="0"/>
              <w:adjustRightInd w:val="0"/>
              <w:snapToGrid w:val="0"/>
              <w:jc w:val="right"/>
            </w:pPr>
            <w:r>
              <w:t>2027</w:t>
            </w:r>
            <w:r>
              <w:t>年</w:t>
            </w:r>
            <w:r>
              <w:t>10</w:t>
            </w:r>
            <w:r>
              <w:t>月</w:t>
            </w:r>
          </w:p>
        </w:tc>
      </w:tr>
    </w:tbl>
    <w:p w14:paraId="6EEEA345" w14:textId="77777777" w:rsidR="004B0883" w:rsidRDefault="004B0883">
      <w:pPr>
        <w:keepNext/>
        <w:keepLines/>
        <w:spacing w:beforeLines="50" w:before="120" w:afterLines="50" w:after="120" w:line="360" w:lineRule="auto"/>
        <w:outlineLvl w:val="2"/>
        <w:rPr>
          <w:rFonts w:eastAsia="黑体"/>
          <w:b/>
          <w:bCs/>
          <w:sz w:val="24"/>
          <w:szCs w:val="28"/>
        </w:rPr>
      </w:pPr>
      <w:r>
        <w:rPr>
          <w:rFonts w:eastAsia="黑体" w:hint="eastAsia"/>
          <w:b/>
          <w:bCs/>
          <w:sz w:val="24"/>
          <w:szCs w:val="28"/>
        </w:rPr>
        <w:t>（七</w:t>
      </w:r>
      <w:r>
        <w:rPr>
          <w:rFonts w:eastAsia="黑体"/>
          <w:b/>
          <w:bCs/>
          <w:sz w:val="24"/>
          <w:szCs w:val="28"/>
        </w:rPr>
        <w:t>）</w:t>
      </w:r>
      <w:r>
        <w:rPr>
          <w:rFonts w:eastAsia="黑体" w:hint="eastAsia"/>
          <w:b/>
          <w:bCs/>
          <w:sz w:val="24"/>
          <w:szCs w:val="28"/>
        </w:rPr>
        <w:t>进出口业务证书</w:t>
      </w:r>
    </w:p>
    <w:p w14:paraId="53FA783D" w14:textId="77777777" w:rsidR="004B0883" w:rsidRDefault="004B0883">
      <w:pPr>
        <w:widowControl w:val="0"/>
        <w:spacing w:beforeLines="50" w:before="120" w:line="360" w:lineRule="auto"/>
        <w:ind w:firstLineChars="200" w:firstLine="480"/>
        <w:jc w:val="both"/>
        <w:rPr>
          <w:sz w:val="24"/>
          <w:szCs w:val="22"/>
          <w:lang w:val="zh-CN"/>
        </w:rPr>
      </w:pPr>
      <w:r>
        <w:rPr>
          <w:sz w:val="24"/>
          <w:szCs w:val="22"/>
          <w:lang w:val="zh-CN"/>
        </w:rPr>
        <w:t>截</w:t>
      </w:r>
      <w:r>
        <w:rPr>
          <w:sz w:val="24"/>
          <w:szCs w:val="22"/>
        </w:rPr>
        <w:t>至</w:t>
      </w:r>
      <w:r>
        <w:rPr>
          <w:rFonts w:hint="eastAsia"/>
          <w:sz w:val="24"/>
          <w:szCs w:val="22"/>
          <w:lang w:val="zh-CN"/>
        </w:rPr>
        <w:t>2</w:t>
      </w:r>
      <w:r>
        <w:rPr>
          <w:sz w:val="24"/>
          <w:szCs w:val="22"/>
          <w:lang w:val="zh-CN"/>
        </w:rPr>
        <w:t>023</w:t>
      </w:r>
      <w:r>
        <w:rPr>
          <w:sz w:val="24"/>
          <w:szCs w:val="22"/>
          <w:lang w:val="zh-CN"/>
        </w:rPr>
        <w:t>年</w:t>
      </w:r>
      <w:r>
        <w:rPr>
          <w:sz w:val="24"/>
          <w:szCs w:val="22"/>
          <w:lang w:val="zh-CN"/>
        </w:rPr>
        <w:t>9</w:t>
      </w:r>
      <w:r>
        <w:rPr>
          <w:sz w:val="24"/>
          <w:szCs w:val="22"/>
          <w:lang w:val="zh-CN"/>
        </w:rPr>
        <w:t>月</w:t>
      </w:r>
      <w:r>
        <w:rPr>
          <w:rFonts w:hint="eastAsia"/>
          <w:sz w:val="24"/>
          <w:szCs w:val="22"/>
          <w:lang w:val="zh-CN"/>
        </w:rPr>
        <w:t>3</w:t>
      </w:r>
      <w:r>
        <w:rPr>
          <w:sz w:val="24"/>
          <w:szCs w:val="22"/>
          <w:lang w:val="zh-CN"/>
        </w:rPr>
        <w:t>0</w:t>
      </w:r>
      <w:r>
        <w:rPr>
          <w:sz w:val="24"/>
          <w:szCs w:val="22"/>
          <w:lang w:val="zh-CN"/>
        </w:rPr>
        <w:t>日，发行人及其子公司取得的</w:t>
      </w:r>
      <w:r>
        <w:rPr>
          <w:rFonts w:hint="eastAsia"/>
          <w:sz w:val="24"/>
          <w:szCs w:val="22"/>
          <w:lang w:val="zh-CN"/>
        </w:rPr>
        <w:t>进出口业务证书如下</w:t>
      </w:r>
      <w:r>
        <w:rPr>
          <w:sz w:val="24"/>
          <w:szCs w:val="22"/>
          <w:lang w:val="zh-CN"/>
        </w:rPr>
        <w:t>：</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20"/>
        <w:gridCol w:w="2462"/>
        <w:gridCol w:w="1510"/>
        <w:gridCol w:w="1485"/>
        <w:gridCol w:w="1161"/>
        <w:gridCol w:w="1142"/>
      </w:tblGrid>
      <w:tr w:rsidR="004B0883" w14:paraId="05F94CD5" w14:textId="77777777">
        <w:trPr>
          <w:trHeight w:val="397"/>
          <w:tblHeader/>
          <w:jc w:val="center"/>
        </w:trPr>
        <w:tc>
          <w:tcPr>
            <w:tcW w:w="318" w:type="pct"/>
            <w:shd w:val="clear" w:color="auto" w:fill="D9D9D9"/>
            <w:tcMar>
              <w:top w:w="0" w:type="dxa"/>
              <w:left w:w="108" w:type="dxa"/>
              <w:bottom w:w="0" w:type="dxa"/>
              <w:right w:w="108" w:type="dxa"/>
            </w:tcMar>
            <w:vAlign w:val="center"/>
          </w:tcPr>
          <w:p w14:paraId="4AE3A4D6" w14:textId="77777777" w:rsidR="004B0883" w:rsidRDefault="004B0883">
            <w:pPr>
              <w:widowControl w:val="0"/>
              <w:adjustRightInd w:val="0"/>
              <w:snapToGrid w:val="0"/>
              <w:jc w:val="center"/>
              <w:rPr>
                <w:b/>
              </w:rPr>
            </w:pPr>
            <w:r>
              <w:rPr>
                <w:b/>
              </w:rPr>
              <w:t>序号</w:t>
            </w:r>
          </w:p>
        </w:tc>
        <w:tc>
          <w:tcPr>
            <w:tcW w:w="1491" w:type="pct"/>
            <w:shd w:val="clear" w:color="auto" w:fill="D9D9D9"/>
            <w:tcMar>
              <w:top w:w="0" w:type="dxa"/>
              <w:left w:w="108" w:type="dxa"/>
              <w:bottom w:w="0" w:type="dxa"/>
              <w:right w:w="108" w:type="dxa"/>
            </w:tcMar>
            <w:vAlign w:val="center"/>
          </w:tcPr>
          <w:p w14:paraId="1A377611" w14:textId="77777777" w:rsidR="004B0883" w:rsidRDefault="004B0883">
            <w:pPr>
              <w:widowControl w:val="0"/>
              <w:adjustRightInd w:val="0"/>
              <w:snapToGrid w:val="0"/>
              <w:jc w:val="center"/>
              <w:rPr>
                <w:b/>
              </w:rPr>
            </w:pPr>
            <w:r>
              <w:rPr>
                <w:rFonts w:hint="eastAsia"/>
                <w:b/>
              </w:rPr>
              <w:t>证书</w:t>
            </w:r>
            <w:r>
              <w:rPr>
                <w:b/>
              </w:rPr>
              <w:t>名称</w:t>
            </w:r>
          </w:p>
        </w:tc>
        <w:tc>
          <w:tcPr>
            <w:tcW w:w="916" w:type="pct"/>
            <w:shd w:val="clear" w:color="auto" w:fill="D9D9D9"/>
            <w:tcMar>
              <w:top w:w="0" w:type="dxa"/>
              <w:left w:w="108" w:type="dxa"/>
              <w:bottom w:w="0" w:type="dxa"/>
              <w:right w:w="108" w:type="dxa"/>
            </w:tcMar>
            <w:vAlign w:val="center"/>
          </w:tcPr>
          <w:p w14:paraId="5CB93939" w14:textId="77777777" w:rsidR="004B0883" w:rsidRDefault="004B0883">
            <w:pPr>
              <w:widowControl w:val="0"/>
              <w:adjustRightInd w:val="0"/>
              <w:snapToGrid w:val="0"/>
              <w:jc w:val="center"/>
              <w:rPr>
                <w:b/>
              </w:rPr>
            </w:pPr>
            <w:r>
              <w:rPr>
                <w:rFonts w:hint="eastAsia"/>
                <w:b/>
              </w:rPr>
              <w:t>证书编号</w:t>
            </w:r>
          </w:p>
        </w:tc>
        <w:tc>
          <w:tcPr>
            <w:tcW w:w="901" w:type="pct"/>
            <w:shd w:val="clear" w:color="auto" w:fill="D9D9D9"/>
            <w:tcMar>
              <w:top w:w="0" w:type="dxa"/>
              <w:left w:w="108" w:type="dxa"/>
              <w:bottom w:w="0" w:type="dxa"/>
              <w:right w:w="108" w:type="dxa"/>
            </w:tcMar>
            <w:vAlign w:val="center"/>
          </w:tcPr>
          <w:p w14:paraId="48D531BF" w14:textId="77777777" w:rsidR="004B0883" w:rsidRDefault="004B0883">
            <w:pPr>
              <w:widowControl w:val="0"/>
              <w:adjustRightInd w:val="0"/>
              <w:snapToGrid w:val="0"/>
              <w:jc w:val="center"/>
              <w:rPr>
                <w:b/>
              </w:rPr>
            </w:pPr>
            <w:r>
              <w:rPr>
                <w:b/>
              </w:rPr>
              <w:t>发证</w:t>
            </w:r>
            <w:r>
              <w:rPr>
                <w:rFonts w:hint="eastAsia"/>
                <w:b/>
              </w:rPr>
              <w:t>机关</w:t>
            </w:r>
          </w:p>
        </w:tc>
        <w:tc>
          <w:tcPr>
            <w:tcW w:w="681" w:type="pct"/>
            <w:shd w:val="clear" w:color="auto" w:fill="D9D9D9"/>
            <w:tcMar>
              <w:top w:w="0" w:type="dxa"/>
              <w:left w:w="108" w:type="dxa"/>
              <w:bottom w:w="0" w:type="dxa"/>
              <w:right w:w="108" w:type="dxa"/>
            </w:tcMar>
            <w:vAlign w:val="center"/>
          </w:tcPr>
          <w:p w14:paraId="35E257C3" w14:textId="77777777" w:rsidR="004B0883" w:rsidRDefault="004B0883">
            <w:pPr>
              <w:widowControl w:val="0"/>
              <w:adjustRightInd w:val="0"/>
              <w:snapToGrid w:val="0"/>
              <w:jc w:val="center"/>
              <w:rPr>
                <w:b/>
              </w:rPr>
            </w:pPr>
            <w:r>
              <w:rPr>
                <w:rFonts w:hint="eastAsia"/>
                <w:b/>
              </w:rPr>
              <w:t>开始时间</w:t>
            </w:r>
          </w:p>
        </w:tc>
        <w:tc>
          <w:tcPr>
            <w:tcW w:w="693" w:type="pct"/>
            <w:shd w:val="clear" w:color="auto" w:fill="D9D9D9"/>
            <w:tcMar>
              <w:top w:w="0" w:type="dxa"/>
              <w:left w:w="108" w:type="dxa"/>
              <w:bottom w:w="0" w:type="dxa"/>
              <w:right w:w="108" w:type="dxa"/>
            </w:tcMar>
            <w:vAlign w:val="center"/>
          </w:tcPr>
          <w:p w14:paraId="474D927B" w14:textId="77777777" w:rsidR="004B0883" w:rsidRDefault="004B0883">
            <w:pPr>
              <w:widowControl w:val="0"/>
              <w:adjustRightInd w:val="0"/>
              <w:snapToGrid w:val="0"/>
              <w:jc w:val="center"/>
              <w:rPr>
                <w:b/>
              </w:rPr>
            </w:pPr>
            <w:r>
              <w:rPr>
                <w:rFonts w:hint="eastAsia"/>
                <w:b/>
              </w:rPr>
              <w:t>有效期至</w:t>
            </w:r>
          </w:p>
        </w:tc>
      </w:tr>
      <w:tr w:rsidR="004B0883" w14:paraId="3839B5FC" w14:textId="77777777">
        <w:trPr>
          <w:trHeight w:val="397"/>
          <w:jc w:val="center"/>
        </w:trPr>
        <w:tc>
          <w:tcPr>
            <w:tcW w:w="318" w:type="pct"/>
            <w:tcMar>
              <w:top w:w="0" w:type="dxa"/>
              <w:left w:w="108" w:type="dxa"/>
              <w:bottom w:w="0" w:type="dxa"/>
              <w:right w:w="108" w:type="dxa"/>
            </w:tcMar>
            <w:vAlign w:val="center"/>
          </w:tcPr>
          <w:p w14:paraId="48053A2E" w14:textId="77777777" w:rsidR="004B0883" w:rsidRDefault="004B0883">
            <w:pPr>
              <w:widowControl w:val="0"/>
              <w:adjustRightInd w:val="0"/>
              <w:snapToGrid w:val="0"/>
              <w:jc w:val="center"/>
            </w:pPr>
            <w:r>
              <w:t>1</w:t>
            </w:r>
          </w:p>
        </w:tc>
        <w:tc>
          <w:tcPr>
            <w:tcW w:w="1491" w:type="pct"/>
            <w:tcMar>
              <w:top w:w="0" w:type="dxa"/>
              <w:left w:w="108" w:type="dxa"/>
              <w:bottom w:w="0" w:type="dxa"/>
              <w:right w:w="108" w:type="dxa"/>
            </w:tcMar>
            <w:vAlign w:val="center"/>
          </w:tcPr>
          <w:p w14:paraId="0B95D666" w14:textId="77777777" w:rsidR="004B0883" w:rsidRDefault="004B0883">
            <w:pPr>
              <w:widowControl w:val="0"/>
              <w:adjustRightInd w:val="0"/>
              <w:snapToGrid w:val="0"/>
              <w:jc w:val="both"/>
            </w:pPr>
            <w:r>
              <w:rPr>
                <w:rFonts w:hint="eastAsia"/>
              </w:rPr>
              <w:t>进出口业务收发货人</w:t>
            </w:r>
          </w:p>
        </w:tc>
        <w:tc>
          <w:tcPr>
            <w:tcW w:w="916" w:type="pct"/>
            <w:tcMar>
              <w:top w:w="0" w:type="dxa"/>
              <w:left w:w="108" w:type="dxa"/>
              <w:bottom w:w="0" w:type="dxa"/>
              <w:right w:w="108" w:type="dxa"/>
            </w:tcMar>
            <w:vAlign w:val="center"/>
          </w:tcPr>
          <w:p w14:paraId="0E4EB8CF" w14:textId="77777777" w:rsidR="004B0883" w:rsidRDefault="004B0883">
            <w:pPr>
              <w:widowControl w:val="0"/>
              <w:adjustRightInd w:val="0"/>
              <w:snapToGrid w:val="0"/>
              <w:jc w:val="right"/>
            </w:pPr>
            <w:r>
              <w:t>3728965337</w:t>
            </w:r>
          </w:p>
        </w:tc>
        <w:tc>
          <w:tcPr>
            <w:tcW w:w="901" w:type="pct"/>
            <w:tcMar>
              <w:top w:w="0" w:type="dxa"/>
              <w:left w:w="108" w:type="dxa"/>
              <w:bottom w:w="0" w:type="dxa"/>
              <w:right w:w="108" w:type="dxa"/>
            </w:tcMar>
            <w:vAlign w:val="center"/>
          </w:tcPr>
          <w:p w14:paraId="7D14A80D" w14:textId="77777777" w:rsidR="004B0883" w:rsidRDefault="004B0883">
            <w:pPr>
              <w:widowControl w:val="0"/>
              <w:adjustRightInd w:val="0"/>
              <w:snapToGrid w:val="0"/>
              <w:jc w:val="both"/>
            </w:pPr>
            <w:r>
              <w:rPr>
                <w:rFonts w:hint="eastAsia"/>
              </w:rPr>
              <w:t>青岛大港海关</w:t>
            </w:r>
          </w:p>
        </w:tc>
        <w:tc>
          <w:tcPr>
            <w:tcW w:w="681" w:type="pct"/>
            <w:tcMar>
              <w:top w:w="0" w:type="dxa"/>
              <w:left w:w="108" w:type="dxa"/>
              <w:bottom w:w="0" w:type="dxa"/>
              <w:right w:w="108" w:type="dxa"/>
            </w:tcMar>
            <w:vAlign w:val="center"/>
          </w:tcPr>
          <w:p w14:paraId="1C7FE62C" w14:textId="77777777" w:rsidR="004B0883" w:rsidRDefault="004B0883">
            <w:pPr>
              <w:widowControl w:val="0"/>
              <w:adjustRightInd w:val="0"/>
              <w:snapToGrid w:val="0"/>
              <w:jc w:val="center"/>
            </w:pPr>
            <w:r>
              <w:t>2008.01.17</w:t>
            </w:r>
          </w:p>
        </w:tc>
        <w:tc>
          <w:tcPr>
            <w:tcW w:w="693" w:type="pct"/>
            <w:tcMar>
              <w:top w:w="0" w:type="dxa"/>
              <w:left w:w="108" w:type="dxa"/>
              <w:bottom w:w="0" w:type="dxa"/>
              <w:right w:w="108" w:type="dxa"/>
            </w:tcMar>
            <w:vAlign w:val="center"/>
          </w:tcPr>
          <w:p w14:paraId="71ADEBBD" w14:textId="77777777" w:rsidR="004B0883" w:rsidRDefault="004B0883">
            <w:pPr>
              <w:widowControl w:val="0"/>
              <w:adjustRightInd w:val="0"/>
              <w:snapToGrid w:val="0"/>
              <w:jc w:val="right"/>
            </w:pPr>
            <w:r>
              <w:t>长期有效</w:t>
            </w:r>
          </w:p>
        </w:tc>
      </w:tr>
    </w:tbl>
    <w:p w14:paraId="190755FF" w14:textId="77777777" w:rsidR="004B0883" w:rsidRDefault="004B0883">
      <w:pPr>
        <w:keepNext/>
        <w:keepLines/>
        <w:spacing w:beforeLines="50" w:before="120" w:afterLines="50" w:after="120" w:line="360" w:lineRule="auto"/>
        <w:outlineLvl w:val="2"/>
        <w:rPr>
          <w:rFonts w:eastAsia="黑体"/>
          <w:b/>
          <w:bCs/>
          <w:sz w:val="24"/>
          <w:szCs w:val="28"/>
        </w:rPr>
      </w:pPr>
      <w:bookmarkStart w:id="281" w:name="_Hlk152288025"/>
      <w:r>
        <w:rPr>
          <w:rFonts w:eastAsia="黑体" w:hint="eastAsia"/>
          <w:b/>
          <w:bCs/>
          <w:sz w:val="24"/>
          <w:szCs w:val="28"/>
        </w:rPr>
        <w:t>（八</w:t>
      </w:r>
      <w:r>
        <w:rPr>
          <w:rFonts w:eastAsia="黑体"/>
          <w:b/>
          <w:bCs/>
          <w:sz w:val="24"/>
          <w:szCs w:val="28"/>
        </w:rPr>
        <w:t>）</w:t>
      </w:r>
      <w:r>
        <w:rPr>
          <w:rFonts w:eastAsia="黑体" w:hint="eastAsia"/>
          <w:b/>
          <w:bCs/>
          <w:sz w:val="24"/>
          <w:szCs w:val="28"/>
        </w:rPr>
        <w:t>特种设备生产许可证</w:t>
      </w:r>
    </w:p>
    <w:p w14:paraId="497ADC1F" w14:textId="77777777" w:rsidR="004B0883" w:rsidRDefault="004B0883">
      <w:pPr>
        <w:widowControl w:val="0"/>
        <w:spacing w:beforeLines="50" w:before="120" w:line="360" w:lineRule="auto"/>
        <w:ind w:firstLineChars="200" w:firstLine="480"/>
        <w:jc w:val="both"/>
        <w:rPr>
          <w:sz w:val="24"/>
          <w:szCs w:val="22"/>
          <w:lang w:val="zh-CN"/>
        </w:rPr>
      </w:pPr>
      <w:r>
        <w:rPr>
          <w:sz w:val="24"/>
          <w:szCs w:val="22"/>
          <w:lang w:val="zh-CN"/>
        </w:rPr>
        <w:t>截</w:t>
      </w:r>
      <w:r>
        <w:rPr>
          <w:sz w:val="24"/>
          <w:szCs w:val="22"/>
        </w:rPr>
        <w:t>至</w:t>
      </w:r>
      <w:r>
        <w:rPr>
          <w:rFonts w:hint="eastAsia"/>
          <w:sz w:val="24"/>
          <w:szCs w:val="22"/>
          <w:lang w:val="zh-CN"/>
        </w:rPr>
        <w:t>2</w:t>
      </w:r>
      <w:r>
        <w:rPr>
          <w:sz w:val="24"/>
          <w:szCs w:val="22"/>
          <w:lang w:val="zh-CN"/>
        </w:rPr>
        <w:t>023</w:t>
      </w:r>
      <w:r>
        <w:rPr>
          <w:sz w:val="24"/>
          <w:szCs w:val="22"/>
          <w:lang w:val="zh-CN"/>
        </w:rPr>
        <w:t>年</w:t>
      </w:r>
      <w:r>
        <w:rPr>
          <w:sz w:val="24"/>
          <w:szCs w:val="22"/>
          <w:lang w:val="zh-CN"/>
        </w:rPr>
        <w:t>9</w:t>
      </w:r>
      <w:r>
        <w:rPr>
          <w:sz w:val="24"/>
          <w:szCs w:val="22"/>
          <w:lang w:val="zh-CN"/>
        </w:rPr>
        <w:t>月</w:t>
      </w:r>
      <w:r>
        <w:rPr>
          <w:rFonts w:hint="eastAsia"/>
          <w:sz w:val="24"/>
          <w:szCs w:val="22"/>
          <w:lang w:val="zh-CN"/>
        </w:rPr>
        <w:t>3</w:t>
      </w:r>
      <w:r>
        <w:rPr>
          <w:sz w:val="24"/>
          <w:szCs w:val="22"/>
          <w:lang w:val="zh-CN"/>
        </w:rPr>
        <w:t>0</w:t>
      </w:r>
      <w:r>
        <w:rPr>
          <w:sz w:val="24"/>
          <w:szCs w:val="22"/>
          <w:lang w:val="zh-CN"/>
        </w:rPr>
        <w:t>日，发行人及其子公司取得的</w:t>
      </w:r>
      <w:r>
        <w:rPr>
          <w:rFonts w:hint="eastAsia"/>
          <w:sz w:val="24"/>
          <w:szCs w:val="22"/>
          <w:lang w:val="zh-CN"/>
        </w:rPr>
        <w:t>特种设备生产许可证如下</w:t>
      </w:r>
      <w:r>
        <w:rPr>
          <w:sz w:val="24"/>
          <w:szCs w:val="22"/>
          <w:lang w:val="zh-CN"/>
        </w:rPr>
        <w:t>：</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5"/>
        <w:gridCol w:w="2044"/>
        <w:gridCol w:w="1918"/>
        <w:gridCol w:w="1481"/>
        <w:gridCol w:w="1161"/>
        <w:gridCol w:w="1161"/>
      </w:tblGrid>
      <w:tr w:rsidR="004B0883" w14:paraId="08171F55" w14:textId="77777777">
        <w:trPr>
          <w:trHeight w:val="397"/>
          <w:tblHeader/>
          <w:jc w:val="center"/>
        </w:trPr>
        <w:tc>
          <w:tcPr>
            <w:tcW w:w="318" w:type="pct"/>
            <w:shd w:val="clear" w:color="auto" w:fill="D9D9D9"/>
            <w:tcMar>
              <w:top w:w="0" w:type="dxa"/>
              <w:left w:w="108" w:type="dxa"/>
              <w:bottom w:w="0" w:type="dxa"/>
              <w:right w:w="108" w:type="dxa"/>
            </w:tcMar>
            <w:vAlign w:val="center"/>
          </w:tcPr>
          <w:p w14:paraId="095B6BDB" w14:textId="77777777" w:rsidR="004B0883" w:rsidRDefault="004B0883">
            <w:pPr>
              <w:widowControl w:val="0"/>
              <w:adjustRightInd w:val="0"/>
              <w:snapToGrid w:val="0"/>
              <w:jc w:val="center"/>
              <w:rPr>
                <w:b/>
              </w:rPr>
            </w:pPr>
            <w:r>
              <w:rPr>
                <w:b/>
              </w:rPr>
              <w:t>序号</w:t>
            </w:r>
          </w:p>
        </w:tc>
        <w:tc>
          <w:tcPr>
            <w:tcW w:w="1241" w:type="pct"/>
            <w:shd w:val="clear" w:color="auto" w:fill="D9D9D9"/>
            <w:tcMar>
              <w:top w:w="0" w:type="dxa"/>
              <w:left w:w="108" w:type="dxa"/>
              <w:bottom w:w="0" w:type="dxa"/>
              <w:right w:w="108" w:type="dxa"/>
            </w:tcMar>
            <w:vAlign w:val="center"/>
          </w:tcPr>
          <w:p w14:paraId="134554D4" w14:textId="77777777" w:rsidR="004B0883" w:rsidRDefault="004B0883">
            <w:pPr>
              <w:widowControl w:val="0"/>
              <w:adjustRightInd w:val="0"/>
              <w:snapToGrid w:val="0"/>
              <w:jc w:val="center"/>
              <w:rPr>
                <w:b/>
              </w:rPr>
            </w:pPr>
            <w:r>
              <w:rPr>
                <w:rFonts w:hint="eastAsia"/>
                <w:b/>
              </w:rPr>
              <w:t>证书</w:t>
            </w:r>
            <w:r>
              <w:rPr>
                <w:b/>
              </w:rPr>
              <w:t>名称</w:t>
            </w:r>
          </w:p>
        </w:tc>
        <w:tc>
          <w:tcPr>
            <w:tcW w:w="1165" w:type="pct"/>
            <w:shd w:val="clear" w:color="auto" w:fill="D9D9D9"/>
            <w:tcMar>
              <w:top w:w="0" w:type="dxa"/>
              <w:left w:w="108" w:type="dxa"/>
              <w:bottom w:w="0" w:type="dxa"/>
              <w:right w:w="108" w:type="dxa"/>
            </w:tcMar>
            <w:vAlign w:val="center"/>
          </w:tcPr>
          <w:p w14:paraId="65D3F931" w14:textId="77777777" w:rsidR="004B0883" w:rsidRDefault="004B0883">
            <w:pPr>
              <w:widowControl w:val="0"/>
              <w:adjustRightInd w:val="0"/>
              <w:snapToGrid w:val="0"/>
              <w:jc w:val="center"/>
              <w:rPr>
                <w:b/>
              </w:rPr>
            </w:pPr>
            <w:r>
              <w:rPr>
                <w:rFonts w:hint="eastAsia"/>
                <w:b/>
              </w:rPr>
              <w:t>证书编号</w:t>
            </w:r>
          </w:p>
        </w:tc>
        <w:tc>
          <w:tcPr>
            <w:tcW w:w="901" w:type="pct"/>
            <w:shd w:val="clear" w:color="auto" w:fill="D9D9D9"/>
            <w:tcMar>
              <w:top w:w="0" w:type="dxa"/>
              <w:left w:w="108" w:type="dxa"/>
              <w:bottom w:w="0" w:type="dxa"/>
              <w:right w:w="108" w:type="dxa"/>
            </w:tcMar>
            <w:vAlign w:val="center"/>
          </w:tcPr>
          <w:p w14:paraId="100BC524" w14:textId="77777777" w:rsidR="004B0883" w:rsidRDefault="004B0883">
            <w:pPr>
              <w:widowControl w:val="0"/>
              <w:adjustRightInd w:val="0"/>
              <w:snapToGrid w:val="0"/>
              <w:jc w:val="center"/>
              <w:rPr>
                <w:b/>
              </w:rPr>
            </w:pPr>
            <w:r>
              <w:rPr>
                <w:b/>
              </w:rPr>
              <w:t>发证</w:t>
            </w:r>
            <w:r>
              <w:rPr>
                <w:rFonts w:hint="eastAsia"/>
                <w:b/>
              </w:rPr>
              <w:t>机关</w:t>
            </w:r>
          </w:p>
        </w:tc>
        <w:tc>
          <w:tcPr>
            <w:tcW w:w="681" w:type="pct"/>
            <w:shd w:val="clear" w:color="auto" w:fill="D9D9D9"/>
            <w:tcMar>
              <w:top w:w="0" w:type="dxa"/>
              <w:left w:w="108" w:type="dxa"/>
              <w:bottom w:w="0" w:type="dxa"/>
              <w:right w:w="108" w:type="dxa"/>
            </w:tcMar>
            <w:vAlign w:val="center"/>
          </w:tcPr>
          <w:p w14:paraId="2E969E9E" w14:textId="77777777" w:rsidR="004B0883" w:rsidRDefault="004B0883">
            <w:pPr>
              <w:widowControl w:val="0"/>
              <w:adjustRightInd w:val="0"/>
              <w:snapToGrid w:val="0"/>
              <w:jc w:val="center"/>
              <w:rPr>
                <w:b/>
              </w:rPr>
            </w:pPr>
            <w:r>
              <w:rPr>
                <w:rFonts w:hint="eastAsia"/>
                <w:b/>
              </w:rPr>
              <w:t>开始时间</w:t>
            </w:r>
          </w:p>
        </w:tc>
        <w:tc>
          <w:tcPr>
            <w:tcW w:w="693" w:type="pct"/>
            <w:shd w:val="clear" w:color="auto" w:fill="D9D9D9"/>
            <w:tcMar>
              <w:top w:w="0" w:type="dxa"/>
              <w:left w:w="108" w:type="dxa"/>
              <w:bottom w:w="0" w:type="dxa"/>
              <w:right w:w="108" w:type="dxa"/>
            </w:tcMar>
            <w:vAlign w:val="center"/>
          </w:tcPr>
          <w:p w14:paraId="634FD123" w14:textId="77777777" w:rsidR="004B0883" w:rsidRDefault="004B0883">
            <w:pPr>
              <w:widowControl w:val="0"/>
              <w:adjustRightInd w:val="0"/>
              <w:snapToGrid w:val="0"/>
              <w:jc w:val="center"/>
              <w:rPr>
                <w:b/>
              </w:rPr>
            </w:pPr>
            <w:r>
              <w:rPr>
                <w:rFonts w:hint="eastAsia"/>
                <w:b/>
              </w:rPr>
              <w:t>有效期至</w:t>
            </w:r>
          </w:p>
        </w:tc>
      </w:tr>
      <w:tr w:rsidR="004B0883" w14:paraId="073BA8F9" w14:textId="77777777">
        <w:trPr>
          <w:trHeight w:val="397"/>
          <w:jc w:val="center"/>
        </w:trPr>
        <w:tc>
          <w:tcPr>
            <w:tcW w:w="318" w:type="pct"/>
            <w:tcMar>
              <w:top w:w="0" w:type="dxa"/>
              <w:left w:w="108" w:type="dxa"/>
              <w:bottom w:w="0" w:type="dxa"/>
              <w:right w:w="108" w:type="dxa"/>
            </w:tcMar>
            <w:vAlign w:val="center"/>
          </w:tcPr>
          <w:p w14:paraId="7A19BDC4" w14:textId="77777777" w:rsidR="004B0883" w:rsidRDefault="004B0883">
            <w:pPr>
              <w:widowControl w:val="0"/>
              <w:adjustRightInd w:val="0"/>
              <w:snapToGrid w:val="0"/>
              <w:jc w:val="center"/>
            </w:pPr>
            <w:r>
              <w:t>1</w:t>
            </w:r>
          </w:p>
        </w:tc>
        <w:tc>
          <w:tcPr>
            <w:tcW w:w="1241" w:type="pct"/>
            <w:tcMar>
              <w:top w:w="0" w:type="dxa"/>
              <w:left w:w="108" w:type="dxa"/>
              <w:bottom w:w="0" w:type="dxa"/>
              <w:right w:w="108" w:type="dxa"/>
            </w:tcMar>
            <w:vAlign w:val="center"/>
          </w:tcPr>
          <w:p w14:paraId="489209C1" w14:textId="77777777" w:rsidR="004B0883" w:rsidRDefault="004B0883">
            <w:pPr>
              <w:widowControl w:val="0"/>
              <w:adjustRightInd w:val="0"/>
              <w:snapToGrid w:val="0"/>
              <w:jc w:val="both"/>
            </w:pPr>
            <w:r>
              <w:rPr>
                <w:rFonts w:hint="eastAsia"/>
              </w:rPr>
              <w:t>特种设备生产许可证</w:t>
            </w:r>
          </w:p>
        </w:tc>
        <w:tc>
          <w:tcPr>
            <w:tcW w:w="1165" w:type="pct"/>
            <w:tcMar>
              <w:top w:w="0" w:type="dxa"/>
              <w:left w:w="108" w:type="dxa"/>
              <w:bottom w:w="0" w:type="dxa"/>
              <w:right w:w="108" w:type="dxa"/>
            </w:tcMar>
            <w:vAlign w:val="center"/>
          </w:tcPr>
          <w:p w14:paraId="258D0D34" w14:textId="77777777" w:rsidR="004B0883" w:rsidRDefault="004B0883">
            <w:pPr>
              <w:widowControl w:val="0"/>
              <w:adjustRightInd w:val="0"/>
              <w:snapToGrid w:val="0"/>
              <w:jc w:val="right"/>
            </w:pPr>
            <w:r>
              <w:rPr>
                <w:rFonts w:hint="eastAsia"/>
                <w:bCs/>
                <w:lang w:val="zh-CN"/>
              </w:rPr>
              <w:t>T</w:t>
            </w:r>
            <w:r>
              <w:rPr>
                <w:bCs/>
                <w:lang w:val="zh-CN"/>
              </w:rPr>
              <w:t>S2737216-2027</w:t>
            </w:r>
          </w:p>
        </w:tc>
        <w:tc>
          <w:tcPr>
            <w:tcW w:w="901" w:type="pct"/>
            <w:tcMar>
              <w:top w:w="0" w:type="dxa"/>
              <w:left w:w="108" w:type="dxa"/>
              <w:bottom w:w="0" w:type="dxa"/>
              <w:right w:w="108" w:type="dxa"/>
            </w:tcMar>
            <w:vAlign w:val="center"/>
          </w:tcPr>
          <w:p w14:paraId="2F40406F" w14:textId="77777777" w:rsidR="004B0883" w:rsidRDefault="004B0883">
            <w:pPr>
              <w:widowControl w:val="0"/>
              <w:adjustRightInd w:val="0"/>
              <w:snapToGrid w:val="0"/>
              <w:jc w:val="both"/>
            </w:pPr>
            <w:r>
              <w:rPr>
                <w:rFonts w:hint="eastAsia"/>
              </w:rPr>
              <w:t>山东省市场监督管理局</w:t>
            </w:r>
          </w:p>
        </w:tc>
        <w:tc>
          <w:tcPr>
            <w:tcW w:w="681" w:type="pct"/>
            <w:tcMar>
              <w:top w:w="0" w:type="dxa"/>
              <w:left w:w="108" w:type="dxa"/>
              <w:bottom w:w="0" w:type="dxa"/>
              <w:right w:w="108" w:type="dxa"/>
            </w:tcMar>
            <w:vAlign w:val="center"/>
          </w:tcPr>
          <w:p w14:paraId="4EF4B32C" w14:textId="77777777" w:rsidR="004B0883" w:rsidRDefault="004B0883">
            <w:pPr>
              <w:widowControl w:val="0"/>
              <w:adjustRightInd w:val="0"/>
              <w:snapToGrid w:val="0"/>
              <w:jc w:val="center"/>
            </w:pPr>
            <w:r>
              <w:t>2023.07.27</w:t>
            </w:r>
          </w:p>
        </w:tc>
        <w:tc>
          <w:tcPr>
            <w:tcW w:w="693" w:type="pct"/>
            <w:tcMar>
              <w:top w:w="0" w:type="dxa"/>
              <w:left w:w="108" w:type="dxa"/>
              <w:bottom w:w="0" w:type="dxa"/>
              <w:right w:w="108" w:type="dxa"/>
            </w:tcMar>
            <w:vAlign w:val="center"/>
          </w:tcPr>
          <w:p w14:paraId="1C8A7874" w14:textId="77777777" w:rsidR="004B0883" w:rsidRDefault="004B0883">
            <w:pPr>
              <w:widowControl w:val="0"/>
              <w:adjustRightInd w:val="0"/>
              <w:snapToGrid w:val="0"/>
              <w:jc w:val="right"/>
            </w:pPr>
            <w:r>
              <w:rPr>
                <w:bCs/>
                <w:lang w:val="zh-CN"/>
              </w:rPr>
              <w:t>2027.07.26</w:t>
            </w:r>
          </w:p>
        </w:tc>
      </w:tr>
    </w:tbl>
    <w:p w14:paraId="16CE2017" w14:textId="77777777" w:rsidR="004B0883" w:rsidRDefault="004B0883">
      <w:pPr>
        <w:pStyle w:val="002"/>
        <w:spacing w:before="120" w:after="120"/>
        <w:rPr>
          <w:rFonts w:hint="eastAsia"/>
          <w:kern w:val="0"/>
        </w:rPr>
      </w:pPr>
      <w:bookmarkStart w:id="282" w:name="_Toc152320799"/>
      <w:bookmarkEnd w:id="281"/>
      <w:r>
        <w:rPr>
          <w:rFonts w:hint="eastAsia"/>
          <w:kern w:val="0"/>
        </w:rPr>
        <w:t>十一、公司最近三年及一期发生的重大资产重组情况</w:t>
      </w:r>
      <w:bookmarkEnd w:id="282"/>
    </w:p>
    <w:p w14:paraId="7CB1DEB4" w14:textId="77777777" w:rsidR="004B0883" w:rsidRDefault="004B0883">
      <w:pPr>
        <w:pStyle w:val="005"/>
        <w:spacing w:before="120"/>
        <w:ind w:firstLine="480"/>
        <w:rPr>
          <w:rFonts w:hint="eastAsia"/>
        </w:rPr>
      </w:pPr>
      <w:r>
        <w:rPr>
          <w:rFonts w:hint="eastAsia"/>
        </w:rPr>
        <w:t>报告期内，发行人不存在《上市公司重大资产重组管理办法》规定的重大资产重组行为。</w:t>
      </w:r>
    </w:p>
    <w:p w14:paraId="4EB9A31D" w14:textId="77777777" w:rsidR="004B0883" w:rsidRDefault="004B0883">
      <w:pPr>
        <w:pStyle w:val="002"/>
        <w:spacing w:before="120" w:after="120"/>
        <w:rPr>
          <w:rFonts w:hint="eastAsia"/>
          <w:kern w:val="0"/>
        </w:rPr>
      </w:pPr>
      <w:bookmarkStart w:id="283" w:name="_Toc152320800"/>
      <w:r>
        <w:rPr>
          <w:rFonts w:hint="eastAsia"/>
          <w:kern w:val="0"/>
        </w:rPr>
        <w:t>十二、公司境外经营情况</w:t>
      </w:r>
      <w:bookmarkEnd w:id="283"/>
    </w:p>
    <w:p w14:paraId="42B375F6" w14:textId="77777777" w:rsidR="004B0883" w:rsidRDefault="004B0883">
      <w:pPr>
        <w:keepNext/>
        <w:keepLines/>
        <w:spacing w:beforeLines="50" w:before="120" w:afterLines="50" w:after="120" w:line="360" w:lineRule="auto"/>
        <w:outlineLvl w:val="2"/>
        <w:rPr>
          <w:rFonts w:eastAsia="黑体" w:hint="eastAsia"/>
          <w:b/>
          <w:bCs/>
          <w:sz w:val="24"/>
          <w:szCs w:val="28"/>
        </w:rPr>
      </w:pPr>
      <w:r>
        <w:rPr>
          <w:rFonts w:eastAsia="黑体" w:hint="eastAsia"/>
          <w:b/>
          <w:bCs/>
          <w:sz w:val="24"/>
          <w:szCs w:val="28"/>
        </w:rPr>
        <w:t>（一）公司的营业收入按地区划分情况</w:t>
      </w:r>
    </w:p>
    <w:p w14:paraId="79C143D1" w14:textId="77777777" w:rsidR="004B0883" w:rsidRDefault="004B0883">
      <w:pPr>
        <w:pStyle w:val="005"/>
        <w:spacing w:before="120"/>
        <w:ind w:firstLine="480"/>
      </w:pPr>
      <w:r>
        <w:rPr>
          <w:rFonts w:hint="eastAsia"/>
        </w:rPr>
        <w:t>按销售区域划分，公司收入分为内销收入与外销收入，报告期各期，公司收入按地域分类情况如下：</w:t>
      </w:r>
    </w:p>
    <w:p w14:paraId="0653A6E2" w14:textId="77777777" w:rsidR="004B0883" w:rsidRDefault="004B0883">
      <w:pPr>
        <w:keepNext/>
        <w:widowControl w:val="0"/>
        <w:jc w:val="right"/>
        <w:rPr>
          <w:szCs w:val="22"/>
        </w:rPr>
      </w:pPr>
      <w:r>
        <w:rPr>
          <w:rFonts w:hint="eastAsia"/>
          <w:szCs w:val="22"/>
        </w:rPr>
        <w:t>单位：万元</w:t>
      </w:r>
    </w:p>
    <w:tbl>
      <w:tblPr>
        <w:tblW w:w="10234" w:type="dxa"/>
        <w:jc w:val="center"/>
        <w:tblInd w:w="0" w:type="dxa"/>
        <w:tblBorders>
          <w:top w:val="single" w:sz="12" w:space="0" w:color="010000"/>
          <w:left w:val="single" w:sz="12" w:space="0" w:color="010000"/>
          <w:bottom w:val="single" w:sz="12" w:space="0" w:color="010000"/>
          <w:right w:val="single" w:sz="12" w:space="0" w:color="010000"/>
          <w:insideH w:val="single" w:sz="4" w:space="0" w:color="010000"/>
          <w:insideV w:val="single" w:sz="4" w:space="0" w:color="010000"/>
        </w:tblBorders>
        <w:tblLayout w:type="fixed"/>
        <w:tblLook w:val="0000" w:firstRow="0" w:lastRow="0" w:firstColumn="0" w:lastColumn="0" w:noHBand="0" w:noVBand="0"/>
      </w:tblPr>
      <w:tblGrid>
        <w:gridCol w:w="780"/>
        <w:gridCol w:w="1181"/>
        <w:gridCol w:w="1183"/>
        <w:gridCol w:w="1181"/>
        <w:gridCol w:w="1183"/>
        <w:gridCol w:w="1181"/>
        <w:gridCol w:w="1183"/>
        <w:gridCol w:w="1181"/>
        <w:gridCol w:w="1181"/>
      </w:tblGrid>
      <w:tr w:rsidR="004B0883" w14:paraId="37CC84C8" w14:textId="77777777">
        <w:trPr>
          <w:cantSplit/>
          <w:trHeight w:val="397"/>
          <w:tblHeader/>
          <w:jc w:val="center"/>
        </w:trPr>
        <w:tc>
          <w:tcPr>
            <w:tcW w:w="780" w:type="dxa"/>
            <w:vMerge w:val="restart"/>
            <w:tcBorders>
              <w:top w:val="single" w:sz="12" w:space="0" w:color="010000"/>
              <w:bottom w:val="single" w:sz="4" w:space="0" w:color="010000"/>
            </w:tcBorders>
            <w:shd w:val="clear" w:color="auto" w:fill="D9D9D9"/>
            <w:vAlign w:val="center"/>
          </w:tcPr>
          <w:p w14:paraId="5235EC9D" w14:textId="77777777" w:rsidR="004B0883" w:rsidRDefault="004B0883">
            <w:pPr>
              <w:keepNext/>
              <w:widowControl w:val="0"/>
              <w:jc w:val="center"/>
              <w:rPr>
                <w:b/>
                <w:color w:val="000000"/>
              </w:rPr>
            </w:pPr>
            <w:r>
              <w:rPr>
                <w:rFonts w:hint="eastAsia"/>
                <w:b/>
                <w:color w:val="000000"/>
              </w:rPr>
              <w:t>业务类别</w:t>
            </w:r>
          </w:p>
        </w:tc>
        <w:tc>
          <w:tcPr>
            <w:tcW w:w="2364" w:type="dxa"/>
            <w:gridSpan w:val="2"/>
            <w:tcBorders>
              <w:top w:val="single" w:sz="12" w:space="0" w:color="010000"/>
              <w:bottom w:val="single" w:sz="4" w:space="0" w:color="010000"/>
            </w:tcBorders>
            <w:shd w:val="clear" w:color="auto" w:fill="D9D9D9"/>
            <w:vAlign w:val="center"/>
          </w:tcPr>
          <w:p w14:paraId="79C32BEE" w14:textId="77777777" w:rsidR="004B0883" w:rsidRDefault="004B0883">
            <w:pPr>
              <w:keepNext/>
              <w:widowControl w:val="0"/>
              <w:jc w:val="center"/>
              <w:rPr>
                <w:b/>
                <w:color w:val="000000"/>
              </w:rPr>
            </w:pPr>
            <w:r>
              <w:rPr>
                <w:b/>
                <w:color w:val="000000"/>
              </w:rPr>
              <w:t>2023</w:t>
            </w:r>
            <w:r>
              <w:rPr>
                <w:rFonts w:hint="eastAsia"/>
                <w:b/>
                <w:color w:val="000000"/>
              </w:rPr>
              <w:t>年</w:t>
            </w:r>
            <w:r>
              <w:rPr>
                <w:b/>
                <w:color w:val="000000"/>
              </w:rPr>
              <w:t>1-9</w:t>
            </w:r>
            <w:r>
              <w:rPr>
                <w:rFonts w:hint="eastAsia"/>
                <w:b/>
                <w:color w:val="000000"/>
              </w:rPr>
              <w:t>月</w:t>
            </w:r>
          </w:p>
        </w:tc>
        <w:tc>
          <w:tcPr>
            <w:tcW w:w="2364" w:type="dxa"/>
            <w:gridSpan w:val="2"/>
            <w:tcBorders>
              <w:top w:val="single" w:sz="12" w:space="0" w:color="010000"/>
              <w:bottom w:val="single" w:sz="4" w:space="0" w:color="010000"/>
            </w:tcBorders>
            <w:shd w:val="clear" w:color="auto" w:fill="D9D9D9"/>
            <w:vAlign w:val="center"/>
          </w:tcPr>
          <w:p w14:paraId="4F79550D" w14:textId="77777777" w:rsidR="004B0883" w:rsidRDefault="004B0883">
            <w:pPr>
              <w:keepNext/>
              <w:widowControl w:val="0"/>
              <w:jc w:val="center"/>
              <w:rPr>
                <w:b/>
                <w:color w:val="000000"/>
              </w:rPr>
            </w:pPr>
            <w:r>
              <w:rPr>
                <w:b/>
                <w:color w:val="000000"/>
              </w:rPr>
              <w:t>2022</w:t>
            </w:r>
            <w:r>
              <w:rPr>
                <w:rFonts w:hint="eastAsia"/>
                <w:b/>
                <w:color w:val="000000"/>
              </w:rPr>
              <w:t>年度</w:t>
            </w:r>
          </w:p>
        </w:tc>
        <w:tc>
          <w:tcPr>
            <w:tcW w:w="2364" w:type="dxa"/>
            <w:gridSpan w:val="2"/>
            <w:tcBorders>
              <w:top w:val="single" w:sz="12" w:space="0" w:color="010000"/>
              <w:bottom w:val="single" w:sz="4" w:space="0" w:color="010000"/>
            </w:tcBorders>
            <w:shd w:val="clear" w:color="auto" w:fill="D9D9D9"/>
            <w:vAlign w:val="center"/>
          </w:tcPr>
          <w:p w14:paraId="7CC0BCD8" w14:textId="77777777" w:rsidR="004B0883" w:rsidRDefault="004B0883">
            <w:pPr>
              <w:keepNext/>
              <w:widowControl w:val="0"/>
              <w:jc w:val="center"/>
              <w:rPr>
                <w:b/>
                <w:color w:val="000000"/>
              </w:rPr>
            </w:pPr>
            <w:r>
              <w:rPr>
                <w:b/>
                <w:color w:val="000000"/>
              </w:rPr>
              <w:t>2021</w:t>
            </w:r>
            <w:r>
              <w:rPr>
                <w:rFonts w:hint="eastAsia"/>
                <w:b/>
                <w:color w:val="000000"/>
              </w:rPr>
              <w:t>年度</w:t>
            </w:r>
          </w:p>
        </w:tc>
        <w:tc>
          <w:tcPr>
            <w:tcW w:w="2362" w:type="dxa"/>
            <w:gridSpan w:val="2"/>
            <w:tcBorders>
              <w:top w:val="single" w:sz="12" w:space="0" w:color="010000"/>
              <w:bottom w:val="single" w:sz="4" w:space="0" w:color="010000"/>
            </w:tcBorders>
            <w:shd w:val="clear" w:color="auto" w:fill="D9D9D9"/>
            <w:vAlign w:val="center"/>
          </w:tcPr>
          <w:p w14:paraId="0919A49B" w14:textId="77777777" w:rsidR="004B0883" w:rsidRDefault="004B0883">
            <w:pPr>
              <w:keepNext/>
              <w:widowControl w:val="0"/>
              <w:jc w:val="center"/>
              <w:rPr>
                <w:b/>
                <w:color w:val="000000"/>
              </w:rPr>
            </w:pPr>
            <w:r>
              <w:rPr>
                <w:b/>
                <w:color w:val="000000"/>
              </w:rPr>
              <w:t>2020</w:t>
            </w:r>
            <w:r>
              <w:rPr>
                <w:rFonts w:hint="eastAsia"/>
                <w:b/>
                <w:color w:val="000000"/>
              </w:rPr>
              <w:t>年度</w:t>
            </w:r>
          </w:p>
        </w:tc>
      </w:tr>
      <w:tr w:rsidR="004B0883" w14:paraId="4A55E843" w14:textId="77777777">
        <w:trPr>
          <w:cantSplit/>
          <w:trHeight w:val="397"/>
          <w:tblHeader/>
          <w:jc w:val="center"/>
        </w:trPr>
        <w:tc>
          <w:tcPr>
            <w:tcW w:w="780" w:type="dxa"/>
            <w:vMerge/>
            <w:tcBorders>
              <w:top w:val="single" w:sz="4" w:space="0" w:color="010000"/>
              <w:bottom w:val="single" w:sz="4" w:space="0" w:color="010000"/>
            </w:tcBorders>
            <w:shd w:val="clear" w:color="auto" w:fill="D9D9D9"/>
            <w:vAlign w:val="center"/>
          </w:tcPr>
          <w:p w14:paraId="3C0EC885" w14:textId="77777777" w:rsidR="004B0883" w:rsidRDefault="004B0883">
            <w:pPr>
              <w:keepNext/>
              <w:widowControl w:val="0"/>
              <w:jc w:val="center"/>
              <w:rPr>
                <w:b/>
                <w:color w:val="000000"/>
              </w:rPr>
            </w:pPr>
          </w:p>
        </w:tc>
        <w:tc>
          <w:tcPr>
            <w:tcW w:w="1181" w:type="dxa"/>
            <w:tcBorders>
              <w:top w:val="single" w:sz="4" w:space="0" w:color="010000"/>
              <w:bottom w:val="single" w:sz="4" w:space="0" w:color="010000"/>
            </w:tcBorders>
            <w:shd w:val="clear" w:color="auto" w:fill="D9D9D9"/>
            <w:vAlign w:val="center"/>
          </w:tcPr>
          <w:p w14:paraId="1E2F6452" w14:textId="77777777" w:rsidR="004B0883" w:rsidRDefault="004B0883">
            <w:pPr>
              <w:keepNext/>
              <w:widowControl w:val="0"/>
              <w:jc w:val="center"/>
              <w:rPr>
                <w:b/>
                <w:color w:val="000000"/>
              </w:rPr>
            </w:pPr>
            <w:r>
              <w:rPr>
                <w:rFonts w:hint="eastAsia"/>
                <w:b/>
                <w:color w:val="000000"/>
              </w:rPr>
              <w:t>金额</w:t>
            </w:r>
          </w:p>
        </w:tc>
        <w:tc>
          <w:tcPr>
            <w:tcW w:w="1183" w:type="dxa"/>
            <w:tcBorders>
              <w:top w:val="single" w:sz="4" w:space="0" w:color="010000"/>
              <w:bottom w:val="single" w:sz="4" w:space="0" w:color="010000"/>
            </w:tcBorders>
            <w:shd w:val="clear" w:color="auto" w:fill="D9D9D9"/>
            <w:vAlign w:val="center"/>
          </w:tcPr>
          <w:p w14:paraId="1B2854A4" w14:textId="77777777" w:rsidR="004B0883" w:rsidRDefault="004B0883">
            <w:pPr>
              <w:keepNext/>
              <w:widowControl w:val="0"/>
              <w:jc w:val="center"/>
              <w:rPr>
                <w:b/>
                <w:color w:val="000000"/>
              </w:rPr>
            </w:pPr>
            <w:r>
              <w:rPr>
                <w:rFonts w:hint="eastAsia"/>
                <w:b/>
                <w:color w:val="000000"/>
              </w:rPr>
              <w:t>占比</w:t>
            </w:r>
          </w:p>
        </w:tc>
        <w:tc>
          <w:tcPr>
            <w:tcW w:w="1181" w:type="dxa"/>
            <w:tcBorders>
              <w:top w:val="single" w:sz="4" w:space="0" w:color="010000"/>
              <w:bottom w:val="single" w:sz="4" w:space="0" w:color="010000"/>
            </w:tcBorders>
            <w:shd w:val="clear" w:color="auto" w:fill="D9D9D9"/>
            <w:vAlign w:val="center"/>
          </w:tcPr>
          <w:p w14:paraId="7543C98D" w14:textId="77777777" w:rsidR="004B0883" w:rsidRDefault="004B0883">
            <w:pPr>
              <w:keepNext/>
              <w:widowControl w:val="0"/>
              <w:jc w:val="center"/>
              <w:rPr>
                <w:b/>
                <w:color w:val="000000"/>
              </w:rPr>
            </w:pPr>
            <w:r>
              <w:rPr>
                <w:rFonts w:hint="eastAsia"/>
                <w:b/>
                <w:color w:val="000000"/>
              </w:rPr>
              <w:t>金额</w:t>
            </w:r>
          </w:p>
        </w:tc>
        <w:tc>
          <w:tcPr>
            <w:tcW w:w="1183" w:type="dxa"/>
            <w:tcBorders>
              <w:top w:val="single" w:sz="4" w:space="0" w:color="010000"/>
              <w:bottom w:val="single" w:sz="4" w:space="0" w:color="010000"/>
            </w:tcBorders>
            <w:shd w:val="clear" w:color="auto" w:fill="D9D9D9"/>
            <w:vAlign w:val="center"/>
          </w:tcPr>
          <w:p w14:paraId="44982C58" w14:textId="77777777" w:rsidR="004B0883" w:rsidRDefault="004B0883">
            <w:pPr>
              <w:keepNext/>
              <w:widowControl w:val="0"/>
              <w:jc w:val="center"/>
              <w:rPr>
                <w:b/>
                <w:color w:val="000000"/>
              </w:rPr>
            </w:pPr>
            <w:r>
              <w:rPr>
                <w:rFonts w:hint="eastAsia"/>
                <w:b/>
                <w:color w:val="000000"/>
              </w:rPr>
              <w:t>占比</w:t>
            </w:r>
          </w:p>
        </w:tc>
        <w:tc>
          <w:tcPr>
            <w:tcW w:w="1181" w:type="dxa"/>
            <w:tcBorders>
              <w:top w:val="single" w:sz="4" w:space="0" w:color="010000"/>
              <w:bottom w:val="single" w:sz="4" w:space="0" w:color="010000"/>
            </w:tcBorders>
            <w:shd w:val="clear" w:color="auto" w:fill="D9D9D9"/>
            <w:vAlign w:val="center"/>
          </w:tcPr>
          <w:p w14:paraId="1CEA0B34" w14:textId="77777777" w:rsidR="004B0883" w:rsidRDefault="004B0883">
            <w:pPr>
              <w:keepNext/>
              <w:widowControl w:val="0"/>
              <w:jc w:val="center"/>
              <w:rPr>
                <w:b/>
                <w:color w:val="000000"/>
              </w:rPr>
            </w:pPr>
            <w:r>
              <w:rPr>
                <w:rFonts w:hint="eastAsia"/>
                <w:b/>
                <w:color w:val="000000"/>
              </w:rPr>
              <w:t>金额</w:t>
            </w:r>
          </w:p>
        </w:tc>
        <w:tc>
          <w:tcPr>
            <w:tcW w:w="1183" w:type="dxa"/>
            <w:tcBorders>
              <w:top w:val="single" w:sz="4" w:space="0" w:color="010000"/>
              <w:bottom w:val="single" w:sz="4" w:space="0" w:color="010000"/>
            </w:tcBorders>
            <w:shd w:val="clear" w:color="auto" w:fill="D9D9D9"/>
            <w:vAlign w:val="center"/>
          </w:tcPr>
          <w:p w14:paraId="59BC9E8F" w14:textId="77777777" w:rsidR="004B0883" w:rsidRDefault="004B0883">
            <w:pPr>
              <w:keepNext/>
              <w:widowControl w:val="0"/>
              <w:jc w:val="center"/>
              <w:rPr>
                <w:b/>
                <w:color w:val="000000"/>
              </w:rPr>
            </w:pPr>
            <w:r>
              <w:rPr>
                <w:rFonts w:hint="eastAsia"/>
                <w:b/>
                <w:color w:val="000000"/>
              </w:rPr>
              <w:t>占比</w:t>
            </w:r>
          </w:p>
        </w:tc>
        <w:tc>
          <w:tcPr>
            <w:tcW w:w="1181" w:type="dxa"/>
            <w:tcBorders>
              <w:top w:val="single" w:sz="4" w:space="0" w:color="010000"/>
              <w:bottom w:val="single" w:sz="4" w:space="0" w:color="010000"/>
            </w:tcBorders>
            <w:shd w:val="clear" w:color="auto" w:fill="D9D9D9"/>
            <w:vAlign w:val="center"/>
          </w:tcPr>
          <w:p w14:paraId="341BB788" w14:textId="77777777" w:rsidR="004B0883" w:rsidRDefault="004B0883">
            <w:pPr>
              <w:keepNext/>
              <w:widowControl w:val="0"/>
              <w:jc w:val="center"/>
              <w:rPr>
                <w:b/>
                <w:color w:val="000000"/>
              </w:rPr>
            </w:pPr>
            <w:r>
              <w:rPr>
                <w:rFonts w:hint="eastAsia"/>
                <w:b/>
                <w:color w:val="000000"/>
              </w:rPr>
              <w:t>金额</w:t>
            </w:r>
          </w:p>
        </w:tc>
        <w:tc>
          <w:tcPr>
            <w:tcW w:w="1181" w:type="dxa"/>
            <w:tcBorders>
              <w:top w:val="single" w:sz="4" w:space="0" w:color="010000"/>
              <w:bottom w:val="single" w:sz="4" w:space="0" w:color="010000"/>
            </w:tcBorders>
            <w:shd w:val="clear" w:color="auto" w:fill="D9D9D9"/>
            <w:vAlign w:val="center"/>
          </w:tcPr>
          <w:p w14:paraId="265C9F3F" w14:textId="77777777" w:rsidR="004B0883" w:rsidRDefault="004B0883">
            <w:pPr>
              <w:keepNext/>
              <w:widowControl w:val="0"/>
              <w:jc w:val="center"/>
              <w:rPr>
                <w:b/>
                <w:color w:val="000000"/>
              </w:rPr>
            </w:pPr>
            <w:r>
              <w:rPr>
                <w:rFonts w:hint="eastAsia"/>
                <w:b/>
                <w:color w:val="000000"/>
              </w:rPr>
              <w:t>占比</w:t>
            </w:r>
          </w:p>
        </w:tc>
      </w:tr>
      <w:tr w:rsidR="004B0883" w14:paraId="0FDCDF93" w14:textId="77777777">
        <w:trPr>
          <w:cantSplit/>
          <w:trHeight w:val="397"/>
          <w:jc w:val="center"/>
        </w:trPr>
        <w:tc>
          <w:tcPr>
            <w:tcW w:w="780" w:type="dxa"/>
            <w:tcBorders>
              <w:top w:val="single" w:sz="4" w:space="0" w:color="010000"/>
            </w:tcBorders>
            <w:noWrap/>
            <w:vAlign w:val="center"/>
          </w:tcPr>
          <w:p w14:paraId="5CBC2AE7" w14:textId="77777777" w:rsidR="004B0883" w:rsidRDefault="004B0883">
            <w:pPr>
              <w:rPr>
                <w:color w:val="000000"/>
              </w:rPr>
            </w:pPr>
            <w:r>
              <w:rPr>
                <w:rFonts w:hint="eastAsia"/>
                <w:color w:val="000000"/>
              </w:rPr>
              <w:t>外销</w:t>
            </w:r>
          </w:p>
        </w:tc>
        <w:tc>
          <w:tcPr>
            <w:tcW w:w="1181" w:type="dxa"/>
            <w:tcBorders>
              <w:top w:val="single" w:sz="4" w:space="0" w:color="010000"/>
            </w:tcBorders>
            <w:vAlign w:val="center"/>
          </w:tcPr>
          <w:p w14:paraId="39C6D495" w14:textId="77777777" w:rsidR="004B0883" w:rsidRDefault="004B0883">
            <w:pPr>
              <w:jc w:val="right"/>
              <w:rPr>
                <w:color w:val="000000"/>
              </w:rPr>
            </w:pPr>
            <w:r>
              <w:rPr>
                <w:color w:val="000000"/>
              </w:rPr>
              <w:t>32,056.10</w:t>
            </w:r>
          </w:p>
        </w:tc>
        <w:tc>
          <w:tcPr>
            <w:tcW w:w="1183" w:type="dxa"/>
            <w:tcBorders>
              <w:top w:val="single" w:sz="4" w:space="0" w:color="010000"/>
            </w:tcBorders>
            <w:noWrap/>
            <w:vAlign w:val="center"/>
          </w:tcPr>
          <w:p w14:paraId="1BD62ADA" w14:textId="77777777" w:rsidR="004B0883" w:rsidRDefault="004B0883">
            <w:pPr>
              <w:jc w:val="right"/>
              <w:rPr>
                <w:color w:val="000000"/>
              </w:rPr>
            </w:pPr>
            <w:r>
              <w:rPr>
                <w:rFonts w:hint="eastAsia"/>
                <w:color w:val="000000"/>
              </w:rPr>
              <w:t>80.32%</w:t>
            </w:r>
          </w:p>
        </w:tc>
        <w:tc>
          <w:tcPr>
            <w:tcW w:w="1181" w:type="dxa"/>
            <w:tcBorders>
              <w:top w:val="single" w:sz="4" w:space="0" w:color="010000"/>
            </w:tcBorders>
            <w:vAlign w:val="center"/>
          </w:tcPr>
          <w:p w14:paraId="0236B50E" w14:textId="77777777" w:rsidR="004B0883" w:rsidRDefault="004B0883">
            <w:pPr>
              <w:jc w:val="right"/>
              <w:rPr>
                <w:color w:val="000000"/>
              </w:rPr>
            </w:pPr>
            <w:r>
              <w:rPr>
                <w:color w:val="000000"/>
              </w:rPr>
              <w:t>45,118.28</w:t>
            </w:r>
          </w:p>
        </w:tc>
        <w:tc>
          <w:tcPr>
            <w:tcW w:w="1183" w:type="dxa"/>
            <w:tcBorders>
              <w:top w:val="single" w:sz="4" w:space="0" w:color="010000"/>
            </w:tcBorders>
            <w:noWrap/>
            <w:vAlign w:val="center"/>
          </w:tcPr>
          <w:p w14:paraId="07CC94FC" w14:textId="77777777" w:rsidR="004B0883" w:rsidRDefault="004B0883">
            <w:pPr>
              <w:jc w:val="right"/>
              <w:rPr>
                <w:color w:val="000000"/>
              </w:rPr>
            </w:pPr>
            <w:r>
              <w:rPr>
                <w:rFonts w:hint="eastAsia"/>
                <w:color w:val="000000"/>
              </w:rPr>
              <w:t>83.53%</w:t>
            </w:r>
          </w:p>
        </w:tc>
        <w:tc>
          <w:tcPr>
            <w:tcW w:w="1181" w:type="dxa"/>
            <w:tcBorders>
              <w:top w:val="single" w:sz="4" w:space="0" w:color="010000"/>
            </w:tcBorders>
            <w:vAlign w:val="center"/>
          </w:tcPr>
          <w:p w14:paraId="4E7C322F" w14:textId="77777777" w:rsidR="004B0883" w:rsidRDefault="004B0883">
            <w:pPr>
              <w:jc w:val="right"/>
              <w:rPr>
                <w:color w:val="000000"/>
              </w:rPr>
            </w:pPr>
            <w:bookmarkStart w:id="284" w:name="_Hlk135403254"/>
            <w:r>
              <w:rPr>
                <w:color w:val="000000"/>
              </w:rPr>
              <w:t>31,275.26</w:t>
            </w:r>
            <w:bookmarkEnd w:id="284"/>
          </w:p>
        </w:tc>
        <w:tc>
          <w:tcPr>
            <w:tcW w:w="1183" w:type="dxa"/>
            <w:tcBorders>
              <w:top w:val="single" w:sz="4" w:space="0" w:color="010000"/>
            </w:tcBorders>
            <w:noWrap/>
            <w:vAlign w:val="center"/>
          </w:tcPr>
          <w:p w14:paraId="0D9E0D1C" w14:textId="77777777" w:rsidR="004B0883" w:rsidRDefault="004B0883">
            <w:pPr>
              <w:jc w:val="right"/>
              <w:rPr>
                <w:color w:val="000000"/>
              </w:rPr>
            </w:pPr>
            <w:r>
              <w:rPr>
                <w:rFonts w:hint="eastAsia"/>
                <w:color w:val="000000"/>
              </w:rPr>
              <w:t>75.33%</w:t>
            </w:r>
          </w:p>
        </w:tc>
        <w:tc>
          <w:tcPr>
            <w:tcW w:w="1181" w:type="dxa"/>
            <w:tcBorders>
              <w:top w:val="single" w:sz="4" w:space="0" w:color="010000"/>
            </w:tcBorders>
            <w:vAlign w:val="center"/>
          </w:tcPr>
          <w:p w14:paraId="03699FC7" w14:textId="77777777" w:rsidR="004B0883" w:rsidRDefault="004B0883">
            <w:pPr>
              <w:jc w:val="right"/>
              <w:rPr>
                <w:color w:val="000000"/>
              </w:rPr>
            </w:pPr>
            <w:bookmarkStart w:id="285" w:name="_Hlk135403244"/>
            <w:r>
              <w:rPr>
                <w:color w:val="000000"/>
              </w:rPr>
              <w:t>27,604.16</w:t>
            </w:r>
            <w:bookmarkEnd w:id="285"/>
          </w:p>
        </w:tc>
        <w:tc>
          <w:tcPr>
            <w:tcW w:w="1181" w:type="dxa"/>
            <w:tcBorders>
              <w:top w:val="single" w:sz="4" w:space="0" w:color="010000"/>
            </w:tcBorders>
            <w:noWrap/>
            <w:vAlign w:val="center"/>
          </w:tcPr>
          <w:p w14:paraId="0623360A" w14:textId="77777777" w:rsidR="004B0883" w:rsidRDefault="004B0883">
            <w:pPr>
              <w:jc w:val="right"/>
              <w:rPr>
                <w:color w:val="000000"/>
              </w:rPr>
            </w:pPr>
            <w:bookmarkStart w:id="286" w:name="_Hlk135403279"/>
            <w:r>
              <w:rPr>
                <w:rFonts w:hint="eastAsia"/>
                <w:color w:val="000000"/>
              </w:rPr>
              <w:t>80.11%</w:t>
            </w:r>
            <w:bookmarkEnd w:id="286"/>
          </w:p>
        </w:tc>
      </w:tr>
      <w:tr w:rsidR="004B0883" w14:paraId="3308BD82" w14:textId="77777777">
        <w:trPr>
          <w:cantSplit/>
          <w:trHeight w:val="397"/>
          <w:jc w:val="center"/>
        </w:trPr>
        <w:tc>
          <w:tcPr>
            <w:tcW w:w="780" w:type="dxa"/>
            <w:noWrap/>
            <w:vAlign w:val="center"/>
          </w:tcPr>
          <w:p w14:paraId="2779B7E3" w14:textId="77777777" w:rsidR="004B0883" w:rsidRDefault="004B0883">
            <w:pPr>
              <w:rPr>
                <w:color w:val="000000"/>
              </w:rPr>
            </w:pPr>
            <w:r>
              <w:rPr>
                <w:rFonts w:hint="eastAsia"/>
                <w:color w:val="000000"/>
              </w:rPr>
              <w:t>内销</w:t>
            </w:r>
          </w:p>
        </w:tc>
        <w:tc>
          <w:tcPr>
            <w:tcW w:w="1181" w:type="dxa"/>
            <w:vAlign w:val="center"/>
          </w:tcPr>
          <w:p w14:paraId="03903CC3" w14:textId="77777777" w:rsidR="004B0883" w:rsidRDefault="004B0883">
            <w:pPr>
              <w:jc w:val="right"/>
              <w:rPr>
                <w:color w:val="000000"/>
              </w:rPr>
            </w:pPr>
            <w:r>
              <w:rPr>
                <w:color w:val="000000"/>
              </w:rPr>
              <w:t>7,853.61</w:t>
            </w:r>
          </w:p>
        </w:tc>
        <w:tc>
          <w:tcPr>
            <w:tcW w:w="1183" w:type="dxa"/>
            <w:noWrap/>
            <w:vAlign w:val="center"/>
          </w:tcPr>
          <w:p w14:paraId="4F77A848" w14:textId="77777777" w:rsidR="004B0883" w:rsidRDefault="004B0883">
            <w:pPr>
              <w:jc w:val="right"/>
              <w:rPr>
                <w:color w:val="000000"/>
              </w:rPr>
            </w:pPr>
            <w:r>
              <w:rPr>
                <w:rFonts w:hint="eastAsia"/>
                <w:color w:val="000000"/>
              </w:rPr>
              <w:t>19.68%</w:t>
            </w:r>
          </w:p>
        </w:tc>
        <w:tc>
          <w:tcPr>
            <w:tcW w:w="1181" w:type="dxa"/>
            <w:vAlign w:val="center"/>
          </w:tcPr>
          <w:p w14:paraId="3C7FA8C6" w14:textId="77777777" w:rsidR="004B0883" w:rsidRDefault="004B0883">
            <w:pPr>
              <w:jc w:val="right"/>
              <w:rPr>
                <w:color w:val="000000"/>
              </w:rPr>
            </w:pPr>
            <w:r>
              <w:rPr>
                <w:color w:val="000000"/>
              </w:rPr>
              <w:t>8,895.88</w:t>
            </w:r>
          </w:p>
        </w:tc>
        <w:tc>
          <w:tcPr>
            <w:tcW w:w="1183" w:type="dxa"/>
            <w:noWrap/>
            <w:vAlign w:val="center"/>
          </w:tcPr>
          <w:p w14:paraId="087A8CE0" w14:textId="77777777" w:rsidR="004B0883" w:rsidRDefault="004B0883">
            <w:pPr>
              <w:jc w:val="right"/>
              <w:rPr>
                <w:color w:val="000000"/>
              </w:rPr>
            </w:pPr>
            <w:r>
              <w:rPr>
                <w:rFonts w:hint="eastAsia"/>
                <w:color w:val="000000"/>
              </w:rPr>
              <w:t>1</w:t>
            </w:r>
            <w:r>
              <w:rPr>
                <w:color w:val="000000"/>
              </w:rPr>
              <w:t>6</w:t>
            </w:r>
            <w:r>
              <w:rPr>
                <w:rFonts w:hint="eastAsia"/>
                <w:color w:val="000000"/>
              </w:rPr>
              <w:t>.</w:t>
            </w:r>
            <w:r>
              <w:rPr>
                <w:color w:val="000000"/>
              </w:rPr>
              <w:t>47</w:t>
            </w:r>
            <w:r>
              <w:rPr>
                <w:rFonts w:hint="eastAsia"/>
                <w:color w:val="000000"/>
              </w:rPr>
              <w:t>%</w:t>
            </w:r>
          </w:p>
        </w:tc>
        <w:tc>
          <w:tcPr>
            <w:tcW w:w="1181" w:type="dxa"/>
            <w:vAlign w:val="center"/>
          </w:tcPr>
          <w:p w14:paraId="607B11CA" w14:textId="77777777" w:rsidR="004B0883" w:rsidRDefault="004B0883">
            <w:pPr>
              <w:jc w:val="right"/>
              <w:rPr>
                <w:color w:val="000000"/>
              </w:rPr>
            </w:pPr>
            <w:r>
              <w:rPr>
                <w:color w:val="000000"/>
              </w:rPr>
              <w:t>10,241.01</w:t>
            </w:r>
          </w:p>
        </w:tc>
        <w:tc>
          <w:tcPr>
            <w:tcW w:w="1183" w:type="dxa"/>
            <w:noWrap/>
            <w:vAlign w:val="center"/>
          </w:tcPr>
          <w:p w14:paraId="6C6656DC" w14:textId="77777777" w:rsidR="004B0883" w:rsidRDefault="004B0883">
            <w:pPr>
              <w:jc w:val="right"/>
              <w:rPr>
                <w:color w:val="000000"/>
              </w:rPr>
            </w:pPr>
            <w:r>
              <w:rPr>
                <w:rFonts w:hint="eastAsia"/>
                <w:color w:val="000000"/>
              </w:rPr>
              <w:t>24.67%</w:t>
            </w:r>
          </w:p>
        </w:tc>
        <w:tc>
          <w:tcPr>
            <w:tcW w:w="1181" w:type="dxa"/>
            <w:vAlign w:val="center"/>
          </w:tcPr>
          <w:p w14:paraId="2D1F2604" w14:textId="77777777" w:rsidR="004B0883" w:rsidRDefault="004B0883">
            <w:pPr>
              <w:jc w:val="right"/>
              <w:rPr>
                <w:color w:val="000000"/>
              </w:rPr>
            </w:pPr>
            <w:r>
              <w:rPr>
                <w:color w:val="000000"/>
              </w:rPr>
              <w:t>6,854.84</w:t>
            </w:r>
          </w:p>
        </w:tc>
        <w:tc>
          <w:tcPr>
            <w:tcW w:w="1181" w:type="dxa"/>
            <w:noWrap/>
            <w:vAlign w:val="center"/>
          </w:tcPr>
          <w:p w14:paraId="1F02371B" w14:textId="77777777" w:rsidR="004B0883" w:rsidRDefault="004B0883">
            <w:pPr>
              <w:jc w:val="right"/>
              <w:rPr>
                <w:color w:val="000000"/>
              </w:rPr>
            </w:pPr>
            <w:r>
              <w:rPr>
                <w:rFonts w:hint="eastAsia"/>
                <w:color w:val="000000"/>
              </w:rPr>
              <w:t>19.89%</w:t>
            </w:r>
          </w:p>
        </w:tc>
      </w:tr>
      <w:tr w:rsidR="004B0883" w14:paraId="7402F10A" w14:textId="77777777">
        <w:trPr>
          <w:cantSplit/>
          <w:trHeight w:val="397"/>
          <w:jc w:val="center"/>
        </w:trPr>
        <w:tc>
          <w:tcPr>
            <w:tcW w:w="780" w:type="dxa"/>
            <w:noWrap/>
            <w:vAlign w:val="center"/>
          </w:tcPr>
          <w:p w14:paraId="715AEEA1" w14:textId="77777777" w:rsidR="004B0883" w:rsidRDefault="004B0883">
            <w:pPr>
              <w:jc w:val="center"/>
              <w:rPr>
                <w:b/>
                <w:color w:val="000000"/>
              </w:rPr>
            </w:pPr>
            <w:r>
              <w:rPr>
                <w:rFonts w:hint="eastAsia"/>
                <w:b/>
                <w:color w:val="000000"/>
              </w:rPr>
              <w:t>合计</w:t>
            </w:r>
          </w:p>
        </w:tc>
        <w:tc>
          <w:tcPr>
            <w:tcW w:w="1181" w:type="dxa"/>
            <w:vAlign w:val="center"/>
          </w:tcPr>
          <w:p w14:paraId="48817E7D" w14:textId="77777777" w:rsidR="004B0883" w:rsidRDefault="004B0883">
            <w:pPr>
              <w:jc w:val="right"/>
              <w:rPr>
                <w:b/>
                <w:color w:val="000000"/>
              </w:rPr>
            </w:pPr>
            <w:r>
              <w:rPr>
                <w:b/>
                <w:color w:val="000000"/>
              </w:rPr>
              <w:t>39,909.71</w:t>
            </w:r>
          </w:p>
        </w:tc>
        <w:tc>
          <w:tcPr>
            <w:tcW w:w="1183" w:type="dxa"/>
            <w:vAlign w:val="center"/>
          </w:tcPr>
          <w:p w14:paraId="2ADE5FBF" w14:textId="77777777" w:rsidR="004B0883" w:rsidRDefault="004B0883">
            <w:pPr>
              <w:jc w:val="right"/>
              <w:rPr>
                <w:b/>
                <w:color w:val="000000"/>
              </w:rPr>
            </w:pPr>
            <w:r>
              <w:rPr>
                <w:b/>
                <w:color w:val="000000"/>
              </w:rPr>
              <w:t>100.00%</w:t>
            </w:r>
          </w:p>
        </w:tc>
        <w:tc>
          <w:tcPr>
            <w:tcW w:w="1181" w:type="dxa"/>
            <w:vAlign w:val="center"/>
          </w:tcPr>
          <w:p w14:paraId="300BF02A" w14:textId="77777777" w:rsidR="004B0883" w:rsidRDefault="004B0883">
            <w:pPr>
              <w:jc w:val="right"/>
              <w:rPr>
                <w:b/>
                <w:color w:val="000000"/>
              </w:rPr>
            </w:pPr>
            <w:r>
              <w:rPr>
                <w:b/>
                <w:color w:val="000000"/>
              </w:rPr>
              <w:t>54,014.16</w:t>
            </w:r>
          </w:p>
        </w:tc>
        <w:tc>
          <w:tcPr>
            <w:tcW w:w="1183" w:type="dxa"/>
            <w:vAlign w:val="center"/>
          </w:tcPr>
          <w:p w14:paraId="55094390" w14:textId="77777777" w:rsidR="004B0883" w:rsidRDefault="004B0883">
            <w:pPr>
              <w:jc w:val="right"/>
              <w:rPr>
                <w:b/>
                <w:color w:val="000000"/>
              </w:rPr>
            </w:pPr>
            <w:r>
              <w:rPr>
                <w:b/>
                <w:color w:val="000000"/>
              </w:rPr>
              <w:t>100.00%</w:t>
            </w:r>
          </w:p>
        </w:tc>
        <w:tc>
          <w:tcPr>
            <w:tcW w:w="1181" w:type="dxa"/>
            <w:vAlign w:val="center"/>
          </w:tcPr>
          <w:p w14:paraId="5F71D004" w14:textId="77777777" w:rsidR="004B0883" w:rsidRDefault="004B0883">
            <w:pPr>
              <w:jc w:val="right"/>
              <w:rPr>
                <w:b/>
                <w:color w:val="000000"/>
              </w:rPr>
            </w:pPr>
            <w:r>
              <w:rPr>
                <w:b/>
                <w:color w:val="000000"/>
              </w:rPr>
              <w:t>41,516.27</w:t>
            </w:r>
          </w:p>
        </w:tc>
        <w:tc>
          <w:tcPr>
            <w:tcW w:w="1183" w:type="dxa"/>
            <w:vAlign w:val="center"/>
          </w:tcPr>
          <w:p w14:paraId="2C460817" w14:textId="77777777" w:rsidR="004B0883" w:rsidRDefault="004B0883">
            <w:pPr>
              <w:jc w:val="right"/>
              <w:rPr>
                <w:b/>
                <w:color w:val="000000"/>
              </w:rPr>
            </w:pPr>
            <w:r>
              <w:rPr>
                <w:b/>
                <w:color w:val="000000"/>
              </w:rPr>
              <w:t>100.00%</w:t>
            </w:r>
          </w:p>
        </w:tc>
        <w:tc>
          <w:tcPr>
            <w:tcW w:w="1181" w:type="dxa"/>
            <w:vAlign w:val="center"/>
          </w:tcPr>
          <w:p w14:paraId="15B11DA5" w14:textId="77777777" w:rsidR="004B0883" w:rsidRDefault="004B0883">
            <w:pPr>
              <w:jc w:val="right"/>
              <w:rPr>
                <w:b/>
                <w:color w:val="000000"/>
              </w:rPr>
            </w:pPr>
            <w:r>
              <w:rPr>
                <w:b/>
                <w:color w:val="000000"/>
              </w:rPr>
              <w:t>34,459.00</w:t>
            </w:r>
          </w:p>
        </w:tc>
        <w:tc>
          <w:tcPr>
            <w:tcW w:w="1181" w:type="dxa"/>
            <w:vAlign w:val="center"/>
          </w:tcPr>
          <w:p w14:paraId="46CAFAC3" w14:textId="77777777" w:rsidR="004B0883" w:rsidRDefault="004B0883">
            <w:pPr>
              <w:jc w:val="right"/>
              <w:rPr>
                <w:b/>
                <w:color w:val="000000"/>
              </w:rPr>
            </w:pPr>
            <w:r>
              <w:rPr>
                <w:b/>
                <w:color w:val="000000"/>
              </w:rPr>
              <w:t>100.00%</w:t>
            </w:r>
          </w:p>
        </w:tc>
      </w:tr>
    </w:tbl>
    <w:p w14:paraId="2FE6038C" w14:textId="77777777" w:rsidR="004B0883" w:rsidRDefault="004B0883">
      <w:pPr>
        <w:widowControl w:val="0"/>
        <w:spacing w:beforeLines="50" w:before="120" w:after="120" w:line="360" w:lineRule="auto"/>
        <w:ind w:firstLineChars="200" w:firstLine="480"/>
        <w:jc w:val="both"/>
        <w:rPr>
          <w:kern w:val="0"/>
          <w:sz w:val="24"/>
          <w:szCs w:val="22"/>
        </w:rPr>
      </w:pPr>
      <w:r>
        <w:rPr>
          <w:rFonts w:hint="eastAsia"/>
          <w:kern w:val="0"/>
          <w:sz w:val="24"/>
          <w:szCs w:val="22"/>
        </w:rPr>
        <w:t>报告期各期，公司外销收入占收入的比重分别为</w:t>
      </w:r>
      <w:bookmarkStart w:id="287" w:name="_Hlk135403293"/>
      <w:r>
        <w:rPr>
          <w:rFonts w:hint="eastAsia"/>
          <w:kern w:val="0"/>
          <w:sz w:val="24"/>
          <w:szCs w:val="22"/>
        </w:rPr>
        <w:t>8</w:t>
      </w:r>
      <w:r>
        <w:rPr>
          <w:kern w:val="0"/>
          <w:sz w:val="24"/>
          <w:szCs w:val="22"/>
        </w:rPr>
        <w:t>0.11%</w:t>
      </w:r>
      <w:r>
        <w:rPr>
          <w:rFonts w:hint="eastAsia"/>
          <w:kern w:val="0"/>
          <w:sz w:val="24"/>
          <w:szCs w:val="22"/>
        </w:rPr>
        <w:t>、</w:t>
      </w:r>
      <w:r>
        <w:rPr>
          <w:rFonts w:hint="eastAsia"/>
          <w:kern w:val="0"/>
          <w:sz w:val="24"/>
          <w:szCs w:val="22"/>
        </w:rPr>
        <w:t>7</w:t>
      </w:r>
      <w:r>
        <w:rPr>
          <w:kern w:val="0"/>
          <w:sz w:val="24"/>
          <w:szCs w:val="22"/>
        </w:rPr>
        <w:t>5.33%</w:t>
      </w:r>
      <w:r>
        <w:rPr>
          <w:rFonts w:hint="eastAsia"/>
          <w:kern w:val="0"/>
          <w:sz w:val="24"/>
          <w:szCs w:val="22"/>
        </w:rPr>
        <w:t>、</w:t>
      </w:r>
      <w:r>
        <w:rPr>
          <w:rFonts w:hint="eastAsia"/>
          <w:kern w:val="0"/>
          <w:sz w:val="24"/>
          <w:szCs w:val="22"/>
        </w:rPr>
        <w:t>83.53%</w:t>
      </w:r>
      <w:r>
        <w:rPr>
          <w:rFonts w:hint="eastAsia"/>
          <w:kern w:val="0"/>
          <w:sz w:val="24"/>
          <w:szCs w:val="22"/>
        </w:rPr>
        <w:t>及</w:t>
      </w:r>
      <w:r>
        <w:rPr>
          <w:kern w:val="0"/>
          <w:sz w:val="24"/>
          <w:szCs w:val="22"/>
        </w:rPr>
        <w:t>80.32%</w:t>
      </w:r>
      <w:bookmarkEnd w:id="287"/>
      <w:r>
        <w:rPr>
          <w:rFonts w:hint="eastAsia"/>
          <w:kern w:val="0"/>
          <w:sz w:val="24"/>
          <w:szCs w:val="22"/>
        </w:rPr>
        <w:t>，为收入的主要来源。</w:t>
      </w:r>
      <w:r>
        <w:rPr>
          <w:rFonts w:hint="eastAsia"/>
          <w:kern w:val="0"/>
          <w:sz w:val="24"/>
          <w:szCs w:val="22"/>
        </w:rPr>
        <w:t>2022</w:t>
      </w:r>
      <w:r>
        <w:rPr>
          <w:rFonts w:hint="eastAsia"/>
          <w:kern w:val="0"/>
          <w:sz w:val="24"/>
          <w:szCs w:val="22"/>
        </w:rPr>
        <w:t>年随着全球突发性公共卫生事件的逐步缓解，公司及时复产复工并进一步扩大了海外市场的开拓，外销的订单量和销售发货量较上年同期呈大幅增长。</w:t>
      </w:r>
    </w:p>
    <w:p w14:paraId="2622CF87" w14:textId="77777777" w:rsidR="004B0883" w:rsidRDefault="004B0883">
      <w:pPr>
        <w:keepNext/>
        <w:keepLines/>
        <w:spacing w:beforeLines="50" w:before="120" w:afterLines="50" w:after="120" w:line="360" w:lineRule="auto"/>
        <w:outlineLvl w:val="2"/>
        <w:rPr>
          <w:rFonts w:eastAsia="黑体" w:hint="eastAsia"/>
          <w:b/>
          <w:bCs/>
          <w:sz w:val="24"/>
          <w:szCs w:val="28"/>
        </w:rPr>
      </w:pPr>
      <w:r>
        <w:rPr>
          <w:rFonts w:eastAsia="黑体" w:hint="eastAsia"/>
          <w:b/>
          <w:bCs/>
          <w:sz w:val="24"/>
          <w:szCs w:val="28"/>
        </w:rPr>
        <w:t>（二）公司境外子公司情况</w:t>
      </w:r>
    </w:p>
    <w:p w14:paraId="20803454" w14:textId="77777777" w:rsidR="004B0883" w:rsidRDefault="004B0883">
      <w:pPr>
        <w:widowControl w:val="0"/>
        <w:spacing w:beforeLines="50" w:before="120" w:after="120" w:line="360" w:lineRule="auto"/>
        <w:ind w:firstLineChars="200" w:firstLine="480"/>
        <w:jc w:val="both"/>
        <w:rPr>
          <w:sz w:val="24"/>
          <w:szCs w:val="22"/>
        </w:rPr>
      </w:pPr>
      <w:r>
        <w:rPr>
          <w:rFonts w:hint="eastAsia"/>
          <w:kern w:val="0"/>
          <w:sz w:val="24"/>
          <w:szCs w:val="22"/>
        </w:rPr>
        <w:t>截</w:t>
      </w:r>
      <w:r>
        <w:rPr>
          <w:rFonts w:hint="eastAsia"/>
          <w:sz w:val="24"/>
          <w:szCs w:val="22"/>
        </w:rPr>
        <w:t>至本募集说明书签署日，发行人控股</w:t>
      </w:r>
      <w:r>
        <w:rPr>
          <w:sz w:val="24"/>
          <w:szCs w:val="22"/>
        </w:rPr>
        <w:t>3</w:t>
      </w:r>
      <w:r>
        <w:rPr>
          <w:rFonts w:hint="eastAsia"/>
          <w:sz w:val="24"/>
          <w:szCs w:val="22"/>
        </w:rPr>
        <w:t>家境外子公司，具体情况如下：</w:t>
      </w:r>
    </w:p>
    <w:p w14:paraId="71643C86" w14:textId="77777777" w:rsidR="004B0883" w:rsidRDefault="004B0883">
      <w:pPr>
        <w:keepNext/>
        <w:keepLines/>
        <w:spacing w:beforeLines="50" w:before="120" w:afterLines="50" w:after="120" w:line="360" w:lineRule="auto"/>
        <w:ind w:firstLineChars="200" w:firstLine="482"/>
        <w:jc w:val="both"/>
        <w:outlineLvl w:val="3"/>
        <w:rPr>
          <w:rFonts w:hint="eastAsia"/>
          <w:b/>
          <w:bCs/>
          <w:sz w:val="24"/>
          <w:szCs w:val="28"/>
        </w:rPr>
      </w:pPr>
      <w:r>
        <w:rPr>
          <w:rFonts w:hint="eastAsia"/>
          <w:b/>
          <w:bCs/>
          <w:sz w:val="24"/>
          <w:szCs w:val="28"/>
        </w:rPr>
        <w:t>1</w:t>
      </w:r>
      <w:r>
        <w:rPr>
          <w:rFonts w:hint="eastAsia"/>
          <w:b/>
          <w:bCs/>
          <w:sz w:val="24"/>
          <w:szCs w:val="28"/>
        </w:rPr>
        <w:t>、英国伟隆</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31"/>
        <w:gridCol w:w="6649"/>
      </w:tblGrid>
      <w:tr w:rsidR="004B0883" w14:paraId="213F58E6" w14:textId="77777777">
        <w:trPr>
          <w:trHeight w:val="397"/>
          <w:jc w:val="center"/>
        </w:trPr>
        <w:tc>
          <w:tcPr>
            <w:tcW w:w="985" w:type="pct"/>
            <w:shd w:val="clear" w:color="auto" w:fill="D9D9D9"/>
            <w:tcMar>
              <w:top w:w="0" w:type="dxa"/>
              <w:bottom w:w="0" w:type="dxa"/>
            </w:tcMar>
            <w:vAlign w:val="center"/>
          </w:tcPr>
          <w:p w14:paraId="2D72E1DC" w14:textId="77777777" w:rsidR="004B0883" w:rsidRDefault="004B0883">
            <w:pPr>
              <w:widowControl w:val="0"/>
              <w:adjustRightInd w:val="0"/>
              <w:snapToGrid w:val="0"/>
              <w:jc w:val="center"/>
              <w:rPr>
                <w:b/>
                <w:bCs/>
              </w:rPr>
            </w:pPr>
            <w:r>
              <w:rPr>
                <w:b/>
                <w:bCs/>
              </w:rPr>
              <w:t>公司名称</w:t>
            </w:r>
          </w:p>
        </w:tc>
        <w:tc>
          <w:tcPr>
            <w:tcW w:w="4015" w:type="pct"/>
            <w:tcMar>
              <w:top w:w="0" w:type="dxa"/>
              <w:bottom w:w="0" w:type="dxa"/>
            </w:tcMar>
            <w:vAlign w:val="center"/>
          </w:tcPr>
          <w:p w14:paraId="2B4F6E18" w14:textId="77777777" w:rsidR="004B0883" w:rsidRDefault="004B0883">
            <w:pPr>
              <w:widowControl w:val="0"/>
              <w:adjustRightInd w:val="0"/>
              <w:snapToGrid w:val="0"/>
              <w:jc w:val="center"/>
            </w:pPr>
            <w:r>
              <w:rPr>
                <w:rFonts w:hint="eastAsia"/>
              </w:rPr>
              <w:t>WEFLO VALVE COMPANY LIMITED</w:t>
            </w:r>
          </w:p>
        </w:tc>
      </w:tr>
      <w:tr w:rsidR="004B0883" w14:paraId="36A98404" w14:textId="77777777">
        <w:trPr>
          <w:trHeight w:val="397"/>
          <w:jc w:val="center"/>
        </w:trPr>
        <w:tc>
          <w:tcPr>
            <w:tcW w:w="985" w:type="pct"/>
            <w:shd w:val="clear" w:color="auto" w:fill="D9D9D9"/>
            <w:tcMar>
              <w:top w:w="0" w:type="dxa"/>
              <w:bottom w:w="0" w:type="dxa"/>
            </w:tcMar>
            <w:vAlign w:val="center"/>
          </w:tcPr>
          <w:p w14:paraId="164242A7" w14:textId="77777777" w:rsidR="004B0883" w:rsidRDefault="004B0883">
            <w:pPr>
              <w:widowControl w:val="0"/>
              <w:adjustRightInd w:val="0"/>
              <w:snapToGrid w:val="0"/>
              <w:jc w:val="center"/>
              <w:rPr>
                <w:b/>
                <w:bCs/>
              </w:rPr>
            </w:pPr>
            <w:r>
              <w:rPr>
                <w:b/>
                <w:bCs/>
              </w:rPr>
              <w:t>公司类型</w:t>
            </w:r>
          </w:p>
        </w:tc>
        <w:tc>
          <w:tcPr>
            <w:tcW w:w="4015" w:type="pct"/>
            <w:tcMar>
              <w:top w:w="0" w:type="dxa"/>
              <w:bottom w:w="0" w:type="dxa"/>
            </w:tcMar>
            <w:vAlign w:val="center"/>
          </w:tcPr>
          <w:p w14:paraId="0703C502" w14:textId="77777777" w:rsidR="004B0883" w:rsidRDefault="004B0883">
            <w:pPr>
              <w:widowControl w:val="0"/>
              <w:adjustRightInd w:val="0"/>
              <w:snapToGrid w:val="0"/>
              <w:jc w:val="center"/>
            </w:pPr>
            <w:r>
              <w:t>境外</w:t>
            </w:r>
            <w:r>
              <w:rPr>
                <w:rFonts w:hint="eastAsia"/>
              </w:rPr>
              <w:t>全资子</w:t>
            </w:r>
            <w:r>
              <w:t>公司</w:t>
            </w:r>
          </w:p>
        </w:tc>
      </w:tr>
      <w:tr w:rsidR="004B0883" w14:paraId="3A528DEE" w14:textId="77777777">
        <w:trPr>
          <w:trHeight w:val="397"/>
          <w:jc w:val="center"/>
        </w:trPr>
        <w:tc>
          <w:tcPr>
            <w:tcW w:w="985" w:type="pct"/>
            <w:shd w:val="clear" w:color="auto" w:fill="D9D9D9"/>
            <w:tcMar>
              <w:top w:w="0" w:type="dxa"/>
              <w:bottom w:w="0" w:type="dxa"/>
            </w:tcMar>
            <w:vAlign w:val="center"/>
          </w:tcPr>
          <w:p w14:paraId="203A6053" w14:textId="77777777" w:rsidR="004B0883" w:rsidRDefault="004B0883">
            <w:pPr>
              <w:widowControl w:val="0"/>
              <w:adjustRightInd w:val="0"/>
              <w:snapToGrid w:val="0"/>
              <w:jc w:val="center"/>
              <w:rPr>
                <w:b/>
                <w:bCs/>
              </w:rPr>
            </w:pPr>
            <w:r>
              <w:rPr>
                <w:b/>
                <w:bCs/>
              </w:rPr>
              <w:t>注册资本</w:t>
            </w:r>
          </w:p>
        </w:tc>
        <w:tc>
          <w:tcPr>
            <w:tcW w:w="4015" w:type="pct"/>
            <w:tcMar>
              <w:top w:w="0" w:type="dxa"/>
              <w:bottom w:w="0" w:type="dxa"/>
            </w:tcMar>
            <w:vAlign w:val="center"/>
          </w:tcPr>
          <w:p w14:paraId="7A8E25F1" w14:textId="77777777" w:rsidR="004B0883" w:rsidRDefault="004B0883">
            <w:pPr>
              <w:widowControl w:val="0"/>
              <w:adjustRightInd w:val="0"/>
              <w:snapToGrid w:val="0"/>
              <w:jc w:val="center"/>
            </w:pPr>
            <w:r>
              <w:rPr>
                <w:rFonts w:hint="eastAsia"/>
              </w:rPr>
              <w:t>100</w:t>
            </w:r>
            <w:r>
              <w:rPr>
                <w:rFonts w:hint="eastAsia"/>
              </w:rPr>
              <w:t>英镑</w:t>
            </w:r>
          </w:p>
        </w:tc>
      </w:tr>
      <w:tr w:rsidR="004B0883" w14:paraId="0A1C5B25" w14:textId="77777777">
        <w:trPr>
          <w:trHeight w:val="397"/>
          <w:jc w:val="center"/>
        </w:trPr>
        <w:tc>
          <w:tcPr>
            <w:tcW w:w="985" w:type="pct"/>
            <w:shd w:val="clear" w:color="auto" w:fill="D9D9D9"/>
            <w:tcMar>
              <w:top w:w="0" w:type="dxa"/>
              <w:bottom w:w="0" w:type="dxa"/>
            </w:tcMar>
            <w:vAlign w:val="center"/>
          </w:tcPr>
          <w:p w14:paraId="0C1BB536" w14:textId="77777777" w:rsidR="004B0883" w:rsidRDefault="004B0883">
            <w:pPr>
              <w:widowControl w:val="0"/>
              <w:adjustRightInd w:val="0"/>
              <w:snapToGrid w:val="0"/>
              <w:jc w:val="center"/>
              <w:rPr>
                <w:b/>
                <w:bCs/>
              </w:rPr>
            </w:pPr>
            <w:r>
              <w:rPr>
                <w:b/>
                <w:bCs/>
              </w:rPr>
              <w:t>公司住所</w:t>
            </w:r>
          </w:p>
        </w:tc>
        <w:tc>
          <w:tcPr>
            <w:tcW w:w="4015" w:type="pct"/>
            <w:tcMar>
              <w:top w:w="0" w:type="dxa"/>
              <w:bottom w:w="0" w:type="dxa"/>
            </w:tcMar>
            <w:vAlign w:val="center"/>
          </w:tcPr>
          <w:p w14:paraId="1E03929D" w14:textId="77777777" w:rsidR="004B0883" w:rsidRDefault="004B0883">
            <w:pPr>
              <w:widowControl w:val="0"/>
              <w:adjustRightInd w:val="0"/>
              <w:snapToGrid w:val="0"/>
              <w:jc w:val="center"/>
            </w:pPr>
            <w:r>
              <w:rPr>
                <w:rFonts w:hint="eastAsia"/>
              </w:rPr>
              <w:t>20-22 Wenlock Road, London, England, N1 7GU</w:t>
            </w:r>
          </w:p>
        </w:tc>
      </w:tr>
      <w:tr w:rsidR="004B0883" w14:paraId="1E408779" w14:textId="77777777">
        <w:trPr>
          <w:trHeight w:val="397"/>
          <w:jc w:val="center"/>
        </w:trPr>
        <w:tc>
          <w:tcPr>
            <w:tcW w:w="985" w:type="pct"/>
            <w:shd w:val="clear" w:color="auto" w:fill="D9D9D9"/>
            <w:tcMar>
              <w:top w:w="0" w:type="dxa"/>
              <w:bottom w:w="0" w:type="dxa"/>
            </w:tcMar>
            <w:vAlign w:val="center"/>
          </w:tcPr>
          <w:p w14:paraId="7CE14034" w14:textId="77777777" w:rsidR="004B0883" w:rsidRDefault="004B0883">
            <w:pPr>
              <w:widowControl w:val="0"/>
              <w:adjustRightInd w:val="0"/>
              <w:snapToGrid w:val="0"/>
              <w:jc w:val="center"/>
              <w:rPr>
                <w:b/>
                <w:bCs/>
              </w:rPr>
            </w:pPr>
            <w:r>
              <w:rPr>
                <w:b/>
                <w:bCs/>
              </w:rPr>
              <w:t>成立日期</w:t>
            </w:r>
          </w:p>
        </w:tc>
        <w:tc>
          <w:tcPr>
            <w:tcW w:w="4015" w:type="pct"/>
            <w:tcMar>
              <w:top w:w="0" w:type="dxa"/>
              <w:bottom w:w="0" w:type="dxa"/>
            </w:tcMar>
            <w:vAlign w:val="center"/>
          </w:tcPr>
          <w:p w14:paraId="6868F9B5" w14:textId="77777777" w:rsidR="004B0883" w:rsidRDefault="004B0883">
            <w:pPr>
              <w:widowControl w:val="0"/>
              <w:adjustRightInd w:val="0"/>
              <w:snapToGrid w:val="0"/>
              <w:jc w:val="center"/>
            </w:pPr>
            <w:r>
              <w:t>2009</w:t>
            </w:r>
            <w:r>
              <w:rPr>
                <w:rFonts w:hint="eastAsia"/>
              </w:rPr>
              <w:t>年</w:t>
            </w:r>
            <w:r>
              <w:rPr>
                <w:rFonts w:hint="eastAsia"/>
              </w:rPr>
              <w:t>4</w:t>
            </w:r>
            <w:r>
              <w:rPr>
                <w:rFonts w:hint="eastAsia"/>
              </w:rPr>
              <w:t>月</w:t>
            </w:r>
            <w:r>
              <w:t>27</w:t>
            </w:r>
            <w:r>
              <w:rPr>
                <w:rFonts w:hint="eastAsia"/>
              </w:rPr>
              <w:t>日</w:t>
            </w:r>
          </w:p>
        </w:tc>
      </w:tr>
      <w:tr w:rsidR="004B0883" w14:paraId="521627E3" w14:textId="77777777">
        <w:trPr>
          <w:trHeight w:val="397"/>
          <w:jc w:val="center"/>
        </w:trPr>
        <w:tc>
          <w:tcPr>
            <w:tcW w:w="985" w:type="pct"/>
            <w:shd w:val="clear" w:color="auto" w:fill="D9D9D9"/>
            <w:tcMar>
              <w:top w:w="0" w:type="dxa"/>
              <w:bottom w:w="0" w:type="dxa"/>
            </w:tcMar>
            <w:vAlign w:val="center"/>
          </w:tcPr>
          <w:p w14:paraId="2C99E3F5" w14:textId="77777777" w:rsidR="004B0883" w:rsidRDefault="004B0883">
            <w:pPr>
              <w:widowControl w:val="0"/>
              <w:adjustRightInd w:val="0"/>
              <w:snapToGrid w:val="0"/>
              <w:jc w:val="center"/>
              <w:rPr>
                <w:rFonts w:hint="eastAsia"/>
                <w:b/>
                <w:bCs/>
              </w:rPr>
            </w:pPr>
            <w:r>
              <w:rPr>
                <w:rFonts w:hint="eastAsia"/>
                <w:b/>
                <w:bCs/>
              </w:rPr>
              <w:t>主营业务</w:t>
            </w:r>
          </w:p>
        </w:tc>
        <w:tc>
          <w:tcPr>
            <w:tcW w:w="4015" w:type="pct"/>
            <w:tcMar>
              <w:top w:w="0" w:type="dxa"/>
              <w:bottom w:w="0" w:type="dxa"/>
            </w:tcMar>
            <w:vAlign w:val="center"/>
          </w:tcPr>
          <w:p w14:paraId="26CAEDEB" w14:textId="77777777" w:rsidR="004B0883" w:rsidRDefault="004B0883">
            <w:pPr>
              <w:widowControl w:val="0"/>
              <w:adjustRightInd w:val="0"/>
              <w:snapToGrid w:val="0"/>
              <w:jc w:val="center"/>
            </w:pPr>
            <w:r>
              <w:rPr>
                <w:rFonts w:hint="eastAsia"/>
              </w:rPr>
              <w:t>本公司阀门产品的海外销售与品牌推广</w:t>
            </w:r>
          </w:p>
        </w:tc>
      </w:tr>
    </w:tbl>
    <w:p w14:paraId="37050F4D" w14:textId="77777777" w:rsidR="004B0883" w:rsidRDefault="004B0883">
      <w:pPr>
        <w:keepNext/>
        <w:keepLines/>
        <w:spacing w:beforeLines="50" w:before="120" w:afterLines="50" w:after="120" w:line="360" w:lineRule="auto"/>
        <w:ind w:firstLineChars="200" w:firstLine="482"/>
        <w:jc w:val="both"/>
        <w:outlineLvl w:val="3"/>
        <w:rPr>
          <w:rFonts w:hint="eastAsia"/>
          <w:b/>
          <w:bCs/>
          <w:sz w:val="24"/>
          <w:szCs w:val="28"/>
        </w:rPr>
      </w:pPr>
      <w:r>
        <w:rPr>
          <w:b/>
          <w:bCs/>
          <w:sz w:val="24"/>
          <w:szCs w:val="28"/>
        </w:rPr>
        <w:t>2</w:t>
      </w:r>
      <w:r>
        <w:rPr>
          <w:rFonts w:hint="eastAsia"/>
          <w:b/>
          <w:bCs/>
          <w:sz w:val="24"/>
          <w:szCs w:val="28"/>
        </w:rPr>
        <w:t>、香港伟隆</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68"/>
        <w:gridCol w:w="6412"/>
      </w:tblGrid>
      <w:tr w:rsidR="004B0883" w14:paraId="33AE6A59" w14:textId="77777777">
        <w:trPr>
          <w:trHeight w:val="397"/>
          <w:jc w:val="center"/>
        </w:trPr>
        <w:tc>
          <w:tcPr>
            <w:tcW w:w="1128" w:type="pct"/>
            <w:shd w:val="clear" w:color="auto" w:fill="D9D9D9"/>
            <w:tcMar>
              <w:top w:w="0" w:type="dxa"/>
              <w:bottom w:w="0" w:type="dxa"/>
            </w:tcMar>
            <w:vAlign w:val="center"/>
          </w:tcPr>
          <w:p w14:paraId="5828BCA9" w14:textId="77777777" w:rsidR="004B0883" w:rsidRDefault="004B0883">
            <w:pPr>
              <w:widowControl w:val="0"/>
              <w:adjustRightInd w:val="0"/>
              <w:snapToGrid w:val="0"/>
              <w:jc w:val="center"/>
              <w:rPr>
                <w:b/>
                <w:bCs/>
              </w:rPr>
            </w:pPr>
            <w:r>
              <w:rPr>
                <w:b/>
                <w:bCs/>
              </w:rPr>
              <w:t>公司名称</w:t>
            </w:r>
          </w:p>
        </w:tc>
        <w:tc>
          <w:tcPr>
            <w:tcW w:w="3872" w:type="pct"/>
            <w:tcMar>
              <w:top w:w="0" w:type="dxa"/>
              <w:bottom w:w="0" w:type="dxa"/>
            </w:tcMar>
            <w:vAlign w:val="center"/>
          </w:tcPr>
          <w:p w14:paraId="2DDA885F" w14:textId="77777777" w:rsidR="004B0883" w:rsidRDefault="004B0883">
            <w:pPr>
              <w:widowControl w:val="0"/>
              <w:adjustRightInd w:val="0"/>
              <w:snapToGrid w:val="0"/>
              <w:jc w:val="center"/>
            </w:pPr>
            <w:r>
              <w:rPr>
                <w:rFonts w:hint="eastAsia"/>
              </w:rPr>
              <w:t>伟隆（香港）实业有限公司</w:t>
            </w:r>
          </w:p>
        </w:tc>
      </w:tr>
      <w:tr w:rsidR="004B0883" w14:paraId="16E25D39" w14:textId="77777777">
        <w:trPr>
          <w:trHeight w:val="397"/>
          <w:jc w:val="center"/>
        </w:trPr>
        <w:tc>
          <w:tcPr>
            <w:tcW w:w="1128" w:type="pct"/>
            <w:shd w:val="clear" w:color="auto" w:fill="D9D9D9"/>
            <w:tcMar>
              <w:top w:w="0" w:type="dxa"/>
              <w:bottom w:w="0" w:type="dxa"/>
            </w:tcMar>
            <w:vAlign w:val="center"/>
          </w:tcPr>
          <w:p w14:paraId="453296E6" w14:textId="77777777" w:rsidR="004B0883" w:rsidRDefault="004B0883">
            <w:pPr>
              <w:widowControl w:val="0"/>
              <w:adjustRightInd w:val="0"/>
              <w:snapToGrid w:val="0"/>
              <w:jc w:val="center"/>
              <w:rPr>
                <w:b/>
                <w:bCs/>
              </w:rPr>
            </w:pPr>
            <w:r>
              <w:rPr>
                <w:b/>
                <w:bCs/>
              </w:rPr>
              <w:t>公司</w:t>
            </w:r>
            <w:r>
              <w:rPr>
                <w:rFonts w:hint="eastAsia"/>
                <w:b/>
                <w:bCs/>
              </w:rPr>
              <w:t>类型</w:t>
            </w:r>
          </w:p>
        </w:tc>
        <w:tc>
          <w:tcPr>
            <w:tcW w:w="3872" w:type="pct"/>
            <w:tcMar>
              <w:top w:w="0" w:type="dxa"/>
              <w:bottom w:w="0" w:type="dxa"/>
            </w:tcMar>
            <w:vAlign w:val="center"/>
          </w:tcPr>
          <w:p w14:paraId="40D3C2BB" w14:textId="77777777" w:rsidR="004B0883" w:rsidRDefault="004B0883">
            <w:pPr>
              <w:widowControl w:val="0"/>
              <w:adjustRightInd w:val="0"/>
              <w:snapToGrid w:val="0"/>
              <w:jc w:val="center"/>
            </w:pPr>
            <w:r>
              <w:rPr>
                <w:rFonts w:hint="eastAsia"/>
              </w:rPr>
              <w:t>境外全资子公司</w:t>
            </w:r>
          </w:p>
        </w:tc>
      </w:tr>
      <w:tr w:rsidR="004B0883" w14:paraId="7CA415CB" w14:textId="77777777">
        <w:trPr>
          <w:trHeight w:val="397"/>
          <w:jc w:val="center"/>
        </w:trPr>
        <w:tc>
          <w:tcPr>
            <w:tcW w:w="1128" w:type="pct"/>
            <w:shd w:val="clear" w:color="auto" w:fill="D9D9D9"/>
            <w:tcMar>
              <w:top w:w="0" w:type="dxa"/>
              <w:bottom w:w="0" w:type="dxa"/>
            </w:tcMar>
            <w:vAlign w:val="center"/>
          </w:tcPr>
          <w:p w14:paraId="051F0CA8" w14:textId="77777777" w:rsidR="004B0883" w:rsidRDefault="004B0883">
            <w:pPr>
              <w:widowControl w:val="0"/>
              <w:adjustRightInd w:val="0"/>
              <w:snapToGrid w:val="0"/>
              <w:jc w:val="center"/>
              <w:rPr>
                <w:b/>
                <w:bCs/>
              </w:rPr>
            </w:pPr>
            <w:r>
              <w:rPr>
                <w:rFonts w:hint="eastAsia"/>
                <w:b/>
                <w:bCs/>
              </w:rPr>
              <w:t>注册资本</w:t>
            </w:r>
          </w:p>
        </w:tc>
        <w:tc>
          <w:tcPr>
            <w:tcW w:w="3872" w:type="pct"/>
            <w:tcMar>
              <w:top w:w="0" w:type="dxa"/>
              <w:bottom w:w="0" w:type="dxa"/>
            </w:tcMar>
            <w:vAlign w:val="center"/>
          </w:tcPr>
          <w:p w14:paraId="13353E4F" w14:textId="77777777" w:rsidR="004B0883" w:rsidRDefault="004B0883">
            <w:pPr>
              <w:widowControl w:val="0"/>
              <w:adjustRightInd w:val="0"/>
              <w:snapToGrid w:val="0"/>
              <w:jc w:val="center"/>
            </w:pPr>
            <w:r>
              <w:rPr>
                <w:rFonts w:hint="eastAsia"/>
              </w:rPr>
              <w:t>5</w:t>
            </w:r>
            <w:r>
              <w:rPr>
                <w:rFonts w:hint="eastAsia"/>
              </w:rPr>
              <w:t>万美元</w:t>
            </w:r>
          </w:p>
        </w:tc>
      </w:tr>
      <w:tr w:rsidR="004B0883" w14:paraId="5A7A138E" w14:textId="77777777">
        <w:trPr>
          <w:trHeight w:val="397"/>
          <w:jc w:val="center"/>
        </w:trPr>
        <w:tc>
          <w:tcPr>
            <w:tcW w:w="1128" w:type="pct"/>
            <w:shd w:val="clear" w:color="auto" w:fill="D9D9D9"/>
            <w:tcMar>
              <w:top w:w="0" w:type="dxa"/>
              <w:bottom w:w="0" w:type="dxa"/>
            </w:tcMar>
            <w:vAlign w:val="center"/>
          </w:tcPr>
          <w:p w14:paraId="3DE4F652" w14:textId="77777777" w:rsidR="004B0883" w:rsidRDefault="004B0883">
            <w:pPr>
              <w:widowControl w:val="0"/>
              <w:adjustRightInd w:val="0"/>
              <w:snapToGrid w:val="0"/>
              <w:jc w:val="center"/>
              <w:rPr>
                <w:b/>
                <w:bCs/>
              </w:rPr>
            </w:pPr>
            <w:r>
              <w:rPr>
                <w:rFonts w:hint="eastAsia"/>
                <w:b/>
                <w:bCs/>
              </w:rPr>
              <w:t>公司住所</w:t>
            </w:r>
          </w:p>
        </w:tc>
        <w:tc>
          <w:tcPr>
            <w:tcW w:w="3872" w:type="pct"/>
            <w:tcMar>
              <w:top w:w="0" w:type="dxa"/>
              <w:bottom w:w="0" w:type="dxa"/>
            </w:tcMar>
            <w:vAlign w:val="center"/>
          </w:tcPr>
          <w:p w14:paraId="13CA7F15" w14:textId="77777777" w:rsidR="004B0883" w:rsidRDefault="004B0883">
            <w:pPr>
              <w:widowControl w:val="0"/>
              <w:adjustRightInd w:val="0"/>
              <w:snapToGrid w:val="0"/>
              <w:jc w:val="center"/>
            </w:pPr>
            <w:r>
              <w:rPr>
                <w:rFonts w:hint="eastAsia"/>
              </w:rPr>
              <w:t>香港湾仔湾仔道</w:t>
            </w:r>
            <w:r>
              <w:rPr>
                <w:rFonts w:hint="eastAsia"/>
              </w:rPr>
              <w:t>165-171</w:t>
            </w:r>
            <w:r>
              <w:rPr>
                <w:rFonts w:hint="eastAsia"/>
              </w:rPr>
              <w:t>号乐基中心</w:t>
            </w:r>
            <w:r>
              <w:rPr>
                <w:rFonts w:hint="eastAsia"/>
              </w:rPr>
              <w:t>4</w:t>
            </w:r>
            <w:r>
              <w:rPr>
                <w:rFonts w:hint="eastAsia"/>
              </w:rPr>
              <w:t>楼</w:t>
            </w:r>
            <w:r>
              <w:rPr>
                <w:rFonts w:hint="eastAsia"/>
              </w:rPr>
              <w:t>413</w:t>
            </w:r>
            <w:r>
              <w:rPr>
                <w:rFonts w:hint="eastAsia"/>
              </w:rPr>
              <w:t>室</w:t>
            </w:r>
          </w:p>
        </w:tc>
      </w:tr>
      <w:tr w:rsidR="004B0883" w14:paraId="7E134F97" w14:textId="77777777">
        <w:trPr>
          <w:trHeight w:val="397"/>
          <w:jc w:val="center"/>
        </w:trPr>
        <w:tc>
          <w:tcPr>
            <w:tcW w:w="1128" w:type="pct"/>
            <w:shd w:val="clear" w:color="auto" w:fill="D9D9D9"/>
            <w:tcMar>
              <w:top w:w="0" w:type="dxa"/>
              <w:bottom w:w="0" w:type="dxa"/>
            </w:tcMar>
            <w:vAlign w:val="center"/>
          </w:tcPr>
          <w:p w14:paraId="184D2101" w14:textId="77777777" w:rsidR="004B0883" w:rsidRDefault="004B0883">
            <w:pPr>
              <w:widowControl w:val="0"/>
              <w:adjustRightInd w:val="0"/>
              <w:snapToGrid w:val="0"/>
              <w:jc w:val="center"/>
              <w:rPr>
                <w:rFonts w:hint="eastAsia"/>
                <w:b/>
                <w:bCs/>
              </w:rPr>
            </w:pPr>
            <w:r>
              <w:rPr>
                <w:rFonts w:hint="eastAsia"/>
                <w:b/>
                <w:bCs/>
              </w:rPr>
              <w:t>成立日期</w:t>
            </w:r>
          </w:p>
        </w:tc>
        <w:tc>
          <w:tcPr>
            <w:tcW w:w="3872" w:type="pct"/>
            <w:tcMar>
              <w:top w:w="0" w:type="dxa"/>
              <w:bottom w:w="0" w:type="dxa"/>
            </w:tcMar>
            <w:vAlign w:val="center"/>
          </w:tcPr>
          <w:p w14:paraId="61F7E4D9" w14:textId="77777777" w:rsidR="004B0883" w:rsidRDefault="004B0883">
            <w:pPr>
              <w:widowControl w:val="0"/>
              <w:adjustRightInd w:val="0"/>
              <w:snapToGrid w:val="0"/>
              <w:jc w:val="center"/>
              <w:rPr>
                <w:rFonts w:hint="eastAsia"/>
              </w:rPr>
            </w:pPr>
            <w:r>
              <w:rPr>
                <w:rFonts w:hint="eastAsia"/>
              </w:rPr>
              <w:t>2</w:t>
            </w:r>
            <w:r>
              <w:t>020</w:t>
            </w:r>
            <w:r>
              <w:rPr>
                <w:rFonts w:hint="eastAsia"/>
              </w:rPr>
              <w:t>年</w:t>
            </w:r>
            <w:r>
              <w:rPr>
                <w:rFonts w:hint="eastAsia"/>
              </w:rPr>
              <w:t>3</w:t>
            </w:r>
            <w:r>
              <w:rPr>
                <w:rFonts w:hint="eastAsia"/>
              </w:rPr>
              <w:t>月</w:t>
            </w:r>
            <w:r>
              <w:rPr>
                <w:rFonts w:hint="eastAsia"/>
              </w:rPr>
              <w:t>1</w:t>
            </w:r>
            <w:r>
              <w:t>7</w:t>
            </w:r>
            <w:r>
              <w:rPr>
                <w:rFonts w:hint="eastAsia"/>
              </w:rPr>
              <w:t>日</w:t>
            </w:r>
          </w:p>
        </w:tc>
      </w:tr>
      <w:tr w:rsidR="004B0883" w14:paraId="18F8873B" w14:textId="77777777">
        <w:trPr>
          <w:trHeight w:val="397"/>
          <w:jc w:val="center"/>
        </w:trPr>
        <w:tc>
          <w:tcPr>
            <w:tcW w:w="1128" w:type="pct"/>
            <w:shd w:val="clear" w:color="auto" w:fill="D9D9D9"/>
            <w:tcMar>
              <w:top w:w="0" w:type="dxa"/>
              <w:bottom w:w="0" w:type="dxa"/>
            </w:tcMar>
            <w:vAlign w:val="center"/>
          </w:tcPr>
          <w:p w14:paraId="45E1503D" w14:textId="77777777" w:rsidR="004B0883" w:rsidRDefault="004B0883">
            <w:pPr>
              <w:widowControl w:val="0"/>
              <w:adjustRightInd w:val="0"/>
              <w:snapToGrid w:val="0"/>
              <w:jc w:val="center"/>
              <w:rPr>
                <w:b/>
                <w:bCs/>
              </w:rPr>
            </w:pPr>
            <w:r>
              <w:rPr>
                <w:rFonts w:hint="eastAsia"/>
                <w:b/>
                <w:bCs/>
              </w:rPr>
              <w:t>主营业务</w:t>
            </w:r>
          </w:p>
        </w:tc>
        <w:tc>
          <w:tcPr>
            <w:tcW w:w="3872" w:type="pct"/>
            <w:tcMar>
              <w:top w:w="0" w:type="dxa"/>
              <w:bottom w:w="0" w:type="dxa"/>
            </w:tcMar>
            <w:vAlign w:val="center"/>
          </w:tcPr>
          <w:p w14:paraId="6FCFFBB7" w14:textId="77777777" w:rsidR="004B0883" w:rsidRDefault="004B0883">
            <w:pPr>
              <w:widowControl w:val="0"/>
              <w:adjustRightInd w:val="0"/>
              <w:snapToGrid w:val="0"/>
              <w:jc w:val="center"/>
            </w:pPr>
            <w:r>
              <w:rPr>
                <w:rFonts w:hint="eastAsia"/>
              </w:rPr>
              <w:t>自有资金投资、投资咨询、企业管理、企业咨询、货物和技术进出口</w:t>
            </w:r>
          </w:p>
        </w:tc>
      </w:tr>
    </w:tbl>
    <w:p w14:paraId="11689DB4" w14:textId="77777777" w:rsidR="004B0883" w:rsidRDefault="004B0883">
      <w:pPr>
        <w:keepNext/>
        <w:keepLines/>
        <w:spacing w:beforeLines="50" w:before="120" w:afterLines="50" w:after="120" w:line="360" w:lineRule="auto"/>
        <w:ind w:firstLineChars="200" w:firstLine="482"/>
        <w:jc w:val="both"/>
        <w:outlineLvl w:val="3"/>
        <w:rPr>
          <w:rFonts w:hint="eastAsia"/>
          <w:b/>
          <w:bCs/>
          <w:sz w:val="24"/>
          <w:szCs w:val="28"/>
        </w:rPr>
      </w:pPr>
      <w:r>
        <w:rPr>
          <w:b/>
          <w:bCs/>
          <w:sz w:val="24"/>
          <w:szCs w:val="28"/>
        </w:rPr>
        <w:t>3</w:t>
      </w:r>
      <w:r>
        <w:rPr>
          <w:rFonts w:hint="eastAsia"/>
          <w:b/>
          <w:bCs/>
          <w:sz w:val="24"/>
          <w:szCs w:val="28"/>
        </w:rPr>
        <w:t>、美国伟隆</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68"/>
        <w:gridCol w:w="6412"/>
      </w:tblGrid>
      <w:tr w:rsidR="004B0883" w14:paraId="3461C651" w14:textId="77777777">
        <w:trPr>
          <w:trHeight w:val="397"/>
          <w:jc w:val="center"/>
        </w:trPr>
        <w:tc>
          <w:tcPr>
            <w:tcW w:w="1128" w:type="pct"/>
            <w:shd w:val="clear" w:color="auto" w:fill="D9D9D9"/>
            <w:tcMar>
              <w:top w:w="0" w:type="dxa"/>
              <w:bottom w:w="0" w:type="dxa"/>
            </w:tcMar>
            <w:vAlign w:val="center"/>
          </w:tcPr>
          <w:p w14:paraId="7576CFDD" w14:textId="77777777" w:rsidR="004B0883" w:rsidRDefault="004B0883">
            <w:pPr>
              <w:widowControl w:val="0"/>
              <w:adjustRightInd w:val="0"/>
              <w:snapToGrid w:val="0"/>
              <w:jc w:val="center"/>
              <w:rPr>
                <w:b/>
                <w:bCs/>
              </w:rPr>
            </w:pPr>
            <w:r>
              <w:rPr>
                <w:b/>
                <w:bCs/>
              </w:rPr>
              <w:t>公司名称</w:t>
            </w:r>
          </w:p>
        </w:tc>
        <w:tc>
          <w:tcPr>
            <w:tcW w:w="3872" w:type="pct"/>
            <w:tcMar>
              <w:top w:w="0" w:type="dxa"/>
              <w:bottom w:w="0" w:type="dxa"/>
            </w:tcMar>
            <w:vAlign w:val="center"/>
          </w:tcPr>
          <w:p w14:paraId="6A114A71" w14:textId="77777777" w:rsidR="004B0883" w:rsidRDefault="004B0883">
            <w:pPr>
              <w:widowControl w:val="0"/>
              <w:adjustRightInd w:val="0"/>
              <w:snapToGrid w:val="0"/>
              <w:jc w:val="center"/>
            </w:pPr>
            <w:r>
              <w:t>WEFLO VALVE LLC</w:t>
            </w:r>
          </w:p>
        </w:tc>
      </w:tr>
      <w:tr w:rsidR="004B0883" w14:paraId="6A9E5C43" w14:textId="77777777">
        <w:trPr>
          <w:trHeight w:val="397"/>
          <w:jc w:val="center"/>
        </w:trPr>
        <w:tc>
          <w:tcPr>
            <w:tcW w:w="1128" w:type="pct"/>
            <w:shd w:val="clear" w:color="auto" w:fill="D9D9D9"/>
            <w:tcMar>
              <w:top w:w="0" w:type="dxa"/>
              <w:bottom w:w="0" w:type="dxa"/>
            </w:tcMar>
            <w:vAlign w:val="center"/>
          </w:tcPr>
          <w:p w14:paraId="2601CF2B" w14:textId="77777777" w:rsidR="004B0883" w:rsidRDefault="004B0883">
            <w:pPr>
              <w:widowControl w:val="0"/>
              <w:adjustRightInd w:val="0"/>
              <w:snapToGrid w:val="0"/>
              <w:jc w:val="center"/>
              <w:rPr>
                <w:b/>
                <w:bCs/>
              </w:rPr>
            </w:pPr>
            <w:r>
              <w:rPr>
                <w:b/>
                <w:bCs/>
              </w:rPr>
              <w:t>公司</w:t>
            </w:r>
            <w:r>
              <w:rPr>
                <w:rFonts w:hint="eastAsia"/>
                <w:b/>
                <w:bCs/>
              </w:rPr>
              <w:t>类型</w:t>
            </w:r>
          </w:p>
        </w:tc>
        <w:tc>
          <w:tcPr>
            <w:tcW w:w="3872" w:type="pct"/>
            <w:tcMar>
              <w:top w:w="0" w:type="dxa"/>
              <w:bottom w:w="0" w:type="dxa"/>
            </w:tcMar>
            <w:vAlign w:val="center"/>
          </w:tcPr>
          <w:p w14:paraId="2E7571E0" w14:textId="77777777" w:rsidR="004B0883" w:rsidRDefault="004B0883">
            <w:pPr>
              <w:widowControl w:val="0"/>
              <w:adjustRightInd w:val="0"/>
              <w:snapToGrid w:val="0"/>
              <w:jc w:val="center"/>
              <w:rPr>
                <w:rFonts w:hint="eastAsia"/>
              </w:rPr>
            </w:pPr>
            <w:r>
              <w:rPr>
                <w:rFonts w:hint="eastAsia"/>
              </w:rPr>
              <w:t>境外全资子公司</w:t>
            </w:r>
          </w:p>
        </w:tc>
      </w:tr>
      <w:tr w:rsidR="004B0883" w14:paraId="1454B10C" w14:textId="77777777">
        <w:trPr>
          <w:trHeight w:val="397"/>
          <w:jc w:val="center"/>
        </w:trPr>
        <w:tc>
          <w:tcPr>
            <w:tcW w:w="1128" w:type="pct"/>
            <w:shd w:val="clear" w:color="auto" w:fill="D9D9D9"/>
            <w:tcMar>
              <w:top w:w="0" w:type="dxa"/>
              <w:bottom w:w="0" w:type="dxa"/>
            </w:tcMar>
            <w:vAlign w:val="center"/>
          </w:tcPr>
          <w:p w14:paraId="584677E4" w14:textId="77777777" w:rsidR="004B0883" w:rsidRDefault="004B0883">
            <w:pPr>
              <w:widowControl w:val="0"/>
              <w:adjustRightInd w:val="0"/>
              <w:snapToGrid w:val="0"/>
              <w:jc w:val="center"/>
              <w:rPr>
                <w:b/>
                <w:bCs/>
              </w:rPr>
            </w:pPr>
            <w:r>
              <w:rPr>
                <w:rFonts w:hint="eastAsia"/>
                <w:b/>
                <w:bCs/>
              </w:rPr>
              <w:t>注册资本</w:t>
            </w:r>
          </w:p>
        </w:tc>
        <w:tc>
          <w:tcPr>
            <w:tcW w:w="3872" w:type="pct"/>
            <w:tcMar>
              <w:top w:w="0" w:type="dxa"/>
              <w:bottom w:w="0" w:type="dxa"/>
            </w:tcMar>
            <w:vAlign w:val="center"/>
          </w:tcPr>
          <w:p w14:paraId="227241D8" w14:textId="77777777" w:rsidR="004B0883" w:rsidRDefault="004B0883">
            <w:pPr>
              <w:widowControl w:val="0"/>
              <w:adjustRightInd w:val="0"/>
              <w:snapToGrid w:val="0"/>
              <w:jc w:val="center"/>
            </w:pPr>
            <w:r>
              <w:rPr>
                <w:rFonts w:hint="eastAsia"/>
              </w:rPr>
              <w:t>5</w:t>
            </w:r>
            <w:r>
              <w:rPr>
                <w:rFonts w:hint="eastAsia"/>
              </w:rPr>
              <w:t>万美元</w:t>
            </w:r>
          </w:p>
        </w:tc>
      </w:tr>
      <w:tr w:rsidR="004B0883" w14:paraId="4A507C01" w14:textId="77777777">
        <w:trPr>
          <w:trHeight w:val="397"/>
          <w:jc w:val="center"/>
        </w:trPr>
        <w:tc>
          <w:tcPr>
            <w:tcW w:w="1128" w:type="pct"/>
            <w:shd w:val="clear" w:color="auto" w:fill="D9D9D9"/>
            <w:tcMar>
              <w:top w:w="0" w:type="dxa"/>
              <w:bottom w:w="0" w:type="dxa"/>
            </w:tcMar>
            <w:vAlign w:val="center"/>
          </w:tcPr>
          <w:p w14:paraId="1018C7F8" w14:textId="77777777" w:rsidR="004B0883" w:rsidRDefault="004B0883">
            <w:pPr>
              <w:widowControl w:val="0"/>
              <w:adjustRightInd w:val="0"/>
              <w:snapToGrid w:val="0"/>
              <w:jc w:val="center"/>
              <w:rPr>
                <w:b/>
                <w:bCs/>
              </w:rPr>
            </w:pPr>
            <w:r>
              <w:rPr>
                <w:rFonts w:hint="eastAsia"/>
                <w:b/>
                <w:bCs/>
              </w:rPr>
              <w:t>公司住所</w:t>
            </w:r>
          </w:p>
        </w:tc>
        <w:tc>
          <w:tcPr>
            <w:tcW w:w="3872" w:type="pct"/>
            <w:tcMar>
              <w:top w:w="0" w:type="dxa"/>
              <w:bottom w:w="0" w:type="dxa"/>
            </w:tcMar>
            <w:vAlign w:val="center"/>
          </w:tcPr>
          <w:p w14:paraId="21BC27D3" w14:textId="77777777" w:rsidR="004B0883" w:rsidRDefault="004B0883">
            <w:pPr>
              <w:widowControl w:val="0"/>
              <w:adjustRightInd w:val="0"/>
              <w:snapToGrid w:val="0"/>
              <w:jc w:val="center"/>
            </w:pPr>
            <w:r>
              <w:t>16192 coastal Highway, Lewes</w:t>
            </w:r>
            <w:r>
              <w:rPr>
                <w:rStyle w:val="afff9"/>
                <w:rFonts w:hint="eastAsia"/>
              </w:rPr>
              <w:t>, Delaware</w:t>
            </w:r>
          </w:p>
        </w:tc>
      </w:tr>
      <w:tr w:rsidR="004B0883" w14:paraId="283BC234" w14:textId="77777777">
        <w:trPr>
          <w:trHeight w:val="397"/>
          <w:jc w:val="center"/>
        </w:trPr>
        <w:tc>
          <w:tcPr>
            <w:tcW w:w="1128" w:type="pct"/>
            <w:shd w:val="clear" w:color="auto" w:fill="D9D9D9"/>
            <w:tcMar>
              <w:top w:w="0" w:type="dxa"/>
              <w:bottom w:w="0" w:type="dxa"/>
            </w:tcMar>
            <w:vAlign w:val="center"/>
          </w:tcPr>
          <w:p w14:paraId="0CB20E9A" w14:textId="77777777" w:rsidR="004B0883" w:rsidRDefault="004B0883">
            <w:pPr>
              <w:widowControl w:val="0"/>
              <w:adjustRightInd w:val="0"/>
              <w:snapToGrid w:val="0"/>
              <w:jc w:val="center"/>
              <w:rPr>
                <w:b/>
                <w:bCs/>
              </w:rPr>
            </w:pPr>
            <w:r>
              <w:rPr>
                <w:rFonts w:hint="eastAsia"/>
                <w:b/>
                <w:bCs/>
              </w:rPr>
              <w:t>成立日期</w:t>
            </w:r>
          </w:p>
        </w:tc>
        <w:tc>
          <w:tcPr>
            <w:tcW w:w="3872" w:type="pct"/>
            <w:tcMar>
              <w:top w:w="0" w:type="dxa"/>
              <w:bottom w:w="0" w:type="dxa"/>
            </w:tcMar>
            <w:vAlign w:val="center"/>
          </w:tcPr>
          <w:p w14:paraId="25E6F46D" w14:textId="77777777" w:rsidR="004B0883" w:rsidRDefault="004B0883">
            <w:pPr>
              <w:widowControl w:val="0"/>
              <w:adjustRightInd w:val="0"/>
              <w:snapToGrid w:val="0"/>
              <w:jc w:val="center"/>
            </w:pPr>
            <w:r>
              <w:rPr>
                <w:rFonts w:hint="eastAsia"/>
              </w:rPr>
              <w:t>2</w:t>
            </w:r>
            <w:r>
              <w:t>014</w:t>
            </w:r>
            <w:r>
              <w:rPr>
                <w:rFonts w:hint="eastAsia"/>
              </w:rPr>
              <w:t>年</w:t>
            </w:r>
            <w:r>
              <w:rPr>
                <w:rFonts w:hint="eastAsia"/>
              </w:rPr>
              <w:t>3</w:t>
            </w:r>
            <w:r>
              <w:rPr>
                <w:rFonts w:hint="eastAsia"/>
              </w:rPr>
              <w:t>月</w:t>
            </w:r>
            <w:r>
              <w:rPr>
                <w:rFonts w:hint="eastAsia"/>
              </w:rPr>
              <w:t>1</w:t>
            </w:r>
            <w:r>
              <w:t>3</w:t>
            </w:r>
            <w:r>
              <w:rPr>
                <w:rFonts w:hint="eastAsia"/>
              </w:rPr>
              <w:t>日</w:t>
            </w:r>
          </w:p>
        </w:tc>
      </w:tr>
      <w:tr w:rsidR="004B0883" w14:paraId="6B47CE26" w14:textId="77777777">
        <w:trPr>
          <w:trHeight w:val="397"/>
          <w:jc w:val="center"/>
        </w:trPr>
        <w:tc>
          <w:tcPr>
            <w:tcW w:w="1128" w:type="pct"/>
            <w:shd w:val="clear" w:color="auto" w:fill="D9D9D9"/>
            <w:tcMar>
              <w:top w:w="0" w:type="dxa"/>
              <w:bottom w:w="0" w:type="dxa"/>
            </w:tcMar>
            <w:vAlign w:val="center"/>
          </w:tcPr>
          <w:p w14:paraId="17961F1B" w14:textId="77777777" w:rsidR="004B0883" w:rsidRDefault="004B0883">
            <w:pPr>
              <w:widowControl w:val="0"/>
              <w:adjustRightInd w:val="0"/>
              <w:snapToGrid w:val="0"/>
              <w:jc w:val="center"/>
              <w:rPr>
                <w:b/>
                <w:bCs/>
              </w:rPr>
            </w:pPr>
            <w:r>
              <w:rPr>
                <w:rFonts w:hint="eastAsia"/>
                <w:b/>
                <w:bCs/>
              </w:rPr>
              <w:t>主营业务</w:t>
            </w:r>
          </w:p>
        </w:tc>
        <w:tc>
          <w:tcPr>
            <w:tcW w:w="3872" w:type="pct"/>
            <w:tcMar>
              <w:top w:w="0" w:type="dxa"/>
              <w:bottom w:w="0" w:type="dxa"/>
            </w:tcMar>
            <w:vAlign w:val="center"/>
          </w:tcPr>
          <w:p w14:paraId="75341CF5" w14:textId="77777777" w:rsidR="004B0883" w:rsidRDefault="004B0883">
            <w:pPr>
              <w:widowControl w:val="0"/>
              <w:adjustRightInd w:val="0"/>
              <w:snapToGrid w:val="0"/>
              <w:jc w:val="center"/>
            </w:pPr>
            <w:r>
              <w:rPr>
                <w:rFonts w:hint="eastAsia"/>
              </w:rPr>
              <w:t>本公司阀门产品的海外销售与品牌推广</w:t>
            </w:r>
          </w:p>
        </w:tc>
      </w:tr>
    </w:tbl>
    <w:p w14:paraId="3CBC7E6B" w14:textId="77777777" w:rsidR="004B0883" w:rsidRDefault="004B0883">
      <w:pPr>
        <w:pStyle w:val="002"/>
        <w:spacing w:before="120" w:after="120"/>
        <w:rPr>
          <w:rFonts w:hint="eastAsia"/>
        </w:rPr>
      </w:pPr>
      <w:bookmarkStart w:id="288" w:name="_Toc152320801"/>
      <w:r>
        <w:rPr>
          <w:rFonts w:hint="eastAsia"/>
        </w:rPr>
        <w:t>十三、公司的股利分配情况</w:t>
      </w:r>
      <w:bookmarkEnd w:id="217"/>
      <w:bookmarkEnd w:id="218"/>
      <w:bookmarkEnd w:id="288"/>
    </w:p>
    <w:p w14:paraId="264A9707" w14:textId="77777777" w:rsidR="004B0883" w:rsidRDefault="004B0883">
      <w:pPr>
        <w:pStyle w:val="003"/>
        <w:spacing w:before="120" w:after="120"/>
        <w:rPr>
          <w:rFonts w:eastAsia="宋体" w:hint="eastAsia"/>
        </w:rPr>
      </w:pPr>
      <w:r>
        <w:rPr>
          <w:rFonts w:hint="eastAsia"/>
        </w:rPr>
        <w:t>（</w:t>
      </w:r>
      <w:r>
        <w:rPr>
          <w:rFonts w:eastAsia="宋体" w:hint="eastAsia"/>
        </w:rPr>
        <w:t>一）公司利润分配政策</w:t>
      </w:r>
    </w:p>
    <w:p w14:paraId="1690BE50" w14:textId="77777777" w:rsidR="004B0883" w:rsidRDefault="004B0883">
      <w:pPr>
        <w:pStyle w:val="005"/>
        <w:spacing w:before="120"/>
        <w:ind w:firstLine="480"/>
        <w:rPr>
          <w:rFonts w:hint="eastAsia"/>
        </w:rPr>
      </w:pPr>
      <w:r>
        <w:rPr>
          <w:rFonts w:hint="eastAsia"/>
        </w:rPr>
        <w:t>根据《公司法》《关于进一步落实上市公司现金分红有关事项的通知》《上市公司监管指引第</w:t>
      </w:r>
      <w:r>
        <w:rPr>
          <w:rFonts w:hint="eastAsia"/>
        </w:rPr>
        <w:t>3</w:t>
      </w:r>
      <w:r>
        <w:rPr>
          <w:rFonts w:hint="eastAsia"/>
        </w:rPr>
        <w:t>号——上市公司现金分红》等相关文件的要求，公司现行《公司章程》对利润分配政策进行了明确的规定，具体内容如下：</w:t>
      </w:r>
    </w:p>
    <w:p w14:paraId="49E1C393" w14:textId="77777777" w:rsidR="004B0883" w:rsidRDefault="004B0883">
      <w:pPr>
        <w:pStyle w:val="005"/>
        <w:spacing w:before="120"/>
        <w:ind w:firstLine="480"/>
        <w:rPr>
          <w:rFonts w:hint="eastAsia"/>
        </w:rPr>
      </w:pPr>
      <w:r>
        <w:rPr>
          <w:rFonts w:ascii="宋体" w:hAnsi="宋体" w:hint="eastAsia"/>
        </w:rPr>
        <w:t>“</w:t>
      </w:r>
      <w:r>
        <w:rPr>
          <w:rFonts w:hint="eastAsia"/>
        </w:rPr>
        <w:t>第一百五十七条</w:t>
      </w:r>
      <w:r>
        <w:rPr>
          <w:rFonts w:hint="eastAsia"/>
        </w:rPr>
        <w:t> </w:t>
      </w:r>
      <w:r>
        <w:rPr>
          <w:rFonts w:hint="eastAsia"/>
        </w:rPr>
        <w:t>公司股东大会对利润分配方案作出决议后，公司董事会须在股东大会召开后</w:t>
      </w:r>
      <w:r>
        <w:rPr>
          <w:rFonts w:hint="eastAsia"/>
        </w:rPr>
        <w:t>2</w:t>
      </w:r>
      <w:r>
        <w:rPr>
          <w:rFonts w:hint="eastAsia"/>
        </w:rPr>
        <w:t>个月内完成股利（或股份）的派发事项。</w:t>
      </w:r>
    </w:p>
    <w:p w14:paraId="7518C74D" w14:textId="77777777" w:rsidR="004B0883" w:rsidRDefault="004B0883">
      <w:pPr>
        <w:pStyle w:val="005"/>
        <w:spacing w:before="120"/>
        <w:ind w:firstLine="480"/>
        <w:rPr>
          <w:rFonts w:hint="eastAsia"/>
        </w:rPr>
      </w:pPr>
      <w:r>
        <w:rPr>
          <w:rFonts w:hint="eastAsia"/>
        </w:rPr>
        <w:t>第一百五十八条</w:t>
      </w:r>
      <w:r>
        <w:rPr>
          <w:rFonts w:hint="eastAsia"/>
        </w:rPr>
        <w:t xml:space="preserve"> </w:t>
      </w:r>
      <w:r>
        <w:rPr>
          <w:rFonts w:hint="eastAsia"/>
        </w:rPr>
        <w:t>公司利润分配政策为：</w:t>
      </w:r>
    </w:p>
    <w:p w14:paraId="52A2BA33" w14:textId="77777777" w:rsidR="004B0883" w:rsidRDefault="004B0883">
      <w:pPr>
        <w:pStyle w:val="005"/>
        <w:spacing w:before="120"/>
        <w:ind w:firstLine="480"/>
        <w:rPr>
          <w:rFonts w:hint="eastAsia"/>
        </w:rPr>
      </w:pPr>
      <w:r>
        <w:rPr>
          <w:rFonts w:hint="eastAsia"/>
        </w:rPr>
        <w:t>（一）公司利润分配的原则：</w:t>
      </w:r>
    </w:p>
    <w:p w14:paraId="47CE1FA7" w14:textId="77777777" w:rsidR="004B0883" w:rsidRDefault="004B0883">
      <w:pPr>
        <w:pStyle w:val="005"/>
        <w:spacing w:before="120"/>
        <w:ind w:firstLine="480"/>
        <w:rPr>
          <w:rFonts w:hint="eastAsia"/>
        </w:rPr>
      </w:pPr>
      <w:r>
        <w:rPr>
          <w:rFonts w:hint="eastAsia"/>
        </w:rPr>
        <w:t>公司的利润分配应重视对投资者的合理投资回报，并兼顾公司的长远及可持续发展，利润分配政策应保持连续性和稳定性，并符合法律、法规的相关规定；公司的利润分配不得超过累计可分配利润的范围，不得损害公司持续经营能力；公司应当以每三年为一个周期，制定明确的分红回报规划并报股东大会审议批准后执行；公司制定利润分配政策尤其是现金分红政策时，应当履行必要的决策程序；存在股东违规占用公司资金情况的，公司应当扣减该股东所分配的现金红利，以偿还其占用的资金；公司董事会和股东大会对利润分配政策的决策和论证过程中应当充分考虑独立董事和中小股东的意见。</w:t>
      </w:r>
    </w:p>
    <w:p w14:paraId="49A11D70" w14:textId="77777777" w:rsidR="004B0883" w:rsidRDefault="004B0883">
      <w:pPr>
        <w:pStyle w:val="005"/>
        <w:spacing w:before="120"/>
        <w:ind w:firstLine="480"/>
        <w:rPr>
          <w:rFonts w:hint="eastAsia"/>
        </w:rPr>
      </w:pPr>
      <w:r>
        <w:rPr>
          <w:rFonts w:hint="eastAsia"/>
        </w:rPr>
        <w:t>（二）利润分配的形式和期间间隔：</w:t>
      </w:r>
    </w:p>
    <w:p w14:paraId="44F32E60" w14:textId="77777777" w:rsidR="004B0883" w:rsidRDefault="004B0883">
      <w:pPr>
        <w:pStyle w:val="005"/>
        <w:spacing w:before="120"/>
        <w:ind w:firstLine="480"/>
        <w:rPr>
          <w:rFonts w:hint="eastAsia"/>
        </w:rPr>
      </w:pPr>
      <w:r>
        <w:rPr>
          <w:rFonts w:hint="eastAsia"/>
        </w:rPr>
        <w:t>公司采取现金、股票或者现金与股票相结合的方式进行利润分配。当公司符合本章程中规定的现金分红的条件时，应当采用现金分红进行利润分配。公司原则上每年度进行一次分红，公司董事会也可以根据公司的盈利情况和资金需求状况提议公司进行中期现金分红。</w:t>
      </w:r>
    </w:p>
    <w:p w14:paraId="4046E6CD" w14:textId="77777777" w:rsidR="004B0883" w:rsidRDefault="004B0883">
      <w:pPr>
        <w:pStyle w:val="005"/>
        <w:spacing w:before="120"/>
        <w:ind w:firstLine="480"/>
        <w:rPr>
          <w:rFonts w:hint="eastAsia"/>
        </w:rPr>
      </w:pPr>
      <w:r>
        <w:rPr>
          <w:rFonts w:hint="eastAsia"/>
        </w:rPr>
        <w:t>（三）利润分配的基数</w:t>
      </w:r>
    </w:p>
    <w:p w14:paraId="7B111CB6" w14:textId="77777777" w:rsidR="004B0883" w:rsidRDefault="004B0883">
      <w:pPr>
        <w:pStyle w:val="005"/>
        <w:spacing w:before="120"/>
        <w:ind w:firstLine="480"/>
        <w:rPr>
          <w:rFonts w:hint="eastAsia"/>
        </w:rPr>
      </w:pPr>
      <w:r>
        <w:rPr>
          <w:rFonts w:hint="eastAsia"/>
        </w:rPr>
        <w:t>公司应该按照合并会计报表、母公司会计报表中可供分配利润孰低、可用于转增的资本公积金孰低的原则来确定具体的分配比例。</w:t>
      </w:r>
    </w:p>
    <w:p w14:paraId="5A8774F1" w14:textId="77777777" w:rsidR="004B0883" w:rsidRDefault="004B0883">
      <w:pPr>
        <w:pStyle w:val="005"/>
        <w:spacing w:before="120"/>
        <w:ind w:firstLine="480"/>
        <w:rPr>
          <w:rFonts w:hint="eastAsia"/>
        </w:rPr>
      </w:pPr>
      <w:r>
        <w:rPr>
          <w:rFonts w:hint="eastAsia"/>
        </w:rPr>
        <w:t>（四）利润分配的条件和比例</w:t>
      </w:r>
    </w:p>
    <w:p w14:paraId="199E2116" w14:textId="77777777" w:rsidR="004B0883" w:rsidRDefault="004B0883">
      <w:pPr>
        <w:pStyle w:val="005"/>
        <w:spacing w:before="120"/>
        <w:ind w:firstLine="480"/>
        <w:rPr>
          <w:rFonts w:hint="eastAsia"/>
        </w:rPr>
      </w:pPr>
      <w:r>
        <w:rPr>
          <w:rFonts w:hint="eastAsia"/>
        </w:rPr>
        <w:t>1</w:t>
      </w:r>
      <w:r>
        <w:rPr>
          <w:rFonts w:hint="eastAsia"/>
        </w:rPr>
        <w:t>、现金分红的条件和比例</w:t>
      </w:r>
    </w:p>
    <w:p w14:paraId="6268132B" w14:textId="77777777" w:rsidR="004B0883" w:rsidRDefault="004B0883">
      <w:pPr>
        <w:pStyle w:val="005"/>
        <w:spacing w:before="120"/>
        <w:ind w:firstLine="480"/>
        <w:rPr>
          <w:rFonts w:hint="eastAsia"/>
        </w:rPr>
      </w:pPr>
      <w:r>
        <w:rPr>
          <w:rFonts w:hint="eastAsia"/>
        </w:rPr>
        <w:t>公司实施现金分红应当至少同时满足以下条件：</w:t>
      </w:r>
    </w:p>
    <w:p w14:paraId="4DB45214" w14:textId="77777777" w:rsidR="004B0883" w:rsidRDefault="004B0883">
      <w:pPr>
        <w:pStyle w:val="005"/>
        <w:spacing w:before="120"/>
        <w:ind w:firstLine="480"/>
        <w:rPr>
          <w:rFonts w:hint="eastAsia"/>
        </w:rPr>
      </w:pPr>
      <w:r>
        <w:rPr>
          <w:rFonts w:hint="eastAsia"/>
        </w:rPr>
        <w:t>（</w:t>
      </w:r>
      <w:r>
        <w:rPr>
          <w:rFonts w:hint="eastAsia"/>
        </w:rPr>
        <w:t>1</w:t>
      </w:r>
      <w:r>
        <w:rPr>
          <w:rFonts w:hint="eastAsia"/>
        </w:rPr>
        <w:t>）公司该年度实现盈利，且该年度实现的可分配利润（即公司弥补亏损、提取公积金后的税后利润）为正值；</w:t>
      </w:r>
    </w:p>
    <w:p w14:paraId="19BDB3F7" w14:textId="77777777" w:rsidR="004B0883" w:rsidRDefault="004B0883">
      <w:pPr>
        <w:pStyle w:val="005"/>
        <w:spacing w:before="120"/>
        <w:ind w:firstLine="480"/>
        <w:rPr>
          <w:rFonts w:hint="eastAsia"/>
        </w:rPr>
      </w:pPr>
      <w:r>
        <w:rPr>
          <w:rFonts w:hint="eastAsia"/>
        </w:rPr>
        <w:t>（</w:t>
      </w:r>
      <w:r>
        <w:rPr>
          <w:rFonts w:hint="eastAsia"/>
        </w:rPr>
        <w:t>2</w:t>
      </w:r>
      <w:r>
        <w:rPr>
          <w:rFonts w:hint="eastAsia"/>
        </w:rPr>
        <w:t>）审计机构对公司该年度财务报告出具标准无保留意见的审计报告；在上述条件同时满足时，公司应采取现金方式进行利润分配，公司单一年度以现金方式分配的利润不少于当年实现的可分配利润的</w:t>
      </w:r>
      <w:r>
        <w:rPr>
          <w:rFonts w:hint="eastAsia"/>
        </w:rPr>
        <w:t>10%</w:t>
      </w:r>
      <w:r>
        <w:rPr>
          <w:rFonts w:hint="eastAsia"/>
        </w:rPr>
        <w:t>，且公司最近三年以现金方式累计分配的利润不少于最近三年实现的年均可分配利润的</w:t>
      </w:r>
      <w:r>
        <w:rPr>
          <w:rFonts w:hint="eastAsia"/>
        </w:rPr>
        <w:t>30%</w:t>
      </w:r>
      <w:r>
        <w:rPr>
          <w:rFonts w:hint="eastAsia"/>
        </w:rPr>
        <w:t>。</w:t>
      </w:r>
    </w:p>
    <w:p w14:paraId="1DADD762" w14:textId="77777777" w:rsidR="004B0883" w:rsidRDefault="004B0883">
      <w:pPr>
        <w:pStyle w:val="005"/>
        <w:spacing w:before="120"/>
        <w:ind w:firstLine="480"/>
        <w:rPr>
          <w:rFonts w:hint="eastAsia"/>
        </w:rPr>
      </w:pPr>
      <w:r>
        <w:rPr>
          <w:rFonts w:hint="eastAsia"/>
        </w:rPr>
        <w:t>（</w:t>
      </w:r>
      <w:r>
        <w:rPr>
          <w:rFonts w:hint="eastAsia"/>
        </w:rPr>
        <w:t>3</w:t>
      </w:r>
      <w:r>
        <w:rPr>
          <w:rFonts w:hint="eastAsia"/>
        </w:rPr>
        <w:t>）公司董事会应当综合考虑所处行业特点、发展阶段、自身经营模式、盈利水平以及是否有重大资金支出安排等因素，区分下列情形，并按照公司章程规定的程序，提出差异化的现金分红政策：</w:t>
      </w:r>
    </w:p>
    <w:p w14:paraId="312C9D79" w14:textId="77777777" w:rsidR="004B0883" w:rsidRDefault="004B0883">
      <w:pPr>
        <w:pStyle w:val="005"/>
        <w:spacing w:before="120"/>
        <w:ind w:firstLine="480"/>
        <w:rPr>
          <w:rFonts w:hint="eastAsia"/>
        </w:rPr>
      </w:pPr>
      <w:r>
        <w:rPr>
          <w:rFonts w:hint="eastAsia"/>
        </w:rPr>
        <w:t>①公司发展阶段属成熟期且无重大资金支出安排的，进行利润分配时，现金分红在本次利润分配中所占比例最低应达到</w:t>
      </w:r>
      <w:r>
        <w:rPr>
          <w:rFonts w:hint="eastAsia"/>
        </w:rPr>
        <w:t>80%</w:t>
      </w:r>
      <w:r>
        <w:rPr>
          <w:rFonts w:hint="eastAsia"/>
        </w:rPr>
        <w:t>；</w:t>
      </w:r>
    </w:p>
    <w:p w14:paraId="17A200C1" w14:textId="77777777" w:rsidR="004B0883" w:rsidRDefault="004B0883">
      <w:pPr>
        <w:pStyle w:val="005"/>
        <w:spacing w:before="120"/>
        <w:ind w:firstLine="480"/>
        <w:rPr>
          <w:rFonts w:hint="eastAsia"/>
        </w:rPr>
      </w:pPr>
      <w:r>
        <w:rPr>
          <w:rFonts w:hint="eastAsia"/>
        </w:rPr>
        <w:t>②公司发展阶段属成熟期且有重大资金支出安排的，进行利润分配时，现金分红在本次利润分配中所占比例最低应达到</w:t>
      </w:r>
      <w:r>
        <w:rPr>
          <w:rFonts w:hint="eastAsia"/>
        </w:rPr>
        <w:t>40%</w:t>
      </w:r>
      <w:r>
        <w:rPr>
          <w:rFonts w:hint="eastAsia"/>
        </w:rPr>
        <w:t>；</w:t>
      </w:r>
    </w:p>
    <w:p w14:paraId="3D039EC4" w14:textId="77777777" w:rsidR="004B0883" w:rsidRDefault="004B0883">
      <w:pPr>
        <w:pStyle w:val="005"/>
        <w:spacing w:before="120"/>
        <w:ind w:firstLine="480"/>
        <w:rPr>
          <w:rFonts w:hint="eastAsia"/>
        </w:rPr>
      </w:pPr>
      <w:r>
        <w:rPr>
          <w:rFonts w:hint="eastAsia"/>
        </w:rPr>
        <w:t>③公司发展阶段属成长期且有重大资金支出安排的，进行利润分配时，现金分红在本次利润分配中所占比例最低应达到</w:t>
      </w:r>
      <w:r>
        <w:rPr>
          <w:rFonts w:hint="eastAsia"/>
        </w:rPr>
        <w:t>20%</w:t>
      </w:r>
      <w:r>
        <w:rPr>
          <w:rFonts w:hint="eastAsia"/>
        </w:rPr>
        <w:t>；公司发展阶段不易区分但有重大资金支出安排的，可以按照前项规定处理。</w:t>
      </w:r>
    </w:p>
    <w:p w14:paraId="4EEE96F3" w14:textId="77777777" w:rsidR="004B0883" w:rsidRDefault="004B0883">
      <w:pPr>
        <w:pStyle w:val="005"/>
        <w:spacing w:before="120"/>
        <w:ind w:firstLine="480"/>
        <w:rPr>
          <w:rFonts w:hint="eastAsia"/>
        </w:rPr>
      </w:pPr>
      <w:r>
        <w:rPr>
          <w:rFonts w:hint="eastAsia"/>
        </w:rPr>
        <w:t>2</w:t>
      </w:r>
      <w:r>
        <w:rPr>
          <w:rFonts w:hint="eastAsia"/>
        </w:rPr>
        <w:t>、股票股利的分配条件</w:t>
      </w:r>
    </w:p>
    <w:p w14:paraId="3221C8A3" w14:textId="77777777" w:rsidR="004B0883" w:rsidRDefault="004B0883">
      <w:pPr>
        <w:pStyle w:val="005"/>
        <w:spacing w:before="120"/>
        <w:ind w:firstLine="480"/>
        <w:rPr>
          <w:rFonts w:hint="eastAsia"/>
        </w:rPr>
      </w:pPr>
      <w:r>
        <w:rPr>
          <w:rFonts w:hint="eastAsia"/>
        </w:rPr>
        <w:t>在满足现金股利分配的条件下，若公司营业收入和净利润增长快速，且董事会认为公司股票价格与公司股本规模不匹配时，可以在满足上述现金股利分配的同时，提出股票股利分配预案。</w:t>
      </w:r>
    </w:p>
    <w:p w14:paraId="551ADF51" w14:textId="77777777" w:rsidR="004B0883" w:rsidRDefault="004B0883">
      <w:pPr>
        <w:pStyle w:val="005"/>
        <w:spacing w:before="120"/>
        <w:ind w:firstLine="480"/>
        <w:rPr>
          <w:rFonts w:hint="eastAsia"/>
        </w:rPr>
      </w:pPr>
      <w:r>
        <w:rPr>
          <w:rFonts w:hint="eastAsia"/>
        </w:rPr>
        <w:t>（五）利润分配的决策程序和机制</w:t>
      </w:r>
    </w:p>
    <w:p w14:paraId="02F618EC" w14:textId="77777777" w:rsidR="004B0883" w:rsidRDefault="004B0883">
      <w:pPr>
        <w:pStyle w:val="005"/>
        <w:spacing w:before="120"/>
        <w:ind w:firstLine="480"/>
        <w:rPr>
          <w:rFonts w:hint="eastAsia"/>
        </w:rPr>
      </w:pPr>
      <w:r>
        <w:rPr>
          <w:rFonts w:hint="eastAsia"/>
        </w:rPr>
        <w:t>1</w:t>
      </w:r>
      <w:r>
        <w:rPr>
          <w:rFonts w:hint="eastAsia"/>
        </w:rPr>
        <w:t>、公司的分红回报规划和利润分配的具体方案应由公司董事会制订，并在董事会审议通过后提交股东大会审议；</w:t>
      </w:r>
    </w:p>
    <w:p w14:paraId="3626B7D4" w14:textId="77777777" w:rsidR="004B0883" w:rsidRDefault="004B0883">
      <w:pPr>
        <w:pStyle w:val="005"/>
        <w:spacing w:before="120"/>
        <w:ind w:firstLine="480"/>
        <w:rPr>
          <w:rFonts w:hint="eastAsia"/>
        </w:rPr>
      </w:pPr>
      <w:r>
        <w:rPr>
          <w:rFonts w:hint="eastAsia"/>
        </w:rPr>
        <w:t>2</w:t>
      </w:r>
      <w:r>
        <w:rPr>
          <w:rFonts w:hint="eastAsia"/>
        </w:rPr>
        <w:t>、董事会在审议现金分红具体预案时，应当认真研究和论证公司现金分红的时机、条件和最低比例、调整的条件及其决策程序要求等事宜，独立董事应当发表明确意见；</w:t>
      </w:r>
    </w:p>
    <w:p w14:paraId="06670C4C" w14:textId="77777777" w:rsidR="004B0883" w:rsidRDefault="004B0883">
      <w:pPr>
        <w:pStyle w:val="005"/>
        <w:spacing w:before="120"/>
        <w:ind w:firstLine="480"/>
        <w:rPr>
          <w:rFonts w:hint="eastAsia"/>
        </w:rPr>
      </w:pPr>
      <w:r>
        <w:rPr>
          <w:rFonts w:hint="eastAsia"/>
        </w:rPr>
        <w:t>3</w:t>
      </w:r>
      <w:r>
        <w:rPr>
          <w:rFonts w:hint="eastAsia"/>
        </w:rPr>
        <w:t>、股东大会对现金分红具体方案进行审议时，应当通过多种渠道主动与股东特别是中小股东进行沟通和交流（包括但不限于电话、传真和邮件沟通，筹划投资者接待日或邀请中小股东参会等），充分听取中小股东的意见和诉求，并及时答复中小股东关心的问题；</w:t>
      </w:r>
    </w:p>
    <w:p w14:paraId="3A4F86A4" w14:textId="77777777" w:rsidR="004B0883" w:rsidRDefault="004B0883">
      <w:pPr>
        <w:pStyle w:val="005"/>
        <w:spacing w:before="120"/>
        <w:ind w:firstLine="480"/>
        <w:rPr>
          <w:rFonts w:hint="eastAsia"/>
        </w:rPr>
      </w:pPr>
      <w:r>
        <w:rPr>
          <w:rFonts w:hint="eastAsia"/>
        </w:rPr>
        <w:t>4</w:t>
      </w:r>
      <w:r>
        <w:rPr>
          <w:rFonts w:hint="eastAsia"/>
        </w:rPr>
        <w:t>、公司应当在年度报告中详细披露现金分红政策的制定及执行情况，并对以下事项进行专项说明：</w:t>
      </w:r>
    </w:p>
    <w:p w14:paraId="17ED22EA" w14:textId="77777777" w:rsidR="004B0883" w:rsidRDefault="004B0883">
      <w:pPr>
        <w:pStyle w:val="005"/>
        <w:spacing w:before="120"/>
        <w:ind w:firstLine="480"/>
        <w:rPr>
          <w:rFonts w:hint="eastAsia"/>
        </w:rPr>
      </w:pPr>
      <w:r>
        <w:rPr>
          <w:rFonts w:hint="eastAsia"/>
        </w:rPr>
        <w:t>（</w:t>
      </w:r>
      <w:r>
        <w:rPr>
          <w:rFonts w:hint="eastAsia"/>
        </w:rPr>
        <w:t>1</w:t>
      </w:r>
      <w:r>
        <w:rPr>
          <w:rFonts w:hint="eastAsia"/>
        </w:rPr>
        <w:t>）是否符合公司章程的规定或股东大会决议的要求；</w:t>
      </w:r>
    </w:p>
    <w:p w14:paraId="7F611C9B" w14:textId="77777777" w:rsidR="004B0883" w:rsidRDefault="004B0883">
      <w:pPr>
        <w:pStyle w:val="005"/>
        <w:spacing w:before="120"/>
        <w:ind w:firstLine="480"/>
        <w:rPr>
          <w:rFonts w:hint="eastAsia"/>
        </w:rPr>
      </w:pPr>
      <w:r>
        <w:rPr>
          <w:rFonts w:hint="eastAsia"/>
        </w:rPr>
        <w:t>（</w:t>
      </w:r>
      <w:r>
        <w:rPr>
          <w:rFonts w:hint="eastAsia"/>
        </w:rPr>
        <w:t>2</w:t>
      </w:r>
      <w:r>
        <w:rPr>
          <w:rFonts w:hint="eastAsia"/>
        </w:rPr>
        <w:t>）分红标准和比例是否明确和清晰；</w:t>
      </w:r>
    </w:p>
    <w:p w14:paraId="4B936FF4" w14:textId="77777777" w:rsidR="004B0883" w:rsidRDefault="004B0883">
      <w:pPr>
        <w:pStyle w:val="005"/>
        <w:spacing w:before="120"/>
        <w:ind w:firstLine="480"/>
        <w:rPr>
          <w:rFonts w:hint="eastAsia"/>
        </w:rPr>
      </w:pPr>
      <w:r>
        <w:rPr>
          <w:rFonts w:hint="eastAsia"/>
        </w:rPr>
        <w:t>（</w:t>
      </w:r>
      <w:r>
        <w:rPr>
          <w:rFonts w:hint="eastAsia"/>
        </w:rPr>
        <w:t>3</w:t>
      </w:r>
      <w:r>
        <w:rPr>
          <w:rFonts w:hint="eastAsia"/>
        </w:rPr>
        <w:t>）相关的决策程序和机制是否完备；</w:t>
      </w:r>
    </w:p>
    <w:p w14:paraId="723AB10A" w14:textId="77777777" w:rsidR="004B0883" w:rsidRDefault="004B0883">
      <w:pPr>
        <w:pStyle w:val="005"/>
        <w:spacing w:before="120"/>
        <w:ind w:firstLine="480"/>
        <w:rPr>
          <w:rFonts w:hint="eastAsia"/>
        </w:rPr>
      </w:pPr>
      <w:r>
        <w:rPr>
          <w:rFonts w:hint="eastAsia"/>
        </w:rPr>
        <w:t>（</w:t>
      </w:r>
      <w:r>
        <w:rPr>
          <w:rFonts w:hint="eastAsia"/>
        </w:rPr>
        <w:t>4</w:t>
      </w:r>
      <w:r>
        <w:rPr>
          <w:rFonts w:hint="eastAsia"/>
        </w:rPr>
        <w:t>）独立董事是否履职尽责并发挥了应有的作用；</w:t>
      </w:r>
    </w:p>
    <w:p w14:paraId="50A6BED3" w14:textId="77777777" w:rsidR="004B0883" w:rsidRDefault="004B0883">
      <w:pPr>
        <w:pStyle w:val="005"/>
        <w:spacing w:before="120"/>
        <w:ind w:firstLine="480"/>
        <w:rPr>
          <w:rFonts w:hint="eastAsia"/>
        </w:rPr>
      </w:pPr>
      <w:r>
        <w:rPr>
          <w:rFonts w:hint="eastAsia"/>
        </w:rPr>
        <w:t>（</w:t>
      </w:r>
      <w:r>
        <w:rPr>
          <w:rFonts w:hint="eastAsia"/>
        </w:rPr>
        <w:t>5</w:t>
      </w:r>
      <w:r>
        <w:rPr>
          <w:rFonts w:hint="eastAsia"/>
        </w:rPr>
        <w:t>）中小股东是否有充分表达意见和诉求的机会，中小股东的合法权益是否得到了充分保护；</w:t>
      </w:r>
    </w:p>
    <w:p w14:paraId="27F3779A" w14:textId="77777777" w:rsidR="004B0883" w:rsidRDefault="004B0883">
      <w:pPr>
        <w:pStyle w:val="005"/>
        <w:spacing w:before="120"/>
        <w:ind w:firstLine="480"/>
        <w:rPr>
          <w:rFonts w:hint="eastAsia"/>
        </w:rPr>
      </w:pPr>
      <w:r>
        <w:rPr>
          <w:rFonts w:hint="eastAsia"/>
        </w:rPr>
        <w:t>若公司在年度报告所在年度内对现金分红政策进行调整或变更的，应对调整或变更的条件及程序是否合规和透明进行说明。</w:t>
      </w:r>
    </w:p>
    <w:p w14:paraId="42400558" w14:textId="77777777" w:rsidR="004B0883" w:rsidRDefault="004B0883">
      <w:pPr>
        <w:pStyle w:val="005"/>
        <w:spacing w:before="120"/>
        <w:ind w:firstLine="480"/>
        <w:rPr>
          <w:rFonts w:hint="eastAsia"/>
        </w:rPr>
      </w:pPr>
      <w:r>
        <w:rPr>
          <w:rFonts w:hint="eastAsia"/>
        </w:rPr>
        <w:t>（六）利润分配政策调整的具体条件、决策程序和机制</w:t>
      </w:r>
    </w:p>
    <w:p w14:paraId="2D19D5DD" w14:textId="77777777" w:rsidR="004B0883" w:rsidRDefault="004B0883">
      <w:pPr>
        <w:pStyle w:val="005"/>
        <w:spacing w:before="120"/>
        <w:ind w:firstLine="480"/>
        <w:rPr>
          <w:rFonts w:hint="eastAsia"/>
        </w:rPr>
      </w:pPr>
      <w:r>
        <w:rPr>
          <w:rFonts w:hint="eastAsia"/>
        </w:rPr>
        <w:t>公司的利润分配政策不得随意变更。如因生产经营情况、投资规划、长期发展的需要，或者外部经营环境发生变化，确需调整上述利润分配政策的，应由董事会以保护股东利益为出发点、在不违反有关法律、法规、规范性文件规定的前提下，向股东大会提出利润分配政策的修改方案，并详细说明修改的原因；独立董事应对利润分配政策修改的合理性发表独立意见，监事会应当对董事会制订或修改利润分配政策进行审议；公司利润分配政策的调整需经出席股东大会的股东（包括股东代理人）所持表决权</w:t>
      </w:r>
      <w:r>
        <w:rPr>
          <w:rFonts w:hint="eastAsia"/>
        </w:rPr>
        <w:t>2/3</w:t>
      </w:r>
      <w:r>
        <w:rPr>
          <w:rFonts w:hint="eastAsia"/>
        </w:rPr>
        <w:t>以上通过后生效。</w:t>
      </w:r>
      <w:r>
        <w:rPr>
          <w:rFonts w:ascii="宋体" w:hAnsi="宋体" w:hint="eastAsia"/>
        </w:rPr>
        <w:t>”</w:t>
      </w:r>
    </w:p>
    <w:p w14:paraId="532E5168" w14:textId="77777777" w:rsidR="004B0883" w:rsidRDefault="004B0883">
      <w:pPr>
        <w:pStyle w:val="003"/>
        <w:spacing w:before="120" w:after="120"/>
        <w:rPr>
          <w:rFonts w:eastAsia="宋体" w:hint="eastAsia"/>
        </w:rPr>
      </w:pPr>
      <w:r>
        <w:rPr>
          <w:rFonts w:eastAsia="宋体" w:hint="eastAsia"/>
        </w:rPr>
        <w:t>（二）公司最近三年现金分红及未分配利润使用情况</w:t>
      </w:r>
    </w:p>
    <w:p w14:paraId="32F5DF9E" w14:textId="77777777" w:rsidR="004B0883" w:rsidRDefault="004B0883">
      <w:pPr>
        <w:pStyle w:val="004"/>
        <w:spacing w:before="120" w:after="120"/>
        <w:ind w:firstLine="482"/>
        <w:rPr>
          <w:rFonts w:hint="eastAsia"/>
        </w:rPr>
      </w:pPr>
      <w:r>
        <w:rPr>
          <w:rFonts w:hint="eastAsia"/>
        </w:rPr>
        <w:t>1</w:t>
      </w:r>
      <w:r>
        <w:rPr>
          <w:rFonts w:hint="eastAsia"/>
        </w:rPr>
        <w:t>、最近三年利润分配方案</w:t>
      </w:r>
    </w:p>
    <w:p w14:paraId="1D908C43" w14:textId="77777777" w:rsidR="004B0883" w:rsidRDefault="004B0883">
      <w:pPr>
        <w:spacing w:beforeLines="50" w:before="120" w:afterLines="50" w:after="120" w:line="360" w:lineRule="auto"/>
        <w:ind w:firstLineChars="200" w:firstLine="480"/>
        <w:jc w:val="both"/>
        <w:rPr>
          <w:kern w:val="0"/>
          <w:sz w:val="24"/>
          <w:szCs w:val="24"/>
        </w:rPr>
      </w:pPr>
      <w:r>
        <w:rPr>
          <w:rFonts w:hint="eastAsia"/>
          <w:kern w:val="0"/>
          <w:sz w:val="24"/>
          <w:szCs w:val="24"/>
        </w:rPr>
        <w:t>202</w:t>
      </w:r>
      <w:r>
        <w:rPr>
          <w:kern w:val="0"/>
          <w:sz w:val="24"/>
          <w:szCs w:val="24"/>
        </w:rPr>
        <w:t>3</w:t>
      </w:r>
      <w:r>
        <w:rPr>
          <w:rFonts w:hint="eastAsia"/>
          <w:kern w:val="0"/>
          <w:sz w:val="24"/>
          <w:szCs w:val="24"/>
        </w:rPr>
        <w:t>年</w:t>
      </w:r>
      <w:r>
        <w:rPr>
          <w:rFonts w:hint="eastAsia"/>
          <w:kern w:val="0"/>
          <w:sz w:val="24"/>
          <w:szCs w:val="24"/>
        </w:rPr>
        <w:t>4</w:t>
      </w:r>
      <w:r>
        <w:rPr>
          <w:rFonts w:hint="eastAsia"/>
          <w:kern w:val="0"/>
          <w:sz w:val="24"/>
          <w:szCs w:val="24"/>
        </w:rPr>
        <w:t>月</w:t>
      </w:r>
      <w:r>
        <w:rPr>
          <w:rFonts w:hint="eastAsia"/>
          <w:kern w:val="0"/>
          <w:sz w:val="24"/>
          <w:szCs w:val="24"/>
        </w:rPr>
        <w:t>1</w:t>
      </w:r>
      <w:r>
        <w:rPr>
          <w:kern w:val="0"/>
          <w:sz w:val="24"/>
          <w:szCs w:val="24"/>
        </w:rPr>
        <w:t>1</w:t>
      </w:r>
      <w:r>
        <w:rPr>
          <w:rFonts w:hint="eastAsia"/>
          <w:kern w:val="0"/>
          <w:sz w:val="24"/>
          <w:szCs w:val="24"/>
        </w:rPr>
        <w:t>日，公司召开</w:t>
      </w:r>
      <w:r>
        <w:rPr>
          <w:rFonts w:hint="eastAsia"/>
          <w:kern w:val="0"/>
          <w:sz w:val="24"/>
          <w:szCs w:val="24"/>
        </w:rPr>
        <w:t>202</w:t>
      </w:r>
      <w:r>
        <w:rPr>
          <w:kern w:val="0"/>
          <w:sz w:val="24"/>
          <w:szCs w:val="24"/>
        </w:rPr>
        <w:t>2</w:t>
      </w:r>
      <w:r>
        <w:rPr>
          <w:rFonts w:hint="eastAsia"/>
          <w:kern w:val="0"/>
          <w:sz w:val="24"/>
          <w:szCs w:val="24"/>
        </w:rPr>
        <w:t>年年度股东大会，审议通过了《关于</w:t>
      </w:r>
      <w:r>
        <w:rPr>
          <w:rFonts w:hint="eastAsia"/>
          <w:kern w:val="0"/>
          <w:sz w:val="24"/>
          <w:szCs w:val="24"/>
        </w:rPr>
        <w:t>2022</w:t>
      </w:r>
      <w:r>
        <w:rPr>
          <w:rFonts w:hint="eastAsia"/>
          <w:kern w:val="0"/>
          <w:sz w:val="24"/>
          <w:szCs w:val="24"/>
        </w:rPr>
        <w:t>年度利润分配及资本公积金转增股本预案的议案》，</w:t>
      </w:r>
      <w:r>
        <w:rPr>
          <w:rFonts w:ascii="宋体" w:hAnsi="宋体" w:cs="宋体"/>
          <w:kern w:val="0"/>
          <w:sz w:val="24"/>
          <w:szCs w:val="24"/>
        </w:rPr>
        <w:t>以</w:t>
      </w:r>
      <w:r>
        <w:rPr>
          <w:kern w:val="0"/>
          <w:sz w:val="24"/>
          <w:szCs w:val="24"/>
        </w:rPr>
        <w:t>2022</w:t>
      </w:r>
      <w:r>
        <w:rPr>
          <w:kern w:val="0"/>
          <w:sz w:val="24"/>
          <w:szCs w:val="24"/>
        </w:rPr>
        <w:t>年</w:t>
      </w:r>
      <w:r>
        <w:rPr>
          <w:kern w:val="0"/>
          <w:sz w:val="24"/>
          <w:szCs w:val="24"/>
        </w:rPr>
        <w:t>12</w:t>
      </w:r>
      <w:r>
        <w:rPr>
          <w:kern w:val="0"/>
          <w:sz w:val="24"/>
          <w:szCs w:val="24"/>
        </w:rPr>
        <w:t>月</w:t>
      </w:r>
      <w:r>
        <w:rPr>
          <w:kern w:val="0"/>
          <w:sz w:val="24"/>
          <w:szCs w:val="24"/>
        </w:rPr>
        <w:t>31</w:t>
      </w:r>
      <w:r>
        <w:rPr>
          <w:kern w:val="0"/>
          <w:sz w:val="24"/>
          <w:szCs w:val="24"/>
        </w:rPr>
        <w:t>日的总股本</w:t>
      </w:r>
      <w:r>
        <w:rPr>
          <w:kern w:val="0"/>
          <w:sz w:val="24"/>
          <w:szCs w:val="24"/>
        </w:rPr>
        <w:t>16</w:t>
      </w:r>
      <w:r>
        <w:rPr>
          <w:rFonts w:hint="eastAsia"/>
          <w:kern w:val="0"/>
          <w:sz w:val="24"/>
          <w:szCs w:val="24"/>
        </w:rPr>
        <w:t>,</w:t>
      </w:r>
      <w:r>
        <w:rPr>
          <w:kern w:val="0"/>
          <w:sz w:val="24"/>
          <w:szCs w:val="24"/>
        </w:rPr>
        <w:t>887</w:t>
      </w:r>
      <w:r>
        <w:rPr>
          <w:rFonts w:hint="eastAsia"/>
          <w:kern w:val="0"/>
          <w:sz w:val="24"/>
          <w:szCs w:val="24"/>
        </w:rPr>
        <w:t>.</w:t>
      </w:r>
      <w:r>
        <w:rPr>
          <w:kern w:val="0"/>
          <w:sz w:val="24"/>
          <w:szCs w:val="24"/>
        </w:rPr>
        <w:t>7148</w:t>
      </w:r>
      <w:r>
        <w:rPr>
          <w:rFonts w:hint="eastAsia"/>
          <w:kern w:val="0"/>
          <w:sz w:val="24"/>
          <w:szCs w:val="24"/>
        </w:rPr>
        <w:t>万</w:t>
      </w:r>
      <w:r>
        <w:rPr>
          <w:kern w:val="0"/>
          <w:sz w:val="24"/>
          <w:szCs w:val="24"/>
        </w:rPr>
        <w:t>股为基数，向全体股东每</w:t>
      </w:r>
      <w:r>
        <w:rPr>
          <w:kern w:val="0"/>
          <w:sz w:val="24"/>
          <w:szCs w:val="24"/>
        </w:rPr>
        <w:t>10</w:t>
      </w:r>
      <w:r>
        <w:rPr>
          <w:kern w:val="0"/>
          <w:sz w:val="24"/>
          <w:szCs w:val="24"/>
        </w:rPr>
        <w:t>股派发现金红利</w:t>
      </w:r>
      <w:r>
        <w:rPr>
          <w:kern w:val="0"/>
          <w:sz w:val="24"/>
          <w:szCs w:val="24"/>
        </w:rPr>
        <w:t>3.00</w:t>
      </w:r>
      <w:r>
        <w:rPr>
          <w:kern w:val="0"/>
          <w:sz w:val="24"/>
          <w:szCs w:val="24"/>
        </w:rPr>
        <w:t>元（含税），共派发现金红利为</w:t>
      </w:r>
      <w:r>
        <w:rPr>
          <w:kern w:val="0"/>
          <w:sz w:val="24"/>
          <w:szCs w:val="24"/>
        </w:rPr>
        <w:t>5</w:t>
      </w:r>
      <w:r>
        <w:rPr>
          <w:rFonts w:hint="eastAsia"/>
          <w:kern w:val="0"/>
          <w:sz w:val="24"/>
          <w:szCs w:val="24"/>
        </w:rPr>
        <w:t>,</w:t>
      </w:r>
      <w:r>
        <w:rPr>
          <w:kern w:val="0"/>
          <w:sz w:val="24"/>
          <w:szCs w:val="24"/>
        </w:rPr>
        <w:t>066</w:t>
      </w:r>
      <w:r>
        <w:rPr>
          <w:rFonts w:hint="eastAsia"/>
          <w:kern w:val="0"/>
          <w:sz w:val="24"/>
          <w:szCs w:val="24"/>
        </w:rPr>
        <w:t>.</w:t>
      </w:r>
      <w:r>
        <w:rPr>
          <w:kern w:val="0"/>
          <w:sz w:val="24"/>
          <w:szCs w:val="24"/>
        </w:rPr>
        <w:t>3144</w:t>
      </w:r>
      <w:r>
        <w:rPr>
          <w:rFonts w:hint="eastAsia"/>
          <w:kern w:val="0"/>
          <w:sz w:val="24"/>
          <w:szCs w:val="24"/>
        </w:rPr>
        <w:t>4</w:t>
      </w:r>
      <w:r>
        <w:rPr>
          <w:rFonts w:hint="eastAsia"/>
          <w:kern w:val="0"/>
          <w:sz w:val="24"/>
          <w:szCs w:val="24"/>
        </w:rPr>
        <w:t>万</w:t>
      </w:r>
      <w:r>
        <w:rPr>
          <w:kern w:val="0"/>
          <w:sz w:val="24"/>
          <w:szCs w:val="24"/>
        </w:rPr>
        <w:t>元（含税），以资本公积金向全体股东每</w:t>
      </w:r>
      <w:r>
        <w:rPr>
          <w:kern w:val="0"/>
          <w:sz w:val="24"/>
          <w:szCs w:val="24"/>
        </w:rPr>
        <w:t>10</w:t>
      </w:r>
      <w:r>
        <w:rPr>
          <w:kern w:val="0"/>
          <w:sz w:val="24"/>
          <w:szCs w:val="24"/>
        </w:rPr>
        <w:t>股转增</w:t>
      </w:r>
      <w:r>
        <w:rPr>
          <w:kern w:val="0"/>
          <w:sz w:val="24"/>
          <w:szCs w:val="24"/>
        </w:rPr>
        <w:t>3</w:t>
      </w:r>
      <w:r>
        <w:rPr>
          <w:kern w:val="0"/>
          <w:sz w:val="24"/>
          <w:szCs w:val="24"/>
        </w:rPr>
        <w:t>股，共计转增</w:t>
      </w:r>
      <w:r>
        <w:rPr>
          <w:kern w:val="0"/>
          <w:sz w:val="24"/>
          <w:szCs w:val="24"/>
        </w:rPr>
        <w:t>5</w:t>
      </w:r>
      <w:r>
        <w:rPr>
          <w:rFonts w:hint="eastAsia"/>
          <w:kern w:val="0"/>
          <w:sz w:val="24"/>
          <w:szCs w:val="24"/>
        </w:rPr>
        <w:t>,</w:t>
      </w:r>
      <w:r>
        <w:rPr>
          <w:kern w:val="0"/>
          <w:sz w:val="24"/>
          <w:szCs w:val="24"/>
        </w:rPr>
        <w:t>066</w:t>
      </w:r>
      <w:r>
        <w:rPr>
          <w:rFonts w:hint="eastAsia"/>
          <w:kern w:val="0"/>
          <w:sz w:val="24"/>
          <w:szCs w:val="24"/>
        </w:rPr>
        <w:t>.</w:t>
      </w:r>
      <w:r>
        <w:rPr>
          <w:kern w:val="0"/>
          <w:sz w:val="24"/>
          <w:szCs w:val="24"/>
        </w:rPr>
        <w:t>3144</w:t>
      </w:r>
      <w:r>
        <w:rPr>
          <w:rFonts w:hint="eastAsia"/>
          <w:kern w:val="0"/>
          <w:sz w:val="24"/>
          <w:szCs w:val="24"/>
        </w:rPr>
        <w:t>万</w:t>
      </w:r>
      <w:r>
        <w:rPr>
          <w:kern w:val="0"/>
          <w:sz w:val="24"/>
          <w:szCs w:val="24"/>
        </w:rPr>
        <w:t>股</w:t>
      </w:r>
      <w:r>
        <w:rPr>
          <w:rFonts w:hint="eastAsia"/>
          <w:kern w:val="0"/>
          <w:sz w:val="24"/>
          <w:szCs w:val="24"/>
        </w:rPr>
        <w:t>，</w:t>
      </w:r>
      <w:r>
        <w:rPr>
          <w:kern w:val="0"/>
          <w:sz w:val="24"/>
          <w:szCs w:val="24"/>
        </w:rPr>
        <w:t>本次转增完成后，公司总股本增加至</w:t>
      </w:r>
      <w:r>
        <w:rPr>
          <w:kern w:val="0"/>
          <w:sz w:val="24"/>
          <w:szCs w:val="24"/>
        </w:rPr>
        <w:t>21</w:t>
      </w:r>
      <w:r>
        <w:rPr>
          <w:rFonts w:hint="eastAsia"/>
          <w:kern w:val="0"/>
          <w:sz w:val="24"/>
          <w:szCs w:val="24"/>
        </w:rPr>
        <w:t>,</w:t>
      </w:r>
      <w:r>
        <w:rPr>
          <w:kern w:val="0"/>
          <w:sz w:val="24"/>
          <w:szCs w:val="24"/>
        </w:rPr>
        <w:t>954</w:t>
      </w:r>
      <w:r>
        <w:rPr>
          <w:rFonts w:hint="eastAsia"/>
          <w:kern w:val="0"/>
          <w:sz w:val="24"/>
          <w:szCs w:val="24"/>
        </w:rPr>
        <w:t>.</w:t>
      </w:r>
      <w:r>
        <w:rPr>
          <w:kern w:val="0"/>
          <w:sz w:val="24"/>
          <w:szCs w:val="24"/>
        </w:rPr>
        <w:t>0292</w:t>
      </w:r>
      <w:r>
        <w:rPr>
          <w:rFonts w:hint="eastAsia"/>
          <w:kern w:val="0"/>
          <w:sz w:val="24"/>
          <w:szCs w:val="24"/>
        </w:rPr>
        <w:t>万</w:t>
      </w:r>
      <w:r>
        <w:rPr>
          <w:kern w:val="0"/>
          <w:sz w:val="24"/>
          <w:szCs w:val="24"/>
        </w:rPr>
        <w:t>股</w:t>
      </w:r>
      <w:r>
        <w:rPr>
          <w:rFonts w:hint="eastAsia"/>
          <w:kern w:val="0"/>
          <w:sz w:val="24"/>
          <w:szCs w:val="24"/>
        </w:rPr>
        <w:t>。</w:t>
      </w:r>
    </w:p>
    <w:p w14:paraId="4D61B457" w14:textId="77777777" w:rsidR="004B0883" w:rsidRDefault="004B0883">
      <w:pPr>
        <w:spacing w:beforeLines="50" w:before="120" w:afterLines="50" w:after="120" w:line="360" w:lineRule="auto"/>
        <w:ind w:firstLineChars="200" w:firstLine="480"/>
        <w:jc w:val="both"/>
        <w:rPr>
          <w:kern w:val="0"/>
          <w:sz w:val="24"/>
          <w:szCs w:val="24"/>
        </w:rPr>
      </w:pPr>
      <w:r>
        <w:rPr>
          <w:rFonts w:hint="eastAsia"/>
          <w:kern w:val="0"/>
          <w:sz w:val="24"/>
          <w:szCs w:val="24"/>
        </w:rPr>
        <w:t>2022</w:t>
      </w:r>
      <w:r>
        <w:rPr>
          <w:rFonts w:hint="eastAsia"/>
          <w:kern w:val="0"/>
          <w:sz w:val="24"/>
          <w:szCs w:val="24"/>
        </w:rPr>
        <w:t>年</w:t>
      </w:r>
      <w:r>
        <w:rPr>
          <w:rFonts w:hint="eastAsia"/>
          <w:kern w:val="0"/>
          <w:sz w:val="24"/>
          <w:szCs w:val="24"/>
        </w:rPr>
        <w:t>5</w:t>
      </w:r>
      <w:r>
        <w:rPr>
          <w:rFonts w:hint="eastAsia"/>
          <w:kern w:val="0"/>
          <w:sz w:val="24"/>
          <w:szCs w:val="24"/>
        </w:rPr>
        <w:t>月</w:t>
      </w:r>
      <w:r>
        <w:rPr>
          <w:rFonts w:hint="eastAsia"/>
          <w:kern w:val="0"/>
          <w:sz w:val="24"/>
          <w:szCs w:val="24"/>
        </w:rPr>
        <w:t>18</w:t>
      </w:r>
      <w:r>
        <w:rPr>
          <w:rFonts w:hint="eastAsia"/>
          <w:kern w:val="0"/>
          <w:sz w:val="24"/>
          <w:szCs w:val="24"/>
        </w:rPr>
        <w:t>日，公司召开</w:t>
      </w:r>
      <w:r>
        <w:rPr>
          <w:rFonts w:hint="eastAsia"/>
          <w:kern w:val="0"/>
          <w:sz w:val="24"/>
          <w:szCs w:val="24"/>
        </w:rPr>
        <w:t>2021</w:t>
      </w:r>
      <w:r>
        <w:rPr>
          <w:rFonts w:hint="eastAsia"/>
          <w:kern w:val="0"/>
          <w:sz w:val="24"/>
          <w:szCs w:val="24"/>
        </w:rPr>
        <w:t>年年度股东大会，审议通过了《关于</w:t>
      </w:r>
      <w:r>
        <w:rPr>
          <w:rFonts w:hint="eastAsia"/>
          <w:kern w:val="0"/>
          <w:sz w:val="24"/>
          <w:szCs w:val="24"/>
        </w:rPr>
        <w:t>2021</w:t>
      </w:r>
      <w:r>
        <w:rPr>
          <w:rFonts w:hint="eastAsia"/>
          <w:kern w:val="0"/>
          <w:sz w:val="24"/>
          <w:szCs w:val="24"/>
        </w:rPr>
        <w:t>年度利润分配预案的议案》，以</w:t>
      </w:r>
      <w:r>
        <w:rPr>
          <w:rFonts w:hint="eastAsia"/>
          <w:kern w:val="0"/>
          <w:sz w:val="24"/>
          <w:szCs w:val="24"/>
        </w:rPr>
        <w:t>2021</w:t>
      </w:r>
      <w:r>
        <w:rPr>
          <w:rFonts w:hint="eastAsia"/>
          <w:kern w:val="0"/>
          <w:sz w:val="24"/>
          <w:szCs w:val="24"/>
        </w:rPr>
        <w:t>年</w:t>
      </w:r>
      <w:r>
        <w:rPr>
          <w:rFonts w:hint="eastAsia"/>
          <w:kern w:val="0"/>
          <w:sz w:val="24"/>
          <w:szCs w:val="24"/>
        </w:rPr>
        <w:t>12</w:t>
      </w:r>
      <w:r>
        <w:rPr>
          <w:rFonts w:hint="eastAsia"/>
          <w:kern w:val="0"/>
          <w:sz w:val="24"/>
          <w:szCs w:val="24"/>
        </w:rPr>
        <w:t>月</w:t>
      </w:r>
      <w:r>
        <w:rPr>
          <w:rFonts w:hint="eastAsia"/>
          <w:kern w:val="0"/>
          <w:sz w:val="24"/>
          <w:szCs w:val="24"/>
        </w:rPr>
        <w:t>31</w:t>
      </w:r>
      <w:r>
        <w:rPr>
          <w:rFonts w:hint="eastAsia"/>
          <w:kern w:val="0"/>
          <w:sz w:val="24"/>
          <w:szCs w:val="24"/>
        </w:rPr>
        <w:t>日公司总股本</w:t>
      </w:r>
      <w:r>
        <w:rPr>
          <w:rFonts w:hint="eastAsia"/>
          <w:kern w:val="0"/>
          <w:sz w:val="24"/>
          <w:szCs w:val="24"/>
        </w:rPr>
        <w:t>16</w:t>
      </w:r>
      <w:r>
        <w:rPr>
          <w:kern w:val="0"/>
          <w:sz w:val="24"/>
          <w:szCs w:val="24"/>
        </w:rPr>
        <w:t>,</w:t>
      </w:r>
      <w:r>
        <w:rPr>
          <w:rFonts w:hint="eastAsia"/>
          <w:kern w:val="0"/>
          <w:sz w:val="24"/>
          <w:szCs w:val="24"/>
        </w:rPr>
        <w:t>903</w:t>
      </w:r>
      <w:r>
        <w:rPr>
          <w:kern w:val="0"/>
          <w:sz w:val="24"/>
          <w:szCs w:val="24"/>
        </w:rPr>
        <w:t>.</w:t>
      </w:r>
      <w:r>
        <w:rPr>
          <w:rFonts w:hint="eastAsia"/>
          <w:kern w:val="0"/>
          <w:sz w:val="24"/>
          <w:szCs w:val="24"/>
        </w:rPr>
        <w:t>2648</w:t>
      </w:r>
      <w:r>
        <w:rPr>
          <w:rFonts w:hint="eastAsia"/>
          <w:kern w:val="0"/>
          <w:sz w:val="24"/>
          <w:szCs w:val="24"/>
        </w:rPr>
        <w:t>万股扣减公司回购专用证券账户中股份</w:t>
      </w:r>
      <w:r>
        <w:rPr>
          <w:rFonts w:hint="eastAsia"/>
          <w:kern w:val="0"/>
          <w:sz w:val="24"/>
          <w:szCs w:val="24"/>
        </w:rPr>
        <w:t>42</w:t>
      </w:r>
      <w:r>
        <w:rPr>
          <w:kern w:val="0"/>
          <w:sz w:val="24"/>
          <w:szCs w:val="24"/>
        </w:rPr>
        <w:t>.</w:t>
      </w:r>
      <w:r>
        <w:rPr>
          <w:rFonts w:hint="eastAsia"/>
          <w:kern w:val="0"/>
          <w:sz w:val="24"/>
          <w:szCs w:val="24"/>
        </w:rPr>
        <w:t>7626</w:t>
      </w:r>
      <w:r>
        <w:rPr>
          <w:rFonts w:hint="eastAsia"/>
          <w:kern w:val="0"/>
          <w:sz w:val="24"/>
          <w:szCs w:val="24"/>
        </w:rPr>
        <w:t>万股后的股份总数</w:t>
      </w:r>
      <w:r>
        <w:rPr>
          <w:rFonts w:hint="eastAsia"/>
          <w:kern w:val="0"/>
          <w:sz w:val="24"/>
          <w:szCs w:val="24"/>
        </w:rPr>
        <w:t>16</w:t>
      </w:r>
      <w:r>
        <w:rPr>
          <w:kern w:val="0"/>
          <w:sz w:val="24"/>
          <w:szCs w:val="24"/>
        </w:rPr>
        <w:t>,</w:t>
      </w:r>
      <w:r>
        <w:rPr>
          <w:rFonts w:hint="eastAsia"/>
          <w:kern w:val="0"/>
          <w:sz w:val="24"/>
          <w:szCs w:val="24"/>
        </w:rPr>
        <w:t>860</w:t>
      </w:r>
      <w:r>
        <w:rPr>
          <w:kern w:val="0"/>
          <w:sz w:val="24"/>
          <w:szCs w:val="24"/>
        </w:rPr>
        <w:t>.</w:t>
      </w:r>
      <w:r>
        <w:rPr>
          <w:rFonts w:hint="eastAsia"/>
          <w:kern w:val="0"/>
          <w:sz w:val="24"/>
          <w:szCs w:val="24"/>
        </w:rPr>
        <w:t>5022</w:t>
      </w:r>
      <w:r>
        <w:rPr>
          <w:rFonts w:hint="eastAsia"/>
          <w:kern w:val="0"/>
          <w:sz w:val="24"/>
          <w:szCs w:val="24"/>
        </w:rPr>
        <w:t>万股为基数，向全体股东每</w:t>
      </w:r>
      <w:r>
        <w:rPr>
          <w:rFonts w:hint="eastAsia"/>
          <w:kern w:val="0"/>
          <w:sz w:val="24"/>
          <w:szCs w:val="24"/>
        </w:rPr>
        <w:t>10</w:t>
      </w:r>
      <w:r>
        <w:rPr>
          <w:rFonts w:hint="eastAsia"/>
          <w:kern w:val="0"/>
          <w:sz w:val="24"/>
          <w:szCs w:val="24"/>
        </w:rPr>
        <w:t>股派发现金红利</w:t>
      </w:r>
      <w:r>
        <w:rPr>
          <w:rFonts w:hint="eastAsia"/>
          <w:kern w:val="0"/>
          <w:sz w:val="24"/>
          <w:szCs w:val="24"/>
        </w:rPr>
        <w:t>3.50</w:t>
      </w:r>
      <w:r>
        <w:rPr>
          <w:rFonts w:hint="eastAsia"/>
          <w:kern w:val="0"/>
          <w:sz w:val="24"/>
          <w:szCs w:val="24"/>
        </w:rPr>
        <w:t>元（含税），合计派发现金红利</w:t>
      </w:r>
      <w:r>
        <w:rPr>
          <w:kern w:val="0"/>
          <w:sz w:val="24"/>
          <w:szCs w:val="24"/>
        </w:rPr>
        <w:t>5,901.18</w:t>
      </w:r>
      <w:r>
        <w:rPr>
          <w:rFonts w:hint="eastAsia"/>
          <w:kern w:val="0"/>
          <w:sz w:val="24"/>
          <w:szCs w:val="24"/>
        </w:rPr>
        <w:t>万元，不以公积金转增股本，不送红股。</w:t>
      </w:r>
    </w:p>
    <w:p w14:paraId="38504AD1" w14:textId="77777777" w:rsidR="004B0883" w:rsidRDefault="004B0883">
      <w:pPr>
        <w:spacing w:beforeLines="50" w:before="120" w:afterLines="50" w:after="120" w:line="360" w:lineRule="auto"/>
        <w:ind w:firstLineChars="200" w:firstLine="480"/>
        <w:jc w:val="both"/>
        <w:rPr>
          <w:kern w:val="0"/>
          <w:sz w:val="24"/>
          <w:szCs w:val="24"/>
        </w:rPr>
      </w:pPr>
      <w:r>
        <w:rPr>
          <w:rFonts w:hint="eastAsia"/>
          <w:kern w:val="0"/>
          <w:sz w:val="24"/>
          <w:szCs w:val="24"/>
        </w:rPr>
        <w:t>2021</w:t>
      </w:r>
      <w:r>
        <w:rPr>
          <w:rFonts w:hint="eastAsia"/>
          <w:kern w:val="0"/>
          <w:sz w:val="24"/>
          <w:szCs w:val="24"/>
        </w:rPr>
        <w:t>年</w:t>
      </w:r>
      <w:r>
        <w:rPr>
          <w:rFonts w:hint="eastAsia"/>
          <w:kern w:val="0"/>
          <w:sz w:val="24"/>
          <w:szCs w:val="24"/>
        </w:rPr>
        <w:t>5</w:t>
      </w:r>
      <w:r>
        <w:rPr>
          <w:rFonts w:hint="eastAsia"/>
          <w:kern w:val="0"/>
          <w:sz w:val="24"/>
          <w:szCs w:val="24"/>
        </w:rPr>
        <w:t>月</w:t>
      </w:r>
      <w:r>
        <w:rPr>
          <w:rFonts w:hint="eastAsia"/>
          <w:kern w:val="0"/>
          <w:sz w:val="24"/>
          <w:szCs w:val="24"/>
        </w:rPr>
        <w:t>19</w:t>
      </w:r>
      <w:r>
        <w:rPr>
          <w:rFonts w:hint="eastAsia"/>
          <w:kern w:val="0"/>
          <w:sz w:val="24"/>
          <w:szCs w:val="24"/>
        </w:rPr>
        <w:t>日，公司召开</w:t>
      </w:r>
      <w:r>
        <w:rPr>
          <w:rFonts w:hint="eastAsia"/>
          <w:kern w:val="0"/>
          <w:sz w:val="24"/>
          <w:szCs w:val="24"/>
        </w:rPr>
        <w:t>20</w:t>
      </w:r>
      <w:r>
        <w:rPr>
          <w:kern w:val="0"/>
          <w:sz w:val="24"/>
          <w:szCs w:val="24"/>
        </w:rPr>
        <w:t>20</w:t>
      </w:r>
      <w:r>
        <w:rPr>
          <w:rFonts w:hint="eastAsia"/>
          <w:kern w:val="0"/>
          <w:sz w:val="24"/>
          <w:szCs w:val="24"/>
        </w:rPr>
        <w:t>年年度股东大会，审议通过了《关于</w:t>
      </w:r>
      <w:r>
        <w:rPr>
          <w:rFonts w:hint="eastAsia"/>
          <w:kern w:val="0"/>
          <w:sz w:val="24"/>
          <w:szCs w:val="24"/>
        </w:rPr>
        <w:t>2020</w:t>
      </w:r>
      <w:r>
        <w:rPr>
          <w:rFonts w:hint="eastAsia"/>
          <w:kern w:val="0"/>
          <w:sz w:val="24"/>
          <w:szCs w:val="24"/>
        </w:rPr>
        <w:t>年度利润分配及资本公积金转增股本预案的议案》，决定以</w:t>
      </w:r>
      <w:r>
        <w:rPr>
          <w:rFonts w:hint="eastAsia"/>
          <w:kern w:val="0"/>
          <w:sz w:val="24"/>
          <w:szCs w:val="24"/>
        </w:rPr>
        <w:t>2020</w:t>
      </w:r>
      <w:r>
        <w:rPr>
          <w:rFonts w:hint="eastAsia"/>
          <w:kern w:val="0"/>
          <w:sz w:val="24"/>
          <w:szCs w:val="24"/>
        </w:rPr>
        <w:t>年</w:t>
      </w:r>
      <w:r>
        <w:rPr>
          <w:rFonts w:hint="eastAsia"/>
          <w:kern w:val="0"/>
          <w:sz w:val="24"/>
          <w:szCs w:val="24"/>
        </w:rPr>
        <w:t>12</w:t>
      </w:r>
      <w:r>
        <w:rPr>
          <w:rFonts w:hint="eastAsia"/>
          <w:kern w:val="0"/>
          <w:sz w:val="24"/>
          <w:szCs w:val="24"/>
        </w:rPr>
        <w:t>月</w:t>
      </w:r>
      <w:r>
        <w:rPr>
          <w:rFonts w:hint="eastAsia"/>
          <w:kern w:val="0"/>
          <w:sz w:val="24"/>
          <w:szCs w:val="24"/>
        </w:rPr>
        <w:t>31</w:t>
      </w:r>
      <w:r>
        <w:rPr>
          <w:rFonts w:hint="eastAsia"/>
          <w:kern w:val="0"/>
          <w:sz w:val="24"/>
          <w:szCs w:val="24"/>
        </w:rPr>
        <w:t>日公司总股本</w:t>
      </w:r>
      <w:r>
        <w:rPr>
          <w:rFonts w:hint="eastAsia"/>
          <w:kern w:val="0"/>
          <w:sz w:val="24"/>
          <w:szCs w:val="24"/>
        </w:rPr>
        <w:t>11,668.00</w:t>
      </w:r>
      <w:r>
        <w:rPr>
          <w:rFonts w:hint="eastAsia"/>
          <w:kern w:val="0"/>
          <w:sz w:val="24"/>
          <w:szCs w:val="24"/>
        </w:rPr>
        <w:t>万股为基数，向全体股东每</w:t>
      </w:r>
      <w:r>
        <w:rPr>
          <w:rFonts w:hint="eastAsia"/>
          <w:kern w:val="0"/>
          <w:sz w:val="24"/>
          <w:szCs w:val="24"/>
        </w:rPr>
        <w:t>10</w:t>
      </w:r>
      <w:r>
        <w:rPr>
          <w:rFonts w:hint="eastAsia"/>
          <w:kern w:val="0"/>
          <w:sz w:val="24"/>
          <w:szCs w:val="24"/>
        </w:rPr>
        <w:t>股派息</w:t>
      </w:r>
      <w:r>
        <w:rPr>
          <w:rFonts w:hint="eastAsia"/>
          <w:kern w:val="0"/>
          <w:sz w:val="24"/>
          <w:szCs w:val="24"/>
        </w:rPr>
        <w:t>4.50</w:t>
      </w:r>
      <w:r>
        <w:rPr>
          <w:rFonts w:hint="eastAsia"/>
          <w:kern w:val="0"/>
          <w:sz w:val="24"/>
          <w:szCs w:val="24"/>
        </w:rPr>
        <w:t>元（含税），合计派发现金股利</w:t>
      </w:r>
      <w:r>
        <w:rPr>
          <w:kern w:val="0"/>
          <w:sz w:val="24"/>
          <w:szCs w:val="24"/>
        </w:rPr>
        <w:t>5,250.60</w:t>
      </w:r>
      <w:r>
        <w:rPr>
          <w:rFonts w:hint="eastAsia"/>
          <w:kern w:val="0"/>
          <w:sz w:val="24"/>
          <w:szCs w:val="24"/>
        </w:rPr>
        <w:t>万元，同时以资本公积向全体股东每</w:t>
      </w:r>
      <w:r>
        <w:rPr>
          <w:rFonts w:hint="eastAsia"/>
          <w:kern w:val="0"/>
          <w:sz w:val="24"/>
          <w:szCs w:val="24"/>
        </w:rPr>
        <w:t>10</w:t>
      </w:r>
      <w:r>
        <w:rPr>
          <w:rFonts w:hint="eastAsia"/>
          <w:kern w:val="0"/>
          <w:sz w:val="24"/>
          <w:szCs w:val="24"/>
        </w:rPr>
        <w:t>股转增</w:t>
      </w:r>
      <w:r>
        <w:rPr>
          <w:rFonts w:hint="eastAsia"/>
          <w:kern w:val="0"/>
          <w:sz w:val="24"/>
          <w:szCs w:val="24"/>
        </w:rPr>
        <w:t>4.50</w:t>
      </w:r>
      <w:r>
        <w:rPr>
          <w:rFonts w:hint="eastAsia"/>
          <w:kern w:val="0"/>
          <w:sz w:val="24"/>
          <w:szCs w:val="24"/>
        </w:rPr>
        <w:t>股，共计转增</w:t>
      </w:r>
      <w:r>
        <w:rPr>
          <w:rFonts w:hint="eastAsia"/>
          <w:kern w:val="0"/>
          <w:sz w:val="24"/>
          <w:szCs w:val="24"/>
        </w:rPr>
        <w:t>5,250.60</w:t>
      </w:r>
      <w:r>
        <w:rPr>
          <w:rFonts w:hint="eastAsia"/>
          <w:kern w:val="0"/>
          <w:sz w:val="24"/>
          <w:szCs w:val="24"/>
        </w:rPr>
        <w:t>万股。</w:t>
      </w:r>
    </w:p>
    <w:p w14:paraId="7B530C43" w14:textId="77777777" w:rsidR="004B0883" w:rsidRDefault="004B0883">
      <w:pPr>
        <w:pStyle w:val="004"/>
        <w:spacing w:before="120" w:after="120"/>
        <w:ind w:firstLine="482"/>
        <w:rPr>
          <w:rFonts w:hint="eastAsia"/>
        </w:rPr>
      </w:pPr>
      <w:r>
        <w:rPr>
          <w:rFonts w:hint="eastAsia"/>
        </w:rPr>
        <w:t>2</w:t>
      </w:r>
      <w:r>
        <w:rPr>
          <w:rFonts w:hint="eastAsia"/>
        </w:rPr>
        <w:t>、最近三年分红情况</w:t>
      </w:r>
    </w:p>
    <w:p w14:paraId="3C0A6C76" w14:textId="77777777" w:rsidR="004B0883" w:rsidRDefault="004B0883">
      <w:pPr>
        <w:pStyle w:val="005"/>
        <w:spacing w:before="120"/>
        <w:ind w:firstLine="480"/>
        <w:rPr>
          <w:rFonts w:hint="eastAsia"/>
        </w:rPr>
      </w:pPr>
      <w:r>
        <w:rPr>
          <w:rFonts w:hint="eastAsia"/>
        </w:rPr>
        <w:t>公司最近三年现金分红情况如下：</w:t>
      </w:r>
    </w:p>
    <w:p w14:paraId="76EFCA19" w14:textId="77777777" w:rsidR="004B0883" w:rsidRDefault="004B0883">
      <w:pPr>
        <w:pStyle w:val="009"/>
        <w:rPr>
          <w:rFonts w:hint="eastAsia"/>
        </w:rPr>
      </w:pPr>
      <w:r>
        <w:rPr>
          <w:rFonts w:hint="eastAsia"/>
        </w:rPr>
        <w:t>单位：万元</w:t>
      </w:r>
    </w:p>
    <w:tbl>
      <w:tblPr>
        <w:tblW w:w="5018"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37"/>
        <w:gridCol w:w="1255"/>
        <w:gridCol w:w="1258"/>
        <w:gridCol w:w="1260"/>
      </w:tblGrid>
      <w:tr w:rsidR="004B0883" w14:paraId="192B6E3E" w14:textId="77777777">
        <w:trPr>
          <w:trHeight w:val="397"/>
          <w:jc w:val="center"/>
        </w:trPr>
        <w:tc>
          <w:tcPr>
            <w:tcW w:w="2729" w:type="pct"/>
            <w:shd w:val="clear" w:color="auto" w:fill="D9D9D9"/>
            <w:tcMar>
              <w:top w:w="0" w:type="dxa"/>
              <w:bottom w:w="0" w:type="dxa"/>
            </w:tcMar>
            <w:vAlign w:val="center"/>
          </w:tcPr>
          <w:p w14:paraId="68291C1D" w14:textId="77777777" w:rsidR="004B0883" w:rsidRDefault="004B0883">
            <w:pPr>
              <w:adjustRightInd w:val="0"/>
              <w:snapToGrid w:val="0"/>
              <w:jc w:val="center"/>
              <w:rPr>
                <w:b/>
                <w:bCs/>
                <w:color w:val="000000"/>
                <w:sz w:val="18"/>
                <w:szCs w:val="18"/>
              </w:rPr>
            </w:pPr>
            <w:r>
              <w:rPr>
                <w:b/>
                <w:bCs/>
                <w:color w:val="000000"/>
                <w:sz w:val="18"/>
                <w:szCs w:val="18"/>
              </w:rPr>
              <w:t>项目</w:t>
            </w:r>
          </w:p>
        </w:tc>
        <w:tc>
          <w:tcPr>
            <w:tcW w:w="755" w:type="pct"/>
            <w:shd w:val="clear" w:color="auto" w:fill="D9D9D9"/>
            <w:tcMar>
              <w:top w:w="0" w:type="dxa"/>
              <w:bottom w:w="0" w:type="dxa"/>
            </w:tcMar>
            <w:vAlign w:val="center"/>
          </w:tcPr>
          <w:p w14:paraId="0C286845" w14:textId="77777777" w:rsidR="004B0883" w:rsidRDefault="004B0883">
            <w:pPr>
              <w:adjustRightInd w:val="0"/>
              <w:snapToGrid w:val="0"/>
              <w:jc w:val="center"/>
              <w:rPr>
                <w:b/>
                <w:bCs/>
                <w:color w:val="000000"/>
                <w:sz w:val="18"/>
                <w:szCs w:val="18"/>
              </w:rPr>
            </w:pPr>
            <w:r>
              <w:rPr>
                <w:b/>
                <w:bCs/>
                <w:color w:val="000000"/>
                <w:sz w:val="18"/>
                <w:szCs w:val="18"/>
              </w:rPr>
              <w:t>2022</w:t>
            </w:r>
            <w:r>
              <w:rPr>
                <w:b/>
                <w:bCs/>
                <w:color w:val="000000"/>
                <w:sz w:val="18"/>
                <w:szCs w:val="18"/>
              </w:rPr>
              <w:t>年</w:t>
            </w:r>
          </w:p>
        </w:tc>
        <w:tc>
          <w:tcPr>
            <w:tcW w:w="757" w:type="pct"/>
            <w:shd w:val="clear" w:color="auto" w:fill="D9D9D9"/>
            <w:tcMar>
              <w:top w:w="0" w:type="dxa"/>
              <w:bottom w:w="0" w:type="dxa"/>
            </w:tcMar>
            <w:vAlign w:val="center"/>
          </w:tcPr>
          <w:p w14:paraId="0534C97B" w14:textId="77777777" w:rsidR="004B0883" w:rsidRDefault="004B0883">
            <w:pPr>
              <w:adjustRightInd w:val="0"/>
              <w:snapToGrid w:val="0"/>
              <w:jc w:val="center"/>
              <w:rPr>
                <w:b/>
                <w:bCs/>
                <w:color w:val="000000"/>
                <w:sz w:val="18"/>
                <w:szCs w:val="18"/>
              </w:rPr>
            </w:pPr>
            <w:r>
              <w:rPr>
                <w:b/>
                <w:bCs/>
                <w:color w:val="000000"/>
                <w:sz w:val="18"/>
                <w:szCs w:val="18"/>
              </w:rPr>
              <w:t>2021</w:t>
            </w:r>
            <w:r>
              <w:rPr>
                <w:b/>
                <w:bCs/>
                <w:color w:val="000000"/>
                <w:sz w:val="18"/>
                <w:szCs w:val="18"/>
              </w:rPr>
              <w:t>年</w:t>
            </w:r>
          </w:p>
        </w:tc>
        <w:tc>
          <w:tcPr>
            <w:tcW w:w="757" w:type="pct"/>
            <w:shd w:val="clear" w:color="auto" w:fill="D9D9D9"/>
            <w:tcMar>
              <w:top w:w="0" w:type="dxa"/>
              <w:bottom w:w="0" w:type="dxa"/>
            </w:tcMar>
            <w:vAlign w:val="center"/>
          </w:tcPr>
          <w:p w14:paraId="55221FD1" w14:textId="77777777" w:rsidR="004B0883" w:rsidRDefault="004B0883">
            <w:pPr>
              <w:adjustRightInd w:val="0"/>
              <w:snapToGrid w:val="0"/>
              <w:jc w:val="center"/>
              <w:rPr>
                <w:b/>
                <w:bCs/>
                <w:color w:val="000000"/>
                <w:sz w:val="18"/>
                <w:szCs w:val="18"/>
              </w:rPr>
            </w:pPr>
            <w:r>
              <w:rPr>
                <w:b/>
                <w:bCs/>
                <w:color w:val="000000"/>
                <w:sz w:val="18"/>
                <w:szCs w:val="18"/>
              </w:rPr>
              <w:t>2020</w:t>
            </w:r>
            <w:r>
              <w:rPr>
                <w:b/>
                <w:bCs/>
                <w:color w:val="000000"/>
                <w:sz w:val="18"/>
                <w:szCs w:val="18"/>
              </w:rPr>
              <w:t>年</w:t>
            </w:r>
          </w:p>
        </w:tc>
      </w:tr>
      <w:tr w:rsidR="004B0883" w14:paraId="22559C1D" w14:textId="77777777">
        <w:trPr>
          <w:trHeight w:val="397"/>
          <w:jc w:val="center"/>
        </w:trPr>
        <w:tc>
          <w:tcPr>
            <w:tcW w:w="2729" w:type="pct"/>
            <w:tcMar>
              <w:top w:w="0" w:type="dxa"/>
              <w:bottom w:w="0" w:type="dxa"/>
            </w:tcMar>
            <w:vAlign w:val="center"/>
          </w:tcPr>
          <w:p w14:paraId="323107C8" w14:textId="77777777" w:rsidR="004B0883" w:rsidRDefault="004B0883">
            <w:pPr>
              <w:adjustRightInd w:val="0"/>
              <w:snapToGrid w:val="0"/>
              <w:rPr>
                <w:color w:val="000000"/>
                <w:sz w:val="18"/>
                <w:szCs w:val="18"/>
              </w:rPr>
            </w:pPr>
            <w:r>
              <w:rPr>
                <w:color w:val="000000"/>
                <w:sz w:val="18"/>
                <w:szCs w:val="18"/>
              </w:rPr>
              <w:t>现金分红金额（含税）</w:t>
            </w:r>
          </w:p>
        </w:tc>
        <w:tc>
          <w:tcPr>
            <w:tcW w:w="755" w:type="pct"/>
            <w:tcMar>
              <w:top w:w="0" w:type="dxa"/>
              <w:bottom w:w="0" w:type="dxa"/>
            </w:tcMar>
            <w:vAlign w:val="center"/>
          </w:tcPr>
          <w:p w14:paraId="1E045388" w14:textId="77777777" w:rsidR="004B0883" w:rsidRDefault="004B0883">
            <w:pPr>
              <w:adjustRightInd w:val="0"/>
              <w:snapToGrid w:val="0"/>
              <w:jc w:val="right"/>
              <w:rPr>
                <w:color w:val="000000"/>
                <w:sz w:val="18"/>
                <w:szCs w:val="18"/>
              </w:rPr>
            </w:pPr>
            <w:r>
              <w:rPr>
                <w:rFonts w:eastAsia="等线"/>
                <w:color w:val="000000"/>
                <w:kern w:val="0"/>
                <w:sz w:val="18"/>
                <w:szCs w:val="18"/>
                <w:lang w:bidi="ar"/>
              </w:rPr>
              <w:t>5,066.31</w:t>
            </w:r>
          </w:p>
        </w:tc>
        <w:tc>
          <w:tcPr>
            <w:tcW w:w="757" w:type="pct"/>
            <w:tcMar>
              <w:top w:w="0" w:type="dxa"/>
              <w:bottom w:w="0" w:type="dxa"/>
            </w:tcMar>
            <w:vAlign w:val="center"/>
          </w:tcPr>
          <w:p w14:paraId="27055403" w14:textId="77777777" w:rsidR="004B0883" w:rsidRDefault="004B0883">
            <w:pPr>
              <w:adjustRightInd w:val="0"/>
              <w:snapToGrid w:val="0"/>
              <w:jc w:val="right"/>
              <w:rPr>
                <w:color w:val="000000"/>
                <w:sz w:val="18"/>
                <w:szCs w:val="18"/>
              </w:rPr>
            </w:pPr>
            <w:r>
              <w:rPr>
                <w:rFonts w:eastAsia="等线"/>
                <w:color w:val="000000"/>
                <w:kern w:val="0"/>
                <w:sz w:val="18"/>
                <w:szCs w:val="18"/>
                <w:lang w:bidi="ar"/>
              </w:rPr>
              <w:t>5,901.18</w:t>
            </w:r>
          </w:p>
        </w:tc>
        <w:tc>
          <w:tcPr>
            <w:tcW w:w="757" w:type="pct"/>
            <w:tcMar>
              <w:top w:w="0" w:type="dxa"/>
              <w:bottom w:w="0" w:type="dxa"/>
            </w:tcMar>
            <w:vAlign w:val="center"/>
          </w:tcPr>
          <w:p w14:paraId="1274B522" w14:textId="77777777" w:rsidR="004B0883" w:rsidRDefault="004B0883">
            <w:pPr>
              <w:adjustRightInd w:val="0"/>
              <w:snapToGrid w:val="0"/>
              <w:jc w:val="right"/>
              <w:rPr>
                <w:color w:val="000000"/>
                <w:sz w:val="18"/>
                <w:szCs w:val="18"/>
              </w:rPr>
            </w:pPr>
            <w:r>
              <w:rPr>
                <w:rFonts w:eastAsia="等线"/>
                <w:color w:val="000000"/>
                <w:kern w:val="0"/>
                <w:sz w:val="18"/>
                <w:szCs w:val="18"/>
                <w:lang w:bidi="ar"/>
              </w:rPr>
              <w:t>5,250.60</w:t>
            </w:r>
          </w:p>
        </w:tc>
      </w:tr>
      <w:tr w:rsidR="004B0883" w14:paraId="37905643" w14:textId="77777777">
        <w:trPr>
          <w:trHeight w:val="397"/>
          <w:jc w:val="center"/>
        </w:trPr>
        <w:tc>
          <w:tcPr>
            <w:tcW w:w="2729" w:type="pct"/>
            <w:tcMar>
              <w:top w:w="0" w:type="dxa"/>
              <w:bottom w:w="0" w:type="dxa"/>
            </w:tcMar>
            <w:vAlign w:val="center"/>
          </w:tcPr>
          <w:p w14:paraId="4952D84E" w14:textId="77777777" w:rsidR="004B0883" w:rsidRDefault="004B0883">
            <w:pPr>
              <w:adjustRightInd w:val="0"/>
              <w:snapToGrid w:val="0"/>
              <w:rPr>
                <w:rFonts w:hint="eastAsia"/>
                <w:color w:val="000000"/>
                <w:sz w:val="18"/>
                <w:szCs w:val="18"/>
              </w:rPr>
            </w:pPr>
            <w:r>
              <w:rPr>
                <w:rFonts w:hint="eastAsia"/>
                <w:color w:val="000000"/>
                <w:sz w:val="18"/>
                <w:szCs w:val="18"/>
              </w:rPr>
              <w:t>现金分红总额（含其他方式）</w:t>
            </w:r>
          </w:p>
        </w:tc>
        <w:tc>
          <w:tcPr>
            <w:tcW w:w="755" w:type="pct"/>
            <w:tcMar>
              <w:top w:w="0" w:type="dxa"/>
              <w:bottom w:w="0" w:type="dxa"/>
            </w:tcMar>
            <w:vAlign w:val="center"/>
          </w:tcPr>
          <w:p w14:paraId="0A410507" w14:textId="77777777" w:rsidR="004B0883" w:rsidRDefault="004B0883">
            <w:pPr>
              <w:adjustRightInd w:val="0"/>
              <w:snapToGrid w:val="0"/>
              <w:jc w:val="right"/>
              <w:rPr>
                <w:color w:val="000000"/>
                <w:sz w:val="18"/>
                <w:szCs w:val="18"/>
              </w:rPr>
            </w:pPr>
            <w:r>
              <w:rPr>
                <w:rFonts w:eastAsia="等线"/>
                <w:color w:val="000000"/>
                <w:kern w:val="0"/>
                <w:sz w:val="18"/>
                <w:szCs w:val="18"/>
                <w:lang w:bidi="ar"/>
              </w:rPr>
              <w:t>5,066.31</w:t>
            </w:r>
          </w:p>
        </w:tc>
        <w:tc>
          <w:tcPr>
            <w:tcW w:w="757" w:type="pct"/>
            <w:tcMar>
              <w:top w:w="0" w:type="dxa"/>
              <w:bottom w:w="0" w:type="dxa"/>
            </w:tcMar>
            <w:vAlign w:val="center"/>
          </w:tcPr>
          <w:p w14:paraId="7B6A851A" w14:textId="77777777" w:rsidR="004B0883" w:rsidRDefault="004B0883">
            <w:pPr>
              <w:adjustRightInd w:val="0"/>
              <w:snapToGrid w:val="0"/>
              <w:jc w:val="right"/>
              <w:rPr>
                <w:color w:val="000000"/>
                <w:sz w:val="18"/>
                <w:szCs w:val="18"/>
              </w:rPr>
            </w:pPr>
            <w:r>
              <w:rPr>
                <w:rFonts w:eastAsia="等线"/>
                <w:color w:val="000000"/>
                <w:kern w:val="0"/>
                <w:sz w:val="18"/>
                <w:szCs w:val="18"/>
                <w:lang w:bidi="ar"/>
              </w:rPr>
              <w:t>5,901.18</w:t>
            </w:r>
          </w:p>
        </w:tc>
        <w:tc>
          <w:tcPr>
            <w:tcW w:w="757" w:type="pct"/>
            <w:tcMar>
              <w:top w:w="0" w:type="dxa"/>
              <w:bottom w:w="0" w:type="dxa"/>
            </w:tcMar>
            <w:vAlign w:val="center"/>
          </w:tcPr>
          <w:p w14:paraId="4081330D" w14:textId="77777777" w:rsidR="004B0883" w:rsidRDefault="004B0883">
            <w:pPr>
              <w:adjustRightInd w:val="0"/>
              <w:snapToGrid w:val="0"/>
              <w:jc w:val="right"/>
              <w:rPr>
                <w:color w:val="000000"/>
                <w:sz w:val="18"/>
                <w:szCs w:val="18"/>
              </w:rPr>
            </w:pPr>
            <w:r>
              <w:rPr>
                <w:rFonts w:eastAsia="等线"/>
                <w:color w:val="000000"/>
                <w:kern w:val="0"/>
                <w:sz w:val="18"/>
                <w:szCs w:val="18"/>
                <w:lang w:bidi="ar"/>
              </w:rPr>
              <w:t>5,250.60</w:t>
            </w:r>
          </w:p>
        </w:tc>
      </w:tr>
      <w:tr w:rsidR="004B0883" w14:paraId="559879F3" w14:textId="77777777">
        <w:trPr>
          <w:trHeight w:val="397"/>
          <w:jc w:val="center"/>
        </w:trPr>
        <w:tc>
          <w:tcPr>
            <w:tcW w:w="2729" w:type="pct"/>
            <w:tcMar>
              <w:top w:w="0" w:type="dxa"/>
              <w:bottom w:w="0" w:type="dxa"/>
            </w:tcMar>
            <w:vAlign w:val="center"/>
          </w:tcPr>
          <w:p w14:paraId="374A0854" w14:textId="77777777" w:rsidR="004B0883" w:rsidRDefault="004B0883">
            <w:pPr>
              <w:adjustRightInd w:val="0"/>
              <w:snapToGrid w:val="0"/>
              <w:rPr>
                <w:color w:val="000000"/>
                <w:sz w:val="18"/>
                <w:szCs w:val="18"/>
              </w:rPr>
            </w:pPr>
            <w:r>
              <w:rPr>
                <w:color w:val="000000"/>
                <w:sz w:val="18"/>
                <w:szCs w:val="18"/>
              </w:rPr>
              <w:t>归属于母公司所有者的净利润</w:t>
            </w:r>
          </w:p>
        </w:tc>
        <w:tc>
          <w:tcPr>
            <w:tcW w:w="755" w:type="pct"/>
            <w:tcMar>
              <w:top w:w="0" w:type="dxa"/>
              <w:bottom w:w="0" w:type="dxa"/>
            </w:tcMar>
            <w:vAlign w:val="center"/>
          </w:tcPr>
          <w:p w14:paraId="2E2E5D00" w14:textId="77777777" w:rsidR="004B0883" w:rsidRDefault="004B0883">
            <w:pPr>
              <w:adjustRightInd w:val="0"/>
              <w:snapToGrid w:val="0"/>
              <w:jc w:val="right"/>
              <w:rPr>
                <w:color w:val="000000"/>
                <w:sz w:val="18"/>
                <w:szCs w:val="18"/>
              </w:rPr>
            </w:pPr>
            <w:r>
              <w:rPr>
                <w:rFonts w:eastAsia="等线"/>
                <w:color w:val="000000"/>
                <w:kern w:val="0"/>
                <w:sz w:val="18"/>
                <w:szCs w:val="18"/>
                <w:lang w:bidi="ar"/>
              </w:rPr>
              <w:t>13,620.51</w:t>
            </w:r>
          </w:p>
        </w:tc>
        <w:tc>
          <w:tcPr>
            <w:tcW w:w="757" w:type="pct"/>
            <w:tcMar>
              <w:top w:w="0" w:type="dxa"/>
              <w:bottom w:w="0" w:type="dxa"/>
            </w:tcMar>
            <w:vAlign w:val="center"/>
          </w:tcPr>
          <w:p w14:paraId="43B2A4B6" w14:textId="77777777" w:rsidR="004B0883" w:rsidRDefault="004B0883">
            <w:pPr>
              <w:adjustRightInd w:val="0"/>
              <w:snapToGrid w:val="0"/>
              <w:jc w:val="right"/>
              <w:rPr>
                <w:color w:val="000000"/>
                <w:sz w:val="18"/>
                <w:szCs w:val="18"/>
              </w:rPr>
            </w:pPr>
            <w:r>
              <w:rPr>
                <w:rFonts w:eastAsia="等线"/>
                <w:color w:val="000000"/>
                <w:kern w:val="0"/>
                <w:sz w:val="18"/>
                <w:szCs w:val="18"/>
                <w:lang w:bidi="ar"/>
              </w:rPr>
              <w:t>6,099.35</w:t>
            </w:r>
          </w:p>
        </w:tc>
        <w:tc>
          <w:tcPr>
            <w:tcW w:w="757" w:type="pct"/>
            <w:tcMar>
              <w:top w:w="0" w:type="dxa"/>
              <w:bottom w:w="0" w:type="dxa"/>
            </w:tcMar>
            <w:vAlign w:val="center"/>
          </w:tcPr>
          <w:p w14:paraId="3765C08C" w14:textId="77777777" w:rsidR="004B0883" w:rsidRDefault="004B0883">
            <w:pPr>
              <w:adjustRightInd w:val="0"/>
              <w:snapToGrid w:val="0"/>
              <w:jc w:val="right"/>
              <w:rPr>
                <w:color w:val="000000"/>
                <w:sz w:val="18"/>
                <w:szCs w:val="18"/>
              </w:rPr>
            </w:pPr>
            <w:r>
              <w:rPr>
                <w:rFonts w:eastAsia="等线"/>
                <w:color w:val="000000"/>
                <w:kern w:val="0"/>
                <w:sz w:val="18"/>
                <w:szCs w:val="18"/>
                <w:lang w:bidi="ar"/>
              </w:rPr>
              <w:t>5,796.81</w:t>
            </w:r>
          </w:p>
        </w:tc>
      </w:tr>
      <w:tr w:rsidR="004B0883" w14:paraId="36DFC51F" w14:textId="77777777">
        <w:trPr>
          <w:trHeight w:val="454"/>
          <w:jc w:val="center"/>
        </w:trPr>
        <w:tc>
          <w:tcPr>
            <w:tcW w:w="2729" w:type="pct"/>
            <w:tcMar>
              <w:top w:w="0" w:type="dxa"/>
              <w:bottom w:w="0" w:type="dxa"/>
            </w:tcMar>
            <w:vAlign w:val="center"/>
          </w:tcPr>
          <w:p w14:paraId="558B36DE" w14:textId="77777777" w:rsidR="004B0883" w:rsidRDefault="004B0883">
            <w:pPr>
              <w:adjustRightInd w:val="0"/>
              <w:snapToGrid w:val="0"/>
              <w:rPr>
                <w:color w:val="000000"/>
                <w:sz w:val="18"/>
                <w:szCs w:val="18"/>
              </w:rPr>
            </w:pPr>
            <w:r>
              <w:rPr>
                <w:color w:val="000000"/>
                <w:sz w:val="18"/>
                <w:szCs w:val="18"/>
              </w:rPr>
              <w:t>现金分红</w:t>
            </w:r>
            <w:r>
              <w:rPr>
                <w:rFonts w:hint="eastAsia"/>
                <w:color w:val="000000"/>
                <w:sz w:val="18"/>
                <w:szCs w:val="18"/>
              </w:rPr>
              <w:t>总</w:t>
            </w:r>
            <w:r>
              <w:rPr>
                <w:color w:val="000000"/>
                <w:sz w:val="18"/>
                <w:szCs w:val="18"/>
              </w:rPr>
              <w:t>额</w:t>
            </w:r>
            <w:r>
              <w:rPr>
                <w:color w:val="000000"/>
                <w:sz w:val="18"/>
                <w:szCs w:val="18"/>
              </w:rPr>
              <w:t>/</w:t>
            </w:r>
            <w:r>
              <w:rPr>
                <w:color w:val="000000"/>
                <w:sz w:val="18"/>
                <w:szCs w:val="18"/>
              </w:rPr>
              <w:t>当期净利润</w:t>
            </w:r>
          </w:p>
        </w:tc>
        <w:tc>
          <w:tcPr>
            <w:tcW w:w="755" w:type="pct"/>
            <w:tcMar>
              <w:top w:w="0" w:type="dxa"/>
              <w:bottom w:w="0" w:type="dxa"/>
            </w:tcMar>
            <w:vAlign w:val="center"/>
          </w:tcPr>
          <w:p w14:paraId="58C4C973" w14:textId="77777777" w:rsidR="004B0883" w:rsidRDefault="004B0883">
            <w:pPr>
              <w:adjustRightInd w:val="0"/>
              <w:snapToGrid w:val="0"/>
              <w:jc w:val="right"/>
              <w:rPr>
                <w:rFonts w:eastAsia="等线"/>
                <w:color w:val="000000"/>
                <w:kern w:val="0"/>
                <w:sz w:val="18"/>
                <w:szCs w:val="18"/>
                <w:lang w:bidi="ar"/>
              </w:rPr>
            </w:pPr>
            <w:r>
              <w:rPr>
                <w:rFonts w:eastAsia="等线" w:hint="eastAsia"/>
                <w:color w:val="000000"/>
                <w:kern w:val="0"/>
                <w:sz w:val="18"/>
                <w:szCs w:val="18"/>
                <w:lang w:bidi="ar"/>
              </w:rPr>
              <w:t>37.20%</w:t>
            </w:r>
          </w:p>
        </w:tc>
        <w:tc>
          <w:tcPr>
            <w:tcW w:w="757" w:type="pct"/>
            <w:tcMar>
              <w:top w:w="0" w:type="dxa"/>
              <w:bottom w:w="0" w:type="dxa"/>
            </w:tcMar>
            <w:vAlign w:val="center"/>
          </w:tcPr>
          <w:p w14:paraId="107122B6" w14:textId="77777777" w:rsidR="004B0883" w:rsidRDefault="004B0883">
            <w:pPr>
              <w:adjustRightInd w:val="0"/>
              <w:snapToGrid w:val="0"/>
              <w:jc w:val="right"/>
              <w:rPr>
                <w:rFonts w:eastAsia="等线"/>
                <w:color w:val="000000"/>
                <w:kern w:val="0"/>
                <w:sz w:val="18"/>
                <w:szCs w:val="18"/>
                <w:lang w:bidi="ar"/>
              </w:rPr>
            </w:pPr>
            <w:r>
              <w:rPr>
                <w:rFonts w:eastAsia="等线" w:hint="eastAsia"/>
                <w:color w:val="000000"/>
                <w:kern w:val="0"/>
                <w:sz w:val="18"/>
                <w:szCs w:val="18"/>
                <w:lang w:bidi="ar"/>
              </w:rPr>
              <w:t>96.75%</w:t>
            </w:r>
          </w:p>
        </w:tc>
        <w:tc>
          <w:tcPr>
            <w:tcW w:w="757" w:type="pct"/>
            <w:tcMar>
              <w:top w:w="0" w:type="dxa"/>
              <w:bottom w:w="0" w:type="dxa"/>
            </w:tcMar>
            <w:vAlign w:val="center"/>
          </w:tcPr>
          <w:p w14:paraId="5F4D631A" w14:textId="77777777" w:rsidR="004B0883" w:rsidRDefault="004B0883">
            <w:pPr>
              <w:adjustRightInd w:val="0"/>
              <w:snapToGrid w:val="0"/>
              <w:jc w:val="right"/>
              <w:rPr>
                <w:rFonts w:eastAsia="等线"/>
                <w:color w:val="000000"/>
                <w:kern w:val="0"/>
                <w:sz w:val="18"/>
                <w:szCs w:val="18"/>
                <w:lang w:bidi="ar"/>
              </w:rPr>
            </w:pPr>
            <w:r>
              <w:rPr>
                <w:rFonts w:eastAsia="等线" w:hint="eastAsia"/>
                <w:color w:val="000000"/>
                <w:kern w:val="0"/>
                <w:sz w:val="18"/>
                <w:szCs w:val="18"/>
                <w:lang w:bidi="ar"/>
              </w:rPr>
              <w:t>90.58%</w:t>
            </w:r>
          </w:p>
        </w:tc>
      </w:tr>
      <w:tr w:rsidR="004B0883" w14:paraId="6625DB2C" w14:textId="77777777">
        <w:trPr>
          <w:trHeight w:val="397"/>
          <w:jc w:val="center"/>
        </w:trPr>
        <w:tc>
          <w:tcPr>
            <w:tcW w:w="2729" w:type="pct"/>
            <w:tcMar>
              <w:top w:w="0" w:type="dxa"/>
              <w:bottom w:w="0" w:type="dxa"/>
            </w:tcMar>
            <w:vAlign w:val="center"/>
          </w:tcPr>
          <w:p w14:paraId="419A0696" w14:textId="77777777" w:rsidR="004B0883" w:rsidRDefault="004B0883">
            <w:pPr>
              <w:adjustRightInd w:val="0"/>
              <w:snapToGrid w:val="0"/>
              <w:rPr>
                <w:color w:val="000000"/>
                <w:sz w:val="18"/>
                <w:szCs w:val="18"/>
              </w:rPr>
            </w:pPr>
            <w:r>
              <w:rPr>
                <w:color w:val="000000"/>
                <w:sz w:val="18"/>
                <w:szCs w:val="18"/>
              </w:rPr>
              <w:t>最近三年累计现金分红</w:t>
            </w:r>
            <w:r>
              <w:rPr>
                <w:rFonts w:hint="eastAsia"/>
                <w:color w:val="000000"/>
                <w:sz w:val="18"/>
                <w:szCs w:val="18"/>
              </w:rPr>
              <w:t>总</w:t>
            </w:r>
            <w:r>
              <w:rPr>
                <w:color w:val="000000"/>
                <w:sz w:val="18"/>
                <w:szCs w:val="18"/>
              </w:rPr>
              <w:t>额</w:t>
            </w:r>
          </w:p>
        </w:tc>
        <w:tc>
          <w:tcPr>
            <w:tcW w:w="2270" w:type="pct"/>
            <w:gridSpan w:val="3"/>
            <w:tcMar>
              <w:top w:w="0" w:type="dxa"/>
              <w:bottom w:w="0" w:type="dxa"/>
            </w:tcMar>
            <w:vAlign w:val="center"/>
          </w:tcPr>
          <w:p w14:paraId="4CFB778B" w14:textId="77777777" w:rsidR="004B0883" w:rsidRDefault="004B0883">
            <w:pPr>
              <w:adjustRightInd w:val="0"/>
              <w:snapToGrid w:val="0"/>
              <w:jc w:val="right"/>
              <w:rPr>
                <w:color w:val="000000"/>
                <w:sz w:val="18"/>
                <w:szCs w:val="18"/>
              </w:rPr>
            </w:pPr>
            <w:r>
              <w:rPr>
                <w:rFonts w:eastAsia="等线"/>
                <w:color w:val="000000"/>
                <w:kern w:val="0"/>
                <w:sz w:val="18"/>
                <w:szCs w:val="18"/>
                <w:lang w:bidi="ar"/>
              </w:rPr>
              <w:t>16,218.09</w:t>
            </w:r>
          </w:p>
        </w:tc>
      </w:tr>
      <w:tr w:rsidR="004B0883" w14:paraId="5DC0C3F5" w14:textId="77777777">
        <w:trPr>
          <w:trHeight w:val="397"/>
          <w:jc w:val="center"/>
        </w:trPr>
        <w:tc>
          <w:tcPr>
            <w:tcW w:w="2729" w:type="pct"/>
            <w:tcMar>
              <w:top w:w="0" w:type="dxa"/>
              <w:bottom w:w="0" w:type="dxa"/>
            </w:tcMar>
            <w:vAlign w:val="center"/>
          </w:tcPr>
          <w:p w14:paraId="5556125B" w14:textId="77777777" w:rsidR="004B0883" w:rsidRDefault="004B0883">
            <w:pPr>
              <w:adjustRightInd w:val="0"/>
              <w:snapToGrid w:val="0"/>
              <w:rPr>
                <w:color w:val="000000"/>
                <w:sz w:val="18"/>
                <w:szCs w:val="18"/>
              </w:rPr>
            </w:pPr>
            <w:r>
              <w:rPr>
                <w:color w:val="000000"/>
                <w:sz w:val="18"/>
                <w:szCs w:val="18"/>
              </w:rPr>
              <w:t>最近三年年均</w:t>
            </w:r>
            <w:r>
              <w:rPr>
                <w:rFonts w:hint="eastAsia"/>
                <w:color w:val="000000"/>
                <w:sz w:val="18"/>
                <w:szCs w:val="18"/>
              </w:rPr>
              <w:t>归母</w:t>
            </w:r>
            <w:r>
              <w:rPr>
                <w:color w:val="000000"/>
                <w:sz w:val="18"/>
                <w:szCs w:val="18"/>
              </w:rPr>
              <w:t>净利润</w:t>
            </w:r>
          </w:p>
        </w:tc>
        <w:tc>
          <w:tcPr>
            <w:tcW w:w="2270" w:type="pct"/>
            <w:gridSpan w:val="3"/>
            <w:tcMar>
              <w:top w:w="0" w:type="dxa"/>
              <w:bottom w:w="0" w:type="dxa"/>
            </w:tcMar>
            <w:vAlign w:val="center"/>
          </w:tcPr>
          <w:p w14:paraId="620B120F" w14:textId="77777777" w:rsidR="004B0883" w:rsidRDefault="004B0883">
            <w:pPr>
              <w:adjustRightInd w:val="0"/>
              <w:snapToGrid w:val="0"/>
              <w:jc w:val="right"/>
              <w:rPr>
                <w:color w:val="000000"/>
                <w:sz w:val="18"/>
                <w:szCs w:val="18"/>
              </w:rPr>
            </w:pPr>
            <w:r>
              <w:rPr>
                <w:rFonts w:eastAsia="等线"/>
                <w:color w:val="000000"/>
                <w:kern w:val="0"/>
                <w:sz w:val="18"/>
                <w:szCs w:val="18"/>
                <w:lang w:bidi="ar"/>
              </w:rPr>
              <w:t>8,505.56</w:t>
            </w:r>
          </w:p>
        </w:tc>
      </w:tr>
      <w:tr w:rsidR="004B0883" w14:paraId="5678D473" w14:textId="77777777">
        <w:trPr>
          <w:trHeight w:val="397"/>
          <w:jc w:val="center"/>
        </w:trPr>
        <w:tc>
          <w:tcPr>
            <w:tcW w:w="2729" w:type="pct"/>
            <w:tcMar>
              <w:top w:w="0" w:type="dxa"/>
              <w:bottom w:w="0" w:type="dxa"/>
            </w:tcMar>
            <w:vAlign w:val="center"/>
          </w:tcPr>
          <w:p w14:paraId="472A672B" w14:textId="77777777" w:rsidR="004B0883" w:rsidRDefault="004B0883">
            <w:pPr>
              <w:adjustRightInd w:val="0"/>
              <w:snapToGrid w:val="0"/>
              <w:rPr>
                <w:color w:val="000000"/>
                <w:sz w:val="18"/>
                <w:szCs w:val="18"/>
              </w:rPr>
            </w:pPr>
            <w:r>
              <w:rPr>
                <w:color w:val="000000"/>
                <w:sz w:val="18"/>
                <w:szCs w:val="18"/>
              </w:rPr>
              <w:t>最近三年累计现金分红</w:t>
            </w:r>
            <w:r>
              <w:rPr>
                <w:rFonts w:hint="eastAsia"/>
                <w:color w:val="000000"/>
                <w:sz w:val="18"/>
                <w:szCs w:val="18"/>
              </w:rPr>
              <w:t>总</w:t>
            </w:r>
            <w:r>
              <w:rPr>
                <w:color w:val="000000"/>
                <w:sz w:val="18"/>
                <w:szCs w:val="18"/>
              </w:rPr>
              <w:t>额</w:t>
            </w:r>
            <w:r>
              <w:rPr>
                <w:color w:val="000000"/>
                <w:sz w:val="18"/>
                <w:szCs w:val="18"/>
              </w:rPr>
              <w:t>/</w:t>
            </w:r>
            <w:r>
              <w:rPr>
                <w:color w:val="000000"/>
                <w:sz w:val="18"/>
                <w:szCs w:val="18"/>
              </w:rPr>
              <w:t>最近三年年均</w:t>
            </w:r>
            <w:r>
              <w:rPr>
                <w:rFonts w:hint="eastAsia"/>
                <w:color w:val="000000"/>
                <w:sz w:val="18"/>
                <w:szCs w:val="18"/>
              </w:rPr>
              <w:t>归母</w:t>
            </w:r>
            <w:r>
              <w:rPr>
                <w:color w:val="000000"/>
                <w:sz w:val="18"/>
                <w:szCs w:val="18"/>
              </w:rPr>
              <w:t>净利润</w:t>
            </w:r>
          </w:p>
        </w:tc>
        <w:tc>
          <w:tcPr>
            <w:tcW w:w="2270" w:type="pct"/>
            <w:gridSpan w:val="3"/>
            <w:tcMar>
              <w:top w:w="0" w:type="dxa"/>
              <w:bottom w:w="0" w:type="dxa"/>
            </w:tcMar>
            <w:vAlign w:val="center"/>
          </w:tcPr>
          <w:p w14:paraId="40C4BC4E" w14:textId="77777777" w:rsidR="004B0883" w:rsidRDefault="004B0883">
            <w:pPr>
              <w:adjustRightInd w:val="0"/>
              <w:snapToGrid w:val="0"/>
              <w:jc w:val="right"/>
              <w:rPr>
                <w:color w:val="000000"/>
                <w:sz w:val="18"/>
                <w:szCs w:val="18"/>
              </w:rPr>
            </w:pPr>
            <w:r>
              <w:rPr>
                <w:rFonts w:eastAsia="等线"/>
                <w:color w:val="000000"/>
                <w:kern w:val="0"/>
                <w:sz w:val="18"/>
                <w:szCs w:val="18"/>
                <w:lang w:bidi="ar"/>
              </w:rPr>
              <w:t>190.68%</w:t>
            </w:r>
          </w:p>
        </w:tc>
      </w:tr>
    </w:tbl>
    <w:p w14:paraId="747B30FE" w14:textId="77777777" w:rsidR="004B0883" w:rsidRDefault="004B0883">
      <w:pPr>
        <w:pStyle w:val="005"/>
        <w:spacing w:before="120"/>
        <w:ind w:firstLine="480"/>
        <w:rPr>
          <w:rFonts w:hint="eastAsia"/>
        </w:rPr>
      </w:pPr>
      <w:r>
        <w:rPr>
          <w:rFonts w:hint="eastAsia"/>
        </w:rPr>
        <w:t>公司最近三年的分红情况符合相关法律法规和公司章程规定。</w:t>
      </w:r>
    </w:p>
    <w:p w14:paraId="35136BB9" w14:textId="77777777" w:rsidR="004B0883" w:rsidRDefault="004B0883">
      <w:pPr>
        <w:pStyle w:val="004"/>
        <w:spacing w:before="120" w:after="120"/>
        <w:ind w:firstLine="482"/>
        <w:rPr>
          <w:rFonts w:hint="eastAsia"/>
        </w:rPr>
      </w:pPr>
      <w:r>
        <w:rPr>
          <w:rFonts w:hint="eastAsia"/>
        </w:rPr>
        <w:t>3</w:t>
      </w:r>
      <w:r>
        <w:rPr>
          <w:rFonts w:hint="eastAsia"/>
        </w:rPr>
        <w:t>、最近三年未分配利润使用情况</w:t>
      </w:r>
    </w:p>
    <w:p w14:paraId="45185DF7" w14:textId="77777777" w:rsidR="004B0883" w:rsidRDefault="004B0883">
      <w:pPr>
        <w:pStyle w:val="005"/>
        <w:spacing w:before="120"/>
        <w:ind w:firstLine="480"/>
        <w:rPr>
          <w:rFonts w:ascii="open_sansregular" w:hAnsi="open_sansregular" w:cs="宋体" w:hint="eastAsia"/>
          <w:color w:val="171F46"/>
          <w:kern w:val="0"/>
        </w:rPr>
      </w:pPr>
      <w:r>
        <w:rPr>
          <w:rFonts w:hint="eastAsia"/>
        </w:rPr>
        <w:t>公司最近三年的未分配利润作为公司业务发展资金的一部分，主要用于公司经营活动，以提高公司盈利能力，支持公司发展战略的实施及可持续发展。</w:t>
      </w:r>
    </w:p>
    <w:p w14:paraId="52D9AAB1" w14:textId="77777777" w:rsidR="004B0883" w:rsidRDefault="004B0883">
      <w:pPr>
        <w:pStyle w:val="002"/>
        <w:spacing w:before="120" w:after="120"/>
        <w:rPr>
          <w:rFonts w:hint="eastAsia"/>
        </w:rPr>
      </w:pPr>
      <w:bookmarkStart w:id="289" w:name="_Toc42001333"/>
      <w:bookmarkStart w:id="290" w:name="_Toc523129039"/>
      <w:bookmarkStart w:id="291" w:name="_Toc152320802"/>
      <w:bookmarkEnd w:id="216"/>
      <w:r>
        <w:rPr>
          <w:rFonts w:hint="eastAsia"/>
        </w:rPr>
        <w:t>十四、最近三年及一期债券发行情况及支付可转债利息能力的测算</w:t>
      </w:r>
      <w:bookmarkEnd w:id="289"/>
      <w:bookmarkEnd w:id="290"/>
      <w:bookmarkEnd w:id="291"/>
    </w:p>
    <w:p w14:paraId="0376199A" w14:textId="77777777" w:rsidR="004B0883" w:rsidRDefault="004B0883">
      <w:pPr>
        <w:pStyle w:val="003"/>
        <w:spacing w:before="120" w:after="120"/>
        <w:rPr>
          <w:rFonts w:hint="eastAsia"/>
        </w:rPr>
      </w:pPr>
      <w:bookmarkStart w:id="292" w:name="_Toc523129040"/>
      <w:r>
        <w:rPr>
          <w:rFonts w:hint="eastAsia"/>
        </w:rPr>
        <w:t>（一）最近三年及一期公司债券发行情况</w:t>
      </w:r>
    </w:p>
    <w:p w14:paraId="64C0DF7E" w14:textId="77777777" w:rsidR="004B0883" w:rsidRDefault="004B0883">
      <w:pPr>
        <w:pStyle w:val="005"/>
        <w:spacing w:before="120"/>
        <w:ind w:firstLine="480"/>
        <w:rPr>
          <w:rFonts w:hint="eastAsia"/>
          <w:sz w:val="21"/>
          <w:szCs w:val="21"/>
        </w:rPr>
      </w:pPr>
      <w:bookmarkStart w:id="293" w:name="_Hlk124292517"/>
      <w:r>
        <w:rPr>
          <w:rFonts w:hint="eastAsia"/>
        </w:rPr>
        <w:t>公司最近三年及一期无</w:t>
      </w:r>
      <w:r>
        <w:rPr>
          <w:rFonts w:ascii="宋体" w:hAnsi="宋体" w:hint="eastAsia"/>
          <w:szCs w:val="24"/>
        </w:rPr>
        <w:t>债券发行情况。</w:t>
      </w:r>
    </w:p>
    <w:bookmarkEnd w:id="292"/>
    <w:bookmarkEnd w:id="293"/>
    <w:p w14:paraId="564AC79A" w14:textId="77777777" w:rsidR="004B0883" w:rsidRDefault="004B0883">
      <w:pPr>
        <w:pStyle w:val="003"/>
        <w:spacing w:before="120" w:after="120"/>
        <w:rPr>
          <w:rFonts w:hint="eastAsia"/>
        </w:rPr>
      </w:pPr>
      <w:r>
        <w:rPr>
          <w:rFonts w:hint="eastAsia"/>
        </w:rPr>
        <w:t>（二）资信评级情况</w:t>
      </w:r>
    </w:p>
    <w:p w14:paraId="0DD84F31" w14:textId="77777777" w:rsidR="004B0883" w:rsidRDefault="004B0883">
      <w:pPr>
        <w:pStyle w:val="005"/>
        <w:spacing w:before="120"/>
        <w:ind w:firstLine="480"/>
        <w:rPr>
          <w:rFonts w:hint="eastAsia"/>
        </w:rPr>
      </w:pPr>
      <w:r>
        <w:rPr>
          <w:rFonts w:hint="eastAsia"/>
        </w:rPr>
        <w:t>本次可转换公司债券经中证鹏元评级，根据其出具的《青岛伟隆阀门股份有限公司向不特定对象发行可转换公司债券信用评级报告》（中鹏信评【</w:t>
      </w:r>
      <w:r>
        <w:rPr>
          <w:rFonts w:hint="eastAsia"/>
        </w:rPr>
        <w:t>2023</w:t>
      </w:r>
      <w:r>
        <w:rPr>
          <w:rFonts w:hint="eastAsia"/>
        </w:rPr>
        <w:t>】第</w:t>
      </w:r>
      <w:r>
        <w:rPr>
          <w:rFonts w:hint="eastAsia"/>
        </w:rPr>
        <w:t>Z</w:t>
      </w:r>
      <w:r>
        <w:rPr>
          <w:rFonts w:hint="eastAsia"/>
        </w:rPr>
        <w:t>【</w:t>
      </w:r>
      <w:r>
        <w:rPr>
          <w:rFonts w:hint="eastAsia"/>
        </w:rPr>
        <w:t>2054</w:t>
      </w:r>
      <w:r>
        <w:rPr>
          <w:rFonts w:hint="eastAsia"/>
        </w:rPr>
        <w:t>】号），伟隆股份主体信用等级为</w:t>
      </w:r>
      <w:r>
        <w:rPr>
          <w:rFonts w:hint="eastAsia"/>
        </w:rPr>
        <w:t>A</w:t>
      </w:r>
      <w:r>
        <w:rPr>
          <w:rFonts w:hint="eastAsia"/>
        </w:rPr>
        <w:t>，本次可转换公司债券信用等级为</w:t>
      </w:r>
      <w:r>
        <w:rPr>
          <w:rFonts w:hint="eastAsia"/>
        </w:rPr>
        <w:t>A</w:t>
      </w:r>
      <w:r>
        <w:rPr>
          <w:rFonts w:hint="eastAsia"/>
        </w:rPr>
        <w:t>，评级展望稳定。</w:t>
      </w:r>
    </w:p>
    <w:p w14:paraId="3E62C206" w14:textId="77777777" w:rsidR="004B0883" w:rsidRDefault="004B0883">
      <w:pPr>
        <w:pStyle w:val="001"/>
        <w:spacing w:before="120" w:after="120"/>
        <w:rPr>
          <w:rFonts w:hint="eastAsia"/>
          <w:kern w:val="44"/>
        </w:rPr>
      </w:pPr>
      <w:bookmarkStart w:id="294" w:name="_Toc152320803"/>
      <w:bookmarkStart w:id="295" w:name="_Toc531080724"/>
      <w:bookmarkStart w:id="296" w:name="_Toc531080721"/>
      <w:bookmarkEnd w:id="111"/>
      <w:r>
        <w:rPr>
          <w:rFonts w:hint="eastAsia"/>
          <w:kern w:val="44"/>
        </w:rPr>
        <w:t>第五节</w:t>
      </w:r>
      <w:r>
        <w:rPr>
          <w:rFonts w:hint="eastAsia"/>
          <w:kern w:val="44"/>
        </w:rPr>
        <w:t xml:space="preserve"> </w:t>
      </w:r>
      <w:r>
        <w:rPr>
          <w:rFonts w:hint="eastAsia"/>
          <w:kern w:val="44"/>
        </w:rPr>
        <w:t>财务会计信息与管理层分析</w:t>
      </w:r>
      <w:bookmarkEnd w:id="294"/>
    </w:p>
    <w:p w14:paraId="6DBA34FF" w14:textId="77777777" w:rsidR="004B0883" w:rsidRDefault="004B0883">
      <w:pPr>
        <w:pStyle w:val="005"/>
        <w:spacing w:before="120"/>
        <w:ind w:firstLine="480"/>
        <w:rPr>
          <w:rFonts w:hint="eastAsia"/>
        </w:rPr>
      </w:pPr>
      <w:r>
        <w:rPr>
          <w:rFonts w:hint="eastAsia"/>
        </w:rPr>
        <w:t>本节引用的财务会计信息，非经特别说明，均引自公司</w:t>
      </w:r>
      <w:r>
        <w:t>2020</w:t>
      </w:r>
      <w:r>
        <w:rPr>
          <w:rFonts w:hint="eastAsia"/>
        </w:rPr>
        <w:t>年度、</w:t>
      </w:r>
      <w:r>
        <w:rPr>
          <w:rFonts w:hint="eastAsia"/>
        </w:rPr>
        <w:t>20</w:t>
      </w:r>
      <w:r>
        <w:t>21</w:t>
      </w:r>
      <w:r>
        <w:rPr>
          <w:rFonts w:hint="eastAsia"/>
        </w:rPr>
        <w:t>年度、</w:t>
      </w:r>
      <w:r>
        <w:rPr>
          <w:rFonts w:hint="eastAsia"/>
        </w:rPr>
        <w:t>20</w:t>
      </w:r>
      <w:r>
        <w:t>22</w:t>
      </w:r>
      <w:r>
        <w:rPr>
          <w:rFonts w:hint="eastAsia"/>
        </w:rPr>
        <w:t>年度经审计的财务报告以及公司未经审计的</w:t>
      </w:r>
      <w:r>
        <w:rPr>
          <w:rFonts w:hint="eastAsia"/>
        </w:rPr>
        <w:t>202</w:t>
      </w:r>
      <w:r>
        <w:t>3</w:t>
      </w:r>
      <w:r>
        <w:rPr>
          <w:rFonts w:hint="eastAsia"/>
        </w:rPr>
        <w:t>年三季度财务报告，财务指标根据上述财务报表为基础编制。投资者欲对公司的财务状况、经营成果及会计政策进行更详细的了解，请阅读财务报告及审计报告全文。</w:t>
      </w:r>
    </w:p>
    <w:p w14:paraId="1B900C28" w14:textId="77777777" w:rsidR="004B0883" w:rsidRDefault="004B0883">
      <w:pPr>
        <w:pStyle w:val="002"/>
        <w:spacing w:before="120" w:after="120"/>
        <w:rPr>
          <w:rFonts w:hint="eastAsia"/>
        </w:rPr>
      </w:pPr>
      <w:bookmarkStart w:id="297" w:name="_Toc152320804"/>
      <w:r>
        <w:rPr>
          <w:rFonts w:hint="eastAsia"/>
        </w:rPr>
        <w:t>一、财务报告及审计情况</w:t>
      </w:r>
      <w:bookmarkEnd w:id="297"/>
    </w:p>
    <w:p w14:paraId="002F1534" w14:textId="77777777" w:rsidR="004B0883" w:rsidRDefault="004B0883">
      <w:pPr>
        <w:pStyle w:val="005"/>
        <w:spacing w:before="120"/>
        <w:ind w:firstLine="480"/>
        <w:rPr>
          <w:rFonts w:hint="eastAsia"/>
        </w:rPr>
      </w:pPr>
      <w:r>
        <w:rPr>
          <w:rFonts w:hint="eastAsia"/>
        </w:rPr>
        <w:t>和信会计师事务所（特殊普通合伙）对公司</w:t>
      </w:r>
      <w:r>
        <w:rPr>
          <w:rFonts w:hint="eastAsia"/>
        </w:rPr>
        <w:t>2020</w:t>
      </w:r>
      <w:r>
        <w:rPr>
          <w:rFonts w:hint="eastAsia"/>
        </w:rPr>
        <w:t>年、</w:t>
      </w:r>
      <w:r>
        <w:rPr>
          <w:rFonts w:hint="eastAsia"/>
        </w:rPr>
        <w:t>2021</w:t>
      </w:r>
      <w:r>
        <w:rPr>
          <w:rFonts w:hint="eastAsia"/>
        </w:rPr>
        <w:t>年、</w:t>
      </w:r>
      <w:r>
        <w:rPr>
          <w:rFonts w:hint="eastAsia"/>
        </w:rPr>
        <w:t>2</w:t>
      </w:r>
      <w:r>
        <w:t>022</w:t>
      </w:r>
      <w:r>
        <w:rPr>
          <w:rFonts w:hint="eastAsia"/>
        </w:rPr>
        <w:t>年的财务报告进行审计，出具了和信审字（</w:t>
      </w:r>
      <w:r>
        <w:rPr>
          <w:rFonts w:hint="eastAsia"/>
        </w:rPr>
        <w:t>2023</w:t>
      </w:r>
      <w:r>
        <w:rPr>
          <w:rFonts w:hint="eastAsia"/>
        </w:rPr>
        <w:t>）第</w:t>
      </w:r>
      <w:r>
        <w:rPr>
          <w:rFonts w:hint="eastAsia"/>
        </w:rPr>
        <w:t>001051</w:t>
      </w:r>
      <w:r>
        <w:rPr>
          <w:rFonts w:hint="eastAsia"/>
        </w:rPr>
        <w:t>号审计报告，公司</w:t>
      </w:r>
      <w:r>
        <w:rPr>
          <w:rFonts w:hint="eastAsia"/>
        </w:rPr>
        <w:t>202</w:t>
      </w:r>
      <w:r>
        <w:t>3</w:t>
      </w:r>
      <w:r>
        <w:rPr>
          <w:rFonts w:hint="eastAsia"/>
        </w:rPr>
        <w:t>年</w:t>
      </w:r>
      <w:r>
        <w:rPr>
          <w:rFonts w:hint="eastAsia"/>
        </w:rPr>
        <w:t>1-</w:t>
      </w:r>
      <w:r>
        <w:t>9</w:t>
      </w:r>
      <w:r>
        <w:rPr>
          <w:rFonts w:hint="eastAsia"/>
        </w:rPr>
        <w:t>月的财务数据未经审计。</w:t>
      </w:r>
    </w:p>
    <w:p w14:paraId="294D27FC" w14:textId="77777777" w:rsidR="004B0883" w:rsidRDefault="004B0883">
      <w:pPr>
        <w:pStyle w:val="002"/>
        <w:spacing w:before="120" w:after="120"/>
        <w:rPr>
          <w:rFonts w:hint="eastAsia"/>
        </w:rPr>
      </w:pPr>
      <w:bookmarkStart w:id="298" w:name="_Toc152320805"/>
      <w:r>
        <w:rPr>
          <w:rFonts w:hint="eastAsia"/>
        </w:rPr>
        <w:t>二、最近三年一期的财务报表</w:t>
      </w:r>
      <w:bookmarkEnd w:id="298"/>
    </w:p>
    <w:p w14:paraId="1003BBF4" w14:textId="77777777" w:rsidR="004B0883" w:rsidRDefault="004B0883">
      <w:pPr>
        <w:pStyle w:val="003"/>
        <w:spacing w:before="120" w:after="120"/>
        <w:rPr>
          <w:rFonts w:hint="eastAsia"/>
        </w:rPr>
      </w:pPr>
      <w:r>
        <w:rPr>
          <w:rFonts w:hint="eastAsia"/>
        </w:rPr>
        <w:t>（一）资产负债表</w:t>
      </w:r>
    </w:p>
    <w:p w14:paraId="7A4E337D" w14:textId="77777777" w:rsidR="004B0883" w:rsidRDefault="004B0883">
      <w:pPr>
        <w:pStyle w:val="004"/>
        <w:spacing w:before="120" w:after="120"/>
        <w:ind w:firstLine="482"/>
      </w:pPr>
      <w:r>
        <w:t>1</w:t>
      </w:r>
      <w:r>
        <w:t>、合并资产负债表</w:t>
      </w:r>
    </w:p>
    <w:p w14:paraId="251A36ED" w14:textId="77777777" w:rsidR="004B0883" w:rsidRDefault="004B0883">
      <w:pPr>
        <w:pStyle w:val="009"/>
      </w:pPr>
      <w: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545"/>
        <w:gridCol w:w="1433"/>
        <w:gridCol w:w="1434"/>
        <w:gridCol w:w="1434"/>
        <w:gridCol w:w="1434"/>
      </w:tblGrid>
      <w:tr w:rsidR="004B0883" w14:paraId="15B44EB0" w14:textId="77777777">
        <w:trPr>
          <w:trHeight w:val="397"/>
          <w:tblHeader/>
          <w:jc w:val="center"/>
        </w:trPr>
        <w:tc>
          <w:tcPr>
            <w:tcW w:w="2626" w:type="dxa"/>
            <w:shd w:val="clear" w:color="auto" w:fill="D9D9D9"/>
            <w:vAlign w:val="center"/>
          </w:tcPr>
          <w:p w14:paraId="79B9E6F4" w14:textId="77777777" w:rsidR="004B0883" w:rsidRDefault="004B0883">
            <w:pPr>
              <w:adjustRightInd w:val="0"/>
              <w:snapToGrid w:val="0"/>
              <w:jc w:val="center"/>
              <w:rPr>
                <w:b/>
                <w:bCs/>
                <w:color w:val="000000"/>
                <w:kern w:val="0"/>
              </w:rPr>
            </w:pPr>
            <w:bookmarkStart w:id="299" w:name="_Hlk150376953"/>
            <w:r>
              <w:rPr>
                <w:b/>
                <w:bCs/>
                <w:color w:val="000000"/>
                <w:kern w:val="0"/>
              </w:rPr>
              <w:t>项目</w:t>
            </w:r>
          </w:p>
        </w:tc>
        <w:tc>
          <w:tcPr>
            <w:tcW w:w="1475" w:type="dxa"/>
            <w:shd w:val="clear" w:color="auto" w:fill="D9D9D9"/>
            <w:vAlign w:val="center"/>
          </w:tcPr>
          <w:p w14:paraId="6BDE1C11" w14:textId="77777777" w:rsidR="004B0883" w:rsidRDefault="004B0883">
            <w:pPr>
              <w:adjustRightInd w:val="0"/>
              <w:snapToGrid w:val="0"/>
              <w:jc w:val="center"/>
              <w:rPr>
                <w:b/>
                <w:bCs/>
                <w:color w:val="000000"/>
                <w:kern w:val="0"/>
              </w:rPr>
            </w:pPr>
            <w:r>
              <w:rPr>
                <w:b/>
                <w:bCs/>
                <w:color w:val="000000"/>
                <w:kern w:val="0"/>
              </w:rPr>
              <w:t>2023.</w:t>
            </w:r>
            <w:r>
              <w:rPr>
                <w:rFonts w:hint="eastAsia"/>
                <w:b/>
                <w:bCs/>
                <w:color w:val="000000"/>
                <w:kern w:val="0"/>
              </w:rPr>
              <w:t>9</w:t>
            </w:r>
            <w:r>
              <w:rPr>
                <w:b/>
                <w:bCs/>
                <w:color w:val="000000"/>
                <w:kern w:val="0"/>
              </w:rPr>
              <w:t>.30</w:t>
            </w:r>
          </w:p>
        </w:tc>
        <w:tc>
          <w:tcPr>
            <w:tcW w:w="1475" w:type="dxa"/>
            <w:shd w:val="clear" w:color="auto" w:fill="D9D9D9"/>
            <w:vAlign w:val="center"/>
          </w:tcPr>
          <w:p w14:paraId="42E7BB13" w14:textId="77777777" w:rsidR="004B0883" w:rsidRDefault="004B0883">
            <w:pPr>
              <w:adjustRightInd w:val="0"/>
              <w:snapToGrid w:val="0"/>
              <w:jc w:val="center"/>
              <w:rPr>
                <w:b/>
                <w:bCs/>
                <w:color w:val="000000"/>
                <w:kern w:val="0"/>
              </w:rPr>
            </w:pPr>
            <w:r>
              <w:rPr>
                <w:b/>
                <w:bCs/>
                <w:color w:val="000000"/>
                <w:kern w:val="0"/>
              </w:rPr>
              <w:t>2022.12.31</w:t>
            </w:r>
          </w:p>
        </w:tc>
        <w:tc>
          <w:tcPr>
            <w:tcW w:w="1475" w:type="dxa"/>
            <w:shd w:val="clear" w:color="auto" w:fill="D9D9D9"/>
            <w:vAlign w:val="center"/>
          </w:tcPr>
          <w:p w14:paraId="4F00AE54" w14:textId="77777777" w:rsidR="004B0883" w:rsidRDefault="004B0883">
            <w:pPr>
              <w:adjustRightInd w:val="0"/>
              <w:snapToGrid w:val="0"/>
              <w:jc w:val="center"/>
              <w:rPr>
                <w:b/>
                <w:bCs/>
                <w:color w:val="000000"/>
                <w:kern w:val="0"/>
              </w:rPr>
            </w:pPr>
            <w:r>
              <w:rPr>
                <w:b/>
                <w:bCs/>
                <w:color w:val="000000"/>
                <w:kern w:val="0"/>
              </w:rPr>
              <w:t>2021.12.31</w:t>
            </w:r>
          </w:p>
        </w:tc>
        <w:tc>
          <w:tcPr>
            <w:tcW w:w="1475" w:type="dxa"/>
            <w:shd w:val="clear" w:color="auto" w:fill="D9D9D9"/>
            <w:vAlign w:val="center"/>
          </w:tcPr>
          <w:p w14:paraId="682CB1F7" w14:textId="77777777" w:rsidR="004B0883" w:rsidRDefault="004B0883">
            <w:pPr>
              <w:adjustRightInd w:val="0"/>
              <w:snapToGrid w:val="0"/>
              <w:jc w:val="center"/>
              <w:rPr>
                <w:b/>
                <w:bCs/>
                <w:color w:val="000000"/>
                <w:kern w:val="0"/>
              </w:rPr>
            </w:pPr>
            <w:r>
              <w:rPr>
                <w:b/>
                <w:bCs/>
                <w:color w:val="000000"/>
                <w:kern w:val="0"/>
              </w:rPr>
              <w:t>2020.12.31</w:t>
            </w:r>
          </w:p>
        </w:tc>
      </w:tr>
      <w:tr w:rsidR="004B0883" w14:paraId="5FED9AF3" w14:textId="77777777">
        <w:trPr>
          <w:trHeight w:val="397"/>
          <w:jc w:val="center"/>
        </w:trPr>
        <w:tc>
          <w:tcPr>
            <w:tcW w:w="2626" w:type="dxa"/>
            <w:vAlign w:val="center"/>
          </w:tcPr>
          <w:p w14:paraId="413B7660" w14:textId="77777777" w:rsidR="004B0883" w:rsidRDefault="004B0883">
            <w:pPr>
              <w:adjustRightInd w:val="0"/>
              <w:snapToGrid w:val="0"/>
              <w:rPr>
                <w:b/>
                <w:bCs/>
                <w:kern w:val="0"/>
              </w:rPr>
            </w:pPr>
            <w:r>
              <w:rPr>
                <w:b/>
                <w:bCs/>
                <w:kern w:val="0"/>
              </w:rPr>
              <w:t>流动资产：</w:t>
            </w:r>
          </w:p>
        </w:tc>
        <w:tc>
          <w:tcPr>
            <w:tcW w:w="1475" w:type="dxa"/>
            <w:vAlign w:val="center"/>
          </w:tcPr>
          <w:p w14:paraId="213922CF" w14:textId="77777777" w:rsidR="004B0883" w:rsidRDefault="004B0883">
            <w:pPr>
              <w:adjustRightInd w:val="0"/>
              <w:snapToGrid w:val="0"/>
              <w:jc w:val="right"/>
              <w:rPr>
                <w:b/>
                <w:bCs/>
                <w:kern w:val="0"/>
              </w:rPr>
            </w:pPr>
          </w:p>
        </w:tc>
        <w:tc>
          <w:tcPr>
            <w:tcW w:w="1475" w:type="dxa"/>
            <w:vAlign w:val="center"/>
          </w:tcPr>
          <w:p w14:paraId="27F92230" w14:textId="77777777" w:rsidR="004B0883" w:rsidRDefault="004B0883">
            <w:pPr>
              <w:adjustRightInd w:val="0"/>
              <w:snapToGrid w:val="0"/>
              <w:jc w:val="right"/>
              <w:rPr>
                <w:kern w:val="0"/>
              </w:rPr>
            </w:pPr>
          </w:p>
        </w:tc>
        <w:tc>
          <w:tcPr>
            <w:tcW w:w="1475" w:type="dxa"/>
            <w:vAlign w:val="center"/>
          </w:tcPr>
          <w:p w14:paraId="1BA14DC0" w14:textId="77777777" w:rsidR="004B0883" w:rsidRDefault="004B0883">
            <w:pPr>
              <w:adjustRightInd w:val="0"/>
              <w:snapToGrid w:val="0"/>
              <w:jc w:val="right"/>
              <w:rPr>
                <w:kern w:val="0"/>
              </w:rPr>
            </w:pPr>
          </w:p>
        </w:tc>
        <w:tc>
          <w:tcPr>
            <w:tcW w:w="1475" w:type="dxa"/>
            <w:vAlign w:val="center"/>
          </w:tcPr>
          <w:p w14:paraId="16308F13" w14:textId="77777777" w:rsidR="004B0883" w:rsidRDefault="004B0883">
            <w:pPr>
              <w:adjustRightInd w:val="0"/>
              <w:snapToGrid w:val="0"/>
              <w:jc w:val="right"/>
              <w:rPr>
                <w:kern w:val="0"/>
              </w:rPr>
            </w:pPr>
          </w:p>
        </w:tc>
      </w:tr>
      <w:tr w:rsidR="004B0883" w14:paraId="68BC818E" w14:textId="77777777">
        <w:trPr>
          <w:trHeight w:val="397"/>
          <w:jc w:val="center"/>
        </w:trPr>
        <w:tc>
          <w:tcPr>
            <w:tcW w:w="2626" w:type="dxa"/>
            <w:vAlign w:val="center"/>
          </w:tcPr>
          <w:p w14:paraId="395E4E52" w14:textId="77777777" w:rsidR="004B0883" w:rsidRDefault="004B0883">
            <w:pPr>
              <w:adjustRightInd w:val="0"/>
              <w:snapToGrid w:val="0"/>
              <w:rPr>
                <w:kern w:val="0"/>
              </w:rPr>
            </w:pPr>
            <w:r>
              <w:rPr>
                <w:rFonts w:hint="eastAsia"/>
                <w:kern w:val="0"/>
              </w:rPr>
              <w:t>货币资金</w:t>
            </w:r>
          </w:p>
        </w:tc>
        <w:tc>
          <w:tcPr>
            <w:tcW w:w="1475" w:type="dxa"/>
            <w:vAlign w:val="center"/>
          </w:tcPr>
          <w:p w14:paraId="71EF64CC" w14:textId="77777777" w:rsidR="004B0883" w:rsidRDefault="004B0883">
            <w:pPr>
              <w:adjustRightInd w:val="0"/>
              <w:snapToGrid w:val="0"/>
              <w:jc w:val="right"/>
              <w:rPr>
                <w:color w:val="000000"/>
                <w:kern w:val="0"/>
              </w:rPr>
            </w:pPr>
            <w:r>
              <w:t>3,867.12</w:t>
            </w:r>
          </w:p>
        </w:tc>
        <w:tc>
          <w:tcPr>
            <w:tcW w:w="1475" w:type="dxa"/>
            <w:vAlign w:val="center"/>
          </w:tcPr>
          <w:p w14:paraId="07FACB1E" w14:textId="77777777" w:rsidR="004B0883" w:rsidRDefault="004B0883">
            <w:pPr>
              <w:adjustRightInd w:val="0"/>
              <w:snapToGrid w:val="0"/>
              <w:jc w:val="right"/>
              <w:rPr>
                <w:color w:val="000000"/>
                <w:kern w:val="0"/>
              </w:rPr>
            </w:pPr>
            <w:r>
              <w:rPr>
                <w:rFonts w:hint="eastAsia"/>
                <w:color w:val="000000"/>
                <w:kern w:val="0"/>
              </w:rPr>
              <w:t>16,426.13</w:t>
            </w:r>
          </w:p>
        </w:tc>
        <w:tc>
          <w:tcPr>
            <w:tcW w:w="1475" w:type="dxa"/>
            <w:vAlign w:val="center"/>
          </w:tcPr>
          <w:p w14:paraId="3B4EEBAE" w14:textId="77777777" w:rsidR="004B0883" w:rsidRDefault="004B0883">
            <w:pPr>
              <w:adjustRightInd w:val="0"/>
              <w:snapToGrid w:val="0"/>
              <w:jc w:val="right"/>
              <w:rPr>
                <w:color w:val="000000"/>
                <w:kern w:val="0"/>
              </w:rPr>
            </w:pPr>
            <w:r>
              <w:rPr>
                <w:rFonts w:hint="eastAsia"/>
                <w:color w:val="000000"/>
                <w:kern w:val="0"/>
              </w:rPr>
              <w:t>9,651.67</w:t>
            </w:r>
          </w:p>
        </w:tc>
        <w:tc>
          <w:tcPr>
            <w:tcW w:w="1475" w:type="dxa"/>
            <w:vAlign w:val="center"/>
          </w:tcPr>
          <w:p w14:paraId="5DB44B60" w14:textId="77777777" w:rsidR="004B0883" w:rsidRDefault="004B0883">
            <w:pPr>
              <w:adjustRightInd w:val="0"/>
              <w:snapToGrid w:val="0"/>
              <w:jc w:val="right"/>
              <w:rPr>
                <w:color w:val="000000"/>
                <w:kern w:val="0"/>
              </w:rPr>
            </w:pPr>
            <w:r>
              <w:rPr>
                <w:rFonts w:hint="eastAsia"/>
                <w:color w:val="000000"/>
                <w:kern w:val="0"/>
              </w:rPr>
              <w:t>5,771.53</w:t>
            </w:r>
          </w:p>
        </w:tc>
      </w:tr>
      <w:tr w:rsidR="004B0883" w14:paraId="2525592B" w14:textId="77777777">
        <w:trPr>
          <w:trHeight w:val="397"/>
          <w:jc w:val="center"/>
        </w:trPr>
        <w:tc>
          <w:tcPr>
            <w:tcW w:w="2626" w:type="dxa"/>
            <w:vAlign w:val="center"/>
          </w:tcPr>
          <w:p w14:paraId="22C32311" w14:textId="77777777" w:rsidR="004B0883" w:rsidRDefault="004B0883">
            <w:pPr>
              <w:adjustRightInd w:val="0"/>
              <w:snapToGrid w:val="0"/>
              <w:rPr>
                <w:kern w:val="0"/>
              </w:rPr>
            </w:pPr>
            <w:r>
              <w:rPr>
                <w:rFonts w:hint="eastAsia"/>
                <w:kern w:val="0"/>
              </w:rPr>
              <w:t>交易性金融资产</w:t>
            </w:r>
          </w:p>
        </w:tc>
        <w:tc>
          <w:tcPr>
            <w:tcW w:w="1475" w:type="dxa"/>
            <w:vAlign w:val="center"/>
          </w:tcPr>
          <w:p w14:paraId="33250E08" w14:textId="77777777" w:rsidR="004B0883" w:rsidRDefault="004B0883">
            <w:pPr>
              <w:adjustRightInd w:val="0"/>
              <w:snapToGrid w:val="0"/>
              <w:jc w:val="right"/>
              <w:rPr>
                <w:color w:val="000000"/>
                <w:kern w:val="0"/>
              </w:rPr>
            </w:pPr>
            <w:r>
              <w:t>39,822.11</w:t>
            </w:r>
          </w:p>
        </w:tc>
        <w:tc>
          <w:tcPr>
            <w:tcW w:w="1475" w:type="dxa"/>
            <w:vAlign w:val="center"/>
          </w:tcPr>
          <w:p w14:paraId="2F980DFE" w14:textId="77777777" w:rsidR="004B0883" w:rsidRDefault="004B0883">
            <w:pPr>
              <w:adjustRightInd w:val="0"/>
              <w:snapToGrid w:val="0"/>
              <w:jc w:val="right"/>
              <w:rPr>
                <w:color w:val="000000"/>
                <w:kern w:val="0"/>
              </w:rPr>
            </w:pPr>
            <w:r>
              <w:rPr>
                <w:rFonts w:hint="eastAsia"/>
                <w:color w:val="000000"/>
                <w:kern w:val="0"/>
              </w:rPr>
              <w:t>25,412.40</w:t>
            </w:r>
          </w:p>
        </w:tc>
        <w:tc>
          <w:tcPr>
            <w:tcW w:w="1475" w:type="dxa"/>
            <w:vAlign w:val="center"/>
          </w:tcPr>
          <w:p w14:paraId="775D8EE1" w14:textId="77777777" w:rsidR="004B0883" w:rsidRDefault="004B0883">
            <w:pPr>
              <w:adjustRightInd w:val="0"/>
              <w:snapToGrid w:val="0"/>
              <w:jc w:val="right"/>
              <w:rPr>
                <w:color w:val="000000"/>
                <w:kern w:val="0"/>
              </w:rPr>
            </w:pPr>
            <w:r>
              <w:rPr>
                <w:rFonts w:hint="eastAsia"/>
                <w:color w:val="000000"/>
                <w:kern w:val="0"/>
              </w:rPr>
              <w:t>18,860.60</w:t>
            </w:r>
          </w:p>
        </w:tc>
        <w:tc>
          <w:tcPr>
            <w:tcW w:w="1475" w:type="dxa"/>
            <w:vAlign w:val="center"/>
          </w:tcPr>
          <w:p w14:paraId="5B3F4420" w14:textId="77777777" w:rsidR="004B0883" w:rsidRDefault="004B0883">
            <w:pPr>
              <w:adjustRightInd w:val="0"/>
              <w:snapToGrid w:val="0"/>
              <w:jc w:val="right"/>
              <w:rPr>
                <w:color w:val="000000"/>
                <w:kern w:val="0"/>
              </w:rPr>
            </w:pPr>
            <w:r>
              <w:rPr>
                <w:rFonts w:hint="eastAsia"/>
                <w:color w:val="000000"/>
                <w:kern w:val="0"/>
              </w:rPr>
              <w:t>33,400.43</w:t>
            </w:r>
          </w:p>
        </w:tc>
      </w:tr>
      <w:tr w:rsidR="004B0883" w14:paraId="07A98B55" w14:textId="77777777">
        <w:trPr>
          <w:trHeight w:val="397"/>
          <w:jc w:val="center"/>
        </w:trPr>
        <w:tc>
          <w:tcPr>
            <w:tcW w:w="2626" w:type="dxa"/>
            <w:vAlign w:val="center"/>
          </w:tcPr>
          <w:p w14:paraId="24DA7C6C" w14:textId="77777777" w:rsidR="004B0883" w:rsidRDefault="004B0883">
            <w:pPr>
              <w:adjustRightInd w:val="0"/>
              <w:snapToGrid w:val="0"/>
              <w:rPr>
                <w:kern w:val="0"/>
              </w:rPr>
            </w:pPr>
            <w:r>
              <w:rPr>
                <w:rFonts w:hint="eastAsia"/>
                <w:kern w:val="0"/>
              </w:rPr>
              <w:t>应收票据</w:t>
            </w:r>
          </w:p>
        </w:tc>
        <w:tc>
          <w:tcPr>
            <w:tcW w:w="1475" w:type="dxa"/>
            <w:vAlign w:val="center"/>
          </w:tcPr>
          <w:p w14:paraId="6CE3FEBE" w14:textId="77777777" w:rsidR="004B0883" w:rsidRDefault="004B0883">
            <w:pPr>
              <w:adjustRightInd w:val="0"/>
              <w:snapToGrid w:val="0"/>
              <w:jc w:val="right"/>
              <w:rPr>
                <w:color w:val="000000"/>
                <w:kern w:val="0"/>
              </w:rPr>
            </w:pPr>
            <w:r>
              <w:rPr>
                <w:rFonts w:hint="eastAsia"/>
                <w:color w:val="000000"/>
                <w:kern w:val="0"/>
              </w:rPr>
              <w:t>-</w:t>
            </w:r>
          </w:p>
        </w:tc>
        <w:tc>
          <w:tcPr>
            <w:tcW w:w="1475" w:type="dxa"/>
            <w:vAlign w:val="center"/>
          </w:tcPr>
          <w:p w14:paraId="01B0B21E" w14:textId="77777777" w:rsidR="004B0883" w:rsidRDefault="004B0883">
            <w:pPr>
              <w:adjustRightInd w:val="0"/>
              <w:snapToGrid w:val="0"/>
              <w:jc w:val="right"/>
              <w:rPr>
                <w:color w:val="000000"/>
                <w:kern w:val="0"/>
              </w:rPr>
            </w:pPr>
            <w:r>
              <w:rPr>
                <w:rFonts w:hint="eastAsia"/>
                <w:color w:val="000000"/>
                <w:kern w:val="0"/>
              </w:rPr>
              <w:t>22.49</w:t>
            </w:r>
          </w:p>
        </w:tc>
        <w:tc>
          <w:tcPr>
            <w:tcW w:w="1475" w:type="dxa"/>
            <w:vAlign w:val="center"/>
          </w:tcPr>
          <w:p w14:paraId="72ADDC5F" w14:textId="77777777" w:rsidR="004B0883" w:rsidRDefault="004B0883">
            <w:pPr>
              <w:adjustRightInd w:val="0"/>
              <w:snapToGrid w:val="0"/>
              <w:jc w:val="right"/>
              <w:rPr>
                <w:color w:val="000000"/>
                <w:kern w:val="0"/>
              </w:rPr>
            </w:pPr>
            <w:r>
              <w:rPr>
                <w:rFonts w:hint="eastAsia"/>
                <w:color w:val="000000"/>
                <w:kern w:val="0"/>
              </w:rPr>
              <w:t>-</w:t>
            </w:r>
          </w:p>
        </w:tc>
        <w:tc>
          <w:tcPr>
            <w:tcW w:w="1475" w:type="dxa"/>
            <w:vAlign w:val="center"/>
          </w:tcPr>
          <w:p w14:paraId="12EC208D" w14:textId="77777777" w:rsidR="004B0883" w:rsidRDefault="004B0883">
            <w:pPr>
              <w:adjustRightInd w:val="0"/>
              <w:snapToGrid w:val="0"/>
              <w:jc w:val="right"/>
              <w:rPr>
                <w:color w:val="000000"/>
                <w:kern w:val="0"/>
              </w:rPr>
            </w:pPr>
            <w:r>
              <w:rPr>
                <w:rFonts w:hint="eastAsia"/>
                <w:color w:val="000000"/>
                <w:kern w:val="0"/>
              </w:rPr>
              <w:t>-</w:t>
            </w:r>
          </w:p>
        </w:tc>
      </w:tr>
      <w:tr w:rsidR="004B0883" w14:paraId="11AA8C60" w14:textId="77777777">
        <w:trPr>
          <w:trHeight w:val="397"/>
          <w:jc w:val="center"/>
        </w:trPr>
        <w:tc>
          <w:tcPr>
            <w:tcW w:w="2626" w:type="dxa"/>
            <w:vAlign w:val="center"/>
          </w:tcPr>
          <w:p w14:paraId="0E52E1A5" w14:textId="77777777" w:rsidR="004B0883" w:rsidRDefault="004B0883">
            <w:pPr>
              <w:adjustRightInd w:val="0"/>
              <w:snapToGrid w:val="0"/>
              <w:rPr>
                <w:kern w:val="0"/>
              </w:rPr>
            </w:pPr>
            <w:r>
              <w:rPr>
                <w:rFonts w:hint="eastAsia"/>
                <w:kern w:val="0"/>
              </w:rPr>
              <w:t>应收账款</w:t>
            </w:r>
          </w:p>
        </w:tc>
        <w:tc>
          <w:tcPr>
            <w:tcW w:w="1475" w:type="dxa"/>
            <w:vAlign w:val="center"/>
          </w:tcPr>
          <w:p w14:paraId="1CA73F66" w14:textId="77777777" w:rsidR="004B0883" w:rsidRDefault="004B0883">
            <w:pPr>
              <w:adjustRightInd w:val="0"/>
              <w:snapToGrid w:val="0"/>
              <w:jc w:val="right"/>
              <w:rPr>
                <w:color w:val="000000"/>
                <w:kern w:val="0"/>
              </w:rPr>
            </w:pPr>
            <w:r>
              <w:t>9,158.84</w:t>
            </w:r>
          </w:p>
        </w:tc>
        <w:tc>
          <w:tcPr>
            <w:tcW w:w="1475" w:type="dxa"/>
            <w:vAlign w:val="center"/>
          </w:tcPr>
          <w:p w14:paraId="5737F855" w14:textId="77777777" w:rsidR="004B0883" w:rsidRDefault="004B0883">
            <w:pPr>
              <w:adjustRightInd w:val="0"/>
              <w:snapToGrid w:val="0"/>
              <w:jc w:val="right"/>
              <w:rPr>
                <w:color w:val="000000"/>
                <w:kern w:val="0"/>
              </w:rPr>
            </w:pPr>
            <w:r>
              <w:rPr>
                <w:rFonts w:hint="eastAsia"/>
                <w:color w:val="000000"/>
                <w:kern w:val="0"/>
              </w:rPr>
              <w:t>7,965.82</w:t>
            </w:r>
          </w:p>
        </w:tc>
        <w:tc>
          <w:tcPr>
            <w:tcW w:w="1475" w:type="dxa"/>
            <w:vAlign w:val="center"/>
          </w:tcPr>
          <w:p w14:paraId="193EAB46" w14:textId="77777777" w:rsidR="004B0883" w:rsidRDefault="004B0883">
            <w:pPr>
              <w:adjustRightInd w:val="0"/>
              <w:snapToGrid w:val="0"/>
              <w:jc w:val="right"/>
              <w:rPr>
                <w:color w:val="000000"/>
                <w:kern w:val="0"/>
              </w:rPr>
            </w:pPr>
            <w:r>
              <w:rPr>
                <w:rFonts w:hint="eastAsia"/>
                <w:color w:val="000000"/>
                <w:kern w:val="0"/>
              </w:rPr>
              <w:t>7,185.46</w:t>
            </w:r>
          </w:p>
        </w:tc>
        <w:tc>
          <w:tcPr>
            <w:tcW w:w="1475" w:type="dxa"/>
            <w:vAlign w:val="center"/>
          </w:tcPr>
          <w:p w14:paraId="143D6078" w14:textId="77777777" w:rsidR="004B0883" w:rsidRDefault="004B0883">
            <w:pPr>
              <w:adjustRightInd w:val="0"/>
              <w:snapToGrid w:val="0"/>
              <w:jc w:val="right"/>
              <w:rPr>
                <w:color w:val="000000"/>
                <w:kern w:val="0"/>
              </w:rPr>
            </w:pPr>
            <w:r>
              <w:rPr>
                <w:rFonts w:hint="eastAsia"/>
                <w:color w:val="000000"/>
                <w:kern w:val="0"/>
              </w:rPr>
              <w:t>5,084.39</w:t>
            </w:r>
          </w:p>
        </w:tc>
      </w:tr>
      <w:tr w:rsidR="004B0883" w14:paraId="57289B71" w14:textId="77777777">
        <w:trPr>
          <w:trHeight w:val="397"/>
          <w:jc w:val="center"/>
        </w:trPr>
        <w:tc>
          <w:tcPr>
            <w:tcW w:w="2626" w:type="dxa"/>
            <w:vAlign w:val="center"/>
          </w:tcPr>
          <w:p w14:paraId="56D7FBDE" w14:textId="77777777" w:rsidR="004B0883" w:rsidRDefault="004B0883">
            <w:pPr>
              <w:adjustRightInd w:val="0"/>
              <w:snapToGrid w:val="0"/>
              <w:rPr>
                <w:kern w:val="0"/>
              </w:rPr>
            </w:pPr>
            <w:r>
              <w:rPr>
                <w:rFonts w:hint="eastAsia"/>
                <w:kern w:val="0"/>
              </w:rPr>
              <w:t>应收款项融资</w:t>
            </w:r>
          </w:p>
        </w:tc>
        <w:tc>
          <w:tcPr>
            <w:tcW w:w="1475" w:type="dxa"/>
            <w:vAlign w:val="center"/>
          </w:tcPr>
          <w:p w14:paraId="36E647F2" w14:textId="77777777" w:rsidR="004B0883" w:rsidRDefault="004B0883">
            <w:pPr>
              <w:adjustRightInd w:val="0"/>
              <w:snapToGrid w:val="0"/>
              <w:jc w:val="right"/>
              <w:rPr>
                <w:color w:val="000000"/>
                <w:kern w:val="0"/>
              </w:rPr>
            </w:pPr>
            <w:r>
              <w:t>106.06</w:t>
            </w:r>
          </w:p>
        </w:tc>
        <w:tc>
          <w:tcPr>
            <w:tcW w:w="1475" w:type="dxa"/>
            <w:vAlign w:val="center"/>
          </w:tcPr>
          <w:p w14:paraId="3B62CFA7" w14:textId="77777777" w:rsidR="004B0883" w:rsidRDefault="004B0883">
            <w:pPr>
              <w:adjustRightInd w:val="0"/>
              <w:snapToGrid w:val="0"/>
              <w:jc w:val="right"/>
              <w:rPr>
                <w:color w:val="000000"/>
                <w:kern w:val="0"/>
              </w:rPr>
            </w:pPr>
            <w:r>
              <w:rPr>
                <w:rFonts w:hint="eastAsia"/>
                <w:color w:val="000000"/>
                <w:kern w:val="0"/>
              </w:rPr>
              <w:t>13.00</w:t>
            </w:r>
          </w:p>
        </w:tc>
        <w:tc>
          <w:tcPr>
            <w:tcW w:w="1475" w:type="dxa"/>
            <w:vAlign w:val="center"/>
          </w:tcPr>
          <w:p w14:paraId="58C5111C" w14:textId="77777777" w:rsidR="004B0883" w:rsidRDefault="004B0883">
            <w:pPr>
              <w:adjustRightInd w:val="0"/>
              <w:snapToGrid w:val="0"/>
              <w:jc w:val="right"/>
              <w:rPr>
                <w:color w:val="000000"/>
                <w:kern w:val="0"/>
              </w:rPr>
            </w:pPr>
            <w:r>
              <w:rPr>
                <w:rFonts w:hint="eastAsia"/>
                <w:color w:val="000000"/>
                <w:kern w:val="0"/>
              </w:rPr>
              <w:t>1,158.50</w:t>
            </w:r>
          </w:p>
        </w:tc>
        <w:tc>
          <w:tcPr>
            <w:tcW w:w="1475" w:type="dxa"/>
            <w:vAlign w:val="center"/>
          </w:tcPr>
          <w:p w14:paraId="1B2E380A" w14:textId="77777777" w:rsidR="004B0883" w:rsidRDefault="004B0883">
            <w:pPr>
              <w:adjustRightInd w:val="0"/>
              <w:snapToGrid w:val="0"/>
              <w:jc w:val="right"/>
              <w:rPr>
                <w:color w:val="000000"/>
                <w:kern w:val="0"/>
              </w:rPr>
            </w:pPr>
            <w:r>
              <w:rPr>
                <w:rFonts w:hint="eastAsia"/>
                <w:color w:val="000000"/>
                <w:kern w:val="0"/>
              </w:rPr>
              <w:t>88.84</w:t>
            </w:r>
          </w:p>
        </w:tc>
      </w:tr>
      <w:tr w:rsidR="004B0883" w14:paraId="6196B34D" w14:textId="77777777">
        <w:trPr>
          <w:trHeight w:val="397"/>
          <w:jc w:val="center"/>
        </w:trPr>
        <w:tc>
          <w:tcPr>
            <w:tcW w:w="2626" w:type="dxa"/>
            <w:vAlign w:val="center"/>
          </w:tcPr>
          <w:p w14:paraId="4BE026A6" w14:textId="77777777" w:rsidR="004B0883" w:rsidRDefault="004B0883">
            <w:pPr>
              <w:adjustRightInd w:val="0"/>
              <w:snapToGrid w:val="0"/>
              <w:rPr>
                <w:kern w:val="0"/>
              </w:rPr>
            </w:pPr>
            <w:r>
              <w:rPr>
                <w:rFonts w:hint="eastAsia"/>
                <w:kern w:val="0"/>
              </w:rPr>
              <w:t>预付款项</w:t>
            </w:r>
          </w:p>
        </w:tc>
        <w:tc>
          <w:tcPr>
            <w:tcW w:w="1475" w:type="dxa"/>
            <w:vAlign w:val="center"/>
          </w:tcPr>
          <w:p w14:paraId="71379E05" w14:textId="77777777" w:rsidR="004B0883" w:rsidRDefault="004B0883">
            <w:pPr>
              <w:adjustRightInd w:val="0"/>
              <w:snapToGrid w:val="0"/>
              <w:jc w:val="right"/>
              <w:rPr>
                <w:color w:val="000000"/>
                <w:kern w:val="0"/>
              </w:rPr>
            </w:pPr>
            <w:r>
              <w:t>1,003.25</w:t>
            </w:r>
          </w:p>
        </w:tc>
        <w:tc>
          <w:tcPr>
            <w:tcW w:w="1475" w:type="dxa"/>
            <w:vAlign w:val="center"/>
          </w:tcPr>
          <w:p w14:paraId="7DB61F59" w14:textId="77777777" w:rsidR="004B0883" w:rsidRDefault="004B0883">
            <w:pPr>
              <w:adjustRightInd w:val="0"/>
              <w:snapToGrid w:val="0"/>
              <w:jc w:val="right"/>
              <w:rPr>
                <w:color w:val="000000"/>
                <w:kern w:val="0"/>
              </w:rPr>
            </w:pPr>
            <w:r>
              <w:rPr>
                <w:rFonts w:hint="eastAsia"/>
                <w:color w:val="000000"/>
                <w:kern w:val="0"/>
              </w:rPr>
              <w:t>389.60</w:t>
            </w:r>
          </w:p>
        </w:tc>
        <w:tc>
          <w:tcPr>
            <w:tcW w:w="1475" w:type="dxa"/>
            <w:vAlign w:val="center"/>
          </w:tcPr>
          <w:p w14:paraId="4EDD8B26" w14:textId="77777777" w:rsidR="004B0883" w:rsidRDefault="004B0883">
            <w:pPr>
              <w:adjustRightInd w:val="0"/>
              <w:snapToGrid w:val="0"/>
              <w:jc w:val="right"/>
              <w:rPr>
                <w:color w:val="000000"/>
                <w:kern w:val="0"/>
              </w:rPr>
            </w:pPr>
            <w:r>
              <w:rPr>
                <w:rFonts w:hint="eastAsia"/>
                <w:color w:val="000000"/>
                <w:kern w:val="0"/>
              </w:rPr>
              <w:t>361.58</w:t>
            </w:r>
          </w:p>
        </w:tc>
        <w:tc>
          <w:tcPr>
            <w:tcW w:w="1475" w:type="dxa"/>
            <w:vAlign w:val="center"/>
          </w:tcPr>
          <w:p w14:paraId="24300759" w14:textId="77777777" w:rsidR="004B0883" w:rsidRDefault="004B0883">
            <w:pPr>
              <w:adjustRightInd w:val="0"/>
              <w:snapToGrid w:val="0"/>
              <w:jc w:val="right"/>
              <w:rPr>
                <w:color w:val="000000"/>
                <w:kern w:val="0"/>
              </w:rPr>
            </w:pPr>
            <w:r>
              <w:rPr>
                <w:rFonts w:hint="eastAsia"/>
                <w:color w:val="000000"/>
                <w:kern w:val="0"/>
              </w:rPr>
              <w:t>208.64</w:t>
            </w:r>
          </w:p>
        </w:tc>
      </w:tr>
      <w:tr w:rsidR="004B0883" w14:paraId="7DFDFF10" w14:textId="77777777">
        <w:trPr>
          <w:trHeight w:val="397"/>
          <w:jc w:val="center"/>
        </w:trPr>
        <w:tc>
          <w:tcPr>
            <w:tcW w:w="2626" w:type="dxa"/>
            <w:vAlign w:val="center"/>
          </w:tcPr>
          <w:p w14:paraId="6D69863C" w14:textId="77777777" w:rsidR="004B0883" w:rsidRDefault="004B0883">
            <w:pPr>
              <w:adjustRightInd w:val="0"/>
              <w:snapToGrid w:val="0"/>
              <w:rPr>
                <w:kern w:val="0"/>
              </w:rPr>
            </w:pPr>
            <w:r>
              <w:rPr>
                <w:rFonts w:hint="eastAsia"/>
                <w:kern w:val="0"/>
              </w:rPr>
              <w:t>其他应收款</w:t>
            </w:r>
          </w:p>
        </w:tc>
        <w:tc>
          <w:tcPr>
            <w:tcW w:w="1475" w:type="dxa"/>
            <w:vAlign w:val="center"/>
          </w:tcPr>
          <w:p w14:paraId="044F8FE8" w14:textId="77777777" w:rsidR="004B0883" w:rsidRDefault="004B0883">
            <w:pPr>
              <w:adjustRightInd w:val="0"/>
              <w:snapToGrid w:val="0"/>
              <w:jc w:val="right"/>
              <w:rPr>
                <w:color w:val="000000"/>
                <w:kern w:val="0"/>
              </w:rPr>
            </w:pPr>
            <w:r>
              <w:t>645.46</w:t>
            </w:r>
          </w:p>
        </w:tc>
        <w:tc>
          <w:tcPr>
            <w:tcW w:w="1475" w:type="dxa"/>
            <w:vAlign w:val="center"/>
          </w:tcPr>
          <w:p w14:paraId="7B505E2A" w14:textId="77777777" w:rsidR="004B0883" w:rsidRDefault="004B0883">
            <w:pPr>
              <w:adjustRightInd w:val="0"/>
              <w:snapToGrid w:val="0"/>
              <w:jc w:val="right"/>
              <w:rPr>
                <w:color w:val="000000"/>
                <w:kern w:val="0"/>
              </w:rPr>
            </w:pPr>
            <w:r>
              <w:rPr>
                <w:rFonts w:hint="eastAsia"/>
                <w:color w:val="000000"/>
                <w:kern w:val="0"/>
              </w:rPr>
              <w:t>524.68</w:t>
            </w:r>
          </w:p>
        </w:tc>
        <w:tc>
          <w:tcPr>
            <w:tcW w:w="1475" w:type="dxa"/>
            <w:vAlign w:val="center"/>
          </w:tcPr>
          <w:p w14:paraId="55397BE0" w14:textId="77777777" w:rsidR="004B0883" w:rsidRDefault="004B0883">
            <w:pPr>
              <w:adjustRightInd w:val="0"/>
              <w:snapToGrid w:val="0"/>
              <w:jc w:val="right"/>
              <w:rPr>
                <w:color w:val="000000"/>
                <w:kern w:val="0"/>
              </w:rPr>
            </w:pPr>
            <w:r>
              <w:rPr>
                <w:rFonts w:hint="eastAsia"/>
                <w:color w:val="000000"/>
                <w:kern w:val="0"/>
              </w:rPr>
              <w:t>601.22</w:t>
            </w:r>
          </w:p>
        </w:tc>
        <w:tc>
          <w:tcPr>
            <w:tcW w:w="1475" w:type="dxa"/>
            <w:vAlign w:val="center"/>
          </w:tcPr>
          <w:p w14:paraId="19521BB7" w14:textId="77777777" w:rsidR="004B0883" w:rsidRDefault="004B0883">
            <w:pPr>
              <w:adjustRightInd w:val="0"/>
              <w:snapToGrid w:val="0"/>
              <w:jc w:val="right"/>
              <w:rPr>
                <w:color w:val="000000"/>
                <w:kern w:val="0"/>
              </w:rPr>
            </w:pPr>
            <w:r>
              <w:rPr>
                <w:rFonts w:hint="eastAsia"/>
                <w:color w:val="000000"/>
                <w:kern w:val="0"/>
              </w:rPr>
              <w:t>449.23</w:t>
            </w:r>
          </w:p>
        </w:tc>
      </w:tr>
      <w:tr w:rsidR="004B0883" w14:paraId="121DA6E7" w14:textId="77777777">
        <w:trPr>
          <w:trHeight w:val="397"/>
          <w:jc w:val="center"/>
        </w:trPr>
        <w:tc>
          <w:tcPr>
            <w:tcW w:w="2626" w:type="dxa"/>
            <w:vAlign w:val="center"/>
          </w:tcPr>
          <w:p w14:paraId="142F02E0" w14:textId="77777777" w:rsidR="004B0883" w:rsidRDefault="004B0883">
            <w:pPr>
              <w:adjustRightInd w:val="0"/>
              <w:snapToGrid w:val="0"/>
              <w:rPr>
                <w:kern w:val="0"/>
              </w:rPr>
            </w:pPr>
            <w:r>
              <w:rPr>
                <w:rFonts w:hint="eastAsia"/>
                <w:kern w:val="0"/>
              </w:rPr>
              <w:t>存货</w:t>
            </w:r>
          </w:p>
        </w:tc>
        <w:tc>
          <w:tcPr>
            <w:tcW w:w="1475" w:type="dxa"/>
            <w:vAlign w:val="center"/>
          </w:tcPr>
          <w:p w14:paraId="6A8DFACD" w14:textId="77777777" w:rsidR="004B0883" w:rsidRDefault="004B0883">
            <w:pPr>
              <w:adjustRightInd w:val="0"/>
              <w:snapToGrid w:val="0"/>
              <w:jc w:val="right"/>
              <w:rPr>
                <w:color w:val="000000"/>
                <w:kern w:val="0"/>
              </w:rPr>
            </w:pPr>
            <w:r>
              <w:rPr>
                <w:color w:val="000000"/>
                <w:kern w:val="0"/>
              </w:rPr>
              <w:t>9,880.80</w:t>
            </w:r>
          </w:p>
        </w:tc>
        <w:tc>
          <w:tcPr>
            <w:tcW w:w="1475" w:type="dxa"/>
            <w:vAlign w:val="center"/>
          </w:tcPr>
          <w:p w14:paraId="63DB89D9" w14:textId="77777777" w:rsidR="004B0883" w:rsidRDefault="004B0883">
            <w:pPr>
              <w:adjustRightInd w:val="0"/>
              <w:snapToGrid w:val="0"/>
              <w:jc w:val="right"/>
              <w:rPr>
                <w:color w:val="000000"/>
                <w:kern w:val="0"/>
              </w:rPr>
            </w:pPr>
            <w:r>
              <w:rPr>
                <w:rFonts w:hint="eastAsia"/>
                <w:color w:val="000000"/>
                <w:kern w:val="0"/>
              </w:rPr>
              <w:t>11,891.25</w:t>
            </w:r>
          </w:p>
        </w:tc>
        <w:tc>
          <w:tcPr>
            <w:tcW w:w="1475" w:type="dxa"/>
            <w:vAlign w:val="center"/>
          </w:tcPr>
          <w:p w14:paraId="784441F0" w14:textId="77777777" w:rsidR="004B0883" w:rsidRDefault="004B0883">
            <w:pPr>
              <w:adjustRightInd w:val="0"/>
              <w:snapToGrid w:val="0"/>
              <w:jc w:val="right"/>
              <w:rPr>
                <w:color w:val="000000"/>
                <w:kern w:val="0"/>
              </w:rPr>
            </w:pPr>
            <w:r>
              <w:rPr>
                <w:rFonts w:hint="eastAsia"/>
                <w:color w:val="000000"/>
                <w:kern w:val="0"/>
              </w:rPr>
              <w:t>11,252.22</w:t>
            </w:r>
          </w:p>
        </w:tc>
        <w:tc>
          <w:tcPr>
            <w:tcW w:w="1475" w:type="dxa"/>
            <w:vAlign w:val="center"/>
          </w:tcPr>
          <w:p w14:paraId="6DA29AE8" w14:textId="77777777" w:rsidR="004B0883" w:rsidRDefault="004B0883">
            <w:pPr>
              <w:adjustRightInd w:val="0"/>
              <w:snapToGrid w:val="0"/>
              <w:jc w:val="right"/>
              <w:rPr>
                <w:color w:val="000000"/>
                <w:kern w:val="0"/>
              </w:rPr>
            </w:pPr>
            <w:r>
              <w:rPr>
                <w:rFonts w:hint="eastAsia"/>
                <w:color w:val="000000"/>
                <w:kern w:val="0"/>
              </w:rPr>
              <w:t>7,421.84</w:t>
            </w:r>
          </w:p>
        </w:tc>
      </w:tr>
      <w:tr w:rsidR="004B0883" w14:paraId="693B2706" w14:textId="77777777">
        <w:trPr>
          <w:trHeight w:val="397"/>
          <w:jc w:val="center"/>
        </w:trPr>
        <w:tc>
          <w:tcPr>
            <w:tcW w:w="2626" w:type="dxa"/>
            <w:vAlign w:val="center"/>
          </w:tcPr>
          <w:p w14:paraId="16989FB2" w14:textId="77777777" w:rsidR="004B0883" w:rsidRDefault="004B0883">
            <w:pPr>
              <w:adjustRightInd w:val="0"/>
              <w:snapToGrid w:val="0"/>
              <w:rPr>
                <w:kern w:val="0"/>
              </w:rPr>
            </w:pPr>
            <w:r>
              <w:rPr>
                <w:rFonts w:hint="eastAsia"/>
                <w:kern w:val="0"/>
              </w:rPr>
              <w:t>其他流动资产</w:t>
            </w:r>
          </w:p>
        </w:tc>
        <w:tc>
          <w:tcPr>
            <w:tcW w:w="1475" w:type="dxa"/>
            <w:vAlign w:val="center"/>
          </w:tcPr>
          <w:p w14:paraId="783336D8" w14:textId="77777777" w:rsidR="004B0883" w:rsidRDefault="004B0883">
            <w:pPr>
              <w:adjustRightInd w:val="0"/>
              <w:snapToGrid w:val="0"/>
              <w:jc w:val="right"/>
              <w:rPr>
                <w:color w:val="000000"/>
                <w:kern w:val="0"/>
              </w:rPr>
            </w:pPr>
            <w:r>
              <w:t>3,238.40</w:t>
            </w:r>
          </w:p>
        </w:tc>
        <w:tc>
          <w:tcPr>
            <w:tcW w:w="1475" w:type="dxa"/>
            <w:vAlign w:val="center"/>
          </w:tcPr>
          <w:p w14:paraId="5FCBEBBC" w14:textId="77777777" w:rsidR="004B0883" w:rsidRDefault="004B0883">
            <w:pPr>
              <w:adjustRightInd w:val="0"/>
              <w:snapToGrid w:val="0"/>
              <w:jc w:val="right"/>
              <w:rPr>
                <w:color w:val="000000"/>
                <w:kern w:val="0"/>
              </w:rPr>
            </w:pPr>
            <w:r>
              <w:rPr>
                <w:rFonts w:hint="eastAsia"/>
                <w:color w:val="000000"/>
                <w:kern w:val="0"/>
              </w:rPr>
              <w:t>6,266.70</w:t>
            </w:r>
          </w:p>
        </w:tc>
        <w:tc>
          <w:tcPr>
            <w:tcW w:w="1475" w:type="dxa"/>
            <w:vAlign w:val="center"/>
          </w:tcPr>
          <w:p w14:paraId="2D1F8176" w14:textId="77777777" w:rsidR="004B0883" w:rsidRDefault="004B0883">
            <w:pPr>
              <w:adjustRightInd w:val="0"/>
              <w:snapToGrid w:val="0"/>
              <w:jc w:val="right"/>
              <w:rPr>
                <w:color w:val="000000"/>
                <w:kern w:val="0"/>
              </w:rPr>
            </w:pPr>
            <w:r>
              <w:rPr>
                <w:rFonts w:hint="eastAsia"/>
                <w:color w:val="000000"/>
                <w:kern w:val="0"/>
              </w:rPr>
              <w:t>8,853.11</w:t>
            </w:r>
          </w:p>
        </w:tc>
        <w:tc>
          <w:tcPr>
            <w:tcW w:w="1475" w:type="dxa"/>
            <w:vAlign w:val="center"/>
          </w:tcPr>
          <w:p w14:paraId="2CB65081" w14:textId="77777777" w:rsidR="004B0883" w:rsidRDefault="004B0883">
            <w:pPr>
              <w:adjustRightInd w:val="0"/>
              <w:snapToGrid w:val="0"/>
              <w:jc w:val="right"/>
              <w:rPr>
                <w:color w:val="000000"/>
                <w:kern w:val="0"/>
              </w:rPr>
            </w:pPr>
            <w:r>
              <w:rPr>
                <w:rFonts w:hint="eastAsia"/>
                <w:color w:val="000000"/>
                <w:kern w:val="0"/>
              </w:rPr>
              <w:t>3,177.73</w:t>
            </w:r>
          </w:p>
        </w:tc>
      </w:tr>
      <w:tr w:rsidR="004B0883" w14:paraId="2B753704" w14:textId="77777777">
        <w:trPr>
          <w:trHeight w:val="397"/>
          <w:jc w:val="center"/>
        </w:trPr>
        <w:tc>
          <w:tcPr>
            <w:tcW w:w="2626" w:type="dxa"/>
            <w:vAlign w:val="center"/>
          </w:tcPr>
          <w:p w14:paraId="1D54F9EF" w14:textId="77777777" w:rsidR="004B0883" w:rsidRDefault="004B0883">
            <w:pPr>
              <w:adjustRightInd w:val="0"/>
              <w:snapToGrid w:val="0"/>
              <w:rPr>
                <w:b/>
                <w:bCs/>
                <w:color w:val="000000"/>
                <w:kern w:val="0"/>
              </w:rPr>
            </w:pPr>
            <w:r>
              <w:rPr>
                <w:b/>
                <w:bCs/>
                <w:color w:val="000000"/>
                <w:kern w:val="0"/>
              </w:rPr>
              <w:t>流动资产合计</w:t>
            </w:r>
          </w:p>
        </w:tc>
        <w:tc>
          <w:tcPr>
            <w:tcW w:w="1475" w:type="dxa"/>
            <w:vAlign w:val="center"/>
          </w:tcPr>
          <w:p w14:paraId="6004F6C0" w14:textId="77777777" w:rsidR="004B0883" w:rsidRDefault="004B0883">
            <w:pPr>
              <w:adjustRightInd w:val="0"/>
              <w:snapToGrid w:val="0"/>
              <w:jc w:val="right"/>
              <w:rPr>
                <w:b/>
                <w:bCs/>
                <w:color w:val="000000"/>
                <w:kern w:val="0"/>
              </w:rPr>
            </w:pPr>
            <w:r>
              <w:rPr>
                <w:b/>
                <w:bCs/>
              </w:rPr>
              <w:t>67,722.05</w:t>
            </w:r>
          </w:p>
        </w:tc>
        <w:tc>
          <w:tcPr>
            <w:tcW w:w="1475" w:type="dxa"/>
            <w:vAlign w:val="center"/>
          </w:tcPr>
          <w:p w14:paraId="397B150B" w14:textId="77777777" w:rsidR="004B0883" w:rsidRDefault="004B0883">
            <w:pPr>
              <w:adjustRightInd w:val="0"/>
              <w:snapToGrid w:val="0"/>
              <w:jc w:val="right"/>
              <w:rPr>
                <w:b/>
                <w:bCs/>
                <w:color w:val="000000"/>
                <w:kern w:val="0"/>
              </w:rPr>
            </w:pPr>
            <w:r>
              <w:rPr>
                <w:rFonts w:hint="eastAsia"/>
                <w:b/>
                <w:bCs/>
                <w:color w:val="000000"/>
                <w:kern w:val="0"/>
              </w:rPr>
              <w:t>68,912.06</w:t>
            </w:r>
          </w:p>
        </w:tc>
        <w:tc>
          <w:tcPr>
            <w:tcW w:w="1475" w:type="dxa"/>
            <w:vAlign w:val="center"/>
          </w:tcPr>
          <w:p w14:paraId="41E3130C" w14:textId="77777777" w:rsidR="004B0883" w:rsidRDefault="004B0883">
            <w:pPr>
              <w:adjustRightInd w:val="0"/>
              <w:snapToGrid w:val="0"/>
              <w:jc w:val="right"/>
              <w:rPr>
                <w:b/>
                <w:bCs/>
                <w:color w:val="000000"/>
                <w:kern w:val="0"/>
              </w:rPr>
            </w:pPr>
            <w:r>
              <w:rPr>
                <w:rFonts w:hint="eastAsia"/>
                <w:b/>
                <w:bCs/>
                <w:color w:val="000000"/>
                <w:kern w:val="0"/>
              </w:rPr>
              <w:t>57,924.35</w:t>
            </w:r>
          </w:p>
        </w:tc>
        <w:tc>
          <w:tcPr>
            <w:tcW w:w="1475" w:type="dxa"/>
            <w:vAlign w:val="center"/>
          </w:tcPr>
          <w:p w14:paraId="3F5E9B36" w14:textId="77777777" w:rsidR="004B0883" w:rsidRDefault="004B0883">
            <w:pPr>
              <w:adjustRightInd w:val="0"/>
              <w:snapToGrid w:val="0"/>
              <w:jc w:val="right"/>
              <w:rPr>
                <w:b/>
                <w:bCs/>
                <w:color w:val="000000"/>
                <w:kern w:val="0"/>
              </w:rPr>
            </w:pPr>
            <w:r>
              <w:rPr>
                <w:rFonts w:hint="eastAsia"/>
                <w:b/>
                <w:bCs/>
                <w:color w:val="000000"/>
                <w:kern w:val="0"/>
              </w:rPr>
              <w:t>55,602.64</w:t>
            </w:r>
          </w:p>
        </w:tc>
      </w:tr>
      <w:tr w:rsidR="004B0883" w14:paraId="5337D035" w14:textId="77777777">
        <w:trPr>
          <w:trHeight w:val="397"/>
          <w:jc w:val="center"/>
        </w:trPr>
        <w:tc>
          <w:tcPr>
            <w:tcW w:w="2626" w:type="dxa"/>
            <w:vAlign w:val="center"/>
          </w:tcPr>
          <w:p w14:paraId="4ACC6A78" w14:textId="77777777" w:rsidR="004B0883" w:rsidRDefault="004B0883">
            <w:pPr>
              <w:adjustRightInd w:val="0"/>
              <w:snapToGrid w:val="0"/>
              <w:rPr>
                <w:b/>
                <w:bCs/>
                <w:kern w:val="0"/>
              </w:rPr>
            </w:pPr>
            <w:r>
              <w:rPr>
                <w:b/>
                <w:bCs/>
                <w:kern w:val="0"/>
              </w:rPr>
              <w:t>非流动资产：</w:t>
            </w:r>
          </w:p>
        </w:tc>
        <w:tc>
          <w:tcPr>
            <w:tcW w:w="1475" w:type="dxa"/>
            <w:vAlign w:val="center"/>
          </w:tcPr>
          <w:p w14:paraId="1F1D6B84" w14:textId="77777777" w:rsidR="004B0883" w:rsidRDefault="004B0883">
            <w:pPr>
              <w:adjustRightInd w:val="0"/>
              <w:snapToGrid w:val="0"/>
              <w:jc w:val="right"/>
              <w:rPr>
                <w:b/>
                <w:bCs/>
                <w:color w:val="000000"/>
                <w:kern w:val="0"/>
              </w:rPr>
            </w:pPr>
          </w:p>
        </w:tc>
        <w:tc>
          <w:tcPr>
            <w:tcW w:w="1475" w:type="dxa"/>
            <w:vAlign w:val="center"/>
          </w:tcPr>
          <w:p w14:paraId="46B26C56" w14:textId="77777777" w:rsidR="004B0883" w:rsidRDefault="004B0883">
            <w:pPr>
              <w:adjustRightInd w:val="0"/>
              <w:snapToGrid w:val="0"/>
              <w:jc w:val="right"/>
              <w:rPr>
                <w:b/>
                <w:bCs/>
                <w:color w:val="000000"/>
                <w:kern w:val="0"/>
              </w:rPr>
            </w:pPr>
          </w:p>
        </w:tc>
        <w:tc>
          <w:tcPr>
            <w:tcW w:w="1475" w:type="dxa"/>
            <w:vAlign w:val="center"/>
          </w:tcPr>
          <w:p w14:paraId="45F300B9" w14:textId="77777777" w:rsidR="004B0883" w:rsidRDefault="004B0883">
            <w:pPr>
              <w:adjustRightInd w:val="0"/>
              <w:snapToGrid w:val="0"/>
              <w:jc w:val="right"/>
              <w:rPr>
                <w:b/>
                <w:bCs/>
                <w:color w:val="000000"/>
                <w:kern w:val="0"/>
              </w:rPr>
            </w:pPr>
          </w:p>
        </w:tc>
        <w:tc>
          <w:tcPr>
            <w:tcW w:w="1475" w:type="dxa"/>
            <w:vAlign w:val="center"/>
          </w:tcPr>
          <w:p w14:paraId="166F9F1D" w14:textId="77777777" w:rsidR="004B0883" w:rsidRDefault="004B0883">
            <w:pPr>
              <w:adjustRightInd w:val="0"/>
              <w:snapToGrid w:val="0"/>
              <w:jc w:val="right"/>
              <w:rPr>
                <w:b/>
                <w:bCs/>
                <w:color w:val="000000"/>
                <w:kern w:val="0"/>
              </w:rPr>
            </w:pPr>
          </w:p>
        </w:tc>
      </w:tr>
      <w:tr w:rsidR="004B0883" w14:paraId="4653B203" w14:textId="77777777">
        <w:trPr>
          <w:trHeight w:val="397"/>
          <w:jc w:val="center"/>
        </w:trPr>
        <w:tc>
          <w:tcPr>
            <w:tcW w:w="2626" w:type="dxa"/>
            <w:vAlign w:val="center"/>
          </w:tcPr>
          <w:p w14:paraId="1F3B75B2" w14:textId="77777777" w:rsidR="004B0883" w:rsidRDefault="004B0883">
            <w:pPr>
              <w:adjustRightInd w:val="0"/>
              <w:snapToGrid w:val="0"/>
              <w:rPr>
                <w:kern w:val="0"/>
              </w:rPr>
            </w:pPr>
            <w:r>
              <w:rPr>
                <w:rFonts w:hint="eastAsia"/>
                <w:kern w:val="0"/>
              </w:rPr>
              <w:t>债权投资</w:t>
            </w:r>
          </w:p>
        </w:tc>
        <w:tc>
          <w:tcPr>
            <w:tcW w:w="1475" w:type="dxa"/>
            <w:vAlign w:val="center"/>
          </w:tcPr>
          <w:p w14:paraId="471EEB7B" w14:textId="77777777" w:rsidR="004B0883" w:rsidRDefault="004B0883">
            <w:pPr>
              <w:adjustRightInd w:val="0"/>
              <w:snapToGrid w:val="0"/>
              <w:jc w:val="right"/>
              <w:rPr>
                <w:color w:val="000000"/>
                <w:kern w:val="0"/>
              </w:rPr>
            </w:pPr>
            <w:r>
              <w:rPr>
                <w:color w:val="000000"/>
                <w:kern w:val="0"/>
              </w:rPr>
              <w:t>1,033.23</w:t>
            </w:r>
          </w:p>
        </w:tc>
        <w:tc>
          <w:tcPr>
            <w:tcW w:w="1475" w:type="dxa"/>
            <w:vAlign w:val="center"/>
          </w:tcPr>
          <w:p w14:paraId="083CA1E8" w14:textId="77777777" w:rsidR="004B0883" w:rsidRDefault="004B0883">
            <w:pPr>
              <w:adjustRightInd w:val="0"/>
              <w:snapToGrid w:val="0"/>
              <w:jc w:val="right"/>
              <w:rPr>
                <w:color w:val="000000"/>
                <w:kern w:val="0"/>
              </w:rPr>
            </w:pPr>
            <w:r>
              <w:rPr>
                <w:rFonts w:hint="eastAsia"/>
                <w:color w:val="000000"/>
                <w:kern w:val="0"/>
              </w:rPr>
              <w:t>1,009.25</w:t>
            </w:r>
          </w:p>
        </w:tc>
        <w:tc>
          <w:tcPr>
            <w:tcW w:w="1475" w:type="dxa"/>
            <w:vAlign w:val="center"/>
          </w:tcPr>
          <w:p w14:paraId="191BFB0E" w14:textId="77777777" w:rsidR="004B0883" w:rsidRDefault="004B0883">
            <w:pPr>
              <w:adjustRightInd w:val="0"/>
              <w:snapToGrid w:val="0"/>
              <w:jc w:val="right"/>
              <w:rPr>
                <w:color w:val="000000"/>
                <w:kern w:val="0"/>
              </w:rPr>
            </w:pPr>
            <w:r>
              <w:rPr>
                <w:rFonts w:hint="eastAsia"/>
                <w:color w:val="000000"/>
                <w:kern w:val="0"/>
              </w:rPr>
              <w:t>-</w:t>
            </w:r>
          </w:p>
        </w:tc>
        <w:tc>
          <w:tcPr>
            <w:tcW w:w="1475" w:type="dxa"/>
            <w:vAlign w:val="center"/>
          </w:tcPr>
          <w:p w14:paraId="617AFD49" w14:textId="77777777" w:rsidR="004B0883" w:rsidRDefault="004B0883">
            <w:pPr>
              <w:adjustRightInd w:val="0"/>
              <w:snapToGrid w:val="0"/>
              <w:jc w:val="right"/>
              <w:rPr>
                <w:color w:val="000000"/>
                <w:kern w:val="0"/>
              </w:rPr>
            </w:pPr>
            <w:r>
              <w:rPr>
                <w:rFonts w:hint="eastAsia"/>
                <w:color w:val="000000"/>
                <w:kern w:val="0"/>
              </w:rPr>
              <w:t>-</w:t>
            </w:r>
          </w:p>
        </w:tc>
      </w:tr>
      <w:tr w:rsidR="004B0883" w14:paraId="6310C973" w14:textId="77777777">
        <w:trPr>
          <w:trHeight w:val="397"/>
          <w:jc w:val="center"/>
        </w:trPr>
        <w:tc>
          <w:tcPr>
            <w:tcW w:w="2626" w:type="dxa"/>
            <w:vAlign w:val="center"/>
          </w:tcPr>
          <w:p w14:paraId="13E0E46D" w14:textId="77777777" w:rsidR="004B0883" w:rsidRDefault="004B0883">
            <w:pPr>
              <w:adjustRightInd w:val="0"/>
              <w:snapToGrid w:val="0"/>
              <w:rPr>
                <w:kern w:val="0"/>
              </w:rPr>
            </w:pPr>
            <w:r>
              <w:rPr>
                <w:rFonts w:hint="eastAsia"/>
                <w:kern w:val="0"/>
              </w:rPr>
              <w:t>投资性房地产</w:t>
            </w:r>
          </w:p>
        </w:tc>
        <w:tc>
          <w:tcPr>
            <w:tcW w:w="1475" w:type="dxa"/>
            <w:vAlign w:val="center"/>
          </w:tcPr>
          <w:p w14:paraId="35A7DA14" w14:textId="77777777" w:rsidR="004B0883" w:rsidRDefault="004B0883">
            <w:pPr>
              <w:adjustRightInd w:val="0"/>
              <w:snapToGrid w:val="0"/>
              <w:jc w:val="right"/>
              <w:rPr>
                <w:color w:val="000000"/>
                <w:kern w:val="0"/>
              </w:rPr>
            </w:pPr>
            <w:r>
              <w:t>122.48</w:t>
            </w:r>
          </w:p>
        </w:tc>
        <w:tc>
          <w:tcPr>
            <w:tcW w:w="1475" w:type="dxa"/>
            <w:vAlign w:val="center"/>
          </w:tcPr>
          <w:p w14:paraId="0365F8C0" w14:textId="77777777" w:rsidR="004B0883" w:rsidRDefault="004B0883">
            <w:pPr>
              <w:adjustRightInd w:val="0"/>
              <w:snapToGrid w:val="0"/>
              <w:jc w:val="right"/>
              <w:rPr>
                <w:color w:val="000000"/>
                <w:kern w:val="0"/>
              </w:rPr>
            </w:pPr>
            <w:r>
              <w:rPr>
                <w:rFonts w:hint="eastAsia"/>
                <w:color w:val="000000"/>
                <w:kern w:val="0"/>
              </w:rPr>
              <w:t>131.37</w:t>
            </w:r>
          </w:p>
        </w:tc>
        <w:tc>
          <w:tcPr>
            <w:tcW w:w="1475" w:type="dxa"/>
            <w:vAlign w:val="center"/>
          </w:tcPr>
          <w:p w14:paraId="7A049C29" w14:textId="77777777" w:rsidR="004B0883" w:rsidRDefault="004B0883">
            <w:pPr>
              <w:adjustRightInd w:val="0"/>
              <w:snapToGrid w:val="0"/>
              <w:jc w:val="right"/>
              <w:rPr>
                <w:color w:val="000000"/>
                <w:kern w:val="0"/>
              </w:rPr>
            </w:pPr>
            <w:r>
              <w:rPr>
                <w:rFonts w:hint="eastAsia"/>
                <w:color w:val="000000"/>
                <w:kern w:val="0"/>
              </w:rPr>
              <w:t>557.87</w:t>
            </w:r>
          </w:p>
        </w:tc>
        <w:tc>
          <w:tcPr>
            <w:tcW w:w="1475" w:type="dxa"/>
            <w:vAlign w:val="center"/>
          </w:tcPr>
          <w:p w14:paraId="1DE7DCDD" w14:textId="77777777" w:rsidR="004B0883" w:rsidRDefault="004B0883">
            <w:pPr>
              <w:adjustRightInd w:val="0"/>
              <w:snapToGrid w:val="0"/>
              <w:jc w:val="right"/>
              <w:rPr>
                <w:color w:val="000000"/>
                <w:kern w:val="0"/>
              </w:rPr>
            </w:pPr>
            <w:r>
              <w:rPr>
                <w:rFonts w:hint="eastAsia"/>
                <w:color w:val="000000"/>
                <w:kern w:val="0"/>
              </w:rPr>
              <w:t>628.75</w:t>
            </w:r>
          </w:p>
        </w:tc>
      </w:tr>
      <w:tr w:rsidR="004B0883" w14:paraId="6D981862" w14:textId="77777777">
        <w:trPr>
          <w:trHeight w:val="397"/>
          <w:jc w:val="center"/>
        </w:trPr>
        <w:tc>
          <w:tcPr>
            <w:tcW w:w="2626" w:type="dxa"/>
            <w:vAlign w:val="center"/>
          </w:tcPr>
          <w:p w14:paraId="160D1F57" w14:textId="77777777" w:rsidR="004B0883" w:rsidRDefault="004B0883">
            <w:pPr>
              <w:adjustRightInd w:val="0"/>
              <w:snapToGrid w:val="0"/>
              <w:rPr>
                <w:kern w:val="0"/>
              </w:rPr>
            </w:pPr>
            <w:r>
              <w:rPr>
                <w:rFonts w:hint="eastAsia"/>
                <w:kern w:val="0"/>
              </w:rPr>
              <w:t>固定资产</w:t>
            </w:r>
          </w:p>
        </w:tc>
        <w:tc>
          <w:tcPr>
            <w:tcW w:w="1475" w:type="dxa"/>
            <w:vAlign w:val="center"/>
          </w:tcPr>
          <w:p w14:paraId="107808ED" w14:textId="77777777" w:rsidR="004B0883" w:rsidRDefault="004B0883">
            <w:pPr>
              <w:adjustRightInd w:val="0"/>
              <w:snapToGrid w:val="0"/>
              <w:jc w:val="right"/>
              <w:rPr>
                <w:color w:val="000000"/>
                <w:kern w:val="0"/>
              </w:rPr>
            </w:pPr>
            <w:r>
              <w:t>22,530.65</w:t>
            </w:r>
          </w:p>
        </w:tc>
        <w:tc>
          <w:tcPr>
            <w:tcW w:w="1475" w:type="dxa"/>
            <w:vAlign w:val="center"/>
          </w:tcPr>
          <w:p w14:paraId="67FB280A" w14:textId="77777777" w:rsidR="004B0883" w:rsidRDefault="004B0883">
            <w:pPr>
              <w:adjustRightInd w:val="0"/>
              <w:snapToGrid w:val="0"/>
              <w:jc w:val="right"/>
              <w:rPr>
                <w:color w:val="000000"/>
                <w:kern w:val="0"/>
              </w:rPr>
            </w:pPr>
            <w:r>
              <w:rPr>
                <w:rFonts w:hint="eastAsia"/>
                <w:color w:val="000000"/>
                <w:kern w:val="0"/>
              </w:rPr>
              <w:t>23,886.39</w:t>
            </w:r>
          </w:p>
        </w:tc>
        <w:tc>
          <w:tcPr>
            <w:tcW w:w="1475" w:type="dxa"/>
            <w:vAlign w:val="center"/>
          </w:tcPr>
          <w:p w14:paraId="293BED76" w14:textId="77777777" w:rsidR="004B0883" w:rsidRDefault="004B0883">
            <w:pPr>
              <w:adjustRightInd w:val="0"/>
              <w:snapToGrid w:val="0"/>
              <w:jc w:val="right"/>
              <w:rPr>
                <w:color w:val="000000"/>
                <w:kern w:val="0"/>
              </w:rPr>
            </w:pPr>
            <w:r>
              <w:rPr>
                <w:rFonts w:hint="eastAsia"/>
                <w:color w:val="000000"/>
                <w:kern w:val="0"/>
              </w:rPr>
              <w:t>25,021.29</w:t>
            </w:r>
          </w:p>
        </w:tc>
        <w:tc>
          <w:tcPr>
            <w:tcW w:w="1475" w:type="dxa"/>
            <w:vAlign w:val="center"/>
          </w:tcPr>
          <w:p w14:paraId="7B119BEF" w14:textId="77777777" w:rsidR="004B0883" w:rsidRDefault="004B0883">
            <w:pPr>
              <w:adjustRightInd w:val="0"/>
              <w:snapToGrid w:val="0"/>
              <w:jc w:val="right"/>
              <w:rPr>
                <w:color w:val="000000"/>
                <w:kern w:val="0"/>
              </w:rPr>
            </w:pPr>
            <w:r>
              <w:rPr>
                <w:rFonts w:hint="eastAsia"/>
                <w:color w:val="000000"/>
                <w:kern w:val="0"/>
              </w:rPr>
              <w:t>24,566.91</w:t>
            </w:r>
          </w:p>
        </w:tc>
      </w:tr>
      <w:tr w:rsidR="004B0883" w14:paraId="7965B3A6" w14:textId="77777777">
        <w:trPr>
          <w:trHeight w:val="397"/>
          <w:jc w:val="center"/>
        </w:trPr>
        <w:tc>
          <w:tcPr>
            <w:tcW w:w="2626" w:type="dxa"/>
            <w:vAlign w:val="center"/>
          </w:tcPr>
          <w:p w14:paraId="7EEC4B7A" w14:textId="77777777" w:rsidR="004B0883" w:rsidRDefault="004B0883">
            <w:pPr>
              <w:adjustRightInd w:val="0"/>
              <w:snapToGrid w:val="0"/>
              <w:rPr>
                <w:kern w:val="0"/>
              </w:rPr>
            </w:pPr>
            <w:r>
              <w:rPr>
                <w:rFonts w:hint="eastAsia"/>
                <w:kern w:val="0"/>
              </w:rPr>
              <w:t>在建工程</w:t>
            </w:r>
          </w:p>
        </w:tc>
        <w:tc>
          <w:tcPr>
            <w:tcW w:w="1475" w:type="dxa"/>
            <w:vAlign w:val="center"/>
          </w:tcPr>
          <w:p w14:paraId="4A188C78" w14:textId="77777777" w:rsidR="004B0883" w:rsidRDefault="004B0883">
            <w:pPr>
              <w:adjustRightInd w:val="0"/>
              <w:snapToGrid w:val="0"/>
              <w:jc w:val="right"/>
              <w:rPr>
                <w:color w:val="000000"/>
                <w:kern w:val="0"/>
              </w:rPr>
            </w:pPr>
            <w:r>
              <w:t>2,692.89</w:t>
            </w:r>
          </w:p>
        </w:tc>
        <w:tc>
          <w:tcPr>
            <w:tcW w:w="1475" w:type="dxa"/>
            <w:vAlign w:val="center"/>
          </w:tcPr>
          <w:p w14:paraId="2AD1A8E4" w14:textId="77777777" w:rsidR="004B0883" w:rsidRDefault="004B0883">
            <w:pPr>
              <w:adjustRightInd w:val="0"/>
              <w:snapToGrid w:val="0"/>
              <w:jc w:val="right"/>
              <w:rPr>
                <w:color w:val="000000"/>
                <w:kern w:val="0"/>
              </w:rPr>
            </w:pPr>
            <w:r>
              <w:rPr>
                <w:rFonts w:hint="eastAsia"/>
                <w:color w:val="000000"/>
                <w:kern w:val="0"/>
              </w:rPr>
              <w:t>508.76</w:t>
            </w:r>
          </w:p>
        </w:tc>
        <w:tc>
          <w:tcPr>
            <w:tcW w:w="1475" w:type="dxa"/>
            <w:vAlign w:val="center"/>
          </w:tcPr>
          <w:p w14:paraId="48490FBD" w14:textId="77777777" w:rsidR="004B0883" w:rsidRDefault="004B0883">
            <w:pPr>
              <w:adjustRightInd w:val="0"/>
              <w:snapToGrid w:val="0"/>
              <w:jc w:val="right"/>
              <w:rPr>
                <w:color w:val="000000"/>
                <w:kern w:val="0"/>
              </w:rPr>
            </w:pPr>
            <w:r>
              <w:rPr>
                <w:rFonts w:hint="eastAsia"/>
                <w:color w:val="000000"/>
                <w:kern w:val="0"/>
              </w:rPr>
              <w:t>464.97</w:t>
            </w:r>
          </w:p>
        </w:tc>
        <w:tc>
          <w:tcPr>
            <w:tcW w:w="1475" w:type="dxa"/>
            <w:vAlign w:val="center"/>
          </w:tcPr>
          <w:p w14:paraId="35EDA87E" w14:textId="77777777" w:rsidR="004B0883" w:rsidRDefault="004B0883">
            <w:pPr>
              <w:adjustRightInd w:val="0"/>
              <w:snapToGrid w:val="0"/>
              <w:jc w:val="right"/>
              <w:rPr>
                <w:color w:val="000000"/>
                <w:kern w:val="0"/>
              </w:rPr>
            </w:pPr>
            <w:r>
              <w:rPr>
                <w:rFonts w:hint="eastAsia"/>
                <w:color w:val="000000"/>
                <w:kern w:val="0"/>
              </w:rPr>
              <w:t>1,282.93</w:t>
            </w:r>
          </w:p>
        </w:tc>
      </w:tr>
      <w:tr w:rsidR="004B0883" w14:paraId="10A0A90D" w14:textId="77777777">
        <w:trPr>
          <w:trHeight w:val="397"/>
          <w:jc w:val="center"/>
        </w:trPr>
        <w:tc>
          <w:tcPr>
            <w:tcW w:w="2626" w:type="dxa"/>
            <w:vAlign w:val="center"/>
          </w:tcPr>
          <w:p w14:paraId="4DA9EB41" w14:textId="77777777" w:rsidR="004B0883" w:rsidRDefault="004B0883">
            <w:pPr>
              <w:adjustRightInd w:val="0"/>
              <w:snapToGrid w:val="0"/>
              <w:rPr>
                <w:kern w:val="0"/>
              </w:rPr>
            </w:pPr>
            <w:r>
              <w:rPr>
                <w:rFonts w:hint="eastAsia"/>
                <w:kern w:val="0"/>
              </w:rPr>
              <w:t>无形资产</w:t>
            </w:r>
          </w:p>
        </w:tc>
        <w:tc>
          <w:tcPr>
            <w:tcW w:w="1475" w:type="dxa"/>
            <w:vAlign w:val="center"/>
          </w:tcPr>
          <w:p w14:paraId="0AB2F183" w14:textId="77777777" w:rsidR="004B0883" w:rsidRDefault="004B0883">
            <w:pPr>
              <w:adjustRightInd w:val="0"/>
              <w:snapToGrid w:val="0"/>
              <w:jc w:val="right"/>
              <w:rPr>
                <w:color w:val="000000"/>
                <w:kern w:val="0"/>
              </w:rPr>
            </w:pPr>
            <w:r>
              <w:rPr>
                <w:color w:val="000000"/>
                <w:kern w:val="0"/>
              </w:rPr>
              <w:t>4,986.23</w:t>
            </w:r>
          </w:p>
        </w:tc>
        <w:tc>
          <w:tcPr>
            <w:tcW w:w="1475" w:type="dxa"/>
            <w:vAlign w:val="center"/>
          </w:tcPr>
          <w:p w14:paraId="0DE7DA5A" w14:textId="77777777" w:rsidR="004B0883" w:rsidRDefault="004B0883">
            <w:pPr>
              <w:adjustRightInd w:val="0"/>
              <w:snapToGrid w:val="0"/>
              <w:jc w:val="right"/>
              <w:rPr>
                <w:color w:val="000000"/>
                <w:kern w:val="0"/>
              </w:rPr>
            </w:pPr>
            <w:r>
              <w:rPr>
                <w:rFonts w:hint="eastAsia"/>
                <w:color w:val="000000"/>
                <w:kern w:val="0"/>
              </w:rPr>
              <w:t>3,352.19</w:t>
            </w:r>
          </w:p>
        </w:tc>
        <w:tc>
          <w:tcPr>
            <w:tcW w:w="1475" w:type="dxa"/>
            <w:vAlign w:val="center"/>
          </w:tcPr>
          <w:p w14:paraId="12B0652C" w14:textId="77777777" w:rsidR="004B0883" w:rsidRDefault="004B0883">
            <w:pPr>
              <w:adjustRightInd w:val="0"/>
              <w:snapToGrid w:val="0"/>
              <w:jc w:val="right"/>
              <w:rPr>
                <w:color w:val="000000"/>
                <w:kern w:val="0"/>
              </w:rPr>
            </w:pPr>
            <w:r>
              <w:rPr>
                <w:rFonts w:hint="eastAsia"/>
                <w:color w:val="000000"/>
                <w:kern w:val="0"/>
              </w:rPr>
              <w:t>3,451.56</w:t>
            </w:r>
          </w:p>
        </w:tc>
        <w:tc>
          <w:tcPr>
            <w:tcW w:w="1475" w:type="dxa"/>
            <w:vAlign w:val="center"/>
          </w:tcPr>
          <w:p w14:paraId="1425FE7C" w14:textId="77777777" w:rsidR="004B0883" w:rsidRDefault="004B0883">
            <w:pPr>
              <w:adjustRightInd w:val="0"/>
              <w:snapToGrid w:val="0"/>
              <w:jc w:val="right"/>
              <w:rPr>
                <w:color w:val="000000"/>
                <w:kern w:val="0"/>
              </w:rPr>
            </w:pPr>
            <w:r>
              <w:rPr>
                <w:rFonts w:hint="eastAsia"/>
                <w:color w:val="000000"/>
                <w:kern w:val="0"/>
              </w:rPr>
              <w:t>3,543.19</w:t>
            </w:r>
          </w:p>
        </w:tc>
      </w:tr>
      <w:tr w:rsidR="004B0883" w14:paraId="48E9DA36" w14:textId="77777777">
        <w:trPr>
          <w:trHeight w:val="397"/>
          <w:jc w:val="center"/>
        </w:trPr>
        <w:tc>
          <w:tcPr>
            <w:tcW w:w="2626" w:type="dxa"/>
            <w:vAlign w:val="center"/>
          </w:tcPr>
          <w:p w14:paraId="7E820E91" w14:textId="77777777" w:rsidR="004B0883" w:rsidRDefault="004B0883">
            <w:pPr>
              <w:adjustRightInd w:val="0"/>
              <w:snapToGrid w:val="0"/>
              <w:rPr>
                <w:kern w:val="0"/>
              </w:rPr>
            </w:pPr>
            <w:r>
              <w:rPr>
                <w:rFonts w:hint="eastAsia"/>
                <w:kern w:val="0"/>
              </w:rPr>
              <w:t>长期待摊费用</w:t>
            </w:r>
          </w:p>
        </w:tc>
        <w:tc>
          <w:tcPr>
            <w:tcW w:w="1475" w:type="dxa"/>
            <w:vAlign w:val="center"/>
          </w:tcPr>
          <w:p w14:paraId="5E75CF61" w14:textId="77777777" w:rsidR="004B0883" w:rsidRDefault="004B0883">
            <w:pPr>
              <w:adjustRightInd w:val="0"/>
              <w:snapToGrid w:val="0"/>
              <w:jc w:val="right"/>
              <w:rPr>
                <w:color w:val="000000"/>
                <w:kern w:val="0"/>
              </w:rPr>
            </w:pPr>
            <w:r>
              <w:t>209.53</w:t>
            </w:r>
          </w:p>
        </w:tc>
        <w:tc>
          <w:tcPr>
            <w:tcW w:w="1475" w:type="dxa"/>
            <w:vAlign w:val="center"/>
          </w:tcPr>
          <w:p w14:paraId="68A19C12" w14:textId="77777777" w:rsidR="004B0883" w:rsidRDefault="004B0883">
            <w:pPr>
              <w:adjustRightInd w:val="0"/>
              <w:snapToGrid w:val="0"/>
              <w:jc w:val="right"/>
              <w:rPr>
                <w:color w:val="000000"/>
                <w:kern w:val="0"/>
              </w:rPr>
            </w:pPr>
            <w:r>
              <w:rPr>
                <w:rFonts w:hint="eastAsia"/>
                <w:color w:val="000000"/>
                <w:kern w:val="0"/>
              </w:rPr>
              <w:t>203.46</w:t>
            </w:r>
          </w:p>
        </w:tc>
        <w:tc>
          <w:tcPr>
            <w:tcW w:w="1475" w:type="dxa"/>
            <w:vAlign w:val="center"/>
          </w:tcPr>
          <w:p w14:paraId="1AED4498" w14:textId="77777777" w:rsidR="004B0883" w:rsidRDefault="004B0883">
            <w:pPr>
              <w:adjustRightInd w:val="0"/>
              <w:snapToGrid w:val="0"/>
              <w:jc w:val="right"/>
              <w:rPr>
                <w:color w:val="000000"/>
                <w:kern w:val="0"/>
              </w:rPr>
            </w:pPr>
            <w:r>
              <w:rPr>
                <w:rFonts w:hint="eastAsia"/>
                <w:color w:val="000000"/>
                <w:kern w:val="0"/>
              </w:rPr>
              <w:t>121.24</w:t>
            </w:r>
          </w:p>
        </w:tc>
        <w:tc>
          <w:tcPr>
            <w:tcW w:w="1475" w:type="dxa"/>
            <w:vAlign w:val="center"/>
          </w:tcPr>
          <w:p w14:paraId="1B6D3DD5" w14:textId="77777777" w:rsidR="004B0883" w:rsidRDefault="004B0883">
            <w:pPr>
              <w:adjustRightInd w:val="0"/>
              <w:snapToGrid w:val="0"/>
              <w:jc w:val="right"/>
              <w:rPr>
                <w:color w:val="000000"/>
                <w:kern w:val="0"/>
              </w:rPr>
            </w:pPr>
            <w:r>
              <w:rPr>
                <w:rFonts w:hint="eastAsia"/>
                <w:color w:val="000000"/>
                <w:kern w:val="0"/>
              </w:rPr>
              <w:t>28.60</w:t>
            </w:r>
          </w:p>
        </w:tc>
      </w:tr>
      <w:tr w:rsidR="004B0883" w14:paraId="60AC628C" w14:textId="77777777">
        <w:trPr>
          <w:trHeight w:val="397"/>
          <w:jc w:val="center"/>
        </w:trPr>
        <w:tc>
          <w:tcPr>
            <w:tcW w:w="2626" w:type="dxa"/>
            <w:vAlign w:val="center"/>
          </w:tcPr>
          <w:p w14:paraId="4E652E8C" w14:textId="77777777" w:rsidR="004B0883" w:rsidRDefault="004B0883">
            <w:pPr>
              <w:adjustRightInd w:val="0"/>
              <w:snapToGrid w:val="0"/>
              <w:rPr>
                <w:kern w:val="0"/>
              </w:rPr>
            </w:pPr>
            <w:r>
              <w:rPr>
                <w:rFonts w:hint="eastAsia"/>
                <w:kern w:val="0"/>
              </w:rPr>
              <w:t>递延所得税资产</w:t>
            </w:r>
          </w:p>
        </w:tc>
        <w:tc>
          <w:tcPr>
            <w:tcW w:w="1475" w:type="dxa"/>
            <w:vAlign w:val="center"/>
          </w:tcPr>
          <w:p w14:paraId="1AB77E0A" w14:textId="77777777" w:rsidR="004B0883" w:rsidRDefault="004B0883">
            <w:pPr>
              <w:adjustRightInd w:val="0"/>
              <w:snapToGrid w:val="0"/>
              <w:jc w:val="right"/>
              <w:rPr>
                <w:color w:val="000000"/>
                <w:kern w:val="0"/>
              </w:rPr>
            </w:pPr>
            <w:r>
              <w:t>1,434.44</w:t>
            </w:r>
          </w:p>
        </w:tc>
        <w:tc>
          <w:tcPr>
            <w:tcW w:w="1475" w:type="dxa"/>
            <w:vAlign w:val="center"/>
          </w:tcPr>
          <w:p w14:paraId="0C6AFC8F" w14:textId="77777777" w:rsidR="004B0883" w:rsidRDefault="004B0883">
            <w:pPr>
              <w:adjustRightInd w:val="0"/>
              <w:snapToGrid w:val="0"/>
              <w:jc w:val="right"/>
              <w:rPr>
                <w:color w:val="000000"/>
                <w:kern w:val="0"/>
              </w:rPr>
            </w:pPr>
            <w:r>
              <w:rPr>
                <w:rFonts w:hint="eastAsia"/>
                <w:color w:val="000000"/>
                <w:kern w:val="0"/>
              </w:rPr>
              <w:t>1,383.76</w:t>
            </w:r>
          </w:p>
        </w:tc>
        <w:tc>
          <w:tcPr>
            <w:tcW w:w="1475" w:type="dxa"/>
            <w:vAlign w:val="center"/>
          </w:tcPr>
          <w:p w14:paraId="7F67B2E4" w14:textId="77777777" w:rsidR="004B0883" w:rsidRDefault="004B0883">
            <w:pPr>
              <w:adjustRightInd w:val="0"/>
              <w:snapToGrid w:val="0"/>
              <w:jc w:val="right"/>
              <w:rPr>
                <w:color w:val="000000"/>
                <w:kern w:val="0"/>
              </w:rPr>
            </w:pPr>
            <w:r>
              <w:rPr>
                <w:rFonts w:hint="eastAsia"/>
                <w:color w:val="000000"/>
                <w:kern w:val="0"/>
              </w:rPr>
              <w:t>1,422.03</w:t>
            </w:r>
          </w:p>
        </w:tc>
        <w:tc>
          <w:tcPr>
            <w:tcW w:w="1475" w:type="dxa"/>
            <w:vAlign w:val="center"/>
          </w:tcPr>
          <w:p w14:paraId="4846D6D4" w14:textId="77777777" w:rsidR="004B0883" w:rsidRDefault="004B0883">
            <w:pPr>
              <w:adjustRightInd w:val="0"/>
              <w:snapToGrid w:val="0"/>
              <w:jc w:val="right"/>
              <w:rPr>
                <w:color w:val="000000"/>
                <w:kern w:val="0"/>
              </w:rPr>
            </w:pPr>
            <w:r>
              <w:rPr>
                <w:rFonts w:hint="eastAsia"/>
                <w:color w:val="000000"/>
                <w:kern w:val="0"/>
              </w:rPr>
              <w:t>1,147.14</w:t>
            </w:r>
          </w:p>
        </w:tc>
      </w:tr>
      <w:tr w:rsidR="004B0883" w14:paraId="740A1585" w14:textId="77777777">
        <w:trPr>
          <w:trHeight w:val="397"/>
          <w:jc w:val="center"/>
        </w:trPr>
        <w:tc>
          <w:tcPr>
            <w:tcW w:w="2626" w:type="dxa"/>
            <w:vAlign w:val="center"/>
          </w:tcPr>
          <w:p w14:paraId="504D8567" w14:textId="77777777" w:rsidR="004B0883" w:rsidRDefault="004B0883">
            <w:pPr>
              <w:adjustRightInd w:val="0"/>
              <w:snapToGrid w:val="0"/>
              <w:rPr>
                <w:kern w:val="0"/>
              </w:rPr>
            </w:pPr>
            <w:r>
              <w:rPr>
                <w:rFonts w:hint="eastAsia"/>
                <w:kern w:val="0"/>
              </w:rPr>
              <w:t>其他非流动资产</w:t>
            </w:r>
          </w:p>
        </w:tc>
        <w:tc>
          <w:tcPr>
            <w:tcW w:w="1475" w:type="dxa"/>
            <w:vAlign w:val="center"/>
          </w:tcPr>
          <w:p w14:paraId="49039383" w14:textId="77777777" w:rsidR="004B0883" w:rsidRDefault="004B0883">
            <w:pPr>
              <w:adjustRightInd w:val="0"/>
              <w:snapToGrid w:val="0"/>
              <w:jc w:val="right"/>
              <w:rPr>
                <w:color w:val="000000"/>
                <w:kern w:val="0"/>
              </w:rPr>
            </w:pPr>
            <w:r>
              <w:t>2.00</w:t>
            </w:r>
          </w:p>
        </w:tc>
        <w:tc>
          <w:tcPr>
            <w:tcW w:w="1475" w:type="dxa"/>
            <w:vAlign w:val="center"/>
          </w:tcPr>
          <w:p w14:paraId="293EF34A" w14:textId="77777777" w:rsidR="004B0883" w:rsidRDefault="004B0883">
            <w:pPr>
              <w:adjustRightInd w:val="0"/>
              <w:snapToGrid w:val="0"/>
              <w:jc w:val="right"/>
              <w:rPr>
                <w:color w:val="000000"/>
                <w:kern w:val="0"/>
              </w:rPr>
            </w:pPr>
            <w:r>
              <w:rPr>
                <w:rFonts w:hint="eastAsia"/>
                <w:color w:val="000000"/>
                <w:kern w:val="0"/>
              </w:rPr>
              <w:t>9.47</w:t>
            </w:r>
          </w:p>
        </w:tc>
        <w:tc>
          <w:tcPr>
            <w:tcW w:w="1475" w:type="dxa"/>
            <w:vAlign w:val="center"/>
          </w:tcPr>
          <w:p w14:paraId="6F082A88" w14:textId="77777777" w:rsidR="004B0883" w:rsidRDefault="004B0883">
            <w:pPr>
              <w:adjustRightInd w:val="0"/>
              <w:snapToGrid w:val="0"/>
              <w:jc w:val="right"/>
              <w:rPr>
                <w:color w:val="000000"/>
                <w:kern w:val="0"/>
              </w:rPr>
            </w:pPr>
            <w:r>
              <w:rPr>
                <w:rFonts w:hint="eastAsia"/>
                <w:color w:val="000000"/>
                <w:kern w:val="0"/>
              </w:rPr>
              <w:t>24.75</w:t>
            </w:r>
          </w:p>
        </w:tc>
        <w:tc>
          <w:tcPr>
            <w:tcW w:w="1475" w:type="dxa"/>
            <w:vAlign w:val="center"/>
          </w:tcPr>
          <w:p w14:paraId="27549CA4" w14:textId="77777777" w:rsidR="004B0883" w:rsidRDefault="004B0883">
            <w:pPr>
              <w:adjustRightInd w:val="0"/>
              <w:snapToGrid w:val="0"/>
              <w:jc w:val="right"/>
              <w:rPr>
                <w:color w:val="000000"/>
                <w:kern w:val="0"/>
              </w:rPr>
            </w:pPr>
            <w:r>
              <w:rPr>
                <w:rFonts w:hint="eastAsia"/>
                <w:color w:val="000000"/>
                <w:kern w:val="0"/>
              </w:rPr>
              <w:t>166.35</w:t>
            </w:r>
          </w:p>
        </w:tc>
      </w:tr>
      <w:tr w:rsidR="004B0883" w14:paraId="3B181A67" w14:textId="77777777">
        <w:trPr>
          <w:trHeight w:val="397"/>
          <w:jc w:val="center"/>
        </w:trPr>
        <w:tc>
          <w:tcPr>
            <w:tcW w:w="2626" w:type="dxa"/>
            <w:vAlign w:val="center"/>
          </w:tcPr>
          <w:p w14:paraId="41E87645" w14:textId="77777777" w:rsidR="004B0883" w:rsidRDefault="004B0883">
            <w:pPr>
              <w:adjustRightInd w:val="0"/>
              <w:snapToGrid w:val="0"/>
              <w:rPr>
                <w:b/>
                <w:bCs/>
                <w:color w:val="000000"/>
                <w:kern w:val="0"/>
              </w:rPr>
            </w:pPr>
            <w:r>
              <w:rPr>
                <w:b/>
                <w:bCs/>
                <w:color w:val="000000"/>
                <w:kern w:val="0"/>
              </w:rPr>
              <w:t>非流动资产合计</w:t>
            </w:r>
          </w:p>
        </w:tc>
        <w:tc>
          <w:tcPr>
            <w:tcW w:w="1475" w:type="dxa"/>
            <w:vAlign w:val="center"/>
          </w:tcPr>
          <w:p w14:paraId="0E0DFEB9" w14:textId="77777777" w:rsidR="004B0883" w:rsidRDefault="004B0883">
            <w:pPr>
              <w:adjustRightInd w:val="0"/>
              <w:snapToGrid w:val="0"/>
              <w:jc w:val="right"/>
              <w:rPr>
                <w:b/>
                <w:bCs/>
                <w:color w:val="000000"/>
                <w:kern w:val="0"/>
              </w:rPr>
            </w:pPr>
            <w:r>
              <w:rPr>
                <w:b/>
                <w:bCs/>
              </w:rPr>
              <w:t>33,011.46</w:t>
            </w:r>
          </w:p>
        </w:tc>
        <w:tc>
          <w:tcPr>
            <w:tcW w:w="1475" w:type="dxa"/>
            <w:vAlign w:val="center"/>
          </w:tcPr>
          <w:p w14:paraId="49F1C7E3" w14:textId="77777777" w:rsidR="004B0883" w:rsidRDefault="004B0883">
            <w:pPr>
              <w:adjustRightInd w:val="0"/>
              <w:snapToGrid w:val="0"/>
              <w:jc w:val="right"/>
              <w:rPr>
                <w:b/>
                <w:bCs/>
                <w:color w:val="000000"/>
                <w:kern w:val="0"/>
              </w:rPr>
            </w:pPr>
            <w:r>
              <w:rPr>
                <w:rFonts w:hint="eastAsia"/>
                <w:b/>
                <w:bCs/>
                <w:color w:val="000000"/>
                <w:kern w:val="0"/>
              </w:rPr>
              <w:t>30,484.66</w:t>
            </w:r>
          </w:p>
        </w:tc>
        <w:tc>
          <w:tcPr>
            <w:tcW w:w="1475" w:type="dxa"/>
            <w:vAlign w:val="center"/>
          </w:tcPr>
          <w:p w14:paraId="5B8E30A5" w14:textId="77777777" w:rsidR="004B0883" w:rsidRDefault="004B0883">
            <w:pPr>
              <w:adjustRightInd w:val="0"/>
              <w:snapToGrid w:val="0"/>
              <w:jc w:val="right"/>
              <w:rPr>
                <w:b/>
                <w:bCs/>
                <w:color w:val="000000"/>
                <w:kern w:val="0"/>
              </w:rPr>
            </w:pPr>
            <w:r>
              <w:rPr>
                <w:rFonts w:hint="eastAsia"/>
                <w:b/>
                <w:bCs/>
                <w:color w:val="000000"/>
                <w:kern w:val="0"/>
              </w:rPr>
              <w:t>31,063.70</w:t>
            </w:r>
          </w:p>
        </w:tc>
        <w:tc>
          <w:tcPr>
            <w:tcW w:w="1475" w:type="dxa"/>
            <w:vAlign w:val="center"/>
          </w:tcPr>
          <w:p w14:paraId="78ED1A55" w14:textId="77777777" w:rsidR="004B0883" w:rsidRDefault="004B0883">
            <w:pPr>
              <w:adjustRightInd w:val="0"/>
              <w:snapToGrid w:val="0"/>
              <w:jc w:val="right"/>
              <w:rPr>
                <w:b/>
                <w:bCs/>
                <w:color w:val="000000"/>
                <w:kern w:val="0"/>
              </w:rPr>
            </w:pPr>
            <w:r>
              <w:rPr>
                <w:rFonts w:hint="eastAsia"/>
                <w:b/>
                <w:bCs/>
                <w:color w:val="000000"/>
                <w:kern w:val="0"/>
              </w:rPr>
              <w:t>31,363.85</w:t>
            </w:r>
          </w:p>
        </w:tc>
      </w:tr>
      <w:tr w:rsidR="004B0883" w14:paraId="5F60C992" w14:textId="77777777">
        <w:trPr>
          <w:trHeight w:val="397"/>
          <w:jc w:val="center"/>
        </w:trPr>
        <w:tc>
          <w:tcPr>
            <w:tcW w:w="2626" w:type="dxa"/>
            <w:vAlign w:val="center"/>
          </w:tcPr>
          <w:p w14:paraId="26B9AE12" w14:textId="77777777" w:rsidR="004B0883" w:rsidRDefault="004B0883">
            <w:pPr>
              <w:adjustRightInd w:val="0"/>
              <w:snapToGrid w:val="0"/>
              <w:rPr>
                <w:b/>
                <w:bCs/>
                <w:color w:val="000000"/>
                <w:kern w:val="0"/>
              </w:rPr>
            </w:pPr>
            <w:r>
              <w:rPr>
                <w:b/>
                <w:bCs/>
                <w:color w:val="000000"/>
                <w:kern w:val="0"/>
              </w:rPr>
              <w:t>资产总计</w:t>
            </w:r>
          </w:p>
        </w:tc>
        <w:tc>
          <w:tcPr>
            <w:tcW w:w="1475" w:type="dxa"/>
            <w:vAlign w:val="center"/>
          </w:tcPr>
          <w:p w14:paraId="3C57BB69" w14:textId="77777777" w:rsidR="004B0883" w:rsidRDefault="004B0883">
            <w:pPr>
              <w:adjustRightInd w:val="0"/>
              <w:snapToGrid w:val="0"/>
              <w:jc w:val="right"/>
              <w:rPr>
                <w:b/>
                <w:bCs/>
                <w:color w:val="000000"/>
                <w:kern w:val="0"/>
              </w:rPr>
            </w:pPr>
            <w:r>
              <w:rPr>
                <w:b/>
                <w:bCs/>
              </w:rPr>
              <w:t>100,733.51</w:t>
            </w:r>
          </w:p>
        </w:tc>
        <w:tc>
          <w:tcPr>
            <w:tcW w:w="1475" w:type="dxa"/>
            <w:vAlign w:val="center"/>
          </w:tcPr>
          <w:p w14:paraId="0CBD80F1" w14:textId="77777777" w:rsidR="004B0883" w:rsidRDefault="004B0883">
            <w:pPr>
              <w:adjustRightInd w:val="0"/>
              <w:snapToGrid w:val="0"/>
              <w:jc w:val="right"/>
              <w:rPr>
                <w:b/>
                <w:bCs/>
                <w:color w:val="000000"/>
                <w:kern w:val="0"/>
              </w:rPr>
            </w:pPr>
            <w:r>
              <w:rPr>
                <w:rFonts w:hint="eastAsia"/>
                <w:b/>
                <w:bCs/>
                <w:color w:val="000000"/>
                <w:kern w:val="0"/>
              </w:rPr>
              <w:t>99,396.71</w:t>
            </w:r>
          </w:p>
        </w:tc>
        <w:tc>
          <w:tcPr>
            <w:tcW w:w="1475" w:type="dxa"/>
            <w:vAlign w:val="center"/>
          </w:tcPr>
          <w:p w14:paraId="5D085033" w14:textId="77777777" w:rsidR="004B0883" w:rsidRDefault="004B0883">
            <w:pPr>
              <w:adjustRightInd w:val="0"/>
              <w:snapToGrid w:val="0"/>
              <w:jc w:val="right"/>
              <w:rPr>
                <w:b/>
                <w:bCs/>
                <w:color w:val="000000"/>
                <w:kern w:val="0"/>
              </w:rPr>
            </w:pPr>
            <w:r>
              <w:rPr>
                <w:rFonts w:hint="eastAsia"/>
                <w:b/>
                <w:bCs/>
                <w:color w:val="000000"/>
                <w:kern w:val="0"/>
              </w:rPr>
              <w:t>88,988.05</w:t>
            </w:r>
          </w:p>
        </w:tc>
        <w:tc>
          <w:tcPr>
            <w:tcW w:w="1475" w:type="dxa"/>
            <w:vAlign w:val="center"/>
          </w:tcPr>
          <w:p w14:paraId="22F9ACA4" w14:textId="77777777" w:rsidR="004B0883" w:rsidRDefault="004B0883">
            <w:pPr>
              <w:adjustRightInd w:val="0"/>
              <w:snapToGrid w:val="0"/>
              <w:jc w:val="right"/>
              <w:rPr>
                <w:b/>
                <w:bCs/>
                <w:color w:val="000000"/>
                <w:kern w:val="0"/>
              </w:rPr>
            </w:pPr>
            <w:r>
              <w:rPr>
                <w:rFonts w:hint="eastAsia"/>
                <w:b/>
                <w:bCs/>
                <w:color w:val="000000"/>
                <w:kern w:val="0"/>
              </w:rPr>
              <w:t>86,966.49</w:t>
            </w:r>
          </w:p>
        </w:tc>
      </w:tr>
      <w:tr w:rsidR="004B0883" w14:paraId="5B5B2BF1" w14:textId="77777777">
        <w:trPr>
          <w:trHeight w:val="397"/>
          <w:jc w:val="center"/>
        </w:trPr>
        <w:tc>
          <w:tcPr>
            <w:tcW w:w="2626" w:type="dxa"/>
            <w:vAlign w:val="center"/>
          </w:tcPr>
          <w:p w14:paraId="1F21D682" w14:textId="77777777" w:rsidR="004B0883" w:rsidRDefault="004B0883">
            <w:pPr>
              <w:adjustRightInd w:val="0"/>
              <w:snapToGrid w:val="0"/>
              <w:rPr>
                <w:b/>
                <w:bCs/>
                <w:kern w:val="0"/>
              </w:rPr>
            </w:pPr>
            <w:r>
              <w:rPr>
                <w:b/>
                <w:bCs/>
                <w:kern w:val="0"/>
              </w:rPr>
              <w:t>流动负债：</w:t>
            </w:r>
          </w:p>
        </w:tc>
        <w:tc>
          <w:tcPr>
            <w:tcW w:w="1475" w:type="dxa"/>
            <w:vAlign w:val="center"/>
          </w:tcPr>
          <w:p w14:paraId="702F055A" w14:textId="77777777" w:rsidR="004B0883" w:rsidRDefault="004B0883">
            <w:pPr>
              <w:adjustRightInd w:val="0"/>
              <w:snapToGrid w:val="0"/>
              <w:jc w:val="right"/>
              <w:rPr>
                <w:b/>
                <w:bCs/>
                <w:kern w:val="0"/>
              </w:rPr>
            </w:pPr>
          </w:p>
        </w:tc>
        <w:tc>
          <w:tcPr>
            <w:tcW w:w="1475" w:type="dxa"/>
            <w:vAlign w:val="center"/>
          </w:tcPr>
          <w:p w14:paraId="56ED3C83" w14:textId="77777777" w:rsidR="004B0883" w:rsidRDefault="004B0883">
            <w:pPr>
              <w:adjustRightInd w:val="0"/>
              <w:snapToGrid w:val="0"/>
              <w:jc w:val="right"/>
              <w:rPr>
                <w:kern w:val="0"/>
              </w:rPr>
            </w:pPr>
          </w:p>
        </w:tc>
        <w:tc>
          <w:tcPr>
            <w:tcW w:w="1475" w:type="dxa"/>
            <w:vAlign w:val="center"/>
          </w:tcPr>
          <w:p w14:paraId="6637604E" w14:textId="77777777" w:rsidR="004B0883" w:rsidRDefault="004B0883">
            <w:pPr>
              <w:adjustRightInd w:val="0"/>
              <w:snapToGrid w:val="0"/>
              <w:jc w:val="right"/>
              <w:rPr>
                <w:kern w:val="0"/>
              </w:rPr>
            </w:pPr>
          </w:p>
        </w:tc>
        <w:tc>
          <w:tcPr>
            <w:tcW w:w="1475" w:type="dxa"/>
            <w:vAlign w:val="center"/>
          </w:tcPr>
          <w:p w14:paraId="75766DB2" w14:textId="77777777" w:rsidR="004B0883" w:rsidRDefault="004B0883">
            <w:pPr>
              <w:adjustRightInd w:val="0"/>
              <w:snapToGrid w:val="0"/>
              <w:jc w:val="right"/>
              <w:rPr>
                <w:kern w:val="0"/>
              </w:rPr>
            </w:pPr>
          </w:p>
        </w:tc>
      </w:tr>
      <w:tr w:rsidR="004B0883" w14:paraId="6331C876" w14:textId="77777777">
        <w:trPr>
          <w:trHeight w:val="397"/>
          <w:jc w:val="center"/>
        </w:trPr>
        <w:tc>
          <w:tcPr>
            <w:tcW w:w="2626" w:type="dxa"/>
            <w:vAlign w:val="center"/>
          </w:tcPr>
          <w:p w14:paraId="53B19424" w14:textId="77777777" w:rsidR="004B0883" w:rsidRDefault="004B0883">
            <w:pPr>
              <w:adjustRightInd w:val="0"/>
              <w:snapToGrid w:val="0"/>
              <w:rPr>
                <w:color w:val="000000"/>
                <w:kern w:val="0"/>
              </w:rPr>
            </w:pPr>
            <w:r>
              <w:rPr>
                <w:rFonts w:hint="eastAsia"/>
                <w:color w:val="000000"/>
                <w:kern w:val="0"/>
              </w:rPr>
              <w:t>短期借款</w:t>
            </w:r>
          </w:p>
        </w:tc>
        <w:tc>
          <w:tcPr>
            <w:tcW w:w="1475" w:type="dxa"/>
            <w:vAlign w:val="center"/>
          </w:tcPr>
          <w:p w14:paraId="5E8D0FE1" w14:textId="77777777" w:rsidR="004B0883" w:rsidRDefault="004B0883">
            <w:pPr>
              <w:adjustRightInd w:val="0"/>
              <w:snapToGrid w:val="0"/>
              <w:jc w:val="right"/>
              <w:rPr>
                <w:color w:val="000000"/>
                <w:kern w:val="0"/>
              </w:rPr>
            </w:pPr>
            <w:r>
              <w:rPr>
                <w:rFonts w:hint="eastAsia"/>
                <w:color w:val="000000"/>
                <w:kern w:val="0"/>
              </w:rPr>
              <w:t>-</w:t>
            </w:r>
          </w:p>
        </w:tc>
        <w:tc>
          <w:tcPr>
            <w:tcW w:w="1475" w:type="dxa"/>
            <w:vAlign w:val="center"/>
          </w:tcPr>
          <w:p w14:paraId="64A70CAB" w14:textId="77777777" w:rsidR="004B0883" w:rsidRDefault="004B0883">
            <w:pPr>
              <w:adjustRightInd w:val="0"/>
              <w:snapToGrid w:val="0"/>
              <w:jc w:val="right"/>
              <w:rPr>
                <w:color w:val="000000"/>
                <w:kern w:val="0"/>
              </w:rPr>
            </w:pPr>
            <w:r>
              <w:rPr>
                <w:rFonts w:hint="eastAsia"/>
                <w:color w:val="000000"/>
                <w:kern w:val="0"/>
              </w:rPr>
              <w:t>3,000.92</w:t>
            </w:r>
          </w:p>
        </w:tc>
        <w:tc>
          <w:tcPr>
            <w:tcW w:w="1475" w:type="dxa"/>
            <w:vAlign w:val="center"/>
          </w:tcPr>
          <w:p w14:paraId="779DE578" w14:textId="77777777" w:rsidR="004B0883" w:rsidRDefault="004B0883">
            <w:pPr>
              <w:adjustRightInd w:val="0"/>
              <w:snapToGrid w:val="0"/>
              <w:jc w:val="right"/>
              <w:rPr>
                <w:color w:val="000000"/>
                <w:kern w:val="0"/>
              </w:rPr>
            </w:pPr>
            <w:r>
              <w:rPr>
                <w:rFonts w:hint="eastAsia"/>
                <w:color w:val="000000"/>
                <w:kern w:val="0"/>
              </w:rPr>
              <w:t>3,100.00</w:t>
            </w:r>
          </w:p>
        </w:tc>
        <w:tc>
          <w:tcPr>
            <w:tcW w:w="1475" w:type="dxa"/>
            <w:vAlign w:val="center"/>
          </w:tcPr>
          <w:p w14:paraId="7F791544" w14:textId="77777777" w:rsidR="004B0883" w:rsidRDefault="004B0883">
            <w:pPr>
              <w:adjustRightInd w:val="0"/>
              <w:snapToGrid w:val="0"/>
              <w:jc w:val="right"/>
              <w:rPr>
                <w:color w:val="000000"/>
                <w:kern w:val="0"/>
              </w:rPr>
            </w:pPr>
            <w:r>
              <w:rPr>
                <w:rFonts w:hint="eastAsia"/>
                <w:color w:val="000000"/>
                <w:kern w:val="0"/>
              </w:rPr>
              <w:t>4,958.61</w:t>
            </w:r>
          </w:p>
        </w:tc>
      </w:tr>
      <w:tr w:rsidR="004B0883" w14:paraId="77F4B758" w14:textId="77777777">
        <w:trPr>
          <w:trHeight w:val="397"/>
          <w:jc w:val="center"/>
        </w:trPr>
        <w:tc>
          <w:tcPr>
            <w:tcW w:w="2626" w:type="dxa"/>
            <w:vAlign w:val="center"/>
          </w:tcPr>
          <w:p w14:paraId="07E45354" w14:textId="77777777" w:rsidR="004B0883" w:rsidRDefault="004B0883">
            <w:pPr>
              <w:adjustRightInd w:val="0"/>
              <w:snapToGrid w:val="0"/>
              <w:rPr>
                <w:color w:val="000000"/>
                <w:kern w:val="0"/>
              </w:rPr>
            </w:pPr>
            <w:r>
              <w:rPr>
                <w:rFonts w:hint="eastAsia"/>
                <w:color w:val="000000"/>
                <w:kern w:val="0"/>
              </w:rPr>
              <w:t>交易性金融负债</w:t>
            </w:r>
          </w:p>
        </w:tc>
        <w:tc>
          <w:tcPr>
            <w:tcW w:w="1475" w:type="dxa"/>
            <w:vAlign w:val="center"/>
          </w:tcPr>
          <w:p w14:paraId="5D5D65AD" w14:textId="77777777" w:rsidR="004B0883" w:rsidRDefault="004B0883">
            <w:pPr>
              <w:adjustRightInd w:val="0"/>
              <w:snapToGrid w:val="0"/>
              <w:jc w:val="right"/>
              <w:rPr>
                <w:color w:val="000000"/>
                <w:kern w:val="0"/>
              </w:rPr>
            </w:pPr>
            <w:r>
              <w:rPr>
                <w:rFonts w:hint="eastAsia"/>
                <w:color w:val="000000"/>
                <w:kern w:val="0"/>
              </w:rPr>
              <w:t>-</w:t>
            </w:r>
          </w:p>
        </w:tc>
        <w:tc>
          <w:tcPr>
            <w:tcW w:w="1475" w:type="dxa"/>
            <w:vAlign w:val="center"/>
          </w:tcPr>
          <w:p w14:paraId="63128579" w14:textId="77777777" w:rsidR="004B0883" w:rsidRDefault="004B0883">
            <w:pPr>
              <w:adjustRightInd w:val="0"/>
              <w:snapToGrid w:val="0"/>
              <w:jc w:val="right"/>
              <w:rPr>
                <w:color w:val="000000"/>
                <w:kern w:val="0"/>
              </w:rPr>
            </w:pPr>
            <w:r>
              <w:rPr>
                <w:rFonts w:hint="eastAsia"/>
                <w:color w:val="000000"/>
                <w:kern w:val="0"/>
              </w:rPr>
              <w:t>-</w:t>
            </w:r>
          </w:p>
        </w:tc>
        <w:tc>
          <w:tcPr>
            <w:tcW w:w="1475" w:type="dxa"/>
            <w:vAlign w:val="center"/>
          </w:tcPr>
          <w:p w14:paraId="589754D0" w14:textId="77777777" w:rsidR="004B0883" w:rsidRDefault="004B0883">
            <w:pPr>
              <w:adjustRightInd w:val="0"/>
              <w:snapToGrid w:val="0"/>
              <w:jc w:val="right"/>
              <w:rPr>
                <w:color w:val="000000"/>
                <w:kern w:val="0"/>
              </w:rPr>
            </w:pPr>
            <w:r>
              <w:rPr>
                <w:rFonts w:hint="eastAsia"/>
                <w:color w:val="000000"/>
                <w:kern w:val="0"/>
              </w:rPr>
              <w:t>-</w:t>
            </w:r>
          </w:p>
        </w:tc>
        <w:tc>
          <w:tcPr>
            <w:tcW w:w="1475" w:type="dxa"/>
            <w:vAlign w:val="center"/>
          </w:tcPr>
          <w:p w14:paraId="409D91F2" w14:textId="77777777" w:rsidR="004B0883" w:rsidRDefault="004B0883">
            <w:pPr>
              <w:adjustRightInd w:val="0"/>
              <w:snapToGrid w:val="0"/>
              <w:jc w:val="right"/>
              <w:rPr>
                <w:color w:val="000000"/>
                <w:kern w:val="0"/>
              </w:rPr>
            </w:pPr>
            <w:r>
              <w:rPr>
                <w:rFonts w:hint="eastAsia"/>
                <w:color w:val="000000"/>
                <w:kern w:val="0"/>
              </w:rPr>
              <w:t>3.16</w:t>
            </w:r>
          </w:p>
        </w:tc>
      </w:tr>
      <w:tr w:rsidR="004B0883" w14:paraId="28D010E5" w14:textId="77777777">
        <w:trPr>
          <w:trHeight w:val="397"/>
          <w:jc w:val="center"/>
        </w:trPr>
        <w:tc>
          <w:tcPr>
            <w:tcW w:w="2626" w:type="dxa"/>
            <w:vAlign w:val="center"/>
          </w:tcPr>
          <w:p w14:paraId="022AA149" w14:textId="77777777" w:rsidR="004B0883" w:rsidRDefault="004B0883">
            <w:pPr>
              <w:adjustRightInd w:val="0"/>
              <w:snapToGrid w:val="0"/>
              <w:rPr>
                <w:color w:val="000000"/>
                <w:kern w:val="0"/>
              </w:rPr>
            </w:pPr>
            <w:r>
              <w:rPr>
                <w:rFonts w:hint="eastAsia"/>
                <w:color w:val="000000"/>
                <w:kern w:val="0"/>
              </w:rPr>
              <w:t>应付票据</w:t>
            </w:r>
          </w:p>
        </w:tc>
        <w:tc>
          <w:tcPr>
            <w:tcW w:w="1475" w:type="dxa"/>
            <w:vAlign w:val="center"/>
          </w:tcPr>
          <w:p w14:paraId="387A19CE" w14:textId="77777777" w:rsidR="004B0883" w:rsidRDefault="004B0883">
            <w:pPr>
              <w:adjustRightInd w:val="0"/>
              <w:snapToGrid w:val="0"/>
              <w:jc w:val="right"/>
              <w:rPr>
                <w:color w:val="000000"/>
                <w:kern w:val="0"/>
              </w:rPr>
            </w:pPr>
            <w:r>
              <w:t>3,525.91</w:t>
            </w:r>
          </w:p>
        </w:tc>
        <w:tc>
          <w:tcPr>
            <w:tcW w:w="1475" w:type="dxa"/>
            <w:vAlign w:val="center"/>
          </w:tcPr>
          <w:p w14:paraId="3F3CB4BA" w14:textId="77777777" w:rsidR="004B0883" w:rsidRDefault="004B0883">
            <w:pPr>
              <w:adjustRightInd w:val="0"/>
              <w:snapToGrid w:val="0"/>
              <w:jc w:val="right"/>
              <w:rPr>
                <w:color w:val="000000"/>
                <w:kern w:val="0"/>
              </w:rPr>
            </w:pPr>
            <w:r>
              <w:rPr>
                <w:rFonts w:hint="eastAsia"/>
                <w:color w:val="000000"/>
                <w:kern w:val="0"/>
              </w:rPr>
              <w:t>4,200.84</w:t>
            </w:r>
          </w:p>
        </w:tc>
        <w:tc>
          <w:tcPr>
            <w:tcW w:w="1475" w:type="dxa"/>
            <w:vAlign w:val="center"/>
          </w:tcPr>
          <w:p w14:paraId="16EE1997" w14:textId="77777777" w:rsidR="004B0883" w:rsidRDefault="004B0883">
            <w:pPr>
              <w:adjustRightInd w:val="0"/>
              <w:snapToGrid w:val="0"/>
              <w:jc w:val="right"/>
              <w:rPr>
                <w:color w:val="000000"/>
                <w:kern w:val="0"/>
              </w:rPr>
            </w:pPr>
            <w:r>
              <w:rPr>
                <w:rFonts w:hint="eastAsia"/>
                <w:color w:val="000000"/>
                <w:kern w:val="0"/>
              </w:rPr>
              <w:t>3,878.65</w:t>
            </w:r>
          </w:p>
        </w:tc>
        <w:tc>
          <w:tcPr>
            <w:tcW w:w="1475" w:type="dxa"/>
            <w:vAlign w:val="center"/>
          </w:tcPr>
          <w:p w14:paraId="47587D69" w14:textId="77777777" w:rsidR="004B0883" w:rsidRDefault="004B0883">
            <w:pPr>
              <w:adjustRightInd w:val="0"/>
              <w:snapToGrid w:val="0"/>
              <w:jc w:val="right"/>
              <w:rPr>
                <w:color w:val="000000"/>
                <w:kern w:val="0"/>
              </w:rPr>
            </w:pPr>
            <w:r>
              <w:rPr>
                <w:rFonts w:hint="eastAsia"/>
                <w:color w:val="000000"/>
                <w:kern w:val="0"/>
              </w:rPr>
              <w:t>3,479.85</w:t>
            </w:r>
          </w:p>
        </w:tc>
      </w:tr>
      <w:tr w:rsidR="004B0883" w14:paraId="589B13C5" w14:textId="77777777">
        <w:trPr>
          <w:trHeight w:val="397"/>
          <w:jc w:val="center"/>
        </w:trPr>
        <w:tc>
          <w:tcPr>
            <w:tcW w:w="2626" w:type="dxa"/>
            <w:vAlign w:val="center"/>
          </w:tcPr>
          <w:p w14:paraId="5124DC4F" w14:textId="77777777" w:rsidR="004B0883" w:rsidRDefault="004B0883">
            <w:pPr>
              <w:adjustRightInd w:val="0"/>
              <w:snapToGrid w:val="0"/>
              <w:rPr>
                <w:color w:val="000000"/>
                <w:kern w:val="0"/>
              </w:rPr>
            </w:pPr>
            <w:r>
              <w:rPr>
                <w:rFonts w:hint="eastAsia"/>
                <w:color w:val="000000"/>
                <w:kern w:val="0"/>
              </w:rPr>
              <w:t>应付账款</w:t>
            </w:r>
          </w:p>
        </w:tc>
        <w:tc>
          <w:tcPr>
            <w:tcW w:w="1475" w:type="dxa"/>
            <w:vAlign w:val="center"/>
          </w:tcPr>
          <w:p w14:paraId="0E24A89B" w14:textId="77777777" w:rsidR="004B0883" w:rsidRDefault="004B0883">
            <w:pPr>
              <w:adjustRightInd w:val="0"/>
              <w:snapToGrid w:val="0"/>
              <w:jc w:val="right"/>
              <w:rPr>
                <w:color w:val="000000"/>
                <w:kern w:val="0"/>
              </w:rPr>
            </w:pPr>
            <w:r>
              <w:t>4,783.48</w:t>
            </w:r>
          </w:p>
        </w:tc>
        <w:tc>
          <w:tcPr>
            <w:tcW w:w="1475" w:type="dxa"/>
            <w:vAlign w:val="center"/>
          </w:tcPr>
          <w:p w14:paraId="2F64F6FC" w14:textId="77777777" w:rsidR="004B0883" w:rsidRDefault="004B0883">
            <w:pPr>
              <w:adjustRightInd w:val="0"/>
              <w:snapToGrid w:val="0"/>
              <w:jc w:val="right"/>
              <w:rPr>
                <w:color w:val="000000"/>
                <w:kern w:val="0"/>
              </w:rPr>
            </w:pPr>
            <w:r>
              <w:rPr>
                <w:rFonts w:hint="eastAsia"/>
                <w:color w:val="000000"/>
                <w:kern w:val="0"/>
              </w:rPr>
              <w:t>5,839.20</w:t>
            </w:r>
          </w:p>
        </w:tc>
        <w:tc>
          <w:tcPr>
            <w:tcW w:w="1475" w:type="dxa"/>
            <w:vAlign w:val="center"/>
          </w:tcPr>
          <w:p w14:paraId="4F63EF9F" w14:textId="77777777" w:rsidR="004B0883" w:rsidRDefault="004B0883">
            <w:pPr>
              <w:adjustRightInd w:val="0"/>
              <w:snapToGrid w:val="0"/>
              <w:jc w:val="right"/>
              <w:rPr>
                <w:color w:val="000000"/>
                <w:kern w:val="0"/>
              </w:rPr>
            </w:pPr>
            <w:r>
              <w:rPr>
                <w:rFonts w:hint="eastAsia"/>
                <w:color w:val="000000"/>
                <w:kern w:val="0"/>
              </w:rPr>
              <w:t>5,758.97</w:t>
            </w:r>
          </w:p>
        </w:tc>
        <w:tc>
          <w:tcPr>
            <w:tcW w:w="1475" w:type="dxa"/>
            <w:vAlign w:val="center"/>
          </w:tcPr>
          <w:p w14:paraId="47EC8AF1" w14:textId="77777777" w:rsidR="004B0883" w:rsidRDefault="004B0883">
            <w:pPr>
              <w:adjustRightInd w:val="0"/>
              <w:snapToGrid w:val="0"/>
              <w:jc w:val="right"/>
              <w:rPr>
                <w:color w:val="000000"/>
                <w:kern w:val="0"/>
              </w:rPr>
            </w:pPr>
            <w:r>
              <w:rPr>
                <w:rFonts w:hint="eastAsia"/>
                <w:color w:val="000000"/>
                <w:kern w:val="0"/>
              </w:rPr>
              <w:t>5,013.08</w:t>
            </w:r>
          </w:p>
        </w:tc>
      </w:tr>
      <w:tr w:rsidR="004B0883" w14:paraId="2BA15E99" w14:textId="77777777">
        <w:trPr>
          <w:trHeight w:val="397"/>
          <w:jc w:val="center"/>
        </w:trPr>
        <w:tc>
          <w:tcPr>
            <w:tcW w:w="2626" w:type="dxa"/>
            <w:vAlign w:val="center"/>
          </w:tcPr>
          <w:p w14:paraId="50524CB3" w14:textId="77777777" w:rsidR="004B0883" w:rsidRDefault="004B0883">
            <w:pPr>
              <w:adjustRightInd w:val="0"/>
              <w:snapToGrid w:val="0"/>
              <w:rPr>
                <w:color w:val="000000"/>
                <w:kern w:val="0"/>
              </w:rPr>
            </w:pPr>
            <w:r>
              <w:rPr>
                <w:rFonts w:hint="eastAsia"/>
                <w:color w:val="000000"/>
                <w:kern w:val="0"/>
              </w:rPr>
              <w:t>预收款项</w:t>
            </w:r>
          </w:p>
        </w:tc>
        <w:tc>
          <w:tcPr>
            <w:tcW w:w="1475" w:type="dxa"/>
            <w:vAlign w:val="center"/>
          </w:tcPr>
          <w:p w14:paraId="00554A98" w14:textId="77777777" w:rsidR="004B0883" w:rsidRDefault="004B0883">
            <w:pPr>
              <w:adjustRightInd w:val="0"/>
              <w:snapToGrid w:val="0"/>
              <w:jc w:val="right"/>
              <w:rPr>
                <w:color w:val="000000"/>
                <w:kern w:val="0"/>
              </w:rPr>
            </w:pPr>
            <w:r>
              <w:rPr>
                <w:rFonts w:hint="eastAsia"/>
                <w:color w:val="000000"/>
                <w:kern w:val="0"/>
              </w:rPr>
              <w:t>-</w:t>
            </w:r>
          </w:p>
        </w:tc>
        <w:tc>
          <w:tcPr>
            <w:tcW w:w="1475" w:type="dxa"/>
            <w:vAlign w:val="center"/>
          </w:tcPr>
          <w:p w14:paraId="631B5B58" w14:textId="77777777" w:rsidR="004B0883" w:rsidRDefault="004B0883">
            <w:pPr>
              <w:adjustRightInd w:val="0"/>
              <w:snapToGrid w:val="0"/>
              <w:jc w:val="right"/>
              <w:rPr>
                <w:color w:val="000000"/>
                <w:kern w:val="0"/>
              </w:rPr>
            </w:pPr>
            <w:r>
              <w:rPr>
                <w:rFonts w:hint="eastAsia"/>
                <w:color w:val="000000"/>
                <w:kern w:val="0"/>
              </w:rPr>
              <w:t>-</w:t>
            </w:r>
          </w:p>
        </w:tc>
        <w:tc>
          <w:tcPr>
            <w:tcW w:w="1475" w:type="dxa"/>
            <w:vAlign w:val="center"/>
          </w:tcPr>
          <w:p w14:paraId="2B8C2CAB" w14:textId="77777777" w:rsidR="004B0883" w:rsidRDefault="004B0883">
            <w:pPr>
              <w:adjustRightInd w:val="0"/>
              <w:snapToGrid w:val="0"/>
              <w:jc w:val="right"/>
              <w:rPr>
                <w:color w:val="000000"/>
                <w:kern w:val="0"/>
              </w:rPr>
            </w:pPr>
            <w:r>
              <w:rPr>
                <w:rFonts w:hint="eastAsia"/>
                <w:color w:val="000000"/>
                <w:kern w:val="0"/>
              </w:rPr>
              <w:t>2,450.00</w:t>
            </w:r>
          </w:p>
        </w:tc>
        <w:tc>
          <w:tcPr>
            <w:tcW w:w="1475" w:type="dxa"/>
            <w:vAlign w:val="center"/>
          </w:tcPr>
          <w:p w14:paraId="3B9A5AFD" w14:textId="77777777" w:rsidR="004B0883" w:rsidRDefault="004B0883">
            <w:pPr>
              <w:adjustRightInd w:val="0"/>
              <w:snapToGrid w:val="0"/>
              <w:jc w:val="right"/>
              <w:rPr>
                <w:color w:val="000000"/>
                <w:kern w:val="0"/>
              </w:rPr>
            </w:pPr>
            <w:r>
              <w:rPr>
                <w:rFonts w:hint="eastAsia"/>
                <w:color w:val="000000"/>
                <w:kern w:val="0"/>
              </w:rPr>
              <w:t>-</w:t>
            </w:r>
          </w:p>
        </w:tc>
      </w:tr>
      <w:tr w:rsidR="004B0883" w14:paraId="3AF79845" w14:textId="77777777">
        <w:trPr>
          <w:trHeight w:val="397"/>
          <w:jc w:val="center"/>
        </w:trPr>
        <w:tc>
          <w:tcPr>
            <w:tcW w:w="2626" w:type="dxa"/>
            <w:vAlign w:val="center"/>
          </w:tcPr>
          <w:p w14:paraId="68B6E062" w14:textId="77777777" w:rsidR="004B0883" w:rsidRDefault="004B0883">
            <w:pPr>
              <w:adjustRightInd w:val="0"/>
              <w:snapToGrid w:val="0"/>
              <w:rPr>
                <w:color w:val="000000"/>
                <w:kern w:val="0"/>
              </w:rPr>
            </w:pPr>
            <w:r>
              <w:rPr>
                <w:rFonts w:hint="eastAsia"/>
                <w:color w:val="000000"/>
                <w:kern w:val="0"/>
              </w:rPr>
              <w:t>合同负债</w:t>
            </w:r>
          </w:p>
        </w:tc>
        <w:tc>
          <w:tcPr>
            <w:tcW w:w="1475" w:type="dxa"/>
            <w:vAlign w:val="center"/>
          </w:tcPr>
          <w:p w14:paraId="4ACAF069" w14:textId="77777777" w:rsidR="004B0883" w:rsidRDefault="004B0883">
            <w:pPr>
              <w:adjustRightInd w:val="0"/>
              <w:snapToGrid w:val="0"/>
              <w:jc w:val="right"/>
              <w:rPr>
                <w:color w:val="000000"/>
                <w:kern w:val="0"/>
              </w:rPr>
            </w:pPr>
            <w:r>
              <w:t>3,482.94</w:t>
            </w:r>
          </w:p>
        </w:tc>
        <w:tc>
          <w:tcPr>
            <w:tcW w:w="1475" w:type="dxa"/>
            <w:vAlign w:val="center"/>
          </w:tcPr>
          <w:p w14:paraId="6675B9B1" w14:textId="77777777" w:rsidR="004B0883" w:rsidRDefault="004B0883">
            <w:pPr>
              <w:adjustRightInd w:val="0"/>
              <w:snapToGrid w:val="0"/>
              <w:jc w:val="right"/>
              <w:rPr>
                <w:color w:val="000000"/>
                <w:kern w:val="0"/>
              </w:rPr>
            </w:pPr>
            <w:r>
              <w:rPr>
                <w:rFonts w:hint="eastAsia"/>
                <w:color w:val="000000"/>
                <w:kern w:val="0"/>
              </w:rPr>
              <w:t>1,715.03</w:t>
            </w:r>
          </w:p>
        </w:tc>
        <w:tc>
          <w:tcPr>
            <w:tcW w:w="1475" w:type="dxa"/>
            <w:vAlign w:val="center"/>
          </w:tcPr>
          <w:p w14:paraId="4D61BB6D" w14:textId="77777777" w:rsidR="004B0883" w:rsidRDefault="004B0883">
            <w:pPr>
              <w:adjustRightInd w:val="0"/>
              <w:snapToGrid w:val="0"/>
              <w:jc w:val="right"/>
              <w:rPr>
                <w:color w:val="000000"/>
                <w:kern w:val="0"/>
              </w:rPr>
            </w:pPr>
            <w:r>
              <w:rPr>
                <w:rFonts w:hint="eastAsia"/>
                <w:color w:val="000000"/>
                <w:kern w:val="0"/>
              </w:rPr>
              <w:t>1,652.29</w:t>
            </w:r>
          </w:p>
        </w:tc>
        <w:tc>
          <w:tcPr>
            <w:tcW w:w="1475" w:type="dxa"/>
            <w:vAlign w:val="center"/>
          </w:tcPr>
          <w:p w14:paraId="396035AA" w14:textId="77777777" w:rsidR="004B0883" w:rsidRDefault="004B0883">
            <w:pPr>
              <w:adjustRightInd w:val="0"/>
              <w:snapToGrid w:val="0"/>
              <w:jc w:val="right"/>
              <w:rPr>
                <w:color w:val="000000"/>
                <w:kern w:val="0"/>
              </w:rPr>
            </w:pPr>
            <w:r>
              <w:rPr>
                <w:rFonts w:hint="eastAsia"/>
                <w:color w:val="000000"/>
                <w:kern w:val="0"/>
              </w:rPr>
              <w:t>2,165.95</w:t>
            </w:r>
          </w:p>
        </w:tc>
      </w:tr>
      <w:tr w:rsidR="004B0883" w14:paraId="4532A2C1" w14:textId="77777777">
        <w:trPr>
          <w:trHeight w:val="397"/>
          <w:jc w:val="center"/>
        </w:trPr>
        <w:tc>
          <w:tcPr>
            <w:tcW w:w="2626" w:type="dxa"/>
            <w:vAlign w:val="center"/>
          </w:tcPr>
          <w:p w14:paraId="47995CEB" w14:textId="77777777" w:rsidR="004B0883" w:rsidRDefault="004B0883">
            <w:pPr>
              <w:adjustRightInd w:val="0"/>
              <w:snapToGrid w:val="0"/>
              <w:rPr>
                <w:color w:val="000000"/>
                <w:kern w:val="0"/>
              </w:rPr>
            </w:pPr>
            <w:r>
              <w:rPr>
                <w:rFonts w:hint="eastAsia"/>
                <w:color w:val="000000"/>
                <w:kern w:val="0"/>
              </w:rPr>
              <w:t>应付职工薪酬</w:t>
            </w:r>
          </w:p>
        </w:tc>
        <w:tc>
          <w:tcPr>
            <w:tcW w:w="1475" w:type="dxa"/>
            <w:vAlign w:val="center"/>
          </w:tcPr>
          <w:p w14:paraId="618E72A5" w14:textId="77777777" w:rsidR="004B0883" w:rsidRDefault="004B0883">
            <w:pPr>
              <w:adjustRightInd w:val="0"/>
              <w:snapToGrid w:val="0"/>
              <w:jc w:val="right"/>
              <w:rPr>
                <w:color w:val="000000"/>
                <w:kern w:val="0"/>
              </w:rPr>
            </w:pPr>
            <w:r>
              <w:t>1,813.76</w:t>
            </w:r>
          </w:p>
        </w:tc>
        <w:tc>
          <w:tcPr>
            <w:tcW w:w="1475" w:type="dxa"/>
            <w:vAlign w:val="center"/>
          </w:tcPr>
          <w:p w14:paraId="30D10486" w14:textId="77777777" w:rsidR="004B0883" w:rsidRDefault="004B0883">
            <w:pPr>
              <w:adjustRightInd w:val="0"/>
              <w:snapToGrid w:val="0"/>
              <w:jc w:val="right"/>
              <w:rPr>
                <w:color w:val="000000"/>
                <w:kern w:val="0"/>
              </w:rPr>
            </w:pPr>
            <w:r>
              <w:rPr>
                <w:rFonts w:hint="eastAsia"/>
                <w:color w:val="000000"/>
                <w:kern w:val="0"/>
              </w:rPr>
              <w:t>2,708.63</w:t>
            </w:r>
          </w:p>
        </w:tc>
        <w:tc>
          <w:tcPr>
            <w:tcW w:w="1475" w:type="dxa"/>
            <w:vAlign w:val="center"/>
          </w:tcPr>
          <w:p w14:paraId="5DA767B0" w14:textId="77777777" w:rsidR="004B0883" w:rsidRDefault="004B0883">
            <w:pPr>
              <w:adjustRightInd w:val="0"/>
              <w:snapToGrid w:val="0"/>
              <w:jc w:val="right"/>
              <w:rPr>
                <w:color w:val="000000"/>
                <w:kern w:val="0"/>
              </w:rPr>
            </w:pPr>
            <w:r>
              <w:rPr>
                <w:rFonts w:hint="eastAsia"/>
                <w:color w:val="000000"/>
                <w:kern w:val="0"/>
              </w:rPr>
              <w:t>2,146.23</w:t>
            </w:r>
          </w:p>
        </w:tc>
        <w:tc>
          <w:tcPr>
            <w:tcW w:w="1475" w:type="dxa"/>
            <w:vAlign w:val="center"/>
          </w:tcPr>
          <w:p w14:paraId="7A41B110" w14:textId="77777777" w:rsidR="004B0883" w:rsidRDefault="004B0883">
            <w:pPr>
              <w:adjustRightInd w:val="0"/>
              <w:snapToGrid w:val="0"/>
              <w:jc w:val="right"/>
              <w:rPr>
                <w:color w:val="000000"/>
                <w:kern w:val="0"/>
              </w:rPr>
            </w:pPr>
            <w:r>
              <w:rPr>
                <w:rFonts w:hint="eastAsia"/>
                <w:color w:val="000000"/>
                <w:kern w:val="0"/>
              </w:rPr>
              <w:t>2,114.50</w:t>
            </w:r>
          </w:p>
        </w:tc>
      </w:tr>
      <w:tr w:rsidR="004B0883" w14:paraId="0C8367EF" w14:textId="77777777">
        <w:trPr>
          <w:trHeight w:val="397"/>
          <w:jc w:val="center"/>
        </w:trPr>
        <w:tc>
          <w:tcPr>
            <w:tcW w:w="2626" w:type="dxa"/>
            <w:vAlign w:val="center"/>
          </w:tcPr>
          <w:p w14:paraId="429AAE57" w14:textId="77777777" w:rsidR="004B0883" w:rsidRDefault="004B0883">
            <w:pPr>
              <w:adjustRightInd w:val="0"/>
              <w:snapToGrid w:val="0"/>
              <w:rPr>
                <w:color w:val="000000"/>
                <w:kern w:val="0"/>
              </w:rPr>
            </w:pPr>
            <w:r>
              <w:rPr>
                <w:rFonts w:hint="eastAsia"/>
                <w:color w:val="000000"/>
                <w:kern w:val="0"/>
              </w:rPr>
              <w:t>应交税费</w:t>
            </w:r>
          </w:p>
        </w:tc>
        <w:tc>
          <w:tcPr>
            <w:tcW w:w="1475" w:type="dxa"/>
            <w:vAlign w:val="center"/>
          </w:tcPr>
          <w:p w14:paraId="431F0C7B" w14:textId="77777777" w:rsidR="004B0883" w:rsidRDefault="004B0883">
            <w:pPr>
              <w:adjustRightInd w:val="0"/>
              <w:snapToGrid w:val="0"/>
              <w:jc w:val="right"/>
              <w:rPr>
                <w:color w:val="000000"/>
                <w:kern w:val="0"/>
              </w:rPr>
            </w:pPr>
            <w:r>
              <w:t>731.15</w:t>
            </w:r>
          </w:p>
        </w:tc>
        <w:tc>
          <w:tcPr>
            <w:tcW w:w="1475" w:type="dxa"/>
            <w:vAlign w:val="center"/>
          </w:tcPr>
          <w:p w14:paraId="192EB276" w14:textId="77777777" w:rsidR="004B0883" w:rsidRDefault="004B0883">
            <w:pPr>
              <w:adjustRightInd w:val="0"/>
              <w:snapToGrid w:val="0"/>
              <w:jc w:val="right"/>
              <w:rPr>
                <w:color w:val="000000"/>
                <w:kern w:val="0"/>
              </w:rPr>
            </w:pPr>
            <w:r>
              <w:rPr>
                <w:rFonts w:hint="eastAsia"/>
                <w:color w:val="000000"/>
                <w:kern w:val="0"/>
              </w:rPr>
              <w:t>1,281.95</w:t>
            </w:r>
          </w:p>
        </w:tc>
        <w:tc>
          <w:tcPr>
            <w:tcW w:w="1475" w:type="dxa"/>
            <w:vAlign w:val="center"/>
          </w:tcPr>
          <w:p w14:paraId="2F81224C" w14:textId="77777777" w:rsidR="004B0883" w:rsidRDefault="004B0883">
            <w:pPr>
              <w:adjustRightInd w:val="0"/>
              <w:snapToGrid w:val="0"/>
              <w:jc w:val="right"/>
              <w:rPr>
                <w:color w:val="000000"/>
                <w:kern w:val="0"/>
              </w:rPr>
            </w:pPr>
            <w:r>
              <w:rPr>
                <w:rFonts w:hint="eastAsia"/>
                <w:color w:val="000000"/>
                <w:kern w:val="0"/>
              </w:rPr>
              <w:t>496.29</w:t>
            </w:r>
          </w:p>
        </w:tc>
        <w:tc>
          <w:tcPr>
            <w:tcW w:w="1475" w:type="dxa"/>
            <w:vAlign w:val="center"/>
          </w:tcPr>
          <w:p w14:paraId="080D97C0" w14:textId="77777777" w:rsidR="004B0883" w:rsidRDefault="004B0883">
            <w:pPr>
              <w:adjustRightInd w:val="0"/>
              <w:snapToGrid w:val="0"/>
              <w:jc w:val="right"/>
              <w:rPr>
                <w:color w:val="000000"/>
                <w:kern w:val="0"/>
              </w:rPr>
            </w:pPr>
            <w:r>
              <w:rPr>
                <w:rFonts w:hint="eastAsia"/>
                <w:color w:val="000000"/>
                <w:kern w:val="0"/>
              </w:rPr>
              <w:t>91.19</w:t>
            </w:r>
          </w:p>
        </w:tc>
      </w:tr>
      <w:tr w:rsidR="004B0883" w14:paraId="0588CA89" w14:textId="77777777">
        <w:trPr>
          <w:trHeight w:val="397"/>
          <w:jc w:val="center"/>
        </w:trPr>
        <w:tc>
          <w:tcPr>
            <w:tcW w:w="2626" w:type="dxa"/>
            <w:vAlign w:val="center"/>
          </w:tcPr>
          <w:p w14:paraId="283704BB" w14:textId="77777777" w:rsidR="004B0883" w:rsidRDefault="004B0883">
            <w:pPr>
              <w:adjustRightInd w:val="0"/>
              <w:snapToGrid w:val="0"/>
              <w:rPr>
                <w:color w:val="000000"/>
                <w:kern w:val="0"/>
              </w:rPr>
            </w:pPr>
            <w:r>
              <w:rPr>
                <w:rFonts w:hint="eastAsia"/>
                <w:color w:val="000000"/>
                <w:kern w:val="0"/>
              </w:rPr>
              <w:t>其他应付款</w:t>
            </w:r>
          </w:p>
        </w:tc>
        <w:tc>
          <w:tcPr>
            <w:tcW w:w="1475" w:type="dxa"/>
            <w:vAlign w:val="center"/>
          </w:tcPr>
          <w:p w14:paraId="61BD49A8" w14:textId="77777777" w:rsidR="004B0883" w:rsidRDefault="004B0883">
            <w:pPr>
              <w:adjustRightInd w:val="0"/>
              <w:snapToGrid w:val="0"/>
              <w:jc w:val="right"/>
              <w:rPr>
                <w:color w:val="000000"/>
                <w:kern w:val="0"/>
              </w:rPr>
            </w:pPr>
            <w:r>
              <w:t>2,030.16</w:t>
            </w:r>
          </w:p>
        </w:tc>
        <w:tc>
          <w:tcPr>
            <w:tcW w:w="1475" w:type="dxa"/>
            <w:vAlign w:val="center"/>
          </w:tcPr>
          <w:p w14:paraId="35BF9610" w14:textId="77777777" w:rsidR="004B0883" w:rsidRDefault="004B0883">
            <w:pPr>
              <w:adjustRightInd w:val="0"/>
              <w:snapToGrid w:val="0"/>
              <w:jc w:val="right"/>
              <w:rPr>
                <w:color w:val="000000"/>
                <w:kern w:val="0"/>
              </w:rPr>
            </w:pPr>
            <w:r>
              <w:rPr>
                <w:rFonts w:hint="eastAsia"/>
                <w:color w:val="000000"/>
                <w:kern w:val="0"/>
              </w:rPr>
              <w:t>2,166.39</w:t>
            </w:r>
          </w:p>
        </w:tc>
        <w:tc>
          <w:tcPr>
            <w:tcW w:w="1475" w:type="dxa"/>
            <w:vAlign w:val="center"/>
          </w:tcPr>
          <w:p w14:paraId="11ECAA19" w14:textId="77777777" w:rsidR="004B0883" w:rsidRDefault="004B0883">
            <w:pPr>
              <w:adjustRightInd w:val="0"/>
              <w:snapToGrid w:val="0"/>
              <w:jc w:val="right"/>
              <w:rPr>
                <w:color w:val="000000"/>
                <w:kern w:val="0"/>
              </w:rPr>
            </w:pPr>
            <w:r>
              <w:rPr>
                <w:rFonts w:hint="eastAsia"/>
                <w:color w:val="000000"/>
                <w:kern w:val="0"/>
              </w:rPr>
              <w:t>3,411.65</w:t>
            </w:r>
          </w:p>
        </w:tc>
        <w:tc>
          <w:tcPr>
            <w:tcW w:w="1475" w:type="dxa"/>
            <w:vAlign w:val="center"/>
          </w:tcPr>
          <w:p w14:paraId="3F464318" w14:textId="77777777" w:rsidR="004B0883" w:rsidRDefault="004B0883">
            <w:pPr>
              <w:adjustRightInd w:val="0"/>
              <w:snapToGrid w:val="0"/>
              <w:jc w:val="right"/>
              <w:rPr>
                <w:color w:val="000000"/>
                <w:kern w:val="0"/>
              </w:rPr>
            </w:pPr>
            <w:r>
              <w:rPr>
                <w:rFonts w:hint="eastAsia"/>
                <w:color w:val="000000"/>
                <w:kern w:val="0"/>
              </w:rPr>
              <w:t>1,224.39</w:t>
            </w:r>
          </w:p>
        </w:tc>
      </w:tr>
      <w:tr w:rsidR="004B0883" w14:paraId="3A2AB384" w14:textId="77777777">
        <w:trPr>
          <w:trHeight w:val="397"/>
          <w:jc w:val="center"/>
        </w:trPr>
        <w:tc>
          <w:tcPr>
            <w:tcW w:w="2626" w:type="dxa"/>
            <w:vAlign w:val="center"/>
          </w:tcPr>
          <w:p w14:paraId="6BCEA2F0" w14:textId="77777777" w:rsidR="004B0883" w:rsidRDefault="004B0883">
            <w:pPr>
              <w:adjustRightInd w:val="0"/>
              <w:snapToGrid w:val="0"/>
              <w:rPr>
                <w:color w:val="000000"/>
                <w:kern w:val="0"/>
              </w:rPr>
            </w:pPr>
            <w:r>
              <w:rPr>
                <w:rFonts w:hint="eastAsia"/>
                <w:color w:val="000000"/>
                <w:kern w:val="0"/>
              </w:rPr>
              <w:t>其他流动负债</w:t>
            </w:r>
          </w:p>
        </w:tc>
        <w:tc>
          <w:tcPr>
            <w:tcW w:w="1475" w:type="dxa"/>
            <w:vAlign w:val="center"/>
          </w:tcPr>
          <w:p w14:paraId="714DC1BA" w14:textId="77777777" w:rsidR="004B0883" w:rsidRDefault="004B0883">
            <w:pPr>
              <w:adjustRightInd w:val="0"/>
              <w:snapToGrid w:val="0"/>
              <w:jc w:val="right"/>
              <w:rPr>
                <w:color w:val="000000"/>
                <w:kern w:val="0"/>
              </w:rPr>
            </w:pPr>
            <w:r>
              <w:t>199.95</w:t>
            </w:r>
          </w:p>
        </w:tc>
        <w:tc>
          <w:tcPr>
            <w:tcW w:w="1475" w:type="dxa"/>
            <w:vAlign w:val="center"/>
          </w:tcPr>
          <w:p w14:paraId="4F0DF62E" w14:textId="77777777" w:rsidR="004B0883" w:rsidRDefault="004B0883">
            <w:pPr>
              <w:adjustRightInd w:val="0"/>
              <w:snapToGrid w:val="0"/>
              <w:jc w:val="right"/>
              <w:rPr>
                <w:color w:val="000000"/>
                <w:kern w:val="0"/>
              </w:rPr>
            </w:pPr>
            <w:r>
              <w:rPr>
                <w:rFonts w:hint="eastAsia"/>
                <w:color w:val="000000"/>
                <w:kern w:val="0"/>
              </w:rPr>
              <w:t>34.19</w:t>
            </w:r>
          </w:p>
        </w:tc>
        <w:tc>
          <w:tcPr>
            <w:tcW w:w="1475" w:type="dxa"/>
            <w:vAlign w:val="center"/>
          </w:tcPr>
          <w:p w14:paraId="65AA150E" w14:textId="77777777" w:rsidR="004B0883" w:rsidRDefault="004B0883">
            <w:pPr>
              <w:adjustRightInd w:val="0"/>
              <w:snapToGrid w:val="0"/>
              <w:jc w:val="right"/>
              <w:rPr>
                <w:color w:val="000000"/>
                <w:kern w:val="0"/>
              </w:rPr>
            </w:pPr>
            <w:r>
              <w:rPr>
                <w:rFonts w:hint="eastAsia"/>
                <w:color w:val="000000"/>
                <w:kern w:val="0"/>
              </w:rPr>
              <w:t>39.16</w:t>
            </w:r>
          </w:p>
        </w:tc>
        <w:tc>
          <w:tcPr>
            <w:tcW w:w="1475" w:type="dxa"/>
            <w:vAlign w:val="center"/>
          </w:tcPr>
          <w:p w14:paraId="48F6ABD4" w14:textId="77777777" w:rsidR="004B0883" w:rsidRDefault="004B0883">
            <w:pPr>
              <w:adjustRightInd w:val="0"/>
              <w:snapToGrid w:val="0"/>
              <w:jc w:val="right"/>
              <w:rPr>
                <w:color w:val="000000"/>
                <w:kern w:val="0"/>
              </w:rPr>
            </w:pPr>
            <w:r>
              <w:rPr>
                <w:rFonts w:hint="eastAsia"/>
                <w:color w:val="000000"/>
                <w:kern w:val="0"/>
              </w:rPr>
              <w:t>91.56</w:t>
            </w:r>
          </w:p>
        </w:tc>
      </w:tr>
      <w:tr w:rsidR="004B0883" w14:paraId="61D8ED51" w14:textId="77777777">
        <w:trPr>
          <w:trHeight w:val="397"/>
          <w:jc w:val="center"/>
        </w:trPr>
        <w:tc>
          <w:tcPr>
            <w:tcW w:w="2626" w:type="dxa"/>
            <w:vAlign w:val="center"/>
          </w:tcPr>
          <w:p w14:paraId="13359E15" w14:textId="77777777" w:rsidR="004B0883" w:rsidRDefault="004B0883">
            <w:pPr>
              <w:adjustRightInd w:val="0"/>
              <w:snapToGrid w:val="0"/>
              <w:rPr>
                <w:b/>
                <w:bCs/>
                <w:color w:val="000000"/>
                <w:kern w:val="0"/>
              </w:rPr>
            </w:pPr>
            <w:r>
              <w:rPr>
                <w:b/>
                <w:bCs/>
                <w:color w:val="000000"/>
                <w:kern w:val="0"/>
              </w:rPr>
              <w:t>流动负债合计</w:t>
            </w:r>
          </w:p>
        </w:tc>
        <w:tc>
          <w:tcPr>
            <w:tcW w:w="1475" w:type="dxa"/>
            <w:vAlign w:val="center"/>
          </w:tcPr>
          <w:p w14:paraId="0AFE37EA" w14:textId="77777777" w:rsidR="004B0883" w:rsidRDefault="004B0883">
            <w:pPr>
              <w:adjustRightInd w:val="0"/>
              <w:snapToGrid w:val="0"/>
              <w:jc w:val="right"/>
              <w:rPr>
                <w:b/>
                <w:bCs/>
                <w:color w:val="000000"/>
                <w:kern w:val="0"/>
              </w:rPr>
            </w:pPr>
            <w:r>
              <w:rPr>
                <w:b/>
                <w:bCs/>
              </w:rPr>
              <w:t>16,567.34</w:t>
            </w:r>
          </w:p>
        </w:tc>
        <w:tc>
          <w:tcPr>
            <w:tcW w:w="1475" w:type="dxa"/>
            <w:vAlign w:val="center"/>
          </w:tcPr>
          <w:p w14:paraId="55B3CCE5" w14:textId="77777777" w:rsidR="004B0883" w:rsidRDefault="004B0883">
            <w:pPr>
              <w:adjustRightInd w:val="0"/>
              <w:snapToGrid w:val="0"/>
              <w:jc w:val="right"/>
              <w:rPr>
                <w:b/>
                <w:bCs/>
                <w:color w:val="000000"/>
                <w:kern w:val="0"/>
              </w:rPr>
            </w:pPr>
            <w:r>
              <w:rPr>
                <w:rFonts w:hint="eastAsia"/>
                <w:b/>
                <w:bCs/>
                <w:color w:val="000000"/>
                <w:kern w:val="0"/>
              </w:rPr>
              <w:t>20,947.15</w:t>
            </w:r>
          </w:p>
        </w:tc>
        <w:tc>
          <w:tcPr>
            <w:tcW w:w="1475" w:type="dxa"/>
            <w:vAlign w:val="center"/>
          </w:tcPr>
          <w:p w14:paraId="6DC85291" w14:textId="77777777" w:rsidR="004B0883" w:rsidRDefault="004B0883">
            <w:pPr>
              <w:adjustRightInd w:val="0"/>
              <w:snapToGrid w:val="0"/>
              <w:jc w:val="right"/>
              <w:rPr>
                <w:b/>
                <w:bCs/>
                <w:color w:val="000000"/>
                <w:kern w:val="0"/>
              </w:rPr>
            </w:pPr>
            <w:r>
              <w:rPr>
                <w:rFonts w:hint="eastAsia"/>
                <w:b/>
                <w:bCs/>
                <w:color w:val="000000"/>
                <w:kern w:val="0"/>
              </w:rPr>
              <w:t>22,933.23</w:t>
            </w:r>
          </w:p>
        </w:tc>
        <w:tc>
          <w:tcPr>
            <w:tcW w:w="1475" w:type="dxa"/>
            <w:vAlign w:val="center"/>
          </w:tcPr>
          <w:p w14:paraId="39147BAA" w14:textId="77777777" w:rsidR="004B0883" w:rsidRDefault="004B0883">
            <w:pPr>
              <w:adjustRightInd w:val="0"/>
              <w:snapToGrid w:val="0"/>
              <w:jc w:val="right"/>
              <w:rPr>
                <w:b/>
                <w:bCs/>
                <w:color w:val="000000"/>
                <w:kern w:val="0"/>
              </w:rPr>
            </w:pPr>
            <w:r>
              <w:rPr>
                <w:rFonts w:hint="eastAsia"/>
                <w:b/>
                <w:bCs/>
                <w:color w:val="000000"/>
                <w:kern w:val="0"/>
              </w:rPr>
              <w:t>19,142.30</w:t>
            </w:r>
          </w:p>
        </w:tc>
      </w:tr>
      <w:tr w:rsidR="004B0883" w14:paraId="469B4D44" w14:textId="77777777">
        <w:trPr>
          <w:trHeight w:val="397"/>
          <w:jc w:val="center"/>
        </w:trPr>
        <w:tc>
          <w:tcPr>
            <w:tcW w:w="2626" w:type="dxa"/>
            <w:vAlign w:val="center"/>
          </w:tcPr>
          <w:p w14:paraId="5A151DFB" w14:textId="77777777" w:rsidR="004B0883" w:rsidRDefault="004B0883">
            <w:pPr>
              <w:adjustRightInd w:val="0"/>
              <w:snapToGrid w:val="0"/>
              <w:rPr>
                <w:b/>
                <w:bCs/>
                <w:color w:val="000000"/>
                <w:kern w:val="0"/>
              </w:rPr>
            </w:pPr>
            <w:r>
              <w:rPr>
                <w:b/>
                <w:bCs/>
                <w:color w:val="000000"/>
                <w:kern w:val="0"/>
              </w:rPr>
              <w:t>非流动负债：</w:t>
            </w:r>
          </w:p>
        </w:tc>
        <w:tc>
          <w:tcPr>
            <w:tcW w:w="1475" w:type="dxa"/>
            <w:vAlign w:val="center"/>
          </w:tcPr>
          <w:p w14:paraId="772C130D" w14:textId="77777777" w:rsidR="004B0883" w:rsidRDefault="004B0883">
            <w:pPr>
              <w:adjustRightInd w:val="0"/>
              <w:snapToGrid w:val="0"/>
              <w:jc w:val="right"/>
              <w:rPr>
                <w:b/>
                <w:bCs/>
                <w:color w:val="000000"/>
                <w:kern w:val="0"/>
              </w:rPr>
            </w:pPr>
            <w:r>
              <w:rPr>
                <w:rFonts w:eastAsia="等线"/>
                <w:color w:val="000000"/>
              </w:rPr>
              <w:t xml:space="preserve">　</w:t>
            </w:r>
          </w:p>
        </w:tc>
        <w:tc>
          <w:tcPr>
            <w:tcW w:w="1475" w:type="dxa"/>
            <w:vAlign w:val="center"/>
          </w:tcPr>
          <w:p w14:paraId="70E3D700" w14:textId="77777777" w:rsidR="004B0883" w:rsidRDefault="004B0883">
            <w:pPr>
              <w:adjustRightInd w:val="0"/>
              <w:snapToGrid w:val="0"/>
              <w:jc w:val="right"/>
              <w:rPr>
                <w:kern w:val="0"/>
              </w:rPr>
            </w:pPr>
          </w:p>
        </w:tc>
        <w:tc>
          <w:tcPr>
            <w:tcW w:w="1475" w:type="dxa"/>
            <w:vAlign w:val="center"/>
          </w:tcPr>
          <w:p w14:paraId="6FBC0FD0" w14:textId="77777777" w:rsidR="004B0883" w:rsidRDefault="004B0883">
            <w:pPr>
              <w:adjustRightInd w:val="0"/>
              <w:snapToGrid w:val="0"/>
              <w:jc w:val="right"/>
              <w:rPr>
                <w:kern w:val="0"/>
              </w:rPr>
            </w:pPr>
          </w:p>
        </w:tc>
        <w:tc>
          <w:tcPr>
            <w:tcW w:w="1475" w:type="dxa"/>
            <w:vAlign w:val="center"/>
          </w:tcPr>
          <w:p w14:paraId="1CB77F4C" w14:textId="77777777" w:rsidR="004B0883" w:rsidRDefault="004B0883">
            <w:pPr>
              <w:adjustRightInd w:val="0"/>
              <w:snapToGrid w:val="0"/>
              <w:jc w:val="right"/>
              <w:rPr>
                <w:kern w:val="0"/>
              </w:rPr>
            </w:pPr>
          </w:p>
        </w:tc>
      </w:tr>
      <w:tr w:rsidR="004B0883" w14:paraId="7A5BBBEF" w14:textId="77777777">
        <w:trPr>
          <w:trHeight w:val="397"/>
          <w:jc w:val="center"/>
        </w:trPr>
        <w:tc>
          <w:tcPr>
            <w:tcW w:w="2626" w:type="dxa"/>
            <w:vAlign w:val="center"/>
          </w:tcPr>
          <w:p w14:paraId="4EF00E8E" w14:textId="77777777" w:rsidR="004B0883" w:rsidRDefault="004B0883">
            <w:pPr>
              <w:adjustRightInd w:val="0"/>
              <w:snapToGrid w:val="0"/>
              <w:rPr>
                <w:color w:val="000000"/>
                <w:kern w:val="0"/>
              </w:rPr>
            </w:pPr>
            <w:r>
              <w:rPr>
                <w:rFonts w:hint="eastAsia"/>
                <w:color w:val="000000"/>
                <w:kern w:val="0"/>
              </w:rPr>
              <w:t>递延收益</w:t>
            </w:r>
          </w:p>
        </w:tc>
        <w:tc>
          <w:tcPr>
            <w:tcW w:w="1475" w:type="dxa"/>
            <w:vAlign w:val="center"/>
          </w:tcPr>
          <w:p w14:paraId="6A6B4A28" w14:textId="77777777" w:rsidR="004B0883" w:rsidRDefault="004B0883">
            <w:pPr>
              <w:adjustRightInd w:val="0"/>
              <w:snapToGrid w:val="0"/>
              <w:jc w:val="right"/>
              <w:rPr>
                <w:color w:val="000000"/>
                <w:kern w:val="0"/>
              </w:rPr>
            </w:pPr>
            <w:r>
              <w:t>987.97</w:t>
            </w:r>
          </w:p>
        </w:tc>
        <w:tc>
          <w:tcPr>
            <w:tcW w:w="1475" w:type="dxa"/>
            <w:vAlign w:val="center"/>
          </w:tcPr>
          <w:p w14:paraId="3108C1F0" w14:textId="77777777" w:rsidR="004B0883" w:rsidRDefault="004B0883">
            <w:pPr>
              <w:adjustRightInd w:val="0"/>
              <w:snapToGrid w:val="0"/>
              <w:jc w:val="right"/>
              <w:rPr>
                <w:color w:val="000000"/>
                <w:kern w:val="0"/>
              </w:rPr>
            </w:pPr>
            <w:r>
              <w:rPr>
                <w:rFonts w:hint="eastAsia"/>
                <w:color w:val="000000"/>
                <w:kern w:val="0"/>
              </w:rPr>
              <w:t>1,052.36</w:t>
            </w:r>
          </w:p>
        </w:tc>
        <w:tc>
          <w:tcPr>
            <w:tcW w:w="1475" w:type="dxa"/>
            <w:vAlign w:val="center"/>
          </w:tcPr>
          <w:p w14:paraId="3804F31F" w14:textId="77777777" w:rsidR="004B0883" w:rsidRDefault="004B0883">
            <w:pPr>
              <w:adjustRightInd w:val="0"/>
              <w:snapToGrid w:val="0"/>
              <w:jc w:val="right"/>
              <w:rPr>
                <w:color w:val="000000"/>
                <w:kern w:val="0"/>
              </w:rPr>
            </w:pPr>
            <w:r>
              <w:rPr>
                <w:rFonts w:hint="eastAsia"/>
                <w:color w:val="000000"/>
                <w:kern w:val="0"/>
              </w:rPr>
              <w:t>1,124.29</w:t>
            </w:r>
          </w:p>
        </w:tc>
        <w:tc>
          <w:tcPr>
            <w:tcW w:w="1475" w:type="dxa"/>
            <w:vAlign w:val="center"/>
          </w:tcPr>
          <w:p w14:paraId="30EFCB6C" w14:textId="77777777" w:rsidR="004B0883" w:rsidRDefault="004B0883">
            <w:pPr>
              <w:adjustRightInd w:val="0"/>
              <w:snapToGrid w:val="0"/>
              <w:jc w:val="right"/>
              <w:rPr>
                <w:color w:val="000000"/>
                <w:kern w:val="0"/>
              </w:rPr>
            </w:pPr>
            <w:r>
              <w:rPr>
                <w:rFonts w:hint="eastAsia"/>
                <w:color w:val="000000"/>
                <w:kern w:val="0"/>
              </w:rPr>
              <w:t>1,120.38</w:t>
            </w:r>
          </w:p>
        </w:tc>
      </w:tr>
      <w:tr w:rsidR="004B0883" w14:paraId="64166914" w14:textId="77777777">
        <w:trPr>
          <w:trHeight w:val="397"/>
          <w:jc w:val="center"/>
        </w:trPr>
        <w:tc>
          <w:tcPr>
            <w:tcW w:w="2626" w:type="dxa"/>
            <w:vAlign w:val="center"/>
          </w:tcPr>
          <w:p w14:paraId="2C45A787" w14:textId="77777777" w:rsidR="004B0883" w:rsidRDefault="004B0883">
            <w:pPr>
              <w:adjustRightInd w:val="0"/>
              <w:snapToGrid w:val="0"/>
              <w:rPr>
                <w:color w:val="000000"/>
                <w:kern w:val="0"/>
              </w:rPr>
            </w:pPr>
            <w:r>
              <w:rPr>
                <w:rFonts w:hint="eastAsia"/>
                <w:color w:val="000000"/>
                <w:kern w:val="0"/>
              </w:rPr>
              <w:t>递延所得税负债</w:t>
            </w:r>
          </w:p>
        </w:tc>
        <w:tc>
          <w:tcPr>
            <w:tcW w:w="1475" w:type="dxa"/>
            <w:vAlign w:val="center"/>
          </w:tcPr>
          <w:p w14:paraId="0738A882" w14:textId="77777777" w:rsidR="004B0883" w:rsidRDefault="004B0883">
            <w:pPr>
              <w:adjustRightInd w:val="0"/>
              <w:snapToGrid w:val="0"/>
              <w:jc w:val="right"/>
              <w:rPr>
                <w:color w:val="000000"/>
                <w:kern w:val="0"/>
              </w:rPr>
            </w:pPr>
            <w:r>
              <w:t>556.93</w:t>
            </w:r>
          </w:p>
        </w:tc>
        <w:tc>
          <w:tcPr>
            <w:tcW w:w="1475" w:type="dxa"/>
            <w:vAlign w:val="center"/>
          </w:tcPr>
          <w:p w14:paraId="23A53B20" w14:textId="77777777" w:rsidR="004B0883" w:rsidRDefault="004B0883">
            <w:pPr>
              <w:adjustRightInd w:val="0"/>
              <w:snapToGrid w:val="0"/>
              <w:jc w:val="right"/>
              <w:rPr>
                <w:color w:val="000000"/>
                <w:kern w:val="0"/>
              </w:rPr>
            </w:pPr>
            <w:r>
              <w:rPr>
                <w:rFonts w:hint="eastAsia"/>
                <w:color w:val="000000"/>
                <w:kern w:val="0"/>
              </w:rPr>
              <w:t>265.52</w:t>
            </w:r>
          </w:p>
        </w:tc>
        <w:tc>
          <w:tcPr>
            <w:tcW w:w="1475" w:type="dxa"/>
            <w:vAlign w:val="center"/>
          </w:tcPr>
          <w:p w14:paraId="14DA016F" w14:textId="77777777" w:rsidR="004B0883" w:rsidRDefault="004B0883">
            <w:pPr>
              <w:adjustRightInd w:val="0"/>
              <w:snapToGrid w:val="0"/>
              <w:jc w:val="right"/>
              <w:rPr>
                <w:color w:val="000000"/>
                <w:kern w:val="0"/>
              </w:rPr>
            </w:pPr>
            <w:r>
              <w:rPr>
                <w:rFonts w:hint="eastAsia"/>
                <w:color w:val="000000"/>
                <w:kern w:val="0"/>
              </w:rPr>
              <w:t>332.68</w:t>
            </w:r>
          </w:p>
        </w:tc>
        <w:tc>
          <w:tcPr>
            <w:tcW w:w="1475" w:type="dxa"/>
            <w:vAlign w:val="center"/>
          </w:tcPr>
          <w:p w14:paraId="0A75CBC1" w14:textId="77777777" w:rsidR="004B0883" w:rsidRDefault="004B0883">
            <w:pPr>
              <w:adjustRightInd w:val="0"/>
              <w:snapToGrid w:val="0"/>
              <w:jc w:val="right"/>
              <w:rPr>
                <w:color w:val="000000"/>
                <w:kern w:val="0"/>
              </w:rPr>
            </w:pPr>
            <w:r>
              <w:rPr>
                <w:rFonts w:hint="eastAsia"/>
                <w:color w:val="000000"/>
                <w:kern w:val="0"/>
              </w:rPr>
              <w:t>380.54</w:t>
            </w:r>
          </w:p>
        </w:tc>
      </w:tr>
      <w:tr w:rsidR="004B0883" w14:paraId="66A90A9D" w14:textId="77777777">
        <w:trPr>
          <w:trHeight w:val="397"/>
          <w:jc w:val="center"/>
        </w:trPr>
        <w:tc>
          <w:tcPr>
            <w:tcW w:w="2626" w:type="dxa"/>
            <w:vAlign w:val="center"/>
          </w:tcPr>
          <w:p w14:paraId="4ACA066C" w14:textId="77777777" w:rsidR="004B0883" w:rsidRDefault="004B0883">
            <w:pPr>
              <w:adjustRightInd w:val="0"/>
              <w:snapToGrid w:val="0"/>
              <w:rPr>
                <w:b/>
                <w:bCs/>
                <w:color w:val="000000"/>
                <w:kern w:val="0"/>
              </w:rPr>
            </w:pPr>
            <w:r>
              <w:rPr>
                <w:b/>
                <w:bCs/>
                <w:color w:val="000000"/>
                <w:kern w:val="0"/>
              </w:rPr>
              <w:t>非流动负债合计</w:t>
            </w:r>
          </w:p>
        </w:tc>
        <w:tc>
          <w:tcPr>
            <w:tcW w:w="1475" w:type="dxa"/>
            <w:vAlign w:val="center"/>
          </w:tcPr>
          <w:p w14:paraId="43653520" w14:textId="77777777" w:rsidR="004B0883" w:rsidRDefault="004B0883">
            <w:pPr>
              <w:adjustRightInd w:val="0"/>
              <w:snapToGrid w:val="0"/>
              <w:jc w:val="right"/>
              <w:rPr>
                <w:b/>
                <w:bCs/>
                <w:color w:val="000000"/>
                <w:kern w:val="0"/>
              </w:rPr>
            </w:pPr>
            <w:r>
              <w:rPr>
                <w:b/>
                <w:bCs/>
              </w:rPr>
              <w:t>1,544.90</w:t>
            </w:r>
          </w:p>
        </w:tc>
        <w:tc>
          <w:tcPr>
            <w:tcW w:w="1475" w:type="dxa"/>
            <w:vAlign w:val="center"/>
          </w:tcPr>
          <w:p w14:paraId="1CB3E8F0" w14:textId="77777777" w:rsidR="004B0883" w:rsidRDefault="004B0883">
            <w:pPr>
              <w:adjustRightInd w:val="0"/>
              <w:snapToGrid w:val="0"/>
              <w:jc w:val="right"/>
              <w:rPr>
                <w:b/>
                <w:bCs/>
                <w:color w:val="000000"/>
                <w:kern w:val="0"/>
              </w:rPr>
            </w:pPr>
            <w:r>
              <w:rPr>
                <w:rFonts w:hint="eastAsia"/>
                <w:b/>
                <w:bCs/>
                <w:color w:val="000000"/>
                <w:kern w:val="0"/>
              </w:rPr>
              <w:t>1,317.88</w:t>
            </w:r>
          </w:p>
        </w:tc>
        <w:tc>
          <w:tcPr>
            <w:tcW w:w="1475" w:type="dxa"/>
            <w:vAlign w:val="center"/>
          </w:tcPr>
          <w:p w14:paraId="3CFC10A3" w14:textId="77777777" w:rsidR="004B0883" w:rsidRDefault="004B0883">
            <w:pPr>
              <w:adjustRightInd w:val="0"/>
              <w:snapToGrid w:val="0"/>
              <w:jc w:val="right"/>
              <w:rPr>
                <w:b/>
                <w:bCs/>
                <w:color w:val="000000"/>
                <w:kern w:val="0"/>
              </w:rPr>
            </w:pPr>
            <w:r>
              <w:rPr>
                <w:rFonts w:hint="eastAsia"/>
                <w:b/>
                <w:bCs/>
                <w:color w:val="000000"/>
                <w:kern w:val="0"/>
              </w:rPr>
              <w:t>1,456.97</w:t>
            </w:r>
          </w:p>
        </w:tc>
        <w:tc>
          <w:tcPr>
            <w:tcW w:w="1475" w:type="dxa"/>
            <w:vAlign w:val="center"/>
          </w:tcPr>
          <w:p w14:paraId="2D1701B3" w14:textId="77777777" w:rsidR="004B0883" w:rsidRDefault="004B0883">
            <w:pPr>
              <w:adjustRightInd w:val="0"/>
              <w:snapToGrid w:val="0"/>
              <w:jc w:val="right"/>
              <w:rPr>
                <w:b/>
                <w:bCs/>
                <w:color w:val="000000"/>
                <w:kern w:val="0"/>
              </w:rPr>
            </w:pPr>
            <w:r>
              <w:rPr>
                <w:rFonts w:hint="eastAsia"/>
                <w:b/>
                <w:bCs/>
                <w:color w:val="000000"/>
                <w:kern w:val="0"/>
              </w:rPr>
              <w:t>1,500.92</w:t>
            </w:r>
          </w:p>
        </w:tc>
      </w:tr>
      <w:tr w:rsidR="004B0883" w14:paraId="64CB30AC" w14:textId="77777777">
        <w:trPr>
          <w:trHeight w:val="397"/>
          <w:jc w:val="center"/>
        </w:trPr>
        <w:tc>
          <w:tcPr>
            <w:tcW w:w="2626" w:type="dxa"/>
            <w:vAlign w:val="center"/>
          </w:tcPr>
          <w:p w14:paraId="7E091A06" w14:textId="77777777" w:rsidR="004B0883" w:rsidRDefault="004B0883">
            <w:pPr>
              <w:adjustRightInd w:val="0"/>
              <w:snapToGrid w:val="0"/>
              <w:rPr>
                <w:b/>
                <w:bCs/>
                <w:color w:val="000000"/>
                <w:kern w:val="0"/>
              </w:rPr>
            </w:pPr>
            <w:r>
              <w:rPr>
                <w:b/>
                <w:bCs/>
                <w:color w:val="000000"/>
                <w:kern w:val="0"/>
              </w:rPr>
              <w:t>负债合计</w:t>
            </w:r>
          </w:p>
        </w:tc>
        <w:tc>
          <w:tcPr>
            <w:tcW w:w="1475" w:type="dxa"/>
            <w:vAlign w:val="center"/>
          </w:tcPr>
          <w:p w14:paraId="3E385516" w14:textId="77777777" w:rsidR="004B0883" w:rsidRDefault="004B0883">
            <w:pPr>
              <w:adjustRightInd w:val="0"/>
              <w:snapToGrid w:val="0"/>
              <w:jc w:val="right"/>
              <w:rPr>
                <w:b/>
                <w:bCs/>
                <w:color w:val="000000"/>
                <w:kern w:val="0"/>
              </w:rPr>
            </w:pPr>
            <w:r>
              <w:rPr>
                <w:b/>
                <w:bCs/>
              </w:rPr>
              <w:t>18,112.24</w:t>
            </w:r>
          </w:p>
        </w:tc>
        <w:tc>
          <w:tcPr>
            <w:tcW w:w="1475" w:type="dxa"/>
            <w:vAlign w:val="center"/>
          </w:tcPr>
          <w:p w14:paraId="1224FF0B" w14:textId="77777777" w:rsidR="004B0883" w:rsidRDefault="004B0883">
            <w:pPr>
              <w:adjustRightInd w:val="0"/>
              <w:snapToGrid w:val="0"/>
              <w:jc w:val="right"/>
              <w:rPr>
                <w:b/>
                <w:bCs/>
                <w:color w:val="000000"/>
                <w:kern w:val="0"/>
              </w:rPr>
            </w:pPr>
            <w:r>
              <w:rPr>
                <w:rFonts w:hint="eastAsia"/>
                <w:b/>
                <w:bCs/>
                <w:color w:val="000000"/>
                <w:kern w:val="0"/>
              </w:rPr>
              <w:t>22,265.03</w:t>
            </w:r>
          </w:p>
        </w:tc>
        <w:tc>
          <w:tcPr>
            <w:tcW w:w="1475" w:type="dxa"/>
            <w:vAlign w:val="center"/>
          </w:tcPr>
          <w:p w14:paraId="3058F880" w14:textId="77777777" w:rsidR="004B0883" w:rsidRDefault="004B0883">
            <w:pPr>
              <w:adjustRightInd w:val="0"/>
              <w:snapToGrid w:val="0"/>
              <w:jc w:val="right"/>
              <w:rPr>
                <w:b/>
                <w:bCs/>
                <w:color w:val="000000"/>
                <w:kern w:val="0"/>
              </w:rPr>
            </w:pPr>
            <w:r>
              <w:rPr>
                <w:rFonts w:hint="eastAsia"/>
                <w:b/>
                <w:bCs/>
                <w:color w:val="000000"/>
                <w:kern w:val="0"/>
              </w:rPr>
              <w:t>24,390.19</w:t>
            </w:r>
          </w:p>
        </w:tc>
        <w:tc>
          <w:tcPr>
            <w:tcW w:w="1475" w:type="dxa"/>
            <w:vAlign w:val="center"/>
          </w:tcPr>
          <w:p w14:paraId="6042267B" w14:textId="77777777" w:rsidR="004B0883" w:rsidRDefault="004B0883">
            <w:pPr>
              <w:adjustRightInd w:val="0"/>
              <w:snapToGrid w:val="0"/>
              <w:jc w:val="right"/>
              <w:rPr>
                <w:b/>
                <w:bCs/>
                <w:color w:val="000000"/>
                <w:kern w:val="0"/>
              </w:rPr>
            </w:pPr>
            <w:r>
              <w:rPr>
                <w:rFonts w:hint="eastAsia"/>
                <w:b/>
                <w:bCs/>
                <w:color w:val="000000"/>
                <w:kern w:val="0"/>
              </w:rPr>
              <w:t>20,643.22</w:t>
            </w:r>
          </w:p>
        </w:tc>
      </w:tr>
      <w:tr w:rsidR="004B0883" w14:paraId="4CDD113D" w14:textId="77777777">
        <w:trPr>
          <w:trHeight w:val="397"/>
          <w:jc w:val="center"/>
        </w:trPr>
        <w:tc>
          <w:tcPr>
            <w:tcW w:w="2626" w:type="dxa"/>
            <w:vAlign w:val="center"/>
          </w:tcPr>
          <w:p w14:paraId="62171737" w14:textId="77777777" w:rsidR="004B0883" w:rsidRDefault="004B0883">
            <w:pPr>
              <w:adjustRightInd w:val="0"/>
              <w:snapToGrid w:val="0"/>
              <w:rPr>
                <w:b/>
                <w:bCs/>
                <w:color w:val="000000"/>
                <w:kern w:val="0"/>
              </w:rPr>
            </w:pPr>
            <w:r>
              <w:rPr>
                <w:b/>
                <w:bCs/>
                <w:color w:val="000000"/>
                <w:kern w:val="0"/>
              </w:rPr>
              <w:t>所有者权益：</w:t>
            </w:r>
          </w:p>
        </w:tc>
        <w:tc>
          <w:tcPr>
            <w:tcW w:w="1475" w:type="dxa"/>
            <w:vAlign w:val="center"/>
          </w:tcPr>
          <w:p w14:paraId="2AE285EE" w14:textId="77777777" w:rsidR="004B0883" w:rsidRDefault="004B0883">
            <w:pPr>
              <w:adjustRightInd w:val="0"/>
              <w:snapToGrid w:val="0"/>
              <w:jc w:val="right"/>
              <w:rPr>
                <w:b/>
                <w:bCs/>
                <w:color w:val="000000"/>
                <w:kern w:val="0"/>
              </w:rPr>
            </w:pPr>
            <w:r>
              <w:rPr>
                <w:rFonts w:eastAsia="等线"/>
                <w:color w:val="000000"/>
              </w:rPr>
              <w:t xml:space="preserve">　</w:t>
            </w:r>
          </w:p>
        </w:tc>
        <w:tc>
          <w:tcPr>
            <w:tcW w:w="1475" w:type="dxa"/>
            <w:vAlign w:val="center"/>
          </w:tcPr>
          <w:p w14:paraId="4F38B2FB" w14:textId="77777777" w:rsidR="004B0883" w:rsidRDefault="004B0883">
            <w:pPr>
              <w:adjustRightInd w:val="0"/>
              <w:snapToGrid w:val="0"/>
              <w:jc w:val="right"/>
              <w:rPr>
                <w:kern w:val="0"/>
              </w:rPr>
            </w:pPr>
          </w:p>
        </w:tc>
        <w:tc>
          <w:tcPr>
            <w:tcW w:w="1475" w:type="dxa"/>
            <w:vAlign w:val="center"/>
          </w:tcPr>
          <w:p w14:paraId="4D3737E0" w14:textId="77777777" w:rsidR="004B0883" w:rsidRDefault="004B0883">
            <w:pPr>
              <w:adjustRightInd w:val="0"/>
              <w:snapToGrid w:val="0"/>
              <w:jc w:val="right"/>
              <w:rPr>
                <w:kern w:val="0"/>
              </w:rPr>
            </w:pPr>
          </w:p>
        </w:tc>
        <w:tc>
          <w:tcPr>
            <w:tcW w:w="1475" w:type="dxa"/>
            <w:vAlign w:val="center"/>
          </w:tcPr>
          <w:p w14:paraId="5A676D68" w14:textId="77777777" w:rsidR="004B0883" w:rsidRDefault="004B0883">
            <w:pPr>
              <w:adjustRightInd w:val="0"/>
              <w:snapToGrid w:val="0"/>
              <w:jc w:val="right"/>
              <w:rPr>
                <w:kern w:val="0"/>
              </w:rPr>
            </w:pPr>
          </w:p>
        </w:tc>
      </w:tr>
      <w:tr w:rsidR="004B0883" w14:paraId="2B9DCB6D" w14:textId="77777777">
        <w:trPr>
          <w:trHeight w:val="397"/>
          <w:jc w:val="center"/>
        </w:trPr>
        <w:tc>
          <w:tcPr>
            <w:tcW w:w="2626" w:type="dxa"/>
            <w:vAlign w:val="center"/>
          </w:tcPr>
          <w:p w14:paraId="57EB1E8F" w14:textId="77777777" w:rsidR="004B0883" w:rsidRDefault="004B0883">
            <w:pPr>
              <w:adjustRightInd w:val="0"/>
              <w:snapToGrid w:val="0"/>
              <w:rPr>
                <w:color w:val="000000"/>
                <w:kern w:val="0"/>
              </w:rPr>
            </w:pPr>
            <w:r>
              <w:rPr>
                <w:rFonts w:hint="eastAsia"/>
                <w:color w:val="000000"/>
                <w:kern w:val="0"/>
              </w:rPr>
              <w:t>实收资本（或股本）</w:t>
            </w:r>
          </w:p>
        </w:tc>
        <w:tc>
          <w:tcPr>
            <w:tcW w:w="1475" w:type="dxa"/>
            <w:vAlign w:val="center"/>
          </w:tcPr>
          <w:p w14:paraId="72004623" w14:textId="77777777" w:rsidR="004B0883" w:rsidRDefault="004B0883">
            <w:pPr>
              <w:adjustRightInd w:val="0"/>
              <w:snapToGrid w:val="0"/>
              <w:jc w:val="right"/>
              <w:rPr>
                <w:color w:val="000000"/>
                <w:kern w:val="0"/>
              </w:rPr>
            </w:pPr>
            <w:r>
              <w:rPr>
                <w:rFonts w:eastAsia="等线"/>
                <w:color w:val="000000"/>
              </w:rPr>
              <w:t>21,954.03</w:t>
            </w:r>
          </w:p>
        </w:tc>
        <w:tc>
          <w:tcPr>
            <w:tcW w:w="1475" w:type="dxa"/>
            <w:vAlign w:val="center"/>
          </w:tcPr>
          <w:p w14:paraId="0F8FA607" w14:textId="77777777" w:rsidR="004B0883" w:rsidRDefault="004B0883">
            <w:pPr>
              <w:adjustRightInd w:val="0"/>
              <w:snapToGrid w:val="0"/>
              <w:jc w:val="right"/>
              <w:rPr>
                <w:color w:val="000000"/>
                <w:kern w:val="0"/>
              </w:rPr>
            </w:pPr>
            <w:r>
              <w:rPr>
                <w:rFonts w:hint="eastAsia"/>
                <w:color w:val="000000"/>
                <w:kern w:val="0"/>
              </w:rPr>
              <w:t>16,887.71</w:t>
            </w:r>
          </w:p>
        </w:tc>
        <w:tc>
          <w:tcPr>
            <w:tcW w:w="1475" w:type="dxa"/>
            <w:vAlign w:val="center"/>
          </w:tcPr>
          <w:p w14:paraId="14E11105" w14:textId="77777777" w:rsidR="004B0883" w:rsidRDefault="004B0883">
            <w:pPr>
              <w:adjustRightInd w:val="0"/>
              <w:snapToGrid w:val="0"/>
              <w:jc w:val="right"/>
              <w:rPr>
                <w:color w:val="000000"/>
                <w:kern w:val="0"/>
              </w:rPr>
            </w:pPr>
            <w:r>
              <w:rPr>
                <w:rFonts w:hint="eastAsia"/>
                <w:color w:val="000000"/>
                <w:kern w:val="0"/>
              </w:rPr>
              <w:t>16,903.26</w:t>
            </w:r>
          </w:p>
        </w:tc>
        <w:tc>
          <w:tcPr>
            <w:tcW w:w="1475" w:type="dxa"/>
            <w:vAlign w:val="center"/>
          </w:tcPr>
          <w:p w14:paraId="1956A251" w14:textId="77777777" w:rsidR="004B0883" w:rsidRDefault="004B0883">
            <w:pPr>
              <w:adjustRightInd w:val="0"/>
              <w:snapToGrid w:val="0"/>
              <w:jc w:val="right"/>
              <w:rPr>
                <w:color w:val="000000"/>
                <w:kern w:val="0"/>
              </w:rPr>
            </w:pPr>
            <w:r>
              <w:rPr>
                <w:rFonts w:hint="eastAsia"/>
                <w:color w:val="000000"/>
                <w:kern w:val="0"/>
              </w:rPr>
              <w:t>11,668.00</w:t>
            </w:r>
          </w:p>
        </w:tc>
      </w:tr>
      <w:tr w:rsidR="004B0883" w14:paraId="19368944" w14:textId="77777777">
        <w:trPr>
          <w:trHeight w:val="397"/>
          <w:jc w:val="center"/>
        </w:trPr>
        <w:tc>
          <w:tcPr>
            <w:tcW w:w="2626" w:type="dxa"/>
            <w:vAlign w:val="center"/>
          </w:tcPr>
          <w:p w14:paraId="5F91F1CF" w14:textId="77777777" w:rsidR="004B0883" w:rsidRDefault="004B0883">
            <w:pPr>
              <w:adjustRightInd w:val="0"/>
              <w:snapToGrid w:val="0"/>
              <w:rPr>
                <w:color w:val="000000"/>
                <w:kern w:val="0"/>
              </w:rPr>
            </w:pPr>
            <w:r>
              <w:rPr>
                <w:rFonts w:hint="eastAsia"/>
                <w:color w:val="000000"/>
                <w:kern w:val="0"/>
              </w:rPr>
              <w:t>资本公积</w:t>
            </w:r>
          </w:p>
        </w:tc>
        <w:tc>
          <w:tcPr>
            <w:tcW w:w="1475" w:type="dxa"/>
            <w:vAlign w:val="center"/>
          </w:tcPr>
          <w:p w14:paraId="7CF66A89" w14:textId="77777777" w:rsidR="004B0883" w:rsidRDefault="004B0883">
            <w:pPr>
              <w:adjustRightInd w:val="0"/>
              <w:snapToGrid w:val="0"/>
              <w:jc w:val="right"/>
              <w:rPr>
                <w:color w:val="000000"/>
                <w:kern w:val="0"/>
              </w:rPr>
            </w:pPr>
            <w:r>
              <w:t>13,855.53</w:t>
            </w:r>
          </w:p>
        </w:tc>
        <w:tc>
          <w:tcPr>
            <w:tcW w:w="1475" w:type="dxa"/>
            <w:vAlign w:val="center"/>
          </w:tcPr>
          <w:p w14:paraId="14620FE5" w14:textId="77777777" w:rsidR="004B0883" w:rsidRDefault="004B0883">
            <w:pPr>
              <w:adjustRightInd w:val="0"/>
              <w:snapToGrid w:val="0"/>
              <w:jc w:val="right"/>
              <w:rPr>
                <w:color w:val="000000"/>
                <w:kern w:val="0"/>
              </w:rPr>
            </w:pPr>
            <w:r>
              <w:rPr>
                <w:rFonts w:hint="eastAsia"/>
                <w:color w:val="000000"/>
                <w:kern w:val="0"/>
              </w:rPr>
              <w:t>18,517.01</w:t>
            </w:r>
          </w:p>
        </w:tc>
        <w:tc>
          <w:tcPr>
            <w:tcW w:w="1475" w:type="dxa"/>
            <w:vAlign w:val="center"/>
          </w:tcPr>
          <w:p w14:paraId="11087D11" w14:textId="77777777" w:rsidR="004B0883" w:rsidRDefault="004B0883">
            <w:pPr>
              <w:adjustRightInd w:val="0"/>
              <w:snapToGrid w:val="0"/>
              <w:jc w:val="right"/>
              <w:rPr>
                <w:color w:val="000000"/>
                <w:kern w:val="0"/>
              </w:rPr>
            </w:pPr>
            <w:r>
              <w:rPr>
                <w:rFonts w:hint="eastAsia"/>
                <w:color w:val="000000"/>
                <w:kern w:val="0"/>
              </w:rPr>
              <w:t>18,159.45</w:t>
            </w:r>
          </w:p>
        </w:tc>
        <w:tc>
          <w:tcPr>
            <w:tcW w:w="1475" w:type="dxa"/>
            <w:vAlign w:val="center"/>
          </w:tcPr>
          <w:p w14:paraId="0DB2A37C" w14:textId="77777777" w:rsidR="004B0883" w:rsidRDefault="004B0883">
            <w:pPr>
              <w:adjustRightInd w:val="0"/>
              <w:snapToGrid w:val="0"/>
              <w:jc w:val="right"/>
              <w:rPr>
                <w:color w:val="000000"/>
                <w:kern w:val="0"/>
              </w:rPr>
            </w:pPr>
            <w:r>
              <w:rPr>
                <w:rFonts w:hint="eastAsia"/>
                <w:color w:val="000000"/>
                <w:kern w:val="0"/>
              </w:rPr>
              <w:t>24,590.08</w:t>
            </w:r>
          </w:p>
        </w:tc>
      </w:tr>
      <w:tr w:rsidR="004B0883" w14:paraId="72ECD047" w14:textId="77777777">
        <w:trPr>
          <w:trHeight w:val="397"/>
          <w:jc w:val="center"/>
        </w:trPr>
        <w:tc>
          <w:tcPr>
            <w:tcW w:w="2626" w:type="dxa"/>
            <w:vAlign w:val="center"/>
          </w:tcPr>
          <w:p w14:paraId="5C3CB88A" w14:textId="77777777" w:rsidR="004B0883" w:rsidRDefault="004B0883">
            <w:pPr>
              <w:adjustRightInd w:val="0"/>
              <w:snapToGrid w:val="0"/>
              <w:rPr>
                <w:color w:val="000000"/>
                <w:kern w:val="0"/>
              </w:rPr>
            </w:pPr>
            <w:r>
              <w:rPr>
                <w:rFonts w:hint="eastAsia"/>
                <w:color w:val="000000"/>
                <w:kern w:val="0"/>
              </w:rPr>
              <w:t>减：库存股</w:t>
            </w:r>
          </w:p>
        </w:tc>
        <w:tc>
          <w:tcPr>
            <w:tcW w:w="1475" w:type="dxa"/>
            <w:vAlign w:val="center"/>
          </w:tcPr>
          <w:p w14:paraId="208060E0" w14:textId="77777777" w:rsidR="004B0883" w:rsidRDefault="004B0883">
            <w:pPr>
              <w:adjustRightInd w:val="0"/>
              <w:snapToGrid w:val="0"/>
              <w:jc w:val="right"/>
              <w:rPr>
                <w:color w:val="000000"/>
                <w:kern w:val="0"/>
              </w:rPr>
            </w:pPr>
            <w:r>
              <w:t>960.84</w:t>
            </w:r>
          </w:p>
        </w:tc>
        <w:tc>
          <w:tcPr>
            <w:tcW w:w="1475" w:type="dxa"/>
            <w:vAlign w:val="center"/>
          </w:tcPr>
          <w:p w14:paraId="78112393" w14:textId="77777777" w:rsidR="004B0883" w:rsidRDefault="004B0883">
            <w:pPr>
              <w:adjustRightInd w:val="0"/>
              <w:snapToGrid w:val="0"/>
              <w:jc w:val="right"/>
              <w:rPr>
                <w:color w:val="000000"/>
                <w:kern w:val="0"/>
              </w:rPr>
            </w:pPr>
            <w:r>
              <w:rPr>
                <w:rFonts w:hint="eastAsia"/>
                <w:color w:val="000000"/>
                <w:kern w:val="0"/>
              </w:rPr>
              <w:t>1,037.01</w:t>
            </w:r>
          </w:p>
        </w:tc>
        <w:tc>
          <w:tcPr>
            <w:tcW w:w="1475" w:type="dxa"/>
            <w:vAlign w:val="center"/>
          </w:tcPr>
          <w:p w14:paraId="448EB311" w14:textId="77777777" w:rsidR="004B0883" w:rsidRDefault="004B0883">
            <w:pPr>
              <w:adjustRightInd w:val="0"/>
              <w:snapToGrid w:val="0"/>
              <w:jc w:val="right"/>
              <w:rPr>
                <w:color w:val="000000"/>
                <w:kern w:val="0"/>
              </w:rPr>
            </w:pPr>
            <w:r>
              <w:rPr>
                <w:rFonts w:hint="eastAsia"/>
                <w:color w:val="000000"/>
                <w:kern w:val="0"/>
              </w:rPr>
              <w:t>1,767.57</w:t>
            </w:r>
          </w:p>
        </w:tc>
        <w:tc>
          <w:tcPr>
            <w:tcW w:w="1475" w:type="dxa"/>
            <w:vAlign w:val="center"/>
          </w:tcPr>
          <w:p w14:paraId="317865F9" w14:textId="77777777" w:rsidR="004B0883" w:rsidRDefault="004B0883">
            <w:pPr>
              <w:adjustRightInd w:val="0"/>
              <w:snapToGrid w:val="0"/>
              <w:jc w:val="right"/>
              <w:rPr>
                <w:color w:val="000000"/>
                <w:kern w:val="0"/>
              </w:rPr>
            </w:pPr>
            <w:r>
              <w:rPr>
                <w:rFonts w:hint="eastAsia"/>
                <w:color w:val="000000"/>
                <w:kern w:val="0"/>
              </w:rPr>
              <w:t>383.59</w:t>
            </w:r>
          </w:p>
        </w:tc>
      </w:tr>
      <w:tr w:rsidR="004B0883" w14:paraId="6DC5AFC3" w14:textId="77777777">
        <w:trPr>
          <w:trHeight w:val="397"/>
          <w:jc w:val="center"/>
        </w:trPr>
        <w:tc>
          <w:tcPr>
            <w:tcW w:w="2626" w:type="dxa"/>
            <w:vAlign w:val="center"/>
          </w:tcPr>
          <w:p w14:paraId="01FF374C" w14:textId="77777777" w:rsidR="004B0883" w:rsidRDefault="004B0883">
            <w:pPr>
              <w:adjustRightInd w:val="0"/>
              <w:snapToGrid w:val="0"/>
              <w:rPr>
                <w:color w:val="000000"/>
                <w:kern w:val="0"/>
              </w:rPr>
            </w:pPr>
            <w:r>
              <w:rPr>
                <w:rFonts w:hint="eastAsia"/>
                <w:color w:val="000000"/>
                <w:kern w:val="0"/>
              </w:rPr>
              <w:t>其他综合收益</w:t>
            </w:r>
          </w:p>
        </w:tc>
        <w:tc>
          <w:tcPr>
            <w:tcW w:w="1475" w:type="dxa"/>
            <w:vAlign w:val="center"/>
          </w:tcPr>
          <w:p w14:paraId="36F909B2" w14:textId="77777777" w:rsidR="004B0883" w:rsidRDefault="004B0883">
            <w:pPr>
              <w:adjustRightInd w:val="0"/>
              <w:snapToGrid w:val="0"/>
              <w:jc w:val="right"/>
              <w:rPr>
                <w:color w:val="000000"/>
                <w:kern w:val="0"/>
              </w:rPr>
            </w:pPr>
            <w:r>
              <w:t>0.49</w:t>
            </w:r>
          </w:p>
        </w:tc>
        <w:tc>
          <w:tcPr>
            <w:tcW w:w="1475" w:type="dxa"/>
            <w:vAlign w:val="center"/>
          </w:tcPr>
          <w:p w14:paraId="0AF5B628" w14:textId="77777777" w:rsidR="004B0883" w:rsidRDefault="004B0883">
            <w:pPr>
              <w:adjustRightInd w:val="0"/>
              <w:snapToGrid w:val="0"/>
              <w:jc w:val="right"/>
              <w:rPr>
                <w:color w:val="000000"/>
                <w:kern w:val="0"/>
              </w:rPr>
            </w:pPr>
            <w:r>
              <w:rPr>
                <w:rFonts w:hint="eastAsia"/>
                <w:color w:val="000000"/>
                <w:kern w:val="0"/>
              </w:rPr>
              <w:t>-0.58</w:t>
            </w:r>
          </w:p>
        </w:tc>
        <w:tc>
          <w:tcPr>
            <w:tcW w:w="1475" w:type="dxa"/>
            <w:vAlign w:val="center"/>
          </w:tcPr>
          <w:p w14:paraId="0F59C166" w14:textId="77777777" w:rsidR="004B0883" w:rsidRDefault="004B0883">
            <w:pPr>
              <w:adjustRightInd w:val="0"/>
              <w:snapToGrid w:val="0"/>
              <w:jc w:val="right"/>
              <w:rPr>
                <w:color w:val="000000"/>
                <w:kern w:val="0"/>
              </w:rPr>
            </w:pPr>
            <w:r>
              <w:rPr>
                <w:rFonts w:hint="eastAsia"/>
                <w:color w:val="000000"/>
                <w:kern w:val="0"/>
              </w:rPr>
              <w:t>5.68</w:t>
            </w:r>
          </w:p>
        </w:tc>
        <w:tc>
          <w:tcPr>
            <w:tcW w:w="1475" w:type="dxa"/>
            <w:vAlign w:val="center"/>
          </w:tcPr>
          <w:p w14:paraId="015D279F" w14:textId="77777777" w:rsidR="004B0883" w:rsidRDefault="004B0883">
            <w:pPr>
              <w:adjustRightInd w:val="0"/>
              <w:snapToGrid w:val="0"/>
              <w:jc w:val="right"/>
              <w:rPr>
                <w:color w:val="000000"/>
                <w:kern w:val="0"/>
              </w:rPr>
            </w:pPr>
            <w:r>
              <w:rPr>
                <w:rFonts w:hint="eastAsia"/>
                <w:color w:val="000000"/>
                <w:kern w:val="0"/>
              </w:rPr>
              <w:t>1.67</w:t>
            </w:r>
          </w:p>
        </w:tc>
      </w:tr>
      <w:tr w:rsidR="004B0883" w14:paraId="3CE67515" w14:textId="77777777">
        <w:trPr>
          <w:trHeight w:val="397"/>
          <w:jc w:val="center"/>
        </w:trPr>
        <w:tc>
          <w:tcPr>
            <w:tcW w:w="2626" w:type="dxa"/>
            <w:vAlign w:val="center"/>
          </w:tcPr>
          <w:p w14:paraId="53F4C41A" w14:textId="77777777" w:rsidR="004B0883" w:rsidRDefault="004B0883">
            <w:pPr>
              <w:adjustRightInd w:val="0"/>
              <w:snapToGrid w:val="0"/>
              <w:rPr>
                <w:color w:val="000000"/>
                <w:kern w:val="0"/>
              </w:rPr>
            </w:pPr>
            <w:r>
              <w:rPr>
                <w:rFonts w:hint="eastAsia"/>
                <w:color w:val="000000"/>
                <w:kern w:val="0"/>
              </w:rPr>
              <w:t>盈余公积</w:t>
            </w:r>
          </w:p>
        </w:tc>
        <w:tc>
          <w:tcPr>
            <w:tcW w:w="1475" w:type="dxa"/>
            <w:vAlign w:val="center"/>
          </w:tcPr>
          <w:p w14:paraId="7013ECFD" w14:textId="77777777" w:rsidR="004B0883" w:rsidRDefault="004B0883">
            <w:pPr>
              <w:adjustRightInd w:val="0"/>
              <w:snapToGrid w:val="0"/>
              <w:jc w:val="right"/>
              <w:rPr>
                <w:color w:val="000000"/>
                <w:kern w:val="0"/>
              </w:rPr>
            </w:pPr>
            <w:r>
              <w:t>7,209.33</w:t>
            </w:r>
          </w:p>
        </w:tc>
        <w:tc>
          <w:tcPr>
            <w:tcW w:w="1475" w:type="dxa"/>
            <w:vAlign w:val="center"/>
          </w:tcPr>
          <w:p w14:paraId="4777940E" w14:textId="77777777" w:rsidR="004B0883" w:rsidRDefault="004B0883">
            <w:pPr>
              <w:adjustRightInd w:val="0"/>
              <w:snapToGrid w:val="0"/>
              <w:jc w:val="right"/>
              <w:rPr>
                <w:color w:val="000000"/>
                <w:kern w:val="0"/>
              </w:rPr>
            </w:pPr>
            <w:r>
              <w:rPr>
                <w:rFonts w:hint="eastAsia"/>
                <w:color w:val="000000"/>
                <w:kern w:val="0"/>
              </w:rPr>
              <w:t>7,209.33</w:t>
            </w:r>
          </w:p>
        </w:tc>
        <w:tc>
          <w:tcPr>
            <w:tcW w:w="1475" w:type="dxa"/>
            <w:vAlign w:val="center"/>
          </w:tcPr>
          <w:p w14:paraId="5177B786" w14:textId="77777777" w:rsidR="004B0883" w:rsidRDefault="004B0883">
            <w:pPr>
              <w:adjustRightInd w:val="0"/>
              <w:snapToGrid w:val="0"/>
              <w:jc w:val="right"/>
              <w:rPr>
                <w:color w:val="000000"/>
                <w:kern w:val="0"/>
              </w:rPr>
            </w:pPr>
            <w:r>
              <w:rPr>
                <w:rFonts w:hint="eastAsia"/>
                <w:color w:val="000000"/>
                <w:kern w:val="0"/>
              </w:rPr>
              <w:t>5,840.44</w:t>
            </w:r>
          </w:p>
        </w:tc>
        <w:tc>
          <w:tcPr>
            <w:tcW w:w="1475" w:type="dxa"/>
            <w:vAlign w:val="center"/>
          </w:tcPr>
          <w:p w14:paraId="78C872BB" w14:textId="77777777" w:rsidR="004B0883" w:rsidRDefault="004B0883">
            <w:pPr>
              <w:adjustRightInd w:val="0"/>
              <w:snapToGrid w:val="0"/>
              <w:jc w:val="right"/>
              <w:rPr>
                <w:color w:val="000000"/>
                <w:kern w:val="0"/>
              </w:rPr>
            </w:pPr>
            <w:r>
              <w:rPr>
                <w:rFonts w:hint="eastAsia"/>
                <w:color w:val="000000"/>
                <w:kern w:val="0"/>
              </w:rPr>
              <w:t>5,197.26</w:t>
            </w:r>
          </w:p>
        </w:tc>
      </w:tr>
      <w:tr w:rsidR="004B0883" w14:paraId="035F38C5" w14:textId="77777777">
        <w:trPr>
          <w:trHeight w:val="397"/>
          <w:jc w:val="center"/>
        </w:trPr>
        <w:tc>
          <w:tcPr>
            <w:tcW w:w="2626" w:type="dxa"/>
            <w:vAlign w:val="center"/>
          </w:tcPr>
          <w:p w14:paraId="702677EC" w14:textId="77777777" w:rsidR="004B0883" w:rsidRDefault="004B0883">
            <w:pPr>
              <w:adjustRightInd w:val="0"/>
              <w:snapToGrid w:val="0"/>
              <w:rPr>
                <w:color w:val="000000"/>
                <w:kern w:val="0"/>
              </w:rPr>
            </w:pPr>
            <w:r>
              <w:rPr>
                <w:rFonts w:hint="eastAsia"/>
                <w:color w:val="000000"/>
                <w:kern w:val="0"/>
              </w:rPr>
              <w:t>未分配利润</w:t>
            </w:r>
          </w:p>
        </w:tc>
        <w:tc>
          <w:tcPr>
            <w:tcW w:w="1475" w:type="dxa"/>
            <w:vAlign w:val="center"/>
          </w:tcPr>
          <w:p w14:paraId="0ED39C03" w14:textId="77777777" w:rsidR="004B0883" w:rsidRDefault="004B0883">
            <w:pPr>
              <w:adjustRightInd w:val="0"/>
              <w:snapToGrid w:val="0"/>
              <w:jc w:val="right"/>
              <w:rPr>
                <w:color w:val="000000"/>
                <w:kern w:val="0"/>
              </w:rPr>
            </w:pPr>
            <w:r>
              <w:t>36,222.46</w:t>
            </w:r>
          </w:p>
        </w:tc>
        <w:tc>
          <w:tcPr>
            <w:tcW w:w="1475" w:type="dxa"/>
            <w:vAlign w:val="center"/>
          </w:tcPr>
          <w:p w14:paraId="6714DB8E" w14:textId="77777777" w:rsidR="004B0883" w:rsidRDefault="004B0883">
            <w:pPr>
              <w:adjustRightInd w:val="0"/>
              <w:snapToGrid w:val="0"/>
              <w:jc w:val="right"/>
              <w:rPr>
                <w:color w:val="000000"/>
                <w:kern w:val="0"/>
              </w:rPr>
            </w:pPr>
            <w:r>
              <w:rPr>
                <w:rFonts w:hint="eastAsia"/>
                <w:color w:val="000000"/>
                <w:kern w:val="0"/>
              </w:rPr>
              <w:t>31,812.48</w:t>
            </w:r>
          </w:p>
        </w:tc>
        <w:tc>
          <w:tcPr>
            <w:tcW w:w="1475" w:type="dxa"/>
            <w:vAlign w:val="center"/>
          </w:tcPr>
          <w:p w14:paraId="2637C6D5" w14:textId="77777777" w:rsidR="004B0883" w:rsidRDefault="004B0883">
            <w:pPr>
              <w:adjustRightInd w:val="0"/>
              <w:snapToGrid w:val="0"/>
              <w:jc w:val="right"/>
              <w:rPr>
                <w:color w:val="000000"/>
                <w:kern w:val="0"/>
              </w:rPr>
            </w:pPr>
            <w:r>
              <w:rPr>
                <w:rFonts w:hint="eastAsia"/>
                <w:color w:val="000000"/>
                <w:kern w:val="0"/>
              </w:rPr>
              <w:t>25,456.60</w:t>
            </w:r>
          </w:p>
        </w:tc>
        <w:tc>
          <w:tcPr>
            <w:tcW w:w="1475" w:type="dxa"/>
            <w:vAlign w:val="center"/>
          </w:tcPr>
          <w:p w14:paraId="44D3909A" w14:textId="77777777" w:rsidR="004B0883" w:rsidRDefault="004B0883">
            <w:pPr>
              <w:adjustRightInd w:val="0"/>
              <w:snapToGrid w:val="0"/>
              <w:jc w:val="right"/>
              <w:rPr>
                <w:color w:val="000000"/>
                <w:kern w:val="0"/>
              </w:rPr>
            </w:pPr>
            <w:r>
              <w:rPr>
                <w:rFonts w:hint="eastAsia"/>
                <w:color w:val="000000"/>
                <w:kern w:val="0"/>
              </w:rPr>
              <w:t>25,249.86</w:t>
            </w:r>
          </w:p>
        </w:tc>
      </w:tr>
      <w:tr w:rsidR="004B0883" w14:paraId="663120F8" w14:textId="77777777">
        <w:trPr>
          <w:trHeight w:val="397"/>
          <w:jc w:val="center"/>
        </w:trPr>
        <w:tc>
          <w:tcPr>
            <w:tcW w:w="2626" w:type="dxa"/>
            <w:vAlign w:val="center"/>
          </w:tcPr>
          <w:p w14:paraId="7711825A" w14:textId="77777777" w:rsidR="004B0883" w:rsidRDefault="004B0883">
            <w:pPr>
              <w:adjustRightInd w:val="0"/>
              <w:snapToGrid w:val="0"/>
              <w:rPr>
                <w:b/>
                <w:bCs/>
                <w:color w:val="000000"/>
                <w:kern w:val="0"/>
              </w:rPr>
            </w:pPr>
            <w:r>
              <w:rPr>
                <w:b/>
                <w:bCs/>
                <w:color w:val="000000"/>
                <w:kern w:val="0"/>
              </w:rPr>
              <w:t>归属于母公司所有者权益合计</w:t>
            </w:r>
          </w:p>
        </w:tc>
        <w:tc>
          <w:tcPr>
            <w:tcW w:w="1475" w:type="dxa"/>
            <w:vAlign w:val="center"/>
          </w:tcPr>
          <w:p w14:paraId="75C2BE03" w14:textId="77777777" w:rsidR="004B0883" w:rsidRDefault="004B0883">
            <w:pPr>
              <w:adjustRightInd w:val="0"/>
              <w:snapToGrid w:val="0"/>
              <w:jc w:val="right"/>
              <w:rPr>
                <w:b/>
                <w:bCs/>
                <w:color w:val="000000"/>
                <w:kern w:val="0"/>
              </w:rPr>
            </w:pPr>
            <w:r>
              <w:rPr>
                <w:b/>
                <w:bCs/>
              </w:rPr>
              <w:t>78,281.01</w:t>
            </w:r>
          </w:p>
        </w:tc>
        <w:tc>
          <w:tcPr>
            <w:tcW w:w="1475" w:type="dxa"/>
            <w:vAlign w:val="center"/>
          </w:tcPr>
          <w:p w14:paraId="4B007B17" w14:textId="77777777" w:rsidR="004B0883" w:rsidRDefault="004B0883">
            <w:pPr>
              <w:adjustRightInd w:val="0"/>
              <w:snapToGrid w:val="0"/>
              <w:jc w:val="right"/>
              <w:rPr>
                <w:b/>
                <w:bCs/>
                <w:color w:val="000000"/>
                <w:kern w:val="0"/>
              </w:rPr>
            </w:pPr>
            <w:r>
              <w:rPr>
                <w:rFonts w:hint="eastAsia"/>
                <w:b/>
                <w:bCs/>
                <w:color w:val="000000"/>
                <w:kern w:val="0"/>
              </w:rPr>
              <w:t>73,388.95</w:t>
            </w:r>
          </w:p>
        </w:tc>
        <w:tc>
          <w:tcPr>
            <w:tcW w:w="1475" w:type="dxa"/>
            <w:vAlign w:val="center"/>
          </w:tcPr>
          <w:p w14:paraId="6C7F00E3" w14:textId="77777777" w:rsidR="004B0883" w:rsidRDefault="004B0883">
            <w:pPr>
              <w:adjustRightInd w:val="0"/>
              <w:snapToGrid w:val="0"/>
              <w:jc w:val="right"/>
              <w:rPr>
                <w:b/>
                <w:bCs/>
                <w:color w:val="000000"/>
                <w:kern w:val="0"/>
              </w:rPr>
            </w:pPr>
            <w:r>
              <w:rPr>
                <w:rFonts w:hint="eastAsia"/>
                <w:b/>
                <w:bCs/>
                <w:color w:val="000000"/>
                <w:kern w:val="0"/>
              </w:rPr>
              <w:t>64,597.86</w:t>
            </w:r>
          </w:p>
        </w:tc>
        <w:tc>
          <w:tcPr>
            <w:tcW w:w="1475" w:type="dxa"/>
            <w:vAlign w:val="center"/>
          </w:tcPr>
          <w:p w14:paraId="5F51F501" w14:textId="77777777" w:rsidR="004B0883" w:rsidRDefault="004B0883">
            <w:pPr>
              <w:adjustRightInd w:val="0"/>
              <w:snapToGrid w:val="0"/>
              <w:jc w:val="right"/>
              <w:rPr>
                <w:b/>
                <w:bCs/>
                <w:color w:val="000000"/>
                <w:kern w:val="0"/>
              </w:rPr>
            </w:pPr>
            <w:r>
              <w:rPr>
                <w:rFonts w:hint="eastAsia"/>
                <w:b/>
                <w:bCs/>
                <w:color w:val="000000"/>
                <w:kern w:val="0"/>
              </w:rPr>
              <w:t>66,323.27</w:t>
            </w:r>
          </w:p>
        </w:tc>
      </w:tr>
      <w:tr w:rsidR="004B0883" w14:paraId="61F8BED1" w14:textId="77777777">
        <w:trPr>
          <w:trHeight w:val="397"/>
          <w:jc w:val="center"/>
        </w:trPr>
        <w:tc>
          <w:tcPr>
            <w:tcW w:w="2626" w:type="dxa"/>
            <w:vAlign w:val="center"/>
          </w:tcPr>
          <w:p w14:paraId="05CAC2BB" w14:textId="77777777" w:rsidR="004B0883" w:rsidRDefault="004B0883">
            <w:pPr>
              <w:adjustRightInd w:val="0"/>
              <w:snapToGrid w:val="0"/>
              <w:rPr>
                <w:color w:val="000000"/>
                <w:kern w:val="0"/>
              </w:rPr>
            </w:pPr>
            <w:r>
              <w:rPr>
                <w:color w:val="000000"/>
                <w:kern w:val="0"/>
              </w:rPr>
              <w:t>少数股东权益</w:t>
            </w:r>
          </w:p>
        </w:tc>
        <w:tc>
          <w:tcPr>
            <w:tcW w:w="1475" w:type="dxa"/>
            <w:vAlign w:val="center"/>
          </w:tcPr>
          <w:p w14:paraId="4E9D4458" w14:textId="77777777" w:rsidR="004B0883" w:rsidRDefault="004B0883">
            <w:pPr>
              <w:adjustRightInd w:val="0"/>
              <w:snapToGrid w:val="0"/>
              <w:jc w:val="right"/>
              <w:rPr>
                <w:color w:val="000000"/>
                <w:kern w:val="0"/>
              </w:rPr>
            </w:pPr>
            <w:r>
              <w:t>4,340.25</w:t>
            </w:r>
          </w:p>
        </w:tc>
        <w:tc>
          <w:tcPr>
            <w:tcW w:w="1475" w:type="dxa"/>
            <w:vAlign w:val="center"/>
          </w:tcPr>
          <w:p w14:paraId="0253B798" w14:textId="77777777" w:rsidR="004B0883" w:rsidRDefault="004B0883">
            <w:pPr>
              <w:adjustRightInd w:val="0"/>
              <w:snapToGrid w:val="0"/>
              <w:jc w:val="right"/>
              <w:rPr>
                <w:color w:val="000000"/>
                <w:kern w:val="0"/>
              </w:rPr>
            </w:pPr>
            <w:r>
              <w:rPr>
                <w:rFonts w:hint="eastAsia"/>
                <w:color w:val="000000"/>
                <w:kern w:val="0"/>
              </w:rPr>
              <w:t>3,742.73</w:t>
            </w:r>
          </w:p>
        </w:tc>
        <w:tc>
          <w:tcPr>
            <w:tcW w:w="1475" w:type="dxa"/>
            <w:vAlign w:val="center"/>
          </w:tcPr>
          <w:p w14:paraId="60B6EA9A" w14:textId="77777777" w:rsidR="004B0883" w:rsidRDefault="004B0883">
            <w:pPr>
              <w:adjustRightInd w:val="0"/>
              <w:snapToGrid w:val="0"/>
              <w:jc w:val="right"/>
              <w:rPr>
                <w:color w:val="000000"/>
                <w:kern w:val="0"/>
              </w:rPr>
            </w:pPr>
            <w:r>
              <w:rPr>
                <w:rFonts w:hint="eastAsia"/>
                <w:color w:val="000000"/>
                <w:kern w:val="0"/>
              </w:rPr>
              <w:t>-</w:t>
            </w:r>
          </w:p>
        </w:tc>
        <w:tc>
          <w:tcPr>
            <w:tcW w:w="1475" w:type="dxa"/>
            <w:vAlign w:val="center"/>
          </w:tcPr>
          <w:p w14:paraId="6453127A" w14:textId="77777777" w:rsidR="004B0883" w:rsidRDefault="004B0883">
            <w:pPr>
              <w:adjustRightInd w:val="0"/>
              <w:snapToGrid w:val="0"/>
              <w:jc w:val="right"/>
              <w:rPr>
                <w:color w:val="000000"/>
                <w:kern w:val="0"/>
              </w:rPr>
            </w:pPr>
            <w:r>
              <w:rPr>
                <w:rFonts w:hint="eastAsia"/>
                <w:color w:val="000000"/>
                <w:kern w:val="0"/>
              </w:rPr>
              <w:t>-</w:t>
            </w:r>
          </w:p>
        </w:tc>
      </w:tr>
      <w:tr w:rsidR="004B0883" w14:paraId="1D790EB6" w14:textId="77777777">
        <w:trPr>
          <w:trHeight w:val="397"/>
          <w:jc w:val="center"/>
        </w:trPr>
        <w:tc>
          <w:tcPr>
            <w:tcW w:w="2626" w:type="dxa"/>
            <w:vAlign w:val="center"/>
          </w:tcPr>
          <w:p w14:paraId="1EBD325E" w14:textId="77777777" w:rsidR="004B0883" w:rsidRDefault="004B0883">
            <w:pPr>
              <w:adjustRightInd w:val="0"/>
              <w:snapToGrid w:val="0"/>
              <w:rPr>
                <w:b/>
                <w:bCs/>
                <w:color w:val="000000"/>
                <w:kern w:val="0"/>
              </w:rPr>
            </w:pPr>
            <w:r>
              <w:rPr>
                <w:b/>
                <w:bCs/>
                <w:color w:val="000000"/>
                <w:kern w:val="0"/>
              </w:rPr>
              <w:t>所有者权益合计</w:t>
            </w:r>
          </w:p>
        </w:tc>
        <w:tc>
          <w:tcPr>
            <w:tcW w:w="1475" w:type="dxa"/>
            <w:vAlign w:val="center"/>
          </w:tcPr>
          <w:p w14:paraId="5B41FCD7" w14:textId="77777777" w:rsidR="004B0883" w:rsidRDefault="004B0883">
            <w:pPr>
              <w:adjustRightInd w:val="0"/>
              <w:snapToGrid w:val="0"/>
              <w:jc w:val="right"/>
              <w:rPr>
                <w:b/>
                <w:bCs/>
                <w:color w:val="000000"/>
                <w:kern w:val="0"/>
              </w:rPr>
            </w:pPr>
            <w:r>
              <w:rPr>
                <w:b/>
                <w:bCs/>
              </w:rPr>
              <w:t>82,621.26</w:t>
            </w:r>
          </w:p>
        </w:tc>
        <w:tc>
          <w:tcPr>
            <w:tcW w:w="1475" w:type="dxa"/>
            <w:vAlign w:val="center"/>
          </w:tcPr>
          <w:p w14:paraId="0D8DA2E5" w14:textId="77777777" w:rsidR="004B0883" w:rsidRDefault="004B0883">
            <w:pPr>
              <w:adjustRightInd w:val="0"/>
              <w:snapToGrid w:val="0"/>
              <w:jc w:val="right"/>
              <w:rPr>
                <w:b/>
                <w:bCs/>
                <w:color w:val="000000"/>
                <w:kern w:val="0"/>
              </w:rPr>
            </w:pPr>
            <w:r>
              <w:rPr>
                <w:rFonts w:hint="eastAsia"/>
                <w:b/>
                <w:bCs/>
                <w:color w:val="000000"/>
                <w:kern w:val="0"/>
              </w:rPr>
              <w:t>77,131.69</w:t>
            </w:r>
          </w:p>
        </w:tc>
        <w:tc>
          <w:tcPr>
            <w:tcW w:w="1475" w:type="dxa"/>
            <w:vAlign w:val="center"/>
          </w:tcPr>
          <w:p w14:paraId="0DAED60E" w14:textId="77777777" w:rsidR="004B0883" w:rsidRDefault="004B0883">
            <w:pPr>
              <w:adjustRightInd w:val="0"/>
              <w:snapToGrid w:val="0"/>
              <w:jc w:val="right"/>
              <w:rPr>
                <w:b/>
                <w:bCs/>
                <w:color w:val="000000"/>
                <w:kern w:val="0"/>
              </w:rPr>
            </w:pPr>
            <w:r>
              <w:rPr>
                <w:rFonts w:hint="eastAsia"/>
                <w:b/>
                <w:bCs/>
                <w:color w:val="000000"/>
                <w:kern w:val="0"/>
              </w:rPr>
              <w:t>64,597.86</w:t>
            </w:r>
          </w:p>
        </w:tc>
        <w:tc>
          <w:tcPr>
            <w:tcW w:w="1475" w:type="dxa"/>
            <w:vAlign w:val="center"/>
          </w:tcPr>
          <w:p w14:paraId="075686AB" w14:textId="77777777" w:rsidR="004B0883" w:rsidRDefault="004B0883">
            <w:pPr>
              <w:adjustRightInd w:val="0"/>
              <w:snapToGrid w:val="0"/>
              <w:jc w:val="right"/>
              <w:rPr>
                <w:b/>
                <w:bCs/>
                <w:color w:val="000000"/>
                <w:kern w:val="0"/>
              </w:rPr>
            </w:pPr>
            <w:r>
              <w:rPr>
                <w:rFonts w:hint="eastAsia"/>
                <w:b/>
                <w:bCs/>
                <w:color w:val="000000"/>
                <w:kern w:val="0"/>
              </w:rPr>
              <w:t>66,323.27</w:t>
            </w:r>
          </w:p>
        </w:tc>
      </w:tr>
      <w:tr w:rsidR="004B0883" w14:paraId="419CDB38" w14:textId="77777777">
        <w:trPr>
          <w:trHeight w:val="397"/>
          <w:jc w:val="center"/>
        </w:trPr>
        <w:tc>
          <w:tcPr>
            <w:tcW w:w="2626" w:type="dxa"/>
            <w:vAlign w:val="center"/>
          </w:tcPr>
          <w:p w14:paraId="4836259F" w14:textId="77777777" w:rsidR="004B0883" w:rsidRDefault="004B0883">
            <w:pPr>
              <w:adjustRightInd w:val="0"/>
              <w:snapToGrid w:val="0"/>
              <w:rPr>
                <w:b/>
                <w:bCs/>
                <w:color w:val="000000"/>
                <w:kern w:val="0"/>
              </w:rPr>
            </w:pPr>
            <w:r>
              <w:rPr>
                <w:b/>
                <w:bCs/>
                <w:color w:val="000000"/>
                <w:kern w:val="0"/>
              </w:rPr>
              <w:t>负债和所有者权益总计</w:t>
            </w:r>
          </w:p>
        </w:tc>
        <w:tc>
          <w:tcPr>
            <w:tcW w:w="1475" w:type="dxa"/>
            <w:vAlign w:val="center"/>
          </w:tcPr>
          <w:p w14:paraId="604E25DE" w14:textId="77777777" w:rsidR="004B0883" w:rsidRDefault="004B0883">
            <w:pPr>
              <w:adjustRightInd w:val="0"/>
              <w:snapToGrid w:val="0"/>
              <w:jc w:val="right"/>
              <w:rPr>
                <w:b/>
                <w:bCs/>
                <w:color w:val="000000"/>
                <w:kern w:val="0"/>
              </w:rPr>
            </w:pPr>
            <w:r>
              <w:rPr>
                <w:b/>
                <w:bCs/>
              </w:rPr>
              <w:t>100,733.51</w:t>
            </w:r>
          </w:p>
        </w:tc>
        <w:tc>
          <w:tcPr>
            <w:tcW w:w="1475" w:type="dxa"/>
            <w:vAlign w:val="center"/>
          </w:tcPr>
          <w:p w14:paraId="310F9F13" w14:textId="77777777" w:rsidR="004B0883" w:rsidRDefault="004B0883">
            <w:pPr>
              <w:adjustRightInd w:val="0"/>
              <w:snapToGrid w:val="0"/>
              <w:jc w:val="right"/>
              <w:rPr>
                <w:b/>
                <w:bCs/>
                <w:color w:val="000000"/>
                <w:kern w:val="0"/>
              </w:rPr>
            </w:pPr>
            <w:r>
              <w:rPr>
                <w:rFonts w:hint="eastAsia"/>
                <w:b/>
                <w:bCs/>
                <w:color w:val="000000"/>
                <w:kern w:val="0"/>
              </w:rPr>
              <w:t>99,396.71</w:t>
            </w:r>
          </w:p>
        </w:tc>
        <w:tc>
          <w:tcPr>
            <w:tcW w:w="1475" w:type="dxa"/>
            <w:vAlign w:val="center"/>
          </w:tcPr>
          <w:p w14:paraId="3F56652F" w14:textId="77777777" w:rsidR="004B0883" w:rsidRDefault="004B0883">
            <w:pPr>
              <w:adjustRightInd w:val="0"/>
              <w:snapToGrid w:val="0"/>
              <w:jc w:val="right"/>
              <w:rPr>
                <w:b/>
                <w:bCs/>
                <w:color w:val="000000"/>
                <w:kern w:val="0"/>
              </w:rPr>
            </w:pPr>
            <w:r>
              <w:rPr>
                <w:rFonts w:hint="eastAsia"/>
                <w:b/>
                <w:bCs/>
                <w:color w:val="000000"/>
                <w:kern w:val="0"/>
              </w:rPr>
              <w:t>88,988.05</w:t>
            </w:r>
          </w:p>
        </w:tc>
        <w:tc>
          <w:tcPr>
            <w:tcW w:w="1475" w:type="dxa"/>
            <w:vAlign w:val="center"/>
          </w:tcPr>
          <w:p w14:paraId="70748846" w14:textId="77777777" w:rsidR="004B0883" w:rsidRDefault="004B0883">
            <w:pPr>
              <w:adjustRightInd w:val="0"/>
              <w:snapToGrid w:val="0"/>
              <w:jc w:val="right"/>
              <w:rPr>
                <w:b/>
                <w:bCs/>
                <w:color w:val="000000"/>
                <w:kern w:val="0"/>
              </w:rPr>
            </w:pPr>
            <w:r>
              <w:rPr>
                <w:rFonts w:hint="eastAsia"/>
                <w:b/>
                <w:bCs/>
                <w:color w:val="000000"/>
                <w:kern w:val="0"/>
              </w:rPr>
              <w:t>86,966.49</w:t>
            </w:r>
          </w:p>
        </w:tc>
      </w:tr>
    </w:tbl>
    <w:bookmarkEnd w:id="299"/>
    <w:p w14:paraId="3992BB80" w14:textId="77777777" w:rsidR="004B0883" w:rsidRDefault="004B0883">
      <w:pPr>
        <w:pStyle w:val="004"/>
        <w:spacing w:before="120" w:after="120"/>
        <w:ind w:firstLine="482"/>
      </w:pPr>
      <w:r>
        <w:t>2</w:t>
      </w:r>
      <w:r>
        <w:t>、母公司资产负债表</w:t>
      </w:r>
    </w:p>
    <w:p w14:paraId="4D2FF444" w14:textId="77777777" w:rsidR="004B0883" w:rsidRDefault="004B0883">
      <w:pPr>
        <w:pStyle w:val="009"/>
      </w:pPr>
      <w: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65"/>
        <w:gridCol w:w="1820"/>
        <w:gridCol w:w="1532"/>
        <w:gridCol w:w="1531"/>
        <w:gridCol w:w="1532"/>
      </w:tblGrid>
      <w:tr w:rsidR="004B0883" w14:paraId="3A9F834D" w14:textId="77777777">
        <w:trPr>
          <w:trHeight w:val="397"/>
          <w:tblHeader/>
          <w:jc w:val="center"/>
        </w:trPr>
        <w:tc>
          <w:tcPr>
            <w:tcW w:w="1963" w:type="dxa"/>
            <w:shd w:val="clear" w:color="auto" w:fill="D9D9D9"/>
            <w:vAlign w:val="center"/>
          </w:tcPr>
          <w:p w14:paraId="43BABB94" w14:textId="77777777" w:rsidR="004B0883" w:rsidRDefault="004B0883">
            <w:pPr>
              <w:adjustRightInd w:val="0"/>
              <w:snapToGrid w:val="0"/>
              <w:jc w:val="center"/>
              <w:rPr>
                <w:b/>
                <w:bCs/>
                <w:color w:val="000000"/>
                <w:kern w:val="0"/>
              </w:rPr>
            </w:pPr>
            <w:r>
              <w:rPr>
                <w:b/>
                <w:bCs/>
                <w:color w:val="000000"/>
                <w:kern w:val="0"/>
              </w:rPr>
              <w:t>项目</w:t>
            </w:r>
          </w:p>
        </w:tc>
        <w:tc>
          <w:tcPr>
            <w:tcW w:w="1881" w:type="dxa"/>
            <w:shd w:val="clear" w:color="auto" w:fill="D9D9D9"/>
            <w:vAlign w:val="center"/>
          </w:tcPr>
          <w:p w14:paraId="6DBB05AA" w14:textId="77777777" w:rsidR="004B0883" w:rsidRDefault="004B0883">
            <w:pPr>
              <w:adjustRightInd w:val="0"/>
              <w:snapToGrid w:val="0"/>
              <w:jc w:val="center"/>
              <w:rPr>
                <w:b/>
                <w:bCs/>
                <w:color w:val="000000"/>
                <w:kern w:val="0"/>
              </w:rPr>
            </w:pPr>
            <w:r>
              <w:rPr>
                <w:b/>
                <w:bCs/>
                <w:color w:val="000000"/>
                <w:kern w:val="0"/>
              </w:rPr>
              <w:t>2023.</w:t>
            </w:r>
            <w:r>
              <w:rPr>
                <w:rFonts w:hint="eastAsia"/>
                <w:b/>
                <w:bCs/>
                <w:color w:val="000000"/>
                <w:kern w:val="0"/>
              </w:rPr>
              <w:t>9</w:t>
            </w:r>
            <w:r>
              <w:rPr>
                <w:b/>
                <w:bCs/>
                <w:color w:val="000000"/>
                <w:kern w:val="0"/>
              </w:rPr>
              <w:t>.30</w:t>
            </w:r>
          </w:p>
        </w:tc>
        <w:tc>
          <w:tcPr>
            <w:tcW w:w="1561" w:type="dxa"/>
            <w:shd w:val="clear" w:color="auto" w:fill="D9D9D9"/>
            <w:vAlign w:val="center"/>
          </w:tcPr>
          <w:p w14:paraId="3AD52FFD" w14:textId="77777777" w:rsidR="004B0883" w:rsidRDefault="004B0883">
            <w:pPr>
              <w:adjustRightInd w:val="0"/>
              <w:snapToGrid w:val="0"/>
              <w:jc w:val="center"/>
              <w:rPr>
                <w:b/>
                <w:bCs/>
                <w:color w:val="000000"/>
                <w:kern w:val="0"/>
              </w:rPr>
            </w:pPr>
            <w:r>
              <w:rPr>
                <w:b/>
                <w:bCs/>
                <w:color w:val="000000"/>
                <w:kern w:val="0"/>
              </w:rPr>
              <w:t>2022.12.31</w:t>
            </w:r>
          </w:p>
        </w:tc>
        <w:tc>
          <w:tcPr>
            <w:tcW w:w="1560" w:type="dxa"/>
            <w:shd w:val="clear" w:color="auto" w:fill="D9D9D9"/>
            <w:vAlign w:val="center"/>
          </w:tcPr>
          <w:p w14:paraId="1F9EBFAC" w14:textId="77777777" w:rsidR="004B0883" w:rsidRDefault="004B0883">
            <w:pPr>
              <w:adjustRightInd w:val="0"/>
              <w:snapToGrid w:val="0"/>
              <w:jc w:val="center"/>
              <w:rPr>
                <w:b/>
                <w:bCs/>
                <w:color w:val="000000"/>
                <w:kern w:val="0"/>
              </w:rPr>
            </w:pPr>
            <w:r>
              <w:rPr>
                <w:b/>
                <w:bCs/>
                <w:color w:val="000000"/>
                <w:kern w:val="0"/>
              </w:rPr>
              <w:t>2021.12.31</w:t>
            </w:r>
          </w:p>
        </w:tc>
        <w:tc>
          <w:tcPr>
            <w:tcW w:w="1561" w:type="dxa"/>
            <w:shd w:val="clear" w:color="auto" w:fill="D9D9D9"/>
            <w:vAlign w:val="center"/>
          </w:tcPr>
          <w:p w14:paraId="282BFD42" w14:textId="77777777" w:rsidR="004B0883" w:rsidRDefault="004B0883">
            <w:pPr>
              <w:adjustRightInd w:val="0"/>
              <w:snapToGrid w:val="0"/>
              <w:jc w:val="center"/>
              <w:rPr>
                <w:b/>
                <w:bCs/>
                <w:color w:val="000000"/>
                <w:kern w:val="0"/>
              </w:rPr>
            </w:pPr>
            <w:r>
              <w:rPr>
                <w:b/>
                <w:bCs/>
                <w:color w:val="000000"/>
                <w:kern w:val="0"/>
              </w:rPr>
              <w:t>2020.12.31</w:t>
            </w:r>
          </w:p>
        </w:tc>
      </w:tr>
      <w:tr w:rsidR="004B0883" w14:paraId="6F1D5971" w14:textId="77777777">
        <w:trPr>
          <w:trHeight w:val="397"/>
          <w:jc w:val="center"/>
        </w:trPr>
        <w:tc>
          <w:tcPr>
            <w:tcW w:w="1963" w:type="dxa"/>
            <w:vAlign w:val="center"/>
          </w:tcPr>
          <w:p w14:paraId="147CEEE7" w14:textId="77777777" w:rsidR="004B0883" w:rsidRDefault="004B0883">
            <w:pPr>
              <w:adjustRightInd w:val="0"/>
              <w:snapToGrid w:val="0"/>
              <w:rPr>
                <w:b/>
                <w:bCs/>
                <w:color w:val="000000"/>
                <w:kern w:val="0"/>
              </w:rPr>
            </w:pPr>
            <w:r>
              <w:rPr>
                <w:b/>
                <w:bCs/>
                <w:color w:val="000000"/>
                <w:kern w:val="0"/>
              </w:rPr>
              <w:t>流动资产：</w:t>
            </w:r>
            <w:r>
              <w:rPr>
                <w:b/>
                <w:bCs/>
                <w:color w:val="000000"/>
                <w:kern w:val="0"/>
              </w:rPr>
              <w:t xml:space="preserve"> </w:t>
            </w:r>
          </w:p>
        </w:tc>
        <w:tc>
          <w:tcPr>
            <w:tcW w:w="1881" w:type="dxa"/>
            <w:vAlign w:val="center"/>
          </w:tcPr>
          <w:p w14:paraId="17E5C3CD" w14:textId="77777777" w:rsidR="004B0883" w:rsidRDefault="004B0883">
            <w:pPr>
              <w:adjustRightInd w:val="0"/>
              <w:snapToGrid w:val="0"/>
              <w:jc w:val="right"/>
              <w:rPr>
                <w:b/>
                <w:bCs/>
                <w:color w:val="000000"/>
                <w:kern w:val="0"/>
              </w:rPr>
            </w:pPr>
          </w:p>
        </w:tc>
        <w:tc>
          <w:tcPr>
            <w:tcW w:w="1561" w:type="dxa"/>
            <w:vAlign w:val="center"/>
          </w:tcPr>
          <w:p w14:paraId="64954592" w14:textId="77777777" w:rsidR="004B0883" w:rsidRDefault="004B0883">
            <w:pPr>
              <w:adjustRightInd w:val="0"/>
              <w:snapToGrid w:val="0"/>
              <w:jc w:val="right"/>
              <w:rPr>
                <w:kern w:val="0"/>
              </w:rPr>
            </w:pPr>
          </w:p>
        </w:tc>
        <w:tc>
          <w:tcPr>
            <w:tcW w:w="1560" w:type="dxa"/>
            <w:vAlign w:val="center"/>
          </w:tcPr>
          <w:p w14:paraId="4D9AD16C" w14:textId="77777777" w:rsidR="004B0883" w:rsidRDefault="004B0883">
            <w:pPr>
              <w:adjustRightInd w:val="0"/>
              <w:snapToGrid w:val="0"/>
              <w:jc w:val="right"/>
              <w:rPr>
                <w:kern w:val="0"/>
              </w:rPr>
            </w:pPr>
          </w:p>
        </w:tc>
        <w:tc>
          <w:tcPr>
            <w:tcW w:w="1561" w:type="dxa"/>
            <w:vAlign w:val="center"/>
          </w:tcPr>
          <w:p w14:paraId="4760FED7" w14:textId="77777777" w:rsidR="004B0883" w:rsidRDefault="004B0883">
            <w:pPr>
              <w:adjustRightInd w:val="0"/>
              <w:snapToGrid w:val="0"/>
              <w:jc w:val="right"/>
              <w:rPr>
                <w:kern w:val="0"/>
              </w:rPr>
            </w:pPr>
          </w:p>
        </w:tc>
      </w:tr>
      <w:tr w:rsidR="004B0883" w14:paraId="10BFF0B5" w14:textId="77777777">
        <w:trPr>
          <w:trHeight w:val="397"/>
          <w:jc w:val="center"/>
        </w:trPr>
        <w:tc>
          <w:tcPr>
            <w:tcW w:w="1963" w:type="dxa"/>
            <w:vAlign w:val="center"/>
          </w:tcPr>
          <w:p w14:paraId="53FD2E00" w14:textId="77777777" w:rsidR="004B0883" w:rsidRDefault="004B0883">
            <w:pPr>
              <w:adjustRightInd w:val="0"/>
              <w:snapToGrid w:val="0"/>
              <w:rPr>
                <w:color w:val="000000"/>
                <w:kern w:val="0"/>
              </w:rPr>
            </w:pPr>
            <w:r>
              <w:rPr>
                <w:color w:val="000000"/>
                <w:kern w:val="0"/>
              </w:rPr>
              <w:t xml:space="preserve">  </w:t>
            </w:r>
            <w:r>
              <w:rPr>
                <w:rFonts w:hint="eastAsia"/>
                <w:color w:val="000000"/>
                <w:kern w:val="0"/>
              </w:rPr>
              <w:t>货币资金</w:t>
            </w:r>
          </w:p>
        </w:tc>
        <w:tc>
          <w:tcPr>
            <w:tcW w:w="1881" w:type="dxa"/>
            <w:vAlign w:val="center"/>
          </w:tcPr>
          <w:p w14:paraId="32DA89D9" w14:textId="77777777" w:rsidR="004B0883" w:rsidRDefault="004B0883">
            <w:pPr>
              <w:adjustRightInd w:val="0"/>
              <w:snapToGrid w:val="0"/>
              <w:jc w:val="right"/>
              <w:rPr>
                <w:color w:val="000000"/>
                <w:kern w:val="0"/>
              </w:rPr>
            </w:pPr>
            <w:r>
              <w:t>3,250.87</w:t>
            </w:r>
          </w:p>
        </w:tc>
        <w:tc>
          <w:tcPr>
            <w:tcW w:w="1561" w:type="dxa"/>
            <w:vAlign w:val="center"/>
          </w:tcPr>
          <w:p w14:paraId="04E70721" w14:textId="77777777" w:rsidR="004B0883" w:rsidRDefault="004B0883">
            <w:pPr>
              <w:adjustRightInd w:val="0"/>
              <w:snapToGrid w:val="0"/>
              <w:jc w:val="right"/>
              <w:rPr>
                <w:color w:val="000000"/>
                <w:kern w:val="0"/>
              </w:rPr>
            </w:pPr>
            <w:r>
              <w:rPr>
                <w:rFonts w:hint="eastAsia"/>
                <w:color w:val="000000"/>
                <w:kern w:val="0"/>
              </w:rPr>
              <w:t>15,765.19</w:t>
            </w:r>
          </w:p>
        </w:tc>
        <w:tc>
          <w:tcPr>
            <w:tcW w:w="1560" w:type="dxa"/>
            <w:vAlign w:val="center"/>
          </w:tcPr>
          <w:p w14:paraId="2E09206E" w14:textId="77777777" w:rsidR="004B0883" w:rsidRDefault="004B0883">
            <w:pPr>
              <w:adjustRightInd w:val="0"/>
              <w:snapToGrid w:val="0"/>
              <w:jc w:val="right"/>
              <w:rPr>
                <w:color w:val="000000"/>
                <w:kern w:val="0"/>
              </w:rPr>
            </w:pPr>
            <w:r>
              <w:rPr>
                <w:rFonts w:hint="eastAsia"/>
                <w:color w:val="000000"/>
                <w:kern w:val="0"/>
              </w:rPr>
              <w:t>8,094.05</w:t>
            </w:r>
          </w:p>
        </w:tc>
        <w:tc>
          <w:tcPr>
            <w:tcW w:w="1561" w:type="dxa"/>
            <w:vAlign w:val="center"/>
          </w:tcPr>
          <w:p w14:paraId="2F2DF294" w14:textId="77777777" w:rsidR="004B0883" w:rsidRDefault="004B0883">
            <w:pPr>
              <w:adjustRightInd w:val="0"/>
              <w:snapToGrid w:val="0"/>
              <w:jc w:val="right"/>
              <w:rPr>
                <w:color w:val="000000"/>
                <w:kern w:val="0"/>
              </w:rPr>
            </w:pPr>
            <w:r>
              <w:rPr>
                <w:rFonts w:hint="eastAsia"/>
                <w:color w:val="000000"/>
                <w:kern w:val="0"/>
              </w:rPr>
              <w:t>4,618.52</w:t>
            </w:r>
          </w:p>
        </w:tc>
      </w:tr>
      <w:tr w:rsidR="004B0883" w14:paraId="076D8E88" w14:textId="77777777">
        <w:trPr>
          <w:trHeight w:val="397"/>
          <w:jc w:val="center"/>
        </w:trPr>
        <w:tc>
          <w:tcPr>
            <w:tcW w:w="1963" w:type="dxa"/>
            <w:vAlign w:val="center"/>
          </w:tcPr>
          <w:p w14:paraId="2E821A89" w14:textId="77777777" w:rsidR="004B0883" w:rsidRDefault="004B0883">
            <w:pPr>
              <w:adjustRightInd w:val="0"/>
              <w:snapToGrid w:val="0"/>
              <w:rPr>
                <w:color w:val="000000"/>
                <w:kern w:val="0"/>
              </w:rPr>
            </w:pPr>
            <w:r>
              <w:rPr>
                <w:color w:val="000000"/>
                <w:kern w:val="0"/>
              </w:rPr>
              <w:t xml:space="preserve">  </w:t>
            </w:r>
            <w:r>
              <w:rPr>
                <w:rFonts w:hint="eastAsia"/>
                <w:color w:val="000000"/>
                <w:kern w:val="0"/>
              </w:rPr>
              <w:t>交易性金融资产</w:t>
            </w:r>
          </w:p>
        </w:tc>
        <w:tc>
          <w:tcPr>
            <w:tcW w:w="1881" w:type="dxa"/>
            <w:vAlign w:val="center"/>
          </w:tcPr>
          <w:p w14:paraId="5040B7E2" w14:textId="77777777" w:rsidR="004B0883" w:rsidRDefault="004B0883">
            <w:pPr>
              <w:adjustRightInd w:val="0"/>
              <w:snapToGrid w:val="0"/>
              <w:jc w:val="right"/>
              <w:rPr>
                <w:color w:val="000000"/>
                <w:kern w:val="0"/>
              </w:rPr>
            </w:pPr>
            <w:r>
              <w:t>27,207.63</w:t>
            </w:r>
          </w:p>
        </w:tc>
        <w:tc>
          <w:tcPr>
            <w:tcW w:w="1561" w:type="dxa"/>
            <w:vAlign w:val="center"/>
          </w:tcPr>
          <w:p w14:paraId="5DDB4931" w14:textId="77777777" w:rsidR="004B0883" w:rsidRDefault="004B0883">
            <w:pPr>
              <w:adjustRightInd w:val="0"/>
              <w:snapToGrid w:val="0"/>
              <w:jc w:val="right"/>
              <w:rPr>
                <w:color w:val="000000"/>
                <w:kern w:val="0"/>
              </w:rPr>
            </w:pPr>
            <w:r>
              <w:rPr>
                <w:rFonts w:hint="eastAsia"/>
                <w:color w:val="000000"/>
                <w:kern w:val="0"/>
              </w:rPr>
              <w:t>15,180.85</w:t>
            </w:r>
          </w:p>
        </w:tc>
        <w:tc>
          <w:tcPr>
            <w:tcW w:w="1560" w:type="dxa"/>
            <w:vAlign w:val="center"/>
          </w:tcPr>
          <w:p w14:paraId="4093D2D0" w14:textId="77777777" w:rsidR="004B0883" w:rsidRDefault="004B0883">
            <w:pPr>
              <w:adjustRightInd w:val="0"/>
              <w:snapToGrid w:val="0"/>
              <w:jc w:val="right"/>
              <w:rPr>
                <w:color w:val="000000"/>
                <w:kern w:val="0"/>
              </w:rPr>
            </w:pPr>
            <w:r>
              <w:rPr>
                <w:rFonts w:hint="eastAsia"/>
                <w:color w:val="000000"/>
                <w:kern w:val="0"/>
              </w:rPr>
              <w:t>18,860.60</w:t>
            </w:r>
          </w:p>
        </w:tc>
        <w:tc>
          <w:tcPr>
            <w:tcW w:w="1561" w:type="dxa"/>
            <w:vAlign w:val="center"/>
          </w:tcPr>
          <w:p w14:paraId="020B52A1" w14:textId="77777777" w:rsidR="004B0883" w:rsidRDefault="004B0883">
            <w:pPr>
              <w:adjustRightInd w:val="0"/>
              <w:snapToGrid w:val="0"/>
              <w:jc w:val="right"/>
              <w:rPr>
                <w:color w:val="000000"/>
                <w:kern w:val="0"/>
              </w:rPr>
            </w:pPr>
            <w:r>
              <w:rPr>
                <w:rFonts w:hint="eastAsia"/>
                <w:color w:val="000000"/>
                <w:kern w:val="0"/>
              </w:rPr>
              <w:t>32,692.88</w:t>
            </w:r>
          </w:p>
        </w:tc>
      </w:tr>
      <w:tr w:rsidR="004B0883" w14:paraId="32F9AADF" w14:textId="77777777">
        <w:trPr>
          <w:trHeight w:val="397"/>
          <w:jc w:val="center"/>
        </w:trPr>
        <w:tc>
          <w:tcPr>
            <w:tcW w:w="1963" w:type="dxa"/>
            <w:vAlign w:val="center"/>
          </w:tcPr>
          <w:p w14:paraId="1101B90D" w14:textId="77777777" w:rsidR="004B0883" w:rsidRDefault="004B0883">
            <w:pPr>
              <w:adjustRightInd w:val="0"/>
              <w:snapToGrid w:val="0"/>
              <w:rPr>
                <w:color w:val="000000"/>
                <w:kern w:val="0"/>
              </w:rPr>
            </w:pPr>
            <w:r>
              <w:rPr>
                <w:color w:val="000000"/>
                <w:kern w:val="0"/>
              </w:rPr>
              <w:t xml:space="preserve">  </w:t>
            </w:r>
            <w:r>
              <w:rPr>
                <w:rFonts w:hint="eastAsia"/>
                <w:color w:val="000000"/>
                <w:kern w:val="0"/>
              </w:rPr>
              <w:t>应收票据</w:t>
            </w:r>
          </w:p>
        </w:tc>
        <w:tc>
          <w:tcPr>
            <w:tcW w:w="1881" w:type="dxa"/>
            <w:vAlign w:val="center"/>
          </w:tcPr>
          <w:p w14:paraId="0A24D054" w14:textId="77777777" w:rsidR="004B0883" w:rsidRDefault="004B0883">
            <w:pPr>
              <w:adjustRightInd w:val="0"/>
              <w:snapToGrid w:val="0"/>
              <w:jc w:val="right"/>
              <w:rPr>
                <w:color w:val="000000"/>
                <w:kern w:val="0"/>
              </w:rPr>
            </w:pPr>
            <w:r>
              <w:rPr>
                <w:rFonts w:hint="eastAsia"/>
                <w:color w:val="000000"/>
                <w:kern w:val="0"/>
              </w:rPr>
              <w:t>-</w:t>
            </w:r>
          </w:p>
        </w:tc>
        <w:tc>
          <w:tcPr>
            <w:tcW w:w="1561" w:type="dxa"/>
            <w:vAlign w:val="center"/>
          </w:tcPr>
          <w:p w14:paraId="4158DBFA" w14:textId="77777777" w:rsidR="004B0883" w:rsidRDefault="004B0883">
            <w:pPr>
              <w:adjustRightInd w:val="0"/>
              <w:snapToGrid w:val="0"/>
              <w:jc w:val="right"/>
              <w:rPr>
                <w:color w:val="000000"/>
                <w:kern w:val="0"/>
              </w:rPr>
            </w:pPr>
            <w:r>
              <w:rPr>
                <w:rFonts w:hint="eastAsia"/>
                <w:color w:val="000000"/>
                <w:kern w:val="0"/>
              </w:rPr>
              <w:t>22.49</w:t>
            </w:r>
          </w:p>
        </w:tc>
        <w:tc>
          <w:tcPr>
            <w:tcW w:w="1560" w:type="dxa"/>
            <w:vAlign w:val="center"/>
          </w:tcPr>
          <w:p w14:paraId="08FBE386" w14:textId="77777777" w:rsidR="004B0883" w:rsidRDefault="004B0883">
            <w:pPr>
              <w:adjustRightInd w:val="0"/>
              <w:snapToGrid w:val="0"/>
              <w:jc w:val="right"/>
              <w:rPr>
                <w:color w:val="000000"/>
                <w:kern w:val="0"/>
              </w:rPr>
            </w:pPr>
            <w:r>
              <w:rPr>
                <w:rFonts w:hint="eastAsia"/>
                <w:color w:val="000000"/>
                <w:kern w:val="0"/>
              </w:rPr>
              <w:t>-</w:t>
            </w:r>
          </w:p>
        </w:tc>
        <w:tc>
          <w:tcPr>
            <w:tcW w:w="1561" w:type="dxa"/>
            <w:vAlign w:val="center"/>
          </w:tcPr>
          <w:p w14:paraId="42543172" w14:textId="77777777" w:rsidR="004B0883" w:rsidRDefault="004B0883">
            <w:pPr>
              <w:adjustRightInd w:val="0"/>
              <w:snapToGrid w:val="0"/>
              <w:jc w:val="right"/>
              <w:rPr>
                <w:color w:val="000000"/>
                <w:kern w:val="0"/>
              </w:rPr>
            </w:pPr>
            <w:r>
              <w:rPr>
                <w:rFonts w:hint="eastAsia"/>
                <w:color w:val="000000"/>
                <w:kern w:val="0"/>
              </w:rPr>
              <w:t>-</w:t>
            </w:r>
          </w:p>
        </w:tc>
      </w:tr>
      <w:tr w:rsidR="004B0883" w14:paraId="1E2216E9" w14:textId="77777777">
        <w:trPr>
          <w:trHeight w:val="397"/>
          <w:jc w:val="center"/>
        </w:trPr>
        <w:tc>
          <w:tcPr>
            <w:tcW w:w="1963" w:type="dxa"/>
            <w:vAlign w:val="center"/>
          </w:tcPr>
          <w:p w14:paraId="2F1CF94A" w14:textId="77777777" w:rsidR="004B0883" w:rsidRDefault="004B0883">
            <w:pPr>
              <w:adjustRightInd w:val="0"/>
              <w:snapToGrid w:val="0"/>
              <w:rPr>
                <w:color w:val="000000"/>
                <w:kern w:val="0"/>
              </w:rPr>
            </w:pPr>
            <w:r>
              <w:rPr>
                <w:color w:val="000000"/>
                <w:kern w:val="0"/>
              </w:rPr>
              <w:t xml:space="preserve">  </w:t>
            </w:r>
            <w:r>
              <w:rPr>
                <w:rFonts w:hint="eastAsia"/>
                <w:color w:val="000000"/>
                <w:kern w:val="0"/>
              </w:rPr>
              <w:t>应收账款</w:t>
            </w:r>
          </w:p>
        </w:tc>
        <w:tc>
          <w:tcPr>
            <w:tcW w:w="1881" w:type="dxa"/>
            <w:vAlign w:val="center"/>
          </w:tcPr>
          <w:p w14:paraId="05946247" w14:textId="77777777" w:rsidR="004B0883" w:rsidRDefault="004B0883">
            <w:pPr>
              <w:adjustRightInd w:val="0"/>
              <w:snapToGrid w:val="0"/>
              <w:jc w:val="right"/>
              <w:rPr>
                <w:color w:val="000000"/>
                <w:kern w:val="0"/>
              </w:rPr>
            </w:pPr>
            <w:r>
              <w:t>8,363.33</w:t>
            </w:r>
          </w:p>
        </w:tc>
        <w:tc>
          <w:tcPr>
            <w:tcW w:w="1561" w:type="dxa"/>
            <w:vAlign w:val="center"/>
          </w:tcPr>
          <w:p w14:paraId="288B01D4" w14:textId="77777777" w:rsidR="004B0883" w:rsidRDefault="004B0883">
            <w:pPr>
              <w:adjustRightInd w:val="0"/>
              <w:snapToGrid w:val="0"/>
              <w:jc w:val="right"/>
              <w:rPr>
                <w:color w:val="000000"/>
                <w:kern w:val="0"/>
              </w:rPr>
            </w:pPr>
            <w:r>
              <w:rPr>
                <w:rFonts w:hint="eastAsia"/>
                <w:color w:val="000000"/>
                <w:kern w:val="0"/>
              </w:rPr>
              <w:t>7,456.77</w:t>
            </w:r>
          </w:p>
        </w:tc>
        <w:tc>
          <w:tcPr>
            <w:tcW w:w="1560" w:type="dxa"/>
            <w:vAlign w:val="center"/>
          </w:tcPr>
          <w:p w14:paraId="77D1F927" w14:textId="77777777" w:rsidR="004B0883" w:rsidRDefault="004B0883">
            <w:pPr>
              <w:adjustRightInd w:val="0"/>
              <w:snapToGrid w:val="0"/>
              <w:jc w:val="right"/>
              <w:rPr>
                <w:color w:val="000000"/>
                <w:kern w:val="0"/>
              </w:rPr>
            </w:pPr>
            <w:r>
              <w:rPr>
                <w:rFonts w:hint="eastAsia"/>
                <w:color w:val="000000"/>
                <w:kern w:val="0"/>
              </w:rPr>
              <w:t>6,406.48</w:t>
            </w:r>
          </w:p>
        </w:tc>
        <w:tc>
          <w:tcPr>
            <w:tcW w:w="1561" w:type="dxa"/>
            <w:vAlign w:val="center"/>
          </w:tcPr>
          <w:p w14:paraId="4D5056E3" w14:textId="77777777" w:rsidR="004B0883" w:rsidRDefault="004B0883">
            <w:pPr>
              <w:adjustRightInd w:val="0"/>
              <w:snapToGrid w:val="0"/>
              <w:jc w:val="right"/>
              <w:rPr>
                <w:color w:val="000000"/>
                <w:kern w:val="0"/>
              </w:rPr>
            </w:pPr>
            <w:r>
              <w:rPr>
                <w:rFonts w:hint="eastAsia"/>
                <w:color w:val="000000"/>
                <w:kern w:val="0"/>
              </w:rPr>
              <w:t>3,870.97</w:t>
            </w:r>
          </w:p>
        </w:tc>
      </w:tr>
      <w:tr w:rsidR="004B0883" w14:paraId="12D720BF" w14:textId="77777777">
        <w:trPr>
          <w:trHeight w:val="397"/>
          <w:jc w:val="center"/>
        </w:trPr>
        <w:tc>
          <w:tcPr>
            <w:tcW w:w="1963" w:type="dxa"/>
            <w:vAlign w:val="center"/>
          </w:tcPr>
          <w:p w14:paraId="1CD5B752" w14:textId="77777777" w:rsidR="004B0883" w:rsidRDefault="004B0883">
            <w:pPr>
              <w:adjustRightInd w:val="0"/>
              <w:snapToGrid w:val="0"/>
              <w:rPr>
                <w:color w:val="000000"/>
                <w:kern w:val="0"/>
              </w:rPr>
            </w:pPr>
            <w:r>
              <w:rPr>
                <w:color w:val="000000"/>
                <w:kern w:val="0"/>
              </w:rPr>
              <w:t xml:space="preserve">  </w:t>
            </w:r>
            <w:r>
              <w:rPr>
                <w:rFonts w:hint="eastAsia"/>
                <w:color w:val="000000"/>
                <w:kern w:val="0"/>
              </w:rPr>
              <w:t>应收款项融资</w:t>
            </w:r>
          </w:p>
        </w:tc>
        <w:tc>
          <w:tcPr>
            <w:tcW w:w="1881" w:type="dxa"/>
            <w:vAlign w:val="center"/>
          </w:tcPr>
          <w:p w14:paraId="4DE693FD" w14:textId="77777777" w:rsidR="004B0883" w:rsidRDefault="004B0883">
            <w:pPr>
              <w:adjustRightInd w:val="0"/>
              <w:snapToGrid w:val="0"/>
              <w:jc w:val="right"/>
              <w:rPr>
                <w:color w:val="000000"/>
                <w:kern w:val="0"/>
              </w:rPr>
            </w:pPr>
            <w:r>
              <w:t>106.06</w:t>
            </w:r>
          </w:p>
        </w:tc>
        <w:tc>
          <w:tcPr>
            <w:tcW w:w="1561" w:type="dxa"/>
            <w:vAlign w:val="center"/>
          </w:tcPr>
          <w:p w14:paraId="21C82A87" w14:textId="77777777" w:rsidR="004B0883" w:rsidRDefault="004B0883">
            <w:pPr>
              <w:adjustRightInd w:val="0"/>
              <w:snapToGrid w:val="0"/>
              <w:jc w:val="right"/>
              <w:rPr>
                <w:color w:val="000000"/>
                <w:kern w:val="0"/>
              </w:rPr>
            </w:pPr>
            <w:r>
              <w:rPr>
                <w:rFonts w:hint="eastAsia"/>
                <w:color w:val="000000"/>
                <w:kern w:val="0"/>
              </w:rPr>
              <w:t>13.00</w:t>
            </w:r>
          </w:p>
        </w:tc>
        <w:tc>
          <w:tcPr>
            <w:tcW w:w="1560" w:type="dxa"/>
            <w:vAlign w:val="center"/>
          </w:tcPr>
          <w:p w14:paraId="171439D0" w14:textId="77777777" w:rsidR="004B0883" w:rsidRDefault="004B0883">
            <w:pPr>
              <w:adjustRightInd w:val="0"/>
              <w:snapToGrid w:val="0"/>
              <w:jc w:val="right"/>
              <w:rPr>
                <w:color w:val="000000"/>
                <w:kern w:val="0"/>
              </w:rPr>
            </w:pPr>
            <w:r>
              <w:rPr>
                <w:rFonts w:hint="eastAsia"/>
                <w:color w:val="000000"/>
                <w:kern w:val="0"/>
              </w:rPr>
              <w:t>1,155.00</w:t>
            </w:r>
          </w:p>
        </w:tc>
        <w:tc>
          <w:tcPr>
            <w:tcW w:w="1561" w:type="dxa"/>
            <w:vAlign w:val="center"/>
          </w:tcPr>
          <w:p w14:paraId="7DFA9FF3" w14:textId="77777777" w:rsidR="004B0883" w:rsidRDefault="004B0883">
            <w:pPr>
              <w:adjustRightInd w:val="0"/>
              <w:snapToGrid w:val="0"/>
              <w:jc w:val="right"/>
              <w:rPr>
                <w:color w:val="000000"/>
                <w:kern w:val="0"/>
              </w:rPr>
            </w:pPr>
            <w:r>
              <w:rPr>
                <w:rFonts w:hint="eastAsia"/>
                <w:color w:val="000000"/>
                <w:kern w:val="0"/>
              </w:rPr>
              <w:t>78.84</w:t>
            </w:r>
          </w:p>
        </w:tc>
      </w:tr>
      <w:tr w:rsidR="004B0883" w14:paraId="095011E9" w14:textId="77777777">
        <w:trPr>
          <w:trHeight w:val="397"/>
          <w:jc w:val="center"/>
        </w:trPr>
        <w:tc>
          <w:tcPr>
            <w:tcW w:w="1963" w:type="dxa"/>
            <w:vAlign w:val="center"/>
          </w:tcPr>
          <w:p w14:paraId="620FEF6A" w14:textId="77777777" w:rsidR="004B0883" w:rsidRDefault="004B0883">
            <w:pPr>
              <w:adjustRightInd w:val="0"/>
              <w:snapToGrid w:val="0"/>
              <w:rPr>
                <w:color w:val="000000"/>
                <w:kern w:val="0"/>
              </w:rPr>
            </w:pPr>
            <w:r>
              <w:rPr>
                <w:color w:val="000000"/>
                <w:kern w:val="0"/>
              </w:rPr>
              <w:t xml:space="preserve">  </w:t>
            </w:r>
            <w:r>
              <w:rPr>
                <w:rFonts w:hint="eastAsia"/>
                <w:color w:val="000000"/>
                <w:kern w:val="0"/>
              </w:rPr>
              <w:t>预付款项</w:t>
            </w:r>
          </w:p>
        </w:tc>
        <w:tc>
          <w:tcPr>
            <w:tcW w:w="1881" w:type="dxa"/>
            <w:vAlign w:val="center"/>
          </w:tcPr>
          <w:p w14:paraId="18609FE9" w14:textId="77777777" w:rsidR="004B0883" w:rsidRDefault="004B0883">
            <w:pPr>
              <w:adjustRightInd w:val="0"/>
              <w:snapToGrid w:val="0"/>
              <w:jc w:val="right"/>
              <w:rPr>
                <w:color w:val="000000"/>
                <w:kern w:val="0"/>
              </w:rPr>
            </w:pPr>
            <w:r>
              <w:t>7,434.37</w:t>
            </w:r>
          </w:p>
        </w:tc>
        <w:tc>
          <w:tcPr>
            <w:tcW w:w="1561" w:type="dxa"/>
            <w:vAlign w:val="center"/>
          </w:tcPr>
          <w:p w14:paraId="4DE35E6C" w14:textId="77777777" w:rsidR="004B0883" w:rsidRDefault="004B0883">
            <w:pPr>
              <w:adjustRightInd w:val="0"/>
              <w:snapToGrid w:val="0"/>
              <w:jc w:val="right"/>
              <w:rPr>
                <w:color w:val="000000"/>
                <w:kern w:val="0"/>
              </w:rPr>
            </w:pPr>
            <w:r>
              <w:rPr>
                <w:rFonts w:hint="eastAsia"/>
                <w:color w:val="000000"/>
                <w:kern w:val="0"/>
              </w:rPr>
              <w:t>8,554.38</w:t>
            </w:r>
          </w:p>
        </w:tc>
        <w:tc>
          <w:tcPr>
            <w:tcW w:w="1560" w:type="dxa"/>
            <w:vAlign w:val="center"/>
          </w:tcPr>
          <w:p w14:paraId="26AA3897" w14:textId="77777777" w:rsidR="004B0883" w:rsidRDefault="004B0883">
            <w:pPr>
              <w:adjustRightInd w:val="0"/>
              <w:snapToGrid w:val="0"/>
              <w:jc w:val="right"/>
              <w:rPr>
                <w:color w:val="000000"/>
                <w:kern w:val="0"/>
              </w:rPr>
            </w:pPr>
            <w:r>
              <w:rPr>
                <w:rFonts w:hint="eastAsia"/>
                <w:color w:val="000000"/>
                <w:kern w:val="0"/>
              </w:rPr>
              <w:t>10,024.32</w:t>
            </w:r>
          </w:p>
        </w:tc>
        <w:tc>
          <w:tcPr>
            <w:tcW w:w="1561" w:type="dxa"/>
            <w:vAlign w:val="center"/>
          </w:tcPr>
          <w:p w14:paraId="6B49CD26" w14:textId="77777777" w:rsidR="004B0883" w:rsidRDefault="004B0883">
            <w:pPr>
              <w:adjustRightInd w:val="0"/>
              <w:snapToGrid w:val="0"/>
              <w:jc w:val="right"/>
              <w:rPr>
                <w:color w:val="000000"/>
                <w:kern w:val="0"/>
              </w:rPr>
            </w:pPr>
            <w:r>
              <w:rPr>
                <w:rFonts w:hint="eastAsia"/>
                <w:color w:val="000000"/>
                <w:kern w:val="0"/>
              </w:rPr>
              <w:t>7,636.72</w:t>
            </w:r>
          </w:p>
        </w:tc>
      </w:tr>
      <w:tr w:rsidR="004B0883" w14:paraId="177B67B3" w14:textId="77777777">
        <w:trPr>
          <w:trHeight w:val="397"/>
          <w:jc w:val="center"/>
        </w:trPr>
        <w:tc>
          <w:tcPr>
            <w:tcW w:w="1963" w:type="dxa"/>
            <w:vAlign w:val="center"/>
          </w:tcPr>
          <w:p w14:paraId="5FCBC8B9" w14:textId="77777777" w:rsidR="004B0883" w:rsidRDefault="004B0883">
            <w:pPr>
              <w:adjustRightInd w:val="0"/>
              <w:snapToGrid w:val="0"/>
              <w:rPr>
                <w:color w:val="000000"/>
                <w:kern w:val="0"/>
              </w:rPr>
            </w:pPr>
            <w:r>
              <w:rPr>
                <w:color w:val="000000"/>
                <w:kern w:val="0"/>
              </w:rPr>
              <w:t xml:space="preserve">  </w:t>
            </w:r>
            <w:r>
              <w:rPr>
                <w:rFonts w:hint="eastAsia"/>
                <w:color w:val="000000"/>
                <w:kern w:val="0"/>
              </w:rPr>
              <w:t>其他应收款</w:t>
            </w:r>
          </w:p>
        </w:tc>
        <w:tc>
          <w:tcPr>
            <w:tcW w:w="1881" w:type="dxa"/>
            <w:vAlign w:val="center"/>
          </w:tcPr>
          <w:p w14:paraId="27E03A13" w14:textId="77777777" w:rsidR="004B0883" w:rsidRDefault="004B0883">
            <w:pPr>
              <w:adjustRightInd w:val="0"/>
              <w:snapToGrid w:val="0"/>
              <w:jc w:val="right"/>
              <w:rPr>
                <w:color w:val="000000"/>
                <w:kern w:val="0"/>
              </w:rPr>
            </w:pPr>
            <w:r>
              <w:t>2,387.85</w:t>
            </w:r>
          </w:p>
        </w:tc>
        <w:tc>
          <w:tcPr>
            <w:tcW w:w="1561" w:type="dxa"/>
            <w:vAlign w:val="center"/>
          </w:tcPr>
          <w:p w14:paraId="6020AEB6" w14:textId="77777777" w:rsidR="004B0883" w:rsidRDefault="004B0883">
            <w:pPr>
              <w:adjustRightInd w:val="0"/>
              <w:snapToGrid w:val="0"/>
              <w:jc w:val="right"/>
              <w:rPr>
                <w:color w:val="000000"/>
                <w:kern w:val="0"/>
              </w:rPr>
            </w:pPr>
            <w:r>
              <w:rPr>
                <w:rFonts w:hint="eastAsia"/>
                <w:color w:val="000000"/>
                <w:kern w:val="0"/>
              </w:rPr>
              <w:t>2,296.70</w:t>
            </w:r>
          </w:p>
        </w:tc>
        <w:tc>
          <w:tcPr>
            <w:tcW w:w="1560" w:type="dxa"/>
            <w:vAlign w:val="center"/>
          </w:tcPr>
          <w:p w14:paraId="60DB64B7" w14:textId="77777777" w:rsidR="004B0883" w:rsidRDefault="004B0883">
            <w:pPr>
              <w:adjustRightInd w:val="0"/>
              <w:snapToGrid w:val="0"/>
              <w:jc w:val="right"/>
              <w:rPr>
                <w:color w:val="000000"/>
                <w:kern w:val="0"/>
              </w:rPr>
            </w:pPr>
            <w:r>
              <w:rPr>
                <w:rFonts w:hint="eastAsia"/>
                <w:color w:val="000000"/>
                <w:kern w:val="0"/>
              </w:rPr>
              <w:t>1,976.08</w:t>
            </w:r>
          </w:p>
        </w:tc>
        <w:tc>
          <w:tcPr>
            <w:tcW w:w="1561" w:type="dxa"/>
            <w:vAlign w:val="center"/>
          </w:tcPr>
          <w:p w14:paraId="5BB3B032" w14:textId="77777777" w:rsidR="004B0883" w:rsidRDefault="004B0883">
            <w:pPr>
              <w:adjustRightInd w:val="0"/>
              <w:snapToGrid w:val="0"/>
              <w:jc w:val="right"/>
              <w:rPr>
                <w:color w:val="000000"/>
                <w:kern w:val="0"/>
              </w:rPr>
            </w:pPr>
            <w:r>
              <w:rPr>
                <w:rFonts w:hint="eastAsia"/>
                <w:color w:val="000000"/>
                <w:kern w:val="0"/>
              </w:rPr>
              <w:t>2,300.83</w:t>
            </w:r>
          </w:p>
        </w:tc>
      </w:tr>
      <w:tr w:rsidR="004B0883" w14:paraId="3532217F" w14:textId="77777777">
        <w:trPr>
          <w:trHeight w:val="397"/>
          <w:jc w:val="center"/>
        </w:trPr>
        <w:tc>
          <w:tcPr>
            <w:tcW w:w="1963" w:type="dxa"/>
            <w:vAlign w:val="center"/>
          </w:tcPr>
          <w:p w14:paraId="74460954" w14:textId="77777777" w:rsidR="004B0883" w:rsidRDefault="004B0883">
            <w:pPr>
              <w:adjustRightInd w:val="0"/>
              <w:snapToGrid w:val="0"/>
              <w:rPr>
                <w:color w:val="000000"/>
                <w:kern w:val="0"/>
              </w:rPr>
            </w:pPr>
            <w:r>
              <w:rPr>
                <w:color w:val="000000"/>
                <w:kern w:val="0"/>
              </w:rPr>
              <w:t xml:space="preserve">  </w:t>
            </w:r>
            <w:r>
              <w:rPr>
                <w:rFonts w:hint="eastAsia"/>
                <w:color w:val="000000"/>
                <w:kern w:val="0"/>
              </w:rPr>
              <w:t>存货</w:t>
            </w:r>
          </w:p>
        </w:tc>
        <w:tc>
          <w:tcPr>
            <w:tcW w:w="1881" w:type="dxa"/>
            <w:vAlign w:val="center"/>
          </w:tcPr>
          <w:p w14:paraId="3DE0CA69" w14:textId="77777777" w:rsidR="004B0883" w:rsidRDefault="004B0883">
            <w:pPr>
              <w:adjustRightInd w:val="0"/>
              <w:snapToGrid w:val="0"/>
              <w:jc w:val="right"/>
              <w:rPr>
                <w:color w:val="000000"/>
                <w:kern w:val="0"/>
              </w:rPr>
            </w:pPr>
            <w:r>
              <w:rPr>
                <w:color w:val="000000"/>
                <w:kern w:val="0"/>
              </w:rPr>
              <w:t>4,860.28</w:t>
            </w:r>
          </w:p>
        </w:tc>
        <w:tc>
          <w:tcPr>
            <w:tcW w:w="1561" w:type="dxa"/>
            <w:vAlign w:val="center"/>
          </w:tcPr>
          <w:p w14:paraId="73C1F163" w14:textId="77777777" w:rsidR="004B0883" w:rsidRDefault="004B0883">
            <w:pPr>
              <w:adjustRightInd w:val="0"/>
              <w:snapToGrid w:val="0"/>
              <w:jc w:val="right"/>
              <w:rPr>
                <w:color w:val="000000"/>
                <w:kern w:val="0"/>
              </w:rPr>
            </w:pPr>
            <w:r>
              <w:rPr>
                <w:rFonts w:hint="eastAsia"/>
                <w:color w:val="000000"/>
                <w:kern w:val="0"/>
              </w:rPr>
              <w:t>5,404.43</w:t>
            </w:r>
          </w:p>
        </w:tc>
        <w:tc>
          <w:tcPr>
            <w:tcW w:w="1560" w:type="dxa"/>
            <w:vAlign w:val="center"/>
          </w:tcPr>
          <w:p w14:paraId="72565B99" w14:textId="77777777" w:rsidR="004B0883" w:rsidRDefault="004B0883">
            <w:pPr>
              <w:adjustRightInd w:val="0"/>
              <w:snapToGrid w:val="0"/>
              <w:jc w:val="right"/>
              <w:rPr>
                <w:color w:val="000000"/>
                <w:kern w:val="0"/>
              </w:rPr>
            </w:pPr>
            <w:r>
              <w:rPr>
                <w:rFonts w:hint="eastAsia"/>
                <w:color w:val="000000"/>
                <w:kern w:val="0"/>
              </w:rPr>
              <w:t>5,304.89</w:t>
            </w:r>
          </w:p>
        </w:tc>
        <w:tc>
          <w:tcPr>
            <w:tcW w:w="1561" w:type="dxa"/>
            <w:vAlign w:val="center"/>
          </w:tcPr>
          <w:p w14:paraId="7604E780" w14:textId="77777777" w:rsidR="004B0883" w:rsidRDefault="004B0883">
            <w:pPr>
              <w:adjustRightInd w:val="0"/>
              <w:snapToGrid w:val="0"/>
              <w:jc w:val="right"/>
              <w:rPr>
                <w:color w:val="000000"/>
                <w:kern w:val="0"/>
              </w:rPr>
            </w:pPr>
            <w:r>
              <w:rPr>
                <w:rFonts w:hint="eastAsia"/>
                <w:color w:val="000000"/>
                <w:kern w:val="0"/>
              </w:rPr>
              <w:t>3,078.15</w:t>
            </w:r>
          </w:p>
        </w:tc>
      </w:tr>
      <w:tr w:rsidR="004B0883" w14:paraId="25F21DCC" w14:textId="77777777">
        <w:trPr>
          <w:trHeight w:val="397"/>
          <w:jc w:val="center"/>
        </w:trPr>
        <w:tc>
          <w:tcPr>
            <w:tcW w:w="1963" w:type="dxa"/>
            <w:vAlign w:val="center"/>
          </w:tcPr>
          <w:p w14:paraId="5F3BD2B0" w14:textId="77777777" w:rsidR="004B0883" w:rsidRDefault="004B0883">
            <w:pPr>
              <w:adjustRightInd w:val="0"/>
              <w:snapToGrid w:val="0"/>
              <w:rPr>
                <w:color w:val="000000"/>
                <w:kern w:val="0"/>
              </w:rPr>
            </w:pPr>
            <w:r>
              <w:rPr>
                <w:color w:val="000000"/>
                <w:kern w:val="0"/>
              </w:rPr>
              <w:t xml:space="preserve">  </w:t>
            </w:r>
            <w:r>
              <w:rPr>
                <w:rFonts w:hint="eastAsia"/>
                <w:color w:val="000000"/>
                <w:kern w:val="0"/>
              </w:rPr>
              <w:t>其他流动资产</w:t>
            </w:r>
          </w:p>
        </w:tc>
        <w:tc>
          <w:tcPr>
            <w:tcW w:w="1881" w:type="dxa"/>
            <w:vAlign w:val="center"/>
          </w:tcPr>
          <w:p w14:paraId="150E83B4" w14:textId="77777777" w:rsidR="004B0883" w:rsidRDefault="004B0883">
            <w:pPr>
              <w:adjustRightInd w:val="0"/>
              <w:snapToGrid w:val="0"/>
              <w:jc w:val="right"/>
              <w:rPr>
                <w:color w:val="000000"/>
                <w:kern w:val="0"/>
              </w:rPr>
            </w:pPr>
            <w:r>
              <w:t>3,169.10</w:t>
            </w:r>
          </w:p>
        </w:tc>
        <w:tc>
          <w:tcPr>
            <w:tcW w:w="1561" w:type="dxa"/>
            <w:vAlign w:val="center"/>
          </w:tcPr>
          <w:p w14:paraId="68DF5B18" w14:textId="77777777" w:rsidR="004B0883" w:rsidRDefault="004B0883">
            <w:pPr>
              <w:adjustRightInd w:val="0"/>
              <w:snapToGrid w:val="0"/>
              <w:jc w:val="right"/>
              <w:rPr>
                <w:color w:val="000000"/>
                <w:kern w:val="0"/>
              </w:rPr>
            </w:pPr>
            <w:r>
              <w:rPr>
                <w:rFonts w:hint="eastAsia"/>
                <w:color w:val="000000"/>
                <w:kern w:val="0"/>
              </w:rPr>
              <w:t>6,232.82</w:t>
            </w:r>
          </w:p>
        </w:tc>
        <w:tc>
          <w:tcPr>
            <w:tcW w:w="1560" w:type="dxa"/>
            <w:vAlign w:val="center"/>
          </w:tcPr>
          <w:p w14:paraId="5BB6853A" w14:textId="77777777" w:rsidR="004B0883" w:rsidRDefault="004B0883">
            <w:pPr>
              <w:adjustRightInd w:val="0"/>
              <w:snapToGrid w:val="0"/>
              <w:jc w:val="right"/>
              <w:rPr>
                <w:color w:val="000000"/>
                <w:kern w:val="0"/>
              </w:rPr>
            </w:pPr>
            <w:r>
              <w:rPr>
                <w:rFonts w:hint="eastAsia"/>
                <w:color w:val="000000"/>
                <w:kern w:val="0"/>
              </w:rPr>
              <w:t>8,113.04</w:t>
            </w:r>
          </w:p>
        </w:tc>
        <w:tc>
          <w:tcPr>
            <w:tcW w:w="1561" w:type="dxa"/>
            <w:vAlign w:val="center"/>
          </w:tcPr>
          <w:p w14:paraId="0421F64A" w14:textId="77777777" w:rsidR="004B0883" w:rsidRDefault="004B0883">
            <w:pPr>
              <w:adjustRightInd w:val="0"/>
              <w:snapToGrid w:val="0"/>
              <w:jc w:val="right"/>
              <w:rPr>
                <w:color w:val="000000"/>
                <w:kern w:val="0"/>
              </w:rPr>
            </w:pPr>
            <w:r>
              <w:rPr>
                <w:rFonts w:hint="eastAsia"/>
                <w:color w:val="000000"/>
                <w:kern w:val="0"/>
              </w:rPr>
              <w:t>3,101.19</w:t>
            </w:r>
          </w:p>
        </w:tc>
      </w:tr>
      <w:tr w:rsidR="004B0883" w14:paraId="1EA1E374" w14:textId="77777777">
        <w:trPr>
          <w:trHeight w:val="397"/>
          <w:jc w:val="center"/>
        </w:trPr>
        <w:tc>
          <w:tcPr>
            <w:tcW w:w="1963" w:type="dxa"/>
            <w:vAlign w:val="center"/>
          </w:tcPr>
          <w:p w14:paraId="546DD554" w14:textId="77777777" w:rsidR="004B0883" w:rsidRDefault="004B0883">
            <w:pPr>
              <w:adjustRightInd w:val="0"/>
              <w:snapToGrid w:val="0"/>
              <w:rPr>
                <w:b/>
                <w:bCs/>
                <w:color w:val="000000"/>
                <w:kern w:val="0"/>
              </w:rPr>
            </w:pPr>
            <w:r>
              <w:rPr>
                <w:b/>
                <w:bCs/>
                <w:color w:val="000000"/>
                <w:kern w:val="0"/>
              </w:rPr>
              <w:t>流动资产合计</w:t>
            </w:r>
            <w:r>
              <w:rPr>
                <w:b/>
                <w:bCs/>
                <w:color w:val="000000"/>
                <w:kern w:val="0"/>
              </w:rPr>
              <w:t xml:space="preserve"> </w:t>
            </w:r>
          </w:p>
        </w:tc>
        <w:tc>
          <w:tcPr>
            <w:tcW w:w="1881" w:type="dxa"/>
            <w:vAlign w:val="center"/>
          </w:tcPr>
          <w:p w14:paraId="149DD687" w14:textId="77777777" w:rsidR="004B0883" w:rsidRDefault="004B0883">
            <w:pPr>
              <w:adjustRightInd w:val="0"/>
              <w:snapToGrid w:val="0"/>
              <w:jc w:val="right"/>
              <w:rPr>
                <w:b/>
                <w:bCs/>
                <w:color w:val="000000"/>
                <w:kern w:val="0"/>
              </w:rPr>
            </w:pPr>
            <w:r>
              <w:rPr>
                <w:b/>
                <w:bCs/>
              </w:rPr>
              <w:t>56,779.49</w:t>
            </w:r>
          </w:p>
        </w:tc>
        <w:tc>
          <w:tcPr>
            <w:tcW w:w="1561" w:type="dxa"/>
            <w:vAlign w:val="center"/>
          </w:tcPr>
          <w:p w14:paraId="063BB8D0" w14:textId="77777777" w:rsidR="004B0883" w:rsidRDefault="004B0883">
            <w:pPr>
              <w:adjustRightInd w:val="0"/>
              <w:snapToGrid w:val="0"/>
              <w:jc w:val="right"/>
              <w:rPr>
                <w:b/>
                <w:bCs/>
                <w:color w:val="000000"/>
                <w:kern w:val="0"/>
              </w:rPr>
            </w:pPr>
            <w:r>
              <w:rPr>
                <w:rFonts w:hint="eastAsia"/>
                <w:b/>
                <w:bCs/>
                <w:color w:val="000000"/>
                <w:kern w:val="0"/>
              </w:rPr>
              <w:t>60,926.63</w:t>
            </w:r>
          </w:p>
        </w:tc>
        <w:tc>
          <w:tcPr>
            <w:tcW w:w="1560" w:type="dxa"/>
            <w:vAlign w:val="center"/>
          </w:tcPr>
          <w:p w14:paraId="3C2DA6C8" w14:textId="77777777" w:rsidR="004B0883" w:rsidRDefault="004B0883">
            <w:pPr>
              <w:adjustRightInd w:val="0"/>
              <w:snapToGrid w:val="0"/>
              <w:jc w:val="right"/>
              <w:rPr>
                <w:b/>
                <w:bCs/>
                <w:color w:val="000000"/>
                <w:kern w:val="0"/>
              </w:rPr>
            </w:pPr>
            <w:r>
              <w:rPr>
                <w:rFonts w:hint="eastAsia"/>
                <w:b/>
                <w:bCs/>
                <w:color w:val="000000"/>
                <w:kern w:val="0"/>
              </w:rPr>
              <w:t>59,934.47</w:t>
            </w:r>
          </w:p>
        </w:tc>
        <w:tc>
          <w:tcPr>
            <w:tcW w:w="1561" w:type="dxa"/>
            <w:vAlign w:val="center"/>
          </w:tcPr>
          <w:p w14:paraId="3E64085E" w14:textId="77777777" w:rsidR="004B0883" w:rsidRDefault="004B0883">
            <w:pPr>
              <w:adjustRightInd w:val="0"/>
              <w:snapToGrid w:val="0"/>
              <w:jc w:val="right"/>
              <w:rPr>
                <w:b/>
                <w:bCs/>
                <w:color w:val="000000"/>
                <w:kern w:val="0"/>
              </w:rPr>
            </w:pPr>
            <w:r>
              <w:rPr>
                <w:rFonts w:hint="eastAsia"/>
                <w:b/>
                <w:bCs/>
                <w:color w:val="000000"/>
                <w:kern w:val="0"/>
              </w:rPr>
              <w:t>57,378.11</w:t>
            </w:r>
          </w:p>
        </w:tc>
      </w:tr>
      <w:tr w:rsidR="004B0883" w14:paraId="0AF687AA" w14:textId="77777777">
        <w:trPr>
          <w:trHeight w:val="397"/>
          <w:jc w:val="center"/>
        </w:trPr>
        <w:tc>
          <w:tcPr>
            <w:tcW w:w="1963" w:type="dxa"/>
            <w:vAlign w:val="center"/>
          </w:tcPr>
          <w:p w14:paraId="439FA2CC" w14:textId="77777777" w:rsidR="004B0883" w:rsidRDefault="004B0883">
            <w:pPr>
              <w:adjustRightInd w:val="0"/>
              <w:snapToGrid w:val="0"/>
              <w:rPr>
                <w:b/>
                <w:bCs/>
                <w:color w:val="000000"/>
                <w:kern w:val="0"/>
              </w:rPr>
            </w:pPr>
            <w:r>
              <w:rPr>
                <w:b/>
                <w:bCs/>
                <w:color w:val="000000"/>
                <w:kern w:val="0"/>
              </w:rPr>
              <w:t>非流动资产：</w:t>
            </w:r>
            <w:r>
              <w:rPr>
                <w:b/>
                <w:bCs/>
                <w:color w:val="000000"/>
                <w:kern w:val="0"/>
              </w:rPr>
              <w:t xml:space="preserve"> </w:t>
            </w:r>
          </w:p>
        </w:tc>
        <w:tc>
          <w:tcPr>
            <w:tcW w:w="1881" w:type="dxa"/>
            <w:vAlign w:val="center"/>
          </w:tcPr>
          <w:p w14:paraId="5E3534CA" w14:textId="77777777" w:rsidR="004B0883" w:rsidRDefault="004B0883">
            <w:pPr>
              <w:adjustRightInd w:val="0"/>
              <w:snapToGrid w:val="0"/>
              <w:jc w:val="right"/>
              <w:rPr>
                <w:b/>
                <w:bCs/>
                <w:color w:val="000000"/>
                <w:kern w:val="0"/>
              </w:rPr>
            </w:pPr>
          </w:p>
        </w:tc>
        <w:tc>
          <w:tcPr>
            <w:tcW w:w="1561" w:type="dxa"/>
            <w:vAlign w:val="center"/>
          </w:tcPr>
          <w:p w14:paraId="3A370A91" w14:textId="77777777" w:rsidR="004B0883" w:rsidRDefault="004B0883">
            <w:pPr>
              <w:adjustRightInd w:val="0"/>
              <w:snapToGrid w:val="0"/>
              <w:jc w:val="right"/>
              <w:rPr>
                <w:color w:val="000000"/>
                <w:kern w:val="0"/>
              </w:rPr>
            </w:pPr>
          </w:p>
        </w:tc>
        <w:tc>
          <w:tcPr>
            <w:tcW w:w="1560" w:type="dxa"/>
            <w:vAlign w:val="center"/>
          </w:tcPr>
          <w:p w14:paraId="6C9D26B4" w14:textId="77777777" w:rsidR="004B0883" w:rsidRDefault="004B0883">
            <w:pPr>
              <w:adjustRightInd w:val="0"/>
              <w:snapToGrid w:val="0"/>
              <w:jc w:val="right"/>
              <w:rPr>
                <w:color w:val="000000"/>
                <w:kern w:val="0"/>
              </w:rPr>
            </w:pPr>
          </w:p>
        </w:tc>
        <w:tc>
          <w:tcPr>
            <w:tcW w:w="1561" w:type="dxa"/>
            <w:vAlign w:val="center"/>
          </w:tcPr>
          <w:p w14:paraId="63E2B2E9" w14:textId="77777777" w:rsidR="004B0883" w:rsidRDefault="004B0883">
            <w:pPr>
              <w:adjustRightInd w:val="0"/>
              <w:snapToGrid w:val="0"/>
              <w:jc w:val="right"/>
              <w:rPr>
                <w:color w:val="000000"/>
                <w:kern w:val="0"/>
              </w:rPr>
            </w:pPr>
          </w:p>
        </w:tc>
      </w:tr>
      <w:tr w:rsidR="004B0883" w14:paraId="3950C641" w14:textId="77777777">
        <w:trPr>
          <w:trHeight w:val="397"/>
          <w:jc w:val="center"/>
        </w:trPr>
        <w:tc>
          <w:tcPr>
            <w:tcW w:w="1963" w:type="dxa"/>
            <w:vAlign w:val="center"/>
          </w:tcPr>
          <w:p w14:paraId="2EBF3144" w14:textId="77777777" w:rsidR="004B0883" w:rsidRDefault="004B0883">
            <w:pPr>
              <w:adjustRightInd w:val="0"/>
              <w:snapToGrid w:val="0"/>
              <w:rPr>
                <w:color w:val="000000"/>
                <w:kern w:val="0"/>
              </w:rPr>
            </w:pPr>
            <w:r>
              <w:rPr>
                <w:rFonts w:eastAsia="等线"/>
                <w:b/>
                <w:bCs/>
                <w:color w:val="000000"/>
              </w:rPr>
              <w:t xml:space="preserve">  </w:t>
            </w:r>
            <w:r>
              <w:rPr>
                <w:rFonts w:hint="eastAsia"/>
                <w:color w:val="000000"/>
              </w:rPr>
              <w:t>债权投资</w:t>
            </w:r>
          </w:p>
        </w:tc>
        <w:tc>
          <w:tcPr>
            <w:tcW w:w="1881" w:type="dxa"/>
            <w:vAlign w:val="center"/>
          </w:tcPr>
          <w:p w14:paraId="77D1D37E" w14:textId="77777777" w:rsidR="004B0883" w:rsidRDefault="004B0883">
            <w:pPr>
              <w:adjustRightInd w:val="0"/>
              <w:snapToGrid w:val="0"/>
              <w:jc w:val="right"/>
              <w:rPr>
                <w:color w:val="000000"/>
                <w:kern w:val="0"/>
              </w:rPr>
            </w:pPr>
            <w:r>
              <w:rPr>
                <w:rFonts w:eastAsia="等线"/>
                <w:color w:val="000000"/>
              </w:rPr>
              <w:t>1,033.23</w:t>
            </w:r>
          </w:p>
        </w:tc>
        <w:tc>
          <w:tcPr>
            <w:tcW w:w="1561" w:type="dxa"/>
            <w:vAlign w:val="center"/>
          </w:tcPr>
          <w:p w14:paraId="47AB8827" w14:textId="77777777" w:rsidR="004B0883" w:rsidRDefault="004B0883">
            <w:pPr>
              <w:adjustRightInd w:val="0"/>
              <w:snapToGrid w:val="0"/>
              <w:jc w:val="right"/>
              <w:rPr>
                <w:color w:val="000000"/>
                <w:kern w:val="0"/>
              </w:rPr>
            </w:pPr>
            <w:r>
              <w:rPr>
                <w:rFonts w:hint="eastAsia"/>
                <w:color w:val="000000"/>
                <w:kern w:val="0"/>
              </w:rPr>
              <w:t>1,009.25</w:t>
            </w:r>
          </w:p>
        </w:tc>
        <w:tc>
          <w:tcPr>
            <w:tcW w:w="1560" w:type="dxa"/>
            <w:vAlign w:val="center"/>
          </w:tcPr>
          <w:p w14:paraId="1A9311EB" w14:textId="77777777" w:rsidR="004B0883" w:rsidRDefault="004B0883">
            <w:pPr>
              <w:adjustRightInd w:val="0"/>
              <w:snapToGrid w:val="0"/>
              <w:jc w:val="right"/>
              <w:rPr>
                <w:color w:val="000000"/>
                <w:kern w:val="0"/>
              </w:rPr>
            </w:pPr>
            <w:r>
              <w:rPr>
                <w:rFonts w:hint="eastAsia"/>
                <w:color w:val="000000"/>
                <w:kern w:val="0"/>
              </w:rPr>
              <w:t>-</w:t>
            </w:r>
          </w:p>
        </w:tc>
        <w:tc>
          <w:tcPr>
            <w:tcW w:w="1561" w:type="dxa"/>
            <w:vAlign w:val="center"/>
          </w:tcPr>
          <w:p w14:paraId="17231E5E" w14:textId="77777777" w:rsidR="004B0883" w:rsidRDefault="004B0883">
            <w:pPr>
              <w:adjustRightInd w:val="0"/>
              <w:snapToGrid w:val="0"/>
              <w:jc w:val="right"/>
              <w:rPr>
                <w:color w:val="000000"/>
                <w:kern w:val="0"/>
              </w:rPr>
            </w:pPr>
            <w:r>
              <w:rPr>
                <w:rFonts w:hint="eastAsia"/>
                <w:color w:val="000000"/>
                <w:kern w:val="0"/>
              </w:rPr>
              <w:t>-</w:t>
            </w:r>
          </w:p>
        </w:tc>
      </w:tr>
      <w:tr w:rsidR="004B0883" w14:paraId="474D2DCB" w14:textId="77777777">
        <w:trPr>
          <w:trHeight w:val="397"/>
          <w:jc w:val="center"/>
        </w:trPr>
        <w:tc>
          <w:tcPr>
            <w:tcW w:w="1963" w:type="dxa"/>
            <w:vAlign w:val="center"/>
          </w:tcPr>
          <w:p w14:paraId="6AD277BD" w14:textId="77777777" w:rsidR="004B0883" w:rsidRDefault="004B0883">
            <w:pPr>
              <w:adjustRightInd w:val="0"/>
              <w:snapToGrid w:val="0"/>
              <w:ind w:firstLineChars="46" w:firstLine="97"/>
              <w:rPr>
                <w:color w:val="000000"/>
                <w:kern w:val="0"/>
              </w:rPr>
            </w:pPr>
            <w:r>
              <w:rPr>
                <w:rFonts w:hint="eastAsia"/>
                <w:color w:val="000000"/>
              </w:rPr>
              <w:t>长期股权投资</w:t>
            </w:r>
          </w:p>
        </w:tc>
        <w:tc>
          <w:tcPr>
            <w:tcW w:w="1881" w:type="dxa"/>
            <w:vAlign w:val="center"/>
          </w:tcPr>
          <w:p w14:paraId="27487C7B" w14:textId="77777777" w:rsidR="004B0883" w:rsidRDefault="004B0883">
            <w:pPr>
              <w:adjustRightInd w:val="0"/>
              <w:snapToGrid w:val="0"/>
              <w:jc w:val="right"/>
              <w:rPr>
                <w:color w:val="000000"/>
                <w:kern w:val="0"/>
              </w:rPr>
            </w:pPr>
            <w:r>
              <w:rPr>
                <w:rFonts w:eastAsia="等线"/>
                <w:color w:val="000000"/>
              </w:rPr>
              <w:t>29,411.49</w:t>
            </w:r>
          </w:p>
        </w:tc>
        <w:tc>
          <w:tcPr>
            <w:tcW w:w="1561" w:type="dxa"/>
            <w:vAlign w:val="center"/>
          </w:tcPr>
          <w:p w14:paraId="22DC470A" w14:textId="77777777" w:rsidR="004B0883" w:rsidRDefault="004B0883">
            <w:pPr>
              <w:adjustRightInd w:val="0"/>
              <w:snapToGrid w:val="0"/>
              <w:jc w:val="right"/>
              <w:rPr>
                <w:color w:val="000000"/>
                <w:kern w:val="0"/>
              </w:rPr>
            </w:pPr>
            <w:r>
              <w:rPr>
                <w:rFonts w:hint="eastAsia"/>
                <w:color w:val="000000"/>
                <w:kern w:val="0"/>
              </w:rPr>
              <w:t>29,411.49</w:t>
            </w:r>
          </w:p>
        </w:tc>
        <w:tc>
          <w:tcPr>
            <w:tcW w:w="1560" w:type="dxa"/>
            <w:vAlign w:val="center"/>
          </w:tcPr>
          <w:p w14:paraId="779E01A1" w14:textId="77777777" w:rsidR="004B0883" w:rsidRDefault="004B0883">
            <w:pPr>
              <w:adjustRightInd w:val="0"/>
              <w:snapToGrid w:val="0"/>
              <w:jc w:val="right"/>
              <w:rPr>
                <w:color w:val="000000"/>
                <w:kern w:val="0"/>
              </w:rPr>
            </w:pPr>
            <w:r>
              <w:rPr>
                <w:rFonts w:hint="eastAsia"/>
                <w:color w:val="000000"/>
                <w:kern w:val="0"/>
              </w:rPr>
              <w:t>24,236.27</w:t>
            </w:r>
          </w:p>
        </w:tc>
        <w:tc>
          <w:tcPr>
            <w:tcW w:w="1561" w:type="dxa"/>
            <w:vAlign w:val="center"/>
          </w:tcPr>
          <w:p w14:paraId="03B163C5" w14:textId="77777777" w:rsidR="004B0883" w:rsidRDefault="004B0883">
            <w:pPr>
              <w:adjustRightInd w:val="0"/>
              <w:snapToGrid w:val="0"/>
              <w:jc w:val="right"/>
              <w:rPr>
                <w:color w:val="000000"/>
                <w:kern w:val="0"/>
              </w:rPr>
            </w:pPr>
            <w:r>
              <w:rPr>
                <w:rFonts w:hint="eastAsia"/>
                <w:color w:val="000000"/>
                <w:kern w:val="0"/>
              </w:rPr>
              <w:t>24,204.43</w:t>
            </w:r>
          </w:p>
        </w:tc>
      </w:tr>
      <w:tr w:rsidR="004B0883" w14:paraId="1840DEC8" w14:textId="77777777">
        <w:trPr>
          <w:trHeight w:val="397"/>
          <w:jc w:val="center"/>
        </w:trPr>
        <w:tc>
          <w:tcPr>
            <w:tcW w:w="1963" w:type="dxa"/>
            <w:vAlign w:val="center"/>
          </w:tcPr>
          <w:p w14:paraId="76E2AB8B" w14:textId="77777777" w:rsidR="004B0883" w:rsidRDefault="004B0883">
            <w:pPr>
              <w:adjustRightInd w:val="0"/>
              <w:snapToGrid w:val="0"/>
              <w:rPr>
                <w:color w:val="000000"/>
                <w:kern w:val="0"/>
              </w:rPr>
            </w:pPr>
            <w:r>
              <w:rPr>
                <w:rFonts w:eastAsia="等线"/>
                <w:color w:val="000000"/>
              </w:rPr>
              <w:t xml:space="preserve">  </w:t>
            </w:r>
            <w:r>
              <w:rPr>
                <w:rFonts w:hint="eastAsia"/>
                <w:color w:val="000000"/>
              </w:rPr>
              <w:t>固定资产</w:t>
            </w:r>
          </w:p>
        </w:tc>
        <w:tc>
          <w:tcPr>
            <w:tcW w:w="1881" w:type="dxa"/>
            <w:vAlign w:val="center"/>
          </w:tcPr>
          <w:p w14:paraId="70DBFBCA" w14:textId="77777777" w:rsidR="004B0883" w:rsidRDefault="004B0883">
            <w:pPr>
              <w:adjustRightInd w:val="0"/>
              <w:snapToGrid w:val="0"/>
              <w:jc w:val="right"/>
              <w:rPr>
                <w:color w:val="000000"/>
                <w:kern w:val="0"/>
              </w:rPr>
            </w:pPr>
            <w:r>
              <w:t>1,857.72</w:t>
            </w:r>
          </w:p>
        </w:tc>
        <w:tc>
          <w:tcPr>
            <w:tcW w:w="1561" w:type="dxa"/>
            <w:vAlign w:val="center"/>
          </w:tcPr>
          <w:p w14:paraId="42575DCF" w14:textId="77777777" w:rsidR="004B0883" w:rsidRDefault="004B0883">
            <w:pPr>
              <w:adjustRightInd w:val="0"/>
              <w:snapToGrid w:val="0"/>
              <w:jc w:val="right"/>
              <w:rPr>
                <w:color w:val="000000"/>
                <w:kern w:val="0"/>
              </w:rPr>
            </w:pPr>
            <w:r>
              <w:rPr>
                <w:rFonts w:hint="eastAsia"/>
                <w:color w:val="000000"/>
                <w:kern w:val="0"/>
              </w:rPr>
              <w:t>2,132.73</w:t>
            </w:r>
          </w:p>
        </w:tc>
        <w:tc>
          <w:tcPr>
            <w:tcW w:w="1560" w:type="dxa"/>
            <w:vAlign w:val="center"/>
          </w:tcPr>
          <w:p w14:paraId="2CB6978E" w14:textId="77777777" w:rsidR="004B0883" w:rsidRDefault="004B0883">
            <w:pPr>
              <w:adjustRightInd w:val="0"/>
              <w:snapToGrid w:val="0"/>
              <w:jc w:val="right"/>
              <w:rPr>
                <w:color w:val="000000"/>
                <w:kern w:val="0"/>
              </w:rPr>
            </w:pPr>
            <w:r>
              <w:rPr>
                <w:rFonts w:hint="eastAsia"/>
                <w:color w:val="000000"/>
                <w:kern w:val="0"/>
              </w:rPr>
              <w:t>2,262.24</w:t>
            </w:r>
          </w:p>
        </w:tc>
        <w:tc>
          <w:tcPr>
            <w:tcW w:w="1561" w:type="dxa"/>
            <w:vAlign w:val="center"/>
          </w:tcPr>
          <w:p w14:paraId="73E0F5C1" w14:textId="77777777" w:rsidR="004B0883" w:rsidRDefault="004B0883">
            <w:pPr>
              <w:adjustRightInd w:val="0"/>
              <w:snapToGrid w:val="0"/>
              <w:jc w:val="right"/>
              <w:rPr>
                <w:color w:val="000000"/>
                <w:kern w:val="0"/>
              </w:rPr>
            </w:pPr>
            <w:r>
              <w:rPr>
                <w:rFonts w:hint="eastAsia"/>
                <w:color w:val="000000"/>
                <w:kern w:val="0"/>
              </w:rPr>
              <w:t>2,312.31</w:t>
            </w:r>
          </w:p>
        </w:tc>
      </w:tr>
      <w:tr w:rsidR="004B0883" w14:paraId="24BDAA2D" w14:textId="77777777">
        <w:trPr>
          <w:trHeight w:val="397"/>
          <w:jc w:val="center"/>
        </w:trPr>
        <w:tc>
          <w:tcPr>
            <w:tcW w:w="1963" w:type="dxa"/>
            <w:vAlign w:val="center"/>
          </w:tcPr>
          <w:p w14:paraId="0BAF6744" w14:textId="77777777" w:rsidR="004B0883" w:rsidRDefault="004B0883">
            <w:pPr>
              <w:adjustRightInd w:val="0"/>
              <w:snapToGrid w:val="0"/>
              <w:rPr>
                <w:color w:val="000000"/>
                <w:kern w:val="0"/>
              </w:rPr>
            </w:pPr>
            <w:r>
              <w:rPr>
                <w:rFonts w:eastAsia="等线"/>
                <w:color w:val="000000"/>
              </w:rPr>
              <w:t xml:space="preserve">  </w:t>
            </w:r>
            <w:r>
              <w:rPr>
                <w:rFonts w:hint="eastAsia"/>
                <w:color w:val="000000"/>
              </w:rPr>
              <w:t>在建工程</w:t>
            </w:r>
          </w:p>
        </w:tc>
        <w:tc>
          <w:tcPr>
            <w:tcW w:w="1881" w:type="dxa"/>
            <w:vAlign w:val="center"/>
          </w:tcPr>
          <w:p w14:paraId="63194F8D" w14:textId="77777777" w:rsidR="004B0883" w:rsidRDefault="004B0883">
            <w:pPr>
              <w:adjustRightInd w:val="0"/>
              <w:snapToGrid w:val="0"/>
              <w:jc w:val="right"/>
              <w:rPr>
                <w:color w:val="000000"/>
                <w:kern w:val="0"/>
              </w:rPr>
            </w:pPr>
            <w:r>
              <w:t>2,672.64</w:t>
            </w:r>
          </w:p>
        </w:tc>
        <w:tc>
          <w:tcPr>
            <w:tcW w:w="1561" w:type="dxa"/>
            <w:vAlign w:val="center"/>
          </w:tcPr>
          <w:p w14:paraId="5D0DC8BC" w14:textId="77777777" w:rsidR="004B0883" w:rsidRDefault="004B0883">
            <w:pPr>
              <w:adjustRightInd w:val="0"/>
              <w:snapToGrid w:val="0"/>
              <w:jc w:val="right"/>
              <w:rPr>
                <w:color w:val="000000"/>
                <w:kern w:val="0"/>
              </w:rPr>
            </w:pPr>
            <w:r>
              <w:rPr>
                <w:rFonts w:hint="eastAsia"/>
                <w:color w:val="000000"/>
                <w:kern w:val="0"/>
              </w:rPr>
              <w:t>41.06</w:t>
            </w:r>
          </w:p>
        </w:tc>
        <w:tc>
          <w:tcPr>
            <w:tcW w:w="1560" w:type="dxa"/>
            <w:vAlign w:val="center"/>
          </w:tcPr>
          <w:p w14:paraId="74DABF71" w14:textId="77777777" w:rsidR="004B0883" w:rsidRDefault="004B0883">
            <w:pPr>
              <w:adjustRightInd w:val="0"/>
              <w:snapToGrid w:val="0"/>
              <w:jc w:val="right"/>
              <w:rPr>
                <w:color w:val="000000"/>
                <w:kern w:val="0"/>
              </w:rPr>
            </w:pPr>
            <w:r>
              <w:rPr>
                <w:rFonts w:hint="eastAsia"/>
                <w:color w:val="000000"/>
                <w:kern w:val="0"/>
              </w:rPr>
              <w:t>343.85</w:t>
            </w:r>
          </w:p>
        </w:tc>
        <w:tc>
          <w:tcPr>
            <w:tcW w:w="1561" w:type="dxa"/>
            <w:vAlign w:val="center"/>
          </w:tcPr>
          <w:p w14:paraId="06EF4884" w14:textId="77777777" w:rsidR="004B0883" w:rsidRDefault="004B0883">
            <w:pPr>
              <w:adjustRightInd w:val="0"/>
              <w:snapToGrid w:val="0"/>
              <w:jc w:val="right"/>
              <w:rPr>
                <w:color w:val="000000"/>
                <w:kern w:val="0"/>
              </w:rPr>
            </w:pPr>
            <w:r>
              <w:rPr>
                <w:rFonts w:hint="eastAsia"/>
                <w:color w:val="000000"/>
                <w:kern w:val="0"/>
              </w:rPr>
              <w:t>3.10</w:t>
            </w:r>
          </w:p>
        </w:tc>
      </w:tr>
      <w:tr w:rsidR="004B0883" w14:paraId="2C92EBE4" w14:textId="77777777">
        <w:trPr>
          <w:trHeight w:val="397"/>
          <w:jc w:val="center"/>
        </w:trPr>
        <w:tc>
          <w:tcPr>
            <w:tcW w:w="1963" w:type="dxa"/>
            <w:vAlign w:val="center"/>
          </w:tcPr>
          <w:p w14:paraId="1B3638FF" w14:textId="77777777" w:rsidR="004B0883" w:rsidRDefault="004B0883">
            <w:pPr>
              <w:adjustRightInd w:val="0"/>
              <w:snapToGrid w:val="0"/>
              <w:rPr>
                <w:color w:val="000000"/>
                <w:kern w:val="0"/>
              </w:rPr>
            </w:pPr>
            <w:r>
              <w:rPr>
                <w:rFonts w:eastAsia="等线"/>
                <w:color w:val="000000"/>
              </w:rPr>
              <w:t xml:space="preserve">  </w:t>
            </w:r>
            <w:r>
              <w:rPr>
                <w:rFonts w:hint="eastAsia"/>
                <w:color w:val="000000"/>
              </w:rPr>
              <w:t>无形资产</w:t>
            </w:r>
          </w:p>
        </w:tc>
        <w:tc>
          <w:tcPr>
            <w:tcW w:w="1881" w:type="dxa"/>
            <w:vAlign w:val="center"/>
          </w:tcPr>
          <w:p w14:paraId="0A354E68" w14:textId="77777777" w:rsidR="004B0883" w:rsidRDefault="004B0883">
            <w:pPr>
              <w:adjustRightInd w:val="0"/>
              <w:snapToGrid w:val="0"/>
              <w:jc w:val="right"/>
              <w:rPr>
                <w:color w:val="000000"/>
                <w:kern w:val="0"/>
              </w:rPr>
            </w:pPr>
            <w:r>
              <w:rPr>
                <w:rFonts w:eastAsia="等线"/>
                <w:color w:val="000000"/>
              </w:rPr>
              <w:t>1,804.90</w:t>
            </w:r>
          </w:p>
        </w:tc>
        <w:tc>
          <w:tcPr>
            <w:tcW w:w="1561" w:type="dxa"/>
            <w:vAlign w:val="center"/>
          </w:tcPr>
          <w:p w14:paraId="3A0D8F00" w14:textId="77777777" w:rsidR="004B0883" w:rsidRDefault="004B0883">
            <w:pPr>
              <w:adjustRightInd w:val="0"/>
              <w:snapToGrid w:val="0"/>
              <w:jc w:val="right"/>
              <w:rPr>
                <w:color w:val="000000"/>
                <w:kern w:val="0"/>
              </w:rPr>
            </w:pPr>
            <w:r>
              <w:rPr>
                <w:rFonts w:hint="eastAsia"/>
                <w:color w:val="000000"/>
                <w:kern w:val="0"/>
              </w:rPr>
              <w:t>105.19</w:t>
            </w:r>
          </w:p>
        </w:tc>
        <w:tc>
          <w:tcPr>
            <w:tcW w:w="1560" w:type="dxa"/>
            <w:vAlign w:val="center"/>
          </w:tcPr>
          <w:p w14:paraId="3533B4B7" w14:textId="77777777" w:rsidR="004B0883" w:rsidRDefault="004B0883">
            <w:pPr>
              <w:adjustRightInd w:val="0"/>
              <w:snapToGrid w:val="0"/>
              <w:jc w:val="right"/>
              <w:rPr>
                <w:color w:val="000000"/>
                <w:kern w:val="0"/>
              </w:rPr>
            </w:pPr>
            <w:r>
              <w:rPr>
                <w:rFonts w:hint="eastAsia"/>
                <w:color w:val="000000"/>
                <w:kern w:val="0"/>
              </w:rPr>
              <w:t>62.34</w:t>
            </w:r>
          </w:p>
        </w:tc>
        <w:tc>
          <w:tcPr>
            <w:tcW w:w="1561" w:type="dxa"/>
            <w:vAlign w:val="center"/>
          </w:tcPr>
          <w:p w14:paraId="1BA88F6C" w14:textId="77777777" w:rsidR="004B0883" w:rsidRDefault="004B0883">
            <w:pPr>
              <w:adjustRightInd w:val="0"/>
              <w:snapToGrid w:val="0"/>
              <w:jc w:val="right"/>
              <w:rPr>
                <w:color w:val="000000"/>
                <w:kern w:val="0"/>
              </w:rPr>
            </w:pPr>
            <w:r>
              <w:rPr>
                <w:rFonts w:hint="eastAsia"/>
                <w:color w:val="000000"/>
                <w:kern w:val="0"/>
              </w:rPr>
              <w:t>64.69</w:t>
            </w:r>
          </w:p>
        </w:tc>
      </w:tr>
      <w:tr w:rsidR="004B0883" w14:paraId="3359F4BD" w14:textId="77777777">
        <w:trPr>
          <w:trHeight w:val="397"/>
          <w:jc w:val="center"/>
        </w:trPr>
        <w:tc>
          <w:tcPr>
            <w:tcW w:w="1963" w:type="dxa"/>
            <w:vAlign w:val="center"/>
          </w:tcPr>
          <w:p w14:paraId="1B705283" w14:textId="77777777" w:rsidR="004B0883" w:rsidRDefault="004B0883">
            <w:pPr>
              <w:adjustRightInd w:val="0"/>
              <w:snapToGrid w:val="0"/>
              <w:rPr>
                <w:color w:val="000000"/>
                <w:kern w:val="0"/>
              </w:rPr>
            </w:pPr>
            <w:r>
              <w:rPr>
                <w:rFonts w:eastAsia="等线"/>
                <w:color w:val="000000"/>
              </w:rPr>
              <w:t xml:space="preserve">  </w:t>
            </w:r>
            <w:r>
              <w:rPr>
                <w:rFonts w:hint="eastAsia"/>
                <w:color w:val="000000"/>
              </w:rPr>
              <w:t>递延所得税资产</w:t>
            </w:r>
          </w:p>
        </w:tc>
        <w:tc>
          <w:tcPr>
            <w:tcW w:w="1881" w:type="dxa"/>
            <w:vAlign w:val="center"/>
          </w:tcPr>
          <w:p w14:paraId="3F1A2669" w14:textId="77777777" w:rsidR="004B0883" w:rsidRDefault="004B0883">
            <w:pPr>
              <w:adjustRightInd w:val="0"/>
              <w:snapToGrid w:val="0"/>
              <w:jc w:val="right"/>
              <w:rPr>
                <w:color w:val="000000"/>
                <w:kern w:val="0"/>
              </w:rPr>
            </w:pPr>
            <w:r>
              <w:t>329.15</w:t>
            </w:r>
          </w:p>
        </w:tc>
        <w:tc>
          <w:tcPr>
            <w:tcW w:w="1561" w:type="dxa"/>
            <w:vAlign w:val="center"/>
          </w:tcPr>
          <w:p w14:paraId="6940542C" w14:textId="77777777" w:rsidR="004B0883" w:rsidRDefault="004B0883">
            <w:pPr>
              <w:adjustRightInd w:val="0"/>
              <w:snapToGrid w:val="0"/>
              <w:jc w:val="right"/>
              <w:rPr>
                <w:color w:val="000000"/>
                <w:kern w:val="0"/>
              </w:rPr>
            </w:pPr>
            <w:r>
              <w:rPr>
                <w:rFonts w:hint="eastAsia"/>
                <w:color w:val="000000"/>
                <w:kern w:val="0"/>
              </w:rPr>
              <w:t>264.15</w:t>
            </w:r>
          </w:p>
        </w:tc>
        <w:tc>
          <w:tcPr>
            <w:tcW w:w="1560" w:type="dxa"/>
            <w:vAlign w:val="center"/>
          </w:tcPr>
          <w:p w14:paraId="63EA0781" w14:textId="77777777" w:rsidR="004B0883" w:rsidRDefault="004B0883">
            <w:pPr>
              <w:adjustRightInd w:val="0"/>
              <w:snapToGrid w:val="0"/>
              <w:jc w:val="right"/>
              <w:rPr>
                <w:color w:val="000000"/>
                <w:kern w:val="0"/>
              </w:rPr>
            </w:pPr>
            <w:r>
              <w:rPr>
                <w:rFonts w:hint="eastAsia"/>
                <w:color w:val="000000"/>
                <w:kern w:val="0"/>
              </w:rPr>
              <w:t>229.09</w:t>
            </w:r>
          </w:p>
        </w:tc>
        <w:tc>
          <w:tcPr>
            <w:tcW w:w="1561" w:type="dxa"/>
            <w:vAlign w:val="center"/>
          </w:tcPr>
          <w:p w14:paraId="242ED2CE" w14:textId="77777777" w:rsidR="004B0883" w:rsidRDefault="004B0883">
            <w:pPr>
              <w:adjustRightInd w:val="0"/>
              <w:snapToGrid w:val="0"/>
              <w:jc w:val="right"/>
              <w:rPr>
                <w:color w:val="000000"/>
                <w:kern w:val="0"/>
              </w:rPr>
            </w:pPr>
            <w:r>
              <w:rPr>
                <w:rFonts w:hint="eastAsia"/>
                <w:color w:val="000000"/>
                <w:kern w:val="0"/>
              </w:rPr>
              <w:t>247.86</w:t>
            </w:r>
          </w:p>
        </w:tc>
      </w:tr>
      <w:tr w:rsidR="004B0883" w14:paraId="24973E6A" w14:textId="77777777">
        <w:trPr>
          <w:trHeight w:val="397"/>
          <w:jc w:val="center"/>
        </w:trPr>
        <w:tc>
          <w:tcPr>
            <w:tcW w:w="1963" w:type="dxa"/>
            <w:vAlign w:val="center"/>
          </w:tcPr>
          <w:p w14:paraId="1D0ED094" w14:textId="77777777" w:rsidR="004B0883" w:rsidRDefault="004B0883">
            <w:pPr>
              <w:adjustRightInd w:val="0"/>
              <w:snapToGrid w:val="0"/>
              <w:rPr>
                <w:color w:val="000000"/>
                <w:kern w:val="0"/>
              </w:rPr>
            </w:pPr>
            <w:r>
              <w:rPr>
                <w:rFonts w:eastAsia="等线"/>
                <w:color w:val="000000"/>
              </w:rPr>
              <w:t xml:space="preserve">  </w:t>
            </w:r>
            <w:r>
              <w:rPr>
                <w:rFonts w:hint="eastAsia"/>
                <w:color w:val="000000"/>
              </w:rPr>
              <w:t>其他非流动资产</w:t>
            </w:r>
          </w:p>
        </w:tc>
        <w:tc>
          <w:tcPr>
            <w:tcW w:w="1881" w:type="dxa"/>
            <w:vAlign w:val="center"/>
          </w:tcPr>
          <w:p w14:paraId="5C64700B" w14:textId="77777777" w:rsidR="004B0883" w:rsidRDefault="004B0883">
            <w:pPr>
              <w:adjustRightInd w:val="0"/>
              <w:snapToGrid w:val="0"/>
              <w:jc w:val="right"/>
              <w:rPr>
                <w:color w:val="000000"/>
                <w:kern w:val="0"/>
              </w:rPr>
            </w:pPr>
            <w:r>
              <w:t>80.98</w:t>
            </w:r>
          </w:p>
        </w:tc>
        <w:tc>
          <w:tcPr>
            <w:tcW w:w="1561" w:type="dxa"/>
            <w:vAlign w:val="center"/>
          </w:tcPr>
          <w:p w14:paraId="142B2B44" w14:textId="77777777" w:rsidR="004B0883" w:rsidRDefault="004B0883">
            <w:pPr>
              <w:adjustRightInd w:val="0"/>
              <w:snapToGrid w:val="0"/>
              <w:jc w:val="right"/>
              <w:rPr>
                <w:color w:val="000000"/>
                <w:kern w:val="0"/>
              </w:rPr>
            </w:pPr>
            <w:r>
              <w:rPr>
                <w:color w:val="000000"/>
                <w:kern w:val="0"/>
              </w:rPr>
              <w:t>9.47</w:t>
            </w:r>
          </w:p>
        </w:tc>
        <w:tc>
          <w:tcPr>
            <w:tcW w:w="1560" w:type="dxa"/>
            <w:vAlign w:val="center"/>
          </w:tcPr>
          <w:p w14:paraId="57279E4D" w14:textId="77777777" w:rsidR="004B0883" w:rsidRDefault="004B0883">
            <w:pPr>
              <w:adjustRightInd w:val="0"/>
              <w:snapToGrid w:val="0"/>
              <w:jc w:val="right"/>
              <w:rPr>
                <w:color w:val="000000"/>
                <w:kern w:val="0"/>
              </w:rPr>
            </w:pPr>
            <w:r>
              <w:rPr>
                <w:rFonts w:hint="eastAsia"/>
                <w:color w:val="000000"/>
                <w:kern w:val="0"/>
              </w:rPr>
              <w:t>-</w:t>
            </w:r>
          </w:p>
        </w:tc>
        <w:tc>
          <w:tcPr>
            <w:tcW w:w="1561" w:type="dxa"/>
            <w:vAlign w:val="center"/>
          </w:tcPr>
          <w:p w14:paraId="25F0DE92" w14:textId="77777777" w:rsidR="004B0883" w:rsidRDefault="004B0883">
            <w:pPr>
              <w:adjustRightInd w:val="0"/>
              <w:snapToGrid w:val="0"/>
              <w:jc w:val="right"/>
              <w:rPr>
                <w:color w:val="000000"/>
                <w:kern w:val="0"/>
              </w:rPr>
            </w:pPr>
            <w:r>
              <w:rPr>
                <w:rFonts w:hint="eastAsia"/>
                <w:color w:val="000000"/>
                <w:kern w:val="0"/>
              </w:rPr>
              <w:t>-</w:t>
            </w:r>
          </w:p>
        </w:tc>
      </w:tr>
      <w:tr w:rsidR="004B0883" w14:paraId="34EE072B" w14:textId="77777777">
        <w:trPr>
          <w:trHeight w:val="397"/>
          <w:jc w:val="center"/>
        </w:trPr>
        <w:tc>
          <w:tcPr>
            <w:tcW w:w="1963" w:type="dxa"/>
            <w:vAlign w:val="center"/>
          </w:tcPr>
          <w:p w14:paraId="594224E6" w14:textId="77777777" w:rsidR="004B0883" w:rsidRDefault="004B0883">
            <w:pPr>
              <w:adjustRightInd w:val="0"/>
              <w:snapToGrid w:val="0"/>
              <w:rPr>
                <w:b/>
                <w:bCs/>
                <w:color w:val="000000"/>
                <w:kern w:val="0"/>
              </w:rPr>
            </w:pPr>
            <w:r>
              <w:rPr>
                <w:b/>
                <w:bCs/>
                <w:color w:val="000000"/>
                <w:kern w:val="0"/>
              </w:rPr>
              <w:t>非流动资产合计</w:t>
            </w:r>
            <w:r>
              <w:rPr>
                <w:b/>
                <w:bCs/>
                <w:color w:val="000000"/>
                <w:kern w:val="0"/>
              </w:rPr>
              <w:t xml:space="preserve"> </w:t>
            </w:r>
          </w:p>
        </w:tc>
        <w:tc>
          <w:tcPr>
            <w:tcW w:w="1881" w:type="dxa"/>
            <w:vAlign w:val="center"/>
          </w:tcPr>
          <w:p w14:paraId="598E74D4" w14:textId="77777777" w:rsidR="004B0883" w:rsidRDefault="004B0883">
            <w:pPr>
              <w:adjustRightInd w:val="0"/>
              <w:snapToGrid w:val="0"/>
              <w:jc w:val="right"/>
              <w:rPr>
                <w:b/>
                <w:bCs/>
                <w:color w:val="000000"/>
                <w:kern w:val="0"/>
              </w:rPr>
            </w:pPr>
            <w:r>
              <w:rPr>
                <w:b/>
                <w:bCs/>
              </w:rPr>
              <w:t>37,190.11</w:t>
            </w:r>
          </w:p>
        </w:tc>
        <w:tc>
          <w:tcPr>
            <w:tcW w:w="1561" w:type="dxa"/>
            <w:vAlign w:val="center"/>
          </w:tcPr>
          <w:p w14:paraId="4924CAB9" w14:textId="77777777" w:rsidR="004B0883" w:rsidRDefault="004B0883">
            <w:pPr>
              <w:adjustRightInd w:val="0"/>
              <w:snapToGrid w:val="0"/>
              <w:jc w:val="right"/>
              <w:rPr>
                <w:b/>
                <w:bCs/>
                <w:color w:val="000000"/>
                <w:kern w:val="0"/>
              </w:rPr>
            </w:pPr>
            <w:r>
              <w:rPr>
                <w:rFonts w:hint="eastAsia"/>
                <w:b/>
                <w:bCs/>
                <w:color w:val="000000"/>
                <w:kern w:val="0"/>
              </w:rPr>
              <w:t>32,973.34</w:t>
            </w:r>
          </w:p>
        </w:tc>
        <w:tc>
          <w:tcPr>
            <w:tcW w:w="1560" w:type="dxa"/>
            <w:vAlign w:val="center"/>
          </w:tcPr>
          <w:p w14:paraId="2381EFA7" w14:textId="77777777" w:rsidR="004B0883" w:rsidRDefault="004B0883">
            <w:pPr>
              <w:adjustRightInd w:val="0"/>
              <w:snapToGrid w:val="0"/>
              <w:jc w:val="right"/>
              <w:rPr>
                <w:b/>
                <w:bCs/>
                <w:color w:val="000000"/>
                <w:kern w:val="0"/>
              </w:rPr>
            </w:pPr>
            <w:r>
              <w:rPr>
                <w:rFonts w:hint="eastAsia"/>
                <w:b/>
                <w:bCs/>
                <w:color w:val="000000"/>
                <w:kern w:val="0"/>
              </w:rPr>
              <w:t>27,133.80</w:t>
            </w:r>
          </w:p>
        </w:tc>
        <w:tc>
          <w:tcPr>
            <w:tcW w:w="1561" w:type="dxa"/>
            <w:vAlign w:val="center"/>
          </w:tcPr>
          <w:p w14:paraId="4AD3A858" w14:textId="77777777" w:rsidR="004B0883" w:rsidRDefault="004B0883">
            <w:pPr>
              <w:adjustRightInd w:val="0"/>
              <w:snapToGrid w:val="0"/>
              <w:jc w:val="right"/>
              <w:rPr>
                <w:b/>
                <w:bCs/>
                <w:color w:val="000000"/>
                <w:kern w:val="0"/>
              </w:rPr>
            </w:pPr>
            <w:r>
              <w:rPr>
                <w:rFonts w:hint="eastAsia"/>
                <w:b/>
                <w:bCs/>
                <w:color w:val="000000"/>
                <w:kern w:val="0"/>
              </w:rPr>
              <w:t>26,832.39</w:t>
            </w:r>
          </w:p>
        </w:tc>
      </w:tr>
      <w:tr w:rsidR="004B0883" w14:paraId="34935F87" w14:textId="77777777">
        <w:trPr>
          <w:trHeight w:val="397"/>
          <w:jc w:val="center"/>
        </w:trPr>
        <w:tc>
          <w:tcPr>
            <w:tcW w:w="1963" w:type="dxa"/>
            <w:vAlign w:val="center"/>
          </w:tcPr>
          <w:p w14:paraId="2A95D63D" w14:textId="77777777" w:rsidR="004B0883" w:rsidRDefault="004B0883">
            <w:pPr>
              <w:adjustRightInd w:val="0"/>
              <w:snapToGrid w:val="0"/>
              <w:rPr>
                <w:b/>
                <w:bCs/>
                <w:color w:val="000000"/>
                <w:kern w:val="0"/>
              </w:rPr>
            </w:pPr>
            <w:r>
              <w:rPr>
                <w:b/>
                <w:bCs/>
                <w:color w:val="000000"/>
                <w:kern w:val="0"/>
              </w:rPr>
              <w:t>资产总计</w:t>
            </w:r>
            <w:r>
              <w:rPr>
                <w:b/>
                <w:bCs/>
                <w:color w:val="000000"/>
                <w:kern w:val="0"/>
              </w:rPr>
              <w:t xml:space="preserve"> </w:t>
            </w:r>
          </w:p>
        </w:tc>
        <w:tc>
          <w:tcPr>
            <w:tcW w:w="1881" w:type="dxa"/>
            <w:vAlign w:val="center"/>
          </w:tcPr>
          <w:p w14:paraId="51489EED" w14:textId="77777777" w:rsidR="004B0883" w:rsidRDefault="004B0883">
            <w:pPr>
              <w:adjustRightInd w:val="0"/>
              <w:snapToGrid w:val="0"/>
              <w:jc w:val="right"/>
              <w:rPr>
                <w:b/>
                <w:bCs/>
                <w:color w:val="000000"/>
                <w:kern w:val="0"/>
              </w:rPr>
            </w:pPr>
            <w:r>
              <w:rPr>
                <w:b/>
                <w:bCs/>
              </w:rPr>
              <w:t>93,969.60</w:t>
            </w:r>
          </w:p>
        </w:tc>
        <w:tc>
          <w:tcPr>
            <w:tcW w:w="1561" w:type="dxa"/>
            <w:vAlign w:val="center"/>
          </w:tcPr>
          <w:p w14:paraId="6A05CFD9" w14:textId="77777777" w:rsidR="004B0883" w:rsidRDefault="004B0883">
            <w:pPr>
              <w:adjustRightInd w:val="0"/>
              <w:snapToGrid w:val="0"/>
              <w:jc w:val="right"/>
              <w:rPr>
                <w:b/>
                <w:bCs/>
                <w:color w:val="000000"/>
                <w:kern w:val="0"/>
              </w:rPr>
            </w:pPr>
            <w:r>
              <w:rPr>
                <w:rFonts w:hint="eastAsia"/>
                <w:b/>
                <w:bCs/>
                <w:color w:val="000000"/>
                <w:kern w:val="0"/>
              </w:rPr>
              <w:t>93,899.97</w:t>
            </w:r>
          </w:p>
        </w:tc>
        <w:tc>
          <w:tcPr>
            <w:tcW w:w="1560" w:type="dxa"/>
            <w:vAlign w:val="center"/>
          </w:tcPr>
          <w:p w14:paraId="7C03AB4B" w14:textId="77777777" w:rsidR="004B0883" w:rsidRDefault="004B0883">
            <w:pPr>
              <w:adjustRightInd w:val="0"/>
              <w:snapToGrid w:val="0"/>
              <w:jc w:val="right"/>
              <w:rPr>
                <w:b/>
                <w:bCs/>
                <w:color w:val="000000"/>
                <w:kern w:val="0"/>
              </w:rPr>
            </w:pPr>
            <w:r>
              <w:rPr>
                <w:rFonts w:hint="eastAsia"/>
                <w:b/>
                <w:bCs/>
                <w:color w:val="000000"/>
                <w:kern w:val="0"/>
              </w:rPr>
              <w:t>87,068.27</w:t>
            </w:r>
          </w:p>
        </w:tc>
        <w:tc>
          <w:tcPr>
            <w:tcW w:w="1561" w:type="dxa"/>
            <w:vAlign w:val="center"/>
          </w:tcPr>
          <w:p w14:paraId="33CF58EE" w14:textId="77777777" w:rsidR="004B0883" w:rsidRDefault="004B0883">
            <w:pPr>
              <w:adjustRightInd w:val="0"/>
              <w:snapToGrid w:val="0"/>
              <w:jc w:val="right"/>
              <w:rPr>
                <w:b/>
                <w:bCs/>
                <w:color w:val="000000"/>
                <w:kern w:val="0"/>
              </w:rPr>
            </w:pPr>
            <w:r>
              <w:rPr>
                <w:rFonts w:hint="eastAsia"/>
                <w:b/>
                <w:bCs/>
                <w:color w:val="000000"/>
                <w:kern w:val="0"/>
              </w:rPr>
              <w:t>84,210.50</w:t>
            </w:r>
          </w:p>
        </w:tc>
      </w:tr>
      <w:tr w:rsidR="004B0883" w14:paraId="74198073" w14:textId="77777777">
        <w:trPr>
          <w:trHeight w:val="397"/>
          <w:jc w:val="center"/>
        </w:trPr>
        <w:tc>
          <w:tcPr>
            <w:tcW w:w="1963" w:type="dxa"/>
            <w:vAlign w:val="center"/>
          </w:tcPr>
          <w:p w14:paraId="14C4994F" w14:textId="77777777" w:rsidR="004B0883" w:rsidRDefault="004B0883">
            <w:pPr>
              <w:adjustRightInd w:val="0"/>
              <w:snapToGrid w:val="0"/>
              <w:rPr>
                <w:b/>
                <w:bCs/>
                <w:kern w:val="0"/>
              </w:rPr>
            </w:pPr>
            <w:r>
              <w:rPr>
                <w:b/>
                <w:bCs/>
                <w:kern w:val="0"/>
              </w:rPr>
              <w:t>流动负债：</w:t>
            </w:r>
          </w:p>
        </w:tc>
        <w:tc>
          <w:tcPr>
            <w:tcW w:w="1881" w:type="dxa"/>
            <w:vAlign w:val="center"/>
          </w:tcPr>
          <w:p w14:paraId="553A2851" w14:textId="77777777" w:rsidR="004B0883" w:rsidRDefault="004B0883">
            <w:pPr>
              <w:adjustRightInd w:val="0"/>
              <w:snapToGrid w:val="0"/>
              <w:jc w:val="right"/>
              <w:rPr>
                <w:b/>
                <w:bCs/>
                <w:kern w:val="0"/>
              </w:rPr>
            </w:pPr>
          </w:p>
        </w:tc>
        <w:tc>
          <w:tcPr>
            <w:tcW w:w="1561" w:type="dxa"/>
            <w:vAlign w:val="center"/>
          </w:tcPr>
          <w:p w14:paraId="3329833E" w14:textId="77777777" w:rsidR="004B0883" w:rsidRDefault="004B0883">
            <w:pPr>
              <w:adjustRightInd w:val="0"/>
              <w:snapToGrid w:val="0"/>
              <w:jc w:val="right"/>
              <w:rPr>
                <w:color w:val="000000"/>
                <w:kern w:val="0"/>
              </w:rPr>
            </w:pPr>
          </w:p>
        </w:tc>
        <w:tc>
          <w:tcPr>
            <w:tcW w:w="1560" w:type="dxa"/>
            <w:vAlign w:val="center"/>
          </w:tcPr>
          <w:p w14:paraId="5A9CB6DE" w14:textId="77777777" w:rsidR="004B0883" w:rsidRDefault="004B0883">
            <w:pPr>
              <w:adjustRightInd w:val="0"/>
              <w:snapToGrid w:val="0"/>
              <w:jc w:val="right"/>
              <w:rPr>
                <w:color w:val="000000"/>
                <w:kern w:val="0"/>
              </w:rPr>
            </w:pPr>
          </w:p>
        </w:tc>
        <w:tc>
          <w:tcPr>
            <w:tcW w:w="1561" w:type="dxa"/>
            <w:vAlign w:val="center"/>
          </w:tcPr>
          <w:p w14:paraId="49203837" w14:textId="77777777" w:rsidR="004B0883" w:rsidRDefault="004B0883">
            <w:pPr>
              <w:adjustRightInd w:val="0"/>
              <w:snapToGrid w:val="0"/>
              <w:jc w:val="right"/>
              <w:rPr>
                <w:color w:val="000000"/>
                <w:kern w:val="0"/>
              </w:rPr>
            </w:pPr>
          </w:p>
        </w:tc>
      </w:tr>
      <w:tr w:rsidR="004B0883" w14:paraId="35CF09FA" w14:textId="77777777">
        <w:trPr>
          <w:trHeight w:val="397"/>
          <w:jc w:val="center"/>
        </w:trPr>
        <w:tc>
          <w:tcPr>
            <w:tcW w:w="1963" w:type="dxa"/>
            <w:vAlign w:val="center"/>
          </w:tcPr>
          <w:p w14:paraId="1161C041" w14:textId="77777777" w:rsidR="004B0883" w:rsidRDefault="004B0883">
            <w:pPr>
              <w:adjustRightInd w:val="0"/>
              <w:snapToGrid w:val="0"/>
              <w:rPr>
                <w:kern w:val="0"/>
              </w:rPr>
            </w:pPr>
            <w:r>
              <w:rPr>
                <w:kern w:val="0"/>
              </w:rPr>
              <w:t xml:space="preserve">  </w:t>
            </w:r>
            <w:r>
              <w:rPr>
                <w:rFonts w:hint="eastAsia"/>
                <w:kern w:val="0"/>
              </w:rPr>
              <w:t>短期借款</w:t>
            </w:r>
          </w:p>
        </w:tc>
        <w:tc>
          <w:tcPr>
            <w:tcW w:w="1881" w:type="dxa"/>
            <w:vAlign w:val="center"/>
          </w:tcPr>
          <w:p w14:paraId="6E19367B" w14:textId="77777777" w:rsidR="004B0883" w:rsidRDefault="004B0883">
            <w:pPr>
              <w:adjustRightInd w:val="0"/>
              <w:snapToGrid w:val="0"/>
              <w:jc w:val="right"/>
              <w:rPr>
                <w:color w:val="000000"/>
                <w:kern w:val="0"/>
              </w:rPr>
            </w:pPr>
            <w:r>
              <w:rPr>
                <w:rFonts w:eastAsia="等线" w:hint="eastAsia"/>
                <w:color w:val="000000"/>
              </w:rPr>
              <w:t>-</w:t>
            </w:r>
          </w:p>
        </w:tc>
        <w:tc>
          <w:tcPr>
            <w:tcW w:w="1561" w:type="dxa"/>
            <w:vAlign w:val="center"/>
          </w:tcPr>
          <w:p w14:paraId="584C07B7" w14:textId="77777777" w:rsidR="004B0883" w:rsidRDefault="004B0883">
            <w:pPr>
              <w:adjustRightInd w:val="0"/>
              <w:snapToGrid w:val="0"/>
              <w:jc w:val="right"/>
              <w:rPr>
                <w:color w:val="000000"/>
                <w:kern w:val="0"/>
              </w:rPr>
            </w:pPr>
            <w:r>
              <w:rPr>
                <w:rFonts w:hint="eastAsia"/>
                <w:color w:val="000000"/>
                <w:kern w:val="0"/>
              </w:rPr>
              <w:t>3,000.92</w:t>
            </w:r>
          </w:p>
        </w:tc>
        <w:tc>
          <w:tcPr>
            <w:tcW w:w="1560" w:type="dxa"/>
            <w:vAlign w:val="center"/>
          </w:tcPr>
          <w:p w14:paraId="77D0DB35" w14:textId="77777777" w:rsidR="004B0883" w:rsidRDefault="004B0883">
            <w:pPr>
              <w:adjustRightInd w:val="0"/>
              <w:snapToGrid w:val="0"/>
              <w:jc w:val="right"/>
              <w:rPr>
                <w:color w:val="000000"/>
                <w:kern w:val="0"/>
              </w:rPr>
            </w:pPr>
            <w:r>
              <w:rPr>
                <w:rFonts w:hint="eastAsia"/>
                <w:color w:val="000000"/>
                <w:kern w:val="0"/>
              </w:rPr>
              <w:t>3,100.00</w:t>
            </w:r>
          </w:p>
        </w:tc>
        <w:tc>
          <w:tcPr>
            <w:tcW w:w="1561" w:type="dxa"/>
            <w:vAlign w:val="center"/>
          </w:tcPr>
          <w:p w14:paraId="22767764" w14:textId="77777777" w:rsidR="004B0883" w:rsidRDefault="004B0883">
            <w:pPr>
              <w:adjustRightInd w:val="0"/>
              <w:snapToGrid w:val="0"/>
              <w:jc w:val="right"/>
              <w:rPr>
                <w:color w:val="000000"/>
                <w:kern w:val="0"/>
              </w:rPr>
            </w:pPr>
            <w:r>
              <w:rPr>
                <w:rFonts w:hint="eastAsia"/>
                <w:color w:val="000000"/>
                <w:kern w:val="0"/>
              </w:rPr>
              <w:t>4,958.61</w:t>
            </w:r>
          </w:p>
        </w:tc>
      </w:tr>
      <w:tr w:rsidR="004B0883" w14:paraId="328D969E" w14:textId="77777777">
        <w:trPr>
          <w:trHeight w:val="397"/>
          <w:jc w:val="center"/>
        </w:trPr>
        <w:tc>
          <w:tcPr>
            <w:tcW w:w="1963" w:type="dxa"/>
            <w:vAlign w:val="center"/>
          </w:tcPr>
          <w:p w14:paraId="62BE7CB5" w14:textId="77777777" w:rsidR="004B0883" w:rsidRDefault="004B0883">
            <w:pPr>
              <w:adjustRightInd w:val="0"/>
              <w:snapToGrid w:val="0"/>
              <w:rPr>
                <w:kern w:val="0"/>
              </w:rPr>
            </w:pPr>
            <w:r>
              <w:rPr>
                <w:kern w:val="0"/>
              </w:rPr>
              <w:t xml:space="preserve">  </w:t>
            </w:r>
            <w:r>
              <w:rPr>
                <w:rFonts w:hint="eastAsia"/>
                <w:kern w:val="0"/>
              </w:rPr>
              <w:t>交易性金融负债</w:t>
            </w:r>
          </w:p>
        </w:tc>
        <w:tc>
          <w:tcPr>
            <w:tcW w:w="1881" w:type="dxa"/>
            <w:vAlign w:val="center"/>
          </w:tcPr>
          <w:p w14:paraId="40C31122" w14:textId="77777777" w:rsidR="004B0883" w:rsidRDefault="004B0883">
            <w:pPr>
              <w:adjustRightInd w:val="0"/>
              <w:snapToGrid w:val="0"/>
              <w:jc w:val="right"/>
              <w:rPr>
                <w:color w:val="000000"/>
                <w:kern w:val="0"/>
              </w:rPr>
            </w:pPr>
            <w:r>
              <w:rPr>
                <w:rFonts w:hint="eastAsia"/>
                <w:color w:val="000000"/>
                <w:kern w:val="0"/>
              </w:rPr>
              <w:t>-</w:t>
            </w:r>
          </w:p>
        </w:tc>
        <w:tc>
          <w:tcPr>
            <w:tcW w:w="1561" w:type="dxa"/>
            <w:vAlign w:val="center"/>
          </w:tcPr>
          <w:p w14:paraId="167515FA" w14:textId="77777777" w:rsidR="004B0883" w:rsidRDefault="004B0883">
            <w:pPr>
              <w:adjustRightInd w:val="0"/>
              <w:snapToGrid w:val="0"/>
              <w:jc w:val="right"/>
              <w:rPr>
                <w:color w:val="000000"/>
                <w:kern w:val="0"/>
              </w:rPr>
            </w:pPr>
            <w:r>
              <w:rPr>
                <w:rFonts w:hint="eastAsia"/>
                <w:color w:val="000000"/>
                <w:kern w:val="0"/>
              </w:rPr>
              <w:t>-</w:t>
            </w:r>
          </w:p>
        </w:tc>
        <w:tc>
          <w:tcPr>
            <w:tcW w:w="1560" w:type="dxa"/>
            <w:vAlign w:val="center"/>
          </w:tcPr>
          <w:p w14:paraId="24D8DC62" w14:textId="77777777" w:rsidR="004B0883" w:rsidRDefault="004B0883">
            <w:pPr>
              <w:adjustRightInd w:val="0"/>
              <w:snapToGrid w:val="0"/>
              <w:jc w:val="right"/>
              <w:rPr>
                <w:color w:val="000000"/>
                <w:kern w:val="0"/>
              </w:rPr>
            </w:pPr>
            <w:r>
              <w:rPr>
                <w:rFonts w:hint="eastAsia"/>
                <w:color w:val="000000"/>
                <w:kern w:val="0"/>
              </w:rPr>
              <w:t>-</w:t>
            </w:r>
          </w:p>
        </w:tc>
        <w:tc>
          <w:tcPr>
            <w:tcW w:w="1561" w:type="dxa"/>
            <w:vAlign w:val="center"/>
          </w:tcPr>
          <w:p w14:paraId="2E8B56CC" w14:textId="77777777" w:rsidR="004B0883" w:rsidRDefault="004B0883">
            <w:pPr>
              <w:adjustRightInd w:val="0"/>
              <w:snapToGrid w:val="0"/>
              <w:jc w:val="right"/>
              <w:rPr>
                <w:color w:val="000000"/>
                <w:kern w:val="0"/>
              </w:rPr>
            </w:pPr>
            <w:r>
              <w:rPr>
                <w:rFonts w:hint="eastAsia"/>
                <w:color w:val="000000"/>
                <w:kern w:val="0"/>
              </w:rPr>
              <w:t>3.16</w:t>
            </w:r>
          </w:p>
        </w:tc>
      </w:tr>
      <w:tr w:rsidR="004B0883" w14:paraId="1D5FB955" w14:textId="77777777">
        <w:trPr>
          <w:trHeight w:val="397"/>
          <w:jc w:val="center"/>
        </w:trPr>
        <w:tc>
          <w:tcPr>
            <w:tcW w:w="1963" w:type="dxa"/>
            <w:vAlign w:val="center"/>
          </w:tcPr>
          <w:p w14:paraId="7CD80250" w14:textId="77777777" w:rsidR="004B0883" w:rsidRDefault="004B0883">
            <w:pPr>
              <w:adjustRightInd w:val="0"/>
              <w:snapToGrid w:val="0"/>
              <w:rPr>
                <w:kern w:val="0"/>
              </w:rPr>
            </w:pPr>
            <w:r>
              <w:rPr>
                <w:kern w:val="0"/>
              </w:rPr>
              <w:t xml:space="preserve">  </w:t>
            </w:r>
            <w:r>
              <w:rPr>
                <w:rFonts w:hint="eastAsia"/>
                <w:kern w:val="0"/>
              </w:rPr>
              <w:t>应付票据</w:t>
            </w:r>
          </w:p>
        </w:tc>
        <w:tc>
          <w:tcPr>
            <w:tcW w:w="1881" w:type="dxa"/>
            <w:vAlign w:val="center"/>
          </w:tcPr>
          <w:p w14:paraId="05DDABE1" w14:textId="77777777" w:rsidR="004B0883" w:rsidRDefault="004B0883">
            <w:pPr>
              <w:adjustRightInd w:val="0"/>
              <w:snapToGrid w:val="0"/>
              <w:jc w:val="right"/>
              <w:rPr>
                <w:color w:val="000000"/>
                <w:kern w:val="0"/>
              </w:rPr>
            </w:pPr>
            <w:r>
              <w:t>3,525.91</w:t>
            </w:r>
          </w:p>
        </w:tc>
        <w:tc>
          <w:tcPr>
            <w:tcW w:w="1561" w:type="dxa"/>
            <w:vAlign w:val="center"/>
          </w:tcPr>
          <w:p w14:paraId="2417911C" w14:textId="77777777" w:rsidR="004B0883" w:rsidRDefault="004B0883">
            <w:pPr>
              <w:adjustRightInd w:val="0"/>
              <w:snapToGrid w:val="0"/>
              <w:jc w:val="right"/>
              <w:rPr>
                <w:color w:val="000000"/>
                <w:kern w:val="0"/>
              </w:rPr>
            </w:pPr>
            <w:r>
              <w:rPr>
                <w:rFonts w:hint="eastAsia"/>
                <w:color w:val="000000"/>
                <w:kern w:val="0"/>
              </w:rPr>
              <w:t>4,200.84</w:t>
            </w:r>
          </w:p>
        </w:tc>
        <w:tc>
          <w:tcPr>
            <w:tcW w:w="1560" w:type="dxa"/>
            <w:vAlign w:val="center"/>
          </w:tcPr>
          <w:p w14:paraId="3726A5C1" w14:textId="77777777" w:rsidR="004B0883" w:rsidRDefault="004B0883">
            <w:pPr>
              <w:adjustRightInd w:val="0"/>
              <w:snapToGrid w:val="0"/>
              <w:jc w:val="right"/>
              <w:rPr>
                <w:color w:val="000000"/>
                <w:kern w:val="0"/>
              </w:rPr>
            </w:pPr>
            <w:r>
              <w:rPr>
                <w:rFonts w:hint="eastAsia"/>
                <w:color w:val="000000"/>
                <w:kern w:val="0"/>
              </w:rPr>
              <w:t>3,878.65</w:t>
            </w:r>
          </w:p>
        </w:tc>
        <w:tc>
          <w:tcPr>
            <w:tcW w:w="1561" w:type="dxa"/>
            <w:vAlign w:val="center"/>
          </w:tcPr>
          <w:p w14:paraId="60B1BAFF" w14:textId="77777777" w:rsidR="004B0883" w:rsidRDefault="004B0883">
            <w:pPr>
              <w:adjustRightInd w:val="0"/>
              <w:snapToGrid w:val="0"/>
              <w:jc w:val="right"/>
              <w:rPr>
                <w:color w:val="000000"/>
                <w:kern w:val="0"/>
              </w:rPr>
            </w:pPr>
            <w:r>
              <w:rPr>
                <w:rFonts w:hint="eastAsia"/>
                <w:color w:val="000000"/>
                <w:kern w:val="0"/>
              </w:rPr>
              <w:t>3,479.85</w:t>
            </w:r>
          </w:p>
        </w:tc>
      </w:tr>
      <w:tr w:rsidR="004B0883" w14:paraId="7826FFB6" w14:textId="77777777">
        <w:trPr>
          <w:trHeight w:val="397"/>
          <w:jc w:val="center"/>
        </w:trPr>
        <w:tc>
          <w:tcPr>
            <w:tcW w:w="1963" w:type="dxa"/>
            <w:vAlign w:val="center"/>
          </w:tcPr>
          <w:p w14:paraId="7C55AC8B" w14:textId="77777777" w:rsidR="004B0883" w:rsidRDefault="004B0883">
            <w:pPr>
              <w:adjustRightInd w:val="0"/>
              <w:snapToGrid w:val="0"/>
              <w:rPr>
                <w:kern w:val="0"/>
              </w:rPr>
            </w:pPr>
            <w:r>
              <w:rPr>
                <w:kern w:val="0"/>
              </w:rPr>
              <w:t xml:space="preserve">  </w:t>
            </w:r>
            <w:r>
              <w:rPr>
                <w:rFonts w:hint="eastAsia"/>
                <w:kern w:val="0"/>
              </w:rPr>
              <w:t>应付账款</w:t>
            </w:r>
          </w:p>
        </w:tc>
        <w:tc>
          <w:tcPr>
            <w:tcW w:w="1881" w:type="dxa"/>
            <w:vAlign w:val="center"/>
          </w:tcPr>
          <w:p w14:paraId="7DC95950" w14:textId="77777777" w:rsidR="004B0883" w:rsidRDefault="004B0883">
            <w:pPr>
              <w:adjustRightInd w:val="0"/>
              <w:snapToGrid w:val="0"/>
              <w:jc w:val="right"/>
              <w:rPr>
                <w:color w:val="000000"/>
                <w:kern w:val="0"/>
              </w:rPr>
            </w:pPr>
            <w:r>
              <w:t>2,906.12</w:t>
            </w:r>
          </w:p>
        </w:tc>
        <w:tc>
          <w:tcPr>
            <w:tcW w:w="1561" w:type="dxa"/>
            <w:vAlign w:val="center"/>
          </w:tcPr>
          <w:p w14:paraId="307445FA" w14:textId="77777777" w:rsidR="004B0883" w:rsidRDefault="004B0883">
            <w:pPr>
              <w:adjustRightInd w:val="0"/>
              <w:snapToGrid w:val="0"/>
              <w:jc w:val="right"/>
              <w:rPr>
                <w:color w:val="000000"/>
                <w:kern w:val="0"/>
              </w:rPr>
            </w:pPr>
            <w:r>
              <w:rPr>
                <w:rFonts w:hint="eastAsia"/>
                <w:color w:val="000000"/>
                <w:kern w:val="0"/>
              </w:rPr>
              <w:t>3,615.18</w:t>
            </w:r>
          </w:p>
        </w:tc>
        <w:tc>
          <w:tcPr>
            <w:tcW w:w="1560" w:type="dxa"/>
            <w:vAlign w:val="center"/>
          </w:tcPr>
          <w:p w14:paraId="77AD61A8" w14:textId="77777777" w:rsidR="004B0883" w:rsidRDefault="004B0883">
            <w:pPr>
              <w:adjustRightInd w:val="0"/>
              <w:snapToGrid w:val="0"/>
              <w:jc w:val="right"/>
              <w:rPr>
                <w:color w:val="000000"/>
                <w:kern w:val="0"/>
              </w:rPr>
            </w:pPr>
            <w:r>
              <w:rPr>
                <w:rFonts w:hint="eastAsia"/>
                <w:color w:val="000000"/>
                <w:kern w:val="0"/>
              </w:rPr>
              <w:t>3,440.44</w:t>
            </w:r>
          </w:p>
        </w:tc>
        <w:tc>
          <w:tcPr>
            <w:tcW w:w="1561" w:type="dxa"/>
            <w:vAlign w:val="center"/>
          </w:tcPr>
          <w:p w14:paraId="51886211" w14:textId="77777777" w:rsidR="004B0883" w:rsidRDefault="004B0883">
            <w:pPr>
              <w:adjustRightInd w:val="0"/>
              <w:snapToGrid w:val="0"/>
              <w:jc w:val="right"/>
              <w:rPr>
                <w:color w:val="000000"/>
                <w:kern w:val="0"/>
              </w:rPr>
            </w:pPr>
            <w:r>
              <w:rPr>
                <w:rFonts w:hint="eastAsia"/>
                <w:color w:val="000000"/>
                <w:kern w:val="0"/>
              </w:rPr>
              <w:t>2,570.74</w:t>
            </w:r>
          </w:p>
        </w:tc>
      </w:tr>
      <w:tr w:rsidR="004B0883" w14:paraId="6AA7F6C1" w14:textId="77777777">
        <w:trPr>
          <w:trHeight w:val="397"/>
          <w:jc w:val="center"/>
        </w:trPr>
        <w:tc>
          <w:tcPr>
            <w:tcW w:w="1963" w:type="dxa"/>
            <w:vAlign w:val="center"/>
          </w:tcPr>
          <w:p w14:paraId="0B2CEBA5" w14:textId="77777777" w:rsidR="004B0883" w:rsidRDefault="004B0883">
            <w:pPr>
              <w:adjustRightInd w:val="0"/>
              <w:snapToGrid w:val="0"/>
              <w:rPr>
                <w:kern w:val="0"/>
              </w:rPr>
            </w:pPr>
            <w:r>
              <w:rPr>
                <w:kern w:val="0"/>
              </w:rPr>
              <w:t xml:space="preserve">  </w:t>
            </w:r>
            <w:r>
              <w:rPr>
                <w:rFonts w:hint="eastAsia"/>
                <w:kern w:val="0"/>
              </w:rPr>
              <w:t>预收款项</w:t>
            </w:r>
          </w:p>
        </w:tc>
        <w:tc>
          <w:tcPr>
            <w:tcW w:w="1881" w:type="dxa"/>
            <w:vAlign w:val="center"/>
          </w:tcPr>
          <w:p w14:paraId="5558DC9A" w14:textId="77777777" w:rsidR="004B0883" w:rsidRDefault="004B0883">
            <w:pPr>
              <w:adjustRightInd w:val="0"/>
              <w:snapToGrid w:val="0"/>
              <w:jc w:val="right"/>
              <w:rPr>
                <w:color w:val="000000"/>
                <w:kern w:val="0"/>
              </w:rPr>
            </w:pPr>
            <w:r>
              <w:rPr>
                <w:rFonts w:hint="eastAsia"/>
                <w:color w:val="000000"/>
                <w:kern w:val="0"/>
              </w:rPr>
              <w:t>-</w:t>
            </w:r>
          </w:p>
        </w:tc>
        <w:tc>
          <w:tcPr>
            <w:tcW w:w="1561" w:type="dxa"/>
            <w:vAlign w:val="center"/>
          </w:tcPr>
          <w:p w14:paraId="4D13DA9C" w14:textId="77777777" w:rsidR="004B0883" w:rsidRDefault="004B0883">
            <w:pPr>
              <w:adjustRightInd w:val="0"/>
              <w:snapToGrid w:val="0"/>
              <w:jc w:val="right"/>
              <w:rPr>
                <w:color w:val="000000"/>
                <w:kern w:val="0"/>
              </w:rPr>
            </w:pPr>
            <w:r>
              <w:rPr>
                <w:rFonts w:hint="eastAsia"/>
                <w:color w:val="000000"/>
                <w:kern w:val="0"/>
              </w:rPr>
              <w:t>-</w:t>
            </w:r>
          </w:p>
        </w:tc>
        <w:tc>
          <w:tcPr>
            <w:tcW w:w="1560" w:type="dxa"/>
            <w:vAlign w:val="center"/>
          </w:tcPr>
          <w:p w14:paraId="0DB66446" w14:textId="77777777" w:rsidR="004B0883" w:rsidRDefault="004B0883">
            <w:pPr>
              <w:adjustRightInd w:val="0"/>
              <w:snapToGrid w:val="0"/>
              <w:jc w:val="right"/>
              <w:rPr>
                <w:color w:val="000000"/>
                <w:kern w:val="0"/>
              </w:rPr>
            </w:pPr>
            <w:r>
              <w:rPr>
                <w:rFonts w:hint="eastAsia"/>
                <w:color w:val="000000"/>
                <w:kern w:val="0"/>
              </w:rPr>
              <w:t>2,450.00</w:t>
            </w:r>
          </w:p>
        </w:tc>
        <w:tc>
          <w:tcPr>
            <w:tcW w:w="1561" w:type="dxa"/>
            <w:vAlign w:val="center"/>
          </w:tcPr>
          <w:p w14:paraId="29317D7D" w14:textId="77777777" w:rsidR="004B0883" w:rsidRDefault="004B0883">
            <w:pPr>
              <w:adjustRightInd w:val="0"/>
              <w:snapToGrid w:val="0"/>
              <w:jc w:val="right"/>
              <w:rPr>
                <w:color w:val="000000"/>
                <w:kern w:val="0"/>
              </w:rPr>
            </w:pPr>
            <w:r>
              <w:rPr>
                <w:rFonts w:hint="eastAsia"/>
                <w:color w:val="000000"/>
                <w:kern w:val="0"/>
              </w:rPr>
              <w:t>-</w:t>
            </w:r>
          </w:p>
        </w:tc>
      </w:tr>
      <w:tr w:rsidR="004B0883" w14:paraId="17F6ACEC" w14:textId="77777777">
        <w:trPr>
          <w:trHeight w:val="397"/>
          <w:jc w:val="center"/>
        </w:trPr>
        <w:tc>
          <w:tcPr>
            <w:tcW w:w="1963" w:type="dxa"/>
            <w:vAlign w:val="center"/>
          </w:tcPr>
          <w:p w14:paraId="48B23BDB" w14:textId="77777777" w:rsidR="004B0883" w:rsidRDefault="004B0883">
            <w:pPr>
              <w:adjustRightInd w:val="0"/>
              <w:snapToGrid w:val="0"/>
              <w:rPr>
                <w:kern w:val="0"/>
              </w:rPr>
            </w:pPr>
            <w:r>
              <w:rPr>
                <w:kern w:val="0"/>
              </w:rPr>
              <w:t xml:space="preserve">  </w:t>
            </w:r>
            <w:r>
              <w:rPr>
                <w:rFonts w:hint="eastAsia"/>
                <w:kern w:val="0"/>
              </w:rPr>
              <w:t>合同负债</w:t>
            </w:r>
          </w:p>
        </w:tc>
        <w:tc>
          <w:tcPr>
            <w:tcW w:w="1881" w:type="dxa"/>
            <w:vAlign w:val="center"/>
          </w:tcPr>
          <w:p w14:paraId="78AF100E" w14:textId="77777777" w:rsidR="004B0883" w:rsidRDefault="004B0883">
            <w:pPr>
              <w:adjustRightInd w:val="0"/>
              <w:snapToGrid w:val="0"/>
              <w:jc w:val="right"/>
              <w:rPr>
                <w:color w:val="000000"/>
                <w:kern w:val="0"/>
              </w:rPr>
            </w:pPr>
            <w:r>
              <w:t>3,462.02</w:t>
            </w:r>
          </w:p>
        </w:tc>
        <w:tc>
          <w:tcPr>
            <w:tcW w:w="1561" w:type="dxa"/>
            <w:vAlign w:val="center"/>
          </w:tcPr>
          <w:p w14:paraId="6F07DE92" w14:textId="77777777" w:rsidR="004B0883" w:rsidRDefault="004B0883">
            <w:pPr>
              <w:adjustRightInd w:val="0"/>
              <w:snapToGrid w:val="0"/>
              <w:jc w:val="right"/>
              <w:rPr>
                <w:color w:val="000000"/>
                <w:kern w:val="0"/>
              </w:rPr>
            </w:pPr>
            <w:r>
              <w:rPr>
                <w:rFonts w:hint="eastAsia"/>
                <w:color w:val="000000"/>
                <w:kern w:val="0"/>
              </w:rPr>
              <w:t>1,698.60</w:t>
            </w:r>
          </w:p>
        </w:tc>
        <w:tc>
          <w:tcPr>
            <w:tcW w:w="1560" w:type="dxa"/>
            <w:vAlign w:val="center"/>
          </w:tcPr>
          <w:p w14:paraId="1BF2800D" w14:textId="77777777" w:rsidR="004B0883" w:rsidRDefault="004B0883">
            <w:pPr>
              <w:adjustRightInd w:val="0"/>
              <w:snapToGrid w:val="0"/>
              <w:jc w:val="right"/>
              <w:rPr>
                <w:color w:val="000000"/>
                <w:kern w:val="0"/>
              </w:rPr>
            </w:pPr>
            <w:r>
              <w:rPr>
                <w:rFonts w:hint="eastAsia"/>
                <w:color w:val="000000"/>
                <w:kern w:val="0"/>
              </w:rPr>
              <w:t>1,628.16</w:t>
            </w:r>
          </w:p>
        </w:tc>
        <w:tc>
          <w:tcPr>
            <w:tcW w:w="1561" w:type="dxa"/>
            <w:vAlign w:val="center"/>
          </w:tcPr>
          <w:p w14:paraId="412733B0" w14:textId="77777777" w:rsidR="004B0883" w:rsidRDefault="004B0883">
            <w:pPr>
              <w:adjustRightInd w:val="0"/>
              <w:snapToGrid w:val="0"/>
              <w:jc w:val="right"/>
              <w:rPr>
                <w:color w:val="000000"/>
                <w:kern w:val="0"/>
              </w:rPr>
            </w:pPr>
            <w:r>
              <w:rPr>
                <w:rFonts w:hint="eastAsia"/>
                <w:color w:val="000000"/>
                <w:kern w:val="0"/>
              </w:rPr>
              <w:t>1,791.72</w:t>
            </w:r>
          </w:p>
        </w:tc>
      </w:tr>
      <w:tr w:rsidR="004B0883" w14:paraId="5275A2BF" w14:textId="77777777">
        <w:trPr>
          <w:trHeight w:val="397"/>
          <w:jc w:val="center"/>
        </w:trPr>
        <w:tc>
          <w:tcPr>
            <w:tcW w:w="1963" w:type="dxa"/>
            <w:vAlign w:val="center"/>
          </w:tcPr>
          <w:p w14:paraId="6D54A63C" w14:textId="77777777" w:rsidR="004B0883" w:rsidRDefault="004B0883">
            <w:pPr>
              <w:adjustRightInd w:val="0"/>
              <w:snapToGrid w:val="0"/>
              <w:rPr>
                <w:kern w:val="0"/>
              </w:rPr>
            </w:pPr>
            <w:r>
              <w:rPr>
                <w:kern w:val="0"/>
              </w:rPr>
              <w:t xml:space="preserve">  </w:t>
            </w:r>
            <w:r>
              <w:rPr>
                <w:rFonts w:hint="eastAsia"/>
                <w:kern w:val="0"/>
              </w:rPr>
              <w:t>应付职工薪酬</w:t>
            </w:r>
          </w:p>
        </w:tc>
        <w:tc>
          <w:tcPr>
            <w:tcW w:w="1881" w:type="dxa"/>
            <w:vAlign w:val="center"/>
          </w:tcPr>
          <w:p w14:paraId="637A3718" w14:textId="77777777" w:rsidR="004B0883" w:rsidRDefault="004B0883">
            <w:pPr>
              <w:adjustRightInd w:val="0"/>
              <w:snapToGrid w:val="0"/>
              <w:jc w:val="right"/>
              <w:rPr>
                <w:color w:val="000000"/>
                <w:kern w:val="0"/>
              </w:rPr>
            </w:pPr>
            <w:r>
              <w:t>853.43</w:t>
            </w:r>
          </w:p>
        </w:tc>
        <w:tc>
          <w:tcPr>
            <w:tcW w:w="1561" w:type="dxa"/>
            <w:vAlign w:val="center"/>
          </w:tcPr>
          <w:p w14:paraId="62A071C1" w14:textId="77777777" w:rsidR="004B0883" w:rsidRDefault="004B0883">
            <w:pPr>
              <w:adjustRightInd w:val="0"/>
              <w:snapToGrid w:val="0"/>
              <w:jc w:val="right"/>
              <w:rPr>
                <w:color w:val="000000"/>
                <w:kern w:val="0"/>
              </w:rPr>
            </w:pPr>
            <w:r>
              <w:rPr>
                <w:rFonts w:hint="eastAsia"/>
                <w:color w:val="000000"/>
                <w:kern w:val="0"/>
              </w:rPr>
              <w:t>1,469.47</w:t>
            </w:r>
          </w:p>
        </w:tc>
        <w:tc>
          <w:tcPr>
            <w:tcW w:w="1560" w:type="dxa"/>
            <w:vAlign w:val="center"/>
          </w:tcPr>
          <w:p w14:paraId="4038D161" w14:textId="77777777" w:rsidR="004B0883" w:rsidRDefault="004B0883">
            <w:pPr>
              <w:adjustRightInd w:val="0"/>
              <w:snapToGrid w:val="0"/>
              <w:jc w:val="right"/>
              <w:rPr>
                <w:color w:val="000000"/>
                <w:kern w:val="0"/>
              </w:rPr>
            </w:pPr>
            <w:r>
              <w:rPr>
                <w:rFonts w:hint="eastAsia"/>
                <w:color w:val="000000"/>
                <w:kern w:val="0"/>
              </w:rPr>
              <w:t>918.06</w:t>
            </w:r>
          </w:p>
        </w:tc>
        <w:tc>
          <w:tcPr>
            <w:tcW w:w="1561" w:type="dxa"/>
            <w:vAlign w:val="center"/>
          </w:tcPr>
          <w:p w14:paraId="5EC54F07" w14:textId="77777777" w:rsidR="004B0883" w:rsidRDefault="004B0883">
            <w:pPr>
              <w:adjustRightInd w:val="0"/>
              <w:snapToGrid w:val="0"/>
              <w:jc w:val="right"/>
              <w:rPr>
                <w:color w:val="000000"/>
                <w:kern w:val="0"/>
              </w:rPr>
            </w:pPr>
            <w:r>
              <w:rPr>
                <w:rFonts w:hint="eastAsia"/>
                <w:color w:val="000000"/>
                <w:kern w:val="0"/>
              </w:rPr>
              <w:t>959.21</w:t>
            </w:r>
          </w:p>
        </w:tc>
      </w:tr>
      <w:tr w:rsidR="004B0883" w14:paraId="26FA7620" w14:textId="77777777">
        <w:trPr>
          <w:trHeight w:val="397"/>
          <w:jc w:val="center"/>
        </w:trPr>
        <w:tc>
          <w:tcPr>
            <w:tcW w:w="1963" w:type="dxa"/>
            <w:vAlign w:val="center"/>
          </w:tcPr>
          <w:p w14:paraId="05F1661D" w14:textId="77777777" w:rsidR="004B0883" w:rsidRDefault="004B0883">
            <w:pPr>
              <w:adjustRightInd w:val="0"/>
              <w:snapToGrid w:val="0"/>
              <w:rPr>
                <w:kern w:val="0"/>
              </w:rPr>
            </w:pPr>
            <w:r>
              <w:rPr>
                <w:kern w:val="0"/>
              </w:rPr>
              <w:t xml:space="preserve">  </w:t>
            </w:r>
            <w:r>
              <w:rPr>
                <w:rFonts w:hint="eastAsia"/>
                <w:kern w:val="0"/>
              </w:rPr>
              <w:t>应交税费</w:t>
            </w:r>
          </w:p>
        </w:tc>
        <w:tc>
          <w:tcPr>
            <w:tcW w:w="1881" w:type="dxa"/>
            <w:vAlign w:val="center"/>
          </w:tcPr>
          <w:p w14:paraId="18E70928" w14:textId="77777777" w:rsidR="004B0883" w:rsidRDefault="004B0883">
            <w:pPr>
              <w:adjustRightInd w:val="0"/>
              <w:snapToGrid w:val="0"/>
              <w:jc w:val="right"/>
              <w:rPr>
                <w:color w:val="000000"/>
                <w:kern w:val="0"/>
              </w:rPr>
            </w:pPr>
            <w:r>
              <w:t>624.47</w:t>
            </w:r>
          </w:p>
        </w:tc>
        <w:tc>
          <w:tcPr>
            <w:tcW w:w="1561" w:type="dxa"/>
            <w:vAlign w:val="center"/>
          </w:tcPr>
          <w:p w14:paraId="7256F3DB" w14:textId="77777777" w:rsidR="004B0883" w:rsidRDefault="004B0883">
            <w:pPr>
              <w:adjustRightInd w:val="0"/>
              <w:snapToGrid w:val="0"/>
              <w:jc w:val="right"/>
              <w:rPr>
                <w:color w:val="000000"/>
                <w:kern w:val="0"/>
              </w:rPr>
            </w:pPr>
            <w:r>
              <w:rPr>
                <w:rFonts w:hint="eastAsia"/>
                <w:color w:val="000000"/>
                <w:kern w:val="0"/>
              </w:rPr>
              <w:t>1,054.98</w:t>
            </w:r>
          </w:p>
        </w:tc>
        <w:tc>
          <w:tcPr>
            <w:tcW w:w="1560" w:type="dxa"/>
            <w:vAlign w:val="center"/>
          </w:tcPr>
          <w:p w14:paraId="0CD61ED5" w14:textId="77777777" w:rsidR="004B0883" w:rsidRDefault="004B0883">
            <w:pPr>
              <w:adjustRightInd w:val="0"/>
              <w:snapToGrid w:val="0"/>
              <w:jc w:val="right"/>
              <w:rPr>
                <w:color w:val="000000"/>
                <w:kern w:val="0"/>
              </w:rPr>
            </w:pPr>
            <w:r>
              <w:rPr>
                <w:rFonts w:hint="eastAsia"/>
                <w:color w:val="000000"/>
                <w:kern w:val="0"/>
              </w:rPr>
              <w:t>366.19</w:t>
            </w:r>
          </w:p>
        </w:tc>
        <w:tc>
          <w:tcPr>
            <w:tcW w:w="1561" w:type="dxa"/>
            <w:vAlign w:val="center"/>
          </w:tcPr>
          <w:p w14:paraId="0D69980A" w14:textId="77777777" w:rsidR="004B0883" w:rsidRDefault="004B0883">
            <w:pPr>
              <w:adjustRightInd w:val="0"/>
              <w:snapToGrid w:val="0"/>
              <w:jc w:val="right"/>
              <w:rPr>
                <w:color w:val="000000"/>
                <w:kern w:val="0"/>
              </w:rPr>
            </w:pPr>
            <w:r>
              <w:rPr>
                <w:rFonts w:hint="eastAsia"/>
                <w:color w:val="000000"/>
                <w:kern w:val="0"/>
              </w:rPr>
              <w:t>37.33</w:t>
            </w:r>
          </w:p>
        </w:tc>
      </w:tr>
      <w:tr w:rsidR="004B0883" w14:paraId="13C494B0" w14:textId="77777777">
        <w:trPr>
          <w:trHeight w:val="397"/>
          <w:jc w:val="center"/>
        </w:trPr>
        <w:tc>
          <w:tcPr>
            <w:tcW w:w="1963" w:type="dxa"/>
            <w:vAlign w:val="center"/>
          </w:tcPr>
          <w:p w14:paraId="71926FD5" w14:textId="77777777" w:rsidR="004B0883" w:rsidRDefault="004B0883">
            <w:pPr>
              <w:adjustRightInd w:val="0"/>
              <w:snapToGrid w:val="0"/>
              <w:rPr>
                <w:kern w:val="0"/>
              </w:rPr>
            </w:pPr>
            <w:r>
              <w:rPr>
                <w:kern w:val="0"/>
              </w:rPr>
              <w:t xml:space="preserve">  </w:t>
            </w:r>
            <w:r>
              <w:rPr>
                <w:rFonts w:hint="eastAsia"/>
                <w:kern w:val="0"/>
              </w:rPr>
              <w:t>其他应付款</w:t>
            </w:r>
          </w:p>
        </w:tc>
        <w:tc>
          <w:tcPr>
            <w:tcW w:w="1881" w:type="dxa"/>
            <w:vAlign w:val="center"/>
          </w:tcPr>
          <w:p w14:paraId="19D91FCA" w14:textId="77777777" w:rsidR="004B0883" w:rsidRDefault="004B0883">
            <w:pPr>
              <w:adjustRightInd w:val="0"/>
              <w:snapToGrid w:val="0"/>
              <w:jc w:val="right"/>
              <w:rPr>
                <w:color w:val="000000"/>
                <w:kern w:val="0"/>
              </w:rPr>
            </w:pPr>
            <w:r>
              <w:t>1,849.57</w:t>
            </w:r>
          </w:p>
        </w:tc>
        <w:tc>
          <w:tcPr>
            <w:tcW w:w="1561" w:type="dxa"/>
            <w:vAlign w:val="center"/>
          </w:tcPr>
          <w:p w14:paraId="39A540F4" w14:textId="77777777" w:rsidR="004B0883" w:rsidRDefault="004B0883">
            <w:pPr>
              <w:adjustRightInd w:val="0"/>
              <w:snapToGrid w:val="0"/>
              <w:jc w:val="right"/>
              <w:rPr>
                <w:color w:val="000000"/>
                <w:kern w:val="0"/>
              </w:rPr>
            </w:pPr>
            <w:r>
              <w:rPr>
                <w:rFonts w:hint="eastAsia"/>
                <w:color w:val="000000"/>
                <w:kern w:val="0"/>
              </w:rPr>
              <w:t>2,026.22</w:t>
            </w:r>
          </w:p>
        </w:tc>
        <w:tc>
          <w:tcPr>
            <w:tcW w:w="1560" w:type="dxa"/>
            <w:vAlign w:val="center"/>
          </w:tcPr>
          <w:p w14:paraId="13B9AFCD" w14:textId="77777777" w:rsidR="004B0883" w:rsidRDefault="004B0883">
            <w:pPr>
              <w:adjustRightInd w:val="0"/>
              <w:snapToGrid w:val="0"/>
              <w:jc w:val="right"/>
              <w:rPr>
                <w:color w:val="000000"/>
                <w:kern w:val="0"/>
              </w:rPr>
            </w:pPr>
            <w:r>
              <w:rPr>
                <w:rFonts w:hint="eastAsia"/>
                <w:color w:val="000000"/>
                <w:kern w:val="0"/>
              </w:rPr>
              <w:t>3,194.81</w:t>
            </w:r>
          </w:p>
        </w:tc>
        <w:tc>
          <w:tcPr>
            <w:tcW w:w="1561" w:type="dxa"/>
            <w:vAlign w:val="center"/>
          </w:tcPr>
          <w:p w14:paraId="559A192C" w14:textId="77777777" w:rsidR="004B0883" w:rsidRDefault="004B0883">
            <w:pPr>
              <w:adjustRightInd w:val="0"/>
              <w:snapToGrid w:val="0"/>
              <w:jc w:val="right"/>
              <w:rPr>
                <w:color w:val="000000"/>
                <w:kern w:val="0"/>
              </w:rPr>
            </w:pPr>
            <w:r>
              <w:rPr>
                <w:rFonts w:hint="eastAsia"/>
                <w:color w:val="000000"/>
                <w:kern w:val="0"/>
              </w:rPr>
              <w:t>873.89</w:t>
            </w:r>
          </w:p>
        </w:tc>
      </w:tr>
      <w:tr w:rsidR="004B0883" w14:paraId="6FC61FD4" w14:textId="77777777">
        <w:trPr>
          <w:trHeight w:val="397"/>
          <w:jc w:val="center"/>
        </w:trPr>
        <w:tc>
          <w:tcPr>
            <w:tcW w:w="1963" w:type="dxa"/>
            <w:vAlign w:val="center"/>
          </w:tcPr>
          <w:p w14:paraId="7788E665" w14:textId="77777777" w:rsidR="004B0883" w:rsidRDefault="004B0883">
            <w:pPr>
              <w:adjustRightInd w:val="0"/>
              <w:snapToGrid w:val="0"/>
              <w:rPr>
                <w:kern w:val="0"/>
              </w:rPr>
            </w:pPr>
            <w:r>
              <w:rPr>
                <w:kern w:val="0"/>
              </w:rPr>
              <w:t xml:space="preserve">  </w:t>
            </w:r>
            <w:r>
              <w:rPr>
                <w:rFonts w:hint="eastAsia"/>
                <w:kern w:val="0"/>
              </w:rPr>
              <w:t>其他流动负债</w:t>
            </w:r>
          </w:p>
        </w:tc>
        <w:tc>
          <w:tcPr>
            <w:tcW w:w="1881" w:type="dxa"/>
            <w:vAlign w:val="center"/>
          </w:tcPr>
          <w:p w14:paraId="59FBB550" w14:textId="77777777" w:rsidR="004B0883" w:rsidRDefault="004B0883">
            <w:pPr>
              <w:adjustRightInd w:val="0"/>
              <w:snapToGrid w:val="0"/>
              <w:jc w:val="right"/>
              <w:rPr>
                <w:color w:val="000000"/>
                <w:kern w:val="0"/>
              </w:rPr>
            </w:pPr>
            <w:r>
              <w:t>197.76</w:t>
            </w:r>
          </w:p>
        </w:tc>
        <w:tc>
          <w:tcPr>
            <w:tcW w:w="1561" w:type="dxa"/>
            <w:vAlign w:val="center"/>
          </w:tcPr>
          <w:p w14:paraId="2867AB62" w14:textId="77777777" w:rsidR="004B0883" w:rsidRDefault="004B0883">
            <w:pPr>
              <w:adjustRightInd w:val="0"/>
              <w:snapToGrid w:val="0"/>
              <w:jc w:val="right"/>
              <w:rPr>
                <w:color w:val="000000"/>
                <w:kern w:val="0"/>
              </w:rPr>
            </w:pPr>
            <w:r>
              <w:rPr>
                <w:rFonts w:hint="eastAsia"/>
                <w:color w:val="000000"/>
                <w:kern w:val="0"/>
              </w:rPr>
              <w:t>32.07</w:t>
            </w:r>
          </w:p>
        </w:tc>
        <w:tc>
          <w:tcPr>
            <w:tcW w:w="1560" w:type="dxa"/>
            <w:vAlign w:val="center"/>
          </w:tcPr>
          <w:p w14:paraId="2C26A8F7" w14:textId="77777777" w:rsidR="004B0883" w:rsidRDefault="004B0883">
            <w:pPr>
              <w:adjustRightInd w:val="0"/>
              <w:snapToGrid w:val="0"/>
              <w:jc w:val="right"/>
              <w:rPr>
                <w:color w:val="000000"/>
                <w:kern w:val="0"/>
              </w:rPr>
            </w:pPr>
            <w:r>
              <w:rPr>
                <w:rFonts w:hint="eastAsia"/>
                <w:color w:val="000000"/>
                <w:kern w:val="0"/>
              </w:rPr>
              <w:t>36.02</w:t>
            </w:r>
          </w:p>
        </w:tc>
        <w:tc>
          <w:tcPr>
            <w:tcW w:w="1561" w:type="dxa"/>
            <w:vAlign w:val="center"/>
          </w:tcPr>
          <w:p w14:paraId="622CE7D1" w14:textId="77777777" w:rsidR="004B0883" w:rsidRDefault="004B0883">
            <w:pPr>
              <w:adjustRightInd w:val="0"/>
              <w:snapToGrid w:val="0"/>
              <w:jc w:val="right"/>
              <w:rPr>
                <w:color w:val="000000"/>
                <w:kern w:val="0"/>
              </w:rPr>
            </w:pPr>
            <w:r>
              <w:rPr>
                <w:rFonts w:hint="eastAsia"/>
                <w:color w:val="000000"/>
                <w:kern w:val="0"/>
              </w:rPr>
              <w:t>73.34</w:t>
            </w:r>
          </w:p>
        </w:tc>
      </w:tr>
      <w:tr w:rsidR="004B0883" w14:paraId="3FEE2B72" w14:textId="77777777">
        <w:trPr>
          <w:trHeight w:val="397"/>
          <w:jc w:val="center"/>
        </w:trPr>
        <w:tc>
          <w:tcPr>
            <w:tcW w:w="1963" w:type="dxa"/>
            <w:vAlign w:val="center"/>
          </w:tcPr>
          <w:p w14:paraId="1EBFFF3B" w14:textId="77777777" w:rsidR="004B0883" w:rsidRDefault="004B0883">
            <w:pPr>
              <w:adjustRightInd w:val="0"/>
              <w:snapToGrid w:val="0"/>
              <w:rPr>
                <w:b/>
                <w:bCs/>
                <w:kern w:val="0"/>
              </w:rPr>
            </w:pPr>
            <w:r>
              <w:rPr>
                <w:b/>
                <w:bCs/>
                <w:kern w:val="0"/>
              </w:rPr>
              <w:t>流动负债合计</w:t>
            </w:r>
            <w:r>
              <w:rPr>
                <w:b/>
                <w:bCs/>
                <w:kern w:val="0"/>
              </w:rPr>
              <w:t xml:space="preserve">          </w:t>
            </w:r>
          </w:p>
        </w:tc>
        <w:tc>
          <w:tcPr>
            <w:tcW w:w="1881" w:type="dxa"/>
            <w:vAlign w:val="center"/>
          </w:tcPr>
          <w:p w14:paraId="46AF2D9C" w14:textId="77777777" w:rsidR="004B0883" w:rsidRDefault="004B0883">
            <w:pPr>
              <w:adjustRightInd w:val="0"/>
              <w:snapToGrid w:val="0"/>
              <w:jc w:val="right"/>
              <w:rPr>
                <w:b/>
                <w:bCs/>
                <w:color w:val="000000"/>
                <w:kern w:val="0"/>
              </w:rPr>
            </w:pPr>
            <w:r>
              <w:rPr>
                <w:b/>
                <w:bCs/>
              </w:rPr>
              <w:t>13,419.29</w:t>
            </w:r>
          </w:p>
        </w:tc>
        <w:tc>
          <w:tcPr>
            <w:tcW w:w="1561" w:type="dxa"/>
            <w:vAlign w:val="center"/>
          </w:tcPr>
          <w:p w14:paraId="497595D5" w14:textId="77777777" w:rsidR="004B0883" w:rsidRDefault="004B0883">
            <w:pPr>
              <w:adjustRightInd w:val="0"/>
              <w:snapToGrid w:val="0"/>
              <w:jc w:val="right"/>
              <w:rPr>
                <w:b/>
                <w:bCs/>
                <w:color w:val="000000"/>
                <w:kern w:val="0"/>
              </w:rPr>
            </w:pPr>
            <w:r>
              <w:rPr>
                <w:rFonts w:hint="eastAsia"/>
                <w:b/>
                <w:bCs/>
                <w:color w:val="000000"/>
                <w:kern w:val="0"/>
              </w:rPr>
              <w:t>17,098.27</w:t>
            </w:r>
          </w:p>
        </w:tc>
        <w:tc>
          <w:tcPr>
            <w:tcW w:w="1560" w:type="dxa"/>
            <w:vAlign w:val="center"/>
          </w:tcPr>
          <w:p w14:paraId="3F01F641" w14:textId="77777777" w:rsidR="004B0883" w:rsidRDefault="004B0883">
            <w:pPr>
              <w:adjustRightInd w:val="0"/>
              <w:snapToGrid w:val="0"/>
              <w:jc w:val="right"/>
              <w:rPr>
                <w:b/>
                <w:bCs/>
                <w:color w:val="000000"/>
                <w:kern w:val="0"/>
              </w:rPr>
            </w:pPr>
            <w:r>
              <w:rPr>
                <w:rFonts w:hint="eastAsia"/>
                <w:b/>
                <w:bCs/>
                <w:color w:val="000000"/>
                <w:kern w:val="0"/>
              </w:rPr>
              <w:t>19,012.33</w:t>
            </w:r>
          </w:p>
        </w:tc>
        <w:tc>
          <w:tcPr>
            <w:tcW w:w="1561" w:type="dxa"/>
            <w:vAlign w:val="center"/>
          </w:tcPr>
          <w:p w14:paraId="4950E857" w14:textId="77777777" w:rsidR="004B0883" w:rsidRDefault="004B0883">
            <w:pPr>
              <w:adjustRightInd w:val="0"/>
              <w:snapToGrid w:val="0"/>
              <w:jc w:val="right"/>
              <w:rPr>
                <w:b/>
                <w:bCs/>
                <w:color w:val="000000"/>
                <w:kern w:val="0"/>
              </w:rPr>
            </w:pPr>
            <w:r>
              <w:rPr>
                <w:rFonts w:hint="eastAsia"/>
                <w:b/>
                <w:bCs/>
                <w:color w:val="000000"/>
                <w:kern w:val="0"/>
              </w:rPr>
              <w:t>14,747.84</w:t>
            </w:r>
          </w:p>
        </w:tc>
      </w:tr>
      <w:tr w:rsidR="004B0883" w14:paraId="5B0E5EC0" w14:textId="77777777">
        <w:trPr>
          <w:trHeight w:val="397"/>
          <w:jc w:val="center"/>
        </w:trPr>
        <w:tc>
          <w:tcPr>
            <w:tcW w:w="1963" w:type="dxa"/>
            <w:vAlign w:val="center"/>
          </w:tcPr>
          <w:p w14:paraId="2F058616" w14:textId="77777777" w:rsidR="004B0883" w:rsidRDefault="004B0883">
            <w:pPr>
              <w:adjustRightInd w:val="0"/>
              <w:snapToGrid w:val="0"/>
              <w:rPr>
                <w:b/>
                <w:bCs/>
                <w:kern w:val="0"/>
              </w:rPr>
            </w:pPr>
            <w:r>
              <w:rPr>
                <w:b/>
                <w:bCs/>
                <w:kern w:val="0"/>
              </w:rPr>
              <w:t>非流动负债：</w:t>
            </w:r>
          </w:p>
        </w:tc>
        <w:tc>
          <w:tcPr>
            <w:tcW w:w="1881" w:type="dxa"/>
            <w:vAlign w:val="center"/>
          </w:tcPr>
          <w:p w14:paraId="01F5D363" w14:textId="77777777" w:rsidR="004B0883" w:rsidRDefault="004B0883">
            <w:pPr>
              <w:adjustRightInd w:val="0"/>
              <w:snapToGrid w:val="0"/>
              <w:jc w:val="right"/>
              <w:rPr>
                <w:color w:val="000000"/>
                <w:kern w:val="0"/>
              </w:rPr>
            </w:pPr>
          </w:p>
        </w:tc>
        <w:tc>
          <w:tcPr>
            <w:tcW w:w="1561" w:type="dxa"/>
            <w:vAlign w:val="center"/>
          </w:tcPr>
          <w:p w14:paraId="4EBB24D3" w14:textId="77777777" w:rsidR="004B0883" w:rsidRDefault="004B0883">
            <w:pPr>
              <w:adjustRightInd w:val="0"/>
              <w:snapToGrid w:val="0"/>
              <w:jc w:val="right"/>
              <w:rPr>
                <w:color w:val="000000"/>
                <w:kern w:val="0"/>
              </w:rPr>
            </w:pPr>
          </w:p>
        </w:tc>
        <w:tc>
          <w:tcPr>
            <w:tcW w:w="1560" w:type="dxa"/>
            <w:vAlign w:val="center"/>
          </w:tcPr>
          <w:p w14:paraId="7C80A4C4" w14:textId="77777777" w:rsidR="004B0883" w:rsidRDefault="004B0883">
            <w:pPr>
              <w:adjustRightInd w:val="0"/>
              <w:snapToGrid w:val="0"/>
              <w:jc w:val="right"/>
              <w:rPr>
                <w:color w:val="000000"/>
                <w:kern w:val="0"/>
              </w:rPr>
            </w:pPr>
          </w:p>
        </w:tc>
        <w:tc>
          <w:tcPr>
            <w:tcW w:w="1561" w:type="dxa"/>
            <w:vAlign w:val="center"/>
          </w:tcPr>
          <w:p w14:paraId="6E3DFC8B" w14:textId="77777777" w:rsidR="004B0883" w:rsidRDefault="004B0883">
            <w:pPr>
              <w:adjustRightInd w:val="0"/>
              <w:snapToGrid w:val="0"/>
              <w:jc w:val="right"/>
              <w:rPr>
                <w:color w:val="000000"/>
                <w:kern w:val="0"/>
              </w:rPr>
            </w:pPr>
          </w:p>
        </w:tc>
      </w:tr>
      <w:tr w:rsidR="004B0883" w14:paraId="6815A89D" w14:textId="77777777">
        <w:trPr>
          <w:trHeight w:val="397"/>
          <w:jc w:val="center"/>
        </w:trPr>
        <w:tc>
          <w:tcPr>
            <w:tcW w:w="1963" w:type="dxa"/>
            <w:vAlign w:val="center"/>
          </w:tcPr>
          <w:p w14:paraId="5155C823" w14:textId="77777777" w:rsidR="004B0883" w:rsidRDefault="004B0883">
            <w:pPr>
              <w:adjustRightInd w:val="0"/>
              <w:snapToGrid w:val="0"/>
              <w:rPr>
                <w:kern w:val="0"/>
              </w:rPr>
            </w:pPr>
            <w:r>
              <w:rPr>
                <w:kern w:val="0"/>
              </w:rPr>
              <w:t xml:space="preserve">  </w:t>
            </w:r>
            <w:r>
              <w:rPr>
                <w:rFonts w:hint="eastAsia"/>
                <w:kern w:val="0"/>
              </w:rPr>
              <w:t>递延收益</w:t>
            </w:r>
          </w:p>
        </w:tc>
        <w:tc>
          <w:tcPr>
            <w:tcW w:w="1881" w:type="dxa"/>
            <w:vAlign w:val="center"/>
          </w:tcPr>
          <w:p w14:paraId="62EBBF21" w14:textId="77777777" w:rsidR="004B0883" w:rsidRDefault="004B0883">
            <w:pPr>
              <w:adjustRightInd w:val="0"/>
              <w:snapToGrid w:val="0"/>
              <w:jc w:val="right"/>
              <w:rPr>
                <w:color w:val="000000"/>
                <w:kern w:val="0"/>
              </w:rPr>
            </w:pPr>
            <w:r>
              <w:t>222.87</w:t>
            </w:r>
          </w:p>
        </w:tc>
        <w:tc>
          <w:tcPr>
            <w:tcW w:w="1561" w:type="dxa"/>
            <w:vAlign w:val="center"/>
          </w:tcPr>
          <w:p w14:paraId="09103BB8" w14:textId="77777777" w:rsidR="004B0883" w:rsidRDefault="004B0883">
            <w:pPr>
              <w:adjustRightInd w:val="0"/>
              <w:snapToGrid w:val="0"/>
              <w:jc w:val="right"/>
              <w:rPr>
                <w:color w:val="000000"/>
                <w:kern w:val="0"/>
              </w:rPr>
            </w:pPr>
            <w:r>
              <w:rPr>
                <w:rFonts w:hint="eastAsia"/>
                <w:color w:val="000000"/>
                <w:kern w:val="0"/>
              </w:rPr>
              <w:t>260.72</w:t>
            </w:r>
          </w:p>
        </w:tc>
        <w:tc>
          <w:tcPr>
            <w:tcW w:w="1560" w:type="dxa"/>
            <w:vAlign w:val="center"/>
          </w:tcPr>
          <w:p w14:paraId="4ECFB671" w14:textId="77777777" w:rsidR="004B0883" w:rsidRDefault="004B0883">
            <w:pPr>
              <w:adjustRightInd w:val="0"/>
              <w:snapToGrid w:val="0"/>
              <w:jc w:val="right"/>
              <w:rPr>
                <w:color w:val="000000"/>
                <w:kern w:val="0"/>
              </w:rPr>
            </w:pPr>
            <w:r>
              <w:rPr>
                <w:rFonts w:hint="eastAsia"/>
                <w:color w:val="000000"/>
                <w:kern w:val="0"/>
              </w:rPr>
              <w:t>312.36</w:t>
            </w:r>
          </w:p>
        </w:tc>
        <w:tc>
          <w:tcPr>
            <w:tcW w:w="1561" w:type="dxa"/>
            <w:vAlign w:val="center"/>
          </w:tcPr>
          <w:p w14:paraId="1196FA86" w14:textId="77777777" w:rsidR="004B0883" w:rsidRDefault="004B0883">
            <w:pPr>
              <w:adjustRightInd w:val="0"/>
              <w:snapToGrid w:val="0"/>
              <w:jc w:val="right"/>
              <w:rPr>
                <w:color w:val="000000"/>
                <w:kern w:val="0"/>
              </w:rPr>
            </w:pPr>
            <w:r>
              <w:rPr>
                <w:rFonts w:hint="eastAsia"/>
                <w:color w:val="000000"/>
                <w:kern w:val="0"/>
              </w:rPr>
              <w:t>274.59</w:t>
            </w:r>
          </w:p>
        </w:tc>
      </w:tr>
      <w:tr w:rsidR="004B0883" w14:paraId="12E2DDDB" w14:textId="77777777">
        <w:trPr>
          <w:trHeight w:val="397"/>
          <w:jc w:val="center"/>
        </w:trPr>
        <w:tc>
          <w:tcPr>
            <w:tcW w:w="1963" w:type="dxa"/>
            <w:vAlign w:val="center"/>
          </w:tcPr>
          <w:p w14:paraId="21F2893F" w14:textId="77777777" w:rsidR="004B0883" w:rsidRDefault="004B0883">
            <w:pPr>
              <w:adjustRightInd w:val="0"/>
              <w:snapToGrid w:val="0"/>
              <w:rPr>
                <w:kern w:val="0"/>
              </w:rPr>
            </w:pPr>
            <w:r>
              <w:rPr>
                <w:kern w:val="0"/>
              </w:rPr>
              <w:t xml:space="preserve">  </w:t>
            </w:r>
            <w:r>
              <w:rPr>
                <w:rFonts w:hint="eastAsia"/>
                <w:kern w:val="0"/>
              </w:rPr>
              <w:t>递延所得税负债</w:t>
            </w:r>
          </w:p>
        </w:tc>
        <w:tc>
          <w:tcPr>
            <w:tcW w:w="1881" w:type="dxa"/>
            <w:vAlign w:val="center"/>
          </w:tcPr>
          <w:p w14:paraId="7087F32D" w14:textId="77777777" w:rsidR="004B0883" w:rsidRDefault="004B0883">
            <w:pPr>
              <w:adjustRightInd w:val="0"/>
              <w:snapToGrid w:val="0"/>
              <w:jc w:val="right"/>
              <w:rPr>
                <w:color w:val="000000"/>
                <w:kern w:val="0"/>
              </w:rPr>
            </w:pPr>
            <w:r>
              <w:t>270.96</w:t>
            </w:r>
          </w:p>
        </w:tc>
        <w:tc>
          <w:tcPr>
            <w:tcW w:w="1561" w:type="dxa"/>
            <w:vAlign w:val="center"/>
          </w:tcPr>
          <w:p w14:paraId="2A88F584" w14:textId="77777777" w:rsidR="004B0883" w:rsidRDefault="004B0883">
            <w:pPr>
              <w:adjustRightInd w:val="0"/>
              <w:snapToGrid w:val="0"/>
              <w:jc w:val="right"/>
              <w:rPr>
                <w:color w:val="000000"/>
                <w:kern w:val="0"/>
              </w:rPr>
            </w:pPr>
            <w:r>
              <w:rPr>
                <w:rFonts w:hint="eastAsia"/>
                <w:color w:val="000000"/>
                <w:kern w:val="0"/>
              </w:rPr>
              <w:t>264.34</w:t>
            </w:r>
          </w:p>
        </w:tc>
        <w:tc>
          <w:tcPr>
            <w:tcW w:w="1560" w:type="dxa"/>
            <w:vAlign w:val="center"/>
          </w:tcPr>
          <w:p w14:paraId="633F9FA5" w14:textId="77777777" w:rsidR="004B0883" w:rsidRDefault="004B0883">
            <w:pPr>
              <w:adjustRightInd w:val="0"/>
              <w:snapToGrid w:val="0"/>
              <w:jc w:val="right"/>
              <w:rPr>
                <w:color w:val="000000"/>
                <w:kern w:val="0"/>
              </w:rPr>
            </w:pPr>
            <w:r>
              <w:rPr>
                <w:rFonts w:hint="eastAsia"/>
                <w:color w:val="000000"/>
                <w:kern w:val="0"/>
              </w:rPr>
              <w:t>332.68</w:t>
            </w:r>
          </w:p>
        </w:tc>
        <w:tc>
          <w:tcPr>
            <w:tcW w:w="1561" w:type="dxa"/>
            <w:vAlign w:val="center"/>
          </w:tcPr>
          <w:p w14:paraId="1ADC5CDA" w14:textId="77777777" w:rsidR="004B0883" w:rsidRDefault="004B0883">
            <w:pPr>
              <w:adjustRightInd w:val="0"/>
              <w:snapToGrid w:val="0"/>
              <w:jc w:val="right"/>
              <w:rPr>
                <w:color w:val="000000"/>
                <w:kern w:val="0"/>
              </w:rPr>
            </w:pPr>
            <w:r>
              <w:rPr>
                <w:rFonts w:hint="eastAsia"/>
                <w:color w:val="000000"/>
                <w:kern w:val="0"/>
              </w:rPr>
              <w:t>380.21</w:t>
            </w:r>
          </w:p>
        </w:tc>
      </w:tr>
      <w:tr w:rsidR="004B0883" w14:paraId="38C0BA96" w14:textId="77777777">
        <w:trPr>
          <w:trHeight w:val="397"/>
          <w:jc w:val="center"/>
        </w:trPr>
        <w:tc>
          <w:tcPr>
            <w:tcW w:w="1963" w:type="dxa"/>
            <w:vAlign w:val="center"/>
          </w:tcPr>
          <w:p w14:paraId="2465D90D" w14:textId="77777777" w:rsidR="004B0883" w:rsidRDefault="004B0883">
            <w:pPr>
              <w:adjustRightInd w:val="0"/>
              <w:snapToGrid w:val="0"/>
              <w:rPr>
                <w:b/>
                <w:bCs/>
                <w:kern w:val="0"/>
              </w:rPr>
            </w:pPr>
            <w:r>
              <w:rPr>
                <w:b/>
                <w:bCs/>
                <w:kern w:val="0"/>
              </w:rPr>
              <w:t>非流动负债合计</w:t>
            </w:r>
            <w:r>
              <w:rPr>
                <w:b/>
                <w:bCs/>
                <w:kern w:val="0"/>
              </w:rPr>
              <w:t xml:space="preserve"> </w:t>
            </w:r>
          </w:p>
        </w:tc>
        <w:tc>
          <w:tcPr>
            <w:tcW w:w="1881" w:type="dxa"/>
            <w:vAlign w:val="center"/>
          </w:tcPr>
          <w:p w14:paraId="72448DED" w14:textId="77777777" w:rsidR="004B0883" w:rsidRDefault="004B0883">
            <w:pPr>
              <w:adjustRightInd w:val="0"/>
              <w:snapToGrid w:val="0"/>
              <w:jc w:val="right"/>
              <w:rPr>
                <w:b/>
                <w:bCs/>
                <w:color w:val="000000"/>
                <w:kern w:val="0"/>
              </w:rPr>
            </w:pPr>
            <w:r>
              <w:rPr>
                <w:b/>
                <w:bCs/>
              </w:rPr>
              <w:t>493.83</w:t>
            </w:r>
          </w:p>
        </w:tc>
        <w:tc>
          <w:tcPr>
            <w:tcW w:w="1561" w:type="dxa"/>
            <w:vAlign w:val="center"/>
          </w:tcPr>
          <w:p w14:paraId="4B05C4DE" w14:textId="77777777" w:rsidR="004B0883" w:rsidRDefault="004B0883">
            <w:pPr>
              <w:adjustRightInd w:val="0"/>
              <w:snapToGrid w:val="0"/>
              <w:jc w:val="right"/>
              <w:rPr>
                <w:b/>
                <w:bCs/>
                <w:color w:val="000000"/>
                <w:kern w:val="0"/>
              </w:rPr>
            </w:pPr>
            <w:r>
              <w:rPr>
                <w:rFonts w:hint="eastAsia"/>
                <w:b/>
                <w:bCs/>
                <w:color w:val="000000"/>
                <w:kern w:val="0"/>
              </w:rPr>
              <w:t>525.06</w:t>
            </w:r>
          </w:p>
        </w:tc>
        <w:tc>
          <w:tcPr>
            <w:tcW w:w="1560" w:type="dxa"/>
            <w:vAlign w:val="center"/>
          </w:tcPr>
          <w:p w14:paraId="375E5795" w14:textId="77777777" w:rsidR="004B0883" w:rsidRDefault="004B0883">
            <w:pPr>
              <w:adjustRightInd w:val="0"/>
              <w:snapToGrid w:val="0"/>
              <w:jc w:val="right"/>
              <w:rPr>
                <w:b/>
                <w:bCs/>
                <w:color w:val="000000"/>
                <w:kern w:val="0"/>
              </w:rPr>
            </w:pPr>
            <w:r>
              <w:rPr>
                <w:rFonts w:hint="eastAsia"/>
                <w:b/>
                <w:bCs/>
                <w:color w:val="000000"/>
                <w:kern w:val="0"/>
              </w:rPr>
              <w:t>645.04</w:t>
            </w:r>
          </w:p>
        </w:tc>
        <w:tc>
          <w:tcPr>
            <w:tcW w:w="1561" w:type="dxa"/>
            <w:vAlign w:val="center"/>
          </w:tcPr>
          <w:p w14:paraId="3952CE4A" w14:textId="77777777" w:rsidR="004B0883" w:rsidRDefault="004B0883">
            <w:pPr>
              <w:adjustRightInd w:val="0"/>
              <w:snapToGrid w:val="0"/>
              <w:jc w:val="right"/>
              <w:rPr>
                <w:b/>
                <w:bCs/>
                <w:color w:val="000000"/>
                <w:kern w:val="0"/>
              </w:rPr>
            </w:pPr>
            <w:r>
              <w:rPr>
                <w:rFonts w:hint="eastAsia"/>
                <w:b/>
                <w:bCs/>
                <w:color w:val="000000"/>
                <w:kern w:val="0"/>
              </w:rPr>
              <w:t>654.80</w:t>
            </w:r>
          </w:p>
        </w:tc>
      </w:tr>
      <w:tr w:rsidR="004B0883" w14:paraId="1F1B072A" w14:textId="77777777">
        <w:trPr>
          <w:trHeight w:val="397"/>
          <w:jc w:val="center"/>
        </w:trPr>
        <w:tc>
          <w:tcPr>
            <w:tcW w:w="1963" w:type="dxa"/>
            <w:vAlign w:val="center"/>
          </w:tcPr>
          <w:p w14:paraId="54C2CDD4" w14:textId="77777777" w:rsidR="004B0883" w:rsidRDefault="004B0883">
            <w:pPr>
              <w:adjustRightInd w:val="0"/>
              <w:snapToGrid w:val="0"/>
              <w:rPr>
                <w:b/>
                <w:bCs/>
                <w:kern w:val="0"/>
              </w:rPr>
            </w:pPr>
            <w:r>
              <w:rPr>
                <w:b/>
                <w:bCs/>
                <w:kern w:val="0"/>
              </w:rPr>
              <w:t>负债合计</w:t>
            </w:r>
          </w:p>
        </w:tc>
        <w:tc>
          <w:tcPr>
            <w:tcW w:w="1881" w:type="dxa"/>
            <w:vAlign w:val="center"/>
          </w:tcPr>
          <w:p w14:paraId="505F26D7" w14:textId="77777777" w:rsidR="004B0883" w:rsidRDefault="004B0883">
            <w:pPr>
              <w:adjustRightInd w:val="0"/>
              <w:snapToGrid w:val="0"/>
              <w:jc w:val="right"/>
              <w:rPr>
                <w:b/>
                <w:bCs/>
                <w:color w:val="000000"/>
                <w:kern w:val="0"/>
              </w:rPr>
            </w:pPr>
            <w:r>
              <w:rPr>
                <w:b/>
                <w:bCs/>
              </w:rPr>
              <w:t>13,913.12</w:t>
            </w:r>
          </w:p>
        </w:tc>
        <w:tc>
          <w:tcPr>
            <w:tcW w:w="1561" w:type="dxa"/>
            <w:vAlign w:val="center"/>
          </w:tcPr>
          <w:p w14:paraId="6D61E45D" w14:textId="77777777" w:rsidR="004B0883" w:rsidRDefault="004B0883">
            <w:pPr>
              <w:adjustRightInd w:val="0"/>
              <w:snapToGrid w:val="0"/>
              <w:jc w:val="right"/>
              <w:rPr>
                <w:b/>
                <w:bCs/>
                <w:color w:val="000000"/>
                <w:kern w:val="0"/>
              </w:rPr>
            </w:pPr>
            <w:r>
              <w:rPr>
                <w:rFonts w:hint="eastAsia"/>
                <w:b/>
                <w:bCs/>
                <w:color w:val="000000"/>
                <w:kern w:val="0"/>
              </w:rPr>
              <w:t>17,623.33</w:t>
            </w:r>
          </w:p>
        </w:tc>
        <w:tc>
          <w:tcPr>
            <w:tcW w:w="1560" w:type="dxa"/>
            <w:vAlign w:val="center"/>
          </w:tcPr>
          <w:p w14:paraId="5F82B0F4" w14:textId="77777777" w:rsidR="004B0883" w:rsidRDefault="004B0883">
            <w:pPr>
              <w:adjustRightInd w:val="0"/>
              <w:snapToGrid w:val="0"/>
              <w:jc w:val="right"/>
              <w:rPr>
                <w:b/>
                <w:bCs/>
                <w:color w:val="000000"/>
                <w:kern w:val="0"/>
              </w:rPr>
            </w:pPr>
            <w:r>
              <w:rPr>
                <w:rFonts w:hint="eastAsia"/>
                <w:b/>
                <w:bCs/>
                <w:color w:val="000000"/>
                <w:kern w:val="0"/>
              </w:rPr>
              <w:t>19,657.37</w:t>
            </w:r>
          </w:p>
        </w:tc>
        <w:tc>
          <w:tcPr>
            <w:tcW w:w="1561" w:type="dxa"/>
            <w:vAlign w:val="center"/>
          </w:tcPr>
          <w:p w14:paraId="33CB7382" w14:textId="77777777" w:rsidR="004B0883" w:rsidRDefault="004B0883">
            <w:pPr>
              <w:adjustRightInd w:val="0"/>
              <w:snapToGrid w:val="0"/>
              <w:jc w:val="right"/>
              <w:rPr>
                <w:b/>
                <w:bCs/>
                <w:color w:val="000000"/>
                <w:kern w:val="0"/>
              </w:rPr>
            </w:pPr>
            <w:r>
              <w:rPr>
                <w:rFonts w:hint="eastAsia"/>
                <w:b/>
                <w:bCs/>
                <w:color w:val="000000"/>
                <w:kern w:val="0"/>
              </w:rPr>
              <w:t>15,402.65</w:t>
            </w:r>
          </w:p>
        </w:tc>
      </w:tr>
      <w:tr w:rsidR="004B0883" w14:paraId="401C8AF6" w14:textId="77777777">
        <w:trPr>
          <w:trHeight w:val="397"/>
          <w:jc w:val="center"/>
        </w:trPr>
        <w:tc>
          <w:tcPr>
            <w:tcW w:w="1963" w:type="dxa"/>
            <w:vAlign w:val="center"/>
          </w:tcPr>
          <w:p w14:paraId="6AEE8DED" w14:textId="77777777" w:rsidR="004B0883" w:rsidRDefault="004B0883">
            <w:pPr>
              <w:adjustRightInd w:val="0"/>
              <w:snapToGrid w:val="0"/>
              <w:rPr>
                <w:b/>
                <w:bCs/>
                <w:kern w:val="0"/>
              </w:rPr>
            </w:pPr>
            <w:r>
              <w:rPr>
                <w:b/>
                <w:bCs/>
                <w:kern w:val="0"/>
              </w:rPr>
              <w:t>所有者权益：</w:t>
            </w:r>
          </w:p>
        </w:tc>
        <w:tc>
          <w:tcPr>
            <w:tcW w:w="1881" w:type="dxa"/>
            <w:vAlign w:val="center"/>
          </w:tcPr>
          <w:p w14:paraId="5CC7BBBA" w14:textId="77777777" w:rsidR="004B0883" w:rsidRDefault="004B0883">
            <w:pPr>
              <w:adjustRightInd w:val="0"/>
              <w:snapToGrid w:val="0"/>
              <w:jc w:val="right"/>
              <w:rPr>
                <w:b/>
                <w:bCs/>
                <w:kern w:val="0"/>
              </w:rPr>
            </w:pPr>
          </w:p>
        </w:tc>
        <w:tc>
          <w:tcPr>
            <w:tcW w:w="1561" w:type="dxa"/>
            <w:vAlign w:val="center"/>
          </w:tcPr>
          <w:p w14:paraId="7579A782" w14:textId="77777777" w:rsidR="004B0883" w:rsidRDefault="004B0883">
            <w:pPr>
              <w:adjustRightInd w:val="0"/>
              <w:snapToGrid w:val="0"/>
              <w:jc w:val="right"/>
              <w:rPr>
                <w:color w:val="000000"/>
                <w:kern w:val="0"/>
              </w:rPr>
            </w:pPr>
          </w:p>
        </w:tc>
        <w:tc>
          <w:tcPr>
            <w:tcW w:w="1560" w:type="dxa"/>
            <w:vAlign w:val="center"/>
          </w:tcPr>
          <w:p w14:paraId="571C175E" w14:textId="77777777" w:rsidR="004B0883" w:rsidRDefault="004B0883">
            <w:pPr>
              <w:adjustRightInd w:val="0"/>
              <w:snapToGrid w:val="0"/>
              <w:jc w:val="right"/>
              <w:rPr>
                <w:color w:val="000000"/>
                <w:kern w:val="0"/>
              </w:rPr>
            </w:pPr>
          </w:p>
        </w:tc>
        <w:tc>
          <w:tcPr>
            <w:tcW w:w="1561" w:type="dxa"/>
            <w:vAlign w:val="center"/>
          </w:tcPr>
          <w:p w14:paraId="6BB955C6" w14:textId="77777777" w:rsidR="004B0883" w:rsidRDefault="004B0883">
            <w:pPr>
              <w:adjustRightInd w:val="0"/>
              <w:snapToGrid w:val="0"/>
              <w:jc w:val="right"/>
              <w:rPr>
                <w:color w:val="000000"/>
                <w:kern w:val="0"/>
              </w:rPr>
            </w:pPr>
          </w:p>
        </w:tc>
      </w:tr>
      <w:tr w:rsidR="004B0883" w14:paraId="2B6531E7" w14:textId="77777777">
        <w:trPr>
          <w:trHeight w:val="397"/>
          <w:jc w:val="center"/>
        </w:trPr>
        <w:tc>
          <w:tcPr>
            <w:tcW w:w="1963" w:type="dxa"/>
            <w:vAlign w:val="center"/>
          </w:tcPr>
          <w:p w14:paraId="220BC6ED" w14:textId="77777777" w:rsidR="004B0883" w:rsidRDefault="004B0883">
            <w:pPr>
              <w:adjustRightInd w:val="0"/>
              <w:snapToGrid w:val="0"/>
              <w:rPr>
                <w:kern w:val="0"/>
              </w:rPr>
            </w:pPr>
            <w:r>
              <w:rPr>
                <w:kern w:val="0"/>
              </w:rPr>
              <w:t xml:space="preserve">  </w:t>
            </w:r>
            <w:r>
              <w:rPr>
                <w:rFonts w:hint="eastAsia"/>
                <w:kern w:val="0"/>
              </w:rPr>
              <w:t>实收资本（或股本）</w:t>
            </w:r>
          </w:p>
        </w:tc>
        <w:tc>
          <w:tcPr>
            <w:tcW w:w="1881" w:type="dxa"/>
            <w:vAlign w:val="center"/>
          </w:tcPr>
          <w:p w14:paraId="38DB377B" w14:textId="77777777" w:rsidR="004B0883" w:rsidRDefault="004B0883">
            <w:pPr>
              <w:adjustRightInd w:val="0"/>
              <w:snapToGrid w:val="0"/>
              <w:jc w:val="right"/>
              <w:rPr>
                <w:color w:val="000000"/>
                <w:kern w:val="0"/>
              </w:rPr>
            </w:pPr>
            <w:r>
              <w:rPr>
                <w:color w:val="000000"/>
                <w:kern w:val="0"/>
              </w:rPr>
              <w:t>21,954.03</w:t>
            </w:r>
          </w:p>
        </w:tc>
        <w:tc>
          <w:tcPr>
            <w:tcW w:w="1561" w:type="dxa"/>
            <w:vAlign w:val="center"/>
          </w:tcPr>
          <w:p w14:paraId="4CEC4B2A" w14:textId="77777777" w:rsidR="004B0883" w:rsidRDefault="004B0883">
            <w:pPr>
              <w:adjustRightInd w:val="0"/>
              <w:snapToGrid w:val="0"/>
              <w:jc w:val="right"/>
              <w:rPr>
                <w:color w:val="000000"/>
                <w:kern w:val="0"/>
              </w:rPr>
            </w:pPr>
            <w:r>
              <w:rPr>
                <w:rFonts w:hint="eastAsia"/>
                <w:color w:val="000000"/>
                <w:kern w:val="0"/>
              </w:rPr>
              <w:t>16,887.71</w:t>
            </w:r>
          </w:p>
        </w:tc>
        <w:tc>
          <w:tcPr>
            <w:tcW w:w="1560" w:type="dxa"/>
            <w:vAlign w:val="center"/>
          </w:tcPr>
          <w:p w14:paraId="200C702A" w14:textId="77777777" w:rsidR="004B0883" w:rsidRDefault="004B0883">
            <w:pPr>
              <w:adjustRightInd w:val="0"/>
              <w:snapToGrid w:val="0"/>
              <w:jc w:val="right"/>
              <w:rPr>
                <w:color w:val="000000"/>
                <w:kern w:val="0"/>
              </w:rPr>
            </w:pPr>
            <w:r>
              <w:rPr>
                <w:rFonts w:hint="eastAsia"/>
                <w:color w:val="000000"/>
                <w:kern w:val="0"/>
              </w:rPr>
              <w:t>16,903.26</w:t>
            </w:r>
          </w:p>
        </w:tc>
        <w:tc>
          <w:tcPr>
            <w:tcW w:w="1561" w:type="dxa"/>
            <w:vAlign w:val="center"/>
          </w:tcPr>
          <w:p w14:paraId="1837AFEF" w14:textId="77777777" w:rsidR="004B0883" w:rsidRDefault="004B0883">
            <w:pPr>
              <w:adjustRightInd w:val="0"/>
              <w:snapToGrid w:val="0"/>
              <w:jc w:val="right"/>
              <w:rPr>
                <w:color w:val="000000"/>
                <w:kern w:val="0"/>
              </w:rPr>
            </w:pPr>
            <w:r>
              <w:rPr>
                <w:rFonts w:hint="eastAsia"/>
                <w:color w:val="000000"/>
                <w:kern w:val="0"/>
              </w:rPr>
              <w:t>11,668.00</w:t>
            </w:r>
          </w:p>
        </w:tc>
      </w:tr>
      <w:tr w:rsidR="004B0883" w14:paraId="30685599" w14:textId="77777777">
        <w:trPr>
          <w:trHeight w:val="397"/>
          <w:jc w:val="center"/>
        </w:trPr>
        <w:tc>
          <w:tcPr>
            <w:tcW w:w="1963" w:type="dxa"/>
            <w:vAlign w:val="center"/>
          </w:tcPr>
          <w:p w14:paraId="643828BB" w14:textId="77777777" w:rsidR="004B0883" w:rsidRDefault="004B0883">
            <w:pPr>
              <w:adjustRightInd w:val="0"/>
              <w:snapToGrid w:val="0"/>
              <w:rPr>
                <w:kern w:val="0"/>
              </w:rPr>
            </w:pPr>
            <w:r>
              <w:rPr>
                <w:kern w:val="0"/>
              </w:rPr>
              <w:t xml:space="preserve">  </w:t>
            </w:r>
            <w:r>
              <w:rPr>
                <w:rFonts w:hint="eastAsia"/>
                <w:kern w:val="0"/>
              </w:rPr>
              <w:t>资本公积</w:t>
            </w:r>
          </w:p>
        </w:tc>
        <w:tc>
          <w:tcPr>
            <w:tcW w:w="1881" w:type="dxa"/>
            <w:vAlign w:val="center"/>
          </w:tcPr>
          <w:p w14:paraId="597F8884" w14:textId="77777777" w:rsidR="004B0883" w:rsidRDefault="004B0883">
            <w:pPr>
              <w:adjustRightInd w:val="0"/>
              <w:snapToGrid w:val="0"/>
              <w:jc w:val="right"/>
              <w:rPr>
                <w:color w:val="000000"/>
                <w:kern w:val="0"/>
              </w:rPr>
            </w:pPr>
            <w:r>
              <w:t>13,621.34</w:t>
            </w:r>
          </w:p>
        </w:tc>
        <w:tc>
          <w:tcPr>
            <w:tcW w:w="1561" w:type="dxa"/>
            <w:vAlign w:val="center"/>
          </w:tcPr>
          <w:p w14:paraId="0CA51017" w14:textId="77777777" w:rsidR="004B0883" w:rsidRDefault="004B0883">
            <w:pPr>
              <w:adjustRightInd w:val="0"/>
              <w:snapToGrid w:val="0"/>
              <w:jc w:val="right"/>
              <w:rPr>
                <w:color w:val="000000"/>
                <w:kern w:val="0"/>
              </w:rPr>
            </w:pPr>
            <w:r>
              <w:rPr>
                <w:rFonts w:hint="eastAsia"/>
                <w:color w:val="000000"/>
                <w:kern w:val="0"/>
              </w:rPr>
              <w:t>18,282.82</w:t>
            </w:r>
          </w:p>
        </w:tc>
        <w:tc>
          <w:tcPr>
            <w:tcW w:w="1560" w:type="dxa"/>
            <w:vAlign w:val="center"/>
          </w:tcPr>
          <w:p w14:paraId="3366F78E" w14:textId="77777777" w:rsidR="004B0883" w:rsidRDefault="004B0883">
            <w:pPr>
              <w:adjustRightInd w:val="0"/>
              <w:snapToGrid w:val="0"/>
              <w:jc w:val="right"/>
              <w:rPr>
                <w:color w:val="000000"/>
                <w:kern w:val="0"/>
              </w:rPr>
            </w:pPr>
            <w:r>
              <w:rPr>
                <w:rFonts w:hint="eastAsia"/>
                <w:color w:val="000000"/>
                <w:kern w:val="0"/>
              </w:rPr>
              <w:t>17,925.26</w:t>
            </w:r>
          </w:p>
        </w:tc>
        <w:tc>
          <w:tcPr>
            <w:tcW w:w="1561" w:type="dxa"/>
            <w:vAlign w:val="center"/>
          </w:tcPr>
          <w:p w14:paraId="1033DB14" w14:textId="77777777" w:rsidR="004B0883" w:rsidRDefault="004B0883">
            <w:pPr>
              <w:adjustRightInd w:val="0"/>
              <w:snapToGrid w:val="0"/>
              <w:jc w:val="right"/>
              <w:rPr>
                <w:color w:val="000000"/>
                <w:kern w:val="0"/>
              </w:rPr>
            </w:pPr>
            <w:r>
              <w:rPr>
                <w:rFonts w:hint="eastAsia"/>
                <w:color w:val="000000"/>
                <w:kern w:val="0"/>
              </w:rPr>
              <w:t>24,355.89</w:t>
            </w:r>
          </w:p>
        </w:tc>
      </w:tr>
      <w:tr w:rsidR="004B0883" w14:paraId="139CBCBC" w14:textId="77777777">
        <w:trPr>
          <w:trHeight w:val="397"/>
          <w:jc w:val="center"/>
        </w:trPr>
        <w:tc>
          <w:tcPr>
            <w:tcW w:w="1963" w:type="dxa"/>
            <w:vAlign w:val="center"/>
          </w:tcPr>
          <w:p w14:paraId="2DA8A56D" w14:textId="77777777" w:rsidR="004B0883" w:rsidRDefault="004B0883">
            <w:pPr>
              <w:adjustRightInd w:val="0"/>
              <w:snapToGrid w:val="0"/>
              <w:rPr>
                <w:kern w:val="0"/>
              </w:rPr>
            </w:pPr>
            <w:r>
              <w:rPr>
                <w:kern w:val="0"/>
              </w:rPr>
              <w:t xml:space="preserve">  </w:t>
            </w:r>
            <w:r>
              <w:rPr>
                <w:rFonts w:hint="eastAsia"/>
                <w:kern w:val="0"/>
              </w:rPr>
              <w:t>减：库存股</w:t>
            </w:r>
          </w:p>
        </w:tc>
        <w:tc>
          <w:tcPr>
            <w:tcW w:w="1881" w:type="dxa"/>
            <w:vAlign w:val="center"/>
          </w:tcPr>
          <w:p w14:paraId="39DF0E14" w14:textId="77777777" w:rsidR="004B0883" w:rsidRDefault="004B0883">
            <w:pPr>
              <w:adjustRightInd w:val="0"/>
              <w:snapToGrid w:val="0"/>
              <w:jc w:val="right"/>
              <w:rPr>
                <w:color w:val="000000"/>
                <w:kern w:val="0"/>
              </w:rPr>
            </w:pPr>
            <w:r>
              <w:t>960.84</w:t>
            </w:r>
          </w:p>
        </w:tc>
        <w:tc>
          <w:tcPr>
            <w:tcW w:w="1561" w:type="dxa"/>
            <w:vAlign w:val="center"/>
          </w:tcPr>
          <w:p w14:paraId="3D2BFA0B" w14:textId="77777777" w:rsidR="004B0883" w:rsidRDefault="004B0883">
            <w:pPr>
              <w:adjustRightInd w:val="0"/>
              <w:snapToGrid w:val="0"/>
              <w:jc w:val="right"/>
              <w:rPr>
                <w:color w:val="000000"/>
                <w:kern w:val="0"/>
              </w:rPr>
            </w:pPr>
            <w:r>
              <w:rPr>
                <w:rFonts w:hint="eastAsia"/>
                <w:color w:val="000000"/>
                <w:kern w:val="0"/>
              </w:rPr>
              <w:t>1,037.01</w:t>
            </w:r>
          </w:p>
        </w:tc>
        <w:tc>
          <w:tcPr>
            <w:tcW w:w="1560" w:type="dxa"/>
            <w:vAlign w:val="center"/>
          </w:tcPr>
          <w:p w14:paraId="5B245D99" w14:textId="77777777" w:rsidR="004B0883" w:rsidRDefault="004B0883">
            <w:pPr>
              <w:adjustRightInd w:val="0"/>
              <w:snapToGrid w:val="0"/>
              <w:jc w:val="right"/>
              <w:rPr>
                <w:color w:val="000000"/>
                <w:kern w:val="0"/>
              </w:rPr>
            </w:pPr>
            <w:r>
              <w:rPr>
                <w:rFonts w:hint="eastAsia"/>
                <w:color w:val="000000"/>
                <w:kern w:val="0"/>
              </w:rPr>
              <w:t>1,767.57</w:t>
            </w:r>
          </w:p>
        </w:tc>
        <w:tc>
          <w:tcPr>
            <w:tcW w:w="1561" w:type="dxa"/>
            <w:vAlign w:val="center"/>
          </w:tcPr>
          <w:p w14:paraId="1D279C1D" w14:textId="77777777" w:rsidR="004B0883" w:rsidRDefault="004B0883">
            <w:pPr>
              <w:adjustRightInd w:val="0"/>
              <w:snapToGrid w:val="0"/>
              <w:jc w:val="right"/>
              <w:rPr>
                <w:color w:val="000000"/>
                <w:kern w:val="0"/>
              </w:rPr>
            </w:pPr>
            <w:r>
              <w:rPr>
                <w:rFonts w:hint="eastAsia"/>
                <w:color w:val="000000"/>
                <w:kern w:val="0"/>
              </w:rPr>
              <w:t>383.59</w:t>
            </w:r>
          </w:p>
        </w:tc>
      </w:tr>
      <w:tr w:rsidR="004B0883" w14:paraId="2194242A" w14:textId="77777777">
        <w:trPr>
          <w:trHeight w:val="397"/>
          <w:jc w:val="center"/>
        </w:trPr>
        <w:tc>
          <w:tcPr>
            <w:tcW w:w="1963" w:type="dxa"/>
            <w:vAlign w:val="center"/>
          </w:tcPr>
          <w:p w14:paraId="7F01349C" w14:textId="77777777" w:rsidR="004B0883" w:rsidRDefault="004B0883">
            <w:pPr>
              <w:adjustRightInd w:val="0"/>
              <w:snapToGrid w:val="0"/>
              <w:rPr>
                <w:kern w:val="0"/>
              </w:rPr>
            </w:pPr>
            <w:r>
              <w:rPr>
                <w:kern w:val="0"/>
              </w:rPr>
              <w:t xml:space="preserve">  </w:t>
            </w:r>
            <w:r>
              <w:rPr>
                <w:rFonts w:hint="eastAsia"/>
                <w:kern w:val="0"/>
              </w:rPr>
              <w:t>盈余公积</w:t>
            </w:r>
          </w:p>
        </w:tc>
        <w:tc>
          <w:tcPr>
            <w:tcW w:w="1881" w:type="dxa"/>
            <w:vAlign w:val="center"/>
          </w:tcPr>
          <w:p w14:paraId="6C4C4D57" w14:textId="77777777" w:rsidR="004B0883" w:rsidRDefault="004B0883">
            <w:pPr>
              <w:adjustRightInd w:val="0"/>
              <w:snapToGrid w:val="0"/>
              <w:jc w:val="right"/>
              <w:rPr>
                <w:color w:val="000000"/>
                <w:kern w:val="0"/>
              </w:rPr>
            </w:pPr>
            <w:r>
              <w:t>7,209.33</w:t>
            </w:r>
          </w:p>
        </w:tc>
        <w:tc>
          <w:tcPr>
            <w:tcW w:w="1561" w:type="dxa"/>
            <w:vAlign w:val="center"/>
          </w:tcPr>
          <w:p w14:paraId="463FE86F" w14:textId="77777777" w:rsidR="004B0883" w:rsidRDefault="004B0883">
            <w:pPr>
              <w:adjustRightInd w:val="0"/>
              <w:snapToGrid w:val="0"/>
              <w:jc w:val="right"/>
              <w:rPr>
                <w:color w:val="000000"/>
                <w:kern w:val="0"/>
              </w:rPr>
            </w:pPr>
            <w:r>
              <w:rPr>
                <w:rFonts w:hint="eastAsia"/>
                <w:color w:val="000000"/>
                <w:kern w:val="0"/>
              </w:rPr>
              <w:t>7,209.33</w:t>
            </w:r>
          </w:p>
        </w:tc>
        <w:tc>
          <w:tcPr>
            <w:tcW w:w="1560" w:type="dxa"/>
            <w:vAlign w:val="center"/>
          </w:tcPr>
          <w:p w14:paraId="1CC4BE79" w14:textId="77777777" w:rsidR="004B0883" w:rsidRDefault="004B0883">
            <w:pPr>
              <w:adjustRightInd w:val="0"/>
              <w:snapToGrid w:val="0"/>
              <w:jc w:val="right"/>
              <w:rPr>
                <w:color w:val="000000"/>
                <w:kern w:val="0"/>
              </w:rPr>
            </w:pPr>
            <w:r>
              <w:rPr>
                <w:rFonts w:hint="eastAsia"/>
                <w:color w:val="000000"/>
                <w:kern w:val="0"/>
              </w:rPr>
              <w:t>5,840.44</w:t>
            </w:r>
          </w:p>
        </w:tc>
        <w:tc>
          <w:tcPr>
            <w:tcW w:w="1561" w:type="dxa"/>
            <w:vAlign w:val="center"/>
          </w:tcPr>
          <w:p w14:paraId="42CBDAC2" w14:textId="77777777" w:rsidR="004B0883" w:rsidRDefault="004B0883">
            <w:pPr>
              <w:adjustRightInd w:val="0"/>
              <w:snapToGrid w:val="0"/>
              <w:jc w:val="right"/>
              <w:rPr>
                <w:color w:val="000000"/>
                <w:kern w:val="0"/>
              </w:rPr>
            </w:pPr>
            <w:r>
              <w:rPr>
                <w:rFonts w:hint="eastAsia"/>
                <w:color w:val="000000"/>
                <w:kern w:val="0"/>
              </w:rPr>
              <w:t>5,197.26</w:t>
            </w:r>
          </w:p>
        </w:tc>
      </w:tr>
      <w:tr w:rsidR="004B0883" w14:paraId="18563A14" w14:textId="77777777">
        <w:trPr>
          <w:trHeight w:val="397"/>
          <w:jc w:val="center"/>
        </w:trPr>
        <w:tc>
          <w:tcPr>
            <w:tcW w:w="1963" w:type="dxa"/>
            <w:vAlign w:val="center"/>
          </w:tcPr>
          <w:p w14:paraId="4B3C1103" w14:textId="77777777" w:rsidR="004B0883" w:rsidRDefault="004B0883">
            <w:pPr>
              <w:adjustRightInd w:val="0"/>
              <w:snapToGrid w:val="0"/>
              <w:rPr>
                <w:kern w:val="0"/>
              </w:rPr>
            </w:pPr>
            <w:r>
              <w:rPr>
                <w:kern w:val="0"/>
              </w:rPr>
              <w:t xml:space="preserve">  </w:t>
            </w:r>
            <w:r>
              <w:rPr>
                <w:rFonts w:hint="eastAsia"/>
                <w:kern w:val="0"/>
              </w:rPr>
              <w:t>未分配利润</w:t>
            </w:r>
          </w:p>
        </w:tc>
        <w:tc>
          <w:tcPr>
            <w:tcW w:w="1881" w:type="dxa"/>
            <w:vAlign w:val="center"/>
          </w:tcPr>
          <w:p w14:paraId="5A656AF1" w14:textId="77777777" w:rsidR="004B0883" w:rsidRDefault="004B0883">
            <w:pPr>
              <w:adjustRightInd w:val="0"/>
              <w:snapToGrid w:val="0"/>
              <w:jc w:val="right"/>
              <w:rPr>
                <w:color w:val="000000"/>
                <w:kern w:val="0"/>
              </w:rPr>
            </w:pPr>
            <w:r>
              <w:t>38,232.61</w:t>
            </w:r>
          </w:p>
        </w:tc>
        <w:tc>
          <w:tcPr>
            <w:tcW w:w="1561" w:type="dxa"/>
            <w:vAlign w:val="center"/>
          </w:tcPr>
          <w:p w14:paraId="7FC48AFF" w14:textId="77777777" w:rsidR="004B0883" w:rsidRDefault="004B0883">
            <w:pPr>
              <w:adjustRightInd w:val="0"/>
              <w:snapToGrid w:val="0"/>
              <w:jc w:val="right"/>
              <w:rPr>
                <w:color w:val="000000"/>
                <w:kern w:val="0"/>
              </w:rPr>
            </w:pPr>
            <w:r>
              <w:rPr>
                <w:rFonts w:hint="eastAsia"/>
                <w:color w:val="000000"/>
                <w:kern w:val="0"/>
              </w:rPr>
              <w:t>34,933.78</w:t>
            </w:r>
          </w:p>
        </w:tc>
        <w:tc>
          <w:tcPr>
            <w:tcW w:w="1560" w:type="dxa"/>
            <w:vAlign w:val="center"/>
          </w:tcPr>
          <w:p w14:paraId="3215449C" w14:textId="77777777" w:rsidR="004B0883" w:rsidRDefault="004B0883">
            <w:pPr>
              <w:adjustRightInd w:val="0"/>
              <w:snapToGrid w:val="0"/>
              <w:jc w:val="right"/>
              <w:rPr>
                <w:color w:val="000000"/>
                <w:kern w:val="0"/>
              </w:rPr>
            </w:pPr>
            <w:r>
              <w:rPr>
                <w:rFonts w:hint="eastAsia"/>
                <w:color w:val="000000"/>
                <w:kern w:val="0"/>
              </w:rPr>
              <w:t>28,509.49</w:t>
            </w:r>
          </w:p>
        </w:tc>
        <w:tc>
          <w:tcPr>
            <w:tcW w:w="1561" w:type="dxa"/>
            <w:vAlign w:val="center"/>
          </w:tcPr>
          <w:p w14:paraId="74F5E4C4" w14:textId="77777777" w:rsidR="004B0883" w:rsidRDefault="004B0883">
            <w:pPr>
              <w:adjustRightInd w:val="0"/>
              <w:snapToGrid w:val="0"/>
              <w:jc w:val="right"/>
              <w:rPr>
                <w:color w:val="000000"/>
                <w:kern w:val="0"/>
              </w:rPr>
            </w:pPr>
            <w:r>
              <w:rPr>
                <w:rFonts w:hint="eastAsia"/>
                <w:color w:val="000000"/>
                <w:kern w:val="0"/>
              </w:rPr>
              <w:t>27,970.29</w:t>
            </w:r>
          </w:p>
        </w:tc>
      </w:tr>
      <w:tr w:rsidR="004B0883" w14:paraId="75415B25" w14:textId="77777777">
        <w:trPr>
          <w:trHeight w:val="397"/>
          <w:jc w:val="center"/>
        </w:trPr>
        <w:tc>
          <w:tcPr>
            <w:tcW w:w="1963" w:type="dxa"/>
            <w:vAlign w:val="center"/>
          </w:tcPr>
          <w:p w14:paraId="3EFEC2F2" w14:textId="77777777" w:rsidR="004B0883" w:rsidRDefault="004B0883">
            <w:pPr>
              <w:adjustRightInd w:val="0"/>
              <w:snapToGrid w:val="0"/>
              <w:rPr>
                <w:b/>
                <w:bCs/>
                <w:kern w:val="0"/>
              </w:rPr>
            </w:pPr>
            <w:r>
              <w:rPr>
                <w:b/>
                <w:bCs/>
                <w:kern w:val="0"/>
              </w:rPr>
              <w:t>所有者权益合计</w:t>
            </w:r>
          </w:p>
        </w:tc>
        <w:tc>
          <w:tcPr>
            <w:tcW w:w="1881" w:type="dxa"/>
            <w:vAlign w:val="center"/>
          </w:tcPr>
          <w:p w14:paraId="4E8981CC" w14:textId="77777777" w:rsidR="004B0883" w:rsidRDefault="004B0883">
            <w:pPr>
              <w:adjustRightInd w:val="0"/>
              <w:snapToGrid w:val="0"/>
              <w:jc w:val="right"/>
              <w:rPr>
                <w:b/>
                <w:bCs/>
                <w:color w:val="000000"/>
                <w:kern w:val="0"/>
              </w:rPr>
            </w:pPr>
            <w:r>
              <w:rPr>
                <w:b/>
                <w:bCs/>
              </w:rPr>
              <w:t>80,056.47</w:t>
            </w:r>
          </w:p>
        </w:tc>
        <w:tc>
          <w:tcPr>
            <w:tcW w:w="1561" w:type="dxa"/>
            <w:vAlign w:val="center"/>
          </w:tcPr>
          <w:p w14:paraId="0C455EAE" w14:textId="77777777" w:rsidR="004B0883" w:rsidRDefault="004B0883">
            <w:pPr>
              <w:adjustRightInd w:val="0"/>
              <w:snapToGrid w:val="0"/>
              <w:jc w:val="right"/>
              <w:rPr>
                <w:b/>
                <w:bCs/>
                <w:color w:val="000000"/>
                <w:kern w:val="0"/>
              </w:rPr>
            </w:pPr>
            <w:r>
              <w:rPr>
                <w:rFonts w:hint="eastAsia"/>
                <w:b/>
                <w:bCs/>
                <w:color w:val="000000"/>
                <w:kern w:val="0"/>
              </w:rPr>
              <w:t>76,276.64</w:t>
            </w:r>
          </w:p>
        </w:tc>
        <w:tc>
          <w:tcPr>
            <w:tcW w:w="1560" w:type="dxa"/>
            <w:vAlign w:val="center"/>
          </w:tcPr>
          <w:p w14:paraId="5C4DFE71" w14:textId="77777777" w:rsidR="004B0883" w:rsidRDefault="004B0883">
            <w:pPr>
              <w:adjustRightInd w:val="0"/>
              <w:snapToGrid w:val="0"/>
              <w:jc w:val="right"/>
              <w:rPr>
                <w:b/>
                <w:bCs/>
                <w:color w:val="000000"/>
                <w:kern w:val="0"/>
              </w:rPr>
            </w:pPr>
            <w:r>
              <w:rPr>
                <w:rFonts w:hint="eastAsia"/>
                <w:b/>
                <w:bCs/>
                <w:color w:val="000000"/>
                <w:kern w:val="0"/>
              </w:rPr>
              <w:t>67,410.90</w:t>
            </w:r>
          </w:p>
        </w:tc>
        <w:tc>
          <w:tcPr>
            <w:tcW w:w="1561" w:type="dxa"/>
            <w:vAlign w:val="center"/>
          </w:tcPr>
          <w:p w14:paraId="37272EF6" w14:textId="77777777" w:rsidR="004B0883" w:rsidRDefault="004B0883">
            <w:pPr>
              <w:adjustRightInd w:val="0"/>
              <w:snapToGrid w:val="0"/>
              <w:jc w:val="right"/>
              <w:rPr>
                <w:b/>
                <w:bCs/>
                <w:color w:val="000000"/>
                <w:kern w:val="0"/>
              </w:rPr>
            </w:pPr>
            <w:r>
              <w:rPr>
                <w:rFonts w:hint="eastAsia"/>
                <w:b/>
                <w:bCs/>
                <w:color w:val="000000"/>
                <w:kern w:val="0"/>
              </w:rPr>
              <w:t>68,807.85</w:t>
            </w:r>
          </w:p>
        </w:tc>
      </w:tr>
      <w:tr w:rsidR="004B0883" w14:paraId="6892B490" w14:textId="77777777">
        <w:trPr>
          <w:trHeight w:val="397"/>
          <w:jc w:val="center"/>
        </w:trPr>
        <w:tc>
          <w:tcPr>
            <w:tcW w:w="1963" w:type="dxa"/>
            <w:vAlign w:val="center"/>
          </w:tcPr>
          <w:p w14:paraId="67529B17" w14:textId="77777777" w:rsidR="004B0883" w:rsidRDefault="004B0883">
            <w:pPr>
              <w:adjustRightInd w:val="0"/>
              <w:snapToGrid w:val="0"/>
              <w:rPr>
                <w:b/>
                <w:bCs/>
                <w:kern w:val="0"/>
              </w:rPr>
            </w:pPr>
            <w:r>
              <w:rPr>
                <w:b/>
                <w:bCs/>
                <w:kern w:val="0"/>
              </w:rPr>
              <w:t>负债和所有者权益总计</w:t>
            </w:r>
            <w:r>
              <w:rPr>
                <w:b/>
                <w:bCs/>
                <w:kern w:val="0"/>
              </w:rPr>
              <w:t xml:space="preserve"> </w:t>
            </w:r>
          </w:p>
        </w:tc>
        <w:tc>
          <w:tcPr>
            <w:tcW w:w="1881" w:type="dxa"/>
            <w:vAlign w:val="center"/>
          </w:tcPr>
          <w:p w14:paraId="6714BCE9" w14:textId="77777777" w:rsidR="004B0883" w:rsidRDefault="004B0883">
            <w:pPr>
              <w:adjustRightInd w:val="0"/>
              <w:snapToGrid w:val="0"/>
              <w:jc w:val="right"/>
              <w:rPr>
                <w:b/>
                <w:bCs/>
                <w:color w:val="000000"/>
                <w:kern w:val="0"/>
              </w:rPr>
            </w:pPr>
            <w:r>
              <w:rPr>
                <w:b/>
                <w:bCs/>
              </w:rPr>
              <w:t>93,969.60</w:t>
            </w:r>
          </w:p>
        </w:tc>
        <w:tc>
          <w:tcPr>
            <w:tcW w:w="1561" w:type="dxa"/>
            <w:vAlign w:val="center"/>
          </w:tcPr>
          <w:p w14:paraId="21A024A4" w14:textId="77777777" w:rsidR="004B0883" w:rsidRDefault="004B0883">
            <w:pPr>
              <w:adjustRightInd w:val="0"/>
              <w:snapToGrid w:val="0"/>
              <w:jc w:val="right"/>
              <w:rPr>
                <w:b/>
                <w:bCs/>
                <w:color w:val="000000"/>
                <w:kern w:val="0"/>
              </w:rPr>
            </w:pPr>
            <w:r>
              <w:rPr>
                <w:rFonts w:hint="eastAsia"/>
                <w:b/>
                <w:bCs/>
                <w:color w:val="000000"/>
                <w:kern w:val="0"/>
              </w:rPr>
              <w:t>93,899.97</w:t>
            </w:r>
          </w:p>
        </w:tc>
        <w:tc>
          <w:tcPr>
            <w:tcW w:w="1560" w:type="dxa"/>
            <w:vAlign w:val="center"/>
          </w:tcPr>
          <w:p w14:paraId="17AA73EF" w14:textId="77777777" w:rsidR="004B0883" w:rsidRDefault="004B0883">
            <w:pPr>
              <w:adjustRightInd w:val="0"/>
              <w:snapToGrid w:val="0"/>
              <w:jc w:val="right"/>
              <w:rPr>
                <w:b/>
                <w:bCs/>
                <w:color w:val="000000"/>
                <w:kern w:val="0"/>
              </w:rPr>
            </w:pPr>
            <w:r>
              <w:rPr>
                <w:rFonts w:hint="eastAsia"/>
                <w:b/>
                <w:bCs/>
                <w:color w:val="000000"/>
                <w:kern w:val="0"/>
              </w:rPr>
              <w:t>87,068.27</w:t>
            </w:r>
          </w:p>
        </w:tc>
        <w:tc>
          <w:tcPr>
            <w:tcW w:w="1561" w:type="dxa"/>
            <w:vAlign w:val="center"/>
          </w:tcPr>
          <w:p w14:paraId="012E4ED3" w14:textId="77777777" w:rsidR="004B0883" w:rsidRDefault="004B0883">
            <w:pPr>
              <w:adjustRightInd w:val="0"/>
              <w:snapToGrid w:val="0"/>
              <w:jc w:val="right"/>
              <w:rPr>
                <w:b/>
                <w:bCs/>
                <w:color w:val="000000"/>
                <w:kern w:val="0"/>
              </w:rPr>
            </w:pPr>
            <w:r>
              <w:rPr>
                <w:rFonts w:hint="eastAsia"/>
                <w:b/>
                <w:bCs/>
                <w:color w:val="000000"/>
                <w:kern w:val="0"/>
              </w:rPr>
              <w:t>84,210.50</w:t>
            </w:r>
          </w:p>
        </w:tc>
      </w:tr>
    </w:tbl>
    <w:p w14:paraId="5F25F631" w14:textId="77777777" w:rsidR="004B0883" w:rsidRDefault="004B0883">
      <w:pPr>
        <w:pStyle w:val="003"/>
        <w:spacing w:before="120" w:after="120"/>
      </w:pPr>
      <w:r>
        <w:rPr>
          <w:rFonts w:hint="eastAsia"/>
        </w:rPr>
        <w:t>（二）利润表</w:t>
      </w:r>
    </w:p>
    <w:p w14:paraId="4E62A119" w14:textId="77777777" w:rsidR="004B0883" w:rsidRDefault="004B0883">
      <w:pPr>
        <w:pStyle w:val="004"/>
        <w:spacing w:before="120" w:after="120"/>
        <w:ind w:firstLine="482"/>
      </w:pPr>
      <w:r>
        <w:rPr>
          <w:rFonts w:hint="eastAsia"/>
        </w:rPr>
        <w:t>1</w:t>
      </w:r>
      <w:r>
        <w:t>、合并利润表</w:t>
      </w:r>
    </w:p>
    <w:p w14:paraId="38CB1A1E" w14:textId="77777777" w:rsidR="004B0883" w:rsidRDefault="004B0883">
      <w:pPr>
        <w:pStyle w:val="009"/>
      </w:pPr>
      <w:r>
        <w:t>单位：万元</w:t>
      </w:r>
    </w:p>
    <w:tbl>
      <w:tblPr>
        <w:tblW w:w="5001"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547"/>
        <w:gridCol w:w="1523"/>
        <w:gridCol w:w="1404"/>
        <w:gridCol w:w="1404"/>
        <w:gridCol w:w="1404"/>
      </w:tblGrid>
      <w:tr w:rsidR="004B0883" w14:paraId="19A0D4E4" w14:textId="77777777">
        <w:trPr>
          <w:trHeight w:val="397"/>
          <w:tblHeader/>
          <w:jc w:val="center"/>
        </w:trPr>
        <w:tc>
          <w:tcPr>
            <w:tcW w:w="2628" w:type="dxa"/>
            <w:shd w:val="clear" w:color="auto" w:fill="D9D9D9"/>
            <w:vAlign w:val="center"/>
          </w:tcPr>
          <w:p w14:paraId="62B5C92A" w14:textId="77777777" w:rsidR="004B0883" w:rsidRDefault="004B0883">
            <w:pPr>
              <w:adjustRightInd w:val="0"/>
              <w:snapToGrid w:val="0"/>
              <w:jc w:val="center"/>
              <w:rPr>
                <w:b/>
                <w:bCs/>
                <w:kern w:val="0"/>
              </w:rPr>
            </w:pPr>
            <w:r>
              <w:rPr>
                <w:b/>
                <w:bCs/>
                <w:kern w:val="0"/>
              </w:rPr>
              <w:t>项目</w:t>
            </w:r>
          </w:p>
        </w:tc>
        <w:tc>
          <w:tcPr>
            <w:tcW w:w="1568" w:type="dxa"/>
            <w:shd w:val="clear" w:color="auto" w:fill="D9D9D9"/>
            <w:vAlign w:val="center"/>
          </w:tcPr>
          <w:p w14:paraId="72F3290C" w14:textId="77777777" w:rsidR="004B0883" w:rsidRDefault="004B0883">
            <w:pPr>
              <w:adjustRightInd w:val="0"/>
              <w:snapToGrid w:val="0"/>
              <w:jc w:val="center"/>
              <w:rPr>
                <w:b/>
                <w:bCs/>
                <w:kern w:val="0"/>
              </w:rPr>
            </w:pPr>
            <w:r>
              <w:rPr>
                <w:b/>
                <w:bCs/>
                <w:kern w:val="0"/>
              </w:rPr>
              <w:t>2023</w:t>
            </w:r>
            <w:r>
              <w:rPr>
                <w:b/>
                <w:bCs/>
                <w:kern w:val="0"/>
              </w:rPr>
              <w:t>年</w:t>
            </w:r>
            <w:r>
              <w:rPr>
                <w:b/>
                <w:bCs/>
                <w:kern w:val="0"/>
              </w:rPr>
              <w:t>1-</w:t>
            </w:r>
            <w:r>
              <w:rPr>
                <w:rFonts w:hint="eastAsia"/>
                <w:b/>
                <w:bCs/>
                <w:kern w:val="0"/>
              </w:rPr>
              <w:t>9</w:t>
            </w:r>
            <w:r>
              <w:rPr>
                <w:b/>
                <w:bCs/>
                <w:kern w:val="0"/>
              </w:rPr>
              <w:t>月</w:t>
            </w:r>
          </w:p>
        </w:tc>
        <w:tc>
          <w:tcPr>
            <w:tcW w:w="1444" w:type="dxa"/>
            <w:shd w:val="clear" w:color="auto" w:fill="D9D9D9"/>
            <w:vAlign w:val="center"/>
          </w:tcPr>
          <w:p w14:paraId="757A9490" w14:textId="77777777" w:rsidR="004B0883" w:rsidRDefault="004B0883">
            <w:pPr>
              <w:adjustRightInd w:val="0"/>
              <w:snapToGrid w:val="0"/>
              <w:jc w:val="center"/>
              <w:rPr>
                <w:b/>
                <w:bCs/>
                <w:kern w:val="0"/>
              </w:rPr>
            </w:pPr>
            <w:r>
              <w:rPr>
                <w:b/>
                <w:bCs/>
                <w:kern w:val="0"/>
              </w:rPr>
              <w:t>2022</w:t>
            </w:r>
            <w:r>
              <w:rPr>
                <w:b/>
                <w:bCs/>
                <w:kern w:val="0"/>
              </w:rPr>
              <w:t>年</w:t>
            </w:r>
            <w:r>
              <w:rPr>
                <w:rFonts w:hint="eastAsia"/>
                <w:b/>
                <w:bCs/>
                <w:kern w:val="0"/>
              </w:rPr>
              <w:t>度</w:t>
            </w:r>
          </w:p>
        </w:tc>
        <w:tc>
          <w:tcPr>
            <w:tcW w:w="1444" w:type="dxa"/>
            <w:shd w:val="clear" w:color="auto" w:fill="D9D9D9"/>
            <w:vAlign w:val="center"/>
          </w:tcPr>
          <w:p w14:paraId="7AA24508" w14:textId="77777777" w:rsidR="004B0883" w:rsidRDefault="004B0883">
            <w:pPr>
              <w:adjustRightInd w:val="0"/>
              <w:snapToGrid w:val="0"/>
              <w:jc w:val="center"/>
              <w:rPr>
                <w:b/>
                <w:bCs/>
                <w:kern w:val="0"/>
              </w:rPr>
            </w:pPr>
            <w:r>
              <w:rPr>
                <w:b/>
                <w:bCs/>
                <w:kern w:val="0"/>
              </w:rPr>
              <w:t>2021</w:t>
            </w:r>
            <w:r>
              <w:rPr>
                <w:b/>
                <w:bCs/>
                <w:kern w:val="0"/>
              </w:rPr>
              <w:t>年</w:t>
            </w:r>
            <w:r>
              <w:rPr>
                <w:rFonts w:hint="eastAsia"/>
                <w:b/>
                <w:bCs/>
                <w:kern w:val="0"/>
              </w:rPr>
              <w:t>度</w:t>
            </w:r>
          </w:p>
        </w:tc>
        <w:tc>
          <w:tcPr>
            <w:tcW w:w="1444" w:type="dxa"/>
            <w:shd w:val="clear" w:color="auto" w:fill="D9D9D9"/>
            <w:vAlign w:val="center"/>
          </w:tcPr>
          <w:p w14:paraId="3E3F3353" w14:textId="77777777" w:rsidR="004B0883" w:rsidRDefault="004B0883">
            <w:pPr>
              <w:adjustRightInd w:val="0"/>
              <w:snapToGrid w:val="0"/>
              <w:jc w:val="center"/>
              <w:rPr>
                <w:b/>
                <w:bCs/>
                <w:color w:val="000000"/>
                <w:kern w:val="0"/>
              </w:rPr>
            </w:pPr>
            <w:r>
              <w:rPr>
                <w:b/>
                <w:bCs/>
                <w:kern w:val="0"/>
              </w:rPr>
              <w:t>2020</w:t>
            </w:r>
            <w:r>
              <w:rPr>
                <w:b/>
                <w:bCs/>
                <w:kern w:val="0"/>
              </w:rPr>
              <w:t>年</w:t>
            </w:r>
            <w:r>
              <w:rPr>
                <w:rFonts w:hint="eastAsia"/>
                <w:b/>
                <w:bCs/>
                <w:kern w:val="0"/>
              </w:rPr>
              <w:t>度</w:t>
            </w:r>
          </w:p>
        </w:tc>
      </w:tr>
      <w:tr w:rsidR="004B0883" w14:paraId="5282D915" w14:textId="77777777">
        <w:trPr>
          <w:trHeight w:val="397"/>
          <w:jc w:val="center"/>
        </w:trPr>
        <w:tc>
          <w:tcPr>
            <w:tcW w:w="2628" w:type="dxa"/>
            <w:vAlign w:val="center"/>
          </w:tcPr>
          <w:p w14:paraId="4A13EB38" w14:textId="77777777" w:rsidR="004B0883" w:rsidRDefault="004B0883">
            <w:pPr>
              <w:adjustRightInd w:val="0"/>
              <w:snapToGrid w:val="0"/>
              <w:rPr>
                <w:b/>
                <w:bCs/>
                <w:kern w:val="0"/>
              </w:rPr>
            </w:pPr>
            <w:r>
              <w:rPr>
                <w:b/>
                <w:bCs/>
                <w:kern w:val="0"/>
              </w:rPr>
              <w:t>一、营业总收入</w:t>
            </w:r>
          </w:p>
        </w:tc>
        <w:tc>
          <w:tcPr>
            <w:tcW w:w="1568" w:type="dxa"/>
            <w:vAlign w:val="center"/>
          </w:tcPr>
          <w:p w14:paraId="7933AC9D" w14:textId="77777777" w:rsidR="004B0883" w:rsidRDefault="004B0883">
            <w:pPr>
              <w:adjustRightInd w:val="0"/>
              <w:snapToGrid w:val="0"/>
              <w:jc w:val="right"/>
              <w:rPr>
                <w:b/>
                <w:bCs/>
                <w:kern w:val="0"/>
              </w:rPr>
            </w:pPr>
            <w:r>
              <w:rPr>
                <w:b/>
                <w:bCs/>
              </w:rPr>
              <w:t>39,909.71</w:t>
            </w:r>
          </w:p>
        </w:tc>
        <w:tc>
          <w:tcPr>
            <w:tcW w:w="1444" w:type="dxa"/>
            <w:vAlign w:val="center"/>
          </w:tcPr>
          <w:p w14:paraId="4E720B1B" w14:textId="77777777" w:rsidR="004B0883" w:rsidRDefault="004B0883">
            <w:pPr>
              <w:adjustRightInd w:val="0"/>
              <w:snapToGrid w:val="0"/>
              <w:jc w:val="right"/>
              <w:rPr>
                <w:b/>
                <w:bCs/>
                <w:kern w:val="0"/>
              </w:rPr>
            </w:pPr>
            <w:r>
              <w:rPr>
                <w:rFonts w:hint="eastAsia"/>
                <w:b/>
                <w:bCs/>
                <w:kern w:val="0"/>
              </w:rPr>
              <w:t>54,014.16</w:t>
            </w:r>
          </w:p>
        </w:tc>
        <w:tc>
          <w:tcPr>
            <w:tcW w:w="1444" w:type="dxa"/>
            <w:vAlign w:val="center"/>
          </w:tcPr>
          <w:p w14:paraId="0820DF42" w14:textId="77777777" w:rsidR="004B0883" w:rsidRDefault="004B0883">
            <w:pPr>
              <w:adjustRightInd w:val="0"/>
              <w:snapToGrid w:val="0"/>
              <w:jc w:val="right"/>
              <w:rPr>
                <w:b/>
                <w:bCs/>
                <w:kern w:val="0"/>
              </w:rPr>
            </w:pPr>
            <w:r>
              <w:rPr>
                <w:rFonts w:hint="eastAsia"/>
                <w:b/>
                <w:bCs/>
                <w:kern w:val="0"/>
              </w:rPr>
              <w:t>41,516.27</w:t>
            </w:r>
          </w:p>
        </w:tc>
        <w:tc>
          <w:tcPr>
            <w:tcW w:w="1444" w:type="dxa"/>
            <w:vAlign w:val="center"/>
          </w:tcPr>
          <w:p w14:paraId="70218F49" w14:textId="77777777" w:rsidR="004B0883" w:rsidRDefault="004B0883">
            <w:pPr>
              <w:adjustRightInd w:val="0"/>
              <w:snapToGrid w:val="0"/>
              <w:jc w:val="right"/>
              <w:rPr>
                <w:b/>
                <w:bCs/>
                <w:kern w:val="0"/>
              </w:rPr>
            </w:pPr>
            <w:r>
              <w:rPr>
                <w:rFonts w:hint="eastAsia"/>
                <w:b/>
                <w:bCs/>
                <w:kern w:val="0"/>
              </w:rPr>
              <w:t>34,459.00</w:t>
            </w:r>
          </w:p>
        </w:tc>
      </w:tr>
      <w:tr w:rsidR="004B0883" w14:paraId="70DAC080" w14:textId="77777777">
        <w:trPr>
          <w:trHeight w:val="397"/>
          <w:jc w:val="center"/>
        </w:trPr>
        <w:tc>
          <w:tcPr>
            <w:tcW w:w="2628" w:type="dxa"/>
            <w:vAlign w:val="center"/>
          </w:tcPr>
          <w:p w14:paraId="00CED452" w14:textId="77777777" w:rsidR="004B0883" w:rsidRDefault="004B0883">
            <w:pPr>
              <w:adjustRightInd w:val="0"/>
              <w:snapToGrid w:val="0"/>
              <w:rPr>
                <w:kern w:val="0"/>
              </w:rPr>
            </w:pPr>
            <w:r>
              <w:rPr>
                <w:kern w:val="0"/>
              </w:rPr>
              <w:t>其中：营业收入</w:t>
            </w:r>
          </w:p>
        </w:tc>
        <w:tc>
          <w:tcPr>
            <w:tcW w:w="1568" w:type="dxa"/>
            <w:vAlign w:val="center"/>
          </w:tcPr>
          <w:p w14:paraId="19B41187" w14:textId="77777777" w:rsidR="004B0883" w:rsidRDefault="004B0883">
            <w:pPr>
              <w:adjustRightInd w:val="0"/>
              <w:snapToGrid w:val="0"/>
              <w:jc w:val="right"/>
              <w:rPr>
                <w:kern w:val="0"/>
              </w:rPr>
            </w:pPr>
            <w:r>
              <w:t>39,909.71</w:t>
            </w:r>
          </w:p>
        </w:tc>
        <w:tc>
          <w:tcPr>
            <w:tcW w:w="1444" w:type="dxa"/>
            <w:vAlign w:val="center"/>
          </w:tcPr>
          <w:p w14:paraId="2C112350" w14:textId="77777777" w:rsidR="004B0883" w:rsidRDefault="004B0883">
            <w:pPr>
              <w:adjustRightInd w:val="0"/>
              <w:snapToGrid w:val="0"/>
              <w:jc w:val="right"/>
              <w:rPr>
                <w:kern w:val="0"/>
              </w:rPr>
            </w:pPr>
            <w:r>
              <w:rPr>
                <w:rFonts w:hint="eastAsia"/>
                <w:kern w:val="0"/>
              </w:rPr>
              <w:t>54,014.16</w:t>
            </w:r>
          </w:p>
        </w:tc>
        <w:tc>
          <w:tcPr>
            <w:tcW w:w="1444" w:type="dxa"/>
            <w:vAlign w:val="center"/>
          </w:tcPr>
          <w:p w14:paraId="28848D0B" w14:textId="77777777" w:rsidR="004B0883" w:rsidRDefault="004B0883">
            <w:pPr>
              <w:adjustRightInd w:val="0"/>
              <w:snapToGrid w:val="0"/>
              <w:jc w:val="right"/>
              <w:rPr>
                <w:kern w:val="0"/>
              </w:rPr>
            </w:pPr>
            <w:r>
              <w:rPr>
                <w:rFonts w:hint="eastAsia"/>
                <w:kern w:val="0"/>
              </w:rPr>
              <w:t>41,516.27</w:t>
            </w:r>
          </w:p>
        </w:tc>
        <w:tc>
          <w:tcPr>
            <w:tcW w:w="1444" w:type="dxa"/>
            <w:vAlign w:val="center"/>
          </w:tcPr>
          <w:p w14:paraId="00239A15" w14:textId="77777777" w:rsidR="004B0883" w:rsidRDefault="004B0883">
            <w:pPr>
              <w:adjustRightInd w:val="0"/>
              <w:snapToGrid w:val="0"/>
              <w:jc w:val="right"/>
              <w:rPr>
                <w:kern w:val="0"/>
              </w:rPr>
            </w:pPr>
            <w:r>
              <w:rPr>
                <w:rFonts w:hint="eastAsia"/>
                <w:kern w:val="0"/>
              </w:rPr>
              <w:t>34,459.00</w:t>
            </w:r>
          </w:p>
        </w:tc>
      </w:tr>
      <w:tr w:rsidR="004B0883" w14:paraId="79D86213" w14:textId="77777777">
        <w:trPr>
          <w:trHeight w:val="397"/>
          <w:jc w:val="center"/>
        </w:trPr>
        <w:tc>
          <w:tcPr>
            <w:tcW w:w="2628" w:type="dxa"/>
            <w:vAlign w:val="center"/>
          </w:tcPr>
          <w:p w14:paraId="1317DEC9" w14:textId="77777777" w:rsidR="004B0883" w:rsidRDefault="004B0883">
            <w:pPr>
              <w:adjustRightInd w:val="0"/>
              <w:snapToGrid w:val="0"/>
              <w:rPr>
                <w:b/>
                <w:bCs/>
                <w:kern w:val="0"/>
              </w:rPr>
            </w:pPr>
            <w:r>
              <w:rPr>
                <w:b/>
                <w:bCs/>
                <w:kern w:val="0"/>
              </w:rPr>
              <w:t>二、营业总成本</w:t>
            </w:r>
          </w:p>
        </w:tc>
        <w:tc>
          <w:tcPr>
            <w:tcW w:w="1568" w:type="dxa"/>
            <w:vAlign w:val="center"/>
          </w:tcPr>
          <w:p w14:paraId="15CA7B0C" w14:textId="77777777" w:rsidR="004B0883" w:rsidRDefault="004B0883">
            <w:pPr>
              <w:adjustRightInd w:val="0"/>
              <w:snapToGrid w:val="0"/>
              <w:jc w:val="right"/>
              <w:rPr>
                <w:b/>
                <w:bCs/>
                <w:kern w:val="0"/>
              </w:rPr>
            </w:pPr>
            <w:r>
              <w:rPr>
                <w:b/>
                <w:bCs/>
              </w:rPr>
              <w:t>30,664.70</w:t>
            </w:r>
          </w:p>
        </w:tc>
        <w:tc>
          <w:tcPr>
            <w:tcW w:w="1444" w:type="dxa"/>
            <w:vAlign w:val="center"/>
          </w:tcPr>
          <w:p w14:paraId="13DF2D6A" w14:textId="77777777" w:rsidR="004B0883" w:rsidRDefault="004B0883">
            <w:pPr>
              <w:adjustRightInd w:val="0"/>
              <w:snapToGrid w:val="0"/>
              <w:jc w:val="right"/>
              <w:rPr>
                <w:b/>
                <w:bCs/>
                <w:kern w:val="0"/>
              </w:rPr>
            </w:pPr>
            <w:r>
              <w:rPr>
                <w:rFonts w:hint="eastAsia"/>
                <w:b/>
                <w:bCs/>
                <w:kern w:val="0"/>
              </w:rPr>
              <w:t>42,573.59</w:t>
            </w:r>
          </w:p>
        </w:tc>
        <w:tc>
          <w:tcPr>
            <w:tcW w:w="1444" w:type="dxa"/>
            <w:vAlign w:val="center"/>
          </w:tcPr>
          <w:p w14:paraId="73DDFBDE" w14:textId="77777777" w:rsidR="004B0883" w:rsidRDefault="004B0883">
            <w:pPr>
              <w:adjustRightInd w:val="0"/>
              <w:snapToGrid w:val="0"/>
              <w:jc w:val="right"/>
              <w:rPr>
                <w:b/>
                <w:bCs/>
                <w:kern w:val="0"/>
              </w:rPr>
            </w:pPr>
            <w:r>
              <w:rPr>
                <w:rFonts w:hint="eastAsia"/>
                <w:b/>
                <w:bCs/>
                <w:kern w:val="0"/>
              </w:rPr>
              <w:t>36,014.97</w:t>
            </w:r>
          </w:p>
        </w:tc>
        <w:tc>
          <w:tcPr>
            <w:tcW w:w="1444" w:type="dxa"/>
            <w:vAlign w:val="center"/>
          </w:tcPr>
          <w:p w14:paraId="261474FA" w14:textId="77777777" w:rsidR="004B0883" w:rsidRDefault="004B0883">
            <w:pPr>
              <w:adjustRightInd w:val="0"/>
              <w:snapToGrid w:val="0"/>
              <w:jc w:val="right"/>
              <w:rPr>
                <w:b/>
                <w:bCs/>
                <w:kern w:val="0"/>
              </w:rPr>
            </w:pPr>
            <w:r>
              <w:rPr>
                <w:rFonts w:hint="eastAsia"/>
                <w:b/>
                <w:bCs/>
                <w:kern w:val="0"/>
              </w:rPr>
              <w:t>29,734.16</w:t>
            </w:r>
          </w:p>
        </w:tc>
      </w:tr>
      <w:tr w:rsidR="004B0883" w14:paraId="0D009563" w14:textId="77777777">
        <w:trPr>
          <w:trHeight w:val="397"/>
          <w:jc w:val="center"/>
        </w:trPr>
        <w:tc>
          <w:tcPr>
            <w:tcW w:w="2628" w:type="dxa"/>
            <w:vAlign w:val="center"/>
          </w:tcPr>
          <w:p w14:paraId="7D376923" w14:textId="77777777" w:rsidR="004B0883" w:rsidRDefault="004B0883">
            <w:pPr>
              <w:adjustRightInd w:val="0"/>
              <w:snapToGrid w:val="0"/>
              <w:rPr>
                <w:kern w:val="0"/>
              </w:rPr>
            </w:pPr>
            <w:r>
              <w:rPr>
                <w:kern w:val="0"/>
              </w:rPr>
              <w:t>其中：营业成本</w:t>
            </w:r>
          </w:p>
        </w:tc>
        <w:tc>
          <w:tcPr>
            <w:tcW w:w="1568" w:type="dxa"/>
            <w:vAlign w:val="center"/>
          </w:tcPr>
          <w:p w14:paraId="51C955D4" w14:textId="77777777" w:rsidR="004B0883" w:rsidRDefault="004B0883">
            <w:pPr>
              <w:adjustRightInd w:val="0"/>
              <w:snapToGrid w:val="0"/>
              <w:jc w:val="right"/>
              <w:rPr>
                <w:kern w:val="0"/>
              </w:rPr>
            </w:pPr>
            <w:r>
              <w:t>24,532.77</w:t>
            </w:r>
          </w:p>
        </w:tc>
        <w:tc>
          <w:tcPr>
            <w:tcW w:w="1444" w:type="dxa"/>
            <w:vAlign w:val="center"/>
          </w:tcPr>
          <w:p w14:paraId="33EE986F" w14:textId="77777777" w:rsidR="004B0883" w:rsidRDefault="004B0883">
            <w:pPr>
              <w:adjustRightInd w:val="0"/>
              <w:snapToGrid w:val="0"/>
              <w:jc w:val="right"/>
              <w:rPr>
                <w:kern w:val="0"/>
              </w:rPr>
            </w:pPr>
            <w:r>
              <w:rPr>
                <w:rFonts w:hint="eastAsia"/>
                <w:kern w:val="0"/>
              </w:rPr>
              <w:t>33,764.09</w:t>
            </w:r>
          </w:p>
        </w:tc>
        <w:tc>
          <w:tcPr>
            <w:tcW w:w="1444" w:type="dxa"/>
            <w:vAlign w:val="center"/>
          </w:tcPr>
          <w:p w14:paraId="635A9BCF" w14:textId="77777777" w:rsidR="004B0883" w:rsidRDefault="004B0883">
            <w:pPr>
              <w:adjustRightInd w:val="0"/>
              <w:snapToGrid w:val="0"/>
              <w:jc w:val="right"/>
              <w:rPr>
                <w:kern w:val="0"/>
              </w:rPr>
            </w:pPr>
            <w:r>
              <w:rPr>
                <w:rFonts w:hint="eastAsia"/>
                <w:kern w:val="0"/>
              </w:rPr>
              <w:t>27,986.39</w:t>
            </w:r>
          </w:p>
        </w:tc>
        <w:tc>
          <w:tcPr>
            <w:tcW w:w="1444" w:type="dxa"/>
            <w:vAlign w:val="center"/>
          </w:tcPr>
          <w:p w14:paraId="26184AF6" w14:textId="77777777" w:rsidR="004B0883" w:rsidRDefault="004B0883">
            <w:pPr>
              <w:adjustRightInd w:val="0"/>
              <w:snapToGrid w:val="0"/>
              <w:jc w:val="right"/>
              <w:rPr>
                <w:kern w:val="0"/>
              </w:rPr>
            </w:pPr>
            <w:r>
              <w:rPr>
                <w:rFonts w:hint="eastAsia"/>
                <w:kern w:val="0"/>
              </w:rPr>
              <w:t>22,561.86</w:t>
            </w:r>
          </w:p>
        </w:tc>
      </w:tr>
      <w:tr w:rsidR="004B0883" w14:paraId="3CC3C68B" w14:textId="77777777">
        <w:trPr>
          <w:trHeight w:val="397"/>
          <w:jc w:val="center"/>
        </w:trPr>
        <w:tc>
          <w:tcPr>
            <w:tcW w:w="2628" w:type="dxa"/>
            <w:vAlign w:val="center"/>
          </w:tcPr>
          <w:p w14:paraId="6A6FBE85" w14:textId="77777777" w:rsidR="004B0883" w:rsidRDefault="004B0883">
            <w:pPr>
              <w:adjustRightInd w:val="0"/>
              <w:snapToGrid w:val="0"/>
              <w:rPr>
                <w:kern w:val="0"/>
              </w:rPr>
            </w:pPr>
            <w:r>
              <w:rPr>
                <w:kern w:val="0"/>
              </w:rPr>
              <w:t>税金及附加</w:t>
            </w:r>
          </w:p>
        </w:tc>
        <w:tc>
          <w:tcPr>
            <w:tcW w:w="1568" w:type="dxa"/>
            <w:vAlign w:val="center"/>
          </w:tcPr>
          <w:p w14:paraId="5BECE010" w14:textId="77777777" w:rsidR="004B0883" w:rsidRDefault="004B0883">
            <w:pPr>
              <w:adjustRightInd w:val="0"/>
              <w:snapToGrid w:val="0"/>
              <w:jc w:val="right"/>
              <w:rPr>
                <w:kern w:val="0"/>
              </w:rPr>
            </w:pPr>
            <w:r>
              <w:t>428.84</w:t>
            </w:r>
          </w:p>
        </w:tc>
        <w:tc>
          <w:tcPr>
            <w:tcW w:w="1444" w:type="dxa"/>
            <w:vAlign w:val="center"/>
          </w:tcPr>
          <w:p w14:paraId="295CA74C" w14:textId="77777777" w:rsidR="004B0883" w:rsidRDefault="004B0883">
            <w:pPr>
              <w:adjustRightInd w:val="0"/>
              <w:snapToGrid w:val="0"/>
              <w:jc w:val="right"/>
              <w:rPr>
                <w:kern w:val="0"/>
              </w:rPr>
            </w:pPr>
            <w:r>
              <w:rPr>
                <w:rFonts w:hint="eastAsia"/>
                <w:kern w:val="0"/>
              </w:rPr>
              <w:t>535.98</w:t>
            </w:r>
          </w:p>
        </w:tc>
        <w:tc>
          <w:tcPr>
            <w:tcW w:w="1444" w:type="dxa"/>
            <w:vAlign w:val="center"/>
          </w:tcPr>
          <w:p w14:paraId="628ACE26" w14:textId="77777777" w:rsidR="004B0883" w:rsidRDefault="004B0883">
            <w:pPr>
              <w:adjustRightInd w:val="0"/>
              <w:snapToGrid w:val="0"/>
              <w:jc w:val="right"/>
              <w:rPr>
                <w:kern w:val="0"/>
              </w:rPr>
            </w:pPr>
            <w:r>
              <w:rPr>
                <w:rFonts w:hint="eastAsia"/>
                <w:kern w:val="0"/>
              </w:rPr>
              <w:t>385.71</w:t>
            </w:r>
          </w:p>
        </w:tc>
        <w:tc>
          <w:tcPr>
            <w:tcW w:w="1444" w:type="dxa"/>
            <w:vAlign w:val="center"/>
          </w:tcPr>
          <w:p w14:paraId="021362D9" w14:textId="77777777" w:rsidR="004B0883" w:rsidRDefault="004B0883">
            <w:pPr>
              <w:adjustRightInd w:val="0"/>
              <w:snapToGrid w:val="0"/>
              <w:jc w:val="right"/>
              <w:rPr>
                <w:kern w:val="0"/>
              </w:rPr>
            </w:pPr>
            <w:r>
              <w:rPr>
                <w:rFonts w:hint="eastAsia"/>
                <w:kern w:val="0"/>
              </w:rPr>
              <w:t>461.75</w:t>
            </w:r>
          </w:p>
        </w:tc>
      </w:tr>
      <w:tr w:rsidR="004B0883" w14:paraId="409303C6" w14:textId="77777777">
        <w:trPr>
          <w:trHeight w:val="397"/>
          <w:jc w:val="center"/>
        </w:trPr>
        <w:tc>
          <w:tcPr>
            <w:tcW w:w="2628" w:type="dxa"/>
            <w:vAlign w:val="center"/>
          </w:tcPr>
          <w:p w14:paraId="3DA4A6AE" w14:textId="77777777" w:rsidR="004B0883" w:rsidRDefault="004B0883">
            <w:pPr>
              <w:adjustRightInd w:val="0"/>
              <w:snapToGrid w:val="0"/>
              <w:rPr>
                <w:kern w:val="0"/>
              </w:rPr>
            </w:pPr>
            <w:r>
              <w:rPr>
                <w:kern w:val="0"/>
              </w:rPr>
              <w:t>销售费用</w:t>
            </w:r>
          </w:p>
        </w:tc>
        <w:tc>
          <w:tcPr>
            <w:tcW w:w="1568" w:type="dxa"/>
            <w:vAlign w:val="center"/>
          </w:tcPr>
          <w:p w14:paraId="709B2611" w14:textId="77777777" w:rsidR="004B0883" w:rsidRDefault="004B0883">
            <w:pPr>
              <w:adjustRightInd w:val="0"/>
              <w:snapToGrid w:val="0"/>
              <w:jc w:val="right"/>
              <w:rPr>
                <w:kern w:val="0"/>
              </w:rPr>
            </w:pPr>
            <w:r>
              <w:t>1,953.17</w:t>
            </w:r>
          </w:p>
        </w:tc>
        <w:tc>
          <w:tcPr>
            <w:tcW w:w="1444" w:type="dxa"/>
            <w:vAlign w:val="center"/>
          </w:tcPr>
          <w:p w14:paraId="0B10579C" w14:textId="77777777" w:rsidR="004B0883" w:rsidRDefault="004B0883">
            <w:pPr>
              <w:adjustRightInd w:val="0"/>
              <w:snapToGrid w:val="0"/>
              <w:jc w:val="right"/>
              <w:rPr>
                <w:kern w:val="0"/>
              </w:rPr>
            </w:pPr>
            <w:r>
              <w:rPr>
                <w:rFonts w:hint="eastAsia"/>
                <w:kern w:val="0"/>
              </w:rPr>
              <w:t>3,098.42</w:t>
            </w:r>
          </w:p>
        </w:tc>
        <w:tc>
          <w:tcPr>
            <w:tcW w:w="1444" w:type="dxa"/>
            <w:vAlign w:val="center"/>
          </w:tcPr>
          <w:p w14:paraId="0CFDB1D9" w14:textId="77777777" w:rsidR="004B0883" w:rsidRDefault="004B0883">
            <w:pPr>
              <w:adjustRightInd w:val="0"/>
              <w:snapToGrid w:val="0"/>
              <w:jc w:val="right"/>
              <w:rPr>
                <w:kern w:val="0"/>
              </w:rPr>
            </w:pPr>
            <w:r>
              <w:rPr>
                <w:rFonts w:hint="eastAsia"/>
                <w:kern w:val="0"/>
              </w:rPr>
              <w:t>2,788.32</w:t>
            </w:r>
          </w:p>
        </w:tc>
        <w:tc>
          <w:tcPr>
            <w:tcW w:w="1444" w:type="dxa"/>
            <w:vAlign w:val="center"/>
          </w:tcPr>
          <w:p w14:paraId="7B9C91D1" w14:textId="77777777" w:rsidR="004B0883" w:rsidRDefault="004B0883">
            <w:pPr>
              <w:adjustRightInd w:val="0"/>
              <w:snapToGrid w:val="0"/>
              <w:jc w:val="right"/>
              <w:rPr>
                <w:kern w:val="0"/>
              </w:rPr>
            </w:pPr>
            <w:r>
              <w:rPr>
                <w:rFonts w:hint="eastAsia"/>
                <w:kern w:val="0"/>
              </w:rPr>
              <w:t>2,082.10</w:t>
            </w:r>
          </w:p>
        </w:tc>
      </w:tr>
      <w:tr w:rsidR="004B0883" w14:paraId="59104EB1" w14:textId="77777777">
        <w:trPr>
          <w:trHeight w:val="397"/>
          <w:jc w:val="center"/>
        </w:trPr>
        <w:tc>
          <w:tcPr>
            <w:tcW w:w="2628" w:type="dxa"/>
            <w:vAlign w:val="center"/>
          </w:tcPr>
          <w:p w14:paraId="63049EB7" w14:textId="77777777" w:rsidR="004B0883" w:rsidRDefault="004B0883">
            <w:pPr>
              <w:adjustRightInd w:val="0"/>
              <w:snapToGrid w:val="0"/>
              <w:rPr>
                <w:kern w:val="0"/>
              </w:rPr>
            </w:pPr>
            <w:r>
              <w:rPr>
                <w:kern w:val="0"/>
              </w:rPr>
              <w:t>管理费用</w:t>
            </w:r>
          </w:p>
        </w:tc>
        <w:tc>
          <w:tcPr>
            <w:tcW w:w="1568" w:type="dxa"/>
            <w:vAlign w:val="center"/>
          </w:tcPr>
          <w:p w14:paraId="4349BFE0" w14:textId="77777777" w:rsidR="004B0883" w:rsidRDefault="004B0883">
            <w:pPr>
              <w:adjustRightInd w:val="0"/>
              <w:snapToGrid w:val="0"/>
              <w:jc w:val="right"/>
              <w:rPr>
                <w:kern w:val="0"/>
              </w:rPr>
            </w:pPr>
            <w:r>
              <w:t>2,387.83</w:t>
            </w:r>
          </w:p>
        </w:tc>
        <w:tc>
          <w:tcPr>
            <w:tcW w:w="1444" w:type="dxa"/>
            <w:vAlign w:val="center"/>
          </w:tcPr>
          <w:p w14:paraId="7F52D5B4" w14:textId="77777777" w:rsidR="004B0883" w:rsidRDefault="004B0883">
            <w:pPr>
              <w:adjustRightInd w:val="0"/>
              <w:snapToGrid w:val="0"/>
              <w:jc w:val="right"/>
              <w:rPr>
                <w:kern w:val="0"/>
              </w:rPr>
            </w:pPr>
            <w:r>
              <w:rPr>
                <w:rFonts w:hint="eastAsia"/>
                <w:kern w:val="0"/>
              </w:rPr>
              <w:t>3,227.61</w:t>
            </w:r>
          </w:p>
        </w:tc>
        <w:tc>
          <w:tcPr>
            <w:tcW w:w="1444" w:type="dxa"/>
            <w:vAlign w:val="center"/>
          </w:tcPr>
          <w:p w14:paraId="27DD58B9" w14:textId="77777777" w:rsidR="004B0883" w:rsidRDefault="004B0883">
            <w:pPr>
              <w:adjustRightInd w:val="0"/>
              <w:snapToGrid w:val="0"/>
              <w:jc w:val="right"/>
              <w:rPr>
                <w:kern w:val="0"/>
              </w:rPr>
            </w:pPr>
            <w:r>
              <w:rPr>
                <w:rFonts w:hint="eastAsia"/>
                <w:kern w:val="0"/>
              </w:rPr>
              <w:t>2,180.12</w:t>
            </w:r>
          </w:p>
        </w:tc>
        <w:tc>
          <w:tcPr>
            <w:tcW w:w="1444" w:type="dxa"/>
            <w:vAlign w:val="center"/>
          </w:tcPr>
          <w:p w14:paraId="71A16E45" w14:textId="77777777" w:rsidR="004B0883" w:rsidRDefault="004B0883">
            <w:pPr>
              <w:adjustRightInd w:val="0"/>
              <w:snapToGrid w:val="0"/>
              <w:jc w:val="right"/>
              <w:rPr>
                <w:kern w:val="0"/>
              </w:rPr>
            </w:pPr>
            <w:r>
              <w:rPr>
                <w:rFonts w:hint="eastAsia"/>
                <w:kern w:val="0"/>
              </w:rPr>
              <w:t>2,325.75</w:t>
            </w:r>
          </w:p>
        </w:tc>
      </w:tr>
      <w:tr w:rsidR="004B0883" w14:paraId="5FA8D69F" w14:textId="77777777">
        <w:trPr>
          <w:trHeight w:val="397"/>
          <w:jc w:val="center"/>
        </w:trPr>
        <w:tc>
          <w:tcPr>
            <w:tcW w:w="2628" w:type="dxa"/>
            <w:vAlign w:val="center"/>
          </w:tcPr>
          <w:p w14:paraId="61A7BF6E" w14:textId="77777777" w:rsidR="004B0883" w:rsidRDefault="004B0883">
            <w:pPr>
              <w:adjustRightInd w:val="0"/>
              <w:snapToGrid w:val="0"/>
              <w:rPr>
                <w:kern w:val="0"/>
              </w:rPr>
            </w:pPr>
            <w:r>
              <w:rPr>
                <w:kern w:val="0"/>
              </w:rPr>
              <w:t>研发费用</w:t>
            </w:r>
          </w:p>
        </w:tc>
        <w:tc>
          <w:tcPr>
            <w:tcW w:w="1568" w:type="dxa"/>
            <w:vAlign w:val="center"/>
          </w:tcPr>
          <w:p w14:paraId="7B67C4B6" w14:textId="77777777" w:rsidR="004B0883" w:rsidRDefault="004B0883">
            <w:pPr>
              <w:adjustRightInd w:val="0"/>
              <w:snapToGrid w:val="0"/>
              <w:jc w:val="right"/>
              <w:rPr>
                <w:kern w:val="0"/>
              </w:rPr>
            </w:pPr>
            <w:r>
              <w:t>1,626.82</w:t>
            </w:r>
          </w:p>
        </w:tc>
        <w:tc>
          <w:tcPr>
            <w:tcW w:w="1444" w:type="dxa"/>
            <w:vAlign w:val="center"/>
          </w:tcPr>
          <w:p w14:paraId="56F26D95" w14:textId="77777777" w:rsidR="004B0883" w:rsidRDefault="004B0883">
            <w:pPr>
              <w:adjustRightInd w:val="0"/>
              <w:snapToGrid w:val="0"/>
              <w:jc w:val="right"/>
              <w:rPr>
                <w:kern w:val="0"/>
              </w:rPr>
            </w:pPr>
            <w:r>
              <w:rPr>
                <w:rFonts w:hint="eastAsia"/>
                <w:kern w:val="0"/>
              </w:rPr>
              <w:t>2,650.47</w:t>
            </w:r>
          </w:p>
        </w:tc>
        <w:tc>
          <w:tcPr>
            <w:tcW w:w="1444" w:type="dxa"/>
            <w:vAlign w:val="center"/>
          </w:tcPr>
          <w:p w14:paraId="2D62C386" w14:textId="77777777" w:rsidR="004B0883" w:rsidRDefault="004B0883">
            <w:pPr>
              <w:adjustRightInd w:val="0"/>
              <w:snapToGrid w:val="0"/>
              <w:jc w:val="right"/>
              <w:rPr>
                <w:kern w:val="0"/>
              </w:rPr>
            </w:pPr>
            <w:r>
              <w:rPr>
                <w:rFonts w:hint="eastAsia"/>
                <w:kern w:val="0"/>
              </w:rPr>
              <w:t>2,419.61</w:t>
            </w:r>
          </w:p>
        </w:tc>
        <w:tc>
          <w:tcPr>
            <w:tcW w:w="1444" w:type="dxa"/>
            <w:vAlign w:val="center"/>
          </w:tcPr>
          <w:p w14:paraId="40F3AFB7" w14:textId="77777777" w:rsidR="004B0883" w:rsidRDefault="004B0883">
            <w:pPr>
              <w:adjustRightInd w:val="0"/>
              <w:snapToGrid w:val="0"/>
              <w:jc w:val="right"/>
              <w:rPr>
                <w:kern w:val="0"/>
              </w:rPr>
            </w:pPr>
            <w:r>
              <w:rPr>
                <w:rFonts w:hint="eastAsia"/>
                <w:kern w:val="0"/>
              </w:rPr>
              <w:t>2,123.79</w:t>
            </w:r>
          </w:p>
        </w:tc>
      </w:tr>
      <w:tr w:rsidR="004B0883" w14:paraId="27DE2BE6" w14:textId="77777777">
        <w:trPr>
          <w:trHeight w:val="397"/>
          <w:jc w:val="center"/>
        </w:trPr>
        <w:tc>
          <w:tcPr>
            <w:tcW w:w="2628" w:type="dxa"/>
            <w:vAlign w:val="center"/>
          </w:tcPr>
          <w:p w14:paraId="6B3E751D" w14:textId="77777777" w:rsidR="004B0883" w:rsidRDefault="004B0883">
            <w:pPr>
              <w:adjustRightInd w:val="0"/>
              <w:snapToGrid w:val="0"/>
              <w:rPr>
                <w:kern w:val="0"/>
              </w:rPr>
            </w:pPr>
            <w:r>
              <w:rPr>
                <w:kern w:val="0"/>
              </w:rPr>
              <w:t>财务费用</w:t>
            </w:r>
          </w:p>
        </w:tc>
        <w:tc>
          <w:tcPr>
            <w:tcW w:w="1568" w:type="dxa"/>
            <w:vAlign w:val="center"/>
          </w:tcPr>
          <w:p w14:paraId="561FD431" w14:textId="77777777" w:rsidR="004B0883" w:rsidRDefault="004B0883">
            <w:pPr>
              <w:adjustRightInd w:val="0"/>
              <w:snapToGrid w:val="0"/>
              <w:jc w:val="right"/>
              <w:rPr>
                <w:kern w:val="0"/>
              </w:rPr>
            </w:pPr>
            <w:r>
              <w:t>-264.72</w:t>
            </w:r>
          </w:p>
        </w:tc>
        <w:tc>
          <w:tcPr>
            <w:tcW w:w="1444" w:type="dxa"/>
            <w:vAlign w:val="center"/>
          </w:tcPr>
          <w:p w14:paraId="1E1C42FB" w14:textId="77777777" w:rsidR="004B0883" w:rsidRDefault="004B0883">
            <w:pPr>
              <w:adjustRightInd w:val="0"/>
              <w:snapToGrid w:val="0"/>
              <w:jc w:val="right"/>
              <w:rPr>
                <w:kern w:val="0"/>
              </w:rPr>
            </w:pPr>
            <w:r>
              <w:rPr>
                <w:rFonts w:hint="eastAsia"/>
                <w:kern w:val="0"/>
              </w:rPr>
              <w:t>-702.99</w:t>
            </w:r>
          </w:p>
        </w:tc>
        <w:tc>
          <w:tcPr>
            <w:tcW w:w="1444" w:type="dxa"/>
            <w:vAlign w:val="center"/>
          </w:tcPr>
          <w:p w14:paraId="3D424F3B" w14:textId="77777777" w:rsidR="004B0883" w:rsidRDefault="004B0883">
            <w:pPr>
              <w:adjustRightInd w:val="0"/>
              <w:snapToGrid w:val="0"/>
              <w:jc w:val="right"/>
              <w:rPr>
                <w:kern w:val="0"/>
              </w:rPr>
            </w:pPr>
            <w:r>
              <w:rPr>
                <w:rFonts w:hint="eastAsia"/>
                <w:kern w:val="0"/>
              </w:rPr>
              <w:t>254.82</w:t>
            </w:r>
          </w:p>
        </w:tc>
        <w:tc>
          <w:tcPr>
            <w:tcW w:w="1444" w:type="dxa"/>
            <w:vAlign w:val="center"/>
          </w:tcPr>
          <w:p w14:paraId="33E65F2E" w14:textId="77777777" w:rsidR="004B0883" w:rsidRDefault="004B0883">
            <w:pPr>
              <w:adjustRightInd w:val="0"/>
              <w:snapToGrid w:val="0"/>
              <w:jc w:val="right"/>
              <w:rPr>
                <w:kern w:val="0"/>
              </w:rPr>
            </w:pPr>
            <w:r>
              <w:rPr>
                <w:rFonts w:hint="eastAsia"/>
                <w:kern w:val="0"/>
              </w:rPr>
              <w:t>178.91</w:t>
            </w:r>
          </w:p>
        </w:tc>
      </w:tr>
      <w:tr w:rsidR="004B0883" w14:paraId="1D9E1261" w14:textId="77777777">
        <w:trPr>
          <w:trHeight w:val="397"/>
          <w:jc w:val="center"/>
        </w:trPr>
        <w:tc>
          <w:tcPr>
            <w:tcW w:w="2628" w:type="dxa"/>
            <w:vAlign w:val="center"/>
          </w:tcPr>
          <w:p w14:paraId="1146D546" w14:textId="77777777" w:rsidR="004B0883" w:rsidRDefault="004B0883">
            <w:pPr>
              <w:adjustRightInd w:val="0"/>
              <w:snapToGrid w:val="0"/>
              <w:rPr>
                <w:kern w:val="0"/>
              </w:rPr>
            </w:pPr>
            <w:r>
              <w:rPr>
                <w:kern w:val="0"/>
              </w:rPr>
              <w:t>其中：利息费用</w:t>
            </w:r>
          </w:p>
        </w:tc>
        <w:tc>
          <w:tcPr>
            <w:tcW w:w="1568" w:type="dxa"/>
            <w:vAlign w:val="center"/>
          </w:tcPr>
          <w:p w14:paraId="6570932D" w14:textId="77777777" w:rsidR="004B0883" w:rsidRDefault="004B0883">
            <w:pPr>
              <w:adjustRightInd w:val="0"/>
              <w:snapToGrid w:val="0"/>
              <w:jc w:val="right"/>
              <w:rPr>
                <w:kern w:val="0"/>
              </w:rPr>
            </w:pPr>
            <w:r>
              <w:t>14.67</w:t>
            </w:r>
          </w:p>
        </w:tc>
        <w:tc>
          <w:tcPr>
            <w:tcW w:w="1444" w:type="dxa"/>
            <w:vAlign w:val="center"/>
          </w:tcPr>
          <w:p w14:paraId="2ACB20C2" w14:textId="77777777" w:rsidR="004B0883" w:rsidRDefault="004B0883">
            <w:pPr>
              <w:adjustRightInd w:val="0"/>
              <w:snapToGrid w:val="0"/>
              <w:jc w:val="right"/>
              <w:rPr>
                <w:kern w:val="0"/>
              </w:rPr>
            </w:pPr>
            <w:r>
              <w:rPr>
                <w:rFonts w:hint="eastAsia"/>
                <w:kern w:val="0"/>
              </w:rPr>
              <w:t>119.82</w:t>
            </w:r>
          </w:p>
        </w:tc>
        <w:tc>
          <w:tcPr>
            <w:tcW w:w="1444" w:type="dxa"/>
            <w:vAlign w:val="center"/>
          </w:tcPr>
          <w:p w14:paraId="4DB46C2C" w14:textId="77777777" w:rsidR="004B0883" w:rsidRDefault="004B0883">
            <w:pPr>
              <w:adjustRightInd w:val="0"/>
              <w:snapToGrid w:val="0"/>
              <w:jc w:val="right"/>
              <w:rPr>
                <w:kern w:val="0"/>
              </w:rPr>
            </w:pPr>
            <w:r>
              <w:rPr>
                <w:rFonts w:hint="eastAsia"/>
                <w:kern w:val="0"/>
              </w:rPr>
              <w:t>102.11</w:t>
            </w:r>
          </w:p>
        </w:tc>
        <w:tc>
          <w:tcPr>
            <w:tcW w:w="1444" w:type="dxa"/>
            <w:vAlign w:val="center"/>
          </w:tcPr>
          <w:p w14:paraId="1DA6A895" w14:textId="77777777" w:rsidR="004B0883" w:rsidRDefault="004B0883">
            <w:pPr>
              <w:adjustRightInd w:val="0"/>
              <w:snapToGrid w:val="0"/>
              <w:jc w:val="right"/>
              <w:rPr>
                <w:kern w:val="0"/>
              </w:rPr>
            </w:pPr>
            <w:r>
              <w:rPr>
                <w:rFonts w:hint="eastAsia"/>
                <w:kern w:val="0"/>
              </w:rPr>
              <w:t>63.90</w:t>
            </w:r>
          </w:p>
        </w:tc>
      </w:tr>
      <w:tr w:rsidR="004B0883" w14:paraId="66774F99" w14:textId="77777777">
        <w:trPr>
          <w:trHeight w:val="397"/>
          <w:jc w:val="center"/>
        </w:trPr>
        <w:tc>
          <w:tcPr>
            <w:tcW w:w="2628" w:type="dxa"/>
            <w:vAlign w:val="center"/>
          </w:tcPr>
          <w:p w14:paraId="5433DA32" w14:textId="77777777" w:rsidR="004B0883" w:rsidRDefault="004B0883">
            <w:pPr>
              <w:adjustRightInd w:val="0"/>
              <w:snapToGrid w:val="0"/>
              <w:ind w:firstLineChars="200" w:firstLine="420"/>
              <w:rPr>
                <w:kern w:val="0"/>
              </w:rPr>
            </w:pPr>
            <w:r>
              <w:rPr>
                <w:kern w:val="0"/>
              </w:rPr>
              <w:t>利息收入</w:t>
            </w:r>
          </w:p>
        </w:tc>
        <w:tc>
          <w:tcPr>
            <w:tcW w:w="1568" w:type="dxa"/>
            <w:vAlign w:val="center"/>
          </w:tcPr>
          <w:p w14:paraId="64468A87" w14:textId="77777777" w:rsidR="004B0883" w:rsidRDefault="004B0883">
            <w:pPr>
              <w:adjustRightInd w:val="0"/>
              <w:snapToGrid w:val="0"/>
              <w:jc w:val="right"/>
              <w:rPr>
                <w:kern w:val="0"/>
              </w:rPr>
            </w:pPr>
            <w:r>
              <w:t>66.37</w:t>
            </w:r>
          </w:p>
        </w:tc>
        <w:tc>
          <w:tcPr>
            <w:tcW w:w="1444" w:type="dxa"/>
            <w:vAlign w:val="center"/>
          </w:tcPr>
          <w:p w14:paraId="013D3922" w14:textId="77777777" w:rsidR="004B0883" w:rsidRDefault="004B0883">
            <w:pPr>
              <w:adjustRightInd w:val="0"/>
              <w:snapToGrid w:val="0"/>
              <w:jc w:val="right"/>
              <w:rPr>
                <w:kern w:val="0"/>
              </w:rPr>
            </w:pPr>
            <w:r>
              <w:rPr>
                <w:rFonts w:hint="eastAsia"/>
                <w:kern w:val="0"/>
              </w:rPr>
              <w:t>47.11</w:t>
            </w:r>
          </w:p>
        </w:tc>
        <w:tc>
          <w:tcPr>
            <w:tcW w:w="1444" w:type="dxa"/>
            <w:vAlign w:val="center"/>
          </w:tcPr>
          <w:p w14:paraId="24C589E5" w14:textId="77777777" w:rsidR="004B0883" w:rsidRDefault="004B0883">
            <w:pPr>
              <w:adjustRightInd w:val="0"/>
              <w:snapToGrid w:val="0"/>
              <w:jc w:val="right"/>
              <w:rPr>
                <w:kern w:val="0"/>
              </w:rPr>
            </w:pPr>
            <w:r>
              <w:rPr>
                <w:rFonts w:hint="eastAsia"/>
                <w:kern w:val="0"/>
              </w:rPr>
              <w:t>27.55</w:t>
            </w:r>
          </w:p>
        </w:tc>
        <w:tc>
          <w:tcPr>
            <w:tcW w:w="1444" w:type="dxa"/>
            <w:vAlign w:val="center"/>
          </w:tcPr>
          <w:p w14:paraId="4947E70A" w14:textId="77777777" w:rsidR="004B0883" w:rsidRDefault="004B0883">
            <w:pPr>
              <w:adjustRightInd w:val="0"/>
              <w:snapToGrid w:val="0"/>
              <w:jc w:val="right"/>
              <w:rPr>
                <w:kern w:val="0"/>
              </w:rPr>
            </w:pPr>
            <w:r>
              <w:rPr>
                <w:rFonts w:hint="eastAsia"/>
                <w:kern w:val="0"/>
              </w:rPr>
              <w:t>55.72</w:t>
            </w:r>
          </w:p>
        </w:tc>
      </w:tr>
      <w:tr w:rsidR="004B0883" w14:paraId="554E5D8B" w14:textId="77777777">
        <w:trPr>
          <w:trHeight w:val="397"/>
          <w:jc w:val="center"/>
        </w:trPr>
        <w:tc>
          <w:tcPr>
            <w:tcW w:w="2628" w:type="dxa"/>
            <w:vAlign w:val="center"/>
          </w:tcPr>
          <w:p w14:paraId="0A358464" w14:textId="77777777" w:rsidR="004B0883" w:rsidRDefault="004B0883">
            <w:pPr>
              <w:adjustRightInd w:val="0"/>
              <w:snapToGrid w:val="0"/>
              <w:rPr>
                <w:kern w:val="0"/>
              </w:rPr>
            </w:pPr>
            <w:r>
              <w:rPr>
                <w:kern w:val="0"/>
              </w:rPr>
              <w:t>加：其他收益</w:t>
            </w:r>
          </w:p>
        </w:tc>
        <w:tc>
          <w:tcPr>
            <w:tcW w:w="1568" w:type="dxa"/>
            <w:vAlign w:val="center"/>
          </w:tcPr>
          <w:p w14:paraId="4224A1B5" w14:textId="77777777" w:rsidR="004B0883" w:rsidRDefault="004B0883">
            <w:pPr>
              <w:adjustRightInd w:val="0"/>
              <w:snapToGrid w:val="0"/>
              <w:jc w:val="right"/>
              <w:rPr>
                <w:kern w:val="0"/>
              </w:rPr>
            </w:pPr>
            <w:r>
              <w:t>203.50</w:t>
            </w:r>
          </w:p>
        </w:tc>
        <w:tc>
          <w:tcPr>
            <w:tcW w:w="1444" w:type="dxa"/>
            <w:vAlign w:val="center"/>
          </w:tcPr>
          <w:p w14:paraId="125C6B22" w14:textId="77777777" w:rsidR="004B0883" w:rsidRDefault="004B0883">
            <w:pPr>
              <w:adjustRightInd w:val="0"/>
              <w:snapToGrid w:val="0"/>
              <w:jc w:val="right"/>
              <w:rPr>
                <w:kern w:val="0"/>
              </w:rPr>
            </w:pPr>
            <w:r>
              <w:rPr>
                <w:rFonts w:hint="eastAsia"/>
                <w:kern w:val="0"/>
              </w:rPr>
              <w:t>340.65</w:t>
            </w:r>
          </w:p>
        </w:tc>
        <w:tc>
          <w:tcPr>
            <w:tcW w:w="1444" w:type="dxa"/>
            <w:vAlign w:val="center"/>
          </w:tcPr>
          <w:p w14:paraId="7E86AAAD" w14:textId="77777777" w:rsidR="004B0883" w:rsidRDefault="004B0883">
            <w:pPr>
              <w:adjustRightInd w:val="0"/>
              <w:snapToGrid w:val="0"/>
              <w:jc w:val="right"/>
              <w:rPr>
                <w:kern w:val="0"/>
              </w:rPr>
            </w:pPr>
            <w:r>
              <w:rPr>
                <w:rFonts w:hint="eastAsia"/>
                <w:kern w:val="0"/>
              </w:rPr>
              <w:t>315.15</w:t>
            </w:r>
          </w:p>
        </w:tc>
        <w:tc>
          <w:tcPr>
            <w:tcW w:w="1444" w:type="dxa"/>
            <w:vAlign w:val="center"/>
          </w:tcPr>
          <w:p w14:paraId="0F4E98F3" w14:textId="77777777" w:rsidR="004B0883" w:rsidRDefault="004B0883">
            <w:pPr>
              <w:adjustRightInd w:val="0"/>
              <w:snapToGrid w:val="0"/>
              <w:jc w:val="right"/>
              <w:rPr>
                <w:kern w:val="0"/>
              </w:rPr>
            </w:pPr>
            <w:r>
              <w:rPr>
                <w:rFonts w:hint="eastAsia"/>
                <w:kern w:val="0"/>
              </w:rPr>
              <w:t>417.07</w:t>
            </w:r>
          </w:p>
        </w:tc>
      </w:tr>
      <w:tr w:rsidR="004B0883" w14:paraId="7FD94827" w14:textId="77777777">
        <w:trPr>
          <w:trHeight w:val="397"/>
          <w:jc w:val="center"/>
        </w:trPr>
        <w:tc>
          <w:tcPr>
            <w:tcW w:w="2628" w:type="dxa"/>
            <w:vAlign w:val="center"/>
          </w:tcPr>
          <w:p w14:paraId="3A679156" w14:textId="77777777" w:rsidR="004B0883" w:rsidRDefault="004B0883">
            <w:pPr>
              <w:adjustRightInd w:val="0"/>
              <w:snapToGrid w:val="0"/>
              <w:rPr>
                <w:kern w:val="0"/>
              </w:rPr>
            </w:pPr>
            <w:r>
              <w:rPr>
                <w:kern w:val="0"/>
              </w:rPr>
              <w:t>投资收益（损失以</w:t>
            </w:r>
            <w:r>
              <w:rPr>
                <w:rFonts w:ascii="宋体" w:hAnsi="宋体"/>
                <w:kern w:val="0"/>
              </w:rPr>
              <w:t>“</w:t>
            </w:r>
            <w:r>
              <w:rPr>
                <w:kern w:val="0"/>
              </w:rPr>
              <w:t>-</w:t>
            </w:r>
            <w:r>
              <w:rPr>
                <w:rFonts w:ascii="宋体" w:hAnsi="宋体"/>
                <w:kern w:val="0"/>
              </w:rPr>
              <w:t>”</w:t>
            </w:r>
            <w:r>
              <w:rPr>
                <w:kern w:val="0"/>
              </w:rPr>
              <w:t>号填列）</w:t>
            </w:r>
          </w:p>
        </w:tc>
        <w:tc>
          <w:tcPr>
            <w:tcW w:w="1568" w:type="dxa"/>
            <w:vAlign w:val="center"/>
          </w:tcPr>
          <w:p w14:paraId="323F630A" w14:textId="77777777" w:rsidR="004B0883" w:rsidRDefault="004B0883">
            <w:pPr>
              <w:adjustRightInd w:val="0"/>
              <w:snapToGrid w:val="0"/>
              <w:jc w:val="right"/>
              <w:rPr>
                <w:kern w:val="0"/>
              </w:rPr>
            </w:pPr>
            <w:r>
              <w:rPr>
                <w:kern w:val="0"/>
              </w:rPr>
              <w:t>506.35</w:t>
            </w:r>
          </w:p>
        </w:tc>
        <w:tc>
          <w:tcPr>
            <w:tcW w:w="1444" w:type="dxa"/>
            <w:vAlign w:val="center"/>
          </w:tcPr>
          <w:p w14:paraId="44C74575" w14:textId="77777777" w:rsidR="004B0883" w:rsidRDefault="004B0883">
            <w:pPr>
              <w:adjustRightInd w:val="0"/>
              <w:snapToGrid w:val="0"/>
              <w:jc w:val="right"/>
              <w:rPr>
                <w:kern w:val="0"/>
              </w:rPr>
            </w:pPr>
            <w:r>
              <w:rPr>
                <w:rFonts w:hint="eastAsia"/>
                <w:kern w:val="0"/>
              </w:rPr>
              <w:t>4,932.57</w:t>
            </w:r>
          </w:p>
        </w:tc>
        <w:tc>
          <w:tcPr>
            <w:tcW w:w="1444" w:type="dxa"/>
            <w:vAlign w:val="center"/>
          </w:tcPr>
          <w:p w14:paraId="2BC076A4" w14:textId="77777777" w:rsidR="004B0883" w:rsidRDefault="004B0883">
            <w:pPr>
              <w:adjustRightInd w:val="0"/>
              <w:snapToGrid w:val="0"/>
              <w:jc w:val="right"/>
              <w:rPr>
                <w:kern w:val="0"/>
              </w:rPr>
            </w:pPr>
            <w:r>
              <w:rPr>
                <w:rFonts w:hint="eastAsia"/>
                <w:kern w:val="0"/>
              </w:rPr>
              <w:t>1,591.57</w:t>
            </w:r>
          </w:p>
        </w:tc>
        <w:tc>
          <w:tcPr>
            <w:tcW w:w="1444" w:type="dxa"/>
            <w:vAlign w:val="center"/>
          </w:tcPr>
          <w:p w14:paraId="119442F4" w14:textId="77777777" w:rsidR="004B0883" w:rsidRDefault="004B0883">
            <w:pPr>
              <w:adjustRightInd w:val="0"/>
              <w:snapToGrid w:val="0"/>
              <w:jc w:val="right"/>
              <w:rPr>
                <w:kern w:val="0"/>
              </w:rPr>
            </w:pPr>
            <w:r>
              <w:rPr>
                <w:rFonts w:hint="eastAsia"/>
                <w:kern w:val="0"/>
              </w:rPr>
              <w:t>918.64</w:t>
            </w:r>
          </w:p>
        </w:tc>
      </w:tr>
      <w:tr w:rsidR="004B0883" w14:paraId="44F50DDF" w14:textId="77777777">
        <w:trPr>
          <w:trHeight w:val="397"/>
          <w:jc w:val="center"/>
        </w:trPr>
        <w:tc>
          <w:tcPr>
            <w:tcW w:w="2628" w:type="dxa"/>
            <w:vAlign w:val="center"/>
          </w:tcPr>
          <w:p w14:paraId="4DB2053D" w14:textId="77777777" w:rsidR="004B0883" w:rsidRDefault="004B0883">
            <w:pPr>
              <w:adjustRightInd w:val="0"/>
              <w:snapToGrid w:val="0"/>
              <w:rPr>
                <w:kern w:val="0"/>
              </w:rPr>
            </w:pPr>
            <w:r>
              <w:rPr>
                <w:kern w:val="0"/>
              </w:rPr>
              <w:t>公允价值变动收益（损失以</w:t>
            </w:r>
            <w:r>
              <w:rPr>
                <w:rFonts w:ascii="宋体" w:hAnsi="宋体"/>
                <w:kern w:val="0"/>
              </w:rPr>
              <w:t>“</w:t>
            </w:r>
            <w:r>
              <w:rPr>
                <w:kern w:val="0"/>
              </w:rPr>
              <w:t>-</w:t>
            </w:r>
            <w:r>
              <w:rPr>
                <w:rFonts w:ascii="宋体" w:hAnsi="宋体"/>
                <w:kern w:val="0"/>
              </w:rPr>
              <w:t>”</w:t>
            </w:r>
            <w:r>
              <w:rPr>
                <w:kern w:val="0"/>
              </w:rPr>
              <w:t>号填列）</w:t>
            </w:r>
          </w:p>
        </w:tc>
        <w:tc>
          <w:tcPr>
            <w:tcW w:w="1568" w:type="dxa"/>
            <w:vAlign w:val="center"/>
          </w:tcPr>
          <w:p w14:paraId="417FE5C7" w14:textId="77777777" w:rsidR="004B0883" w:rsidRDefault="004B0883">
            <w:pPr>
              <w:adjustRightInd w:val="0"/>
              <w:snapToGrid w:val="0"/>
              <w:jc w:val="right"/>
              <w:rPr>
                <w:kern w:val="0"/>
              </w:rPr>
            </w:pPr>
            <w:r>
              <w:t>1,929.72</w:t>
            </w:r>
          </w:p>
        </w:tc>
        <w:tc>
          <w:tcPr>
            <w:tcW w:w="1444" w:type="dxa"/>
            <w:vAlign w:val="center"/>
          </w:tcPr>
          <w:p w14:paraId="629EDD5B" w14:textId="77777777" w:rsidR="004B0883" w:rsidRDefault="004B0883">
            <w:pPr>
              <w:adjustRightInd w:val="0"/>
              <w:snapToGrid w:val="0"/>
              <w:jc w:val="right"/>
              <w:rPr>
                <w:kern w:val="0"/>
              </w:rPr>
            </w:pPr>
            <w:r>
              <w:rPr>
                <w:rFonts w:hint="eastAsia"/>
                <w:kern w:val="0"/>
              </w:rPr>
              <w:t>-838.21</w:t>
            </w:r>
          </w:p>
        </w:tc>
        <w:tc>
          <w:tcPr>
            <w:tcW w:w="1444" w:type="dxa"/>
            <w:vAlign w:val="center"/>
          </w:tcPr>
          <w:p w14:paraId="039ED2A4" w14:textId="77777777" w:rsidR="004B0883" w:rsidRDefault="004B0883">
            <w:pPr>
              <w:adjustRightInd w:val="0"/>
              <w:snapToGrid w:val="0"/>
              <w:jc w:val="right"/>
              <w:rPr>
                <w:kern w:val="0"/>
              </w:rPr>
            </w:pPr>
            <w:r>
              <w:rPr>
                <w:rFonts w:hint="eastAsia"/>
                <w:kern w:val="0"/>
              </w:rPr>
              <w:t>-336.67</w:t>
            </w:r>
          </w:p>
        </w:tc>
        <w:tc>
          <w:tcPr>
            <w:tcW w:w="1444" w:type="dxa"/>
            <w:vAlign w:val="center"/>
          </w:tcPr>
          <w:p w14:paraId="7F03843D" w14:textId="77777777" w:rsidR="004B0883" w:rsidRDefault="004B0883">
            <w:pPr>
              <w:adjustRightInd w:val="0"/>
              <w:snapToGrid w:val="0"/>
              <w:jc w:val="right"/>
              <w:rPr>
                <w:kern w:val="0"/>
              </w:rPr>
            </w:pPr>
            <w:r>
              <w:rPr>
                <w:rFonts w:hint="eastAsia"/>
                <w:kern w:val="0"/>
              </w:rPr>
              <w:t>460.16</w:t>
            </w:r>
          </w:p>
        </w:tc>
      </w:tr>
      <w:tr w:rsidR="004B0883" w14:paraId="48EC269C" w14:textId="77777777">
        <w:trPr>
          <w:trHeight w:val="397"/>
          <w:jc w:val="center"/>
        </w:trPr>
        <w:tc>
          <w:tcPr>
            <w:tcW w:w="2628" w:type="dxa"/>
            <w:vAlign w:val="center"/>
          </w:tcPr>
          <w:p w14:paraId="08220BA4" w14:textId="77777777" w:rsidR="004B0883" w:rsidRDefault="004B0883">
            <w:pPr>
              <w:adjustRightInd w:val="0"/>
              <w:snapToGrid w:val="0"/>
              <w:rPr>
                <w:kern w:val="0"/>
              </w:rPr>
            </w:pPr>
            <w:r>
              <w:rPr>
                <w:kern w:val="0"/>
              </w:rPr>
              <w:t>信用减值损失（损失以</w:t>
            </w:r>
            <w:r>
              <w:rPr>
                <w:rFonts w:ascii="宋体" w:hAnsi="宋体"/>
                <w:kern w:val="0"/>
              </w:rPr>
              <w:t>“</w:t>
            </w:r>
            <w:r>
              <w:rPr>
                <w:kern w:val="0"/>
              </w:rPr>
              <w:t>-</w:t>
            </w:r>
            <w:r>
              <w:rPr>
                <w:rFonts w:ascii="宋体" w:hAnsi="宋体"/>
                <w:kern w:val="0"/>
              </w:rPr>
              <w:t>”</w:t>
            </w:r>
            <w:r>
              <w:rPr>
                <w:kern w:val="0"/>
              </w:rPr>
              <w:t>号填列）</w:t>
            </w:r>
          </w:p>
        </w:tc>
        <w:tc>
          <w:tcPr>
            <w:tcW w:w="1568" w:type="dxa"/>
            <w:vAlign w:val="center"/>
          </w:tcPr>
          <w:p w14:paraId="1D254E13" w14:textId="77777777" w:rsidR="004B0883" w:rsidRDefault="004B0883">
            <w:pPr>
              <w:adjustRightInd w:val="0"/>
              <w:snapToGrid w:val="0"/>
              <w:jc w:val="right"/>
              <w:rPr>
                <w:kern w:val="0"/>
              </w:rPr>
            </w:pPr>
            <w:r>
              <w:t>-67.35</w:t>
            </w:r>
          </w:p>
        </w:tc>
        <w:tc>
          <w:tcPr>
            <w:tcW w:w="1444" w:type="dxa"/>
            <w:vAlign w:val="center"/>
          </w:tcPr>
          <w:p w14:paraId="3B30EAEC" w14:textId="77777777" w:rsidR="004B0883" w:rsidRDefault="004B0883">
            <w:pPr>
              <w:adjustRightInd w:val="0"/>
              <w:snapToGrid w:val="0"/>
              <w:jc w:val="right"/>
              <w:rPr>
                <w:kern w:val="0"/>
              </w:rPr>
            </w:pPr>
            <w:r>
              <w:rPr>
                <w:rFonts w:hint="eastAsia"/>
                <w:kern w:val="0"/>
              </w:rPr>
              <w:t>-120.74</w:t>
            </w:r>
          </w:p>
        </w:tc>
        <w:tc>
          <w:tcPr>
            <w:tcW w:w="1444" w:type="dxa"/>
            <w:vAlign w:val="center"/>
          </w:tcPr>
          <w:p w14:paraId="5EB1262A" w14:textId="77777777" w:rsidR="004B0883" w:rsidRDefault="004B0883">
            <w:pPr>
              <w:adjustRightInd w:val="0"/>
              <w:snapToGrid w:val="0"/>
              <w:jc w:val="right"/>
              <w:rPr>
                <w:kern w:val="0"/>
              </w:rPr>
            </w:pPr>
            <w:r>
              <w:rPr>
                <w:rFonts w:hint="eastAsia"/>
                <w:kern w:val="0"/>
              </w:rPr>
              <w:t>-241.81</w:t>
            </w:r>
          </w:p>
        </w:tc>
        <w:tc>
          <w:tcPr>
            <w:tcW w:w="1444" w:type="dxa"/>
            <w:vAlign w:val="center"/>
          </w:tcPr>
          <w:p w14:paraId="4D120F92" w14:textId="77777777" w:rsidR="004B0883" w:rsidRDefault="004B0883">
            <w:pPr>
              <w:adjustRightInd w:val="0"/>
              <w:snapToGrid w:val="0"/>
              <w:jc w:val="right"/>
              <w:rPr>
                <w:kern w:val="0"/>
              </w:rPr>
            </w:pPr>
            <w:r>
              <w:rPr>
                <w:rFonts w:hint="eastAsia"/>
                <w:kern w:val="0"/>
              </w:rPr>
              <w:t>58.96</w:t>
            </w:r>
          </w:p>
        </w:tc>
      </w:tr>
      <w:tr w:rsidR="004B0883" w14:paraId="2F328450" w14:textId="77777777">
        <w:trPr>
          <w:trHeight w:val="397"/>
          <w:jc w:val="center"/>
        </w:trPr>
        <w:tc>
          <w:tcPr>
            <w:tcW w:w="2628" w:type="dxa"/>
            <w:vAlign w:val="center"/>
          </w:tcPr>
          <w:p w14:paraId="26920EF5" w14:textId="77777777" w:rsidR="004B0883" w:rsidRDefault="004B0883">
            <w:pPr>
              <w:adjustRightInd w:val="0"/>
              <w:snapToGrid w:val="0"/>
              <w:rPr>
                <w:kern w:val="0"/>
              </w:rPr>
            </w:pPr>
            <w:r>
              <w:rPr>
                <w:kern w:val="0"/>
              </w:rPr>
              <w:t>资产减值损失（损失以</w:t>
            </w:r>
            <w:r>
              <w:rPr>
                <w:rFonts w:ascii="宋体" w:hAnsi="宋体"/>
                <w:kern w:val="0"/>
              </w:rPr>
              <w:t>“</w:t>
            </w:r>
            <w:r>
              <w:rPr>
                <w:kern w:val="0"/>
              </w:rPr>
              <w:t>-</w:t>
            </w:r>
            <w:r>
              <w:rPr>
                <w:rFonts w:ascii="宋体" w:hAnsi="宋体"/>
                <w:kern w:val="0"/>
              </w:rPr>
              <w:t>”</w:t>
            </w:r>
            <w:r>
              <w:rPr>
                <w:kern w:val="0"/>
              </w:rPr>
              <w:t>号填列）</w:t>
            </w:r>
          </w:p>
        </w:tc>
        <w:tc>
          <w:tcPr>
            <w:tcW w:w="1568" w:type="dxa"/>
            <w:vAlign w:val="center"/>
          </w:tcPr>
          <w:p w14:paraId="4C549024" w14:textId="77777777" w:rsidR="004B0883" w:rsidRDefault="004B0883">
            <w:pPr>
              <w:adjustRightInd w:val="0"/>
              <w:snapToGrid w:val="0"/>
              <w:jc w:val="right"/>
              <w:rPr>
                <w:kern w:val="0"/>
              </w:rPr>
            </w:pPr>
            <w:r>
              <w:t>-36.33</w:t>
            </w:r>
          </w:p>
        </w:tc>
        <w:tc>
          <w:tcPr>
            <w:tcW w:w="1444" w:type="dxa"/>
            <w:vAlign w:val="center"/>
          </w:tcPr>
          <w:p w14:paraId="632A8553" w14:textId="77777777" w:rsidR="004B0883" w:rsidRDefault="004B0883">
            <w:pPr>
              <w:adjustRightInd w:val="0"/>
              <w:snapToGrid w:val="0"/>
              <w:jc w:val="right"/>
              <w:rPr>
                <w:kern w:val="0"/>
              </w:rPr>
            </w:pPr>
            <w:r>
              <w:rPr>
                <w:rFonts w:hint="eastAsia"/>
                <w:kern w:val="0"/>
              </w:rPr>
              <w:t>-254.24</w:t>
            </w:r>
          </w:p>
        </w:tc>
        <w:tc>
          <w:tcPr>
            <w:tcW w:w="1444" w:type="dxa"/>
            <w:vAlign w:val="center"/>
          </w:tcPr>
          <w:p w14:paraId="7149AF98" w14:textId="77777777" w:rsidR="004B0883" w:rsidRDefault="004B0883">
            <w:pPr>
              <w:adjustRightInd w:val="0"/>
              <w:snapToGrid w:val="0"/>
              <w:jc w:val="right"/>
              <w:rPr>
                <w:kern w:val="0"/>
              </w:rPr>
            </w:pPr>
            <w:r>
              <w:rPr>
                <w:rFonts w:hint="eastAsia"/>
                <w:kern w:val="0"/>
              </w:rPr>
              <w:t>-233.99</w:t>
            </w:r>
          </w:p>
        </w:tc>
        <w:tc>
          <w:tcPr>
            <w:tcW w:w="1444" w:type="dxa"/>
            <w:vAlign w:val="center"/>
          </w:tcPr>
          <w:p w14:paraId="32E25062" w14:textId="77777777" w:rsidR="004B0883" w:rsidRDefault="004B0883">
            <w:pPr>
              <w:adjustRightInd w:val="0"/>
              <w:snapToGrid w:val="0"/>
              <w:jc w:val="right"/>
              <w:rPr>
                <w:kern w:val="0"/>
              </w:rPr>
            </w:pPr>
            <w:r>
              <w:rPr>
                <w:rFonts w:hint="eastAsia"/>
                <w:kern w:val="0"/>
              </w:rPr>
              <w:t>-37.61</w:t>
            </w:r>
          </w:p>
        </w:tc>
      </w:tr>
      <w:tr w:rsidR="004B0883" w14:paraId="6FD8DC60" w14:textId="77777777">
        <w:trPr>
          <w:trHeight w:val="397"/>
          <w:jc w:val="center"/>
        </w:trPr>
        <w:tc>
          <w:tcPr>
            <w:tcW w:w="2628" w:type="dxa"/>
            <w:vAlign w:val="center"/>
          </w:tcPr>
          <w:p w14:paraId="400ABA31" w14:textId="77777777" w:rsidR="004B0883" w:rsidRDefault="004B0883">
            <w:pPr>
              <w:adjustRightInd w:val="0"/>
              <w:snapToGrid w:val="0"/>
              <w:rPr>
                <w:kern w:val="0"/>
              </w:rPr>
            </w:pPr>
            <w:r>
              <w:rPr>
                <w:kern w:val="0"/>
              </w:rPr>
              <w:t>资产处置收益（损失以</w:t>
            </w:r>
            <w:r>
              <w:rPr>
                <w:rFonts w:ascii="宋体" w:hAnsi="宋体"/>
                <w:kern w:val="0"/>
              </w:rPr>
              <w:t>“</w:t>
            </w:r>
            <w:r>
              <w:rPr>
                <w:kern w:val="0"/>
              </w:rPr>
              <w:t>-</w:t>
            </w:r>
            <w:r>
              <w:rPr>
                <w:rFonts w:ascii="宋体" w:hAnsi="宋体"/>
                <w:kern w:val="0"/>
              </w:rPr>
              <w:t>”</w:t>
            </w:r>
            <w:r>
              <w:rPr>
                <w:kern w:val="0"/>
              </w:rPr>
              <w:t>号填列）</w:t>
            </w:r>
          </w:p>
        </w:tc>
        <w:tc>
          <w:tcPr>
            <w:tcW w:w="1568" w:type="dxa"/>
            <w:vAlign w:val="center"/>
          </w:tcPr>
          <w:p w14:paraId="7695CE6D" w14:textId="77777777" w:rsidR="004B0883" w:rsidRDefault="004B0883">
            <w:pPr>
              <w:adjustRightInd w:val="0"/>
              <w:snapToGrid w:val="0"/>
              <w:jc w:val="right"/>
              <w:rPr>
                <w:kern w:val="0"/>
              </w:rPr>
            </w:pPr>
            <w:r>
              <w:t>-117.51</w:t>
            </w:r>
          </w:p>
        </w:tc>
        <w:tc>
          <w:tcPr>
            <w:tcW w:w="1444" w:type="dxa"/>
            <w:vAlign w:val="center"/>
          </w:tcPr>
          <w:p w14:paraId="6C1D29A0" w14:textId="77777777" w:rsidR="004B0883" w:rsidRDefault="004B0883">
            <w:pPr>
              <w:adjustRightInd w:val="0"/>
              <w:snapToGrid w:val="0"/>
              <w:jc w:val="right"/>
              <w:rPr>
                <w:kern w:val="0"/>
              </w:rPr>
            </w:pPr>
            <w:r>
              <w:rPr>
                <w:rFonts w:hint="eastAsia"/>
                <w:kern w:val="0"/>
              </w:rPr>
              <w:t>4.11</w:t>
            </w:r>
          </w:p>
        </w:tc>
        <w:tc>
          <w:tcPr>
            <w:tcW w:w="1444" w:type="dxa"/>
            <w:vAlign w:val="center"/>
          </w:tcPr>
          <w:p w14:paraId="35D2CD0C" w14:textId="77777777" w:rsidR="004B0883" w:rsidRDefault="004B0883">
            <w:pPr>
              <w:adjustRightInd w:val="0"/>
              <w:snapToGrid w:val="0"/>
              <w:jc w:val="right"/>
              <w:rPr>
                <w:kern w:val="0"/>
              </w:rPr>
            </w:pPr>
            <w:r>
              <w:rPr>
                <w:rFonts w:hint="eastAsia"/>
                <w:kern w:val="0"/>
              </w:rPr>
              <w:t>14.40</w:t>
            </w:r>
          </w:p>
        </w:tc>
        <w:tc>
          <w:tcPr>
            <w:tcW w:w="1444" w:type="dxa"/>
            <w:vAlign w:val="center"/>
          </w:tcPr>
          <w:p w14:paraId="73110AD1" w14:textId="77777777" w:rsidR="004B0883" w:rsidRDefault="004B0883">
            <w:pPr>
              <w:adjustRightInd w:val="0"/>
              <w:snapToGrid w:val="0"/>
              <w:jc w:val="right"/>
              <w:rPr>
                <w:kern w:val="0"/>
              </w:rPr>
            </w:pPr>
            <w:r>
              <w:rPr>
                <w:rFonts w:hint="eastAsia"/>
                <w:kern w:val="0"/>
              </w:rPr>
              <w:t>26.93</w:t>
            </w:r>
          </w:p>
        </w:tc>
      </w:tr>
      <w:tr w:rsidR="004B0883" w14:paraId="318A6BE4" w14:textId="77777777">
        <w:trPr>
          <w:trHeight w:val="397"/>
          <w:jc w:val="center"/>
        </w:trPr>
        <w:tc>
          <w:tcPr>
            <w:tcW w:w="2628" w:type="dxa"/>
            <w:vAlign w:val="center"/>
          </w:tcPr>
          <w:p w14:paraId="6D8B30CE" w14:textId="77777777" w:rsidR="004B0883" w:rsidRDefault="004B0883">
            <w:pPr>
              <w:adjustRightInd w:val="0"/>
              <w:snapToGrid w:val="0"/>
              <w:rPr>
                <w:b/>
                <w:bCs/>
                <w:kern w:val="0"/>
              </w:rPr>
            </w:pPr>
            <w:r>
              <w:rPr>
                <w:b/>
                <w:bCs/>
                <w:kern w:val="0"/>
              </w:rPr>
              <w:t>三、营业利润（亏损以</w:t>
            </w:r>
            <w:r>
              <w:rPr>
                <w:rFonts w:ascii="宋体" w:hAnsi="宋体"/>
                <w:b/>
                <w:bCs/>
                <w:kern w:val="0"/>
              </w:rPr>
              <w:t>“</w:t>
            </w:r>
            <w:r>
              <w:rPr>
                <w:b/>
                <w:bCs/>
                <w:kern w:val="0"/>
              </w:rPr>
              <w:t>-</w:t>
            </w:r>
            <w:r>
              <w:rPr>
                <w:rFonts w:ascii="宋体" w:hAnsi="宋体"/>
                <w:b/>
                <w:bCs/>
                <w:kern w:val="0"/>
              </w:rPr>
              <w:t>”</w:t>
            </w:r>
            <w:r>
              <w:rPr>
                <w:b/>
                <w:bCs/>
                <w:kern w:val="0"/>
              </w:rPr>
              <w:t>号填列）</w:t>
            </w:r>
          </w:p>
        </w:tc>
        <w:tc>
          <w:tcPr>
            <w:tcW w:w="1568" w:type="dxa"/>
            <w:vAlign w:val="center"/>
          </w:tcPr>
          <w:p w14:paraId="0FDC3843" w14:textId="77777777" w:rsidR="004B0883" w:rsidRDefault="004B0883">
            <w:pPr>
              <w:adjustRightInd w:val="0"/>
              <w:snapToGrid w:val="0"/>
              <w:jc w:val="right"/>
              <w:rPr>
                <w:b/>
                <w:bCs/>
                <w:kern w:val="0"/>
              </w:rPr>
            </w:pPr>
            <w:r>
              <w:rPr>
                <w:b/>
                <w:bCs/>
              </w:rPr>
              <w:t>11,663.38</w:t>
            </w:r>
          </w:p>
        </w:tc>
        <w:tc>
          <w:tcPr>
            <w:tcW w:w="1444" w:type="dxa"/>
            <w:vAlign w:val="center"/>
          </w:tcPr>
          <w:p w14:paraId="0E672BB3" w14:textId="77777777" w:rsidR="004B0883" w:rsidRDefault="004B0883">
            <w:pPr>
              <w:adjustRightInd w:val="0"/>
              <w:snapToGrid w:val="0"/>
              <w:jc w:val="right"/>
              <w:rPr>
                <w:b/>
                <w:bCs/>
                <w:kern w:val="0"/>
              </w:rPr>
            </w:pPr>
            <w:r>
              <w:rPr>
                <w:rFonts w:hint="eastAsia"/>
                <w:b/>
                <w:bCs/>
                <w:kern w:val="0"/>
              </w:rPr>
              <w:t>15,504.73</w:t>
            </w:r>
          </w:p>
        </w:tc>
        <w:tc>
          <w:tcPr>
            <w:tcW w:w="1444" w:type="dxa"/>
            <w:vAlign w:val="center"/>
          </w:tcPr>
          <w:p w14:paraId="27041ED6" w14:textId="77777777" w:rsidR="004B0883" w:rsidRDefault="004B0883">
            <w:pPr>
              <w:adjustRightInd w:val="0"/>
              <w:snapToGrid w:val="0"/>
              <w:jc w:val="right"/>
              <w:rPr>
                <w:b/>
                <w:bCs/>
                <w:kern w:val="0"/>
              </w:rPr>
            </w:pPr>
            <w:r>
              <w:rPr>
                <w:rFonts w:hint="eastAsia"/>
                <w:b/>
                <w:bCs/>
                <w:kern w:val="0"/>
              </w:rPr>
              <w:t>6,609.96</w:t>
            </w:r>
          </w:p>
        </w:tc>
        <w:tc>
          <w:tcPr>
            <w:tcW w:w="1444" w:type="dxa"/>
            <w:vAlign w:val="center"/>
          </w:tcPr>
          <w:p w14:paraId="641FC30B" w14:textId="77777777" w:rsidR="004B0883" w:rsidRDefault="004B0883">
            <w:pPr>
              <w:adjustRightInd w:val="0"/>
              <w:snapToGrid w:val="0"/>
              <w:jc w:val="right"/>
              <w:rPr>
                <w:b/>
                <w:bCs/>
                <w:kern w:val="0"/>
              </w:rPr>
            </w:pPr>
            <w:r>
              <w:rPr>
                <w:rFonts w:hint="eastAsia"/>
                <w:b/>
                <w:bCs/>
                <w:kern w:val="0"/>
              </w:rPr>
              <w:t>6,569.00</w:t>
            </w:r>
          </w:p>
        </w:tc>
      </w:tr>
      <w:tr w:rsidR="004B0883" w14:paraId="27D84E8C" w14:textId="77777777">
        <w:trPr>
          <w:trHeight w:val="397"/>
          <w:jc w:val="center"/>
        </w:trPr>
        <w:tc>
          <w:tcPr>
            <w:tcW w:w="2628" w:type="dxa"/>
            <w:vAlign w:val="center"/>
          </w:tcPr>
          <w:p w14:paraId="2659DD13" w14:textId="77777777" w:rsidR="004B0883" w:rsidRDefault="004B0883">
            <w:pPr>
              <w:adjustRightInd w:val="0"/>
              <w:snapToGrid w:val="0"/>
              <w:rPr>
                <w:kern w:val="0"/>
              </w:rPr>
            </w:pPr>
            <w:r>
              <w:rPr>
                <w:kern w:val="0"/>
              </w:rPr>
              <w:t>加：营业外收入</w:t>
            </w:r>
          </w:p>
        </w:tc>
        <w:tc>
          <w:tcPr>
            <w:tcW w:w="1568" w:type="dxa"/>
            <w:vAlign w:val="center"/>
          </w:tcPr>
          <w:p w14:paraId="6082F42C" w14:textId="77777777" w:rsidR="004B0883" w:rsidRDefault="004B0883">
            <w:pPr>
              <w:adjustRightInd w:val="0"/>
              <w:snapToGrid w:val="0"/>
              <w:jc w:val="right"/>
              <w:rPr>
                <w:kern w:val="0"/>
              </w:rPr>
            </w:pPr>
            <w:r>
              <w:t>22.51</w:t>
            </w:r>
          </w:p>
        </w:tc>
        <w:tc>
          <w:tcPr>
            <w:tcW w:w="1444" w:type="dxa"/>
            <w:vAlign w:val="center"/>
          </w:tcPr>
          <w:p w14:paraId="1ADE26C3" w14:textId="77777777" w:rsidR="004B0883" w:rsidRDefault="004B0883">
            <w:pPr>
              <w:adjustRightInd w:val="0"/>
              <w:snapToGrid w:val="0"/>
              <w:jc w:val="right"/>
              <w:rPr>
                <w:kern w:val="0"/>
              </w:rPr>
            </w:pPr>
            <w:r>
              <w:rPr>
                <w:rFonts w:hint="eastAsia"/>
                <w:kern w:val="0"/>
              </w:rPr>
              <w:t>15.37</w:t>
            </w:r>
          </w:p>
        </w:tc>
        <w:tc>
          <w:tcPr>
            <w:tcW w:w="1444" w:type="dxa"/>
            <w:vAlign w:val="center"/>
          </w:tcPr>
          <w:p w14:paraId="5781B418" w14:textId="77777777" w:rsidR="004B0883" w:rsidRDefault="004B0883">
            <w:pPr>
              <w:adjustRightInd w:val="0"/>
              <w:snapToGrid w:val="0"/>
              <w:jc w:val="right"/>
              <w:rPr>
                <w:kern w:val="0"/>
              </w:rPr>
            </w:pPr>
            <w:r>
              <w:rPr>
                <w:rFonts w:hint="eastAsia"/>
                <w:kern w:val="0"/>
              </w:rPr>
              <w:t>154.86</w:t>
            </w:r>
          </w:p>
        </w:tc>
        <w:tc>
          <w:tcPr>
            <w:tcW w:w="1444" w:type="dxa"/>
            <w:vAlign w:val="center"/>
          </w:tcPr>
          <w:p w14:paraId="25E6F1D5" w14:textId="77777777" w:rsidR="004B0883" w:rsidRDefault="004B0883">
            <w:pPr>
              <w:adjustRightInd w:val="0"/>
              <w:snapToGrid w:val="0"/>
              <w:jc w:val="right"/>
              <w:rPr>
                <w:kern w:val="0"/>
              </w:rPr>
            </w:pPr>
            <w:r>
              <w:rPr>
                <w:rFonts w:hint="eastAsia"/>
                <w:kern w:val="0"/>
              </w:rPr>
              <w:t>153.42</w:t>
            </w:r>
          </w:p>
        </w:tc>
      </w:tr>
      <w:tr w:rsidR="004B0883" w14:paraId="1ADFC826" w14:textId="77777777">
        <w:trPr>
          <w:trHeight w:val="397"/>
          <w:jc w:val="center"/>
        </w:trPr>
        <w:tc>
          <w:tcPr>
            <w:tcW w:w="2628" w:type="dxa"/>
            <w:vAlign w:val="center"/>
          </w:tcPr>
          <w:p w14:paraId="304A265B" w14:textId="77777777" w:rsidR="004B0883" w:rsidRDefault="004B0883">
            <w:pPr>
              <w:adjustRightInd w:val="0"/>
              <w:snapToGrid w:val="0"/>
              <w:rPr>
                <w:kern w:val="0"/>
              </w:rPr>
            </w:pPr>
            <w:r>
              <w:rPr>
                <w:kern w:val="0"/>
              </w:rPr>
              <w:t>减：营业外支出</w:t>
            </w:r>
          </w:p>
        </w:tc>
        <w:tc>
          <w:tcPr>
            <w:tcW w:w="1568" w:type="dxa"/>
            <w:vAlign w:val="center"/>
          </w:tcPr>
          <w:p w14:paraId="27AE2E34" w14:textId="77777777" w:rsidR="004B0883" w:rsidRDefault="004B0883">
            <w:pPr>
              <w:adjustRightInd w:val="0"/>
              <w:snapToGrid w:val="0"/>
              <w:jc w:val="right"/>
              <w:rPr>
                <w:kern w:val="0"/>
              </w:rPr>
            </w:pPr>
            <w:r>
              <w:rPr>
                <w:kern w:val="0"/>
              </w:rPr>
              <w:t>9.10</w:t>
            </w:r>
          </w:p>
        </w:tc>
        <w:tc>
          <w:tcPr>
            <w:tcW w:w="1444" w:type="dxa"/>
            <w:vAlign w:val="center"/>
          </w:tcPr>
          <w:p w14:paraId="602F3CC2" w14:textId="77777777" w:rsidR="004B0883" w:rsidRDefault="004B0883">
            <w:pPr>
              <w:adjustRightInd w:val="0"/>
              <w:snapToGrid w:val="0"/>
              <w:jc w:val="right"/>
              <w:rPr>
                <w:kern w:val="0"/>
              </w:rPr>
            </w:pPr>
            <w:r>
              <w:rPr>
                <w:rFonts w:hint="eastAsia"/>
                <w:kern w:val="0"/>
              </w:rPr>
              <w:t>44.68</w:t>
            </w:r>
          </w:p>
        </w:tc>
        <w:tc>
          <w:tcPr>
            <w:tcW w:w="1444" w:type="dxa"/>
            <w:vAlign w:val="center"/>
          </w:tcPr>
          <w:p w14:paraId="0F3ABD57" w14:textId="77777777" w:rsidR="004B0883" w:rsidRDefault="004B0883">
            <w:pPr>
              <w:adjustRightInd w:val="0"/>
              <w:snapToGrid w:val="0"/>
              <w:jc w:val="right"/>
              <w:rPr>
                <w:kern w:val="0"/>
              </w:rPr>
            </w:pPr>
            <w:r>
              <w:rPr>
                <w:rFonts w:hint="eastAsia"/>
                <w:kern w:val="0"/>
              </w:rPr>
              <w:t>11.25</w:t>
            </w:r>
          </w:p>
        </w:tc>
        <w:tc>
          <w:tcPr>
            <w:tcW w:w="1444" w:type="dxa"/>
            <w:vAlign w:val="center"/>
          </w:tcPr>
          <w:p w14:paraId="5B7E646E" w14:textId="77777777" w:rsidR="004B0883" w:rsidRDefault="004B0883">
            <w:pPr>
              <w:adjustRightInd w:val="0"/>
              <w:snapToGrid w:val="0"/>
              <w:jc w:val="right"/>
              <w:rPr>
                <w:kern w:val="0"/>
              </w:rPr>
            </w:pPr>
            <w:r>
              <w:rPr>
                <w:rFonts w:hint="eastAsia"/>
                <w:kern w:val="0"/>
              </w:rPr>
              <w:t>137.35</w:t>
            </w:r>
          </w:p>
        </w:tc>
      </w:tr>
      <w:tr w:rsidR="004B0883" w14:paraId="50F62BD2" w14:textId="77777777">
        <w:trPr>
          <w:trHeight w:val="397"/>
          <w:jc w:val="center"/>
        </w:trPr>
        <w:tc>
          <w:tcPr>
            <w:tcW w:w="2628" w:type="dxa"/>
            <w:vAlign w:val="center"/>
          </w:tcPr>
          <w:p w14:paraId="160E1AC5" w14:textId="77777777" w:rsidR="004B0883" w:rsidRDefault="004B0883">
            <w:pPr>
              <w:adjustRightInd w:val="0"/>
              <w:snapToGrid w:val="0"/>
              <w:rPr>
                <w:b/>
                <w:bCs/>
                <w:kern w:val="0"/>
              </w:rPr>
            </w:pPr>
            <w:r>
              <w:rPr>
                <w:b/>
                <w:bCs/>
                <w:kern w:val="0"/>
              </w:rPr>
              <w:t>四、利润总额（亏损总额以</w:t>
            </w:r>
            <w:r>
              <w:rPr>
                <w:rFonts w:ascii="宋体" w:hAnsi="宋体"/>
                <w:b/>
                <w:bCs/>
                <w:kern w:val="0"/>
              </w:rPr>
              <w:t>“</w:t>
            </w:r>
            <w:r>
              <w:rPr>
                <w:b/>
                <w:bCs/>
                <w:kern w:val="0"/>
              </w:rPr>
              <w:t>-</w:t>
            </w:r>
            <w:r>
              <w:rPr>
                <w:rFonts w:ascii="宋体" w:hAnsi="宋体"/>
                <w:b/>
                <w:bCs/>
                <w:kern w:val="0"/>
              </w:rPr>
              <w:t>”</w:t>
            </w:r>
            <w:r>
              <w:rPr>
                <w:b/>
                <w:bCs/>
                <w:kern w:val="0"/>
              </w:rPr>
              <w:t>号填列）</w:t>
            </w:r>
          </w:p>
        </w:tc>
        <w:tc>
          <w:tcPr>
            <w:tcW w:w="1568" w:type="dxa"/>
            <w:vAlign w:val="center"/>
          </w:tcPr>
          <w:p w14:paraId="3625BD8D" w14:textId="77777777" w:rsidR="004B0883" w:rsidRDefault="004B0883">
            <w:pPr>
              <w:adjustRightInd w:val="0"/>
              <w:snapToGrid w:val="0"/>
              <w:jc w:val="right"/>
              <w:rPr>
                <w:b/>
                <w:bCs/>
                <w:kern w:val="0"/>
              </w:rPr>
            </w:pPr>
            <w:r>
              <w:rPr>
                <w:b/>
                <w:bCs/>
              </w:rPr>
              <w:t>11,676.79</w:t>
            </w:r>
          </w:p>
        </w:tc>
        <w:tc>
          <w:tcPr>
            <w:tcW w:w="1444" w:type="dxa"/>
            <w:vAlign w:val="center"/>
          </w:tcPr>
          <w:p w14:paraId="60E596B9" w14:textId="77777777" w:rsidR="004B0883" w:rsidRDefault="004B0883">
            <w:pPr>
              <w:adjustRightInd w:val="0"/>
              <w:snapToGrid w:val="0"/>
              <w:jc w:val="right"/>
              <w:rPr>
                <w:b/>
                <w:bCs/>
                <w:kern w:val="0"/>
              </w:rPr>
            </w:pPr>
            <w:r>
              <w:rPr>
                <w:rFonts w:hint="eastAsia"/>
                <w:b/>
                <w:bCs/>
                <w:kern w:val="0"/>
              </w:rPr>
              <w:t>15,475.41</w:t>
            </w:r>
          </w:p>
        </w:tc>
        <w:tc>
          <w:tcPr>
            <w:tcW w:w="1444" w:type="dxa"/>
            <w:vAlign w:val="center"/>
          </w:tcPr>
          <w:p w14:paraId="62D42281" w14:textId="77777777" w:rsidR="004B0883" w:rsidRDefault="004B0883">
            <w:pPr>
              <w:adjustRightInd w:val="0"/>
              <w:snapToGrid w:val="0"/>
              <w:jc w:val="right"/>
              <w:rPr>
                <w:b/>
                <w:bCs/>
                <w:kern w:val="0"/>
              </w:rPr>
            </w:pPr>
            <w:r>
              <w:rPr>
                <w:rFonts w:hint="eastAsia"/>
                <w:b/>
                <w:bCs/>
                <w:kern w:val="0"/>
              </w:rPr>
              <w:t>6,753.57</w:t>
            </w:r>
          </w:p>
        </w:tc>
        <w:tc>
          <w:tcPr>
            <w:tcW w:w="1444" w:type="dxa"/>
            <w:vAlign w:val="center"/>
          </w:tcPr>
          <w:p w14:paraId="7F3C8CE5" w14:textId="77777777" w:rsidR="004B0883" w:rsidRDefault="004B0883">
            <w:pPr>
              <w:adjustRightInd w:val="0"/>
              <w:snapToGrid w:val="0"/>
              <w:jc w:val="right"/>
              <w:rPr>
                <w:b/>
                <w:bCs/>
                <w:kern w:val="0"/>
              </w:rPr>
            </w:pPr>
            <w:r>
              <w:rPr>
                <w:rFonts w:hint="eastAsia"/>
                <w:b/>
                <w:bCs/>
                <w:kern w:val="0"/>
              </w:rPr>
              <w:t>6,585.06</w:t>
            </w:r>
          </w:p>
        </w:tc>
      </w:tr>
      <w:tr w:rsidR="004B0883" w14:paraId="109A9371" w14:textId="77777777">
        <w:trPr>
          <w:trHeight w:val="397"/>
          <w:jc w:val="center"/>
        </w:trPr>
        <w:tc>
          <w:tcPr>
            <w:tcW w:w="2628" w:type="dxa"/>
            <w:vAlign w:val="center"/>
          </w:tcPr>
          <w:p w14:paraId="0EFBF03B" w14:textId="77777777" w:rsidR="004B0883" w:rsidRDefault="004B0883">
            <w:pPr>
              <w:adjustRightInd w:val="0"/>
              <w:snapToGrid w:val="0"/>
              <w:rPr>
                <w:kern w:val="0"/>
              </w:rPr>
            </w:pPr>
            <w:r>
              <w:rPr>
                <w:kern w:val="0"/>
              </w:rPr>
              <w:t>减：所得税费用</w:t>
            </w:r>
          </w:p>
        </w:tc>
        <w:tc>
          <w:tcPr>
            <w:tcW w:w="1568" w:type="dxa"/>
            <w:vAlign w:val="center"/>
          </w:tcPr>
          <w:p w14:paraId="723BD236" w14:textId="77777777" w:rsidR="004B0883" w:rsidRDefault="004B0883">
            <w:pPr>
              <w:adjustRightInd w:val="0"/>
              <w:snapToGrid w:val="0"/>
              <w:jc w:val="right"/>
              <w:rPr>
                <w:kern w:val="0"/>
              </w:rPr>
            </w:pPr>
            <w:r>
              <w:t>1,614.70</w:t>
            </w:r>
          </w:p>
        </w:tc>
        <w:tc>
          <w:tcPr>
            <w:tcW w:w="1444" w:type="dxa"/>
            <w:vAlign w:val="center"/>
          </w:tcPr>
          <w:p w14:paraId="7BFC4618" w14:textId="77777777" w:rsidR="004B0883" w:rsidRDefault="004B0883">
            <w:pPr>
              <w:adjustRightInd w:val="0"/>
              <w:snapToGrid w:val="0"/>
              <w:jc w:val="right"/>
              <w:rPr>
                <w:kern w:val="0"/>
              </w:rPr>
            </w:pPr>
            <w:r>
              <w:rPr>
                <w:rFonts w:hint="eastAsia"/>
                <w:kern w:val="0"/>
              </w:rPr>
              <w:t>2,112.70</w:t>
            </w:r>
          </w:p>
        </w:tc>
        <w:tc>
          <w:tcPr>
            <w:tcW w:w="1444" w:type="dxa"/>
            <w:vAlign w:val="center"/>
          </w:tcPr>
          <w:p w14:paraId="1819F6E4" w14:textId="77777777" w:rsidR="004B0883" w:rsidRDefault="004B0883">
            <w:pPr>
              <w:adjustRightInd w:val="0"/>
              <w:snapToGrid w:val="0"/>
              <w:jc w:val="right"/>
              <w:rPr>
                <w:kern w:val="0"/>
              </w:rPr>
            </w:pPr>
            <w:r>
              <w:rPr>
                <w:rFonts w:hint="eastAsia"/>
                <w:kern w:val="0"/>
              </w:rPr>
              <w:t>654.22</w:t>
            </w:r>
          </w:p>
        </w:tc>
        <w:tc>
          <w:tcPr>
            <w:tcW w:w="1444" w:type="dxa"/>
            <w:vAlign w:val="center"/>
          </w:tcPr>
          <w:p w14:paraId="37213928" w14:textId="77777777" w:rsidR="004B0883" w:rsidRDefault="004B0883">
            <w:pPr>
              <w:adjustRightInd w:val="0"/>
              <w:snapToGrid w:val="0"/>
              <w:jc w:val="right"/>
              <w:rPr>
                <w:kern w:val="0"/>
              </w:rPr>
            </w:pPr>
            <w:r>
              <w:rPr>
                <w:rFonts w:hint="eastAsia"/>
                <w:kern w:val="0"/>
              </w:rPr>
              <w:t>788.25</w:t>
            </w:r>
          </w:p>
        </w:tc>
      </w:tr>
      <w:tr w:rsidR="004B0883" w14:paraId="75B3D308" w14:textId="77777777">
        <w:trPr>
          <w:trHeight w:val="397"/>
          <w:jc w:val="center"/>
        </w:trPr>
        <w:tc>
          <w:tcPr>
            <w:tcW w:w="2628" w:type="dxa"/>
            <w:vAlign w:val="center"/>
          </w:tcPr>
          <w:p w14:paraId="15171CB6" w14:textId="77777777" w:rsidR="004B0883" w:rsidRDefault="004B0883">
            <w:pPr>
              <w:adjustRightInd w:val="0"/>
              <w:snapToGrid w:val="0"/>
              <w:rPr>
                <w:b/>
                <w:bCs/>
                <w:kern w:val="0"/>
              </w:rPr>
            </w:pPr>
            <w:r>
              <w:rPr>
                <w:b/>
                <w:bCs/>
                <w:kern w:val="0"/>
              </w:rPr>
              <w:t>五、净利润（净亏损以</w:t>
            </w:r>
            <w:r>
              <w:rPr>
                <w:rFonts w:ascii="宋体" w:hAnsi="宋体"/>
                <w:b/>
                <w:bCs/>
                <w:kern w:val="0"/>
              </w:rPr>
              <w:t>“</w:t>
            </w:r>
            <w:r>
              <w:rPr>
                <w:b/>
                <w:bCs/>
                <w:kern w:val="0"/>
              </w:rPr>
              <w:t>-</w:t>
            </w:r>
            <w:r>
              <w:rPr>
                <w:rFonts w:ascii="宋体" w:hAnsi="宋体"/>
                <w:b/>
                <w:bCs/>
                <w:kern w:val="0"/>
              </w:rPr>
              <w:t>”</w:t>
            </w:r>
            <w:r>
              <w:rPr>
                <w:b/>
                <w:bCs/>
                <w:kern w:val="0"/>
              </w:rPr>
              <w:t>号填列）</w:t>
            </w:r>
          </w:p>
        </w:tc>
        <w:tc>
          <w:tcPr>
            <w:tcW w:w="1568" w:type="dxa"/>
            <w:vAlign w:val="center"/>
          </w:tcPr>
          <w:p w14:paraId="32B5309C" w14:textId="77777777" w:rsidR="004B0883" w:rsidRDefault="004B0883">
            <w:pPr>
              <w:adjustRightInd w:val="0"/>
              <w:snapToGrid w:val="0"/>
              <w:jc w:val="right"/>
              <w:rPr>
                <w:b/>
                <w:bCs/>
                <w:kern w:val="0"/>
              </w:rPr>
            </w:pPr>
            <w:r>
              <w:rPr>
                <w:b/>
                <w:bCs/>
              </w:rPr>
              <w:t>10,062.09</w:t>
            </w:r>
          </w:p>
        </w:tc>
        <w:tc>
          <w:tcPr>
            <w:tcW w:w="1444" w:type="dxa"/>
            <w:vAlign w:val="center"/>
          </w:tcPr>
          <w:p w14:paraId="6C1696E1" w14:textId="77777777" w:rsidR="004B0883" w:rsidRDefault="004B0883">
            <w:pPr>
              <w:adjustRightInd w:val="0"/>
              <w:snapToGrid w:val="0"/>
              <w:jc w:val="right"/>
              <w:rPr>
                <w:b/>
                <w:bCs/>
                <w:kern w:val="0"/>
              </w:rPr>
            </w:pPr>
            <w:r>
              <w:rPr>
                <w:rFonts w:hint="eastAsia"/>
                <w:b/>
                <w:bCs/>
                <w:kern w:val="0"/>
              </w:rPr>
              <w:t>13,362.71</w:t>
            </w:r>
          </w:p>
        </w:tc>
        <w:tc>
          <w:tcPr>
            <w:tcW w:w="1444" w:type="dxa"/>
            <w:vAlign w:val="center"/>
          </w:tcPr>
          <w:p w14:paraId="39A71725" w14:textId="77777777" w:rsidR="004B0883" w:rsidRDefault="004B0883">
            <w:pPr>
              <w:adjustRightInd w:val="0"/>
              <w:snapToGrid w:val="0"/>
              <w:jc w:val="right"/>
              <w:rPr>
                <w:b/>
                <w:bCs/>
                <w:kern w:val="0"/>
              </w:rPr>
            </w:pPr>
            <w:r>
              <w:rPr>
                <w:rFonts w:hint="eastAsia"/>
                <w:b/>
                <w:bCs/>
                <w:kern w:val="0"/>
              </w:rPr>
              <w:t>6,099.35</w:t>
            </w:r>
          </w:p>
        </w:tc>
        <w:tc>
          <w:tcPr>
            <w:tcW w:w="1444" w:type="dxa"/>
            <w:vAlign w:val="center"/>
          </w:tcPr>
          <w:p w14:paraId="5A2FC560" w14:textId="77777777" w:rsidR="004B0883" w:rsidRDefault="004B0883">
            <w:pPr>
              <w:adjustRightInd w:val="0"/>
              <w:snapToGrid w:val="0"/>
              <w:jc w:val="right"/>
              <w:rPr>
                <w:b/>
                <w:bCs/>
                <w:kern w:val="0"/>
              </w:rPr>
            </w:pPr>
            <w:r>
              <w:rPr>
                <w:rFonts w:hint="eastAsia"/>
                <w:b/>
                <w:bCs/>
                <w:kern w:val="0"/>
              </w:rPr>
              <w:t>5,796.81</w:t>
            </w:r>
          </w:p>
        </w:tc>
      </w:tr>
      <w:tr w:rsidR="004B0883" w14:paraId="1EFBF174" w14:textId="77777777">
        <w:trPr>
          <w:trHeight w:val="397"/>
          <w:jc w:val="center"/>
        </w:trPr>
        <w:tc>
          <w:tcPr>
            <w:tcW w:w="2628" w:type="dxa"/>
            <w:vAlign w:val="center"/>
          </w:tcPr>
          <w:p w14:paraId="0EB3CDF9" w14:textId="77777777" w:rsidR="004B0883" w:rsidRDefault="004B0883">
            <w:pPr>
              <w:adjustRightInd w:val="0"/>
              <w:snapToGrid w:val="0"/>
              <w:rPr>
                <w:b/>
                <w:bCs/>
                <w:kern w:val="0"/>
              </w:rPr>
            </w:pPr>
            <w:r>
              <w:rPr>
                <w:b/>
                <w:bCs/>
                <w:kern w:val="0"/>
              </w:rPr>
              <w:t>（一）按经营持续性分类</w:t>
            </w:r>
          </w:p>
        </w:tc>
        <w:tc>
          <w:tcPr>
            <w:tcW w:w="1568" w:type="dxa"/>
            <w:vAlign w:val="center"/>
          </w:tcPr>
          <w:p w14:paraId="22F18ADF" w14:textId="77777777" w:rsidR="004B0883" w:rsidRDefault="004B0883">
            <w:pPr>
              <w:adjustRightInd w:val="0"/>
              <w:snapToGrid w:val="0"/>
              <w:jc w:val="right"/>
              <w:rPr>
                <w:b/>
                <w:bCs/>
                <w:kern w:val="0"/>
              </w:rPr>
            </w:pPr>
          </w:p>
        </w:tc>
        <w:tc>
          <w:tcPr>
            <w:tcW w:w="1444" w:type="dxa"/>
            <w:vAlign w:val="center"/>
          </w:tcPr>
          <w:p w14:paraId="27695671" w14:textId="77777777" w:rsidR="004B0883" w:rsidRDefault="004B0883">
            <w:pPr>
              <w:adjustRightInd w:val="0"/>
              <w:snapToGrid w:val="0"/>
              <w:jc w:val="right"/>
              <w:rPr>
                <w:kern w:val="0"/>
              </w:rPr>
            </w:pPr>
          </w:p>
        </w:tc>
        <w:tc>
          <w:tcPr>
            <w:tcW w:w="1444" w:type="dxa"/>
            <w:vAlign w:val="center"/>
          </w:tcPr>
          <w:p w14:paraId="0F260731" w14:textId="77777777" w:rsidR="004B0883" w:rsidRDefault="004B0883">
            <w:pPr>
              <w:adjustRightInd w:val="0"/>
              <w:snapToGrid w:val="0"/>
              <w:jc w:val="right"/>
              <w:rPr>
                <w:kern w:val="0"/>
              </w:rPr>
            </w:pPr>
          </w:p>
        </w:tc>
        <w:tc>
          <w:tcPr>
            <w:tcW w:w="1444" w:type="dxa"/>
            <w:vAlign w:val="center"/>
          </w:tcPr>
          <w:p w14:paraId="40EEA9FC" w14:textId="77777777" w:rsidR="004B0883" w:rsidRDefault="004B0883">
            <w:pPr>
              <w:adjustRightInd w:val="0"/>
              <w:snapToGrid w:val="0"/>
              <w:jc w:val="right"/>
              <w:rPr>
                <w:kern w:val="0"/>
              </w:rPr>
            </w:pPr>
          </w:p>
        </w:tc>
      </w:tr>
      <w:tr w:rsidR="004B0883" w14:paraId="6D7D1101" w14:textId="77777777">
        <w:trPr>
          <w:trHeight w:val="397"/>
          <w:jc w:val="center"/>
        </w:trPr>
        <w:tc>
          <w:tcPr>
            <w:tcW w:w="2628" w:type="dxa"/>
            <w:vAlign w:val="center"/>
          </w:tcPr>
          <w:p w14:paraId="426ABEDD" w14:textId="77777777" w:rsidR="004B0883" w:rsidRDefault="004B0883">
            <w:pPr>
              <w:adjustRightInd w:val="0"/>
              <w:snapToGrid w:val="0"/>
              <w:rPr>
                <w:kern w:val="0"/>
              </w:rPr>
            </w:pPr>
            <w:r>
              <w:rPr>
                <w:kern w:val="0"/>
              </w:rPr>
              <w:t>1.</w:t>
            </w:r>
            <w:r>
              <w:rPr>
                <w:kern w:val="0"/>
              </w:rPr>
              <w:t>持续经营净利润（净亏损以</w:t>
            </w:r>
            <w:r>
              <w:rPr>
                <w:rFonts w:ascii="宋体" w:hAnsi="宋体"/>
                <w:kern w:val="0"/>
              </w:rPr>
              <w:t>“</w:t>
            </w:r>
            <w:r>
              <w:rPr>
                <w:kern w:val="0"/>
              </w:rPr>
              <w:t>-</w:t>
            </w:r>
            <w:r>
              <w:rPr>
                <w:rFonts w:ascii="宋体" w:hAnsi="宋体"/>
                <w:kern w:val="0"/>
              </w:rPr>
              <w:t>”</w:t>
            </w:r>
            <w:r>
              <w:rPr>
                <w:kern w:val="0"/>
              </w:rPr>
              <w:t>号填列）</w:t>
            </w:r>
          </w:p>
        </w:tc>
        <w:tc>
          <w:tcPr>
            <w:tcW w:w="1568" w:type="dxa"/>
            <w:vAlign w:val="center"/>
          </w:tcPr>
          <w:p w14:paraId="14290851" w14:textId="77777777" w:rsidR="004B0883" w:rsidRDefault="004B0883">
            <w:pPr>
              <w:adjustRightInd w:val="0"/>
              <w:snapToGrid w:val="0"/>
              <w:jc w:val="right"/>
              <w:rPr>
                <w:kern w:val="0"/>
              </w:rPr>
            </w:pPr>
            <w:r>
              <w:rPr>
                <w:kern w:val="0"/>
              </w:rPr>
              <w:t>10,062.09</w:t>
            </w:r>
          </w:p>
        </w:tc>
        <w:tc>
          <w:tcPr>
            <w:tcW w:w="1444" w:type="dxa"/>
            <w:vAlign w:val="center"/>
          </w:tcPr>
          <w:p w14:paraId="0530D1B6" w14:textId="77777777" w:rsidR="004B0883" w:rsidRDefault="004B0883">
            <w:pPr>
              <w:adjustRightInd w:val="0"/>
              <w:snapToGrid w:val="0"/>
              <w:jc w:val="right"/>
              <w:rPr>
                <w:kern w:val="0"/>
              </w:rPr>
            </w:pPr>
            <w:r>
              <w:rPr>
                <w:rFonts w:hint="eastAsia"/>
                <w:kern w:val="0"/>
              </w:rPr>
              <w:t>13,362.71</w:t>
            </w:r>
          </w:p>
        </w:tc>
        <w:tc>
          <w:tcPr>
            <w:tcW w:w="1444" w:type="dxa"/>
            <w:vAlign w:val="center"/>
          </w:tcPr>
          <w:p w14:paraId="3CE9F521" w14:textId="77777777" w:rsidR="004B0883" w:rsidRDefault="004B0883">
            <w:pPr>
              <w:adjustRightInd w:val="0"/>
              <w:snapToGrid w:val="0"/>
              <w:jc w:val="right"/>
              <w:rPr>
                <w:kern w:val="0"/>
              </w:rPr>
            </w:pPr>
            <w:r>
              <w:rPr>
                <w:rFonts w:hint="eastAsia"/>
                <w:kern w:val="0"/>
              </w:rPr>
              <w:t>6,099.35</w:t>
            </w:r>
          </w:p>
        </w:tc>
        <w:tc>
          <w:tcPr>
            <w:tcW w:w="1444" w:type="dxa"/>
            <w:vAlign w:val="center"/>
          </w:tcPr>
          <w:p w14:paraId="766DCDCC" w14:textId="77777777" w:rsidR="004B0883" w:rsidRDefault="004B0883">
            <w:pPr>
              <w:adjustRightInd w:val="0"/>
              <w:snapToGrid w:val="0"/>
              <w:jc w:val="right"/>
              <w:rPr>
                <w:kern w:val="0"/>
              </w:rPr>
            </w:pPr>
            <w:r>
              <w:rPr>
                <w:rFonts w:hint="eastAsia"/>
                <w:kern w:val="0"/>
              </w:rPr>
              <w:t>5,796.81</w:t>
            </w:r>
          </w:p>
        </w:tc>
      </w:tr>
      <w:tr w:rsidR="004B0883" w14:paraId="73469946" w14:textId="77777777">
        <w:trPr>
          <w:trHeight w:val="397"/>
          <w:jc w:val="center"/>
        </w:trPr>
        <w:tc>
          <w:tcPr>
            <w:tcW w:w="2628" w:type="dxa"/>
            <w:vAlign w:val="center"/>
          </w:tcPr>
          <w:p w14:paraId="720243FA" w14:textId="77777777" w:rsidR="004B0883" w:rsidRDefault="004B0883">
            <w:pPr>
              <w:adjustRightInd w:val="0"/>
              <w:snapToGrid w:val="0"/>
              <w:rPr>
                <w:kern w:val="0"/>
              </w:rPr>
            </w:pPr>
            <w:r>
              <w:rPr>
                <w:kern w:val="0"/>
              </w:rPr>
              <w:t>2.</w:t>
            </w:r>
            <w:r>
              <w:rPr>
                <w:kern w:val="0"/>
              </w:rPr>
              <w:t>终止经营净利润（净亏损以</w:t>
            </w:r>
            <w:r>
              <w:rPr>
                <w:rFonts w:ascii="宋体" w:hAnsi="宋体"/>
                <w:kern w:val="0"/>
              </w:rPr>
              <w:t>“</w:t>
            </w:r>
            <w:r>
              <w:rPr>
                <w:kern w:val="0"/>
              </w:rPr>
              <w:t>-</w:t>
            </w:r>
            <w:r>
              <w:rPr>
                <w:rFonts w:ascii="宋体" w:hAnsi="宋体"/>
                <w:kern w:val="0"/>
              </w:rPr>
              <w:t>”</w:t>
            </w:r>
            <w:r>
              <w:rPr>
                <w:kern w:val="0"/>
              </w:rPr>
              <w:t>号填列）</w:t>
            </w:r>
          </w:p>
        </w:tc>
        <w:tc>
          <w:tcPr>
            <w:tcW w:w="1568" w:type="dxa"/>
            <w:vAlign w:val="center"/>
          </w:tcPr>
          <w:p w14:paraId="5BF6CE52" w14:textId="77777777" w:rsidR="004B0883" w:rsidRDefault="004B0883">
            <w:pPr>
              <w:adjustRightInd w:val="0"/>
              <w:snapToGrid w:val="0"/>
              <w:jc w:val="right"/>
              <w:rPr>
                <w:kern w:val="0"/>
              </w:rPr>
            </w:pPr>
            <w:r>
              <w:rPr>
                <w:rFonts w:hint="eastAsia"/>
                <w:kern w:val="0"/>
              </w:rPr>
              <w:t>-</w:t>
            </w:r>
          </w:p>
        </w:tc>
        <w:tc>
          <w:tcPr>
            <w:tcW w:w="1444" w:type="dxa"/>
            <w:vAlign w:val="center"/>
          </w:tcPr>
          <w:p w14:paraId="26560D69" w14:textId="77777777" w:rsidR="004B0883" w:rsidRDefault="004B0883">
            <w:pPr>
              <w:adjustRightInd w:val="0"/>
              <w:snapToGrid w:val="0"/>
              <w:jc w:val="right"/>
              <w:rPr>
                <w:kern w:val="0"/>
              </w:rPr>
            </w:pPr>
            <w:r>
              <w:rPr>
                <w:rFonts w:hint="eastAsia"/>
                <w:kern w:val="0"/>
              </w:rPr>
              <w:t>-</w:t>
            </w:r>
          </w:p>
        </w:tc>
        <w:tc>
          <w:tcPr>
            <w:tcW w:w="1444" w:type="dxa"/>
            <w:vAlign w:val="center"/>
          </w:tcPr>
          <w:p w14:paraId="4E4D4504" w14:textId="77777777" w:rsidR="004B0883" w:rsidRDefault="004B0883">
            <w:pPr>
              <w:adjustRightInd w:val="0"/>
              <w:snapToGrid w:val="0"/>
              <w:jc w:val="right"/>
              <w:rPr>
                <w:kern w:val="0"/>
              </w:rPr>
            </w:pPr>
            <w:r>
              <w:rPr>
                <w:rFonts w:hint="eastAsia"/>
                <w:kern w:val="0"/>
              </w:rPr>
              <w:t>-</w:t>
            </w:r>
          </w:p>
        </w:tc>
        <w:tc>
          <w:tcPr>
            <w:tcW w:w="1444" w:type="dxa"/>
            <w:vAlign w:val="center"/>
          </w:tcPr>
          <w:p w14:paraId="055D9C6C" w14:textId="77777777" w:rsidR="004B0883" w:rsidRDefault="004B0883">
            <w:pPr>
              <w:adjustRightInd w:val="0"/>
              <w:snapToGrid w:val="0"/>
              <w:jc w:val="right"/>
              <w:rPr>
                <w:kern w:val="0"/>
              </w:rPr>
            </w:pPr>
            <w:r>
              <w:rPr>
                <w:rFonts w:hint="eastAsia"/>
                <w:kern w:val="0"/>
              </w:rPr>
              <w:t>-</w:t>
            </w:r>
          </w:p>
        </w:tc>
      </w:tr>
      <w:tr w:rsidR="004B0883" w14:paraId="4293D572" w14:textId="77777777">
        <w:trPr>
          <w:trHeight w:val="397"/>
          <w:jc w:val="center"/>
        </w:trPr>
        <w:tc>
          <w:tcPr>
            <w:tcW w:w="2628" w:type="dxa"/>
            <w:vAlign w:val="center"/>
          </w:tcPr>
          <w:p w14:paraId="7672FB8D" w14:textId="77777777" w:rsidR="004B0883" w:rsidRDefault="004B0883">
            <w:pPr>
              <w:adjustRightInd w:val="0"/>
              <w:snapToGrid w:val="0"/>
              <w:rPr>
                <w:b/>
                <w:bCs/>
                <w:kern w:val="0"/>
              </w:rPr>
            </w:pPr>
            <w:r>
              <w:rPr>
                <w:b/>
                <w:bCs/>
                <w:kern w:val="0"/>
              </w:rPr>
              <w:t>（二）按所有权归属分类</w:t>
            </w:r>
          </w:p>
        </w:tc>
        <w:tc>
          <w:tcPr>
            <w:tcW w:w="1568" w:type="dxa"/>
            <w:vAlign w:val="center"/>
          </w:tcPr>
          <w:p w14:paraId="34294A6F" w14:textId="77777777" w:rsidR="004B0883" w:rsidRDefault="004B0883">
            <w:pPr>
              <w:adjustRightInd w:val="0"/>
              <w:snapToGrid w:val="0"/>
              <w:jc w:val="right"/>
              <w:rPr>
                <w:b/>
                <w:bCs/>
                <w:kern w:val="0"/>
              </w:rPr>
            </w:pPr>
          </w:p>
        </w:tc>
        <w:tc>
          <w:tcPr>
            <w:tcW w:w="1444" w:type="dxa"/>
            <w:vAlign w:val="center"/>
          </w:tcPr>
          <w:p w14:paraId="2F1941B1" w14:textId="77777777" w:rsidR="004B0883" w:rsidRDefault="004B0883">
            <w:pPr>
              <w:adjustRightInd w:val="0"/>
              <w:snapToGrid w:val="0"/>
              <w:jc w:val="right"/>
              <w:rPr>
                <w:kern w:val="0"/>
              </w:rPr>
            </w:pPr>
          </w:p>
        </w:tc>
        <w:tc>
          <w:tcPr>
            <w:tcW w:w="1444" w:type="dxa"/>
            <w:vAlign w:val="center"/>
          </w:tcPr>
          <w:p w14:paraId="76F9F412" w14:textId="77777777" w:rsidR="004B0883" w:rsidRDefault="004B0883">
            <w:pPr>
              <w:adjustRightInd w:val="0"/>
              <w:snapToGrid w:val="0"/>
              <w:jc w:val="right"/>
              <w:rPr>
                <w:kern w:val="0"/>
              </w:rPr>
            </w:pPr>
          </w:p>
        </w:tc>
        <w:tc>
          <w:tcPr>
            <w:tcW w:w="1444" w:type="dxa"/>
            <w:vAlign w:val="center"/>
          </w:tcPr>
          <w:p w14:paraId="6E154F65" w14:textId="77777777" w:rsidR="004B0883" w:rsidRDefault="004B0883">
            <w:pPr>
              <w:adjustRightInd w:val="0"/>
              <w:snapToGrid w:val="0"/>
              <w:jc w:val="right"/>
              <w:rPr>
                <w:kern w:val="0"/>
              </w:rPr>
            </w:pPr>
          </w:p>
        </w:tc>
      </w:tr>
      <w:tr w:rsidR="004B0883" w14:paraId="4BEFBDAA" w14:textId="77777777">
        <w:trPr>
          <w:trHeight w:val="397"/>
          <w:jc w:val="center"/>
        </w:trPr>
        <w:tc>
          <w:tcPr>
            <w:tcW w:w="2628" w:type="dxa"/>
            <w:vAlign w:val="center"/>
          </w:tcPr>
          <w:p w14:paraId="3C7044B7" w14:textId="77777777" w:rsidR="004B0883" w:rsidRDefault="004B0883">
            <w:pPr>
              <w:adjustRightInd w:val="0"/>
              <w:snapToGrid w:val="0"/>
              <w:rPr>
                <w:kern w:val="0"/>
              </w:rPr>
            </w:pPr>
            <w:r>
              <w:rPr>
                <w:kern w:val="0"/>
              </w:rPr>
              <w:t>1.</w:t>
            </w:r>
            <w:r>
              <w:rPr>
                <w:kern w:val="0"/>
              </w:rPr>
              <w:t>归属于母公司所有者的净利润（净亏损以</w:t>
            </w:r>
            <w:r>
              <w:rPr>
                <w:rFonts w:ascii="宋体" w:hAnsi="宋体"/>
                <w:kern w:val="0"/>
              </w:rPr>
              <w:t>“</w:t>
            </w:r>
            <w:r>
              <w:rPr>
                <w:kern w:val="0"/>
              </w:rPr>
              <w:t>-</w:t>
            </w:r>
            <w:r>
              <w:rPr>
                <w:rFonts w:ascii="宋体" w:hAnsi="宋体"/>
                <w:kern w:val="0"/>
              </w:rPr>
              <w:t>”</w:t>
            </w:r>
            <w:r>
              <w:rPr>
                <w:kern w:val="0"/>
              </w:rPr>
              <w:t>号填列）</w:t>
            </w:r>
          </w:p>
        </w:tc>
        <w:tc>
          <w:tcPr>
            <w:tcW w:w="1568" w:type="dxa"/>
            <w:vAlign w:val="center"/>
          </w:tcPr>
          <w:p w14:paraId="3A08F334" w14:textId="77777777" w:rsidR="004B0883" w:rsidRDefault="004B0883">
            <w:pPr>
              <w:adjustRightInd w:val="0"/>
              <w:snapToGrid w:val="0"/>
              <w:jc w:val="right"/>
              <w:rPr>
                <w:kern w:val="0"/>
              </w:rPr>
            </w:pPr>
            <w:r>
              <w:t>9,476.30</w:t>
            </w:r>
          </w:p>
        </w:tc>
        <w:tc>
          <w:tcPr>
            <w:tcW w:w="1444" w:type="dxa"/>
            <w:vAlign w:val="center"/>
          </w:tcPr>
          <w:p w14:paraId="0466D9C0" w14:textId="77777777" w:rsidR="004B0883" w:rsidRDefault="004B0883">
            <w:pPr>
              <w:adjustRightInd w:val="0"/>
              <w:snapToGrid w:val="0"/>
              <w:jc w:val="right"/>
              <w:rPr>
                <w:kern w:val="0"/>
              </w:rPr>
            </w:pPr>
            <w:r>
              <w:rPr>
                <w:rFonts w:hint="eastAsia"/>
                <w:kern w:val="0"/>
              </w:rPr>
              <w:t>13,620.51</w:t>
            </w:r>
          </w:p>
        </w:tc>
        <w:tc>
          <w:tcPr>
            <w:tcW w:w="1444" w:type="dxa"/>
            <w:vAlign w:val="center"/>
          </w:tcPr>
          <w:p w14:paraId="78BC55A4" w14:textId="77777777" w:rsidR="004B0883" w:rsidRDefault="004B0883">
            <w:pPr>
              <w:adjustRightInd w:val="0"/>
              <w:snapToGrid w:val="0"/>
              <w:jc w:val="right"/>
              <w:rPr>
                <w:kern w:val="0"/>
              </w:rPr>
            </w:pPr>
            <w:r>
              <w:rPr>
                <w:rFonts w:hint="eastAsia"/>
                <w:kern w:val="0"/>
              </w:rPr>
              <w:t>6,099.35</w:t>
            </w:r>
          </w:p>
        </w:tc>
        <w:tc>
          <w:tcPr>
            <w:tcW w:w="1444" w:type="dxa"/>
            <w:vAlign w:val="center"/>
          </w:tcPr>
          <w:p w14:paraId="6C2E6BF0" w14:textId="77777777" w:rsidR="004B0883" w:rsidRDefault="004B0883">
            <w:pPr>
              <w:adjustRightInd w:val="0"/>
              <w:snapToGrid w:val="0"/>
              <w:jc w:val="right"/>
              <w:rPr>
                <w:kern w:val="0"/>
              </w:rPr>
            </w:pPr>
            <w:r>
              <w:rPr>
                <w:rFonts w:hint="eastAsia"/>
                <w:kern w:val="0"/>
              </w:rPr>
              <w:t>5,796.81</w:t>
            </w:r>
          </w:p>
        </w:tc>
      </w:tr>
      <w:tr w:rsidR="004B0883" w14:paraId="260AC806" w14:textId="77777777">
        <w:trPr>
          <w:trHeight w:val="397"/>
          <w:jc w:val="center"/>
        </w:trPr>
        <w:tc>
          <w:tcPr>
            <w:tcW w:w="2628" w:type="dxa"/>
            <w:vAlign w:val="center"/>
          </w:tcPr>
          <w:p w14:paraId="474BF6C1" w14:textId="77777777" w:rsidR="004B0883" w:rsidRDefault="004B0883">
            <w:pPr>
              <w:adjustRightInd w:val="0"/>
              <w:snapToGrid w:val="0"/>
              <w:rPr>
                <w:kern w:val="0"/>
              </w:rPr>
            </w:pPr>
            <w:r>
              <w:rPr>
                <w:kern w:val="0"/>
              </w:rPr>
              <w:t>2.</w:t>
            </w:r>
            <w:r>
              <w:rPr>
                <w:kern w:val="0"/>
              </w:rPr>
              <w:t>少数股东损益（净亏损以</w:t>
            </w:r>
            <w:r>
              <w:rPr>
                <w:rFonts w:ascii="宋体" w:hAnsi="宋体"/>
                <w:kern w:val="0"/>
              </w:rPr>
              <w:t>“</w:t>
            </w:r>
            <w:r>
              <w:rPr>
                <w:kern w:val="0"/>
              </w:rPr>
              <w:t>-</w:t>
            </w:r>
            <w:r>
              <w:rPr>
                <w:rFonts w:ascii="宋体" w:hAnsi="宋体"/>
                <w:kern w:val="0"/>
              </w:rPr>
              <w:t>”</w:t>
            </w:r>
            <w:r>
              <w:rPr>
                <w:kern w:val="0"/>
              </w:rPr>
              <w:t>号填列）</w:t>
            </w:r>
          </w:p>
        </w:tc>
        <w:tc>
          <w:tcPr>
            <w:tcW w:w="1568" w:type="dxa"/>
            <w:vAlign w:val="center"/>
          </w:tcPr>
          <w:p w14:paraId="48461557" w14:textId="77777777" w:rsidR="004B0883" w:rsidRDefault="004B0883">
            <w:pPr>
              <w:adjustRightInd w:val="0"/>
              <w:snapToGrid w:val="0"/>
              <w:jc w:val="right"/>
              <w:rPr>
                <w:kern w:val="0"/>
              </w:rPr>
            </w:pPr>
            <w:r>
              <w:t>585.79</w:t>
            </w:r>
          </w:p>
        </w:tc>
        <w:tc>
          <w:tcPr>
            <w:tcW w:w="1444" w:type="dxa"/>
            <w:vAlign w:val="center"/>
          </w:tcPr>
          <w:p w14:paraId="43AD9288" w14:textId="77777777" w:rsidR="004B0883" w:rsidRDefault="004B0883">
            <w:pPr>
              <w:adjustRightInd w:val="0"/>
              <w:snapToGrid w:val="0"/>
              <w:jc w:val="right"/>
              <w:rPr>
                <w:kern w:val="0"/>
              </w:rPr>
            </w:pPr>
            <w:r>
              <w:rPr>
                <w:kern w:val="0"/>
              </w:rPr>
              <w:t>-257.80</w:t>
            </w:r>
          </w:p>
        </w:tc>
        <w:tc>
          <w:tcPr>
            <w:tcW w:w="1444" w:type="dxa"/>
            <w:vAlign w:val="center"/>
          </w:tcPr>
          <w:p w14:paraId="74DB42C5" w14:textId="77777777" w:rsidR="004B0883" w:rsidRDefault="004B0883">
            <w:pPr>
              <w:adjustRightInd w:val="0"/>
              <w:snapToGrid w:val="0"/>
              <w:jc w:val="right"/>
              <w:rPr>
                <w:kern w:val="0"/>
              </w:rPr>
            </w:pPr>
            <w:r>
              <w:rPr>
                <w:rFonts w:hint="eastAsia"/>
                <w:kern w:val="0"/>
              </w:rPr>
              <w:t>-</w:t>
            </w:r>
          </w:p>
        </w:tc>
        <w:tc>
          <w:tcPr>
            <w:tcW w:w="1444" w:type="dxa"/>
            <w:vAlign w:val="center"/>
          </w:tcPr>
          <w:p w14:paraId="1A9D77D4" w14:textId="77777777" w:rsidR="004B0883" w:rsidRDefault="004B0883">
            <w:pPr>
              <w:adjustRightInd w:val="0"/>
              <w:snapToGrid w:val="0"/>
              <w:jc w:val="right"/>
              <w:rPr>
                <w:kern w:val="0"/>
              </w:rPr>
            </w:pPr>
            <w:r>
              <w:rPr>
                <w:rFonts w:hint="eastAsia"/>
                <w:kern w:val="0"/>
              </w:rPr>
              <w:t>-</w:t>
            </w:r>
          </w:p>
        </w:tc>
      </w:tr>
      <w:tr w:rsidR="004B0883" w14:paraId="7CD3122A" w14:textId="77777777">
        <w:trPr>
          <w:trHeight w:val="397"/>
          <w:jc w:val="center"/>
        </w:trPr>
        <w:tc>
          <w:tcPr>
            <w:tcW w:w="2628" w:type="dxa"/>
            <w:vAlign w:val="center"/>
          </w:tcPr>
          <w:p w14:paraId="06A85704" w14:textId="77777777" w:rsidR="004B0883" w:rsidRDefault="004B0883">
            <w:pPr>
              <w:adjustRightInd w:val="0"/>
              <w:snapToGrid w:val="0"/>
              <w:rPr>
                <w:b/>
                <w:bCs/>
                <w:kern w:val="0"/>
              </w:rPr>
            </w:pPr>
            <w:r>
              <w:rPr>
                <w:b/>
                <w:bCs/>
                <w:kern w:val="0"/>
              </w:rPr>
              <w:t>六、其他综合收益的税后净额</w:t>
            </w:r>
          </w:p>
        </w:tc>
        <w:tc>
          <w:tcPr>
            <w:tcW w:w="1568" w:type="dxa"/>
            <w:vAlign w:val="center"/>
          </w:tcPr>
          <w:p w14:paraId="031ED6D9" w14:textId="77777777" w:rsidR="004B0883" w:rsidRDefault="004B0883">
            <w:pPr>
              <w:adjustRightInd w:val="0"/>
              <w:snapToGrid w:val="0"/>
              <w:jc w:val="right"/>
              <w:rPr>
                <w:b/>
                <w:bCs/>
                <w:kern w:val="0"/>
              </w:rPr>
            </w:pPr>
            <w:r>
              <w:rPr>
                <w:b/>
                <w:bCs/>
              </w:rPr>
              <w:t>0.50</w:t>
            </w:r>
          </w:p>
        </w:tc>
        <w:tc>
          <w:tcPr>
            <w:tcW w:w="1444" w:type="dxa"/>
            <w:vAlign w:val="center"/>
          </w:tcPr>
          <w:p w14:paraId="5125049E" w14:textId="77777777" w:rsidR="004B0883" w:rsidRDefault="004B0883">
            <w:pPr>
              <w:adjustRightInd w:val="0"/>
              <w:snapToGrid w:val="0"/>
              <w:jc w:val="right"/>
              <w:rPr>
                <w:b/>
                <w:bCs/>
                <w:kern w:val="0"/>
              </w:rPr>
            </w:pPr>
            <w:r>
              <w:rPr>
                <w:rFonts w:hint="eastAsia"/>
                <w:b/>
                <w:bCs/>
                <w:kern w:val="0"/>
              </w:rPr>
              <w:t>-6.25</w:t>
            </w:r>
          </w:p>
        </w:tc>
        <w:tc>
          <w:tcPr>
            <w:tcW w:w="1444" w:type="dxa"/>
            <w:vAlign w:val="center"/>
          </w:tcPr>
          <w:p w14:paraId="142F0DAD" w14:textId="77777777" w:rsidR="004B0883" w:rsidRDefault="004B0883">
            <w:pPr>
              <w:adjustRightInd w:val="0"/>
              <w:snapToGrid w:val="0"/>
              <w:jc w:val="right"/>
              <w:rPr>
                <w:b/>
                <w:bCs/>
                <w:kern w:val="0"/>
              </w:rPr>
            </w:pPr>
            <w:r>
              <w:rPr>
                <w:rFonts w:hint="eastAsia"/>
                <w:b/>
                <w:bCs/>
                <w:kern w:val="0"/>
              </w:rPr>
              <w:t>4.00</w:t>
            </w:r>
          </w:p>
        </w:tc>
        <w:tc>
          <w:tcPr>
            <w:tcW w:w="1444" w:type="dxa"/>
            <w:vAlign w:val="center"/>
          </w:tcPr>
          <w:p w14:paraId="6C2C5C05" w14:textId="77777777" w:rsidR="004B0883" w:rsidRDefault="004B0883">
            <w:pPr>
              <w:adjustRightInd w:val="0"/>
              <w:snapToGrid w:val="0"/>
              <w:jc w:val="right"/>
              <w:rPr>
                <w:b/>
                <w:bCs/>
                <w:kern w:val="0"/>
              </w:rPr>
            </w:pPr>
            <w:r>
              <w:rPr>
                <w:rFonts w:hint="eastAsia"/>
                <w:b/>
                <w:bCs/>
                <w:kern w:val="0"/>
              </w:rPr>
              <w:t>11.85</w:t>
            </w:r>
          </w:p>
        </w:tc>
      </w:tr>
      <w:tr w:rsidR="004B0883" w14:paraId="0345CCA2" w14:textId="77777777">
        <w:trPr>
          <w:trHeight w:val="397"/>
          <w:jc w:val="center"/>
        </w:trPr>
        <w:tc>
          <w:tcPr>
            <w:tcW w:w="2628" w:type="dxa"/>
            <w:vAlign w:val="center"/>
          </w:tcPr>
          <w:p w14:paraId="486CDA41" w14:textId="77777777" w:rsidR="004B0883" w:rsidRDefault="004B0883">
            <w:pPr>
              <w:adjustRightInd w:val="0"/>
              <w:snapToGrid w:val="0"/>
              <w:rPr>
                <w:kern w:val="0"/>
              </w:rPr>
            </w:pPr>
            <w:r>
              <w:rPr>
                <w:kern w:val="0"/>
              </w:rPr>
              <w:t>归属于母公司所有者的其他综合收益的税后净额</w:t>
            </w:r>
          </w:p>
        </w:tc>
        <w:tc>
          <w:tcPr>
            <w:tcW w:w="1568" w:type="dxa"/>
            <w:vAlign w:val="center"/>
          </w:tcPr>
          <w:p w14:paraId="12FDD957" w14:textId="77777777" w:rsidR="004B0883" w:rsidRDefault="004B0883">
            <w:pPr>
              <w:adjustRightInd w:val="0"/>
              <w:snapToGrid w:val="0"/>
              <w:jc w:val="right"/>
              <w:rPr>
                <w:kern w:val="0"/>
              </w:rPr>
            </w:pPr>
            <w:r>
              <w:t>0.50</w:t>
            </w:r>
          </w:p>
        </w:tc>
        <w:tc>
          <w:tcPr>
            <w:tcW w:w="1444" w:type="dxa"/>
            <w:vAlign w:val="center"/>
          </w:tcPr>
          <w:p w14:paraId="2F879D66" w14:textId="77777777" w:rsidR="004B0883" w:rsidRDefault="004B0883">
            <w:pPr>
              <w:adjustRightInd w:val="0"/>
              <w:snapToGrid w:val="0"/>
              <w:jc w:val="right"/>
              <w:rPr>
                <w:kern w:val="0"/>
              </w:rPr>
            </w:pPr>
            <w:r>
              <w:rPr>
                <w:rFonts w:hint="eastAsia"/>
                <w:kern w:val="0"/>
              </w:rPr>
              <w:t>-6.25</w:t>
            </w:r>
          </w:p>
        </w:tc>
        <w:tc>
          <w:tcPr>
            <w:tcW w:w="1444" w:type="dxa"/>
            <w:vAlign w:val="center"/>
          </w:tcPr>
          <w:p w14:paraId="00AE0DC7" w14:textId="77777777" w:rsidR="004B0883" w:rsidRDefault="004B0883">
            <w:pPr>
              <w:adjustRightInd w:val="0"/>
              <w:snapToGrid w:val="0"/>
              <w:jc w:val="right"/>
              <w:rPr>
                <w:kern w:val="0"/>
              </w:rPr>
            </w:pPr>
            <w:r>
              <w:rPr>
                <w:rFonts w:hint="eastAsia"/>
                <w:kern w:val="0"/>
              </w:rPr>
              <w:t>4.00</w:t>
            </w:r>
          </w:p>
        </w:tc>
        <w:tc>
          <w:tcPr>
            <w:tcW w:w="1444" w:type="dxa"/>
            <w:vAlign w:val="center"/>
          </w:tcPr>
          <w:p w14:paraId="305335DB" w14:textId="77777777" w:rsidR="004B0883" w:rsidRDefault="004B0883">
            <w:pPr>
              <w:adjustRightInd w:val="0"/>
              <w:snapToGrid w:val="0"/>
              <w:jc w:val="right"/>
              <w:rPr>
                <w:kern w:val="0"/>
              </w:rPr>
            </w:pPr>
            <w:r>
              <w:rPr>
                <w:rFonts w:hint="eastAsia"/>
                <w:kern w:val="0"/>
              </w:rPr>
              <w:t>11.85</w:t>
            </w:r>
          </w:p>
        </w:tc>
      </w:tr>
      <w:tr w:rsidR="004B0883" w14:paraId="21523E0E" w14:textId="77777777">
        <w:trPr>
          <w:trHeight w:val="397"/>
          <w:jc w:val="center"/>
        </w:trPr>
        <w:tc>
          <w:tcPr>
            <w:tcW w:w="2628" w:type="dxa"/>
            <w:vAlign w:val="center"/>
          </w:tcPr>
          <w:p w14:paraId="27C81910" w14:textId="77777777" w:rsidR="004B0883" w:rsidRDefault="004B0883">
            <w:pPr>
              <w:adjustRightInd w:val="0"/>
              <w:snapToGrid w:val="0"/>
              <w:rPr>
                <w:kern w:val="0"/>
              </w:rPr>
            </w:pPr>
            <w:r>
              <w:rPr>
                <w:kern w:val="0"/>
              </w:rPr>
              <w:t>（一）不能重分类进损益的其他综合收益</w:t>
            </w:r>
          </w:p>
        </w:tc>
        <w:tc>
          <w:tcPr>
            <w:tcW w:w="1568" w:type="dxa"/>
            <w:vAlign w:val="center"/>
          </w:tcPr>
          <w:p w14:paraId="42765178" w14:textId="77777777" w:rsidR="004B0883" w:rsidRDefault="004B0883">
            <w:pPr>
              <w:adjustRightInd w:val="0"/>
              <w:snapToGrid w:val="0"/>
              <w:jc w:val="right"/>
              <w:rPr>
                <w:kern w:val="0"/>
              </w:rPr>
            </w:pPr>
            <w:r>
              <w:rPr>
                <w:rFonts w:hint="eastAsia"/>
                <w:kern w:val="0"/>
              </w:rPr>
              <w:t>-</w:t>
            </w:r>
          </w:p>
        </w:tc>
        <w:tc>
          <w:tcPr>
            <w:tcW w:w="1444" w:type="dxa"/>
            <w:vAlign w:val="center"/>
          </w:tcPr>
          <w:p w14:paraId="502048D7" w14:textId="77777777" w:rsidR="004B0883" w:rsidRDefault="004B0883">
            <w:pPr>
              <w:adjustRightInd w:val="0"/>
              <w:snapToGrid w:val="0"/>
              <w:jc w:val="right"/>
              <w:rPr>
                <w:kern w:val="0"/>
              </w:rPr>
            </w:pPr>
            <w:r>
              <w:rPr>
                <w:rFonts w:hint="eastAsia"/>
                <w:kern w:val="0"/>
              </w:rPr>
              <w:t>-</w:t>
            </w:r>
          </w:p>
        </w:tc>
        <w:tc>
          <w:tcPr>
            <w:tcW w:w="1444" w:type="dxa"/>
            <w:vAlign w:val="center"/>
          </w:tcPr>
          <w:p w14:paraId="019732FB" w14:textId="77777777" w:rsidR="004B0883" w:rsidRDefault="004B0883">
            <w:pPr>
              <w:adjustRightInd w:val="0"/>
              <w:snapToGrid w:val="0"/>
              <w:jc w:val="right"/>
              <w:rPr>
                <w:kern w:val="0"/>
              </w:rPr>
            </w:pPr>
            <w:r>
              <w:rPr>
                <w:rFonts w:hint="eastAsia"/>
                <w:kern w:val="0"/>
              </w:rPr>
              <w:t>-</w:t>
            </w:r>
          </w:p>
        </w:tc>
        <w:tc>
          <w:tcPr>
            <w:tcW w:w="1444" w:type="dxa"/>
            <w:vAlign w:val="center"/>
          </w:tcPr>
          <w:p w14:paraId="208B769E" w14:textId="77777777" w:rsidR="004B0883" w:rsidRDefault="004B0883">
            <w:pPr>
              <w:adjustRightInd w:val="0"/>
              <w:snapToGrid w:val="0"/>
              <w:jc w:val="right"/>
              <w:rPr>
                <w:kern w:val="0"/>
              </w:rPr>
            </w:pPr>
            <w:r>
              <w:rPr>
                <w:rFonts w:hint="eastAsia"/>
                <w:kern w:val="0"/>
              </w:rPr>
              <w:t>-</w:t>
            </w:r>
          </w:p>
        </w:tc>
      </w:tr>
      <w:tr w:rsidR="004B0883" w14:paraId="4B6430A9" w14:textId="77777777">
        <w:trPr>
          <w:trHeight w:val="397"/>
          <w:jc w:val="center"/>
        </w:trPr>
        <w:tc>
          <w:tcPr>
            <w:tcW w:w="2628" w:type="dxa"/>
            <w:vAlign w:val="center"/>
          </w:tcPr>
          <w:p w14:paraId="6B2355F8" w14:textId="77777777" w:rsidR="004B0883" w:rsidRDefault="004B0883">
            <w:pPr>
              <w:adjustRightInd w:val="0"/>
              <w:snapToGrid w:val="0"/>
              <w:rPr>
                <w:kern w:val="0"/>
              </w:rPr>
            </w:pPr>
            <w:r>
              <w:rPr>
                <w:kern w:val="0"/>
              </w:rPr>
              <w:t>1.</w:t>
            </w:r>
            <w:r>
              <w:rPr>
                <w:kern w:val="0"/>
              </w:rPr>
              <w:t>重新计量设定受益计划变动额</w:t>
            </w:r>
          </w:p>
        </w:tc>
        <w:tc>
          <w:tcPr>
            <w:tcW w:w="1568" w:type="dxa"/>
            <w:vAlign w:val="center"/>
          </w:tcPr>
          <w:p w14:paraId="45A5FA1A" w14:textId="77777777" w:rsidR="004B0883" w:rsidRDefault="004B0883">
            <w:pPr>
              <w:adjustRightInd w:val="0"/>
              <w:snapToGrid w:val="0"/>
              <w:jc w:val="right"/>
              <w:rPr>
                <w:kern w:val="0"/>
              </w:rPr>
            </w:pPr>
            <w:r>
              <w:rPr>
                <w:rFonts w:hint="eastAsia"/>
                <w:kern w:val="0"/>
              </w:rPr>
              <w:t>-</w:t>
            </w:r>
          </w:p>
        </w:tc>
        <w:tc>
          <w:tcPr>
            <w:tcW w:w="1444" w:type="dxa"/>
            <w:vAlign w:val="center"/>
          </w:tcPr>
          <w:p w14:paraId="0B788201" w14:textId="77777777" w:rsidR="004B0883" w:rsidRDefault="004B0883">
            <w:pPr>
              <w:adjustRightInd w:val="0"/>
              <w:snapToGrid w:val="0"/>
              <w:jc w:val="right"/>
              <w:rPr>
                <w:kern w:val="0"/>
              </w:rPr>
            </w:pPr>
            <w:r>
              <w:rPr>
                <w:rFonts w:hint="eastAsia"/>
                <w:kern w:val="0"/>
              </w:rPr>
              <w:t>-</w:t>
            </w:r>
          </w:p>
        </w:tc>
        <w:tc>
          <w:tcPr>
            <w:tcW w:w="1444" w:type="dxa"/>
            <w:vAlign w:val="center"/>
          </w:tcPr>
          <w:p w14:paraId="29200993" w14:textId="77777777" w:rsidR="004B0883" w:rsidRDefault="004B0883">
            <w:pPr>
              <w:adjustRightInd w:val="0"/>
              <w:snapToGrid w:val="0"/>
              <w:jc w:val="right"/>
              <w:rPr>
                <w:kern w:val="0"/>
              </w:rPr>
            </w:pPr>
            <w:r>
              <w:rPr>
                <w:rFonts w:hint="eastAsia"/>
                <w:kern w:val="0"/>
              </w:rPr>
              <w:t>-</w:t>
            </w:r>
          </w:p>
        </w:tc>
        <w:tc>
          <w:tcPr>
            <w:tcW w:w="1444" w:type="dxa"/>
            <w:vAlign w:val="center"/>
          </w:tcPr>
          <w:p w14:paraId="4D1C227F" w14:textId="77777777" w:rsidR="004B0883" w:rsidRDefault="004B0883">
            <w:pPr>
              <w:adjustRightInd w:val="0"/>
              <w:snapToGrid w:val="0"/>
              <w:jc w:val="right"/>
              <w:rPr>
                <w:kern w:val="0"/>
              </w:rPr>
            </w:pPr>
            <w:r>
              <w:rPr>
                <w:rFonts w:hint="eastAsia"/>
                <w:kern w:val="0"/>
              </w:rPr>
              <w:t>-</w:t>
            </w:r>
          </w:p>
        </w:tc>
      </w:tr>
      <w:tr w:rsidR="004B0883" w14:paraId="40FCAC56" w14:textId="77777777">
        <w:trPr>
          <w:trHeight w:val="397"/>
          <w:jc w:val="center"/>
        </w:trPr>
        <w:tc>
          <w:tcPr>
            <w:tcW w:w="2628" w:type="dxa"/>
            <w:vAlign w:val="center"/>
          </w:tcPr>
          <w:p w14:paraId="5DABAB05" w14:textId="77777777" w:rsidR="004B0883" w:rsidRDefault="004B0883">
            <w:pPr>
              <w:adjustRightInd w:val="0"/>
              <w:snapToGrid w:val="0"/>
              <w:rPr>
                <w:kern w:val="0"/>
              </w:rPr>
            </w:pPr>
            <w:r>
              <w:rPr>
                <w:kern w:val="0"/>
              </w:rPr>
              <w:t>2.</w:t>
            </w:r>
            <w:r>
              <w:rPr>
                <w:kern w:val="0"/>
              </w:rPr>
              <w:t>权益法下不能转损益的其他综合收益</w:t>
            </w:r>
          </w:p>
        </w:tc>
        <w:tc>
          <w:tcPr>
            <w:tcW w:w="1568" w:type="dxa"/>
            <w:vAlign w:val="center"/>
          </w:tcPr>
          <w:p w14:paraId="1DCCC0AD" w14:textId="77777777" w:rsidR="004B0883" w:rsidRDefault="004B0883">
            <w:pPr>
              <w:adjustRightInd w:val="0"/>
              <w:snapToGrid w:val="0"/>
              <w:jc w:val="right"/>
              <w:rPr>
                <w:kern w:val="0"/>
              </w:rPr>
            </w:pPr>
            <w:r>
              <w:rPr>
                <w:rFonts w:hint="eastAsia"/>
                <w:kern w:val="0"/>
              </w:rPr>
              <w:t>-</w:t>
            </w:r>
          </w:p>
        </w:tc>
        <w:tc>
          <w:tcPr>
            <w:tcW w:w="1444" w:type="dxa"/>
            <w:vAlign w:val="center"/>
          </w:tcPr>
          <w:p w14:paraId="530868DD" w14:textId="77777777" w:rsidR="004B0883" w:rsidRDefault="004B0883">
            <w:pPr>
              <w:adjustRightInd w:val="0"/>
              <w:snapToGrid w:val="0"/>
              <w:jc w:val="right"/>
              <w:rPr>
                <w:kern w:val="0"/>
              </w:rPr>
            </w:pPr>
            <w:r>
              <w:rPr>
                <w:rFonts w:hint="eastAsia"/>
                <w:kern w:val="0"/>
              </w:rPr>
              <w:t>-</w:t>
            </w:r>
          </w:p>
        </w:tc>
        <w:tc>
          <w:tcPr>
            <w:tcW w:w="1444" w:type="dxa"/>
            <w:vAlign w:val="center"/>
          </w:tcPr>
          <w:p w14:paraId="04ABD316" w14:textId="77777777" w:rsidR="004B0883" w:rsidRDefault="004B0883">
            <w:pPr>
              <w:adjustRightInd w:val="0"/>
              <w:snapToGrid w:val="0"/>
              <w:jc w:val="right"/>
              <w:rPr>
                <w:kern w:val="0"/>
              </w:rPr>
            </w:pPr>
            <w:r>
              <w:rPr>
                <w:rFonts w:hint="eastAsia"/>
                <w:kern w:val="0"/>
              </w:rPr>
              <w:t>-</w:t>
            </w:r>
          </w:p>
        </w:tc>
        <w:tc>
          <w:tcPr>
            <w:tcW w:w="1444" w:type="dxa"/>
            <w:vAlign w:val="center"/>
          </w:tcPr>
          <w:p w14:paraId="4ECD9C94" w14:textId="77777777" w:rsidR="004B0883" w:rsidRDefault="004B0883">
            <w:pPr>
              <w:adjustRightInd w:val="0"/>
              <w:snapToGrid w:val="0"/>
              <w:jc w:val="right"/>
              <w:rPr>
                <w:kern w:val="0"/>
              </w:rPr>
            </w:pPr>
            <w:r>
              <w:rPr>
                <w:rFonts w:hint="eastAsia"/>
                <w:kern w:val="0"/>
              </w:rPr>
              <w:t>-</w:t>
            </w:r>
          </w:p>
        </w:tc>
      </w:tr>
      <w:tr w:rsidR="004B0883" w14:paraId="0718B367" w14:textId="77777777">
        <w:trPr>
          <w:trHeight w:val="397"/>
          <w:jc w:val="center"/>
        </w:trPr>
        <w:tc>
          <w:tcPr>
            <w:tcW w:w="2628" w:type="dxa"/>
            <w:vAlign w:val="center"/>
          </w:tcPr>
          <w:p w14:paraId="386C3F87" w14:textId="77777777" w:rsidR="004B0883" w:rsidRDefault="004B0883">
            <w:pPr>
              <w:adjustRightInd w:val="0"/>
              <w:snapToGrid w:val="0"/>
              <w:rPr>
                <w:kern w:val="0"/>
              </w:rPr>
            </w:pPr>
            <w:r>
              <w:rPr>
                <w:kern w:val="0"/>
              </w:rPr>
              <w:t>3.</w:t>
            </w:r>
            <w:r>
              <w:rPr>
                <w:kern w:val="0"/>
              </w:rPr>
              <w:t>其他权益工具投资公允价值变动</w:t>
            </w:r>
          </w:p>
        </w:tc>
        <w:tc>
          <w:tcPr>
            <w:tcW w:w="1568" w:type="dxa"/>
            <w:vAlign w:val="center"/>
          </w:tcPr>
          <w:p w14:paraId="2BCDE12E" w14:textId="77777777" w:rsidR="004B0883" w:rsidRDefault="004B0883">
            <w:pPr>
              <w:adjustRightInd w:val="0"/>
              <w:snapToGrid w:val="0"/>
              <w:jc w:val="right"/>
              <w:rPr>
                <w:kern w:val="0"/>
              </w:rPr>
            </w:pPr>
            <w:r>
              <w:rPr>
                <w:rFonts w:hint="eastAsia"/>
                <w:kern w:val="0"/>
              </w:rPr>
              <w:t>-</w:t>
            </w:r>
          </w:p>
        </w:tc>
        <w:tc>
          <w:tcPr>
            <w:tcW w:w="1444" w:type="dxa"/>
            <w:vAlign w:val="center"/>
          </w:tcPr>
          <w:p w14:paraId="144471F6" w14:textId="77777777" w:rsidR="004B0883" w:rsidRDefault="004B0883">
            <w:pPr>
              <w:adjustRightInd w:val="0"/>
              <w:snapToGrid w:val="0"/>
              <w:jc w:val="right"/>
              <w:rPr>
                <w:kern w:val="0"/>
              </w:rPr>
            </w:pPr>
            <w:r>
              <w:rPr>
                <w:rFonts w:hint="eastAsia"/>
                <w:kern w:val="0"/>
              </w:rPr>
              <w:t>-</w:t>
            </w:r>
          </w:p>
        </w:tc>
        <w:tc>
          <w:tcPr>
            <w:tcW w:w="1444" w:type="dxa"/>
            <w:vAlign w:val="center"/>
          </w:tcPr>
          <w:p w14:paraId="20D4B273" w14:textId="77777777" w:rsidR="004B0883" w:rsidRDefault="004B0883">
            <w:pPr>
              <w:adjustRightInd w:val="0"/>
              <w:snapToGrid w:val="0"/>
              <w:jc w:val="right"/>
              <w:rPr>
                <w:kern w:val="0"/>
              </w:rPr>
            </w:pPr>
            <w:r>
              <w:rPr>
                <w:rFonts w:hint="eastAsia"/>
                <w:kern w:val="0"/>
              </w:rPr>
              <w:t>-</w:t>
            </w:r>
          </w:p>
        </w:tc>
        <w:tc>
          <w:tcPr>
            <w:tcW w:w="1444" w:type="dxa"/>
            <w:vAlign w:val="center"/>
          </w:tcPr>
          <w:p w14:paraId="1ACEB594" w14:textId="77777777" w:rsidR="004B0883" w:rsidRDefault="004B0883">
            <w:pPr>
              <w:adjustRightInd w:val="0"/>
              <w:snapToGrid w:val="0"/>
              <w:jc w:val="right"/>
              <w:rPr>
                <w:kern w:val="0"/>
              </w:rPr>
            </w:pPr>
            <w:r>
              <w:rPr>
                <w:rFonts w:hint="eastAsia"/>
                <w:kern w:val="0"/>
              </w:rPr>
              <w:t>-</w:t>
            </w:r>
          </w:p>
        </w:tc>
      </w:tr>
      <w:tr w:rsidR="004B0883" w14:paraId="1B198D90" w14:textId="77777777">
        <w:trPr>
          <w:trHeight w:val="397"/>
          <w:jc w:val="center"/>
        </w:trPr>
        <w:tc>
          <w:tcPr>
            <w:tcW w:w="2628" w:type="dxa"/>
            <w:vAlign w:val="center"/>
          </w:tcPr>
          <w:p w14:paraId="59A73894" w14:textId="77777777" w:rsidR="004B0883" w:rsidRDefault="004B0883">
            <w:pPr>
              <w:adjustRightInd w:val="0"/>
              <w:snapToGrid w:val="0"/>
              <w:rPr>
                <w:kern w:val="0"/>
              </w:rPr>
            </w:pPr>
            <w:r>
              <w:rPr>
                <w:kern w:val="0"/>
              </w:rPr>
              <w:t>4.</w:t>
            </w:r>
            <w:r>
              <w:rPr>
                <w:kern w:val="0"/>
              </w:rPr>
              <w:t>企业自身信用风险公允价值变动</w:t>
            </w:r>
          </w:p>
        </w:tc>
        <w:tc>
          <w:tcPr>
            <w:tcW w:w="1568" w:type="dxa"/>
            <w:vAlign w:val="center"/>
          </w:tcPr>
          <w:p w14:paraId="7F326E83" w14:textId="77777777" w:rsidR="004B0883" w:rsidRDefault="004B0883">
            <w:pPr>
              <w:adjustRightInd w:val="0"/>
              <w:snapToGrid w:val="0"/>
              <w:jc w:val="right"/>
              <w:rPr>
                <w:kern w:val="0"/>
              </w:rPr>
            </w:pPr>
            <w:r>
              <w:rPr>
                <w:rFonts w:hint="eastAsia"/>
                <w:kern w:val="0"/>
              </w:rPr>
              <w:t>-</w:t>
            </w:r>
          </w:p>
        </w:tc>
        <w:tc>
          <w:tcPr>
            <w:tcW w:w="1444" w:type="dxa"/>
            <w:vAlign w:val="center"/>
          </w:tcPr>
          <w:p w14:paraId="4CC6953E" w14:textId="77777777" w:rsidR="004B0883" w:rsidRDefault="004B0883">
            <w:pPr>
              <w:adjustRightInd w:val="0"/>
              <w:snapToGrid w:val="0"/>
              <w:jc w:val="right"/>
              <w:rPr>
                <w:kern w:val="0"/>
              </w:rPr>
            </w:pPr>
            <w:r>
              <w:rPr>
                <w:rFonts w:hint="eastAsia"/>
                <w:kern w:val="0"/>
              </w:rPr>
              <w:t>-</w:t>
            </w:r>
          </w:p>
        </w:tc>
        <w:tc>
          <w:tcPr>
            <w:tcW w:w="1444" w:type="dxa"/>
            <w:vAlign w:val="center"/>
          </w:tcPr>
          <w:p w14:paraId="79585CE3" w14:textId="77777777" w:rsidR="004B0883" w:rsidRDefault="004B0883">
            <w:pPr>
              <w:adjustRightInd w:val="0"/>
              <w:snapToGrid w:val="0"/>
              <w:jc w:val="right"/>
              <w:rPr>
                <w:kern w:val="0"/>
              </w:rPr>
            </w:pPr>
            <w:r>
              <w:rPr>
                <w:rFonts w:hint="eastAsia"/>
                <w:kern w:val="0"/>
              </w:rPr>
              <w:t>-</w:t>
            </w:r>
          </w:p>
        </w:tc>
        <w:tc>
          <w:tcPr>
            <w:tcW w:w="1444" w:type="dxa"/>
            <w:vAlign w:val="center"/>
          </w:tcPr>
          <w:p w14:paraId="4DF069D9" w14:textId="77777777" w:rsidR="004B0883" w:rsidRDefault="004B0883">
            <w:pPr>
              <w:adjustRightInd w:val="0"/>
              <w:snapToGrid w:val="0"/>
              <w:jc w:val="right"/>
              <w:rPr>
                <w:kern w:val="0"/>
              </w:rPr>
            </w:pPr>
            <w:r>
              <w:rPr>
                <w:rFonts w:hint="eastAsia"/>
                <w:kern w:val="0"/>
              </w:rPr>
              <w:t>-</w:t>
            </w:r>
          </w:p>
        </w:tc>
      </w:tr>
      <w:tr w:rsidR="004B0883" w14:paraId="7B5BB86D" w14:textId="77777777">
        <w:trPr>
          <w:trHeight w:val="397"/>
          <w:jc w:val="center"/>
        </w:trPr>
        <w:tc>
          <w:tcPr>
            <w:tcW w:w="2628" w:type="dxa"/>
            <w:vAlign w:val="center"/>
          </w:tcPr>
          <w:p w14:paraId="3E589E16" w14:textId="77777777" w:rsidR="004B0883" w:rsidRDefault="004B0883">
            <w:pPr>
              <w:adjustRightInd w:val="0"/>
              <w:snapToGrid w:val="0"/>
              <w:rPr>
                <w:kern w:val="0"/>
              </w:rPr>
            </w:pPr>
            <w:r>
              <w:rPr>
                <w:kern w:val="0"/>
              </w:rPr>
              <w:t>5.</w:t>
            </w:r>
            <w:r>
              <w:rPr>
                <w:kern w:val="0"/>
              </w:rPr>
              <w:t>其他</w:t>
            </w:r>
          </w:p>
        </w:tc>
        <w:tc>
          <w:tcPr>
            <w:tcW w:w="1568" w:type="dxa"/>
            <w:vAlign w:val="center"/>
          </w:tcPr>
          <w:p w14:paraId="68B5847C" w14:textId="77777777" w:rsidR="004B0883" w:rsidRDefault="004B0883">
            <w:pPr>
              <w:adjustRightInd w:val="0"/>
              <w:snapToGrid w:val="0"/>
              <w:jc w:val="right"/>
              <w:rPr>
                <w:kern w:val="0"/>
              </w:rPr>
            </w:pPr>
            <w:r>
              <w:rPr>
                <w:rFonts w:hint="eastAsia"/>
                <w:kern w:val="0"/>
              </w:rPr>
              <w:t>-</w:t>
            </w:r>
          </w:p>
        </w:tc>
        <w:tc>
          <w:tcPr>
            <w:tcW w:w="1444" w:type="dxa"/>
            <w:vAlign w:val="center"/>
          </w:tcPr>
          <w:p w14:paraId="16A888BA" w14:textId="77777777" w:rsidR="004B0883" w:rsidRDefault="004B0883">
            <w:pPr>
              <w:adjustRightInd w:val="0"/>
              <w:snapToGrid w:val="0"/>
              <w:jc w:val="right"/>
              <w:rPr>
                <w:kern w:val="0"/>
              </w:rPr>
            </w:pPr>
            <w:r>
              <w:rPr>
                <w:rFonts w:hint="eastAsia"/>
                <w:kern w:val="0"/>
              </w:rPr>
              <w:t>-</w:t>
            </w:r>
          </w:p>
        </w:tc>
        <w:tc>
          <w:tcPr>
            <w:tcW w:w="1444" w:type="dxa"/>
            <w:vAlign w:val="center"/>
          </w:tcPr>
          <w:p w14:paraId="5A920ED3" w14:textId="77777777" w:rsidR="004B0883" w:rsidRDefault="004B0883">
            <w:pPr>
              <w:adjustRightInd w:val="0"/>
              <w:snapToGrid w:val="0"/>
              <w:jc w:val="right"/>
              <w:rPr>
                <w:kern w:val="0"/>
              </w:rPr>
            </w:pPr>
            <w:r>
              <w:rPr>
                <w:rFonts w:hint="eastAsia"/>
                <w:kern w:val="0"/>
              </w:rPr>
              <w:t>-</w:t>
            </w:r>
          </w:p>
        </w:tc>
        <w:tc>
          <w:tcPr>
            <w:tcW w:w="1444" w:type="dxa"/>
            <w:vAlign w:val="center"/>
          </w:tcPr>
          <w:p w14:paraId="304FAAE4" w14:textId="77777777" w:rsidR="004B0883" w:rsidRDefault="004B0883">
            <w:pPr>
              <w:adjustRightInd w:val="0"/>
              <w:snapToGrid w:val="0"/>
              <w:jc w:val="right"/>
              <w:rPr>
                <w:kern w:val="0"/>
              </w:rPr>
            </w:pPr>
            <w:r>
              <w:rPr>
                <w:rFonts w:hint="eastAsia"/>
                <w:kern w:val="0"/>
              </w:rPr>
              <w:t>-</w:t>
            </w:r>
          </w:p>
        </w:tc>
      </w:tr>
      <w:tr w:rsidR="004B0883" w14:paraId="6AA4C198" w14:textId="77777777">
        <w:trPr>
          <w:trHeight w:val="397"/>
          <w:jc w:val="center"/>
        </w:trPr>
        <w:tc>
          <w:tcPr>
            <w:tcW w:w="2628" w:type="dxa"/>
            <w:vAlign w:val="center"/>
          </w:tcPr>
          <w:p w14:paraId="08BF385E" w14:textId="77777777" w:rsidR="004B0883" w:rsidRDefault="004B0883">
            <w:pPr>
              <w:adjustRightInd w:val="0"/>
              <w:snapToGrid w:val="0"/>
              <w:rPr>
                <w:kern w:val="0"/>
              </w:rPr>
            </w:pPr>
            <w:r>
              <w:rPr>
                <w:kern w:val="0"/>
              </w:rPr>
              <w:t>（二）将重分类进损益的其他综合收益</w:t>
            </w:r>
          </w:p>
        </w:tc>
        <w:tc>
          <w:tcPr>
            <w:tcW w:w="1568" w:type="dxa"/>
            <w:vAlign w:val="center"/>
          </w:tcPr>
          <w:p w14:paraId="2AE230E9" w14:textId="77777777" w:rsidR="004B0883" w:rsidRDefault="004B0883">
            <w:pPr>
              <w:adjustRightInd w:val="0"/>
              <w:snapToGrid w:val="0"/>
              <w:jc w:val="right"/>
              <w:rPr>
                <w:kern w:val="0"/>
              </w:rPr>
            </w:pPr>
            <w:r>
              <w:rPr>
                <w:kern w:val="0"/>
              </w:rPr>
              <w:t>0.</w:t>
            </w:r>
            <w:r>
              <w:rPr>
                <w:rFonts w:hint="eastAsia"/>
                <w:kern w:val="0"/>
              </w:rPr>
              <w:t>50</w:t>
            </w:r>
          </w:p>
        </w:tc>
        <w:tc>
          <w:tcPr>
            <w:tcW w:w="1444" w:type="dxa"/>
            <w:vAlign w:val="center"/>
          </w:tcPr>
          <w:p w14:paraId="427B2E6A" w14:textId="77777777" w:rsidR="004B0883" w:rsidRDefault="004B0883">
            <w:pPr>
              <w:adjustRightInd w:val="0"/>
              <w:snapToGrid w:val="0"/>
              <w:jc w:val="right"/>
              <w:rPr>
                <w:kern w:val="0"/>
              </w:rPr>
            </w:pPr>
            <w:r>
              <w:rPr>
                <w:rFonts w:hint="eastAsia"/>
                <w:kern w:val="0"/>
              </w:rPr>
              <w:t>-6.25</w:t>
            </w:r>
          </w:p>
        </w:tc>
        <w:tc>
          <w:tcPr>
            <w:tcW w:w="1444" w:type="dxa"/>
            <w:vAlign w:val="center"/>
          </w:tcPr>
          <w:p w14:paraId="0AB07533" w14:textId="77777777" w:rsidR="004B0883" w:rsidRDefault="004B0883">
            <w:pPr>
              <w:adjustRightInd w:val="0"/>
              <w:snapToGrid w:val="0"/>
              <w:jc w:val="right"/>
              <w:rPr>
                <w:kern w:val="0"/>
              </w:rPr>
            </w:pPr>
            <w:r>
              <w:rPr>
                <w:rFonts w:hint="eastAsia"/>
                <w:kern w:val="0"/>
              </w:rPr>
              <w:t>4.00</w:t>
            </w:r>
          </w:p>
        </w:tc>
        <w:tc>
          <w:tcPr>
            <w:tcW w:w="1444" w:type="dxa"/>
            <w:vAlign w:val="center"/>
          </w:tcPr>
          <w:p w14:paraId="2E8CCD17" w14:textId="77777777" w:rsidR="004B0883" w:rsidRDefault="004B0883">
            <w:pPr>
              <w:adjustRightInd w:val="0"/>
              <w:snapToGrid w:val="0"/>
              <w:jc w:val="right"/>
              <w:rPr>
                <w:kern w:val="0"/>
              </w:rPr>
            </w:pPr>
            <w:r>
              <w:rPr>
                <w:rFonts w:hint="eastAsia"/>
                <w:kern w:val="0"/>
              </w:rPr>
              <w:t>11.85</w:t>
            </w:r>
          </w:p>
        </w:tc>
      </w:tr>
      <w:tr w:rsidR="004B0883" w14:paraId="2D38E2B7" w14:textId="77777777">
        <w:trPr>
          <w:trHeight w:val="397"/>
          <w:jc w:val="center"/>
        </w:trPr>
        <w:tc>
          <w:tcPr>
            <w:tcW w:w="2628" w:type="dxa"/>
            <w:vAlign w:val="center"/>
          </w:tcPr>
          <w:p w14:paraId="4DA3E70B" w14:textId="77777777" w:rsidR="004B0883" w:rsidRDefault="004B0883">
            <w:pPr>
              <w:adjustRightInd w:val="0"/>
              <w:snapToGrid w:val="0"/>
              <w:rPr>
                <w:kern w:val="0"/>
              </w:rPr>
            </w:pPr>
            <w:r>
              <w:rPr>
                <w:kern w:val="0"/>
              </w:rPr>
              <w:t>1.</w:t>
            </w:r>
            <w:r>
              <w:rPr>
                <w:kern w:val="0"/>
              </w:rPr>
              <w:t>权益法下可转损益的其他综合收益</w:t>
            </w:r>
          </w:p>
        </w:tc>
        <w:tc>
          <w:tcPr>
            <w:tcW w:w="1568" w:type="dxa"/>
            <w:vAlign w:val="center"/>
          </w:tcPr>
          <w:p w14:paraId="23E37062" w14:textId="77777777" w:rsidR="004B0883" w:rsidRDefault="004B0883">
            <w:pPr>
              <w:adjustRightInd w:val="0"/>
              <w:snapToGrid w:val="0"/>
              <w:jc w:val="right"/>
              <w:rPr>
                <w:kern w:val="0"/>
              </w:rPr>
            </w:pPr>
            <w:r>
              <w:rPr>
                <w:rFonts w:hint="eastAsia"/>
                <w:kern w:val="0"/>
              </w:rPr>
              <w:t>-</w:t>
            </w:r>
          </w:p>
        </w:tc>
        <w:tc>
          <w:tcPr>
            <w:tcW w:w="1444" w:type="dxa"/>
            <w:vAlign w:val="center"/>
          </w:tcPr>
          <w:p w14:paraId="675B1BD8" w14:textId="77777777" w:rsidR="004B0883" w:rsidRDefault="004B0883">
            <w:pPr>
              <w:adjustRightInd w:val="0"/>
              <w:snapToGrid w:val="0"/>
              <w:jc w:val="right"/>
              <w:rPr>
                <w:kern w:val="0"/>
              </w:rPr>
            </w:pPr>
            <w:r>
              <w:rPr>
                <w:rFonts w:hint="eastAsia"/>
                <w:kern w:val="0"/>
              </w:rPr>
              <w:t>-</w:t>
            </w:r>
          </w:p>
        </w:tc>
        <w:tc>
          <w:tcPr>
            <w:tcW w:w="1444" w:type="dxa"/>
            <w:vAlign w:val="center"/>
          </w:tcPr>
          <w:p w14:paraId="2D4808CF" w14:textId="77777777" w:rsidR="004B0883" w:rsidRDefault="004B0883">
            <w:pPr>
              <w:adjustRightInd w:val="0"/>
              <w:snapToGrid w:val="0"/>
              <w:jc w:val="right"/>
              <w:rPr>
                <w:kern w:val="0"/>
              </w:rPr>
            </w:pPr>
            <w:r>
              <w:rPr>
                <w:rFonts w:hint="eastAsia"/>
                <w:kern w:val="0"/>
              </w:rPr>
              <w:t>-</w:t>
            </w:r>
          </w:p>
        </w:tc>
        <w:tc>
          <w:tcPr>
            <w:tcW w:w="1444" w:type="dxa"/>
            <w:vAlign w:val="center"/>
          </w:tcPr>
          <w:p w14:paraId="3F86B0C9" w14:textId="77777777" w:rsidR="004B0883" w:rsidRDefault="004B0883">
            <w:pPr>
              <w:adjustRightInd w:val="0"/>
              <w:snapToGrid w:val="0"/>
              <w:jc w:val="right"/>
              <w:rPr>
                <w:kern w:val="0"/>
              </w:rPr>
            </w:pPr>
            <w:r>
              <w:rPr>
                <w:rFonts w:hint="eastAsia"/>
                <w:kern w:val="0"/>
              </w:rPr>
              <w:t>-</w:t>
            </w:r>
          </w:p>
        </w:tc>
      </w:tr>
      <w:tr w:rsidR="004B0883" w14:paraId="34874958" w14:textId="77777777">
        <w:trPr>
          <w:trHeight w:val="397"/>
          <w:jc w:val="center"/>
        </w:trPr>
        <w:tc>
          <w:tcPr>
            <w:tcW w:w="2628" w:type="dxa"/>
            <w:vAlign w:val="center"/>
          </w:tcPr>
          <w:p w14:paraId="7A5E5C32" w14:textId="77777777" w:rsidR="004B0883" w:rsidRDefault="004B0883">
            <w:pPr>
              <w:adjustRightInd w:val="0"/>
              <w:snapToGrid w:val="0"/>
              <w:rPr>
                <w:kern w:val="0"/>
              </w:rPr>
            </w:pPr>
            <w:r>
              <w:rPr>
                <w:kern w:val="0"/>
              </w:rPr>
              <w:t>2.</w:t>
            </w:r>
            <w:r>
              <w:rPr>
                <w:kern w:val="0"/>
              </w:rPr>
              <w:t>其他债权投资公允价值变动</w:t>
            </w:r>
          </w:p>
        </w:tc>
        <w:tc>
          <w:tcPr>
            <w:tcW w:w="1568" w:type="dxa"/>
            <w:vAlign w:val="center"/>
          </w:tcPr>
          <w:p w14:paraId="1103E294" w14:textId="77777777" w:rsidR="004B0883" w:rsidRDefault="004B0883">
            <w:pPr>
              <w:adjustRightInd w:val="0"/>
              <w:snapToGrid w:val="0"/>
              <w:jc w:val="right"/>
              <w:rPr>
                <w:kern w:val="0"/>
              </w:rPr>
            </w:pPr>
            <w:r>
              <w:rPr>
                <w:rFonts w:hint="eastAsia"/>
                <w:kern w:val="0"/>
              </w:rPr>
              <w:t>-</w:t>
            </w:r>
          </w:p>
        </w:tc>
        <w:tc>
          <w:tcPr>
            <w:tcW w:w="1444" w:type="dxa"/>
            <w:vAlign w:val="center"/>
          </w:tcPr>
          <w:p w14:paraId="5D17F758" w14:textId="77777777" w:rsidR="004B0883" w:rsidRDefault="004B0883">
            <w:pPr>
              <w:adjustRightInd w:val="0"/>
              <w:snapToGrid w:val="0"/>
              <w:jc w:val="right"/>
              <w:rPr>
                <w:kern w:val="0"/>
              </w:rPr>
            </w:pPr>
            <w:r>
              <w:rPr>
                <w:rFonts w:hint="eastAsia"/>
                <w:kern w:val="0"/>
              </w:rPr>
              <w:t>-</w:t>
            </w:r>
          </w:p>
        </w:tc>
        <w:tc>
          <w:tcPr>
            <w:tcW w:w="1444" w:type="dxa"/>
            <w:vAlign w:val="center"/>
          </w:tcPr>
          <w:p w14:paraId="7B78D1EB" w14:textId="77777777" w:rsidR="004B0883" w:rsidRDefault="004B0883">
            <w:pPr>
              <w:adjustRightInd w:val="0"/>
              <w:snapToGrid w:val="0"/>
              <w:jc w:val="right"/>
              <w:rPr>
                <w:kern w:val="0"/>
              </w:rPr>
            </w:pPr>
            <w:r>
              <w:rPr>
                <w:rFonts w:hint="eastAsia"/>
                <w:kern w:val="0"/>
              </w:rPr>
              <w:t>-</w:t>
            </w:r>
          </w:p>
        </w:tc>
        <w:tc>
          <w:tcPr>
            <w:tcW w:w="1444" w:type="dxa"/>
            <w:vAlign w:val="center"/>
          </w:tcPr>
          <w:p w14:paraId="651A143D" w14:textId="77777777" w:rsidR="004B0883" w:rsidRDefault="004B0883">
            <w:pPr>
              <w:adjustRightInd w:val="0"/>
              <w:snapToGrid w:val="0"/>
              <w:jc w:val="right"/>
              <w:rPr>
                <w:kern w:val="0"/>
              </w:rPr>
            </w:pPr>
            <w:r>
              <w:rPr>
                <w:rFonts w:hint="eastAsia"/>
                <w:kern w:val="0"/>
              </w:rPr>
              <w:t>-</w:t>
            </w:r>
          </w:p>
        </w:tc>
      </w:tr>
      <w:tr w:rsidR="004B0883" w14:paraId="1A9A0963" w14:textId="77777777">
        <w:trPr>
          <w:trHeight w:val="397"/>
          <w:jc w:val="center"/>
        </w:trPr>
        <w:tc>
          <w:tcPr>
            <w:tcW w:w="2628" w:type="dxa"/>
            <w:vAlign w:val="center"/>
          </w:tcPr>
          <w:p w14:paraId="45157EFF" w14:textId="77777777" w:rsidR="004B0883" w:rsidRDefault="004B0883">
            <w:pPr>
              <w:adjustRightInd w:val="0"/>
              <w:snapToGrid w:val="0"/>
              <w:rPr>
                <w:kern w:val="0"/>
              </w:rPr>
            </w:pPr>
            <w:r>
              <w:rPr>
                <w:kern w:val="0"/>
              </w:rPr>
              <w:t>3.</w:t>
            </w:r>
            <w:r>
              <w:rPr>
                <w:kern w:val="0"/>
              </w:rPr>
              <w:t>金融资产重分类计入其他综合收益的金额</w:t>
            </w:r>
          </w:p>
        </w:tc>
        <w:tc>
          <w:tcPr>
            <w:tcW w:w="1568" w:type="dxa"/>
            <w:vAlign w:val="center"/>
          </w:tcPr>
          <w:p w14:paraId="64B5E828" w14:textId="77777777" w:rsidR="004B0883" w:rsidRDefault="004B0883">
            <w:pPr>
              <w:adjustRightInd w:val="0"/>
              <w:snapToGrid w:val="0"/>
              <w:jc w:val="right"/>
              <w:rPr>
                <w:kern w:val="0"/>
              </w:rPr>
            </w:pPr>
            <w:r>
              <w:rPr>
                <w:rFonts w:hint="eastAsia"/>
                <w:kern w:val="0"/>
              </w:rPr>
              <w:t>-</w:t>
            </w:r>
          </w:p>
        </w:tc>
        <w:tc>
          <w:tcPr>
            <w:tcW w:w="1444" w:type="dxa"/>
            <w:vAlign w:val="center"/>
          </w:tcPr>
          <w:p w14:paraId="31983979" w14:textId="77777777" w:rsidR="004B0883" w:rsidRDefault="004B0883">
            <w:pPr>
              <w:adjustRightInd w:val="0"/>
              <w:snapToGrid w:val="0"/>
              <w:jc w:val="right"/>
              <w:rPr>
                <w:kern w:val="0"/>
              </w:rPr>
            </w:pPr>
            <w:r>
              <w:rPr>
                <w:rFonts w:hint="eastAsia"/>
                <w:kern w:val="0"/>
              </w:rPr>
              <w:t>-</w:t>
            </w:r>
          </w:p>
        </w:tc>
        <w:tc>
          <w:tcPr>
            <w:tcW w:w="1444" w:type="dxa"/>
            <w:vAlign w:val="center"/>
          </w:tcPr>
          <w:p w14:paraId="37E1A2DC" w14:textId="77777777" w:rsidR="004B0883" w:rsidRDefault="004B0883">
            <w:pPr>
              <w:adjustRightInd w:val="0"/>
              <w:snapToGrid w:val="0"/>
              <w:jc w:val="right"/>
              <w:rPr>
                <w:kern w:val="0"/>
              </w:rPr>
            </w:pPr>
            <w:r>
              <w:rPr>
                <w:rFonts w:hint="eastAsia"/>
                <w:kern w:val="0"/>
              </w:rPr>
              <w:t>-</w:t>
            </w:r>
          </w:p>
        </w:tc>
        <w:tc>
          <w:tcPr>
            <w:tcW w:w="1444" w:type="dxa"/>
            <w:vAlign w:val="center"/>
          </w:tcPr>
          <w:p w14:paraId="6631ABD5" w14:textId="77777777" w:rsidR="004B0883" w:rsidRDefault="004B0883">
            <w:pPr>
              <w:adjustRightInd w:val="0"/>
              <w:snapToGrid w:val="0"/>
              <w:jc w:val="right"/>
              <w:rPr>
                <w:kern w:val="0"/>
              </w:rPr>
            </w:pPr>
            <w:r>
              <w:rPr>
                <w:rFonts w:hint="eastAsia"/>
                <w:kern w:val="0"/>
              </w:rPr>
              <w:t>-</w:t>
            </w:r>
          </w:p>
        </w:tc>
      </w:tr>
      <w:tr w:rsidR="004B0883" w14:paraId="77941E79" w14:textId="77777777">
        <w:trPr>
          <w:trHeight w:val="397"/>
          <w:jc w:val="center"/>
        </w:trPr>
        <w:tc>
          <w:tcPr>
            <w:tcW w:w="2628" w:type="dxa"/>
            <w:vAlign w:val="center"/>
          </w:tcPr>
          <w:p w14:paraId="2266C9DF" w14:textId="77777777" w:rsidR="004B0883" w:rsidRDefault="004B0883">
            <w:pPr>
              <w:adjustRightInd w:val="0"/>
              <w:snapToGrid w:val="0"/>
              <w:rPr>
                <w:kern w:val="0"/>
              </w:rPr>
            </w:pPr>
            <w:r>
              <w:rPr>
                <w:kern w:val="0"/>
              </w:rPr>
              <w:t>4.</w:t>
            </w:r>
            <w:r>
              <w:rPr>
                <w:kern w:val="0"/>
              </w:rPr>
              <w:t>其他债权投资信用减值准备</w:t>
            </w:r>
          </w:p>
        </w:tc>
        <w:tc>
          <w:tcPr>
            <w:tcW w:w="1568" w:type="dxa"/>
            <w:vAlign w:val="center"/>
          </w:tcPr>
          <w:p w14:paraId="5C5B3E9C" w14:textId="77777777" w:rsidR="004B0883" w:rsidRDefault="004B0883">
            <w:pPr>
              <w:adjustRightInd w:val="0"/>
              <w:snapToGrid w:val="0"/>
              <w:jc w:val="right"/>
              <w:rPr>
                <w:kern w:val="0"/>
              </w:rPr>
            </w:pPr>
            <w:r>
              <w:rPr>
                <w:rFonts w:hint="eastAsia"/>
                <w:kern w:val="0"/>
              </w:rPr>
              <w:t>-</w:t>
            </w:r>
          </w:p>
        </w:tc>
        <w:tc>
          <w:tcPr>
            <w:tcW w:w="1444" w:type="dxa"/>
            <w:vAlign w:val="center"/>
          </w:tcPr>
          <w:p w14:paraId="337DD544" w14:textId="77777777" w:rsidR="004B0883" w:rsidRDefault="004B0883">
            <w:pPr>
              <w:adjustRightInd w:val="0"/>
              <w:snapToGrid w:val="0"/>
              <w:jc w:val="right"/>
              <w:rPr>
                <w:kern w:val="0"/>
              </w:rPr>
            </w:pPr>
            <w:r>
              <w:rPr>
                <w:rFonts w:hint="eastAsia"/>
                <w:kern w:val="0"/>
              </w:rPr>
              <w:t>-</w:t>
            </w:r>
          </w:p>
        </w:tc>
        <w:tc>
          <w:tcPr>
            <w:tcW w:w="1444" w:type="dxa"/>
            <w:vAlign w:val="center"/>
          </w:tcPr>
          <w:p w14:paraId="7D6B6F6F" w14:textId="77777777" w:rsidR="004B0883" w:rsidRDefault="004B0883">
            <w:pPr>
              <w:adjustRightInd w:val="0"/>
              <w:snapToGrid w:val="0"/>
              <w:jc w:val="right"/>
              <w:rPr>
                <w:kern w:val="0"/>
              </w:rPr>
            </w:pPr>
            <w:r>
              <w:rPr>
                <w:rFonts w:hint="eastAsia"/>
                <w:kern w:val="0"/>
              </w:rPr>
              <w:t>-</w:t>
            </w:r>
          </w:p>
        </w:tc>
        <w:tc>
          <w:tcPr>
            <w:tcW w:w="1444" w:type="dxa"/>
            <w:vAlign w:val="center"/>
          </w:tcPr>
          <w:p w14:paraId="1D9EFE72" w14:textId="77777777" w:rsidR="004B0883" w:rsidRDefault="004B0883">
            <w:pPr>
              <w:adjustRightInd w:val="0"/>
              <w:snapToGrid w:val="0"/>
              <w:jc w:val="right"/>
              <w:rPr>
                <w:kern w:val="0"/>
              </w:rPr>
            </w:pPr>
            <w:r>
              <w:rPr>
                <w:rFonts w:hint="eastAsia"/>
                <w:kern w:val="0"/>
              </w:rPr>
              <w:t>-</w:t>
            </w:r>
          </w:p>
        </w:tc>
      </w:tr>
      <w:tr w:rsidR="004B0883" w14:paraId="1FF66B40" w14:textId="77777777">
        <w:trPr>
          <w:trHeight w:val="397"/>
          <w:jc w:val="center"/>
        </w:trPr>
        <w:tc>
          <w:tcPr>
            <w:tcW w:w="2628" w:type="dxa"/>
            <w:vAlign w:val="center"/>
          </w:tcPr>
          <w:p w14:paraId="0861F79B" w14:textId="77777777" w:rsidR="004B0883" w:rsidRDefault="004B0883">
            <w:pPr>
              <w:adjustRightInd w:val="0"/>
              <w:snapToGrid w:val="0"/>
              <w:rPr>
                <w:kern w:val="0"/>
              </w:rPr>
            </w:pPr>
            <w:r>
              <w:rPr>
                <w:kern w:val="0"/>
              </w:rPr>
              <w:t>5.</w:t>
            </w:r>
            <w:r>
              <w:rPr>
                <w:kern w:val="0"/>
              </w:rPr>
              <w:t>现金流量套期储备</w:t>
            </w:r>
          </w:p>
        </w:tc>
        <w:tc>
          <w:tcPr>
            <w:tcW w:w="1568" w:type="dxa"/>
            <w:vAlign w:val="center"/>
          </w:tcPr>
          <w:p w14:paraId="31649B4C" w14:textId="77777777" w:rsidR="004B0883" w:rsidRDefault="004B0883">
            <w:pPr>
              <w:adjustRightInd w:val="0"/>
              <w:snapToGrid w:val="0"/>
              <w:jc w:val="right"/>
              <w:rPr>
                <w:kern w:val="0"/>
              </w:rPr>
            </w:pPr>
            <w:r>
              <w:rPr>
                <w:rFonts w:hint="eastAsia"/>
                <w:kern w:val="0"/>
              </w:rPr>
              <w:t>-</w:t>
            </w:r>
          </w:p>
        </w:tc>
        <w:tc>
          <w:tcPr>
            <w:tcW w:w="1444" w:type="dxa"/>
            <w:vAlign w:val="center"/>
          </w:tcPr>
          <w:p w14:paraId="7BA68FF7" w14:textId="77777777" w:rsidR="004B0883" w:rsidRDefault="004B0883">
            <w:pPr>
              <w:adjustRightInd w:val="0"/>
              <w:snapToGrid w:val="0"/>
              <w:jc w:val="right"/>
              <w:rPr>
                <w:kern w:val="0"/>
              </w:rPr>
            </w:pPr>
            <w:r>
              <w:rPr>
                <w:rFonts w:hint="eastAsia"/>
                <w:kern w:val="0"/>
              </w:rPr>
              <w:t>-</w:t>
            </w:r>
          </w:p>
        </w:tc>
        <w:tc>
          <w:tcPr>
            <w:tcW w:w="1444" w:type="dxa"/>
            <w:vAlign w:val="center"/>
          </w:tcPr>
          <w:p w14:paraId="3FEE035F" w14:textId="77777777" w:rsidR="004B0883" w:rsidRDefault="004B0883">
            <w:pPr>
              <w:adjustRightInd w:val="0"/>
              <w:snapToGrid w:val="0"/>
              <w:jc w:val="right"/>
              <w:rPr>
                <w:kern w:val="0"/>
              </w:rPr>
            </w:pPr>
            <w:r>
              <w:rPr>
                <w:rFonts w:hint="eastAsia"/>
                <w:kern w:val="0"/>
              </w:rPr>
              <w:t>-</w:t>
            </w:r>
          </w:p>
        </w:tc>
        <w:tc>
          <w:tcPr>
            <w:tcW w:w="1444" w:type="dxa"/>
            <w:vAlign w:val="center"/>
          </w:tcPr>
          <w:p w14:paraId="29042B1B" w14:textId="77777777" w:rsidR="004B0883" w:rsidRDefault="004B0883">
            <w:pPr>
              <w:adjustRightInd w:val="0"/>
              <w:snapToGrid w:val="0"/>
              <w:jc w:val="right"/>
              <w:rPr>
                <w:kern w:val="0"/>
              </w:rPr>
            </w:pPr>
            <w:r>
              <w:rPr>
                <w:rFonts w:hint="eastAsia"/>
                <w:kern w:val="0"/>
              </w:rPr>
              <w:t>-</w:t>
            </w:r>
          </w:p>
        </w:tc>
      </w:tr>
      <w:tr w:rsidR="004B0883" w14:paraId="4C706818" w14:textId="77777777">
        <w:trPr>
          <w:trHeight w:val="397"/>
          <w:jc w:val="center"/>
        </w:trPr>
        <w:tc>
          <w:tcPr>
            <w:tcW w:w="2628" w:type="dxa"/>
            <w:vAlign w:val="center"/>
          </w:tcPr>
          <w:p w14:paraId="4B7D31D1" w14:textId="77777777" w:rsidR="004B0883" w:rsidRDefault="004B0883">
            <w:pPr>
              <w:adjustRightInd w:val="0"/>
              <w:snapToGrid w:val="0"/>
              <w:rPr>
                <w:kern w:val="0"/>
              </w:rPr>
            </w:pPr>
            <w:r>
              <w:rPr>
                <w:kern w:val="0"/>
              </w:rPr>
              <w:t>6.</w:t>
            </w:r>
            <w:r>
              <w:rPr>
                <w:kern w:val="0"/>
              </w:rPr>
              <w:t>外币财务报表折算差额</w:t>
            </w:r>
          </w:p>
        </w:tc>
        <w:tc>
          <w:tcPr>
            <w:tcW w:w="1568" w:type="dxa"/>
            <w:vAlign w:val="center"/>
          </w:tcPr>
          <w:p w14:paraId="1CED0847" w14:textId="77777777" w:rsidR="004B0883" w:rsidRDefault="004B0883">
            <w:pPr>
              <w:adjustRightInd w:val="0"/>
              <w:snapToGrid w:val="0"/>
              <w:jc w:val="right"/>
              <w:rPr>
                <w:kern w:val="0"/>
              </w:rPr>
            </w:pPr>
            <w:r>
              <w:rPr>
                <w:kern w:val="0"/>
              </w:rPr>
              <w:t>0.</w:t>
            </w:r>
            <w:r>
              <w:rPr>
                <w:rFonts w:hint="eastAsia"/>
                <w:kern w:val="0"/>
              </w:rPr>
              <w:t>50</w:t>
            </w:r>
          </w:p>
        </w:tc>
        <w:tc>
          <w:tcPr>
            <w:tcW w:w="1444" w:type="dxa"/>
            <w:vAlign w:val="center"/>
          </w:tcPr>
          <w:p w14:paraId="4C634E1B" w14:textId="77777777" w:rsidR="004B0883" w:rsidRDefault="004B0883">
            <w:pPr>
              <w:adjustRightInd w:val="0"/>
              <w:snapToGrid w:val="0"/>
              <w:jc w:val="right"/>
              <w:rPr>
                <w:kern w:val="0"/>
              </w:rPr>
            </w:pPr>
            <w:r>
              <w:rPr>
                <w:rFonts w:hint="eastAsia"/>
                <w:kern w:val="0"/>
              </w:rPr>
              <w:t>-6.25</w:t>
            </w:r>
          </w:p>
        </w:tc>
        <w:tc>
          <w:tcPr>
            <w:tcW w:w="1444" w:type="dxa"/>
            <w:vAlign w:val="center"/>
          </w:tcPr>
          <w:p w14:paraId="18B83222" w14:textId="77777777" w:rsidR="004B0883" w:rsidRDefault="004B0883">
            <w:pPr>
              <w:adjustRightInd w:val="0"/>
              <w:snapToGrid w:val="0"/>
              <w:jc w:val="right"/>
              <w:rPr>
                <w:kern w:val="0"/>
              </w:rPr>
            </w:pPr>
            <w:r>
              <w:rPr>
                <w:rFonts w:hint="eastAsia"/>
                <w:kern w:val="0"/>
              </w:rPr>
              <w:t>4.00</w:t>
            </w:r>
          </w:p>
        </w:tc>
        <w:tc>
          <w:tcPr>
            <w:tcW w:w="1444" w:type="dxa"/>
            <w:vAlign w:val="center"/>
          </w:tcPr>
          <w:p w14:paraId="6D681166" w14:textId="77777777" w:rsidR="004B0883" w:rsidRDefault="004B0883">
            <w:pPr>
              <w:adjustRightInd w:val="0"/>
              <w:snapToGrid w:val="0"/>
              <w:jc w:val="right"/>
              <w:rPr>
                <w:kern w:val="0"/>
              </w:rPr>
            </w:pPr>
            <w:r>
              <w:rPr>
                <w:rFonts w:hint="eastAsia"/>
                <w:kern w:val="0"/>
              </w:rPr>
              <w:t>11.85</w:t>
            </w:r>
          </w:p>
        </w:tc>
      </w:tr>
      <w:tr w:rsidR="004B0883" w14:paraId="2BEF4735" w14:textId="77777777">
        <w:trPr>
          <w:trHeight w:val="397"/>
          <w:jc w:val="center"/>
        </w:trPr>
        <w:tc>
          <w:tcPr>
            <w:tcW w:w="2628" w:type="dxa"/>
            <w:vAlign w:val="center"/>
          </w:tcPr>
          <w:p w14:paraId="0F564C3F" w14:textId="77777777" w:rsidR="004B0883" w:rsidRDefault="004B0883">
            <w:pPr>
              <w:adjustRightInd w:val="0"/>
              <w:snapToGrid w:val="0"/>
              <w:rPr>
                <w:kern w:val="0"/>
              </w:rPr>
            </w:pPr>
            <w:r>
              <w:rPr>
                <w:kern w:val="0"/>
              </w:rPr>
              <w:t>7.</w:t>
            </w:r>
            <w:r>
              <w:rPr>
                <w:kern w:val="0"/>
              </w:rPr>
              <w:t>其他</w:t>
            </w:r>
          </w:p>
        </w:tc>
        <w:tc>
          <w:tcPr>
            <w:tcW w:w="1568" w:type="dxa"/>
            <w:vAlign w:val="center"/>
          </w:tcPr>
          <w:p w14:paraId="7CB7B319" w14:textId="77777777" w:rsidR="004B0883" w:rsidRDefault="004B0883">
            <w:pPr>
              <w:adjustRightInd w:val="0"/>
              <w:snapToGrid w:val="0"/>
              <w:jc w:val="right"/>
              <w:rPr>
                <w:kern w:val="0"/>
              </w:rPr>
            </w:pPr>
            <w:r>
              <w:rPr>
                <w:rFonts w:hint="eastAsia"/>
                <w:kern w:val="0"/>
              </w:rPr>
              <w:t>-</w:t>
            </w:r>
          </w:p>
        </w:tc>
        <w:tc>
          <w:tcPr>
            <w:tcW w:w="1444" w:type="dxa"/>
            <w:vAlign w:val="center"/>
          </w:tcPr>
          <w:p w14:paraId="2E5EB859" w14:textId="77777777" w:rsidR="004B0883" w:rsidRDefault="004B0883">
            <w:pPr>
              <w:adjustRightInd w:val="0"/>
              <w:snapToGrid w:val="0"/>
              <w:jc w:val="right"/>
              <w:rPr>
                <w:kern w:val="0"/>
              </w:rPr>
            </w:pPr>
            <w:r>
              <w:rPr>
                <w:rFonts w:hint="eastAsia"/>
                <w:kern w:val="0"/>
              </w:rPr>
              <w:t>-</w:t>
            </w:r>
          </w:p>
        </w:tc>
        <w:tc>
          <w:tcPr>
            <w:tcW w:w="1444" w:type="dxa"/>
            <w:vAlign w:val="center"/>
          </w:tcPr>
          <w:p w14:paraId="02D30853" w14:textId="77777777" w:rsidR="004B0883" w:rsidRDefault="004B0883">
            <w:pPr>
              <w:adjustRightInd w:val="0"/>
              <w:snapToGrid w:val="0"/>
              <w:jc w:val="right"/>
              <w:rPr>
                <w:kern w:val="0"/>
              </w:rPr>
            </w:pPr>
            <w:r>
              <w:rPr>
                <w:rFonts w:hint="eastAsia"/>
                <w:kern w:val="0"/>
              </w:rPr>
              <w:t>-</w:t>
            </w:r>
          </w:p>
        </w:tc>
        <w:tc>
          <w:tcPr>
            <w:tcW w:w="1444" w:type="dxa"/>
            <w:vAlign w:val="center"/>
          </w:tcPr>
          <w:p w14:paraId="74F31165" w14:textId="77777777" w:rsidR="004B0883" w:rsidRDefault="004B0883">
            <w:pPr>
              <w:adjustRightInd w:val="0"/>
              <w:snapToGrid w:val="0"/>
              <w:jc w:val="right"/>
              <w:rPr>
                <w:kern w:val="0"/>
              </w:rPr>
            </w:pPr>
            <w:r>
              <w:rPr>
                <w:rFonts w:hint="eastAsia"/>
                <w:kern w:val="0"/>
              </w:rPr>
              <w:t>-</w:t>
            </w:r>
          </w:p>
        </w:tc>
      </w:tr>
      <w:tr w:rsidR="004B0883" w14:paraId="7255CFB5" w14:textId="77777777">
        <w:trPr>
          <w:trHeight w:val="397"/>
          <w:jc w:val="center"/>
        </w:trPr>
        <w:tc>
          <w:tcPr>
            <w:tcW w:w="2628" w:type="dxa"/>
            <w:vAlign w:val="center"/>
          </w:tcPr>
          <w:p w14:paraId="158B7BDF" w14:textId="77777777" w:rsidR="004B0883" w:rsidRDefault="004B0883">
            <w:pPr>
              <w:adjustRightInd w:val="0"/>
              <w:snapToGrid w:val="0"/>
              <w:rPr>
                <w:kern w:val="0"/>
              </w:rPr>
            </w:pPr>
            <w:r>
              <w:rPr>
                <w:kern w:val="0"/>
              </w:rPr>
              <w:t>归属于少数股东的其他综合收益的税后净额</w:t>
            </w:r>
          </w:p>
        </w:tc>
        <w:tc>
          <w:tcPr>
            <w:tcW w:w="1568" w:type="dxa"/>
            <w:vAlign w:val="center"/>
          </w:tcPr>
          <w:p w14:paraId="231BD5A8" w14:textId="77777777" w:rsidR="004B0883" w:rsidRDefault="004B0883">
            <w:pPr>
              <w:adjustRightInd w:val="0"/>
              <w:snapToGrid w:val="0"/>
              <w:jc w:val="right"/>
              <w:rPr>
                <w:kern w:val="0"/>
              </w:rPr>
            </w:pPr>
            <w:r>
              <w:rPr>
                <w:rFonts w:hint="eastAsia"/>
                <w:kern w:val="0"/>
              </w:rPr>
              <w:t>-</w:t>
            </w:r>
          </w:p>
        </w:tc>
        <w:tc>
          <w:tcPr>
            <w:tcW w:w="1444" w:type="dxa"/>
            <w:vAlign w:val="center"/>
          </w:tcPr>
          <w:p w14:paraId="7DE057FB" w14:textId="77777777" w:rsidR="004B0883" w:rsidRDefault="004B0883">
            <w:pPr>
              <w:adjustRightInd w:val="0"/>
              <w:snapToGrid w:val="0"/>
              <w:jc w:val="right"/>
              <w:rPr>
                <w:kern w:val="0"/>
              </w:rPr>
            </w:pPr>
            <w:r>
              <w:rPr>
                <w:rFonts w:hint="eastAsia"/>
                <w:kern w:val="0"/>
              </w:rPr>
              <w:t>-</w:t>
            </w:r>
          </w:p>
        </w:tc>
        <w:tc>
          <w:tcPr>
            <w:tcW w:w="1444" w:type="dxa"/>
            <w:vAlign w:val="center"/>
          </w:tcPr>
          <w:p w14:paraId="229C431A" w14:textId="77777777" w:rsidR="004B0883" w:rsidRDefault="004B0883">
            <w:pPr>
              <w:adjustRightInd w:val="0"/>
              <w:snapToGrid w:val="0"/>
              <w:jc w:val="right"/>
              <w:rPr>
                <w:kern w:val="0"/>
              </w:rPr>
            </w:pPr>
            <w:r>
              <w:rPr>
                <w:rFonts w:hint="eastAsia"/>
                <w:kern w:val="0"/>
              </w:rPr>
              <w:t>-</w:t>
            </w:r>
          </w:p>
        </w:tc>
        <w:tc>
          <w:tcPr>
            <w:tcW w:w="1444" w:type="dxa"/>
            <w:vAlign w:val="center"/>
          </w:tcPr>
          <w:p w14:paraId="5FC70D4B" w14:textId="77777777" w:rsidR="004B0883" w:rsidRDefault="004B0883">
            <w:pPr>
              <w:adjustRightInd w:val="0"/>
              <w:snapToGrid w:val="0"/>
              <w:jc w:val="right"/>
              <w:rPr>
                <w:kern w:val="0"/>
              </w:rPr>
            </w:pPr>
            <w:r>
              <w:rPr>
                <w:rFonts w:hint="eastAsia"/>
                <w:kern w:val="0"/>
              </w:rPr>
              <w:t>-</w:t>
            </w:r>
          </w:p>
        </w:tc>
      </w:tr>
      <w:tr w:rsidR="004B0883" w14:paraId="51ED50FD" w14:textId="77777777">
        <w:trPr>
          <w:trHeight w:val="397"/>
          <w:jc w:val="center"/>
        </w:trPr>
        <w:tc>
          <w:tcPr>
            <w:tcW w:w="2628" w:type="dxa"/>
            <w:vAlign w:val="center"/>
          </w:tcPr>
          <w:p w14:paraId="610E4E4F" w14:textId="77777777" w:rsidR="004B0883" w:rsidRDefault="004B0883">
            <w:pPr>
              <w:adjustRightInd w:val="0"/>
              <w:snapToGrid w:val="0"/>
              <w:rPr>
                <w:b/>
                <w:bCs/>
                <w:kern w:val="0"/>
              </w:rPr>
            </w:pPr>
            <w:r>
              <w:rPr>
                <w:b/>
                <w:bCs/>
                <w:kern w:val="0"/>
              </w:rPr>
              <w:t>七、综合收益总额</w:t>
            </w:r>
          </w:p>
        </w:tc>
        <w:tc>
          <w:tcPr>
            <w:tcW w:w="1568" w:type="dxa"/>
            <w:vAlign w:val="center"/>
          </w:tcPr>
          <w:p w14:paraId="7CDF1AC4" w14:textId="77777777" w:rsidR="004B0883" w:rsidRDefault="004B0883">
            <w:pPr>
              <w:adjustRightInd w:val="0"/>
              <w:snapToGrid w:val="0"/>
              <w:jc w:val="right"/>
              <w:rPr>
                <w:b/>
                <w:bCs/>
                <w:kern w:val="0"/>
              </w:rPr>
            </w:pPr>
            <w:r>
              <w:rPr>
                <w:b/>
                <w:bCs/>
              </w:rPr>
              <w:t>10,062.59</w:t>
            </w:r>
          </w:p>
        </w:tc>
        <w:tc>
          <w:tcPr>
            <w:tcW w:w="1444" w:type="dxa"/>
            <w:vAlign w:val="center"/>
          </w:tcPr>
          <w:p w14:paraId="1612CAE4" w14:textId="77777777" w:rsidR="004B0883" w:rsidRDefault="004B0883">
            <w:pPr>
              <w:adjustRightInd w:val="0"/>
              <w:snapToGrid w:val="0"/>
              <w:jc w:val="right"/>
              <w:rPr>
                <w:b/>
                <w:bCs/>
                <w:kern w:val="0"/>
              </w:rPr>
            </w:pPr>
            <w:r>
              <w:rPr>
                <w:rFonts w:hint="eastAsia"/>
                <w:b/>
                <w:bCs/>
                <w:kern w:val="0"/>
              </w:rPr>
              <w:t>13,356.45</w:t>
            </w:r>
          </w:p>
        </w:tc>
        <w:tc>
          <w:tcPr>
            <w:tcW w:w="1444" w:type="dxa"/>
            <w:vAlign w:val="center"/>
          </w:tcPr>
          <w:p w14:paraId="69FE3FB4" w14:textId="77777777" w:rsidR="004B0883" w:rsidRDefault="004B0883">
            <w:pPr>
              <w:adjustRightInd w:val="0"/>
              <w:snapToGrid w:val="0"/>
              <w:jc w:val="right"/>
              <w:rPr>
                <w:b/>
                <w:bCs/>
                <w:kern w:val="0"/>
              </w:rPr>
            </w:pPr>
            <w:r>
              <w:rPr>
                <w:rFonts w:hint="eastAsia"/>
                <w:b/>
                <w:bCs/>
                <w:kern w:val="0"/>
              </w:rPr>
              <w:t>6,103.35</w:t>
            </w:r>
          </w:p>
        </w:tc>
        <w:tc>
          <w:tcPr>
            <w:tcW w:w="1444" w:type="dxa"/>
            <w:vAlign w:val="center"/>
          </w:tcPr>
          <w:p w14:paraId="59DEC30B" w14:textId="77777777" w:rsidR="004B0883" w:rsidRDefault="004B0883">
            <w:pPr>
              <w:adjustRightInd w:val="0"/>
              <w:snapToGrid w:val="0"/>
              <w:jc w:val="right"/>
              <w:rPr>
                <w:b/>
                <w:bCs/>
                <w:kern w:val="0"/>
              </w:rPr>
            </w:pPr>
            <w:r>
              <w:rPr>
                <w:rFonts w:hint="eastAsia"/>
                <w:b/>
                <w:bCs/>
                <w:kern w:val="0"/>
              </w:rPr>
              <w:t>5,808.66</w:t>
            </w:r>
          </w:p>
        </w:tc>
      </w:tr>
      <w:tr w:rsidR="004B0883" w14:paraId="276CB6F8" w14:textId="77777777">
        <w:trPr>
          <w:trHeight w:val="397"/>
          <w:jc w:val="center"/>
        </w:trPr>
        <w:tc>
          <w:tcPr>
            <w:tcW w:w="2628" w:type="dxa"/>
            <w:vAlign w:val="center"/>
          </w:tcPr>
          <w:p w14:paraId="1848EB81" w14:textId="77777777" w:rsidR="004B0883" w:rsidRDefault="004B0883">
            <w:pPr>
              <w:adjustRightInd w:val="0"/>
              <w:snapToGrid w:val="0"/>
              <w:rPr>
                <w:kern w:val="0"/>
              </w:rPr>
            </w:pPr>
            <w:r>
              <w:rPr>
                <w:kern w:val="0"/>
              </w:rPr>
              <w:t>归属于母公司所有者的综合收益总额</w:t>
            </w:r>
          </w:p>
        </w:tc>
        <w:tc>
          <w:tcPr>
            <w:tcW w:w="1568" w:type="dxa"/>
            <w:vAlign w:val="center"/>
          </w:tcPr>
          <w:p w14:paraId="407F756D" w14:textId="77777777" w:rsidR="004B0883" w:rsidRDefault="004B0883">
            <w:pPr>
              <w:adjustRightInd w:val="0"/>
              <w:snapToGrid w:val="0"/>
              <w:jc w:val="right"/>
              <w:rPr>
                <w:kern w:val="0"/>
              </w:rPr>
            </w:pPr>
            <w:r>
              <w:t>9,476.80</w:t>
            </w:r>
          </w:p>
        </w:tc>
        <w:tc>
          <w:tcPr>
            <w:tcW w:w="1444" w:type="dxa"/>
            <w:vAlign w:val="center"/>
          </w:tcPr>
          <w:p w14:paraId="74C8ADF6" w14:textId="77777777" w:rsidR="004B0883" w:rsidRDefault="004B0883">
            <w:pPr>
              <w:adjustRightInd w:val="0"/>
              <w:snapToGrid w:val="0"/>
              <w:jc w:val="right"/>
              <w:rPr>
                <w:kern w:val="0"/>
              </w:rPr>
            </w:pPr>
            <w:r>
              <w:rPr>
                <w:rFonts w:hint="eastAsia"/>
                <w:kern w:val="0"/>
              </w:rPr>
              <w:t>13,614.26</w:t>
            </w:r>
          </w:p>
        </w:tc>
        <w:tc>
          <w:tcPr>
            <w:tcW w:w="1444" w:type="dxa"/>
            <w:vAlign w:val="center"/>
          </w:tcPr>
          <w:p w14:paraId="51C6AEA0" w14:textId="77777777" w:rsidR="004B0883" w:rsidRDefault="004B0883">
            <w:pPr>
              <w:adjustRightInd w:val="0"/>
              <w:snapToGrid w:val="0"/>
              <w:jc w:val="right"/>
              <w:rPr>
                <w:kern w:val="0"/>
              </w:rPr>
            </w:pPr>
            <w:r>
              <w:rPr>
                <w:rFonts w:hint="eastAsia"/>
                <w:kern w:val="0"/>
              </w:rPr>
              <w:t>6,103.35</w:t>
            </w:r>
          </w:p>
        </w:tc>
        <w:tc>
          <w:tcPr>
            <w:tcW w:w="1444" w:type="dxa"/>
            <w:vAlign w:val="center"/>
          </w:tcPr>
          <w:p w14:paraId="4E261E7E" w14:textId="77777777" w:rsidR="004B0883" w:rsidRDefault="004B0883">
            <w:pPr>
              <w:adjustRightInd w:val="0"/>
              <w:snapToGrid w:val="0"/>
              <w:jc w:val="right"/>
              <w:rPr>
                <w:kern w:val="0"/>
              </w:rPr>
            </w:pPr>
            <w:r>
              <w:rPr>
                <w:rFonts w:hint="eastAsia"/>
                <w:kern w:val="0"/>
              </w:rPr>
              <w:t>5,808.66</w:t>
            </w:r>
          </w:p>
        </w:tc>
      </w:tr>
      <w:tr w:rsidR="004B0883" w14:paraId="61694C99" w14:textId="77777777">
        <w:trPr>
          <w:trHeight w:val="397"/>
          <w:jc w:val="center"/>
        </w:trPr>
        <w:tc>
          <w:tcPr>
            <w:tcW w:w="2628" w:type="dxa"/>
            <w:vAlign w:val="center"/>
          </w:tcPr>
          <w:p w14:paraId="10B410DA" w14:textId="77777777" w:rsidR="004B0883" w:rsidRDefault="004B0883">
            <w:pPr>
              <w:adjustRightInd w:val="0"/>
              <w:snapToGrid w:val="0"/>
              <w:rPr>
                <w:kern w:val="0"/>
              </w:rPr>
            </w:pPr>
            <w:r>
              <w:rPr>
                <w:kern w:val="0"/>
              </w:rPr>
              <w:t>归属于少数股东的综合收益总额</w:t>
            </w:r>
          </w:p>
        </w:tc>
        <w:tc>
          <w:tcPr>
            <w:tcW w:w="1568" w:type="dxa"/>
            <w:vAlign w:val="center"/>
          </w:tcPr>
          <w:p w14:paraId="66F73CFB" w14:textId="77777777" w:rsidR="004B0883" w:rsidRDefault="004B0883">
            <w:pPr>
              <w:adjustRightInd w:val="0"/>
              <w:snapToGrid w:val="0"/>
              <w:jc w:val="right"/>
              <w:rPr>
                <w:kern w:val="0"/>
              </w:rPr>
            </w:pPr>
            <w:r>
              <w:t>585.79</w:t>
            </w:r>
          </w:p>
        </w:tc>
        <w:tc>
          <w:tcPr>
            <w:tcW w:w="1444" w:type="dxa"/>
            <w:vAlign w:val="center"/>
          </w:tcPr>
          <w:p w14:paraId="35EB5575" w14:textId="77777777" w:rsidR="004B0883" w:rsidRDefault="004B0883">
            <w:pPr>
              <w:adjustRightInd w:val="0"/>
              <w:snapToGrid w:val="0"/>
              <w:jc w:val="right"/>
              <w:rPr>
                <w:kern w:val="0"/>
              </w:rPr>
            </w:pPr>
            <w:r>
              <w:rPr>
                <w:kern w:val="0"/>
              </w:rPr>
              <w:t>-257.80</w:t>
            </w:r>
          </w:p>
        </w:tc>
        <w:tc>
          <w:tcPr>
            <w:tcW w:w="1444" w:type="dxa"/>
            <w:vAlign w:val="center"/>
          </w:tcPr>
          <w:p w14:paraId="203A2F0A" w14:textId="77777777" w:rsidR="004B0883" w:rsidRDefault="004B0883">
            <w:pPr>
              <w:adjustRightInd w:val="0"/>
              <w:snapToGrid w:val="0"/>
              <w:jc w:val="right"/>
              <w:rPr>
                <w:kern w:val="0"/>
              </w:rPr>
            </w:pPr>
            <w:r>
              <w:rPr>
                <w:rFonts w:hint="eastAsia"/>
                <w:kern w:val="0"/>
              </w:rPr>
              <w:t>-</w:t>
            </w:r>
          </w:p>
        </w:tc>
        <w:tc>
          <w:tcPr>
            <w:tcW w:w="1444" w:type="dxa"/>
            <w:vAlign w:val="center"/>
          </w:tcPr>
          <w:p w14:paraId="732B5BAF" w14:textId="77777777" w:rsidR="004B0883" w:rsidRDefault="004B0883">
            <w:pPr>
              <w:adjustRightInd w:val="0"/>
              <w:snapToGrid w:val="0"/>
              <w:jc w:val="right"/>
              <w:rPr>
                <w:kern w:val="0"/>
              </w:rPr>
            </w:pPr>
            <w:r>
              <w:rPr>
                <w:rFonts w:hint="eastAsia"/>
                <w:kern w:val="0"/>
              </w:rPr>
              <w:t>-</w:t>
            </w:r>
          </w:p>
        </w:tc>
      </w:tr>
      <w:tr w:rsidR="004B0883" w14:paraId="338EA15F" w14:textId="77777777">
        <w:trPr>
          <w:trHeight w:val="397"/>
          <w:jc w:val="center"/>
        </w:trPr>
        <w:tc>
          <w:tcPr>
            <w:tcW w:w="2628" w:type="dxa"/>
            <w:vAlign w:val="center"/>
          </w:tcPr>
          <w:p w14:paraId="1FAC6585" w14:textId="77777777" w:rsidR="004B0883" w:rsidRDefault="004B0883">
            <w:pPr>
              <w:adjustRightInd w:val="0"/>
              <w:snapToGrid w:val="0"/>
              <w:rPr>
                <w:b/>
                <w:bCs/>
                <w:kern w:val="0"/>
              </w:rPr>
            </w:pPr>
            <w:r>
              <w:rPr>
                <w:b/>
                <w:bCs/>
                <w:kern w:val="0"/>
              </w:rPr>
              <w:t>八、每股收益：</w:t>
            </w:r>
          </w:p>
        </w:tc>
        <w:tc>
          <w:tcPr>
            <w:tcW w:w="1568" w:type="dxa"/>
            <w:vAlign w:val="center"/>
          </w:tcPr>
          <w:p w14:paraId="33BF7449" w14:textId="77777777" w:rsidR="004B0883" w:rsidRDefault="004B0883">
            <w:pPr>
              <w:adjustRightInd w:val="0"/>
              <w:snapToGrid w:val="0"/>
              <w:jc w:val="right"/>
              <w:rPr>
                <w:b/>
                <w:bCs/>
                <w:kern w:val="0"/>
              </w:rPr>
            </w:pPr>
          </w:p>
        </w:tc>
        <w:tc>
          <w:tcPr>
            <w:tcW w:w="1444" w:type="dxa"/>
            <w:vAlign w:val="center"/>
          </w:tcPr>
          <w:p w14:paraId="52DCED9C" w14:textId="77777777" w:rsidR="004B0883" w:rsidRDefault="004B0883">
            <w:pPr>
              <w:adjustRightInd w:val="0"/>
              <w:snapToGrid w:val="0"/>
              <w:jc w:val="right"/>
              <w:rPr>
                <w:kern w:val="0"/>
              </w:rPr>
            </w:pPr>
          </w:p>
        </w:tc>
        <w:tc>
          <w:tcPr>
            <w:tcW w:w="1444" w:type="dxa"/>
            <w:vAlign w:val="center"/>
          </w:tcPr>
          <w:p w14:paraId="00945264" w14:textId="77777777" w:rsidR="004B0883" w:rsidRDefault="004B0883">
            <w:pPr>
              <w:adjustRightInd w:val="0"/>
              <w:snapToGrid w:val="0"/>
              <w:jc w:val="right"/>
              <w:rPr>
                <w:kern w:val="0"/>
              </w:rPr>
            </w:pPr>
          </w:p>
        </w:tc>
        <w:tc>
          <w:tcPr>
            <w:tcW w:w="1444" w:type="dxa"/>
            <w:vAlign w:val="center"/>
          </w:tcPr>
          <w:p w14:paraId="55297C33" w14:textId="77777777" w:rsidR="004B0883" w:rsidRDefault="004B0883">
            <w:pPr>
              <w:adjustRightInd w:val="0"/>
              <w:snapToGrid w:val="0"/>
              <w:jc w:val="right"/>
              <w:rPr>
                <w:kern w:val="0"/>
              </w:rPr>
            </w:pPr>
          </w:p>
        </w:tc>
      </w:tr>
      <w:tr w:rsidR="004B0883" w14:paraId="6D7253F6" w14:textId="77777777">
        <w:trPr>
          <w:trHeight w:val="397"/>
          <w:jc w:val="center"/>
        </w:trPr>
        <w:tc>
          <w:tcPr>
            <w:tcW w:w="2628" w:type="dxa"/>
            <w:vAlign w:val="center"/>
          </w:tcPr>
          <w:p w14:paraId="01D18D96" w14:textId="77777777" w:rsidR="004B0883" w:rsidRDefault="004B0883">
            <w:pPr>
              <w:adjustRightInd w:val="0"/>
              <w:snapToGrid w:val="0"/>
              <w:rPr>
                <w:kern w:val="0"/>
              </w:rPr>
            </w:pPr>
            <w:r>
              <w:rPr>
                <w:kern w:val="0"/>
              </w:rPr>
              <w:t>（一）基本每股收益（元</w:t>
            </w:r>
            <w:r>
              <w:rPr>
                <w:kern w:val="0"/>
              </w:rPr>
              <w:t>/</w:t>
            </w:r>
            <w:r>
              <w:rPr>
                <w:kern w:val="0"/>
              </w:rPr>
              <w:t>股）</w:t>
            </w:r>
          </w:p>
        </w:tc>
        <w:tc>
          <w:tcPr>
            <w:tcW w:w="1568" w:type="dxa"/>
            <w:vAlign w:val="center"/>
          </w:tcPr>
          <w:p w14:paraId="5F315F53" w14:textId="77777777" w:rsidR="004B0883" w:rsidRDefault="004B0883">
            <w:pPr>
              <w:adjustRightInd w:val="0"/>
              <w:snapToGrid w:val="0"/>
              <w:jc w:val="right"/>
              <w:rPr>
                <w:kern w:val="0"/>
              </w:rPr>
            </w:pPr>
            <w:r>
              <w:rPr>
                <w:kern w:val="0"/>
              </w:rPr>
              <w:t>0.</w:t>
            </w:r>
            <w:r>
              <w:rPr>
                <w:rFonts w:hint="eastAsia"/>
                <w:kern w:val="0"/>
              </w:rPr>
              <w:t>43</w:t>
            </w:r>
          </w:p>
        </w:tc>
        <w:tc>
          <w:tcPr>
            <w:tcW w:w="1444" w:type="dxa"/>
            <w:vAlign w:val="center"/>
          </w:tcPr>
          <w:p w14:paraId="0422D6F7" w14:textId="77777777" w:rsidR="004B0883" w:rsidRDefault="004B0883">
            <w:pPr>
              <w:adjustRightInd w:val="0"/>
              <w:snapToGrid w:val="0"/>
              <w:jc w:val="right"/>
              <w:rPr>
                <w:kern w:val="0"/>
              </w:rPr>
            </w:pPr>
            <w:r>
              <w:rPr>
                <w:kern w:val="0"/>
              </w:rPr>
              <w:t>0.62</w:t>
            </w:r>
          </w:p>
        </w:tc>
        <w:tc>
          <w:tcPr>
            <w:tcW w:w="1444" w:type="dxa"/>
            <w:vAlign w:val="center"/>
          </w:tcPr>
          <w:p w14:paraId="479D63BF" w14:textId="77777777" w:rsidR="004B0883" w:rsidRDefault="004B0883">
            <w:pPr>
              <w:adjustRightInd w:val="0"/>
              <w:snapToGrid w:val="0"/>
              <w:jc w:val="right"/>
              <w:rPr>
                <w:kern w:val="0"/>
              </w:rPr>
            </w:pPr>
            <w:r>
              <w:rPr>
                <w:kern w:val="0"/>
              </w:rPr>
              <w:t>0.28</w:t>
            </w:r>
          </w:p>
        </w:tc>
        <w:tc>
          <w:tcPr>
            <w:tcW w:w="1444" w:type="dxa"/>
            <w:vAlign w:val="center"/>
          </w:tcPr>
          <w:p w14:paraId="7C08820E" w14:textId="77777777" w:rsidR="004B0883" w:rsidRDefault="004B0883">
            <w:pPr>
              <w:adjustRightInd w:val="0"/>
              <w:snapToGrid w:val="0"/>
              <w:jc w:val="right"/>
              <w:rPr>
                <w:kern w:val="0"/>
              </w:rPr>
            </w:pPr>
            <w:r>
              <w:rPr>
                <w:kern w:val="0"/>
              </w:rPr>
              <w:t>0.26</w:t>
            </w:r>
          </w:p>
        </w:tc>
      </w:tr>
      <w:tr w:rsidR="004B0883" w14:paraId="5776E33B" w14:textId="77777777">
        <w:trPr>
          <w:trHeight w:val="397"/>
          <w:jc w:val="center"/>
        </w:trPr>
        <w:tc>
          <w:tcPr>
            <w:tcW w:w="2628" w:type="dxa"/>
            <w:vAlign w:val="center"/>
          </w:tcPr>
          <w:p w14:paraId="560BEE64" w14:textId="77777777" w:rsidR="004B0883" w:rsidRDefault="004B0883">
            <w:pPr>
              <w:adjustRightInd w:val="0"/>
              <w:snapToGrid w:val="0"/>
              <w:rPr>
                <w:kern w:val="0"/>
              </w:rPr>
            </w:pPr>
            <w:r>
              <w:rPr>
                <w:kern w:val="0"/>
              </w:rPr>
              <w:t>（二）稀释每股收益（元</w:t>
            </w:r>
            <w:r>
              <w:rPr>
                <w:kern w:val="0"/>
              </w:rPr>
              <w:t>/</w:t>
            </w:r>
            <w:r>
              <w:rPr>
                <w:kern w:val="0"/>
              </w:rPr>
              <w:t>股）</w:t>
            </w:r>
          </w:p>
        </w:tc>
        <w:tc>
          <w:tcPr>
            <w:tcW w:w="1568" w:type="dxa"/>
            <w:vAlign w:val="center"/>
          </w:tcPr>
          <w:p w14:paraId="22C54D12" w14:textId="77777777" w:rsidR="004B0883" w:rsidRDefault="004B0883">
            <w:pPr>
              <w:adjustRightInd w:val="0"/>
              <w:snapToGrid w:val="0"/>
              <w:jc w:val="right"/>
              <w:rPr>
                <w:kern w:val="0"/>
              </w:rPr>
            </w:pPr>
            <w:r>
              <w:rPr>
                <w:kern w:val="0"/>
              </w:rPr>
              <w:t>0.</w:t>
            </w:r>
            <w:r>
              <w:rPr>
                <w:rFonts w:hint="eastAsia"/>
                <w:kern w:val="0"/>
              </w:rPr>
              <w:t>43</w:t>
            </w:r>
          </w:p>
        </w:tc>
        <w:tc>
          <w:tcPr>
            <w:tcW w:w="1444" w:type="dxa"/>
            <w:vAlign w:val="center"/>
          </w:tcPr>
          <w:p w14:paraId="062A5DBF" w14:textId="77777777" w:rsidR="004B0883" w:rsidRDefault="004B0883">
            <w:pPr>
              <w:adjustRightInd w:val="0"/>
              <w:snapToGrid w:val="0"/>
              <w:jc w:val="right"/>
              <w:rPr>
                <w:kern w:val="0"/>
              </w:rPr>
            </w:pPr>
            <w:r>
              <w:rPr>
                <w:kern w:val="0"/>
              </w:rPr>
              <w:t>0.62</w:t>
            </w:r>
          </w:p>
        </w:tc>
        <w:tc>
          <w:tcPr>
            <w:tcW w:w="1444" w:type="dxa"/>
            <w:vAlign w:val="center"/>
          </w:tcPr>
          <w:p w14:paraId="225B1053" w14:textId="77777777" w:rsidR="004B0883" w:rsidRDefault="004B0883">
            <w:pPr>
              <w:adjustRightInd w:val="0"/>
              <w:snapToGrid w:val="0"/>
              <w:jc w:val="right"/>
              <w:rPr>
                <w:kern w:val="0"/>
              </w:rPr>
            </w:pPr>
            <w:r>
              <w:rPr>
                <w:kern w:val="0"/>
              </w:rPr>
              <w:t>0.28</w:t>
            </w:r>
          </w:p>
        </w:tc>
        <w:tc>
          <w:tcPr>
            <w:tcW w:w="1444" w:type="dxa"/>
            <w:vAlign w:val="center"/>
          </w:tcPr>
          <w:p w14:paraId="1A8E12E0" w14:textId="77777777" w:rsidR="004B0883" w:rsidRDefault="004B0883">
            <w:pPr>
              <w:adjustRightInd w:val="0"/>
              <w:snapToGrid w:val="0"/>
              <w:jc w:val="right"/>
              <w:rPr>
                <w:kern w:val="0"/>
              </w:rPr>
            </w:pPr>
            <w:r>
              <w:rPr>
                <w:kern w:val="0"/>
              </w:rPr>
              <w:t>0.26</w:t>
            </w:r>
          </w:p>
        </w:tc>
      </w:tr>
    </w:tbl>
    <w:p w14:paraId="06F82FB2" w14:textId="77777777" w:rsidR="004B0883" w:rsidRDefault="004B0883">
      <w:pPr>
        <w:pStyle w:val="004"/>
        <w:spacing w:before="120" w:after="120"/>
        <w:ind w:firstLine="482"/>
      </w:pPr>
      <w:r>
        <w:t>2</w:t>
      </w:r>
      <w:r>
        <w:t>、母公司利润表</w:t>
      </w:r>
    </w:p>
    <w:p w14:paraId="7A4A6A4C" w14:textId="77777777" w:rsidR="004B0883" w:rsidRDefault="004B0883">
      <w:pPr>
        <w:pStyle w:val="009"/>
      </w:pPr>
      <w: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052"/>
        <w:gridCol w:w="1557"/>
        <w:gridCol w:w="1557"/>
        <w:gridCol w:w="1557"/>
        <w:gridCol w:w="1557"/>
      </w:tblGrid>
      <w:tr w:rsidR="004B0883" w14:paraId="60CBD467" w14:textId="77777777">
        <w:trPr>
          <w:trHeight w:val="397"/>
          <w:tblHeader/>
          <w:jc w:val="center"/>
        </w:trPr>
        <w:tc>
          <w:tcPr>
            <w:tcW w:w="2146" w:type="dxa"/>
            <w:shd w:val="clear" w:color="auto" w:fill="D9D9D9"/>
            <w:vAlign w:val="center"/>
          </w:tcPr>
          <w:p w14:paraId="13DCCD03" w14:textId="77777777" w:rsidR="004B0883" w:rsidRDefault="004B0883">
            <w:pPr>
              <w:adjustRightInd w:val="0"/>
              <w:snapToGrid w:val="0"/>
              <w:jc w:val="center"/>
              <w:rPr>
                <w:b/>
                <w:bCs/>
                <w:color w:val="000000"/>
                <w:kern w:val="0"/>
              </w:rPr>
            </w:pPr>
            <w:r>
              <w:rPr>
                <w:b/>
                <w:bCs/>
                <w:color w:val="000000"/>
                <w:kern w:val="0"/>
              </w:rPr>
              <w:t>项目</w:t>
            </w:r>
          </w:p>
        </w:tc>
        <w:tc>
          <w:tcPr>
            <w:tcW w:w="1595" w:type="dxa"/>
            <w:shd w:val="clear" w:color="auto" w:fill="D9D9D9"/>
            <w:vAlign w:val="center"/>
          </w:tcPr>
          <w:p w14:paraId="18B1B90B" w14:textId="77777777" w:rsidR="004B0883" w:rsidRDefault="004B0883">
            <w:pPr>
              <w:adjustRightInd w:val="0"/>
              <w:snapToGrid w:val="0"/>
              <w:jc w:val="center"/>
              <w:rPr>
                <w:b/>
                <w:bCs/>
                <w:color w:val="000000"/>
                <w:kern w:val="0"/>
              </w:rPr>
            </w:pPr>
            <w:r>
              <w:rPr>
                <w:b/>
                <w:bCs/>
                <w:kern w:val="0"/>
              </w:rPr>
              <w:t>2023</w:t>
            </w:r>
            <w:r>
              <w:rPr>
                <w:b/>
                <w:bCs/>
                <w:kern w:val="0"/>
              </w:rPr>
              <w:t>年</w:t>
            </w:r>
            <w:r>
              <w:rPr>
                <w:b/>
                <w:bCs/>
                <w:kern w:val="0"/>
              </w:rPr>
              <w:t>1-</w:t>
            </w:r>
            <w:r>
              <w:rPr>
                <w:rFonts w:hint="eastAsia"/>
                <w:b/>
                <w:bCs/>
                <w:kern w:val="0"/>
              </w:rPr>
              <w:t>9</w:t>
            </w:r>
            <w:r>
              <w:rPr>
                <w:b/>
                <w:bCs/>
                <w:kern w:val="0"/>
              </w:rPr>
              <w:t>月</w:t>
            </w:r>
          </w:p>
        </w:tc>
        <w:tc>
          <w:tcPr>
            <w:tcW w:w="1595" w:type="dxa"/>
            <w:shd w:val="clear" w:color="auto" w:fill="D9D9D9"/>
            <w:vAlign w:val="center"/>
          </w:tcPr>
          <w:p w14:paraId="7514A360" w14:textId="77777777" w:rsidR="004B0883" w:rsidRDefault="004B0883">
            <w:pPr>
              <w:adjustRightInd w:val="0"/>
              <w:snapToGrid w:val="0"/>
              <w:jc w:val="center"/>
              <w:rPr>
                <w:b/>
                <w:bCs/>
                <w:color w:val="000000"/>
                <w:kern w:val="0"/>
              </w:rPr>
            </w:pPr>
            <w:r>
              <w:rPr>
                <w:b/>
                <w:bCs/>
                <w:kern w:val="0"/>
              </w:rPr>
              <w:t>2022</w:t>
            </w:r>
            <w:r>
              <w:rPr>
                <w:b/>
                <w:bCs/>
                <w:kern w:val="0"/>
              </w:rPr>
              <w:t>年度</w:t>
            </w:r>
          </w:p>
        </w:tc>
        <w:tc>
          <w:tcPr>
            <w:tcW w:w="1595" w:type="dxa"/>
            <w:shd w:val="clear" w:color="auto" w:fill="D9D9D9"/>
            <w:vAlign w:val="center"/>
          </w:tcPr>
          <w:p w14:paraId="33CC858C" w14:textId="77777777" w:rsidR="004B0883" w:rsidRDefault="004B0883">
            <w:pPr>
              <w:adjustRightInd w:val="0"/>
              <w:snapToGrid w:val="0"/>
              <w:jc w:val="center"/>
              <w:rPr>
                <w:b/>
                <w:bCs/>
                <w:color w:val="000000"/>
                <w:kern w:val="0"/>
              </w:rPr>
            </w:pPr>
            <w:r>
              <w:rPr>
                <w:b/>
                <w:bCs/>
                <w:kern w:val="0"/>
              </w:rPr>
              <w:t>2021</w:t>
            </w:r>
            <w:r>
              <w:rPr>
                <w:b/>
                <w:bCs/>
                <w:kern w:val="0"/>
              </w:rPr>
              <w:t>年度</w:t>
            </w:r>
          </w:p>
        </w:tc>
        <w:tc>
          <w:tcPr>
            <w:tcW w:w="1595" w:type="dxa"/>
            <w:shd w:val="clear" w:color="auto" w:fill="D9D9D9"/>
            <w:vAlign w:val="center"/>
          </w:tcPr>
          <w:p w14:paraId="482C2673" w14:textId="77777777" w:rsidR="004B0883" w:rsidRDefault="004B0883">
            <w:pPr>
              <w:adjustRightInd w:val="0"/>
              <w:snapToGrid w:val="0"/>
              <w:jc w:val="center"/>
              <w:rPr>
                <w:b/>
                <w:bCs/>
                <w:color w:val="000000"/>
                <w:kern w:val="0"/>
              </w:rPr>
            </w:pPr>
            <w:r>
              <w:rPr>
                <w:b/>
                <w:bCs/>
                <w:kern w:val="0"/>
              </w:rPr>
              <w:t>2020</w:t>
            </w:r>
            <w:r>
              <w:rPr>
                <w:b/>
                <w:bCs/>
                <w:kern w:val="0"/>
              </w:rPr>
              <w:t>年度</w:t>
            </w:r>
          </w:p>
        </w:tc>
      </w:tr>
      <w:tr w:rsidR="004B0883" w14:paraId="584E4352" w14:textId="77777777">
        <w:trPr>
          <w:trHeight w:val="397"/>
          <w:jc w:val="center"/>
        </w:trPr>
        <w:tc>
          <w:tcPr>
            <w:tcW w:w="2146" w:type="dxa"/>
            <w:vAlign w:val="center"/>
          </w:tcPr>
          <w:p w14:paraId="06A07054" w14:textId="77777777" w:rsidR="004B0883" w:rsidRDefault="004B0883">
            <w:pPr>
              <w:adjustRightInd w:val="0"/>
              <w:snapToGrid w:val="0"/>
              <w:rPr>
                <w:b/>
                <w:bCs/>
                <w:color w:val="000000"/>
                <w:kern w:val="0"/>
              </w:rPr>
            </w:pPr>
            <w:r>
              <w:rPr>
                <w:b/>
                <w:bCs/>
                <w:kern w:val="0"/>
              </w:rPr>
              <w:t>一、</w:t>
            </w:r>
            <w:r>
              <w:rPr>
                <w:b/>
                <w:bCs/>
                <w:kern w:val="0"/>
              </w:rPr>
              <w:t xml:space="preserve"> </w:t>
            </w:r>
            <w:r>
              <w:rPr>
                <w:b/>
                <w:bCs/>
                <w:kern w:val="0"/>
              </w:rPr>
              <w:t>营业收入</w:t>
            </w:r>
          </w:p>
        </w:tc>
        <w:tc>
          <w:tcPr>
            <w:tcW w:w="1595" w:type="dxa"/>
            <w:vAlign w:val="center"/>
          </w:tcPr>
          <w:p w14:paraId="5401F21F" w14:textId="77777777" w:rsidR="004B0883" w:rsidRDefault="004B0883">
            <w:pPr>
              <w:adjustRightInd w:val="0"/>
              <w:snapToGrid w:val="0"/>
              <w:jc w:val="right"/>
              <w:rPr>
                <w:b/>
                <w:bCs/>
                <w:kern w:val="0"/>
              </w:rPr>
            </w:pPr>
            <w:r>
              <w:rPr>
                <w:b/>
                <w:bCs/>
              </w:rPr>
              <w:t>37,506.12</w:t>
            </w:r>
          </w:p>
        </w:tc>
        <w:tc>
          <w:tcPr>
            <w:tcW w:w="1595" w:type="dxa"/>
            <w:vAlign w:val="center"/>
          </w:tcPr>
          <w:p w14:paraId="69B28486" w14:textId="77777777" w:rsidR="004B0883" w:rsidRDefault="004B0883">
            <w:pPr>
              <w:adjustRightInd w:val="0"/>
              <w:snapToGrid w:val="0"/>
              <w:jc w:val="right"/>
              <w:rPr>
                <w:b/>
                <w:bCs/>
                <w:color w:val="000000"/>
                <w:kern w:val="0"/>
              </w:rPr>
            </w:pPr>
            <w:r>
              <w:rPr>
                <w:rFonts w:hint="eastAsia"/>
                <w:b/>
                <w:bCs/>
                <w:color w:val="000000"/>
                <w:kern w:val="0"/>
              </w:rPr>
              <w:t>52,268.09</w:t>
            </w:r>
          </w:p>
        </w:tc>
        <w:tc>
          <w:tcPr>
            <w:tcW w:w="1595" w:type="dxa"/>
            <w:vAlign w:val="center"/>
          </w:tcPr>
          <w:p w14:paraId="0092ECCA" w14:textId="77777777" w:rsidR="004B0883" w:rsidRDefault="004B0883">
            <w:pPr>
              <w:adjustRightInd w:val="0"/>
              <w:snapToGrid w:val="0"/>
              <w:jc w:val="right"/>
              <w:rPr>
                <w:b/>
                <w:bCs/>
                <w:color w:val="000000"/>
                <w:kern w:val="0"/>
              </w:rPr>
            </w:pPr>
            <w:r>
              <w:rPr>
                <w:rFonts w:hint="eastAsia"/>
                <w:b/>
                <w:bCs/>
                <w:color w:val="000000"/>
                <w:kern w:val="0"/>
              </w:rPr>
              <w:t>37,413.65</w:t>
            </w:r>
          </w:p>
        </w:tc>
        <w:tc>
          <w:tcPr>
            <w:tcW w:w="1595" w:type="dxa"/>
            <w:vAlign w:val="center"/>
          </w:tcPr>
          <w:p w14:paraId="1F92A846" w14:textId="77777777" w:rsidR="004B0883" w:rsidRDefault="004B0883">
            <w:pPr>
              <w:adjustRightInd w:val="0"/>
              <w:snapToGrid w:val="0"/>
              <w:jc w:val="right"/>
              <w:rPr>
                <w:b/>
                <w:bCs/>
                <w:color w:val="000000"/>
                <w:kern w:val="0"/>
              </w:rPr>
            </w:pPr>
            <w:r>
              <w:rPr>
                <w:rFonts w:hint="eastAsia"/>
                <w:b/>
                <w:bCs/>
                <w:color w:val="000000"/>
                <w:kern w:val="0"/>
              </w:rPr>
              <w:t>31,933.35</w:t>
            </w:r>
          </w:p>
        </w:tc>
      </w:tr>
      <w:tr w:rsidR="004B0883" w14:paraId="0B20F633" w14:textId="77777777">
        <w:trPr>
          <w:trHeight w:val="397"/>
          <w:jc w:val="center"/>
        </w:trPr>
        <w:tc>
          <w:tcPr>
            <w:tcW w:w="2146" w:type="dxa"/>
            <w:vAlign w:val="center"/>
          </w:tcPr>
          <w:p w14:paraId="4D79877A" w14:textId="77777777" w:rsidR="004B0883" w:rsidRDefault="004B0883">
            <w:pPr>
              <w:adjustRightInd w:val="0"/>
              <w:snapToGrid w:val="0"/>
              <w:rPr>
                <w:kern w:val="0"/>
              </w:rPr>
            </w:pPr>
            <w:r>
              <w:rPr>
                <w:kern w:val="0"/>
              </w:rPr>
              <w:t>减：营业成本</w:t>
            </w:r>
          </w:p>
        </w:tc>
        <w:tc>
          <w:tcPr>
            <w:tcW w:w="1595" w:type="dxa"/>
            <w:vAlign w:val="center"/>
          </w:tcPr>
          <w:p w14:paraId="4A4F3E05" w14:textId="77777777" w:rsidR="004B0883" w:rsidRDefault="004B0883">
            <w:pPr>
              <w:adjustRightInd w:val="0"/>
              <w:snapToGrid w:val="0"/>
              <w:jc w:val="right"/>
              <w:rPr>
                <w:color w:val="000000"/>
                <w:kern w:val="0"/>
              </w:rPr>
            </w:pPr>
            <w:r>
              <w:t>23,878.32</w:t>
            </w:r>
          </w:p>
        </w:tc>
        <w:tc>
          <w:tcPr>
            <w:tcW w:w="1595" w:type="dxa"/>
            <w:vAlign w:val="center"/>
          </w:tcPr>
          <w:p w14:paraId="5D0B1277" w14:textId="77777777" w:rsidR="004B0883" w:rsidRDefault="004B0883">
            <w:pPr>
              <w:adjustRightInd w:val="0"/>
              <w:snapToGrid w:val="0"/>
              <w:jc w:val="right"/>
              <w:rPr>
                <w:color w:val="000000"/>
                <w:kern w:val="0"/>
              </w:rPr>
            </w:pPr>
            <w:r>
              <w:rPr>
                <w:rFonts w:hint="eastAsia"/>
                <w:color w:val="000000"/>
                <w:kern w:val="0"/>
              </w:rPr>
              <w:t>34,553.26</w:t>
            </w:r>
          </w:p>
        </w:tc>
        <w:tc>
          <w:tcPr>
            <w:tcW w:w="1595" w:type="dxa"/>
            <w:vAlign w:val="center"/>
          </w:tcPr>
          <w:p w14:paraId="0CD05878" w14:textId="77777777" w:rsidR="004B0883" w:rsidRDefault="004B0883">
            <w:pPr>
              <w:adjustRightInd w:val="0"/>
              <w:snapToGrid w:val="0"/>
              <w:jc w:val="right"/>
              <w:rPr>
                <w:color w:val="000000"/>
                <w:kern w:val="0"/>
              </w:rPr>
            </w:pPr>
            <w:r>
              <w:rPr>
                <w:rFonts w:hint="eastAsia"/>
                <w:color w:val="000000"/>
                <w:kern w:val="0"/>
              </w:rPr>
              <w:t>25,516.32</w:t>
            </w:r>
          </w:p>
        </w:tc>
        <w:tc>
          <w:tcPr>
            <w:tcW w:w="1595" w:type="dxa"/>
            <w:vAlign w:val="center"/>
          </w:tcPr>
          <w:p w14:paraId="2FDEA306" w14:textId="77777777" w:rsidR="004B0883" w:rsidRDefault="004B0883">
            <w:pPr>
              <w:adjustRightInd w:val="0"/>
              <w:snapToGrid w:val="0"/>
              <w:jc w:val="right"/>
              <w:rPr>
                <w:color w:val="000000"/>
                <w:kern w:val="0"/>
              </w:rPr>
            </w:pPr>
            <w:r>
              <w:rPr>
                <w:rFonts w:hint="eastAsia"/>
                <w:color w:val="000000"/>
                <w:kern w:val="0"/>
              </w:rPr>
              <w:t>20,813.70</w:t>
            </w:r>
          </w:p>
        </w:tc>
      </w:tr>
      <w:tr w:rsidR="004B0883" w14:paraId="1273F60A" w14:textId="77777777">
        <w:trPr>
          <w:trHeight w:val="397"/>
          <w:jc w:val="center"/>
        </w:trPr>
        <w:tc>
          <w:tcPr>
            <w:tcW w:w="2146" w:type="dxa"/>
            <w:vAlign w:val="center"/>
          </w:tcPr>
          <w:p w14:paraId="0A91ADEA" w14:textId="77777777" w:rsidR="004B0883" w:rsidRDefault="004B0883">
            <w:pPr>
              <w:adjustRightInd w:val="0"/>
              <w:snapToGrid w:val="0"/>
              <w:rPr>
                <w:kern w:val="0"/>
              </w:rPr>
            </w:pPr>
            <w:r>
              <w:rPr>
                <w:kern w:val="0"/>
              </w:rPr>
              <w:t>税金及附加</w:t>
            </w:r>
          </w:p>
        </w:tc>
        <w:tc>
          <w:tcPr>
            <w:tcW w:w="1595" w:type="dxa"/>
            <w:vAlign w:val="center"/>
          </w:tcPr>
          <w:p w14:paraId="11C9A401" w14:textId="77777777" w:rsidR="004B0883" w:rsidRDefault="004B0883">
            <w:pPr>
              <w:adjustRightInd w:val="0"/>
              <w:snapToGrid w:val="0"/>
              <w:jc w:val="right"/>
              <w:rPr>
                <w:color w:val="000000"/>
                <w:kern w:val="0"/>
              </w:rPr>
            </w:pPr>
            <w:r>
              <w:t>267.91</w:t>
            </w:r>
          </w:p>
        </w:tc>
        <w:tc>
          <w:tcPr>
            <w:tcW w:w="1595" w:type="dxa"/>
            <w:vAlign w:val="center"/>
          </w:tcPr>
          <w:p w14:paraId="7FA58477" w14:textId="77777777" w:rsidR="004B0883" w:rsidRDefault="004B0883">
            <w:pPr>
              <w:adjustRightInd w:val="0"/>
              <w:snapToGrid w:val="0"/>
              <w:jc w:val="right"/>
              <w:rPr>
                <w:color w:val="000000"/>
                <w:kern w:val="0"/>
              </w:rPr>
            </w:pPr>
            <w:r>
              <w:rPr>
                <w:rFonts w:hint="eastAsia"/>
                <w:color w:val="000000"/>
                <w:kern w:val="0"/>
              </w:rPr>
              <w:t>329.14</w:t>
            </w:r>
          </w:p>
        </w:tc>
        <w:tc>
          <w:tcPr>
            <w:tcW w:w="1595" w:type="dxa"/>
            <w:vAlign w:val="center"/>
          </w:tcPr>
          <w:p w14:paraId="0BD7BBB9" w14:textId="77777777" w:rsidR="004B0883" w:rsidRDefault="004B0883">
            <w:pPr>
              <w:adjustRightInd w:val="0"/>
              <w:snapToGrid w:val="0"/>
              <w:jc w:val="right"/>
              <w:rPr>
                <w:color w:val="000000"/>
                <w:kern w:val="0"/>
              </w:rPr>
            </w:pPr>
            <w:r>
              <w:rPr>
                <w:rFonts w:hint="eastAsia"/>
                <w:color w:val="000000"/>
                <w:kern w:val="0"/>
              </w:rPr>
              <w:t>190.40</w:t>
            </w:r>
          </w:p>
        </w:tc>
        <w:tc>
          <w:tcPr>
            <w:tcW w:w="1595" w:type="dxa"/>
            <w:vAlign w:val="center"/>
          </w:tcPr>
          <w:p w14:paraId="6E4970A9" w14:textId="77777777" w:rsidR="004B0883" w:rsidRDefault="004B0883">
            <w:pPr>
              <w:adjustRightInd w:val="0"/>
              <w:snapToGrid w:val="0"/>
              <w:jc w:val="right"/>
              <w:rPr>
                <w:color w:val="000000"/>
                <w:kern w:val="0"/>
              </w:rPr>
            </w:pPr>
            <w:r>
              <w:rPr>
                <w:rFonts w:hint="eastAsia"/>
                <w:color w:val="000000"/>
                <w:kern w:val="0"/>
              </w:rPr>
              <w:t>282.43</w:t>
            </w:r>
          </w:p>
        </w:tc>
      </w:tr>
      <w:tr w:rsidR="004B0883" w14:paraId="11B15C0C" w14:textId="77777777">
        <w:trPr>
          <w:trHeight w:val="397"/>
          <w:jc w:val="center"/>
        </w:trPr>
        <w:tc>
          <w:tcPr>
            <w:tcW w:w="2146" w:type="dxa"/>
            <w:vAlign w:val="center"/>
          </w:tcPr>
          <w:p w14:paraId="05B28DD1" w14:textId="77777777" w:rsidR="004B0883" w:rsidRDefault="004B0883">
            <w:pPr>
              <w:adjustRightInd w:val="0"/>
              <w:snapToGrid w:val="0"/>
              <w:rPr>
                <w:kern w:val="0"/>
              </w:rPr>
            </w:pPr>
            <w:r>
              <w:rPr>
                <w:kern w:val="0"/>
              </w:rPr>
              <w:t>销售费用</w:t>
            </w:r>
          </w:p>
        </w:tc>
        <w:tc>
          <w:tcPr>
            <w:tcW w:w="1595" w:type="dxa"/>
            <w:vAlign w:val="center"/>
          </w:tcPr>
          <w:p w14:paraId="2DF73689" w14:textId="77777777" w:rsidR="004B0883" w:rsidRDefault="004B0883">
            <w:pPr>
              <w:adjustRightInd w:val="0"/>
              <w:snapToGrid w:val="0"/>
              <w:jc w:val="right"/>
              <w:rPr>
                <w:color w:val="000000"/>
                <w:kern w:val="0"/>
              </w:rPr>
            </w:pPr>
            <w:r>
              <w:t>1,951.63</w:t>
            </w:r>
          </w:p>
        </w:tc>
        <w:tc>
          <w:tcPr>
            <w:tcW w:w="1595" w:type="dxa"/>
            <w:vAlign w:val="center"/>
          </w:tcPr>
          <w:p w14:paraId="7FF3F4AA" w14:textId="77777777" w:rsidR="004B0883" w:rsidRDefault="004B0883">
            <w:pPr>
              <w:adjustRightInd w:val="0"/>
              <w:snapToGrid w:val="0"/>
              <w:jc w:val="right"/>
              <w:rPr>
                <w:color w:val="000000"/>
                <w:kern w:val="0"/>
              </w:rPr>
            </w:pPr>
            <w:r>
              <w:rPr>
                <w:rFonts w:hint="eastAsia"/>
                <w:color w:val="000000"/>
                <w:kern w:val="0"/>
              </w:rPr>
              <w:t>3,120.95</w:t>
            </w:r>
          </w:p>
        </w:tc>
        <w:tc>
          <w:tcPr>
            <w:tcW w:w="1595" w:type="dxa"/>
            <w:vAlign w:val="center"/>
          </w:tcPr>
          <w:p w14:paraId="4CFE283A" w14:textId="77777777" w:rsidR="004B0883" w:rsidRDefault="004B0883">
            <w:pPr>
              <w:adjustRightInd w:val="0"/>
              <w:snapToGrid w:val="0"/>
              <w:jc w:val="right"/>
              <w:rPr>
                <w:color w:val="000000"/>
                <w:kern w:val="0"/>
              </w:rPr>
            </w:pPr>
            <w:r>
              <w:rPr>
                <w:rFonts w:hint="eastAsia"/>
                <w:color w:val="000000"/>
                <w:kern w:val="0"/>
              </w:rPr>
              <w:t>2,819.70</w:t>
            </w:r>
          </w:p>
        </w:tc>
        <w:tc>
          <w:tcPr>
            <w:tcW w:w="1595" w:type="dxa"/>
            <w:vAlign w:val="center"/>
          </w:tcPr>
          <w:p w14:paraId="4D5A0652" w14:textId="77777777" w:rsidR="004B0883" w:rsidRDefault="004B0883">
            <w:pPr>
              <w:adjustRightInd w:val="0"/>
              <w:snapToGrid w:val="0"/>
              <w:jc w:val="right"/>
              <w:rPr>
                <w:color w:val="000000"/>
                <w:kern w:val="0"/>
              </w:rPr>
            </w:pPr>
            <w:r>
              <w:rPr>
                <w:rFonts w:hint="eastAsia"/>
                <w:color w:val="000000"/>
                <w:kern w:val="0"/>
              </w:rPr>
              <w:t>2,085.21</w:t>
            </w:r>
          </w:p>
        </w:tc>
      </w:tr>
      <w:tr w:rsidR="004B0883" w14:paraId="01602671" w14:textId="77777777">
        <w:trPr>
          <w:trHeight w:val="397"/>
          <w:jc w:val="center"/>
        </w:trPr>
        <w:tc>
          <w:tcPr>
            <w:tcW w:w="2146" w:type="dxa"/>
            <w:vAlign w:val="center"/>
          </w:tcPr>
          <w:p w14:paraId="5C24ED2F" w14:textId="77777777" w:rsidR="004B0883" w:rsidRDefault="004B0883">
            <w:pPr>
              <w:adjustRightInd w:val="0"/>
              <w:snapToGrid w:val="0"/>
              <w:rPr>
                <w:kern w:val="0"/>
              </w:rPr>
            </w:pPr>
            <w:r>
              <w:rPr>
                <w:kern w:val="0"/>
              </w:rPr>
              <w:t>管理费用</w:t>
            </w:r>
          </w:p>
        </w:tc>
        <w:tc>
          <w:tcPr>
            <w:tcW w:w="1595" w:type="dxa"/>
            <w:vAlign w:val="center"/>
          </w:tcPr>
          <w:p w14:paraId="0FAC0017" w14:textId="77777777" w:rsidR="004B0883" w:rsidRDefault="004B0883">
            <w:pPr>
              <w:adjustRightInd w:val="0"/>
              <w:snapToGrid w:val="0"/>
              <w:jc w:val="right"/>
              <w:rPr>
                <w:color w:val="000000"/>
                <w:kern w:val="0"/>
              </w:rPr>
            </w:pPr>
            <w:r>
              <w:t>1,546.41</w:t>
            </w:r>
          </w:p>
        </w:tc>
        <w:tc>
          <w:tcPr>
            <w:tcW w:w="1595" w:type="dxa"/>
            <w:vAlign w:val="center"/>
          </w:tcPr>
          <w:p w14:paraId="548C27EE" w14:textId="77777777" w:rsidR="004B0883" w:rsidRDefault="004B0883">
            <w:pPr>
              <w:adjustRightInd w:val="0"/>
              <w:snapToGrid w:val="0"/>
              <w:jc w:val="right"/>
              <w:rPr>
                <w:color w:val="000000"/>
                <w:kern w:val="0"/>
              </w:rPr>
            </w:pPr>
            <w:r>
              <w:rPr>
                <w:rFonts w:hint="eastAsia"/>
                <w:color w:val="000000"/>
                <w:kern w:val="0"/>
              </w:rPr>
              <w:t>2,076.49</w:t>
            </w:r>
          </w:p>
        </w:tc>
        <w:tc>
          <w:tcPr>
            <w:tcW w:w="1595" w:type="dxa"/>
            <w:vAlign w:val="center"/>
          </w:tcPr>
          <w:p w14:paraId="1FE4AA6F" w14:textId="77777777" w:rsidR="004B0883" w:rsidRDefault="004B0883">
            <w:pPr>
              <w:adjustRightInd w:val="0"/>
              <w:snapToGrid w:val="0"/>
              <w:jc w:val="right"/>
              <w:rPr>
                <w:color w:val="000000"/>
                <w:kern w:val="0"/>
              </w:rPr>
            </w:pPr>
            <w:r>
              <w:rPr>
                <w:rFonts w:hint="eastAsia"/>
                <w:color w:val="000000"/>
                <w:kern w:val="0"/>
              </w:rPr>
              <w:t>1,063.62</w:t>
            </w:r>
          </w:p>
        </w:tc>
        <w:tc>
          <w:tcPr>
            <w:tcW w:w="1595" w:type="dxa"/>
            <w:vAlign w:val="center"/>
          </w:tcPr>
          <w:p w14:paraId="226B170E" w14:textId="77777777" w:rsidR="004B0883" w:rsidRDefault="004B0883">
            <w:pPr>
              <w:adjustRightInd w:val="0"/>
              <w:snapToGrid w:val="0"/>
              <w:jc w:val="right"/>
              <w:rPr>
                <w:color w:val="000000"/>
                <w:kern w:val="0"/>
              </w:rPr>
            </w:pPr>
            <w:r>
              <w:rPr>
                <w:rFonts w:hint="eastAsia"/>
                <w:color w:val="000000"/>
                <w:kern w:val="0"/>
              </w:rPr>
              <w:t>1,249.10</w:t>
            </w:r>
          </w:p>
        </w:tc>
      </w:tr>
      <w:tr w:rsidR="004B0883" w14:paraId="7E909203" w14:textId="77777777">
        <w:trPr>
          <w:trHeight w:val="397"/>
          <w:jc w:val="center"/>
        </w:trPr>
        <w:tc>
          <w:tcPr>
            <w:tcW w:w="2146" w:type="dxa"/>
            <w:vAlign w:val="center"/>
          </w:tcPr>
          <w:p w14:paraId="60AF72EC" w14:textId="77777777" w:rsidR="004B0883" w:rsidRDefault="004B0883">
            <w:pPr>
              <w:adjustRightInd w:val="0"/>
              <w:snapToGrid w:val="0"/>
              <w:rPr>
                <w:kern w:val="0"/>
              </w:rPr>
            </w:pPr>
            <w:r>
              <w:rPr>
                <w:kern w:val="0"/>
              </w:rPr>
              <w:t>研发费用</w:t>
            </w:r>
          </w:p>
        </w:tc>
        <w:tc>
          <w:tcPr>
            <w:tcW w:w="1595" w:type="dxa"/>
            <w:vAlign w:val="center"/>
          </w:tcPr>
          <w:p w14:paraId="45D8B894" w14:textId="77777777" w:rsidR="004B0883" w:rsidRDefault="004B0883">
            <w:pPr>
              <w:adjustRightInd w:val="0"/>
              <w:snapToGrid w:val="0"/>
              <w:jc w:val="right"/>
              <w:rPr>
                <w:color w:val="000000"/>
                <w:kern w:val="0"/>
              </w:rPr>
            </w:pPr>
            <w:r>
              <w:t>1,139.20</w:t>
            </w:r>
          </w:p>
        </w:tc>
        <w:tc>
          <w:tcPr>
            <w:tcW w:w="1595" w:type="dxa"/>
            <w:vAlign w:val="center"/>
          </w:tcPr>
          <w:p w14:paraId="262DD9D6" w14:textId="77777777" w:rsidR="004B0883" w:rsidRDefault="004B0883">
            <w:pPr>
              <w:adjustRightInd w:val="0"/>
              <w:snapToGrid w:val="0"/>
              <w:jc w:val="right"/>
              <w:rPr>
                <w:color w:val="000000"/>
                <w:kern w:val="0"/>
              </w:rPr>
            </w:pPr>
            <w:r>
              <w:rPr>
                <w:rFonts w:hint="eastAsia"/>
                <w:color w:val="000000"/>
                <w:kern w:val="0"/>
              </w:rPr>
              <w:t>1,792.26</w:t>
            </w:r>
          </w:p>
        </w:tc>
        <w:tc>
          <w:tcPr>
            <w:tcW w:w="1595" w:type="dxa"/>
            <w:vAlign w:val="center"/>
          </w:tcPr>
          <w:p w14:paraId="480AB8F0" w14:textId="77777777" w:rsidR="004B0883" w:rsidRDefault="004B0883">
            <w:pPr>
              <w:adjustRightInd w:val="0"/>
              <w:snapToGrid w:val="0"/>
              <w:jc w:val="right"/>
              <w:rPr>
                <w:color w:val="000000"/>
                <w:kern w:val="0"/>
              </w:rPr>
            </w:pPr>
            <w:r>
              <w:rPr>
                <w:rFonts w:hint="eastAsia"/>
                <w:color w:val="000000"/>
                <w:kern w:val="0"/>
              </w:rPr>
              <w:t>1,437.97</w:t>
            </w:r>
          </w:p>
        </w:tc>
        <w:tc>
          <w:tcPr>
            <w:tcW w:w="1595" w:type="dxa"/>
            <w:vAlign w:val="center"/>
          </w:tcPr>
          <w:p w14:paraId="5E65B2FE" w14:textId="77777777" w:rsidR="004B0883" w:rsidRDefault="004B0883">
            <w:pPr>
              <w:adjustRightInd w:val="0"/>
              <w:snapToGrid w:val="0"/>
              <w:jc w:val="right"/>
              <w:rPr>
                <w:color w:val="000000"/>
                <w:kern w:val="0"/>
              </w:rPr>
            </w:pPr>
            <w:r>
              <w:rPr>
                <w:rFonts w:hint="eastAsia"/>
                <w:color w:val="000000"/>
                <w:kern w:val="0"/>
              </w:rPr>
              <w:t>1,696.49</w:t>
            </w:r>
          </w:p>
        </w:tc>
      </w:tr>
      <w:tr w:rsidR="004B0883" w14:paraId="02E38D47" w14:textId="77777777">
        <w:trPr>
          <w:trHeight w:val="397"/>
          <w:jc w:val="center"/>
        </w:trPr>
        <w:tc>
          <w:tcPr>
            <w:tcW w:w="2146" w:type="dxa"/>
            <w:vAlign w:val="center"/>
          </w:tcPr>
          <w:p w14:paraId="0B3E71D5" w14:textId="77777777" w:rsidR="004B0883" w:rsidRDefault="004B0883">
            <w:pPr>
              <w:adjustRightInd w:val="0"/>
              <w:snapToGrid w:val="0"/>
              <w:rPr>
                <w:kern w:val="0"/>
              </w:rPr>
            </w:pPr>
            <w:r>
              <w:rPr>
                <w:kern w:val="0"/>
              </w:rPr>
              <w:t>财务费用</w:t>
            </w:r>
          </w:p>
        </w:tc>
        <w:tc>
          <w:tcPr>
            <w:tcW w:w="1595" w:type="dxa"/>
            <w:vAlign w:val="center"/>
          </w:tcPr>
          <w:p w14:paraId="75A1ABDA" w14:textId="77777777" w:rsidR="004B0883" w:rsidRDefault="004B0883">
            <w:pPr>
              <w:adjustRightInd w:val="0"/>
              <w:snapToGrid w:val="0"/>
              <w:jc w:val="right"/>
              <w:rPr>
                <w:color w:val="000000"/>
                <w:kern w:val="0"/>
              </w:rPr>
            </w:pPr>
            <w:r>
              <w:t>-251.16</w:t>
            </w:r>
          </w:p>
        </w:tc>
        <w:tc>
          <w:tcPr>
            <w:tcW w:w="1595" w:type="dxa"/>
            <w:vAlign w:val="center"/>
          </w:tcPr>
          <w:p w14:paraId="564AC23B" w14:textId="77777777" w:rsidR="004B0883" w:rsidRDefault="004B0883">
            <w:pPr>
              <w:adjustRightInd w:val="0"/>
              <w:snapToGrid w:val="0"/>
              <w:jc w:val="right"/>
              <w:rPr>
                <w:color w:val="000000"/>
                <w:kern w:val="0"/>
              </w:rPr>
            </w:pPr>
            <w:r>
              <w:rPr>
                <w:rFonts w:hint="eastAsia"/>
                <w:color w:val="000000"/>
                <w:kern w:val="0"/>
              </w:rPr>
              <w:t>-681.34</w:t>
            </w:r>
          </w:p>
        </w:tc>
        <w:tc>
          <w:tcPr>
            <w:tcW w:w="1595" w:type="dxa"/>
            <w:vAlign w:val="center"/>
          </w:tcPr>
          <w:p w14:paraId="0D0A2AFA" w14:textId="77777777" w:rsidR="004B0883" w:rsidRDefault="004B0883">
            <w:pPr>
              <w:adjustRightInd w:val="0"/>
              <w:snapToGrid w:val="0"/>
              <w:jc w:val="right"/>
              <w:rPr>
                <w:color w:val="000000"/>
                <w:kern w:val="0"/>
              </w:rPr>
            </w:pPr>
            <w:r>
              <w:rPr>
                <w:rFonts w:hint="eastAsia"/>
                <w:color w:val="000000"/>
                <w:kern w:val="0"/>
              </w:rPr>
              <w:t>251.14</w:t>
            </w:r>
          </w:p>
        </w:tc>
        <w:tc>
          <w:tcPr>
            <w:tcW w:w="1595" w:type="dxa"/>
            <w:vAlign w:val="center"/>
          </w:tcPr>
          <w:p w14:paraId="5A1F6E9E" w14:textId="77777777" w:rsidR="004B0883" w:rsidRDefault="004B0883">
            <w:pPr>
              <w:adjustRightInd w:val="0"/>
              <w:snapToGrid w:val="0"/>
              <w:jc w:val="right"/>
              <w:rPr>
                <w:color w:val="000000"/>
                <w:kern w:val="0"/>
              </w:rPr>
            </w:pPr>
            <w:r>
              <w:rPr>
                <w:rFonts w:hint="eastAsia"/>
                <w:color w:val="000000"/>
                <w:kern w:val="0"/>
              </w:rPr>
              <w:t>165.61</w:t>
            </w:r>
          </w:p>
        </w:tc>
      </w:tr>
      <w:tr w:rsidR="004B0883" w14:paraId="4E59A281" w14:textId="77777777">
        <w:trPr>
          <w:trHeight w:val="397"/>
          <w:jc w:val="center"/>
        </w:trPr>
        <w:tc>
          <w:tcPr>
            <w:tcW w:w="2146" w:type="dxa"/>
            <w:vAlign w:val="center"/>
          </w:tcPr>
          <w:p w14:paraId="6EAF8327" w14:textId="77777777" w:rsidR="004B0883" w:rsidRDefault="004B0883">
            <w:pPr>
              <w:adjustRightInd w:val="0"/>
              <w:snapToGrid w:val="0"/>
              <w:rPr>
                <w:kern w:val="0"/>
              </w:rPr>
            </w:pPr>
            <w:r>
              <w:rPr>
                <w:kern w:val="0"/>
              </w:rPr>
              <w:t>其中：利息费用</w:t>
            </w:r>
          </w:p>
        </w:tc>
        <w:tc>
          <w:tcPr>
            <w:tcW w:w="1595" w:type="dxa"/>
            <w:vAlign w:val="center"/>
          </w:tcPr>
          <w:p w14:paraId="5E476F5F" w14:textId="77777777" w:rsidR="004B0883" w:rsidRDefault="004B0883">
            <w:pPr>
              <w:adjustRightInd w:val="0"/>
              <w:snapToGrid w:val="0"/>
              <w:jc w:val="right"/>
              <w:rPr>
                <w:color w:val="000000"/>
                <w:kern w:val="0"/>
              </w:rPr>
            </w:pPr>
            <w:r>
              <w:t>14.67</w:t>
            </w:r>
          </w:p>
        </w:tc>
        <w:tc>
          <w:tcPr>
            <w:tcW w:w="1595" w:type="dxa"/>
            <w:vAlign w:val="center"/>
          </w:tcPr>
          <w:p w14:paraId="7588782F" w14:textId="77777777" w:rsidR="004B0883" w:rsidRDefault="004B0883">
            <w:pPr>
              <w:adjustRightInd w:val="0"/>
              <w:snapToGrid w:val="0"/>
              <w:jc w:val="right"/>
              <w:rPr>
                <w:color w:val="000000"/>
                <w:kern w:val="0"/>
              </w:rPr>
            </w:pPr>
            <w:r>
              <w:rPr>
                <w:rFonts w:hint="eastAsia"/>
                <w:color w:val="000000"/>
                <w:kern w:val="0"/>
              </w:rPr>
              <w:t>119.82</w:t>
            </w:r>
          </w:p>
        </w:tc>
        <w:tc>
          <w:tcPr>
            <w:tcW w:w="1595" w:type="dxa"/>
            <w:vAlign w:val="center"/>
          </w:tcPr>
          <w:p w14:paraId="0F7799C4" w14:textId="77777777" w:rsidR="004B0883" w:rsidRDefault="004B0883">
            <w:pPr>
              <w:adjustRightInd w:val="0"/>
              <w:snapToGrid w:val="0"/>
              <w:jc w:val="right"/>
              <w:rPr>
                <w:color w:val="000000"/>
                <w:kern w:val="0"/>
              </w:rPr>
            </w:pPr>
            <w:r>
              <w:rPr>
                <w:rFonts w:hint="eastAsia"/>
                <w:color w:val="000000"/>
                <w:kern w:val="0"/>
              </w:rPr>
              <w:t>102.11</w:t>
            </w:r>
          </w:p>
        </w:tc>
        <w:tc>
          <w:tcPr>
            <w:tcW w:w="1595" w:type="dxa"/>
            <w:vAlign w:val="center"/>
          </w:tcPr>
          <w:p w14:paraId="7A529CE3" w14:textId="77777777" w:rsidR="004B0883" w:rsidRDefault="004B0883">
            <w:pPr>
              <w:adjustRightInd w:val="0"/>
              <w:snapToGrid w:val="0"/>
              <w:jc w:val="right"/>
              <w:rPr>
                <w:color w:val="000000"/>
                <w:kern w:val="0"/>
              </w:rPr>
            </w:pPr>
            <w:r>
              <w:rPr>
                <w:rFonts w:hint="eastAsia"/>
                <w:color w:val="000000"/>
                <w:kern w:val="0"/>
              </w:rPr>
              <w:t>63.90</w:t>
            </w:r>
          </w:p>
        </w:tc>
      </w:tr>
      <w:tr w:rsidR="004B0883" w14:paraId="7171E190" w14:textId="77777777">
        <w:trPr>
          <w:trHeight w:val="397"/>
          <w:jc w:val="center"/>
        </w:trPr>
        <w:tc>
          <w:tcPr>
            <w:tcW w:w="2146" w:type="dxa"/>
            <w:vAlign w:val="center"/>
          </w:tcPr>
          <w:p w14:paraId="5FBC1A62" w14:textId="77777777" w:rsidR="004B0883" w:rsidRDefault="004B0883">
            <w:pPr>
              <w:adjustRightInd w:val="0"/>
              <w:snapToGrid w:val="0"/>
              <w:rPr>
                <w:color w:val="000000"/>
                <w:kern w:val="0"/>
              </w:rPr>
            </w:pPr>
            <w:r>
              <w:rPr>
                <w:color w:val="000000"/>
                <w:kern w:val="0"/>
              </w:rPr>
              <w:t xml:space="preserve">      </w:t>
            </w:r>
            <w:r>
              <w:rPr>
                <w:kern w:val="0"/>
              </w:rPr>
              <w:t>利息收入</w:t>
            </w:r>
          </w:p>
        </w:tc>
        <w:tc>
          <w:tcPr>
            <w:tcW w:w="1595" w:type="dxa"/>
            <w:vAlign w:val="center"/>
          </w:tcPr>
          <w:p w14:paraId="4E4D148A" w14:textId="77777777" w:rsidR="004B0883" w:rsidRDefault="004B0883">
            <w:pPr>
              <w:adjustRightInd w:val="0"/>
              <w:snapToGrid w:val="0"/>
              <w:jc w:val="right"/>
              <w:rPr>
                <w:color w:val="000000"/>
                <w:kern w:val="0"/>
              </w:rPr>
            </w:pPr>
            <w:r>
              <w:t>63.30</w:t>
            </w:r>
          </w:p>
        </w:tc>
        <w:tc>
          <w:tcPr>
            <w:tcW w:w="1595" w:type="dxa"/>
            <w:vAlign w:val="center"/>
          </w:tcPr>
          <w:p w14:paraId="7E19E465" w14:textId="77777777" w:rsidR="004B0883" w:rsidRDefault="004B0883">
            <w:pPr>
              <w:adjustRightInd w:val="0"/>
              <w:snapToGrid w:val="0"/>
              <w:jc w:val="right"/>
              <w:rPr>
                <w:color w:val="000000"/>
                <w:kern w:val="0"/>
              </w:rPr>
            </w:pPr>
            <w:r>
              <w:rPr>
                <w:rFonts w:hint="eastAsia"/>
                <w:color w:val="000000"/>
                <w:kern w:val="0"/>
              </w:rPr>
              <w:t>41.76</w:t>
            </w:r>
          </w:p>
        </w:tc>
        <w:tc>
          <w:tcPr>
            <w:tcW w:w="1595" w:type="dxa"/>
            <w:vAlign w:val="center"/>
          </w:tcPr>
          <w:p w14:paraId="425BF6F8" w14:textId="77777777" w:rsidR="004B0883" w:rsidRDefault="004B0883">
            <w:pPr>
              <w:adjustRightInd w:val="0"/>
              <w:snapToGrid w:val="0"/>
              <w:jc w:val="right"/>
              <w:rPr>
                <w:color w:val="000000"/>
                <w:kern w:val="0"/>
              </w:rPr>
            </w:pPr>
            <w:r>
              <w:rPr>
                <w:rFonts w:hint="eastAsia"/>
                <w:color w:val="000000"/>
                <w:kern w:val="0"/>
              </w:rPr>
              <w:t>22.62</w:t>
            </w:r>
          </w:p>
        </w:tc>
        <w:tc>
          <w:tcPr>
            <w:tcW w:w="1595" w:type="dxa"/>
            <w:vAlign w:val="center"/>
          </w:tcPr>
          <w:p w14:paraId="5D1E60BC" w14:textId="77777777" w:rsidR="004B0883" w:rsidRDefault="004B0883">
            <w:pPr>
              <w:adjustRightInd w:val="0"/>
              <w:snapToGrid w:val="0"/>
              <w:jc w:val="right"/>
              <w:rPr>
                <w:color w:val="000000"/>
                <w:kern w:val="0"/>
              </w:rPr>
            </w:pPr>
            <w:r>
              <w:rPr>
                <w:rFonts w:hint="eastAsia"/>
                <w:color w:val="000000"/>
                <w:kern w:val="0"/>
              </w:rPr>
              <w:t>51.01</w:t>
            </w:r>
          </w:p>
        </w:tc>
      </w:tr>
      <w:tr w:rsidR="004B0883" w14:paraId="71CCFF9C" w14:textId="77777777">
        <w:trPr>
          <w:trHeight w:val="397"/>
          <w:jc w:val="center"/>
        </w:trPr>
        <w:tc>
          <w:tcPr>
            <w:tcW w:w="2146" w:type="dxa"/>
            <w:vAlign w:val="center"/>
          </w:tcPr>
          <w:p w14:paraId="38E74647" w14:textId="77777777" w:rsidR="004B0883" w:rsidRDefault="004B0883">
            <w:pPr>
              <w:adjustRightInd w:val="0"/>
              <w:snapToGrid w:val="0"/>
              <w:rPr>
                <w:kern w:val="0"/>
              </w:rPr>
            </w:pPr>
            <w:r>
              <w:rPr>
                <w:kern w:val="0"/>
              </w:rPr>
              <w:t>加：其他收益</w:t>
            </w:r>
          </w:p>
        </w:tc>
        <w:tc>
          <w:tcPr>
            <w:tcW w:w="1595" w:type="dxa"/>
            <w:vAlign w:val="center"/>
          </w:tcPr>
          <w:p w14:paraId="1B7FDA1A" w14:textId="77777777" w:rsidR="004B0883" w:rsidRDefault="004B0883">
            <w:pPr>
              <w:adjustRightInd w:val="0"/>
              <w:snapToGrid w:val="0"/>
              <w:jc w:val="right"/>
              <w:rPr>
                <w:color w:val="000000"/>
                <w:kern w:val="0"/>
              </w:rPr>
            </w:pPr>
            <w:r>
              <w:t>94.32</w:t>
            </w:r>
          </w:p>
        </w:tc>
        <w:tc>
          <w:tcPr>
            <w:tcW w:w="1595" w:type="dxa"/>
            <w:vAlign w:val="center"/>
          </w:tcPr>
          <w:p w14:paraId="12DED5CA" w14:textId="77777777" w:rsidR="004B0883" w:rsidRDefault="004B0883">
            <w:pPr>
              <w:adjustRightInd w:val="0"/>
              <w:snapToGrid w:val="0"/>
              <w:jc w:val="right"/>
              <w:rPr>
                <w:color w:val="000000"/>
                <w:kern w:val="0"/>
              </w:rPr>
            </w:pPr>
            <w:r>
              <w:rPr>
                <w:rFonts w:hint="eastAsia"/>
                <w:color w:val="000000"/>
                <w:kern w:val="0"/>
              </w:rPr>
              <w:t>150.44</w:t>
            </w:r>
          </w:p>
        </w:tc>
        <w:tc>
          <w:tcPr>
            <w:tcW w:w="1595" w:type="dxa"/>
            <w:vAlign w:val="center"/>
          </w:tcPr>
          <w:p w14:paraId="09BC5EA8" w14:textId="77777777" w:rsidR="004B0883" w:rsidRDefault="004B0883">
            <w:pPr>
              <w:adjustRightInd w:val="0"/>
              <w:snapToGrid w:val="0"/>
              <w:jc w:val="right"/>
              <w:rPr>
                <w:color w:val="000000"/>
                <w:kern w:val="0"/>
              </w:rPr>
            </w:pPr>
            <w:r>
              <w:rPr>
                <w:rFonts w:hint="eastAsia"/>
                <w:color w:val="000000"/>
                <w:kern w:val="0"/>
              </w:rPr>
              <w:t>145.04</w:t>
            </w:r>
          </w:p>
        </w:tc>
        <w:tc>
          <w:tcPr>
            <w:tcW w:w="1595" w:type="dxa"/>
            <w:vAlign w:val="center"/>
          </w:tcPr>
          <w:p w14:paraId="1A881652" w14:textId="77777777" w:rsidR="004B0883" w:rsidRDefault="004B0883">
            <w:pPr>
              <w:adjustRightInd w:val="0"/>
              <w:snapToGrid w:val="0"/>
              <w:jc w:val="right"/>
              <w:rPr>
                <w:color w:val="000000"/>
                <w:kern w:val="0"/>
              </w:rPr>
            </w:pPr>
            <w:r>
              <w:rPr>
                <w:rFonts w:hint="eastAsia"/>
                <w:color w:val="000000"/>
                <w:kern w:val="0"/>
              </w:rPr>
              <w:t>234.38</w:t>
            </w:r>
          </w:p>
        </w:tc>
      </w:tr>
      <w:tr w:rsidR="004B0883" w14:paraId="72065AD8" w14:textId="77777777">
        <w:trPr>
          <w:trHeight w:val="397"/>
          <w:jc w:val="center"/>
        </w:trPr>
        <w:tc>
          <w:tcPr>
            <w:tcW w:w="2146" w:type="dxa"/>
            <w:vAlign w:val="center"/>
          </w:tcPr>
          <w:p w14:paraId="6076E9DF" w14:textId="77777777" w:rsidR="004B0883" w:rsidRDefault="004B0883">
            <w:pPr>
              <w:adjustRightInd w:val="0"/>
              <w:snapToGrid w:val="0"/>
              <w:rPr>
                <w:kern w:val="0"/>
              </w:rPr>
            </w:pPr>
            <w:r>
              <w:rPr>
                <w:kern w:val="0"/>
              </w:rPr>
              <w:t>投资收益（损失以</w:t>
            </w:r>
            <w:r>
              <w:rPr>
                <w:rFonts w:ascii="宋体" w:hAnsi="宋体"/>
                <w:kern w:val="0"/>
              </w:rPr>
              <w:t>“</w:t>
            </w:r>
            <w:r>
              <w:rPr>
                <w:kern w:val="0"/>
              </w:rPr>
              <w:t>-</w:t>
            </w:r>
            <w:r>
              <w:rPr>
                <w:rFonts w:ascii="宋体" w:hAnsi="宋体"/>
                <w:kern w:val="0"/>
              </w:rPr>
              <w:t>”</w:t>
            </w:r>
            <w:r>
              <w:rPr>
                <w:kern w:val="0"/>
              </w:rPr>
              <w:t>号填列）</w:t>
            </w:r>
          </w:p>
        </w:tc>
        <w:tc>
          <w:tcPr>
            <w:tcW w:w="1595" w:type="dxa"/>
            <w:vAlign w:val="center"/>
          </w:tcPr>
          <w:p w14:paraId="4CF706EC" w14:textId="77777777" w:rsidR="004B0883" w:rsidRDefault="004B0883">
            <w:pPr>
              <w:adjustRightInd w:val="0"/>
              <w:snapToGrid w:val="0"/>
              <w:jc w:val="right"/>
              <w:rPr>
                <w:color w:val="000000"/>
                <w:kern w:val="0"/>
              </w:rPr>
            </w:pPr>
            <w:r>
              <w:t>468.14</w:t>
            </w:r>
          </w:p>
        </w:tc>
        <w:tc>
          <w:tcPr>
            <w:tcW w:w="1595" w:type="dxa"/>
            <w:vAlign w:val="center"/>
          </w:tcPr>
          <w:p w14:paraId="3BD16FB0" w14:textId="77777777" w:rsidR="004B0883" w:rsidRDefault="004B0883">
            <w:pPr>
              <w:adjustRightInd w:val="0"/>
              <w:snapToGrid w:val="0"/>
              <w:jc w:val="right"/>
              <w:rPr>
                <w:color w:val="000000"/>
                <w:kern w:val="0"/>
              </w:rPr>
            </w:pPr>
            <w:r>
              <w:rPr>
                <w:rFonts w:hint="eastAsia"/>
                <w:color w:val="000000"/>
                <w:kern w:val="0"/>
              </w:rPr>
              <w:t>4,934.20</w:t>
            </w:r>
          </w:p>
        </w:tc>
        <w:tc>
          <w:tcPr>
            <w:tcW w:w="1595" w:type="dxa"/>
            <w:vAlign w:val="center"/>
          </w:tcPr>
          <w:p w14:paraId="6CB6989D" w14:textId="77777777" w:rsidR="004B0883" w:rsidRDefault="004B0883">
            <w:pPr>
              <w:adjustRightInd w:val="0"/>
              <w:snapToGrid w:val="0"/>
              <w:jc w:val="right"/>
              <w:rPr>
                <w:color w:val="000000"/>
                <w:kern w:val="0"/>
              </w:rPr>
            </w:pPr>
            <w:r>
              <w:rPr>
                <w:rFonts w:hint="eastAsia"/>
                <w:color w:val="000000"/>
                <w:kern w:val="0"/>
              </w:rPr>
              <w:t>1,545.03</w:t>
            </w:r>
          </w:p>
        </w:tc>
        <w:tc>
          <w:tcPr>
            <w:tcW w:w="1595" w:type="dxa"/>
            <w:vAlign w:val="center"/>
          </w:tcPr>
          <w:p w14:paraId="3409AB88" w14:textId="77777777" w:rsidR="004B0883" w:rsidRDefault="004B0883">
            <w:pPr>
              <w:adjustRightInd w:val="0"/>
              <w:snapToGrid w:val="0"/>
              <w:jc w:val="right"/>
              <w:rPr>
                <w:color w:val="000000"/>
                <w:kern w:val="0"/>
              </w:rPr>
            </w:pPr>
            <w:r>
              <w:rPr>
                <w:rFonts w:hint="eastAsia"/>
                <w:color w:val="000000"/>
                <w:kern w:val="0"/>
              </w:rPr>
              <w:t>912.01</w:t>
            </w:r>
          </w:p>
        </w:tc>
      </w:tr>
      <w:tr w:rsidR="004B0883" w14:paraId="77B9C850" w14:textId="77777777">
        <w:trPr>
          <w:trHeight w:val="397"/>
          <w:jc w:val="center"/>
        </w:trPr>
        <w:tc>
          <w:tcPr>
            <w:tcW w:w="2146" w:type="dxa"/>
            <w:vAlign w:val="center"/>
          </w:tcPr>
          <w:p w14:paraId="78D7F385" w14:textId="77777777" w:rsidR="004B0883" w:rsidRDefault="004B0883">
            <w:pPr>
              <w:adjustRightInd w:val="0"/>
              <w:snapToGrid w:val="0"/>
              <w:rPr>
                <w:kern w:val="0"/>
              </w:rPr>
            </w:pPr>
            <w:r>
              <w:rPr>
                <w:kern w:val="0"/>
              </w:rPr>
              <w:t>公允价值变动收益（损失以</w:t>
            </w:r>
            <w:r>
              <w:rPr>
                <w:rFonts w:ascii="宋体" w:hAnsi="宋体"/>
                <w:kern w:val="0"/>
              </w:rPr>
              <w:t>“</w:t>
            </w:r>
            <w:r>
              <w:rPr>
                <w:kern w:val="0"/>
              </w:rPr>
              <w:t>-</w:t>
            </w:r>
            <w:r>
              <w:rPr>
                <w:rFonts w:ascii="宋体" w:hAnsi="宋体"/>
                <w:kern w:val="0"/>
              </w:rPr>
              <w:t>”</w:t>
            </w:r>
            <w:r>
              <w:rPr>
                <w:kern w:val="0"/>
              </w:rPr>
              <w:t>号填列）</w:t>
            </w:r>
          </w:p>
        </w:tc>
        <w:tc>
          <w:tcPr>
            <w:tcW w:w="1595" w:type="dxa"/>
            <w:vAlign w:val="center"/>
          </w:tcPr>
          <w:p w14:paraId="0FA63A9E" w14:textId="77777777" w:rsidR="004B0883" w:rsidRDefault="004B0883">
            <w:pPr>
              <w:adjustRightInd w:val="0"/>
              <w:snapToGrid w:val="0"/>
              <w:jc w:val="right"/>
              <w:rPr>
                <w:color w:val="000000"/>
                <w:kern w:val="0"/>
              </w:rPr>
            </w:pPr>
            <w:r>
              <w:t>146.78</w:t>
            </w:r>
          </w:p>
        </w:tc>
        <w:tc>
          <w:tcPr>
            <w:tcW w:w="1595" w:type="dxa"/>
            <w:vAlign w:val="center"/>
          </w:tcPr>
          <w:p w14:paraId="77237844" w14:textId="77777777" w:rsidR="004B0883" w:rsidRDefault="004B0883">
            <w:pPr>
              <w:adjustRightInd w:val="0"/>
              <w:snapToGrid w:val="0"/>
              <w:jc w:val="right"/>
              <w:rPr>
                <w:color w:val="000000"/>
                <w:kern w:val="0"/>
              </w:rPr>
            </w:pPr>
            <w:r>
              <w:rPr>
                <w:rFonts w:hint="eastAsia"/>
                <w:color w:val="000000"/>
                <w:kern w:val="0"/>
              </w:rPr>
              <w:t>-199.75</w:t>
            </w:r>
          </w:p>
        </w:tc>
        <w:tc>
          <w:tcPr>
            <w:tcW w:w="1595" w:type="dxa"/>
            <w:vAlign w:val="center"/>
          </w:tcPr>
          <w:p w14:paraId="26C9C3BD" w14:textId="77777777" w:rsidR="004B0883" w:rsidRDefault="004B0883">
            <w:pPr>
              <w:adjustRightInd w:val="0"/>
              <w:snapToGrid w:val="0"/>
              <w:jc w:val="right"/>
              <w:rPr>
                <w:color w:val="000000"/>
                <w:kern w:val="0"/>
              </w:rPr>
            </w:pPr>
            <w:r>
              <w:rPr>
                <w:rFonts w:hint="eastAsia"/>
                <w:color w:val="000000"/>
                <w:kern w:val="0"/>
              </w:rPr>
              <w:t>-329.12</w:t>
            </w:r>
          </w:p>
        </w:tc>
        <w:tc>
          <w:tcPr>
            <w:tcW w:w="1595" w:type="dxa"/>
            <w:vAlign w:val="center"/>
          </w:tcPr>
          <w:p w14:paraId="2566E707" w14:textId="77777777" w:rsidR="004B0883" w:rsidRDefault="004B0883">
            <w:pPr>
              <w:adjustRightInd w:val="0"/>
              <w:snapToGrid w:val="0"/>
              <w:jc w:val="right"/>
              <w:rPr>
                <w:color w:val="000000"/>
                <w:kern w:val="0"/>
              </w:rPr>
            </w:pPr>
            <w:r>
              <w:rPr>
                <w:rFonts w:hint="eastAsia"/>
                <w:color w:val="000000"/>
                <w:kern w:val="0"/>
              </w:rPr>
              <w:t>452.61</w:t>
            </w:r>
          </w:p>
        </w:tc>
      </w:tr>
      <w:tr w:rsidR="004B0883" w14:paraId="10D6FF72" w14:textId="77777777">
        <w:trPr>
          <w:trHeight w:val="397"/>
          <w:jc w:val="center"/>
        </w:trPr>
        <w:tc>
          <w:tcPr>
            <w:tcW w:w="2146" w:type="dxa"/>
            <w:vAlign w:val="center"/>
          </w:tcPr>
          <w:p w14:paraId="2D469DEC" w14:textId="77777777" w:rsidR="004B0883" w:rsidRDefault="004B0883">
            <w:pPr>
              <w:adjustRightInd w:val="0"/>
              <w:snapToGrid w:val="0"/>
              <w:rPr>
                <w:kern w:val="0"/>
              </w:rPr>
            </w:pPr>
            <w:r>
              <w:rPr>
                <w:kern w:val="0"/>
              </w:rPr>
              <w:t>信用减值损失（损失以</w:t>
            </w:r>
            <w:r>
              <w:rPr>
                <w:rFonts w:ascii="宋体" w:hAnsi="宋体"/>
                <w:kern w:val="0"/>
              </w:rPr>
              <w:t>“</w:t>
            </w:r>
            <w:r>
              <w:rPr>
                <w:kern w:val="0"/>
              </w:rPr>
              <w:t>-</w:t>
            </w:r>
            <w:r>
              <w:rPr>
                <w:rFonts w:ascii="宋体" w:hAnsi="宋体"/>
                <w:kern w:val="0"/>
              </w:rPr>
              <w:t>”</w:t>
            </w:r>
            <w:r>
              <w:rPr>
                <w:kern w:val="0"/>
              </w:rPr>
              <w:t>号填列）</w:t>
            </w:r>
          </w:p>
        </w:tc>
        <w:tc>
          <w:tcPr>
            <w:tcW w:w="1595" w:type="dxa"/>
            <w:vAlign w:val="center"/>
          </w:tcPr>
          <w:p w14:paraId="09254021" w14:textId="77777777" w:rsidR="004B0883" w:rsidRDefault="004B0883">
            <w:pPr>
              <w:adjustRightInd w:val="0"/>
              <w:snapToGrid w:val="0"/>
              <w:jc w:val="right"/>
              <w:rPr>
                <w:color w:val="000000"/>
                <w:kern w:val="0"/>
              </w:rPr>
            </w:pPr>
            <w:r>
              <w:t>-62.79</w:t>
            </w:r>
          </w:p>
        </w:tc>
        <w:tc>
          <w:tcPr>
            <w:tcW w:w="1595" w:type="dxa"/>
            <w:vAlign w:val="center"/>
          </w:tcPr>
          <w:p w14:paraId="7519D9D9" w14:textId="77777777" w:rsidR="004B0883" w:rsidRDefault="004B0883">
            <w:pPr>
              <w:adjustRightInd w:val="0"/>
              <w:snapToGrid w:val="0"/>
              <w:jc w:val="right"/>
              <w:rPr>
                <w:color w:val="000000"/>
                <w:kern w:val="0"/>
              </w:rPr>
            </w:pPr>
            <w:r>
              <w:rPr>
                <w:rFonts w:hint="eastAsia"/>
                <w:color w:val="000000"/>
                <w:kern w:val="0"/>
              </w:rPr>
              <w:t>34.93</w:t>
            </w:r>
          </w:p>
        </w:tc>
        <w:tc>
          <w:tcPr>
            <w:tcW w:w="1595" w:type="dxa"/>
            <w:vAlign w:val="center"/>
          </w:tcPr>
          <w:p w14:paraId="7BC74BF2" w14:textId="77777777" w:rsidR="004B0883" w:rsidRDefault="004B0883">
            <w:pPr>
              <w:adjustRightInd w:val="0"/>
              <w:snapToGrid w:val="0"/>
              <w:jc w:val="right"/>
              <w:rPr>
                <w:color w:val="000000"/>
                <w:kern w:val="0"/>
              </w:rPr>
            </w:pPr>
            <w:r>
              <w:rPr>
                <w:rFonts w:hint="eastAsia"/>
                <w:color w:val="000000"/>
                <w:kern w:val="0"/>
              </w:rPr>
              <w:t>-106.81</w:t>
            </w:r>
          </w:p>
        </w:tc>
        <w:tc>
          <w:tcPr>
            <w:tcW w:w="1595" w:type="dxa"/>
            <w:vAlign w:val="center"/>
          </w:tcPr>
          <w:p w14:paraId="27B97555" w14:textId="77777777" w:rsidR="004B0883" w:rsidRDefault="004B0883">
            <w:pPr>
              <w:adjustRightInd w:val="0"/>
              <w:snapToGrid w:val="0"/>
              <w:jc w:val="right"/>
              <w:rPr>
                <w:color w:val="000000"/>
                <w:kern w:val="0"/>
              </w:rPr>
            </w:pPr>
            <w:r>
              <w:rPr>
                <w:rFonts w:hint="eastAsia"/>
                <w:color w:val="000000"/>
                <w:kern w:val="0"/>
              </w:rPr>
              <w:t>384.48</w:t>
            </w:r>
          </w:p>
        </w:tc>
      </w:tr>
      <w:tr w:rsidR="004B0883" w14:paraId="406EA72C" w14:textId="77777777">
        <w:trPr>
          <w:trHeight w:val="397"/>
          <w:jc w:val="center"/>
        </w:trPr>
        <w:tc>
          <w:tcPr>
            <w:tcW w:w="2146" w:type="dxa"/>
            <w:vAlign w:val="center"/>
          </w:tcPr>
          <w:p w14:paraId="2312696B" w14:textId="77777777" w:rsidR="004B0883" w:rsidRDefault="004B0883">
            <w:pPr>
              <w:adjustRightInd w:val="0"/>
              <w:snapToGrid w:val="0"/>
              <w:rPr>
                <w:kern w:val="0"/>
              </w:rPr>
            </w:pPr>
            <w:r>
              <w:rPr>
                <w:kern w:val="0"/>
              </w:rPr>
              <w:t>资产减值损失（损失以</w:t>
            </w:r>
            <w:r>
              <w:rPr>
                <w:rFonts w:ascii="宋体" w:hAnsi="宋体"/>
                <w:kern w:val="0"/>
              </w:rPr>
              <w:t>“</w:t>
            </w:r>
            <w:r>
              <w:rPr>
                <w:kern w:val="0"/>
              </w:rPr>
              <w:t>-</w:t>
            </w:r>
            <w:r>
              <w:rPr>
                <w:rFonts w:ascii="宋体" w:hAnsi="宋体"/>
                <w:kern w:val="0"/>
              </w:rPr>
              <w:t>”</w:t>
            </w:r>
            <w:r>
              <w:rPr>
                <w:kern w:val="0"/>
              </w:rPr>
              <w:t>号填列）</w:t>
            </w:r>
          </w:p>
        </w:tc>
        <w:tc>
          <w:tcPr>
            <w:tcW w:w="1595" w:type="dxa"/>
            <w:vAlign w:val="center"/>
          </w:tcPr>
          <w:p w14:paraId="1462FFC5" w14:textId="77777777" w:rsidR="004B0883" w:rsidRDefault="004B0883">
            <w:pPr>
              <w:adjustRightInd w:val="0"/>
              <w:snapToGrid w:val="0"/>
              <w:jc w:val="right"/>
              <w:rPr>
                <w:color w:val="000000"/>
                <w:kern w:val="0"/>
              </w:rPr>
            </w:pPr>
            <w:r>
              <w:t>-45.55</w:t>
            </w:r>
          </w:p>
        </w:tc>
        <w:tc>
          <w:tcPr>
            <w:tcW w:w="1595" w:type="dxa"/>
            <w:vAlign w:val="center"/>
          </w:tcPr>
          <w:p w14:paraId="34FAF080" w14:textId="77777777" w:rsidR="004B0883" w:rsidRDefault="004B0883">
            <w:pPr>
              <w:adjustRightInd w:val="0"/>
              <w:snapToGrid w:val="0"/>
              <w:jc w:val="right"/>
              <w:rPr>
                <w:color w:val="000000"/>
                <w:kern w:val="0"/>
              </w:rPr>
            </w:pPr>
            <w:r>
              <w:rPr>
                <w:rFonts w:hint="eastAsia"/>
                <w:color w:val="000000"/>
                <w:kern w:val="0"/>
              </w:rPr>
              <w:t>-99.02</w:t>
            </w:r>
          </w:p>
        </w:tc>
        <w:tc>
          <w:tcPr>
            <w:tcW w:w="1595" w:type="dxa"/>
            <w:vAlign w:val="center"/>
          </w:tcPr>
          <w:p w14:paraId="19E9205D" w14:textId="77777777" w:rsidR="004B0883" w:rsidRDefault="004B0883">
            <w:pPr>
              <w:adjustRightInd w:val="0"/>
              <w:snapToGrid w:val="0"/>
              <w:jc w:val="right"/>
              <w:rPr>
                <w:color w:val="000000"/>
                <w:kern w:val="0"/>
              </w:rPr>
            </w:pPr>
            <w:r>
              <w:rPr>
                <w:rFonts w:hint="eastAsia"/>
                <w:color w:val="000000"/>
                <w:kern w:val="0"/>
              </w:rPr>
              <w:t>-74.33</w:t>
            </w:r>
          </w:p>
        </w:tc>
        <w:tc>
          <w:tcPr>
            <w:tcW w:w="1595" w:type="dxa"/>
            <w:vAlign w:val="center"/>
          </w:tcPr>
          <w:p w14:paraId="1F8B5CAA" w14:textId="77777777" w:rsidR="004B0883" w:rsidRDefault="004B0883">
            <w:pPr>
              <w:adjustRightInd w:val="0"/>
              <w:snapToGrid w:val="0"/>
              <w:jc w:val="right"/>
              <w:rPr>
                <w:color w:val="000000"/>
                <w:kern w:val="0"/>
              </w:rPr>
            </w:pPr>
            <w:r>
              <w:rPr>
                <w:rFonts w:hint="eastAsia"/>
                <w:color w:val="000000"/>
                <w:kern w:val="0"/>
              </w:rPr>
              <w:t>-23.59</w:t>
            </w:r>
          </w:p>
        </w:tc>
      </w:tr>
      <w:tr w:rsidR="004B0883" w14:paraId="2FACC30B" w14:textId="77777777">
        <w:trPr>
          <w:trHeight w:val="397"/>
          <w:jc w:val="center"/>
        </w:trPr>
        <w:tc>
          <w:tcPr>
            <w:tcW w:w="2146" w:type="dxa"/>
            <w:vAlign w:val="center"/>
          </w:tcPr>
          <w:p w14:paraId="70100C69" w14:textId="77777777" w:rsidR="004B0883" w:rsidRDefault="004B0883">
            <w:pPr>
              <w:adjustRightInd w:val="0"/>
              <w:snapToGrid w:val="0"/>
              <w:rPr>
                <w:kern w:val="0"/>
              </w:rPr>
            </w:pPr>
            <w:r>
              <w:rPr>
                <w:kern w:val="0"/>
              </w:rPr>
              <w:t>资产处置收益（损失以</w:t>
            </w:r>
            <w:r>
              <w:rPr>
                <w:rFonts w:ascii="宋体" w:hAnsi="宋体"/>
                <w:kern w:val="0"/>
              </w:rPr>
              <w:t>“</w:t>
            </w:r>
            <w:r>
              <w:rPr>
                <w:kern w:val="0"/>
              </w:rPr>
              <w:t>-</w:t>
            </w:r>
            <w:r>
              <w:rPr>
                <w:rFonts w:ascii="宋体" w:hAnsi="宋体"/>
                <w:kern w:val="0"/>
              </w:rPr>
              <w:t>”</w:t>
            </w:r>
            <w:r>
              <w:rPr>
                <w:kern w:val="0"/>
              </w:rPr>
              <w:t>号填列）</w:t>
            </w:r>
          </w:p>
        </w:tc>
        <w:tc>
          <w:tcPr>
            <w:tcW w:w="1595" w:type="dxa"/>
            <w:vAlign w:val="center"/>
          </w:tcPr>
          <w:p w14:paraId="32B918A6" w14:textId="77777777" w:rsidR="004B0883" w:rsidRDefault="004B0883">
            <w:pPr>
              <w:adjustRightInd w:val="0"/>
              <w:snapToGrid w:val="0"/>
              <w:jc w:val="right"/>
              <w:rPr>
                <w:color w:val="000000"/>
                <w:kern w:val="0"/>
              </w:rPr>
            </w:pPr>
            <w:r>
              <w:t>84.71</w:t>
            </w:r>
          </w:p>
        </w:tc>
        <w:tc>
          <w:tcPr>
            <w:tcW w:w="1595" w:type="dxa"/>
            <w:vAlign w:val="center"/>
          </w:tcPr>
          <w:p w14:paraId="01F35F91" w14:textId="77777777" w:rsidR="004B0883" w:rsidRDefault="004B0883">
            <w:pPr>
              <w:adjustRightInd w:val="0"/>
              <w:snapToGrid w:val="0"/>
              <w:jc w:val="right"/>
              <w:rPr>
                <w:color w:val="000000"/>
                <w:kern w:val="0"/>
              </w:rPr>
            </w:pPr>
            <w:r>
              <w:rPr>
                <w:rFonts w:hint="eastAsia"/>
                <w:color w:val="000000"/>
                <w:kern w:val="0"/>
              </w:rPr>
              <w:t>2.61</w:t>
            </w:r>
          </w:p>
        </w:tc>
        <w:tc>
          <w:tcPr>
            <w:tcW w:w="1595" w:type="dxa"/>
            <w:vAlign w:val="center"/>
          </w:tcPr>
          <w:p w14:paraId="70A5E72F" w14:textId="77777777" w:rsidR="004B0883" w:rsidRDefault="004B0883">
            <w:pPr>
              <w:adjustRightInd w:val="0"/>
              <w:snapToGrid w:val="0"/>
              <w:jc w:val="right"/>
              <w:rPr>
                <w:color w:val="000000"/>
                <w:kern w:val="0"/>
              </w:rPr>
            </w:pPr>
            <w:r>
              <w:rPr>
                <w:rFonts w:hint="eastAsia"/>
                <w:color w:val="000000"/>
                <w:kern w:val="0"/>
              </w:rPr>
              <w:t>3.59</w:t>
            </w:r>
          </w:p>
        </w:tc>
        <w:tc>
          <w:tcPr>
            <w:tcW w:w="1595" w:type="dxa"/>
            <w:vAlign w:val="center"/>
          </w:tcPr>
          <w:p w14:paraId="27A2E80B" w14:textId="77777777" w:rsidR="004B0883" w:rsidRDefault="004B0883">
            <w:pPr>
              <w:adjustRightInd w:val="0"/>
              <w:snapToGrid w:val="0"/>
              <w:jc w:val="right"/>
              <w:rPr>
                <w:color w:val="000000"/>
                <w:kern w:val="0"/>
              </w:rPr>
            </w:pPr>
            <w:r>
              <w:rPr>
                <w:rFonts w:hint="eastAsia"/>
                <w:color w:val="000000"/>
                <w:kern w:val="0"/>
              </w:rPr>
              <w:t>27.27</w:t>
            </w:r>
          </w:p>
        </w:tc>
      </w:tr>
      <w:tr w:rsidR="004B0883" w14:paraId="4B0E6242" w14:textId="77777777">
        <w:trPr>
          <w:trHeight w:val="397"/>
          <w:jc w:val="center"/>
        </w:trPr>
        <w:tc>
          <w:tcPr>
            <w:tcW w:w="2146" w:type="dxa"/>
            <w:vAlign w:val="center"/>
          </w:tcPr>
          <w:p w14:paraId="11C336B2" w14:textId="77777777" w:rsidR="004B0883" w:rsidRDefault="004B0883">
            <w:pPr>
              <w:adjustRightInd w:val="0"/>
              <w:snapToGrid w:val="0"/>
              <w:rPr>
                <w:b/>
                <w:bCs/>
                <w:color w:val="000000"/>
                <w:kern w:val="0"/>
              </w:rPr>
            </w:pPr>
            <w:r>
              <w:rPr>
                <w:b/>
                <w:bCs/>
                <w:kern w:val="0"/>
              </w:rPr>
              <w:t>二、</w:t>
            </w:r>
            <w:r>
              <w:rPr>
                <w:b/>
                <w:bCs/>
                <w:kern w:val="0"/>
              </w:rPr>
              <w:t xml:space="preserve"> </w:t>
            </w:r>
            <w:r>
              <w:rPr>
                <w:b/>
                <w:bCs/>
                <w:kern w:val="0"/>
              </w:rPr>
              <w:t>营业利润（亏损以</w:t>
            </w:r>
            <w:r>
              <w:rPr>
                <w:rFonts w:ascii="宋体" w:hAnsi="宋体"/>
                <w:b/>
                <w:bCs/>
                <w:kern w:val="0"/>
              </w:rPr>
              <w:t>“</w:t>
            </w:r>
            <w:r>
              <w:rPr>
                <w:b/>
                <w:bCs/>
                <w:kern w:val="0"/>
              </w:rPr>
              <w:t>-</w:t>
            </w:r>
            <w:r>
              <w:rPr>
                <w:rFonts w:ascii="宋体" w:hAnsi="宋体"/>
                <w:b/>
                <w:bCs/>
                <w:kern w:val="0"/>
              </w:rPr>
              <w:t>”</w:t>
            </w:r>
            <w:r>
              <w:rPr>
                <w:b/>
                <w:bCs/>
                <w:kern w:val="0"/>
              </w:rPr>
              <w:t>号填列）</w:t>
            </w:r>
          </w:p>
        </w:tc>
        <w:tc>
          <w:tcPr>
            <w:tcW w:w="1595" w:type="dxa"/>
            <w:vAlign w:val="center"/>
          </w:tcPr>
          <w:p w14:paraId="0915F8E6" w14:textId="77777777" w:rsidR="004B0883" w:rsidRDefault="004B0883">
            <w:pPr>
              <w:adjustRightInd w:val="0"/>
              <w:snapToGrid w:val="0"/>
              <w:jc w:val="right"/>
              <w:rPr>
                <w:b/>
                <w:bCs/>
                <w:kern w:val="0"/>
              </w:rPr>
            </w:pPr>
            <w:r>
              <w:rPr>
                <w:b/>
                <w:bCs/>
              </w:rPr>
              <w:t>9,659.44</w:t>
            </w:r>
          </w:p>
        </w:tc>
        <w:tc>
          <w:tcPr>
            <w:tcW w:w="1595" w:type="dxa"/>
            <w:vAlign w:val="center"/>
          </w:tcPr>
          <w:p w14:paraId="2AFA45CE" w14:textId="77777777" w:rsidR="004B0883" w:rsidRDefault="004B0883">
            <w:pPr>
              <w:adjustRightInd w:val="0"/>
              <w:snapToGrid w:val="0"/>
              <w:jc w:val="right"/>
              <w:rPr>
                <w:b/>
                <w:bCs/>
                <w:color w:val="000000"/>
                <w:kern w:val="0"/>
              </w:rPr>
            </w:pPr>
            <w:r>
              <w:rPr>
                <w:rFonts w:hint="eastAsia"/>
                <w:b/>
                <w:bCs/>
                <w:color w:val="000000"/>
                <w:kern w:val="0"/>
              </w:rPr>
              <w:t>15,900.74</w:t>
            </w:r>
          </w:p>
        </w:tc>
        <w:tc>
          <w:tcPr>
            <w:tcW w:w="1595" w:type="dxa"/>
            <w:vAlign w:val="center"/>
          </w:tcPr>
          <w:p w14:paraId="5E54B6CB" w14:textId="77777777" w:rsidR="004B0883" w:rsidRDefault="004B0883">
            <w:pPr>
              <w:adjustRightInd w:val="0"/>
              <w:snapToGrid w:val="0"/>
              <w:jc w:val="right"/>
              <w:rPr>
                <w:b/>
                <w:bCs/>
                <w:color w:val="000000"/>
                <w:kern w:val="0"/>
              </w:rPr>
            </w:pPr>
            <w:r>
              <w:rPr>
                <w:rFonts w:hint="eastAsia"/>
                <w:b/>
                <w:bCs/>
                <w:color w:val="000000"/>
                <w:kern w:val="0"/>
              </w:rPr>
              <w:t>7,317.89</w:t>
            </w:r>
          </w:p>
        </w:tc>
        <w:tc>
          <w:tcPr>
            <w:tcW w:w="1595" w:type="dxa"/>
            <w:vAlign w:val="center"/>
          </w:tcPr>
          <w:p w14:paraId="72F5641B" w14:textId="77777777" w:rsidR="004B0883" w:rsidRDefault="004B0883">
            <w:pPr>
              <w:adjustRightInd w:val="0"/>
              <w:snapToGrid w:val="0"/>
              <w:jc w:val="right"/>
              <w:rPr>
                <w:b/>
                <w:bCs/>
                <w:color w:val="000000"/>
                <w:kern w:val="0"/>
              </w:rPr>
            </w:pPr>
            <w:r>
              <w:rPr>
                <w:rFonts w:hint="eastAsia"/>
                <w:b/>
                <w:bCs/>
                <w:color w:val="000000"/>
                <w:kern w:val="0"/>
              </w:rPr>
              <w:t>7,627.95</w:t>
            </w:r>
          </w:p>
        </w:tc>
      </w:tr>
      <w:tr w:rsidR="004B0883" w14:paraId="67119C83" w14:textId="77777777">
        <w:trPr>
          <w:trHeight w:val="397"/>
          <w:jc w:val="center"/>
        </w:trPr>
        <w:tc>
          <w:tcPr>
            <w:tcW w:w="2146" w:type="dxa"/>
            <w:vAlign w:val="center"/>
          </w:tcPr>
          <w:p w14:paraId="01DC60F6" w14:textId="77777777" w:rsidR="004B0883" w:rsidRDefault="004B0883">
            <w:pPr>
              <w:adjustRightInd w:val="0"/>
              <w:snapToGrid w:val="0"/>
              <w:rPr>
                <w:kern w:val="0"/>
              </w:rPr>
            </w:pPr>
            <w:r>
              <w:rPr>
                <w:kern w:val="0"/>
              </w:rPr>
              <w:t>加：营业外收入</w:t>
            </w:r>
          </w:p>
        </w:tc>
        <w:tc>
          <w:tcPr>
            <w:tcW w:w="1595" w:type="dxa"/>
            <w:vAlign w:val="center"/>
          </w:tcPr>
          <w:p w14:paraId="7E806ED1" w14:textId="77777777" w:rsidR="004B0883" w:rsidRDefault="004B0883">
            <w:pPr>
              <w:adjustRightInd w:val="0"/>
              <w:snapToGrid w:val="0"/>
              <w:jc w:val="right"/>
              <w:rPr>
                <w:color w:val="000000"/>
                <w:kern w:val="0"/>
              </w:rPr>
            </w:pPr>
            <w:r>
              <w:t>15.40</w:t>
            </w:r>
          </w:p>
        </w:tc>
        <w:tc>
          <w:tcPr>
            <w:tcW w:w="1595" w:type="dxa"/>
            <w:vAlign w:val="center"/>
          </w:tcPr>
          <w:p w14:paraId="202843A3" w14:textId="77777777" w:rsidR="004B0883" w:rsidRDefault="004B0883">
            <w:pPr>
              <w:adjustRightInd w:val="0"/>
              <w:snapToGrid w:val="0"/>
              <w:jc w:val="right"/>
              <w:rPr>
                <w:color w:val="000000"/>
                <w:kern w:val="0"/>
              </w:rPr>
            </w:pPr>
            <w:r>
              <w:rPr>
                <w:rFonts w:hint="eastAsia"/>
                <w:color w:val="000000"/>
                <w:kern w:val="0"/>
              </w:rPr>
              <w:t>5.70</w:t>
            </w:r>
          </w:p>
        </w:tc>
        <w:tc>
          <w:tcPr>
            <w:tcW w:w="1595" w:type="dxa"/>
            <w:vAlign w:val="center"/>
          </w:tcPr>
          <w:p w14:paraId="43B78A6C" w14:textId="77777777" w:rsidR="004B0883" w:rsidRDefault="004B0883">
            <w:pPr>
              <w:adjustRightInd w:val="0"/>
              <w:snapToGrid w:val="0"/>
              <w:jc w:val="right"/>
              <w:rPr>
                <w:color w:val="000000"/>
                <w:kern w:val="0"/>
              </w:rPr>
            </w:pPr>
            <w:r>
              <w:rPr>
                <w:rFonts w:hint="eastAsia"/>
                <w:color w:val="000000"/>
                <w:kern w:val="0"/>
              </w:rPr>
              <w:t>61.87</w:t>
            </w:r>
          </w:p>
        </w:tc>
        <w:tc>
          <w:tcPr>
            <w:tcW w:w="1595" w:type="dxa"/>
            <w:vAlign w:val="center"/>
          </w:tcPr>
          <w:p w14:paraId="734632A3" w14:textId="77777777" w:rsidR="004B0883" w:rsidRDefault="004B0883">
            <w:pPr>
              <w:adjustRightInd w:val="0"/>
              <w:snapToGrid w:val="0"/>
              <w:jc w:val="right"/>
              <w:rPr>
                <w:color w:val="000000"/>
                <w:kern w:val="0"/>
              </w:rPr>
            </w:pPr>
            <w:r>
              <w:rPr>
                <w:rFonts w:hint="eastAsia"/>
                <w:color w:val="000000"/>
                <w:kern w:val="0"/>
              </w:rPr>
              <w:t>9.63</w:t>
            </w:r>
          </w:p>
        </w:tc>
      </w:tr>
      <w:tr w:rsidR="004B0883" w14:paraId="70120F1A" w14:textId="77777777">
        <w:trPr>
          <w:trHeight w:val="397"/>
          <w:jc w:val="center"/>
        </w:trPr>
        <w:tc>
          <w:tcPr>
            <w:tcW w:w="2146" w:type="dxa"/>
            <w:vAlign w:val="center"/>
          </w:tcPr>
          <w:p w14:paraId="29AE2CD3" w14:textId="77777777" w:rsidR="004B0883" w:rsidRDefault="004B0883">
            <w:pPr>
              <w:adjustRightInd w:val="0"/>
              <w:snapToGrid w:val="0"/>
              <w:rPr>
                <w:kern w:val="0"/>
              </w:rPr>
            </w:pPr>
            <w:r>
              <w:rPr>
                <w:kern w:val="0"/>
              </w:rPr>
              <w:t>减：营业外支出</w:t>
            </w:r>
          </w:p>
        </w:tc>
        <w:tc>
          <w:tcPr>
            <w:tcW w:w="1595" w:type="dxa"/>
            <w:vAlign w:val="center"/>
          </w:tcPr>
          <w:p w14:paraId="19FA6F53" w14:textId="77777777" w:rsidR="004B0883" w:rsidRDefault="004B0883">
            <w:pPr>
              <w:adjustRightInd w:val="0"/>
              <w:snapToGrid w:val="0"/>
              <w:jc w:val="right"/>
              <w:rPr>
                <w:color w:val="000000"/>
                <w:kern w:val="0"/>
              </w:rPr>
            </w:pPr>
            <w:r>
              <w:rPr>
                <w:color w:val="000000"/>
                <w:kern w:val="0"/>
              </w:rPr>
              <w:t>5.0</w:t>
            </w:r>
            <w:r>
              <w:rPr>
                <w:rFonts w:hint="eastAsia"/>
                <w:color w:val="000000"/>
                <w:kern w:val="0"/>
              </w:rPr>
              <w:t>4</w:t>
            </w:r>
          </w:p>
        </w:tc>
        <w:tc>
          <w:tcPr>
            <w:tcW w:w="1595" w:type="dxa"/>
            <w:vAlign w:val="center"/>
          </w:tcPr>
          <w:p w14:paraId="378D805F" w14:textId="77777777" w:rsidR="004B0883" w:rsidRDefault="004B0883">
            <w:pPr>
              <w:adjustRightInd w:val="0"/>
              <w:snapToGrid w:val="0"/>
              <w:jc w:val="right"/>
              <w:rPr>
                <w:color w:val="000000"/>
                <w:kern w:val="0"/>
              </w:rPr>
            </w:pPr>
            <w:r>
              <w:rPr>
                <w:rFonts w:hint="eastAsia"/>
                <w:color w:val="000000"/>
                <w:kern w:val="0"/>
              </w:rPr>
              <w:t>181.36</w:t>
            </w:r>
          </w:p>
        </w:tc>
        <w:tc>
          <w:tcPr>
            <w:tcW w:w="1595" w:type="dxa"/>
            <w:vAlign w:val="center"/>
          </w:tcPr>
          <w:p w14:paraId="4A827F59" w14:textId="77777777" w:rsidR="004B0883" w:rsidRDefault="004B0883">
            <w:pPr>
              <w:adjustRightInd w:val="0"/>
              <w:snapToGrid w:val="0"/>
              <w:jc w:val="right"/>
              <w:rPr>
                <w:color w:val="000000"/>
                <w:kern w:val="0"/>
              </w:rPr>
            </w:pPr>
            <w:r>
              <w:rPr>
                <w:rFonts w:hint="eastAsia"/>
                <w:color w:val="000000"/>
                <w:kern w:val="0"/>
              </w:rPr>
              <w:t>4.62</w:t>
            </w:r>
          </w:p>
        </w:tc>
        <w:tc>
          <w:tcPr>
            <w:tcW w:w="1595" w:type="dxa"/>
            <w:vAlign w:val="center"/>
          </w:tcPr>
          <w:p w14:paraId="0B5C5413" w14:textId="77777777" w:rsidR="004B0883" w:rsidRDefault="004B0883">
            <w:pPr>
              <w:adjustRightInd w:val="0"/>
              <w:snapToGrid w:val="0"/>
              <w:jc w:val="right"/>
              <w:rPr>
                <w:color w:val="000000"/>
                <w:kern w:val="0"/>
              </w:rPr>
            </w:pPr>
            <w:r>
              <w:rPr>
                <w:rFonts w:hint="eastAsia"/>
                <w:color w:val="000000"/>
                <w:kern w:val="0"/>
              </w:rPr>
              <w:t>66.94</w:t>
            </w:r>
          </w:p>
        </w:tc>
      </w:tr>
      <w:tr w:rsidR="004B0883" w14:paraId="6520206C" w14:textId="77777777">
        <w:trPr>
          <w:trHeight w:val="397"/>
          <w:jc w:val="center"/>
        </w:trPr>
        <w:tc>
          <w:tcPr>
            <w:tcW w:w="2146" w:type="dxa"/>
            <w:vAlign w:val="center"/>
          </w:tcPr>
          <w:p w14:paraId="7FDA4D1B" w14:textId="77777777" w:rsidR="004B0883" w:rsidRDefault="004B0883">
            <w:pPr>
              <w:adjustRightInd w:val="0"/>
              <w:snapToGrid w:val="0"/>
              <w:rPr>
                <w:b/>
                <w:bCs/>
                <w:color w:val="000000"/>
                <w:kern w:val="0"/>
              </w:rPr>
            </w:pPr>
            <w:r>
              <w:rPr>
                <w:b/>
                <w:bCs/>
                <w:kern w:val="0"/>
              </w:rPr>
              <w:t>三、利润总额（亏损总额以</w:t>
            </w:r>
            <w:r>
              <w:rPr>
                <w:rFonts w:ascii="宋体" w:hAnsi="宋体"/>
                <w:b/>
                <w:bCs/>
                <w:kern w:val="0"/>
              </w:rPr>
              <w:t>“</w:t>
            </w:r>
            <w:r>
              <w:rPr>
                <w:b/>
                <w:bCs/>
                <w:kern w:val="0"/>
              </w:rPr>
              <w:t>-</w:t>
            </w:r>
            <w:r>
              <w:rPr>
                <w:rFonts w:ascii="宋体" w:hAnsi="宋体"/>
                <w:b/>
                <w:bCs/>
                <w:kern w:val="0"/>
              </w:rPr>
              <w:t>”</w:t>
            </w:r>
            <w:r>
              <w:rPr>
                <w:b/>
                <w:bCs/>
                <w:kern w:val="0"/>
              </w:rPr>
              <w:t>号填列）</w:t>
            </w:r>
          </w:p>
        </w:tc>
        <w:tc>
          <w:tcPr>
            <w:tcW w:w="1595" w:type="dxa"/>
            <w:vAlign w:val="center"/>
          </w:tcPr>
          <w:p w14:paraId="74CCFDF7" w14:textId="77777777" w:rsidR="004B0883" w:rsidRDefault="004B0883">
            <w:pPr>
              <w:adjustRightInd w:val="0"/>
              <w:snapToGrid w:val="0"/>
              <w:jc w:val="right"/>
              <w:rPr>
                <w:b/>
                <w:bCs/>
                <w:kern w:val="0"/>
              </w:rPr>
            </w:pPr>
            <w:r>
              <w:rPr>
                <w:b/>
                <w:bCs/>
              </w:rPr>
              <w:t>9,669.79</w:t>
            </w:r>
          </w:p>
        </w:tc>
        <w:tc>
          <w:tcPr>
            <w:tcW w:w="1595" w:type="dxa"/>
            <w:vAlign w:val="center"/>
          </w:tcPr>
          <w:p w14:paraId="7737E1FD" w14:textId="77777777" w:rsidR="004B0883" w:rsidRDefault="004B0883">
            <w:pPr>
              <w:adjustRightInd w:val="0"/>
              <w:snapToGrid w:val="0"/>
              <w:jc w:val="right"/>
              <w:rPr>
                <w:b/>
                <w:bCs/>
                <w:color w:val="000000"/>
                <w:kern w:val="0"/>
              </w:rPr>
            </w:pPr>
            <w:r>
              <w:rPr>
                <w:rFonts w:hint="eastAsia"/>
                <w:b/>
                <w:bCs/>
                <w:color w:val="000000"/>
                <w:kern w:val="0"/>
              </w:rPr>
              <w:t>15,725.08</w:t>
            </w:r>
          </w:p>
        </w:tc>
        <w:tc>
          <w:tcPr>
            <w:tcW w:w="1595" w:type="dxa"/>
            <w:vAlign w:val="center"/>
          </w:tcPr>
          <w:p w14:paraId="35E5B174" w14:textId="77777777" w:rsidR="004B0883" w:rsidRDefault="004B0883">
            <w:pPr>
              <w:adjustRightInd w:val="0"/>
              <w:snapToGrid w:val="0"/>
              <w:jc w:val="right"/>
              <w:rPr>
                <w:b/>
                <w:bCs/>
                <w:color w:val="000000"/>
                <w:kern w:val="0"/>
              </w:rPr>
            </w:pPr>
            <w:r>
              <w:rPr>
                <w:rFonts w:hint="eastAsia"/>
                <w:b/>
                <w:bCs/>
                <w:color w:val="000000"/>
                <w:kern w:val="0"/>
              </w:rPr>
              <w:t>7,375.15</w:t>
            </w:r>
          </w:p>
        </w:tc>
        <w:tc>
          <w:tcPr>
            <w:tcW w:w="1595" w:type="dxa"/>
            <w:vAlign w:val="center"/>
          </w:tcPr>
          <w:p w14:paraId="47D5836F" w14:textId="77777777" w:rsidR="004B0883" w:rsidRDefault="004B0883">
            <w:pPr>
              <w:adjustRightInd w:val="0"/>
              <w:snapToGrid w:val="0"/>
              <w:jc w:val="right"/>
              <w:rPr>
                <w:b/>
                <w:bCs/>
                <w:color w:val="000000"/>
                <w:kern w:val="0"/>
              </w:rPr>
            </w:pPr>
            <w:r>
              <w:rPr>
                <w:rFonts w:hint="eastAsia"/>
                <w:b/>
                <w:bCs/>
                <w:color w:val="000000"/>
                <w:kern w:val="0"/>
              </w:rPr>
              <w:t>7,570.64</w:t>
            </w:r>
          </w:p>
        </w:tc>
      </w:tr>
      <w:tr w:rsidR="004B0883" w14:paraId="21B1E2B0" w14:textId="77777777">
        <w:trPr>
          <w:trHeight w:val="397"/>
          <w:jc w:val="center"/>
        </w:trPr>
        <w:tc>
          <w:tcPr>
            <w:tcW w:w="2146" w:type="dxa"/>
            <w:vAlign w:val="center"/>
          </w:tcPr>
          <w:p w14:paraId="1C88CD0B" w14:textId="77777777" w:rsidR="004B0883" w:rsidRDefault="004B0883">
            <w:pPr>
              <w:adjustRightInd w:val="0"/>
              <w:snapToGrid w:val="0"/>
              <w:rPr>
                <w:kern w:val="0"/>
              </w:rPr>
            </w:pPr>
            <w:r>
              <w:rPr>
                <w:kern w:val="0"/>
              </w:rPr>
              <w:t>减</w:t>
            </w:r>
            <w:r>
              <w:rPr>
                <w:rFonts w:hint="eastAsia"/>
                <w:kern w:val="0"/>
              </w:rPr>
              <w:t>：</w:t>
            </w:r>
            <w:r>
              <w:rPr>
                <w:kern w:val="0"/>
              </w:rPr>
              <w:t>所得税费用</w:t>
            </w:r>
          </w:p>
        </w:tc>
        <w:tc>
          <w:tcPr>
            <w:tcW w:w="1595" w:type="dxa"/>
            <w:vAlign w:val="center"/>
          </w:tcPr>
          <w:p w14:paraId="472ED17F" w14:textId="77777777" w:rsidR="004B0883" w:rsidRDefault="004B0883">
            <w:pPr>
              <w:adjustRightInd w:val="0"/>
              <w:snapToGrid w:val="0"/>
              <w:jc w:val="right"/>
              <w:rPr>
                <w:color w:val="000000"/>
                <w:kern w:val="0"/>
              </w:rPr>
            </w:pPr>
            <w:r>
              <w:t>1,304.65</w:t>
            </w:r>
          </w:p>
        </w:tc>
        <w:tc>
          <w:tcPr>
            <w:tcW w:w="1595" w:type="dxa"/>
            <w:vAlign w:val="center"/>
          </w:tcPr>
          <w:p w14:paraId="6A27DF4F" w14:textId="77777777" w:rsidR="004B0883" w:rsidRDefault="004B0883">
            <w:pPr>
              <w:adjustRightInd w:val="0"/>
              <w:snapToGrid w:val="0"/>
              <w:jc w:val="right"/>
              <w:rPr>
                <w:color w:val="000000"/>
                <w:kern w:val="0"/>
              </w:rPr>
            </w:pPr>
            <w:r>
              <w:rPr>
                <w:rFonts w:hint="eastAsia"/>
                <w:color w:val="000000"/>
                <w:kern w:val="0"/>
              </w:rPr>
              <w:t>2,036.17</w:t>
            </w:r>
          </w:p>
        </w:tc>
        <w:tc>
          <w:tcPr>
            <w:tcW w:w="1595" w:type="dxa"/>
            <w:vAlign w:val="center"/>
          </w:tcPr>
          <w:p w14:paraId="16AEC24D" w14:textId="77777777" w:rsidR="004B0883" w:rsidRDefault="004B0883">
            <w:pPr>
              <w:adjustRightInd w:val="0"/>
              <w:snapToGrid w:val="0"/>
              <w:jc w:val="right"/>
              <w:rPr>
                <w:color w:val="000000"/>
                <w:kern w:val="0"/>
              </w:rPr>
            </w:pPr>
            <w:r>
              <w:rPr>
                <w:rFonts w:hint="eastAsia"/>
                <w:color w:val="000000"/>
                <w:kern w:val="0"/>
              </w:rPr>
              <w:t>943.33</w:t>
            </w:r>
          </w:p>
        </w:tc>
        <w:tc>
          <w:tcPr>
            <w:tcW w:w="1595" w:type="dxa"/>
            <w:vAlign w:val="center"/>
          </w:tcPr>
          <w:p w14:paraId="4960CD54" w14:textId="77777777" w:rsidR="004B0883" w:rsidRDefault="004B0883">
            <w:pPr>
              <w:adjustRightInd w:val="0"/>
              <w:snapToGrid w:val="0"/>
              <w:jc w:val="right"/>
              <w:rPr>
                <w:color w:val="000000"/>
                <w:kern w:val="0"/>
              </w:rPr>
            </w:pPr>
            <w:r>
              <w:rPr>
                <w:rFonts w:hint="eastAsia"/>
                <w:color w:val="000000"/>
                <w:kern w:val="0"/>
              </w:rPr>
              <w:t>1,003.37</w:t>
            </w:r>
          </w:p>
        </w:tc>
      </w:tr>
      <w:tr w:rsidR="004B0883" w14:paraId="79E2B420" w14:textId="77777777">
        <w:trPr>
          <w:trHeight w:val="397"/>
          <w:jc w:val="center"/>
        </w:trPr>
        <w:tc>
          <w:tcPr>
            <w:tcW w:w="2146" w:type="dxa"/>
            <w:vAlign w:val="center"/>
          </w:tcPr>
          <w:p w14:paraId="4052453E" w14:textId="77777777" w:rsidR="004B0883" w:rsidRDefault="004B0883">
            <w:pPr>
              <w:keepNext/>
              <w:adjustRightInd w:val="0"/>
              <w:snapToGrid w:val="0"/>
              <w:rPr>
                <w:b/>
                <w:bCs/>
                <w:color w:val="000000"/>
                <w:kern w:val="0"/>
              </w:rPr>
            </w:pPr>
            <w:r>
              <w:rPr>
                <w:b/>
                <w:bCs/>
                <w:kern w:val="0"/>
              </w:rPr>
              <w:t>四、净利润（净亏损以</w:t>
            </w:r>
            <w:r>
              <w:rPr>
                <w:rFonts w:ascii="宋体" w:hAnsi="宋体"/>
                <w:b/>
                <w:bCs/>
                <w:kern w:val="0"/>
              </w:rPr>
              <w:t>“</w:t>
            </w:r>
            <w:r>
              <w:rPr>
                <w:b/>
                <w:bCs/>
                <w:kern w:val="0"/>
              </w:rPr>
              <w:t>-</w:t>
            </w:r>
            <w:r>
              <w:rPr>
                <w:rFonts w:ascii="宋体" w:hAnsi="宋体"/>
                <w:b/>
                <w:bCs/>
                <w:kern w:val="0"/>
              </w:rPr>
              <w:t>”</w:t>
            </w:r>
            <w:r>
              <w:rPr>
                <w:b/>
                <w:bCs/>
                <w:kern w:val="0"/>
              </w:rPr>
              <w:t>号填列）</w:t>
            </w:r>
          </w:p>
        </w:tc>
        <w:tc>
          <w:tcPr>
            <w:tcW w:w="1595" w:type="dxa"/>
            <w:vAlign w:val="center"/>
          </w:tcPr>
          <w:p w14:paraId="2F37240E" w14:textId="77777777" w:rsidR="004B0883" w:rsidRDefault="004B0883">
            <w:pPr>
              <w:adjustRightInd w:val="0"/>
              <w:snapToGrid w:val="0"/>
              <w:jc w:val="right"/>
              <w:rPr>
                <w:b/>
                <w:bCs/>
                <w:kern w:val="0"/>
              </w:rPr>
            </w:pPr>
            <w:r>
              <w:rPr>
                <w:b/>
                <w:bCs/>
              </w:rPr>
              <w:t>8,365.14</w:t>
            </w:r>
          </w:p>
        </w:tc>
        <w:tc>
          <w:tcPr>
            <w:tcW w:w="1595" w:type="dxa"/>
            <w:vAlign w:val="center"/>
          </w:tcPr>
          <w:p w14:paraId="716F0054" w14:textId="77777777" w:rsidR="004B0883" w:rsidRDefault="004B0883">
            <w:pPr>
              <w:adjustRightInd w:val="0"/>
              <w:snapToGrid w:val="0"/>
              <w:jc w:val="right"/>
              <w:rPr>
                <w:b/>
                <w:bCs/>
                <w:color w:val="000000"/>
                <w:kern w:val="0"/>
              </w:rPr>
            </w:pPr>
            <w:r>
              <w:rPr>
                <w:rFonts w:hint="eastAsia"/>
                <w:b/>
                <w:bCs/>
                <w:color w:val="000000"/>
                <w:kern w:val="0"/>
              </w:rPr>
              <w:t>13,688.91</w:t>
            </w:r>
          </w:p>
        </w:tc>
        <w:tc>
          <w:tcPr>
            <w:tcW w:w="1595" w:type="dxa"/>
            <w:vAlign w:val="center"/>
          </w:tcPr>
          <w:p w14:paraId="4A6C8F26" w14:textId="77777777" w:rsidR="004B0883" w:rsidRDefault="004B0883">
            <w:pPr>
              <w:adjustRightInd w:val="0"/>
              <w:snapToGrid w:val="0"/>
              <w:jc w:val="right"/>
              <w:rPr>
                <w:b/>
                <w:bCs/>
                <w:color w:val="000000"/>
                <w:kern w:val="0"/>
              </w:rPr>
            </w:pPr>
            <w:r>
              <w:rPr>
                <w:rFonts w:hint="eastAsia"/>
                <w:b/>
                <w:bCs/>
                <w:color w:val="000000"/>
                <w:kern w:val="0"/>
              </w:rPr>
              <w:t>6,431.81</w:t>
            </w:r>
          </w:p>
        </w:tc>
        <w:tc>
          <w:tcPr>
            <w:tcW w:w="1595" w:type="dxa"/>
            <w:vAlign w:val="center"/>
          </w:tcPr>
          <w:p w14:paraId="41BC8FBA" w14:textId="77777777" w:rsidR="004B0883" w:rsidRDefault="004B0883">
            <w:pPr>
              <w:adjustRightInd w:val="0"/>
              <w:snapToGrid w:val="0"/>
              <w:jc w:val="right"/>
              <w:rPr>
                <w:b/>
                <w:bCs/>
                <w:color w:val="000000"/>
                <w:kern w:val="0"/>
              </w:rPr>
            </w:pPr>
            <w:r>
              <w:rPr>
                <w:rFonts w:hint="eastAsia"/>
                <w:b/>
                <w:bCs/>
                <w:color w:val="000000"/>
                <w:kern w:val="0"/>
              </w:rPr>
              <w:t>6,567.28</w:t>
            </w:r>
          </w:p>
        </w:tc>
      </w:tr>
      <w:tr w:rsidR="004B0883" w14:paraId="099255C8" w14:textId="77777777">
        <w:trPr>
          <w:trHeight w:val="397"/>
          <w:jc w:val="center"/>
        </w:trPr>
        <w:tc>
          <w:tcPr>
            <w:tcW w:w="2146" w:type="dxa"/>
            <w:vAlign w:val="center"/>
          </w:tcPr>
          <w:p w14:paraId="09251C80" w14:textId="77777777" w:rsidR="004B0883" w:rsidRDefault="004B0883">
            <w:pPr>
              <w:adjustRightInd w:val="0"/>
              <w:snapToGrid w:val="0"/>
              <w:rPr>
                <w:kern w:val="0"/>
              </w:rPr>
            </w:pPr>
            <w:r>
              <w:rPr>
                <w:kern w:val="0"/>
              </w:rPr>
              <w:t>（一）持续经营净利润（净亏损以</w:t>
            </w:r>
            <w:r>
              <w:rPr>
                <w:rFonts w:ascii="宋体" w:hAnsi="宋体"/>
                <w:kern w:val="0"/>
              </w:rPr>
              <w:t>“</w:t>
            </w:r>
            <w:r>
              <w:rPr>
                <w:kern w:val="0"/>
              </w:rPr>
              <w:t>-</w:t>
            </w:r>
            <w:r>
              <w:rPr>
                <w:rFonts w:ascii="宋体" w:hAnsi="宋体"/>
                <w:kern w:val="0"/>
              </w:rPr>
              <w:t>”</w:t>
            </w:r>
            <w:r>
              <w:rPr>
                <w:kern w:val="0"/>
              </w:rPr>
              <w:t>号填列）</w:t>
            </w:r>
          </w:p>
        </w:tc>
        <w:tc>
          <w:tcPr>
            <w:tcW w:w="1595" w:type="dxa"/>
            <w:vAlign w:val="center"/>
          </w:tcPr>
          <w:p w14:paraId="6FC30B20" w14:textId="77777777" w:rsidR="004B0883" w:rsidRDefault="004B0883">
            <w:pPr>
              <w:adjustRightInd w:val="0"/>
              <w:snapToGrid w:val="0"/>
              <w:jc w:val="right"/>
              <w:rPr>
                <w:color w:val="000000"/>
                <w:kern w:val="0"/>
              </w:rPr>
            </w:pPr>
            <w:r>
              <w:t>8,365.14</w:t>
            </w:r>
          </w:p>
        </w:tc>
        <w:tc>
          <w:tcPr>
            <w:tcW w:w="1595" w:type="dxa"/>
            <w:vAlign w:val="center"/>
          </w:tcPr>
          <w:p w14:paraId="288EC669" w14:textId="77777777" w:rsidR="004B0883" w:rsidRDefault="004B0883">
            <w:pPr>
              <w:adjustRightInd w:val="0"/>
              <w:snapToGrid w:val="0"/>
              <w:jc w:val="right"/>
              <w:rPr>
                <w:color w:val="000000"/>
                <w:kern w:val="0"/>
              </w:rPr>
            </w:pPr>
            <w:r>
              <w:rPr>
                <w:rFonts w:hint="eastAsia"/>
                <w:color w:val="000000"/>
                <w:kern w:val="0"/>
              </w:rPr>
              <w:t>13,688.91</w:t>
            </w:r>
          </w:p>
        </w:tc>
        <w:tc>
          <w:tcPr>
            <w:tcW w:w="1595" w:type="dxa"/>
            <w:vAlign w:val="center"/>
          </w:tcPr>
          <w:p w14:paraId="085E6052" w14:textId="77777777" w:rsidR="004B0883" w:rsidRDefault="004B0883">
            <w:pPr>
              <w:adjustRightInd w:val="0"/>
              <w:snapToGrid w:val="0"/>
              <w:jc w:val="right"/>
              <w:rPr>
                <w:color w:val="000000"/>
                <w:kern w:val="0"/>
              </w:rPr>
            </w:pPr>
            <w:r>
              <w:rPr>
                <w:rFonts w:hint="eastAsia"/>
                <w:color w:val="000000"/>
                <w:kern w:val="0"/>
              </w:rPr>
              <w:t>6,431.81</w:t>
            </w:r>
          </w:p>
        </w:tc>
        <w:tc>
          <w:tcPr>
            <w:tcW w:w="1595" w:type="dxa"/>
            <w:vAlign w:val="center"/>
          </w:tcPr>
          <w:p w14:paraId="27A1E9C8" w14:textId="77777777" w:rsidR="004B0883" w:rsidRDefault="004B0883">
            <w:pPr>
              <w:adjustRightInd w:val="0"/>
              <w:snapToGrid w:val="0"/>
              <w:jc w:val="right"/>
              <w:rPr>
                <w:color w:val="000000"/>
                <w:kern w:val="0"/>
              </w:rPr>
            </w:pPr>
            <w:r>
              <w:rPr>
                <w:rFonts w:hint="eastAsia"/>
                <w:color w:val="000000"/>
                <w:kern w:val="0"/>
              </w:rPr>
              <w:t>6,567.28</w:t>
            </w:r>
          </w:p>
        </w:tc>
      </w:tr>
      <w:tr w:rsidR="004B0883" w14:paraId="0AB91E25" w14:textId="77777777">
        <w:trPr>
          <w:trHeight w:val="397"/>
          <w:jc w:val="center"/>
        </w:trPr>
        <w:tc>
          <w:tcPr>
            <w:tcW w:w="2146" w:type="dxa"/>
            <w:vAlign w:val="center"/>
          </w:tcPr>
          <w:p w14:paraId="4DF18F01" w14:textId="77777777" w:rsidR="004B0883" w:rsidRDefault="004B0883">
            <w:pPr>
              <w:adjustRightInd w:val="0"/>
              <w:snapToGrid w:val="0"/>
              <w:rPr>
                <w:kern w:val="0"/>
              </w:rPr>
            </w:pPr>
            <w:r>
              <w:rPr>
                <w:kern w:val="0"/>
              </w:rPr>
              <w:t>（二）终止经营净利润（净亏损以</w:t>
            </w:r>
            <w:r>
              <w:rPr>
                <w:rFonts w:ascii="宋体" w:hAnsi="宋体"/>
                <w:kern w:val="0"/>
              </w:rPr>
              <w:t>“</w:t>
            </w:r>
            <w:r>
              <w:rPr>
                <w:kern w:val="0"/>
              </w:rPr>
              <w:t>-</w:t>
            </w:r>
            <w:r>
              <w:rPr>
                <w:rFonts w:ascii="宋体" w:hAnsi="宋体"/>
                <w:kern w:val="0"/>
              </w:rPr>
              <w:t>”</w:t>
            </w:r>
            <w:r>
              <w:rPr>
                <w:kern w:val="0"/>
              </w:rPr>
              <w:t>号填列）</w:t>
            </w:r>
          </w:p>
        </w:tc>
        <w:tc>
          <w:tcPr>
            <w:tcW w:w="1595" w:type="dxa"/>
            <w:vAlign w:val="center"/>
          </w:tcPr>
          <w:p w14:paraId="4707FFCA" w14:textId="77777777" w:rsidR="004B0883" w:rsidRDefault="004B0883">
            <w:pPr>
              <w:adjustRightInd w:val="0"/>
              <w:snapToGrid w:val="0"/>
              <w:jc w:val="right"/>
              <w:rPr>
                <w:kern w:val="0"/>
              </w:rPr>
            </w:pPr>
            <w:r>
              <w:rPr>
                <w:rFonts w:hint="eastAsia"/>
                <w:kern w:val="0"/>
              </w:rPr>
              <w:t>-</w:t>
            </w:r>
          </w:p>
        </w:tc>
        <w:tc>
          <w:tcPr>
            <w:tcW w:w="1595" w:type="dxa"/>
            <w:vAlign w:val="center"/>
          </w:tcPr>
          <w:p w14:paraId="18ECCDD7" w14:textId="77777777" w:rsidR="004B0883" w:rsidRDefault="004B0883">
            <w:pPr>
              <w:adjustRightInd w:val="0"/>
              <w:snapToGrid w:val="0"/>
              <w:jc w:val="right"/>
              <w:rPr>
                <w:kern w:val="0"/>
              </w:rPr>
            </w:pPr>
            <w:r>
              <w:rPr>
                <w:rFonts w:hint="eastAsia"/>
                <w:kern w:val="0"/>
              </w:rPr>
              <w:t>-</w:t>
            </w:r>
          </w:p>
        </w:tc>
        <w:tc>
          <w:tcPr>
            <w:tcW w:w="1595" w:type="dxa"/>
            <w:vAlign w:val="center"/>
          </w:tcPr>
          <w:p w14:paraId="4FA16255" w14:textId="77777777" w:rsidR="004B0883" w:rsidRDefault="004B0883">
            <w:pPr>
              <w:adjustRightInd w:val="0"/>
              <w:snapToGrid w:val="0"/>
              <w:jc w:val="right"/>
              <w:rPr>
                <w:kern w:val="0"/>
              </w:rPr>
            </w:pPr>
            <w:r>
              <w:rPr>
                <w:rFonts w:hint="eastAsia"/>
                <w:kern w:val="0"/>
              </w:rPr>
              <w:t>-</w:t>
            </w:r>
          </w:p>
        </w:tc>
        <w:tc>
          <w:tcPr>
            <w:tcW w:w="1595" w:type="dxa"/>
            <w:vAlign w:val="center"/>
          </w:tcPr>
          <w:p w14:paraId="7D463DAD" w14:textId="77777777" w:rsidR="004B0883" w:rsidRDefault="004B0883">
            <w:pPr>
              <w:adjustRightInd w:val="0"/>
              <w:snapToGrid w:val="0"/>
              <w:jc w:val="right"/>
              <w:rPr>
                <w:kern w:val="0"/>
              </w:rPr>
            </w:pPr>
            <w:r>
              <w:rPr>
                <w:rFonts w:hint="eastAsia"/>
                <w:kern w:val="0"/>
              </w:rPr>
              <w:t>-</w:t>
            </w:r>
          </w:p>
        </w:tc>
      </w:tr>
      <w:tr w:rsidR="004B0883" w14:paraId="2651B383" w14:textId="77777777">
        <w:trPr>
          <w:trHeight w:val="397"/>
          <w:jc w:val="center"/>
        </w:trPr>
        <w:tc>
          <w:tcPr>
            <w:tcW w:w="2146" w:type="dxa"/>
            <w:vAlign w:val="center"/>
          </w:tcPr>
          <w:p w14:paraId="7AC63480" w14:textId="77777777" w:rsidR="004B0883" w:rsidRDefault="004B0883">
            <w:pPr>
              <w:adjustRightInd w:val="0"/>
              <w:snapToGrid w:val="0"/>
              <w:rPr>
                <w:b/>
                <w:bCs/>
                <w:color w:val="000000"/>
                <w:kern w:val="0"/>
              </w:rPr>
            </w:pPr>
            <w:r>
              <w:rPr>
                <w:rFonts w:hint="eastAsia"/>
                <w:b/>
                <w:bCs/>
                <w:kern w:val="0"/>
              </w:rPr>
              <w:t>五</w:t>
            </w:r>
            <w:r>
              <w:rPr>
                <w:b/>
                <w:bCs/>
                <w:kern w:val="0"/>
              </w:rPr>
              <w:t>、综合收益总额</w:t>
            </w:r>
          </w:p>
        </w:tc>
        <w:tc>
          <w:tcPr>
            <w:tcW w:w="1595" w:type="dxa"/>
            <w:vAlign w:val="center"/>
          </w:tcPr>
          <w:p w14:paraId="20D90225" w14:textId="77777777" w:rsidR="004B0883" w:rsidRDefault="004B0883">
            <w:pPr>
              <w:adjustRightInd w:val="0"/>
              <w:snapToGrid w:val="0"/>
              <w:jc w:val="right"/>
              <w:rPr>
                <w:b/>
                <w:bCs/>
                <w:kern w:val="0"/>
              </w:rPr>
            </w:pPr>
            <w:r>
              <w:rPr>
                <w:b/>
                <w:bCs/>
                <w:kern w:val="0"/>
              </w:rPr>
              <w:t>8,365.14</w:t>
            </w:r>
          </w:p>
        </w:tc>
        <w:tc>
          <w:tcPr>
            <w:tcW w:w="1595" w:type="dxa"/>
            <w:vAlign w:val="center"/>
          </w:tcPr>
          <w:p w14:paraId="403411CB" w14:textId="77777777" w:rsidR="004B0883" w:rsidRDefault="004B0883">
            <w:pPr>
              <w:adjustRightInd w:val="0"/>
              <w:snapToGrid w:val="0"/>
              <w:jc w:val="right"/>
              <w:rPr>
                <w:b/>
                <w:bCs/>
                <w:color w:val="000000"/>
                <w:kern w:val="0"/>
              </w:rPr>
            </w:pPr>
            <w:r>
              <w:rPr>
                <w:rFonts w:hint="eastAsia"/>
                <w:b/>
                <w:bCs/>
                <w:color w:val="000000"/>
                <w:kern w:val="0"/>
              </w:rPr>
              <w:t>13,688.91</w:t>
            </w:r>
          </w:p>
        </w:tc>
        <w:tc>
          <w:tcPr>
            <w:tcW w:w="1595" w:type="dxa"/>
            <w:vAlign w:val="center"/>
          </w:tcPr>
          <w:p w14:paraId="289B761C" w14:textId="77777777" w:rsidR="004B0883" w:rsidRDefault="004B0883">
            <w:pPr>
              <w:adjustRightInd w:val="0"/>
              <w:snapToGrid w:val="0"/>
              <w:jc w:val="right"/>
              <w:rPr>
                <w:b/>
                <w:bCs/>
                <w:color w:val="000000"/>
                <w:kern w:val="0"/>
              </w:rPr>
            </w:pPr>
            <w:r>
              <w:rPr>
                <w:rFonts w:hint="eastAsia"/>
                <w:b/>
                <w:bCs/>
                <w:color w:val="000000"/>
                <w:kern w:val="0"/>
              </w:rPr>
              <w:t>6,431.81</w:t>
            </w:r>
          </w:p>
        </w:tc>
        <w:tc>
          <w:tcPr>
            <w:tcW w:w="1595" w:type="dxa"/>
            <w:vAlign w:val="center"/>
          </w:tcPr>
          <w:p w14:paraId="6F0ED015" w14:textId="77777777" w:rsidR="004B0883" w:rsidRDefault="004B0883">
            <w:pPr>
              <w:adjustRightInd w:val="0"/>
              <w:snapToGrid w:val="0"/>
              <w:jc w:val="right"/>
              <w:rPr>
                <w:b/>
                <w:bCs/>
                <w:color w:val="000000"/>
                <w:kern w:val="0"/>
              </w:rPr>
            </w:pPr>
            <w:r>
              <w:rPr>
                <w:rFonts w:hint="eastAsia"/>
                <w:b/>
                <w:bCs/>
                <w:color w:val="000000"/>
                <w:kern w:val="0"/>
              </w:rPr>
              <w:t>6,567.28</w:t>
            </w:r>
          </w:p>
        </w:tc>
      </w:tr>
    </w:tbl>
    <w:p w14:paraId="27606210" w14:textId="77777777" w:rsidR="004B0883" w:rsidRDefault="004B0883">
      <w:pPr>
        <w:pStyle w:val="003"/>
        <w:spacing w:before="120" w:after="120"/>
        <w:rPr>
          <w:rFonts w:hint="eastAsia"/>
        </w:rPr>
      </w:pPr>
      <w:r>
        <w:rPr>
          <w:rFonts w:hint="eastAsia"/>
        </w:rPr>
        <w:t>（三）现金流量表</w:t>
      </w:r>
    </w:p>
    <w:p w14:paraId="379EBF81" w14:textId="77777777" w:rsidR="004B0883" w:rsidRDefault="004B0883">
      <w:pPr>
        <w:pStyle w:val="004"/>
        <w:spacing w:before="120" w:after="120"/>
        <w:ind w:firstLine="482"/>
      </w:pPr>
      <w:r>
        <w:rPr>
          <w:rFonts w:hint="eastAsia"/>
        </w:rPr>
        <w:t>1</w:t>
      </w:r>
      <w:r>
        <w:t>、合并现金流量表</w:t>
      </w:r>
    </w:p>
    <w:p w14:paraId="60257A79" w14:textId="77777777" w:rsidR="004B0883" w:rsidRDefault="004B0883">
      <w:pPr>
        <w:pStyle w:val="009"/>
      </w:pPr>
      <w: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106"/>
        <w:gridCol w:w="1840"/>
        <w:gridCol w:w="1445"/>
        <w:gridCol w:w="1444"/>
        <w:gridCol w:w="1445"/>
      </w:tblGrid>
      <w:tr w:rsidR="004B0883" w14:paraId="2D43D2F2" w14:textId="77777777">
        <w:trPr>
          <w:trHeight w:val="397"/>
          <w:tblHeader/>
          <w:jc w:val="center"/>
        </w:trPr>
        <w:tc>
          <w:tcPr>
            <w:tcW w:w="2212" w:type="dxa"/>
            <w:shd w:val="clear" w:color="auto" w:fill="D9D9D9"/>
            <w:vAlign w:val="center"/>
          </w:tcPr>
          <w:p w14:paraId="18D86028" w14:textId="77777777" w:rsidR="004B0883" w:rsidRDefault="004B0883">
            <w:pPr>
              <w:adjustRightInd w:val="0"/>
              <w:snapToGrid w:val="0"/>
              <w:jc w:val="center"/>
              <w:rPr>
                <w:b/>
                <w:bCs/>
                <w:color w:val="000000"/>
                <w:kern w:val="0"/>
              </w:rPr>
            </w:pPr>
            <w:r>
              <w:rPr>
                <w:b/>
                <w:bCs/>
                <w:color w:val="000000"/>
                <w:kern w:val="0"/>
              </w:rPr>
              <w:t>项目</w:t>
            </w:r>
          </w:p>
        </w:tc>
        <w:tc>
          <w:tcPr>
            <w:tcW w:w="1896" w:type="dxa"/>
            <w:shd w:val="clear" w:color="auto" w:fill="D9D9D9"/>
            <w:vAlign w:val="center"/>
          </w:tcPr>
          <w:p w14:paraId="3FED9D19" w14:textId="77777777" w:rsidR="004B0883" w:rsidRDefault="004B0883">
            <w:pPr>
              <w:adjustRightInd w:val="0"/>
              <w:snapToGrid w:val="0"/>
              <w:jc w:val="center"/>
              <w:rPr>
                <w:b/>
                <w:bCs/>
                <w:color w:val="000000"/>
                <w:kern w:val="0"/>
              </w:rPr>
            </w:pPr>
            <w:r>
              <w:rPr>
                <w:b/>
                <w:bCs/>
                <w:kern w:val="0"/>
              </w:rPr>
              <w:t>2023</w:t>
            </w:r>
            <w:r>
              <w:rPr>
                <w:b/>
                <w:bCs/>
                <w:kern w:val="0"/>
              </w:rPr>
              <w:t>年</w:t>
            </w:r>
            <w:r>
              <w:rPr>
                <w:b/>
                <w:bCs/>
                <w:kern w:val="0"/>
              </w:rPr>
              <w:t>1-</w:t>
            </w:r>
            <w:r>
              <w:rPr>
                <w:rFonts w:hint="eastAsia"/>
                <w:b/>
                <w:bCs/>
                <w:kern w:val="0"/>
              </w:rPr>
              <w:t>9</w:t>
            </w:r>
            <w:r>
              <w:rPr>
                <w:b/>
                <w:bCs/>
                <w:kern w:val="0"/>
              </w:rPr>
              <w:t>月</w:t>
            </w:r>
          </w:p>
        </w:tc>
        <w:tc>
          <w:tcPr>
            <w:tcW w:w="1473" w:type="dxa"/>
            <w:shd w:val="clear" w:color="auto" w:fill="D9D9D9"/>
            <w:vAlign w:val="center"/>
          </w:tcPr>
          <w:p w14:paraId="19B09543" w14:textId="77777777" w:rsidR="004B0883" w:rsidRDefault="004B0883">
            <w:pPr>
              <w:adjustRightInd w:val="0"/>
              <w:snapToGrid w:val="0"/>
              <w:jc w:val="center"/>
              <w:rPr>
                <w:b/>
                <w:bCs/>
                <w:color w:val="000000"/>
                <w:kern w:val="0"/>
              </w:rPr>
            </w:pPr>
            <w:r>
              <w:rPr>
                <w:b/>
                <w:bCs/>
                <w:kern w:val="0"/>
              </w:rPr>
              <w:t>2022</w:t>
            </w:r>
            <w:r>
              <w:rPr>
                <w:b/>
                <w:bCs/>
                <w:kern w:val="0"/>
              </w:rPr>
              <w:t>年度</w:t>
            </w:r>
          </w:p>
        </w:tc>
        <w:tc>
          <w:tcPr>
            <w:tcW w:w="1472" w:type="dxa"/>
            <w:shd w:val="clear" w:color="auto" w:fill="D9D9D9"/>
            <w:vAlign w:val="center"/>
          </w:tcPr>
          <w:p w14:paraId="265AE244" w14:textId="77777777" w:rsidR="004B0883" w:rsidRDefault="004B0883">
            <w:pPr>
              <w:adjustRightInd w:val="0"/>
              <w:snapToGrid w:val="0"/>
              <w:jc w:val="center"/>
              <w:rPr>
                <w:b/>
                <w:bCs/>
                <w:color w:val="000000"/>
                <w:kern w:val="0"/>
              </w:rPr>
            </w:pPr>
            <w:r>
              <w:rPr>
                <w:b/>
                <w:bCs/>
                <w:kern w:val="0"/>
              </w:rPr>
              <w:t>2021</w:t>
            </w:r>
            <w:r>
              <w:rPr>
                <w:b/>
                <w:bCs/>
                <w:kern w:val="0"/>
              </w:rPr>
              <w:t>年度</w:t>
            </w:r>
          </w:p>
        </w:tc>
        <w:tc>
          <w:tcPr>
            <w:tcW w:w="1473" w:type="dxa"/>
            <w:shd w:val="clear" w:color="auto" w:fill="D9D9D9"/>
            <w:vAlign w:val="center"/>
          </w:tcPr>
          <w:p w14:paraId="07A703A7" w14:textId="77777777" w:rsidR="004B0883" w:rsidRDefault="004B0883">
            <w:pPr>
              <w:adjustRightInd w:val="0"/>
              <w:snapToGrid w:val="0"/>
              <w:jc w:val="center"/>
              <w:rPr>
                <w:b/>
                <w:bCs/>
                <w:color w:val="000000"/>
                <w:kern w:val="0"/>
              </w:rPr>
            </w:pPr>
            <w:r>
              <w:rPr>
                <w:b/>
                <w:bCs/>
                <w:kern w:val="0"/>
              </w:rPr>
              <w:t>2020</w:t>
            </w:r>
            <w:r>
              <w:rPr>
                <w:b/>
                <w:bCs/>
                <w:kern w:val="0"/>
              </w:rPr>
              <w:t>年度</w:t>
            </w:r>
          </w:p>
        </w:tc>
      </w:tr>
      <w:tr w:rsidR="004B0883" w14:paraId="5F8B8890" w14:textId="77777777">
        <w:trPr>
          <w:trHeight w:val="397"/>
          <w:jc w:val="center"/>
        </w:trPr>
        <w:tc>
          <w:tcPr>
            <w:tcW w:w="2212" w:type="dxa"/>
            <w:vAlign w:val="center"/>
          </w:tcPr>
          <w:p w14:paraId="1E004703" w14:textId="77777777" w:rsidR="004B0883" w:rsidRDefault="004B0883">
            <w:pPr>
              <w:adjustRightInd w:val="0"/>
              <w:snapToGrid w:val="0"/>
              <w:rPr>
                <w:b/>
                <w:bCs/>
                <w:color w:val="000000"/>
                <w:kern w:val="0"/>
              </w:rPr>
            </w:pPr>
            <w:r>
              <w:rPr>
                <w:b/>
                <w:bCs/>
                <w:color w:val="000000"/>
                <w:kern w:val="0"/>
              </w:rPr>
              <w:t>一、经营活动产生的现金流量：</w:t>
            </w:r>
          </w:p>
        </w:tc>
        <w:tc>
          <w:tcPr>
            <w:tcW w:w="1896" w:type="dxa"/>
            <w:vAlign w:val="center"/>
          </w:tcPr>
          <w:p w14:paraId="0BB1014E" w14:textId="77777777" w:rsidR="004B0883" w:rsidRDefault="004B0883">
            <w:pPr>
              <w:adjustRightInd w:val="0"/>
              <w:snapToGrid w:val="0"/>
              <w:jc w:val="right"/>
              <w:rPr>
                <w:b/>
                <w:bCs/>
                <w:color w:val="000000"/>
                <w:kern w:val="0"/>
              </w:rPr>
            </w:pPr>
          </w:p>
        </w:tc>
        <w:tc>
          <w:tcPr>
            <w:tcW w:w="1473" w:type="dxa"/>
            <w:vAlign w:val="center"/>
          </w:tcPr>
          <w:p w14:paraId="208BBE31" w14:textId="77777777" w:rsidR="004B0883" w:rsidRDefault="004B0883">
            <w:pPr>
              <w:adjustRightInd w:val="0"/>
              <w:snapToGrid w:val="0"/>
              <w:jc w:val="right"/>
              <w:rPr>
                <w:color w:val="000000"/>
                <w:kern w:val="0"/>
              </w:rPr>
            </w:pPr>
          </w:p>
        </w:tc>
        <w:tc>
          <w:tcPr>
            <w:tcW w:w="1472" w:type="dxa"/>
            <w:vAlign w:val="center"/>
          </w:tcPr>
          <w:p w14:paraId="2C0C21C3" w14:textId="77777777" w:rsidR="004B0883" w:rsidRDefault="004B0883">
            <w:pPr>
              <w:adjustRightInd w:val="0"/>
              <w:snapToGrid w:val="0"/>
              <w:jc w:val="right"/>
              <w:rPr>
                <w:color w:val="000000"/>
                <w:kern w:val="0"/>
              </w:rPr>
            </w:pPr>
          </w:p>
        </w:tc>
        <w:tc>
          <w:tcPr>
            <w:tcW w:w="1473" w:type="dxa"/>
            <w:vAlign w:val="center"/>
          </w:tcPr>
          <w:p w14:paraId="68780603" w14:textId="77777777" w:rsidR="004B0883" w:rsidRDefault="004B0883">
            <w:pPr>
              <w:adjustRightInd w:val="0"/>
              <w:snapToGrid w:val="0"/>
              <w:jc w:val="right"/>
              <w:rPr>
                <w:color w:val="000000"/>
                <w:kern w:val="0"/>
              </w:rPr>
            </w:pPr>
          </w:p>
        </w:tc>
      </w:tr>
      <w:tr w:rsidR="004B0883" w14:paraId="5ABCE578" w14:textId="77777777">
        <w:trPr>
          <w:trHeight w:val="397"/>
          <w:jc w:val="center"/>
        </w:trPr>
        <w:tc>
          <w:tcPr>
            <w:tcW w:w="2212" w:type="dxa"/>
            <w:vAlign w:val="center"/>
          </w:tcPr>
          <w:p w14:paraId="0702F699" w14:textId="77777777" w:rsidR="004B0883" w:rsidRDefault="004B0883">
            <w:pPr>
              <w:adjustRightInd w:val="0"/>
              <w:snapToGrid w:val="0"/>
              <w:rPr>
                <w:color w:val="000000"/>
                <w:kern w:val="0"/>
              </w:rPr>
            </w:pPr>
            <w:r>
              <w:rPr>
                <w:color w:val="000000"/>
                <w:kern w:val="0"/>
              </w:rPr>
              <w:t>销售商品、提供劳务收到的现金</w:t>
            </w:r>
          </w:p>
        </w:tc>
        <w:tc>
          <w:tcPr>
            <w:tcW w:w="1896" w:type="dxa"/>
            <w:vAlign w:val="center"/>
          </w:tcPr>
          <w:p w14:paraId="17BB0FD8" w14:textId="77777777" w:rsidR="004B0883" w:rsidRDefault="004B0883">
            <w:pPr>
              <w:adjustRightInd w:val="0"/>
              <w:snapToGrid w:val="0"/>
              <w:jc w:val="right"/>
              <w:rPr>
                <w:color w:val="000000"/>
                <w:kern w:val="0"/>
              </w:rPr>
            </w:pPr>
            <w:r>
              <w:rPr>
                <w:color w:val="000000"/>
                <w:kern w:val="0"/>
              </w:rPr>
              <w:t>40,839.05</w:t>
            </w:r>
          </w:p>
        </w:tc>
        <w:tc>
          <w:tcPr>
            <w:tcW w:w="1473" w:type="dxa"/>
            <w:vAlign w:val="center"/>
          </w:tcPr>
          <w:p w14:paraId="7E5B9726" w14:textId="77777777" w:rsidR="004B0883" w:rsidRDefault="004B0883">
            <w:pPr>
              <w:adjustRightInd w:val="0"/>
              <w:snapToGrid w:val="0"/>
              <w:jc w:val="right"/>
              <w:rPr>
                <w:color w:val="000000"/>
                <w:kern w:val="0"/>
              </w:rPr>
            </w:pPr>
            <w:r>
              <w:rPr>
                <w:rFonts w:hint="eastAsia"/>
                <w:color w:val="000000"/>
                <w:kern w:val="0"/>
              </w:rPr>
              <w:t>50,096.75</w:t>
            </w:r>
          </w:p>
        </w:tc>
        <w:tc>
          <w:tcPr>
            <w:tcW w:w="1472" w:type="dxa"/>
            <w:vAlign w:val="center"/>
          </w:tcPr>
          <w:p w14:paraId="1AC28A2A" w14:textId="77777777" w:rsidR="004B0883" w:rsidRDefault="004B0883">
            <w:pPr>
              <w:adjustRightInd w:val="0"/>
              <w:snapToGrid w:val="0"/>
              <w:jc w:val="right"/>
              <w:rPr>
                <w:color w:val="000000"/>
                <w:kern w:val="0"/>
              </w:rPr>
            </w:pPr>
            <w:r>
              <w:rPr>
                <w:rFonts w:hint="eastAsia"/>
                <w:color w:val="000000"/>
                <w:kern w:val="0"/>
              </w:rPr>
              <w:t>38,747.07</w:t>
            </w:r>
          </w:p>
        </w:tc>
        <w:tc>
          <w:tcPr>
            <w:tcW w:w="1473" w:type="dxa"/>
            <w:vAlign w:val="center"/>
          </w:tcPr>
          <w:p w14:paraId="343B1C64" w14:textId="77777777" w:rsidR="004B0883" w:rsidRDefault="004B0883">
            <w:pPr>
              <w:adjustRightInd w:val="0"/>
              <w:snapToGrid w:val="0"/>
              <w:jc w:val="right"/>
              <w:rPr>
                <w:color w:val="000000"/>
                <w:kern w:val="0"/>
              </w:rPr>
            </w:pPr>
            <w:r>
              <w:rPr>
                <w:rFonts w:hint="eastAsia"/>
                <w:color w:val="000000"/>
                <w:kern w:val="0"/>
              </w:rPr>
              <w:t>37,606.50</w:t>
            </w:r>
          </w:p>
        </w:tc>
      </w:tr>
      <w:tr w:rsidR="004B0883" w14:paraId="5A56B349" w14:textId="77777777">
        <w:trPr>
          <w:trHeight w:val="397"/>
          <w:jc w:val="center"/>
        </w:trPr>
        <w:tc>
          <w:tcPr>
            <w:tcW w:w="2212" w:type="dxa"/>
            <w:vAlign w:val="center"/>
          </w:tcPr>
          <w:p w14:paraId="1BBC0ED4" w14:textId="77777777" w:rsidR="004B0883" w:rsidRDefault="004B0883">
            <w:pPr>
              <w:adjustRightInd w:val="0"/>
              <w:snapToGrid w:val="0"/>
              <w:rPr>
                <w:color w:val="000000"/>
                <w:kern w:val="0"/>
              </w:rPr>
            </w:pPr>
            <w:r>
              <w:rPr>
                <w:color w:val="000000"/>
                <w:kern w:val="0"/>
              </w:rPr>
              <w:t>收到的税费返还</w:t>
            </w:r>
          </w:p>
        </w:tc>
        <w:tc>
          <w:tcPr>
            <w:tcW w:w="1896" w:type="dxa"/>
            <w:vAlign w:val="center"/>
          </w:tcPr>
          <w:p w14:paraId="18919384" w14:textId="77777777" w:rsidR="004B0883" w:rsidRDefault="004B0883">
            <w:pPr>
              <w:adjustRightInd w:val="0"/>
              <w:snapToGrid w:val="0"/>
              <w:jc w:val="right"/>
              <w:rPr>
                <w:color w:val="000000"/>
                <w:kern w:val="0"/>
              </w:rPr>
            </w:pPr>
            <w:r>
              <w:t>1,976.62</w:t>
            </w:r>
          </w:p>
        </w:tc>
        <w:tc>
          <w:tcPr>
            <w:tcW w:w="1473" w:type="dxa"/>
            <w:vAlign w:val="center"/>
          </w:tcPr>
          <w:p w14:paraId="23D4E0C8" w14:textId="77777777" w:rsidR="004B0883" w:rsidRDefault="004B0883">
            <w:pPr>
              <w:adjustRightInd w:val="0"/>
              <w:snapToGrid w:val="0"/>
              <w:jc w:val="right"/>
              <w:rPr>
                <w:color w:val="000000"/>
                <w:kern w:val="0"/>
              </w:rPr>
            </w:pPr>
            <w:r>
              <w:rPr>
                <w:rFonts w:hint="eastAsia"/>
                <w:color w:val="000000"/>
                <w:kern w:val="0"/>
              </w:rPr>
              <w:t>3,283.70</w:t>
            </w:r>
          </w:p>
        </w:tc>
        <w:tc>
          <w:tcPr>
            <w:tcW w:w="1472" w:type="dxa"/>
            <w:vAlign w:val="center"/>
          </w:tcPr>
          <w:p w14:paraId="38C02A7B" w14:textId="77777777" w:rsidR="004B0883" w:rsidRDefault="004B0883">
            <w:pPr>
              <w:adjustRightInd w:val="0"/>
              <w:snapToGrid w:val="0"/>
              <w:jc w:val="right"/>
              <w:rPr>
                <w:color w:val="000000"/>
                <w:kern w:val="0"/>
              </w:rPr>
            </w:pPr>
            <w:r>
              <w:rPr>
                <w:rFonts w:hint="eastAsia"/>
                <w:color w:val="000000"/>
                <w:kern w:val="0"/>
              </w:rPr>
              <w:t>2,419.49</w:t>
            </w:r>
          </w:p>
        </w:tc>
        <w:tc>
          <w:tcPr>
            <w:tcW w:w="1473" w:type="dxa"/>
            <w:vAlign w:val="center"/>
          </w:tcPr>
          <w:p w14:paraId="3F2A71A6" w14:textId="77777777" w:rsidR="004B0883" w:rsidRDefault="004B0883">
            <w:pPr>
              <w:adjustRightInd w:val="0"/>
              <w:snapToGrid w:val="0"/>
              <w:jc w:val="right"/>
              <w:rPr>
                <w:color w:val="000000"/>
                <w:kern w:val="0"/>
              </w:rPr>
            </w:pPr>
            <w:r>
              <w:rPr>
                <w:rFonts w:hint="eastAsia"/>
                <w:color w:val="000000"/>
                <w:kern w:val="0"/>
              </w:rPr>
              <w:t>1,947.42</w:t>
            </w:r>
          </w:p>
        </w:tc>
      </w:tr>
      <w:tr w:rsidR="004B0883" w14:paraId="781F0BD1" w14:textId="77777777">
        <w:trPr>
          <w:trHeight w:val="397"/>
          <w:jc w:val="center"/>
        </w:trPr>
        <w:tc>
          <w:tcPr>
            <w:tcW w:w="2212" w:type="dxa"/>
            <w:vAlign w:val="center"/>
          </w:tcPr>
          <w:p w14:paraId="4B28EA62" w14:textId="77777777" w:rsidR="004B0883" w:rsidRDefault="004B0883">
            <w:pPr>
              <w:adjustRightInd w:val="0"/>
              <w:snapToGrid w:val="0"/>
              <w:rPr>
                <w:color w:val="000000"/>
                <w:kern w:val="0"/>
              </w:rPr>
            </w:pPr>
            <w:r>
              <w:rPr>
                <w:color w:val="000000"/>
                <w:kern w:val="0"/>
              </w:rPr>
              <w:t>收到其他与经营活动有关的现金</w:t>
            </w:r>
          </w:p>
        </w:tc>
        <w:tc>
          <w:tcPr>
            <w:tcW w:w="1896" w:type="dxa"/>
            <w:vAlign w:val="center"/>
          </w:tcPr>
          <w:p w14:paraId="7BB49CE5" w14:textId="77777777" w:rsidR="004B0883" w:rsidRDefault="004B0883">
            <w:pPr>
              <w:adjustRightInd w:val="0"/>
              <w:snapToGrid w:val="0"/>
              <w:jc w:val="right"/>
              <w:rPr>
                <w:color w:val="000000"/>
                <w:kern w:val="0"/>
              </w:rPr>
            </w:pPr>
            <w:r>
              <w:t>134.21</w:t>
            </w:r>
          </w:p>
        </w:tc>
        <w:tc>
          <w:tcPr>
            <w:tcW w:w="1473" w:type="dxa"/>
            <w:vAlign w:val="center"/>
          </w:tcPr>
          <w:p w14:paraId="5AF40197" w14:textId="77777777" w:rsidR="004B0883" w:rsidRDefault="004B0883">
            <w:pPr>
              <w:adjustRightInd w:val="0"/>
              <w:snapToGrid w:val="0"/>
              <w:jc w:val="right"/>
              <w:rPr>
                <w:color w:val="000000"/>
                <w:kern w:val="0"/>
              </w:rPr>
            </w:pPr>
            <w:r>
              <w:rPr>
                <w:rFonts w:hint="eastAsia"/>
                <w:color w:val="000000"/>
                <w:kern w:val="0"/>
              </w:rPr>
              <w:t>711.47</w:t>
            </w:r>
          </w:p>
        </w:tc>
        <w:tc>
          <w:tcPr>
            <w:tcW w:w="1472" w:type="dxa"/>
            <w:vAlign w:val="center"/>
          </w:tcPr>
          <w:p w14:paraId="5DEDD632" w14:textId="77777777" w:rsidR="004B0883" w:rsidRDefault="004B0883">
            <w:pPr>
              <w:adjustRightInd w:val="0"/>
              <w:snapToGrid w:val="0"/>
              <w:jc w:val="right"/>
              <w:rPr>
                <w:color w:val="000000"/>
                <w:kern w:val="0"/>
              </w:rPr>
            </w:pPr>
            <w:r>
              <w:rPr>
                <w:rFonts w:hint="eastAsia"/>
                <w:color w:val="000000"/>
                <w:kern w:val="0"/>
              </w:rPr>
              <w:t>932.95</w:t>
            </w:r>
          </w:p>
        </w:tc>
        <w:tc>
          <w:tcPr>
            <w:tcW w:w="1473" w:type="dxa"/>
            <w:vAlign w:val="center"/>
          </w:tcPr>
          <w:p w14:paraId="083F1BED" w14:textId="77777777" w:rsidR="004B0883" w:rsidRDefault="004B0883">
            <w:pPr>
              <w:adjustRightInd w:val="0"/>
              <w:snapToGrid w:val="0"/>
              <w:jc w:val="right"/>
              <w:rPr>
                <w:color w:val="000000"/>
                <w:kern w:val="0"/>
              </w:rPr>
            </w:pPr>
            <w:r>
              <w:rPr>
                <w:rFonts w:hint="eastAsia"/>
                <w:color w:val="000000"/>
                <w:kern w:val="0"/>
              </w:rPr>
              <w:t>853.69</w:t>
            </w:r>
          </w:p>
        </w:tc>
      </w:tr>
      <w:tr w:rsidR="004B0883" w14:paraId="2ECA7B32" w14:textId="77777777">
        <w:trPr>
          <w:trHeight w:val="397"/>
          <w:jc w:val="center"/>
        </w:trPr>
        <w:tc>
          <w:tcPr>
            <w:tcW w:w="2212" w:type="dxa"/>
            <w:vAlign w:val="center"/>
          </w:tcPr>
          <w:p w14:paraId="5A153E05" w14:textId="77777777" w:rsidR="004B0883" w:rsidRDefault="004B0883">
            <w:pPr>
              <w:adjustRightInd w:val="0"/>
              <w:snapToGrid w:val="0"/>
              <w:rPr>
                <w:b/>
                <w:bCs/>
                <w:color w:val="000000"/>
                <w:kern w:val="0"/>
              </w:rPr>
            </w:pPr>
            <w:r>
              <w:rPr>
                <w:b/>
                <w:bCs/>
                <w:color w:val="000000"/>
                <w:kern w:val="0"/>
              </w:rPr>
              <w:t>经营活动现金流入小计</w:t>
            </w:r>
          </w:p>
        </w:tc>
        <w:tc>
          <w:tcPr>
            <w:tcW w:w="1896" w:type="dxa"/>
            <w:vAlign w:val="center"/>
          </w:tcPr>
          <w:p w14:paraId="7BF931A3" w14:textId="77777777" w:rsidR="004B0883" w:rsidRDefault="004B0883">
            <w:pPr>
              <w:adjustRightInd w:val="0"/>
              <w:snapToGrid w:val="0"/>
              <w:jc w:val="right"/>
              <w:rPr>
                <w:b/>
                <w:bCs/>
                <w:color w:val="000000"/>
                <w:kern w:val="0"/>
              </w:rPr>
            </w:pPr>
            <w:r>
              <w:rPr>
                <w:b/>
                <w:bCs/>
              </w:rPr>
              <w:t>42,949.88</w:t>
            </w:r>
          </w:p>
        </w:tc>
        <w:tc>
          <w:tcPr>
            <w:tcW w:w="1473" w:type="dxa"/>
            <w:vAlign w:val="center"/>
          </w:tcPr>
          <w:p w14:paraId="21F222AB" w14:textId="77777777" w:rsidR="004B0883" w:rsidRDefault="004B0883">
            <w:pPr>
              <w:adjustRightInd w:val="0"/>
              <w:snapToGrid w:val="0"/>
              <w:jc w:val="right"/>
              <w:rPr>
                <w:b/>
                <w:bCs/>
                <w:color w:val="000000"/>
                <w:kern w:val="0"/>
              </w:rPr>
            </w:pPr>
            <w:r>
              <w:rPr>
                <w:rFonts w:hint="eastAsia"/>
                <w:b/>
                <w:bCs/>
                <w:color w:val="000000"/>
                <w:kern w:val="0"/>
              </w:rPr>
              <w:t>54,091.92</w:t>
            </w:r>
          </w:p>
        </w:tc>
        <w:tc>
          <w:tcPr>
            <w:tcW w:w="1472" w:type="dxa"/>
            <w:vAlign w:val="center"/>
          </w:tcPr>
          <w:p w14:paraId="6128B5B0" w14:textId="77777777" w:rsidR="004B0883" w:rsidRDefault="004B0883">
            <w:pPr>
              <w:adjustRightInd w:val="0"/>
              <w:snapToGrid w:val="0"/>
              <w:jc w:val="right"/>
              <w:rPr>
                <w:b/>
                <w:bCs/>
                <w:color w:val="000000"/>
                <w:kern w:val="0"/>
              </w:rPr>
            </w:pPr>
            <w:r>
              <w:rPr>
                <w:rFonts w:hint="eastAsia"/>
                <w:b/>
                <w:bCs/>
                <w:color w:val="000000"/>
                <w:kern w:val="0"/>
              </w:rPr>
              <w:t>42,099.51</w:t>
            </w:r>
          </w:p>
        </w:tc>
        <w:tc>
          <w:tcPr>
            <w:tcW w:w="1473" w:type="dxa"/>
            <w:vAlign w:val="center"/>
          </w:tcPr>
          <w:p w14:paraId="71CF0A49" w14:textId="77777777" w:rsidR="004B0883" w:rsidRDefault="004B0883">
            <w:pPr>
              <w:adjustRightInd w:val="0"/>
              <w:snapToGrid w:val="0"/>
              <w:jc w:val="right"/>
              <w:rPr>
                <w:b/>
                <w:bCs/>
                <w:color w:val="000000"/>
                <w:kern w:val="0"/>
              </w:rPr>
            </w:pPr>
            <w:r>
              <w:rPr>
                <w:rFonts w:hint="eastAsia"/>
                <w:b/>
                <w:bCs/>
                <w:color w:val="000000"/>
                <w:kern w:val="0"/>
              </w:rPr>
              <w:t>40,407.61</w:t>
            </w:r>
          </w:p>
        </w:tc>
      </w:tr>
      <w:tr w:rsidR="004B0883" w14:paraId="3A2A887B" w14:textId="77777777">
        <w:trPr>
          <w:trHeight w:val="397"/>
          <w:jc w:val="center"/>
        </w:trPr>
        <w:tc>
          <w:tcPr>
            <w:tcW w:w="2212" w:type="dxa"/>
            <w:vAlign w:val="center"/>
          </w:tcPr>
          <w:p w14:paraId="28E4FD90" w14:textId="77777777" w:rsidR="004B0883" w:rsidRDefault="004B0883">
            <w:pPr>
              <w:adjustRightInd w:val="0"/>
              <w:snapToGrid w:val="0"/>
              <w:rPr>
                <w:color w:val="000000"/>
                <w:kern w:val="0"/>
              </w:rPr>
            </w:pPr>
            <w:r>
              <w:rPr>
                <w:color w:val="000000"/>
                <w:kern w:val="0"/>
              </w:rPr>
              <w:t>购买商品、接受劳务支付的现金</w:t>
            </w:r>
          </w:p>
        </w:tc>
        <w:tc>
          <w:tcPr>
            <w:tcW w:w="1896" w:type="dxa"/>
            <w:vAlign w:val="center"/>
          </w:tcPr>
          <w:p w14:paraId="73E05354" w14:textId="77777777" w:rsidR="004B0883" w:rsidRDefault="004B0883">
            <w:pPr>
              <w:adjustRightInd w:val="0"/>
              <w:snapToGrid w:val="0"/>
              <w:jc w:val="right"/>
              <w:rPr>
                <w:color w:val="000000"/>
                <w:kern w:val="0"/>
              </w:rPr>
            </w:pPr>
            <w:r>
              <w:t>21,172.83</w:t>
            </w:r>
          </w:p>
        </w:tc>
        <w:tc>
          <w:tcPr>
            <w:tcW w:w="1473" w:type="dxa"/>
            <w:vAlign w:val="center"/>
          </w:tcPr>
          <w:p w14:paraId="7FE9AB6F" w14:textId="77777777" w:rsidR="004B0883" w:rsidRDefault="004B0883">
            <w:pPr>
              <w:adjustRightInd w:val="0"/>
              <w:snapToGrid w:val="0"/>
              <w:jc w:val="right"/>
              <w:rPr>
                <w:color w:val="000000"/>
                <w:kern w:val="0"/>
              </w:rPr>
            </w:pPr>
            <w:r>
              <w:rPr>
                <w:rFonts w:hint="eastAsia"/>
                <w:color w:val="000000"/>
                <w:kern w:val="0"/>
              </w:rPr>
              <w:t>26,850.47</w:t>
            </w:r>
          </w:p>
        </w:tc>
        <w:tc>
          <w:tcPr>
            <w:tcW w:w="1472" w:type="dxa"/>
            <w:vAlign w:val="center"/>
          </w:tcPr>
          <w:p w14:paraId="4262AD25" w14:textId="77777777" w:rsidR="004B0883" w:rsidRDefault="004B0883">
            <w:pPr>
              <w:adjustRightInd w:val="0"/>
              <w:snapToGrid w:val="0"/>
              <w:jc w:val="right"/>
              <w:rPr>
                <w:color w:val="000000"/>
                <w:kern w:val="0"/>
              </w:rPr>
            </w:pPr>
            <w:r>
              <w:rPr>
                <w:rFonts w:hint="eastAsia"/>
                <w:color w:val="000000"/>
                <w:kern w:val="0"/>
              </w:rPr>
              <w:t>30,180.56</w:t>
            </w:r>
          </w:p>
        </w:tc>
        <w:tc>
          <w:tcPr>
            <w:tcW w:w="1473" w:type="dxa"/>
            <w:vAlign w:val="center"/>
          </w:tcPr>
          <w:p w14:paraId="5E994CF7" w14:textId="77777777" w:rsidR="004B0883" w:rsidRDefault="004B0883">
            <w:pPr>
              <w:adjustRightInd w:val="0"/>
              <w:snapToGrid w:val="0"/>
              <w:jc w:val="right"/>
              <w:rPr>
                <w:color w:val="000000"/>
                <w:kern w:val="0"/>
              </w:rPr>
            </w:pPr>
            <w:r>
              <w:rPr>
                <w:rFonts w:hint="eastAsia"/>
                <w:color w:val="000000"/>
                <w:kern w:val="0"/>
              </w:rPr>
              <w:t>21,533.71</w:t>
            </w:r>
          </w:p>
        </w:tc>
      </w:tr>
      <w:tr w:rsidR="004B0883" w14:paraId="0ABAE63E" w14:textId="77777777">
        <w:trPr>
          <w:trHeight w:val="397"/>
          <w:jc w:val="center"/>
        </w:trPr>
        <w:tc>
          <w:tcPr>
            <w:tcW w:w="2212" w:type="dxa"/>
            <w:vAlign w:val="center"/>
          </w:tcPr>
          <w:p w14:paraId="0CC2ADFA" w14:textId="77777777" w:rsidR="004B0883" w:rsidRDefault="004B0883">
            <w:pPr>
              <w:adjustRightInd w:val="0"/>
              <w:snapToGrid w:val="0"/>
              <w:rPr>
                <w:color w:val="000000"/>
                <w:kern w:val="0"/>
              </w:rPr>
            </w:pPr>
            <w:r>
              <w:rPr>
                <w:color w:val="000000"/>
                <w:kern w:val="0"/>
              </w:rPr>
              <w:t>支付给职工以及为职工支付的现金</w:t>
            </w:r>
          </w:p>
        </w:tc>
        <w:tc>
          <w:tcPr>
            <w:tcW w:w="1896" w:type="dxa"/>
            <w:vAlign w:val="center"/>
          </w:tcPr>
          <w:p w14:paraId="23991AC0" w14:textId="77777777" w:rsidR="004B0883" w:rsidRDefault="004B0883">
            <w:pPr>
              <w:adjustRightInd w:val="0"/>
              <w:snapToGrid w:val="0"/>
              <w:jc w:val="right"/>
              <w:rPr>
                <w:color w:val="000000"/>
                <w:kern w:val="0"/>
              </w:rPr>
            </w:pPr>
            <w:r>
              <w:t>6,188.25</w:t>
            </w:r>
          </w:p>
        </w:tc>
        <w:tc>
          <w:tcPr>
            <w:tcW w:w="1473" w:type="dxa"/>
            <w:vAlign w:val="center"/>
          </w:tcPr>
          <w:p w14:paraId="43A403CD" w14:textId="77777777" w:rsidR="004B0883" w:rsidRDefault="004B0883">
            <w:pPr>
              <w:adjustRightInd w:val="0"/>
              <w:snapToGrid w:val="0"/>
              <w:jc w:val="right"/>
              <w:rPr>
                <w:color w:val="000000"/>
                <w:kern w:val="0"/>
              </w:rPr>
            </w:pPr>
            <w:r>
              <w:rPr>
                <w:rFonts w:hint="eastAsia"/>
                <w:color w:val="000000"/>
                <w:kern w:val="0"/>
              </w:rPr>
              <w:t>7,594.96</w:t>
            </w:r>
          </w:p>
        </w:tc>
        <w:tc>
          <w:tcPr>
            <w:tcW w:w="1472" w:type="dxa"/>
            <w:vAlign w:val="center"/>
          </w:tcPr>
          <w:p w14:paraId="0632B754" w14:textId="77777777" w:rsidR="004B0883" w:rsidRDefault="004B0883">
            <w:pPr>
              <w:adjustRightInd w:val="0"/>
              <w:snapToGrid w:val="0"/>
              <w:jc w:val="right"/>
              <w:rPr>
                <w:color w:val="000000"/>
                <w:kern w:val="0"/>
              </w:rPr>
            </w:pPr>
            <w:r>
              <w:rPr>
                <w:rFonts w:hint="eastAsia"/>
                <w:color w:val="000000"/>
                <w:kern w:val="0"/>
              </w:rPr>
              <w:t>6,431.42</w:t>
            </w:r>
          </w:p>
        </w:tc>
        <w:tc>
          <w:tcPr>
            <w:tcW w:w="1473" w:type="dxa"/>
            <w:vAlign w:val="center"/>
          </w:tcPr>
          <w:p w14:paraId="62AFBB8C" w14:textId="77777777" w:rsidR="004B0883" w:rsidRDefault="004B0883">
            <w:pPr>
              <w:adjustRightInd w:val="0"/>
              <w:snapToGrid w:val="0"/>
              <w:jc w:val="right"/>
              <w:rPr>
                <w:color w:val="000000"/>
                <w:kern w:val="0"/>
              </w:rPr>
            </w:pPr>
            <w:r>
              <w:rPr>
                <w:rFonts w:hint="eastAsia"/>
                <w:color w:val="000000"/>
                <w:kern w:val="0"/>
              </w:rPr>
              <w:t>4,976.22</w:t>
            </w:r>
          </w:p>
        </w:tc>
      </w:tr>
      <w:tr w:rsidR="004B0883" w14:paraId="6B6E9BEE" w14:textId="77777777">
        <w:trPr>
          <w:trHeight w:val="397"/>
          <w:jc w:val="center"/>
        </w:trPr>
        <w:tc>
          <w:tcPr>
            <w:tcW w:w="2212" w:type="dxa"/>
            <w:vAlign w:val="center"/>
          </w:tcPr>
          <w:p w14:paraId="3F1FA015" w14:textId="77777777" w:rsidR="004B0883" w:rsidRDefault="004B0883">
            <w:pPr>
              <w:adjustRightInd w:val="0"/>
              <w:snapToGrid w:val="0"/>
              <w:rPr>
                <w:color w:val="000000"/>
                <w:kern w:val="0"/>
              </w:rPr>
            </w:pPr>
            <w:r>
              <w:rPr>
                <w:color w:val="000000"/>
                <w:kern w:val="0"/>
              </w:rPr>
              <w:t>支付的各项税费</w:t>
            </w:r>
          </w:p>
        </w:tc>
        <w:tc>
          <w:tcPr>
            <w:tcW w:w="1896" w:type="dxa"/>
            <w:vAlign w:val="center"/>
          </w:tcPr>
          <w:p w14:paraId="3B4D0B03" w14:textId="77777777" w:rsidR="004B0883" w:rsidRDefault="004B0883">
            <w:pPr>
              <w:adjustRightInd w:val="0"/>
              <w:snapToGrid w:val="0"/>
              <w:jc w:val="right"/>
              <w:rPr>
                <w:color w:val="000000"/>
                <w:kern w:val="0"/>
              </w:rPr>
            </w:pPr>
            <w:r>
              <w:t>3,086.29</w:t>
            </w:r>
          </w:p>
        </w:tc>
        <w:tc>
          <w:tcPr>
            <w:tcW w:w="1473" w:type="dxa"/>
            <w:vAlign w:val="center"/>
          </w:tcPr>
          <w:p w14:paraId="15AC5393" w14:textId="77777777" w:rsidR="004B0883" w:rsidRDefault="004B0883">
            <w:pPr>
              <w:adjustRightInd w:val="0"/>
              <w:snapToGrid w:val="0"/>
              <w:jc w:val="right"/>
              <w:rPr>
                <w:color w:val="000000"/>
                <w:kern w:val="0"/>
              </w:rPr>
            </w:pPr>
            <w:r>
              <w:rPr>
                <w:rFonts w:hint="eastAsia"/>
                <w:color w:val="000000"/>
                <w:kern w:val="0"/>
              </w:rPr>
              <w:t>2,587.97</w:t>
            </w:r>
          </w:p>
        </w:tc>
        <w:tc>
          <w:tcPr>
            <w:tcW w:w="1472" w:type="dxa"/>
            <w:vAlign w:val="center"/>
          </w:tcPr>
          <w:p w14:paraId="0F0EEDF2" w14:textId="77777777" w:rsidR="004B0883" w:rsidRDefault="004B0883">
            <w:pPr>
              <w:adjustRightInd w:val="0"/>
              <w:snapToGrid w:val="0"/>
              <w:jc w:val="right"/>
              <w:rPr>
                <w:color w:val="000000"/>
                <w:kern w:val="0"/>
              </w:rPr>
            </w:pPr>
            <w:r>
              <w:rPr>
                <w:rFonts w:hint="eastAsia"/>
                <w:color w:val="000000"/>
                <w:kern w:val="0"/>
              </w:rPr>
              <w:t>1,190.13</w:t>
            </w:r>
          </w:p>
        </w:tc>
        <w:tc>
          <w:tcPr>
            <w:tcW w:w="1473" w:type="dxa"/>
            <w:vAlign w:val="center"/>
          </w:tcPr>
          <w:p w14:paraId="4ACB1197" w14:textId="77777777" w:rsidR="004B0883" w:rsidRDefault="004B0883">
            <w:pPr>
              <w:adjustRightInd w:val="0"/>
              <w:snapToGrid w:val="0"/>
              <w:jc w:val="right"/>
              <w:rPr>
                <w:color w:val="000000"/>
                <w:kern w:val="0"/>
              </w:rPr>
            </w:pPr>
            <w:r>
              <w:rPr>
                <w:rFonts w:hint="eastAsia"/>
                <w:color w:val="000000"/>
                <w:kern w:val="0"/>
              </w:rPr>
              <w:t>1,655.92</w:t>
            </w:r>
          </w:p>
        </w:tc>
      </w:tr>
      <w:tr w:rsidR="004B0883" w14:paraId="1445E79F" w14:textId="77777777">
        <w:trPr>
          <w:trHeight w:val="397"/>
          <w:jc w:val="center"/>
        </w:trPr>
        <w:tc>
          <w:tcPr>
            <w:tcW w:w="2212" w:type="dxa"/>
            <w:vAlign w:val="center"/>
          </w:tcPr>
          <w:p w14:paraId="0D60DDA5" w14:textId="77777777" w:rsidR="004B0883" w:rsidRDefault="004B0883">
            <w:pPr>
              <w:adjustRightInd w:val="0"/>
              <w:snapToGrid w:val="0"/>
              <w:rPr>
                <w:color w:val="000000"/>
                <w:kern w:val="0"/>
              </w:rPr>
            </w:pPr>
            <w:r>
              <w:rPr>
                <w:color w:val="000000"/>
                <w:kern w:val="0"/>
              </w:rPr>
              <w:t>支付其他与经营活动有关的现金</w:t>
            </w:r>
          </w:p>
        </w:tc>
        <w:tc>
          <w:tcPr>
            <w:tcW w:w="1896" w:type="dxa"/>
            <w:vAlign w:val="center"/>
          </w:tcPr>
          <w:p w14:paraId="5823B0DF" w14:textId="77777777" w:rsidR="004B0883" w:rsidRDefault="004B0883">
            <w:pPr>
              <w:adjustRightInd w:val="0"/>
              <w:snapToGrid w:val="0"/>
              <w:jc w:val="right"/>
              <w:rPr>
                <w:color w:val="000000"/>
                <w:kern w:val="0"/>
              </w:rPr>
            </w:pPr>
            <w:r>
              <w:t>2,540.08</w:t>
            </w:r>
          </w:p>
        </w:tc>
        <w:tc>
          <w:tcPr>
            <w:tcW w:w="1473" w:type="dxa"/>
            <w:vAlign w:val="center"/>
          </w:tcPr>
          <w:p w14:paraId="6C45421C" w14:textId="77777777" w:rsidR="004B0883" w:rsidRDefault="004B0883">
            <w:pPr>
              <w:adjustRightInd w:val="0"/>
              <w:snapToGrid w:val="0"/>
              <w:jc w:val="right"/>
              <w:rPr>
                <w:color w:val="000000"/>
                <w:kern w:val="0"/>
              </w:rPr>
            </w:pPr>
            <w:r>
              <w:rPr>
                <w:rFonts w:hint="eastAsia"/>
                <w:color w:val="000000"/>
                <w:kern w:val="0"/>
              </w:rPr>
              <w:t>3,587.73</w:t>
            </w:r>
          </w:p>
        </w:tc>
        <w:tc>
          <w:tcPr>
            <w:tcW w:w="1472" w:type="dxa"/>
            <w:vAlign w:val="center"/>
          </w:tcPr>
          <w:p w14:paraId="380629FA" w14:textId="77777777" w:rsidR="004B0883" w:rsidRDefault="004B0883">
            <w:pPr>
              <w:adjustRightInd w:val="0"/>
              <w:snapToGrid w:val="0"/>
              <w:jc w:val="right"/>
              <w:rPr>
                <w:color w:val="000000"/>
                <w:kern w:val="0"/>
              </w:rPr>
            </w:pPr>
            <w:r>
              <w:rPr>
                <w:rFonts w:hint="eastAsia"/>
                <w:color w:val="000000"/>
                <w:kern w:val="0"/>
              </w:rPr>
              <w:t>3,158.67</w:t>
            </w:r>
          </w:p>
        </w:tc>
        <w:tc>
          <w:tcPr>
            <w:tcW w:w="1473" w:type="dxa"/>
            <w:vAlign w:val="center"/>
          </w:tcPr>
          <w:p w14:paraId="5F8534C2" w14:textId="77777777" w:rsidR="004B0883" w:rsidRDefault="004B0883">
            <w:pPr>
              <w:adjustRightInd w:val="0"/>
              <w:snapToGrid w:val="0"/>
              <w:jc w:val="right"/>
              <w:rPr>
                <w:color w:val="000000"/>
                <w:kern w:val="0"/>
              </w:rPr>
            </w:pPr>
            <w:r>
              <w:rPr>
                <w:rFonts w:hint="eastAsia"/>
                <w:color w:val="000000"/>
                <w:kern w:val="0"/>
              </w:rPr>
              <w:t>3,247.14</w:t>
            </w:r>
          </w:p>
        </w:tc>
      </w:tr>
      <w:tr w:rsidR="004B0883" w14:paraId="2C30A032" w14:textId="77777777">
        <w:trPr>
          <w:trHeight w:val="397"/>
          <w:jc w:val="center"/>
        </w:trPr>
        <w:tc>
          <w:tcPr>
            <w:tcW w:w="2212" w:type="dxa"/>
            <w:vAlign w:val="center"/>
          </w:tcPr>
          <w:p w14:paraId="58D37CE0" w14:textId="77777777" w:rsidR="004B0883" w:rsidRDefault="004B0883">
            <w:pPr>
              <w:adjustRightInd w:val="0"/>
              <w:snapToGrid w:val="0"/>
              <w:rPr>
                <w:b/>
                <w:bCs/>
                <w:color w:val="000000"/>
                <w:kern w:val="0"/>
              </w:rPr>
            </w:pPr>
            <w:r>
              <w:rPr>
                <w:b/>
                <w:bCs/>
                <w:color w:val="000000"/>
                <w:kern w:val="0"/>
              </w:rPr>
              <w:t>经营活动现金流出小计</w:t>
            </w:r>
          </w:p>
        </w:tc>
        <w:tc>
          <w:tcPr>
            <w:tcW w:w="1896" w:type="dxa"/>
            <w:vAlign w:val="center"/>
          </w:tcPr>
          <w:p w14:paraId="446A8D78" w14:textId="77777777" w:rsidR="004B0883" w:rsidRDefault="004B0883">
            <w:pPr>
              <w:adjustRightInd w:val="0"/>
              <w:snapToGrid w:val="0"/>
              <w:jc w:val="right"/>
              <w:rPr>
                <w:b/>
                <w:bCs/>
                <w:color w:val="000000"/>
                <w:kern w:val="0"/>
              </w:rPr>
            </w:pPr>
            <w:r>
              <w:rPr>
                <w:b/>
                <w:bCs/>
              </w:rPr>
              <w:t>32,987.45</w:t>
            </w:r>
          </w:p>
        </w:tc>
        <w:tc>
          <w:tcPr>
            <w:tcW w:w="1473" w:type="dxa"/>
            <w:vAlign w:val="center"/>
          </w:tcPr>
          <w:p w14:paraId="46C2043E" w14:textId="77777777" w:rsidR="004B0883" w:rsidRDefault="004B0883">
            <w:pPr>
              <w:adjustRightInd w:val="0"/>
              <w:snapToGrid w:val="0"/>
              <w:jc w:val="right"/>
              <w:rPr>
                <w:b/>
                <w:bCs/>
                <w:color w:val="000000"/>
                <w:kern w:val="0"/>
              </w:rPr>
            </w:pPr>
            <w:r>
              <w:rPr>
                <w:rFonts w:hint="eastAsia"/>
                <w:b/>
                <w:bCs/>
                <w:color w:val="000000"/>
                <w:kern w:val="0"/>
              </w:rPr>
              <w:t>40,621.13</w:t>
            </w:r>
          </w:p>
        </w:tc>
        <w:tc>
          <w:tcPr>
            <w:tcW w:w="1472" w:type="dxa"/>
            <w:vAlign w:val="center"/>
          </w:tcPr>
          <w:p w14:paraId="1C299B96" w14:textId="77777777" w:rsidR="004B0883" w:rsidRDefault="004B0883">
            <w:pPr>
              <w:adjustRightInd w:val="0"/>
              <w:snapToGrid w:val="0"/>
              <w:jc w:val="right"/>
              <w:rPr>
                <w:b/>
                <w:bCs/>
                <w:color w:val="000000"/>
                <w:kern w:val="0"/>
              </w:rPr>
            </w:pPr>
            <w:r>
              <w:rPr>
                <w:rFonts w:hint="eastAsia"/>
                <w:b/>
                <w:bCs/>
                <w:color w:val="000000"/>
                <w:kern w:val="0"/>
              </w:rPr>
              <w:t>40,960.78</w:t>
            </w:r>
          </w:p>
        </w:tc>
        <w:tc>
          <w:tcPr>
            <w:tcW w:w="1473" w:type="dxa"/>
            <w:vAlign w:val="center"/>
          </w:tcPr>
          <w:p w14:paraId="034293E6" w14:textId="77777777" w:rsidR="004B0883" w:rsidRDefault="004B0883">
            <w:pPr>
              <w:adjustRightInd w:val="0"/>
              <w:snapToGrid w:val="0"/>
              <w:jc w:val="right"/>
              <w:rPr>
                <w:b/>
                <w:bCs/>
                <w:color w:val="000000"/>
                <w:kern w:val="0"/>
              </w:rPr>
            </w:pPr>
            <w:r>
              <w:rPr>
                <w:rFonts w:hint="eastAsia"/>
                <w:b/>
                <w:bCs/>
                <w:color w:val="000000"/>
                <w:kern w:val="0"/>
              </w:rPr>
              <w:t>31,413.00</w:t>
            </w:r>
          </w:p>
        </w:tc>
      </w:tr>
      <w:tr w:rsidR="004B0883" w14:paraId="0293EE81" w14:textId="77777777">
        <w:trPr>
          <w:trHeight w:val="397"/>
          <w:jc w:val="center"/>
        </w:trPr>
        <w:tc>
          <w:tcPr>
            <w:tcW w:w="2212" w:type="dxa"/>
            <w:vAlign w:val="center"/>
          </w:tcPr>
          <w:p w14:paraId="607E5623" w14:textId="77777777" w:rsidR="004B0883" w:rsidRDefault="004B0883">
            <w:pPr>
              <w:adjustRightInd w:val="0"/>
              <w:snapToGrid w:val="0"/>
              <w:rPr>
                <w:b/>
                <w:bCs/>
                <w:color w:val="000000"/>
                <w:kern w:val="0"/>
              </w:rPr>
            </w:pPr>
            <w:r>
              <w:rPr>
                <w:b/>
                <w:bCs/>
                <w:color w:val="000000"/>
                <w:kern w:val="0"/>
              </w:rPr>
              <w:t>经营活动产生的现金流量净额</w:t>
            </w:r>
          </w:p>
        </w:tc>
        <w:tc>
          <w:tcPr>
            <w:tcW w:w="1896" w:type="dxa"/>
            <w:vAlign w:val="center"/>
          </w:tcPr>
          <w:p w14:paraId="69BB617E" w14:textId="77777777" w:rsidR="004B0883" w:rsidRDefault="004B0883">
            <w:pPr>
              <w:adjustRightInd w:val="0"/>
              <w:snapToGrid w:val="0"/>
              <w:jc w:val="right"/>
              <w:rPr>
                <w:b/>
                <w:bCs/>
                <w:color w:val="000000"/>
                <w:kern w:val="0"/>
              </w:rPr>
            </w:pPr>
            <w:r>
              <w:rPr>
                <w:b/>
                <w:bCs/>
              </w:rPr>
              <w:t>9,962.43</w:t>
            </w:r>
          </w:p>
        </w:tc>
        <w:tc>
          <w:tcPr>
            <w:tcW w:w="1473" w:type="dxa"/>
            <w:vAlign w:val="center"/>
          </w:tcPr>
          <w:p w14:paraId="54980460" w14:textId="77777777" w:rsidR="004B0883" w:rsidRDefault="004B0883">
            <w:pPr>
              <w:adjustRightInd w:val="0"/>
              <w:snapToGrid w:val="0"/>
              <w:jc w:val="right"/>
              <w:rPr>
                <w:b/>
                <w:bCs/>
                <w:color w:val="000000"/>
                <w:kern w:val="0"/>
              </w:rPr>
            </w:pPr>
            <w:r>
              <w:rPr>
                <w:rFonts w:hint="eastAsia"/>
                <w:b/>
                <w:bCs/>
                <w:color w:val="000000"/>
                <w:kern w:val="0"/>
              </w:rPr>
              <w:t>13,470.79</w:t>
            </w:r>
          </w:p>
        </w:tc>
        <w:tc>
          <w:tcPr>
            <w:tcW w:w="1472" w:type="dxa"/>
            <w:vAlign w:val="center"/>
          </w:tcPr>
          <w:p w14:paraId="66ECBC67" w14:textId="77777777" w:rsidR="004B0883" w:rsidRDefault="004B0883">
            <w:pPr>
              <w:adjustRightInd w:val="0"/>
              <w:snapToGrid w:val="0"/>
              <w:jc w:val="right"/>
              <w:rPr>
                <w:b/>
                <w:bCs/>
                <w:color w:val="000000"/>
                <w:kern w:val="0"/>
              </w:rPr>
            </w:pPr>
            <w:r>
              <w:rPr>
                <w:rFonts w:hint="eastAsia"/>
                <w:b/>
                <w:bCs/>
                <w:color w:val="000000"/>
                <w:kern w:val="0"/>
              </w:rPr>
              <w:t>1,138.73</w:t>
            </w:r>
          </w:p>
        </w:tc>
        <w:tc>
          <w:tcPr>
            <w:tcW w:w="1473" w:type="dxa"/>
            <w:vAlign w:val="center"/>
          </w:tcPr>
          <w:p w14:paraId="230499FB" w14:textId="77777777" w:rsidR="004B0883" w:rsidRDefault="004B0883">
            <w:pPr>
              <w:adjustRightInd w:val="0"/>
              <w:snapToGrid w:val="0"/>
              <w:jc w:val="right"/>
              <w:rPr>
                <w:b/>
                <w:bCs/>
                <w:color w:val="000000"/>
                <w:kern w:val="0"/>
              </w:rPr>
            </w:pPr>
            <w:r>
              <w:rPr>
                <w:rFonts w:hint="eastAsia"/>
                <w:b/>
                <w:bCs/>
                <w:color w:val="000000"/>
                <w:kern w:val="0"/>
              </w:rPr>
              <w:t>8,994.61</w:t>
            </w:r>
          </w:p>
        </w:tc>
      </w:tr>
      <w:tr w:rsidR="004B0883" w14:paraId="4B046D2F" w14:textId="77777777">
        <w:trPr>
          <w:trHeight w:val="397"/>
          <w:jc w:val="center"/>
        </w:trPr>
        <w:tc>
          <w:tcPr>
            <w:tcW w:w="2212" w:type="dxa"/>
            <w:vAlign w:val="center"/>
          </w:tcPr>
          <w:p w14:paraId="003186CF" w14:textId="77777777" w:rsidR="004B0883" w:rsidRDefault="004B0883">
            <w:pPr>
              <w:adjustRightInd w:val="0"/>
              <w:snapToGrid w:val="0"/>
              <w:rPr>
                <w:b/>
                <w:bCs/>
                <w:color w:val="000000"/>
                <w:kern w:val="0"/>
              </w:rPr>
            </w:pPr>
            <w:r>
              <w:rPr>
                <w:b/>
                <w:bCs/>
                <w:color w:val="000000"/>
                <w:kern w:val="0"/>
              </w:rPr>
              <w:t>二、投资活动产生的现金流量：</w:t>
            </w:r>
          </w:p>
        </w:tc>
        <w:tc>
          <w:tcPr>
            <w:tcW w:w="1896" w:type="dxa"/>
            <w:vAlign w:val="center"/>
          </w:tcPr>
          <w:p w14:paraId="070D72AB" w14:textId="77777777" w:rsidR="004B0883" w:rsidRDefault="004B0883">
            <w:pPr>
              <w:adjustRightInd w:val="0"/>
              <w:snapToGrid w:val="0"/>
              <w:jc w:val="right"/>
              <w:rPr>
                <w:b/>
                <w:bCs/>
                <w:color w:val="000000"/>
                <w:kern w:val="0"/>
              </w:rPr>
            </w:pPr>
          </w:p>
        </w:tc>
        <w:tc>
          <w:tcPr>
            <w:tcW w:w="1473" w:type="dxa"/>
            <w:vAlign w:val="center"/>
          </w:tcPr>
          <w:p w14:paraId="29F4CED4" w14:textId="77777777" w:rsidR="004B0883" w:rsidRDefault="004B0883">
            <w:pPr>
              <w:adjustRightInd w:val="0"/>
              <w:snapToGrid w:val="0"/>
              <w:jc w:val="right"/>
              <w:rPr>
                <w:color w:val="000000"/>
                <w:kern w:val="0"/>
              </w:rPr>
            </w:pPr>
          </w:p>
        </w:tc>
        <w:tc>
          <w:tcPr>
            <w:tcW w:w="1472" w:type="dxa"/>
            <w:vAlign w:val="center"/>
          </w:tcPr>
          <w:p w14:paraId="2FAF53E6" w14:textId="77777777" w:rsidR="004B0883" w:rsidRDefault="004B0883">
            <w:pPr>
              <w:adjustRightInd w:val="0"/>
              <w:snapToGrid w:val="0"/>
              <w:jc w:val="right"/>
              <w:rPr>
                <w:color w:val="000000"/>
                <w:kern w:val="0"/>
              </w:rPr>
            </w:pPr>
          </w:p>
        </w:tc>
        <w:tc>
          <w:tcPr>
            <w:tcW w:w="1473" w:type="dxa"/>
            <w:vAlign w:val="center"/>
          </w:tcPr>
          <w:p w14:paraId="74325C1B" w14:textId="77777777" w:rsidR="004B0883" w:rsidRDefault="004B0883">
            <w:pPr>
              <w:adjustRightInd w:val="0"/>
              <w:snapToGrid w:val="0"/>
              <w:jc w:val="right"/>
              <w:rPr>
                <w:color w:val="000000"/>
                <w:kern w:val="0"/>
              </w:rPr>
            </w:pPr>
          </w:p>
        </w:tc>
      </w:tr>
      <w:tr w:rsidR="004B0883" w14:paraId="51B71EA7" w14:textId="77777777">
        <w:trPr>
          <w:trHeight w:val="397"/>
          <w:jc w:val="center"/>
        </w:trPr>
        <w:tc>
          <w:tcPr>
            <w:tcW w:w="2212" w:type="dxa"/>
            <w:vAlign w:val="center"/>
          </w:tcPr>
          <w:p w14:paraId="03DD7F91" w14:textId="77777777" w:rsidR="004B0883" w:rsidRDefault="004B0883">
            <w:pPr>
              <w:adjustRightInd w:val="0"/>
              <w:snapToGrid w:val="0"/>
              <w:rPr>
                <w:color w:val="000000"/>
                <w:kern w:val="0"/>
              </w:rPr>
            </w:pPr>
            <w:r>
              <w:rPr>
                <w:color w:val="000000"/>
                <w:kern w:val="0"/>
              </w:rPr>
              <w:t>收回投资收到的现金</w:t>
            </w:r>
          </w:p>
        </w:tc>
        <w:tc>
          <w:tcPr>
            <w:tcW w:w="1896" w:type="dxa"/>
            <w:vAlign w:val="center"/>
          </w:tcPr>
          <w:p w14:paraId="637388D5" w14:textId="77777777" w:rsidR="004B0883" w:rsidRDefault="004B0883">
            <w:pPr>
              <w:adjustRightInd w:val="0"/>
              <w:snapToGrid w:val="0"/>
              <w:jc w:val="right"/>
              <w:rPr>
                <w:color w:val="000000"/>
                <w:kern w:val="0"/>
              </w:rPr>
            </w:pPr>
            <w:r>
              <w:t>36,948.34</w:t>
            </w:r>
          </w:p>
        </w:tc>
        <w:tc>
          <w:tcPr>
            <w:tcW w:w="1473" w:type="dxa"/>
            <w:vAlign w:val="center"/>
          </w:tcPr>
          <w:p w14:paraId="62554531" w14:textId="77777777" w:rsidR="004B0883" w:rsidRDefault="004B0883">
            <w:pPr>
              <w:adjustRightInd w:val="0"/>
              <w:snapToGrid w:val="0"/>
              <w:jc w:val="right"/>
              <w:rPr>
                <w:color w:val="000000"/>
                <w:kern w:val="0"/>
              </w:rPr>
            </w:pPr>
            <w:r>
              <w:rPr>
                <w:rFonts w:hint="eastAsia"/>
                <w:color w:val="000000"/>
                <w:kern w:val="0"/>
              </w:rPr>
              <w:t>35,160.00</w:t>
            </w:r>
          </w:p>
        </w:tc>
        <w:tc>
          <w:tcPr>
            <w:tcW w:w="1472" w:type="dxa"/>
            <w:vAlign w:val="center"/>
          </w:tcPr>
          <w:p w14:paraId="7C4C65A1" w14:textId="77777777" w:rsidR="004B0883" w:rsidRDefault="004B0883">
            <w:pPr>
              <w:adjustRightInd w:val="0"/>
              <w:snapToGrid w:val="0"/>
              <w:jc w:val="right"/>
              <w:rPr>
                <w:color w:val="000000"/>
                <w:kern w:val="0"/>
              </w:rPr>
            </w:pPr>
            <w:r>
              <w:rPr>
                <w:rFonts w:hint="eastAsia"/>
                <w:color w:val="000000"/>
                <w:kern w:val="0"/>
              </w:rPr>
              <w:t>44,587.45</w:t>
            </w:r>
          </w:p>
        </w:tc>
        <w:tc>
          <w:tcPr>
            <w:tcW w:w="1473" w:type="dxa"/>
            <w:vAlign w:val="center"/>
          </w:tcPr>
          <w:p w14:paraId="19E3C2DC" w14:textId="77777777" w:rsidR="004B0883" w:rsidRDefault="004B0883">
            <w:pPr>
              <w:adjustRightInd w:val="0"/>
              <w:snapToGrid w:val="0"/>
              <w:jc w:val="right"/>
              <w:rPr>
                <w:color w:val="000000"/>
                <w:kern w:val="0"/>
              </w:rPr>
            </w:pPr>
            <w:r>
              <w:rPr>
                <w:rFonts w:hint="eastAsia"/>
                <w:color w:val="000000"/>
                <w:kern w:val="0"/>
              </w:rPr>
              <w:t>73,000.00</w:t>
            </w:r>
          </w:p>
        </w:tc>
      </w:tr>
      <w:tr w:rsidR="004B0883" w14:paraId="691D113F" w14:textId="77777777">
        <w:trPr>
          <w:trHeight w:val="397"/>
          <w:jc w:val="center"/>
        </w:trPr>
        <w:tc>
          <w:tcPr>
            <w:tcW w:w="2212" w:type="dxa"/>
            <w:vAlign w:val="center"/>
          </w:tcPr>
          <w:p w14:paraId="791FD75D" w14:textId="77777777" w:rsidR="004B0883" w:rsidRDefault="004B0883">
            <w:pPr>
              <w:adjustRightInd w:val="0"/>
              <w:snapToGrid w:val="0"/>
              <w:rPr>
                <w:color w:val="000000"/>
                <w:kern w:val="0"/>
              </w:rPr>
            </w:pPr>
            <w:r>
              <w:rPr>
                <w:color w:val="000000"/>
                <w:kern w:val="0"/>
              </w:rPr>
              <w:t>取得投资收益收到的现金</w:t>
            </w:r>
          </w:p>
        </w:tc>
        <w:tc>
          <w:tcPr>
            <w:tcW w:w="1896" w:type="dxa"/>
            <w:vAlign w:val="center"/>
          </w:tcPr>
          <w:p w14:paraId="5595FDCD" w14:textId="77777777" w:rsidR="004B0883" w:rsidRDefault="004B0883">
            <w:pPr>
              <w:adjustRightInd w:val="0"/>
              <w:snapToGrid w:val="0"/>
              <w:jc w:val="right"/>
              <w:rPr>
                <w:color w:val="000000"/>
                <w:kern w:val="0"/>
              </w:rPr>
            </w:pPr>
            <w:r>
              <w:t>392.75</w:t>
            </w:r>
          </w:p>
        </w:tc>
        <w:tc>
          <w:tcPr>
            <w:tcW w:w="1473" w:type="dxa"/>
            <w:vAlign w:val="center"/>
          </w:tcPr>
          <w:p w14:paraId="7636746A" w14:textId="77777777" w:rsidR="004B0883" w:rsidRDefault="004B0883">
            <w:pPr>
              <w:adjustRightInd w:val="0"/>
              <w:snapToGrid w:val="0"/>
              <w:jc w:val="right"/>
              <w:rPr>
                <w:color w:val="000000"/>
                <w:kern w:val="0"/>
              </w:rPr>
            </w:pPr>
            <w:r>
              <w:rPr>
                <w:rFonts w:hint="eastAsia"/>
                <w:color w:val="000000"/>
                <w:kern w:val="0"/>
              </w:rPr>
              <w:t>800.55</w:t>
            </w:r>
          </w:p>
        </w:tc>
        <w:tc>
          <w:tcPr>
            <w:tcW w:w="1472" w:type="dxa"/>
            <w:vAlign w:val="center"/>
          </w:tcPr>
          <w:p w14:paraId="221D09A2" w14:textId="77777777" w:rsidR="004B0883" w:rsidRDefault="004B0883">
            <w:pPr>
              <w:adjustRightInd w:val="0"/>
              <w:snapToGrid w:val="0"/>
              <w:jc w:val="right"/>
              <w:rPr>
                <w:color w:val="000000"/>
                <w:kern w:val="0"/>
              </w:rPr>
            </w:pPr>
            <w:r>
              <w:rPr>
                <w:rFonts w:hint="eastAsia"/>
                <w:color w:val="000000"/>
                <w:kern w:val="0"/>
              </w:rPr>
              <w:t>1,556.05</w:t>
            </w:r>
          </w:p>
        </w:tc>
        <w:tc>
          <w:tcPr>
            <w:tcW w:w="1473" w:type="dxa"/>
            <w:vAlign w:val="center"/>
          </w:tcPr>
          <w:p w14:paraId="4F0760E5" w14:textId="77777777" w:rsidR="004B0883" w:rsidRDefault="004B0883">
            <w:pPr>
              <w:adjustRightInd w:val="0"/>
              <w:snapToGrid w:val="0"/>
              <w:jc w:val="right"/>
              <w:rPr>
                <w:color w:val="000000"/>
                <w:kern w:val="0"/>
              </w:rPr>
            </w:pPr>
            <w:r>
              <w:rPr>
                <w:rFonts w:hint="eastAsia"/>
                <w:color w:val="000000"/>
                <w:kern w:val="0"/>
              </w:rPr>
              <w:t>914.98</w:t>
            </w:r>
          </w:p>
        </w:tc>
      </w:tr>
      <w:tr w:rsidR="004B0883" w14:paraId="79C852E2" w14:textId="77777777">
        <w:trPr>
          <w:trHeight w:val="397"/>
          <w:jc w:val="center"/>
        </w:trPr>
        <w:tc>
          <w:tcPr>
            <w:tcW w:w="2212" w:type="dxa"/>
            <w:vAlign w:val="center"/>
          </w:tcPr>
          <w:p w14:paraId="1B2B98D9" w14:textId="77777777" w:rsidR="004B0883" w:rsidRDefault="004B0883">
            <w:pPr>
              <w:adjustRightInd w:val="0"/>
              <w:snapToGrid w:val="0"/>
              <w:rPr>
                <w:color w:val="000000"/>
                <w:kern w:val="0"/>
              </w:rPr>
            </w:pPr>
            <w:r>
              <w:rPr>
                <w:color w:val="000000"/>
                <w:kern w:val="0"/>
              </w:rPr>
              <w:t>处置固定资产、无形资产和其他长期资产收回的现金净额</w:t>
            </w:r>
          </w:p>
        </w:tc>
        <w:tc>
          <w:tcPr>
            <w:tcW w:w="1896" w:type="dxa"/>
            <w:vAlign w:val="center"/>
          </w:tcPr>
          <w:p w14:paraId="72937314" w14:textId="77777777" w:rsidR="004B0883" w:rsidRDefault="004B0883">
            <w:pPr>
              <w:adjustRightInd w:val="0"/>
              <w:snapToGrid w:val="0"/>
              <w:jc w:val="right"/>
              <w:rPr>
                <w:color w:val="000000"/>
                <w:kern w:val="0"/>
              </w:rPr>
            </w:pPr>
            <w:r>
              <w:t>50.50</w:t>
            </w:r>
          </w:p>
        </w:tc>
        <w:tc>
          <w:tcPr>
            <w:tcW w:w="1473" w:type="dxa"/>
            <w:vAlign w:val="center"/>
          </w:tcPr>
          <w:p w14:paraId="1DB2B397" w14:textId="77777777" w:rsidR="004B0883" w:rsidRDefault="004B0883">
            <w:pPr>
              <w:adjustRightInd w:val="0"/>
              <w:snapToGrid w:val="0"/>
              <w:jc w:val="right"/>
              <w:rPr>
                <w:color w:val="000000"/>
                <w:kern w:val="0"/>
              </w:rPr>
            </w:pPr>
            <w:r>
              <w:rPr>
                <w:rFonts w:hint="eastAsia"/>
                <w:color w:val="000000"/>
                <w:kern w:val="0"/>
              </w:rPr>
              <w:t>259.07</w:t>
            </w:r>
          </w:p>
        </w:tc>
        <w:tc>
          <w:tcPr>
            <w:tcW w:w="1472" w:type="dxa"/>
            <w:vAlign w:val="center"/>
          </w:tcPr>
          <w:p w14:paraId="6BA05BEE" w14:textId="77777777" w:rsidR="004B0883" w:rsidRDefault="004B0883">
            <w:pPr>
              <w:adjustRightInd w:val="0"/>
              <w:snapToGrid w:val="0"/>
              <w:jc w:val="right"/>
              <w:rPr>
                <w:color w:val="000000"/>
                <w:kern w:val="0"/>
              </w:rPr>
            </w:pPr>
            <w:r>
              <w:rPr>
                <w:rFonts w:hint="eastAsia"/>
                <w:color w:val="000000"/>
                <w:kern w:val="0"/>
              </w:rPr>
              <w:t>108.53</w:t>
            </w:r>
          </w:p>
        </w:tc>
        <w:tc>
          <w:tcPr>
            <w:tcW w:w="1473" w:type="dxa"/>
            <w:vAlign w:val="center"/>
          </w:tcPr>
          <w:p w14:paraId="01F39C85" w14:textId="77777777" w:rsidR="004B0883" w:rsidRDefault="004B0883">
            <w:pPr>
              <w:adjustRightInd w:val="0"/>
              <w:snapToGrid w:val="0"/>
              <w:jc w:val="right"/>
              <w:rPr>
                <w:color w:val="000000"/>
                <w:kern w:val="0"/>
              </w:rPr>
            </w:pPr>
            <w:r>
              <w:rPr>
                <w:rFonts w:hint="eastAsia"/>
                <w:color w:val="000000"/>
                <w:kern w:val="0"/>
              </w:rPr>
              <w:t>45.89</w:t>
            </w:r>
          </w:p>
        </w:tc>
      </w:tr>
      <w:tr w:rsidR="004B0883" w14:paraId="2914B93A" w14:textId="77777777">
        <w:trPr>
          <w:trHeight w:val="397"/>
          <w:jc w:val="center"/>
        </w:trPr>
        <w:tc>
          <w:tcPr>
            <w:tcW w:w="2212" w:type="dxa"/>
            <w:vAlign w:val="center"/>
          </w:tcPr>
          <w:p w14:paraId="1520ADA1" w14:textId="77777777" w:rsidR="004B0883" w:rsidRDefault="004B0883">
            <w:pPr>
              <w:adjustRightInd w:val="0"/>
              <w:snapToGrid w:val="0"/>
              <w:rPr>
                <w:color w:val="000000"/>
                <w:kern w:val="0"/>
              </w:rPr>
            </w:pPr>
            <w:r>
              <w:rPr>
                <w:rFonts w:hint="eastAsia"/>
                <w:color w:val="000000"/>
                <w:kern w:val="0"/>
              </w:rPr>
              <w:t>处置子公司及其他营业单位收到的现金净额</w:t>
            </w:r>
          </w:p>
        </w:tc>
        <w:tc>
          <w:tcPr>
            <w:tcW w:w="1896" w:type="dxa"/>
            <w:vAlign w:val="center"/>
          </w:tcPr>
          <w:p w14:paraId="21B1B7E8" w14:textId="77777777" w:rsidR="004B0883" w:rsidRDefault="004B0883">
            <w:pPr>
              <w:adjustRightInd w:val="0"/>
              <w:snapToGrid w:val="0"/>
              <w:jc w:val="right"/>
              <w:rPr>
                <w:color w:val="000000"/>
                <w:kern w:val="0"/>
              </w:rPr>
            </w:pPr>
            <w:r>
              <w:t>79.10</w:t>
            </w:r>
          </w:p>
        </w:tc>
        <w:tc>
          <w:tcPr>
            <w:tcW w:w="1473" w:type="dxa"/>
            <w:vAlign w:val="center"/>
          </w:tcPr>
          <w:p w14:paraId="39E8FE85" w14:textId="77777777" w:rsidR="004B0883" w:rsidRDefault="004B0883">
            <w:pPr>
              <w:adjustRightInd w:val="0"/>
              <w:snapToGrid w:val="0"/>
              <w:jc w:val="right"/>
              <w:rPr>
                <w:color w:val="000000"/>
                <w:kern w:val="0"/>
              </w:rPr>
            </w:pPr>
            <w:r>
              <w:rPr>
                <w:color w:val="000000"/>
                <w:kern w:val="0"/>
              </w:rPr>
              <w:t>2,379.08</w:t>
            </w:r>
          </w:p>
        </w:tc>
        <w:tc>
          <w:tcPr>
            <w:tcW w:w="1472" w:type="dxa"/>
            <w:vAlign w:val="center"/>
          </w:tcPr>
          <w:p w14:paraId="3A7919D8" w14:textId="77777777" w:rsidR="004B0883" w:rsidRDefault="004B0883">
            <w:pPr>
              <w:adjustRightInd w:val="0"/>
              <w:snapToGrid w:val="0"/>
              <w:jc w:val="right"/>
              <w:rPr>
                <w:color w:val="000000"/>
                <w:kern w:val="0"/>
              </w:rPr>
            </w:pPr>
            <w:r>
              <w:rPr>
                <w:rFonts w:hint="eastAsia"/>
                <w:color w:val="000000"/>
                <w:kern w:val="0"/>
              </w:rPr>
              <w:t>-</w:t>
            </w:r>
          </w:p>
        </w:tc>
        <w:tc>
          <w:tcPr>
            <w:tcW w:w="1473" w:type="dxa"/>
            <w:vAlign w:val="center"/>
          </w:tcPr>
          <w:p w14:paraId="52E15207" w14:textId="77777777" w:rsidR="004B0883" w:rsidRDefault="004B0883">
            <w:pPr>
              <w:adjustRightInd w:val="0"/>
              <w:snapToGrid w:val="0"/>
              <w:jc w:val="right"/>
              <w:rPr>
                <w:color w:val="000000"/>
                <w:kern w:val="0"/>
              </w:rPr>
            </w:pPr>
            <w:r>
              <w:rPr>
                <w:rFonts w:hint="eastAsia"/>
                <w:color w:val="000000"/>
                <w:kern w:val="0"/>
              </w:rPr>
              <w:t>-</w:t>
            </w:r>
          </w:p>
        </w:tc>
      </w:tr>
      <w:tr w:rsidR="004B0883" w14:paraId="74A2740A" w14:textId="77777777">
        <w:trPr>
          <w:trHeight w:val="397"/>
          <w:jc w:val="center"/>
        </w:trPr>
        <w:tc>
          <w:tcPr>
            <w:tcW w:w="2212" w:type="dxa"/>
            <w:vAlign w:val="center"/>
          </w:tcPr>
          <w:p w14:paraId="1B12A204" w14:textId="77777777" w:rsidR="004B0883" w:rsidRDefault="004B0883">
            <w:pPr>
              <w:adjustRightInd w:val="0"/>
              <w:snapToGrid w:val="0"/>
              <w:rPr>
                <w:color w:val="000000"/>
                <w:kern w:val="0"/>
              </w:rPr>
            </w:pPr>
            <w:r>
              <w:rPr>
                <w:color w:val="000000"/>
                <w:kern w:val="0"/>
              </w:rPr>
              <w:t>收到其他与投资活动有关的现金</w:t>
            </w:r>
          </w:p>
        </w:tc>
        <w:tc>
          <w:tcPr>
            <w:tcW w:w="1896" w:type="dxa"/>
            <w:vAlign w:val="center"/>
          </w:tcPr>
          <w:p w14:paraId="34DE32EB" w14:textId="77777777" w:rsidR="004B0883" w:rsidRDefault="004B0883">
            <w:pPr>
              <w:adjustRightInd w:val="0"/>
              <w:snapToGrid w:val="0"/>
              <w:jc w:val="right"/>
              <w:rPr>
                <w:color w:val="000000"/>
                <w:kern w:val="0"/>
              </w:rPr>
            </w:pPr>
            <w:r>
              <w:rPr>
                <w:rFonts w:hint="eastAsia"/>
                <w:color w:val="000000"/>
                <w:kern w:val="0"/>
              </w:rPr>
              <w:t>-</w:t>
            </w:r>
          </w:p>
        </w:tc>
        <w:tc>
          <w:tcPr>
            <w:tcW w:w="1473" w:type="dxa"/>
            <w:vAlign w:val="center"/>
          </w:tcPr>
          <w:p w14:paraId="4B543571" w14:textId="77777777" w:rsidR="004B0883" w:rsidRDefault="004B0883">
            <w:pPr>
              <w:adjustRightInd w:val="0"/>
              <w:snapToGrid w:val="0"/>
              <w:jc w:val="right"/>
              <w:rPr>
                <w:color w:val="000000"/>
                <w:kern w:val="0"/>
              </w:rPr>
            </w:pPr>
            <w:r>
              <w:rPr>
                <w:rFonts w:hint="eastAsia"/>
                <w:color w:val="000000"/>
                <w:kern w:val="0"/>
              </w:rPr>
              <w:t>-</w:t>
            </w:r>
          </w:p>
        </w:tc>
        <w:tc>
          <w:tcPr>
            <w:tcW w:w="1472" w:type="dxa"/>
            <w:vAlign w:val="center"/>
          </w:tcPr>
          <w:p w14:paraId="7893023E" w14:textId="77777777" w:rsidR="004B0883" w:rsidRDefault="004B0883">
            <w:pPr>
              <w:adjustRightInd w:val="0"/>
              <w:snapToGrid w:val="0"/>
              <w:jc w:val="right"/>
              <w:rPr>
                <w:color w:val="000000"/>
                <w:kern w:val="0"/>
              </w:rPr>
            </w:pPr>
            <w:r>
              <w:rPr>
                <w:color w:val="000000"/>
                <w:kern w:val="0"/>
              </w:rPr>
              <w:t>1,000.00</w:t>
            </w:r>
          </w:p>
        </w:tc>
        <w:tc>
          <w:tcPr>
            <w:tcW w:w="1473" w:type="dxa"/>
            <w:vAlign w:val="center"/>
          </w:tcPr>
          <w:p w14:paraId="3ACA0EB1" w14:textId="77777777" w:rsidR="004B0883" w:rsidRDefault="004B0883">
            <w:pPr>
              <w:adjustRightInd w:val="0"/>
              <w:snapToGrid w:val="0"/>
              <w:jc w:val="right"/>
              <w:rPr>
                <w:color w:val="000000"/>
                <w:kern w:val="0"/>
              </w:rPr>
            </w:pPr>
            <w:r>
              <w:rPr>
                <w:rFonts w:hint="eastAsia"/>
                <w:color w:val="000000"/>
                <w:kern w:val="0"/>
              </w:rPr>
              <w:t>-</w:t>
            </w:r>
          </w:p>
        </w:tc>
      </w:tr>
      <w:tr w:rsidR="004B0883" w14:paraId="375E7C2D" w14:textId="77777777">
        <w:trPr>
          <w:trHeight w:val="397"/>
          <w:jc w:val="center"/>
        </w:trPr>
        <w:tc>
          <w:tcPr>
            <w:tcW w:w="2212" w:type="dxa"/>
            <w:vAlign w:val="center"/>
          </w:tcPr>
          <w:p w14:paraId="174A9860" w14:textId="77777777" w:rsidR="004B0883" w:rsidRDefault="004B0883">
            <w:pPr>
              <w:adjustRightInd w:val="0"/>
              <w:snapToGrid w:val="0"/>
              <w:rPr>
                <w:b/>
                <w:bCs/>
                <w:color w:val="000000"/>
                <w:kern w:val="0"/>
              </w:rPr>
            </w:pPr>
            <w:r>
              <w:rPr>
                <w:b/>
                <w:bCs/>
                <w:color w:val="000000"/>
                <w:kern w:val="0"/>
              </w:rPr>
              <w:t>投资活动现金流入小计</w:t>
            </w:r>
          </w:p>
        </w:tc>
        <w:tc>
          <w:tcPr>
            <w:tcW w:w="1896" w:type="dxa"/>
            <w:vAlign w:val="center"/>
          </w:tcPr>
          <w:p w14:paraId="23C44E5A" w14:textId="77777777" w:rsidR="004B0883" w:rsidRDefault="004B0883">
            <w:pPr>
              <w:adjustRightInd w:val="0"/>
              <w:snapToGrid w:val="0"/>
              <w:jc w:val="right"/>
              <w:rPr>
                <w:b/>
                <w:bCs/>
                <w:color w:val="000000"/>
                <w:kern w:val="0"/>
              </w:rPr>
            </w:pPr>
            <w:r>
              <w:rPr>
                <w:b/>
                <w:bCs/>
              </w:rPr>
              <w:t>37,470.69</w:t>
            </w:r>
          </w:p>
        </w:tc>
        <w:tc>
          <w:tcPr>
            <w:tcW w:w="1473" w:type="dxa"/>
            <w:vAlign w:val="center"/>
          </w:tcPr>
          <w:p w14:paraId="3CFEA45E" w14:textId="77777777" w:rsidR="004B0883" w:rsidRDefault="004B0883">
            <w:pPr>
              <w:adjustRightInd w:val="0"/>
              <w:snapToGrid w:val="0"/>
              <w:jc w:val="right"/>
              <w:rPr>
                <w:b/>
                <w:bCs/>
                <w:color w:val="000000"/>
                <w:kern w:val="0"/>
              </w:rPr>
            </w:pPr>
            <w:r>
              <w:rPr>
                <w:rFonts w:hint="eastAsia"/>
                <w:b/>
                <w:bCs/>
                <w:color w:val="000000"/>
                <w:kern w:val="0"/>
              </w:rPr>
              <w:t>38,598.70</w:t>
            </w:r>
          </w:p>
        </w:tc>
        <w:tc>
          <w:tcPr>
            <w:tcW w:w="1472" w:type="dxa"/>
            <w:vAlign w:val="center"/>
          </w:tcPr>
          <w:p w14:paraId="0FF4838B" w14:textId="77777777" w:rsidR="004B0883" w:rsidRDefault="004B0883">
            <w:pPr>
              <w:adjustRightInd w:val="0"/>
              <w:snapToGrid w:val="0"/>
              <w:jc w:val="right"/>
              <w:rPr>
                <w:b/>
                <w:bCs/>
                <w:color w:val="000000"/>
                <w:kern w:val="0"/>
              </w:rPr>
            </w:pPr>
            <w:r>
              <w:rPr>
                <w:rFonts w:hint="eastAsia"/>
                <w:b/>
                <w:bCs/>
                <w:color w:val="000000"/>
                <w:kern w:val="0"/>
              </w:rPr>
              <w:t>47,252.04</w:t>
            </w:r>
          </w:p>
        </w:tc>
        <w:tc>
          <w:tcPr>
            <w:tcW w:w="1473" w:type="dxa"/>
            <w:vAlign w:val="center"/>
          </w:tcPr>
          <w:p w14:paraId="3267135C" w14:textId="77777777" w:rsidR="004B0883" w:rsidRDefault="004B0883">
            <w:pPr>
              <w:adjustRightInd w:val="0"/>
              <w:snapToGrid w:val="0"/>
              <w:jc w:val="right"/>
              <w:rPr>
                <w:b/>
                <w:bCs/>
                <w:color w:val="000000"/>
                <w:kern w:val="0"/>
              </w:rPr>
            </w:pPr>
            <w:r>
              <w:rPr>
                <w:rFonts w:hint="eastAsia"/>
                <w:b/>
                <w:bCs/>
                <w:color w:val="000000"/>
                <w:kern w:val="0"/>
              </w:rPr>
              <w:t>73,960.87</w:t>
            </w:r>
          </w:p>
        </w:tc>
      </w:tr>
      <w:tr w:rsidR="004B0883" w14:paraId="39F9BB9F" w14:textId="77777777">
        <w:trPr>
          <w:trHeight w:val="397"/>
          <w:jc w:val="center"/>
        </w:trPr>
        <w:tc>
          <w:tcPr>
            <w:tcW w:w="2212" w:type="dxa"/>
            <w:vAlign w:val="center"/>
          </w:tcPr>
          <w:p w14:paraId="3ECE9653" w14:textId="77777777" w:rsidR="004B0883" w:rsidRDefault="004B0883">
            <w:pPr>
              <w:adjustRightInd w:val="0"/>
              <w:snapToGrid w:val="0"/>
              <w:rPr>
                <w:color w:val="000000"/>
                <w:kern w:val="0"/>
              </w:rPr>
            </w:pPr>
            <w:r>
              <w:rPr>
                <w:color w:val="000000"/>
                <w:kern w:val="0"/>
              </w:rPr>
              <w:t>购建固定资产、无形资产和其他长期资产支付的现金</w:t>
            </w:r>
          </w:p>
        </w:tc>
        <w:tc>
          <w:tcPr>
            <w:tcW w:w="1896" w:type="dxa"/>
            <w:vAlign w:val="center"/>
          </w:tcPr>
          <w:p w14:paraId="1669CF0A" w14:textId="77777777" w:rsidR="004B0883" w:rsidRDefault="004B0883">
            <w:pPr>
              <w:adjustRightInd w:val="0"/>
              <w:snapToGrid w:val="0"/>
              <w:jc w:val="right"/>
              <w:rPr>
                <w:color w:val="000000"/>
                <w:kern w:val="0"/>
              </w:rPr>
            </w:pPr>
            <w:r>
              <w:t>4,617.52</w:t>
            </w:r>
          </w:p>
        </w:tc>
        <w:tc>
          <w:tcPr>
            <w:tcW w:w="1473" w:type="dxa"/>
            <w:vAlign w:val="center"/>
          </w:tcPr>
          <w:p w14:paraId="743860C9" w14:textId="77777777" w:rsidR="004B0883" w:rsidRDefault="004B0883">
            <w:pPr>
              <w:adjustRightInd w:val="0"/>
              <w:snapToGrid w:val="0"/>
              <w:jc w:val="right"/>
              <w:rPr>
                <w:color w:val="000000"/>
                <w:kern w:val="0"/>
              </w:rPr>
            </w:pPr>
            <w:r>
              <w:rPr>
                <w:rFonts w:hint="eastAsia"/>
                <w:color w:val="000000"/>
                <w:kern w:val="0"/>
              </w:rPr>
              <w:t>1,185.59</w:t>
            </w:r>
          </w:p>
        </w:tc>
        <w:tc>
          <w:tcPr>
            <w:tcW w:w="1472" w:type="dxa"/>
            <w:vAlign w:val="center"/>
          </w:tcPr>
          <w:p w14:paraId="31E5FB07" w14:textId="77777777" w:rsidR="004B0883" w:rsidRDefault="004B0883">
            <w:pPr>
              <w:adjustRightInd w:val="0"/>
              <w:snapToGrid w:val="0"/>
              <w:jc w:val="right"/>
              <w:rPr>
                <w:color w:val="000000"/>
                <w:kern w:val="0"/>
              </w:rPr>
            </w:pPr>
            <w:r>
              <w:rPr>
                <w:rFonts w:hint="eastAsia"/>
                <w:color w:val="000000"/>
                <w:kern w:val="0"/>
              </w:rPr>
              <w:t>1,957.77</w:t>
            </w:r>
          </w:p>
        </w:tc>
        <w:tc>
          <w:tcPr>
            <w:tcW w:w="1473" w:type="dxa"/>
            <w:vAlign w:val="center"/>
          </w:tcPr>
          <w:p w14:paraId="5EDC06B2" w14:textId="77777777" w:rsidR="004B0883" w:rsidRDefault="004B0883">
            <w:pPr>
              <w:adjustRightInd w:val="0"/>
              <w:snapToGrid w:val="0"/>
              <w:jc w:val="right"/>
              <w:rPr>
                <w:color w:val="000000"/>
                <w:kern w:val="0"/>
              </w:rPr>
            </w:pPr>
            <w:r>
              <w:rPr>
                <w:rFonts w:hint="eastAsia"/>
                <w:color w:val="000000"/>
                <w:kern w:val="0"/>
              </w:rPr>
              <w:t>2,363.26</w:t>
            </w:r>
          </w:p>
        </w:tc>
      </w:tr>
      <w:tr w:rsidR="004B0883" w14:paraId="7796C783" w14:textId="77777777">
        <w:trPr>
          <w:trHeight w:val="397"/>
          <w:jc w:val="center"/>
        </w:trPr>
        <w:tc>
          <w:tcPr>
            <w:tcW w:w="2212" w:type="dxa"/>
            <w:vAlign w:val="center"/>
          </w:tcPr>
          <w:p w14:paraId="3C9F9E40" w14:textId="77777777" w:rsidR="004B0883" w:rsidRDefault="004B0883">
            <w:pPr>
              <w:adjustRightInd w:val="0"/>
              <w:snapToGrid w:val="0"/>
              <w:rPr>
                <w:color w:val="000000"/>
                <w:kern w:val="0"/>
              </w:rPr>
            </w:pPr>
            <w:r>
              <w:rPr>
                <w:color w:val="000000"/>
                <w:kern w:val="0"/>
              </w:rPr>
              <w:t>投资支付的现金</w:t>
            </w:r>
          </w:p>
        </w:tc>
        <w:tc>
          <w:tcPr>
            <w:tcW w:w="1896" w:type="dxa"/>
            <w:vAlign w:val="center"/>
          </w:tcPr>
          <w:p w14:paraId="5286CEC5" w14:textId="77777777" w:rsidR="004B0883" w:rsidRDefault="004B0883">
            <w:pPr>
              <w:adjustRightInd w:val="0"/>
              <w:snapToGrid w:val="0"/>
              <w:jc w:val="right"/>
              <w:rPr>
                <w:color w:val="000000"/>
                <w:kern w:val="0"/>
              </w:rPr>
            </w:pPr>
            <w:r>
              <w:t>46,428.34</w:t>
            </w:r>
          </w:p>
        </w:tc>
        <w:tc>
          <w:tcPr>
            <w:tcW w:w="1473" w:type="dxa"/>
            <w:vAlign w:val="center"/>
          </w:tcPr>
          <w:p w14:paraId="18B74D63" w14:textId="77777777" w:rsidR="004B0883" w:rsidRDefault="004B0883">
            <w:pPr>
              <w:adjustRightInd w:val="0"/>
              <w:snapToGrid w:val="0"/>
              <w:jc w:val="right"/>
              <w:rPr>
                <w:color w:val="000000"/>
                <w:kern w:val="0"/>
              </w:rPr>
            </w:pPr>
            <w:r>
              <w:rPr>
                <w:rFonts w:hint="eastAsia"/>
                <w:color w:val="000000"/>
                <w:kern w:val="0"/>
              </w:rPr>
              <w:t>40,850.00</w:t>
            </w:r>
          </w:p>
        </w:tc>
        <w:tc>
          <w:tcPr>
            <w:tcW w:w="1472" w:type="dxa"/>
            <w:vAlign w:val="center"/>
          </w:tcPr>
          <w:p w14:paraId="4B207F12" w14:textId="77777777" w:rsidR="004B0883" w:rsidRDefault="004B0883">
            <w:pPr>
              <w:adjustRightInd w:val="0"/>
              <w:snapToGrid w:val="0"/>
              <w:jc w:val="right"/>
              <w:rPr>
                <w:color w:val="000000"/>
                <w:kern w:val="0"/>
              </w:rPr>
            </w:pPr>
            <w:r>
              <w:rPr>
                <w:rFonts w:hint="eastAsia"/>
                <w:color w:val="000000"/>
                <w:kern w:val="0"/>
              </w:rPr>
              <w:t>36,000.00</w:t>
            </w:r>
          </w:p>
        </w:tc>
        <w:tc>
          <w:tcPr>
            <w:tcW w:w="1473" w:type="dxa"/>
            <w:vAlign w:val="center"/>
          </w:tcPr>
          <w:p w14:paraId="38B7A08B" w14:textId="77777777" w:rsidR="004B0883" w:rsidRDefault="004B0883">
            <w:pPr>
              <w:adjustRightInd w:val="0"/>
              <w:snapToGrid w:val="0"/>
              <w:jc w:val="right"/>
              <w:rPr>
                <w:color w:val="000000"/>
                <w:kern w:val="0"/>
              </w:rPr>
            </w:pPr>
            <w:r>
              <w:rPr>
                <w:rFonts w:hint="eastAsia"/>
                <w:color w:val="000000"/>
                <w:kern w:val="0"/>
              </w:rPr>
              <w:t>81,400.00</w:t>
            </w:r>
          </w:p>
        </w:tc>
      </w:tr>
      <w:tr w:rsidR="004B0883" w14:paraId="53B4520D" w14:textId="77777777">
        <w:trPr>
          <w:trHeight w:val="397"/>
          <w:jc w:val="center"/>
        </w:trPr>
        <w:tc>
          <w:tcPr>
            <w:tcW w:w="2212" w:type="dxa"/>
            <w:vAlign w:val="center"/>
          </w:tcPr>
          <w:p w14:paraId="6E70F6AE" w14:textId="77777777" w:rsidR="004B0883" w:rsidRDefault="004B0883">
            <w:pPr>
              <w:adjustRightInd w:val="0"/>
              <w:snapToGrid w:val="0"/>
              <w:rPr>
                <w:color w:val="000000"/>
                <w:kern w:val="0"/>
              </w:rPr>
            </w:pPr>
            <w:r>
              <w:rPr>
                <w:color w:val="000000"/>
                <w:kern w:val="0"/>
              </w:rPr>
              <w:t>支付其他与投资活动有关的现金</w:t>
            </w:r>
          </w:p>
        </w:tc>
        <w:tc>
          <w:tcPr>
            <w:tcW w:w="1896" w:type="dxa"/>
            <w:vAlign w:val="center"/>
          </w:tcPr>
          <w:p w14:paraId="7EB4686B" w14:textId="77777777" w:rsidR="004B0883" w:rsidRDefault="004B0883">
            <w:pPr>
              <w:adjustRightInd w:val="0"/>
              <w:snapToGrid w:val="0"/>
              <w:jc w:val="right"/>
              <w:rPr>
                <w:color w:val="000000"/>
                <w:kern w:val="0"/>
              </w:rPr>
            </w:pPr>
            <w:r>
              <w:rPr>
                <w:rFonts w:hint="eastAsia"/>
                <w:color w:val="000000"/>
                <w:kern w:val="0"/>
              </w:rPr>
              <w:t>-</w:t>
            </w:r>
          </w:p>
        </w:tc>
        <w:tc>
          <w:tcPr>
            <w:tcW w:w="1473" w:type="dxa"/>
            <w:vAlign w:val="center"/>
          </w:tcPr>
          <w:p w14:paraId="6A16D0C5" w14:textId="77777777" w:rsidR="004B0883" w:rsidRDefault="004B0883">
            <w:pPr>
              <w:adjustRightInd w:val="0"/>
              <w:snapToGrid w:val="0"/>
              <w:jc w:val="right"/>
              <w:rPr>
                <w:color w:val="000000"/>
                <w:kern w:val="0"/>
              </w:rPr>
            </w:pPr>
            <w:r>
              <w:rPr>
                <w:color w:val="000000"/>
                <w:kern w:val="0"/>
              </w:rPr>
              <w:t>1,000.00</w:t>
            </w:r>
          </w:p>
        </w:tc>
        <w:tc>
          <w:tcPr>
            <w:tcW w:w="1472" w:type="dxa"/>
            <w:vAlign w:val="center"/>
          </w:tcPr>
          <w:p w14:paraId="0854182C" w14:textId="77777777" w:rsidR="004B0883" w:rsidRDefault="004B0883">
            <w:pPr>
              <w:adjustRightInd w:val="0"/>
              <w:snapToGrid w:val="0"/>
              <w:jc w:val="right"/>
              <w:rPr>
                <w:color w:val="000000"/>
                <w:kern w:val="0"/>
              </w:rPr>
            </w:pPr>
            <w:r>
              <w:rPr>
                <w:rFonts w:hint="eastAsia"/>
                <w:color w:val="000000"/>
                <w:kern w:val="0"/>
              </w:rPr>
              <w:t>-</w:t>
            </w:r>
          </w:p>
        </w:tc>
        <w:tc>
          <w:tcPr>
            <w:tcW w:w="1473" w:type="dxa"/>
            <w:vAlign w:val="center"/>
          </w:tcPr>
          <w:p w14:paraId="1D2FF41A" w14:textId="77777777" w:rsidR="004B0883" w:rsidRDefault="004B0883">
            <w:pPr>
              <w:adjustRightInd w:val="0"/>
              <w:snapToGrid w:val="0"/>
              <w:jc w:val="right"/>
              <w:rPr>
                <w:color w:val="000000"/>
                <w:kern w:val="0"/>
              </w:rPr>
            </w:pPr>
            <w:r>
              <w:rPr>
                <w:rFonts w:hint="eastAsia"/>
                <w:color w:val="000000"/>
                <w:kern w:val="0"/>
              </w:rPr>
              <w:t>-</w:t>
            </w:r>
          </w:p>
        </w:tc>
      </w:tr>
      <w:tr w:rsidR="004B0883" w14:paraId="156466DA" w14:textId="77777777">
        <w:trPr>
          <w:trHeight w:val="397"/>
          <w:jc w:val="center"/>
        </w:trPr>
        <w:tc>
          <w:tcPr>
            <w:tcW w:w="2212" w:type="dxa"/>
            <w:vAlign w:val="center"/>
          </w:tcPr>
          <w:p w14:paraId="47BC96F0" w14:textId="77777777" w:rsidR="004B0883" w:rsidRDefault="004B0883">
            <w:pPr>
              <w:adjustRightInd w:val="0"/>
              <w:snapToGrid w:val="0"/>
              <w:rPr>
                <w:b/>
                <w:bCs/>
                <w:color w:val="000000"/>
                <w:kern w:val="0"/>
              </w:rPr>
            </w:pPr>
            <w:r>
              <w:rPr>
                <w:b/>
                <w:bCs/>
                <w:color w:val="000000"/>
                <w:kern w:val="0"/>
              </w:rPr>
              <w:t>投资活动现金流出小计</w:t>
            </w:r>
          </w:p>
        </w:tc>
        <w:tc>
          <w:tcPr>
            <w:tcW w:w="1896" w:type="dxa"/>
            <w:vAlign w:val="center"/>
          </w:tcPr>
          <w:p w14:paraId="28F74357" w14:textId="77777777" w:rsidR="004B0883" w:rsidRDefault="004B0883">
            <w:pPr>
              <w:adjustRightInd w:val="0"/>
              <w:snapToGrid w:val="0"/>
              <w:jc w:val="right"/>
              <w:rPr>
                <w:b/>
                <w:bCs/>
                <w:color w:val="000000"/>
                <w:kern w:val="0"/>
              </w:rPr>
            </w:pPr>
            <w:r>
              <w:rPr>
                <w:b/>
                <w:bCs/>
              </w:rPr>
              <w:t>51,045.86</w:t>
            </w:r>
          </w:p>
        </w:tc>
        <w:tc>
          <w:tcPr>
            <w:tcW w:w="1473" w:type="dxa"/>
            <w:vAlign w:val="center"/>
          </w:tcPr>
          <w:p w14:paraId="30DF2564" w14:textId="77777777" w:rsidR="004B0883" w:rsidRDefault="004B0883">
            <w:pPr>
              <w:adjustRightInd w:val="0"/>
              <w:snapToGrid w:val="0"/>
              <w:jc w:val="right"/>
              <w:rPr>
                <w:b/>
                <w:bCs/>
                <w:color w:val="000000"/>
                <w:kern w:val="0"/>
              </w:rPr>
            </w:pPr>
            <w:r>
              <w:rPr>
                <w:rFonts w:hint="eastAsia"/>
                <w:b/>
                <w:bCs/>
                <w:color w:val="000000"/>
                <w:kern w:val="0"/>
              </w:rPr>
              <w:t>43,035.59</w:t>
            </w:r>
          </w:p>
        </w:tc>
        <w:tc>
          <w:tcPr>
            <w:tcW w:w="1472" w:type="dxa"/>
            <w:vAlign w:val="center"/>
          </w:tcPr>
          <w:p w14:paraId="7BAA3D6C" w14:textId="77777777" w:rsidR="004B0883" w:rsidRDefault="004B0883">
            <w:pPr>
              <w:adjustRightInd w:val="0"/>
              <w:snapToGrid w:val="0"/>
              <w:jc w:val="right"/>
              <w:rPr>
                <w:b/>
                <w:bCs/>
                <w:color w:val="000000"/>
                <w:kern w:val="0"/>
              </w:rPr>
            </w:pPr>
            <w:r>
              <w:rPr>
                <w:rFonts w:hint="eastAsia"/>
                <w:b/>
                <w:bCs/>
                <w:color w:val="000000"/>
                <w:kern w:val="0"/>
              </w:rPr>
              <w:t>37,957.77</w:t>
            </w:r>
          </w:p>
        </w:tc>
        <w:tc>
          <w:tcPr>
            <w:tcW w:w="1473" w:type="dxa"/>
            <w:vAlign w:val="center"/>
          </w:tcPr>
          <w:p w14:paraId="4D035F1B" w14:textId="77777777" w:rsidR="004B0883" w:rsidRDefault="004B0883">
            <w:pPr>
              <w:adjustRightInd w:val="0"/>
              <w:snapToGrid w:val="0"/>
              <w:jc w:val="right"/>
              <w:rPr>
                <w:b/>
                <w:bCs/>
                <w:color w:val="000000"/>
                <w:kern w:val="0"/>
              </w:rPr>
            </w:pPr>
            <w:r>
              <w:rPr>
                <w:rFonts w:hint="eastAsia"/>
                <w:b/>
                <w:bCs/>
                <w:color w:val="000000"/>
                <w:kern w:val="0"/>
              </w:rPr>
              <w:t>83,763.26</w:t>
            </w:r>
          </w:p>
        </w:tc>
      </w:tr>
      <w:tr w:rsidR="004B0883" w14:paraId="73F6FC9E" w14:textId="77777777">
        <w:trPr>
          <w:trHeight w:val="397"/>
          <w:jc w:val="center"/>
        </w:trPr>
        <w:tc>
          <w:tcPr>
            <w:tcW w:w="2212" w:type="dxa"/>
            <w:vAlign w:val="center"/>
          </w:tcPr>
          <w:p w14:paraId="47CA7D15" w14:textId="77777777" w:rsidR="004B0883" w:rsidRDefault="004B0883">
            <w:pPr>
              <w:adjustRightInd w:val="0"/>
              <w:snapToGrid w:val="0"/>
              <w:rPr>
                <w:b/>
                <w:bCs/>
                <w:color w:val="000000"/>
                <w:kern w:val="0"/>
              </w:rPr>
            </w:pPr>
            <w:r>
              <w:rPr>
                <w:b/>
                <w:bCs/>
                <w:color w:val="000000"/>
                <w:kern w:val="0"/>
              </w:rPr>
              <w:t>投资活动产生的现金流量净额</w:t>
            </w:r>
          </w:p>
        </w:tc>
        <w:tc>
          <w:tcPr>
            <w:tcW w:w="1896" w:type="dxa"/>
            <w:vAlign w:val="center"/>
          </w:tcPr>
          <w:p w14:paraId="3E2D57D6" w14:textId="77777777" w:rsidR="004B0883" w:rsidRDefault="004B0883">
            <w:pPr>
              <w:adjustRightInd w:val="0"/>
              <w:snapToGrid w:val="0"/>
              <w:jc w:val="right"/>
              <w:rPr>
                <w:b/>
                <w:bCs/>
                <w:color w:val="000000"/>
                <w:kern w:val="0"/>
              </w:rPr>
            </w:pPr>
            <w:r>
              <w:rPr>
                <w:b/>
                <w:bCs/>
              </w:rPr>
              <w:t>-13,575.17</w:t>
            </w:r>
          </w:p>
        </w:tc>
        <w:tc>
          <w:tcPr>
            <w:tcW w:w="1473" w:type="dxa"/>
            <w:vAlign w:val="center"/>
          </w:tcPr>
          <w:p w14:paraId="6C8F71F9" w14:textId="77777777" w:rsidR="004B0883" w:rsidRDefault="004B0883">
            <w:pPr>
              <w:adjustRightInd w:val="0"/>
              <w:snapToGrid w:val="0"/>
              <w:jc w:val="right"/>
              <w:rPr>
                <w:b/>
                <w:bCs/>
                <w:color w:val="000000"/>
                <w:kern w:val="0"/>
              </w:rPr>
            </w:pPr>
            <w:r>
              <w:rPr>
                <w:rFonts w:hint="eastAsia"/>
                <w:b/>
                <w:bCs/>
                <w:color w:val="000000"/>
                <w:kern w:val="0"/>
              </w:rPr>
              <w:t>-4,436.89</w:t>
            </w:r>
          </w:p>
        </w:tc>
        <w:tc>
          <w:tcPr>
            <w:tcW w:w="1472" w:type="dxa"/>
            <w:vAlign w:val="center"/>
          </w:tcPr>
          <w:p w14:paraId="5614575D" w14:textId="77777777" w:rsidR="004B0883" w:rsidRDefault="004B0883">
            <w:pPr>
              <w:adjustRightInd w:val="0"/>
              <w:snapToGrid w:val="0"/>
              <w:jc w:val="right"/>
              <w:rPr>
                <w:b/>
                <w:bCs/>
                <w:color w:val="000000"/>
                <w:kern w:val="0"/>
              </w:rPr>
            </w:pPr>
            <w:r>
              <w:rPr>
                <w:rFonts w:hint="eastAsia"/>
                <w:b/>
                <w:bCs/>
                <w:color w:val="000000"/>
                <w:kern w:val="0"/>
              </w:rPr>
              <w:t>9,294.27</w:t>
            </w:r>
          </w:p>
        </w:tc>
        <w:tc>
          <w:tcPr>
            <w:tcW w:w="1473" w:type="dxa"/>
            <w:vAlign w:val="center"/>
          </w:tcPr>
          <w:p w14:paraId="65687901" w14:textId="77777777" w:rsidR="004B0883" w:rsidRDefault="004B0883">
            <w:pPr>
              <w:adjustRightInd w:val="0"/>
              <w:snapToGrid w:val="0"/>
              <w:jc w:val="right"/>
              <w:rPr>
                <w:b/>
                <w:bCs/>
                <w:color w:val="000000"/>
                <w:kern w:val="0"/>
              </w:rPr>
            </w:pPr>
            <w:r>
              <w:rPr>
                <w:rFonts w:hint="eastAsia"/>
                <w:b/>
                <w:bCs/>
                <w:color w:val="000000"/>
                <w:kern w:val="0"/>
              </w:rPr>
              <w:t>-9,802.39</w:t>
            </w:r>
          </w:p>
        </w:tc>
      </w:tr>
      <w:tr w:rsidR="004B0883" w14:paraId="19D660FD" w14:textId="77777777">
        <w:trPr>
          <w:trHeight w:val="397"/>
          <w:jc w:val="center"/>
        </w:trPr>
        <w:tc>
          <w:tcPr>
            <w:tcW w:w="2212" w:type="dxa"/>
            <w:vAlign w:val="center"/>
          </w:tcPr>
          <w:p w14:paraId="654630C2" w14:textId="77777777" w:rsidR="004B0883" w:rsidRDefault="004B0883">
            <w:pPr>
              <w:adjustRightInd w:val="0"/>
              <w:snapToGrid w:val="0"/>
              <w:rPr>
                <w:b/>
                <w:bCs/>
                <w:color w:val="000000"/>
                <w:kern w:val="0"/>
              </w:rPr>
            </w:pPr>
            <w:r>
              <w:rPr>
                <w:b/>
                <w:bCs/>
                <w:color w:val="000000"/>
                <w:kern w:val="0"/>
              </w:rPr>
              <w:t>三、筹资活动产生的现金流量：</w:t>
            </w:r>
          </w:p>
        </w:tc>
        <w:tc>
          <w:tcPr>
            <w:tcW w:w="1896" w:type="dxa"/>
            <w:vAlign w:val="center"/>
          </w:tcPr>
          <w:p w14:paraId="50C969F4" w14:textId="77777777" w:rsidR="004B0883" w:rsidRDefault="004B0883">
            <w:pPr>
              <w:adjustRightInd w:val="0"/>
              <w:snapToGrid w:val="0"/>
              <w:jc w:val="right"/>
              <w:rPr>
                <w:b/>
                <w:bCs/>
                <w:color w:val="000000"/>
                <w:kern w:val="0"/>
              </w:rPr>
            </w:pPr>
          </w:p>
        </w:tc>
        <w:tc>
          <w:tcPr>
            <w:tcW w:w="1473" w:type="dxa"/>
            <w:vAlign w:val="center"/>
          </w:tcPr>
          <w:p w14:paraId="59F2898F" w14:textId="77777777" w:rsidR="004B0883" w:rsidRDefault="004B0883">
            <w:pPr>
              <w:adjustRightInd w:val="0"/>
              <w:snapToGrid w:val="0"/>
              <w:jc w:val="right"/>
              <w:rPr>
                <w:color w:val="000000"/>
                <w:kern w:val="0"/>
              </w:rPr>
            </w:pPr>
          </w:p>
        </w:tc>
        <w:tc>
          <w:tcPr>
            <w:tcW w:w="1472" w:type="dxa"/>
            <w:vAlign w:val="center"/>
          </w:tcPr>
          <w:p w14:paraId="48941D92" w14:textId="77777777" w:rsidR="004B0883" w:rsidRDefault="004B0883">
            <w:pPr>
              <w:adjustRightInd w:val="0"/>
              <w:snapToGrid w:val="0"/>
              <w:jc w:val="right"/>
              <w:rPr>
                <w:color w:val="000000"/>
                <w:kern w:val="0"/>
              </w:rPr>
            </w:pPr>
          </w:p>
        </w:tc>
        <w:tc>
          <w:tcPr>
            <w:tcW w:w="1473" w:type="dxa"/>
            <w:vAlign w:val="center"/>
          </w:tcPr>
          <w:p w14:paraId="753F5615" w14:textId="77777777" w:rsidR="004B0883" w:rsidRDefault="004B0883">
            <w:pPr>
              <w:adjustRightInd w:val="0"/>
              <w:snapToGrid w:val="0"/>
              <w:jc w:val="right"/>
              <w:rPr>
                <w:color w:val="000000"/>
                <w:kern w:val="0"/>
              </w:rPr>
            </w:pPr>
          </w:p>
        </w:tc>
      </w:tr>
      <w:tr w:rsidR="004B0883" w14:paraId="7FDA9514" w14:textId="77777777">
        <w:trPr>
          <w:trHeight w:val="397"/>
          <w:jc w:val="center"/>
        </w:trPr>
        <w:tc>
          <w:tcPr>
            <w:tcW w:w="2212" w:type="dxa"/>
            <w:vAlign w:val="center"/>
          </w:tcPr>
          <w:p w14:paraId="5053790A" w14:textId="77777777" w:rsidR="004B0883" w:rsidRDefault="004B0883">
            <w:pPr>
              <w:adjustRightInd w:val="0"/>
              <w:snapToGrid w:val="0"/>
              <w:rPr>
                <w:color w:val="000000"/>
                <w:kern w:val="0"/>
              </w:rPr>
            </w:pPr>
            <w:r>
              <w:rPr>
                <w:color w:val="000000"/>
                <w:kern w:val="0"/>
              </w:rPr>
              <w:t>吸收投资收到的现金</w:t>
            </w:r>
          </w:p>
        </w:tc>
        <w:tc>
          <w:tcPr>
            <w:tcW w:w="1896" w:type="dxa"/>
            <w:vAlign w:val="center"/>
          </w:tcPr>
          <w:p w14:paraId="2D575824" w14:textId="77777777" w:rsidR="004B0883" w:rsidRDefault="004B0883">
            <w:pPr>
              <w:adjustRightInd w:val="0"/>
              <w:snapToGrid w:val="0"/>
              <w:jc w:val="right"/>
              <w:rPr>
                <w:color w:val="000000"/>
                <w:kern w:val="0"/>
              </w:rPr>
            </w:pPr>
            <w:r>
              <w:rPr>
                <w:color w:val="000000"/>
                <w:kern w:val="0"/>
              </w:rPr>
              <w:t>200.20</w:t>
            </w:r>
          </w:p>
        </w:tc>
        <w:tc>
          <w:tcPr>
            <w:tcW w:w="1473" w:type="dxa"/>
            <w:vAlign w:val="center"/>
          </w:tcPr>
          <w:p w14:paraId="0ADD18F3" w14:textId="77777777" w:rsidR="004B0883" w:rsidRDefault="004B0883">
            <w:pPr>
              <w:adjustRightInd w:val="0"/>
              <w:snapToGrid w:val="0"/>
              <w:jc w:val="right"/>
              <w:rPr>
                <w:color w:val="000000"/>
                <w:kern w:val="0"/>
              </w:rPr>
            </w:pPr>
            <w:r>
              <w:rPr>
                <w:rFonts w:hint="eastAsia"/>
                <w:color w:val="000000"/>
                <w:kern w:val="0"/>
              </w:rPr>
              <w:t>4,000.00</w:t>
            </w:r>
          </w:p>
        </w:tc>
        <w:tc>
          <w:tcPr>
            <w:tcW w:w="1472" w:type="dxa"/>
            <w:vAlign w:val="center"/>
          </w:tcPr>
          <w:p w14:paraId="5F12DAC6" w14:textId="77777777" w:rsidR="004B0883" w:rsidRDefault="004B0883">
            <w:pPr>
              <w:adjustRightInd w:val="0"/>
              <w:snapToGrid w:val="0"/>
              <w:jc w:val="right"/>
              <w:rPr>
                <w:color w:val="000000"/>
                <w:kern w:val="0"/>
              </w:rPr>
            </w:pPr>
            <w:r>
              <w:rPr>
                <w:rFonts w:hint="eastAsia"/>
                <w:color w:val="000000"/>
                <w:kern w:val="0"/>
              </w:rPr>
              <w:t>2,450.00</w:t>
            </w:r>
          </w:p>
        </w:tc>
        <w:tc>
          <w:tcPr>
            <w:tcW w:w="1473" w:type="dxa"/>
            <w:vAlign w:val="center"/>
          </w:tcPr>
          <w:p w14:paraId="715FB61E" w14:textId="77777777" w:rsidR="004B0883" w:rsidRDefault="004B0883">
            <w:pPr>
              <w:adjustRightInd w:val="0"/>
              <w:snapToGrid w:val="0"/>
              <w:jc w:val="right"/>
              <w:rPr>
                <w:color w:val="000000"/>
                <w:kern w:val="0"/>
              </w:rPr>
            </w:pPr>
            <w:r>
              <w:rPr>
                <w:rFonts w:hint="eastAsia"/>
                <w:color w:val="000000"/>
                <w:kern w:val="0"/>
              </w:rPr>
              <w:t>-</w:t>
            </w:r>
          </w:p>
        </w:tc>
      </w:tr>
      <w:tr w:rsidR="004B0883" w14:paraId="369A1692" w14:textId="77777777">
        <w:trPr>
          <w:trHeight w:val="397"/>
          <w:jc w:val="center"/>
        </w:trPr>
        <w:tc>
          <w:tcPr>
            <w:tcW w:w="2212" w:type="dxa"/>
            <w:vAlign w:val="center"/>
          </w:tcPr>
          <w:p w14:paraId="7F962DF4" w14:textId="77777777" w:rsidR="004B0883" w:rsidRDefault="004B0883">
            <w:pPr>
              <w:adjustRightInd w:val="0"/>
              <w:snapToGrid w:val="0"/>
              <w:rPr>
                <w:color w:val="000000"/>
                <w:kern w:val="0"/>
              </w:rPr>
            </w:pPr>
            <w:r>
              <w:rPr>
                <w:color w:val="000000"/>
                <w:kern w:val="0"/>
              </w:rPr>
              <w:t>取得借款收到的现金</w:t>
            </w:r>
          </w:p>
        </w:tc>
        <w:tc>
          <w:tcPr>
            <w:tcW w:w="1896" w:type="dxa"/>
            <w:vAlign w:val="center"/>
          </w:tcPr>
          <w:p w14:paraId="3F6DD610" w14:textId="77777777" w:rsidR="004B0883" w:rsidRDefault="004B0883">
            <w:pPr>
              <w:adjustRightInd w:val="0"/>
              <w:snapToGrid w:val="0"/>
              <w:jc w:val="right"/>
              <w:rPr>
                <w:color w:val="000000"/>
                <w:kern w:val="0"/>
              </w:rPr>
            </w:pPr>
            <w:r>
              <w:rPr>
                <w:rFonts w:hint="eastAsia"/>
                <w:color w:val="000000"/>
                <w:kern w:val="0"/>
              </w:rPr>
              <w:t>-</w:t>
            </w:r>
          </w:p>
        </w:tc>
        <w:tc>
          <w:tcPr>
            <w:tcW w:w="1473" w:type="dxa"/>
            <w:vAlign w:val="center"/>
          </w:tcPr>
          <w:p w14:paraId="73B9F75B" w14:textId="77777777" w:rsidR="004B0883" w:rsidRDefault="004B0883">
            <w:pPr>
              <w:adjustRightInd w:val="0"/>
              <w:snapToGrid w:val="0"/>
              <w:jc w:val="right"/>
              <w:rPr>
                <w:color w:val="000000"/>
                <w:kern w:val="0"/>
              </w:rPr>
            </w:pPr>
            <w:r>
              <w:rPr>
                <w:rFonts w:hint="eastAsia"/>
                <w:color w:val="000000"/>
                <w:kern w:val="0"/>
              </w:rPr>
              <w:t>7,000.00</w:t>
            </w:r>
          </w:p>
        </w:tc>
        <w:tc>
          <w:tcPr>
            <w:tcW w:w="1472" w:type="dxa"/>
            <w:vAlign w:val="center"/>
          </w:tcPr>
          <w:p w14:paraId="40534C34" w14:textId="77777777" w:rsidR="004B0883" w:rsidRDefault="004B0883">
            <w:pPr>
              <w:adjustRightInd w:val="0"/>
              <w:snapToGrid w:val="0"/>
              <w:jc w:val="right"/>
              <w:rPr>
                <w:color w:val="000000"/>
                <w:kern w:val="0"/>
              </w:rPr>
            </w:pPr>
            <w:r>
              <w:rPr>
                <w:rFonts w:hint="eastAsia"/>
                <w:color w:val="000000"/>
                <w:kern w:val="0"/>
              </w:rPr>
              <w:t>4,900.00</w:t>
            </w:r>
          </w:p>
        </w:tc>
        <w:tc>
          <w:tcPr>
            <w:tcW w:w="1473" w:type="dxa"/>
            <w:vAlign w:val="center"/>
          </w:tcPr>
          <w:p w14:paraId="569F4154" w14:textId="77777777" w:rsidR="004B0883" w:rsidRDefault="004B0883">
            <w:pPr>
              <w:adjustRightInd w:val="0"/>
              <w:snapToGrid w:val="0"/>
              <w:jc w:val="right"/>
              <w:rPr>
                <w:color w:val="000000"/>
                <w:kern w:val="0"/>
              </w:rPr>
            </w:pPr>
            <w:r>
              <w:rPr>
                <w:rFonts w:hint="eastAsia"/>
                <w:color w:val="000000"/>
                <w:kern w:val="0"/>
              </w:rPr>
              <w:t>5,119.10</w:t>
            </w:r>
          </w:p>
        </w:tc>
      </w:tr>
      <w:tr w:rsidR="004B0883" w14:paraId="42F79921" w14:textId="77777777">
        <w:trPr>
          <w:trHeight w:val="397"/>
          <w:jc w:val="center"/>
        </w:trPr>
        <w:tc>
          <w:tcPr>
            <w:tcW w:w="2212" w:type="dxa"/>
            <w:vAlign w:val="center"/>
          </w:tcPr>
          <w:p w14:paraId="5060BDD3" w14:textId="77777777" w:rsidR="004B0883" w:rsidRDefault="004B0883">
            <w:pPr>
              <w:adjustRightInd w:val="0"/>
              <w:snapToGrid w:val="0"/>
              <w:rPr>
                <w:color w:val="000000"/>
                <w:kern w:val="0"/>
              </w:rPr>
            </w:pPr>
            <w:r>
              <w:rPr>
                <w:color w:val="000000"/>
                <w:kern w:val="0"/>
              </w:rPr>
              <w:t>收到其他与筹资活动有关的现金</w:t>
            </w:r>
          </w:p>
        </w:tc>
        <w:tc>
          <w:tcPr>
            <w:tcW w:w="1896" w:type="dxa"/>
            <w:vAlign w:val="center"/>
          </w:tcPr>
          <w:p w14:paraId="2A5F18E0" w14:textId="77777777" w:rsidR="004B0883" w:rsidRDefault="004B0883">
            <w:pPr>
              <w:adjustRightInd w:val="0"/>
              <w:snapToGrid w:val="0"/>
              <w:jc w:val="right"/>
              <w:rPr>
                <w:color w:val="000000"/>
                <w:kern w:val="0"/>
              </w:rPr>
            </w:pPr>
            <w:r>
              <w:rPr>
                <w:rFonts w:hint="eastAsia"/>
                <w:color w:val="000000"/>
                <w:kern w:val="0"/>
              </w:rPr>
              <w:t>-</w:t>
            </w:r>
          </w:p>
        </w:tc>
        <w:tc>
          <w:tcPr>
            <w:tcW w:w="1473" w:type="dxa"/>
            <w:vAlign w:val="center"/>
          </w:tcPr>
          <w:p w14:paraId="1D4A1F52" w14:textId="77777777" w:rsidR="004B0883" w:rsidRDefault="004B0883">
            <w:pPr>
              <w:adjustRightInd w:val="0"/>
              <w:snapToGrid w:val="0"/>
              <w:jc w:val="right"/>
              <w:rPr>
                <w:color w:val="000000"/>
                <w:kern w:val="0"/>
              </w:rPr>
            </w:pPr>
            <w:r>
              <w:rPr>
                <w:rFonts w:hint="eastAsia"/>
                <w:color w:val="000000"/>
                <w:kern w:val="0"/>
              </w:rPr>
              <w:t>198.85</w:t>
            </w:r>
          </w:p>
        </w:tc>
        <w:tc>
          <w:tcPr>
            <w:tcW w:w="1472" w:type="dxa"/>
            <w:vAlign w:val="center"/>
          </w:tcPr>
          <w:p w14:paraId="3FA04D61" w14:textId="77777777" w:rsidR="004B0883" w:rsidRDefault="004B0883">
            <w:pPr>
              <w:adjustRightInd w:val="0"/>
              <w:snapToGrid w:val="0"/>
              <w:jc w:val="right"/>
              <w:rPr>
                <w:color w:val="000000"/>
                <w:kern w:val="0"/>
              </w:rPr>
            </w:pPr>
            <w:r>
              <w:rPr>
                <w:rFonts w:hint="eastAsia"/>
                <w:color w:val="000000"/>
                <w:kern w:val="0"/>
              </w:rPr>
              <w:t>1,360.00</w:t>
            </w:r>
          </w:p>
        </w:tc>
        <w:tc>
          <w:tcPr>
            <w:tcW w:w="1473" w:type="dxa"/>
            <w:vAlign w:val="center"/>
          </w:tcPr>
          <w:p w14:paraId="03C54BBF" w14:textId="77777777" w:rsidR="004B0883" w:rsidRDefault="004B0883">
            <w:pPr>
              <w:adjustRightInd w:val="0"/>
              <w:snapToGrid w:val="0"/>
              <w:jc w:val="right"/>
              <w:rPr>
                <w:color w:val="000000"/>
                <w:kern w:val="0"/>
              </w:rPr>
            </w:pPr>
            <w:r>
              <w:rPr>
                <w:rFonts w:hint="eastAsia"/>
                <w:color w:val="000000"/>
                <w:kern w:val="0"/>
              </w:rPr>
              <w:t>-</w:t>
            </w:r>
          </w:p>
        </w:tc>
      </w:tr>
      <w:tr w:rsidR="004B0883" w14:paraId="6331A5CF" w14:textId="77777777">
        <w:trPr>
          <w:trHeight w:val="397"/>
          <w:jc w:val="center"/>
        </w:trPr>
        <w:tc>
          <w:tcPr>
            <w:tcW w:w="2212" w:type="dxa"/>
            <w:vAlign w:val="center"/>
          </w:tcPr>
          <w:p w14:paraId="2FBA706A" w14:textId="77777777" w:rsidR="004B0883" w:rsidRDefault="004B0883">
            <w:pPr>
              <w:adjustRightInd w:val="0"/>
              <w:snapToGrid w:val="0"/>
              <w:rPr>
                <w:b/>
                <w:bCs/>
                <w:color w:val="000000"/>
                <w:kern w:val="0"/>
              </w:rPr>
            </w:pPr>
            <w:r>
              <w:rPr>
                <w:b/>
                <w:bCs/>
                <w:color w:val="000000"/>
                <w:kern w:val="0"/>
              </w:rPr>
              <w:t>筹资活动现金流入小计</w:t>
            </w:r>
          </w:p>
        </w:tc>
        <w:tc>
          <w:tcPr>
            <w:tcW w:w="1896" w:type="dxa"/>
            <w:vAlign w:val="center"/>
          </w:tcPr>
          <w:p w14:paraId="1E775BCA" w14:textId="77777777" w:rsidR="004B0883" w:rsidRDefault="004B0883">
            <w:pPr>
              <w:adjustRightInd w:val="0"/>
              <w:snapToGrid w:val="0"/>
              <w:jc w:val="right"/>
              <w:rPr>
                <w:b/>
                <w:bCs/>
                <w:color w:val="000000"/>
                <w:kern w:val="0"/>
              </w:rPr>
            </w:pPr>
            <w:r>
              <w:rPr>
                <w:b/>
                <w:bCs/>
                <w:color w:val="000000"/>
                <w:kern w:val="0"/>
              </w:rPr>
              <w:t>200.20</w:t>
            </w:r>
          </w:p>
        </w:tc>
        <w:tc>
          <w:tcPr>
            <w:tcW w:w="1473" w:type="dxa"/>
            <w:vAlign w:val="center"/>
          </w:tcPr>
          <w:p w14:paraId="64092095" w14:textId="77777777" w:rsidR="004B0883" w:rsidRDefault="004B0883">
            <w:pPr>
              <w:adjustRightInd w:val="0"/>
              <w:snapToGrid w:val="0"/>
              <w:jc w:val="right"/>
              <w:rPr>
                <w:b/>
                <w:bCs/>
                <w:color w:val="000000"/>
                <w:kern w:val="0"/>
              </w:rPr>
            </w:pPr>
            <w:r>
              <w:rPr>
                <w:rFonts w:hint="eastAsia"/>
                <w:b/>
                <w:bCs/>
                <w:color w:val="000000"/>
                <w:kern w:val="0"/>
              </w:rPr>
              <w:t>11,198.85</w:t>
            </w:r>
          </w:p>
        </w:tc>
        <w:tc>
          <w:tcPr>
            <w:tcW w:w="1472" w:type="dxa"/>
            <w:vAlign w:val="center"/>
          </w:tcPr>
          <w:p w14:paraId="4D33E9EA" w14:textId="77777777" w:rsidR="004B0883" w:rsidRDefault="004B0883">
            <w:pPr>
              <w:adjustRightInd w:val="0"/>
              <w:snapToGrid w:val="0"/>
              <w:jc w:val="right"/>
              <w:rPr>
                <w:b/>
                <w:bCs/>
                <w:color w:val="000000"/>
                <w:kern w:val="0"/>
              </w:rPr>
            </w:pPr>
            <w:r>
              <w:rPr>
                <w:rFonts w:hint="eastAsia"/>
                <w:b/>
                <w:bCs/>
                <w:color w:val="000000"/>
                <w:kern w:val="0"/>
              </w:rPr>
              <w:t>8,710.00</w:t>
            </w:r>
          </w:p>
        </w:tc>
        <w:tc>
          <w:tcPr>
            <w:tcW w:w="1473" w:type="dxa"/>
            <w:vAlign w:val="center"/>
          </w:tcPr>
          <w:p w14:paraId="5BA1A487" w14:textId="77777777" w:rsidR="004B0883" w:rsidRDefault="004B0883">
            <w:pPr>
              <w:adjustRightInd w:val="0"/>
              <w:snapToGrid w:val="0"/>
              <w:jc w:val="right"/>
              <w:rPr>
                <w:b/>
                <w:bCs/>
                <w:color w:val="000000"/>
                <w:kern w:val="0"/>
              </w:rPr>
            </w:pPr>
            <w:r>
              <w:rPr>
                <w:rFonts w:hint="eastAsia"/>
                <w:b/>
                <w:bCs/>
                <w:color w:val="000000"/>
                <w:kern w:val="0"/>
              </w:rPr>
              <w:t>5,119.10</w:t>
            </w:r>
          </w:p>
        </w:tc>
      </w:tr>
      <w:tr w:rsidR="004B0883" w14:paraId="126C5C6B" w14:textId="77777777">
        <w:trPr>
          <w:trHeight w:val="397"/>
          <w:jc w:val="center"/>
        </w:trPr>
        <w:tc>
          <w:tcPr>
            <w:tcW w:w="2212" w:type="dxa"/>
            <w:vAlign w:val="center"/>
          </w:tcPr>
          <w:p w14:paraId="02B2DD14" w14:textId="77777777" w:rsidR="004B0883" w:rsidRDefault="004B0883">
            <w:pPr>
              <w:adjustRightInd w:val="0"/>
              <w:snapToGrid w:val="0"/>
              <w:rPr>
                <w:color w:val="000000"/>
                <w:kern w:val="0"/>
              </w:rPr>
            </w:pPr>
            <w:r>
              <w:rPr>
                <w:color w:val="000000"/>
                <w:kern w:val="0"/>
              </w:rPr>
              <w:t>偿还债务支付的现金</w:t>
            </w:r>
          </w:p>
        </w:tc>
        <w:tc>
          <w:tcPr>
            <w:tcW w:w="1896" w:type="dxa"/>
            <w:vAlign w:val="center"/>
          </w:tcPr>
          <w:p w14:paraId="22D80ACE" w14:textId="77777777" w:rsidR="004B0883" w:rsidRDefault="004B0883">
            <w:pPr>
              <w:adjustRightInd w:val="0"/>
              <w:snapToGrid w:val="0"/>
              <w:jc w:val="right"/>
              <w:rPr>
                <w:color w:val="000000"/>
                <w:kern w:val="0"/>
              </w:rPr>
            </w:pPr>
            <w:r>
              <w:t>3,000.00</w:t>
            </w:r>
          </w:p>
        </w:tc>
        <w:tc>
          <w:tcPr>
            <w:tcW w:w="1473" w:type="dxa"/>
            <w:vAlign w:val="center"/>
          </w:tcPr>
          <w:p w14:paraId="55233FB4" w14:textId="77777777" w:rsidR="004B0883" w:rsidRDefault="004B0883">
            <w:pPr>
              <w:adjustRightInd w:val="0"/>
              <w:snapToGrid w:val="0"/>
              <w:jc w:val="right"/>
              <w:rPr>
                <w:color w:val="000000"/>
                <w:kern w:val="0"/>
              </w:rPr>
            </w:pPr>
            <w:r>
              <w:rPr>
                <w:rFonts w:hint="eastAsia"/>
                <w:color w:val="000000"/>
                <w:kern w:val="0"/>
              </w:rPr>
              <w:t>7,100.00</w:t>
            </w:r>
          </w:p>
        </w:tc>
        <w:tc>
          <w:tcPr>
            <w:tcW w:w="1472" w:type="dxa"/>
            <w:vAlign w:val="center"/>
          </w:tcPr>
          <w:p w14:paraId="444FB614" w14:textId="77777777" w:rsidR="004B0883" w:rsidRDefault="004B0883">
            <w:pPr>
              <w:adjustRightInd w:val="0"/>
              <w:snapToGrid w:val="0"/>
              <w:jc w:val="right"/>
              <w:rPr>
                <w:color w:val="000000"/>
                <w:kern w:val="0"/>
              </w:rPr>
            </w:pPr>
            <w:r>
              <w:rPr>
                <w:rFonts w:hint="eastAsia"/>
                <w:color w:val="000000"/>
                <w:kern w:val="0"/>
              </w:rPr>
              <w:t>6,685.92</w:t>
            </w:r>
          </w:p>
        </w:tc>
        <w:tc>
          <w:tcPr>
            <w:tcW w:w="1473" w:type="dxa"/>
            <w:vAlign w:val="center"/>
          </w:tcPr>
          <w:p w14:paraId="4109075D" w14:textId="77777777" w:rsidR="004B0883" w:rsidRDefault="004B0883">
            <w:pPr>
              <w:adjustRightInd w:val="0"/>
              <w:snapToGrid w:val="0"/>
              <w:jc w:val="right"/>
              <w:rPr>
                <w:color w:val="000000"/>
                <w:kern w:val="0"/>
              </w:rPr>
            </w:pPr>
          </w:p>
        </w:tc>
      </w:tr>
      <w:tr w:rsidR="004B0883" w14:paraId="74BA3BCD" w14:textId="77777777">
        <w:trPr>
          <w:trHeight w:val="397"/>
          <w:jc w:val="center"/>
        </w:trPr>
        <w:tc>
          <w:tcPr>
            <w:tcW w:w="2212" w:type="dxa"/>
            <w:vAlign w:val="center"/>
          </w:tcPr>
          <w:p w14:paraId="62224258" w14:textId="77777777" w:rsidR="004B0883" w:rsidRDefault="004B0883">
            <w:pPr>
              <w:adjustRightInd w:val="0"/>
              <w:snapToGrid w:val="0"/>
              <w:rPr>
                <w:color w:val="000000"/>
                <w:kern w:val="0"/>
              </w:rPr>
            </w:pPr>
            <w:r>
              <w:rPr>
                <w:color w:val="000000"/>
                <w:kern w:val="0"/>
              </w:rPr>
              <w:t>分配股利、利润或偿付利息支付的现金</w:t>
            </w:r>
          </w:p>
        </w:tc>
        <w:tc>
          <w:tcPr>
            <w:tcW w:w="1896" w:type="dxa"/>
            <w:vAlign w:val="center"/>
          </w:tcPr>
          <w:p w14:paraId="57582320" w14:textId="77777777" w:rsidR="004B0883" w:rsidRDefault="004B0883">
            <w:pPr>
              <w:adjustRightInd w:val="0"/>
              <w:snapToGrid w:val="0"/>
              <w:jc w:val="right"/>
              <w:rPr>
                <w:color w:val="000000"/>
                <w:kern w:val="0"/>
              </w:rPr>
            </w:pPr>
            <w:r>
              <w:t>5,080.99</w:t>
            </w:r>
          </w:p>
        </w:tc>
        <w:tc>
          <w:tcPr>
            <w:tcW w:w="1473" w:type="dxa"/>
            <w:vAlign w:val="center"/>
          </w:tcPr>
          <w:p w14:paraId="6B4877CF" w14:textId="77777777" w:rsidR="004B0883" w:rsidRDefault="004B0883">
            <w:pPr>
              <w:adjustRightInd w:val="0"/>
              <w:snapToGrid w:val="0"/>
              <w:jc w:val="right"/>
              <w:rPr>
                <w:color w:val="000000"/>
                <w:kern w:val="0"/>
              </w:rPr>
            </w:pPr>
            <w:r>
              <w:rPr>
                <w:rFonts w:hint="eastAsia"/>
                <w:color w:val="000000"/>
                <w:kern w:val="0"/>
              </w:rPr>
              <w:t>6,020.08</w:t>
            </w:r>
          </w:p>
        </w:tc>
        <w:tc>
          <w:tcPr>
            <w:tcW w:w="1472" w:type="dxa"/>
            <w:vAlign w:val="center"/>
          </w:tcPr>
          <w:p w14:paraId="562943B3" w14:textId="77777777" w:rsidR="004B0883" w:rsidRDefault="004B0883">
            <w:pPr>
              <w:adjustRightInd w:val="0"/>
              <w:snapToGrid w:val="0"/>
              <w:jc w:val="right"/>
              <w:rPr>
                <w:color w:val="000000"/>
                <w:kern w:val="0"/>
              </w:rPr>
            </w:pPr>
            <w:r>
              <w:rPr>
                <w:rFonts w:hint="eastAsia"/>
                <w:color w:val="000000"/>
                <w:kern w:val="0"/>
              </w:rPr>
              <w:t>5,330.94</w:t>
            </w:r>
          </w:p>
        </w:tc>
        <w:tc>
          <w:tcPr>
            <w:tcW w:w="1473" w:type="dxa"/>
            <w:vAlign w:val="center"/>
          </w:tcPr>
          <w:p w14:paraId="0816FB7A" w14:textId="77777777" w:rsidR="004B0883" w:rsidRDefault="004B0883">
            <w:pPr>
              <w:adjustRightInd w:val="0"/>
              <w:snapToGrid w:val="0"/>
              <w:jc w:val="right"/>
              <w:rPr>
                <w:color w:val="000000"/>
                <w:kern w:val="0"/>
              </w:rPr>
            </w:pPr>
            <w:r>
              <w:rPr>
                <w:rFonts w:hint="eastAsia"/>
                <w:color w:val="000000"/>
                <w:kern w:val="0"/>
              </w:rPr>
              <w:t>5,292.17</w:t>
            </w:r>
          </w:p>
        </w:tc>
      </w:tr>
      <w:tr w:rsidR="004B0883" w14:paraId="4ACA309A" w14:textId="77777777">
        <w:trPr>
          <w:trHeight w:val="397"/>
          <w:jc w:val="center"/>
        </w:trPr>
        <w:tc>
          <w:tcPr>
            <w:tcW w:w="2212" w:type="dxa"/>
            <w:vAlign w:val="center"/>
          </w:tcPr>
          <w:p w14:paraId="2795286D" w14:textId="77777777" w:rsidR="004B0883" w:rsidRDefault="004B0883">
            <w:pPr>
              <w:adjustRightInd w:val="0"/>
              <w:snapToGrid w:val="0"/>
              <w:rPr>
                <w:color w:val="000000"/>
                <w:kern w:val="0"/>
              </w:rPr>
            </w:pPr>
            <w:r>
              <w:rPr>
                <w:color w:val="000000"/>
                <w:kern w:val="0"/>
              </w:rPr>
              <w:t>支付其他与筹资活动有关的现金</w:t>
            </w:r>
          </w:p>
        </w:tc>
        <w:tc>
          <w:tcPr>
            <w:tcW w:w="1896" w:type="dxa"/>
            <w:vAlign w:val="center"/>
          </w:tcPr>
          <w:p w14:paraId="203CA84E" w14:textId="77777777" w:rsidR="004B0883" w:rsidRDefault="004B0883">
            <w:pPr>
              <w:adjustRightInd w:val="0"/>
              <w:snapToGrid w:val="0"/>
              <w:jc w:val="right"/>
              <w:rPr>
                <w:color w:val="000000"/>
                <w:kern w:val="0"/>
              </w:rPr>
            </w:pPr>
            <w:r>
              <w:t>72.12</w:t>
            </w:r>
          </w:p>
        </w:tc>
        <w:tc>
          <w:tcPr>
            <w:tcW w:w="1473" w:type="dxa"/>
            <w:vAlign w:val="center"/>
          </w:tcPr>
          <w:p w14:paraId="52116F7B" w14:textId="77777777" w:rsidR="004B0883" w:rsidRDefault="004B0883">
            <w:pPr>
              <w:adjustRightInd w:val="0"/>
              <w:snapToGrid w:val="0"/>
              <w:jc w:val="right"/>
              <w:rPr>
                <w:color w:val="000000"/>
                <w:kern w:val="0"/>
              </w:rPr>
            </w:pPr>
            <w:r>
              <w:rPr>
                <w:rFonts w:hint="eastAsia"/>
                <w:color w:val="000000"/>
                <w:kern w:val="0"/>
              </w:rPr>
              <w:t>72.31</w:t>
            </w:r>
          </w:p>
        </w:tc>
        <w:tc>
          <w:tcPr>
            <w:tcW w:w="1472" w:type="dxa"/>
            <w:vAlign w:val="center"/>
          </w:tcPr>
          <w:p w14:paraId="01EEB5E7" w14:textId="77777777" w:rsidR="004B0883" w:rsidRDefault="004B0883">
            <w:pPr>
              <w:adjustRightInd w:val="0"/>
              <w:snapToGrid w:val="0"/>
              <w:jc w:val="right"/>
              <w:rPr>
                <w:color w:val="000000"/>
                <w:kern w:val="0"/>
              </w:rPr>
            </w:pPr>
            <w:r>
              <w:rPr>
                <w:rFonts w:hint="eastAsia"/>
                <w:color w:val="000000"/>
                <w:kern w:val="0"/>
              </w:rPr>
              <w:t>3,085.02</w:t>
            </w:r>
          </w:p>
        </w:tc>
        <w:tc>
          <w:tcPr>
            <w:tcW w:w="1473" w:type="dxa"/>
            <w:vAlign w:val="center"/>
          </w:tcPr>
          <w:p w14:paraId="3DC507D4" w14:textId="77777777" w:rsidR="004B0883" w:rsidRDefault="004B0883">
            <w:pPr>
              <w:adjustRightInd w:val="0"/>
              <w:snapToGrid w:val="0"/>
              <w:jc w:val="right"/>
              <w:rPr>
                <w:color w:val="000000"/>
                <w:kern w:val="0"/>
              </w:rPr>
            </w:pPr>
            <w:r>
              <w:rPr>
                <w:rFonts w:hint="eastAsia"/>
                <w:color w:val="000000"/>
                <w:kern w:val="0"/>
              </w:rPr>
              <w:t>37.09</w:t>
            </w:r>
          </w:p>
        </w:tc>
      </w:tr>
      <w:tr w:rsidR="004B0883" w14:paraId="1647D8D1" w14:textId="77777777">
        <w:trPr>
          <w:trHeight w:val="397"/>
          <w:jc w:val="center"/>
        </w:trPr>
        <w:tc>
          <w:tcPr>
            <w:tcW w:w="2212" w:type="dxa"/>
            <w:vAlign w:val="center"/>
          </w:tcPr>
          <w:p w14:paraId="49B75398" w14:textId="77777777" w:rsidR="004B0883" w:rsidRDefault="004B0883">
            <w:pPr>
              <w:adjustRightInd w:val="0"/>
              <w:snapToGrid w:val="0"/>
              <w:rPr>
                <w:b/>
                <w:bCs/>
                <w:color w:val="000000"/>
                <w:kern w:val="0"/>
              </w:rPr>
            </w:pPr>
            <w:r>
              <w:rPr>
                <w:b/>
                <w:bCs/>
                <w:color w:val="000000"/>
                <w:kern w:val="0"/>
              </w:rPr>
              <w:t>筹资活动现金流出小计</w:t>
            </w:r>
          </w:p>
        </w:tc>
        <w:tc>
          <w:tcPr>
            <w:tcW w:w="1896" w:type="dxa"/>
            <w:vAlign w:val="center"/>
          </w:tcPr>
          <w:p w14:paraId="190ECB48" w14:textId="77777777" w:rsidR="004B0883" w:rsidRDefault="004B0883">
            <w:pPr>
              <w:adjustRightInd w:val="0"/>
              <w:snapToGrid w:val="0"/>
              <w:jc w:val="right"/>
              <w:rPr>
                <w:b/>
                <w:bCs/>
                <w:color w:val="000000"/>
                <w:kern w:val="0"/>
              </w:rPr>
            </w:pPr>
            <w:r>
              <w:rPr>
                <w:b/>
                <w:bCs/>
              </w:rPr>
              <w:t>8,153.10</w:t>
            </w:r>
          </w:p>
        </w:tc>
        <w:tc>
          <w:tcPr>
            <w:tcW w:w="1473" w:type="dxa"/>
            <w:vAlign w:val="center"/>
          </w:tcPr>
          <w:p w14:paraId="6799538F" w14:textId="77777777" w:rsidR="004B0883" w:rsidRDefault="004B0883">
            <w:pPr>
              <w:adjustRightInd w:val="0"/>
              <w:snapToGrid w:val="0"/>
              <w:jc w:val="right"/>
              <w:rPr>
                <w:b/>
                <w:bCs/>
                <w:color w:val="000000"/>
                <w:kern w:val="0"/>
              </w:rPr>
            </w:pPr>
            <w:r>
              <w:rPr>
                <w:rFonts w:hint="eastAsia"/>
                <w:b/>
                <w:bCs/>
                <w:color w:val="000000"/>
                <w:kern w:val="0"/>
              </w:rPr>
              <w:t>13,192.39</w:t>
            </w:r>
          </w:p>
        </w:tc>
        <w:tc>
          <w:tcPr>
            <w:tcW w:w="1472" w:type="dxa"/>
            <w:vAlign w:val="center"/>
          </w:tcPr>
          <w:p w14:paraId="00277CF4" w14:textId="77777777" w:rsidR="004B0883" w:rsidRDefault="004B0883">
            <w:pPr>
              <w:adjustRightInd w:val="0"/>
              <w:snapToGrid w:val="0"/>
              <w:jc w:val="right"/>
              <w:rPr>
                <w:b/>
                <w:bCs/>
                <w:color w:val="000000"/>
                <w:kern w:val="0"/>
              </w:rPr>
            </w:pPr>
            <w:r>
              <w:rPr>
                <w:rFonts w:hint="eastAsia"/>
                <w:b/>
                <w:bCs/>
                <w:color w:val="000000"/>
                <w:kern w:val="0"/>
              </w:rPr>
              <w:t>15,101.88</w:t>
            </w:r>
          </w:p>
        </w:tc>
        <w:tc>
          <w:tcPr>
            <w:tcW w:w="1473" w:type="dxa"/>
            <w:vAlign w:val="center"/>
          </w:tcPr>
          <w:p w14:paraId="05F1549E" w14:textId="77777777" w:rsidR="004B0883" w:rsidRDefault="004B0883">
            <w:pPr>
              <w:adjustRightInd w:val="0"/>
              <w:snapToGrid w:val="0"/>
              <w:jc w:val="right"/>
              <w:rPr>
                <w:b/>
                <w:bCs/>
                <w:color w:val="000000"/>
                <w:kern w:val="0"/>
              </w:rPr>
            </w:pPr>
            <w:r>
              <w:rPr>
                <w:rFonts w:hint="eastAsia"/>
                <w:b/>
                <w:bCs/>
                <w:color w:val="000000"/>
                <w:kern w:val="0"/>
              </w:rPr>
              <w:t>5,329.26</w:t>
            </w:r>
          </w:p>
        </w:tc>
      </w:tr>
      <w:tr w:rsidR="004B0883" w14:paraId="237CA563" w14:textId="77777777">
        <w:trPr>
          <w:trHeight w:val="397"/>
          <w:jc w:val="center"/>
        </w:trPr>
        <w:tc>
          <w:tcPr>
            <w:tcW w:w="2212" w:type="dxa"/>
            <w:vAlign w:val="center"/>
          </w:tcPr>
          <w:p w14:paraId="5D557A3D" w14:textId="77777777" w:rsidR="004B0883" w:rsidRDefault="004B0883">
            <w:pPr>
              <w:adjustRightInd w:val="0"/>
              <w:snapToGrid w:val="0"/>
              <w:rPr>
                <w:b/>
                <w:bCs/>
                <w:color w:val="000000"/>
                <w:kern w:val="0"/>
              </w:rPr>
            </w:pPr>
            <w:r>
              <w:rPr>
                <w:b/>
                <w:bCs/>
                <w:color w:val="000000"/>
                <w:kern w:val="0"/>
              </w:rPr>
              <w:t>筹资活动产生的现金流量净额</w:t>
            </w:r>
          </w:p>
        </w:tc>
        <w:tc>
          <w:tcPr>
            <w:tcW w:w="1896" w:type="dxa"/>
            <w:vAlign w:val="center"/>
          </w:tcPr>
          <w:p w14:paraId="333F658B" w14:textId="77777777" w:rsidR="004B0883" w:rsidRDefault="004B0883">
            <w:pPr>
              <w:adjustRightInd w:val="0"/>
              <w:snapToGrid w:val="0"/>
              <w:jc w:val="right"/>
              <w:rPr>
                <w:b/>
                <w:bCs/>
                <w:color w:val="000000"/>
                <w:kern w:val="0"/>
              </w:rPr>
            </w:pPr>
            <w:r>
              <w:rPr>
                <w:b/>
                <w:bCs/>
              </w:rPr>
              <w:t>-7,952.90</w:t>
            </w:r>
          </w:p>
        </w:tc>
        <w:tc>
          <w:tcPr>
            <w:tcW w:w="1473" w:type="dxa"/>
            <w:vAlign w:val="center"/>
          </w:tcPr>
          <w:p w14:paraId="22274C88" w14:textId="77777777" w:rsidR="004B0883" w:rsidRDefault="004B0883">
            <w:pPr>
              <w:adjustRightInd w:val="0"/>
              <w:snapToGrid w:val="0"/>
              <w:jc w:val="right"/>
              <w:rPr>
                <w:b/>
                <w:bCs/>
                <w:color w:val="000000"/>
                <w:kern w:val="0"/>
              </w:rPr>
            </w:pPr>
            <w:r>
              <w:rPr>
                <w:rFonts w:hint="eastAsia"/>
                <w:b/>
                <w:bCs/>
                <w:color w:val="000000"/>
                <w:kern w:val="0"/>
              </w:rPr>
              <w:t>-1,993.55</w:t>
            </w:r>
          </w:p>
        </w:tc>
        <w:tc>
          <w:tcPr>
            <w:tcW w:w="1472" w:type="dxa"/>
            <w:vAlign w:val="center"/>
          </w:tcPr>
          <w:p w14:paraId="58AFB860" w14:textId="77777777" w:rsidR="004B0883" w:rsidRDefault="004B0883">
            <w:pPr>
              <w:adjustRightInd w:val="0"/>
              <w:snapToGrid w:val="0"/>
              <w:jc w:val="right"/>
              <w:rPr>
                <w:b/>
                <w:bCs/>
                <w:color w:val="000000"/>
                <w:kern w:val="0"/>
              </w:rPr>
            </w:pPr>
            <w:r>
              <w:rPr>
                <w:rFonts w:hint="eastAsia"/>
                <w:b/>
                <w:bCs/>
                <w:color w:val="000000"/>
                <w:kern w:val="0"/>
              </w:rPr>
              <w:t>-6,391.88</w:t>
            </w:r>
          </w:p>
        </w:tc>
        <w:tc>
          <w:tcPr>
            <w:tcW w:w="1473" w:type="dxa"/>
            <w:vAlign w:val="center"/>
          </w:tcPr>
          <w:p w14:paraId="684112D7" w14:textId="77777777" w:rsidR="004B0883" w:rsidRDefault="004B0883">
            <w:pPr>
              <w:adjustRightInd w:val="0"/>
              <w:snapToGrid w:val="0"/>
              <w:jc w:val="right"/>
              <w:rPr>
                <w:b/>
                <w:bCs/>
                <w:color w:val="000000"/>
                <w:kern w:val="0"/>
              </w:rPr>
            </w:pPr>
            <w:r>
              <w:rPr>
                <w:rFonts w:hint="eastAsia"/>
                <w:b/>
                <w:bCs/>
                <w:color w:val="000000"/>
                <w:kern w:val="0"/>
              </w:rPr>
              <w:t>-210.16</w:t>
            </w:r>
          </w:p>
        </w:tc>
      </w:tr>
      <w:tr w:rsidR="004B0883" w14:paraId="55EFC68B" w14:textId="77777777">
        <w:trPr>
          <w:trHeight w:val="397"/>
          <w:jc w:val="center"/>
        </w:trPr>
        <w:tc>
          <w:tcPr>
            <w:tcW w:w="2212" w:type="dxa"/>
            <w:vAlign w:val="center"/>
          </w:tcPr>
          <w:p w14:paraId="7FE1944A" w14:textId="77777777" w:rsidR="004B0883" w:rsidRDefault="004B0883">
            <w:pPr>
              <w:adjustRightInd w:val="0"/>
              <w:snapToGrid w:val="0"/>
              <w:rPr>
                <w:b/>
                <w:bCs/>
                <w:color w:val="000000"/>
                <w:kern w:val="0"/>
              </w:rPr>
            </w:pPr>
            <w:r>
              <w:rPr>
                <w:b/>
                <w:bCs/>
                <w:color w:val="000000"/>
                <w:kern w:val="0"/>
              </w:rPr>
              <w:t>四、汇率变动对现金及现金等价物的影响</w:t>
            </w:r>
          </w:p>
        </w:tc>
        <w:tc>
          <w:tcPr>
            <w:tcW w:w="1896" w:type="dxa"/>
            <w:vAlign w:val="center"/>
          </w:tcPr>
          <w:p w14:paraId="0C02C61C" w14:textId="77777777" w:rsidR="004B0883" w:rsidRDefault="004B0883">
            <w:pPr>
              <w:adjustRightInd w:val="0"/>
              <w:snapToGrid w:val="0"/>
              <w:jc w:val="right"/>
              <w:rPr>
                <w:b/>
                <w:bCs/>
                <w:color w:val="000000"/>
                <w:kern w:val="0"/>
              </w:rPr>
            </w:pPr>
            <w:r>
              <w:rPr>
                <w:b/>
                <w:bCs/>
              </w:rPr>
              <w:t>-181.97</w:t>
            </w:r>
          </w:p>
        </w:tc>
        <w:tc>
          <w:tcPr>
            <w:tcW w:w="1473" w:type="dxa"/>
            <w:vAlign w:val="center"/>
          </w:tcPr>
          <w:p w14:paraId="6176D0F3" w14:textId="77777777" w:rsidR="004B0883" w:rsidRDefault="004B0883">
            <w:pPr>
              <w:adjustRightInd w:val="0"/>
              <w:snapToGrid w:val="0"/>
              <w:jc w:val="right"/>
              <w:rPr>
                <w:b/>
                <w:bCs/>
                <w:color w:val="000000"/>
                <w:kern w:val="0"/>
              </w:rPr>
            </w:pPr>
            <w:r>
              <w:rPr>
                <w:rFonts w:hint="eastAsia"/>
                <w:b/>
                <w:bCs/>
                <w:color w:val="000000"/>
                <w:kern w:val="0"/>
              </w:rPr>
              <w:t>238.67</w:t>
            </w:r>
          </w:p>
        </w:tc>
        <w:tc>
          <w:tcPr>
            <w:tcW w:w="1472" w:type="dxa"/>
            <w:vAlign w:val="center"/>
          </w:tcPr>
          <w:p w14:paraId="263ADDA2" w14:textId="77777777" w:rsidR="004B0883" w:rsidRDefault="004B0883">
            <w:pPr>
              <w:adjustRightInd w:val="0"/>
              <w:snapToGrid w:val="0"/>
              <w:jc w:val="right"/>
              <w:rPr>
                <w:b/>
                <w:bCs/>
                <w:color w:val="000000"/>
                <w:kern w:val="0"/>
              </w:rPr>
            </w:pPr>
            <w:r>
              <w:rPr>
                <w:rFonts w:hint="eastAsia"/>
                <w:b/>
                <w:bCs/>
                <w:color w:val="000000"/>
                <w:kern w:val="0"/>
              </w:rPr>
              <w:t>-67.71</w:t>
            </w:r>
          </w:p>
        </w:tc>
        <w:tc>
          <w:tcPr>
            <w:tcW w:w="1473" w:type="dxa"/>
            <w:vAlign w:val="center"/>
          </w:tcPr>
          <w:p w14:paraId="3B556426" w14:textId="77777777" w:rsidR="004B0883" w:rsidRDefault="004B0883">
            <w:pPr>
              <w:adjustRightInd w:val="0"/>
              <w:snapToGrid w:val="0"/>
              <w:jc w:val="right"/>
              <w:rPr>
                <w:b/>
                <w:bCs/>
                <w:color w:val="000000"/>
                <w:kern w:val="0"/>
              </w:rPr>
            </w:pPr>
            <w:r>
              <w:rPr>
                <w:rFonts w:hint="eastAsia"/>
                <w:b/>
                <w:bCs/>
                <w:color w:val="000000"/>
                <w:kern w:val="0"/>
              </w:rPr>
              <w:t>-78.65</w:t>
            </w:r>
          </w:p>
        </w:tc>
      </w:tr>
      <w:tr w:rsidR="004B0883" w14:paraId="12877B9E" w14:textId="77777777">
        <w:trPr>
          <w:trHeight w:val="397"/>
          <w:jc w:val="center"/>
        </w:trPr>
        <w:tc>
          <w:tcPr>
            <w:tcW w:w="2212" w:type="dxa"/>
            <w:vAlign w:val="center"/>
          </w:tcPr>
          <w:p w14:paraId="6AA099EF" w14:textId="77777777" w:rsidR="004B0883" w:rsidRDefault="004B0883">
            <w:pPr>
              <w:adjustRightInd w:val="0"/>
              <w:snapToGrid w:val="0"/>
              <w:rPr>
                <w:b/>
                <w:bCs/>
                <w:color w:val="000000"/>
                <w:kern w:val="0"/>
              </w:rPr>
            </w:pPr>
            <w:r>
              <w:rPr>
                <w:b/>
                <w:bCs/>
                <w:color w:val="000000"/>
                <w:kern w:val="0"/>
              </w:rPr>
              <w:t>五、现金及现金等价物净增加额</w:t>
            </w:r>
          </w:p>
        </w:tc>
        <w:tc>
          <w:tcPr>
            <w:tcW w:w="1896" w:type="dxa"/>
            <w:vAlign w:val="center"/>
          </w:tcPr>
          <w:p w14:paraId="2E3E650E" w14:textId="77777777" w:rsidR="004B0883" w:rsidRDefault="004B0883">
            <w:pPr>
              <w:adjustRightInd w:val="0"/>
              <w:snapToGrid w:val="0"/>
              <w:jc w:val="right"/>
              <w:rPr>
                <w:b/>
                <w:bCs/>
                <w:color w:val="000000"/>
                <w:kern w:val="0"/>
              </w:rPr>
            </w:pPr>
            <w:r>
              <w:rPr>
                <w:b/>
                <w:bCs/>
              </w:rPr>
              <w:t>-11,747.61</w:t>
            </w:r>
          </w:p>
        </w:tc>
        <w:tc>
          <w:tcPr>
            <w:tcW w:w="1473" w:type="dxa"/>
            <w:vAlign w:val="center"/>
          </w:tcPr>
          <w:p w14:paraId="2AB78DE6" w14:textId="77777777" w:rsidR="004B0883" w:rsidRDefault="004B0883">
            <w:pPr>
              <w:adjustRightInd w:val="0"/>
              <w:snapToGrid w:val="0"/>
              <w:jc w:val="right"/>
              <w:rPr>
                <w:b/>
                <w:bCs/>
                <w:color w:val="000000"/>
                <w:kern w:val="0"/>
              </w:rPr>
            </w:pPr>
            <w:r>
              <w:rPr>
                <w:rFonts w:hint="eastAsia"/>
                <w:b/>
                <w:bCs/>
                <w:color w:val="000000"/>
                <w:kern w:val="0"/>
              </w:rPr>
              <w:t>7,279.02</w:t>
            </w:r>
          </w:p>
        </w:tc>
        <w:tc>
          <w:tcPr>
            <w:tcW w:w="1472" w:type="dxa"/>
            <w:vAlign w:val="center"/>
          </w:tcPr>
          <w:p w14:paraId="5ECB72CA" w14:textId="77777777" w:rsidR="004B0883" w:rsidRDefault="004B0883">
            <w:pPr>
              <w:adjustRightInd w:val="0"/>
              <w:snapToGrid w:val="0"/>
              <w:jc w:val="right"/>
              <w:rPr>
                <w:b/>
                <w:bCs/>
                <w:color w:val="000000"/>
                <w:kern w:val="0"/>
              </w:rPr>
            </w:pPr>
            <w:r>
              <w:rPr>
                <w:rFonts w:hint="eastAsia"/>
                <w:b/>
                <w:bCs/>
                <w:color w:val="000000"/>
                <w:kern w:val="0"/>
              </w:rPr>
              <w:t>3,973.42</w:t>
            </w:r>
          </w:p>
        </w:tc>
        <w:tc>
          <w:tcPr>
            <w:tcW w:w="1473" w:type="dxa"/>
            <w:vAlign w:val="center"/>
          </w:tcPr>
          <w:p w14:paraId="3DFF9F1A" w14:textId="77777777" w:rsidR="004B0883" w:rsidRDefault="004B0883">
            <w:pPr>
              <w:adjustRightInd w:val="0"/>
              <w:snapToGrid w:val="0"/>
              <w:jc w:val="right"/>
              <w:rPr>
                <w:b/>
                <w:bCs/>
                <w:color w:val="000000"/>
                <w:kern w:val="0"/>
              </w:rPr>
            </w:pPr>
            <w:r>
              <w:rPr>
                <w:rFonts w:hint="eastAsia"/>
                <w:b/>
                <w:bCs/>
                <w:color w:val="000000"/>
                <w:kern w:val="0"/>
              </w:rPr>
              <w:t>-1,096.58</w:t>
            </w:r>
          </w:p>
        </w:tc>
      </w:tr>
      <w:tr w:rsidR="004B0883" w14:paraId="26A043A1" w14:textId="77777777">
        <w:trPr>
          <w:trHeight w:val="397"/>
          <w:jc w:val="center"/>
        </w:trPr>
        <w:tc>
          <w:tcPr>
            <w:tcW w:w="2212" w:type="dxa"/>
            <w:vAlign w:val="center"/>
          </w:tcPr>
          <w:p w14:paraId="729E27B3" w14:textId="77777777" w:rsidR="004B0883" w:rsidRDefault="004B0883">
            <w:pPr>
              <w:adjustRightInd w:val="0"/>
              <w:snapToGrid w:val="0"/>
              <w:rPr>
                <w:color w:val="000000"/>
                <w:kern w:val="0"/>
              </w:rPr>
            </w:pPr>
            <w:r>
              <w:rPr>
                <w:color w:val="000000"/>
                <w:kern w:val="0"/>
              </w:rPr>
              <w:t>加：期初现金及现金等价物余额</w:t>
            </w:r>
          </w:p>
        </w:tc>
        <w:tc>
          <w:tcPr>
            <w:tcW w:w="1896" w:type="dxa"/>
            <w:vAlign w:val="center"/>
          </w:tcPr>
          <w:p w14:paraId="3865ECEC" w14:textId="77777777" w:rsidR="004B0883" w:rsidRDefault="004B0883">
            <w:pPr>
              <w:adjustRightInd w:val="0"/>
              <w:snapToGrid w:val="0"/>
              <w:jc w:val="right"/>
              <w:rPr>
                <w:color w:val="000000"/>
                <w:kern w:val="0"/>
              </w:rPr>
            </w:pPr>
            <w:r>
              <w:t>15,378.18</w:t>
            </w:r>
          </w:p>
        </w:tc>
        <w:tc>
          <w:tcPr>
            <w:tcW w:w="1473" w:type="dxa"/>
            <w:vAlign w:val="center"/>
          </w:tcPr>
          <w:p w14:paraId="393EECFB" w14:textId="77777777" w:rsidR="004B0883" w:rsidRDefault="004B0883">
            <w:pPr>
              <w:adjustRightInd w:val="0"/>
              <w:snapToGrid w:val="0"/>
              <w:jc w:val="right"/>
              <w:rPr>
                <w:color w:val="000000"/>
                <w:kern w:val="0"/>
              </w:rPr>
            </w:pPr>
            <w:r>
              <w:rPr>
                <w:rFonts w:hint="eastAsia"/>
                <w:color w:val="000000"/>
                <w:kern w:val="0"/>
              </w:rPr>
              <w:t>8,099.16</w:t>
            </w:r>
          </w:p>
        </w:tc>
        <w:tc>
          <w:tcPr>
            <w:tcW w:w="1472" w:type="dxa"/>
            <w:vAlign w:val="center"/>
          </w:tcPr>
          <w:p w14:paraId="3E162B75" w14:textId="77777777" w:rsidR="004B0883" w:rsidRDefault="004B0883">
            <w:pPr>
              <w:adjustRightInd w:val="0"/>
              <w:snapToGrid w:val="0"/>
              <w:jc w:val="right"/>
              <w:rPr>
                <w:color w:val="000000"/>
                <w:kern w:val="0"/>
              </w:rPr>
            </w:pPr>
            <w:r>
              <w:rPr>
                <w:rFonts w:hint="eastAsia"/>
                <w:color w:val="000000"/>
                <w:kern w:val="0"/>
              </w:rPr>
              <w:t>4,125.74</w:t>
            </w:r>
          </w:p>
        </w:tc>
        <w:tc>
          <w:tcPr>
            <w:tcW w:w="1473" w:type="dxa"/>
            <w:vAlign w:val="center"/>
          </w:tcPr>
          <w:p w14:paraId="738DEBE9" w14:textId="77777777" w:rsidR="004B0883" w:rsidRDefault="004B0883">
            <w:pPr>
              <w:adjustRightInd w:val="0"/>
              <w:snapToGrid w:val="0"/>
              <w:jc w:val="right"/>
              <w:rPr>
                <w:color w:val="000000"/>
                <w:kern w:val="0"/>
              </w:rPr>
            </w:pPr>
            <w:r>
              <w:rPr>
                <w:rFonts w:hint="eastAsia"/>
                <w:color w:val="000000"/>
                <w:kern w:val="0"/>
              </w:rPr>
              <w:t>5,222.32</w:t>
            </w:r>
          </w:p>
        </w:tc>
      </w:tr>
      <w:tr w:rsidR="004B0883" w14:paraId="1615E207" w14:textId="77777777">
        <w:trPr>
          <w:trHeight w:val="397"/>
          <w:jc w:val="center"/>
        </w:trPr>
        <w:tc>
          <w:tcPr>
            <w:tcW w:w="2212" w:type="dxa"/>
            <w:vAlign w:val="center"/>
          </w:tcPr>
          <w:p w14:paraId="6D4F463C" w14:textId="77777777" w:rsidR="004B0883" w:rsidRDefault="004B0883">
            <w:pPr>
              <w:adjustRightInd w:val="0"/>
              <w:snapToGrid w:val="0"/>
              <w:rPr>
                <w:b/>
                <w:bCs/>
                <w:color w:val="000000"/>
                <w:kern w:val="0"/>
              </w:rPr>
            </w:pPr>
            <w:r>
              <w:rPr>
                <w:b/>
                <w:bCs/>
                <w:color w:val="000000"/>
                <w:kern w:val="0"/>
              </w:rPr>
              <w:t>六、期末现金及现金等价物余额</w:t>
            </w:r>
          </w:p>
        </w:tc>
        <w:tc>
          <w:tcPr>
            <w:tcW w:w="1896" w:type="dxa"/>
            <w:vAlign w:val="center"/>
          </w:tcPr>
          <w:p w14:paraId="15466855" w14:textId="77777777" w:rsidR="004B0883" w:rsidRDefault="004B0883">
            <w:pPr>
              <w:adjustRightInd w:val="0"/>
              <w:snapToGrid w:val="0"/>
              <w:jc w:val="right"/>
              <w:rPr>
                <w:b/>
                <w:bCs/>
                <w:color w:val="000000"/>
                <w:kern w:val="0"/>
              </w:rPr>
            </w:pPr>
            <w:r>
              <w:rPr>
                <w:b/>
                <w:bCs/>
              </w:rPr>
              <w:t>3,630.57</w:t>
            </w:r>
          </w:p>
        </w:tc>
        <w:tc>
          <w:tcPr>
            <w:tcW w:w="1473" w:type="dxa"/>
            <w:vAlign w:val="center"/>
          </w:tcPr>
          <w:p w14:paraId="491D3429" w14:textId="77777777" w:rsidR="004B0883" w:rsidRDefault="004B0883">
            <w:pPr>
              <w:adjustRightInd w:val="0"/>
              <w:snapToGrid w:val="0"/>
              <w:jc w:val="right"/>
              <w:rPr>
                <w:b/>
                <w:bCs/>
                <w:color w:val="000000"/>
                <w:kern w:val="0"/>
              </w:rPr>
            </w:pPr>
            <w:r>
              <w:rPr>
                <w:rFonts w:hint="eastAsia"/>
                <w:b/>
                <w:bCs/>
                <w:color w:val="000000"/>
                <w:kern w:val="0"/>
              </w:rPr>
              <w:t>15,378.18</w:t>
            </w:r>
          </w:p>
        </w:tc>
        <w:tc>
          <w:tcPr>
            <w:tcW w:w="1472" w:type="dxa"/>
            <w:vAlign w:val="center"/>
          </w:tcPr>
          <w:p w14:paraId="0066D3FA" w14:textId="77777777" w:rsidR="004B0883" w:rsidRDefault="004B0883">
            <w:pPr>
              <w:adjustRightInd w:val="0"/>
              <w:snapToGrid w:val="0"/>
              <w:jc w:val="right"/>
              <w:rPr>
                <w:b/>
                <w:bCs/>
                <w:color w:val="000000"/>
                <w:kern w:val="0"/>
              </w:rPr>
            </w:pPr>
            <w:r>
              <w:rPr>
                <w:rFonts w:hint="eastAsia"/>
                <w:b/>
                <w:bCs/>
                <w:color w:val="000000"/>
                <w:kern w:val="0"/>
              </w:rPr>
              <w:t>8,099.16</w:t>
            </w:r>
          </w:p>
        </w:tc>
        <w:tc>
          <w:tcPr>
            <w:tcW w:w="1473" w:type="dxa"/>
            <w:vAlign w:val="center"/>
          </w:tcPr>
          <w:p w14:paraId="03DED173" w14:textId="77777777" w:rsidR="004B0883" w:rsidRDefault="004B0883">
            <w:pPr>
              <w:adjustRightInd w:val="0"/>
              <w:snapToGrid w:val="0"/>
              <w:jc w:val="right"/>
              <w:rPr>
                <w:b/>
                <w:bCs/>
                <w:color w:val="000000"/>
                <w:kern w:val="0"/>
              </w:rPr>
            </w:pPr>
            <w:r>
              <w:rPr>
                <w:rFonts w:hint="eastAsia"/>
                <w:b/>
                <w:bCs/>
                <w:color w:val="000000"/>
                <w:kern w:val="0"/>
              </w:rPr>
              <w:t>4,125.74</w:t>
            </w:r>
          </w:p>
        </w:tc>
      </w:tr>
    </w:tbl>
    <w:p w14:paraId="608CDFB3" w14:textId="77777777" w:rsidR="004B0883" w:rsidRDefault="004B0883">
      <w:pPr>
        <w:pStyle w:val="004"/>
        <w:spacing w:before="120" w:after="120"/>
        <w:ind w:firstLine="482"/>
      </w:pPr>
      <w:r>
        <w:rPr>
          <w:rFonts w:hint="eastAsia"/>
        </w:rPr>
        <w:t>2</w:t>
      </w:r>
      <w:r>
        <w:t>、母公司现金流量表</w:t>
      </w:r>
    </w:p>
    <w:p w14:paraId="176EAFAF" w14:textId="77777777" w:rsidR="004B0883" w:rsidRDefault="004B0883">
      <w:pPr>
        <w:pStyle w:val="009"/>
      </w:pPr>
      <w: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29"/>
        <w:gridCol w:w="1612"/>
        <w:gridCol w:w="1613"/>
        <w:gridCol w:w="1613"/>
        <w:gridCol w:w="1613"/>
      </w:tblGrid>
      <w:tr w:rsidR="004B0883" w14:paraId="1B5BD5FF" w14:textId="77777777">
        <w:trPr>
          <w:trHeight w:val="397"/>
          <w:tblHeader/>
          <w:jc w:val="center"/>
        </w:trPr>
        <w:tc>
          <w:tcPr>
            <w:tcW w:w="1883" w:type="dxa"/>
            <w:shd w:val="clear" w:color="auto" w:fill="D9D9D9"/>
            <w:vAlign w:val="center"/>
          </w:tcPr>
          <w:p w14:paraId="0C5679AF" w14:textId="77777777" w:rsidR="004B0883" w:rsidRDefault="004B0883">
            <w:pPr>
              <w:adjustRightInd w:val="0"/>
              <w:snapToGrid w:val="0"/>
              <w:jc w:val="center"/>
              <w:rPr>
                <w:b/>
                <w:bCs/>
                <w:kern w:val="0"/>
              </w:rPr>
            </w:pPr>
            <w:r>
              <w:rPr>
                <w:b/>
                <w:bCs/>
                <w:kern w:val="0"/>
              </w:rPr>
              <w:t>项目</w:t>
            </w:r>
          </w:p>
        </w:tc>
        <w:tc>
          <w:tcPr>
            <w:tcW w:w="1660" w:type="dxa"/>
            <w:shd w:val="clear" w:color="auto" w:fill="D9D9D9"/>
            <w:vAlign w:val="center"/>
          </w:tcPr>
          <w:p w14:paraId="6C86EF63" w14:textId="77777777" w:rsidR="004B0883" w:rsidRDefault="004B0883">
            <w:pPr>
              <w:adjustRightInd w:val="0"/>
              <w:snapToGrid w:val="0"/>
              <w:jc w:val="center"/>
              <w:rPr>
                <w:b/>
                <w:bCs/>
                <w:kern w:val="0"/>
              </w:rPr>
            </w:pPr>
            <w:r>
              <w:rPr>
                <w:b/>
                <w:bCs/>
                <w:kern w:val="0"/>
              </w:rPr>
              <w:t>2023</w:t>
            </w:r>
            <w:r>
              <w:rPr>
                <w:b/>
                <w:bCs/>
                <w:kern w:val="0"/>
              </w:rPr>
              <w:t>年</w:t>
            </w:r>
            <w:r>
              <w:rPr>
                <w:b/>
                <w:bCs/>
                <w:kern w:val="0"/>
              </w:rPr>
              <w:t>1-</w:t>
            </w:r>
            <w:r>
              <w:rPr>
                <w:rFonts w:hint="eastAsia"/>
                <w:b/>
                <w:bCs/>
                <w:kern w:val="0"/>
              </w:rPr>
              <w:t>9</w:t>
            </w:r>
            <w:r>
              <w:rPr>
                <w:b/>
                <w:bCs/>
                <w:kern w:val="0"/>
              </w:rPr>
              <w:t>月</w:t>
            </w:r>
          </w:p>
        </w:tc>
        <w:tc>
          <w:tcPr>
            <w:tcW w:w="1661" w:type="dxa"/>
            <w:shd w:val="clear" w:color="auto" w:fill="D9D9D9"/>
            <w:vAlign w:val="center"/>
          </w:tcPr>
          <w:p w14:paraId="0F9A8761" w14:textId="77777777" w:rsidR="004B0883" w:rsidRDefault="004B0883">
            <w:pPr>
              <w:adjustRightInd w:val="0"/>
              <w:snapToGrid w:val="0"/>
              <w:jc w:val="center"/>
              <w:rPr>
                <w:b/>
                <w:bCs/>
                <w:color w:val="000000"/>
                <w:kern w:val="0"/>
              </w:rPr>
            </w:pPr>
            <w:r>
              <w:rPr>
                <w:b/>
                <w:bCs/>
                <w:kern w:val="0"/>
              </w:rPr>
              <w:t>2022</w:t>
            </w:r>
            <w:r>
              <w:rPr>
                <w:b/>
                <w:bCs/>
                <w:kern w:val="0"/>
              </w:rPr>
              <w:t>年度</w:t>
            </w:r>
          </w:p>
        </w:tc>
        <w:tc>
          <w:tcPr>
            <w:tcW w:w="1661" w:type="dxa"/>
            <w:shd w:val="clear" w:color="auto" w:fill="D9D9D9"/>
            <w:vAlign w:val="center"/>
          </w:tcPr>
          <w:p w14:paraId="3648429F" w14:textId="77777777" w:rsidR="004B0883" w:rsidRDefault="004B0883">
            <w:pPr>
              <w:adjustRightInd w:val="0"/>
              <w:snapToGrid w:val="0"/>
              <w:jc w:val="center"/>
              <w:rPr>
                <w:b/>
                <w:bCs/>
                <w:color w:val="000000"/>
                <w:kern w:val="0"/>
              </w:rPr>
            </w:pPr>
            <w:r>
              <w:rPr>
                <w:b/>
                <w:bCs/>
                <w:kern w:val="0"/>
              </w:rPr>
              <w:t>2021</w:t>
            </w:r>
            <w:r>
              <w:rPr>
                <w:b/>
                <w:bCs/>
                <w:kern w:val="0"/>
              </w:rPr>
              <w:t>年度</w:t>
            </w:r>
          </w:p>
        </w:tc>
        <w:tc>
          <w:tcPr>
            <w:tcW w:w="1661" w:type="dxa"/>
            <w:shd w:val="clear" w:color="auto" w:fill="D9D9D9"/>
            <w:vAlign w:val="center"/>
          </w:tcPr>
          <w:p w14:paraId="0D3091F3" w14:textId="77777777" w:rsidR="004B0883" w:rsidRDefault="004B0883">
            <w:pPr>
              <w:adjustRightInd w:val="0"/>
              <w:snapToGrid w:val="0"/>
              <w:jc w:val="center"/>
              <w:rPr>
                <w:b/>
                <w:bCs/>
                <w:color w:val="000000"/>
                <w:kern w:val="0"/>
              </w:rPr>
            </w:pPr>
            <w:r>
              <w:rPr>
                <w:b/>
                <w:bCs/>
                <w:kern w:val="0"/>
              </w:rPr>
              <w:t>2020</w:t>
            </w:r>
            <w:r>
              <w:rPr>
                <w:b/>
                <w:bCs/>
                <w:kern w:val="0"/>
              </w:rPr>
              <w:t>年度</w:t>
            </w:r>
          </w:p>
        </w:tc>
      </w:tr>
      <w:tr w:rsidR="004B0883" w14:paraId="2CF43C43" w14:textId="77777777">
        <w:trPr>
          <w:trHeight w:val="397"/>
          <w:jc w:val="center"/>
        </w:trPr>
        <w:tc>
          <w:tcPr>
            <w:tcW w:w="1883" w:type="dxa"/>
            <w:vAlign w:val="center"/>
          </w:tcPr>
          <w:p w14:paraId="2D2D4C63" w14:textId="77777777" w:rsidR="004B0883" w:rsidRDefault="004B0883">
            <w:pPr>
              <w:adjustRightInd w:val="0"/>
              <w:snapToGrid w:val="0"/>
              <w:rPr>
                <w:b/>
                <w:bCs/>
                <w:kern w:val="0"/>
              </w:rPr>
            </w:pPr>
            <w:r>
              <w:rPr>
                <w:b/>
                <w:bCs/>
                <w:kern w:val="0"/>
              </w:rPr>
              <w:t>一、经营活动产生的现金流量：</w:t>
            </w:r>
          </w:p>
        </w:tc>
        <w:tc>
          <w:tcPr>
            <w:tcW w:w="1660" w:type="dxa"/>
            <w:vAlign w:val="center"/>
          </w:tcPr>
          <w:p w14:paraId="3DD84702" w14:textId="77777777" w:rsidR="004B0883" w:rsidRDefault="004B0883">
            <w:pPr>
              <w:adjustRightInd w:val="0"/>
              <w:snapToGrid w:val="0"/>
              <w:jc w:val="right"/>
              <w:rPr>
                <w:b/>
                <w:bCs/>
                <w:kern w:val="0"/>
              </w:rPr>
            </w:pPr>
          </w:p>
        </w:tc>
        <w:tc>
          <w:tcPr>
            <w:tcW w:w="1661" w:type="dxa"/>
            <w:vAlign w:val="center"/>
          </w:tcPr>
          <w:p w14:paraId="2D28F7C9" w14:textId="77777777" w:rsidR="004B0883" w:rsidRDefault="004B0883">
            <w:pPr>
              <w:adjustRightInd w:val="0"/>
              <w:snapToGrid w:val="0"/>
              <w:jc w:val="right"/>
              <w:rPr>
                <w:kern w:val="0"/>
              </w:rPr>
            </w:pPr>
          </w:p>
        </w:tc>
        <w:tc>
          <w:tcPr>
            <w:tcW w:w="1661" w:type="dxa"/>
            <w:vAlign w:val="center"/>
          </w:tcPr>
          <w:p w14:paraId="17B6AE9E" w14:textId="77777777" w:rsidR="004B0883" w:rsidRDefault="004B0883">
            <w:pPr>
              <w:adjustRightInd w:val="0"/>
              <w:snapToGrid w:val="0"/>
              <w:jc w:val="right"/>
              <w:rPr>
                <w:kern w:val="0"/>
              </w:rPr>
            </w:pPr>
          </w:p>
        </w:tc>
        <w:tc>
          <w:tcPr>
            <w:tcW w:w="1661" w:type="dxa"/>
            <w:vAlign w:val="center"/>
          </w:tcPr>
          <w:p w14:paraId="565599A5" w14:textId="77777777" w:rsidR="004B0883" w:rsidRDefault="004B0883">
            <w:pPr>
              <w:adjustRightInd w:val="0"/>
              <w:snapToGrid w:val="0"/>
              <w:jc w:val="right"/>
              <w:rPr>
                <w:kern w:val="0"/>
              </w:rPr>
            </w:pPr>
          </w:p>
        </w:tc>
      </w:tr>
      <w:tr w:rsidR="004B0883" w14:paraId="01C8ABF1" w14:textId="77777777">
        <w:trPr>
          <w:trHeight w:val="397"/>
          <w:jc w:val="center"/>
        </w:trPr>
        <w:tc>
          <w:tcPr>
            <w:tcW w:w="1883" w:type="dxa"/>
            <w:vAlign w:val="center"/>
          </w:tcPr>
          <w:p w14:paraId="30B8B0B4" w14:textId="77777777" w:rsidR="004B0883" w:rsidRDefault="004B0883">
            <w:pPr>
              <w:adjustRightInd w:val="0"/>
              <w:snapToGrid w:val="0"/>
              <w:rPr>
                <w:kern w:val="0"/>
              </w:rPr>
            </w:pPr>
            <w:r>
              <w:rPr>
                <w:kern w:val="0"/>
              </w:rPr>
              <w:t>销售商品、提供劳务收到的现金</w:t>
            </w:r>
          </w:p>
        </w:tc>
        <w:tc>
          <w:tcPr>
            <w:tcW w:w="1660" w:type="dxa"/>
            <w:vAlign w:val="center"/>
          </w:tcPr>
          <w:p w14:paraId="385FC57A" w14:textId="77777777" w:rsidR="004B0883" w:rsidRDefault="004B0883">
            <w:pPr>
              <w:adjustRightInd w:val="0"/>
              <w:snapToGrid w:val="0"/>
              <w:jc w:val="right"/>
              <w:rPr>
                <w:kern w:val="0"/>
              </w:rPr>
            </w:pPr>
            <w:r>
              <w:rPr>
                <w:kern w:val="0"/>
              </w:rPr>
              <w:t>38,829.02</w:t>
            </w:r>
          </w:p>
        </w:tc>
        <w:tc>
          <w:tcPr>
            <w:tcW w:w="1661" w:type="dxa"/>
            <w:vAlign w:val="center"/>
          </w:tcPr>
          <w:p w14:paraId="4D27BC3A" w14:textId="77777777" w:rsidR="004B0883" w:rsidRDefault="004B0883">
            <w:pPr>
              <w:adjustRightInd w:val="0"/>
              <w:snapToGrid w:val="0"/>
              <w:jc w:val="right"/>
              <w:rPr>
                <w:kern w:val="0"/>
              </w:rPr>
            </w:pPr>
            <w:r>
              <w:rPr>
                <w:rFonts w:hint="eastAsia"/>
                <w:kern w:val="0"/>
              </w:rPr>
              <w:t>52,341.72</w:t>
            </w:r>
          </w:p>
        </w:tc>
        <w:tc>
          <w:tcPr>
            <w:tcW w:w="1661" w:type="dxa"/>
            <w:vAlign w:val="center"/>
          </w:tcPr>
          <w:p w14:paraId="086CCDEC" w14:textId="77777777" w:rsidR="004B0883" w:rsidRDefault="004B0883">
            <w:pPr>
              <w:adjustRightInd w:val="0"/>
              <w:snapToGrid w:val="0"/>
              <w:jc w:val="right"/>
              <w:rPr>
                <w:kern w:val="0"/>
              </w:rPr>
            </w:pPr>
            <w:r>
              <w:rPr>
                <w:rFonts w:hint="eastAsia"/>
                <w:kern w:val="0"/>
              </w:rPr>
              <w:t>34,099.94</w:t>
            </w:r>
          </w:p>
        </w:tc>
        <w:tc>
          <w:tcPr>
            <w:tcW w:w="1661" w:type="dxa"/>
            <w:vAlign w:val="center"/>
          </w:tcPr>
          <w:p w14:paraId="512489D6" w14:textId="77777777" w:rsidR="004B0883" w:rsidRDefault="004B0883">
            <w:pPr>
              <w:adjustRightInd w:val="0"/>
              <w:snapToGrid w:val="0"/>
              <w:jc w:val="right"/>
              <w:rPr>
                <w:kern w:val="0"/>
              </w:rPr>
            </w:pPr>
            <w:r>
              <w:rPr>
                <w:rFonts w:hint="eastAsia"/>
                <w:kern w:val="0"/>
              </w:rPr>
              <w:t>35,596.16</w:t>
            </w:r>
          </w:p>
        </w:tc>
      </w:tr>
      <w:tr w:rsidR="004B0883" w14:paraId="0D0809BD" w14:textId="77777777">
        <w:trPr>
          <w:trHeight w:val="397"/>
          <w:jc w:val="center"/>
        </w:trPr>
        <w:tc>
          <w:tcPr>
            <w:tcW w:w="1883" w:type="dxa"/>
            <w:vAlign w:val="center"/>
          </w:tcPr>
          <w:p w14:paraId="0A78DDD3" w14:textId="77777777" w:rsidR="004B0883" w:rsidRDefault="004B0883">
            <w:pPr>
              <w:adjustRightInd w:val="0"/>
              <w:snapToGrid w:val="0"/>
              <w:rPr>
                <w:kern w:val="0"/>
              </w:rPr>
            </w:pPr>
            <w:r>
              <w:rPr>
                <w:kern w:val="0"/>
              </w:rPr>
              <w:t>收到的税费返还</w:t>
            </w:r>
          </w:p>
        </w:tc>
        <w:tc>
          <w:tcPr>
            <w:tcW w:w="1660" w:type="dxa"/>
            <w:vAlign w:val="center"/>
          </w:tcPr>
          <w:p w14:paraId="59E28DA4" w14:textId="77777777" w:rsidR="004B0883" w:rsidRDefault="004B0883">
            <w:pPr>
              <w:adjustRightInd w:val="0"/>
              <w:snapToGrid w:val="0"/>
              <w:jc w:val="right"/>
              <w:rPr>
                <w:kern w:val="0"/>
              </w:rPr>
            </w:pPr>
            <w:r>
              <w:t>1,831.40</w:t>
            </w:r>
          </w:p>
        </w:tc>
        <w:tc>
          <w:tcPr>
            <w:tcW w:w="1661" w:type="dxa"/>
            <w:vAlign w:val="center"/>
          </w:tcPr>
          <w:p w14:paraId="6360C0EE" w14:textId="77777777" w:rsidR="004B0883" w:rsidRDefault="004B0883">
            <w:pPr>
              <w:adjustRightInd w:val="0"/>
              <w:snapToGrid w:val="0"/>
              <w:jc w:val="right"/>
              <w:rPr>
                <w:kern w:val="0"/>
              </w:rPr>
            </w:pPr>
            <w:r>
              <w:rPr>
                <w:rFonts w:hint="eastAsia"/>
                <w:kern w:val="0"/>
              </w:rPr>
              <w:t>3,263.15</w:t>
            </w:r>
          </w:p>
        </w:tc>
        <w:tc>
          <w:tcPr>
            <w:tcW w:w="1661" w:type="dxa"/>
            <w:vAlign w:val="center"/>
          </w:tcPr>
          <w:p w14:paraId="11D65EC1" w14:textId="77777777" w:rsidR="004B0883" w:rsidRDefault="004B0883">
            <w:pPr>
              <w:adjustRightInd w:val="0"/>
              <w:snapToGrid w:val="0"/>
              <w:jc w:val="right"/>
              <w:rPr>
                <w:kern w:val="0"/>
              </w:rPr>
            </w:pPr>
            <w:r>
              <w:rPr>
                <w:rFonts w:hint="eastAsia"/>
                <w:kern w:val="0"/>
              </w:rPr>
              <w:t>2,338.14</w:t>
            </w:r>
          </w:p>
        </w:tc>
        <w:tc>
          <w:tcPr>
            <w:tcW w:w="1661" w:type="dxa"/>
            <w:vAlign w:val="center"/>
          </w:tcPr>
          <w:p w14:paraId="67FDC1FE" w14:textId="77777777" w:rsidR="004B0883" w:rsidRDefault="004B0883">
            <w:pPr>
              <w:adjustRightInd w:val="0"/>
              <w:snapToGrid w:val="0"/>
              <w:jc w:val="right"/>
              <w:rPr>
                <w:kern w:val="0"/>
              </w:rPr>
            </w:pPr>
            <w:r>
              <w:rPr>
                <w:rFonts w:hint="eastAsia"/>
                <w:kern w:val="0"/>
              </w:rPr>
              <w:t>1,848.36</w:t>
            </w:r>
          </w:p>
        </w:tc>
      </w:tr>
      <w:tr w:rsidR="004B0883" w14:paraId="0790F961" w14:textId="77777777">
        <w:trPr>
          <w:trHeight w:val="397"/>
          <w:jc w:val="center"/>
        </w:trPr>
        <w:tc>
          <w:tcPr>
            <w:tcW w:w="1883" w:type="dxa"/>
            <w:vAlign w:val="center"/>
          </w:tcPr>
          <w:p w14:paraId="086A50AF" w14:textId="77777777" w:rsidR="004B0883" w:rsidRDefault="004B0883">
            <w:pPr>
              <w:keepNext/>
              <w:adjustRightInd w:val="0"/>
              <w:snapToGrid w:val="0"/>
              <w:rPr>
                <w:kern w:val="0"/>
              </w:rPr>
            </w:pPr>
            <w:r>
              <w:rPr>
                <w:kern w:val="0"/>
              </w:rPr>
              <w:t>收到其他与经营活动有关的现金</w:t>
            </w:r>
          </w:p>
        </w:tc>
        <w:tc>
          <w:tcPr>
            <w:tcW w:w="1660" w:type="dxa"/>
            <w:vAlign w:val="center"/>
          </w:tcPr>
          <w:p w14:paraId="71A605D0" w14:textId="77777777" w:rsidR="004B0883" w:rsidRDefault="004B0883">
            <w:pPr>
              <w:keepNext/>
              <w:adjustRightInd w:val="0"/>
              <w:snapToGrid w:val="0"/>
              <w:jc w:val="right"/>
              <w:rPr>
                <w:kern w:val="0"/>
              </w:rPr>
            </w:pPr>
            <w:r>
              <w:t>215.10</w:t>
            </w:r>
          </w:p>
        </w:tc>
        <w:tc>
          <w:tcPr>
            <w:tcW w:w="1661" w:type="dxa"/>
            <w:vAlign w:val="center"/>
          </w:tcPr>
          <w:p w14:paraId="0939FE44" w14:textId="77777777" w:rsidR="004B0883" w:rsidRDefault="004B0883">
            <w:pPr>
              <w:adjustRightInd w:val="0"/>
              <w:snapToGrid w:val="0"/>
              <w:jc w:val="right"/>
              <w:rPr>
                <w:kern w:val="0"/>
              </w:rPr>
            </w:pPr>
            <w:r>
              <w:rPr>
                <w:rFonts w:hint="eastAsia"/>
                <w:kern w:val="0"/>
              </w:rPr>
              <w:t>142.59</w:t>
            </w:r>
          </w:p>
        </w:tc>
        <w:tc>
          <w:tcPr>
            <w:tcW w:w="1661" w:type="dxa"/>
            <w:vAlign w:val="center"/>
          </w:tcPr>
          <w:p w14:paraId="10DC3A5E" w14:textId="77777777" w:rsidR="004B0883" w:rsidRDefault="004B0883">
            <w:pPr>
              <w:adjustRightInd w:val="0"/>
              <w:snapToGrid w:val="0"/>
              <w:jc w:val="right"/>
              <w:rPr>
                <w:kern w:val="0"/>
              </w:rPr>
            </w:pPr>
            <w:r>
              <w:rPr>
                <w:rFonts w:hint="eastAsia"/>
                <w:kern w:val="0"/>
              </w:rPr>
              <w:t>1,211.80</w:t>
            </w:r>
          </w:p>
        </w:tc>
        <w:tc>
          <w:tcPr>
            <w:tcW w:w="1661" w:type="dxa"/>
            <w:vAlign w:val="center"/>
          </w:tcPr>
          <w:p w14:paraId="6BB7DC72" w14:textId="77777777" w:rsidR="004B0883" w:rsidRDefault="004B0883">
            <w:pPr>
              <w:adjustRightInd w:val="0"/>
              <w:snapToGrid w:val="0"/>
              <w:jc w:val="right"/>
              <w:rPr>
                <w:kern w:val="0"/>
              </w:rPr>
            </w:pPr>
            <w:r>
              <w:rPr>
                <w:rFonts w:hint="eastAsia"/>
                <w:kern w:val="0"/>
              </w:rPr>
              <w:t>1,199.30</w:t>
            </w:r>
          </w:p>
        </w:tc>
      </w:tr>
      <w:tr w:rsidR="004B0883" w14:paraId="5EDE4297" w14:textId="77777777">
        <w:trPr>
          <w:trHeight w:val="397"/>
          <w:jc w:val="center"/>
        </w:trPr>
        <w:tc>
          <w:tcPr>
            <w:tcW w:w="1883" w:type="dxa"/>
            <w:vAlign w:val="center"/>
          </w:tcPr>
          <w:p w14:paraId="5FBBAA5F" w14:textId="77777777" w:rsidR="004B0883" w:rsidRDefault="004B0883">
            <w:pPr>
              <w:adjustRightInd w:val="0"/>
              <w:snapToGrid w:val="0"/>
              <w:rPr>
                <w:b/>
                <w:bCs/>
                <w:kern w:val="0"/>
              </w:rPr>
            </w:pPr>
            <w:r>
              <w:rPr>
                <w:b/>
                <w:bCs/>
                <w:kern w:val="0"/>
              </w:rPr>
              <w:t>经营活动现金流入小计</w:t>
            </w:r>
          </w:p>
        </w:tc>
        <w:tc>
          <w:tcPr>
            <w:tcW w:w="1660" w:type="dxa"/>
            <w:vAlign w:val="center"/>
          </w:tcPr>
          <w:p w14:paraId="3D83D7D4" w14:textId="77777777" w:rsidR="004B0883" w:rsidRDefault="004B0883">
            <w:pPr>
              <w:adjustRightInd w:val="0"/>
              <w:snapToGrid w:val="0"/>
              <w:jc w:val="right"/>
              <w:rPr>
                <w:b/>
                <w:bCs/>
                <w:kern w:val="0"/>
              </w:rPr>
            </w:pPr>
            <w:r>
              <w:rPr>
                <w:b/>
                <w:bCs/>
              </w:rPr>
              <w:t>40,875.53</w:t>
            </w:r>
          </w:p>
        </w:tc>
        <w:tc>
          <w:tcPr>
            <w:tcW w:w="1661" w:type="dxa"/>
            <w:vAlign w:val="center"/>
          </w:tcPr>
          <w:p w14:paraId="05FBA747" w14:textId="77777777" w:rsidR="004B0883" w:rsidRDefault="004B0883">
            <w:pPr>
              <w:adjustRightInd w:val="0"/>
              <w:snapToGrid w:val="0"/>
              <w:jc w:val="right"/>
              <w:rPr>
                <w:b/>
                <w:bCs/>
                <w:kern w:val="0"/>
              </w:rPr>
            </w:pPr>
            <w:r>
              <w:rPr>
                <w:rFonts w:hint="eastAsia"/>
                <w:b/>
                <w:bCs/>
                <w:kern w:val="0"/>
              </w:rPr>
              <w:t>55,747.47</w:t>
            </w:r>
          </w:p>
        </w:tc>
        <w:tc>
          <w:tcPr>
            <w:tcW w:w="1661" w:type="dxa"/>
            <w:vAlign w:val="center"/>
          </w:tcPr>
          <w:p w14:paraId="224CF84E" w14:textId="77777777" w:rsidR="004B0883" w:rsidRDefault="004B0883">
            <w:pPr>
              <w:adjustRightInd w:val="0"/>
              <w:snapToGrid w:val="0"/>
              <w:jc w:val="right"/>
              <w:rPr>
                <w:b/>
                <w:bCs/>
                <w:kern w:val="0"/>
              </w:rPr>
            </w:pPr>
            <w:r>
              <w:rPr>
                <w:rFonts w:hint="eastAsia"/>
                <w:b/>
                <w:bCs/>
                <w:kern w:val="0"/>
              </w:rPr>
              <w:t>37,649.88</w:t>
            </w:r>
          </w:p>
        </w:tc>
        <w:tc>
          <w:tcPr>
            <w:tcW w:w="1661" w:type="dxa"/>
            <w:vAlign w:val="center"/>
          </w:tcPr>
          <w:p w14:paraId="7DDE93EF" w14:textId="77777777" w:rsidR="004B0883" w:rsidRDefault="004B0883">
            <w:pPr>
              <w:adjustRightInd w:val="0"/>
              <w:snapToGrid w:val="0"/>
              <w:jc w:val="right"/>
              <w:rPr>
                <w:b/>
                <w:bCs/>
                <w:kern w:val="0"/>
              </w:rPr>
            </w:pPr>
            <w:r>
              <w:rPr>
                <w:rFonts w:hint="eastAsia"/>
                <w:b/>
                <w:bCs/>
                <w:kern w:val="0"/>
              </w:rPr>
              <w:t>38,643.82</w:t>
            </w:r>
          </w:p>
        </w:tc>
      </w:tr>
      <w:tr w:rsidR="004B0883" w14:paraId="771D06B4" w14:textId="77777777">
        <w:trPr>
          <w:trHeight w:val="397"/>
          <w:jc w:val="center"/>
        </w:trPr>
        <w:tc>
          <w:tcPr>
            <w:tcW w:w="1883" w:type="dxa"/>
            <w:vAlign w:val="center"/>
          </w:tcPr>
          <w:p w14:paraId="0FAD83FC" w14:textId="77777777" w:rsidR="004B0883" w:rsidRDefault="004B0883">
            <w:pPr>
              <w:adjustRightInd w:val="0"/>
              <w:snapToGrid w:val="0"/>
              <w:rPr>
                <w:kern w:val="0"/>
              </w:rPr>
            </w:pPr>
            <w:r>
              <w:rPr>
                <w:kern w:val="0"/>
              </w:rPr>
              <w:t>购买商品、接受劳务支付的现金</w:t>
            </w:r>
          </w:p>
        </w:tc>
        <w:tc>
          <w:tcPr>
            <w:tcW w:w="1660" w:type="dxa"/>
            <w:vAlign w:val="center"/>
          </w:tcPr>
          <w:p w14:paraId="0EAD07F5" w14:textId="77777777" w:rsidR="004B0883" w:rsidRDefault="004B0883">
            <w:pPr>
              <w:adjustRightInd w:val="0"/>
              <w:snapToGrid w:val="0"/>
              <w:jc w:val="right"/>
              <w:rPr>
                <w:kern w:val="0"/>
              </w:rPr>
            </w:pPr>
            <w:r>
              <w:t>23,633.75</w:t>
            </w:r>
          </w:p>
        </w:tc>
        <w:tc>
          <w:tcPr>
            <w:tcW w:w="1661" w:type="dxa"/>
            <w:vAlign w:val="center"/>
          </w:tcPr>
          <w:p w14:paraId="1F16F854" w14:textId="77777777" w:rsidR="004B0883" w:rsidRDefault="004B0883">
            <w:pPr>
              <w:adjustRightInd w:val="0"/>
              <w:snapToGrid w:val="0"/>
              <w:jc w:val="right"/>
              <w:rPr>
                <w:kern w:val="0"/>
              </w:rPr>
            </w:pPr>
            <w:r>
              <w:rPr>
                <w:rFonts w:hint="eastAsia"/>
                <w:kern w:val="0"/>
              </w:rPr>
              <w:t>33,313.64</w:t>
            </w:r>
          </w:p>
        </w:tc>
        <w:tc>
          <w:tcPr>
            <w:tcW w:w="1661" w:type="dxa"/>
            <w:vAlign w:val="center"/>
          </w:tcPr>
          <w:p w14:paraId="4F417C71" w14:textId="77777777" w:rsidR="004B0883" w:rsidRDefault="004B0883">
            <w:pPr>
              <w:adjustRightInd w:val="0"/>
              <w:snapToGrid w:val="0"/>
              <w:jc w:val="right"/>
              <w:rPr>
                <w:kern w:val="0"/>
              </w:rPr>
            </w:pPr>
            <w:r>
              <w:rPr>
                <w:rFonts w:hint="eastAsia"/>
                <w:kern w:val="0"/>
              </w:rPr>
              <w:t>31,116.13</w:t>
            </w:r>
          </w:p>
        </w:tc>
        <w:tc>
          <w:tcPr>
            <w:tcW w:w="1661" w:type="dxa"/>
            <w:vAlign w:val="center"/>
          </w:tcPr>
          <w:p w14:paraId="1E4FD14C" w14:textId="77777777" w:rsidR="004B0883" w:rsidRDefault="004B0883">
            <w:pPr>
              <w:adjustRightInd w:val="0"/>
              <w:snapToGrid w:val="0"/>
              <w:jc w:val="right"/>
              <w:rPr>
                <w:kern w:val="0"/>
              </w:rPr>
            </w:pPr>
            <w:r>
              <w:rPr>
                <w:rFonts w:hint="eastAsia"/>
                <w:kern w:val="0"/>
              </w:rPr>
              <w:t>25,389.94</w:t>
            </w:r>
          </w:p>
        </w:tc>
      </w:tr>
      <w:tr w:rsidR="004B0883" w14:paraId="62DF6B51" w14:textId="77777777">
        <w:trPr>
          <w:trHeight w:val="397"/>
          <w:jc w:val="center"/>
        </w:trPr>
        <w:tc>
          <w:tcPr>
            <w:tcW w:w="1883" w:type="dxa"/>
            <w:vAlign w:val="center"/>
          </w:tcPr>
          <w:p w14:paraId="2F972D24" w14:textId="77777777" w:rsidR="004B0883" w:rsidRDefault="004B0883">
            <w:pPr>
              <w:adjustRightInd w:val="0"/>
              <w:snapToGrid w:val="0"/>
              <w:rPr>
                <w:kern w:val="0"/>
              </w:rPr>
            </w:pPr>
            <w:r>
              <w:rPr>
                <w:kern w:val="0"/>
              </w:rPr>
              <w:t>支付给职工以及为职工支付的现金</w:t>
            </w:r>
          </w:p>
        </w:tc>
        <w:tc>
          <w:tcPr>
            <w:tcW w:w="1660" w:type="dxa"/>
            <w:vAlign w:val="center"/>
          </w:tcPr>
          <w:p w14:paraId="55AB7A65" w14:textId="77777777" w:rsidR="004B0883" w:rsidRDefault="004B0883">
            <w:pPr>
              <w:adjustRightInd w:val="0"/>
              <w:snapToGrid w:val="0"/>
              <w:jc w:val="right"/>
              <w:rPr>
                <w:kern w:val="0"/>
              </w:rPr>
            </w:pPr>
            <w:r>
              <w:t>3,550.64</w:t>
            </w:r>
          </w:p>
        </w:tc>
        <w:tc>
          <w:tcPr>
            <w:tcW w:w="1661" w:type="dxa"/>
            <w:vAlign w:val="center"/>
          </w:tcPr>
          <w:p w14:paraId="2E835700" w14:textId="77777777" w:rsidR="004B0883" w:rsidRDefault="004B0883">
            <w:pPr>
              <w:adjustRightInd w:val="0"/>
              <w:snapToGrid w:val="0"/>
              <w:jc w:val="right"/>
              <w:rPr>
                <w:kern w:val="0"/>
              </w:rPr>
            </w:pPr>
            <w:r>
              <w:rPr>
                <w:rFonts w:hint="eastAsia"/>
                <w:kern w:val="0"/>
              </w:rPr>
              <w:t>3,925.87</w:t>
            </w:r>
          </w:p>
        </w:tc>
        <w:tc>
          <w:tcPr>
            <w:tcW w:w="1661" w:type="dxa"/>
            <w:vAlign w:val="center"/>
          </w:tcPr>
          <w:p w14:paraId="7FAD5A76" w14:textId="77777777" w:rsidR="004B0883" w:rsidRDefault="004B0883">
            <w:pPr>
              <w:adjustRightInd w:val="0"/>
              <w:snapToGrid w:val="0"/>
              <w:jc w:val="right"/>
              <w:rPr>
                <w:kern w:val="0"/>
              </w:rPr>
            </w:pPr>
            <w:r>
              <w:rPr>
                <w:rFonts w:hint="eastAsia"/>
                <w:kern w:val="0"/>
              </w:rPr>
              <w:t>3,322.70</w:t>
            </w:r>
          </w:p>
        </w:tc>
        <w:tc>
          <w:tcPr>
            <w:tcW w:w="1661" w:type="dxa"/>
            <w:vAlign w:val="center"/>
          </w:tcPr>
          <w:p w14:paraId="38745B4D" w14:textId="77777777" w:rsidR="004B0883" w:rsidRDefault="004B0883">
            <w:pPr>
              <w:adjustRightInd w:val="0"/>
              <w:snapToGrid w:val="0"/>
              <w:jc w:val="right"/>
              <w:rPr>
                <w:kern w:val="0"/>
              </w:rPr>
            </w:pPr>
            <w:r>
              <w:rPr>
                <w:rFonts w:hint="eastAsia"/>
                <w:kern w:val="0"/>
              </w:rPr>
              <w:t>3,003.90</w:t>
            </w:r>
          </w:p>
        </w:tc>
      </w:tr>
      <w:tr w:rsidR="004B0883" w14:paraId="32E60F0F" w14:textId="77777777">
        <w:trPr>
          <w:trHeight w:val="397"/>
          <w:jc w:val="center"/>
        </w:trPr>
        <w:tc>
          <w:tcPr>
            <w:tcW w:w="1883" w:type="dxa"/>
            <w:vAlign w:val="center"/>
          </w:tcPr>
          <w:p w14:paraId="3024F42B" w14:textId="77777777" w:rsidR="004B0883" w:rsidRDefault="004B0883">
            <w:pPr>
              <w:adjustRightInd w:val="0"/>
              <w:snapToGrid w:val="0"/>
              <w:rPr>
                <w:kern w:val="0"/>
              </w:rPr>
            </w:pPr>
            <w:r>
              <w:rPr>
                <w:kern w:val="0"/>
              </w:rPr>
              <w:t>支付的各项税费</w:t>
            </w:r>
          </w:p>
        </w:tc>
        <w:tc>
          <w:tcPr>
            <w:tcW w:w="1660" w:type="dxa"/>
            <w:vAlign w:val="center"/>
          </w:tcPr>
          <w:p w14:paraId="14B7E51F" w14:textId="77777777" w:rsidR="004B0883" w:rsidRDefault="004B0883">
            <w:pPr>
              <w:adjustRightInd w:val="0"/>
              <w:snapToGrid w:val="0"/>
              <w:jc w:val="right"/>
              <w:rPr>
                <w:kern w:val="0"/>
              </w:rPr>
            </w:pPr>
            <w:r>
              <w:t>2,059.57</w:t>
            </w:r>
          </w:p>
        </w:tc>
        <w:tc>
          <w:tcPr>
            <w:tcW w:w="1661" w:type="dxa"/>
            <w:vAlign w:val="center"/>
          </w:tcPr>
          <w:p w14:paraId="6DDDA562" w14:textId="77777777" w:rsidR="004B0883" w:rsidRDefault="004B0883">
            <w:pPr>
              <w:adjustRightInd w:val="0"/>
              <w:snapToGrid w:val="0"/>
              <w:jc w:val="right"/>
              <w:rPr>
                <w:kern w:val="0"/>
              </w:rPr>
            </w:pPr>
            <w:r>
              <w:rPr>
                <w:rFonts w:hint="eastAsia"/>
                <w:kern w:val="0"/>
              </w:rPr>
              <w:t>1,781.08</w:t>
            </w:r>
          </w:p>
        </w:tc>
        <w:tc>
          <w:tcPr>
            <w:tcW w:w="1661" w:type="dxa"/>
            <w:vAlign w:val="center"/>
          </w:tcPr>
          <w:p w14:paraId="6B1E999C" w14:textId="77777777" w:rsidR="004B0883" w:rsidRDefault="004B0883">
            <w:pPr>
              <w:adjustRightInd w:val="0"/>
              <w:snapToGrid w:val="0"/>
              <w:jc w:val="right"/>
              <w:rPr>
                <w:kern w:val="0"/>
              </w:rPr>
            </w:pPr>
            <w:r>
              <w:rPr>
                <w:rFonts w:hint="eastAsia"/>
                <w:kern w:val="0"/>
              </w:rPr>
              <w:t>835.27</w:t>
            </w:r>
          </w:p>
        </w:tc>
        <w:tc>
          <w:tcPr>
            <w:tcW w:w="1661" w:type="dxa"/>
            <w:vAlign w:val="center"/>
          </w:tcPr>
          <w:p w14:paraId="0FF7DD00" w14:textId="77777777" w:rsidR="004B0883" w:rsidRDefault="004B0883">
            <w:pPr>
              <w:adjustRightInd w:val="0"/>
              <w:snapToGrid w:val="0"/>
              <w:jc w:val="right"/>
              <w:rPr>
                <w:kern w:val="0"/>
              </w:rPr>
            </w:pPr>
            <w:r>
              <w:rPr>
                <w:rFonts w:hint="eastAsia"/>
                <w:kern w:val="0"/>
              </w:rPr>
              <w:t>1,364.82</w:t>
            </w:r>
          </w:p>
        </w:tc>
      </w:tr>
      <w:tr w:rsidR="004B0883" w14:paraId="20E7F678" w14:textId="77777777">
        <w:trPr>
          <w:trHeight w:val="397"/>
          <w:jc w:val="center"/>
        </w:trPr>
        <w:tc>
          <w:tcPr>
            <w:tcW w:w="1883" w:type="dxa"/>
            <w:vAlign w:val="center"/>
          </w:tcPr>
          <w:p w14:paraId="3EDC85EB" w14:textId="77777777" w:rsidR="004B0883" w:rsidRDefault="004B0883">
            <w:pPr>
              <w:adjustRightInd w:val="0"/>
              <w:snapToGrid w:val="0"/>
              <w:rPr>
                <w:kern w:val="0"/>
              </w:rPr>
            </w:pPr>
            <w:r>
              <w:rPr>
                <w:kern w:val="0"/>
              </w:rPr>
              <w:t>支付其他与经营活动有关的现金</w:t>
            </w:r>
          </w:p>
        </w:tc>
        <w:tc>
          <w:tcPr>
            <w:tcW w:w="1660" w:type="dxa"/>
            <w:vAlign w:val="center"/>
          </w:tcPr>
          <w:p w14:paraId="2D0A6F8D" w14:textId="77777777" w:rsidR="004B0883" w:rsidRDefault="004B0883">
            <w:pPr>
              <w:adjustRightInd w:val="0"/>
              <w:snapToGrid w:val="0"/>
              <w:jc w:val="right"/>
              <w:rPr>
                <w:kern w:val="0"/>
              </w:rPr>
            </w:pPr>
            <w:r>
              <w:t>2,427.31</w:t>
            </w:r>
          </w:p>
        </w:tc>
        <w:tc>
          <w:tcPr>
            <w:tcW w:w="1661" w:type="dxa"/>
            <w:vAlign w:val="center"/>
          </w:tcPr>
          <w:p w14:paraId="04662C46" w14:textId="77777777" w:rsidR="004B0883" w:rsidRDefault="004B0883">
            <w:pPr>
              <w:adjustRightInd w:val="0"/>
              <w:snapToGrid w:val="0"/>
              <w:jc w:val="right"/>
              <w:rPr>
                <w:kern w:val="0"/>
              </w:rPr>
            </w:pPr>
            <w:r>
              <w:rPr>
                <w:rFonts w:hint="eastAsia"/>
                <w:kern w:val="0"/>
              </w:rPr>
              <w:t>3,461.69</w:t>
            </w:r>
          </w:p>
        </w:tc>
        <w:tc>
          <w:tcPr>
            <w:tcW w:w="1661" w:type="dxa"/>
            <w:vAlign w:val="center"/>
          </w:tcPr>
          <w:p w14:paraId="5EBD27CF" w14:textId="77777777" w:rsidR="004B0883" w:rsidRDefault="004B0883">
            <w:pPr>
              <w:adjustRightInd w:val="0"/>
              <w:snapToGrid w:val="0"/>
              <w:jc w:val="right"/>
              <w:rPr>
                <w:kern w:val="0"/>
              </w:rPr>
            </w:pPr>
            <w:r>
              <w:rPr>
                <w:rFonts w:hint="eastAsia"/>
                <w:kern w:val="0"/>
              </w:rPr>
              <w:t>2,994.56</w:t>
            </w:r>
          </w:p>
        </w:tc>
        <w:tc>
          <w:tcPr>
            <w:tcW w:w="1661" w:type="dxa"/>
            <w:vAlign w:val="center"/>
          </w:tcPr>
          <w:p w14:paraId="19AD1AC0" w14:textId="77777777" w:rsidR="004B0883" w:rsidRDefault="004B0883">
            <w:pPr>
              <w:adjustRightInd w:val="0"/>
              <w:snapToGrid w:val="0"/>
              <w:jc w:val="right"/>
              <w:rPr>
                <w:kern w:val="0"/>
              </w:rPr>
            </w:pPr>
            <w:r>
              <w:rPr>
                <w:rFonts w:hint="eastAsia"/>
                <w:kern w:val="0"/>
              </w:rPr>
              <w:t>2,325.00</w:t>
            </w:r>
          </w:p>
        </w:tc>
      </w:tr>
      <w:tr w:rsidR="004B0883" w14:paraId="602F0848" w14:textId="77777777">
        <w:trPr>
          <w:trHeight w:val="397"/>
          <w:jc w:val="center"/>
        </w:trPr>
        <w:tc>
          <w:tcPr>
            <w:tcW w:w="1883" w:type="dxa"/>
            <w:vAlign w:val="center"/>
          </w:tcPr>
          <w:p w14:paraId="7DE70E57" w14:textId="77777777" w:rsidR="004B0883" w:rsidRDefault="004B0883">
            <w:pPr>
              <w:adjustRightInd w:val="0"/>
              <w:snapToGrid w:val="0"/>
              <w:rPr>
                <w:b/>
                <w:bCs/>
                <w:kern w:val="0"/>
              </w:rPr>
            </w:pPr>
            <w:r>
              <w:rPr>
                <w:b/>
                <w:bCs/>
                <w:kern w:val="0"/>
              </w:rPr>
              <w:t>经营活动现金流出小计</w:t>
            </w:r>
          </w:p>
        </w:tc>
        <w:tc>
          <w:tcPr>
            <w:tcW w:w="1660" w:type="dxa"/>
            <w:vAlign w:val="center"/>
          </w:tcPr>
          <w:p w14:paraId="241E1B04" w14:textId="77777777" w:rsidR="004B0883" w:rsidRDefault="004B0883">
            <w:pPr>
              <w:adjustRightInd w:val="0"/>
              <w:snapToGrid w:val="0"/>
              <w:jc w:val="right"/>
              <w:rPr>
                <w:b/>
                <w:bCs/>
                <w:kern w:val="0"/>
              </w:rPr>
            </w:pPr>
            <w:r>
              <w:rPr>
                <w:b/>
                <w:bCs/>
              </w:rPr>
              <w:t>31,671.28</w:t>
            </w:r>
          </w:p>
        </w:tc>
        <w:tc>
          <w:tcPr>
            <w:tcW w:w="1661" w:type="dxa"/>
            <w:vAlign w:val="center"/>
          </w:tcPr>
          <w:p w14:paraId="31FF2239" w14:textId="77777777" w:rsidR="004B0883" w:rsidRDefault="004B0883">
            <w:pPr>
              <w:adjustRightInd w:val="0"/>
              <w:snapToGrid w:val="0"/>
              <w:jc w:val="right"/>
              <w:rPr>
                <w:b/>
                <w:bCs/>
                <w:kern w:val="0"/>
              </w:rPr>
            </w:pPr>
            <w:r>
              <w:rPr>
                <w:rFonts w:hint="eastAsia"/>
                <w:b/>
                <w:bCs/>
                <w:kern w:val="0"/>
              </w:rPr>
              <w:t>42,482.28</w:t>
            </w:r>
          </w:p>
        </w:tc>
        <w:tc>
          <w:tcPr>
            <w:tcW w:w="1661" w:type="dxa"/>
            <w:vAlign w:val="center"/>
          </w:tcPr>
          <w:p w14:paraId="23D0C045" w14:textId="77777777" w:rsidR="004B0883" w:rsidRDefault="004B0883">
            <w:pPr>
              <w:adjustRightInd w:val="0"/>
              <w:snapToGrid w:val="0"/>
              <w:jc w:val="right"/>
              <w:rPr>
                <w:b/>
                <w:bCs/>
                <w:kern w:val="0"/>
              </w:rPr>
            </w:pPr>
            <w:r>
              <w:rPr>
                <w:rFonts w:hint="eastAsia"/>
                <w:b/>
                <w:bCs/>
                <w:kern w:val="0"/>
              </w:rPr>
              <w:t>38,268.66</w:t>
            </w:r>
          </w:p>
        </w:tc>
        <w:tc>
          <w:tcPr>
            <w:tcW w:w="1661" w:type="dxa"/>
            <w:vAlign w:val="center"/>
          </w:tcPr>
          <w:p w14:paraId="1A6CEF8F" w14:textId="77777777" w:rsidR="004B0883" w:rsidRDefault="004B0883">
            <w:pPr>
              <w:adjustRightInd w:val="0"/>
              <w:snapToGrid w:val="0"/>
              <w:jc w:val="right"/>
              <w:rPr>
                <w:b/>
                <w:bCs/>
                <w:kern w:val="0"/>
              </w:rPr>
            </w:pPr>
            <w:r>
              <w:rPr>
                <w:rFonts w:hint="eastAsia"/>
                <w:b/>
                <w:bCs/>
                <w:kern w:val="0"/>
              </w:rPr>
              <w:t>32,083.65</w:t>
            </w:r>
          </w:p>
        </w:tc>
      </w:tr>
      <w:tr w:rsidR="004B0883" w14:paraId="781D5FD1" w14:textId="77777777">
        <w:trPr>
          <w:trHeight w:val="397"/>
          <w:jc w:val="center"/>
        </w:trPr>
        <w:tc>
          <w:tcPr>
            <w:tcW w:w="1883" w:type="dxa"/>
            <w:vAlign w:val="center"/>
          </w:tcPr>
          <w:p w14:paraId="075D8900" w14:textId="77777777" w:rsidR="004B0883" w:rsidRDefault="004B0883">
            <w:pPr>
              <w:adjustRightInd w:val="0"/>
              <w:snapToGrid w:val="0"/>
              <w:rPr>
                <w:b/>
                <w:bCs/>
                <w:kern w:val="0"/>
              </w:rPr>
            </w:pPr>
            <w:r>
              <w:rPr>
                <w:b/>
                <w:bCs/>
                <w:kern w:val="0"/>
              </w:rPr>
              <w:t>经营活动产生的现金流量净额</w:t>
            </w:r>
          </w:p>
        </w:tc>
        <w:tc>
          <w:tcPr>
            <w:tcW w:w="1660" w:type="dxa"/>
            <w:vAlign w:val="center"/>
          </w:tcPr>
          <w:p w14:paraId="2A5D8C7C" w14:textId="77777777" w:rsidR="004B0883" w:rsidRDefault="004B0883">
            <w:pPr>
              <w:adjustRightInd w:val="0"/>
              <w:snapToGrid w:val="0"/>
              <w:jc w:val="right"/>
              <w:rPr>
                <w:b/>
                <w:bCs/>
                <w:kern w:val="0"/>
              </w:rPr>
            </w:pPr>
            <w:r>
              <w:rPr>
                <w:b/>
                <w:bCs/>
              </w:rPr>
              <w:t>9,204.25</w:t>
            </w:r>
          </w:p>
        </w:tc>
        <w:tc>
          <w:tcPr>
            <w:tcW w:w="1661" w:type="dxa"/>
            <w:vAlign w:val="center"/>
          </w:tcPr>
          <w:p w14:paraId="61E32F76" w14:textId="77777777" w:rsidR="004B0883" w:rsidRDefault="004B0883">
            <w:pPr>
              <w:adjustRightInd w:val="0"/>
              <w:snapToGrid w:val="0"/>
              <w:jc w:val="right"/>
              <w:rPr>
                <w:b/>
                <w:bCs/>
                <w:kern w:val="0"/>
              </w:rPr>
            </w:pPr>
            <w:r>
              <w:rPr>
                <w:rFonts w:hint="eastAsia"/>
                <w:b/>
                <w:bCs/>
                <w:kern w:val="0"/>
              </w:rPr>
              <w:t>13,265.19</w:t>
            </w:r>
          </w:p>
        </w:tc>
        <w:tc>
          <w:tcPr>
            <w:tcW w:w="1661" w:type="dxa"/>
            <w:vAlign w:val="center"/>
          </w:tcPr>
          <w:p w14:paraId="63A0A778" w14:textId="77777777" w:rsidR="004B0883" w:rsidRDefault="004B0883">
            <w:pPr>
              <w:adjustRightInd w:val="0"/>
              <w:snapToGrid w:val="0"/>
              <w:jc w:val="right"/>
              <w:rPr>
                <w:b/>
                <w:bCs/>
                <w:kern w:val="0"/>
              </w:rPr>
            </w:pPr>
            <w:r>
              <w:rPr>
                <w:rFonts w:hint="eastAsia"/>
                <w:b/>
                <w:bCs/>
                <w:kern w:val="0"/>
              </w:rPr>
              <w:t>-618.77</w:t>
            </w:r>
          </w:p>
        </w:tc>
        <w:tc>
          <w:tcPr>
            <w:tcW w:w="1661" w:type="dxa"/>
            <w:vAlign w:val="center"/>
          </w:tcPr>
          <w:p w14:paraId="25458C20" w14:textId="77777777" w:rsidR="004B0883" w:rsidRDefault="004B0883">
            <w:pPr>
              <w:adjustRightInd w:val="0"/>
              <w:snapToGrid w:val="0"/>
              <w:jc w:val="right"/>
              <w:rPr>
                <w:b/>
                <w:bCs/>
                <w:kern w:val="0"/>
              </w:rPr>
            </w:pPr>
            <w:r>
              <w:rPr>
                <w:rFonts w:hint="eastAsia"/>
                <w:b/>
                <w:bCs/>
                <w:kern w:val="0"/>
              </w:rPr>
              <w:t>6,560.17</w:t>
            </w:r>
          </w:p>
        </w:tc>
      </w:tr>
      <w:tr w:rsidR="004B0883" w14:paraId="1DF42F09" w14:textId="77777777">
        <w:trPr>
          <w:trHeight w:val="397"/>
          <w:jc w:val="center"/>
        </w:trPr>
        <w:tc>
          <w:tcPr>
            <w:tcW w:w="1883" w:type="dxa"/>
            <w:vAlign w:val="center"/>
          </w:tcPr>
          <w:p w14:paraId="19F1DDF9" w14:textId="77777777" w:rsidR="004B0883" w:rsidRDefault="004B0883">
            <w:pPr>
              <w:adjustRightInd w:val="0"/>
              <w:snapToGrid w:val="0"/>
              <w:rPr>
                <w:b/>
                <w:bCs/>
                <w:kern w:val="0"/>
              </w:rPr>
            </w:pPr>
            <w:r>
              <w:rPr>
                <w:b/>
                <w:bCs/>
                <w:kern w:val="0"/>
              </w:rPr>
              <w:t>二、投资活动产生的现金流量：</w:t>
            </w:r>
          </w:p>
        </w:tc>
        <w:tc>
          <w:tcPr>
            <w:tcW w:w="1660" w:type="dxa"/>
            <w:vAlign w:val="center"/>
          </w:tcPr>
          <w:p w14:paraId="6EDD5579" w14:textId="77777777" w:rsidR="004B0883" w:rsidRDefault="004B0883">
            <w:pPr>
              <w:adjustRightInd w:val="0"/>
              <w:snapToGrid w:val="0"/>
              <w:jc w:val="right"/>
              <w:rPr>
                <w:b/>
                <w:bCs/>
                <w:kern w:val="0"/>
              </w:rPr>
            </w:pPr>
          </w:p>
        </w:tc>
        <w:tc>
          <w:tcPr>
            <w:tcW w:w="1661" w:type="dxa"/>
            <w:vAlign w:val="center"/>
          </w:tcPr>
          <w:p w14:paraId="3C24EFC1" w14:textId="77777777" w:rsidR="004B0883" w:rsidRDefault="004B0883">
            <w:pPr>
              <w:adjustRightInd w:val="0"/>
              <w:snapToGrid w:val="0"/>
              <w:jc w:val="right"/>
              <w:rPr>
                <w:kern w:val="0"/>
              </w:rPr>
            </w:pPr>
          </w:p>
        </w:tc>
        <w:tc>
          <w:tcPr>
            <w:tcW w:w="1661" w:type="dxa"/>
            <w:vAlign w:val="center"/>
          </w:tcPr>
          <w:p w14:paraId="700E8F0F" w14:textId="77777777" w:rsidR="004B0883" w:rsidRDefault="004B0883">
            <w:pPr>
              <w:adjustRightInd w:val="0"/>
              <w:snapToGrid w:val="0"/>
              <w:jc w:val="right"/>
              <w:rPr>
                <w:kern w:val="0"/>
              </w:rPr>
            </w:pPr>
          </w:p>
        </w:tc>
        <w:tc>
          <w:tcPr>
            <w:tcW w:w="1661" w:type="dxa"/>
            <w:vAlign w:val="center"/>
          </w:tcPr>
          <w:p w14:paraId="79932B61" w14:textId="77777777" w:rsidR="004B0883" w:rsidRDefault="004B0883">
            <w:pPr>
              <w:adjustRightInd w:val="0"/>
              <w:snapToGrid w:val="0"/>
              <w:jc w:val="right"/>
              <w:rPr>
                <w:kern w:val="0"/>
              </w:rPr>
            </w:pPr>
          </w:p>
        </w:tc>
      </w:tr>
      <w:tr w:rsidR="004B0883" w14:paraId="1FC41BDB" w14:textId="77777777">
        <w:trPr>
          <w:trHeight w:val="397"/>
          <w:jc w:val="center"/>
        </w:trPr>
        <w:tc>
          <w:tcPr>
            <w:tcW w:w="1883" w:type="dxa"/>
            <w:vAlign w:val="center"/>
          </w:tcPr>
          <w:p w14:paraId="3BBD3D6B" w14:textId="77777777" w:rsidR="004B0883" w:rsidRDefault="004B0883">
            <w:pPr>
              <w:adjustRightInd w:val="0"/>
              <w:snapToGrid w:val="0"/>
              <w:rPr>
                <w:kern w:val="0"/>
              </w:rPr>
            </w:pPr>
            <w:r>
              <w:rPr>
                <w:kern w:val="0"/>
              </w:rPr>
              <w:t>收回投资收到的现金</w:t>
            </w:r>
          </w:p>
        </w:tc>
        <w:tc>
          <w:tcPr>
            <w:tcW w:w="1660" w:type="dxa"/>
            <w:vAlign w:val="center"/>
          </w:tcPr>
          <w:p w14:paraId="65EA00D8" w14:textId="77777777" w:rsidR="004B0883" w:rsidRDefault="004B0883">
            <w:pPr>
              <w:adjustRightInd w:val="0"/>
              <w:snapToGrid w:val="0"/>
              <w:jc w:val="right"/>
              <w:rPr>
                <w:kern w:val="0"/>
              </w:rPr>
            </w:pPr>
            <w:r>
              <w:t>35,419.80</w:t>
            </w:r>
          </w:p>
        </w:tc>
        <w:tc>
          <w:tcPr>
            <w:tcW w:w="1661" w:type="dxa"/>
            <w:vAlign w:val="center"/>
          </w:tcPr>
          <w:p w14:paraId="5D2F498A" w14:textId="77777777" w:rsidR="004B0883" w:rsidRDefault="004B0883">
            <w:pPr>
              <w:adjustRightInd w:val="0"/>
              <w:snapToGrid w:val="0"/>
              <w:jc w:val="right"/>
              <w:rPr>
                <w:kern w:val="0"/>
              </w:rPr>
            </w:pPr>
            <w:r>
              <w:rPr>
                <w:rFonts w:hint="eastAsia"/>
                <w:kern w:val="0"/>
              </w:rPr>
              <w:t>33,600.00</w:t>
            </w:r>
          </w:p>
        </w:tc>
        <w:tc>
          <w:tcPr>
            <w:tcW w:w="1661" w:type="dxa"/>
            <w:vAlign w:val="center"/>
          </w:tcPr>
          <w:p w14:paraId="7A25229F" w14:textId="77777777" w:rsidR="004B0883" w:rsidRDefault="004B0883">
            <w:pPr>
              <w:adjustRightInd w:val="0"/>
              <w:snapToGrid w:val="0"/>
              <w:jc w:val="right"/>
              <w:rPr>
                <w:kern w:val="0"/>
              </w:rPr>
            </w:pPr>
            <w:r>
              <w:rPr>
                <w:rFonts w:hint="eastAsia"/>
                <w:kern w:val="0"/>
              </w:rPr>
              <w:t>46,324.40</w:t>
            </w:r>
          </w:p>
        </w:tc>
        <w:tc>
          <w:tcPr>
            <w:tcW w:w="1661" w:type="dxa"/>
            <w:vAlign w:val="center"/>
          </w:tcPr>
          <w:p w14:paraId="7DAE38C0" w14:textId="77777777" w:rsidR="004B0883" w:rsidRDefault="004B0883">
            <w:pPr>
              <w:adjustRightInd w:val="0"/>
              <w:snapToGrid w:val="0"/>
              <w:jc w:val="right"/>
              <w:rPr>
                <w:kern w:val="0"/>
              </w:rPr>
            </w:pPr>
            <w:r>
              <w:rPr>
                <w:rFonts w:hint="eastAsia"/>
                <w:kern w:val="0"/>
              </w:rPr>
              <w:t>72,300.00</w:t>
            </w:r>
          </w:p>
        </w:tc>
      </w:tr>
      <w:tr w:rsidR="004B0883" w14:paraId="703573A7" w14:textId="77777777">
        <w:trPr>
          <w:trHeight w:val="397"/>
          <w:jc w:val="center"/>
        </w:trPr>
        <w:tc>
          <w:tcPr>
            <w:tcW w:w="1883" w:type="dxa"/>
            <w:vAlign w:val="center"/>
          </w:tcPr>
          <w:p w14:paraId="416D6F02" w14:textId="77777777" w:rsidR="004B0883" w:rsidRDefault="004B0883">
            <w:pPr>
              <w:adjustRightInd w:val="0"/>
              <w:snapToGrid w:val="0"/>
              <w:rPr>
                <w:kern w:val="0"/>
              </w:rPr>
            </w:pPr>
            <w:r>
              <w:rPr>
                <w:kern w:val="0"/>
              </w:rPr>
              <w:t>取得投资收益收到的现金</w:t>
            </w:r>
          </w:p>
        </w:tc>
        <w:tc>
          <w:tcPr>
            <w:tcW w:w="1660" w:type="dxa"/>
            <w:vAlign w:val="center"/>
          </w:tcPr>
          <w:p w14:paraId="1E488063" w14:textId="77777777" w:rsidR="004B0883" w:rsidRDefault="004B0883">
            <w:pPr>
              <w:adjustRightInd w:val="0"/>
              <w:snapToGrid w:val="0"/>
              <w:jc w:val="right"/>
              <w:rPr>
                <w:kern w:val="0"/>
              </w:rPr>
            </w:pPr>
            <w:r>
              <w:t>372.09</w:t>
            </w:r>
          </w:p>
        </w:tc>
        <w:tc>
          <w:tcPr>
            <w:tcW w:w="1661" w:type="dxa"/>
            <w:vAlign w:val="center"/>
          </w:tcPr>
          <w:p w14:paraId="5E721594" w14:textId="77777777" w:rsidR="004B0883" w:rsidRDefault="004B0883">
            <w:pPr>
              <w:adjustRightInd w:val="0"/>
              <w:snapToGrid w:val="0"/>
              <w:jc w:val="right"/>
              <w:rPr>
                <w:kern w:val="0"/>
              </w:rPr>
            </w:pPr>
            <w:r>
              <w:rPr>
                <w:rFonts w:hint="eastAsia"/>
                <w:kern w:val="0"/>
              </w:rPr>
              <w:t>785.38</w:t>
            </w:r>
          </w:p>
        </w:tc>
        <w:tc>
          <w:tcPr>
            <w:tcW w:w="1661" w:type="dxa"/>
            <w:vAlign w:val="center"/>
          </w:tcPr>
          <w:p w14:paraId="59B2B0C5" w14:textId="77777777" w:rsidR="004B0883" w:rsidRDefault="004B0883">
            <w:pPr>
              <w:adjustRightInd w:val="0"/>
              <w:snapToGrid w:val="0"/>
              <w:jc w:val="right"/>
              <w:rPr>
                <w:kern w:val="0"/>
              </w:rPr>
            </w:pPr>
            <w:r>
              <w:rPr>
                <w:rFonts w:hint="eastAsia"/>
                <w:kern w:val="0"/>
              </w:rPr>
              <w:t>1,528.27</w:t>
            </w:r>
          </w:p>
        </w:tc>
        <w:tc>
          <w:tcPr>
            <w:tcW w:w="1661" w:type="dxa"/>
            <w:vAlign w:val="center"/>
          </w:tcPr>
          <w:p w14:paraId="373465E3" w14:textId="77777777" w:rsidR="004B0883" w:rsidRDefault="004B0883">
            <w:pPr>
              <w:adjustRightInd w:val="0"/>
              <w:snapToGrid w:val="0"/>
              <w:jc w:val="right"/>
              <w:rPr>
                <w:kern w:val="0"/>
              </w:rPr>
            </w:pPr>
            <w:r>
              <w:rPr>
                <w:rFonts w:hint="eastAsia"/>
                <w:kern w:val="0"/>
              </w:rPr>
              <w:t>908.35</w:t>
            </w:r>
          </w:p>
        </w:tc>
      </w:tr>
      <w:tr w:rsidR="004B0883" w14:paraId="5EBB453C" w14:textId="77777777">
        <w:trPr>
          <w:trHeight w:val="397"/>
          <w:jc w:val="center"/>
        </w:trPr>
        <w:tc>
          <w:tcPr>
            <w:tcW w:w="1883" w:type="dxa"/>
            <w:vAlign w:val="center"/>
          </w:tcPr>
          <w:p w14:paraId="4DA2C4BB" w14:textId="77777777" w:rsidR="004B0883" w:rsidRDefault="004B0883">
            <w:pPr>
              <w:adjustRightInd w:val="0"/>
              <w:snapToGrid w:val="0"/>
              <w:rPr>
                <w:kern w:val="0"/>
              </w:rPr>
            </w:pPr>
            <w:r>
              <w:rPr>
                <w:kern w:val="0"/>
              </w:rPr>
              <w:t>处置固定资产、无形资产和其他长期资产收回的现金净额</w:t>
            </w:r>
          </w:p>
        </w:tc>
        <w:tc>
          <w:tcPr>
            <w:tcW w:w="1660" w:type="dxa"/>
            <w:vAlign w:val="center"/>
          </w:tcPr>
          <w:p w14:paraId="78620588" w14:textId="77777777" w:rsidR="004B0883" w:rsidRDefault="004B0883">
            <w:pPr>
              <w:adjustRightInd w:val="0"/>
              <w:snapToGrid w:val="0"/>
              <w:jc w:val="right"/>
              <w:rPr>
                <w:kern w:val="0"/>
              </w:rPr>
            </w:pPr>
            <w:r>
              <w:t>10.20</w:t>
            </w:r>
          </w:p>
        </w:tc>
        <w:tc>
          <w:tcPr>
            <w:tcW w:w="1661" w:type="dxa"/>
            <w:vAlign w:val="center"/>
          </w:tcPr>
          <w:p w14:paraId="637B3D2C" w14:textId="77777777" w:rsidR="004B0883" w:rsidRDefault="004B0883">
            <w:pPr>
              <w:adjustRightInd w:val="0"/>
              <w:snapToGrid w:val="0"/>
              <w:jc w:val="right"/>
              <w:rPr>
                <w:kern w:val="0"/>
              </w:rPr>
            </w:pPr>
            <w:r>
              <w:rPr>
                <w:rFonts w:hint="eastAsia"/>
                <w:kern w:val="0"/>
              </w:rPr>
              <w:t>236.97</w:t>
            </w:r>
          </w:p>
        </w:tc>
        <w:tc>
          <w:tcPr>
            <w:tcW w:w="1661" w:type="dxa"/>
            <w:vAlign w:val="center"/>
          </w:tcPr>
          <w:p w14:paraId="09E6AA1D" w14:textId="77777777" w:rsidR="004B0883" w:rsidRDefault="004B0883">
            <w:pPr>
              <w:adjustRightInd w:val="0"/>
              <w:snapToGrid w:val="0"/>
              <w:jc w:val="right"/>
              <w:rPr>
                <w:kern w:val="0"/>
              </w:rPr>
            </w:pPr>
            <w:r>
              <w:rPr>
                <w:rFonts w:hint="eastAsia"/>
                <w:kern w:val="0"/>
              </w:rPr>
              <w:t>15.77</w:t>
            </w:r>
          </w:p>
        </w:tc>
        <w:tc>
          <w:tcPr>
            <w:tcW w:w="1661" w:type="dxa"/>
            <w:vAlign w:val="center"/>
          </w:tcPr>
          <w:p w14:paraId="7118C7F0" w14:textId="77777777" w:rsidR="004B0883" w:rsidRDefault="004B0883">
            <w:pPr>
              <w:adjustRightInd w:val="0"/>
              <w:snapToGrid w:val="0"/>
              <w:jc w:val="right"/>
              <w:rPr>
                <w:kern w:val="0"/>
              </w:rPr>
            </w:pPr>
            <w:r>
              <w:rPr>
                <w:rFonts w:hint="eastAsia"/>
                <w:kern w:val="0"/>
              </w:rPr>
              <w:t>288.54</w:t>
            </w:r>
          </w:p>
        </w:tc>
      </w:tr>
      <w:tr w:rsidR="004B0883" w14:paraId="4D7C8CC9" w14:textId="77777777">
        <w:trPr>
          <w:trHeight w:val="397"/>
          <w:jc w:val="center"/>
        </w:trPr>
        <w:tc>
          <w:tcPr>
            <w:tcW w:w="1883" w:type="dxa"/>
            <w:vAlign w:val="center"/>
          </w:tcPr>
          <w:p w14:paraId="515C0329" w14:textId="77777777" w:rsidR="004B0883" w:rsidRDefault="004B0883">
            <w:pPr>
              <w:adjustRightInd w:val="0"/>
              <w:snapToGrid w:val="0"/>
              <w:rPr>
                <w:kern w:val="0"/>
              </w:rPr>
            </w:pPr>
            <w:r>
              <w:rPr>
                <w:rFonts w:hint="eastAsia"/>
                <w:kern w:val="0"/>
              </w:rPr>
              <w:t>收到其他与投资活动有关的现金</w:t>
            </w:r>
          </w:p>
        </w:tc>
        <w:tc>
          <w:tcPr>
            <w:tcW w:w="1660" w:type="dxa"/>
            <w:vAlign w:val="center"/>
          </w:tcPr>
          <w:p w14:paraId="51F2191B" w14:textId="77777777" w:rsidR="004B0883" w:rsidRDefault="004B0883">
            <w:pPr>
              <w:adjustRightInd w:val="0"/>
              <w:snapToGrid w:val="0"/>
              <w:jc w:val="right"/>
              <w:rPr>
                <w:kern w:val="0"/>
              </w:rPr>
            </w:pPr>
            <w:r>
              <w:rPr>
                <w:rFonts w:hint="eastAsia"/>
                <w:kern w:val="0"/>
              </w:rPr>
              <w:t>-</w:t>
            </w:r>
          </w:p>
        </w:tc>
        <w:tc>
          <w:tcPr>
            <w:tcW w:w="1661" w:type="dxa"/>
            <w:vAlign w:val="center"/>
          </w:tcPr>
          <w:p w14:paraId="4FB9F926" w14:textId="77777777" w:rsidR="004B0883" w:rsidRDefault="004B0883">
            <w:pPr>
              <w:adjustRightInd w:val="0"/>
              <w:snapToGrid w:val="0"/>
              <w:jc w:val="right"/>
              <w:rPr>
                <w:kern w:val="0"/>
              </w:rPr>
            </w:pPr>
            <w:r>
              <w:rPr>
                <w:rFonts w:hint="eastAsia"/>
                <w:kern w:val="0"/>
              </w:rPr>
              <w:t>-</w:t>
            </w:r>
          </w:p>
        </w:tc>
        <w:tc>
          <w:tcPr>
            <w:tcW w:w="1661" w:type="dxa"/>
            <w:vAlign w:val="center"/>
          </w:tcPr>
          <w:p w14:paraId="2C980691" w14:textId="77777777" w:rsidR="004B0883" w:rsidRDefault="004B0883">
            <w:pPr>
              <w:adjustRightInd w:val="0"/>
              <w:snapToGrid w:val="0"/>
              <w:jc w:val="right"/>
              <w:rPr>
                <w:kern w:val="0"/>
              </w:rPr>
            </w:pPr>
            <w:r>
              <w:rPr>
                <w:kern w:val="0"/>
              </w:rPr>
              <w:t>1,000.00</w:t>
            </w:r>
          </w:p>
        </w:tc>
        <w:tc>
          <w:tcPr>
            <w:tcW w:w="1661" w:type="dxa"/>
            <w:vAlign w:val="center"/>
          </w:tcPr>
          <w:p w14:paraId="5F40A165" w14:textId="77777777" w:rsidR="004B0883" w:rsidRDefault="004B0883">
            <w:pPr>
              <w:adjustRightInd w:val="0"/>
              <w:snapToGrid w:val="0"/>
              <w:jc w:val="right"/>
              <w:rPr>
                <w:kern w:val="0"/>
              </w:rPr>
            </w:pPr>
            <w:r>
              <w:rPr>
                <w:rFonts w:hint="eastAsia"/>
                <w:kern w:val="0"/>
              </w:rPr>
              <w:t>-</w:t>
            </w:r>
          </w:p>
        </w:tc>
      </w:tr>
      <w:tr w:rsidR="004B0883" w14:paraId="73364E38" w14:textId="77777777">
        <w:trPr>
          <w:trHeight w:val="397"/>
          <w:jc w:val="center"/>
        </w:trPr>
        <w:tc>
          <w:tcPr>
            <w:tcW w:w="1883" w:type="dxa"/>
            <w:vAlign w:val="center"/>
          </w:tcPr>
          <w:p w14:paraId="3E31E6D7" w14:textId="77777777" w:rsidR="004B0883" w:rsidRDefault="004B0883">
            <w:pPr>
              <w:adjustRightInd w:val="0"/>
              <w:snapToGrid w:val="0"/>
              <w:rPr>
                <w:kern w:val="0"/>
              </w:rPr>
            </w:pPr>
            <w:r>
              <w:rPr>
                <w:rFonts w:hint="eastAsia"/>
                <w:kern w:val="0"/>
              </w:rPr>
              <w:t>处置子公司及其他营业单位收到的现金净额</w:t>
            </w:r>
          </w:p>
        </w:tc>
        <w:tc>
          <w:tcPr>
            <w:tcW w:w="1660" w:type="dxa"/>
            <w:vAlign w:val="center"/>
          </w:tcPr>
          <w:p w14:paraId="1B71AE8F" w14:textId="77777777" w:rsidR="004B0883" w:rsidRDefault="004B0883">
            <w:pPr>
              <w:adjustRightInd w:val="0"/>
              <w:snapToGrid w:val="0"/>
              <w:jc w:val="right"/>
              <w:rPr>
                <w:kern w:val="0"/>
              </w:rPr>
            </w:pPr>
            <w:r>
              <w:rPr>
                <w:rFonts w:hint="eastAsia"/>
                <w:kern w:val="0"/>
              </w:rPr>
              <w:t>-</w:t>
            </w:r>
          </w:p>
        </w:tc>
        <w:tc>
          <w:tcPr>
            <w:tcW w:w="1661" w:type="dxa"/>
            <w:vAlign w:val="center"/>
          </w:tcPr>
          <w:p w14:paraId="73425F5D" w14:textId="77777777" w:rsidR="004B0883" w:rsidRDefault="004B0883">
            <w:pPr>
              <w:adjustRightInd w:val="0"/>
              <w:snapToGrid w:val="0"/>
              <w:jc w:val="right"/>
              <w:rPr>
                <w:kern w:val="0"/>
              </w:rPr>
            </w:pPr>
            <w:r>
              <w:rPr>
                <w:kern w:val="0"/>
              </w:rPr>
              <w:t>2,550.00</w:t>
            </w:r>
          </w:p>
        </w:tc>
        <w:tc>
          <w:tcPr>
            <w:tcW w:w="1661" w:type="dxa"/>
            <w:vAlign w:val="center"/>
          </w:tcPr>
          <w:p w14:paraId="5451748F" w14:textId="77777777" w:rsidR="004B0883" w:rsidRDefault="004B0883">
            <w:pPr>
              <w:adjustRightInd w:val="0"/>
              <w:snapToGrid w:val="0"/>
              <w:jc w:val="right"/>
              <w:rPr>
                <w:kern w:val="0"/>
              </w:rPr>
            </w:pPr>
            <w:r>
              <w:rPr>
                <w:rFonts w:hint="eastAsia"/>
                <w:kern w:val="0"/>
              </w:rPr>
              <w:t>-</w:t>
            </w:r>
          </w:p>
        </w:tc>
        <w:tc>
          <w:tcPr>
            <w:tcW w:w="1661" w:type="dxa"/>
            <w:vAlign w:val="center"/>
          </w:tcPr>
          <w:p w14:paraId="53F182DE" w14:textId="77777777" w:rsidR="004B0883" w:rsidRDefault="004B0883">
            <w:pPr>
              <w:adjustRightInd w:val="0"/>
              <w:snapToGrid w:val="0"/>
              <w:jc w:val="right"/>
              <w:rPr>
                <w:kern w:val="0"/>
              </w:rPr>
            </w:pPr>
            <w:r>
              <w:rPr>
                <w:rFonts w:hint="eastAsia"/>
                <w:kern w:val="0"/>
              </w:rPr>
              <w:t>-</w:t>
            </w:r>
          </w:p>
        </w:tc>
      </w:tr>
      <w:tr w:rsidR="004B0883" w14:paraId="517E3ECF" w14:textId="77777777">
        <w:trPr>
          <w:trHeight w:val="397"/>
          <w:jc w:val="center"/>
        </w:trPr>
        <w:tc>
          <w:tcPr>
            <w:tcW w:w="1883" w:type="dxa"/>
            <w:vAlign w:val="center"/>
          </w:tcPr>
          <w:p w14:paraId="0563B6CE" w14:textId="77777777" w:rsidR="004B0883" w:rsidRDefault="004B0883">
            <w:pPr>
              <w:adjustRightInd w:val="0"/>
              <w:snapToGrid w:val="0"/>
              <w:rPr>
                <w:b/>
                <w:bCs/>
                <w:kern w:val="0"/>
              </w:rPr>
            </w:pPr>
            <w:r>
              <w:rPr>
                <w:b/>
                <w:bCs/>
                <w:kern w:val="0"/>
              </w:rPr>
              <w:t>投资活动现金流入小计</w:t>
            </w:r>
          </w:p>
        </w:tc>
        <w:tc>
          <w:tcPr>
            <w:tcW w:w="1660" w:type="dxa"/>
            <w:vAlign w:val="center"/>
          </w:tcPr>
          <w:p w14:paraId="5D68A512" w14:textId="77777777" w:rsidR="004B0883" w:rsidRDefault="004B0883">
            <w:pPr>
              <w:adjustRightInd w:val="0"/>
              <w:snapToGrid w:val="0"/>
              <w:jc w:val="right"/>
              <w:rPr>
                <w:b/>
                <w:bCs/>
                <w:kern w:val="0"/>
              </w:rPr>
            </w:pPr>
            <w:r>
              <w:rPr>
                <w:b/>
                <w:bCs/>
              </w:rPr>
              <w:t>35,802.09</w:t>
            </w:r>
          </w:p>
        </w:tc>
        <w:tc>
          <w:tcPr>
            <w:tcW w:w="1661" w:type="dxa"/>
            <w:vAlign w:val="center"/>
          </w:tcPr>
          <w:p w14:paraId="12919223" w14:textId="77777777" w:rsidR="004B0883" w:rsidRDefault="004B0883">
            <w:pPr>
              <w:adjustRightInd w:val="0"/>
              <w:snapToGrid w:val="0"/>
              <w:jc w:val="right"/>
              <w:rPr>
                <w:b/>
                <w:bCs/>
                <w:kern w:val="0"/>
              </w:rPr>
            </w:pPr>
            <w:r>
              <w:rPr>
                <w:rFonts w:hint="eastAsia"/>
                <w:b/>
                <w:bCs/>
                <w:kern w:val="0"/>
              </w:rPr>
              <w:t>37,172.35</w:t>
            </w:r>
          </w:p>
        </w:tc>
        <w:tc>
          <w:tcPr>
            <w:tcW w:w="1661" w:type="dxa"/>
            <w:vAlign w:val="center"/>
          </w:tcPr>
          <w:p w14:paraId="75A00015" w14:textId="77777777" w:rsidR="004B0883" w:rsidRDefault="004B0883">
            <w:pPr>
              <w:adjustRightInd w:val="0"/>
              <w:snapToGrid w:val="0"/>
              <w:jc w:val="right"/>
              <w:rPr>
                <w:b/>
                <w:bCs/>
                <w:kern w:val="0"/>
              </w:rPr>
            </w:pPr>
            <w:r>
              <w:rPr>
                <w:rFonts w:hint="eastAsia"/>
                <w:b/>
                <w:bCs/>
                <w:kern w:val="0"/>
              </w:rPr>
              <w:t>48,868.43</w:t>
            </w:r>
          </w:p>
        </w:tc>
        <w:tc>
          <w:tcPr>
            <w:tcW w:w="1661" w:type="dxa"/>
            <w:vAlign w:val="center"/>
          </w:tcPr>
          <w:p w14:paraId="16302EC0" w14:textId="77777777" w:rsidR="004B0883" w:rsidRDefault="004B0883">
            <w:pPr>
              <w:adjustRightInd w:val="0"/>
              <w:snapToGrid w:val="0"/>
              <w:jc w:val="right"/>
              <w:rPr>
                <w:b/>
                <w:bCs/>
                <w:kern w:val="0"/>
              </w:rPr>
            </w:pPr>
            <w:r>
              <w:rPr>
                <w:rFonts w:hint="eastAsia"/>
                <w:b/>
                <w:bCs/>
                <w:kern w:val="0"/>
              </w:rPr>
              <w:t>73,496.89</w:t>
            </w:r>
          </w:p>
        </w:tc>
      </w:tr>
      <w:tr w:rsidR="004B0883" w14:paraId="5B159F21" w14:textId="77777777">
        <w:trPr>
          <w:trHeight w:val="397"/>
          <w:jc w:val="center"/>
        </w:trPr>
        <w:tc>
          <w:tcPr>
            <w:tcW w:w="1883" w:type="dxa"/>
            <w:vAlign w:val="center"/>
          </w:tcPr>
          <w:p w14:paraId="733C7AD7" w14:textId="77777777" w:rsidR="004B0883" w:rsidRDefault="004B0883">
            <w:pPr>
              <w:adjustRightInd w:val="0"/>
              <w:snapToGrid w:val="0"/>
              <w:rPr>
                <w:kern w:val="0"/>
              </w:rPr>
            </w:pPr>
            <w:r>
              <w:rPr>
                <w:kern w:val="0"/>
              </w:rPr>
              <w:t>购建固定资产、无形资产和其他长期资产支付的现金</w:t>
            </w:r>
          </w:p>
        </w:tc>
        <w:tc>
          <w:tcPr>
            <w:tcW w:w="1660" w:type="dxa"/>
            <w:vAlign w:val="center"/>
          </w:tcPr>
          <w:p w14:paraId="72417CAB" w14:textId="77777777" w:rsidR="004B0883" w:rsidRDefault="004B0883">
            <w:pPr>
              <w:adjustRightInd w:val="0"/>
              <w:snapToGrid w:val="0"/>
              <w:jc w:val="right"/>
              <w:rPr>
                <w:kern w:val="0"/>
              </w:rPr>
            </w:pPr>
            <w:r>
              <w:t>4,078.67</w:t>
            </w:r>
          </w:p>
        </w:tc>
        <w:tc>
          <w:tcPr>
            <w:tcW w:w="1661" w:type="dxa"/>
            <w:vAlign w:val="center"/>
          </w:tcPr>
          <w:p w14:paraId="5558A1FB" w14:textId="77777777" w:rsidR="004B0883" w:rsidRDefault="004B0883">
            <w:pPr>
              <w:adjustRightInd w:val="0"/>
              <w:snapToGrid w:val="0"/>
              <w:jc w:val="right"/>
              <w:rPr>
                <w:kern w:val="0"/>
              </w:rPr>
            </w:pPr>
            <w:r>
              <w:rPr>
                <w:rFonts w:hint="eastAsia"/>
                <w:kern w:val="0"/>
              </w:rPr>
              <w:t>379.82</w:t>
            </w:r>
          </w:p>
        </w:tc>
        <w:tc>
          <w:tcPr>
            <w:tcW w:w="1661" w:type="dxa"/>
            <w:vAlign w:val="center"/>
          </w:tcPr>
          <w:p w14:paraId="444B0FBF" w14:textId="77777777" w:rsidR="004B0883" w:rsidRDefault="004B0883">
            <w:pPr>
              <w:adjustRightInd w:val="0"/>
              <w:snapToGrid w:val="0"/>
              <w:jc w:val="right"/>
              <w:rPr>
                <w:kern w:val="0"/>
              </w:rPr>
            </w:pPr>
            <w:r>
              <w:rPr>
                <w:rFonts w:hint="eastAsia"/>
                <w:kern w:val="0"/>
              </w:rPr>
              <w:t>643.86</w:t>
            </w:r>
          </w:p>
        </w:tc>
        <w:tc>
          <w:tcPr>
            <w:tcW w:w="1661" w:type="dxa"/>
            <w:vAlign w:val="center"/>
          </w:tcPr>
          <w:p w14:paraId="0EA7EC01" w14:textId="77777777" w:rsidR="004B0883" w:rsidRDefault="004B0883">
            <w:pPr>
              <w:adjustRightInd w:val="0"/>
              <w:snapToGrid w:val="0"/>
              <w:jc w:val="right"/>
              <w:rPr>
                <w:kern w:val="0"/>
              </w:rPr>
            </w:pPr>
            <w:r>
              <w:rPr>
                <w:rFonts w:hint="eastAsia"/>
                <w:kern w:val="0"/>
              </w:rPr>
              <w:t>338.21</w:t>
            </w:r>
          </w:p>
        </w:tc>
      </w:tr>
      <w:tr w:rsidR="004B0883" w14:paraId="656D6D64" w14:textId="77777777">
        <w:trPr>
          <w:trHeight w:val="397"/>
          <w:jc w:val="center"/>
        </w:trPr>
        <w:tc>
          <w:tcPr>
            <w:tcW w:w="1883" w:type="dxa"/>
            <w:vAlign w:val="center"/>
          </w:tcPr>
          <w:p w14:paraId="67869ABD" w14:textId="77777777" w:rsidR="004B0883" w:rsidRDefault="004B0883">
            <w:pPr>
              <w:adjustRightInd w:val="0"/>
              <w:snapToGrid w:val="0"/>
              <w:rPr>
                <w:kern w:val="0"/>
              </w:rPr>
            </w:pPr>
            <w:r>
              <w:rPr>
                <w:kern w:val="0"/>
              </w:rPr>
              <w:t>投资支付的现金</w:t>
            </w:r>
          </w:p>
        </w:tc>
        <w:tc>
          <w:tcPr>
            <w:tcW w:w="1660" w:type="dxa"/>
            <w:vAlign w:val="center"/>
          </w:tcPr>
          <w:p w14:paraId="31EB3820" w14:textId="77777777" w:rsidR="004B0883" w:rsidRDefault="004B0883">
            <w:pPr>
              <w:adjustRightInd w:val="0"/>
              <w:snapToGrid w:val="0"/>
              <w:jc w:val="right"/>
              <w:rPr>
                <w:kern w:val="0"/>
              </w:rPr>
            </w:pPr>
            <w:r>
              <w:t>44,000.00</w:t>
            </w:r>
          </w:p>
        </w:tc>
        <w:tc>
          <w:tcPr>
            <w:tcW w:w="1661" w:type="dxa"/>
            <w:vAlign w:val="center"/>
          </w:tcPr>
          <w:p w14:paraId="27D4F9F2" w14:textId="77777777" w:rsidR="004B0883" w:rsidRDefault="004B0883">
            <w:pPr>
              <w:adjustRightInd w:val="0"/>
              <w:snapToGrid w:val="0"/>
              <w:jc w:val="right"/>
              <w:rPr>
                <w:kern w:val="0"/>
              </w:rPr>
            </w:pPr>
            <w:r>
              <w:rPr>
                <w:rFonts w:hint="eastAsia"/>
                <w:kern w:val="0"/>
              </w:rPr>
              <w:t>29,120.00</w:t>
            </w:r>
          </w:p>
        </w:tc>
        <w:tc>
          <w:tcPr>
            <w:tcW w:w="1661" w:type="dxa"/>
            <w:vAlign w:val="center"/>
          </w:tcPr>
          <w:p w14:paraId="308575FB" w14:textId="77777777" w:rsidR="004B0883" w:rsidRDefault="004B0883">
            <w:pPr>
              <w:adjustRightInd w:val="0"/>
              <w:snapToGrid w:val="0"/>
              <w:jc w:val="right"/>
              <w:rPr>
                <w:kern w:val="0"/>
              </w:rPr>
            </w:pPr>
            <w:r>
              <w:rPr>
                <w:rFonts w:hint="eastAsia"/>
                <w:kern w:val="0"/>
              </w:rPr>
              <w:t>35,331.85</w:t>
            </w:r>
          </w:p>
        </w:tc>
        <w:tc>
          <w:tcPr>
            <w:tcW w:w="1661" w:type="dxa"/>
            <w:vAlign w:val="center"/>
          </w:tcPr>
          <w:p w14:paraId="0B0BF973" w14:textId="77777777" w:rsidR="004B0883" w:rsidRDefault="004B0883">
            <w:pPr>
              <w:adjustRightInd w:val="0"/>
              <w:snapToGrid w:val="0"/>
              <w:jc w:val="right"/>
              <w:rPr>
                <w:kern w:val="0"/>
              </w:rPr>
            </w:pPr>
            <w:r>
              <w:rPr>
                <w:rFonts w:hint="eastAsia"/>
                <w:kern w:val="0"/>
              </w:rPr>
              <w:t>80,550.00</w:t>
            </w:r>
          </w:p>
        </w:tc>
      </w:tr>
      <w:tr w:rsidR="004B0883" w14:paraId="7E9F356F" w14:textId="77777777">
        <w:trPr>
          <w:trHeight w:val="397"/>
          <w:jc w:val="center"/>
        </w:trPr>
        <w:tc>
          <w:tcPr>
            <w:tcW w:w="1883" w:type="dxa"/>
            <w:vAlign w:val="center"/>
          </w:tcPr>
          <w:p w14:paraId="320A9382" w14:textId="77777777" w:rsidR="004B0883" w:rsidRDefault="004B0883">
            <w:pPr>
              <w:adjustRightInd w:val="0"/>
              <w:snapToGrid w:val="0"/>
              <w:rPr>
                <w:kern w:val="0"/>
              </w:rPr>
            </w:pPr>
            <w:r>
              <w:rPr>
                <w:kern w:val="0"/>
              </w:rPr>
              <w:t>取得子公司及其他营业单位支付的现金净额</w:t>
            </w:r>
          </w:p>
        </w:tc>
        <w:tc>
          <w:tcPr>
            <w:tcW w:w="1660" w:type="dxa"/>
            <w:vAlign w:val="center"/>
          </w:tcPr>
          <w:p w14:paraId="5AC9B792" w14:textId="77777777" w:rsidR="004B0883" w:rsidRDefault="004B0883">
            <w:pPr>
              <w:adjustRightInd w:val="0"/>
              <w:snapToGrid w:val="0"/>
              <w:jc w:val="right"/>
              <w:rPr>
                <w:kern w:val="0"/>
              </w:rPr>
            </w:pPr>
            <w:r>
              <w:t>299.80</w:t>
            </w:r>
          </w:p>
        </w:tc>
        <w:tc>
          <w:tcPr>
            <w:tcW w:w="1661" w:type="dxa"/>
            <w:vAlign w:val="center"/>
          </w:tcPr>
          <w:p w14:paraId="0794319C" w14:textId="77777777" w:rsidR="004B0883" w:rsidRDefault="004B0883">
            <w:pPr>
              <w:adjustRightInd w:val="0"/>
              <w:snapToGrid w:val="0"/>
              <w:jc w:val="right"/>
              <w:rPr>
                <w:kern w:val="0"/>
              </w:rPr>
            </w:pPr>
            <w:r>
              <w:rPr>
                <w:kern w:val="0"/>
              </w:rPr>
              <w:t>6,000.00</w:t>
            </w:r>
          </w:p>
        </w:tc>
        <w:tc>
          <w:tcPr>
            <w:tcW w:w="1661" w:type="dxa"/>
            <w:vAlign w:val="center"/>
          </w:tcPr>
          <w:p w14:paraId="5B3FF1C8" w14:textId="77777777" w:rsidR="004B0883" w:rsidRDefault="004B0883">
            <w:pPr>
              <w:adjustRightInd w:val="0"/>
              <w:snapToGrid w:val="0"/>
              <w:jc w:val="right"/>
              <w:rPr>
                <w:kern w:val="0"/>
              </w:rPr>
            </w:pPr>
            <w:r>
              <w:rPr>
                <w:rFonts w:hint="eastAsia"/>
                <w:kern w:val="0"/>
              </w:rPr>
              <w:t>-</w:t>
            </w:r>
          </w:p>
        </w:tc>
        <w:tc>
          <w:tcPr>
            <w:tcW w:w="1661" w:type="dxa"/>
            <w:vAlign w:val="center"/>
          </w:tcPr>
          <w:p w14:paraId="3F2B63C4" w14:textId="77777777" w:rsidR="004B0883" w:rsidRDefault="004B0883">
            <w:pPr>
              <w:adjustRightInd w:val="0"/>
              <w:snapToGrid w:val="0"/>
              <w:jc w:val="right"/>
              <w:rPr>
                <w:kern w:val="0"/>
              </w:rPr>
            </w:pPr>
            <w:r>
              <w:rPr>
                <w:rFonts w:hint="eastAsia"/>
                <w:kern w:val="0"/>
              </w:rPr>
              <w:t>-</w:t>
            </w:r>
          </w:p>
        </w:tc>
      </w:tr>
      <w:tr w:rsidR="004B0883" w14:paraId="4536632E" w14:textId="77777777">
        <w:trPr>
          <w:trHeight w:val="397"/>
          <w:jc w:val="center"/>
        </w:trPr>
        <w:tc>
          <w:tcPr>
            <w:tcW w:w="1883" w:type="dxa"/>
            <w:vAlign w:val="center"/>
          </w:tcPr>
          <w:p w14:paraId="3CD1DE5B" w14:textId="77777777" w:rsidR="004B0883" w:rsidRDefault="004B0883">
            <w:pPr>
              <w:adjustRightInd w:val="0"/>
              <w:snapToGrid w:val="0"/>
              <w:rPr>
                <w:kern w:val="0"/>
              </w:rPr>
            </w:pPr>
            <w:r>
              <w:rPr>
                <w:kern w:val="0"/>
              </w:rPr>
              <w:t>支付其他与投资活动有关的现金</w:t>
            </w:r>
          </w:p>
        </w:tc>
        <w:tc>
          <w:tcPr>
            <w:tcW w:w="1660" w:type="dxa"/>
            <w:vAlign w:val="center"/>
          </w:tcPr>
          <w:p w14:paraId="5A4C2CC9" w14:textId="77777777" w:rsidR="004B0883" w:rsidRDefault="004B0883">
            <w:pPr>
              <w:adjustRightInd w:val="0"/>
              <w:snapToGrid w:val="0"/>
              <w:jc w:val="right"/>
              <w:rPr>
                <w:kern w:val="0"/>
              </w:rPr>
            </w:pPr>
            <w:r>
              <w:rPr>
                <w:rFonts w:hint="eastAsia"/>
                <w:kern w:val="0"/>
              </w:rPr>
              <w:t>-</w:t>
            </w:r>
          </w:p>
        </w:tc>
        <w:tc>
          <w:tcPr>
            <w:tcW w:w="1661" w:type="dxa"/>
            <w:vAlign w:val="center"/>
          </w:tcPr>
          <w:p w14:paraId="375F1228" w14:textId="77777777" w:rsidR="004B0883" w:rsidRDefault="004B0883">
            <w:pPr>
              <w:adjustRightInd w:val="0"/>
              <w:snapToGrid w:val="0"/>
              <w:jc w:val="right"/>
              <w:rPr>
                <w:kern w:val="0"/>
              </w:rPr>
            </w:pPr>
            <w:r>
              <w:rPr>
                <w:kern w:val="0"/>
              </w:rPr>
              <w:t>1,000.00</w:t>
            </w:r>
          </w:p>
        </w:tc>
        <w:tc>
          <w:tcPr>
            <w:tcW w:w="1661" w:type="dxa"/>
            <w:vAlign w:val="center"/>
          </w:tcPr>
          <w:p w14:paraId="55485B07" w14:textId="77777777" w:rsidR="004B0883" w:rsidRDefault="004B0883">
            <w:pPr>
              <w:adjustRightInd w:val="0"/>
              <w:snapToGrid w:val="0"/>
              <w:jc w:val="right"/>
              <w:rPr>
                <w:kern w:val="0"/>
              </w:rPr>
            </w:pPr>
            <w:r>
              <w:rPr>
                <w:rFonts w:hint="eastAsia"/>
                <w:kern w:val="0"/>
              </w:rPr>
              <w:t>-</w:t>
            </w:r>
          </w:p>
        </w:tc>
        <w:tc>
          <w:tcPr>
            <w:tcW w:w="1661" w:type="dxa"/>
            <w:vAlign w:val="center"/>
          </w:tcPr>
          <w:p w14:paraId="53D8F4DB" w14:textId="77777777" w:rsidR="004B0883" w:rsidRDefault="004B0883">
            <w:pPr>
              <w:adjustRightInd w:val="0"/>
              <w:snapToGrid w:val="0"/>
              <w:jc w:val="right"/>
              <w:rPr>
                <w:kern w:val="0"/>
              </w:rPr>
            </w:pPr>
            <w:r>
              <w:rPr>
                <w:rFonts w:hint="eastAsia"/>
                <w:kern w:val="0"/>
              </w:rPr>
              <w:t>-</w:t>
            </w:r>
          </w:p>
        </w:tc>
      </w:tr>
      <w:tr w:rsidR="004B0883" w14:paraId="0407D1FD" w14:textId="77777777">
        <w:trPr>
          <w:trHeight w:val="397"/>
          <w:jc w:val="center"/>
        </w:trPr>
        <w:tc>
          <w:tcPr>
            <w:tcW w:w="1883" w:type="dxa"/>
            <w:vAlign w:val="center"/>
          </w:tcPr>
          <w:p w14:paraId="5287AB95" w14:textId="77777777" w:rsidR="004B0883" w:rsidRDefault="004B0883">
            <w:pPr>
              <w:adjustRightInd w:val="0"/>
              <w:snapToGrid w:val="0"/>
              <w:rPr>
                <w:b/>
                <w:bCs/>
                <w:kern w:val="0"/>
              </w:rPr>
            </w:pPr>
            <w:r>
              <w:rPr>
                <w:b/>
                <w:bCs/>
                <w:kern w:val="0"/>
              </w:rPr>
              <w:t>投资活动现金流出小计</w:t>
            </w:r>
          </w:p>
        </w:tc>
        <w:tc>
          <w:tcPr>
            <w:tcW w:w="1660" w:type="dxa"/>
            <w:vAlign w:val="center"/>
          </w:tcPr>
          <w:p w14:paraId="39CE6518" w14:textId="77777777" w:rsidR="004B0883" w:rsidRDefault="004B0883">
            <w:pPr>
              <w:adjustRightInd w:val="0"/>
              <w:snapToGrid w:val="0"/>
              <w:jc w:val="right"/>
              <w:rPr>
                <w:b/>
                <w:bCs/>
                <w:kern w:val="0"/>
              </w:rPr>
            </w:pPr>
            <w:r>
              <w:rPr>
                <w:b/>
                <w:bCs/>
              </w:rPr>
              <w:t>48,378.47</w:t>
            </w:r>
          </w:p>
        </w:tc>
        <w:tc>
          <w:tcPr>
            <w:tcW w:w="1661" w:type="dxa"/>
            <w:vAlign w:val="center"/>
          </w:tcPr>
          <w:p w14:paraId="3E092E20" w14:textId="77777777" w:rsidR="004B0883" w:rsidRDefault="004B0883">
            <w:pPr>
              <w:adjustRightInd w:val="0"/>
              <w:snapToGrid w:val="0"/>
              <w:jc w:val="right"/>
              <w:rPr>
                <w:b/>
                <w:bCs/>
                <w:kern w:val="0"/>
              </w:rPr>
            </w:pPr>
            <w:r>
              <w:rPr>
                <w:rFonts w:hint="eastAsia"/>
                <w:b/>
                <w:bCs/>
                <w:kern w:val="0"/>
              </w:rPr>
              <w:t>36,499.82</w:t>
            </w:r>
          </w:p>
        </w:tc>
        <w:tc>
          <w:tcPr>
            <w:tcW w:w="1661" w:type="dxa"/>
            <w:vAlign w:val="center"/>
          </w:tcPr>
          <w:p w14:paraId="013B4464" w14:textId="77777777" w:rsidR="004B0883" w:rsidRDefault="004B0883">
            <w:pPr>
              <w:adjustRightInd w:val="0"/>
              <w:snapToGrid w:val="0"/>
              <w:jc w:val="right"/>
              <w:rPr>
                <w:b/>
                <w:bCs/>
                <w:kern w:val="0"/>
              </w:rPr>
            </w:pPr>
            <w:r>
              <w:rPr>
                <w:rFonts w:hint="eastAsia"/>
                <w:b/>
                <w:bCs/>
                <w:kern w:val="0"/>
              </w:rPr>
              <w:t>35,975.71</w:t>
            </w:r>
          </w:p>
        </w:tc>
        <w:tc>
          <w:tcPr>
            <w:tcW w:w="1661" w:type="dxa"/>
            <w:vAlign w:val="center"/>
          </w:tcPr>
          <w:p w14:paraId="59BB5DBC" w14:textId="77777777" w:rsidR="004B0883" w:rsidRDefault="004B0883">
            <w:pPr>
              <w:adjustRightInd w:val="0"/>
              <w:snapToGrid w:val="0"/>
              <w:jc w:val="right"/>
              <w:rPr>
                <w:b/>
                <w:bCs/>
                <w:kern w:val="0"/>
              </w:rPr>
            </w:pPr>
            <w:r>
              <w:rPr>
                <w:rFonts w:hint="eastAsia"/>
                <w:b/>
                <w:bCs/>
                <w:kern w:val="0"/>
              </w:rPr>
              <w:t>80,888.21</w:t>
            </w:r>
          </w:p>
        </w:tc>
      </w:tr>
      <w:tr w:rsidR="004B0883" w14:paraId="74443537" w14:textId="77777777">
        <w:trPr>
          <w:trHeight w:val="397"/>
          <w:jc w:val="center"/>
        </w:trPr>
        <w:tc>
          <w:tcPr>
            <w:tcW w:w="1883" w:type="dxa"/>
            <w:vAlign w:val="center"/>
          </w:tcPr>
          <w:p w14:paraId="3B0F89F0" w14:textId="77777777" w:rsidR="004B0883" w:rsidRDefault="004B0883">
            <w:pPr>
              <w:adjustRightInd w:val="0"/>
              <w:snapToGrid w:val="0"/>
              <w:rPr>
                <w:b/>
                <w:bCs/>
                <w:kern w:val="0"/>
              </w:rPr>
            </w:pPr>
            <w:r>
              <w:rPr>
                <w:b/>
                <w:bCs/>
                <w:kern w:val="0"/>
              </w:rPr>
              <w:t>投资活动产生的现金流量净额</w:t>
            </w:r>
          </w:p>
        </w:tc>
        <w:tc>
          <w:tcPr>
            <w:tcW w:w="1660" w:type="dxa"/>
            <w:vAlign w:val="center"/>
          </w:tcPr>
          <w:p w14:paraId="5E2B8A69" w14:textId="77777777" w:rsidR="004B0883" w:rsidRDefault="004B0883">
            <w:pPr>
              <w:adjustRightInd w:val="0"/>
              <w:snapToGrid w:val="0"/>
              <w:jc w:val="right"/>
              <w:rPr>
                <w:b/>
                <w:bCs/>
                <w:kern w:val="0"/>
              </w:rPr>
            </w:pPr>
            <w:r>
              <w:rPr>
                <w:b/>
                <w:bCs/>
              </w:rPr>
              <w:t>-12,576.38</w:t>
            </w:r>
          </w:p>
        </w:tc>
        <w:tc>
          <w:tcPr>
            <w:tcW w:w="1661" w:type="dxa"/>
            <w:vAlign w:val="center"/>
          </w:tcPr>
          <w:p w14:paraId="4769D043" w14:textId="77777777" w:rsidR="004B0883" w:rsidRDefault="004B0883">
            <w:pPr>
              <w:adjustRightInd w:val="0"/>
              <w:snapToGrid w:val="0"/>
              <w:jc w:val="right"/>
              <w:rPr>
                <w:b/>
                <w:bCs/>
                <w:kern w:val="0"/>
              </w:rPr>
            </w:pPr>
            <w:r>
              <w:rPr>
                <w:rFonts w:hint="eastAsia"/>
                <w:b/>
                <w:bCs/>
                <w:kern w:val="0"/>
              </w:rPr>
              <w:t>672.53</w:t>
            </w:r>
          </w:p>
        </w:tc>
        <w:tc>
          <w:tcPr>
            <w:tcW w:w="1661" w:type="dxa"/>
            <w:vAlign w:val="center"/>
          </w:tcPr>
          <w:p w14:paraId="41676651" w14:textId="77777777" w:rsidR="004B0883" w:rsidRDefault="004B0883">
            <w:pPr>
              <w:adjustRightInd w:val="0"/>
              <w:snapToGrid w:val="0"/>
              <w:jc w:val="right"/>
              <w:rPr>
                <w:b/>
                <w:bCs/>
                <w:kern w:val="0"/>
              </w:rPr>
            </w:pPr>
            <w:r>
              <w:rPr>
                <w:rFonts w:hint="eastAsia"/>
                <w:b/>
                <w:bCs/>
                <w:kern w:val="0"/>
              </w:rPr>
              <w:t>12,892.73</w:t>
            </w:r>
          </w:p>
        </w:tc>
        <w:tc>
          <w:tcPr>
            <w:tcW w:w="1661" w:type="dxa"/>
            <w:vAlign w:val="center"/>
          </w:tcPr>
          <w:p w14:paraId="36CD124F" w14:textId="77777777" w:rsidR="004B0883" w:rsidRDefault="004B0883">
            <w:pPr>
              <w:adjustRightInd w:val="0"/>
              <w:snapToGrid w:val="0"/>
              <w:jc w:val="right"/>
              <w:rPr>
                <w:b/>
                <w:bCs/>
                <w:kern w:val="0"/>
              </w:rPr>
            </w:pPr>
            <w:r>
              <w:rPr>
                <w:rFonts w:hint="eastAsia"/>
                <w:b/>
                <w:bCs/>
                <w:kern w:val="0"/>
              </w:rPr>
              <w:t>-7,391.32</w:t>
            </w:r>
          </w:p>
        </w:tc>
      </w:tr>
      <w:tr w:rsidR="004B0883" w14:paraId="3EEABC54" w14:textId="77777777">
        <w:trPr>
          <w:trHeight w:val="397"/>
          <w:jc w:val="center"/>
        </w:trPr>
        <w:tc>
          <w:tcPr>
            <w:tcW w:w="1883" w:type="dxa"/>
            <w:vAlign w:val="center"/>
          </w:tcPr>
          <w:p w14:paraId="77BA7AFC" w14:textId="77777777" w:rsidR="004B0883" w:rsidRDefault="004B0883">
            <w:pPr>
              <w:adjustRightInd w:val="0"/>
              <w:snapToGrid w:val="0"/>
              <w:rPr>
                <w:b/>
                <w:bCs/>
                <w:kern w:val="0"/>
              </w:rPr>
            </w:pPr>
            <w:r>
              <w:rPr>
                <w:b/>
                <w:bCs/>
                <w:kern w:val="0"/>
              </w:rPr>
              <w:t>三、筹资活动产生的现金流量：</w:t>
            </w:r>
          </w:p>
        </w:tc>
        <w:tc>
          <w:tcPr>
            <w:tcW w:w="1660" w:type="dxa"/>
            <w:vAlign w:val="center"/>
          </w:tcPr>
          <w:p w14:paraId="480D0710" w14:textId="77777777" w:rsidR="004B0883" w:rsidRDefault="004B0883">
            <w:pPr>
              <w:adjustRightInd w:val="0"/>
              <w:snapToGrid w:val="0"/>
              <w:jc w:val="right"/>
              <w:rPr>
                <w:b/>
                <w:bCs/>
                <w:kern w:val="0"/>
              </w:rPr>
            </w:pPr>
          </w:p>
        </w:tc>
        <w:tc>
          <w:tcPr>
            <w:tcW w:w="1661" w:type="dxa"/>
            <w:vAlign w:val="center"/>
          </w:tcPr>
          <w:p w14:paraId="36D4D1D8" w14:textId="77777777" w:rsidR="004B0883" w:rsidRDefault="004B0883">
            <w:pPr>
              <w:adjustRightInd w:val="0"/>
              <w:snapToGrid w:val="0"/>
              <w:jc w:val="right"/>
              <w:rPr>
                <w:kern w:val="0"/>
              </w:rPr>
            </w:pPr>
          </w:p>
        </w:tc>
        <w:tc>
          <w:tcPr>
            <w:tcW w:w="1661" w:type="dxa"/>
            <w:vAlign w:val="center"/>
          </w:tcPr>
          <w:p w14:paraId="1D832DED" w14:textId="77777777" w:rsidR="004B0883" w:rsidRDefault="004B0883">
            <w:pPr>
              <w:adjustRightInd w:val="0"/>
              <w:snapToGrid w:val="0"/>
              <w:jc w:val="right"/>
              <w:rPr>
                <w:kern w:val="0"/>
              </w:rPr>
            </w:pPr>
          </w:p>
        </w:tc>
        <w:tc>
          <w:tcPr>
            <w:tcW w:w="1661" w:type="dxa"/>
            <w:vAlign w:val="center"/>
          </w:tcPr>
          <w:p w14:paraId="4C85AA80" w14:textId="77777777" w:rsidR="004B0883" w:rsidRDefault="004B0883">
            <w:pPr>
              <w:adjustRightInd w:val="0"/>
              <w:snapToGrid w:val="0"/>
              <w:jc w:val="right"/>
              <w:rPr>
                <w:kern w:val="0"/>
              </w:rPr>
            </w:pPr>
          </w:p>
        </w:tc>
      </w:tr>
      <w:tr w:rsidR="004B0883" w14:paraId="20321DDC" w14:textId="77777777">
        <w:trPr>
          <w:trHeight w:val="397"/>
          <w:jc w:val="center"/>
        </w:trPr>
        <w:tc>
          <w:tcPr>
            <w:tcW w:w="1883" w:type="dxa"/>
            <w:vAlign w:val="center"/>
          </w:tcPr>
          <w:p w14:paraId="4E47B576" w14:textId="77777777" w:rsidR="004B0883" w:rsidRDefault="004B0883">
            <w:pPr>
              <w:adjustRightInd w:val="0"/>
              <w:snapToGrid w:val="0"/>
              <w:rPr>
                <w:kern w:val="0"/>
              </w:rPr>
            </w:pPr>
            <w:r>
              <w:rPr>
                <w:kern w:val="0"/>
              </w:rPr>
              <w:t>取得借款收到的现金</w:t>
            </w:r>
          </w:p>
        </w:tc>
        <w:tc>
          <w:tcPr>
            <w:tcW w:w="1660" w:type="dxa"/>
            <w:vAlign w:val="center"/>
          </w:tcPr>
          <w:p w14:paraId="30094CA1" w14:textId="77777777" w:rsidR="004B0883" w:rsidRDefault="004B0883">
            <w:pPr>
              <w:adjustRightInd w:val="0"/>
              <w:snapToGrid w:val="0"/>
              <w:jc w:val="right"/>
              <w:rPr>
                <w:kern w:val="0"/>
              </w:rPr>
            </w:pPr>
            <w:r>
              <w:rPr>
                <w:rFonts w:hint="eastAsia"/>
                <w:kern w:val="0"/>
              </w:rPr>
              <w:t>-</w:t>
            </w:r>
          </w:p>
        </w:tc>
        <w:tc>
          <w:tcPr>
            <w:tcW w:w="1661" w:type="dxa"/>
            <w:vAlign w:val="center"/>
          </w:tcPr>
          <w:p w14:paraId="6FCD9161" w14:textId="77777777" w:rsidR="004B0883" w:rsidRDefault="004B0883">
            <w:pPr>
              <w:adjustRightInd w:val="0"/>
              <w:snapToGrid w:val="0"/>
              <w:jc w:val="right"/>
              <w:rPr>
                <w:kern w:val="0"/>
              </w:rPr>
            </w:pPr>
            <w:r>
              <w:rPr>
                <w:rFonts w:hint="eastAsia"/>
                <w:kern w:val="0"/>
              </w:rPr>
              <w:t>7,000.00</w:t>
            </w:r>
          </w:p>
        </w:tc>
        <w:tc>
          <w:tcPr>
            <w:tcW w:w="1661" w:type="dxa"/>
            <w:vAlign w:val="center"/>
          </w:tcPr>
          <w:p w14:paraId="3C4F2EB9" w14:textId="77777777" w:rsidR="004B0883" w:rsidRDefault="004B0883">
            <w:pPr>
              <w:adjustRightInd w:val="0"/>
              <w:snapToGrid w:val="0"/>
              <w:jc w:val="right"/>
              <w:rPr>
                <w:kern w:val="0"/>
              </w:rPr>
            </w:pPr>
            <w:r>
              <w:rPr>
                <w:rFonts w:hint="eastAsia"/>
                <w:kern w:val="0"/>
              </w:rPr>
              <w:t>4,900.00</w:t>
            </w:r>
          </w:p>
        </w:tc>
        <w:tc>
          <w:tcPr>
            <w:tcW w:w="1661" w:type="dxa"/>
            <w:vAlign w:val="center"/>
          </w:tcPr>
          <w:p w14:paraId="44C04C0B" w14:textId="77777777" w:rsidR="004B0883" w:rsidRDefault="004B0883">
            <w:pPr>
              <w:adjustRightInd w:val="0"/>
              <w:snapToGrid w:val="0"/>
              <w:jc w:val="right"/>
              <w:rPr>
                <w:kern w:val="0"/>
              </w:rPr>
            </w:pPr>
            <w:r>
              <w:rPr>
                <w:rFonts w:hint="eastAsia"/>
                <w:kern w:val="0"/>
              </w:rPr>
              <w:t>5,119.10</w:t>
            </w:r>
          </w:p>
        </w:tc>
      </w:tr>
      <w:tr w:rsidR="004B0883" w14:paraId="00B9A40F" w14:textId="77777777">
        <w:trPr>
          <w:trHeight w:val="397"/>
          <w:jc w:val="center"/>
        </w:trPr>
        <w:tc>
          <w:tcPr>
            <w:tcW w:w="1883" w:type="dxa"/>
            <w:vAlign w:val="center"/>
          </w:tcPr>
          <w:p w14:paraId="3DB04EEC" w14:textId="77777777" w:rsidR="004B0883" w:rsidRDefault="004B0883">
            <w:pPr>
              <w:adjustRightInd w:val="0"/>
              <w:snapToGrid w:val="0"/>
              <w:rPr>
                <w:kern w:val="0"/>
              </w:rPr>
            </w:pPr>
            <w:r>
              <w:rPr>
                <w:kern w:val="0"/>
              </w:rPr>
              <w:t>收到其他与筹资活动有关的现金</w:t>
            </w:r>
          </w:p>
        </w:tc>
        <w:tc>
          <w:tcPr>
            <w:tcW w:w="1660" w:type="dxa"/>
            <w:vAlign w:val="center"/>
          </w:tcPr>
          <w:p w14:paraId="2FD090F2" w14:textId="77777777" w:rsidR="004B0883" w:rsidRDefault="004B0883">
            <w:pPr>
              <w:adjustRightInd w:val="0"/>
              <w:snapToGrid w:val="0"/>
              <w:jc w:val="right"/>
              <w:rPr>
                <w:kern w:val="0"/>
              </w:rPr>
            </w:pPr>
            <w:r>
              <w:rPr>
                <w:rFonts w:hint="eastAsia"/>
                <w:kern w:val="0"/>
              </w:rPr>
              <w:t>-</w:t>
            </w:r>
          </w:p>
        </w:tc>
        <w:tc>
          <w:tcPr>
            <w:tcW w:w="1661" w:type="dxa"/>
            <w:vAlign w:val="center"/>
          </w:tcPr>
          <w:p w14:paraId="6F556C41" w14:textId="77777777" w:rsidR="004B0883" w:rsidRDefault="004B0883">
            <w:pPr>
              <w:adjustRightInd w:val="0"/>
              <w:snapToGrid w:val="0"/>
              <w:jc w:val="right"/>
              <w:rPr>
                <w:kern w:val="0"/>
              </w:rPr>
            </w:pPr>
            <w:r>
              <w:rPr>
                <w:rFonts w:hint="eastAsia"/>
                <w:kern w:val="0"/>
              </w:rPr>
              <w:t>198.85</w:t>
            </w:r>
          </w:p>
        </w:tc>
        <w:tc>
          <w:tcPr>
            <w:tcW w:w="1661" w:type="dxa"/>
            <w:vAlign w:val="center"/>
          </w:tcPr>
          <w:p w14:paraId="3B26D95F" w14:textId="77777777" w:rsidR="004B0883" w:rsidRDefault="004B0883">
            <w:pPr>
              <w:adjustRightInd w:val="0"/>
              <w:snapToGrid w:val="0"/>
              <w:jc w:val="right"/>
              <w:rPr>
                <w:kern w:val="0"/>
              </w:rPr>
            </w:pPr>
            <w:r>
              <w:rPr>
                <w:rFonts w:hint="eastAsia"/>
                <w:kern w:val="0"/>
              </w:rPr>
              <w:t>1,360.00</w:t>
            </w:r>
          </w:p>
        </w:tc>
        <w:tc>
          <w:tcPr>
            <w:tcW w:w="1661" w:type="dxa"/>
            <w:vAlign w:val="center"/>
          </w:tcPr>
          <w:p w14:paraId="5C6DF0BF" w14:textId="77777777" w:rsidR="004B0883" w:rsidRDefault="004B0883">
            <w:pPr>
              <w:adjustRightInd w:val="0"/>
              <w:snapToGrid w:val="0"/>
              <w:jc w:val="right"/>
              <w:rPr>
                <w:kern w:val="0"/>
              </w:rPr>
            </w:pPr>
            <w:r>
              <w:rPr>
                <w:rFonts w:hint="eastAsia"/>
                <w:kern w:val="0"/>
              </w:rPr>
              <w:t>-</w:t>
            </w:r>
          </w:p>
        </w:tc>
      </w:tr>
      <w:tr w:rsidR="004B0883" w14:paraId="09E6237B" w14:textId="77777777">
        <w:trPr>
          <w:trHeight w:val="397"/>
          <w:jc w:val="center"/>
        </w:trPr>
        <w:tc>
          <w:tcPr>
            <w:tcW w:w="1883" w:type="dxa"/>
            <w:vAlign w:val="center"/>
          </w:tcPr>
          <w:p w14:paraId="6CD790AA" w14:textId="77777777" w:rsidR="004B0883" w:rsidRDefault="004B0883">
            <w:pPr>
              <w:adjustRightInd w:val="0"/>
              <w:snapToGrid w:val="0"/>
              <w:rPr>
                <w:b/>
                <w:bCs/>
                <w:kern w:val="0"/>
              </w:rPr>
            </w:pPr>
            <w:r>
              <w:rPr>
                <w:b/>
                <w:bCs/>
                <w:kern w:val="0"/>
              </w:rPr>
              <w:t>筹资活动现金流入小计</w:t>
            </w:r>
          </w:p>
        </w:tc>
        <w:tc>
          <w:tcPr>
            <w:tcW w:w="1660" w:type="dxa"/>
            <w:vAlign w:val="center"/>
          </w:tcPr>
          <w:p w14:paraId="24D5B2F6" w14:textId="77777777" w:rsidR="004B0883" w:rsidRDefault="004B0883">
            <w:pPr>
              <w:adjustRightInd w:val="0"/>
              <w:snapToGrid w:val="0"/>
              <w:jc w:val="right"/>
              <w:rPr>
                <w:b/>
                <w:bCs/>
                <w:kern w:val="0"/>
              </w:rPr>
            </w:pPr>
            <w:r>
              <w:rPr>
                <w:rFonts w:hint="eastAsia"/>
                <w:b/>
                <w:bCs/>
                <w:kern w:val="0"/>
              </w:rPr>
              <w:t>-</w:t>
            </w:r>
          </w:p>
        </w:tc>
        <w:tc>
          <w:tcPr>
            <w:tcW w:w="1661" w:type="dxa"/>
            <w:vAlign w:val="center"/>
          </w:tcPr>
          <w:p w14:paraId="353F4748" w14:textId="77777777" w:rsidR="004B0883" w:rsidRDefault="004B0883">
            <w:pPr>
              <w:adjustRightInd w:val="0"/>
              <w:snapToGrid w:val="0"/>
              <w:jc w:val="right"/>
              <w:rPr>
                <w:b/>
                <w:bCs/>
                <w:kern w:val="0"/>
              </w:rPr>
            </w:pPr>
            <w:r>
              <w:rPr>
                <w:rFonts w:hint="eastAsia"/>
                <w:b/>
                <w:bCs/>
                <w:kern w:val="0"/>
              </w:rPr>
              <w:t>7,198.85</w:t>
            </w:r>
          </w:p>
        </w:tc>
        <w:tc>
          <w:tcPr>
            <w:tcW w:w="1661" w:type="dxa"/>
            <w:vAlign w:val="center"/>
          </w:tcPr>
          <w:p w14:paraId="579E6CAC" w14:textId="77777777" w:rsidR="004B0883" w:rsidRDefault="004B0883">
            <w:pPr>
              <w:adjustRightInd w:val="0"/>
              <w:snapToGrid w:val="0"/>
              <w:jc w:val="right"/>
              <w:rPr>
                <w:b/>
                <w:bCs/>
                <w:kern w:val="0"/>
              </w:rPr>
            </w:pPr>
            <w:r>
              <w:rPr>
                <w:rFonts w:hint="eastAsia"/>
                <w:b/>
                <w:bCs/>
                <w:kern w:val="0"/>
              </w:rPr>
              <w:t>6,260.00</w:t>
            </w:r>
          </w:p>
        </w:tc>
        <w:tc>
          <w:tcPr>
            <w:tcW w:w="1661" w:type="dxa"/>
            <w:vAlign w:val="center"/>
          </w:tcPr>
          <w:p w14:paraId="73BBE251" w14:textId="77777777" w:rsidR="004B0883" w:rsidRDefault="004B0883">
            <w:pPr>
              <w:adjustRightInd w:val="0"/>
              <w:snapToGrid w:val="0"/>
              <w:jc w:val="right"/>
              <w:rPr>
                <w:b/>
                <w:bCs/>
                <w:kern w:val="0"/>
              </w:rPr>
            </w:pPr>
            <w:r>
              <w:rPr>
                <w:rFonts w:hint="eastAsia"/>
                <w:b/>
                <w:bCs/>
                <w:kern w:val="0"/>
              </w:rPr>
              <w:t>5,119.10</w:t>
            </w:r>
          </w:p>
        </w:tc>
      </w:tr>
      <w:tr w:rsidR="004B0883" w14:paraId="4B896CF3" w14:textId="77777777">
        <w:trPr>
          <w:trHeight w:val="397"/>
          <w:jc w:val="center"/>
        </w:trPr>
        <w:tc>
          <w:tcPr>
            <w:tcW w:w="1883" w:type="dxa"/>
            <w:vAlign w:val="center"/>
          </w:tcPr>
          <w:p w14:paraId="5CEBE871" w14:textId="77777777" w:rsidR="004B0883" w:rsidRDefault="004B0883">
            <w:pPr>
              <w:adjustRightInd w:val="0"/>
              <w:snapToGrid w:val="0"/>
              <w:rPr>
                <w:kern w:val="0"/>
              </w:rPr>
            </w:pPr>
            <w:r>
              <w:rPr>
                <w:kern w:val="0"/>
              </w:rPr>
              <w:t>偿还债务支付的现金</w:t>
            </w:r>
          </w:p>
        </w:tc>
        <w:tc>
          <w:tcPr>
            <w:tcW w:w="1660" w:type="dxa"/>
            <w:vAlign w:val="center"/>
          </w:tcPr>
          <w:p w14:paraId="6141312F" w14:textId="77777777" w:rsidR="004B0883" w:rsidRDefault="004B0883">
            <w:pPr>
              <w:adjustRightInd w:val="0"/>
              <w:snapToGrid w:val="0"/>
              <w:jc w:val="right"/>
              <w:rPr>
                <w:kern w:val="0"/>
              </w:rPr>
            </w:pPr>
            <w:r>
              <w:t>3,000.00</w:t>
            </w:r>
          </w:p>
        </w:tc>
        <w:tc>
          <w:tcPr>
            <w:tcW w:w="1661" w:type="dxa"/>
            <w:vAlign w:val="center"/>
          </w:tcPr>
          <w:p w14:paraId="1D08B4C3" w14:textId="77777777" w:rsidR="004B0883" w:rsidRDefault="004B0883">
            <w:pPr>
              <w:adjustRightInd w:val="0"/>
              <w:snapToGrid w:val="0"/>
              <w:jc w:val="right"/>
              <w:rPr>
                <w:kern w:val="0"/>
              </w:rPr>
            </w:pPr>
            <w:r>
              <w:rPr>
                <w:rFonts w:hint="eastAsia"/>
                <w:kern w:val="0"/>
              </w:rPr>
              <w:t>7,100.00</w:t>
            </w:r>
          </w:p>
        </w:tc>
        <w:tc>
          <w:tcPr>
            <w:tcW w:w="1661" w:type="dxa"/>
            <w:vAlign w:val="center"/>
          </w:tcPr>
          <w:p w14:paraId="720B6AC3" w14:textId="77777777" w:rsidR="004B0883" w:rsidRDefault="004B0883">
            <w:pPr>
              <w:adjustRightInd w:val="0"/>
              <w:snapToGrid w:val="0"/>
              <w:jc w:val="right"/>
              <w:rPr>
                <w:kern w:val="0"/>
              </w:rPr>
            </w:pPr>
            <w:r>
              <w:rPr>
                <w:rFonts w:hint="eastAsia"/>
                <w:kern w:val="0"/>
              </w:rPr>
              <w:t>6,685.92</w:t>
            </w:r>
          </w:p>
        </w:tc>
        <w:tc>
          <w:tcPr>
            <w:tcW w:w="1661" w:type="dxa"/>
            <w:vAlign w:val="center"/>
          </w:tcPr>
          <w:p w14:paraId="3B0BB772" w14:textId="77777777" w:rsidR="004B0883" w:rsidRDefault="004B0883">
            <w:pPr>
              <w:adjustRightInd w:val="0"/>
              <w:snapToGrid w:val="0"/>
              <w:jc w:val="right"/>
              <w:rPr>
                <w:kern w:val="0"/>
              </w:rPr>
            </w:pPr>
            <w:r>
              <w:rPr>
                <w:rFonts w:hint="eastAsia"/>
                <w:kern w:val="0"/>
              </w:rPr>
              <w:t>-</w:t>
            </w:r>
          </w:p>
        </w:tc>
      </w:tr>
      <w:tr w:rsidR="004B0883" w14:paraId="048F8E5C" w14:textId="77777777">
        <w:trPr>
          <w:trHeight w:val="397"/>
          <w:jc w:val="center"/>
        </w:trPr>
        <w:tc>
          <w:tcPr>
            <w:tcW w:w="1883" w:type="dxa"/>
            <w:vAlign w:val="center"/>
          </w:tcPr>
          <w:p w14:paraId="72258CA0" w14:textId="77777777" w:rsidR="004B0883" w:rsidRDefault="004B0883">
            <w:pPr>
              <w:adjustRightInd w:val="0"/>
              <w:snapToGrid w:val="0"/>
              <w:rPr>
                <w:kern w:val="0"/>
              </w:rPr>
            </w:pPr>
            <w:r>
              <w:rPr>
                <w:kern w:val="0"/>
              </w:rPr>
              <w:t>分配股利、利润或偿付利息支付的现金</w:t>
            </w:r>
          </w:p>
        </w:tc>
        <w:tc>
          <w:tcPr>
            <w:tcW w:w="1660" w:type="dxa"/>
            <w:vAlign w:val="center"/>
          </w:tcPr>
          <w:p w14:paraId="2590DAFA" w14:textId="77777777" w:rsidR="004B0883" w:rsidRDefault="004B0883">
            <w:pPr>
              <w:adjustRightInd w:val="0"/>
              <w:snapToGrid w:val="0"/>
              <w:jc w:val="right"/>
              <w:rPr>
                <w:kern w:val="0"/>
              </w:rPr>
            </w:pPr>
            <w:r>
              <w:t>5,080.99</w:t>
            </w:r>
          </w:p>
        </w:tc>
        <w:tc>
          <w:tcPr>
            <w:tcW w:w="1661" w:type="dxa"/>
            <w:vAlign w:val="center"/>
          </w:tcPr>
          <w:p w14:paraId="412D5E3F" w14:textId="77777777" w:rsidR="004B0883" w:rsidRDefault="004B0883">
            <w:pPr>
              <w:adjustRightInd w:val="0"/>
              <w:snapToGrid w:val="0"/>
              <w:jc w:val="right"/>
              <w:rPr>
                <w:kern w:val="0"/>
              </w:rPr>
            </w:pPr>
            <w:r>
              <w:rPr>
                <w:rFonts w:hint="eastAsia"/>
                <w:kern w:val="0"/>
              </w:rPr>
              <w:t>6,020.08</w:t>
            </w:r>
          </w:p>
        </w:tc>
        <w:tc>
          <w:tcPr>
            <w:tcW w:w="1661" w:type="dxa"/>
            <w:vAlign w:val="center"/>
          </w:tcPr>
          <w:p w14:paraId="04855DEC" w14:textId="77777777" w:rsidR="004B0883" w:rsidRDefault="004B0883">
            <w:pPr>
              <w:adjustRightInd w:val="0"/>
              <w:snapToGrid w:val="0"/>
              <w:jc w:val="right"/>
              <w:rPr>
                <w:kern w:val="0"/>
              </w:rPr>
            </w:pPr>
            <w:r>
              <w:rPr>
                <w:rFonts w:hint="eastAsia"/>
                <w:kern w:val="0"/>
              </w:rPr>
              <w:t>5,330.94</w:t>
            </w:r>
          </w:p>
        </w:tc>
        <w:tc>
          <w:tcPr>
            <w:tcW w:w="1661" w:type="dxa"/>
            <w:vAlign w:val="center"/>
          </w:tcPr>
          <w:p w14:paraId="0B70E1B5" w14:textId="77777777" w:rsidR="004B0883" w:rsidRDefault="004B0883">
            <w:pPr>
              <w:adjustRightInd w:val="0"/>
              <w:snapToGrid w:val="0"/>
              <w:jc w:val="right"/>
              <w:rPr>
                <w:kern w:val="0"/>
              </w:rPr>
            </w:pPr>
            <w:r>
              <w:rPr>
                <w:rFonts w:hint="eastAsia"/>
                <w:kern w:val="0"/>
              </w:rPr>
              <w:t>5,292.17</w:t>
            </w:r>
          </w:p>
        </w:tc>
      </w:tr>
      <w:tr w:rsidR="004B0883" w14:paraId="30A84A26" w14:textId="77777777">
        <w:trPr>
          <w:trHeight w:val="397"/>
          <w:jc w:val="center"/>
        </w:trPr>
        <w:tc>
          <w:tcPr>
            <w:tcW w:w="1883" w:type="dxa"/>
            <w:vAlign w:val="center"/>
          </w:tcPr>
          <w:p w14:paraId="12551C57" w14:textId="77777777" w:rsidR="004B0883" w:rsidRDefault="004B0883">
            <w:pPr>
              <w:adjustRightInd w:val="0"/>
              <w:snapToGrid w:val="0"/>
              <w:rPr>
                <w:kern w:val="0"/>
              </w:rPr>
            </w:pPr>
            <w:r>
              <w:rPr>
                <w:kern w:val="0"/>
              </w:rPr>
              <w:t>支付其他与筹资活动有关的现金</w:t>
            </w:r>
          </w:p>
        </w:tc>
        <w:tc>
          <w:tcPr>
            <w:tcW w:w="1660" w:type="dxa"/>
            <w:vAlign w:val="center"/>
          </w:tcPr>
          <w:p w14:paraId="662D02EE" w14:textId="77777777" w:rsidR="004B0883" w:rsidRDefault="004B0883">
            <w:pPr>
              <w:adjustRightInd w:val="0"/>
              <w:snapToGrid w:val="0"/>
              <w:jc w:val="right"/>
              <w:rPr>
                <w:kern w:val="0"/>
              </w:rPr>
            </w:pPr>
            <w:r>
              <w:t>72.12</w:t>
            </w:r>
          </w:p>
        </w:tc>
        <w:tc>
          <w:tcPr>
            <w:tcW w:w="1661" w:type="dxa"/>
            <w:vAlign w:val="center"/>
          </w:tcPr>
          <w:p w14:paraId="67D64FAE" w14:textId="77777777" w:rsidR="004B0883" w:rsidRDefault="004B0883">
            <w:pPr>
              <w:adjustRightInd w:val="0"/>
              <w:snapToGrid w:val="0"/>
              <w:jc w:val="right"/>
              <w:rPr>
                <w:kern w:val="0"/>
              </w:rPr>
            </w:pPr>
            <w:r>
              <w:rPr>
                <w:rFonts w:hint="eastAsia"/>
                <w:kern w:val="0"/>
              </w:rPr>
              <w:t>72.31</w:t>
            </w:r>
          </w:p>
        </w:tc>
        <w:tc>
          <w:tcPr>
            <w:tcW w:w="1661" w:type="dxa"/>
            <w:vAlign w:val="center"/>
          </w:tcPr>
          <w:p w14:paraId="23BBC3A5" w14:textId="77777777" w:rsidR="004B0883" w:rsidRDefault="004B0883">
            <w:pPr>
              <w:adjustRightInd w:val="0"/>
              <w:snapToGrid w:val="0"/>
              <w:jc w:val="right"/>
              <w:rPr>
                <w:kern w:val="0"/>
              </w:rPr>
            </w:pPr>
            <w:r>
              <w:rPr>
                <w:rFonts w:hint="eastAsia"/>
                <w:kern w:val="0"/>
              </w:rPr>
              <w:t>3,085.02</w:t>
            </w:r>
          </w:p>
        </w:tc>
        <w:tc>
          <w:tcPr>
            <w:tcW w:w="1661" w:type="dxa"/>
            <w:vAlign w:val="center"/>
          </w:tcPr>
          <w:p w14:paraId="754D46F6" w14:textId="77777777" w:rsidR="004B0883" w:rsidRDefault="004B0883">
            <w:pPr>
              <w:adjustRightInd w:val="0"/>
              <w:snapToGrid w:val="0"/>
              <w:jc w:val="right"/>
              <w:rPr>
                <w:kern w:val="0"/>
              </w:rPr>
            </w:pPr>
            <w:r>
              <w:rPr>
                <w:rFonts w:hint="eastAsia"/>
                <w:kern w:val="0"/>
              </w:rPr>
              <w:t>37.09</w:t>
            </w:r>
          </w:p>
        </w:tc>
      </w:tr>
      <w:tr w:rsidR="004B0883" w14:paraId="21F8C6A5" w14:textId="77777777">
        <w:trPr>
          <w:trHeight w:val="397"/>
          <w:jc w:val="center"/>
        </w:trPr>
        <w:tc>
          <w:tcPr>
            <w:tcW w:w="1883" w:type="dxa"/>
            <w:vAlign w:val="center"/>
          </w:tcPr>
          <w:p w14:paraId="4331542B" w14:textId="77777777" w:rsidR="004B0883" w:rsidRDefault="004B0883">
            <w:pPr>
              <w:adjustRightInd w:val="0"/>
              <w:snapToGrid w:val="0"/>
              <w:rPr>
                <w:b/>
                <w:bCs/>
                <w:kern w:val="0"/>
              </w:rPr>
            </w:pPr>
            <w:r>
              <w:rPr>
                <w:b/>
                <w:bCs/>
                <w:kern w:val="0"/>
              </w:rPr>
              <w:t>筹资活动现金流出小计</w:t>
            </w:r>
          </w:p>
        </w:tc>
        <w:tc>
          <w:tcPr>
            <w:tcW w:w="1660" w:type="dxa"/>
            <w:vAlign w:val="center"/>
          </w:tcPr>
          <w:p w14:paraId="5676D095" w14:textId="77777777" w:rsidR="004B0883" w:rsidRDefault="004B0883">
            <w:pPr>
              <w:adjustRightInd w:val="0"/>
              <w:snapToGrid w:val="0"/>
              <w:jc w:val="right"/>
              <w:rPr>
                <w:b/>
                <w:bCs/>
                <w:kern w:val="0"/>
              </w:rPr>
            </w:pPr>
            <w:r>
              <w:rPr>
                <w:b/>
                <w:bCs/>
              </w:rPr>
              <w:t>8,153.10</w:t>
            </w:r>
          </w:p>
        </w:tc>
        <w:tc>
          <w:tcPr>
            <w:tcW w:w="1661" w:type="dxa"/>
            <w:vAlign w:val="center"/>
          </w:tcPr>
          <w:p w14:paraId="272CD19A" w14:textId="77777777" w:rsidR="004B0883" w:rsidRDefault="004B0883">
            <w:pPr>
              <w:adjustRightInd w:val="0"/>
              <w:snapToGrid w:val="0"/>
              <w:jc w:val="right"/>
              <w:rPr>
                <w:b/>
                <w:bCs/>
                <w:kern w:val="0"/>
              </w:rPr>
            </w:pPr>
            <w:r>
              <w:rPr>
                <w:rFonts w:hint="eastAsia"/>
                <w:b/>
                <w:bCs/>
                <w:kern w:val="0"/>
              </w:rPr>
              <w:t>13,192.39</w:t>
            </w:r>
          </w:p>
        </w:tc>
        <w:tc>
          <w:tcPr>
            <w:tcW w:w="1661" w:type="dxa"/>
            <w:vAlign w:val="center"/>
          </w:tcPr>
          <w:p w14:paraId="7D71C2E1" w14:textId="77777777" w:rsidR="004B0883" w:rsidRDefault="004B0883">
            <w:pPr>
              <w:adjustRightInd w:val="0"/>
              <w:snapToGrid w:val="0"/>
              <w:jc w:val="right"/>
              <w:rPr>
                <w:b/>
                <w:bCs/>
                <w:kern w:val="0"/>
              </w:rPr>
            </w:pPr>
            <w:r>
              <w:rPr>
                <w:rFonts w:hint="eastAsia"/>
                <w:b/>
                <w:bCs/>
                <w:kern w:val="0"/>
              </w:rPr>
              <w:t>15,101.88</w:t>
            </w:r>
          </w:p>
        </w:tc>
        <w:tc>
          <w:tcPr>
            <w:tcW w:w="1661" w:type="dxa"/>
            <w:vAlign w:val="center"/>
          </w:tcPr>
          <w:p w14:paraId="104E2BF3" w14:textId="77777777" w:rsidR="004B0883" w:rsidRDefault="004B0883">
            <w:pPr>
              <w:adjustRightInd w:val="0"/>
              <w:snapToGrid w:val="0"/>
              <w:jc w:val="right"/>
              <w:rPr>
                <w:b/>
                <w:bCs/>
                <w:kern w:val="0"/>
              </w:rPr>
            </w:pPr>
            <w:r>
              <w:rPr>
                <w:rFonts w:hint="eastAsia"/>
                <w:b/>
                <w:bCs/>
                <w:kern w:val="0"/>
              </w:rPr>
              <w:t>5,329.26</w:t>
            </w:r>
          </w:p>
        </w:tc>
      </w:tr>
      <w:tr w:rsidR="004B0883" w14:paraId="69725BA1" w14:textId="77777777">
        <w:trPr>
          <w:trHeight w:val="397"/>
          <w:jc w:val="center"/>
        </w:trPr>
        <w:tc>
          <w:tcPr>
            <w:tcW w:w="1883" w:type="dxa"/>
            <w:vAlign w:val="center"/>
          </w:tcPr>
          <w:p w14:paraId="5FE978B6" w14:textId="77777777" w:rsidR="004B0883" w:rsidRDefault="004B0883">
            <w:pPr>
              <w:adjustRightInd w:val="0"/>
              <w:snapToGrid w:val="0"/>
              <w:rPr>
                <w:b/>
                <w:bCs/>
                <w:kern w:val="0"/>
              </w:rPr>
            </w:pPr>
            <w:r>
              <w:rPr>
                <w:b/>
                <w:bCs/>
                <w:kern w:val="0"/>
              </w:rPr>
              <w:t>筹资活动产生的现金流量净额</w:t>
            </w:r>
          </w:p>
        </w:tc>
        <w:tc>
          <w:tcPr>
            <w:tcW w:w="1660" w:type="dxa"/>
            <w:vAlign w:val="center"/>
          </w:tcPr>
          <w:p w14:paraId="1AC8D6FB" w14:textId="77777777" w:rsidR="004B0883" w:rsidRDefault="004B0883">
            <w:pPr>
              <w:adjustRightInd w:val="0"/>
              <w:snapToGrid w:val="0"/>
              <w:jc w:val="right"/>
              <w:rPr>
                <w:b/>
                <w:bCs/>
                <w:kern w:val="0"/>
              </w:rPr>
            </w:pPr>
            <w:r>
              <w:rPr>
                <w:b/>
                <w:bCs/>
              </w:rPr>
              <w:t>-8,153.10</w:t>
            </w:r>
          </w:p>
        </w:tc>
        <w:tc>
          <w:tcPr>
            <w:tcW w:w="1661" w:type="dxa"/>
            <w:vAlign w:val="center"/>
          </w:tcPr>
          <w:p w14:paraId="25EC0E23" w14:textId="77777777" w:rsidR="004B0883" w:rsidRDefault="004B0883">
            <w:pPr>
              <w:adjustRightInd w:val="0"/>
              <w:snapToGrid w:val="0"/>
              <w:jc w:val="right"/>
              <w:rPr>
                <w:b/>
                <w:bCs/>
                <w:kern w:val="0"/>
              </w:rPr>
            </w:pPr>
            <w:r>
              <w:rPr>
                <w:rFonts w:hint="eastAsia"/>
                <w:b/>
                <w:bCs/>
                <w:kern w:val="0"/>
              </w:rPr>
              <w:t>-5,993.55</w:t>
            </w:r>
          </w:p>
        </w:tc>
        <w:tc>
          <w:tcPr>
            <w:tcW w:w="1661" w:type="dxa"/>
            <w:vAlign w:val="center"/>
          </w:tcPr>
          <w:p w14:paraId="6BE71BF8" w14:textId="77777777" w:rsidR="004B0883" w:rsidRDefault="004B0883">
            <w:pPr>
              <w:adjustRightInd w:val="0"/>
              <w:snapToGrid w:val="0"/>
              <w:jc w:val="right"/>
              <w:rPr>
                <w:b/>
                <w:bCs/>
                <w:kern w:val="0"/>
              </w:rPr>
            </w:pPr>
            <w:r>
              <w:rPr>
                <w:rFonts w:hint="eastAsia"/>
                <w:b/>
                <w:bCs/>
                <w:kern w:val="0"/>
              </w:rPr>
              <w:t>-8,841.88</w:t>
            </w:r>
          </w:p>
        </w:tc>
        <w:tc>
          <w:tcPr>
            <w:tcW w:w="1661" w:type="dxa"/>
            <w:vAlign w:val="center"/>
          </w:tcPr>
          <w:p w14:paraId="1C28EF55" w14:textId="77777777" w:rsidR="004B0883" w:rsidRDefault="004B0883">
            <w:pPr>
              <w:adjustRightInd w:val="0"/>
              <w:snapToGrid w:val="0"/>
              <w:jc w:val="right"/>
              <w:rPr>
                <w:b/>
                <w:bCs/>
                <w:kern w:val="0"/>
              </w:rPr>
            </w:pPr>
            <w:r>
              <w:rPr>
                <w:rFonts w:hint="eastAsia"/>
                <w:b/>
                <w:bCs/>
                <w:kern w:val="0"/>
              </w:rPr>
              <w:t>-210.16</w:t>
            </w:r>
          </w:p>
        </w:tc>
      </w:tr>
      <w:tr w:rsidR="004B0883" w14:paraId="173FBE2E" w14:textId="77777777">
        <w:trPr>
          <w:trHeight w:val="397"/>
          <w:jc w:val="center"/>
        </w:trPr>
        <w:tc>
          <w:tcPr>
            <w:tcW w:w="1883" w:type="dxa"/>
            <w:vAlign w:val="center"/>
          </w:tcPr>
          <w:p w14:paraId="633221D4" w14:textId="77777777" w:rsidR="004B0883" w:rsidRDefault="004B0883">
            <w:pPr>
              <w:adjustRightInd w:val="0"/>
              <w:snapToGrid w:val="0"/>
              <w:rPr>
                <w:b/>
                <w:bCs/>
                <w:kern w:val="0"/>
              </w:rPr>
            </w:pPr>
            <w:r>
              <w:rPr>
                <w:b/>
                <w:bCs/>
                <w:kern w:val="0"/>
              </w:rPr>
              <w:t>四、汇率变动对现金及现金等价物的影响</w:t>
            </w:r>
          </w:p>
        </w:tc>
        <w:tc>
          <w:tcPr>
            <w:tcW w:w="1660" w:type="dxa"/>
            <w:vAlign w:val="center"/>
          </w:tcPr>
          <w:p w14:paraId="1548A2E7" w14:textId="77777777" w:rsidR="004B0883" w:rsidRDefault="004B0883">
            <w:pPr>
              <w:adjustRightInd w:val="0"/>
              <w:snapToGrid w:val="0"/>
              <w:jc w:val="right"/>
              <w:rPr>
                <w:b/>
                <w:bCs/>
                <w:kern w:val="0"/>
              </w:rPr>
            </w:pPr>
            <w:r>
              <w:rPr>
                <w:b/>
                <w:bCs/>
              </w:rPr>
              <w:t>-177.68</w:t>
            </w:r>
          </w:p>
        </w:tc>
        <w:tc>
          <w:tcPr>
            <w:tcW w:w="1661" w:type="dxa"/>
            <w:vAlign w:val="center"/>
          </w:tcPr>
          <w:p w14:paraId="1E9E2613" w14:textId="77777777" w:rsidR="004B0883" w:rsidRDefault="004B0883">
            <w:pPr>
              <w:adjustRightInd w:val="0"/>
              <w:snapToGrid w:val="0"/>
              <w:jc w:val="right"/>
              <w:rPr>
                <w:b/>
                <w:bCs/>
                <w:kern w:val="0"/>
              </w:rPr>
            </w:pPr>
            <w:r>
              <w:rPr>
                <w:rFonts w:hint="eastAsia"/>
                <w:b/>
                <w:bCs/>
                <w:kern w:val="0"/>
              </w:rPr>
              <w:t>231.53</w:t>
            </w:r>
          </w:p>
        </w:tc>
        <w:tc>
          <w:tcPr>
            <w:tcW w:w="1661" w:type="dxa"/>
            <w:vAlign w:val="center"/>
          </w:tcPr>
          <w:p w14:paraId="34277C8C" w14:textId="77777777" w:rsidR="004B0883" w:rsidRDefault="004B0883">
            <w:pPr>
              <w:adjustRightInd w:val="0"/>
              <w:snapToGrid w:val="0"/>
              <w:jc w:val="right"/>
              <w:rPr>
                <w:b/>
                <w:bCs/>
                <w:kern w:val="0"/>
              </w:rPr>
            </w:pPr>
            <w:r>
              <w:rPr>
                <w:rFonts w:hint="eastAsia"/>
                <w:b/>
                <w:bCs/>
                <w:kern w:val="0"/>
              </w:rPr>
              <w:t>-62.55</w:t>
            </w:r>
          </w:p>
        </w:tc>
        <w:tc>
          <w:tcPr>
            <w:tcW w:w="1661" w:type="dxa"/>
            <w:vAlign w:val="center"/>
          </w:tcPr>
          <w:p w14:paraId="69E1D1EF" w14:textId="77777777" w:rsidR="004B0883" w:rsidRDefault="004B0883">
            <w:pPr>
              <w:adjustRightInd w:val="0"/>
              <w:snapToGrid w:val="0"/>
              <w:jc w:val="right"/>
              <w:rPr>
                <w:b/>
                <w:bCs/>
                <w:kern w:val="0"/>
              </w:rPr>
            </w:pPr>
            <w:r>
              <w:rPr>
                <w:rFonts w:hint="eastAsia"/>
                <w:b/>
                <w:bCs/>
                <w:kern w:val="0"/>
              </w:rPr>
              <w:t>-75.73</w:t>
            </w:r>
          </w:p>
        </w:tc>
      </w:tr>
      <w:tr w:rsidR="004B0883" w14:paraId="5BCB9B05" w14:textId="77777777">
        <w:trPr>
          <w:trHeight w:val="397"/>
          <w:jc w:val="center"/>
        </w:trPr>
        <w:tc>
          <w:tcPr>
            <w:tcW w:w="1883" w:type="dxa"/>
            <w:vAlign w:val="center"/>
          </w:tcPr>
          <w:p w14:paraId="036FA3F6" w14:textId="77777777" w:rsidR="004B0883" w:rsidRDefault="004B0883">
            <w:pPr>
              <w:adjustRightInd w:val="0"/>
              <w:snapToGrid w:val="0"/>
              <w:rPr>
                <w:b/>
                <w:bCs/>
                <w:kern w:val="0"/>
              </w:rPr>
            </w:pPr>
            <w:r>
              <w:rPr>
                <w:b/>
                <w:bCs/>
                <w:kern w:val="0"/>
              </w:rPr>
              <w:t>五、现金及现金等价物净增加额</w:t>
            </w:r>
          </w:p>
        </w:tc>
        <w:tc>
          <w:tcPr>
            <w:tcW w:w="1660" w:type="dxa"/>
            <w:vAlign w:val="center"/>
          </w:tcPr>
          <w:p w14:paraId="6CF1BF26" w14:textId="77777777" w:rsidR="004B0883" w:rsidRDefault="004B0883">
            <w:pPr>
              <w:adjustRightInd w:val="0"/>
              <w:snapToGrid w:val="0"/>
              <w:jc w:val="right"/>
              <w:rPr>
                <w:b/>
                <w:bCs/>
                <w:kern w:val="0"/>
              </w:rPr>
            </w:pPr>
            <w:r>
              <w:rPr>
                <w:b/>
                <w:bCs/>
              </w:rPr>
              <w:t>-11,702.92</w:t>
            </w:r>
          </w:p>
        </w:tc>
        <w:tc>
          <w:tcPr>
            <w:tcW w:w="1661" w:type="dxa"/>
            <w:vAlign w:val="center"/>
          </w:tcPr>
          <w:p w14:paraId="113F0A25" w14:textId="77777777" w:rsidR="004B0883" w:rsidRDefault="004B0883">
            <w:pPr>
              <w:adjustRightInd w:val="0"/>
              <w:snapToGrid w:val="0"/>
              <w:jc w:val="right"/>
              <w:rPr>
                <w:b/>
                <w:bCs/>
                <w:kern w:val="0"/>
              </w:rPr>
            </w:pPr>
            <w:r>
              <w:rPr>
                <w:rFonts w:hint="eastAsia"/>
                <w:b/>
                <w:bCs/>
                <w:kern w:val="0"/>
              </w:rPr>
              <w:t>8,175.70</w:t>
            </w:r>
          </w:p>
        </w:tc>
        <w:tc>
          <w:tcPr>
            <w:tcW w:w="1661" w:type="dxa"/>
            <w:vAlign w:val="center"/>
          </w:tcPr>
          <w:p w14:paraId="3A74F24D" w14:textId="77777777" w:rsidR="004B0883" w:rsidRDefault="004B0883">
            <w:pPr>
              <w:adjustRightInd w:val="0"/>
              <w:snapToGrid w:val="0"/>
              <w:jc w:val="right"/>
              <w:rPr>
                <w:b/>
                <w:bCs/>
                <w:kern w:val="0"/>
              </w:rPr>
            </w:pPr>
            <w:r>
              <w:rPr>
                <w:rFonts w:hint="eastAsia"/>
                <w:b/>
                <w:bCs/>
                <w:kern w:val="0"/>
              </w:rPr>
              <w:t>3,369.52</w:t>
            </w:r>
          </w:p>
        </w:tc>
        <w:tc>
          <w:tcPr>
            <w:tcW w:w="1661" w:type="dxa"/>
            <w:vAlign w:val="center"/>
          </w:tcPr>
          <w:p w14:paraId="33804B0A" w14:textId="77777777" w:rsidR="004B0883" w:rsidRDefault="004B0883">
            <w:pPr>
              <w:adjustRightInd w:val="0"/>
              <w:snapToGrid w:val="0"/>
              <w:jc w:val="right"/>
              <w:rPr>
                <w:b/>
                <w:bCs/>
                <w:kern w:val="0"/>
              </w:rPr>
            </w:pPr>
            <w:r>
              <w:rPr>
                <w:rFonts w:hint="eastAsia"/>
                <w:b/>
                <w:bCs/>
                <w:kern w:val="0"/>
              </w:rPr>
              <w:t>-1,117.04</w:t>
            </w:r>
          </w:p>
        </w:tc>
      </w:tr>
      <w:tr w:rsidR="004B0883" w14:paraId="66C574F7" w14:textId="77777777">
        <w:trPr>
          <w:trHeight w:val="397"/>
          <w:jc w:val="center"/>
        </w:trPr>
        <w:tc>
          <w:tcPr>
            <w:tcW w:w="1883" w:type="dxa"/>
            <w:vAlign w:val="center"/>
          </w:tcPr>
          <w:p w14:paraId="2D06E73C" w14:textId="77777777" w:rsidR="004B0883" w:rsidRDefault="004B0883">
            <w:pPr>
              <w:adjustRightInd w:val="0"/>
              <w:snapToGrid w:val="0"/>
              <w:rPr>
                <w:kern w:val="0"/>
              </w:rPr>
            </w:pPr>
            <w:r>
              <w:rPr>
                <w:kern w:val="0"/>
              </w:rPr>
              <w:t>加：期初现金及现金等价物余额</w:t>
            </w:r>
          </w:p>
        </w:tc>
        <w:tc>
          <w:tcPr>
            <w:tcW w:w="1660" w:type="dxa"/>
            <w:vAlign w:val="center"/>
          </w:tcPr>
          <w:p w14:paraId="7CE1A928" w14:textId="77777777" w:rsidR="004B0883" w:rsidRDefault="004B0883">
            <w:pPr>
              <w:adjustRightInd w:val="0"/>
              <w:snapToGrid w:val="0"/>
              <w:jc w:val="right"/>
              <w:rPr>
                <w:kern w:val="0"/>
              </w:rPr>
            </w:pPr>
            <w:r>
              <w:t>14,717.24</w:t>
            </w:r>
          </w:p>
        </w:tc>
        <w:tc>
          <w:tcPr>
            <w:tcW w:w="1661" w:type="dxa"/>
            <w:vAlign w:val="center"/>
          </w:tcPr>
          <w:p w14:paraId="782364DB" w14:textId="77777777" w:rsidR="004B0883" w:rsidRDefault="004B0883">
            <w:pPr>
              <w:adjustRightInd w:val="0"/>
              <w:snapToGrid w:val="0"/>
              <w:jc w:val="right"/>
              <w:rPr>
                <w:kern w:val="0"/>
              </w:rPr>
            </w:pPr>
            <w:r>
              <w:rPr>
                <w:rFonts w:hint="eastAsia"/>
                <w:kern w:val="0"/>
              </w:rPr>
              <w:t>6,541.54</w:t>
            </w:r>
          </w:p>
        </w:tc>
        <w:tc>
          <w:tcPr>
            <w:tcW w:w="1661" w:type="dxa"/>
            <w:vAlign w:val="center"/>
          </w:tcPr>
          <w:p w14:paraId="00E1132F" w14:textId="77777777" w:rsidR="004B0883" w:rsidRDefault="004B0883">
            <w:pPr>
              <w:adjustRightInd w:val="0"/>
              <w:snapToGrid w:val="0"/>
              <w:jc w:val="right"/>
              <w:rPr>
                <w:kern w:val="0"/>
              </w:rPr>
            </w:pPr>
            <w:r>
              <w:rPr>
                <w:rFonts w:hint="eastAsia"/>
                <w:kern w:val="0"/>
              </w:rPr>
              <w:t>3,172.02</w:t>
            </w:r>
          </w:p>
        </w:tc>
        <w:tc>
          <w:tcPr>
            <w:tcW w:w="1661" w:type="dxa"/>
            <w:vAlign w:val="center"/>
          </w:tcPr>
          <w:p w14:paraId="55A99BA9" w14:textId="77777777" w:rsidR="004B0883" w:rsidRDefault="004B0883">
            <w:pPr>
              <w:adjustRightInd w:val="0"/>
              <w:snapToGrid w:val="0"/>
              <w:jc w:val="right"/>
              <w:rPr>
                <w:kern w:val="0"/>
              </w:rPr>
            </w:pPr>
            <w:r>
              <w:rPr>
                <w:rFonts w:hint="eastAsia"/>
                <w:kern w:val="0"/>
              </w:rPr>
              <w:t>4,289.06</w:t>
            </w:r>
          </w:p>
        </w:tc>
      </w:tr>
      <w:tr w:rsidR="004B0883" w14:paraId="277CF7AE" w14:textId="77777777">
        <w:trPr>
          <w:trHeight w:val="397"/>
          <w:jc w:val="center"/>
        </w:trPr>
        <w:tc>
          <w:tcPr>
            <w:tcW w:w="1883" w:type="dxa"/>
            <w:vAlign w:val="center"/>
          </w:tcPr>
          <w:p w14:paraId="4025137A" w14:textId="77777777" w:rsidR="004B0883" w:rsidRDefault="004B0883">
            <w:pPr>
              <w:adjustRightInd w:val="0"/>
              <w:snapToGrid w:val="0"/>
              <w:rPr>
                <w:b/>
                <w:bCs/>
                <w:kern w:val="0"/>
              </w:rPr>
            </w:pPr>
            <w:r>
              <w:rPr>
                <w:b/>
                <w:bCs/>
                <w:kern w:val="0"/>
              </w:rPr>
              <w:t>六、期末现金及现金等价物余额</w:t>
            </w:r>
          </w:p>
        </w:tc>
        <w:tc>
          <w:tcPr>
            <w:tcW w:w="1660" w:type="dxa"/>
            <w:vAlign w:val="center"/>
          </w:tcPr>
          <w:p w14:paraId="696910CD" w14:textId="77777777" w:rsidR="004B0883" w:rsidRDefault="004B0883">
            <w:pPr>
              <w:adjustRightInd w:val="0"/>
              <w:snapToGrid w:val="0"/>
              <w:jc w:val="right"/>
              <w:rPr>
                <w:b/>
                <w:bCs/>
                <w:kern w:val="0"/>
              </w:rPr>
            </w:pPr>
            <w:r>
              <w:rPr>
                <w:b/>
                <w:bCs/>
              </w:rPr>
              <w:t>3,014.32</w:t>
            </w:r>
          </w:p>
        </w:tc>
        <w:tc>
          <w:tcPr>
            <w:tcW w:w="1661" w:type="dxa"/>
            <w:vAlign w:val="center"/>
          </w:tcPr>
          <w:p w14:paraId="7EB66E5F" w14:textId="77777777" w:rsidR="004B0883" w:rsidRDefault="004B0883">
            <w:pPr>
              <w:adjustRightInd w:val="0"/>
              <w:snapToGrid w:val="0"/>
              <w:jc w:val="right"/>
              <w:rPr>
                <w:b/>
                <w:bCs/>
                <w:kern w:val="0"/>
              </w:rPr>
            </w:pPr>
            <w:r>
              <w:rPr>
                <w:rFonts w:hint="eastAsia"/>
                <w:b/>
                <w:bCs/>
                <w:kern w:val="0"/>
              </w:rPr>
              <w:t>14,717.24</w:t>
            </w:r>
          </w:p>
        </w:tc>
        <w:tc>
          <w:tcPr>
            <w:tcW w:w="1661" w:type="dxa"/>
            <w:vAlign w:val="center"/>
          </w:tcPr>
          <w:p w14:paraId="37B533EA" w14:textId="77777777" w:rsidR="004B0883" w:rsidRDefault="004B0883">
            <w:pPr>
              <w:adjustRightInd w:val="0"/>
              <w:snapToGrid w:val="0"/>
              <w:jc w:val="right"/>
              <w:rPr>
                <w:b/>
                <w:bCs/>
                <w:kern w:val="0"/>
              </w:rPr>
            </w:pPr>
            <w:r>
              <w:rPr>
                <w:rFonts w:hint="eastAsia"/>
                <w:b/>
                <w:bCs/>
                <w:kern w:val="0"/>
              </w:rPr>
              <w:t>6,541.54</w:t>
            </w:r>
          </w:p>
        </w:tc>
        <w:tc>
          <w:tcPr>
            <w:tcW w:w="1661" w:type="dxa"/>
            <w:vAlign w:val="center"/>
          </w:tcPr>
          <w:p w14:paraId="3D956629" w14:textId="77777777" w:rsidR="004B0883" w:rsidRDefault="004B0883">
            <w:pPr>
              <w:adjustRightInd w:val="0"/>
              <w:snapToGrid w:val="0"/>
              <w:jc w:val="right"/>
              <w:rPr>
                <w:b/>
                <w:bCs/>
                <w:kern w:val="0"/>
              </w:rPr>
            </w:pPr>
            <w:r>
              <w:rPr>
                <w:rFonts w:hint="eastAsia"/>
                <w:b/>
                <w:bCs/>
                <w:kern w:val="0"/>
              </w:rPr>
              <w:t>3,172.02</w:t>
            </w:r>
          </w:p>
        </w:tc>
      </w:tr>
    </w:tbl>
    <w:p w14:paraId="00369E50" w14:textId="77777777" w:rsidR="004B0883" w:rsidRDefault="004B0883">
      <w:pPr>
        <w:pStyle w:val="002"/>
        <w:spacing w:before="120" w:after="120"/>
        <w:rPr>
          <w:rFonts w:hint="eastAsia"/>
        </w:rPr>
      </w:pPr>
      <w:bookmarkStart w:id="300" w:name="_Toc152320806"/>
      <w:r>
        <w:rPr>
          <w:rFonts w:hint="eastAsia"/>
        </w:rPr>
        <w:t>三、财务报表的编制基础、合并财务报表范围及其变化情况</w:t>
      </w:r>
      <w:bookmarkEnd w:id="300"/>
    </w:p>
    <w:p w14:paraId="4A641D35" w14:textId="77777777" w:rsidR="004B0883" w:rsidRDefault="004B0883">
      <w:pPr>
        <w:pStyle w:val="003"/>
        <w:spacing w:before="120" w:after="120"/>
        <w:rPr>
          <w:rFonts w:hint="eastAsia"/>
          <w:kern w:val="0"/>
        </w:rPr>
      </w:pPr>
      <w:r>
        <w:rPr>
          <w:rFonts w:hint="eastAsia"/>
          <w:kern w:val="0"/>
        </w:rPr>
        <w:t>（一）财务报表的编制基础</w:t>
      </w:r>
    </w:p>
    <w:p w14:paraId="7DC1524B" w14:textId="77777777" w:rsidR="004B0883" w:rsidRDefault="004B0883">
      <w:pPr>
        <w:pStyle w:val="005"/>
        <w:spacing w:before="120"/>
        <w:ind w:firstLine="480"/>
        <w:rPr>
          <w:rFonts w:hint="eastAsia"/>
          <w:kern w:val="0"/>
        </w:rPr>
      </w:pPr>
      <w:r>
        <w:rPr>
          <w:rFonts w:hint="eastAsia"/>
          <w:kern w:val="0"/>
        </w:rPr>
        <w:t>公司以持续经营假设为基础，根据实际发生的交易事项，按照企业会计准则的有关规定，并基于相关重要会计政策、会计估计进行编制。</w:t>
      </w:r>
    </w:p>
    <w:p w14:paraId="7C7EFFE1" w14:textId="77777777" w:rsidR="004B0883" w:rsidRDefault="004B0883">
      <w:pPr>
        <w:pStyle w:val="003"/>
        <w:spacing w:before="120" w:after="120"/>
        <w:rPr>
          <w:rFonts w:hint="eastAsia"/>
          <w:kern w:val="0"/>
        </w:rPr>
      </w:pPr>
      <w:r>
        <w:rPr>
          <w:rFonts w:hint="eastAsia"/>
          <w:kern w:val="0"/>
        </w:rPr>
        <w:t>（二）合并范围的确定原则</w:t>
      </w:r>
    </w:p>
    <w:p w14:paraId="2F2B45AA" w14:textId="77777777" w:rsidR="004B0883" w:rsidRDefault="004B0883">
      <w:pPr>
        <w:pStyle w:val="005"/>
        <w:spacing w:before="120"/>
        <w:ind w:firstLine="480"/>
        <w:rPr>
          <w:rFonts w:hint="eastAsia"/>
          <w:kern w:val="0"/>
        </w:rPr>
      </w:pPr>
      <w:r>
        <w:rPr>
          <w:rFonts w:hint="eastAsia"/>
          <w:kern w:val="0"/>
        </w:rPr>
        <w:t>合并财务报表的合并范围以控制为基础予以确定，不仅包括根据表决权（或类似权利）本身或者结合其他安排确定的子公司，也包括基于一项或多项合同安排决定的结构化主体。控制，是指投资方拥有对被投资方的权力，通过参与被投资方的相关活动而享有可变回报，并且有能力运用对被投资方的权力影响其回报金额。</w:t>
      </w:r>
    </w:p>
    <w:p w14:paraId="2A1C4607" w14:textId="77777777" w:rsidR="004B0883" w:rsidRDefault="004B0883">
      <w:pPr>
        <w:pStyle w:val="003"/>
        <w:spacing w:before="120" w:after="120"/>
      </w:pPr>
      <w:r>
        <w:rPr>
          <w:rFonts w:hint="eastAsia"/>
        </w:rPr>
        <w:t>（三）合并财务报表范围</w:t>
      </w:r>
    </w:p>
    <w:p w14:paraId="19B74806" w14:textId="77777777" w:rsidR="004B0883" w:rsidRDefault="004B0883">
      <w:pPr>
        <w:pStyle w:val="005"/>
        <w:spacing w:before="120"/>
        <w:ind w:firstLine="480"/>
      </w:pPr>
      <w:r>
        <w:rPr>
          <w:rFonts w:hint="eastAsia"/>
        </w:rPr>
        <w:t>截至</w:t>
      </w:r>
      <w:r>
        <w:rPr>
          <w:rFonts w:hint="eastAsia"/>
        </w:rPr>
        <w:t>202</w:t>
      </w:r>
      <w:r>
        <w:t>3</w:t>
      </w:r>
      <w:r>
        <w:rPr>
          <w:rFonts w:hint="eastAsia"/>
        </w:rPr>
        <w:t>年</w:t>
      </w:r>
      <w:r>
        <w:rPr>
          <w:rFonts w:hint="eastAsia"/>
        </w:rPr>
        <w:t>9</w:t>
      </w:r>
      <w:r>
        <w:rPr>
          <w:rFonts w:hint="eastAsia"/>
        </w:rPr>
        <w:t>月</w:t>
      </w:r>
      <w:r>
        <w:rPr>
          <w:rFonts w:hint="eastAsia"/>
        </w:rPr>
        <w:t>30</w:t>
      </w:r>
      <w:r>
        <w:rPr>
          <w:rFonts w:hint="eastAsia"/>
        </w:rPr>
        <w:t>日，纳入公司合并财务报表范围的企业情况如下：</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75"/>
        <w:gridCol w:w="2679"/>
        <w:gridCol w:w="1258"/>
        <w:gridCol w:w="969"/>
        <w:gridCol w:w="841"/>
        <w:gridCol w:w="1758"/>
      </w:tblGrid>
      <w:tr w:rsidR="004B0883" w14:paraId="3DD40C55" w14:textId="77777777">
        <w:trPr>
          <w:trHeight w:val="397"/>
          <w:tblHeader/>
          <w:jc w:val="center"/>
        </w:trPr>
        <w:tc>
          <w:tcPr>
            <w:tcW w:w="800" w:type="dxa"/>
            <w:vMerge w:val="restart"/>
            <w:shd w:val="clear" w:color="auto" w:fill="D9D9D9"/>
            <w:vAlign w:val="center"/>
          </w:tcPr>
          <w:p w14:paraId="2752BA9D" w14:textId="77777777" w:rsidR="004B0883" w:rsidRDefault="004B0883">
            <w:pPr>
              <w:adjustRightInd w:val="0"/>
              <w:snapToGrid w:val="0"/>
              <w:jc w:val="center"/>
              <w:rPr>
                <w:b/>
                <w:bCs/>
                <w:color w:val="000000"/>
                <w:kern w:val="0"/>
              </w:rPr>
            </w:pPr>
            <w:r>
              <w:rPr>
                <w:b/>
                <w:bCs/>
                <w:color w:val="000000"/>
                <w:kern w:val="0"/>
              </w:rPr>
              <w:t>序号</w:t>
            </w:r>
          </w:p>
        </w:tc>
        <w:tc>
          <w:tcPr>
            <w:tcW w:w="2778" w:type="dxa"/>
            <w:vMerge w:val="restart"/>
            <w:shd w:val="clear" w:color="auto" w:fill="D9D9D9"/>
            <w:vAlign w:val="center"/>
          </w:tcPr>
          <w:p w14:paraId="2BCDE7DC" w14:textId="77777777" w:rsidR="004B0883" w:rsidRDefault="004B0883">
            <w:pPr>
              <w:adjustRightInd w:val="0"/>
              <w:snapToGrid w:val="0"/>
              <w:jc w:val="center"/>
              <w:rPr>
                <w:b/>
                <w:bCs/>
                <w:color w:val="000000"/>
                <w:kern w:val="0"/>
              </w:rPr>
            </w:pPr>
            <w:r>
              <w:rPr>
                <w:b/>
                <w:bCs/>
                <w:color w:val="000000"/>
                <w:kern w:val="0"/>
              </w:rPr>
              <w:t>公司名称</w:t>
            </w:r>
          </w:p>
        </w:tc>
        <w:tc>
          <w:tcPr>
            <w:tcW w:w="1316" w:type="dxa"/>
            <w:vMerge w:val="restart"/>
            <w:shd w:val="clear" w:color="auto" w:fill="D9D9D9"/>
            <w:vAlign w:val="center"/>
          </w:tcPr>
          <w:p w14:paraId="1544C010" w14:textId="77777777" w:rsidR="004B0883" w:rsidRDefault="004B0883">
            <w:pPr>
              <w:adjustRightInd w:val="0"/>
              <w:snapToGrid w:val="0"/>
              <w:jc w:val="center"/>
              <w:rPr>
                <w:b/>
                <w:bCs/>
                <w:color w:val="000000"/>
                <w:kern w:val="0"/>
              </w:rPr>
            </w:pPr>
            <w:r>
              <w:rPr>
                <w:b/>
                <w:bCs/>
                <w:color w:val="000000"/>
                <w:kern w:val="0"/>
              </w:rPr>
              <w:t>注册地</w:t>
            </w:r>
          </w:p>
        </w:tc>
        <w:tc>
          <w:tcPr>
            <w:tcW w:w="1839" w:type="dxa"/>
            <w:gridSpan w:val="2"/>
            <w:shd w:val="clear" w:color="auto" w:fill="D9D9D9"/>
            <w:vAlign w:val="center"/>
          </w:tcPr>
          <w:p w14:paraId="0988D0D3" w14:textId="77777777" w:rsidR="004B0883" w:rsidRDefault="004B0883">
            <w:pPr>
              <w:adjustRightInd w:val="0"/>
              <w:snapToGrid w:val="0"/>
              <w:jc w:val="center"/>
              <w:rPr>
                <w:b/>
                <w:bCs/>
                <w:color w:val="000000"/>
                <w:kern w:val="0"/>
              </w:rPr>
            </w:pPr>
            <w:r>
              <w:rPr>
                <w:b/>
                <w:bCs/>
                <w:color w:val="000000"/>
                <w:kern w:val="0"/>
              </w:rPr>
              <w:t>持股比例</w:t>
            </w:r>
          </w:p>
        </w:tc>
        <w:tc>
          <w:tcPr>
            <w:tcW w:w="1793" w:type="dxa"/>
            <w:vMerge w:val="restart"/>
            <w:shd w:val="clear" w:color="auto" w:fill="D9D9D9"/>
            <w:vAlign w:val="center"/>
          </w:tcPr>
          <w:p w14:paraId="60BFEC2B" w14:textId="77777777" w:rsidR="004B0883" w:rsidRDefault="004B0883">
            <w:pPr>
              <w:adjustRightInd w:val="0"/>
              <w:snapToGrid w:val="0"/>
              <w:jc w:val="center"/>
              <w:rPr>
                <w:b/>
                <w:bCs/>
                <w:color w:val="000000"/>
                <w:kern w:val="0"/>
              </w:rPr>
            </w:pPr>
            <w:r>
              <w:rPr>
                <w:b/>
                <w:bCs/>
                <w:color w:val="000000"/>
                <w:kern w:val="0"/>
              </w:rPr>
              <w:t>注册资本</w:t>
            </w:r>
          </w:p>
        </w:tc>
      </w:tr>
      <w:tr w:rsidR="004B0883" w14:paraId="0A9D1C17" w14:textId="77777777">
        <w:trPr>
          <w:trHeight w:val="397"/>
          <w:tblHeader/>
          <w:jc w:val="center"/>
        </w:trPr>
        <w:tc>
          <w:tcPr>
            <w:tcW w:w="800" w:type="dxa"/>
            <w:vMerge/>
            <w:shd w:val="clear" w:color="auto" w:fill="D9D9D9"/>
            <w:vAlign w:val="center"/>
          </w:tcPr>
          <w:p w14:paraId="0AE9E323" w14:textId="77777777" w:rsidR="004B0883" w:rsidRDefault="004B0883">
            <w:pPr>
              <w:adjustRightInd w:val="0"/>
              <w:snapToGrid w:val="0"/>
              <w:rPr>
                <w:b/>
                <w:bCs/>
                <w:color w:val="000000"/>
                <w:kern w:val="0"/>
              </w:rPr>
            </w:pPr>
          </w:p>
        </w:tc>
        <w:tc>
          <w:tcPr>
            <w:tcW w:w="2778" w:type="dxa"/>
            <w:vMerge/>
            <w:shd w:val="clear" w:color="auto" w:fill="D9D9D9"/>
            <w:vAlign w:val="center"/>
          </w:tcPr>
          <w:p w14:paraId="49BB696A" w14:textId="77777777" w:rsidR="004B0883" w:rsidRDefault="004B0883">
            <w:pPr>
              <w:adjustRightInd w:val="0"/>
              <w:snapToGrid w:val="0"/>
              <w:rPr>
                <w:b/>
                <w:bCs/>
                <w:color w:val="000000"/>
                <w:kern w:val="0"/>
              </w:rPr>
            </w:pPr>
          </w:p>
        </w:tc>
        <w:tc>
          <w:tcPr>
            <w:tcW w:w="1316" w:type="dxa"/>
            <w:vMerge/>
            <w:shd w:val="clear" w:color="auto" w:fill="D9D9D9"/>
            <w:vAlign w:val="center"/>
          </w:tcPr>
          <w:p w14:paraId="35C7EE16" w14:textId="77777777" w:rsidR="004B0883" w:rsidRDefault="004B0883">
            <w:pPr>
              <w:adjustRightInd w:val="0"/>
              <w:snapToGrid w:val="0"/>
              <w:rPr>
                <w:b/>
                <w:bCs/>
                <w:color w:val="000000"/>
                <w:kern w:val="0"/>
              </w:rPr>
            </w:pPr>
          </w:p>
        </w:tc>
        <w:tc>
          <w:tcPr>
            <w:tcW w:w="969" w:type="dxa"/>
            <w:shd w:val="clear" w:color="auto" w:fill="D9D9D9"/>
            <w:vAlign w:val="center"/>
          </w:tcPr>
          <w:p w14:paraId="52058F05" w14:textId="77777777" w:rsidR="004B0883" w:rsidRDefault="004B0883">
            <w:pPr>
              <w:adjustRightInd w:val="0"/>
              <w:snapToGrid w:val="0"/>
              <w:jc w:val="center"/>
              <w:rPr>
                <w:b/>
                <w:bCs/>
                <w:color w:val="000000"/>
                <w:kern w:val="0"/>
              </w:rPr>
            </w:pPr>
            <w:r>
              <w:rPr>
                <w:b/>
                <w:bCs/>
                <w:color w:val="000000"/>
                <w:kern w:val="0"/>
              </w:rPr>
              <w:t>直接</w:t>
            </w:r>
          </w:p>
        </w:tc>
        <w:tc>
          <w:tcPr>
            <w:tcW w:w="870" w:type="dxa"/>
            <w:shd w:val="clear" w:color="auto" w:fill="D9D9D9"/>
            <w:vAlign w:val="center"/>
          </w:tcPr>
          <w:p w14:paraId="3A4C822B" w14:textId="77777777" w:rsidR="004B0883" w:rsidRDefault="004B0883">
            <w:pPr>
              <w:adjustRightInd w:val="0"/>
              <w:snapToGrid w:val="0"/>
              <w:jc w:val="center"/>
              <w:rPr>
                <w:b/>
                <w:bCs/>
                <w:color w:val="000000"/>
                <w:kern w:val="0"/>
              </w:rPr>
            </w:pPr>
            <w:r>
              <w:rPr>
                <w:b/>
                <w:bCs/>
                <w:color w:val="000000"/>
                <w:kern w:val="0"/>
              </w:rPr>
              <w:t>间接</w:t>
            </w:r>
          </w:p>
        </w:tc>
        <w:tc>
          <w:tcPr>
            <w:tcW w:w="1793" w:type="dxa"/>
            <w:vMerge/>
            <w:shd w:val="clear" w:color="auto" w:fill="D9D9D9"/>
            <w:vAlign w:val="center"/>
          </w:tcPr>
          <w:p w14:paraId="242A6CD0" w14:textId="77777777" w:rsidR="004B0883" w:rsidRDefault="004B0883">
            <w:pPr>
              <w:adjustRightInd w:val="0"/>
              <w:snapToGrid w:val="0"/>
              <w:rPr>
                <w:b/>
                <w:bCs/>
                <w:color w:val="000000"/>
                <w:kern w:val="0"/>
              </w:rPr>
            </w:pPr>
          </w:p>
        </w:tc>
      </w:tr>
      <w:tr w:rsidR="004B0883" w14:paraId="6E06F039" w14:textId="77777777">
        <w:trPr>
          <w:trHeight w:val="397"/>
          <w:jc w:val="center"/>
        </w:trPr>
        <w:tc>
          <w:tcPr>
            <w:tcW w:w="800" w:type="dxa"/>
            <w:vAlign w:val="center"/>
          </w:tcPr>
          <w:p w14:paraId="484B5E7E" w14:textId="77777777" w:rsidR="004B0883" w:rsidRDefault="004B0883">
            <w:pPr>
              <w:adjustRightInd w:val="0"/>
              <w:snapToGrid w:val="0"/>
              <w:jc w:val="center"/>
              <w:rPr>
                <w:color w:val="000000"/>
                <w:kern w:val="0"/>
              </w:rPr>
            </w:pPr>
            <w:r>
              <w:rPr>
                <w:color w:val="000000"/>
                <w:kern w:val="0"/>
              </w:rPr>
              <w:t>1</w:t>
            </w:r>
          </w:p>
        </w:tc>
        <w:tc>
          <w:tcPr>
            <w:tcW w:w="2778" w:type="dxa"/>
            <w:vAlign w:val="center"/>
          </w:tcPr>
          <w:p w14:paraId="0E74F433" w14:textId="77777777" w:rsidR="004B0883" w:rsidRDefault="004B0883">
            <w:pPr>
              <w:adjustRightInd w:val="0"/>
              <w:snapToGrid w:val="0"/>
              <w:rPr>
                <w:color w:val="000000"/>
                <w:kern w:val="0"/>
              </w:rPr>
            </w:pPr>
            <w:r>
              <w:rPr>
                <w:rFonts w:hint="eastAsia"/>
                <w:color w:val="000000"/>
                <w:kern w:val="0"/>
              </w:rPr>
              <w:t>青岛伟隆阀门股份有限公司</w:t>
            </w:r>
          </w:p>
        </w:tc>
        <w:tc>
          <w:tcPr>
            <w:tcW w:w="1316" w:type="dxa"/>
            <w:vAlign w:val="center"/>
          </w:tcPr>
          <w:p w14:paraId="37C8F5A3" w14:textId="77777777" w:rsidR="004B0883" w:rsidRDefault="004B0883">
            <w:pPr>
              <w:adjustRightInd w:val="0"/>
              <w:snapToGrid w:val="0"/>
              <w:jc w:val="center"/>
              <w:rPr>
                <w:color w:val="000000"/>
                <w:kern w:val="0"/>
              </w:rPr>
            </w:pPr>
            <w:r>
              <w:rPr>
                <w:rFonts w:hint="eastAsia"/>
                <w:color w:val="000000"/>
                <w:kern w:val="0"/>
              </w:rPr>
              <w:t>山东青岛</w:t>
            </w:r>
          </w:p>
        </w:tc>
        <w:tc>
          <w:tcPr>
            <w:tcW w:w="969" w:type="dxa"/>
            <w:vAlign w:val="center"/>
          </w:tcPr>
          <w:p w14:paraId="33842F07" w14:textId="77777777" w:rsidR="004B0883" w:rsidRDefault="004B0883">
            <w:pPr>
              <w:adjustRightInd w:val="0"/>
              <w:snapToGrid w:val="0"/>
              <w:jc w:val="right"/>
              <w:rPr>
                <w:color w:val="000000"/>
                <w:kern w:val="0"/>
              </w:rPr>
            </w:pPr>
            <w:r>
              <w:rPr>
                <w:rFonts w:hint="eastAsia"/>
                <w:color w:val="000000"/>
                <w:kern w:val="0"/>
              </w:rPr>
              <w:t>-</w:t>
            </w:r>
          </w:p>
        </w:tc>
        <w:tc>
          <w:tcPr>
            <w:tcW w:w="870" w:type="dxa"/>
            <w:vAlign w:val="center"/>
          </w:tcPr>
          <w:p w14:paraId="710CFDF3" w14:textId="77777777" w:rsidR="004B0883" w:rsidRDefault="004B0883">
            <w:pPr>
              <w:adjustRightInd w:val="0"/>
              <w:snapToGrid w:val="0"/>
              <w:jc w:val="right"/>
              <w:rPr>
                <w:color w:val="000000"/>
                <w:kern w:val="0"/>
              </w:rPr>
            </w:pPr>
            <w:r>
              <w:rPr>
                <w:color w:val="000000"/>
                <w:kern w:val="0"/>
              </w:rPr>
              <w:t>-</w:t>
            </w:r>
          </w:p>
        </w:tc>
        <w:tc>
          <w:tcPr>
            <w:tcW w:w="1793" w:type="dxa"/>
            <w:vAlign w:val="center"/>
          </w:tcPr>
          <w:p w14:paraId="1A774E63" w14:textId="77777777" w:rsidR="004B0883" w:rsidRDefault="004B0883">
            <w:pPr>
              <w:adjustRightInd w:val="0"/>
              <w:snapToGrid w:val="0"/>
              <w:jc w:val="center"/>
              <w:rPr>
                <w:color w:val="000000"/>
                <w:kern w:val="0"/>
              </w:rPr>
            </w:pPr>
            <w:r>
              <w:t>21,954.0292</w:t>
            </w:r>
            <w:r>
              <w:rPr>
                <w:color w:val="000000"/>
                <w:kern w:val="0"/>
              </w:rPr>
              <w:t>万元</w:t>
            </w:r>
          </w:p>
        </w:tc>
      </w:tr>
      <w:tr w:rsidR="004B0883" w14:paraId="0F783544" w14:textId="77777777">
        <w:trPr>
          <w:trHeight w:val="397"/>
          <w:jc w:val="center"/>
        </w:trPr>
        <w:tc>
          <w:tcPr>
            <w:tcW w:w="800" w:type="dxa"/>
            <w:vAlign w:val="center"/>
          </w:tcPr>
          <w:p w14:paraId="1B3AA6C2" w14:textId="77777777" w:rsidR="004B0883" w:rsidRDefault="004B0883">
            <w:pPr>
              <w:adjustRightInd w:val="0"/>
              <w:snapToGrid w:val="0"/>
              <w:jc w:val="center"/>
              <w:rPr>
                <w:color w:val="000000"/>
                <w:kern w:val="0"/>
              </w:rPr>
            </w:pPr>
            <w:r>
              <w:rPr>
                <w:color w:val="000000"/>
                <w:kern w:val="0"/>
              </w:rPr>
              <w:t>2</w:t>
            </w:r>
          </w:p>
        </w:tc>
        <w:tc>
          <w:tcPr>
            <w:tcW w:w="2778" w:type="dxa"/>
            <w:vAlign w:val="center"/>
          </w:tcPr>
          <w:p w14:paraId="341C1142" w14:textId="77777777" w:rsidR="004B0883" w:rsidRDefault="004B0883">
            <w:pPr>
              <w:adjustRightInd w:val="0"/>
              <w:snapToGrid w:val="0"/>
              <w:rPr>
                <w:color w:val="000000"/>
                <w:kern w:val="0"/>
              </w:rPr>
            </w:pPr>
            <w:r>
              <w:rPr>
                <w:rFonts w:hint="eastAsia"/>
                <w:color w:val="000000"/>
                <w:kern w:val="0"/>
              </w:rPr>
              <w:t>莱州伟隆阀门有限公司</w:t>
            </w:r>
          </w:p>
        </w:tc>
        <w:tc>
          <w:tcPr>
            <w:tcW w:w="1316" w:type="dxa"/>
            <w:vAlign w:val="center"/>
          </w:tcPr>
          <w:p w14:paraId="33CECDF8" w14:textId="77777777" w:rsidR="004B0883" w:rsidRDefault="004B0883">
            <w:pPr>
              <w:adjustRightInd w:val="0"/>
              <w:snapToGrid w:val="0"/>
              <w:jc w:val="center"/>
              <w:rPr>
                <w:color w:val="000000"/>
                <w:kern w:val="0"/>
              </w:rPr>
            </w:pPr>
            <w:r>
              <w:rPr>
                <w:rFonts w:hint="eastAsia"/>
                <w:color w:val="000000"/>
                <w:kern w:val="0"/>
              </w:rPr>
              <w:t>山东烟台</w:t>
            </w:r>
          </w:p>
        </w:tc>
        <w:tc>
          <w:tcPr>
            <w:tcW w:w="969" w:type="dxa"/>
            <w:vAlign w:val="center"/>
          </w:tcPr>
          <w:p w14:paraId="1FC07764" w14:textId="77777777" w:rsidR="004B0883" w:rsidRDefault="004B0883">
            <w:pPr>
              <w:adjustRightInd w:val="0"/>
              <w:snapToGrid w:val="0"/>
              <w:jc w:val="center"/>
              <w:rPr>
                <w:color w:val="000000"/>
                <w:kern w:val="0"/>
              </w:rPr>
            </w:pPr>
            <w:r>
              <w:rPr>
                <w:color w:val="000000"/>
                <w:kern w:val="0"/>
              </w:rPr>
              <w:t>100.00%</w:t>
            </w:r>
          </w:p>
        </w:tc>
        <w:tc>
          <w:tcPr>
            <w:tcW w:w="870" w:type="dxa"/>
            <w:vAlign w:val="center"/>
          </w:tcPr>
          <w:p w14:paraId="35B0F811" w14:textId="77777777" w:rsidR="004B0883" w:rsidRDefault="004B0883">
            <w:pPr>
              <w:adjustRightInd w:val="0"/>
              <w:snapToGrid w:val="0"/>
              <w:jc w:val="right"/>
              <w:rPr>
                <w:color w:val="000000"/>
                <w:kern w:val="0"/>
              </w:rPr>
            </w:pPr>
            <w:r>
              <w:rPr>
                <w:color w:val="000000"/>
                <w:kern w:val="0"/>
              </w:rPr>
              <w:t>-</w:t>
            </w:r>
          </w:p>
        </w:tc>
        <w:tc>
          <w:tcPr>
            <w:tcW w:w="1793" w:type="dxa"/>
            <w:vAlign w:val="center"/>
          </w:tcPr>
          <w:p w14:paraId="61297B9E" w14:textId="77777777" w:rsidR="004B0883" w:rsidRDefault="004B0883">
            <w:pPr>
              <w:adjustRightInd w:val="0"/>
              <w:snapToGrid w:val="0"/>
              <w:jc w:val="center"/>
              <w:rPr>
                <w:color w:val="000000"/>
                <w:kern w:val="0"/>
              </w:rPr>
            </w:pPr>
            <w:r>
              <w:rPr>
                <w:color w:val="000000"/>
                <w:kern w:val="0"/>
              </w:rPr>
              <w:t>8,0</w:t>
            </w:r>
            <w:r>
              <w:rPr>
                <w:rFonts w:hint="eastAsia"/>
                <w:color w:val="000000"/>
                <w:kern w:val="0"/>
              </w:rPr>
              <w:t>00</w:t>
            </w:r>
            <w:r>
              <w:rPr>
                <w:rFonts w:hint="eastAsia"/>
                <w:color w:val="000000"/>
                <w:kern w:val="0"/>
              </w:rPr>
              <w:t>万元</w:t>
            </w:r>
          </w:p>
        </w:tc>
      </w:tr>
      <w:tr w:rsidR="004B0883" w14:paraId="27CA7F31" w14:textId="77777777">
        <w:trPr>
          <w:trHeight w:val="397"/>
          <w:jc w:val="center"/>
        </w:trPr>
        <w:tc>
          <w:tcPr>
            <w:tcW w:w="800" w:type="dxa"/>
            <w:vAlign w:val="center"/>
          </w:tcPr>
          <w:p w14:paraId="11A03584" w14:textId="77777777" w:rsidR="004B0883" w:rsidRDefault="004B0883">
            <w:pPr>
              <w:adjustRightInd w:val="0"/>
              <w:snapToGrid w:val="0"/>
              <w:jc w:val="center"/>
              <w:rPr>
                <w:color w:val="000000"/>
                <w:kern w:val="0"/>
              </w:rPr>
            </w:pPr>
            <w:r>
              <w:rPr>
                <w:color w:val="000000"/>
                <w:kern w:val="0"/>
              </w:rPr>
              <w:t>3</w:t>
            </w:r>
          </w:p>
        </w:tc>
        <w:tc>
          <w:tcPr>
            <w:tcW w:w="2778" w:type="dxa"/>
            <w:vAlign w:val="center"/>
          </w:tcPr>
          <w:p w14:paraId="4A31CB30" w14:textId="77777777" w:rsidR="004B0883" w:rsidRDefault="004B0883">
            <w:pPr>
              <w:adjustRightInd w:val="0"/>
              <w:snapToGrid w:val="0"/>
              <w:rPr>
                <w:color w:val="000000"/>
                <w:kern w:val="0"/>
              </w:rPr>
            </w:pPr>
            <w:r>
              <w:rPr>
                <w:rFonts w:hint="eastAsia"/>
                <w:color w:val="000000"/>
                <w:kern w:val="0"/>
              </w:rPr>
              <w:t>青岛伟隆流体设备有限公司</w:t>
            </w:r>
          </w:p>
        </w:tc>
        <w:tc>
          <w:tcPr>
            <w:tcW w:w="1316" w:type="dxa"/>
            <w:vAlign w:val="center"/>
          </w:tcPr>
          <w:p w14:paraId="734CE027" w14:textId="77777777" w:rsidR="004B0883" w:rsidRDefault="004B0883">
            <w:pPr>
              <w:adjustRightInd w:val="0"/>
              <w:snapToGrid w:val="0"/>
              <w:jc w:val="center"/>
              <w:rPr>
                <w:color w:val="000000"/>
                <w:kern w:val="0"/>
              </w:rPr>
            </w:pPr>
            <w:r>
              <w:rPr>
                <w:rFonts w:hint="eastAsia"/>
                <w:color w:val="000000"/>
                <w:kern w:val="0"/>
              </w:rPr>
              <w:t>山东青岛</w:t>
            </w:r>
          </w:p>
        </w:tc>
        <w:tc>
          <w:tcPr>
            <w:tcW w:w="969" w:type="dxa"/>
            <w:vAlign w:val="center"/>
          </w:tcPr>
          <w:p w14:paraId="674031B3" w14:textId="77777777" w:rsidR="004B0883" w:rsidRDefault="004B0883">
            <w:pPr>
              <w:adjustRightInd w:val="0"/>
              <w:snapToGrid w:val="0"/>
              <w:jc w:val="center"/>
              <w:rPr>
                <w:color w:val="000000"/>
                <w:kern w:val="0"/>
              </w:rPr>
            </w:pPr>
            <w:r>
              <w:rPr>
                <w:color w:val="000000"/>
                <w:kern w:val="0"/>
              </w:rPr>
              <w:t>100.00%</w:t>
            </w:r>
          </w:p>
        </w:tc>
        <w:tc>
          <w:tcPr>
            <w:tcW w:w="870" w:type="dxa"/>
            <w:vAlign w:val="center"/>
          </w:tcPr>
          <w:p w14:paraId="24BF91D8" w14:textId="77777777" w:rsidR="004B0883" w:rsidRDefault="004B0883">
            <w:pPr>
              <w:adjustRightInd w:val="0"/>
              <w:snapToGrid w:val="0"/>
              <w:jc w:val="right"/>
              <w:rPr>
                <w:color w:val="000000"/>
                <w:kern w:val="0"/>
              </w:rPr>
            </w:pPr>
            <w:r>
              <w:rPr>
                <w:color w:val="000000"/>
                <w:kern w:val="0"/>
              </w:rPr>
              <w:t>-</w:t>
            </w:r>
          </w:p>
        </w:tc>
        <w:tc>
          <w:tcPr>
            <w:tcW w:w="1793" w:type="dxa"/>
            <w:vAlign w:val="center"/>
          </w:tcPr>
          <w:p w14:paraId="644AE1EF" w14:textId="77777777" w:rsidR="004B0883" w:rsidRDefault="004B0883">
            <w:pPr>
              <w:adjustRightInd w:val="0"/>
              <w:snapToGrid w:val="0"/>
              <w:jc w:val="center"/>
              <w:rPr>
                <w:color w:val="000000"/>
                <w:kern w:val="0"/>
              </w:rPr>
            </w:pPr>
            <w:r>
              <w:rPr>
                <w:color w:val="000000"/>
                <w:kern w:val="0"/>
              </w:rPr>
              <w:t>6,0</w:t>
            </w:r>
            <w:r>
              <w:rPr>
                <w:rFonts w:hint="eastAsia"/>
                <w:color w:val="000000"/>
                <w:kern w:val="0"/>
              </w:rPr>
              <w:t>00</w:t>
            </w:r>
            <w:r>
              <w:rPr>
                <w:rFonts w:hint="eastAsia"/>
                <w:color w:val="000000"/>
                <w:kern w:val="0"/>
              </w:rPr>
              <w:t>万元</w:t>
            </w:r>
          </w:p>
        </w:tc>
      </w:tr>
      <w:tr w:rsidR="004B0883" w14:paraId="3A5ADE9D" w14:textId="77777777">
        <w:trPr>
          <w:trHeight w:val="397"/>
          <w:jc w:val="center"/>
        </w:trPr>
        <w:tc>
          <w:tcPr>
            <w:tcW w:w="800" w:type="dxa"/>
            <w:vAlign w:val="center"/>
          </w:tcPr>
          <w:p w14:paraId="1E7E4DD3" w14:textId="77777777" w:rsidR="004B0883" w:rsidRDefault="004B0883">
            <w:pPr>
              <w:adjustRightInd w:val="0"/>
              <w:snapToGrid w:val="0"/>
              <w:jc w:val="center"/>
              <w:rPr>
                <w:color w:val="000000"/>
                <w:kern w:val="0"/>
              </w:rPr>
            </w:pPr>
            <w:r>
              <w:rPr>
                <w:color w:val="000000"/>
                <w:kern w:val="0"/>
              </w:rPr>
              <w:t>4</w:t>
            </w:r>
          </w:p>
        </w:tc>
        <w:tc>
          <w:tcPr>
            <w:tcW w:w="2778" w:type="dxa"/>
            <w:vAlign w:val="center"/>
          </w:tcPr>
          <w:p w14:paraId="6E7C5504" w14:textId="77777777" w:rsidR="004B0883" w:rsidRDefault="004B0883">
            <w:pPr>
              <w:adjustRightInd w:val="0"/>
              <w:snapToGrid w:val="0"/>
              <w:rPr>
                <w:color w:val="000000"/>
                <w:kern w:val="0"/>
              </w:rPr>
            </w:pPr>
            <w:r>
              <w:rPr>
                <w:rFonts w:hint="eastAsia"/>
                <w:color w:val="000000"/>
                <w:kern w:val="0"/>
              </w:rPr>
              <w:t>WEFLO VALVE COMPANY LIMITED</w:t>
            </w:r>
          </w:p>
        </w:tc>
        <w:tc>
          <w:tcPr>
            <w:tcW w:w="1316" w:type="dxa"/>
            <w:vAlign w:val="center"/>
          </w:tcPr>
          <w:p w14:paraId="32D67197" w14:textId="77777777" w:rsidR="004B0883" w:rsidRDefault="004B0883">
            <w:pPr>
              <w:adjustRightInd w:val="0"/>
              <w:snapToGrid w:val="0"/>
              <w:jc w:val="center"/>
              <w:rPr>
                <w:color w:val="000000"/>
                <w:kern w:val="0"/>
              </w:rPr>
            </w:pPr>
            <w:r>
              <w:rPr>
                <w:rFonts w:hint="eastAsia"/>
                <w:color w:val="000000"/>
                <w:kern w:val="0"/>
              </w:rPr>
              <w:t>英国</w:t>
            </w:r>
          </w:p>
        </w:tc>
        <w:tc>
          <w:tcPr>
            <w:tcW w:w="969" w:type="dxa"/>
            <w:vAlign w:val="center"/>
          </w:tcPr>
          <w:p w14:paraId="67D08080" w14:textId="77777777" w:rsidR="004B0883" w:rsidRDefault="004B0883">
            <w:pPr>
              <w:adjustRightInd w:val="0"/>
              <w:snapToGrid w:val="0"/>
              <w:jc w:val="center"/>
              <w:rPr>
                <w:color w:val="000000"/>
                <w:kern w:val="0"/>
              </w:rPr>
            </w:pPr>
            <w:r>
              <w:rPr>
                <w:color w:val="000000"/>
                <w:kern w:val="0"/>
              </w:rPr>
              <w:t>100.00%</w:t>
            </w:r>
          </w:p>
        </w:tc>
        <w:tc>
          <w:tcPr>
            <w:tcW w:w="870" w:type="dxa"/>
            <w:vAlign w:val="center"/>
          </w:tcPr>
          <w:p w14:paraId="44DE95C0" w14:textId="77777777" w:rsidR="004B0883" w:rsidRDefault="004B0883">
            <w:pPr>
              <w:adjustRightInd w:val="0"/>
              <w:snapToGrid w:val="0"/>
              <w:jc w:val="right"/>
              <w:rPr>
                <w:color w:val="000000"/>
                <w:kern w:val="0"/>
              </w:rPr>
            </w:pPr>
            <w:r>
              <w:rPr>
                <w:color w:val="000000"/>
                <w:kern w:val="0"/>
              </w:rPr>
              <w:t>-</w:t>
            </w:r>
          </w:p>
        </w:tc>
        <w:tc>
          <w:tcPr>
            <w:tcW w:w="1793" w:type="dxa"/>
            <w:vAlign w:val="center"/>
          </w:tcPr>
          <w:p w14:paraId="2A23CC21" w14:textId="77777777" w:rsidR="004B0883" w:rsidRDefault="004B0883">
            <w:pPr>
              <w:adjustRightInd w:val="0"/>
              <w:snapToGrid w:val="0"/>
              <w:jc w:val="center"/>
              <w:rPr>
                <w:color w:val="000000"/>
                <w:kern w:val="0"/>
              </w:rPr>
            </w:pPr>
            <w:r>
              <w:rPr>
                <w:rFonts w:hint="eastAsia"/>
                <w:color w:val="000000"/>
                <w:kern w:val="0"/>
              </w:rPr>
              <w:t>1</w:t>
            </w:r>
            <w:r>
              <w:rPr>
                <w:color w:val="000000"/>
                <w:kern w:val="0"/>
              </w:rPr>
              <w:t>00</w:t>
            </w:r>
            <w:r>
              <w:rPr>
                <w:rFonts w:hint="eastAsia"/>
                <w:color w:val="000000"/>
                <w:kern w:val="0"/>
              </w:rPr>
              <w:t>英镑</w:t>
            </w:r>
          </w:p>
        </w:tc>
      </w:tr>
      <w:tr w:rsidR="004B0883" w14:paraId="7E6A681F" w14:textId="77777777">
        <w:trPr>
          <w:trHeight w:val="397"/>
          <w:jc w:val="center"/>
        </w:trPr>
        <w:tc>
          <w:tcPr>
            <w:tcW w:w="800" w:type="dxa"/>
            <w:vAlign w:val="center"/>
          </w:tcPr>
          <w:p w14:paraId="4B1AF198" w14:textId="77777777" w:rsidR="004B0883" w:rsidRDefault="004B0883">
            <w:pPr>
              <w:adjustRightInd w:val="0"/>
              <w:snapToGrid w:val="0"/>
              <w:jc w:val="center"/>
              <w:rPr>
                <w:color w:val="000000"/>
                <w:kern w:val="0"/>
              </w:rPr>
            </w:pPr>
            <w:r>
              <w:rPr>
                <w:color w:val="000000"/>
                <w:kern w:val="0"/>
              </w:rPr>
              <w:t>5</w:t>
            </w:r>
          </w:p>
        </w:tc>
        <w:tc>
          <w:tcPr>
            <w:tcW w:w="2778" w:type="dxa"/>
            <w:vAlign w:val="center"/>
          </w:tcPr>
          <w:p w14:paraId="63B335C6" w14:textId="77777777" w:rsidR="004B0883" w:rsidRDefault="004B0883">
            <w:pPr>
              <w:adjustRightInd w:val="0"/>
              <w:snapToGrid w:val="0"/>
              <w:rPr>
                <w:color w:val="000000"/>
                <w:kern w:val="0"/>
              </w:rPr>
            </w:pPr>
            <w:r>
              <w:rPr>
                <w:rFonts w:hint="eastAsia"/>
                <w:color w:val="000000"/>
                <w:kern w:val="0"/>
              </w:rPr>
              <w:t>WEFLO VALVE LLC</w:t>
            </w:r>
          </w:p>
        </w:tc>
        <w:tc>
          <w:tcPr>
            <w:tcW w:w="1316" w:type="dxa"/>
            <w:vAlign w:val="center"/>
          </w:tcPr>
          <w:p w14:paraId="6D22D9CC" w14:textId="77777777" w:rsidR="004B0883" w:rsidRDefault="004B0883">
            <w:pPr>
              <w:adjustRightInd w:val="0"/>
              <w:snapToGrid w:val="0"/>
              <w:jc w:val="center"/>
              <w:rPr>
                <w:color w:val="000000"/>
                <w:kern w:val="0"/>
              </w:rPr>
            </w:pPr>
            <w:r>
              <w:rPr>
                <w:rFonts w:hint="eastAsia"/>
                <w:color w:val="000000"/>
                <w:kern w:val="0"/>
              </w:rPr>
              <w:t>美国</w:t>
            </w:r>
          </w:p>
        </w:tc>
        <w:tc>
          <w:tcPr>
            <w:tcW w:w="969" w:type="dxa"/>
            <w:vAlign w:val="center"/>
          </w:tcPr>
          <w:p w14:paraId="6D0A6463" w14:textId="77777777" w:rsidR="004B0883" w:rsidRDefault="004B0883">
            <w:pPr>
              <w:adjustRightInd w:val="0"/>
              <w:snapToGrid w:val="0"/>
              <w:jc w:val="center"/>
              <w:rPr>
                <w:color w:val="000000"/>
                <w:kern w:val="0"/>
              </w:rPr>
            </w:pPr>
            <w:r>
              <w:rPr>
                <w:color w:val="000000"/>
                <w:kern w:val="0"/>
              </w:rPr>
              <w:t>100.00%</w:t>
            </w:r>
          </w:p>
        </w:tc>
        <w:tc>
          <w:tcPr>
            <w:tcW w:w="870" w:type="dxa"/>
            <w:vAlign w:val="center"/>
          </w:tcPr>
          <w:p w14:paraId="42BA1EC7" w14:textId="77777777" w:rsidR="004B0883" w:rsidRDefault="004B0883">
            <w:pPr>
              <w:adjustRightInd w:val="0"/>
              <w:snapToGrid w:val="0"/>
              <w:jc w:val="right"/>
              <w:rPr>
                <w:color w:val="000000"/>
                <w:kern w:val="0"/>
              </w:rPr>
            </w:pPr>
            <w:r>
              <w:rPr>
                <w:rFonts w:hint="eastAsia"/>
                <w:color w:val="000000"/>
                <w:kern w:val="0"/>
              </w:rPr>
              <w:t>-</w:t>
            </w:r>
          </w:p>
        </w:tc>
        <w:tc>
          <w:tcPr>
            <w:tcW w:w="1793" w:type="dxa"/>
            <w:vAlign w:val="center"/>
          </w:tcPr>
          <w:p w14:paraId="793B9906" w14:textId="77777777" w:rsidR="004B0883" w:rsidRDefault="004B0883">
            <w:pPr>
              <w:adjustRightInd w:val="0"/>
              <w:snapToGrid w:val="0"/>
              <w:jc w:val="center"/>
              <w:rPr>
                <w:color w:val="000000"/>
                <w:kern w:val="0"/>
              </w:rPr>
            </w:pPr>
            <w:r>
              <w:rPr>
                <w:rFonts w:hint="eastAsia"/>
                <w:color w:val="000000"/>
                <w:kern w:val="0"/>
              </w:rPr>
              <w:t>5</w:t>
            </w:r>
            <w:r>
              <w:rPr>
                <w:rFonts w:hint="eastAsia"/>
                <w:color w:val="000000"/>
                <w:kern w:val="0"/>
              </w:rPr>
              <w:t>万美金</w:t>
            </w:r>
          </w:p>
        </w:tc>
      </w:tr>
      <w:tr w:rsidR="004B0883" w14:paraId="622B54D4" w14:textId="77777777">
        <w:trPr>
          <w:trHeight w:val="397"/>
          <w:jc w:val="center"/>
        </w:trPr>
        <w:tc>
          <w:tcPr>
            <w:tcW w:w="800" w:type="dxa"/>
            <w:vAlign w:val="center"/>
          </w:tcPr>
          <w:p w14:paraId="532971A9" w14:textId="77777777" w:rsidR="004B0883" w:rsidRDefault="004B0883">
            <w:pPr>
              <w:adjustRightInd w:val="0"/>
              <w:snapToGrid w:val="0"/>
              <w:jc w:val="center"/>
              <w:rPr>
                <w:color w:val="000000"/>
                <w:kern w:val="0"/>
              </w:rPr>
            </w:pPr>
            <w:r>
              <w:rPr>
                <w:color w:val="000000"/>
                <w:kern w:val="0"/>
              </w:rPr>
              <w:t>6</w:t>
            </w:r>
          </w:p>
        </w:tc>
        <w:tc>
          <w:tcPr>
            <w:tcW w:w="2778" w:type="dxa"/>
            <w:vAlign w:val="center"/>
          </w:tcPr>
          <w:p w14:paraId="77FA38BB" w14:textId="77777777" w:rsidR="004B0883" w:rsidRDefault="004B0883">
            <w:pPr>
              <w:adjustRightInd w:val="0"/>
              <w:snapToGrid w:val="0"/>
              <w:rPr>
                <w:color w:val="000000"/>
                <w:kern w:val="0"/>
              </w:rPr>
            </w:pPr>
            <w:r>
              <w:rPr>
                <w:rFonts w:hint="eastAsia"/>
                <w:color w:val="000000"/>
                <w:kern w:val="0"/>
              </w:rPr>
              <w:t>青岛卓信检测技术有限责任公司</w:t>
            </w:r>
          </w:p>
        </w:tc>
        <w:tc>
          <w:tcPr>
            <w:tcW w:w="1316" w:type="dxa"/>
            <w:vAlign w:val="center"/>
          </w:tcPr>
          <w:p w14:paraId="555F640E" w14:textId="77777777" w:rsidR="004B0883" w:rsidRDefault="004B0883">
            <w:pPr>
              <w:adjustRightInd w:val="0"/>
              <w:snapToGrid w:val="0"/>
              <w:jc w:val="center"/>
              <w:rPr>
                <w:color w:val="000000"/>
                <w:kern w:val="0"/>
              </w:rPr>
            </w:pPr>
            <w:r>
              <w:rPr>
                <w:rFonts w:hint="eastAsia"/>
                <w:color w:val="000000"/>
                <w:kern w:val="0"/>
              </w:rPr>
              <w:t>山东青岛</w:t>
            </w:r>
          </w:p>
        </w:tc>
        <w:tc>
          <w:tcPr>
            <w:tcW w:w="969" w:type="dxa"/>
            <w:vAlign w:val="center"/>
          </w:tcPr>
          <w:p w14:paraId="478E4C52" w14:textId="77777777" w:rsidR="004B0883" w:rsidRDefault="004B0883">
            <w:pPr>
              <w:adjustRightInd w:val="0"/>
              <w:snapToGrid w:val="0"/>
              <w:jc w:val="center"/>
              <w:rPr>
                <w:color w:val="000000"/>
                <w:kern w:val="0"/>
              </w:rPr>
            </w:pPr>
            <w:r>
              <w:rPr>
                <w:color w:val="000000"/>
                <w:kern w:val="0"/>
              </w:rPr>
              <w:t>100.00%</w:t>
            </w:r>
          </w:p>
        </w:tc>
        <w:tc>
          <w:tcPr>
            <w:tcW w:w="870" w:type="dxa"/>
            <w:vAlign w:val="center"/>
          </w:tcPr>
          <w:p w14:paraId="3912BA75" w14:textId="77777777" w:rsidR="004B0883" w:rsidRDefault="004B0883">
            <w:pPr>
              <w:adjustRightInd w:val="0"/>
              <w:snapToGrid w:val="0"/>
              <w:jc w:val="right"/>
              <w:rPr>
                <w:color w:val="000000"/>
                <w:kern w:val="0"/>
              </w:rPr>
            </w:pPr>
            <w:r>
              <w:rPr>
                <w:rFonts w:hint="eastAsia"/>
                <w:color w:val="000000"/>
                <w:kern w:val="0"/>
              </w:rPr>
              <w:t>-</w:t>
            </w:r>
          </w:p>
        </w:tc>
        <w:tc>
          <w:tcPr>
            <w:tcW w:w="1793" w:type="dxa"/>
            <w:vAlign w:val="center"/>
          </w:tcPr>
          <w:p w14:paraId="1E87FE16" w14:textId="77777777" w:rsidR="004B0883" w:rsidRDefault="004B0883">
            <w:pPr>
              <w:adjustRightInd w:val="0"/>
              <w:snapToGrid w:val="0"/>
              <w:jc w:val="center"/>
              <w:rPr>
                <w:color w:val="000000"/>
                <w:kern w:val="0"/>
              </w:rPr>
            </w:pPr>
            <w:r>
              <w:rPr>
                <w:rFonts w:hint="eastAsia"/>
                <w:color w:val="000000"/>
                <w:kern w:val="0"/>
              </w:rPr>
              <w:t>500</w:t>
            </w:r>
            <w:r>
              <w:rPr>
                <w:rFonts w:hint="eastAsia"/>
                <w:color w:val="000000"/>
                <w:kern w:val="0"/>
              </w:rPr>
              <w:t>万元</w:t>
            </w:r>
          </w:p>
        </w:tc>
      </w:tr>
      <w:tr w:rsidR="004B0883" w14:paraId="517A617C" w14:textId="77777777">
        <w:trPr>
          <w:trHeight w:val="397"/>
          <w:jc w:val="center"/>
        </w:trPr>
        <w:tc>
          <w:tcPr>
            <w:tcW w:w="800" w:type="dxa"/>
            <w:vAlign w:val="center"/>
          </w:tcPr>
          <w:p w14:paraId="336223C1" w14:textId="77777777" w:rsidR="004B0883" w:rsidRDefault="004B0883">
            <w:pPr>
              <w:adjustRightInd w:val="0"/>
              <w:snapToGrid w:val="0"/>
              <w:jc w:val="center"/>
              <w:rPr>
                <w:color w:val="000000"/>
                <w:kern w:val="0"/>
              </w:rPr>
            </w:pPr>
            <w:r>
              <w:rPr>
                <w:color w:val="000000"/>
                <w:kern w:val="0"/>
              </w:rPr>
              <w:t>7</w:t>
            </w:r>
          </w:p>
        </w:tc>
        <w:tc>
          <w:tcPr>
            <w:tcW w:w="2778" w:type="dxa"/>
            <w:vAlign w:val="center"/>
          </w:tcPr>
          <w:p w14:paraId="57027BAD" w14:textId="77777777" w:rsidR="004B0883" w:rsidRDefault="004B0883">
            <w:pPr>
              <w:adjustRightInd w:val="0"/>
              <w:snapToGrid w:val="0"/>
              <w:rPr>
                <w:color w:val="000000"/>
                <w:kern w:val="0"/>
              </w:rPr>
            </w:pPr>
            <w:r>
              <w:rPr>
                <w:rFonts w:hint="eastAsia"/>
                <w:color w:val="000000"/>
                <w:kern w:val="0"/>
              </w:rPr>
              <w:t>伟隆（香港）实业有限公司</w:t>
            </w:r>
          </w:p>
        </w:tc>
        <w:tc>
          <w:tcPr>
            <w:tcW w:w="1316" w:type="dxa"/>
            <w:vAlign w:val="center"/>
          </w:tcPr>
          <w:p w14:paraId="154F9084" w14:textId="77777777" w:rsidR="004B0883" w:rsidRDefault="004B0883">
            <w:pPr>
              <w:adjustRightInd w:val="0"/>
              <w:snapToGrid w:val="0"/>
              <w:jc w:val="center"/>
              <w:rPr>
                <w:color w:val="000000"/>
                <w:kern w:val="0"/>
              </w:rPr>
            </w:pPr>
            <w:r>
              <w:rPr>
                <w:rFonts w:hint="eastAsia"/>
                <w:color w:val="000000"/>
                <w:kern w:val="0"/>
              </w:rPr>
              <w:t>香港</w:t>
            </w:r>
          </w:p>
        </w:tc>
        <w:tc>
          <w:tcPr>
            <w:tcW w:w="969" w:type="dxa"/>
            <w:vAlign w:val="center"/>
          </w:tcPr>
          <w:p w14:paraId="2867C450" w14:textId="77777777" w:rsidR="004B0883" w:rsidRDefault="004B0883">
            <w:pPr>
              <w:adjustRightInd w:val="0"/>
              <w:snapToGrid w:val="0"/>
              <w:jc w:val="center"/>
              <w:rPr>
                <w:color w:val="000000"/>
                <w:kern w:val="0"/>
              </w:rPr>
            </w:pPr>
            <w:r>
              <w:rPr>
                <w:color w:val="000000"/>
                <w:kern w:val="0"/>
              </w:rPr>
              <w:t>100.00%</w:t>
            </w:r>
          </w:p>
        </w:tc>
        <w:tc>
          <w:tcPr>
            <w:tcW w:w="870" w:type="dxa"/>
            <w:vAlign w:val="center"/>
          </w:tcPr>
          <w:p w14:paraId="2FE2F8EC" w14:textId="77777777" w:rsidR="004B0883" w:rsidRDefault="004B0883">
            <w:pPr>
              <w:adjustRightInd w:val="0"/>
              <w:snapToGrid w:val="0"/>
              <w:jc w:val="right"/>
              <w:rPr>
                <w:color w:val="000000"/>
                <w:kern w:val="0"/>
              </w:rPr>
            </w:pPr>
            <w:r>
              <w:rPr>
                <w:color w:val="000000"/>
                <w:kern w:val="0"/>
              </w:rPr>
              <w:t>-</w:t>
            </w:r>
          </w:p>
        </w:tc>
        <w:tc>
          <w:tcPr>
            <w:tcW w:w="1793" w:type="dxa"/>
            <w:vAlign w:val="center"/>
          </w:tcPr>
          <w:p w14:paraId="317430A1" w14:textId="77777777" w:rsidR="004B0883" w:rsidRDefault="004B0883">
            <w:pPr>
              <w:adjustRightInd w:val="0"/>
              <w:snapToGrid w:val="0"/>
              <w:jc w:val="center"/>
              <w:rPr>
                <w:color w:val="000000"/>
                <w:kern w:val="0"/>
              </w:rPr>
            </w:pPr>
            <w:r>
              <w:rPr>
                <w:rFonts w:hint="eastAsia"/>
                <w:color w:val="000000"/>
                <w:kern w:val="0"/>
              </w:rPr>
              <w:t>5</w:t>
            </w:r>
            <w:r>
              <w:rPr>
                <w:rFonts w:hint="eastAsia"/>
                <w:color w:val="000000"/>
                <w:kern w:val="0"/>
              </w:rPr>
              <w:t>万美金</w:t>
            </w:r>
          </w:p>
        </w:tc>
      </w:tr>
      <w:tr w:rsidR="004B0883" w14:paraId="54911D72" w14:textId="77777777">
        <w:trPr>
          <w:trHeight w:val="397"/>
          <w:jc w:val="center"/>
        </w:trPr>
        <w:tc>
          <w:tcPr>
            <w:tcW w:w="800" w:type="dxa"/>
            <w:vAlign w:val="center"/>
          </w:tcPr>
          <w:p w14:paraId="5EFAB972" w14:textId="77777777" w:rsidR="004B0883" w:rsidRDefault="004B0883">
            <w:pPr>
              <w:adjustRightInd w:val="0"/>
              <w:snapToGrid w:val="0"/>
              <w:jc w:val="center"/>
              <w:rPr>
                <w:color w:val="000000"/>
                <w:kern w:val="0"/>
              </w:rPr>
            </w:pPr>
            <w:r>
              <w:rPr>
                <w:color w:val="000000"/>
                <w:kern w:val="0"/>
              </w:rPr>
              <w:t>8</w:t>
            </w:r>
          </w:p>
        </w:tc>
        <w:tc>
          <w:tcPr>
            <w:tcW w:w="2778" w:type="dxa"/>
            <w:vAlign w:val="center"/>
          </w:tcPr>
          <w:p w14:paraId="53A93DBA" w14:textId="77777777" w:rsidR="004B0883" w:rsidRDefault="004B0883">
            <w:pPr>
              <w:adjustRightInd w:val="0"/>
              <w:snapToGrid w:val="0"/>
              <w:rPr>
                <w:color w:val="000000"/>
                <w:kern w:val="0"/>
              </w:rPr>
            </w:pPr>
            <w:r>
              <w:rPr>
                <w:rFonts w:hint="eastAsia"/>
                <w:color w:val="000000"/>
                <w:kern w:val="0"/>
              </w:rPr>
              <w:t>青岛伟隆五金机械有限公司</w:t>
            </w:r>
          </w:p>
        </w:tc>
        <w:tc>
          <w:tcPr>
            <w:tcW w:w="1316" w:type="dxa"/>
            <w:vAlign w:val="center"/>
          </w:tcPr>
          <w:p w14:paraId="1EB1F751" w14:textId="77777777" w:rsidR="004B0883" w:rsidRDefault="004B0883">
            <w:pPr>
              <w:adjustRightInd w:val="0"/>
              <w:snapToGrid w:val="0"/>
              <w:jc w:val="center"/>
              <w:rPr>
                <w:color w:val="000000"/>
                <w:kern w:val="0"/>
              </w:rPr>
            </w:pPr>
            <w:r>
              <w:rPr>
                <w:rFonts w:hint="eastAsia"/>
                <w:color w:val="000000"/>
                <w:kern w:val="0"/>
              </w:rPr>
              <w:t>山东青岛</w:t>
            </w:r>
          </w:p>
        </w:tc>
        <w:tc>
          <w:tcPr>
            <w:tcW w:w="969" w:type="dxa"/>
            <w:vAlign w:val="center"/>
          </w:tcPr>
          <w:p w14:paraId="2C69A3BC" w14:textId="77777777" w:rsidR="004B0883" w:rsidRDefault="004B0883">
            <w:pPr>
              <w:adjustRightInd w:val="0"/>
              <w:snapToGrid w:val="0"/>
              <w:jc w:val="center"/>
              <w:rPr>
                <w:color w:val="000000"/>
                <w:kern w:val="0"/>
              </w:rPr>
            </w:pPr>
            <w:r>
              <w:rPr>
                <w:color w:val="000000"/>
                <w:kern w:val="0"/>
              </w:rPr>
              <w:t>100.00%</w:t>
            </w:r>
          </w:p>
        </w:tc>
        <w:tc>
          <w:tcPr>
            <w:tcW w:w="870" w:type="dxa"/>
            <w:vAlign w:val="center"/>
          </w:tcPr>
          <w:p w14:paraId="6BBB3DCF" w14:textId="77777777" w:rsidR="004B0883" w:rsidRDefault="004B0883">
            <w:pPr>
              <w:adjustRightInd w:val="0"/>
              <w:snapToGrid w:val="0"/>
              <w:jc w:val="right"/>
              <w:rPr>
                <w:color w:val="000000"/>
                <w:kern w:val="0"/>
              </w:rPr>
            </w:pPr>
            <w:r>
              <w:rPr>
                <w:color w:val="000000"/>
                <w:kern w:val="0"/>
              </w:rPr>
              <w:t>-</w:t>
            </w:r>
          </w:p>
        </w:tc>
        <w:tc>
          <w:tcPr>
            <w:tcW w:w="1793" w:type="dxa"/>
            <w:vAlign w:val="center"/>
          </w:tcPr>
          <w:p w14:paraId="093F183A" w14:textId="77777777" w:rsidR="004B0883" w:rsidRDefault="004B0883">
            <w:pPr>
              <w:adjustRightInd w:val="0"/>
              <w:snapToGrid w:val="0"/>
              <w:jc w:val="center"/>
              <w:rPr>
                <w:color w:val="000000"/>
                <w:kern w:val="0"/>
              </w:rPr>
            </w:pPr>
            <w:r>
              <w:rPr>
                <w:color w:val="000000"/>
                <w:kern w:val="0"/>
              </w:rPr>
              <w:t>50</w:t>
            </w:r>
            <w:r>
              <w:rPr>
                <w:color w:val="000000"/>
                <w:kern w:val="0"/>
              </w:rPr>
              <w:t>万元</w:t>
            </w:r>
          </w:p>
        </w:tc>
      </w:tr>
      <w:tr w:rsidR="004B0883" w14:paraId="4862D3F8" w14:textId="77777777">
        <w:trPr>
          <w:trHeight w:val="397"/>
          <w:jc w:val="center"/>
        </w:trPr>
        <w:tc>
          <w:tcPr>
            <w:tcW w:w="800" w:type="dxa"/>
            <w:vAlign w:val="center"/>
          </w:tcPr>
          <w:p w14:paraId="5E2376FA" w14:textId="77777777" w:rsidR="004B0883" w:rsidRDefault="004B0883">
            <w:pPr>
              <w:adjustRightInd w:val="0"/>
              <w:snapToGrid w:val="0"/>
              <w:jc w:val="center"/>
              <w:rPr>
                <w:color w:val="000000"/>
                <w:kern w:val="0"/>
              </w:rPr>
            </w:pPr>
            <w:r>
              <w:rPr>
                <w:color w:val="000000"/>
                <w:kern w:val="0"/>
              </w:rPr>
              <w:t>9</w:t>
            </w:r>
          </w:p>
        </w:tc>
        <w:tc>
          <w:tcPr>
            <w:tcW w:w="2778" w:type="dxa"/>
            <w:vAlign w:val="center"/>
          </w:tcPr>
          <w:p w14:paraId="1198497D" w14:textId="77777777" w:rsidR="004B0883" w:rsidRDefault="004B0883">
            <w:pPr>
              <w:adjustRightInd w:val="0"/>
              <w:snapToGrid w:val="0"/>
              <w:rPr>
                <w:color w:val="000000"/>
                <w:kern w:val="0"/>
              </w:rPr>
            </w:pPr>
            <w:r>
              <w:rPr>
                <w:rFonts w:hint="eastAsia"/>
                <w:color w:val="000000"/>
                <w:kern w:val="0"/>
              </w:rPr>
              <w:t>海南伟隆投资有限公司</w:t>
            </w:r>
          </w:p>
        </w:tc>
        <w:tc>
          <w:tcPr>
            <w:tcW w:w="1316" w:type="dxa"/>
            <w:vAlign w:val="center"/>
          </w:tcPr>
          <w:p w14:paraId="1A47ECC5" w14:textId="77777777" w:rsidR="004B0883" w:rsidRDefault="004B0883">
            <w:pPr>
              <w:adjustRightInd w:val="0"/>
              <w:snapToGrid w:val="0"/>
              <w:jc w:val="center"/>
              <w:rPr>
                <w:color w:val="000000"/>
                <w:kern w:val="0"/>
              </w:rPr>
            </w:pPr>
            <w:r>
              <w:rPr>
                <w:rFonts w:hint="eastAsia"/>
                <w:color w:val="000000"/>
                <w:kern w:val="0"/>
              </w:rPr>
              <w:t>海南省澄迈县</w:t>
            </w:r>
          </w:p>
        </w:tc>
        <w:tc>
          <w:tcPr>
            <w:tcW w:w="969" w:type="dxa"/>
            <w:vAlign w:val="center"/>
          </w:tcPr>
          <w:p w14:paraId="5453096C" w14:textId="77777777" w:rsidR="004B0883" w:rsidRDefault="004B0883">
            <w:pPr>
              <w:adjustRightInd w:val="0"/>
              <w:snapToGrid w:val="0"/>
              <w:jc w:val="center"/>
              <w:rPr>
                <w:color w:val="000000"/>
                <w:kern w:val="0"/>
              </w:rPr>
            </w:pPr>
            <w:r>
              <w:rPr>
                <w:color w:val="000000"/>
                <w:kern w:val="0"/>
              </w:rPr>
              <w:t>60.00%</w:t>
            </w:r>
          </w:p>
        </w:tc>
        <w:tc>
          <w:tcPr>
            <w:tcW w:w="870" w:type="dxa"/>
            <w:vAlign w:val="center"/>
          </w:tcPr>
          <w:p w14:paraId="109D557F" w14:textId="77777777" w:rsidR="004B0883" w:rsidRDefault="004B0883">
            <w:pPr>
              <w:adjustRightInd w:val="0"/>
              <w:snapToGrid w:val="0"/>
              <w:jc w:val="right"/>
              <w:rPr>
                <w:color w:val="000000"/>
                <w:kern w:val="0"/>
              </w:rPr>
            </w:pPr>
            <w:r>
              <w:rPr>
                <w:color w:val="000000"/>
                <w:kern w:val="0"/>
              </w:rPr>
              <w:t>-</w:t>
            </w:r>
          </w:p>
        </w:tc>
        <w:tc>
          <w:tcPr>
            <w:tcW w:w="1793" w:type="dxa"/>
            <w:vAlign w:val="center"/>
          </w:tcPr>
          <w:p w14:paraId="7EE593C4" w14:textId="77777777" w:rsidR="004B0883" w:rsidRDefault="004B0883">
            <w:pPr>
              <w:adjustRightInd w:val="0"/>
              <w:snapToGrid w:val="0"/>
              <w:jc w:val="center"/>
              <w:rPr>
                <w:color w:val="000000"/>
                <w:kern w:val="0"/>
              </w:rPr>
            </w:pPr>
            <w:r>
              <w:rPr>
                <w:color w:val="000000"/>
                <w:kern w:val="0"/>
              </w:rPr>
              <w:t>10,000</w:t>
            </w:r>
            <w:r>
              <w:rPr>
                <w:color w:val="000000"/>
                <w:kern w:val="0"/>
              </w:rPr>
              <w:t>万元</w:t>
            </w:r>
          </w:p>
        </w:tc>
      </w:tr>
    </w:tbl>
    <w:p w14:paraId="126A9E0C" w14:textId="77777777" w:rsidR="004B0883" w:rsidRDefault="004B0883">
      <w:pPr>
        <w:pStyle w:val="006"/>
        <w:ind w:firstLine="420"/>
        <w:rPr>
          <w:rFonts w:ascii="楷体" w:eastAsia="楷体" w:hAnsi="楷体"/>
        </w:rPr>
      </w:pPr>
      <w:r>
        <w:rPr>
          <w:rFonts w:hint="eastAsia"/>
        </w:rPr>
        <w:t>注</w:t>
      </w:r>
      <w:r>
        <w:rPr>
          <w:rFonts w:hint="eastAsia"/>
        </w:rPr>
        <w:t>1</w:t>
      </w:r>
      <w:r>
        <w:rPr>
          <w:rFonts w:hint="eastAsia"/>
        </w:rPr>
        <w:t>：</w:t>
      </w:r>
      <w:r>
        <w:rPr>
          <w:rFonts w:hint="eastAsia"/>
        </w:rPr>
        <w:t>2023</w:t>
      </w:r>
      <w:r>
        <w:rPr>
          <w:rFonts w:hint="eastAsia"/>
        </w:rPr>
        <w:t>年</w:t>
      </w:r>
      <w:r>
        <w:rPr>
          <w:rFonts w:hint="eastAsia"/>
        </w:rPr>
        <w:t>4</w:t>
      </w:r>
      <w:r>
        <w:rPr>
          <w:rFonts w:hint="eastAsia"/>
        </w:rPr>
        <w:t>月，发行人实施</w:t>
      </w:r>
      <w:r>
        <w:rPr>
          <w:rFonts w:hint="eastAsia"/>
        </w:rPr>
        <w:t>2022</w:t>
      </w:r>
      <w:r>
        <w:rPr>
          <w:rFonts w:hint="eastAsia"/>
        </w:rPr>
        <w:t>年度利润分配及资本公积转增股本方案。发行人以</w:t>
      </w:r>
      <w:r>
        <w:rPr>
          <w:rFonts w:hint="eastAsia"/>
        </w:rPr>
        <w:t>2022</w:t>
      </w:r>
      <w:r>
        <w:rPr>
          <w:rFonts w:hint="eastAsia"/>
        </w:rPr>
        <w:t>年</w:t>
      </w:r>
      <w:r>
        <w:rPr>
          <w:rFonts w:hint="eastAsia"/>
        </w:rPr>
        <w:t>12</w:t>
      </w:r>
      <w:r>
        <w:rPr>
          <w:rFonts w:hint="eastAsia"/>
        </w:rPr>
        <w:t>月</w:t>
      </w:r>
      <w:r>
        <w:rPr>
          <w:rFonts w:hint="eastAsia"/>
        </w:rPr>
        <w:t>31</w:t>
      </w:r>
      <w:r>
        <w:rPr>
          <w:rFonts w:hint="eastAsia"/>
        </w:rPr>
        <w:t>日的总股本</w:t>
      </w:r>
      <w:r>
        <w:rPr>
          <w:rFonts w:hint="eastAsia"/>
        </w:rPr>
        <w:t>168,877,148</w:t>
      </w:r>
      <w:r>
        <w:rPr>
          <w:rFonts w:hint="eastAsia"/>
        </w:rPr>
        <w:t>股为基数，向全体股东每</w:t>
      </w:r>
      <w:r>
        <w:rPr>
          <w:rFonts w:hint="eastAsia"/>
        </w:rPr>
        <w:t>10</w:t>
      </w:r>
      <w:r>
        <w:rPr>
          <w:rFonts w:hint="eastAsia"/>
        </w:rPr>
        <w:t>股派发现金红利</w:t>
      </w:r>
      <w:r>
        <w:rPr>
          <w:rFonts w:hint="eastAsia"/>
        </w:rPr>
        <w:t>3.00</w:t>
      </w:r>
      <w:r>
        <w:rPr>
          <w:rFonts w:hint="eastAsia"/>
        </w:rPr>
        <w:t>元（含税），共派发现金红利为</w:t>
      </w:r>
      <w:r>
        <w:rPr>
          <w:rFonts w:hint="eastAsia"/>
        </w:rPr>
        <w:t>50,663,144.40</w:t>
      </w:r>
      <w:r>
        <w:rPr>
          <w:rFonts w:hint="eastAsia"/>
        </w:rPr>
        <w:t>元（含税），以资本公积金向全体股东每</w:t>
      </w:r>
      <w:r>
        <w:rPr>
          <w:rFonts w:hint="eastAsia"/>
        </w:rPr>
        <w:t>10</w:t>
      </w:r>
      <w:r>
        <w:rPr>
          <w:rFonts w:hint="eastAsia"/>
        </w:rPr>
        <w:t>股转增</w:t>
      </w:r>
      <w:r>
        <w:rPr>
          <w:rFonts w:hint="eastAsia"/>
        </w:rPr>
        <w:t>3</w:t>
      </w:r>
      <w:r>
        <w:rPr>
          <w:rFonts w:hint="eastAsia"/>
        </w:rPr>
        <w:t>股，共计转增</w:t>
      </w:r>
      <w:r>
        <w:rPr>
          <w:rFonts w:hint="eastAsia"/>
        </w:rPr>
        <w:t>50,663,144</w:t>
      </w:r>
      <w:r>
        <w:rPr>
          <w:rFonts w:hint="eastAsia"/>
        </w:rPr>
        <w:t>股，总股本由</w:t>
      </w:r>
      <w:r>
        <w:rPr>
          <w:rFonts w:hint="eastAsia"/>
        </w:rPr>
        <w:t>168,877,148</w:t>
      </w:r>
      <w:r>
        <w:rPr>
          <w:rFonts w:hint="eastAsia"/>
        </w:rPr>
        <w:t>股增加至</w:t>
      </w:r>
      <w:r>
        <w:rPr>
          <w:rFonts w:hint="eastAsia"/>
        </w:rPr>
        <w:t>219,540,292</w:t>
      </w:r>
      <w:r>
        <w:rPr>
          <w:rFonts w:hint="eastAsia"/>
        </w:rPr>
        <w:t>股。</w:t>
      </w:r>
      <w:r>
        <w:rPr>
          <w:rFonts w:hint="eastAsia"/>
        </w:rPr>
        <w:t>2023</w:t>
      </w:r>
      <w:r>
        <w:rPr>
          <w:rFonts w:hint="eastAsia"/>
        </w:rPr>
        <w:t>年</w:t>
      </w:r>
      <w:r>
        <w:rPr>
          <w:rFonts w:hint="eastAsia"/>
        </w:rPr>
        <w:t>10</w:t>
      </w:r>
      <w:r>
        <w:rPr>
          <w:rFonts w:hint="eastAsia"/>
        </w:rPr>
        <w:t>月</w:t>
      </w:r>
      <w:r>
        <w:rPr>
          <w:rFonts w:hint="eastAsia"/>
        </w:rPr>
        <w:t>16</w:t>
      </w:r>
      <w:r>
        <w:rPr>
          <w:rFonts w:hint="eastAsia"/>
        </w:rPr>
        <w:t>日，公司注册资本由</w:t>
      </w:r>
      <w:r>
        <w:rPr>
          <w:rFonts w:hint="eastAsia"/>
        </w:rPr>
        <w:t>16,903.2648</w:t>
      </w:r>
      <w:r>
        <w:rPr>
          <w:rFonts w:hint="eastAsia"/>
        </w:rPr>
        <w:t>万元</w:t>
      </w:r>
      <w:r>
        <w:rPr>
          <w:rFonts w:hint="eastAsia"/>
          <w:color w:val="000000"/>
          <w:kern w:val="0"/>
          <w:szCs w:val="21"/>
        </w:rPr>
        <w:t>变更至</w:t>
      </w:r>
      <w:r>
        <w:rPr>
          <w:rFonts w:hint="eastAsia"/>
          <w:color w:val="000000"/>
          <w:kern w:val="0"/>
          <w:szCs w:val="21"/>
        </w:rPr>
        <w:t>21,954.0292</w:t>
      </w:r>
      <w:r>
        <w:rPr>
          <w:rFonts w:hint="eastAsia"/>
          <w:color w:val="000000"/>
          <w:kern w:val="0"/>
          <w:szCs w:val="21"/>
        </w:rPr>
        <w:t>万元。</w:t>
      </w:r>
      <w:r>
        <w:rPr>
          <w:rFonts w:ascii="楷体" w:eastAsia="楷体" w:hAnsi="楷体" w:hint="eastAsia"/>
          <w:b/>
          <w:bCs w:val="0"/>
          <w:color w:val="000000"/>
          <w:kern w:val="0"/>
          <w:szCs w:val="21"/>
        </w:rPr>
        <w:t>2</w:t>
      </w:r>
      <w:r>
        <w:rPr>
          <w:rFonts w:ascii="楷体" w:eastAsia="楷体" w:hAnsi="楷体"/>
          <w:b/>
          <w:bCs w:val="0"/>
          <w:color w:val="000000"/>
          <w:kern w:val="0"/>
          <w:szCs w:val="21"/>
        </w:rPr>
        <w:t>023</w:t>
      </w:r>
      <w:r>
        <w:rPr>
          <w:rFonts w:ascii="楷体" w:eastAsia="楷体" w:hAnsi="楷体" w:hint="eastAsia"/>
          <w:b/>
          <w:bCs w:val="0"/>
          <w:color w:val="000000"/>
          <w:kern w:val="0"/>
          <w:szCs w:val="21"/>
        </w:rPr>
        <w:t>年1</w:t>
      </w:r>
      <w:r>
        <w:rPr>
          <w:rFonts w:ascii="楷体" w:eastAsia="楷体" w:hAnsi="楷体"/>
          <w:b/>
          <w:bCs w:val="0"/>
          <w:color w:val="000000"/>
          <w:kern w:val="0"/>
          <w:szCs w:val="21"/>
        </w:rPr>
        <w:t>2</w:t>
      </w:r>
      <w:r>
        <w:rPr>
          <w:rFonts w:ascii="楷体" w:eastAsia="楷体" w:hAnsi="楷体" w:hint="eastAsia"/>
          <w:b/>
          <w:bCs w:val="0"/>
          <w:color w:val="000000"/>
          <w:kern w:val="0"/>
          <w:szCs w:val="21"/>
        </w:rPr>
        <w:t>月8日，</w:t>
      </w:r>
      <w:r>
        <w:rPr>
          <w:rFonts w:ascii="楷体" w:eastAsia="楷体" w:hAnsi="楷体" w:hint="eastAsia"/>
          <w:b/>
          <w:bCs w:val="0"/>
        </w:rPr>
        <w:t>公司注册资本由</w:t>
      </w:r>
      <w:r>
        <w:rPr>
          <w:rFonts w:ascii="楷体" w:eastAsia="楷体" w:hAnsi="楷体" w:hint="eastAsia"/>
          <w:b/>
          <w:bCs w:val="0"/>
          <w:color w:val="000000"/>
          <w:kern w:val="0"/>
          <w:szCs w:val="21"/>
        </w:rPr>
        <w:t>21,954.0292</w:t>
      </w:r>
      <w:r>
        <w:rPr>
          <w:rFonts w:ascii="楷体" w:eastAsia="楷体" w:hAnsi="楷体" w:hint="eastAsia"/>
          <w:b/>
          <w:bCs w:val="0"/>
        </w:rPr>
        <w:t>万元</w:t>
      </w:r>
      <w:r>
        <w:rPr>
          <w:rFonts w:ascii="楷体" w:eastAsia="楷体" w:hAnsi="楷体" w:hint="eastAsia"/>
          <w:b/>
          <w:bCs w:val="0"/>
          <w:color w:val="000000"/>
          <w:kern w:val="0"/>
          <w:szCs w:val="21"/>
        </w:rPr>
        <w:t>变更至</w:t>
      </w:r>
      <w:r>
        <w:rPr>
          <w:rFonts w:ascii="楷体" w:eastAsia="楷体" w:hAnsi="楷体"/>
          <w:b/>
          <w:bCs w:val="0"/>
        </w:rPr>
        <w:t>21,936.8887</w:t>
      </w:r>
      <w:r>
        <w:rPr>
          <w:rFonts w:ascii="楷体" w:eastAsia="楷体" w:hAnsi="楷体" w:hint="eastAsia"/>
          <w:b/>
          <w:bCs w:val="0"/>
          <w:color w:val="000000"/>
          <w:kern w:val="0"/>
          <w:szCs w:val="21"/>
        </w:rPr>
        <w:t>万元</w:t>
      </w:r>
      <w:r>
        <w:rPr>
          <w:rFonts w:ascii="楷体" w:eastAsia="楷体" w:hAnsi="楷体" w:hint="eastAsia"/>
          <w:color w:val="000000"/>
          <w:kern w:val="0"/>
          <w:szCs w:val="21"/>
        </w:rPr>
        <w:t>。</w:t>
      </w:r>
    </w:p>
    <w:p w14:paraId="1F3DFABE" w14:textId="77777777" w:rsidR="004B0883" w:rsidRDefault="004B0883">
      <w:pPr>
        <w:pStyle w:val="003"/>
        <w:spacing w:before="120" w:after="120"/>
      </w:pPr>
      <w:r>
        <w:rPr>
          <w:rFonts w:hint="eastAsia"/>
        </w:rPr>
        <w:t>（四）报告期内发行人合并报表范围的变更情况</w:t>
      </w:r>
    </w:p>
    <w:p w14:paraId="27C91055" w14:textId="77777777" w:rsidR="004B0883" w:rsidRDefault="004B0883">
      <w:pPr>
        <w:pStyle w:val="005"/>
        <w:spacing w:before="120"/>
        <w:ind w:firstLine="480"/>
      </w:pPr>
      <w:r>
        <w:rPr>
          <w:rFonts w:hint="eastAsia"/>
        </w:rPr>
        <w:t>报告期内，纳入合并财务报表范围的子公司或被合并方情况如下：</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743"/>
        <w:gridCol w:w="3537"/>
      </w:tblGrid>
      <w:tr w:rsidR="004B0883" w14:paraId="7860C45B" w14:textId="77777777">
        <w:trPr>
          <w:trHeight w:val="397"/>
          <w:jc w:val="center"/>
        </w:trPr>
        <w:tc>
          <w:tcPr>
            <w:tcW w:w="4884" w:type="dxa"/>
            <w:shd w:val="clear" w:color="auto" w:fill="D9D9D9"/>
            <w:vAlign w:val="center"/>
          </w:tcPr>
          <w:p w14:paraId="67846764" w14:textId="77777777" w:rsidR="004B0883" w:rsidRDefault="004B0883">
            <w:pPr>
              <w:adjustRightInd w:val="0"/>
              <w:snapToGrid w:val="0"/>
              <w:jc w:val="center"/>
              <w:rPr>
                <w:b/>
                <w:bCs/>
                <w:color w:val="000000"/>
                <w:kern w:val="0"/>
              </w:rPr>
            </w:pPr>
            <w:r>
              <w:rPr>
                <w:b/>
                <w:bCs/>
                <w:color w:val="000000"/>
                <w:kern w:val="0"/>
              </w:rPr>
              <w:t>2023</w:t>
            </w:r>
            <w:r>
              <w:rPr>
                <w:b/>
                <w:bCs/>
                <w:color w:val="000000"/>
                <w:kern w:val="0"/>
              </w:rPr>
              <w:t>年</w:t>
            </w:r>
            <w:r>
              <w:rPr>
                <w:b/>
                <w:bCs/>
                <w:color w:val="000000"/>
                <w:kern w:val="0"/>
              </w:rPr>
              <w:t>1-</w:t>
            </w:r>
            <w:r>
              <w:rPr>
                <w:rFonts w:hint="eastAsia"/>
                <w:b/>
                <w:bCs/>
                <w:color w:val="000000"/>
                <w:kern w:val="0"/>
              </w:rPr>
              <w:t>9</w:t>
            </w:r>
            <w:r>
              <w:rPr>
                <w:b/>
                <w:bCs/>
                <w:color w:val="000000"/>
                <w:kern w:val="0"/>
              </w:rPr>
              <w:t>月</w:t>
            </w:r>
          </w:p>
        </w:tc>
        <w:tc>
          <w:tcPr>
            <w:tcW w:w="3644" w:type="dxa"/>
            <w:shd w:val="clear" w:color="auto" w:fill="D9D9D9"/>
            <w:vAlign w:val="center"/>
          </w:tcPr>
          <w:p w14:paraId="5D7F515A" w14:textId="77777777" w:rsidR="004B0883" w:rsidRDefault="004B0883">
            <w:pPr>
              <w:adjustRightInd w:val="0"/>
              <w:snapToGrid w:val="0"/>
              <w:jc w:val="center"/>
              <w:rPr>
                <w:b/>
                <w:bCs/>
                <w:color w:val="000000"/>
                <w:kern w:val="0"/>
              </w:rPr>
            </w:pPr>
            <w:r>
              <w:rPr>
                <w:b/>
                <w:bCs/>
                <w:color w:val="000000"/>
                <w:kern w:val="0"/>
              </w:rPr>
              <w:t>变动原因</w:t>
            </w:r>
          </w:p>
        </w:tc>
      </w:tr>
      <w:tr w:rsidR="004B0883" w14:paraId="1767C551" w14:textId="77777777">
        <w:trPr>
          <w:trHeight w:val="397"/>
          <w:jc w:val="center"/>
        </w:trPr>
        <w:tc>
          <w:tcPr>
            <w:tcW w:w="8528" w:type="dxa"/>
            <w:gridSpan w:val="2"/>
            <w:vAlign w:val="center"/>
          </w:tcPr>
          <w:p w14:paraId="3359CF05" w14:textId="77777777" w:rsidR="004B0883" w:rsidRDefault="004B0883">
            <w:pPr>
              <w:adjustRightInd w:val="0"/>
              <w:snapToGrid w:val="0"/>
              <w:jc w:val="center"/>
              <w:rPr>
                <w:b/>
                <w:bCs/>
                <w:color w:val="000000"/>
                <w:kern w:val="0"/>
              </w:rPr>
            </w:pPr>
            <w:r>
              <w:rPr>
                <w:b/>
                <w:bCs/>
                <w:color w:val="000000"/>
                <w:kern w:val="0"/>
              </w:rPr>
              <w:t>新增合并单位</w:t>
            </w:r>
          </w:p>
        </w:tc>
      </w:tr>
      <w:tr w:rsidR="004B0883" w14:paraId="2E58C704" w14:textId="77777777">
        <w:trPr>
          <w:trHeight w:val="397"/>
          <w:jc w:val="center"/>
        </w:trPr>
        <w:tc>
          <w:tcPr>
            <w:tcW w:w="4884" w:type="dxa"/>
            <w:vAlign w:val="center"/>
          </w:tcPr>
          <w:p w14:paraId="03096762" w14:textId="77777777" w:rsidR="004B0883" w:rsidRDefault="004B0883">
            <w:pPr>
              <w:adjustRightInd w:val="0"/>
              <w:snapToGrid w:val="0"/>
              <w:jc w:val="center"/>
              <w:rPr>
                <w:color w:val="000000"/>
                <w:kern w:val="0"/>
              </w:rPr>
            </w:pPr>
            <w:r>
              <w:rPr>
                <w:rFonts w:hint="eastAsia"/>
                <w:color w:val="000000"/>
                <w:kern w:val="0"/>
              </w:rPr>
              <w:t>青岛伟隆海洋科技有限公司</w:t>
            </w:r>
          </w:p>
        </w:tc>
        <w:tc>
          <w:tcPr>
            <w:tcW w:w="3644" w:type="dxa"/>
            <w:vAlign w:val="center"/>
          </w:tcPr>
          <w:p w14:paraId="1ACFBB7F" w14:textId="77777777" w:rsidR="004B0883" w:rsidRDefault="004B0883">
            <w:pPr>
              <w:adjustRightInd w:val="0"/>
              <w:snapToGrid w:val="0"/>
              <w:jc w:val="center"/>
              <w:rPr>
                <w:color w:val="000000"/>
                <w:kern w:val="0"/>
              </w:rPr>
            </w:pPr>
            <w:r>
              <w:rPr>
                <w:rFonts w:hint="eastAsia"/>
                <w:color w:val="000000"/>
                <w:kern w:val="0"/>
              </w:rPr>
              <w:t>增资控股</w:t>
            </w:r>
          </w:p>
        </w:tc>
      </w:tr>
      <w:tr w:rsidR="004B0883" w14:paraId="513CA800" w14:textId="77777777">
        <w:trPr>
          <w:trHeight w:val="397"/>
          <w:jc w:val="center"/>
        </w:trPr>
        <w:tc>
          <w:tcPr>
            <w:tcW w:w="8528" w:type="dxa"/>
            <w:gridSpan w:val="2"/>
            <w:vAlign w:val="center"/>
          </w:tcPr>
          <w:p w14:paraId="1ED7A0B3" w14:textId="77777777" w:rsidR="004B0883" w:rsidRDefault="004B0883">
            <w:pPr>
              <w:adjustRightInd w:val="0"/>
              <w:snapToGrid w:val="0"/>
              <w:jc w:val="center"/>
              <w:rPr>
                <w:b/>
                <w:bCs/>
                <w:color w:val="000000"/>
                <w:kern w:val="0"/>
              </w:rPr>
            </w:pPr>
            <w:r>
              <w:rPr>
                <w:b/>
                <w:bCs/>
                <w:color w:val="000000"/>
                <w:kern w:val="0"/>
              </w:rPr>
              <w:t>减少合并单位</w:t>
            </w:r>
          </w:p>
        </w:tc>
      </w:tr>
      <w:tr w:rsidR="004B0883" w14:paraId="58BA882C" w14:textId="77777777">
        <w:trPr>
          <w:trHeight w:val="397"/>
          <w:jc w:val="center"/>
        </w:trPr>
        <w:tc>
          <w:tcPr>
            <w:tcW w:w="4884" w:type="dxa"/>
            <w:vAlign w:val="center"/>
          </w:tcPr>
          <w:p w14:paraId="1F05F1F3" w14:textId="77777777" w:rsidR="004B0883" w:rsidRDefault="004B0883">
            <w:pPr>
              <w:adjustRightInd w:val="0"/>
              <w:snapToGrid w:val="0"/>
              <w:jc w:val="center"/>
              <w:rPr>
                <w:b/>
                <w:bCs/>
                <w:color w:val="000000"/>
                <w:kern w:val="0"/>
              </w:rPr>
            </w:pPr>
            <w:r>
              <w:rPr>
                <w:rFonts w:hint="eastAsia"/>
                <w:color w:val="000000"/>
                <w:kern w:val="0"/>
              </w:rPr>
              <w:t>青岛伟隆海洋科技有限公司</w:t>
            </w:r>
          </w:p>
        </w:tc>
        <w:tc>
          <w:tcPr>
            <w:tcW w:w="3644" w:type="dxa"/>
            <w:vAlign w:val="center"/>
          </w:tcPr>
          <w:p w14:paraId="421FCAF9" w14:textId="77777777" w:rsidR="004B0883" w:rsidRDefault="004B0883">
            <w:pPr>
              <w:adjustRightInd w:val="0"/>
              <w:snapToGrid w:val="0"/>
              <w:jc w:val="center"/>
              <w:rPr>
                <w:color w:val="000000"/>
                <w:kern w:val="0"/>
              </w:rPr>
            </w:pPr>
            <w:r>
              <w:rPr>
                <w:rFonts w:hint="eastAsia"/>
                <w:color w:val="000000"/>
                <w:kern w:val="0"/>
              </w:rPr>
              <w:t>处置</w:t>
            </w:r>
          </w:p>
        </w:tc>
      </w:tr>
      <w:tr w:rsidR="004B0883" w14:paraId="4CAC1DEF" w14:textId="77777777">
        <w:trPr>
          <w:trHeight w:val="397"/>
          <w:jc w:val="center"/>
        </w:trPr>
        <w:tc>
          <w:tcPr>
            <w:tcW w:w="4884" w:type="dxa"/>
            <w:shd w:val="clear" w:color="auto" w:fill="D9D9D9"/>
            <w:vAlign w:val="center"/>
          </w:tcPr>
          <w:p w14:paraId="0706F866" w14:textId="77777777" w:rsidR="004B0883" w:rsidRDefault="004B0883">
            <w:pPr>
              <w:adjustRightInd w:val="0"/>
              <w:snapToGrid w:val="0"/>
              <w:jc w:val="center"/>
              <w:rPr>
                <w:color w:val="000000"/>
                <w:kern w:val="0"/>
              </w:rPr>
            </w:pPr>
            <w:r>
              <w:rPr>
                <w:b/>
                <w:bCs/>
                <w:color w:val="000000"/>
                <w:kern w:val="0"/>
              </w:rPr>
              <w:t>2022</w:t>
            </w:r>
            <w:r>
              <w:rPr>
                <w:b/>
                <w:bCs/>
                <w:color w:val="000000"/>
                <w:kern w:val="0"/>
              </w:rPr>
              <w:t>年</w:t>
            </w:r>
          </w:p>
        </w:tc>
        <w:tc>
          <w:tcPr>
            <w:tcW w:w="3644" w:type="dxa"/>
            <w:shd w:val="clear" w:color="auto" w:fill="D9D9D9"/>
            <w:vAlign w:val="center"/>
          </w:tcPr>
          <w:p w14:paraId="3174108F" w14:textId="77777777" w:rsidR="004B0883" w:rsidRDefault="004B0883">
            <w:pPr>
              <w:adjustRightInd w:val="0"/>
              <w:snapToGrid w:val="0"/>
              <w:jc w:val="center"/>
              <w:rPr>
                <w:color w:val="000000"/>
                <w:kern w:val="0"/>
              </w:rPr>
            </w:pPr>
            <w:r>
              <w:rPr>
                <w:b/>
                <w:bCs/>
                <w:color w:val="000000"/>
                <w:kern w:val="0"/>
              </w:rPr>
              <w:t>变动原因</w:t>
            </w:r>
          </w:p>
        </w:tc>
      </w:tr>
      <w:tr w:rsidR="004B0883" w14:paraId="1AC74783" w14:textId="77777777">
        <w:trPr>
          <w:trHeight w:val="397"/>
          <w:jc w:val="center"/>
        </w:trPr>
        <w:tc>
          <w:tcPr>
            <w:tcW w:w="8528" w:type="dxa"/>
            <w:gridSpan w:val="2"/>
            <w:vAlign w:val="center"/>
          </w:tcPr>
          <w:p w14:paraId="02052774" w14:textId="77777777" w:rsidR="004B0883" w:rsidRDefault="004B0883">
            <w:pPr>
              <w:adjustRightInd w:val="0"/>
              <w:snapToGrid w:val="0"/>
              <w:jc w:val="center"/>
              <w:rPr>
                <w:color w:val="000000"/>
                <w:kern w:val="0"/>
              </w:rPr>
            </w:pPr>
            <w:r>
              <w:rPr>
                <w:b/>
                <w:bCs/>
                <w:color w:val="000000"/>
                <w:kern w:val="0"/>
              </w:rPr>
              <w:t>新增合并单位</w:t>
            </w:r>
          </w:p>
        </w:tc>
      </w:tr>
      <w:tr w:rsidR="004B0883" w14:paraId="63A639A3" w14:textId="77777777">
        <w:trPr>
          <w:trHeight w:val="397"/>
          <w:jc w:val="center"/>
        </w:trPr>
        <w:tc>
          <w:tcPr>
            <w:tcW w:w="4884" w:type="dxa"/>
            <w:vAlign w:val="center"/>
          </w:tcPr>
          <w:p w14:paraId="6A0F332C" w14:textId="77777777" w:rsidR="004B0883" w:rsidRDefault="004B0883">
            <w:pPr>
              <w:adjustRightInd w:val="0"/>
              <w:snapToGrid w:val="0"/>
              <w:jc w:val="center"/>
              <w:rPr>
                <w:color w:val="000000"/>
                <w:kern w:val="0"/>
              </w:rPr>
            </w:pPr>
            <w:r>
              <w:rPr>
                <w:rFonts w:hint="eastAsia"/>
                <w:color w:val="000000"/>
                <w:kern w:val="0"/>
              </w:rPr>
              <w:t>海南伟隆投资有限公司</w:t>
            </w:r>
          </w:p>
        </w:tc>
        <w:tc>
          <w:tcPr>
            <w:tcW w:w="3644" w:type="dxa"/>
            <w:vAlign w:val="center"/>
          </w:tcPr>
          <w:p w14:paraId="642B13DF" w14:textId="77777777" w:rsidR="004B0883" w:rsidRDefault="004B0883">
            <w:pPr>
              <w:adjustRightInd w:val="0"/>
              <w:snapToGrid w:val="0"/>
              <w:jc w:val="center"/>
              <w:rPr>
                <w:color w:val="000000"/>
                <w:kern w:val="0"/>
              </w:rPr>
            </w:pPr>
            <w:r>
              <w:rPr>
                <w:rFonts w:hint="eastAsia"/>
                <w:color w:val="000000"/>
                <w:kern w:val="0"/>
              </w:rPr>
              <w:t>新设</w:t>
            </w:r>
          </w:p>
        </w:tc>
      </w:tr>
      <w:tr w:rsidR="004B0883" w14:paraId="7DEF08EB" w14:textId="77777777">
        <w:trPr>
          <w:trHeight w:val="397"/>
          <w:jc w:val="center"/>
        </w:trPr>
        <w:tc>
          <w:tcPr>
            <w:tcW w:w="8528" w:type="dxa"/>
            <w:gridSpan w:val="2"/>
            <w:vAlign w:val="center"/>
          </w:tcPr>
          <w:p w14:paraId="7AFE0411" w14:textId="77777777" w:rsidR="004B0883" w:rsidRDefault="004B0883">
            <w:pPr>
              <w:adjustRightInd w:val="0"/>
              <w:snapToGrid w:val="0"/>
              <w:jc w:val="center"/>
              <w:rPr>
                <w:b/>
                <w:bCs/>
                <w:color w:val="000000"/>
                <w:kern w:val="0"/>
              </w:rPr>
            </w:pPr>
            <w:r>
              <w:rPr>
                <w:b/>
                <w:bCs/>
                <w:color w:val="000000"/>
                <w:kern w:val="0"/>
              </w:rPr>
              <w:t>减少合并单位</w:t>
            </w:r>
          </w:p>
        </w:tc>
      </w:tr>
      <w:tr w:rsidR="004B0883" w14:paraId="465C065F" w14:textId="77777777">
        <w:trPr>
          <w:trHeight w:val="397"/>
          <w:jc w:val="center"/>
        </w:trPr>
        <w:tc>
          <w:tcPr>
            <w:tcW w:w="4884" w:type="dxa"/>
            <w:vAlign w:val="center"/>
          </w:tcPr>
          <w:p w14:paraId="56360C3E" w14:textId="77777777" w:rsidR="004B0883" w:rsidRDefault="004B0883">
            <w:pPr>
              <w:adjustRightInd w:val="0"/>
              <w:snapToGrid w:val="0"/>
              <w:jc w:val="center"/>
              <w:rPr>
                <w:color w:val="000000"/>
                <w:kern w:val="0"/>
              </w:rPr>
            </w:pPr>
            <w:r>
              <w:rPr>
                <w:rFonts w:hint="eastAsia"/>
                <w:color w:val="000000"/>
                <w:kern w:val="0"/>
              </w:rPr>
              <w:t>青岛即聚机电有限责任公司</w:t>
            </w:r>
          </w:p>
        </w:tc>
        <w:tc>
          <w:tcPr>
            <w:tcW w:w="3644" w:type="dxa"/>
            <w:vAlign w:val="center"/>
          </w:tcPr>
          <w:p w14:paraId="72807D83" w14:textId="77777777" w:rsidR="004B0883" w:rsidRDefault="004B0883">
            <w:pPr>
              <w:adjustRightInd w:val="0"/>
              <w:snapToGrid w:val="0"/>
              <w:jc w:val="center"/>
              <w:rPr>
                <w:color w:val="000000"/>
                <w:kern w:val="0"/>
              </w:rPr>
            </w:pPr>
            <w:r>
              <w:rPr>
                <w:rFonts w:hint="eastAsia"/>
                <w:color w:val="000000"/>
                <w:kern w:val="0"/>
              </w:rPr>
              <w:t>处置</w:t>
            </w:r>
          </w:p>
        </w:tc>
      </w:tr>
      <w:tr w:rsidR="004B0883" w14:paraId="45228D9A" w14:textId="77777777">
        <w:trPr>
          <w:trHeight w:val="397"/>
          <w:jc w:val="center"/>
        </w:trPr>
        <w:tc>
          <w:tcPr>
            <w:tcW w:w="4884" w:type="dxa"/>
            <w:shd w:val="clear" w:color="auto" w:fill="D9D9D9"/>
            <w:vAlign w:val="center"/>
          </w:tcPr>
          <w:p w14:paraId="536D470C" w14:textId="77777777" w:rsidR="004B0883" w:rsidRDefault="004B0883">
            <w:pPr>
              <w:adjustRightInd w:val="0"/>
              <w:snapToGrid w:val="0"/>
              <w:jc w:val="center"/>
              <w:rPr>
                <w:b/>
                <w:bCs/>
                <w:color w:val="000000"/>
                <w:kern w:val="0"/>
              </w:rPr>
            </w:pPr>
            <w:r>
              <w:rPr>
                <w:b/>
                <w:bCs/>
                <w:color w:val="000000"/>
                <w:kern w:val="0"/>
              </w:rPr>
              <w:t>2021</w:t>
            </w:r>
            <w:r>
              <w:rPr>
                <w:b/>
                <w:bCs/>
                <w:color w:val="000000"/>
                <w:kern w:val="0"/>
              </w:rPr>
              <w:t>年</w:t>
            </w:r>
          </w:p>
        </w:tc>
        <w:tc>
          <w:tcPr>
            <w:tcW w:w="3644" w:type="dxa"/>
            <w:shd w:val="clear" w:color="auto" w:fill="D9D9D9"/>
            <w:vAlign w:val="center"/>
          </w:tcPr>
          <w:p w14:paraId="224B7DB7" w14:textId="77777777" w:rsidR="004B0883" w:rsidRDefault="004B0883">
            <w:pPr>
              <w:adjustRightInd w:val="0"/>
              <w:snapToGrid w:val="0"/>
              <w:jc w:val="center"/>
              <w:rPr>
                <w:b/>
                <w:bCs/>
                <w:color w:val="000000"/>
                <w:kern w:val="0"/>
              </w:rPr>
            </w:pPr>
            <w:r>
              <w:rPr>
                <w:b/>
                <w:bCs/>
                <w:color w:val="000000"/>
                <w:kern w:val="0"/>
              </w:rPr>
              <w:t>变动原因</w:t>
            </w:r>
          </w:p>
        </w:tc>
      </w:tr>
      <w:tr w:rsidR="004B0883" w14:paraId="49E79B75" w14:textId="77777777">
        <w:trPr>
          <w:trHeight w:val="397"/>
          <w:jc w:val="center"/>
        </w:trPr>
        <w:tc>
          <w:tcPr>
            <w:tcW w:w="8528" w:type="dxa"/>
            <w:gridSpan w:val="2"/>
            <w:vAlign w:val="center"/>
          </w:tcPr>
          <w:p w14:paraId="599F28A8" w14:textId="77777777" w:rsidR="004B0883" w:rsidRDefault="004B0883">
            <w:pPr>
              <w:adjustRightInd w:val="0"/>
              <w:snapToGrid w:val="0"/>
              <w:jc w:val="center"/>
              <w:rPr>
                <w:b/>
                <w:bCs/>
                <w:color w:val="000000"/>
                <w:kern w:val="0"/>
              </w:rPr>
            </w:pPr>
            <w:r>
              <w:rPr>
                <w:b/>
                <w:bCs/>
                <w:color w:val="000000"/>
                <w:kern w:val="0"/>
              </w:rPr>
              <w:t>新增合并单位</w:t>
            </w:r>
          </w:p>
        </w:tc>
      </w:tr>
      <w:tr w:rsidR="004B0883" w14:paraId="0F32E006" w14:textId="77777777">
        <w:trPr>
          <w:trHeight w:val="397"/>
          <w:jc w:val="center"/>
        </w:trPr>
        <w:tc>
          <w:tcPr>
            <w:tcW w:w="4884" w:type="dxa"/>
            <w:vAlign w:val="center"/>
          </w:tcPr>
          <w:p w14:paraId="5543BCF5" w14:textId="77777777" w:rsidR="004B0883" w:rsidRDefault="004B0883">
            <w:pPr>
              <w:adjustRightInd w:val="0"/>
              <w:snapToGrid w:val="0"/>
              <w:jc w:val="center"/>
              <w:rPr>
                <w:color w:val="000000"/>
                <w:kern w:val="0"/>
              </w:rPr>
            </w:pPr>
            <w:r>
              <w:rPr>
                <w:rFonts w:hint="eastAsia"/>
                <w:color w:val="000000"/>
                <w:kern w:val="0"/>
              </w:rPr>
              <w:t>-</w:t>
            </w:r>
          </w:p>
        </w:tc>
        <w:tc>
          <w:tcPr>
            <w:tcW w:w="3644" w:type="dxa"/>
            <w:vAlign w:val="center"/>
          </w:tcPr>
          <w:p w14:paraId="22B4DA99" w14:textId="77777777" w:rsidR="004B0883" w:rsidRDefault="004B0883">
            <w:pPr>
              <w:adjustRightInd w:val="0"/>
              <w:snapToGrid w:val="0"/>
              <w:jc w:val="center"/>
              <w:rPr>
                <w:color w:val="000000"/>
                <w:kern w:val="0"/>
              </w:rPr>
            </w:pPr>
            <w:r>
              <w:rPr>
                <w:rFonts w:hint="eastAsia"/>
                <w:color w:val="000000"/>
                <w:kern w:val="0"/>
              </w:rPr>
              <w:t>-</w:t>
            </w:r>
          </w:p>
        </w:tc>
      </w:tr>
      <w:tr w:rsidR="004B0883" w14:paraId="1354E5BD" w14:textId="77777777">
        <w:trPr>
          <w:trHeight w:val="397"/>
          <w:jc w:val="center"/>
        </w:trPr>
        <w:tc>
          <w:tcPr>
            <w:tcW w:w="8528" w:type="dxa"/>
            <w:gridSpan w:val="2"/>
            <w:vAlign w:val="center"/>
          </w:tcPr>
          <w:p w14:paraId="2DC901C0" w14:textId="77777777" w:rsidR="004B0883" w:rsidRDefault="004B0883">
            <w:pPr>
              <w:adjustRightInd w:val="0"/>
              <w:snapToGrid w:val="0"/>
              <w:jc w:val="center"/>
              <w:rPr>
                <w:b/>
                <w:bCs/>
                <w:color w:val="000000"/>
                <w:kern w:val="0"/>
              </w:rPr>
            </w:pPr>
            <w:r>
              <w:rPr>
                <w:b/>
                <w:bCs/>
                <w:color w:val="000000"/>
                <w:kern w:val="0"/>
              </w:rPr>
              <w:t>减少合并单位</w:t>
            </w:r>
          </w:p>
        </w:tc>
      </w:tr>
      <w:tr w:rsidR="004B0883" w14:paraId="72B594B4" w14:textId="77777777">
        <w:trPr>
          <w:trHeight w:val="397"/>
          <w:jc w:val="center"/>
        </w:trPr>
        <w:tc>
          <w:tcPr>
            <w:tcW w:w="4884" w:type="dxa"/>
            <w:vAlign w:val="center"/>
          </w:tcPr>
          <w:p w14:paraId="3AFE45F9" w14:textId="77777777" w:rsidR="004B0883" w:rsidRDefault="004B0883">
            <w:pPr>
              <w:adjustRightInd w:val="0"/>
              <w:snapToGrid w:val="0"/>
              <w:jc w:val="center"/>
              <w:rPr>
                <w:color w:val="000000"/>
                <w:kern w:val="0"/>
              </w:rPr>
            </w:pPr>
            <w:r>
              <w:rPr>
                <w:color w:val="000000"/>
                <w:kern w:val="0"/>
              </w:rPr>
              <w:t>-</w:t>
            </w:r>
          </w:p>
        </w:tc>
        <w:tc>
          <w:tcPr>
            <w:tcW w:w="3644" w:type="dxa"/>
            <w:vAlign w:val="center"/>
          </w:tcPr>
          <w:p w14:paraId="47CF31C8" w14:textId="77777777" w:rsidR="004B0883" w:rsidRDefault="004B0883">
            <w:pPr>
              <w:adjustRightInd w:val="0"/>
              <w:snapToGrid w:val="0"/>
              <w:jc w:val="center"/>
              <w:rPr>
                <w:color w:val="000000"/>
                <w:kern w:val="0"/>
              </w:rPr>
            </w:pPr>
            <w:r>
              <w:rPr>
                <w:color w:val="000000"/>
                <w:kern w:val="0"/>
              </w:rPr>
              <w:t>-</w:t>
            </w:r>
          </w:p>
        </w:tc>
      </w:tr>
      <w:tr w:rsidR="004B0883" w14:paraId="071A33A1" w14:textId="77777777">
        <w:trPr>
          <w:trHeight w:val="397"/>
          <w:jc w:val="center"/>
        </w:trPr>
        <w:tc>
          <w:tcPr>
            <w:tcW w:w="4884" w:type="dxa"/>
            <w:shd w:val="clear" w:color="auto" w:fill="D9D9D9"/>
            <w:vAlign w:val="center"/>
          </w:tcPr>
          <w:p w14:paraId="3B16AF6F" w14:textId="77777777" w:rsidR="004B0883" w:rsidRDefault="004B0883">
            <w:pPr>
              <w:adjustRightInd w:val="0"/>
              <w:snapToGrid w:val="0"/>
              <w:jc w:val="center"/>
              <w:rPr>
                <w:b/>
                <w:bCs/>
                <w:color w:val="000000"/>
                <w:kern w:val="0"/>
              </w:rPr>
            </w:pPr>
            <w:r>
              <w:rPr>
                <w:b/>
                <w:bCs/>
                <w:color w:val="000000"/>
                <w:kern w:val="0"/>
              </w:rPr>
              <w:t>2020</w:t>
            </w:r>
            <w:r>
              <w:rPr>
                <w:b/>
                <w:bCs/>
                <w:color w:val="000000"/>
                <w:kern w:val="0"/>
              </w:rPr>
              <w:t>年</w:t>
            </w:r>
          </w:p>
        </w:tc>
        <w:tc>
          <w:tcPr>
            <w:tcW w:w="3644" w:type="dxa"/>
            <w:shd w:val="clear" w:color="auto" w:fill="D9D9D9"/>
            <w:vAlign w:val="center"/>
          </w:tcPr>
          <w:p w14:paraId="7054FA7B" w14:textId="77777777" w:rsidR="004B0883" w:rsidRDefault="004B0883">
            <w:pPr>
              <w:adjustRightInd w:val="0"/>
              <w:snapToGrid w:val="0"/>
              <w:jc w:val="center"/>
              <w:rPr>
                <w:b/>
                <w:bCs/>
                <w:color w:val="000000"/>
                <w:kern w:val="0"/>
              </w:rPr>
            </w:pPr>
            <w:r>
              <w:rPr>
                <w:b/>
                <w:bCs/>
                <w:color w:val="000000"/>
                <w:kern w:val="0"/>
              </w:rPr>
              <w:t>变动原因</w:t>
            </w:r>
          </w:p>
        </w:tc>
      </w:tr>
      <w:tr w:rsidR="004B0883" w14:paraId="650C9F32" w14:textId="77777777">
        <w:trPr>
          <w:trHeight w:val="397"/>
          <w:jc w:val="center"/>
        </w:trPr>
        <w:tc>
          <w:tcPr>
            <w:tcW w:w="8528" w:type="dxa"/>
            <w:gridSpan w:val="2"/>
            <w:vAlign w:val="center"/>
          </w:tcPr>
          <w:p w14:paraId="133B4D2E" w14:textId="77777777" w:rsidR="004B0883" w:rsidRDefault="004B0883">
            <w:pPr>
              <w:adjustRightInd w:val="0"/>
              <w:snapToGrid w:val="0"/>
              <w:jc w:val="center"/>
              <w:rPr>
                <w:b/>
                <w:bCs/>
                <w:color w:val="000000"/>
                <w:kern w:val="0"/>
              </w:rPr>
            </w:pPr>
            <w:r>
              <w:rPr>
                <w:b/>
                <w:bCs/>
                <w:color w:val="000000"/>
                <w:kern w:val="0"/>
              </w:rPr>
              <w:t>新增合并单位</w:t>
            </w:r>
          </w:p>
        </w:tc>
      </w:tr>
      <w:tr w:rsidR="004B0883" w14:paraId="74282774" w14:textId="77777777">
        <w:trPr>
          <w:trHeight w:val="397"/>
          <w:jc w:val="center"/>
        </w:trPr>
        <w:tc>
          <w:tcPr>
            <w:tcW w:w="4884" w:type="dxa"/>
            <w:vAlign w:val="center"/>
          </w:tcPr>
          <w:p w14:paraId="304437ED" w14:textId="77777777" w:rsidR="004B0883" w:rsidRDefault="004B0883">
            <w:pPr>
              <w:adjustRightInd w:val="0"/>
              <w:snapToGrid w:val="0"/>
              <w:jc w:val="center"/>
              <w:rPr>
                <w:color w:val="000000"/>
                <w:kern w:val="0"/>
              </w:rPr>
            </w:pPr>
            <w:r>
              <w:rPr>
                <w:rFonts w:hint="eastAsia"/>
                <w:color w:val="000000"/>
              </w:rPr>
              <w:t>青岛即聚机电有限责任公司</w:t>
            </w:r>
          </w:p>
        </w:tc>
        <w:tc>
          <w:tcPr>
            <w:tcW w:w="3644" w:type="dxa"/>
            <w:vAlign w:val="center"/>
          </w:tcPr>
          <w:p w14:paraId="4422551E" w14:textId="77777777" w:rsidR="004B0883" w:rsidRDefault="004B0883">
            <w:pPr>
              <w:adjustRightInd w:val="0"/>
              <w:snapToGrid w:val="0"/>
              <w:jc w:val="center"/>
              <w:rPr>
                <w:color w:val="000000"/>
                <w:kern w:val="0"/>
              </w:rPr>
            </w:pPr>
            <w:r>
              <w:rPr>
                <w:rFonts w:hint="eastAsia"/>
                <w:color w:val="000000"/>
                <w:kern w:val="0"/>
              </w:rPr>
              <w:t>新设</w:t>
            </w:r>
          </w:p>
        </w:tc>
      </w:tr>
      <w:tr w:rsidR="004B0883" w14:paraId="5622528F" w14:textId="77777777">
        <w:trPr>
          <w:trHeight w:val="397"/>
          <w:jc w:val="center"/>
        </w:trPr>
        <w:tc>
          <w:tcPr>
            <w:tcW w:w="4884" w:type="dxa"/>
            <w:vAlign w:val="center"/>
          </w:tcPr>
          <w:p w14:paraId="437E78E3" w14:textId="77777777" w:rsidR="004B0883" w:rsidRDefault="004B0883">
            <w:pPr>
              <w:adjustRightInd w:val="0"/>
              <w:snapToGrid w:val="0"/>
              <w:jc w:val="center"/>
              <w:rPr>
                <w:color w:val="000000"/>
                <w:kern w:val="0"/>
              </w:rPr>
            </w:pPr>
            <w:r>
              <w:rPr>
                <w:rFonts w:hint="eastAsia"/>
                <w:color w:val="000000"/>
              </w:rPr>
              <w:t>青岛卓信检测技术有限责任公司</w:t>
            </w:r>
          </w:p>
        </w:tc>
        <w:tc>
          <w:tcPr>
            <w:tcW w:w="3644" w:type="dxa"/>
            <w:vAlign w:val="center"/>
          </w:tcPr>
          <w:p w14:paraId="65F07E18" w14:textId="77777777" w:rsidR="004B0883" w:rsidRDefault="004B0883">
            <w:pPr>
              <w:adjustRightInd w:val="0"/>
              <w:snapToGrid w:val="0"/>
              <w:jc w:val="center"/>
              <w:rPr>
                <w:color w:val="000000"/>
                <w:kern w:val="0"/>
              </w:rPr>
            </w:pPr>
            <w:r>
              <w:rPr>
                <w:rFonts w:hint="eastAsia"/>
                <w:color w:val="000000"/>
                <w:kern w:val="0"/>
              </w:rPr>
              <w:t>新设</w:t>
            </w:r>
          </w:p>
        </w:tc>
      </w:tr>
      <w:tr w:rsidR="004B0883" w14:paraId="0B55C4C2" w14:textId="77777777">
        <w:trPr>
          <w:trHeight w:val="397"/>
          <w:jc w:val="center"/>
        </w:trPr>
        <w:tc>
          <w:tcPr>
            <w:tcW w:w="4884" w:type="dxa"/>
            <w:vAlign w:val="center"/>
          </w:tcPr>
          <w:p w14:paraId="7DC60ABE" w14:textId="77777777" w:rsidR="004B0883" w:rsidRDefault="004B0883">
            <w:pPr>
              <w:adjustRightInd w:val="0"/>
              <w:snapToGrid w:val="0"/>
              <w:jc w:val="center"/>
              <w:rPr>
                <w:color w:val="000000"/>
                <w:kern w:val="0"/>
              </w:rPr>
            </w:pPr>
            <w:r>
              <w:rPr>
                <w:rFonts w:hint="eastAsia"/>
                <w:color w:val="000000"/>
              </w:rPr>
              <w:t>伟隆（香港）实业有限公司</w:t>
            </w:r>
          </w:p>
        </w:tc>
        <w:tc>
          <w:tcPr>
            <w:tcW w:w="3644" w:type="dxa"/>
            <w:vAlign w:val="center"/>
          </w:tcPr>
          <w:p w14:paraId="31971036" w14:textId="77777777" w:rsidR="004B0883" w:rsidRDefault="004B0883">
            <w:pPr>
              <w:adjustRightInd w:val="0"/>
              <w:snapToGrid w:val="0"/>
              <w:jc w:val="center"/>
              <w:rPr>
                <w:color w:val="000000"/>
                <w:kern w:val="0"/>
              </w:rPr>
            </w:pPr>
            <w:r>
              <w:rPr>
                <w:rFonts w:hint="eastAsia"/>
                <w:color w:val="000000"/>
                <w:kern w:val="0"/>
              </w:rPr>
              <w:t>新设</w:t>
            </w:r>
          </w:p>
        </w:tc>
      </w:tr>
    </w:tbl>
    <w:p w14:paraId="7469F17C" w14:textId="77777777" w:rsidR="004B0883" w:rsidRDefault="004B0883">
      <w:pPr>
        <w:pStyle w:val="002"/>
        <w:spacing w:before="120" w:after="120"/>
        <w:rPr>
          <w:rFonts w:hint="eastAsia"/>
        </w:rPr>
      </w:pPr>
      <w:bookmarkStart w:id="301" w:name="_Toc152320807"/>
      <w:r>
        <w:rPr>
          <w:rFonts w:hint="eastAsia"/>
        </w:rPr>
        <w:t>四、最近三年及一期主要财务指标及非经常性损益明细表</w:t>
      </w:r>
      <w:bookmarkEnd w:id="301"/>
    </w:p>
    <w:p w14:paraId="1F6205EE" w14:textId="77777777" w:rsidR="004B0883" w:rsidRDefault="004B0883">
      <w:pPr>
        <w:pStyle w:val="003"/>
        <w:spacing w:before="120" w:after="120"/>
        <w:rPr>
          <w:rFonts w:hint="eastAsia"/>
        </w:rPr>
      </w:pPr>
      <w:r>
        <w:rPr>
          <w:rFonts w:hint="eastAsia"/>
        </w:rPr>
        <w:t>（一）主要财务指标</w:t>
      </w:r>
    </w:p>
    <w:tbl>
      <w:tblPr>
        <w:tblW w:w="5000" w:type="pct"/>
        <w:tblInd w:w="0" w:type="dxa"/>
        <w:tblBorders>
          <w:top w:val="single" w:sz="12" w:space="0" w:color="010000"/>
          <w:left w:val="single" w:sz="12" w:space="0" w:color="010000"/>
          <w:bottom w:val="single" w:sz="12" w:space="0" w:color="010000"/>
          <w:right w:val="single" w:sz="12" w:space="0" w:color="010000"/>
          <w:insideH w:val="single" w:sz="4" w:space="0" w:color="010000"/>
          <w:insideV w:val="single" w:sz="4" w:space="0" w:color="010000"/>
        </w:tblBorders>
        <w:tblLayout w:type="fixed"/>
        <w:tblLook w:val="0000" w:firstRow="0" w:lastRow="0" w:firstColumn="0" w:lastColumn="0" w:noHBand="0" w:noVBand="0"/>
      </w:tblPr>
      <w:tblGrid>
        <w:gridCol w:w="1859"/>
        <w:gridCol w:w="1605"/>
        <w:gridCol w:w="1605"/>
        <w:gridCol w:w="1605"/>
        <w:gridCol w:w="1606"/>
      </w:tblGrid>
      <w:tr w:rsidR="004B0883" w14:paraId="4F3EE904" w14:textId="77777777">
        <w:trPr>
          <w:cantSplit/>
          <w:trHeight w:val="397"/>
          <w:tblHeader/>
        </w:trPr>
        <w:tc>
          <w:tcPr>
            <w:tcW w:w="1122" w:type="pct"/>
            <w:tcBorders>
              <w:top w:val="single" w:sz="12" w:space="0" w:color="010000"/>
              <w:bottom w:val="single" w:sz="4" w:space="0" w:color="010000"/>
            </w:tcBorders>
            <w:shd w:val="clear" w:color="auto" w:fill="D9D9D9"/>
            <w:vAlign w:val="center"/>
          </w:tcPr>
          <w:p w14:paraId="0E8A33E3" w14:textId="77777777" w:rsidR="004B0883" w:rsidRDefault="004B0883">
            <w:pPr>
              <w:jc w:val="center"/>
              <w:rPr>
                <w:b/>
                <w:color w:val="000000"/>
              </w:rPr>
            </w:pPr>
            <w:bookmarkStart w:id="302" w:name="RANGE!B2"/>
            <w:bookmarkStart w:id="303" w:name="_Hlk85650978"/>
            <w:r>
              <w:rPr>
                <w:rFonts w:hint="eastAsia"/>
                <w:b/>
                <w:color w:val="000000"/>
              </w:rPr>
              <w:t>指标</w:t>
            </w:r>
            <w:bookmarkEnd w:id="302"/>
          </w:p>
        </w:tc>
        <w:tc>
          <w:tcPr>
            <w:tcW w:w="969" w:type="pct"/>
            <w:tcBorders>
              <w:top w:val="single" w:sz="12" w:space="0" w:color="010000"/>
              <w:bottom w:val="single" w:sz="4" w:space="0" w:color="010000"/>
            </w:tcBorders>
            <w:shd w:val="clear" w:color="auto" w:fill="D9D9D9"/>
            <w:vAlign w:val="center"/>
          </w:tcPr>
          <w:p w14:paraId="66F53652" w14:textId="77777777" w:rsidR="004B0883" w:rsidRDefault="004B0883">
            <w:pPr>
              <w:jc w:val="center"/>
              <w:rPr>
                <w:rFonts w:hint="eastAsia"/>
                <w:b/>
                <w:color w:val="000000"/>
              </w:rPr>
            </w:pPr>
            <w:r>
              <w:rPr>
                <w:b/>
                <w:color w:val="000000"/>
              </w:rPr>
              <w:t>2023</w:t>
            </w:r>
            <w:r>
              <w:rPr>
                <w:rFonts w:hint="eastAsia"/>
                <w:b/>
                <w:color w:val="000000"/>
              </w:rPr>
              <w:t>年</w:t>
            </w:r>
            <w:r>
              <w:rPr>
                <w:rFonts w:hint="eastAsia"/>
                <w:b/>
                <w:color w:val="000000"/>
              </w:rPr>
              <w:t>1-9</w:t>
            </w:r>
            <w:r>
              <w:rPr>
                <w:rFonts w:hint="eastAsia"/>
                <w:b/>
                <w:color w:val="000000"/>
              </w:rPr>
              <w:t>月</w:t>
            </w:r>
            <w:r>
              <w:rPr>
                <w:rFonts w:hint="eastAsia"/>
                <w:b/>
                <w:color w:val="000000"/>
              </w:rPr>
              <w:t>/2023/9/3</w:t>
            </w:r>
            <w:r>
              <w:rPr>
                <w:b/>
                <w:color w:val="000000"/>
              </w:rPr>
              <w:t>0</w:t>
            </w:r>
          </w:p>
        </w:tc>
        <w:tc>
          <w:tcPr>
            <w:tcW w:w="969" w:type="pct"/>
            <w:tcBorders>
              <w:top w:val="single" w:sz="12" w:space="0" w:color="010000"/>
              <w:bottom w:val="single" w:sz="4" w:space="0" w:color="010000"/>
            </w:tcBorders>
            <w:shd w:val="clear" w:color="auto" w:fill="D9D9D9"/>
            <w:vAlign w:val="center"/>
          </w:tcPr>
          <w:p w14:paraId="6831E418" w14:textId="77777777" w:rsidR="004B0883" w:rsidRDefault="004B0883">
            <w:pPr>
              <w:jc w:val="center"/>
              <w:rPr>
                <w:b/>
                <w:color w:val="000000"/>
              </w:rPr>
            </w:pPr>
            <w:r>
              <w:rPr>
                <w:b/>
                <w:color w:val="000000"/>
              </w:rPr>
              <w:t>2022</w:t>
            </w:r>
            <w:r>
              <w:rPr>
                <w:rFonts w:hint="eastAsia"/>
                <w:b/>
                <w:color w:val="000000"/>
              </w:rPr>
              <w:t>年度</w:t>
            </w:r>
            <w:r>
              <w:rPr>
                <w:b/>
                <w:color w:val="000000"/>
              </w:rPr>
              <w:t>/2022/12/31</w:t>
            </w:r>
          </w:p>
        </w:tc>
        <w:tc>
          <w:tcPr>
            <w:tcW w:w="969" w:type="pct"/>
            <w:tcBorders>
              <w:top w:val="single" w:sz="12" w:space="0" w:color="010000"/>
              <w:bottom w:val="single" w:sz="4" w:space="0" w:color="010000"/>
            </w:tcBorders>
            <w:shd w:val="clear" w:color="auto" w:fill="D9D9D9"/>
            <w:vAlign w:val="center"/>
          </w:tcPr>
          <w:p w14:paraId="5D0853AB" w14:textId="77777777" w:rsidR="004B0883" w:rsidRDefault="004B0883">
            <w:pPr>
              <w:jc w:val="center"/>
              <w:rPr>
                <w:b/>
                <w:color w:val="000000"/>
              </w:rPr>
            </w:pPr>
            <w:r>
              <w:rPr>
                <w:b/>
                <w:color w:val="000000"/>
              </w:rPr>
              <w:t>2021</w:t>
            </w:r>
            <w:r>
              <w:rPr>
                <w:rFonts w:hint="eastAsia"/>
                <w:b/>
                <w:color w:val="000000"/>
              </w:rPr>
              <w:t>年度</w:t>
            </w:r>
            <w:r>
              <w:rPr>
                <w:b/>
                <w:color w:val="000000"/>
              </w:rPr>
              <w:t>/2021/12/31</w:t>
            </w:r>
          </w:p>
        </w:tc>
        <w:tc>
          <w:tcPr>
            <w:tcW w:w="970" w:type="pct"/>
            <w:tcBorders>
              <w:top w:val="single" w:sz="12" w:space="0" w:color="010000"/>
              <w:bottom w:val="single" w:sz="4" w:space="0" w:color="010000"/>
            </w:tcBorders>
            <w:shd w:val="clear" w:color="auto" w:fill="D9D9D9"/>
            <w:vAlign w:val="center"/>
          </w:tcPr>
          <w:p w14:paraId="237EB6FE" w14:textId="77777777" w:rsidR="004B0883" w:rsidRDefault="004B0883">
            <w:pPr>
              <w:jc w:val="center"/>
              <w:rPr>
                <w:b/>
                <w:color w:val="000000"/>
              </w:rPr>
            </w:pPr>
            <w:r>
              <w:rPr>
                <w:b/>
                <w:color w:val="000000"/>
              </w:rPr>
              <w:t>2020</w:t>
            </w:r>
            <w:r>
              <w:rPr>
                <w:rFonts w:hint="eastAsia"/>
                <w:b/>
                <w:color w:val="000000"/>
              </w:rPr>
              <w:t>年度</w:t>
            </w:r>
            <w:r>
              <w:rPr>
                <w:b/>
                <w:color w:val="000000"/>
              </w:rPr>
              <w:t>/2020/12/31</w:t>
            </w:r>
          </w:p>
        </w:tc>
      </w:tr>
      <w:tr w:rsidR="004B0883" w14:paraId="5A464CDE" w14:textId="77777777">
        <w:trPr>
          <w:cantSplit/>
          <w:trHeight w:val="397"/>
        </w:trPr>
        <w:tc>
          <w:tcPr>
            <w:tcW w:w="1122" w:type="pct"/>
            <w:tcBorders>
              <w:top w:val="single" w:sz="4" w:space="0" w:color="010000"/>
            </w:tcBorders>
            <w:vAlign w:val="center"/>
          </w:tcPr>
          <w:p w14:paraId="3B7E27E1" w14:textId="77777777" w:rsidR="004B0883" w:rsidRDefault="004B0883">
            <w:pPr>
              <w:rPr>
                <w:color w:val="000000"/>
              </w:rPr>
            </w:pPr>
            <w:r>
              <w:rPr>
                <w:rFonts w:hint="eastAsia"/>
                <w:color w:val="000000"/>
              </w:rPr>
              <w:t>流动比率（倍）</w:t>
            </w:r>
          </w:p>
        </w:tc>
        <w:tc>
          <w:tcPr>
            <w:tcW w:w="969" w:type="pct"/>
            <w:tcBorders>
              <w:top w:val="single" w:sz="4" w:space="0" w:color="010000"/>
            </w:tcBorders>
            <w:vAlign w:val="center"/>
          </w:tcPr>
          <w:p w14:paraId="71CCAC04" w14:textId="77777777" w:rsidR="004B0883" w:rsidRDefault="004B0883">
            <w:pPr>
              <w:jc w:val="right"/>
              <w:rPr>
                <w:rFonts w:hint="eastAsia"/>
                <w:color w:val="000000"/>
                <w:highlight w:val="yellow"/>
              </w:rPr>
            </w:pPr>
            <w:r>
              <w:rPr>
                <w:rFonts w:eastAsia="等线"/>
                <w:color w:val="000000"/>
              </w:rPr>
              <w:t>4.09</w:t>
            </w:r>
          </w:p>
        </w:tc>
        <w:tc>
          <w:tcPr>
            <w:tcW w:w="969" w:type="pct"/>
            <w:tcBorders>
              <w:top w:val="single" w:sz="4" w:space="0" w:color="010000"/>
            </w:tcBorders>
            <w:vAlign w:val="center"/>
          </w:tcPr>
          <w:p w14:paraId="53F00805" w14:textId="77777777" w:rsidR="004B0883" w:rsidRDefault="004B0883">
            <w:pPr>
              <w:jc w:val="right"/>
              <w:rPr>
                <w:color w:val="000000"/>
              </w:rPr>
            </w:pPr>
            <w:r>
              <w:rPr>
                <w:color w:val="000000"/>
              </w:rPr>
              <w:t>3.29</w:t>
            </w:r>
          </w:p>
        </w:tc>
        <w:tc>
          <w:tcPr>
            <w:tcW w:w="969" w:type="pct"/>
            <w:tcBorders>
              <w:top w:val="single" w:sz="4" w:space="0" w:color="010000"/>
            </w:tcBorders>
            <w:vAlign w:val="center"/>
          </w:tcPr>
          <w:p w14:paraId="3A707751" w14:textId="77777777" w:rsidR="004B0883" w:rsidRDefault="004B0883">
            <w:pPr>
              <w:jc w:val="right"/>
              <w:rPr>
                <w:color w:val="000000"/>
              </w:rPr>
            </w:pPr>
            <w:r>
              <w:rPr>
                <w:color w:val="000000"/>
              </w:rPr>
              <w:t>2.53</w:t>
            </w:r>
          </w:p>
        </w:tc>
        <w:tc>
          <w:tcPr>
            <w:tcW w:w="970" w:type="pct"/>
            <w:tcBorders>
              <w:top w:val="single" w:sz="4" w:space="0" w:color="010000"/>
            </w:tcBorders>
            <w:vAlign w:val="center"/>
          </w:tcPr>
          <w:p w14:paraId="079E2D8E" w14:textId="77777777" w:rsidR="004B0883" w:rsidRDefault="004B0883">
            <w:pPr>
              <w:jc w:val="right"/>
              <w:rPr>
                <w:color w:val="000000"/>
              </w:rPr>
            </w:pPr>
            <w:r>
              <w:rPr>
                <w:color w:val="000000"/>
              </w:rPr>
              <w:t>2.90</w:t>
            </w:r>
          </w:p>
        </w:tc>
      </w:tr>
      <w:tr w:rsidR="004B0883" w14:paraId="65862EFA" w14:textId="77777777">
        <w:trPr>
          <w:cantSplit/>
          <w:trHeight w:val="397"/>
        </w:trPr>
        <w:tc>
          <w:tcPr>
            <w:tcW w:w="1122" w:type="pct"/>
            <w:vAlign w:val="center"/>
          </w:tcPr>
          <w:p w14:paraId="55FFC7E6" w14:textId="77777777" w:rsidR="004B0883" w:rsidRDefault="004B0883">
            <w:pPr>
              <w:rPr>
                <w:color w:val="000000"/>
              </w:rPr>
            </w:pPr>
            <w:r>
              <w:rPr>
                <w:rFonts w:hint="eastAsia"/>
                <w:color w:val="000000"/>
              </w:rPr>
              <w:t>速动比率（倍）</w:t>
            </w:r>
          </w:p>
        </w:tc>
        <w:tc>
          <w:tcPr>
            <w:tcW w:w="969" w:type="pct"/>
            <w:vAlign w:val="center"/>
          </w:tcPr>
          <w:p w14:paraId="50A4A7EF" w14:textId="77777777" w:rsidR="004B0883" w:rsidRDefault="004B0883">
            <w:pPr>
              <w:jc w:val="right"/>
              <w:rPr>
                <w:rFonts w:hint="eastAsia"/>
                <w:color w:val="000000"/>
                <w:highlight w:val="yellow"/>
              </w:rPr>
            </w:pPr>
            <w:r>
              <w:rPr>
                <w:rFonts w:eastAsia="等线"/>
                <w:color w:val="000000"/>
              </w:rPr>
              <w:t>3.49</w:t>
            </w:r>
          </w:p>
        </w:tc>
        <w:tc>
          <w:tcPr>
            <w:tcW w:w="969" w:type="pct"/>
            <w:vAlign w:val="center"/>
          </w:tcPr>
          <w:p w14:paraId="57CB4C72" w14:textId="77777777" w:rsidR="004B0883" w:rsidRDefault="004B0883">
            <w:pPr>
              <w:jc w:val="right"/>
              <w:rPr>
                <w:color w:val="000000"/>
              </w:rPr>
            </w:pPr>
            <w:r>
              <w:rPr>
                <w:color w:val="000000"/>
              </w:rPr>
              <w:t>2.72</w:t>
            </w:r>
          </w:p>
        </w:tc>
        <w:tc>
          <w:tcPr>
            <w:tcW w:w="969" w:type="pct"/>
            <w:vAlign w:val="center"/>
          </w:tcPr>
          <w:p w14:paraId="2D409C57" w14:textId="77777777" w:rsidR="004B0883" w:rsidRDefault="004B0883">
            <w:pPr>
              <w:jc w:val="right"/>
              <w:rPr>
                <w:color w:val="000000"/>
              </w:rPr>
            </w:pPr>
            <w:r>
              <w:rPr>
                <w:color w:val="000000"/>
              </w:rPr>
              <w:t>2.04</w:t>
            </w:r>
          </w:p>
        </w:tc>
        <w:tc>
          <w:tcPr>
            <w:tcW w:w="970" w:type="pct"/>
            <w:vAlign w:val="center"/>
          </w:tcPr>
          <w:p w14:paraId="22BA70CD" w14:textId="77777777" w:rsidR="004B0883" w:rsidRDefault="004B0883">
            <w:pPr>
              <w:jc w:val="right"/>
              <w:rPr>
                <w:color w:val="000000"/>
              </w:rPr>
            </w:pPr>
            <w:r>
              <w:rPr>
                <w:color w:val="000000"/>
              </w:rPr>
              <w:t>2.52</w:t>
            </w:r>
          </w:p>
        </w:tc>
      </w:tr>
      <w:tr w:rsidR="004B0883" w14:paraId="5476DA35" w14:textId="77777777">
        <w:trPr>
          <w:cantSplit/>
          <w:trHeight w:val="397"/>
        </w:trPr>
        <w:tc>
          <w:tcPr>
            <w:tcW w:w="1122" w:type="pct"/>
            <w:vAlign w:val="center"/>
          </w:tcPr>
          <w:p w14:paraId="67C52A19" w14:textId="77777777" w:rsidR="004B0883" w:rsidRDefault="004B0883">
            <w:pPr>
              <w:rPr>
                <w:color w:val="000000"/>
              </w:rPr>
            </w:pPr>
            <w:r>
              <w:rPr>
                <w:rFonts w:hint="eastAsia"/>
                <w:color w:val="000000"/>
              </w:rPr>
              <w:t>资产负债率（合并）</w:t>
            </w:r>
          </w:p>
        </w:tc>
        <w:tc>
          <w:tcPr>
            <w:tcW w:w="969" w:type="pct"/>
            <w:vAlign w:val="center"/>
          </w:tcPr>
          <w:p w14:paraId="11ECF5E6" w14:textId="77777777" w:rsidR="004B0883" w:rsidRDefault="004B0883">
            <w:pPr>
              <w:jc w:val="right"/>
              <w:rPr>
                <w:rFonts w:hint="eastAsia"/>
                <w:color w:val="000000"/>
                <w:highlight w:val="yellow"/>
              </w:rPr>
            </w:pPr>
            <w:r>
              <w:rPr>
                <w:rFonts w:eastAsia="等线" w:hint="eastAsia"/>
                <w:color w:val="000000"/>
              </w:rPr>
              <w:t>17.98</w:t>
            </w:r>
            <w:r>
              <w:rPr>
                <w:rFonts w:eastAsia="等线"/>
                <w:color w:val="000000"/>
              </w:rPr>
              <w:t>%</w:t>
            </w:r>
          </w:p>
        </w:tc>
        <w:tc>
          <w:tcPr>
            <w:tcW w:w="969" w:type="pct"/>
            <w:vAlign w:val="center"/>
          </w:tcPr>
          <w:p w14:paraId="4AA232D9" w14:textId="77777777" w:rsidR="004B0883" w:rsidRDefault="004B0883">
            <w:pPr>
              <w:jc w:val="right"/>
              <w:rPr>
                <w:color w:val="000000"/>
              </w:rPr>
            </w:pPr>
            <w:r>
              <w:rPr>
                <w:color w:val="000000"/>
              </w:rPr>
              <w:t>22.40%</w:t>
            </w:r>
          </w:p>
        </w:tc>
        <w:tc>
          <w:tcPr>
            <w:tcW w:w="969" w:type="pct"/>
            <w:vAlign w:val="center"/>
          </w:tcPr>
          <w:p w14:paraId="4B8594CF" w14:textId="77777777" w:rsidR="004B0883" w:rsidRDefault="004B0883">
            <w:pPr>
              <w:jc w:val="right"/>
              <w:rPr>
                <w:color w:val="000000"/>
              </w:rPr>
            </w:pPr>
            <w:r>
              <w:rPr>
                <w:color w:val="000000"/>
              </w:rPr>
              <w:t>27.41%</w:t>
            </w:r>
          </w:p>
        </w:tc>
        <w:tc>
          <w:tcPr>
            <w:tcW w:w="970" w:type="pct"/>
            <w:vAlign w:val="center"/>
          </w:tcPr>
          <w:p w14:paraId="5EAAAB34" w14:textId="77777777" w:rsidR="004B0883" w:rsidRDefault="004B0883">
            <w:pPr>
              <w:jc w:val="right"/>
              <w:rPr>
                <w:color w:val="000000"/>
              </w:rPr>
            </w:pPr>
            <w:r>
              <w:rPr>
                <w:color w:val="000000"/>
              </w:rPr>
              <w:t>23.74%</w:t>
            </w:r>
          </w:p>
        </w:tc>
      </w:tr>
      <w:tr w:rsidR="004B0883" w14:paraId="5E38941F" w14:textId="77777777">
        <w:trPr>
          <w:cantSplit/>
          <w:trHeight w:val="397"/>
        </w:trPr>
        <w:tc>
          <w:tcPr>
            <w:tcW w:w="1122" w:type="pct"/>
            <w:vAlign w:val="center"/>
          </w:tcPr>
          <w:p w14:paraId="6E9E07CE" w14:textId="77777777" w:rsidR="004B0883" w:rsidRDefault="004B0883">
            <w:pPr>
              <w:rPr>
                <w:color w:val="000000"/>
              </w:rPr>
            </w:pPr>
            <w:r>
              <w:rPr>
                <w:rFonts w:hint="eastAsia"/>
                <w:color w:val="000000"/>
              </w:rPr>
              <w:t>资产负债率（母公司）</w:t>
            </w:r>
          </w:p>
        </w:tc>
        <w:tc>
          <w:tcPr>
            <w:tcW w:w="969" w:type="pct"/>
            <w:vAlign w:val="center"/>
          </w:tcPr>
          <w:p w14:paraId="3F9E60E6" w14:textId="77777777" w:rsidR="004B0883" w:rsidRDefault="004B0883">
            <w:pPr>
              <w:jc w:val="right"/>
              <w:rPr>
                <w:rFonts w:hint="eastAsia"/>
                <w:color w:val="000000"/>
                <w:highlight w:val="yellow"/>
              </w:rPr>
            </w:pPr>
            <w:r>
              <w:rPr>
                <w:rFonts w:eastAsia="等线"/>
                <w:color w:val="000000"/>
              </w:rPr>
              <w:t>1</w:t>
            </w:r>
            <w:r>
              <w:rPr>
                <w:rFonts w:eastAsia="等线" w:hint="eastAsia"/>
                <w:color w:val="000000"/>
              </w:rPr>
              <w:t>4.81</w:t>
            </w:r>
            <w:r>
              <w:rPr>
                <w:rFonts w:eastAsia="等线"/>
                <w:color w:val="000000"/>
              </w:rPr>
              <w:t>%</w:t>
            </w:r>
          </w:p>
        </w:tc>
        <w:tc>
          <w:tcPr>
            <w:tcW w:w="969" w:type="pct"/>
            <w:vAlign w:val="center"/>
          </w:tcPr>
          <w:p w14:paraId="39F82328" w14:textId="77777777" w:rsidR="004B0883" w:rsidRDefault="004B0883">
            <w:pPr>
              <w:jc w:val="right"/>
              <w:rPr>
                <w:color w:val="000000"/>
              </w:rPr>
            </w:pPr>
            <w:r>
              <w:rPr>
                <w:color w:val="000000"/>
              </w:rPr>
              <w:t>18.77%</w:t>
            </w:r>
          </w:p>
        </w:tc>
        <w:tc>
          <w:tcPr>
            <w:tcW w:w="969" w:type="pct"/>
            <w:vAlign w:val="center"/>
          </w:tcPr>
          <w:p w14:paraId="7F6999EE" w14:textId="77777777" w:rsidR="004B0883" w:rsidRDefault="004B0883">
            <w:pPr>
              <w:jc w:val="right"/>
              <w:rPr>
                <w:color w:val="000000"/>
              </w:rPr>
            </w:pPr>
            <w:r>
              <w:rPr>
                <w:color w:val="000000"/>
              </w:rPr>
              <w:t>22.58%</w:t>
            </w:r>
          </w:p>
        </w:tc>
        <w:tc>
          <w:tcPr>
            <w:tcW w:w="970" w:type="pct"/>
            <w:vAlign w:val="center"/>
          </w:tcPr>
          <w:p w14:paraId="11434EF4" w14:textId="77777777" w:rsidR="004B0883" w:rsidRDefault="004B0883">
            <w:pPr>
              <w:jc w:val="right"/>
              <w:rPr>
                <w:color w:val="000000"/>
              </w:rPr>
            </w:pPr>
            <w:r>
              <w:rPr>
                <w:color w:val="000000"/>
              </w:rPr>
              <w:t>18.29%</w:t>
            </w:r>
          </w:p>
        </w:tc>
      </w:tr>
      <w:tr w:rsidR="004B0883" w14:paraId="5FAC68D1" w14:textId="77777777">
        <w:trPr>
          <w:cantSplit/>
          <w:trHeight w:val="397"/>
        </w:trPr>
        <w:tc>
          <w:tcPr>
            <w:tcW w:w="1122" w:type="pct"/>
            <w:vAlign w:val="center"/>
          </w:tcPr>
          <w:p w14:paraId="3B974CEB" w14:textId="77777777" w:rsidR="004B0883" w:rsidRDefault="004B0883">
            <w:pPr>
              <w:rPr>
                <w:color w:val="000000"/>
              </w:rPr>
            </w:pPr>
            <w:r>
              <w:rPr>
                <w:rFonts w:hint="eastAsia"/>
                <w:color w:val="000000"/>
              </w:rPr>
              <w:t>应收账款周转率（次）</w:t>
            </w:r>
          </w:p>
        </w:tc>
        <w:tc>
          <w:tcPr>
            <w:tcW w:w="969" w:type="pct"/>
            <w:vAlign w:val="center"/>
          </w:tcPr>
          <w:p w14:paraId="366E9D2D" w14:textId="77777777" w:rsidR="004B0883" w:rsidRDefault="004B0883">
            <w:pPr>
              <w:jc w:val="right"/>
              <w:rPr>
                <w:rFonts w:hint="eastAsia"/>
                <w:color w:val="000000"/>
                <w:highlight w:val="yellow"/>
              </w:rPr>
            </w:pPr>
            <w:r>
              <w:rPr>
                <w:rFonts w:eastAsia="等线" w:hint="eastAsia"/>
                <w:color w:val="000000"/>
              </w:rPr>
              <w:t>6.21</w:t>
            </w:r>
          </w:p>
        </w:tc>
        <w:tc>
          <w:tcPr>
            <w:tcW w:w="969" w:type="pct"/>
            <w:vAlign w:val="center"/>
          </w:tcPr>
          <w:p w14:paraId="4C909DF7" w14:textId="77777777" w:rsidR="004B0883" w:rsidRDefault="004B0883">
            <w:pPr>
              <w:jc w:val="right"/>
              <w:rPr>
                <w:color w:val="000000"/>
              </w:rPr>
            </w:pPr>
            <w:r>
              <w:rPr>
                <w:color w:val="000000"/>
              </w:rPr>
              <w:t>7.13</w:t>
            </w:r>
          </w:p>
        </w:tc>
        <w:tc>
          <w:tcPr>
            <w:tcW w:w="969" w:type="pct"/>
            <w:vAlign w:val="center"/>
          </w:tcPr>
          <w:p w14:paraId="6308E5AB" w14:textId="77777777" w:rsidR="004B0883" w:rsidRDefault="004B0883">
            <w:pPr>
              <w:jc w:val="right"/>
              <w:rPr>
                <w:color w:val="000000"/>
              </w:rPr>
            </w:pPr>
            <w:r>
              <w:rPr>
                <w:color w:val="000000"/>
              </w:rPr>
              <w:t>6.77</w:t>
            </w:r>
          </w:p>
        </w:tc>
        <w:tc>
          <w:tcPr>
            <w:tcW w:w="970" w:type="pct"/>
            <w:vAlign w:val="center"/>
          </w:tcPr>
          <w:p w14:paraId="675FC243" w14:textId="77777777" w:rsidR="004B0883" w:rsidRDefault="004B0883">
            <w:pPr>
              <w:jc w:val="right"/>
              <w:rPr>
                <w:color w:val="000000"/>
              </w:rPr>
            </w:pPr>
            <w:r>
              <w:rPr>
                <w:color w:val="000000"/>
              </w:rPr>
              <w:t>5.84</w:t>
            </w:r>
          </w:p>
        </w:tc>
      </w:tr>
      <w:tr w:rsidR="004B0883" w14:paraId="6EE840B0" w14:textId="77777777">
        <w:trPr>
          <w:cantSplit/>
          <w:trHeight w:val="397"/>
        </w:trPr>
        <w:tc>
          <w:tcPr>
            <w:tcW w:w="1122" w:type="pct"/>
            <w:vAlign w:val="center"/>
          </w:tcPr>
          <w:p w14:paraId="743E0A04" w14:textId="77777777" w:rsidR="004B0883" w:rsidRDefault="004B0883">
            <w:pPr>
              <w:rPr>
                <w:color w:val="000000"/>
              </w:rPr>
            </w:pPr>
            <w:r>
              <w:rPr>
                <w:rFonts w:hint="eastAsia"/>
                <w:color w:val="000000"/>
              </w:rPr>
              <w:t>存货周转率（次）</w:t>
            </w:r>
          </w:p>
        </w:tc>
        <w:tc>
          <w:tcPr>
            <w:tcW w:w="969" w:type="pct"/>
            <w:vAlign w:val="center"/>
          </w:tcPr>
          <w:p w14:paraId="0B133178" w14:textId="77777777" w:rsidR="004B0883" w:rsidRDefault="004B0883">
            <w:pPr>
              <w:jc w:val="right"/>
              <w:rPr>
                <w:rFonts w:hint="eastAsia"/>
                <w:color w:val="000000"/>
                <w:highlight w:val="yellow"/>
              </w:rPr>
            </w:pPr>
            <w:r>
              <w:rPr>
                <w:rFonts w:eastAsia="等线" w:hint="eastAsia"/>
                <w:color w:val="000000"/>
              </w:rPr>
              <w:t>3.00</w:t>
            </w:r>
          </w:p>
        </w:tc>
        <w:tc>
          <w:tcPr>
            <w:tcW w:w="969" w:type="pct"/>
            <w:vAlign w:val="center"/>
          </w:tcPr>
          <w:p w14:paraId="7A5D7F5D" w14:textId="77777777" w:rsidR="004B0883" w:rsidRDefault="004B0883">
            <w:pPr>
              <w:jc w:val="right"/>
              <w:rPr>
                <w:color w:val="000000"/>
              </w:rPr>
            </w:pPr>
            <w:r>
              <w:rPr>
                <w:color w:val="000000"/>
              </w:rPr>
              <w:t>2.92</w:t>
            </w:r>
          </w:p>
        </w:tc>
        <w:tc>
          <w:tcPr>
            <w:tcW w:w="969" w:type="pct"/>
            <w:vAlign w:val="center"/>
          </w:tcPr>
          <w:p w14:paraId="6FEC0A85" w14:textId="77777777" w:rsidR="004B0883" w:rsidRDefault="004B0883">
            <w:pPr>
              <w:jc w:val="right"/>
              <w:rPr>
                <w:color w:val="000000"/>
              </w:rPr>
            </w:pPr>
            <w:r>
              <w:rPr>
                <w:color w:val="000000"/>
              </w:rPr>
              <w:t>3.00</w:t>
            </w:r>
          </w:p>
        </w:tc>
        <w:tc>
          <w:tcPr>
            <w:tcW w:w="970" w:type="pct"/>
            <w:vAlign w:val="center"/>
          </w:tcPr>
          <w:p w14:paraId="4D5C7458" w14:textId="77777777" w:rsidR="004B0883" w:rsidRDefault="004B0883">
            <w:pPr>
              <w:jc w:val="right"/>
              <w:rPr>
                <w:color w:val="000000"/>
              </w:rPr>
            </w:pPr>
            <w:r>
              <w:rPr>
                <w:color w:val="000000"/>
              </w:rPr>
              <w:t>3.13</w:t>
            </w:r>
          </w:p>
        </w:tc>
      </w:tr>
      <w:tr w:rsidR="004B0883" w14:paraId="1BF18720" w14:textId="77777777">
        <w:trPr>
          <w:cantSplit/>
          <w:trHeight w:val="397"/>
        </w:trPr>
        <w:tc>
          <w:tcPr>
            <w:tcW w:w="1122" w:type="pct"/>
            <w:vAlign w:val="center"/>
          </w:tcPr>
          <w:p w14:paraId="5F068F48" w14:textId="77777777" w:rsidR="004B0883" w:rsidRDefault="004B0883">
            <w:pPr>
              <w:rPr>
                <w:color w:val="000000"/>
              </w:rPr>
            </w:pPr>
            <w:r>
              <w:rPr>
                <w:rFonts w:hint="eastAsia"/>
                <w:color w:val="000000"/>
              </w:rPr>
              <w:t>总资产周转率（次）</w:t>
            </w:r>
          </w:p>
        </w:tc>
        <w:tc>
          <w:tcPr>
            <w:tcW w:w="969" w:type="pct"/>
            <w:vAlign w:val="center"/>
          </w:tcPr>
          <w:p w14:paraId="19B39400" w14:textId="77777777" w:rsidR="004B0883" w:rsidRDefault="004B0883">
            <w:pPr>
              <w:jc w:val="right"/>
              <w:rPr>
                <w:rFonts w:hint="eastAsia"/>
                <w:color w:val="000000"/>
                <w:highlight w:val="yellow"/>
              </w:rPr>
            </w:pPr>
            <w:r>
              <w:rPr>
                <w:rFonts w:eastAsia="等线"/>
                <w:color w:val="000000"/>
              </w:rPr>
              <w:t>53.18%</w:t>
            </w:r>
          </w:p>
        </w:tc>
        <w:tc>
          <w:tcPr>
            <w:tcW w:w="969" w:type="pct"/>
            <w:vAlign w:val="center"/>
          </w:tcPr>
          <w:p w14:paraId="19418B7C" w14:textId="77777777" w:rsidR="004B0883" w:rsidRDefault="004B0883">
            <w:pPr>
              <w:jc w:val="right"/>
              <w:rPr>
                <w:color w:val="000000"/>
              </w:rPr>
            </w:pPr>
            <w:r>
              <w:rPr>
                <w:color w:val="000000"/>
              </w:rPr>
              <w:t>57.34%</w:t>
            </w:r>
          </w:p>
        </w:tc>
        <w:tc>
          <w:tcPr>
            <w:tcW w:w="969" w:type="pct"/>
            <w:vAlign w:val="center"/>
          </w:tcPr>
          <w:p w14:paraId="0290D277" w14:textId="77777777" w:rsidR="004B0883" w:rsidRDefault="004B0883">
            <w:pPr>
              <w:jc w:val="right"/>
              <w:rPr>
                <w:color w:val="000000"/>
              </w:rPr>
            </w:pPr>
            <w:r>
              <w:rPr>
                <w:color w:val="000000"/>
              </w:rPr>
              <w:t>47.19%</w:t>
            </w:r>
          </w:p>
        </w:tc>
        <w:tc>
          <w:tcPr>
            <w:tcW w:w="970" w:type="pct"/>
            <w:vAlign w:val="center"/>
          </w:tcPr>
          <w:p w14:paraId="08E6DE79" w14:textId="77777777" w:rsidR="004B0883" w:rsidRDefault="004B0883">
            <w:pPr>
              <w:jc w:val="right"/>
              <w:rPr>
                <w:color w:val="000000"/>
              </w:rPr>
            </w:pPr>
            <w:r>
              <w:rPr>
                <w:color w:val="000000"/>
              </w:rPr>
              <w:t>41.28%</w:t>
            </w:r>
          </w:p>
        </w:tc>
      </w:tr>
      <w:tr w:rsidR="004B0883" w14:paraId="3A6BECFB" w14:textId="77777777">
        <w:trPr>
          <w:cantSplit/>
          <w:trHeight w:val="397"/>
        </w:trPr>
        <w:tc>
          <w:tcPr>
            <w:tcW w:w="1122" w:type="pct"/>
            <w:vAlign w:val="center"/>
          </w:tcPr>
          <w:p w14:paraId="1BD9A5D1" w14:textId="77777777" w:rsidR="004B0883" w:rsidRDefault="004B0883">
            <w:pPr>
              <w:rPr>
                <w:color w:val="000000"/>
              </w:rPr>
            </w:pPr>
            <w:r>
              <w:rPr>
                <w:rFonts w:hint="eastAsia"/>
                <w:color w:val="000000"/>
              </w:rPr>
              <w:t>归属于母公司所有者的每股净资产（元</w:t>
            </w:r>
            <w:r>
              <w:rPr>
                <w:color w:val="000000"/>
              </w:rPr>
              <w:t>/</w:t>
            </w:r>
            <w:r>
              <w:rPr>
                <w:rFonts w:hint="eastAsia"/>
                <w:color w:val="000000"/>
              </w:rPr>
              <w:t>股）</w:t>
            </w:r>
          </w:p>
        </w:tc>
        <w:tc>
          <w:tcPr>
            <w:tcW w:w="969" w:type="pct"/>
            <w:vAlign w:val="center"/>
          </w:tcPr>
          <w:p w14:paraId="07BB0D4C" w14:textId="77777777" w:rsidR="004B0883" w:rsidRDefault="004B0883">
            <w:pPr>
              <w:jc w:val="right"/>
              <w:rPr>
                <w:rFonts w:hint="eastAsia"/>
                <w:color w:val="000000"/>
                <w:highlight w:val="yellow"/>
              </w:rPr>
            </w:pPr>
            <w:r>
              <w:rPr>
                <w:rFonts w:eastAsia="等线"/>
                <w:color w:val="000000"/>
              </w:rPr>
              <w:t>3.</w:t>
            </w:r>
            <w:r>
              <w:rPr>
                <w:rFonts w:eastAsia="等线" w:hint="eastAsia"/>
                <w:color w:val="000000"/>
              </w:rPr>
              <w:t>57</w:t>
            </w:r>
          </w:p>
        </w:tc>
        <w:tc>
          <w:tcPr>
            <w:tcW w:w="969" w:type="pct"/>
            <w:vAlign w:val="center"/>
          </w:tcPr>
          <w:p w14:paraId="2DF9C795" w14:textId="77777777" w:rsidR="004B0883" w:rsidRDefault="004B0883">
            <w:pPr>
              <w:jc w:val="right"/>
              <w:rPr>
                <w:color w:val="000000"/>
              </w:rPr>
            </w:pPr>
            <w:r>
              <w:rPr>
                <w:color w:val="000000"/>
              </w:rPr>
              <w:t>4.35</w:t>
            </w:r>
          </w:p>
        </w:tc>
        <w:tc>
          <w:tcPr>
            <w:tcW w:w="969" w:type="pct"/>
            <w:vAlign w:val="center"/>
          </w:tcPr>
          <w:p w14:paraId="626A6C57" w14:textId="77777777" w:rsidR="004B0883" w:rsidRDefault="004B0883">
            <w:pPr>
              <w:jc w:val="right"/>
              <w:rPr>
                <w:color w:val="000000"/>
              </w:rPr>
            </w:pPr>
            <w:r>
              <w:rPr>
                <w:color w:val="000000"/>
              </w:rPr>
              <w:t>3.82</w:t>
            </w:r>
          </w:p>
        </w:tc>
        <w:tc>
          <w:tcPr>
            <w:tcW w:w="970" w:type="pct"/>
            <w:vAlign w:val="center"/>
          </w:tcPr>
          <w:p w14:paraId="27CB398F" w14:textId="77777777" w:rsidR="004B0883" w:rsidRDefault="004B0883">
            <w:pPr>
              <w:jc w:val="right"/>
              <w:rPr>
                <w:color w:val="000000"/>
              </w:rPr>
            </w:pPr>
            <w:r>
              <w:rPr>
                <w:color w:val="000000"/>
              </w:rPr>
              <w:t>5.68</w:t>
            </w:r>
          </w:p>
        </w:tc>
      </w:tr>
      <w:tr w:rsidR="004B0883" w14:paraId="789A7761" w14:textId="77777777">
        <w:trPr>
          <w:cantSplit/>
          <w:trHeight w:val="397"/>
        </w:trPr>
        <w:tc>
          <w:tcPr>
            <w:tcW w:w="1122" w:type="pct"/>
            <w:vAlign w:val="center"/>
          </w:tcPr>
          <w:p w14:paraId="596F1E57" w14:textId="77777777" w:rsidR="004B0883" w:rsidRDefault="004B0883">
            <w:pPr>
              <w:rPr>
                <w:color w:val="000000"/>
              </w:rPr>
            </w:pPr>
            <w:r>
              <w:rPr>
                <w:rFonts w:hint="eastAsia"/>
                <w:color w:val="000000"/>
              </w:rPr>
              <w:t>每股经营活动现金净流量（元</w:t>
            </w:r>
            <w:r>
              <w:rPr>
                <w:color w:val="000000"/>
              </w:rPr>
              <w:t>/</w:t>
            </w:r>
            <w:r>
              <w:rPr>
                <w:rFonts w:hint="eastAsia"/>
                <w:color w:val="000000"/>
              </w:rPr>
              <w:t>股）</w:t>
            </w:r>
          </w:p>
        </w:tc>
        <w:tc>
          <w:tcPr>
            <w:tcW w:w="969" w:type="pct"/>
            <w:noWrap/>
            <w:vAlign w:val="center"/>
          </w:tcPr>
          <w:p w14:paraId="16EBE28C" w14:textId="77777777" w:rsidR="004B0883" w:rsidRDefault="004B0883">
            <w:pPr>
              <w:jc w:val="right"/>
              <w:rPr>
                <w:rFonts w:hint="eastAsia"/>
                <w:color w:val="000000"/>
                <w:highlight w:val="yellow"/>
              </w:rPr>
            </w:pPr>
            <w:r>
              <w:rPr>
                <w:rFonts w:eastAsia="等线"/>
                <w:color w:val="000000"/>
              </w:rPr>
              <w:t>0.</w:t>
            </w:r>
            <w:r>
              <w:rPr>
                <w:rFonts w:eastAsia="等线" w:hint="eastAsia"/>
                <w:color w:val="000000"/>
              </w:rPr>
              <w:t>45</w:t>
            </w:r>
          </w:p>
        </w:tc>
        <w:tc>
          <w:tcPr>
            <w:tcW w:w="969" w:type="pct"/>
            <w:noWrap/>
            <w:vAlign w:val="center"/>
          </w:tcPr>
          <w:p w14:paraId="725EE0C2" w14:textId="77777777" w:rsidR="004B0883" w:rsidRDefault="004B0883">
            <w:pPr>
              <w:jc w:val="right"/>
              <w:rPr>
                <w:color w:val="000000"/>
                <w:szCs w:val="22"/>
              </w:rPr>
            </w:pPr>
            <w:r>
              <w:rPr>
                <w:color w:val="000000"/>
                <w:szCs w:val="22"/>
              </w:rPr>
              <w:t>0.80</w:t>
            </w:r>
          </w:p>
        </w:tc>
        <w:tc>
          <w:tcPr>
            <w:tcW w:w="969" w:type="pct"/>
            <w:noWrap/>
            <w:vAlign w:val="center"/>
          </w:tcPr>
          <w:p w14:paraId="3CE172C1" w14:textId="77777777" w:rsidR="004B0883" w:rsidRDefault="004B0883">
            <w:pPr>
              <w:jc w:val="right"/>
              <w:rPr>
                <w:color w:val="000000"/>
                <w:szCs w:val="22"/>
              </w:rPr>
            </w:pPr>
            <w:r>
              <w:rPr>
                <w:color w:val="000000"/>
                <w:szCs w:val="22"/>
              </w:rPr>
              <w:t>0.07</w:t>
            </w:r>
          </w:p>
        </w:tc>
        <w:tc>
          <w:tcPr>
            <w:tcW w:w="970" w:type="pct"/>
            <w:noWrap/>
            <w:vAlign w:val="center"/>
          </w:tcPr>
          <w:p w14:paraId="2FFC2EC1" w14:textId="77777777" w:rsidR="004B0883" w:rsidRDefault="004B0883">
            <w:pPr>
              <w:jc w:val="right"/>
              <w:rPr>
                <w:color w:val="000000"/>
                <w:szCs w:val="22"/>
              </w:rPr>
            </w:pPr>
            <w:r>
              <w:rPr>
                <w:color w:val="000000"/>
                <w:szCs w:val="22"/>
              </w:rPr>
              <w:t>0.77</w:t>
            </w:r>
          </w:p>
        </w:tc>
      </w:tr>
      <w:tr w:rsidR="004B0883" w14:paraId="0012712D" w14:textId="77777777">
        <w:trPr>
          <w:cantSplit/>
          <w:trHeight w:val="397"/>
        </w:trPr>
        <w:tc>
          <w:tcPr>
            <w:tcW w:w="1122" w:type="pct"/>
            <w:vAlign w:val="center"/>
          </w:tcPr>
          <w:p w14:paraId="58E2B933" w14:textId="77777777" w:rsidR="004B0883" w:rsidRDefault="004B0883">
            <w:pPr>
              <w:rPr>
                <w:color w:val="000000"/>
              </w:rPr>
            </w:pPr>
            <w:r>
              <w:rPr>
                <w:rFonts w:hint="eastAsia"/>
                <w:color w:val="000000"/>
              </w:rPr>
              <w:t>每股净现金流量（元</w:t>
            </w:r>
            <w:r>
              <w:rPr>
                <w:color w:val="000000"/>
              </w:rPr>
              <w:t>/</w:t>
            </w:r>
            <w:r>
              <w:rPr>
                <w:rFonts w:hint="eastAsia"/>
                <w:color w:val="000000"/>
              </w:rPr>
              <w:t>股）</w:t>
            </w:r>
          </w:p>
        </w:tc>
        <w:tc>
          <w:tcPr>
            <w:tcW w:w="969" w:type="pct"/>
            <w:vAlign w:val="center"/>
          </w:tcPr>
          <w:p w14:paraId="0CE7C833" w14:textId="77777777" w:rsidR="004B0883" w:rsidRDefault="004B0883">
            <w:pPr>
              <w:jc w:val="right"/>
              <w:rPr>
                <w:rFonts w:hint="eastAsia"/>
                <w:color w:val="000000"/>
                <w:highlight w:val="yellow"/>
              </w:rPr>
            </w:pPr>
            <w:r>
              <w:rPr>
                <w:rFonts w:eastAsia="等线"/>
                <w:color w:val="000000"/>
              </w:rPr>
              <w:t>-0.</w:t>
            </w:r>
            <w:r>
              <w:rPr>
                <w:rFonts w:eastAsia="等线" w:hint="eastAsia"/>
                <w:color w:val="000000"/>
              </w:rPr>
              <w:t>54</w:t>
            </w:r>
          </w:p>
        </w:tc>
        <w:tc>
          <w:tcPr>
            <w:tcW w:w="969" w:type="pct"/>
            <w:vAlign w:val="center"/>
          </w:tcPr>
          <w:p w14:paraId="32F80ADE" w14:textId="77777777" w:rsidR="004B0883" w:rsidRDefault="004B0883">
            <w:pPr>
              <w:jc w:val="right"/>
              <w:rPr>
                <w:color w:val="000000"/>
              </w:rPr>
            </w:pPr>
            <w:r>
              <w:rPr>
                <w:color w:val="000000"/>
              </w:rPr>
              <w:t>0.43</w:t>
            </w:r>
          </w:p>
        </w:tc>
        <w:tc>
          <w:tcPr>
            <w:tcW w:w="969" w:type="pct"/>
            <w:vAlign w:val="center"/>
          </w:tcPr>
          <w:p w14:paraId="70C5C548" w14:textId="77777777" w:rsidR="004B0883" w:rsidRDefault="004B0883">
            <w:pPr>
              <w:jc w:val="right"/>
              <w:rPr>
                <w:color w:val="000000"/>
              </w:rPr>
            </w:pPr>
            <w:r>
              <w:rPr>
                <w:color w:val="000000"/>
              </w:rPr>
              <w:t>0.24</w:t>
            </w:r>
          </w:p>
        </w:tc>
        <w:tc>
          <w:tcPr>
            <w:tcW w:w="970" w:type="pct"/>
            <w:vAlign w:val="center"/>
          </w:tcPr>
          <w:p w14:paraId="6E2E44CD" w14:textId="77777777" w:rsidR="004B0883" w:rsidRDefault="004B0883">
            <w:pPr>
              <w:jc w:val="right"/>
              <w:rPr>
                <w:color w:val="000000"/>
              </w:rPr>
            </w:pPr>
            <w:r>
              <w:rPr>
                <w:color w:val="000000"/>
              </w:rPr>
              <w:t>-0.09</w:t>
            </w:r>
          </w:p>
        </w:tc>
      </w:tr>
      <w:tr w:rsidR="004B0883" w14:paraId="71518637" w14:textId="77777777">
        <w:trPr>
          <w:cantSplit/>
          <w:trHeight w:val="397"/>
        </w:trPr>
        <w:tc>
          <w:tcPr>
            <w:tcW w:w="1122" w:type="pct"/>
            <w:vAlign w:val="center"/>
          </w:tcPr>
          <w:p w14:paraId="5E8C72D5" w14:textId="77777777" w:rsidR="004B0883" w:rsidRDefault="004B0883">
            <w:pPr>
              <w:rPr>
                <w:color w:val="000000"/>
              </w:rPr>
            </w:pPr>
            <w:r>
              <w:rPr>
                <w:rFonts w:hint="eastAsia"/>
                <w:color w:val="000000"/>
              </w:rPr>
              <w:t>研发费用占营业收入的比重</w:t>
            </w:r>
          </w:p>
        </w:tc>
        <w:tc>
          <w:tcPr>
            <w:tcW w:w="969" w:type="pct"/>
            <w:vAlign w:val="center"/>
          </w:tcPr>
          <w:p w14:paraId="4D1E4B04" w14:textId="77777777" w:rsidR="004B0883" w:rsidRDefault="004B0883">
            <w:pPr>
              <w:jc w:val="right"/>
              <w:rPr>
                <w:rFonts w:hint="eastAsia"/>
                <w:color w:val="000000"/>
                <w:highlight w:val="yellow"/>
              </w:rPr>
            </w:pPr>
            <w:r>
              <w:rPr>
                <w:rFonts w:eastAsia="等线"/>
                <w:color w:val="000000"/>
              </w:rPr>
              <w:t>4.08%</w:t>
            </w:r>
          </w:p>
        </w:tc>
        <w:tc>
          <w:tcPr>
            <w:tcW w:w="969" w:type="pct"/>
            <w:vAlign w:val="center"/>
          </w:tcPr>
          <w:p w14:paraId="1E30C6AD" w14:textId="77777777" w:rsidR="004B0883" w:rsidRDefault="004B0883">
            <w:pPr>
              <w:jc w:val="right"/>
              <w:rPr>
                <w:color w:val="000000"/>
              </w:rPr>
            </w:pPr>
            <w:r>
              <w:rPr>
                <w:color w:val="000000"/>
              </w:rPr>
              <w:t>4.91%</w:t>
            </w:r>
          </w:p>
        </w:tc>
        <w:tc>
          <w:tcPr>
            <w:tcW w:w="969" w:type="pct"/>
            <w:vAlign w:val="center"/>
          </w:tcPr>
          <w:p w14:paraId="504295BE" w14:textId="77777777" w:rsidR="004B0883" w:rsidRDefault="004B0883">
            <w:pPr>
              <w:jc w:val="right"/>
              <w:rPr>
                <w:color w:val="000000"/>
              </w:rPr>
            </w:pPr>
            <w:r>
              <w:rPr>
                <w:color w:val="000000"/>
              </w:rPr>
              <w:t>5.83%</w:t>
            </w:r>
          </w:p>
        </w:tc>
        <w:tc>
          <w:tcPr>
            <w:tcW w:w="970" w:type="pct"/>
            <w:vAlign w:val="center"/>
          </w:tcPr>
          <w:p w14:paraId="25776B06" w14:textId="77777777" w:rsidR="004B0883" w:rsidRDefault="004B0883">
            <w:pPr>
              <w:jc w:val="right"/>
              <w:rPr>
                <w:color w:val="000000"/>
              </w:rPr>
            </w:pPr>
            <w:r>
              <w:rPr>
                <w:color w:val="000000"/>
              </w:rPr>
              <w:t>6.16%</w:t>
            </w:r>
          </w:p>
        </w:tc>
      </w:tr>
    </w:tbl>
    <w:p w14:paraId="5F96DF4B" w14:textId="77777777" w:rsidR="004B0883" w:rsidRDefault="004B0883">
      <w:pPr>
        <w:pStyle w:val="006"/>
        <w:ind w:firstLine="420"/>
      </w:pPr>
      <w:r>
        <w:rPr>
          <w:rFonts w:hint="eastAsia"/>
        </w:rPr>
        <w:t>注：上述财务指标的计算公式如下：</w:t>
      </w:r>
    </w:p>
    <w:p w14:paraId="3A012F11" w14:textId="77777777" w:rsidR="004B0883" w:rsidRDefault="004B0883">
      <w:pPr>
        <w:pStyle w:val="006"/>
        <w:ind w:firstLine="420"/>
      </w:pPr>
      <w:r>
        <w:t>1</w:t>
      </w:r>
      <w:r>
        <w:rPr>
          <w:rFonts w:hint="eastAsia"/>
        </w:rPr>
        <w:t>、流动比率</w:t>
      </w:r>
      <w:r>
        <w:t>=</w:t>
      </w:r>
      <w:r>
        <w:rPr>
          <w:rFonts w:hint="eastAsia"/>
        </w:rPr>
        <w:t>流动资产</w:t>
      </w:r>
      <w:r>
        <w:t>/</w:t>
      </w:r>
      <w:r>
        <w:rPr>
          <w:rFonts w:hint="eastAsia"/>
        </w:rPr>
        <w:t>流动负债</w:t>
      </w:r>
    </w:p>
    <w:p w14:paraId="5A776B74" w14:textId="77777777" w:rsidR="004B0883" w:rsidRDefault="004B0883">
      <w:pPr>
        <w:pStyle w:val="006"/>
        <w:ind w:firstLine="420"/>
      </w:pPr>
      <w:r>
        <w:t>2</w:t>
      </w:r>
      <w:r>
        <w:rPr>
          <w:rFonts w:hint="eastAsia"/>
        </w:rPr>
        <w:t>、速动比率</w:t>
      </w:r>
      <w:r>
        <w:t>=</w:t>
      </w:r>
      <w:r>
        <w:rPr>
          <w:rFonts w:hint="eastAsia"/>
        </w:rPr>
        <w:t>（流动资产</w:t>
      </w:r>
      <w:r>
        <w:t>-</w:t>
      </w:r>
      <w:r>
        <w:rPr>
          <w:rFonts w:hint="eastAsia"/>
        </w:rPr>
        <w:t>存货）</w:t>
      </w:r>
      <w:r>
        <w:t>/</w:t>
      </w:r>
      <w:r>
        <w:rPr>
          <w:rFonts w:hint="eastAsia"/>
        </w:rPr>
        <w:t>流动负债</w:t>
      </w:r>
    </w:p>
    <w:p w14:paraId="32621789" w14:textId="77777777" w:rsidR="004B0883" w:rsidRDefault="004B0883">
      <w:pPr>
        <w:pStyle w:val="006"/>
        <w:ind w:firstLine="420"/>
      </w:pPr>
      <w:r>
        <w:t>3</w:t>
      </w:r>
      <w:r>
        <w:rPr>
          <w:rFonts w:hint="eastAsia"/>
        </w:rPr>
        <w:t>、资产负债率</w:t>
      </w:r>
      <w:r>
        <w:t>=</w:t>
      </w:r>
      <w:r>
        <w:rPr>
          <w:rFonts w:hint="eastAsia"/>
        </w:rPr>
        <w:t>总负债</w:t>
      </w:r>
      <w:r>
        <w:t>/</w:t>
      </w:r>
      <w:r>
        <w:rPr>
          <w:rFonts w:hint="eastAsia"/>
        </w:rPr>
        <w:t>总资产</w:t>
      </w:r>
    </w:p>
    <w:p w14:paraId="782DA6CD" w14:textId="77777777" w:rsidR="004B0883" w:rsidRDefault="004B0883">
      <w:pPr>
        <w:pStyle w:val="006"/>
        <w:ind w:firstLine="420"/>
      </w:pPr>
      <w:r>
        <w:t>4</w:t>
      </w:r>
      <w:r>
        <w:rPr>
          <w:rFonts w:hint="eastAsia"/>
        </w:rPr>
        <w:t>、应收账款周转率</w:t>
      </w:r>
      <w:r>
        <w:t>=</w:t>
      </w:r>
      <w:r>
        <w:rPr>
          <w:rFonts w:hint="eastAsia"/>
        </w:rPr>
        <w:t>营业收入</w:t>
      </w:r>
      <w:r>
        <w:t>/</w:t>
      </w:r>
      <w:r>
        <w:rPr>
          <w:rFonts w:hint="eastAsia"/>
        </w:rPr>
        <w:t>应收账款平均账面价值</w:t>
      </w:r>
    </w:p>
    <w:p w14:paraId="0A6503FB" w14:textId="77777777" w:rsidR="004B0883" w:rsidRDefault="004B0883">
      <w:pPr>
        <w:pStyle w:val="006"/>
        <w:ind w:firstLine="420"/>
      </w:pPr>
      <w:r>
        <w:t>5</w:t>
      </w:r>
      <w:r>
        <w:rPr>
          <w:rFonts w:hint="eastAsia"/>
        </w:rPr>
        <w:t>、存货周转率</w:t>
      </w:r>
      <w:r>
        <w:t>=</w:t>
      </w:r>
      <w:r>
        <w:rPr>
          <w:rFonts w:hint="eastAsia"/>
        </w:rPr>
        <w:t>营业成本</w:t>
      </w:r>
      <w:r>
        <w:t>/</w:t>
      </w:r>
      <w:r>
        <w:rPr>
          <w:rFonts w:hint="eastAsia"/>
        </w:rPr>
        <w:t>存货平均账面价值</w:t>
      </w:r>
    </w:p>
    <w:p w14:paraId="60567140" w14:textId="77777777" w:rsidR="004B0883" w:rsidRDefault="004B0883">
      <w:pPr>
        <w:pStyle w:val="006"/>
        <w:ind w:firstLine="420"/>
      </w:pPr>
      <w:r>
        <w:t>6</w:t>
      </w:r>
      <w:r>
        <w:rPr>
          <w:rFonts w:hint="eastAsia"/>
        </w:rPr>
        <w:t>、总资产周转率</w:t>
      </w:r>
      <w:r>
        <w:t>=</w:t>
      </w:r>
      <w:r>
        <w:rPr>
          <w:rFonts w:hint="eastAsia"/>
        </w:rPr>
        <w:t>营业收入</w:t>
      </w:r>
      <w:r>
        <w:t>/</w:t>
      </w:r>
      <w:r>
        <w:rPr>
          <w:rFonts w:hint="eastAsia"/>
        </w:rPr>
        <w:t>平均总资产</w:t>
      </w:r>
    </w:p>
    <w:p w14:paraId="6F437F83" w14:textId="77777777" w:rsidR="004B0883" w:rsidRDefault="004B0883">
      <w:pPr>
        <w:pStyle w:val="006"/>
        <w:ind w:firstLine="420"/>
      </w:pPr>
      <w:r>
        <w:t>7</w:t>
      </w:r>
      <w:r>
        <w:rPr>
          <w:rFonts w:hint="eastAsia"/>
        </w:rPr>
        <w:t>、归属于母公司所有者的每股净资产</w:t>
      </w:r>
      <w:r>
        <w:t>=</w:t>
      </w:r>
      <w:r>
        <w:rPr>
          <w:rFonts w:hint="eastAsia"/>
        </w:rPr>
        <w:t>期末归属于母公司的股东权益</w:t>
      </w:r>
      <w:r>
        <w:t>/</w:t>
      </w:r>
      <w:r>
        <w:rPr>
          <w:rFonts w:hint="eastAsia"/>
        </w:rPr>
        <w:t>期末股本</w:t>
      </w:r>
    </w:p>
    <w:p w14:paraId="0B7FA793" w14:textId="77777777" w:rsidR="004B0883" w:rsidRDefault="004B0883">
      <w:pPr>
        <w:pStyle w:val="006"/>
        <w:ind w:firstLine="420"/>
      </w:pPr>
      <w:r>
        <w:t>8</w:t>
      </w:r>
      <w:r>
        <w:rPr>
          <w:rFonts w:hint="eastAsia"/>
        </w:rPr>
        <w:t>、每股经营活动现金净流量</w:t>
      </w:r>
      <w:r>
        <w:t>=</w:t>
      </w:r>
      <w:r>
        <w:rPr>
          <w:rFonts w:hint="eastAsia"/>
        </w:rPr>
        <w:t>经营活动产生的现金流量净额</w:t>
      </w:r>
      <w:r>
        <w:t>/</w:t>
      </w:r>
      <w:r>
        <w:rPr>
          <w:rFonts w:hint="eastAsia"/>
        </w:rPr>
        <w:t>期末股本</w:t>
      </w:r>
    </w:p>
    <w:p w14:paraId="3B4C63EE" w14:textId="77777777" w:rsidR="004B0883" w:rsidRDefault="004B0883">
      <w:pPr>
        <w:pStyle w:val="006"/>
        <w:ind w:firstLine="420"/>
      </w:pPr>
      <w:r>
        <w:t>9</w:t>
      </w:r>
      <w:r>
        <w:rPr>
          <w:rFonts w:hint="eastAsia"/>
        </w:rPr>
        <w:t>、每股净现金流量</w:t>
      </w:r>
      <w:r>
        <w:t>=</w:t>
      </w:r>
      <w:r>
        <w:rPr>
          <w:rFonts w:hint="eastAsia"/>
        </w:rPr>
        <w:t>现金及现金等价物净增加额</w:t>
      </w:r>
      <w:r>
        <w:t>/</w:t>
      </w:r>
      <w:r>
        <w:rPr>
          <w:rFonts w:hint="eastAsia"/>
        </w:rPr>
        <w:t>期末股本</w:t>
      </w:r>
    </w:p>
    <w:p w14:paraId="7CA27DC5" w14:textId="77777777" w:rsidR="004B0883" w:rsidRDefault="004B0883">
      <w:pPr>
        <w:pStyle w:val="006"/>
        <w:ind w:firstLine="420"/>
      </w:pPr>
      <w:r>
        <w:t>10</w:t>
      </w:r>
      <w:r>
        <w:rPr>
          <w:rFonts w:hint="eastAsia"/>
        </w:rPr>
        <w:t>、研发费用占营业收入的比重</w:t>
      </w:r>
      <w:r>
        <w:t>=</w:t>
      </w:r>
      <w:r>
        <w:rPr>
          <w:rFonts w:hint="eastAsia"/>
        </w:rPr>
        <w:t>研发费用</w:t>
      </w:r>
      <w:r>
        <w:t>/</w:t>
      </w:r>
      <w:r>
        <w:rPr>
          <w:rFonts w:hint="eastAsia"/>
        </w:rPr>
        <w:t>营业收入</w:t>
      </w:r>
    </w:p>
    <w:p w14:paraId="00BFE662" w14:textId="77777777" w:rsidR="004B0883" w:rsidRDefault="004B0883">
      <w:pPr>
        <w:pStyle w:val="006"/>
        <w:ind w:firstLine="420"/>
      </w:pPr>
      <w:r>
        <w:t>11</w:t>
      </w:r>
      <w:r>
        <w:rPr>
          <w:rFonts w:hint="eastAsia"/>
        </w:rPr>
        <w:t>、</w:t>
      </w:r>
      <w:r>
        <w:t>2023</w:t>
      </w:r>
      <w:r>
        <w:rPr>
          <w:rFonts w:hint="eastAsia"/>
        </w:rPr>
        <w:t>年</w:t>
      </w:r>
      <w:r>
        <w:t>1-</w:t>
      </w:r>
      <w:r>
        <w:rPr>
          <w:rFonts w:hint="eastAsia"/>
        </w:rPr>
        <w:t>9</w:t>
      </w:r>
      <w:r>
        <w:rPr>
          <w:rFonts w:hint="eastAsia"/>
        </w:rPr>
        <w:t>月，应收账款周转率、存货周转率以及总资产周转率进行简单年化处理</w:t>
      </w:r>
    </w:p>
    <w:bookmarkEnd w:id="303"/>
    <w:p w14:paraId="5CF5DBCC" w14:textId="77777777" w:rsidR="004B0883" w:rsidRDefault="004B0883">
      <w:pPr>
        <w:pStyle w:val="003"/>
        <w:spacing w:before="120" w:after="120"/>
        <w:rPr>
          <w:rFonts w:hint="eastAsia"/>
        </w:rPr>
      </w:pPr>
      <w:r>
        <w:rPr>
          <w:rFonts w:hint="eastAsia"/>
        </w:rPr>
        <w:t>（二）公司最近三年及一期净资产收益率及每股收益</w:t>
      </w:r>
    </w:p>
    <w:p w14:paraId="5EFE02AA" w14:textId="77777777" w:rsidR="004B0883" w:rsidRDefault="004B0883">
      <w:pPr>
        <w:pStyle w:val="005"/>
        <w:spacing w:before="120"/>
        <w:ind w:firstLine="480"/>
      </w:pPr>
      <w:r>
        <w:rPr>
          <w:rFonts w:hint="eastAsia"/>
        </w:rPr>
        <w:t>根据中国证监会《公开发行证券的公司信息披露编报规则第</w:t>
      </w:r>
      <w:r>
        <w:rPr>
          <w:rFonts w:hint="eastAsia"/>
        </w:rPr>
        <w:t>9</w:t>
      </w:r>
      <w:r>
        <w:rPr>
          <w:rFonts w:hint="eastAsia"/>
        </w:rPr>
        <w:t>号—净资产收益率和每股收益的计算及披露》（</w:t>
      </w:r>
      <w:r>
        <w:rPr>
          <w:rFonts w:hint="eastAsia"/>
        </w:rPr>
        <w:t>2010</w:t>
      </w:r>
      <w:r>
        <w:rPr>
          <w:rFonts w:hint="eastAsia"/>
        </w:rPr>
        <w:t>年修订）的规定，公司报告期内的净资产收益率和每股收益如下：</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157"/>
        <w:gridCol w:w="1517"/>
        <w:gridCol w:w="1517"/>
        <w:gridCol w:w="1542"/>
        <w:gridCol w:w="1547"/>
      </w:tblGrid>
      <w:tr w:rsidR="004B0883" w14:paraId="20D88A1E" w14:textId="77777777">
        <w:trPr>
          <w:trHeight w:val="397"/>
          <w:tblHeader/>
          <w:jc w:val="center"/>
        </w:trPr>
        <w:tc>
          <w:tcPr>
            <w:tcW w:w="2219" w:type="pct"/>
            <w:gridSpan w:val="2"/>
            <w:vMerge w:val="restart"/>
            <w:shd w:val="clear" w:color="auto" w:fill="D9D9D9"/>
            <w:vAlign w:val="center"/>
          </w:tcPr>
          <w:p w14:paraId="51B92C18" w14:textId="77777777" w:rsidR="004B0883" w:rsidRDefault="004B0883">
            <w:pPr>
              <w:keepNext/>
              <w:adjustRightInd w:val="0"/>
              <w:snapToGrid w:val="0"/>
              <w:jc w:val="center"/>
              <w:rPr>
                <w:b/>
                <w:kern w:val="0"/>
              </w:rPr>
            </w:pPr>
            <w:r>
              <w:rPr>
                <w:b/>
                <w:kern w:val="0"/>
              </w:rPr>
              <w:t>项目</w:t>
            </w:r>
          </w:p>
        </w:tc>
        <w:tc>
          <w:tcPr>
            <w:tcW w:w="916" w:type="pct"/>
            <w:vMerge w:val="restart"/>
            <w:shd w:val="clear" w:color="auto" w:fill="D9D9D9"/>
            <w:vAlign w:val="center"/>
          </w:tcPr>
          <w:p w14:paraId="47DD639E" w14:textId="77777777" w:rsidR="004B0883" w:rsidRDefault="004B0883">
            <w:pPr>
              <w:adjustRightInd w:val="0"/>
              <w:snapToGrid w:val="0"/>
              <w:jc w:val="center"/>
              <w:rPr>
                <w:b/>
                <w:kern w:val="0"/>
              </w:rPr>
            </w:pPr>
            <w:r>
              <w:rPr>
                <w:b/>
                <w:kern w:val="0"/>
              </w:rPr>
              <w:t>加权平均净资产收益率</w:t>
            </w:r>
          </w:p>
        </w:tc>
        <w:tc>
          <w:tcPr>
            <w:tcW w:w="1865" w:type="pct"/>
            <w:gridSpan w:val="2"/>
            <w:shd w:val="clear" w:color="auto" w:fill="D9D9D9"/>
            <w:vAlign w:val="center"/>
          </w:tcPr>
          <w:p w14:paraId="13438881" w14:textId="77777777" w:rsidR="004B0883" w:rsidRDefault="004B0883">
            <w:pPr>
              <w:adjustRightInd w:val="0"/>
              <w:snapToGrid w:val="0"/>
              <w:jc w:val="center"/>
              <w:rPr>
                <w:b/>
                <w:kern w:val="0"/>
              </w:rPr>
            </w:pPr>
            <w:r>
              <w:rPr>
                <w:b/>
                <w:kern w:val="0"/>
              </w:rPr>
              <w:t>每股收益（元</w:t>
            </w:r>
            <w:r>
              <w:rPr>
                <w:b/>
                <w:kern w:val="0"/>
              </w:rPr>
              <w:t>/</w:t>
            </w:r>
            <w:r>
              <w:rPr>
                <w:b/>
                <w:kern w:val="0"/>
              </w:rPr>
              <w:t>股）</w:t>
            </w:r>
          </w:p>
        </w:tc>
      </w:tr>
      <w:tr w:rsidR="004B0883" w14:paraId="73C7C15C" w14:textId="77777777">
        <w:trPr>
          <w:trHeight w:val="397"/>
          <w:tblHeader/>
          <w:jc w:val="center"/>
        </w:trPr>
        <w:tc>
          <w:tcPr>
            <w:tcW w:w="2219" w:type="pct"/>
            <w:gridSpan w:val="2"/>
            <w:vMerge/>
            <w:shd w:val="clear" w:color="auto" w:fill="D9D9D9"/>
            <w:vAlign w:val="center"/>
          </w:tcPr>
          <w:p w14:paraId="2E375ECA" w14:textId="77777777" w:rsidR="004B0883" w:rsidRDefault="004B0883">
            <w:pPr>
              <w:adjustRightInd w:val="0"/>
              <w:snapToGrid w:val="0"/>
              <w:jc w:val="center"/>
              <w:rPr>
                <w:b/>
                <w:kern w:val="0"/>
              </w:rPr>
            </w:pPr>
          </w:p>
        </w:tc>
        <w:tc>
          <w:tcPr>
            <w:tcW w:w="916" w:type="pct"/>
            <w:vMerge/>
            <w:shd w:val="clear" w:color="auto" w:fill="D9D9D9"/>
            <w:vAlign w:val="center"/>
          </w:tcPr>
          <w:p w14:paraId="1D3C4693" w14:textId="77777777" w:rsidR="004B0883" w:rsidRDefault="004B0883">
            <w:pPr>
              <w:adjustRightInd w:val="0"/>
              <w:snapToGrid w:val="0"/>
              <w:jc w:val="center"/>
              <w:rPr>
                <w:b/>
                <w:kern w:val="0"/>
              </w:rPr>
            </w:pPr>
          </w:p>
        </w:tc>
        <w:tc>
          <w:tcPr>
            <w:tcW w:w="931" w:type="pct"/>
            <w:shd w:val="clear" w:color="auto" w:fill="D9D9D9"/>
            <w:vAlign w:val="center"/>
          </w:tcPr>
          <w:p w14:paraId="2C6C2B0D" w14:textId="77777777" w:rsidR="004B0883" w:rsidRDefault="004B0883">
            <w:pPr>
              <w:adjustRightInd w:val="0"/>
              <w:snapToGrid w:val="0"/>
              <w:jc w:val="center"/>
              <w:rPr>
                <w:b/>
                <w:kern w:val="0"/>
              </w:rPr>
            </w:pPr>
            <w:r>
              <w:rPr>
                <w:b/>
                <w:kern w:val="0"/>
              </w:rPr>
              <w:t>基本每股收益</w:t>
            </w:r>
          </w:p>
        </w:tc>
        <w:tc>
          <w:tcPr>
            <w:tcW w:w="934" w:type="pct"/>
            <w:shd w:val="clear" w:color="auto" w:fill="D9D9D9"/>
            <w:vAlign w:val="center"/>
          </w:tcPr>
          <w:p w14:paraId="4CBC6DA9" w14:textId="77777777" w:rsidR="004B0883" w:rsidRDefault="004B0883">
            <w:pPr>
              <w:adjustRightInd w:val="0"/>
              <w:snapToGrid w:val="0"/>
              <w:jc w:val="center"/>
              <w:rPr>
                <w:b/>
                <w:kern w:val="0"/>
              </w:rPr>
            </w:pPr>
            <w:r>
              <w:rPr>
                <w:b/>
                <w:kern w:val="0"/>
              </w:rPr>
              <w:t>稀释每股收益</w:t>
            </w:r>
          </w:p>
        </w:tc>
      </w:tr>
      <w:tr w:rsidR="004B0883" w14:paraId="5EEE316F" w14:textId="77777777">
        <w:trPr>
          <w:trHeight w:val="397"/>
          <w:jc w:val="center"/>
        </w:trPr>
        <w:tc>
          <w:tcPr>
            <w:tcW w:w="1303" w:type="pct"/>
            <w:vMerge w:val="restart"/>
            <w:vAlign w:val="center"/>
          </w:tcPr>
          <w:p w14:paraId="5151E5E0" w14:textId="77777777" w:rsidR="004B0883" w:rsidRDefault="004B0883">
            <w:pPr>
              <w:adjustRightInd w:val="0"/>
              <w:snapToGrid w:val="0"/>
              <w:jc w:val="center"/>
              <w:rPr>
                <w:kern w:val="0"/>
              </w:rPr>
            </w:pPr>
            <w:r>
              <w:rPr>
                <w:kern w:val="0"/>
              </w:rPr>
              <w:t>归属于公司普通股股东的净利润</w:t>
            </w:r>
          </w:p>
        </w:tc>
        <w:tc>
          <w:tcPr>
            <w:tcW w:w="916" w:type="pct"/>
            <w:vAlign w:val="center"/>
          </w:tcPr>
          <w:p w14:paraId="4DEC9B2A" w14:textId="77777777" w:rsidR="004B0883" w:rsidRDefault="004B0883">
            <w:pPr>
              <w:adjustRightInd w:val="0"/>
              <w:snapToGrid w:val="0"/>
              <w:rPr>
                <w:kern w:val="0"/>
              </w:rPr>
            </w:pPr>
            <w:r>
              <w:rPr>
                <w:kern w:val="0"/>
              </w:rPr>
              <w:t>2023</w:t>
            </w:r>
            <w:r>
              <w:rPr>
                <w:kern w:val="0"/>
              </w:rPr>
              <w:t>年</w:t>
            </w:r>
            <w:r>
              <w:rPr>
                <w:kern w:val="0"/>
              </w:rPr>
              <w:t>1-</w:t>
            </w:r>
            <w:r>
              <w:rPr>
                <w:rFonts w:hint="eastAsia"/>
                <w:kern w:val="0"/>
              </w:rPr>
              <w:t>9</w:t>
            </w:r>
            <w:r>
              <w:rPr>
                <w:kern w:val="0"/>
              </w:rPr>
              <w:t>月</w:t>
            </w:r>
          </w:p>
        </w:tc>
        <w:tc>
          <w:tcPr>
            <w:tcW w:w="916" w:type="pct"/>
            <w:vAlign w:val="center"/>
          </w:tcPr>
          <w:p w14:paraId="09097D77" w14:textId="77777777" w:rsidR="004B0883" w:rsidRDefault="004B0883">
            <w:pPr>
              <w:adjustRightInd w:val="0"/>
              <w:snapToGrid w:val="0"/>
              <w:jc w:val="right"/>
              <w:rPr>
                <w:rFonts w:hint="eastAsia"/>
                <w:kern w:val="0"/>
              </w:rPr>
            </w:pPr>
            <w:r>
              <w:rPr>
                <w:rFonts w:hint="eastAsia"/>
                <w:color w:val="000000"/>
                <w:kern w:val="0"/>
              </w:rPr>
              <w:t>12.46</w:t>
            </w:r>
            <w:r>
              <w:rPr>
                <w:color w:val="000000"/>
                <w:kern w:val="0"/>
              </w:rPr>
              <w:t>%</w:t>
            </w:r>
          </w:p>
        </w:tc>
        <w:tc>
          <w:tcPr>
            <w:tcW w:w="931" w:type="pct"/>
            <w:vAlign w:val="center"/>
          </w:tcPr>
          <w:p w14:paraId="4C1F0496" w14:textId="77777777" w:rsidR="004B0883" w:rsidRDefault="004B0883">
            <w:pPr>
              <w:adjustRightInd w:val="0"/>
              <w:snapToGrid w:val="0"/>
              <w:jc w:val="right"/>
              <w:rPr>
                <w:kern w:val="0"/>
              </w:rPr>
            </w:pPr>
            <w:r>
              <w:rPr>
                <w:kern w:val="0"/>
              </w:rPr>
              <w:t>0.</w:t>
            </w:r>
            <w:r>
              <w:rPr>
                <w:rFonts w:hint="eastAsia"/>
                <w:kern w:val="0"/>
              </w:rPr>
              <w:t>43</w:t>
            </w:r>
          </w:p>
        </w:tc>
        <w:tc>
          <w:tcPr>
            <w:tcW w:w="934" w:type="pct"/>
            <w:vAlign w:val="center"/>
          </w:tcPr>
          <w:p w14:paraId="5CFFDDD6" w14:textId="77777777" w:rsidR="004B0883" w:rsidRDefault="004B0883">
            <w:pPr>
              <w:adjustRightInd w:val="0"/>
              <w:snapToGrid w:val="0"/>
              <w:jc w:val="right"/>
              <w:rPr>
                <w:kern w:val="0"/>
              </w:rPr>
            </w:pPr>
            <w:r>
              <w:rPr>
                <w:kern w:val="0"/>
              </w:rPr>
              <w:t>0.</w:t>
            </w:r>
            <w:r>
              <w:rPr>
                <w:rFonts w:hint="eastAsia"/>
                <w:kern w:val="0"/>
              </w:rPr>
              <w:t>43</w:t>
            </w:r>
          </w:p>
        </w:tc>
      </w:tr>
      <w:tr w:rsidR="004B0883" w14:paraId="5B1D0483" w14:textId="77777777">
        <w:trPr>
          <w:trHeight w:val="397"/>
          <w:jc w:val="center"/>
        </w:trPr>
        <w:tc>
          <w:tcPr>
            <w:tcW w:w="1303" w:type="pct"/>
            <w:vMerge/>
            <w:vAlign w:val="center"/>
          </w:tcPr>
          <w:p w14:paraId="72EB4F3B" w14:textId="77777777" w:rsidR="004B0883" w:rsidRDefault="004B0883">
            <w:pPr>
              <w:adjustRightInd w:val="0"/>
              <w:snapToGrid w:val="0"/>
              <w:jc w:val="center"/>
              <w:rPr>
                <w:kern w:val="0"/>
              </w:rPr>
            </w:pPr>
          </w:p>
        </w:tc>
        <w:tc>
          <w:tcPr>
            <w:tcW w:w="916" w:type="pct"/>
            <w:vAlign w:val="center"/>
          </w:tcPr>
          <w:p w14:paraId="484B7774" w14:textId="77777777" w:rsidR="004B0883" w:rsidRDefault="004B0883">
            <w:pPr>
              <w:adjustRightInd w:val="0"/>
              <w:snapToGrid w:val="0"/>
              <w:rPr>
                <w:kern w:val="0"/>
              </w:rPr>
            </w:pPr>
            <w:r>
              <w:rPr>
                <w:kern w:val="0"/>
              </w:rPr>
              <w:t>2022</w:t>
            </w:r>
            <w:r>
              <w:rPr>
                <w:kern w:val="0"/>
              </w:rPr>
              <w:t>年度</w:t>
            </w:r>
          </w:p>
        </w:tc>
        <w:tc>
          <w:tcPr>
            <w:tcW w:w="916" w:type="pct"/>
            <w:vAlign w:val="center"/>
          </w:tcPr>
          <w:p w14:paraId="12328212" w14:textId="77777777" w:rsidR="004B0883" w:rsidRDefault="004B0883">
            <w:pPr>
              <w:adjustRightInd w:val="0"/>
              <w:snapToGrid w:val="0"/>
              <w:jc w:val="right"/>
              <w:rPr>
                <w:kern w:val="0"/>
                <w:highlight w:val="yellow"/>
              </w:rPr>
            </w:pPr>
            <w:r>
              <w:rPr>
                <w:color w:val="000000"/>
                <w:kern w:val="0"/>
              </w:rPr>
              <w:t>19.94%</w:t>
            </w:r>
          </w:p>
        </w:tc>
        <w:tc>
          <w:tcPr>
            <w:tcW w:w="931" w:type="pct"/>
            <w:vAlign w:val="center"/>
          </w:tcPr>
          <w:p w14:paraId="36B4B9B7" w14:textId="77777777" w:rsidR="004B0883" w:rsidRDefault="004B0883">
            <w:pPr>
              <w:adjustRightInd w:val="0"/>
              <w:snapToGrid w:val="0"/>
              <w:jc w:val="right"/>
              <w:rPr>
                <w:kern w:val="0"/>
                <w:highlight w:val="yellow"/>
              </w:rPr>
            </w:pPr>
            <w:r>
              <w:t>0.62</w:t>
            </w:r>
          </w:p>
        </w:tc>
        <w:tc>
          <w:tcPr>
            <w:tcW w:w="934" w:type="pct"/>
            <w:vAlign w:val="center"/>
          </w:tcPr>
          <w:p w14:paraId="4E457EC4" w14:textId="77777777" w:rsidR="004B0883" w:rsidRDefault="004B0883">
            <w:pPr>
              <w:adjustRightInd w:val="0"/>
              <w:snapToGrid w:val="0"/>
              <w:jc w:val="right"/>
              <w:rPr>
                <w:kern w:val="0"/>
                <w:highlight w:val="yellow"/>
              </w:rPr>
            </w:pPr>
            <w:r>
              <w:t>0.62</w:t>
            </w:r>
          </w:p>
        </w:tc>
      </w:tr>
      <w:tr w:rsidR="004B0883" w14:paraId="3CF687E7" w14:textId="77777777">
        <w:trPr>
          <w:trHeight w:val="397"/>
          <w:jc w:val="center"/>
        </w:trPr>
        <w:tc>
          <w:tcPr>
            <w:tcW w:w="1303" w:type="pct"/>
            <w:vMerge/>
            <w:vAlign w:val="center"/>
          </w:tcPr>
          <w:p w14:paraId="0342F13B" w14:textId="77777777" w:rsidR="004B0883" w:rsidRDefault="004B0883">
            <w:pPr>
              <w:adjustRightInd w:val="0"/>
              <w:snapToGrid w:val="0"/>
              <w:jc w:val="center"/>
              <w:rPr>
                <w:kern w:val="0"/>
              </w:rPr>
            </w:pPr>
          </w:p>
        </w:tc>
        <w:tc>
          <w:tcPr>
            <w:tcW w:w="916" w:type="pct"/>
            <w:vAlign w:val="center"/>
          </w:tcPr>
          <w:p w14:paraId="3A2D1D88" w14:textId="77777777" w:rsidR="004B0883" w:rsidRDefault="004B0883">
            <w:pPr>
              <w:adjustRightInd w:val="0"/>
              <w:snapToGrid w:val="0"/>
              <w:rPr>
                <w:kern w:val="0"/>
              </w:rPr>
            </w:pPr>
            <w:r>
              <w:rPr>
                <w:kern w:val="0"/>
              </w:rPr>
              <w:t>2021</w:t>
            </w:r>
            <w:r>
              <w:rPr>
                <w:kern w:val="0"/>
              </w:rPr>
              <w:t>年度</w:t>
            </w:r>
          </w:p>
        </w:tc>
        <w:tc>
          <w:tcPr>
            <w:tcW w:w="916" w:type="pct"/>
            <w:vAlign w:val="center"/>
          </w:tcPr>
          <w:p w14:paraId="6FD2AD9E" w14:textId="77777777" w:rsidR="004B0883" w:rsidRDefault="004B0883">
            <w:pPr>
              <w:adjustRightInd w:val="0"/>
              <w:snapToGrid w:val="0"/>
              <w:jc w:val="right"/>
              <w:rPr>
                <w:kern w:val="0"/>
              </w:rPr>
            </w:pPr>
            <w:r>
              <w:rPr>
                <w:color w:val="000000"/>
                <w:kern w:val="0"/>
              </w:rPr>
              <w:t>9.36%</w:t>
            </w:r>
          </w:p>
        </w:tc>
        <w:tc>
          <w:tcPr>
            <w:tcW w:w="931" w:type="pct"/>
            <w:vAlign w:val="center"/>
          </w:tcPr>
          <w:p w14:paraId="005B749F" w14:textId="77777777" w:rsidR="004B0883" w:rsidRDefault="004B0883">
            <w:pPr>
              <w:adjustRightInd w:val="0"/>
              <w:snapToGrid w:val="0"/>
              <w:jc w:val="right"/>
              <w:rPr>
                <w:kern w:val="0"/>
              </w:rPr>
            </w:pPr>
            <w:r>
              <w:t>0.28</w:t>
            </w:r>
          </w:p>
        </w:tc>
        <w:tc>
          <w:tcPr>
            <w:tcW w:w="934" w:type="pct"/>
            <w:vAlign w:val="center"/>
          </w:tcPr>
          <w:p w14:paraId="4F95B2BB" w14:textId="77777777" w:rsidR="004B0883" w:rsidRDefault="004B0883">
            <w:pPr>
              <w:adjustRightInd w:val="0"/>
              <w:snapToGrid w:val="0"/>
              <w:jc w:val="right"/>
              <w:rPr>
                <w:kern w:val="0"/>
              </w:rPr>
            </w:pPr>
            <w:r>
              <w:t>0.28</w:t>
            </w:r>
          </w:p>
        </w:tc>
      </w:tr>
      <w:tr w:rsidR="004B0883" w14:paraId="1360C6C2" w14:textId="77777777">
        <w:trPr>
          <w:trHeight w:val="397"/>
          <w:jc w:val="center"/>
        </w:trPr>
        <w:tc>
          <w:tcPr>
            <w:tcW w:w="1303" w:type="pct"/>
            <w:vMerge/>
            <w:vAlign w:val="center"/>
          </w:tcPr>
          <w:p w14:paraId="58C87438" w14:textId="77777777" w:rsidR="004B0883" w:rsidRDefault="004B0883">
            <w:pPr>
              <w:adjustRightInd w:val="0"/>
              <w:snapToGrid w:val="0"/>
              <w:jc w:val="center"/>
              <w:rPr>
                <w:kern w:val="0"/>
              </w:rPr>
            </w:pPr>
          </w:p>
        </w:tc>
        <w:tc>
          <w:tcPr>
            <w:tcW w:w="916" w:type="pct"/>
            <w:vAlign w:val="center"/>
          </w:tcPr>
          <w:p w14:paraId="1D1F773D" w14:textId="77777777" w:rsidR="004B0883" w:rsidRDefault="004B0883">
            <w:pPr>
              <w:adjustRightInd w:val="0"/>
              <w:snapToGrid w:val="0"/>
              <w:rPr>
                <w:kern w:val="0"/>
              </w:rPr>
            </w:pPr>
            <w:r>
              <w:rPr>
                <w:kern w:val="0"/>
              </w:rPr>
              <w:t>2020</w:t>
            </w:r>
            <w:r>
              <w:rPr>
                <w:kern w:val="0"/>
              </w:rPr>
              <w:t>年度</w:t>
            </w:r>
          </w:p>
        </w:tc>
        <w:tc>
          <w:tcPr>
            <w:tcW w:w="916" w:type="pct"/>
            <w:vAlign w:val="center"/>
          </w:tcPr>
          <w:p w14:paraId="5B2E3267" w14:textId="77777777" w:rsidR="004B0883" w:rsidRDefault="004B0883">
            <w:pPr>
              <w:adjustRightInd w:val="0"/>
              <w:snapToGrid w:val="0"/>
              <w:jc w:val="right"/>
              <w:rPr>
                <w:kern w:val="0"/>
              </w:rPr>
            </w:pPr>
            <w:r>
              <w:rPr>
                <w:color w:val="000000"/>
                <w:kern w:val="0"/>
              </w:rPr>
              <w:t>8.89%</w:t>
            </w:r>
          </w:p>
        </w:tc>
        <w:tc>
          <w:tcPr>
            <w:tcW w:w="931" w:type="pct"/>
            <w:vAlign w:val="center"/>
          </w:tcPr>
          <w:p w14:paraId="1650920E" w14:textId="77777777" w:rsidR="004B0883" w:rsidRDefault="004B0883">
            <w:pPr>
              <w:adjustRightInd w:val="0"/>
              <w:snapToGrid w:val="0"/>
              <w:jc w:val="right"/>
              <w:rPr>
                <w:kern w:val="0"/>
              </w:rPr>
            </w:pPr>
            <w:r>
              <w:t>0.26</w:t>
            </w:r>
          </w:p>
        </w:tc>
        <w:tc>
          <w:tcPr>
            <w:tcW w:w="934" w:type="pct"/>
            <w:vAlign w:val="center"/>
          </w:tcPr>
          <w:p w14:paraId="2BFFE77F" w14:textId="77777777" w:rsidR="004B0883" w:rsidRDefault="004B0883">
            <w:pPr>
              <w:adjustRightInd w:val="0"/>
              <w:snapToGrid w:val="0"/>
              <w:jc w:val="right"/>
              <w:rPr>
                <w:kern w:val="0"/>
              </w:rPr>
            </w:pPr>
            <w:r>
              <w:t>0.26</w:t>
            </w:r>
          </w:p>
        </w:tc>
      </w:tr>
      <w:tr w:rsidR="004B0883" w14:paraId="436DBC25" w14:textId="77777777">
        <w:trPr>
          <w:trHeight w:val="397"/>
          <w:jc w:val="center"/>
        </w:trPr>
        <w:tc>
          <w:tcPr>
            <w:tcW w:w="1303" w:type="pct"/>
            <w:vMerge w:val="restart"/>
            <w:vAlign w:val="center"/>
          </w:tcPr>
          <w:p w14:paraId="02B5CF3B" w14:textId="77777777" w:rsidR="004B0883" w:rsidRDefault="004B0883">
            <w:pPr>
              <w:adjustRightInd w:val="0"/>
              <w:snapToGrid w:val="0"/>
              <w:jc w:val="center"/>
              <w:rPr>
                <w:kern w:val="0"/>
              </w:rPr>
            </w:pPr>
            <w:r>
              <w:rPr>
                <w:kern w:val="0"/>
              </w:rPr>
              <w:t>扣除非经常性损益后归属于公司普通股股东的净利润</w:t>
            </w:r>
          </w:p>
        </w:tc>
        <w:tc>
          <w:tcPr>
            <w:tcW w:w="916" w:type="pct"/>
            <w:vAlign w:val="center"/>
          </w:tcPr>
          <w:p w14:paraId="13DBBA3E" w14:textId="77777777" w:rsidR="004B0883" w:rsidRDefault="004B0883">
            <w:pPr>
              <w:adjustRightInd w:val="0"/>
              <w:snapToGrid w:val="0"/>
              <w:rPr>
                <w:kern w:val="0"/>
              </w:rPr>
            </w:pPr>
            <w:r>
              <w:rPr>
                <w:kern w:val="0"/>
              </w:rPr>
              <w:t>2023</w:t>
            </w:r>
            <w:r>
              <w:rPr>
                <w:kern w:val="0"/>
              </w:rPr>
              <w:t>年</w:t>
            </w:r>
            <w:r>
              <w:rPr>
                <w:kern w:val="0"/>
              </w:rPr>
              <w:t>1-</w:t>
            </w:r>
            <w:r>
              <w:rPr>
                <w:rFonts w:hint="eastAsia"/>
                <w:kern w:val="0"/>
              </w:rPr>
              <w:t>9</w:t>
            </w:r>
            <w:r>
              <w:rPr>
                <w:kern w:val="0"/>
              </w:rPr>
              <w:t>月</w:t>
            </w:r>
          </w:p>
        </w:tc>
        <w:tc>
          <w:tcPr>
            <w:tcW w:w="916" w:type="pct"/>
            <w:vAlign w:val="center"/>
          </w:tcPr>
          <w:p w14:paraId="6F848BA7" w14:textId="77777777" w:rsidR="004B0883" w:rsidRDefault="004B0883">
            <w:pPr>
              <w:adjustRightInd w:val="0"/>
              <w:snapToGrid w:val="0"/>
              <w:jc w:val="right"/>
              <w:rPr>
                <w:kern w:val="0"/>
              </w:rPr>
            </w:pPr>
            <w:r>
              <w:rPr>
                <w:rFonts w:hint="eastAsia"/>
              </w:rPr>
              <w:t>10.</w:t>
            </w:r>
            <w:r>
              <w:t>61%</w:t>
            </w:r>
          </w:p>
        </w:tc>
        <w:tc>
          <w:tcPr>
            <w:tcW w:w="931" w:type="pct"/>
            <w:vAlign w:val="center"/>
          </w:tcPr>
          <w:p w14:paraId="4AEE802D" w14:textId="77777777" w:rsidR="004B0883" w:rsidRDefault="004B0883">
            <w:pPr>
              <w:adjustRightInd w:val="0"/>
              <w:snapToGrid w:val="0"/>
              <w:jc w:val="right"/>
              <w:rPr>
                <w:kern w:val="0"/>
              </w:rPr>
            </w:pPr>
            <w:r>
              <w:rPr>
                <w:rFonts w:hint="eastAsia"/>
                <w:kern w:val="0"/>
              </w:rPr>
              <w:t>0.37</w:t>
            </w:r>
          </w:p>
        </w:tc>
        <w:tc>
          <w:tcPr>
            <w:tcW w:w="934" w:type="pct"/>
            <w:vAlign w:val="center"/>
          </w:tcPr>
          <w:p w14:paraId="3AB81797" w14:textId="77777777" w:rsidR="004B0883" w:rsidRDefault="004B0883">
            <w:pPr>
              <w:adjustRightInd w:val="0"/>
              <w:snapToGrid w:val="0"/>
              <w:jc w:val="right"/>
              <w:rPr>
                <w:kern w:val="0"/>
              </w:rPr>
            </w:pPr>
            <w:r>
              <w:rPr>
                <w:rFonts w:hint="eastAsia"/>
                <w:kern w:val="0"/>
              </w:rPr>
              <w:t>0.37</w:t>
            </w:r>
          </w:p>
        </w:tc>
      </w:tr>
      <w:tr w:rsidR="004B0883" w14:paraId="6A0391F5" w14:textId="77777777">
        <w:trPr>
          <w:trHeight w:val="397"/>
          <w:jc w:val="center"/>
        </w:trPr>
        <w:tc>
          <w:tcPr>
            <w:tcW w:w="1303" w:type="pct"/>
            <w:vMerge/>
            <w:vAlign w:val="center"/>
          </w:tcPr>
          <w:p w14:paraId="63D7AB6F" w14:textId="77777777" w:rsidR="004B0883" w:rsidRDefault="004B0883">
            <w:pPr>
              <w:adjustRightInd w:val="0"/>
              <w:snapToGrid w:val="0"/>
              <w:jc w:val="center"/>
              <w:rPr>
                <w:kern w:val="0"/>
              </w:rPr>
            </w:pPr>
          </w:p>
        </w:tc>
        <w:tc>
          <w:tcPr>
            <w:tcW w:w="916" w:type="pct"/>
            <w:vAlign w:val="center"/>
          </w:tcPr>
          <w:p w14:paraId="63D8B2EA" w14:textId="77777777" w:rsidR="004B0883" w:rsidRDefault="004B0883">
            <w:pPr>
              <w:adjustRightInd w:val="0"/>
              <w:snapToGrid w:val="0"/>
              <w:rPr>
                <w:kern w:val="0"/>
              </w:rPr>
            </w:pPr>
            <w:r>
              <w:rPr>
                <w:kern w:val="0"/>
              </w:rPr>
              <w:t>2022</w:t>
            </w:r>
            <w:r>
              <w:rPr>
                <w:kern w:val="0"/>
              </w:rPr>
              <w:t>年度</w:t>
            </w:r>
          </w:p>
        </w:tc>
        <w:tc>
          <w:tcPr>
            <w:tcW w:w="916" w:type="pct"/>
            <w:vAlign w:val="center"/>
          </w:tcPr>
          <w:p w14:paraId="0B54A2F0" w14:textId="77777777" w:rsidR="004B0883" w:rsidRDefault="004B0883">
            <w:pPr>
              <w:adjustRightInd w:val="0"/>
              <w:snapToGrid w:val="0"/>
              <w:jc w:val="right"/>
              <w:rPr>
                <w:i/>
                <w:iCs/>
                <w:kern w:val="0"/>
                <w:highlight w:val="yellow"/>
              </w:rPr>
            </w:pPr>
            <w:r>
              <w:rPr>
                <w:color w:val="000000"/>
                <w:kern w:val="0"/>
              </w:rPr>
              <w:t>14.34%</w:t>
            </w:r>
          </w:p>
        </w:tc>
        <w:tc>
          <w:tcPr>
            <w:tcW w:w="931" w:type="pct"/>
            <w:vAlign w:val="center"/>
          </w:tcPr>
          <w:p w14:paraId="48FB8231" w14:textId="77777777" w:rsidR="004B0883" w:rsidRDefault="004B0883">
            <w:pPr>
              <w:adjustRightInd w:val="0"/>
              <w:snapToGrid w:val="0"/>
              <w:jc w:val="right"/>
              <w:rPr>
                <w:kern w:val="0"/>
                <w:highlight w:val="yellow"/>
              </w:rPr>
            </w:pPr>
            <w:r>
              <w:t>0.45</w:t>
            </w:r>
          </w:p>
        </w:tc>
        <w:tc>
          <w:tcPr>
            <w:tcW w:w="934" w:type="pct"/>
            <w:vAlign w:val="center"/>
          </w:tcPr>
          <w:p w14:paraId="73BE63B2" w14:textId="77777777" w:rsidR="004B0883" w:rsidRDefault="004B0883">
            <w:pPr>
              <w:adjustRightInd w:val="0"/>
              <w:snapToGrid w:val="0"/>
              <w:jc w:val="right"/>
              <w:rPr>
                <w:kern w:val="0"/>
                <w:highlight w:val="yellow"/>
              </w:rPr>
            </w:pPr>
            <w:r>
              <w:t>0.45</w:t>
            </w:r>
          </w:p>
        </w:tc>
      </w:tr>
      <w:tr w:rsidR="004B0883" w14:paraId="1D490403" w14:textId="77777777">
        <w:trPr>
          <w:trHeight w:val="397"/>
          <w:jc w:val="center"/>
        </w:trPr>
        <w:tc>
          <w:tcPr>
            <w:tcW w:w="1303" w:type="pct"/>
            <w:vMerge/>
            <w:vAlign w:val="center"/>
          </w:tcPr>
          <w:p w14:paraId="26034C3B" w14:textId="77777777" w:rsidR="004B0883" w:rsidRDefault="004B0883">
            <w:pPr>
              <w:adjustRightInd w:val="0"/>
              <w:snapToGrid w:val="0"/>
              <w:jc w:val="center"/>
              <w:rPr>
                <w:kern w:val="0"/>
              </w:rPr>
            </w:pPr>
          </w:p>
        </w:tc>
        <w:tc>
          <w:tcPr>
            <w:tcW w:w="916" w:type="pct"/>
            <w:vAlign w:val="center"/>
          </w:tcPr>
          <w:p w14:paraId="6790404F" w14:textId="77777777" w:rsidR="004B0883" w:rsidRDefault="004B0883">
            <w:pPr>
              <w:adjustRightInd w:val="0"/>
              <w:snapToGrid w:val="0"/>
              <w:rPr>
                <w:kern w:val="0"/>
              </w:rPr>
            </w:pPr>
            <w:r>
              <w:rPr>
                <w:kern w:val="0"/>
              </w:rPr>
              <w:t>2021</w:t>
            </w:r>
            <w:r>
              <w:rPr>
                <w:kern w:val="0"/>
              </w:rPr>
              <w:t>年度</w:t>
            </w:r>
          </w:p>
        </w:tc>
        <w:tc>
          <w:tcPr>
            <w:tcW w:w="916" w:type="pct"/>
            <w:vAlign w:val="center"/>
          </w:tcPr>
          <w:p w14:paraId="23FFFE7A" w14:textId="77777777" w:rsidR="004B0883" w:rsidRDefault="004B0883">
            <w:pPr>
              <w:adjustRightInd w:val="0"/>
              <w:snapToGrid w:val="0"/>
              <w:jc w:val="right"/>
              <w:rPr>
                <w:kern w:val="0"/>
              </w:rPr>
            </w:pPr>
            <w:r>
              <w:rPr>
                <w:color w:val="000000"/>
                <w:kern w:val="0"/>
              </w:rPr>
              <w:t>7.19%</w:t>
            </w:r>
          </w:p>
        </w:tc>
        <w:tc>
          <w:tcPr>
            <w:tcW w:w="931" w:type="pct"/>
            <w:vAlign w:val="center"/>
          </w:tcPr>
          <w:p w14:paraId="2ED257C0" w14:textId="77777777" w:rsidR="004B0883" w:rsidRDefault="004B0883">
            <w:pPr>
              <w:adjustRightInd w:val="0"/>
              <w:snapToGrid w:val="0"/>
              <w:jc w:val="right"/>
              <w:rPr>
                <w:kern w:val="0"/>
              </w:rPr>
            </w:pPr>
            <w:r>
              <w:t>0.22</w:t>
            </w:r>
          </w:p>
        </w:tc>
        <w:tc>
          <w:tcPr>
            <w:tcW w:w="934" w:type="pct"/>
            <w:vAlign w:val="center"/>
          </w:tcPr>
          <w:p w14:paraId="567D3AE3" w14:textId="77777777" w:rsidR="004B0883" w:rsidRDefault="004B0883">
            <w:pPr>
              <w:adjustRightInd w:val="0"/>
              <w:snapToGrid w:val="0"/>
              <w:jc w:val="right"/>
              <w:rPr>
                <w:kern w:val="0"/>
              </w:rPr>
            </w:pPr>
            <w:r>
              <w:t>0.22</w:t>
            </w:r>
          </w:p>
        </w:tc>
      </w:tr>
      <w:tr w:rsidR="004B0883" w14:paraId="3E09561F" w14:textId="77777777">
        <w:trPr>
          <w:trHeight w:val="397"/>
          <w:jc w:val="center"/>
        </w:trPr>
        <w:tc>
          <w:tcPr>
            <w:tcW w:w="1303" w:type="pct"/>
            <w:vMerge/>
            <w:vAlign w:val="center"/>
          </w:tcPr>
          <w:p w14:paraId="152BAFFF" w14:textId="77777777" w:rsidR="004B0883" w:rsidRDefault="004B0883">
            <w:pPr>
              <w:adjustRightInd w:val="0"/>
              <w:snapToGrid w:val="0"/>
              <w:jc w:val="center"/>
              <w:rPr>
                <w:kern w:val="0"/>
              </w:rPr>
            </w:pPr>
          </w:p>
        </w:tc>
        <w:tc>
          <w:tcPr>
            <w:tcW w:w="916" w:type="pct"/>
            <w:vAlign w:val="center"/>
          </w:tcPr>
          <w:p w14:paraId="480B995C" w14:textId="77777777" w:rsidR="004B0883" w:rsidRDefault="004B0883">
            <w:pPr>
              <w:adjustRightInd w:val="0"/>
              <w:snapToGrid w:val="0"/>
              <w:rPr>
                <w:kern w:val="0"/>
              </w:rPr>
            </w:pPr>
            <w:r>
              <w:rPr>
                <w:kern w:val="0"/>
              </w:rPr>
              <w:t>2020</w:t>
            </w:r>
            <w:r>
              <w:rPr>
                <w:kern w:val="0"/>
              </w:rPr>
              <w:t>年度</w:t>
            </w:r>
          </w:p>
        </w:tc>
        <w:tc>
          <w:tcPr>
            <w:tcW w:w="916" w:type="pct"/>
            <w:vAlign w:val="center"/>
          </w:tcPr>
          <w:p w14:paraId="00074275" w14:textId="77777777" w:rsidR="004B0883" w:rsidRDefault="004B0883">
            <w:pPr>
              <w:adjustRightInd w:val="0"/>
              <w:snapToGrid w:val="0"/>
              <w:jc w:val="right"/>
              <w:rPr>
                <w:kern w:val="0"/>
              </w:rPr>
            </w:pPr>
            <w:r>
              <w:rPr>
                <w:color w:val="000000"/>
                <w:kern w:val="0"/>
              </w:rPr>
              <w:t>6.51%</w:t>
            </w:r>
          </w:p>
        </w:tc>
        <w:tc>
          <w:tcPr>
            <w:tcW w:w="931" w:type="pct"/>
            <w:vAlign w:val="center"/>
          </w:tcPr>
          <w:p w14:paraId="318D226D" w14:textId="77777777" w:rsidR="004B0883" w:rsidRDefault="004B0883">
            <w:pPr>
              <w:adjustRightInd w:val="0"/>
              <w:snapToGrid w:val="0"/>
              <w:jc w:val="right"/>
              <w:rPr>
                <w:kern w:val="0"/>
              </w:rPr>
            </w:pPr>
            <w:r>
              <w:t>0.19</w:t>
            </w:r>
          </w:p>
        </w:tc>
        <w:tc>
          <w:tcPr>
            <w:tcW w:w="934" w:type="pct"/>
            <w:vAlign w:val="center"/>
          </w:tcPr>
          <w:p w14:paraId="0E6E719D" w14:textId="77777777" w:rsidR="004B0883" w:rsidRDefault="004B0883">
            <w:pPr>
              <w:adjustRightInd w:val="0"/>
              <w:snapToGrid w:val="0"/>
              <w:jc w:val="right"/>
              <w:rPr>
                <w:kern w:val="0"/>
              </w:rPr>
            </w:pPr>
            <w:r>
              <w:t>0.19</w:t>
            </w:r>
          </w:p>
        </w:tc>
      </w:tr>
    </w:tbl>
    <w:p w14:paraId="0739C50C" w14:textId="77777777" w:rsidR="004B0883" w:rsidRDefault="004B0883">
      <w:pPr>
        <w:pStyle w:val="006"/>
        <w:ind w:firstLine="420"/>
      </w:pPr>
      <w:r>
        <w:rPr>
          <w:rFonts w:hint="eastAsia"/>
        </w:rPr>
        <w:t>注</w:t>
      </w:r>
      <w:r>
        <w:rPr>
          <w:rFonts w:hint="eastAsia"/>
        </w:rPr>
        <w:t>1</w:t>
      </w:r>
      <w:r>
        <w:rPr>
          <w:rFonts w:hint="eastAsia"/>
        </w:rPr>
        <w:t>：加权平均净资产收益率</w:t>
      </w:r>
      <w:r>
        <w:rPr>
          <w:rFonts w:hint="eastAsia"/>
        </w:rPr>
        <w:t>=P</w:t>
      </w:r>
      <w:r>
        <w:rPr>
          <w:rFonts w:hint="eastAsia"/>
        </w:rPr>
        <w:t>÷（</w:t>
      </w:r>
      <w:r>
        <w:rPr>
          <w:rFonts w:hint="eastAsia"/>
        </w:rPr>
        <w:t>E</w:t>
      </w:r>
      <w:r>
        <w:rPr>
          <w:rFonts w:hint="eastAsia"/>
          <w:vertAlign w:val="subscript"/>
        </w:rPr>
        <w:t>0</w:t>
      </w:r>
      <w:r>
        <w:rPr>
          <w:rFonts w:hint="eastAsia"/>
        </w:rPr>
        <w:t>＋</w:t>
      </w:r>
      <w:r>
        <w:rPr>
          <w:rFonts w:hint="eastAsia"/>
        </w:rPr>
        <w:t>NP</w:t>
      </w:r>
      <w:r>
        <w:rPr>
          <w:rFonts w:hint="eastAsia"/>
        </w:rPr>
        <w:t>÷</w:t>
      </w:r>
      <w:r>
        <w:rPr>
          <w:rFonts w:hint="eastAsia"/>
        </w:rPr>
        <w:t>2</w:t>
      </w:r>
      <w:r>
        <w:rPr>
          <w:rFonts w:hint="eastAsia"/>
        </w:rPr>
        <w:t>＋</w:t>
      </w:r>
      <w:r>
        <w:rPr>
          <w:rFonts w:hint="eastAsia"/>
        </w:rPr>
        <w:t>Ei</w:t>
      </w:r>
      <w:r>
        <w:rPr>
          <w:rFonts w:hint="eastAsia"/>
        </w:rPr>
        <w:t>×</w:t>
      </w:r>
      <w:r>
        <w:rPr>
          <w:rFonts w:hint="eastAsia"/>
        </w:rPr>
        <w:t>Mi</w:t>
      </w:r>
      <w:r>
        <w:rPr>
          <w:rFonts w:hint="eastAsia"/>
        </w:rPr>
        <w:t>÷</w:t>
      </w:r>
      <w:r>
        <w:rPr>
          <w:rFonts w:hint="eastAsia"/>
        </w:rPr>
        <w:t>M</w:t>
      </w:r>
      <w:r>
        <w:rPr>
          <w:rFonts w:hint="eastAsia"/>
          <w:vertAlign w:val="subscript"/>
        </w:rPr>
        <w:t>0</w:t>
      </w:r>
      <w:r>
        <w:rPr>
          <w:rFonts w:hint="eastAsia"/>
        </w:rPr>
        <w:t>–</w:t>
      </w:r>
      <w:r>
        <w:rPr>
          <w:rFonts w:hint="eastAsia"/>
        </w:rPr>
        <w:t>Ej</w:t>
      </w:r>
      <w:r>
        <w:rPr>
          <w:rFonts w:hint="eastAsia"/>
        </w:rPr>
        <w:t>×</w:t>
      </w:r>
      <w:r>
        <w:rPr>
          <w:rFonts w:hint="eastAsia"/>
        </w:rPr>
        <w:t>Mj</w:t>
      </w:r>
      <w:r>
        <w:rPr>
          <w:rFonts w:hint="eastAsia"/>
        </w:rPr>
        <w:t>÷</w:t>
      </w:r>
      <w:r>
        <w:rPr>
          <w:rFonts w:hint="eastAsia"/>
        </w:rPr>
        <w:t>M</w:t>
      </w:r>
      <w:r>
        <w:rPr>
          <w:rFonts w:hint="eastAsia"/>
          <w:vertAlign w:val="subscript"/>
        </w:rPr>
        <w:t>0</w:t>
      </w:r>
      <w:r>
        <w:rPr>
          <w:rFonts w:hint="eastAsia"/>
        </w:rPr>
        <w:t>±</w:t>
      </w:r>
      <w:r>
        <w:rPr>
          <w:rFonts w:hint="eastAsia"/>
        </w:rPr>
        <w:t>E</w:t>
      </w:r>
      <w:r>
        <w:rPr>
          <w:rFonts w:hint="eastAsia"/>
          <w:sz w:val="20"/>
        </w:rPr>
        <w:t>k</w:t>
      </w:r>
      <w:r>
        <w:rPr>
          <w:rFonts w:hint="eastAsia"/>
        </w:rPr>
        <w:t>×</w:t>
      </w:r>
      <w:r>
        <w:rPr>
          <w:rFonts w:hint="eastAsia"/>
        </w:rPr>
        <w:t>M</w:t>
      </w:r>
      <w:r>
        <w:rPr>
          <w:rFonts w:hint="eastAsia"/>
          <w:sz w:val="20"/>
        </w:rPr>
        <w:t>k</w:t>
      </w:r>
      <w:r>
        <w:rPr>
          <w:rFonts w:hint="eastAsia"/>
        </w:rPr>
        <w:t>÷</w:t>
      </w:r>
      <w:r>
        <w:rPr>
          <w:rFonts w:hint="eastAsia"/>
        </w:rPr>
        <w:t>M</w:t>
      </w:r>
      <w:r>
        <w:rPr>
          <w:rFonts w:hint="eastAsia"/>
          <w:vertAlign w:val="subscript"/>
        </w:rPr>
        <w:t>0</w:t>
      </w:r>
      <w:r>
        <w:rPr>
          <w:rFonts w:hint="eastAsia"/>
        </w:rPr>
        <w:t>）</w:t>
      </w:r>
    </w:p>
    <w:p w14:paraId="4E491268" w14:textId="77777777" w:rsidR="004B0883" w:rsidRDefault="004B0883">
      <w:pPr>
        <w:pStyle w:val="006"/>
        <w:ind w:firstLine="420"/>
      </w:pPr>
      <w:r>
        <w:rPr>
          <w:rFonts w:hint="eastAsia"/>
        </w:rPr>
        <w:t>其中，</w:t>
      </w:r>
      <w:r>
        <w:rPr>
          <w:rFonts w:hint="eastAsia"/>
        </w:rPr>
        <w:t>P</w:t>
      </w:r>
      <w:r>
        <w:rPr>
          <w:rFonts w:hint="eastAsia"/>
        </w:rPr>
        <w:t>分别对应于归属于公司普通股股东的净利润、扣除非经常性损益后归属于公司普通股股东的净利润；</w:t>
      </w:r>
      <w:r>
        <w:rPr>
          <w:rFonts w:hint="eastAsia"/>
        </w:rPr>
        <w:t>NP</w:t>
      </w:r>
      <w:r>
        <w:rPr>
          <w:rFonts w:hint="eastAsia"/>
        </w:rPr>
        <w:t>为归属于公司普通股股东的净利润；</w:t>
      </w:r>
      <w:r>
        <w:rPr>
          <w:rFonts w:hint="eastAsia"/>
        </w:rPr>
        <w:t>E0</w:t>
      </w:r>
      <w:r>
        <w:rPr>
          <w:rFonts w:hint="eastAsia"/>
        </w:rPr>
        <w:t>为归属于公司普通股股东的期初净资产；</w:t>
      </w:r>
      <w:r>
        <w:rPr>
          <w:rFonts w:hint="eastAsia"/>
        </w:rPr>
        <w:t>Ei</w:t>
      </w:r>
      <w:r>
        <w:rPr>
          <w:rFonts w:hint="eastAsia"/>
        </w:rPr>
        <w:t>为报告期发行新股或债转股等新增的、归属于公司普通股股东的净资产；</w:t>
      </w:r>
      <w:r>
        <w:rPr>
          <w:rFonts w:hint="eastAsia"/>
        </w:rPr>
        <w:t>Ej</w:t>
      </w:r>
      <w:r>
        <w:rPr>
          <w:rFonts w:hint="eastAsia"/>
        </w:rPr>
        <w:t>为报告期回购或现金分红等减少的、归属于公司普通股股东的净资产；</w:t>
      </w:r>
      <w:r>
        <w:rPr>
          <w:rFonts w:hint="eastAsia"/>
        </w:rPr>
        <w:t>M0</w:t>
      </w:r>
      <w:r>
        <w:rPr>
          <w:rFonts w:hint="eastAsia"/>
        </w:rPr>
        <w:t>为报告期月份数；</w:t>
      </w:r>
      <w:r>
        <w:rPr>
          <w:rFonts w:hint="eastAsia"/>
        </w:rPr>
        <w:t>Mi</w:t>
      </w:r>
      <w:r>
        <w:rPr>
          <w:rFonts w:hint="eastAsia"/>
        </w:rPr>
        <w:t>为新增净资产次月起至报告期期末的累计月数；</w:t>
      </w:r>
      <w:r>
        <w:rPr>
          <w:rFonts w:hint="eastAsia"/>
        </w:rPr>
        <w:t>Mj</w:t>
      </w:r>
      <w:r>
        <w:rPr>
          <w:rFonts w:hint="eastAsia"/>
        </w:rPr>
        <w:t>为减少净资产次月起至报告期期末的累计月数；</w:t>
      </w:r>
      <w:r>
        <w:rPr>
          <w:rFonts w:hint="eastAsia"/>
        </w:rPr>
        <w:t>Ek</w:t>
      </w:r>
      <w:r>
        <w:rPr>
          <w:rFonts w:hint="eastAsia"/>
        </w:rPr>
        <w:t>为因其他交易或事项引起的、归属于公司普通股股东的净资产增减变动；</w:t>
      </w:r>
      <w:r>
        <w:rPr>
          <w:rFonts w:hint="eastAsia"/>
        </w:rPr>
        <w:t>Mk</w:t>
      </w:r>
      <w:r>
        <w:rPr>
          <w:rFonts w:hint="eastAsia"/>
        </w:rPr>
        <w:t>为发生其他净资产增减变动次月起至报告期期末的累计月数。</w:t>
      </w:r>
    </w:p>
    <w:p w14:paraId="645410B2" w14:textId="77777777" w:rsidR="004B0883" w:rsidRDefault="004B0883">
      <w:pPr>
        <w:pStyle w:val="006"/>
        <w:ind w:firstLine="420"/>
      </w:pPr>
      <w:r>
        <w:rPr>
          <w:rFonts w:hint="eastAsia"/>
        </w:rPr>
        <w:t>注</w:t>
      </w:r>
      <w:r>
        <w:rPr>
          <w:rFonts w:hint="eastAsia"/>
        </w:rPr>
        <w:t>2</w:t>
      </w:r>
      <w:r>
        <w:rPr>
          <w:rFonts w:hint="eastAsia"/>
        </w:rPr>
        <w:t>：基本每股收益</w:t>
      </w:r>
      <w:r>
        <w:rPr>
          <w:rFonts w:hint="eastAsia"/>
        </w:rPr>
        <w:t>=P</w:t>
      </w:r>
      <w:r>
        <w:rPr>
          <w:rFonts w:hint="eastAsia"/>
        </w:rPr>
        <w:t>÷（</w:t>
      </w:r>
      <w:r>
        <w:rPr>
          <w:rFonts w:hint="eastAsia"/>
        </w:rPr>
        <w:t>S0</w:t>
      </w:r>
      <w:r>
        <w:rPr>
          <w:rFonts w:hint="eastAsia"/>
        </w:rPr>
        <w:t>＋</w:t>
      </w:r>
      <w:r>
        <w:rPr>
          <w:rFonts w:hint="eastAsia"/>
        </w:rPr>
        <w:t>S1</w:t>
      </w:r>
      <w:r>
        <w:rPr>
          <w:rFonts w:hint="eastAsia"/>
        </w:rPr>
        <w:t>＋</w:t>
      </w:r>
      <w:r>
        <w:rPr>
          <w:rFonts w:hint="eastAsia"/>
        </w:rPr>
        <w:t>Si</w:t>
      </w:r>
      <w:r>
        <w:rPr>
          <w:rFonts w:hint="eastAsia"/>
        </w:rPr>
        <w:t>×</w:t>
      </w:r>
      <w:r>
        <w:rPr>
          <w:rFonts w:hint="eastAsia"/>
        </w:rPr>
        <w:t>Mi</w:t>
      </w:r>
      <w:r>
        <w:rPr>
          <w:rFonts w:hint="eastAsia"/>
        </w:rPr>
        <w:t>÷</w:t>
      </w:r>
      <w:r>
        <w:rPr>
          <w:rFonts w:hint="eastAsia"/>
        </w:rPr>
        <w:t>M0</w:t>
      </w:r>
      <w:r>
        <w:rPr>
          <w:rFonts w:hint="eastAsia"/>
        </w:rPr>
        <w:t>–</w:t>
      </w:r>
      <w:r>
        <w:rPr>
          <w:rFonts w:hint="eastAsia"/>
        </w:rPr>
        <w:t>Sj</w:t>
      </w:r>
      <w:r>
        <w:rPr>
          <w:rFonts w:hint="eastAsia"/>
        </w:rPr>
        <w:t>×</w:t>
      </w:r>
      <w:r>
        <w:rPr>
          <w:rFonts w:hint="eastAsia"/>
        </w:rPr>
        <w:t>Mj</w:t>
      </w:r>
      <w:r>
        <w:rPr>
          <w:rFonts w:hint="eastAsia"/>
        </w:rPr>
        <w:t>÷</w:t>
      </w:r>
      <w:r>
        <w:rPr>
          <w:rFonts w:hint="eastAsia"/>
        </w:rPr>
        <w:t>M0-Sk</w:t>
      </w:r>
      <w:r>
        <w:rPr>
          <w:rFonts w:hint="eastAsia"/>
        </w:rPr>
        <w:t>）</w:t>
      </w:r>
    </w:p>
    <w:p w14:paraId="0811729B" w14:textId="77777777" w:rsidR="004B0883" w:rsidRDefault="004B0883">
      <w:pPr>
        <w:pStyle w:val="006"/>
        <w:ind w:firstLine="420"/>
      </w:pPr>
      <w:r>
        <w:rPr>
          <w:rFonts w:hint="eastAsia"/>
        </w:rPr>
        <w:t>其中，</w:t>
      </w:r>
      <w:r>
        <w:rPr>
          <w:rFonts w:hint="eastAsia"/>
        </w:rPr>
        <w:t>P</w:t>
      </w:r>
      <w:r>
        <w:rPr>
          <w:rFonts w:hint="eastAsia"/>
        </w:rPr>
        <w:t>为归属于公司普通股股东的净利润或扣除非经常性损益后归属于普通股股东的净利润；</w:t>
      </w:r>
      <w:r>
        <w:rPr>
          <w:rFonts w:hint="eastAsia"/>
        </w:rPr>
        <w:t>S</w:t>
      </w:r>
      <w:r>
        <w:rPr>
          <w:rFonts w:hint="eastAsia"/>
        </w:rPr>
        <w:t>为发行在外的普通股加权平均数；</w:t>
      </w:r>
      <w:r>
        <w:rPr>
          <w:rFonts w:hint="eastAsia"/>
        </w:rPr>
        <w:t>S0</w:t>
      </w:r>
      <w:r>
        <w:rPr>
          <w:rFonts w:hint="eastAsia"/>
        </w:rPr>
        <w:t>为期初股份总数；</w:t>
      </w:r>
      <w:r>
        <w:rPr>
          <w:rFonts w:hint="eastAsia"/>
        </w:rPr>
        <w:t>S1</w:t>
      </w:r>
      <w:r>
        <w:rPr>
          <w:rFonts w:hint="eastAsia"/>
        </w:rPr>
        <w:t>为报告期因公积金转增股本或股票股利分配等增加股份数；</w:t>
      </w:r>
      <w:r>
        <w:rPr>
          <w:rFonts w:hint="eastAsia"/>
        </w:rPr>
        <w:t>Si</w:t>
      </w:r>
      <w:r>
        <w:rPr>
          <w:rFonts w:hint="eastAsia"/>
        </w:rPr>
        <w:t>为报告期因发行新股或债转股等增加股份数；</w:t>
      </w:r>
      <w:r>
        <w:rPr>
          <w:rFonts w:hint="eastAsia"/>
        </w:rPr>
        <w:t>Sj</w:t>
      </w:r>
      <w:r>
        <w:rPr>
          <w:rFonts w:hint="eastAsia"/>
        </w:rPr>
        <w:t>为报告期因回购等减少股份数；</w:t>
      </w:r>
      <w:r>
        <w:rPr>
          <w:rFonts w:hint="eastAsia"/>
        </w:rPr>
        <w:t>Sk</w:t>
      </w:r>
      <w:r>
        <w:rPr>
          <w:rFonts w:hint="eastAsia"/>
        </w:rPr>
        <w:t>为报告期缩股数；</w:t>
      </w:r>
      <w:r>
        <w:rPr>
          <w:rFonts w:hint="eastAsia"/>
        </w:rPr>
        <w:t>M0</w:t>
      </w:r>
      <w:r>
        <w:rPr>
          <w:rFonts w:hint="eastAsia"/>
        </w:rPr>
        <w:t>报告期月份数；</w:t>
      </w:r>
      <w:r>
        <w:rPr>
          <w:rFonts w:hint="eastAsia"/>
        </w:rPr>
        <w:t>Mi</w:t>
      </w:r>
      <w:r>
        <w:rPr>
          <w:rFonts w:hint="eastAsia"/>
        </w:rPr>
        <w:t>为增加股份次月起至报告期期末的累计月数；</w:t>
      </w:r>
      <w:r>
        <w:rPr>
          <w:rFonts w:hint="eastAsia"/>
        </w:rPr>
        <w:t>Mj</w:t>
      </w:r>
      <w:r>
        <w:rPr>
          <w:rFonts w:hint="eastAsia"/>
        </w:rPr>
        <w:t>为减少股份次月起至报告期期末的累计月数。</w:t>
      </w:r>
    </w:p>
    <w:p w14:paraId="2066540A" w14:textId="77777777" w:rsidR="004B0883" w:rsidRDefault="004B0883">
      <w:pPr>
        <w:pStyle w:val="006"/>
        <w:ind w:firstLine="420"/>
      </w:pPr>
      <w:r>
        <w:rPr>
          <w:rFonts w:hint="eastAsia"/>
        </w:rPr>
        <w:t>注</w:t>
      </w:r>
      <w:r>
        <w:rPr>
          <w:rFonts w:hint="eastAsia"/>
        </w:rPr>
        <w:t>3</w:t>
      </w:r>
      <w:r>
        <w:rPr>
          <w:rFonts w:hint="eastAsia"/>
        </w:rPr>
        <w:t>：稀释每股收益</w:t>
      </w:r>
      <w:r>
        <w:rPr>
          <w:rFonts w:hint="eastAsia"/>
        </w:rPr>
        <w:t>=[P+</w:t>
      </w:r>
      <w:r>
        <w:rPr>
          <w:rFonts w:hint="eastAsia"/>
        </w:rPr>
        <w:t>（已确认为费用的稀释性潜在普通股利息－转换费用）×（</w:t>
      </w:r>
      <w:r>
        <w:rPr>
          <w:rFonts w:hint="eastAsia"/>
        </w:rPr>
        <w:t>1-</w:t>
      </w:r>
      <w:r>
        <w:rPr>
          <w:rFonts w:hint="eastAsia"/>
        </w:rPr>
        <w:t>所得税税率）</w:t>
      </w:r>
      <w:r>
        <w:rPr>
          <w:rFonts w:hint="eastAsia"/>
        </w:rPr>
        <w:t>]/</w:t>
      </w:r>
      <w:r>
        <w:rPr>
          <w:rFonts w:hint="eastAsia"/>
        </w:rPr>
        <w:t>（</w:t>
      </w:r>
      <w:r>
        <w:rPr>
          <w:rFonts w:hint="eastAsia"/>
        </w:rPr>
        <w:t>S0</w:t>
      </w:r>
      <w:r>
        <w:rPr>
          <w:rFonts w:hint="eastAsia"/>
        </w:rPr>
        <w:t>＋</w:t>
      </w:r>
      <w:r>
        <w:rPr>
          <w:rFonts w:hint="eastAsia"/>
        </w:rPr>
        <w:t>S1</w:t>
      </w:r>
      <w:r>
        <w:rPr>
          <w:rFonts w:hint="eastAsia"/>
        </w:rPr>
        <w:t>＋</w:t>
      </w:r>
      <w:r>
        <w:rPr>
          <w:rFonts w:hint="eastAsia"/>
        </w:rPr>
        <w:t>Si</w:t>
      </w:r>
      <w:r>
        <w:rPr>
          <w:rFonts w:hint="eastAsia"/>
        </w:rPr>
        <w:t>×</w:t>
      </w:r>
      <w:r>
        <w:rPr>
          <w:rFonts w:hint="eastAsia"/>
        </w:rPr>
        <w:t>Mi</w:t>
      </w:r>
      <w:r>
        <w:rPr>
          <w:rFonts w:hint="eastAsia"/>
        </w:rPr>
        <w:t>÷</w:t>
      </w:r>
      <w:r>
        <w:rPr>
          <w:rFonts w:hint="eastAsia"/>
        </w:rPr>
        <w:t>M0</w:t>
      </w:r>
      <w:r>
        <w:rPr>
          <w:rFonts w:hint="eastAsia"/>
        </w:rPr>
        <w:t>–</w:t>
      </w:r>
      <w:r>
        <w:rPr>
          <w:rFonts w:hint="eastAsia"/>
        </w:rPr>
        <w:t>Sj</w:t>
      </w:r>
      <w:r>
        <w:rPr>
          <w:rFonts w:hint="eastAsia"/>
        </w:rPr>
        <w:t>×</w:t>
      </w:r>
      <w:r>
        <w:rPr>
          <w:rFonts w:hint="eastAsia"/>
        </w:rPr>
        <w:t>Mj</w:t>
      </w:r>
      <w:r>
        <w:rPr>
          <w:rFonts w:hint="eastAsia"/>
        </w:rPr>
        <w:t>÷</w:t>
      </w:r>
      <w:r>
        <w:rPr>
          <w:rFonts w:hint="eastAsia"/>
        </w:rPr>
        <w:t>M0</w:t>
      </w:r>
      <w:r>
        <w:rPr>
          <w:rFonts w:hint="eastAsia"/>
        </w:rPr>
        <w:t>–</w:t>
      </w:r>
      <w:r>
        <w:rPr>
          <w:rFonts w:hint="eastAsia"/>
        </w:rPr>
        <w:t>Sk+</w:t>
      </w:r>
      <w:r>
        <w:rPr>
          <w:rFonts w:hint="eastAsia"/>
        </w:rPr>
        <w:t>认股权证、股份期权、可转换债券等增加的普通股加权平均数）</w:t>
      </w:r>
    </w:p>
    <w:p w14:paraId="10B2D229" w14:textId="77777777" w:rsidR="004B0883" w:rsidRDefault="004B0883">
      <w:pPr>
        <w:pStyle w:val="006"/>
        <w:ind w:firstLine="420"/>
      </w:pPr>
      <w:r>
        <w:rPr>
          <w:rFonts w:hint="eastAsia"/>
        </w:rPr>
        <w:t>其中，</w:t>
      </w:r>
      <w:r>
        <w:rPr>
          <w:rFonts w:hint="eastAsia"/>
        </w:rPr>
        <w:t>P</w:t>
      </w:r>
      <w:r>
        <w:rPr>
          <w:rFonts w:hint="eastAsia"/>
        </w:rPr>
        <w:t>为归属于公司普通股股东的净利润或扣除非经常性损益后归属于公司普通股股东的净利润。公司在计算稀释每股收益时，已考虑所有稀释性潜在普通股的影响，直至稀释每股收益达到最小。</w:t>
      </w:r>
    </w:p>
    <w:p w14:paraId="37353028" w14:textId="77777777" w:rsidR="004B0883" w:rsidRDefault="004B0883">
      <w:pPr>
        <w:pStyle w:val="003"/>
        <w:spacing w:before="120" w:after="120"/>
        <w:rPr>
          <w:rFonts w:hint="eastAsia"/>
        </w:rPr>
      </w:pPr>
      <w:r>
        <w:rPr>
          <w:rFonts w:hint="eastAsia"/>
        </w:rPr>
        <w:t>（三）公司最近三年及一期非经常性损益明细表</w:t>
      </w:r>
    </w:p>
    <w:p w14:paraId="0E855064" w14:textId="77777777" w:rsidR="004B0883" w:rsidRDefault="004B0883">
      <w:pPr>
        <w:pStyle w:val="009"/>
      </w:pPr>
      <w:r>
        <w:rPr>
          <w:rFonts w:hint="eastAsia"/>
        </w:rPr>
        <w:t>单位：万元</w:t>
      </w:r>
    </w:p>
    <w:tbl>
      <w:tblPr>
        <w:tblW w:w="5138" w:type="pct"/>
        <w:tblInd w:w="0" w:type="dxa"/>
        <w:tblBorders>
          <w:top w:val="single" w:sz="12" w:space="0" w:color="010000"/>
          <w:left w:val="single" w:sz="12" w:space="0" w:color="010000"/>
          <w:bottom w:val="single" w:sz="12" w:space="0" w:color="010000"/>
          <w:right w:val="single" w:sz="12" w:space="0" w:color="010000"/>
          <w:insideH w:val="single" w:sz="4" w:space="0" w:color="010000"/>
          <w:insideV w:val="single" w:sz="4" w:space="0" w:color="010000"/>
        </w:tblBorders>
        <w:tblLayout w:type="fixed"/>
        <w:tblLook w:val="0000" w:firstRow="0" w:lastRow="0" w:firstColumn="0" w:lastColumn="0" w:noHBand="0" w:noVBand="0"/>
      </w:tblPr>
      <w:tblGrid>
        <w:gridCol w:w="3105"/>
        <w:gridCol w:w="1523"/>
        <w:gridCol w:w="1295"/>
        <w:gridCol w:w="1293"/>
        <w:gridCol w:w="1293"/>
      </w:tblGrid>
      <w:tr w:rsidR="004B0883" w14:paraId="20AB9A0D" w14:textId="77777777">
        <w:trPr>
          <w:cantSplit/>
          <w:trHeight w:val="397"/>
          <w:tblHeader/>
        </w:trPr>
        <w:tc>
          <w:tcPr>
            <w:tcW w:w="1824" w:type="pct"/>
            <w:tcBorders>
              <w:top w:val="single" w:sz="12" w:space="0" w:color="010000"/>
              <w:bottom w:val="single" w:sz="4" w:space="0" w:color="010000"/>
            </w:tcBorders>
            <w:shd w:val="clear" w:color="auto" w:fill="D9D9D9"/>
            <w:noWrap/>
            <w:vAlign w:val="center"/>
          </w:tcPr>
          <w:p w14:paraId="2B69C859" w14:textId="77777777" w:rsidR="004B0883" w:rsidRDefault="004B0883">
            <w:pPr>
              <w:jc w:val="center"/>
              <w:rPr>
                <w:b/>
                <w:bCs/>
                <w:color w:val="000000"/>
              </w:rPr>
            </w:pPr>
            <w:r>
              <w:rPr>
                <w:rFonts w:hint="eastAsia"/>
                <w:b/>
                <w:bCs/>
                <w:color w:val="000000"/>
              </w:rPr>
              <w:t>项目</w:t>
            </w:r>
          </w:p>
        </w:tc>
        <w:tc>
          <w:tcPr>
            <w:tcW w:w="895" w:type="pct"/>
            <w:tcBorders>
              <w:top w:val="single" w:sz="12" w:space="0" w:color="010000"/>
              <w:bottom w:val="single" w:sz="4" w:space="0" w:color="010000"/>
            </w:tcBorders>
            <w:shd w:val="clear" w:color="auto" w:fill="D9D9D9"/>
            <w:noWrap/>
            <w:vAlign w:val="center"/>
          </w:tcPr>
          <w:p w14:paraId="1437C4C5" w14:textId="77777777" w:rsidR="004B0883" w:rsidRDefault="004B0883">
            <w:pPr>
              <w:jc w:val="center"/>
              <w:rPr>
                <w:b/>
                <w:bCs/>
                <w:color w:val="000000"/>
              </w:rPr>
            </w:pPr>
            <w:r>
              <w:rPr>
                <w:rFonts w:hint="eastAsia"/>
                <w:b/>
                <w:bCs/>
                <w:color w:val="000000"/>
              </w:rPr>
              <w:t>2023</w:t>
            </w:r>
            <w:r>
              <w:rPr>
                <w:rFonts w:hint="eastAsia"/>
                <w:b/>
                <w:bCs/>
                <w:color w:val="000000"/>
              </w:rPr>
              <w:t>年</w:t>
            </w:r>
            <w:r>
              <w:rPr>
                <w:rFonts w:hint="eastAsia"/>
                <w:b/>
                <w:bCs/>
                <w:color w:val="000000"/>
              </w:rPr>
              <w:t>1-9</w:t>
            </w:r>
            <w:r>
              <w:rPr>
                <w:rFonts w:hint="eastAsia"/>
                <w:b/>
                <w:bCs/>
                <w:color w:val="000000"/>
              </w:rPr>
              <w:t>月</w:t>
            </w:r>
          </w:p>
        </w:tc>
        <w:tc>
          <w:tcPr>
            <w:tcW w:w="761" w:type="pct"/>
            <w:tcBorders>
              <w:top w:val="single" w:sz="12" w:space="0" w:color="010000"/>
              <w:bottom w:val="single" w:sz="4" w:space="0" w:color="010000"/>
            </w:tcBorders>
            <w:shd w:val="clear" w:color="auto" w:fill="D9D9D9"/>
            <w:noWrap/>
            <w:vAlign w:val="center"/>
          </w:tcPr>
          <w:p w14:paraId="3A846327" w14:textId="77777777" w:rsidR="004B0883" w:rsidRDefault="004B0883">
            <w:pPr>
              <w:jc w:val="center"/>
              <w:rPr>
                <w:b/>
                <w:bCs/>
                <w:color w:val="000000"/>
              </w:rPr>
            </w:pPr>
            <w:r>
              <w:rPr>
                <w:rFonts w:hint="eastAsia"/>
                <w:b/>
                <w:bCs/>
                <w:color w:val="000000"/>
              </w:rPr>
              <w:t>2022</w:t>
            </w:r>
            <w:r>
              <w:rPr>
                <w:rFonts w:hint="eastAsia"/>
                <w:b/>
                <w:bCs/>
                <w:color w:val="000000"/>
              </w:rPr>
              <w:t>年度</w:t>
            </w:r>
          </w:p>
        </w:tc>
        <w:tc>
          <w:tcPr>
            <w:tcW w:w="760" w:type="pct"/>
            <w:tcBorders>
              <w:top w:val="single" w:sz="12" w:space="0" w:color="010000"/>
              <w:bottom w:val="single" w:sz="4" w:space="0" w:color="010000"/>
            </w:tcBorders>
            <w:shd w:val="clear" w:color="auto" w:fill="D9D9D9"/>
            <w:noWrap/>
            <w:vAlign w:val="center"/>
          </w:tcPr>
          <w:p w14:paraId="03DCA1BE" w14:textId="77777777" w:rsidR="004B0883" w:rsidRDefault="004B0883">
            <w:pPr>
              <w:jc w:val="center"/>
              <w:rPr>
                <w:b/>
                <w:bCs/>
                <w:color w:val="000000"/>
              </w:rPr>
            </w:pPr>
            <w:r>
              <w:rPr>
                <w:rFonts w:hint="eastAsia"/>
                <w:b/>
                <w:bCs/>
                <w:color w:val="000000"/>
              </w:rPr>
              <w:t>2021</w:t>
            </w:r>
            <w:r>
              <w:rPr>
                <w:rFonts w:hint="eastAsia"/>
                <w:b/>
                <w:bCs/>
                <w:color w:val="000000"/>
              </w:rPr>
              <w:t>年度</w:t>
            </w:r>
          </w:p>
        </w:tc>
        <w:tc>
          <w:tcPr>
            <w:tcW w:w="760" w:type="pct"/>
            <w:tcBorders>
              <w:top w:val="single" w:sz="12" w:space="0" w:color="010000"/>
              <w:bottom w:val="single" w:sz="4" w:space="0" w:color="010000"/>
            </w:tcBorders>
            <w:shd w:val="clear" w:color="auto" w:fill="D9D9D9"/>
            <w:noWrap/>
            <w:vAlign w:val="center"/>
          </w:tcPr>
          <w:p w14:paraId="4235AFF1" w14:textId="77777777" w:rsidR="004B0883" w:rsidRDefault="004B0883">
            <w:pPr>
              <w:jc w:val="center"/>
              <w:rPr>
                <w:b/>
                <w:bCs/>
                <w:color w:val="000000"/>
              </w:rPr>
            </w:pPr>
            <w:r>
              <w:rPr>
                <w:rFonts w:hint="eastAsia"/>
                <w:b/>
                <w:bCs/>
                <w:color w:val="000000"/>
              </w:rPr>
              <w:t>2020</w:t>
            </w:r>
            <w:r>
              <w:rPr>
                <w:rFonts w:hint="eastAsia"/>
                <w:b/>
                <w:bCs/>
                <w:color w:val="000000"/>
              </w:rPr>
              <w:t>年度</w:t>
            </w:r>
          </w:p>
        </w:tc>
      </w:tr>
      <w:tr w:rsidR="004B0883" w14:paraId="55880C70" w14:textId="77777777">
        <w:trPr>
          <w:cantSplit/>
          <w:trHeight w:val="397"/>
        </w:trPr>
        <w:tc>
          <w:tcPr>
            <w:tcW w:w="1824" w:type="pct"/>
            <w:tcBorders>
              <w:top w:val="single" w:sz="4" w:space="0" w:color="010000"/>
            </w:tcBorders>
            <w:noWrap/>
            <w:vAlign w:val="center"/>
          </w:tcPr>
          <w:p w14:paraId="7241B4F8" w14:textId="77777777" w:rsidR="004B0883" w:rsidRDefault="004B0883">
            <w:pPr>
              <w:rPr>
                <w:color w:val="000000"/>
              </w:rPr>
            </w:pPr>
            <w:r>
              <w:rPr>
                <w:rFonts w:hint="eastAsia"/>
                <w:color w:val="000000"/>
              </w:rPr>
              <w:t>非流动资产处置损益</w:t>
            </w:r>
          </w:p>
        </w:tc>
        <w:tc>
          <w:tcPr>
            <w:tcW w:w="895" w:type="pct"/>
            <w:tcBorders>
              <w:top w:val="single" w:sz="4" w:space="0" w:color="010000"/>
            </w:tcBorders>
            <w:noWrap/>
            <w:vAlign w:val="center"/>
          </w:tcPr>
          <w:p w14:paraId="5DC87C89" w14:textId="77777777" w:rsidR="004B0883" w:rsidRDefault="004B0883">
            <w:pPr>
              <w:jc w:val="right"/>
              <w:rPr>
                <w:color w:val="000000"/>
              </w:rPr>
            </w:pPr>
            <w:r>
              <w:rPr>
                <w:color w:val="000000"/>
              </w:rPr>
              <w:t>-100.33</w:t>
            </w:r>
          </w:p>
        </w:tc>
        <w:tc>
          <w:tcPr>
            <w:tcW w:w="761" w:type="pct"/>
            <w:tcBorders>
              <w:top w:val="single" w:sz="4" w:space="0" w:color="010000"/>
            </w:tcBorders>
            <w:noWrap/>
            <w:vAlign w:val="center"/>
          </w:tcPr>
          <w:p w14:paraId="6F5E8A14" w14:textId="77777777" w:rsidR="004B0883" w:rsidRDefault="004B0883">
            <w:pPr>
              <w:jc w:val="right"/>
              <w:rPr>
                <w:color w:val="000000"/>
              </w:rPr>
            </w:pPr>
            <w:r>
              <w:rPr>
                <w:color w:val="000000"/>
              </w:rPr>
              <w:t>4,137.52</w:t>
            </w:r>
          </w:p>
        </w:tc>
        <w:tc>
          <w:tcPr>
            <w:tcW w:w="760" w:type="pct"/>
            <w:tcBorders>
              <w:top w:val="single" w:sz="4" w:space="0" w:color="010000"/>
            </w:tcBorders>
            <w:noWrap/>
            <w:vAlign w:val="center"/>
          </w:tcPr>
          <w:p w14:paraId="18E41A34" w14:textId="77777777" w:rsidR="004B0883" w:rsidRDefault="004B0883">
            <w:pPr>
              <w:jc w:val="right"/>
              <w:rPr>
                <w:color w:val="000000"/>
              </w:rPr>
            </w:pPr>
            <w:r>
              <w:rPr>
                <w:color w:val="000000"/>
              </w:rPr>
              <w:t>52.34</w:t>
            </w:r>
          </w:p>
        </w:tc>
        <w:tc>
          <w:tcPr>
            <w:tcW w:w="760" w:type="pct"/>
            <w:tcBorders>
              <w:top w:val="single" w:sz="4" w:space="0" w:color="010000"/>
            </w:tcBorders>
            <w:noWrap/>
            <w:vAlign w:val="center"/>
          </w:tcPr>
          <w:p w14:paraId="01CDF6F7" w14:textId="77777777" w:rsidR="004B0883" w:rsidRDefault="004B0883">
            <w:pPr>
              <w:jc w:val="right"/>
              <w:rPr>
                <w:color w:val="000000"/>
              </w:rPr>
            </w:pPr>
            <w:r>
              <w:rPr>
                <w:color w:val="000000"/>
              </w:rPr>
              <w:t>-28.48</w:t>
            </w:r>
          </w:p>
        </w:tc>
      </w:tr>
      <w:tr w:rsidR="004B0883" w14:paraId="0A479EA3" w14:textId="77777777">
        <w:trPr>
          <w:cantSplit/>
          <w:trHeight w:val="397"/>
        </w:trPr>
        <w:tc>
          <w:tcPr>
            <w:tcW w:w="1824" w:type="pct"/>
            <w:noWrap/>
            <w:vAlign w:val="center"/>
          </w:tcPr>
          <w:p w14:paraId="5F52130F" w14:textId="77777777" w:rsidR="004B0883" w:rsidRDefault="004B0883">
            <w:pPr>
              <w:rPr>
                <w:color w:val="000000"/>
              </w:rPr>
            </w:pPr>
            <w:r>
              <w:rPr>
                <w:rFonts w:hint="eastAsia"/>
                <w:color w:val="000000"/>
              </w:rPr>
              <w:t>政府补助</w:t>
            </w:r>
          </w:p>
        </w:tc>
        <w:tc>
          <w:tcPr>
            <w:tcW w:w="895" w:type="pct"/>
            <w:noWrap/>
            <w:vAlign w:val="center"/>
          </w:tcPr>
          <w:p w14:paraId="6AB20648" w14:textId="77777777" w:rsidR="004B0883" w:rsidRDefault="004B0883">
            <w:pPr>
              <w:jc w:val="right"/>
              <w:rPr>
                <w:color w:val="000000"/>
              </w:rPr>
            </w:pPr>
            <w:r>
              <w:rPr>
                <w:color w:val="000000"/>
              </w:rPr>
              <w:t>121.59</w:t>
            </w:r>
          </w:p>
        </w:tc>
        <w:tc>
          <w:tcPr>
            <w:tcW w:w="761" w:type="pct"/>
            <w:noWrap/>
            <w:vAlign w:val="center"/>
          </w:tcPr>
          <w:p w14:paraId="4AA7DE35" w14:textId="77777777" w:rsidR="004B0883" w:rsidRDefault="004B0883">
            <w:pPr>
              <w:jc w:val="right"/>
              <w:rPr>
                <w:color w:val="000000"/>
              </w:rPr>
            </w:pPr>
            <w:r>
              <w:rPr>
                <w:rFonts w:hint="eastAsia"/>
                <w:color w:val="000000"/>
              </w:rPr>
              <w:t>229.43</w:t>
            </w:r>
          </w:p>
        </w:tc>
        <w:tc>
          <w:tcPr>
            <w:tcW w:w="760" w:type="pct"/>
            <w:noWrap/>
            <w:vAlign w:val="center"/>
          </w:tcPr>
          <w:p w14:paraId="2504803B" w14:textId="77777777" w:rsidR="004B0883" w:rsidRDefault="004B0883">
            <w:pPr>
              <w:jc w:val="right"/>
              <w:rPr>
                <w:color w:val="000000"/>
              </w:rPr>
            </w:pPr>
            <w:r>
              <w:rPr>
                <w:rFonts w:hint="eastAsia"/>
                <w:color w:val="000000"/>
              </w:rPr>
              <w:t>3</w:t>
            </w:r>
            <w:r>
              <w:rPr>
                <w:color w:val="000000"/>
              </w:rPr>
              <w:t>01</w:t>
            </w:r>
            <w:r>
              <w:rPr>
                <w:rFonts w:hint="eastAsia"/>
                <w:color w:val="000000"/>
              </w:rPr>
              <w:t>.</w:t>
            </w:r>
            <w:r>
              <w:rPr>
                <w:color w:val="000000"/>
              </w:rPr>
              <w:t>49</w:t>
            </w:r>
          </w:p>
        </w:tc>
        <w:tc>
          <w:tcPr>
            <w:tcW w:w="760" w:type="pct"/>
            <w:noWrap/>
            <w:vAlign w:val="center"/>
          </w:tcPr>
          <w:p w14:paraId="38B81D44" w14:textId="77777777" w:rsidR="004B0883" w:rsidRDefault="004B0883">
            <w:pPr>
              <w:jc w:val="right"/>
              <w:rPr>
                <w:color w:val="000000"/>
              </w:rPr>
            </w:pPr>
            <w:r>
              <w:rPr>
                <w:rFonts w:hint="eastAsia"/>
                <w:color w:val="000000"/>
              </w:rPr>
              <w:t>417.07</w:t>
            </w:r>
          </w:p>
        </w:tc>
      </w:tr>
      <w:tr w:rsidR="004B0883" w14:paraId="6B33C7E1" w14:textId="77777777">
        <w:trPr>
          <w:cantSplit/>
          <w:trHeight w:val="397"/>
        </w:trPr>
        <w:tc>
          <w:tcPr>
            <w:tcW w:w="1824" w:type="pct"/>
            <w:noWrap/>
            <w:vAlign w:val="center"/>
          </w:tcPr>
          <w:p w14:paraId="789D7A06" w14:textId="77777777" w:rsidR="004B0883" w:rsidRDefault="004B0883">
            <w:pPr>
              <w:rPr>
                <w:color w:val="000000"/>
              </w:rPr>
            </w:pPr>
            <w:r>
              <w:rPr>
                <w:rFonts w:hint="eastAsia"/>
                <w:color w:val="000000"/>
              </w:rPr>
              <w:t>委托投资损益</w:t>
            </w:r>
          </w:p>
        </w:tc>
        <w:tc>
          <w:tcPr>
            <w:tcW w:w="895" w:type="pct"/>
            <w:noWrap/>
            <w:vAlign w:val="center"/>
          </w:tcPr>
          <w:p w14:paraId="4C5F3BD4" w14:textId="77777777" w:rsidR="004B0883" w:rsidRDefault="004B0883">
            <w:pPr>
              <w:jc w:val="right"/>
              <w:rPr>
                <w:color w:val="000000"/>
              </w:rPr>
            </w:pPr>
            <w:r>
              <w:rPr>
                <w:color w:val="000000"/>
                <w:szCs w:val="24"/>
              </w:rPr>
              <w:t>488.80</w:t>
            </w:r>
          </w:p>
        </w:tc>
        <w:tc>
          <w:tcPr>
            <w:tcW w:w="761" w:type="pct"/>
            <w:noWrap/>
            <w:vAlign w:val="center"/>
          </w:tcPr>
          <w:p w14:paraId="7C871365" w14:textId="77777777" w:rsidR="004B0883" w:rsidRDefault="004B0883">
            <w:pPr>
              <w:jc w:val="right"/>
              <w:rPr>
                <w:color w:val="000000"/>
              </w:rPr>
            </w:pPr>
            <w:r>
              <w:rPr>
                <w:rFonts w:hint="eastAsia"/>
                <w:color w:val="000000"/>
              </w:rPr>
              <w:t>794.85</w:t>
            </w:r>
          </w:p>
        </w:tc>
        <w:tc>
          <w:tcPr>
            <w:tcW w:w="760" w:type="pct"/>
            <w:noWrap/>
            <w:vAlign w:val="center"/>
          </w:tcPr>
          <w:p w14:paraId="650012A9" w14:textId="77777777" w:rsidR="004B0883" w:rsidRDefault="004B0883">
            <w:pPr>
              <w:jc w:val="right"/>
              <w:rPr>
                <w:color w:val="000000"/>
              </w:rPr>
            </w:pPr>
            <w:r>
              <w:rPr>
                <w:rFonts w:hint="eastAsia"/>
                <w:color w:val="000000"/>
              </w:rPr>
              <w:t>1,591.57</w:t>
            </w:r>
          </w:p>
        </w:tc>
        <w:tc>
          <w:tcPr>
            <w:tcW w:w="760" w:type="pct"/>
            <w:noWrap/>
            <w:vAlign w:val="center"/>
          </w:tcPr>
          <w:p w14:paraId="4ED8B8BB" w14:textId="77777777" w:rsidR="004B0883" w:rsidRDefault="004B0883">
            <w:pPr>
              <w:jc w:val="right"/>
              <w:rPr>
                <w:color w:val="000000"/>
              </w:rPr>
            </w:pPr>
            <w:r>
              <w:rPr>
                <w:rFonts w:hint="eastAsia"/>
                <w:color w:val="000000"/>
              </w:rPr>
              <w:t>918.64</w:t>
            </w:r>
          </w:p>
        </w:tc>
      </w:tr>
      <w:tr w:rsidR="004B0883" w14:paraId="501D1328" w14:textId="77777777">
        <w:trPr>
          <w:cantSplit/>
          <w:trHeight w:val="397"/>
        </w:trPr>
        <w:tc>
          <w:tcPr>
            <w:tcW w:w="1824" w:type="pct"/>
            <w:noWrap/>
            <w:vAlign w:val="center"/>
          </w:tcPr>
          <w:p w14:paraId="3C87FCCC" w14:textId="77777777" w:rsidR="004B0883" w:rsidRDefault="004B0883">
            <w:pPr>
              <w:rPr>
                <w:color w:val="000000"/>
              </w:rPr>
            </w:pPr>
            <w:r>
              <w:rPr>
                <w:rFonts w:hint="eastAsia"/>
                <w:color w:val="000000"/>
              </w:rPr>
              <w:t>债务重组损益</w:t>
            </w:r>
          </w:p>
        </w:tc>
        <w:tc>
          <w:tcPr>
            <w:tcW w:w="895" w:type="pct"/>
            <w:noWrap/>
            <w:vAlign w:val="center"/>
          </w:tcPr>
          <w:p w14:paraId="47F9F3E7" w14:textId="77777777" w:rsidR="004B0883" w:rsidRDefault="004B0883">
            <w:pPr>
              <w:jc w:val="right"/>
              <w:rPr>
                <w:color w:val="000000"/>
              </w:rPr>
            </w:pPr>
            <w:r>
              <w:rPr>
                <w:rFonts w:hint="eastAsia"/>
                <w:color w:val="000000"/>
              </w:rPr>
              <w:t>-</w:t>
            </w:r>
          </w:p>
        </w:tc>
        <w:tc>
          <w:tcPr>
            <w:tcW w:w="761" w:type="pct"/>
            <w:noWrap/>
            <w:vAlign w:val="center"/>
          </w:tcPr>
          <w:p w14:paraId="5B0EBDEE" w14:textId="77777777" w:rsidR="004B0883" w:rsidRDefault="004B0883">
            <w:pPr>
              <w:jc w:val="right"/>
              <w:rPr>
                <w:color w:val="000000"/>
              </w:rPr>
            </w:pPr>
            <w:r>
              <w:rPr>
                <w:rFonts w:hint="eastAsia"/>
                <w:color w:val="000000"/>
              </w:rPr>
              <w:t>-26.40</w:t>
            </w:r>
          </w:p>
        </w:tc>
        <w:tc>
          <w:tcPr>
            <w:tcW w:w="760" w:type="pct"/>
            <w:noWrap/>
            <w:vAlign w:val="center"/>
          </w:tcPr>
          <w:p w14:paraId="5F994B92" w14:textId="77777777" w:rsidR="004B0883" w:rsidRDefault="004B0883">
            <w:pPr>
              <w:jc w:val="right"/>
              <w:rPr>
                <w:color w:val="000000"/>
              </w:rPr>
            </w:pPr>
            <w:r>
              <w:rPr>
                <w:rFonts w:hint="eastAsia"/>
                <w:color w:val="000000"/>
              </w:rPr>
              <w:t>-</w:t>
            </w:r>
          </w:p>
        </w:tc>
        <w:tc>
          <w:tcPr>
            <w:tcW w:w="760" w:type="pct"/>
            <w:noWrap/>
            <w:vAlign w:val="center"/>
          </w:tcPr>
          <w:p w14:paraId="16F50066" w14:textId="77777777" w:rsidR="004B0883" w:rsidRDefault="004B0883">
            <w:pPr>
              <w:jc w:val="right"/>
              <w:rPr>
                <w:color w:val="000000"/>
              </w:rPr>
            </w:pPr>
            <w:r>
              <w:rPr>
                <w:rFonts w:hint="eastAsia"/>
                <w:color w:val="000000"/>
              </w:rPr>
              <w:t>-</w:t>
            </w:r>
          </w:p>
        </w:tc>
      </w:tr>
      <w:tr w:rsidR="004B0883" w14:paraId="50FBC00B" w14:textId="77777777">
        <w:trPr>
          <w:cantSplit/>
          <w:trHeight w:val="397"/>
        </w:trPr>
        <w:tc>
          <w:tcPr>
            <w:tcW w:w="1824" w:type="pct"/>
            <w:vAlign w:val="center"/>
          </w:tcPr>
          <w:p w14:paraId="0674D807" w14:textId="77777777" w:rsidR="004B0883" w:rsidRDefault="004B0883">
            <w:pPr>
              <w:rPr>
                <w:color w:val="000000"/>
              </w:rPr>
            </w:pPr>
            <w:r>
              <w:rPr>
                <w:rFonts w:hint="eastAsia"/>
                <w:color w:val="000000"/>
              </w:rPr>
              <w:t>持有（或处置）交易性金融资产和负债产生的公允价值变动损益</w:t>
            </w:r>
          </w:p>
        </w:tc>
        <w:tc>
          <w:tcPr>
            <w:tcW w:w="895" w:type="pct"/>
            <w:noWrap/>
            <w:vAlign w:val="center"/>
          </w:tcPr>
          <w:p w14:paraId="4B9026A3" w14:textId="77777777" w:rsidR="004B0883" w:rsidRDefault="004B0883">
            <w:pPr>
              <w:jc w:val="right"/>
              <w:rPr>
                <w:color w:val="000000"/>
              </w:rPr>
            </w:pPr>
            <w:r>
              <w:rPr>
                <w:color w:val="000000"/>
              </w:rPr>
              <w:t>1,929.72</w:t>
            </w:r>
          </w:p>
        </w:tc>
        <w:tc>
          <w:tcPr>
            <w:tcW w:w="761" w:type="pct"/>
            <w:noWrap/>
            <w:vAlign w:val="center"/>
          </w:tcPr>
          <w:p w14:paraId="7427077D" w14:textId="77777777" w:rsidR="004B0883" w:rsidRDefault="004B0883">
            <w:pPr>
              <w:jc w:val="right"/>
              <w:rPr>
                <w:color w:val="000000"/>
              </w:rPr>
            </w:pPr>
            <w:r>
              <w:rPr>
                <w:rFonts w:hint="eastAsia"/>
                <w:color w:val="000000"/>
              </w:rPr>
              <w:t>-838.21</w:t>
            </w:r>
          </w:p>
        </w:tc>
        <w:tc>
          <w:tcPr>
            <w:tcW w:w="760" w:type="pct"/>
            <w:noWrap/>
            <w:vAlign w:val="center"/>
          </w:tcPr>
          <w:p w14:paraId="1857432B" w14:textId="77777777" w:rsidR="004B0883" w:rsidRDefault="004B0883">
            <w:pPr>
              <w:jc w:val="right"/>
              <w:rPr>
                <w:color w:val="000000"/>
              </w:rPr>
            </w:pPr>
            <w:r>
              <w:rPr>
                <w:rFonts w:hint="eastAsia"/>
                <w:color w:val="000000"/>
              </w:rPr>
              <w:t>-336.67</w:t>
            </w:r>
          </w:p>
        </w:tc>
        <w:tc>
          <w:tcPr>
            <w:tcW w:w="760" w:type="pct"/>
            <w:noWrap/>
            <w:vAlign w:val="center"/>
          </w:tcPr>
          <w:p w14:paraId="66B88CBB" w14:textId="77777777" w:rsidR="004B0883" w:rsidRDefault="004B0883">
            <w:pPr>
              <w:jc w:val="right"/>
              <w:rPr>
                <w:color w:val="000000"/>
              </w:rPr>
            </w:pPr>
            <w:r>
              <w:rPr>
                <w:rFonts w:hint="eastAsia"/>
                <w:color w:val="000000"/>
              </w:rPr>
              <w:t>460.16</w:t>
            </w:r>
          </w:p>
        </w:tc>
      </w:tr>
      <w:tr w:rsidR="004B0883" w14:paraId="5A760776" w14:textId="77777777">
        <w:trPr>
          <w:cantSplit/>
          <w:trHeight w:val="397"/>
        </w:trPr>
        <w:tc>
          <w:tcPr>
            <w:tcW w:w="1824" w:type="pct"/>
            <w:noWrap/>
            <w:vAlign w:val="center"/>
          </w:tcPr>
          <w:p w14:paraId="6503453A" w14:textId="77777777" w:rsidR="004B0883" w:rsidRDefault="004B0883">
            <w:pPr>
              <w:rPr>
                <w:color w:val="000000"/>
              </w:rPr>
            </w:pPr>
            <w:r>
              <w:rPr>
                <w:rFonts w:hint="eastAsia"/>
                <w:color w:val="000000"/>
              </w:rPr>
              <w:t>法规要求一次性损益调整影响</w:t>
            </w:r>
          </w:p>
        </w:tc>
        <w:tc>
          <w:tcPr>
            <w:tcW w:w="895" w:type="pct"/>
            <w:noWrap/>
            <w:vAlign w:val="center"/>
          </w:tcPr>
          <w:p w14:paraId="4983BD1A" w14:textId="77777777" w:rsidR="004B0883" w:rsidRDefault="004B0883">
            <w:pPr>
              <w:jc w:val="right"/>
              <w:rPr>
                <w:color w:val="000000"/>
              </w:rPr>
            </w:pPr>
            <w:r>
              <w:rPr>
                <w:rFonts w:hint="eastAsia"/>
                <w:color w:val="000000"/>
              </w:rPr>
              <w:t>-</w:t>
            </w:r>
          </w:p>
        </w:tc>
        <w:tc>
          <w:tcPr>
            <w:tcW w:w="761" w:type="pct"/>
            <w:noWrap/>
            <w:vAlign w:val="center"/>
          </w:tcPr>
          <w:p w14:paraId="5DFA7206" w14:textId="77777777" w:rsidR="004B0883" w:rsidRDefault="004B0883">
            <w:pPr>
              <w:jc w:val="right"/>
              <w:rPr>
                <w:color w:val="000000"/>
              </w:rPr>
            </w:pPr>
            <w:r>
              <w:rPr>
                <w:rFonts w:hint="eastAsia"/>
                <w:color w:val="000000"/>
              </w:rPr>
              <w:t>15.71</w:t>
            </w:r>
          </w:p>
        </w:tc>
        <w:tc>
          <w:tcPr>
            <w:tcW w:w="760" w:type="pct"/>
            <w:noWrap/>
            <w:vAlign w:val="center"/>
          </w:tcPr>
          <w:p w14:paraId="6BF53960" w14:textId="77777777" w:rsidR="004B0883" w:rsidRDefault="004B0883">
            <w:pPr>
              <w:jc w:val="right"/>
              <w:rPr>
                <w:color w:val="000000"/>
              </w:rPr>
            </w:pPr>
            <w:r>
              <w:rPr>
                <w:rFonts w:hint="eastAsia"/>
                <w:color w:val="000000"/>
              </w:rPr>
              <w:t>-</w:t>
            </w:r>
          </w:p>
        </w:tc>
        <w:tc>
          <w:tcPr>
            <w:tcW w:w="760" w:type="pct"/>
            <w:noWrap/>
            <w:vAlign w:val="center"/>
          </w:tcPr>
          <w:p w14:paraId="39A718FA" w14:textId="77777777" w:rsidR="004B0883" w:rsidRDefault="004B0883">
            <w:pPr>
              <w:jc w:val="right"/>
              <w:rPr>
                <w:color w:val="000000"/>
              </w:rPr>
            </w:pPr>
            <w:r>
              <w:rPr>
                <w:rFonts w:hint="eastAsia"/>
                <w:color w:val="000000"/>
              </w:rPr>
              <w:t>-</w:t>
            </w:r>
          </w:p>
        </w:tc>
      </w:tr>
      <w:tr w:rsidR="004B0883" w14:paraId="66307E7B" w14:textId="77777777">
        <w:trPr>
          <w:cantSplit/>
          <w:trHeight w:val="397"/>
        </w:trPr>
        <w:tc>
          <w:tcPr>
            <w:tcW w:w="1824" w:type="pct"/>
            <w:noWrap/>
            <w:vAlign w:val="center"/>
          </w:tcPr>
          <w:p w14:paraId="7D090F22" w14:textId="77777777" w:rsidR="004B0883" w:rsidRDefault="004B0883">
            <w:pPr>
              <w:rPr>
                <w:color w:val="000000"/>
              </w:rPr>
            </w:pPr>
            <w:r>
              <w:rPr>
                <w:rFonts w:hint="eastAsia"/>
                <w:color w:val="000000"/>
              </w:rPr>
              <w:t>其他营业外收支净额</w:t>
            </w:r>
          </w:p>
        </w:tc>
        <w:tc>
          <w:tcPr>
            <w:tcW w:w="895" w:type="pct"/>
            <w:noWrap/>
            <w:vAlign w:val="center"/>
          </w:tcPr>
          <w:p w14:paraId="5F968050" w14:textId="77777777" w:rsidR="004B0883" w:rsidRDefault="004B0883">
            <w:pPr>
              <w:jc w:val="right"/>
              <w:rPr>
                <w:color w:val="000000"/>
              </w:rPr>
            </w:pPr>
            <w:r>
              <w:rPr>
                <w:color w:val="000000"/>
                <w:szCs w:val="24"/>
              </w:rPr>
              <w:t>20.09</w:t>
            </w:r>
          </w:p>
        </w:tc>
        <w:tc>
          <w:tcPr>
            <w:tcW w:w="761" w:type="pct"/>
            <w:noWrap/>
            <w:vAlign w:val="center"/>
          </w:tcPr>
          <w:p w14:paraId="2BC56BBC" w14:textId="77777777" w:rsidR="004B0883" w:rsidRDefault="004B0883">
            <w:pPr>
              <w:jc w:val="right"/>
              <w:rPr>
                <w:color w:val="000000"/>
              </w:rPr>
            </w:pPr>
            <w:r>
              <w:rPr>
                <w:rFonts w:hint="eastAsia"/>
                <w:color w:val="000000"/>
              </w:rPr>
              <w:t>1.39</w:t>
            </w:r>
          </w:p>
        </w:tc>
        <w:tc>
          <w:tcPr>
            <w:tcW w:w="760" w:type="pct"/>
            <w:noWrap/>
            <w:vAlign w:val="center"/>
          </w:tcPr>
          <w:p w14:paraId="4FC2C9A3" w14:textId="77777777" w:rsidR="004B0883" w:rsidRDefault="004B0883">
            <w:pPr>
              <w:jc w:val="right"/>
              <w:rPr>
                <w:color w:val="000000"/>
              </w:rPr>
            </w:pPr>
            <w:r>
              <w:rPr>
                <w:rFonts w:hint="eastAsia"/>
                <w:color w:val="000000"/>
              </w:rPr>
              <w:t>1</w:t>
            </w:r>
            <w:r>
              <w:rPr>
                <w:color w:val="000000"/>
              </w:rPr>
              <w:t>19</w:t>
            </w:r>
            <w:r>
              <w:rPr>
                <w:rFonts w:hint="eastAsia"/>
                <w:color w:val="000000"/>
              </w:rPr>
              <w:t>.</w:t>
            </w:r>
            <w:r>
              <w:rPr>
                <w:color w:val="000000"/>
              </w:rPr>
              <w:t>33</w:t>
            </w:r>
          </w:p>
        </w:tc>
        <w:tc>
          <w:tcPr>
            <w:tcW w:w="760" w:type="pct"/>
            <w:noWrap/>
            <w:vAlign w:val="center"/>
          </w:tcPr>
          <w:p w14:paraId="7EBE50D9" w14:textId="77777777" w:rsidR="004B0883" w:rsidRDefault="004B0883">
            <w:pPr>
              <w:jc w:val="right"/>
              <w:rPr>
                <w:color w:val="000000"/>
              </w:rPr>
            </w:pPr>
            <w:r>
              <w:rPr>
                <w:rFonts w:hint="eastAsia"/>
                <w:color w:val="000000"/>
              </w:rPr>
              <w:t>71.48</w:t>
            </w:r>
          </w:p>
        </w:tc>
      </w:tr>
      <w:tr w:rsidR="004B0883" w14:paraId="19551DDB" w14:textId="77777777">
        <w:trPr>
          <w:cantSplit/>
          <w:trHeight w:val="397"/>
        </w:trPr>
        <w:tc>
          <w:tcPr>
            <w:tcW w:w="1824" w:type="pct"/>
            <w:noWrap/>
            <w:vAlign w:val="center"/>
          </w:tcPr>
          <w:p w14:paraId="6D711304" w14:textId="77777777" w:rsidR="004B0883" w:rsidRDefault="004B0883">
            <w:pPr>
              <w:rPr>
                <w:b/>
                <w:bCs/>
                <w:color w:val="000000"/>
              </w:rPr>
            </w:pPr>
            <w:r>
              <w:rPr>
                <w:rFonts w:hint="eastAsia"/>
                <w:b/>
                <w:bCs/>
                <w:color w:val="000000"/>
              </w:rPr>
              <w:t>非经常性损益项目小计</w:t>
            </w:r>
          </w:p>
        </w:tc>
        <w:tc>
          <w:tcPr>
            <w:tcW w:w="895" w:type="pct"/>
            <w:noWrap/>
            <w:vAlign w:val="center"/>
          </w:tcPr>
          <w:p w14:paraId="25F37498" w14:textId="77777777" w:rsidR="004B0883" w:rsidRDefault="004B0883">
            <w:pPr>
              <w:jc w:val="right"/>
              <w:rPr>
                <w:b/>
                <w:bCs/>
                <w:color w:val="000000"/>
              </w:rPr>
            </w:pPr>
            <w:r>
              <w:rPr>
                <w:rFonts w:eastAsia="等线" w:hint="eastAsia"/>
                <w:b/>
                <w:bCs/>
                <w:color w:val="000000"/>
              </w:rPr>
              <w:t>2</w:t>
            </w:r>
            <w:r>
              <w:rPr>
                <w:rFonts w:eastAsia="等线"/>
                <w:b/>
                <w:bCs/>
                <w:color w:val="000000"/>
              </w:rPr>
              <w:t>,</w:t>
            </w:r>
            <w:r>
              <w:rPr>
                <w:rFonts w:eastAsia="等线" w:hint="eastAsia"/>
                <w:b/>
                <w:bCs/>
                <w:color w:val="000000"/>
              </w:rPr>
              <w:t>459.87</w:t>
            </w:r>
          </w:p>
        </w:tc>
        <w:tc>
          <w:tcPr>
            <w:tcW w:w="761" w:type="pct"/>
            <w:noWrap/>
            <w:vAlign w:val="center"/>
          </w:tcPr>
          <w:p w14:paraId="07CCB3AE" w14:textId="77777777" w:rsidR="004B0883" w:rsidRDefault="004B0883">
            <w:pPr>
              <w:jc w:val="right"/>
              <w:rPr>
                <w:b/>
                <w:bCs/>
                <w:color w:val="000000"/>
              </w:rPr>
            </w:pPr>
            <w:r>
              <w:rPr>
                <w:rFonts w:hint="eastAsia"/>
                <w:b/>
                <w:bCs/>
                <w:color w:val="000000"/>
              </w:rPr>
              <w:t>4,314.30</w:t>
            </w:r>
          </w:p>
        </w:tc>
        <w:tc>
          <w:tcPr>
            <w:tcW w:w="760" w:type="pct"/>
            <w:noWrap/>
            <w:vAlign w:val="center"/>
          </w:tcPr>
          <w:p w14:paraId="5315C020" w14:textId="77777777" w:rsidR="004B0883" w:rsidRDefault="004B0883">
            <w:pPr>
              <w:jc w:val="right"/>
              <w:rPr>
                <w:b/>
                <w:bCs/>
                <w:color w:val="000000"/>
              </w:rPr>
            </w:pPr>
            <w:r>
              <w:rPr>
                <w:rFonts w:hint="eastAsia"/>
                <w:b/>
                <w:bCs/>
                <w:color w:val="000000"/>
              </w:rPr>
              <w:t>1,728.07</w:t>
            </w:r>
          </w:p>
        </w:tc>
        <w:tc>
          <w:tcPr>
            <w:tcW w:w="760" w:type="pct"/>
            <w:noWrap/>
            <w:vAlign w:val="center"/>
          </w:tcPr>
          <w:p w14:paraId="04786205" w14:textId="77777777" w:rsidR="004B0883" w:rsidRDefault="004B0883">
            <w:pPr>
              <w:jc w:val="right"/>
              <w:rPr>
                <w:b/>
                <w:bCs/>
                <w:color w:val="000000"/>
              </w:rPr>
            </w:pPr>
            <w:r>
              <w:rPr>
                <w:rFonts w:hint="eastAsia"/>
                <w:b/>
                <w:bCs/>
                <w:color w:val="000000"/>
              </w:rPr>
              <w:t>1,838.87</w:t>
            </w:r>
          </w:p>
        </w:tc>
      </w:tr>
      <w:tr w:rsidR="004B0883" w14:paraId="3367C71D" w14:textId="77777777">
        <w:trPr>
          <w:cantSplit/>
          <w:trHeight w:val="397"/>
        </w:trPr>
        <w:tc>
          <w:tcPr>
            <w:tcW w:w="1824" w:type="pct"/>
            <w:noWrap/>
            <w:vAlign w:val="center"/>
          </w:tcPr>
          <w:p w14:paraId="71670B56" w14:textId="77777777" w:rsidR="004B0883" w:rsidRDefault="004B0883">
            <w:pPr>
              <w:rPr>
                <w:color w:val="000000"/>
              </w:rPr>
            </w:pPr>
            <w:r>
              <w:rPr>
                <w:rFonts w:hint="eastAsia"/>
                <w:color w:val="000000"/>
              </w:rPr>
              <w:t>减：所得税影响数</w:t>
            </w:r>
          </w:p>
        </w:tc>
        <w:tc>
          <w:tcPr>
            <w:tcW w:w="895" w:type="pct"/>
            <w:noWrap/>
            <w:vAlign w:val="center"/>
          </w:tcPr>
          <w:p w14:paraId="192AC59A" w14:textId="77777777" w:rsidR="004B0883" w:rsidRDefault="004B0883">
            <w:pPr>
              <w:jc w:val="right"/>
              <w:rPr>
                <w:color w:val="000000"/>
              </w:rPr>
            </w:pPr>
            <w:r>
              <w:rPr>
                <w:rFonts w:eastAsia="等线"/>
                <w:color w:val="000000"/>
              </w:rPr>
              <w:t>523.85</w:t>
            </w:r>
          </w:p>
        </w:tc>
        <w:tc>
          <w:tcPr>
            <w:tcW w:w="761" w:type="pct"/>
            <w:noWrap/>
            <w:vAlign w:val="center"/>
          </w:tcPr>
          <w:p w14:paraId="18EB5307" w14:textId="77777777" w:rsidR="004B0883" w:rsidRDefault="004B0883">
            <w:pPr>
              <w:jc w:val="right"/>
              <w:rPr>
                <w:color w:val="000000"/>
              </w:rPr>
            </w:pPr>
            <w:r>
              <w:rPr>
                <w:rFonts w:hint="eastAsia"/>
                <w:color w:val="000000"/>
              </w:rPr>
              <w:t>744.28</w:t>
            </w:r>
          </w:p>
        </w:tc>
        <w:tc>
          <w:tcPr>
            <w:tcW w:w="760" w:type="pct"/>
            <w:noWrap/>
            <w:vAlign w:val="center"/>
          </w:tcPr>
          <w:p w14:paraId="16DD0238" w14:textId="77777777" w:rsidR="004B0883" w:rsidRDefault="004B0883">
            <w:pPr>
              <w:jc w:val="right"/>
              <w:rPr>
                <w:color w:val="000000"/>
              </w:rPr>
            </w:pPr>
            <w:r>
              <w:rPr>
                <w:rFonts w:hint="eastAsia"/>
                <w:color w:val="000000"/>
              </w:rPr>
              <w:t>313.49</w:t>
            </w:r>
          </w:p>
        </w:tc>
        <w:tc>
          <w:tcPr>
            <w:tcW w:w="760" w:type="pct"/>
            <w:noWrap/>
            <w:vAlign w:val="center"/>
          </w:tcPr>
          <w:p w14:paraId="37AAED8B" w14:textId="77777777" w:rsidR="004B0883" w:rsidRDefault="004B0883">
            <w:pPr>
              <w:jc w:val="right"/>
              <w:rPr>
                <w:color w:val="000000"/>
              </w:rPr>
            </w:pPr>
            <w:r>
              <w:rPr>
                <w:rFonts w:hint="eastAsia"/>
                <w:color w:val="000000"/>
              </w:rPr>
              <w:t>285.43</w:t>
            </w:r>
          </w:p>
        </w:tc>
      </w:tr>
      <w:tr w:rsidR="004B0883" w14:paraId="17A18913" w14:textId="77777777">
        <w:trPr>
          <w:cantSplit/>
          <w:trHeight w:val="397"/>
        </w:trPr>
        <w:tc>
          <w:tcPr>
            <w:tcW w:w="1824" w:type="pct"/>
            <w:noWrap/>
            <w:vAlign w:val="center"/>
          </w:tcPr>
          <w:p w14:paraId="2F4E604E" w14:textId="77777777" w:rsidR="004B0883" w:rsidRDefault="004B0883">
            <w:pPr>
              <w:rPr>
                <w:color w:val="000000"/>
              </w:rPr>
            </w:pPr>
            <w:r>
              <w:rPr>
                <w:rFonts w:hint="eastAsia"/>
                <w:color w:val="000000"/>
              </w:rPr>
              <w:t>减：少数股东损益影响数</w:t>
            </w:r>
          </w:p>
        </w:tc>
        <w:tc>
          <w:tcPr>
            <w:tcW w:w="895" w:type="pct"/>
            <w:noWrap/>
            <w:vAlign w:val="center"/>
          </w:tcPr>
          <w:p w14:paraId="6CD14FB9" w14:textId="77777777" w:rsidR="004B0883" w:rsidRDefault="004B0883">
            <w:pPr>
              <w:jc w:val="right"/>
              <w:rPr>
                <w:color w:val="000000"/>
              </w:rPr>
            </w:pPr>
            <w:r>
              <w:rPr>
                <w:rFonts w:eastAsia="等线"/>
                <w:color w:val="000000"/>
              </w:rPr>
              <w:t>534.12</w:t>
            </w:r>
          </w:p>
        </w:tc>
        <w:tc>
          <w:tcPr>
            <w:tcW w:w="761" w:type="pct"/>
            <w:noWrap/>
            <w:vAlign w:val="center"/>
          </w:tcPr>
          <w:p w14:paraId="34EC5FAC" w14:textId="77777777" w:rsidR="004B0883" w:rsidRDefault="004B0883">
            <w:pPr>
              <w:jc w:val="right"/>
              <w:rPr>
                <w:color w:val="000000"/>
              </w:rPr>
            </w:pPr>
            <w:r>
              <w:rPr>
                <w:rFonts w:hint="eastAsia"/>
                <w:color w:val="000000"/>
              </w:rPr>
              <w:t>-256.57</w:t>
            </w:r>
          </w:p>
        </w:tc>
        <w:tc>
          <w:tcPr>
            <w:tcW w:w="760" w:type="pct"/>
            <w:noWrap/>
            <w:vAlign w:val="center"/>
          </w:tcPr>
          <w:p w14:paraId="6B1F1FE0" w14:textId="77777777" w:rsidR="004B0883" w:rsidRDefault="004B0883">
            <w:pPr>
              <w:jc w:val="right"/>
              <w:rPr>
                <w:color w:val="000000"/>
              </w:rPr>
            </w:pPr>
            <w:r>
              <w:rPr>
                <w:rFonts w:hint="eastAsia"/>
                <w:color w:val="000000"/>
              </w:rPr>
              <w:t>-</w:t>
            </w:r>
          </w:p>
        </w:tc>
        <w:tc>
          <w:tcPr>
            <w:tcW w:w="760" w:type="pct"/>
            <w:noWrap/>
            <w:vAlign w:val="center"/>
          </w:tcPr>
          <w:p w14:paraId="2416BEC6" w14:textId="77777777" w:rsidR="004B0883" w:rsidRDefault="004B0883">
            <w:pPr>
              <w:jc w:val="right"/>
              <w:rPr>
                <w:color w:val="000000"/>
              </w:rPr>
            </w:pPr>
            <w:r>
              <w:rPr>
                <w:rFonts w:hint="eastAsia"/>
                <w:color w:val="000000"/>
              </w:rPr>
              <w:t>-</w:t>
            </w:r>
          </w:p>
        </w:tc>
      </w:tr>
      <w:tr w:rsidR="004B0883" w14:paraId="069A98CC" w14:textId="77777777">
        <w:trPr>
          <w:cantSplit/>
          <w:trHeight w:val="397"/>
        </w:trPr>
        <w:tc>
          <w:tcPr>
            <w:tcW w:w="1824" w:type="pct"/>
            <w:noWrap/>
            <w:vAlign w:val="center"/>
          </w:tcPr>
          <w:p w14:paraId="2B145AE5" w14:textId="77777777" w:rsidR="004B0883" w:rsidRDefault="004B0883">
            <w:pPr>
              <w:rPr>
                <w:b/>
                <w:bCs/>
                <w:color w:val="000000"/>
              </w:rPr>
            </w:pPr>
            <w:r>
              <w:rPr>
                <w:rFonts w:hint="eastAsia"/>
                <w:b/>
                <w:bCs/>
                <w:color w:val="000000"/>
              </w:rPr>
              <w:t>非经常性损益项目合计</w:t>
            </w:r>
          </w:p>
        </w:tc>
        <w:tc>
          <w:tcPr>
            <w:tcW w:w="895" w:type="pct"/>
            <w:noWrap/>
            <w:vAlign w:val="center"/>
          </w:tcPr>
          <w:p w14:paraId="46EFD77C" w14:textId="77777777" w:rsidR="004B0883" w:rsidRDefault="004B0883">
            <w:pPr>
              <w:jc w:val="right"/>
              <w:rPr>
                <w:b/>
                <w:bCs/>
                <w:color w:val="000000"/>
              </w:rPr>
            </w:pPr>
            <w:r>
              <w:rPr>
                <w:rFonts w:eastAsia="等线"/>
                <w:b/>
                <w:bCs/>
                <w:color w:val="000000"/>
              </w:rPr>
              <w:t>1,401.90</w:t>
            </w:r>
          </w:p>
        </w:tc>
        <w:tc>
          <w:tcPr>
            <w:tcW w:w="761" w:type="pct"/>
            <w:noWrap/>
            <w:vAlign w:val="center"/>
          </w:tcPr>
          <w:p w14:paraId="7A2A9725" w14:textId="77777777" w:rsidR="004B0883" w:rsidRDefault="004B0883">
            <w:pPr>
              <w:jc w:val="right"/>
              <w:rPr>
                <w:b/>
                <w:bCs/>
                <w:color w:val="000000"/>
              </w:rPr>
            </w:pPr>
            <w:r>
              <w:rPr>
                <w:rFonts w:hint="eastAsia"/>
                <w:b/>
                <w:bCs/>
                <w:color w:val="000000"/>
              </w:rPr>
              <w:t>3,826.59</w:t>
            </w:r>
          </w:p>
        </w:tc>
        <w:tc>
          <w:tcPr>
            <w:tcW w:w="760" w:type="pct"/>
            <w:noWrap/>
            <w:vAlign w:val="center"/>
          </w:tcPr>
          <w:p w14:paraId="4EF5643F" w14:textId="77777777" w:rsidR="004B0883" w:rsidRDefault="004B0883">
            <w:pPr>
              <w:jc w:val="right"/>
              <w:rPr>
                <w:b/>
                <w:bCs/>
                <w:color w:val="000000"/>
              </w:rPr>
            </w:pPr>
            <w:r>
              <w:rPr>
                <w:rFonts w:hint="eastAsia"/>
                <w:b/>
                <w:bCs/>
                <w:color w:val="000000"/>
              </w:rPr>
              <w:t>1,414.58</w:t>
            </w:r>
          </w:p>
        </w:tc>
        <w:tc>
          <w:tcPr>
            <w:tcW w:w="760" w:type="pct"/>
            <w:noWrap/>
            <w:vAlign w:val="center"/>
          </w:tcPr>
          <w:p w14:paraId="37139DD4" w14:textId="77777777" w:rsidR="004B0883" w:rsidRDefault="004B0883">
            <w:pPr>
              <w:jc w:val="right"/>
              <w:rPr>
                <w:b/>
                <w:bCs/>
                <w:color w:val="000000"/>
              </w:rPr>
            </w:pPr>
            <w:r>
              <w:rPr>
                <w:rFonts w:hint="eastAsia"/>
                <w:b/>
                <w:bCs/>
                <w:color w:val="000000"/>
              </w:rPr>
              <w:t>1,553.44</w:t>
            </w:r>
          </w:p>
        </w:tc>
      </w:tr>
    </w:tbl>
    <w:p w14:paraId="73E48839" w14:textId="77777777" w:rsidR="004B0883" w:rsidRDefault="004B0883">
      <w:pPr>
        <w:pStyle w:val="002"/>
        <w:spacing w:before="120" w:after="120"/>
        <w:rPr>
          <w:rFonts w:hint="eastAsia"/>
        </w:rPr>
      </w:pPr>
      <w:bookmarkStart w:id="304" w:name="_Toc152320808"/>
      <w:r>
        <w:rPr>
          <w:rFonts w:hint="eastAsia"/>
        </w:rPr>
        <w:t>五、报告期会计政策和会计估计变更情况</w:t>
      </w:r>
      <w:bookmarkEnd w:id="304"/>
    </w:p>
    <w:p w14:paraId="214AE2CD" w14:textId="77777777" w:rsidR="004B0883" w:rsidRDefault="004B0883">
      <w:pPr>
        <w:pStyle w:val="003"/>
        <w:spacing w:before="120" w:after="120"/>
        <w:rPr>
          <w:rFonts w:hint="eastAsia"/>
        </w:rPr>
      </w:pPr>
      <w:r>
        <w:rPr>
          <w:rFonts w:hint="eastAsia"/>
        </w:rPr>
        <w:t>（一</w:t>
      </w:r>
      <w:r>
        <w:rPr>
          <w:rStyle w:val="003Char"/>
          <w:rFonts w:hint="eastAsia"/>
        </w:rPr>
        <w:t>）</w:t>
      </w:r>
      <w:r>
        <w:rPr>
          <w:rFonts w:hint="eastAsia"/>
        </w:rPr>
        <w:t>会计政策变更情况</w:t>
      </w:r>
    </w:p>
    <w:p w14:paraId="50EBA21F" w14:textId="77777777" w:rsidR="004B0883" w:rsidRDefault="004B0883">
      <w:pPr>
        <w:pStyle w:val="005"/>
        <w:spacing w:before="120"/>
        <w:ind w:firstLine="480"/>
      </w:pPr>
      <w:r>
        <w:rPr>
          <w:rFonts w:hint="eastAsia"/>
        </w:rPr>
        <w:t>2017</w:t>
      </w:r>
      <w:r>
        <w:rPr>
          <w:rFonts w:hint="eastAsia"/>
        </w:rPr>
        <w:t>年</w:t>
      </w:r>
      <w:r>
        <w:rPr>
          <w:rFonts w:hint="eastAsia"/>
        </w:rPr>
        <w:t>7</w:t>
      </w:r>
      <w:r>
        <w:rPr>
          <w:rFonts w:hint="eastAsia"/>
        </w:rPr>
        <w:t>月，财政部颁布了修订的《企业会计准则第</w:t>
      </w:r>
      <w:r>
        <w:rPr>
          <w:rFonts w:hint="eastAsia"/>
        </w:rPr>
        <w:t>14</w:t>
      </w:r>
      <w:r>
        <w:rPr>
          <w:rFonts w:hint="eastAsia"/>
        </w:rPr>
        <w:t>号——收入》（财会〔</w:t>
      </w:r>
      <w:r>
        <w:rPr>
          <w:rFonts w:hint="eastAsia"/>
        </w:rPr>
        <w:t>2017</w:t>
      </w:r>
      <w:r>
        <w:rPr>
          <w:rFonts w:hint="eastAsia"/>
        </w:rPr>
        <w:t>〕</w:t>
      </w:r>
      <w:r>
        <w:rPr>
          <w:rFonts w:hint="eastAsia"/>
        </w:rPr>
        <w:t>22</w:t>
      </w:r>
      <w:r>
        <w:rPr>
          <w:rFonts w:hint="eastAsia"/>
        </w:rPr>
        <w:t>号），并要求境内上市的企业自</w:t>
      </w:r>
      <w:r>
        <w:rPr>
          <w:rFonts w:hint="eastAsia"/>
        </w:rPr>
        <w:t>2020</w:t>
      </w:r>
      <w:r>
        <w:rPr>
          <w:rFonts w:hint="eastAsia"/>
        </w:rPr>
        <w:t>年</w:t>
      </w:r>
      <w:r>
        <w:rPr>
          <w:rFonts w:hint="eastAsia"/>
        </w:rPr>
        <w:t>1</w:t>
      </w:r>
      <w:r>
        <w:rPr>
          <w:rFonts w:hint="eastAsia"/>
        </w:rPr>
        <w:t>月</w:t>
      </w:r>
      <w:r>
        <w:rPr>
          <w:rFonts w:hint="eastAsia"/>
        </w:rPr>
        <w:t>1</w:t>
      </w:r>
      <w:r>
        <w:rPr>
          <w:rFonts w:hint="eastAsia"/>
        </w:rPr>
        <w:t>日起施行新收入准则。公司自规定之日起开始执行。</w:t>
      </w:r>
    </w:p>
    <w:p w14:paraId="7AB75C52" w14:textId="77777777" w:rsidR="004B0883" w:rsidRDefault="004B0883">
      <w:pPr>
        <w:pStyle w:val="005"/>
        <w:spacing w:before="120"/>
        <w:ind w:firstLine="480"/>
      </w:pPr>
      <w:r>
        <w:rPr>
          <w:rFonts w:hint="eastAsia"/>
        </w:rPr>
        <w:t>2018</w:t>
      </w:r>
      <w:r>
        <w:rPr>
          <w:rFonts w:hint="eastAsia"/>
        </w:rPr>
        <w:t>年</w:t>
      </w:r>
      <w:r>
        <w:rPr>
          <w:rFonts w:hint="eastAsia"/>
        </w:rPr>
        <w:t>12</w:t>
      </w:r>
      <w:r>
        <w:rPr>
          <w:rFonts w:hint="eastAsia"/>
        </w:rPr>
        <w:t>月，财政部修订发布了《企业会计准则第</w:t>
      </w:r>
      <w:r>
        <w:rPr>
          <w:rFonts w:hint="eastAsia"/>
        </w:rPr>
        <w:t>21</w:t>
      </w:r>
      <w:r>
        <w:rPr>
          <w:rFonts w:hint="eastAsia"/>
        </w:rPr>
        <w:t>号——租赁》，要求在境内外同时上市的企业以及在境外上市并采用国际财务报告准则或企业会计准则编制财务报表的企业，自</w:t>
      </w:r>
      <w:r>
        <w:rPr>
          <w:rFonts w:hint="eastAsia"/>
        </w:rPr>
        <w:t>2019</w:t>
      </w:r>
      <w:r>
        <w:rPr>
          <w:rFonts w:hint="eastAsia"/>
        </w:rPr>
        <w:t>年</w:t>
      </w:r>
      <w:r>
        <w:rPr>
          <w:rFonts w:hint="eastAsia"/>
        </w:rPr>
        <w:t>1</w:t>
      </w:r>
      <w:r>
        <w:rPr>
          <w:rFonts w:hint="eastAsia"/>
        </w:rPr>
        <w:t>月</w:t>
      </w:r>
      <w:r>
        <w:rPr>
          <w:rFonts w:hint="eastAsia"/>
        </w:rPr>
        <w:t>1</w:t>
      </w:r>
      <w:r>
        <w:rPr>
          <w:rFonts w:hint="eastAsia"/>
        </w:rPr>
        <w:t>日起施行；其他执行企业会计准则的企业自</w:t>
      </w:r>
      <w:r>
        <w:rPr>
          <w:rFonts w:hint="eastAsia"/>
        </w:rPr>
        <w:t>2021</w:t>
      </w:r>
      <w:r>
        <w:rPr>
          <w:rFonts w:hint="eastAsia"/>
        </w:rPr>
        <w:t>年</w:t>
      </w:r>
      <w:r>
        <w:rPr>
          <w:rFonts w:hint="eastAsia"/>
        </w:rPr>
        <w:t>1</w:t>
      </w:r>
      <w:r>
        <w:rPr>
          <w:rFonts w:hint="eastAsia"/>
        </w:rPr>
        <w:t>月</w:t>
      </w:r>
      <w:r>
        <w:rPr>
          <w:rFonts w:hint="eastAsia"/>
        </w:rPr>
        <w:t>1</w:t>
      </w:r>
      <w:r>
        <w:rPr>
          <w:rFonts w:hint="eastAsia"/>
        </w:rPr>
        <w:t>日起施行。公司于</w:t>
      </w:r>
      <w:r>
        <w:rPr>
          <w:rFonts w:hint="eastAsia"/>
        </w:rPr>
        <w:t>2021</w:t>
      </w:r>
      <w:r>
        <w:rPr>
          <w:rFonts w:hint="eastAsia"/>
        </w:rPr>
        <w:t>年</w:t>
      </w:r>
      <w:r>
        <w:rPr>
          <w:rFonts w:hint="eastAsia"/>
        </w:rPr>
        <w:t>1</w:t>
      </w:r>
      <w:r>
        <w:rPr>
          <w:rFonts w:hint="eastAsia"/>
        </w:rPr>
        <w:t>月</w:t>
      </w:r>
      <w:r>
        <w:rPr>
          <w:rFonts w:hint="eastAsia"/>
        </w:rPr>
        <w:t>1</w:t>
      </w:r>
      <w:r>
        <w:rPr>
          <w:rFonts w:hint="eastAsia"/>
        </w:rPr>
        <w:t>日起执行新的租赁准则。</w:t>
      </w:r>
    </w:p>
    <w:p w14:paraId="675DA68E" w14:textId="77777777" w:rsidR="004B0883" w:rsidRDefault="004B0883">
      <w:pPr>
        <w:pStyle w:val="005"/>
        <w:spacing w:before="120"/>
        <w:ind w:firstLine="480"/>
      </w:pPr>
      <w:r>
        <w:rPr>
          <w:rFonts w:hint="eastAsia"/>
        </w:rPr>
        <w:t>2021</w:t>
      </w:r>
      <w:r>
        <w:rPr>
          <w:rFonts w:hint="eastAsia"/>
        </w:rPr>
        <w:t>年</w:t>
      </w:r>
      <w:r>
        <w:rPr>
          <w:rFonts w:hint="eastAsia"/>
        </w:rPr>
        <w:t>12</w:t>
      </w:r>
      <w:r>
        <w:rPr>
          <w:rFonts w:hint="eastAsia"/>
        </w:rPr>
        <w:t>月，财政部发布了《企业会计准则解释第</w:t>
      </w:r>
      <w:r>
        <w:rPr>
          <w:rFonts w:hint="eastAsia"/>
        </w:rPr>
        <w:t>15</w:t>
      </w:r>
      <w:r>
        <w:rPr>
          <w:rFonts w:hint="eastAsia"/>
        </w:rPr>
        <w:t>号》（财会〔</w:t>
      </w:r>
      <w:r>
        <w:rPr>
          <w:rFonts w:hint="eastAsia"/>
        </w:rPr>
        <w:t>2021</w:t>
      </w:r>
      <w:r>
        <w:rPr>
          <w:rFonts w:hint="eastAsia"/>
        </w:rPr>
        <w:t>〕</w:t>
      </w:r>
      <w:r>
        <w:rPr>
          <w:rFonts w:hint="eastAsia"/>
        </w:rPr>
        <w:t>35</w:t>
      </w:r>
      <w:r>
        <w:rPr>
          <w:rFonts w:hint="eastAsia"/>
        </w:rPr>
        <w:t>号），要求</w:t>
      </w:r>
      <w:r>
        <w:rPr>
          <w:rFonts w:ascii="宋体" w:hAnsi="宋体" w:hint="eastAsia"/>
        </w:rPr>
        <w:t>“</w:t>
      </w:r>
      <w:r>
        <w:rPr>
          <w:rFonts w:hint="eastAsia"/>
        </w:rPr>
        <w:t>关于企业将固定资产达到预定可使用状态前或者研发过程中产出的产品或副产品对外销售的会计处理</w:t>
      </w:r>
      <w:r>
        <w:rPr>
          <w:rFonts w:ascii="宋体" w:hAnsi="宋体" w:hint="eastAsia"/>
        </w:rPr>
        <w:t>”</w:t>
      </w:r>
      <w:r>
        <w:rPr>
          <w:rFonts w:hint="eastAsia"/>
        </w:rPr>
        <w:t>、</w:t>
      </w:r>
      <w:r>
        <w:rPr>
          <w:rFonts w:ascii="宋体" w:hAnsi="宋体" w:hint="eastAsia"/>
        </w:rPr>
        <w:t>“</w:t>
      </w:r>
      <w:r>
        <w:rPr>
          <w:rFonts w:hint="eastAsia"/>
        </w:rPr>
        <w:t>关于亏损合同的判断</w:t>
      </w:r>
      <w:r>
        <w:rPr>
          <w:rFonts w:ascii="宋体" w:hAnsi="宋体" w:hint="eastAsia"/>
        </w:rPr>
        <w:t>”</w:t>
      </w:r>
      <w:r>
        <w:rPr>
          <w:rFonts w:hint="eastAsia"/>
        </w:rPr>
        <w:t>内容自</w:t>
      </w:r>
      <w:r>
        <w:rPr>
          <w:rFonts w:hint="eastAsia"/>
        </w:rPr>
        <w:t>2022</w:t>
      </w:r>
      <w:r>
        <w:rPr>
          <w:rFonts w:hint="eastAsia"/>
        </w:rPr>
        <w:t>年</w:t>
      </w:r>
      <w:r>
        <w:rPr>
          <w:rFonts w:hint="eastAsia"/>
        </w:rPr>
        <w:t>1</w:t>
      </w:r>
      <w:r>
        <w:rPr>
          <w:rFonts w:hint="eastAsia"/>
        </w:rPr>
        <w:t>月</w:t>
      </w:r>
      <w:r>
        <w:rPr>
          <w:rFonts w:hint="eastAsia"/>
        </w:rPr>
        <w:t>1</w:t>
      </w:r>
      <w:r>
        <w:rPr>
          <w:rFonts w:hint="eastAsia"/>
        </w:rPr>
        <w:t>日起施行。</w:t>
      </w:r>
    </w:p>
    <w:p w14:paraId="0ECB7DAA" w14:textId="77777777" w:rsidR="004B0883" w:rsidRDefault="004B0883">
      <w:pPr>
        <w:pStyle w:val="005"/>
        <w:spacing w:before="120"/>
        <w:ind w:firstLine="480"/>
      </w:pPr>
      <w:r>
        <w:rPr>
          <w:rFonts w:hint="eastAsia"/>
        </w:rPr>
        <w:t>2022</w:t>
      </w:r>
      <w:r>
        <w:rPr>
          <w:rFonts w:hint="eastAsia"/>
        </w:rPr>
        <w:t>年</w:t>
      </w:r>
      <w:r>
        <w:rPr>
          <w:rFonts w:hint="eastAsia"/>
        </w:rPr>
        <w:t>12</w:t>
      </w:r>
      <w:r>
        <w:rPr>
          <w:rFonts w:hint="eastAsia"/>
        </w:rPr>
        <w:t>月</w:t>
      </w:r>
      <w:r>
        <w:rPr>
          <w:rFonts w:hint="eastAsia"/>
        </w:rPr>
        <w:t>3</w:t>
      </w:r>
      <w:r>
        <w:t>1</w:t>
      </w:r>
      <w:r>
        <w:rPr>
          <w:rFonts w:hint="eastAsia"/>
        </w:rPr>
        <w:t>日，财政部发布了《企业会计准则解释第</w:t>
      </w:r>
      <w:r>
        <w:rPr>
          <w:rFonts w:hint="eastAsia"/>
        </w:rPr>
        <w:t>16</w:t>
      </w:r>
      <w:r>
        <w:rPr>
          <w:rFonts w:hint="eastAsia"/>
        </w:rPr>
        <w:t>号》（财会〔</w:t>
      </w:r>
      <w:r>
        <w:rPr>
          <w:rFonts w:hint="eastAsia"/>
        </w:rPr>
        <w:t>2022</w:t>
      </w:r>
      <w:r>
        <w:rPr>
          <w:rFonts w:hint="eastAsia"/>
        </w:rPr>
        <w:t>〕</w:t>
      </w:r>
      <w:r>
        <w:rPr>
          <w:rFonts w:hint="eastAsia"/>
        </w:rPr>
        <w:t>31</w:t>
      </w:r>
      <w:r>
        <w:rPr>
          <w:rFonts w:hint="eastAsia"/>
        </w:rPr>
        <w:t>号），要求</w:t>
      </w:r>
      <w:r>
        <w:rPr>
          <w:rFonts w:ascii="宋体" w:hAnsi="宋体" w:hint="eastAsia"/>
        </w:rPr>
        <w:t>“</w:t>
      </w:r>
      <w:r>
        <w:rPr>
          <w:rFonts w:hint="eastAsia"/>
        </w:rPr>
        <w:t>关于发行方分类为权益工具的金融工具相关股利的所得税影响的会计处理</w:t>
      </w:r>
      <w:r>
        <w:rPr>
          <w:rFonts w:ascii="宋体" w:hAnsi="宋体" w:hint="eastAsia"/>
        </w:rPr>
        <w:t>”</w:t>
      </w:r>
      <w:r>
        <w:rPr>
          <w:rFonts w:hint="eastAsia"/>
        </w:rPr>
        <w:t>、</w:t>
      </w:r>
      <w:r>
        <w:rPr>
          <w:rFonts w:ascii="宋体" w:hAnsi="宋体" w:hint="eastAsia"/>
        </w:rPr>
        <w:t>“</w:t>
      </w:r>
      <w:r>
        <w:rPr>
          <w:rFonts w:hint="eastAsia"/>
        </w:rPr>
        <w:t>关于企业将以现金结算的股份支付修改为以权益结算的股份支付的会计处理</w:t>
      </w:r>
      <w:r>
        <w:rPr>
          <w:rFonts w:ascii="宋体" w:hAnsi="宋体" w:hint="eastAsia"/>
        </w:rPr>
        <w:t>”</w:t>
      </w:r>
      <w:r>
        <w:rPr>
          <w:rFonts w:hint="eastAsia"/>
        </w:rPr>
        <w:t>内容自公布之日起施行。</w:t>
      </w:r>
      <w:r>
        <w:rPr>
          <w:rFonts w:ascii="宋体" w:hAnsi="宋体" w:hint="eastAsia"/>
        </w:rPr>
        <w:t>”</w:t>
      </w:r>
    </w:p>
    <w:p w14:paraId="2FA0A1B3" w14:textId="77777777" w:rsidR="004B0883" w:rsidRDefault="004B0883">
      <w:pPr>
        <w:pStyle w:val="003"/>
        <w:spacing w:before="120" w:after="120"/>
        <w:rPr>
          <w:rFonts w:hint="eastAsia"/>
        </w:rPr>
      </w:pPr>
      <w:r>
        <w:rPr>
          <w:rFonts w:hint="eastAsia"/>
        </w:rPr>
        <w:t>（二）会计估计变更情况</w:t>
      </w:r>
    </w:p>
    <w:p w14:paraId="406819AF" w14:textId="77777777" w:rsidR="004B0883" w:rsidRDefault="004B0883">
      <w:pPr>
        <w:pStyle w:val="005"/>
        <w:spacing w:before="120"/>
        <w:ind w:firstLine="480"/>
        <w:rPr>
          <w:rFonts w:hint="eastAsia"/>
        </w:rPr>
      </w:pPr>
      <w:r>
        <w:rPr>
          <w:rFonts w:hint="eastAsia"/>
        </w:rPr>
        <w:t>报告期内，公司无会计估计重大变更情况。</w:t>
      </w:r>
    </w:p>
    <w:p w14:paraId="74AE1740" w14:textId="77777777" w:rsidR="004B0883" w:rsidRDefault="004B0883">
      <w:pPr>
        <w:pStyle w:val="003"/>
        <w:spacing w:before="120" w:after="120"/>
        <w:rPr>
          <w:rFonts w:hint="eastAsia"/>
        </w:rPr>
      </w:pPr>
      <w:r>
        <w:rPr>
          <w:rFonts w:hint="eastAsia"/>
        </w:rPr>
        <w:t>（三）前期会计差错更正情况</w:t>
      </w:r>
    </w:p>
    <w:p w14:paraId="55BEF9CB" w14:textId="77777777" w:rsidR="004B0883" w:rsidRDefault="004B0883">
      <w:pPr>
        <w:pStyle w:val="005"/>
        <w:spacing w:before="120"/>
        <w:ind w:firstLine="480"/>
        <w:rPr>
          <w:rFonts w:hint="eastAsia"/>
        </w:rPr>
      </w:pPr>
      <w:r>
        <w:rPr>
          <w:rFonts w:hint="eastAsia"/>
        </w:rPr>
        <w:t>报告期内，公司无重大会计差错更正。</w:t>
      </w:r>
    </w:p>
    <w:p w14:paraId="1A81D137" w14:textId="77777777" w:rsidR="004B0883" w:rsidRDefault="004B0883">
      <w:pPr>
        <w:pStyle w:val="002"/>
        <w:spacing w:before="120" w:after="120"/>
        <w:rPr>
          <w:rFonts w:hint="eastAsia"/>
        </w:rPr>
      </w:pPr>
      <w:bookmarkStart w:id="305" w:name="_Toc152320809"/>
      <w:r>
        <w:rPr>
          <w:rFonts w:hint="eastAsia"/>
        </w:rPr>
        <w:t>六、财务状况分析</w:t>
      </w:r>
      <w:bookmarkEnd w:id="305"/>
    </w:p>
    <w:p w14:paraId="0143F71D" w14:textId="77777777" w:rsidR="004B0883" w:rsidRDefault="004B0883">
      <w:pPr>
        <w:pStyle w:val="003"/>
        <w:spacing w:before="120" w:after="120"/>
        <w:rPr>
          <w:rFonts w:hint="eastAsia"/>
        </w:rPr>
      </w:pPr>
      <w:r>
        <w:rPr>
          <w:rFonts w:hint="eastAsia"/>
        </w:rPr>
        <w:t>（一）资产结构分析</w:t>
      </w:r>
    </w:p>
    <w:p w14:paraId="276BB5A1" w14:textId="77777777" w:rsidR="004B0883" w:rsidRDefault="004B0883">
      <w:pPr>
        <w:pStyle w:val="005"/>
        <w:spacing w:before="120"/>
        <w:ind w:firstLine="480"/>
      </w:pPr>
      <w:r>
        <w:rPr>
          <w:rFonts w:hint="eastAsia"/>
        </w:rPr>
        <w:t>报告期各期末，公司的资产构成及占比情况如下表所示：</w:t>
      </w:r>
    </w:p>
    <w:p w14:paraId="6A23ADC4" w14:textId="77777777" w:rsidR="004B0883" w:rsidRDefault="004B0883">
      <w:pPr>
        <w:pStyle w:val="009"/>
      </w:pPr>
      <w:r>
        <w:rPr>
          <w:rFonts w:hint="eastAsia"/>
        </w:rPr>
        <w:t>单位：万元</w:t>
      </w:r>
    </w:p>
    <w:tbl>
      <w:tblPr>
        <w:tblW w:w="10888"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376"/>
        <w:gridCol w:w="1276"/>
        <w:gridCol w:w="1134"/>
        <w:gridCol w:w="1276"/>
        <w:gridCol w:w="1134"/>
        <w:gridCol w:w="1275"/>
        <w:gridCol w:w="1134"/>
        <w:gridCol w:w="1276"/>
        <w:gridCol w:w="1007"/>
      </w:tblGrid>
      <w:tr w:rsidR="004B0883" w14:paraId="29678B14" w14:textId="77777777">
        <w:trPr>
          <w:trHeight w:val="397"/>
          <w:tblHeader/>
          <w:jc w:val="center"/>
        </w:trPr>
        <w:tc>
          <w:tcPr>
            <w:tcW w:w="1376" w:type="dxa"/>
            <w:vMerge w:val="restart"/>
            <w:shd w:val="clear" w:color="auto" w:fill="D9D9D9"/>
            <w:vAlign w:val="center"/>
          </w:tcPr>
          <w:p w14:paraId="75CE1A18" w14:textId="77777777" w:rsidR="004B0883" w:rsidRDefault="004B0883">
            <w:pPr>
              <w:adjustRightInd w:val="0"/>
              <w:snapToGrid w:val="0"/>
              <w:jc w:val="center"/>
              <w:rPr>
                <w:b/>
                <w:bCs/>
                <w:color w:val="000000"/>
                <w:kern w:val="0"/>
              </w:rPr>
            </w:pPr>
            <w:r>
              <w:rPr>
                <w:b/>
                <w:bCs/>
                <w:color w:val="000000"/>
                <w:kern w:val="0"/>
              </w:rPr>
              <w:t>项目</w:t>
            </w:r>
          </w:p>
        </w:tc>
        <w:tc>
          <w:tcPr>
            <w:tcW w:w="2410" w:type="dxa"/>
            <w:gridSpan w:val="2"/>
            <w:shd w:val="clear" w:color="auto" w:fill="D9D9D9"/>
            <w:vAlign w:val="center"/>
          </w:tcPr>
          <w:p w14:paraId="7ECC03CD" w14:textId="77777777" w:rsidR="004B0883" w:rsidRDefault="004B0883">
            <w:pPr>
              <w:adjustRightInd w:val="0"/>
              <w:snapToGrid w:val="0"/>
              <w:jc w:val="center"/>
              <w:rPr>
                <w:b/>
                <w:bCs/>
                <w:color w:val="000000"/>
                <w:kern w:val="0"/>
              </w:rPr>
            </w:pPr>
            <w:r>
              <w:rPr>
                <w:b/>
                <w:bCs/>
                <w:color w:val="000000"/>
                <w:kern w:val="0"/>
              </w:rPr>
              <w:t>2023.</w:t>
            </w:r>
            <w:r>
              <w:rPr>
                <w:rFonts w:hint="eastAsia"/>
                <w:b/>
                <w:bCs/>
                <w:color w:val="000000"/>
                <w:kern w:val="0"/>
              </w:rPr>
              <w:t>9</w:t>
            </w:r>
            <w:r>
              <w:rPr>
                <w:b/>
                <w:bCs/>
                <w:color w:val="000000"/>
                <w:kern w:val="0"/>
              </w:rPr>
              <w:t>.30</w:t>
            </w:r>
          </w:p>
        </w:tc>
        <w:tc>
          <w:tcPr>
            <w:tcW w:w="2410" w:type="dxa"/>
            <w:gridSpan w:val="2"/>
            <w:shd w:val="clear" w:color="auto" w:fill="D9D9D9"/>
            <w:vAlign w:val="center"/>
          </w:tcPr>
          <w:p w14:paraId="73BABDB0" w14:textId="77777777" w:rsidR="004B0883" w:rsidRDefault="004B0883">
            <w:pPr>
              <w:adjustRightInd w:val="0"/>
              <w:snapToGrid w:val="0"/>
              <w:jc w:val="center"/>
              <w:rPr>
                <w:b/>
                <w:bCs/>
                <w:color w:val="000000"/>
                <w:kern w:val="0"/>
              </w:rPr>
            </w:pPr>
            <w:r>
              <w:rPr>
                <w:b/>
                <w:bCs/>
                <w:color w:val="000000"/>
                <w:kern w:val="0"/>
              </w:rPr>
              <w:t>2022.12.31</w:t>
            </w:r>
          </w:p>
        </w:tc>
        <w:tc>
          <w:tcPr>
            <w:tcW w:w="2409" w:type="dxa"/>
            <w:gridSpan w:val="2"/>
            <w:shd w:val="clear" w:color="auto" w:fill="D9D9D9"/>
            <w:vAlign w:val="center"/>
          </w:tcPr>
          <w:p w14:paraId="5E0C10A2" w14:textId="77777777" w:rsidR="004B0883" w:rsidRDefault="004B0883">
            <w:pPr>
              <w:adjustRightInd w:val="0"/>
              <w:snapToGrid w:val="0"/>
              <w:jc w:val="center"/>
              <w:rPr>
                <w:b/>
                <w:bCs/>
                <w:color w:val="000000"/>
                <w:kern w:val="0"/>
              </w:rPr>
            </w:pPr>
            <w:r>
              <w:rPr>
                <w:b/>
                <w:bCs/>
                <w:color w:val="000000"/>
                <w:kern w:val="0"/>
              </w:rPr>
              <w:t>2021.12.31</w:t>
            </w:r>
          </w:p>
        </w:tc>
        <w:tc>
          <w:tcPr>
            <w:tcW w:w="2283" w:type="dxa"/>
            <w:gridSpan w:val="2"/>
            <w:shd w:val="clear" w:color="auto" w:fill="D9D9D9"/>
            <w:vAlign w:val="center"/>
          </w:tcPr>
          <w:p w14:paraId="0FE6EEE5" w14:textId="77777777" w:rsidR="004B0883" w:rsidRDefault="004B0883">
            <w:pPr>
              <w:adjustRightInd w:val="0"/>
              <w:snapToGrid w:val="0"/>
              <w:jc w:val="center"/>
              <w:rPr>
                <w:b/>
                <w:bCs/>
                <w:color w:val="000000"/>
                <w:kern w:val="0"/>
              </w:rPr>
            </w:pPr>
            <w:r>
              <w:rPr>
                <w:b/>
                <w:bCs/>
                <w:color w:val="000000"/>
                <w:kern w:val="0"/>
              </w:rPr>
              <w:t>2020.12.31</w:t>
            </w:r>
          </w:p>
        </w:tc>
      </w:tr>
      <w:tr w:rsidR="004B0883" w14:paraId="7DD4B33F" w14:textId="77777777">
        <w:trPr>
          <w:trHeight w:val="397"/>
          <w:tblHeader/>
          <w:jc w:val="center"/>
        </w:trPr>
        <w:tc>
          <w:tcPr>
            <w:tcW w:w="1376" w:type="dxa"/>
            <w:vMerge/>
            <w:shd w:val="clear" w:color="auto" w:fill="D9D9D9"/>
            <w:vAlign w:val="center"/>
          </w:tcPr>
          <w:p w14:paraId="044F4779" w14:textId="77777777" w:rsidR="004B0883" w:rsidRDefault="004B0883">
            <w:pPr>
              <w:adjustRightInd w:val="0"/>
              <w:snapToGrid w:val="0"/>
              <w:jc w:val="center"/>
              <w:rPr>
                <w:b/>
                <w:bCs/>
                <w:color w:val="000000"/>
                <w:kern w:val="0"/>
              </w:rPr>
            </w:pPr>
          </w:p>
        </w:tc>
        <w:tc>
          <w:tcPr>
            <w:tcW w:w="1276" w:type="dxa"/>
            <w:shd w:val="clear" w:color="auto" w:fill="D9D9D9"/>
            <w:vAlign w:val="center"/>
          </w:tcPr>
          <w:p w14:paraId="7075B230" w14:textId="77777777" w:rsidR="004B0883" w:rsidRDefault="004B0883">
            <w:pPr>
              <w:adjustRightInd w:val="0"/>
              <w:snapToGrid w:val="0"/>
              <w:jc w:val="center"/>
              <w:rPr>
                <w:b/>
                <w:bCs/>
                <w:color w:val="000000"/>
                <w:kern w:val="0"/>
              </w:rPr>
            </w:pPr>
            <w:r>
              <w:rPr>
                <w:b/>
                <w:bCs/>
                <w:color w:val="000000"/>
                <w:kern w:val="0"/>
              </w:rPr>
              <w:t>金额</w:t>
            </w:r>
          </w:p>
        </w:tc>
        <w:tc>
          <w:tcPr>
            <w:tcW w:w="1134" w:type="dxa"/>
            <w:shd w:val="clear" w:color="auto" w:fill="D9D9D9"/>
            <w:vAlign w:val="center"/>
          </w:tcPr>
          <w:p w14:paraId="6E41D558" w14:textId="77777777" w:rsidR="004B0883" w:rsidRDefault="004B0883">
            <w:pPr>
              <w:adjustRightInd w:val="0"/>
              <w:snapToGrid w:val="0"/>
              <w:jc w:val="center"/>
              <w:rPr>
                <w:b/>
                <w:bCs/>
                <w:color w:val="000000"/>
                <w:kern w:val="0"/>
              </w:rPr>
            </w:pPr>
            <w:r>
              <w:rPr>
                <w:b/>
                <w:bCs/>
                <w:color w:val="000000"/>
                <w:kern w:val="0"/>
              </w:rPr>
              <w:t>比例</w:t>
            </w:r>
          </w:p>
        </w:tc>
        <w:tc>
          <w:tcPr>
            <w:tcW w:w="1276" w:type="dxa"/>
            <w:shd w:val="clear" w:color="auto" w:fill="D9D9D9"/>
            <w:vAlign w:val="center"/>
          </w:tcPr>
          <w:p w14:paraId="6EA27F30" w14:textId="77777777" w:rsidR="004B0883" w:rsidRDefault="004B0883">
            <w:pPr>
              <w:adjustRightInd w:val="0"/>
              <w:snapToGrid w:val="0"/>
              <w:jc w:val="center"/>
              <w:rPr>
                <w:b/>
                <w:bCs/>
                <w:color w:val="000000"/>
                <w:kern w:val="0"/>
              </w:rPr>
            </w:pPr>
            <w:r>
              <w:rPr>
                <w:b/>
                <w:bCs/>
                <w:color w:val="000000"/>
                <w:kern w:val="0"/>
              </w:rPr>
              <w:t>金额</w:t>
            </w:r>
          </w:p>
        </w:tc>
        <w:tc>
          <w:tcPr>
            <w:tcW w:w="1134" w:type="dxa"/>
            <w:shd w:val="clear" w:color="auto" w:fill="D9D9D9"/>
            <w:vAlign w:val="center"/>
          </w:tcPr>
          <w:p w14:paraId="6AF635C4" w14:textId="77777777" w:rsidR="004B0883" w:rsidRDefault="004B0883">
            <w:pPr>
              <w:adjustRightInd w:val="0"/>
              <w:snapToGrid w:val="0"/>
              <w:jc w:val="center"/>
              <w:rPr>
                <w:b/>
                <w:bCs/>
                <w:color w:val="000000"/>
                <w:kern w:val="0"/>
              </w:rPr>
            </w:pPr>
            <w:r>
              <w:rPr>
                <w:b/>
                <w:bCs/>
                <w:color w:val="000000"/>
                <w:kern w:val="0"/>
              </w:rPr>
              <w:t>比例</w:t>
            </w:r>
          </w:p>
        </w:tc>
        <w:tc>
          <w:tcPr>
            <w:tcW w:w="1275" w:type="dxa"/>
            <w:shd w:val="clear" w:color="auto" w:fill="D9D9D9"/>
            <w:vAlign w:val="center"/>
          </w:tcPr>
          <w:p w14:paraId="02799E9C" w14:textId="77777777" w:rsidR="004B0883" w:rsidRDefault="004B0883">
            <w:pPr>
              <w:adjustRightInd w:val="0"/>
              <w:snapToGrid w:val="0"/>
              <w:jc w:val="center"/>
              <w:rPr>
                <w:b/>
                <w:bCs/>
                <w:color w:val="000000"/>
                <w:kern w:val="0"/>
              </w:rPr>
            </w:pPr>
            <w:r>
              <w:rPr>
                <w:b/>
                <w:bCs/>
                <w:color w:val="000000"/>
                <w:kern w:val="0"/>
              </w:rPr>
              <w:t>金额</w:t>
            </w:r>
          </w:p>
        </w:tc>
        <w:tc>
          <w:tcPr>
            <w:tcW w:w="1134" w:type="dxa"/>
            <w:shd w:val="clear" w:color="auto" w:fill="D9D9D9"/>
            <w:vAlign w:val="center"/>
          </w:tcPr>
          <w:p w14:paraId="0EC68AA3" w14:textId="77777777" w:rsidR="004B0883" w:rsidRDefault="004B0883">
            <w:pPr>
              <w:adjustRightInd w:val="0"/>
              <w:snapToGrid w:val="0"/>
              <w:jc w:val="center"/>
              <w:rPr>
                <w:b/>
                <w:bCs/>
                <w:color w:val="000000"/>
                <w:kern w:val="0"/>
              </w:rPr>
            </w:pPr>
            <w:r>
              <w:rPr>
                <w:b/>
                <w:bCs/>
                <w:color w:val="000000"/>
                <w:kern w:val="0"/>
              </w:rPr>
              <w:t>比例</w:t>
            </w:r>
          </w:p>
        </w:tc>
        <w:tc>
          <w:tcPr>
            <w:tcW w:w="1276" w:type="dxa"/>
            <w:shd w:val="clear" w:color="auto" w:fill="D9D9D9"/>
            <w:vAlign w:val="center"/>
          </w:tcPr>
          <w:p w14:paraId="71C13906" w14:textId="77777777" w:rsidR="004B0883" w:rsidRDefault="004B0883">
            <w:pPr>
              <w:adjustRightInd w:val="0"/>
              <w:snapToGrid w:val="0"/>
              <w:jc w:val="center"/>
              <w:rPr>
                <w:b/>
                <w:bCs/>
                <w:color w:val="000000"/>
                <w:kern w:val="0"/>
              </w:rPr>
            </w:pPr>
            <w:r>
              <w:rPr>
                <w:b/>
                <w:bCs/>
                <w:color w:val="000000"/>
                <w:kern w:val="0"/>
              </w:rPr>
              <w:t>金额</w:t>
            </w:r>
          </w:p>
        </w:tc>
        <w:tc>
          <w:tcPr>
            <w:tcW w:w="1007" w:type="dxa"/>
            <w:shd w:val="clear" w:color="auto" w:fill="D9D9D9"/>
            <w:vAlign w:val="center"/>
          </w:tcPr>
          <w:p w14:paraId="1CB599A9" w14:textId="77777777" w:rsidR="004B0883" w:rsidRDefault="004B0883">
            <w:pPr>
              <w:adjustRightInd w:val="0"/>
              <w:snapToGrid w:val="0"/>
              <w:jc w:val="center"/>
              <w:rPr>
                <w:b/>
                <w:bCs/>
                <w:color w:val="000000"/>
                <w:kern w:val="0"/>
              </w:rPr>
            </w:pPr>
            <w:r>
              <w:rPr>
                <w:b/>
                <w:bCs/>
                <w:color w:val="000000"/>
                <w:kern w:val="0"/>
              </w:rPr>
              <w:t>比例</w:t>
            </w:r>
          </w:p>
        </w:tc>
      </w:tr>
      <w:tr w:rsidR="004B0883" w14:paraId="1211DF78" w14:textId="77777777">
        <w:trPr>
          <w:trHeight w:val="397"/>
          <w:jc w:val="center"/>
        </w:trPr>
        <w:tc>
          <w:tcPr>
            <w:tcW w:w="1376" w:type="dxa"/>
            <w:vAlign w:val="center"/>
          </w:tcPr>
          <w:p w14:paraId="63ED6355" w14:textId="77777777" w:rsidR="004B0883" w:rsidRDefault="004B0883">
            <w:pPr>
              <w:adjustRightInd w:val="0"/>
              <w:snapToGrid w:val="0"/>
              <w:rPr>
                <w:color w:val="000000"/>
                <w:kern w:val="0"/>
              </w:rPr>
            </w:pPr>
            <w:r>
              <w:rPr>
                <w:color w:val="000000"/>
                <w:kern w:val="0"/>
              </w:rPr>
              <w:t>流动资产</w:t>
            </w:r>
          </w:p>
        </w:tc>
        <w:tc>
          <w:tcPr>
            <w:tcW w:w="1276" w:type="dxa"/>
            <w:vAlign w:val="center"/>
          </w:tcPr>
          <w:p w14:paraId="2508A001" w14:textId="77777777" w:rsidR="004B0883" w:rsidRDefault="004B0883">
            <w:pPr>
              <w:adjustRightInd w:val="0"/>
              <w:snapToGrid w:val="0"/>
              <w:jc w:val="right"/>
              <w:rPr>
                <w:color w:val="000000"/>
                <w:kern w:val="0"/>
              </w:rPr>
            </w:pPr>
            <w:r>
              <w:rPr>
                <w:color w:val="000000"/>
                <w:kern w:val="0"/>
              </w:rPr>
              <w:t>67,722.05</w:t>
            </w:r>
          </w:p>
        </w:tc>
        <w:tc>
          <w:tcPr>
            <w:tcW w:w="1134" w:type="dxa"/>
            <w:vAlign w:val="center"/>
          </w:tcPr>
          <w:p w14:paraId="56EEFDF6" w14:textId="77777777" w:rsidR="004B0883" w:rsidRDefault="004B0883">
            <w:pPr>
              <w:adjustRightInd w:val="0"/>
              <w:snapToGrid w:val="0"/>
              <w:jc w:val="right"/>
              <w:rPr>
                <w:color w:val="000000"/>
                <w:kern w:val="0"/>
              </w:rPr>
            </w:pPr>
            <w:r>
              <w:rPr>
                <w:color w:val="000000"/>
                <w:kern w:val="0"/>
              </w:rPr>
              <w:t>67.23%</w:t>
            </w:r>
          </w:p>
        </w:tc>
        <w:tc>
          <w:tcPr>
            <w:tcW w:w="1276" w:type="dxa"/>
            <w:vAlign w:val="center"/>
          </w:tcPr>
          <w:p w14:paraId="299197AB" w14:textId="77777777" w:rsidR="004B0883" w:rsidRDefault="004B0883">
            <w:pPr>
              <w:adjustRightInd w:val="0"/>
              <w:snapToGrid w:val="0"/>
              <w:jc w:val="right"/>
              <w:rPr>
                <w:color w:val="000000"/>
                <w:kern w:val="0"/>
              </w:rPr>
            </w:pPr>
            <w:r>
              <w:rPr>
                <w:color w:val="000000"/>
                <w:kern w:val="0"/>
              </w:rPr>
              <w:t>68,912.06</w:t>
            </w:r>
          </w:p>
        </w:tc>
        <w:tc>
          <w:tcPr>
            <w:tcW w:w="1134" w:type="dxa"/>
            <w:vAlign w:val="center"/>
          </w:tcPr>
          <w:p w14:paraId="517431AB" w14:textId="77777777" w:rsidR="004B0883" w:rsidRDefault="004B0883">
            <w:pPr>
              <w:adjustRightInd w:val="0"/>
              <w:snapToGrid w:val="0"/>
              <w:jc w:val="right"/>
              <w:rPr>
                <w:color w:val="000000"/>
                <w:kern w:val="0"/>
              </w:rPr>
            </w:pPr>
            <w:r>
              <w:rPr>
                <w:color w:val="000000"/>
                <w:kern w:val="0"/>
              </w:rPr>
              <w:t>69.33%</w:t>
            </w:r>
          </w:p>
        </w:tc>
        <w:tc>
          <w:tcPr>
            <w:tcW w:w="1275" w:type="dxa"/>
            <w:vAlign w:val="center"/>
          </w:tcPr>
          <w:p w14:paraId="71A24FF3" w14:textId="77777777" w:rsidR="004B0883" w:rsidRDefault="004B0883">
            <w:pPr>
              <w:adjustRightInd w:val="0"/>
              <w:snapToGrid w:val="0"/>
              <w:jc w:val="right"/>
              <w:rPr>
                <w:color w:val="000000"/>
                <w:kern w:val="0"/>
              </w:rPr>
            </w:pPr>
            <w:r>
              <w:rPr>
                <w:color w:val="000000"/>
                <w:kern w:val="0"/>
              </w:rPr>
              <w:t>57,924.35</w:t>
            </w:r>
          </w:p>
        </w:tc>
        <w:tc>
          <w:tcPr>
            <w:tcW w:w="1134" w:type="dxa"/>
            <w:vAlign w:val="center"/>
          </w:tcPr>
          <w:p w14:paraId="7AE20D84" w14:textId="77777777" w:rsidR="004B0883" w:rsidRDefault="004B0883">
            <w:pPr>
              <w:adjustRightInd w:val="0"/>
              <w:snapToGrid w:val="0"/>
              <w:jc w:val="right"/>
              <w:rPr>
                <w:color w:val="000000"/>
                <w:kern w:val="0"/>
              </w:rPr>
            </w:pPr>
            <w:r>
              <w:rPr>
                <w:color w:val="000000"/>
                <w:kern w:val="0"/>
              </w:rPr>
              <w:t>65.09%</w:t>
            </w:r>
          </w:p>
        </w:tc>
        <w:tc>
          <w:tcPr>
            <w:tcW w:w="1276" w:type="dxa"/>
            <w:vAlign w:val="center"/>
          </w:tcPr>
          <w:p w14:paraId="4D2D850D" w14:textId="77777777" w:rsidR="004B0883" w:rsidRDefault="004B0883">
            <w:pPr>
              <w:adjustRightInd w:val="0"/>
              <w:snapToGrid w:val="0"/>
              <w:jc w:val="right"/>
              <w:rPr>
                <w:color w:val="000000"/>
                <w:kern w:val="0"/>
              </w:rPr>
            </w:pPr>
            <w:r>
              <w:rPr>
                <w:color w:val="000000"/>
                <w:kern w:val="0"/>
              </w:rPr>
              <w:t>55,602.64</w:t>
            </w:r>
          </w:p>
        </w:tc>
        <w:tc>
          <w:tcPr>
            <w:tcW w:w="1007" w:type="dxa"/>
            <w:vAlign w:val="center"/>
          </w:tcPr>
          <w:p w14:paraId="6656268D" w14:textId="77777777" w:rsidR="004B0883" w:rsidRDefault="004B0883">
            <w:pPr>
              <w:adjustRightInd w:val="0"/>
              <w:snapToGrid w:val="0"/>
              <w:jc w:val="right"/>
              <w:rPr>
                <w:color w:val="000000"/>
                <w:kern w:val="0"/>
              </w:rPr>
            </w:pPr>
            <w:r>
              <w:rPr>
                <w:color w:val="000000"/>
                <w:kern w:val="0"/>
              </w:rPr>
              <w:t>63.94%</w:t>
            </w:r>
          </w:p>
        </w:tc>
      </w:tr>
      <w:tr w:rsidR="004B0883" w14:paraId="4C2F0ECF" w14:textId="77777777">
        <w:trPr>
          <w:trHeight w:val="397"/>
          <w:jc w:val="center"/>
        </w:trPr>
        <w:tc>
          <w:tcPr>
            <w:tcW w:w="1376" w:type="dxa"/>
            <w:vAlign w:val="center"/>
          </w:tcPr>
          <w:p w14:paraId="52B6B5D1" w14:textId="77777777" w:rsidR="004B0883" w:rsidRDefault="004B0883">
            <w:pPr>
              <w:adjustRightInd w:val="0"/>
              <w:snapToGrid w:val="0"/>
              <w:rPr>
                <w:color w:val="000000"/>
                <w:kern w:val="0"/>
              </w:rPr>
            </w:pPr>
            <w:r>
              <w:rPr>
                <w:color w:val="000000"/>
                <w:kern w:val="0"/>
              </w:rPr>
              <w:t>非流动资产</w:t>
            </w:r>
          </w:p>
        </w:tc>
        <w:tc>
          <w:tcPr>
            <w:tcW w:w="1276" w:type="dxa"/>
            <w:vAlign w:val="center"/>
          </w:tcPr>
          <w:p w14:paraId="4669E7BF" w14:textId="77777777" w:rsidR="004B0883" w:rsidRDefault="004B0883">
            <w:pPr>
              <w:adjustRightInd w:val="0"/>
              <w:snapToGrid w:val="0"/>
              <w:jc w:val="right"/>
              <w:rPr>
                <w:color w:val="000000"/>
                <w:kern w:val="0"/>
              </w:rPr>
            </w:pPr>
            <w:r>
              <w:rPr>
                <w:color w:val="000000"/>
                <w:kern w:val="0"/>
              </w:rPr>
              <w:t>33,011.46</w:t>
            </w:r>
          </w:p>
        </w:tc>
        <w:tc>
          <w:tcPr>
            <w:tcW w:w="1134" w:type="dxa"/>
            <w:vAlign w:val="center"/>
          </w:tcPr>
          <w:p w14:paraId="67EC558A" w14:textId="77777777" w:rsidR="004B0883" w:rsidRDefault="004B0883">
            <w:pPr>
              <w:adjustRightInd w:val="0"/>
              <w:snapToGrid w:val="0"/>
              <w:jc w:val="right"/>
              <w:rPr>
                <w:color w:val="000000"/>
                <w:kern w:val="0"/>
              </w:rPr>
            </w:pPr>
            <w:r>
              <w:rPr>
                <w:color w:val="000000"/>
                <w:kern w:val="0"/>
              </w:rPr>
              <w:t>32.77%</w:t>
            </w:r>
          </w:p>
        </w:tc>
        <w:tc>
          <w:tcPr>
            <w:tcW w:w="1276" w:type="dxa"/>
            <w:vAlign w:val="center"/>
          </w:tcPr>
          <w:p w14:paraId="709A7016" w14:textId="77777777" w:rsidR="004B0883" w:rsidRDefault="004B0883">
            <w:pPr>
              <w:adjustRightInd w:val="0"/>
              <w:snapToGrid w:val="0"/>
              <w:jc w:val="right"/>
              <w:rPr>
                <w:color w:val="000000"/>
                <w:kern w:val="0"/>
              </w:rPr>
            </w:pPr>
            <w:r>
              <w:rPr>
                <w:color w:val="000000"/>
                <w:kern w:val="0"/>
              </w:rPr>
              <w:t>30,484.66</w:t>
            </w:r>
          </w:p>
        </w:tc>
        <w:tc>
          <w:tcPr>
            <w:tcW w:w="1134" w:type="dxa"/>
            <w:vAlign w:val="center"/>
          </w:tcPr>
          <w:p w14:paraId="6FCAFDD7" w14:textId="77777777" w:rsidR="004B0883" w:rsidRDefault="004B0883">
            <w:pPr>
              <w:adjustRightInd w:val="0"/>
              <w:snapToGrid w:val="0"/>
              <w:jc w:val="right"/>
              <w:rPr>
                <w:color w:val="000000"/>
                <w:kern w:val="0"/>
              </w:rPr>
            </w:pPr>
            <w:r>
              <w:rPr>
                <w:color w:val="000000"/>
                <w:kern w:val="0"/>
              </w:rPr>
              <w:t>30.67%</w:t>
            </w:r>
          </w:p>
        </w:tc>
        <w:tc>
          <w:tcPr>
            <w:tcW w:w="1275" w:type="dxa"/>
            <w:vAlign w:val="center"/>
          </w:tcPr>
          <w:p w14:paraId="59791910" w14:textId="77777777" w:rsidR="004B0883" w:rsidRDefault="004B0883">
            <w:pPr>
              <w:adjustRightInd w:val="0"/>
              <w:snapToGrid w:val="0"/>
              <w:jc w:val="right"/>
              <w:rPr>
                <w:color w:val="000000"/>
                <w:kern w:val="0"/>
              </w:rPr>
            </w:pPr>
            <w:r>
              <w:rPr>
                <w:color w:val="000000"/>
                <w:kern w:val="0"/>
              </w:rPr>
              <w:t>31,063.70</w:t>
            </w:r>
          </w:p>
        </w:tc>
        <w:tc>
          <w:tcPr>
            <w:tcW w:w="1134" w:type="dxa"/>
            <w:vAlign w:val="center"/>
          </w:tcPr>
          <w:p w14:paraId="15C373AD" w14:textId="77777777" w:rsidR="004B0883" w:rsidRDefault="004B0883">
            <w:pPr>
              <w:adjustRightInd w:val="0"/>
              <w:snapToGrid w:val="0"/>
              <w:jc w:val="right"/>
              <w:rPr>
                <w:color w:val="000000"/>
                <w:kern w:val="0"/>
              </w:rPr>
            </w:pPr>
            <w:r>
              <w:rPr>
                <w:color w:val="000000"/>
                <w:kern w:val="0"/>
              </w:rPr>
              <w:t>34.91%</w:t>
            </w:r>
          </w:p>
        </w:tc>
        <w:tc>
          <w:tcPr>
            <w:tcW w:w="1276" w:type="dxa"/>
            <w:vAlign w:val="center"/>
          </w:tcPr>
          <w:p w14:paraId="063966CE" w14:textId="77777777" w:rsidR="004B0883" w:rsidRDefault="004B0883">
            <w:pPr>
              <w:adjustRightInd w:val="0"/>
              <w:snapToGrid w:val="0"/>
              <w:jc w:val="right"/>
              <w:rPr>
                <w:color w:val="000000"/>
                <w:kern w:val="0"/>
              </w:rPr>
            </w:pPr>
            <w:r>
              <w:rPr>
                <w:color w:val="000000"/>
                <w:kern w:val="0"/>
              </w:rPr>
              <w:t>31,363.85</w:t>
            </w:r>
          </w:p>
        </w:tc>
        <w:tc>
          <w:tcPr>
            <w:tcW w:w="1007" w:type="dxa"/>
            <w:vAlign w:val="center"/>
          </w:tcPr>
          <w:p w14:paraId="63298DBA" w14:textId="77777777" w:rsidR="004B0883" w:rsidRDefault="004B0883">
            <w:pPr>
              <w:adjustRightInd w:val="0"/>
              <w:snapToGrid w:val="0"/>
              <w:jc w:val="right"/>
              <w:rPr>
                <w:color w:val="000000"/>
                <w:kern w:val="0"/>
              </w:rPr>
            </w:pPr>
            <w:r>
              <w:rPr>
                <w:color w:val="000000"/>
                <w:kern w:val="0"/>
              </w:rPr>
              <w:t>36.06%</w:t>
            </w:r>
          </w:p>
        </w:tc>
      </w:tr>
      <w:tr w:rsidR="004B0883" w14:paraId="30BC3897" w14:textId="77777777">
        <w:trPr>
          <w:trHeight w:val="397"/>
          <w:jc w:val="center"/>
        </w:trPr>
        <w:tc>
          <w:tcPr>
            <w:tcW w:w="1376" w:type="dxa"/>
            <w:vAlign w:val="center"/>
          </w:tcPr>
          <w:p w14:paraId="4457E6CD" w14:textId="77777777" w:rsidR="004B0883" w:rsidRDefault="004B0883">
            <w:pPr>
              <w:adjustRightInd w:val="0"/>
              <w:snapToGrid w:val="0"/>
              <w:jc w:val="center"/>
              <w:rPr>
                <w:b/>
                <w:bCs/>
                <w:color w:val="000000"/>
                <w:kern w:val="0"/>
              </w:rPr>
            </w:pPr>
            <w:r>
              <w:rPr>
                <w:b/>
                <w:bCs/>
                <w:color w:val="000000"/>
                <w:kern w:val="0"/>
              </w:rPr>
              <w:t>资产总计</w:t>
            </w:r>
          </w:p>
        </w:tc>
        <w:tc>
          <w:tcPr>
            <w:tcW w:w="1276" w:type="dxa"/>
            <w:vAlign w:val="center"/>
          </w:tcPr>
          <w:p w14:paraId="7B3E2AE0" w14:textId="77777777" w:rsidR="004B0883" w:rsidRDefault="004B0883">
            <w:pPr>
              <w:adjustRightInd w:val="0"/>
              <w:snapToGrid w:val="0"/>
              <w:jc w:val="right"/>
              <w:rPr>
                <w:b/>
                <w:bCs/>
                <w:color w:val="000000"/>
                <w:kern w:val="0"/>
              </w:rPr>
            </w:pPr>
            <w:r>
              <w:rPr>
                <w:b/>
                <w:bCs/>
                <w:color w:val="000000"/>
                <w:kern w:val="0"/>
              </w:rPr>
              <w:t>100,733.51</w:t>
            </w:r>
          </w:p>
        </w:tc>
        <w:tc>
          <w:tcPr>
            <w:tcW w:w="1134" w:type="dxa"/>
            <w:vAlign w:val="center"/>
          </w:tcPr>
          <w:p w14:paraId="1AFFBC81" w14:textId="77777777" w:rsidR="004B0883" w:rsidRDefault="004B0883">
            <w:pPr>
              <w:adjustRightInd w:val="0"/>
              <w:snapToGrid w:val="0"/>
              <w:jc w:val="right"/>
              <w:rPr>
                <w:b/>
                <w:bCs/>
                <w:color w:val="000000"/>
                <w:kern w:val="0"/>
              </w:rPr>
            </w:pPr>
            <w:r>
              <w:rPr>
                <w:b/>
                <w:bCs/>
                <w:color w:val="000000"/>
                <w:kern w:val="0"/>
              </w:rPr>
              <w:t>100.00%</w:t>
            </w:r>
          </w:p>
        </w:tc>
        <w:tc>
          <w:tcPr>
            <w:tcW w:w="1276" w:type="dxa"/>
            <w:vAlign w:val="center"/>
          </w:tcPr>
          <w:p w14:paraId="5FEF4E58" w14:textId="77777777" w:rsidR="004B0883" w:rsidRDefault="004B0883">
            <w:pPr>
              <w:adjustRightInd w:val="0"/>
              <w:snapToGrid w:val="0"/>
              <w:jc w:val="right"/>
              <w:rPr>
                <w:b/>
                <w:bCs/>
                <w:color w:val="000000"/>
                <w:kern w:val="0"/>
              </w:rPr>
            </w:pPr>
            <w:r>
              <w:rPr>
                <w:b/>
                <w:bCs/>
                <w:color w:val="000000"/>
                <w:kern w:val="0"/>
              </w:rPr>
              <w:t>99,396.71</w:t>
            </w:r>
          </w:p>
        </w:tc>
        <w:tc>
          <w:tcPr>
            <w:tcW w:w="1134" w:type="dxa"/>
            <w:vAlign w:val="center"/>
          </w:tcPr>
          <w:p w14:paraId="7A9D699F" w14:textId="77777777" w:rsidR="004B0883" w:rsidRDefault="004B0883">
            <w:pPr>
              <w:adjustRightInd w:val="0"/>
              <w:snapToGrid w:val="0"/>
              <w:jc w:val="right"/>
              <w:rPr>
                <w:b/>
                <w:bCs/>
                <w:color w:val="000000"/>
                <w:kern w:val="0"/>
              </w:rPr>
            </w:pPr>
            <w:r>
              <w:rPr>
                <w:b/>
                <w:bCs/>
                <w:color w:val="000000"/>
                <w:kern w:val="0"/>
              </w:rPr>
              <w:t>100.00%</w:t>
            </w:r>
          </w:p>
        </w:tc>
        <w:tc>
          <w:tcPr>
            <w:tcW w:w="1275" w:type="dxa"/>
            <w:vAlign w:val="center"/>
          </w:tcPr>
          <w:p w14:paraId="03E9E8EF" w14:textId="77777777" w:rsidR="004B0883" w:rsidRDefault="004B0883">
            <w:pPr>
              <w:adjustRightInd w:val="0"/>
              <w:snapToGrid w:val="0"/>
              <w:jc w:val="right"/>
              <w:rPr>
                <w:b/>
                <w:bCs/>
                <w:color w:val="000000"/>
                <w:kern w:val="0"/>
              </w:rPr>
            </w:pPr>
            <w:r>
              <w:rPr>
                <w:b/>
                <w:bCs/>
                <w:color w:val="000000"/>
                <w:kern w:val="0"/>
              </w:rPr>
              <w:t>88,988.05</w:t>
            </w:r>
          </w:p>
        </w:tc>
        <w:tc>
          <w:tcPr>
            <w:tcW w:w="1134" w:type="dxa"/>
            <w:vAlign w:val="center"/>
          </w:tcPr>
          <w:p w14:paraId="3F99C927" w14:textId="77777777" w:rsidR="004B0883" w:rsidRDefault="004B0883">
            <w:pPr>
              <w:adjustRightInd w:val="0"/>
              <w:snapToGrid w:val="0"/>
              <w:jc w:val="right"/>
              <w:rPr>
                <w:b/>
                <w:bCs/>
                <w:color w:val="000000"/>
                <w:kern w:val="0"/>
              </w:rPr>
            </w:pPr>
            <w:r>
              <w:rPr>
                <w:b/>
                <w:bCs/>
                <w:color w:val="000000"/>
                <w:kern w:val="0"/>
              </w:rPr>
              <w:t>100.00%</w:t>
            </w:r>
          </w:p>
        </w:tc>
        <w:tc>
          <w:tcPr>
            <w:tcW w:w="1276" w:type="dxa"/>
            <w:vAlign w:val="center"/>
          </w:tcPr>
          <w:p w14:paraId="09C6BD14" w14:textId="77777777" w:rsidR="004B0883" w:rsidRDefault="004B0883">
            <w:pPr>
              <w:adjustRightInd w:val="0"/>
              <w:snapToGrid w:val="0"/>
              <w:jc w:val="right"/>
              <w:rPr>
                <w:b/>
                <w:bCs/>
                <w:color w:val="000000"/>
                <w:kern w:val="0"/>
              </w:rPr>
            </w:pPr>
            <w:r>
              <w:rPr>
                <w:b/>
                <w:bCs/>
                <w:color w:val="000000"/>
                <w:kern w:val="0"/>
              </w:rPr>
              <w:t>86,966.49</w:t>
            </w:r>
          </w:p>
        </w:tc>
        <w:tc>
          <w:tcPr>
            <w:tcW w:w="1007" w:type="dxa"/>
            <w:vAlign w:val="center"/>
          </w:tcPr>
          <w:p w14:paraId="28506EED" w14:textId="77777777" w:rsidR="004B0883" w:rsidRDefault="004B0883">
            <w:pPr>
              <w:adjustRightInd w:val="0"/>
              <w:snapToGrid w:val="0"/>
              <w:jc w:val="right"/>
              <w:rPr>
                <w:b/>
                <w:bCs/>
                <w:color w:val="000000"/>
                <w:kern w:val="0"/>
              </w:rPr>
            </w:pPr>
            <w:r>
              <w:rPr>
                <w:b/>
                <w:bCs/>
                <w:color w:val="000000"/>
                <w:kern w:val="0"/>
              </w:rPr>
              <w:t>100.00%</w:t>
            </w:r>
          </w:p>
        </w:tc>
      </w:tr>
    </w:tbl>
    <w:p w14:paraId="3FD3BF10"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报告期各期末，公司资产总额分别为</w:t>
      </w:r>
      <w:r>
        <w:rPr>
          <w:sz w:val="24"/>
          <w:szCs w:val="22"/>
        </w:rPr>
        <w:t>86,966.49</w:t>
      </w:r>
      <w:r>
        <w:rPr>
          <w:rFonts w:hint="eastAsia"/>
          <w:sz w:val="24"/>
          <w:szCs w:val="22"/>
        </w:rPr>
        <w:t>万元、</w:t>
      </w:r>
      <w:r>
        <w:rPr>
          <w:sz w:val="24"/>
          <w:szCs w:val="22"/>
        </w:rPr>
        <w:t>88,988.05</w:t>
      </w:r>
      <w:r>
        <w:rPr>
          <w:rFonts w:hint="eastAsia"/>
          <w:sz w:val="24"/>
          <w:szCs w:val="22"/>
        </w:rPr>
        <w:t>万元、</w:t>
      </w:r>
      <w:r>
        <w:rPr>
          <w:sz w:val="24"/>
          <w:szCs w:val="22"/>
        </w:rPr>
        <w:t>99,396.71</w:t>
      </w:r>
      <w:r>
        <w:rPr>
          <w:rFonts w:hint="eastAsia"/>
          <w:sz w:val="24"/>
          <w:szCs w:val="22"/>
        </w:rPr>
        <w:t>万元和</w:t>
      </w:r>
      <w:r>
        <w:rPr>
          <w:sz w:val="24"/>
          <w:szCs w:val="22"/>
        </w:rPr>
        <w:t>100,733.51</w:t>
      </w:r>
      <w:r>
        <w:rPr>
          <w:rFonts w:hint="eastAsia"/>
          <w:sz w:val="24"/>
          <w:szCs w:val="22"/>
        </w:rPr>
        <w:t>万元，呈整体增长趋势。</w:t>
      </w:r>
    </w:p>
    <w:p w14:paraId="3955AA38"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公司流动资产以货币资金、交易性金融资产、应收账款、存货及其他流动资产为主。报告期各期末，公司流动资产分别为</w:t>
      </w:r>
      <w:r>
        <w:rPr>
          <w:sz w:val="24"/>
          <w:szCs w:val="22"/>
        </w:rPr>
        <w:t>55,602.64</w:t>
      </w:r>
      <w:r>
        <w:rPr>
          <w:rFonts w:hint="eastAsia"/>
          <w:sz w:val="24"/>
          <w:szCs w:val="22"/>
        </w:rPr>
        <w:t>万元、</w:t>
      </w:r>
      <w:r>
        <w:rPr>
          <w:sz w:val="24"/>
          <w:szCs w:val="22"/>
        </w:rPr>
        <w:t>57,924.35</w:t>
      </w:r>
      <w:r>
        <w:rPr>
          <w:rFonts w:hint="eastAsia"/>
          <w:sz w:val="24"/>
          <w:szCs w:val="22"/>
        </w:rPr>
        <w:t>万元、</w:t>
      </w:r>
      <w:r>
        <w:rPr>
          <w:sz w:val="24"/>
          <w:szCs w:val="22"/>
        </w:rPr>
        <w:t>68,912.06</w:t>
      </w:r>
      <w:r>
        <w:rPr>
          <w:rFonts w:hint="eastAsia"/>
          <w:sz w:val="24"/>
          <w:szCs w:val="22"/>
        </w:rPr>
        <w:t>万元和</w:t>
      </w:r>
      <w:r>
        <w:rPr>
          <w:sz w:val="24"/>
          <w:szCs w:val="22"/>
        </w:rPr>
        <w:t>67,722.05</w:t>
      </w:r>
      <w:r>
        <w:rPr>
          <w:rFonts w:hint="eastAsia"/>
          <w:sz w:val="24"/>
          <w:szCs w:val="22"/>
        </w:rPr>
        <w:t>万元，占总资产的比例分别为</w:t>
      </w:r>
      <w:r>
        <w:rPr>
          <w:sz w:val="24"/>
          <w:szCs w:val="22"/>
        </w:rPr>
        <w:t>63.94%</w:t>
      </w:r>
      <w:r>
        <w:rPr>
          <w:rFonts w:hint="eastAsia"/>
          <w:sz w:val="24"/>
          <w:szCs w:val="22"/>
        </w:rPr>
        <w:t>、</w:t>
      </w:r>
      <w:r>
        <w:rPr>
          <w:sz w:val="24"/>
          <w:szCs w:val="22"/>
        </w:rPr>
        <w:t>65.09%</w:t>
      </w:r>
      <w:r>
        <w:rPr>
          <w:rFonts w:hint="eastAsia"/>
          <w:sz w:val="24"/>
          <w:szCs w:val="22"/>
        </w:rPr>
        <w:t>、</w:t>
      </w:r>
      <w:r>
        <w:rPr>
          <w:sz w:val="24"/>
          <w:szCs w:val="22"/>
        </w:rPr>
        <w:t>69.33%</w:t>
      </w:r>
      <w:r>
        <w:rPr>
          <w:rFonts w:hint="eastAsia"/>
          <w:sz w:val="24"/>
          <w:szCs w:val="22"/>
        </w:rPr>
        <w:t>和</w:t>
      </w:r>
      <w:r>
        <w:rPr>
          <w:sz w:val="24"/>
          <w:szCs w:val="22"/>
        </w:rPr>
        <w:t>6</w:t>
      </w:r>
      <w:r>
        <w:rPr>
          <w:rFonts w:hint="eastAsia"/>
          <w:sz w:val="24"/>
          <w:szCs w:val="22"/>
        </w:rPr>
        <w:t>7.23</w:t>
      </w:r>
      <w:r>
        <w:rPr>
          <w:sz w:val="24"/>
          <w:szCs w:val="22"/>
        </w:rPr>
        <w:t>%</w:t>
      </w:r>
      <w:r>
        <w:rPr>
          <w:rFonts w:hint="eastAsia"/>
          <w:sz w:val="24"/>
          <w:szCs w:val="22"/>
        </w:rPr>
        <w:t>。报告期内公司流动资产整体保持相对平稳。</w:t>
      </w:r>
    </w:p>
    <w:p w14:paraId="26700548" w14:textId="77777777" w:rsidR="004B0883" w:rsidRDefault="004B0883">
      <w:pPr>
        <w:pStyle w:val="005"/>
        <w:spacing w:before="120"/>
        <w:ind w:firstLine="480"/>
      </w:pPr>
      <w:r>
        <w:rPr>
          <w:rFonts w:hint="eastAsia"/>
          <w:szCs w:val="24"/>
        </w:rPr>
        <w:t>公司非流动资产以固定资产和无形资产为主。报告期各期末，公司非流动资产合计分别为</w:t>
      </w:r>
      <w:r>
        <w:rPr>
          <w:szCs w:val="24"/>
        </w:rPr>
        <w:t>31,363.85</w:t>
      </w:r>
      <w:r>
        <w:rPr>
          <w:rFonts w:hint="eastAsia"/>
          <w:szCs w:val="24"/>
        </w:rPr>
        <w:t>万元、</w:t>
      </w:r>
      <w:r>
        <w:rPr>
          <w:szCs w:val="24"/>
        </w:rPr>
        <w:t>31,063.70</w:t>
      </w:r>
      <w:r>
        <w:rPr>
          <w:rFonts w:hint="eastAsia"/>
          <w:szCs w:val="24"/>
        </w:rPr>
        <w:t>万元、</w:t>
      </w:r>
      <w:r>
        <w:rPr>
          <w:szCs w:val="24"/>
        </w:rPr>
        <w:t>30,484.66</w:t>
      </w:r>
      <w:r>
        <w:rPr>
          <w:rFonts w:hint="eastAsia"/>
          <w:szCs w:val="24"/>
        </w:rPr>
        <w:t>万元和</w:t>
      </w:r>
      <w:r>
        <w:rPr>
          <w:szCs w:val="24"/>
        </w:rPr>
        <w:t>33,011.46</w:t>
      </w:r>
      <w:r>
        <w:rPr>
          <w:rFonts w:hint="eastAsia"/>
          <w:szCs w:val="24"/>
        </w:rPr>
        <w:t>万元，占总资产的比例分别为</w:t>
      </w:r>
      <w:r>
        <w:rPr>
          <w:szCs w:val="24"/>
        </w:rPr>
        <w:t>36.06%</w:t>
      </w:r>
      <w:r>
        <w:rPr>
          <w:rFonts w:hint="eastAsia"/>
          <w:szCs w:val="24"/>
        </w:rPr>
        <w:t>、</w:t>
      </w:r>
      <w:r>
        <w:rPr>
          <w:szCs w:val="24"/>
        </w:rPr>
        <w:t>34.91%</w:t>
      </w:r>
      <w:r>
        <w:rPr>
          <w:rFonts w:hint="eastAsia"/>
          <w:szCs w:val="24"/>
        </w:rPr>
        <w:t>、</w:t>
      </w:r>
      <w:r>
        <w:rPr>
          <w:szCs w:val="24"/>
        </w:rPr>
        <w:t>30.67%</w:t>
      </w:r>
      <w:r>
        <w:rPr>
          <w:rFonts w:hint="eastAsia"/>
          <w:szCs w:val="24"/>
        </w:rPr>
        <w:t>和</w:t>
      </w:r>
      <w:r>
        <w:rPr>
          <w:szCs w:val="24"/>
        </w:rPr>
        <w:t>3</w:t>
      </w:r>
      <w:r>
        <w:rPr>
          <w:rFonts w:hint="eastAsia"/>
          <w:szCs w:val="24"/>
        </w:rPr>
        <w:t>2.77</w:t>
      </w:r>
      <w:r>
        <w:rPr>
          <w:szCs w:val="24"/>
        </w:rPr>
        <w:t>%</w:t>
      </w:r>
      <w:r>
        <w:rPr>
          <w:rFonts w:hint="eastAsia"/>
          <w:szCs w:val="24"/>
        </w:rPr>
        <w:t>。报告期内，公司非流动资产金额保持总体稳定，</w:t>
      </w:r>
      <w:r>
        <w:rPr>
          <w:rFonts w:hint="eastAsia"/>
          <w:szCs w:val="24"/>
        </w:rPr>
        <w:t>2</w:t>
      </w:r>
      <w:r>
        <w:rPr>
          <w:szCs w:val="24"/>
        </w:rPr>
        <w:t>023</w:t>
      </w:r>
      <w:r>
        <w:rPr>
          <w:rFonts w:hint="eastAsia"/>
          <w:szCs w:val="24"/>
        </w:rPr>
        <w:t>年</w:t>
      </w:r>
      <w:r>
        <w:rPr>
          <w:rFonts w:hint="eastAsia"/>
          <w:szCs w:val="24"/>
        </w:rPr>
        <w:t>9</w:t>
      </w:r>
      <w:r>
        <w:rPr>
          <w:rFonts w:hint="eastAsia"/>
          <w:szCs w:val="24"/>
        </w:rPr>
        <w:t>月末非流动资产增加主要系新建厂房所致</w:t>
      </w:r>
      <w:r>
        <w:rPr>
          <w:rFonts w:hint="eastAsia"/>
        </w:rPr>
        <w:t>。</w:t>
      </w:r>
    </w:p>
    <w:p w14:paraId="328753F4" w14:textId="77777777" w:rsidR="004B0883" w:rsidRDefault="004B0883">
      <w:pPr>
        <w:keepNext/>
        <w:keepLines/>
        <w:widowControl w:val="0"/>
        <w:spacing w:beforeLines="50" w:before="120" w:line="360" w:lineRule="auto"/>
        <w:ind w:firstLineChars="200" w:firstLine="482"/>
        <w:jc w:val="both"/>
        <w:outlineLvl w:val="3"/>
        <w:rPr>
          <w:b/>
          <w:bCs/>
          <w:sz w:val="24"/>
          <w:szCs w:val="28"/>
        </w:rPr>
      </w:pPr>
      <w:r>
        <w:rPr>
          <w:b/>
          <w:bCs/>
          <w:sz w:val="24"/>
          <w:szCs w:val="28"/>
        </w:rPr>
        <w:t>1</w:t>
      </w:r>
      <w:r>
        <w:rPr>
          <w:rFonts w:hint="eastAsia"/>
          <w:b/>
          <w:bCs/>
          <w:sz w:val="24"/>
          <w:szCs w:val="28"/>
        </w:rPr>
        <w:t>、流动资产结构分析</w:t>
      </w:r>
    </w:p>
    <w:p w14:paraId="0CAC8558" w14:textId="77777777" w:rsidR="004B0883" w:rsidRDefault="004B0883">
      <w:pPr>
        <w:pStyle w:val="009"/>
        <w:spacing w:beforeLines="50" w:before="120" w:line="360" w:lineRule="auto"/>
        <w:jc w:val="left"/>
        <w:rPr>
          <w:sz w:val="24"/>
        </w:rPr>
      </w:pPr>
      <w:r>
        <w:rPr>
          <w:rFonts w:hint="eastAsia"/>
          <w:sz w:val="24"/>
        </w:rPr>
        <w:t>报告期各期末，公司流动资产构成及占比情况如下：</w:t>
      </w:r>
      <w:bookmarkStart w:id="306" w:name="_Hlk57159803"/>
    </w:p>
    <w:p w14:paraId="5184424E" w14:textId="77777777" w:rsidR="004B0883" w:rsidRDefault="004B0883">
      <w:pPr>
        <w:pStyle w:val="009"/>
      </w:pPr>
      <w:r>
        <w:rPr>
          <w:rFonts w:hint="eastAsia"/>
        </w:rPr>
        <w:t>单位：万元</w:t>
      </w:r>
    </w:p>
    <w:tbl>
      <w:tblPr>
        <w:tblW w:w="11376"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293"/>
        <w:gridCol w:w="1260"/>
        <w:gridCol w:w="1260"/>
        <w:gridCol w:w="1261"/>
        <w:gridCol w:w="1260"/>
        <w:gridCol w:w="1260"/>
        <w:gridCol w:w="1261"/>
        <w:gridCol w:w="1260"/>
        <w:gridCol w:w="1261"/>
      </w:tblGrid>
      <w:tr w:rsidR="004B0883" w14:paraId="03D80DD9" w14:textId="77777777">
        <w:trPr>
          <w:trHeight w:val="397"/>
          <w:tblHeader/>
          <w:jc w:val="center"/>
        </w:trPr>
        <w:tc>
          <w:tcPr>
            <w:tcW w:w="1293" w:type="dxa"/>
            <w:vMerge w:val="restart"/>
            <w:shd w:val="clear" w:color="auto" w:fill="D9D9D9"/>
            <w:vAlign w:val="center"/>
          </w:tcPr>
          <w:p w14:paraId="59F09329" w14:textId="77777777" w:rsidR="004B0883" w:rsidRDefault="004B0883">
            <w:pPr>
              <w:keepNext/>
              <w:adjustRightInd w:val="0"/>
              <w:snapToGrid w:val="0"/>
              <w:jc w:val="center"/>
              <w:rPr>
                <w:b/>
                <w:bCs/>
                <w:color w:val="000000"/>
                <w:kern w:val="0"/>
              </w:rPr>
            </w:pPr>
            <w:r>
              <w:rPr>
                <w:b/>
                <w:bCs/>
                <w:color w:val="000000"/>
                <w:kern w:val="0"/>
              </w:rPr>
              <w:t>项目</w:t>
            </w:r>
          </w:p>
        </w:tc>
        <w:tc>
          <w:tcPr>
            <w:tcW w:w="2520" w:type="dxa"/>
            <w:gridSpan w:val="2"/>
            <w:shd w:val="clear" w:color="auto" w:fill="D9D9D9"/>
            <w:vAlign w:val="center"/>
          </w:tcPr>
          <w:p w14:paraId="7D4A6A27" w14:textId="77777777" w:rsidR="004B0883" w:rsidRDefault="004B0883">
            <w:pPr>
              <w:keepNext/>
              <w:adjustRightInd w:val="0"/>
              <w:snapToGrid w:val="0"/>
              <w:jc w:val="center"/>
              <w:rPr>
                <w:b/>
                <w:bCs/>
                <w:color w:val="000000"/>
                <w:kern w:val="0"/>
              </w:rPr>
            </w:pPr>
            <w:r>
              <w:rPr>
                <w:b/>
                <w:bCs/>
                <w:color w:val="000000"/>
                <w:kern w:val="0"/>
              </w:rPr>
              <w:t>2023.</w:t>
            </w:r>
            <w:r>
              <w:rPr>
                <w:rFonts w:hint="eastAsia"/>
                <w:b/>
                <w:bCs/>
                <w:color w:val="000000"/>
                <w:kern w:val="0"/>
              </w:rPr>
              <w:t>9</w:t>
            </w:r>
            <w:r>
              <w:rPr>
                <w:b/>
                <w:bCs/>
                <w:color w:val="000000"/>
                <w:kern w:val="0"/>
              </w:rPr>
              <w:t>.30</w:t>
            </w:r>
          </w:p>
        </w:tc>
        <w:tc>
          <w:tcPr>
            <w:tcW w:w="2521" w:type="dxa"/>
            <w:gridSpan w:val="2"/>
            <w:shd w:val="clear" w:color="auto" w:fill="D9D9D9"/>
            <w:vAlign w:val="center"/>
          </w:tcPr>
          <w:p w14:paraId="2AD74757" w14:textId="77777777" w:rsidR="004B0883" w:rsidRDefault="004B0883">
            <w:pPr>
              <w:keepNext/>
              <w:adjustRightInd w:val="0"/>
              <w:snapToGrid w:val="0"/>
              <w:jc w:val="center"/>
              <w:rPr>
                <w:b/>
                <w:bCs/>
                <w:color w:val="000000"/>
                <w:kern w:val="0"/>
              </w:rPr>
            </w:pPr>
            <w:r>
              <w:rPr>
                <w:b/>
                <w:bCs/>
                <w:color w:val="000000"/>
                <w:kern w:val="0"/>
              </w:rPr>
              <w:t>2022.12.31</w:t>
            </w:r>
          </w:p>
        </w:tc>
        <w:tc>
          <w:tcPr>
            <w:tcW w:w="2521" w:type="dxa"/>
            <w:gridSpan w:val="2"/>
            <w:shd w:val="clear" w:color="auto" w:fill="D9D9D9"/>
            <w:vAlign w:val="center"/>
          </w:tcPr>
          <w:p w14:paraId="1FD8A11C" w14:textId="77777777" w:rsidR="004B0883" w:rsidRDefault="004B0883">
            <w:pPr>
              <w:keepNext/>
              <w:adjustRightInd w:val="0"/>
              <w:snapToGrid w:val="0"/>
              <w:jc w:val="center"/>
              <w:rPr>
                <w:b/>
                <w:bCs/>
                <w:color w:val="000000"/>
                <w:kern w:val="0"/>
              </w:rPr>
            </w:pPr>
            <w:r>
              <w:rPr>
                <w:b/>
                <w:bCs/>
                <w:color w:val="000000"/>
                <w:kern w:val="0"/>
              </w:rPr>
              <w:t>2021.12.31</w:t>
            </w:r>
          </w:p>
        </w:tc>
        <w:tc>
          <w:tcPr>
            <w:tcW w:w="2521" w:type="dxa"/>
            <w:gridSpan w:val="2"/>
            <w:shd w:val="clear" w:color="auto" w:fill="D9D9D9"/>
            <w:vAlign w:val="center"/>
          </w:tcPr>
          <w:p w14:paraId="54A9741B" w14:textId="77777777" w:rsidR="004B0883" w:rsidRDefault="004B0883">
            <w:pPr>
              <w:keepNext/>
              <w:adjustRightInd w:val="0"/>
              <w:snapToGrid w:val="0"/>
              <w:jc w:val="center"/>
              <w:rPr>
                <w:b/>
                <w:bCs/>
                <w:color w:val="000000"/>
                <w:kern w:val="0"/>
              </w:rPr>
            </w:pPr>
            <w:r>
              <w:rPr>
                <w:b/>
                <w:bCs/>
                <w:color w:val="000000"/>
                <w:kern w:val="0"/>
              </w:rPr>
              <w:t>2020.12.31</w:t>
            </w:r>
          </w:p>
        </w:tc>
      </w:tr>
      <w:tr w:rsidR="004B0883" w14:paraId="79334A43" w14:textId="77777777">
        <w:trPr>
          <w:trHeight w:val="397"/>
          <w:tblHeader/>
          <w:jc w:val="center"/>
        </w:trPr>
        <w:tc>
          <w:tcPr>
            <w:tcW w:w="1293" w:type="dxa"/>
            <w:vMerge/>
            <w:shd w:val="clear" w:color="auto" w:fill="D9D9D9"/>
            <w:vAlign w:val="center"/>
          </w:tcPr>
          <w:p w14:paraId="1297EFBD" w14:textId="77777777" w:rsidR="004B0883" w:rsidRDefault="004B0883">
            <w:pPr>
              <w:adjustRightInd w:val="0"/>
              <w:snapToGrid w:val="0"/>
              <w:jc w:val="center"/>
              <w:rPr>
                <w:b/>
                <w:bCs/>
                <w:color w:val="000000"/>
                <w:kern w:val="0"/>
              </w:rPr>
            </w:pPr>
          </w:p>
        </w:tc>
        <w:tc>
          <w:tcPr>
            <w:tcW w:w="1260" w:type="dxa"/>
            <w:shd w:val="clear" w:color="auto" w:fill="D9D9D9"/>
            <w:vAlign w:val="center"/>
          </w:tcPr>
          <w:p w14:paraId="69D4D816" w14:textId="77777777" w:rsidR="004B0883" w:rsidRDefault="004B0883">
            <w:pPr>
              <w:adjustRightInd w:val="0"/>
              <w:snapToGrid w:val="0"/>
              <w:jc w:val="center"/>
              <w:rPr>
                <w:b/>
                <w:bCs/>
                <w:color w:val="000000"/>
                <w:kern w:val="0"/>
              </w:rPr>
            </w:pPr>
            <w:r>
              <w:rPr>
                <w:b/>
                <w:bCs/>
                <w:color w:val="000000"/>
                <w:kern w:val="0"/>
              </w:rPr>
              <w:t>金额</w:t>
            </w:r>
          </w:p>
        </w:tc>
        <w:tc>
          <w:tcPr>
            <w:tcW w:w="1260" w:type="dxa"/>
            <w:shd w:val="clear" w:color="auto" w:fill="D9D9D9"/>
            <w:vAlign w:val="center"/>
          </w:tcPr>
          <w:p w14:paraId="2572A733" w14:textId="77777777" w:rsidR="004B0883" w:rsidRDefault="004B0883">
            <w:pPr>
              <w:adjustRightInd w:val="0"/>
              <w:snapToGrid w:val="0"/>
              <w:jc w:val="center"/>
              <w:rPr>
                <w:b/>
                <w:bCs/>
                <w:color w:val="000000"/>
                <w:kern w:val="0"/>
              </w:rPr>
            </w:pPr>
            <w:r>
              <w:rPr>
                <w:b/>
                <w:bCs/>
                <w:color w:val="000000"/>
                <w:kern w:val="0"/>
              </w:rPr>
              <w:t>比例</w:t>
            </w:r>
          </w:p>
        </w:tc>
        <w:tc>
          <w:tcPr>
            <w:tcW w:w="1261" w:type="dxa"/>
            <w:shd w:val="clear" w:color="auto" w:fill="D9D9D9"/>
            <w:vAlign w:val="center"/>
          </w:tcPr>
          <w:p w14:paraId="3A8515E3" w14:textId="77777777" w:rsidR="004B0883" w:rsidRDefault="004B0883">
            <w:pPr>
              <w:adjustRightInd w:val="0"/>
              <w:snapToGrid w:val="0"/>
              <w:jc w:val="center"/>
              <w:rPr>
                <w:b/>
                <w:bCs/>
                <w:color w:val="000000"/>
                <w:kern w:val="0"/>
              </w:rPr>
            </w:pPr>
            <w:r>
              <w:rPr>
                <w:b/>
                <w:bCs/>
                <w:color w:val="000000"/>
                <w:kern w:val="0"/>
              </w:rPr>
              <w:t>金额</w:t>
            </w:r>
          </w:p>
        </w:tc>
        <w:tc>
          <w:tcPr>
            <w:tcW w:w="1260" w:type="dxa"/>
            <w:shd w:val="clear" w:color="auto" w:fill="D9D9D9"/>
            <w:vAlign w:val="center"/>
          </w:tcPr>
          <w:p w14:paraId="1EA56E73" w14:textId="77777777" w:rsidR="004B0883" w:rsidRDefault="004B0883">
            <w:pPr>
              <w:adjustRightInd w:val="0"/>
              <w:snapToGrid w:val="0"/>
              <w:jc w:val="center"/>
              <w:rPr>
                <w:b/>
                <w:bCs/>
                <w:color w:val="000000"/>
                <w:kern w:val="0"/>
              </w:rPr>
            </w:pPr>
            <w:r>
              <w:rPr>
                <w:b/>
                <w:bCs/>
                <w:color w:val="000000"/>
                <w:kern w:val="0"/>
              </w:rPr>
              <w:t>比例</w:t>
            </w:r>
          </w:p>
        </w:tc>
        <w:tc>
          <w:tcPr>
            <w:tcW w:w="1260" w:type="dxa"/>
            <w:shd w:val="clear" w:color="auto" w:fill="D9D9D9"/>
            <w:vAlign w:val="center"/>
          </w:tcPr>
          <w:p w14:paraId="4B8AE21B" w14:textId="77777777" w:rsidR="004B0883" w:rsidRDefault="004B0883">
            <w:pPr>
              <w:adjustRightInd w:val="0"/>
              <w:snapToGrid w:val="0"/>
              <w:jc w:val="center"/>
              <w:rPr>
                <w:b/>
                <w:bCs/>
                <w:color w:val="000000"/>
                <w:kern w:val="0"/>
              </w:rPr>
            </w:pPr>
            <w:r>
              <w:rPr>
                <w:b/>
                <w:bCs/>
                <w:color w:val="000000"/>
                <w:kern w:val="0"/>
              </w:rPr>
              <w:t>金额</w:t>
            </w:r>
          </w:p>
        </w:tc>
        <w:tc>
          <w:tcPr>
            <w:tcW w:w="1261" w:type="dxa"/>
            <w:shd w:val="clear" w:color="auto" w:fill="D9D9D9"/>
            <w:vAlign w:val="center"/>
          </w:tcPr>
          <w:p w14:paraId="2A1105B8" w14:textId="77777777" w:rsidR="004B0883" w:rsidRDefault="004B0883">
            <w:pPr>
              <w:adjustRightInd w:val="0"/>
              <w:snapToGrid w:val="0"/>
              <w:jc w:val="center"/>
              <w:rPr>
                <w:b/>
                <w:bCs/>
                <w:color w:val="000000"/>
                <w:kern w:val="0"/>
              </w:rPr>
            </w:pPr>
            <w:r>
              <w:rPr>
                <w:b/>
                <w:bCs/>
                <w:color w:val="000000"/>
                <w:kern w:val="0"/>
              </w:rPr>
              <w:t>比例</w:t>
            </w:r>
          </w:p>
        </w:tc>
        <w:tc>
          <w:tcPr>
            <w:tcW w:w="1260" w:type="dxa"/>
            <w:shd w:val="clear" w:color="auto" w:fill="D9D9D9"/>
            <w:vAlign w:val="center"/>
          </w:tcPr>
          <w:p w14:paraId="6A152A80" w14:textId="77777777" w:rsidR="004B0883" w:rsidRDefault="004B0883">
            <w:pPr>
              <w:adjustRightInd w:val="0"/>
              <w:snapToGrid w:val="0"/>
              <w:jc w:val="center"/>
              <w:rPr>
                <w:b/>
                <w:bCs/>
                <w:color w:val="000000"/>
                <w:kern w:val="0"/>
              </w:rPr>
            </w:pPr>
            <w:r>
              <w:rPr>
                <w:b/>
                <w:bCs/>
                <w:color w:val="000000"/>
                <w:kern w:val="0"/>
              </w:rPr>
              <w:t>金额</w:t>
            </w:r>
          </w:p>
        </w:tc>
        <w:tc>
          <w:tcPr>
            <w:tcW w:w="1261" w:type="dxa"/>
            <w:shd w:val="clear" w:color="auto" w:fill="D9D9D9"/>
            <w:vAlign w:val="center"/>
          </w:tcPr>
          <w:p w14:paraId="490C555A" w14:textId="77777777" w:rsidR="004B0883" w:rsidRDefault="004B0883">
            <w:pPr>
              <w:adjustRightInd w:val="0"/>
              <w:snapToGrid w:val="0"/>
              <w:jc w:val="center"/>
              <w:rPr>
                <w:b/>
                <w:bCs/>
                <w:color w:val="000000"/>
                <w:kern w:val="0"/>
              </w:rPr>
            </w:pPr>
            <w:r>
              <w:rPr>
                <w:b/>
                <w:bCs/>
                <w:color w:val="000000"/>
                <w:kern w:val="0"/>
              </w:rPr>
              <w:t>比例</w:t>
            </w:r>
          </w:p>
        </w:tc>
      </w:tr>
      <w:tr w:rsidR="004B0883" w14:paraId="60D90890" w14:textId="77777777">
        <w:trPr>
          <w:trHeight w:val="397"/>
          <w:jc w:val="center"/>
        </w:trPr>
        <w:tc>
          <w:tcPr>
            <w:tcW w:w="1293" w:type="dxa"/>
            <w:vAlign w:val="center"/>
          </w:tcPr>
          <w:p w14:paraId="3FB4F41C" w14:textId="77777777" w:rsidR="004B0883" w:rsidRDefault="004B0883">
            <w:pPr>
              <w:adjustRightInd w:val="0"/>
              <w:snapToGrid w:val="0"/>
              <w:rPr>
                <w:kern w:val="0"/>
              </w:rPr>
            </w:pPr>
            <w:r>
              <w:rPr>
                <w:rFonts w:hint="eastAsia"/>
                <w:kern w:val="0"/>
              </w:rPr>
              <w:t>货币资金</w:t>
            </w:r>
          </w:p>
        </w:tc>
        <w:tc>
          <w:tcPr>
            <w:tcW w:w="1260" w:type="dxa"/>
            <w:vAlign w:val="center"/>
          </w:tcPr>
          <w:p w14:paraId="1C05B51C" w14:textId="77777777" w:rsidR="004B0883" w:rsidRDefault="004B0883">
            <w:pPr>
              <w:adjustRightInd w:val="0"/>
              <w:snapToGrid w:val="0"/>
              <w:jc w:val="right"/>
              <w:rPr>
                <w:color w:val="000000"/>
                <w:kern w:val="0"/>
              </w:rPr>
            </w:pPr>
            <w:r>
              <w:t>3,867.12</w:t>
            </w:r>
          </w:p>
        </w:tc>
        <w:tc>
          <w:tcPr>
            <w:tcW w:w="1260" w:type="dxa"/>
            <w:vAlign w:val="center"/>
          </w:tcPr>
          <w:p w14:paraId="2201ABF8" w14:textId="77777777" w:rsidR="004B0883" w:rsidRDefault="004B0883">
            <w:pPr>
              <w:adjustRightInd w:val="0"/>
              <w:snapToGrid w:val="0"/>
              <w:jc w:val="right"/>
              <w:rPr>
                <w:rFonts w:eastAsia="等线"/>
                <w:color w:val="000000"/>
              </w:rPr>
            </w:pPr>
            <w:r>
              <w:t>3.84%</w:t>
            </w:r>
          </w:p>
        </w:tc>
        <w:tc>
          <w:tcPr>
            <w:tcW w:w="1261" w:type="dxa"/>
            <w:vAlign w:val="center"/>
          </w:tcPr>
          <w:p w14:paraId="352F16CC" w14:textId="77777777" w:rsidR="004B0883" w:rsidRDefault="004B0883">
            <w:pPr>
              <w:adjustRightInd w:val="0"/>
              <w:snapToGrid w:val="0"/>
              <w:jc w:val="right"/>
              <w:rPr>
                <w:color w:val="000000"/>
                <w:kern w:val="0"/>
              </w:rPr>
            </w:pPr>
            <w:r>
              <w:rPr>
                <w:rFonts w:hint="eastAsia"/>
                <w:color w:val="000000"/>
                <w:kern w:val="0"/>
              </w:rPr>
              <w:t>16,426.13</w:t>
            </w:r>
          </w:p>
        </w:tc>
        <w:tc>
          <w:tcPr>
            <w:tcW w:w="1260" w:type="dxa"/>
            <w:vAlign w:val="center"/>
          </w:tcPr>
          <w:p w14:paraId="6A8A5172" w14:textId="77777777" w:rsidR="004B0883" w:rsidRDefault="004B0883">
            <w:pPr>
              <w:adjustRightInd w:val="0"/>
              <w:snapToGrid w:val="0"/>
              <w:jc w:val="right"/>
              <w:rPr>
                <w:rFonts w:eastAsia="等线"/>
                <w:color w:val="000000"/>
              </w:rPr>
            </w:pPr>
            <w:r>
              <w:rPr>
                <w:rFonts w:eastAsia="等线" w:hint="eastAsia"/>
                <w:color w:val="000000"/>
              </w:rPr>
              <w:t>16.53%</w:t>
            </w:r>
          </w:p>
        </w:tc>
        <w:tc>
          <w:tcPr>
            <w:tcW w:w="1260" w:type="dxa"/>
            <w:vAlign w:val="center"/>
          </w:tcPr>
          <w:p w14:paraId="57636B3D" w14:textId="77777777" w:rsidR="004B0883" w:rsidRDefault="004B0883">
            <w:pPr>
              <w:adjustRightInd w:val="0"/>
              <w:snapToGrid w:val="0"/>
              <w:jc w:val="right"/>
              <w:rPr>
                <w:color w:val="000000"/>
                <w:kern w:val="0"/>
              </w:rPr>
            </w:pPr>
            <w:r>
              <w:rPr>
                <w:rFonts w:hint="eastAsia"/>
                <w:color w:val="000000"/>
                <w:kern w:val="0"/>
              </w:rPr>
              <w:t>9,651.67</w:t>
            </w:r>
          </w:p>
        </w:tc>
        <w:tc>
          <w:tcPr>
            <w:tcW w:w="1261" w:type="dxa"/>
            <w:vAlign w:val="center"/>
          </w:tcPr>
          <w:p w14:paraId="1C15E16C" w14:textId="77777777" w:rsidR="004B0883" w:rsidRDefault="004B0883">
            <w:pPr>
              <w:adjustRightInd w:val="0"/>
              <w:snapToGrid w:val="0"/>
              <w:jc w:val="right"/>
              <w:rPr>
                <w:rFonts w:eastAsia="等线"/>
                <w:color w:val="000000"/>
              </w:rPr>
            </w:pPr>
            <w:r>
              <w:rPr>
                <w:rFonts w:eastAsia="等线" w:hint="eastAsia"/>
                <w:color w:val="000000"/>
              </w:rPr>
              <w:t>10.85%</w:t>
            </w:r>
          </w:p>
        </w:tc>
        <w:tc>
          <w:tcPr>
            <w:tcW w:w="1260" w:type="dxa"/>
            <w:vAlign w:val="center"/>
          </w:tcPr>
          <w:p w14:paraId="0E75B30C" w14:textId="77777777" w:rsidR="004B0883" w:rsidRDefault="004B0883">
            <w:pPr>
              <w:adjustRightInd w:val="0"/>
              <w:snapToGrid w:val="0"/>
              <w:jc w:val="right"/>
              <w:rPr>
                <w:color w:val="000000"/>
                <w:kern w:val="0"/>
              </w:rPr>
            </w:pPr>
            <w:r>
              <w:rPr>
                <w:rFonts w:hint="eastAsia"/>
                <w:color w:val="000000"/>
                <w:kern w:val="0"/>
              </w:rPr>
              <w:t>5,771.53</w:t>
            </w:r>
          </w:p>
        </w:tc>
        <w:tc>
          <w:tcPr>
            <w:tcW w:w="1261" w:type="dxa"/>
            <w:vAlign w:val="center"/>
          </w:tcPr>
          <w:p w14:paraId="5462796C" w14:textId="77777777" w:rsidR="004B0883" w:rsidRDefault="004B0883">
            <w:pPr>
              <w:adjustRightInd w:val="0"/>
              <w:snapToGrid w:val="0"/>
              <w:jc w:val="right"/>
              <w:rPr>
                <w:rFonts w:eastAsia="等线"/>
                <w:color w:val="000000"/>
              </w:rPr>
            </w:pPr>
            <w:r>
              <w:rPr>
                <w:rFonts w:eastAsia="等线" w:hint="eastAsia"/>
                <w:color w:val="000000"/>
              </w:rPr>
              <w:t>6.64%</w:t>
            </w:r>
          </w:p>
        </w:tc>
      </w:tr>
      <w:tr w:rsidR="004B0883" w14:paraId="052BAE88" w14:textId="77777777">
        <w:trPr>
          <w:trHeight w:val="397"/>
          <w:jc w:val="center"/>
        </w:trPr>
        <w:tc>
          <w:tcPr>
            <w:tcW w:w="1293" w:type="dxa"/>
            <w:vAlign w:val="center"/>
          </w:tcPr>
          <w:p w14:paraId="012A5E79" w14:textId="77777777" w:rsidR="004B0883" w:rsidRDefault="004B0883">
            <w:pPr>
              <w:adjustRightInd w:val="0"/>
              <w:snapToGrid w:val="0"/>
              <w:rPr>
                <w:kern w:val="0"/>
              </w:rPr>
            </w:pPr>
            <w:r>
              <w:rPr>
                <w:rFonts w:hint="eastAsia"/>
                <w:kern w:val="0"/>
              </w:rPr>
              <w:t>交易性金融资产</w:t>
            </w:r>
          </w:p>
        </w:tc>
        <w:tc>
          <w:tcPr>
            <w:tcW w:w="1260" w:type="dxa"/>
            <w:vAlign w:val="center"/>
          </w:tcPr>
          <w:p w14:paraId="5176F97C" w14:textId="77777777" w:rsidR="004B0883" w:rsidRDefault="004B0883">
            <w:pPr>
              <w:adjustRightInd w:val="0"/>
              <w:snapToGrid w:val="0"/>
              <w:jc w:val="right"/>
              <w:rPr>
                <w:color w:val="000000"/>
                <w:kern w:val="0"/>
              </w:rPr>
            </w:pPr>
            <w:r>
              <w:t>39,822.11</w:t>
            </w:r>
          </w:p>
        </w:tc>
        <w:tc>
          <w:tcPr>
            <w:tcW w:w="1260" w:type="dxa"/>
            <w:vAlign w:val="center"/>
          </w:tcPr>
          <w:p w14:paraId="5C4DE65C" w14:textId="77777777" w:rsidR="004B0883" w:rsidRDefault="004B0883">
            <w:pPr>
              <w:adjustRightInd w:val="0"/>
              <w:snapToGrid w:val="0"/>
              <w:jc w:val="right"/>
              <w:rPr>
                <w:rFonts w:eastAsia="等线"/>
                <w:color w:val="000000"/>
              </w:rPr>
            </w:pPr>
            <w:r>
              <w:t>39.53%</w:t>
            </w:r>
          </w:p>
        </w:tc>
        <w:tc>
          <w:tcPr>
            <w:tcW w:w="1261" w:type="dxa"/>
            <w:vAlign w:val="center"/>
          </w:tcPr>
          <w:p w14:paraId="338B3456" w14:textId="77777777" w:rsidR="004B0883" w:rsidRDefault="004B0883">
            <w:pPr>
              <w:adjustRightInd w:val="0"/>
              <w:snapToGrid w:val="0"/>
              <w:jc w:val="right"/>
              <w:rPr>
                <w:color w:val="000000"/>
                <w:kern w:val="0"/>
              </w:rPr>
            </w:pPr>
            <w:r>
              <w:rPr>
                <w:rFonts w:hint="eastAsia"/>
                <w:color w:val="000000"/>
                <w:kern w:val="0"/>
              </w:rPr>
              <w:t>25,412.40</w:t>
            </w:r>
          </w:p>
        </w:tc>
        <w:tc>
          <w:tcPr>
            <w:tcW w:w="1260" w:type="dxa"/>
            <w:vAlign w:val="center"/>
          </w:tcPr>
          <w:p w14:paraId="7E6383B5" w14:textId="77777777" w:rsidR="004B0883" w:rsidRDefault="004B0883">
            <w:pPr>
              <w:adjustRightInd w:val="0"/>
              <w:snapToGrid w:val="0"/>
              <w:jc w:val="right"/>
              <w:rPr>
                <w:rFonts w:eastAsia="等线"/>
                <w:color w:val="000000"/>
              </w:rPr>
            </w:pPr>
            <w:r>
              <w:rPr>
                <w:rFonts w:eastAsia="等线" w:hint="eastAsia"/>
                <w:color w:val="000000"/>
              </w:rPr>
              <w:t>25.57%</w:t>
            </w:r>
          </w:p>
        </w:tc>
        <w:tc>
          <w:tcPr>
            <w:tcW w:w="1260" w:type="dxa"/>
            <w:vAlign w:val="center"/>
          </w:tcPr>
          <w:p w14:paraId="4AC0A6FF" w14:textId="77777777" w:rsidR="004B0883" w:rsidRDefault="004B0883">
            <w:pPr>
              <w:adjustRightInd w:val="0"/>
              <w:snapToGrid w:val="0"/>
              <w:jc w:val="right"/>
              <w:rPr>
                <w:color w:val="000000"/>
                <w:kern w:val="0"/>
              </w:rPr>
            </w:pPr>
            <w:r>
              <w:rPr>
                <w:rFonts w:hint="eastAsia"/>
                <w:color w:val="000000"/>
                <w:kern w:val="0"/>
              </w:rPr>
              <w:t>18,860.60</w:t>
            </w:r>
          </w:p>
        </w:tc>
        <w:tc>
          <w:tcPr>
            <w:tcW w:w="1261" w:type="dxa"/>
            <w:vAlign w:val="center"/>
          </w:tcPr>
          <w:p w14:paraId="5BD3625F" w14:textId="77777777" w:rsidR="004B0883" w:rsidRDefault="004B0883">
            <w:pPr>
              <w:adjustRightInd w:val="0"/>
              <w:snapToGrid w:val="0"/>
              <w:jc w:val="right"/>
              <w:rPr>
                <w:rFonts w:eastAsia="等线"/>
                <w:color w:val="000000"/>
              </w:rPr>
            </w:pPr>
            <w:r>
              <w:rPr>
                <w:rFonts w:eastAsia="等线" w:hint="eastAsia"/>
                <w:color w:val="000000"/>
              </w:rPr>
              <w:t>21.19%</w:t>
            </w:r>
          </w:p>
        </w:tc>
        <w:tc>
          <w:tcPr>
            <w:tcW w:w="1260" w:type="dxa"/>
            <w:vAlign w:val="center"/>
          </w:tcPr>
          <w:p w14:paraId="5771B944" w14:textId="77777777" w:rsidR="004B0883" w:rsidRDefault="004B0883">
            <w:pPr>
              <w:adjustRightInd w:val="0"/>
              <w:snapToGrid w:val="0"/>
              <w:jc w:val="right"/>
              <w:rPr>
                <w:color w:val="000000"/>
                <w:kern w:val="0"/>
              </w:rPr>
            </w:pPr>
            <w:r>
              <w:rPr>
                <w:rFonts w:hint="eastAsia"/>
                <w:color w:val="000000"/>
                <w:kern w:val="0"/>
              </w:rPr>
              <w:t>33,400.43</w:t>
            </w:r>
          </w:p>
        </w:tc>
        <w:tc>
          <w:tcPr>
            <w:tcW w:w="1261" w:type="dxa"/>
            <w:vAlign w:val="center"/>
          </w:tcPr>
          <w:p w14:paraId="40DD4EFA" w14:textId="77777777" w:rsidR="004B0883" w:rsidRDefault="004B0883">
            <w:pPr>
              <w:adjustRightInd w:val="0"/>
              <w:snapToGrid w:val="0"/>
              <w:jc w:val="right"/>
              <w:rPr>
                <w:rFonts w:eastAsia="等线"/>
                <w:color w:val="000000"/>
              </w:rPr>
            </w:pPr>
            <w:r>
              <w:rPr>
                <w:rFonts w:eastAsia="等线" w:hint="eastAsia"/>
                <w:color w:val="000000"/>
              </w:rPr>
              <w:t>38.41%</w:t>
            </w:r>
          </w:p>
        </w:tc>
      </w:tr>
      <w:tr w:rsidR="004B0883" w14:paraId="56A4FD00" w14:textId="77777777">
        <w:trPr>
          <w:trHeight w:val="397"/>
          <w:jc w:val="center"/>
        </w:trPr>
        <w:tc>
          <w:tcPr>
            <w:tcW w:w="1293" w:type="dxa"/>
            <w:vAlign w:val="center"/>
          </w:tcPr>
          <w:p w14:paraId="77D3457C" w14:textId="77777777" w:rsidR="004B0883" w:rsidRDefault="004B0883">
            <w:pPr>
              <w:adjustRightInd w:val="0"/>
              <w:snapToGrid w:val="0"/>
              <w:rPr>
                <w:kern w:val="0"/>
              </w:rPr>
            </w:pPr>
            <w:r>
              <w:rPr>
                <w:rFonts w:hint="eastAsia"/>
                <w:kern w:val="0"/>
              </w:rPr>
              <w:t>应收票据</w:t>
            </w:r>
          </w:p>
        </w:tc>
        <w:tc>
          <w:tcPr>
            <w:tcW w:w="1260" w:type="dxa"/>
            <w:vAlign w:val="center"/>
          </w:tcPr>
          <w:p w14:paraId="7F1D9B15" w14:textId="77777777" w:rsidR="004B0883" w:rsidRDefault="004B0883">
            <w:pPr>
              <w:adjustRightInd w:val="0"/>
              <w:snapToGrid w:val="0"/>
              <w:jc w:val="right"/>
              <w:rPr>
                <w:color w:val="000000"/>
                <w:kern w:val="0"/>
              </w:rPr>
            </w:pPr>
            <w:r>
              <w:rPr>
                <w:rFonts w:hint="eastAsia"/>
                <w:color w:val="000000"/>
                <w:kern w:val="0"/>
              </w:rPr>
              <w:t>-</w:t>
            </w:r>
          </w:p>
        </w:tc>
        <w:tc>
          <w:tcPr>
            <w:tcW w:w="1260" w:type="dxa"/>
            <w:vAlign w:val="center"/>
          </w:tcPr>
          <w:p w14:paraId="2DD36A58" w14:textId="77777777" w:rsidR="004B0883" w:rsidRDefault="004B0883">
            <w:pPr>
              <w:adjustRightInd w:val="0"/>
              <w:snapToGrid w:val="0"/>
              <w:jc w:val="right"/>
              <w:rPr>
                <w:rFonts w:eastAsia="等线"/>
                <w:color w:val="000000"/>
              </w:rPr>
            </w:pPr>
            <w:r>
              <w:rPr>
                <w:rFonts w:eastAsia="等线" w:hint="eastAsia"/>
                <w:color w:val="000000"/>
              </w:rPr>
              <w:t>-</w:t>
            </w:r>
          </w:p>
        </w:tc>
        <w:tc>
          <w:tcPr>
            <w:tcW w:w="1261" w:type="dxa"/>
            <w:vAlign w:val="center"/>
          </w:tcPr>
          <w:p w14:paraId="22A3733C" w14:textId="77777777" w:rsidR="004B0883" w:rsidRDefault="004B0883">
            <w:pPr>
              <w:adjustRightInd w:val="0"/>
              <w:snapToGrid w:val="0"/>
              <w:jc w:val="right"/>
              <w:rPr>
                <w:color w:val="000000"/>
                <w:kern w:val="0"/>
              </w:rPr>
            </w:pPr>
            <w:r>
              <w:rPr>
                <w:rFonts w:hint="eastAsia"/>
                <w:color w:val="000000"/>
                <w:kern w:val="0"/>
              </w:rPr>
              <w:t>22.49</w:t>
            </w:r>
          </w:p>
        </w:tc>
        <w:tc>
          <w:tcPr>
            <w:tcW w:w="1260" w:type="dxa"/>
            <w:vAlign w:val="center"/>
          </w:tcPr>
          <w:p w14:paraId="7388804A" w14:textId="77777777" w:rsidR="004B0883" w:rsidRDefault="004B0883">
            <w:pPr>
              <w:adjustRightInd w:val="0"/>
              <w:snapToGrid w:val="0"/>
              <w:jc w:val="right"/>
              <w:rPr>
                <w:rFonts w:eastAsia="等线"/>
                <w:color w:val="000000"/>
              </w:rPr>
            </w:pPr>
            <w:r>
              <w:rPr>
                <w:rFonts w:eastAsia="等线" w:hint="eastAsia"/>
                <w:color w:val="000000"/>
              </w:rPr>
              <w:t>0.02%</w:t>
            </w:r>
          </w:p>
        </w:tc>
        <w:tc>
          <w:tcPr>
            <w:tcW w:w="1260" w:type="dxa"/>
            <w:vAlign w:val="center"/>
          </w:tcPr>
          <w:p w14:paraId="56AE7943" w14:textId="77777777" w:rsidR="004B0883" w:rsidRDefault="004B0883">
            <w:pPr>
              <w:adjustRightInd w:val="0"/>
              <w:snapToGrid w:val="0"/>
              <w:jc w:val="right"/>
              <w:rPr>
                <w:color w:val="000000"/>
                <w:kern w:val="0"/>
              </w:rPr>
            </w:pPr>
            <w:r>
              <w:rPr>
                <w:rFonts w:hint="eastAsia"/>
                <w:color w:val="000000"/>
                <w:kern w:val="0"/>
              </w:rPr>
              <w:t>-</w:t>
            </w:r>
          </w:p>
        </w:tc>
        <w:tc>
          <w:tcPr>
            <w:tcW w:w="1261" w:type="dxa"/>
            <w:vAlign w:val="center"/>
          </w:tcPr>
          <w:p w14:paraId="7E6EEC35" w14:textId="77777777" w:rsidR="004B0883" w:rsidRDefault="004B0883">
            <w:pPr>
              <w:adjustRightInd w:val="0"/>
              <w:snapToGrid w:val="0"/>
              <w:jc w:val="right"/>
              <w:rPr>
                <w:rFonts w:eastAsia="等线"/>
                <w:color w:val="000000"/>
              </w:rPr>
            </w:pPr>
            <w:r>
              <w:rPr>
                <w:rFonts w:eastAsia="等线" w:hint="eastAsia"/>
                <w:color w:val="000000"/>
              </w:rPr>
              <w:t>-</w:t>
            </w:r>
          </w:p>
        </w:tc>
        <w:tc>
          <w:tcPr>
            <w:tcW w:w="1260" w:type="dxa"/>
            <w:vAlign w:val="center"/>
          </w:tcPr>
          <w:p w14:paraId="0068AA8A" w14:textId="77777777" w:rsidR="004B0883" w:rsidRDefault="004B0883">
            <w:pPr>
              <w:adjustRightInd w:val="0"/>
              <w:snapToGrid w:val="0"/>
              <w:jc w:val="right"/>
              <w:rPr>
                <w:color w:val="000000"/>
                <w:kern w:val="0"/>
              </w:rPr>
            </w:pPr>
            <w:r>
              <w:rPr>
                <w:rFonts w:hint="eastAsia"/>
                <w:color w:val="000000"/>
                <w:kern w:val="0"/>
              </w:rPr>
              <w:t>-</w:t>
            </w:r>
          </w:p>
        </w:tc>
        <w:tc>
          <w:tcPr>
            <w:tcW w:w="1261" w:type="dxa"/>
            <w:vAlign w:val="center"/>
          </w:tcPr>
          <w:p w14:paraId="4A631838" w14:textId="77777777" w:rsidR="004B0883" w:rsidRDefault="004B0883">
            <w:pPr>
              <w:adjustRightInd w:val="0"/>
              <w:snapToGrid w:val="0"/>
              <w:jc w:val="right"/>
              <w:rPr>
                <w:rFonts w:eastAsia="等线"/>
                <w:color w:val="000000"/>
              </w:rPr>
            </w:pPr>
            <w:r>
              <w:rPr>
                <w:rFonts w:eastAsia="等线" w:hint="eastAsia"/>
                <w:color w:val="000000"/>
              </w:rPr>
              <w:t>-</w:t>
            </w:r>
          </w:p>
        </w:tc>
      </w:tr>
      <w:tr w:rsidR="004B0883" w14:paraId="10147FFB" w14:textId="77777777">
        <w:trPr>
          <w:trHeight w:val="397"/>
          <w:jc w:val="center"/>
        </w:trPr>
        <w:tc>
          <w:tcPr>
            <w:tcW w:w="1293" w:type="dxa"/>
            <w:vAlign w:val="center"/>
          </w:tcPr>
          <w:p w14:paraId="128ADD5E" w14:textId="77777777" w:rsidR="004B0883" w:rsidRDefault="004B0883">
            <w:pPr>
              <w:adjustRightInd w:val="0"/>
              <w:snapToGrid w:val="0"/>
              <w:rPr>
                <w:kern w:val="0"/>
              </w:rPr>
            </w:pPr>
            <w:r>
              <w:rPr>
                <w:rFonts w:hint="eastAsia"/>
                <w:kern w:val="0"/>
              </w:rPr>
              <w:t>应收账款</w:t>
            </w:r>
          </w:p>
        </w:tc>
        <w:tc>
          <w:tcPr>
            <w:tcW w:w="1260" w:type="dxa"/>
            <w:vAlign w:val="center"/>
          </w:tcPr>
          <w:p w14:paraId="745B15FE" w14:textId="77777777" w:rsidR="004B0883" w:rsidRDefault="004B0883">
            <w:pPr>
              <w:adjustRightInd w:val="0"/>
              <w:snapToGrid w:val="0"/>
              <w:jc w:val="right"/>
              <w:rPr>
                <w:color w:val="000000"/>
                <w:kern w:val="0"/>
              </w:rPr>
            </w:pPr>
            <w:r>
              <w:t>9,158.84</w:t>
            </w:r>
          </w:p>
        </w:tc>
        <w:tc>
          <w:tcPr>
            <w:tcW w:w="1260" w:type="dxa"/>
            <w:vAlign w:val="center"/>
          </w:tcPr>
          <w:p w14:paraId="6567AFFA" w14:textId="77777777" w:rsidR="004B0883" w:rsidRDefault="004B0883">
            <w:pPr>
              <w:adjustRightInd w:val="0"/>
              <w:snapToGrid w:val="0"/>
              <w:jc w:val="right"/>
              <w:rPr>
                <w:rFonts w:eastAsia="等线"/>
                <w:color w:val="000000"/>
              </w:rPr>
            </w:pPr>
            <w:r>
              <w:t>9.09%</w:t>
            </w:r>
          </w:p>
        </w:tc>
        <w:tc>
          <w:tcPr>
            <w:tcW w:w="1261" w:type="dxa"/>
            <w:vAlign w:val="center"/>
          </w:tcPr>
          <w:p w14:paraId="55D6E9A7" w14:textId="77777777" w:rsidR="004B0883" w:rsidRDefault="004B0883">
            <w:pPr>
              <w:adjustRightInd w:val="0"/>
              <w:snapToGrid w:val="0"/>
              <w:jc w:val="right"/>
              <w:rPr>
                <w:color w:val="000000"/>
                <w:kern w:val="0"/>
              </w:rPr>
            </w:pPr>
            <w:r>
              <w:rPr>
                <w:rFonts w:hint="eastAsia"/>
                <w:color w:val="000000"/>
                <w:kern w:val="0"/>
              </w:rPr>
              <w:t>7,965.82</w:t>
            </w:r>
          </w:p>
        </w:tc>
        <w:tc>
          <w:tcPr>
            <w:tcW w:w="1260" w:type="dxa"/>
            <w:vAlign w:val="center"/>
          </w:tcPr>
          <w:p w14:paraId="30CE91B9" w14:textId="77777777" w:rsidR="004B0883" w:rsidRDefault="004B0883">
            <w:pPr>
              <w:adjustRightInd w:val="0"/>
              <w:snapToGrid w:val="0"/>
              <w:jc w:val="right"/>
              <w:rPr>
                <w:rFonts w:eastAsia="等线"/>
                <w:color w:val="000000"/>
              </w:rPr>
            </w:pPr>
            <w:r>
              <w:rPr>
                <w:rFonts w:eastAsia="等线" w:hint="eastAsia"/>
                <w:color w:val="000000"/>
              </w:rPr>
              <w:t>8.01%</w:t>
            </w:r>
          </w:p>
        </w:tc>
        <w:tc>
          <w:tcPr>
            <w:tcW w:w="1260" w:type="dxa"/>
            <w:vAlign w:val="center"/>
          </w:tcPr>
          <w:p w14:paraId="7FB928D1" w14:textId="77777777" w:rsidR="004B0883" w:rsidRDefault="004B0883">
            <w:pPr>
              <w:adjustRightInd w:val="0"/>
              <w:snapToGrid w:val="0"/>
              <w:jc w:val="right"/>
              <w:rPr>
                <w:color w:val="000000"/>
                <w:kern w:val="0"/>
              </w:rPr>
            </w:pPr>
            <w:r>
              <w:rPr>
                <w:rFonts w:hint="eastAsia"/>
                <w:color w:val="000000"/>
                <w:kern w:val="0"/>
              </w:rPr>
              <w:t>7,185.46</w:t>
            </w:r>
          </w:p>
        </w:tc>
        <w:tc>
          <w:tcPr>
            <w:tcW w:w="1261" w:type="dxa"/>
            <w:vAlign w:val="center"/>
          </w:tcPr>
          <w:p w14:paraId="7D5FC61E" w14:textId="77777777" w:rsidR="004B0883" w:rsidRDefault="004B0883">
            <w:pPr>
              <w:adjustRightInd w:val="0"/>
              <w:snapToGrid w:val="0"/>
              <w:jc w:val="right"/>
              <w:rPr>
                <w:rFonts w:eastAsia="等线"/>
                <w:color w:val="000000"/>
              </w:rPr>
            </w:pPr>
            <w:r>
              <w:rPr>
                <w:rFonts w:eastAsia="等线" w:hint="eastAsia"/>
                <w:color w:val="000000"/>
              </w:rPr>
              <w:t>8.07%</w:t>
            </w:r>
          </w:p>
        </w:tc>
        <w:tc>
          <w:tcPr>
            <w:tcW w:w="1260" w:type="dxa"/>
            <w:vAlign w:val="center"/>
          </w:tcPr>
          <w:p w14:paraId="5E407830" w14:textId="77777777" w:rsidR="004B0883" w:rsidRDefault="004B0883">
            <w:pPr>
              <w:adjustRightInd w:val="0"/>
              <w:snapToGrid w:val="0"/>
              <w:jc w:val="right"/>
              <w:rPr>
                <w:color w:val="000000"/>
                <w:kern w:val="0"/>
              </w:rPr>
            </w:pPr>
            <w:r>
              <w:rPr>
                <w:rFonts w:hint="eastAsia"/>
                <w:color w:val="000000"/>
                <w:kern w:val="0"/>
              </w:rPr>
              <w:t>5,084.39</w:t>
            </w:r>
          </w:p>
        </w:tc>
        <w:tc>
          <w:tcPr>
            <w:tcW w:w="1261" w:type="dxa"/>
            <w:vAlign w:val="center"/>
          </w:tcPr>
          <w:p w14:paraId="6A4FBD0D" w14:textId="77777777" w:rsidR="004B0883" w:rsidRDefault="004B0883">
            <w:pPr>
              <w:adjustRightInd w:val="0"/>
              <w:snapToGrid w:val="0"/>
              <w:jc w:val="right"/>
              <w:rPr>
                <w:rFonts w:eastAsia="等线"/>
                <w:color w:val="000000"/>
              </w:rPr>
            </w:pPr>
            <w:r>
              <w:rPr>
                <w:rFonts w:eastAsia="等线" w:hint="eastAsia"/>
                <w:color w:val="000000"/>
              </w:rPr>
              <w:t>5.85%</w:t>
            </w:r>
          </w:p>
        </w:tc>
      </w:tr>
      <w:tr w:rsidR="004B0883" w14:paraId="621546E8" w14:textId="77777777">
        <w:trPr>
          <w:trHeight w:val="397"/>
          <w:jc w:val="center"/>
        </w:trPr>
        <w:tc>
          <w:tcPr>
            <w:tcW w:w="1293" w:type="dxa"/>
            <w:vAlign w:val="center"/>
          </w:tcPr>
          <w:p w14:paraId="7D7E7501" w14:textId="77777777" w:rsidR="004B0883" w:rsidRDefault="004B0883">
            <w:pPr>
              <w:adjustRightInd w:val="0"/>
              <w:snapToGrid w:val="0"/>
              <w:rPr>
                <w:kern w:val="0"/>
              </w:rPr>
            </w:pPr>
            <w:r>
              <w:rPr>
                <w:rFonts w:hint="eastAsia"/>
                <w:kern w:val="0"/>
              </w:rPr>
              <w:t>应收款项融资</w:t>
            </w:r>
          </w:p>
        </w:tc>
        <w:tc>
          <w:tcPr>
            <w:tcW w:w="1260" w:type="dxa"/>
            <w:vAlign w:val="center"/>
          </w:tcPr>
          <w:p w14:paraId="775BA9BC" w14:textId="77777777" w:rsidR="004B0883" w:rsidRDefault="004B0883">
            <w:pPr>
              <w:adjustRightInd w:val="0"/>
              <w:snapToGrid w:val="0"/>
              <w:jc w:val="right"/>
              <w:rPr>
                <w:color w:val="000000"/>
                <w:kern w:val="0"/>
              </w:rPr>
            </w:pPr>
            <w:r>
              <w:t>106.06</w:t>
            </w:r>
          </w:p>
        </w:tc>
        <w:tc>
          <w:tcPr>
            <w:tcW w:w="1260" w:type="dxa"/>
            <w:vAlign w:val="center"/>
          </w:tcPr>
          <w:p w14:paraId="128B939A" w14:textId="77777777" w:rsidR="004B0883" w:rsidRDefault="004B0883">
            <w:pPr>
              <w:adjustRightInd w:val="0"/>
              <w:snapToGrid w:val="0"/>
              <w:jc w:val="right"/>
              <w:rPr>
                <w:rFonts w:eastAsia="等线"/>
                <w:color w:val="000000"/>
              </w:rPr>
            </w:pPr>
            <w:r>
              <w:t>0.11%</w:t>
            </w:r>
          </w:p>
        </w:tc>
        <w:tc>
          <w:tcPr>
            <w:tcW w:w="1261" w:type="dxa"/>
            <w:vAlign w:val="center"/>
          </w:tcPr>
          <w:p w14:paraId="0FAA29A1" w14:textId="77777777" w:rsidR="004B0883" w:rsidRDefault="004B0883">
            <w:pPr>
              <w:adjustRightInd w:val="0"/>
              <w:snapToGrid w:val="0"/>
              <w:jc w:val="right"/>
              <w:rPr>
                <w:color w:val="000000"/>
                <w:kern w:val="0"/>
              </w:rPr>
            </w:pPr>
            <w:r>
              <w:rPr>
                <w:rFonts w:hint="eastAsia"/>
                <w:color w:val="000000"/>
                <w:kern w:val="0"/>
              </w:rPr>
              <w:t>13.00</w:t>
            </w:r>
          </w:p>
        </w:tc>
        <w:tc>
          <w:tcPr>
            <w:tcW w:w="1260" w:type="dxa"/>
            <w:vAlign w:val="center"/>
          </w:tcPr>
          <w:p w14:paraId="0E0BBF30" w14:textId="77777777" w:rsidR="004B0883" w:rsidRDefault="004B0883">
            <w:pPr>
              <w:adjustRightInd w:val="0"/>
              <w:snapToGrid w:val="0"/>
              <w:jc w:val="right"/>
              <w:rPr>
                <w:rFonts w:eastAsia="等线"/>
                <w:color w:val="000000"/>
              </w:rPr>
            </w:pPr>
            <w:r>
              <w:rPr>
                <w:rFonts w:eastAsia="等线" w:hint="eastAsia"/>
                <w:color w:val="000000"/>
              </w:rPr>
              <w:t>0.01%</w:t>
            </w:r>
          </w:p>
        </w:tc>
        <w:tc>
          <w:tcPr>
            <w:tcW w:w="1260" w:type="dxa"/>
            <w:vAlign w:val="center"/>
          </w:tcPr>
          <w:p w14:paraId="73B242AA" w14:textId="77777777" w:rsidR="004B0883" w:rsidRDefault="004B0883">
            <w:pPr>
              <w:adjustRightInd w:val="0"/>
              <w:snapToGrid w:val="0"/>
              <w:jc w:val="right"/>
              <w:rPr>
                <w:color w:val="000000"/>
                <w:kern w:val="0"/>
              </w:rPr>
            </w:pPr>
            <w:r>
              <w:rPr>
                <w:rFonts w:hint="eastAsia"/>
                <w:color w:val="000000"/>
                <w:kern w:val="0"/>
              </w:rPr>
              <w:t>1,158.50</w:t>
            </w:r>
          </w:p>
        </w:tc>
        <w:tc>
          <w:tcPr>
            <w:tcW w:w="1261" w:type="dxa"/>
            <w:vAlign w:val="center"/>
          </w:tcPr>
          <w:p w14:paraId="18B476BC" w14:textId="77777777" w:rsidR="004B0883" w:rsidRDefault="004B0883">
            <w:pPr>
              <w:adjustRightInd w:val="0"/>
              <w:snapToGrid w:val="0"/>
              <w:jc w:val="right"/>
              <w:rPr>
                <w:rFonts w:eastAsia="等线"/>
                <w:color w:val="000000"/>
              </w:rPr>
            </w:pPr>
            <w:r>
              <w:rPr>
                <w:rFonts w:eastAsia="等线" w:hint="eastAsia"/>
                <w:color w:val="000000"/>
              </w:rPr>
              <w:t>1.30%</w:t>
            </w:r>
          </w:p>
        </w:tc>
        <w:tc>
          <w:tcPr>
            <w:tcW w:w="1260" w:type="dxa"/>
            <w:vAlign w:val="center"/>
          </w:tcPr>
          <w:p w14:paraId="5E3BD141" w14:textId="77777777" w:rsidR="004B0883" w:rsidRDefault="004B0883">
            <w:pPr>
              <w:adjustRightInd w:val="0"/>
              <w:snapToGrid w:val="0"/>
              <w:jc w:val="right"/>
              <w:rPr>
                <w:color w:val="000000"/>
                <w:kern w:val="0"/>
              </w:rPr>
            </w:pPr>
            <w:r>
              <w:rPr>
                <w:rFonts w:hint="eastAsia"/>
                <w:color w:val="000000"/>
                <w:kern w:val="0"/>
              </w:rPr>
              <w:t>88.84</w:t>
            </w:r>
          </w:p>
        </w:tc>
        <w:tc>
          <w:tcPr>
            <w:tcW w:w="1261" w:type="dxa"/>
            <w:vAlign w:val="center"/>
          </w:tcPr>
          <w:p w14:paraId="37D784FA" w14:textId="77777777" w:rsidR="004B0883" w:rsidRDefault="004B0883">
            <w:pPr>
              <w:adjustRightInd w:val="0"/>
              <w:snapToGrid w:val="0"/>
              <w:jc w:val="right"/>
              <w:rPr>
                <w:rFonts w:eastAsia="等线"/>
                <w:color w:val="000000"/>
              </w:rPr>
            </w:pPr>
            <w:r>
              <w:rPr>
                <w:rFonts w:eastAsia="等线" w:hint="eastAsia"/>
                <w:color w:val="000000"/>
              </w:rPr>
              <w:t>0.10%</w:t>
            </w:r>
          </w:p>
        </w:tc>
      </w:tr>
      <w:tr w:rsidR="004B0883" w14:paraId="690ECDA5" w14:textId="77777777">
        <w:trPr>
          <w:trHeight w:val="397"/>
          <w:jc w:val="center"/>
        </w:trPr>
        <w:tc>
          <w:tcPr>
            <w:tcW w:w="1293" w:type="dxa"/>
            <w:vAlign w:val="center"/>
          </w:tcPr>
          <w:p w14:paraId="654E152F" w14:textId="77777777" w:rsidR="004B0883" w:rsidRDefault="004B0883">
            <w:pPr>
              <w:adjustRightInd w:val="0"/>
              <w:snapToGrid w:val="0"/>
              <w:rPr>
                <w:kern w:val="0"/>
              </w:rPr>
            </w:pPr>
            <w:r>
              <w:rPr>
                <w:rFonts w:hint="eastAsia"/>
                <w:kern w:val="0"/>
              </w:rPr>
              <w:t>预付款项</w:t>
            </w:r>
          </w:p>
        </w:tc>
        <w:tc>
          <w:tcPr>
            <w:tcW w:w="1260" w:type="dxa"/>
            <w:vAlign w:val="center"/>
          </w:tcPr>
          <w:p w14:paraId="7F8FA348" w14:textId="77777777" w:rsidR="004B0883" w:rsidRDefault="004B0883">
            <w:pPr>
              <w:adjustRightInd w:val="0"/>
              <w:snapToGrid w:val="0"/>
              <w:jc w:val="right"/>
              <w:rPr>
                <w:color w:val="000000"/>
                <w:kern w:val="0"/>
              </w:rPr>
            </w:pPr>
            <w:r>
              <w:t>1,003.25</w:t>
            </w:r>
          </w:p>
        </w:tc>
        <w:tc>
          <w:tcPr>
            <w:tcW w:w="1260" w:type="dxa"/>
            <w:vAlign w:val="center"/>
          </w:tcPr>
          <w:p w14:paraId="447800FC" w14:textId="77777777" w:rsidR="004B0883" w:rsidRDefault="004B0883">
            <w:pPr>
              <w:adjustRightInd w:val="0"/>
              <w:snapToGrid w:val="0"/>
              <w:jc w:val="right"/>
              <w:rPr>
                <w:rFonts w:eastAsia="等线"/>
                <w:color w:val="000000"/>
              </w:rPr>
            </w:pPr>
            <w:r>
              <w:t>1.00%</w:t>
            </w:r>
          </w:p>
        </w:tc>
        <w:tc>
          <w:tcPr>
            <w:tcW w:w="1261" w:type="dxa"/>
            <w:vAlign w:val="center"/>
          </w:tcPr>
          <w:p w14:paraId="4ACA98E4" w14:textId="77777777" w:rsidR="004B0883" w:rsidRDefault="004B0883">
            <w:pPr>
              <w:adjustRightInd w:val="0"/>
              <w:snapToGrid w:val="0"/>
              <w:jc w:val="right"/>
              <w:rPr>
                <w:color w:val="000000"/>
                <w:kern w:val="0"/>
              </w:rPr>
            </w:pPr>
            <w:r>
              <w:rPr>
                <w:rFonts w:hint="eastAsia"/>
                <w:color w:val="000000"/>
                <w:kern w:val="0"/>
              </w:rPr>
              <w:t>389.60</w:t>
            </w:r>
          </w:p>
        </w:tc>
        <w:tc>
          <w:tcPr>
            <w:tcW w:w="1260" w:type="dxa"/>
            <w:vAlign w:val="center"/>
          </w:tcPr>
          <w:p w14:paraId="59583865" w14:textId="77777777" w:rsidR="004B0883" w:rsidRDefault="004B0883">
            <w:pPr>
              <w:adjustRightInd w:val="0"/>
              <w:snapToGrid w:val="0"/>
              <w:jc w:val="right"/>
              <w:rPr>
                <w:rFonts w:eastAsia="等线"/>
                <w:color w:val="000000"/>
              </w:rPr>
            </w:pPr>
            <w:r>
              <w:rPr>
                <w:rFonts w:eastAsia="等线" w:hint="eastAsia"/>
                <w:color w:val="000000"/>
              </w:rPr>
              <w:t>0.39%</w:t>
            </w:r>
          </w:p>
        </w:tc>
        <w:tc>
          <w:tcPr>
            <w:tcW w:w="1260" w:type="dxa"/>
            <w:vAlign w:val="center"/>
          </w:tcPr>
          <w:p w14:paraId="2878652B" w14:textId="77777777" w:rsidR="004B0883" w:rsidRDefault="004B0883">
            <w:pPr>
              <w:adjustRightInd w:val="0"/>
              <w:snapToGrid w:val="0"/>
              <w:jc w:val="right"/>
              <w:rPr>
                <w:color w:val="000000"/>
                <w:kern w:val="0"/>
              </w:rPr>
            </w:pPr>
            <w:r>
              <w:rPr>
                <w:rFonts w:hint="eastAsia"/>
                <w:color w:val="000000"/>
                <w:kern w:val="0"/>
              </w:rPr>
              <w:t>361.58</w:t>
            </w:r>
          </w:p>
        </w:tc>
        <w:tc>
          <w:tcPr>
            <w:tcW w:w="1261" w:type="dxa"/>
            <w:vAlign w:val="center"/>
          </w:tcPr>
          <w:p w14:paraId="2DCDDA5F" w14:textId="77777777" w:rsidR="004B0883" w:rsidRDefault="004B0883">
            <w:pPr>
              <w:adjustRightInd w:val="0"/>
              <w:snapToGrid w:val="0"/>
              <w:jc w:val="right"/>
              <w:rPr>
                <w:rFonts w:eastAsia="等线"/>
                <w:color w:val="000000"/>
              </w:rPr>
            </w:pPr>
            <w:r>
              <w:rPr>
                <w:rFonts w:eastAsia="等线" w:hint="eastAsia"/>
                <w:color w:val="000000"/>
              </w:rPr>
              <w:t>0.41%</w:t>
            </w:r>
          </w:p>
        </w:tc>
        <w:tc>
          <w:tcPr>
            <w:tcW w:w="1260" w:type="dxa"/>
            <w:vAlign w:val="center"/>
          </w:tcPr>
          <w:p w14:paraId="4D3F2762" w14:textId="77777777" w:rsidR="004B0883" w:rsidRDefault="004B0883">
            <w:pPr>
              <w:adjustRightInd w:val="0"/>
              <w:snapToGrid w:val="0"/>
              <w:jc w:val="right"/>
              <w:rPr>
                <w:color w:val="000000"/>
                <w:kern w:val="0"/>
              </w:rPr>
            </w:pPr>
            <w:r>
              <w:rPr>
                <w:rFonts w:hint="eastAsia"/>
                <w:color w:val="000000"/>
                <w:kern w:val="0"/>
              </w:rPr>
              <w:t>208.64</w:t>
            </w:r>
          </w:p>
        </w:tc>
        <w:tc>
          <w:tcPr>
            <w:tcW w:w="1261" w:type="dxa"/>
            <w:vAlign w:val="center"/>
          </w:tcPr>
          <w:p w14:paraId="0AD6AF46" w14:textId="77777777" w:rsidR="004B0883" w:rsidRDefault="004B0883">
            <w:pPr>
              <w:adjustRightInd w:val="0"/>
              <w:snapToGrid w:val="0"/>
              <w:jc w:val="right"/>
              <w:rPr>
                <w:rFonts w:eastAsia="等线"/>
                <w:color w:val="000000"/>
              </w:rPr>
            </w:pPr>
            <w:r>
              <w:rPr>
                <w:rFonts w:eastAsia="等线" w:hint="eastAsia"/>
                <w:color w:val="000000"/>
              </w:rPr>
              <w:t>0.24%</w:t>
            </w:r>
          </w:p>
        </w:tc>
      </w:tr>
      <w:tr w:rsidR="004B0883" w14:paraId="1804BFC7" w14:textId="77777777">
        <w:trPr>
          <w:trHeight w:val="397"/>
          <w:jc w:val="center"/>
        </w:trPr>
        <w:tc>
          <w:tcPr>
            <w:tcW w:w="1293" w:type="dxa"/>
            <w:vAlign w:val="center"/>
          </w:tcPr>
          <w:p w14:paraId="77F41C23" w14:textId="77777777" w:rsidR="004B0883" w:rsidRDefault="004B0883">
            <w:pPr>
              <w:adjustRightInd w:val="0"/>
              <w:snapToGrid w:val="0"/>
              <w:rPr>
                <w:kern w:val="0"/>
              </w:rPr>
            </w:pPr>
            <w:r>
              <w:rPr>
                <w:rFonts w:hint="eastAsia"/>
                <w:kern w:val="0"/>
              </w:rPr>
              <w:t>其他应收款</w:t>
            </w:r>
          </w:p>
        </w:tc>
        <w:tc>
          <w:tcPr>
            <w:tcW w:w="1260" w:type="dxa"/>
            <w:vAlign w:val="center"/>
          </w:tcPr>
          <w:p w14:paraId="6AE86BD0" w14:textId="77777777" w:rsidR="004B0883" w:rsidRDefault="004B0883">
            <w:pPr>
              <w:adjustRightInd w:val="0"/>
              <w:snapToGrid w:val="0"/>
              <w:jc w:val="right"/>
              <w:rPr>
                <w:color w:val="000000"/>
                <w:kern w:val="0"/>
              </w:rPr>
            </w:pPr>
            <w:r>
              <w:t>645.46</w:t>
            </w:r>
          </w:p>
        </w:tc>
        <w:tc>
          <w:tcPr>
            <w:tcW w:w="1260" w:type="dxa"/>
            <w:vAlign w:val="center"/>
          </w:tcPr>
          <w:p w14:paraId="717D0990" w14:textId="77777777" w:rsidR="004B0883" w:rsidRDefault="004B0883">
            <w:pPr>
              <w:adjustRightInd w:val="0"/>
              <w:snapToGrid w:val="0"/>
              <w:jc w:val="right"/>
              <w:rPr>
                <w:rFonts w:eastAsia="等线"/>
                <w:color w:val="000000"/>
              </w:rPr>
            </w:pPr>
            <w:r>
              <w:t>0.64%</w:t>
            </w:r>
          </w:p>
        </w:tc>
        <w:tc>
          <w:tcPr>
            <w:tcW w:w="1261" w:type="dxa"/>
            <w:vAlign w:val="center"/>
          </w:tcPr>
          <w:p w14:paraId="64E4D504" w14:textId="77777777" w:rsidR="004B0883" w:rsidRDefault="004B0883">
            <w:pPr>
              <w:adjustRightInd w:val="0"/>
              <w:snapToGrid w:val="0"/>
              <w:jc w:val="right"/>
              <w:rPr>
                <w:color w:val="000000"/>
                <w:kern w:val="0"/>
              </w:rPr>
            </w:pPr>
            <w:r>
              <w:rPr>
                <w:rFonts w:hint="eastAsia"/>
                <w:color w:val="000000"/>
                <w:kern w:val="0"/>
              </w:rPr>
              <w:t>524.68</w:t>
            </w:r>
          </w:p>
        </w:tc>
        <w:tc>
          <w:tcPr>
            <w:tcW w:w="1260" w:type="dxa"/>
            <w:vAlign w:val="center"/>
          </w:tcPr>
          <w:p w14:paraId="39CCF676" w14:textId="77777777" w:rsidR="004B0883" w:rsidRDefault="004B0883">
            <w:pPr>
              <w:adjustRightInd w:val="0"/>
              <w:snapToGrid w:val="0"/>
              <w:jc w:val="right"/>
              <w:rPr>
                <w:rFonts w:eastAsia="等线"/>
                <w:color w:val="000000"/>
              </w:rPr>
            </w:pPr>
            <w:r>
              <w:rPr>
                <w:rFonts w:eastAsia="等线" w:hint="eastAsia"/>
                <w:color w:val="000000"/>
              </w:rPr>
              <w:t>0.53%</w:t>
            </w:r>
          </w:p>
        </w:tc>
        <w:tc>
          <w:tcPr>
            <w:tcW w:w="1260" w:type="dxa"/>
            <w:vAlign w:val="center"/>
          </w:tcPr>
          <w:p w14:paraId="0717D7F3" w14:textId="77777777" w:rsidR="004B0883" w:rsidRDefault="004B0883">
            <w:pPr>
              <w:adjustRightInd w:val="0"/>
              <w:snapToGrid w:val="0"/>
              <w:jc w:val="right"/>
              <w:rPr>
                <w:color w:val="000000"/>
                <w:kern w:val="0"/>
              </w:rPr>
            </w:pPr>
            <w:r>
              <w:rPr>
                <w:rFonts w:hint="eastAsia"/>
                <w:color w:val="000000"/>
                <w:kern w:val="0"/>
              </w:rPr>
              <w:t>601.22</w:t>
            </w:r>
          </w:p>
        </w:tc>
        <w:tc>
          <w:tcPr>
            <w:tcW w:w="1261" w:type="dxa"/>
            <w:vAlign w:val="center"/>
          </w:tcPr>
          <w:p w14:paraId="38C438E7" w14:textId="77777777" w:rsidR="004B0883" w:rsidRDefault="004B0883">
            <w:pPr>
              <w:adjustRightInd w:val="0"/>
              <w:snapToGrid w:val="0"/>
              <w:jc w:val="right"/>
              <w:rPr>
                <w:rFonts w:eastAsia="等线"/>
                <w:color w:val="000000"/>
              </w:rPr>
            </w:pPr>
            <w:r>
              <w:rPr>
                <w:rFonts w:eastAsia="等线" w:hint="eastAsia"/>
                <w:color w:val="000000"/>
              </w:rPr>
              <w:t>0.68%</w:t>
            </w:r>
          </w:p>
        </w:tc>
        <w:tc>
          <w:tcPr>
            <w:tcW w:w="1260" w:type="dxa"/>
            <w:vAlign w:val="center"/>
          </w:tcPr>
          <w:p w14:paraId="5AC7D586" w14:textId="77777777" w:rsidR="004B0883" w:rsidRDefault="004B0883">
            <w:pPr>
              <w:adjustRightInd w:val="0"/>
              <w:snapToGrid w:val="0"/>
              <w:jc w:val="right"/>
              <w:rPr>
                <w:color w:val="000000"/>
                <w:kern w:val="0"/>
              </w:rPr>
            </w:pPr>
            <w:r>
              <w:rPr>
                <w:rFonts w:hint="eastAsia"/>
                <w:color w:val="000000"/>
                <w:kern w:val="0"/>
              </w:rPr>
              <w:t>449.23</w:t>
            </w:r>
          </w:p>
        </w:tc>
        <w:tc>
          <w:tcPr>
            <w:tcW w:w="1261" w:type="dxa"/>
            <w:vAlign w:val="center"/>
          </w:tcPr>
          <w:p w14:paraId="3F576D31" w14:textId="77777777" w:rsidR="004B0883" w:rsidRDefault="004B0883">
            <w:pPr>
              <w:adjustRightInd w:val="0"/>
              <w:snapToGrid w:val="0"/>
              <w:jc w:val="right"/>
              <w:rPr>
                <w:rFonts w:eastAsia="等线"/>
                <w:color w:val="000000"/>
              </w:rPr>
            </w:pPr>
            <w:r>
              <w:rPr>
                <w:rFonts w:eastAsia="等线" w:hint="eastAsia"/>
                <w:color w:val="000000"/>
              </w:rPr>
              <w:t>0.52%</w:t>
            </w:r>
          </w:p>
        </w:tc>
      </w:tr>
      <w:tr w:rsidR="004B0883" w14:paraId="262BD1C9" w14:textId="77777777">
        <w:trPr>
          <w:trHeight w:val="397"/>
          <w:jc w:val="center"/>
        </w:trPr>
        <w:tc>
          <w:tcPr>
            <w:tcW w:w="1293" w:type="dxa"/>
            <w:vAlign w:val="center"/>
          </w:tcPr>
          <w:p w14:paraId="093DFA02" w14:textId="77777777" w:rsidR="004B0883" w:rsidRDefault="004B0883">
            <w:pPr>
              <w:adjustRightInd w:val="0"/>
              <w:snapToGrid w:val="0"/>
              <w:rPr>
                <w:kern w:val="0"/>
              </w:rPr>
            </w:pPr>
            <w:r>
              <w:rPr>
                <w:rFonts w:hint="eastAsia"/>
                <w:kern w:val="0"/>
              </w:rPr>
              <w:t>存货</w:t>
            </w:r>
          </w:p>
        </w:tc>
        <w:tc>
          <w:tcPr>
            <w:tcW w:w="1260" w:type="dxa"/>
            <w:vAlign w:val="center"/>
          </w:tcPr>
          <w:p w14:paraId="29ACC17F" w14:textId="77777777" w:rsidR="004B0883" w:rsidRDefault="004B0883">
            <w:pPr>
              <w:adjustRightInd w:val="0"/>
              <w:snapToGrid w:val="0"/>
              <w:jc w:val="right"/>
              <w:rPr>
                <w:color w:val="000000"/>
                <w:kern w:val="0"/>
              </w:rPr>
            </w:pPr>
            <w:r>
              <w:t>9,880.80</w:t>
            </w:r>
          </w:p>
        </w:tc>
        <w:tc>
          <w:tcPr>
            <w:tcW w:w="1260" w:type="dxa"/>
            <w:vAlign w:val="center"/>
          </w:tcPr>
          <w:p w14:paraId="6387E366" w14:textId="77777777" w:rsidR="004B0883" w:rsidRDefault="004B0883">
            <w:pPr>
              <w:adjustRightInd w:val="0"/>
              <w:snapToGrid w:val="0"/>
              <w:jc w:val="right"/>
              <w:rPr>
                <w:rFonts w:eastAsia="等线"/>
                <w:color w:val="000000"/>
              </w:rPr>
            </w:pPr>
            <w:r>
              <w:t>9.81%</w:t>
            </w:r>
          </w:p>
        </w:tc>
        <w:tc>
          <w:tcPr>
            <w:tcW w:w="1261" w:type="dxa"/>
            <w:vAlign w:val="center"/>
          </w:tcPr>
          <w:p w14:paraId="6F2BBE15" w14:textId="77777777" w:rsidR="004B0883" w:rsidRDefault="004B0883">
            <w:pPr>
              <w:adjustRightInd w:val="0"/>
              <w:snapToGrid w:val="0"/>
              <w:jc w:val="right"/>
              <w:rPr>
                <w:color w:val="000000"/>
                <w:kern w:val="0"/>
              </w:rPr>
            </w:pPr>
            <w:r>
              <w:rPr>
                <w:rFonts w:hint="eastAsia"/>
                <w:color w:val="000000"/>
                <w:kern w:val="0"/>
              </w:rPr>
              <w:t>11,891.25</w:t>
            </w:r>
          </w:p>
        </w:tc>
        <w:tc>
          <w:tcPr>
            <w:tcW w:w="1260" w:type="dxa"/>
            <w:vAlign w:val="center"/>
          </w:tcPr>
          <w:p w14:paraId="7C281965" w14:textId="77777777" w:rsidR="004B0883" w:rsidRDefault="004B0883">
            <w:pPr>
              <w:adjustRightInd w:val="0"/>
              <w:snapToGrid w:val="0"/>
              <w:jc w:val="right"/>
              <w:rPr>
                <w:rFonts w:eastAsia="等线"/>
                <w:color w:val="000000"/>
              </w:rPr>
            </w:pPr>
            <w:r>
              <w:rPr>
                <w:rFonts w:eastAsia="等线" w:hint="eastAsia"/>
                <w:color w:val="000000"/>
              </w:rPr>
              <w:t>11.96%</w:t>
            </w:r>
          </w:p>
        </w:tc>
        <w:tc>
          <w:tcPr>
            <w:tcW w:w="1260" w:type="dxa"/>
            <w:vAlign w:val="center"/>
          </w:tcPr>
          <w:p w14:paraId="29633BF1" w14:textId="77777777" w:rsidR="004B0883" w:rsidRDefault="004B0883">
            <w:pPr>
              <w:adjustRightInd w:val="0"/>
              <w:snapToGrid w:val="0"/>
              <w:jc w:val="right"/>
              <w:rPr>
                <w:color w:val="000000"/>
                <w:kern w:val="0"/>
              </w:rPr>
            </w:pPr>
            <w:r>
              <w:rPr>
                <w:rFonts w:hint="eastAsia"/>
                <w:color w:val="000000"/>
                <w:kern w:val="0"/>
              </w:rPr>
              <w:t>11,252.22</w:t>
            </w:r>
          </w:p>
        </w:tc>
        <w:tc>
          <w:tcPr>
            <w:tcW w:w="1261" w:type="dxa"/>
            <w:vAlign w:val="center"/>
          </w:tcPr>
          <w:p w14:paraId="5EFF56F4" w14:textId="77777777" w:rsidR="004B0883" w:rsidRDefault="004B0883">
            <w:pPr>
              <w:adjustRightInd w:val="0"/>
              <w:snapToGrid w:val="0"/>
              <w:jc w:val="right"/>
              <w:rPr>
                <w:rFonts w:eastAsia="等线"/>
                <w:color w:val="000000"/>
              </w:rPr>
            </w:pPr>
            <w:r>
              <w:rPr>
                <w:rFonts w:eastAsia="等线" w:hint="eastAsia"/>
                <w:color w:val="000000"/>
              </w:rPr>
              <w:t>12.64%</w:t>
            </w:r>
          </w:p>
        </w:tc>
        <w:tc>
          <w:tcPr>
            <w:tcW w:w="1260" w:type="dxa"/>
            <w:vAlign w:val="center"/>
          </w:tcPr>
          <w:p w14:paraId="04B7B6A5" w14:textId="77777777" w:rsidR="004B0883" w:rsidRDefault="004B0883">
            <w:pPr>
              <w:adjustRightInd w:val="0"/>
              <w:snapToGrid w:val="0"/>
              <w:jc w:val="right"/>
              <w:rPr>
                <w:color w:val="000000"/>
                <w:kern w:val="0"/>
              </w:rPr>
            </w:pPr>
            <w:r>
              <w:rPr>
                <w:rFonts w:hint="eastAsia"/>
                <w:color w:val="000000"/>
                <w:kern w:val="0"/>
              </w:rPr>
              <w:t>7,421.84</w:t>
            </w:r>
          </w:p>
        </w:tc>
        <w:tc>
          <w:tcPr>
            <w:tcW w:w="1261" w:type="dxa"/>
            <w:vAlign w:val="center"/>
          </w:tcPr>
          <w:p w14:paraId="16E68FEA" w14:textId="77777777" w:rsidR="004B0883" w:rsidRDefault="004B0883">
            <w:pPr>
              <w:adjustRightInd w:val="0"/>
              <w:snapToGrid w:val="0"/>
              <w:jc w:val="right"/>
              <w:rPr>
                <w:rFonts w:eastAsia="等线"/>
                <w:color w:val="000000"/>
              </w:rPr>
            </w:pPr>
            <w:r>
              <w:rPr>
                <w:rFonts w:eastAsia="等线" w:hint="eastAsia"/>
                <w:color w:val="000000"/>
              </w:rPr>
              <w:t>8.53%</w:t>
            </w:r>
          </w:p>
        </w:tc>
      </w:tr>
      <w:tr w:rsidR="004B0883" w14:paraId="58C90997" w14:textId="77777777">
        <w:trPr>
          <w:trHeight w:val="397"/>
          <w:jc w:val="center"/>
        </w:trPr>
        <w:tc>
          <w:tcPr>
            <w:tcW w:w="1293" w:type="dxa"/>
            <w:vAlign w:val="center"/>
          </w:tcPr>
          <w:p w14:paraId="7A1BD452" w14:textId="77777777" w:rsidR="004B0883" w:rsidRDefault="004B0883">
            <w:pPr>
              <w:adjustRightInd w:val="0"/>
              <w:snapToGrid w:val="0"/>
              <w:rPr>
                <w:kern w:val="0"/>
              </w:rPr>
            </w:pPr>
            <w:r>
              <w:rPr>
                <w:rFonts w:hint="eastAsia"/>
                <w:kern w:val="0"/>
              </w:rPr>
              <w:t>其他流动资产</w:t>
            </w:r>
          </w:p>
        </w:tc>
        <w:tc>
          <w:tcPr>
            <w:tcW w:w="1260" w:type="dxa"/>
            <w:vAlign w:val="center"/>
          </w:tcPr>
          <w:p w14:paraId="18AD58DC" w14:textId="77777777" w:rsidR="004B0883" w:rsidRDefault="004B0883">
            <w:pPr>
              <w:adjustRightInd w:val="0"/>
              <w:snapToGrid w:val="0"/>
              <w:jc w:val="right"/>
              <w:rPr>
                <w:color w:val="000000"/>
                <w:kern w:val="0"/>
              </w:rPr>
            </w:pPr>
            <w:r>
              <w:t>3,238.40</w:t>
            </w:r>
          </w:p>
        </w:tc>
        <w:tc>
          <w:tcPr>
            <w:tcW w:w="1260" w:type="dxa"/>
            <w:vAlign w:val="center"/>
          </w:tcPr>
          <w:p w14:paraId="4D36A831" w14:textId="77777777" w:rsidR="004B0883" w:rsidRDefault="004B0883">
            <w:pPr>
              <w:adjustRightInd w:val="0"/>
              <w:snapToGrid w:val="0"/>
              <w:jc w:val="right"/>
              <w:rPr>
                <w:rFonts w:eastAsia="等线"/>
                <w:color w:val="000000"/>
              </w:rPr>
            </w:pPr>
            <w:r>
              <w:t>3.21%</w:t>
            </w:r>
          </w:p>
        </w:tc>
        <w:tc>
          <w:tcPr>
            <w:tcW w:w="1261" w:type="dxa"/>
            <w:vAlign w:val="center"/>
          </w:tcPr>
          <w:p w14:paraId="44DF4973" w14:textId="77777777" w:rsidR="004B0883" w:rsidRDefault="004B0883">
            <w:pPr>
              <w:adjustRightInd w:val="0"/>
              <w:snapToGrid w:val="0"/>
              <w:jc w:val="right"/>
              <w:rPr>
                <w:color w:val="000000"/>
                <w:kern w:val="0"/>
              </w:rPr>
            </w:pPr>
            <w:r>
              <w:rPr>
                <w:rFonts w:hint="eastAsia"/>
                <w:color w:val="000000"/>
                <w:kern w:val="0"/>
              </w:rPr>
              <w:t>6,266.70</w:t>
            </w:r>
          </w:p>
        </w:tc>
        <w:tc>
          <w:tcPr>
            <w:tcW w:w="1260" w:type="dxa"/>
            <w:vAlign w:val="center"/>
          </w:tcPr>
          <w:p w14:paraId="45119EF6" w14:textId="77777777" w:rsidR="004B0883" w:rsidRDefault="004B0883">
            <w:pPr>
              <w:adjustRightInd w:val="0"/>
              <w:snapToGrid w:val="0"/>
              <w:jc w:val="right"/>
              <w:rPr>
                <w:rFonts w:eastAsia="等线"/>
                <w:color w:val="000000"/>
              </w:rPr>
            </w:pPr>
            <w:r>
              <w:rPr>
                <w:rFonts w:eastAsia="等线" w:hint="eastAsia"/>
                <w:color w:val="000000"/>
              </w:rPr>
              <w:t>6.30%</w:t>
            </w:r>
          </w:p>
        </w:tc>
        <w:tc>
          <w:tcPr>
            <w:tcW w:w="1260" w:type="dxa"/>
            <w:vAlign w:val="center"/>
          </w:tcPr>
          <w:p w14:paraId="500C2992" w14:textId="77777777" w:rsidR="004B0883" w:rsidRDefault="004B0883">
            <w:pPr>
              <w:adjustRightInd w:val="0"/>
              <w:snapToGrid w:val="0"/>
              <w:jc w:val="right"/>
              <w:rPr>
                <w:color w:val="000000"/>
                <w:kern w:val="0"/>
              </w:rPr>
            </w:pPr>
            <w:r>
              <w:rPr>
                <w:rFonts w:hint="eastAsia"/>
                <w:color w:val="000000"/>
                <w:kern w:val="0"/>
              </w:rPr>
              <w:t>8,853.11</w:t>
            </w:r>
          </w:p>
        </w:tc>
        <w:tc>
          <w:tcPr>
            <w:tcW w:w="1261" w:type="dxa"/>
            <w:vAlign w:val="center"/>
          </w:tcPr>
          <w:p w14:paraId="7DA39695" w14:textId="77777777" w:rsidR="004B0883" w:rsidRDefault="004B0883">
            <w:pPr>
              <w:adjustRightInd w:val="0"/>
              <w:snapToGrid w:val="0"/>
              <w:jc w:val="right"/>
              <w:rPr>
                <w:rFonts w:eastAsia="等线"/>
                <w:color w:val="000000"/>
              </w:rPr>
            </w:pPr>
            <w:r>
              <w:rPr>
                <w:rFonts w:eastAsia="等线" w:hint="eastAsia"/>
                <w:color w:val="000000"/>
              </w:rPr>
              <w:t>9.95%</w:t>
            </w:r>
          </w:p>
        </w:tc>
        <w:tc>
          <w:tcPr>
            <w:tcW w:w="1260" w:type="dxa"/>
            <w:vAlign w:val="center"/>
          </w:tcPr>
          <w:p w14:paraId="07D4DC73" w14:textId="77777777" w:rsidR="004B0883" w:rsidRDefault="004B0883">
            <w:pPr>
              <w:adjustRightInd w:val="0"/>
              <w:snapToGrid w:val="0"/>
              <w:jc w:val="right"/>
              <w:rPr>
                <w:color w:val="000000"/>
                <w:kern w:val="0"/>
              </w:rPr>
            </w:pPr>
            <w:r>
              <w:rPr>
                <w:rFonts w:hint="eastAsia"/>
                <w:color w:val="000000"/>
                <w:kern w:val="0"/>
              </w:rPr>
              <w:t>3,177.73</w:t>
            </w:r>
          </w:p>
        </w:tc>
        <w:tc>
          <w:tcPr>
            <w:tcW w:w="1261" w:type="dxa"/>
            <w:vAlign w:val="center"/>
          </w:tcPr>
          <w:p w14:paraId="0C19E73F" w14:textId="77777777" w:rsidR="004B0883" w:rsidRDefault="004B0883">
            <w:pPr>
              <w:adjustRightInd w:val="0"/>
              <w:snapToGrid w:val="0"/>
              <w:jc w:val="right"/>
              <w:rPr>
                <w:rFonts w:eastAsia="等线"/>
                <w:color w:val="000000"/>
              </w:rPr>
            </w:pPr>
            <w:r>
              <w:rPr>
                <w:rFonts w:eastAsia="等线" w:hint="eastAsia"/>
                <w:color w:val="000000"/>
              </w:rPr>
              <w:t>3.65%</w:t>
            </w:r>
          </w:p>
        </w:tc>
      </w:tr>
      <w:tr w:rsidR="004B0883" w14:paraId="70761981" w14:textId="77777777">
        <w:trPr>
          <w:trHeight w:val="397"/>
          <w:jc w:val="center"/>
        </w:trPr>
        <w:tc>
          <w:tcPr>
            <w:tcW w:w="1293" w:type="dxa"/>
            <w:vAlign w:val="center"/>
          </w:tcPr>
          <w:p w14:paraId="3381DE6B" w14:textId="77777777" w:rsidR="004B0883" w:rsidRDefault="004B0883">
            <w:pPr>
              <w:adjustRightInd w:val="0"/>
              <w:snapToGrid w:val="0"/>
              <w:jc w:val="center"/>
              <w:rPr>
                <w:rFonts w:hint="eastAsia"/>
                <w:b/>
                <w:bCs/>
                <w:color w:val="000000"/>
                <w:kern w:val="0"/>
              </w:rPr>
            </w:pPr>
            <w:r>
              <w:rPr>
                <w:b/>
                <w:bCs/>
                <w:color w:val="000000"/>
                <w:kern w:val="0"/>
              </w:rPr>
              <w:t>流动资产</w:t>
            </w:r>
          </w:p>
        </w:tc>
        <w:tc>
          <w:tcPr>
            <w:tcW w:w="1260" w:type="dxa"/>
            <w:vAlign w:val="center"/>
          </w:tcPr>
          <w:p w14:paraId="183E6C51" w14:textId="77777777" w:rsidR="004B0883" w:rsidRDefault="004B0883">
            <w:pPr>
              <w:adjustRightInd w:val="0"/>
              <w:snapToGrid w:val="0"/>
              <w:jc w:val="right"/>
              <w:rPr>
                <w:b/>
                <w:bCs/>
                <w:color w:val="000000"/>
                <w:kern w:val="0"/>
              </w:rPr>
            </w:pPr>
            <w:r>
              <w:rPr>
                <w:b/>
                <w:bCs/>
              </w:rPr>
              <w:t>67,722.05</w:t>
            </w:r>
          </w:p>
        </w:tc>
        <w:tc>
          <w:tcPr>
            <w:tcW w:w="1260" w:type="dxa"/>
            <w:vAlign w:val="center"/>
          </w:tcPr>
          <w:p w14:paraId="2DCE10CE" w14:textId="77777777" w:rsidR="004B0883" w:rsidRDefault="004B0883">
            <w:pPr>
              <w:adjustRightInd w:val="0"/>
              <w:snapToGrid w:val="0"/>
              <w:jc w:val="right"/>
              <w:rPr>
                <w:b/>
                <w:bCs/>
                <w:color w:val="000000"/>
                <w:kern w:val="0"/>
              </w:rPr>
            </w:pPr>
            <w:r>
              <w:rPr>
                <w:b/>
                <w:bCs/>
              </w:rPr>
              <w:t>67.23%</w:t>
            </w:r>
          </w:p>
        </w:tc>
        <w:tc>
          <w:tcPr>
            <w:tcW w:w="1261" w:type="dxa"/>
            <w:vAlign w:val="center"/>
          </w:tcPr>
          <w:p w14:paraId="55677D36" w14:textId="77777777" w:rsidR="004B0883" w:rsidRDefault="004B0883">
            <w:pPr>
              <w:adjustRightInd w:val="0"/>
              <w:snapToGrid w:val="0"/>
              <w:jc w:val="right"/>
              <w:rPr>
                <w:b/>
                <w:bCs/>
                <w:color w:val="000000"/>
                <w:kern w:val="0"/>
              </w:rPr>
            </w:pPr>
            <w:r>
              <w:rPr>
                <w:b/>
                <w:bCs/>
                <w:color w:val="000000"/>
                <w:kern w:val="0"/>
              </w:rPr>
              <w:t>68,912.06</w:t>
            </w:r>
          </w:p>
        </w:tc>
        <w:tc>
          <w:tcPr>
            <w:tcW w:w="1260" w:type="dxa"/>
            <w:vAlign w:val="center"/>
          </w:tcPr>
          <w:p w14:paraId="7E3B5A4E" w14:textId="77777777" w:rsidR="004B0883" w:rsidRDefault="004B0883">
            <w:pPr>
              <w:adjustRightInd w:val="0"/>
              <w:snapToGrid w:val="0"/>
              <w:jc w:val="right"/>
              <w:rPr>
                <w:b/>
                <w:bCs/>
                <w:color w:val="000000"/>
                <w:kern w:val="0"/>
              </w:rPr>
            </w:pPr>
            <w:r>
              <w:rPr>
                <w:b/>
                <w:bCs/>
                <w:color w:val="000000"/>
                <w:kern w:val="0"/>
              </w:rPr>
              <w:t>69.33%</w:t>
            </w:r>
          </w:p>
        </w:tc>
        <w:tc>
          <w:tcPr>
            <w:tcW w:w="1260" w:type="dxa"/>
            <w:vAlign w:val="center"/>
          </w:tcPr>
          <w:p w14:paraId="46044C6F" w14:textId="77777777" w:rsidR="004B0883" w:rsidRDefault="004B0883">
            <w:pPr>
              <w:adjustRightInd w:val="0"/>
              <w:snapToGrid w:val="0"/>
              <w:jc w:val="right"/>
              <w:rPr>
                <w:b/>
                <w:bCs/>
                <w:color w:val="000000"/>
                <w:kern w:val="0"/>
              </w:rPr>
            </w:pPr>
            <w:r>
              <w:rPr>
                <w:b/>
                <w:bCs/>
                <w:color w:val="000000"/>
                <w:kern w:val="0"/>
              </w:rPr>
              <w:t>57,924.35</w:t>
            </w:r>
          </w:p>
        </w:tc>
        <w:tc>
          <w:tcPr>
            <w:tcW w:w="1261" w:type="dxa"/>
            <w:vAlign w:val="center"/>
          </w:tcPr>
          <w:p w14:paraId="2DF51FF5" w14:textId="77777777" w:rsidR="004B0883" w:rsidRDefault="004B0883">
            <w:pPr>
              <w:adjustRightInd w:val="0"/>
              <w:snapToGrid w:val="0"/>
              <w:jc w:val="right"/>
              <w:rPr>
                <w:b/>
                <w:bCs/>
                <w:color w:val="000000"/>
                <w:kern w:val="0"/>
              </w:rPr>
            </w:pPr>
            <w:r>
              <w:rPr>
                <w:b/>
                <w:bCs/>
                <w:color w:val="000000"/>
                <w:kern w:val="0"/>
              </w:rPr>
              <w:t>65.09%</w:t>
            </w:r>
          </w:p>
        </w:tc>
        <w:tc>
          <w:tcPr>
            <w:tcW w:w="1260" w:type="dxa"/>
            <w:vAlign w:val="center"/>
          </w:tcPr>
          <w:p w14:paraId="2FD7C77B" w14:textId="77777777" w:rsidR="004B0883" w:rsidRDefault="004B0883">
            <w:pPr>
              <w:adjustRightInd w:val="0"/>
              <w:snapToGrid w:val="0"/>
              <w:jc w:val="right"/>
              <w:rPr>
                <w:b/>
                <w:bCs/>
                <w:color w:val="000000"/>
                <w:kern w:val="0"/>
              </w:rPr>
            </w:pPr>
            <w:r>
              <w:rPr>
                <w:b/>
                <w:bCs/>
                <w:color w:val="000000"/>
                <w:kern w:val="0"/>
              </w:rPr>
              <w:t>55,602.64</w:t>
            </w:r>
          </w:p>
        </w:tc>
        <w:tc>
          <w:tcPr>
            <w:tcW w:w="1261" w:type="dxa"/>
            <w:vAlign w:val="center"/>
          </w:tcPr>
          <w:p w14:paraId="040C8C7C" w14:textId="77777777" w:rsidR="004B0883" w:rsidRDefault="004B0883">
            <w:pPr>
              <w:adjustRightInd w:val="0"/>
              <w:snapToGrid w:val="0"/>
              <w:jc w:val="right"/>
              <w:rPr>
                <w:b/>
                <w:bCs/>
                <w:color w:val="000000"/>
                <w:kern w:val="0"/>
              </w:rPr>
            </w:pPr>
            <w:r>
              <w:rPr>
                <w:b/>
                <w:bCs/>
                <w:color w:val="000000"/>
                <w:kern w:val="0"/>
              </w:rPr>
              <w:t>63.94%</w:t>
            </w:r>
          </w:p>
        </w:tc>
      </w:tr>
      <w:tr w:rsidR="004B0883" w14:paraId="06311644" w14:textId="77777777">
        <w:trPr>
          <w:trHeight w:val="397"/>
          <w:jc w:val="center"/>
        </w:trPr>
        <w:tc>
          <w:tcPr>
            <w:tcW w:w="1293" w:type="dxa"/>
            <w:vAlign w:val="center"/>
          </w:tcPr>
          <w:p w14:paraId="7DBD6D5C" w14:textId="77777777" w:rsidR="004B0883" w:rsidRDefault="004B0883">
            <w:pPr>
              <w:adjustRightInd w:val="0"/>
              <w:snapToGrid w:val="0"/>
              <w:jc w:val="center"/>
              <w:rPr>
                <w:b/>
                <w:bCs/>
                <w:color w:val="000000"/>
                <w:kern w:val="0"/>
              </w:rPr>
            </w:pPr>
            <w:r>
              <w:rPr>
                <w:rFonts w:hint="eastAsia"/>
                <w:b/>
                <w:bCs/>
                <w:color w:val="000000"/>
                <w:kern w:val="0"/>
              </w:rPr>
              <w:t>总资产</w:t>
            </w:r>
          </w:p>
        </w:tc>
        <w:tc>
          <w:tcPr>
            <w:tcW w:w="1260" w:type="dxa"/>
            <w:vAlign w:val="center"/>
          </w:tcPr>
          <w:p w14:paraId="67195A3B" w14:textId="77777777" w:rsidR="004B0883" w:rsidRDefault="004B0883">
            <w:pPr>
              <w:adjustRightInd w:val="0"/>
              <w:snapToGrid w:val="0"/>
              <w:jc w:val="right"/>
              <w:rPr>
                <w:b/>
                <w:bCs/>
                <w:color w:val="000000"/>
                <w:kern w:val="0"/>
              </w:rPr>
            </w:pPr>
            <w:r>
              <w:rPr>
                <w:b/>
                <w:bCs/>
                <w:color w:val="000000"/>
                <w:kern w:val="0"/>
              </w:rPr>
              <w:t>100,733.51</w:t>
            </w:r>
          </w:p>
        </w:tc>
        <w:tc>
          <w:tcPr>
            <w:tcW w:w="1260" w:type="dxa"/>
            <w:vAlign w:val="center"/>
          </w:tcPr>
          <w:p w14:paraId="52A7745B" w14:textId="77777777" w:rsidR="004B0883" w:rsidRDefault="004B0883">
            <w:pPr>
              <w:adjustRightInd w:val="0"/>
              <w:snapToGrid w:val="0"/>
              <w:jc w:val="right"/>
              <w:rPr>
                <w:b/>
                <w:bCs/>
                <w:color w:val="000000"/>
                <w:kern w:val="0"/>
              </w:rPr>
            </w:pPr>
            <w:r>
              <w:rPr>
                <w:b/>
                <w:bCs/>
                <w:color w:val="000000"/>
                <w:kern w:val="0"/>
              </w:rPr>
              <w:t>100.00%</w:t>
            </w:r>
          </w:p>
        </w:tc>
        <w:tc>
          <w:tcPr>
            <w:tcW w:w="1261" w:type="dxa"/>
            <w:vAlign w:val="center"/>
          </w:tcPr>
          <w:p w14:paraId="7D27A89D" w14:textId="77777777" w:rsidR="004B0883" w:rsidRDefault="004B0883">
            <w:pPr>
              <w:adjustRightInd w:val="0"/>
              <w:snapToGrid w:val="0"/>
              <w:jc w:val="right"/>
              <w:rPr>
                <w:b/>
                <w:bCs/>
                <w:color w:val="000000"/>
                <w:kern w:val="0"/>
              </w:rPr>
            </w:pPr>
            <w:r>
              <w:rPr>
                <w:b/>
                <w:bCs/>
                <w:color w:val="000000"/>
                <w:kern w:val="0"/>
              </w:rPr>
              <w:t>99,396.71</w:t>
            </w:r>
          </w:p>
        </w:tc>
        <w:tc>
          <w:tcPr>
            <w:tcW w:w="1260" w:type="dxa"/>
            <w:vAlign w:val="center"/>
          </w:tcPr>
          <w:p w14:paraId="757C7BE7" w14:textId="77777777" w:rsidR="004B0883" w:rsidRDefault="004B0883">
            <w:pPr>
              <w:adjustRightInd w:val="0"/>
              <w:snapToGrid w:val="0"/>
              <w:jc w:val="right"/>
              <w:rPr>
                <w:b/>
                <w:bCs/>
                <w:color w:val="000000"/>
                <w:kern w:val="0"/>
              </w:rPr>
            </w:pPr>
            <w:r>
              <w:rPr>
                <w:b/>
                <w:bCs/>
                <w:color w:val="000000"/>
                <w:kern w:val="0"/>
              </w:rPr>
              <w:t>100.00%</w:t>
            </w:r>
          </w:p>
        </w:tc>
        <w:tc>
          <w:tcPr>
            <w:tcW w:w="1260" w:type="dxa"/>
            <w:vAlign w:val="center"/>
          </w:tcPr>
          <w:p w14:paraId="43AA4A46" w14:textId="77777777" w:rsidR="004B0883" w:rsidRDefault="004B0883">
            <w:pPr>
              <w:adjustRightInd w:val="0"/>
              <w:snapToGrid w:val="0"/>
              <w:jc w:val="right"/>
              <w:rPr>
                <w:b/>
                <w:bCs/>
                <w:color w:val="000000"/>
                <w:kern w:val="0"/>
              </w:rPr>
            </w:pPr>
            <w:r>
              <w:rPr>
                <w:b/>
                <w:bCs/>
                <w:color w:val="000000"/>
                <w:kern w:val="0"/>
              </w:rPr>
              <w:t>88,988.05</w:t>
            </w:r>
          </w:p>
        </w:tc>
        <w:tc>
          <w:tcPr>
            <w:tcW w:w="1261" w:type="dxa"/>
            <w:vAlign w:val="center"/>
          </w:tcPr>
          <w:p w14:paraId="76F034EB" w14:textId="77777777" w:rsidR="004B0883" w:rsidRDefault="004B0883">
            <w:pPr>
              <w:adjustRightInd w:val="0"/>
              <w:snapToGrid w:val="0"/>
              <w:jc w:val="right"/>
              <w:rPr>
                <w:b/>
                <w:bCs/>
                <w:color w:val="000000"/>
                <w:kern w:val="0"/>
              </w:rPr>
            </w:pPr>
            <w:r>
              <w:rPr>
                <w:b/>
                <w:bCs/>
                <w:color w:val="000000"/>
                <w:kern w:val="0"/>
              </w:rPr>
              <w:t>100.00%</w:t>
            </w:r>
          </w:p>
        </w:tc>
        <w:tc>
          <w:tcPr>
            <w:tcW w:w="1260" w:type="dxa"/>
            <w:vAlign w:val="center"/>
          </w:tcPr>
          <w:p w14:paraId="782B253C" w14:textId="77777777" w:rsidR="004B0883" w:rsidRDefault="004B0883">
            <w:pPr>
              <w:adjustRightInd w:val="0"/>
              <w:snapToGrid w:val="0"/>
              <w:jc w:val="right"/>
              <w:rPr>
                <w:b/>
                <w:bCs/>
                <w:color w:val="000000"/>
                <w:kern w:val="0"/>
              </w:rPr>
            </w:pPr>
            <w:r>
              <w:rPr>
                <w:b/>
                <w:bCs/>
                <w:color w:val="000000"/>
                <w:kern w:val="0"/>
              </w:rPr>
              <w:t>86,966.49</w:t>
            </w:r>
          </w:p>
        </w:tc>
        <w:tc>
          <w:tcPr>
            <w:tcW w:w="1261" w:type="dxa"/>
            <w:vAlign w:val="center"/>
          </w:tcPr>
          <w:p w14:paraId="2A407765" w14:textId="77777777" w:rsidR="004B0883" w:rsidRDefault="004B0883">
            <w:pPr>
              <w:adjustRightInd w:val="0"/>
              <w:snapToGrid w:val="0"/>
              <w:jc w:val="right"/>
              <w:rPr>
                <w:b/>
                <w:bCs/>
                <w:color w:val="000000"/>
                <w:kern w:val="0"/>
              </w:rPr>
            </w:pPr>
            <w:r>
              <w:rPr>
                <w:b/>
                <w:bCs/>
                <w:color w:val="000000"/>
                <w:kern w:val="0"/>
              </w:rPr>
              <w:t>100.00%</w:t>
            </w:r>
          </w:p>
        </w:tc>
      </w:tr>
    </w:tbl>
    <w:p w14:paraId="242FE780" w14:textId="77777777" w:rsidR="004B0883" w:rsidRDefault="004B0883">
      <w:pPr>
        <w:keepNext/>
        <w:keepLines/>
        <w:widowControl w:val="0"/>
        <w:spacing w:beforeLines="50" w:before="120" w:line="360" w:lineRule="auto"/>
        <w:ind w:firstLineChars="200" w:firstLine="480"/>
        <w:jc w:val="both"/>
        <w:outlineLvl w:val="4"/>
        <w:rPr>
          <w:sz w:val="24"/>
          <w:szCs w:val="22"/>
        </w:rPr>
      </w:pPr>
      <w:r>
        <w:rPr>
          <w:rFonts w:hint="eastAsia"/>
          <w:sz w:val="24"/>
          <w:szCs w:val="22"/>
        </w:rPr>
        <w:t>（</w:t>
      </w:r>
      <w:r>
        <w:rPr>
          <w:sz w:val="24"/>
          <w:szCs w:val="22"/>
        </w:rPr>
        <w:t>1</w:t>
      </w:r>
      <w:r>
        <w:rPr>
          <w:rFonts w:hint="eastAsia"/>
          <w:sz w:val="24"/>
          <w:szCs w:val="22"/>
        </w:rPr>
        <w:t>）货币资金</w:t>
      </w:r>
    </w:p>
    <w:p w14:paraId="5CD0E733" w14:textId="77777777" w:rsidR="004B0883" w:rsidRDefault="004B0883">
      <w:pPr>
        <w:pStyle w:val="005"/>
        <w:spacing w:before="120"/>
        <w:ind w:firstLine="480"/>
      </w:pPr>
      <w:r>
        <w:rPr>
          <w:rFonts w:hint="eastAsia"/>
        </w:rPr>
        <w:t>报告期各期末，公司货币资金构成情况如下：</w:t>
      </w:r>
      <w:bookmarkEnd w:id="306"/>
    </w:p>
    <w:p w14:paraId="5542773A" w14:textId="77777777" w:rsidR="004B0883" w:rsidRDefault="004B0883">
      <w:pPr>
        <w:pStyle w:val="009"/>
      </w:pPr>
      <w:r>
        <w:rPr>
          <w:rFonts w:hint="eastAsia"/>
        </w:rP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581"/>
        <w:gridCol w:w="1740"/>
        <w:gridCol w:w="1653"/>
        <w:gridCol w:w="1653"/>
        <w:gridCol w:w="1653"/>
      </w:tblGrid>
      <w:tr w:rsidR="004B0883" w14:paraId="019F994D" w14:textId="77777777">
        <w:trPr>
          <w:trHeight w:val="397"/>
          <w:tblHeader/>
          <w:jc w:val="center"/>
        </w:trPr>
        <w:tc>
          <w:tcPr>
            <w:tcW w:w="1667" w:type="dxa"/>
            <w:shd w:val="clear" w:color="auto" w:fill="D9D9D9"/>
            <w:vAlign w:val="center"/>
          </w:tcPr>
          <w:p w14:paraId="71E4D4E4" w14:textId="77777777" w:rsidR="004B0883" w:rsidRDefault="004B0883">
            <w:pPr>
              <w:adjustRightInd w:val="0"/>
              <w:snapToGrid w:val="0"/>
              <w:jc w:val="center"/>
              <w:rPr>
                <w:b/>
                <w:bCs/>
                <w:color w:val="000000"/>
                <w:kern w:val="0"/>
              </w:rPr>
            </w:pPr>
            <w:r>
              <w:rPr>
                <w:b/>
                <w:bCs/>
                <w:color w:val="000000"/>
                <w:kern w:val="0"/>
              </w:rPr>
              <w:t>项目</w:t>
            </w:r>
          </w:p>
        </w:tc>
        <w:tc>
          <w:tcPr>
            <w:tcW w:w="1791" w:type="dxa"/>
            <w:shd w:val="clear" w:color="auto" w:fill="D9D9D9"/>
            <w:vAlign w:val="center"/>
          </w:tcPr>
          <w:p w14:paraId="72C83373" w14:textId="77777777" w:rsidR="004B0883" w:rsidRDefault="004B0883">
            <w:pPr>
              <w:adjustRightInd w:val="0"/>
              <w:snapToGrid w:val="0"/>
              <w:jc w:val="center"/>
              <w:rPr>
                <w:b/>
                <w:bCs/>
                <w:color w:val="000000"/>
                <w:kern w:val="0"/>
              </w:rPr>
            </w:pPr>
            <w:r>
              <w:rPr>
                <w:b/>
                <w:bCs/>
                <w:color w:val="000000"/>
                <w:kern w:val="0"/>
              </w:rPr>
              <w:t>2023.</w:t>
            </w:r>
            <w:r>
              <w:rPr>
                <w:rFonts w:hint="eastAsia"/>
                <w:b/>
                <w:bCs/>
                <w:color w:val="000000"/>
                <w:kern w:val="0"/>
              </w:rPr>
              <w:t>9</w:t>
            </w:r>
            <w:r>
              <w:rPr>
                <w:b/>
                <w:bCs/>
                <w:color w:val="000000"/>
                <w:kern w:val="0"/>
              </w:rPr>
              <w:t>.30</w:t>
            </w:r>
          </w:p>
        </w:tc>
        <w:tc>
          <w:tcPr>
            <w:tcW w:w="1689" w:type="dxa"/>
            <w:shd w:val="clear" w:color="auto" w:fill="D9D9D9"/>
            <w:vAlign w:val="center"/>
          </w:tcPr>
          <w:p w14:paraId="056AB01A" w14:textId="77777777" w:rsidR="004B0883" w:rsidRDefault="004B0883">
            <w:pPr>
              <w:adjustRightInd w:val="0"/>
              <w:snapToGrid w:val="0"/>
              <w:jc w:val="center"/>
              <w:rPr>
                <w:b/>
                <w:bCs/>
                <w:color w:val="000000"/>
                <w:kern w:val="0"/>
              </w:rPr>
            </w:pPr>
            <w:r>
              <w:rPr>
                <w:b/>
                <w:bCs/>
                <w:color w:val="000000"/>
                <w:kern w:val="0"/>
              </w:rPr>
              <w:t>2022.12.31</w:t>
            </w:r>
          </w:p>
        </w:tc>
        <w:tc>
          <w:tcPr>
            <w:tcW w:w="1689" w:type="dxa"/>
            <w:shd w:val="clear" w:color="auto" w:fill="D9D9D9"/>
            <w:vAlign w:val="center"/>
          </w:tcPr>
          <w:p w14:paraId="68F28985" w14:textId="77777777" w:rsidR="004B0883" w:rsidRDefault="004B0883">
            <w:pPr>
              <w:adjustRightInd w:val="0"/>
              <w:snapToGrid w:val="0"/>
              <w:jc w:val="center"/>
              <w:rPr>
                <w:b/>
                <w:bCs/>
                <w:color w:val="000000"/>
                <w:kern w:val="0"/>
              </w:rPr>
            </w:pPr>
            <w:r>
              <w:rPr>
                <w:b/>
                <w:bCs/>
                <w:color w:val="000000"/>
                <w:kern w:val="0"/>
              </w:rPr>
              <w:t>2021.12.31</w:t>
            </w:r>
          </w:p>
        </w:tc>
        <w:tc>
          <w:tcPr>
            <w:tcW w:w="1690" w:type="dxa"/>
            <w:shd w:val="clear" w:color="auto" w:fill="D9D9D9"/>
            <w:vAlign w:val="center"/>
          </w:tcPr>
          <w:p w14:paraId="3B92965F" w14:textId="77777777" w:rsidR="004B0883" w:rsidRDefault="004B0883">
            <w:pPr>
              <w:adjustRightInd w:val="0"/>
              <w:snapToGrid w:val="0"/>
              <w:jc w:val="center"/>
              <w:rPr>
                <w:b/>
                <w:bCs/>
                <w:color w:val="000000"/>
                <w:kern w:val="0"/>
              </w:rPr>
            </w:pPr>
            <w:r>
              <w:rPr>
                <w:b/>
                <w:bCs/>
                <w:color w:val="000000"/>
                <w:kern w:val="0"/>
              </w:rPr>
              <w:t>2020.12.31</w:t>
            </w:r>
          </w:p>
        </w:tc>
      </w:tr>
      <w:tr w:rsidR="004B0883" w14:paraId="7BA91E40" w14:textId="77777777">
        <w:trPr>
          <w:trHeight w:val="397"/>
          <w:jc w:val="center"/>
        </w:trPr>
        <w:tc>
          <w:tcPr>
            <w:tcW w:w="1667" w:type="dxa"/>
            <w:vAlign w:val="center"/>
          </w:tcPr>
          <w:p w14:paraId="62C8C9D4" w14:textId="77777777" w:rsidR="004B0883" w:rsidRDefault="004B0883">
            <w:pPr>
              <w:adjustRightInd w:val="0"/>
              <w:snapToGrid w:val="0"/>
              <w:rPr>
                <w:color w:val="000000"/>
                <w:kern w:val="0"/>
              </w:rPr>
            </w:pPr>
            <w:r>
              <w:rPr>
                <w:color w:val="000000"/>
                <w:kern w:val="0"/>
              </w:rPr>
              <w:t>库存现金</w:t>
            </w:r>
          </w:p>
        </w:tc>
        <w:tc>
          <w:tcPr>
            <w:tcW w:w="1791" w:type="dxa"/>
            <w:vAlign w:val="center"/>
          </w:tcPr>
          <w:p w14:paraId="4BF3C653" w14:textId="77777777" w:rsidR="004B0883" w:rsidRDefault="004B0883">
            <w:pPr>
              <w:adjustRightInd w:val="0"/>
              <w:snapToGrid w:val="0"/>
              <w:jc w:val="right"/>
              <w:rPr>
                <w:color w:val="000000"/>
                <w:kern w:val="0"/>
              </w:rPr>
            </w:pPr>
            <w:r>
              <w:t>13.97</w:t>
            </w:r>
          </w:p>
        </w:tc>
        <w:tc>
          <w:tcPr>
            <w:tcW w:w="1689" w:type="dxa"/>
            <w:vAlign w:val="center"/>
          </w:tcPr>
          <w:p w14:paraId="620C2A34" w14:textId="77777777" w:rsidR="004B0883" w:rsidRDefault="004B0883">
            <w:pPr>
              <w:adjustRightInd w:val="0"/>
              <w:snapToGrid w:val="0"/>
              <w:jc w:val="right"/>
              <w:rPr>
                <w:color w:val="000000"/>
                <w:kern w:val="0"/>
              </w:rPr>
            </w:pPr>
            <w:r>
              <w:rPr>
                <w:color w:val="000000"/>
                <w:kern w:val="0"/>
              </w:rPr>
              <w:t>7.63</w:t>
            </w:r>
          </w:p>
        </w:tc>
        <w:tc>
          <w:tcPr>
            <w:tcW w:w="1689" w:type="dxa"/>
            <w:vAlign w:val="center"/>
          </w:tcPr>
          <w:p w14:paraId="07BBF4BF" w14:textId="77777777" w:rsidR="004B0883" w:rsidRDefault="004B0883">
            <w:pPr>
              <w:adjustRightInd w:val="0"/>
              <w:snapToGrid w:val="0"/>
              <w:jc w:val="right"/>
              <w:rPr>
                <w:color w:val="000000"/>
                <w:kern w:val="0"/>
              </w:rPr>
            </w:pPr>
            <w:r>
              <w:rPr>
                <w:color w:val="000000"/>
                <w:kern w:val="0"/>
              </w:rPr>
              <w:t>141.60</w:t>
            </w:r>
          </w:p>
        </w:tc>
        <w:tc>
          <w:tcPr>
            <w:tcW w:w="1690" w:type="dxa"/>
            <w:vAlign w:val="center"/>
          </w:tcPr>
          <w:p w14:paraId="50A8ED6C" w14:textId="77777777" w:rsidR="004B0883" w:rsidRDefault="004B0883">
            <w:pPr>
              <w:adjustRightInd w:val="0"/>
              <w:snapToGrid w:val="0"/>
              <w:jc w:val="right"/>
              <w:rPr>
                <w:color w:val="000000"/>
                <w:kern w:val="0"/>
              </w:rPr>
            </w:pPr>
            <w:r>
              <w:rPr>
                <w:color w:val="000000"/>
                <w:kern w:val="0"/>
              </w:rPr>
              <w:t>8.87</w:t>
            </w:r>
          </w:p>
        </w:tc>
      </w:tr>
      <w:tr w:rsidR="004B0883" w14:paraId="04645B99" w14:textId="77777777">
        <w:trPr>
          <w:trHeight w:val="397"/>
          <w:jc w:val="center"/>
        </w:trPr>
        <w:tc>
          <w:tcPr>
            <w:tcW w:w="1667" w:type="dxa"/>
            <w:vAlign w:val="center"/>
          </w:tcPr>
          <w:p w14:paraId="21FA6B2C" w14:textId="77777777" w:rsidR="004B0883" w:rsidRDefault="004B0883">
            <w:pPr>
              <w:adjustRightInd w:val="0"/>
              <w:snapToGrid w:val="0"/>
              <w:rPr>
                <w:color w:val="000000"/>
                <w:kern w:val="0"/>
              </w:rPr>
            </w:pPr>
            <w:r>
              <w:rPr>
                <w:color w:val="000000"/>
                <w:kern w:val="0"/>
              </w:rPr>
              <w:t>银行存款</w:t>
            </w:r>
          </w:p>
        </w:tc>
        <w:tc>
          <w:tcPr>
            <w:tcW w:w="1791" w:type="dxa"/>
            <w:vAlign w:val="center"/>
          </w:tcPr>
          <w:p w14:paraId="1EEE3C72" w14:textId="77777777" w:rsidR="004B0883" w:rsidRDefault="004B0883">
            <w:pPr>
              <w:adjustRightInd w:val="0"/>
              <w:snapToGrid w:val="0"/>
              <w:jc w:val="right"/>
              <w:rPr>
                <w:color w:val="000000"/>
                <w:kern w:val="0"/>
              </w:rPr>
            </w:pPr>
            <w:r>
              <w:t>3,616.60</w:t>
            </w:r>
          </w:p>
        </w:tc>
        <w:tc>
          <w:tcPr>
            <w:tcW w:w="1689" w:type="dxa"/>
            <w:vAlign w:val="center"/>
          </w:tcPr>
          <w:p w14:paraId="3491A380" w14:textId="77777777" w:rsidR="004B0883" w:rsidRDefault="004B0883">
            <w:pPr>
              <w:adjustRightInd w:val="0"/>
              <w:snapToGrid w:val="0"/>
              <w:jc w:val="right"/>
              <w:rPr>
                <w:color w:val="000000"/>
                <w:kern w:val="0"/>
              </w:rPr>
            </w:pPr>
            <w:r>
              <w:rPr>
                <w:color w:val="000000"/>
                <w:kern w:val="0"/>
              </w:rPr>
              <w:t>15,370.55</w:t>
            </w:r>
          </w:p>
        </w:tc>
        <w:tc>
          <w:tcPr>
            <w:tcW w:w="1689" w:type="dxa"/>
            <w:vAlign w:val="center"/>
          </w:tcPr>
          <w:p w14:paraId="523A4748" w14:textId="77777777" w:rsidR="004B0883" w:rsidRDefault="004B0883">
            <w:pPr>
              <w:adjustRightInd w:val="0"/>
              <w:snapToGrid w:val="0"/>
              <w:jc w:val="right"/>
              <w:rPr>
                <w:color w:val="000000"/>
                <w:kern w:val="0"/>
              </w:rPr>
            </w:pPr>
            <w:r>
              <w:rPr>
                <w:color w:val="000000"/>
                <w:kern w:val="0"/>
              </w:rPr>
              <w:t>7,957.56</w:t>
            </w:r>
          </w:p>
        </w:tc>
        <w:tc>
          <w:tcPr>
            <w:tcW w:w="1690" w:type="dxa"/>
            <w:vAlign w:val="center"/>
          </w:tcPr>
          <w:p w14:paraId="20CD7092" w14:textId="77777777" w:rsidR="004B0883" w:rsidRDefault="004B0883">
            <w:pPr>
              <w:adjustRightInd w:val="0"/>
              <w:snapToGrid w:val="0"/>
              <w:jc w:val="right"/>
              <w:rPr>
                <w:color w:val="000000"/>
                <w:kern w:val="0"/>
              </w:rPr>
            </w:pPr>
            <w:r>
              <w:rPr>
                <w:color w:val="000000"/>
                <w:kern w:val="0"/>
              </w:rPr>
              <w:t>4,356.16</w:t>
            </w:r>
          </w:p>
        </w:tc>
      </w:tr>
      <w:tr w:rsidR="004B0883" w14:paraId="6ED428B5" w14:textId="77777777">
        <w:trPr>
          <w:trHeight w:val="397"/>
          <w:jc w:val="center"/>
        </w:trPr>
        <w:tc>
          <w:tcPr>
            <w:tcW w:w="1667" w:type="dxa"/>
            <w:vAlign w:val="center"/>
          </w:tcPr>
          <w:p w14:paraId="191AA5CC" w14:textId="77777777" w:rsidR="004B0883" w:rsidRDefault="004B0883">
            <w:pPr>
              <w:adjustRightInd w:val="0"/>
              <w:snapToGrid w:val="0"/>
              <w:rPr>
                <w:color w:val="000000"/>
                <w:kern w:val="0"/>
              </w:rPr>
            </w:pPr>
            <w:r>
              <w:rPr>
                <w:color w:val="000000"/>
                <w:kern w:val="0"/>
              </w:rPr>
              <w:t>其他货币资金</w:t>
            </w:r>
          </w:p>
        </w:tc>
        <w:tc>
          <w:tcPr>
            <w:tcW w:w="1791" w:type="dxa"/>
            <w:vAlign w:val="center"/>
          </w:tcPr>
          <w:p w14:paraId="2E5732D7" w14:textId="77777777" w:rsidR="004B0883" w:rsidRDefault="004B0883">
            <w:pPr>
              <w:adjustRightInd w:val="0"/>
              <w:snapToGrid w:val="0"/>
              <w:jc w:val="right"/>
              <w:rPr>
                <w:color w:val="000000"/>
                <w:kern w:val="0"/>
              </w:rPr>
            </w:pPr>
            <w:r>
              <w:t>236.55</w:t>
            </w:r>
          </w:p>
        </w:tc>
        <w:tc>
          <w:tcPr>
            <w:tcW w:w="1689" w:type="dxa"/>
            <w:vAlign w:val="center"/>
          </w:tcPr>
          <w:p w14:paraId="624630A1" w14:textId="77777777" w:rsidR="004B0883" w:rsidRDefault="004B0883">
            <w:pPr>
              <w:adjustRightInd w:val="0"/>
              <w:snapToGrid w:val="0"/>
              <w:jc w:val="right"/>
              <w:rPr>
                <w:color w:val="000000"/>
                <w:kern w:val="0"/>
              </w:rPr>
            </w:pPr>
            <w:r>
              <w:rPr>
                <w:color w:val="000000"/>
                <w:kern w:val="0"/>
              </w:rPr>
              <w:t>1,047.95</w:t>
            </w:r>
          </w:p>
        </w:tc>
        <w:tc>
          <w:tcPr>
            <w:tcW w:w="1689" w:type="dxa"/>
            <w:vAlign w:val="center"/>
          </w:tcPr>
          <w:p w14:paraId="39C4781D" w14:textId="77777777" w:rsidR="004B0883" w:rsidRDefault="004B0883">
            <w:pPr>
              <w:adjustRightInd w:val="0"/>
              <w:snapToGrid w:val="0"/>
              <w:jc w:val="right"/>
              <w:rPr>
                <w:color w:val="000000"/>
                <w:kern w:val="0"/>
              </w:rPr>
            </w:pPr>
            <w:r>
              <w:rPr>
                <w:color w:val="000000"/>
                <w:kern w:val="0"/>
              </w:rPr>
              <w:t>1,552.51</w:t>
            </w:r>
          </w:p>
        </w:tc>
        <w:tc>
          <w:tcPr>
            <w:tcW w:w="1690" w:type="dxa"/>
            <w:vAlign w:val="center"/>
          </w:tcPr>
          <w:p w14:paraId="4140D264" w14:textId="77777777" w:rsidR="004B0883" w:rsidRDefault="004B0883">
            <w:pPr>
              <w:adjustRightInd w:val="0"/>
              <w:snapToGrid w:val="0"/>
              <w:jc w:val="right"/>
              <w:rPr>
                <w:color w:val="000000"/>
                <w:kern w:val="0"/>
              </w:rPr>
            </w:pPr>
            <w:r>
              <w:rPr>
                <w:color w:val="000000"/>
                <w:kern w:val="0"/>
              </w:rPr>
              <w:t>1,406.50</w:t>
            </w:r>
          </w:p>
        </w:tc>
      </w:tr>
      <w:tr w:rsidR="004B0883" w14:paraId="2241AE0E" w14:textId="77777777">
        <w:trPr>
          <w:trHeight w:val="397"/>
          <w:jc w:val="center"/>
        </w:trPr>
        <w:tc>
          <w:tcPr>
            <w:tcW w:w="1667" w:type="dxa"/>
            <w:vAlign w:val="center"/>
          </w:tcPr>
          <w:p w14:paraId="5C2A948C" w14:textId="77777777" w:rsidR="004B0883" w:rsidRDefault="004B0883">
            <w:pPr>
              <w:adjustRightInd w:val="0"/>
              <w:snapToGrid w:val="0"/>
              <w:jc w:val="center"/>
              <w:rPr>
                <w:b/>
                <w:bCs/>
                <w:color w:val="000000"/>
                <w:kern w:val="0"/>
              </w:rPr>
            </w:pPr>
            <w:r>
              <w:rPr>
                <w:b/>
                <w:bCs/>
                <w:color w:val="000000"/>
                <w:kern w:val="0"/>
              </w:rPr>
              <w:t>合计</w:t>
            </w:r>
          </w:p>
        </w:tc>
        <w:tc>
          <w:tcPr>
            <w:tcW w:w="1791" w:type="dxa"/>
            <w:vAlign w:val="center"/>
          </w:tcPr>
          <w:p w14:paraId="6891B52B" w14:textId="77777777" w:rsidR="004B0883" w:rsidRDefault="004B0883">
            <w:pPr>
              <w:adjustRightInd w:val="0"/>
              <w:snapToGrid w:val="0"/>
              <w:jc w:val="right"/>
              <w:rPr>
                <w:b/>
                <w:bCs/>
                <w:color w:val="000000"/>
                <w:kern w:val="0"/>
              </w:rPr>
            </w:pPr>
            <w:r>
              <w:rPr>
                <w:b/>
                <w:bCs/>
                <w:color w:val="000000"/>
                <w:kern w:val="0"/>
              </w:rPr>
              <w:t>3,867.12</w:t>
            </w:r>
          </w:p>
        </w:tc>
        <w:tc>
          <w:tcPr>
            <w:tcW w:w="1689" w:type="dxa"/>
            <w:vAlign w:val="center"/>
          </w:tcPr>
          <w:p w14:paraId="38E02B8E" w14:textId="77777777" w:rsidR="004B0883" w:rsidRDefault="004B0883">
            <w:pPr>
              <w:adjustRightInd w:val="0"/>
              <w:snapToGrid w:val="0"/>
              <w:jc w:val="right"/>
              <w:rPr>
                <w:b/>
                <w:bCs/>
                <w:color w:val="000000"/>
                <w:kern w:val="0"/>
              </w:rPr>
            </w:pPr>
            <w:r>
              <w:rPr>
                <w:b/>
                <w:bCs/>
                <w:color w:val="000000"/>
                <w:kern w:val="0"/>
              </w:rPr>
              <w:t>16,426.13</w:t>
            </w:r>
          </w:p>
        </w:tc>
        <w:tc>
          <w:tcPr>
            <w:tcW w:w="1689" w:type="dxa"/>
            <w:vAlign w:val="center"/>
          </w:tcPr>
          <w:p w14:paraId="0AF3C6DF" w14:textId="77777777" w:rsidR="004B0883" w:rsidRDefault="004B0883">
            <w:pPr>
              <w:adjustRightInd w:val="0"/>
              <w:snapToGrid w:val="0"/>
              <w:jc w:val="right"/>
              <w:rPr>
                <w:b/>
                <w:bCs/>
                <w:color w:val="000000"/>
                <w:kern w:val="0"/>
              </w:rPr>
            </w:pPr>
            <w:r>
              <w:rPr>
                <w:b/>
                <w:bCs/>
                <w:color w:val="000000"/>
                <w:kern w:val="0"/>
              </w:rPr>
              <w:t>9,651.67</w:t>
            </w:r>
          </w:p>
        </w:tc>
        <w:tc>
          <w:tcPr>
            <w:tcW w:w="1690" w:type="dxa"/>
            <w:vAlign w:val="center"/>
          </w:tcPr>
          <w:p w14:paraId="45211C26" w14:textId="77777777" w:rsidR="004B0883" w:rsidRDefault="004B0883">
            <w:pPr>
              <w:adjustRightInd w:val="0"/>
              <w:snapToGrid w:val="0"/>
              <w:jc w:val="right"/>
              <w:rPr>
                <w:b/>
                <w:bCs/>
                <w:color w:val="000000"/>
                <w:kern w:val="0"/>
              </w:rPr>
            </w:pPr>
            <w:r>
              <w:rPr>
                <w:b/>
                <w:bCs/>
                <w:color w:val="000000"/>
                <w:kern w:val="0"/>
              </w:rPr>
              <w:t>5,771.53</w:t>
            </w:r>
          </w:p>
        </w:tc>
      </w:tr>
    </w:tbl>
    <w:p w14:paraId="4CBF172B"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报告期各期末，公司货币资金分别为</w:t>
      </w:r>
      <w:r>
        <w:rPr>
          <w:sz w:val="24"/>
          <w:szCs w:val="22"/>
        </w:rPr>
        <w:t>5,771.53</w:t>
      </w:r>
      <w:r>
        <w:rPr>
          <w:rFonts w:hint="eastAsia"/>
          <w:sz w:val="24"/>
          <w:szCs w:val="22"/>
        </w:rPr>
        <w:t>万元、</w:t>
      </w:r>
      <w:r>
        <w:rPr>
          <w:sz w:val="24"/>
          <w:szCs w:val="22"/>
        </w:rPr>
        <w:t>9,651.67</w:t>
      </w:r>
      <w:r>
        <w:rPr>
          <w:rFonts w:hint="eastAsia"/>
          <w:sz w:val="24"/>
          <w:szCs w:val="22"/>
        </w:rPr>
        <w:t>万元、</w:t>
      </w:r>
      <w:r>
        <w:rPr>
          <w:sz w:val="24"/>
          <w:szCs w:val="22"/>
        </w:rPr>
        <w:t>16,426.13</w:t>
      </w:r>
      <w:r>
        <w:rPr>
          <w:rFonts w:hint="eastAsia"/>
          <w:sz w:val="24"/>
          <w:szCs w:val="22"/>
        </w:rPr>
        <w:t>万元和</w:t>
      </w:r>
      <w:r>
        <w:rPr>
          <w:sz w:val="24"/>
          <w:szCs w:val="22"/>
        </w:rPr>
        <w:t>3,867.12</w:t>
      </w:r>
      <w:r>
        <w:rPr>
          <w:rFonts w:hint="eastAsia"/>
          <w:sz w:val="24"/>
          <w:szCs w:val="22"/>
        </w:rPr>
        <w:t>万元，占总资产的比例分别为</w:t>
      </w:r>
      <w:r>
        <w:rPr>
          <w:sz w:val="24"/>
          <w:szCs w:val="22"/>
        </w:rPr>
        <w:t>6.64%</w:t>
      </w:r>
      <w:r>
        <w:rPr>
          <w:rFonts w:hint="eastAsia"/>
          <w:sz w:val="24"/>
          <w:szCs w:val="22"/>
        </w:rPr>
        <w:t>、</w:t>
      </w:r>
      <w:r>
        <w:rPr>
          <w:sz w:val="24"/>
          <w:szCs w:val="22"/>
        </w:rPr>
        <w:t>10.85%</w:t>
      </w:r>
      <w:r>
        <w:rPr>
          <w:rFonts w:hint="eastAsia"/>
          <w:sz w:val="24"/>
          <w:szCs w:val="22"/>
        </w:rPr>
        <w:t>、</w:t>
      </w:r>
      <w:r>
        <w:rPr>
          <w:sz w:val="24"/>
          <w:szCs w:val="22"/>
        </w:rPr>
        <w:t>16.53%</w:t>
      </w:r>
      <w:r>
        <w:rPr>
          <w:rFonts w:hint="eastAsia"/>
          <w:sz w:val="24"/>
          <w:szCs w:val="22"/>
        </w:rPr>
        <w:t>以及</w:t>
      </w:r>
      <w:r>
        <w:rPr>
          <w:rFonts w:hint="eastAsia"/>
          <w:sz w:val="24"/>
          <w:szCs w:val="22"/>
        </w:rPr>
        <w:t>3.84</w:t>
      </w:r>
      <w:r>
        <w:rPr>
          <w:sz w:val="24"/>
          <w:szCs w:val="22"/>
        </w:rPr>
        <w:t>%</w:t>
      </w:r>
      <w:r>
        <w:rPr>
          <w:rFonts w:hint="eastAsia"/>
          <w:sz w:val="24"/>
          <w:szCs w:val="22"/>
        </w:rPr>
        <w:t>。</w:t>
      </w:r>
      <w:r>
        <w:rPr>
          <w:rFonts w:hint="eastAsia"/>
          <w:sz w:val="24"/>
          <w:szCs w:val="22"/>
        </w:rPr>
        <w:t>2021</w:t>
      </w:r>
      <w:r>
        <w:rPr>
          <w:rFonts w:hint="eastAsia"/>
          <w:sz w:val="24"/>
          <w:szCs w:val="22"/>
        </w:rPr>
        <w:t>年货币资金增长较多，主要系公司为应对增加的在手订单，于</w:t>
      </w:r>
      <w:r>
        <w:rPr>
          <w:rFonts w:hint="eastAsia"/>
          <w:sz w:val="24"/>
          <w:szCs w:val="22"/>
        </w:rPr>
        <w:t>2021</w:t>
      </w:r>
      <w:r>
        <w:rPr>
          <w:rFonts w:hint="eastAsia"/>
          <w:sz w:val="24"/>
          <w:szCs w:val="22"/>
        </w:rPr>
        <w:t>年赎回部分理财产品所致；</w:t>
      </w:r>
      <w:r>
        <w:rPr>
          <w:rFonts w:hint="eastAsia"/>
          <w:sz w:val="24"/>
          <w:szCs w:val="22"/>
        </w:rPr>
        <w:t>2022</w:t>
      </w:r>
      <w:r>
        <w:rPr>
          <w:rFonts w:hint="eastAsia"/>
          <w:sz w:val="24"/>
          <w:szCs w:val="22"/>
        </w:rPr>
        <w:t>年末公司货币资金增加，一方面由于</w:t>
      </w:r>
      <w:r>
        <w:rPr>
          <w:rFonts w:hint="eastAsia"/>
          <w:sz w:val="24"/>
          <w:szCs w:val="22"/>
        </w:rPr>
        <w:t>2022</w:t>
      </w:r>
      <w:r>
        <w:rPr>
          <w:rFonts w:hint="eastAsia"/>
          <w:sz w:val="24"/>
          <w:szCs w:val="22"/>
        </w:rPr>
        <w:t>年订单增加导致销售回款增加，另一方面由于出售了子公司即聚机电收回长期股权投资款；</w:t>
      </w:r>
      <w:r>
        <w:rPr>
          <w:rFonts w:hint="eastAsia"/>
          <w:sz w:val="24"/>
          <w:szCs w:val="22"/>
        </w:rPr>
        <w:t>2023</w:t>
      </w:r>
      <w:r>
        <w:rPr>
          <w:rFonts w:hint="eastAsia"/>
          <w:sz w:val="24"/>
          <w:szCs w:val="22"/>
        </w:rPr>
        <w:t>年</w:t>
      </w:r>
      <w:r>
        <w:rPr>
          <w:rFonts w:hint="eastAsia"/>
          <w:sz w:val="24"/>
          <w:szCs w:val="22"/>
        </w:rPr>
        <w:t>9</w:t>
      </w:r>
      <w:r>
        <w:rPr>
          <w:rFonts w:hint="eastAsia"/>
          <w:sz w:val="24"/>
          <w:szCs w:val="22"/>
        </w:rPr>
        <w:t>月末，公司货币资金余额较</w:t>
      </w:r>
      <w:r>
        <w:rPr>
          <w:rFonts w:hint="eastAsia"/>
          <w:sz w:val="24"/>
          <w:szCs w:val="22"/>
        </w:rPr>
        <w:t>2022</w:t>
      </w:r>
      <w:r>
        <w:rPr>
          <w:rFonts w:hint="eastAsia"/>
          <w:sz w:val="24"/>
          <w:szCs w:val="22"/>
        </w:rPr>
        <w:t>年末减少，主要由于公司</w:t>
      </w:r>
      <w:r>
        <w:rPr>
          <w:rFonts w:hint="eastAsia"/>
          <w:sz w:val="24"/>
          <w:szCs w:val="22"/>
        </w:rPr>
        <w:t>2023</w:t>
      </w:r>
      <w:r>
        <w:rPr>
          <w:rFonts w:hint="eastAsia"/>
          <w:sz w:val="24"/>
          <w:szCs w:val="22"/>
        </w:rPr>
        <w:t>年购买了理财产品所致。</w:t>
      </w:r>
    </w:p>
    <w:p w14:paraId="59E89C6B" w14:textId="77777777" w:rsidR="004B0883" w:rsidRDefault="004B0883">
      <w:pPr>
        <w:keepNext/>
        <w:keepLines/>
        <w:widowControl w:val="0"/>
        <w:spacing w:beforeLines="50" w:before="120" w:line="360" w:lineRule="auto"/>
        <w:ind w:firstLineChars="200" w:firstLine="480"/>
        <w:jc w:val="both"/>
        <w:outlineLvl w:val="4"/>
        <w:rPr>
          <w:sz w:val="24"/>
          <w:szCs w:val="22"/>
        </w:rPr>
      </w:pPr>
      <w:r>
        <w:rPr>
          <w:rFonts w:hint="eastAsia"/>
          <w:sz w:val="24"/>
          <w:szCs w:val="22"/>
        </w:rPr>
        <w:t>（</w:t>
      </w:r>
      <w:r>
        <w:rPr>
          <w:sz w:val="24"/>
          <w:szCs w:val="22"/>
        </w:rPr>
        <w:t>2</w:t>
      </w:r>
      <w:r>
        <w:rPr>
          <w:rFonts w:hint="eastAsia"/>
          <w:sz w:val="24"/>
          <w:szCs w:val="22"/>
        </w:rPr>
        <w:t>）交易性金融资产</w:t>
      </w:r>
    </w:p>
    <w:p w14:paraId="4BC59FDE"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公司交易性金融资产主要为公司购买的理财产品。报告期各期末，公司交易性金融资产分别为</w:t>
      </w:r>
      <w:r>
        <w:rPr>
          <w:sz w:val="24"/>
          <w:szCs w:val="22"/>
        </w:rPr>
        <w:t>33,400.43</w:t>
      </w:r>
      <w:r>
        <w:rPr>
          <w:rFonts w:hint="eastAsia"/>
          <w:sz w:val="24"/>
          <w:szCs w:val="22"/>
        </w:rPr>
        <w:t>万元、</w:t>
      </w:r>
      <w:r>
        <w:rPr>
          <w:sz w:val="24"/>
          <w:szCs w:val="22"/>
        </w:rPr>
        <w:t>18,860.60</w:t>
      </w:r>
      <w:r>
        <w:rPr>
          <w:rFonts w:hint="eastAsia"/>
          <w:sz w:val="24"/>
          <w:szCs w:val="22"/>
        </w:rPr>
        <w:t>万元、</w:t>
      </w:r>
      <w:r>
        <w:rPr>
          <w:sz w:val="24"/>
          <w:szCs w:val="22"/>
        </w:rPr>
        <w:t>25,412.40</w:t>
      </w:r>
      <w:r>
        <w:rPr>
          <w:rFonts w:hint="eastAsia"/>
          <w:sz w:val="24"/>
          <w:szCs w:val="22"/>
        </w:rPr>
        <w:t>万元和</w:t>
      </w:r>
      <w:bookmarkStart w:id="307" w:name="_Hlk150377800"/>
      <w:r>
        <w:rPr>
          <w:sz w:val="24"/>
          <w:szCs w:val="22"/>
        </w:rPr>
        <w:t>39,822.11</w:t>
      </w:r>
      <w:bookmarkEnd w:id="307"/>
      <w:r>
        <w:rPr>
          <w:rFonts w:hint="eastAsia"/>
          <w:sz w:val="24"/>
          <w:szCs w:val="22"/>
        </w:rPr>
        <w:t>万元，占总资产的比例分别为</w:t>
      </w:r>
      <w:r>
        <w:rPr>
          <w:sz w:val="24"/>
          <w:szCs w:val="22"/>
        </w:rPr>
        <w:t>38.41%</w:t>
      </w:r>
      <w:r>
        <w:rPr>
          <w:rFonts w:hint="eastAsia"/>
          <w:sz w:val="24"/>
          <w:szCs w:val="22"/>
        </w:rPr>
        <w:t>、</w:t>
      </w:r>
      <w:r>
        <w:rPr>
          <w:sz w:val="24"/>
          <w:szCs w:val="22"/>
        </w:rPr>
        <w:t>21.19%</w:t>
      </w:r>
      <w:r>
        <w:rPr>
          <w:rFonts w:hint="eastAsia"/>
          <w:sz w:val="24"/>
          <w:szCs w:val="22"/>
        </w:rPr>
        <w:t>、</w:t>
      </w:r>
      <w:r>
        <w:rPr>
          <w:sz w:val="24"/>
          <w:szCs w:val="22"/>
        </w:rPr>
        <w:t>25.57%</w:t>
      </w:r>
      <w:r>
        <w:rPr>
          <w:rFonts w:hint="eastAsia"/>
          <w:sz w:val="24"/>
          <w:szCs w:val="22"/>
        </w:rPr>
        <w:t>和</w:t>
      </w:r>
      <w:r>
        <w:rPr>
          <w:rFonts w:hint="eastAsia"/>
          <w:sz w:val="24"/>
          <w:szCs w:val="22"/>
        </w:rPr>
        <w:t>39.53</w:t>
      </w:r>
      <w:r>
        <w:rPr>
          <w:sz w:val="24"/>
          <w:szCs w:val="22"/>
        </w:rPr>
        <w:t>%</w:t>
      </w:r>
      <w:r>
        <w:rPr>
          <w:rFonts w:hint="eastAsia"/>
          <w:sz w:val="24"/>
          <w:szCs w:val="22"/>
        </w:rPr>
        <w:t>。</w:t>
      </w:r>
      <w:r>
        <w:rPr>
          <w:rFonts w:hint="eastAsia"/>
          <w:sz w:val="24"/>
          <w:szCs w:val="22"/>
        </w:rPr>
        <w:t>2021</w:t>
      </w:r>
      <w:r>
        <w:rPr>
          <w:rFonts w:hint="eastAsia"/>
          <w:sz w:val="24"/>
          <w:szCs w:val="22"/>
        </w:rPr>
        <w:t>年末公司交易性金融资产较</w:t>
      </w:r>
      <w:r>
        <w:rPr>
          <w:rFonts w:hint="eastAsia"/>
          <w:sz w:val="24"/>
          <w:szCs w:val="22"/>
        </w:rPr>
        <w:t>2020</w:t>
      </w:r>
      <w:r>
        <w:rPr>
          <w:rFonts w:hint="eastAsia"/>
          <w:sz w:val="24"/>
          <w:szCs w:val="22"/>
        </w:rPr>
        <w:t>年末减少，主要系公司于</w:t>
      </w:r>
      <w:r>
        <w:rPr>
          <w:rFonts w:hint="eastAsia"/>
          <w:sz w:val="24"/>
          <w:szCs w:val="22"/>
        </w:rPr>
        <w:t>2021</w:t>
      </w:r>
      <w:r>
        <w:rPr>
          <w:rFonts w:hint="eastAsia"/>
          <w:sz w:val="24"/>
          <w:szCs w:val="22"/>
        </w:rPr>
        <w:t>年内赎回部分理财类产品用于补充流动资金所致；</w:t>
      </w:r>
      <w:r>
        <w:rPr>
          <w:rFonts w:hint="eastAsia"/>
          <w:sz w:val="24"/>
          <w:szCs w:val="22"/>
        </w:rPr>
        <w:t>2022</w:t>
      </w:r>
      <w:r>
        <w:rPr>
          <w:rFonts w:hint="eastAsia"/>
          <w:sz w:val="24"/>
          <w:szCs w:val="22"/>
        </w:rPr>
        <w:t>年末及</w:t>
      </w:r>
      <w:r>
        <w:rPr>
          <w:rFonts w:hint="eastAsia"/>
          <w:sz w:val="24"/>
          <w:szCs w:val="22"/>
        </w:rPr>
        <w:t>2</w:t>
      </w:r>
      <w:r>
        <w:rPr>
          <w:sz w:val="24"/>
          <w:szCs w:val="22"/>
        </w:rPr>
        <w:t>023</w:t>
      </w:r>
      <w:r>
        <w:rPr>
          <w:rFonts w:hint="eastAsia"/>
          <w:sz w:val="24"/>
          <w:szCs w:val="22"/>
        </w:rPr>
        <w:t>年</w:t>
      </w:r>
      <w:r>
        <w:rPr>
          <w:rFonts w:hint="eastAsia"/>
          <w:sz w:val="24"/>
          <w:szCs w:val="22"/>
        </w:rPr>
        <w:t>9</w:t>
      </w:r>
      <w:r>
        <w:rPr>
          <w:rFonts w:hint="eastAsia"/>
          <w:sz w:val="24"/>
          <w:szCs w:val="22"/>
        </w:rPr>
        <w:t>月末公司交易性金融资产持续增加，主要系公司为提高资金使用效率，购买了理财产品所致。</w:t>
      </w:r>
    </w:p>
    <w:p w14:paraId="7792F02C" w14:textId="77777777" w:rsidR="004B0883" w:rsidRDefault="004B0883">
      <w:pPr>
        <w:keepNext/>
        <w:keepLines/>
        <w:widowControl w:val="0"/>
        <w:spacing w:beforeLines="50" w:before="120" w:line="360" w:lineRule="auto"/>
        <w:ind w:firstLineChars="200" w:firstLine="480"/>
        <w:jc w:val="both"/>
        <w:outlineLvl w:val="4"/>
        <w:rPr>
          <w:sz w:val="24"/>
          <w:szCs w:val="22"/>
        </w:rPr>
      </w:pPr>
      <w:r>
        <w:rPr>
          <w:rFonts w:hint="eastAsia"/>
          <w:sz w:val="24"/>
          <w:szCs w:val="22"/>
        </w:rPr>
        <w:t>（</w:t>
      </w:r>
      <w:r>
        <w:rPr>
          <w:sz w:val="24"/>
          <w:szCs w:val="22"/>
        </w:rPr>
        <w:t>3</w:t>
      </w:r>
      <w:r>
        <w:rPr>
          <w:rFonts w:hint="eastAsia"/>
          <w:sz w:val="24"/>
          <w:szCs w:val="22"/>
        </w:rPr>
        <w:t>）应收账款</w:t>
      </w:r>
    </w:p>
    <w:p w14:paraId="5B14B0BC" w14:textId="77777777" w:rsidR="004B0883" w:rsidRDefault="004B0883">
      <w:pPr>
        <w:pStyle w:val="005"/>
        <w:spacing w:before="120"/>
        <w:ind w:firstLine="480"/>
      </w:pPr>
      <w:r>
        <w:rPr>
          <w:rFonts w:hint="eastAsia"/>
        </w:rPr>
        <w:t>报告期内，公司应收账款余额与营业收入的具体情况如下：</w:t>
      </w:r>
    </w:p>
    <w:p w14:paraId="43CCF3BD" w14:textId="77777777" w:rsidR="004B0883" w:rsidRDefault="004B0883">
      <w:pPr>
        <w:pStyle w:val="009"/>
      </w:pPr>
      <w:r>
        <w:rPr>
          <w:rFonts w:hint="eastAsia"/>
        </w:rP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309"/>
        <w:gridCol w:w="1494"/>
        <w:gridCol w:w="1494"/>
        <w:gridCol w:w="1494"/>
        <w:gridCol w:w="1489"/>
      </w:tblGrid>
      <w:tr w:rsidR="004B0883" w14:paraId="7CB737DD" w14:textId="77777777">
        <w:trPr>
          <w:trHeight w:val="397"/>
          <w:tblHeader/>
          <w:jc w:val="center"/>
        </w:trPr>
        <w:tc>
          <w:tcPr>
            <w:tcW w:w="1395" w:type="pct"/>
            <w:shd w:val="clear" w:color="auto" w:fill="D9D9D9"/>
            <w:vAlign w:val="center"/>
          </w:tcPr>
          <w:p w14:paraId="28AF7287" w14:textId="77777777" w:rsidR="004B0883" w:rsidRDefault="004B0883">
            <w:pPr>
              <w:adjustRightInd w:val="0"/>
              <w:snapToGrid w:val="0"/>
              <w:jc w:val="center"/>
              <w:rPr>
                <w:b/>
                <w:bCs/>
                <w:color w:val="000000"/>
                <w:kern w:val="0"/>
              </w:rPr>
            </w:pPr>
            <w:r>
              <w:rPr>
                <w:b/>
                <w:bCs/>
                <w:color w:val="000000"/>
                <w:kern w:val="0"/>
              </w:rPr>
              <w:t>项目</w:t>
            </w:r>
          </w:p>
        </w:tc>
        <w:tc>
          <w:tcPr>
            <w:tcW w:w="902" w:type="pct"/>
            <w:shd w:val="clear" w:color="auto" w:fill="D9D9D9"/>
            <w:vAlign w:val="center"/>
          </w:tcPr>
          <w:p w14:paraId="6DC968DA" w14:textId="77777777" w:rsidR="004B0883" w:rsidRDefault="004B0883">
            <w:pPr>
              <w:adjustRightInd w:val="0"/>
              <w:snapToGrid w:val="0"/>
              <w:jc w:val="center"/>
              <w:rPr>
                <w:b/>
                <w:bCs/>
                <w:color w:val="000000"/>
                <w:kern w:val="0"/>
              </w:rPr>
            </w:pPr>
            <w:r>
              <w:rPr>
                <w:b/>
                <w:bCs/>
                <w:color w:val="000000"/>
                <w:kern w:val="0"/>
              </w:rPr>
              <w:t>2023.</w:t>
            </w:r>
            <w:r>
              <w:rPr>
                <w:rFonts w:hint="eastAsia"/>
                <w:b/>
                <w:bCs/>
                <w:color w:val="000000"/>
                <w:kern w:val="0"/>
              </w:rPr>
              <w:t>9</w:t>
            </w:r>
            <w:r>
              <w:rPr>
                <w:b/>
                <w:bCs/>
                <w:color w:val="000000"/>
                <w:kern w:val="0"/>
              </w:rPr>
              <w:t>.30/</w:t>
            </w:r>
          </w:p>
          <w:p w14:paraId="62C85BCB" w14:textId="77777777" w:rsidR="004B0883" w:rsidRDefault="004B0883">
            <w:pPr>
              <w:adjustRightInd w:val="0"/>
              <w:snapToGrid w:val="0"/>
              <w:jc w:val="center"/>
              <w:rPr>
                <w:b/>
                <w:bCs/>
                <w:color w:val="000000"/>
                <w:kern w:val="0"/>
              </w:rPr>
            </w:pPr>
            <w:r>
              <w:rPr>
                <w:b/>
                <w:bCs/>
                <w:color w:val="000000"/>
                <w:kern w:val="0"/>
              </w:rPr>
              <w:t>2023</w:t>
            </w:r>
            <w:r>
              <w:rPr>
                <w:b/>
                <w:bCs/>
                <w:color w:val="000000"/>
                <w:kern w:val="0"/>
              </w:rPr>
              <w:t>年</w:t>
            </w:r>
            <w:r>
              <w:rPr>
                <w:b/>
                <w:bCs/>
                <w:color w:val="000000"/>
                <w:kern w:val="0"/>
              </w:rPr>
              <w:t>1-</w:t>
            </w:r>
            <w:r>
              <w:rPr>
                <w:rFonts w:hint="eastAsia"/>
                <w:b/>
                <w:bCs/>
                <w:color w:val="000000"/>
                <w:kern w:val="0"/>
              </w:rPr>
              <w:t>9</w:t>
            </w:r>
            <w:r>
              <w:rPr>
                <w:b/>
                <w:bCs/>
                <w:color w:val="000000"/>
                <w:kern w:val="0"/>
              </w:rPr>
              <w:t>月</w:t>
            </w:r>
          </w:p>
        </w:tc>
        <w:tc>
          <w:tcPr>
            <w:tcW w:w="902" w:type="pct"/>
            <w:shd w:val="clear" w:color="auto" w:fill="D9D9D9"/>
            <w:vAlign w:val="center"/>
          </w:tcPr>
          <w:p w14:paraId="3B766A77" w14:textId="77777777" w:rsidR="004B0883" w:rsidRDefault="004B0883">
            <w:pPr>
              <w:adjustRightInd w:val="0"/>
              <w:snapToGrid w:val="0"/>
              <w:jc w:val="center"/>
              <w:rPr>
                <w:b/>
                <w:bCs/>
                <w:color w:val="000000"/>
                <w:kern w:val="0"/>
              </w:rPr>
            </w:pPr>
            <w:r>
              <w:rPr>
                <w:b/>
                <w:bCs/>
                <w:color w:val="000000"/>
                <w:kern w:val="0"/>
              </w:rPr>
              <w:t>2022.12.31/</w:t>
            </w:r>
          </w:p>
          <w:p w14:paraId="48DF2A67" w14:textId="77777777" w:rsidR="004B0883" w:rsidRDefault="004B0883">
            <w:pPr>
              <w:adjustRightInd w:val="0"/>
              <w:snapToGrid w:val="0"/>
              <w:jc w:val="center"/>
              <w:rPr>
                <w:b/>
                <w:bCs/>
                <w:color w:val="000000"/>
                <w:kern w:val="0"/>
              </w:rPr>
            </w:pPr>
            <w:r>
              <w:rPr>
                <w:b/>
                <w:bCs/>
                <w:color w:val="000000"/>
                <w:kern w:val="0"/>
              </w:rPr>
              <w:t>2022</w:t>
            </w:r>
            <w:r>
              <w:rPr>
                <w:b/>
                <w:bCs/>
                <w:color w:val="000000"/>
                <w:kern w:val="0"/>
              </w:rPr>
              <w:t>年度</w:t>
            </w:r>
          </w:p>
        </w:tc>
        <w:tc>
          <w:tcPr>
            <w:tcW w:w="902" w:type="pct"/>
            <w:shd w:val="clear" w:color="auto" w:fill="D9D9D9"/>
            <w:vAlign w:val="center"/>
          </w:tcPr>
          <w:p w14:paraId="346A7CB9" w14:textId="77777777" w:rsidR="004B0883" w:rsidRDefault="004B0883">
            <w:pPr>
              <w:adjustRightInd w:val="0"/>
              <w:snapToGrid w:val="0"/>
              <w:jc w:val="center"/>
              <w:rPr>
                <w:b/>
                <w:bCs/>
                <w:color w:val="000000"/>
                <w:kern w:val="0"/>
              </w:rPr>
            </w:pPr>
            <w:r>
              <w:rPr>
                <w:b/>
                <w:bCs/>
                <w:color w:val="000000"/>
                <w:kern w:val="0"/>
              </w:rPr>
              <w:t>2021.12.31/</w:t>
            </w:r>
          </w:p>
          <w:p w14:paraId="743F8DBC" w14:textId="77777777" w:rsidR="004B0883" w:rsidRDefault="004B0883">
            <w:pPr>
              <w:adjustRightInd w:val="0"/>
              <w:snapToGrid w:val="0"/>
              <w:jc w:val="center"/>
              <w:rPr>
                <w:b/>
                <w:bCs/>
                <w:color w:val="000000"/>
                <w:kern w:val="0"/>
              </w:rPr>
            </w:pPr>
            <w:r>
              <w:rPr>
                <w:b/>
                <w:bCs/>
                <w:color w:val="000000"/>
                <w:kern w:val="0"/>
              </w:rPr>
              <w:t>2021</w:t>
            </w:r>
            <w:r>
              <w:rPr>
                <w:b/>
                <w:bCs/>
                <w:color w:val="000000"/>
                <w:kern w:val="0"/>
              </w:rPr>
              <w:t>年度</w:t>
            </w:r>
          </w:p>
        </w:tc>
        <w:tc>
          <w:tcPr>
            <w:tcW w:w="899" w:type="pct"/>
            <w:shd w:val="clear" w:color="auto" w:fill="D9D9D9"/>
            <w:vAlign w:val="center"/>
          </w:tcPr>
          <w:p w14:paraId="452D5EE8" w14:textId="77777777" w:rsidR="004B0883" w:rsidRDefault="004B0883">
            <w:pPr>
              <w:adjustRightInd w:val="0"/>
              <w:snapToGrid w:val="0"/>
              <w:jc w:val="center"/>
              <w:rPr>
                <w:b/>
                <w:bCs/>
                <w:color w:val="000000"/>
                <w:kern w:val="0"/>
              </w:rPr>
            </w:pPr>
            <w:r>
              <w:rPr>
                <w:b/>
                <w:bCs/>
                <w:color w:val="000000"/>
                <w:kern w:val="0"/>
              </w:rPr>
              <w:t>2020.12.31/</w:t>
            </w:r>
          </w:p>
          <w:p w14:paraId="789EBCA0" w14:textId="77777777" w:rsidR="004B0883" w:rsidRDefault="004B0883">
            <w:pPr>
              <w:adjustRightInd w:val="0"/>
              <w:snapToGrid w:val="0"/>
              <w:jc w:val="center"/>
              <w:rPr>
                <w:b/>
                <w:bCs/>
                <w:color w:val="000000"/>
                <w:kern w:val="0"/>
              </w:rPr>
            </w:pPr>
            <w:r>
              <w:rPr>
                <w:b/>
                <w:bCs/>
                <w:color w:val="000000"/>
                <w:kern w:val="0"/>
              </w:rPr>
              <w:t>2020</w:t>
            </w:r>
            <w:r>
              <w:rPr>
                <w:b/>
                <w:bCs/>
                <w:color w:val="000000"/>
                <w:kern w:val="0"/>
              </w:rPr>
              <w:t>年度</w:t>
            </w:r>
          </w:p>
        </w:tc>
      </w:tr>
      <w:tr w:rsidR="004B0883" w14:paraId="0949A5D3" w14:textId="77777777">
        <w:trPr>
          <w:trHeight w:val="397"/>
          <w:tblHeader/>
          <w:jc w:val="center"/>
        </w:trPr>
        <w:tc>
          <w:tcPr>
            <w:tcW w:w="1395" w:type="pct"/>
            <w:vAlign w:val="center"/>
          </w:tcPr>
          <w:p w14:paraId="1BE70F4D" w14:textId="77777777" w:rsidR="004B0883" w:rsidRDefault="004B0883">
            <w:pPr>
              <w:adjustRightInd w:val="0"/>
              <w:snapToGrid w:val="0"/>
              <w:jc w:val="both"/>
              <w:rPr>
                <w:color w:val="000000"/>
                <w:kern w:val="0"/>
              </w:rPr>
            </w:pPr>
            <w:r>
              <w:rPr>
                <w:rFonts w:hint="eastAsia"/>
                <w:color w:val="000000"/>
                <w:kern w:val="0"/>
              </w:rPr>
              <w:t>应收账款账面余额</w:t>
            </w:r>
          </w:p>
        </w:tc>
        <w:tc>
          <w:tcPr>
            <w:tcW w:w="902" w:type="pct"/>
            <w:vAlign w:val="center"/>
          </w:tcPr>
          <w:p w14:paraId="0A42B3C0" w14:textId="77777777" w:rsidR="004B0883" w:rsidRDefault="004B0883">
            <w:pPr>
              <w:adjustRightInd w:val="0"/>
              <w:snapToGrid w:val="0"/>
              <w:jc w:val="right"/>
              <w:rPr>
                <w:color w:val="000000"/>
                <w:kern w:val="0"/>
              </w:rPr>
            </w:pPr>
            <w:r>
              <w:rPr>
                <w:color w:val="000000"/>
                <w:kern w:val="0"/>
              </w:rPr>
              <w:t>10,058.72</w:t>
            </w:r>
          </w:p>
        </w:tc>
        <w:tc>
          <w:tcPr>
            <w:tcW w:w="902" w:type="pct"/>
            <w:vAlign w:val="center"/>
          </w:tcPr>
          <w:p w14:paraId="3BF677C2" w14:textId="77777777" w:rsidR="004B0883" w:rsidRDefault="004B0883">
            <w:pPr>
              <w:adjustRightInd w:val="0"/>
              <w:snapToGrid w:val="0"/>
              <w:jc w:val="right"/>
              <w:rPr>
                <w:color w:val="000000"/>
                <w:kern w:val="0"/>
              </w:rPr>
            </w:pPr>
            <w:r>
              <w:rPr>
                <w:color w:val="000000"/>
                <w:kern w:val="0"/>
              </w:rPr>
              <w:t>8,801.49</w:t>
            </w:r>
          </w:p>
        </w:tc>
        <w:tc>
          <w:tcPr>
            <w:tcW w:w="902" w:type="pct"/>
            <w:vAlign w:val="center"/>
          </w:tcPr>
          <w:p w14:paraId="795D315A" w14:textId="77777777" w:rsidR="004B0883" w:rsidRDefault="004B0883">
            <w:pPr>
              <w:adjustRightInd w:val="0"/>
              <w:snapToGrid w:val="0"/>
              <w:jc w:val="right"/>
              <w:rPr>
                <w:color w:val="000000"/>
                <w:kern w:val="0"/>
              </w:rPr>
            </w:pPr>
            <w:r>
              <w:rPr>
                <w:color w:val="000000"/>
                <w:kern w:val="0"/>
              </w:rPr>
              <w:t>7,911.04</w:t>
            </w:r>
          </w:p>
        </w:tc>
        <w:tc>
          <w:tcPr>
            <w:tcW w:w="899" w:type="pct"/>
            <w:vAlign w:val="center"/>
          </w:tcPr>
          <w:p w14:paraId="073B4EC6" w14:textId="77777777" w:rsidR="004B0883" w:rsidRDefault="004B0883">
            <w:pPr>
              <w:adjustRightInd w:val="0"/>
              <w:snapToGrid w:val="0"/>
              <w:jc w:val="right"/>
              <w:rPr>
                <w:color w:val="000000"/>
                <w:kern w:val="0"/>
              </w:rPr>
            </w:pPr>
            <w:r>
              <w:rPr>
                <w:color w:val="000000"/>
                <w:kern w:val="0"/>
              </w:rPr>
              <w:t>5,582.27</w:t>
            </w:r>
          </w:p>
        </w:tc>
      </w:tr>
      <w:tr w:rsidR="004B0883" w14:paraId="15961F47" w14:textId="77777777">
        <w:trPr>
          <w:trHeight w:val="397"/>
          <w:tblHeader/>
          <w:jc w:val="center"/>
        </w:trPr>
        <w:tc>
          <w:tcPr>
            <w:tcW w:w="1395" w:type="pct"/>
            <w:vAlign w:val="center"/>
          </w:tcPr>
          <w:p w14:paraId="696B435A" w14:textId="77777777" w:rsidR="004B0883" w:rsidRDefault="004B0883">
            <w:pPr>
              <w:adjustRightInd w:val="0"/>
              <w:snapToGrid w:val="0"/>
              <w:jc w:val="both"/>
              <w:rPr>
                <w:color w:val="000000"/>
                <w:kern w:val="0"/>
              </w:rPr>
            </w:pPr>
            <w:r>
              <w:rPr>
                <w:rFonts w:hint="eastAsia"/>
                <w:color w:val="000000"/>
                <w:kern w:val="0"/>
              </w:rPr>
              <w:t>坏账准备</w:t>
            </w:r>
          </w:p>
        </w:tc>
        <w:tc>
          <w:tcPr>
            <w:tcW w:w="902" w:type="pct"/>
            <w:vAlign w:val="center"/>
          </w:tcPr>
          <w:p w14:paraId="5303BA45" w14:textId="77777777" w:rsidR="004B0883" w:rsidRDefault="004B0883">
            <w:pPr>
              <w:adjustRightInd w:val="0"/>
              <w:snapToGrid w:val="0"/>
              <w:jc w:val="right"/>
              <w:rPr>
                <w:color w:val="000000"/>
                <w:kern w:val="0"/>
              </w:rPr>
            </w:pPr>
            <w:r>
              <w:t>899.88</w:t>
            </w:r>
          </w:p>
        </w:tc>
        <w:tc>
          <w:tcPr>
            <w:tcW w:w="902" w:type="pct"/>
            <w:vAlign w:val="center"/>
          </w:tcPr>
          <w:p w14:paraId="510DDC75" w14:textId="77777777" w:rsidR="004B0883" w:rsidRDefault="004B0883">
            <w:pPr>
              <w:adjustRightInd w:val="0"/>
              <w:snapToGrid w:val="0"/>
              <w:jc w:val="right"/>
              <w:rPr>
                <w:color w:val="000000"/>
                <w:kern w:val="0"/>
              </w:rPr>
            </w:pPr>
            <w:r>
              <w:rPr>
                <w:color w:val="000000"/>
                <w:kern w:val="0"/>
              </w:rPr>
              <w:t>835.68</w:t>
            </w:r>
          </w:p>
        </w:tc>
        <w:tc>
          <w:tcPr>
            <w:tcW w:w="902" w:type="pct"/>
            <w:vAlign w:val="center"/>
          </w:tcPr>
          <w:p w14:paraId="1BCF43DB" w14:textId="77777777" w:rsidR="004B0883" w:rsidRDefault="004B0883">
            <w:pPr>
              <w:adjustRightInd w:val="0"/>
              <w:snapToGrid w:val="0"/>
              <w:jc w:val="right"/>
              <w:rPr>
                <w:color w:val="000000"/>
                <w:kern w:val="0"/>
              </w:rPr>
            </w:pPr>
            <w:r>
              <w:rPr>
                <w:color w:val="000000"/>
                <w:kern w:val="0"/>
              </w:rPr>
              <w:t>725.59</w:t>
            </w:r>
          </w:p>
        </w:tc>
        <w:tc>
          <w:tcPr>
            <w:tcW w:w="899" w:type="pct"/>
            <w:vAlign w:val="center"/>
          </w:tcPr>
          <w:p w14:paraId="796AE9BE" w14:textId="77777777" w:rsidR="004B0883" w:rsidRDefault="004B0883">
            <w:pPr>
              <w:adjustRightInd w:val="0"/>
              <w:snapToGrid w:val="0"/>
              <w:jc w:val="right"/>
              <w:rPr>
                <w:color w:val="000000"/>
                <w:kern w:val="0"/>
              </w:rPr>
            </w:pPr>
            <w:r>
              <w:rPr>
                <w:color w:val="000000"/>
                <w:kern w:val="0"/>
              </w:rPr>
              <w:t>497.88</w:t>
            </w:r>
          </w:p>
        </w:tc>
      </w:tr>
      <w:tr w:rsidR="004B0883" w14:paraId="2FB5E0FB" w14:textId="77777777">
        <w:trPr>
          <w:trHeight w:val="397"/>
          <w:jc w:val="center"/>
        </w:trPr>
        <w:tc>
          <w:tcPr>
            <w:tcW w:w="1395" w:type="pct"/>
            <w:vAlign w:val="center"/>
          </w:tcPr>
          <w:p w14:paraId="3B3AA702" w14:textId="77777777" w:rsidR="004B0883" w:rsidRDefault="004B0883">
            <w:pPr>
              <w:adjustRightInd w:val="0"/>
              <w:snapToGrid w:val="0"/>
              <w:rPr>
                <w:rFonts w:hint="eastAsia"/>
                <w:color w:val="000000"/>
                <w:kern w:val="0"/>
              </w:rPr>
            </w:pPr>
            <w:r>
              <w:rPr>
                <w:color w:val="000000"/>
                <w:kern w:val="0"/>
              </w:rPr>
              <w:t>应收账款</w:t>
            </w:r>
            <w:r>
              <w:rPr>
                <w:rFonts w:hint="eastAsia"/>
                <w:color w:val="000000"/>
                <w:kern w:val="0"/>
              </w:rPr>
              <w:t>账面价值</w:t>
            </w:r>
          </w:p>
        </w:tc>
        <w:tc>
          <w:tcPr>
            <w:tcW w:w="902" w:type="pct"/>
            <w:vAlign w:val="center"/>
          </w:tcPr>
          <w:p w14:paraId="5425C4C0" w14:textId="77777777" w:rsidR="004B0883" w:rsidRDefault="004B0883">
            <w:pPr>
              <w:adjustRightInd w:val="0"/>
              <w:snapToGrid w:val="0"/>
              <w:jc w:val="right"/>
              <w:rPr>
                <w:color w:val="000000"/>
                <w:kern w:val="0"/>
              </w:rPr>
            </w:pPr>
            <w:r>
              <w:t>9,158.84</w:t>
            </w:r>
          </w:p>
        </w:tc>
        <w:tc>
          <w:tcPr>
            <w:tcW w:w="902" w:type="pct"/>
            <w:vAlign w:val="center"/>
          </w:tcPr>
          <w:p w14:paraId="47F9EF76" w14:textId="77777777" w:rsidR="004B0883" w:rsidRDefault="004B0883">
            <w:pPr>
              <w:adjustRightInd w:val="0"/>
              <w:snapToGrid w:val="0"/>
              <w:jc w:val="right"/>
              <w:rPr>
                <w:color w:val="000000"/>
                <w:kern w:val="0"/>
              </w:rPr>
            </w:pPr>
            <w:r>
              <w:rPr>
                <w:color w:val="000000"/>
                <w:kern w:val="0"/>
              </w:rPr>
              <w:t>7,965.82</w:t>
            </w:r>
          </w:p>
        </w:tc>
        <w:tc>
          <w:tcPr>
            <w:tcW w:w="902" w:type="pct"/>
            <w:vAlign w:val="center"/>
          </w:tcPr>
          <w:p w14:paraId="5A64696B" w14:textId="77777777" w:rsidR="004B0883" w:rsidRDefault="004B0883">
            <w:pPr>
              <w:adjustRightInd w:val="0"/>
              <w:snapToGrid w:val="0"/>
              <w:jc w:val="right"/>
              <w:rPr>
                <w:color w:val="000000"/>
                <w:kern w:val="0"/>
              </w:rPr>
            </w:pPr>
            <w:r>
              <w:rPr>
                <w:color w:val="000000"/>
                <w:kern w:val="0"/>
              </w:rPr>
              <w:t>7,185.46</w:t>
            </w:r>
          </w:p>
        </w:tc>
        <w:tc>
          <w:tcPr>
            <w:tcW w:w="899" w:type="pct"/>
            <w:vAlign w:val="center"/>
          </w:tcPr>
          <w:p w14:paraId="592D08C2" w14:textId="77777777" w:rsidR="004B0883" w:rsidRDefault="004B0883">
            <w:pPr>
              <w:adjustRightInd w:val="0"/>
              <w:snapToGrid w:val="0"/>
              <w:jc w:val="right"/>
              <w:rPr>
                <w:color w:val="000000"/>
                <w:kern w:val="0"/>
              </w:rPr>
            </w:pPr>
            <w:r>
              <w:rPr>
                <w:color w:val="000000"/>
                <w:kern w:val="0"/>
              </w:rPr>
              <w:t>5,084.39</w:t>
            </w:r>
          </w:p>
        </w:tc>
      </w:tr>
      <w:tr w:rsidR="004B0883" w14:paraId="32770EAA" w14:textId="77777777">
        <w:trPr>
          <w:trHeight w:val="397"/>
          <w:jc w:val="center"/>
        </w:trPr>
        <w:tc>
          <w:tcPr>
            <w:tcW w:w="1395" w:type="pct"/>
            <w:vAlign w:val="center"/>
          </w:tcPr>
          <w:p w14:paraId="6F84C33D" w14:textId="77777777" w:rsidR="004B0883" w:rsidRDefault="004B0883">
            <w:pPr>
              <w:adjustRightInd w:val="0"/>
              <w:snapToGrid w:val="0"/>
              <w:rPr>
                <w:color w:val="000000"/>
                <w:kern w:val="0"/>
              </w:rPr>
            </w:pPr>
            <w:r>
              <w:rPr>
                <w:color w:val="000000"/>
                <w:kern w:val="0"/>
              </w:rPr>
              <w:t>营业收入</w:t>
            </w:r>
          </w:p>
        </w:tc>
        <w:tc>
          <w:tcPr>
            <w:tcW w:w="902" w:type="pct"/>
            <w:vAlign w:val="center"/>
          </w:tcPr>
          <w:p w14:paraId="5342F4FE" w14:textId="77777777" w:rsidR="004B0883" w:rsidRDefault="004B0883">
            <w:pPr>
              <w:adjustRightInd w:val="0"/>
              <w:snapToGrid w:val="0"/>
              <w:jc w:val="right"/>
              <w:rPr>
                <w:color w:val="000000"/>
                <w:kern w:val="0"/>
              </w:rPr>
            </w:pPr>
            <w:r>
              <w:rPr>
                <w:color w:val="000000"/>
                <w:kern w:val="0"/>
              </w:rPr>
              <w:t>39,909.71</w:t>
            </w:r>
          </w:p>
        </w:tc>
        <w:tc>
          <w:tcPr>
            <w:tcW w:w="902" w:type="pct"/>
            <w:vAlign w:val="center"/>
          </w:tcPr>
          <w:p w14:paraId="4ABD9B99" w14:textId="77777777" w:rsidR="004B0883" w:rsidRDefault="004B0883">
            <w:pPr>
              <w:adjustRightInd w:val="0"/>
              <w:snapToGrid w:val="0"/>
              <w:jc w:val="right"/>
              <w:rPr>
                <w:color w:val="000000"/>
                <w:kern w:val="0"/>
              </w:rPr>
            </w:pPr>
            <w:r>
              <w:rPr>
                <w:color w:val="000000"/>
                <w:kern w:val="0"/>
              </w:rPr>
              <w:t>54,014.16</w:t>
            </w:r>
          </w:p>
        </w:tc>
        <w:tc>
          <w:tcPr>
            <w:tcW w:w="902" w:type="pct"/>
            <w:vAlign w:val="center"/>
          </w:tcPr>
          <w:p w14:paraId="670728ED" w14:textId="77777777" w:rsidR="004B0883" w:rsidRDefault="004B0883">
            <w:pPr>
              <w:adjustRightInd w:val="0"/>
              <w:snapToGrid w:val="0"/>
              <w:jc w:val="right"/>
              <w:rPr>
                <w:color w:val="000000"/>
                <w:kern w:val="0"/>
              </w:rPr>
            </w:pPr>
            <w:r>
              <w:rPr>
                <w:color w:val="000000"/>
                <w:kern w:val="0"/>
              </w:rPr>
              <w:t>41,516.27</w:t>
            </w:r>
          </w:p>
        </w:tc>
        <w:tc>
          <w:tcPr>
            <w:tcW w:w="899" w:type="pct"/>
            <w:vAlign w:val="center"/>
          </w:tcPr>
          <w:p w14:paraId="18B9FEF7" w14:textId="77777777" w:rsidR="004B0883" w:rsidRDefault="004B0883">
            <w:pPr>
              <w:adjustRightInd w:val="0"/>
              <w:snapToGrid w:val="0"/>
              <w:jc w:val="right"/>
              <w:rPr>
                <w:color w:val="000000"/>
                <w:kern w:val="0"/>
              </w:rPr>
            </w:pPr>
            <w:r>
              <w:rPr>
                <w:color w:val="000000"/>
                <w:kern w:val="0"/>
              </w:rPr>
              <w:t xml:space="preserve">34,459.00 </w:t>
            </w:r>
          </w:p>
        </w:tc>
      </w:tr>
      <w:tr w:rsidR="004B0883" w14:paraId="1598B67D" w14:textId="77777777">
        <w:trPr>
          <w:trHeight w:val="397"/>
          <w:jc w:val="center"/>
        </w:trPr>
        <w:tc>
          <w:tcPr>
            <w:tcW w:w="1395" w:type="pct"/>
            <w:vAlign w:val="center"/>
          </w:tcPr>
          <w:p w14:paraId="1C7A6DCC" w14:textId="77777777" w:rsidR="004B0883" w:rsidRDefault="004B0883">
            <w:pPr>
              <w:adjustRightInd w:val="0"/>
              <w:snapToGrid w:val="0"/>
              <w:rPr>
                <w:color w:val="000000"/>
                <w:kern w:val="0"/>
              </w:rPr>
            </w:pPr>
            <w:r>
              <w:rPr>
                <w:color w:val="000000"/>
                <w:kern w:val="0"/>
              </w:rPr>
              <w:t>应收账款</w:t>
            </w:r>
            <w:r>
              <w:rPr>
                <w:rFonts w:hint="eastAsia"/>
                <w:color w:val="000000"/>
                <w:kern w:val="0"/>
              </w:rPr>
              <w:t>账面价值</w:t>
            </w:r>
            <w:r>
              <w:rPr>
                <w:color w:val="000000"/>
                <w:kern w:val="0"/>
              </w:rPr>
              <w:t>/</w:t>
            </w:r>
            <w:r>
              <w:rPr>
                <w:color w:val="000000"/>
                <w:kern w:val="0"/>
              </w:rPr>
              <w:t>营业收入</w:t>
            </w:r>
          </w:p>
        </w:tc>
        <w:tc>
          <w:tcPr>
            <w:tcW w:w="902" w:type="pct"/>
            <w:vAlign w:val="center"/>
          </w:tcPr>
          <w:p w14:paraId="1FD2DD04" w14:textId="77777777" w:rsidR="004B0883" w:rsidRDefault="004B0883">
            <w:pPr>
              <w:adjustRightInd w:val="0"/>
              <w:snapToGrid w:val="0"/>
              <w:jc w:val="right"/>
              <w:rPr>
                <w:color w:val="000000"/>
                <w:kern w:val="0"/>
              </w:rPr>
            </w:pPr>
            <w:r>
              <w:rPr>
                <w:rFonts w:hint="eastAsia"/>
                <w:color w:val="000000"/>
                <w:kern w:val="0"/>
              </w:rPr>
              <w:t>22.95</w:t>
            </w:r>
            <w:r>
              <w:rPr>
                <w:color w:val="000000"/>
                <w:kern w:val="0"/>
              </w:rPr>
              <w:t>%</w:t>
            </w:r>
          </w:p>
        </w:tc>
        <w:tc>
          <w:tcPr>
            <w:tcW w:w="902" w:type="pct"/>
            <w:vAlign w:val="center"/>
          </w:tcPr>
          <w:p w14:paraId="777594E0" w14:textId="77777777" w:rsidR="004B0883" w:rsidRDefault="004B0883">
            <w:pPr>
              <w:adjustRightInd w:val="0"/>
              <w:snapToGrid w:val="0"/>
              <w:jc w:val="right"/>
              <w:rPr>
                <w:color w:val="000000"/>
                <w:kern w:val="0"/>
              </w:rPr>
            </w:pPr>
            <w:r>
              <w:rPr>
                <w:color w:val="000000"/>
                <w:kern w:val="0"/>
              </w:rPr>
              <w:t>14.75%</w:t>
            </w:r>
          </w:p>
        </w:tc>
        <w:tc>
          <w:tcPr>
            <w:tcW w:w="902" w:type="pct"/>
            <w:vAlign w:val="center"/>
          </w:tcPr>
          <w:p w14:paraId="74DD5EF1" w14:textId="77777777" w:rsidR="004B0883" w:rsidRDefault="004B0883">
            <w:pPr>
              <w:adjustRightInd w:val="0"/>
              <w:snapToGrid w:val="0"/>
              <w:jc w:val="right"/>
              <w:rPr>
                <w:color w:val="000000"/>
                <w:kern w:val="0"/>
              </w:rPr>
            </w:pPr>
            <w:r>
              <w:rPr>
                <w:color w:val="000000"/>
                <w:kern w:val="0"/>
              </w:rPr>
              <w:t>17.31%</w:t>
            </w:r>
          </w:p>
        </w:tc>
        <w:tc>
          <w:tcPr>
            <w:tcW w:w="899" w:type="pct"/>
            <w:vAlign w:val="center"/>
          </w:tcPr>
          <w:p w14:paraId="6B903045" w14:textId="77777777" w:rsidR="004B0883" w:rsidRDefault="004B0883">
            <w:pPr>
              <w:adjustRightInd w:val="0"/>
              <w:snapToGrid w:val="0"/>
              <w:jc w:val="right"/>
              <w:rPr>
                <w:color w:val="000000"/>
                <w:kern w:val="0"/>
              </w:rPr>
            </w:pPr>
            <w:r>
              <w:rPr>
                <w:color w:val="000000"/>
                <w:kern w:val="0"/>
              </w:rPr>
              <w:t>14.75%</w:t>
            </w:r>
          </w:p>
        </w:tc>
      </w:tr>
    </w:tbl>
    <w:p w14:paraId="1E9D90C9" w14:textId="77777777" w:rsidR="004B0883" w:rsidRDefault="004B0883">
      <w:pPr>
        <w:widowControl w:val="0"/>
        <w:spacing w:beforeLines="50" w:before="120" w:line="360" w:lineRule="auto"/>
        <w:ind w:firstLineChars="200" w:firstLine="480"/>
        <w:jc w:val="both"/>
        <w:rPr>
          <w:sz w:val="24"/>
          <w:szCs w:val="22"/>
        </w:rPr>
      </w:pPr>
      <w:r>
        <w:rPr>
          <w:sz w:val="24"/>
          <w:szCs w:val="22"/>
        </w:rPr>
        <w:t>1</w:t>
      </w:r>
      <w:r>
        <w:rPr>
          <w:sz w:val="24"/>
          <w:szCs w:val="22"/>
        </w:rPr>
        <w:t>）</w:t>
      </w:r>
      <w:r>
        <w:rPr>
          <w:rFonts w:hint="eastAsia"/>
          <w:sz w:val="24"/>
          <w:szCs w:val="22"/>
        </w:rPr>
        <w:t>应收账款及变动情况分析</w:t>
      </w:r>
    </w:p>
    <w:p w14:paraId="1DC82B6A"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报告期各期末，公司应收账款账面价值分别为</w:t>
      </w:r>
      <w:r>
        <w:rPr>
          <w:sz w:val="24"/>
          <w:szCs w:val="22"/>
        </w:rPr>
        <w:t>5,084.39</w:t>
      </w:r>
      <w:r>
        <w:rPr>
          <w:rFonts w:hint="eastAsia"/>
          <w:sz w:val="24"/>
          <w:szCs w:val="22"/>
        </w:rPr>
        <w:t>万元、</w:t>
      </w:r>
      <w:r>
        <w:rPr>
          <w:sz w:val="24"/>
          <w:szCs w:val="22"/>
        </w:rPr>
        <w:t>7,185.46</w:t>
      </w:r>
      <w:r>
        <w:rPr>
          <w:rFonts w:hint="eastAsia"/>
          <w:sz w:val="24"/>
          <w:szCs w:val="22"/>
        </w:rPr>
        <w:t>万元、</w:t>
      </w:r>
      <w:r>
        <w:rPr>
          <w:bCs/>
          <w:color w:val="000000"/>
          <w:sz w:val="24"/>
        </w:rPr>
        <w:t>7,965.82</w:t>
      </w:r>
      <w:r>
        <w:rPr>
          <w:rFonts w:hint="eastAsia"/>
          <w:sz w:val="24"/>
          <w:szCs w:val="22"/>
        </w:rPr>
        <w:t>万元和</w:t>
      </w:r>
      <w:bookmarkStart w:id="308" w:name="_Hlk150377852"/>
      <w:r>
        <w:rPr>
          <w:sz w:val="24"/>
          <w:szCs w:val="22"/>
        </w:rPr>
        <w:t>9,158.84</w:t>
      </w:r>
      <w:bookmarkEnd w:id="308"/>
      <w:r>
        <w:rPr>
          <w:rFonts w:hint="eastAsia"/>
          <w:sz w:val="24"/>
          <w:szCs w:val="22"/>
        </w:rPr>
        <w:t>万元，占当期营业收入比例分别为</w:t>
      </w:r>
      <w:r>
        <w:rPr>
          <w:sz w:val="24"/>
          <w:szCs w:val="22"/>
        </w:rPr>
        <w:t>14.75%</w:t>
      </w:r>
      <w:r>
        <w:rPr>
          <w:rFonts w:hint="eastAsia"/>
          <w:sz w:val="24"/>
          <w:szCs w:val="22"/>
        </w:rPr>
        <w:t>、</w:t>
      </w:r>
      <w:r>
        <w:rPr>
          <w:sz w:val="24"/>
          <w:szCs w:val="22"/>
        </w:rPr>
        <w:t>17.31%</w:t>
      </w:r>
      <w:r>
        <w:rPr>
          <w:rFonts w:hint="eastAsia"/>
          <w:sz w:val="24"/>
          <w:szCs w:val="22"/>
        </w:rPr>
        <w:t>、</w:t>
      </w:r>
      <w:r>
        <w:rPr>
          <w:sz w:val="24"/>
          <w:szCs w:val="22"/>
        </w:rPr>
        <w:t>14.75%</w:t>
      </w:r>
      <w:r>
        <w:rPr>
          <w:rFonts w:hint="eastAsia"/>
          <w:sz w:val="24"/>
          <w:szCs w:val="22"/>
        </w:rPr>
        <w:t>和</w:t>
      </w:r>
      <w:r>
        <w:rPr>
          <w:rFonts w:hint="eastAsia"/>
          <w:sz w:val="24"/>
          <w:szCs w:val="22"/>
        </w:rPr>
        <w:t>22.95</w:t>
      </w:r>
      <w:r>
        <w:rPr>
          <w:sz w:val="24"/>
          <w:szCs w:val="22"/>
        </w:rPr>
        <w:t>%</w:t>
      </w:r>
      <w:r>
        <w:rPr>
          <w:rFonts w:hint="eastAsia"/>
          <w:sz w:val="24"/>
          <w:szCs w:val="22"/>
        </w:rPr>
        <w:t>，除</w:t>
      </w:r>
      <w:r>
        <w:rPr>
          <w:rFonts w:hint="eastAsia"/>
          <w:sz w:val="24"/>
          <w:szCs w:val="22"/>
        </w:rPr>
        <w:t>2023</w:t>
      </w:r>
      <w:r>
        <w:rPr>
          <w:rFonts w:hint="eastAsia"/>
          <w:sz w:val="24"/>
          <w:szCs w:val="22"/>
        </w:rPr>
        <w:t>年</w:t>
      </w:r>
      <w:r>
        <w:rPr>
          <w:rFonts w:hint="eastAsia"/>
          <w:sz w:val="24"/>
          <w:szCs w:val="22"/>
        </w:rPr>
        <w:t>9</w:t>
      </w:r>
      <w:r>
        <w:rPr>
          <w:rFonts w:hint="eastAsia"/>
          <w:sz w:val="24"/>
          <w:szCs w:val="22"/>
        </w:rPr>
        <w:t>月末外，各期末保持相对稳定。</w:t>
      </w:r>
    </w:p>
    <w:p w14:paraId="2336446C"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报告期各期末，随着公司销售规模不断增长，应收账款呈上升趋势，与营业收入的上升趋势相匹配。</w:t>
      </w:r>
      <w:r>
        <w:rPr>
          <w:sz w:val="24"/>
          <w:szCs w:val="22"/>
        </w:rPr>
        <w:t xml:space="preserve"> </w:t>
      </w:r>
    </w:p>
    <w:p w14:paraId="73EB9E93" w14:textId="77777777" w:rsidR="004B0883" w:rsidRDefault="004B0883">
      <w:pPr>
        <w:widowControl w:val="0"/>
        <w:spacing w:beforeLines="50" w:before="120" w:line="360" w:lineRule="auto"/>
        <w:ind w:firstLineChars="200" w:firstLine="480"/>
        <w:jc w:val="both"/>
        <w:rPr>
          <w:sz w:val="24"/>
          <w:szCs w:val="22"/>
        </w:rPr>
      </w:pPr>
      <w:r>
        <w:rPr>
          <w:bCs/>
          <w:sz w:val="24"/>
          <w:szCs w:val="24"/>
        </w:rPr>
        <w:t>2</w:t>
      </w:r>
      <w:r>
        <w:rPr>
          <w:bCs/>
          <w:sz w:val="24"/>
          <w:szCs w:val="24"/>
        </w:rPr>
        <w:t>）</w:t>
      </w:r>
      <w:r>
        <w:rPr>
          <w:rFonts w:hint="eastAsia"/>
          <w:sz w:val="24"/>
          <w:szCs w:val="22"/>
        </w:rPr>
        <w:t>应收账款账龄及坏账准备计提分析</w:t>
      </w:r>
    </w:p>
    <w:p w14:paraId="312F6836" w14:textId="77777777" w:rsidR="004B0883" w:rsidRDefault="004B0883">
      <w:pPr>
        <w:widowControl w:val="0"/>
        <w:spacing w:beforeLines="50" w:before="120" w:line="360" w:lineRule="auto"/>
        <w:ind w:firstLineChars="200" w:firstLine="480"/>
        <w:jc w:val="both"/>
        <w:rPr>
          <w:sz w:val="24"/>
          <w:szCs w:val="22"/>
        </w:rPr>
      </w:pPr>
      <w:r>
        <w:rPr>
          <w:rFonts w:ascii="宋体" w:hAnsi="宋体" w:hint="eastAsia"/>
          <w:sz w:val="24"/>
          <w:szCs w:val="22"/>
        </w:rPr>
        <w:t>①</w:t>
      </w:r>
      <w:r>
        <w:rPr>
          <w:rFonts w:hint="eastAsia"/>
          <w:sz w:val="24"/>
          <w:szCs w:val="22"/>
        </w:rPr>
        <w:t>应收账款分类披露</w:t>
      </w:r>
    </w:p>
    <w:p w14:paraId="02BDAE5F"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报告期各期末，公司应收账款分类披露情况如下：</w:t>
      </w:r>
    </w:p>
    <w:p w14:paraId="41D72251" w14:textId="77777777" w:rsidR="004B0883" w:rsidRDefault="004B0883">
      <w:pPr>
        <w:keepNext/>
        <w:widowControl w:val="0"/>
        <w:jc w:val="right"/>
        <w:rPr>
          <w:szCs w:val="22"/>
        </w:rPr>
      </w:pPr>
      <w:r>
        <w:rPr>
          <w:rFonts w:hint="eastAsia"/>
          <w:szCs w:val="22"/>
        </w:rPr>
        <w:t>单位：万元</w:t>
      </w:r>
    </w:p>
    <w:tbl>
      <w:tblPr>
        <w:tblW w:w="55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020"/>
        <w:gridCol w:w="1011"/>
        <w:gridCol w:w="1011"/>
        <w:gridCol w:w="1011"/>
        <w:gridCol w:w="1011"/>
        <w:gridCol w:w="1011"/>
        <w:gridCol w:w="1011"/>
        <w:gridCol w:w="1011"/>
        <w:gridCol w:w="1011"/>
      </w:tblGrid>
      <w:tr w:rsidR="004B0883" w14:paraId="285A1CDF" w14:textId="77777777">
        <w:trPr>
          <w:trHeight w:val="340"/>
          <w:tblHeader/>
          <w:jc w:val="center"/>
        </w:trPr>
        <w:tc>
          <w:tcPr>
            <w:tcW w:w="560" w:type="pct"/>
            <w:vMerge w:val="restart"/>
            <w:shd w:val="clear" w:color="auto" w:fill="D9D9D9"/>
            <w:tcMar>
              <w:top w:w="0" w:type="dxa"/>
              <w:bottom w:w="0" w:type="dxa"/>
            </w:tcMar>
            <w:vAlign w:val="center"/>
          </w:tcPr>
          <w:p w14:paraId="754C52EB" w14:textId="77777777" w:rsidR="004B0883" w:rsidRDefault="004B0883">
            <w:pPr>
              <w:widowControl w:val="0"/>
              <w:adjustRightInd w:val="0"/>
              <w:snapToGrid w:val="0"/>
              <w:jc w:val="center"/>
              <w:rPr>
                <w:b/>
                <w:bCs/>
                <w:kern w:val="0"/>
                <w:sz w:val="20"/>
                <w:szCs w:val="20"/>
              </w:rPr>
            </w:pPr>
            <w:r>
              <w:rPr>
                <w:rFonts w:hint="eastAsia"/>
                <w:b/>
                <w:bCs/>
                <w:kern w:val="0"/>
                <w:sz w:val="20"/>
                <w:szCs w:val="20"/>
              </w:rPr>
              <w:t>项目</w:t>
            </w:r>
          </w:p>
        </w:tc>
        <w:tc>
          <w:tcPr>
            <w:tcW w:w="1110" w:type="pct"/>
            <w:gridSpan w:val="2"/>
            <w:shd w:val="clear" w:color="auto" w:fill="D9D9D9"/>
            <w:tcMar>
              <w:top w:w="0" w:type="dxa"/>
              <w:bottom w:w="0" w:type="dxa"/>
            </w:tcMar>
            <w:vAlign w:val="center"/>
          </w:tcPr>
          <w:p w14:paraId="0C15FBE2" w14:textId="77777777" w:rsidR="004B0883" w:rsidRDefault="004B0883">
            <w:pPr>
              <w:adjustRightInd w:val="0"/>
              <w:snapToGrid w:val="0"/>
              <w:jc w:val="center"/>
              <w:rPr>
                <w:b/>
                <w:bCs/>
                <w:color w:val="000000"/>
                <w:kern w:val="0"/>
                <w:sz w:val="20"/>
                <w:szCs w:val="20"/>
              </w:rPr>
            </w:pPr>
            <w:r>
              <w:rPr>
                <w:b/>
                <w:bCs/>
                <w:color w:val="000000"/>
                <w:kern w:val="0"/>
                <w:sz w:val="20"/>
                <w:szCs w:val="20"/>
              </w:rPr>
              <w:t>2023.</w:t>
            </w:r>
            <w:r>
              <w:rPr>
                <w:rFonts w:hint="eastAsia"/>
                <w:b/>
                <w:bCs/>
                <w:color w:val="000000"/>
                <w:kern w:val="0"/>
                <w:sz w:val="20"/>
                <w:szCs w:val="20"/>
              </w:rPr>
              <w:t>9</w:t>
            </w:r>
            <w:r>
              <w:rPr>
                <w:b/>
                <w:bCs/>
                <w:color w:val="000000"/>
                <w:kern w:val="0"/>
                <w:sz w:val="20"/>
                <w:szCs w:val="20"/>
              </w:rPr>
              <w:t>.30</w:t>
            </w:r>
          </w:p>
        </w:tc>
        <w:tc>
          <w:tcPr>
            <w:tcW w:w="1110" w:type="pct"/>
            <w:gridSpan w:val="2"/>
            <w:shd w:val="clear" w:color="auto" w:fill="D9D9D9"/>
            <w:tcMar>
              <w:top w:w="0" w:type="dxa"/>
              <w:bottom w:w="0" w:type="dxa"/>
            </w:tcMar>
            <w:vAlign w:val="center"/>
          </w:tcPr>
          <w:p w14:paraId="426CBFFA" w14:textId="77777777" w:rsidR="004B0883" w:rsidRDefault="004B0883">
            <w:pPr>
              <w:adjustRightInd w:val="0"/>
              <w:snapToGrid w:val="0"/>
              <w:jc w:val="center"/>
              <w:rPr>
                <w:b/>
                <w:bCs/>
                <w:color w:val="000000"/>
                <w:kern w:val="0"/>
                <w:sz w:val="20"/>
                <w:szCs w:val="20"/>
              </w:rPr>
            </w:pPr>
            <w:r>
              <w:rPr>
                <w:b/>
                <w:bCs/>
                <w:color w:val="000000"/>
                <w:kern w:val="0"/>
                <w:sz w:val="20"/>
                <w:szCs w:val="20"/>
              </w:rPr>
              <w:t>2022.12.31</w:t>
            </w:r>
          </w:p>
        </w:tc>
        <w:tc>
          <w:tcPr>
            <w:tcW w:w="1110" w:type="pct"/>
            <w:gridSpan w:val="2"/>
            <w:shd w:val="clear" w:color="auto" w:fill="D9D9D9"/>
            <w:tcMar>
              <w:top w:w="0" w:type="dxa"/>
              <w:bottom w:w="0" w:type="dxa"/>
            </w:tcMar>
            <w:vAlign w:val="center"/>
          </w:tcPr>
          <w:p w14:paraId="610DC078" w14:textId="77777777" w:rsidR="004B0883" w:rsidRDefault="004B0883">
            <w:pPr>
              <w:adjustRightInd w:val="0"/>
              <w:snapToGrid w:val="0"/>
              <w:jc w:val="center"/>
              <w:rPr>
                <w:b/>
                <w:bCs/>
                <w:color w:val="000000"/>
                <w:kern w:val="0"/>
                <w:sz w:val="20"/>
                <w:szCs w:val="20"/>
              </w:rPr>
            </w:pPr>
            <w:r>
              <w:rPr>
                <w:b/>
                <w:bCs/>
                <w:color w:val="000000"/>
                <w:kern w:val="0"/>
                <w:sz w:val="20"/>
                <w:szCs w:val="20"/>
              </w:rPr>
              <w:t>2021.12.31</w:t>
            </w:r>
          </w:p>
        </w:tc>
        <w:tc>
          <w:tcPr>
            <w:tcW w:w="1110" w:type="pct"/>
            <w:gridSpan w:val="2"/>
            <w:shd w:val="clear" w:color="auto" w:fill="D9D9D9"/>
            <w:tcMar>
              <w:top w:w="0" w:type="dxa"/>
              <w:bottom w:w="0" w:type="dxa"/>
            </w:tcMar>
            <w:vAlign w:val="center"/>
          </w:tcPr>
          <w:p w14:paraId="679DB5F3" w14:textId="77777777" w:rsidR="004B0883" w:rsidRDefault="004B0883">
            <w:pPr>
              <w:adjustRightInd w:val="0"/>
              <w:snapToGrid w:val="0"/>
              <w:jc w:val="center"/>
              <w:rPr>
                <w:b/>
                <w:bCs/>
                <w:color w:val="000000"/>
                <w:kern w:val="0"/>
                <w:sz w:val="20"/>
                <w:szCs w:val="20"/>
              </w:rPr>
            </w:pPr>
            <w:r>
              <w:rPr>
                <w:b/>
                <w:bCs/>
                <w:color w:val="000000"/>
                <w:kern w:val="0"/>
                <w:sz w:val="20"/>
                <w:szCs w:val="20"/>
              </w:rPr>
              <w:t>2020.12.31</w:t>
            </w:r>
          </w:p>
        </w:tc>
      </w:tr>
      <w:tr w:rsidR="004B0883" w14:paraId="1115A21B" w14:textId="77777777">
        <w:trPr>
          <w:trHeight w:val="340"/>
          <w:tblHeader/>
          <w:jc w:val="center"/>
        </w:trPr>
        <w:tc>
          <w:tcPr>
            <w:tcW w:w="560" w:type="pct"/>
            <w:vMerge/>
            <w:shd w:val="clear" w:color="auto" w:fill="D9D9D9"/>
            <w:tcMar>
              <w:top w:w="0" w:type="dxa"/>
              <w:bottom w:w="0" w:type="dxa"/>
            </w:tcMar>
            <w:vAlign w:val="center"/>
          </w:tcPr>
          <w:p w14:paraId="24125893" w14:textId="77777777" w:rsidR="004B0883" w:rsidRDefault="004B0883">
            <w:pPr>
              <w:widowControl w:val="0"/>
              <w:adjustRightInd w:val="0"/>
              <w:snapToGrid w:val="0"/>
              <w:rPr>
                <w:b/>
                <w:bCs/>
                <w:kern w:val="0"/>
                <w:sz w:val="20"/>
                <w:szCs w:val="20"/>
              </w:rPr>
            </w:pPr>
          </w:p>
        </w:tc>
        <w:tc>
          <w:tcPr>
            <w:tcW w:w="555" w:type="pct"/>
            <w:shd w:val="clear" w:color="auto" w:fill="D9D9D9"/>
            <w:tcMar>
              <w:top w:w="0" w:type="dxa"/>
              <w:bottom w:w="0" w:type="dxa"/>
            </w:tcMar>
            <w:vAlign w:val="center"/>
          </w:tcPr>
          <w:p w14:paraId="6EDCD6C4" w14:textId="77777777" w:rsidR="004B0883" w:rsidRDefault="004B0883">
            <w:pPr>
              <w:widowControl w:val="0"/>
              <w:adjustRightInd w:val="0"/>
              <w:snapToGrid w:val="0"/>
              <w:jc w:val="center"/>
              <w:rPr>
                <w:b/>
                <w:bCs/>
                <w:kern w:val="0"/>
                <w:sz w:val="20"/>
                <w:szCs w:val="20"/>
              </w:rPr>
            </w:pPr>
            <w:r>
              <w:rPr>
                <w:rFonts w:hint="eastAsia"/>
                <w:b/>
                <w:bCs/>
                <w:kern w:val="0"/>
                <w:sz w:val="20"/>
                <w:szCs w:val="20"/>
              </w:rPr>
              <w:t>账面</w:t>
            </w:r>
          </w:p>
          <w:p w14:paraId="29281577" w14:textId="77777777" w:rsidR="004B0883" w:rsidRDefault="004B0883">
            <w:pPr>
              <w:widowControl w:val="0"/>
              <w:adjustRightInd w:val="0"/>
              <w:snapToGrid w:val="0"/>
              <w:jc w:val="center"/>
              <w:rPr>
                <w:b/>
                <w:bCs/>
                <w:kern w:val="0"/>
                <w:sz w:val="20"/>
                <w:szCs w:val="20"/>
              </w:rPr>
            </w:pPr>
            <w:r>
              <w:rPr>
                <w:rFonts w:hint="eastAsia"/>
                <w:b/>
                <w:bCs/>
                <w:kern w:val="0"/>
                <w:sz w:val="20"/>
                <w:szCs w:val="20"/>
              </w:rPr>
              <w:t>余额</w:t>
            </w:r>
          </w:p>
        </w:tc>
        <w:tc>
          <w:tcPr>
            <w:tcW w:w="555" w:type="pct"/>
            <w:shd w:val="clear" w:color="auto" w:fill="D9D9D9"/>
            <w:tcMar>
              <w:top w:w="0" w:type="dxa"/>
              <w:bottom w:w="0" w:type="dxa"/>
            </w:tcMar>
            <w:vAlign w:val="center"/>
          </w:tcPr>
          <w:p w14:paraId="01CC3E3E" w14:textId="77777777" w:rsidR="004B0883" w:rsidRDefault="004B0883">
            <w:pPr>
              <w:widowControl w:val="0"/>
              <w:adjustRightInd w:val="0"/>
              <w:snapToGrid w:val="0"/>
              <w:jc w:val="center"/>
              <w:rPr>
                <w:b/>
                <w:bCs/>
                <w:kern w:val="0"/>
                <w:sz w:val="20"/>
                <w:szCs w:val="20"/>
              </w:rPr>
            </w:pPr>
            <w:r>
              <w:rPr>
                <w:rFonts w:hint="eastAsia"/>
                <w:b/>
                <w:bCs/>
                <w:kern w:val="0"/>
                <w:sz w:val="20"/>
                <w:szCs w:val="20"/>
              </w:rPr>
              <w:t>坏账</w:t>
            </w:r>
          </w:p>
          <w:p w14:paraId="137C72FE" w14:textId="77777777" w:rsidR="004B0883" w:rsidRDefault="004B0883">
            <w:pPr>
              <w:widowControl w:val="0"/>
              <w:adjustRightInd w:val="0"/>
              <w:snapToGrid w:val="0"/>
              <w:jc w:val="center"/>
              <w:rPr>
                <w:b/>
                <w:bCs/>
                <w:kern w:val="0"/>
                <w:sz w:val="20"/>
                <w:szCs w:val="20"/>
              </w:rPr>
            </w:pPr>
            <w:r>
              <w:rPr>
                <w:rFonts w:hint="eastAsia"/>
                <w:b/>
                <w:bCs/>
                <w:kern w:val="0"/>
                <w:sz w:val="20"/>
                <w:szCs w:val="20"/>
              </w:rPr>
              <w:t>准备</w:t>
            </w:r>
          </w:p>
        </w:tc>
        <w:tc>
          <w:tcPr>
            <w:tcW w:w="555" w:type="pct"/>
            <w:shd w:val="clear" w:color="auto" w:fill="D9D9D9"/>
            <w:tcMar>
              <w:top w:w="0" w:type="dxa"/>
              <w:bottom w:w="0" w:type="dxa"/>
            </w:tcMar>
            <w:vAlign w:val="center"/>
          </w:tcPr>
          <w:p w14:paraId="28544308" w14:textId="77777777" w:rsidR="004B0883" w:rsidRDefault="004B0883">
            <w:pPr>
              <w:widowControl w:val="0"/>
              <w:adjustRightInd w:val="0"/>
              <w:snapToGrid w:val="0"/>
              <w:jc w:val="center"/>
              <w:rPr>
                <w:b/>
                <w:bCs/>
                <w:kern w:val="0"/>
                <w:sz w:val="20"/>
                <w:szCs w:val="20"/>
              </w:rPr>
            </w:pPr>
            <w:r>
              <w:rPr>
                <w:rFonts w:hint="eastAsia"/>
                <w:b/>
                <w:bCs/>
                <w:kern w:val="0"/>
                <w:sz w:val="20"/>
                <w:szCs w:val="20"/>
              </w:rPr>
              <w:t>账面</w:t>
            </w:r>
          </w:p>
          <w:p w14:paraId="439C62B2" w14:textId="77777777" w:rsidR="004B0883" w:rsidRDefault="004B0883">
            <w:pPr>
              <w:widowControl w:val="0"/>
              <w:adjustRightInd w:val="0"/>
              <w:snapToGrid w:val="0"/>
              <w:jc w:val="center"/>
              <w:rPr>
                <w:b/>
                <w:bCs/>
                <w:kern w:val="0"/>
                <w:sz w:val="20"/>
                <w:szCs w:val="20"/>
              </w:rPr>
            </w:pPr>
            <w:r>
              <w:rPr>
                <w:rFonts w:hint="eastAsia"/>
                <w:b/>
                <w:bCs/>
                <w:kern w:val="0"/>
                <w:sz w:val="20"/>
                <w:szCs w:val="20"/>
              </w:rPr>
              <w:t>余额</w:t>
            </w:r>
          </w:p>
        </w:tc>
        <w:tc>
          <w:tcPr>
            <w:tcW w:w="555" w:type="pct"/>
            <w:shd w:val="clear" w:color="auto" w:fill="D9D9D9"/>
            <w:tcMar>
              <w:top w:w="0" w:type="dxa"/>
              <w:bottom w:w="0" w:type="dxa"/>
            </w:tcMar>
            <w:vAlign w:val="center"/>
          </w:tcPr>
          <w:p w14:paraId="618329DE" w14:textId="77777777" w:rsidR="004B0883" w:rsidRDefault="004B0883">
            <w:pPr>
              <w:widowControl w:val="0"/>
              <w:adjustRightInd w:val="0"/>
              <w:snapToGrid w:val="0"/>
              <w:jc w:val="center"/>
              <w:rPr>
                <w:b/>
                <w:bCs/>
                <w:kern w:val="0"/>
                <w:sz w:val="20"/>
                <w:szCs w:val="20"/>
              </w:rPr>
            </w:pPr>
            <w:r>
              <w:rPr>
                <w:rFonts w:hint="eastAsia"/>
                <w:b/>
                <w:bCs/>
                <w:kern w:val="0"/>
                <w:sz w:val="20"/>
                <w:szCs w:val="20"/>
              </w:rPr>
              <w:t>坏账</w:t>
            </w:r>
          </w:p>
          <w:p w14:paraId="7FEA165E" w14:textId="77777777" w:rsidR="004B0883" w:rsidRDefault="004B0883">
            <w:pPr>
              <w:widowControl w:val="0"/>
              <w:adjustRightInd w:val="0"/>
              <w:snapToGrid w:val="0"/>
              <w:jc w:val="center"/>
              <w:rPr>
                <w:b/>
                <w:bCs/>
                <w:kern w:val="0"/>
                <w:sz w:val="20"/>
                <w:szCs w:val="20"/>
              </w:rPr>
            </w:pPr>
            <w:r>
              <w:rPr>
                <w:rFonts w:hint="eastAsia"/>
                <w:b/>
                <w:bCs/>
                <w:kern w:val="0"/>
                <w:sz w:val="20"/>
                <w:szCs w:val="20"/>
              </w:rPr>
              <w:t>准备</w:t>
            </w:r>
          </w:p>
        </w:tc>
        <w:tc>
          <w:tcPr>
            <w:tcW w:w="555" w:type="pct"/>
            <w:shd w:val="clear" w:color="auto" w:fill="D9D9D9"/>
            <w:tcMar>
              <w:top w:w="0" w:type="dxa"/>
              <w:bottom w:w="0" w:type="dxa"/>
            </w:tcMar>
            <w:vAlign w:val="center"/>
          </w:tcPr>
          <w:p w14:paraId="5269037E" w14:textId="77777777" w:rsidR="004B0883" w:rsidRDefault="004B0883">
            <w:pPr>
              <w:widowControl w:val="0"/>
              <w:adjustRightInd w:val="0"/>
              <w:snapToGrid w:val="0"/>
              <w:jc w:val="center"/>
              <w:rPr>
                <w:b/>
                <w:bCs/>
                <w:kern w:val="0"/>
                <w:sz w:val="20"/>
                <w:szCs w:val="20"/>
              </w:rPr>
            </w:pPr>
            <w:r>
              <w:rPr>
                <w:rFonts w:hint="eastAsia"/>
                <w:b/>
                <w:bCs/>
                <w:kern w:val="0"/>
                <w:sz w:val="20"/>
                <w:szCs w:val="20"/>
              </w:rPr>
              <w:t>账面</w:t>
            </w:r>
          </w:p>
          <w:p w14:paraId="21B7CF9E" w14:textId="77777777" w:rsidR="004B0883" w:rsidRDefault="004B0883">
            <w:pPr>
              <w:widowControl w:val="0"/>
              <w:adjustRightInd w:val="0"/>
              <w:snapToGrid w:val="0"/>
              <w:jc w:val="center"/>
              <w:rPr>
                <w:b/>
                <w:bCs/>
                <w:kern w:val="0"/>
                <w:sz w:val="20"/>
                <w:szCs w:val="20"/>
              </w:rPr>
            </w:pPr>
            <w:r>
              <w:rPr>
                <w:rFonts w:hint="eastAsia"/>
                <w:b/>
                <w:bCs/>
                <w:kern w:val="0"/>
                <w:sz w:val="20"/>
                <w:szCs w:val="20"/>
              </w:rPr>
              <w:t>余额</w:t>
            </w:r>
          </w:p>
        </w:tc>
        <w:tc>
          <w:tcPr>
            <w:tcW w:w="555" w:type="pct"/>
            <w:shd w:val="clear" w:color="auto" w:fill="D9D9D9"/>
            <w:tcMar>
              <w:top w:w="0" w:type="dxa"/>
              <w:bottom w:w="0" w:type="dxa"/>
            </w:tcMar>
            <w:vAlign w:val="center"/>
          </w:tcPr>
          <w:p w14:paraId="23A4A7E2" w14:textId="77777777" w:rsidR="004B0883" w:rsidRDefault="004B0883">
            <w:pPr>
              <w:widowControl w:val="0"/>
              <w:adjustRightInd w:val="0"/>
              <w:snapToGrid w:val="0"/>
              <w:jc w:val="center"/>
              <w:rPr>
                <w:b/>
                <w:bCs/>
                <w:kern w:val="0"/>
                <w:sz w:val="20"/>
                <w:szCs w:val="20"/>
              </w:rPr>
            </w:pPr>
            <w:r>
              <w:rPr>
                <w:rFonts w:hint="eastAsia"/>
                <w:b/>
                <w:bCs/>
                <w:kern w:val="0"/>
                <w:sz w:val="20"/>
                <w:szCs w:val="20"/>
              </w:rPr>
              <w:t>坏账</w:t>
            </w:r>
          </w:p>
          <w:p w14:paraId="7EC94783" w14:textId="77777777" w:rsidR="004B0883" w:rsidRDefault="004B0883">
            <w:pPr>
              <w:widowControl w:val="0"/>
              <w:adjustRightInd w:val="0"/>
              <w:snapToGrid w:val="0"/>
              <w:jc w:val="center"/>
              <w:rPr>
                <w:b/>
                <w:bCs/>
                <w:kern w:val="0"/>
                <w:sz w:val="20"/>
                <w:szCs w:val="20"/>
              </w:rPr>
            </w:pPr>
            <w:r>
              <w:rPr>
                <w:rFonts w:hint="eastAsia"/>
                <w:b/>
                <w:bCs/>
                <w:kern w:val="0"/>
                <w:sz w:val="20"/>
                <w:szCs w:val="20"/>
              </w:rPr>
              <w:t>准备</w:t>
            </w:r>
          </w:p>
        </w:tc>
        <w:tc>
          <w:tcPr>
            <w:tcW w:w="555" w:type="pct"/>
            <w:shd w:val="clear" w:color="auto" w:fill="D9D9D9"/>
            <w:tcMar>
              <w:top w:w="0" w:type="dxa"/>
              <w:bottom w:w="0" w:type="dxa"/>
            </w:tcMar>
            <w:vAlign w:val="center"/>
          </w:tcPr>
          <w:p w14:paraId="0AC9788F" w14:textId="77777777" w:rsidR="004B0883" w:rsidRDefault="004B0883">
            <w:pPr>
              <w:widowControl w:val="0"/>
              <w:adjustRightInd w:val="0"/>
              <w:snapToGrid w:val="0"/>
              <w:jc w:val="center"/>
              <w:rPr>
                <w:b/>
                <w:bCs/>
                <w:kern w:val="0"/>
                <w:sz w:val="20"/>
                <w:szCs w:val="20"/>
              </w:rPr>
            </w:pPr>
            <w:r>
              <w:rPr>
                <w:rFonts w:hint="eastAsia"/>
                <w:b/>
                <w:bCs/>
                <w:kern w:val="0"/>
                <w:sz w:val="20"/>
                <w:szCs w:val="20"/>
              </w:rPr>
              <w:t>账面</w:t>
            </w:r>
          </w:p>
          <w:p w14:paraId="6E22C51C" w14:textId="77777777" w:rsidR="004B0883" w:rsidRDefault="004B0883">
            <w:pPr>
              <w:widowControl w:val="0"/>
              <w:adjustRightInd w:val="0"/>
              <w:snapToGrid w:val="0"/>
              <w:jc w:val="center"/>
              <w:rPr>
                <w:b/>
                <w:bCs/>
                <w:kern w:val="0"/>
                <w:sz w:val="20"/>
                <w:szCs w:val="20"/>
              </w:rPr>
            </w:pPr>
            <w:r>
              <w:rPr>
                <w:rFonts w:hint="eastAsia"/>
                <w:b/>
                <w:bCs/>
                <w:kern w:val="0"/>
                <w:sz w:val="20"/>
                <w:szCs w:val="20"/>
              </w:rPr>
              <w:t>余额</w:t>
            </w:r>
          </w:p>
        </w:tc>
        <w:tc>
          <w:tcPr>
            <w:tcW w:w="555" w:type="pct"/>
            <w:shd w:val="clear" w:color="auto" w:fill="D9D9D9"/>
            <w:tcMar>
              <w:top w:w="0" w:type="dxa"/>
              <w:bottom w:w="0" w:type="dxa"/>
            </w:tcMar>
            <w:vAlign w:val="center"/>
          </w:tcPr>
          <w:p w14:paraId="46F0C818" w14:textId="77777777" w:rsidR="004B0883" w:rsidRDefault="004B0883">
            <w:pPr>
              <w:widowControl w:val="0"/>
              <w:adjustRightInd w:val="0"/>
              <w:snapToGrid w:val="0"/>
              <w:jc w:val="center"/>
              <w:rPr>
                <w:b/>
                <w:bCs/>
                <w:kern w:val="0"/>
                <w:sz w:val="20"/>
                <w:szCs w:val="20"/>
              </w:rPr>
            </w:pPr>
            <w:r>
              <w:rPr>
                <w:rFonts w:hint="eastAsia"/>
                <w:b/>
                <w:bCs/>
                <w:kern w:val="0"/>
                <w:sz w:val="20"/>
                <w:szCs w:val="20"/>
              </w:rPr>
              <w:t>坏账</w:t>
            </w:r>
          </w:p>
          <w:p w14:paraId="1E39238D" w14:textId="77777777" w:rsidR="004B0883" w:rsidRDefault="004B0883">
            <w:pPr>
              <w:widowControl w:val="0"/>
              <w:adjustRightInd w:val="0"/>
              <w:snapToGrid w:val="0"/>
              <w:jc w:val="center"/>
              <w:rPr>
                <w:b/>
                <w:bCs/>
                <w:kern w:val="0"/>
                <w:sz w:val="20"/>
                <w:szCs w:val="20"/>
              </w:rPr>
            </w:pPr>
            <w:r>
              <w:rPr>
                <w:rFonts w:hint="eastAsia"/>
                <w:b/>
                <w:bCs/>
                <w:kern w:val="0"/>
                <w:sz w:val="20"/>
                <w:szCs w:val="20"/>
              </w:rPr>
              <w:t>准备</w:t>
            </w:r>
          </w:p>
        </w:tc>
      </w:tr>
      <w:tr w:rsidR="004B0883" w14:paraId="02557518" w14:textId="77777777">
        <w:trPr>
          <w:trHeight w:val="340"/>
          <w:jc w:val="center"/>
        </w:trPr>
        <w:tc>
          <w:tcPr>
            <w:tcW w:w="560" w:type="pct"/>
            <w:tcMar>
              <w:top w:w="0" w:type="dxa"/>
              <w:bottom w:w="0" w:type="dxa"/>
            </w:tcMar>
            <w:vAlign w:val="center"/>
          </w:tcPr>
          <w:p w14:paraId="05F89D09" w14:textId="77777777" w:rsidR="004B0883" w:rsidRDefault="004B0883">
            <w:pPr>
              <w:widowControl w:val="0"/>
              <w:adjustRightInd w:val="0"/>
              <w:snapToGrid w:val="0"/>
              <w:rPr>
                <w:kern w:val="0"/>
                <w:sz w:val="20"/>
                <w:szCs w:val="20"/>
              </w:rPr>
            </w:pPr>
            <w:r>
              <w:rPr>
                <w:rFonts w:hint="eastAsia"/>
                <w:kern w:val="0"/>
                <w:sz w:val="20"/>
                <w:szCs w:val="20"/>
              </w:rPr>
              <w:t>按单项计提坏账准备的应收账款</w:t>
            </w:r>
          </w:p>
        </w:tc>
        <w:tc>
          <w:tcPr>
            <w:tcW w:w="555" w:type="pct"/>
            <w:tcMar>
              <w:top w:w="0" w:type="dxa"/>
              <w:bottom w:w="0" w:type="dxa"/>
            </w:tcMar>
            <w:vAlign w:val="center"/>
          </w:tcPr>
          <w:p w14:paraId="2DAD10BA" w14:textId="77777777" w:rsidR="004B0883" w:rsidRDefault="004B0883">
            <w:pPr>
              <w:adjustRightInd w:val="0"/>
              <w:snapToGrid w:val="0"/>
              <w:jc w:val="right"/>
              <w:rPr>
                <w:color w:val="000000"/>
                <w:kern w:val="0"/>
                <w:sz w:val="20"/>
                <w:szCs w:val="20"/>
              </w:rPr>
            </w:pPr>
            <w:r>
              <w:rPr>
                <w:color w:val="000000"/>
                <w:kern w:val="0"/>
                <w:sz w:val="20"/>
                <w:szCs w:val="20"/>
              </w:rPr>
              <w:t>11.09</w:t>
            </w:r>
          </w:p>
        </w:tc>
        <w:tc>
          <w:tcPr>
            <w:tcW w:w="555" w:type="pct"/>
            <w:tcMar>
              <w:top w:w="0" w:type="dxa"/>
              <w:bottom w:w="0" w:type="dxa"/>
            </w:tcMar>
            <w:vAlign w:val="center"/>
          </w:tcPr>
          <w:p w14:paraId="63677AB9" w14:textId="77777777" w:rsidR="004B0883" w:rsidRDefault="004B0883">
            <w:pPr>
              <w:adjustRightInd w:val="0"/>
              <w:snapToGrid w:val="0"/>
              <w:jc w:val="right"/>
              <w:rPr>
                <w:color w:val="000000"/>
                <w:kern w:val="0"/>
                <w:sz w:val="20"/>
                <w:szCs w:val="20"/>
              </w:rPr>
            </w:pPr>
            <w:r>
              <w:rPr>
                <w:color w:val="000000"/>
                <w:kern w:val="0"/>
                <w:sz w:val="20"/>
                <w:szCs w:val="20"/>
              </w:rPr>
              <w:t>11.09</w:t>
            </w:r>
          </w:p>
        </w:tc>
        <w:tc>
          <w:tcPr>
            <w:tcW w:w="555" w:type="pct"/>
            <w:tcMar>
              <w:top w:w="0" w:type="dxa"/>
              <w:bottom w:w="0" w:type="dxa"/>
            </w:tcMar>
            <w:vAlign w:val="center"/>
          </w:tcPr>
          <w:p w14:paraId="13DBEC2B" w14:textId="77777777" w:rsidR="004B0883" w:rsidRDefault="004B0883">
            <w:pPr>
              <w:adjustRightInd w:val="0"/>
              <w:snapToGrid w:val="0"/>
              <w:jc w:val="right"/>
              <w:rPr>
                <w:color w:val="000000"/>
                <w:kern w:val="0"/>
                <w:sz w:val="20"/>
                <w:szCs w:val="20"/>
              </w:rPr>
            </w:pPr>
            <w:r>
              <w:rPr>
                <w:color w:val="000000"/>
                <w:kern w:val="0"/>
                <w:sz w:val="20"/>
                <w:szCs w:val="20"/>
              </w:rPr>
              <w:t>11.09</w:t>
            </w:r>
          </w:p>
        </w:tc>
        <w:tc>
          <w:tcPr>
            <w:tcW w:w="555" w:type="pct"/>
            <w:tcMar>
              <w:top w:w="0" w:type="dxa"/>
              <w:bottom w:w="0" w:type="dxa"/>
            </w:tcMar>
            <w:vAlign w:val="center"/>
          </w:tcPr>
          <w:p w14:paraId="76FFE2BE" w14:textId="77777777" w:rsidR="004B0883" w:rsidRDefault="004B0883">
            <w:pPr>
              <w:adjustRightInd w:val="0"/>
              <w:snapToGrid w:val="0"/>
              <w:jc w:val="right"/>
              <w:rPr>
                <w:color w:val="000000"/>
                <w:kern w:val="0"/>
                <w:sz w:val="20"/>
                <w:szCs w:val="20"/>
              </w:rPr>
            </w:pPr>
            <w:r>
              <w:rPr>
                <w:color w:val="000000"/>
                <w:kern w:val="0"/>
                <w:sz w:val="20"/>
                <w:szCs w:val="20"/>
              </w:rPr>
              <w:t>11.09</w:t>
            </w:r>
          </w:p>
        </w:tc>
        <w:tc>
          <w:tcPr>
            <w:tcW w:w="555" w:type="pct"/>
            <w:tcMar>
              <w:top w:w="0" w:type="dxa"/>
              <w:bottom w:w="0" w:type="dxa"/>
            </w:tcMar>
            <w:vAlign w:val="center"/>
          </w:tcPr>
          <w:p w14:paraId="51AA8AE8" w14:textId="77777777" w:rsidR="004B0883" w:rsidRDefault="004B0883">
            <w:pPr>
              <w:adjustRightInd w:val="0"/>
              <w:snapToGrid w:val="0"/>
              <w:jc w:val="right"/>
              <w:rPr>
                <w:color w:val="000000"/>
                <w:kern w:val="0"/>
                <w:sz w:val="20"/>
                <w:szCs w:val="20"/>
              </w:rPr>
            </w:pPr>
          </w:p>
        </w:tc>
        <w:tc>
          <w:tcPr>
            <w:tcW w:w="555" w:type="pct"/>
            <w:tcMar>
              <w:top w:w="0" w:type="dxa"/>
              <w:bottom w:w="0" w:type="dxa"/>
            </w:tcMar>
            <w:vAlign w:val="center"/>
          </w:tcPr>
          <w:p w14:paraId="169FD81A" w14:textId="77777777" w:rsidR="004B0883" w:rsidRDefault="004B0883">
            <w:pPr>
              <w:adjustRightInd w:val="0"/>
              <w:snapToGrid w:val="0"/>
              <w:jc w:val="right"/>
              <w:rPr>
                <w:color w:val="000000"/>
                <w:kern w:val="0"/>
                <w:sz w:val="20"/>
                <w:szCs w:val="20"/>
              </w:rPr>
            </w:pPr>
          </w:p>
        </w:tc>
        <w:tc>
          <w:tcPr>
            <w:tcW w:w="555" w:type="pct"/>
            <w:tcMar>
              <w:top w:w="0" w:type="dxa"/>
              <w:bottom w:w="0" w:type="dxa"/>
            </w:tcMar>
            <w:vAlign w:val="center"/>
          </w:tcPr>
          <w:p w14:paraId="0D320D8D" w14:textId="77777777" w:rsidR="004B0883" w:rsidRDefault="004B0883">
            <w:pPr>
              <w:adjustRightInd w:val="0"/>
              <w:snapToGrid w:val="0"/>
              <w:jc w:val="right"/>
              <w:rPr>
                <w:color w:val="000000"/>
                <w:kern w:val="0"/>
                <w:sz w:val="20"/>
                <w:szCs w:val="20"/>
              </w:rPr>
            </w:pPr>
          </w:p>
        </w:tc>
        <w:tc>
          <w:tcPr>
            <w:tcW w:w="555" w:type="pct"/>
            <w:tcMar>
              <w:top w:w="0" w:type="dxa"/>
              <w:bottom w:w="0" w:type="dxa"/>
            </w:tcMar>
            <w:vAlign w:val="center"/>
          </w:tcPr>
          <w:p w14:paraId="543EA53A" w14:textId="77777777" w:rsidR="004B0883" w:rsidRDefault="004B0883">
            <w:pPr>
              <w:adjustRightInd w:val="0"/>
              <w:snapToGrid w:val="0"/>
              <w:jc w:val="right"/>
              <w:rPr>
                <w:color w:val="000000"/>
                <w:kern w:val="0"/>
                <w:sz w:val="20"/>
                <w:szCs w:val="20"/>
              </w:rPr>
            </w:pPr>
          </w:p>
        </w:tc>
      </w:tr>
      <w:tr w:rsidR="004B0883" w14:paraId="2C37E42F" w14:textId="77777777">
        <w:trPr>
          <w:trHeight w:val="340"/>
          <w:jc w:val="center"/>
        </w:trPr>
        <w:tc>
          <w:tcPr>
            <w:tcW w:w="560" w:type="pct"/>
            <w:tcMar>
              <w:top w:w="0" w:type="dxa"/>
              <w:bottom w:w="0" w:type="dxa"/>
            </w:tcMar>
            <w:vAlign w:val="center"/>
          </w:tcPr>
          <w:p w14:paraId="2379D716" w14:textId="77777777" w:rsidR="004B0883" w:rsidRDefault="004B0883">
            <w:pPr>
              <w:widowControl w:val="0"/>
              <w:adjustRightInd w:val="0"/>
              <w:snapToGrid w:val="0"/>
              <w:rPr>
                <w:kern w:val="0"/>
                <w:sz w:val="20"/>
                <w:szCs w:val="20"/>
              </w:rPr>
            </w:pPr>
            <w:r>
              <w:rPr>
                <w:rFonts w:hint="eastAsia"/>
                <w:kern w:val="0"/>
                <w:sz w:val="20"/>
                <w:szCs w:val="20"/>
              </w:rPr>
              <w:t>按组合计提坏账准备的应收账款</w:t>
            </w:r>
          </w:p>
        </w:tc>
        <w:tc>
          <w:tcPr>
            <w:tcW w:w="555" w:type="pct"/>
            <w:tcMar>
              <w:top w:w="0" w:type="dxa"/>
              <w:bottom w:w="0" w:type="dxa"/>
            </w:tcMar>
            <w:vAlign w:val="center"/>
          </w:tcPr>
          <w:p w14:paraId="143D37C5" w14:textId="77777777" w:rsidR="004B0883" w:rsidRDefault="004B0883">
            <w:pPr>
              <w:adjustRightInd w:val="0"/>
              <w:snapToGrid w:val="0"/>
              <w:jc w:val="right"/>
              <w:rPr>
                <w:color w:val="000000"/>
                <w:kern w:val="0"/>
                <w:sz w:val="20"/>
                <w:szCs w:val="20"/>
              </w:rPr>
            </w:pPr>
            <w:r>
              <w:rPr>
                <w:color w:val="000000"/>
                <w:kern w:val="0"/>
                <w:sz w:val="20"/>
                <w:szCs w:val="20"/>
              </w:rPr>
              <w:t>10,047.63</w:t>
            </w:r>
          </w:p>
        </w:tc>
        <w:tc>
          <w:tcPr>
            <w:tcW w:w="555" w:type="pct"/>
            <w:tcMar>
              <w:top w:w="0" w:type="dxa"/>
              <w:bottom w:w="0" w:type="dxa"/>
            </w:tcMar>
            <w:vAlign w:val="center"/>
          </w:tcPr>
          <w:p w14:paraId="0B9143B5" w14:textId="77777777" w:rsidR="004B0883" w:rsidRDefault="004B0883">
            <w:pPr>
              <w:adjustRightInd w:val="0"/>
              <w:snapToGrid w:val="0"/>
              <w:jc w:val="right"/>
              <w:rPr>
                <w:color w:val="000000"/>
                <w:kern w:val="0"/>
                <w:sz w:val="20"/>
                <w:szCs w:val="20"/>
              </w:rPr>
            </w:pPr>
            <w:r>
              <w:rPr>
                <w:color w:val="000000"/>
                <w:kern w:val="0"/>
                <w:sz w:val="20"/>
                <w:szCs w:val="20"/>
              </w:rPr>
              <w:t>888.79</w:t>
            </w:r>
          </w:p>
        </w:tc>
        <w:tc>
          <w:tcPr>
            <w:tcW w:w="555" w:type="pct"/>
            <w:tcMar>
              <w:top w:w="0" w:type="dxa"/>
              <w:bottom w:w="0" w:type="dxa"/>
            </w:tcMar>
            <w:vAlign w:val="center"/>
          </w:tcPr>
          <w:p w14:paraId="5EDF20A3" w14:textId="77777777" w:rsidR="004B0883" w:rsidRDefault="004B0883">
            <w:pPr>
              <w:adjustRightInd w:val="0"/>
              <w:snapToGrid w:val="0"/>
              <w:jc w:val="right"/>
              <w:rPr>
                <w:color w:val="000000"/>
                <w:kern w:val="0"/>
                <w:sz w:val="20"/>
                <w:szCs w:val="20"/>
              </w:rPr>
            </w:pPr>
            <w:r>
              <w:rPr>
                <w:color w:val="000000"/>
                <w:kern w:val="0"/>
                <w:sz w:val="20"/>
                <w:szCs w:val="20"/>
              </w:rPr>
              <w:t>8,790.40</w:t>
            </w:r>
          </w:p>
        </w:tc>
        <w:tc>
          <w:tcPr>
            <w:tcW w:w="555" w:type="pct"/>
            <w:tcMar>
              <w:top w:w="0" w:type="dxa"/>
              <w:bottom w:w="0" w:type="dxa"/>
            </w:tcMar>
            <w:vAlign w:val="center"/>
          </w:tcPr>
          <w:p w14:paraId="30F3FBA9" w14:textId="77777777" w:rsidR="004B0883" w:rsidRDefault="004B0883">
            <w:pPr>
              <w:adjustRightInd w:val="0"/>
              <w:snapToGrid w:val="0"/>
              <w:jc w:val="right"/>
              <w:rPr>
                <w:color w:val="000000"/>
                <w:kern w:val="0"/>
                <w:sz w:val="20"/>
                <w:szCs w:val="20"/>
              </w:rPr>
            </w:pPr>
            <w:r>
              <w:rPr>
                <w:color w:val="000000"/>
                <w:kern w:val="0"/>
                <w:sz w:val="20"/>
                <w:szCs w:val="20"/>
              </w:rPr>
              <w:t>824.59</w:t>
            </w:r>
          </w:p>
        </w:tc>
        <w:tc>
          <w:tcPr>
            <w:tcW w:w="555" w:type="pct"/>
            <w:tcMar>
              <w:top w:w="0" w:type="dxa"/>
              <w:bottom w:w="0" w:type="dxa"/>
            </w:tcMar>
            <w:vAlign w:val="center"/>
          </w:tcPr>
          <w:p w14:paraId="1B0A5232" w14:textId="77777777" w:rsidR="004B0883" w:rsidRDefault="004B0883">
            <w:pPr>
              <w:adjustRightInd w:val="0"/>
              <w:snapToGrid w:val="0"/>
              <w:jc w:val="right"/>
              <w:rPr>
                <w:color w:val="000000"/>
                <w:kern w:val="0"/>
                <w:sz w:val="20"/>
                <w:szCs w:val="20"/>
              </w:rPr>
            </w:pPr>
            <w:r>
              <w:rPr>
                <w:color w:val="000000"/>
                <w:kern w:val="0"/>
                <w:sz w:val="20"/>
                <w:szCs w:val="20"/>
              </w:rPr>
              <w:t>7,911.04</w:t>
            </w:r>
          </w:p>
        </w:tc>
        <w:tc>
          <w:tcPr>
            <w:tcW w:w="555" w:type="pct"/>
            <w:tcMar>
              <w:top w:w="0" w:type="dxa"/>
              <w:bottom w:w="0" w:type="dxa"/>
            </w:tcMar>
            <w:vAlign w:val="center"/>
          </w:tcPr>
          <w:p w14:paraId="76000CCC" w14:textId="77777777" w:rsidR="004B0883" w:rsidRDefault="004B0883">
            <w:pPr>
              <w:adjustRightInd w:val="0"/>
              <w:snapToGrid w:val="0"/>
              <w:jc w:val="right"/>
              <w:rPr>
                <w:color w:val="000000"/>
                <w:kern w:val="0"/>
                <w:sz w:val="20"/>
                <w:szCs w:val="20"/>
              </w:rPr>
            </w:pPr>
            <w:r>
              <w:rPr>
                <w:color w:val="000000"/>
                <w:kern w:val="0"/>
                <w:sz w:val="20"/>
                <w:szCs w:val="20"/>
              </w:rPr>
              <w:t>725.59</w:t>
            </w:r>
          </w:p>
        </w:tc>
        <w:tc>
          <w:tcPr>
            <w:tcW w:w="555" w:type="pct"/>
            <w:tcMar>
              <w:top w:w="0" w:type="dxa"/>
              <w:bottom w:w="0" w:type="dxa"/>
            </w:tcMar>
            <w:vAlign w:val="center"/>
          </w:tcPr>
          <w:p w14:paraId="7AF7D6A2" w14:textId="77777777" w:rsidR="004B0883" w:rsidRDefault="004B0883">
            <w:pPr>
              <w:adjustRightInd w:val="0"/>
              <w:snapToGrid w:val="0"/>
              <w:jc w:val="right"/>
              <w:rPr>
                <w:color w:val="000000"/>
                <w:kern w:val="0"/>
                <w:sz w:val="20"/>
                <w:szCs w:val="20"/>
              </w:rPr>
            </w:pPr>
            <w:r>
              <w:rPr>
                <w:color w:val="000000"/>
                <w:kern w:val="0"/>
                <w:sz w:val="20"/>
                <w:szCs w:val="20"/>
              </w:rPr>
              <w:t>5,582.27</w:t>
            </w:r>
          </w:p>
        </w:tc>
        <w:tc>
          <w:tcPr>
            <w:tcW w:w="555" w:type="pct"/>
            <w:tcMar>
              <w:top w:w="0" w:type="dxa"/>
              <w:bottom w:w="0" w:type="dxa"/>
            </w:tcMar>
            <w:vAlign w:val="center"/>
          </w:tcPr>
          <w:p w14:paraId="10F1EDAE" w14:textId="77777777" w:rsidR="004B0883" w:rsidRDefault="004B0883">
            <w:pPr>
              <w:adjustRightInd w:val="0"/>
              <w:snapToGrid w:val="0"/>
              <w:jc w:val="right"/>
              <w:rPr>
                <w:color w:val="000000"/>
                <w:kern w:val="0"/>
                <w:sz w:val="20"/>
                <w:szCs w:val="20"/>
              </w:rPr>
            </w:pPr>
            <w:r>
              <w:rPr>
                <w:color w:val="000000"/>
                <w:kern w:val="0"/>
                <w:sz w:val="20"/>
                <w:szCs w:val="20"/>
              </w:rPr>
              <w:t>497.88</w:t>
            </w:r>
          </w:p>
        </w:tc>
      </w:tr>
      <w:tr w:rsidR="004B0883" w14:paraId="22DBB3C0" w14:textId="77777777">
        <w:trPr>
          <w:trHeight w:val="340"/>
          <w:jc w:val="center"/>
        </w:trPr>
        <w:tc>
          <w:tcPr>
            <w:tcW w:w="560" w:type="pct"/>
            <w:tcMar>
              <w:top w:w="0" w:type="dxa"/>
              <w:bottom w:w="0" w:type="dxa"/>
            </w:tcMar>
            <w:vAlign w:val="center"/>
          </w:tcPr>
          <w:p w14:paraId="7739ACD9" w14:textId="77777777" w:rsidR="004B0883" w:rsidRDefault="004B0883">
            <w:pPr>
              <w:widowControl w:val="0"/>
              <w:adjustRightInd w:val="0"/>
              <w:snapToGrid w:val="0"/>
              <w:jc w:val="center"/>
              <w:rPr>
                <w:b/>
                <w:kern w:val="0"/>
                <w:sz w:val="20"/>
                <w:szCs w:val="20"/>
              </w:rPr>
            </w:pPr>
            <w:r>
              <w:rPr>
                <w:rFonts w:hint="eastAsia"/>
                <w:b/>
                <w:kern w:val="0"/>
                <w:sz w:val="20"/>
                <w:szCs w:val="20"/>
              </w:rPr>
              <w:t>合计</w:t>
            </w:r>
          </w:p>
        </w:tc>
        <w:tc>
          <w:tcPr>
            <w:tcW w:w="555" w:type="pct"/>
            <w:tcMar>
              <w:top w:w="0" w:type="dxa"/>
              <w:bottom w:w="0" w:type="dxa"/>
            </w:tcMar>
            <w:vAlign w:val="center"/>
          </w:tcPr>
          <w:p w14:paraId="7AA8EF7F" w14:textId="77777777" w:rsidR="004B0883" w:rsidRDefault="004B0883">
            <w:pPr>
              <w:adjustRightInd w:val="0"/>
              <w:snapToGrid w:val="0"/>
              <w:jc w:val="right"/>
              <w:rPr>
                <w:b/>
                <w:bCs/>
                <w:color w:val="000000"/>
                <w:kern w:val="0"/>
                <w:sz w:val="20"/>
                <w:szCs w:val="20"/>
              </w:rPr>
            </w:pPr>
            <w:r>
              <w:rPr>
                <w:b/>
                <w:bCs/>
                <w:color w:val="000000"/>
                <w:kern w:val="0"/>
                <w:sz w:val="20"/>
                <w:szCs w:val="20"/>
              </w:rPr>
              <w:t>10,058.72</w:t>
            </w:r>
          </w:p>
        </w:tc>
        <w:tc>
          <w:tcPr>
            <w:tcW w:w="555" w:type="pct"/>
            <w:tcMar>
              <w:top w:w="0" w:type="dxa"/>
              <w:bottom w:w="0" w:type="dxa"/>
            </w:tcMar>
            <w:vAlign w:val="center"/>
          </w:tcPr>
          <w:p w14:paraId="3DF8E647" w14:textId="77777777" w:rsidR="004B0883" w:rsidRDefault="004B0883">
            <w:pPr>
              <w:adjustRightInd w:val="0"/>
              <w:snapToGrid w:val="0"/>
              <w:jc w:val="right"/>
              <w:rPr>
                <w:b/>
                <w:bCs/>
                <w:color w:val="000000"/>
                <w:kern w:val="0"/>
                <w:sz w:val="20"/>
                <w:szCs w:val="20"/>
              </w:rPr>
            </w:pPr>
            <w:r>
              <w:rPr>
                <w:b/>
                <w:bCs/>
                <w:color w:val="000000"/>
                <w:kern w:val="0"/>
                <w:sz w:val="20"/>
                <w:szCs w:val="20"/>
              </w:rPr>
              <w:t>899.88</w:t>
            </w:r>
          </w:p>
        </w:tc>
        <w:tc>
          <w:tcPr>
            <w:tcW w:w="555" w:type="pct"/>
            <w:tcMar>
              <w:top w:w="0" w:type="dxa"/>
              <w:bottom w:w="0" w:type="dxa"/>
            </w:tcMar>
            <w:vAlign w:val="center"/>
          </w:tcPr>
          <w:p w14:paraId="10A71779" w14:textId="77777777" w:rsidR="004B0883" w:rsidRDefault="004B0883">
            <w:pPr>
              <w:adjustRightInd w:val="0"/>
              <w:snapToGrid w:val="0"/>
              <w:jc w:val="right"/>
              <w:rPr>
                <w:b/>
                <w:bCs/>
                <w:color w:val="000000"/>
                <w:kern w:val="0"/>
                <w:sz w:val="20"/>
                <w:szCs w:val="20"/>
              </w:rPr>
            </w:pPr>
            <w:r>
              <w:rPr>
                <w:b/>
                <w:bCs/>
                <w:color w:val="000000"/>
                <w:kern w:val="0"/>
                <w:sz w:val="20"/>
                <w:szCs w:val="20"/>
              </w:rPr>
              <w:t>8,801.49</w:t>
            </w:r>
          </w:p>
        </w:tc>
        <w:tc>
          <w:tcPr>
            <w:tcW w:w="555" w:type="pct"/>
            <w:tcMar>
              <w:top w:w="0" w:type="dxa"/>
              <w:bottom w:w="0" w:type="dxa"/>
            </w:tcMar>
            <w:vAlign w:val="center"/>
          </w:tcPr>
          <w:p w14:paraId="753C4316" w14:textId="77777777" w:rsidR="004B0883" w:rsidRDefault="004B0883">
            <w:pPr>
              <w:adjustRightInd w:val="0"/>
              <w:snapToGrid w:val="0"/>
              <w:jc w:val="right"/>
              <w:rPr>
                <w:b/>
                <w:bCs/>
                <w:color w:val="000000"/>
                <w:kern w:val="0"/>
                <w:sz w:val="20"/>
                <w:szCs w:val="20"/>
              </w:rPr>
            </w:pPr>
            <w:r>
              <w:rPr>
                <w:b/>
                <w:bCs/>
                <w:color w:val="000000"/>
                <w:kern w:val="0"/>
                <w:sz w:val="20"/>
                <w:szCs w:val="20"/>
              </w:rPr>
              <w:t xml:space="preserve">835.68 </w:t>
            </w:r>
          </w:p>
        </w:tc>
        <w:tc>
          <w:tcPr>
            <w:tcW w:w="555" w:type="pct"/>
            <w:tcMar>
              <w:top w:w="0" w:type="dxa"/>
              <w:bottom w:w="0" w:type="dxa"/>
            </w:tcMar>
            <w:vAlign w:val="center"/>
          </w:tcPr>
          <w:p w14:paraId="23E6A3CC" w14:textId="77777777" w:rsidR="004B0883" w:rsidRDefault="004B0883">
            <w:pPr>
              <w:adjustRightInd w:val="0"/>
              <w:snapToGrid w:val="0"/>
              <w:jc w:val="right"/>
              <w:rPr>
                <w:b/>
                <w:bCs/>
                <w:color w:val="000000"/>
                <w:kern w:val="0"/>
                <w:sz w:val="20"/>
                <w:szCs w:val="20"/>
              </w:rPr>
            </w:pPr>
            <w:r>
              <w:rPr>
                <w:b/>
                <w:bCs/>
                <w:color w:val="000000"/>
                <w:kern w:val="0"/>
                <w:sz w:val="20"/>
                <w:szCs w:val="20"/>
              </w:rPr>
              <w:t>7,911.04</w:t>
            </w:r>
          </w:p>
        </w:tc>
        <w:tc>
          <w:tcPr>
            <w:tcW w:w="555" w:type="pct"/>
            <w:tcMar>
              <w:top w:w="0" w:type="dxa"/>
              <w:bottom w:w="0" w:type="dxa"/>
            </w:tcMar>
            <w:vAlign w:val="center"/>
          </w:tcPr>
          <w:p w14:paraId="622685E0" w14:textId="77777777" w:rsidR="004B0883" w:rsidRDefault="004B0883">
            <w:pPr>
              <w:adjustRightInd w:val="0"/>
              <w:snapToGrid w:val="0"/>
              <w:jc w:val="right"/>
              <w:rPr>
                <w:b/>
                <w:bCs/>
                <w:color w:val="000000"/>
                <w:kern w:val="0"/>
                <w:sz w:val="20"/>
                <w:szCs w:val="20"/>
              </w:rPr>
            </w:pPr>
            <w:r>
              <w:rPr>
                <w:b/>
                <w:bCs/>
                <w:color w:val="000000"/>
                <w:kern w:val="0"/>
                <w:sz w:val="20"/>
                <w:szCs w:val="20"/>
              </w:rPr>
              <w:t>725.59</w:t>
            </w:r>
          </w:p>
        </w:tc>
        <w:tc>
          <w:tcPr>
            <w:tcW w:w="555" w:type="pct"/>
            <w:tcMar>
              <w:top w:w="0" w:type="dxa"/>
              <w:bottom w:w="0" w:type="dxa"/>
            </w:tcMar>
            <w:vAlign w:val="center"/>
          </w:tcPr>
          <w:p w14:paraId="7AEAC820" w14:textId="77777777" w:rsidR="004B0883" w:rsidRDefault="004B0883">
            <w:pPr>
              <w:adjustRightInd w:val="0"/>
              <w:snapToGrid w:val="0"/>
              <w:jc w:val="right"/>
              <w:rPr>
                <w:b/>
                <w:bCs/>
                <w:color w:val="000000"/>
                <w:kern w:val="0"/>
                <w:sz w:val="20"/>
                <w:szCs w:val="20"/>
              </w:rPr>
            </w:pPr>
            <w:r>
              <w:rPr>
                <w:b/>
                <w:bCs/>
                <w:color w:val="000000"/>
                <w:kern w:val="0"/>
                <w:sz w:val="20"/>
                <w:szCs w:val="20"/>
              </w:rPr>
              <w:t>5,582.27</w:t>
            </w:r>
          </w:p>
        </w:tc>
        <w:tc>
          <w:tcPr>
            <w:tcW w:w="555" w:type="pct"/>
            <w:tcMar>
              <w:top w:w="0" w:type="dxa"/>
              <w:bottom w:w="0" w:type="dxa"/>
            </w:tcMar>
            <w:vAlign w:val="center"/>
          </w:tcPr>
          <w:p w14:paraId="1C0C6718" w14:textId="77777777" w:rsidR="004B0883" w:rsidRDefault="004B0883">
            <w:pPr>
              <w:adjustRightInd w:val="0"/>
              <w:snapToGrid w:val="0"/>
              <w:jc w:val="right"/>
              <w:rPr>
                <w:b/>
                <w:bCs/>
                <w:color w:val="000000"/>
                <w:kern w:val="0"/>
                <w:sz w:val="20"/>
                <w:szCs w:val="20"/>
              </w:rPr>
            </w:pPr>
            <w:r>
              <w:rPr>
                <w:b/>
                <w:bCs/>
                <w:color w:val="000000"/>
                <w:kern w:val="0"/>
                <w:sz w:val="20"/>
                <w:szCs w:val="20"/>
              </w:rPr>
              <w:t>497.88</w:t>
            </w:r>
          </w:p>
        </w:tc>
      </w:tr>
    </w:tbl>
    <w:p w14:paraId="618B90C8" w14:textId="77777777" w:rsidR="004B0883" w:rsidRDefault="004B0883">
      <w:pPr>
        <w:widowControl w:val="0"/>
        <w:spacing w:beforeLines="50" w:before="120" w:line="360" w:lineRule="auto"/>
        <w:ind w:firstLineChars="200" w:firstLine="480"/>
        <w:jc w:val="both"/>
        <w:rPr>
          <w:sz w:val="24"/>
          <w:szCs w:val="22"/>
        </w:rPr>
      </w:pPr>
      <w:r>
        <w:rPr>
          <w:rFonts w:ascii="宋体" w:hAnsi="宋体" w:hint="eastAsia"/>
          <w:sz w:val="24"/>
          <w:szCs w:val="22"/>
        </w:rPr>
        <w:t>②</w:t>
      </w:r>
      <w:r>
        <w:rPr>
          <w:rFonts w:hint="eastAsia"/>
          <w:sz w:val="24"/>
          <w:szCs w:val="22"/>
        </w:rPr>
        <w:t>期末单项计提坏账准备的应收账款</w:t>
      </w:r>
    </w:p>
    <w:p w14:paraId="423E4629" w14:textId="77777777" w:rsidR="004B0883" w:rsidRDefault="004B0883">
      <w:pPr>
        <w:widowControl w:val="0"/>
        <w:spacing w:beforeLines="50" w:before="120" w:line="360" w:lineRule="auto"/>
        <w:ind w:firstLineChars="200" w:firstLine="480"/>
        <w:jc w:val="both"/>
        <w:rPr>
          <w:sz w:val="24"/>
          <w:szCs w:val="22"/>
        </w:rPr>
      </w:pPr>
      <w:bookmarkStart w:id="309" w:name="_Hlk122513583"/>
      <w:r>
        <w:rPr>
          <w:rFonts w:hint="eastAsia"/>
          <w:sz w:val="24"/>
          <w:szCs w:val="22"/>
        </w:rPr>
        <w:t>截至</w:t>
      </w:r>
      <w:r>
        <w:rPr>
          <w:sz w:val="24"/>
          <w:szCs w:val="22"/>
        </w:rPr>
        <w:t>2023</w:t>
      </w:r>
      <w:r>
        <w:rPr>
          <w:rFonts w:hint="eastAsia"/>
          <w:sz w:val="24"/>
          <w:szCs w:val="22"/>
        </w:rPr>
        <w:t>年</w:t>
      </w:r>
      <w:r>
        <w:rPr>
          <w:rFonts w:hint="eastAsia"/>
          <w:sz w:val="24"/>
          <w:szCs w:val="22"/>
        </w:rPr>
        <w:t>9</w:t>
      </w:r>
      <w:r>
        <w:rPr>
          <w:rFonts w:hint="eastAsia"/>
          <w:sz w:val="24"/>
          <w:szCs w:val="22"/>
        </w:rPr>
        <w:t>月末，公司单项计提坏账准备的应收账款</w:t>
      </w:r>
      <w:r>
        <w:rPr>
          <w:sz w:val="24"/>
          <w:szCs w:val="22"/>
        </w:rPr>
        <w:t>11.09</w:t>
      </w:r>
      <w:r>
        <w:rPr>
          <w:rFonts w:hint="eastAsia"/>
          <w:sz w:val="24"/>
          <w:szCs w:val="22"/>
        </w:rPr>
        <w:t>万元，计提坏账准备</w:t>
      </w:r>
      <w:r>
        <w:rPr>
          <w:sz w:val="24"/>
          <w:szCs w:val="22"/>
        </w:rPr>
        <w:t>11.09</w:t>
      </w:r>
      <w:r>
        <w:rPr>
          <w:rFonts w:hint="eastAsia"/>
          <w:sz w:val="24"/>
          <w:szCs w:val="22"/>
        </w:rPr>
        <w:t>万元，具体情况如下：</w:t>
      </w:r>
    </w:p>
    <w:p w14:paraId="6A16763F" w14:textId="77777777" w:rsidR="004B0883" w:rsidRDefault="004B0883">
      <w:pPr>
        <w:keepNext/>
        <w:widowControl w:val="0"/>
        <w:jc w:val="right"/>
        <w:rPr>
          <w:szCs w:val="22"/>
        </w:rPr>
      </w:pPr>
      <w:r>
        <w:rPr>
          <w:rFonts w:hint="eastAsia"/>
          <w:szCs w:val="22"/>
        </w:rP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227"/>
        <w:gridCol w:w="1086"/>
        <w:gridCol w:w="1086"/>
        <w:gridCol w:w="1086"/>
        <w:gridCol w:w="1795"/>
      </w:tblGrid>
      <w:tr w:rsidR="004B0883" w14:paraId="7F600505" w14:textId="77777777">
        <w:trPr>
          <w:trHeight w:val="397"/>
          <w:jc w:val="center"/>
        </w:trPr>
        <w:tc>
          <w:tcPr>
            <w:tcW w:w="1948" w:type="pct"/>
            <w:vMerge w:val="restart"/>
            <w:shd w:val="clear" w:color="auto" w:fill="D9D9D9"/>
            <w:tcMar>
              <w:top w:w="0" w:type="dxa"/>
              <w:bottom w:w="0" w:type="dxa"/>
            </w:tcMar>
            <w:vAlign w:val="center"/>
          </w:tcPr>
          <w:p w14:paraId="7AC3498B" w14:textId="77777777" w:rsidR="004B0883" w:rsidRDefault="004B0883">
            <w:pPr>
              <w:widowControl w:val="0"/>
              <w:adjustRightInd w:val="0"/>
              <w:snapToGrid w:val="0"/>
              <w:jc w:val="center"/>
              <w:rPr>
                <w:rFonts w:cs="Arial"/>
                <w:b/>
                <w:bCs/>
                <w:kern w:val="0"/>
                <w:sz w:val="20"/>
                <w:szCs w:val="20"/>
              </w:rPr>
            </w:pPr>
            <w:r>
              <w:rPr>
                <w:rFonts w:hint="eastAsia"/>
                <w:b/>
                <w:bCs/>
                <w:kern w:val="0"/>
                <w:sz w:val="20"/>
                <w:szCs w:val="20"/>
              </w:rPr>
              <w:t>名称</w:t>
            </w:r>
          </w:p>
        </w:tc>
        <w:tc>
          <w:tcPr>
            <w:tcW w:w="3052" w:type="pct"/>
            <w:gridSpan w:val="4"/>
            <w:shd w:val="clear" w:color="auto" w:fill="D9D9D9"/>
            <w:tcMar>
              <w:top w:w="0" w:type="dxa"/>
              <w:bottom w:w="0" w:type="dxa"/>
            </w:tcMar>
            <w:vAlign w:val="center"/>
          </w:tcPr>
          <w:p w14:paraId="30E94099" w14:textId="77777777" w:rsidR="004B0883" w:rsidRDefault="004B0883">
            <w:pPr>
              <w:widowControl w:val="0"/>
              <w:adjustRightInd w:val="0"/>
              <w:snapToGrid w:val="0"/>
              <w:jc w:val="center"/>
              <w:rPr>
                <w:rFonts w:cs="Arial"/>
                <w:b/>
                <w:bCs/>
                <w:color w:val="000000"/>
                <w:kern w:val="0"/>
                <w:sz w:val="20"/>
                <w:szCs w:val="20"/>
              </w:rPr>
            </w:pPr>
            <w:r>
              <w:rPr>
                <w:b/>
                <w:bCs/>
                <w:color w:val="000000"/>
                <w:kern w:val="0"/>
                <w:sz w:val="20"/>
                <w:szCs w:val="20"/>
              </w:rPr>
              <w:t>2023.</w:t>
            </w:r>
            <w:r>
              <w:rPr>
                <w:rFonts w:hint="eastAsia"/>
                <w:b/>
                <w:bCs/>
                <w:color w:val="000000"/>
                <w:kern w:val="0"/>
                <w:sz w:val="20"/>
                <w:szCs w:val="20"/>
              </w:rPr>
              <w:t>9</w:t>
            </w:r>
            <w:r>
              <w:rPr>
                <w:b/>
                <w:bCs/>
                <w:color w:val="000000"/>
                <w:kern w:val="0"/>
                <w:sz w:val="20"/>
                <w:szCs w:val="20"/>
              </w:rPr>
              <w:t>.30</w:t>
            </w:r>
          </w:p>
        </w:tc>
      </w:tr>
      <w:tr w:rsidR="004B0883" w14:paraId="38012B97" w14:textId="77777777">
        <w:trPr>
          <w:trHeight w:val="397"/>
          <w:jc w:val="center"/>
        </w:trPr>
        <w:tc>
          <w:tcPr>
            <w:tcW w:w="1948" w:type="pct"/>
            <w:vMerge/>
            <w:shd w:val="clear" w:color="auto" w:fill="D9D9D9"/>
            <w:tcMar>
              <w:top w:w="0" w:type="dxa"/>
              <w:bottom w:w="0" w:type="dxa"/>
            </w:tcMar>
            <w:vAlign w:val="center"/>
          </w:tcPr>
          <w:p w14:paraId="21AD900C" w14:textId="77777777" w:rsidR="004B0883" w:rsidRDefault="004B0883">
            <w:pPr>
              <w:widowControl w:val="0"/>
              <w:adjustRightInd w:val="0"/>
              <w:snapToGrid w:val="0"/>
              <w:rPr>
                <w:rFonts w:cs="Arial"/>
                <w:b/>
                <w:bCs/>
                <w:kern w:val="0"/>
                <w:sz w:val="20"/>
                <w:szCs w:val="20"/>
              </w:rPr>
            </w:pPr>
          </w:p>
        </w:tc>
        <w:tc>
          <w:tcPr>
            <w:tcW w:w="656" w:type="pct"/>
            <w:shd w:val="clear" w:color="auto" w:fill="D9D9D9"/>
            <w:tcMar>
              <w:top w:w="0" w:type="dxa"/>
              <w:bottom w:w="0" w:type="dxa"/>
            </w:tcMar>
            <w:vAlign w:val="center"/>
          </w:tcPr>
          <w:p w14:paraId="1A7BE052" w14:textId="77777777" w:rsidR="004B0883" w:rsidRDefault="004B0883">
            <w:pPr>
              <w:widowControl w:val="0"/>
              <w:adjustRightInd w:val="0"/>
              <w:snapToGrid w:val="0"/>
              <w:jc w:val="center"/>
              <w:rPr>
                <w:b/>
                <w:bCs/>
                <w:kern w:val="0"/>
                <w:sz w:val="20"/>
                <w:szCs w:val="20"/>
              </w:rPr>
            </w:pPr>
            <w:r>
              <w:rPr>
                <w:rFonts w:hint="eastAsia"/>
                <w:b/>
                <w:bCs/>
                <w:kern w:val="0"/>
                <w:sz w:val="20"/>
                <w:szCs w:val="20"/>
              </w:rPr>
              <w:t>账面余额</w:t>
            </w:r>
          </w:p>
        </w:tc>
        <w:tc>
          <w:tcPr>
            <w:tcW w:w="656" w:type="pct"/>
            <w:shd w:val="clear" w:color="auto" w:fill="D9D9D9"/>
            <w:tcMar>
              <w:top w:w="0" w:type="dxa"/>
              <w:bottom w:w="0" w:type="dxa"/>
            </w:tcMar>
            <w:vAlign w:val="center"/>
          </w:tcPr>
          <w:p w14:paraId="1D5979F7" w14:textId="77777777" w:rsidR="004B0883" w:rsidRDefault="004B0883">
            <w:pPr>
              <w:widowControl w:val="0"/>
              <w:adjustRightInd w:val="0"/>
              <w:snapToGrid w:val="0"/>
              <w:jc w:val="center"/>
              <w:rPr>
                <w:b/>
                <w:bCs/>
                <w:kern w:val="0"/>
                <w:sz w:val="20"/>
                <w:szCs w:val="20"/>
              </w:rPr>
            </w:pPr>
            <w:r>
              <w:rPr>
                <w:rFonts w:hint="eastAsia"/>
                <w:b/>
                <w:bCs/>
                <w:kern w:val="0"/>
                <w:sz w:val="20"/>
                <w:szCs w:val="20"/>
              </w:rPr>
              <w:t>坏账准备</w:t>
            </w:r>
          </w:p>
        </w:tc>
        <w:tc>
          <w:tcPr>
            <w:tcW w:w="656" w:type="pct"/>
            <w:shd w:val="clear" w:color="auto" w:fill="D9D9D9"/>
            <w:tcMar>
              <w:top w:w="0" w:type="dxa"/>
              <w:bottom w:w="0" w:type="dxa"/>
            </w:tcMar>
            <w:vAlign w:val="center"/>
          </w:tcPr>
          <w:p w14:paraId="0CA8B9D9" w14:textId="77777777" w:rsidR="004B0883" w:rsidRDefault="004B0883">
            <w:pPr>
              <w:widowControl w:val="0"/>
              <w:adjustRightInd w:val="0"/>
              <w:snapToGrid w:val="0"/>
              <w:jc w:val="center"/>
              <w:rPr>
                <w:b/>
                <w:bCs/>
                <w:kern w:val="0"/>
                <w:sz w:val="20"/>
                <w:szCs w:val="20"/>
              </w:rPr>
            </w:pPr>
            <w:r>
              <w:rPr>
                <w:rFonts w:hint="eastAsia"/>
                <w:b/>
                <w:bCs/>
                <w:kern w:val="0"/>
                <w:sz w:val="20"/>
                <w:szCs w:val="20"/>
              </w:rPr>
              <w:t>计提比例</w:t>
            </w:r>
          </w:p>
        </w:tc>
        <w:tc>
          <w:tcPr>
            <w:tcW w:w="1084" w:type="pct"/>
            <w:shd w:val="clear" w:color="auto" w:fill="D9D9D9"/>
            <w:tcMar>
              <w:top w:w="0" w:type="dxa"/>
              <w:bottom w:w="0" w:type="dxa"/>
            </w:tcMar>
            <w:vAlign w:val="center"/>
          </w:tcPr>
          <w:p w14:paraId="3FEE6764" w14:textId="77777777" w:rsidR="004B0883" w:rsidRDefault="004B0883">
            <w:pPr>
              <w:widowControl w:val="0"/>
              <w:adjustRightInd w:val="0"/>
              <w:snapToGrid w:val="0"/>
              <w:jc w:val="center"/>
              <w:rPr>
                <w:b/>
                <w:bCs/>
                <w:kern w:val="0"/>
                <w:sz w:val="20"/>
                <w:szCs w:val="20"/>
              </w:rPr>
            </w:pPr>
            <w:r>
              <w:rPr>
                <w:rFonts w:hint="eastAsia"/>
                <w:b/>
                <w:bCs/>
                <w:kern w:val="0"/>
                <w:sz w:val="20"/>
                <w:szCs w:val="20"/>
              </w:rPr>
              <w:t>计提理由</w:t>
            </w:r>
          </w:p>
        </w:tc>
      </w:tr>
      <w:tr w:rsidR="004B0883" w14:paraId="50E708D5" w14:textId="77777777">
        <w:trPr>
          <w:trHeight w:val="397"/>
          <w:jc w:val="center"/>
        </w:trPr>
        <w:tc>
          <w:tcPr>
            <w:tcW w:w="1948" w:type="pct"/>
            <w:tcMar>
              <w:top w:w="0" w:type="dxa"/>
              <w:bottom w:w="0" w:type="dxa"/>
            </w:tcMar>
            <w:vAlign w:val="center"/>
          </w:tcPr>
          <w:p w14:paraId="1FF2058B" w14:textId="77777777" w:rsidR="004B0883" w:rsidRDefault="004B0883">
            <w:pPr>
              <w:widowControl w:val="0"/>
              <w:adjustRightInd w:val="0"/>
              <w:snapToGrid w:val="0"/>
              <w:rPr>
                <w:kern w:val="0"/>
                <w:sz w:val="20"/>
                <w:szCs w:val="20"/>
              </w:rPr>
            </w:pPr>
            <w:r>
              <w:rPr>
                <w:rFonts w:hint="eastAsia"/>
                <w:kern w:val="0"/>
                <w:sz w:val="20"/>
                <w:szCs w:val="20"/>
              </w:rPr>
              <w:t>龙口中宇汽车风扇离合器有限公司</w:t>
            </w:r>
          </w:p>
        </w:tc>
        <w:tc>
          <w:tcPr>
            <w:tcW w:w="656" w:type="pct"/>
            <w:tcMar>
              <w:top w:w="0" w:type="dxa"/>
              <w:bottom w:w="0" w:type="dxa"/>
            </w:tcMar>
            <w:vAlign w:val="center"/>
          </w:tcPr>
          <w:p w14:paraId="22CB5620" w14:textId="77777777" w:rsidR="004B0883" w:rsidRDefault="004B0883">
            <w:pPr>
              <w:widowControl w:val="0"/>
              <w:adjustRightInd w:val="0"/>
              <w:snapToGrid w:val="0"/>
              <w:jc w:val="right"/>
              <w:rPr>
                <w:kern w:val="0"/>
                <w:sz w:val="20"/>
                <w:szCs w:val="20"/>
              </w:rPr>
            </w:pPr>
            <w:r>
              <w:rPr>
                <w:kern w:val="0"/>
                <w:sz w:val="20"/>
                <w:szCs w:val="20"/>
              </w:rPr>
              <w:t>11.09</w:t>
            </w:r>
          </w:p>
        </w:tc>
        <w:tc>
          <w:tcPr>
            <w:tcW w:w="656" w:type="pct"/>
            <w:tcMar>
              <w:top w:w="0" w:type="dxa"/>
              <w:bottom w:w="0" w:type="dxa"/>
            </w:tcMar>
            <w:vAlign w:val="center"/>
          </w:tcPr>
          <w:p w14:paraId="6DB3DF0A" w14:textId="77777777" w:rsidR="004B0883" w:rsidRDefault="004B0883">
            <w:pPr>
              <w:widowControl w:val="0"/>
              <w:adjustRightInd w:val="0"/>
              <w:snapToGrid w:val="0"/>
              <w:jc w:val="right"/>
              <w:rPr>
                <w:kern w:val="0"/>
                <w:sz w:val="20"/>
                <w:szCs w:val="20"/>
              </w:rPr>
            </w:pPr>
            <w:r>
              <w:rPr>
                <w:kern w:val="0"/>
                <w:sz w:val="20"/>
                <w:szCs w:val="20"/>
              </w:rPr>
              <w:t>11.09</w:t>
            </w:r>
          </w:p>
        </w:tc>
        <w:tc>
          <w:tcPr>
            <w:tcW w:w="656" w:type="pct"/>
            <w:tcMar>
              <w:top w:w="0" w:type="dxa"/>
              <w:bottom w:w="0" w:type="dxa"/>
            </w:tcMar>
            <w:vAlign w:val="center"/>
          </w:tcPr>
          <w:p w14:paraId="28808589" w14:textId="77777777" w:rsidR="004B0883" w:rsidRDefault="004B0883">
            <w:pPr>
              <w:widowControl w:val="0"/>
              <w:adjustRightInd w:val="0"/>
              <w:snapToGrid w:val="0"/>
              <w:jc w:val="right"/>
              <w:rPr>
                <w:kern w:val="0"/>
                <w:sz w:val="20"/>
                <w:szCs w:val="20"/>
              </w:rPr>
            </w:pPr>
            <w:r>
              <w:rPr>
                <w:kern w:val="0"/>
                <w:sz w:val="20"/>
                <w:szCs w:val="20"/>
              </w:rPr>
              <w:t>100.00%</w:t>
            </w:r>
          </w:p>
        </w:tc>
        <w:tc>
          <w:tcPr>
            <w:tcW w:w="1084" w:type="pct"/>
            <w:tcMar>
              <w:top w:w="0" w:type="dxa"/>
              <w:bottom w:w="0" w:type="dxa"/>
            </w:tcMar>
            <w:vAlign w:val="center"/>
          </w:tcPr>
          <w:p w14:paraId="658F98D5" w14:textId="77777777" w:rsidR="004B0883" w:rsidRDefault="004B0883">
            <w:pPr>
              <w:widowControl w:val="0"/>
              <w:adjustRightInd w:val="0"/>
              <w:snapToGrid w:val="0"/>
              <w:jc w:val="center"/>
              <w:rPr>
                <w:kern w:val="0"/>
                <w:sz w:val="20"/>
                <w:szCs w:val="20"/>
              </w:rPr>
            </w:pPr>
            <w:r>
              <w:rPr>
                <w:rFonts w:hint="eastAsia"/>
                <w:kern w:val="0"/>
                <w:sz w:val="20"/>
                <w:szCs w:val="20"/>
              </w:rPr>
              <w:t>企业破产重整预计全部无法收回</w:t>
            </w:r>
          </w:p>
        </w:tc>
      </w:tr>
      <w:tr w:rsidR="004B0883" w14:paraId="73C79AA7" w14:textId="77777777">
        <w:trPr>
          <w:trHeight w:val="397"/>
          <w:jc w:val="center"/>
        </w:trPr>
        <w:tc>
          <w:tcPr>
            <w:tcW w:w="1948" w:type="pct"/>
            <w:tcMar>
              <w:top w:w="0" w:type="dxa"/>
              <w:bottom w:w="0" w:type="dxa"/>
            </w:tcMar>
            <w:vAlign w:val="center"/>
          </w:tcPr>
          <w:p w14:paraId="4A4AAAF8" w14:textId="77777777" w:rsidR="004B0883" w:rsidRDefault="004B0883">
            <w:pPr>
              <w:widowControl w:val="0"/>
              <w:adjustRightInd w:val="0"/>
              <w:snapToGrid w:val="0"/>
              <w:jc w:val="center"/>
              <w:rPr>
                <w:b/>
                <w:bCs/>
                <w:kern w:val="0"/>
                <w:sz w:val="20"/>
                <w:szCs w:val="20"/>
              </w:rPr>
            </w:pPr>
            <w:r>
              <w:rPr>
                <w:rFonts w:hint="eastAsia"/>
                <w:b/>
                <w:bCs/>
                <w:kern w:val="0"/>
                <w:sz w:val="20"/>
                <w:szCs w:val="20"/>
              </w:rPr>
              <w:t>合计</w:t>
            </w:r>
          </w:p>
        </w:tc>
        <w:tc>
          <w:tcPr>
            <w:tcW w:w="656" w:type="pct"/>
            <w:tcMar>
              <w:top w:w="0" w:type="dxa"/>
              <w:bottom w:w="0" w:type="dxa"/>
            </w:tcMar>
            <w:vAlign w:val="center"/>
          </w:tcPr>
          <w:p w14:paraId="2D8DD2E6" w14:textId="77777777" w:rsidR="004B0883" w:rsidRDefault="004B0883">
            <w:pPr>
              <w:widowControl w:val="0"/>
              <w:adjustRightInd w:val="0"/>
              <w:snapToGrid w:val="0"/>
              <w:jc w:val="right"/>
              <w:rPr>
                <w:b/>
                <w:bCs/>
                <w:kern w:val="0"/>
                <w:sz w:val="20"/>
                <w:szCs w:val="20"/>
              </w:rPr>
            </w:pPr>
            <w:r>
              <w:rPr>
                <w:b/>
                <w:bCs/>
                <w:kern w:val="0"/>
                <w:sz w:val="20"/>
                <w:szCs w:val="20"/>
              </w:rPr>
              <w:t>11.09</w:t>
            </w:r>
          </w:p>
        </w:tc>
        <w:tc>
          <w:tcPr>
            <w:tcW w:w="656" w:type="pct"/>
            <w:tcMar>
              <w:top w:w="0" w:type="dxa"/>
              <w:bottom w:w="0" w:type="dxa"/>
            </w:tcMar>
            <w:vAlign w:val="center"/>
          </w:tcPr>
          <w:p w14:paraId="34E07D20" w14:textId="77777777" w:rsidR="004B0883" w:rsidRDefault="004B0883">
            <w:pPr>
              <w:widowControl w:val="0"/>
              <w:adjustRightInd w:val="0"/>
              <w:snapToGrid w:val="0"/>
              <w:jc w:val="right"/>
              <w:rPr>
                <w:b/>
                <w:bCs/>
                <w:kern w:val="0"/>
                <w:sz w:val="20"/>
                <w:szCs w:val="20"/>
              </w:rPr>
            </w:pPr>
            <w:r>
              <w:rPr>
                <w:b/>
                <w:bCs/>
                <w:kern w:val="0"/>
                <w:sz w:val="20"/>
                <w:szCs w:val="20"/>
              </w:rPr>
              <w:t>11.09</w:t>
            </w:r>
          </w:p>
        </w:tc>
        <w:tc>
          <w:tcPr>
            <w:tcW w:w="656" w:type="pct"/>
            <w:tcMar>
              <w:top w:w="0" w:type="dxa"/>
              <w:bottom w:w="0" w:type="dxa"/>
            </w:tcMar>
            <w:vAlign w:val="center"/>
          </w:tcPr>
          <w:p w14:paraId="232CF79D" w14:textId="77777777" w:rsidR="004B0883" w:rsidRDefault="004B0883">
            <w:pPr>
              <w:widowControl w:val="0"/>
              <w:adjustRightInd w:val="0"/>
              <w:snapToGrid w:val="0"/>
              <w:jc w:val="right"/>
              <w:rPr>
                <w:b/>
                <w:bCs/>
                <w:kern w:val="0"/>
                <w:sz w:val="20"/>
                <w:szCs w:val="20"/>
              </w:rPr>
            </w:pPr>
            <w:r>
              <w:rPr>
                <w:b/>
                <w:bCs/>
                <w:kern w:val="0"/>
                <w:sz w:val="20"/>
                <w:szCs w:val="20"/>
              </w:rPr>
              <w:t>100.00%</w:t>
            </w:r>
          </w:p>
        </w:tc>
        <w:tc>
          <w:tcPr>
            <w:tcW w:w="1084" w:type="pct"/>
            <w:tcMar>
              <w:top w:w="0" w:type="dxa"/>
              <w:bottom w:w="0" w:type="dxa"/>
            </w:tcMar>
            <w:vAlign w:val="center"/>
          </w:tcPr>
          <w:p w14:paraId="0F24045A" w14:textId="77777777" w:rsidR="004B0883" w:rsidRDefault="004B0883">
            <w:pPr>
              <w:widowControl w:val="0"/>
              <w:adjustRightInd w:val="0"/>
              <w:snapToGrid w:val="0"/>
              <w:jc w:val="center"/>
              <w:rPr>
                <w:b/>
                <w:bCs/>
                <w:kern w:val="0"/>
                <w:sz w:val="20"/>
                <w:szCs w:val="20"/>
              </w:rPr>
            </w:pPr>
            <w:r>
              <w:rPr>
                <w:b/>
                <w:bCs/>
                <w:kern w:val="0"/>
                <w:sz w:val="20"/>
                <w:szCs w:val="20"/>
              </w:rPr>
              <w:t>-</w:t>
            </w:r>
          </w:p>
        </w:tc>
      </w:tr>
    </w:tbl>
    <w:bookmarkEnd w:id="309"/>
    <w:p w14:paraId="4B84EE15"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对于存在客观证据表明存在减值，以及其他适用于单项评估的应收账款，公司单独进行减值测试，并计提单项坏账准备。</w:t>
      </w:r>
      <w:bookmarkStart w:id="310" w:name="_Hlk122513677"/>
      <w:r>
        <w:rPr>
          <w:rFonts w:hint="eastAsia"/>
          <w:sz w:val="24"/>
          <w:szCs w:val="22"/>
        </w:rPr>
        <w:t>针对单项计提的应收账款，公司一方面通过诉讼等方式对财产采取充分的保全措施；另一方面公司对该类应收账款进行单项减值测试，根据客户还款意愿、还款能力等情况进行评估并计提了相应的减值准备。</w:t>
      </w:r>
      <w:bookmarkEnd w:id="310"/>
    </w:p>
    <w:p w14:paraId="45AE6762" w14:textId="77777777" w:rsidR="004B0883" w:rsidRDefault="004B0883">
      <w:pPr>
        <w:widowControl w:val="0"/>
        <w:spacing w:beforeLines="50" w:before="120" w:line="360" w:lineRule="auto"/>
        <w:ind w:firstLineChars="200" w:firstLine="480"/>
        <w:jc w:val="both"/>
        <w:rPr>
          <w:sz w:val="24"/>
          <w:szCs w:val="22"/>
        </w:rPr>
      </w:pPr>
      <w:r>
        <w:rPr>
          <w:rFonts w:ascii="宋体" w:hAnsi="宋体" w:hint="eastAsia"/>
          <w:sz w:val="24"/>
          <w:szCs w:val="22"/>
        </w:rPr>
        <w:t>③</w:t>
      </w:r>
      <w:r>
        <w:rPr>
          <w:rFonts w:hint="eastAsia"/>
          <w:sz w:val="24"/>
          <w:szCs w:val="22"/>
        </w:rPr>
        <w:t>期末组合计提坏账准备的应收账款</w:t>
      </w:r>
    </w:p>
    <w:p w14:paraId="4EC0E694"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报告期各期末，按组合计提坏账准备的应收账款情况如下：</w:t>
      </w:r>
    </w:p>
    <w:p w14:paraId="595A9CA6" w14:textId="77777777" w:rsidR="004B0883" w:rsidRDefault="004B0883">
      <w:pPr>
        <w:keepNext/>
        <w:widowControl w:val="0"/>
        <w:jc w:val="right"/>
        <w:rPr>
          <w:szCs w:val="22"/>
        </w:rPr>
      </w:pPr>
      <w:r>
        <w:rPr>
          <w:rFonts w:hint="eastAsia"/>
          <w:szCs w:val="22"/>
        </w:rPr>
        <w:t>单位：万元</w:t>
      </w:r>
    </w:p>
    <w:tbl>
      <w:tblPr>
        <w:tblW w:w="0" w:type="auto"/>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584"/>
        <w:gridCol w:w="1016"/>
        <w:gridCol w:w="733"/>
        <w:gridCol w:w="916"/>
        <w:gridCol w:w="733"/>
        <w:gridCol w:w="916"/>
        <w:gridCol w:w="733"/>
        <w:gridCol w:w="916"/>
        <w:gridCol w:w="733"/>
      </w:tblGrid>
      <w:tr w:rsidR="004B0883" w14:paraId="71D19B45" w14:textId="77777777">
        <w:trPr>
          <w:trHeight w:val="397"/>
          <w:tblHeader/>
          <w:jc w:val="center"/>
        </w:trPr>
        <w:tc>
          <w:tcPr>
            <w:tcW w:w="0" w:type="auto"/>
            <w:vMerge w:val="restart"/>
            <w:shd w:val="clear" w:color="auto" w:fill="D9D9D9"/>
            <w:tcMar>
              <w:top w:w="0" w:type="dxa"/>
              <w:bottom w:w="0" w:type="dxa"/>
            </w:tcMar>
            <w:vAlign w:val="center"/>
          </w:tcPr>
          <w:p w14:paraId="043860D4" w14:textId="77777777" w:rsidR="004B0883" w:rsidRDefault="004B0883">
            <w:pPr>
              <w:widowControl w:val="0"/>
              <w:adjustRightInd w:val="0"/>
              <w:snapToGrid w:val="0"/>
              <w:jc w:val="center"/>
              <w:rPr>
                <w:b/>
                <w:bCs/>
                <w:kern w:val="0"/>
                <w:sz w:val="20"/>
                <w:szCs w:val="20"/>
              </w:rPr>
            </w:pPr>
            <w:r>
              <w:rPr>
                <w:rFonts w:hint="eastAsia"/>
                <w:b/>
                <w:bCs/>
                <w:kern w:val="0"/>
                <w:sz w:val="20"/>
                <w:szCs w:val="20"/>
              </w:rPr>
              <w:t>项目</w:t>
            </w:r>
          </w:p>
        </w:tc>
        <w:tc>
          <w:tcPr>
            <w:tcW w:w="0" w:type="auto"/>
            <w:gridSpan w:val="2"/>
            <w:shd w:val="clear" w:color="auto" w:fill="D9D9D9"/>
            <w:tcMar>
              <w:top w:w="0" w:type="dxa"/>
              <w:bottom w:w="0" w:type="dxa"/>
            </w:tcMar>
            <w:vAlign w:val="center"/>
          </w:tcPr>
          <w:p w14:paraId="01E7544D" w14:textId="77777777" w:rsidR="004B0883" w:rsidRDefault="004B0883">
            <w:pPr>
              <w:adjustRightInd w:val="0"/>
              <w:snapToGrid w:val="0"/>
              <w:jc w:val="center"/>
              <w:rPr>
                <w:b/>
                <w:bCs/>
                <w:color w:val="000000"/>
                <w:kern w:val="0"/>
                <w:sz w:val="20"/>
                <w:szCs w:val="20"/>
              </w:rPr>
            </w:pPr>
            <w:r>
              <w:rPr>
                <w:b/>
                <w:bCs/>
                <w:color w:val="000000"/>
                <w:kern w:val="0"/>
                <w:sz w:val="20"/>
                <w:szCs w:val="20"/>
              </w:rPr>
              <w:t>2023.</w:t>
            </w:r>
            <w:r>
              <w:rPr>
                <w:rFonts w:hint="eastAsia"/>
                <w:b/>
                <w:bCs/>
                <w:color w:val="000000"/>
                <w:kern w:val="0"/>
                <w:sz w:val="20"/>
                <w:szCs w:val="20"/>
              </w:rPr>
              <w:t>9</w:t>
            </w:r>
            <w:r>
              <w:rPr>
                <w:b/>
                <w:bCs/>
                <w:color w:val="000000"/>
                <w:kern w:val="0"/>
                <w:sz w:val="20"/>
                <w:szCs w:val="20"/>
              </w:rPr>
              <w:t>.30</w:t>
            </w:r>
          </w:p>
        </w:tc>
        <w:tc>
          <w:tcPr>
            <w:tcW w:w="0" w:type="auto"/>
            <w:gridSpan w:val="2"/>
            <w:shd w:val="clear" w:color="auto" w:fill="D9D9D9"/>
            <w:tcMar>
              <w:top w:w="0" w:type="dxa"/>
              <w:bottom w:w="0" w:type="dxa"/>
            </w:tcMar>
            <w:vAlign w:val="center"/>
          </w:tcPr>
          <w:p w14:paraId="2299B2B1" w14:textId="77777777" w:rsidR="004B0883" w:rsidRDefault="004B0883">
            <w:pPr>
              <w:adjustRightInd w:val="0"/>
              <w:snapToGrid w:val="0"/>
              <w:jc w:val="center"/>
              <w:rPr>
                <w:b/>
                <w:bCs/>
                <w:color w:val="000000"/>
                <w:kern w:val="0"/>
                <w:sz w:val="20"/>
                <w:szCs w:val="20"/>
              </w:rPr>
            </w:pPr>
            <w:r>
              <w:rPr>
                <w:b/>
                <w:bCs/>
                <w:color w:val="000000"/>
                <w:kern w:val="0"/>
                <w:sz w:val="20"/>
                <w:szCs w:val="20"/>
              </w:rPr>
              <w:t>2022.12.31</w:t>
            </w:r>
          </w:p>
        </w:tc>
        <w:tc>
          <w:tcPr>
            <w:tcW w:w="0" w:type="auto"/>
            <w:gridSpan w:val="2"/>
            <w:shd w:val="clear" w:color="auto" w:fill="D9D9D9"/>
            <w:tcMar>
              <w:top w:w="0" w:type="dxa"/>
              <w:bottom w:w="0" w:type="dxa"/>
            </w:tcMar>
            <w:vAlign w:val="center"/>
          </w:tcPr>
          <w:p w14:paraId="7D68E3ED" w14:textId="77777777" w:rsidR="004B0883" w:rsidRDefault="004B0883">
            <w:pPr>
              <w:adjustRightInd w:val="0"/>
              <w:snapToGrid w:val="0"/>
              <w:jc w:val="center"/>
              <w:rPr>
                <w:b/>
                <w:bCs/>
                <w:color w:val="000000"/>
                <w:kern w:val="0"/>
                <w:sz w:val="20"/>
                <w:szCs w:val="20"/>
              </w:rPr>
            </w:pPr>
            <w:r>
              <w:rPr>
                <w:b/>
                <w:bCs/>
                <w:color w:val="000000"/>
                <w:kern w:val="0"/>
                <w:sz w:val="20"/>
                <w:szCs w:val="20"/>
              </w:rPr>
              <w:t>2021.12.31</w:t>
            </w:r>
          </w:p>
        </w:tc>
        <w:tc>
          <w:tcPr>
            <w:tcW w:w="0" w:type="auto"/>
            <w:gridSpan w:val="2"/>
            <w:shd w:val="clear" w:color="auto" w:fill="D9D9D9"/>
            <w:tcMar>
              <w:top w:w="0" w:type="dxa"/>
              <w:bottom w:w="0" w:type="dxa"/>
            </w:tcMar>
            <w:vAlign w:val="center"/>
          </w:tcPr>
          <w:p w14:paraId="3BFCF1B6" w14:textId="77777777" w:rsidR="004B0883" w:rsidRDefault="004B0883">
            <w:pPr>
              <w:adjustRightInd w:val="0"/>
              <w:snapToGrid w:val="0"/>
              <w:jc w:val="center"/>
              <w:rPr>
                <w:b/>
                <w:bCs/>
                <w:color w:val="000000"/>
                <w:kern w:val="0"/>
                <w:sz w:val="20"/>
                <w:szCs w:val="20"/>
              </w:rPr>
            </w:pPr>
            <w:r>
              <w:rPr>
                <w:b/>
                <w:bCs/>
                <w:color w:val="000000"/>
                <w:kern w:val="0"/>
                <w:sz w:val="20"/>
                <w:szCs w:val="20"/>
              </w:rPr>
              <w:t>2020.12.31</w:t>
            </w:r>
          </w:p>
        </w:tc>
      </w:tr>
      <w:tr w:rsidR="004B0883" w14:paraId="74AE6857" w14:textId="77777777">
        <w:trPr>
          <w:trHeight w:val="397"/>
          <w:tblHeader/>
          <w:jc w:val="center"/>
        </w:trPr>
        <w:tc>
          <w:tcPr>
            <w:tcW w:w="0" w:type="auto"/>
            <w:vMerge/>
            <w:shd w:val="clear" w:color="auto" w:fill="D9D9D9"/>
            <w:tcMar>
              <w:top w:w="0" w:type="dxa"/>
              <w:bottom w:w="0" w:type="dxa"/>
            </w:tcMar>
            <w:vAlign w:val="center"/>
          </w:tcPr>
          <w:p w14:paraId="113EA333" w14:textId="77777777" w:rsidR="004B0883" w:rsidRDefault="004B0883">
            <w:pPr>
              <w:widowControl w:val="0"/>
              <w:adjustRightInd w:val="0"/>
              <w:snapToGrid w:val="0"/>
              <w:jc w:val="center"/>
              <w:rPr>
                <w:b/>
                <w:bCs/>
                <w:kern w:val="0"/>
                <w:sz w:val="20"/>
                <w:szCs w:val="20"/>
              </w:rPr>
            </w:pPr>
          </w:p>
        </w:tc>
        <w:tc>
          <w:tcPr>
            <w:tcW w:w="0" w:type="auto"/>
            <w:shd w:val="clear" w:color="auto" w:fill="D9D9D9"/>
            <w:tcMar>
              <w:top w:w="0" w:type="dxa"/>
              <w:bottom w:w="0" w:type="dxa"/>
            </w:tcMar>
            <w:vAlign w:val="center"/>
          </w:tcPr>
          <w:p w14:paraId="2B079C31" w14:textId="77777777" w:rsidR="004B0883" w:rsidRDefault="004B0883">
            <w:pPr>
              <w:widowControl w:val="0"/>
              <w:adjustRightInd w:val="0"/>
              <w:snapToGrid w:val="0"/>
              <w:jc w:val="center"/>
              <w:rPr>
                <w:b/>
                <w:bCs/>
                <w:kern w:val="0"/>
                <w:sz w:val="20"/>
                <w:szCs w:val="20"/>
              </w:rPr>
            </w:pPr>
            <w:r>
              <w:rPr>
                <w:rFonts w:hint="eastAsia"/>
                <w:b/>
                <w:sz w:val="20"/>
                <w:szCs w:val="20"/>
              </w:rPr>
              <w:t>账面</w:t>
            </w:r>
            <w:r>
              <w:rPr>
                <w:b/>
                <w:sz w:val="20"/>
                <w:szCs w:val="20"/>
              </w:rPr>
              <w:br/>
            </w:r>
            <w:r>
              <w:rPr>
                <w:rFonts w:hint="eastAsia"/>
                <w:b/>
                <w:sz w:val="20"/>
                <w:szCs w:val="20"/>
              </w:rPr>
              <w:t>余额</w:t>
            </w:r>
          </w:p>
        </w:tc>
        <w:tc>
          <w:tcPr>
            <w:tcW w:w="0" w:type="auto"/>
            <w:shd w:val="clear" w:color="auto" w:fill="D9D9D9"/>
            <w:tcMar>
              <w:top w:w="0" w:type="dxa"/>
              <w:bottom w:w="0" w:type="dxa"/>
            </w:tcMar>
            <w:vAlign w:val="center"/>
          </w:tcPr>
          <w:p w14:paraId="5DFFD446" w14:textId="77777777" w:rsidR="004B0883" w:rsidRDefault="004B0883">
            <w:pPr>
              <w:widowControl w:val="0"/>
              <w:adjustRightInd w:val="0"/>
              <w:snapToGrid w:val="0"/>
              <w:jc w:val="center"/>
              <w:rPr>
                <w:b/>
                <w:bCs/>
                <w:kern w:val="0"/>
                <w:sz w:val="20"/>
                <w:szCs w:val="20"/>
              </w:rPr>
            </w:pPr>
            <w:r>
              <w:rPr>
                <w:rFonts w:hint="eastAsia"/>
                <w:b/>
                <w:bCs/>
                <w:kern w:val="0"/>
                <w:sz w:val="20"/>
                <w:szCs w:val="20"/>
              </w:rPr>
              <w:t>计提</w:t>
            </w:r>
            <w:r>
              <w:rPr>
                <w:b/>
                <w:bCs/>
                <w:kern w:val="0"/>
                <w:sz w:val="20"/>
                <w:szCs w:val="20"/>
              </w:rPr>
              <w:br/>
            </w:r>
            <w:r>
              <w:rPr>
                <w:rFonts w:hint="eastAsia"/>
                <w:b/>
                <w:bCs/>
                <w:kern w:val="0"/>
                <w:sz w:val="20"/>
                <w:szCs w:val="20"/>
              </w:rPr>
              <w:t>比例</w:t>
            </w:r>
          </w:p>
        </w:tc>
        <w:tc>
          <w:tcPr>
            <w:tcW w:w="0" w:type="auto"/>
            <w:shd w:val="clear" w:color="auto" w:fill="D9D9D9"/>
            <w:tcMar>
              <w:top w:w="0" w:type="dxa"/>
              <w:bottom w:w="0" w:type="dxa"/>
            </w:tcMar>
            <w:vAlign w:val="center"/>
          </w:tcPr>
          <w:p w14:paraId="3A7F5E6B" w14:textId="77777777" w:rsidR="004B0883" w:rsidRDefault="004B0883">
            <w:pPr>
              <w:widowControl w:val="0"/>
              <w:adjustRightInd w:val="0"/>
              <w:snapToGrid w:val="0"/>
              <w:jc w:val="center"/>
              <w:rPr>
                <w:b/>
                <w:bCs/>
                <w:kern w:val="0"/>
                <w:sz w:val="20"/>
                <w:szCs w:val="20"/>
              </w:rPr>
            </w:pPr>
            <w:r>
              <w:rPr>
                <w:rFonts w:hint="eastAsia"/>
                <w:b/>
                <w:sz w:val="20"/>
                <w:szCs w:val="20"/>
              </w:rPr>
              <w:t>账面</w:t>
            </w:r>
            <w:r>
              <w:rPr>
                <w:b/>
                <w:sz w:val="20"/>
                <w:szCs w:val="20"/>
              </w:rPr>
              <w:br/>
            </w:r>
            <w:r>
              <w:rPr>
                <w:rFonts w:hint="eastAsia"/>
                <w:b/>
                <w:sz w:val="20"/>
                <w:szCs w:val="20"/>
              </w:rPr>
              <w:t>余额</w:t>
            </w:r>
          </w:p>
        </w:tc>
        <w:tc>
          <w:tcPr>
            <w:tcW w:w="0" w:type="auto"/>
            <w:shd w:val="clear" w:color="auto" w:fill="D9D9D9"/>
            <w:tcMar>
              <w:top w:w="0" w:type="dxa"/>
              <w:bottom w:w="0" w:type="dxa"/>
            </w:tcMar>
            <w:vAlign w:val="center"/>
          </w:tcPr>
          <w:p w14:paraId="4355F24F" w14:textId="77777777" w:rsidR="004B0883" w:rsidRDefault="004B0883">
            <w:pPr>
              <w:widowControl w:val="0"/>
              <w:adjustRightInd w:val="0"/>
              <w:snapToGrid w:val="0"/>
              <w:jc w:val="center"/>
              <w:rPr>
                <w:b/>
                <w:bCs/>
                <w:kern w:val="0"/>
                <w:sz w:val="20"/>
                <w:szCs w:val="20"/>
              </w:rPr>
            </w:pPr>
            <w:r>
              <w:rPr>
                <w:rFonts w:hint="eastAsia"/>
                <w:b/>
                <w:bCs/>
                <w:kern w:val="0"/>
                <w:sz w:val="20"/>
                <w:szCs w:val="20"/>
              </w:rPr>
              <w:t>计提</w:t>
            </w:r>
            <w:r>
              <w:rPr>
                <w:b/>
                <w:bCs/>
                <w:kern w:val="0"/>
                <w:sz w:val="20"/>
                <w:szCs w:val="20"/>
              </w:rPr>
              <w:br/>
            </w:r>
            <w:r>
              <w:rPr>
                <w:rFonts w:hint="eastAsia"/>
                <w:b/>
                <w:bCs/>
                <w:kern w:val="0"/>
                <w:sz w:val="20"/>
                <w:szCs w:val="20"/>
              </w:rPr>
              <w:t>比例</w:t>
            </w:r>
          </w:p>
        </w:tc>
        <w:tc>
          <w:tcPr>
            <w:tcW w:w="0" w:type="auto"/>
            <w:shd w:val="clear" w:color="auto" w:fill="D9D9D9"/>
            <w:tcMar>
              <w:top w:w="0" w:type="dxa"/>
              <w:bottom w:w="0" w:type="dxa"/>
            </w:tcMar>
            <w:vAlign w:val="center"/>
          </w:tcPr>
          <w:p w14:paraId="533D8675" w14:textId="77777777" w:rsidR="004B0883" w:rsidRDefault="004B0883">
            <w:pPr>
              <w:widowControl w:val="0"/>
              <w:adjustRightInd w:val="0"/>
              <w:snapToGrid w:val="0"/>
              <w:jc w:val="center"/>
              <w:rPr>
                <w:b/>
                <w:bCs/>
                <w:kern w:val="0"/>
                <w:sz w:val="20"/>
                <w:szCs w:val="20"/>
              </w:rPr>
            </w:pPr>
            <w:r>
              <w:rPr>
                <w:rFonts w:hint="eastAsia"/>
                <w:b/>
                <w:sz w:val="20"/>
                <w:szCs w:val="20"/>
              </w:rPr>
              <w:t>账面</w:t>
            </w:r>
            <w:r>
              <w:rPr>
                <w:b/>
                <w:sz w:val="20"/>
                <w:szCs w:val="20"/>
              </w:rPr>
              <w:br/>
            </w:r>
            <w:r>
              <w:rPr>
                <w:rFonts w:hint="eastAsia"/>
                <w:b/>
                <w:sz w:val="20"/>
                <w:szCs w:val="20"/>
              </w:rPr>
              <w:t>余额</w:t>
            </w:r>
          </w:p>
        </w:tc>
        <w:tc>
          <w:tcPr>
            <w:tcW w:w="0" w:type="auto"/>
            <w:shd w:val="clear" w:color="auto" w:fill="D9D9D9"/>
            <w:tcMar>
              <w:top w:w="0" w:type="dxa"/>
              <w:bottom w:w="0" w:type="dxa"/>
            </w:tcMar>
            <w:vAlign w:val="center"/>
          </w:tcPr>
          <w:p w14:paraId="7A5C1476" w14:textId="77777777" w:rsidR="004B0883" w:rsidRDefault="004B0883">
            <w:pPr>
              <w:widowControl w:val="0"/>
              <w:adjustRightInd w:val="0"/>
              <w:snapToGrid w:val="0"/>
              <w:jc w:val="center"/>
              <w:rPr>
                <w:b/>
                <w:bCs/>
                <w:kern w:val="0"/>
                <w:sz w:val="20"/>
                <w:szCs w:val="20"/>
              </w:rPr>
            </w:pPr>
            <w:r>
              <w:rPr>
                <w:rFonts w:hint="eastAsia"/>
                <w:b/>
                <w:bCs/>
                <w:kern w:val="0"/>
                <w:sz w:val="20"/>
                <w:szCs w:val="20"/>
              </w:rPr>
              <w:t>计提</w:t>
            </w:r>
            <w:r>
              <w:rPr>
                <w:b/>
                <w:bCs/>
                <w:kern w:val="0"/>
                <w:sz w:val="20"/>
                <w:szCs w:val="20"/>
              </w:rPr>
              <w:br/>
            </w:r>
            <w:r>
              <w:rPr>
                <w:rFonts w:hint="eastAsia"/>
                <w:b/>
                <w:bCs/>
                <w:kern w:val="0"/>
                <w:sz w:val="20"/>
                <w:szCs w:val="20"/>
              </w:rPr>
              <w:t>比例</w:t>
            </w:r>
          </w:p>
        </w:tc>
        <w:tc>
          <w:tcPr>
            <w:tcW w:w="0" w:type="auto"/>
            <w:shd w:val="clear" w:color="auto" w:fill="D9D9D9"/>
            <w:tcMar>
              <w:top w:w="0" w:type="dxa"/>
              <w:bottom w:w="0" w:type="dxa"/>
            </w:tcMar>
            <w:vAlign w:val="center"/>
          </w:tcPr>
          <w:p w14:paraId="3989EA87" w14:textId="77777777" w:rsidR="004B0883" w:rsidRDefault="004B0883">
            <w:pPr>
              <w:widowControl w:val="0"/>
              <w:adjustRightInd w:val="0"/>
              <w:snapToGrid w:val="0"/>
              <w:jc w:val="center"/>
              <w:rPr>
                <w:b/>
                <w:bCs/>
                <w:kern w:val="0"/>
                <w:sz w:val="20"/>
                <w:szCs w:val="20"/>
              </w:rPr>
            </w:pPr>
            <w:r>
              <w:rPr>
                <w:rFonts w:hint="eastAsia"/>
                <w:b/>
                <w:sz w:val="20"/>
                <w:szCs w:val="20"/>
              </w:rPr>
              <w:t>账面</w:t>
            </w:r>
            <w:r>
              <w:rPr>
                <w:b/>
                <w:sz w:val="20"/>
                <w:szCs w:val="20"/>
              </w:rPr>
              <w:br/>
            </w:r>
            <w:r>
              <w:rPr>
                <w:rFonts w:hint="eastAsia"/>
                <w:b/>
                <w:sz w:val="20"/>
                <w:szCs w:val="20"/>
              </w:rPr>
              <w:t>余额</w:t>
            </w:r>
          </w:p>
        </w:tc>
        <w:tc>
          <w:tcPr>
            <w:tcW w:w="0" w:type="auto"/>
            <w:shd w:val="clear" w:color="auto" w:fill="D9D9D9"/>
            <w:tcMar>
              <w:top w:w="0" w:type="dxa"/>
              <w:bottom w:w="0" w:type="dxa"/>
            </w:tcMar>
            <w:vAlign w:val="center"/>
          </w:tcPr>
          <w:p w14:paraId="7AF71A07" w14:textId="77777777" w:rsidR="004B0883" w:rsidRDefault="004B0883">
            <w:pPr>
              <w:widowControl w:val="0"/>
              <w:adjustRightInd w:val="0"/>
              <w:snapToGrid w:val="0"/>
              <w:jc w:val="center"/>
              <w:rPr>
                <w:b/>
                <w:bCs/>
                <w:kern w:val="0"/>
                <w:sz w:val="20"/>
                <w:szCs w:val="20"/>
              </w:rPr>
            </w:pPr>
            <w:r>
              <w:rPr>
                <w:rFonts w:hint="eastAsia"/>
                <w:b/>
                <w:bCs/>
                <w:kern w:val="0"/>
                <w:sz w:val="20"/>
                <w:szCs w:val="20"/>
              </w:rPr>
              <w:t>计提</w:t>
            </w:r>
            <w:r>
              <w:rPr>
                <w:b/>
                <w:bCs/>
                <w:kern w:val="0"/>
                <w:sz w:val="20"/>
                <w:szCs w:val="20"/>
              </w:rPr>
              <w:br/>
            </w:r>
            <w:r>
              <w:rPr>
                <w:rFonts w:hint="eastAsia"/>
                <w:b/>
                <w:bCs/>
                <w:kern w:val="0"/>
                <w:sz w:val="20"/>
                <w:szCs w:val="20"/>
              </w:rPr>
              <w:t>比例</w:t>
            </w:r>
          </w:p>
        </w:tc>
      </w:tr>
      <w:tr w:rsidR="004B0883" w14:paraId="6732CB6B" w14:textId="77777777">
        <w:trPr>
          <w:trHeight w:val="397"/>
          <w:jc w:val="center"/>
        </w:trPr>
        <w:tc>
          <w:tcPr>
            <w:tcW w:w="0" w:type="auto"/>
            <w:tcMar>
              <w:top w:w="0" w:type="dxa"/>
              <w:bottom w:w="0" w:type="dxa"/>
            </w:tcMar>
            <w:vAlign w:val="center"/>
          </w:tcPr>
          <w:p w14:paraId="61E5BDBA" w14:textId="77777777" w:rsidR="004B0883" w:rsidRDefault="004B0883">
            <w:pPr>
              <w:widowControl w:val="0"/>
              <w:adjustRightInd w:val="0"/>
              <w:snapToGrid w:val="0"/>
              <w:rPr>
                <w:kern w:val="0"/>
                <w:sz w:val="20"/>
                <w:szCs w:val="20"/>
              </w:rPr>
            </w:pPr>
            <w:r>
              <w:rPr>
                <w:rFonts w:hint="eastAsia"/>
                <w:b/>
                <w:bCs/>
                <w:kern w:val="0"/>
                <w:sz w:val="20"/>
                <w:szCs w:val="20"/>
              </w:rPr>
              <w:t>按组合计提坏账准备的应收账款</w:t>
            </w:r>
          </w:p>
        </w:tc>
        <w:tc>
          <w:tcPr>
            <w:tcW w:w="0" w:type="auto"/>
            <w:tcMar>
              <w:top w:w="0" w:type="dxa"/>
              <w:bottom w:w="0" w:type="dxa"/>
            </w:tcMar>
            <w:vAlign w:val="center"/>
          </w:tcPr>
          <w:p w14:paraId="45AC669B" w14:textId="77777777" w:rsidR="004B0883" w:rsidRDefault="004B0883">
            <w:pPr>
              <w:adjustRightInd w:val="0"/>
              <w:snapToGrid w:val="0"/>
              <w:jc w:val="right"/>
              <w:rPr>
                <w:color w:val="000000"/>
                <w:kern w:val="0"/>
                <w:sz w:val="20"/>
                <w:szCs w:val="20"/>
              </w:rPr>
            </w:pPr>
            <w:r>
              <w:rPr>
                <w:color w:val="000000"/>
                <w:kern w:val="0"/>
                <w:sz w:val="20"/>
                <w:szCs w:val="20"/>
              </w:rPr>
              <w:t>10,047.63</w:t>
            </w:r>
          </w:p>
        </w:tc>
        <w:tc>
          <w:tcPr>
            <w:tcW w:w="0" w:type="auto"/>
            <w:tcMar>
              <w:top w:w="0" w:type="dxa"/>
              <w:bottom w:w="0" w:type="dxa"/>
            </w:tcMar>
            <w:vAlign w:val="center"/>
          </w:tcPr>
          <w:p w14:paraId="01E92094" w14:textId="77777777" w:rsidR="004B0883" w:rsidRDefault="004B0883">
            <w:pPr>
              <w:adjustRightInd w:val="0"/>
              <w:snapToGrid w:val="0"/>
              <w:jc w:val="right"/>
              <w:rPr>
                <w:color w:val="000000"/>
                <w:kern w:val="0"/>
                <w:sz w:val="20"/>
                <w:szCs w:val="20"/>
              </w:rPr>
            </w:pPr>
            <w:r>
              <w:rPr>
                <w:color w:val="000000"/>
                <w:kern w:val="0"/>
                <w:sz w:val="20"/>
                <w:szCs w:val="20"/>
              </w:rPr>
              <w:t>8.</w:t>
            </w:r>
            <w:r>
              <w:rPr>
                <w:rFonts w:hint="eastAsia"/>
                <w:color w:val="000000"/>
                <w:kern w:val="0"/>
                <w:sz w:val="20"/>
                <w:szCs w:val="20"/>
              </w:rPr>
              <w:t>85</w:t>
            </w:r>
            <w:r>
              <w:rPr>
                <w:color w:val="000000"/>
                <w:kern w:val="0"/>
                <w:sz w:val="20"/>
                <w:szCs w:val="20"/>
              </w:rPr>
              <w:t>%</w:t>
            </w:r>
          </w:p>
        </w:tc>
        <w:tc>
          <w:tcPr>
            <w:tcW w:w="0" w:type="auto"/>
            <w:tcMar>
              <w:top w:w="0" w:type="dxa"/>
              <w:bottom w:w="0" w:type="dxa"/>
            </w:tcMar>
            <w:vAlign w:val="center"/>
          </w:tcPr>
          <w:p w14:paraId="67938031" w14:textId="77777777" w:rsidR="004B0883" w:rsidRDefault="004B0883">
            <w:pPr>
              <w:adjustRightInd w:val="0"/>
              <w:snapToGrid w:val="0"/>
              <w:jc w:val="right"/>
              <w:rPr>
                <w:color w:val="000000"/>
                <w:kern w:val="0"/>
                <w:sz w:val="20"/>
                <w:szCs w:val="20"/>
              </w:rPr>
            </w:pPr>
            <w:r>
              <w:rPr>
                <w:color w:val="000000"/>
                <w:kern w:val="0"/>
                <w:sz w:val="20"/>
                <w:szCs w:val="20"/>
              </w:rPr>
              <w:t>8,790.40</w:t>
            </w:r>
          </w:p>
        </w:tc>
        <w:tc>
          <w:tcPr>
            <w:tcW w:w="0" w:type="auto"/>
            <w:tcMar>
              <w:top w:w="0" w:type="dxa"/>
              <w:bottom w:w="0" w:type="dxa"/>
            </w:tcMar>
            <w:vAlign w:val="center"/>
          </w:tcPr>
          <w:p w14:paraId="20A9BB03" w14:textId="77777777" w:rsidR="004B0883" w:rsidRDefault="004B0883">
            <w:pPr>
              <w:adjustRightInd w:val="0"/>
              <w:snapToGrid w:val="0"/>
              <w:jc w:val="right"/>
              <w:rPr>
                <w:color w:val="000000"/>
                <w:kern w:val="0"/>
                <w:sz w:val="20"/>
                <w:szCs w:val="20"/>
              </w:rPr>
            </w:pPr>
            <w:r>
              <w:rPr>
                <w:color w:val="000000"/>
                <w:kern w:val="0"/>
                <w:sz w:val="20"/>
                <w:szCs w:val="20"/>
              </w:rPr>
              <w:t>9.38%</w:t>
            </w:r>
          </w:p>
        </w:tc>
        <w:tc>
          <w:tcPr>
            <w:tcW w:w="0" w:type="auto"/>
            <w:tcMar>
              <w:top w:w="0" w:type="dxa"/>
              <w:bottom w:w="0" w:type="dxa"/>
            </w:tcMar>
            <w:vAlign w:val="center"/>
          </w:tcPr>
          <w:p w14:paraId="2A781917" w14:textId="77777777" w:rsidR="004B0883" w:rsidRDefault="004B0883">
            <w:pPr>
              <w:adjustRightInd w:val="0"/>
              <w:snapToGrid w:val="0"/>
              <w:jc w:val="right"/>
              <w:rPr>
                <w:color w:val="000000"/>
                <w:kern w:val="0"/>
                <w:sz w:val="20"/>
                <w:szCs w:val="20"/>
              </w:rPr>
            </w:pPr>
            <w:r>
              <w:rPr>
                <w:color w:val="000000"/>
                <w:kern w:val="0"/>
                <w:sz w:val="20"/>
                <w:szCs w:val="20"/>
              </w:rPr>
              <w:t>7,911.04</w:t>
            </w:r>
          </w:p>
        </w:tc>
        <w:tc>
          <w:tcPr>
            <w:tcW w:w="0" w:type="auto"/>
            <w:tcMar>
              <w:top w:w="0" w:type="dxa"/>
              <w:bottom w:w="0" w:type="dxa"/>
            </w:tcMar>
            <w:vAlign w:val="center"/>
          </w:tcPr>
          <w:p w14:paraId="5C674745" w14:textId="77777777" w:rsidR="004B0883" w:rsidRDefault="004B0883">
            <w:pPr>
              <w:adjustRightInd w:val="0"/>
              <w:snapToGrid w:val="0"/>
              <w:jc w:val="right"/>
              <w:rPr>
                <w:color w:val="000000"/>
                <w:kern w:val="0"/>
                <w:sz w:val="20"/>
                <w:szCs w:val="20"/>
              </w:rPr>
            </w:pPr>
            <w:r>
              <w:rPr>
                <w:color w:val="000000"/>
                <w:kern w:val="0"/>
                <w:sz w:val="20"/>
                <w:szCs w:val="20"/>
              </w:rPr>
              <w:t>9.17%</w:t>
            </w:r>
          </w:p>
        </w:tc>
        <w:tc>
          <w:tcPr>
            <w:tcW w:w="0" w:type="auto"/>
            <w:tcMar>
              <w:top w:w="0" w:type="dxa"/>
              <w:bottom w:w="0" w:type="dxa"/>
            </w:tcMar>
            <w:vAlign w:val="center"/>
          </w:tcPr>
          <w:p w14:paraId="0125F996" w14:textId="77777777" w:rsidR="004B0883" w:rsidRDefault="004B0883">
            <w:pPr>
              <w:adjustRightInd w:val="0"/>
              <w:snapToGrid w:val="0"/>
              <w:jc w:val="right"/>
              <w:rPr>
                <w:color w:val="000000"/>
                <w:kern w:val="0"/>
                <w:sz w:val="20"/>
                <w:szCs w:val="20"/>
              </w:rPr>
            </w:pPr>
            <w:r>
              <w:rPr>
                <w:color w:val="000000"/>
                <w:kern w:val="0"/>
                <w:sz w:val="20"/>
                <w:szCs w:val="20"/>
              </w:rPr>
              <w:t>5,582.27</w:t>
            </w:r>
          </w:p>
        </w:tc>
        <w:tc>
          <w:tcPr>
            <w:tcW w:w="0" w:type="auto"/>
            <w:tcMar>
              <w:top w:w="0" w:type="dxa"/>
              <w:bottom w:w="0" w:type="dxa"/>
            </w:tcMar>
            <w:vAlign w:val="center"/>
          </w:tcPr>
          <w:p w14:paraId="28E4A8F7" w14:textId="77777777" w:rsidR="004B0883" w:rsidRDefault="004B0883">
            <w:pPr>
              <w:adjustRightInd w:val="0"/>
              <w:snapToGrid w:val="0"/>
              <w:jc w:val="right"/>
              <w:rPr>
                <w:color w:val="000000"/>
                <w:kern w:val="0"/>
                <w:sz w:val="20"/>
                <w:szCs w:val="20"/>
              </w:rPr>
            </w:pPr>
            <w:r>
              <w:rPr>
                <w:color w:val="000000"/>
                <w:kern w:val="0"/>
                <w:sz w:val="20"/>
                <w:szCs w:val="20"/>
              </w:rPr>
              <w:t>8.92%</w:t>
            </w:r>
          </w:p>
        </w:tc>
      </w:tr>
    </w:tbl>
    <w:p w14:paraId="22B2BC59" w14:textId="77777777" w:rsidR="004B0883" w:rsidRDefault="004B0883">
      <w:pPr>
        <w:widowControl w:val="0"/>
        <w:spacing w:beforeLines="50" w:before="120" w:line="360" w:lineRule="auto"/>
        <w:ind w:firstLineChars="200" w:firstLine="480"/>
        <w:jc w:val="both"/>
        <w:rPr>
          <w:rFonts w:hint="eastAsia"/>
          <w:sz w:val="24"/>
          <w:szCs w:val="22"/>
        </w:rPr>
      </w:pPr>
      <w:r>
        <w:rPr>
          <w:rFonts w:hint="eastAsia"/>
          <w:sz w:val="24"/>
          <w:szCs w:val="22"/>
        </w:rPr>
        <w:t>报告期各期末，公司按组合计提坏账准备的应收账款账面余额分别为</w:t>
      </w:r>
      <w:r>
        <w:rPr>
          <w:sz w:val="24"/>
          <w:szCs w:val="22"/>
        </w:rPr>
        <w:t>5,582.27</w:t>
      </w:r>
      <w:r>
        <w:rPr>
          <w:rFonts w:hint="eastAsia"/>
          <w:sz w:val="24"/>
          <w:szCs w:val="22"/>
        </w:rPr>
        <w:t>万元、</w:t>
      </w:r>
      <w:r>
        <w:rPr>
          <w:sz w:val="24"/>
          <w:szCs w:val="22"/>
        </w:rPr>
        <w:t>7,911.04</w:t>
      </w:r>
      <w:r>
        <w:rPr>
          <w:rFonts w:hint="eastAsia"/>
          <w:sz w:val="24"/>
          <w:szCs w:val="22"/>
        </w:rPr>
        <w:t>万元、</w:t>
      </w:r>
      <w:r>
        <w:rPr>
          <w:sz w:val="24"/>
          <w:szCs w:val="22"/>
        </w:rPr>
        <w:t>8,790.40</w:t>
      </w:r>
      <w:r>
        <w:rPr>
          <w:rFonts w:hint="eastAsia"/>
          <w:sz w:val="24"/>
          <w:szCs w:val="22"/>
        </w:rPr>
        <w:t>万元和</w:t>
      </w:r>
      <w:r>
        <w:rPr>
          <w:sz w:val="24"/>
          <w:szCs w:val="22"/>
        </w:rPr>
        <w:t>10,047.63</w:t>
      </w:r>
      <w:r>
        <w:rPr>
          <w:rFonts w:hint="eastAsia"/>
          <w:sz w:val="24"/>
          <w:szCs w:val="22"/>
        </w:rPr>
        <w:t>万元，计提坏账准备比例分别为</w:t>
      </w:r>
      <w:r>
        <w:rPr>
          <w:sz w:val="24"/>
          <w:szCs w:val="22"/>
        </w:rPr>
        <w:t>8.92%</w:t>
      </w:r>
      <w:r>
        <w:rPr>
          <w:rFonts w:hint="eastAsia"/>
          <w:sz w:val="24"/>
          <w:szCs w:val="22"/>
        </w:rPr>
        <w:t>、</w:t>
      </w:r>
      <w:r>
        <w:rPr>
          <w:sz w:val="24"/>
          <w:szCs w:val="22"/>
        </w:rPr>
        <w:t>9.17%</w:t>
      </w:r>
      <w:r>
        <w:rPr>
          <w:rFonts w:hint="eastAsia"/>
          <w:sz w:val="24"/>
          <w:szCs w:val="22"/>
        </w:rPr>
        <w:t>、</w:t>
      </w:r>
      <w:r>
        <w:rPr>
          <w:sz w:val="24"/>
          <w:szCs w:val="22"/>
        </w:rPr>
        <w:t>9.38%</w:t>
      </w:r>
      <w:r>
        <w:rPr>
          <w:rFonts w:hint="eastAsia"/>
          <w:sz w:val="24"/>
          <w:szCs w:val="22"/>
        </w:rPr>
        <w:t>和</w:t>
      </w:r>
      <w:r>
        <w:rPr>
          <w:sz w:val="24"/>
          <w:szCs w:val="22"/>
        </w:rPr>
        <w:t>8.</w:t>
      </w:r>
      <w:r>
        <w:rPr>
          <w:rFonts w:hint="eastAsia"/>
          <w:sz w:val="24"/>
          <w:szCs w:val="22"/>
        </w:rPr>
        <w:t>85</w:t>
      </w:r>
      <w:r>
        <w:rPr>
          <w:sz w:val="24"/>
          <w:szCs w:val="22"/>
        </w:rPr>
        <w:t>%</w:t>
      </w:r>
      <w:r>
        <w:rPr>
          <w:rFonts w:hint="eastAsia"/>
          <w:sz w:val="24"/>
          <w:szCs w:val="22"/>
        </w:rPr>
        <w:t>，具体情况如下：</w:t>
      </w:r>
    </w:p>
    <w:p w14:paraId="3DF076DA" w14:textId="77777777" w:rsidR="004B0883" w:rsidRDefault="004B0883">
      <w:pPr>
        <w:keepNext/>
        <w:widowControl w:val="0"/>
        <w:jc w:val="right"/>
        <w:rPr>
          <w:szCs w:val="22"/>
        </w:rPr>
      </w:pPr>
      <w:r>
        <w:rPr>
          <w:rFonts w:hint="eastAsia"/>
          <w:szCs w:val="22"/>
        </w:rPr>
        <w:t>单位：万元</w:t>
      </w:r>
    </w:p>
    <w:tbl>
      <w:tblPr>
        <w:tblW w:w="5001"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315"/>
        <w:gridCol w:w="1741"/>
        <w:gridCol w:w="1742"/>
        <w:gridCol w:w="1742"/>
        <w:gridCol w:w="1742"/>
      </w:tblGrid>
      <w:tr w:rsidR="004B0883" w14:paraId="6AFBCA10" w14:textId="77777777">
        <w:trPr>
          <w:trHeight w:val="397"/>
          <w:jc w:val="center"/>
        </w:trPr>
        <w:tc>
          <w:tcPr>
            <w:tcW w:w="1353" w:type="dxa"/>
            <w:vMerge w:val="restart"/>
            <w:shd w:val="clear" w:color="auto" w:fill="D9D9D9"/>
            <w:tcMar>
              <w:top w:w="0" w:type="dxa"/>
              <w:bottom w:w="0" w:type="dxa"/>
            </w:tcMar>
            <w:vAlign w:val="center"/>
          </w:tcPr>
          <w:p w14:paraId="4D0C5ED6" w14:textId="77777777" w:rsidR="004B0883" w:rsidRDefault="004B0883">
            <w:pPr>
              <w:keepNext/>
              <w:widowControl w:val="0"/>
              <w:adjustRightInd w:val="0"/>
              <w:snapToGrid w:val="0"/>
              <w:jc w:val="center"/>
              <w:rPr>
                <w:b/>
                <w:sz w:val="18"/>
                <w:szCs w:val="18"/>
              </w:rPr>
            </w:pPr>
            <w:r>
              <w:rPr>
                <w:rFonts w:hint="eastAsia"/>
                <w:b/>
                <w:sz w:val="18"/>
                <w:szCs w:val="18"/>
              </w:rPr>
              <w:t>账龄结构</w:t>
            </w:r>
          </w:p>
        </w:tc>
        <w:tc>
          <w:tcPr>
            <w:tcW w:w="7175" w:type="dxa"/>
            <w:gridSpan w:val="4"/>
            <w:shd w:val="clear" w:color="auto" w:fill="D9D9D9"/>
            <w:tcMar>
              <w:top w:w="0" w:type="dxa"/>
              <w:bottom w:w="0" w:type="dxa"/>
            </w:tcMar>
            <w:vAlign w:val="center"/>
          </w:tcPr>
          <w:p w14:paraId="6E9F292E" w14:textId="77777777" w:rsidR="004B0883" w:rsidRDefault="004B0883">
            <w:pPr>
              <w:keepNext/>
              <w:widowControl w:val="0"/>
              <w:adjustRightInd w:val="0"/>
              <w:snapToGrid w:val="0"/>
              <w:jc w:val="center"/>
              <w:rPr>
                <w:b/>
                <w:sz w:val="18"/>
                <w:szCs w:val="18"/>
              </w:rPr>
            </w:pPr>
            <w:r>
              <w:rPr>
                <w:b/>
                <w:bCs/>
                <w:color w:val="000000"/>
                <w:kern w:val="0"/>
                <w:sz w:val="18"/>
                <w:szCs w:val="18"/>
              </w:rPr>
              <w:t>2023.</w:t>
            </w:r>
            <w:r>
              <w:rPr>
                <w:rFonts w:hint="eastAsia"/>
                <w:b/>
                <w:bCs/>
                <w:color w:val="000000"/>
                <w:kern w:val="0"/>
                <w:sz w:val="18"/>
                <w:szCs w:val="18"/>
              </w:rPr>
              <w:t>9</w:t>
            </w:r>
            <w:r>
              <w:rPr>
                <w:b/>
                <w:bCs/>
                <w:color w:val="000000"/>
                <w:kern w:val="0"/>
                <w:sz w:val="18"/>
                <w:szCs w:val="18"/>
              </w:rPr>
              <w:t>.30</w:t>
            </w:r>
          </w:p>
        </w:tc>
      </w:tr>
      <w:tr w:rsidR="004B0883" w14:paraId="563D5A8D" w14:textId="77777777">
        <w:trPr>
          <w:trHeight w:val="397"/>
          <w:jc w:val="center"/>
        </w:trPr>
        <w:tc>
          <w:tcPr>
            <w:tcW w:w="1353" w:type="dxa"/>
            <w:vMerge/>
            <w:shd w:val="clear" w:color="auto" w:fill="D9D9D9"/>
            <w:tcMar>
              <w:top w:w="0" w:type="dxa"/>
              <w:bottom w:w="0" w:type="dxa"/>
            </w:tcMar>
            <w:vAlign w:val="center"/>
          </w:tcPr>
          <w:p w14:paraId="5883A77F" w14:textId="77777777" w:rsidR="004B0883" w:rsidRDefault="004B0883">
            <w:pPr>
              <w:keepNext/>
              <w:widowControl w:val="0"/>
              <w:adjustRightInd w:val="0"/>
              <w:snapToGrid w:val="0"/>
              <w:rPr>
                <w:b/>
                <w:sz w:val="18"/>
                <w:szCs w:val="18"/>
              </w:rPr>
            </w:pPr>
          </w:p>
        </w:tc>
        <w:tc>
          <w:tcPr>
            <w:tcW w:w="1793" w:type="dxa"/>
            <w:shd w:val="clear" w:color="auto" w:fill="D9D9D9"/>
            <w:tcMar>
              <w:top w:w="0" w:type="dxa"/>
              <w:bottom w:w="0" w:type="dxa"/>
            </w:tcMar>
            <w:vAlign w:val="center"/>
          </w:tcPr>
          <w:p w14:paraId="4DBD8B54" w14:textId="77777777" w:rsidR="004B0883" w:rsidRDefault="004B0883">
            <w:pPr>
              <w:keepNext/>
              <w:widowControl w:val="0"/>
              <w:adjustRightInd w:val="0"/>
              <w:snapToGrid w:val="0"/>
              <w:jc w:val="center"/>
              <w:rPr>
                <w:b/>
                <w:sz w:val="18"/>
                <w:szCs w:val="18"/>
              </w:rPr>
            </w:pPr>
            <w:r>
              <w:rPr>
                <w:rFonts w:hint="eastAsia"/>
                <w:b/>
                <w:sz w:val="18"/>
                <w:szCs w:val="18"/>
              </w:rPr>
              <w:t>账面余额</w:t>
            </w:r>
          </w:p>
        </w:tc>
        <w:tc>
          <w:tcPr>
            <w:tcW w:w="1794" w:type="dxa"/>
            <w:shd w:val="clear" w:color="auto" w:fill="D9D9D9"/>
            <w:tcMar>
              <w:top w:w="0" w:type="dxa"/>
              <w:bottom w:w="0" w:type="dxa"/>
            </w:tcMar>
            <w:vAlign w:val="center"/>
          </w:tcPr>
          <w:p w14:paraId="7B96E756" w14:textId="77777777" w:rsidR="004B0883" w:rsidRDefault="004B0883">
            <w:pPr>
              <w:keepNext/>
              <w:widowControl w:val="0"/>
              <w:adjustRightInd w:val="0"/>
              <w:snapToGrid w:val="0"/>
              <w:jc w:val="center"/>
              <w:rPr>
                <w:b/>
                <w:sz w:val="18"/>
                <w:szCs w:val="18"/>
              </w:rPr>
            </w:pPr>
            <w:r>
              <w:rPr>
                <w:rFonts w:hint="eastAsia"/>
                <w:b/>
                <w:sz w:val="18"/>
                <w:szCs w:val="18"/>
              </w:rPr>
              <w:t>比例</w:t>
            </w:r>
          </w:p>
        </w:tc>
        <w:tc>
          <w:tcPr>
            <w:tcW w:w="1794" w:type="dxa"/>
            <w:shd w:val="clear" w:color="auto" w:fill="D9D9D9"/>
            <w:tcMar>
              <w:top w:w="0" w:type="dxa"/>
              <w:bottom w:w="0" w:type="dxa"/>
            </w:tcMar>
            <w:vAlign w:val="center"/>
          </w:tcPr>
          <w:p w14:paraId="6735B591" w14:textId="77777777" w:rsidR="004B0883" w:rsidRDefault="004B0883">
            <w:pPr>
              <w:keepNext/>
              <w:widowControl w:val="0"/>
              <w:adjustRightInd w:val="0"/>
              <w:snapToGrid w:val="0"/>
              <w:jc w:val="center"/>
              <w:rPr>
                <w:b/>
                <w:sz w:val="18"/>
                <w:szCs w:val="18"/>
              </w:rPr>
            </w:pPr>
            <w:r>
              <w:rPr>
                <w:rFonts w:hint="eastAsia"/>
                <w:b/>
                <w:sz w:val="18"/>
                <w:szCs w:val="18"/>
              </w:rPr>
              <w:t>坏账准备</w:t>
            </w:r>
          </w:p>
        </w:tc>
        <w:tc>
          <w:tcPr>
            <w:tcW w:w="1794" w:type="dxa"/>
            <w:shd w:val="clear" w:color="auto" w:fill="D9D9D9"/>
            <w:tcMar>
              <w:top w:w="0" w:type="dxa"/>
              <w:bottom w:w="0" w:type="dxa"/>
            </w:tcMar>
            <w:vAlign w:val="center"/>
          </w:tcPr>
          <w:p w14:paraId="1283681A" w14:textId="77777777" w:rsidR="004B0883" w:rsidRDefault="004B0883">
            <w:pPr>
              <w:keepNext/>
              <w:widowControl w:val="0"/>
              <w:adjustRightInd w:val="0"/>
              <w:snapToGrid w:val="0"/>
              <w:jc w:val="center"/>
              <w:rPr>
                <w:b/>
                <w:sz w:val="18"/>
                <w:szCs w:val="18"/>
              </w:rPr>
            </w:pPr>
            <w:r>
              <w:rPr>
                <w:rFonts w:hint="eastAsia"/>
                <w:b/>
                <w:sz w:val="18"/>
                <w:szCs w:val="18"/>
              </w:rPr>
              <w:t>账面价值</w:t>
            </w:r>
          </w:p>
        </w:tc>
      </w:tr>
      <w:tr w:rsidR="004B0883" w14:paraId="0349722B" w14:textId="77777777">
        <w:trPr>
          <w:trHeight w:val="397"/>
          <w:jc w:val="center"/>
        </w:trPr>
        <w:tc>
          <w:tcPr>
            <w:tcW w:w="1353" w:type="dxa"/>
            <w:tcMar>
              <w:top w:w="0" w:type="dxa"/>
              <w:bottom w:w="0" w:type="dxa"/>
            </w:tcMar>
            <w:vAlign w:val="center"/>
          </w:tcPr>
          <w:p w14:paraId="0AC7BA67" w14:textId="77777777" w:rsidR="004B0883" w:rsidRDefault="004B0883">
            <w:pPr>
              <w:adjustRightInd w:val="0"/>
              <w:snapToGrid w:val="0"/>
              <w:rPr>
                <w:color w:val="000000"/>
                <w:kern w:val="0"/>
                <w:sz w:val="18"/>
                <w:szCs w:val="18"/>
              </w:rPr>
            </w:pPr>
            <w:r>
              <w:rPr>
                <w:color w:val="000000"/>
                <w:kern w:val="0"/>
                <w:sz w:val="18"/>
                <w:szCs w:val="18"/>
              </w:rPr>
              <w:t>1</w:t>
            </w:r>
            <w:r>
              <w:rPr>
                <w:color w:val="000000"/>
                <w:kern w:val="0"/>
                <w:sz w:val="18"/>
                <w:szCs w:val="18"/>
              </w:rPr>
              <w:t>年以内</w:t>
            </w:r>
          </w:p>
        </w:tc>
        <w:tc>
          <w:tcPr>
            <w:tcW w:w="1793" w:type="dxa"/>
            <w:tcMar>
              <w:top w:w="0" w:type="dxa"/>
              <w:bottom w:w="0" w:type="dxa"/>
            </w:tcMar>
            <w:vAlign w:val="center"/>
          </w:tcPr>
          <w:p w14:paraId="2B46B977" w14:textId="77777777" w:rsidR="004B0883" w:rsidRDefault="004B0883">
            <w:pPr>
              <w:adjustRightInd w:val="0"/>
              <w:snapToGrid w:val="0"/>
              <w:jc w:val="right"/>
              <w:rPr>
                <w:color w:val="000000"/>
                <w:kern w:val="0"/>
                <w:sz w:val="18"/>
                <w:szCs w:val="18"/>
              </w:rPr>
            </w:pPr>
            <w:r>
              <w:rPr>
                <w:sz w:val="18"/>
                <w:szCs w:val="18"/>
              </w:rPr>
              <w:t>9,300.72</w:t>
            </w:r>
          </w:p>
        </w:tc>
        <w:tc>
          <w:tcPr>
            <w:tcW w:w="1794" w:type="dxa"/>
            <w:tcMar>
              <w:top w:w="0" w:type="dxa"/>
              <w:bottom w:w="0" w:type="dxa"/>
            </w:tcMar>
            <w:vAlign w:val="center"/>
          </w:tcPr>
          <w:p w14:paraId="5345DEF9" w14:textId="77777777" w:rsidR="004B0883" w:rsidRDefault="004B0883">
            <w:pPr>
              <w:jc w:val="right"/>
              <w:rPr>
                <w:rFonts w:eastAsia="等线"/>
                <w:color w:val="000000"/>
                <w:kern w:val="0"/>
                <w:sz w:val="18"/>
                <w:szCs w:val="18"/>
              </w:rPr>
            </w:pPr>
            <w:r>
              <w:rPr>
                <w:sz w:val="18"/>
                <w:szCs w:val="18"/>
              </w:rPr>
              <w:t>92.57%</w:t>
            </w:r>
          </w:p>
        </w:tc>
        <w:tc>
          <w:tcPr>
            <w:tcW w:w="1794" w:type="dxa"/>
            <w:tcMar>
              <w:top w:w="0" w:type="dxa"/>
              <w:bottom w:w="0" w:type="dxa"/>
            </w:tcMar>
            <w:vAlign w:val="center"/>
          </w:tcPr>
          <w:p w14:paraId="3A87E101" w14:textId="77777777" w:rsidR="004B0883" w:rsidRDefault="004B0883">
            <w:pPr>
              <w:jc w:val="right"/>
              <w:rPr>
                <w:kern w:val="0"/>
                <w:sz w:val="18"/>
                <w:szCs w:val="18"/>
              </w:rPr>
            </w:pPr>
            <w:r>
              <w:rPr>
                <w:sz w:val="18"/>
                <w:szCs w:val="18"/>
              </w:rPr>
              <w:t>465.04</w:t>
            </w:r>
          </w:p>
        </w:tc>
        <w:tc>
          <w:tcPr>
            <w:tcW w:w="1794" w:type="dxa"/>
            <w:tcMar>
              <w:top w:w="0" w:type="dxa"/>
              <w:bottom w:w="0" w:type="dxa"/>
            </w:tcMar>
            <w:vAlign w:val="center"/>
          </w:tcPr>
          <w:p w14:paraId="09CFC872" w14:textId="77777777" w:rsidR="004B0883" w:rsidRDefault="004B0883">
            <w:pPr>
              <w:jc w:val="right"/>
              <w:rPr>
                <w:rFonts w:eastAsia="等线"/>
                <w:color w:val="000000"/>
                <w:kern w:val="0"/>
                <w:sz w:val="18"/>
                <w:szCs w:val="18"/>
              </w:rPr>
            </w:pPr>
            <w:r>
              <w:rPr>
                <w:sz w:val="18"/>
                <w:szCs w:val="18"/>
              </w:rPr>
              <w:t>8,835.68</w:t>
            </w:r>
          </w:p>
        </w:tc>
      </w:tr>
      <w:tr w:rsidR="004B0883" w14:paraId="21113F63" w14:textId="77777777">
        <w:trPr>
          <w:trHeight w:val="397"/>
          <w:jc w:val="center"/>
        </w:trPr>
        <w:tc>
          <w:tcPr>
            <w:tcW w:w="1353" w:type="dxa"/>
            <w:tcMar>
              <w:top w:w="0" w:type="dxa"/>
              <w:bottom w:w="0" w:type="dxa"/>
            </w:tcMar>
            <w:vAlign w:val="center"/>
          </w:tcPr>
          <w:p w14:paraId="33AD8A4D" w14:textId="77777777" w:rsidR="004B0883" w:rsidRDefault="004B0883">
            <w:pPr>
              <w:adjustRightInd w:val="0"/>
              <w:snapToGrid w:val="0"/>
              <w:rPr>
                <w:color w:val="000000"/>
                <w:kern w:val="0"/>
                <w:sz w:val="18"/>
                <w:szCs w:val="18"/>
              </w:rPr>
            </w:pPr>
            <w:r>
              <w:rPr>
                <w:color w:val="000000"/>
                <w:kern w:val="0"/>
                <w:sz w:val="18"/>
                <w:szCs w:val="18"/>
              </w:rPr>
              <w:t>1</w:t>
            </w:r>
            <w:r>
              <w:rPr>
                <w:color w:val="000000"/>
                <w:kern w:val="0"/>
                <w:sz w:val="18"/>
                <w:szCs w:val="18"/>
              </w:rPr>
              <w:t>至</w:t>
            </w:r>
            <w:r>
              <w:rPr>
                <w:color w:val="000000"/>
                <w:kern w:val="0"/>
                <w:sz w:val="18"/>
                <w:szCs w:val="18"/>
              </w:rPr>
              <w:t>2</w:t>
            </w:r>
            <w:r>
              <w:rPr>
                <w:color w:val="000000"/>
                <w:kern w:val="0"/>
                <w:sz w:val="18"/>
                <w:szCs w:val="18"/>
              </w:rPr>
              <w:t>年</w:t>
            </w:r>
          </w:p>
        </w:tc>
        <w:tc>
          <w:tcPr>
            <w:tcW w:w="1793" w:type="dxa"/>
            <w:tcMar>
              <w:top w:w="0" w:type="dxa"/>
              <w:bottom w:w="0" w:type="dxa"/>
            </w:tcMar>
            <w:vAlign w:val="center"/>
          </w:tcPr>
          <w:p w14:paraId="239F8C09" w14:textId="77777777" w:rsidR="004B0883" w:rsidRDefault="004B0883">
            <w:pPr>
              <w:adjustRightInd w:val="0"/>
              <w:snapToGrid w:val="0"/>
              <w:jc w:val="right"/>
              <w:rPr>
                <w:color w:val="000000"/>
                <w:kern w:val="0"/>
                <w:sz w:val="18"/>
                <w:szCs w:val="18"/>
              </w:rPr>
            </w:pPr>
            <w:r>
              <w:rPr>
                <w:sz w:val="18"/>
                <w:szCs w:val="18"/>
              </w:rPr>
              <w:t>34.29</w:t>
            </w:r>
          </w:p>
        </w:tc>
        <w:tc>
          <w:tcPr>
            <w:tcW w:w="1794" w:type="dxa"/>
            <w:tcMar>
              <w:top w:w="0" w:type="dxa"/>
              <w:bottom w:w="0" w:type="dxa"/>
            </w:tcMar>
            <w:vAlign w:val="center"/>
          </w:tcPr>
          <w:p w14:paraId="3ACBFA81" w14:textId="77777777" w:rsidR="004B0883" w:rsidRDefault="004B0883">
            <w:pPr>
              <w:jc w:val="right"/>
              <w:rPr>
                <w:rFonts w:eastAsia="等线"/>
                <w:color w:val="000000"/>
                <w:sz w:val="18"/>
                <w:szCs w:val="18"/>
              </w:rPr>
            </w:pPr>
            <w:r>
              <w:rPr>
                <w:sz w:val="18"/>
                <w:szCs w:val="18"/>
              </w:rPr>
              <w:t>0.34%</w:t>
            </w:r>
          </w:p>
        </w:tc>
        <w:tc>
          <w:tcPr>
            <w:tcW w:w="1794" w:type="dxa"/>
            <w:tcMar>
              <w:top w:w="0" w:type="dxa"/>
              <w:bottom w:w="0" w:type="dxa"/>
            </w:tcMar>
            <w:vAlign w:val="center"/>
          </w:tcPr>
          <w:p w14:paraId="3E55FA69" w14:textId="77777777" w:rsidR="004B0883" w:rsidRDefault="004B0883">
            <w:pPr>
              <w:jc w:val="right"/>
              <w:rPr>
                <w:rFonts w:hint="eastAsia"/>
                <w:sz w:val="18"/>
                <w:szCs w:val="18"/>
              </w:rPr>
            </w:pPr>
            <w:r>
              <w:rPr>
                <w:sz w:val="18"/>
                <w:szCs w:val="18"/>
              </w:rPr>
              <w:t>3.43</w:t>
            </w:r>
          </w:p>
        </w:tc>
        <w:tc>
          <w:tcPr>
            <w:tcW w:w="1794" w:type="dxa"/>
            <w:tcMar>
              <w:top w:w="0" w:type="dxa"/>
              <w:bottom w:w="0" w:type="dxa"/>
            </w:tcMar>
            <w:vAlign w:val="center"/>
          </w:tcPr>
          <w:p w14:paraId="037455EE" w14:textId="77777777" w:rsidR="004B0883" w:rsidRDefault="004B0883">
            <w:pPr>
              <w:jc w:val="right"/>
              <w:rPr>
                <w:rFonts w:eastAsia="等线"/>
                <w:color w:val="000000"/>
                <w:sz w:val="18"/>
                <w:szCs w:val="18"/>
              </w:rPr>
            </w:pPr>
            <w:r>
              <w:rPr>
                <w:sz w:val="18"/>
                <w:szCs w:val="18"/>
              </w:rPr>
              <w:t>30.86</w:t>
            </w:r>
          </w:p>
        </w:tc>
      </w:tr>
      <w:tr w:rsidR="004B0883" w14:paraId="3ED1AE9C" w14:textId="77777777">
        <w:trPr>
          <w:trHeight w:val="397"/>
          <w:jc w:val="center"/>
        </w:trPr>
        <w:tc>
          <w:tcPr>
            <w:tcW w:w="1353" w:type="dxa"/>
            <w:tcMar>
              <w:top w:w="0" w:type="dxa"/>
              <w:bottom w:w="0" w:type="dxa"/>
            </w:tcMar>
            <w:vAlign w:val="center"/>
          </w:tcPr>
          <w:p w14:paraId="2DB98E16" w14:textId="77777777" w:rsidR="004B0883" w:rsidRDefault="004B0883">
            <w:pPr>
              <w:adjustRightInd w:val="0"/>
              <w:snapToGrid w:val="0"/>
              <w:rPr>
                <w:color w:val="000000"/>
                <w:kern w:val="0"/>
                <w:sz w:val="18"/>
                <w:szCs w:val="18"/>
              </w:rPr>
            </w:pPr>
            <w:r>
              <w:rPr>
                <w:color w:val="000000"/>
                <w:kern w:val="0"/>
                <w:sz w:val="18"/>
                <w:szCs w:val="18"/>
              </w:rPr>
              <w:t>2</w:t>
            </w:r>
            <w:r>
              <w:rPr>
                <w:color w:val="000000"/>
                <w:kern w:val="0"/>
                <w:sz w:val="18"/>
                <w:szCs w:val="18"/>
              </w:rPr>
              <w:t>至</w:t>
            </w:r>
            <w:r>
              <w:rPr>
                <w:color w:val="000000"/>
                <w:kern w:val="0"/>
                <w:sz w:val="18"/>
                <w:szCs w:val="18"/>
              </w:rPr>
              <w:t>3</w:t>
            </w:r>
            <w:r>
              <w:rPr>
                <w:color w:val="000000"/>
                <w:kern w:val="0"/>
                <w:sz w:val="18"/>
                <w:szCs w:val="18"/>
              </w:rPr>
              <w:t>年</w:t>
            </w:r>
          </w:p>
        </w:tc>
        <w:tc>
          <w:tcPr>
            <w:tcW w:w="1793" w:type="dxa"/>
            <w:tcMar>
              <w:top w:w="0" w:type="dxa"/>
              <w:bottom w:w="0" w:type="dxa"/>
            </w:tcMar>
            <w:vAlign w:val="center"/>
          </w:tcPr>
          <w:p w14:paraId="428CA2A8" w14:textId="77777777" w:rsidR="004B0883" w:rsidRDefault="004B0883">
            <w:pPr>
              <w:adjustRightInd w:val="0"/>
              <w:snapToGrid w:val="0"/>
              <w:jc w:val="right"/>
              <w:rPr>
                <w:color w:val="000000"/>
                <w:kern w:val="0"/>
                <w:sz w:val="18"/>
                <w:szCs w:val="18"/>
              </w:rPr>
            </w:pPr>
            <w:r>
              <w:rPr>
                <w:sz w:val="18"/>
                <w:szCs w:val="18"/>
              </w:rPr>
              <w:t>218.44</w:t>
            </w:r>
          </w:p>
        </w:tc>
        <w:tc>
          <w:tcPr>
            <w:tcW w:w="1794" w:type="dxa"/>
            <w:tcMar>
              <w:top w:w="0" w:type="dxa"/>
              <w:bottom w:w="0" w:type="dxa"/>
            </w:tcMar>
            <w:vAlign w:val="center"/>
          </w:tcPr>
          <w:p w14:paraId="2848D782" w14:textId="77777777" w:rsidR="004B0883" w:rsidRDefault="004B0883">
            <w:pPr>
              <w:jc w:val="right"/>
              <w:rPr>
                <w:rFonts w:eastAsia="等线"/>
                <w:color w:val="000000"/>
                <w:sz w:val="18"/>
                <w:szCs w:val="18"/>
              </w:rPr>
            </w:pPr>
            <w:r>
              <w:rPr>
                <w:sz w:val="18"/>
                <w:szCs w:val="18"/>
              </w:rPr>
              <w:t>2.17%</w:t>
            </w:r>
          </w:p>
        </w:tc>
        <w:tc>
          <w:tcPr>
            <w:tcW w:w="1794" w:type="dxa"/>
            <w:tcMar>
              <w:top w:w="0" w:type="dxa"/>
              <w:bottom w:w="0" w:type="dxa"/>
            </w:tcMar>
            <w:vAlign w:val="center"/>
          </w:tcPr>
          <w:p w14:paraId="0D804CDA" w14:textId="77777777" w:rsidR="004B0883" w:rsidRDefault="004B0883">
            <w:pPr>
              <w:jc w:val="right"/>
              <w:rPr>
                <w:rFonts w:hint="eastAsia"/>
                <w:sz w:val="18"/>
                <w:szCs w:val="18"/>
              </w:rPr>
            </w:pPr>
            <w:r>
              <w:rPr>
                <w:sz w:val="18"/>
                <w:szCs w:val="18"/>
              </w:rPr>
              <w:t>65.53</w:t>
            </w:r>
          </w:p>
        </w:tc>
        <w:tc>
          <w:tcPr>
            <w:tcW w:w="1794" w:type="dxa"/>
            <w:tcMar>
              <w:top w:w="0" w:type="dxa"/>
              <w:bottom w:w="0" w:type="dxa"/>
            </w:tcMar>
            <w:vAlign w:val="center"/>
          </w:tcPr>
          <w:p w14:paraId="0E110AA2" w14:textId="77777777" w:rsidR="004B0883" w:rsidRDefault="004B0883">
            <w:pPr>
              <w:jc w:val="right"/>
              <w:rPr>
                <w:rFonts w:eastAsia="等线"/>
                <w:color w:val="000000"/>
                <w:sz w:val="18"/>
                <w:szCs w:val="18"/>
              </w:rPr>
            </w:pPr>
            <w:r>
              <w:rPr>
                <w:sz w:val="18"/>
                <w:szCs w:val="18"/>
              </w:rPr>
              <w:t>152.91</w:t>
            </w:r>
          </w:p>
        </w:tc>
      </w:tr>
      <w:tr w:rsidR="004B0883" w14:paraId="14BAB224" w14:textId="77777777">
        <w:trPr>
          <w:trHeight w:val="397"/>
          <w:jc w:val="center"/>
        </w:trPr>
        <w:tc>
          <w:tcPr>
            <w:tcW w:w="1353" w:type="dxa"/>
            <w:tcMar>
              <w:top w:w="0" w:type="dxa"/>
              <w:bottom w:w="0" w:type="dxa"/>
            </w:tcMar>
            <w:vAlign w:val="center"/>
          </w:tcPr>
          <w:p w14:paraId="0D2474A3" w14:textId="77777777" w:rsidR="004B0883" w:rsidRDefault="004B0883">
            <w:pPr>
              <w:adjustRightInd w:val="0"/>
              <w:snapToGrid w:val="0"/>
              <w:rPr>
                <w:color w:val="000000"/>
                <w:kern w:val="0"/>
                <w:sz w:val="18"/>
                <w:szCs w:val="18"/>
              </w:rPr>
            </w:pPr>
            <w:r>
              <w:rPr>
                <w:color w:val="000000"/>
                <w:kern w:val="0"/>
                <w:sz w:val="18"/>
                <w:szCs w:val="18"/>
              </w:rPr>
              <w:t>3</w:t>
            </w:r>
            <w:r>
              <w:rPr>
                <w:color w:val="000000"/>
                <w:kern w:val="0"/>
                <w:sz w:val="18"/>
                <w:szCs w:val="18"/>
              </w:rPr>
              <w:t>至</w:t>
            </w:r>
            <w:r>
              <w:rPr>
                <w:color w:val="000000"/>
                <w:kern w:val="0"/>
                <w:sz w:val="18"/>
                <w:szCs w:val="18"/>
              </w:rPr>
              <w:t>4</w:t>
            </w:r>
            <w:r>
              <w:rPr>
                <w:color w:val="000000"/>
                <w:kern w:val="0"/>
                <w:sz w:val="18"/>
                <w:szCs w:val="18"/>
              </w:rPr>
              <w:t>年</w:t>
            </w:r>
          </w:p>
        </w:tc>
        <w:tc>
          <w:tcPr>
            <w:tcW w:w="1793" w:type="dxa"/>
            <w:tcMar>
              <w:top w:w="0" w:type="dxa"/>
              <w:bottom w:w="0" w:type="dxa"/>
            </w:tcMar>
            <w:vAlign w:val="center"/>
          </w:tcPr>
          <w:p w14:paraId="4A9B3C26" w14:textId="77777777" w:rsidR="004B0883" w:rsidRDefault="004B0883">
            <w:pPr>
              <w:adjustRightInd w:val="0"/>
              <w:snapToGrid w:val="0"/>
              <w:jc w:val="right"/>
              <w:rPr>
                <w:color w:val="000000"/>
                <w:kern w:val="0"/>
                <w:sz w:val="18"/>
                <w:szCs w:val="18"/>
              </w:rPr>
            </w:pPr>
            <w:r>
              <w:rPr>
                <w:sz w:val="18"/>
                <w:szCs w:val="18"/>
              </w:rPr>
              <w:t>234.47</w:t>
            </w:r>
          </w:p>
        </w:tc>
        <w:tc>
          <w:tcPr>
            <w:tcW w:w="1794" w:type="dxa"/>
            <w:tcMar>
              <w:top w:w="0" w:type="dxa"/>
              <w:bottom w:w="0" w:type="dxa"/>
            </w:tcMar>
            <w:vAlign w:val="center"/>
          </w:tcPr>
          <w:p w14:paraId="405F5AB7" w14:textId="77777777" w:rsidR="004B0883" w:rsidRDefault="004B0883">
            <w:pPr>
              <w:jc w:val="right"/>
              <w:rPr>
                <w:rFonts w:eastAsia="等线"/>
                <w:color w:val="000000"/>
                <w:sz w:val="18"/>
                <w:szCs w:val="18"/>
              </w:rPr>
            </w:pPr>
            <w:r>
              <w:rPr>
                <w:sz w:val="18"/>
                <w:szCs w:val="18"/>
              </w:rPr>
              <w:t>2.33%</w:t>
            </w:r>
          </w:p>
        </w:tc>
        <w:tc>
          <w:tcPr>
            <w:tcW w:w="1794" w:type="dxa"/>
            <w:tcMar>
              <w:top w:w="0" w:type="dxa"/>
              <w:bottom w:w="0" w:type="dxa"/>
            </w:tcMar>
            <w:vAlign w:val="center"/>
          </w:tcPr>
          <w:p w14:paraId="25280150" w14:textId="77777777" w:rsidR="004B0883" w:rsidRDefault="004B0883">
            <w:pPr>
              <w:jc w:val="right"/>
              <w:rPr>
                <w:rFonts w:hint="eastAsia"/>
                <w:sz w:val="18"/>
                <w:szCs w:val="18"/>
              </w:rPr>
            </w:pPr>
            <w:r>
              <w:rPr>
                <w:sz w:val="18"/>
                <w:szCs w:val="18"/>
              </w:rPr>
              <w:t>117.23</w:t>
            </w:r>
          </w:p>
        </w:tc>
        <w:tc>
          <w:tcPr>
            <w:tcW w:w="1794" w:type="dxa"/>
            <w:tcMar>
              <w:top w:w="0" w:type="dxa"/>
              <w:bottom w:w="0" w:type="dxa"/>
            </w:tcMar>
            <w:vAlign w:val="center"/>
          </w:tcPr>
          <w:p w14:paraId="0AC723F2" w14:textId="77777777" w:rsidR="004B0883" w:rsidRDefault="004B0883">
            <w:pPr>
              <w:jc w:val="right"/>
              <w:rPr>
                <w:rFonts w:eastAsia="等线"/>
                <w:color w:val="000000"/>
                <w:sz w:val="18"/>
                <w:szCs w:val="18"/>
              </w:rPr>
            </w:pPr>
            <w:r>
              <w:rPr>
                <w:sz w:val="18"/>
                <w:szCs w:val="18"/>
              </w:rPr>
              <w:t>117.23</w:t>
            </w:r>
          </w:p>
        </w:tc>
      </w:tr>
      <w:tr w:rsidR="004B0883" w14:paraId="33C0D7BC" w14:textId="77777777">
        <w:trPr>
          <w:trHeight w:val="397"/>
          <w:jc w:val="center"/>
        </w:trPr>
        <w:tc>
          <w:tcPr>
            <w:tcW w:w="1353" w:type="dxa"/>
            <w:tcMar>
              <w:top w:w="0" w:type="dxa"/>
              <w:bottom w:w="0" w:type="dxa"/>
            </w:tcMar>
            <w:vAlign w:val="center"/>
          </w:tcPr>
          <w:p w14:paraId="5950BD88" w14:textId="77777777" w:rsidR="004B0883" w:rsidRDefault="004B0883">
            <w:pPr>
              <w:adjustRightInd w:val="0"/>
              <w:snapToGrid w:val="0"/>
              <w:rPr>
                <w:color w:val="000000"/>
                <w:kern w:val="0"/>
                <w:sz w:val="18"/>
                <w:szCs w:val="18"/>
              </w:rPr>
            </w:pPr>
            <w:r>
              <w:rPr>
                <w:color w:val="000000"/>
                <w:kern w:val="0"/>
                <w:sz w:val="18"/>
                <w:szCs w:val="18"/>
              </w:rPr>
              <w:t>4</w:t>
            </w:r>
            <w:r>
              <w:rPr>
                <w:color w:val="000000"/>
                <w:kern w:val="0"/>
                <w:sz w:val="18"/>
                <w:szCs w:val="18"/>
              </w:rPr>
              <w:t>至</w:t>
            </w:r>
            <w:r>
              <w:rPr>
                <w:color w:val="000000"/>
                <w:kern w:val="0"/>
                <w:sz w:val="18"/>
                <w:szCs w:val="18"/>
              </w:rPr>
              <w:t>5</w:t>
            </w:r>
            <w:r>
              <w:rPr>
                <w:color w:val="000000"/>
                <w:kern w:val="0"/>
                <w:sz w:val="18"/>
                <w:szCs w:val="18"/>
              </w:rPr>
              <w:t>年</w:t>
            </w:r>
          </w:p>
        </w:tc>
        <w:tc>
          <w:tcPr>
            <w:tcW w:w="1793" w:type="dxa"/>
            <w:tcMar>
              <w:top w:w="0" w:type="dxa"/>
              <w:bottom w:w="0" w:type="dxa"/>
            </w:tcMar>
            <w:vAlign w:val="center"/>
          </w:tcPr>
          <w:p w14:paraId="0983FBED" w14:textId="77777777" w:rsidR="004B0883" w:rsidRDefault="004B0883">
            <w:pPr>
              <w:adjustRightInd w:val="0"/>
              <w:snapToGrid w:val="0"/>
              <w:jc w:val="right"/>
              <w:rPr>
                <w:color w:val="000000"/>
                <w:kern w:val="0"/>
                <w:sz w:val="18"/>
                <w:szCs w:val="18"/>
              </w:rPr>
            </w:pPr>
            <w:r>
              <w:rPr>
                <w:sz w:val="18"/>
                <w:szCs w:val="18"/>
              </w:rPr>
              <w:t>110.78</w:t>
            </w:r>
          </w:p>
        </w:tc>
        <w:tc>
          <w:tcPr>
            <w:tcW w:w="1794" w:type="dxa"/>
            <w:tcMar>
              <w:top w:w="0" w:type="dxa"/>
              <w:bottom w:w="0" w:type="dxa"/>
            </w:tcMar>
            <w:vAlign w:val="center"/>
          </w:tcPr>
          <w:p w14:paraId="27646DB2" w14:textId="77777777" w:rsidR="004B0883" w:rsidRDefault="004B0883">
            <w:pPr>
              <w:jc w:val="right"/>
              <w:rPr>
                <w:rFonts w:eastAsia="等线"/>
                <w:color w:val="000000"/>
                <w:sz w:val="18"/>
                <w:szCs w:val="18"/>
              </w:rPr>
            </w:pPr>
            <w:r>
              <w:rPr>
                <w:sz w:val="18"/>
                <w:szCs w:val="18"/>
              </w:rPr>
              <w:t>1.10%</w:t>
            </w:r>
          </w:p>
        </w:tc>
        <w:tc>
          <w:tcPr>
            <w:tcW w:w="1794" w:type="dxa"/>
            <w:tcMar>
              <w:top w:w="0" w:type="dxa"/>
              <w:bottom w:w="0" w:type="dxa"/>
            </w:tcMar>
            <w:vAlign w:val="center"/>
          </w:tcPr>
          <w:p w14:paraId="52D0FACA" w14:textId="77777777" w:rsidR="004B0883" w:rsidRDefault="004B0883">
            <w:pPr>
              <w:jc w:val="right"/>
              <w:rPr>
                <w:rFonts w:hint="eastAsia"/>
                <w:sz w:val="18"/>
                <w:szCs w:val="18"/>
              </w:rPr>
            </w:pPr>
            <w:r>
              <w:rPr>
                <w:sz w:val="18"/>
                <w:szCs w:val="18"/>
              </w:rPr>
              <w:t>88.62</w:t>
            </w:r>
          </w:p>
        </w:tc>
        <w:tc>
          <w:tcPr>
            <w:tcW w:w="1794" w:type="dxa"/>
            <w:tcMar>
              <w:top w:w="0" w:type="dxa"/>
              <w:bottom w:w="0" w:type="dxa"/>
            </w:tcMar>
            <w:vAlign w:val="center"/>
          </w:tcPr>
          <w:p w14:paraId="3631E8E8" w14:textId="77777777" w:rsidR="004B0883" w:rsidRDefault="004B0883">
            <w:pPr>
              <w:jc w:val="right"/>
              <w:rPr>
                <w:rFonts w:eastAsia="等线"/>
                <w:color w:val="000000"/>
                <w:sz w:val="18"/>
                <w:szCs w:val="18"/>
              </w:rPr>
            </w:pPr>
            <w:r>
              <w:rPr>
                <w:sz w:val="18"/>
                <w:szCs w:val="18"/>
              </w:rPr>
              <w:t>22.16</w:t>
            </w:r>
          </w:p>
        </w:tc>
      </w:tr>
      <w:tr w:rsidR="004B0883" w14:paraId="672D939D" w14:textId="77777777">
        <w:trPr>
          <w:trHeight w:val="397"/>
          <w:jc w:val="center"/>
        </w:trPr>
        <w:tc>
          <w:tcPr>
            <w:tcW w:w="1353" w:type="dxa"/>
            <w:tcMar>
              <w:top w:w="0" w:type="dxa"/>
              <w:bottom w:w="0" w:type="dxa"/>
            </w:tcMar>
            <w:vAlign w:val="center"/>
          </w:tcPr>
          <w:p w14:paraId="08211DC5" w14:textId="77777777" w:rsidR="004B0883" w:rsidRDefault="004B0883">
            <w:pPr>
              <w:adjustRightInd w:val="0"/>
              <w:snapToGrid w:val="0"/>
              <w:rPr>
                <w:color w:val="000000"/>
                <w:kern w:val="0"/>
                <w:sz w:val="18"/>
                <w:szCs w:val="18"/>
              </w:rPr>
            </w:pPr>
            <w:r>
              <w:rPr>
                <w:color w:val="000000"/>
                <w:kern w:val="0"/>
                <w:sz w:val="18"/>
                <w:szCs w:val="18"/>
              </w:rPr>
              <w:t>5</w:t>
            </w:r>
            <w:r>
              <w:rPr>
                <w:color w:val="000000"/>
                <w:kern w:val="0"/>
                <w:sz w:val="18"/>
                <w:szCs w:val="18"/>
              </w:rPr>
              <w:t>年以上</w:t>
            </w:r>
          </w:p>
        </w:tc>
        <w:tc>
          <w:tcPr>
            <w:tcW w:w="1793" w:type="dxa"/>
            <w:tcMar>
              <w:top w:w="0" w:type="dxa"/>
              <w:bottom w:w="0" w:type="dxa"/>
            </w:tcMar>
            <w:vAlign w:val="center"/>
          </w:tcPr>
          <w:p w14:paraId="797FB334" w14:textId="77777777" w:rsidR="004B0883" w:rsidRDefault="004B0883">
            <w:pPr>
              <w:adjustRightInd w:val="0"/>
              <w:snapToGrid w:val="0"/>
              <w:jc w:val="right"/>
              <w:rPr>
                <w:color w:val="000000"/>
                <w:kern w:val="0"/>
                <w:sz w:val="18"/>
                <w:szCs w:val="18"/>
              </w:rPr>
            </w:pPr>
            <w:r>
              <w:rPr>
                <w:sz w:val="18"/>
                <w:szCs w:val="18"/>
              </w:rPr>
              <w:t>148.94</w:t>
            </w:r>
          </w:p>
        </w:tc>
        <w:tc>
          <w:tcPr>
            <w:tcW w:w="1794" w:type="dxa"/>
            <w:tcMar>
              <w:top w:w="0" w:type="dxa"/>
              <w:bottom w:w="0" w:type="dxa"/>
            </w:tcMar>
            <w:vAlign w:val="center"/>
          </w:tcPr>
          <w:p w14:paraId="330ACB47" w14:textId="77777777" w:rsidR="004B0883" w:rsidRDefault="004B0883">
            <w:pPr>
              <w:jc w:val="right"/>
              <w:rPr>
                <w:rFonts w:eastAsia="等线"/>
                <w:color w:val="000000"/>
                <w:sz w:val="18"/>
                <w:szCs w:val="18"/>
              </w:rPr>
            </w:pPr>
            <w:r>
              <w:rPr>
                <w:sz w:val="18"/>
                <w:szCs w:val="18"/>
              </w:rPr>
              <w:t>1.48%</w:t>
            </w:r>
          </w:p>
        </w:tc>
        <w:tc>
          <w:tcPr>
            <w:tcW w:w="1794" w:type="dxa"/>
            <w:tcMar>
              <w:top w:w="0" w:type="dxa"/>
              <w:bottom w:w="0" w:type="dxa"/>
            </w:tcMar>
            <w:vAlign w:val="center"/>
          </w:tcPr>
          <w:p w14:paraId="40252029" w14:textId="77777777" w:rsidR="004B0883" w:rsidRDefault="004B0883">
            <w:pPr>
              <w:jc w:val="right"/>
              <w:rPr>
                <w:rFonts w:hint="eastAsia"/>
                <w:sz w:val="18"/>
                <w:szCs w:val="18"/>
              </w:rPr>
            </w:pPr>
            <w:r>
              <w:rPr>
                <w:sz w:val="18"/>
                <w:szCs w:val="18"/>
              </w:rPr>
              <w:t>148.94</w:t>
            </w:r>
          </w:p>
        </w:tc>
        <w:tc>
          <w:tcPr>
            <w:tcW w:w="1794" w:type="dxa"/>
            <w:tcMar>
              <w:top w:w="0" w:type="dxa"/>
              <w:bottom w:w="0" w:type="dxa"/>
            </w:tcMar>
            <w:vAlign w:val="center"/>
          </w:tcPr>
          <w:p w14:paraId="6B4F95AA" w14:textId="77777777" w:rsidR="004B0883" w:rsidRDefault="004B0883">
            <w:pPr>
              <w:widowControl w:val="0"/>
              <w:adjustRightInd w:val="0"/>
              <w:snapToGrid w:val="0"/>
              <w:jc w:val="right"/>
              <w:rPr>
                <w:bCs/>
                <w:color w:val="000000"/>
                <w:sz w:val="18"/>
                <w:szCs w:val="18"/>
              </w:rPr>
            </w:pPr>
            <w:r>
              <w:rPr>
                <w:rFonts w:hint="eastAsia"/>
                <w:sz w:val="18"/>
                <w:szCs w:val="18"/>
              </w:rPr>
              <w:t>-</w:t>
            </w:r>
            <w:r>
              <w:rPr>
                <w:sz w:val="18"/>
                <w:szCs w:val="18"/>
              </w:rPr>
              <w:t xml:space="preserve"> </w:t>
            </w:r>
          </w:p>
        </w:tc>
      </w:tr>
      <w:tr w:rsidR="004B0883" w14:paraId="0171BE0B" w14:textId="77777777">
        <w:trPr>
          <w:trHeight w:val="397"/>
          <w:jc w:val="center"/>
        </w:trPr>
        <w:tc>
          <w:tcPr>
            <w:tcW w:w="1353" w:type="dxa"/>
            <w:tcMar>
              <w:top w:w="0" w:type="dxa"/>
              <w:bottom w:w="0" w:type="dxa"/>
            </w:tcMar>
            <w:vAlign w:val="center"/>
          </w:tcPr>
          <w:p w14:paraId="5A84EDC9" w14:textId="77777777" w:rsidR="004B0883" w:rsidRDefault="004B0883">
            <w:pPr>
              <w:widowControl w:val="0"/>
              <w:adjustRightInd w:val="0"/>
              <w:snapToGrid w:val="0"/>
              <w:jc w:val="center"/>
              <w:rPr>
                <w:b/>
                <w:sz w:val="18"/>
                <w:szCs w:val="18"/>
              </w:rPr>
            </w:pPr>
            <w:r>
              <w:rPr>
                <w:rFonts w:hint="eastAsia"/>
                <w:b/>
                <w:sz w:val="18"/>
                <w:szCs w:val="18"/>
              </w:rPr>
              <w:t>合计</w:t>
            </w:r>
          </w:p>
        </w:tc>
        <w:tc>
          <w:tcPr>
            <w:tcW w:w="1793" w:type="dxa"/>
            <w:tcMar>
              <w:top w:w="0" w:type="dxa"/>
              <w:bottom w:w="0" w:type="dxa"/>
            </w:tcMar>
            <w:vAlign w:val="center"/>
          </w:tcPr>
          <w:p w14:paraId="38A32C9C" w14:textId="77777777" w:rsidR="004B0883" w:rsidRDefault="004B0883">
            <w:pPr>
              <w:adjustRightInd w:val="0"/>
              <w:snapToGrid w:val="0"/>
              <w:jc w:val="right"/>
              <w:rPr>
                <w:b/>
                <w:bCs/>
                <w:color w:val="000000"/>
                <w:kern w:val="0"/>
                <w:sz w:val="18"/>
                <w:szCs w:val="18"/>
              </w:rPr>
            </w:pPr>
            <w:r>
              <w:rPr>
                <w:b/>
                <w:bCs/>
                <w:sz w:val="18"/>
                <w:szCs w:val="18"/>
              </w:rPr>
              <w:t>10,047.63</w:t>
            </w:r>
          </w:p>
        </w:tc>
        <w:tc>
          <w:tcPr>
            <w:tcW w:w="1794" w:type="dxa"/>
            <w:tcMar>
              <w:top w:w="0" w:type="dxa"/>
              <w:bottom w:w="0" w:type="dxa"/>
            </w:tcMar>
            <w:vAlign w:val="center"/>
          </w:tcPr>
          <w:p w14:paraId="66F3286C" w14:textId="77777777" w:rsidR="004B0883" w:rsidRDefault="004B0883">
            <w:pPr>
              <w:adjustRightInd w:val="0"/>
              <w:snapToGrid w:val="0"/>
              <w:jc w:val="right"/>
              <w:rPr>
                <w:b/>
                <w:bCs/>
                <w:color w:val="000000"/>
                <w:kern w:val="0"/>
                <w:sz w:val="18"/>
                <w:szCs w:val="18"/>
              </w:rPr>
            </w:pPr>
            <w:r>
              <w:rPr>
                <w:rFonts w:hint="eastAsia"/>
                <w:b/>
                <w:bCs/>
                <w:color w:val="000000"/>
                <w:kern w:val="0"/>
                <w:sz w:val="18"/>
                <w:szCs w:val="18"/>
              </w:rPr>
              <w:t>1</w:t>
            </w:r>
            <w:r>
              <w:rPr>
                <w:b/>
                <w:bCs/>
                <w:color w:val="000000"/>
                <w:kern w:val="0"/>
                <w:sz w:val="18"/>
                <w:szCs w:val="18"/>
              </w:rPr>
              <w:t>00.00</w:t>
            </w:r>
            <w:r>
              <w:rPr>
                <w:rFonts w:hint="eastAsia"/>
                <w:b/>
                <w:bCs/>
                <w:color w:val="000000"/>
                <w:kern w:val="0"/>
                <w:sz w:val="18"/>
                <w:szCs w:val="18"/>
              </w:rPr>
              <w:t>%</w:t>
            </w:r>
          </w:p>
        </w:tc>
        <w:tc>
          <w:tcPr>
            <w:tcW w:w="1794" w:type="dxa"/>
            <w:tcMar>
              <w:top w:w="0" w:type="dxa"/>
              <w:bottom w:w="0" w:type="dxa"/>
            </w:tcMar>
            <w:vAlign w:val="center"/>
          </w:tcPr>
          <w:p w14:paraId="1962A994" w14:textId="77777777" w:rsidR="004B0883" w:rsidRDefault="004B0883">
            <w:pPr>
              <w:widowControl w:val="0"/>
              <w:adjustRightInd w:val="0"/>
              <w:snapToGrid w:val="0"/>
              <w:jc w:val="right"/>
              <w:rPr>
                <w:b/>
                <w:bCs/>
                <w:color w:val="000000"/>
                <w:sz w:val="18"/>
                <w:szCs w:val="18"/>
              </w:rPr>
            </w:pPr>
            <w:r>
              <w:rPr>
                <w:b/>
                <w:bCs/>
                <w:sz w:val="18"/>
                <w:szCs w:val="18"/>
              </w:rPr>
              <w:t>888.79</w:t>
            </w:r>
          </w:p>
        </w:tc>
        <w:tc>
          <w:tcPr>
            <w:tcW w:w="1794" w:type="dxa"/>
            <w:tcMar>
              <w:top w:w="0" w:type="dxa"/>
              <w:bottom w:w="0" w:type="dxa"/>
            </w:tcMar>
            <w:vAlign w:val="center"/>
          </w:tcPr>
          <w:p w14:paraId="79104D48" w14:textId="77777777" w:rsidR="004B0883" w:rsidRDefault="004B0883">
            <w:pPr>
              <w:widowControl w:val="0"/>
              <w:adjustRightInd w:val="0"/>
              <w:snapToGrid w:val="0"/>
              <w:jc w:val="right"/>
              <w:rPr>
                <w:b/>
                <w:bCs/>
                <w:color w:val="000000"/>
                <w:sz w:val="18"/>
                <w:szCs w:val="18"/>
              </w:rPr>
            </w:pPr>
            <w:r>
              <w:rPr>
                <w:b/>
                <w:bCs/>
                <w:sz w:val="18"/>
                <w:szCs w:val="18"/>
              </w:rPr>
              <w:t>9,158.84</w:t>
            </w:r>
          </w:p>
        </w:tc>
      </w:tr>
      <w:tr w:rsidR="004B0883" w14:paraId="28AFB980" w14:textId="77777777">
        <w:trPr>
          <w:trHeight w:val="397"/>
          <w:jc w:val="center"/>
        </w:trPr>
        <w:tc>
          <w:tcPr>
            <w:tcW w:w="1353" w:type="dxa"/>
            <w:vMerge w:val="restart"/>
            <w:shd w:val="clear" w:color="auto" w:fill="D9D9D9"/>
            <w:tcMar>
              <w:top w:w="0" w:type="dxa"/>
              <w:bottom w:w="0" w:type="dxa"/>
            </w:tcMar>
            <w:vAlign w:val="center"/>
          </w:tcPr>
          <w:p w14:paraId="03945B48" w14:textId="77777777" w:rsidR="004B0883" w:rsidRDefault="004B0883">
            <w:pPr>
              <w:keepNext/>
              <w:widowControl w:val="0"/>
              <w:adjustRightInd w:val="0"/>
              <w:snapToGrid w:val="0"/>
              <w:jc w:val="center"/>
              <w:rPr>
                <w:b/>
                <w:sz w:val="18"/>
                <w:szCs w:val="18"/>
              </w:rPr>
            </w:pPr>
            <w:r>
              <w:rPr>
                <w:rFonts w:hint="eastAsia"/>
                <w:b/>
                <w:sz w:val="18"/>
                <w:szCs w:val="18"/>
              </w:rPr>
              <w:t>账龄结构</w:t>
            </w:r>
          </w:p>
        </w:tc>
        <w:tc>
          <w:tcPr>
            <w:tcW w:w="7175" w:type="dxa"/>
            <w:gridSpan w:val="4"/>
            <w:shd w:val="clear" w:color="auto" w:fill="D9D9D9"/>
            <w:tcMar>
              <w:top w:w="0" w:type="dxa"/>
              <w:bottom w:w="0" w:type="dxa"/>
            </w:tcMar>
            <w:vAlign w:val="center"/>
          </w:tcPr>
          <w:p w14:paraId="6D7E7DDF" w14:textId="77777777" w:rsidR="004B0883" w:rsidRDefault="004B0883">
            <w:pPr>
              <w:keepNext/>
              <w:widowControl w:val="0"/>
              <w:adjustRightInd w:val="0"/>
              <w:snapToGrid w:val="0"/>
              <w:jc w:val="center"/>
              <w:rPr>
                <w:color w:val="000000"/>
                <w:sz w:val="18"/>
                <w:szCs w:val="18"/>
              </w:rPr>
            </w:pPr>
            <w:r>
              <w:rPr>
                <w:b/>
                <w:bCs/>
                <w:color w:val="000000"/>
                <w:kern w:val="0"/>
                <w:sz w:val="18"/>
                <w:szCs w:val="18"/>
              </w:rPr>
              <w:t>2022.12.31</w:t>
            </w:r>
          </w:p>
        </w:tc>
      </w:tr>
      <w:tr w:rsidR="004B0883" w14:paraId="7D8666C3" w14:textId="77777777">
        <w:trPr>
          <w:trHeight w:val="397"/>
          <w:jc w:val="center"/>
        </w:trPr>
        <w:tc>
          <w:tcPr>
            <w:tcW w:w="1353" w:type="dxa"/>
            <w:vMerge/>
            <w:shd w:val="clear" w:color="auto" w:fill="D9D9D9"/>
            <w:tcMar>
              <w:top w:w="0" w:type="dxa"/>
              <w:bottom w:w="0" w:type="dxa"/>
            </w:tcMar>
            <w:vAlign w:val="center"/>
          </w:tcPr>
          <w:p w14:paraId="786C23DC" w14:textId="77777777" w:rsidR="004B0883" w:rsidRDefault="004B0883">
            <w:pPr>
              <w:widowControl w:val="0"/>
              <w:adjustRightInd w:val="0"/>
              <w:snapToGrid w:val="0"/>
              <w:rPr>
                <w:b/>
                <w:sz w:val="18"/>
                <w:szCs w:val="18"/>
              </w:rPr>
            </w:pPr>
          </w:p>
        </w:tc>
        <w:tc>
          <w:tcPr>
            <w:tcW w:w="1793" w:type="dxa"/>
            <w:shd w:val="clear" w:color="auto" w:fill="D9D9D9"/>
            <w:tcMar>
              <w:top w:w="0" w:type="dxa"/>
              <w:bottom w:w="0" w:type="dxa"/>
            </w:tcMar>
            <w:vAlign w:val="center"/>
          </w:tcPr>
          <w:p w14:paraId="67A8B03F" w14:textId="77777777" w:rsidR="004B0883" w:rsidRDefault="004B0883">
            <w:pPr>
              <w:widowControl w:val="0"/>
              <w:adjustRightInd w:val="0"/>
              <w:snapToGrid w:val="0"/>
              <w:jc w:val="center"/>
              <w:rPr>
                <w:b/>
                <w:sz w:val="18"/>
                <w:szCs w:val="18"/>
              </w:rPr>
            </w:pPr>
            <w:r>
              <w:rPr>
                <w:rFonts w:hint="eastAsia"/>
                <w:b/>
                <w:sz w:val="18"/>
                <w:szCs w:val="18"/>
              </w:rPr>
              <w:t>账面余额</w:t>
            </w:r>
          </w:p>
        </w:tc>
        <w:tc>
          <w:tcPr>
            <w:tcW w:w="1794" w:type="dxa"/>
            <w:shd w:val="clear" w:color="auto" w:fill="D9D9D9"/>
            <w:tcMar>
              <w:top w:w="0" w:type="dxa"/>
              <w:bottom w:w="0" w:type="dxa"/>
            </w:tcMar>
            <w:vAlign w:val="center"/>
          </w:tcPr>
          <w:p w14:paraId="4D7E4E82" w14:textId="77777777" w:rsidR="004B0883" w:rsidRDefault="004B0883">
            <w:pPr>
              <w:widowControl w:val="0"/>
              <w:adjustRightInd w:val="0"/>
              <w:snapToGrid w:val="0"/>
              <w:jc w:val="center"/>
              <w:rPr>
                <w:b/>
                <w:sz w:val="18"/>
                <w:szCs w:val="18"/>
              </w:rPr>
            </w:pPr>
            <w:r>
              <w:rPr>
                <w:rFonts w:hint="eastAsia"/>
                <w:b/>
                <w:sz w:val="18"/>
                <w:szCs w:val="18"/>
              </w:rPr>
              <w:t>比例</w:t>
            </w:r>
          </w:p>
        </w:tc>
        <w:tc>
          <w:tcPr>
            <w:tcW w:w="1794" w:type="dxa"/>
            <w:shd w:val="clear" w:color="auto" w:fill="D9D9D9"/>
            <w:tcMar>
              <w:top w:w="0" w:type="dxa"/>
              <w:bottom w:w="0" w:type="dxa"/>
            </w:tcMar>
            <w:vAlign w:val="center"/>
          </w:tcPr>
          <w:p w14:paraId="0196A11B" w14:textId="77777777" w:rsidR="004B0883" w:rsidRDefault="004B0883">
            <w:pPr>
              <w:widowControl w:val="0"/>
              <w:adjustRightInd w:val="0"/>
              <w:snapToGrid w:val="0"/>
              <w:jc w:val="center"/>
              <w:rPr>
                <w:b/>
                <w:sz w:val="18"/>
                <w:szCs w:val="18"/>
              </w:rPr>
            </w:pPr>
            <w:r>
              <w:rPr>
                <w:rFonts w:hint="eastAsia"/>
                <w:b/>
                <w:sz w:val="18"/>
                <w:szCs w:val="18"/>
              </w:rPr>
              <w:t>坏账准备</w:t>
            </w:r>
          </w:p>
        </w:tc>
        <w:tc>
          <w:tcPr>
            <w:tcW w:w="1794" w:type="dxa"/>
            <w:shd w:val="clear" w:color="auto" w:fill="D9D9D9"/>
            <w:tcMar>
              <w:top w:w="0" w:type="dxa"/>
              <w:bottom w:w="0" w:type="dxa"/>
            </w:tcMar>
            <w:vAlign w:val="center"/>
          </w:tcPr>
          <w:p w14:paraId="0AAF2E0D" w14:textId="77777777" w:rsidR="004B0883" w:rsidRDefault="004B0883">
            <w:pPr>
              <w:widowControl w:val="0"/>
              <w:adjustRightInd w:val="0"/>
              <w:snapToGrid w:val="0"/>
              <w:jc w:val="center"/>
              <w:rPr>
                <w:b/>
                <w:sz w:val="18"/>
                <w:szCs w:val="18"/>
              </w:rPr>
            </w:pPr>
            <w:r>
              <w:rPr>
                <w:rFonts w:hint="eastAsia"/>
                <w:b/>
                <w:sz w:val="18"/>
                <w:szCs w:val="18"/>
              </w:rPr>
              <w:t>账面价值</w:t>
            </w:r>
          </w:p>
        </w:tc>
      </w:tr>
      <w:tr w:rsidR="004B0883" w14:paraId="610AB032" w14:textId="77777777">
        <w:trPr>
          <w:trHeight w:val="397"/>
          <w:jc w:val="center"/>
        </w:trPr>
        <w:tc>
          <w:tcPr>
            <w:tcW w:w="1353" w:type="dxa"/>
            <w:tcMar>
              <w:top w:w="0" w:type="dxa"/>
              <w:bottom w:w="0" w:type="dxa"/>
            </w:tcMar>
            <w:vAlign w:val="center"/>
          </w:tcPr>
          <w:p w14:paraId="28213B78" w14:textId="77777777" w:rsidR="004B0883" w:rsidRDefault="004B0883">
            <w:pPr>
              <w:adjustRightInd w:val="0"/>
              <w:snapToGrid w:val="0"/>
              <w:rPr>
                <w:color w:val="000000"/>
                <w:kern w:val="0"/>
                <w:sz w:val="18"/>
                <w:szCs w:val="18"/>
              </w:rPr>
            </w:pPr>
            <w:r>
              <w:rPr>
                <w:color w:val="000000"/>
                <w:kern w:val="0"/>
                <w:sz w:val="18"/>
                <w:szCs w:val="18"/>
              </w:rPr>
              <w:t>1</w:t>
            </w:r>
            <w:r>
              <w:rPr>
                <w:color w:val="000000"/>
                <w:kern w:val="0"/>
                <w:sz w:val="18"/>
                <w:szCs w:val="18"/>
              </w:rPr>
              <w:t>年以内</w:t>
            </w:r>
          </w:p>
        </w:tc>
        <w:tc>
          <w:tcPr>
            <w:tcW w:w="1793" w:type="dxa"/>
            <w:tcMar>
              <w:top w:w="0" w:type="dxa"/>
              <w:bottom w:w="0" w:type="dxa"/>
            </w:tcMar>
            <w:vAlign w:val="center"/>
          </w:tcPr>
          <w:p w14:paraId="1DF326C3" w14:textId="77777777" w:rsidR="004B0883" w:rsidRDefault="004B0883">
            <w:pPr>
              <w:jc w:val="right"/>
              <w:rPr>
                <w:rFonts w:eastAsia="等线"/>
                <w:color w:val="000000"/>
                <w:kern w:val="0"/>
                <w:sz w:val="18"/>
                <w:szCs w:val="18"/>
              </w:rPr>
            </w:pPr>
            <w:r>
              <w:rPr>
                <w:rFonts w:eastAsia="等线"/>
                <w:color w:val="000000"/>
                <w:sz w:val="18"/>
                <w:szCs w:val="18"/>
              </w:rPr>
              <w:t>7,783.76</w:t>
            </w:r>
          </w:p>
        </w:tc>
        <w:tc>
          <w:tcPr>
            <w:tcW w:w="1794" w:type="dxa"/>
            <w:tcMar>
              <w:top w:w="0" w:type="dxa"/>
              <w:bottom w:w="0" w:type="dxa"/>
            </w:tcMar>
            <w:vAlign w:val="center"/>
          </w:tcPr>
          <w:p w14:paraId="1422DB36" w14:textId="77777777" w:rsidR="004B0883" w:rsidRDefault="004B0883">
            <w:pPr>
              <w:jc w:val="right"/>
              <w:rPr>
                <w:rFonts w:eastAsia="等线"/>
                <w:color w:val="000000"/>
                <w:kern w:val="0"/>
                <w:sz w:val="18"/>
                <w:szCs w:val="18"/>
              </w:rPr>
            </w:pPr>
            <w:r>
              <w:rPr>
                <w:rFonts w:eastAsia="等线"/>
                <w:color w:val="000000"/>
                <w:sz w:val="18"/>
                <w:szCs w:val="18"/>
              </w:rPr>
              <w:t>88.55%</w:t>
            </w:r>
          </w:p>
        </w:tc>
        <w:tc>
          <w:tcPr>
            <w:tcW w:w="1794" w:type="dxa"/>
            <w:tcMar>
              <w:top w:w="0" w:type="dxa"/>
              <w:bottom w:w="0" w:type="dxa"/>
            </w:tcMar>
            <w:vAlign w:val="center"/>
          </w:tcPr>
          <w:p w14:paraId="18406E54" w14:textId="77777777" w:rsidR="004B0883" w:rsidRDefault="004B0883">
            <w:pPr>
              <w:jc w:val="right"/>
              <w:rPr>
                <w:rFonts w:eastAsia="等线"/>
                <w:color w:val="000000"/>
                <w:kern w:val="0"/>
                <w:sz w:val="18"/>
                <w:szCs w:val="18"/>
              </w:rPr>
            </w:pPr>
            <w:r>
              <w:rPr>
                <w:rFonts w:eastAsia="等线"/>
                <w:color w:val="000000"/>
                <w:sz w:val="18"/>
                <w:szCs w:val="18"/>
              </w:rPr>
              <w:t>389.19</w:t>
            </w:r>
          </w:p>
        </w:tc>
        <w:tc>
          <w:tcPr>
            <w:tcW w:w="1794" w:type="dxa"/>
            <w:tcMar>
              <w:top w:w="0" w:type="dxa"/>
              <w:bottom w:w="0" w:type="dxa"/>
            </w:tcMar>
            <w:vAlign w:val="center"/>
          </w:tcPr>
          <w:p w14:paraId="7AD53978" w14:textId="77777777" w:rsidR="004B0883" w:rsidRDefault="004B0883">
            <w:pPr>
              <w:jc w:val="right"/>
              <w:rPr>
                <w:rFonts w:eastAsia="等线"/>
                <w:color w:val="000000"/>
                <w:kern w:val="0"/>
                <w:sz w:val="18"/>
                <w:szCs w:val="18"/>
              </w:rPr>
            </w:pPr>
            <w:r>
              <w:rPr>
                <w:rFonts w:eastAsia="等线"/>
                <w:color w:val="000000"/>
                <w:sz w:val="18"/>
                <w:szCs w:val="18"/>
              </w:rPr>
              <w:t>7,394.57</w:t>
            </w:r>
          </w:p>
        </w:tc>
      </w:tr>
      <w:tr w:rsidR="004B0883" w14:paraId="35D8EE3F" w14:textId="77777777">
        <w:trPr>
          <w:trHeight w:val="397"/>
          <w:jc w:val="center"/>
        </w:trPr>
        <w:tc>
          <w:tcPr>
            <w:tcW w:w="1353" w:type="dxa"/>
            <w:tcMar>
              <w:top w:w="0" w:type="dxa"/>
              <w:bottom w:w="0" w:type="dxa"/>
            </w:tcMar>
            <w:vAlign w:val="center"/>
          </w:tcPr>
          <w:p w14:paraId="721654E3" w14:textId="77777777" w:rsidR="004B0883" w:rsidRDefault="004B0883">
            <w:pPr>
              <w:adjustRightInd w:val="0"/>
              <w:snapToGrid w:val="0"/>
              <w:rPr>
                <w:color w:val="000000"/>
                <w:kern w:val="0"/>
                <w:sz w:val="18"/>
                <w:szCs w:val="18"/>
              </w:rPr>
            </w:pPr>
            <w:r>
              <w:rPr>
                <w:color w:val="000000"/>
                <w:kern w:val="0"/>
                <w:sz w:val="18"/>
                <w:szCs w:val="18"/>
              </w:rPr>
              <w:t>1</w:t>
            </w:r>
            <w:r>
              <w:rPr>
                <w:color w:val="000000"/>
                <w:kern w:val="0"/>
                <w:sz w:val="18"/>
                <w:szCs w:val="18"/>
              </w:rPr>
              <w:t>至</w:t>
            </w:r>
            <w:r>
              <w:rPr>
                <w:color w:val="000000"/>
                <w:kern w:val="0"/>
                <w:sz w:val="18"/>
                <w:szCs w:val="18"/>
              </w:rPr>
              <w:t>2</w:t>
            </w:r>
            <w:r>
              <w:rPr>
                <w:color w:val="000000"/>
                <w:kern w:val="0"/>
                <w:sz w:val="18"/>
                <w:szCs w:val="18"/>
              </w:rPr>
              <w:t>年</w:t>
            </w:r>
          </w:p>
        </w:tc>
        <w:tc>
          <w:tcPr>
            <w:tcW w:w="1793" w:type="dxa"/>
            <w:tcMar>
              <w:top w:w="0" w:type="dxa"/>
              <w:bottom w:w="0" w:type="dxa"/>
            </w:tcMar>
            <w:vAlign w:val="center"/>
          </w:tcPr>
          <w:p w14:paraId="5DC389CA" w14:textId="77777777" w:rsidR="004B0883" w:rsidRDefault="004B0883">
            <w:pPr>
              <w:jc w:val="right"/>
              <w:rPr>
                <w:rFonts w:eastAsia="等线"/>
                <w:color w:val="000000"/>
                <w:sz w:val="18"/>
                <w:szCs w:val="18"/>
              </w:rPr>
            </w:pPr>
            <w:r>
              <w:rPr>
                <w:rFonts w:eastAsia="等线"/>
                <w:color w:val="000000"/>
                <w:sz w:val="18"/>
                <w:szCs w:val="18"/>
              </w:rPr>
              <w:t>345.65</w:t>
            </w:r>
          </w:p>
        </w:tc>
        <w:tc>
          <w:tcPr>
            <w:tcW w:w="1794" w:type="dxa"/>
            <w:tcMar>
              <w:top w:w="0" w:type="dxa"/>
              <w:bottom w:w="0" w:type="dxa"/>
            </w:tcMar>
            <w:vAlign w:val="center"/>
          </w:tcPr>
          <w:p w14:paraId="3189F801" w14:textId="77777777" w:rsidR="004B0883" w:rsidRDefault="004B0883">
            <w:pPr>
              <w:jc w:val="right"/>
              <w:rPr>
                <w:rFonts w:eastAsia="等线"/>
                <w:color w:val="000000"/>
                <w:sz w:val="18"/>
                <w:szCs w:val="18"/>
              </w:rPr>
            </w:pPr>
            <w:r>
              <w:rPr>
                <w:rFonts w:eastAsia="等线"/>
                <w:color w:val="000000"/>
                <w:sz w:val="18"/>
                <w:szCs w:val="18"/>
              </w:rPr>
              <w:t>3.93%</w:t>
            </w:r>
          </w:p>
        </w:tc>
        <w:tc>
          <w:tcPr>
            <w:tcW w:w="1794" w:type="dxa"/>
            <w:tcMar>
              <w:top w:w="0" w:type="dxa"/>
              <w:bottom w:w="0" w:type="dxa"/>
            </w:tcMar>
            <w:vAlign w:val="center"/>
          </w:tcPr>
          <w:p w14:paraId="14FC0E3D" w14:textId="77777777" w:rsidR="004B0883" w:rsidRDefault="004B0883">
            <w:pPr>
              <w:jc w:val="right"/>
              <w:rPr>
                <w:rFonts w:eastAsia="等线"/>
                <w:color w:val="000000"/>
                <w:sz w:val="18"/>
                <w:szCs w:val="18"/>
              </w:rPr>
            </w:pPr>
            <w:r>
              <w:rPr>
                <w:rFonts w:eastAsia="等线"/>
                <w:color w:val="000000"/>
                <w:sz w:val="18"/>
                <w:szCs w:val="18"/>
              </w:rPr>
              <w:t>34.57</w:t>
            </w:r>
          </w:p>
        </w:tc>
        <w:tc>
          <w:tcPr>
            <w:tcW w:w="1794" w:type="dxa"/>
            <w:tcMar>
              <w:top w:w="0" w:type="dxa"/>
              <w:bottom w:w="0" w:type="dxa"/>
            </w:tcMar>
            <w:vAlign w:val="center"/>
          </w:tcPr>
          <w:p w14:paraId="24BB05C4" w14:textId="77777777" w:rsidR="004B0883" w:rsidRDefault="004B0883">
            <w:pPr>
              <w:jc w:val="right"/>
              <w:rPr>
                <w:rFonts w:eastAsia="等线"/>
                <w:color w:val="000000"/>
                <w:sz w:val="18"/>
                <w:szCs w:val="18"/>
              </w:rPr>
            </w:pPr>
            <w:r>
              <w:rPr>
                <w:rFonts w:eastAsia="等线"/>
                <w:color w:val="000000"/>
                <w:sz w:val="18"/>
                <w:szCs w:val="18"/>
              </w:rPr>
              <w:t>311.09</w:t>
            </w:r>
          </w:p>
        </w:tc>
      </w:tr>
      <w:tr w:rsidR="004B0883" w14:paraId="62D27A04" w14:textId="77777777">
        <w:trPr>
          <w:trHeight w:val="397"/>
          <w:jc w:val="center"/>
        </w:trPr>
        <w:tc>
          <w:tcPr>
            <w:tcW w:w="1353" w:type="dxa"/>
            <w:tcMar>
              <w:top w:w="0" w:type="dxa"/>
              <w:bottom w:w="0" w:type="dxa"/>
            </w:tcMar>
            <w:vAlign w:val="center"/>
          </w:tcPr>
          <w:p w14:paraId="5E38A9A5" w14:textId="77777777" w:rsidR="004B0883" w:rsidRDefault="004B0883">
            <w:pPr>
              <w:adjustRightInd w:val="0"/>
              <w:snapToGrid w:val="0"/>
              <w:rPr>
                <w:color w:val="000000"/>
                <w:kern w:val="0"/>
                <w:sz w:val="18"/>
                <w:szCs w:val="18"/>
              </w:rPr>
            </w:pPr>
            <w:r>
              <w:rPr>
                <w:color w:val="000000"/>
                <w:kern w:val="0"/>
                <w:sz w:val="18"/>
                <w:szCs w:val="18"/>
              </w:rPr>
              <w:t>2</w:t>
            </w:r>
            <w:r>
              <w:rPr>
                <w:color w:val="000000"/>
                <w:kern w:val="0"/>
                <w:sz w:val="18"/>
                <w:szCs w:val="18"/>
              </w:rPr>
              <w:t>至</w:t>
            </w:r>
            <w:r>
              <w:rPr>
                <w:color w:val="000000"/>
                <w:kern w:val="0"/>
                <w:sz w:val="18"/>
                <w:szCs w:val="18"/>
              </w:rPr>
              <w:t>3</w:t>
            </w:r>
            <w:r>
              <w:rPr>
                <w:color w:val="000000"/>
                <w:kern w:val="0"/>
                <w:sz w:val="18"/>
                <w:szCs w:val="18"/>
              </w:rPr>
              <w:t>年</w:t>
            </w:r>
          </w:p>
        </w:tc>
        <w:tc>
          <w:tcPr>
            <w:tcW w:w="1793" w:type="dxa"/>
            <w:tcMar>
              <w:top w:w="0" w:type="dxa"/>
              <w:bottom w:w="0" w:type="dxa"/>
            </w:tcMar>
            <w:vAlign w:val="center"/>
          </w:tcPr>
          <w:p w14:paraId="3ED11913" w14:textId="77777777" w:rsidR="004B0883" w:rsidRDefault="004B0883">
            <w:pPr>
              <w:jc w:val="right"/>
              <w:rPr>
                <w:rFonts w:eastAsia="等线"/>
                <w:color w:val="000000"/>
                <w:sz w:val="18"/>
                <w:szCs w:val="18"/>
              </w:rPr>
            </w:pPr>
            <w:r>
              <w:rPr>
                <w:rFonts w:eastAsia="等线"/>
                <w:color w:val="000000"/>
                <w:sz w:val="18"/>
                <w:szCs w:val="18"/>
              </w:rPr>
              <w:t>225.37</w:t>
            </w:r>
          </w:p>
        </w:tc>
        <w:tc>
          <w:tcPr>
            <w:tcW w:w="1794" w:type="dxa"/>
            <w:tcMar>
              <w:top w:w="0" w:type="dxa"/>
              <w:bottom w:w="0" w:type="dxa"/>
            </w:tcMar>
            <w:vAlign w:val="center"/>
          </w:tcPr>
          <w:p w14:paraId="76BBCA96" w14:textId="77777777" w:rsidR="004B0883" w:rsidRDefault="004B0883">
            <w:pPr>
              <w:jc w:val="right"/>
              <w:rPr>
                <w:rFonts w:eastAsia="等线"/>
                <w:color w:val="000000"/>
                <w:sz w:val="18"/>
                <w:szCs w:val="18"/>
              </w:rPr>
            </w:pPr>
            <w:r>
              <w:rPr>
                <w:rFonts w:eastAsia="等线"/>
                <w:color w:val="000000"/>
                <w:sz w:val="18"/>
                <w:szCs w:val="18"/>
              </w:rPr>
              <w:t>2.56%</w:t>
            </w:r>
          </w:p>
        </w:tc>
        <w:tc>
          <w:tcPr>
            <w:tcW w:w="1794" w:type="dxa"/>
            <w:tcMar>
              <w:top w:w="0" w:type="dxa"/>
              <w:bottom w:w="0" w:type="dxa"/>
            </w:tcMar>
            <w:vAlign w:val="center"/>
          </w:tcPr>
          <w:p w14:paraId="1D57D0C9" w14:textId="77777777" w:rsidR="004B0883" w:rsidRDefault="004B0883">
            <w:pPr>
              <w:jc w:val="right"/>
              <w:rPr>
                <w:rFonts w:eastAsia="等线"/>
                <w:color w:val="000000"/>
                <w:sz w:val="18"/>
                <w:szCs w:val="18"/>
              </w:rPr>
            </w:pPr>
            <w:r>
              <w:rPr>
                <w:rFonts w:eastAsia="等线"/>
                <w:color w:val="000000"/>
                <w:sz w:val="18"/>
                <w:szCs w:val="18"/>
              </w:rPr>
              <w:t>67.61</w:t>
            </w:r>
          </w:p>
        </w:tc>
        <w:tc>
          <w:tcPr>
            <w:tcW w:w="1794" w:type="dxa"/>
            <w:tcMar>
              <w:top w:w="0" w:type="dxa"/>
              <w:bottom w:w="0" w:type="dxa"/>
            </w:tcMar>
            <w:vAlign w:val="center"/>
          </w:tcPr>
          <w:p w14:paraId="4CF15EE6" w14:textId="77777777" w:rsidR="004B0883" w:rsidRDefault="004B0883">
            <w:pPr>
              <w:jc w:val="right"/>
              <w:rPr>
                <w:rFonts w:eastAsia="等线"/>
                <w:color w:val="000000"/>
                <w:sz w:val="18"/>
                <w:szCs w:val="18"/>
              </w:rPr>
            </w:pPr>
            <w:r>
              <w:rPr>
                <w:rFonts w:eastAsia="等线"/>
                <w:color w:val="000000"/>
                <w:sz w:val="18"/>
                <w:szCs w:val="18"/>
              </w:rPr>
              <w:t>157.76</w:t>
            </w:r>
          </w:p>
        </w:tc>
      </w:tr>
      <w:tr w:rsidR="004B0883" w14:paraId="18F8708F" w14:textId="77777777">
        <w:trPr>
          <w:trHeight w:val="397"/>
          <w:jc w:val="center"/>
        </w:trPr>
        <w:tc>
          <w:tcPr>
            <w:tcW w:w="1353" w:type="dxa"/>
            <w:tcMar>
              <w:top w:w="0" w:type="dxa"/>
              <w:bottom w:w="0" w:type="dxa"/>
            </w:tcMar>
            <w:vAlign w:val="center"/>
          </w:tcPr>
          <w:p w14:paraId="3F9FCAD6" w14:textId="77777777" w:rsidR="004B0883" w:rsidRDefault="004B0883">
            <w:pPr>
              <w:adjustRightInd w:val="0"/>
              <w:snapToGrid w:val="0"/>
              <w:rPr>
                <w:color w:val="000000"/>
                <w:kern w:val="0"/>
                <w:sz w:val="18"/>
                <w:szCs w:val="18"/>
              </w:rPr>
            </w:pPr>
            <w:r>
              <w:rPr>
                <w:color w:val="000000"/>
                <w:kern w:val="0"/>
                <w:sz w:val="18"/>
                <w:szCs w:val="18"/>
              </w:rPr>
              <w:t>3</w:t>
            </w:r>
            <w:r>
              <w:rPr>
                <w:color w:val="000000"/>
                <w:kern w:val="0"/>
                <w:sz w:val="18"/>
                <w:szCs w:val="18"/>
              </w:rPr>
              <w:t>至</w:t>
            </w:r>
            <w:r>
              <w:rPr>
                <w:color w:val="000000"/>
                <w:kern w:val="0"/>
                <w:sz w:val="18"/>
                <w:szCs w:val="18"/>
              </w:rPr>
              <w:t>4</w:t>
            </w:r>
            <w:r>
              <w:rPr>
                <w:color w:val="000000"/>
                <w:kern w:val="0"/>
                <w:sz w:val="18"/>
                <w:szCs w:val="18"/>
              </w:rPr>
              <w:t>年</w:t>
            </w:r>
          </w:p>
        </w:tc>
        <w:tc>
          <w:tcPr>
            <w:tcW w:w="1793" w:type="dxa"/>
            <w:tcMar>
              <w:top w:w="0" w:type="dxa"/>
              <w:bottom w:w="0" w:type="dxa"/>
            </w:tcMar>
            <w:vAlign w:val="center"/>
          </w:tcPr>
          <w:p w14:paraId="70355658" w14:textId="77777777" w:rsidR="004B0883" w:rsidRDefault="004B0883">
            <w:pPr>
              <w:jc w:val="right"/>
              <w:rPr>
                <w:rFonts w:eastAsia="等线"/>
                <w:color w:val="000000"/>
                <w:sz w:val="18"/>
                <w:szCs w:val="18"/>
              </w:rPr>
            </w:pPr>
            <w:r>
              <w:rPr>
                <w:rFonts w:eastAsia="等线"/>
                <w:color w:val="000000"/>
                <w:sz w:val="18"/>
                <w:szCs w:val="18"/>
              </w:rPr>
              <w:t>141.08</w:t>
            </w:r>
          </w:p>
        </w:tc>
        <w:tc>
          <w:tcPr>
            <w:tcW w:w="1794" w:type="dxa"/>
            <w:tcMar>
              <w:top w:w="0" w:type="dxa"/>
              <w:bottom w:w="0" w:type="dxa"/>
            </w:tcMar>
            <w:vAlign w:val="center"/>
          </w:tcPr>
          <w:p w14:paraId="493E6FAB" w14:textId="77777777" w:rsidR="004B0883" w:rsidRDefault="004B0883">
            <w:pPr>
              <w:jc w:val="right"/>
              <w:rPr>
                <w:rFonts w:eastAsia="等线"/>
                <w:color w:val="000000"/>
                <w:sz w:val="18"/>
                <w:szCs w:val="18"/>
              </w:rPr>
            </w:pPr>
            <w:r>
              <w:rPr>
                <w:rFonts w:eastAsia="等线"/>
                <w:color w:val="000000"/>
                <w:sz w:val="18"/>
                <w:szCs w:val="18"/>
              </w:rPr>
              <w:t>1.60%</w:t>
            </w:r>
          </w:p>
        </w:tc>
        <w:tc>
          <w:tcPr>
            <w:tcW w:w="1794" w:type="dxa"/>
            <w:tcMar>
              <w:top w:w="0" w:type="dxa"/>
              <w:bottom w:w="0" w:type="dxa"/>
            </w:tcMar>
            <w:vAlign w:val="center"/>
          </w:tcPr>
          <w:p w14:paraId="7B4EDD24" w14:textId="77777777" w:rsidR="004B0883" w:rsidRDefault="004B0883">
            <w:pPr>
              <w:jc w:val="right"/>
              <w:rPr>
                <w:rFonts w:eastAsia="等线"/>
                <w:color w:val="000000"/>
                <w:sz w:val="18"/>
                <w:szCs w:val="18"/>
              </w:rPr>
            </w:pPr>
            <w:r>
              <w:rPr>
                <w:rFonts w:eastAsia="等线"/>
                <w:color w:val="000000"/>
                <w:sz w:val="18"/>
                <w:szCs w:val="18"/>
              </w:rPr>
              <w:t>70.54</w:t>
            </w:r>
          </w:p>
        </w:tc>
        <w:tc>
          <w:tcPr>
            <w:tcW w:w="1794" w:type="dxa"/>
            <w:tcMar>
              <w:top w:w="0" w:type="dxa"/>
              <w:bottom w:w="0" w:type="dxa"/>
            </w:tcMar>
            <w:vAlign w:val="center"/>
          </w:tcPr>
          <w:p w14:paraId="1B86AF1B" w14:textId="77777777" w:rsidR="004B0883" w:rsidRDefault="004B0883">
            <w:pPr>
              <w:jc w:val="right"/>
              <w:rPr>
                <w:rFonts w:eastAsia="等线"/>
                <w:color w:val="000000"/>
                <w:sz w:val="18"/>
                <w:szCs w:val="18"/>
              </w:rPr>
            </w:pPr>
            <w:r>
              <w:rPr>
                <w:rFonts w:eastAsia="等线"/>
                <w:color w:val="000000"/>
                <w:sz w:val="18"/>
                <w:szCs w:val="18"/>
              </w:rPr>
              <w:t>70.54</w:t>
            </w:r>
          </w:p>
        </w:tc>
      </w:tr>
      <w:tr w:rsidR="004B0883" w14:paraId="079A9FC7" w14:textId="77777777">
        <w:trPr>
          <w:trHeight w:val="397"/>
          <w:jc w:val="center"/>
        </w:trPr>
        <w:tc>
          <w:tcPr>
            <w:tcW w:w="1353" w:type="dxa"/>
            <w:tcMar>
              <w:top w:w="0" w:type="dxa"/>
              <w:bottom w:w="0" w:type="dxa"/>
            </w:tcMar>
            <w:vAlign w:val="center"/>
          </w:tcPr>
          <w:p w14:paraId="0E02D7F2" w14:textId="77777777" w:rsidR="004B0883" w:rsidRDefault="004B0883">
            <w:pPr>
              <w:adjustRightInd w:val="0"/>
              <w:snapToGrid w:val="0"/>
              <w:rPr>
                <w:color w:val="000000"/>
                <w:kern w:val="0"/>
                <w:sz w:val="18"/>
                <w:szCs w:val="18"/>
              </w:rPr>
            </w:pPr>
            <w:r>
              <w:rPr>
                <w:color w:val="000000"/>
                <w:kern w:val="0"/>
                <w:sz w:val="18"/>
                <w:szCs w:val="18"/>
              </w:rPr>
              <w:t>4</w:t>
            </w:r>
            <w:r>
              <w:rPr>
                <w:color w:val="000000"/>
                <w:kern w:val="0"/>
                <w:sz w:val="18"/>
                <w:szCs w:val="18"/>
              </w:rPr>
              <w:t>至</w:t>
            </w:r>
            <w:r>
              <w:rPr>
                <w:color w:val="000000"/>
                <w:kern w:val="0"/>
                <w:sz w:val="18"/>
                <w:szCs w:val="18"/>
              </w:rPr>
              <w:t>5</w:t>
            </w:r>
            <w:r>
              <w:rPr>
                <w:color w:val="000000"/>
                <w:kern w:val="0"/>
                <w:sz w:val="18"/>
                <w:szCs w:val="18"/>
              </w:rPr>
              <w:t>年</w:t>
            </w:r>
          </w:p>
        </w:tc>
        <w:tc>
          <w:tcPr>
            <w:tcW w:w="1793" w:type="dxa"/>
            <w:tcMar>
              <w:top w:w="0" w:type="dxa"/>
              <w:bottom w:w="0" w:type="dxa"/>
            </w:tcMar>
            <w:vAlign w:val="center"/>
          </w:tcPr>
          <w:p w14:paraId="1E232905" w14:textId="77777777" w:rsidR="004B0883" w:rsidRDefault="004B0883">
            <w:pPr>
              <w:jc w:val="right"/>
              <w:rPr>
                <w:rFonts w:eastAsia="等线"/>
                <w:color w:val="000000"/>
                <w:sz w:val="18"/>
                <w:szCs w:val="18"/>
              </w:rPr>
            </w:pPr>
            <w:r>
              <w:rPr>
                <w:rFonts w:eastAsia="等线"/>
                <w:color w:val="000000"/>
                <w:sz w:val="18"/>
                <w:szCs w:val="18"/>
              </w:rPr>
              <w:t>159.30</w:t>
            </w:r>
          </w:p>
        </w:tc>
        <w:tc>
          <w:tcPr>
            <w:tcW w:w="1794" w:type="dxa"/>
            <w:tcMar>
              <w:top w:w="0" w:type="dxa"/>
              <w:bottom w:w="0" w:type="dxa"/>
            </w:tcMar>
            <w:vAlign w:val="center"/>
          </w:tcPr>
          <w:p w14:paraId="45E970F2" w14:textId="77777777" w:rsidR="004B0883" w:rsidRDefault="004B0883">
            <w:pPr>
              <w:jc w:val="right"/>
              <w:rPr>
                <w:rFonts w:eastAsia="等线"/>
                <w:color w:val="000000"/>
                <w:sz w:val="18"/>
                <w:szCs w:val="18"/>
              </w:rPr>
            </w:pPr>
            <w:r>
              <w:rPr>
                <w:rFonts w:eastAsia="等线"/>
                <w:color w:val="000000"/>
                <w:sz w:val="18"/>
                <w:szCs w:val="18"/>
              </w:rPr>
              <w:t>1.81%</w:t>
            </w:r>
          </w:p>
        </w:tc>
        <w:tc>
          <w:tcPr>
            <w:tcW w:w="1794" w:type="dxa"/>
            <w:tcMar>
              <w:top w:w="0" w:type="dxa"/>
              <w:bottom w:w="0" w:type="dxa"/>
            </w:tcMar>
            <w:vAlign w:val="center"/>
          </w:tcPr>
          <w:p w14:paraId="279EBC5F" w14:textId="77777777" w:rsidR="004B0883" w:rsidRDefault="004B0883">
            <w:pPr>
              <w:jc w:val="right"/>
              <w:rPr>
                <w:rFonts w:eastAsia="等线"/>
                <w:color w:val="000000"/>
                <w:sz w:val="18"/>
                <w:szCs w:val="18"/>
              </w:rPr>
            </w:pPr>
            <w:r>
              <w:rPr>
                <w:rFonts w:eastAsia="等线"/>
                <w:color w:val="000000"/>
                <w:sz w:val="18"/>
                <w:szCs w:val="18"/>
              </w:rPr>
              <w:t>127.44</w:t>
            </w:r>
          </w:p>
        </w:tc>
        <w:tc>
          <w:tcPr>
            <w:tcW w:w="1794" w:type="dxa"/>
            <w:tcMar>
              <w:top w:w="0" w:type="dxa"/>
              <w:bottom w:w="0" w:type="dxa"/>
            </w:tcMar>
            <w:vAlign w:val="center"/>
          </w:tcPr>
          <w:p w14:paraId="0FAD54CB" w14:textId="77777777" w:rsidR="004B0883" w:rsidRDefault="004B0883">
            <w:pPr>
              <w:jc w:val="right"/>
              <w:rPr>
                <w:rFonts w:eastAsia="等线"/>
                <w:color w:val="000000"/>
                <w:sz w:val="18"/>
                <w:szCs w:val="18"/>
              </w:rPr>
            </w:pPr>
            <w:r>
              <w:rPr>
                <w:rFonts w:eastAsia="等线"/>
                <w:color w:val="000000"/>
                <w:sz w:val="18"/>
                <w:szCs w:val="18"/>
              </w:rPr>
              <w:t>31.86</w:t>
            </w:r>
          </w:p>
        </w:tc>
      </w:tr>
      <w:tr w:rsidR="004B0883" w14:paraId="296DC1B5" w14:textId="77777777">
        <w:trPr>
          <w:trHeight w:val="397"/>
          <w:jc w:val="center"/>
        </w:trPr>
        <w:tc>
          <w:tcPr>
            <w:tcW w:w="1353" w:type="dxa"/>
            <w:tcMar>
              <w:top w:w="0" w:type="dxa"/>
              <w:bottom w:w="0" w:type="dxa"/>
            </w:tcMar>
            <w:vAlign w:val="center"/>
          </w:tcPr>
          <w:p w14:paraId="51F05954" w14:textId="77777777" w:rsidR="004B0883" w:rsidRDefault="004B0883">
            <w:pPr>
              <w:adjustRightInd w:val="0"/>
              <w:snapToGrid w:val="0"/>
              <w:rPr>
                <w:color w:val="000000"/>
                <w:kern w:val="0"/>
                <w:sz w:val="18"/>
                <w:szCs w:val="18"/>
              </w:rPr>
            </w:pPr>
            <w:r>
              <w:rPr>
                <w:color w:val="000000"/>
                <w:kern w:val="0"/>
                <w:sz w:val="18"/>
                <w:szCs w:val="18"/>
              </w:rPr>
              <w:t>5</w:t>
            </w:r>
            <w:r>
              <w:rPr>
                <w:color w:val="000000"/>
                <w:kern w:val="0"/>
                <w:sz w:val="18"/>
                <w:szCs w:val="18"/>
              </w:rPr>
              <w:t>年以上</w:t>
            </w:r>
          </w:p>
        </w:tc>
        <w:tc>
          <w:tcPr>
            <w:tcW w:w="1793" w:type="dxa"/>
            <w:tcMar>
              <w:top w:w="0" w:type="dxa"/>
              <w:bottom w:w="0" w:type="dxa"/>
            </w:tcMar>
            <w:vAlign w:val="center"/>
          </w:tcPr>
          <w:p w14:paraId="0C9FC2A9" w14:textId="77777777" w:rsidR="004B0883" w:rsidRDefault="004B0883">
            <w:pPr>
              <w:jc w:val="right"/>
              <w:rPr>
                <w:rFonts w:eastAsia="等线"/>
                <w:color w:val="000000"/>
                <w:sz w:val="18"/>
                <w:szCs w:val="18"/>
              </w:rPr>
            </w:pPr>
            <w:r>
              <w:rPr>
                <w:rFonts w:eastAsia="等线"/>
                <w:color w:val="000000"/>
                <w:sz w:val="18"/>
                <w:szCs w:val="18"/>
              </w:rPr>
              <w:t>135.25</w:t>
            </w:r>
          </w:p>
        </w:tc>
        <w:tc>
          <w:tcPr>
            <w:tcW w:w="1794" w:type="dxa"/>
            <w:tcMar>
              <w:top w:w="0" w:type="dxa"/>
              <w:bottom w:w="0" w:type="dxa"/>
            </w:tcMar>
            <w:vAlign w:val="center"/>
          </w:tcPr>
          <w:p w14:paraId="67FB8A62" w14:textId="77777777" w:rsidR="004B0883" w:rsidRDefault="004B0883">
            <w:pPr>
              <w:jc w:val="right"/>
              <w:rPr>
                <w:rFonts w:eastAsia="等线"/>
                <w:color w:val="000000"/>
                <w:sz w:val="18"/>
                <w:szCs w:val="18"/>
              </w:rPr>
            </w:pPr>
            <w:r>
              <w:rPr>
                <w:rFonts w:eastAsia="等线"/>
                <w:color w:val="000000"/>
                <w:sz w:val="18"/>
                <w:szCs w:val="18"/>
              </w:rPr>
              <w:t>1.54%</w:t>
            </w:r>
          </w:p>
        </w:tc>
        <w:tc>
          <w:tcPr>
            <w:tcW w:w="1794" w:type="dxa"/>
            <w:tcMar>
              <w:top w:w="0" w:type="dxa"/>
              <w:bottom w:w="0" w:type="dxa"/>
            </w:tcMar>
            <w:vAlign w:val="center"/>
          </w:tcPr>
          <w:p w14:paraId="37F8CC43" w14:textId="77777777" w:rsidR="004B0883" w:rsidRDefault="004B0883">
            <w:pPr>
              <w:jc w:val="right"/>
              <w:rPr>
                <w:rFonts w:eastAsia="等线"/>
                <w:color w:val="000000"/>
                <w:sz w:val="18"/>
                <w:szCs w:val="18"/>
              </w:rPr>
            </w:pPr>
            <w:r>
              <w:rPr>
                <w:rFonts w:eastAsia="等线"/>
                <w:color w:val="000000"/>
                <w:sz w:val="18"/>
                <w:szCs w:val="18"/>
              </w:rPr>
              <w:t>135.25</w:t>
            </w:r>
          </w:p>
        </w:tc>
        <w:tc>
          <w:tcPr>
            <w:tcW w:w="1794" w:type="dxa"/>
            <w:tcMar>
              <w:top w:w="0" w:type="dxa"/>
              <w:bottom w:w="0" w:type="dxa"/>
            </w:tcMar>
            <w:vAlign w:val="center"/>
          </w:tcPr>
          <w:p w14:paraId="5EC0E714" w14:textId="77777777" w:rsidR="004B0883" w:rsidRDefault="004B0883">
            <w:pPr>
              <w:jc w:val="right"/>
              <w:rPr>
                <w:rFonts w:eastAsia="等线"/>
                <w:color w:val="000000"/>
                <w:sz w:val="18"/>
                <w:szCs w:val="18"/>
              </w:rPr>
            </w:pPr>
            <w:r>
              <w:rPr>
                <w:rFonts w:eastAsia="等线"/>
                <w:color w:val="000000"/>
                <w:sz w:val="18"/>
                <w:szCs w:val="18"/>
              </w:rPr>
              <w:t>-</w:t>
            </w:r>
          </w:p>
        </w:tc>
      </w:tr>
      <w:tr w:rsidR="004B0883" w14:paraId="5BE2D408" w14:textId="77777777">
        <w:trPr>
          <w:trHeight w:val="397"/>
          <w:jc w:val="center"/>
        </w:trPr>
        <w:tc>
          <w:tcPr>
            <w:tcW w:w="1353" w:type="dxa"/>
            <w:tcMar>
              <w:top w:w="0" w:type="dxa"/>
              <w:bottom w:w="0" w:type="dxa"/>
            </w:tcMar>
            <w:vAlign w:val="center"/>
          </w:tcPr>
          <w:p w14:paraId="72AD159E" w14:textId="77777777" w:rsidR="004B0883" w:rsidRDefault="004B0883">
            <w:pPr>
              <w:widowControl w:val="0"/>
              <w:adjustRightInd w:val="0"/>
              <w:snapToGrid w:val="0"/>
              <w:jc w:val="center"/>
              <w:rPr>
                <w:b/>
                <w:sz w:val="18"/>
                <w:szCs w:val="18"/>
              </w:rPr>
            </w:pPr>
            <w:r>
              <w:rPr>
                <w:rFonts w:hint="eastAsia"/>
                <w:b/>
                <w:sz w:val="18"/>
                <w:szCs w:val="18"/>
              </w:rPr>
              <w:t>合计</w:t>
            </w:r>
          </w:p>
        </w:tc>
        <w:tc>
          <w:tcPr>
            <w:tcW w:w="1793" w:type="dxa"/>
            <w:tcMar>
              <w:top w:w="0" w:type="dxa"/>
              <w:bottom w:w="0" w:type="dxa"/>
            </w:tcMar>
            <w:vAlign w:val="center"/>
          </w:tcPr>
          <w:p w14:paraId="75233892" w14:textId="77777777" w:rsidR="004B0883" w:rsidRDefault="004B0883">
            <w:pPr>
              <w:jc w:val="right"/>
              <w:rPr>
                <w:rFonts w:eastAsia="等线"/>
                <w:b/>
                <w:bCs/>
                <w:color w:val="000000"/>
                <w:sz w:val="18"/>
                <w:szCs w:val="18"/>
              </w:rPr>
            </w:pPr>
            <w:r>
              <w:rPr>
                <w:rFonts w:eastAsia="等线"/>
                <w:b/>
                <w:bCs/>
                <w:color w:val="000000"/>
                <w:sz w:val="18"/>
                <w:szCs w:val="18"/>
              </w:rPr>
              <w:t>8,790.40</w:t>
            </w:r>
          </w:p>
        </w:tc>
        <w:tc>
          <w:tcPr>
            <w:tcW w:w="1794" w:type="dxa"/>
            <w:tcMar>
              <w:top w:w="0" w:type="dxa"/>
              <w:bottom w:w="0" w:type="dxa"/>
            </w:tcMar>
            <w:vAlign w:val="center"/>
          </w:tcPr>
          <w:p w14:paraId="633E21B6" w14:textId="77777777" w:rsidR="004B0883" w:rsidRDefault="004B0883">
            <w:pPr>
              <w:jc w:val="right"/>
              <w:rPr>
                <w:rFonts w:eastAsia="等线"/>
                <w:b/>
                <w:bCs/>
                <w:color w:val="000000"/>
                <w:sz w:val="18"/>
                <w:szCs w:val="18"/>
              </w:rPr>
            </w:pPr>
            <w:r>
              <w:rPr>
                <w:rFonts w:eastAsia="等线"/>
                <w:b/>
                <w:bCs/>
                <w:color w:val="000000"/>
                <w:sz w:val="18"/>
                <w:szCs w:val="18"/>
              </w:rPr>
              <w:t>100.00%</w:t>
            </w:r>
          </w:p>
        </w:tc>
        <w:tc>
          <w:tcPr>
            <w:tcW w:w="1794" w:type="dxa"/>
            <w:tcMar>
              <w:top w:w="0" w:type="dxa"/>
              <w:bottom w:w="0" w:type="dxa"/>
            </w:tcMar>
            <w:vAlign w:val="center"/>
          </w:tcPr>
          <w:p w14:paraId="61A039E0" w14:textId="77777777" w:rsidR="004B0883" w:rsidRDefault="004B0883">
            <w:pPr>
              <w:jc w:val="right"/>
              <w:rPr>
                <w:rFonts w:eastAsia="等线"/>
                <w:b/>
                <w:bCs/>
                <w:color w:val="000000"/>
                <w:sz w:val="18"/>
                <w:szCs w:val="18"/>
              </w:rPr>
            </w:pPr>
            <w:r>
              <w:rPr>
                <w:rFonts w:eastAsia="等线"/>
                <w:b/>
                <w:bCs/>
                <w:color w:val="000000"/>
                <w:sz w:val="18"/>
                <w:szCs w:val="18"/>
              </w:rPr>
              <w:t>824.59</w:t>
            </w:r>
          </w:p>
        </w:tc>
        <w:tc>
          <w:tcPr>
            <w:tcW w:w="1794" w:type="dxa"/>
            <w:tcMar>
              <w:top w:w="0" w:type="dxa"/>
              <w:bottom w:w="0" w:type="dxa"/>
            </w:tcMar>
            <w:vAlign w:val="center"/>
          </w:tcPr>
          <w:p w14:paraId="5AD942C1" w14:textId="77777777" w:rsidR="004B0883" w:rsidRDefault="004B0883">
            <w:pPr>
              <w:jc w:val="right"/>
              <w:rPr>
                <w:rFonts w:eastAsia="等线"/>
                <w:b/>
                <w:bCs/>
                <w:color w:val="000000"/>
                <w:sz w:val="18"/>
                <w:szCs w:val="18"/>
              </w:rPr>
            </w:pPr>
            <w:r>
              <w:rPr>
                <w:rFonts w:eastAsia="等线"/>
                <w:b/>
                <w:bCs/>
                <w:color w:val="000000"/>
                <w:sz w:val="18"/>
                <w:szCs w:val="18"/>
              </w:rPr>
              <w:t>7,965.82</w:t>
            </w:r>
          </w:p>
        </w:tc>
      </w:tr>
      <w:tr w:rsidR="004B0883" w14:paraId="619191B5" w14:textId="77777777">
        <w:trPr>
          <w:trHeight w:val="397"/>
          <w:jc w:val="center"/>
        </w:trPr>
        <w:tc>
          <w:tcPr>
            <w:tcW w:w="1353" w:type="dxa"/>
            <w:vMerge w:val="restart"/>
            <w:shd w:val="clear" w:color="auto" w:fill="D9D9D9"/>
            <w:tcMar>
              <w:top w:w="0" w:type="dxa"/>
              <w:bottom w:w="0" w:type="dxa"/>
            </w:tcMar>
            <w:vAlign w:val="center"/>
          </w:tcPr>
          <w:p w14:paraId="27ED22A8" w14:textId="77777777" w:rsidR="004B0883" w:rsidRDefault="004B0883">
            <w:pPr>
              <w:widowControl w:val="0"/>
              <w:adjustRightInd w:val="0"/>
              <w:snapToGrid w:val="0"/>
              <w:jc w:val="center"/>
              <w:rPr>
                <w:b/>
                <w:sz w:val="18"/>
                <w:szCs w:val="18"/>
              </w:rPr>
            </w:pPr>
            <w:r>
              <w:rPr>
                <w:rFonts w:hint="eastAsia"/>
                <w:b/>
                <w:sz w:val="18"/>
                <w:szCs w:val="18"/>
              </w:rPr>
              <w:t>账龄结构</w:t>
            </w:r>
          </w:p>
        </w:tc>
        <w:tc>
          <w:tcPr>
            <w:tcW w:w="7175" w:type="dxa"/>
            <w:gridSpan w:val="4"/>
            <w:shd w:val="clear" w:color="auto" w:fill="D9D9D9"/>
            <w:tcMar>
              <w:top w:w="0" w:type="dxa"/>
              <w:bottom w:w="0" w:type="dxa"/>
            </w:tcMar>
            <w:vAlign w:val="center"/>
          </w:tcPr>
          <w:p w14:paraId="4F574226" w14:textId="77777777" w:rsidR="004B0883" w:rsidRDefault="004B0883">
            <w:pPr>
              <w:widowControl w:val="0"/>
              <w:adjustRightInd w:val="0"/>
              <w:snapToGrid w:val="0"/>
              <w:jc w:val="center"/>
              <w:rPr>
                <w:b/>
                <w:sz w:val="18"/>
                <w:szCs w:val="18"/>
              </w:rPr>
            </w:pPr>
            <w:r>
              <w:rPr>
                <w:b/>
                <w:bCs/>
                <w:color w:val="000000"/>
                <w:kern w:val="0"/>
                <w:sz w:val="18"/>
                <w:szCs w:val="18"/>
              </w:rPr>
              <w:t>2021.12.31</w:t>
            </w:r>
          </w:p>
        </w:tc>
      </w:tr>
      <w:tr w:rsidR="004B0883" w14:paraId="4264FE4D" w14:textId="77777777">
        <w:trPr>
          <w:trHeight w:val="397"/>
          <w:jc w:val="center"/>
        </w:trPr>
        <w:tc>
          <w:tcPr>
            <w:tcW w:w="1353" w:type="dxa"/>
            <w:vMerge/>
            <w:shd w:val="clear" w:color="auto" w:fill="D9D9D9"/>
            <w:tcMar>
              <w:top w:w="0" w:type="dxa"/>
              <w:bottom w:w="0" w:type="dxa"/>
            </w:tcMar>
            <w:vAlign w:val="center"/>
          </w:tcPr>
          <w:p w14:paraId="288FA7CB" w14:textId="77777777" w:rsidR="004B0883" w:rsidRDefault="004B0883">
            <w:pPr>
              <w:widowControl w:val="0"/>
              <w:adjustRightInd w:val="0"/>
              <w:snapToGrid w:val="0"/>
              <w:rPr>
                <w:b/>
                <w:sz w:val="18"/>
                <w:szCs w:val="18"/>
              </w:rPr>
            </w:pPr>
          </w:p>
        </w:tc>
        <w:tc>
          <w:tcPr>
            <w:tcW w:w="1793" w:type="dxa"/>
            <w:shd w:val="clear" w:color="auto" w:fill="D9D9D9"/>
            <w:tcMar>
              <w:top w:w="0" w:type="dxa"/>
              <w:bottom w:w="0" w:type="dxa"/>
            </w:tcMar>
            <w:vAlign w:val="center"/>
          </w:tcPr>
          <w:p w14:paraId="2A24E4D3" w14:textId="77777777" w:rsidR="004B0883" w:rsidRDefault="004B0883">
            <w:pPr>
              <w:widowControl w:val="0"/>
              <w:adjustRightInd w:val="0"/>
              <w:snapToGrid w:val="0"/>
              <w:jc w:val="center"/>
              <w:rPr>
                <w:b/>
                <w:sz w:val="18"/>
                <w:szCs w:val="18"/>
              </w:rPr>
            </w:pPr>
            <w:r>
              <w:rPr>
                <w:rFonts w:hint="eastAsia"/>
                <w:b/>
                <w:sz w:val="18"/>
                <w:szCs w:val="18"/>
              </w:rPr>
              <w:t>账面余额</w:t>
            </w:r>
          </w:p>
        </w:tc>
        <w:tc>
          <w:tcPr>
            <w:tcW w:w="1794" w:type="dxa"/>
            <w:shd w:val="clear" w:color="auto" w:fill="D9D9D9"/>
            <w:tcMar>
              <w:top w:w="0" w:type="dxa"/>
              <w:bottom w:w="0" w:type="dxa"/>
            </w:tcMar>
            <w:vAlign w:val="center"/>
          </w:tcPr>
          <w:p w14:paraId="646B3077" w14:textId="77777777" w:rsidR="004B0883" w:rsidRDefault="004B0883">
            <w:pPr>
              <w:widowControl w:val="0"/>
              <w:adjustRightInd w:val="0"/>
              <w:snapToGrid w:val="0"/>
              <w:jc w:val="center"/>
              <w:rPr>
                <w:b/>
                <w:sz w:val="18"/>
                <w:szCs w:val="18"/>
              </w:rPr>
            </w:pPr>
            <w:r>
              <w:rPr>
                <w:rFonts w:hint="eastAsia"/>
                <w:b/>
                <w:sz w:val="18"/>
                <w:szCs w:val="18"/>
              </w:rPr>
              <w:t>比例</w:t>
            </w:r>
          </w:p>
        </w:tc>
        <w:tc>
          <w:tcPr>
            <w:tcW w:w="1794" w:type="dxa"/>
            <w:shd w:val="clear" w:color="auto" w:fill="D9D9D9"/>
            <w:tcMar>
              <w:top w:w="0" w:type="dxa"/>
              <w:bottom w:w="0" w:type="dxa"/>
            </w:tcMar>
            <w:vAlign w:val="center"/>
          </w:tcPr>
          <w:p w14:paraId="7F2F3FCF" w14:textId="77777777" w:rsidR="004B0883" w:rsidRDefault="004B0883">
            <w:pPr>
              <w:widowControl w:val="0"/>
              <w:adjustRightInd w:val="0"/>
              <w:snapToGrid w:val="0"/>
              <w:jc w:val="center"/>
              <w:rPr>
                <w:b/>
                <w:sz w:val="18"/>
                <w:szCs w:val="18"/>
              </w:rPr>
            </w:pPr>
            <w:r>
              <w:rPr>
                <w:rFonts w:hint="eastAsia"/>
                <w:b/>
                <w:sz w:val="18"/>
                <w:szCs w:val="18"/>
              </w:rPr>
              <w:t>坏账准备</w:t>
            </w:r>
          </w:p>
        </w:tc>
        <w:tc>
          <w:tcPr>
            <w:tcW w:w="1794" w:type="dxa"/>
            <w:shd w:val="clear" w:color="auto" w:fill="D9D9D9"/>
            <w:tcMar>
              <w:top w:w="0" w:type="dxa"/>
              <w:bottom w:w="0" w:type="dxa"/>
            </w:tcMar>
            <w:vAlign w:val="center"/>
          </w:tcPr>
          <w:p w14:paraId="52AFEEB2" w14:textId="77777777" w:rsidR="004B0883" w:rsidRDefault="004B0883">
            <w:pPr>
              <w:widowControl w:val="0"/>
              <w:adjustRightInd w:val="0"/>
              <w:snapToGrid w:val="0"/>
              <w:jc w:val="center"/>
              <w:rPr>
                <w:b/>
                <w:sz w:val="18"/>
                <w:szCs w:val="18"/>
              </w:rPr>
            </w:pPr>
            <w:r>
              <w:rPr>
                <w:rFonts w:hint="eastAsia"/>
                <w:b/>
                <w:sz w:val="18"/>
                <w:szCs w:val="18"/>
              </w:rPr>
              <w:t>账面价值</w:t>
            </w:r>
          </w:p>
        </w:tc>
      </w:tr>
      <w:tr w:rsidR="004B0883" w14:paraId="39CF9017" w14:textId="77777777">
        <w:trPr>
          <w:trHeight w:val="397"/>
          <w:jc w:val="center"/>
        </w:trPr>
        <w:tc>
          <w:tcPr>
            <w:tcW w:w="1353" w:type="dxa"/>
            <w:tcMar>
              <w:top w:w="0" w:type="dxa"/>
              <w:bottom w:w="0" w:type="dxa"/>
            </w:tcMar>
            <w:vAlign w:val="center"/>
          </w:tcPr>
          <w:p w14:paraId="377CAF6F" w14:textId="77777777" w:rsidR="004B0883" w:rsidRDefault="004B0883">
            <w:pPr>
              <w:adjustRightInd w:val="0"/>
              <w:snapToGrid w:val="0"/>
              <w:rPr>
                <w:color w:val="000000"/>
                <w:kern w:val="0"/>
                <w:sz w:val="18"/>
                <w:szCs w:val="18"/>
              </w:rPr>
            </w:pPr>
            <w:r>
              <w:rPr>
                <w:color w:val="000000"/>
                <w:kern w:val="0"/>
                <w:sz w:val="18"/>
                <w:szCs w:val="18"/>
              </w:rPr>
              <w:t>1</w:t>
            </w:r>
            <w:r>
              <w:rPr>
                <w:color w:val="000000"/>
                <w:kern w:val="0"/>
                <w:sz w:val="18"/>
                <w:szCs w:val="18"/>
              </w:rPr>
              <w:t>年以内</w:t>
            </w:r>
          </w:p>
        </w:tc>
        <w:tc>
          <w:tcPr>
            <w:tcW w:w="1793" w:type="dxa"/>
            <w:tcMar>
              <w:top w:w="0" w:type="dxa"/>
              <w:bottom w:w="0" w:type="dxa"/>
            </w:tcMar>
            <w:vAlign w:val="center"/>
          </w:tcPr>
          <w:p w14:paraId="4562F889" w14:textId="77777777" w:rsidR="004B0883" w:rsidRDefault="004B0883">
            <w:pPr>
              <w:jc w:val="right"/>
              <w:rPr>
                <w:rFonts w:eastAsia="等线"/>
                <w:color w:val="000000"/>
                <w:kern w:val="0"/>
                <w:sz w:val="18"/>
                <w:szCs w:val="18"/>
              </w:rPr>
            </w:pPr>
            <w:r>
              <w:rPr>
                <w:rFonts w:eastAsia="等线"/>
                <w:color w:val="000000"/>
                <w:sz w:val="18"/>
                <w:szCs w:val="18"/>
              </w:rPr>
              <w:t>7,039.80</w:t>
            </w:r>
          </w:p>
        </w:tc>
        <w:tc>
          <w:tcPr>
            <w:tcW w:w="1794" w:type="dxa"/>
            <w:tcMar>
              <w:top w:w="0" w:type="dxa"/>
              <w:bottom w:w="0" w:type="dxa"/>
            </w:tcMar>
            <w:vAlign w:val="center"/>
          </w:tcPr>
          <w:p w14:paraId="00E576FE" w14:textId="77777777" w:rsidR="004B0883" w:rsidRDefault="004B0883">
            <w:pPr>
              <w:jc w:val="right"/>
              <w:rPr>
                <w:rFonts w:eastAsia="等线"/>
                <w:color w:val="000000"/>
                <w:kern w:val="0"/>
                <w:sz w:val="18"/>
                <w:szCs w:val="18"/>
              </w:rPr>
            </w:pPr>
            <w:r>
              <w:rPr>
                <w:rFonts w:eastAsia="等线"/>
                <w:color w:val="000000"/>
                <w:sz w:val="18"/>
                <w:szCs w:val="18"/>
              </w:rPr>
              <w:t>88.99%</w:t>
            </w:r>
          </w:p>
        </w:tc>
        <w:tc>
          <w:tcPr>
            <w:tcW w:w="1794" w:type="dxa"/>
            <w:tcMar>
              <w:top w:w="0" w:type="dxa"/>
              <w:bottom w:w="0" w:type="dxa"/>
            </w:tcMar>
            <w:vAlign w:val="center"/>
          </w:tcPr>
          <w:p w14:paraId="7E128BDE" w14:textId="77777777" w:rsidR="004B0883" w:rsidRDefault="004B0883">
            <w:pPr>
              <w:jc w:val="right"/>
              <w:rPr>
                <w:rFonts w:eastAsia="等线"/>
                <w:color w:val="000000"/>
                <w:kern w:val="0"/>
                <w:sz w:val="18"/>
                <w:szCs w:val="18"/>
              </w:rPr>
            </w:pPr>
            <w:r>
              <w:rPr>
                <w:rFonts w:eastAsia="等线"/>
                <w:color w:val="000000"/>
                <w:sz w:val="18"/>
                <w:szCs w:val="18"/>
              </w:rPr>
              <w:t>351.99</w:t>
            </w:r>
          </w:p>
        </w:tc>
        <w:tc>
          <w:tcPr>
            <w:tcW w:w="1794" w:type="dxa"/>
            <w:tcMar>
              <w:top w:w="0" w:type="dxa"/>
              <w:bottom w:w="0" w:type="dxa"/>
            </w:tcMar>
            <w:vAlign w:val="center"/>
          </w:tcPr>
          <w:p w14:paraId="288CBA30" w14:textId="77777777" w:rsidR="004B0883" w:rsidRDefault="004B0883">
            <w:pPr>
              <w:jc w:val="right"/>
              <w:rPr>
                <w:rFonts w:eastAsia="等线"/>
                <w:color w:val="000000"/>
                <w:kern w:val="0"/>
                <w:sz w:val="18"/>
                <w:szCs w:val="18"/>
              </w:rPr>
            </w:pPr>
            <w:r>
              <w:rPr>
                <w:rFonts w:eastAsia="等线"/>
                <w:color w:val="000000"/>
                <w:sz w:val="18"/>
                <w:szCs w:val="18"/>
              </w:rPr>
              <w:t>6,687.81</w:t>
            </w:r>
          </w:p>
        </w:tc>
      </w:tr>
      <w:tr w:rsidR="004B0883" w14:paraId="1E14B317" w14:textId="77777777">
        <w:trPr>
          <w:trHeight w:val="397"/>
          <w:jc w:val="center"/>
        </w:trPr>
        <w:tc>
          <w:tcPr>
            <w:tcW w:w="1353" w:type="dxa"/>
            <w:tcMar>
              <w:top w:w="0" w:type="dxa"/>
              <w:bottom w:w="0" w:type="dxa"/>
            </w:tcMar>
            <w:vAlign w:val="center"/>
          </w:tcPr>
          <w:p w14:paraId="6AD79539" w14:textId="77777777" w:rsidR="004B0883" w:rsidRDefault="004B0883">
            <w:pPr>
              <w:adjustRightInd w:val="0"/>
              <w:snapToGrid w:val="0"/>
              <w:rPr>
                <w:color w:val="000000"/>
                <w:kern w:val="0"/>
                <w:sz w:val="18"/>
                <w:szCs w:val="18"/>
              </w:rPr>
            </w:pPr>
            <w:r>
              <w:rPr>
                <w:color w:val="000000"/>
                <w:kern w:val="0"/>
                <w:sz w:val="18"/>
                <w:szCs w:val="18"/>
              </w:rPr>
              <w:t>1</w:t>
            </w:r>
            <w:r>
              <w:rPr>
                <w:color w:val="000000"/>
                <w:kern w:val="0"/>
                <w:sz w:val="18"/>
                <w:szCs w:val="18"/>
              </w:rPr>
              <w:t>至</w:t>
            </w:r>
            <w:r>
              <w:rPr>
                <w:color w:val="000000"/>
                <w:kern w:val="0"/>
                <w:sz w:val="18"/>
                <w:szCs w:val="18"/>
              </w:rPr>
              <w:t>2</w:t>
            </w:r>
            <w:r>
              <w:rPr>
                <w:color w:val="000000"/>
                <w:kern w:val="0"/>
                <w:sz w:val="18"/>
                <w:szCs w:val="18"/>
              </w:rPr>
              <w:t>年</w:t>
            </w:r>
          </w:p>
        </w:tc>
        <w:tc>
          <w:tcPr>
            <w:tcW w:w="1793" w:type="dxa"/>
            <w:tcMar>
              <w:top w:w="0" w:type="dxa"/>
              <w:bottom w:w="0" w:type="dxa"/>
            </w:tcMar>
            <w:vAlign w:val="center"/>
          </w:tcPr>
          <w:p w14:paraId="6B84A7DC" w14:textId="77777777" w:rsidR="004B0883" w:rsidRDefault="004B0883">
            <w:pPr>
              <w:jc w:val="right"/>
              <w:rPr>
                <w:rFonts w:eastAsia="等线"/>
                <w:color w:val="000000"/>
                <w:sz w:val="18"/>
                <w:szCs w:val="18"/>
              </w:rPr>
            </w:pPr>
            <w:r>
              <w:rPr>
                <w:rFonts w:eastAsia="等线"/>
                <w:color w:val="000000"/>
                <w:sz w:val="18"/>
                <w:szCs w:val="18"/>
              </w:rPr>
              <w:t>260.76</w:t>
            </w:r>
          </w:p>
        </w:tc>
        <w:tc>
          <w:tcPr>
            <w:tcW w:w="1794" w:type="dxa"/>
            <w:tcMar>
              <w:top w:w="0" w:type="dxa"/>
              <w:bottom w:w="0" w:type="dxa"/>
            </w:tcMar>
            <w:vAlign w:val="center"/>
          </w:tcPr>
          <w:p w14:paraId="5B28A260" w14:textId="77777777" w:rsidR="004B0883" w:rsidRDefault="004B0883">
            <w:pPr>
              <w:jc w:val="right"/>
              <w:rPr>
                <w:rFonts w:eastAsia="等线"/>
                <w:color w:val="000000"/>
                <w:sz w:val="18"/>
                <w:szCs w:val="18"/>
              </w:rPr>
            </w:pPr>
            <w:r>
              <w:rPr>
                <w:rFonts w:eastAsia="等线"/>
                <w:color w:val="000000"/>
                <w:sz w:val="18"/>
                <w:szCs w:val="18"/>
              </w:rPr>
              <w:t>3.30%</w:t>
            </w:r>
          </w:p>
        </w:tc>
        <w:tc>
          <w:tcPr>
            <w:tcW w:w="1794" w:type="dxa"/>
            <w:tcMar>
              <w:top w:w="0" w:type="dxa"/>
              <w:bottom w:w="0" w:type="dxa"/>
            </w:tcMar>
            <w:vAlign w:val="center"/>
          </w:tcPr>
          <w:p w14:paraId="40EA15AA" w14:textId="77777777" w:rsidR="004B0883" w:rsidRDefault="004B0883">
            <w:pPr>
              <w:jc w:val="right"/>
              <w:rPr>
                <w:rFonts w:eastAsia="等线"/>
                <w:color w:val="000000"/>
                <w:sz w:val="18"/>
                <w:szCs w:val="18"/>
              </w:rPr>
            </w:pPr>
            <w:r>
              <w:rPr>
                <w:rFonts w:eastAsia="等线"/>
                <w:color w:val="000000"/>
                <w:sz w:val="18"/>
                <w:szCs w:val="18"/>
              </w:rPr>
              <w:t>26.08</w:t>
            </w:r>
          </w:p>
        </w:tc>
        <w:tc>
          <w:tcPr>
            <w:tcW w:w="1794" w:type="dxa"/>
            <w:tcMar>
              <w:top w:w="0" w:type="dxa"/>
              <w:bottom w:w="0" w:type="dxa"/>
            </w:tcMar>
            <w:vAlign w:val="center"/>
          </w:tcPr>
          <w:p w14:paraId="6F4DFDF6" w14:textId="77777777" w:rsidR="004B0883" w:rsidRDefault="004B0883">
            <w:pPr>
              <w:jc w:val="right"/>
              <w:rPr>
                <w:rFonts w:eastAsia="等线"/>
                <w:color w:val="000000"/>
                <w:sz w:val="18"/>
                <w:szCs w:val="18"/>
              </w:rPr>
            </w:pPr>
            <w:r>
              <w:rPr>
                <w:rFonts w:eastAsia="等线"/>
                <w:color w:val="000000"/>
                <w:sz w:val="18"/>
                <w:szCs w:val="18"/>
              </w:rPr>
              <w:t>234.68</w:t>
            </w:r>
          </w:p>
        </w:tc>
      </w:tr>
      <w:tr w:rsidR="004B0883" w14:paraId="465E2740" w14:textId="77777777">
        <w:trPr>
          <w:trHeight w:val="397"/>
          <w:jc w:val="center"/>
        </w:trPr>
        <w:tc>
          <w:tcPr>
            <w:tcW w:w="1353" w:type="dxa"/>
            <w:tcMar>
              <w:top w:w="0" w:type="dxa"/>
              <w:bottom w:w="0" w:type="dxa"/>
            </w:tcMar>
            <w:vAlign w:val="center"/>
          </w:tcPr>
          <w:p w14:paraId="1B27426A" w14:textId="77777777" w:rsidR="004B0883" w:rsidRDefault="004B0883">
            <w:pPr>
              <w:adjustRightInd w:val="0"/>
              <w:snapToGrid w:val="0"/>
              <w:rPr>
                <w:color w:val="000000"/>
                <w:kern w:val="0"/>
                <w:sz w:val="18"/>
                <w:szCs w:val="18"/>
              </w:rPr>
            </w:pPr>
            <w:r>
              <w:rPr>
                <w:color w:val="000000"/>
                <w:kern w:val="0"/>
                <w:sz w:val="18"/>
                <w:szCs w:val="18"/>
              </w:rPr>
              <w:t>2</w:t>
            </w:r>
            <w:r>
              <w:rPr>
                <w:color w:val="000000"/>
                <w:kern w:val="0"/>
                <w:sz w:val="18"/>
                <w:szCs w:val="18"/>
              </w:rPr>
              <w:t>至</w:t>
            </w:r>
            <w:r>
              <w:rPr>
                <w:color w:val="000000"/>
                <w:kern w:val="0"/>
                <w:sz w:val="18"/>
                <w:szCs w:val="18"/>
              </w:rPr>
              <w:t>3</w:t>
            </w:r>
            <w:r>
              <w:rPr>
                <w:color w:val="000000"/>
                <w:kern w:val="0"/>
                <w:sz w:val="18"/>
                <w:szCs w:val="18"/>
              </w:rPr>
              <w:t>年</w:t>
            </w:r>
          </w:p>
        </w:tc>
        <w:tc>
          <w:tcPr>
            <w:tcW w:w="1793" w:type="dxa"/>
            <w:tcMar>
              <w:top w:w="0" w:type="dxa"/>
              <w:bottom w:w="0" w:type="dxa"/>
            </w:tcMar>
            <w:vAlign w:val="center"/>
          </w:tcPr>
          <w:p w14:paraId="4C2B93CE" w14:textId="77777777" w:rsidR="004B0883" w:rsidRDefault="004B0883">
            <w:pPr>
              <w:jc w:val="right"/>
              <w:rPr>
                <w:rFonts w:eastAsia="等线"/>
                <w:color w:val="000000"/>
                <w:sz w:val="18"/>
                <w:szCs w:val="18"/>
              </w:rPr>
            </w:pPr>
            <w:r>
              <w:rPr>
                <w:rFonts w:eastAsia="等线"/>
                <w:color w:val="000000"/>
                <w:sz w:val="18"/>
                <w:szCs w:val="18"/>
              </w:rPr>
              <w:t>218.13</w:t>
            </w:r>
          </w:p>
        </w:tc>
        <w:tc>
          <w:tcPr>
            <w:tcW w:w="1794" w:type="dxa"/>
            <w:tcMar>
              <w:top w:w="0" w:type="dxa"/>
              <w:bottom w:w="0" w:type="dxa"/>
            </w:tcMar>
            <w:vAlign w:val="center"/>
          </w:tcPr>
          <w:p w14:paraId="3ED221A0" w14:textId="77777777" w:rsidR="004B0883" w:rsidRDefault="004B0883">
            <w:pPr>
              <w:jc w:val="right"/>
              <w:rPr>
                <w:rFonts w:eastAsia="等线"/>
                <w:color w:val="000000"/>
                <w:sz w:val="18"/>
                <w:szCs w:val="18"/>
              </w:rPr>
            </w:pPr>
            <w:r>
              <w:rPr>
                <w:rFonts w:eastAsia="等线"/>
                <w:color w:val="000000"/>
                <w:sz w:val="18"/>
                <w:szCs w:val="18"/>
              </w:rPr>
              <w:t>2.76%</w:t>
            </w:r>
          </w:p>
        </w:tc>
        <w:tc>
          <w:tcPr>
            <w:tcW w:w="1794" w:type="dxa"/>
            <w:tcMar>
              <w:top w:w="0" w:type="dxa"/>
              <w:bottom w:w="0" w:type="dxa"/>
            </w:tcMar>
            <w:vAlign w:val="center"/>
          </w:tcPr>
          <w:p w14:paraId="1E60BE29" w14:textId="77777777" w:rsidR="004B0883" w:rsidRDefault="004B0883">
            <w:pPr>
              <w:jc w:val="right"/>
              <w:rPr>
                <w:rFonts w:eastAsia="等线"/>
                <w:color w:val="000000"/>
                <w:sz w:val="18"/>
                <w:szCs w:val="18"/>
              </w:rPr>
            </w:pPr>
            <w:r>
              <w:rPr>
                <w:rFonts w:eastAsia="等线"/>
                <w:color w:val="000000"/>
                <w:sz w:val="18"/>
                <w:szCs w:val="18"/>
              </w:rPr>
              <w:t>65.44</w:t>
            </w:r>
          </w:p>
        </w:tc>
        <w:tc>
          <w:tcPr>
            <w:tcW w:w="1794" w:type="dxa"/>
            <w:tcMar>
              <w:top w:w="0" w:type="dxa"/>
              <w:bottom w:w="0" w:type="dxa"/>
            </w:tcMar>
            <w:vAlign w:val="center"/>
          </w:tcPr>
          <w:p w14:paraId="006BE5DE" w14:textId="77777777" w:rsidR="004B0883" w:rsidRDefault="004B0883">
            <w:pPr>
              <w:jc w:val="right"/>
              <w:rPr>
                <w:rFonts w:eastAsia="等线"/>
                <w:color w:val="000000"/>
                <w:sz w:val="18"/>
                <w:szCs w:val="18"/>
              </w:rPr>
            </w:pPr>
            <w:r>
              <w:rPr>
                <w:rFonts w:eastAsia="等线"/>
                <w:color w:val="000000"/>
                <w:sz w:val="18"/>
                <w:szCs w:val="18"/>
              </w:rPr>
              <w:t>152.69</w:t>
            </w:r>
          </w:p>
        </w:tc>
      </w:tr>
      <w:tr w:rsidR="004B0883" w14:paraId="5B29001D" w14:textId="77777777">
        <w:trPr>
          <w:trHeight w:val="397"/>
          <w:jc w:val="center"/>
        </w:trPr>
        <w:tc>
          <w:tcPr>
            <w:tcW w:w="1353" w:type="dxa"/>
            <w:tcMar>
              <w:top w:w="0" w:type="dxa"/>
              <w:bottom w:w="0" w:type="dxa"/>
            </w:tcMar>
            <w:vAlign w:val="center"/>
          </w:tcPr>
          <w:p w14:paraId="2514A588" w14:textId="77777777" w:rsidR="004B0883" w:rsidRDefault="004B0883">
            <w:pPr>
              <w:adjustRightInd w:val="0"/>
              <w:snapToGrid w:val="0"/>
              <w:rPr>
                <w:color w:val="000000"/>
                <w:kern w:val="0"/>
                <w:sz w:val="18"/>
                <w:szCs w:val="18"/>
              </w:rPr>
            </w:pPr>
            <w:r>
              <w:rPr>
                <w:color w:val="000000"/>
                <w:kern w:val="0"/>
                <w:sz w:val="18"/>
                <w:szCs w:val="18"/>
              </w:rPr>
              <w:t>3</w:t>
            </w:r>
            <w:r>
              <w:rPr>
                <w:color w:val="000000"/>
                <w:kern w:val="0"/>
                <w:sz w:val="18"/>
                <w:szCs w:val="18"/>
              </w:rPr>
              <w:t>至</w:t>
            </w:r>
            <w:r>
              <w:rPr>
                <w:color w:val="000000"/>
                <w:kern w:val="0"/>
                <w:sz w:val="18"/>
                <w:szCs w:val="18"/>
              </w:rPr>
              <w:t>4</w:t>
            </w:r>
            <w:r>
              <w:rPr>
                <w:color w:val="000000"/>
                <w:kern w:val="0"/>
                <w:sz w:val="18"/>
                <w:szCs w:val="18"/>
              </w:rPr>
              <w:t>年</w:t>
            </w:r>
          </w:p>
        </w:tc>
        <w:tc>
          <w:tcPr>
            <w:tcW w:w="1793" w:type="dxa"/>
            <w:tcMar>
              <w:top w:w="0" w:type="dxa"/>
              <w:bottom w:w="0" w:type="dxa"/>
            </w:tcMar>
            <w:vAlign w:val="center"/>
          </w:tcPr>
          <w:p w14:paraId="241F2B33" w14:textId="77777777" w:rsidR="004B0883" w:rsidRDefault="004B0883">
            <w:pPr>
              <w:jc w:val="right"/>
              <w:rPr>
                <w:rFonts w:eastAsia="等线"/>
                <w:color w:val="000000"/>
                <w:sz w:val="18"/>
                <w:szCs w:val="18"/>
              </w:rPr>
            </w:pPr>
            <w:r>
              <w:rPr>
                <w:rFonts w:eastAsia="等线"/>
                <w:color w:val="000000"/>
                <w:sz w:val="18"/>
                <w:szCs w:val="18"/>
              </w:rPr>
              <w:t>206.70</w:t>
            </w:r>
          </w:p>
        </w:tc>
        <w:tc>
          <w:tcPr>
            <w:tcW w:w="1794" w:type="dxa"/>
            <w:tcMar>
              <w:top w:w="0" w:type="dxa"/>
              <w:bottom w:w="0" w:type="dxa"/>
            </w:tcMar>
            <w:vAlign w:val="center"/>
          </w:tcPr>
          <w:p w14:paraId="5AC9005E" w14:textId="77777777" w:rsidR="004B0883" w:rsidRDefault="004B0883">
            <w:pPr>
              <w:jc w:val="right"/>
              <w:rPr>
                <w:rFonts w:eastAsia="等线"/>
                <w:color w:val="000000"/>
                <w:sz w:val="18"/>
                <w:szCs w:val="18"/>
              </w:rPr>
            </w:pPr>
            <w:r>
              <w:rPr>
                <w:rFonts w:eastAsia="等线"/>
                <w:color w:val="000000"/>
                <w:sz w:val="18"/>
                <w:szCs w:val="18"/>
              </w:rPr>
              <w:t>2.61%</w:t>
            </w:r>
          </w:p>
        </w:tc>
        <w:tc>
          <w:tcPr>
            <w:tcW w:w="1794" w:type="dxa"/>
            <w:tcMar>
              <w:top w:w="0" w:type="dxa"/>
              <w:bottom w:w="0" w:type="dxa"/>
            </w:tcMar>
            <w:vAlign w:val="center"/>
          </w:tcPr>
          <w:p w14:paraId="6C2002DE" w14:textId="77777777" w:rsidR="004B0883" w:rsidRDefault="004B0883">
            <w:pPr>
              <w:jc w:val="right"/>
              <w:rPr>
                <w:rFonts w:eastAsia="等线"/>
                <w:color w:val="000000"/>
                <w:sz w:val="18"/>
                <w:szCs w:val="18"/>
              </w:rPr>
            </w:pPr>
            <w:r>
              <w:rPr>
                <w:rFonts w:eastAsia="等线"/>
                <w:color w:val="000000"/>
                <w:sz w:val="18"/>
                <w:szCs w:val="18"/>
              </w:rPr>
              <w:t>103.35</w:t>
            </w:r>
          </w:p>
        </w:tc>
        <w:tc>
          <w:tcPr>
            <w:tcW w:w="1794" w:type="dxa"/>
            <w:tcMar>
              <w:top w:w="0" w:type="dxa"/>
              <w:bottom w:w="0" w:type="dxa"/>
            </w:tcMar>
            <w:vAlign w:val="center"/>
          </w:tcPr>
          <w:p w14:paraId="231AEDFE" w14:textId="77777777" w:rsidR="004B0883" w:rsidRDefault="004B0883">
            <w:pPr>
              <w:jc w:val="right"/>
              <w:rPr>
                <w:rFonts w:eastAsia="等线"/>
                <w:color w:val="000000"/>
                <w:sz w:val="18"/>
                <w:szCs w:val="18"/>
              </w:rPr>
            </w:pPr>
            <w:r>
              <w:rPr>
                <w:rFonts w:eastAsia="等线"/>
                <w:color w:val="000000"/>
                <w:sz w:val="18"/>
                <w:szCs w:val="18"/>
              </w:rPr>
              <w:t>103.35</w:t>
            </w:r>
          </w:p>
        </w:tc>
      </w:tr>
      <w:tr w:rsidR="004B0883" w14:paraId="642EDFE6" w14:textId="77777777">
        <w:trPr>
          <w:trHeight w:val="397"/>
          <w:jc w:val="center"/>
        </w:trPr>
        <w:tc>
          <w:tcPr>
            <w:tcW w:w="1353" w:type="dxa"/>
            <w:tcMar>
              <w:top w:w="0" w:type="dxa"/>
              <w:bottom w:w="0" w:type="dxa"/>
            </w:tcMar>
            <w:vAlign w:val="center"/>
          </w:tcPr>
          <w:p w14:paraId="4EF64661" w14:textId="77777777" w:rsidR="004B0883" w:rsidRDefault="004B0883">
            <w:pPr>
              <w:adjustRightInd w:val="0"/>
              <w:snapToGrid w:val="0"/>
              <w:rPr>
                <w:color w:val="000000"/>
                <w:kern w:val="0"/>
                <w:sz w:val="18"/>
                <w:szCs w:val="18"/>
              </w:rPr>
            </w:pPr>
            <w:r>
              <w:rPr>
                <w:color w:val="000000"/>
                <w:kern w:val="0"/>
                <w:sz w:val="18"/>
                <w:szCs w:val="18"/>
              </w:rPr>
              <w:t>4</w:t>
            </w:r>
            <w:r>
              <w:rPr>
                <w:color w:val="000000"/>
                <w:kern w:val="0"/>
                <w:sz w:val="18"/>
                <w:szCs w:val="18"/>
              </w:rPr>
              <w:t>至</w:t>
            </w:r>
            <w:r>
              <w:rPr>
                <w:color w:val="000000"/>
                <w:kern w:val="0"/>
                <w:sz w:val="18"/>
                <w:szCs w:val="18"/>
              </w:rPr>
              <w:t>5</w:t>
            </w:r>
            <w:r>
              <w:rPr>
                <w:color w:val="000000"/>
                <w:kern w:val="0"/>
                <w:sz w:val="18"/>
                <w:szCs w:val="18"/>
              </w:rPr>
              <w:t>年</w:t>
            </w:r>
          </w:p>
        </w:tc>
        <w:tc>
          <w:tcPr>
            <w:tcW w:w="1793" w:type="dxa"/>
            <w:tcMar>
              <w:top w:w="0" w:type="dxa"/>
              <w:bottom w:w="0" w:type="dxa"/>
            </w:tcMar>
            <w:vAlign w:val="center"/>
          </w:tcPr>
          <w:p w14:paraId="58F6DC04" w14:textId="77777777" w:rsidR="004B0883" w:rsidRDefault="004B0883">
            <w:pPr>
              <w:jc w:val="right"/>
              <w:rPr>
                <w:rFonts w:eastAsia="等线"/>
                <w:color w:val="000000"/>
                <w:sz w:val="18"/>
                <w:szCs w:val="18"/>
              </w:rPr>
            </w:pPr>
            <w:r>
              <w:rPr>
                <w:rFonts w:eastAsia="等线"/>
                <w:color w:val="000000"/>
                <w:sz w:val="18"/>
                <w:szCs w:val="18"/>
              </w:rPr>
              <w:t>34.61</w:t>
            </w:r>
          </w:p>
        </w:tc>
        <w:tc>
          <w:tcPr>
            <w:tcW w:w="1794" w:type="dxa"/>
            <w:tcMar>
              <w:top w:w="0" w:type="dxa"/>
              <w:bottom w:w="0" w:type="dxa"/>
            </w:tcMar>
            <w:vAlign w:val="center"/>
          </w:tcPr>
          <w:p w14:paraId="11636B0F" w14:textId="77777777" w:rsidR="004B0883" w:rsidRDefault="004B0883">
            <w:pPr>
              <w:jc w:val="right"/>
              <w:rPr>
                <w:rFonts w:eastAsia="等线"/>
                <w:color w:val="000000"/>
                <w:sz w:val="18"/>
                <w:szCs w:val="18"/>
              </w:rPr>
            </w:pPr>
            <w:r>
              <w:rPr>
                <w:rFonts w:eastAsia="等线"/>
                <w:color w:val="000000"/>
                <w:sz w:val="18"/>
                <w:szCs w:val="18"/>
              </w:rPr>
              <w:t>0.44%</w:t>
            </w:r>
          </w:p>
        </w:tc>
        <w:tc>
          <w:tcPr>
            <w:tcW w:w="1794" w:type="dxa"/>
            <w:tcMar>
              <w:top w:w="0" w:type="dxa"/>
              <w:bottom w:w="0" w:type="dxa"/>
            </w:tcMar>
            <w:vAlign w:val="center"/>
          </w:tcPr>
          <w:p w14:paraId="2E0EDD9D" w14:textId="77777777" w:rsidR="004B0883" w:rsidRDefault="004B0883">
            <w:pPr>
              <w:jc w:val="right"/>
              <w:rPr>
                <w:rFonts w:eastAsia="等线"/>
                <w:color w:val="000000"/>
                <w:sz w:val="18"/>
                <w:szCs w:val="18"/>
              </w:rPr>
            </w:pPr>
            <w:r>
              <w:rPr>
                <w:rFonts w:eastAsia="等线"/>
                <w:color w:val="000000"/>
                <w:sz w:val="18"/>
                <w:szCs w:val="18"/>
              </w:rPr>
              <w:t>27.69</w:t>
            </w:r>
          </w:p>
        </w:tc>
        <w:tc>
          <w:tcPr>
            <w:tcW w:w="1794" w:type="dxa"/>
            <w:tcMar>
              <w:top w:w="0" w:type="dxa"/>
              <w:bottom w:w="0" w:type="dxa"/>
            </w:tcMar>
            <w:vAlign w:val="center"/>
          </w:tcPr>
          <w:p w14:paraId="0B58AE99" w14:textId="77777777" w:rsidR="004B0883" w:rsidRDefault="004B0883">
            <w:pPr>
              <w:jc w:val="right"/>
              <w:rPr>
                <w:rFonts w:eastAsia="等线"/>
                <w:color w:val="000000"/>
                <w:sz w:val="18"/>
                <w:szCs w:val="18"/>
              </w:rPr>
            </w:pPr>
            <w:r>
              <w:rPr>
                <w:rFonts w:eastAsia="等线"/>
                <w:color w:val="000000"/>
                <w:sz w:val="18"/>
                <w:szCs w:val="18"/>
              </w:rPr>
              <w:t>6.92</w:t>
            </w:r>
          </w:p>
        </w:tc>
      </w:tr>
      <w:tr w:rsidR="004B0883" w14:paraId="70CA1B23" w14:textId="77777777">
        <w:trPr>
          <w:trHeight w:val="397"/>
          <w:jc w:val="center"/>
        </w:trPr>
        <w:tc>
          <w:tcPr>
            <w:tcW w:w="1353" w:type="dxa"/>
            <w:tcMar>
              <w:top w:w="0" w:type="dxa"/>
              <w:bottom w:w="0" w:type="dxa"/>
            </w:tcMar>
            <w:vAlign w:val="center"/>
          </w:tcPr>
          <w:p w14:paraId="75505CDC" w14:textId="77777777" w:rsidR="004B0883" w:rsidRDefault="004B0883">
            <w:pPr>
              <w:adjustRightInd w:val="0"/>
              <w:snapToGrid w:val="0"/>
              <w:rPr>
                <w:color w:val="000000"/>
                <w:kern w:val="0"/>
                <w:sz w:val="18"/>
                <w:szCs w:val="18"/>
              </w:rPr>
            </w:pPr>
            <w:r>
              <w:rPr>
                <w:color w:val="000000"/>
                <w:kern w:val="0"/>
                <w:sz w:val="18"/>
                <w:szCs w:val="18"/>
              </w:rPr>
              <w:t>5</w:t>
            </w:r>
            <w:r>
              <w:rPr>
                <w:color w:val="000000"/>
                <w:kern w:val="0"/>
                <w:sz w:val="18"/>
                <w:szCs w:val="18"/>
              </w:rPr>
              <w:t>年以上</w:t>
            </w:r>
          </w:p>
        </w:tc>
        <w:tc>
          <w:tcPr>
            <w:tcW w:w="1793" w:type="dxa"/>
            <w:tcMar>
              <w:top w:w="0" w:type="dxa"/>
              <w:bottom w:w="0" w:type="dxa"/>
            </w:tcMar>
            <w:vAlign w:val="center"/>
          </w:tcPr>
          <w:p w14:paraId="270749C0" w14:textId="77777777" w:rsidR="004B0883" w:rsidRDefault="004B0883">
            <w:pPr>
              <w:jc w:val="right"/>
              <w:rPr>
                <w:rFonts w:eastAsia="等线"/>
                <w:color w:val="000000"/>
                <w:sz w:val="18"/>
                <w:szCs w:val="18"/>
              </w:rPr>
            </w:pPr>
            <w:r>
              <w:rPr>
                <w:rFonts w:eastAsia="等线"/>
                <w:color w:val="000000"/>
                <w:sz w:val="18"/>
                <w:szCs w:val="18"/>
              </w:rPr>
              <w:t>151.04</w:t>
            </w:r>
          </w:p>
        </w:tc>
        <w:tc>
          <w:tcPr>
            <w:tcW w:w="1794" w:type="dxa"/>
            <w:tcMar>
              <w:top w:w="0" w:type="dxa"/>
              <w:bottom w:w="0" w:type="dxa"/>
            </w:tcMar>
            <w:vAlign w:val="center"/>
          </w:tcPr>
          <w:p w14:paraId="5DA51EE5" w14:textId="77777777" w:rsidR="004B0883" w:rsidRDefault="004B0883">
            <w:pPr>
              <w:jc w:val="right"/>
              <w:rPr>
                <w:rFonts w:eastAsia="等线"/>
                <w:color w:val="000000"/>
                <w:sz w:val="18"/>
                <w:szCs w:val="18"/>
              </w:rPr>
            </w:pPr>
            <w:r>
              <w:rPr>
                <w:rFonts w:eastAsia="等线"/>
                <w:color w:val="000000"/>
                <w:sz w:val="18"/>
                <w:szCs w:val="18"/>
              </w:rPr>
              <w:t>1.91%</w:t>
            </w:r>
          </w:p>
        </w:tc>
        <w:tc>
          <w:tcPr>
            <w:tcW w:w="1794" w:type="dxa"/>
            <w:tcMar>
              <w:top w:w="0" w:type="dxa"/>
              <w:bottom w:w="0" w:type="dxa"/>
            </w:tcMar>
            <w:vAlign w:val="center"/>
          </w:tcPr>
          <w:p w14:paraId="229F105C" w14:textId="77777777" w:rsidR="004B0883" w:rsidRDefault="004B0883">
            <w:pPr>
              <w:jc w:val="right"/>
              <w:rPr>
                <w:rFonts w:eastAsia="等线"/>
                <w:color w:val="000000"/>
                <w:sz w:val="18"/>
                <w:szCs w:val="18"/>
              </w:rPr>
            </w:pPr>
            <w:r>
              <w:rPr>
                <w:rFonts w:eastAsia="等线"/>
                <w:color w:val="000000"/>
                <w:sz w:val="18"/>
                <w:szCs w:val="18"/>
              </w:rPr>
              <w:t>151.04</w:t>
            </w:r>
          </w:p>
        </w:tc>
        <w:tc>
          <w:tcPr>
            <w:tcW w:w="1794" w:type="dxa"/>
            <w:tcMar>
              <w:top w:w="0" w:type="dxa"/>
              <w:bottom w:w="0" w:type="dxa"/>
            </w:tcMar>
            <w:vAlign w:val="center"/>
          </w:tcPr>
          <w:p w14:paraId="4B4352BE" w14:textId="77777777" w:rsidR="004B0883" w:rsidRDefault="004B0883">
            <w:pPr>
              <w:jc w:val="right"/>
              <w:rPr>
                <w:rFonts w:eastAsia="等线"/>
                <w:color w:val="000000"/>
                <w:sz w:val="18"/>
                <w:szCs w:val="18"/>
              </w:rPr>
            </w:pPr>
            <w:r>
              <w:rPr>
                <w:rFonts w:eastAsia="等线"/>
                <w:color w:val="000000"/>
                <w:sz w:val="18"/>
                <w:szCs w:val="18"/>
              </w:rPr>
              <w:t>-</w:t>
            </w:r>
          </w:p>
        </w:tc>
      </w:tr>
      <w:tr w:rsidR="004B0883" w14:paraId="7997FDA4" w14:textId="77777777">
        <w:trPr>
          <w:trHeight w:val="397"/>
          <w:jc w:val="center"/>
        </w:trPr>
        <w:tc>
          <w:tcPr>
            <w:tcW w:w="1353" w:type="dxa"/>
            <w:tcMar>
              <w:top w:w="0" w:type="dxa"/>
              <w:bottom w:w="0" w:type="dxa"/>
            </w:tcMar>
            <w:vAlign w:val="center"/>
          </w:tcPr>
          <w:p w14:paraId="147FFEEF" w14:textId="77777777" w:rsidR="004B0883" w:rsidRDefault="004B0883">
            <w:pPr>
              <w:widowControl w:val="0"/>
              <w:adjustRightInd w:val="0"/>
              <w:snapToGrid w:val="0"/>
              <w:jc w:val="center"/>
              <w:rPr>
                <w:b/>
                <w:sz w:val="18"/>
                <w:szCs w:val="18"/>
              </w:rPr>
            </w:pPr>
            <w:r>
              <w:rPr>
                <w:rFonts w:hint="eastAsia"/>
                <w:b/>
                <w:sz w:val="18"/>
                <w:szCs w:val="18"/>
              </w:rPr>
              <w:t>合计</w:t>
            </w:r>
          </w:p>
        </w:tc>
        <w:tc>
          <w:tcPr>
            <w:tcW w:w="1793" w:type="dxa"/>
            <w:tcMar>
              <w:top w:w="0" w:type="dxa"/>
              <w:bottom w:w="0" w:type="dxa"/>
            </w:tcMar>
            <w:vAlign w:val="center"/>
          </w:tcPr>
          <w:p w14:paraId="0D63DBFD" w14:textId="77777777" w:rsidR="004B0883" w:rsidRDefault="004B0883">
            <w:pPr>
              <w:jc w:val="right"/>
              <w:rPr>
                <w:rFonts w:eastAsia="等线"/>
                <w:b/>
                <w:bCs/>
                <w:color w:val="000000"/>
                <w:sz w:val="18"/>
                <w:szCs w:val="18"/>
              </w:rPr>
            </w:pPr>
            <w:r>
              <w:rPr>
                <w:rFonts w:eastAsia="等线"/>
                <w:b/>
                <w:bCs/>
                <w:color w:val="000000"/>
                <w:sz w:val="18"/>
                <w:szCs w:val="18"/>
              </w:rPr>
              <w:t>7,911.04</w:t>
            </w:r>
          </w:p>
        </w:tc>
        <w:tc>
          <w:tcPr>
            <w:tcW w:w="1794" w:type="dxa"/>
            <w:tcMar>
              <w:top w:w="0" w:type="dxa"/>
              <w:bottom w:w="0" w:type="dxa"/>
            </w:tcMar>
            <w:vAlign w:val="center"/>
          </w:tcPr>
          <w:p w14:paraId="4AFB1F20" w14:textId="77777777" w:rsidR="004B0883" w:rsidRDefault="004B0883">
            <w:pPr>
              <w:jc w:val="right"/>
              <w:rPr>
                <w:rFonts w:eastAsia="等线"/>
                <w:b/>
                <w:bCs/>
                <w:color w:val="000000"/>
                <w:sz w:val="18"/>
                <w:szCs w:val="18"/>
              </w:rPr>
            </w:pPr>
            <w:r>
              <w:rPr>
                <w:rFonts w:eastAsia="等线"/>
                <w:b/>
                <w:bCs/>
                <w:color w:val="000000"/>
                <w:sz w:val="18"/>
                <w:szCs w:val="18"/>
              </w:rPr>
              <w:t>100.00%</w:t>
            </w:r>
          </w:p>
        </w:tc>
        <w:tc>
          <w:tcPr>
            <w:tcW w:w="1794" w:type="dxa"/>
            <w:tcMar>
              <w:top w:w="0" w:type="dxa"/>
              <w:bottom w:w="0" w:type="dxa"/>
            </w:tcMar>
            <w:vAlign w:val="center"/>
          </w:tcPr>
          <w:p w14:paraId="1EE5DA88" w14:textId="77777777" w:rsidR="004B0883" w:rsidRDefault="004B0883">
            <w:pPr>
              <w:jc w:val="right"/>
              <w:rPr>
                <w:rFonts w:eastAsia="等线"/>
                <w:b/>
                <w:bCs/>
                <w:color w:val="000000"/>
                <w:sz w:val="18"/>
                <w:szCs w:val="18"/>
              </w:rPr>
            </w:pPr>
            <w:r>
              <w:rPr>
                <w:rFonts w:eastAsia="等线"/>
                <w:b/>
                <w:bCs/>
                <w:color w:val="000000"/>
                <w:sz w:val="18"/>
                <w:szCs w:val="18"/>
              </w:rPr>
              <w:t>725.59</w:t>
            </w:r>
          </w:p>
        </w:tc>
        <w:tc>
          <w:tcPr>
            <w:tcW w:w="1794" w:type="dxa"/>
            <w:tcMar>
              <w:top w:w="0" w:type="dxa"/>
              <w:bottom w:w="0" w:type="dxa"/>
            </w:tcMar>
            <w:vAlign w:val="center"/>
          </w:tcPr>
          <w:p w14:paraId="72FD46F4" w14:textId="77777777" w:rsidR="004B0883" w:rsidRDefault="004B0883">
            <w:pPr>
              <w:jc w:val="right"/>
              <w:rPr>
                <w:rFonts w:eastAsia="等线"/>
                <w:b/>
                <w:bCs/>
                <w:color w:val="000000"/>
                <w:sz w:val="18"/>
                <w:szCs w:val="18"/>
              </w:rPr>
            </w:pPr>
            <w:r>
              <w:rPr>
                <w:rFonts w:eastAsia="等线"/>
                <w:b/>
                <w:bCs/>
                <w:color w:val="000000"/>
                <w:sz w:val="18"/>
                <w:szCs w:val="18"/>
              </w:rPr>
              <w:t>7,185.46</w:t>
            </w:r>
          </w:p>
        </w:tc>
      </w:tr>
      <w:tr w:rsidR="004B0883" w14:paraId="5ACA3C56" w14:textId="77777777">
        <w:trPr>
          <w:trHeight w:val="397"/>
          <w:jc w:val="center"/>
        </w:trPr>
        <w:tc>
          <w:tcPr>
            <w:tcW w:w="1353" w:type="dxa"/>
            <w:vMerge w:val="restart"/>
            <w:shd w:val="clear" w:color="auto" w:fill="D9D9D9"/>
            <w:tcMar>
              <w:top w:w="0" w:type="dxa"/>
              <w:bottom w:w="0" w:type="dxa"/>
            </w:tcMar>
            <w:vAlign w:val="center"/>
          </w:tcPr>
          <w:p w14:paraId="56EA7849" w14:textId="77777777" w:rsidR="004B0883" w:rsidRDefault="004B0883">
            <w:pPr>
              <w:widowControl w:val="0"/>
              <w:adjustRightInd w:val="0"/>
              <w:snapToGrid w:val="0"/>
              <w:jc w:val="center"/>
              <w:rPr>
                <w:b/>
                <w:sz w:val="18"/>
                <w:szCs w:val="18"/>
              </w:rPr>
            </w:pPr>
            <w:r>
              <w:rPr>
                <w:rFonts w:hint="eastAsia"/>
                <w:b/>
                <w:sz w:val="18"/>
                <w:szCs w:val="18"/>
              </w:rPr>
              <w:t>账龄结构</w:t>
            </w:r>
          </w:p>
        </w:tc>
        <w:tc>
          <w:tcPr>
            <w:tcW w:w="7175" w:type="dxa"/>
            <w:gridSpan w:val="4"/>
            <w:shd w:val="clear" w:color="auto" w:fill="D9D9D9"/>
            <w:tcMar>
              <w:top w:w="0" w:type="dxa"/>
              <w:bottom w:w="0" w:type="dxa"/>
            </w:tcMar>
            <w:vAlign w:val="center"/>
          </w:tcPr>
          <w:p w14:paraId="7C155E29" w14:textId="77777777" w:rsidR="004B0883" w:rsidRDefault="004B0883">
            <w:pPr>
              <w:widowControl w:val="0"/>
              <w:adjustRightInd w:val="0"/>
              <w:snapToGrid w:val="0"/>
              <w:jc w:val="center"/>
              <w:rPr>
                <w:color w:val="000000"/>
                <w:sz w:val="18"/>
                <w:szCs w:val="18"/>
              </w:rPr>
            </w:pPr>
            <w:r>
              <w:rPr>
                <w:b/>
                <w:bCs/>
                <w:color w:val="000000"/>
                <w:kern w:val="0"/>
                <w:sz w:val="18"/>
                <w:szCs w:val="18"/>
              </w:rPr>
              <w:t>2020.12.31</w:t>
            </w:r>
          </w:p>
        </w:tc>
      </w:tr>
      <w:tr w:rsidR="004B0883" w14:paraId="306A5513" w14:textId="77777777">
        <w:trPr>
          <w:trHeight w:val="397"/>
          <w:jc w:val="center"/>
        </w:trPr>
        <w:tc>
          <w:tcPr>
            <w:tcW w:w="1353" w:type="dxa"/>
            <w:vMerge/>
            <w:shd w:val="clear" w:color="auto" w:fill="D9D9D9"/>
            <w:tcMar>
              <w:top w:w="0" w:type="dxa"/>
              <w:bottom w:w="0" w:type="dxa"/>
            </w:tcMar>
            <w:vAlign w:val="center"/>
          </w:tcPr>
          <w:p w14:paraId="1B798962" w14:textId="77777777" w:rsidR="004B0883" w:rsidRDefault="004B0883">
            <w:pPr>
              <w:widowControl w:val="0"/>
              <w:adjustRightInd w:val="0"/>
              <w:snapToGrid w:val="0"/>
              <w:rPr>
                <w:b/>
                <w:sz w:val="18"/>
                <w:szCs w:val="18"/>
              </w:rPr>
            </w:pPr>
          </w:p>
        </w:tc>
        <w:tc>
          <w:tcPr>
            <w:tcW w:w="1793" w:type="dxa"/>
            <w:shd w:val="clear" w:color="auto" w:fill="D9D9D9"/>
            <w:tcMar>
              <w:top w:w="0" w:type="dxa"/>
              <w:bottom w:w="0" w:type="dxa"/>
            </w:tcMar>
            <w:vAlign w:val="center"/>
          </w:tcPr>
          <w:p w14:paraId="20983BC9" w14:textId="77777777" w:rsidR="004B0883" w:rsidRDefault="004B0883">
            <w:pPr>
              <w:widowControl w:val="0"/>
              <w:adjustRightInd w:val="0"/>
              <w:snapToGrid w:val="0"/>
              <w:jc w:val="center"/>
              <w:rPr>
                <w:b/>
                <w:sz w:val="18"/>
                <w:szCs w:val="18"/>
              </w:rPr>
            </w:pPr>
            <w:r>
              <w:rPr>
                <w:rFonts w:hint="eastAsia"/>
                <w:b/>
                <w:sz w:val="18"/>
                <w:szCs w:val="18"/>
              </w:rPr>
              <w:t>账面余额</w:t>
            </w:r>
          </w:p>
        </w:tc>
        <w:tc>
          <w:tcPr>
            <w:tcW w:w="1794" w:type="dxa"/>
            <w:shd w:val="clear" w:color="auto" w:fill="D9D9D9"/>
            <w:tcMar>
              <w:top w:w="0" w:type="dxa"/>
              <w:bottom w:w="0" w:type="dxa"/>
            </w:tcMar>
            <w:vAlign w:val="center"/>
          </w:tcPr>
          <w:p w14:paraId="0B3A56EE" w14:textId="77777777" w:rsidR="004B0883" w:rsidRDefault="004B0883">
            <w:pPr>
              <w:widowControl w:val="0"/>
              <w:adjustRightInd w:val="0"/>
              <w:snapToGrid w:val="0"/>
              <w:jc w:val="center"/>
              <w:rPr>
                <w:b/>
                <w:sz w:val="18"/>
                <w:szCs w:val="18"/>
              </w:rPr>
            </w:pPr>
            <w:r>
              <w:rPr>
                <w:rFonts w:hint="eastAsia"/>
                <w:b/>
                <w:sz w:val="18"/>
                <w:szCs w:val="18"/>
              </w:rPr>
              <w:t>比例</w:t>
            </w:r>
          </w:p>
        </w:tc>
        <w:tc>
          <w:tcPr>
            <w:tcW w:w="1794" w:type="dxa"/>
            <w:shd w:val="clear" w:color="auto" w:fill="D9D9D9"/>
            <w:tcMar>
              <w:top w:w="0" w:type="dxa"/>
              <w:bottom w:w="0" w:type="dxa"/>
            </w:tcMar>
            <w:vAlign w:val="center"/>
          </w:tcPr>
          <w:p w14:paraId="582591D2" w14:textId="77777777" w:rsidR="004B0883" w:rsidRDefault="004B0883">
            <w:pPr>
              <w:widowControl w:val="0"/>
              <w:adjustRightInd w:val="0"/>
              <w:snapToGrid w:val="0"/>
              <w:jc w:val="center"/>
              <w:rPr>
                <w:b/>
                <w:sz w:val="18"/>
                <w:szCs w:val="18"/>
              </w:rPr>
            </w:pPr>
            <w:r>
              <w:rPr>
                <w:rFonts w:hint="eastAsia"/>
                <w:b/>
                <w:sz w:val="18"/>
                <w:szCs w:val="18"/>
              </w:rPr>
              <w:t>坏账准备</w:t>
            </w:r>
          </w:p>
        </w:tc>
        <w:tc>
          <w:tcPr>
            <w:tcW w:w="1794" w:type="dxa"/>
            <w:shd w:val="clear" w:color="auto" w:fill="D9D9D9"/>
            <w:tcMar>
              <w:top w:w="0" w:type="dxa"/>
              <w:bottom w:w="0" w:type="dxa"/>
            </w:tcMar>
            <w:vAlign w:val="center"/>
          </w:tcPr>
          <w:p w14:paraId="34580952" w14:textId="77777777" w:rsidR="004B0883" w:rsidRDefault="004B0883">
            <w:pPr>
              <w:widowControl w:val="0"/>
              <w:adjustRightInd w:val="0"/>
              <w:snapToGrid w:val="0"/>
              <w:jc w:val="center"/>
              <w:rPr>
                <w:b/>
                <w:sz w:val="18"/>
                <w:szCs w:val="18"/>
              </w:rPr>
            </w:pPr>
            <w:r>
              <w:rPr>
                <w:rFonts w:hint="eastAsia"/>
                <w:b/>
                <w:sz w:val="18"/>
                <w:szCs w:val="18"/>
              </w:rPr>
              <w:t>账面价值</w:t>
            </w:r>
          </w:p>
        </w:tc>
      </w:tr>
      <w:tr w:rsidR="004B0883" w14:paraId="06B727A9" w14:textId="77777777">
        <w:trPr>
          <w:trHeight w:val="397"/>
          <w:jc w:val="center"/>
        </w:trPr>
        <w:tc>
          <w:tcPr>
            <w:tcW w:w="1353" w:type="dxa"/>
            <w:tcMar>
              <w:top w:w="0" w:type="dxa"/>
              <w:bottom w:w="0" w:type="dxa"/>
            </w:tcMar>
            <w:vAlign w:val="center"/>
          </w:tcPr>
          <w:p w14:paraId="7A4E7BE9" w14:textId="77777777" w:rsidR="004B0883" w:rsidRDefault="004B0883">
            <w:pPr>
              <w:adjustRightInd w:val="0"/>
              <w:snapToGrid w:val="0"/>
              <w:rPr>
                <w:color w:val="000000"/>
                <w:kern w:val="0"/>
                <w:sz w:val="18"/>
                <w:szCs w:val="18"/>
              </w:rPr>
            </w:pPr>
            <w:r>
              <w:rPr>
                <w:color w:val="000000"/>
                <w:kern w:val="0"/>
                <w:sz w:val="18"/>
                <w:szCs w:val="18"/>
              </w:rPr>
              <w:t>1</w:t>
            </w:r>
            <w:r>
              <w:rPr>
                <w:color w:val="000000"/>
                <w:kern w:val="0"/>
                <w:sz w:val="18"/>
                <w:szCs w:val="18"/>
              </w:rPr>
              <w:t>年以内</w:t>
            </w:r>
          </w:p>
        </w:tc>
        <w:tc>
          <w:tcPr>
            <w:tcW w:w="1793" w:type="dxa"/>
            <w:tcMar>
              <w:top w:w="0" w:type="dxa"/>
              <w:bottom w:w="0" w:type="dxa"/>
            </w:tcMar>
            <w:vAlign w:val="center"/>
          </w:tcPr>
          <w:p w14:paraId="2FF49AD2" w14:textId="77777777" w:rsidR="004B0883" w:rsidRDefault="004B0883">
            <w:pPr>
              <w:jc w:val="right"/>
              <w:rPr>
                <w:rFonts w:eastAsia="等线"/>
                <w:color w:val="000000"/>
                <w:kern w:val="0"/>
                <w:sz w:val="18"/>
                <w:szCs w:val="18"/>
              </w:rPr>
            </w:pPr>
            <w:r>
              <w:rPr>
                <w:rFonts w:eastAsia="等线"/>
                <w:color w:val="000000"/>
                <w:sz w:val="18"/>
                <w:szCs w:val="18"/>
              </w:rPr>
              <w:t>4,800.92</w:t>
            </w:r>
          </w:p>
        </w:tc>
        <w:tc>
          <w:tcPr>
            <w:tcW w:w="1794" w:type="dxa"/>
            <w:tcMar>
              <w:top w:w="0" w:type="dxa"/>
              <w:bottom w:w="0" w:type="dxa"/>
            </w:tcMar>
            <w:vAlign w:val="center"/>
          </w:tcPr>
          <w:p w14:paraId="55E449D2" w14:textId="77777777" w:rsidR="004B0883" w:rsidRDefault="004B0883">
            <w:pPr>
              <w:jc w:val="right"/>
              <w:rPr>
                <w:rFonts w:eastAsia="等线"/>
                <w:color w:val="000000"/>
                <w:kern w:val="0"/>
                <w:sz w:val="18"/>
                <w:szCs w:val="18"/>
              </w:rPr>
            </w:pPr>
            <w:r>
              <w:rPr>
                <w:rFonts w:eastAsia="等线"/>
                <w:color w:val="000000"/>
                <w:sz w:val="18"/>
                <w:szCs w:val="18"/>
              </w:rPr>
              <w:t>86.00%</w:t>
            </w:r>
          </w:p>
        </w:tc>
        <w:tc>
          <w:tcPr>
            <w:tcW w:w="1794" w:type="dxa"/>
            <w:tcMar>
              <w:top w:w="0" w:type="dxa"/>
              <w:bottom w:w="0" w:type="dxa"/>
            </w:tcMar>
            <w:vAlign w:val="center"/>
          </w:tcPr>
          <w:p w14:paraId="31F0EDD5" w14:textId="77777777" w:rsidR="004B0883" w:rsidRDefault="004B0883">
            <w:pPr>
              <w:jc w:val="right"/>
              <w:rPr>
                <w:rFonts w:eastAsia="等线"/>
                <w:color w:val="000000"/>
                <w:kern w:val="0"/>
                <w:sz w:val="18"/>
                <w:szCs w:val="18"/>
              </w:rPr>
            </w:pPr>
            <w:r>
              <w:rPr>
                <w:rFonts w:eastAsia="等线"/>
                <w:color w:val="000000"/>
                <w:sz w:val="18"/>
                <w:szCs w:val="18"/>
              </w:rPr>
              <w:t>240.05</w:t>
            </w:r>
          </w:p>
        </w:tc>
        <w:tc>
          <w:tcPr>
            <w:tcW w:w="1794" w:type="dxa"/>
            <w:tcMar>
              <w:top w:w="0" w:type="dxa"/>
              <w:bottom w:w="0" w:type="dxa"/>
            </w:tcMar>
            <w:vAlign w:val="center"/>
          </w:tcPr>
          <w:p w14:paraId="02E0D77A" w14:textId="77777777" w:rsidR="004B0883" w:rsidRDefault="004B0883">
            <w:pPr>
              <w:jc w:val="right"/>
              <w:rPr>
                <w:rFonts w:eastAsia="等线"/>
                <w:color w:val="000000"/>
                <w:kern w:val="0"/>
                <w:sz w:val="18"/>
                <w:szCs w:val="18"/>
              </w:rPr>
            </w:pPr>
            <w:r>
              <w:rPr>
                <w:rFonts w:eastAsia="等线"/>
                <w:color w:val="000000"/>
                <w:sz w:val="18"/>
                <w:szCs w:val="18"/>
              </w:rPr>
              <w:t>4,560.87</w:t>
            </w:r>
          </w:p>
        </w:tc>
      </w:tr>
      <w:tr w:rsidR="004B0883" w14:paraId="4C447234" w14:textId="77777777">
        <w:trPr>
          <w:trHeight w:val="397"/>
          <w:jc w:val="center"/>
        </w:trPr>
        <w:tc>
          <w:tcPr>
            <w:tcW w:w="1353" w:type="dxa"/>
            <w:tcMar>
              <w:top w:w="0" w:type="dxa"/>
              <w:bottom w:w="0" w:type="dxa"/>
            </w:tcMar>
            <w:vAlign w:val="center"/>
          </w:tcPr>
          <w:p w14:paraId="3B7924B0" w14:textId="77777777" w:rsidR="004B0883" w:rsidRDefault="004B0883">
            <w:pPr>
              <w:adjustRightInd w:val="0"/>
              <w:snapToGrid w:val="0"/>
              <w:rPr>
                <w:color w:val="000000"/>
                <w:kern w:val="0"/>
                <w:sz w:val="18"/>
                <w:szCs w:val="18"/>
              </w:rPr>
            </w:pPr>
            <w:r>
              <w:rPr>
                <w:color w:val="000000"/>
                <w:kern w:val="0"/>
                <w:sz w:val="18"/>
                <w:szCs w:val="18"/>
              </w:rPr>
              <w:t>1</w:t>
            </w:r>
            <w:r>
              <w:rPr>
                <w:color w:val="000000"/>
                <w:kern w:val="0"/>
                <w:sz w:val="18"/>
                <w:szCs w:val="18"/>
              </w:rPr>
              <w:t>至</w:t>
            </w:r>
            <w:r>
              <w:rPr>
                <w:color w:val="000000"/>
                <w:kern w:val="0"/>
                <w:sz w:val="18"/>
                <w:szCs w:val="18"/>
              </w:rPr>
              <w:t>2</w:t>
            </w:r>
            <w:r>
              <w:rPr>
                <w:color w:val="000000"/>
                <w:kern w:val="0"/>
                <w:sz w:val="18"/>
                <w:szCs w:val="18"/>
              </w:rPr>
              <w:t>年</w:t>
            </w:r>
          </w:p>
        </w:tc>
        <w:tc>
          <w:tcPr>
            <w:tcW w:w="1793" w:type="dxa"/>
            <w:tcMar>
              <w:top w:w="0" w:type="dxa"/>
              <w:bottom w:w="0" w:type="dxa"/>
            </w:tcMar>
            <w:vAlign w:val="center"/>
          </w:tcPr>
          <w:p w14:paraId="31813771" w14:textId="77777777" w:rsidR="004B0883" w:rsidRDefault="004B0883">
            <w:pPr>
              <w:jc w:val="right"/>
              <w:rPr>
                <w:rFonts w:eastAsia="等线"/>
                <w:color w:val="000000"/>
                <w:sz w:val="18"/>
                <w:szCs w:val="18"/>
              </w:rPr>
            </w:pPr>
            <w:r>
              <w:rPr>
                <w:rFonts w:eastAsia="等线"/>
                <w:color w:val="000000"/>
                <w:sz w:val="18"/>
                <w:szCs w:val="18"/>
              </w:rPr>
              <w:t>341.67</w:t>
            </w:r>
          </w:p>
        </w:tc>
        <w:tc>
          <w:tcPr>
            <w:tcW w:w="1794" w:type="dxa"/>
            <w:tcMar>
              <w:top w:w="0" w:type="dxa"/>
              <w:bottom w:w="0" w:type="dxa"/>
            </w:tcMar>
            <w:vAlign w:val="center"/>
          </w:tcPr>
          <w:p w14:paraId="4538A77E" w14:textId="77777777" w:rsidR="004B0883" w:rsidRDefault="004B0883">
            <w:pPr>
              <w:jc w:val="right"/>
              <w:rPr>
                <w:rFonts w:eastAsia="等线"/>
                <w:color w:val="000000"/>
                <w:sz w:val="18"/>
                <w:szCs w:val="18"/>
              </w:rPr>
            </w:pPr>
            <w:r>
              <w:rPr>
                <w:rFonts w:eastAsia="等线"/>
                <w:color w:val="000000"/>
                <w:sz w:val="18"/>
                <w:szCs w:val="18"/>
              </w:rPr>
              <w:t>6.12%</w:t>
            </w:r>
          </w:p>
        </w:tc>
        <w:tc>
          <w:tcPr>
            <w:tcW w:w="1794" w:type="dxa"/>
            <w:tcMar>
              <w:top w:w="0" w:type="dxa"/>
              <w:bottom w:w="0" w:type="dxa"/>
            </w:tcMar>
            <w:vAlign w:val="center"/>
          </w:tcPr>
          <w:p w14:paraId="297E6484" w14:textId="77777777" w:rsidR="004B0883" w:rsidRDefault="004B0883">
            <w:pPr>
              <w:jc w:val="right"/>
              <w:rPr>
                <w:rFonts w:eastAsia="等线"/>
                <w:color w:val="000000"/>
                <w:sz w:val="18"/>
                <w:szCs w:val="18"/>
              </w:rPr>
            </w:pPr>
            <w:r>
              <w:rPr>
                <w:rFonts w:eastAsia="等线"/>
                <w:color w:val="000000"/>
                <w:sz w:val="18"/>
                <w:szCs w:val="18"/>
              </w:rPr>
              <w:t>34.17</w:t>
            </w:r>
          </w:p>
        </w:tc>
        <w:tc>
          <w:tcPr>
            <w:tcW w:w="1794" w:type="dxa"/>
            <w:tcMar>
              <w:top w:w="0" w:type="dxa"/>
              <w:bottom w:w="0" w:type="dxa"/>
            </w:tcMar>
            <w:vAlign w:val="center"/>
          </w:tcPr>
          <w:p w14:paraId="70E2EA53" w14:textId="77777777" w:rsidR="004B0883" w:rsidRDefault="004B0883">
            <w:pPr>
              <w:jc w:val="right"/>
              <w:rPr>
                <w:rFonts w:eastAsia="等线"/>
                <w:color w:val="000000"/>
                <w:sz w:val="18"/>
                <w:szCs w:val="18"/>
              </w:rPr>
            </w:pPr>
            <w:r>
              <w:rPr>
                <w:rFonts w:eastAsia="等线"/>
                <w:color w:val="000000"/>
                <w:sz w:val="18"/>
                <w:szCs w:val="18"/>
              </w:rPr>
              <w:t>307.50</w:t>
            </w:r>
          </w:p>
        </w:tc>
      </w:tr>
      <w:tr w:rsidR="004B0883" w14:paraId="69364F9E" w14:textId="77777777">
        <w:trPr>
          <w:trHeight w:val="397"/>
          <w:jc w:val="center"/>
        </w:trPr>
        <w:tc>
          <w:tcPr>
            <w:tcW w:w="1353" w:type="dxa"/>
            <w:tcMar>
              <w:top w:w="0" w:type="dxa"/>
              <w:bottom w:w="0" w:type="dxa"/>
            </w:tcMar>
            <w:vAlign w:val="center"/>
          </w:tcPr>
          <w:p w14:paraId="78DE1F10" w14:textId="77777777" w:rsidR="004B0883" w:rsidRDefault="004B0883">
            <w:pPr>
              <w:adjustRightInd w:val="0"/>
              <w:snapToGrid w:val="0"/>
              <w:rPr>
                <w:color w:val="000000"/>
                <w:kern w:val="0"/>
                <w:sz w:val="18"/>
                <w:szCs w:val="18"/>
              </w:rPr>
            </w:pPr>
            <w:r>
              <w:rPr>
                <w:color w:val="000000"/>
                <w:kern w:val="0"/>
                <w:sz w:val="18"/>
                <w:szCs w:val="18"/>
              </w:rPr>
              <w:t>2</w:t>
            </w:r>
            <w:r>
              <w:rPr>
                <w:color w:val="000000"/>
                <w:kern w:val="0"/>
                <w:sz w:val="18"/>
                <w:szCs w:val="18"/>
              </w:rPr>
              <w:t>至</w:t>
            </w:r>
            <w:r>
              <w:rPr>
                <w:color w:val="000000"/>
                <w:kern w:val="0"/>
                <w:sz w:val="18"/>
                <w:szCs w:val="18"/>
              </w:rPr>
              <w:t>3</w:t>
            </w:r>
            <w:r>
              <w:rPr>
                <w:color w:val="000000"/>
                <w:kern w:val="0"/>
                <w:sz w:val="18"/>
                <w:szCs w:val="18"/>
              </w:rPr>
              <w:t>年</w:t>
            </w:r>
          </w:p>
        </w:tc>
        <w:tc>
          <w:tcPr>
            <w:tcW w:w="1793" w:type="dxa"/>
            <w:tcMar>
              <w:top w:w="0" w:type="dxa"/>
              <w:bottom w:w="0" w:type="dxa"/>
            </w:tcMar>
            <w:vAlign w:val="center"/>
          </w:tcPr>
          <w:p w14:paraId="7C5A9169" w14:textId="77777777" w:rsidR="004B0883" w:rsidRDefault="004B0883">
            <w:pPr>
              <w:jc w:val="right"/>
              <w:rPr>
                <w:rFonts w:eastAsia="等线"/>
                <w:color w:val="000000"/>
                <w:sz w:val="18"/>
                <w:szCs w:val="18"/>
              </w:rPr>
            </w:pPr>
            <w:r>
              <w:rPr>
                <w:rFonts w:eastAsia="等线"/>
                <w:color w:val="000000"/>
                <w:sz w:val="18"/>
                <w:szCs w:val="18"/>
              </w:rPr>
              <w:t>249.79</w:t>
            </w:r>
          </w:p>
        </w:tc>
        <w:tc>
          <w:tcPr>
            <w:tcW w:w="1794" w:type="dxa"/>
            <w:tcMar>
              <w:top w:w="0" w:type="dxa"/>
              <w:bottom w:w="0" w:type="dxa"/>
            </w:tcMar>
            <w:vAlign w:val="center"/>
          </w:tcPr>
          <w:p w14:paraId="398958DD" w14:textId="77777777" w:rsidR="004B0883" w:rsidRDefault="004B0883">
            <w:pPr>
              <w:jc w:val="right"/>
              <w:rPr>
                <w:rFonts w:eastAsia="等线"/>
                <w:color w:val="000000"/>
                <w:sz w:val="18"/>
                <w:szCs w:val="18"/>
              </w:rPr>
            </w:pPr>
            <w:r>
              <w:rPr>
                <w:rFonts w:eastAsia="等线"/>
                <w:color w:val="000000"/>
                <w:sz w:val="18"/>
                <w:szCs w:val="18"/>
              </w:rPr>
              <w:t>4.47%</w:t>
            </w:r>
          </w:p>
        </w:tc>
        <w:tc>
          <w:tcPr>
            <w:tcW w:w="1794" w:type="dxa"/>
            <w:tcMar>
              <w:top w:w="0" w:type="dxa"/>
              <w:bottom w:w="0" w:type="dxa"/>
            </w:tcMar>
            <w:vAlign w:val="center"/>
          </w:tcPr>
          <w:p w14:paraId="6522E987" w14:textId="77777777" w:rsidR="004B0883" w:rsidRDefault="004B0883">
            <w:pPr>
              <w:jc w:val="right"/>
              <w:rPr>
                <w:rFonts w:eastAsia="等线"/>
                <w:color w:val="000000"/>
                <w:sz w:val="18"/>
                <w:szCs w:val="18"/>
              </w:rPr>
            </w:pPr>
            <w:r>
              <w:rPr>
                <w:rFonts w:eastAsia="等线"/>
                <w:color w:val="000000"/>
                <w:sz w:val="18"/>
                <w:szCs w:val="18"/>
              </w:rPr>
              <w:t>74.94</w:t>
            </w:r>
          </w:p>
        </w:tc>
        <w:tc>
          <w:tcPr>
            <w:tcW w:w="1794" w:type="dxa"/>
            <w:tcMar>
              <w:top w:w="0" w:type="dxa"/>
              <w:bottom w:w="0" w:type="dxa"/>
            </w:tcMar>
            <w:vAlign w:val="center"/>
          </w:tcPr>
          <w:p w14:paraId="0765D8AE" w14:textId="77777777" w:rsidR="004B0883" w:rsidRDefault="004B0883">
            <w:pPr>
              <w:jc w:val="right"/>
              <w:rPr>
                <w:rFonts w:eastAsia="等线"/>
                <w:color w:val="000000"/>
                <w:sz w:val="18"/>
                <w:szCs w:val="18"/>
              </w:rPr>
            </w:pPr>
            <w:r>
              <w:rPr>
                <w:rFonts w:eastAsia="等线"/>
                <w:color w:val="000000"/>
                <w:sz w:val="18"/>
                <w:szCs w:val="18"/>
              </w:rPr>
              <w:t>174.86</w:t>
            </w:r>
          </w:p>
        </w:tc>
      </w:tr>
      <w:tr w:rsidR="004B0883" w14:paraId="7ECFCA56" w14:textId="77777777">
        <w:trPr>
          <w:trHeight w:val="397"/>
          <w:jc w:val="center"/>
        </w:trPr>
        <w:tc>
          <w:tcPr>
            <w:tcW w:w="1353" w:type="dxa"/>
            <w:tcMar>
              <w:top w:w="0" w:type="dxa"/>
              <w:bottom w:w="0" w:type="dxa"/>
            </w:tcMar>
            <w:vAlign w:val="center"/>
          </w:tcPr>
          <w:p w14:paraId="63995A61" w14:textId="77777777" w:rsidR="004B0883" w:rsidRDefault="004B0883">
            <w:pPr>
              <w:adjustRightInd w:val="0"/>
              <w:snapToGrid w:val="0"/>
              <w:rPr>
                <w:color w:val="000000"/>
                <w:kern w:val="0"/>
                <w:sz w:val="18"/>
                <w:szCs w:val="18"/>
              </w:rPr>
            </w:pPr>
            <w:r>
              <w:rPr>
                <w:color w:val="000000"/>
                <w:kern w:val="0"/>
                <w:sz w:val="18"/>
                <w:szCs w:val="18"/>
              </w:rPr>
              <w:t>3</w:t>
            </w:r>
            <w:r>
              <w:rPr>
                <w:color w:val="000000"/>
                <w:kern w:val="0"/>
                <w:sz w:val="18"/>
                <w:szCs w:val="18"/>
              </w:rPr>
              <w:t>至</w:t>
            </w:r>
            <w:r>
              <w:rPr>
                <w:color w:val="000000"/>
                <w:kern w:val="0"/>
                <w:sz w:val="18"/>
                <w:szCs w:val="18"/>
              </w:rPr>
              <w:t>4</w:t>
            </w:r>
            <w:r>
              <w:rPr>
                <w:color w:val="000000"/>
                <w:kern w:val="0"/>
                <w:sz w:val="18"/>
                <w:szCs w:val="18"/>
              </w:rPr>
              <w:t>年</w:t>
            </w:r>
          </w:p>
        </w:tc>
        <w:tc>
          <w:tcPr>
            <w:tcW w:w="1793" w:type="dxa"/>
            <w:tcMar>
              <w:top w:w="0" w:type="dxa"/>
              <w:bottom w:w="0" w:type="dxa"/>
            </w:tcMar>
            <w:vAlign w:val="center"/>
          </w:tcPr>
          <w:p w14:paraId="0D2D305B" w14:textId="77777777" w:rsidR="004B0883" w:rsidRDefault="004B0883">
            <w:pPr>
              <w:jc w:val="right"/>
              <w:rPr>
                <w:rFonts w:eastAsia="等线"/>
                <w:color w:val="000000"/>
                <w:sz w:val="18"/>
                <w:szCs w:val="18"/>
              </w:rPr>
            </w:pPr>
            <w:r>
              <w:rPr>
                <w:rFonts w:eastAsia="等线"/>
                <w:color w:val="000000"/>
                <w:sz w:val="18"/>
                <w:szCs w:val="18"/>
              </w:rPr>
              <w:t>37.10</w:t>
            </w:r>
          </w:p>
        </w:tc>
        <w:tc>
          <w:tcPr>
            <w:tcW w:w="1794" w:type="dxa"/>
            <w:tcMar>
              <w:top w:w="0" w:type="dxa"/>
              <w:bottom w:w="0" w:type="dxa"/>
            </w:tcMar>
            <w:vAlign w:val="center"/>
          </w:tcPr>
          <w:p w14:paraId="19A4C2DE" w14:textId="77777777" w:rsidR="004B0883" w:rsidRDefault="004B0883">
            <w:pPr>
              <w:jc w:val="right"/>
              <w:rPr>
                <w:rFonts w:eastAsia="等线"/>
                <w:color w:val="000000"/>
                <w:sz w:val="18"/>
                <w:szCs w:val="18"/>
              </w:rPr>
            </w:pPr>
            <w:r>
              <w:rPr>
                <w:rFonts w:eastAsia="等线"/>
                <w:color w:val="000000"/>
                <w:sz w:val="18"/>
                <w:szCs w:val="18"/>
              </w:rPr>
              <w:t>0.66%</w:t>
            </w:r>
          </w:p>
        </w:tc>
        <w:tc>
          <w:tcPr>
            <w:tcW w:w="1794" w:type="dxa"/>
            <w:tcMar>
              <w:top w:w="0" w:type="dxa"/>
              <w:bottom w:w="0" w:type="dxa"/>
            </w:tcMar>
            <w:vAlign w:val="center"/>
          </w:tcPr>
          <w:p w14:paraId="60D46DC7" w14:textId="77777777" w:rsidR="004B0883" w:rsidRDefault="004B0883">
            <w:pPr>
              <w:jc w:val="right"/>
              <w:rPr>
                <w:rFonts w:eastAsia="等线"/>
                <w:color w:val="000000"/>
                <w:sz w:val="18"/>
                <w:szCs w:val="18"/>
              </w:rPr>
            </w:pPr>
            <w:r>
              <w:rPr>
                <w:rFonts w:eastAsia="等线"/>
                <w:color w:val="000000"/>
                <w:sz w:val="18"/>
                <w:szCs w:val="18"/>
              </w:rPr>
              <w:t>18.55</w:t>
            </w:r>
          </w:p>
        </w:tc>
        <w:tc>
          <w:tcPr>
            <w:tcW w:w="1794" w:type="dxa"/>
            <w:tcMar>
              <w:top w:w="0" w:type="dxa"/>
              <w:bottom w:w="0" w:type="dxa"/>
            </w:tcMar>
            <w:vAlign w:val="center"/>
          </w:tcPr>
          <w:p w14:paraId="50844ECC" w14:textId="77777777" w:rsidR="004B0883" w:rsidRDefault="004B0883">
            <w:pPr>
              <w:jc w:val="right"/>
              <w:rPr>
                <w:rFonts w:eastAsia="等线"/>
                <w:color w:val="000000"/>
                <w:sz w:val="18"/>
                <w:szCs w:val="18"/>
              </w:rPr>
            </w:pPr>
            <w:r>
              <w:rPr>
                <w:rFonts w:eastAsia="等线"/>
                <w:color w:val="000000"/>
                <w:sz w:val="18"/>
                <w:szCs w:val="18"/>
              </w:rPr>
              <w:t>18.55</w:t>
            </w:r>
          </w:p>
        </w:tc>
      </w:tr>
      <w:tr w:rsidR="004B0883" w14:paraId="05D3FCCD" w14:textId="77777777">
        <w:trPr>
          <w:trHeight w:val="397"/>
          <w:jc w:val="center"/>
        </w:trPr>
        <w:tc>
          <w:tcPr>
            <w:tcW w:w="1353" w:type="dxa"/>
            <w:tcMar>
              <w:top w:w="0" w:type="dxa"/>
              <w:bottom w:w="0" w:type="dxa"/>
            </w:tcMar>
            <w:vAlign w:val="center"/>
          </w:tcPr>
          <w:p w14:paraId="04924A78" w14:textId="77777777" w:rsidR="004B0883" w:rsidRDefault="004B0883">
            <w:pPr>
              <w:adjustRightInd w:val="0"/>
              <w:snapToGrid w:val="0"/>
              <w:rPr>
                <w:color w:val="000000"/>
                <w:kern w:val="0"/>
                <w:sz w:val="18"/>
                <w:szCs w:val="18"/>
              </w:rPr>
            </w:pPr>
            <w:r>
              <w:rPr>
                <w:color w:val="000000"/>
                <w:kern w:val="0"/>
                <w:sz w:val="18"/>
                <w:szCs w:val="18"/>
              </w:rPr>
              <w:t>4</w:t>
            </w:r>
            <w:r>
              <w:rPr>
                <w:color w:val="000000"/>
                <w:kern w:val="0"/>
                <w:sz w:val="18"/>
                <w:szCs w:val="18"/>
              </w:rPr>
              <w:t>至</w:t>
            </w:r>
            <w:r>
              <w:rPr>
                <w:color w:val="000000"/>
                <w:kern w:val="0"/>
                <w:sz w:val="18"/>
                <w:szCs w:val="18"/>
              </w:rPr>
              <w:t>5</w:t>
            </w:r>
            <w:r>
              <w:rPr>
                <w:color w:val="000000"/>
                <w:kern w:val="0"/>
                <w:sz w:val="18"/>
                <w:szCs w:val="18"/>
              </w:rPr>
              <w:t>年</w:t>
            </w:r>
          </w:p>
        </w:tc>
        <w:tc>
          <w:tcPr>
            <w:tcW w:w="1793" w:type="dxa"/>
            <w:tcMar>
              <w:top w:w="0" w:type="dxa"/>
              <w:bottom w:w="0" w:type="dxa"/>
            </w:tcMar>
            <w:vAlign w:val="center"/>
          </w:tcPr>
          <w:p w14:paraId="7B3F8F91" w14:textId="77777777" w:rsidR="004B0883" w:rsidRDefault="004B0883">
            <w:pPr>
              <w:jc w:val="right"/>
              <w:rPr>
                <w:rFonts w:eastAsia="等线"/>
                <w:color w:val="000000"/>
                <w:sz w:val="18"/>
                <w:szCs w:val="18"/>
              </w:rPr>
            </w:pPr>
            <w:r>
              <w:rPr>
                <w:rFonts w:eastAsia="等线"/>
                <w:color w:val="000000"/>
                <w:sz w:val="18"/>
                <w:szCs w:val="18"/>
              </w:rPr>
              <w:t>113.06</w:t>
            </w:r>
          </w:p>
        </w:tc>
        <w:tc>
          <w:tcPr>
            <w:tcW w:w="1794" w:type="dxa"/>
            <w:tcMar>
              <w:top w:w="0" w:type="dxa"/>
              <w:bottom w:w="0" w:type="dxa"/>
            </w:tcMar>
            <w:vAlign w:val="center"/>
          </w:tcPr>
          <w:p w14:paraId="5073B3CC" w14:textId="77777777" w:rsidR="004B0883" w:rsidRDefault="004B0883">
            <w:pPr>
              <w:jc w:val="right"/>
              <w:rPr>
                <w:rFonts w:eastAsia="等线"/>
                <w:color w:val="000000"/>
                <w:sz w:val="18"/>
                <w:szCs w:val="18"/>
              </w:rPr>
            </w:pPr>
            <w:r>
              <w:rPr>
                <w:rFonts w:eastAsia="等线"/>
                <w:color w:val="000000"/>
                <w:sz w:val="18"/>
                <w:szCs w:val="18"/>
              </w:rPr>
              <w:t>2.03%</w:t>
            </w:r>
          </w:p>
        </w:tc>
        <w:tc>
          <w:tcPr>
            <w:tcW w:w="1794" w:type="dxa"/>
            <w:tcMar>
              <w:top w:w="0" w:type="dxa"/>
              <w:bottom w:w="0" w:type="dxa"/>
            </w:tcMar>
            <w:vAlign w:val="center"/>
          </w:tcPr>
          <w:p w14:paraId="01C57859" w14:textId="77777777" w:rsidR="004B0883" w:rsidRDefault="004B0883">
            <w:pPr>
              <w:jc w:val="right"/>
              <w:rPr>
                <w:rFonts w:eastAsia="等线"/>
                <w:color w:val="000000"/>
                <w:sz w:val="18"/>
                <w:szCs w:val="18"/>
              </w:rPr>
            </w:pPr>
            <w:r>
              <w:rPr>
                <w:rFonts w:eastAsia="等线"/>
                <w:color w:val="000000"/>
                <w:sz w:val="18"/>
                <w:szCs w:val="18"/>
              </w:rPr>
              <w:t>90.45</w:t>
            </w:r>
          </w:p>
        </w:tc>
        <w:tc>
          <w:tcPr>
            <w:tcW w:w="1794" w:type="dxa"/>
            <w:tcMar>
              <w:top w:w="0" w:type="dxa"/>
              <w:bottom w:w="0" w:type="dxa"/>
            </w:tcMar>
            <w:vAlign w:val="center"/>
          </w:tcPr>
          <w:p w14:paraId="0FA69CA4" w14:textId="77777777" w:rsidR="004B0883" w:rsidRDefault="004B0883">
            <w:pPr>
              <w:jc w:val="right"/>
              <w:rPr>
                <w:rFonts w:eastAsia="等线"/>
                <w:color w:val="000000"/>
                <w:sz w:val="18"/>
                <w:szCs w:val="18"/>
              </w:rPr>
            </w:pPr>
            <w:r>
              <w:rPr>
                <w:rFonts w:eastAsia="等线"/>
                <w:color w:val="000000"/>
                <w:sz w:val="18"/>
                <w:szCs w:val="18"/>
              </w:rPr>
              <w:t>22.61</w:t>
            </w:r>
          </w:p>
        </w:tc>
      </w:tr>
      <w:tr w:rsidR="004B0883" w14:paraId="3472F4F8" w14:textId="77777777">
        <w:trPr>
          <w:trHeight w:val="397"/>
          <w:jc w:val="center"/>
        </w:trPr>
        <w:tc>
          <w:tcPr>
            <w:tcW w:w="1353" w:type="dxa"/>
            <w:tcMar>
              <w:top w:w="0" w:type="dxa"/>
              <w:bottom w:w="0" w:type="dxa"/>
            </w:tcMar>
            <w:vAlign w:val="center"/>
          </w:tcPr>
          <w:p w14:paraId="3095F7F3" w14:textId="77777777" w:rsidR="004B0883" w:rsidRDefault="004B0883">
            <w:pPr>
              <w:adjustRightInd w:val="0"/>
              <w:snapToGrid w:val="0"/>
              <w:rPr>
                <w:color w:val="000000"/>
                <w:kern w:val="0"/>
                <w:sz w:val="18"/>
                <w:szCs w:val="18"/>
              </w:rPr>
            </w:pPr>
            <w:r>
              <w:rPr>
                <w:color w:val="000000"/>
                <w:kern w:val="0"/>
                <w:sz w:val="18"/>
                <w:szCs w:val="18"/>
              </w:rPr>
              <w:t>5</w:t>
            </w:r>
            <w:r>
              <w:rPr>
                <w:color w:val="000000"/>
                <w:kern w:val="0"/>
                <w:sz w:val="18"/>
                <w:szCs w:val="18"/>
              </w:rPr>
              <w:t>年以上</w:t>
            </w:r>
          </w:p>
        </w:tc>
        <w:tc>
          <w:tcPr>
            <w:tcW w:w="1793" w:type="dxa"/>
            <w:tcMar>
              <w:top w:w="0" w:type="dxa"/>
              <w:bottom w:w="0" w:type="dxa"/>
            </w:tcMar>
            <w:vAlign w:val="center"/>
          </w:tcPr>
          <w:p w14:paraId="0455F6F4" w14:textId="77777777" w:rsidR="004B0883" w:rsidRDefault="004B0883">
            <w:pPr>
              <w:jc w:val="right"/>
              <w:rPr>
                <w:rFonts w:eastAsia="等线"/>
                <w:color w:val="000000"/>
                <w:sz w:val="18"/>
                <w:szCs w:val="18"/>
              </w:rPr>
            </w:pPr>
            <w:r>
              <w:rPr>
                <w:rFonts w:eastAsia="等线"/>
                <w:color w:val="000000"/>
                <w:sz w:val="18"/>
                <w:szCs w:val="18"/>
              </w:rPr>
              <w:t>39.73</w:t>
            </w:r>
          </w:p>
        </w:tc>
        <w:tc>
          <w:tcPr>
            <w:tcW w:w="1794" w:type="dxa"/>
            <w:tcMar>
              <w:top w:w="0" w:type="dxa"/>
              <w:bottom w:w="0" w:type="dxa"/>
            </w:tcMar>
            <w:vAlign w:val="center"/>
          </w:tcPr>
          <w:p w14:paraId="70EFA1AA" w14:textId="77777777" w:rsidR="004B0883" w:rsidRDefault="004B0883">
            <w:pPr>
              <w:jc w:val="right"/>
              <w:rPr>
                <w:rFonts w:eastAsia="等线"/>
                <w:color w:val="000000"/>
                <w:sz w:val="18"/>
                <w:szCs w:val="18"/>
              </w:rPr>
            </w:pPr>
            <w:r>
              <w:rPr>
                <w:rFonts w:eastAsia="等线"/>
                <w:color w:val="000000"/>
                <w:sz w:val="18"/>
                <w:szCs w:val="18"/>
              </w:rPr>
              <w:t>0.71%</w:t>
            </w:r>
          </w:p>
        </w:tc>
        <w:tc>
          <w:tcPr>
            <w:tcW w:w="1794" w:type="dxa"/>
            <w:tcMar>
              <w:top w:w="0" w:type="dxa"/>
              <w:bottom w:w="0" w:type="dxa"/>
            </w:tcMar>
            <w:vAlign w:val="center"/>
          </w:tcPr>
          <w:p w14:paraId="3419EB59" w14:textId="77777777" w:rsidR="004B0883" w:rsidRDefault="004B0883">
            <w:pPr>
              <w:jc w:val="right"/>
              <w:rPr>
                <w:rFonts w:eastAsia="等线"/>
                <w:color w:val="000000"/>
                <w:sz w:val="18"/>
                <w:szCs w:val="18"/>
              </w:rPr>
            </w:pPr>
            <w:r>
              <w:rPr>
                <w:rFonts w:eastAsia="等线"/>
                <w:color w:val="000000"/>
                <w:sz w:val="18"/>
                <w:szCs w:val="18"/>
              </w:rPr>
              <w:t>39.73</w:t>
            </w:r>
          </w:p>
        </w:tc>
        <w:tc>
          <w:tcPr>
            <w:tcW w:w="1794" w:type="dxa"/>
            <w:tcMar>
              <w:top w:w="0" w:type="dxa"/>
              <w:bottom w:w="0" w:type="dxa"/>
            </w:tcMar>
            <w:vAlign w:val="center"/>
          </w:tcPr>
          <w:p w14:paraId="61668115" w14:textId="77777777" w:rsidR="004B0883" w:rsidRDefault="004B0883">
            <w:pPr>
              <w:jc w:val="right"/>
              <w:rPr>
                <w:rFonts w:eastAsia="等线"/>
                <w:color w:val="000000"/>
                <w:sz w:val="18"/>
                <w:szCs w:val="18"/>
              </w:rPr>
            </w:pPr>
            <w:r>
              <w:rPr>
                <w:rFonts w:eastAsia="等线"/>
                <w:color w:val="000000"/>
                <w:sz w:val="18"/>
                <w:szCs w:val="18"/>
              </w:rPr>
              <w:t>-</w:t>
            </w:r>
          </w:p>
        </w:tc>
      </w:tr>
      <w:tr w:rsidR="004B0883" w14:paraId="0377FAC6" w14:textId="77777777">
        <w:trPr>
          <w:trHeight w:val="397"/>
          <w:jc w:val="center"/>
        </w:trPr>
        <w:tc>
          <w:tcPr>
            <w:tcW w:w="1353" w:type="dxa"/>
            <w:tcMar>
              <w:top w:w="0" w:type="dxa"/>
              <w:bottom w:w="0" w:type="dxa"/>
            </w:tcMar>
            <w:vAlign w:val="center"/>
          </w:tcPr>
          <w:p w14:paraId="392CAEFA" w14:textId="77777777" w:rsidR="004B0883" w:rsidRDefault="004B0883">
            <w:pPr>
              <w:widowControl w:val="0"/>
              <w:adjustRightInd w:val="0"/>
              <w:snapToGrid w:val="0"/>
              <w:jc w:val="center"/>
              <w:rPr>
                <w:b/>
                <w:sz w:val="18"/>
                <w:szCs w:val="18"/>
              </w:rPr>
            </w:pPr>
            <w:r>
              <w:rPr>
                <w:rFonts w:hint="eastAsia"/>
                <w:b/>
                <w:sz w:val="18"/>
                <w:szCs w:val="18"/>
              </w:rPr>
              <w:t>合计</w:t>
            </w:r>
          </w:p>
        </w:tc>
        <w:tc>
          <w:tcPr>
            <w:tcW w:w="1793" w:type="dxa"/>
            <w:tcMar>
              <w:top w:w="0" w:type="dxa"/>
              <w:bottom w:w="0" w:type="dxa"/>
            </w:tcMar>
            <w:vAlign w:val="center"/>
          </w:tcPr>
          <w:p w14:paraId="02418158" w14:textId="77777777" w:rsidR="004B0883" w:rsidRDefault="004B0883">
            <w:pPr>
              <w:jc w:val="right"/>
              <w:rPr>
                <w:rFonts w:eastAsia="等线"/>
                <w:b/>
                <w:bCs/>
                <w:color w:val="000000"/>
                <w:sz w:val="18"/>
                <w:szCs w:val="18"/>
              </w:rPr>
            </w:pPr>
            <w:r>
              <w:rPr>
                <w:rFonts w:eastAsia="等线"/>
                <w:b/>
                <w:bCs/>
                <w:color w:val="000000"/>
                <w:sz w:val="18"/>
                <w:szCs w:val="18"/>
              </w:rPr>
              <w:t>5,582.27</w:t>
            </w:r>
          </w:p>
        </w:tc>
        <w:tc>
          <w:tcPr>
            <w:tcW w:w="1794" w:type="dxa"/>
            <w:tcMar>
              <w:top w:w="0" w:type="dxa"/>
              <w:bottom w:w="0" w:type="dxa"/>
            </w:tcMar>
            <w:vAlign w:val="center"/>
          </w:tcPr>
          <w:p w14:paraId="260BBC40" w14:textId="77777777" w:rsidR="004B0883" w:rsidRDefault="004B0883">
            <w:pPr>
              <w:jc w:val="right"/>
              <w:rPr>
                <w:rFonts w:eastAsia="等线"/>
                <w:b/>
                <w:bCs/>
                <w:color w:val="000000"/>
                <w:sz w:val="18"/>
                <w:szCs w:val="18"/>
              </w:rPr>
            </w:pPr>
            <w:r>
              <w:rPr>
                <w:rFonts w:eastAsia="等线"/>
                <w:b/>
                <w:bCs/>
                <w:color w:val="000000"/>
                <w:sz w:val="18"/>
                <w:szCs w:val="18"/>
              </w:rPr>
              <w:t>100.00%</w:t>
            </w:r>
          </w:p>
        </w:tc>
        <w:tc>
          <w:tcPr>
            <w:tcW w:w="1794" w:type="dxa"/>
            <w:tcMar>
              <w:top w:w="0" w:type="dxa"/>
              <w:bottom w:w="0" w:type="dxa"/>
            </w:tcMar>
            <w:vAlign w:val="center"/>
          </w:tcPr>
          <w:p w14:paraId="2B41AE55" w14:textId="77777777" w:rsidR="004B0883" w:rsidRDefault="004B0883">
            <w:pPr>
              <w:jc w:val="right"/>
              <w:rPr>
                <w:rFonts w:eastAsia="等线"/>
                <w:b/>
                <w:bCs/>
                <w:color w:val="000000"/>
                <w:sz w:val="18"/>
                <w:szCs w:val="18"/>
              </w:rPr>
            </w:pPr>
            <w:r>
              <w:rPr>
                <w:rFonts w:eastAsia="等线"/>
                <w:b/>
                <w:bCs/>
                <w:color w:val="000000"/>
                <w:sz w:val="18"/>
                <w:szCs w:val="18"/>
              </w:rPr>
              <w:t>497.88</w:t>
            </w:r>
          </w:p>
        </w:tc>
        <w:tc>
          <w:tcPr>
            <w:tcW w:w="1794" w:type="dxa"/>
            <w:tcMar>
              <w:top w:w="0" w:type="dxa"/>
              <w:bottom w:w="0" w:type="dxa"/>
            </w:tcMar>
            <w:vAlign w:val="center"/>
          </w:tcPr>
          <w:p w14:paraId="11C9BD83" w14:textId="77777777" w:rsidR="004B0883" w:rsidRDefault="004B0883">
            <w:pPr>
              <w:jc w:val="right"/>
              <w:rPr>
                <w:rFonts w:eastAsia="等线"/>
                <w:b/>
                <w:bCs/>
                <w:color w:val="000000"/>
                <w:sz w:val="18"/>
                <w:szCs w:val="18"/>
              </w:rPr>
            </w:pPr>
            <w:r>
              <w:rPr>
                <w:rFonts w:eastAsia="等线"/>
                <w:b/>
                <w:bCs/>
                <w:color w:val="000000"/>
                <w:sz w:val="18"/>
                <w:szCs w:val="18"/>
              </w:rPr>
              <w:t>5,084.39</w:t>
            </w:r>
          </w:p>
        </w:tc>
      </w:tr>
    </w:tbl>
    <w:p w14:paraId="2CDC298A" w14:textId="77777777" w:rsidR="004B0883" w:rsidRDefault="004B0883">
      <w:pPr>
        <w:widowControl w:val="0"/>
        <w:spacing w:beforeLines="50" w:before="120" w:line="360" w:lineRule="auto"/>
        <w:ind w:firstLineChars="200" w:firstLine="480"/>
        <w:jc w:val="both"/>
        <w:rPr>
          <w:sz w:val="24"/>
          <w:szCs w:val="22"/>
        </w:rPr>
      </w:pPr>
      <w:bookmarkStart w:id="311" w:name="_Hlk124614728"/>
      <w:r>
        <w:rPr>
          <w:rFonts w:ascii="宋体" w:hAnsi="宋体" w:cs="宋体" w:hint="eastAsia"/>
          <w:sz w:val="24"/>
          <w:szCs w:val="22"/>
        </w:rPr>
        <w:t>④</w:t>
      </w:r>
      <w:r>
        <w:rPr>
          <w:sz w:val="24"/>
          <w:szCs w:val="22"/>
        </w:rPr>
        <w:t>应收账款</w:t>
      </w:r>
      <w:r>
        <w:rPr>
          <w:rFonts w:hint="eastAsia"/>
          <w:sz w:val="24"/>
          <w:szCs w:val="22"/>
        </w:rPr>
        <w:t>各期坏账准备的计提和转回对经营业绩的影响</w:t>
      </w:r>
    </w:p>
    <w:p w14:paraId="15326209" w14:textId="77777777" w:rsidR="004B0883" w:rsidRDefault="004B0883">
      <w:pPr>
        <w:spacing w:beforeLines="50" w:before="120" w:line="360" w:lineRule="auto"/>
        <w:ind w:firstLineChars="200" w:firstLine="480"/>
        <w:jc w:val="both"/>
        <w:rPr>
          <w:bCs/>
          <w:sz w:val="24"/>
          <w:szCs w:val="24"/>
        </w:rPr>
      </w:pPr>
      <w:bookmarkStart w:id="312" w:name="_Hlk84679668"/>
      <w:r>
        <w:rPr>
          <w:bCs/>
          <w:sz w:val="24"/>
          <w:szCs w:val="24"/>
        </w:rPr>
        <w:t>报告期</w:t>
      </w:r>
      <w:r>
        <w:rPr>
          <w:rFonts w:hint="eastAsia"/>
          <w:bCs/>
          <w:sz w:val="24"/>
          <w:szCs w:val="24"/>
        </w:rPr>
        <w:t>各期</w:t>
      </w:r>
      <w:r>
        <w:rPr>
          <w:bCs/>
          <w:sz w:val="24"/>
          <w:szCs w:val="24"/>
        </w:rPr>
        <w:t>，公司所计提、转回的坏账准备金额如下表所示：</w:t>
      </w:r>
    </w:p>
    <w:p w14:paraId="48E7B103" w14:textId="77777777" w:rsidR="004B0883" w:rsidRDefault="004B0883">
      <w:pPr>
        <w:jc w:val="right"/>
        <w:rPr>
          <w:bCs/>
        </w:rPr>
      </w:pPr>
      <w:r>
        <w:rPr>
          <w:bCs/>
        </w:rP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438"/>
        <w:gridCol w:w="1118"/>
        <w:gridCol w:w="1118"/>
        <w:gridCol w:w="1119"/>
        <w:gridCol w:w="1803"/>
        <w:gridCol w:w="1684"/>
      </w:tblGrid>
      <w:tr w:rsidR="004B0883" w14:paraId="008B0548" w14:textId="77777777">
        <w:trPr>
          <w:trHeight w:val="397"/>
          <w:tblHeader/>
          <w:jc w:val="center"/>
        </w:trPr>
        <w:tc>
          <w:tcPr>
            <w:tcW w:w="1468" w:type="dxa"/>
            <w:shd w:val="clear" w:color="auto" w:fill="D9D9D9"/>
            <w:tcMar>
              <w:top w:w="0" w:type="dxa"/>
              <w:left w:w="75" w:type="dxa"/>
              <w:bottom w:w="0" w:type="dxa"/>
              <w:right w:w="75" w:type="dxa"/>
            </w:tcMar>
            <w:vAlign w:val="center"/>
          </w:tcPr>
          <w:p w14:paraId="7B7E8D56" w14:textId="77777777" w:rsidR="004B0883" w:rsidRDefault="004B0883">
            <w:pPr>
              <w:adjustRightInd w:val="0"/>
              <w:snapToGrid w:val="0"/>
              <w:jc w:val="center"/>
              <w:rPr>
                <w:b/>
                <w:bCs/>
                <w:kern w:val="0"/>
                <w:sz w:val="18"/>
                <w:szCs w:val="18"/>
              </w:rPr>
            </w:pPr>
            <w:bookmarkStart w:id="313" w:name="_Hlk124031292"/>
            <w:r>
              <w:rPr>
                <w:b/>
                <w:bCs/>
                <w:kern w:val="0"/>
                <w:sz w:val="18"/>
                <w:szCs w:val="18"/>
              </w:rPr>
              <w:t>期间</w:t>
            </w:r>
          </w:p>
        </w:tc>
        <w:tc>
          <w:tcPr>
            <w:tcW w:w="1142" w:type="dxa"/>
            <w:shd w:val="clear" w:color="auto" w:fill="D9D9D9"/>
            <w:tcMar>
              <w:top w:w="0" w:type="dxa"/>
              <w:left w:w="75" w:type="dxa"/>
              <w:bottom w:w="0" w:type="dxa"/>
              <w:right w:w="75" w:type="dxa"/>
            </w:tcMar>
            <w:vAlign w:val="center"/>
          </w:tcPr>
          <w:p w14:paraId="410126DC" w14:textId="77777777" w:rsidR="004B0883" w:rsidRDefault="004B0883">
            <w:pPr>
              <w:adjustRightInd w:val="0"/>
              <w:snapToGrid w:val="0"/>
              <w:jc w:val="center"/>
              <w:rPr>
                <w:b/>
                <w:bCs/>
                <w:kern w:val="0"/>
                <w:sz w:val="18"/>
                <w:szCs w:val="18"/>
              </w:rPr>
            </w:pPr>
            <w:r>
              <w:rPr>
                <w:b/>
                <w:bCs/>
                <w:kern w:val="0"/>
                <w:sz w:val="18"/>
                <w:szCs w:val="18"/>
              </w:rPr>
              <w:t>计提金额</w:t>
            </w:r>
          </w:p>
        </w:tc>
        <w:tc>
          <w:tcPr>
            <w:tcW w:w="1142" w:type="dxa"/>
            <w:shd w:val="clear" w:color="auto" w:fill="D9D9D9"/>
            <w:tcMar>
              <w:top w:w="0" w:type="dxa"/>
              <w:left w:w="75" w:type="dxa"/>
              <w:bottom w:w="0" w:type="dxa"/>
              <w:right w:w="75" w:type="dxa"/>
            </w:tcMar>
            <w:vAlign w:val="center"/>
          </w:tcPr>
          <w:p w14:paraId="643CA142" w14:textId="77777777" w:rsidR="004B0883" w:rsidRDefault="004B0883">
            <w:pPr>
              <w:adjustRightInd w:val="0"/>
              <w:snapToGrid w:val="0"/>
              <w:jc w:val="center"/>
              <w:rPr>
                <w:b/>
                <w:bCs/>
                <w:kern w:val="0"/>
                <w:sz w:val="18"/>
                <w:szCs w:val="18"/>
              </w:rPr>
            </w:pPr>
            <w:r>
              <w:rPr>
                <w:b/>
                <w:bCs/>
                <w:kern w:val="0"/>
                <w:sz w:val="18"/>
                <w:szCs w:val="18"/>
              </w:rPr>
              <w:t>转回金额</w:t>
            </w:r>
          </w:p>
        </w:tc>
        <w:tc>
          <w:tcPr>
            <w:tcW w:w="1143" w:type="dxa"/>
            <w:shd w:val="clear" w:color="auto" w:fill="D9D9D9"/>
            <w:tcMar>
              <w:top w:w="0" w:type="dxa"/>
              <w:left w:w="75" w:type="dxa"/>
              <w:bottom w:w="0" w:type="dxa"/>
              <w:right w:w="75" w:type="dxa"/>
            </w:tcMar>
            <w:vAlign w:val="center"/>
          </w:tcPr>
          <w:p w14:paraId="05034AEE" w14:textId="77777777" w:rsidR="004B0883" w:rsidRDefault="004B0883">
            <w:pPr>
              <w:adjustRightInd w:val="0"/>
              <w:snapToGrid w:val="0"/>
              <w:jc w:val="center"/>
              <w:rPr>
                <w:b/>
                <w:bCs/>
                <w:kern w:val="0"/>
                <w:sz w:val="18"/>
                <w:szCs w:val="18"/>
              </w:rPr>
            </w:pPr>
            <w:r>
              <w:rPr>
                <w:b/>
                <w:bCs/>
                <w:kern w:val="0"/>
                <w:sz w:val="18"/>
                <w:szCs w:val="18"/>
              </w:rPr>
              <w:t>利润总额</w:t>
            </w:r>
          </w:p>
        </w:tc>
        <w:tc>
          <w:tcPr>
            <w:tcW w:w="1843" w:type="dxa"/>
            <w:shd w:val="clear" w:color="auto" w:fill="D9D9D9"/>
            <w:tcMar>
              <w:top w:w="0" w:type="dxa"/>
              <w:left w:w="75" w:type="dxa"/>
              <w:bottom w:w="0" w:type="dxa"/>
              <w:right w:w="75" w:type="dxa"/>
            </w:tcMar>
            <w:vAlign w:val="center"/>
          </w:tcPr>
          <w:p w14:paraId="6A5E39CA" w14:textId="77777777" w:rsidR="004B0883" w:rsidRDefault="004B0883">
            <w:pPr>
              <w:adjustRightInd w:val="0"/>
              <w:snapToGrid w:val="0"/>
              <w:jc w:val="center"/>
              <w:rPr>
                <w:b/>
                <w:bCs/>
                <w:kern w:val="0"/>
                <w:sz w:val="18"/>
                <w:szCs w:val="18"/>
              </w:rPr>
            </w:pPr>
            <w:r>
              <w:rPr>
                <w:b/>
                <w:bCs/>
                <w:kern w:val="0"/>
                <w:sz w:val="18"/>
                <w:szCs w:val="18"/>
              </w:rPr>
              <w:t>计提金额占应收账款期末余额比例</w:t>
            </w:r>
          </w:p>
        </w:tc>
        <w:tc>
          <w:tcPr>
            <w:tcW w:w="1722" w:type="dxa"/>
            <w:shd w:val="clear" w:color="auto" w:fill="D9D9D9"/>
            <w:tcMar>
              <w:top w:w="0" w:type="dxa"/>
              <w:left w:w="75" w:type="dxa"/>
              <w:bottom w:w="0" w:type="dxa"/>
              <w:right w:w="75" w:type="dxa"/>
            </w:tcMar>
            <w:vAlign w:val="center"/>
          </w:tcPr>
          <w:p w14:paraId="3BDBF677" w14:textId="77777777" w:rsidR="004B0883" w:rsidRDefault="004B0883">
            <w:pPr>
              <w:adjustRightInd w:val="0"/>
              <w:snapToGrid w:val="0"/>
              <w:jc w:val="center"/>
              <w:rPr>
                <w:b/>
                <w:bCs/>
                <w:kern w:val="0"/>
                <w:sz w:val="18"/>
                <w:szCs w:val="18"/>
              </w:rPr>
            </w:pPr>
            <w:r>
              <w:rPr>
                <w:b/>
                <w:bCs/>
                <w:kern w:val="0"/>
                <w:sz w:val="18"/>
                <w:szCs w:val="18"/>
              </w:rPr>
              <w:t>转回金额占应收账款期末余额比例</w:t>
            </w:r>
          </w:p>
        </w:tc>
      </w:tr>
      <w:tr w:rsidR="004B0883" w14:paraId="3E64F413" w14:textId="77777777">
        <w:trPr>
          <w:trHeight w:val="397"/>
          <w:jc w:val="center"/>
        </w:trPr>
        <w:tc>
          <w:tcPr>
            <w:tcW w:w="1468" w:type="dxa"/>
            <w:tcMar>
              <w:top w:w="0" w:type="dxa"/>
              <w:left w:w="75" w:type="dxa"/>
              <w:bottom w:w="0" w:type="dxa"/>
              <w:right w:w="75" w:type="dxa"/>
            </w:tcMar>
            <w:vAlign w:val="center"/>
          </w:tcPr>
          <w:p w14:paraId="70564AA8" w14:textId="77777777" w:rsidR="004B0883" w:rsidRDefault="004B0883">
            <w:pPr>
              <w:adjustRightInd w:val="0"/>
              <w:snapToGrid w:val="0"/>
              <w:jc w:val="both"/>
              <w:rPr>
                <w:kern w:val="0"/>
                <w:sz w:val="18"/>
                <w:szCs w:val="18"/>
              </w:rPr>
            </w:pPr>
            <w:r>
              <w:rPr>
                <w:rFonts w:hint="eastAsia"/>
                <w:sz w:val="18"/>
                <w:szCs w:val="18"/>
              </w:rPr>
              <w:t>202</w:t>
            </w:r>
            <w:r>
              <w:rPr>
                <w:sz w:val="18"/>
                <w:szCs w:val="18"/>
              </w:rPr>
              <w:t>3</w:t>
            </w:r>
            <w:r>
              <w:rPr>
                <w:rFonts w:hint="eastAsia"/>
                <w:sz w:val="18"/>
                <w:szCs w:val="18"/>
              </w:rPr>
              <w:t>年</w:t>
            </w:r>
            <w:r>
              <w:rPr>
                <w:rFonts w:hint="eastAsia"/>
                <w:sz w:val="18"/>
                <w:szCs w:val="18"/>
              </w:rPr>
              <w:t>1-9</w:t>
            </w:r>
            <w:r>
              <w:rPr>
                <w:rFonts w:hint="eastAsia"/>
                <w:sz w:val="18"/>
                <w:szCs w:val="18"/>
              </w:rPr>
              <w:t>月</w:t>
            </w:r>
          </w:p>
        </w:tc>
        <w:tc>
          <w:tcPr>
            <w:tcW w:w="1142" w:type="dxa"/>
            <w:tcMar>
              <w:top w:w="0" w:type="dxa"/>
              <w:left w:w="75" w:type="dxa"/>
              <w:bottom w:w="0" w:type="dxa"/>
              <w:right w:w="75" w:type="dxa"/>
            </w:tcMar>
            <w:vAlign w:val="center"/>
          </w:tcPr>
          <w:p w14:paraId="397B1561" w14:textId="77777777" w:rsidR="004B0883" w:rsidRDefault="004B0883">
            <w:pPr>
              <w:widowControl w:val="0"/>
              <w:adjustRightInd w:val="0"/>
              <w:snapToGrid w:val="0"/>
              <w:jc w:val="right"/>
              <w:rPr>
                <w:kern w:val="0"/>
                <w:sz w:val="18"/>
                <w:szCs w:val="18"/>
              </w:rPr>
            </w:pPr>
            <w:r>
              <w:rPr>
                <w:rFonts w:hint="eastAsia"/>
                <w:kern w:val="0"/>
                <w:sz w:val="18"/>
                <w:szCs w:val="18"/>
              </w:rPr>
              <w:t>64.20</w:t>
            </w:r>
          </w:p>
        </w:tc>
        <w:tc>
          <w:tcPr>
            <w:tcW w:w="1142" w:type="dxa"/>
            <w:tcMar>
              <w:top w:w="0" w:type="dxa"/>
              <w:left w:w="75" w:type="dxa"/>
              <w:bottom w:w="0" w:type="dxa"/>
              <w:right w:w="75" w:type="dxa"/>
            </w:tcMar>
            <w:vAlign w:val="center"/>
          </w:tcPr>
          <w:p w14:paraId="41F0037A" w14:textId="77777777" w:rsidR="004B0883" w:rsidRDefault="004B0883">
            <w:pPr>
              <w:widowControl w:val="0"/>
              <w:adjustRightInd w:val="0"/>
              <w:snapToGrid w:val="0"/>
              <w:jc w:val="right"/>
              <w:rPr>
                <w:kern w:val="0"/>
                <w:sz w:val="18"/>
                <w:szCs w:val="18"/>
              </w:rPr>
            </w:pPr>
            <w:r>
              <w:rPr>
                <w:rFonts w:hint="eastAsia"/>
                <w:kern w:val="0"/>
                <w:sz w:val="18"/>
                <w:szCs w:val="18"/>
              </w:rPr>
              <w:t>-</w:t>
            </w:r>
          </w:p>
        </w:tc>
        <w:tc>
          <w:tcPr>
            <w:tcW w:w="1143" w:type="dxa"/>
            <w:tcMar>
              <w:top w:w="0" w:type="dxa"/>
              <w:left w:w="75" w:type="dxa"/>
              <w:bottom w:w="0" w:type="dxa"/>
              <w:right w:w="75" w:type="dxa"/>
            </w:tcMar>
            <w:vAlign w:val="center"/>
          </w:tcPr>
          <w:p w14:paraId="2FC245F9" w14:textId="77777777" w:rsidR="004B0883" w:rsidRDefault="004B0883">
            <w:pPr>
              <w:jc w:val="right"/>
              <w:rPr>
                <w:rFonts w:eastAsia="等线"/>
                <w:color w:val="000000"/>
                <w:kern w:val="0"/>
                <w:sz w:val="18"/>
                <w:szCs w:val="18"/>
              </w:rPr>
            </w:pPr>
            <w:r>
              <w:rPr>
                <w:rFonts w:eastAsia="等线"/>
                <w:color w:val="000000"/>
                <w:sz w:val="18"/>
                <w:szCs w:val="18"/>
              </w:rPr>
              <w:t>11,676.79</w:t>
            </w:r>
          </w:p>
        </w:tc>
        <w:tc>
          <w:tcPr>
            <w:tcW w:w="1843" w:type="dxa"/>
            <w:tcMar>
              <w:top w:w="0" w:type="dxa"/>
              <w:left w:w="75" w:type="dxa"/>
              <w:bottom w:w="0" w:type="dxa"/>
              <w:right w:w="75" w:type="dxa"/>
            </w:tcMar>
            <w:vAlign w:val="center"/>
          </w:tcPr>
          <w:p w14:paraId="4B033574" w14:textId="77777777" w:rsidR="004B0883" w:rsidRDefault="004B0883">
            <w:pPr>
              <w:jc w:val="right"/>
              <w:rPr>
                <w:rFonts w:eastAsia="等线"/>
                <w:color w:val="000000"/>
                <w:kern w:val="0"/>
                <w:sz w:val="18"/>
                <w:szCs w:val="18"/>
              </w:rPr>
            </w:pPr>
            <w:r>
              <w:rPr>
                <w:rFonts w:eastAsia="等线" w:hint="eastAsia"/>
                <w:color w:val="000000"/>
                <w:sz w:val="18"/>
                <w:szCs w:val="18"/>
              </w:rPr>
              <w:t>0.64</w:t>
            </w:r>
            <w:r>
              <w:rPr>
                <w:rFonts w:eastAsia="等线"/>
                <w:color w:val="000000"/>
                <w:sz w:val="18"/>
                <w:szCs w:val="18"/>
              </w:rPr>
              <w:t>%</w:t>
            </w:r>
          </w:p>
        </w:tc>
        <w:tc>
          <w:tcPr>
            <w:tcW w:w="1722" w:type="dxa"/>
            <w:tcMar>
              <w:top w:w="0" w:type="dxa"/>
              <w:left w:w="75" w:type="dxa"/>
              <w:bottom w:w="0" w:type="dxa"/>
              <w:right w:w="75" w:type="dxa"/>
            </w:tcMar>
            <w:vAlign w:val="center"/>
          </w:tcPr>
          <w:p w14:paraId="55266E5E" w14:textId="77777777" w:rsidR="004B0883" w:rsidRDefault="004B0883">
            <w:pPr>
              <w:widowControl w:val="0"/>
              <w:adjustRightInd w:val="0"/>
              <w:snapToGrid w:val="0"/>
              <w:jc w:val="right"/>
              <w:rPr>
                <w:kern w:val="0"/>
                <w:sz w:val="18"/>
                <w:szCs w:val="18"/>
              </w:rPr>
            </w:pPr>
            <w:r>
              <w:rPr>
                <w:kern w:val="0"/>
                <w:sz w:val="18"/>
                <w:szCs w:val="18"/>
              </w:rPr>
              <w:t>0.00%</w:t>
            </w:r>
          </w:p>
        </w:tc>
      </w:tr>
      <w:tr w:rsidR="004B0883" w14:paraId="3E38DB85" w14:textId="77777777">
        <w:trPr>
          <w:trHeight w:val="397"/>
          <w:jc w:val="center"/>
        </w:trPr>
        <w:tc>
          <w:tcPr>
            <w:tcW w:w="1468" w:type="dxa"/>
            <w:tcMar>
              <w:top w:w="0" w:type="dxa"/>
              <w:left w:w="75" w:type="dxa"/>
              <w:bottom w:w="0" w:type="dxa"/>
              <w:right w:w="75" w:type="dxa"/>
            </w:tcMar>
            <w:vAlign w:val="center"/>
          </w:tcPr>
          <w:p w14:paraId="41F45445" w14:textId="77777777" w:rsidR="004B0883" w:rsidRDefault="004B0883">
            <w:pPr>
              <w:adjustRightInd w:val="0"/>
              <w:snapToGrid w:val="0"/>
              <w:jc w:val="both"/>
              <w:rPr>
                <w:kern w:val="0"/>
                <w:sz w:val="18"/>
                <w:szCs w:val="18"/>
              </w:rPr>
            </w:pPr>
            <w:r>
              <w:rPr>
                <w:rFonts w:hint="eastAsia"/>
                <w:sz w:val="18"/>
                <w:szCs w:val="18"/>
              </w:rPr>
              <w:t>202</w:t>
            </w:r>
            <w:r>
              <w:rPr>
                <w:sz w:val="18"/>
                <w:szCs w:val="18"/>
              </w:rPr>
              <w:t>2</w:t>
            </w:r>
            <w:r>
              <w:rPr>
                <w:rFonts w:hint="eastAsia"/>
                <w:sz w:val="18"/>
                <w:szCs w:val="18"/>
              </w:rPr>
              <w:t>年度</w:t>
            </w:r>
          </w:p>
        </w:tc>
        <w:tc>
          <w:tcPr>
            <w:tcW w:w="1142" w:type="dxa"/>
            <w:tcMar>
              <w:top w:w="0" w:type="dxa"/>
              <w:left w:w="75" w:type="dxa"/>
              <w:bottom w:w="0" w:type="dxa"/>
              <w:right w:w="75" w:type="dxa"/>
            </w:tcMar>
            <w:vAlign w:val="center"/>
          </w:tcPr>
          <w:p w14:paraId="5551ACF6" w14:textId="77777777" w:rsidR="004B0883" w:rsidRDefault="004B0883">
            <w:pPr>
              <w:widowControl w:val="0"/>
              <w:adjustRightInd w:val="0"/>
              <w:snapToGrid w:val="0"/>
              <w:jc w:val="right"/>
              <w:rPr>
                <w:kern w:val="0"/>
                <w:sz w:val="18"/>
                <w:szCs w:val="18"/>
              </w:rPr>
            </w:pPr>
            <w:r>
              <w:rPr>
                <w:kern w:val="0"/>
                <w:sz w:val="18"/>
                <w:szCs w:val="18"/>
              </w:rPr>
              <w:t>129.23</w:t>
            </w:r>
          </w:p>
        </w:tc>
        <w:tc>
          <w:tcPr>
            <w:tcW w:w="1142" w:type="dxa"/>
            <w:tcMar>
              <w:top w:w="0" w:type="dxa"/>
              <w:left w:w="75" w:type="dxa"/>
              <w:bottom w:w="0" w:type="dxa"/>
              <w:right w:w="75" w:type="dxa"/>
            </w:tcMar>
            <w:vAlign w:val="center"/>
          </w:tcPr>
          <w:p w14:paraId="396547AA" w14:textId="77777777" w:rsidR="004B0883" w:rsidRDefault="004B0883">
            <w:pPr>
              <w:widowControl w:val="0"/>
              <w:adjustRightInd w:val="0"/>
              <w:snapToGrid w:val="0"/>
              <w:jc w:val="right"/>
              <w:rPr>
                <w:kern w:val="0"/>
                <w:sz w:val="18"/>
                <w:szCs w:val="18"/>
              </w:rPr>
            </w:pPr>
            <w:r>
              <w:rPr>
                <w:rFonts w:hint="eastAsia"/>
                <w:kern w:val="0"/>
                <w:sz w:val="18"/>
                <w:szCs w:val="18"/>
              </w:rPr>
              <w:t>-</w:t>
            </w:r>
          </w:p>
        </w:tc>
        <w:tc>
          <w:tcPr>
            <w:tcW w:w="1143" w:type="dxa"/>
            <w:tcMar>
              <w:top w:w="0" w:type="dxa"/>
              <w:left w:w="75" w:type="dxa"/>
              <w:bottom w:w="0" w:type="dxa"/>
              <w:right w:w="75" w:type="dxa"/>
            </w:tcMar>
            <w:vAlign w:val="center"/>
          </w:tcPr>
          <w:p w14:paraId="7D7B069E" w14:textId="77777777" w:rsidR="004B0883" w:rsidRDefault="004B0883">
            <w:pPr>
              <w:jc w:val="right"/>
              <w:rPr>
                <w:rFonts w:eastAsia="等线"/>
                <w:color w:val="000000"/>
                <w:sz w:val="18"/>
                <w:szCs w:val="18"/>
              </w:rPr>
            </w:pPr>
            <w:r>
              <w:rPr>
                <w:rFonts w:eastAsia="等线"/>
                <w:color w:val="000000"/>
                <w:sz w:val="18"/>
                <w:szCs w:val="18"/>
              </w:rPr>
              <w:t>15,475.41</w:t>
            </w:r>
          </w:p>
        </w:tc>
        <w:tc>
          <w:tcPr>
            <w:tcW w:w="1843" w:type="dxa"/>
            <w:tcMar>
              <w:top w:w="0" w:type="dxa"/>
              <w:left w:w="75" w:type="dxa"/>
              <w:bottom w:w="0" w:type="dxa"/>
              <w:right w:w="75" w:type="dxa"/>
            </w:tcMar>
            <w:vAlign w:val="center"/>
          </w:tcPr>
          <w:p w14:paraId="73B9CEA3" w14:textId="77777777" w:rsidR="004B0883" w:rsidRDefault="004B0883">
            <w:pPr>
              <w:jc w:val="right"/>
              <w:rPr>
                <w:rFonts w:eastAsia="等线"/>
                <w:color w:val="000000"/>
                <w:sz w:val="18"/>
                <w:szCs w:val="18"/>
              </w:rPr>
            </w:pPr>
            <w:r>
              <w:rPr>
                <w:rFonts w:eastAsia="等线"/>
                <w:color w:val="000000"/>
                <w:sz w:val="18"/>
                <w:szCs w:val="18"/>
              </w:rPr>
              <w:t>0.84%</w:t>
            </w:r>
          </w:p>
        </w:tc>
        <w:tc>
          <w:tcPr>
            <w:tcW w:w="1722" w:type="dxa"/>
            <w:tcMar>
              <w:top w:w="0" w:type="dxa"/>
              <w:left w:w="75" w:type="dxa"/>
              <w:bottom w:w="0" w:type="dxa"/>
              <w:right w:w="75" w:type="dxa"/>
            </w:tcMar>
            <w:vAlign w:val="center"/>
          </w:tcPr>
          <w:p w14:paraId="3A392B24" w14:textId="77777777" w:rsidR="004B0883" w:rsidRDefault="004B0883">
            <w:pPr>
              <w:jc w:val="right"/>
            </w:pPr>
            <w:r>
              <w:rPr>
                <w:kern w:val="0"/>
                <w:sz w:val="18"/>
                <w:szCs w:val="18"/>
              </w:rPr>
              <w:t>0.00%</w:t>
            </w:r>
          </w:p>
        </w:tc>
      </w:tr>
      <w:tr w:rsidR="004B0883" w14:paraId="25E6B309" w14:textId="77777777">
        <w:trPr>
          <w:trHeight w:val="397"/>
          <w:jc w:val="center"/>
        </w:trPr>
        <w:tc>
          <w:tcPr>
            <w:tcW w:w="1468" w:type="dxa"/>
            <w:tcMar>
              <w:top w:w="0" w:type="dxa"/>
              <w:left w:w="75" w:type="dxa"/>
              <w:bottom w:w="0" w:type="dxa"/>
              <w:right w:w="75" w:type="dxa"/>
            </w:tcMar>
            <w:vAlign w:val="center"/>
          </w:tcPr>
          <w:p w14:paraId="264A562F" w14:textId="77777777" w:rsidR="004B0883" w:rsidRDefault="004B0883">
            <w:pPr>
              <w:adjustRightInd w:val="0"/>
              <w:snapToGrid w:val="0"/>
              <w:jc w:val="both"/>
              <w:rPr>
                <w:kern w:val="0"/>
                <w:sz w:val="18"/>
                <w:szCs w:val="18"/>
              </w:rPr>
            </w:pPr>
            <w:r>
              <w:rPr>
                <w:rFonts w:hint="eastAsia"/>
                <w:sz w:val="18"/>
                <w:szCs w:val="18"/>
              </w:rPr>
              <w:t>2021</w:t>
            </w:r>
            <w:r>
              <w:rPr>
                <w:rFonts w:hint="eastAsia"/>
                <w:sz w:val="18"/>
                <w:szCs w:val="18"/>
              </w:rPr>
              <w:t>年度</w:t>
            </w:r>
          </w:p>
        </w:tc>
        <w:tc>
          <w:tcPr>
            <w:tcW w:w="1142" w:type="dxa"/>
            <w:tcMar>
              <w:top w:w="0" w:type="dxa"/>
              <w:left w:w="75" w:type="dxa"/>
              <w:bottom w:w="0" w:type="dxa"/>
              <w:right w:w="75" w:type="dxa"/>
            </w:tcMar>
            <w:vAlign w:val="center"/>
          </w:tcPr>
          <w:p w14:paraId="0CD90CE3" w14:textId="77777777" w:rsidR="004B0883" w:rsidRDefault="004B0883">
            <w:pPr>
              <w:widowControl w:val="0"/>
              <w:adjustRightInd w:val="0"/>
              <w:snapToGrid w:val="0"/>
              <w:jc w:val="right"/>
              <w:rPr>
                <w:kern w:val="0"/>
                <w:sz w:val="18"/>
                <w:szCs w:val="18"/>
              </w:rPr>
            </w:pPr>
            <w:r>
              <w:rPr>
                <w:kern w:val="0"/>
                <w:sz w:val="18"/>
                <w:szCs w:val="18"/>
              </w:rPr>
              <w:t>227.71</w:t>
            </w:r>
          </w:p>
        </w:tc>
        <w:tc>
          <w:tcPr>
            <w:tcW w:w="1142" w:type="dxa"/>
            <w:tcMar>
              <w:top w:w="0" w:type="dxa"/>
              <w:left w:w="75" w:type="dxa"/>
              <w:bottom w:w="0" w:type="dxa"/>
              <w:right w:w="75" w:type="dxa"/>
            </w:tcMar>
            <w:vAlign w:val="center"/>
          </w:tcPr>
          <w:p w14:paraId="7DD022B3" w14:textId="77777777" w:rsidR="004B0883" w:rsidRDefault="004B0883">
            <w:pPr>
              <w:widowControl w:val="0"/>
              <w:adjustRightInd w:val="0"/>
              <w:snapToGrid w:val="0"/>
              <w:jc w:val="right"/>
              <w:rPr>
                <w:kern w:val="0"/>
                <w:sz w:val="18"/>
                <w:szCs w:val="18"/>
              </w:rPr>
            </w:pPr>
            <w:r>
              <w:rPr>
                <w:rFonts w:hint="eastAsia"/>
                <w:kern w:val="0"/>
                <w:sz w:val="18"/>
                <w:szCs w:val="18"/>
              </w:rPr>
              <w:t>-</w:t>
            </w:r>
          </w:p>
        </w:tc>
        <w:tc>
          <w:tcPr>
            <w:tcW w:w="1143" w:type="dxa"/>
            <w:tcMar>
              <w:top w:w="0" w:type="dxa"/>
              <w:left w:w="75" w:type="dxa"/>
              <w:bottom w:w="0" w:type="dxa"/>
              <w:right w:w="75" w:type="dxa"/>
            </w:tcMar>
            <w:vAlign w:val="center"/>
          </w:tcPr>
          <w:p w14:paraId="34D01CBF" w14:textId="77777777" w:rsidR="004B0883" w:rsidRDefault="004B0883">
            <w:pPr>
              <w:jc w:val="right"/>
              <w:rPr>
                <w:rFonts w:eastAsia="等线"/>
                <w:color w:val="000000"/>
                <w:sz w:val="18"/>
                <w:szCs w:val="18"/>
              </w:rPr>
            </w:pPr>
            <w:r>
              <w:rPr>
                <w:rFonts w:eastAsia="等线"/>
                <w:color w:val="000000"/>
                <w:sz w:val="18"/>
                <w:szCs w:val="18"/>
              </w:rPr>
              <w:t>6,753.57</w:t>
            </w:r>
          </w:p>
        </w:tc>
        <w:tc>
          <w:tcPr>
            <w:tcW w:w="1843" w:type="dxa"/>
            <w:tcMar>
              <w:top w:w="0" w:type="dxa"/>
              <w:left w:w="75" w:type="dxa"/>
              <w:bottom w:w="0" w:type="dxa"/>
              <w:right w:w="75" w:type="dxa"/>
            </w:tcMar>
            <w:vAlign w:val="center"/>
          </w:tcPr>
          <w:p w14:paraId="2EEB9EA2" w14:textId="77777777" w:rsidR="004B0883" w:rsidRDefault="004B0883">
            <w:pPr>
              <w:jc w:val="right"/>
              <w:rPr>
                <w:rFonts w:eastAsia="等线"/>
                <w:color w:val="000000"/>
                <w:sz w:val="18"/>
                <w:szCs w:val="18"/>
              </w:rPr>
            </w:pPr>
            <w:r>
              <w:rPr>
                <w:rFonts w:eastAsia="等线"/>
                <w:color w:val="000000"/>
                <w:sz w:val="18"/>
                <w:szCs w:val="18"/>
              </w:rPr>
              <w:t>3.37%</w:t>
            </w:r>
          </w:p>
        </w:tc>
        <w:tc>
          <w:tcPr>
            <w:tcW w:w="1722" w:type="dxa"/>
            <w:tcMar>
              <w:top w:w="0" w:type="dxa"/>
              <w:left w:w="75" w:type="dxa"/>
              <w:bottom w:w="0" w:type="dxa"/>
              <w:right w:w="75" w:type="dxa"/>
            </w:tcMar>
            <w:vAlign w:val="center"/>
          </w:tcPr>
          <w:p w14:paraId="20317F20" w14:textId="77777777" w:rsidR="004B0883" w:rsidRDefault="004B0883">
            <w:pPr>
              <w:jc w:val="right"/>
            </w:pPr>
            <w:r>
              <w:rPr>
                <w:kern w:val="0"/>
                <w:sz w:val="18"/>
                <w:szCs w:val="18"/>
              </w:rPr>
              <w:t>0.00%</w:t>
            </w:r>
          </w:p>
        </w:tc>
      </w:tr>
      <w:tr w:rsidR="004B0883" w14:paraId="0B0171ED" w14:textId="77777777">
        <w:trPr>
          <w:trHeight w:val="397"/>
          <w:jc w:val="center"/>
        </w:trPr>
        <w:tc>
          <w:tcPr>
            <w:tcW w:w="1468" w:type="dxa"/>
            <w:tcMar>
              <w:top w:w="0" w:type="dxa"/>
              <w:left w:w="75" w:type="dxa"/>
              <w:bottom w:w="0" w:type="dxa"/>
              <w:right w:w="75" w:type="dxa"/>
            </w:tcMar>
            <w:vAlign w:val="center"/>
          </w:tcPr>
          <w:p w14:paraId="1E6F33E4" w14:textId="77777777" w:rsidR="004B0883" w:rsidRDefault="004B0883">
            <w:pPr>
              <w:adjustRightInd w:val="0"/>
              <w:snapToGrid w:val="0"/>
              <w:jc w:val="both"/>
              <w:rPr>
                <w:kern w:val="0"/>
                <w:sz w:val="18"/>
                <w:szCs w:val="18"/>
              </w:rPr>
            </w:pPr>
            <w:r>
              <w:rPr>
                <w:rFonts w:hint="eastAsia"/>
                <w:sz w:val="18"/>
                <w:szCs w:val="18"/>
              </w:rPr>
              <w:t>2020</w:t>
            </w:r>
            <w:r>
              <w:rPr>
                <w:rFonts w:hint="eastAsia"/>
                <w:sz w:val="18"/>
                <w:szCs w:val="18"/>
              </w:rPr>
              <w:t>年度</w:t>
            </w:r>
          </w:p>
        </w:tc>
        <w:tc>
          <w:tcPr>
            <w:tcW w:w="1142" w:type="dxa"/>
            <w:tcMar>
              <w:top w:w="0" w:type="dxa"/>
              <w:left w:w="75" w:type="dxa"/>
              <w:bottom w:w="0" w:type="dxa"/>
              <w:right w:w="75" w:type="dxa"/>
            </w:tcMar>
            <w:vAlign w:val="center"/>
          </w:tcPr>
          <w:p w14:paraId="2B268094" w14:textId="77777777" w:rsidR="004B0883" w:rsidRDefault="004B0883">
            <w:pPr>
              <w:widowControl w:val="0"/>
              <w:adjustRightInd w:val="0"/>
              <w:snapToGrid w:val="0"/>
              <w:jc w:val="right"/>
              <w:rPr>
                <w:kern w:val="0"/>
                <w:sz w:val="18"/>
                <w:szCs w:val="18"/>
              </w:rPr>
            </w:pPr>
            <w:r>
              <w:rPr>
                <w:rFonts w:hint="eastAsia"/>
                <w:kern w:val="0"/>
                <w:sz w:val="18"/>
                <w:szCs w:val="18"/>
              </w:rPr>
              <w:t>-</w:t>
            </w:r>
          </w:p>
        </w:tc>
        <w:tc>
          <w:tcPr>
            <w:tcW w:w="1142" w:type="dxa"/>
            <w:tcMar>
              <w:top w:w="0" w:type="dxa"/>
              <w:left w:w="75" w:type="dxa"/>
              <w:bottom w:w="0" w:type="dxa"/>
              <w:right w:w="75" w:type="dxa"/>
            </w:tcMar>
            <w:vAlign w:val="center"/>
          </w:tcPr>
          <w:p w14:paraId="7F1F83EE" w14:textId="77777777" w:rsidR="004B0883" w:rsidRDefault="004B0883">
            <w:pPr>
              <w:widowControl w:val="0"/>
              <w:adjustRightInd w:val="0"/>
              <w:snapToGrid w:val="0"/>
              <w:jc w:val="right"/>
              <w:rPr>
                <w:kern w:val="0"/>
                <w:sz w:val="18"/>
                <w:szCs w:val="18"/>
              </w:rPr>
            </w:pPr>
            <w:r>
              <w:rPr>
                <w:kern w:val="0"/>
                <w:sz w:val="18"/>
                <w:szCs w:val="18"/>
              </w:rPr>
              <w:t>53.14</w:t>
            </w:r>
          </w:p>
        </w:tc>
        <w:tc>
          <w:tcPr>
            <w:tcW w:w="1143" w:type="dxa"/>
            <w:tcMar>
              <w:top w:w="0" w:type="dxa"/>
              <w:left w:w="75" w:type="dxa"/>
              <w:bottom w:w="0" w:type="dxa"/>
              <w:right w:w="75" w:type="dxa"/>
            </w:tcMar>
            <w:vAlign w:val="center"/>
          </w:tcPr>
          <w:p w14:paraId="77153D50" w14:textId="77777777" w:rsidR="004B0883" w:rsidRDefault="004B0883">
            <w:pPr>
              <w:jc w:val="right"/>
              <w:rPr>
                <w:rFonts w:eastAsia="等线"/>
                <w:color w:val="000000"/>
                <w:sz w:val="18"/>
                <w:szCs w:val="18"/>
              </w:rPr>
            </w:pPr>
            <w:r>
              <w:rPr>
                <w:rFonts w:eastAsia="等线"/>
                <w:color w:val="000000"/>
                <w:sz w:val="18"/>
                <w:szCs w:val="18"/>
              </w:rPr>
              <w:t>6,585.06</w:t>
            </w:r>
          </w:p>
        </w:tc>
        <w:tc>
          <w:tcPr>
            <w:tcW w:w="1843" w:type="dxa"/>
            <w:tcMar>
              <w:top w:w="0" w:type="dxa"/>
              <w:left w:w="75" w:type="dxa"/>
              <w:bottom w:w="0" w:type="dxa"/>
              <w:right w:w="75" w:type="dxa"/>
            </w:tcMar>
            <w:vAlign w:val="center"/>
          </w:tcPr>
          <w:p w14:paraId="04DE3002" w14:textId="77777777" w:rsidR="004B0883" w:rsidRDefault="004B0883">
            <w:pPr>
              <w:widowControl w:val="0"/>
              <w:adjustRightInd w:val="0"/>
              <w:snapToGrid w:val="0"/>
              <w:jc w:val="right"/>
              <w:rPr>
                <w:kern w:val="0"/>
                <w:sz w:val="18"/>
                <w:szCs w:val="18"/>
              </w:rPr>
            </w:pPr>
            <w:r>
              <w:rPr>
                <w:kern w:val="0"/>
                <w:sz w:val="18"/>
                <w:szCs w:val="18"/>
              </w:rPr>
              <w:t>0.00%</w:t>
            </w:r>
          </w:p>
        </w:tc>
        <w:tc>
          <w:tcPr>
            <w:tcW w:w="1722" w:type="dxa"/>
            <w:tcMar>
              <w:top w:w="0" w:type="dxa"/>
              <w:left w:w="75" w:type="dxa"/>
              <w:bottom w:w="0" w:type="dxa"/>
              <w:right w:w="75" w:type="dxa"/>
            </w:tcMar>
            <w:vAlign w:val="center"/>
          </w:tcPr>
          <w:p w14:paraId="5AE47FA3" w14:textId="77777777" w:rsidR="004B0883" w:rsidRDefault="004B0883">
            <w:pPr>
              <w:jc w:val="right"/>
              <w:rPr>
                <w:rFonts w:hint="eastAsia"/>
                <w:kern w:val="0"/>
                <w:sz w:val="18"/>
                <w:szCs w:val="18"/>
              </w:rPr>
            </w:pPr>
            <w:r>
              <w:rPr>
                <w:rFonts w:hint="eastAsia"/>
                <w:kern w:val="0"/>
                <w:sz w:val="18"/>
                <w:szCs w:val="18"/>
              </w:rPr>
              <w:t>0</w:t>
            </w:r>
            <w:r>
              <w:rPr>
                <w:kern w:val="0"/>
                <w:sz w:val="18"/>
                <w:szCs w:val="18"/>
              </w:rPr>
              <w:t>.81</w:t>
            </w:r>
            <w:r>
              <w:rPr>
                <w:rFonts w:hint="eastAsia"/>
                <w:kern w:val="0"/>
                <w:sz w:val="18"/>
                <w:szCs w:val="18"/>
              </w:rPr>
              <w:t>%</w:t>
            </w:r>
          </w:p>
        </w:tc>
      </w:tr>
    </w:tbl>
    <w:bookmarkEnd w:id="313"/>
    <w:p w14:paraId="517C3F2E" w14:textId="77777777" w:rsidR="004B0883" w:rsidRDefault="004B0883">
      <w:pPr>
        <w:spacing w:beforeLines="50" w:before="120" w:afterLines="50" w:after="120" w:line="360" w:lineRule="auto"/>
        <w:ind w:firstLineChars="200" w:firstLine="480"/>
        <w:jc w:val="both"/>
        <w:rPr>
          <w:bCs/>
          <w:sz w:val="24"/>
          <w:szCs w:val="24"/>
        </w:rPr>
      </w:pPr>
      <w:r>
        <w:rPr>
          <w:bCs/>
          <w:sz w:val="24"/>
          <w:szCs w:val="24"/>
        </w:rPr>
        <w:t>由上表可知，公司报告期各期坏账准备的计提和转回对公司经营业绩不会产生重大不利影响。</w:t>
      </w:r>
      <w:bookmarkEnd w:id="311"/>
      <w:bookmarkEnd w:id="312"/>
    </w:p>
    <w:p w14:paraId="26909663"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3</w:t>
      </w:r>
      <w:r>
        <w:rPr>
          <w:rFonts w:hint="eastAsia"/>
          <w:sz w:val="24"/>
          <w:szCs w:val="22"/>
        </w:rPr>
        <w:t>）应收账款金额前五名客户情况分析</w:t>
      </w:r>
    </w:p>
    <w:p w14:paraId="13E6232B" w14:textId="77777777" w:rsidR="004B0883" w:rsidRDefault="004B0883">
      <w:pPr>
        <w:widowControl w:val="0"/>
        <w:spacing w:beforeLines="50" w:before="120" w:line="360" w:lineRule="auto"/>
        <w:ind w:firstLineChars="200" w:firstLine="480"/>
        <w:jc w:val="both"/>
        <w:rPr>
          <w:sz w:val="24"/>
          <w:szCs w:val="22"/>
        </w:rPr>
      </w:pPr>
      <w:bookmarkStart w:id="314" w:name="_Hlk101867392"/>
      <w:bookmarkStart w:id="315" w:name="_Hlk101865742"/>
      <w:r>
        <w:rPr>
          <w:rFonts w:hint="eastAsia"/>
          <w:sz w:val="24"/>
          <w:szCs w:val="22"/>
        </w:rPr>
        <w:t>截至</w:t>
      </w:r>
      <w:r>
        <w:rPr>
          <w:rFonts w:hint="eastAsia"/>
          <w:sz w:val="24"/>
          <w:szCs w:val="22"/>
        </w:rPr>
        <w:t>2</w:t>
      </w:r>
      <w:r>
        <w:rPr>
          <w:sz w:val="24"/>
          <w:szCs w:val="22"/>
        </w:rPr>
        <w:t>023</w:t>
      </w:r>
      <w:r>
        <w:rPr>
          <w:rFonts w:hint="eastAsia"/>
          <w:sz w:val="24"/>
          <w:szCs w:val="22"/>
        </w:rPr>
        <w:t>年</w:t>
      </w:r>
      <w:r>
        <w:rPr>
          <w:rFonts w:hint="eastAsia"/>
          <w:sz w:val="24"/>
          <w:szCs w:val="22"/>
        </w:rPr>
        <w:t>9</w:t>
      </w:r>
      <w:r>
        <w:rPr>
          <w:rFonts w:hint="eastAsia"/>
          <w:sz w:val="24"/>
          <w:szCs w:val="22"/>
        </w:rPr>
        <w:t>月</w:t>
      </w:r>
      <w:r>
        <w:rPr>
          <w:rFonts w:hint="eastAsia"/>
          <w:sz w:val="24"/>
          <w:szCs w:val="22"/>
        </w:rPr>
        <w:t>3</w:t>
      </w:r>
      <w:r>
        <w:rPr>
          <w:sz w:val="24"/>
          <w:szCs w:val="22"/>
        </w:rPr>
        <w:t>0</w:t>
      </w:r>
      <w:r>
        <w:rPr>
          <w:rFonts w:hint="eastAsia"/>
          <w:sz w:val="24"/>
          <w:szCs w:val="22"/>
        </w:rPr>
        <w:t>日，按欠款方归集的期末余额前五名客户的应收账款情况如下：</w:t>
      </w:r>
      <w:bookmarkEnd w:id="314"/>
    </w:p>
    <w:p w14:paraId="7EDFDBDE" w14:textId="77777777" w:rsidR="004B0883" w:rsidRDefault="004B0883">
      <w:pPr>
        <w:keepNext/>
        <w:widowControl w:val="0"/>
        <w:jc w:val="right"/>
        <w:rPr>
          <w:szCs w:val="22"/>
        </w:rPr>
      </w:pPr>
      <w:r>
        <w:rPr>
          <w:rFonts w:hint="eastAsia"/>
          <w:szCs w:val="22"/>
        </w:rPr>
        <w:t>单位：万元</w:t>
      </w:r>
    </w:p>
    <w:tbl>
      <w:tblPr>
        <w:tblW w:w="5276"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28"/>
        <w:gridCol w:w="2765"/>
        <w:gridCol w:w="1236"/>
        <w:gridCol w:w="1236"/>
        <w:gridCol w:w="1237"/>
        <w:gridCol w:w="1235"/>
      </w:tblGrid>
      <w:tr w:rsidR="004B0883" w14:paraId="529105F6" w14:textId="77777777">
        <w:trPr>
          <w:trHeight w:val="397"/>
          <w:tblHeader/>
          <w:jc w:val="center"/>
        </w:trPr>
        <w:tc>
          <w:tcPr>
            <w:tcW w:w="576" w:type="pct"/>
            <w:shd w:val="clear" w:color="auto" w:fill="D9D9D9"/>
            <w:tcMar>
              <w:top w:w="0" w:type="dxa"/>
              <w:bottom w:w="0" w:type="dxa"/>
            </w:tcMar>
            <w:vAlign w:val="center"/>
          </w:tcPr>
          <w:p w14:paraId="6D02DD24" w14:textId="77777777" w:rsidR="004B0883" w:rsidRDefault="004B0883">
            <w:pPr>
              <w:widowControl w:val="0"/>
              <w:adjustRightInd w:val="0"/>
              <w:snapToGrid w:val="0"/>
              <w:jc w:val="center"/>
              <w:rPr>
                <w:b/>
                <w:bCs/>
                <w:color w:val="000000"/>
                <w:kern w:val="0"/>
                <w:sz w:val="20"/>
                <w:szCs w:val="20"/>
              </w:rPr>
            </w:pPr>
            <w:bookmarkStart w:id="316" w:name="_Hlk106443475"/>
            <w:r>
              <w:rPr>
                <w:rFonts w:hint="eastAsia"/>
                <w:b/>
                <w:bCs/>
                <w:color w:val="000000"/>
                <w:kern w:val="0"/>
                <w:sz w:val="20"/>
                <w:szCs w:val="20"/>
              </w:rPr>
              <w:t>时间</w:t>
            </w:r>
          </w:p>
        </w:tc>
        <w:tc>
          <w:tcPr>
            <w:tcW w:w="1585" w:type="pct"/>
            <w:shd w:val="clear" w:color="auto" w:fill="D9D9D9"/>
            <w:tcMar>
              <w:top w:w="0" w:type="dxa"/>
              <w:bottom w:w="0" w:type="dxa"/>
            </w:tcMar>
            <w:vAlign w:val="center"/>
          </w:tcPr>
          <w:p w14:paraId="21EA93E8" w14:textId="77777777" w:rsidR="004B0883" w:rsidRDefault="004B0883">
            <w:pPr>
              <w:widowControl w:val="0"/>
              <w:adjustRightInd w:val="0"/>
              <w:snapToGrid w:val="0"/>
              <w:jc w:val="center"/>
              <w:rPr>
                <w:b/>
                <w:bCs/>
                <w:color w:val="000000"/>
                <w:kern w:val="0"/>
                <w:sz w:val="20"/>
                <w:szCs w:val="20"/>
              </w:rPr>
            </w:pPr>
            <w:r>
              <w:rPr>
                <w:rFonts w:hint="eastAsia"/>
                <w:b/>
                <w:bCs/>
                <w:color w:val="000000"/>
                <w:kern w:val="0"/>
                <w:sz w:val="20"/>
                <w:szCs w:val="20"/>
              </w:rPr>
              <w:t>客户名称</w:t>
            </w:r>
          </w:p>
        </w:tc>
        <w:tc>
          <w:tcPr>
            <w:tcW w:w="710" w:type="pct"/>
            <w:shd w:val="clear" w:color="auto" w:fill="D9D9D9"/>
            <w:tcMar>
              <w:top w:w="0" w:type="dxa"/>
              <w:bottom w:w="0" w:type="dxa"/>
            </w:tcMar>
            <w:vAlign w:val="center"/>
          </w:tcPr>
          <w:p w14:paraId="3F38FF6D" w14:textId="77777777" w:rsidR="004B0883" w:rsidRDefault="004B0883">
            <w:pPr>
              <w:widowControl w:val="0"/>
              <w:adjustRightInd w:val="0"/>
              <w:snapToGrid w:val="0"/>
              <w:jc w:val="center"/>
              <w:rPr>
                <w:b/>
                <w:bCs/>
                <w:color w:val="000000"/>
                <w:kern w:val="0"/>
                <w:sz w:val="20"/>
                <w:szCs w:val="20"/>
              </w:rPr>
            </w:pPr>
            <w:r>
              <w:rPr>
                <w:rFonts w:hint="eastAsia"/>
                <w:b/>
                <w:bCs/>
                <w:color w:val="000000"/>
                <w:kern w:val="0"/>
                <w:sz w:val="20"/>
                <w:szCs w:val="20"/>
              </w:rPr>
              <w:t>应收账款余额</w:t>
            </w:r>
          </w:p>
        </w:tc>
        <w:tc>
          <w:tcPr>
            <w:tcW w:w="710" w:type="pct"/>
            <w:shd w:val="clear" w:color="auto" w:fill="D9D9D9"/>
            <w:tcMar>
              <w:top w:w="0" w:type="dxa"/>
              <w:bottom w:w="0" w:type="dxa"/>
            </w:tcMar>
            <w:vAlign w:val="center"/>
          </w:tcPr>
          <w:p w14:paraId="08ABD1C4" w14:textId="77777777" w:rsidR="004B0883" w:rsidRDefault="004B0883">
            <w:pPr>
              <w:widowControl w:val="0"/>
              <w:adjustRightInd w:val="0"/>
              <w:snapToGrid w:val="0"/>
              <w:jc w:val="center"/>
              <w:rPr>
                <w:b/>
                <w:bCs/>
                <w:color w:val="000000"/>
                <w:kern w:val="0"/>
                <w:sz w:val="20"/>
                <w:szCs w:val="20"/>
              </w:rPr>
            </w:pPr>
            <w:r>
              <w:rPr>
                <w:rFonts w:hint="eastAsia"/>
                <w:b/>
                <w:bCs/>
                <w:color w:val="000000"/>
                <w:kern w:val="0"/>
                <w:sz w:val="20"/>
                <w:szCs w:val="20"/>
              </w:rPr>
              <w:t>应收账款账龄</w:t>
            </w:r>
          </w:p>
        </w:tc>
        <w:tc>
          <w:tcPr>
            <w:tcW w:w="710" w:type="pct"/>
            <w:shd w:val="clear" w:color="auto" w:fill="D9D9D9"/>
            <w:tcMar>
              <w:top w:w="0" w:type="dxa"/>
              <w:bottom w:w="0" w:type="dxa"/>
            </w:tcMar>
            <w:vAlign w:val="center"/>
          </w:tcPr>
          <w:p w14:paraId="429B0586" w14:textId="77777777" w:rsidR="004B0883" w:rsidRDefault="004B0883">
            <w:pPr>
              <w:widowControl w:val="0"/>
              <w:adjustRightInd w:val="0"/>
              <w:snapToGrid w:val="0"/>
              <w:jc w:val="center"/>
              <w:rPr>
                <w:b/>
                <w:bCs/>
                <w:color w:val="000000"/>
                <w:kern w:val="0"/>
                <w:sz w:val="20"/>
                <w:szCs w:val="20"/>
              </w:rPr>
            </w:pPr>
            <w:r>
              <w:rPr>
                <w:rFonts w:hint="eastAsia"/>
                <w:b/>
                <w:bCs/>
                <w:color w:val="000000"/>
                <w:kern w:val="0"/>
                <w:sz w:val="20"/>
                <w:szCs w:val="20"/>
              </w:rPr>
              <w:t>占应收账款余额比例</w:t>
            </w:r>
          </w:p>
        </w:tc>
        <w:tc>
          <w:tcPr>
            <w:tcW w:w="710" w:type="pct"/>
            <w:shd w:val="clear" w:color="auto" w:fill="D9D9D9"/>
            <w:tcMar>
              <w:top w:w="0" w:type="dxa"/>
              <w:bottom w:w="0" w:type="dxa"/>
            </w:tcMar>
            <w:vAlign w:val="center"/>
          </w:tcPr>
          <w:p w14:paraId="502FBDCB" w14:textId="77777777" w:rsidR="004B0883" w:rsidRDefault="004B0883">
            <w:pPr>
              <w:widowControl w:val="0"/>
              <w:adjustRightInd w:val="0"/>
              <w:snapToGrid w:val="0"/>
              <w:jc w:val="center"/>
              <w:rPr>
                <w:b/>
                <w:bCs/>
                <w:color w:val="000000"/>
                <w:kern w:val="0"/>
                <w:sz w:val="20"/>
                <w:szCs w:val="20"/>
              </w:rPr>
            </w:pPr>
            <w:r>
              <w:rPr>
                <w:rFonts w:hint="eastAsia"/>
                <w:b/>
                <w:bCs/>
                <w:color w:val="000000"/>
                <w:kern w:val="0"/>
                <w:sz w:val="20"/>
                <w:szCs w:val="20"/>
              </w:rPr>
              <w:t>坏账准备</w:t>
            </w:r>
          </w:p>
        </w:tc>
      </w:tr>
      <w:tr w:rsidR="004B0883" w14:paraId="258EC9B8" w14:textId="77777777">
        <w:trPr>
          <w:trHeight w:val="397"/>
          <w:jc w:val="center"/>
        </w:trPr>
        <w:tc>
          <w:tcPr>
            <w:tcW w:w="576" w:type="pct"/>
            <w:vMerge w:val="restart"/>
            <w:tcMar>
              <w:top w:w="0" w:type="dxa"/>
              <w:bottom w:w="0" w:type="dxa"/>
            </w:tcMar>
            <w:vAlign w:val="center"/>
          </w:tcPr>
          <w:p w14:paraId="209E99D1" w14:textId="77777777" w:rsidR="004B0883" w:rsidRDefault="004B0883">
            <w:pPr>
              <w:widowControl w:val="0"/>
              <w:adjustRightInd w:val="0"/>
              <w:snapToGrid w:val="0"/>
              <w:jc w:val="center"/>
              <w:rPr>
                <w:sz w:val="20"/>
                <w:szCs w:val="20"/>
              </w:rPr>
            </w:pPr>
            <w:r>
              <w:rPr>
                <w:color w:val="000000"/>
                <w:kern w:val="0"/>
                <w:sz w:val="20"/>
                <w:szCs w:val="20"/>
              </w:rPr>
              <w:t>2023/</w:t>
            </w:r>
            <w:r>
              <w:rPr>
                <w:rFonts w:hint="eastAsia"/>
                <w:color w:val="000000"/>
                <w:kern w:val="0"/>
                <w:sz w:val="20"/>
                <w:szCs w:val="20"/>
              </w:rPr>
              <w:t>9</w:t>
            </w:r>
            <w:r>
              <w:rPr>
                <w:color w:val="000000"/>
                <w:kern w:val="0"/>
                <w:sz w:val="20"/>
                <w:szCs w:val="20"/>
              </w:rPr>
              <w:t>/30</w:t>
            </w:r>
          </w:p>
        </w:tc>
        <w:tc>
          <w:tcPr>
            <w:tcW w:w="1585" w:type="pct"/>
            <w:tcMar>
              <w:top w:w="0" w:type="dxa"/>
              <w:bottom w:w="0" w:type="dxa"/>
            </w:tcMar>
            <w:vAlign w:val="center"/>
          </w:tcPr>
          <w:p w14:paraId="7F7FAC88" w14:textId="77777777" w:rsidR="004B0883" w:rsidRDefault="004B0883">
            <w:pPr>
              <w:adjustRightInd w:val="0"/>
              <w:snapToGrid w:val="0"/>
              <w:jc w:val="both"/>
              <w:rPr>
                <w:color w:val="000000"/>
                <w:kern w:val="0"/>
                <w:sz w:val="20"/>
                <w:szCs w:val="20"/>
              </w:rPr>
            </w:pPr>
            <w:r>
              <w:rPr>
                <w:sz w:val="20"/>
                <w:szCs w:val="20"/>
              </w:rPr>
              <w:t>J&amp;S Valve, Inc</w:t>
            </w:r>
          </w:p>
        </w:tc>
        <w:tc>
          <w:tcPr>
            <w:tcW w:w="710" w:type="pct"/>
            <w:tcMar>
              <w:top w:w="0" w:type="dxa"/>
              <w:bottom w:w="0" w:type="dxa"/>
            </w:tcMar>
            <w:vAlign w:val="center"/>
          </w:tcPr>
          <w:p w14:paraId="600AD3CB" w14:textId="77777777" w:rsidR="004B0883" w:rsidRDefault="004B0883">
            <w:pPr>
              <w:adjustRightInd w:val="0"/>
              <w:snapToGrid w:val="0"/>
              <w:jc w:val="right"/>
              <w:rPr>
                <w:color w:val="000000"/>
                <w:kern w:val="0"/>
                <w:sz w:val="20"/>
                <w:szCs w:val="20"/>
              </w:rPr>
            </w:pPr>
            <w:r>
              <w:rPr>
                <w:sz w:val="20"/>
                <w:szCs w:val="20"/>
              </w:rPr>
              <w:t xml:space="preserve">843.20 </w:t>
            </w:r>
          </w:p>
        </w:tc>
        <w:tc>
          <w:tcPr>
            <w:tcW w:w="710" w:type="pct"/>
            <w:tcMar>
              <w:top w:w="0" w:type="dxa"/>
              <w:bottom w:w="0" w:type="dxa"/>
            </w:tcMar>
            <w:vAlign w:val="center"/>
          </w:tcPr>
          <w:p w14:paraId="1A6BEC4A" w14:textId="77777777" w:rsidR="004B0883" w:rsidRDefault="004B0883">
            <w:pPr>
              <w:widowControl w:val="0"/>
              <w:adjustRightInd w:val="0"/>
              <w:snapToGrid w:val="0"/>
              <w:jc w:val="center"/>
              <w:rPr>
                <w:kern w:val="0"/>
                <w:sz w:val="20"/>
                <w:szCs w:val="20"/>
              </w:rPr>
            </w:pPr>
            <w:r>
              <w:rPr>
                <w:rFonts w:hint="eastAsia"/>
                <w:kern w:val="0"/>
                <w:sz w:val="20"/>
                <w:szCs w:val="20"/>
              </w:rPr>
              <w:t>1</w:t>
            </w:r>
            <w:r>
              <w:rPr>
                <w:rFonts w:hint="eastAsia"/>
                <w:kern w:val="0"/>
                <w:sz w:val="20"/>
                <w:szCs w:val="20"/>
              </w:rPr>
              <w:t>年以内</w:t>
            </w:r>
          </w:p>
        </w:tc>
        <w:tc>
          <w:tcPr>
            <w:tcW w:w="710" w:type="pct"/>
            <w:tcMar>
              <w:top w:w="0" w:type="dxa"/>
              <w:bottom w:w="0" w:type="dxa"/>
            </w:tcMar>
            <w:vAlign w:val="center"/>
          </w:tcPr>
          <w:p w14:paraId="395488AF" w14:textId="77777777" w:rsidR="004B0883" w:rsidRDefault="004B0883">
            <w:pPr>
              <w:adjustRightInd w:val="0"/>
              <w:snapToGrid w:val="0"/>
              <w:jc w:val="right"/>
              <w:rPr>
                <w:color w:val="000000"/>
                <w:kern w:val="0"/>
                <w:sz w:val="20"/>
                <w:szCs w:val="20"/>
              </w:rPr>
            </w:pPr>
            <w:r>
              <w:rPr>
                <w:sz w:val="20"/>
                <w:szCs w:val="20"/>
              </w:rPr>
              <w:t>8.38</w:t>
            </w:r>
            <w:r>
              <w:rPr>
                <w:rFonts w:hint="eastAsia"/>
                <w:sz w:val="20"/>
                <w:szCs w:val="20"/>
              </w:rPr>
              <w:t>%</w:t>
            </w:r>
            <w:r>
              <w:rPr>
                <w:sz w:val="20"/>
                <w:szCs w:val="20"/>
              </w:rPr>
              <w:t xml:space="preserve"> </w:t>
            </w:r>
          </w:p>
        </w:tc>
        <w:tc>
          <w:tcPr>
            <w:tcW w:w="710" w:type="pct"/>
            <w:tcMar>
              <w:top w:w="0" w:type="dxa"/>
              <w:bottom w:w="0" w:type="dxa"/>
            </w:tcMar>
            <w:vAlign w:val="center"/>
          </w:tcPr>
          <w:p w14:paraId="7B0C6515" w14:textId="77777777" w:rsidR="004B0883" w:rsidRDefault="004B0883">
            <w:pPr>
              <w:widowControl w:val="0"/>
              <w:adjustRightInd w:val="0"/>
              <w:snapToGrid w:val="0"/>
              <w:jc w:val="right"/>
              <w:rPr>
                <w:kern w:val="0"/>
                <w:sz w:val="20"/>
                <w:szCs w:val="20"/>
              </w:rPr>
            </w:pPr>
            <w:r>
              <w:rPr>
                <w:sz w:val="20"/>
                <w:szCs w:val="20"/>
              </w:rPr>
              <w:t xml:space="preserve">42.16 </w:t>
            </w:r>
          </w:p>
        </w:tc>
      </w:tr>
      <w:tr w:rsidR="004B0883" w14:paraId="248DB4BB" w14:textId="77777777">
        <w:trPr>
          <w:trHeight w:val="397"/>
          <w:jc w:val="center"/>
        </w:trPr>
        <w:tc>
          <w:tcPr>
            <w:tcW w:w="576" w:type="pct"/>
            <w:vMerge/>
            <w:tcMar>
              <w:top w:w="0" w:type="dxa"/>
              <w:bottom w:w="0" w:type="dxa"/>
            </w:tcMar>
            <w:vAlign w:val="center"/>
          </w:tcPr>
          <w:p w14:paraId="71DD71AE" w14:textId="77777777" w:rsidR="004B0883" w:rsidRDefault="004B0883">
            <w:pPr>
              <w:widowControl w:val="0"/>
              <w:adjustRightInd w:val="0"/>
              <w:snapToGrid w:val="0"/>
              <w:rPr>
                <w:sz w:val="20"/>
                <w:szCs w:val="20"/>
              </w:rPr>
            </w:pPr>
          </w:p>
        </w:tc>
        <w:tc>
          <w:tcPr>
            <w:tcW w:w="1585" w:type="pct"/>
            <w:tcMar>
              <w:top w:w="0" w:type="dxa"/>
              <w:bottom w:w="0" w:type="dxa"/>
            </w:tcMar>
            <w:vAlign w:val="center"/>
          </w:tcPr>
          <w:p w14:paraId="575F183F" w14:textId="77777777" w:rsidR="004B0883" w:rsidRDefault="004B0883">
            <w:pPr>
              <w:adjustRightInd w:val="0"/>
              <w:snapToGrid w:val="0"/>
              <w:jc w:val="both"/>
              <w:rPr>
                <w:color w:val="000000"/>
                <w:kern w:val="0"/>
                <w:sz w:val="20"/>
                <w:szCs w:val="20"/>
              </w:rPr>
            </w:pPr>
            <w:r>
              <w:rPr>
                <w:sz w:val="20"/>
                <w:szCs w:val="20"/>
              </w:rPr>
              <w:t>LANSDALE INTERNATIONAL LLC</w:t>
            </w:r>
          </w:p>
        </w:tc>
        <w:tc>
          <w:tcPr>
            <w:tcW w:w="710" w:type="pct"/>
            <w:tcMar>
              <w:top w:w="0" w:type="dxa"/>
              <w:bottom w:w="0" w:type="dxa"/>
            </w:tcMar>
            <w:vAlign w:val="center"/>
          </w:tcPr>
          <w:p w14:paraId="7632026C" w14:textId="77777777" w:rsidR="004B0883" w:rsidRDefault="004B0883">
            <w:pPr>
              <w:adjustRightInd w:val="0"/>
              <w:snapToGrid w:val="0"/>
              <w:jc w:val="right"/>
              <w:rPr>
                <w:color w:val="000000"/>
                <w:kern w:val="0"/>
                <w:sz w:val="20"/>
                <w:szCs w:val="20"/>
              </w:rPr>
            </w:pPr>
            <w:r>
              <w:rPr>
                <w:sz w:val="20"/>
                <w:szCs w:val="20"/>
              </w:rPr>
              <w:t xml:space="preserve">605.73 </w:t>
            </w:r>
          </w:p>
        </w:tc>
        <w:tc>
          <w:tcPr>
            <w:tcW w:w="710" w:type="pct"/>
            <w:tcMar>
              <w:top w:w="0" w:type="dxa"/>
              <w:bottom w:w="0" w:type="dxa"/>
            </w:tcMar>
            <w:vAlign w:val="center"/>
          </w:tcPr>
          <w:p w14:paraId="7793EBC2" w14:textId="77777777" w:rsidR="004B0883" w:rsidRDefault="004B0883">
            <w:pPr>
              <w:jc w:val="center"/>
              <w:rPr>
                <w:sz w:val="20"/>
                <w:szCs w:val="20"/>
              </w:rPr>
            </w:pPr>
            <w:r>
              <w:rPr>
                <w:rFonts w:hint="eastAsia"/>
                <w:kern w:val="0"/>
                <w:sz w:val="20"/>
                <w:szCs w:val="20"/>
              </w:rPr>
              <w:t>1</w:t>
            </w:r>
            <w:r>
              <w:rPr>
                <w:rFonts w:hint="eastAsia"/>
                <w:kern w:val="0"/>
                <w:sz w:val="20"/>
                <w:szCs w:val="20"/>
              </w:rPr>
              <w:t>年以内</w:t>
            </w:r>
          </w:p>
        </w:tc>
        <w:tc>
          <w:tcPr>
            <w:tcW w:w="710" w:type="pct"/>
            <w:tcMar>
              <w:top w:w="0" w:type="dxa"/>
              <w:bottom w:w="0" w:type="dxa"/>
            </w:tcMar>
            <w:vAlign w:val="center"/>
          </w:tcPr>
          <w:p w14:paraId="00C85B81" w14:textId="77777777" w:rsidR="004B0883" w:rsidRDefault="004B0883">
            <w:pPr>
              <w:adjustRightInd w:val="0"/>
              <w:snapToGrid w:val="0"/>
              <w:jc w:val="right"/>
              <w:rPr>
                <w:color w:val="000000"/>
                <w:kern w:val="0"/>
                <w:sz w:val="20"/>
                <w:szCs w:val="20"/>
              </w:rPr>
            </w:pPr>
            <w:r>
              <w:rPr>
                <w:sz w:val="20"/>
                <w:szCs w:val="20"/>
              </w:rPr>
              <w:t>6.02</w:t>
            </w:r>
            <w:r>
              <w:rPr>
                <w:rFonts w:hint="eastAsia"/>
                <w:sz w:val="20"/>
                <w:szCs w:val="20"/>
              </w:rPr>
              <w:t>%</w:t>
            </w:r>
            <w:r>
              <w:rPr>
                <w:sz w:val="20"/>
                <w:szCs w:val="20"/>
              </w:rPr>
              <w:t xml:space="preserve"> </w:t>
            </w:r>
          </w:p>
        </w:tc>
        <w:tc>
          <w:tcPr>
            <w:tcW w:w="710" w:type="pct"/>
            <w:tcMar>
              <w:top w:w="0" w:type="dxa"/>
              <w:bottom w:w="0" w:type="dxa"/>
            </w:tcMar>
            <w:vAlign w:val="center"/>
          </w:tcPr>
          <w:p w14:paraId="216B183E" w14:textId="77777777" w:rsidR="004B0883" w:rsidRDefault="004B0883">
            <w:pPr>
              <w:widowControl w:val="0"/>
              <w:adjustRightInd w:val="0"/>
              <w:snapToGrid w:val="0"/>
              <w:jc w:val="right"/>
              <w:rPr>
                <w:kern w:val="0"/>
                <w:sz w:val="20"/>
                <w:szCs w:val="20"/>
              </w:rPr>
            </w:pPr>
            <w:r>
              <w:rPr>
                <w:sz w:val="20"/>
                <w:szCs w:val="20"/>
              </w:rPr>
              <w:t xml:space="preserve">30.29 </w:t>
            </w:r>
          </w:p>
        </w:tc>
      </w:tr>
      <w:tr w:rsidR="004B0883" w14:paraId="68F1431B" w14:textId="77777777">
        <w:trPr>
          <w:trHeight w:val="397"/>
          <w:jc w:val="center"/>
        </w:trPr>
        <w:tc>
          <w:tcPr>
            <w:tcW w:w="576" w:type="pct"/>
            <w:vMerge/>
            <w:tcMar>
              <w:top w:w="0" w:type="dxa"/>
              <w:bottom w:w="0" w:type="dxa"/>
            </w:tcMar>
            <w:vAlign w:val="center"/>
          </w:tcPr>
          <w:p w14:paraId="6B5B1D5F" w14:textId="77777777" w:rsidR="004B0883" w:rsidRDefault="004B0883">
            <w:pPr>
              <w:widowControl w:val="0"/>
              <w:adjustRightInd w:val="0"/>
              <w:snapToGrid w:val="0"/>
              <w:rPr>
                <w:sz w:val="20"/>
                <w:szCs w:val="20"/>
              </w:rPr>
            </w:pPr>
          </w:p>
        </w:tc>
        <w:tc>
          <w:tcPr>
            <w:tcW w:w="1585" w:type="pct"/>
            <w:tcMar>
              <w:top w:w="0" w:type="dxa"/>
              <w:bottom w:w="0" w:type="dxa"/>
            </w:tcMar>
            <w:vAlign w:val="center"/>
          </w:tcPr>
          <w:p w14:paraId="2182A6E2" w14:textId="77777777" w:rsidR="004B0883" w:rsidRDefault="004B0883">
            <w:pPr>
              <w:adjustRightInd w:val="0"/>
              <w:snapToGrid w:val="0"/>
              <w:jc w:val="both"/>
              <w:rPr>
                <w:color w:val="000000"/>
                <w:kern w:val="0"/>
                <w:sz w:val="20"/>
                <w:szCs w:val="20"/>
              </w:rPr>
            </w:pPr>
            <w:r>
              <w:rPr>
                <w:sz w:val="20"/>
                <w:szCs w:val="20"/>
              </w:rPr>
              <w:t>GIACOMINI UNIVAL TESISAT ARMATURLERI SAN.VE TIC.LTD.STI.</w:t>
            </w:r>
          </w:p>
        </w:tc>
        <w:tc>
          <w:tcPr>
            <w:tcW w:w="710" w:type="pct"/>
            <w:tcMar>
              <w:top w:w="0" w:type="dxa"/>
              <w:bottom w:w="0" w:type="dxa"/>
            </w:tcMar>
            <w:vAlign w:val="center"/>
          </w:tcPr>
          <w:p w14:paraId="2C48F469" w14:textId="77777777" w:rsidR="004B0883" w:rsidRDefault="004B0883">
            <w:pPr>
              <w:adjustRightInd w:val="0"/>
              <w:snapToGrid w:val="0"/>
              <w:jc w:val="right"/>
              <w:rPr>
                <w:color w:val="000000"/>
                <w:kern w:val="0"/>
                <w:sz w:val="20"/>
                <w:szCs w:val="20"/>
              </w:rPr>
            </w:pPr>
            <w:r>
              <w:rPr>
                <w:sz w:val="20"/>
                <w:szCs w:val="20"/>
              </w:rPr>
              <w:t xml:space="preserve">595.05 </w:t>
            </w:r>
          </w:p>
        </w:tc>
        <w:tc>
          <w:tcPr>
            <w:tcW w:w="710" w:type="pct"/>
            <w:tcMar>
              <w:top w:w="0" w:type="dxa"/>
              <w:bottom w:w="0" w:type="dxa"/>
            </w:tcMar>
            <w:vAlign w:val="center"/>
          </w:tcPr>
          <w:p w14:paraId="05D51E7D" w14:textId="77777777" w:rsidR="004B0883" w:rsidRDefault="004B0883">
            <w:pPr>
              <w:jc w:val="center"/>
              <w:rPr>
                <w:sz w:val="20"/>
                <w:szCs w:val="20"/>
              </w:rPr>
            </w:pPr>
            <w:r>
              <w:rPr>
                <w:rFonts w:hint="eastAsia"/>
                <w:kern w:val="0"/>
                <w:sz w:val="20"/>
                <w:szCs w:val="20"/>
              </w:rPr>
              <w:t>1</w:t>
            </w:r>
            <w:r>
              <w:rPr>
                <w:rFonts w:hint="eastAsia"/>
                <w:kern w:val="0"/>
                <w:sz w:val="20"/>
                <w:szCs w:val="20"/>
              </w:rPr>
              <w:t>年以内</w:t>
            </w:r>
          </w:p>
        </w:tc>
        <w:tc>
          <w:tcPr>
            <w:tcW w:w="710" w:type="pct"/>
            <w:tcMar>
              <w:top w:w="0" w:type="dxa"/>
              <w:bottom w:w="0" w:type="dxa"/>
            </w:tcMar>
            <w:vAlign w:val="center"/>
          </w:tcPr>
          <w:p w14:paraId="5BFF59AE" w14:textId="77777777" w:rsidR="004B0883" w:rsidRDefault="004B0883">
            <w:pPr>
              <w:adjustRightInd w:val="0"/>
              <w:snapToGrid w:val="0"/>
              <w:jc w:val="right"/>
              <w:rPr>
                <w:color w:val="000000"/>
                <w:kern w:val="0"/>
                <w:sz w:val="20"/>
                <w:szCs w:val="20"/>
              </w:rPr>
            </w:pPr>
            <w:r>
              <w:rPr>
                <w:sz w:val="20"/>
                <w:szCs w:val="20"/>
              </w:rPr>
              <w:t>5.92</w:t>
            </w:r>
            <w:r>
              <w:rPr>
                <w:rFonts w:hint="eastAsia"/>
                <w:sz w:val="20"/>
                <w:szCs w:val="20"/>
              </w:rPr>
              <w:t>%</w:t>
            </w:r>
            <w:r>
              <w:rPr>
                <w:sz w:val="20"/>
                <w:szCs w:val="20"/>
              </w:rPr>
              <w:t xml:space="preserve"> </w:t>
            </w:r>
          </w:p>
        </w:tc>
        <w:tc>
          <w:tcPr>
            <w:tcW w:w="710" w:type="pct"/>
            <w:tcMar>
              <w:top w:w="0" w:type="dxa"/>
              <w:bottom w:w="0" w:type="dxa"/>
            </w:tcMar>
            <w:vAlign w:val="center"/>
          </w:tcPr>
          <w:p w14:paraId="6E2051DB" w14:textId="77777777" w:rsidR="004B0883" w:rsidRDefault="004B0883">
            <w:pPr>
              <w:widowControl w:val="0"/>
              <w:adjustRightInd w:val="0"/>
              <w:snapToGrid w:val="0"/>
              <w:jc w:val="right"/>
              <w:rPr>
                <w:kern w:val="0"/>
                <w:sz w:val="20"/>
                <w:szCs w:val="20"/>
              </w:rPr>
            </w:pPr>
            <w:r>
              <w:rPr>
                <w:sz w:val="20"/>
                <w:szCs w:val="20"/>
              </w:rPr>
              <w:t xml:space="preserve">29.75 </w:t>
            </w:r>
          </w:p>
        </w:tc>
      </w:tr>
      <w:tr w:rsidR="004B0883" w14:paraId="0486BE4E" w14:textId="77777777">
        <w:trPr>
          <w:trHeight w:val="397"/>
          <w:jc w:val="center"/>
        </w:trPr>
        <w:tc>
          <w:tcPr>
            <w:tcW w:w="576" w:type="pct"/>
            <w:vMerge/>
            <w:tcMar>
              <w:top w:w="0" w:type="dxa"/>
              <w:bottom w:w="0" w:type="dxa"/>
            </w:tcMar>
            <w:vAlign w:val="center"/>
          </w:tcPr>
          <w:p w14:paraId="0AA84917" w14:textId="77777777" w:rsidR="004B0883" w:rsidRDefault="004B0883">
            <w:pPr>
              <w:widowControl w:val="0"/>
              <w:adjustRightInd w:val="0"/>
              <w:snapToGrid w:val="0"/>
              <w:rPr>
                <w:sz w:val="20"/>
                <w:szCs w:val="20"/>
              </w:rPr>
            </w:pPr>
          </w:p>
        </w:tc>
        <w:tc>
          <w:tcPr>
            <w:tcW w:w="1585" w:type="pct"/>
            <w:tcMar>
              <w:top w:w="0" w:type="dxa"/>
              <w:bottom w:w="0" w:type="dxa"/>
            </w:tcMar>
            <w:vAlign w:val="center"/>
          </w:tcPr>
          <w:p w14:paraId="7508A881" w14:textId="77777777" w:rsidR="004B0883" w:rsidRDefault="004B0883">
            <w:pPr>
              <w:adjustRightInd w:val="0"/>
              <w:snapToGrid w:val="0"/>
              <w:jc w:val="both"/>
              <w:rPr>
                <w:color w:val="000000"/>
                <w:kern w:val="0"/>
                <w:sz w:val="20"/>
                <w:szCs w:val="20"/>
              </w:rPr>
            </w:pPr>
            <w:r>
              <w:rPr>
                <w:sz w:val="20"/>
                <w:szCs w:val="20"/>
              </w:rPr>
              <w:t>LICHFIELD FIRE AND SAFETY EQUIPMENT FZE</w:t>
            </w:r>
          </w:p>
        </w:tc>
        <w:tc>
          <w:tcPr>
            <w:tcW w:w="710" w:type="pct"/>
            <w:tcMar>
              <w:top w:w="0" w:type="dxa"/>
              <w:bottom w:w="0" w:type="dxa"/>
            </w:tcMar>
            <w:vAlign w:val="center"/>
          </w:tcPr>
          <w:p w14:paraId="6835630F" w14:textId="77777777" w:rsidR="004B0883" w:rsidRDefault="004B0883">
            <w:pPr>
              <w:adjustRightInd w:val="0"/>
              <w:snapToGrid w:val="0"/>
              <w:jc w:val="right"/>
              <w:rPr>
                <w:color w:val="000000"/>
                <w:kern w:val="0"/>
                <w:sz w:val="20"/>
                <w:szCs w:val="20"/>
              </w:rPr>
            </w:pPr>
            <w:r>
              <w:rPr>
                <w:sz w:val="20"/>
                <w:szCs w:val="20"/>
              </w:rPr>
              <w:t xml:space="preserve">557.92 </w:t>
            </w:r>
          </w:p>
        </w:tc>
        <w:tc>
          <w:tcPr>
            <w:tcW w:w="710" w:type="pct"/>
            <w:tcMar>
              <w:top w:w="0" w:type="dxa"/>
              <w:bottom w:w="0" w:type="dxa"/>
            </w:tcMar>
            <w:vAlign w:val="center"/>
          </w:tcPr>
          <w:p w14:paraId="63261C93" w14:textId="77777777" w:rsidR="004B0883" w:rsidRDefault="004B0883">
            <w:pPr>
              <w:jc w:val="center"/>
              <w:rPr>
                <w:sz w:val="20"/>
                <w:szCs w:val="20"/>
              </w:rPr>
            </w:pPr>
            <w:r>
              <w:rPr>
                <w:rFonts w:hint="eastAsia"/>
                <w:kern w:val="0"/>
                <w:sz w:val="20"/>
                <w:szCs w:val="20"/>
              </w:rPr>
              <w:t>1</w:t>
            </w:r>
            <w:r>
              <w:rPr>
                <w:rFonts w:hint="eastAsia"/>
                <w:kern w:val="0"/>
                <w:sz w:val="20"/>
                <w:szCs w:val="20"/>
              </w:rPr>
              <w:t>年以内</w:t>
            </w:r>
          </w:p>
        </w:tc>
        <w:tc>
          <w:tcPr>
            <w:tcW w:w="710" w:type="pct"/>
            <w:tcMar>
              <w:top w:w="0" w:type="dxa"/>
              <w:bottom w:w="0" w:type="dxa"/>
            </w:tcMar>
            <w:vAlign w:val="center"/>
          </w:tcPr>
          <w:p w14:paraId="48232358" w14:textId="77777777" w:rsidR="004B0883" w:rsidRDefault="004B0883">
            <w:pPr>
              <w:adjustRightInd w:val="0"/>
              <w:snapToGrid w:val="0"/>
              <w:jc w:val="right"/>
              <w:rPr>
                <w:color w:val="000000"/>
                <w:kern w:val="0"/>
                <w:sz w:val="20"/>
                <w:szCs w:val="20"/>
              </w:rPr>
            </w:pPr>
            <w:r>
              <w:rPr>
                <w:sz w:val="20"/>
                <w:szCs w:val="20"/>
              </w:rPr>
              <w:t>5.55</w:t>
            </w:r>
            <w:r>
              <w:rPr>
                <w:rFonts w:hint="eastAsia"/>
                <w:sz w:val="20"/>
                <w:szCs w:val="20"/>
              </w:rPr>
              <w:t>%</w:t>
            </w:r>
          </w:p>
        </w:tc>
        <w:tc>
          <w:tcPr>
            <w:tcW w:w="710" w:type="pct"/>
            <w:tcMar>
              <w:top w:w="0" w:type="dxa"/>
              <w:bottom w:w="0" w:type="dxa"/>
            </w:tcMar>
            <w:vAlign w:val="center"/>
          </w:tcPr>
          <w:p w14:paraId="070FCF0C" w14:textId="77777777" w:rsidR="004B0883" w:rsidRDefault="004B0883">
            <w:pPr>
              <w:widowControl w:val="0"/>
              <w:adjustRightInd w:val="0"/>
              <w:snapToGrid w:val="0"/>
              <w:jc w:val="right"/>
              <w:rPr>
                <w:kern w:val="0"/>
                <w:sz w:val="20"/>
                <w:szCs w:val="20"/>
              </w:rPr>
            </w:pPr>
            <w:r>
              <w:rPr>
                <w:sz w:val="20"/>
                <w:szCs w:val="20"/>
              </w:rPr>
              <w:t xml:space="preserve">27.90 </w:t>
            </w:r>
          </w:p>
        </w:tc>
      </w:tr>
      <w:tr w:rsidR="004B0883" w14:paraId="578B3C32" w14:textId="77777777">
        <w:trPr>
          <w:trHeight w:val="397"/>
          <w:jc w:val="center"/>
        </w:trPr>
        <w:tc>
          <w:tcPr>
            <w:tcW w:w="576" w:type="pct"/>
            <w:vMerge/>
            <w:tcMar>
              <w:top w:w="0" w:type="dxa"/>
              <w:bottom w:w="0" w:type="dxa"/>
            </w:tcMar>
            <w:vAlign w:val="center"/>
          </w:tcPr>
          <w:p w14:paraId="403F59A1" w14:textId="77777777" w:rsidR="004B0883" w:rsidRDefault="004B0883">
            <w:pPr>
              <w:widowControl w:val="0"/>
              <w:adjustRightInd w:val="0"/>
              <w:snapToGrid w:val="0"/>
              <w:rPr>
                <w:sz w:val="20"/>
                <w:szCs w:val="20"/>
              </w:rPr>
            </w:pPr>
          </w:p>
        </w:tc>
        <w:tc>
          <w:tcPr>
            <w:tcW w:w="1585" w:type="pct"/>
            <w:tcMar>
              <w:top w:w="0" w:type="dxa"/>
              <w:bottom w:w="0" w:type="dxa"/>
            </w:tcMar>
            <w:vAlign w:val="center"/>
          </w:tcPr>
          <w:p w14:paraId="595E3E2B" w14:textId="77777777" w:rsidR="004B0883" w:rsidRDefault="004B0883">
            <w:pPr>
              <w:adjustRightInd w:val="0"/>
              <w:snapToGrid w:val="0"/>
              <w:jc w:val="both"/>
              <w:rPr>
                <w:color w:val="000000"/>
                <w:kern w:val="0"/>
                <w:sz w:val="20"/>
                <w:szCs w:val="20"/>
              </w:rPr>
            </w:pPr>
            <w:r>
              <w:rPr>
                <w:sz w:val="20"/>
                <w:szCs w:val="20"/>
              </w:rPr>
              <w:t>Mercatura-GS Hungary Korlatolt Felelossegu Tarsasag</w:t>
            </w:r>
          </w:p>
        </w:tc>
        <w:tc>
          <w:tcPr>
            <w:tcW w:w="710" w:type="pct"/>
            <w:tcMar>
              <w:top w:w="0" w:type="dxa"/>
              <w:bottom w:w="0" w:type="dxa"/>
            </w:tcMar>
            <w:vAlign w:val="center"/>
          </w:tcPr>
          <w:p w14:paraId="0F83D8CE" w14:textId="77777777" w:rsidR="004B0883" w:rsidRDefault="004B0883">
            <w:pPr>
              <w:adjustRightInd w:val="0"/>
              <w:snapToGrid w:val="0"/>
              <w:jc w:val="right"/>
              <w:rPr>
                <w:color w:val="000000"/>
                <w:kern w:val="0"/>
                <w:sz w:val="20"/>
                <w:szCs w:val="20"/>
              </w:rPr>
            </w:pPr>
            <w:r>
              <w:rPr>
                <w:sz w:val="20"/>
                <w:szCs w:val="20"/>
              </w:rPr>
              <w:t xml:space="preserve">410.83 </w:t>
            </w:r>
          </w:p>
        </w:tc>
        <w:tc>
          <w:tcPr>
            <w:tcW w:w="710" w:type="pct"/>
            <w:tcMar>
              <w:top w:w="0" w:type="dxa"/>
              <w:bottom w:w="0" w:type="dxa"/>
            </w:tcMar>
            <w:vAlign w:val="center"/>
          </w:tcPr>
          <w:p w14:paraId="502120DD" w14:textId="77777777" w:rsidR="004B0883" w:rsidRDefault="004B0883">
            <w:pPr>
              <w:jc w:val="center"/>
              <w:rPr>
                <w:sz w:val="20"/>
                <w:szCs w:val="20"/>
              </w:rPr>
            </w:pPr>
            <w:r>
              <w:rPr>
                <w:rFonts w:hint="eastAsia"/>
                <w:kern w:val="0"/>
                <w:sz w:val="20"/>
                <w:szCs w:val="20"/>
              </w:rPr>
              <w:t>1</w:t>
            </w:r>
            <w:r>
              <w:rPr>
                <w:rFonts w:hint="eastAsia"/>
                <w:kern w:val="0"/>
                <w:sz w:val="20"/>
                <w:szCs w:val="20"/>
              </w:rPr>
              <w:t>年以内</w:t>
            </w:r>
          </w:p>
        </w:tc>
        <w:tc>
          <w:tcPr>
            <w:tcW w:w="710" w:type="pct"/>
            <w:tcMar>
              <w:top w:w="0" w:type="dxa"/>
              <w:bottom w:w="0" w:type="dxa"/>
            </w:tcMar>
            <w:vAlign w:val="center"/>
          </w:tcPr>
          <w:p w14:paraId="21F6A9CF" w14:textId="77777777" w:rsidR="004B0883" w:rsidRDefault="004B0883">
            <w:pPr>
              <w:adjustRightInd w:val="0"/>
              <w:snapToGrid w:val="0"/>
              <w:jc w:val="right"/>
              <w:rPr>
                <w:color w:val="000000"/>
                <w:kern w:val="0"/>
                <w:sz w:val="20"/>
                <w:szCs w:val="20"/>
              </w:rPr>
            </w:pPr>
            <w:r>
              <w:rPr>
                <w:sz w:val="20"/>
                <w:szCs w:val="20"/>
              </w:rPr>
              <w:t>4.08</w:t>
            </w:r>
            <w:r>
              <w:rPr>
                <w:rFonts w:hint="eastAsia"/>
                <w:sz w:val="20"/>
                <w:szCs w:val="20"/>
              </w:rPr>
              <w:t>%</w:t>
            </w:r>
            <w:r>
              <w:rPr>
                <w:sz w:val="20"/>
                <w:szCs w:val="20"/>
              </w:rPr>
              <w:t xml:space="preserve"> </w:t>
            </w:r>
          </w:p>
        </w:tc>
        <w:tc>
          <w:tcPr>
            <w:tcW w:w="710" w:type="pct"/>
            <w:tcMar>
              <w:top w:w="0" w:type="dxa"/>
              <w:bottom w:w="0" w:type="dxa"/>
            </w:tcMar>
            <w:vAlign w:val="center"/>
          </w:tcPr>
          <w:p w14:paraId="0EDD36C7" w14:textId="77777777" w:rsidR="004B0883" w:rsidRDefault="004B0883">
            <w:pPr>
              <w:widowControl w:val="0"/>
              <w:adjustRightInd w:val="0"/>
              <w:snapToGrid w:val="0"/>
              <w:jc w:val="right"/>
              <w:rPr>
                <w:kern w:val="0"/>
                <w:sz w:val="20"/>
                <w:szCs w:val="20"/>
              </w:rPr>
            </w:pPr>
            <w:r>
              <w:rPr>
                <w:sz w:val="20"/>
                <w:szCs w:val="20"/>
              </w:rPr>
              <w:t xml:space="preserve">20.54 </w:t>
            </w:r>
          </w:p>
        </w:tc>
      </w:tr>
      <w:tr w:rsidR="004B0883" w14:paraId="7DDA1C7F" w14:textId="77777777">
        <w:trPr>
          <w:trHeight w:val="397"/>
          <w:jc w:val="center"/>
        </w:trPr>
        <w:tc>
          <w:tcPr>
            <w:tcW w:w="576" w:type="pct"/>
            <w:vMerge/>
            <w:tcMar>
              <w:top w:w="0" w:type="dxa"/>
              <w:bottom w:w="0" w:type="dxa"/>
            </w:tcMar>
            <w:vAlign w:val="center"/>
          </w:tcPr>
          <w:p w14:paraId="13912415" w14:textId="77777777" w:rsidR="004B0883" w:rsidRDefault="004B0883">
            <w:pPr>
              <w:widowControl w:val="0"/>
              <w:adjustRightInd w:val="0"/>
              <w:snapToGrid w:val="0"/>
              <w:rPr>
                <w:sz w:val="20"/>
                <w:szCs w:val="20"/>
              </w:rPr>
            </w:pPr>
          </w:p>
        </w:tc>
        <w:tc>
          <w:tcPr>
            <w:tcW w:w="1585" w:type="pct"/>
            <w:tcMar>
              <w:top w:w="0" w:type="dxa"/>
              <w:bottom w:w="0" w:type="dxa"/>
            </w:tcMar>
            <w:vAlign w:val="center"/>
          </w:tcPr>
          <w:p w14:paraId="4221EBE8" w14:textId="77777777" w:rsidR="004B0883" w:rsidRDefault="004B0883">
            <w:pPr>
              <w:widowControl w:val="0"/>
              <w:adjustRightInd w:val="0"/>
              <w:snapToGrid w:val="0"/>
              <w:jc w:val="center"/>
              <w:rPr>
                <w:b/>
                <w:bCs/>
                <w:sz w:val="20"/>
                <w:szCs w:val="20"/>
              </w:rPr>
            </w:pPr>
            <w:r>
              <w:rPr>
                <w:rFonts w:hint="eastAsia"/>
                <w:b/>
                <w:bCs/>
                <w:sz w:val="20"/>
                <w:szCs w:val="20"/>
              </w:rPr>
              <w:t>合计</w:t>
            </w:r>
          </w:p>
        </w:tc>
        <w:tc>
          <w:tcPr>
            <w:tcW w:w="710" w:type="pct"/>
            <w:tcMar>
              <w:top w:w="0" w:type="dxa"/>
              <w:bottom w:w="0" w:type="dxa"/>
            </w:tcMar>
            <w:vAlign w:val="center"/>
          </w:tcPr>
          <w:p w14:paraId="2A63F88D" w14:textId="77777777" w:rsidR="004B0883" w:rsidRDefault="004B0883">
            <w:pPr>
              <w:widowControl w:val="0"/>
              <w:adjustRightInd w:val="0"/>
              <w:snapToGrid w:val="0"/>
              <w:jc w:val="right"/>
              <w:rPr>
                <w:b/>
                <w:bCs/>
                <w:kern w:val="0"/>
                <w:sz w:val="20"/>
                <w:szCs w:val="20"/>
              </w:rPr>
            </w:pPr>
            <w:r>
              <w:rPr>
                <w:b/>
                <w:bCs/>
                <w:sz w:val="20"/>
                <w:szCs w:val="20"/>
              </w:rPr>
              <w:t xml:space="preserve">3,012.73 </w:t>
            </w:r>
          </w:p>
        </w:tc>
        <w:tc>
          <w:tcPr>
            <w:tcW w:w="710" w:type="pct"/>
            <w:tcMar>
              <w:top w:w="0" w:type="dxa"/>
              <w:bottom w:w="0" w:type="dxa"/>
            </w:tcMar>
            <w:vAlign w:val="center"/>
          </w:tcPr>
          <w:p w14:paraId="584307D2" w14:textId="77777777" w:rsidR="004B0883" w:rsidRDefault="004B0883">
            <w:pPr>
              <w:widowControl w:val="0"/>
              <w:adjustRightInd w:val="0"/>
              <w:snapToGrid w:val="0"/>
              <w:jc w:val="center"/>
              <w:rPr>
                <w:b/>
                <w:bCs/>
                <w:kern w:val="0"/>
                <w:sz w:val="20"/>
                <w:szCs w:val="20"/>
              </w:rPr>
            </w:pPr>
            <w:r>
              <w:rPr>
                <w:rFonts w:hint="eastAsia"/>
                <w:b/>
                <w:bCs/>
                <w:kern w:val="0"/>
                <w:sz w:val="20"/>
                <w:szCs w:val="20"/>
              </w:rPr>
              <w:t>-</w:t>
            </w:r>
          </w:p>
        </w:tc>
        <w:tc>
          <w:tcPr>
            <w:tcW w:w="710" w:type="pct"/>
            <w:tcMar>
              <w:top w:w="0" w:type="dxa"/>
              <w:bottom w:w="0" w:type="dxa"/>
            </w:tcMar>
            <w:vAlign w:val="center"/>
          </w:tcPr>
          <w:p w14:paraId="1E8FF1E3" w14:textId="77777777" w:rsidR="004B0883" w:rsidRDefault="004B0883">
            <w:pPr>
              <w:adjustRightInd w:val="0"/>
              <w:snapToGrid w:val="0"/>
              <w:jc w:val="right"/>
              <w:rPr>
                <w:b/>
                <w:bCs/>
                <w:color w:val="000000"/>
                <w:kern w:val="0"/>
                <w:sz w:val="20"/>
                <w:szCs w:val="20"/>
              </w:rPr>
            </w:pPr>
            <w:r>
              <w:rPr>
                <w:b/>
                <w:bCs/>
                <w:sz w:val="20"/>
                <w:szCs w:val="20"/>
              </w:rPr>
              <w:t>29.95</w:t>
            </w:r>
            <w:r>
              <w:rPr>
                <w:rFonts w:hint="eastAsia"/>
                <w:b/>
                <w:bCs/>
                <w:sz w:val="20"/>
                <w:szCs w:val="20"/>
              </w:rPr>
              <w:t>%</w:t>
            </w:r>
            <w:r>
              <w:rPr>
                <w:b/>
                <w:bCs/>
                <w:sz w:val="20"/>
                <w:szCs w:val="20"/>
              </w:rPr>
              <w:t xml:space="preserve"> </w:t>
            </w:r>
          </w:p>
        </w:tc>
        <w:tc>
          <w:tcPr>
            <w:tcW w:w="710" w:type="pct"/>
            <w:tcMar>
              <w:top w:w="0" w:type="dxa"/>
              <w:bottom w:w="0" w:type="dxa"/>
            </w:tcMar>
            <w:vAlign w:val="center"/>
          </w:tcPr>
          <w:p w14:paraId="133F48D7" w14:textId="77777777" w:rsidR="004B0883" w:rsidRDefault="004B0883">
            <w:pPr>
              <w:widowControl w:val="0"/>
              <w:adjustRightInd w:val="0"/>
              <w:snapToGrid w:val="0"/>
              <w:jc w:val="right"/>
              <w:rPr>
                <w:b/>
                <w:bCs/>
                <w:kern w:val="0"/>
                <w:sz w:val="20"/>
                <w:szCs w:val="20"/>
              </w:rPr>
            </w:pPr>
            <w:r>
              <w:rPr>
                <w:b/>
                <w:bCs/>
                <w:sz w:val="20"/>
                <w:szCs w:val="20"/>
              </w:rPr>
              <w:t xml:space="preserve">150.64 </w:t>
            </w:r>
          </w:p>
        </w:tc>
      </w:tr>
    </w:tbl>
    <w:bookmarkEnd w:id="315"/>
    <w:bookmarkEnd w:id="316"/>
    <w:p w14:paraId="33841D69" w14:textId="77777777" w:rsidR="004B0883" w:rsidRDefault="004B0883">
      <w:pPr>
        <w:widowControl w:val="0"/>
        <w:spacing w:beforeLines="50" w:before="120" w:line="360" w:lineRule="auto"/>
        <w:ind w:firstLineChars="200" w:firstLine="480"/>
        <w:jc w:val="both"/>
        <w:rPr>
          <w:rFonts w:hint="eastAsia"/>
          <w:sz w:val="24"/>
          <w:szCs w:val="22"/>
        </w:rPr>
      </w:pPr>
      <w:r>
        <w:rPr>
          <w:rFonts w:hint="eastAsia"/>
          <w:sz w:val="24"/>
          <w:szCs w:val="22"/>
        </w:rPr>
        <w:t>公司应收账款</w:t>
      </w:r>
      <w:r>
        <w:rPr>
          <w:sz w:val="24"/>
          <w:szCs w:val="22"/>
        </w:rPr>
        <w:t>期后回款情况良好</w:t>
      </w:r>
      <w:r>
        <w:rPr>
          <w:rFonts w:hint="eastAsia"/>
          <w:sz w:val="24"/>
          <w:szCs w:val="22"/>
        </w:rPr>
        <w:t>，</w:t>
      </w:r>
      <w:r>
        <w:rPr>
          <w:sz w:val="24"/>
          <w:szCs w:val="22"/>
        </w:rPr>
        <w:t>报告期</w:t>
      </w:r>
      <w:r>
        <w:rPr>
          <w:rFonts w:hint="eastAsia"/>
          <w:sz w:val="24"/>
          <w:szCs w:val="22"/>
        </w:rPr>
        <w:t>内</w:t>
      </w:r>
      <w:r>
        <w:rPr>
          <w:sz w:val="24"/>
          <w:szCs w:val="22"/>
        </w:rPr>
        <w:t>公司对主要客户的信用政策总体保持稳定，报告期</w:t>
      </w:r>
      <w:r>
        <w:rPr>
          <w:rFonts w:hint="eastAsia"/>
          <w:sz w:val="24"/>
          <w:szCs w:val="22"/>
        </w:rPr>
        <w:t>各期末</w:t>
      </w:r>
      <w:r>
        <w:rPr>
          <w:sz w:val="24"/>
          <w:szCs w:val="22"/>
        </w:rPr>
        <w:t>公司主要应收账款方与公司主要客户相匹配，</w:t>
      </w:r>
      <w:r>
        <w:rPr>
          <w:rFonts w:hint="eastAsia"/>
          <w:sz w:val="24"/>
          <w:szCs w:val="22"/>
        </w:rPr>
        <w:t>总体不存在放宽信用政策的情形，不存在突击确认收入的情形。</w:t>
      </w:r>
    </w:p>
    <w:p w14:paraId="6E6926EC"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4</w:t>
      </w:r>
      <w:r>
        <w:rPr>
          <w:rFonts w:hint="eastAsia"/>
          <w:sz w:val="24"/>
          <w:szCs w:val="22"/>
        </w:rPr>
        <w:t>）坏账计提政策与同行业公司对比分析</w:t>
      </w:r>
    </w:p>
    <w:p w14:paraId="53072D82"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公司应收账款按账龄计提坏账比例与同行业可比公司的对比情况如下：</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86"/>
        <w:gridCol w:w="1141"/>
        <w:gridCol w:w="1091"/>
        <w:gridCol w:w="1009"/>
        <w:gridCol w:w="1009"/>
        <w:gridCol w:w="1010"/>
        <w:gridCol w:w="1015"/>
        <w:gridCol w:w="1019"/>
      </w:tblGrid>
      <w:tr w:rsidR="004B0883" w14:paraId="330D0ED9" w14:textId="77777777">
        <w:trPr>
          <w:trHeight w:val="397"/>
          <w:tblHeader/>
          <w:jc w:val="center"/>
        </w:trPr>
        <w:tc>
          <w:tcPr>
            <w:tcW w:w="1046" w:type="dxa"/>
            <w:shd w:val="clear" w:color="auto" w:fill="D9D9D9"/>
            <w:tcMar>
              <w:top w:w="0" w:type="dxa"/>
              <w:left w:w="108" w:type="dxa"/>
              <w:bottom w:w="0" w:type="dxa"/>
              <w:right w:w="108" w:type="dxa"/>
            </w:tcMar>
            <w:vAlign w:val="center"/>
          </w:tcPr>
          <w:p w14:paraId="5569C524" w14:textId="77777777" w:rsidR="004B0883" w:rsidRDefault="004B0883">
            <w:pPr>
              <w:adjustRightInd w:val="0"/>
              <w:snapToGrid w:val="0"/>
              <w:jc w:val="center"/>
              <w:rPr>
                <w:rFonts w:cs="宋体"/>
                <w:b/>
                <w:bCs/>
                <w:color w:val="000000"/>
                <w:kern w:val="0"/>
                <w:sz w:val="18"/>
                <w:szCs w:val="18"/>
              </w:rPr>
            </w:pPr>
            <w:r>
              <w:rPr>
                <w:rFonts w:cs="宋体" w:hint="eastAsia"/>
                <w:b/>
                <w:bCs/>
                <w:color w:val="000000"/>
                <w:kern w:val="0"/>
                <w:sz w:val="18"/>
                <w:szCs w:val="18"/>
              </w:rPr>
              <w:t>可比公司</w:t>
            </w:r>
          </w:p>
        </w:tc>
        <w:tc>
          <w:tcPr>
            <w:tcW w:w="1189" w:type="dxa"/>
            <w:shd w:val="clear" w:color="auto" w:fill="D9D9D9"/>
            <w:tcMar>
              <w:top w:w="0" w:type="dxa"/>
              <w:left w:w="108" w:type="dxa"/>
              <w:bottom w:w="0" w:type="dxa"/>
              <w:right w:w="108" w:type="dxa"/>
            </w:tcMar>
            <w:vAlign w:val="center"/>
          </w:tcPr>
          <w:p w14:paraId="55BCEC04" w14:textId="77777777" w:rsidR="004B0883" w:rsidRDefault="004B0883">
            <w:pPr>
              <w:adjustRightInd w:val="0"/>
              <w:snapToGrid w:val="0"/>
              <w:jc w:val="center"/>
              <w:rPr>
                <w:rFonts w:cs="宋体"/>
                <w:b/>
                <w:bCs/>
                <w:color w:val="000000"/>
                <w:kern w:val="0"/>
                <w:sz w:val="18"/>
                <w:szCs w:val="18"/>
              </w:rPr>
            </w:pPr>
            <w:r>
              <w:rPr>
                <w:rFonts w:cs="宋体" w:hint="eastAsia"/>
                <w:b/>
                <w:bCs/>
                <w:color w:val="000000"/>
                <w:kern w:val="0"/>
                <w:sz w:val="18"/>
                <w:szCs w:val="18"/>
              </w:rPr>
              <w:t>6</w:t>
            </w:r>
            <w:r>
              <w:rPr>
                <w:rFonts w:cs="宋体" w:hint="eastAsia"/>
                <w:b/>
                <w:bCs/>
                <w:color w:val="000000"/>
                <w:kern w:val="0"/>
                <w:sz w:val="18"/>
                <w:szCs w:val="18"/>
              </w:rPr>
              <w:t>个月以内</w:t>
            </w:r>
          </w:p>
        </w:tc>
        <w:tc>
          <w:tcPr>
            <w:tcW w:w="1134" w:type="dxa"/>
            <w:shd w:val="clear" w:color="auto" w:fill="D9D9D9"/>
            <w:tcMar>
              <w:top w:w="0" w:type="dxa"/>
              <w:left w:w="108" w:type="dxa"/>
              <w:bottom w:w="0" w:type="dxa"/>
              <w:right w:w="108" w:type="dxa"/>
            </w:tcMar>
            <w:vAlign w:val="center"/>
          </w:tcPr>
          <w:p w14:paraId="4BB72B8C" w14:textId="77777777" w:rsidR="004B0883" w:rsidRDefault="004B0883">
            <w:pPr>
              <w:adjustRightInd w:val="0"/>
              <w:snapToGrid w:val="0"/>
              <w:jc w:val="center"/>
              <w:rPr>
                <w:rFonts w:cs="宋体"/>
                <w:b/>
                <w:bCs/>
                <w:color w:val="000000"/>
                <w:kern w:val="0"/>
                <w:sz w:val="18"/>
                <w:szCs w:val="18"/>
              </w:rPr>
            </w:pPr>
            <w:r>
              <w:rPr>
                <w:rFonts w:cs="宋体" w:hint="eastAsia"/>
                <w:b/>
                <w:bCs/>
                <w:color w:val="000000"/>
                <w:kern w:val="0"/>
                <w:sz w:val="18"/>
                <w:szCs w:val="18"/>
              </w:rPr>
              <w:t>7-12</w:t>
            </w:r>
            <w:r>
              <w:rPr>
                <w:rFonts w:cs="宋体" w:hint="eastAsia"/>
                <w:b/>
                <w:bCs/>
                <w:color w:val="000000"/>
                <w:kern w:val="0"/>
                <w:sz w:val="18"/>
                <w:szCs w:val="18"/>
              </w:rPr>
              <w:t>个月</w:t>
            </w:r>
          </w:p>
        </w:tc>
        <w:tc>
          <w:tcPr>
            <w:tcW w:w="1031" w:type="dxa"/>
            <w:shd w:val="clear" w:color="auto" w:fill="D9D9D9"/>
            <w:tcMar>
              <w:top w:w="0" w:type="dxa"/>
              <w:left w:w="108" w:type="dxa"/>
              <w:bottom w:w="0" w:type="dxa"/>
              <w:right w:w="108" w:type="dxa"/>
            </w:tcMar>
            <w:vAlign w:val="center"/>
          </w:tcPr>
          <w:p w14:paraId="4D0E6862" w14:textId="77777777" w:rsidR="004B0883" w:rsidRDefault="004B0883">
            <w:pPr>
              <w:adjustRightInd w:val="0"/>
              <w:snapToGrid w:val="0"/>
              <w:jc w:val="center"/>
              <w:rPr>
                <w:rFonts w:cs="宋体"/>
                <w:b/>
                <w:bCs/>
                <w:color w:val="000000"/>
                <w:kern w:val="0"/>
                <w:sz w:val="18"/>
                <w:szCs w:val="18"/>
              </w:rPr>
            </w:pPr>
            <w:r>
              <w:rPr>
                <w:rFonts w:cs="宋体" w:hint="eastAsia"/>
                <w:b/>
                <w:bCs/>
                <w:color w:val="000000"/>
                <w:kern w:val="0"/>
                <w:sz w:val="18"/>
                <w:szCs w:val="18"/>
              </w:rPr>
              <w:t>1-2</w:t>
            </w:r>
            <w:r>
              <w:rPr>
                <w:rFonts w:cs="宋体" w:hint="eastAsia"/>
                <w:b/>
                <w:bCs/>
                <w:color w:val="000000"/>
                <w:kern w:val="0"/>
                <w:sz w:val="18"/>
                <w:szCs w:val="18"/>
              </w:rPr>
              <w:t>年</w:t>
            </w:r>
          </w:p>
        </w:tc>
        <w:tc>
          <w:tcPr>
            <w:tcW w:w="1031" w:type="dxa"/>
            <w:shd w:val="clear" w:color="auto" w:fill="D9D9D9"/>
            <w:tcMar>
              <w:top w:w="0" w:type="dxa"/>
              <w:left w:w="108" w:type="dxa"/>
              <w:bottom w:w="0" w:type="dxa"/>
              <w:right w:w="108" w:type="dxa"/>
            </w:tcMar>
            <w:vAlign w:val="center"/>
          </w:tcPr>
          <w:p w14:paraId="3CC75F3A" w14:textId="77777777" w:rsidR="004B0883" w:rsidRDefault="004B0883">
            <w:pPr>
              <w:adjustRightInd w:val="0"/>
              <w:snapToGrid w:val="0"/>
              <w:jc w:val="center"/>
              <w:rPr>
                <w:rFonts w:cs="宋体"/>
                <w:b/>
                <w:bCs/>
                <w:color w:val="000000"/>
                <w:kern w:val="0"/>
                <w:sz w:val="18"/>
                <w:szCs w:val="18"/>
              </w:rPr>
            </w:pPr>
            <w:r>
              <w:rPr>
                <w:rFonts w:cs="宋体" w:hint="eastAsia"/>
                <w:b/>
                <w:bCs/>
                <w:color w:val="000000"/>
                <w:kern w:val="0"/>
                <w:sz w:val="18"/>
                <w:szCs w:val="18"/>
              </w:rPr>
              <w:t>2-3</w:t>
            </w:r>
            <w:r>
              <w:rPr>
                <w:rFonts w:cs="宋体" w:hint="eastAsia"/>
                <w:b/>
                <w:bCs/>
                <w:color w:val="000000"/>
                <w:kern w:val="0"/>
                <w:sz w:val="18"/>
                <w:szCs w:val="18"/>
              </w:rPr>
              <w:t>年</w:t>
            </w:r>
          </w:p>
        </w:tc>
        <w:tc>
          <w:tcPr>
            <w:tcW w:w="1032" w:type="dxa"/>
            <w:shd w:val="clear" w:color="auto" w:fill="D9D9D9"/>
            <w:tcMar>
              <w:top w:w="0" w:type="dxa"/>
              <w:left w:w="108" w:type="dxa"/>
              <w:bottom w:w="0" w:type="dxa"/>
              <w:right w:w="108" w:type="dxa"/>
            </w:tcMar>
            <w:vAlign w:val="center"/>
          </w:tcPr>
          <w:p w14:paraId="479D15ED" w14:textId="77777777" w:rsidR="004B0883" w:rsidRDefault="004B0883">
            <w:pPr>
              <w:adjustRightInd w:val="0"/>
              <w:snapToGrid w:val="0"/>
              <w:jc w:val="center"/>
              <w:rPr>
                <w:rFonts w:cs="宋体"/>
                <w:b/>
                <w:bCs/>
                <w:color w:val="000000"/>
                <w:kern w:val="0"/>
                <w:sz w:val="18"/>
                <w:szCs w:val="18"/>
              </w:rPr>
            </w:pPr>
            <w:r>
              <w:rPr>
                <w:rFonts w:cs="宋体" w:hint="eastAsia"/>
                <w:b/>
                <w:bCs/>
                <w:color w:val="000000"/>
                <w:kern w:val="0"/>
                <w:sz w:val="18"/>
                <w:szCs w:val="18"/>
              </w:rPr>
              <w:t>3-4</w:t>
            </w:r>
            <w:r>
              <w:rPr>
                <w:rFonts w:cs="宋体" w:hint="eastAsia"/>
                <w:b/>
                <w:bCs/>
                <w:color w:val="000000"/>
                <w:kern w:val="0"/>
                <w:sz w:val="18"/>
                <w:szCs w:val="18"/>
              </w:rPr>
              <w:t>年</w:t>
            </w:r>
          </w:p>
        </w:tc>
        <w:tc>
          <w:tcPr>
            <w:tcW w:w="1031" w:type="dxa"/>
            <w:shd w:val="clear" w:color="auto" w:fill="D9D9D9"/>
            <w:tcMar>
              <w:top w:w="0" w:type="dxa"/>
              <w:left w:w="108" w:type="dxa"/>
              <w:bottom w:w="0" w:type="dxa"/>
              <w:right w:w="108" w:type="dxa"/>
            </w:tcMar>
            <w:vAlign w:val="center"/>
          </w:tcPr>
          <w:p w14:paraId="705F077A" w14:textId="77777777" w:rsidR="004B0883" w:rsidRDefault="004B0883">
            <w:pPr>
              <w:adjustRightInd w:val="0"/>
              <w:snapToGrid w:val="0"/>
              <w:jc w:val="center"/>
              <w:rPr>
                <w:rFonts w:cs="宋体"/>
                <w:b/>
                <w:bCs/>
                <w:color w:val="000000"/>
                <w:kern w:val="0"/>
                <w:sz w:val="18"/>
                <w:szCs w:val="18"/>
              </w:rPr>
            </w:pPr>
            <w:r>
              <w:rPr>
                <w:rFonts w:cs="宋体" w:hint="eastAsia"/>
                <w:b/>
                <w:bCs/>
                <w:color w:val="000000"/>
                <w:kern w:val="0"/>
                <w:sz w:val="18"/>
                <w:szCs w:val="18"/>
              </w:rPr>
              <w:t>4-5</w:t>
            </w:r>
            <w:r>
              <w:rPr>
                <w:rFonts w:cs="宋体" w:hint="eastAsia"/>
                <w:b/>
                <w:bCs/>
                <w:color w:val="000000"/>
                <w:kern w:val="0"/>
                <w:sz w:val="18"/>
                <w:szCs w:val="18"/>
              </w:rPr>
              <w:t>年</w:t>
            </w:r>
          </w:p>
        </w:tc>
        <w:tc>
          <w:tcPr>
            <w:tcW w:w="1032" w:type="dxa"/>
            <w:shd w:val="clear" w:color="auto" w:fill="D9D9D9"/>
            <w:tcMar>
              <w:top w:w="0" w:type="dxa"/>
              <w:left w:w="108" w:type="dxa"/>
              <w:bottom w:w="0" w:type="dxa"/>
              <w:right w:w="108" w:type="dxa"/>
            </w:tcMar>
            <w:vAlign w:val="center"/>
          </w:tcPr>
          <w:p w14:paraId="08AEC01F" w14:textId="77777777" w:rsidR="004B0883" w:rsidRDefault="004B0883">
            <w:pPr>
              <w:adjustRightInd w:val="0"/>
              <w:snapToGrid w:val="0"/>
              <w:jc w:val="center"/>
              <w:rPr>
                <w:rFonts w:cs="宋体"/>
                <w:b/>
                <w:bCs/>
                <w:color w:val="000000"/>
                <w:kern w:val="0"/>
                <w:sz w:val="18"/>
                <w:szCs w:val="18"/>
              </w:rPr>
            </w:pPr>
            <w:r>
              <w:rPr>
                <w:rFonts w:cs="宋体" w:hint="eastAsia"/>
                <w:b/>
                <w:bCs/>
                <w:color w:val="000000"/>
                <w:kern w:val="0"/>
                <w:sz w:val="18"/>
                <w:szCs w:val="18"/>
              </w:rPr>
              <w:t>5</w:t>
            </w:r>
            <w:r>
              <w:rPr>
                <w:rFonts w:cs="宋体" w:hint="eastAsia"/>
                <w:b/>
                <w:bCs/>
                <w:color w:val="000000"/>
                <w:kern w:val="0"/>
                <w:sz w:val="18"/>
                <w:szCs w:val="18"/>
              </w:rPr>
              <w:t>年以上</w:t>
            </w:r>
          </w:p>
        </w:tc>
      </w:tr>
      <w:tr w:rsidR="004B0883" w14:paraId="02F54DFA" w14:textId="77777777">
        <w:trPr>
          <w:trHeight w:val="397"/>
          <w:jc w:val="center"/>
        </w:trPr>
        <w:tc>
          <w:tcPr>
            <w:tcW w:w="1046" w:type="dxa"/>
            <w:shd w:val="clear" w:color="auto" w:fill="FFFFFF"/>
            <w:tcMar>
              <w:top w:w="0" w:type="dxa"/>
              <w:left w:w="108" w:type="dxa"/>
              <w:bottom w:w="0" w:type="dxa"/>
              <w:right w:w="108" w:type="dxa"/>
            </w:tcMar>
            <w:vAlign w:val="center"/>
          </w:tcPr>
          <w:p w14:paraId="16FF6D68" w14:textId="77777777" w:rsidR="004B0883" w:rsidRDefault="004B0883">
            <w:pPr>
              <w:jc w:val="center"/>
              <w:rPr>
                <w:rFonts w:hint="eastAsia"/>
                <w:color w:val="000000"/>
                <w:sz w:val="18"/>
                <w:szCs w:val="18"/>
              </w:rPr>
            </w:pPr>
            <w:r>
              <w:rPr>
                <w:rFonts w:hint="eastAsia"/>
                <w:color w:val="000000"/>
                <w:sz w:val="18"/>
                <w:szCs w:val="18"/>
              </w:rPr>
              <w:t>江苏神通</w:t>
            </w:r>
          </w:p>
        </w:tc>
        <w:tc>
          <w:tcPr>
            <w:tcW w:w="2323" w:type="dxa"/>
            <w:gridSpan w:val="2"/>
            <w:shd w:val="clear" w:color="auto" w:fill="auto"/>
            <w:tcMar>
              <w:top w:w="0" w:type="dxa"/>
              <w:left w:w="108" w:type="dxa"/>
              <w:bottom w:w="0" w:type="dxa"/>
              <w:right w:w="108" w:type="dxa"/>
            </w:tcMar>
            <w:vAlign w:val="center"/>
          </w:tcPr>
          <w:p w14:paraId="6014E8B3" w14:textId="77777777" w:rsidR="004B0883" w:rsidRDefault="004B0883">
            <w:pPr>
              <w:adjustRightInd w:val="0"/>
              <w:snapToGrid w:val="0"/>
              <w:jc w:val="center"/>
              <w:rPr>
                <w:rFonts w:cs="宋体"/>
                <w:color w:val="333333"/>
                <w:kern w:val="0"/>
                <w:sz w:val="18"/>
                <w:szCs w:val="18"/>
              </w:rPr>
            </w:pPr>
            <w:r>
              <w:rPr>
                <w:rFonts w:cs="宋体"/>
                <w:color w:val="000000"/>
                <w:kern w:val="0"/>
                <w:sz w:val="18"/>
                <w:szCs w:val="18"/>
              </w:rPr>
              <w:t>4.38%</w:t>
            </w:r>
          </w:p>
        </w:tc>
        <w:tc>
          <w:tcPr>
            <w:tcW w:w="1031" w:type="dxa"/>
            <w:shd w:val="clear" w:color="000000" w:fill="FFFFFF"/>
            <w:tcMar>
              <w:top w:w="0" w:type="dxa"/>
              <w:left w:w="108" w:type="dxa"/>
              <w:bottom w:w="0" w:type="dxa"/>
              <w:right w:w="108" w:type="dxa"/>
            </w:tcMar>
            <w:vAlign w:val="center"/>
          </w:tcPr>
          <w:p w14:paraId="1D300487" w14:textId="77777777" w:rsidR="004B0883" w:rsidRDefault="004B0883">
            <w:pPr>
              <w:adjustRightInd w:val="0"/>
              <w:snapToGrid w:val="0"/>
              <w:jc w:val="center"/>
              <w:rPr>
                <w:rFonts w:cs="宋体"/>
                <w:color w:val="333333"/>
                <w:kern w:val="0"/>
                <w:sz w:val="18"/>
                <w:szCs w:val="18"/>
              </w:rPr>
            </w:pPr>
            <w:r>
              <w:rPr>
                <w:rFonts w:cs="宋体"/>
                <w:color w:val="333333"/>
                <w:kern w:val="0"/>
                <w:sz w:val="18"/>
                <w:szCs w:val="18"/>
              </w:rPr>
              <w:t>12.84%</w:t>
            </w:r>
          </w:p>
        </w:tc>
        <w:tc>
          <w:tcPr>
            <w:tcW w:w="1031" w:type="dxa"/>
            <w:shd w:val="clear" w:color="000000" w:fill="FFFFFF"/>
            <w:tcMar>
              <w:top w:w="0" w:type="dxa"/>
              <w:left w:w="108" w:type="dxa"/>
              <w:bottom w:w="0" w:type="dxa"/>
              <w:right w:w="108" w:type="dxa"/>
            </w:tcMar>
            <w:vAlign w:val="center"/>
          </w:tcPr>
          <w:p w14:paraId="562A7F4A" w14:textId="77777777" w:rsidR="004B0883" w:rsidRDefault="004B0883">
            <w:pPr>
              <w:adjustRightInd w:val="0"/>
              <w:snapToGrid w:val="0"/>
              <w:jc w:val="center"/>
              <w:rPr>
                <w:rFonts w:cs="宋体"/>
                <w:color w:val="000000"/>
                <w:kern w:val="0"/>
                <w:sz w:val="18"/>
                <w:szCs w:val="18"/>
              </w:rPr>
            </w:pPr>
            <w:r>
              <w:rPr>
                <w:rFonts w:cs="宋体"/>
                <w:color w:val="000000"/>
                <w:kern w:val="0"/>
                <w:sz w:val="18"/>
                <w:szCs w:val="18"/>
              </w:rPr>
              <w:t>20</w:t>
            </w:r>
            <w:r>
              <w:rPr>
                <w:rFonts w:cs="宋体" w:hint="eastAsia"/>
                <w:color w:val="000000"/>
                <w:kern w:val="0"/>
                <w:sz w:val="18"/>
                <w:szCs w:val="18"/>
              </w:rPr>
              <w:t>.0</w:t>
            </w:r>
            <w:r>
              <w:rPr>
                <w:rFonts w:cs="宋体"/>
                <w:color w:val="000000"/>
                <w:kern w:val="0"/>
                <w:sz w:val="18"/>
                <w:szCs w:val="18"/>
              </w:rPr>
              <w:t>0</w:t>
            </w:r>
            <w:r>
              <w:rPr>
                <w:rFonts w:cs="宋体" w:hint="eastAsia"/>
                <w:color w:val="000000"/>
                <w:kern w:val="0"/>
                <w:sz w:val="18"/>
                <w:szCs w:val="18"/>
              </w:rPr>
              <w:t>%</w:t>
            </w:r>
          </w:p>
        </w:tc>
        <w:tc>
          <w:tcPr>
            <w:tcW w:w="1032" w:type="dxa"/>
            <w:tcMar>
              <w:top w:w="0" w:type="dxa"/>
              <w:left w:w="108" w:type="dxa"/>
              <w:bottom w:w="0" w:type="dxa"/>
              <w:right w:w="108" w:type="dxa"/>
            </w:tcMar>
            <w:vAlign w:val="center"/>
          </w:tcPr>
          <w:p w14:paraId="37622854" w14:textId="77777777" w:rsidR="004B0883" w:rsidRDefault="004B0883">
            <w:pPr>
              <w:adjustRightInd w:val="0"/>
              <w:snapToGrid w:val="0"/>
              <w:jc w:val="center"/>
              <w:rPr>
                <w:rFonts w:cs="宋体"/>
                <w:color w:val="000000"/>
                <w:kern w:val="0"/>
                <w:sz w:val="18"/>
                <w:szCs w:val="18"/>
              </w:rPr>
            </w:pPr>
            <w:r>
              <w:rPr>
                <w:rFonts w:cs="宋体"/>
                <w:color w:val="000000"/>
                <w:kern w:val="0"/>
                <w:sz w:val="18"/>
                <w:szCs w:val="18"/>
              </w:rPr>
              <w:t>30</w:t>
            </w:r>
            <w:r>
              <w:rPr>
                <w:rFonts w:cs="宋体" w:hint="eastAsia"/>
                <w:color w:val="000000"/>
                <w:kern w:val="0"/>
                <w:sz w:val="18"/>
                <w:szCs w:val="18"/>
              </w:rPr>
              <w:t>.0</w:t>
            </w:r>
            <w:r>
              <w:rPr>
                <w:rFonts w:cs="宋体"/>
                <w:color w:val="000000"/>
                <w:kern w:val="0"/>
                <w:sz w:val="18"/>
                <w:szCs w:val="18"/>
              </w:rPr>
              <w:t>0</w:t>
            </w:r>
            <w:r>
              <w:rPr>
                <w:rFonts w:cs="宋体" w:hint="eastAsia"/>
                <w:color w:val="000000"/>
                <w:kern w:val="0"/>
                <w:sz w:val="18"/>
                <w:szCs w:val="18"/>
              </w:rPr>
              <w:t>%</w:t>
            </w:r>
          </w:p>
        </w:tc>
        <w:tc>
          <w:tcPr>
            <w:tcW w:w="1031" w:type="dxa"/>
            <w:vAlign w:val="center"/>
          </w:tcPr>
          <w:p w14:paraId="4BB1EE50" w14:textId="77777777" w:rsidR="004B0883" w:rsidRDefault="004B0883">
            <w:pPr>
              <w:adjustRightInd w:val="0"/>
              <w:snapToGrid w:val="0"/>
              <w:jc w:val="center"/>
              <w:rPr>
                <w:rFonts w:cs="宋体"/>
                <w:color w:val="000000"/>
                <w:kern w:val="0"/>
                <w:sz w:val="18"/>
                <w:szCs w:val="18"/>
              </w:rPr>
            </w:pPr>
            <w:r>
              <w:rPr>
                <w:rFonts w:cs="宋体"/>
                <w:color w:val="000000"/>
                <w:kern w:val="0"/>
                <w:sz w:val="18"/>
                <w:szCs w:val="18"/>
              </w:rPr>
              <w:t>50</w:t>
            </w:r>
            <w:r>
              <w:rPr>
                <w:rFonts w:cs="宋体" w:hint="eastAsia"/>
                <w:color w:val="000000"/>
                <w:kern w:val="0"/>
                <w:sz w:val="18"/>
                <w:szCs w:val="18"/>
              </w:rPr>
              <w:t>.0</w:t>
            </w:r>
            <w:r>
              <w:rPr>
                <w:rFonts w:cs="宋体"/>
                <w:color w:val="000000"/>
                <w:kern w:val="0"/>
                <w:sz w:val="18"/>
                <w:szCs w:val="18"/>
              </w:rPr>
              <w:t>0</w:t>
            </w:r>
            <w:r>
              <w:rPr>
                <w:rFonts w:cs="宋体" w:hint="eastAsia"/>
                <w:color w:val="000000"/>
                <w:kern w:val="0"/>
                <w:sz w:val="18"/>
                <w:szCs w:val="18"/>
              </w:rPr>
              <w:t>%</w:t>
            </w:r>
          </w:p>
        </w:tc>
        <w:tc>
          <w:tcPr>
            <w:tcW w:w="1032" w:type="dxa"/>
            <w:vAlign w:val="center"/>
          </w:tcPr>
          <w:p w14:paraId="04105E10" w14:textId="77777777" w:rsidR="004B0883" w:rsidRDefault="004B0883">
            <w:pPr>
              <w:adjustRightInd w:val="0"/>
              <w:snapToGrid w:val="0"/>
              <w:jc w:val="center"/>
              <w:rPr>
                <w:rFonts w:cs="宋体"/>
                <w:color w:val="000000"/>
                <w:kern w:val="0"/>
                <w:sz w:val="18"/>
                <w:szCs w:val="18"/>
              </w:rPr>
            </w:pPr>
            <w:r>
              <w:rPr>
                <w:rFonts w:cs="宋体"/>
                <w:color w:val="000000"/>
                <w:kern w:val="0"/>
                <w:sz w:val="18"/>
                <w:szCs w:val="18"/>
              </w:rPr>
              <w:t>100</w:t>
            </w:r>
            <w:r>
              <w:rPr>
                <w:rFonts w:cs="宋体" w:hint="eastAsia"/>
                <w:color w:val="000000"/>
                <w:kern w:val="0"/>
                <w:sz w:val="18"/>
                <w:szCs w:val="18"/>
              </w:rPr>
              <w:t>.0</w:t>
            </w:r>
            <w:r>
              <w:rPr>
                <w:rFonts w:cs="宋体"/>
                <w:color w:val="000000"/>
                <w:kern w:val="0"/>
                <w:sz w:val="18"/>
                <w:szCs w:val="18"/>
              </w:rPr>
              <w:t>0</w:t>
            </w:r>
            <w:r>
              <w:rPr>
                <w:rFonts w:cs="宋体" w:hint="eastAsia"/>
                <w:color w:val="000000"/>
                <w:kern w:val="0"/>
                <w:sz w:val="18"/>
                <w:szCs w:val="18"/>
              </w:rPr>
              <w:t>%</w:t>
            </w:r>
          </w:p>
        </w:tc>
      </w:tr>
      <w:tr w:rsidR="004B0883" w14:paraId="282A2E9E" w14:textId="77777777">
        <w:trPr>
          <w:trHeight w:val="397"/>
          <w:jc w:val="center"/>
        </w:trPr>
        <w:tc>
          <w:tcPr>
            <w:tcW w:w="1046" w:type="dxa"/>
            <w:shd w:val="clear" w:color="auto" w:fill="FFFFFF"/>
            <w:tcMar>
              <w:top w:w="0" w:type="dxa"/>
              <w:left w:w="108" w:type="dxa"/>
              <w:bottom w:w="0" w:type="dxa"/>
              <w:right w:w="108" w:type="dxa"/>
            </w:tcMar>
            <w:vAlign w:val="center"/>
          </w:tcPr>
          <w:p w14:paraId="17BD3236" w14:textId="77777777" w:rsidR="004B0883" w:rsidRDefault="004B0883">
            <w:pPr>
              <w:jc w:val="center"/>
              <w:rPr>
                <w:rFonts w:hint="eastAsia"/>
                <w:color w:val="000000"/>
                <w:sz w:val="18"/>
                <w:szCs w:val="18"/>
              </w:rPr>
            </w:pPr>
            <w:r>
              <w:rPr>
                <w:rFonts w:hint="eastAsia"/>
                <w:color w:val="000000"/>
                <w:sz w:val="18"/>
                <w:szCs w:val="18"/>
              </w:rPr>
              <w:t>冠龙节能</w:t>
            </w:r>
          </w:p>
        </w:tc>
        <w:tc>
          <w:tcPr>
            <w:tcW w:w="2323" w:type="dxa"/>
            <w:gridSpan w:val="2"/>
            <w:tcMar>
              <w:top w:w="0" w:type="dxa"/>
              <w:left w:w="108" w:type="dxa"/>
              <w:bottom w:w="0" w:type="dxa"/>
              <w:right w:w="108" w:type="dxa"/>
            </w:tcMar>
            <w:vAlign w:val="center"/>
          </w:tcPr>
          <w:p w14:paraId="503BF28C" w14:textId="77777777" w:rsidR="004B0883" w:rsidRDefault="004B0883">
            <w:pPr>
              <w:adjustRightInd w:val="0"/>
              <w:snapToGrid w:val="0"/>
              <w:jc w:val="center"/>
              <w:rPr>
                <w:rFonts w:cs="宋体"/>
                <w:color w:val="000000"/>
                <w:kern w:val="0"/>
                <w:sz w:val="18"/>
                <w:szCs w:val="18"/>
              </w:rPr>
            </w:pPr>
            <w:r>
              <w:rPr>
                <w:rFonts w:cs="宋体" w:hint="eastAsia"/>
                <w:color w:val="000000"/>
                <w:kern w:val="0"/>
                <w:sz w:val="18"/>
                <w:szCs w:val="18"/>
              </w:rPr>
              <w:t>5.0</w:t>
            </w:r>
            <w:r>
              <w:rPr>
                <w:rFonts w:cs="宋体"/>
                <w:color w:val="000000"/>
                <w:kern w:val="0"/>
                <w:sz w:val="18"/>
                <w:szCs w:val="18"/>
              </w:rPr>
              <w:t>0</w:t>
            </w:r>
            <w:r>
              <w:rPr>
                <w:rFonts w:cs="宋体" w:hint="eastAsia"/>
                <w:color w:val="000000"/>
                <w:kern w:val="0"/>
                <w:sz w:val="18"/>
                <w:szCs w:val="18"/>
              </w:rPr>
              <w:t>%</w:t>
            </w:r>
          </w:p>
        </w:tc>
        <w:tc>
          <w:tcPr>
            <w:tcW w:w="1031" w:type="dxa"/>
            <w:tcMar>
              <w:top w:w="0" w:type="dxa"/>
              <w:left w:w="108" w:type="dxa"/>
              <w:bottom w:w="0" w:type="dxa"/>
              <w:right w:w="108" w:type="dxa"/>
            </w:tcMar>
            <w:vAlign w:val="center"/>
          </w:tcPr>
          <w:p w14:paraId="26D4C6CB" w14:textId="77777777" w:rsidR="004B0883" w:rsidRDefault="004B0883">
            <w:pPr>
              <w:adjustRightInd w:val="0"/>
              <w:snapToGrid w:val="0"/>
              <w:jc w:val="center"/>
              <w:rPr>
                <w:rFonts w:cs="宋体"/>
                <w:color w:val="000000"/>
                <w:kern w:val="0"/>
                <w:sz w:val="18"/>
                <w:szCs w:val="18"/>
              </w:rPr>
            </w:pPr>
            <w:r>
              <w:rPr>
                <w:rFonts w:cs="宋体"/>
                <w:color w:val="000000"/>
                <w:kern w:val="0"/>
                <w:sz w:val="18"/>
                <w:szCs w:val="18"/>
              </w:rPr>
              <w:t>10</w:t>
            </w:r>
            <w:r>
              <w:rPr>
                <w:rFonts w:cs="宋体" w:hint="eastAsia"/>
                <w:color w:val="000000"/>
                <w:kern w:val="0"/>
                <w:sz w:val="18"/>
                <w:szCs w:val="18"/>
              </w:rPr>
              <w:t>.0</w:t>
            </w:r>
            <w:r>
              <w:rPr>
                <w:rFonts w:cs="宋体"/>
                <w:color w:val="000000"/>
                <w:kern w:val="0"/>
                <w:sz w:val="18"/>
                <w:szCs w:val="18"/>
              </w:rPr>
              <w:t>0</w:t>
            </w:r>
            <w:r>
              <w:rPr>
                <w:rFonts w:cs="宋体" w:hint="eastAsia"/>
                <w:color w:val="000000"/>
                <w:kern w:val="0"/>
                <w:sz w:val="18"/>
                <w:szCs w:val="18"/>
              </w:rPr>
              <w:t>%</w:t>
            </w:r>
          </w:p>
        </w:tc>
        <w:tc>
          <w:tcPr>
            <w:tcW w:w="1031" w:type="dxa"/>
            <w:tcMar>
              <w:top w:w="0" w:type="dxa"/>
              <w:left w:w="108" w:type="dxa"/>
              <w:bottom w:w="0" w:type="dxa"/>
              <w:right w:w="108" w:type="dxa"/>
            </w:tcMar>
            <w:vAlign w:val="center"/>
          </w:tcPr>
          <w:p w14:paraId="4BDB1CBB" w14:textId="77777777" w:rsidR="004B0883" w:rsidRDefault="004B0883">
            <w:pPr>
              <w:adjustRightInd w:val="0"/>
              <w:snapToGrid w:val="0"/>
              <w:jc w:val="center"/>
              <w:rPr>
                <w:rFonts w:cs="宋体"/>
                <w:color w:val="000000"/>
                <w:kern w:val="0"/>
                <w:sz w:val="18"/>
                <w:szCs w:val="18"/>
              </w:rPr>
            </w:pPr>
            <w:r>
              <w:rPr>
                <w:rFonts w:cs="宋体"/>
                <w:color w:val="000000"/>
                <w:kern w:val="0"/>
                <w:sz w:val="18"/>
                <w:szCs w:val="18"/>
              </w:rPr>
              <w:t>20</w:t>
            </w:r>
            <w:r>
              <w:rPr>
                <w:rFonts w:cs="宋体" w:hint="eastAsia"/>
                <w:color w:val="000000"/>
                <w:kern w:val="0"/>
                <w:sz w:val="18"/>
                <w:szCs w:val="18"/>
              </w:rPr>
              <w:t>.0</w:t>
            </w:r>
            <w:r>
              <w:rPr>
                <w:rFonts w:cs="宋体"/>
                <w:color w:val="000000"/>
                <w:kern w:val="0"/>
                <w:sz w:val="18"/>
                <w:szCs w:val="18"/>
              </w:rPr>
              <w:t>0</w:t>
            </w:r>
            <w:r>
              <w:rPr>
                <w:rFonts w:cs="宋体" w:hint="eastAsia"/>
                <w:color w:val="000000"/>
                <w:kern w:val="0"/>
                <w:sz w:val="18"/>
                <w:szCs w:val="18"/>
              </w:rPr>
              <w:t>%</w:t>
            </w:r>
          </w:p>
        </w:tc>
        <w:tc>
          <w:tcPr>
            <w:tcW w:w="1032" w:type="dxa"/>
            <w:tcMar>
              <w:top w:w="0" w:type="dxa"/>
              <w:left w:w="108" w:type="dxa"/>
              <w:bottom w:w="0" w:type="dxa"/>
              <w:right w:w="108" w:type="dxa"/>
            </w:tcMar>
            <w:vAlign w:val="center"/>
          </w:tcPr>
          <w:p w14:paraId="2FEA1A9C" w14:textId="77777777" w:rsidR="004B0883" w:rsidRDefault="004B0883">
            <w:pPr>
              <w:adjustRightInd w:val="0"/>
              <w:snapToGrid w:val="0"/>
              <w:jc w:val="center"/>
              <w:rPr>
                <w:rFonts w:cs="宋体"/>
                <w:color w:val="000000"/>
                <w:kern w:val="0"/>
                <w:sz w:val="18"/>
                <w:szCs w:val="18"/>
              </w:rPr>
            </w:pPr>
            <w:r>
              <w:rPr>
                <w:rFonts w:cs="宋体"/>
                <w:color w:val="000000"/>
                <w:kern w:val="0"/>
                <w:sz w:val="18"/>
                <w:szCs w:val="18"/>
              </w:rPr>
              <w:t>50</w:t>
            </w:r>
            <w:r>
              <w:rPr>
                <w:rFonts w:cs="宋体" w:hint="eastAsia"/>
                <w:color w:val="000000"/>
                <w:kern w:val="0"/>
                <w:sz w:val="18"/>
                <w:szCs w:val="18"/>
              </w:rPr>
              <w:t>.0</w:t>
            </w:r>
            <w:r>
              <w:rPr>
                <w:rFonts w:cs="宋体"/>
                <w:color w:val="000000"/>
                <w:kern w:val="0"/>
                <w:sz w:val="18"/>
                <w:szCs w:val="18"/>
              </w:rPr>
              <w:t>0</w:t>
            </w:r>
            <w:r>
              <w:rPr>
                <w:rFonts w:cs="宋体" w:hint="eastAsia"/>
                <w:color w:val="000000"/>
                <w:kern w:val="0"/>
                <w:sz w:val="18"/>
                <w:szCs w:val="18"/>
              </w:rPr>
              <w:t>%</w:t>
            </w:r>
          </w:p>
        </w:tc>
        <w:tc>
          <w:tcPr>
            <w:tcW w:w="1031" w:type="dxa"/>
            <w:vAlign w:val="center"/>
          </w:tcPr>
          <w:p w14:paraId="430BA2FF" w14:textId="77777777" w:rsidR="004B0883" w:rsidRDefault="004B0883">
            <w:pPr>
              <w:adjustRightInd w:val="0"/>
              <w:snapToGrid w:val="0"/>
              <w:jc w:val="center"/>
              <w:rPr>
                <w:rFonts w:cs="宋体"/>
                <w:color w:val="000000"/>
                <w:kern w:val="0"/>
                <w:sz w:val="18"/>
                <w:szCs w:val="18"/>
              </w:rPr>
            </w:pPr>
            <w:r>
              <w:rPr>
                <w:rFonts w:cs="宋体"/>
                <w:color w:val="000000"/>
                <w:kern w:val="0"/>
                <w:sz w:val="18"/>
                <w:szCs w:val="18"/>
              </w:rPr>
              <w:t>80</w:t>
            </w:r>
            <w:r>
              <w:rPr>
                <w:rFonts w:cs="宋体" w:hint="eastAsia"/>
                <w:color w:val="000000"/>
                <w:kern w:val="0"/>
                <w:sz w:val="18"/>
                <w:szCs w:val="18"/>
              </w:rPr>
              <w:t>.0</w:t>
            </w:r>
            <w:r>
              <w:rPr>
                <w:rFonts w:cs="宋体"/>
                <w:color w:val="000000"/>
                <w:kern w:val="0"/>
                <w:sz w:val="18"/>
                <w:szCs w:val="18"/>
              </w:rPr>
              <w:t>0</w:t>
            </w:r>
            <w:r>
              <w:rPr>
                <w:rFonts w:cs="宋体" w:hint="eastAsia"/>
                <w:color w:val="000000"/>
                <w:kern w:val="0"/>
                <w:sz w:val="18"/>
                <w:szCs w:val="18"/>
              </w:rPr>
              <w:t>%</w:t>
            </w:r>
          </w:p>
        </w:tc>
        <w:tc>
          <w:tcPr>
            <w:tcW w:w="1032" w:type="dxa"/>
            <w:vAlign w:val="center"/>
          </w:tcPr>
          <w:p w14:paraId="3078DFB0" w14:textId="77777777" w:rsidR="004B0883" w:rsidRDefault="004B0883">
            <w:pPr>
              <w:adjustRightInd w:val="0"/>
              <w:snapToGrid w:val="0"/>
              <w:jc w:val="center"/>
              <w:rPr>
                <w:rFonts w:cs="宋体"/>
                <w:color w:val="000000"/>
                <w:kern w:val="0"/>
                <w:sz w:val="18"/>
                <w:szCs w:val="18"/>
              </w:rPr>
            </w:pPr>
            <w:r>
              <w:rPr>
                <w:rFonts w:cs="宋体"/>
                <w:color w:val="000000"/>
                <w:kern w:val="0"/>
                <w:sz w:val="18"/>
                <w:szCs w:val="18"/>
              </w:rPr>
              <w:t>100</w:t>
            </w:r>
            <w:r>
              <w:rPr>
                <w:rFonts w:cs="宋体" w:hint="eastAsia"/>
                <w:color w:val="000000"/>
                <w:kern w:val="0"/>
                <w:sz w:val="18"/>
                <w:szCs w:val="18"/>
              </w:rPr>
              <w:t>.0</w:t>
            </w:r>
            <w:r>
              <w:rPr>
                <w:rFonts w:cs="宋体"/>
                <w:color w:val="000000"/>
                <w:kern w:val="0"/>
                <w:sz w:val="18"/>
                <w:szCs w:val="18"/>
              </w:rPr>
              <w:t>0</w:t>
            </w:r>
            <w:r>
              <w:rPr>
                <w:rFonts w:cs="宋体" w:hint="eastAsia"/>
                <w:color w:val="000000"/>
                <w:kern w:val="0"/>
                <w:sz w:val="18"/>
                <w:szCs w:val="18"/>
              </w:rPr>
              <w:t>%</w:t>
            </w:r>
          </w:p>
        </w:tc>
      </w:tr>
      <w:tr w:rsidR="004B0883" w14:paraId="665B33FD" w14:textId="77777777">
        <w:trPr>
          <w:trHeight w:val="397"/>
          <w:jc w:val="center"/>
        </w:trPr>
        <w:tc>
          <w:tcPr>
            <w:tcW w:w="1046" w:type="dxa"/>
            <w:shd w:val="clear" w:color="auto" w:fill="FFFFFF"/>
            <w:tcMar>
              <w:top w:w="0" w:type="dxa"/>
              <w:left w:w="108" w:type="dxa"/>
              <w:bottom w:w="0" w:type="dxa"/>
              <w:right w:w="108" w:type="dxa"/>
            </w:tcMar>
            <w:vAlign w:val="center"/>
          </w:tcPr>
          <w:p w14:paraId="754B2868" w14:textId="77777777" w:rsidR="004B0883" w:rsidRDefault="004B0883">
            <w:pPr>
              <w:jc w:val="center"/>
              <w:rPr>
                <w:rFonts w:hint="eastAsia"/>
                <w:color w:val="000000"/>
                <w:sz w:val="18"/>
                <w:szCs w:val="18"/>
              </w:rPr>
            </w:pPr>
            <w:r>
              <w:rPr>
                <w:rFonts w:hint="eastAsia"/>
                <w:color w:val="000000"/>
                <w:sz w:val="18"/>
                <w:szCs w:val="18"/>
              </w:rPr>
              <w:t>纽威股份</w:t>
            </w:r>
          </w:p>
        </w:tc>
        <w:tc>
          <w:tcPr>
            <w:tcW w:w="1189" w:type="dxa"/>
            <w:tcMar>
              <w:top w:w="0" w:type="dxa"/>
              <w:left w:w="108" w:type="dxa"/>
              <w:bottom w:w="0" w:type="dxa"/>
              <w:right w:w="108" w:type="dxa"/>
            </w:tcMar>
            <w:vAlign w:val="center"/>
          </w:tcPr>
          <w:p w14:paraId="5F5A02C8" w14:textId="77777777" w:rsidR="004B0883" w:rsidRDefault="004B0883">
            <w:pPr>
              <w:adjustRightInd w:val="0"/>
              <w:snapToGrid w:val="0"/>
              <w:jc w:val="center"/>
              <w:rPr>
                <w:rFonts w:cs="宋体"/>
                <w:color w:val="000000"/>
                <w:kern w:val="0"/>
                <w:sz w:val="18"/>
                <w:szCs w:val="18"/>
              </w:rPr>
            </w:pPr>
            <w:r>
              <w:rPr>
                <w:rFonts w:cs="宋体" w:hint="eastAsia"/>
                <w:color w:val="000000"/>
                <w:kern w:val="0"/>
                <w:sz w:val="18"/>
                <w:szCs w:val="18"/>
              </w:rPr>
              <w:t>0</w:t>
            </w:r>
            <w:r>
              <w:rPr>
                <w:rFonts w:cs="宋体"/>
                <w:color w:val="000000"/>
                <w:kern w:val="0"/>
                <w:sz w:val="18"/>
                <w:szCs w:val="18"/>
              </w:rPr>
              <w:t>.00</w:t>
            </w:r>
            <w:r>
              <w:rPr>
                <w:rFonts w:cs="宋体" w:hint="eastAsia"/>
                <w:color w:val="000000"/>
                <w:kern w:val="0"/>
                <w:sz w:val="18"/>
                <w:szCs w:val="18"/>
              </w:rPr>
              <w:t>%</w:t>
            </w:r>
          </w:p>
        </w:tc>
        <w:tc>
          <w:tcPr>
            <w:tcW w:w="1134" w:type="dxa"/>
            <w:vAlign w:val="center"/>
          </w:tcPr>
          <w:p w14:paraId="1B29AD2B" w14:textId="77777777" w:rsidR="004B0883" w:rsidRDefault="004B0883">
            <w:pPr>
              <w:adjustRightInd w:val="0"/>
              <w:snapToGrid w:val="0"/>
              <w:jc w:val="center"/>
              <w:rPr>
                <w:rFonts w:cs="宋体"/>
                <w:color w:val="000000"/>
                <w:kern w:val="0"/>
                <w:sz w:val="18"/>
                <w:szCs w:val="18"/>
              </w:rPr>
            </w:pPr>
            <w:r>
              <w:rPr>
                <w:rFonts w:cs="宋体" w:hint="eastAsia"/>
                <w:color w:val="000000"/>
                <w:kern w:val="0"/>
                <w:sz w:val="18"/>
                <w:szCs w:val="18"/>
              </w:rPr>
              <w:t>3</w:t>
            </w:r>
            <w:r>
              <w:rPr>
                <w:rFonts w:cs="宋体"/>
                <w:color w:val="000000"/>
                <w:kern w:val="0"/>
                <w:sz w:val="18"/>
                <w:szCs w:val="18"/>
              </w:rPr>
              <w:t>.00</w:t>
            </w:r>
            <w:r>
              <w:rPr>
                <w:rFonts w:cs="宋体" w:hint="eastAsia"/>
                <w:color w:val="000000"/>
                <w:kern w:val="0"/>
                <w:sz w:val="18"/>
                <w:szCs w:val="18"/>
              </w:rPr>
              <w:t>%</w:t>
            </w:r>
          </w:p>
        </w:tc>
        <w:tc>
          <w:tcPr>
            <w:tcW w:w="1031" w:type="dxa"/>
            <w:tcMar>
              <w:top w:w="0" w:type="dxa"/>
              <w:left w:w="108" w:type="dxa"/>
              <w:bottom w:w="0" w:type="dxa"/>
              <w:right w:w="108" w:type="dxa"/>
            </w:tcMar>
            <w:vAlign w:val="center"/>
          </w:tcPr>
          <w:p w14:paraId="28E4FD6D" w14:textId="77777777" w:rsidR="004B0883" w:rsidRDefault="004B0883">
            <w:pPr>
              <w:adjustRightInd w:val="0"/>
              <w:snapToGrid w:val="0"/>
              <w:jc w:val="center"/>
              <w:rPr>
                <w:rFonts w:cs="宋体"/>
                <w:color w:val="000000"/>
                <w:kern w:val="0"/>
                <w:sz w:val="18"/>
                <w:szCs w:val="18"/>
              </w:rPr>
            </w:pPr>
            <w:r>
              <w:rPr>
                <w:rFonts w:cs="宋体"/>
                <w:color w:val="000000"/>
                <w:kern w:val="0"/>
                <w:sz w:val="18"/>
                <w:szCs w:val="18"/>
              </w:rPr>
              <w:t>15</w:t>
            </w:r>
            <w:r>
              <w:rPr>
                <w:rFonts w:cs="宋体" w:hint="eastAsia"/>
                <w:color w:val="000000"/>
                <w:kern w:val="0"/>
                <w:sz w:val="18"/>
                <w:szCs w:val="18"/>
              </w:rPr>
              <w:t>.0</w:t>
            </w:r>
            <w:r>
              <w:rPr>
                <w:rFonts w:cs="宋体"/>
                <w:color w:val="000000"/>
                <w:kern w:val="0"/>
                <w:sz w:val="18"/>
                <w:szCs w:val="18"/>
              </w:rPr>
              <w:t>0</w:t>
            </w:r>
            <w:r>
              <w:rPr>
                <w:rFonts w:cs="宋体" w:hint="eastAsia"/>
                <w:color w:val="000000"/>
                <w:kern w:val="0"/>
                <w:sz w:val="18"/>
                <w:szCs w:val="18"/>
              </w:rPr>
              <w:t>%</w:t>
            </w:r>
          </w:p>
        </w:tc>
        <w:tc>
          <w:tcPr>
            <w:tcW w:w="1031" w:type="dxa"/>
            <w:tcMar>
              <w:top w:w="0" w:type="dxa"/>
              <w:left w:w="108" w:type="dxa"/>
              <w:bottom w:w="0" w:type="dxa"/>
              <w:right w:w="108" w:type="dxa"/>
            </w:tcMar>
            <w:vAlign w:val="center"/>
          </w:tcPr>
          <w:p w14:paraId="73DAF7EA" w14:textId="77777777" w:rsidR="004B0883" w:rsidRDefault="004B0883">
            <w:pPr>
              <w:adjustRightInd w:val="0"/>
              <w:snapToGrid w:val="0"/>
              <w:jc w:val="center"/>
              <w:rPr>
                <w:rFonts w:cs="宋体"/>
                <w:color w:val="000000"/>
                <w:kern w:val="0"/>
                <w:sz w:val="18"/>
                <w:szCs w:val="18"/>
              </w:rPr>
            </w:pPr>
            <w:r>
              <w:rPr>
                <w:rFonts w:cs="宋体"/>
                <w:color w:val="000000"/>
                <w:kern w:val="0"/>
                <w:sz w:val="18"/>
                <w:szCs w:val="18"/>
              </w:rPr>
              <w:t>30</w:t>
            </w:r>
            <w:r>
              <w:rPr>
                <w:rFonts w:cs="宋体" w:hint="eastAsia"/>
                <w:color w:val="000000"/>
                <w:kern w:val="0"/>
                <w:sz w:val="18"/>
                <w:szCs w:val="18"/>
              </w:rPr>
              <w:t>.0</w:t>
            </w:r>
            <w:r>
              <w:rPr>
                <w:rFonts w:cs="宋体"/>
                <w:color w:val="000000"/>
                <w:kern w:val="0"/>
                <w:sz w:val="18"/>
                <w:szCs w:val="18"/>
              </w:rPr>
              <w:t>0</w:t>
            </w:r>
            <w:r>
              <w:rPr>
                <w:rFonts w:cs="宋体" w:hint="eastAsia"/>
                <w:color w:val="000000"/>
                <w:kern w:val="0"/>
                <w:sz w:val="18"/>
                <w:szCs w:val="18"/>
              </w:rPr>
              <w:t>%</w:t>
            </w:r>
          </w:p>
        </w:tc>
        <w:tc>
          <w:tcPr>
            <w:tcW w:w="1032" w:type="dxa"/>
            <w:tcMar>
              <w:top w:w="0" w:type="dxa"/>
              <w:left w:w="108" w:type="dxa"/>
              <w:bottom w:w="0" w:type="dxa"/>
              <w:right w:w="108" w:type="dxa"/>
            </w:tcMar>
            <w:vAlign w:val="center"/>
          </w:tcPr>
          <w:p w14:paraId="3265CA7D" w14:textId="77777777" w:rsidR="004B0883" w:rsidRDefault="004B0883">
            <w:pPr>
              <w:adjustRightInd w:val="0"/>
              <w:snapToGrid w:val="0"/>
              <w:jc w:val="center"/>
              <w:rPr>
                <w:rFonts w:cs="宋体"/>
                <w:color w:val="000000"/>
                <w:kern w:val="0"/>
                <w:sz w:val="18"/>
                <w:szCs w:val="18"/>
              </w:rPr>
            </w:pPr>
            <w:r>
              <w:rPr>
                <w:rFonts w:cs="宋体"/>
                <w:color w:val="000000"/>
                <w:kern w:val="0"/>
                <w:sz w:val="18"/>
                <w:szCs w:val="18"/>
              </w:rPr>
              <w:t>50</w:t>
            </w:r>
            <w:r>
              <w:rPr>
                <w:rFonts w:cs="宋体" w:hint="eastAsia"/>
                <w:color w:val="000000"/>
                <w:kern w:val="0"/>
                <w:sz w:val="18"/>
                <w:szCs w:val="18"/>
              </w:rPr>
              <w:t>.0</w:t>
            </w:r>
            <w:r>
              <w:rPr>
                <w:rFonts w:cs="宋体"/>
                <w:color w:val="000000"/>
                <w:kern w:val="0"/>
                <w:sz w:val="18"/>
                <w:szCs w:val="18"/>
              </w:rPr>
              <w:t>0</w:t>
            </w:r>
            <w:r>
              <w:rPr>
                <w:rFonts w:cs="宋体" w:hint="eastAsia"/>
                <w:color w:val="000000"/>
                <w:kern w:val="0"/>
                <w:sz w:val="18"/>
                <w:szCs w:val="18"/>
              </w:rPr>
              <w:t>%</w:t>
            </w:r>
          </w:p>
        </w:tc>
        <w:tc>
          <w:tcPr>
            <w:tcW w:w="1031" w:type="dxa"/>
            <w:tcMar>
              <w:top w:w="0" w:type="dxa"/>
              <w:left w:w="108" w:type="dxa"/>
              <w:bottom w:w="0" w:type="dxa"/>
              <w:right w:w="108" w:type="dxa"/>
            </w:tcMar>
            <w:vAlign w:val="center"/>
          </w:tcPr>
          <w:p w14:paraId="0615E844" w14:textId="77777777" w:rsidR="004B0883" w:rsidRDefault="004B0883">
            <w:pPr>
              <w:adjustRightInd w:val="0"/>
              <w:snapToGrid w:val="0"/>
              <w:jc w:val="center"/>
              <w:rPr>
                <w:rFonts w:cs="宋体"/>
                <w:color w:val="000000"/>
                <w:kern w:val="0"/>
                <w:sz w:val="18"/>
                <w:szCs w:val="18"/>
              </w:rPr>
            </w:pPr>
            <w:r>
              <w:rPr>
                <w:rFonts w:cs="宋体"/>
                <w:color w:val="000000"/>
                <w:kern w:val="0"/>
                <w:sz w:val="18"/>
                <w:szCs w:val="18"/>
              </w:rPr>
              <w:t>100</w:t>
            </w:r>
            <w:r>
              <w:rPr>
                <w:rFonts w:cs="宋体" w:hint="eastAsia"/>
                <w:color w:val="000000"/>
                <w:kern w:val="0"/>
                <w:sz w:val="18"/>
                <w:szCs w:val="18"/>
              </w:rPr>
              <w:t>.0</w:t>
            </w:r>
            <w:r>
              <w:rPr>
                <w:rFonts w:cs="宋体"/>
                <w:color w:val="000000"/>
                <w:kern w:val="0"/>
                <w:sz w:val="18"/>
                <w:szCs w:val="18"/>
              </w:rPr>
              <w:t>0</w:t>
            </w:r>
            <w:r>
              <w:rPr>
                <w:rFonts w:cs="宋体" w:hint="eastAsia"/>
                <w:color w:val="000000"/>
                <w:kern w:val="0"/>
                <w:sz w:val="18"/>
                <w:szCs w:val="18"/>
              </w:rPr>
              <w:t>%</w:t>
            </w:r>
          </w:p>
        </w:tc>
        <w:tc>
          <w:tcPr>
            <w:tcW w:w="1032" w:type="dxa"/>
            <w:tcMar>
              <w:top w:w="0" w:type="dxa"/>
              <w:left w:w="108" w:type="dxa"/>
              <w:bottom w:w="0" w:type="dxa"/>
              <w:right w:w="108" w:type="dxa"/>
            </w:tcMar>
            <w:vAlign w:val="center"/>
          </w:tcPr>
          <w:p w14:paraId="117C3DCA" w14:textId="77777777" w:rsidR="004B0883" w:rsidRDefault="004B0883">
            <w:pPr>
              <w:adjustRightInd w:val="0"/>
              <w:snapToGrid w:val="0"/>
              <w:jc w:val="center"/>
              <w:rPr>
                <w:rFonts w:cs="宋体"/>
                <w:color w:val="000000"/>
                <w:kern w:val="0"/>
                <w:sz w:val="18"/>
                <w:szCs w:val="18"/>
              </w:rPr>
            </w:pPr>
            <w:r>
              <w:rPr>
                <w:rFonts w:cs="宋体"/>
                <w:color w:val="000000"/>
                <w:kern w:val="0"/>
                <w:sz w:val="18"/>
                <w:szCs w:val="18"/>
              </w:rPr>
              <w:t>100</w:t>
            </w:r>
            <w:r>
              <w:rPr>
                <w:rFonts w:cs="宋体" w:hint="eastAsia"/>
                <w:color w:val="000000"/>
                <w:kern w:val="0"/>
                <w:sz w:val="18"/>
                <w:szCs w:val="18"/>
              </w:rPr>
              <w:t>.0</w:t>
            </w:r>
            <w:r>
              <w:rPr>
                <w:rFonts w:cs="宋体"/>
                <w:color w:val="000000"/>
                <w:kern w:val="0"/>
                <w:sz w:val="18"/>
                <w:szCs w:val="18"/>
              </w:rPr>
              <w:t>0</w:t>
            </w:r>
            <w:r>
              <w:rPr>
                <w:rFonts w:cs="宋体" w:hint="eastAsia"/>
                <w:color w:val="000000"/>
                <w:kern w:val="0"/>
                <w:sz w:val="18"/>
                <w:szCs w:val="18"/>
              </w:rPr>
              <w:t>%</w:t>
            </w:r>
          </w:p>
        </w:tc>
      </w:tr>
      <w:tr w:rsidR="004B0883" w14:paraId="2339EB03" w14:textId="77777777">
        <w:trPr>
          <w:trHeight w:val="397"/>
          <w:jc w:val="center"/>
        </w:trPr>
        <w:tc>
          <w:tcPr>
            <w:tcW w:w="1046" w:type="dxa"/>
            <w:shd w:val="clear" w:color="auto" w:fill="FFFFFF"/>
            <w:tcMar>
              <w:top w:w="0" w:type="dxa"/>
              <w:left w:w="108" w:type="dxa"/>
              <w:bottom w:w="0" w:type="dxa"/>
              <w:right w:w="108" w:type="dxa"/>
            </w:tcMar>
            <w:vAlign w:val="center"/>
          </w:tcPr>
          <w:p w14:paraId="53E6674C" w14:textId="77777777" w:rsidR="004B0883" w:rsidRDefault="004B0883">
            <w:pPr>
              <w:jc w:val="center"/>
              <w:rPr>
                <w:rFonts w:hint="eastAsia"/>
                <w:color w:val="000000"/>
                <w:sz w:val="18"/>
                <w:szCs w:val="18"/>
              </w:rPr>
            </w:pPr>
            <w:r>
              <w:rPr>
                <w:rFonts w:hint="eastAsia"/>
                <w:color w:val="000000"/>
                <w:sz w:val="18"/>
                <w:szCs w:val="18"/>
              </w:rPr>
              <w:t>中核科技</w:t>
            </w:r>
          </w:p>
        </w:tc>
        <w:tc>
          <w:tcPr>
            <w:tcW w:w="2323" w:type="dxa"/>
            <w:gridSpan w:val="2"/>
            <w:tcMar>
              <w:top w:w="0" w:type="dxa"/>
              <w:left w:w="108" w:type="dxa"/>
              <w:bottom w:w="0" w:type="dxa"/>
              <w:right w:w="108" w:type="dxa"/>
            </w:tcMar>
            <w:vAlign w:val="center"/>
          </w:tcPr>
          <w:p w14:paraId="4915A826" w14:textId="77777777" w:rsidR="004B0883" w:rsidRDefault="004B0883">
            <w:pPr>
              <w:adjustRightInd w:val="0"/>
              <w:snapToGrid w:val="0"/>
              <w:jc w:val="center"/>
              <w:rPr>
                <w:rFonts w:cs="宋体"/>
                <w:color w:val="000000"/>
                <w:kern w:val="0"/>
                <w:sz w:val="18"/>
                <w:szCs w:val="18"/>
              </w:rPr>
            </w:pPr>
            <w:r>
              <w:rPr>
                <w:rFonts w:cs="宋体" w:hint="eastAsia"/>
                <w:color w:val="000000"/>
                <w:kern w:val="0"/>
                <w:sz w:val="18"/>
                <w:szCs w:val="18"/>
              </w:rPr>
              <w:t>5.0</w:t>
            </w:r>
            <w:r>
              <w:rPr>
                <w:rFonts w:cs="宋体"/>
                <w:color w:val="000000"/>
                <w:kern w:val="0"/>
                <w:sz w:val="18"/>
                <w:szCs w:val="18"/>
              </w:rPr>
              <w:t>0</w:t>
            </w:r>
            <w:r>
              <w:rPr>
                <w:rFonts w:cs="宋体" w:hint="eastAsia"/>
                <w:color w:val="000000"/>
                <w:kern w:val="0"/>
                <w:sz w:val="18"/>
                <w:szCs w:val="18"/>
              </w:rPr>
              <w:t>%</w:t>
            </w:r>
          </w:p>
        </w:tc>
        <w:tc>
          <w:tcPr>
            <w:tcW w:w="1031" w:type="dxa"/>
            <w:tcMar>
              <w:top w:w="0" w:type="dxa"/>
              <w:left w:w="108" w:type="dxa"/>
              <w:bottom w:w="0" w:type="dxa"/>
              <w:right w:w="108" w:type="dxa"/>
            </w:tcMar>
            <w:vAlign w:val="center"/>
          </w:tcPr>
          <w:p w14:paraId="5EE095F7" w14:textId="77777777" w:rsidR="004B0883" w:rsidRDefault="004B0883">
            <w:pPr>
              <w:adjustRightInd w:val="0"/>
              <w:snapToGrid w:val="0"/>
              <w:jc w:val="center"/>
              <w:rPr>
                <w:rFonts w:cs="宋体"/>
                <w:color w:val="000000"/>
                <w:kern w:val="0"/>
                <w:sz w:val="18"/>
                <w:szCs w:val="18"/>
              </w:rPr>
            </w:pPr>
            <w:r>
              <w:rPr>
                <w:rFonts w:cs="宋体"/>
                <w:color w:val="000000"/>
                <w:kern w:val="0"/>
                <w:sz w:val="18"/>
                <w:szCs w:val="18"/>
              </w:rPr>
              <w:t>10</w:t>
            </w:r>
            <w:r>
              <w:rPr>
                <w:rFonts w:cs="宋体" w:hint="eastAsia"/>
                <w:color w:val="000000"/>
                <w:kern w:val="0"/>
                <w:sz w:val="18"/>
                <w:szCs w:val="18"/>
              </w:rPr>
              <w:t>.0</w:t>
            </w:r>
            <w:r>
              <w:rPr>
                <w:rFonts w:cs="宋体"/>
                <w:color w:val="000000"/>
                <w:kern w:val="0"/>
                <w:sz w:val="18"/>
                <w:szCs w:val="18"/>
              </w:rPr>
              <w:t>0</w:t>
            </w:r>
            <w:r>
              <w:rPr>
                <w:rFonts w:cs="宋体" w:hint="eastAsia"/>
                <w:color w:val="000000"/>
                <w:kern w:val="0"/>
                <w:sz w:val="18"/>
                <w:szCs w:val="18"/>
              </w:rPr>
              <w:t>%</w:t>
            </w:r>
          </w:p>
        </w:tc>
        <w:tc>
          <w:tcPr>
            <w:tcW w:w="1031" w:type="dxa"/>
            <w:tcMar>
              <w:top w:w="0" w:type="dxa"/>
              <w:left w:w="108" w:type="dxa"/>
              <w:bottom w:w="0" w:type="dxa"/>
              <w:right w:w="108" w:type="dxa"/>
            </w:tcMar>
            <w:vAlign w:val="center"/>
          </w:tcPr>
          <w:p w14:paraId="68E60E9A" w14:textId="77777777" w:rsidR="004B0883" w:rsidRDefault="004B0883">
            <w:pPr>
              <w:adjustRightInd w:val="0"/>
              <w:snapToGrid w:val="0"/>
              <w:jc w:val="center"/>
              <w:rPr>
                <w:rFonts w:cs="宋体"/>
                <w:color w:val="000000"/>
                <w:kern w:val="0"/>
                <w:sz w:val="18"/>
                <w:szCs w:val="18"/>
              </w:rPr>
            </w:pPr>
            <w:r>
              <w:rPr>
                <w:rFonts w:cs="宋体"/>
                <w:color w:val="000000"/>
                <w:kern w:val="0"/>
                <w:sz w:val="18"/>
                <w:szCs w:val="18"/>
              </w:rPr>
              <w:t>20</w:t>
            </w:r>
            <w:r>
              <w:rPr>
                <w:rFonts w:cs="宋体" w:hint="eastAsia"/>
                <w:color w:val="000000"/>
                <w:kern w:val="0"/>
                <w:sz w:val="18"/>
                <w:szCs w:val="18"/>
              </w:rPr>
              <w:t>.0</w:t>
            </w:r>
            <w:r>
              <w:rPr>
                <w:rFonts w:cs="宋体"/>
                <w:color w:val="000000"/>
                <w:kern w:val="0"/>
                <w:sz w:val="18"/>
                <w:szCs w:val="18"/>
              </w:rPr>
              <w:t>0</w:t>
            </w:r>
            <w:r>
              <w:rPr>
                <w:rFonts w:cs="宋体" w:hint="eastAsia"/>
                <w:color w:val="000000"/>
                <w:kern w:val="0"/>
                <w:sz w:val="18"/>
                <w:szCs w:val="18"/>
              </w:rPr>
              <w:t>%</w:t>
            </w:r>
          </w:p>
        </w:tc>
        <w:tc>
          <w:tcPr>
            <w:tcW w:w="1032" w:type="dxa"/>
            <w:vAlign w:val="center"/>
          </w:tcPr>
          <w:p w14:paraId="5CCB1D09" w14:textId="77777777" w:rsidR="004B0883" w:rsidRDefault="004B0883">
            <w:pPr>
              <w:adjustRightInd w:val="0"/>
              <w:snapToGrid w:val="0"/>
              <w:jc w:val="center"/>
              <w:rPr>
                <w:rFonts w:cs="宋体"/>
                <w:color w:val="000000"/>
                <w:kern w:val="0"/>
                <w:sz w:val="18"/>
                <w:szCs w:val="18"/>
              </w:rPr>
            </w:pPr>
            <w:r>
              <w:rPr>
                <w:rFonts w:cs="宋体"/>
                <w:color w:val="000000"/>
                <w:kern w:val="0"/>
                <w:sz w:val="18"/>
                <w:szCs w:val="18"/>
              </w:rPr>
              <w:t>40</w:t>
            </w:r>
            <w:r>
              <w:rPr>
                <w:rFonts w:cs="宋体" w:hint="eastAsia"/>
                <w:color w:val="000000"/>
                <w:kern w:val="0"/>
                <w:sz w:val="18"/>
                <w:szCs w:val="18"/>
              </w:rPr>
              <w:t>.0</w:t>
            </w:r>
            <w:r>
              <w:rPr>
                <w:rFonts w:cs="宋体"/>
                <w:color w:val="000000"/>
                <w:kern w:val="0"/>
                <w:sz w:val="18"/>
                <w:szCs w:val="18"/>
              </w:rPr>
              <w:t>0</w:t>
            </w:r>
            <w:r>
              <w:rPr>
                <w:rFonts w:cs="宋体" w:hint="eastAsia"/>
                <w:color w:val="000000"/>
                <w:kern w:val="0"/>
                <w:sz w:val="18"/>
                <w:szCs w:val="18"/>
              </w:rPr>
              <w:t>%</w:t>
            </w:r>
          </w:p>
        </w:tc>
        <w:tc>
          <w:tcPr>
            <w:tcW w:w="1031" w:type="dxa"/>
            <w:vAlign w:val="center"/>
          </w:tcPr>
          <w:p w14:paraId="7725BC1B" w14:textId="77777777" w:rsidR="004B0883" w:rsidRDefault="004B0883">
            <w:pPr>
              <w:adjustRightInd w:val="0"/>
              <w:snapToGrid w:val="0"/>
              <w:jc w:val="center"/>
              <w:rPr>
                <w:rFonts w:cs="宋体"/>
                <w:color w:val="000000"/>
                <w:kern w:val="0"/>
                <w:sz w:val="18"/>
                <w:szCs w:val="18"/>
              </w:rPr>
            </w:pPr>
            <w:r>
              <w:rPr>
                <w:rFonts w:cs="宋体"/>
                <w:color w:val="000000"/>
                <w:kern w:val="0"/>
                <w:sz w:val="18"/>
                <w:szCs w:val="18"/>
              </w:rPr>
              <w:t>60</w:t>
            </w:r>
            <w:r>
              <w:rPr>
                <w:rFonts w:cs="宋体" w:hint="eastAsia"/>
                <w:color w:val="000000"/>
                <w:kern w:val="0"/>
                <w:sz w:val="18"/>
                <w:szCs w:val="18"/>
              </w:rPr>
              <w:t>.0</w:t>
            </w:r>
            <w:r>
              <w:rPr>
                <w:rFonts w:cs="宋体"/>
                <w:color w:val="000000"/>
                <w:kern w:val="0"/>
                <w:sz w:val="18"/>
                <w:szCs w:val="18"/>
              </w:rPr>
              <w:t>0</w:t>
            </w:r>
            <w:r>
              <w:rPr>
                <w:rFonts w:cs="宋体" w:hint="eastAsia"/>
                <w:color w:val="000000"/>
                <w:kern w:val="0"/>
                <w:sz w:val="18"/>
                <w:szCs w:val="18"/>
              </w:rPr>
              <w:t>%</w:t>
            </w:r>
          </w:p>
        </w:tc>
        <w:tc>
          <w:tcPr>
            <w:tcW w:w="1032" w:type="dxa"/>
            <w:vAlign w:val="center"/>
          </w:tcPr>
          <w:p w14:paraId="7DAE4FD7" w14:textId="77777777" w:rsidR="004B0883" w:rsidRDefault="004B0883">
            <w:pPr>
              <w:adjustRightInd w:val="0"/>
              <w:snapToGrid w:val="0"/>
              <w:jc w:val="center"/>
              <w:rPr>
                <w:rFonts w:cs="宋体"/>
                <w:color w:val="000000"/>
                <w:kern w:val="0"/>
                <w:sz w:val="18"/>
                <w:szCs w:val="18"/>
              </w:rPr>
            </w:pPr>
            <w:r>
              <w:rPr>
                <w:rFonts w:cs="宋体"/>
                <w:color w:val="000000"/>
                <w:kern w:val="0"/>
                <w:sz w:val="18"/>
                <w:szCs w:val="18"/>
              </w:rPr>
              <w:t>100</w:t>
            </w:r>
            <w:r>
              <w:rPr>
                <w:rFonts w:cs="宋体" w:hint="eastAsia"/>
                <w:color w:val="000000"/>
                <w:kern w:val="0"/>
                <w:sz w:val="18"/>
                <w:szCs w:val="18"/>
              </w:rPr>
              <w:t>.0</w:t>
            </w:r>
            <w:r>
              <w:rPr>
                <w:rFonts w:cs="宋体"/>
                <w:color w:val="000000"/>
                <w:kern w:val="0"/>
                <w:sz w:val="18"/>
                <w:szCs w:val="18"/>
              </w:rPr>
              <w:t>0</w:t>
            </w:r>
            <w:r>
              <w:rPr>
                <w:rFonts w:cs="宋体" w:hint="eastAsia"/>
                <w:color w:val="000000"/>
                <w:kern w:val="0"/>
                <w:sz w:val="18"/>
                <w:szCs w:val="18"/>
              </w:rPr>
              <w:t>%</w:t>
            </w:r>
          </w:p>
        </w:tc>
      </w:tr>
      <w:tr w:rsidR="004B0883" w14:paraId="4DE204A7" w14:textId="77777777">
        <w:trPr>
          <w:trHeight w:val="397"/>
          <w:jc w:val="center"/>
        </w:trPr>
        <w:tc>
          <w:tcPr>
            <w:tcW w:w="1046" w:type="dxa"/>
            <w:shd w:val="clear" w:color="auto" w:fill="FFFFFF"/>
            <w:tcMar>
              <w:top w:w="0" w:type="dxa"/>
              <w:left w:w="108" w:type="dxa"/>
              <w:bottom w:w="0" w:type="dxa"/>
              <w:right w:w="108" w:type="dxa"/>
            </w:tcMar>
            <w:vAlign w:val="center"/>
          </w:tcPr>
          <w:p w14:paraId="7FF987F6" w14:textId="77777777" w:rsidR="004B0883" w:rsidRDefault="004B0883">
            <w:pPr>
              <w:adjustRightInd w:val="0"/>
              <w:snapToGrid w:val="0"/>
              <w:jc w:val="center"/>
              <w:rPr>
                <w:rFonts w:cs="宋体"/>
                <w:b/>
                <w:bCs/>
                <w:color w:val="000000"/>
                <w:kern w:val="0"/>
                <w:sz w:val="18"/>
                <w:szCs w:val="18"/>
              </w:rPr>
            </w:pPr>
            <w:r>
              <w:rPr>
                <w:rFonts w:cs="宋体" w:hint="eastAsia"/>
                <w:b/>
                <w:bCs/>
                <w:color w:val="000000"/>
                <w:kern w:val="0"/>
                <w:sz w:val="18"/>
                <w:szCs w:val="18"/>
              </w:rPr>
              <w:t>伟隆股份</w:t>
            </w:r>
          </w:p>
        </w:tc>
        <w:tc>
          <w:tcPr>
            <w:tcW w:w="2323" w:type="dxa"/>
            <w:gridSpan w:val="2"/>
            <w:tcMar>
              <w:top w:w="0" w:type="dxa"/>
              <w:left w:w="108" w:type="dxa"/>
              <w:bottom w:w="0" w:type="dxa"/>
              <w:right w:w="108" w:type="dxa"/>
            </w:tcMar>
            <w:vAlign w:val="center"/>
          </w:tcPr>
          <w:p w14:paraId="22E1D936" w14:textId="77777777" w:rsidR="004B0883" w:rsidRDefault="004B0883">
            <w:pPr>
              <w:adjustRightInd w:val="0"/>
              <w:snapToGrid w:val="0"/>
              <w:jc w:val="center"/>
              <w:rPr>
                <w:rFonts w:cs="宋体"/>
                <w:b/>
                <w:bCs/>
                <w:color w:val="000000"/>
                <w:kern w:val="0"/>
                <w:sz w:val="18"/>
                <w:szCs w:val="18"/>
              </w:rPr>
            </w:pPr>
            <w:r>
              <w:rPr>
                <w:rFonts w:cs="宋体" w:hint="eastAsia"/>
                <w:b/>
                <w:bCs/>
                <w:color w:val="000000"/>
                <w:kern w:val="0"/>
                <w:sz w:val="18"/>
                <w:szCs w:val="18"/>
              </w:rPr>
              <w:t>5.0</w:t>
            </w:r>
            <w:r>
              <w:rPr>
                <w:rFonts w:cs="宋体"/>
                <w:b/>
                <w:bCs/>
                <w:color w:val="000000"/>
                <w:kern w:val="0"/>
                <w:sz w:val="18"/>
                <w:szCs w:val="18"/>
              </w:rPr>
              <w:t>0</w:t>
            </w:r>
            <w:r>
              <w:rPr>
                <w:rFonts w:cs="宋体" w:hint="eastAsia"/>
                <w:b/>
                <w:bCs/>
                <w:color w:val="000000"/>
                <w:kern w:val="0"/>
                <w:sz w:val="18"/>
                <w:szCs w:val="18"/>
              </w:rPr>
              <w:t>%</w:t>
            </w:r>
          </w:p>
        </w:tc>
        <w:tc>
          <w:tcPr>
            <w:tcW w:w="1031" w:type="dxa"/>
            <w:tcMar>
              <w:top w:w="0" w:type="dxa"/>
              <w:left w:w="108" w:type="dxa"/>
              <w:bottom w:w="0" w:type="dxa"/>
              <w:right w:w="108" w:type="dxa"/>
            </w:tcMar>
            <w:vAlign w:val="center"/>
          </w:tcPr>
          <w:p w14:paraId="4D56B55F" w14:textId="77777777" w:rsidR="004B0883" w:rsidRDefault="004B0883">
            <w:pPr>
              <w:adjustRightInd w:val="0"/>
              <w:snapToGrid w:val="0"/>
              <w:jc w:val="center"/>
              <w:rPr>
                <w:rFonts w:cs="宋体"/>
                <w:b/>
                <w:bCs/>
                <w:color w:val="000000"/>
                <w:kern w:val="0"/>
                <w:sz w:val="18"/>
                <w:szCs w:val="18"/>
              </w:rPr>
            </w:pPr>
            <w:r>
              <w:rPr>
                <w:rFonts w:cs="宋体"/>
                <w:b/>
                <w:bCs/>
                <w:color w:val="000000"/>
                <w:kern w:val="0"/>
                <w:sz w:val="18"/>
                <w:szCs w:val="18"/>
              </w:rPr>
              <w:t>10</w:t>
            </w:r>
            <w:r>
              <w:rPr>
                <w:rFonts w:cs="宋体" w:hint="eastAsia"/>
                <w:b/>
                <w:bCs/>
                <w:color w:val="000000"/>
                <w:kern w:val="0"/>
                <w:sz w:val="18"/>
                <w:szCs w:val="18"/>
              </w:rPr>
              <w:t>.0</w:t>
            </w:r>
            <w:r>
              <w:rPr>
                <w:rFonts w:cs="宋体"/>
                <w:b/>
                <w:bCs/>
                <w:color w:val="000000"/>
                <w:kern w:val="0"/>
                <w:sz w:val="18"/>
                <w:szCs w:val="18"/>
              </w:rPr>
              <w:t>0</w:t>
            </w:r>
            <w:r>
              <w:rPr>
                <w:rFonts w:cs="宋体" w:hint="eastAsia"/>
                <w:b/>
                <w:bCs/>
                <w:color w:val="000000"/>
                <w:kern w:val="0"/>
                <w:sz w:val="18"/>
                <w:szCs w:val="18"/>
              </w:rPr>
              <w:t>%</w:t>
            </w:r>
          </w:p>
        </w:tc>
        <w:tc>
          <w:tcPr>
            <w:tcW w:w="1031" w:type="dxa"/>
            <w:tcMar>
              <w:top w:w="0" w:type="dxa"/>
              <w:left w:w="108" w:type="dxa"/>
              <w:bottom w:w="0" w:type="dxa"/>
              <w:right w:w="108" w:type="dxa"/>
            </w:tcMar>
            <w:vAlign w:val="center"/>
          </w:tcPr>
          <w:p w14:paraId="1278E5AA" w14:textId="77777777" w:rsidR="004B0883" w:rsidRDefault="004B0883">
            <w:pPr>
              <w:adjustRightInd w:val="0"/>
              <w:snapToGrid w:val="0"/>
              <w:jc w:val="center"/>
              <w:rPr>
                <w:rFonts w:cs="宋体"/>
                <w:b/>
                <w:bCs/>
                <w:color w:val="000000"/>
                <w:kern w:val="0"/>
                <w:sz w:val="18"/>
                <w:szCs w:val="18"/>
              </w:rPr>
            </w:pPr>
            <w:r>
              <w:rPr>
                <w:rFonts w:cs="宋体"/>
                <w:b/>
                <w:bCs/>
                <w:color w:val="000000"/>
                <w:kern w:val="0"/>
                <w:sz w:val="18"/>
                <w:szCs w:val="18"/>
              </w:rPr>
              <w:t>30</w:t>
            </w:r>
            <w:r>
              <w:rPr>
                <w:rFonts w:cs="宋体" w:hint="eastAsia"/>
                <w:b/>
                <w:bCs/>
                <w:color w:val="000000"/>
                <w:kern w:val="0"/>
                <w:sz w:val="18"/>
                <w:szCs w:val="18"/>
              </w:rPr>
              <w:t>.0</w:t>
            </w:r>
            <w:r>
              <w:rPr>
                <w:rFonts w:cs="宋体"/>
                <w:b/>
                <w:bCs/>
                <w:color w:val="000000"/>
                <w:kern w:val="0"/>
                <w:sz w:val="18"/>
                <w:szCs w:val="18"/>
              </w:rPr>
              <w:t>0</w:t>
            </w:r>
            <w:r>
              <w:rPr>
                <w:rFonts w:cs="宋体" w:hint="eastAsia"/>
                <w:b/>
                <w:bCs/>
                <w:color w:val="000000"/>
                <w:kern w:val="0"/>
                <w:sz w:val="18"/>
                <w:szCs w:val="18"/>
              </w:rPr>
              <w:t>%</w:t>
            </w:r>
          </w:p>
        </w:tc>
        <w:tc>
          <w:tcPr>
            <w:tcW w:w="1032" w:type="dxa"/>
            <w:tcMar>
              <w:top w:w="0" w:type="dxa"/>
              <w:left w:w="108" w:type="dxa"/>
              <w:bottom w:w="0" w:type="dxa"/>
              <w:right w:w="108" w:type="dxa"/>
            </w:tcMar>
            <w:vAlign w:val="center"/>
          </w:tcPr>
          <w:p w14:paraId="430F70AB" w14:textId="77777777" w:rsidR="004B0883" w:rsidRDefault="004B0883">
            <w:pPr>
              <w:adjustRightInd w:val="0"/>
              <w:snapToGrid w:val="0"/>
              <w:jc w:val="center"/>
              <w:rPr>
                <w:rFonts w:cs="宋体"/>
                <w:b/>
                <w:bCs/>
                <w:color w:val="000000"/>
                <w:kern w:val="0"/>
                <w:sz w:val="18"/>
                <w:szCs w:val="18"/>
              </w:rPr>
            </w:pPr>
            <w:r>
              <w:rPr>
                <w:rFonts w:cs="宋体"/>
                <w:b/>
                <w:bCs/>
                <w:color w:val="000000"/>
                <w:kern w:val="0"/>
                <w:sz w:val="18"/>
                <w:szCs w:val="18"/>
              </w:rPr>
              <w:t>50</w:t>
            </w:r>
            <w:r>
              <w:rPr>
                <w:rFonts w:cs="宋体" w:hint="eastAsia"/>
                <w:b/>
                <w:bCs/>
                <w:color w:val="000000"/>
                <w:kern w:val="0"/>
                <w:sz w:val="18"/>
                <w:szCs w:val="18"/>
              </w:rPr>
              <w:t>.0</w:t>
            </w:r>
            <w:r>
              <w:rPr>
                <w:rFonts w:cs="宋体"/>
                <w:b/>
                <w:bCs/>
                <w:color w:val="000000"/>
                <w:kern w:val="0"/>
                <w:sz w:val="18"/>
                <w:szCs w:val="18"/>
              </w:rPr>
              <w:t>0</w:t>
            </w:r>
            <w:r>
              <w:rPr>
                <w:rFonts w:cs="宋体" w:hint="eastAsia"/>
                <w:b/>
                <w:bCs/>
                <w:color w:val="000000"/>
                <w:kern w:val="0"/>
                <w:sz w:val="18"/>
                <w:szCs w:val="18"/>
              </w:rPr>
              <w:t>%</w:t>
            </w:r>
          </w:p>
        </w:tc>
        <w:tc>
          <w:tcPr>
            <w:tcW w:w="1031" w:type="dxa"/>
            <w:vAlign w:val="center"/>
          </w:tcPr>
          <w:p w14:paraId="426215A8" w14:textId="77777777" w:rsidR="004B0883" w:rsidRDefault="004B0883">
            <w:pPr>
              <w:adjustRightInd w:val="0"/>
              <w:snapToGrid w:val="0"/>
              <w:jc w:val="center"/>
              <w:rPr>
                <w:rFonts w:cs="宋体"/>
                <w:b/>
                <w:bCs/>
                <w:color w:val="000000"/>
                <w:kern w:val="0"/>
                <w:sz w:val="18"/>
                <w:szCs w:val="18"/>
              </w:rPr>
            </w:pPr>
            <w:r>
              <w:rPr>
                <w:rFonts w:cs="宋体"/>
                <w:b/>
                <w:bCs/>
                <w:color w:val="000000"/>
                <w:kern w:val="0"/>
                <w:sz w:val="18"/>
                <w:szCs w:val="18"/>
              </w:rPr>
              <w:t>80</w:t>
            </w:r>
            <w:r>
              <w:rPr>
                <w:rFonts w:cs="宋体" w:hint="eastAsia"/>
                <w:b/>
                <w:bCs/>
                <w:color w:val="000000"/>
                <w:kern w:val="0"/>
                <w:sz w:val="18"/>
                <w:szCs w:val="18"/>
              </w:rPr>
              <w:t>.0</w:t>
            </w:r>
            <w:r>
              <w:rPr>
                <w:rFonts w:cs="宋体"/>
                <w:b/>
                <w:bCs/>
                <w:color w:val="000000"/>
                <w:kern w:val="0"/>
                <w:sz w:val="18"/>
                <w:szCs w:val="18"/>
              </w:rPr>
              <w:t>0</w:t>
            </w:r>
            <w:r>
              <w:rPr>
                <w:rFonts w:cs="宋体" w:hint="eastAsia"/>
                <w:b/>
                <w:bCs/>
                <w:color w:val="000000"/>
                <w:kern w:val="0"/>
                <w:sz w:val="18"/>
                <w:szCs w:val="18"/>
              </w:rPr>
              <w:t>%</w:t>
            </w:r>
          </w:p>
        </w:tc>
        <w:tc>
          <w:tcPr>
            <w:tcW w:w="1032" w:type="dxa"/>
            <w:vAlign w:val="center"/>
          </w:tcPr>
          <w:p w14:paraId="47E59716" w14:textId="77777777" w:rsidR="004B0883" w:rsidRDefault="004B0883">
            <w:pPr>
              <w:adjustRightInd w:val="0"/>
              <w:snapToGrid w:val="0"/>
              <w:jc w:val="center"/>
              <w:rPr>
                <w:rFonts w:cs="宋体"/>
                <w:b/>
                <w:bCs/>
                <w:color w:val="000000"/>
                <w:kern w:val="0"/>
                <w:sz w:val="18"/>
                <w:szCs w:val="18"/>
              </w:rPr>
            </w:pPr>
            <w:r>
              <w:rPr>
                <w:rFonts w:cs="宋体"/>
                <w:b/>
                <w:bCs/>
                <w:color w:val="000000"/>
                <w:kern w:val="0"/>
                <w:sz w:val="18"/>
                <w:szCs w:val="18"/>
              </w:rPr>
              <w:t>100</w:t>
            </w:r>
            <w:r>
              <w:rPr>
                <w:rFonts w:cs="宋体" w:hint="eastAsia"/>
                <w:b/>
                <w:bCs/>
                <w:color w:val="000000"/>
                <w:kern w:val="0"/>
                <w:sz w:val="18"/>
                <w:szCs w:val="18"/>
              </w:rPr>
              <w:t>.0</w:t>
            </w:r>
            <w:r>
              <w:rPr>
                <w:rFonts w:cs="宋体"/>
                <w:b/>
                <w:bCs/>
                <w:color w:val="000000"/>
                <w:kern w:val="0"/>
                <w:sz w:val="18"/>
                <w:szCs w:val="18"/>
              </w:rPr>
              <w:t>0</w:t>
            </w:r>
            <w:r>
              <w:rPr>
                <w:rFonts w:cs="宋体" w:hint="eastAsia"/>
                <w:b/>
                <w:bCs/>
                <w:color w:val="000000"/>
                <w:kern w:val="0"/>
                <w:sz w:val="18"/>
                <w:szCs w:val="18"/>
              </w:rPr>
              <w:t>%</w:t>
            </w:r>
          </w:p>
        </w:tc>
      </w:tr>
    </w:tbl>
    <w:p w14:paraId="72D95674" w14:textId="77777777" w:rsidR="004B0883" w:rsidRDefault="004B0883">
      <w:pPr>
        <w:widowControl w:val="0"/>
        <w:ind w:firstLineChars="200" w:firstLine="420"/>
        <w:jc w:val="both"/>
        <w:rPr>
          <w:rFonts w:cs="Arial"/>
          <w:bCs/>
          <w:kern w:val="0"/>
          <w:szCs w:val="22"/>
          <w:lang w:bidi="en-US"/>
        </w:rPr>
      </w:pPr>
      <w:r>
        <w:rPr>
          <w:rFonts w:cs="Arial" w:hint="eastAsia"/>
          <w:bCs/>
          <w:kern w:val="0"/>
          <w:szCs w:val="22"/>
          <w:lang w:bidi="en-US"/>
        </w:rPr>
        <w:t>注：以上采用各公司</w:t>
      </w:r>
      <w:r>
        <w:rPr>
          <w:rFonts w:cs="Arial" w:hint="eastAsia"/>
          <w:bCs/>
          <w:kern w:val="0"/>
          <w:szCs w:val="22"/>
          <w:lang w:bidi="en-US"/>
        </w:rPr>
        <w:t>2</w:t>
      </w:r>
      <w:r>
        <w:rPr>
          <w:rFonts w:cs="Arial"/>
          <w:bCs/>
          <w:kern w:val="0"/>
          <w:szCs w:val="22"/>
          <w:lang w:bidi="en-US"/>
        </w:rPr>
        <w:t>022</w:t>
      </w:r>
      <w:r>
        <w:rPr>
          <w:rFonts w:cs="Arial" w:hint="eastAsia"/>
          <w:bCs/>
          <w:kern w:val="0"/>
          <w:szCs w:val="22"/>
          <w:lang w:bidi="en-US"/>
        </w:rPr>
        <w:t>年审计报告数据，纽威股份选取境内公司应收外销客户计提比例。</w:t>
      </w:r>
    </w:p>
    <w:p w14:paraId="16D68D8A"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报告期内，公司相较于同行业可比公司执行了较为谨慎的应收账款坏账计提政策，对于应收账款坏账的计提较为充分。</w:t>
      </w:r>
    </w:p>
    <w:p w14:paraId="4000A21A" w14:textId="77777777" w:rsidR="004B0883" w:rsidRDefault="004B0883">
      <w:pPr>
        <w:keepNext/>
        <w:keepLines/>
        <w:widowControl w:val="0"/>
        <w:spacing w:beforeLines="50" w:before="120" w:line="360" w:lineRule="auto"/>
        <w:ind w:firstLineChars="200" w:firstLine="480"/>
        <w:jc w:val="both"/>
        <w:outlineLvl w:val="4"/>
        <w:rPr>
          <w:sz w:val="24"/>
          <w:szCs w:val="22"/>
        </w:rPr>
      </w:pPr>
      <w:r>
        <w:rPr>
          <w:rFonts w:hint="eastAsia"/>
          <w:sz w:val="24"/>
          <w:szCs w:val="22"/>
        </w:rPr>
        <w:t>（</w:t>
      </w:r>
      <w:r>
        <w:rPr>
          <w:sz w:val="24"/>
          <w:szCs w:val="22"/>
        </w:rPr>
        <w:t>4</w:t>
      </w:r>
      <w:r>
        <w:rPr>
          <w:rFonts w:hint="eastAsia"/>
          <w:sz w:val="24"/>
          <w:szCs w:val="22"/>
        </w:rPr>
        <w:t>）存货</w:t>
      </w:r>
    </w:p>
    <w:p w14:paraId="73579769"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1</w:t>
      </w:r>
      <w:r>
        <w:rPr>
          <w:rFonts w:hint="eastAsia"/>
          <w:sz w:val="24"/>
          <w:szCs w:val="22"/>
        </w:rPr>
        <w:t>）存货及存货跌价准备情况</w:t>
      </w:r>
    </w:p>
    <w:p w14:paraId="02587A6E"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报告期各期末，公司存货情况如下：</w:t>
      </w:r>
    </w:p>
    <w:p w14:paraId="175D7500" w14:textId="77777777" w:rsidR="004B0883" w:rsidRDefault="004B0883">
      <w:pPr>
        <w:keepNext/>
        <w:widowControl w:val="0"/>
        <w:jc w:val="right"/>
        <w:rPr>
          <w:szCs w:val="22"/>
        </w:rPr>
      </w:pPr>
      <w:r>
        <w:rPr>
          <w:rFonts w:hint="eastAsia"/>
          <w:szCs w:val="22"/>
        </w:rP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365"/>
        <w:gridCol w:w="2140"/>
        <w:gridCol w:w="21"/>
        <w:gridCol w:w="1868"/>
        <w:gridCol w:w="38"/>
        <w:gridCol w:w="1848"/>
      </w:tblGrid>
      <w:tr w:rsidR="004B0883" w14:paraId="2766B994" w14:textId="77777777">
        <w:trPr>
          <w:trHeight w:val="397"/>
          <w:jc w:val="center"/>
        </w:trPr>
        <w:tc>
          <w:tcPr>
            <w:tcW w:w="2436" w:type="dxa"/>
            <w:vMerge w:val="restart"/>
            <w:shd w:val="clear" w:color="auto" w:fill="D9D9D9"/>
            <w:tcMar>
              <w:top w:w="0" w:type="dxa"/>
              <w:bottom w:w="0" w:type="dxa"/>
            </w:tcMar>
            <w:vAlign w:val="center"/>
          </w:tcPr>
          <w:p w14:paraId="775E4CD4" w14:textId="77777777" w:rsidR="004B0883" w:rsidRDefault="004B0883">
            <w:pPr>
              <w:widowControl w:val="0"/>
              <w:adjustRightInd w:val="0"/>
              <w:snapToGrid w:val="0"/>
              <w:jc w:val="center"/>
              <w:rPr>
                <w:b/>
                <w:bCs/>
                <w:color w:val="000000"/>
                <w:kern w:val="0"/>
              </w:rPr>
            </w:pPr>
            <w:r>
              <w:rPr>
                <w:b/>
                <w:bCs/>
                <w:color w:val="000000"/>
                <w:kern w:val="0"/>
              </w:rPr>
              <w:t>项目</w:t>
            </w:r>
          </w:p>
        </w:tc>
        <w:tc>
          <w:tcPr>
            <w:tcW w:w="6090" w:type="dxa"/>
            <w:gridSpan w:val="5"/>
            <w:shd w:val="clear" w:color="auto" w:fill="D9D9D9"/>
            <w:tcMar>
              <w:top w:w="0" w:type="dxa"/>
              <w:bottom w:w="0" w:type="dxa"/>
            </w:tcMar>
            <w:vAlign w:val="center"/>
          </w:tcPr>
          <w:p w14:paraId="77B64AF6" w14:textId="77777777" w:rsidR="004B0883" w:rsidRDefault="004B0883">
            <w:pPr>
              <w:widowControl w:val="0"/>
              <w:adjustRightInd w:val="0"/>
              <w:snapToGrid w:val="0"/>
              <w:jc w:val="center"/>
              <w:rPr>
                <w:b/>
                <w:bCs/>
                <w:color w:val="000000"/>
                <w:kern w:val="0"/>
              </w:rPr>
            </w:pPr>
            <w:r>
              <w:rPr>
                <w:b/>
                <w:bCs/>
                <w:color w:val="000000"/>
                <w:kern w:val="0"/>
              </w:rPr>
              <w:t>2023.</w:t>
            </w:r>
            <w:r>
              <w:rPr>
                <w:rFonts w:hint="eastAsia"/>
                <w:b/>
                <w:bCs/>
                <w:color w:val="000000"/>
                <w:kern w:val="0"/>
              </w:rPr>
              <w:t>9</w:t>
            </w:r>
            <w:r>
              <w:rPr>
                <w:b/>
                <w:bCs/>
                <w:color w:val="000000"/>
                <w:kern w:val="0"/>
              </w:rPr>
              <w:t>.30</w:t>
            </w:r>
          </w:p>
        </w:tc>
      </w:tr>
      <w:tr w:rsidR="004B0883" w14:paraId="7A1555E4" w14:textId="77777777">
        <w:trPr>
          <w:trHeight w:val="397"/>
          <w:jc w:val="center"/>
        </w:trPr>
        <w:tc>
          <w:tcPr>
            <w:tcW w:w="2436" w:type="dxa"/>
            <w:vMerge/>
            <w:shd w:val="clear" w:color="auto" w:fill="D9D9D9"/>
            <w:tcMar>
              <w:top w:w="0" w:type="dxa"/>
              <w:bottom w:w="0" w:type="dxa"/>
            </w:tcMar>
            <w:vAlign w:val="center"/>
          </w:tcPr>
          <w:p w14:paraId="2AEA2022" w14:textId="77777777" w:rsidR="004B0883" w:rsidRDefault="004B0883">
            <w:pPr>
              <w:widowControl w:val="0"/>
              <w:adjustRightInd w:val="0"/>
              <w:snapToGrid w:val="0"/>
              <w:rPr>
                <w:b/>
                <w:bCs/>
                <w:color w:val="000000"/>
                <w:kern w:val="0"/>
              </w:rPr>
            </w:pPr>
          </w:p>
        </w:tc>
        <w:tc>
          <w:tcPr>
            <w:tcW w:w="2204" w:type="dxa"/>
            <w:shd w:val="clear" w:color="auto" w:fill="D9D9D9"/>
            <w:tcMar>
              <w:top w:w="0" w:type="dxa"/>
              <w:bottom w:w="0" w:type="dxa"/>
            </w:tcMar>
            <w:vAlign w:val="center"/>
          </w:tcPr>
          <w:p w14:paraId="72DF891F" w14:textId="77777777" w:rsidR="004B0883" w:rsidRDefault="004B0883">
            <w:pPr>
              <w:widowControl w:val="0"/>
              <w:adjustRightInd w:val="0"/>
              <w:snapToGrid w:val="0"/>
              <w:jc w:val="center"/>
              <w:rPr>
                <w:b/>
                <w:bCs/>
                <w:color w:val="000000"/>
                <w:kern w:val="0"/>
              </w:rPr>
            </w:pPr>
            <w:r>
              <w:rPr>
                <w:b/>
                <w:bCs/>
                <w:color w:val="000000"/>
                <w:kern w:val="0"/>
              </w:rPr>
              <w:t>账面余额</w:t>
            </w:r>
          </w:p>
        </w:tc>
        <w:tc>
          <w:tcPr>
            <w:tcW w:w="1984" w:type="dxa"/>
            <w:gridSpan w:val="3"/>
            <w:shd w:val="clear" w:color="auto" w:fill="D9D9D9"/>
            <w:tcMar>
              <w:top w:w="0" w:type="dxa"/>
              <w:bottom w:w="0" w:type="dxa"/>
            </w:tcMar>
            <w:vAlign w:val="center"/>
          </w:tcPr>
          <w:p w14:paraId="049C6320" w14:textId="77777777" w:rsidR="004B0883" w:rsidRDefault="004B0883">
            <w:pPr>
              <w:widowControl w:val="0"/>
              <w:adjustRightInd w:val="0"/>
              <w:snapToGrid w:val="0"/>
              <w:jc w:val="center"/>
              <w:rPr>
                <w:rFonts w:hint="eastAsia"/>
                <w:b/>
                <w:bCs/>
                <w:color w:val="000000"/>
                <w:kern w:val="0"/>
              </w:rPr>
            </w:pPr>
            <w:r>
              <w:rPr>
                <w:b/>
                <w:bCs/>
                <w:color w:val="000000"/>
                <w:kern w:val="0"/>
              </w:rPr>
              <w:t>存货跌价</w:t>
            </w:r>
            <w:r>
              <w:rPr>
                <w:rFonts w:hint="eastAsia"/>
                <w:b/>
                <w:bCs/>
                <w:color w:val="000000"/>
                <w:kern w:val="0"/>
              </w:rPr>
              <w:t>准备</w:t>
            </w:r>
          </w:p>
        </w:tc>
        <w:tc>
          <w:tcPr>
            <w:tcW w:w="1902" w:type="dxa"/>
            <w:shd w:val="clear" w:color="auto" w:fill="D9D9D9"/>
            <w:tcMar>
              <w:top w:w="0" w:type="dxa"/>
              <w:bottom w:w="0" w:type="dxa"/>
            </w:tcMar>
            <w:vAlign w:val="center"/>
          </w:tcPr>
          <w:p w14:paraId="7E9375A6" w14:textId="77777777" w:rsidR="004B0883" w:rsidRDefault="004B0883">
            <w:pPr>
              <w:widowControl w:val="0"/>
              <w:adjustRightInd w:val="0"/>
              <w:snapToGrid w:val="0"/>
              <w:jc w:val="center"/>
              <w:rPr>
                <w:b/>
                <w:bCs/>
                <w:color w:val="000000"/>
                <w:kern w:val="0"/>
              </w:rPr>
            </w:pPr>
            <w:r>
              <w:rPr>
                <w:b/>
                <w:bCs/>
                <w:color w:val="000000"/>
                <w:kern w:val="0"/>
              </w:rPr>
              <w:t>账面价值</w:t>
            </w:r>
          </w:p>
        </w:tc>
      </w:tr>
      <w:tr w:rsidR="004B0883" w14:paraId="0C863FCE" w14:textId="77777777">
        <w:trPr>
          <w:trHeight w:val="397"/>
          <w:jc w:val="center"/>
        </w:trPr>
        <w:tc>
          <w:tcPr>
            <w:tcW w:w="2436" w:type="dxa"/>
            <w:tcMar>
              <w:top w:w="0" w:type="dxa"/>
              <w:bottom w:w="0" w:type="dxa"/>
            </w:tcMar>
            <w:vAlign w:val="center"/>
          </w:tcPr>
          <w:p w14:paraId="1F8CFDF2" w14:textId="77777777" w:rsidR="004B0883" w:rsidRDefault="004B0883">
            <w:pPr>
              <w:adjustRightInd w:val="0"/>
              <w:snapToGrid w:val="0"/>
              <w:rPr>
                <w:color w:val="000000"/>
                <w:kern w:val="0"/>
              </w:rPr>
            </w:pPr>
            <w:r>
              <w:rPr>
                <w:color w:val="000000"/>
                <w:kern w:val="0"/>
              </w:rPr>
              <w:t>原材料</w:t>
            </w:r>
          </w:p>
        </w:tc>
        <w:tc>
          <w:tcPr>
            <w:tcW w:w="2204" w:type="dxa"/>
            <w:tcMar>
              <w:top w:w="0" w:type="dxa"/>
              <w:bottom w:w="0" w:type="dxa"/>
            </w:tcMar>
            <w:vAlign w:val="center"/>
          </w:tcPr>
          <w:p w14:paraId="7EF6F8F6" w14:textId="77777777" w:rsidR="004B0883" w:rsidRDefault="004B0883">
            <w:pPr>
              <w:adjustRightInd w:val="0"/>
              <w:snapToGrid w:val="0"/>
              <w:jc w:val="right"/>
              <w:rPr>
                <w:color w:val="000000"/>
                <w:kern w:val="0"/>
              </w:rPr>
            </w:pPr>
            <w:r>
              <w:t>1,660.02</w:t>
            </w:r>
          </w:p>
        </w:tc>
        <w:tc>
          <w:tcPr>
            <w:tcW w:w="1984" w:type="dxa"/>
            <w:gridSpan w:val="3"/>
            <w:tcMar>
              <w:top w:w="0" w:type="dxa"/>
              <w:bottom w:w="0" w:type="dxa"/>
            </w:tcMar>
            <w:vAlign w:val="center"/>
          </w:tcPr>
          <w:p w14:paraId="63BA0394" w14:textId="77777777" w:rsidR="004B0883" w:rsidRDefault="004B0883">
            <w:pPr>
              <w:widowControl w:val="0"/>
              <w:adjustRightInd w:val="0"/>
              <w:snapToGrid w:val="0"/>
              <w:jc w:val="right"/>
              <w:rPr>
                <w:color w:val="000000"/>
                <w:kern w:val="0"/>
              </w:rPr>
            </w:pPr>
            <w:r>
              <w:rPr>
                <w:rFonts w:hint="eastAsia"/>
                <w:color w:val="000000"/>
                <w:kern w:val="0"/>
              </w:rPr>
              <w:t>12.99</w:t>
            </w:r>
          </w:p>
        </w:tc>
        <w:tc>
          <w:tcPr>
            <w:tcW w:w="1902" w:type="dxa"/>
            <w:tcMar>
              <w:top w:w="0" w:type="dxa"/>
              <w:bottom w:w="0" w:type="dxa"/>
            </w:tcMar>
            <w:vAlign w:val="center"/>
          </w:tcPr>
          <w:p w14:paraId="72283BAD" w14:textId="77777777" w:rsidR="004B0883" w:rsidRDefault="004B0883">
            <w:pPr>
              <w:adjustRightInd w:val="0"/>
              <w:snapToGrid w:val="0"/>
              <w:jc w:val="right"/>
              <w:rPr>
                <w:color w:val="000000"/>
                <w:kern w:val="0"/>
              </w:rPr>
            </w:pPr>
            <w:r>
              <w:t>1,647.03</w:t>
            </w:r>
          </w:p>
        </w:tc>
      </w:tr>
      <w:tr w:rsidR="004B0883" w14:paraId="6DD7E00C" w14:textId="77777777">
        <w:trPr>
          <w:trHeight w:val="397"/>
          <w:jc w:val="center"/>
        </w:trPr>
        <w:tc>
          <w:tcPr>
            <w:tcW w:w="2436" w:type="dxa"/>
            <w:tcMar>
              <w:top w:w="0" w:type="dxa"/>
              <w:bottom w:w="0" w:type="dxa"/>
            </w:tcMar>
            <w:vAlign w:val="center"/>
          </w:tcPr>
          <w:p w14:paraId="154A814E" w14:textId="77777777" w:rsidR="004B0883" w:rsidRDefault="004B0883">
            <w:pPr>
              <w:adjustRightInd w:val="0"/>
              <w:snapToGrid w:val="0"/>
              <w:rPr>
                <w:color w:val="000000"/>
                <w:kern w:val="0"/>
              </w:rPr>
            </w:pPr>
            <w:r>
              <w:rPr>
                <w:color w:val="000000"/>
                <w:kern w:val="0"/>
              </w:rPr>
              <w:t>在产品</w:t>
            </w:r>
          </w:p>
        </w:tc>
        <w:tc>
          <w:tcPr>
            <w:tcW w:w="2204" w:type="dxa"/>
            <w:tcMar>
              <w:top w:w="0" w:type="dxa"/>
              <w:bottom w:w="0" w:type="dxa"/>
            </w:tcMar>
            <w:vAlign w:val="center"/>
          </w:tcPr>
          <w:p w14:paraId="664F3B0A" w14:textId="77777777" w:rsidR="004B0883" w:rsidRDefault="004B0883">
            <w:pPr>
              <w:adjustRightInd w:val="0"/>
              <w:snapToGrid w:val="0"/>
              <w:jc w:val="right"/>
              <w:rPr>
                <w:color w:val="000000"/>
                <w:kern w:val="0"/>
              </w:rPr>
            </w:pPr>
            <w:r>
              <w:t>1,009.50</w:t>
            </w:r>
          </w:p>
        </w:tc>
        <w:tc>
          <w:tcPr>
            <w:tcW w:w="1984" w:type="dxa"/>
            <w:gridSpan w:val="3"/>
            <w:tcMar>
              <w:top w:w="0" w:type="dxa"/>
              <w:bottom w:w="0" w:type="dxa"/>
            </w:tcMar>
            <w:vAlign w:val="center"/>
          </w:tcPr>
          <w:p w14:paraId="0898E732" w14:textId="77777777" w:rsidR="004B0883" w:rsidRDefault="004B0883">
            <w:pPr>
              <w:widowControl w:val="0"/>
              <w:adjustRightInd w:val="0"/>
              <w:snapToGrid w:val="0"/>
              <w:jc w:val="right"/>
              <w:rPr>
                <w:color w:val="000000"/>
                <w:kern w:val="0"/>
              </w:rPr>
            </w:pPr>
            <w:r>
              <w:rPr>
                <w:rFonts w:hint="eastAsia"/>
                <w:color w:val="000000"/>
                <w:kern w:val="0"/>
              </w:rPr>
              <w:t>-</w:t>
            </w:r>
          </w:p>
        </w:tc>
        <w:tc>
          <w:tcPr>
            <w:tcW w:w="1902" w:type="dxa"/>
            <w:tcMar>
              <w:top w:w="0" w:type="dxa"/>
              <w:bottom w:w="0" w:type="dxa"/>
            </w:tcMar>
            <w:vAlign w:val="center"/>
          </w:tcPr>
          <w:p w14:paraId="6CEA269A" w14:textId="77777777" w:rsidR="004B0883" w:rsidRDefault="004B0883">
            <w:pPr>
              <w:adjustRightInd w:val="0"/>
              <w:snapToGrid w:val="0"/>
              <w:jc w:val="right"/>
              <w:rPr>
                <w:color w:val="000000"/>
                <w:kern w:val="0"/>
              </w:rPr>
            </w:pPr>
            <w:r>
              <w:t>1,009.50</w:t>
            </w:r>
          </w:p>
        </w:tc>
      </w:tr>
      <w:tr w:rsidR="004B0883" w14:paraId="12DE1061" w14:textId="77777777">
        <w:trPr>
          <w:trHeight w:val="397"/>
          <w:jc w:val="center"/>
        </w:trPr>
        <w:tc>
          <w:tcPr>
            <w:tcW w:w="2436" w:type="dxa"/>
            <w:tcMar>
              <w:top w:w="0" w:type="dxa"/>
              <w:bottom w:w="0" w:type="dxa"/>
            </w:tcMar>
            <w:vAlign w:val="center"/>
          </w:tcPr>
          <w:p w14:paraId="0DBB212D" w14:textId="77777777" w:rsidR="004B0883" w:rsidRDefault="004B0883">
            <w:pPr>
              <w:adjustRightInd w:val="0"/>
              <w:snapToGrid w:val="0"/>
              <w:rPr>
                <w:color w:val="000000"/>
                <w:kern w:val="0"/>
              </w:rPr>
            </w:pPr>
            <w:r>
              <w:rPr>
                <w:color w:val="000000"/>
                <w:kern w:val="0"/>
              </w:rPr>
              <w:t>库存商品</w:t>
            </w:r>
          </w:p>
        </w:tc>
        <w:tc>
          <w:tcPr>
            <w:tcW w:w="2204" w:type="dxa"/>
            <w:tcMar>
              <w:top w:w="0" w:type="dxa"/>
              <w:bottom w:w="0" w:type="dxa"/>
            </w:tcMar>
            <w:vAlign w:val="center"/>
          </w:tcPr>
          <w:p w14:paraId="5EF475B7" w14:textId="77777777" w:rsidR="004B0883" w:rsidRDefault="004B0883">
            <w:pPr>
              <w:adjustRightInd w:val="0"/>
              <w:snapToGrid w:val="0"/>
              <w:jc w:val="right"/>
              <w:rPr>
                <w:color w:val="000000"/>
                <w:kern w:val="0"/>
              </w:rPr>
            </w:pPr>
            <w:r>
              <w:t>3,099.32</w:t>
            </w:r>
          </w:p>
        </w:tc>
        <w:tc>
          <w:tcPr>
            <w:tcW w:w="1984" w:type="dxa"/>
            <w:gridSpan w:val="3"/>
            <w:tcMar>
              <w:top w:w="0" w:type="dxa"/>
              <w:bottom w:w="0" w:type="dxa"/>
            </w:tcMar>
            <w:vAlign w:val="center"/>
          </w:tcPr>
          <w:p w14:paraId="6354DA6D" w14:textId="77777777" w:rsidR="004B0883" w:rsidRDefault="004B0883">
            <w:pPr>
              <w:widowControl w:val="0"/>
              <w:adjustRightInd w:val="0"/>
              <w:snapToGrid w:val="0"/>
              <w:jc w:val="right"/>
              <w:rPr>
                <w:color w:val="000000"/>
                <w:kern w:val="0"/>
              </w:rPr>
            </w:pPr>
            <w:r>
              <w:rPr>
                <w:color w:val="000000"/>
                <w:kern w:val="0"/>
              </w:rPr>
              <w:t>132.43</w:t>
            </w:r>
          </w:p>
        </w:tc>
        <w:tc>
          <w:tcPr>
            <w:tcW w:w="1902" w:type="dxa"/>
            <w:tcMar>
              <w:top w:w="0" w:type="dxa"/>
              <w:bottom w:w="0" w:type="dxa"/>
            </w:tcMar>
            <w:vAlign w:val="center"/>
          </w:tcPr>
          <w:p w14:paraId="494C657C" w14:textId="77777777" w:rsidR="004B0883" w:rsidRDefault="004B0883">
            <w:pPr>
              <w:adjustRightInd w:val="0"/>
              <w:snapToGrid w:val="0"/>
              <w:jc w:val="right"/>
              <w:rPr>
                <w:color w:val="000000"/>
                <w:kern w:val="0"/>
              </w:rPr>
            </w:pPr>
            <w:r>
              <w:t>2,966.89</w:t>
            </w:r>
          </w:p>
        </w:tc>
      </w:tr>
      <w:tr w:rsidR="004B0883" w14:paraId="1590E875" w14:textId="77777777">
        <w:trPr>
          <w:trHeight w:val="397"/>
          <w:jc w:val="center"/>
        </w:trPr>
        <w:tc>
          <w:tcPr>
            <w:tcW w:w="2436" w:type="dxa"/>
            <w:tcMar>
              <w:top w:w="0" w:type="dxa"/>
              <w:bottom w:w="0" w:type="dxa"/>
            </w:tcMar>
            <w:vAlign w:val="center"/>
          </w:tcPr>
          <w:p w14:paraId="6C2713E8" w14:textId="77777777" w:rsidR="004B0883" w:rsidRDefault="004B0883">
            <w:pPr>
              <w:adjustRightInd w:val="0"/>
              <w:snapToGrid w:val="0"/>
              <w:rPr>
                <w:color w:val="000000"/>
                <w:kern w:val="0"/>
              </w:rPr>
            </w:pPr>
            <w:r>
              <w:rPr>
                <w:rFonts w:hint="eastAsia"/>
                <w:color w:val="000000"/>
                <w:kern w:val="0"/>
              </w:rPr>
              <w:t>周转材料</w:t>
            </w:r>
          </w:p>
        </w:tc>
        <w:tc>
          <w:tcPr>
            <w:tcW w:w="2204" w:type="dxa"/>
            <w:tcMar>
              <w:top w:w="0" w:type="dxa"/>
              <w:bottom w:w="0" w:type="dxa"/>
            </w:tcMar>
            <w:vAlign w:val="center"/>
          </w:tcPr>
          <w:p w14:paraId="32338DBD" w14:textId="77777777" w:rsidR="004B0883" w:rsidRDefault="004B0883">
            <w:pPr>
              <w:adjustRightInd w:val="0"/>
              <w:snapToGrid w:val="0"/>
              <w:jc w:val="right"/>
              <w:rPr>
                <w:color w:val="000000"/>
                <w:kern w:val="0"/>
              </w:rPr>
            </w:pPr>
            <w:r>
              <w:t>1,265.66</w:t>
            </w:r>
          </w:p>
        </w:tc>
        <w:tc>
          <w:tcPr>
            <w:tcW w:w="1984" w:type="dxa"/>
            <w:gridSpan w:val="3"/>
            <w:tcMar>
              <w:top w:w="0" w:type="dxa"/>
              <w:bottom w:w="0" w:type="dxa"/>
            </w:tcMar>
            <w:vAlign w:val="center"/>
          </w:tcPr>
          <w:p w14:paraId="7ED15935" w14:textId="77777777" w:rsidR="004B0883" w:rsidRDefault="004B0883">
            <w:pPr>
              <w:widowControl w:val="0"/>
              <w:adjustRightInd w:val="0"/>
              <w:snapToGrid w:val="0"/>
              <w:jc w:val="right"/>
              <w:rPr>
                <w:color w:val="000000"/>
                <w:kern w:val="0"/>
              </w:rPr>
            </w:pPr>
            <w:r>
              <w:rPr>
                <w:rFonts w:hint="eastAsia"/>
                <w:color w:val="000000"/>
                <w:kern w:val="0"/>
              </w:rPr>
              <w:t>-</w:t>
            </w:r>
          </w:p>
        </w:tc>
        <w:tc>
          <w:tcPr>
            <w:tcW w:w="1902" w:type="dxa"/>
            <w:tcMar>
              <w:top w:w="0" w:type="dxa"/>
              <w:bottom w:w="0" w:type="dxa"/>
            </w:tcMar>
            <w:vAlign w:val="center"/>
          </w:tcPr>
          <w:p w14:paraId="40584662" w14:textId="77777777" w:rsidR="004B0883" w:rsidRDefault="004B0883">
            <w:pPr>
              <w:adjustRightInd w:val="0"/>
              <w:snapToGrid w:val="0"/>
              <w:jc w:val="right"/>
              <w:rPr>
                <w:color w:val="000000"/>
                <w:kern w:val="0"/>
              </w:rPr>
            </w:pPr>
            <w:r>
              <w:t>1,265.66</w:t>
            </w:r>
          </w:p>
        </w:tc>
      </w:tr>
      <w:tr w:rsidR="004B0883" w14:paraId="087B0918" w14:textId="77777777">
        <w:trPr>
          <w:trHeight w:val="397"/>
          <w:jc w:val="center"/>
        </w:trPr>
        <w:tc>
          <w:tcPr>
            <w:tcW w:w="2436" w:type="dxa"/>
            <w:tcMar>
              <w:top w:w="0" w:type="dxa"/>
              <w:bottom w:w="0" w:type="dxa"/>
            </w:tcMar>
            <w:vAlign w:val="center"/>
          </w:tcPr>
          <w:p w14:paraId="73329596" w14:textId="77777777" w:rsidR="004B0883" w:rsidRDefault="004B0883">
            <w:pPr>
              <w:adjustRightInd w:val="0"/>
              <w:snapToGrid w:val="0"/>
              <w:rPr>
                <w:color w:val="000000"/>
                <w:kern w:val="0"/>
              </w:rPr>
            </w:pPr>
            <w:r>
              <w:rPr>
                <w:rFonts w:hint="eastAsia"/>
                <w:color w:val="000000"/>
                <w:kern w:val="0"/>
              </w:rPr>
              <w:t>发出商品</w:t>
            </w:r>
          </w:p>
        </w:tc>
        <w:tc>
          <w:tcPr>
            <w:tcW w:w="2204" w:type="dxa"/>
            <w:tcMar>
              <w:top w:w="0" w:type="dxa"/>
              <w:bottom w:w="0" w:type="dxa"/>
            </w:tcMar>
            <w:vAlign w:val="center"/>
          </w:tcPr>
          <w:p w14:paraId="76A18776" w14:textId="77777777" w:rsidR="004B0883" w:rsidRDefault="004B0883">
            <w:pPr>
              <w:adjustRightInd w:val="0"/>
              <w:snapToGrid w:val="0"/>
              <w:jc w:val="right"/>
              <w:rPr>
                <w:color w:val="000000"/>
                <w:kern w:val="0"/>
              </w:rPr>
            </w:pPr>
            <w:r>
              <w:t>319.15</w:t>
            </w:r>
          </w:p>
        </w:tc>
        <w:tc>
          <w:tcPr>
            <w:tcW w:w="1984" w:type="dxa"/>
            <w:gridSpan w:val="3"/>
            <w:tcMar>
              <w:top w:w="0" w:type="dxa"/>
              <w:bottom w:w="0" w:type="dxa"/>
            </w:tcMar>
            <w:vAlign w:val="center"/>
          </w:tcPr>
          <w:p w14:paraId="2DD6B055" w14:textId="77777777" w:rsidR="004B0883" w:rsidRDefault="004B0883">
            <w:pPr>
              <w:widowControl w:val="0"/>
              <w:adjustRightInd w:val="0"/>
              <w:snapToGrid w:val="0"/>
              <w:jc w:val="right"/>
              <w:rPr>
                <w:color w:val="000000"/>
                <w:kern w:val="0"/>
              </w:rPr>
            </w:pPr>
            <w:r>
              <w:rPr>
                <w:rFonts w:hint="eastAsia"/>
                <w:color w:val="000000"/>
                <w:kern w:val="0"/>
              </w:rPr>
              <w:t>-</w:t>
            </w:r>
          </w:p>
        </w:tc>
        <w:tc>
          <w:tcPr>
            <w:tcW w:w="1902" w:type="dxa"/>
            <w:tcMar>
              <w:top w:w="0" w:type="dxa"/>
              <w:bottom w:w="0" w:type="dxa"/>
            </w:tcMar>
            <w:vAlign w:val="center"/>
          </w:tcPr>
          <w:p w14:paraId="2037671A" w14:textId="77777777" w:rsidR="004B0883" w:rsidRDefault="004B0883">
            <w:pPr>
              <w:adjustRightInd w:val="0"/>
              <w:snapToGrid w:val="0"/>
              <w:jc w:val="right"/>
              <w:rPr>
                <w:color w:val="000000"/>
                <w:kern w:val="0"/>
              </w:rPr>
            </w:pPr>
            <w:r>
              <w:t>319.15</w:t>
            </w:r>
          </w:p>
        </w:tc>
      </w:tr>
      <w:tr w:rsidR="004B0883" w14:paraId="04A4C2D2" w14:textId="77777777">
        <w:trPr>
          <w:trHeight w:val="397"/>
          <w:jc w:val="center"/>
        </w:trPr>
        <w:tc>
          <w:tcPr>
            <w:tcW w:w="2436" w:type="dxa"/>
            <w:tcMar>
              <w:top w:w="0" w:type="dxa"/>
              <w:bottom w:w="0" w:type="dxa"/>
            </w:tcMar>
            <w:vAlign w:val="center"/>
          </w:tcPr>
          <w:p w14:paraId="73189D7B" w14:textId="77777777" w:rsidR="004B0883" w:rsidRDefault="004B0883">
            <w:pPr>
              <w:adjustRightInd w:val="0"/>
              <w:snapToGrid w:val="0"/>
              <w:rPr>
                <w:color w:val="000000"/>
                <w:kern w:val="0"/>
              </w:rPr>
            </w:pPr>
            <w:r>
              <w:rPr>
                <w:color w:val="000000"/>
                <w:kern w:val="0"/>
              </w:rPr>
              <w:t>委托加工物资</w:t>
            </w:r>
          </w:p>
        </w:tc>
        <w:tc>
          <w:tcPr>
            <w:tcW w:w="2204" w:type="dxa"/>
            <w:tcMar>
              <w:top w:w="0" w:type="dxa"/>
              <w:bottom w:w="0" w:type="dxa"/>
            </w:tcMar>
            <w:vAlign w:val="center"/>
          </w:tcPr>
          <w:p w14:paraId="125E67A1" w14:textId="77777777" w:rsidR="004B0883" w:rsidRDefault="004B0883">
            <w:pPr>
              <w:adjustRightInd w:val="0"/>
              <w:snapToGrid w:val="0"/>
              <w:jc w:val="right"/>
              <w:rPr>
                <w:color w:val="000000"/>
                <w:kern w:val="0"/>
              </w:rPr>
            </w:pPr>
            <w:r>
              <w:t>301.02</w:t>
            </w:r>
          </w:p>
        </w:tc>
        <w:tc>
          <w:tcPr>
            <w:tcW w:w="1984" w:type="dxa"/>
            <w:gridSpan w:val="3"/>
            <w:tcMar>
              <w:top w:w="0" w:type="dxa"/>
              <w:bottom w:w="0" w:type="dxa"/>
            </w:tcMar>
            <w:vAlign w:val="center"/>
          </w:tcPr>
          <w:p w14:paraId="4ABA4D5A" w14:textId="77777777" w:rsidR="004B0883" w:rsidRDefault="004B0883">
            <w:pPr>
              <w:widowControl w:val="0"/>
              <w:adjustRightInd w:val="0"/>
              <w:snapToGrid w:val="0"/>
              <w:jc w:val="right"/>
            </w:pPr>
            <w:r>
              <w:rPr>
                <w:rFonts w:hint="eastAsia"/>
              </w:rPr>
              <w:t>-</w:t>
            </w:r>
          </w:p>
        </w:tc>
        <w:tc>
          <w:tcPr>
            <w:tcW w:w="1902" w:type="dxa"/>
            <w:tcMar>
              <w:top w:w="0" w:type="dxa"/>
              <w:bottom w:w="0" w:type="dxa"/>
            </w:tcMar>
            <w:vAlign w:val="center"/>
          </w:tcPr>
          <w:p w14:paraId="68364292" w14:textId="77777777" w:rsidR="004B0883" w:rsidRDefault="004B0883">
            <w:pPr>
              <w:adjustRightInd w:val="0"/>
              <w:snapToGrid w:val="0"/>
              <w:jc w:val="right"/>
              <w:rPr>
                <w:color w:val="000000"/>
                <w:kern w:val="0"/>
              </w:rPr>
            </w:pPr>
            <w:r>
              <w:t>301.02</w:t>
            </w:r>
          </w:p>
        </w:tc>
      </w:tr>
      <w:tr w:rsidR="004B0883" w14:paraId="4AE741E7" w14:textId="77777777">
        <w:trPr>
          <w:trHeight w:val="397"/>
          <w:jc w:val="center"/>
        </w:trPr>
        <w:tc>
          <w:tcPr>
            <w:tcW w:w="2436" w:type="dxa"/>
            <w:tcMar>
              <w:top w:w="0" w:type="dxa"/>
              <w:bottom w:w="0" w:type="dxa"/>
            </w:tcMar>
            <w:vAlign w:val="center"/>
          </w:tcPr>
          <w:p w14:paraId="3FD2955B" w14:textId="77777777" w:rsidR="004B0883" w:rsidRDefault="004B0883">
            <w:pPr>
              <w:adjustRightInd w:val="0"/>
              <w:snapToGrid w:val="0"/>
              <w:rPr>
                <w:color w:val="000000"/>
                <w:kern w:val="0"/>
              </w:rPr>
            </w:pPr>
            <w:r>
              <w:rPr>
                <w:color w:val="000000"/>
                <w:kern w:val="0"/>
              </w:rPr>
              <w:t>自制半成品</w:t>
            </w:r>
          </w:p>
        </w:tc>
        <w:tc>
          <w:tcPr>
            <w:tcW w:w="2204" w:type="dxa"/>
            <w:tcMar>
              <w:top w:w="0" w:type="dxa"/>
              <w:bottom w:w="0" w:type="dxa"/>
            </w:tcMar>
            <w:vAlign w:val="center"/>
          </w:tcPr>
          <w:p w14:paraId="0CB89E33" w14:textId="77777777" w:rsidR="004B0883" w:rsidRDefault="004B0883">
            <w:pPr>
              <w:adjustRightInd w:val="0"/>
              <w:snapToGrid w:val="0"/>
              <w:jc w:val="right"/>
              <w:rPr>
                <w:color w:val="000000"/>
                <w:kern w:val="0"/>
              </w:rPr>
            </w:pPr>
            <w:r>
              <w:t>2,467.45</w:t>
            </w:r>
          </w:p>
        </w:tc>
        <w:tc>
          <w:tcPr>
            <w:tcW w:w="1984" w:type="dxa"/>
            <w:gridSpan w:val="3"/>
            <w:tcMar>
              <w:top w:w="0" w:type="dxa"/>
              <w:bottom w:w="0" w:type="dxa"/>
            </w:tcMar>
            <w:vAlign w:val="center"/>
          </w:tcPr>
          <w:p w14:paraId="2199D1B6" w14:textId="77777777" w:rsidR="004B0883" w:rsidRDefault="004B0883">
            <w:pPr>
              <w:widowControl w:val="0"/>
              <w:adjustRightInd w:val="0"/>
              <w:snapToGrid w:val="0"/>
              <w:jc w:val="right"/>
            </w:pPr>
            <w:r>
              <w:t>9</w:t>
            </w:r>
            <w:r>
              <w:rPr>
                <w:rFonts w:hint="eastAsia"/>
              </w:rPr>
              <w:t>5.90</w:t>
            </w:r>
          </w:p>
        </w:tc>
        <w:tc>
          <w:tcPr>
            <w:tcW w:w="1902" w:type="dxa"/>
            <w:tcMar>
              <w:top w:w="0" w:type="dxa"/>
              <w:bottom w:w="0" w:type="dxa"/>
            </w:tcMar>
            <w:vAlign w:val="center"/>
          </w:tcPr>
          <w:p w14:paraId="250EFC06" w14:textId="77777777" w:rsidR="004B0883" w:rsidRDefault="004B0883">
            <w:pPr>
              <w:adjustRightInd w:val="0"/>
              <w:snapToGrid w:val="0"/>
              <w:jc w:val="right"/>
              <w:rPr>
                <w:color w:val="000000"/>
                <w:kern w:val="0"/>
              </w:rPr>
            </w:pPr>
            <w:r>
              <w:t>2,371.55</w:t>
            </w:r>
          </w:p>
        </w:tc>
      </w:tr>
      <w:tr w:rsidR="004B0883" w14:paraId="53C9B943" w14:textId="77777777">
        <w:trPr>
          <w:trHeight w:val="397"/>
          <w:jc w:val="center"/>
        </w:trPr>
        <w:tc>
          <w:tcPr>
            <w:tcW w:w="2436" w:type="dxa"/>
            <w:tcMar>
              <w:top w:w="0" w:type="dxa"/>
              <w:bottom w:w="0" w:type="dxa"/>
            </w:tcMar>
            <w:vAlign w:val="center"/>
          </w:tcPr>
          <w:p w14:paraId="24D81EF3" w14:textId="77777777" w:rsidR="004B0883" w:rsidRDefault="004B0883">
            <w:pPr>
              <w:widowControl w:val="0"/>
              <w:adjustRightInd w:val="0"/>
              <w:snapToGrid w:val="0"/>
              <w:jc w:val="center"/>
              <w:rPr>
                <w:b/>
                <w:bCs/>
                <w:color w:val="000000"/>
                <w:kern w:val="0"/>
              </w:rPr>
            </w:pPr>
            <w:r>
              <w:rPr>
                <w:b/>
                <w:bCs/>
                <w:color w:val="000000"/>
                <w:kern w:val="0"/>
              </w:rPr>
              <w:t>合计</w:t>
            </w:r>
          </w:p>
        </w:tc>
        <w:tc>
          <w:tcPr>
            <w:tcW w:w="2204" w:type="dxa"/>
            <w:tcMar>
              <w:top w:w="0" w:type="dxa"/>
              <w:bottom w:w="0" w:type="dxa"/>
            </w:tcMar>
            <w:vAlign w:val="center"/>
          </w:tcPr>
          <w:p w14:paraId="12281690" w14:textId="77777777" w:rsidR="004B0883" w:rsidRDefault="004B0883">
            <w:pPr>
              <w:widowControl w:val="0"/>
              <w:adjustRightInd w:val="0"/>
              <w:snapToGrid w:val="0"/>
              <w:jc w:val="right"/>
              <w:rPr>
                <w:b/>
                <w:bCs/>
                <w:color w:val="000000"/>
                <w:kern w:val="0"/>
              </w:rPr>
            </w:pPr>
            <w:r>
              <w:rPr>
                <w:b/>
                <w:bCs/>
              </w:rPr>
              <w:t>10,122.11</w:t>
            </w:r>
          </w:p>
        </w:tc>
        <w:tc>
          <w:tcPr>
            <w:tcW w:w="1984" w:type="dxa"/>
            <w:gridSpan w:val="3"/>
            <w:tcMar>
              <w:top w:w="0" w:type="dxa"/>
              <w:bottom w:w="0" w:type="dxa"/>
            </w:tcMar>
            <w:vAlign w:val="center"/>
          </w:tcPr>
          <w:p w14:paraId="26F65454" w14:textId="77777777" w:rsidR="004B0883" w:rsidRDefault="004B0883">
            <w:pPr>
              <w:widowControl w:val="0"/>
              <w:adjustRightInd w:val="0"/>
              <w:snapToGrid w:val="0"/>
              <w:jc w:val="right"/>
              <w:rPr>
                <w:b/>
                <w:bCs/>
                <w:color w:val="000000"/>
                <w:kern w:val="0"/>
              </w:rPr>
            </w:pPr>
            <w:r>
              <w:rPr>
                <w:b/>
                <w:bCs/>
                <w:color w:val="000000"/>
                <w:kern w:val="0"/>
              </w:rPr>
              <w:t>241.31</w:t>
            </w:r>
          </w:p>
        </w:tc>
        <w:tc>
          <w:tcPr>
            <w:tcW w:w="1902" w:type="dxa"/>
            <w:tcMar>
              <w:top w:w="0" w:type="dxa"/>
              <w:bottom w:w="0" w:type="dxa"/>
            </w:tcMar>
            <w:vAlign w:val="center"/>
          </w:tcPr>
          <w:p w14:paraId="530DCEF7" w14:textId="77777777" w:rsidR="004B0883" w:rsidRDefault="004B0883">
            <w:pPr>
              <w:widowControl w:val="0"/>
              <w:adjustRightInd w:val="0"/>
              <w:snapToGrid w:val="0"/>
              <w:jc w:val="right"/>
              <w:rPr>
                <w:b/>
                <w:bCs/>
                <w:color w:val="000000"/>
                <w:kern w:val="0"/>
              </w:rPr>
            </w:pPr>
            <w:r>
              <w:rPr>
                <w:b/>
                <w:bCs/>
              </w:rPr>
              <w:t>9,880.80</w:t>
            </w:r>
          </w:p>
        </w:tc>
      </w:tr>
      <w:tr w:rsidR="004B0883" w14:paraId="61659CEF" w14:textId="77777777">
        <w:trPr>
          <w:trHeight w:val="397"/>
          <w:jc w:val="center"/>
        </w:trPr>
        <w:tc>
          <w:tcPr>
            <w:tcW w:w="2436" w:type="dxa"/>
            <w:vMerge w:val="restart"/>
            <w:shd w:val="clear" w:color="auto" w:fill="D9D9D9"/>
            <w:tcMar>
              <w:top w:w="0" w:type="dxa"/>
              <w:bottom w:w="0" w:type="dxa"/>
            </w:tcMar>
            <w:vAlign w:val="center"/>
          </w:tcPr>
          <w:p w14:paraId="7CD52FE1" w14:textId="77777777" w:rsidR="004B0883" w:rsidRDefault="004B0883">
            <w:pPr>
              <w:widowControl w:val="0"/>
              <w:adjustRightInd w:val="0"/>
              <w:snapToGrid w:val="0"/>
              <w:jc w:val="center"/>
              <w:rPr>
                <w:b/>
                <w:bCs/>
                <w:color w:val="000000"/>
                <w:kern w:val="0"/>
              </w:rPr>
            </w:pPr>
            <w:r>
              <w:rPr>
                <w:b/>
                <w:bCs/>
                <w:color w:val="000000"/>
                <w:kern w:val="0"/>
              </w:rPr>
              <w:t>项目</w:t>
            </w:r>
          </w:p>
        </w:tc>
        <w:tc>
          <w:tcPr>
            <w:tcW w:w="6090" w:type="dxa"/>
            <w:gridSpan w:val="5"/>
            <w:shd w:val="clear" w:color="auto" w:fill="D9D9D9"/>
            <w:tcMar>
              <w:top w:w="0" w:type="dxa"/>
              <w:bottom w:w="0" w:type="dxa"/>
            </w:tcMar>
            <w:vAlign w:val="center"/>
          </w:tcPr>
          <w:p w14:paraId="199AC433" w14:textId="77777777" w:rsidR="004B0883" w:rsidRDefault="004B0883">
            <w:pPr>
              <w:widowControl w:val="0"/>
              <w:adjustRightInd w:val="0"/>
              <w:snapToGrid w:val="0"/>
              <w:jc w:val="center"/>
              <w:rPr>
                <w:b/>
                <w:bCs/>
                <w:color w:val="000000"/>
                <w:kern w:val="0"/>
              </w:rPr>
            </w:pPr>
            <w:r>
              <w:rPr>
                <w:b/>
                <w:bCs/>
                <w:color w:val="000000"/>
                <w:kern w:val="0"/>
              </w:rPr>
              <w:t>2022.12.31</w:t>
            </w:r>
          </w:p>
        </w:tc>
      </w:tr>
      <w:tr w:rsidR="004B0883" w14:paraId="6F245EDC" w14:textId="77777777">
        <w:trPr>
          <w:trHeight w:val="397"/>
          <w:jc w:val="center"/>
        </w:trPr>
        <w:tc>
          <w:tcPr>
            <w:tcW w:w="2436" w:type="dxa"/>
            <w:vMerge/>
            <w:shd w:val="clear" w:color="auto" w:fill="D9D9D9"/>
            <w:tcMar>
              <w:top w:w="0" w:type="dxa"/>
              <w:bottom w:w="0" w:type="dxa"/>
            </w:tcMar>
            <w:vAlign w:val="center"/>
          </w:tcPr>
          <w:p w14:paraId="124276D0" w14:textId="77777777" w:rsidR="004B0883" w:rsidRDefault="004B0883">
            <w:pPr>
              <w:widowControl w:val="0"/>
              <w:adjustRightInd w:val="0"/>
              <w:snapToGrid w:val="0"/>
              <w:rPr>
                <w:b/>
                <w:bCs/>
                <w:color w:val="000000"/>
                <w:kern w:val="0"/>
              </w:rPr>
            </w:pPr>
          </w:p>
        </w:tc>
        <w:tc>
          <w:tcPr>
            <w:tcW w:w="2226" w:type="dxa"/>
            <w:gridSpan w:val="2"/>
            <w:shd w:val="clear" w:color="auto" w:fill="D9D9D9"/>
            <w:tcMar>
              <w:top w:w="0" w:type="dxa"/>
              <w:bottom w:w="0" w:type="dxa"/>
            </w:tcMar>
            <w:vAlign w:val="center"/>
          </w:tcPr>
          <w:p w14:paraId="1AD4B1F4" w14:textId="77777777" w:rsidR="004B0883" w:rsidRDefault="004B0883">
            <w:pPr>
              <w:widowControl w:val="0"/>
              <w:adjustRightInd w:val="0"/>
              <w:snapToGrid w:val="0"/>
              <w:jc w:val="center"/>
              <w:rPr>
                <w:b/>
                <w:bCs/>
                <w:color w:val="000000"/>
                <w:kern w:val="0"/>
              </w:rPr>
            </w:pPr>
            <w:r>
              <w:rPr>
                <w:b/>
                <w:bCs/>
                <w:color w:val="000000"/>
                <w:kern w:val="0"/>
              </w:rPr>
              <w:t>账面余额</w:t>
            </w:r>
          </w:p>
        </w:tc>
        <w:tc>
          <w:tcPr>
            <w:tcW w:w="1923" w:type="dxa"/>
            <w:shd w:val="clear" w:color="auto" w:fill="D9D9D9"/>
            <w:tcMar>
              <w:top w:w="0" w:type="dxa"/>
              <w:bottom w:w="0" w:type="dxa"/>
            </w:tcMar>
            <w:vAlign w:val="center"/>
          </w:tcPr>
          <w:p w14:paraId="6CBB8D71" w14:textId="77777777" w:rsidR="004B0883" w:rsidRDefault="004B0883">
            <w:pPr>
              <w:widowControl w:val="0"/>
              <w:adjustRightInd w:val="0"/>
              <w:snapToGrid w:val="0"/>
              <w:jc w:val="center"/>
              <w:rPr>
                <w:rFonts w:hint="eastAsia"/>
                <w:b/>
                <w:bCs/>
                <w:color w:val="000000"/>
                <w:kern w:val="0"/>
              </w:rPr>
            </w:pPr>
            <w:r>
              <w:rPr>
                <w:b/>
                <w:bCs/>
                <w:color w:val="000000"/>
                <w:kern w:val="0"/>
              </w:rPr>
              <w:t>存货跌价</w:t>
            </w:r>
            <w:r>
              <w:rPr>
                <w:rFonts w:hint="eastAsia"/>
                <w:b/>
                <w:bCs/>
                <w:color w:val="000000"/>
                <w:kern w:val="0"/>
              </w:rPr>
              <w:t>准备</w:t>
            </w:r>
          </w:p>
        </w:tc>
        <w:tc>
          <w:tcPr>
            <w:tcW w:w="1941" w:type="dxa"/>
            <w:gridSpan w:val="2"/>
            <w:shd w:val="clear" w:color="auto" w:fill="D9D9D9"/>
            <w:tcMar>
              <w:top w:w="0" w:type="dxa"/>
              <w:bottom w:w="0" w:type="dxa"/>
            </w:tcMar>
            <w:vAlign w:val="center"/>
          </w:tcPr>
          <w:p w14:paraId="722E23E8" w14:textId="77777777" w:rsidR="004B0883" w:rsidRDefault="004B0883">
            <w:pPr>
              <w:widowControl w:val="0"/>
              <w:adjustRightInd w:val="0"/>
              <w:snapToGrid w:val="0"/>
              <w:jc w:val="center"/>
              <w:rPr>
                <w:b/>
                <w:bCs/>
                <w:color w:val="000000"/>
                <w:kern w:val="0"/>
              </w:rPr>
            </w:pPr>
            <w:r>
              <w:rPr>
                <w:b/>
                <w:bCs/>
                <w:color w:val="000000"/>
                <w:kern w:val="0"/>
              </w:rPr>
              <w:t>账面价值</w:t>
            </w:r>
          </w:p>
        </w:tc>
      </w:tr>
      <w:tr w:rsidR="004B0883" w14:paraId="786EA81C" w14:textId="77777777">
        <w:trPr>
          <w:trHeight w:val="397"/>
          <w:jc w:val="center"/>
        </w:trPr>
        <w:tc>
          <w:tcPr>
            <w:tcW w:w="2436" w:type="dxa"/>
            <w:tcMar>
              <w:top w:w="0" w:type="dxa"/>
              <w:bottom w:w="0" w:type="dxa"/>
            </w:tcMar>
            <w:vAlign w:val="center"/>
          </w:tcPr>
          <w:p w14:paraId="61580732" w14:textId="77777777" w:rsidR="004B0883" w:rsidRDefault="004B0883">
            <w:pPr>
              <w:adjustRightInd w:val="0"/>
              <w:snapToGrid w:val="0"/>
              <w:rPr>
                <w:color w:val="000000"/>
                <w:kern w:val="0"/>
              </w:rPr>
            </w:pPr>
            <w:r>
              <w:rPr>
                <w:color w:val="000000"/>
                <w:kern w:val="0"/>
              </w:rPr>
              <w:t>原材料</w:t>
            </w:r>
          </w:p>
        </w:tc>
        <w:tc>
          <w:tcPr>
            <w:tcW w:w="2226" w:type="dxa"/>
            <w:gridSpan w:val="2"/>
            <w:tcMar>
              <w:top w:w="0" w:type="dxa"/>
              <w:bottom w:w="0" w:type="dxa"/>
            </w:tcMar>
            <w:vAlign w:val="center"/>
          </w:tcPr>
          <w:p w14:paraId="0918EAF3" w14:textId="77777777" w:rsidR="004B0883" w:rsidRDefault="004B0883">
            <w:pPr>
              <w:adjustRightInd w:val="0"/>
              <w:snapToGrid w:val="0"/>
              <w:jc w:val="right"/>
              <w:rPr>
                <w:color w:val="000000"/>
                <w:kern w:val="0"/>
              </w:rPr>
            </w:pPr>
            <w:r>
              <w:rPr>
                <w:rFonts w:eastAsia="等线"/>
                <w:color w:val="000000"/>
              </w:rPr>
              <w:t>1,961.72</w:t>
            </w:r>
          </w:p>
        </w:tc>
        <w:tc>
          <w:tcPr>
            <w:tcW w:w="1923" w:type="dxa"/>
            <w:tcMar>
              <w:top w:w="0" w:type="dxa"/>
              <w:bottom w:w="0" w:type="dxa"/>
            </w:tcMar>
            <w:vAlign w:val="center"/>
          </w:tcPr>
          <w:p w14:paraId="1BFA2154" w14:textId="77777777" w:rsidR="004B0883" w:rsidRDefault="004B0883">
            <w:pPr>
              <w:widowControl w:val="0"/>
              <w:adjustRightInd w:val="0"/>
              <w:snapToGrid w:val="0"/>
              <w:jc w:val="right"/>
            </w:pPr>
            <w:r>
              <w:t>17.68</w:t>
            </w:r>
          </w:p>
        </w:tc>
        <w:tc>
          <w:tcPr>
            <w:tcW w:w="1941" w:type="dxa"/>
            <w:gridSpan w:val="2"/>
            <w:tcMar>
              <w:top w:w="0" w:type="dxa"/>
              <w:bottom w:w="0" w:type="dxa"/>
            </w:tcMar>
            <w:vAlign w:val="center"/>
          </w:tcPr>
          <w:p w14:paraId="65DD5E11" w14:textId="77777777" w:rsidR="004B0883" w:rsidRDefault="004B0883">
            <w:pPr>
              <w:adjustRightInd w:val="0"/>
              <w:snapToGrid w:val="0"/>
              <w:jc w:val="right"/>
              <w:rPr>
                <w:color w:val="000000"/>
                <w:kern w:val="0"/>
              </w:rPr>
            </w:pPr>
            <w:r>
              <w:rPr>
                <w:rFonts w:eastAsia="等线"/>
                <w:color w:val="000000"/>
              </w:rPr>
              <w:t>1,944.04</w:t>
            </w:r>
          </w:p>
        </w:tc>
      </w:tr>
      <w:tr w:rsidR="004B0883" w14:paraId="4A56D6E7" w14:textId="77777777">
        <w:trPr>
          <w:trHeight w:val="397"/>
          <w:jc w:val="center"/>
        </w:trPr>
        <w:tc>
          <w:tcPr>
            <w:tcW w:w="2436" w:type="dxa"/>
            <w:tcMar>
              <w:top w:w="0" w:type="dxa"/>
              <w:bottom w:w="0" w:type="dxa"/>
            </w:tcMar>
            <w:vAlign w:val="center"/>
          </w:tcPr>
          <w:p w14:paraId="483436A1" w14:textId="77777777" w:rsidR="004B0883" w:rsidRDefault="004B0883">
            <w:pPr>
              <w:adjustRightInd w:val="0"/>
              <w:snapToGrid w:val="0"/>
              <w:rPr>
                <w:color w:val="000000"/>
                <w:kern w:val="0"/>
              </w:rPr>
            </w:pPr>
            <w:r>
              <w:rPr>
                <w:color w:val="000000"/>
                <w:kern w:val="0"/>
              </w:rPr>
              <w:t>在产品</w:t>
            </w:r>
          </w:p>
        </w:tc>
        <w:tc>
          <w:tcPr>
            <w:tcW w:w="2226" w:type="dxa"/>
            <w:gridSpan w:val="2"/>
            <w:tcMar>
              <w:top w:w="0" w:type="dxa"/>
              <w:bottom w:w="0" w:type="dxa"/>
            </w:tcMar>
            <w:vAlign w:val="center"/>
          </w:tcPr>
          <w:p w14:paraId="16208D17" w14:textId="77777777" w:rsidR="004B0883" w:rsidRDefault="004B0883">
            <w:pPr>
              <w:adjustRightInd w:val="0"/>
              <w:snapToGrid w:val="0"/>
              <w:jc w:val="right"/>
              <w:rPr>
                <w:color w:val="000000"/>
                <w:kern w:val="0"/>
              </w:rPr>
            </w:pPr>
            <w:r>
              <w:rPr>
                <w:rFonts w:eastAsia="等线"/>
                <w:color w:val="000000"/>
              </w:rPr>
              <w:t>1,318.91</w:t>
            </w:r>
          </w:p>
        </w:tc>
        <w:tc>
          <w:tcPr>
            <w:tcW w:w="1923" w:type="dxa"/>
            <w:tcMar>
              <w:top w:w="0" w:type="dxa"/>
              <w:bottom w:w="0" w:type="dxa"/>
            </w:tcMar>
            <w:vAlign w:val="center"/>
          </w:tcPr>
          <w:p w14:paraId="79D17395" w14:textId="77777777" w:rsidR="004B0883" w:rsidRDefault="004B0883">
            <w:pPr>
              <w:widowControl w:val="0"/>
              <w:adjustRightInd w:val="0"/>
              <w:snapToGrid w:val="0"/>
              <w:jc w:val="right"/>
            </w:pPr>
            <w:r>
              <w:rPr>
                <w:rFonts w:hint="eastAsia"/>
              </w:rPr>
              <w:t>-</w:t>
            </w:r>
          </w:p>
        </w:tc>
        <w:tc>
          <w:tcPr>
            <w:tcW w:w="1941" w:type="dxa"/>
            <w:gridSpan w:val="2"/>
            <w:tcMar>
              <w:top w:w="0" w:type="dxa"/>
              <w:bottom w:w="0" w:type="dxa"/>
            </w:tcMar>
            <w:vAlign w:val="center"/>
          </w:tcPr>
          <w:p w14:paraId="734C1F3A" w14:textId="77777777" w:rsidR="004B0883" w:rsidRDefault="004B0883">
            <w:pPr>
              <w:adjustRightInd w:val="0"/>
              <w:snapToGrid w:val="0"/>
              <w:jc w:val="right"/>
              <w:rPr>
                <w:color w:val="000000"/>
                <w:kern w:val="0"/>
              </w:rPr>
            </w:pPr>
            <w:r>
              <w:rPr>
                <w:rFonts w:eastAsia="等线"/>
                <w:color w:val="000000"/>
              </w:rPr>
              <w:t>1,318.91</w:t>
            </w:r>
          </w:p>
        </w:tc>
      </w:tr>
      <w:tr w:rsidR="004B0883" w14:paraId="049721F8" w14:textId="77777777">
        <w:trPr>
          <w:trHeight w:val="397"/>
          <w:jc w:val="center"/>
        </w:trPr>
        <w:tc>
          <w:tcPr>
            <w:tcW w:w="2436" w:type="dxa"/>
            <w:tcMar>
              <w:top w:w="0" w:type="dxa"/>
              <w:bottom w:w="0" w:type="dxa"/>
            </w:tcMar>
            <w:vAlign w:val="center"/>
          </w:tcPr>
          <w:p w14:paraId="007F25E0" w14:textId="77777777" w:rsidR="004B0883" w:rsidRDefault="004B0883">
            <w:pPr>
              <w:adjustRightInd w:val="0"/>
              <w:snapToGrid w:val="0"/>
              <w:rPr>
                <w:color w:val="000000"/>
                <w:kern w:val="0"/>
              </w:rPr>
            </w:pPr>
            <w:r>
              <w:rPr>
                <w:color w:val="000000"/>
                <w:kern w:val="0"/>
              </w:rPr>
              <w:t>库存商品</w:t>
            </w:r>
          </w:p>
        </w:tc>
        <w:tc>
          <w:tcPr>
            <w:tcW w:w="2226" w:type="dxa"/>
            <w:gridSpan w:val="2"/>
            <w:tcMar>
              <w:top w:w="0" w:type="dxa"/>
              <w:bottom w:w="0" w:type="dxa"/>
            </w:tcMar>
            <w:vAlign w:val="center"/>
          </w:tcPr>
          <w:p w14:paraId="28DCC091" w14:textId="77777777" w:rsidR="004B0883" w:rsidRDefault="004B0883">
            <w:pPr>
              <w:adjustRightInd w:val="0"/>
              <w:snapToGrid w:val="0"/>
              <w:jc w:val="right"/>
              <w:rPr>
                <w:color w:val="000000"/>
                <w:kern w:val="0"/>
              </w:rPr>
            </w:pPr>
            <w:r>
              <w:rPr>
                <w:rFonts w:eastAsia="等线"/>
                <w:color w:val="000000"/>
              </w:rPr>
              <w:t>3,871.96</w:t>
            </w:r>
          </w:p>
        </w:tc>
        <w:tc>
          <w:tcPr>
            <w:tcW w:w="1923" w:type="dxa"/>
            <w:tcMar>
              <w:top w:w="0" w:type="dxa"/>
              <w:bottom w:w="0" w:type="dxa"/>
            </w:tcMar>
            <w:vAlign w:val="center"/>
          </w:tcPr>
          <w:p w14:paraId="37D44B60" w14:textId="77777777" w:rsidR="004B0883" w:rsidRDefault="004B0883">
            <w:pPr>
              <w:widowControl w:val="0"/>
              <w:adjustRightInd w:val="0"/>
              <w:snapToGrid w:val="0"/>
              <w:jc w:val="right"/>
            </w:pPr>
            <w:r>
              <w:t>271.90</w:t>
            </w:r>
          </w:p>
        </w:tc>
        <w:tc>
          <w:tcPr>
            <w:tcW w:w="1941" w:type="dxa"/>
            <w:gridSpan w:val="2"/>
            <w:tcMar>
              <w:top w:w="0" w:type="dxa"/>
              <w:bottom w:w="0" w:type="dxa"/>
            </w:tcMar>
            <w:vAlign w:val="center"/>
          </w:tcPr>
          <w:p w14:paraId="665C78E7" w14:textId="77777777" w:rsidR="004B0883" w:rsidRDefault="004B0883">
            <w:pPr>
              <w:adjustRightInd w:val="0"/>
              <w:snapToGrid w:val="0"/>
              <w:jc w:val="right"/>
              <w:rPr>
                <w:color w:val="000000"/>
                <w:kern w:val="0"/>
              </w:rPr>
            </w:pPr>
            <w:r>
              <w:rPr>
                <w:rFonts w:eastAsia="等线"/>
                <w:color w:val="000000"/>
              </w:rPr>
              <w:t>3,600.06</w:t>
            </w:r>
          </w:p>
        </w:tc>
      </w:tr>
      <w:tr w:rsidR="004B0883" w14:paraId="3DB585DF" w14:textId="77777777">
        <w:trPr>
          <w:trHeight w:val="397"/>
          <w:jc w:val="center"/>
        </w:trPr>
        <w:tc>
          <w:tcPr>
            <w:tcW w:w="2436" w:type="dxa"/>
            <w:tcMar>
              <w:top w:w="0" w:type="dxa"/>
              <w:bottom w:w="0" w:type="dxa"/>
            </w:tcMar>
            <w:vAlign w:val="center"/>
          </w:tcPr>
          <w:p w14:paraId="34FED7B9" w14:textId="77777777" w:rsidR="004B0883" w:rsidRDefault="004B0883">
            <w:pPr>
              <w:adjustRightInd w:val="0"/>
              <w:snapToGrid w:val="0"/>
              <w:rPr>
                <w:color w:val="000000"/>
                <w:kern w:val="0"/>
              </w:rPr>
            </w:pPr>
            <w:r>
              <w:rPr>
                <w:rFonts w:hint="eastAsia"/>
                <w:color w:val="000000"/>
                <w:kern w:val="0"/>
              </w:rPr>
              <w:t>周转材料</w:t>
            </w:r>
          </w:p>
        </w:tc>
        <w:tc>
          <w:tcPr>
            <w:tcW w:w="2226" w:type="dxa"/>
            <w:gridSpan w:val="2"/>
            <w:tcMar>
              <w:top w:w="0" w:type="dxa"/>
              <w:bottom w:w="0" w:type="dxa"/>
            </w:tcMar>
            <w:vAlign w:val="center"/>
          </w:tcPr>
          <w:p w14:paraId="2FA6A9A0" w14:textId="77777777" w:rsidR="004B0883" w:rsidRDefault="004B0883">
            <w:pPr>
              <w:adjustRightInd w:val="0"/>
              <w:snapToGrid w:val="0"/>
              <w:jc w:val="right"/>
              <w:rPr>
                <w:color w:val="000000"/>
                <w:kern w:val="0"/>
              </w:rPr>
            </w:pPr>
            <w:r>
              <w:rPr>
                <w:rFonts w:eastAsia="等线"/>
                <w:color w:val="000000"/>
              </w:rPr>
              <w:t>1,250.16</w:t>
            </w:r>
          </w:p>
        </w:tc>
        <w:tc>
          <w:tcPr>
            <w:tcW w:w="1923" w:type="dxa"/>
            <w:tcMar>
              <w:top w:w="0" w:type="dxa"/>
              <w:bottom w:w="0" w:type="dxa"/>
            </w:tcMar>
            <w:vAlign w:val="center"/>
          </w:tcPr>
          <w:p w14:paraId="27C63BAA" w14:textId="77777777" w:rsidR="004B0883" w:rsidRDefault="004B0883">
            <w:pPr>
              <w:widowControl w:val="0"/>
              <w:adjustRightInd w:val="0"/>
              <w:snapToGrid w:val="0"/>
              <w:jc w:val="right"/>
            </w:pPr>
            <w:r>
              <w:rPr>
                <w:rFonts w:hint="eastAsia"/>
              </w:rPr>
              <w:t>-</w:t>
            </w:r>
          </w:p>
        </w:tc>
        <w:tc>
          <w:tcPr>
            <w:tcW w:w="1941" w:type="dxa"/>
            <w:gridSpan w:val="2"/>
            <w:tcMar>
              <w:top w:w="0" w:type="dxa"/>
              <w:bottom w:w="0" w:type="dxa"/>
            </w:tcMar>
            <w:vAlign w:val="center"/>
          </w:tcPr>
          <w:p w14:paraId="7AEBA8BE" w14:textId="77777777" w:rsidR="004B0883" w:rsidRDefault="004B0883">
            <w:pPr>
              <w:adjustRightInd w:val="0"/>
              <w:snapToGrid w:val="0"/>
              <w:jc w:val="right"/>
              <w:rPr>
                <w:color w:val="000000"/>
                <w:kern w:val="0"/>
              </w:rPr>
            </w:pPr>
            <w:r>
              <w:rPr>
                <w:rFonts w:eastAsia="等线"/>
                <w:color w:val="000000"/>
              </w:rPr>
              <w:t>1,250.16</w:t>
            </w:r>
          </w:p>
        </w:tc>
      </w:tr>
      <w:tr w:rsidR="004B0883" w14:paraId="681C3B44" w14:textId="77777777">
        <w:trPr>
          <w:trHeight w:val="397"/>
          <w:jc w:val="center"/>
        </w:trPr>
        <w:tc>
          <w:tcPr>
            <w:tcW w:w="2436" w:type="dxa"/>
            <w:tcMar>
              <w:top w:w="0" w:type="dxa"/>
              <w:bottom w:w="0" w:type="dxa"/>
            </w:tcMar>
            <w:vAlign w:val="center"/>
          </w:tcPr>
          <w:p w14:paraId="77DD97CC" w14:textId="77777777" w:rsidR="004B0883" w:rsidRDefault="004B0883">
            <w:pPr>
              <w:adjustRightInd w:val="0"/>
              <w:snapToGrid w:val="0"/>
              <w:rPr>
                <w:color w:val="000000"/>
                <w:kern w:val="0"/>
              </w:rPr>
            </w:pPr>
            <w:r>
              <w:rPr>
                <w:rFonts w:hint="eastAsia"/>
                <w:color w:val="000000"/>
                <w:kern w:val="0"/>
              </w:rPr>
              <w:t>发出商品</w:t>
            </w:r>
          </w:p>
        </w:tc>
        <w:tc>
          <w:tcPr>
            <w:tcW w:w="2226" w:type="dxa"/>
            <w:gridSpan w:val="2"/>
            <w:tcMar>
              <w:top w:w="0" w:type="dxa"/>
              <w:bottom w:w="0" w:type="dxa"/>
            </w:tcMar>
            <w:vAlign w:val="center"/>
          </w:tcPr>
          <w:p w14:paraId="0B155A82" w14:textId="77777777" w:rsidR="004B0883" w:rsidRDefault="004B0883">
            <w:pPr>
              <w:adjustRightInd w:val="0"/>
              <w:snapToGrid w:val="0"/>
              <w:jc w:val="right"/>
              <w:rPr>
                <w:color w:val="000000"/>
                <w:kern w:val="0"/>
              </w:rPr>
            </w:pPr>
            <w:r>
              <w:rPr>
                <w:rFonts w:eastAsia="等线"/>
                <w:color w:val="000000"/>
              </w:rPr>
              <w:t>457.30</w:t>
            </w:r>
          </w:p>
        </w:tc>
        <w:tc>
          <w:tcPr>
            <w:tcW w:w="1923" w:type="dxa"/>
            <w:tcMar>
              <w:top w:w="0" w:type="dxa"/>
              <w:bottom w:w="0" w:type="dxa"/>
            </w:tcMar>
            <w:vAlign w:val="center"/>
          </w:tcPr>
          <w:p w14:paraId="4D3DE832" w14:textId="77777777" w:rsidR="004B0883" w:rsidRDefault="004B0883">
            <w:pPr>
              <w:widowControl w:val="0"/>
              <w:adjustRightInd w:val="0"/>
              <w:snapToGrid w:val="0"/>
              <w:jc w:val="right"/>
            </w:pPr>
            <w:r>
              <w:rPr>
                <w:rFonts w:hint="eastAsia"/>
              </w:rPr>
              <w:t>-</w:t>
            </w:r>
          </w:p>
        </w:tc>
        <w:tc>
          <w:tcPr>
            <w:tcW w:w="1941" w:type="dxa"/>
            <w:gridSpan w:val="2"/>
            <w:tcMar>
              <w:top w:w="0" w:type="dxa"/>
              <w:bottom w:w="0" w:type="dxa"/>
            </w:tcMar>
            <w:vAlign w:val="center"/>
          </w:tcPr>
          <w:p w14:paraId="5B019E21" w14:textId="77777777" w:rsidR="004B0883" w:rsidRDefault="004B0883">
            <w:pPr>
              <w:adjustRightInd w:val="0"/>
              <w:snapToGrid w:val="0"/>
              <w:jc w:val="right"/>
              <w:rPr>
                <w:color w:val="000000"/>
                <w:kern w:val="0"/>
              </w:rPr>
            </w:pPr>
            <w:r>
              <w:rPr>
                <w:rFonts w:eastAsia="等线"/>
                <w:color w:val="000000"/>
              </w:rPr>
              <w:t>457.30</w:t>
            </w:r>
          </w:p>
        </w:tc>
      </w:tr>
      <w:tr w:rsidR="004B0883" w14:paraId="48807439" w14:textId="77777777">
        <w:trPr>
          <w:trHeight w:val="397"/>
          <w:jc w:val="center"/>
        </w:trPr>
        <w:tc>
          <w:tcPr>
            <w:tcW w:w="2436" w:type="dxa"/>
            <w:tcMar>
              <w:top w:w="0" w:type="dxa"/>
              <w:bottom w:w="0" w:type="dxa"/>
            </w:tcMar>
            <w:vAlign w:val="center"/>
          </w:tcPr>
          <w:p w14:paraId="1E1A9365" w14:textId="77777777" w:rsidR="004B0883" w:rsidRDefault="004B0883">
            <w:pPr>
              <w:adjustRightInd w:val="0"/>
              <w:snapToGrid w:val="0"/>
              <w:rPr>
                <w:color w:val="000000"/>
                <w:kern w:val="0"/>
              </w:rPr>
            </w:pPr>
            <w:r>
              <w:rPr>
                <w:color w:val="000000"/>
                <w:kern w:val="0"/>
              </w:rPr>
              <w:t>委托加工物资</w:t>
            </w:r>
          </w:p>
        </w:tc>
        <w:tc>
          <w:tcPr>
            <w:tcW w:w="2226" w:type="dxa"/>
            <w:gridSpan w:val="2"/>
            <w:tcMar>
              <w:top w:w="0" w:type="dxa"/>
              <w:bottom w:w="0" w:type="dxa"/>
            </w:tcMar>
            <w:vAlign w:val="center"/>
          </w:tcPr>
          <w:p w14:paraId="7C954E8C" w14:textId="77777777" w:rsidR="004B0883" w:rsidRDefault="004B0883">
            <w:pPr>
              <w:adjustRightInd w:val="0"/>
              <w:snapToGrid w:val="0"/>
              <w:jc w:val="right"/>
              <w:rPr>
                <w:color w:val="000000"/>
                <w:kern w:val="0"/>
              </w:rPr>
            </w:pPr>
            <w:r>
              <w:rPr>
                <w:rFonts w:eastAsia="等线"/>
                <w:color w:val="000000"/>
              </w:rPr>
              <w:t>528.73</w:t>
            </w:r>
          </w:p>
        </w:tc>
        <w:tc>
          <w:tcPr>
            <w:tcW w:w="1923" w:type="dxa"/>
            <w:tcMar>
              <w:top w:w="0" w:type="dxa"/>
              <w:bottom w:w="0" w:type="dxa"/>
            </w:tcMar>
            <w:vAlign w:val="center"/>
          </w:tcPr>
          <w:p w14:paraId="06F34E4B" w14:textId="77777777" w:rsidR="004B0883" w:rsidRDefault="004B0883">
            <w:pPr>
              <w:widowControl w:val="0"/>
              <w:adjustRightInd w:val="0"/>
              <w:snapToGrid w:val="0"/>
              <w:jc w:val="right"/>
            </w:pPr>
            <w:r>
              <w:rPr>
                <w:rFonts w:hint="eastAsia"/>
              </w:rPr>
              <w:t>-</w:t>
            </w:r>
          </w:p>
        </w:tc>
        <w:tc>
          <w:tcPr>
            <w:tcW w:w="1941" w:type="dxa"/>
            <w:gridSpan w:val="2"/>
            <w:tcMar>
              <w:top w:w="0" w:type="dxa"/>
              <w:bottom w:w="0" w:type="dxa"/>
            </w:tcMar>
            <w:vAlign w:val="center"/>
          </w:tcPr>
          <w:p w14:paraId="3F0F496B" w14:textId="77777777" w:rsidR="004B0883" w:rsidRDefault="004B0883">
            <w:pPr>
              <w:adjustRightInd w:val="0"/>
              <w:snapToGrid w:val="0"/>
              <w:jc w:val="right"/>
              <w:rPr>
                <w:color w:val="000000"/>
                <w:kern w:val="0"/>
              </w:rPr>
            </w:pPr>
            <w:r>
              <w:rPr>
                <w:rFonts w:eastAsia="等线"/>
                <w:color w:val="000000"/>
              </w:rPr>
              <w:t>528.73</w:t>
            </w:r>
          </w:p>
        </w:tc>
      </w:tr>
      <w:tr w:rsidR="004B0883" w14:paraId="3A41BE2C" w14:textId="77777777">
        <w:trPr>
          <w:trHeight w:val="397"/>
          <w:jc w:val="center"/>
        </w:trPr>
        <w:tc>
          <w:tcPr>
            <w:tcW w:w="2436" w:type="dxa"/>
            <w:tcMar>
              <w:top w:w="0" w:type="dxa"/>
              <w:bottom w:w="0" w:type="dxa"/>
            </w:tcMar>
            <w:vAlign w:val="center"/>
          </w:tcPr>
          <w:p w14:paraId="02F78D32" w14:textId="77777777" w:rsidR="004B0883" w:rsidRDefault="004B0883">
            <w:pPr>
              <w:adjustRightInd w:val="0"/>
              <w:snapToGrid w:val="0"/>
              <w:rPr>
                <w:color w:val="000000"/>
                <w:kern w:val="0"/>
              </w:rPr>
            </w:pPr>
            <w:r>
              <w:rPr>
                <w:color w:val="000000"/>
                <w:kern w:val="0"/>
              </w:rPr>
              <w:t>自制半成品</w:t>
            </w:r>
          </w:p>
        </w:tc>
        <w:tc>
          <w:tcPr>
            <w:tcW w:w="2226" w:type="dxa"/>
            <w:gridSpan w:val="2"/>
            <w:tcMar>
              <w:top w:w="0" w:type="dxa"/>
              <w:bottom w:w="0" w:type="dxa"/>
            </w:tcMar>
            <w:vAlign w:val="center"/>
          </w:tcPr>
          <w:p w14:paraId="6DF06C83" w14:textId="77777777" w:rsidR="004B0883" w:rsidRDefault="004B0883">
            <w:pPr>
              <w:adjustRightInd w:val="0"/>
              <w:snapToGrid w:val="0"/>
              <w:jc w:val="right"/>
              <w:rPr>
                <w:color w:val="000000"/>
                <w:kern w:val="0"/>
              </w:rPr>
            </w:pPr>
            <w:r>
              <w:rPr>
                <w:rFonts w:eastAsia="等线"/>
                <w:color w:val="000000"/>
              </w:rPr>
              <w:t>2,873.50</w:t>
            </w:r>
          </w:p>
        </w:tc>
        <w:tc>
          <w:tcPr>
            <w:tcW w:w="1923" w:type="dxa"/>
            <w:tcMar>
              <w:top w:w="0" w:type="dxa"/>
              <w:bottom w:w="0" w:type="dxa"/>
            </w:tcMar>
            <w:vAlign w:val="center"/>
          </w:tcPr>
          <w:p w14:paraId="3B7FC405" w14:textId="77777777" w:rsidR="004B0883" w:rsidRDefault="004B0883">
            <w:pPr>
              <w:widowControl w:val="0"/>
              <w:adjustRightInd w:val="0"/>
              <w:snapToGrid w:val="0"/>
              <w:jc w:val="right"/>
            </w:pPr>
            <w:r>
              <w:t>81.45</w:t>
            </w:r>
          </w:p>
        </w:tc>
        <w:tc>
          <w:tcPr>
            <w:tcW w:w="1941" w:type="dxa"/>
            <w:gridSpan w:val="2"/>
            <w:tcMar>
              <w:top w:w="0" w:type="dxa"/>
              <w:bottom w:w="0" w:type="dxa"/>
            </w:tcMar>
            <w:vAlign w:val="center"/>
          </w:tcPr>
          <w:p w14:paraId="2F8FC9E9" w14:textId="77777777" w:rsidR="004B0883" w:rsidRDefault="004B0883">
            <w:pPr>
              <w:adjustRightInd w:val="0"/>
              <w:snapToGrid w:val="0"/>
              <w:jc w:val="right"/>
              <w:rPr>
                <w:color w:val="000000"/>
                <w:kern w:val="0"/>
              </w:rPr>
            </w:pPr>
            <w:r>
              <w:rPr>
                <w:rFonts w:eastAsia="等线"/>
                <w:color w:val="000000"/>
              </w:rPr>
              <w:t>2,792.04</w:t>
            </w:r>
          </w:p>
        </w:tc>
      </w:tr>
      <w:tr w:rsidR="004B0883" w14:paraId="563115EE" w14:textId="77777777">
        <w:trPr>
          <w:trHeight w:val="397"/>
          <w:jc w:val="center"/>
        </w:trPr>
        <w:tc>
          <w:tcPr>
            <w:tcW w:w="2436" w:type="dxa"/>
            <w:tcMar>
              <w:top w:w="0" w:type="dxa"/>
              <w:bottom w:w="0" w:type="dxa"/>
            </w:tcMar>
            <w:vAlign w:val="center"/>
          </w:tcPr>
          <w:p w14:paraId="07295F40" w14:textId="77777777" w:rsidR="004B0883" w:rsidRDefault="004B0883">
            <w:pPr>
              <w:widowControl w:val="0"/>
              <w:adjustRightInd w:val="0"/>
              <w:snapToGrid w:val="0"/>
              <w:jc w:val="center"/>
              <w:rPr>
                <w:b/>
                <w:bCs/>
                <w:kern w:val="0"/>
              </w:rPr>
            </w:pPr>
            <w:r>
              <w:rPr>
                <w:b/>
                <w:bCs/>
                <w:kern w:val="0"/>
              </w:rPr>
              <w:t>合计</w:t>
            </w:r>
          </w:p>
        </w:tc>
        <w:tc>
          <w:tcPr>
            <w:tcW w:w="2226" w:type="dxa"/>
            <w:gridSpan w:val="2"/>
            <w:tcMar>
              <w:top w:w="0" w:type="dxa"/>
              <w:bottom w:w="0" w:type="dxa"/>
            </w:tcMar>
            <w:vAlign w:val="center"/>
          </w:tcPr>
          <w:p w14:paraId="5937D5BE" w14:textId="77777777" w:rsidR="004B0883" w:rsidRDefault="004B0883">
            <w:pPr>
              <w:adjustRightInd w:val="0"/>
              <w:snapToGrid w:val="0"/>
              <w:jc w:val="right"/>
              <w:rPr>
                <w:b/>
                <w:bCs/>
                <w:color w:val="000000"/>
                <w:kern w:val="0"/>
              </w:rPr>
            </w:pPr>
            <w:r>
              <w:rPr>
                <w:b/>
                <w:bCs/>
                <w:color w:val="000000"/>
                <w:kern w:val="0"/>
              </w:rPr>
              <w:t>12,262.27</w:t>
            </w:r>
          </w:p>
        </w:tc>
        <w:tc>
          <w:tcPr>
            <w:tcW w:w="1923" w:type="dxa"/>
            <w:tcMar>
              <w:top w:w="0" w:type="dxa"/>
              <w:bottom w:w="0" w:type="dxa"/>
            </w:tcMar>
            <w:vAlign w:val="center"/>
          </w:tcPr>
          <w:p w14:paraId="4E0FBC67" w14:textId="77777777" w:rsidR="004B0883" w:rsidRDefault="004B0883">
            <w:pPr>
              <w:widowControl w:val="0"/>
              <w:adjustRightInd w:val="0"/>
              <w:snapToGrid w:val="0"/>
              <w:jc w:val="right"/>
              <w:rPr>
                <w:b/>
                <w:bCs/>
              </w:rPr>
            </w:pPr>
            <w:r>
              <w:rPr>
                <w:b/>
                <w:bCs/>
              </w:rPr>
              <w:t>371.03</w:t>
            </w:r>
          </w:p>
        </w:tc>
        <w:tc>
          <w:tcPr>
            <w:tcW w:w="1941" w:type="dxa"/>
            <w:gridSpan w:val="2"/>
            <w:tcMar>
              <w:top w:w="0" w:type="dxa"/>
              <w:bottom w:w="0" w:type="dxa"/>
            </w:tcMar>
            <w:vAlign w:val="center"/>
          </w:tcPr>
          <w:p w14:paraId="4CBBA837" w14:textId="77777777" w:rsidR="004B0883" w:rsidRDefault="004B0883">
            <w:pPr>
              <w:widowControl w:val="0"/>
              <w:adjustRightInd w:val="0"/>
              <w:snapToGrid w:val="0"/>
              <w:jc w:val="right"/>
              <w:rPr>
                <w:b/>
                <w:bCs/>
              </w:rPr>
            </w:pPr>
            <w:r>
              <w:rPr>
                <w:b/>
                <w:bCs/>
              </w:rPr>
              <w:t>11,891.25</w:t>
            </w:r>
          </w:p>
        </w:tc>
      </w:tr>
      <w:tr w:rsidR="004B0883" w14:paraId="44BB8FF0" w14:textId="77777777">
        <w:trPr>
          <w:trHeight w:val="397"/>
          <w:jc w:val="center"/>
        </w:trPr>
        <w:tc>
          <w:tcPr>
            <w:tcW w:w="2436" w:type="dxa"/>
            <w:vMerge w:val="restart"/>
            <w:shd w:val="clear" w:color="auto" w:fill="D9D9D9"/>
            <w:tcMar>
              <w:top w:w="0" w:type="dxa"/>
              <w:bottom w:w="0" w:type="dxa"/>
            </w:tcMar>
            <w:vAlign w:val="center"/>
          </w:tcPr>
          <w:p w14:paraId="34231E08" w14:textId="77777777" w:rsidR="004B0883" w:rsidRDefault="004B0883">
            <w:pPr>
              <w:widowControl w:val="0"/>
              <w:adjustRightInd w:val="0"/>
              <w:snapToGrid w:val="0"/>
              <w:jc w:val="center"/>
              <w:rPr>
                <w:b/>
                <w:bCs/>
                <w:color w:val="000000"/>
                <w:kern w:val="0"/>
              </w:rPr>
            </w:pPr>
            <w:r>
              <w:rPr>
                <w:b/>
                <w:bCs/>
                <w:color w:val="000000"/>
                <w:kern w:val="0"/>
              </w:rPr>
              <w:t>项目</w:t>
            </w:r>
          </w:p>
        </w:tc>
        <w:tc>
          <w:tcPr>
            <w:tcW w:w="6090" w:type="dxa"/>
            <w:gridSpan w:val="5"/>
            <w:shd w:val="clear" w:color="auto" w:fill="D9D9D9"/>
            <w:tcMar>
              <w:top w:w="0" w:type="dxa"/>
              <w:bottom w:w="0" w:type="dxa"/>
            </w:tcMar>
            <w:vAlign w:val="center"/>
          </w:tcPr>
          <w:p w14:paraId="4243F930" w14:textId="77777777" w:rsidR="004B0883" w:rsidRDefault="004B0883">
            <w:pPr>
              <w:widowControl w:val="0"/>
              <w:adjustRightInd w:val="0"/>
              <w:snapToGrid w:val="0"/>
              <w:jc w:val="center"/>
              <w:rPr>
                <w:b/>
                <w:bCs/>
                <w:color w:val="000000"/>
                <w:kern w:val="0"/>
              </w:rPr>
            </w:pPr>
            <w:r>
              <w:rPr>
                <w:b/>
                <w:bCs/>
                <w:color w:val="000000"/>
                <w:kern w:val="0"/>
              </w:rPr>
              <w:t>2021.12.31</w:t>
            </w:r>
          </w:p>
        </w:tc>
      </w:tr>
      <w:tr w:rsidR="004B0883" w14:paraId="03E47A2F" w14:textId="77777777">
        <w:trPr>
          <w:trHeight w:val="397"/>
          <w:jc w:val="center"/>
        </w:trPr>
        <w:tc>
          <w:tcPr>
            <w:tcW w:w="2436" w:type="dxa"/>
            <w:vMerge/>
            <w:shd w:val="clear" w:color="auto" w:fill="D9D9D9"/>
            <w:tcMar>
              <w:top w:w="0" w:type="dxa"/>
              <w:bottom w:w="0" w:type="dxa"/>
            </w:tcMar>
            <w:vAlign w:val="center"/>
          </w:tcPr>
          <w:p w14:paraId="6A8DBA6F" w14:textId="77777777" w:rsidR="004B0883" w:rsidRDefault="004B0883">
            <w:pPr>
              <w:widowControl w:val="0"/>
              <w:adjustRightInd w:val="0"/>
              <w:snapToGrid w:val="0"/>
              <w:rPr>
                <w:b/>
                <w:bCs/>
                <w:color w:val="000000"/>
                <w:kern w:val="0"/>
              </w:rPr>
            </w:pPr>
          </w:p>
        </w:tc>
        <w:tc>
          <w:tcPr>
            <w:tcW w:w="2226" w:type="dxa"/>
            <w:gridSpan w:val="2"/>
            <w:shd w:val="clear" w:color="auto" w:fill="D9D9D9"/>
            <w:tcMar>
              <w:top w:w="0" w:type="dxa"/>
              <w:bottom w:w="0" w:type="dxa"/>
            </w:tcMar>
            <w:vAlign w:val="center"/>
          </w:tcPr>
          <w:p w14:paraId="5A3622C4" w14:textId="77777777" w:rsidR="004B0883" w:rsidRDefault="004B0883">
            <w:pPr>
              <w:widowControl w:val="0"/>
              <w:adjustRightInd w:val="0"/>
              <w:snapToGrid w:val="0"/>
              <w:jc w:val="center"/>
              <w:rPr>
                <w:b/>
                <w:bCs/>
                <w:color w:val="000000"/>
                <w:kern w:val="0"/>
              </w:rPr>
            </w:pPr>
            <w:r>
              <w:rPr>
                <w:b/>
                <w:bCs/>
                <w:color w:val="000000"/>
                <w:kern w:val="0"/>
              </w:rPr>
              <w:t>账面余额</w:t>
            </w:r>
          </w:p>
        </w:tc>
        <w:tc>
          <w:tcPr>
            <w:tcW w:w="1923" w:type="dxa"/>
            <w:shd w:val="clear" w:color="auto" w:fill="D9D9D9"/>
            <w:tcMar>
              <w:top w:w="0" w:type="dxa"/>
              <w:bottom w:w="0" w:type="dxa"/>
            </w:tcMar>
            <w:vAlign w:val="center"/>
          </w:tcPr>
          <w:p w14:paraId="69E0AF5D" w14:textId="77777777" w:rsidR="004B0883" w:rsidRDefault="004B0883">
            <w:pPr>
              <w:widowControl w:val="0"/>
              <w:adjustRightInd w:val="0"/>
              <w:snapToGrid w:val="0"/>
              <w:jc w:val="center"/>
              <w:rPr>
                <w:rFonts w:hint="eastAsia"/>
                <w:b/>
                <w:bCs/>
                <w:color w:val="000000"/>
                <w:kern w:val="0"/>
              </w:rPr>
            </w:pPr>
            <w:r>
              <w:rPr>
                <w:b/>
                <w:bCs/>
                <w:color w:val="000000"/>
                <w:kern w:val="0"/>
              </w:rPr>
              <w:t>存货跌价</w:t>
            </w:r>
            <w:r>
              <w:rPr>
                <w:rFonts w:hint="eastAsia"/>
                <w:b/>
                <w:bCs/>
                <w:color w:val="000000"/>
                <w:kern w:val="0"/>
              </w:rPr>
              <w:t>准备</w:t>
            </w:r>
          </w:p>
        </w:tc>
        <w:tc>
          <w:tcPr>
            <w:tcW w:w="1941" w:type="dxa"/>
            <w:gridSpan w:val="2"/>
            <w:shd w:val="clear" w:color="auto" w:fill="D9D9D9"/>
            <w:tcMar>
              <w:top w:w="0" w:type="dxa"/>
              <w:bottom w:w="0" w:type="dxa"/>
            </w:tcMar>
            <w:vAlign w:val="center"/>
          </w:tcPr>
          <w:p w14:paraId="6BB46DC8" w14:textId="77777777" w:rsidR="004B0883" w:rsidRDefault="004B0883">
            <w:pPr>
              <w:widowControl w:val="0"/>
              <w:adjustRightInd w:val="0"/>
              <w:snapToGrid w:val="0"/>
              <w:jc w:val="center"/>
              <w:rPr>
                <w:b/>
                <w:bCs/>
                <w:color w:val="000000"/>
                <w:kern w:val="0"/>
              </w:rPr>
            </w:pPr>
            <w:r>
              <w:rPr>
                <w:b/>
                <w:bCs/>
                <w:color w:val="000000"/>
                <w:kern w:val="0"/>
              </w:rPr>
              <w:t>账面价值</w:t>
            </w:r>
          </w:p>
        </w:tc>
      </w:tr>
      <w:tr w:rsidR="004B0883" w14:paraId="578FA264" w14:textId="77777777">
        <w:trPr>
          <w:trHeight w:val="397"/>
          <w:jc w:val="center"/>
        </w:trPr>
        <w:tc>
          <w:tcPr>
            <w:tcW w:w="2436" w:type="dxa"/>
            <w:tcMar>
              <w:top w:w="0" w:type="dxa"/>
              <w:bottom w:w="0" w:type="dxa"/>
            </w:tcMar>
            <w:vAlign w:val="center"/>
          </w:tcPr>
          <w:p w14:paraId="6F301F88" w14:textId="77777777" w:rsidR="004B0883" w:rsidRDefault="004B0883">
            <w:pPr>
              <w:adjustRightInd w:val="0"/>
              <w:snapToGrid w:val="0"/>
              <w:rPr>
                <w:color w:val="000000"/>
                <w:kern w:val="0"/>
              </w:rPr>
            </w:pPr>
            <w:r>
              <w:rPr>
                <w:color w:val="000000"/>
                <w:kern w:val="0"/>
              </w:rPr>
              <w:t>原材料</w:t>
            </w:r>
          </w:p>
        </w:tc>
        <w:tc>
          <w:tcPr>
            <w:tcW w:w="2226" w:type="dxa"/>
            <w:gridSpan w:val="2"/>
            <w:tcMar>
              <w:top w:w="0" w:type="dxa"/>
              <w:bottom w:w="0" w:type="dxa"/>
            </w:tcMar>
            <w:vAlign w:val="center"/>
          </w:tcPr>
          <w:p w14:paraId="2436A908" w14:textId="77777777" w:rsidR="004B0883" w:rsidRDefault="004B0883">
            <w:pPr>
              <w:adjustRightInd w:val="0"/>
              <w:snapToGrid w:val="0"/>
              <w:jc w:val="right"/>
              <w:rPr>
                <w:color w:val="000000"/>
                <w:kern w:val="0"/>
              </w:rPr>
            </w:pPr>
            <w:r>
              <w:rPr>
                <w:rFonts w:eastAsia="仿宋_GB2312"/>
                <w:color w:val="000000"/>
              </w:rPr>
              <w:t>1,956.81</w:t>
            </w:r>
          </w:p>
        </w:tc>
        <w:tc>
          <w:tcPr>
            <w:tcW w:w="1923" w:type="dxa"/>
            <w:tcMar>
              <w:top w:w="0" w:type="dxa"/>
              <w:bottom w:w="0" w:type="dxa"/>
            </w:tcMar>
            <w:vAlign w:val="center"/>
          </w:tcPr>
          <w:p w14:paraId="5FFF5EDD" w14:textId="77777777" w:rsidR="004B0883" w:rsidRDefault="004B0883">
            <w:pPr>
              <w:widowControl w:val="0"/>
              <w:adjustRightInd w:val="0"/>
              <w:snapToGrid w:val="0"/>
              <w:jc w:val="right"/>
              <w:rPr>
                <w:kern w:val="0"/>
              </w:rPr>
            </w:pPr>
            <w:r>
              <w:rPr>
                <w:kern w:val="0"/>
              </w:rPr>
              <w:t>6.77</w:t>
            </w:r>
          </w:p>
        </w:tc>
        <w:tc>
          <w:tcPr>
            <w:tcW w:w="1941" w:type="dxa"/>
            <w:gridSpan w:val="2"/>
            <w:tcMar>
              <w:top w:w="0" w:type="dxa"/>
              <w:bottom w:w="0" w:type="dxa"/>
            </w:tcMar>
            <w:vAlign w:val="center"/>
          </w:tcPr>
          <w:p w14:paraId="62E71EA6" w14:textId="77777777" w:rsidR="004B0883" w:rsidRDefault="004B0883">
            <w:pPr>
              <w:adjustRightInd w:val="0"/>
              <w:snapToGrid w:val="0"/>
              <w:jc w:val="right"/>
              <w:rPr>
                <w:color w:val="000000"/>
                <w:kern w:val="0"/>
              </w:rPr>
            </w:pPr>
            <w:r>
              <w:rPr>
                <w:rFonts w:eastAsia="仿宋_GB2312"/>
                <w:color w:val="000000"/>
              </w:rPr>
              <w:t>1,950.04</w:t>
            </w:r>
          </w:p>
        </w:tc>
      </w:tr>
      <w:tr w:rsidR="004B0883" w14:paraId="21103A74" w14:textId="77777777">
        <w:trPr>
          <w:trHeight w:val="397"/>
          <w:jc w:val="center"/>
        </w:trPr>
        <w:tc>
          <w:tcPr>
            <w:tcW w:w="2436" w:type="dxa"/>
            <w:tcMar>
              <w:top w:w="0" w:type="dxa"/>
              <w:bottom w:w="0" w:type="dxa"/>
            </w:tcMar>
            <w:vAlign w:val="center"/>
          </w:tcPr>
          <w:p w14:paraId="3C55B93C" w14:textId="77777777" w:rsidR="004B0883" w:rsidRDefault="004B0883">
            <w:pPr>
              <w:adjustRightInd w:val="0"/>
              <w:snapToGrid w:val="0"/>
              <w:rPr>
                <w:color w:val="000000"/>
                <w:kern w:val="0"/>
              </w:rPr>
            </w:pPr>
            <w:r>
              <w:rPr>
                <w:color w:val="000000"/>
                <w:kern w:val="0"/>
              </w:rPr>
              <w:t>在产品</w:t>
            </w:r>
          </w:p>
        </w:tc>
        <w:tc>
          <w:tcPr>
            <w:tcW w:w="2226" w:type="dxa"/>
            <w:gridSpan w:val="2"/>
            <w:tcMar>
              <w:top w:w="0" w:type="dxa"/>
              <w:bottom w:w="0" w:type="dxa"/>
            </w:tcMar>
            <w:vAlign w:val="center"/>
          </w:tcPr>
          <w:p w14:paraId="3FB003A5" w14:textId="77777777" w:rsidR="004B0883" w:rsidRDefault="004B0883">
            <w:pPr>
              <w:adjustRightInd w:val="0"/>
              <w:snapToGrid w:val="0"/>
              <w:jc w:val="right"/>
              <w:rPr>
                <w:color w:val="000000"/>
                <w:kern w:val="0"/>
              </w:rPr>
            </w:pPr>
            <w:r>
              <w:rPr>
                <w:rFonts w:eastAsia="仿宋_GB2312"/>
                <w:color w:val="000000"/>
              </w:rPr>
              <w:t>1,183.63</w:t>
            </w:r>
          </w:p>
        </w:tc>
        <w:tc>
          <w:tcPr>
            <w:tcW w:w="1923" w:type="dxa"/>
            <w:tcMar>
              <w:top w:w="0" w:type="dxa"/>
              <w:bottom w:w="0" w:type="dxa"/>
            </w:tcMar>
            <w:vAlign w:val="center"/>
          </w:tcPr>
          <w:p w14:paraId="5E88AA67" w14:textId="77777777" w:rsidR="004B0883" w:rsidRDefault="004B0883">
            <w:pPr>
              <w:widowControl w:val="0"/>
              <w:adjustRightInd w:val="0"/>
              <w:snapToGrid w:val="0"/>
              <w:jc w:val="right"/>
              <w:rPr>
                <w:color w:val="000000"/>
              </w:rPr>
            </w:pPr>
            <w:r>
              <w:rPr>
                <w:rFonts w:hint="eastAsia"/>
                <w:color w:val="000000"/>
              </w:rPr>
              <w:t>-</w:t>
            </w:r>
          </w:p>
        </w:tc>
        <w:tc>
          <w:tcPr>
            <w:tcW w:w="1941" w:type="dxa"/>
            <w:gridSpan w:val="2"/>
            <w:tcMar>
              <w:top w:w="0" w:type="dxa"/>
              <w:bottom w:w="0" w:type="dxa"/>
            </w:tcMar>
            <w:vAlign w:val="center"/>
          </w:tcPr>
          <w:p w14:paraId="3BFE2CFA" w14:textId="77777777" w:rsidR="004B0883" w:rsidRDefault="004B0883">
            <w:pPr>
              <w:adjustRightInd w:val="0"/>
              <w:snapToGrid w:val="0"/>
              <w:jc w:val="right"/>
              <w:rPr>
                <w:color w:val="000000"/>
                <w:kern w:val="0"/>
              </w:rPr>
            </w:pPr>
            <w:r>
              <w:rPr>
                <w:rFonts w:eastAsia="仿宋_GB2312"/>
                <w:color w:val="000000"/>
              </w:rPr>
              <w:t>1,183.63</w:t>
            </w:r>
          </w:p>
        </w:tc>
      </w:tr>
      <w:tr w:rsidR="004B0883" w14:paraId="3C8B8732" w14:textId="77777777">
        <w:trPr>
          <w:trHeight w:val="397"/>
          <w:jc w:val="center"/>
        </w:trPr>
        <w:tc>
          <w:tcPr>
            <w:tcW w:w="2436" w:type="dxa"/>
            <w:tcMar>
              <w:top w:w="0" w:type="dxa"/>
              <w:bottom w:w="0" w:type="dxa"/>
            </w:tcMar>
            <w:vAlign w:val="center"/>
          </w:tcPr>
          <w:p w14:paraId="069F407F" w14:textId="77777777" w:rsidR="004B0883" w:rsidRDefault="004B0883">
            <w:pPr>
              <w:adjustRightInd w:val="0"/>
              <w:snapToGrid w:val="0"/>
              <w:rPr>
                <w:color w:val="000000"/>
                <w:kern w:val="0"/>
              </w:rPr>
            </w:pPr>
            <w:r>
              <w:rPr>
                <w:color w:val="000000"/>
                <w:kern w:val="0"/>
              </w:rPr>
              <w:t>库存商品</w:t>
            </w:r>
          </w:p>
        </w:tc>
        <w:tc>
          <w:tcPr>
            <w:tcW w:w="2226" w:type="dxa"/>
            <w:gridSpan w:val="2"/>
            <w:tcMar>
              <w:top w:w="0" w:type="dxa"/>
              <w:bottom w:w="0" w:type="dxa"/>
            </w:tcMar>
            <w:vAlign w:val="center"/>
          </w:tcPr>
          <w:p w14:paraId="2679FF23" w14:textId="77777777" w:rsidR="004B0883" w:rsidRDefault="004B0883">
            <w:pPr>
              <w:adjustRightInd w:val="0"/>
              <w:snapToGrid w:val="0"/>
              <w:jc w:val="right"/>
              <w:rPr>
                <w:color w:val="000000"/>
                <w:kern w:val="0"/>
              </w:rPr>
            </w:pPr>
            <w:r>
              <w:rPr>
                <w:rFonts w:eastAsia="仿宋_GB2312"/>
                <w:color w:val="000000"/>
              </w:rPr>
              <w:t>2,925.36</w:t>
            </w:r>
          </w:p>
        </w:tc>
        <w:tc>
          <w:tcPr>
            <w:tcW w:w="1923" w:type="dxa"/>
            <w:tcMar>
              <w:top w:w="0" w:type="dxa"/>
              <w:bottom w:w="0" w:type="dxa"/>
            </w:tcMar>
            <w:vAlign w:val="center"/>
          </w:tcPr>
          <w:p w14:paraId="313DA1A1" w14:textId="77777777" w:rsidR="004B0883" w:rsidRDefault="004B0883">
            <w:pPr>
              <w:widowControl w:val="0"/>
              <w:adjustRightInd w:val="0"/>
              <w:snapToGrid w:val="0"/>
              <w:jc w:val="right"/>
              <w:rPr>
                <w:color w:val="000000"/>
              </w:rPr>
            </w:pPr>
            <w:r>
              <w:rPr>
                <w:color w:val="000000"/>
              </w:rPr>
              <w:t>186.68</w:t>
            </w:r>
          </w:p>
        </w:tc>
        <w:tc>
          <w:tcPr>
            <w:tcW w:w="1941" w:type="dxa"/>
            <w:gridSpan w:val="2"/>
            <w:tcMar>
              <w:top w:w="0" w:type="dxa"/>
              <w:bottom w:w="0" w:type="dxa"/>
            </w:tcMar>
            <w:vAlign w:val="center"/>
          </w:tcPr>
          <w:p w14:paraId="246E7502" w14:textId="77777777" w:rsidR="004B0883" w:rsidRDefault="004B0883">
            <w:pPr>
              <w:adjustRightInd w:val="0"/>
              <w:snapToGrid w:val="0"/>
              <w:jc w:val="right"/>
              <w:rPr>
                <w:color w:val="000000"/>
                <w:kern w:val="0"/>
              </w:rPr>
            </w:pPr>
            <w:r>
              <w:rPr>
                <w:rFonts w:eastAsia="仿宋_GB2312"/>
                <w:color w:val="000000"/>
              </w:rPr>
              <w:t>2,738.67</w:t>
            </w:r>
          </w:p>
        </w:tc>
      </w:tr>
      <w:tr w:rsidR="004B0883" w14:paraId="02B1AABD" w14:textId="77777777">
        <w:trPr>
          <w:trHeight w:val="397"/>
          <w:jc w:val="center"/>
        </w:trPr>
        <w:tc>
          <w:tcPr>
            <w:tcW w:w="2436" w:type="dxa"/>
            <w:tcMar>
              <w:top w:w="0" w:type="dxa"/>
              <w:bottom w:w="0" w:type="dxa"/>
            </w:tcMar>
            <w:vAlign w:val="center"/>
          </w:tcPr>
          <w:p w14:paraId="4FCE6F37" w14:textId="77777777" w:rsidR="004B0883" w:rsidRDefault="004B0883">
            <w:pPr>
              <w:adjustRightInd w:val="0"/>
              <w:snapToGrid w:val="0"/>
              <w:rPr>
                <w:color w:val="000000"/>
                <w:kern w:val="0"/>
              </w:rPr>
            </w:pPr>
            <w:r>
              <w:rPr>
                <w:rFonts w:hint="eastAsia"/>
                <w:color w:val="000000"/>
                <w:kern w:val="0"/>
              </w:rPr>
              <w:t>周转材料</w:t>
            </w:r>
          </w:p>
        </w:tc>
        <w:tc>
          <w:tcPr>
            <w:tcW w:w="2226" w:type="dxa"/>
            <w:gridSpan w:val="2"/>
            <w:tcMar>
              <w:top w:w="0" w:type="dxa"/>
              <w:bottom w:w="0" w:type="dxa"/>
            </w:tcMar>
            <w:vAlign w:val="center"/>
          </w:tcPr>
          <w:p w14:paraId="3D8D79F5" w14:textId="77777777" w:rsidR="004B0883" w:rsidRDefault="004B0883">
            <w:pPr>
              <w:adjustRightInd w:val="0"/>
              <w:snapToGrid w:val="0"/>
              <w:jc w:val="right"/>
              <w:rPr>
                <w:color w:val="000000"/>
                <w:kern w:val="0"/>
              </w:rPr>
            </w:pPr>
            <w:r>
              <w:rPr>
                <w:rFonts w:eastAsia="仿宋_GB2312"/>
                <w:color w:val="000000"/>
              </w:rPr>
              <w:t>1,260.50</w:t>
            </w:r>
          </w:p>
        </w:tc>
        <w:tc>
          <w:tcPr>
            <w:tcW w:w="1923" w:type="dxa"/>
            <w:tcMar>
              <w:top w:w="0" w:type="dxa"/>
              <w:bottom w:w="0" w:type="dxa"/>
            </w:tcMar>
            <w:vAlign w:val="center"/>
          </w:tcPr>
          <w:p w14:paraId="778C71D6" w14:textId="77777777" w:rsidR="004B0883" w:rsidRDefault="004B0883">
            <w:pPr>
              <w:widowControl w:val="0"/>
              <w:adjustRightInd w:val="0"/>
              <w:snapToGrid w:val="0"/>
              <w:jc w:val="right"/>
              <w:rPr>
                <w:color w:val="000000"/>
              </w:rPr>
            </w:pPr>
            <w:r>
              <w:rPr>
                <w:rFonts w:hint="eastAsia"/>
                <w:color w:val="000000"/>
              </w:rPr>
              <w:t>-</w:t>
            </w:r>
          </w:p>
        </w:tc>
        <w:tc>
          <w:tcPr>
            <w:tcW w:w="1941" w:type="dxa"/>
            <w:gridSpan w:val="2"/>
            <w:tcMar>
              <w:top w:w="0" w:type="dxa"/>
              <w:bottom w:w="0" w:type="dxa"/>
            </w:tcMar>
            <w:vAlign w:val="center"/>
          </w:tcPr>
          <w:p w14:paraId="61F803AB" w14:textId="77777777" w:rsidR="004B0883" w:rsidRDefault="004B0883">
            <w:pPr>
              <w:adjustRightInd w:val="0"/>
              <w:snapToGrid w:val="0"/>
              <w:jc w:val="right"/>
              <w:rPr>
                <w:color w:val="000000"/>
                <w:kern w:val="0"/>
              </w:rPr>
            </w:pPr>
            <w:r>
              <w:rPr>
                <w:rFonts w:eastAsia="仿宋_GB2312"/>
                <w:color w:val="000000"/>
              </w:rPr>
              <w:t>1,260.50</w:t>
            </w:r>
          </w:p>
        </w:tc>
      </w:tr>
      <w:tr w:rsidR="004B0883" w14:paraId="4742B4FF" w14:textId="77777777">
        <w:trPr>
          <w:trHeight w:val="397"/>
          <w:jc w:val="center"/>
        </w:trPr>
        <w:tc>
          <w:tcPr>
            <w:tcW w:w="2436" w:type="dxa"/>
            <w:tcMar>
              <w:top w:w="0" w:type="dxa"/>
              <w:bottom w:w="0" w:type="dxa"/>
            </w:tcMar>
            <w:vAlign w:val="center"/>
          </w:tcPr>
          <w:p w14:paraId="74EFD28C" w14:textId="77777777" w:rsidR="004B0883" w:rsidRDefault="004B0883">
            <w:pPr>
              <w:adjustRightInd w:val="0"/>
              <w:snapToGrid w:val="0"/>
              <w:rPr>
                <w:color w:val="000000"/>
                <w:kern w:val="0"/>
              </w:rPr>
            </w:pPr>
            <w:r>
              <w:rPr>
                <w:rFonts w:hint="eastAsia"/>
                <w:color w:val="000000"/>
                <w:kern w:val="0"/>
              </w:rPr>
              <w:t>发出商品</w:t>
            </w:r>
          </w:p>
        </w:tc>
        <w:tc>
          <w:tcPr>
            <w:tcW w:w="2226" w:type="dxa"/>
            <w:gridSpan w:val="2"/>
            <w:tcMar>
              <w:top w:w="0" w:type="dxa"/>
              <w:bottom w:w="0" w:type="dxa"/>
            </w:tcMar>
            <w:vAlign w:val="center"/>
          </w:tcPr>
          <w:p w14:paraId="2F6D466A" w14:textId="77777777" w:rsidR="004B0883" w:rsidRDefault="004B0883">
            <w:pPr>
              <w:adjustRightInd w:val="0"/>
              <w:snapToGrid w:val="0"/>
              <w:jc w:val="right"/>
              <w:rPr>
                <w:color w:val="000000"/>
                <w:kern w:val="0"/>
              </w:rPr>
            </w:pPr>
            <w:r>
              <w:rPr>
                <w:rFonts w:eastAsia="仿宋_GB2312"/>
                <w:color w:val="000000"/>
              </w:rPr>
              <w:t>750.71</w:t>
            </w:r>
          </w:p>
        </w:tc>
        <w:tc>
          <w:tcPr>
            <w:tcW w:w="1923" w:type="dxa"/>
            <w:tcMar>
              <w:top w:w="0" w:type="dxa"/>
              <w:bottom w:w="0" w:type="dxa"/>
            </w:tcMar>
            <w:vAlign w:val="center"/>
          </w:tcPr>
          <w:p w14:paraId="0E331D2A" w14:textId="77777777" w:rsidR="004B0883" w:rsidRDefault="004B0883">
            <w:pPr>
              <w:widowControl w:val="0"/>
              <w:adjustRightInd w:val="0"/>
              <w:snapToGrid w:val="0"/>
              <w:jc w:val="right"/>
              <w:rPr>
                <w:color w:val="000000"/>
              </w:rPr>
            </w:pPr>
            <w:r>
              <w:rPr>
                <w:rFonts w:hint="eastAsia"/>
                <w:color w:val="000000"/>
              </w:rPr>
              <w:t>-</w:t>
            </w:r>
          </w:p>
        </w:tc>
        <w:tc>
          <w:tcPr>
            <w:tcW w:w="1941" w:type="dxa"/>
            <w:gridSpan w:val="2"/>
            <w:tcMar>
              <w:top w:w="0" w:type="dxa"/>
              <w:bottom w:w="0" w:type="dxa"/>
            </w:tcMar>
            <w:vAlign w:val="center"/>
          </w:tcPr>
          <w:p w14:paraId="59F280C4" w14:textId="77777777" w:rsidR="004B0883" w:rsidRDefault="004B0883">
            <w:pPr>
              <w:adjustRightInd w:val="0"/>
              <w:snapToGrid w:val="0"/>
              <w:jc w:val="right"/>
              <w:rPr>
                <w:color w:val="000000"/>
                <w:kern w:val="0"/>
              </w:rPr>
            </w:pPr>
            <w:r>
              <w:rPr>
                <w:rFonts w:eastAsia="仿宋_GB2312"/>
                <w:color w:val="000000"/>
              </w:rPr>
              <w:t>750.71</w:t>
            </w:r>
          </w:p>
        </w:tc>
      </w:tr>
      <w:tr w:rsidR="004B0883" w14:paraId="20ED3B3E" w14:textId="77777777">
        <w:trPr>
          <w:trHeight w:val="397"/>
          <w:jc w:val="center"/>
        </w:trPr>
        <w:tc>
          <w:tcPr>
            <w:tcW w:w="2436" w:type="dxa"/>
            <w:tcMar>
              <w:top w:w="0" w:type="dxa"/>
              <w:bottom w:w="0" w:type="dxa"/>
            </w:tcMar>
            <w:vAlign w:val="center"/>
          </w:tcPr>
          <w:p w14:paraId="652673A6" w14:textId="77777777" w:rsidR="004B0883" w:rsidRDefault="004B0883">
            <w:pPr>
              <w:adjustRightInd w:val="0"/>
              <w:snapToGrid w:val="0"/>
              <w:rPr>
                <w:color w:val="000000"/>
                <w:kern w:val="0"/>
              </w:rPr>
            </w:pPr>
            <w:r>
              <w:rPr>
                <w:color w:val="000000"/>
                <w:kern w:val="0"/>
              </w:rPr>
              <w:t>委托加工物资</w:t>
            </w:r>
          </w:p>
        </w:tc>
        <w:tc>
          <w:tcPr>
            <w:tcW w:w="2226" w:type="dxa"/>
            <w:gridSpan w:val="2"/>
            <w:tcMar>
              <w:top w:w="0" w:type="dxa"/>
              <w:bottom w:w="0" w:type="dxa"/>
            </w:tcMar>
            <w:vAlign w:val="center"/>
          </w:tcPr>
          <w:p w14:paraId="0F2F9F6B" w14:textId="77777777" w:rsidR="004B0883" w:rsidRDefault="004B0883">
            <w:pPr>
              <w:adjustRightInd w:val="0"/>
              <w:snapToGrid w:val="0"/>
              <w:jc w:val="right"/>
              <w:rPr>
                <w:color w:val="000000"/>
                <w:kern w:val="0"/>
              </w:rPr>
            </w:pPr>
            <w:r>
              <w:rPr>
                <w:rFonts w:eastAsia="仿宋_GB2312"/>
                <w:color w:val="000000"/>
              </w:rPr>
              <w:t>287.98</w:t>
            </w:r>
          </w:p>
        </w:tc>
        <w:tc>
          <w:tcPr>
            <w:tcW w:w="1923" w:type="dxa"/>
            <w:tcMar>
              <w:top w:w="0" w:type="dxa"/>
              <w:bottom w:w="0" w:type="dxa"/>
            </w:tcMar>
            <w:vAlign w:val="center"/>
          </w:tcPr>
          <w:p w14:paraId="310385DE" w14:textId="77777777" w:rsidR="004B0883" w:rsidRDefault="004B0883">
            <w:pPr>
              <w:widowControl w:val="0"/>
              <w:adjustRightInd w:val="0"/>
              <w:snapToGrid w:val="0"/>
              <w:jc w:val="right"/>
            </w:pPr>
            <w:r>
              <w:rPr>
                <w:rFonts w:hint="eastAsia"/>
              </w:rPr>
              <w:t>-</w:t>
            </w:r>
          </w:p>
        </w:tc>
        <w:tc>
          <w:tcPr>
            <w:tcW w:w="1941" w:type="dxa"/>
            <w:gridSpan w:val="2"/>
            <w:tcMar>
              <w:top w:w="0" w:type="dxa"/>
              <w:bottom w:w="0" w:type="dxa"/>
            </w:tcMar>
            <w:vAlign w:val="center"/>
          </w:tcPr>
          <w:p w14:paraId="6F335FC0" w14:textId="77777777" w:rsidR="004B0883" w:rsidRDefault="004B0883">
            <w:pPr>
              <w:adjustRightInd w:val="0"/>
              <w:snapToGrid w:val="0"/>
              <w:jc w:val="right"/>
              <w:rPr>
                <w:color w:val="000000"/>
                <w:kern w:val="0"/>
              </w:rPr>
            </w:pPr>
            <w:r>
              <w:rPr>
                <w:rFonts w:eastAsia="仿宋_GB2312"/>
                <w:color w:val="000000"/>
              </w:rPr>
              <w:t>287.98</w:t>
            </w:r>
          </w:p>
        </w:tc>
      </w:tr>
      <w:tr w:rsidR="004B0883" w14:paraId="6359DB04" w14:textId="77777777">
        <w:trPr>
          <w:trHeight w:val="397"/>
          <w:jc w:val="center"/>
        </w:trPr>
        <w:tc>
          <w:tcPr>
            <w:tcW w:w="2436" w:type="dxa"/>
            <w:tcMar>
              <w:top w:w="0" w:type="dxa"/>
              <w:bottom w:w="0" w:type="dxa"/>
            </w:tcMar>
            <w:vAlign w:val="center"/>
          </w:tcPr>
          <w:p w14:paraId="480681FB" w14:textId="77777777" w:rsidR="004B0883" w:rsidRDefault="004B0883">
            <w:pPr>
              <w:adjustRightInd w:val="0"/>
              <w:snapToGrid w:val="0"/>
              <w:rPr>
                <w:color w:val="000000"/>
                <w:kern w:val="0"/>
              </w:rPr>
            </w:pPr>
            <w:r>
              <w:rPr>
                <w:color w:val="000000"/>
                <w:kern w:val="0"/>
              </w:rPr>
              <w:t>自制半成品</w:t>
            </w:r>
          </w:p>
        </w:tc>
        <w:tc>
          <w:tcPr>
            <w:tcW w:w="2226" w:type="dxa"/>
            <w:gridSpan w:val="2"/>
            <w:tcMar>
              <w:top w:w="0" w:type="dxa"/>
              <w:bottom w:w="0" w:type="dxa"/>
            </w:tcMar>
            <w:vAlign w:val="center"/>
          </w:tcPr>
          <w:p w14:paraId="3CB54676" w14:textId="77777777" w:rsidR="004B0883" w:rsidRDefault="004B0883">
            <w:pPr>
              <w:adjustRightInd w:val="0"/>
              <w:snapToGrid w:val="0"/>
              <w:jc w:val="right"/>
              <w:rPr>
                <w:color w:val="000000"/>
                <w:kern w:val="0"/>
              </w:rPr>
            </w:pPr>
            <w:r>
              <w:rPr>
                <w:rFonts w:eastAsia="仿宋_GB2312"/>
                <w:color w:val="000000"/>
              </w:rPr>
              <w:t>3,195.51</w:t>
            </w:r>
          </w:p>
        </w:tc>
        <w:tc>
          <w:tcPr>
            <w:tcW w:w="1923" w:type="dxa"/>
            <w:tcMar>
              <w:top w:w="0" w:type="dxa"/>
              <w:bottom w:w="0" w:type="dxa"/>
            </w:tcMar>
            <w:vAlign w:val="center"/>
          </w:tcPr>
          <w:p w14:paraId="115CF343" w14:textId="77777777" w:rsidR="004B0883" w:rsidRDefault="004B0883">
            <w:pPr>
              <w:widowControl w:val="0"/>
              <w:adjustRightInd w:val="0"/>
              <w:snapToGrid w:val="0"/>
              <w:jc w:val="right"/>
            </w:pPr>
            <w:r>
              <w:t>114.81</w:t>
            </w:r>
          </w:p>
        </w:tc>
        <w:tc>
          <w:tcPr>
            <w:tcW w:w="1941" w:type="dxa"/>
            <w:gridSpan w:val="2"/>
            <w:tcMar>
              <w:top w:w="0" w:type="dxa"/>
              <w:bottom w:w="0" w:type="dxa"/>
            </w:tcMar>
            <w:vAlign w:val="center"/>
          </w:tcPr>
          <w:p w14:paraId="35ED1560" w14:textId="77777777" w:rsidR="004B0883" w:rsidRDefault="004B0883">
            <w:pPr>
              <w:adjustRightInd w:val="0"/>
              <w:snapToGrid w:val="0"/>
              <w:jc w:val="right"/>
              <w:rPr>
                <w:color w:val="000000"/>
                <w:kern w:val="0"/>
              </w:rPr>
            </w:pPr>
            <w:r>
              <w:rPr>
                <w:rFonts w:eastAsia="仿宋_GB2312"/>
                <w:color w:val="000000"/>
              </w:rPr>
              <w:t>3,080.70</w:t>
            </w:r>
          </w:p>
        </w:tc>
      </w:tr>
      <w:tr w:rsidR="004B0883" w14:paraId="516132CA" w14:textId="77777777">
        <w:trPr>
          <w:trHeight w:val="397"/>
          <w:jc w:val="center"/>
        </w:trPr>
        <w:tc>
          <w:tcPr>
            <w:tcW w:w="2436" w:type="dxa"/>
            <w:tcMar>
              <w:top w:w="0" w:type="dxa"/>
              <w:bottom w:w="0" w:type="dxa"/>
            </w:tcMar>
            <w:vAlign w:val="center"/>
          </w:tcPr>
          <w:p w14:paraId="09340BD0" w14:textId="77777777" w:rsidR="004B0883" w:rsidRDefault="004B0883">
            <w:pPr>
              <w:widowControl w:val="0"/>
              <w:adjustRightInd w:val="0"/>
              <w:snapToGrid w:val="0"/>
              <w:jc w:val="center"/>
              <w:rPr>
                <w:b/>
                <w:bCs/>
                <w:kern w:val="0"/>
              </w:rPr>
            </w:pPr>
            <w:r>
              <w:rPr>
                <w:b/>
                <w:bCs/>
              </w:rPr>
              <w:t>合计</w:t>
            </w:r>
          </w:p>
        </w:tc>
        <w:tc>
          <w:tcPr>
            <w:tcW w:w="2226" w:type="dxa"/>
            <w:gridSpan w:val="2"/>
            <w:tcMar>
              <w:top w:w="0" w:type="dxa"/>
              <w:bottom w:w="0" w:type="dxa"/>
            </w:tcMar>
            <w:vAlign w:val="center"/>
          </w:tcPr>
          <w:p w14:paraId="2CB5D87F" w14:textId="77777777" w:rsidR="004B0883" w:rsidRDefault="004B0883">
            <w:pPr>
              <w:adjustRightInd w:val="0"/>
              <w:snapToGrid w:val="0"/>
              <w:jc w:val="right"/>
              <w:rPr>
                <w:b/>
                <w:bCs/>
                <w:color w:val="000000"/>
                <w:kern w:val="0"/>
              </w:rPr>
            </w:pPr>
            <w:r>
              <w:rPr>
                <w:b/>
                <w:bCs/>
                <w:color w:val="000000"/>
                <w:kern w:val="0"/>
              </w:rPr>
              <w:t>11,560.49</w:t>
            </w:r>
          </w:p>
        </w:tc>
        <w:tc>
          <w:tcPr>
            <w:tcW w:w="1923" w:type="dxa"/>
            <w:tcMar>
              <w:top w:w="0" w:type="dxa"/>
              <w:bottom w:w="0" w:type="dxa"/>
            </w:tcMar>
            <w:vAlign w:val="center"/>
          </w:tcPr>
          <w:p w14:paraId="573F40E0" w14:textId="77777777" w:rsidR="004B0883" w:rsidRDefault="004B0883">
            <w:pPr>
              <w:widowControl w:val="0"/>
              <w:adjustRightInd w:val="0"/>
              <w:snapToGrid w:val="0"/>
              <w:jc w:val="right"/>
              <w:rPr>
                <w:b/>
                <w:bCs/>
                <w:color w:val="000000"/>
              </w:rPr>
            </w:pPr>
            <w:r>
              <w:rPr>
                <w:b/>
                <w:bCs/>
                <w:color w:val="000000"/>
              </w:rPr>
              <w:t>308.27</w:t>
            </w:r>
          </w:p>
        </w:tc>
        <w:tc>
          <w:tcPr>
            <w:tcW w:w="1941" w:type="dxa"/>
            <w:gridSpan w:val="2"/>
            <w:tcMar>
              <w:top w:w="0" w:type="dxa"/>
              <w:bottom w:w="0" w:type="dxa"/>
            </w:tcMar>
            <w:vAlign w:val="center"/>
          </w:tcPr>
          <w:p w14:paraId="30A8A8D1" w14:textId="77777777" w:rsidR="004B0883" w:rsidRDefault="004B0883">
            <w:pPr>
              <w:widowControl w:val="0"/>
              <w:adjustRightInd w:val="0"/>
              <w:snapToGrid w:val="0"/>
              <w:jc w:val="right"/>
              <w:rPr>
                <w:b/>
                <w:bCs/>
                <w:color w:val="000000"/>
              </w:rPr>
            </w:pPr>
            <w:r>
              <w:rPr>
                <w:b/>
                <w:bCs/>
                <w:color w:val="000000"/>
              </w:rPr>
              <w:t>11,252.22</w:t>
            </w:r>
          </w:p>
        </w:tc>
      </w:tr>
      <w:tr w:rsidR="004B0883" w14:paraId="0D304BCC" w14:textId="77777777">
        <w:trPr>
          <w:trHeight w:val="397"/>
          <w:jc w:val="center"/>
        </w:trPr>
        <w:tc>
          <w:tcPr>
            <w:tcW w:w="2436" w:type="dxa"/>
            <w:vMerge w:val="restart"/>
            <w:shd w:val="clear" w:color="auto" w:fill="D9D9D9"/>
            <w:tcMar>
              <w:top w:w="0" w:type="dxa"/>
              <w:bottom w:w="0" w:type="dxa"/>
            </w:tcMar>
            <w:vAlign w:val="center"/>
          </w:tcPr>
          <w:p w14:paraId="18E6598F" w14:textId="77777777" w:rsidR="004B0883" w:rsidRDefault="004B0883">
            <w:pPr>
              <w:keepNext/>
              <w:widowControl w:val="0"/>
              <w:adjustRightInd w:val="0"/>
              <w:snapToGrid w:val="0"/>
              <w:jc w:val="center"/>
              <w:rPr>
                <w:b/>
                <w:bCs/>
                <w:color w:val="000000"/>
                <w:kern w:val="0"/>
              </w:rPr>
            </w:pPr>
            <w:r>
              <w:rPr>
                <w:b/>
                <w:bCs/>
                <w:color w:val="000000"/>
                <w:kern w:val="0"/>
              </w:rPr>
              <w:t>项目</w:t>
            </w:r>
          </w:p>
        </w:tc>
        <w:tc>
          <w:tcPr>
            <w:tcW w:w="6090" w:type="dxa"/>
            <w:gridSpan w:val="5"/>
            <w:shd w:val="clear" w:color="auto" w:fill="D9D9D9"/>
            <w:tcMar>
              <w:top w:w="0" w:type="dxa"/>
              <w:bottom w:w="0" w:type="dxa"/>
            </w:tcMar>
            <w:vAlign w:val="center"/>
          </w:tcPr>
          <w:p w14:paraId="5806852F" w14:textId="77777777" w:rsidR="004B0883" w:rsidRDefault="004B0883">
            <w:pPr>
              <w:keepNext/>
              <w:widowControl w:val="0"/>
              <w:adjustRightInd w:val="0"/>
              <w:snapToGrid w:val="0"/>
              <w:jc w:val="center"/>
              <w:rPr>
                <w:b/>
                <w:bCs/>
                <w:color w:val="000000"/>
                <w:kern w:val="0"/>
              </w:rPr>
            </w:pPr>
            <w:r>
              <w:rPr>
                <w:b/>
                <w:bCs/>
                <w:color w:val="000000"/>
                <w:kern w:val="0"/>
              </w:rPr>
              <w:t>2020.12.31</w:t>
            </w:r>
          </w:p>
        </w:tc>
      </w:tr>
      <w:tr w:rsidR="004B0883" w14:paraId="1E460765" w14:textId="77777777">
        <w:trPr>
          <w:trHeight w:val="397"/>
          <w:jc w:val="center"/>
        </w:trPr>
        <w:tc>
          <w:tcPr>
            <w:tcW w:w="2436" w:type="dxa"/>
            <w:vMerge/>
            <w:shd w:val="clear" w:color="auto" w:fill="D9D9D9"/>
            <w:tcMar>
              <w:top w:w="0" w:type="dxa"/>
              <w:bottom w:w="0" w:type="dxa"/>
            </w:tcMar>
            <w:vAlign w:val="center"/>
          </w:tcPr>
          <w:p w14:paraId="10D87DEB" w14:textId="77777777" w:rsidR="004B0883" w:rsidRDefault="004B0883">
            <w:pPr>
              <w:keepNext/>
              <w:widowControl w:val="0"/>
              <w:adjustRightInd w:val="0"/>
              <w:snapToGrid w:val="0"/>
              <w:rPr>
                <w:b/>
                <w:bCs/>
                <w:color w:val="000000"/>
                <w:kern w:val="0"/>
              </w:rPr>
            </w:pPr>
          </w:p>
        </w:tc>
        <w:tc>
          <w:tcPr>
            <w:tcW w:w="2226" w:type="dxa"/>
            <w:gridSpan w:val="2"/>
            <w:shd w:val="clear" w:color="auto" w:fill="D9D9D9"/>
            <w:tcMar>
              <w:top w:w="0" w:type="dxa"/>
              <w:bottom w:w="0" w:type="dxa"/>
            </w:tcMar>
            <w:vAlign w:val="center"/>
          </w:tcPr>
          <w:p w14:paraId="5C636BAC" w14:textId="77777777" w:rsidR="004B0883" w:rsidRDefault="004B0883">
            <w:pPr>
              <w:keepNext/>
              <w:widowControl w:val="0"/>
              <w:adjustRightInd w:val="0"/>
              <w:snapToGrid w:val="0"/>
              <w:jc w:val="center"/>
              <w:rPr>
                <w:b/>
                <w:bCs/>
                <w:color w:val="000000"/>
                <w:kern w:val="0"/>
              </w:rPr>
            </w:pPr>
            <w:r>
              <w:rPr>
                <w:b/>
                <w:bCs/>
                <w:color w:val="000000"/>
                <w:kern w:val="0"/>
              </w:rPr>
              <w:t>账面余额</w:t>
            </w:r>
          </w:p>
        </w:tc>
        <w:tc>
          <w:tcPr>
            <w:tcW w:w="1923" w:type="dxa"/>
            <w:shd w:val="clear" w:color="auto" w:fill="D9D9D9"/>
            <w:tcMar>
              <w:top w:w="0" w:type="dxa"/>
              <w:bottom w:w="0" w:type="dxa"/>
            </w:tcMar>
            <w:vAlign w:val="center"/>
          </w:tcPr>
          <w:p w14:paraId="6D269460" w14:textId="77777777" w:rsidR="004B0883" w:rsidRDefault="004B0883">
            <w:pPr>
              <w:keepNext/>
              <w:widowControl w:val="0"/>
              <w:adjustRightInd w:val="0"/>
              <w:snapToGrid w:val="0"/>
              <w:jc w:val="center"/>
              <w:rPr>
                <w:rFonts w:hint="eastAsia"/>
                <w:b/>
                <w:bCs/>
                <w:color w:val="000000"/>
                <w:kern w:val="0"/>
              </w:rPr>
            </w:pPr>
            <w:r>
              <w:rPr>
                <w:b/>
                <w:bCs/>
                <w:color w:val="000000"/>
                <w:kern w:val="0"/>
              </w:rPr>
              <w:t>存货跌价准备</w:t>
            </w:r>
          </w:p>
        </w:tc>
        <w:tc>
          <w:tcPr>
            <w:tcW w:w="1941" w:type="dxa"/>
            <w:gridSpan w:val="2"/>
            <w:shd w:val="clear" w:color="auto" w:fill="D9D9D9"/>
            <w:tcMar>
              <w:top w:w="0" w:type="dxa"/>
              <w:bottom w:w="0" w:type="dxa"/>
            </w:tcMar>
            <w:vAlign w:val="center"/>
          </w:tcPr>
          <w:p w14:paraId="7C17207B" w14:textId="77777777" w:rsidR="004B0883" w:rsidRDefault="004B0883">
            <w:pPr>
              <w:keepNext/>
              <w:widowControl w:val="0"/>
              <w:adjustRightInd w:val="0"/>
              <w:snapToGrid w:val="0"/>
              <w:jc w:val="center"/>
              <w:rPr>
                <w:b/>
                <w:bCs/>
                <w:color w:val="000000"/>
                <w:kern w:val="0"/>
              </w:rPr>
            </w:pPr>
            <w:r>
              <w:rPr>
                <w:b/>
                <w:bCs/>
                <w:color w:val="000000"/>
                <w:kern w:val="0"/>
              </w:rPr>
              <w:t>账面价值</w:t>
            </w:r>
          </w:p>
        </w:tc>
      </w:tr>
      <w:tr w:rsidR="004B0883" w14:paraId="33ABF9AA" w14:textId="77777777">
        <w:trPr>
          <w:trHeight w:val="397"/>
          <w:jc w:val="center"/>
        </w:trPr>
        <w:tc>
          <w:tcPr>
            <w:tcW w:w="2436" w:type="dxa"/>
            <w:tcMar>
              <w:top w:w="0" w:type="dxa"/>
              <w:bottom w:w="0" w:type="dxa"/>
            </w:tcMar>
            <w:vAlign w:val="center"/>
          </w:tcPr>
          <w:p w14:paraId="7F967924" w14:textId="77777777" w:rsidR="004B0883" w:rsidRDefault="004B0883">
            <w:pPr>
              <w:adjustRightInd w:val="0"/>
              <w:snapToGrid w:val="0"/>
              <w:rPr>
                <w:color w:val="000000"/>
                <w:kern w:val="0"/>
              </w:rPr>
            </w:pPr>
            <w:r>
              <w:rPr>
                <w:color w:val="000000"/>
                <w:kern w:val="0"/>
              </w:rPr>
              <w:t>原材料</w:t>
            </w:r>
          </w:p>
        </w:tc>
        <w:tc>
          <w:tcPr>
            <w:tcW w:w="2226" w:type="dxa"/>
            <w:gridSpan w:val="2"/>
            <w:tcMar>
              <w:top w:w="0" w:type="dxa"/>
              <w:bottom w:w="0" w:type="dxa"/>
            </w:tcMar>
            <w:vAlign w:val="center"/>
          </w:tcPr>
          <w:p w14:paraId="4AB256E9" w14:textId="77777777" w:rsidR="004B0883" w:rsidRDefault="004B0883">
            <w:pPr>
              <w:adjustRightInd w:val="0"/>
              <w:snapToGrid w:val="0"/>
              <w:jc w:val="right"/>
              <w:rPr>
                <w:color w:val="000000"/>
                <w:kern w:val="0"/>
              </w:rPr>
            </w:pPr>
            <w:r>
              <w:rPr>
                <w:rFonts w:eastAsia="仿宋_GB2312"/>
                <w:color w:val="000000"/>
              </w:rPr>
              <w:t>1,625.58</w:t>
            </w:r>
          </w:p>
        </w:tc>
        <w:tc>
          <w:tcPr>
            <w:tcW w:w="1923" w:type="dxa"/>
            <w:tcMar>
              <w:top w:w="0" w:type="dxa"/>
              <w:bottom w:w="0" w:type="dxa"/>
            </w:tcMar>
            <w:vAlign w:val="center"/>
          </w:tcPr>
          <w:p w14:paraId="36BCF3CC" w14:textId="77777777" w:rsidR="004B0883" w:rsidRDefault="004B0883">
            <w:pPr>
              <w:widowControl w:val="0"/>
              <w:adjustRightInd w:val="0"/>
              <w:snapToGrid w:val="0"/>
              <w:jc w:val="right"/>
              <w:rPr>
                <w:color w:val="000000"/>
              </w:rPr>
            </w:pPr>
            <w:r>
              <w:rPr>
                <w:color w:val="000000"/>
              </w:rPr>
              <w:t>0.75</w:t>
            </w:r>
          </w:p>
        </w:tc>
        <w:tc>
          <w:tcPr>
            <w:tcW w:w="1941" w:type="dxa"/>
            <w:gridSpan w:val="2"/>
            <w:tcMar>
              <w:top w:w="0" w:type="dxa"/>
              <w:bottom w:w="0" w:type="dxa"/>
            </w:tcMar>
            <w:vAlign w:val="center"/>
          </w:tcPr>
          <w:p w14:paraId="09E1BA12" w14:textId="77777777" w:rsidR="004B0883" w:rsidRDefault="004B0883">
            <w:pPr>
              <w:adjustRightInd w:val="0"/>
              <w:snapToGrid w:val="0"/>
              <w:jc w:val="right"/>
              <w:rPr>
                <w:color w:val="000000"/>
                <w:kern w:val="0"/>
              </w:rPr>
            </w:pPr>
            <w:r>
              <w:rPr>
                <w:rFonts w:eastAsia="仿宋_GB2312"/>
                <w:color w:val="000000"/>
              </w:rPr>
              <w:t>1,624.83</w:t>
            </w:r>
          </w:p>
        </w:tc>
      </w:tr>
      <w:tr w:rsidR="004B0883" w14:paraId="4D3B0064" w14:textId="77777777">
        <w:trPr>
          <w:trHeight w:val="397"/>
          <w:jc w:val="center"/>
        </w:trPr>
        <w:tc>
          <w:tcPr>
            <w:tcW w:w="2436" w:type="dxa"/>
            <w:tcMar>
              <w:top w:w="0" w:type="dxa"/>
              <w:bottom w:w="0" w:type="dxa"/>
            </w:tcMar>
            <w:vAlign w:val="center"/>
          </w:tcPr>
          <w:p w14:paraId="6795C047" w14:textId="77777777" w:rsidR="004B0883" w:rsidRDefault="004B0883">
            <w:pPr>
              <w:adjustRightInd w:val="0"/>
              <w:snapToGrid w:val="0"/>
              <w:rPr>
                <w:color w:val="000000"/>
                <w:kern w:val="0"/>
              </w:rPr>
            </w:pPr>
            <w:r>
              <w:rPr>
                <w:color w:val="000000"/>
                <w:kern w:val="0"/>
              </w:rPr>
              <w:t>在产品</w:t>
            </w:r>
          </w:p>
        </w:tc>
        <w:tc>
          <w:tcPr>
            <w:tcW w:w="2226" w:type="dxa"/>
            <w:gridSpan w:val="2"/>
            <w:tcMar>
              <w:top w:w="0" w:type="dxa"/>
              <w:bottom w:w="0" w:type="dxa"/>
            </w:tcMar>
            <w:vAlign w:val="center"/>
          </w:tcPr>
          <w:p w14:paraId="76FE559B" w14:textId="77777777" w:rsidR="004B0883" w:rsidRDefault="004B0883">
            <w:pPr>
              <w:adjustRightInd w:val="0"/>
              <w:snapToGrid w:val="0"/>
              <w:jc w:val="right"/>
              <w:rPr>
                <w:color w:val="000000"/>
                <w:kern w:val="0"/>
              </w:rPr>
            </w:pPr>
            <w:r>
              <w:rPr>
                <w:rFonts w:eastAsia="仿宋_GB2312"/>
                <w:color w:val="000000"/>
              </w:rPr>
              <w:t>381.72</w:t>
            </w:r>
          </w:p>
        </w:tc>
        <w:tc>
          <w:tcPr>
            <w:tcW w:w="1923" w:type="dxa"/>
            <w:tcMar>
              <w:top w:w="0" w:type="dxa"/>
              <w:bottom w:w="0" w:type="dxa"/>
            </w:tcMar>
            <w:vAlign w:val="center"/>
          </w:tcPr>
          <w:p w14:paraId="16271824" w14:textId="77777777" w:rsidR="004B0883" w:rsidRDefault="004B0883">
            <w:pPr>
              <w:widowControl w:val="0"/>
              <w:adjustRightInd w:val="0"/>
              <w:snapToGrid w:val="0"/>
              <w:jc w:val="right"/>
              <w:rPr>
                <w:color w:val="000000"/>
              </w:rPr>
            </w:pPr>
            <w:r>
              <w:rPr>
                <w:rFonts w:hint="eastAsia"/>
                <w:color w:val="000000"/>
              </w:rPr>
              <w:t>-</w:t>
            </w:r>
          </w:p>
        </w:tc>
        <w:tc>
          <w:tcPr>
            <w:tcW w:w="1941" w:type="dxa"/>
            <w:gridSpan w:val="2"/>
            <w:tcMar>
              <w:top w:w="0" w:type="dxa"/>
              <w:bottom w:w="0" w:type="dxa"/>
            </w:tcMar>
            <w:vAlign w:val="center"/>
          </w:tcPr>
          <w:p w14:paraId="74D5E83A" w14:textId="77777777" w:rsidR="004B0883" w:rsidRDefault="004B0883">
            <w:pPr>
              <w:adjustRightInd w:val="0"/>
              <w:snapToGrid w:val="0"/>
              <w:jc w:val="right"/>
              <w:rPr>
                <w:color w:val="000000"/>
                <w:kern w:val="0"/>
              </w:rPr>
            </w:pPr>
            <w:r>
              <w:rPr>
                <w:rFonts w:eastAsia="仿宋_GB2312"/>
                <w:color w:val="000000"/>
              </w:rPr>
              <w:t>381.72</w:t>
            </w:r>
          </w:p>
        </w:tc>
      </w:tr>
      <w:tr w:rsidR="004B0883" w14:paraId="27597971" w14:textId="77777777">
        <w:trPr>
          <w:trHeight w:val="397"/>
          <w:jc w:val="center"/>
        </w:trPr>
        <w:tc>
          <w:tcPr>
            <w:tcW w:w="2436" w:type="dxa"/>
            <w:tcMar>
              <w:top w:w="0" w:type="dxa"/>
              <w:bottom w:w="0" w:type="dxa"/>
            </w:tcMar>
            <w:vAlign w:val="center"/>
          </w:tcPr>
          <w:p w14:paraId="6B8AD7F7" w14:textId="77777777" w:rsidR="004B0883" w:rsidRDefault="004B0883">
            <w:pPr>
              <w:adjustRightInd w:val="0"/>
              <w:snapToGrid w:val="0"/>
              <w:rPr>
                <w:color w:val="000000"/>
                <w:kern w:val="0"/>
              </w:rPr>
            </w:pPr>
            <w:r>
              <w:rPr>
                <w:color w:val="000000"/>
                <w:kern w:val="0"/>
              </w:rPr>
              <w:t>库存商品</w:t>
            </w:r>
          </w:p>
        </w:tc>
        <w:tc>
          <w:tcPr>
            <w:tcW w:w="2226" w:type="dxa"/>
            <w:gridSpan w:val="2"/>
            <w:tcMar>
              <w:top w:w="0" w:type="dxa"/>
              <w:bottom w:w="0" w:type="dxa"/>
            </w:tcMar>
            <w:vAlign w:val="center"/>
          </w:tcPr>
          <w:p w14:paraId="488BFE30" w14:textId="77777777" w:rsidR="004B0883" w:rsidRDefault="004B0883">
            <w:pPr>
              <w:adjustRightInd w:val="0"/>
              <w:snapToGrid w:val="0"/>
              <w:jc w:val="right"/>
              <w:rPr>
                <w:color w:val="000000"/>
                <w:kern w:val="0"/>
              </w:rPr>
            </w:pPr>
            <w:r>
              <w:rPr>
                <w:rFonts w:eastAsia="仿宋_GB2312"/>
                <w:color w:val="000000"/>
              </w:rPr>
              <w:t>2,004.42</w:t>
            </w:r>
          </w:p>
        </w:tc>
        <w:tc>
          <w:tcPr>
            <w:tcW w:w="1923" w:type="dxa"/>
            <w:tcMar>
              <w:top w:w="0" w:type="dxa"/>
              <w:bottom w:w="0" w:type="dxa"/>
            </w:tcMar>
            <w:vAlign w:val="center"/>
          </w:tcPr>
          <w:p w14:paraId="3DA36129" w14:textId="77777777" w:rsidR="004B0883" w:rsidRDefault="004B0883">
            <w:pPr>
              <w:widowControl w:val="0"/>
              <w:adjustRightInd w:val="0"/>
              <w:snapToGrid w:val="0"/>
              <w:jc w:val="right"/>
              <w:rPr>
                <w:color w:val="000000"/>
              </w:rPr>
            </w:pPr>
            <w:r>
              <w:rPr>
                <w:color w:val="000000"/>
              </w:rPr>
              <w:t>97.85</w:t>
            </w:r>
          </w:p>
        </w:tc>
        <w:tc>
          <w:tcPr>
            <w:tcW w:w="1941" w:type="dxa"/>
            <w:gridSpan w:val="2"/>
            <w:tcMar>
              <w:top w:w="0" w:type="dxa"/>
              <w:bottom w:w="0" w:type="dxa"/>
            </w:tcMar>
            <w:vAlign w:val="center"/>
          </w:tcPr>
          <w:p w14:paraId="3FD3470C" w14:textId="77777777" w:rsidR="004B0883" w:rsidRDefault="004B0883">
            <w:pPr>
              <w:adjustRightInd w:val="0"/>
              <w:snapToGrid w:val="0"/>
              <w:jc w:val="right"/>
              <w:rPr>
                <w:color w:val="000000"/>
                <w:kern w:val="0"/>
              </w:rPr>
            </w:pPr>
            <w:r>
              <w:rPr>
                <w:rFonts w:eastAsia="仿宋_GB2312"/>
                <w:color w:val="000000"/>
              </w:rPr>
              <w:t>1,906.57</w:t>
            </w:r>
          </w:p>
        </w:tc>
      </w:tr>
      <w:tr w:rsidR="004B0883" w14:paraId="79E5F4ED" w14:textId="77777777">
        <w:trPr>
          <w:trHeight w:val="397"/>
          <w:jc w:val="center"/>
        </w:trPr>
        <w:tc>
          <w:tcPr>
            <w:tcW w:w="2436" w:type="dxa"/>
            <w:tcMar>
              <w:top w:w="0" w:type="dxa"/>
              <w:bottom w:w="0" w:type="dxa"/>
            </w:tcMar>
            <w:vAlign w:val="center"/>
          </w:tcPr>
          <w:p w14:paraId="2E94B4FA" w14:textId="77777777" w:rsidR="004B0883" w:rsidRDefault="004B0883">
            <w:pPr>
              <w:adjustRightInd w:val="0"/>
              <w:snapToGrid w:val="0"/>
              <w:rPr>
                <w:color w:val="000000"/>
                <w:kern w:val="0"/>
              </w:rPr>
            </w:pPr>
            <w:r>
              <w:rPr>
                <w:rFonts w:hint="eastAsia"/>
                <w:color w:val="000000"/>
                <w:kern w:val="0"/>
              </w:rPr>
              <w:t>周转材料</w:t>
            </w:r>
          </w:p>
        </w:tc>
        <w:tc>
          <w:tcPr>
            <w:tcW w:w="2226" w:type="dxa"/>
            <w:gridSpan w:val="2"/>
            <w:tcMar>
              <w:top w:w="0" w:type="dxa"/>
              <w:bottom w:w="0" w:type="dxa"/>
            </w:tcMar>
            <w:vAlign w:val="center"/>
          </w:tcPr>
          <w:p w14:paraId="19EF94E4" w14:textId="77777777" w:rsidR="004B0883" w:rsidRDefault="004B0883">
            <w:pPr>
              <w:adjustRightInd w:val="0"/>
              <w:snapToGrid w:val="0"/>
              <w:jc w:val="right"/>
              <w:rPr>
                <w:color w:val="000000"/>
                <w:kern w:val="0"/>
              </w:rPr>
            </w:pPr>
            <w:r>
              <w:rPr>
                <w:rFonts w:eastAsia="仿宋_GB2312"/>
                <w:color w:val="000000"/>
              </w:rPr>
              <w:t>879.78</w:t>
            </w:r>
          </w:p>
        </w:tc>
        <w:tc>
          <w:tcPr>
            <w:tcW w:w="1923" w:type="dxa"/>
            <w:tcMar>
              <w:top w:w="0" w:type="dxa"/>
              <w:bottom w:w="0" w:type="dxa"/>
            </w:tcMar>
            <w:vAlign w:val="center"/>
          </w:tcPr>
          <w:p w14:paraId="172FBFE7" w14:textId="77777777" w:rsidR="004B0883" w:rsidRDefault="004B0883">
            <w:pPr>
              <w:widowControl w:val="0"/>
              <w:adjustRightInd w:val="0"/>
              <w:snapToGrid w:val="0"/>
              <w:jc w:val="right"/>
              <w:rPr>
                <w:color w:val="000000"/>
              </w:rPr>
            </w:pPr>
            <w:r>
              <w:rPr>
                <w:rFonts w:hint="eastAsia"/>
                <w:color w:val="000000"/>
              </w:rPr>
              <w:t>-</w:t>
            </w:r>
          </w:p>
        </w:tc>
        <w:tc>
          <w:tcPr>
            <w:tcW w:w="1941" w:type="dxa"/>
            <w:gridSpan w:val="2"/>
            <w:tcMar>
              <w:top w:w="0" w:type="dxa"/>
              <w:bottom w:w="0" w:type="dxa"/>
            </w:tcMar>
            <w:vAlign w:val="center"/>
          </w:tcPr>
          <w:p w14:paraId="1DE1C8ED" w14:textId="77777777" w:rsidR="004B0883" w:rsidRDefault="004B0883">
            <w:pPr>
              <w:adjustRightInd w:val="0"/>
              <w:snapToGrid w:val="0"/>
              <w:jc w:val="right"/>
              <w:rPr>
                <w:color w:val="000000"/>
                <w:kern w:val="0"/>
              </w:rPr>
            </w:pPr>
            <w:r>
              <w:rPr>
                <w:rFonts w:eastAsia="仿宋_GB2312"/>
                <w:color w:val="000000"/>
              </w:rPr>
              <w:t>879.78</w:t>
            </w:r>
          </w:p>
        </w:tc>
      </w:tr>
      <w:tr w:rsidR="004B0883" w14:paraId="6D6AB0A1" w14:textId="77777777">
        <w:trPr>
          <w:trHeight w:val="397"/>
          <w:jc w:val="center"/>
        </w:trPr>
        <w:tc>
          <w:tcPr>
            <w:tcW w:w="2436" w:type="dxa"/>
            <w:tcMar>
              <w:top w:w="0" w:type="dxa"/>
              <w:bottom w:w="0" w:type="dxa"/>
            </w:tcMar>
            <w:vAlign w:val="center"/>
          </w:tcPr>
          <w:p w14:paraId="05F21738" w14:textId="77777777" w:rsidR="004B0883" w:rsidRDefault="004B0883">
            <w:pPr>
              <w:adjustRightInd w:val="0"/>
              <w:snapToGrid w:val="0"/>
              <w:rPr>
                <w:color w:val="000000"/>
                <w:kern w:val="0"/>
              </w:rPr>
            </w:pPr>
            <w:r>
              <w:rPr>
                <w:rFonts w:hint="eastAsia"/>
                <w:color w:val="000000"/>
                <w:kern w:val="0"/>
              </w:rPr>
              <w:t>发出商品</w:t>
            </w:r>
          </w:p>
        </w:tc>
        <w:tc>
          <w:tcPr>
            <w:tcW w:w="2226" w:type="dxa"/>
            <w:gridSpan w:val="2"/>
            <w:tcMar>
              <w:top w:w="0" w:type="dxa"/>
              <w:bottom w:w="0" w:type="dxa"/>
            </w:tcMar>
            <w:vAlign w:val="center"/>
          </w:tcPr>
          <w:p w14:paraId="33718135" w14:textId="77777777" w:rsidR="004B0883" w:rsidRDefault="004B0883">
            <w:pPr>
              <w:adjustRightInd w:val="0"/>
              <w:snapToGrid w:val="0"/>
              <w:jc w:val="right"/>
              <w:rPr>
                <w:color w:val="000000"/>
                <w:kern w:val="0"/>
              </w:rPr>
            </w:pPr>
            <w:r>
              <w:rPr>
                <w:rFonts w:eastAsia="仿宋_GB2312"/>
                <w:color w:val="000000"/>
              </w:rPr>
              <w:t>458.12</w:t>
            </w:r>
          </w:p>
        </w:tc>
        <w:tc>
          <w:tcPr>
            <w:tcW w:w="1923" w:type="dxa"/>
            <w:tcMar>
              <w:top w:w="0" w:type="dxa"/>
              <w:bottom w:w="0" w:type="dxa"/>
            </w:tcMar>
            <w:vAlign w:val="center"/>
          </w:tcPr>
          <w:p w14:paraId="24769B22" w14:textId="77777777" w:rsidR="004B0883" w:rsidRDefault="004B0883">
            <w:pPr>
              <w:widowControl w:val="0"/>
              <w:adjustRightInd w:val="0"/>
              <w:snapToGrid w:val="0"/>
              <w:jc w:val="right"/>
              <w:rPr>
                <w:color w:val="000000"/>
              </w:rPr>
            </w:pPr>
            <w:r>
              <w:rPr>
                <w:rFonts w:hint="eastAsia"/>
                <w:color w:val="000000"/>
              </w:rPr>
              <w:t>-</w:t>
            </w:r>
          </w:p>
        </w:tc>
        <w:tc>
          <w:tcPr>
            <w:tcW w:w="1941" w:type="dxa"/>
            <w:gridSpan w:val="2"/>
            <w:tcMar>
              <w:top w:w="0" w:type="dxa"/>
              <w:bottom w:w="0" w:type="dxa"/>
            </w:tcMar>
            <w:vAlign w:val="center"/>
          </w:tcPr>
          <w:p w14:paraId="752A28C3" w14:textId="77777777" w:rsidR="004B0883" w:rsidRDefault="004B0883">
            <w:pPr>
              <w:adjustRightInd w:val="0"/>
              <w:snapToGrid w:val="0"/>
              <w:jc w:val="right"/>
              <w:rPr>
                <w:color w:val="000000"/>
                <w:kern w:val="0"/>
              </w:rPr>
            </w:pPr>
            <w:r>
              <w:rPr>
                <w:rFonts w:eastAsia="仿宋_GB2312"/>
                <w:color w:val="000000"/>
              </w:rPr>
              <w:t>458.12</w:t>
            </w:r>
          </w:p>
        </w:tc>
      </w:tr>
      <w:tr w:rsidR="004B0883" w14:paraId="234593A0" w14:textId="77777777">
        <w:trPr>
          <w:trHeight w:val="397"/>
          <w:jc w:val="center"/>
        </w:trPr>
        <w:tc>
          <w:tcPr>
            <w:tcW w:w="2436" w:type="dxa"/>
            <w:tcMar>
              <w:top w:w="0" w:type="dxa"/>
              <w:bottom w:w="0" w:type="dxa"/>
            </w:tcMar>
            <w:vAlign w:val="center"/>
          </w:tcPr>
          <w:p w14:paraId="310710FE" w14:textId="77777777" w:rsidR="004B0883" w:rsidRDefault="004B0883">
            <w:pPr>
              <w:adjustRightInd w:val="0"/>
              <w:snapToGrid w:val="0"/>
              <w:rPr>
                <w:color w:val="000000"/>
                <w:kern w:val="0"/>
              </w:rPr>
            </w:pPr>
            <w:r>
              <w:rPr>
                <w:color w:val="000000"/>
                <w:kern w:val="0"/>
              </w:rPr>
              <w:t>委托加工物资</w:t>
            </w:r>
          </w:p>
        </w:tc>
        <w:tc>
          <w:tcPr>
            <w:tcW w:w="2226" w:type="dxa"/>
            <w:gridSpan w:val="2"/>
            <w:tcMar>
              <w:top w:w="0" w:type="dxa"/>
              <w:bottom w:w="0" w:type="dxa"/>
            </w:tcMar>
            <w:vAlign w:val="center"/>
          </w:tcPr>
          <w:p w14:paraId="7723A787" w14:textId="77777777" w:rsidR="004B0883" w:rsidRDefault="004B0883">
            <w:pPr>
              <w:adjustRightInd w:val="0"/>
              <w:snapToGrid w:val="0"/>
              <w:jc w:val="right"/>
              <w:rPr>
                <w:color w:val="000000"/>
                <w:kern w:val="0"/>
              </w:rPr>
            </w:pPr>
            <w:r>
              <w:rPr>
                <w:rFonts w:eastAsia="仿宋_GB2312"/>
                <w:color w:val="000000"/>
              </w:rPr>
              <w:t>14.98</w:t>
            </w:r>
          </w:p>
        </w:tc>
        <w:tc>
          <w:tcPr>
            <w:tcW w:w="1923" w:type="dxa"/>
            <w:tcMar>
              <w:top w:w="0" w:type="dxa"/>
              <w:bottom w:w="0" w:type="dxa"/>
            </w:tcMar>
            <w:vAlign w:val="center"/>
          </w:tcPr>
          <w:p w14:paraId="2DDEDC48" w14:textId="77777777" w:rsidR="004B0883" w:rsidRDefault="004B0883">
            <w:pPr>
              <w:widowControl w:val="0"/>
              <w:adjustRightInd w:val="0"/>
              <w:snapToGrid w:val="0"/>
              <w:jc w:val="right"/>
            </w:pPr>
            <w:r>
              <w:rPr>
                <w:rFonts w:hint="eastAsia"/>
              </w:rPr>
              <w:t>-</w:t>
            </w:r>
          </w:p>
        </w:tc>
        <w:tc>
          <w:tcPr>
            <w:tcW w:w="1941" w:type="dxa"/>
            <w:gridSpan w:val="2"/>
            <w:tcMar>
              <w:top w:w="0" w:type="dxa"/>
              <w:bottom w:w="0" w:type="dxa"/>
            </w:tcMar>
            <w:vAlign w:val="center"/>
          </w:tcPr>
          <w:p w14:paraId="59B581E8" w14:textId="77777777" w:rsidR="004B0883" w:rsidRDefault="004B0883">
            <w:pPr>
              <w:adjustRightInd w:val="0"/>
              <w:snapToGrid w:val="0"/>
              <w:jc w:val="right"/>
              <w:rPr>
                <w:color w:val="000000"/>
                <w:kern w:val="0"/>
              </w:rPr>
            </w:pPr>
            <w:r>
              <w:rPr>
                <w:rFonts w:eastAsia="仿宋_GB2312"/>
                <w:color w:val="000000"/>
              </w:rPr>
              <w:t>14.98</w:t>
            </w:r>
          </w:p>
        </w:tc>
      </w:tr>
      <w:tr w:rsidR="004B0883" w14:paraId="13CB2B43" w14:textId="77777777">
        <w:trPr>
          <w:trHeight w:val="397"/>
          <w:jc w:val="center"/>
        </w:trPr>
        <w:tc>
          <w:tcPr>
            <w:tcW w:w="2436" w:type="dxa"/>
            <w:tcMar>
              <w:top w:w="0" w:type="dxa"/>
              <w:bottom w:w="0" w:type="dxa"/>
            </w:tcMar>
            <w:vAlign w:val="center"/>
          </w:tcPr>
          <w:p w14:paraId="3F3D1BA5" w14:textId="77777777" w:rsidR="004B0883" w:rsidRDefault="004B0883">
            <w:pPr>
              <w:adjustRightInd w:val="0"/>
              <w:snapToGrid w:val="0"/>
              <w:rPr>
                <w:color w:val="000000"/>
                <w:kern w:val="0"/>
              </w:rPr>
            </w:pPr>
            <w:r>
              <w:rPr>
                <w:color w:val="000000"/>
                <w:kern w:val="0"/>
              </w:rPr>
              <w:t>自制半成品</w:t>
            </w:r>
          </w:p>
        </w:tc>
        <w:tc>
          <w:tcPr>
            <w:tcW w:w="2226" w:type="dxa"/>
            <w:gridSpan w:val="2"/>
            <w:tcMar>
              <w:top w:w="0" w:type="dxa"/>
              <w:bottom w:w="0" w:type="dxa"/>
            </w:tcMar>
            <w:vAlign w:val="center"/>
          </w:tcPr>
          <w:p w14:paraId="265A5D76" w14:textId="77777777" w:rsidR="004B0883" w:rsidRDefault="004B0883">
            <w:pPr>
              <w:adjustRightInd w:val="0"/>
              <w:snapToGrid w:val="0"/>
              <w:jc w:val="right"/>
              <w:rPr>
                <w:color w:val="000000"/>
                <w:kern w:val="0"/>
              </w:rPr>
            </w:pPr>
            <w:r>
              <w:rPr>
                <w:rFonts w:eastAsia="仿宋_GB2312"/>
                <w:color w:val="000000"/>
              </w:rPr>
              <w:t>2,171.60</w:t>
            </w:r>
          </w:p>
        </w:tc>
        <w:tc>
          <w:tcPr>
            <w:tcW w:w="1923" w:type="dxa"/>
            <w:tcMar>
              <w:top w:w="0" w:type="dxa"/>
              <w:bottom w:w="0" w:type="dxa"/>
            </w:tcMar>
            <w:vAlign w:val="center"/>
          </w:tcPr>
          <w:p w14:paraId="73C04D82" w14:textId="77777777" w:rsidR="004B0883" w:rsidRDefault="004B0883">
            <w:pPr>
              <w:widowControl w:val="0"/>
              <w:adjustRightInd w:val="0"/>
              <w:snapToGrid w:val="0"/>
              <w:jc w:val="right"/>
            </w:pPr>
            <w:r>
              <w:t>15.77</w:t>
            </w:r>
          </w:p>
        </w:tc>
        <w:tc>
          <w:tcPr>
            <w:tcW w:w="1941" w:type="dxa"/>
            <w:gridSpan w:val="2"/>
            <w:tcMar>
              <w:top w:w="0" w:type="dxa"/>
              <w:bottom w:w="0" w:type="dxa"/>
            </w:tcMar>
            <w:vAlign w:val="center"/>
          </w:tcPr>
          <w:p w14:paraId="336A65AB" w14:textId="77777777" w:rsidR="004B0883" w:rsidRDefault="004B0883">
            <w:pPr>
              <w:adjustRightInd w:val="0"/>
              <w:snapToGrid w:val="0"/>
              <w:jc w:val="right"/>
              <w:rPr>
                <w:color w:val="000000"/>
                <w:kern w:val="0"/>
              </w:rPr>
            </w:pPr>
            <w:r>
              <w:rPr>
                <w:rFonts w:eastAsia="仿宋_GB2312"/>
                <w:color w:val="000000"/>
              </w:rPr>
              <w:t>2,155.83</w:t>
            </w:r>
          </w:p>
        </w:tc>
      </w:tr>
      <w:tr w:rsidR="004B0883" w14:paraId="1D15B836" w14:textId="77777777">
        <w:trPr>
          <w:trHeight w:val="397"/>
          <w:jc w:val="center"/>
        </w:trPr>
        <w:tc>
          <w:tcPr>
            <w:tcW w:w="2436" w:type="dxa"/>
            <w:tcMar>
              <w:top w:w="0" w:type="dxa"/>
              <w:bottom w:w="0" w:type="dxa"/>
            </w:tcMar>
            <w:vAlign w:val="center"/>
          </w:tcPr>
          <w:p w14:paraId="74477085" w14:textId="77777777" w:rsidR="004B0883" w:rsidRDefault="004B0883">
            <w:pPr>
              <w:widowControl w:val="0"/>
              <w:adjustRightInd w:val="0"/>
              <w:snapToGrid w:val="0"/>
              <w:jc w:val="center"/>
              <w:rPr>
                <w:b/>
                <w:bCs/>
                <w:kern w:val="0"/>
              </w:rPr>
            </w:pPr>
            <w:r>
              <w:rPr>
                <w:b/>
                <w:bCs/>
              </w:rPr>
              <w:t>合计</w:t>
            </w:r>
          </w:p>
        </w:tc>
        <w:tc>
          <w:tcPr>
            <w:tcW w:w="2226" w:type="dxa"/>
            <w:gridSpan w:val="2"/>
            <w:tcMar>
              <w:top w:w="0" w:type="dxa"/>
              <w:bottom w:w="0" w:type="dxa"/>
            </w:tcMar>
            <w:vAlign w:val="center"/>
          </w:tcPr>
          <w:p w14:paraId="73B48D95" w14:textId="77777777" w:rsidR="004B0883" w:rsidRDefault="004B0883">
            <w:pPr>
              <w:adjustRightInd w:val="0"/>
              <w:snapToGrid w:val="0"/>
              <w:jc w:val="right"/>
              <w:rPr>
                <w:b/>
                <w:bCs/>
                <w:color w:val="000000"/>
                <w:kern w:val="0"/>
              </w:rPr>
            </w:pPr>
            <w:r>
              <w:rPr>
                <w:b/>
                <w:bCs/>
                <w:color w:val="000000"/>
                <w:kern w:val="0"/>
              </w:rPr>
              <w:t>7,536.21</w:t>
            </w:r>
          </w:p>
        </w:tc>
        <w:tc>
          <w:tcPr>
            <w:tcW w:w="1923" w:type="dxa"/>
            <w:tcMar>
              <w:top w:w="0" w:type="dxa"/>
              <w:bottom w:w="0" w:type="dxa"/>
            </w:tcMar>
            <w:vAlign w:val="center"/>
          </w:tcPr>
          <w:p w14:paraId="70A8834A" w14:textId="77777777" w:rsidR="004B0883" w:rsidRDefault="004B0883">
            <w:pPr>
              <w:widowControl w:val="0"/>
              <w:adjustRightInd w:val="0"/>
              <w:snapToGrid w:val="0"/>
              <w:jc w:val="right"/>
              <w:rPr>
                <w:b/>
                <w:bCs/>
                <w:color w:val="000000"/>
              </w:rPr>
            </w:pPr>
            <w:r>
              <w:rPr>
                <w:b/>
                <w:bCs/>
                <w:color w:val="000000"/>
              </w:rPr>
              <w:t>114.37</w:t>
            </w:r>
          </w:p>
        </w:tc>
        <w:tc>
          <w:tcPr>
            <w:tcW w:w="1941" w:type="dxa"/>
            <w:gridSpan w:val="2"/>
            <w:tcMar>
              <w:top w:w="0" w:type="dxa"/>
              <w:bottom w:w="0" w:type="dxa"/>
            </w:tcMar>
            <w:vAlign w:val="center"/>
          </w:tcPr>
          <w:p w14:paraId="0BC198F5" w14:textId="77777777" w:rsidR="004B0883" w:rsidRDefault="004B0883">
            <w:pPr>
              <w:widowControl w:val="0"/>
              <w:adjustRightInd w:val="0"/>
              <w:snapToGrid w:val="0"/>
              <w:jc w:val="right"/>
              <w:rPr>
                <w:b/>
                <w:bCs/>
                <w:color w:val="000000"/>
              </w:rPr>
            </w:pPr>
            <w:r>
              <w:rPr>
                <w:b/>
                <w:bCs/>
                <w:color w:val="000000"/>
              </w:rPr>
              <w:t>7,421.84</w:t>
            </w:r>
          </w:p>
        </w:tc>
      </w:tr>
    </w:tbl>
    <w:p w14:paraId="6548B4D9"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报告期各期末，公司存货账面价值分别为</w:t>
      </w:r>
      <w:r>
        <w:rPr>
          <w:rFonts w:hint="eastAsia"/>
          <w:sz w:val="24"/>
          <w:szCs w:val="22"/>
        </w:rPr>
        <w:t>7,421.84</w:t>
      </w:r>
      <w:r>
        <w:rPr>
          <w:rFonts w:hint="eastAsia"/>
          <w:sz w:val="24"/>
          <w:szCs w:val="22"/>
        </w:rPr>
        <w:t>万元、</w:t>
      </w:r>
      <w:r>
        <w:rPr>
          <w:rFonts w:hint="eastAsia"/>
          <w:sz w:val="24"/>
          <w:szCs w:val="22"/>
        </w:rPr>
        <w:t>11,252.22</w:t>
      </w:r>
      <w:r>
        <w:rPr>
          <w:rFonts w:hint="eastAsia"/>
          <w:sz w:val="24"/>
          <w:szCs w:val="22"/>
        </w:rPr>
        <w:t>万元、</w:t>
      </w:r>
      <w:r>
        <w:rPr>
          <w:rFonts w:hint="eastAsia"/>
          <w:sz w:val="24"/>
          <w:szCs w:val="22"/>
        </w:rPr>
        <w:t>11,891.25</w:t>
      </w:r>
      <w:r>
        <w:rPr>
          <w:rFonts w:hint="eastAsia"/>
          <w:sz w:val="24"/>
          <w:szCs w:val="22"/>
        </w:rPr>
        <w:t>万元和</w:t>
      </w:r>
      <w:bookmarkStart w:id="317" w:name="_Hlk144011508"/>
      <w:r>
        <w:rPr>
          <w:sz w:val="24"/>
          <w:szCs w:val="22"/>
        </w:rPr>
        <w:t>9,880.80</w:t>
      </w:r>
      <w:bookmarkEnd w:id="317"/>
      <w:r>
        <w:rPr>
          <w:rFonts w:hint="eastAsia"/>
          <w:sz w:val="24"/>
          <w:szCs w:val="22"/>
        </w:rPr>
        <w:t>万元，占总资产的比例分别为</w:t>
      </w:r>
      <w:r>
        <w:rPr>
          <w:sz w:val="24"/>
          <w:szCs w:val="22"/>
        </w:rPr>
        <w:t>8.53%</w:t>
      </w:r>
      <w:r>
        <w:rPr>
          <w:rFonts w:hint="eastAsia"/>
          <w:sz w:val="24"/>
          <w:szCs w:val="22"/>
        </w:rPr>
        <w:t>、</w:t>
      </w:r>
      <w:r>
        <w:rPr>
          <w:sz w:val="24"/>
          <w:szCs w:val="22"/>
        </w:rPr>
        <w:t>12.64%</w:t>
      </w:r>
      <w:r>
        <w:rPr>
          <w:rFonts w:hint="eastAsia"/>
          <w:sz w:val="24"/>
          <w:szCs w:val="22"/>
        </w:rPr>
        <w:t>、</w:t>
      </w:r>
      <w:r>
        <w:rPr>
          <w:sz w:val="24"/>
          <w:szCs w:val="22"/>
        </w:rPr>
        <w:t>11.96%</w:t>
      </w:r>
      <w:r>
        <w:rPr>
          <w:rFonts w:hint="eastAsia"/>
          <w:sz w:val="24"/>
          <w:szCs w:val="22"/>
        </w:rPr>
        <w:t>以及</w:t>
      </w:r>
      <w:bookmarkStart w:id="318" w:name="_Hlk144011513"/>
      <w:r>
        <w:rPr>
          <w:rFonts w:hint="eastAsia"/>
          <w:sz w:val="24"/>
          <w:szCs w:val="22"/>
        </w:rPr>
        <w:t>9.81</w:t>
      </w:r>
      <w:r>
        <w:rPr>
          <w:sz w:val="24"/>
          <w:szCs w:val="22"/>
        </w:rPr>
        <w:t>%</w:t>
      </w:r>
      <w:bookmarkEnd w:id="318"/>
      <w:r>
        <w:rPr>
          <w:rFonts w:hint="eastAsia"/>
          <w:sz w:val="24"/>
          <w:szCs w:val="22"/>
        </w:rPr>
        <w:t>。</w:t>
      </w:r>
      <w:r>
        <w:rPr>
          <w:rFonts w:hint="eastAsia"/>
          <w:sz w:val="24"/>
          <w:szCs w:val="22"/>
        </w:rPr>
        <w:t>2021</w:t>
      </w:r>
      <w:r>
        <w:rPr>
          <w:rFonts w:hint="eastAsia"/>
          <w:sz w:val="24"/>
          <w:szCs w:val="22"/>
        </w:rPr>
        <w:t>年末公司存货账面价值较</w:t>
      </w:r>
      <w:r>
        <w:rPr>
          <w:rFonts w:hint="eastAsia"/>
          <w:sz w:val="24"/>
          <w:szCs w:val="22"/>
        </w:rPr>
        <w:t>2020</w:t>
      </w:r>
      <w:r>
        <w:rPr>
          <w:rFonts w:hint="eastAsia"/>
          <w:sz w:val="24"/>
          <w:szCs w:val="22"/>
        </w:rPr>
        <w:t>年末增加，主要系</w:t>
      </w:r>
      <w:r>
        <w:rPr>
          <w:rFonts w:hint="eastAsia"/>
          <w:sz w:val="24"/>
          <w:szCs w:val="22"/>
        </w:rPr>
        <w:t>2021</w:t>
      </w:r>
      <w:r>
        <w:rPr>
          <w:rFonts w:hint="eastAsia"/>
          <w:sz w:val="24"/>
          <w:szCs w:val="22"/>
        </w:rPr>
        <w:t>年在手订单同比增长明显，公司积极备货所致；</w:t>
      </w:r>
      <w:r>
        <w:rPr>
          <w:rFonts w:hint="eastAsia"/>
          <w:sz w:val="24"/>
          <w:szCs w:val="22"/>
        </w:rPr>
        <w:t>2022</w:t>
      </w:r>
      <w:r>
        <w:rPr>
          <w:rFonts w:hint="eastAsia"/>
          <w:sz w:val="24"/>
          <w:szCs w:val="22"/>
        </w:rPr>
        <w:t>年末及</w:t>
      </w:r>
      <w:r>
        <w:rPr>
          <w:rFonts w:hint="eastAsia"/>
          <w:sz w:val="24"/>
          <w:szCs w:val="22"/>
        </w:rPr>
        <w:t>2</w:t>
      </w:r>
      <w:r>
        <w:rPr>
          <w:sz w:val="24"/>
          <w:szCs w:val="22"/>
        </w:rPr>
        <w:t>023</w:t>
      </w:r>
      <w:r>
        <w:rPr>
          <w:rFonts w:hint="eastAsia"/>
          <w:sz w:val="24"/>
          <w:szCs w:val="22"/>
        </w:rPr>
        <w:t>年</w:t>
      </w:r>
      <w:r>
        <w:rPr>
          <w:rFonts w:hint="eastAsia"/>
          <w:sz w:val="24"/>
          <w:szCs w:val="22"/>
        </w:rPr>
        <w:t>9</w:t>
      </w:r>
      <w:r>
        <w:rPr>
          <w:rFonts w:hint="eastAsia"/>
          <w:sz w:val="24"/>
          <w:szCs w:val="22"/>
        </w:rPr>
        <w:t>月末，公司存货账面价值保持相对稳定。</w:t>
      </w:r>
    </w:p>
    <w:p w14:paraId="314EE2BE"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截至</w:t>
      </w:r>
      <w:r>
        <w:rPr>
          <w:rFonts w:hint="eastAsia"/>
          <w:sz w:val="24"/>
          <w:szCs w:val="22"/>
        </w:rPr>
        <w:t>2</w:t>
      </w:r>
      <w:r>
        <w:rPr>
          <w:sz w:val="24"/>
          <w:szCs w:val="22"/>
        </w:rPr>
        <w:t>023</w:t>
      </w:r>
      <w:r>
        <w:rPr>
          <w:rFonts w:hint="eastAsia"/>
          <w:sz w:val="24"/>
          <w:szCs w:val="22"/>
        </w:rPr>
        <w:t>年</w:t>
      </w:r>
      <w:r>
        <w:rPr>
          <w:rFonts w:hint="eastAsia"/>
          <w:sz w:val="24"/>
          <w:szCs w:val="22"/>
        </w:rPr>
        <w:t>9</w:t>
      </w:r>
      <w:r>
        <w:rPr>
          <w:rFonts w:hint="eastAsia"/>
          <w:sz w:val="24"/>
          <w:szCs w:val="22"/>
        </w:rPr>
        <w:t>月</w:t>
      </w:r>
      <w:r>
        <w:rPr>
          <w:rFonts w:hint="eastAsia"/>
          <w:sz w:val="24"/>
          <w:szCs w:val="22"/>
        </w:rPr>
        <w:t>3</w:t>
      </w:r>
      <w:r>
        <w:rPr>
          <w:sz w:val="24"/>
          <w:szCs w:val="22"/>
        </w:rPr>
        <w:t>0</w:t>
      </w:r>
      <w:r>
        <w:rPr>
          <w:rFonts w:hint="eastAsia"/>
          <w:sz w:val="24"/>
          <w:szCs w:val="22"/>
        </w:rPr>
        <w:t>日，公司存货库龄情况如下：</w:t>
      </w:r>
    </w:p>
    <w:p w14:paraId="3A5D5ACE" w14:textId="77777777" w:rsidR="004B0883" w:rsidRDefault="004B0883">
      <w:pPr>
        <w:keepNext/>
        <w:widowControl w:val="0"/>
        <w:jc w:val="right"/>
        <w:rPr>
          <w:szCs w:val="22"/>
        </w:rPr>
      </w:pPr>
      <w:r>
        <w:rPr>
          <w:rFonts w:hint="eastAsia"/>
          <w:szCs w:val="22"/>
        </w:rP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ook w:val="0000" w:firstRow="0" w:lastRow="0" w:firstColumn="0" w:lastColumn="0" w:noHBand="0" w:noVBand="0"/>
      </w:tblPr>
      <w:tblGrid>
        <w:gridCol w:w="2490"/>
        <w:gridCol w:w="3516"/>
        <w:gridCol w:w="2274"/>
      </w:tblGrid>
      <w:tr w:rsidR="004B0883" w14:paraId="621C5A32" w14:textId="77777777">
        <w:trPr>
          <w:trHeight w:val="397"/>
          <w:tblHeader/>
          <w:jc w:val="center"/>
        </w:trPr>
        <w:tc>
          <w:tcPr>
            <w:tcW w:w="1504" w:type="pct"/>
            <w:shd w:val="clear" w:color="auto" w:fill="D9D9D9"/>
            <w:noWrap/>
            <w:tcMar>
              <w:top w:w="0" w:type="dxa"/>
              <w:bottom w:w="0" w:type="dxa"/>
            </w:tcMar>
            <w:vAlign w:val="center"/>
          </w:tcPr>
          <w:p w14:paraId="2A716B20" w14:textId="77777777" w:rsidR="004B0883" w:rsidRDefault="004B0883">
            <w:pPr>
              <w:widowControl w:val="0"/>
              <w:adjustRightInd w:val="0"/>
              <w:snapToGrid w:val="0"/>
              <w:jc w:val="center"/>
              <w:rPr>
                <w:b/>
                <w:color w:val="000000"/>
              </w:rPr>
            </w:pPr>
            <w:r>
              <w:rPr>
                <w:rFonts w:hint="eastAsia"/>
                <w:b/>
                <w:color w:val="000000"/>
              </w:rPr>
              <w:t>项目</w:t>
            </w:r>
          </w:p>
        </w:tc>
        <w:tc>
          <w:tcPr>
            <w:tcW w:w="2123" w:type="pct"/>
            <w:shd w:val="clear" w:color="auto" w:fill="D9D9D9"/>
            <w:noWrap/>
            <w:tcMar>
              <w:top w:w="0" w:type="dxa"/>
              <w:bottom w:w="0" w:type="dxa"/>
            </w:tcMar>
            <w:vAlign w:val="center"/>
          </w:tcPr>
          <w:p w14:paraId="5C277FBE" w14:textId="77777777" w:rsidR="004B0883" w:rsidRDefault="004B0883">
            <w:pPr>
              <w:widowControl w:val="0"/>
              <w:adjustRightInd w:val="0"/>
              <w:snapToGrid w:val="0"/>
              <w:jc w:val="center"/>
              <w:rPr>
                <w:b/>
                <w:color w:val="000000"/>
              </w:rPr>
            </w:pPr>
            <w:r>
              <w:rPr>
                <w:rFonts w:hint="eastAsia"/>
                <w:b/>
                <w:color w:val="000000"/>
              </w:rPr>
              <w:t>金额</w:t>
            </w:r>
          </w:p>
        </w:tc>
        <w:tc>
          <w:tcPr>
            <w:tcW w:w="1373" w:type="pct"/>
            <w:shd w:val="clear" w:color="auto" w:fill="D9D9D9"/>
            <w:noWrap/>
            <w:tcMar>
              <w:top w:w="0" w:type="dxa"/>
              <w:bottom w:w="0" w:type="dxa"/>
            </w:tcMar>
            <w:vAlign w:val="center"/>
          </w:tcPr>
          <w:p w14:paraId="725C830C" w14:textId="77777777" w:rsidR="004B0883" w:rsidRDefault="004B0883">
            <w:pPr>
              <w:widowControl w:val="0"/>
              <w:adjustRightInd w:val="0"/>
              <w:snapToGrid w:val="0"/>
              <w:jc w:val="center"/>
              <w:rPr>
                <w:b/>
                <w:color w:val="000000"/>
              </w:rPr>
            </w:pPr>
            <w:r>
              <w:rPr>
                <w:b/>
                <w:color w:val="000000"/>
              </w:rPr>
              <w:t>占比</w:t>
            </w:r>
          </w:p>
        </w:tc>
      </w:tr>
      <w:tr w:rsidR="004B0883" w14:paraId="29A5BE49" w14:textId="77777777">
        <w:trPr>
          <w:trHeight w:val="397"/>
          <w:jc w:val="center"/>
        </w:trPr>
        <w:tc>
          <w:tcPr>
            <w:tcW w:w="1504" w:type="pct"/>
            <w:noWrap/>
            <w:tcMar>
              <w:top w:w="0" w:type="dxa"/>
              <w:bottom w:w="0" w:type="dxa"/>
            </w:tcMar>
            <w:vAlign w:val="center"/>
          </w:tcPr>
          <w:p w14:paraId="74BD0D4C" w14:textId="77777777" w:rsidR="004B0883" w:rsidRDefault="004B0883">
            <w:pPr>
              <w:widowControl w:val="0"/>
              <w:adjustRightInd w:val="0"/>
              <w:snapToGrid w:val="0"/>
              <w:rPr>
                <w:color w:val="000000"/>
              </w:rPr>
            </w:pPr>
            <w:r>
              <w:rPr>
                <w:color w:val="000000"/>
              </w:rPr>
              <w:t>1</w:t>
            </w:r>
            <w:r>
              <w:rPr>
                <w:rFonts w:hint="eastAsia"/>
                <w:color w:val="000000"/>
              </w:rPr>
              <w:t>年以内</w:t>
            </w:r>
          </w:p>
        </w:tc>
        <w:tc>
          <w:tcPr>
            <w:tcW w:w="2123" w:type="pct"/>
            <w:noWrap/>
            <w:tcMar>
              <w:top w:w="0" w:type="dxa"/>
              <w:bottom w:w="0" w:type="dxa"/>
            </w:tcMar>
            <w:vAlign w:val="center"/>
          </w:tcPr>
          <w:p w14:paraId="13B41459" w14:textId="77777777" w:rsidR="004B0883" w:rsidRDefault="004B0883">
            <w:pPr>
              <w:widowControl w:val="0"/>
              <w:adjustRightInd w:val="0"/>
              <w:snapToGrid w:val="0"/>
              <w:jc w:val="right"/>
              <w:rPr>
                <w:color w:val="000000"/>
              </w:rPr>
            </w:pPr>
            <w:r>
              <w:rPr>
                <w:color w:val="000000"/>
              </w:rPr>
              <w:t>7,121.25</w:t>
            </w:r>
          </w:p>
        </w:tc>
        <w:tc>
          <w:tcPr>
            <w:tcW w:w="1373" w:type="pct"/>
            <w:noWrap/>
            <w:tcMar>
              <w:top w:w="0" w:type="dxa"/>
              <w:bottom w:w="0" w:type="dxa"/>
            </w:tcMar>
            <w:vAlign w:val="center"/>
          </w:tcPr>
          <w:p w14:paraId="7E7D57FF" w14:textId="77777777" w:rsidR="004B0883" w:rsidRDefault="004B0883">
            <w:pPr>
              <w:widowControl w:val="0"/>
              <w:adjustRightInd w:val="0"/>
              <w:snapToGrid w:val="0"/>
              <w:jc w:val="right"/>
              <w:rPr>
                <w:color w:val="000000"/>
              </w:rPr>
            </w:pPr>
            <w:r>
              <w:rPr>
                <w:color w:val="000000"/>
              </w:rPr>
              <w:t>70.35%</w:t>
            </w:r>
          </w:p>
        </w:tc>
      </w:tr>
      <w:tr w:rsidR="004B0883" w14:paraId="6B1F2D52" w14:textId="77777777">
        <w:trPr>
          <w:trHeight w:val="397"/>
          <w:jc w:val="center"/>
        </w:trPr>
        <w:tc>
          <w:tcPr>
            <w:tcW w:w="1504" w:type="pct"/>
            <w:noWrap/>
            <w:tcMar>
              <w:top w:w="0" w:type="dxa"/>
              <w:bottom w:w="0" w:type="dxa"/>
            </w:tcMar>
            <w:vAlign w:val="center"/>
          </w:tcPr>
          <w:p w14:paraId="5681B8AE" w14:textId="77777777" w:rsidR="004B0883" w:rsidRDefault="004B0883">
            <w:pPr>
              <w:widowControl w:val="0"/>
              <w:adjustRightInd w:val="0"/>
              <w:snapToGrid w:val="0"/>
              <w:rPr>
                <w:color w:val="000000"/>
              </w:rPr>
            </w:pPr>
            <w:r>
              <w:rPr>
                <w:color w:val="000000"/>
              </w:rPr>
              <w:t>1-2</w:t>
            </w:r>
            <w:r>
              <w:rPr>
                <w:color w:val="000000"/>
              </w:rPr>
              <w:t>年</w:t>
            </w:r>
          </w:p>
        </w:tc>
        <w:tc>
          <w:tcPr>
            <w:tcW w:w="2123" w:type="pct"/>
            <w:noWrap/>
            <w:tcMar>
              <w:top w:w="0" w:type="dxa"/>
              <w:bottom w:w="0" w:type="dxa"/>
            </w:tcMar>
            <w:vAlign w:val="center"/>
          </w:tcPr>
          <w:p w14:paraId="4996D3F6" w14:textId="77777777" w:rsidR="004B0883" w:rsidRDefault="004B0883">
            <w:pPr>
              <w:widowControl w:val="0"/>
              <w:adjustRightInd w:val="0"/>
              <w:snapToGrid w:val="0"/>
              <w:jc w:val="right"/>
              <w:rPr>
                <w:color w:val="000000"/>
              </w:rPr>
            </w:pPr>
            <w:r>
              <w:rPr>
                <w:color w:val="000000"/>
              </w:rPr>
              <w:t>917.26</w:t>
            </w:r>
          </w:p>
        </w:tc>
        <w:tc>
          <w:tcPr>
            <w:tcW w:w="1373" w:type="pct"/>
            <w:noWrap/>
            <w:tcMar>
              <w:top w:w="0" w:type="dxa"/>
              <w:bottom w:w="0" w:type="dxa"/>
            </w:tcMar>
            <w:vAlign w:val="center"/>
          </w:tcPr>
          <w:p w14:paraId="3A4E5BA9" w14:textId="77777777" w:rsidR="004B0883" w:rsidRDefault="004B0883">
            <w:pPr>
              <w:widowControl w:val="0"/>
              <w:adjustRightInd w:val="0"/>
              <w:snapToGrid w:val="0"/>
              <w:jc w:val="right"/>
              <w:rPr>
                <w:rFonts w:hint="eastAsia"/>
                <w:color w:val="000000"/>
              </w:rPr>
            </w:pPr>
            <w:r>
              <w:rPr>
                <w:color w:val="000000"/>
              </w:rPr>
              <w:t>9.06</w:t>
            </w:r>
            <w:r>
              <w:rPr>
                <w:rFonts w:hint="eastAsia"/>
                <w:color w:val="000000"/>
              </w:rPr>
              <w:t>%</w:t>
            </w:r>
          </w:p>
        </w:tc>
      </w:tr>
      <w:tr w:rsidR="004B0883" w14:paraId="32CF9F25" w14:textId="77777777">
        <w:trPr>
          <w:trHeight w:val="397"/>
          <w:jc w:val="center"/>
        </w:trPr>
        <w:tc>
          <w:tcPr>
            <w:tcW w:w="1504" w:type="pct"/>
            <w:noWrap/>
            <w:tcMar>
              <w:top w:w="0" w:type="dxa"/>
              <w:bottom w:w="0" w:type="dxa"/>
            </w:tcMar>
            <w:vAlign w:val="center"/>
          </w:tcPr>
          <w:p w14:paraId="261A9535" w14:textId="77777777" w:rsidR="004B0883" w:rsidRDefault="004B0883">
            <w:pPr>
              <w:widowControl w:val="0"/>
              <w:adjustRightInd w:val="0"/>
              <w:snapToGrid w:val="0"/>
              <w:rPr>
                <w:rFonts w:hint="eastAsia"/>
                <w:color w:val="000000"/>
              </w:rPr>
            </w:pPr>
            <w:r>
              <w:rPr>
                <w:rFonts w:hint="eastAsia"/>
                <w:color w:val="000000"/>
              </w:rPr>
              <w:t>2</w:t>
            </w:r>
            <w:r>
              <w:rPr>
                <w:rFonts w:hint="eastAsia"/>
                <w:color w:val="000000"/>
              </w:rPr>
              <w:t>年以上</w:t>
            </w:r>
          </w:p>
        </w:tc>
        <w:tc>
          <w:tcPr>
            <w:tcW w:w="2123" w:type="pct"/>
            <w:noWrap/>
            <w:tcMar>
              <w:top w:w="0" w:type="dxa"/>
              <w:bottom w:w="0" w:type="dxa"/>
            </w:tcMar>
            <w:vAlign w:val="center"/>
          </w:tcPr>
          <w:p w14:paraId="64DAD3D0" w14:textId="77777777" w:rsidR="004B0883" w:rsidRDefault="004B0883">
            <w:pPr>
              <w:widowControl w:val="0"/>
              <w:adjustRightInd w:val="0"/>
              <w:snapToGrid w:val="0"/>
              <w:jc w:val="right"/>
              <w:rPr>
                <w:rFonts w:hint="eastAsia"/>
                <w:color w:val="000000"/>
              </w:rPr>
            </w:pPr>
            <w:r>
              <w:rPr>
                <w:color w:val="000000"/>
              </w:rPr>
              <w:t>2,083.60</w:t>
            </w:r>
          </w:p>
        </w:tc>
        <w:tc>
          <w:tcPr>
            <w:tcW w:w="1373" w:type="pct"/>
            <w:noWrap/>
            <w:tcMar>
              <w:top w:w="0" w:type="dxa"/>
              <w:bottom w:w="0" w:type="dxa"/>
            </w:tcMar>
            <w:vAlign w:val="center"/>
          </w:tcPr>
          <w:p w14:paraId="39FCD04B" w14:textId="77777777" w:rsidR="004B0883" w:rsidRDefault="004B0883">
            <w:pPr>
              <w:widowControl w:val="0"/>
              <w:adjustRightInd w:val="0"/>
              <w:snapToGrid w:val="0"/>
              <w:jc w:val="right"/>
              <w:rPr>
                <w:rFonts w:hint="eastAsia"/>
                <w:color w:val="000000"/>
              </w:rPr>
            </w:pPr>
            <w:r>
              <w:rPr>
                <w:color w:val="000000"/>
              </w:rPr>
              <w:t>20.58%</w:t>
            </w:r>
          </w:p>
        </w:tc>
      </w:tr>
      <w:tr w:rsidR="004B0883" w14:paraId="673C64B1" w14:textId="77777777">
        <w:trPr>
          <w:trHeight w:val="397"/>
          <w:jc w:val="center"/>
        </w:trPr>
        <w:tc>
          <w:tcPr>
            <w:tcW w:w="1504" w:type="pct"/>
            <w:noWrap/>
            <w:tcMar>
              <w:top w:w="0" w:type="dxa"/>
              <w:bottom w:w="0" w:type="dxa"/>
            </w:tcMar>
            <w:vAlign w:val="center"/>
          </w:tcPr>
          <w:p w14:paraId="6219165F" w14:textId="77777777" w:rsidR="004B0883" w:rsidRDefault="004B0883">
            <w:pPr>
              <w:widowControl w:val="0"/>
              <w:adjustRightInd w:val="0"/>
              <w:snapToGrid w:val="0"/>
              <w:jc w:val="center"/>
              <w:rPr>
                <w:b/>
                <w:bCs/>
                <w:color w:val="000000"/>
              </w:rPr>
            </w:pPr>
            <w:r>
              <w:rPr>
                <w:b/>
                <w:bCs/>
                <w:color w:val="000000"/>
              </w:rPr>
              <w:t>合计</w:t>
            </w:r>
          </w:p>
        </w:tc>
        <w:tc>
          <w:tcPr>
            <w:tcW w:w="2123" w:type="pct"/>
            <w:noWrap/>
            <w:tcMar>
              <w:top w:w="0" w:type="dxa"/>
              <w:bottom w:w="0" w:type="dxa"/>
            </w:tcMar>
            <w:vAlign w:val="center"/>
          </w:tcPr>
          <w:p w14:paraId="777C22BC" w14:textId="77777777" w:rsidR="004B0883" w:rsidRDefault="004B0883">
            <w:pPr>
              <w:widowControl w:val="0"/>
              <w:adjustRightInd w:val="0"/>
              <w:snapToGrid w:val="0"/>
              <w:jc w:val="right"/>
              <w:rPr>
                <w:b/>
                <w:bCs/>
                <w:color w:val="000000"/>
              </w:rPr>
            </w:pPr>
            <w:r>
              <w:rPr>
                <w:b/>
                <w:bCs/>
                <w:color w:val="000000"/>
              </w:rPr>
              <w:t>10,122.11</w:t>
            </w:r>
          </w:p>
        </w:tc>
        <w:tc>
          <w:tcPr>
            <w:tcW w:w="1373" w:type="pct"/>
            <w:noWrap/>
            <w:tcMar>
              <w:top w:w="0" w:type="dxa"/>
              <w:bottom w:w="0" w:type="dxa"/>
            </w:tcMar>
            <w:vAlign w:val="center"/>
          </w:tcPr>
          <w:p w14:paraId="704D7989" w14:textId="77777777" w:rsidR="004B0883" w:rsidRDefault="004B0883">
            <w:pPr>
              <w:widowControl w:val="0"/>
              <w:adjustRightInd w:val="0"/>
              <w:snapToGrid w:val="0"/>
              <w:jc w:val="right"/>
              <w:rPr>
                <w:b/>
                <w:bCs/>
                <w:color w:val="000000"/>
              </w:rPr>
            </w:pPr>
            <w:r>
              <w:rPr>
                <w:b/>
                <w:bCs/>
                <w:color w:val="000000"/>
              </w:rPr>
              <w:t>100.00%</w:t>
            </w:r>
          </w:p>
        </w:tc>
      </w:tr>
    </w:tbl>
    <w:p w14:paraId="12EFD81C"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2</w:t>
      </w:r>
      <w:r>
        <w:rPr>
          <w:sz w:val="24"/>
          <w:szCs w:val="22"/>
        </w:rPr>
        <w:t>023</w:t>
      </w:r>
      <w:r>
        <w:rPr>
          <w:rFonts w:hint="eastAsia"/>
          <w:sz w:val="24"/>
          <w:szCs w:val="22"/>
        </w:rPr>
        <w:t>年</w:t>
      </w:r>
      <w:r>
        <w:rPr>
          <w:rFonts w:hint="eastAsia"/>
          <w:sz w:val="24"/>
          <w:szCs w:val="22"/>
        </w:rPr>
        <w:t>9</w:t>
      </w:r>
      <w:r>
        <w:rPr>
          <w:rFonts w:hint="eastAsia"/>
          <w:sz w:val="24"/>
          <w:szCs w:val="22"/>
        </w:rPr>
        <w:t>月末，公司存货大部分库龄均在</w:t>
      </w:r>
      <w:r>
        <w:rPr>
          <w:rFonts w:hint="eastAsia"/>
          <w:sz w:val="24"/>
          <w:szCs w:val="22"/>
        </w:rPr>
        <w:t>1</w:t>
      </w:r>
      <w:r>
        <w:rPr>
          <w:rFonts w:hint="eastAsia"/>
          <w:sz w:val="24"/>
          <w:szCs w:val="22"/>
        </w:rPr>
        <w:t>年以内，该部分占总体存货比例</w:t>
      </w:r>
      <w:r>
        <w:rPr>
          <w:rFonts w:hint="eastAsia"/>
          <w:sz w:val="24"/>
          <w:szCs w:val="22"/>
        </w:rPr>
        <w:t>7</w:t>
      </w:r>
      <w:r>
        <w:rPr>
          <w:sz w:val="24"/>
          <w:szCs w:val="22"/>
        </w:rPr>
        <w:t>0.35%</w:t>
      </w:r>
      <w:r>
        <w:rPr>
          <w:rFonts w:hint="eastAsia"/>
          <w:sz w:val="24"/>
          <w:szCs w:val="22"/>
        </w:rPr>
        <w:t>；库龄</w:t>
      </w:r>
      <w:r>
        <w:rPr>
          <w:sz w:val="24"/>
          <w:szCs w:val="22"/>
        </w:rPr>
        <w:t>2</w:t>
      </w:r>
      <w:r>
        <w:rPr>
          <w:rFonts w:hint="eastAsia"/>
          <w:sz w:val="24"/>
          <w:szCs w:val="22"/>
        </w:rPr>
        <w:t>年以上的主要为周转材料，周转材料核算的是模具，对于模具，由于单个模具金额较低，公司采用了五五摊销法，即开始使用时</w:t>
      </w:r>
      <w:r>
        <w:rPr>
          <w:rFonts w:hint="eastAsia"/>
          <w:sz w:val="24"/>
          <w:szCs w:val="22"/>
        </w:rPr>
        <w:t>50%</w:t>
      </w:r>
      <w:r>
        <w:rPr>
          <w:rFonts w:hint="eastAsia"/>
          <w:sz w:val="24"/>
          <w:szCs w:val="22"/>
        </w:rPr>
        <w:t>的金额计入成本，剩余的</w:t>
      </w:r>
      <w:r>
        <w:rPr>
          <w:rFonts w:hint="eastAsia"/>
          <w:sz w:val="24"/>
          <w:szCs w:val="22"/>
        </w:rPr>
        <w:t>50%</w:t>
      </w:r>
      <w:r>
        <w:rPr>
          <w:rFonts w:hint="eastAsia"/>
          <w:sz w:val="24"/>
          <w:szCs w:val="22"/>
        </w:rPr>
        <w:t>于报废时一次性计入成本。公司每年年末评估相关模具是否可继续使用，对于不再使用的模具，做报废处理，因模具使用时间较长，故库龄相应较长。</w:t>
      </w:r>
    </w:p>
    <w:p w14:paraId="16425CAD" w14:textId="77777777" w:rsidR="004B0883" w:rsidRDefault="004B0883">
      <w:pPr>
        <w:widowControl w:val="0"/>
        <w:spacing w:beforeLines="50" w:before="120" w:line="360" w:lineRule="auto"/>
        <w:ind w:firstLineChars="200" w:firstLine="480"/>
        <w:jc w:val="both"/>
        <w:rPr>
          <w:rFonts w:hint="eastAsia"/>
          <w:sz w:val="24"/>
          <w:szCs w:val="22"/>
        </w:rPr>
      </w:pPr>
      <w:r>
        <w:rPr>
          <w:rFonts w:hint="eastAsia"/>
          <w:sz w:val="24"/>
          <w:szCs w:val="22"/>
        </w:rPr>
        <w:t>综上，公司存货库龄整体较短，不存在长期滞销情况。</w:t>
      </w:r>
    </w:p>
    <w:p w14:paraId="0AEA1CA9"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公司与同行业上市公司存货跌价准备计提政策对比如下：</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106"/>
        <w:gridCol w:w="7174"/>
      </w:tblGrid>
      <w:tr w:rsidR="004B0883" w14:paraId="41C59D6D" w14:textId="77777777">
        <w:trPr>
          <w:trHeight w:val="397"/>
          <w:tblHeader/>
          <w:jc w:val="center"/>
        </w:trPr>
        <w:tc>
          <w:tcPr>
            <w:tcW w:w="1130" w:type="dxa"/>
            <w:shd w:val="clear" w:color="auto" w:fill="D9D9D9"/>
            <w:tcMar>
              <w:top w:w="0" w:type="dxa"/>
              <w:left w:w="108" w:type="dxa"/>
              <w:bottom w:w="0" w:type="dxa"/>
              <w:right w:w="108" w:type="dxa"/>
            </w:tcMar>
            <w:vAlign w:val="center"/>
          </w:tcPr>
          <w:p w14:paraId="525A41A1" w14:textId="77777777" w:rsidR="004B0883" w:rsidRDefault="004B0883">
            <w:pPr>
              <w:adjustRightInd w:val="0"/>
              <w:snapToGrid w:val="0"/>
              <w:jc w:val="center"/>
              <w:rPr>
                <w:b/>
                <w:sz w:val="18"/>
                <w:szCs w:val="18"/>
              </w:rPr>
            </w:pPr>
            <w:r>
              <w:rPr>
                <w:b/>
                <w:sz w:val="18"/>
                <w:szCs w:val="18"/>
              </w:rPr>
              <w:t>公司名称</w:t>
            </w:r>
          </w:p>
        </w:tc>
        <w:tc>
          <w:tcPr>
            <w:tcW w:w="7396" w:type="dxa"/>
            <w:shd w:val="clear" w:color="auto" w:fill="D9D9D9"/>
            <w:tcMar>
              <w:top w:w="0" w:type="dxa"/>
              <w:left w:w="108" w:type="dxa"/>
              <w:bottom w:w="0" w:type="dxa"/>
              <w:right w:w="108" w:type="dxa"/>
            </w:tcMar>
            <w:vAlign w:val="center"/>
          </w:tcPr>
          <w:p w14:paraId="6B94AD34" w14:textId="77777777" w:rsidR="004B0883" w:rsidRDefault="004B0883">
            <w:pPr>
              <w:adjustRightInd w:val="0"/>
              <w:snapToGrid w:val="0"/>
              <w:jc w:val="center"/>
              <w:rPr>
                <w:b/>
                <w:sz w:val="18"/>
                <w:szCs w:val="18"/>
              </w:rPr>
            </w:pPr>
            <w:r>
              <w:rPr>
                <w:b/>
                <w:sz w:val="18"/>
                <w:szCs w:val="18"/>
              </w:rPr>
              <w:t>存货跌价准备计提政策</w:t>
            </w:r>
          </w:p>
        </w:tc>
      </w:tr>
      <w:tr w:rsidR="004B0883" w14:paraId="5F62AEEE" w14:textId="77777777">
        <w:trPr>
          <w:trHeight w:val="397"/>
          <w:jc w:val="center"/>
        </w:trPr>
        <w:tc>
          <w:tcPr>
            <w:tcW w:w="1130" w:type="dxa"/>
            <w:tcMar>
              <w:top w:w="0" w:type="dxa"/>
              <w:left w:w="108" w:type="dxa"/>
              <w:bottom w:w="0" w:type="dxa"/>
              <w:right w:w="108" w:type="dxa"/>
            </w:tcMar>
            <w:vAlign w:val="center"/>
          </w:tcPr>
          <w:p w14:paraId="55352A0D" w14:textId="77777777" w:rsidR="004B0883" w:rsidRDefault="004B0883">
            <w:pPr>
              <w:adjustRightInd w:val="0"/>
              <w:snapToGrid w:val="0"/>
              <w:rPr>
                <w:sz w:val="18"/>
                <w:szCs w:val="18"/>
              </w:rPr>
            </w:pPr>
            <w:r>
              <w:rPr>
                <w:rFonts w:hint="eastAsia"/>
                <w:sz w:val="18"/>
                <w:szCs w:val="18"/>
              </w:rPr>
              <w:t>江苏神通</w:t>
            </w:r>
          </w:p>
        </w:tc>
        <w:tc>
          <w:tcPr>
            <w:tcW w:w="7396" w:type="dxa"/>
            <w:tcMar>
              <w:top w:w="0" w:type="dxa"/>
              <w:left w:w="108" w:type="dxa"/>
              <w:bottom w:w="0" w:type="dxa"/>
              <w:right w:w="108" w:type="dxa"/>
            </w:tcMar>
            <w:vAlign w:val="center"/>
          </w:tcPr>
          <w:p w14:paraId="739B0B30" w14:textId="77777777" w:rsidR="004B0883" w:rsidRDefault="004B0883">
            <w:pPr>
              <w:adjustRightInd w:val="0"/>
              <w:snapToGrid w:val="0"/>
              <w:rPr>
                <w:b/>
                <w:sz w:val="18"/>
                <w:szCs w:val="18"/>
              </w:rPr>
            </w:pPr>
            <w:r>
              <w:rPr>
                <w:rFonts w:hint="eastAsia"/>
                <w:b/>
                <w:sz w:val="18"/>
                <w:szCs w:val="18"/>
              </w:rPr>
              <w:t>存货可变现净值的确定依据及存货跌价准备的计提方法</w:t>
            </w:r>
          </w:p>
          <w:p w14:paraId="1E0921CE" w14:textId="77777777" w:rsidR="004B0883" w:rsidRDefault="004B0883">
            <w:pPr>
              <w:adjustRightInd w:val="0"/>
              <w:snapToGrid w:val="0"/>
              <w:ind w:firstLineChars="200" w:firstLine="360"/>
              <w:rPr>
                <w:rFonts w:hint="eastAsia"/>
                <w:bCs/>
                <w:sz w:val="18"/>
                <w:szCs w:val="18"/>
              </w:rPr>
            </w:pPr>
            <w:r>
              <w:rPr>
                <w:rFonts w:hint="eastAsia"/>
                <w:bCs/>
                <w:sz w:val="18"/>
                <w:szCs w:val="18"/>
              </w:rPr>
              <w:t>资产负债表日，存货采用成本与可变现净值孰低计量，按照单个存货</w:t>
            </w:r>
            <w:r>
              <w:rPr>
                <w:rFonts w:hint="eastAsia"/>
                <w:bCs/>
                <w:sz w:val="18"/>
                <w:szCs w:val="18"/>
              </w:rPr>
              <w:t>/</w:t>
            </w:r>
            <w:r>
              <w:rPr>
                <w:rFonts w:hint="eastAsia"/>
                <w:bCs/>
                <w:sz w:val="18"/>
                <w:szCs w:val="18"/>
              </w:rPr>
              <w:t>存货类别成本高于可变现净值的差额计提存货跌价准备。直接用于出售的存货，在正常生产经营过程中以该存货的估计售价减去估计的销售费用和相关税费后的金额确定其可变现净值；需要经过加工的存货，在正常生产经营过程中以所生产的产成品的估计售价减去至完工时估计将要发生的成本、估计的销售费用和相关税费后的金额确定其可变现净值；资产负债表日，同一项存货中一部分有合同价格约定、其他部分不存在合同价格的，分别确定其可变现净值，并与其对应的成本进行比较，分别确定存货跌价准备的计提或转回的金额。</w:t>
            </w:r>
          </w:p>
        </w:tc>
      </w:tr>
      <w:tr w:rsidR="004B0883" w14:paraId="29A8DF3E" w14:textId="77777777">
        <w:trPr>
          <w:trHeight w:val="397"/>
          <w:jc w:val="center"/>
        </w:trPr>
        <w:tc>
          <w:tcPr>
            <w:tcW w:w="1130" w:type="dxa"/>
            <w:tcMar>
              <w:top w:w="0" w:type="dxa"/>
              <w:left w:w="108" w:type="dxa"/>
              <w:bottom w:w="0" w:type="dxa"/>
              <w:right w:w="108" w:type="dxa"/>
            </w:tcMar>
            <w:vAlign w:val="center"/>
          </w:tcPr>
          <w:p w14:paraId="67DDCB28" w14:textId="77777777" w:rsidR="004B0883" w:rsidRDefault="004B0883">
            <w:pPr>
              <w:adjustRightInd w:val="0"/>
              <w:snapToGrid w:val="0"/>
              <w:rPr>
                <w:color w:val="000000"/>
                <w:kern w:val="0"/>
                <w:sz w:val="18"/>
                <w:szCs w:val="18"/>
              </w:rPr>
            </w:pPr>
            <w:r>
              <w:rPr>
                <w:rFonts w:hint="eastAsia"/>
                <w:sz w:val="18"/>
                <w:szCs w:val="18"/>
              </w:rPr>
              <w:t>冠龙节能</w:t>
            </w:r>
          </w:p>
        </w:tc>
        <w:tc>
          <w:tcPr>
            <w:tcW w:w="7396" w:type="dxa"/>
            <w:tcMar>
              <w:top w:w="0" w:type="dxa"/>
              <w:left w:w="108" w:type="dxa"/>
              <w:bottom w:w="0" w:type="dxa"/>
              <w:right w:w="108" w:type="dxa"/>
            </w:tcMar>
            <w:vAlign w:val="center"/>
          </w:tcPr>
          <w:p w14:paraId="42C7B08C" w14:textId="77777777" w:rsidR="004B0883" w:rsidRDefault="004B0883">
            <w:pPr>
              <w:adjustRightInd w:val="0"/>
              <w:snapToGrid w:val="0"/>
              <w:rPr>
                <w:b/>
                <w:sz w:val="18"/>
                <w:szCs w:val="18"/>
              </w:rPr>
            </w:pPr>
            <w:r>
              <w:rPr>
                <w:rFonts w:hint="eastAsia"/>
                <w:b/>
                <w:sz w:val="18"/>
                <w:szCs w:val="18"/>
              </w:rPr>
              <w:t>存货可变现净值的确定依据及存货跌价准备的计提方</w:t>
            </w:r>
            <w:r>
              <w:rPr>
                <w:b/>
                <w:sz w:val="18"/>
                <w:szCs w:val="18"/>
              </w:rPr>
              <w:t>法</w:t>
            </w:r>
          </w:p>
          <w:p w14:paraId="01CCBDBC" w14:textId="77777777" w:rsidR="004B0883" w:rsidRDefault="004B0883">
            <w:pPr>
              <w:adjustRightInd w:val="0"/>
              <w:snapToGrid w:val="0"/>
              <w:ind w:firstLineChars="200" w:firstLine="360"/>
              <w:rPr>
                <w:bCs/>
                <w:sz w:val="18"/>
                <w:szCs w:val="18"/>
              </w:rPr>
            </w:pPr>
            <w:r>
              <w:rPr>
                <w:rFonts w:hint="eastAsia"/>
                <w:bCs/>
                <w:sz w:val="18"/>
                <w:szCs w:val="18"/>
              </w:rPr>
              <w:t>期末对存货进行全面清查后，按存货的成本与可变现净值孰低提取或调整存货跌价准备。产成品、库存商品和用于出售的材料等直接用于出售的商品存货，在正常生产经营过程中，以该存货的估计售价减去估计的销售费用和相关税费后的金额，确定其可变现净值；需要经过加工的材料存货，在正常生产经营过程中，以所生产的产成品的估计售价减去至完工时估计将要发生的成本、估计的销售费用和相关税费后的金额，确定其可变现净值；为执行销售合同或者劳务合同而持有的存货，其可变现净值以合同价格为基础计算，若持有存货的数量多于销售合同订购数量的，超出部分的存货的可变现净值以一般销售价格为基础计算。</w:t>
            </w:r>
          </w:p>
          <w:p w14:paraId="269784BA" w14:textId="77777777" w:rsidR="004B0883" w:rsidRDefault="004B0883">
            <w:pPr>
              <w:adjustRightInd w:val="0"/>
              <w:snapToGrid w:val="0"/>
              <w:ind w:firstLineChars="200" w:firstLine="360"/>
              <w:rPr>
                <w:rFonts w:hint="eastAsia"/>
                <w:bCs/>
                <w:sz w:val="18"/>
                <w:szCs w:val="18"/>
              </w:rPr>
            </w:pPr>
            <w:r>
              <w:rPr>
                <w:rFonts w:hint="eastAsia"/>
                <w:bCs/>
                <w:sz w:val="18"/>
                <w:szCs w:val="18"/>
              </w:rPr>
              <w:t>期末按照单个存货项目计提存货跌价准备；但对于数量繁多、单价较低的存货，按照存货类别计提存货跌价准备；与在同一地区生产和销售的产品系列相关、具有相同或类似最终用途或目的，且难以与其他项目分开计量的存货，则合并计提存货跌价准备。</w:t>
            </w:r>
          </w:p>
          <w:p w14:paraId="1DCBAC97" w14:textId="77777777" w:rsidR="004B0883" w:rsidRDefault="004B0883">
            <w:pPr>
              <w:adjustRightInd w:val="0"/>
              <w:snapToGrid w:val="0"/>
              <w:ind w:firstLineChars="200" w:firstLine="360"/>
              <w:rPr>
                <w:bCs/>
                <w:sz w:val="18"/>
                <w:szCs w:val="18"/>
              </w:rPr>
            </w:pPr>
            <w:r>
              <w:rPr>
                <w:rFonts w:hint="eastAsia"/>
                <w:bCs/>
                <w:sz w:val="18"/>
                <w:szCs w:val="18"/>
              </w:rPr>
              <w:t>以前减记存货价值的影响因素已经消失的，减记的金额予以恢复，并在原已计提的存货跌价准备金额内转回，转回的金额计入当期损益</w:t>
            </w:r>
            <w:r>
              <w:rPr>
                <w:bCs/>
                <w:sz w:val="18"/>
                <w:szCs w:val="18"/>
              </w:rPr>
              <w:t>。</w:t>
            </w:r>
          </w:p>
        </w:tc>
      </w:tr>
      <w:tr w:rsidR="004B0883" w14:paraId="09E7BBB3" w14:textId="77777777">
        <w:trPr>
          <w:trHeight w:val="397"/>
          <w:jc w:val="center"/>
        </w:trPr>
        <w:tc>
          <w:tcPr>
            <w:tcW w:w="1130" w:type="dxa"/>
            <w:tcMar>
              <w:top w:w="0" w:type="dxa"/>
              <w:left w:w="108" w:type="dxa"/>
              <w:bottom w:w="0" w:type="dxa"/>
              <w:right w:w="108" w:type="dxa"/>
            </w:tcMar>
            <w:vAlign w:val="center"/>
          </w:tcPr>
          <w:p w14:paraId="4E8924D0" w14:textId="77777777" w:rsidR="004B0883" w:rsidRDefault="004B0883">
            <w:pPr>
              <w:adjustRightInd w:val="0"/>
              <w:snapToGrid w:val="0"/>
              <w:rPr>
                <w:sz w:val="18"/>
                <w:szCs w:val="18"/>
              </w:rPr>
            </w:pPr>
            <w:r>
              <w:rPr>
                <w:rFonts w:hint="eastAsia"/>
                <w:color w:val="000000"/>
                <w:kern w:val="0"/>
                <w:sz w:val="18"/>
                <w:szCs w:val="18"/>
              </w:rPr>
              <w:t>纽威股份</w:t>
            </w:r>
          </w:p>
        </w:tc>
        <w:tc>
          <w:tcPr>
            <w:tcW w:w="7396" w:type="dxa"/>
            <w:tcMar>
              <w:top w:w="0" w:type="dxa"/>
              <w:left w:w="108" w:type="dxa"/>
              <w:bottom w:w="0" w:type="dxa"/>
              <w:right w:w="108" w:type="dxa"/>
            </w:tcMar>
            <w:vAlign w:val="center"/>
          </w:tcPr>
          <w:p w14:paraId="7E5630DA" w14:textId="77777777" w:rsidR="004B0883" w:rsidRDefault="004B0883">
            <w:pPr>
              <w:adjustRightInd w:val="0"/>
              <w:snapToGrid w:val="0"/>
              <w:rPr>
                <w:b/>
                <w:bCs/>
                <w:sz w:val="18"/>
                <w:szCs w:val="18"/>
              </w:rPr>
            </w:pPr>
            <w:r>
              <w:rPr>
                <w:b/>
                <w:bCs/>
                <w:sz w:val="18"/>
                <w:szCs w:val="18"/>
              </w:rPr>
              <w:t>存货跌价准备</w:t>
            </w:r>
            <w:r>
              <w:rPr>
                <w:rFonts w:hint="eastAsia"/>
                <w:b/>
                <w:bCs/>
                <w:sz w:val="18"/>
                <w:szCs w:val="18"/>
              </w:rPr>
              <w:t>的计提方法</w:t>
            </w:r>
          </w:p>
          <w:p w14:paraId="4B9D0D9C" w14:textId="77777777" w:rsidR="004B0883" w:rsidRDefault="004B0883">
            <w:pPr>
              <w:adjustRightInd w:val="0"/>
              <w:snapToGrid w:val="0"/>
              <w:ind w:firstLineChars="200" w:firstLine="360"/>
              <w:rPr>
                <w:rFonts w:hint="eastAsia"/>
                <w:sz w:val="18"/>
                <w:szCs w:val="18"/>
              </w:rPr>
            </w:pPr>
            <w:r>
              <w:rPr>
                <w:rFonts w:hint="eastAsia"/>
                <w:sz w:val="18"/>
                <w:szCs w:val="18"/>
              </w:rPr>
              <w:t>资产负债表日按成本与可变现净值孰低计量，存货成本高于其可变现净值的，计提存货跌价准备，计入当期损益。</w:t>
            </w:r>
          </w:p>
          <w:p w14:paraId="63200198" w14:textId="77777777" w:rsidR="004B0883" w:rsidRDefault="004B0883">
            <w:pPr>
              <w:adjustRightInd w:val="0"/>
              <w:snapToGrid w:val="0"/>
              <w:ind w:firstLineChars="200" w:firstLine="360"/>
              <w:rPr>
                <w:rFonts w:hint="eastAsia"/>
                <w:sz w:val="18"/>
                <w:szCs w:val="18"/>
              </w:rPr>
            </w:pPr>
            <w:r>
              <w:rPr>
                <w:rFonts w:hint="eastAsia"/>
                <w:sz w:val="18"/>
                <w:szCs w:val="18"/>
              </w:rPr>
              <w:t>在确定存货的可变现净值时，以取得的可靠证据为基础，并且考虑持有存货的目的、资产负债表日后事项的影响等因素。</w:t>
            </w:r>
          </w:p>
          <w:p w14:paraId="5DEA21F2" w14:textId="77777777" w:rsidR="004B0883" w:rsidRDefault="004B0883">
            <w:pPr>
              <w:adjustRightInd w:val="0"/>
              <w:snapToGrid w:val="0"/>
              <w:ind w:firstLineChars="200" w:firstLine="360"/>
              <w:rPr>
                <w:rFonts w:hint="eastAsia"/>
                <w:sz w:val="18"/>
                <w:szCs w:val="18"/>
              </w:rPr>
            </w:pPr>
            <w:r>
              <w:rPr>
                <w:rFonts w:hint="eastAsia"/>
                <w:sz w:val="18"/>
                <w:szCs w:val="18"/>
              </w:rPr>
              <w:t>①产成品、商品和用于出售的材料等直接用于出售的存货，在正常生产经营过程中，以该存货的估计售价减去估计的销售费用和相关税费后的金额确定其可变现净值。为执行销售合同或者劳务合同而持有的存货，以合同价格作为其可变现净值的计量基础；如果持有存货的数量多于销售合同订购数量，超出部分的存货可变现净值以一般销售价格为计量基础。用于出售的材料等，以市场价格作为其可变现净值的计量基础。</w:t>
            </w:r>
          </w:p>
          <w:p w14:paraId="7A25392C" w14:textId="77777777" w:rsidR="004B0883" w:rsidRDefault="004B0883">
            <w:pPr>
              <w:adjustRightInd w:val="0"/>
              <w:snapToGrid w:val="0"/>
              <w:ind w:firstLineChars="200" w:firstLine="360"/>
              <w:rPr>
                <w:rFonts w:hint="eastAsia"/>
                <w:sz w:val="18"/>
                <w:szCs w:val="18"/>
              </w:rPr>
            </w:pPr>
            <w:r>
              <w:rPr>
                <w:rFonts w:hint="eastAsia"/>
                <w:sz w:val="18"/>
                <w:szCs w:val="18"/>
              </w:rPr>
              <w:t>②需要经过加工的材料存货，在正常生产经营过程中，以所生产的产成品的估计售价减去至完工时估计将要发生的成本、估计的销售费用和相关税费后的金额确定其可变现净值。如果用其生产的产成品的可变现净值高于成本，则该材料按成本计量；如果材料价格的下降表明产成品的可变现净值低于成本，则该材料按可变现净值计量，按其差额计提存货跌价准备。</w:t>
            </w:r>
          </w:p>
          <w:p w14:paraId="010F3B48" w14:textId="77777777" w:rsidR="004B0883" w:rsidRDefault="004B0883">
            <w:pPr>
              <w:adjustRightInd w:val="0"/>
              <w:snapToGrid w:val="0"/>
              <w:ind w:firstLineChars="200" w:firstLine="360"/>
              <w:rPr>
                <w:rFonts w:hint="eastAsia"/>
                <w:sz w:val="18"/>
                <w:szCs w:val="18"/>
              </w:rPr>
            </w:pPr>
            <w:r>
              <w:rPr>
                <w:rFonts w:hint="eastAsia"/>
                <w:sz w:val="18"/>
                <w:szCs w:val="18"/>
              </w:rPr>
              <w:t>③存货跌价准备一般按单个存货项目计提；对于数量繁多、单价较低的存货，按存货类别计提。</w:t>
            </w:r>
          </w:p>
          <w:p w14:paraId="4061FB05" w14:textId="77777777" w:rsidR="004B0883" w:rsidRDefault="004B0883">
            <w:pPr>
              <w:adjustRightInd w:val="0"/>
              <w:snapToGrid w:val="0"/>
              <w:ind w:firstLineChars="200" w:firstLine="360"/>
              <w:rPr>
                <w:rFonts w:hint="eastAsia"/>
                <w:sz w:val="18"/>
                <w:szCs w:val="18"/>
              </w:rPr>
            </w:pPr>
            <w:r>
              <w:rPr>
                <w:rFonts w:hint="eastAsia"/>
                <w:sz w:val="18"/>
                <w:szCs w:val="18"/>
              </w:rPr>
              <w:t>④资产负债表日如果以前减记存货价值的影响因素已经消失，则减记的金额予以恢复，并在原已计提的存货跌价准备的金额内转回，转回的金额计入当期损益。</w:t>
            </w:r>
          </w:p>
        </w:tc>
      </w:tr>
      <w:tr w:rsidR="004B0883" w14:paraId="1F351C0B" w14:textId="77777777">
        <w:trPr>
          <w:trHeight w:val="397"/>
          <w:jc w:val="center"/>
        </w:trPr>
        <w:tc>
          <w:tcPr>
            <w:tcW w:w="1130" w:type="dxa"/>
            <w:tcMar>
              <w:top w:w="0" w:type="dxa"/>
              <w:left w:w="108" w:type="dxa"/>
              <w:bottom w:w="0" w:type="dxa"/>
              <w:right w:w="108" w:type="dxa"/>
            </w:tcMar>
            <w:vAlign w:val="center"/>
          </w:tcPr>
          <w:p w14:paraId="1A18688B" w14:textId="77777777" w:rsidR="004B0883" w:rsidRDefault="004B0883">
            <w:pPr>
              <w:adjustRightInd w:val="0"/>
              <w:snapToGrid w:val="0"/>
              <w:rPr>
                <w:sz w:val="18"/>
                <w:szCs w:val="18"/>
              </w:rPr>
            </w:pPr>
            <w:r>
              <w:rPr>
                <w:rFonts w:hint="eastAsia"/>
                <w:color w:val="000000"/>
                <w:kern w:val="0"/>
                <w:sz w:val="18"/>
                <w:szCs w:val="18"/>
              </w:rPr>
              <w:t>中核科技</w:t>
            </w:r>
          </w:p>
        </w:tc>
        <w:tc>
          <w:tcPr>
            <w:tcW w:w="7396" w:type="dxa"/>
            <w:tcMar>
              <w:top w:w="0" w:type="dxa"/>
              <w:left w:w="108" w:type="dxa"/>
              <w:bottom w:w="0" w:type="dxa"/>
              <w:right w:w="108" w:type="dxa"/>
            </w:tcMar>
            <w:vAlign w:val="center"/>
          </w:tcPr>
          <w:p w14:paraId="356F5DE9" w14:textId="77777777" w:rsidR="004B0883" w:rsidRDefault="004B0883">
            <w:pPr>
              <w:adjustRightInd w:val="0"/>
              <w:snapToGrid w:val="0"/>
              <w:rPr>
                <w:b/>
                <w:bCs/>
                <w:sz w:val="18"/>
                <w:szCs w:val="18"/>
              </w:rPr>
            </w:pPr>
            <w:r>
              <w:rPr>
                <w:b/>
                <w:bCs/>
                <w:sz w:val="18"/>
                <w:szCs w:val="18"/>
              </w:rPr>
              <w:t>存货可变现净值的确定依据</w:t>
            </w:r>
          </w:p>
          <w:p w14:paraId="0C727D14" w14:textId="77777777" w:rsidR="004B0883" w:rsidRDefault="004B0883">
            <w:pPr>
              <w:adjustRightInd w:val="0"/>
              <w:snapToGrid w:val="0"/>
              <w:ind w:firstLineChars="200" w:firstLine="360"/>
              <w:rPr>
                <w:rFonts w:hint="eastAsia"/>
                <w:sz w:val="18"/>
                <w:szCs w:val="18"/>
              </w:rPr>
            </w:pPr>
            <w:r>
              <w:rPr>
                <w:rFonts w:hint="eastAsia"/>
                <w:sz w:val="18"/>
                <w:szCs w:val="18"/>
              </w:rPr>
              <w:t>存货可变现净值的确定依据：①产成品可变现净值为估计售价减去估计的销售费用和相关税费后金额；②为生产而持有的材料等，当用其生产的产成品的可变现净值高于成本时按照成本计量；当材料价格下降表明产成品的可变现净值低于成本时，可变现净值为估计售价减去至完工时估计将要发生的成本、估计的销售费用以及相关税费后的金额确定。③持有待售的材料等，可变现净值为市场售价</w:t>
            </w:r>
            <w:r>
              <w:rPr>
                <w:sz w:val="18"/>
                <w:szCs w:val="18"/>
              </w:rPr>
              <w:t>。</w:t>
            </w:r>
          </w:p>
        </w:tc>
      </w:tr>
      <w:tr w:rsidR="004B0883" w14:paraId="4619C9C2" w14:textId="77777777">
        <w:trPr>
          <w:trHeight w:val="397"/>
          <w:jc w:val="center"/>
        </w:trPr>
        <w:tc>
          <w:tcPr>
            <w:tcW w:w="1130" w:type="dxa"/>
            <w:tcMar>
              <w:top w:w="0" w:type="dxa"/>
              <w:left w:w="108" w:type="dxa"/>
              <w:bottom w:w="0" w:type="dxa"/>
              <w:right w:w="108" w:type="dxa"/>
            </w:tcMar>
            <w:vAlign w:val="center"/>
          </w:tcPr>
          <w:p w14:paraId="5381992D" w14:textId="77777777" w:rsidR="004B0883" w:rsidRDefault="004B0883">
            <w:pPr>
              <w:adjustRightInd w:val="0"/>
              <w:snapToGrid w:val="0"/>
              <w:rPr>
                <w:color w:val="000000"/>
                <w:kern w:val="0"/>
                <w:sz w:val="18"/>
                <w:szCs w:val="18"/>
              </w:rPr>
            </w:pPr>
            <w:r>
              <w:rPr>
                <w:color w:val="000000"/>
                <w:kern w:val="0"/>
                <w:sz w:val="18"/>
                <w:szCs w:val="18"/>
              </w:rPr>
              <w:t>伟隆股份</w:t>
            </w:r>
          </w:p>
        </w:tc>
        <w:tc>
          <w:tcPr>
            <w:tcW w:w="7396" w:type="dxa"/>
            <w:tcMar>
              <w:top w:w="0" w:type="dxa"/>
              <w:left w:w="108" w:type="dxa"/>
              <w:bottom w:w="0" w:type="dxa"/>
              <w:right w:w="108" w:type="dxa"/>
            </w:tcMar>
            <w:vAlign w:val="center"/>
          </w:tcPr>
          <w:p w14:paraId="2DDE429E" w14:textId="77777777" w:rsidR="004B0883" w:rsidRDefault="004B0883">
            <w:pPr>
              <w:adjustRightInd w:val="0"/>
              <w:snapToGrid w:val="0"/>
              <w:rPr>
                <w:b/>
                <w:bCs/>
                <w:sz w:val="18"/>
                <w:szCs w:val="18"/>
              </w:rPr>
            </w:pPr>
            <w:r>
              <w:rPr>
                <w:b/>
                <w:bCs/>
                <w:sz w:val="18"/>
                <w:szCs w:val="18"/>
              </w:rPr>
              <w:t>存货跌价准备的计提方法</w:t>
            </w:r>
          </w:p>
          <w:p w14:paraId="42AE771F" w14:textId="77777777" w:rsidR="004B0883" w:rsidRDefault="004B0883">
            <w:pPr>
              <w:adjustRightInd w:val="0"/>
              <w:snapToGrid w:val="0"/>
              <w:ind w:firstLineChars="200" w:firstLine="360"/>
              <w:rPr>
                <w:rFonts w:hint="eastAsia"/>
                <w:sz w:val="18"/>
                <w:szCs w:val="18"/>
              </w:rPr>
            </w:pPr>
            <w:r>
              <w:rPr>
                <w:rFonts w:hint="eastAsia"/>
                <w:sz w:val="18"/>
                <w:szCs w:val="18"/>
              </w:rPr>
              <w:t>资产负债表日，本公司存货按照成本与可变现净值孰低计量。</w:t>
            </w:r>
          </w:p>
          <w:p w14:paraId="3A1CC44B" w14:textId="77777777" w:rsidR="004B0883" w:rsidRDefault="004B0883">
            <w:pPr>
              <w:adjustRightInd w:val="0"/>
              <w:snapToGrid w:val="0"/>
              <w:ind w:firstLineChars="200" w:firstLine="360"/>
              <w:rPr>
                <w:rFonts w:hint="eastAsia"/>
                <w:sz w:val="18"/>
                <w:szCs w:val="18"/>
              </w:rPr>
            </w:pPr>
            <w:r>
              <w:rPr>
                <w:rFonts w:hint="eastAsia"/>
                <w:sz w:val="18"/>
                <w:szCs w:val="18"/>
              </w:rPr>
              <w:t>本公司对于产成品、商品和用于出售的材料等可直接用于出售的存货，按该等存货的估计售价减去估计的销售费用和相关税费后的金额确定其可变现净值；用于生产而持有的材料等存货，其可变现净值按所生产的产成品的估计售价减去至完工时估计将要发生的成本、估计的销售费用和相关税费后的金额确定；为执行销售合同或者劳务合同而持有的存货，其可变现净值以合同价格为基础计算，若本公司持有存货的数量多于销售合同订购数量的，超出部分的存货可变现净值以一般销售价格为基础计算。</w:t>
            </w:r>
          </w:p>
          <w:p w14:paraId="7CA33787" w14:textId="77777777" w:rsidR="004B0883" w:rsidRDefault="004B0883">
            <w:pPr>
              <w:adjustRightInd w:val="0"/>
              <w:snapToGrid w:val="0"/>
              <w:ind w:firstLineChars="200" w:firstLine="360"/>
              <w:rPr>
                <w:rFonts w:hint="eastAsia"/>
                <w:sz w:val="18"/>
                <w:szCs w:val="18"/>
              </w:rPr>
            </w:pPr>
            <w:r>
              <w:rPr>
                <w:rFonts w:hint="eastAsia"/>
                <w:sz w:val="18"/>
                <w:szCs w:val="18"/>
              </w:rPr>
              <w:t>本公司按单个存货项目计提存货跌价准备。但如果某些存货与在同一地区生产和销售的产品系列相关、具有相同或类似最终用途或目的，且难以与其他项目分开计量，可以合并计量成本与可变现净值；对于数量繁多、单价较低的存货，本公司按照存货类别计量成本与可变现净值。</w:t>
            </w:r>
          </w:p>
          <w:p w14:paraId="1C961E6C" w14:textId="77777777" w:rsidR="004B0883" w:rsidRDefault="004B0883">
            <w:pPr>
              <w:adjustRightInd w:val="0"/>
              <w:snapToGrid w:val="0"/>
              <w:ind w:firstLineChars="200" w:firstLine="360"/>
              <w:rPr>
                <w:b/>
                <w:bCs/>
                <w:sz w:val="18"/>
                <w:szCs w:val="18"/>
              </w:rPr>
            </w:pPr>
            <w:r>
              <w:rPr>
                <w:rFonts w:hint="eastAsia"/>
                <w:sz w:val="18"/>
                <w:szCs w:val="18"/>
              </w:rPr>
              <w:t>在资产负债表日，如果本公司存货成本高于其可变现净值的，计提存货跌价准备，并计入当期损益。如果以前减记存货价值的影响因素已经消失的，本公司将减记的金额予以恢复，并在原已计提的存货跌价准备金额内转回，转回的金额计入当期损益。</w:t>
            </w:r>
          </w:p>
        </w:tc>
      </w:tr>
    </w:tbl>
    <w:p w14:paraId="665DFDFA" w14:textId="77777777" w:rsidR="004B0883" w:rsidRDefault="004B0883">
      <w:pPr>
        <w:widowControl w:val="0"/>
        <w:spacing w:beforeLines="50" w:before="120" w:line="360" w:lineRule="auto"/>
        <w:ind w:firstLineChars="200" w:firstLine="480"/>
        <w:jc w:val="both"/>
        <w:rPr>
          <w:rFonts w:hint="eastAsia"/>
          <w:sz w:val="24"/>
          <w:szCs w:val="22"/>
        </w:rPr>
      </w:pPr>
      <w:r>
        <w:rPr>
          <w:rFonts w:hint="eastAsia"/>
          <w:sz w:val="24"/>
          <w:szCs w:val="22"/>
        </w:rPr>
        <w:t>公司存货跌价准备计提政策与同行业上市公司基本保持一致，符合行业惯例。</w:t>
      </w:r>
    </w:p>
    <w:p w14:paraId="3EE54C3E"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2</w:t>
      </w:r>
      <w:r>
        <w:rPr>
          <w:rFonts w:hint="eastAsia"/>
          <w:sz w:val="24"/>
          <w:szCs w:val="22"/>
        </w:rPr>
        <w:t>）存货周转率情况</w:t>
      </w:r>
    </w:p>
    <w:p w14:paraId="7DAAB9FD"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报告期各期，公司存货周转率与同行业各上市公司数据比较如下：</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ook w:val="0000" w:firstRow="0" w:lastRow="0" w:firstColumn="0" w:lastColumn="0" w:noHBand="0" w:noVBand="0"/>
      </w:tblPr>
      <w:tblGrid>
        <w:gridCol w:w="1793"/>
        <w:gridCol w:w="1621"/>
        <w:gridCol w:w="1623"/>
        <w:gridCol w:w="1623"/>
        <w:gridCol w:w="1620"/>
      </w:tblGrid>
      <w:tr w:rsidR="004B0883" w14:paraId="62D97711" w14:textId="77777777">
        <w:trPr>
          <w:trHeight w:val="397"/>
          <w:tblHeader/>
          <w:jc w:val="center"/>
        </w:trPr>
        <w:tc>
          <w:tcPr>
            <w:tcW w:w="1083" w:type="pct"/>
            <w:shd w:val="clear" w:color="auto" w:fill="D9D9D9"/>
            <w:tcMar>
              <w:top w:w="0" w:type="dxa"/>
              <w:bottom w:w="0" w:type="dxa"/>
            </w:tcMar>
            <w:vAlign w:val="center"/>
          </w:tcPr>
          <w:p w14:paraId="19AE2C74" w14:textId="77777777" w:rsidR="004B0883" w:rsidRDefault="004B0883">
            <w:pPr>
              <w:widowControl w:val="0"/>
              <w:adjustRightInd w:val="0"/>
              <w:snapToGrid w:val="0"/>
              <w:jc w:val="center"/>
              <w:rPr>
                <w:b/>
                <w:sz w:val="20"/>
                <w:szCs w:val="20"/>
              </w:rPr>
            </w:pPr>
            <w:r>
              <w:rPr>
                <w:rFonts w:hint="eastAsia"/>
                <w:b/>
                <w:color w:val="000000"/>
                <w:sz w:val="20"/>
                <w:szCs w:val="20"/>
              </w:rPr>
              <w:t>公司名称</w:t>
            </w:r>
          </w:p>
        </w:tc>
        <w:tc>
          <w:tcPr>
            <w:tcW w:w="979" w:type="pct"/>
            <w:shd w:val="clear" w:color="auto" w:fill="D9D9D9"/>
            <w:tcMar>
              <w:top w:w="0" w:type="dxa"/>
              <w:bottom w:w="0" w:type="dxa"/>
            </w:tcMar>
            <w:vAlign w:val="center"/>
          </w:tcPr>
          <w:p w14:paraId="49EC1643" w14:textId="77777777" w:rsidR="004B0883" w:rsidRDefault="004B0883">
            <w:pPr>
              <w:widowControl w:val="0"/>
              <w:adjustRightInd w:val="0"/>
              <w:snapToGrid w:val="0"/>
              <w:jc w:val="center"/>
              <w:rPr>
                <w:b/>
                <w:bCs/>
                <w:sz w:val="20"/>
                <w:szCs w:val="20"/>
              </w:rPr>
            </w:pPr>
            <w:r>
              <w:rPr>
                <w:b/>
                <w:bCs/>
                <w:sz w:val="20"/>
                <w:szCs w:val="20"/>
              </w:rPr>
              <w:t>2023</w:t>
            </w:r>
            <w:r>
              <w:rPr>
                <w:rFonts w:hint="eastAsia"/>
                <w:b/>
                <w:bCs/>
                <w:sz w:val="20"/>
                <w:szCs w:val="20"/>
              </w:rPr>
              <w:t>年</w:t>
            </w:r>
            <w:r>
              <w:rPr>
                <w:b/>
                <w:bCs/>
                <w:sz w:val="20"/>
                <w:szCs w:val="20"/>
              </w:rPr>
              <w:t>1-</w:t>
            </w:r>
            <w:r>
              <w:rPr>
                <w:rFonts w:hint="eastAsia"/>
                <w:b/>
                <w:bCs/>
                <w:sz w:val="20"/>
                <w:szCs w:val="20"/>
              </w:rPr>
              <w:t>9</w:t>
            </w:r>
            <w:r>
              <w:rPr>
                <w:rFonts w:hint="eastAsia"/>
                <w:b/>
                <w:bCs/>
                <w:sz w:val="20"/>
                <w:szCs w:val="20"/>
              </w:rPr>
              <w:t>月</w:t>
            </w:r>
          </w:p>
        </w:tc>
        <w:tc>
          <w:tcPr>
            <w:tcW w:w="980" w:type="pct"/>
            <w:shd w:val="clear" w:color="auto" w:fill="D9D9D9"/>
            <w:tcMar>
              <w:top w:w="0" w:type="dxa"/>
              <w:bottom w:w="0" w:type="dxa"/>
            </w:tcMar>
            <w:vAlign w:val="center"/>
          </w:tcPr>
          <w:p w14:paraId="011EE40E" w14:textId="77777777" w:rsidR="004B0883" w:rsidRDefault="004B0883">
            <w:pPr>
              <w:widowControl w:val="0"/>
              <w:adjustRightInd w:val="0"/>
              <w:snapToGrid w:val="0"/>
              <w:jc w:val="center"/>
              <w:rPr>
                <w:color w:val="000000"/>
                <w:sz w:val="20"/>
                <w:szCs w:val="20"/>
              </w:rPr>
            </w:pPr>
            <w:r>
              <w:rPr>
                <w:b/>
                <w:bCs/>
                <w:sz w:val="20"/>
                <w:szCs w:val="20"/>
              </w:rPr>
              <w:t>2022</w:t>
            </w:r>
            <w:r>
              <w:rPr>
                <w:rFonts w:hint="eastAsia"/>
                <w:b/>
                <w:bCs/>
                <w:sz w:val="20"/>
                <w:szCs w:val="20"/>
              </w:rPr>
              <w:t>年度</w:t>
            </w:r>
          </w:p>
        </w:tc>
        <w:tc>
          <w:tcPr>
            <w:tcW w:w="980" w:type="pct"/>
            <w:shd w:val="clear" w:color="auto" w:fill="D9D9D9"/>
            <w:tcMar>
              <w:top w:w="0" w:type="dxa"/>
              <w:bottom w:w="0" w:type="dxa"/>
            </w:tcMar>
            <w:vAlign w:val="center"/>
          </w:tcPr>
          <w:p w14:paraId="191FAD27" w14:textId="77777777" w:rsidR="004B0883" w:rsidRDefault="004B0883">
            <w:pPr>
              <w:widowControl w:val="0"/>
              <w:adjustRightInd w:val="0"/>
              <w:snapToGrid w:val="0"/>
              <w:jc w:val="center"/>
              <w:rPr>
                <w:color w:val="000000"/>
                <w:sz w:val="20"/>
                <w:szCs w:val="20"/>
              </w:rPr>
            </w:pPr>
            <w:r>
              <w:rPr>
                <w:b/>
                <w:bCs/>
                <w:sz w:val="20"/>
                <w:szCs w:val="20"/>
              </w:rPr>
              <w:t>2021</w:t>
            </w:r>
            <w:r>
              <w:rPr>
                <w:rFonts w:hint="eastAsia"/>
                <w:b/>
                <w:bCs/>
                <w:sz w:val="20"/>
                <w:szCs w:val="20"/>
              </w:rPr>
              <w:t>年度</w:t>
            </w:r>
          </w:p>
        </w:tc>
        <w:tc>
          <w:tcPr>
            <w:tcW w:w="978" w:type="pct"/>
            <w:shd w:val="clear" w:color="auto" w:fill="D9D9D9"/>
            <w:tcMar>
              <w:top w:w="0" w:type="dxa"/>
              <w:bottom w:w="0" w:type="dxa"/>
            </w:tcMar>
            <w:vAlign w:val="center"/>
          </w:tcPr>
          <w:p w14:paraId="6F427042" w14:textId="77777777" w:rsidR="004B0883" w:rsidRDefault="004B0883">
            <w:pPr>
              <w:widowControl w:val="0"/>
              <w:adjustRightInd w:val="0"/>
              <w:snapToGrid w:val="0"/>
              <w:jc w:val="center"/>
              <w:rPr>
                <w:color w:val="000000"/>
                <w:sz w:val="20"/>
                <w:szCs w:val="20"/>
              </w:rPr>
            </w:pPr>
            <w:r>
              <w:rPr>
                <w:b/>
                <w:bCs/>
                <w:sz w:val="20"/>
                <w:szCs w:val="20"/>
              </w:rPr>
              <w:t>2020</w:t>
            </w:r>
            <w:r>
              <w:rPr>
                <w:rFonts w:hint="eastAsia"/>
                <w:b/>
                <w:bCs/>
                <w:sz w:val="20"/>
                <w:szCs w:val="20"/>
              </w:rPr>
              <w:t>年度</w:t>
            </w:r>
          </w:p>
        </w:tc>
      </w:tr>
      <w:tr w:rsidR="004B0883" w14:paraId="62FF68D5" w14:textId="77777777">
        <w:trPr>
          <w:trHeight w:val="397"/>
          <w:jc w:val="center"/>
        </w:trPr>
        <w:tc>
          <w:tcPr>
            <w:tcW w:w="1083" w:type="pct"/>
            <w:shd w:val="clear" w:color="auto" w:fill="FFFFFF"/>
            <w:tcMar>
              <w:top w:w="0" w:type="dxa"/>
              <w:bottom w:w="0" w:type="dxa"/>
            </w:tcMar>
            <w:vAlign w:val="center"/>
          </w:tcPr>
          <w:p w14:paraId="4BB9BCBD" w14:textId="77777777" w:rsidR="004B0883" w:rsidRDefault="004B0883">
            <w:pPr>
              <w:jc w:val="center"/>
              <w:rPr>
                <w:rFonts w:hint="eastAsia"/>
                <w:color w:val="000000"/>
                <w:sz w:val="20"/>
                <w:szCs w:val="20"/>
              </w:rPr>
            </w:pPr>
            <w:r>
              <w:rPr>
                <w:rFonts w:hint="eastAsia"/>
                <w:color w:val="000000"/>
                <w:sz w:val="20"/>
                <w:szCs w:val="20"/>
              </w:rPr>
              <w:t>江苏神通</w:t>
            </w:r>
          </w:p>
        </w:tc>
        <w:tc>
          <w:tcPr>
            <w:tcW w:w="979" w:type="pct"/>
            <w:shd w:val="clear" w:color="auto" w:fill="FFFFFF"/>
            <w:tcMar>
              <w:top w:w="0" w:type="dxa"/>
              <w:bottom w:w="0" w:type="dxa"/>
            </w:tcMar>
            <w:vAlign w:val="center"/>
          </w:tcPr>
          <w:p w14:paraId="2F8A7847" w14:textId="77777777" w:rsidR="004B0883" w:rsidRDefault="004B0883">
            <w:pPr>
              <w:jc w:val="right"/>
              <w:rPr>
                <w:rFonts w:eastAsia="等线"/>
                <w:color w:val="000000"/>
                <w:sz w:val="20"/>
                <w:szCs w:val="20"/>
              </w:rPr>
            </w:pPr>
            <w:r>
              <w:rPr>
                <w:rFonts w:eastAsia="等线" w:hint="eastAsia"/>
                <w:color w:val="000000"/>
                <w:sz w:val="20"/>
                <w:szCs w:val="20"/>
              </w:rPr>
              <w:t>1.16</w:t>
            </w:r>
          </w:p>
        </w:tc>
        <w:tc>
          <w:tcPr>
            <w:tcW w:w="980" w:type="pct"/>
            <w:shd w:val="clear" w:color="auto" w:fill="FFFFFF"/>
            <w:tcMar>
              <w:top w:w="0" w:type="dxa"/>
              <w:bottom w:w="0" w:type="dxa"/>
            </w:tcMar>
            <w:vAlign w:val="center"/>
          </w:tcPr>
          <w:p w14:paraId="6E34F88F" w14:textId="77777777" w:rsidR="004B0883" w:rsidRDefault="004B0883">
            <w:pPr>
              <w:jc w:val="right"/>
              <w:rPr>
                <w:rFonts w:eastAsia="等线"/>
                <w:color w:val="000000"/>
                <w:sz w:val="20"/>
                <w:szCs w:val="20"/>
              </w:rPr>
            </w:pPr>
            <w:r>
              <w:rPr>
                <w:rFonts w:eastAsia="等线"/>
                <w:color w:val="000000"/>
                <w:sz w:val="20"/>
                <w:szCs w:val="20"/>
              </w:rPr>
              <w:t>1.45</w:t>
            </w:r>
          </w:p>
        </w:tc>
        <w:tc>
          <w:tcPr>
            <w:tcW w:w="980" w:type="pct"/>
            <w:shd w:val="clear" w:color="auto" w:fill="FFFFFF"/>
            <w:tcMar>
              <w:top w:w="0" w:type="dxa"/>
              <w:bottom w:w="0" w:type="dxa"/>
            </w:tcMar>
            <w:vAlign w:val="center"/>
          </w:tcPr>
          <w:p w14:paraId="01306BB5" w14:textId="77777777" w:rsidR="004B0883" w:rsidRDefault="004B0883">
            <w:pPr>
              <w:jc w:val="right"/>
              <w:rPr>
                <w:rFonts w:eastAsia="等线"/>
                <w:color w:val="000000"/>
                <w:sz w:val="20"/>
                <w:szCs w:val="20"/>
              </w:rPr>
            </w:pPr>
            <w:r>
              <w:rPr>
                <w:rFonts w:eastAsia="等线"/>
                <w:color w:val="000000"/>
                <w:sz w:val="20"/>
                <w:szCs w:val="20"/>
              </w:rPr>
              <w:t>1.47</w:t>
            </w:r>
          </w:p>
        </w:tc>
        <w:tc>
          <w:tcPr>
            <w:tcW w:w="978" w:type="pct"/>
            <w:shd w:val="clear" w:color="auto" w:fill="FFFFFF"/>
            <w:tcMar>
              <w:top w:w="0" w:type="dxa"/>
              <w:bottom w:w="0" w:type="dxa"/>
            </w:tcMar>
            <w:vAlign w:val="center"/>
          </w:tcPr>
          <w:p w14:paraId="39A0A5A4" w14:textId="77777777" w:rsidR="004B0883" w:rsidRDefault="004B0883">
            <w:pPr>
              <w:jc w:val="right"/>
              <w:rPr>
                <w:rFonts w:eastAsia="等线"/>
                <w:color w:val="000000"/>
                <w:sz w:val="20"/>
                <w:szCs w:val="20"/>
              </w:rPr>
            </w:pPr>
            <w:r>
              <w:rPr>
                <w:rFonts w:eastAsia="等线"/>
                <w:color w:val="000000"/>
                <w:sz w:val="20"/>
                <w:szCs w:val="20"/>
              </w:rPr>
              <w:t>1.37</w:t>
            </w:r>
          </w:p>
        </w:tc>
      </w:tr>
      <w:tr w:rsidR="004B0883" w14:paraId="41BFD30E" w14:textId="77777777">
        <w:trPr>
          <w:trHeight w:val="397"/>
          <w:jc w:val="center"/>
        </w:trPr>
        <w:tc>
          <w:tcPr>
            <w:tcW w:w="1083" w:type="pct"/>
            <w:shd w:val="clear" w:color="auto" w:fill="FFFFFF"/>
            <w:tcMar>
              <w:top w:w="0" w:type="dxa"/>
              <w:bottom w:w="0" w:type="dxa"/>
            </w:tcMar>
            <w:vAlign w:val="center"/>
          </w:tcPr>
          <w:p w14:paraId="7B659A07" w14:textId="77777777" w:rsidR="004B0883" w:rsidRDefault="004B0883">
            <w:pPr>
              <w:jc w:val="center"/>
              <w:rPr>
                <w:rFonts w:hint="eastAsia"/>
                <w:color w:val="000000"/>
                <w:sz w:val="20"/>
                <w:szCs w:val="20"/>
              </w:rPr>
            </w:pPr>
            <w:r>
              <w:rPr>
                <w:rFonts w:hint="eastAsia"/>
                <w:color w:val="000000"/>
                <w:sz w:val="20"/>
                <w:szCs w:val="20"/>
              </w:rPr>
              <w:t>冠龙节能</w:t>
            </w:r>
          </w:p>
        </w:tc>
        <w:tc>
          <w:tcPr>
            <w:tcW w:w="979" w:type="pct"/>
            <w:shd w:val="clear" w:color="auto" w:fill="FFFFFF"/>
            <w:tcMar>
              <w:top w:w="0" w:type="dxa"/>
              <w:bottom w:w="0" w:type="dxa"/>
            </w:tcMar>
            <w:vAlign w:val="center"/>
          </w:tcPr>
          <w:p w14:paraId="03D2F8E8" w14:textId="77777777" w:rsidR="004B0883" w:rsidRDefault="004B0883">
            <w:pPr>
              <w:jc w:val="right"/>
              <w:rPr>
                <w:rFonts w:eastAsia="等线"/>
                <w:color w:val="000000"/>
                <w:sz w:val="20"/>
                <w:szCs w:val="20"/>
              </w:rPr>
            </w:pPr>
            <w:r>
              <w:rPr>
                <w:rFonts w:eastAsia="等线" w:hint="eastAsia"/>
                <w:color w:val="000000"/>
                <w:sz w:val="20"/>
                <w:szCs w:val="20"/>
              </w:rPr>
              <w:t>1.30</w:t>
            </w:r>
          </w:p>
        </w:tc>
        <w:tc>
          <w:tcPr>
            <w:tcW w:w="980" w:type="pct"/>
            <w:shd w:val="clear" w:color="auto" w:fill="FFFFFF"/>
            <w:tcMar>
              <w:top w:w="0" w:type="dxa"/>
              <w:bottom w:w="0" w:type="dxa"/>
            </w:tcMar>
            <w:vAlign w:val="center"/>
          </w:tcPr>
          <w:p w14:paraId="4FA38138" w14:textId="77777777" w:rsidR="004B0883" w:rsidRDefault="004B0883">
            <w:pPr>
              <w:jc w:val="right"/>
              <w:rPr>
                <w:rFonts w:eastAsia="等线"/>
                <w:color w:val="000000"/>
                <w:sz w:val="20"/>
                <w:szCs w:val="20"/>
              </w:rPr>
            </w:pPr>
            <w:r>
              <w:rPr>
                <w:rFonts w:eastAsia="等线"/>
                <w:color w:val="000000"/>
                <w:sz w:val="20"/>
                <w:szCs w:val="20"/>
              </w:rPr>
              <w:t>1.92</w:t>
            </w:r>
          </w:p>
        </w:tc>
        <w:tc>
          <w:tcPr>
            <w:tcW w:w="980" w:type="pct"/>
            <w:shd w:val="clear" w:color="auto" w:fill="FFFFFF"/>
            <w:tcMar>
              <w:top w:w="0" w:type="dxa"/>
              <w:bottom w:w="0" w:type="dxa"/>
            </w:tcMar>
            <w:vAlign w:val="center"/>
          </w:tcPr>
          <w:p w14:paraId="4EA1303D" w14:textId="77777777" w:rsidR="004B0883" w:rsidRDefault="004B0883">
            <w:pPr>
              <w:jc w:val="right"/>
              <w:rPr>
                <w:rFonts w:eastAsia="等线"/>
                <w:color w:val="000000"/>
                <w:sz w:val="20"/>
                <w:szCs w:val="20"/>
              </w:rPr>
            </w:pPr>
            <w:r>
              <w:rPr>
                <w:rFonts w:eastAsia="等线"/>
                <w:color w:val="000000"/>
                <w:sz w:val="20"/>
                <w:szCs w:val="20"/>
              </w:rPr>
              <w:t>2.08</w:t>
            </w:r>
          </w:p>
        </w:tc>
        <w:tc>
          <w:tcPr>
            <w:tcW w:w="978" w:type="pct"/>
            <w:shd w:val="clear" w:color="auto" w:fill="FFFFFF"/>
            <w:tcMar>
              <w:top w:w="0" w:type="dxa"/>
              <w:bottom w:w="0" w:type="dxa"/>
            </w:tcMar>
            <w:vAlign w:val="center"/>
          </w:tcPr>
          <w:p w14:paraId="18C46769" w14:textId="77777777" w:rsidR="004B0883" w:rsidRDefault="004B0883">
            <w:pPr>
              <w:jc w:val="right"/>
              <w:rPr>
                <w:rFonts w:eastAsia="等线"/>
                <w:color w:val="000000"/>
                <w:sz w:val="20"/>
                <w:szCs w:val="20"/>
              </w:rPr>
            </w:pPr>
            <w:r>
              <w:rPr>
                <w:rFonts w:eastAsia="等线"/>
                <w:color w:val="000000"/>
                <w:sz w:val="20"/>
                <w:szCs w:val="20"/>
              </w:rPr>
              <w:t>2.09</w:t>
            </w:r>
          </w:p>
        </w:tc>
      </w:tr>
      <w:tr w:rsidR="004B0883" w14:paraId="329BC240" w14:textId="77777777">
        <w:trPr>
          <w:trHeight w:val="397"/>
          <w:jc w:val="center"/>
        </w:trPr>
        <w:tc>
          <w:tcPr>
            <w:tcW w:w="1083" w:type="pct"/>
            <w:shd w:val="clear" w:color="auto" w:fill="FFFFFF"/>
            <w:tcMar>
              <w:top w:w="0" w:type="dxa"/>
              <w:bottom w:w="0" w:type="dxa"/>
            </w:tcMar>
            <w:vAlign w:val="center"/>
          </w:tcPr>
          <w:p w14:paraId="7710847E" w14:textId="77777777" w:rsidR="004B0883" w:rsidRDefault="004B0883">
            <w:pPr>
              <w:jc w:val="center"/>
              <w:rPr>
                <w:rFonts w:hint="eastAsia"/>
                <w:color w:val="000000"/>
                <w:sz w:val="20"/>
                <w:szCs w:val="20"/>
              </w:rPr>
            </w:pPr>
            <w:r>
              <w:rPr>
                <w:rFonts w:hint="eastAsia"/>
                <w:color w:val="000000"/>
                <w:sz w:val="20"/>
                <w:szCs w:val="20"/>
              </w:rPr>
              <w:t>纽威股份</w:t>
            </w:r>
          </w:p>
        </w:tc>
        <w:tc>
          <w:tcPr>
            <w:tcW w:w="979" w:type="pct"/>
            <w:shd w:val="clear" w:color="auto" w:fill="FFFFFF"/>
            <w:tcMar>
              <w:top w:w="0" w:type="dxa"/>
              <w:bottom w:w="0" w:type="dxa"/>
            </w:tcMar>
            <w:vAlign w:val="center"/>
          </w:tcPr>
          <w:p w14:paraId="4FB7CFC2" w14:textId="77777777" w:rsidR="004B0883" w:rsidRDefault="004B0883">
            <w:pPr>
              <w:jc w:val="right"/>
              <w:rPr>
                <w:rFonts w:eastAsia="等线"/>
                <w:color w:val="000000"/>
                <w:sz w:val="20"/>
                <w:szCs w:val="20"/>
              </w:rPr>
            </w:pPr>
            <w:r>
              <w:rPr>
                <w:rFonts w:eastAsia="等线" w:hint="eastAsia"/>
                <w:color w:val="000000"/>
                <w:sz w:val="20"/>
                <w:szCs w:val="20"/>
              </w:rPr>
              <w:t>1.28</w:t>
            </w:r>
          </w:p>
        </w:tc>
        <w:tc>
          <w:tcPr>
            <w:tcW w:w="980" w:type="pct"/>
            <w:shd w:val="clear" w:color="auto" w:fill="FFFFFF"/>
            <w:tcMar>
              <w:top w:w="0" w:type="dxa"/>
              <w:bottom w:w="0" w:type="dxa"/>
            </w:tcMar>
            <w:vAlign w:val="center"/>
          </w:tcPr>
          <w:p w14:paraId="59AA143A" w14:textId="77777777" w:rsidR="004B0883" w:rsidRDefault="004B0883">
            <w:pPr>
              <w:jc w:val="right"/>
              <w:rPr>
                <w:rFonts w:eastAsia="等线"/>
                <w:color w:val="000000"/>
                <w:sz w:val="20"/>
                <w:szCs w:val="20"/>
              </w:rPr>
            </w:pPr>
            <w:r>
              <w:rPr>
                <w:rFonts w:eastAsia="等线"/>
                <w:color w:val="000000"/>
                <w:sz w:val="20"/>
                <w:szCs w:val="20"/>
              </w:rPr>
              <w:t>1.45</w:t>
            </w:r>
          </w:p>
        </w:tc>
        <w:tc>
          <w:tcPr>
            <w:tcW w:w="980" w:type="pct"/>
            <w:shd w:val="clear" w:color="auto" w:fill="FFFFFF"/>
            <w:tcMar>
              <w:top w:w="0" w:type="dxa"/>
              <w:bottom w:w="0" w:type="dxa"/>
            </w:tcMar>
            <w:vAlign w:val="center"/>
          </w:tcPr>
          <w:p w14:paraId="6CD6CB3C" w14:textId="77777777" w:rsidR="004B0883" w:rsidRDefault="004B0883">
            <w:pPr>
              <w:jc w:val="right"/>
              <w:rPr>
                <w:rFonts w:eastAsia="等线"/>
                <w:color w:val="000000"/>
                <w:sz w:val="20"/>
                <w:szCs w:val="20"/>
              </w:rPr>
            </w:pPr>
            <w:r>
              <w:rPr>
                <w:rFonts w:eastAsia="等线"/>
                <w:color w:val="000000"/>
                <w:sz w:val="20"/>
                <w:szCs w:val="20"/>
              </w:rPr>
              <w:t>1.73</w:t>
            </w:r>
          </w:p>
        </w:tc>
        <w:tc>
          <w:tcPr>
            <w:tcW w:w="978" w:type="pct"/>
            <w:shd w:val="clear" w:color="auto" w:fill="FFFFFF"/>
            <w:tcMar>
              <w:top w:w="0" w:type="dxa"/>
              <w:bottom w:w="0" w:type="dxa"/>
            </w:tcMar>
            <w:vAlign w:val="center"/>
          </w:tcPr>
          <w:p w14:paraId="073FB8A8" w14:textId="77777777" w:rsidR="004B0883" w:rsidRDefault="004B0883">
            <w:pPr>
              <w:jc w:val="right"/>
              <w:rPr>
                <w:rFonts w:eastAsia="等线"/>
                <w:color w:val="000000"/>
                <w:sz w:val="20"/>
                <w:szCs w:val="20"/>
              </w:rPr>
            </w:pPr>
            <w:r>
              <w:rPr>
                <w:rFonts w:eastAsia="等线"/>
                <w:color w:val="000000"/>
                <w:sz w:val="20"/>
                <w:szCs w:val="20"/>
              </w:rPr>
              <w:t>1.56</w:t>
            </w:r>
          </w:p>
        </w:tc>
      </w:tr>
      <w:tr w:rsidR="004B0883" w14:paraId="17054106" w14:textId="77777777">
        <w:trPr>
          <w:trHeight w:val="397"/>
          <w:jc w:val="center"/>
        </w:trPr>
        <w:tc>
          <w:tcPr>
            <w:tcW w:w="1083" w:type="pct"/>
            <w:shd w:val="clear" w:color="auto" w:fill="FFFFFF"/>
            <w:tcMar>
              <w:top w:w="0" w:type="dxa"/>
              <w:bottom w:w="0" w:type="dxa"/>
            </w:tcMar>
            <w:vAlign w:val="center"/>
          </w:tcPr>
          <w:p w14:paraId="1C77D417" w14:textId="77777777" w:rsidR="004B0883" w:rsidRDefault="004B0883">
            <w:pPr>
              <w:jc w:val="center"/>
              <w:rPr>
                <w:rFonts w:hint="eastAsia"/>
                <w:color w:val="000000"/>
                <w:sz w:val="20"/>
                <w:szCs w:val="20"/>
              </w:rPr>
            </w:pPr>
            <w:r>
              <w:rPr>
                <w:rFonts w:hint="eastAsia"/>
                <w:color w:val="000000"/>
                <w:sz w:val="20"/>
                <w:szCs w:val="20"/>
              </w:rPr>
              <w:t>中核科技</w:t>
            </w:r>
          </w:p>
        </w:tc>
        <w:tc>
          <w:tcPr>
            <w:tcW w:w="979" w:type="pct"/>
            <w:shd w:val="clear" w:color="auto" w:fill="FFFFFF"/>
            <w:tcMar>
              <w:top w:w="0" w:type="dxa"/>
              <w:bottom w:w="0" w:type="dxa"/>
            </w:tcMar>
            <w:vAlign w:val="center"/>
          </w:tcPr>
          <w:p w14:paraId="3C102ABB" w14:textId="77777777" w:rsidR="004B0883" w:rsidRDefault="004B0883">
            <w:pPr>
              <w:jc w:val="right"/>
              <w:rPr>
                <w:rFonts w:eastAsia="等线"/>
                <w:color w:val="000000"/>
                <w:sz w:val="20"/>
                <w:szCs w:val="20"/>
              </w:rPr>
            </w:pPr>
            <w:r>
              <w:rPr>
                <w:rFonts w:eastAsia="等线"/>
                <w:color w:val="000000"/>
                <w:sz w:val="20"/>
                <w:szCs w:val="20"/>
              </w:rPr>
              <w:t>1.</w:t>
            </w:r>
            <w:r>
              <w:rPr>
                <w:rFonts w:eastAsia="等线" w:hint="eastAsia"/>
                <w:color w:val="000000"/>
                <w:sz w:val="20"/>
                <w:szCs w:val="20"/>
              </w:rPr>
              <w:t>47</w:t>
            </w:r>
          </w:p>
        </w:tc>
        <w:tc>
          <w:tcPr>
            <w:tcW w:w="980" w:type="pct"/>
            <w:shd w:val="clear" w:color="auto" w:fill="FFFFFF"/>
            <w:tcMar>
              <w:top w:w="0" w:type="dxa"/>
              <w:bottom w:w="0" w:type="dxa"/>
            </w:tcMar>
            <w:vAlign w:val="center"/>
          </w:tcPr>
          <w:p w14:paraId="5344207F" w14:textId="77777777" w:rsidR="004B0883" w:rsidRDefault="004B0883">
            <w:pPr>
              <w:jc w:val="right"/>
              <w:rPr>
                <w:rFonts w:eastAsia="等线"/>
                <w:color w:val="000000"/>
                <w:sz w:val="20"/>
                <w:szCs w:val="20"/>
              </w:rPr>
            </w:pPr>
            <w:r>
              <w:rPr>
                <w:rFonts w:eastAsia="等线"/>
                <w:color w:val="000000"/>
                <w:sz w:val="20"/>
                <w:szCs w:val="20"/>
              </w:rPr>
              <w:t>2.08</w:t>
            </w:r>
          </w:p>
        </w:tc>
        <w:tc>
          <w:tcPr>
            <w:tcW w:w="980" w:type="pct"/>
            <w:shd w:val="clear" w:color="auto" w:fill="FFFFFF"/>
            <w:tcMar>
              <w:top w:w="0" w:type="dxa"/>
              <w:bottom w:w="0" w:type="dxa"/>
            </w:tcMar>
            <w:vAlign w:val="center"/>
          </w:tcPr>
          <w:p w14:paraId="779F9CCC" w14:textId="77777777" w:rsidR="004B0883" w:rsidRDefault="004B0883">
            <w:pPr>
              <w:jc w:val="right"/>
              <w:rPr>
                <w:rFonts w:eastAsia="等线"/>
                <w:color w:val="000000"/>
                <w:sz w:val="20"/>
                <w:szCs w:val="20"/>
              </w:rPr>
            </w:pPr>
            <w:r>
              <w:rPr>
                <w:rFonts w:eastAsia="等线"/>
                <w:color w:val="000000"/>
                <w:sz w:val="20"/>
                <w:szCs w:val="20"/>
              </w:rPr>
              <w:t>2.36</w:t>
            </w:r>
          </w:p>
        </w:tc>
        <w:tc>
          <w:tcPr>
            <w:tcW w:w="978" w:type="pct"/>
            <w:shd w:val="clear" w:color="auto" w:fill="FFFFFF"/>
            <w:tcMar>
              <w:top w:w="0" w:type="dxa"/>
              <w:bottom w:w="0" w:type="dxa"/>
            </w:tcMar>
            <w:vAlign w:val="center"/>
          </w:tcPr>
          <w:p w14:paraId="414F3732" w14:textId="77777777" w:rsidR="004B0883" w:rsidRDefault="004B0883">
            <w:pPr>
              <w:jc w:val="right"/>
              <w:rPr>
                <w:rFonts w:eastAsia="等线"/>
                <w:color w:val="000000"/>
                <w:sz w:val="20"/>
                <w:szCs w:val="20"/>
              </w:rPr>
            </w:pPr>
            <w:r>
              <w:rPr>
                <w:rFonts w:eastAsia="等线"/>
                <w:color w:val="000000"/>
                <w:sz w:val="20"/>
                <w:szCs w:val="20"/>
              </w:rPr>
              <w:t>2.09</w:t>
            </w:r>
          </w:p>
        </w:tc>
      </w:tr>
      <w:tr w:rsidR="004B0883" w14:paraId="46D9CE46" w14:textId="77777777">
        <w:trPr>
          <w:trHeight w:val="397"/>
          <w:jc w:val="center"/>
        </w:trPr>
        <w:tc>
          <w:tcPr>
            <w:tcW w:w="1083" w:type="pct"/>
            <w:shd w:val="clear" w:color="auto" w:fill="FFFFFF"/>
            <w:tcMar>
              <w:top w:w="0" w:type="dxa"/>
              <w:bottom w:w="0" w:type="dxa"/>
            </w:tcMar>
            <w:vAlign w:val="center"/>
          </w:tcPr>
          <w:p w14:paraId="3F9C3E13" w14:textId="77777777" w:rsidR="004B0883" w:rsidRDefault="004B0883">
            <w:pPr>
              <w:widowControl w:val="0"/>
              <w:adjustRightInd w:val="0"/>
              <w:snapToGrid w:val="0"/>
              <w:jc w:val="center"/>
              <w:rPr>
                <w:b/>
                <w:bCs/>
                <w:color w:val="000000"/>
                <w:sz w:val="20"/>
                <w:szCs w:val="20"/>
              </w:rPr>
            </w:pPr>
            <w:r>
              <w:rPr>
                <w:rFonts w:hint="eastAsia"/>
                <w:b/>
                <w:color w:val="000000"/>
                <w:sz w:val="20"/>
                <w:szCs w:val="20"/>
              </w:rPr>
              <w:t>平均值</w:t>
            </w:r>
          </w:p>
        </w:tc>
        <w:tc>
          <w:tcPr>
            <w:tcW w:w="979" w:type="pct"/>
            <w:shd w:val="clear" w:color="auto" w:fill="FFFFFF"/>
            <w:tcMar>
              <w:top w:w="0" w:type="dxa"/>
              <w:bottom w:w="0" w:type="dxa"/>
            </w:tcMar>
            <w:vAlign w:val="center"/>
          </w:tcPr>
          <w:p w14:paraId="68062FE6" w14:textId="77777777" w:rsidR="004B0883" w:rsidRDefault="004B0883">
            <w:pPr>
              <w:jc w:val="right"/>
              <w:rPr>
                <w:rFonts w:eastAsia="等线"/>
                <w:b/>
                <w:bCs/>
                <w:color w:val="000000"/>
                <w:sz w:val="20"/>
                <w:szCs w:val="20"/>
              </w:rPr>
            </w:pPr>
            <w:r>
              <w:rPr>
                <w:rFonts w:eastAsia="等线" w:hint="eastAsia"/>
                <w:b/>
                <w:bCs/>
                <w:color w:val="000000"/>
                <w:sz w:val="20"/>
                <w:szCs w:val="20"/>
              </w:rPr>
              <w:t>1.30</w:t>
            </w:r>
          </w:p>
        </w:tc>
        <w:tc>
          <w:tcPr>
            <w:tcW w:w="980" w:type="pct"/>
            <w:shd w:val="clear" w:color="auto" w:fill="FFFFFF"/>
            <w:tcMar>
              <w:top w:w="0" w:type="dxa"/>
              <w:bottom w:w="0" w:type="dxa"/>
            </w:tcMar>
            <w:vAlign w:val="center"/>
          </w:tcPr>
          <w:p w14:paraId="506871F4" w14:textId="77777777" w:rsidR="004B0883" w:rsidRDefault="004B0883">
            <w:pPr>
              <w:jc w:val="right"/>
              <w:rPr>
                <w:rFonts w:eastAsia="等线"/>
                <w:b/>
                <w:bCs/>
                <w:color w:val="000000"/>
                <w:sz w:val="20"/>
                <w:szCs w:val="20"/>
              </w:rPr>
            </w:pPr>
            <w:r>
              <w:rPr>
                <w:rFonts w:eastAsia="等线"/>
                <w:b/>
                <w:bCs/>
                <w:color w:val="000000"/>
                <w:sz w:val="20"/>
                <w:szCs w:val="20"/>
              </w:rPr>
              <w:t>1.73</w:t>
            </w:r>
          </w:p>
        </w:tc>
        <w:tc>
          <w:tcPr>
            <w:tcW w:w="980" w:type="pct"/>
            <w:shd w:val="clear" w:color="auto" w:fill="FFFFFF"/>
            <w:tcMar>
              <w:top w:w="0" w:type="dxa"/>
              <w:bottom w:w="0" w:type="dxa"/>
            </w:tcMar>
            <w:vAlign w:val="center"/>
          </w:tcPr>
          <w:p w14:paraId="51E890F4" w14:textId="77777777" w:rsidR="004B0883" w:rsidRDefault="004B0883">
            <w:pPr>
              <w:jc w:val="right"/>
              <w:rPr>
                <w:rFonts w:eastAsia="等线"/>
                <w:b/>
                <w:bCs/>
                <w:color w:val="000000"/>
                <w:sz w:val="20"/>
                <w:szCs w:val="20"/>
              </w:rPr>
            </w:pPr>
            <w:r>
              <w:rPr>
                <w:rFonts w:eastAsia="等线"/>
                <w:b/>
                <w:bCs/>
                <w:color w:val="000000"/>
                <w:sz w:val="20"/>
                <w:szCs w:val="20"/>
              </w:rPr>
              <w:t>1.91</w:t>
            </w:r>
          </w:p>
        </w:tc>
        <w:tc>
          <w:tcPr>
            <w:tcW w:w="978" w:type="pct"/>
            <w:shd w:val="clear" w:color="auto" w:fill="FFFFFF"/>
            <w:tcMar>
              <w:top w:w="0" w:type="dxa"/>
              <w:bottom w:w="0" w:type="dxa"/>
            </w:tcMar>
            <w:vAlign w:val="center"/>
          </w:tcPr>
          <w:p w14:paraId="620DCF62" w14:textId="77777777" w:rsidR="004B0883" w:rsidRDefault="004B0883">
            <w:pPr>
              <w:jc w:val="right"/>
              <w:rPr>
                <w:rFonts w:eastAsia="等线"/>
                <w:b/>
                <w:bCs/>
                <w:color w:val="000000"/>
                <w:sz w:val="20"/>
                <w:szCs w:val="20"/>
              </w:rPr>
            </w:pPr>
            <w:r>
              <w:rPr>
                <w:rFonts w:eastAsia="等线"/>
                <w:b/>
                <w:bCs/>
                <w:color w:val="000000"/>
                <w:sz w:val="20"/>
                <w:szCs w:val="20"/>
              </w:rPr>
              <w:t>1.78</w:t>
            </w:r>
          </w:p>
        </w:tc>
      </w:tr>
      <w:tr w:rsidR="004B0883" w14:paraId="6031FB0B" w14:textId="77777777">
        <w:trPr>
          <w:trHeight w:val="397"/>
          <w:jc w:val="center"/>
        </w:trPr>
        <w:tc>
          <w:tcPr>
            <w:tcW w:w="1083" w:type="pct"/>
            <w:shd w:val="clear" w:color="auto" w:fill="FFFFFF"/>
            <w:tcMar>
              <w:top w:w="0" w:type="dxa"/>
              <w:bottom w:w="0" w:type="dxa"/>
            </w:tcMar>
            <w:vAlign w:val="center"/>
          </w:tcPr>
          <w:p w14:paraId="2CCB2DF2" w14:textId="77777777" w:rsidR="004B0883" w:rsidRDefault="004B0883">
            <w:pPr>
              <w:widowControl w:val="0"/>
              <w:adjustRightInd w:val="0"/>
              <w:snapToGrid w:val="0"/>
              <w:jc w:val="center"/>
              <w:rPr>
                <w:b/>
                <w:color w:val="000000"/>
                <w:sz w:val="20"/>
                <w:szCs w:val="20"/>
              </w:rPr>
            </w:pPr>
            <w:r>
              <w:rPr>
                <w:rFonts w:hint="eastAsia"/>
                <w:b/>
                <w:color w:val="000000"/>
                <w:sz w:val="20"/>
                <w:szCs w:val="20"/>
              </w:rPr>
              <w:t>伟隆股份</w:t>
            </w:r>
          </w:p>
        </w:tc>
        <w:tc>
          <w:tcPr>
            <w:tcW w:w="979" w:type="pct"/>
            <w:shd w:val="clear" w:color="auto" w:fill="FFFFFF"/>
            <w:tcMar>
              <w:top w:w="0" w:type="dxa"/>
              <w:bottom w:w="0" w:type="dxa"/>
            </w:tcMar>
            <w:vAlign w:val="center"/>
          </w:tcPr>
          <w:p w14:paraId="09AE6094" w14:textId="77777777" w:rsidR="004B0883" w:rsidRDefault="004B0883">
            <w:pPr>
              <w:jc w:val="right"/>
              <w:rPr>
                <w:rFonts w:eastAsia="等线"/>
                <w:b/>
                <w:bCs/>
                <w:color w:val="000000"/>
                <w:kern w:val="0"/>
                <w:sz w:val="20"/>
                <w:szCs w:val="20"/>
              </w:rPr>
            </w:pPr>
            <w:r>
              <w:rPr>
                <w:rFonts w:eastAsia="等线" w:hint="eastAsia"/>
                <w:b/>
                <w:bCs/>
                <w:color w:val="000000"/>
                <w:kern w:val="0"/>
                <w:sz w:val="20"/>
                <w:szCs w:val="20"/>
              </w:rPr>
              <w:t>2.25</w:t>
            </w:r>
          </w:p>
        </w:tc>
        <w:tc>
          <w:tcPr>
            <w:tcW w:w="980" w:type="pct"/>
            <w:shd w:val="clear" w:color="auto" w:fill="FFFFFF"/>
            <w:tcMar>
              <w:top w:w="0" w:type="dxa"/>
              <w:bottom w:w="0" w:type="dxa"/>
            </w:tcMar>
            <w:vAlign w:val="center"/>
          </w:tcPr>
          <w:p w14:paraId="01BBC212" w14:textId="77777777" w:rsidR="004B0883" w:rsidRDefault="004B0883">
            <w:pPr>
              <w:jc w:val="right"/>
              <w:rPr>
                <w:rFonts w:eastAsia="等线"/>
                <w:b/>
                <w:bCs/>
                <w:color w:val="000000"/>
                <w:sz w:val="20"/>
                <w:szCs w:val="20"/>
              </w:rPr>
            </w:pPr>
            <w:r>
              <w:rPr>
                <w:rFonts w:eastAsia="等线"/>
                <w:b/>
                <w:bCs/>
                <w:color w:val="000000"/>
                <w:sz w:val="20"/>
                <w:szCs w:val="20"/>
              </w:rPr>
              <w:t>2.92</w:t>
            </w:r>
          </w:p>
        </w:tc>
        <w:tc>
          <w:tcPr>
            <w:tcW w:w="980" w:type="pct"/>
            <w:shd w:val="clear" w:color="auto" w:fill="FFFFFF"/>
            <w:tcMar>
              <w:top w:w="0" w:type="dxa"/>
              <w:bottom w:w="0" w:type="dxa"/>
            </w:tcMar>
            <w:vAlign w:val="center"/>
          </w:tcPr>
          <w:p w14:paraId="1B10D7C6" w14:textId="77777777" w:rsidR="004B0883" w:rsidRDefault="004B0883">
            <w:pPr>
              <w:jc w:val="right"/>
              <w:rPr>
                <w:rFonts w:eastAsia="等线"/>
                <w:b/>
                <w:bCs/>
                <w:color w:val="000000"/>
                <w:sz w:val="20"/>
                <w:szCs w:val="20"/>
              </w:rPr>
            </w:pPr>
            <w:r>
              <w:rPr>
                <w:rFonts w:eastAsia="等线"/>
                <w:b/>
                <w:bCs/>
                <w:color w:val="000000"/>
                <w:sz w:val="20"/>
                <w:szCs w:val="20"/>
              </w:rPr>
              <w:t>3.00</w:t>
            </w:r>
          </w:p>
        </w:tc>
        <w:tc>
          <w:tcPr>
            <w:tcW w:w="978" w:type="pct"/>
            <w:shd w:val="clear" w:color="auto" w:fill="FFFFFF"/>
            <w:tcMar>
              <w:top w:w="0" w:type="dxa"/>
              <w:bottom w:w="0" w:type="dxa"/>
            </w:tcMar>
            <w:vAlign w:val="center"/>
          </w:tcPr>
          <w:p w14:paraId="7032995A" w14:textId="77777777" w:rsidR="004B0883" w:rsidRDefault="004B0883">
            <w:pPr>
              <w:jc w:val="right"/>
              <w:rPr>
                <w:rFonts w:eastAsia="等线"/>
                <w:b/>
                <w:bCs/>
                <w:color w:val="000000"/>
                <w:sz w:val="20"/>
                <w:szCs w:val="20"/>
              </w:rPr>
            </w:pPr>
            <w:r>
              <w:rPr>
                <w:rFonts w:eastAsia="等线"/>
                <w:b/>
                <w:bCs/>
                <w:color w:val="000000"/>
                <w:sz w:val="20"/>
                <w:szCs w:val="20"/>
              </w:rPr>
              <w:t>3.13</w:t>
            </w:r>
          </w:p>
        </w:tc>
      </w:tr>
    </w:tbl>
    <w:p w14:paraId="7878BDD1"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报告期各期，公司存货周转率均高于行业平均水平，主要</w:t>
      </w:r>
      <w:r>
        <w:rPr>
          <w:rFonts w:hint="eastAsia"/>
          <w:sz w:val="24"/>
        </w:rPr>
        <w:t>系公司主要</w:t>
      </w:r>
      <w:r>
        <w:rPr>
          <w:rFonts w:ascii="宋体" w:hAnsi="宋体" w:hint="eastAsia"/>
          <w:sz w:val="24"/>
          <w:szCs w:val="24"/>
        </w:rPr>
        <w:t>阀门产品采取“以销定产”的生产制造模式，库存积压相对较小</w:t>
      </w:r>
      <w:r>
        <w:rPr>
          <w:rFonts w:hint="eastAsia"/>
          <w:sz w:val="24"/>
          <w:szCs w:val="22"/>
        </w:rPr>
        <w:t>。</w:t>
      </w:r>
    </w:p>
    <w:p w14:paraId="4B16FF8C" w14:textId="77777777" w:rsidR="004B0883" w:rsidRDefault="004B0883">
      <w:pPr>
        <w:widowControl w:val="0"/>
        <w:spacing w:beforeLines="50" w:before="120" w:line="360" w:lineRule="auto"/>
        <w:ind w:firstLineChars="200" w:firstLine="480"/>
        <w:jc w:val="both"/>
        <w:rPr>
          <w:sz w:val="24"/>
          <w:szCs w:val="22"/>
        </w:rPr>
      </w:pPr>
      <w:r>
        <w:rPr>
          <w:sz w:val="24"/>
          <w:szCs w:val="22"/>
        </w:rPr>
        <w:t>3</w:t>
      </w:r>
      <w:r>
        <w:rPr>
          <w:rFonts w:hint="eastAsia"/>
          <w:sz w:val="24"/>
          <w:szCs w:val="22"/>
        </w:rPr>
        <w:t>）存货退换货情况</w:t>
      </w:r>
    </w:p>
    <w:p w14:paraId="4C568B2E" w14:textId="77777777" w:rsidR="004B0883" w:rsidRDefault="004B0883">
      <w:pPr>
        <w:pStyle w:val="005"/>
        <w:spacing w:before="120"/>
        <w:ind w:firstLine="480"/>
      </w:pPr>
      <w:r>
        <w:t>报告期各期，公司退换货以及退换货占当期营业收入的情况如下</w:t>
      </w:r>
    </w:p>
    <w:p w14:paraId="2F263E13" w14:textId="77777777" w:rsidR="004B0883" w:rsidRDefault="004B0883">
      <w:pPr>
        <w:jc w:val="right"/>
      </w:pPr>
      <w: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414"/>
        <w:gridCol w:w="1510"/>
        <w:gridCol w:w="1510"/>
        <w:gridCol w:w="1419"/>
        <w:gridCol w:w="1427"/>
      </w:tblGrid>
      <w:tr w:rsidR="004B0883" w14:paraId="0C63DC1A" w14:textId="77777777">
        <w:trPr>
          <w:trHeight w:val="397"/>
          <w:tblHeader/>
          <w:jc w:val="center"/>
        </w:trPr>
        <w:tc>
          <w:tcPr>
            <w:tcW w:w="2490" w:type="dxa"/>
            <w:shd w:val="clear" w:color="auto" w:fill="D9D9D9"/>
            <w:vAlign w:val="center"/>
          </w:tcPr>
          <w:p w14:paraId="69283AFD" w14:textId="77777777" w:rsidR="004B0883" w:rsidRDefault="004B0883">
            <w:pPr>
              <w:jc w:val="center"/>
              <w:rPr>
                <w:b/>
                <w:bCs/>
                <w:kern w:val="0"/>
              </w:rPr>
            </w:pPr>
            <w:r>
              <w:rPr>
                <w:b/>
                <w:bCs/>
                <w:kern w:val="0"/>
              </w:rPr>
              <w:t>项目</w:t>
            </w:r>
          </w:p>
        </w:tc>
        <w:tc>
          <w:tcPr>
            <w:tcW w:w="1554" w:type="dxa"/>
            <w:shd w:val="clear" w:color="auto" w:fill="D9D9D9"/>
            <w:vAlign w:val="center"/>
          </w:tcPr>
          <w:p w14:paraId="476BDED1" w14:textId="77777777" w:rsidR="004B0883" w:rsidRDefault="004B0883">
            <w:pPr>
              <w:jc w:val="center"/>
              <w:rPr>
                <w:b/>
                <w:bCs/>
                <w:kern w:val="0"/>
              </w:rPr>
            </w:pPr>
            <w:r>
              <w:rPr>
                <w:b/>
                <w:bCs/>
                <w:sz w:val="20"/>
                <w:szCs w:val="20"/>
              </w:rPr>
              <w:t>2023</w:t>
            </w:r>
            <w:r>
              <w:rPr>
                <w:rFonts w:hint="eastAsia"/>
                <w:b/>
                <w:bCs/>
                <w:sz w:val="20"/>
                <w:szCs w:val="20"/>
              </w:rPr>
              <w:t>年</w:t>
            </w:r>
            <w:r>
              <w:rPr>
                <w:b/>
                <w:bCs/>
                <w:sz w:val="20"/>
                <w:szCs w:val="20"/>
              </w:rPr>
              <w:t>1-</w:t>
            </w:r>
            <w:r>
              <w:rPr>
                <w:rFonts w:hint="eastAsia"/>
                <w:b/>
                <w:bCs/>
                <w:sz w:val="20"/>
                <w:szCs w:val="20"/>
              </w:rPr>
              <w:t>9</w:t>
            </w:r>
            <w:r>
              <w:rPr>
                <w:rFonts w:hint="eastAsia"/>
                <w:b/>
                <w:bCs/>
                <w:sz w:val="20"/>
                <w:szCs w:val="20"/>
              </w:rPr>
              <w:t>月</w:t>
            </w:r>
          </w:p>
        </w:tc>
        <w:tc>
          <w:tcPr>
            <w:tcW w:w="1554" w:type="dxa"/>
            <w:shd w:val="clear" w:color="auto" w:fill="D9D9D9"/>
            <w:vAlign w:val="center"/>
          </w:tcPr>
          <w:p w14:paraId="104FC8C7" w14:textId="77777777" w:rsidR="004B0883" w:rsidRDefault="004B0883">
            <w:pPr>
              <w:jc w:val="center"/>
              <w:rPr>
                <w:b/>
                <w:bCs/>
                <w:kern w:val="0"/>
              </w:rPr>
            </w:pPr>
            <w:r>
              <w:rPr>
                <w:b/>
                <w:bCs/>
                <w:sz w:val="20"/>
                <w:szCs w:val="20"/>
              </w:rPr>
              <w:t>2022</w:t>
            </w:r>
            <w:r>
              <w:rPr>
                <w:rFonts w:hint="eastAsia"/>
                <w:b/>
                <w:bCs/>
                <w:sz w:val="20"/>
                <w:szCs w:val="20"/>
              </w:rPr>
              <w:t>年度</w:t>
            </w:r>
          </w:p>
        </w:tc>
        <w:tc>
          <w:tcPr>
            <w:tcW w:w="1460" w:type="dxa"/>
            <w:shd w:val="clear" w:color="auto" w:fill="D9D9D9"/>
            <w:vAlign w:val="center"/>
          </w:tcPr>
          <w:p w14:paraId="5FD62D64" w14:textId="77777777" w:rsidR="004B0883" w:rsidRDefault="004B0883">
            <w:pPr>
              <w:jc w:val="center"/>
              <w:rPr>
                <w:b/>
                <w:bCs/>
                <w:kern w:val="0"/>
              </w:rPr>
            </w:pPr>
            <w:r>
              <w:rPr>
                <w:b/>
                <w:bCs/>
                <w:sz w:val="20"/>
                <w:szCs w:val="20"/>
              </w:rPr>
              <w:t>2021</w:t>
            </w:r>
            <w:r>
              <w:rPr>
                <w:rFonts w:hint="eastAsia"/>
                <w:b/>
                <w:bCs/>
                <w:sz w:val="20"/>
                <w:szCs w:val="20"/>
              </w:rPr>
              <w:t>年度</w:t>
            </w:r>
          </w:p>
        </w:tc>
        <w:tc>
          <w:tcPr>
            <w:tcW w:w="1468" w:type="dxa"/>
            <w:shd w:val="clear" w:color="auto" w:fill="D9D9D9"/>
            <w:vAlign w:val="center"/>
          </w:tcPr>
          <w:p w14:paraId="369850E3" w14:textId="77777777" w:rsidR="004B0883" w:rsidRDefault="004B0883">
            <w:pPr>
              <w:jc w:val="center"/>
              <w:rPr>
                <w:b/>
                <w:bCs/>
                <w:kern w:val="0"/>
              </w:rPr>
            </w:pPr>
            <w:r>
              <w:rPr>
                <w:b/>
                <w:bCs/>
                <w:sz w:val="20"/>
                <w:szCs w:val="20"/>
              </w:rPr>
              <w:t>2020</w:t>
            </w:r>
            <w:r>
              <w:rPr>
                <w:rFonts w:hint="eastAsia"/>
                <w:b/>
                <w:bCs/>
                <w:sz w:val="20"/>
                <w:szCs w:val="20"/>
              </w:rPr>
              <w:t>年度</w:t>
            </w:r>
          </w:p>
        </w:tc>
      </w:tr>
      <w:tr w:rsidR="004B0883" w14:paraId="29E752A1" w14:textId="77777777">
        <w:trPr>
          <w:trHeight w:val="397"/>
          <w:tblHeader/>
          <w:jc w:val="center"/>
        </w:trPr>
        <w:tc>
          <w:tcPr>
            <w:tcW w:w="2490" w:type="dxa"/>
            <w:vAlign w:val="center"/>
          </w:tcPr>
          <w:p w14:paraId="6DFF776E" w14:textId="77777777" w:rsidR="004B0883" w:rsidRDefault="004B0883">
            <w:pPr>
              <w:jc w:val="center"/>
              <w:rPr>
                <w:kern w:val="0"/>
              </w:rPr>
            </w:pPr>
            <w:r>
              <w:rPr>
                <w:kern w:val="0"/>
              </w:rPr>
              <w:t>退换货金额</w:t>
            </w:r>
          </w:p>
        </w:tc>
        <w:tc>
          <w:tcPr>
            <w:tcW w:w="1554" w:type="dxa"/>
            <w:vAlign w:val="center"/>
          </w:tcPr>
          <w:p w14:paraId="7C95BAAE" w14:textId="77777777" w:rsidR="004B0883" w:rsidRDefault="004B0883">
            <w:pPr>
              <w:jc w:val="right"/>
              <w:rPr>
                <w:bCs/>
                <w:kern w:val="0"/>
              </w:rPr>
            </w:pPr>
            <w:r>
              <w:rPr>
                <w:bCs/>
                <w:kern w:val="0"/>
              </w:rPr>
              <w:t>128.32</w:t>
            </w:r>
          </w:p>
        </w:tc>
        <w:tc>
          <w:tcPr>
            <w:tcW w:w="1554" w:type="dxa"/>
            <w:vAlign w:val="center"/>
          </w:tcPr>
          <w:p w14:paraId="1727B201" w14:textId="77777777" w:rsidR="004B0883" w:rsidRDefault="004B0883">
            <w:pPr>
              <w:jc w:val="right"/>
              <w:rPr>
                <w:bCs/>
                <w:kern w:val="0"/>
              </w:rPr>
            </w:pPr>
            <w:r>
              <w:rPr>
                <w:bCs/>
                <w:kern w:val="0"/>
              </w:rPr>
              <w:t>84.56</w:t>
            </w:r>
          </w:p>
        </w:tc>
        <w:tc>
          <w:tcPr>
            <w:tcW w:w="1460" w:type="dxa"/>
            <w:vAlign w:val="center"/>
          </w:tcPr>
          <w:p w14:paraId="68E48F87" w14:textId="77777777" w:rsidR="004B0883" w:rsidRDefault="004B0883">
            <w:pPr>
              <w:jc w:val="right"/>
              <w:rPr>
                <w:bCs/>
                <w:kern w:val="0"/>
              </w:rPr>
            </w:pPr>
            <w:r>
              <w:rPr>
                <w:bCs/>
                <w:kern w:val="0"/>
              </w:rPr>
              <w:t>232.18</w:t>
            </w:r>
          </w:p>
        </w:tc>
        <w:tc>
          <w:tcPr>
            <w:tcW w:w="1468" w:type="dxa"/>
            <w:vAlign w:val="center"/>
          </w:tcPr>
          <w:p w14:paraId="23630C9B" w14:textId="77777777" w:rsidR="004B0883" w:rsidRDefault="004B0883">
            <w:pPr>
              <w:jc w:val="right"/>
              <w:rPr>
                <w:bCs/>
                <w:kern w:val="0"/>
              </w:rPr>
            </w:pPr>
            <w:r>
              <w:rPr>
                <w:bCs/>
                <w:kern w:val="0"/>
              </w:rPr>
              <w:t>51.64</w:t>
            </w:r>
          </w:p>
        </w:tc>
      </w:tr>
      <w:tr w:rsidR="004B0883" w14:paraId="6C5A1F19" w14:textId="77777777">
        <w:trPr>
          <w:trHeight w:val="397"/>
          <w:tblHeader/>
          <w:jc w:val="center"/>
        </w:trPr>
        <w:tc>
          <w:tcPr>
            <w:tcW w:w="2490" w:type="dxa"/>
            <w:vAlign w:val="center"/>
          </w:tcPr>
          <w:p w14:paraId="2A59A66F" w14:textId="77777777" w:rsidR="004B0883" w:rsidRDefault="004B0883">
            <w:pPr>
              <w:jc w:val="center"/>
              <w:rPr>
                <w:kern w:val="0"/>
              </w:rPr>
            </w:pPr>
            <w:r>
              <w:rPr>
                <w:kern w:val="0"/>
              </w:rPr>
              <w:t>营业收入</w:t>
            </w:r>
          </w:p>
        </w:tc>
        <w:tc>
          <w:tcPr>
            <w:tcW w:w="1554" w:type="dxa"/>
            <w:vAlign w:val="center"/>
          </w:tcPr>
          <w:p w14:paraId="4C52AFCA" w14:textId="77777777" w:rsidR="004B0883" w:rsidRDefault="004B0883">
            <w:pPr>
              <w:jc w:val="right"/>
              <w:rPr>
                <w:bCs/>
                <w:kern w:val="0"/>
              </w:rPr>
            </w:pPr>
            <w:r>
              <w:rPr>
                <w:kern w:val="0"/>
              </w:rPr>
              <w:t>39,909.71</w:t>
            </w:r>
          </w:p>
        </w:tc>
        <w:tc>
          <w:tcPr>
            <w:tcW w:w="1554" w:type="dxa"/>
            <w:vAlign w:val="center"/>
          </w:tcPr>
          <w:p w14:paraId="1B2EAC74" w14:textId="77777777" w:rsidR="004B0883" w:rsidRDefault="004B0883">
            <w:pPr>
              <w:jc w:val="right"/>
              <w:rPr>
                <w:bCs/>
                <w:kern w:val="0"/>
              </w:rPr>
            </w:pPr>
            <w:r>
              <w:rPr>
                <w:kern w:val="0"/>
              </w:rPr>
              <w:t>54,014.16</w:t>
            </w:r>
          </w:p>
        </w:tc>
        <w:tc>
          <w:tcPr>
            <w:tcW w:w="1460" w:type="dxa"/>
            <w:vAlign w:val="center"/>
          </w:tcPr>
          <w:p w14:paraId="689AB056" w14:textId="77777777" w:rsidR="004B0883" w:rsidRDefault="004B0883">
            <w:pPr>
              <w:jc w:val="right"/>
              <w:rPr>
                <w:bCs/>
                <w:kern w:val="0"/>
              </w:rPr>
            </w:pPr>
            <w:r>
              <w:rPr>
                <w:kern w:val="0"/>
              </w:rPr>
              <w:t>41,516.27</w:t>
            </w:r>
          </w:p>
        </w:tc>
        <w:tc>
          <w:tcPr>
            <w:tcW w:w="1468" w:type="dxa"/>
            <w:vAlign w:val="center"/>
          </w:tcPr>
          <w:p w14:paraId="116BB70D" w14:textId="77777777" w:rsidR="004B0883" w:rsidRDefault="004B0883">
            <w:pPr>
              <w:jc w:val="right"/>
              <w:rPr>
                <w:bCs/>
                <w:kern w:val="0"/>
              </w:rPr>
            </w:pPr>
            <w:r>
              <w:rPr>
                <w:kern w:val="0"/>
              </w:rPr>
              <w:t>34,459.00</w:t>
            </w:r>
          </w:p>
        </w:tc>
      </w:tr>
      <w:tr w:rsidR="004B0883" w14:paraId="761560A3" w14:textId="77777777">
        <w:trPr>
          <w:trHeight w:val="397"/>
          <w:tblHeader/>
          <w:jc w:val="center"/>
        </w:trPr>
        <w:tc>
          <w:tcPr>
            <w:tcW w:w="2490" w:type="dxa"/>
            <w:vAlign w:val="center"/>
          </w:tcPr>
          <w:p w14:paraId="5867F6D2" w14:textId="77777777" w:rsidR="004B0883" w:rsidRDefault="004B0883">
            <w:pPr>
              <w:jc w:val="center"/>
              <w:rPr>
                <w:b/>
                <w:bCs/>
                <w:kern w:val="0"/>
              </w:rPr>
            </w:pPr>
            <w:r>
              <w:rPr>
                <w:b/>
                <w:bCs/>
                <w:kern w:val="0"/>
              </w:rPr>
              <w:t>退换货金额比例</w:t>
            </w:r>
          </w:p>
        </w:tc>
        <w:tc>
          <w:tcPr>
            <w:tcW w:w="1554" w:type="dxa"/>
            <w:vAlign w:val="center"/>
          </w:tcPr>
          <w:p w14:paraId="2774B021" w14:textId="77777777" w:rsidR="004B0883" w:rsidRDefault="004B0883">
            <w:pPr>
              <w:jc w:val="right"/>
              <w:rPr>
                <w:b/>
                <w:bCs/>
                <w:kern w:val="0"/>
              </w:rPr>
            </w:pPr>
            <w:r>
              <w:rPr>
                <w:rFonts w:hint="eastAsia"/>
                <w:b/>
                <w:bCs/>
                <w:kern w:val="0"/>
              </w:rPr>
              <w:t>0</w:t>
            </w:r>
            <w:r>
              <w:rPr>
                <w:b/>
                <w:bCs/>
                <w:kern w:val="0"/>
              </w:rPr>
              <w:t>.32%</w:t>
            </w:r>
          </w:p>
        </w:tc>
        <w:tc>
          <w:tcPr>
            <w:tcW w:w="1554" w:type="dxa"/>
            <w:vAlign w:val="center"/>
          </w:tcPr>
          <w:p w14:paraId="4295B3A9" w14:textId="77777777" w:rsidR="004B0883" w:rsidRDefault="004B0883">
            <w:pPr>
              <w:jc w:val="right"/>
              <w:rPr>
                <w:b/>
                <w:bCs/>
                <w:kern w:val="0"/>
              </w:rPr>
            </w:pPr>
            <w:r>
              <w:rPr>
                <w:b/>
                <w:bCs/>
                <w:kern w:val="0"/>
              </w:rPr>
              <w:t>0.16%</w:t>
            </w:r>
          </w:p>
        </w:tc>
        <w:tc>
          <w:tcPr>
            <w:tcW w:w="1460" w:type="dxa"/>
            <w:vAlign w:val="center"/>
          </w:tcPr>
          <w:p w14:paraId="041A33CA" w14:textId="77777777" w:rsidR="004B0883" w:rsidRDefault="004B0883">
            <w:pPr>
              <w:jc w:val="right"/>
              <w:rPr>
                <w:b/>
                <w:bCs/>
                <w:kern w:val="0"/>
              </w:rPr>
            </w:pPr>
            <w:r>
              <w:rPr>
                <w:b/>
                <w:bCs/>
                <w:kern w:val="0"/>
              </w:rPr>
              <w:t>0.56%</w:t>
            </w:r>
          </w:p>
        </w:tc>
        <w:tc>
          <w:tcPr>
            <w:tcW w:w="1468" w:type="dxa"/>
            <w:vAlign w:val="center"/>
          </w:tcPr>
          <w:p w14:paraId="7C41743E" w14:textId="77777777" w:rsidR="004B0883" w:rsidRDefault="004B0883">
            <w:pPr>
              <w:jc w:val="right"/>
              <w:rPr>
                <w:b/>
                <w:bCs/>
                <w:kern w:val="0"/>
              </w:rPr>
            </w:pPr>
            <w:r>
              <w:rPr>
                <w:b/>
                <w:bCs/>
                <w:kern w:val="0"/>
              </w:rPr>
              <w:t>0.15%</w:t>
            </w:r>
          </w:p>
        </w:tc>
      </w:tr>
    </w:tbl>
    <w:p w14:paraId="2D293FA2" w14:textId="77777777" w:rsidR="004B0883" w:rsidRDefault="004B0883">
      <w:pPr>
        <w:pStyle w:val="005"/>
        <w:spacing w:before="120"/>
        <w:ind w:firstLine="480"/>
      </w:pPr>
      <w:r>
        <w:t>报告期各期，公司退换货金额较小，退换货金额占当期营业收入的比例极低。</w:t>
      </w:r>
    </w:p>
    <w:p w14:paraId="227AEB6A" w14:textId="77777777" w:rsidR="004B0883" w:rsidRDefault="004B0883">
      <w:pPr>
        <w:keepNext/>
        <w:keepLines/>
        <w:widowControl w:val="0"/>
        <w:spacing w:beforeLines="50" w:before="120" w:line="360" w:lineRule="auto"/>
        <w:ind w:firstLineChars="200" w:firstLine="480"/>
        <w:jc w:val="both"/>
        <w:outlineLvl w:val="4"/>
        <w:rPr>
          <w:sz w:val="24"/>
          <w:szCs w:val="22"/>
        </w:rPr>
      </w:pPr>
      <w:bookmarkStart w:id="319" w:name="_Hlk50302691"/>
      <w:r>
        <w:rPr>
          <w:rFonts w:hint="eastAsia"/>
          <w:sz w:val="24"/>
          <w:szCs w:val="22"/>
        </w:rPr>
        <w:t>（</w:t>
      </w:r>
      <w:r>
        <w:rPr>
          <w:sz w:val="24"/>
          <w:szCs w:val="22"/>
        </w:rPr>
        <w:t>5</w:t>
      </w:r>
      <w:r>
        <w:rPr>
          <w:rFonts w:hint="eastAsia"/>
          <w:sz w:val="24"/>
          <w:szCs w:val="22"/>
        </w:rPr>
        <w:t>）其他流动资产</w:t>
      </w:r>
    </w:p>
    <w:p w14:paraId="60A618DF"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报告期各期末，公司其他流动资产情况如下：</w:t>
      </w:r>
    </w:p>
    <w:p w14:paraId="5F151B45" w14:textId="77777777" w:rsidR="004B0883" w:rsidRDefault="004B0883">
      <w:pPr>
        <w:pStyle w:val="009"/>
      </w:pPr>
      <w:r>
        <w:rPr>
          <w:rFonts w:hint="eastAsia"/>
        </w:rP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976"/>
        <w:gridCol w:w="1576"/>
        <w:gridCol w:w="1576"/>
        <w:gridCol w:w="1576"/>
        <w:gridCol w:w="1576"/>
      </w:tblGrid>
      <w:tr w:rsidR="004B0883" w14:paraId="4A7E781D" w14:textId="77777777">
        <w:trPr>
          <w:trHeight w:val="397"/>
          <w:jc w:val="center"/>
        </w:trPr>
        <w:tc>
          <w:tcPr>
            <w:tcW w:w="2036" w:type="dxa"/>
            <w:shd w:val="clear" w:color="auto" w:fill="D9D9D9"/>
            <w:vAlign w:val="center"/>
          </w:tcPr>
          <w:p w14:paraId="47C4145C" w14:textId="77777777" w:rsidR="004B0883" w:rsidRDefault="004B0883">
            <w:pPr>
              <w:adjustRightInd w:val="0"/>
              <w:snapToGrid w:val="0"/>
              <w:jc w:val="center"/>
              <w:rPr>
                <w:b/>
                <w:bCs/>
                <w:color w:val="000000"/>
                <w:kern w:val="0"/>
              </w:rPr>
            </w:pPr>
            <w:r>
              <w:rPr>
                <w:b/>
                <w:bCs/>
                <w:color w:val="000000"/>
                <w:kern w:val="0"/>
              </w:rPr>
              <w:t>项目</w:t>
            </w:r>
          </w:p>
        </w:tc>
        <w:tc>
          <w:tcPr>
            <w:tcW w:w="1623" w:type="dxa"/>
            <w:shd w:val="clear" w:color="auto" w:fill="D9D9D9"/>
            <w:vAlign w:val="center"/>
          </w:tcPr>
          <w:p w14:paraId="484DF5A6" w14:textId="77777777" w:rsidR="004B0883" w:rsidRDefault="004B0883">
            <w:pPr>
              <w:adjustRightInd w:val="0"/>
              <w:snapToGrid w:val="0"/>
              <w:jc w:val="center"/>
              <w:rPr>
                <w:b/>
                <w:bCs/>
                <w:color w:val="000000"/>
                <w:kern w:val="0"/>
              </w:rPr>
            </w:pPr>
            <w:r>
              <w:rPr>
                <w:b/>
                <w:bCs/>
                <w:color w:val="000000"/>
                <w:kern w:val="0"/>
              </w:rPr>
              <w:t>2023.</w:t>
            </w:r>
            <w:r>
              <w:rPr>
                <w:rFonts w:hint="eastAsia"/>
                <w:b/>
                <w:bCs/>
                <w:color w:val="000000"/>
                <w:kern w:val="0"/>
              </w:rPr>
              <w:t>9</w:t>
            </w:r>
            <w:r>
              <w:rPr>
                <w:b/>
                <w:bCs/>
                <w:color w:val="000000"/>
                <w:kern w:val="0"/>
              </w:rPr>
              <w:t>.30</w:t>
            </w:r>
          </w:p>
        </w:tc>
        <w:tc>
          <w:tcPr>
            <w:tcW w:w="1623" w:type="dxa"/>
            <w:shd w:val="clear" w:color="auto" w:fill="D9D9D9"/>
            <w:vAlign w:val="center"/>
          </w:tcPr>
          <w:p w14:paraId="71D5AE2E" w14:textId="77777777" w:rsidR="004B0883" w:rsidRDefault="004B0883">
            <w:pPr>
              <w:adjustRightInd w:val="0"/>
              <w:snapToGrid w:val="0"/>
              <w:jc w:val="center"/>
              <w:rPr>
                <w:b/>
                <w:bCs/>
                <w:color w:val="000000"/>
                <w:kern w:val="0"/>
              </w:rPr>
            </w:pPr>
            <w:r>
              <w:rPr>
                <w:b/>
                <w:bCs/>
                <w:color w:val="000000"/>
                <w:kern w:val="0"/>
              </w:rPr>
              <w:t>2022.12.31</w:t>
            </w:r>
          </w:p>
        </w:tc>
        <w:tc>
          <w:tcPr>
            <w:tcW w:w="1623" w:type="dxa"/>
            <w:shd w:val="clear" w:color="auto" w:fill="D9D9D9"/>
            <w:vAlign w:val="center"/>
          </w:tcPr>
          <w:p w14:paraId="2D88027D" w14:textId="77777777" w:rsidR="004B0883" w:rsidRDefault="004B0883">
            <w:pPr>
              <w:adjustRightInd w:val="0"/>
              <w:snapToGrid w:val="0"/>
              <w:jc w:val="center"/>
              <w:rPr>
                <w:b/>
                <w:bCs/>
                <w:color w:val="000000"/>
                <w:kern w:val="0"/>
              </w:rPr>
            </w:pPr>
            <w:r>
              <w:rPr>
                <w:b/>
                <w:bCs/>
                <w:color w:val="000000"/>
                <w:kern w:val="0"/>
              </w:rPr>
              <w:t>2021.12.31</w:t>
            </w:r>
          </w:p>
        </w:tc>
        <w:tc>
          <w:tcPr>
            <w:tcW w:w="1623" w:type="dxa"/>
            <w:shd w:val="clear" w:color="auto" w:fill="D9D9D9"/>
            <w:vAlign w:val="center"/>
          </w:tcPr>
          <w:p w14:paraId="55D43EEA" w14:textId="77777777" w:rsidR="004B0883" w:rsidRDefault="004B0883">
            <w:pPr>
              <w:adjustRightInd w:val="0"/>
              <w:snapToGrid w:val="0"/>
              <w:jc w:val="center"/>
              <w:rPr>
                <w:b/>
                <w:bCs/>
                <w:color w:val="000000"/>
                <w:kern w:val="0"/>
              </w:rPr>
            </w:pPr>
            <w:r>
              <w:rPr>
                <w:b/>
                <w:bCs/>
                <w:color w:val="000000"/>
                <w:kern w:val="0"/>
              </w:rPr>
              <w:t>2020.12.31</w:t>
            </w:r>
          </w:p>
        </w:tc>
      </w:tr>
      <w:tr w:rsidR="004B0883" w14:paraId="640ED853" w14:textId="77777777">
        <w:trPr>
          <w:trHeight w:val="397"/>
          <w:jc w:val="center"/>
        </w:trPr>
        <w:tc>
          <w:tcPr>
            <w:tcW w:w="2036" w:type="dxa"/>
            <w:vAlign w:val="center"/>
          </w:tcPr>
          <w:p w14:paraId="70D2D9F5" w14:textId="77777777" w:rsidR="004B0883" w:rsidRDefault="004B0883">
            <w:pPr>
              <w:adjustRightInd w:val="0"/>
              <w:snapToGrid w:val="0"/>
              <w:rPr>
                <w:color w:val="000000"/>
                <w:kern w:val="0"/>
              </w:rPr>
            </w:pPr>
            <w:r>
              <w:rPr>
                <w:rFonts w:hint="eastAsia"/>
                <w:color w:val="000000"/>
                <w:kern w:val="0"/>
              </w:rPr>
              <w:t>预缴所得税</w:t>
            </w:r>
          </w:p>
        </w:tc>
        <w:tc>
          <w:tcPr>
            <w:tcW w:w="1623" w:type="dxa"/>
            <w:vAlign w:val="center"/>
          </w:tcPr>
          <w:p w14:paraId="64007BA5" w14:textId="77777777" w:rsidR="004B0883" w:rsidRDefault="004B0883">
            <w:pPr>
              <w:adjustRightInd w:val="0"/>
              <w:snapToGrid w:val="0"/>
              <w:jc w:val="right"/>
              <w:rPr>
                <w:color w:val="000000"/>
                <w:kern w:val="0"/>
              </w:rPr>
            </w:pPr>
            <w:r>
              <w:rPr>
                <w:rFonts w:eastAsia="仿宋_GB2312"/>
                <w:color w:val="000000"/>
              </w:rPr>
              <w:t>-</w:t>
            </w:r>
          </w:p>
        </w:tc>
        <w:tc>
          <w:tcPr>
            <w:tcW w:w="1623" w:type="dxa"/>
            <w:vAlign w:val="center"/>
          </w:tcPr>
          <w:p w14:paraId="01945BA9" w14:textId="77777777" w:rsidR="004B0883" w:rsidRDefault="004B0883">
            <w:pPr>
              <w:adjustRightInd w:val="0"/>
              <w:snapToGrid w:val="0"/>
              <w:jc w:val="right"/>
              <w:rPr>
                <w:color w:val="000000"/>
                <w:kern w:val="0"/>
              </w:rPr>
            </w:pPr>
            <w:r>
              <w:rPr>
                <w:color w:val="000000"/>
                <w:kern w:val="0"/>
              </w:rPr>
              <w:t>0.09</w:t>
            </w:r>
          </w:p>
        </w:tc>
        <w:tc>
          <w:tcPr>
            <w:tcW w:w="1623" w:type="dxa"/>
            <w:vAlign w:val="center"/>
          </w:tcPr>
          <w:p w14:paraId="338D1965" w14:textId="77777777" w:rsidR="004B0883" w:rsidRDefault="004B0883">
            <w:pPr>
              <w:adjustRightInd w:val="0"/>
              <w:snapToGrid w:val="0"/>
              <w:jc w:val="right"/>
              <w:rPr>
                <w:color w:val="000000"/>
                <w:kern w:val="0"/>
              </w:rPr>
            </w:pPr>
            <w:r>
              <w:rPr>
                <w:rFonts w:eastAsia="仿宋_GB2312"/>
                <w:color w:val="000000"/>
              </w:rPr>
              <w:t>-</w:t>
            </w:r>
          </w:p>
        </w:tc>
        <w:tc>
          <w:tcPr>
            <w:tcW w:w="1623" w:type="dxa"/>
            <w:vAlign w:val="center"/>
          </w:tcPr>
          <w:p w14:paraId="4713F79B" w14:textId="77777777" w:rsidR="004B0883" w:rsidRDefault="004B0883">
            <w:pPr>
              <w:adjustRightInd w:val="0"/>
              <w:snapToGrid w:val="0"/>
              <w:jc w:val="right"/>
              <w:rPr>
                <w:color w:val="000000"/>
                <w:kern w:val="0"/>
              </w:rPr>
            </w:pPr>
            <w:r>
              <w:rPr>
                <w:rFonts w:eastAsia="仿宋_GB2312"/>
                <w:color w:val="000000"/>
              </w:rPr>
              <w:t>-</w:t>
            </w:r>
          </w:p>
        </w:tc>
      </w:tr>
      <w:tr w:rsidR="004B0883" w14:paraId="218FD44C" w14:textId="77777777">
        <w:trPr>
          <w:trHeight w:val="397"/>
          <w:jc w:val="center"/>
        </w:trPr>
        <w:tc>
          <w:tcPr>
            <w:tcW w:w="2036" w:type="dxa"/>
            <w:vAlign w:val="center"/>
          </w:tcPr>
          <w:p w14:paraId="288DD699" w14:textId="77777777" w:rsidR="004B0883" w:rsidRDefault="004B0883">
            <w:pPr>
              <w:adjustRightInd w:val="0"/>
              <w:snapToGrid w:val="0"/>
              <w:rPr>
                <w:color w:val="000000"/>
                <w:kern w:val="0"/>
              </w:rPr>
            </w:pPr>
            <w:r>
              <w:rPr>
                <w:rFonts w:hint="eastAsia"/>
                <w:color w:val="000000"/>
                <w:kern w:val="0"/>
              </w:rPr>
              <w:t>预交增值税</w:t>
            </w:r>
          </w:p>
        </w:tc>
        <w:tc>
          <w:tcPr>
            <w:tcW w:w="1623" w:type="dxa"/>
            <w:vAlign w:val="center"/>
          </w:tcPr>
          <w:p w14:paraId="646E7B61" w14:textId="77777777" w:rsidR="004B0883" w:rsidRDefault="004B0883">
            <w:pPr>
              <w:adjustRightInd w:val="0"/>
              <w:snapToGrid w:val="0"/>
              <w:jc w:val="right"/>
              <w:rPr>
                <w:color w:val="000000"/>
                <w:kern w:val="0"/>
              </w:rPr>
            </w:pPr>
            <w:r>
              <w:rPr>
                <w:rFonts w:eastAsia="仿宋_GB2312"/>
                <w:color w:val="000000"/>
              </w:rPr>
              <w:t>-</w:t>
            </w:r>
          </w:p>
        </w:tc>
        <w:tc>
          <w:tcPr>
            <w:tcW w:w="1623" w:type="dxa"/>
            <w:vAlign w:val="center"/>
          </w:tcPr>
          <w:p w14:paraId="7D80233C" w14:textId="77777777" w:rsidR="004B0883" w:rsidRDefault="004B0883">
            <w:pPr>
              <w:adjustRightInd w:val="0"/>
              <w:snapToGrid w:val="0"/>
              <w:jc w:val="right"/>
              <w:rPr>
                <w:color w:val="000000"/>
                <w:kern w:val="0"/>
              </w:rPr>
            </w:pPr>
            <w:r>
              <w:rPr>
                <w:rFonts w:eastAsia="仿宋_GB2312"/>
                <w:color w:val="000000"/>
              </w:rPr>
              <w:t>-</w:t>
            </w:r>
          </w:p>
        </w:tc>
        <w:tc>
          <w:tcPr>
            <w:tcW w:w="1623" w:type="dxa"/>
            <w:vAlign w:val="center"/>
          </w:tcPr>
          <w:p w14:paraId="37D49D53" w14:textId="77777777" w:rsidR="004B0883" w:rsidRDefault="004B0883">
            <w:pPr>
              <w:adjustRightInd w:val="0"/>
              <w:snapToGrid w:val="0"/>
              <w:jc w:val="right"/>
              <w:rPr>
                <w:color w:val="000000"/>
                <w:kern w:val="0"/>
              </w:rPr>
            </w:pPr>
            <w:r>
              <w:rPr>
                <w:rFonts w:eastAsia="仿宋_GB2312"/>
                <w:color w:val="000000"/>
              </w:rPr>
              <w:t>-</w:t>
            </w:r>
          </w:p>
        </w:tc>
        <w:tc>
          <w:tcPr>
            <w:tcW w:w="1623" w:type="dxa"/>
            <w:vAlign w:val="center"/>
          </w:tcPr>
          <w:p w14:paraId="72A43B9C" w14:textId="77777777" w:rsidR="004B0883" w:rsidRDefault="004B0883">
            <w:pPr>
              <w:adjustRightInd w:val="0"/>
              <w:snapToGrid w:val="0"/>
              <w:jc w:val="right"/>
              <w:rPr>
                <w:color w:val="000000"/>
                <w:kern w:val="0"/>
              </w:rPr>
            </w:pPr>
            <w:r>
              <w:rPr>
                <w:rFonts w:eastAsia="仿宋_GB2312"/>
                <w:color w:val="000000"/>
              </w:rPr>
              <w:t>-</w:t>
            </w:r>
          </w:p>
        </w:tc>
      </w:tr>
      <w:tr w:rsidR="004B0883" w14:paraId="39B9240C" w14:textId="77777777">
        <w:trPr>
          <w:trHeight w:val="397"/>
          <w:jc w:val="center"/>
        </w:trPr>
        <w:tc>
          <w:tcPr>
            <w:tcW w:w="2036" w:type="dxa"/>
            <w:vAlign w:val="center"/>
          </w:tcPr>
          <w:p w14:paraId="25D02E92" w14:textId="77777777" w:rsidR="004B0883" w:rsidRDefault="004B0883">
            <w:pPr>
              <w:adjustRightInd w:val="0"/>
              <w:snapToGrid w:val="0"/>
              <w:rPr>
                <w:color w:val="000000"/>
                <w:kern w:val="0"/>
              </w:rPr>
            </w:pPr>
            <w:r>
              <w:rPr>
                <w:rFonts w:hint="eastAsia"/>
                <w:color w:val="000000"/>
                <w:kern w:val="0"/>
              </w:rPr>
              <w:t>待抵扣增值税</w:t>
            </w:r>
          </w:p>
        </w:tc>
        <w:tc>
          <w:tcPr>
            <w:tcW w:w="1623" w:type="dxa"/>
            <w:vAlign w:val="center"/>
          </w:tcPr>
          <w:p w14:paraId="3E974B0A" w14:textId="77777777" w:rsidR="004B0883" w:rsidRDefault="004B0883">
            <w:pPr>
              <w:adjustRightInd w:val="0"/>
              <w:snapToGrid w:val="0"/>
              <w:jc w:val="right"/>
              <w:rPr>
                <w:color w:val="000000"/>
                <w:kern w:val="0"/>
              </w:rPr>
            </w:pPr>
            <w:r>
              <w:rPr>
                <w:color w:val="000000"/>
                <w:kern w:val="0"/>
              </w:rPr>
              <w:t>71.00</w:t>
            </w:r>
          </w:p>
        </w:tc>
        <w:tc>
          <w:tcPr>
            <w:tcW w:w="1623" w:type="dxa"/>
            <w:vAlign w:val="center"/>
          </w:tcPr>
          <w:p w14:paraId="4D269AB8" w14:textId="77777777" w:rsidR="004B0883" w:rsidRDefault="004B0883">
            <w:pPr>
              <w:adjustRightInd w:val="0"/>
              <w:snapToGrid w:val="0"/>
              <w:jc w:val="right"/>
              <w:rPr>
                <w:color w:val="000000"/>
                <w:kern w:val="0"/>
              </w:rPr>
            </w:pPr>
            <w:r>
              <w:rPr>
                <w:color w:val="000000"/>
                <w:kern w:val="0"/>
              </w:rPr>
              <w:t xml:space="preserve">175.78 </w:t>
            </w:r>
          </w:p>
        </w:tc>
        <w:tc>
          <w:tcPr>
            <w:tcW w:w="1623" w:type="dxa"/>
            <w:vAlign w:val="center"/>
          </w:tcPr>
          <w:p w14:paraId="5D0A67BF" w14:textId="77777777" w:rsidR="004B0883" w:rsidRDefault="004B0883">
            <w:pPr>
              <w:adjustRightInd w:val="0"/>
              <w:snapToGrid w:val="0"/>
              <w:jc w:val="right"/>
              <w:rPr>
                <w:rFonts w:eastAsia="仿宋_GB2312"/>
                <w:color w:val="000000"/>
              </w:rPr>
            </w:pPr>
            <w:r>
              <w:rPr>
                <w:rFonts w:eastAsia="仿宋_GB2312"/>
                <w:color w:val="000000"/>
              </w:rPr>
              <w:t>110.82</w:t>
            </w:r>
          </w:p>
        </w:tc>
        <w:tc>
          <w:tcPr>
            <w:tcW w:w="1623" w:type="dxa"/>
            <w:vAlign w:val="center"/>
          </w:tcPr>
          <w:p w14:paraId="733B0198" w14:textId="77777777" w:rsidR="004B0883" w:rsidRDefault="004B0883">
            <w:pPr>
              <w:adjustRightInd w:val="0"/>
              <w:snapToGrid w:val="0"/>
              <w:jc w:val="right"/>
              <w:rPr>
                <w:rFonts w:eastAsia="仿宋_GB2312"/>
                <w:color w:val="000000"/>
              </w:rPr>
            </w:pPr>
            <w:r>
              <w:rPr>
                <w:rFonts w:eastAsia="仿宋_GB2312"/>
                <w:color w:val="000000"/>
              </w:rPr>
              <w:t>170.35</w:t>
            </w:r>
          </w:p>
        </w:tc>
      </w:tr>
      <w:tr w:rsidR="004B0883" w14:paraId="50496598" w14:textId="77777777">
        <w:trPr>
          <w:trHeight w:val="397"/>
          <w:jc w:val="center"/>
        </w:trPr>
        <w:tc>
          <w:tcPr>
            <w:tcW w:w="2036" w:type="dxa"/>
            <w:vAlign w:val="center"/>
          </w:tcPr>
          <w:p w14:paraId="0EA8B5B5" w14:textId="77777777" w:rsidR="004B0883" w:rsidRDefault="004B0883">
            <w:pPr>
              <w:adjustRightInd w:val="0"/>
              <w:snapToGrid w:val="0"/>
              <w:rPr>
                <w:color w:val="000000"/>
                <w:kern w:val="0"/>
              </w:rPr>
            </w:pPr>
            <w:r>
              <w:rPr>
                <w:rFonts w:hint="eastAsia"/>
                <w:color w:val="000000"/>
                <w:kern w:val="0"/>
              </w:rPr>
              <w:t>待摊的财产保险费</w:t>
            </w:r>
          </w:p>
        </w:tc>
        <w:tc>
          <w:tcPr>
            <w:tcW w:w="1623" w:type="dxa"/>
            <w:vAlign w:val="center"/>
          </w:tcPr>
          <w:p w14:paraId="794F8FF5" w14:textId="77777777" w:rsidR="004B0883" w:rsidRDefault="004B0883">
            <w:pPr>
              <w:adjustRightInd w:val="0"/>
              <w:snapToGrid w:val="0"/>
              <w:jc w:val="right"/>
              <w:rPr>
                <w:color w:val="000000"/>
                <w:kern w:val="0"/>
              </w:rPr>
            </w:pPr>
            <w:r>
              <w:rPr>
                <w:rFonts w:eastAsia="仿宋_GB2312"/>
                <w:color w:val="000000"/>
              </w:rPr>
              <w:t>-</w:t>
            </w:r>
          </w:p>
        </w:tc>
        <w:tc>
          <w:tcPr>
            <w:tcW w:w="1623" w:type="dxa"/>
            <w:vAlign w:val="center"/>
          </w:tcPr>
          <w:p w14:paraId="7C529479" w14:textId="77777777" w:rsidR="004B0883" w:rsidRDefault="004B0883">
            <w:pPr>
              <w:adjustRightInd w:val="0"/>
              <w:snapToGrid w:val="0"/>
              <w:jc w:val="right"/>
              <w:rPr>
                <w:color w:val="000000"/>
                <w:kern w:val="0"/>
              </w:rPr>
            </w:pPr>
            <w:r>
              <w:rPr>
                <w:color w:val="000000"/>
                <w:kern w:val="0"/>
              </w:rPr>
              <w:t>14.07</w:t>
            </w:r>
          </w:p>
        </w:tc>
        <w:tc>
          <w:tcPr>
            <w:tcW w:w="1623" w:type="dxa"/>
            <w:vAlign w:val="center"/>
          </w:tcPr>
          <w:p w14:paraId="0716EA82" w14:textId="77777777" w:rsidR="004B0883" w:rsidRDefault="004B0883">
            <w:pPr>
              <w:adjustRightInd w:val="0"/>
              <w:snapToGrid w:val="0"/>
              <w:jc w:val="right"/>
              <w:rPr>
                <w:color w:val="000000"/>
                <w:kern w:val="0"/>
              </w:rPr>
            </w:pPr>
            <w:r>
              <w:rPr>
                <w:rFonts w:eastAsia="仿宋_GB2312"/>
                <w:color w:val="000000"/>
              </w:rPr>
              <w:t>13.65</w:t>
            </w:r>
          </w:p>
        </w:tc>
        <w:tc>
          <w:tcPr>
            <w:tcW w:w="1623" w:type="dxa"/>
            <w:vAlign w:val="center"/>
          </w:tcPr>
          <w:p w14:paraId="152F3D25" w14:textId="77777777" w:rsidR="004B0883" w:rsidRDefault="004B0883">
            <w:pPr>
              <w:adjustRightInd w:val="0"/>
              <w:snapToGrid w:val="0"/>
              <w:jc w:val="right"/>
              <w:rPr>
                <w:color w:val="000000"/>
                <w:kern w:val="0"/>
              </w:rPr>
            </w:pPr>
            <w:r>
              <w:rPr>
                <w:rFonts w:eastAsia="仿宋_GB2312"/>
                <w:color w:val="000000"/>
              </w:rPr>
              <w:t>3.73</w:t>
            </w:r>
          </w:p>
        </w:tc>
      </w:tr>
      <w:tr w:rsidR="004B0883" w14:paraId="0100D969" w14:textId="77777777">
        <w:trPr>
          <w:trHeight w:val="397"/>
          <w:jc w:val="center"/>
        </w:trPr>
        <w:tc>
          <w:tcPr>
            <w:tcW w:w="2036" w:type="dxa"/>
            <w:vAlign w:val="center"/>
          </w:tcPr>
          <w:p w14:paraId="2ACB580E" w14:textId="77777777" w:rsidR="004B0883" w:rsidRDefault="004B0883">
            <w:pPr>
              <w:adjustRightInd w:val="0"/>
              <w:snapToGrid w:val="0"/>
              <w:rPr>
                <w:color w:val="000000"/>
                <w:kern w:val="0"/>
              </w:rPr>
            </w:pPr>
            <w:r>
              <w:rPr>
                <w:rFonts w:hint="eastAsia"/>
                <w:color w:val="000000"/>
                <w:kern w:val="0"/>
              </w:rPr>
              <w:t>已赎回未到账的银行理财产品</w:t>
            </w:r>
          </w:p>
        </w:tc>
        <w:tc>
          <w:tcPr>
            <w:tcW w:w="1623" w:type="dxa"/>
            <w:vAlign w:val="center"/>
          </w:tcPr>
          <w:p w14:paraId="55FDD0C6" w14:textId="77777777" w:rsidR="004B0883" w:rsidRDefault="004B0883">
            <w:pPr>
              <w:adjustRightInd w:val="0"/>
              <w:snapToGrid w:val="0"/>
              <w:jc w:val="right"/>
              <w:rPr>
                <w:color w:val="000000"/>
                <w:kern w:val="0"/>
              </w:rPr>
            </w:pPr>
            <w:r>
              <w:rPr>
                <w:rFonts w:eastAsia="仿宋_GB2312"/>
                <w:color w:val="000000"/>
              </w:rPr>
              <w:t>-</w:t>
            </w:r>
          </w:p>
        </w:tc>
        <w:tc>
          <w:tcPr>
            <w:tcW w:w="1623" w:type="dxa"/>
            <w:vAlign w:val="center"/>
          </w:tcPr>
          <w:p w14:paraId="053F24E8" w14:textId="77777777" w:rsidR="004B0883" w:rsidRDefault="004B0883">
            <w:pPr>
              <w:adjustRightInd w:val="0"/>
              <w:snapToGrid w:val="0"/>
              <w:jc w:val="right"/>
              <w:rPr>
                <w:color w:val="000000"/>
                <w:kern w:val="0"/>
              </w:rPr>
            </w:pPr>
            <w:r>
              <w:rPr>
                <w:rFonts w:eastAsia="仿宋_GB2312"/>
                <w:color w:val="000000"/>
              </w:rPr>
              <w:t>-</w:t>
            </w:r>
          </w:p>
        </w:tc>
        <w:tc>
          <w:tcPr>
            <w:tcW w:w="1623" w:type="dxa"/>
            <w:vAlign w:val="center"/>
          </w:tcPr>
          <w:p w14:paraId="62779E1D" w14:textId="77777777" w:rsidR="004B0883" w:rsidRDefault="004B0883">
            <w:pPr>
              <w:adjustRightInd w:val="0"/>
              <w:snapToGrid w:val="0"/>
              <w:jc w:val="right"/>
              <w:rPr>
                <w:color w:val="000000"/>
                <w:kern w:val="0"/>
              </w:rPr>
            </w:pPr>
            <w:r>
              <w:rPr>
                <w:rFonts w:eastAsia="仿宋_GB2312"/>
                <w:color w:val="000000"/>
              </w:rPr>
              <w:t>2,722.00</w:t>
            </w:r>
          </w:p>
        </w:tc>
        <w:tc>
          <w:tcPr>
            <w:tcW w:w="1623" w:type="dxa"/>
            <w:vAlign w:val="center"/>
          </w:tcPr>
          <w:p w14:paraId="21F9A377" w14:textId="77777777" w:rsidR="004B0883" w:rsidRDefault="004B0883">
            <w:pPr>
              <w:adjustRightInd w:val="0"/>
              <w:snapToGrid w:val="0"/>
              <w:jc w:val="right"/>
              <w:rPr>
                <w:color w:val="000000"/>
                <w:kern w:val="0"/>
              </w:rPr>
            </w:pPr>
            <w:r>
              <w:rPr>
                <w:rFonts w:eastAsia="仿宋_GB2312"/>
                <w:color w:val="000000"/>
              </w:rPr>
              <w:t>-</w:t>
            </w:r>
          </w:p>
        </w:tc>
      </w:tr>
      <w:tr w:rsidR="004B0883" w14:paraId="7E2AFC02" w14:textId="77777777">
        <w:trPr>
          <w:trHeight w:val="397"/>
          <w:jc w:val="center"/>
        </w:trPr>
        <w:tc>
          <w:tcPr>
            <w:tcW w:w="2036" w:type="dxa"/>
            <w:vAlign w:val="center"/>
          </w:tcPr>
          <w:p w14:paraId="18A14812" w14:textId="77777777" w:rsidR="004B0883" w:rsidRDefault="004B0883">
            <w:pPr>
              <w:adjustRightInd w:val="0"/>
              <w:snapToGrid w:val="0"/>
              <w:rPr>
                <w:color w:val="000000"/>
                <w:kern w:val="0"/>
              </w:rPr>
            </w:pPr>
            <w:r>
              <w:rPr>
                <w:rFonts w:hint="eastAsia"/>
                <w:color w:val="000000"/>
                <w:kern w:val="0"/>
              </w:rPr>
              <w:t>大额定期存单</w:t>
            </w:r>
          </w:p>
        </w:tc>
        <w:tc>
          <w:tcPr>
            <w:tcW w:w="1623" w:type="dxa"/>
            <w:vAlign w:val="center"/>
          </w:tcPr>
          <w:p w14:paraId="7E56937B" w14:textId="77777777" w:rsidR="004B0883" w:rsidRDefault="004B0883">
            <w:pPr>
              <w:adjustRightInd w:val="0"/>
              <w:snapToGrid w:val="0"/>
              <w:jc w:val="right"/>
            </w:pPr>
            <w:r>
              <w:t>3,167.39</w:t>
            </w:r>
          </w:p>
        </w:tc>
        <w:tc>
          <w:tcPr>
            <w:tcW w:w="1623" w:type="dxa"/>
            <w:vAlign w:val="center"/>
          </w:tcPr>
          <w:p w14:paraId="5A64E32F" w14:textId="77777777" w:rsidR="004B0883" w:rsidRDefault="004B0883">
            <w:pPr>
              <w:adjustRightInd w:val="0"/>
              <w:snapToGrid w:val="0"/>
              <w:jc w:val="right"/>
              <w:rPr>
                <w:color w:val="000000"/>
                <w:kern w:val="0"/>
              </w:rPr>
            </w:pPr>
            <w:r>
              <w:rPr>
                <w:color w:val="000000"/>
                <w:kern w:val="0"/>
              </w:rPr>
              <w:t>6,076.77</w:t>
            </w:r>
          </w:p>
        </w:tc>
        <w:tc>
          <w:tcPr>
            <w:tcW w:w="1623" w:type="dxa"/>
            <w:vAlign w:val="center"/>
          </w:tcPr>
          <w:p w14:paraId="6B6C704B" w14:textId="77777777" w:rsidR="004B0883" w:rsidRDefault="004B0883">
            <w:pPr>
              <w:adjustRightInd w:val="0"/>
              <w:snapToGrid w:val="0"/>
              <w:jc w:val="right"/>
              <w:rPr>
                <w:color w:val="000000"/>
                <w:kern w:val="0"/>
              </w:rPr>
            </w:pPr>
            <w:r>
              <w:rPr>
                <w:rFonts w:eastAsia="仿宋_GB2312"/>
                <w:color w:val="000000"/>
              </w:rPr>
              <w:t>6,006.64</w:t>
            </w:r>
          </w:p>
        </w:tc>
        <w:tc>
          <w:tcPr>
            <w:tcW w:w="1623" w:type="dxa"/>
            <w:vAlign w:val="center"/>
          </w:tcPr>
          <w:p w14:paraId="3A1CCE81" w14:textId="77777777" w:rsidR="004B0883" w:rsidRDefault="004B0883">
            <w:pPr>
              <w:adjustRightInd w:val="0"/>
              <w:snapToGrid w:val="0"/>
              <w:jc w:val="right"/>
              <w:rPr>
                <w:color w:val="000000"/>
                <w:kern w:val="0"/>
              </w:rPr>
            </w:pPr>
            <w:r>
              <w:rPr>
                <w:rFonts w:eastAsia="仿宋_GB2312"/>
                <w:color w:val="000000"/>
              </w:rPr>
              <w:t>3,003.66</w:t>
            </w:r>
          </w:p>
        </w:tc>
      </w:tr>
      <w:tr w:rsidR="004B0883" w14:paraId="1B375AA6" w14:textId="77777777">
        <w:trPr>
          <w:trHeight w:val="397"/>
          <w:jc w:val="center"/>
        </w:trPr>
        <w:tc>
          <w:tcPr>
            <w:tcW w:w="2036" w:type="dxa"/>
            <w:vAlign w:val="center"/>
          </w:tcPr>
          <w:p w14:paraId="5212CE10" w14:textId="77777777" w:rsidR="004B0883" w:rsidRDefault="004B0883">
            <w:pPr>
              <w:adjustRightInd w:val="0"/>
              <w:snapToGrid w:val="0"/>
              <w:jc w:val="center"/>
              <w:rPr>
                <w:b/>
                <w:bCs/>
                <w:color w:val="000000"/>
                <w:kern w:val="0"/>
              </w:rPr>
            </w:pPr>
            <w:r>
              <w:rPr>
                <w:b/>
                <w:bCs/>
                <w:color w:val="000000"/>
                <w:kern w:val="0"/>
              </w:rPr>
              <w:t>合计</w:t>
            </w:r>
          </w:p>
        </w:tc>
        <w:tc>
          <w:tcPr>
            <w:tcW w:w="1623" w:type="dxa"/>
            <w:vAlign w:val="center"/>
          </w:tcPr>
          <w:p w14:paraId="36782709" w14:textId="77777777" w:rsidR="004B0883" w:rsidRDefault="004B0883">
            <w:pPr>
              <w:adjustRightInd w:val="0"/>
              <w:snapToGrid w:val="0"/>
              <w:jc w:val="right"/>
              <w:rPr>
                <w:b/>
                <w:bCs/>
                <w:color w:val="000000"/>
                <w:kern w:val="0"/>
              </w:rPr>
            </w:pPr>
            <w:r>
              <w:rPr>
                <w:b/>
                <w:bCs/>
                <w:color w:val="000000"/>
                <w:kern w:val="0"/>
              </w:rPr>
              <w:t>3,238.40</w:t>
            </w:r>
          </w:p>
        </w:tc>
        <w:tc>
          <w:tcPr>
            <w:tcW w:w="1623" w:type="dxa"/>
            <w:vAlign w:val="center"/>
          </w:tcPr>
          <w:p w14:paraId="3A7E5B56" w14:textId="77777777" w:rsidR="004B0883" w:rsidRDefault="004B0883">
            <w:pPr>
              <w:adjustRightInd w:val="0"/>
              <w:snapToGrid w:val="0"/>
              <w:jc w:val="right"/>
              <w:rPr>
                <w:b/>
                <w:bCs/>
                <w:color w:val="000000"/>
                <w:kern w:val="0"/>
              </w:rPr>
            </w:pPr>
            <w:r>
              <w:rPr>
                <w:b/>
                <w:bCs/>
                <w:color w:val="000000"/>
                <w:kern w:val="0"/>
              </w:rPr>
              <w:t>6,266.70</w:t>
            </w:r>
          </w:p>
        </w:tc>
        <w:tc>
          <w:tcPr>
            <w:tcW w:w="1623" w:type="dxa"/>
            <w:vAlign w:val="center"/>
          </w:tcPr>
          <w:p w14:paraId="1C82CEA2" w14:textId="77777777" w:rsidR="004B0883" w:rsidRDefault="004B0883">
            <w:pPr>
              <w:adjustRightInd w:val="0"/>
              <w:snapToGrid w:val="0"/>
              <w:jc w:val="right"/>
              <w:rPr>
                <w:b/>
                <w:bCs/>
                <w:color w:val="000000"/>
                <w:kern w:val="0"/>
              </w:rPr>
            </w:pPr>
            <w:r>
              <w:rPr>
                <w:rFonts w:eastAsia="仿宋_GB2312"/>
                <w:b/>
                <w:bCs/>
                <w:color w:val="000000"/>
              </w:rPr>
              <w:t>8,853.11</w:t>
            </w:r>
          </w:p>
        </w:tc>
        <w:tc>
          <w:tcPr>
            <w:tcW w:w="1623" w:type="dxa"/>
            <w:vAlign w:val="center"/>
          </w:tcPr>
          <w:p w14:paraId="613DCEE7" w14:textId="77777777" w:rsidR="004B0883" w:rsidRDefault="004B0883">
            <w:pPr>
              <w:adjustRightInd w:val="0"/>
              <w:snapToGrid w:val="0"/>
              <w:jc w:val="right"/>
              <w:rPr>
                <w:b/>
                <w:bCs/>
                <w:color w:val="000000"/>
                <w:kern w:val="0"/>
              </w:rPr>
            </w:pPr>
            <w:r>
              <w:rPr>
                <w:rFonts w:eastAsia="仿宋_GB2312"/>
                <w:b/>
                <w:bCs/>
                <w:color w:val="000000"/>
              </w:rPr>
              <w:t>3,177.73</w:t>
            </w:r>
          </w:p>
        </w:tc>
      </w:tr>
    </w:tbl>
    <w:p w14:paraId="359D46E8"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公司其他流动资产主要由大额定期存单、已赎回未到账的银行理财产品、待抵扣增值税及待摊的财产保险费构成。报告期各期末，公司其他流动资产分别为</w:t>
      </w:r>
      <w:r>
        <w:rPr>
          <w:sz w:val="24"/>
          <w:szCs w:val="22"/>
        </w:rPr>
        <w:t>3,177.73</w:t>
      </w:r>
      <w:r>
        <w:rPr>
          <w:rFonts w:hint="eastAsia"/>
          <w:sz w:val="24"/>
          <w:szCs w:val="22"/>
        </w:rPr>
        <w:t>万元、</w:t>
      </w:r>
      <w:r>
        <w:rPr>
          <w:sz w:val="24"/>
          <w:szCs w:val="22"/>
        </w:rPr>
        <w:t>8,853.11</w:t>
      </w:r>
      <w:r>
        <w:rPr>
          <w:rFonts w:hint="eastAsia"/>
          <w:sz w:val="24"/>
          <w:szCs w:val="22"/>
        </w:rPr>
        <w:t>万元、</w:t>
      </w:r>
      <w:r>
        <w:rPr>
          <w:sz w:val="24"/>
          <w:szCs w:val="22"/>
        </w:rPr>
        <w:t>6,266.70</w:t>
      </w:r>
      <w:r>
        <w:rPr>
          <w:rFonts w:hint="eastAsia"/>
          <w:sz w:val="24"/>
          <w:szCs w:val="22"/>
        </w:rPr>
        <w:t>万元和</w:t>
      </w:r>
      <w:r>
        <w:rPr>
          <w:sz w:val="24"/>
          <w:szCs w:val="22"/>
        </w:rPr>
        <w:t>3,238.40</w:t>
      </w:r>
      <w:r>
        <w:rPr>
          <w:rFonts w:hint="eastAsia"/>
          <w:sz w:val="24"/>
          <w:szCs w:val="22"/>
        </w:rPr>
        <w:t>万元，占总资产的比例分别为</w:t>
      </w:r>
      <w:r>
        <w:rPr>
          <w:sz w:val="24"/>
          <w:szCs w:val="22"/>
        </w:rPr>
        <w:t>3.65%</w:t>
      </w:r>
      <w:r>
        <w:rPr>
          <w:rFonts w:hint="eastAsia"/>
          <w:sz w:val="24"/>
          <w:szCs w:val="22"/>
        </w:rPr>
        <w:t>、</w:t>
      </w:r>
      <w:r>
        <w:rPr>
          <w:sz w:val="24"/>
          <w:szCs w:val="22"/>
        </w:rPr>
        <w:t>9.95%</w:t>
      </w:r>
      <w:r>
        <w:rPr>
          <w:rFonts w:hint="eastAsia"/>
          <w:sz w:val="24"/>
          <w:szCs w:val="22"/>
        </w:rPr>
        <w:t>、</w:t>
      </w:r>
      <w:r>
        <w:rPr>
          <w:sz w:val="24"/>
          <w:szCs w:val="22"/>
        </w:rPr>
        <w:t>6.30%</w:t>
      </w:r>
      <w:r>
        <w:rPr>
          <w:rFonts w:hint="eastAsia"/>
          <w:sz w:val="24"/>
          <w:szCs w:val="22"/>
        </w:rPr>
        <w:t>和</w:t>
      </w:r>
      <w:r>
        <w:rPr>
          <w:sz w:val="24"/>
          <w:szCs w:val="22"/>
        </w:rPr>
        <w:t>3.2</w:t>
      </w:r>
      <w:r>
        <w:rPr>
          <w:rFonts w:hint="eastAsia"/>
          <w:sz w:val="24"/>
          <w:szCs w:val="22"/>
        </w:rPr>
        <w:t>1</w:t>
      </w:r>
      <w:r>
        <w:rPr>
          <w:sz w:val="24"/>
          <w:szCs w:val="22"/>
        </w:rPr>
        <w:t>%</w:t>
      </w:r>
      <w:r>
        <w:rPr>
          <w:rFonts w:hint="eastAsia"/>
          <w:sz w:val="24"/>
          <w:szCs w:val="22"/>
        </w:rPr>
        <w:t>。</w:t>
      </w:r>
    </w:p>
    <w:bookmarkEnd w:id="319"/>
    <w:p w14:paraId="6DB5F963" w14:textId="77777777" w:rsidR="004B0883" w:rsidRDefault="004B0883">
      <w:pPr>
        <w:keepNext/>
        <w:keepLines/>
        <w:widowControl w:val="0"/>
        <w:spacing w:beforeLines="50" w:before="120" w:line="360" w:lineRule="auto"/>
        <w:ind w:firstLineChars="200" w:firstLine="482"/>
        <w:jc w:val="both"/>
        <w:outlineLvl w:val="3"/>
        <w:rPr>
          <w:b/>
          <w:bCs/>
          <w:sz w:val="24"/>
          <w:szCs w:val="28"/>
        </w:rPr>
      </w:pPr>
      <w:r>
        <w:rPr>
          <w:b/>
          <w:bCs/>
          <w:sz w:val="24"/>
          <w:szCs w:val="28"/>
        </w:rPr>
        <w:t>2</w:t>
      </w:r>
      <w:r>
        <w:rPr>
          <w:rFonts w:hint="eastAsia"/>
          <w:b/>
          <w:bCs/>
          <w:sz w:val="24"/>
          <w:szCs w:val="28"/>
        </w:rPr>
        <w:t>、非流动资产结构分析</w:t>
      </w:r>
    </w:p>
    <w:p w14:paraId="792D3343"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报告期各期末，公司非流动资产构成情况如下：</w:t>
      </w:r>
    </w:p>
    <w:p w14:paraId="56148B8C" w14:textId="77777777" w:rsidR="004B0883" w:rsidRDefault="004B0883">
      <w:pPr>
        <w:keepNext/>
        <w:widowControl w:val="0"/>
        <w:jc w:val="right"/>
        <w:rPr>
          <w:szCs w:val="22"/>
        </w:rPr>
      </w:pPr>
      <w:r>
        <w:rPr>
          <w:rFonts w:hint="eastAsia"/>
          <w:szCs w:val="22"/>
        </w:rPr>
        <w:t>单位：万元</w:t>
      </w:r>
    </w:p>
    <w:tbl>
      <w:tblPr>
        <w:tblW w:w="11340"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376"/>
        <w:gridCol w:w="1245"/>
        <w:gridCol w:w="1246"/>
        <w:gridCol w:w="1245"/>
        <w:gridCol w:w="1246"/>
        <w:gridCol w:w="1245"/>
        <w:gridCol w:w="1246"/>
        <w:gridCol w:w="1245"/>
        <w:gridCol w:w="1246"/>
      </w:tblGrid>
      <w:tr w:rsidR="004B0883" w14:paraId="72194F89" w14:textId="77777777">
        <w:trPr>
          <w:trHeight w:val="397"/>
          <w:tblHeader/>
          <w:jc w:val="center"/>
        </w:trPr>
        <w:tc>
          <w:tcPr>
            <w:tcW w:w="1376" w:type="dxa"/>
            <w:vMerge w:val="restart"/>
            <w:shd w:val="clear" w:color="auto" w:fill="D9D9D9"/>
            <w:vAlign w:val="center"/>
          </w:tcPr>
          <w:p w14:paraId="6D3A5D96" w14:textId="77777777" w:rsidR="004B0883" w:rsidRDefault="004B0883">
            <w:pPr>
              <w:adjustRightInd w:val="0"/>
              <w:snapToGrid w:val="0"/>
              <w:jc w:val="center"/>
              <w:rPr>
                <w:b/>
                <w:bCs/>
                <w:color w:val="000000"/>
                <w:kern w:val="0"/>
              </w:rPr>
            </w:pPr>
            <w:r>
              <w:rPr>
                <w:b/>
                <w:bCs/>
                <w:color w:val="000000"/>
                <w:kern w:val="0"/>
              </w:rPr>
              <w:t>项目</w:t>
            </w:r>
          </w:p>
        </w:tc>
        <w:tc>
          <w:tcPr>
            <w:tcW w:w="2491" w:type="dxa"/>
            <w:gridSpan w:val="2"/>
            <w:shd w:val="clear" w:color="auto" w:fill="D9D9D9"/>
            <w:vAlign w:val="center"/>
          </w:tcPr>
          <w:p w14:paraId="73253AA0" w14:textId="77777777" w:rsidR="004B0883" w:rsidRDefault="004B0883">
            <w:pPr>
              <w:adjustRightInd w:val="0"/>
              <w:snapToGrid w:val="0"/>
              <w:jc w:val="center"/>
              <w:rPr>
                <w:b/>
                <w:bCs/>
                <w:color w:val="000000"/>
                <w:kern w:val="0"/>
              </w:rPr>
            </w:pPr>
            <w:r>
              <w:rPr>
                <w:b/>
                <w:bCs/>
                <w:color w:val="000000"/>
                <w:kern w:val="0"/>
              </w:rPr>
              <w:t>2023.</w:t>
            </w:r>
            <w:r>
              <w:rPr>
                <w:rFonts w:hint="eastAsia"/>
                <w:b/>
                <w:bCs/>
                <w:color w:val="000000"/>
                <w:kern w:val="0"/>
              </w:rPr>
              <w:t>9</w:t>
            </w:r>
            <w:r>
              <w:rPr>
                <w:b/>
                <w:bCs/>
                <w:color w:val="000000"/>
                <w:kern w:val="0"/>
              </w:rPr>
              <w:t>.30</w:t>
            </w:r>
          </w:p>
        </w:tc>
        <w:tc>
          <w:tcPr>
            <w:tcW w:w="2491" w:type="dxa"/>
            <w:gridSpan w:val="2"/>
            <w:shd w:val="clear" w:color="auto" w:fill="D9D9D9"/>
            <w:vAlign w:val="center"/>
          </w:tcPr>
          <w:p w14:paraId="76470522" w14:textId="77777777" w:rsidR="004B0883" w:rsidRDefault="004B0883">
            <w:pPr>
              <w:adjustRightInd w:val="0"/>
              <w:snapToGrid w:val="0"/>
              <w:jc w:val="center"/>
              <w:rPr>
                <w:b/>
                <w:bCs/>
                <w:color w:val="000000"/>
                <w:kern w:val="0"/>
              </w:rPr>
            </w:pPr>
            <w:r>
              <w:rPr>
                <w:b/>
                <w:bCs/>
                <w:color w:val="000000"/>
                <w:kern w:val="0"/>
              </w:rPr>
              <w:t>2022.12.31</w:t>
            </w:r>
          </w:p>
        </w:tc>
        <w:tc>
          <w:tcPr>
            <w:tcW w:w="2491" w:type="dxa"/>
            <w:gridSpan w:val="2"/>
            <w:shd w:val="clear" w:color="auto" w:fill="D9D9D9"/>
            <w:vAlign w:val="center"/>
          </w:tcPr>
          <w:p w14:paraId="1D9CD0AE" w14:textId="77777777" w:rsidR="004B0883" w:rsidRDefault="004B0883">
            <w:pPr>
              <w:adjustRightInd w:val="0"/>
              <w:snapToGrid w:val="0"/>
              <w:jc w:val="center"/>
              <w:rPr>
                <w:b/>
                <w:bCs/>
                <w:color w:val="000000"/>
                <w:kern w:val="0"/>
              </w:rPr>
            </w:pPr>
            <w:r>
              <w:rPr>
                <w:b/>
                <w:bCs/>
                <w:color w:val="000000"/>
                <w:kern w:val="0"/>
              </w:rPr>
              <w:t>2021.12.31</w:t>
            </w:r>
          </w:p>
        </w:tc>
        <w:tc>
          <w:tcPr>
            <w:tcW w:w="2491" w:type="dxa"/>
            <w:gridSpan w:val="2"/>
            <w:shd w:val="clear" w:color="auto" w:fill="D9D9D9"/>
            <w:vAlign w:val="center"/>
          </w:tcPr>
          <w:p w14:paraId="23FE6945" w14:textId="77777777" w:rsidR="004B0883" w:rsidRDefault="004B0883">
            <w:pPr>
              <w:adjustRightInd w:val="0"/>
              <w:snapToGrid w:val="0"/>
              <w:jc w:val="center"/>
              <w:rPr>
                <w:b/>
                <w:bCs/>
                <w:color w:val="000000"/>
                <w:kern w:val="0"/>
              </w:rPr>
            </w:pPr>
            <w:r>
              <w:rPr>
                <w:b/>
                <w:bCs/>
                <w:color w:val="000000"/>
                <w:kern w:val="0"/>
              </w:rPr>
              <w:t>2020.12.31</w:t>
            </w:r>
          </w:p>
        </w:tc>
      </w:tr>
      <w:tr w:rsidR="004B0883" w14:paraId="6C095A3F" w14:textId="77777777">
        <w:trPr>
          <w:trHeight w:val="397"/>
          <w:tblHeader/>
          <w:jc w:val="center"/>
        </w:trPr>
        <w:tc>
          <w:tcPr>
            <w:tcW w:w="1376" w:type="dxa"/>
            <w:vMerge/>
            <w:shd w:val="clear" w:color="auto" w:fill="D9D9D9"/>
            <w:vAlign w:val="center"/>
          </w:tcPr>
          <w:p w14:paraId="500D21F2" w14:textId="77777777" w:rsidR="004B0883" w:rsidRDefault="004B0883">
            <w:pPr>
              <w:adjustRightInd w:val="0"/>
              <w:snapToGrid w:val="0"/>
              <w:rPr>
                <w:b/>
                <w:bCs/>
                <w:color w:val="000000"/>
                <w:kern w:val="0"/>
              </w:rPr>
            </w:pPr>
          </w:p>
        </w:tc>
        <w:tc>
          <w:tcPr>
            <w:tcW w:w="1245" w:type="dxa"/>
            <w:shd w:val="clear" w:color="auto" w:fill="D9D9D9"/>
            <w:vAlign w:val="center"/>
          </w:tcPr>
          <w:p w14:paraId="22DC1F67" w14:textId="77777777" w:rsidR="004B0883" w:rsidRDefault="004B0883">
            <w:pPr>
              <w:adjustRightInd w:val="0"/>
              <w:snapToGrid w:val="0"/>
              <w:jc w:val="center"/>
              <w:rPr>
                <w:b/>
                <w:bCs/>
                <w:color w:val="000000"/>
                <w:kern w:val="0"/>
              </w:rPr>
            </w:pPr>
            <w:r>
              <w:rPr>
                <w:b/>
                <w:bCs/>
                <w:color w:val="000000"/>
                <w:kern w:val="0"/>
              </w:rPr>
              <w:t>金额</w:t>
            </w:r>
          </w:p>
        </w:tc>
        <w:tc>
          <w:tcPr>
            <w:tcW w:w="1246" w:type="dxa"/>
            <w:shd w:val="clear" w:color="auto" w:fill="D9D9D9"/>
            <w:vAlign w:val="center"/>
          </w:tcPr>
          <w:p w14:paraId="71AD67C4" w14:textId="77777777" w:rsidR="004B0883" w:rsidRDefault="004B0883">
            <w:pPr>
              <w:adjustRightInd w:val="0"/>
              <w:snapToGrid w:val="0"/>
              <w:jc w:val="center"/>
              <w:rPr>
                <w:b/>
                <w:bCs/>
                <w:color w:val="000000"/>
                <w:kern w:val="0"/>
              </w:rPr>
            </w:pPr>
            <w:r>
              <w:rPr>
                <w:b/>
                <w:bCs/>
                <w:color w:val="000000"/>
                <w:kern w:val="0"/>
              </w:rPr>
              <w:t>比例</w:t>
            </w:r>
          </w:p>
        </w:tc>
        <w:tc>
          <w:tcPr>
            <w:tcW w:w="1245" w:type="dxa"/>
            <w:shd w:val="clear" w:color="auto" w:fill="D9D9D9"/>
            <w:vAlign w:val="center"/>
          </w:tcPr>
          <w:p w14:paraId="2472B0A2" w14:textId="77777777" w:rsidR="004B0883" w:rsidRDefault="004B0883">
            <w:pPr>
              <w:adjustRightInd w:val="0"/>
              <w:snapToGrid w:val="0"/>
              <w:jc w:val="center"/>
              <w:rPr>
                <w:b/>
                <w:bCs/>
                <w:color w:val="000000"/>
                <w:kern w:val="0"/>
              </w:rPr>
            </w:pPr>
            <w:r>
              <w:rPr>
                <w:b/>
                <w:bCs/>
                <w:color w:val="000000"/>
                <w:kern w:val="0"/>
              </w:rPr>
              <w:t>金额</w:t>
            </w:r>
          </w:p>
        </w:tc>
        <w:tc>
          <w:tcPr>
            <w:tcW w:w="1246" w:type="dxa"/>
            <w:shd w:val="clear" w:color="auto" w:fill="D9D9D9"/>
            <w:vAlign w:val="center"/>
          </w:tcPr>
          <w:p w14:paraId="5EEEF604" w14:textId="77777777" w:rsidR="004B0883" w:rsidRDefault="004B0883">
            <w:pPr>
              <w:adjustRightInd w:val="0"/>
              <w:snapToGrid w:val="0"/>
              <w:jc w:val="center"/>
              <w:rPr>
                <w:b/>
                <w:bCs/>
                <w:color w:val="000000"/>
                <w:kern w:val="0"/>
              </w:rPr>
            </w:pPr>
            <w:r>
              <w:rPr>
                <w:b/>
                <w:bCs/>
                <w:color w:val="000000"/>
                <w:kern w:val="0"/>
              </w:rPr>
              <w:t>比例</w:t>
            </w:r>
          </w:p>
        </w:tc>
        <w:tc>
          <w:tcPr>
            <w:tcW w:w="1245" w:type="dxa"/>
            <w:shd w:val="clear" w:color="auto" w:fill="D9D9D9"/>
            <w:vAlign w:val="center"/>
          </w:tcPr>
          <w:p w14:paraId="1060D604" w14:textId="77777777" w:rsidR="004B0883" w:rsidRDefault="004B0883">
            <w:pPr>
              <w:adjustRightInd w:val="0"/>
              <w:snapToGrid w:val="0"/>
              <w:jc w:val="center"/>
              <w:rPr>
                <w:b/>
                <w:bCs/>
                <w:color w:val="000000"/>
                <w:kern w:val="0"/>
              </w:rPr>
            </w:pPr>
            <w:r>
              <w:rPr>
                <w:b/>
                <w:bCs/>
                <w:color w:val="000000"/>
                <w:kern w:val="0"/>
              </w:rPr>
              <w:t>金额</w:t>
            </w:r>
          </w:p>
        </w:tc>
        <w:tc>
          <w:tcPr>
            <w:tcW w:w="1246" w:type="dxa"/>
            <w:shd w:val="clear" w:color="auto" w:fill="D9D9D9"/>
            <w:vAlign w:val="center"/>
          </w:tcPr>
          <w:p w14:paraId="6DFF13C5" w14:textId="77777777" w:rsidR="004B0883" w:rsidRDefault="004B0883">
            <w:pPr>
              <w:adjustRightInd w:val="0"/>
              <w:snapToGrid w:val="0"/>
              <w:jc w:val="center"/>
              <w:rPr>
                <w:b/>
                <w:bCs/>
                <w:color w:val="000000"/>
                <w:kern w:val="0"/>
              </w:rPr>
            </w:pPr>
            <w:r>
              <w:rPr>
                <w:b/>
                <w:bCs/>
                <w:color w:val="000000"/>
                <w:kern w:val="0"/>
              </w:rPr>
              <w:t>比例</w:t>
            </w:r>
          </w:p>
        </w:tc>
        <w:tc>
          <w:tcPr>
            <w:tcW w:w="1245" w:type="dxa"/>
            <w:shd w:val="clear" w:color="auto" w:fill="D9D9D9"/>
            <w:vAlign w:val="center"/>
          </w:tcPr>
          <w:p w14:paraId="6DA64EDF" w14:textId="77777777" w:rsidR="004B0883" w:rsidRDefault="004B0883">
            <w:pPr>
              <w:adjustRightInd w:val="0"/>
              <w:snapToGrid w:val="0"/>
              <w:jc w:val="center"/>
              <w:rPr>
                <w:b/>
                <w:bCs/>
                <w:color w:val="000000"/>
                <w:kern w:val="0"/>
              </w:rPr>
            </w:pPr>
            <w:r>
              <w:rPr>
                <w:b/>
                <w:bCs/>
                <w:color w:val="000000"/>
                <w:kern w:val="0"/>
              </w:rPr>
              <w:t>金额</w:t>
            </w:r>
          </w:p>
        </w:tc>
        <w:tc>
          <w:tcPr>
            <w:tcW w:w="1246" w:type="dxa"/>
            <w:shd w:val="clear" w:color="auto" w:fill="D9D9D9"/>
            <w:vAlign w:val="center"/>
          </w:tcPr>
          <w:p w14:paraId="202CA6D7" w14:textId="77777777" w:rsidR="004B0883" w:rsidRDefault="004B0883">
            <w:pPr>
              <w:adjustRightInd w:val="0"/>
              <w:snapToGrid w:val="0"/>
              <w:jc w:val="center"/>
              <w:rPr>
                <w:b/>
                <w:bCs/>
                <w:color w:val="000000"/>
                <w:kern w:val="0"/>
              </w:rPr>
            </w:pPr>
            <w:r>
              <w:rPr>
                <w:b/>
                <w:bCs/>
                <w:color w:val="000000"/>
                <w:kern w:val="0"/>
              </w:rPr>
              <w:t>比例</w:t>
            </w:r>
          </w:p>
        </w:tc>
      </w:tr>
      <w:tr w:rsidR="004B0883" w14:paraId="19060A6E" w14:textId="77777777">
        <w:trPr>
          <w:trHeight w:val="397"/>
          <w:jc w:val="center"/>
        </w:trPr>
        <w:tc>
          <w:tcPr>
            <w:tcW w:w="1376" w:type="dxa"/>
            <w:vAlign w:val="center"/>
          </w:tcPr>
          <w:p w14:paraId="3DD8226A" w14:textId="77777777" w:rsidR="004B0883" w:rsidRDefault="004B0883">
            <w:pPr>
              <w:adjustRightInd w:val="0"/>
              <w:snapToGrid w:val="0"/>
              <w:rPr>
                <w:kern w:val="0"/>
              </w:rPr>
            </w:pPr>
            <w:r>
              <w:rPr>
                <w:kern w:val="0"/>
              </w:rPr>
              <w:t xml:space="preserve">  </w:t>
            </w:r>
            <w:r>
              <w:rPr>
                <w:rFonts w:hint="eastAsia"/>
                <w:kern w:val="0"/>
              </w:rPr>
              <w:t>债权投资</w:t>
            </w:r>
          </w:p>
        </w:tc>
        <w:tc>
          <w:tcPr>
            <w:tcW w:w="1245" w:type="dxa"/>
            <w:vAlign w:val="center"/>
          </w:tcPr>
          <w:p w14:paraId="27AD1C58" w14:textId="77777777" w:rsidR="004B0883" w:rsidRDefault="004B0883">
            <w:pPr>
              <w:adjustRightInd w:val="0"/>
              <w:snapToGrid w:val="0"/>
              <w:jc w:val="right"/>
              <w:rPr>
                <w:color w:val="000000"/>
                <w:kern w:val="0"/>
              </w:rPr>
            </w:pPr>
            <w:r>
              <w:rPr>
                <w:color w:val="000000"/>
                <w:kern w:val="0"/>
              </w:rPr>
              <w:t>1,033.23</w:t>
            </w:r>
          </w:p>
        </w:tc>
        <w:tc>
          <w:tcPr>
            <w:tcW w:w="1246" w:type="dxa"/>
            <w:vAlign w:val="center"/>
          </w:tcPr>
          <w:p w14:paraId="37251BA9" w14:textId="77777777" w:rsidR="004B0883" w:rsidRDefault="004B0883">
            <w:pPr>
              <w:adjustRightInd w:val="0"/>
              <w:snapToGrid w:val="0"/>
              <w:jc w:val="right"/>
              <w:rPr>
                <w:color w:val="000000"/>
                <w:kern w:val="0"/>
              </w:rPr>
            </w:pPr>
            <w:r>
              <w:rPr>
                <w:color w:val="000000"/>
                <w:kern w:val="0"/>
              </w:rPr>
              <w:t>1.03%</w:t>
            </w:r>
          </w:p>
        </w:tc>
        <w:tc>
          <w:tcPr>
            <w:tcW w:w="1245" w:type="dxa"/>
            <w:vAlign w:val="center"/>
          </w:tcPr>
          <w:p w14:paraId="25A2E502" w14:textId="77777777" w:rsidR="004B0883" w:rsidRDefault="004B0883">
            <w:pPr>
              <w:adjustRightInd w:val="0"/>
              <w:snapToGrid w:val="0"/>
              <w:jc w:val="right"/>
              <w:rPr>
                <w:color w:val="000000"/>
                <w:kern w:val="0"/>
              </w:rPr>
            </w:pPr>
            <w:r>
              <w:rPr>
                <w:rFonts w:hint="eastAsia"/>
                <w:color w:val="000000"/>
                <w:kern w:val="0"/>
              </w:rPr>
              <w:t>1,009.25</w:t>
            </w:r>
          </w:p>
        </w:tc>
        <w:tc>
          <w:tcPr>
            <w:tcW w:w="1246" w:type="dxa"/>
            <w:vAlign w:val="center"/>
          </w:tcPr>
          <w:p w14:paraId="7538438F" w14:textId="77777777" w:rsidR="004B0883" w:rsidRDefault="004B0883">
            <w:pPr>
              <w:adjustRightInd w:val="0"/>
              <w:snapToGrid w:val="0"/>
              <w:jc w:val="right"/>
              <w:rPr>
                <w:color w:val="000000"/>
                <w:kern w:val="0"/>
              </w:rPr>
            </w:pPr>
            <w:r>
              <w:rPr>
                <w:rFonts w:hint="eastAsia"/>
                <w:color w:val="000000"/>
                <w:kern w:val="0"/>
              </w:rPr>
              <w:t>1.02%</w:t>
            </w:r>
          </w:p>
        </w:tc>
        <w:tc>
          <w:tcPr>
            <w:tcW w:w="1245" w:type="dxa"/>
            <w:vAlign w:val="center"/>
          </w:tcPr>
          <w:p w14:paraId="0A84A9E2" w14:textId="77777777" w:rsidR="004B0883" w:rsidRDefault="004B0883">
            <w:pPr>
              <w:adjustRightInd w:val="0"/>
              <w:snapToGrid w:val="0"/>
              <w:jc w:val="right"/>
              <w:rPr>
                <w:color w:val="000000"/>
                <w:kern w:val="0"/>
              </w:rPr>
            </w:pPr>
            <w:r>
              <w:rPr>
                <w:rFonts w:eastAsia="仿宋_GB2312"/>
                <w:color w:val="000000"/>
              </w:rPr>
              <w:t>-</w:t>
            </w:r>
          </w:p>
        </w:tc>
        <w:tc>
          <w:tcPr>
            <w:tcW w:w="1246" w:type="dxa"/>
            <w:vAlign w:val="center"/>
          </w:tcPr>
          <w:p w14:paraId="1E75E9FE" w14:textId="77777777" w:rsidR="004B0883" w:rsidRDefault="004B0883">
            <w:pPr>
              <w:adjustRightInd w:val="0"/>
              <w:snapToGrid w:val="0"/>
              <w:jc w:val="right"/>
              <w:rPr>
                <w:color w:val="000000"/>
                <w:kern w:val="0"/>
              </w:rPr>
            </w:pPr>
            <w:r>
              <w:rPr>
                <w:rFonts w:hint="eastAsia"/>
                <w:color w:val="000000"/>
                <w:kern w:val="0"/>
              </w:rPr>
              <w:t>-</w:t>
            </w:r>
          </w:p>
        </w:tc>
        <w:tc>
          <w:tcPr>
            <w:tcW w:w="1245" w:type="dxa"/>
            <w:vAlign w:val="center"/>
          </w:tcPr>
          <w:p w14:paraId="2C9E732A" w14:textId="77777777" w:rsidR="004B0883" w:rsidRDefault="004B0883">
            <w:pPr>
              <w:adjustRightInd w:val="0"/>
              <w:snapToGrid w:val="0"/>
              <w:jc w:val="right"/>
              <w:rPr>
                <w:color w:val="000000"/>
                <w:kern w:val="0"/>
              </w:rPr>
            </w:pPr>
            <w:r>
              <w:rPr>
                <w:rFonts w:eastAsia="仿宋_GB2312"/>
                <w:color w:val="000000"/>
              </w:rPr>
              <w:t>-</w:t>
            </w:r>
          </w:p>
        </w:tc>
        <w:tc>
          <w:tcPr>
            <w:tcW w:w="1246" w:type="dxa"/>
            <w:vAlign w:val="center"/>
          </w:tcPr>
          <w:p w14:paraId="55B4ED72" w14:textId="77777777" w:rsidR="004B0883" w:rsidRDefault="004B0883">
            <w:pPr>
              <w:adjustRightInd w:val="0"/>
              <w:snapToGrid w:val="0"/>
              <w:jc w:val="right"/>
              <w:rPr>
                <w:color w:val="000000"/>
                <w:kern w:val="0"/>
              </w:rPr>
            </w:pPr>
            <w:r>
              <w:rPr>
                <w:rFonts w:hint="eastAsia"/>
                <w:color w:val="000000"/>
                <w:kern w:val="0"/>
              </w:rPr>
              <w:t>-</w:t>
            </w:r>
          </w:p>
        </w:tc>
      </w:tr>
      <w:tr w:rsidR="004B0883" w14:paraId="2EFC4D0C" w14:textId="77777777">
        <w:trPr>
          <w:trHeight w:val="397"/>
          <w:jc w:val="center"/>
        </w:trPr>
        <w:tc>
          <w:tcPr>
            <w:tcW w:w="1376" w:type="dxa"/>
            <w:vAlign w:val="center"/>
          </w:tcPr>
          <w:p w14:paraId="17CAD38A" w14:textId="77777777" w:rsidR="004B0883" w:rsidRDefault="004B0883">
            <w:pPr>
              <w:adjustRightInd w:val="0"/>
              <w:snapToGrid w:val="0"/>
              <w:ind w:firstLineChars="60" w:firstLine="126"/>
              <w:rPr>
                <w:kern w:val="0"/>
              </w:rPr>
            </w:pPr>
            <w:r>
              <w:rPr>
                <w:rFonts w:hint="eastAsia"/>
                <w:kern w:val="0"/>
              </w:rPr>
              <w:t>投资性房地产</w:t>
            </w:r>
          </w:p>
        </w:tc>
        <w:tc>
          <w:tcPr>
            <w:tcW w:w="1245" w:type="dxa"/>
            <w:vAlign w:val="center"/>
          </w:tcPr>
          <w:p w14:paraId="5B2203BD" w14:textId="77777777" w:rsidR="004B0883" w:rsidRDefault="004B0883">
            <w:pPr>
              <w:adjustRightInd w:val="0"/>
              <w:snapToGrid w:val="0"/>
              <w:jc w:val="right"/>
              <w:rPr>
                <w:color w:val="000000"/>
                <w:kern w:val="0"/>
              </w:rPr>
            </w:pPr>
            <w:r>
              <w:t>122.48</w:t>
            </w:r>
          </w:p>
        </w:tc>
        <w:tc>
          <w:tcPr>
            <w:tcW w:w="1246" w:type="dxa"/>
            <w:vAlign w:val="center"/>
          </w:tcPr>
          <w:p w14:paraId="42F642C0" w14:textId="77777777" w:rsidR="004B0883" w:rsidRDefault="004B0883">
            <w:pPr>
              <w:adjustRightInd w:val="0"/>
              <w:snapToGrid w:val="0"/>
              <w:jc w:val="right"/>
              <w:rPr>
                <w:rFonts w:hint="eastAsia"/>
                <w:color w:val="000000"/>
                <w:kern w:val="0"/>
              </w:rPr>
            </w:pPr>
            <w:r>
              <w:t>0.12%</w:t>
            </w:r>
          </w:p>
        </w:tc>
        <w:tc>
          <w:tcPr>
            <w:tcW w:w="1245" w:type="dxa"/>
            <w:vAlign w:val="center"/>
          </w:tcPr>
          <w:p w14:paraId="7C6B9876" w14:textId="77777777" w:rsidR="004B0883" w:rsidRDefault="004B0883">
            <w:pPr>
              <w:adjustRightInd w:val="0"/>
              <w:snapToGrid w:val="0"/>
              <w:jc w:val="right"/>
              <w:rPr>
                <w:color w:val="000000"/>
                <w:kern w:val="0"/>
              </w:rPr>
            </w:pPr>
            <w:r>
              <w:rPr>
                <w:rFonts w:hint="eastAsia"/>
                <w:color w:val="000000"/>
                <w:kern w:val="0"/>
              </w:rPr>
              <w:t>131.37</w:t>
            </w:r>
          </w:p>
        </w:tc>
        <w:tc>
          <w:tcPr>
            <w:tcW w:w="1246" w:type="dxa"/>
            <w:vAlign w:val="center"/>
          </w:tcPr>
          <w:p w14:paraId="46C4E978" w14:textId="77777777" w:rsidR="004B0883" w:rsidRDefault="004B0883">
            <w:pPr>
              <w:adjustRightInd w:val="0"/>
              <w:snapToGrid w:val="0"/>
              <w:jc w:val="right"/>
              <w:rPr>
                <w:rFonts w:hint="eastAsia"/>
                <w:color w:val="000000"/>
                <w:kern w:val="0"/>
              </w:rPr>
            </w:pPr>
            <w:r>
              <w:rPr>
                <w:rFonts w:hint="eastAsia"/>
                <w:color w:val="000000"/>
                <w:kern w:val="0"/>
              </w:rPr>
              <w:t>0.13%</w:t>
            </w:r>
          </w:p>
        </w:tc>
        <w:tc>
          <w:tcPr>
            <w:tcW w:w="1245" w:type="dxa"/>
            <w:vAlign w:val="center"/>
          </w:tcPr>
          <w:p w14:paraId="0B3D6B27" w14:textId="77777777" w:rsidR="004B0883" w:rsidRDefault="004B0883">
            <w:pPr>
              <w:adjustRightInd w:val="0"/>
              <w:snapToGrid w:val="0"/>
              <w:jc w:val="right"/>
              <w:rPr>
                <w:color w:val="000000"/>
                <w:kern w:val="0"/>
              </w:rPr>
            </w:pPr>
            <w:r>
              <w:rPr>
                <w:rFonts w:hint="eastAsia"/>
                <w:color w:val="000000"/>
                <w:kern w:val="0"/>
              </w:rPr>
              <w:t>557.87</w:t>
            </w:r>
          </w:p>
        </w:tc>
        <w:tc>
          <w:tcPr>
            <w:tcW w:w="1246" w:type="dxa"/>
            <w:vAlign w:val="center"/>
          </w:tcPr>
          <w:p w14:paraId="4E446061" w14:textId="77777777" w:rsidR="004B0883" w:rsidRDefault="004B0883">
            <w:pPr>
              <w:adjustRightInd w:val="0"/>
              <w:snapToGrid w:val="0"/>
              <w:jc w:val="right"/>
              <w:rPr>
                <w:rFonts w:hint="eastAsia"/>
                <w:color w:val="000000"/>
                <w:kern w:val="0"/>
              </w:rPr>
            </w:pPr>
            <w:r>
              <w:rPr>
                <w:rFonts w:hint="eastAsia"/>
                <w:color w:val="000000"/>
                <w:kern w:val="0"/>
              </w:rPr>
              <w:t>0.63%</w:t>
            </w:r>
          </w:p>
        </w:tc>
        <w:tc>
          <w:tcPr>
            <w:tcW w:w="1245" w:type="dxa"/>
            <w:vAlign w:val="center"/>
          </w:tcPr>
          <w:p w14:paraId="30323F55" w14:textId="77777777" w:rsidR="004B0883" w:rsidRDefault="004B0883">
            <w:pPr>
              <w:adjustRightInd w:val="0"/>
              <w:snapToGrid w:val="0"/>
              <w:jc w:val="right"/>
              <w:rPr>
                <w:color w:val="000000"/>
                <w:kern w:val="0"/>
              </w:rPr>
            </w:pPr>
            <w:r>
              <w:rPr>
                <w:rFonts w:hint="eastAsia"/>
                <w:color w:val="000000"/>
                <w:kern w:val="0"/>
              </w:rPr>
              <w:t>628.75</w:t>
            </w:r>
          </w:p>
        </w:tc>
        <w:tc>
          <w:tcPr>
            <w:tcW w:w="1246" w:type="dxa"/>
            <w:vAlign w:val="center"/>
          </w:tcPr>
          <w:p w14:paraId="12B46E68" w14:textId="77777777" w:rsidR="004B0883" w:rsidRDefault="004B0883">
            <w:pPr>
              <w:adjustRightInd w:val="0"/>
              <w:snapToGrid w:val="0"/>
              <w:jc w:val="right"/>
              <w:rPr>
                <w:rFonts w:hint="eastAsia"/>
                <w:color w:val="000000"/>
                <w:kern w:val="0"/>
              </w:rPr>
            </w:pPr>
            <w:r>
              <w:rPr>
                <w:rFonts w:hint="eastAsia"/>
                <w:color w:val="000000"/>
                <w:kern w:val="0"/>
              </w:rPr>
              <w:t>0.72%</w:t>
            </w:r>
          </w:p>
        </w:tc>
      </w:tr>
      <w:tr w:rsidR="004B0883" w14:paraId="4B43F650" w14:textId="77777777">
        <w:trPr>
          <w:trHeight w:val="397"/>
          <w:jc w:val="center"/>
        </w:trPr>
        <w:tc>
          <w:tcPr>
            <w:tcW w:w="1376" w:type="dxa"/>
            <w:vAlign w:val="center"/>
          </w:tcPr>
          <w:p w14:paraId="202480DB" w14:textId="77777777" w:rsidR="004B0883" w:rsidRDefault="004B0883">
            <w:pPr>
              <w:adjustRightInd w:val="0"/>
              <w:snapToGrid w:val="0"/>
              <w:rPr>
                <w:kern w:val="0"/>
              </w:rPr>
            </w:pPr>
            <w:r>
              <w:rPr>
                <w:kern w:val="0"/>
              </w:rPr>
              <w:t xml:space="preserve">  </w:t>
            </w:r>
            <w:r>
              <w:rPr>
                <w:rFonts w:hint="eastAsia"/>
                <w:kern w:val="0"/>
              </w:rPr>
              <w:t>固定资产</w:t>
            </w:r>
          </w:p>
        </w:tc>
        <w:tc>
          <w:tcPr>
            <w:tcW w:w="1245" w:type="dxa"/>
            <w:vAlign w:val="center"/>
          </w:tcPr>
          <w:p w14:paraId="33700D94" w14:textId="77777777" w:rsidR="004B0883" w:rsidRDefault="004B0883">
            <w:pPr>
              <w:adjustRightInd w:val="0"/>
              <w:snapToGrid w:val="0"/>
              <w:jc w:val="right"/>
              <w:rPr>
                <w:color w:val="000000"/>
                <w:kern w:val="0"/>
              </w:rPr>
            </w:pPr>
            <w:r>
              <w:t>22,530.65</w:t>
            </w:r>
          </w:p>
        </w:tc>
        <w:tc>
          <w:tcPr>
            <w:tcW w:w="1246" w:type="dxa"/>
            <w:vAlign w:val="center"/>
          </w:tcPr>
          <w:p w14:paraId="6CC5AD32" w14:textId="77777777" w:rsidR="004B0883" w:rsidRDefault="004B0883">
            <w:pPr>
              <w:adjustRightInd w:val="0"/>
              <w:snapToGrid w:val="0"/>
              <w:jc w:val="right"/>
              <w:rPr>
                <w:rFonts w:hint="eastAsia"/>
                <w:color w:val="000000"/>
                <w:kern w:val="0"/>
              </w:rPr>
            </w:pPr>
            <w:r>
              <w:t>22.37%</w:t>
            </w:r>
          </w:p>
        </w:tc>
        <w:tc>
          <w:tcPr>
            <w:tcW w:w="1245" w:type="dxa"/>
            <w:vAlign w:val="center"/>
          </w:tcPr>
          <w:p w14:paraId="76924D79" w14:textId="77777777" w:rsidR="004B0883" w:rsidRDefault="004B0883">
            <w:pPr>
              <w:adjustRightInd w:val="0"/>
              <w:snapToGrid w:val="0"/>
              <w:jc w:val="right"/>
              <w:rPr>
                <w:color w:val="000000"/>
                <w:kern w:val="0"/>
              </w:rPr>
            </w:pPr>
            <w:r>
              <w:rPr>
                <w:rFonts w:hint="eastAsia"/>
                <w:color w:val="000000"/>
                <w:kern w:val="0"/>
              </w:rPr>
              <w:t>23,886.39</w:t>
            </w:r>
          </w:p>
        </w:tc>
        <w:tc>
          <w:tcPr>
            <w:tcW w:w="1246" w:type="dxa"/>
            <w:vAlign w:val="center"/>
          </w:tcPr>
          <w:p w14:paraId="65B313F7" w14:textId="77777777" w:rsidR="004B0883" w:rsidRDefault="004B0883">
            <w:pPr>
              <w:adjustRightInd w:val="0"/>
              <w:snapToGrid w:val="0"/>
              <w:jc w:val="right"/>
              <w:rPr>
                <w:rFonts w:hint="eastAsia"/>
                <w:color w:val="000000"/>
                <w:kern w:val="0"/>
              </w:rPr>
            </w:pPr>
            <w:r>
              <w:rPr>
                <w:rFonts w:hint="eastAsia"/>
                <w:color w:val="000000"/>
                <w:kern w:val="0"/>
              </w:rPr>
              <w:t>24.03%</w:t>
            </w:r>
          </w:p>
        </w:tc>
        <w:tc>
          <w:tcPr>
            <w:tcW w:w="1245" w:type="dxa"/>
            <w:vAlign w:val="center"/>
          </w:tcPr>
          <w:p w14:paraId="2211D20F" w14:textId="77777777" w:rsidR="004B0883" w:rsidRDefault="004B0883">
            <w:pPr>
              <w:adjustRightInd w:val="0"/>
              <w:snapToGrid w:val="0"/>
              <w:jc w:val="right"/>
              <w:rPr>
                <w:color w:val="000000"/>
                <w:kern w:val="0"/>
              </w:rPr>
            </w:pPr>
            <w:r>
              <w:rPr>
                <w:rFonts w:hint="eastAsia"/>
                <w:color w:val="000000"/>
                <w:kern w:val="0"/>
              </w:rPr>
              <w:t>25,021.29</w:t>
            </w:r>
          </w:p>
        </w:tc>
        <w:tc>
          <w:tcPr>
            <w:tcW w:w="1246" w:type="dxa"/>
            <w:vAlign w:val="center"/>
          </w:tcPr>
          <w:p w14:paraId="20B44F6F" w14:textId="77777777" w:rsidR="004B0883" w:rsidRDefault="004B0883">
            <w:pPr>
              <w:adjustRightInd w:val="0"/>
              <w:snapToGrid w:val="0"/>
              <w:jc w:val="right"/>
              <w:rPr>
                <w:rFonts w:hint="eastAsia"/>
                <w:color w:val="000000"/>
                <w:kern w:val="0"/>
              </w:rPr>
            </w:pPr>
            <w:r>
              <w:rPr>
                <w:rFonts w:hint="eastAsia"/>
                <w:color w:val="000000"/>
                <w:kern w:val="0"/>
              </w:rPr>
              <w:t>28.12%</w:t>
            </w:r>
          </w:p>
        </w:tc>
        <w:tc>
          <w:tcPr>
            <w:tcW w:w="1245" w:type="dxa"/>
            <w:vAlign w:val="center"/>
          </w:tcPr>
          <w:p w14:paraId="405821D4" w14:textId="77777777" w:rsidR="004B0883" w:rsidRDefault="004B0883">
            <w:pPr>
              <w:adjustRightInd w:val="0"/>
              <w:snapToGrid w:val="0"/>
              <w:jc w:val="right"/>
              <w:rPr>
                <w:color w:val="000000"/>
                <w:kern w:val="0"/>
              </w:rPr>
            </w:pPr>
            <w:r>
              <w:rPr>
                <w:rFonts w:hint="eastAsia"/>
                <w:color w:val="000000"/>
                <w:kern w:val="0"/>
              </w:rPr>
              <w:t>24,566.91</w:t>
            </w:r>
          </w:p>
        </w:tc>
        <w:tc>
          <w:tcPr>
            <w:tcW w:w="1246" w:type="dxa"/>
            <w:vAlign w:val="center"/>
          </w:tcPr>
          <w:p w14:paraId="101686F4" w14:textId="77777777" w:rsidR="004B0883" w:rsidRDefault="004B0883">
            <w:pPr>
              <w:adjustRightInd w:val="0"/>
              <w:snapToGrid w:val="0"/>
              <w:jc w:val="right"/>
              <w:rPr>
                <w:rFonts w:hint="eastAsia"/>
                <w:color w:val="000000"/>
                <w:kern w:val="0"/>
              </w:rPr>
            </w:pPr>
            <w:r>
              <w:rPr>
                <w:rFonts w:hint="eastAsia"/>
                <w:color w:val="000000"/>
                <w:kern w:val="0"/>
              </w:rPr>
              <w:t>28.25%</w:t>
            </w:r>
          </w:p>
        </w:tc>
      </w:tr>
      <w:tr w:rsidR="004B0883" w14:paraId="11ED8A6E" w14:textId="77777777">
        <w:trPr>
          <w:trHeight w:val="397"/>
          <w:jc w:val="center"/>
        </w:trPr>
        <w:tc>
          <w:tcPr>
            <w:tcW w:w="1376" w:type="dxa"/>
            <w:vAlign w:val="center"/>
          </w:tcPr>
          <w:p w14:paraId="094D3355" w14:textId="77777777" w:rsidR="004B0883" w:rsidRDefault="004B0883">
            <w:pPr>
              <w:adjustRightInd w:val="0"/>
              <w:snapToGrid w:val="0"/>
              <w:rPr>
                <w:kern w:val="0"/>
              </w:rPr>
            </w:pPr>
            <w:r>
              <w:rPr>
                <w:kern w:val="0"/>
              </w:rPr>
              <w:t xml:space="preserve">  </w:t>
            </w:r>
            <w:r>
              <w:rPr>
                <w:rFonts w:hint="eastAsia"/>
                <w:kern w:val="0"/>
              </w:rPr>
              <w:t>在建工程</w:t>
            </w:r>
          </w:p>
        </w:tc>
        <w:tc>
          <w:tcPr>
            <w:tcW w:w="1245" w:type="dxa"/>
            <w:vAlign w:val="center"/>
          </w:tcPr>
          <w:p w14:paraId="71B6F64E" w14:textId="77777777" w:rsidR="004B0883" w:rsidRDefault="004B0883">
            <w:pPr>
              <w:adjustRightInd w:val="0"/>
              <w:snapToGrid w:val="0"/>
              <w:jc w:val="right"/>
              <w:rPr>
                <w:color w:val="000000"/>
                <w:kern w:val="0"/>
              </w:rPr>
            </w:pPr>
            <w:r>
              <w:t>2,692.89</w:t>
            </w:r>
          </w:p>
        </w:tc>
        <w:tc>
          <w:tcPr>
            <w:tcW w:w="1246" w:type="dxa"/>
            <w:vAlign w:val="center"/>
          </w:tcPr>
          <w:p w14:paraId="1313F18B" w14:textId="77777777" w:rsidR="004B0883" w:rsidRDefault="004B0883">
            <w:pPr>
              <w:adjustRightInd w:val="0"/>
              <w:snapToGrid w:val="0"/>
              <w:jc w:val="right"/>
              <w:rPr>
                <w:rFonts w:hint="eastAsia"/>
                <w:color w:val="000000"/>
                <w:kern w:val="0"/>
              </w:rPr>
            </w:pPr>
            <w:r>
              <w:t>2.67%</w:t>
            </w:r>
          </w:p>
        </w:tc>
        <w:tc>
          <w:tcPr>
            <w:tcW w:w="1245" w:type="dxa"/>
            <w:vAlign w:val="center"/>
          </w:tcPr>
          <w:p w14:paraId="7F2627DA" w14:textId="77777777" w:rsidR="004B0883" w:rsidRDefault="004B0883">
            <w:pPr>
              <w:adjustRightInd w:val="0"/>
              <w:snapToGrid w:val="0"/>
              <w:jc w:val="right"/>
              <w:rPr>
                <w:color w:val="000000"/>
                <w:kern w:val="0"/>
              </w:rPr>
            </w:pPr>
            <w:r>
              <w:rPr>
                <w:rFonts w:hint="eastAsia"/>
                <w:color w:val="000000"/>
                <w:kern w:val="0"/>
              </w:rPr>
              <w:t>508.76</w:t>
            </w:r>
          </w:p>
        </w:tc>
        <w:tc>
          <w:tcPr>
            <w:tcW w:w="1246" w:type="dxa"/>
            <w:vAlign w:val="center"/>
          </w:tcPr>
          <w:p w14:paraId="75D3C589" w14:textId="77777777" w:rsidR="004B0883" w:rsidRDefault="004B0883">
            <w:pPr>
              <w:adjustRightInd w:val="0"/>
              <w:snapToGrid w:val="0"/>
              <w:jc w:val="right"/>
              <w:rPr>
                <w:rFonts w:hint="eastAsia"/>
                <w:color w:val="000000"/>
                <w:kern w:val="0"/>
              </w:rPr>
            </w:pPr>
            <w:r>
              <w:rPr>
                <w:rFonts w:hint="eastAsia"/>
                <w:color w:val="000000"/>
                <w:kern w:val="0"/>
              </w:rPr>
              <w:t>0.51%</w:t>
            </w:r>
          </w:p>
        </w:tc>
        <w:tc>
          <w:tcPr>
            <w:tcW w:w="1245" w:type="dxa"/>
            <w:vAlign w:val="center"/>
          </w:tcPr>
          <w:p w14:paraId="584E15F9" w14:textId="77777777" w:rsidR="004B0883" w:rsidRDefault="004B0883">
            <w:pPr>
              <w:adjustRightInd w:val="0"/>
              <w:snapToGrid w:val="0"/>
              <w:jc w:val="right"/>
              <w:rPr>
                <w:color w:val="000000"/>
                <w:kern w:val="0"/>
              </w:rPr>
            </w:pPr>
            <w:r>
              <w:rPr>
                <w:rFonts w:hint="eastAsia"/>
                <w:color w:val="000000"/>
                <w:kern w:val="0"/>
              </w:rPr>
              <w:t>464.97</w:t>
            </w:r>
          </w:p>
        </w:tc>
        <w:tc>
          <w:tcPr>
            <w:tcW w:w="1246" w:type="dxa"/>
            <w:vAlign w:val="center"/>
          </w:tcPr>
          <w:p w14:paraId="46ADDF60" w14:textId="77777777" w:rsidR="004B0883" w:rsidRDefault="004B0883">
            <w:pPr>
              <w:adjustRightInd w:val="0"/>
              <w:snapToGrid w:val="0"/>
              <w:jc w:val="right"/>
              <w:rPr>
                <w:rFonts w:hint="eastAsia"/>
                <w:color w:val="000000"/>
                <w:kern w:val="0"/>
              </w:rPr>
            </w:pPr>
            <w:r>
              <w:rPr>
                <w:rFonts w:hint="eastAsia"/>
                <w:color w:val="000000"/>
                <w:kern w:val="0"/>
              </w:rPr>
              <w:t>0.52%</w:t>
            </w:r>
          </w:p>
        </w:tc>
        <w:tc>
          <w:tcPr>
            <w:tcW w:w="1245" w:type="dxa"/>
            <w:vAlign w:val="center"/>
          </w:tcPr>
          <w:p w14:paraId="175F51A0" w14:textId="77777777" w:rsidR="004B0883" w:rsidRDefault="004B0883">
            <w:pPr>
              <w:adjustRightInd w:val="0"/>
              <w:snapToGrid w:val="0"/>
              <w:jc w:val="right"/>
              <w:rPr>
                <w:color w:val="000000"/>
                <w:kern w:val="0"/>
              </w:rPr>
            </w:pPr>
            <w:r>
              <w:rPr>
                <w:rFonts w:hint="eastAsia"/>
                <w:color w:val="000000"/>
                <w:kern w:val="0"/>
              </w:rPr>
              <w:t>1,282.93</w:t>
            </w:r>
          </w:p>
        </w:tc>
        <w:tc>
          <w:tcPr>
            <w:tcW w:w="1246" w:type="dxa"/>
            <w:vAlign w:val="center"/>
          </w:tcPr>
          <w:p w14:paraId="3ECB223E" w14:textId="77777777" w:rsidR="004B0883" w:rsidRDefault="004B0883">
            <w:pPr>
              <w:adjustRightInd w:val="0"/>
              <w:snapToGrid w:val="0"/>
              <w:jc w:val="right"/>
              <w:rPr>
                <w:rFonts w:hint="eastAsia"/>
                <w:color w:val="000000"/>
                <w:kern w:val="0"/>
              </w:rPr>
            </w:pPr>
            <w:r>
              <w:rPr>
                <w:rFonts w:hint="eastAsia"/>
                <w:color w:val="000000"/>
                <w:kern w:val="0"/>
              </w:rPr>
              <w:t>1.48%</w:t>
            </w:r>
          </w:p>
        </w:tc>
      </w:tr>
      <w:tr w:rsidR="004B0883" w14:paraId="4F815FF8" w14:textId="77777777">
        <w:trPr>
          <w:trHeight w:val="397"/>
          <w:jc w:val="center"/>
        </w:trPr>
        <w:tc>
          <w:tcPr>
            <w:tcW w:w="1376" w:type="dxa"/>
            <w:vAlign w:val="center"/>
          </w:tcPr>
          <w:p w14:paraId="60E452A2" w14:textId="77777777" w:rsidR="004B0883" w:rsidRDefault="004B0883">
            <w:pPr>
              <w:adjustRightInd w:val="0"/>
              <w:snapToGrid w:val="0"/>
              <w:rPr>
                <w:kern w:val="0"/>
              </w:rPr>
            </w:pPr>
            <w:r>
              <w:rPr>
                <w:kern w:val="0"/>
              </w:rPr>
              <w:t xml:space="preserve">  </w:t>
            </w:r>
            <w:r>
              <w:rPr>
                <w:rFonts w:hint="eastAsia"/>
                <w:kern w:val="0"/>
              </w:rPr>
              <w:t>无形资产</w:t>
            </w:r>
          </w:p>
        </w:tc>
        <w:tc>
          <w:tcPr>
            <w:tcW w:w="1245" w:type="dxa"/>
            <w:vAlign w:val="center"/>
          </w:tcPr>
          <w:p w14:paraId="3243054B" w14:textId="77777777" w:rsidR="004B0883" w:rsidRDefault="004B0883">
            <w:pPr>
              <w:adjustRightInd w:val="0"/>
              <w:snapToGrid w:val="0"/>
              <w:jc w:val="right"/>
              <w:rPr>
                <w:color w:val="000000"/>
                <w:kern w:val="0"/>
              </w:rPr>
            </w:pPr>
            <w:r>
              <w:t>4,986.23</w:t>
            </w:r>
          </w:p>
        </w:tc>
        <w:tc>
          <w:tcPr>
            <w:tcW w:w="1246" w:type="dxa"/>
            <w:vAlign w:val="center"/>
          </w:tcPr>
          <w:p w14:paraId="502ECC10" w14:textId="77777777" w:rsidR="004B0883" w:rsidRDefault="004B0883">
            <w:pPr>
              <w:adjustRightInd w:val="0"/>
              <w:snapToGrid w:val="0"/>
              <w:jc w:val="right"/>
              <w:rPr>
                <w:rFonts w:hint="eastAsia"/>
                <w:color w:val="000000"/>
                <w:kern w:val="0"/>
              </w:rPr>
            </w:pPr>
            <w:r>
              <w:t>4.95%</w:t>
            </w:r>
          </w:p>
        </w:tc>
        <w:tc>
          <w:tcPr>
            <w:tcW w:w="1245" w:type="dxa"/>
            <w:vAlign w:val="center"/>
          </w:tcPr>
          <w:p w14:paraId="2E575609" w14:textId="77777777" w:rsidR="004B0883" w:rsidRDefault="004B0883">
            <w:pPr>
              <w:adjustRightInd w:val="0"/>
              <w:snapToGrid w:val="0"/>
              <w:jc w:val="right"/>
              <w:rPr>
                <w:color w:val="000000"/>
                <w:kern w:val="0"/>
              </w:rPr>
            </w:pPr>
            <w:r>
              <w:rPr>
                <w:rFonts w:hint="eastAsia"/>
                <w:color w:val="000000"/>
                <w:kern w:val="0"/>
              </w:rPr>
              <w:t>3,352.19</w:t>
            </w:r>
          </w:p>
        </w:tc>
        <w:tc>
          <w:tcPr>
            <w:tcW w:w="1246" w:type="dxa"/>
            <w:vAlign w:val="center"/>
          </w:tcPr>
          <w:p w14:paraId="678C510A" w14:textId="77777777" w:rsidR="004B0883" w:rsidRDefault="004B0883">
            <w:pPr>
              <w:adjustRightInd w:val="0"/>
              <w:snapToGrid w:val="0"/>
              <w:jc w:val="right"/>
              <w:rPr>
                <w:rFonts w:hint="eastAsia"/>
                <w:color w:val="000000"/>
                <w:kern w:val="0"/>
              </w:rPr>
            </w:pPr>
            <w:r>
              <w:rPr>
                <w:rFonts w:hint="eastAsia"/>
                <w:color w:val="000000"/>
                <w:kern w:val="0"/>
              </w:rPr>
              <w:t>3.37%</w:t>
            </w:r>
          </w:p>
        </w:tc>
        <w:tc>
          <w:tcPr>
            <w:tcW w:w="1245" w:type="dxa"/>
            <w:vAlign w:val="center"/>
          </w:tcPr>
          <w:p w14:paraId="0D0DC833" w14:textId="77777777" w:rsidR="004B0883" w:rsidRDefault="004B0883">
            <w:pPr>
              <w:adjustRightInd w:val="0"/>
              <w:snapToGrid w:val="0"/>
              <w:jc w:val="right"/>
              <w:rPr>
                <w:color w:val="000000"/>
                <w:kern w:val="0"/>
              </w:rPr>
            </w:pPr>
            <w:r>
              <w:rPr>
                <w:rFonts w:hint="eastAsia"/>
                <w:color w:val="000000"/>
                <w:kern w:val="0"/>
              </w:rPr>
              <w:t>3,451.56</w:t>
            </w:r>
          </w:p>
        </w:tc>
        <w:tc>
          <w:tcPr>
            <w:tcW w:w="1246" w:type="dxa"/>
            <w:vAlign w:val="center"/>
          </w:tcPr>
          <w:p w14:paraId="64C5FEA7" w14:textId="77777777" w:rsidR="004B0883" w:rsidRDefault="004B0883">
            <w:pPr>
              <w:adjustRightInd w:val="0"/>
              <w:snapToGrid w:val="0"/>
              <w:jc w:val="right"/>
              <w:rPr>
                <w:rFonts w:hint="eastAsia"/>
                <w:color w:val="000000"/>
                <w:kern w:val="0"/>
              </w:rPr>
            </w:pPr>
            <w:r>
              <w:rPr>
                <w:rFonts w:hint="eastAsia"/>
                <w:color w:val="000000"/>
                <w:kern w:val="0"/>
              </w:rPr>
              <w:t>3.88%</w:t>
            </w:r>
          </w:p>
        </w:tc>
        <w:tc>
          <w:tcPr>
            <w:tcW w:w="1245" w:type="dxa"/>
            <w:vAlign w:val="center"/>
          </w:tcPr>
          <w:p w14:paraId="1AC73A5E" w14:textId="77777777" w:rsidR="004B0883" w:rsidRDefault="004B0883">
            <w:pPr>
              <w:adjustRightInd w:val="0"/>
              <w:snapToGrid w:val="0"/>
              <w:jc w:val="right"/>
              <w:rPr>
                <w:color w:val="000000"/>
                <w:kern w:val="0"/>
              </w:rPr>
            </w:pPr>
            <w:r>
              <w:rPr>
                <w:rFonts w:hint="eastAsia"/>
                <w:color w:val="000000"/>
                <w:kern w:val="0"/>
              </w:rPr>
              <w:t>3,543.19</w:t>
            </w:r>
          </w:p>
        </w:tc>
        <w:tc>
          <w:tcPr>
            <w:tcW w:w="1246" w:type="dxa"/>
            <w:vAlign w:val="center"/>
          </w:tcPr>
          <w:p w14:paraId="6816D8A0" w14:textId="77777777" w:rsidR="004B0883" w:rsidRDefault="004B0883">
            <w:pPr>
              <w:adjustRightInd w:val="0"/>
              <w:snapToGrid w:val="0"/>
              <w:jc w:val="right"/>
              <w:rPr>
                <w:rFonts w:hint="eastAsia"/>
                <w:color w:val="000000"/>
                <w:kern w:val="0"/>
              </w:rPr>
            </w:pPr>
            <w:r>
              <w:rPr>
                <w:rFonts w:hint="eastAsia"/>
                <w:color w:val="000000"/>
                <w:kern w:val="0"/>
              </w:rPr>
              <w:t>4.07%</w:t>
            </w:r>
          </w:p>
        </w:tc>
      </w:tr>
      <w:tr w:rsidR="004B0883" w14:paraId="41FCBCC9" w14:textId="77777777">
        <w:trPr>
          <w:trHeight w:val="397"/>
          <w:jc w:val="center"/>
        </w:trPr>
        <w:tc>
          <w:tcPr>
            <w:tcW w:w="1376" w:type="dxa"/>
            <w:vAlign w:val="center"/>
          </w:tcPr>
          <w:p w14:paraId="314B91E0" w14:textId="77777777" w:rsidR="004B0883" w:rsidRDefault="004B0883">
            <w:pPr>
              <w:adjustRightInd w:val="0"/>
              <w:snapToGrid w:val="0"/>
              <w:rPr>
                <w:kern w:val="0"/>
              </w:rPr>
            </w:pPr>
            <w:r>
              <w:rPr>
                <w:kern w:val="0"/>
              </w:rPr>
              <w:t xml:space="preserve">  </w:t>
            </w:r>
            <w:r>
              <w:rPr>
                <w:rFonts w:hint="eastAsia"/>
                <w:kern w:val="0"/>
              </w:rPr>
              <w:t>长期待摊费用</w:t>
            </w:r>
          </w:p>
        </w:tc>
        <w:tc>
          <w:tcPr>
            <w:tcW w:w="1245" w:type="dxa"/>
            <w:vAlign w:val="center"/>
          </w:tcPr>
          <w:p w14:paraId="3B27FD9D" w14:textId="77777777" w:rsidR="004B0883" w:rsidRDefault="004B0883">
            <w:pPr>
              <w:adjustRightInd w:val="0"/>
              <w:snapToGrid w:val="0"/>
              <w:jc w:val="right"/>
              <w:rPr>
                <w:color w:val="000000"/>
                <w:kern w:val="0"/>
              </w:rPr>
            </w:pPr>
            <w:r>
              <w:t>209.53</w:t>
            </w:r>
          </w:p>
        </w:tc>
        <w:tc>
          <w:tcPr>
            <w:tcW w:w="1246" w:type="dxa"/>
            <w:vAlign w:val="center"/>
          </w:tcPr>
          <w:p w14:paraId="08395591" w14:textId="77777777" w:rsidR="004B0883" w:rsidRDefault="004B0883">
            <w:pPr>
              <w:adjustRightInd w:val="0"/>
              <w:snapToGrid w:val="0"/>
              <w:jc w:val="right"/>
              <w:rPr>
                <w:rFonts w:hint="eastAsia"/>
                <w:color w:val="000000"/>
                <w:kern w:val="0"/>
              </w:rPr>
            </w:pPr>
            <w:r>
              <w:t>0.21%</w:t>
            </w:r>
          </w:p>
        </w:tc>
        <w:tc>
          <w:tcPr>
            <w:tcW w:w="1245" w:type="dxa"/>
            <w:vAlign w:val="center"/>
          </w:tcPr>
          <w:p w14:paraId="1A9453E0" w14:textId="77777777" w:rsidR="004B0883" w:rsidRDefault="004B0883">
            <w:pPr>
              <w:adjustRightInd w:val="0"/>
              <w:snapToGrid w:val="0"/>
              <w:jc w:val="right"/>
              <w:rPr>
                <w:color w:val="000000"/>
                <w:kern w:val="0"/>
              </w:rPr>
            </w:pPr>
            <w:r>
              <w:rPr>
                <w:rFonts w:hint="eastAsia"/>
                <w:color w:val="000000"/>
                <w:kern w:val="0"/>
              </w:rPr>
              <w:t>203.46</w:t>
            </w:r>
          </w:p>
        </w:tc>
        <w:tc>
          <w:tcPr>
            <w:tcW w:w="1246" w:type="dxa"/>
            <w:vAlign w:val="center"/>
          </w:tcPr>
          <w:p w14:paraId="476274B1" w14:textId="77777777" w:rsidR="004B0883" w:rsidRDefault="004B0883">
            <w:pPr>
              <w:adjustRightInd w:val="0"/>
              <w:snapToGrid w:val="0"/>
              <w:jc w:val="right"/>
              <w:rPr>
                <w:rFonts w:hint="eastAsia"/>
                <w:color w:val="000000"/>
                <w:kern w:val="0"/>
              </w:rPr>
            </w:pPr>
            <w:r>
              <w:rPr>
                <w:rFonts w:hint="eastAsia"/>
                <w:color w:val="000000"/>
                <w:kern w:val="0"/>
              </w:rPr>
              <w:t>0.20%</w:t>
            </w:r>
          </w:p>
        </w:tc>
        <w:tc>
          <w:tcPr>
            <w:tcW w:w="1245" w:type="dxa"/>
            <w:vAlign w:val="center"/>
          </w:tcPr>
          <w:p w14:paraId="27238C9C" w14:textId="77777777" w:rsidR="004B0883" w:rsidRDefault="004B0883">
            <w:pPr>
              <w:adjustRightInd w:val="0"/>
              <w:snapToGrid w:val="0"/>
              <w:jc w:val="right"/>
              <w:rPr>
                <w:color w:val="000000"/>
                <w:kern w:val="0"/>
              </w:rPr>
            </w:pPr>
            <w:r>
              <w:rPr>
                <w:rFonts w:hint="eastAsia"/>
                <w:color w:val="000000"/>
                <w:kern w:val="0"/>
              </w:rPr>
              <w:t>121.24</w:t>
            </w:r>
          </w:p>
        </w:tc>
        <w:tc>
          <w:tcPr>
            <w:tcW w:w="1246" w:type="dxa"/>
            <w:vAlign w:val="center"/>
          </w:tcPr>
          <w:p w14:paraId="19D5FC24" w14:textId="77777777" w:rsidR="004B0883" w:rsidRDefault="004B0883">
            <w:pPr>
              <w:adjustRightInd w:val="0"/>
              <w:snapToGrid w:val="0"/>
              <w:jc w:val="right"/>
              <w:rPr>
                <w:rFonts w:hint="eastAsia"/>
                <w:color w:val="000000"/>
                <w:kern w:val="0"/>
              </w:rPr>
            </w:pPr>
            <w:r>
              <w:rPr>
                <w:rFonts w:hint="eastAsia"/>
                <w:color w:val="000000"/>
                <w:kern w:val="0"/>
              </w:rPr>
              <w:t>0.14%</w:t>
            </w:r>
          </w:p>
        </w:tc>
        <w:tc>
          <w:tcPr>
            <w:tcW w:w="1245" w:type="dxa"/>
            <w:vAlign w:val="center"/>
          </w:tcPr>
          <w:p w14:paraId="41369EC9" w14:textId="77777777" w:rsidR="004B0883" w:rsidRDefault="004B0883">
            <w:pPr>
              <w:adjustRightInd w:val="0"/>
              <w:snapToGrid w:val="0"/>
              <w:jc w:val="right"/>
              <w:rPr>
                <w:color w:val="000000"/>
                <w:kern w:val="0"/>
              </w:rPr>
            </w:pPr>
            <w:r>
              <w:rPr>
                <w:rFonts w:hint="eastAsia"/>
                <w:color w:val="000000"/>
                <w:kern w:val="0"/>
              </w:rPr>
              <w:t>28.60</w:t>
            </w:r>
          </w:p>
        </w:tc>
        <w:tc>
          <w:tcPr>
            <w:tcW w:w="1246" w:type="dxa"/>
            <w:vAlign w:val="center"/>
          </w:tcPr>
          <w:p w14:paraId="67765737" w14:textId="77777777" w:rsidR="004B0883" w:rsidRDefault="004B0883">
            <w:pPr>
              <w:adjustRightInd w:val="0"/>
              <w:snapToGrid w:val="0"/>
              <w:jc w:val="right"/>
              <w:rPr>
                <w:rFonts w:hint="eastAsia"/>
                <w:color w:val="000000"/>
                <w:kern w:val="0"/>
              </w:rPr>
            </w:pPr>
            <w:r>
              <w:rPr>
                <w:rFonts w:hint="eastAsia"/>
                <w:color w:val="000000"/>
                <w:kern w:val="0"/>
              </w:rPr>
              <w:t>0.03%</w:t>
            </w:r>
          </w:p>
        </w:tc>
      </w:tr>
      <w:tr w:rsidR="004B0883" w14:paraId="129A4512" w14:textId="77777777">
        <w:trPr>
          <w:trHeight w:val="397"/>
          <w:jc w:val="center"/>
        </w:trPr>
        <w:tc>
          <w:tcPr>
            <w:tcW w:w="1376" w:type="dxa"/>
            <w:vAlign w:val="center"/>
          </w:tcPr>
          <w:p w14:paraId="17E342C3" w14:textId="77777777" w:rsidR="004B0883" w:rsidRDefault="004B0883">
            <w:pPr>
              <w:adjustRightInd w:val="0"/>
              <w:snapToGrid w:val="0"/>
              <w:rPr>
                <w:kern w:val="0"/>
              </w:rPr>
            </w:pPr>
            <w:r>
              <w:rPr>
                <w:kern w:val="0"/>
              </w:rPr>
              <w:t xml:space="preserve">  </w:t>
            </w:r>
            <w:r>
              <w:rPr>
                <w:rFonts w:hint="eastAsia"/>
                <w:kern w:val="0"/>
              </w:rPr>
              <w:t>递延所得税资产</w:t>
            </w:r>
          </w:p>
        </w:tc>
        <w:tc>
          <w:tcPr>
            <w:tcW w:w="1245" w:type="dxa"/>
            <w:vAlign w:val="center"/>
          </w:tcPr>
          <w:p w14:paraId="04850138" w14:textId="77777777" w:rsidR="004B0883" w:rsidRDefault="004B0883">
            <w:pPr>
              <w:adjustRightInd w:val="0"/>
              <w:snapToGrid w:val="0"/>
              <w:jc w:val="right"/>
              <w:rPr>
                <w:color w:val="000000"/>
                <w:kern w:val="0"/>
              </w:rPr>
            </w:pPr>
            <w:r>
              <w:t>1,434.44</w:t>
            </w:r>
          </w:p>
        </w:tc>
        <w:tc>
          <w:tcPr>
            <w:tcW w:w="1246" w:type="dxa"/>
            <w:vAlign w:val="center"/>
          </w:tcPr>
          <w:p w14:paraId="7D8C74AB" w14:textId="77777777" w:rsidR="004B0883" w:rsidRDefault="004B0883">
            <w:pPr>
              <w:adjustRightInd w:val="0"/>
              <w:snapToGrid w:val="0"/>
              <w:jc w:val="right"/>
              <w:rPr>
                <w:rFonts w:hint="eastAsia"/>
                <w:color w:val="000000"/>
                <w:kern w:val="0"/>
              </w:rPr>
            </w:pPr>
            <w:r>
              <w:t>1.42%</w:t>
            </w:r>
          </w:p>
        </w:tc>
        <w:tc>
          <w:tcPr>
            <w:tcW w:w="1245" w:type="dxa"/>
            <w:vAlign w:val="center"/>
          </w:tcPr>
          <w:p w14:paraId="1064AE39" w14:textId="77777777" w:rsidR="004B0883" w:rsidRDefault="004B0883">
            <w:pPr>
              <w:adjustRightInd w:val="0"/>
              <w:snapToGrid w:val="0"/>
              <w:jc w:val="right"/>
              <w:rPr>
                <w:color w:val="000000"/>
                <w:kern w:val="0"/>
              </w:rPr>
            </w:pPr>
            <w:r>
              <w:rPr>
                <w:rFonts w:hint="eastAsia"/>
                <w:color w:val="000000"/>
                <w:kern w:val="0"/>
              </w:rPr>
              <w:t>1,383.76</w:t>
            </w:r>
          </w:p>
        </w:tc>
        <w:tc>
          <w:tcPr>
            <w:tcW w:w="1246" w:type="dxa"/>
            <w:vAlign w:val="center"/>
          </w:tcPr>
          <w:p w14:paraId="017C7BFB" w14:textId="77777777" w:rsidR="004B0883" w:rsidRDefault="004B0883">
            <w:pPr>
              <w:adjustRightInd w:val="0"/>
              <w:snapToGrid w:val="0"/>
              <w:jc w:val="right"/>
              <w:rPr>
                <w:rFonts w:hint="eastAsia"/>
                <w:color w:val="000000"/>
                <w:kern w:val="0"/>
              </w:rPr>
            </w:pPr>
            <w:r>
              <w:rPr>
                <w:rFonts w:hint="eastAsia"/>
                <w:color w:val="000000"/>
                <w:kern w:val="0"/>
              </w:rPr>
              <w:t>1.39%</w:t>
            </w:r>
          </w:p>
        </w:tc>
        <w:tc>
          <w:tcPr>
            <w:tcW w:w="1245" w:type="dxa"/>
            <w:vAlign w:val="center"/>
          </w:tcPr>
          <w:p w14:paraId="1FACF34C" w14:textId="77777777" w:rsidR="004B0883" w:rsidRDefault="004B0883">
            <w:pPr>
              <w:adjustRightInd w:val="0"/>
              <w:snapToGrid w:val="0"/>
              <w:jc w:val="right"/>
              <w:rPr>
                <w:color w:val="000000"/>
                <w:kern w:val="0"/>
              </w:rPr>
            </w:pPr>
            <w:r>
              <w:rPr>
                <w:rFonts w:hint="eastAsia"/>
                <w:color w:val="000000"/>
                <w:kern w:val="0"/>
              </w:rPr>
              <w:t>1,422.03</w:t>
            </w:r>
          </w:p>
        </w:tc>
        <w:tc>
          <w:tcPr>
            <w:tcW w:w="1246" w:type="dxa"/>
            <w:vAlign w:val="center"/>
          </w:tcPr>
          <w:p w14:paraId="48FE7D68" w14:textId="77777777" w:rsidR="004B0883" w:rsidRDefault="004B0883">
            <w:pPr>
              <w:adjustRightInd w:val="0"/>
              <w:snapToGrid w:val="0"/>
              <w:jc w:val="right"/>
              <w:rPr>
                <w:rFonts w:hint="eastAsia"/>
                <w:color w:val="000000"/>
                <w:kern w:val="0"/>
              </w:rPr>
            </w:pPr>
            <w:r>
              <w:rPr>
                <w:rFonts w:hint="eastAsia"/>
                <w:color w:val="000000"/>
                <w:kern w:val="0"/>
              </w:rPr>
              <w:t>1.60%</w:t>
            </w:r>
          </w:p>
        </w:tc>
        <w:tc>
          <w:tcPr>
            <w:tcW w:w="1245" w:type="dxa"/>
            <w:vAlign w:val="center"/>
          </w:tcPr>
          <w:p w14:paraId="661DD91B" w14:textId="77777777" w:rsidR="004B0883" w:rsidRDefault="004B0883">
            <w:pPr>
              <w:adjustRightInd w:val="0"/>
              <w:snapToGrid w:val="0"/>
              <w:jc w:val="right"/>
              <w:rPr>
                <w:color w:val="000000"/>
                <w:kern w:val="0"/>
              </w:rPr>
            </w:pPr>
            <w:r>
              <w:rPr>
                <w:rFonts w:hint="eastAsia"/>
                <w:color w:val="000000"/>
                <w:kern w:val="0"/>
              </w:rPr>
              <w:t>1,147.14</w:t>
            </w:r>
          </w:p>
        </w:tc>
        <w:tc>
          <w:tcPr>
            <w:tcW w:w="1246" w:type="dxa"/>
            <w:vAlign w:val="center"/>
          </w:tcPr>
          <w:p w14:paraId="221ECC8F" w14:textId="77777777" w:rsidR="004B0883" w:rsidRDefault="004B0883">
            <w:pPr>
              <w:adjustRightInd w:val="0"/>
              <w:snapToGrid w:val="0"/>
              <w:jc w:val="right"/>
              <w:rPr>
                <w:rFonts w:hint="eastAsia"/>
                <w:color w:val="000000"/>
                <w:kern w:val="0"/>
              </w:rPr>
            </w:pPr>
            <w:r>
              <w:rPr>
                <w:rFonts w:hint="eastAsia"/>
                <w:color w:val="000000"/>
                <w:kern w:val="0"/>
              </w:rPr>
              <w:t>1.32%</w:t>
            </w:r>
          </w:p>
        </w:tc>
      </w:tr>
      <w:tr w:rsidR="004B0883" w14:paraId="68626A2B" w14:textId="77777777">
        <w:trPr>
          <w:trHeight w:val="397"/>
          <w:jc w:val="center"/>
        </w:trPr>
        <w:tc>
          <w:tcPr>
            <w:tcW w:w="1376" w:type="dxa"/>
            <w:vAlign w:val="center"/>
          </w:tcPr>
          <w:p w14:paraId="43588314" w14:textId="77777777" w:rsidR="004B0883" w:rsidRDefault="004B0883">
            <w:pPr>
              <w:adjustRightInd w:val="0"/>
              <w:snapToGrid w:val="0"/>
              <w:rPr>
                <w:kern w:val="0"/>
              </w:rPr>
            </w:pPr>
            <w:r>
              <w:rPr>
                <w:kern w:val="0"/>
              </w:rPr>
              <w:t xml:space="preserve">  </w:t>
            </w:r>
            <w:r>
              <w:rPr>
                <w:rFonts w:hint="eastAsia"/>
                <w:kern w:val="0"/>
              </w:rPr>
              <w:t>其他非流动资产</w:t>
            </w:r>
          </w:p>
        </w:tc>
        <w:tc>
          <w:tcPr>
            <w:tcW w:w="1245" w:type="dxa"/>
            <w:vAlign w:val="center"/>
          </w:tcPr>
          <w:p w14:paraId="35A9714E" w14:textId="77777777" w:rsidR="004B0883" w:rsidRDefault="004B0883">
            <w:pPr>
              <w:adjustRightInd w:val="0"/>
              <w:snapToGrid w:val="0"/>
              <w:jc w:val="right"/>
              <w:rPr>
                <w:color w:val="000000"/>
                <w:kern w:val="0"/>
              </w:rPr>
            </w:pPr>
            <w:r>
              <w:t>2.00</w:t>
            </w:r>
          </w:p>
        </w:tc>
        <w:tc>
          <w:tcPr>
            <w:tcW w:w="1246" w:type="dxa"/>
            <w:vAlign w:val="center"/>
          </w:tcPr>
          <w:p w14:paraId="406C8B69" w14:textId="77777777" w:rsidR="004B0883" w:rsidRDefault="004B0883">
            <w:pPr>
              <w:adjustRightInd w:val="0"/>
              <w:snapToGrid w:val="0"/>
              <w:jc w:val="right"/>
              <w:rPr>
                <w:rFonts w:hint="eastAsia"/>
                <w:color w:val="000000"/>
                <w:kern w:val="0"/>
              </w:rPr>
            </w:pPr>
            <w:r>
              <w:t>0.00%</w:t>
            </w:r>
          </w:p>
        </w:tc>
        <w:tc>
          <w:tcPr>
            <w:tcW w:w="1245" w:type="dxa"/>
            <w:vAlign w:val="center"/>
          </w:tcPr>
          <w:p w14:paraId="1F2D1F53" w14:textId="77777777" w:rsidR="004B0883" w:rsidRDefault="004B0883">
            <w:pPr>
              <w:adjustRightInd w:val="0"/>
              <w:snapToGrid w:val="0"/>
              <w:jc w:val="right"/>
              <w:rPr>
                <w:color w:val="000000"/>
                <w:kern w:val="0"/>
              </w:rPr>
            </w:pPr>
            <w:r>
              <w:rPr>
                <w:rFonts w:hint="eastAsia"/>
                <w:color w:val="000000"/>
                <w:kern w:val="0"/>
              </w:rPr>
              <w:t>9.47</w:t>
            </w:r>
          </w:p>
        </w:tc>
        <w:tc>
          <w:tcPr>
            <w:tcW w:w="1246" w:type="dxa"/>
            <w:vAlign w:val="center"/>
          </w:tcPr>
          <w:p w14:paraId="21178760" w14:textId="77777777" w:rsidR="004B0883" w:rsidRDefault="004B0883">
            <w:pPr>
              <w:adjustRightInd w:val="0"/>
              <w:snapToGrid w:val="0"/>
              <w:jc w:val="right"/>
              <w:rPr>
                <w:rFonts w:hint="eastAsia"/>
                <w:color w:val="000000"/>
                <w:kern w:val="0"/>
              </w:rPr>
            </w:pPr>
            <w:r>
              <w:rPr>
                <w:rFonts w:hint="eastAsia"/>
                <w:color w:val="000000"/>
                <w:kern w:val="0"/>
              </w:rPr>
              <w:t>0.01%</w:t>
            </w:r>
          </w:p>
        </w:tc>
        <w:tc>
          <w:tcPr>
            <w:tcW w:w="1245" w:type="dxa"/>
            <w:vAlign w:val="center"/>
          </w:tcPr>
          <w:p w14:paraId="1EB127A6" w14:textId="77777777" w:rsidR="004B0883" w:rsidRDefault="004B0883">
            <w:pPr>
              <w:adjustRightInd w:val="0"/>
              <w:snapToGrid w:val="0"/>
              <w:jc w:val="right"/>
              <w:rPr>
                <w:color w:val="000000"/>
                <w:kern w:val="0"/>
              </w:rPr>
            </w:pPr>
            <w:r>
              <w:rPr>
                <w:rFonts w:hint="eastAsia"/>
                <w:color w:val="000000"/>
                <w:kern w:val="0"/>
              </w:rPr>
              <w:t>24.75</w:t>
            </w:r>
          </w:p>
        </w:tc>
        <w:tc>
          <w:tcPr>
            <w:tcW w:w="1246" w:type="dxa"/>
            <w:vAlign w:val="center"/>
          </w:tcPr>
          <w:p w14:paraId="0D4AC082" w14:textId="77777777" w:rsidR="004B0883" w:rsidRDefault="004B0883">
            <w:pPr>
              <w:adjustRightInd w:val="0"/>
              <w:snapToGrid w:val="0"/>
              <w:jc w:val="right"/>
              <w:rPr>
                <w:rFonts w:hint="eastAsia"/>
                <w:color w:val="000000"/>
                <w:kern w:val="0"/>
              </w:rPr>
            </w:pPr>
            <w:r>
              <w:rPr>
                <w:rFonts w:hint="eastAsia"/>
                <w:color w:val="000000"/>
                <w:kern w:val="0"/>
              </w:rPr>
              <w:t>0.03%</w:t>
            </w:r>
          </w:p>
        </w:tc>
        <w:tc>
          <w:tcPr>
            <w:tcW w:w="1245" w:type="dxa"/>
            <w:vAlign w:val="center"/>
          </w:tcPr>
          <w:p w14:paraId="07C7ED5B" w14:textId="77777777" w:rsidR="004B0883" w:rsidRDefault="004B0883">
            <w:pPr>
              <w:adjustRightInd w:val="0"/>
              <w:snapToGrid w:val="0"/>
              <w:jc w:val="right"/>
              <w:rPr>
                <w:color w:val="000000"/>
                <w:kern w:val="0"/>
              </w:rPr>
            </w:pPr>
            <w:r>
              <w:rPr>
                <w:rFonts w:hint="eastAsia"/>
                <w:color w:val="000000"/>
                <w:kern w:val="0"/>
              </w:rPr>
              <w:t>166.35</w:t>
            </w:r>
          </w:p>
        </w:tc>
        <w:tc>
          <w:tcPr>
            <w:tcW w:w="1246" w:type="dxa"/>
            <w:vAlign w:val="center"/>
          </w:tcPr>
          <w:p w14:paraId="1BE98365" w14:textId="77777777" w:rsidR="004B0883" w:rsidRDefault="004B0883">
            <w:pPr>
              <w:adjustRightInd w:val="0"/>
              <w:snapToGrid w:val="0"/>
              <w:jc w:val="right"/>
              <w:rPr>
                <w:rFonts w:hint="eastAsia"/>
                <w:color w:val="000000"/>
                <w:kern w:val="0"/>
              </w:rPr>
            </w:pPr>
            <w:r>
              <w:rPr>
                <w:rFonts w:hint="eastAsia"/>
                <w:color w:val="000000"/>
                <w:kern w:val="0"/>
              </w:rPr>
              <w:t>0.19%</w:t>
            </w:r>
          </w:p>
        </w:tc>
      </w:tr>
      <w:tr w:rsidR="004B0883" w14:paraId="0923FA62" w14:textId="77777777">
        <w:trPr>
          <w:trHeight w:val="397"/>
          <w:jc w:val="center"/>
        </w:trPr>
        <w:tc>
          <w:tcPr>
            <w:tcW w:w="1376" w:type="dxa"/>
            <w:vAlign w:val="center"/>
          </w:tcPr>
          <w:p w14:paraId="228FE178" w14:textId="77777777" w:rsidR="004B0883" w:rsidRDefault="004B0883">
            <w:pPr>
              <w:adjustRightInd w:val="0"/>
              <w:snapToGrid w:val="0"/>
              <w:jc w:val="center"/>
              <w:rPr>
                <w:rFonts w:hint="eastAsia"/>
                <w:b/>
                <w:bCs/>
                <w:color w:val="000000"/>
                <w:kern w:val="0"/>
              </w:rPr>
            </w:pPr>
            <w:r>
              <w:rPr>
                <w:b/>
                <w:bCs/>
                <w:color w:val="000000"/>
                <w:kern w:val="0"/>
              </w:rPr>
              <w:t>非流动资产</w:t>
            </w:r>
          </w:p>
        </w:tc>
        <w:tc>
          <w:tcPr>
            <w:tcW w:w="1245" w:type="dxa"/>
            <w:vAlign w:val="center"/>
          </w:tcPr>
          <w:p w14:paraId="04C97703" w14:textId="77777777" w:rsidR="004B0883" w:rsidRDefault="004B0883">
            <w:pPr>
              <w:adjustRightInd w:val="0"/>
              <w:snapToGrid w:val="0"/>
              <w:jc w:val="right"/>
              <w:rPr>
                <w:b/>
                <w:bCs/>
                <w:color w:val="000000"/>
                <w:kern w:val="0"/>
              </w:rPr>
            </w:pPr>
            <w:r>
              <w:rPr>
                <w:b/>
                <w:bCs/>
              </w:rPr>
              <w:t>33,011.46</w:t>
            </w:r>
          </w:p>
        </w:tc>
        <w:tc>
          <w:tcPr>
            <w:tcW w:w="1246" w:type="dxa"/>
            <w:vAlign w:val="center"/>
          </w:tcPr>
          <w:p w14:paraId="3FE76D54" w14:textId="77777777" w:rsidR="004B0883" w:rsidRDefault="004B0883">
            <w:pPr>
              <w:adjustRightInd w:val="0"/>
              <w:snapToGrid w:val="0"/>
              <w:jc w:val="right"/>
              <w:rPr>
                <w:b/>
                <w:bCs/>
                <w:color w:val="000000"/>
                <w:kern w:val="0"/>
              </w:rPr>
            </w:pPr>
            <w:r>
              <w:rPr>
                <w:b/>
                <w:bCs/>
              </w:rPr>
              <w:t>32.77%</w:t>
            </w:r>
          </w:p>
        </w:tc>
        <w:tc>
          <w:tcPr>
            <w:tcW w:w="1245" w:type="dxa"/>
            <w:vAlign w:val="center"/>
          </w:tcPr>
          <w:p w14:paraId="2C5A150C" w14:textId="77777777" w:rsidR="004B0883" w:rsidRDefault="004B0883">
            <w:pPr>
              <w:adjustRightInd w:val="0"/>
              <w:snapToGrid w:val="0"/>
              <w:jc w:val="right"/>
              <w:rPr>
                <w:b/>
                <w:bCs/>
                <w:color w:val="000000"/>
                <w:kern w:val="0"/>
              </w:rPr>
            </w:pPr>
            <w:r>
              <w:rPr>
                <w:b/>
                <w:bCs/>
                <w:color w:val="000000"/>
                <w:kern w:val="0"/>
              </w:rPr>
              <w:t>30,484.66</w:t>
            </w:r>
          </w:p>
        </w:tc>
        <w:tc>
          <w:tcPr>
            <w:tcW w:w="1246" w:type="dxa"/>
            <w:vAlign w:val="center"/>
          </w:tcPr>
          <w:p w14:paraId="16E6258F" w14:textId="77777777" w:rsidR="004B0883" w:rsidRDefault="004B0883">
            <w:pPr>
              <w:adjustRightInd w:val="0"/>
              <w:snapToGrid w:val="0"/>
              <w:jc w:val="right"/>
              <w:rPr>
                <w:b/>
                <w:bCs/>
                <w:color w:val="000000"/>
                <w:kern w:val="0"/>
              </w:rPr>
            </w:pPr>
            <w:r>
              <w:rPr>
                <w:b/>
                <w:bCs/>
                <w:color w:val="000000"/>
                <w:kern w:val="0"/>
              </w:rPr>
              <w:t>30.67%</w:t>
            </w:r>
          </w:p>
        </w:tc>
        <w:tc>
          <w:tcPr>
            <w:tcW w:w="1245" w:type="dxa"/>
            <w:vAlign w:val="center"/>
          </w:tcPr>
          <w:p w14:paraId="163B9B45" w14:textId="77777777" w:rsidR="004B0883" w:rsidRDefault="004B0883">
            <w:pPr>
              <w:adjustRightInd w:val="0"/>
              <w:snapToGrid w:val="0"/>
              <w:jc w:val="right"/>
              <w:rPr>
                <w:b/>
                <w:bCs/>
                <w:color w:val="000000"/>
                <w:kern w:val="0"/>
              </w:rPr>
            </w:pPr>
            <w:r>
              <w:rPr>
                <w:b/>
                <w:bCs/>
                <w:color w:val="000000"/>
                <w:kern w:val="0"/>
              </w:rPr>
              <w:t>31,063.70</w:t>
            </w:r>
          </w:p>
        </w:tc>
        <w:tc>
          <w:tcPr>
            <w:tcW w:w="1246" w:type="dxa"/>
            <w:vAlign w:val="center"/>
          </w:tcPr>
          <w:p w14:paraId="07C06203" w14:textId="77777777" w:rsidR="004B0883" w:rsidRDefault="004B0883">
            <w:pPr>
              <w:adjustRightInd w:val="0"/>
              <w:snapToGrid w:val="0"/>
              <w:jc w:val="right"/>
              <w:rPr>
                <w:b/>
                <w:bCs/>
                <w:color w:val="000000"/>
                <w:kern w:val="0"/>
              </w:rPr>
            </w:pPr>
            <w:r>
              <w:rPr>
                <w:b/>
                <w:bCs/>
                <w:color w:val="000000"/>
                <w:kern w:val="0"/>
              </w:rPr>
              <w:t>34.91%</w:t>
            </w:r>
          </w:p>
        </w:tc>
        <w:tc>
          <w:tcPr>
            <w:tcW w:w="1245" w:type="dxa"/>
            <w:vAlign w:val="center"/>
          </w:tcPr>
          <w:p w14:paraId="7A7CCC8D" w14:textId="77777777" w:rsidR="004B0883" w:rsidRDefault="004B0883">
            <w:pPr>
              <w:adjustRightInd w:val="0"/>
              <w:snapToGrid w:val="0"/>
              <w:jc w:val="right"/>
              <w:rPr>
                <w:b/>
                <w:bCs/>
                <w:color w:val="000000"/>
                <w:kern w:val="0"/>
              </w:rPr>
            </w:pPr>
            <w:r>
              <w:rPr>
                <w:b/>
                <w:bCs/>
                <w:color w:val="000000"/>
                <w:kern w:val="0"/>
              </w:rPr>
              <w:t>31,363.85</w:t>
            </w:r>
          </w:p>
        </w:tc>
        <w:tc>
          <w:tcPr>
            <w:tcW w:w="1246" w:type="dxa"/>
            <w:vAlign w:val="center"/>
          </w:tcPr>
          <w:p w14:paraId="20C037A8" w14:textId="77777777" w:rsidR="004B0883" w:rsidRDefault="004B0883">
            <w:pPr>
              <w:adjustRightInd w:val="0"/>
              <w:snapToGrid w:val="0"/>
              <w:jc w:val="right"/>
              <w:rPr>
                <w:b/>
                <w:bCs/>
                <w:color w:val="000000"/>
                <w:kern w:val="0"/>
              </w:rPr>
            </w:pPr>
            <w:r>
              <w:rPr>
                <w:b/>
                <w:bCs/>
                <w:color w:val="000000"/>
                <w:kern w:val="0"/>
              </w:rPr>
              <w:t>36.06%</w:t>
            </w:r>
          </w:p>
        </w:tc>
      </w:tr>
      <w:tr w:rsidR="004B0883" w14:paraId="7F87F7AF" w14:textId="77777777">
        <w:trPr>
          <w:trHeight w:val="397"/>
          <w:jc w:val="center"/>
        </w:trPr>
        <w:tc>
          <w:tcPr>
            <w:tcW w:w="1376" w:type="dxa"/>
            <w:vAlign w:val="center"/>
          </w:tcPr>
          <w:p w14:paraId="4449269E" w14:textId="77777777" w:rsidR="004B0883" w:rsidRDefault="004B0883">
            <w:pPr>
              <w:adjustRightInd w:val="0"/>
              <w:snapToGrid w:val="0"/>
              <w:jc w:val="center"/>
              <w:rPr>
                <w:b/>
                <w:bCs/>
                <w:color w:val="000000"/>
                <w:kern w:val="0"/>
              </w:rPr>
            </w:pPr>
            <w:r>
              <w:rPr>
                <w:rFonts w:hint="eastAsia"/>
                <w:b/>
                <w:bCs/>
                <w:color w:val="000000"/>
                <w:kern w:val="0"/>
              </w:rPr>
              <w:t>总资产</w:t>
            </w:r>
          </w:p>
        </w:tc>
        <w:tc>
          <w:tcPr>
            <w:tcW w:w="1245" w:type="dxa"/>
            <w:vAlign w:val="center"/>
          </w:tcPr>
          <w:p w14:paraId="455B4AE6" w14:textId="77777777" w:rsidR="004B0883" w:rsidRDefault="004B0883">
            <w:pPr>
              <w:adjustRightInd w:val="0"/>
              <w:snapToGrid w:val="0"/>
              <w:jc w:val="right"/>
              <w:rPr>
                <w:b/>
                <w:bCs/>
                <w:color w:val="000000"/>
                <w:kern w:val="0"/>
              </w:rPr>
            </w:pPr>
            <w:r>
              <w:rPr>
                <w:b/>
                <w:bCs/>
                <w:color w:val="000000"/>
                <w:kern w:val="0"/>
              </w:rPr>
              <w:t>100,733.51</w:t>
            </w:r>
          </w:p>
        </w:tc>
        <w:tc>
          <w:tcPr>
            <w:tcW w:w="1246" w:type="dxa"/>
            <w:vAlign w:val="center"/>
          </w:tcPr>
          <w:p w14:paraId="5A5528AD" w14:textId="77777777" w:rsidR="004B0883" w:rsidRDefault="004B0883">
            <w:pPr>
              <w:adjustRightInd w:val="0"/>
              <w:snapToGrid w:val="0"/>
              <w:jc w:val="right"/>
              <w:rPr>
                <w:b/>
                <w:bCs/>
                <w:color w:val="000000"/>
                <w:kern w:val="0"/>
              </w:rPr>
            </w:pPr>
            <w:r>
              <w:rPr>
                <w:b/>
                <w:bCs/>
                <w:color w:val="000000"/>
                <w:kern w:val="0"/>
              </w:rPr>
              <w:t>100.00%</w:t>
            </w:r>
          </w:p>
        </w:tc>
        <w:tc>
          <w:tcPr>
            <w:tcW w:w="1245" w:type="dxa"/>
            <w:vAlign w:val="center"/>
          </w:tcPr>
          <w:p w14:paraId="10066DDC" w14:textId="77777777" w:rsidR="004B0883" w:rsidRDefault="004B0883">
            <w:pPr>
              <w:adjustRightInd w:val="0"/>
              <w:snapToGrid w:val="0"/>
              <w:jc w:val="right"/>
              <w:rPr>
                <w:b/>
                <w:bCs/>
                <w:color w:val="000000"/>
                <w:kern w:val="0"/>
              </w:rPr>
            </w:pPr>
            <w:r>
              <w:rPr>
                <w:b/>
                <w:bCs/>
                <w:color w:val="000000"/>
                <w:kern w:val="0"/>
              </w:rPr>
              <w:t>99,396.71</w:t>
            </w:r>
          </w:p>
        </w:tc>
        <w:tc>
          <w:tcPr>
            <w:tcW w:w="1246" w:type="dxa"/>
            <w:vAlign w:val="center"/>
          </w:tcPr>
          <w:p w14:paraId="61B151CF" w14:textId="77777777" w:rsidR="004B0883" w:rsidRDefault="004B0883">
            <w:pPr>
              <w:adjustRightInd w:val="0"/>
              <w:snapToGrid w:val="0"/>
              <w:jc w:val="right"/>
              <w:rPr>
                <w:b/>
                <w:bCs/>
                <w:color w:val="000000"/>
                <w:kern w:val="0"/>
              </w:rPr>
            </w:pPr>
            <w:r>
              <w:rPr>
                <w:b/>
                <w:bCs/>
                <w:color w:val="000000"/>
                <w:kern w:val="0"/>
              </w:rPr>
              <w:t>100.00%</w:t>
            </w:r>
          </w:p>
        </w:tc>
        <w:tc>
          <w:tcPr>
            <w:tcW w:w="1245" w:type="dxa"/>
            <w:vAlign w:val="center"/>
          </w:tcPr>
          <w:p w14:paraId="6A9C5793" w14:textId="77777777" w:rsidR="004B0883" w:rsidRDefault="004B0883">
            <w:pPr>
              <w:adjustRightInd w:val="0"/>
              <w:snapToGrid w:val="0"/>
              <w:jc w:val="right"/>
              <w:rPr>
                <w:b/>
                <w:bCs/>
                <w:color w:val="000000"/>
                <w:kern w:val="0"/>
              </w:rPr>
            </w:pPr>
            <w:r>
              <w:rPr>
                <w:b/>
                <w:bCs/>
                <w:color w:val="000000"/>
                <w:kern w:val="0"/>
              </w:rPr>
              <w:t>88,988.05</w:t>
            </w:r>
          </w:p>
        </w:tc>
        <w:tc>
          <w:tcPr>
            <w:tcW w:w="1246" w:type="dxa"/>
            <w:vAlign w:val="center"/>
          </w:tcPr>
          <w:p w14:paraId="0AD89964" w14:textId="77777777" w:rsidR="004B0883" w:rsidRDefault="004B0883">
            <w:pPr>
              <w:adjustRightInd w:val="0"/>
              <w:snapToGrid w:val="0"/>
              <w:jc w:val="right"/>
              <w:rPr>
                <w:b/>
                <w:bCs/>
                <w:color w:val="000000"/>
                <w:kern w:val="0"/>
              </w:rPr>
            </w:pPr>
            <w:r>
              <w:rPr>
                <w:b/>
                <w:bCs/>
                <w:color w:val="000000"/>
                <w:kern w:val="0"/>
              </w:rPr>
              <w:t>100.00%</w:t>
            </w:r>
          </w:p>
        </w:tc>
        <w:tc>
          <w:tcPr>
            <w:tcW w:w="1245" w:type="dxa"/>
            <w:vAlign w:val="center"/>
          </w:tcPr>
          <w:p w14:paraId="328155E3" w14:textId="77777777" w:rsidR="004B0883" w:rsidRDefault="004B0883">
            <w:pPr>
              <w:adjustRightInd w:val="0"/>
              <w:snapToGrid w:val="0"/>
              <w:jc w:val="right"/>
              <w:rPr>
                <w:b/>
                <w:bCs/>
                <w:color w:val="000000"/>
                <w:kern w:val="0"/>
              </w:rPr>
            </w:pPr>
            <w:r>
              <w:rPr>
                <w:b/>
                <w:bCs/>
                <w:color w:val="000000"/>
                <w:kern w:val="0"/>
              </w:rPr>
              <w:t>86,966.49</w:t>
            </w:r>
          </w:p>
        </w:tc>
        <w:tc>
          <w:tcPr>
            <w:tcW w:w="1246" w:type="dxa"/>
            <w:vAlign w:val="center"/>
          </w:tcPr>
          <w:p w14:paraId="26C8C706" w14:textId="77777777" w:rsidR="004B0883" w:rsidRDefault="004B0883">
            <w:pPr>
              <w:adjustRightInd w:val="0"/>
              <w:snapToGrid w:val="0"/>
              <w:jc w:val="right"/>
              <w:rPr>
                <w:b/>
                <w:bCs/>
                <w:color w:val="000000"/>
                <w:kern w:val="0"/>
              </w:rPr>
            </w:pPr>
            <w:r>
              <w:rPr>
                <w:b/>
                <w:bCs/>
                <w:color w:val="000000"/>
                <w:kern w:val="0"/>
              </w:rPr>
              <w:t>100.00%</w:t>
            </w:r>
          </w:p>
        </w:tc>
      </w:tr>
    </w:tbl>
    <w:p w14:paraId="1E35F1DB" w14:textId="77777777" w:rsidR="004B0883" w:rsidRDefault="004B0883">
      <w:pPr>
        <w:keepNext/>
        <w:keepLines/>
        <w:widowControl w:val="0"/>
        <w:spacing w:beforeLines="50" w:before="120" w:line="360" w:lineRule="auto"/>
        <w:ind w:firstLineChars="200" w:firstLine="480"/>
        <w:jc w:val="both"/>
        <w:outlineLvl w:val="4"/>
        <w:rPr>
          <w:sz w:val="24"/>
          <w:szCs w:val="22"/>
        </w:rPr>
      </w:pPr>
      <w:r>
        <w:rPr>
          <w:rFonts w:hint="eastAsia"/>
          <w:sz w:val="24"/>
          <w:szCs w:val="22"/>
        </w:rPr>
        <w:t>（</w:t>
      </w:r>
      <w:r>
        <w:rPr>
          <w:sz w:val="24"/>
          <w:szCs w:val="22"/>
        </w:rPr>
        <w:t>1</w:t>
      </w:r>
      <w:r>
        <w:rPr>
          <w:rFonts w:hint="eastAsia"/>
          <w:sz w:val="24"/>
          <w:szCs w:val="22"/>
        </w:rPr>
        <w:t>）固定资产</w:t>
      </w:r>
    </w:p>
    <w:p w14:paraId="168C2D03"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报告期各期末，公司固定资产情况如下：</w:t>
      </w:r>
    </w:p>
    <w:p w14:paraId="1AA78663" w14:textId="77777777" w:rsidR="004B0883" w:rsidRDefault="004B0883">
      <w:pPr>
        <w:keepNext/>
        <w:widowControl w:val="0"/>
        <w:jc w:val="right"/>
        <w:rPr>
          <w:szCs w:val="22"/>
        </w:rPr>
      </w:pPr>
      <w:r>
        <w:rPr>
          <w:rFonts w:hint="eastAsia"/>
          <w:szCs w:val="22"/>
        </w:rPr>
        <w:t>单位：万元</w:t>
      </w:r>
    </w:p>
    <w:tbl>
      <w:tblPr>
        <w:tblW w:w="55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425"/>
        <w:gridCol w:w="960"/>
        <w:gridCol w:w="960"/>
        <w:gridCol w:w="961"/>
        <w:gridCol w:w="960"/>
        <w:gridCol w:w="960"/>
        <w:gridCol w:w="961"/>
        <w:gridCol w:w="960"/>
        <w:gridCol w:w="961"/>
      </w:tblGrid>
      <w:tr w:rsidR="004B0883" w14:paraId="70899B89" w14:textId="77777777">
        <w:trPr>
          <w:trHeight w:val="397"/>
          <w:tblHeader/>
          <w:jc w:val="center"/>
        </w:trPr>
        <w:tc>
          <w:tcPr>
            <w:tcW w:w="1472" w:type="dxa"/>
            <w:vMerge w:val="restart"/>
            <w:shd w:val="clear" w:color="auto" w:fill="D9D9D9"/>
            <w:tcMar>
              <w:top w:w="0" w:type="dxa"/>
              <w:bottom w:w="0" w:type="dxa"/>
            </w:tcMar>
            <w:vAlign w:val="center"/>
          </w:tcPr>
          <w:p w14:paraId="27DB4395" w14:textId="77777777" w:rsidR="004B0883" w:rsidRDefault="004B0883">
            <w:pPr>
              <w:widowControl w:val="0"/>
              <w:adjustRightInd w:val="0"/>
              <w:snapToGrid w:val="0"/>
              <w:jc w:val="center"/>
              <w:rPr>
                <w:b/>
                <w:bCs/>
                <w:sz w:val="18"/>
                <w:szCs w:val="18"/>
              </w:rPr>
            </w:pPr>
            <w:r>
              <w:rPr>
                <w:b/>
                <w:bCs/>
                <w:sz w:val="18"/>
                <w:szCs w:val="18"/>
              </w:rPr>
              <w:t>项目</w:t>
            </w:r>
          </w:p>
        </w:tc>
        <w:tc>
          <w:tcPr>
            <w:tcW w:w="1976" w:type="dxa"/>
            <w:gridSpan w:val="2"/>
            <w:shd w:val="clear" w:color="auto" w:fill="D9D9D9"/>
            <w:tcMar>
              <w:top w:w="0" w:type="dxa"/>
              <w:bottom w:w="0" w:type="dxa"/>
            </w:tcMar>
            <w:vAlign w:val="center"/>
          </w:tcPr>
          <w:p w14:paraId="21BC66C6" w14:textId="77777777" w:rsidR="004B0883" w:rsidRDefault="004B0883">
            <w:pPr>
              <w:adjustRightInd w:val="0"/>
              <w:snapToGrid w:val="0"/>
              <w:jc w:val="center"/>
              <w:rPr>
                <w:b/>
                <w:bCs/>
                <w:color w:val="000000"/>
                <w:kern w:val="0"/>
                <w:sz w:val="18"/>
                <w:szCs w:val="18"/>
              </w:rPr>
            </w:pPr>
            <w:r>
              <w:rPr>
                <w:b/>
                <w:bCs/>
                <w:color w:val="000000"/>
                <w:kern w:val="0"/>
                <w:sz w:val="18"/>
                <w:szCs w:val="18"/>
              </w:rPr>
              <w:t>2023.</w:t>
            </w:r>
            <w:r>
              <w:rPr>
                <w:rFonts w:hint="eastAsia"/>
                <w:b/>
                <w:bCs/>
                <w:color w:val="000000"/>
                <w:kern w:val="0"/>
                <w:sz w:val="18"/>
                <w:szCs w:val="18"/>
              </w:rPr>
              <w:t>9</w:t>
            </w:r>
            <w:r>
              <w:rPr>
                <w:b/>
                <w:bCs/>
                <w:color w:val="000000"/>
                <w:kern w:val="0"/>
                <w:sz w:val="18"/>
                <w:szCs w:val="18"/>
              </w:rPr>
              <w:t>.30</w:t>
            </w:r>
          </w:p>
        </w:tc>
        <w:tc>
          <w:tcPr>
            <w:tcW w:w="1977" w:type="dxa"/>
            <w:gridSpan w:val="2"/>
            <w:shd w:val="clear" w:color="auto" w:fill="D9D9D9"/>
            <w:tcMar>
              <w:top w:w="0" w:type="dxa"/>
              <w:bottom w:w="0" w:type="dxa"/>
            </w:tcMar>
            <w:vAlign w:val="center"/>
          </w:tcPr>
          <w:p w14:paraId="53BF83E2" w14:textId="77777777" w:rsidR="004B0883" w:rsidRDefault="004B0883">
            <w:pPr>
              <w:adjustRightInd w:val="0"/>
              <w:snapToGrid w:val="0"/>
              <w:jc w:val="center"/>
              <w:rPr>
                <w:b/>
                <w:bCs/>
                <w:color w:val="000000"/>
                <w:kern w:val="0"/>
                <w:sz w:val="18"/>
                <w:szCs w:val="18"/>
              </w:rPr>
            </w:pPr>
            <w:r>
              <w:rPr>
                <w:b/>
                <w:bCs/>
                <w:color w:val="000000"/>
                <w:kern w:val="0"/>
                <w:sz w:val="18"/>
                <w:szCs w:val="18"/>
              </w:rPr>
              <w:t>2022.12.31</w:t>
            </w:r>
          </w:p>
        </w:tc>
        <w:tc>
          <w:tcPr>
            <w:tcW w:w="1977" w:type="dxa"/>
            <w:gridSpan w:val="2"/>
            <w:shd w:val="clear" w:color="auto" w:fill="D9D9D9"/>
            <w:tcMar>
              <w:top w:w="0" w:type="dxa"/>
              <w:bottom w:w="0" w:type="dxa"/>
            </w:tcMar>
            <w:vAlign w:val="center"/>
          </w:tcPr>
          <w:p w14:paraId="753359A7" w14:textId="77777777" w:rsidR="004B0883" w:rsidRDefault="004B0883">
            <w:pPr>
              <w:adjustRightInd w:val="0"/>
              <w:snapToGrid w:val="0"/>
              <w:jc w:val="center"/>
              <w:rPr>
                <w:b/>
                <w:bCs/>
                <w:color w:val="000000"/>
                <w:kern w:val="0"/>
                <w:sz w:val="18"/>
                <w:szCs w:val="18"/>
              </w:rPr>
            </w:pPr>
            <w:r>
              <w:rPr>
                <w:b/>
                <w:bCs/>
                <w:color w:val="000000"/>
                <w:kern w:val="0"/>
                <w:sz w:val="18"/>
                <w:szCs w:val="18"/>
              </w:rPr>
              <w:t>2021.12.31</w:t>
            </w:r>
          </w:p>
        </w:tc>
        <w:tc>
          <w:tcPr>
            <w:tcW w:w="1977" w:type="dxa"/>
            <w:gridSpan w:val="2"/>
            <w:shd w:val="clear" w:color="auto" w:fill="D9D9D9"/>
            <w:tcMar>
              <w:top w:w="0" w:type="dxa"/>
              <w:bottom w:w="0" w:type="dxa"/>
            </w:tcMar>
            <w:vAlign w:val="center"/>
          </w:tcPr>
          <w:p w14:paraId="4E0352BA" w14:textId="77777777" w:rsidR="004B0883" w:rsidRDefault="004B0883">
            <w:pPr>
              <w:adjustRightInd w:val="0"/>
              <w:snapToGrid w:val="0"/>
              <w:jc w:val="center"/>
              <w:rPr>
                <w:b/>
                <w:bCs/>
                <w:color w:val="000000"/>
                <w:kern w:val="0"/>
                <w:sz w:val="18"/>
                <w:szCs w:val="18"/>
              </w:rPr>
            </w:pPr>
            <w:r>
              <w:rPr>
                <w:b/>
                <w:bCs/>
                <w:color w:val="000000"/>
                <w:kern w:val="0"/>
                <w:sz w:val="18"/>
                <w:szCs w:val="18"/>
              </w:rPr>
              <w:t>2020.12.31</w:t>
            </w:r>
          </w:p>
        </w:tc>
      </w:tr>
      <w:tr w:rsidR="004B0883" w14:paraId="70B7AFC0" w14:textId="77777777">
        <w:trPr>
          <w:trHeight w:val="397"/>
          <w:tblHeader/>
          <w:jc w:val="center"/>
        </w:trPr>
        <w:tc>
          <w:tcPr>
            <w:tcW w:w="1472" w:type="dxa"/>
            <w:vMerge/>
            <w:shd w:val="clear" w:color="auto" w:fill="D9D9D9"/>
            <w:tcMar>
              <w:top w:w="0" w:type="dxa"/>
              <w:bottom w:w="0" w:type="dxa"/>
            </w:tcMar>
            <w:vAlign w:val="center"/>
          </w:tcPr>
          <w:p w14:paraId="6A20BB2C" w14:textId="77777777" w:rsidR="004B0883" w:rsidRDefault="004B0883">
            <w:pPr>
              <w:widowControl w:val="0"/>
              <w:adjustRightInd w:val="0"/>
              <w:snapToGrid w:val="0"/>
              <w:rPr>
                <w:b/>
                <w:bCs/>
                <w:sz w:val="18"/>
                <w:szCs w:val="18"/>
              </w:rPr>
            </w:pPr>
          </w:p>
        </w:tc>
        <w:tc>
          <w:tcPr>
            <w:tcW w:w="988" w:type="dxa"/>
            <w:shd w:val="clear" w:color="auto" w:fill="D9D9D9"/>
            <w:tcMar>
              <w:top w:w="0" w:type="dxa"/>
              <w:bottom w:w="0" w:type="dxa"/>
            </w:tcMar>
            <w:vAlign w:val="center"/>
          </w:tcPr>
          <w:p w14:paraId="04B9701D" w14:textId="77777777" w:rsidR="004B0883" w:rsidRDefault="004B0883">
            <w:pPr>
              <w:widowControl w:val="0"/>
              <w:adjustRightInd w:val="0"/>
              <w:snapToGrid w:val="0"/>
              <w:jc w:val="center"/>
              <w:rPr>
                <w:b/>
                <w:bCs/>
                <w:color w:val="000000"/>
                <w:sz w:val="18"/>
                <w:szCs w:val="18"/>
              </w:rPr>
            </w:pPr>
            <w:r>
              <w:rPr>
                <w:b/>
                <w:bCs/>
                <w:color w:val="000000"/>
                <w:sz w:val="18"/>
                <w:szCs w:val="18"/>
              </w:rPr>
              <w:t>金额</w:t>
            </w:r>
          </w:p>
        </w:tc>
        <w:tc>
          <w:tcPr>
            <w:tcW w:w="988" w:type="dxa"/>
            <w:shd w:val="clear" w:color="auto" w:fill="D9D9D9"/>
            <w:tcMar>
              <w:top w:w="0" w:type="dxa"/>
              <w:bottom w:w="0" w:type="dxa"/>
            </w:tcMar>
            <w:vAlign w:val="center"/>
          </w:tcPr>
          <w:p w14:paraId="590EB5F1" w14:textId="77777777" w:rsidR="004B0883" w:rsidRDefault="004B0883">
            <w:pPr>
              <w:widowControl w:val="0"/>
              <w:adjustRightInd w:val="0"/>
              <w:snapToGrid w:val="0"/>
              <w:jc w:val="center"/>
              <w:rPr>
                <w:b/>
                <w:bCs/>
                <w:color w:val="000000"/>
                <w:sz w:val="18"/>
                <w:szCs w:val="18"/>
              </w:rPr>
            </w:pPr>
            <w:r>
              <w:rPr>
                <w:b/>
                <w:bCs/>
                <w:color w:val="000000"/>
                <w:sz w:val="18"/>
                <w:szCs w:val="18"/>
              </w:rPr>
              <w:t>比例</w:t>
            </w:r>
          </w:p>
        </w:tc>
        <w:tc>
          <w:tcPr>
            <w:tcW w:w="989" w:type="dxa"/>
            <w:shd w:val="clear" w:color="auto" w:fill="D9D9D9"/>
            <w:tcMar>
              <w:top w:w="0" w:type="dxa"/>
              <w:bottom w:w="0" w:type="dxa"/>
            </w:tcMar>
            <w:vAlign w:val="center"/>
          </w:tcPr>
          <w:p w14:paraId="2466BB3D" w14:textId="77777777" w:rsidR="004B0883" w:rsidRDefault="004B0883">
            <w:pPr>
              <w:widowControl w:val="0"/>
              <w:adjustRightInd w:val="0"/>
              <w:snapToGrid w:val="0"/>
              <w:jc w:val="center"/>
              <w:rPr>
                <w:b/>
                <w:bCs/>
                <w:color w:val="000000"/>
                <w:sz w:val="18"/>
                <w:szCs w:val="18"/>
              </w:rPr>
            </w:pPr>
            <w:r>
              <w:rPr>
                <w:b/>
                <w:bCs/>
                <w:color w:val="000000"/>
                <w:sz w:val="18"/>
                <w:szCs w:val="18"/>
              </w:rPr>
              <w:t>金额</w:t>
            </w:r>
          </w:p>
        </w:tc>
        <w:tc>
          <w:tcPr>
            <w:tcW w:w="988" w:type="dxa"/>
            <w:shd w:val="clear" w:color="auto" w:fill="D9D9D9"/>
            <w:tcMar>
              <w:top w:w="0" w:type="dxa"/>
              <w:bottom w:w="0" w:type="dxa"/>
            </w:tcMar>
            <w:vAlign w:val="center"/>
          </w:tcPr>
          <w:p w14:paraId="1429E117" w14:textId="77777777" w:rsidR="004B0883" w:rsidRDefault="004B0883">
            <w:pPr>
              <w:widowControl w:val="0"/>
              <w:adjustRightInd w:val="0"/>
              <w:snapToGrid w:val="0"/>
              <w:jc w:val="center"/>
              <w:rPr>
                <w:b/>
                <w:bCs/>
                <w:color w:val="000000"/>
                <w:sz w:val="18"/>
                <w:szCs w:val="18"/>
              </w:rPr>
            </w:pPr>
            <w:r>
              <w:rPr>
                <w:b/>
                <w:bCs/>
                <w:color w:val="000000"/>
                <w:sz w:val="18"/>
                <w:szCs w:val="18"/>
              </w:rPr>
              <w:t>比例</w:t>
            </w:r>
          </w:p>
        </w:tc>
        <w:tc>
          <w:tcPr>
            <w:tcW w:w="988" w:type="dxa"/>
            <w:shd w:val="clear" w:color="auto" w:fill="D9D9D9"/>
            <w:tcMar>
              <w:top w:w="0" w:type="dxa"/>
              <w:bottom w:w="0" w:type="dxa"/>
            </w:tcMar>
            <w:vAlign w:val="center"/>
          </w:tcPr>
          <w:p w14:paraId="25ACDF3D" w14:textId="77777777" w:rsidR="004B0883" w:rsidRDefault="004B0883">
            <w:pPr>
              <w:widowControl w:val="0"/>
              <w:adjustRightInd w:val="0"/>
              <w:snapToGrid w:val="0"/>
              <w:jc w:val="center"/>
              <w:rPr>
                <w:b/>
                <w:bCs/>
                <w:color w:val="000000"/>
                <w:sz w:val="18"/>
                <w:szCs w:val="18"/>
              </w:rPr>
            </w:pPr>
            <w:r>
              <w:rPr>
                <w:b/>
                <w:bCs/>
                <w:color w:val="000000"/>
                <w:sz w:val="18"/>
                <w:szCs w:val="18"/>
              </w:rPr>
              <w:t>金额</w:t>
            </w:r>
          </w:p>
        </w:tc>
        <w:tc>
          <w:tcPr>
            <w:tcW w:w="989" w:type="dxa"/>
            <w:shd w:val="clear" w:color="auto" w:fill="D9D9D9"/>
            <w:tcMar>
              <w:top w:w="0" w:type="dxa"/>
              <w:bottom w:w="0" w:type="dxa"/>
            </w:tcMar>
            <w:vAlign w:val="center"/>
          </w:tcPr>
          <w:p w14:paraId="73FCDD41" w14:textId="77777777" w:rsidR="004B0883" w:rsidRDefault="004B0883">
            <w:pPr>
              <w:widowControl w:val="0"/>
              <w:adjustRightInd w:val="0"/>
              <w:snapToGrid w:val="0"/>
              <w:jc w:val="center"/>
              <w:rPr>
                <w:b/>
                <w:bCs/>
                <w:color w:val="000000"/>
                <w:sz w:val="18"/>
                <w:szCs w:val="18"/>
              </w:rPr>
            </w:pPr>
            <w:r>
              <w:rPr>
                <w:b/>
                <w:bCs/>
                <w:color w:val="000000"/>
                <w:sz w:val="18"/>
                <w:szCs w:val="18"/>
              </w:rPr>
              <w:t>比例</w:t>
            </w:r>
          </w:p>
        </w:tc>
        <w:tc>
          <w:tcPr>
            <w:tcW w:w="988" w:type="dxa"/>
            <w:shd w:val="clear" w:color="auto" w:fill="D9D9D9"/>
            <w:tcMar>
              <w:top w:w="0" w:type="dxa"/>
              <w:bottom w:w="0" w:type="dxa"/>
            </w:tcMar>
            <w:vAlign w:val="center"/>
          </w:tcPr>
          <w:p w14:paraId="46C10C5C" w14:textId="77777777" w:rsidR="004B0883" w:rsidRDefault="004B0883">
            <w:pPr>
              <w:widowControl w:val="0"/>
              <w:adjustRightInd w:val="0"/>
              <w:snapToGrid w:val="0"/>
              <w:jc w:val="center"/>
              <w:rPr>
                <w:b/>
                <w:bCs/>
                <w:color w:val="000000"/>
                <w:sz w:val="18"/>
                <w:szCs w:val="18"/>
              </w:rPr>
            </w:pPr>
            <w:r>
              <w:rPr>
                <w:b/>
                <w:bCs/>
                <w:color w:val="000000"/>
                <w:sz w:val="18"/>
                <w:szCs w:val="18"/>
              </w:rPr>
              <w:t>金额</w:t>
            </w:r>
          </w:p>
        </w:tc>
        <w:tc>
          <w:tcPr>
            <w:tcW w:w="989" w:type="dxa"/>
            <w:shd w:val="clear" w:color="auto" w:fill="D9D9D9"/>
            <w:tcMar>
              <w:top w:w="0" w:type="dxa"/>
              <w:bottom w:w="0" w:type="dxa"/>
            </w:tcMar>
            <w:vAlign w:val="center"/>
          </w:tcPr>
          <w:p w14:paraId="77040819" w14:textId="77777777" w:rsidR="004B0883" w:rsidRDefault="004B0883">
            <w:pPr>
              <w:widowControl w:val="0"/>
              <w:adjustRightInd w:val="0"/>
              <w:snapToGrid w:val="0"/>
              <w:jc w:val="center"/>
              <w:rPr>
                <w:b/>
                <w:bCs/>
                <w:color w:val="000000"/>
                <w:sz w:val="18"/>
                <w:szCs w:val="18"/>
              </w:rPr>
            </w:pPr>
            <w:r>
              <w:rPr>
                <w:b/>
                <w:bCs/>
                <w:color w:val="000000"/>
                <w:sz w:val="18"/>
                <w:szCs w:val="18"/>
              </w:rPr>
              <w:t>比例</w:t>
            </w:r>
          </w:p>
        </w:tc>
      </w:tr>
      <w:tr w:rsidR="004B0883" w14:paraId="54206245" w14:textId="77777777">
        <w:trPr>
          <w:trHeight w:val="397"/>
          <w:jc w:val="center"/>
        </w:trPr>
        <w:tc>
          <w:tcPr>
            <w:tcW w:w="1472" w:type="dxa"/>
            <w:tcMar>
              <w:top w:w="0" w:type="dxa"/>
              <w:bottom w:w="0" w:type="dxa"/>
            </w:tcMar>
            <w:vAlign w:val="center"/>
          </w:tcPr>
          <w:p w14:paraId="51DE3E94" w14:textId="77777777" w:rsidR="004B0883" w:rsidRDefault="004B0883">
            <w:pPr>
              <w:adjustRightInd w:val="0"/>
              <w:snapToGrid w:val="0"/>
              <w:rPr>
                <w:color w:val="000000"/>
                <w:kern w:val="0"/>
                <w:sz w:val="18"/>
                <w:szCs w:val="18"/>
              </w:rPr>
            </w:pPr>
            <w:r>
              <w:rPr>
                <w:color w:val="000000"/>
                <w:kern w:val="0"/>
                <w:sz w:val="18"/>
                <w:szCs w:val="18"/>
              </w:rPr>
              <w:t>房屋及建筑物</w:t>
            </w:r>
          </w:p>
        </w:tc>
        <w:tc>
          <w:tcPr>
            <w:tcW w:w="988" w:type="dxa"/>
            <w:tcMar>
              <w:top w:w="0" w:type="dxa"/>
              <w:bottom w:w="0" w:type="dxa"/>
            </w:tcMar>
            <w:vAlign w:val="center"/>
          </w:tcPr>
          <w:p w14:paraId="561387E9" w14:textId="77777777" w:rsidR="004B0883" w:rsidRDefault="004B0883">
            <w:pPr>
              <w:adjustRightInd w:val="0"/>
              <w:snapToGrid w:val="0"/>
              <w:jc w:val="right"/>
              <w:rPr>
                <w:rFonts w:eastAsia="等线"/>
                <w:color w:val="000000"/>
                <w:sz w:val="18"/>
                <w:szCs w:val="18"/>
              </w:rPr>
            </w:pPr>
            <w:r>
              <w:rPr>
                <w:rFonts w:eastAsia="等线"/>
                <w:color w:val="000000"/>
                <w:sz w:val="18"/>
                <w:szCs w:val="18"/>
              </w:rPr>
              <w:t>10,149.71</w:t>
            </w:r>
          </w:p>
        </w:tc>
        <w:tc>
          <w:tcPr>
            <w:tcW w:w="988" w:type="dxa"/>
            <w:tcMar>
              <w:top w:w="0" w:type="dxa"/>
              <w:bottom w:w="0" w:type="dxa"/>
            </w:tcMar>
            <w:vAlign w:val="center"/>
          </w:tcPr>
          <w:p w14:paraId="4651CECF" w14:textId="77777777" w:rsidR="004B0883" w:rsidRDefault="004B0883">
            <w:pPr>
              <w:widowControl w:val="0"/>
              <w:adjustRightInd w:val="0"/>
              <w:snapToGrid w:val="0"/>
              <w:jc w:val="right"/>
              <w:rPr>
                <w:color w:val="000000"/>
                <w:sz w:val="18"/>
                <w:szCs w:val="18"/>
              </w:rPr>
            </w:pPr>
            <w:r>
              <w:rPr>
                <w:rFonts w:hint="eastAsia"/>
                <w:color w:val="000000"/>
                <w:sz w:val="18"/>
                <w:szCs w:val="18"/>
              </w:rPr>
              <w:t>10.08</w:t>
            </w:r>
            <w:r>
              <w:rPr>
                <w:color w:val="000000"/>
                <w:sz w:val="18"/>
                <w:szCs w:val="18"/>
              </w:rPr>
              <w:t>%</w:t>
            </w:r>
          </w:p>
        </w:tc>
        <w:tc>
          <w:tcPr>
            <w:tcW w:w="989" w:type="dxa"/>
            <w:tcMar>
              <w:top w:w="0" w:type="dxa"/>
              <w:bottom w:w="0" w:type="dxa"/>
            </w:tcMar>
            <w:vAlign w:val="center"/>
          </w:tcPr>
          <w:p w14:paraId="4B77BAE2" w14:textId="77777777" w:rsidR="004B0883" w:rsidRDefault="004B0883">
            <w:pPr>
              <w:adjustRightInd w:val="0"/>
              <w:snapToGrid w:val="0"/>
              <w:jc w:val="right"/>
              <w:rPr>
                <w:color w:val="000000"/>
                <w:kern w:val="0"/>
                <w:sz w:val="18"/>
                <w:szCs w:val="18"/>
              </w:rPr>
            </w:pPr>
            <w:r>
              <w:rPr>
                <w:rFonts w:eastAsia="等线"/>
                <w:color w:val="000000"/>
                <w:sz w:val="18"/>
                <w:szCs w:val="18"/>
              </w:rPr>
              <w:t>10,655.05</w:t>
            </w:r>
          </w:p>
        </w:tc>
        <w:tc>
          <w:tcPr>
            <w:tcW w:w="988" w:type="dxa"/>
            <w:tcMar>
              <w:top w:w="0" w:type="dxa"/>
              <w:bottom w:w="0" w:type="dxa"/>
            </w:tcMar>
            <w:vAlign w:val="center"/>
          </w:tcPr>
          <w:p w14:paraId="4B494838" w14:textId="77777777" w:rsidR="004B0883" w:rsidRDefault="004B0883">
            <w:pPr>
              <w:jc w:val="right"/>
              <w:rPr>
                <w:rFonts w:eastAsia="等线"/>
                <w:color w:val="000000"/>
                <w:kern w:val="0"/>
                <w:sz w:val="18"/>
                <w:szCs w:val="18"/>
              </w:rPr>
            </w:pPr>
            <w:r>
              <w:rPr>
                <w:rFonts w:eastAsia="等线"/>
                <w:color w:val="000000"/>
                <w:sz w:val="18"/>
                <w:szCs w:val="18"/>
              </w:rPr>
              <w:t>10.72%</w:t>
            </w:r>
          </w:p>
        </w:tc>
        <w:tc>
          <w:tcPr>
            <w:tcW w:w="988" w:type="dxa"/>
            <w:tcMar>
              <w:top w:w="0" w:type="dxa"/>
              <w:bottom w:w="0" w:type="dxa"/>
            </w:tcMar>
            <w:vAlign w:val="center"/>
          </w:tcPr>
          <w:p w14:paraId="55645732" w14:textId="77777777" w:rsidR="004B0883" w:rsidRDefault="004B0883">
            <w:pPr>
              <w:adjustRightInd w:val="0"/>
              <w:snapToGrid w:val="0"/>
              <w:jc w:val="right"/>
              <w:rPr>
                <w:color w:val="000000"/>
                <w:kern w:val="0"/>
                <w:sz w:val="18"/>
                <w:szCs w:val="18"/>
              </w:rPr>
            </w:pPr>
            <w:r>
              <w:rPr>
                <w:rFonts w:eastAsia="仿宋_GB2312"/>
                <w:color w:val="000000"/>
                <w:kern w:val="0"/>
                <w:sz w:val="18"/>
                <w:szCs w:val="18"/>
              </w:rPr>
              <w:t>10,680.61</w:t>
            </w:r>
          </w:p>
        </w:tc>
        <w:tc>
          <w:tcPr>
            <w:tcW w:w="989" w:type="dxa"/>
            <w:tcMar>
              <w:top w:w="0" w:type="dxa"/>
              <w:bottom w:w="0" w:type="dxa"/>
            </w:tcMar>
            <w:vAlign w:val="center"/>
          </w:tcPr>
          <w:p w14:paraId="0572049D" w14:textId="77777777" w:rsidR="004B0883" w:rsidRDefault="004B0883">
            <w:pPr>
              <w:jc w:val="right"/>
              <w:rPr>
                <w:rFonts w:eastAsia="等线"/>
                <w:color w:val="000000"/>
                <w:kern w:val="0"/>
                <w:sz w:val="18"/>
                <w:szCs w:val="18"/>
              </w:rPr>
            </w:pPr>
            <w:r>
              <w:rPr>
                <w:rFonts w:eastAsia="等线"/>
                <w:color w:val="000000"/>
                <w:sz w:val="18"/>
                <w:szCs w:val="18"/>
              </w:rPr>
              <w:t>12.00%</w:t>
            </w:r>
          </w:p>
        </w:tc>
        <w:tc>
          <w:tcPr>
            <w:tcW w:w="988" w:type="dxa"/>
            <w:tcMar>
              <w:top w:w="0" w:type="dxa"/>
              <w:bottom w:w="0" w:type="dxa"/>
            </w:tcMar>
            <w:vAlign w:val="center"/>
          </w:tcPr>
          <w:p w14:paraId="0227C0A6" w14:textId="77777777" w:rsidR="004B0883" w:rsidRDefault="004B0883">
            <w:pPr>
              <w:adjustRightInd w:val="0"/>
              <w:snapToGrid w:val="0"/>
              <w:jc w:val="right"/>
              <w:rPr>
                <w:color w:val="000000"/>
                <w:kern w:val="0"/>
                <w:sz w:val="18"/>
                <w:szCs w:val="18"/>
              </w:rPr>
            </w:pPr>
            <w:r>
              <w:rPr>
                <w:rFonts w:eastAsia="仿宋_GB2312"/>
                <w:color w:val="000000"/>
                <w:kern w:val="0"/>
                <w:sz w:val="18"/>
                <w:szCs w:val="18"/>
              </w:rPr>
              <w:t>10,602.03</w:t>
            </w:r>
          </w:p>
        </w:tc>
        <w:tc>
          <w:tcPr>
            <w:tcW w:w="989" w:type="dxa"/>
            <w:tcMar>
              <w:top w:w="0" w:type="dxa"/>
              <w:bottom w:w="0" w:type="dxa"/>
            </w:tcMar>
            <w:vAlign w:val="center"/>
          </w:tcPr>
          <w:p w14:paraId="4A1649F7" w14:textId="77777777" w:rsidR="004B0883" w:rsidRDefault="004B0883">
            <w:pPr>
              <w:jc w:val="right"/>
              <w:rPr>
                <w:rFonts w:eastAsia="等线"/>
                <w:color w:val="000000"/>
                <w:kern w:val="0"/>
                <w:sz w:val="18"/>
                <w:szCs w:val="18"/>
              </w:rPr>
            </w:pPr>
            <w:r>
              <w:rPr>
                <w:rFonts w:eastAsia="等线"/>
                <w:color w:val="000000"/>
                <w:sz w:val="18"/>
                <w:szCs w:val="18"/>
              </w:rPr>
              <w:t>12.19%</w:t>
            </w:r>
          </w:p>
        </w:tc>
      </w:tr>
      <w:tr w:rsidR="004B0883" w14:paraId="6C4B8F89" w14:textId="77777777">
        <w:trPr>
          <w:trHeight w:val="397"/>
          <w:jc w:val="center"/>
        </w:trPr>
        <w:tc>
          <w:tcPr>
            <w:tcW w:w="1472" w:type="dxa"/>
            <w:tcMar>
              <w:top w:w="0" w:type="dxa"/>
              <w:bottom w:w="0" w:type="dxa"/>
            </w:tcMar>
            <w:vAlign w:val="center"/>
          </w:tcPr>
          <w:p w14:paraId="7966E43A" w14:textId="77777777" w:rsidR="004B0883" w:rsidRDefault="004B0883">
            <w:pPr>
              <w:adjustRightInd w:val="0"/>
              <w:snapToGrid w:val="0"/>
              <w:rPr>
                <w:color w:val="000000"/>
                <w:kern w:val="0"/>
                <w:sz w:val="18"/>
                <w:szCs w:val="18"/>
              </w:rPr>
            </w:pPr>
            <w:r>
              <w:rPr>
                <w:color w:val="000000"/>
                <w:kern w:val="0"/>
                <w:sz w:val="18"/>
                <w:szCs w:val="18"/>
              </w:rPr>
              <w:t>机器设备</w:t>
            </w:r>
          </w:p>
        </w:tc>
        <w:tc>
          <w:tcPr>
            <w:tcW w:w="988" w:type="dxa"/>
            <w:tcMar>
              <w:top w:w="0" w:type="dxa"/>
              <w:bottom w:w="0" w:type="dxa"/>
            </w:tcMar>
            <w:vAlign w:val="center"/>
          </w:tcPr>
          <w:p w14:paraId="7B4E8C3D" w14:textId="77777777" w:rsidR="004B0883" w:rsidRDefault="004B0883">
            <w:pPr>
              <w:adjustRightInd w:val="0"/>
              <w:snapToGrid w:val="0"/>
              <w:jc w:val="right"/>
              <w:rPr>
                <w:rFonts w:eastAsia="等线"/>
                <w:color w:val="000000"/>
                <w:sz w:val="18"/>
                <w:szCs w:val="18"/>
              </w:rPr>
            </w:pPr>
            <w:r>
              <w:rPr>
                <w:rFonts w:eastAsia="等线"/>
                <w:color w:val="000000"/>
                <w:sz w:val="18"/>
                <w:szCs w:val="18"/>
              </w:rPr>
              <w:t>11,963.95</w:t>
            </w:r>
          </w:p>
        </w:tc>
        <w:tc>
          <w:tcPr>
            <w:tcW w:w="988" w:type="dxa"/>
            <w:tcMar>
              <w:top w:w="0" w:type="dxa"/>
              <w:bottom w:w="0" w:type="dxa"/>
            </w:tcMar>
            <w:vAlign w:val="center"/>
          </w:tcPr>
          <w:p w14:paraId="0F66F414" w14:textId="77777777" w:rsidR="004B0883" w:rsidRDefault="004B0883">
            <w:pPr>
              <w:jc w:val="right"/>
              <w:rPr>
                <w:rFonts w:eastAsia="等线"/>
                <w:color w:val="000000"/>
                <w:kern w:val="0"/>
                <w:sz w:val="18"/>
                <w:szCs w:val="18"/>
              </w:rPr>
            </w:pPr>
            <w:r>
              <w:rPr>
                <w:rFonts w:eastAsia="等线" w:hint="eastAsia"/>
                <w:color w:val="000000"/>
                <w:kern w:val="0"/>
                <w:sz w:val="18"/>
                <w:szCs w:val="18"/>
              </w:rPr>
              <w:t>11.88</w:t>
            </w:r>
            <w:r>
              <w:rPr>
                <w:rFonts w:eastAsia="等线"/>
                <w:color w:val="000000"/>
                <w:kern w:val="0"/>
                <w:sz w:val="18"/>
                <w:szCs w:val="18"/>
              </w:rPr>
              <w:t>%</w:t>
            </w:r>
          </w:p>
        </w:tc>
        <w:tc>
          <w:tcPr>
            <w:tcW w:w="989" w:type="dxa"/>
            <w:tcMar>
              <w:top w:w="0" w:type="dxa"/>
              <w:bottom w:w="0" w:type="dxa"/>
            </w:tcMar>
            <w:vAlign w:val="center"/>
          </w:tcPr>
          <w:p w14:paraId="7BAE56BD" w14:textId="77777777" w:rsidR="004B0883" w:rsidRDefault="004B0883">
            <w:pPr>
              <w:adjustRightInd w:val="0"/>
              <w:snapToGrid w:val="0"/>
              <w:jc w:val="right"/>
              <w:rPr>
                <w:color w:val="000000"/>
                <w:kern w:val="0"/>
                <w:sz w:val="18"/>
                <w:szCs w:val="18"/>
              </w:rPr>
            </w:pPr>
            <w:r>
              <w:rPr>
                <w:rFonts w:eastAsia="等线"/>
                <w:color w:val="000000"/>
                <w:sz w:val="18"/>
                <w:szCs w:val="18"/>
              </w:rPr>
              <w:t>12,695.26</w:t>
            </w:r>
          </w:p>
        </w:tc>
        <w:tc>
          <w:tcPr>
            <w:tcW w:w="988" w:type="dxa"/>
            <w:tcMar>
              <w:top w:w="0" w:type="dxa"/>
              <w:bottom w:w="0" w:type="dxa"/>
            </w:tcMar>
            <w:vAlign w:val="center"/>
          </w:tcPr>
          <w:p w14:paraId="6A4288B1" w14:textId="77777777" w:rsidR="004B0883" w:rsidRDefault="004B0883">
            <w:pPr>
              <w:jc w:val="right"/>
              <w:rPr>
                <w:rFonts w:eastAsia="等线"/>
                <w:color w:val="000000"/>
                <w:sz w:val="18"/>
                <w:szCs w:val="18"/>
              </w:rPr>
            </w:pPr>
            <w:r>
              <w:rPr>
                <w:rFonts w:eastAsia="等线"/>
                <w:color w:val="000000"/>
                <w:sz w:val="18"/>
                <w:szCs w:val="18"/>
              </w:rPr>
              <w:t>12.77%</w:t>
            </w:r>
          </w:p>
        </w:tc>
        <w:tc>
          <w:tcPr>
            <w:tcW w:w="988" w:type="dxa"/>
            <w:tcMar>
              <w:top w:w="0" w:type="dxa"/>
              <w:bottom w:w="0" w:type="dxa"/>
            </w:tcMar>
            <w:vAlign w:val="center"/>
          </w:tcPr>
          <w:p w14:paraId="1582EE35" w14:textId="77777777" w:rsidR="004B0883" w:rsidRDefault="004B0883">
            <w:pPr>
              <w:adjustRightInd w:val="0"/>
              <w:snapToGrid w:val="0"/>
              <w:jc w:val="right"/>
              <w:rPr>
                <w:color w:val="000000"/>
                <w:kern w:val="0"/>
                <w:sz w:val="18"/>
                <w:szCs w:val="18"/>
              </w:rPr>
            </w:pPr>
            <w:r>
              <w:rPr>
                <w:rFonts w:eastAsia="仿宋_GB2312"/>
                <w:color w:val="000000"/>
                <w:kern w:val="0"/>
                <w:sz w:val="18"/>
                <w:szCs w:val="18"/>
              </w:rPr>
              <w:t>13,724.83</w:t>
            </w:r>
          </w:p>
        </w:tc>
        <w:tc>
          <w:tcPr>
            <w:tcW w:w="989" w:type="dxa"/>
            <w:tcMar>
              <w:top w:w="0" w:type="dxa"/>
              <w:bottom w:w="0" w:type="dxa"/>
            </w:tcMar>
            <w:vAlign w:val="center"/>
          </w:tcPr>
          <w:p w14:paraId="5AF91D0D" w14:textId="77777777" w:rsidR="004B0883" w:rsidRDefault="004B0883">
            <w:pPr>
              <w:jc w:val="right"/>
              <w:rPr>
                <w:rFonts w:eastAsia="等线"/>
                <w:color w:val="000000"/>
                <w:sz w:val="18"/>
                <w:szCs w:val="18"/>
              </w:rPr>
            </w:pPr>
            <w:r>
              <w:rPr>
                <w:rFonts w:eastAsia="等线"/>
                <w:color w:val="000000"/>
                <w:sz w:val="18"/>
                <w:szCs w:val="18"/>
              </w:rPr>
              <w:t>15.42%</w:t>
            </w:r>
          </w:p>
        </w:tc>
        <w:tc>
          <w:tcPr>
            <w:tcW w:w="988" w:type="dxa"/>
            <w:tcMar>
              <w:top w:w="0" w:type="dxa"/>
              <w:bottom w:w="0" w:type="dxa"/>
            </w:tcMar>
            <w:vAlign w:val="center"/>
          </w:tcPr>
          <w:p w14:paraId="21DC6599" w14:textId="77777777" w:rsidR="004B0883" w:rsidRDefault="004B0883">
            <w:pPr>
              <w:adjustRightInd w:val="0"/>
              <w:snapToGrid w:val="0"/>
              <w:jc w:val="right"/>
              <w:rPr>
                <w:color w:val="000000"/>
                <w:kern w:val="0"/>
                <w:sz w:val="18"/>
                <w:szCs w:val="18"/>
              </w:rPr>
            </w:pPr>
            <w:r>
              <w:rPr>
                <w:rFonts w:eastAsia="仿宋_GB2312"/>
                <w:color w:val="000000"/>
                <w:kern w:val="0"/>
                <w:sz w:val="18"/>
                <w:szCs w:val="18"/>
              </w:rPr>
              <w:t>13,557.87</w:t>
            </w:r>
          </w:p>
        </w:tc>
        <w:tc>
          <w:tcPr>
            <w:tcW w:w="989" w:type="dxa"/>
            <w:tcMar>
              <w:top w:w="0" w:type="dxa"/>
              <w:bottom w:w="0" w:type="dxa"/>
            </w:tcMar>
            <w:vAlign w:val="center"/>
          </w:tcPr>
          <w:p w14:paraId="1F326B50" w14:textId="77777777" w:rsidR="004B0883" w:rsidRDefault="004B0883">
            <w:pPr>
              <w:jc w:val="right"/>
              <w:rPr>
                <w:rFonts w:eastAsia="等线"/>
                <w:color w:val="000000"/>
                <w:sz w:val="18"/>
                <w:szCs w:val="18"/>
              </w:rPr>
            </w:pPr>
            <w:r>
              <w:rPr>
                <w:rFonts w:eastAsia="等线"/>
                <w:color w:val="000000"/>
                <w:sz w:val="18"/>
                <w:szCs w:val="18"/>
              </w:rPr>
              <w:t>15.59%</w:t>
            </w:r>
          </w:p>
        </w:tc>
      </w:tr>
      <w:tr w:rsidR="004B0883" w14:paraId="14F62315" w14:textId="77777777">
        <w:trPr>
          <w:trHeight w:val="397"/>
          <w:jc w:val="center"/>
        </w:trPr>
        <w:tc>
          <w:tcPr>
            <w:tcW w:w="1472" w:type="dxa"/>
            <w:tcMar>
              <w:top w:w="0" w:type="dxa"/>
              <w:bottom w:w="0" w:type="dxa"/>
            </w:tcMar>
            <w:vAlign w:val="center"/>
          </w:tcPr>
          <w:p w14:paraId="29CE72CE" w14:textId="77777777" w:rsidR="004B0883" w:rsidRDefault="004B0883">
            <w:pPr>
              <w:adjustRightInd w:val="0"/>
              <w:snapToGrid w:val="0"/>
              <w:rPr>
                <w:color w:val="000000"/>
                <w:kern w:val="0"/>
                <w:sz w:val="18"/>
                <w:szCs w:val="18"/>
              </w:rPr>
            </w:pPr>
            <w:r>
              <w:rPr>
                <w:rFonts w:hint="eastAsia"/>
                <w:color w:val="000000"/>
                <w:kern w:val="0"/>
                <w:sz w:val="18"/>
                <w:szCs w:val="18"/>
              </w:rPr>
              <w:t>运输工具</w:t>
            </w:r>
          </w:p>
        </w:tc>
        <w:tc>
          <w:tcPr>
            <w:tcW w:w="988" w:type="dxa"/>
            <w:tcMar>
              <w:top w:w="0" w:type="dxa"/>
              <w:bottom w:w="0" w:type="dxa"/>
            </w:tcMar>
            <w:vAlign w:val="center"/>
          </w:tcPr>
          <w:p w14:paraId="7017225F" w14:textId="77777777" w:rsidR="004B0883" w:rsidRDefault="004B0883">
            <w:pPr>
              <w:adjustRightInd w:val="0"/>
              <w:snapToGrid w:val="0"/>
              <w:jc w:val="right"/>
              <w:rPr>
                <w:rFonts w:eastAsia="等线"/>
                <w:color w:val="000000"/>
                <w:sz w:val="18"/>
                <w:szCs w:val="18"/>
              </w:rPr>
            </w:pPr>
            <w:r>
              <w:rPr>
                <w:rFonts w:eastAsia="等线"/>
                <w:color w:val="000000"/>
                <w:sz w:val="18"/>
                <w:szCs w:val="18"/>
              </w:rPr>
              <w:t>101.49</w:t>
            </w:r>
          </w:p>
        </w:tc>
        <w:tc>
          <w:tcPr>
            <w:tcW w:w="988" w:type="dxa"/>
            <w:tcMar>
              <w:top w:w="0" w:type="dxa"/>
              <w:bottom w:w="0" w:type="dxa"/>
            </w:tcMar>
            <w:vAlign w:val="center"/>
          </w:tcPr>
          <w:p w14:paraId="428E9909" w14:textId="77777777" w:rsidR="004B0883" w:rsidRDefault="004B0883">
            <w:pPr>
              <w:jc w:val="right"/>
              <w:rPr>
                <w:rFonts w:eastAsia="等线"/>
                <w:color w:val="000000"/>
                <w:sz w:val="18"/>
                <w:szCs w:val="18"/>
              </w:rPr>
            </w:pPr>
            <w:r>
              <w:rPr>
                <w:rFonts w:eastAsia="等线" w:hint="eastAsia"/>
                <w:color w:val="000000"/>
                <w:sz w:val="18"/>
                <w:szCs w:val="18"/>
              </w:rPr>
              <w:t>0.10</w:t>
            </w:r>
            <w:r>
              <w:rPr>
                <w:rFonts w:eastAsia="等线"/>
                <w:color w:val="000000"/>
                <w:sz w:val="18"/>
                <w:szCs w:val="18"/>
              </w:rPr>
              <w:t>%</w:t>
            </w:r>
          </w:p>
        </w:tc>
        <w:tc>
          <w:tcPr>
            <w:tcW w:w="989" w:type="dxa"/>
            <w:tcMar>
              <w:top w:w="0" w:type="dxa"/>
              <w:bottom w:w="0" w:type="dxa"/>
            </w:tcMar>
            <w:vAlign w:val="center"/>
          </w:tcPr>
          <w:p w14:paraId="7391D84A" w14:textId="77777777" w:rsidR="004B0883" w:rsidRDefault="004B0883">
            <w:pPr>
              <w:adjustRightInd w:val="0"/>
              <w:snapToGrid w:val="0"/>
              <w:jc w:val="right"/>
              <w:rPr>
                <w:color w:val="000000"/>
                <w:kern w:val="0"/>
                <w:sz w:val="18"/>
                <w:szCs w:val="18"/>
              </w:rPr>
            </w:pPr>
            <w:r>
              <w:rPr>
                <w:rFonts w:eastAsia="等线"/>
                <w:color w:val="000000"/>
                <w:sz w:val="18"/>
                <w:szCs w:val="18"/>
              </w:rPr>
              <w:t>112.47</w:t>
            </w:r>
          </w:p>
        </w:tc>
        <w:tc>
          <w:tcPr>
            <w:tcW w:w="988" w:type="dxa"/>
            <w:tcMar>
              <w:top w:w="0" w:type="dxa"/>
              <w:bottom w:w="0" w:type="dxa"/>
            </w:tcMar>
            <w:vAlign w:val="center"/>
          </w:tcPr>
          <w:p w14:paraId="3D238FE9" w14:textId="77777777" w:rsidR="004B0883" w:rsidRDefault="004B0883">
            <w:pPr>
              <w:jc w:val="right"/>
              <w:rPr>
                <w:rFonts w:eastAsia="等线"/>
                <w:color w:val="000000"/>
                <w:sz w:val="18"/>
                <w:szCs w:val="18"/>
              </w:rPr>
            </w:pPr>
            <w:r>
              <w:rPr>
                <w:rFonts w:eastAsia="等线"/>
                <w:color w:val="000000"/>
                <w:sz w:val="18"/>
                <w:szCs w:val="18"/>
              </w:rPr>
              <w:t>0.11%</w:t>
            </w:r>
          </w:p>
        </w:tc>
        <w:tc>
          <w:tcPr>
            <w:tcW w:w="988" w:type="dxa"/>
            <w:tcMar>
              <w:top w:w="0" w:type="dxa"/>
              <w:bottom w:w="0" w:type="dxa"/>
            </w:tcMar>
            <w:vAlign w:val="center"/>
          </w:tcPr>
          <w:p w14:paraId="1854AF65" w14:textId="77777777" w:rsidR="004B0883" w:rsidRDefault="004B0883">
            <w:pPr>
              <w:adjustRightInd w:val="0"/>
              <w:snapToGrid w:val="0"/>
              <w:jc w:val="right"/>
              <w:rPr>
                <w:color w:val="000000"/>
                <w:kern w:val="0"/>
                <w:sz w:val="18"/>
                <w:szCs w:val="18"/>
              </w:rPr>
            </w:pPr>
            <w:r>
              <w:rPr>
                <w:rFonts w:eastAsia="仿宋_GB2312"/>
                <w:color w:val="000000"/>
                <w:kern w:val="0"/>
                <w:sz w:val="18"/>
                <w:szCs w:val="18"/>
              </w:rPr>
              <w:t>126.91</w:t>
            </w:r>
          </w:p>
        </w:tc>
        <w:tc>
          <w:tcPr>
            <w:tcW w:w="989" w:type="dxa"/>
            <w:tcMar>
              <w:top w:w="0" w:type="dxa"/>
              <w:bottom w:w="0" w:type="dxa"/>
            </w:tcMar>
            <w:vAlign w:val="center"/>
          </w:tcPr>
          <w:p w14:paraId="03D96FB1" w14:textId="77777777" w:rsidR="004B0883" w:rsidRDefault="004B0883">
            <w:pPr>
              <w:jc w:val="right"/>
              <w:rPr>
                <w:rFonts w:eastAsia="等线"/>
                <w:color w:val="000000"/>
                <w:sz w:val="18"/>
                <w:szCs w:val="18"/>
              </w:rPr>
            </w:pPr>
            <w:r>
              <w:rPr>
                <w:rFonts w:eastAsia="等线"/>
                <w:color w:val="000000"/>
                <w:sz w:val="18"/>
                <w:szCs w:val="18"/>
              </w:rPr>
              <w:t>0.14%</w:t>
            </w:r>
          </w:p>
        </w:tc>
        <w:tc>
          <w:tcPr>
            <w:tcW w:w="988" w:type="dxa"/>
            <w:tcMar>
              <w:top w:w="0" w:type="dxa"/>
              <w:bottom w:w="0" w:type="dxa"/>
            </w:tcMar>
            <w:vAlign w:val="center"/>
          </w:tcPr>
          <w:p w14:paraId="479E7D0B" w14:textId="77777777" w:rsidR="004B0883" w:rsidRDefault="004B0883">
            <w:pPr>
              <w:adjustRightInd w:val="0"/>
              <w:snapToGrid w:val="0"/>
              <w:jc w:val="right"/>
              <w:rPr>
                <w:color w:val="000000"/>
                <w:kern w:val="0"/>
                <w:sz w:val="18"/>
                <w:szCs w:val="18"/>
              </w:rPr>
            </w:pPr>
            <w:r>
              <w:rPr>
                <w:rFonts w:eastAsia="仿宋_GB2312"/>
                <w:color w:val="000000"/>
                <w:kern w:val="0"/>
                <w:sz w:val="18"/>
                <w:szCs w:val="18"/>
              </w:rPr>
              <w:t>179.20</w:t>
            </w:r>
          </w:p>
        </w:tc>
        <w:tc>
          <w:tcPr>
            <w:tcW w:w="989" w:type="dxa"/>
            <w:tcMar>
              <w:top w:w="0" w:type="dxa"/>
              <w:bottom w:w="0" w:type="dxa"/>
            </w:tcMar>
            <w:vAlign w:val="center"/>
          </w:tcPr>
          <w:p w14:paraId="262FDB20" w14:textId="77777777" w:rsidR="004B0883" w:rsidRDefault="004B0883">
            <w:pPr>
              <w:jc w:val="right"/>
              <w:rPr>
                <w:rFonts w:eastAsia="等线"/>
                <w:color w:val="000000"/>
                <w:sz w:val="18"/>
                <w:szCs w:val="18"/>
              </w:rPr>
            </w:pPr>
            <w:r>
              <w:rPr>
                <w:rFonts w:eastAsia="等线"/>
                <w:color w:val="000000"/>
                <w:sz w:val="18"/>
                <w:szCs w:val="18"/>
              </w:rPr>
              <w:t>0.21%</w:t>
            </w:r>
          </w:p>
        </w:tc>
      </w:tr>
      <w:tr w:rsidR="004B0883" w14:paraId="22F15E34" w14:textId="77777777">
        <w:trPr>
          <w:trHeight w:val="397"/>
          <w:jc w:val="center"/>
        </w:trPr>
        <w:tc>
          <w:tcPr>
            <w:tcW w:w="1472" w:type="dxa"/>
            <w:tcMar>
              <w:top w:w="0" w:type="dxa"/>
              <w:bottom w:w="0" w:type="dxa"/>
            </w:tcMar>
            <w:vAlign w:val="center"/>
          </w:tcPr>
          <w:p w14:paraId="41ACA8E8" w14:textId="77777777" w:rsidR="004B0883" w:rsidRDefault="004B0883">
            <w:pPr>
              <w:adjustRightInd w:val="0"/>
              <w:snapToGrid w:val="0"/>
              <w:rPr>
                <w:color w:val="000000"/>
                <w:kern w:val="0"/>
                <w:sz w:val="18"/>
                <w:szCs w:val="18"/>
              </w:rPr>
            </w:pPr>
            <w:r>
              <w:rPr>
                <w:rFonts w:hint="eastAsia"/>
                <w:color w:val="000000"/>
                <w:kern w:val="0"/>
                <w:sz w:val="18"/>
                <w:szCs w:val="18"/>
              </w:rPr>
              <w:t>电子设备及其他</w:t>
            </w:r>
          </w:p>
        </w:tc>
        <w:tc>
          <w:tcPr>
            <w:tcW w:w="988" w:type="dxa"/>
            <w:tcMar>
              <w:top w:w="0" w:type="dxa"/>
              <w:bottom w:w="0" w:type="dxa"/>
            </w:tcMar>
            <w:vAlign w:val="center"/>
          </w:tcPr>
          <w:p w14:paraId="17D8A2AD" w14:textId="77777777" w:rsidR="004B0883" w:rsidRDefault="004B0883">
            <w:pPr>
              <w:adjustRightInd w:val="0"/>
              <w:snapToGrid w:val="0"/>
              <w:jc w:val="right"/>
              <w:rPr>
                <w:rFonts w:eastAsia="等线"/>
                <w:color w:val="000000"/>
                <w:sz w:val="18"/>
                <w:szCs w:val="18"/>
              </w:rPr>
            </w:pPr>
            <w:r>
              <w:rPr>
                <w:rFonts w:eastAsia="等线"/>
                <w:color w:val="000000"/>
                <w:sz w:val="18"/>
                <w:szCs w:val="18"/>
              </w:rPr>
              <w:t>315.50</w:t>
            </w:r>
          </w:p>
        </w:tc>
        <w:tc>
          <w:tcPr>
            <w:tcW w:w="988" w:type="dxa"/>
            <w:tcMar>
              <w:top w:w="0" w:type="dxa"/>
              <w:bottom w:w="0" w:type="dxa"/>
            </w:tcMar>
            <w:vAlign w:val="center"/>
          </w:tcPr>
          <w:p w14:paraId="6CE58AE1" w14:textId="77777777" w:rsidR="004B0883" w:rsidRDefault="004B0883">
            <w:pPr>
              <w:jc w:val="right"/>
              <w:rPr>
                <w:rFonts w:eastAsia="等线"/>
                <w:color w:val="000000"/>
                <w:sz w:val="18"/>
                <w:szCs w:val="18"/>
              </w:rPr>
            </w:pPr>
            <w:r>
              <w:rPr>
                <w:rFonts w:eastAsia="等线" w:hint="eastAsia"/>
                <w:color w:val="000000"/>
                <w:sz w:val="18"/>
                <w:szCs w:val="18"/>
              </w:rPr>
              <w:t>0.31</w:t>
            </w:r>
            <w:r>
              <w:rPr>
                <w:rFonts w:eastAsia="等线"/>
                <w:color w:val="000000"/>
                <w:sz w:val="18"/>
                <w:szCs w:val="18"/>
              </w:rPr>
              <w:t>%</w:t>
            </w:r>
          </w:p>
        </w:tc>
        <w:tc>
          <w:tcPr>
            <w:tcW w:w="989" w:type="dxa"/>
            <w:tcMar>
              <w:top w:w="0" w:type="dxa"/>
              <w:bottom w:w="0" w:type="dxa"/>
            </w:tcMar>
            <w:vAlign w:val="center"/>
          </w:tcPr>
          <w:p w14:paraId="3D0DD73E" w14:textId="77777777" w:rsidR="004B0883" w:rsidRDefault="004B0883">
            <w:pPr>
              <w:adjustRightInd w:val="0"/>
              <w:snapToGrid w:val="0"/>
              <w:jc w:val="right"/>
              <w:rPr>
                <w:color w:val="000000"/>
                <w:kern w:val="0"/>
                <w:sz w:val="18"/>
                <w:szCs w:val="18"/>
              </w:rPr>
            </w:pPr>
            <w:r>
              <w:rPr>
                <w:rFonts w:eastAsia="等线"/>
                <w:color w:val="000000"/>
                <w:sz w:val="18"/>
                <w:szCs w:val="18"/>
              </w:rPr>
              <w:t>423.62</w:t>
            </w:r>
          </w:p>
        </w:tc>
        <w:tc>
          <w:tcPr>
            <w:tcW w:w="988" w:type="dxa"/>
            <w:tcMar>
              <w:top w:w="0" w:type="dxa"/>
              <w:bottom w:w="0" w:type="dxa"/>
            </w:tcMar>
            <w:vAlign w:val="center"/>
          </w:tcPr>
          <w:p w14:paraId="570748F4" w14:textId="77777777" w:rsidR="004B0883" w:rsidRDefault="004B0883">
            <w:pPr>
              <w:jc w:val="right"/>
              <w:rPr>
                <w:rFonts w:eastAsia="等线"/>
                <w:color w:val="000000"/>
                <w:sz w:val="18"/>
                <w:szCs w:val="18"/>
              </w:rPr>
            </w:pPr>
            <w:r>
              <w:rPr>
                <w:rFonts w:eastAsia="等线"/>
                <w:color w:val="000000"/>
                <w:sz w:val="18"/>
                <w:szCs w:val="18"/>
              </w:rPr>
              <w:t>0.43%</w:t>
            </w:r>
          </w:p>
        </w:tc>
        <w:tc>
          <w:tcPr>
            <w:tcW w:w="988" w:type="dxa"/>
            <w:tcMar>
              <w:top w:w="0" w:type="dxa"/>
              <w:bottom w:w="0" w:type="dxa"/>
            </w:tcMar>
            <w:vAlign w:val="center"/>
          </w:tcPr>
          <w:p w14:paraId="4D8693E7" w14:textId="77777777" w:rsidR="004B0883" w:rsidRDefault="004B0883">
            <w:pPr>
              <w:adjustRightInd w:val="0"/>
              <w:snapToGrid w:val="0"/>
              <w:jc w:val="right"/>
              <w:rPr>
                <w:color w:val="000000"/>
                <w:kern w:val="0"/>
                <w:sz w:val="18"/>
                <w:szCs w:val="18"/>
              </w:rPr>
            </w:pPr>
            <w:r>
              <w:rPr>
                <w:rFonts w:eastAsia="仿宋_GB2312"/>
                <w:color w:val="000000"/>
                <w:kern w:val="0"/>
                <w:sz w:val="18"/>
                <w:szCs w:val="18"/>
              </w:rPr>
              <w:t>488.94</w:t>
            </w:r>
          </w:p>
        </w:tc>
        <w:tc>
          <w:tcPr>
            <w:tcW w:w="989" w:type="dxa"/>
            <w:tcMar>
              <w:top w:w="0" w:type="dxa"/>
              <w:bottom w:w="0" w:type="dxa"/>
            </w:tcMar>
            <w:vAlign w:val="center"/>
          </w:tcPr>
          <w:p w14:paraId="3EE4E7E6" w14:textId="77777777" w:rsidR="004B0883" w:rsidRDefault="004B0883">
            <w:pPr>
              <w:jc w:val="right"/>
              <w:rPr>
                <w:rFonts w:eastAsia="等线"/>
                <w:color w:val="000000"/>
                <w:sz w:val="18"/>
                <w:szCs w:val="18"/>
              </w:rPr>
            </w:pPr>
            <w:r>
              <w:rPr>
                <w:rFonts w:eastAsia="等线"/>
                <w:color w:val="000000"/>
                <w:sz w:val="18"/>
                <w:szCs w:val="18"/>
              </w:rPr>
              <w:t>0.55%</w:t>
            </w:r>
          </w:p>
        </w:tc>
        <w:tc>
          <w:tcPr>
            <w:tcW w:w="988" w:type="dxa"/>
            <w:tcMar>
              <w:top w:w="0" w:type="dxa"/>
              <w:bottom w:w="0" w:type="dxa"/>
            </w:tcMar>
            <w:vAlign w:val="center"/>
          </w:tcPr>
          <w:p w14:paraId="6EA13A5E" w14:textId="77777777" w:rsidR="004B0883" w:rsidRDefault="004B0883">
            <w:pPr>
              <w:adjustRightInd w:val="0"/>
              <w:snapToGrid w:val="0"/>
              <w:jc w:val="right"/>
              <w:rPr>
                <w:color w:val="000000"/>
                <w:kern w:val="0"/>
                <w:sz w:val="18"/>
                <w:szCs w:val="18"/>
              </w:rPr>
            </w:pPr>
            <w:r>
              <w:rPr>
                <w:rFonts w:eastAsia="仿宋_GB2312"/>
                <w:color w:val="000000"/>
                <w:kern w:val="0"/>
                <w:sz w:val="18"/>
                <w:szCs w:val="18"/>
              </w:rPr>
              <w:t>227.81</w:t>
            </w:r>
          </w:p>
        </w:tc>
        <w:tc>
          <w:tcPr>
            <w:tcW w:w="989" w:type="dxa"/>
            <w:tcMar>
              <w:top w:w="0" w:type="dxa"/>
              <w:bottom w:w="0" w:type="dxa"/>
            </w:tcMar>
            <w:vAlign w:val="center"/>
          </w:tcPr>
          <w:p w14:paraId="3A4923DB" w14:textId="77777777" w:rsidR="004B0883" w:rsidRDefault="004B0883">
            <w:pPr>
              <w:jc w:val="right"/>
              <w:rPr>
                <w:rFonts w:eastAsia="等线"/>
                <w:color w:val="000000"/>
                <w:sz w:val="18"/>
                <w:szCs w:val="18"/>
              </w:rPr>
            </w:pPr>
            <w:r>
              <w:rPr>
                <w:rFonts w:eastAsia="等线"/>
                <w:color w:val="000000"/>
                <w:sz w:val="18"/>
                <w:szCs w:val="18"/>
              </w:rPr>
              <w:t>0.26%</w:t>
            </w:r>
          </w:p>
        </w:tc>
      </w:tr>
      <w:tr w:rsidR="004B0883" w14:paraId="18AC5089" w14:textId="77777777">
        <w:trPr>
          <w:trHeight w:val="397"/>
          <w:jc w:val="center"/>
        </w:trPr>
        <w:tc>
          <w:tcPr>
            <w:tcW w:w="1472" w:type="dxa"/>
            <w:tcMar>
              <w:top w:w="0" w:type="dxa"/>
              <w:bottom w:w="0" w:type="dxa"/>
            </w:tcMar>
            <w:vAlign w:val="center"/>
          </w:tcPr>
          <w:p w14:paraId="20B7BBF9" w14:textId="77777777" w:rsidR="004B0883" w:rsidRDefault="004B0883">
            <w:pPr>
              <w:widowControl w:val="0"/>
              <w:adjustRightInd w:val="0"/>
              <w:snapToGrid w:val="0"/>
              <w:jc w:val="center"/>
              <w:rPr>
                <w:b/>
                <w:sz w:val="18"/>
                <w:szCs w:val="18"/>
              </w:rPr>
            </w:pPr>
            <w:r>
              <w:rPr>
                <w:b/>
                <w:sz w:val="18"/>
                <w:szCs w:val="18"/>
              </w:rPr>
              <w:t>合计</w:t>
            </w:r>
          </w:p>
        </w:tc>
        <w:tc>
          <w:tcPr>
            <w:tcW w:w="988" w:type="dxa"/>
            <w:tcMar>
              <w:top w:w="0" w:type="dxa"/>
              <w:bottom w:w="0" w:type="dxa"/>
            </w:tcMar>
            <w:vAlign w:val="center"/>
          </w:tcPr>
          <w:p w14:paraId="43B2F315" w14:textId="77777777" w:rsidR="004B0883" w:rsidRDefault="004B0883">
            <w:pPr>
              <w:adjustRightInd w:val="0"/>
              <w:snapToGrid w:val="0"/>
              <w:jc w:val="right"/>
              <w:rPr>
                <w:rFonts w:eastAsia="等线"/>
                <w:b/>
                <w:bCs/>
                <w:color w:val="000000"/>
                <w:sz w:val="18"/>
                <w:szCs w:val="18"/>
              </w:rPr>
            </w:pPr>
            <w:r>
              <w:rPr>
                <w:b/>
                <w:bCs/>
                <w:color w:val="000000"/>
                <w:kern w:val="0"/>
                <w:sz w:val="18"/>
                <w:szCs w:val="18"/>
              </w:rPr>
              <w:t>22,53</w:t>
            </w:r>
            <w:r>
              <w:rPr>
                <w:rFonts w:hint="eastAsia"/>
                <w:b/>
                <w:bCs/>
                <w:color w:val="000000"/>
                <w:kern w:val="0"/>
                <w:sz w:val="18"/>
                <w:szCs w:val="18"/>
              </w:rPr>
              <w:t>0.65</w:t>
            </w:r>
          </w:p>
        </w:tc>
        <w:tc>
          <w:tcPr>
            <w:tcW w:w="988" w:type="dxa"/>
            <w:tcMar>
              <w:top w:w="0" w:type="dxa"/>
              <w:bottom w:w="0" w:type="dxa"/>
            </w:tcMar>
            <w:vAlign w:val="center"/>
          </w:tcPr>
          <w:p w14:paraId="43244C3D" w14:textId="77777777" w:rsidR="004B0883" w:rsidRDefault="004B0883">
            <w:pPr>
              <w:widowControl w:val="0"/>
              <w:adjustRightInd w:val="0"/>
              <w:snapToGrid w:val="0"/>
              <w:jc w:val="right"/>
              <w:rPr>
                <w:b/>
                <w:bCs/>
                <w:color w:val="000000"/>
                <w:sz w:val="18"/>
                <w:szCs w:val="18"/>
              </w:rPr>
            </w:pPr>
            <w:r>
              <w:rPr>
                <w:b/>
                <w:bCs/>
                <w:color w:val="000000"/>
                <w:kern w:val="0"/>
                <w:sz w:val="18"/>
                <w:szCs w:val="18"/>
              </w:rPr>
              <w:t>22.</w:t>
            </w:r>
            <w:r>
              <w:rPr>
                <w:rFonts w:hint="eastAsia"/>
                <w:b/>
                <w:bCs/>
                <w:color w:val="000000"/>
                <w:kern w:val="0"/>
                <w:sz w:val="18"/>
                <w:szCs w:val="18"/>
              </w:rPr>
              <w:t>37</w:t>
            </w:r>
            <w:r>
              <w:rPr>
                <w:b/>
                <w:bCs/>
                <w:color w:val="000000"/>
                <w:kern w:val="0"/>
                <w:sz w:val="18"/>
                <w:szCs w:val="18"/>
              </w:rPr>
              <w:t>%</w:t>
            </w:r>
          </w:p>
        </w:tc>
        <w:tc>
          <w:tcPr>
            <w:tcW w:w="989" w:type="dxa"/>
            <w:tcMar>
              <w:top w:w="0" w:type="dxa"/>
              <w:bottom w:w="0" w:type="dxa"/>
            </w:tcMar>
            <w:vAlign w:val="center"/>
          </w:tcPr>
          <w:p w14:paraId="628D914E" w14:textId="77777777" w:rsidR="004B0883" w:rsidRDefault="004B0883">
            <w:pPr>
              <w:adjustRightInd w:val="0"/>
              <w:snapToGrid w:val="0"/>
              <w:jc w:val="right"/>
              <w:rPr>
                <w:b/>
                <w:color w:val="000000"/>
                <w:kern w:val="0"/>
                <w:sz w:val="18"/>
                <w:szCs w:val="18"/>
              </w:rPr>
            </w:pPr>
            <w:r>
              <w:rPr>
                <w:rFonts w:eastAsia="等线"/>
                <w:b/>
                <w:color w:val="000000"/>
                <w:sz w:val="18"/>
                <w:szCs w:val="18"/>
              </w:rPr>
              <w:t>23,886.39</w:t>
            </w:r>
          </w:p>
        </w:tc>
        <w:tc>
          <w:tcPr>
            <w:tcW w:w="988" w:type="dxa"/>
            <w:tcMar>
              <w:top w:w="0" w:type="dxa"/>
              <w:bottom w:w="0" w:type="dxa"/>
            </w:tcMar>
            <w:vAlign w:val="center"/>
          </w:tcPr>
          <w:p w14:paraId="6C0C52AC" w14:textId="77777777" w:rsidR="004B0883" w:rsidRDefault="004B0883">
            <w:pPr>
              <w:widowControl w:val="0"/>
              <w:adjustRightInd w:val="0"/>
              <w:snapToGrid w:val="0"/>
              <w:jc w:val="right"/>
              <w:rPr>
                <w:b/>
                <w:color w:val="000000"/>
                <w:sz w:val="18"/>
                <w:szCs w:val="18"/>
              </w:rPr>
            </w:pPr>
            <w:r>
              <w:rPr>
                <w:b/>
                <w:color w:val="000000"/>
                <w:sz w:val="18"/>
                <w:szCs w:val="18"/>
              </w:rPr>
              <w:t>24.03</w:t>
            </w:r>
            <w:r>
              <w:rPr>
                <w:rFonts w:hint="eastAsia"/>
                <w:b/>
                <w:color w:val="000000"/>
                <w:sz w:val="18"/>
                <w:szCs w:val="18"/>
              </w:rPr>
              <w:t>%</w:t>
            </w:r>
          </w:p>
        </w:tc>
        <w:tc>
          <w:tcPr>
            <w:tcW w:w="988" w:type="dxa"/>
            <w:tcMar>
              <w:top w:w="0" w:type="dxa"/>
              <w:bottom w:w="0" w:type="dxa"/>
            </w:tcMar>
            <w:vAlign w:val="center"/>
          </w:tcPr>
          <w:p w14:paraId="2FCC7B8F" w14:textId="77777777" w:rsidR="004B0883" w:rsidRDefault="004B0883">
            <w:pPr>
              <w:adjustRightInd w:val="0"/>
              <w:snapToGrid w:val="0"/>
              <w:jc w:val="right"/>
              <w:rPr>
                <w:b/>
                <w:color w:val="000000"/>
                <w:kern w:val="0"/>
                <w:sz w:val="18"/>
                <w:szCs w:val="18"/>
              </w:rPr>
            </w:pPr>
            <w:r>
              <w:rPr>
                <w:rFonts w:eastAsia="仿宋_GB2312"/>
                <w:b/>
                <w:color w:val="000000"/>
                <w:kern w:val="0"/>
                <w:sz w:val="18"/>
                <w:szCs w:val="18"/>
              </w:rPr>
              <w:t>25,021.29</w:t>
            </w:r>
          </w:p>
        </w:tc>
        <w:tc>
          <w:tcPr>
            <w:tcW w:w="989" w:type="dxa"/>
            <w:tcMar>
              <w:top w:w="0" w:type="dxa"/>
              <w:bottom w:w="0" w:type="dxa"/>
            </w:tcMar>
            <w:vAlign w:val="center"/>
          </w:tcPr>
          <w:p w14:paraId="52ACE627" w14:textId="77777777" w:rsidR="004B0883" w:rsidRDefault="004B0883">
            <w:pPr>
              <w:widowControl w:val="0"/>
              <w:adjustRightInd w:val="0"/>
              <w:snapToGrid w:val="0"/>
              <w:jc w:val="right"/>
              <w:rPr>
                <w:b/>
                <w:color w:val="000000"/>
                <w:sz w:val="18"/>
                <w:szCs w:val="18"/>
              </w:rPr>
            </w:pPr>
            <w:r>
              <w:rPr>
                <w:b/>
                <w:color w:val="000000"/>
                <w:sz w:val="18"/>
                <w:szCs w:val="18"/>
              </w:rPr>
              <w:t>28.12%</w:t>
            </w:r>
          </w:p>
        </w:tc>
        <w:tc>
          <w:tcPr>
            <w:tcW w:w="988" w:type="dxa"/>
            <w:tcMar>
              <w:top w:w="0" w:type="dxa"/>
              <w:bottom w:w="0" w:type="dxa"/>
            </w:tcMar>
            <w:vAlign w:val="center"/>
          </w:tcPr>
          <w:p w14:paraId="4E0651C4" w14:textId="77777777" w:rsidR="004B0883" w:rsidRDefault="004B0883">
            <w:pPr>
              <w:adjustRightInd w:val="0"/>
              <w:snapToGrid w:val="0"/>
              <w:jc w:val="right"/>
              <w:rPr>
                <w:b/>
                <w:color w:val="000000"/>
                <w:kern w:val="0"/>
                <w:sz w:val="18"/>
                <w:szCs w:val="18"/>
              </w:rPr>
            </w:pPr>
            <w:r>
              <w:rPr>
                <w:rFonts w:eastAsia="仿宋_GB2312"/>
                <w:b/>
                <w:color w:val="000000"/>
                <w:kern w:val="0"/>
                <w:sz w:val="18"/>
                <w:szCs w:val="18"/>
              </w:rPr>
              <w:t>24,566.91</w:t>
            </w:r>
          </w:p>
        </w:tc>
        <w:tc>
          <w:tcPr>
            <w:tcW w:w="989" w:type="dxa"/>
            <w:tcMar>
              <w:top w:w="0" w:type="dxa"/>
              <w:bottom w:w="0" w:type="dxa"/>
            </w:tcMar>
            <w:vAlign w:val="center"/>
          </w:tcPr>
          <w:p w14:paraId="637B9FBF" w14:textId="77777777" w:rsidR="004B0883" w:rsidRDefault="004B0883">
            <w:pPr>
              <w:widowControl w:val="0"/>
              <w:adjustRightInd w:val="0"/>
              <w:snapToGrid w:val="0"/>
              <w:jc w:val="right"/>
              <w:rPr>
                <w:b/>
                <w:color w:val="000000"/>
                <w:sz w:val="18"/>
                <w:szCs w:val="18"/>
              </w:rPr>
            </w:pPr>
            <w:r>
              <w:rPr>
                <w:b/>
                <w:color w:val="000000"/>
                <w:sz w:val="18"/>
                <w:szCs w:val="18"/>
              </w:rPr>
              <w:t>28.25%</w:t>
            </w:r>
          </w:p>
        </w:tc>
      </w:tr>
    </w:tbl>
    <w:p w14:paraId="259A4BB2"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报告期各期末，公司固定资产账面价值分别为</w:t>
      </w:r>
      <w:r>
        <w:rPr>
          <w:rFonts w:hint="eastAsia"/>
          <w:sz w:val="24"/>
          <w:szCs w:val="22"/>
        </w:rPr>
        <w:t>24,566.91</w:t>
      </w:r>
      <w:r>
        <w:rPr>
          <w:rFonts w:hint="eastAsia"/>
          <w:sz w:val="24"/>
          <w:szCs w:val="22"/>
        </w:rPr>
        <w:t>万元、</w:t>
      </w:r>
      <w:r>
        <w:rPr>
          <w:rFonts w:hint="eastAsia"/>
          <w:sz w:val="24"/>
          <w:szCs w:val="22"/>
        </w:rPr>
        <w:t>25,021.29</w:t>
      </w:r>
      <w:r>
        <w:rPr>
          <w:rFonts w:hint="eastAsia"/>
          <w:sz w:val="24"/>
          <w:szCs w:val="22"/>
        </w:rPr>
        <w:t>万元、</w:t>
      </w:r>
      <w:r>
        <w:rPr>
          <w:rFonts w:hint="eastAsia"/>
          <w:sz w:val="24"/>
          <w:szCs w:val="22"/>
        </w:rPr>
        <w:t>23,886.39</w:t>
      </w:r>
      <w:r>
        <w:rPr>
          <w:rFonts w:hint="eastAsia"/>
          <w:sz w:val="24"/>
          <w:szCs w:val="22"/>
        </w:rPr>
        <w:t>万元和</w:t>
      </w:r>
      <w:r>
        <w:rPr>
          <w:sz w:val="24"/>
          <w:szCs w:val="22"/>
        </w:rPr>
        <w:t>22,530.65</w:t>
      </w:r>
      <w:r>
        <w:rPr>
          <w:rFonts w:hint="eastAsia"/>
          <w:sz w:val="24"/>
          <w:szCs w:val="22"/>
        </w:rPr>
        <w:t>万元，占总资产的比例分别为</w:t>
      </w:r>
      <w:r>
        <w:rPr>
          <w:sz w:val="24"/>
          <w:szCs w:val="22"/>
        </w:rPr>
        <w:t>28.25%</w:t>
      </w:r>
      <w:r>
        <w:rPr>
          <w:rFonts w:hint="eastAsia"/>
          <w:sz w:val="24"/>
          <w:szCs w:val="22"/>
        </w:rPr>
        <w:t>、</w:t>
      </w:r>
      <w:r>
        <w:rPr>
          <w:sz w:val="24"/>
          <w:szCs w:val="22"/>
        </w:rPr>
        <w:t>28.12%</w:t>
      </w:r>
      <w:r>
        <w:rPr>
          <w:rFonts w:hint="eastAsia"/>
          <w:sz w:val="24"/>
          <w:szCs w:val="22"/>
        </w:rPr>
        <w:t>、</w:t>
      </w:r>
      <w:r>
        <w:rPr>
          <w:sz w:val="24"/>
          <w:szCs w:val="22"/>
        </w:rPr>
        <w:t>24.03%</w:t>
      </w:r>
      <w:r>
        <w:rPr>
          <w:rFonts w:hint="eastAsia"/>
          <w:sz w:val="24"/>
          <w:szCs w:val="22"/>
        </w:rPr>
        <w:t>和</w:t>
      </w:r>
      <w:r>
        <w:rPr>
          <w:sz w:val="24"/>
          <w:szCs w:val="22"/>
        </w:rPr>
        <w:t>22.</w:t>
      </w:r>
      <w:r>
        <w:rPr>
          <w:rFonts w:hint="eastAsia"/>
          <w:sz w:val="24"/>
          <w:szCs w:val="22"/>
        </w:rPr>
        <w:t>37</w:t>
      </w:r>
      <w:r>
        <w:rPr>
          <w:sz w:val="24"/>
          <w:szCs w:val="22"/>
        </w:rPr>
        <w:t>%</w:t>
      </w:r>
      <w:r>
        <w:rPr>
          <w:rFonts w:hint="eastAsia"/>
          <w:sz w:val="24"/>
          <w:szCs w:val="22"/>
        </w:rPr>
        <w:t>。公司固定资产主要以机器设备、房屋及建筑物为主。公司所处阀门行业为技术密集型和资本密集型行业，公司固定资产占总资产的比例较高符合行业特点。</w:t>
      </w:r>
    </w:p>
    <w:p w14:paraId="2B56C0C9"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报告期各期末，公司固定资产规模保持总体稳定，</w:t>
      </w:r>
      <w:r>
        <w:rPr>
          <w:rFonts w:hint="eastAsia"/>
          <w:sz w:val="24"/>
          <w:szCs w:val="22"/>
        </w:rPr>
        <w:t>2</w:t>
      </w:r>
      <w:r>
        <w:rPr>
          <w:sz w:val="24"/>
          <w:szCs w:val="22"/>
        </w:rPr>
        <w:t>021</w:t>
      </w:r>
      <w:r>
        <w:rPr>
          <w:rFonts w:hint="eastAsia"/>
          <w:sz w:val="24"/>
          <w:szCs w:val="22"/>
        </w:rPr>
        <w:t>年小幅增长主要系公司加大固定资产投资所致。</w:t>
      </w:r>
    </w:p>
    <w:p w14:paraId="3A2E9FAF" w14:textId="77777777" w:rsidR="004B0883" w:rsidRDefault="004B0883">
      <w:pPr>
        <w:spacing w:beforeLines="50" w:before="120" w:line="360" w:lineRule="auto"/>
        <w:ind w:firstLineChars="200" w:firstLine="480"/>
        <w:rPr>
          <w:bCs/>
          <w:sz w:val="24"/>
          <w:szCs w:val="24"/>
        </w:rPr>
      </w:pPr>
      <w:bookmarkStart w:id="320" w:name="_Hlk124616310"/>
      <w:r>
        <w:rPr>
          <w:bCs/>
          <w:sz w:val="24"/>
          <w:szCs w:val="24"/>
        </w:rPr>
        <w:t>报告期</w:t>
      </w:r>
      <w:r>
        <w:rPr>
          <w:rFonts w:hint="eastAsia"/>
          <w:bCs/>
          <w:sz w:val="24"/>
          <w:szCs w:val="24"/>
        </w:rPr>
        <w:t>内</w:t>
      </w:r>
      <w:r>
        <w:rPr>
          <w:bCs/>
          <w:sz w:val="24"/>
          <w:szCs w:val="24"/>
        </w:rPr>
        <w:t>，公司主要固定资产折旧年限与</w:t>
      </w:r>
      <w:r>
        <w:rPr>
          <w:rFonts w:hint="eastAsia"/>
          <w:bCs/>
          <w:sz w:val="24"/>
          <w:szCs w:val="24"/>
        </w:rPr>
        <w:t>同行业</w:t>
      </w:r>
      <w:r>
        <w:rPr>
          <w:bCs/>
          <w:sz w:val="24"/>
          <w:szCs w:val="24"/>
        </w:rPr>
        <w:t>可比上市公司对比如下：</w:t>
      </w:r>
    </w:p>
    <w:p w14:paraId="29B0CD0D" w14:textId="77777777" w:rsidR="004B0883" w:rsidRDefault="004B0883">
      <w:pPr>
        <w:ind w:firstLineChars="200" w:firstLine="420"/>
        <w:jc w:val="right"/>
        <w:rPr>
          <w:bCs/>
        </w:rPr>
      </w:pPr>
      <w:r>
        <w:rPr>
          <w:bCs/>
        </w:rPr>
        <w:t>单位：年</w:t>
      </w:r>
    </w:p>
    <w:tbl>
      <w:tblPr>
        <w:tblW w:w="5000" w:type="pct"/>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shd w:val="solid" w:color="FFFFFF" w:fill="FFFFFF"/>
        <w:tblLook w:val="0000" w:firstRow="0" w:lastRow="0" w:firstColumn="0" w:lastColumn="0" w:noHBand="0" w:noVBand="0"/>
      </w:tblPr>
      <w:tblGrid>
        <w:gridCol w:w="1998"/>
        <w:gridCol w:w="1257"/>
        <w:gridCol w:w="1257"/>
        <w:gridCol w:w="1257"/>
        <w:gridCol w:w="1257"/>
        <w:gridCol w:w="1254"/>
      </w:tblGrid>
      <w:tr w:rsidR="004B0883" w14:paraId="5FF50AB6" w14:textId="77777777">
        <w:trPr>
          <w:cantSplit/>
          <w:trHeight w:val="397"/>
          <w:tblHeader/>
        </w:trPr>
        <w:tc>
          <w:tcPr>
            <w:tcW w:w="1207" w:type="pct"/>
            <w:tcBorders>
              <w:top w:val="single" w:sz="12" w:space="0" w:color="000000"/>
              <w:bottom w:val="single" w:sz="4" w:space="0" w:color="000000"/>
            </w:tcBorders>
            <w:shd w:val="clear" w:color="auto" w:fill="D9D9D9"/>
            <w:vAlign w:val="center"/>
          </w:tcPr>
          <w:p w14:paraId="7EB72258" w14:textId="77777777" w:rsidR="004B0883" w:rsidRDefault="004B0883">
            <w:pPr>
              <w:jc w:val="center"/>
              <w:rPr>
                <w:b/>
                <w:color w:val="000000"/>
              </w:rPr>
            </w:pPr>
            <w:r>
              <w:rPr>
                <w:b/>
                <w:color w:val="000000"/>
              </w:rPr>
              <w:t>类别</w:t>
            </w:r>
          </w:p>
        </w:tc>
        <w:tc>
          <w:tcPr>
            <w:tcW w:w="759" w:type="pct"/>
            <w:tcBorders>
              <w:top w:val="single" w:sz="12" w:space="0" w:color="000000"/>
              <w:bottom w:val="single" w:sz="4" w:space="0" w:color="000000"/>
            </w:tcBorders>
            <w:shd w:val="clear" w:color="auto" w:fill="D9D9D9"/>
            <w:vAlign w:val="center"/>
          </w:tcPr>
          <w:p w14:paraId="52AD73C4" w14:textId="77777777" w:rsidR="004B0883" w:rsidRDefault="004B0883">
            <w:pPr>
              <w:jc w:val="center"/>
              <w:rPr>
                <w:b/>
                <w:bCs/>
                <w:color w:val="000000"/>
              </w:rPr>
            </w:pPr>
            <w:r>
              <w:rPr>
                <w:b/>
                <w:bCs/>
                <w:color w:val="000000"/>
              </w:rPr>
              <w:t>江苏神通</w:t>
            </w:r>
          </w:p>
        </w:tc>
        <w:tc>
          <w:tcPr>
            <w:tcW w:w="759" w:type="pct"/>
            <w:tcBorders>
              <w:top w:val="single" w:sz="12" w:space="0" w:color="000000"/>
              <w:bottom w:val="single" w:sz="4" w:space="0" w:color="000000"/>
            </w:tcBorders>
            <w:shd w:val="clear" w:color="auto" w:fill="D9D9D9"/>
            <w:vAlign w:val="center"/>
          </w:tcPr>
          <w:p w14:paraId="633F1253" w14:textId="77777777" w:rsidR="004B0883" w:rsidRDefault="004B0883">
            <w:pPr>
              <w:jc w:val="center"/>
              <w:rPr>
                <w:b/>
                <w:bCs/>
                <w:color w:val="000000"/>
              </w:rPr>
            </w:pPr>
            <w:r>
              <w:rPr>
                <w:b/>
                <w:bCs/>
                <w:color w:val="000000"/>
              </w:rPr>
              <w:t>冠龙节能</w:t>
            </w:r>
          </w:p>
        </w:tc>
        <w:tc>
          <w:tcPr>
            <w:tcW w:w="759" w:type="pct"/>
            <w:tcBorders>
              <w:top w:val="single" w:sz="12" w:space="0" w:color="000000"/>
              <w:bottom w:val="single" w:sz="4" w:space="0" w:color="000000"/>
            </w:tcBorders>
            <w:shd w:val="clear" w:color="auto" w:fill="D9D9D9"/>
            <w:vAlign w:val="center"/>
          </w:tcPr>
          <w:p w14:paraId="05AED81E" w14:textId="77777777" w:rsidR="004B0883" w:rsidRDefault="004B0883">
            <w:pPr>
              <w:jc w:val="center"/>
              <w:rPr>
                <w:b/>
                <w:bCs/>
                <w:color w:val="000000"/>
              </w:rPr>
            </w:pPr>
            <w:r>
              <w:rPr>
                <w:b/>
                <w:bCs/>
                <w:color w:val="000000"/>
              </w:rPr>
              <w:t>纽威股份</w:t>
            </w:r>
          </w:p>
        </w:tc>
        <w:tc>
          <w:tcPr>
            <w:tcW w:w="759" w:type="pct"/>
            <w:tcBorders>
              <w:top w:val="single" w:sz="12" w:space="0" w:color="000000"/>
              <w:bottom w:val="single" w:sz="4" w:space="0" w:color="000000"/>
            </w:tcBorders>
            <w:shd w:val="clear" w:color="auto" w:fill="D9D9D9"/>
            <w:vAlign w:val="center"/>
          </w:tcPr>
          <w:p w14:paraId="1FA5A1D6" w14:textId="77777777" w:rsidR="004B0883" w:rsidRDefault="004B0883">
            <w:pPr>
              <w:jc w:val="center"/>
              <w:rPr>
                <w:b/>
                <w:bCs/>
                <w:color w:val="000000"/>
              </w:rPr>
            </w:pPr>
            <w:r>
              <w:rPr>
                <w:b/>
                <w:bCs/>
                <w:color w:val="000000"/>
              </w:rPr>
              <w:t>中核科技</w:t>
            </w:r>
          </w:p>
        </w:tc>
        <w:tc>
          <w:tcPr>
            <w:tcW w:w="759" w:type="pct"/>
            <w:tcBorders>
              <w:top w:val="single" w:sz="12" w:space="0" w:color="000000"/>
              <w:bottom w:val="single" w:sz="4" w:space="0" w:color="000000"/>
            </w:tcBorders>
            <w:shd w:val="clear" w:color="auto" w:fill="D9D9D9"/>
            <w:vAlign w:val="center"/>
          </w:tcPr>
          <w:p w14:paraId="303E454B" w14:textId="77777777" w:rsidR="004B0883" w:rsidRDefault="004B0883">
            <w:pPr>
              <w:jc w:val="center"/>
              <w:rPr>
                <w:b/>
                <w:color w:val="000000"/>
              </w:rPr>
            </w:pPr>
            <w:r>
              <w:rPr>
                <w:rFonts w:hint="eastAsia"/>
                <w:b/>
                <w:color w:val="000000"/>
              </w:rPr>
              <w:t>伟隆股份</w:t>
            </w:r>
          </w:p>
        </w:tc>
      </w:tr>
      <w:tr w:rsidR="004B0883" w14:paraId="016A775C" w14:textId="77777777">
        <w:trPr>
          <w:cantSplit/>
          <w:trHeight w:val="397"/>
        </w:trPr>
        <w:tc>
          <w:tcPr>
            <w:tcW w:w="1207" w:type="pct"/>
            <w:tcBorders>
              <w:top w:val="single" w:sz="4" w:space="0" w:color="000000"/>
            </w:tcBorders>
            <w:shd w:val="solid" w:color="FFFFFF" w:fill="FFFFFF"/>
            <w:vAlign w:val="center"/>
          </w:tcPr>
          <w:p w14:paraId="56A8D85C" w14:textId="77777777" w:rsidR="004B0883" w:rsidRDefault="004B0883">
            <w:pPr>
              <w:rPr>
                <w:color w:val="000000"/>
              </w:rPr>
            </w:pPr>
            <w:r>
              <w:rPr>
                <w:color w:val="000000"/>
              </w:rPr>
              <w:t>房屋及建筑物</w:t>
            </w:r>
          </w:p>
        </w:tc>
        <w:tc>
          <w:tcPr>
            <w:tcW w:w="759" w:type="pct"/>
            <w:tcBorders>
              <w:top w:val="single" w:sz="4" w:space="0" w:color="000000"/>
            </w:tcBorders>
            <w:shd w:val="solid" w:color="FFFFFF" w:fill="FFFFFF"/>
            <w:vAlign w:val="center"/>
          </w:tcPr>
          <w:p w14:paraId="26811F02" w14:textId="77777777" w:rsidR="004B0883" w:rsidRDefault="004B0883">
            <w:pPr>
              <w:jc w:val="right"/>
              <w:rPr>
                <w:color w:val="000000"/>
              </w:rPr>
            </w:pPr>
            <w:r>
              <w:rPr>
                <w:rFonts w:hint="eastAsia"/>
                <w:color w:val="000000"/>
              </w:rPr>
              <w:t>2</w:t>
            </w:r>
            <w:r>
              <w:rPr>
                <w:color w:val="000000"/>
              </w:rPr>
              <w:t>0</w:t>
            </w:r>
            <w:r>
              <w:rPr>
                <w:rFonts w:hint="eastAsia"/>
                <w:color w:val="000000"/>
              </w:rPr>
              <w:t>-</w:t>
            </w:r>
            <w:r>
              <w:rPr>
                <w:color w:val="000000"/>
              </w:rPr>
              <w:t>40</w:t>
            </w:r>
          </w:p>
        </w:tc>
        <w:tc>
          <w:tcPr>
            <w:tcW w:w="759" w:type="pct"/>
            <w:tcBorders>
              <w:top w:val="single" w:sz="4" w:space="0" w:color="000000"/>
            </w:tcBorders>
            <w:shd w:val="solid" w:color="FFFFFF" w:fill="FFFFFF"/>
            <w:vAlign w:val="center"/>
          </w:tcPr>
          <w:p w14:paraId="428F648C" w14:textId="77777777" w:rsidR="004B0883" w:rsidRDefault="004B0883">
            <w:pPr>
              <w:jc w:val="right"/>
              <w:rPr>
                <w:color w:val="000000"/>
              </w:rPr>
            </w:pPr>
            <w:r>
              <w:rPr>
                <w:rFonts w:hint="eastAsia"/>
                <w:color w:val="000000"/>
              </w:rPr>
              <w:t>2</w:t>
            </w:r>
            <w:r>
              <w:rPr>
                <w:color w:val="000000"/>
              </w:rPr>
              <w:t>0</w:t>
            </w:r>
            <w:r>
              <w:rPr>
                <w:rFonts w:hint="eastAsia"/>
                <w:color w:val="000000"/>
              </w:rPr>
              <w:t>-</w:t>
            </w:r>
            <w:r>
              <w:rPr>
                <w:color w:val="000000"/>
              </w:rPr>
              <w:t>30</w:t>
            </w:r>
          </w:p>
        </w:tc>
        <w:tc>
          <w:tcPr>
            <w:tcW w:w="759" w:type="pct"/>
            <w:tcBorders>
              <w:top w:val="single" w:sz="4" w:space="0" w:color="000000"/>
            </w:tcBorders>
            <w:shd w:val="solid" w:color="FFFFFF" w:fill="FFFFFF"/>
            <w:vAlign w:val="center"/>
          </w:tcPr>
          <w:p w14:paraId="12111A04" w14:textId="77777777" w:rsidR="004B0883" w:rsidRDefault="004B0883">
            <w:pPr>
              <w:jc w:val="right"/>
              <w:rPr>
                <w:color w:val="000000"/>
              </w:rPr>
            </w:pPr>
            <w:r>
              <w:rPr>
                <w:rFonts w:hint="eastAsia"/>
                <w:color w:val="000000"/>
              </w:rPr>
              <w:t>2</w:t>
            </w:r>
            <w:r>
              <w:rPr>
                <w:color w:val="000000"/>
              </w:rPr>
              <w:t>0</w:t>
            </w:r>
            <w:r>
              <w:rPr>
                <w:rFonts w:hint="eastAsia"/>
                <w:color w:val="000000"/>
              </w:rPr>
              <w:t>、</w:t>
            </w:r>
            <w:r>
              <w:rPr>
                <w:rFonts w:hint="eastAsia"/>
                <w:color w:val="000000"/>
              </w:rPr>
              <w:t>3</w:t>
            </w:r>
            <w:r>
              <w:rPr>
                <w:color w:val="000000"/>
              </w:rPr>
              <w:t>9</w:t>
            </w:r>
          </w:p>
        </w:tc>
        <w:tc>
          <w:tcPr>
            <w:tcW w:w="759" w:type="pct"/>
            <w:tcBorders>
              <w:top w:val="single" w:sz="4" w:space="0" w:color="000000"/>
            </w:tcBorders>
            <w:shd w:val="solid" w:color="FFFFFF" w:fill="FFFFFF"/>
            <w:vAlign w:val="center"/>
          </w:tcPr>
          <w:p w14:paraId="351FC60C" w14:textId="77777777" w:rsidR="004B0883" w:rsidRDefault="004B0883">
            <w:pPr>
              <w:jc w:val="right"/>
              <w:rPr>
                <w:color w:val="000000"/>
              </w:rPr>
            </w:pPr>
            <w:r>
              <w:rPr>
                <w:rFonts w:hint="eastAsia"/>
                <w:color w:val="000000"/>
              </w:rPr>
              <w:t>1</w:t>
            </w:r>
            <w:r>
              <w:rPr>
                <w:color w:val="000000"/>
              </w:rPr>
              <w:t>0</w:t>
            </w:r>
            <w:r>
              <w:rPr>
                <w:rFonts w:hint="eastAsia"/>
                <w:color w:val="000000"/>
              </w:rPr>
              <w:t>-</w:t>
            </w:r>
            <w:r>
              <w:rPr>
                <w:color w:val="000000"/>
              </w:rPr>
              <w:t>30</w:t>
            </w:r>
          </w:p>
        </w:tc>
        <w:tc>
          <w:tcPr>
            <w:tcW w:w="759" w:type="pct"/>
            <w:tcBorders>
              <w:top w:val="single" w:sz="4" w:space="0" w:color="000000"/>
            </w:tcBorders>
            <w:shd w:val="solid" w:color="FFFFFF" w:fill="FFFFFF"/>
            <w:vAlign w:val="center"/>
          </w:tcPr>
          <w:p w14:paraId="1EFD95D9" w14:textId="77777777" w:rsidR="004B0883" w:rsidRDefault="004B0883">
            <w:pPr>
              <w:jc w:val="right"/>
              <w:rPr>
                <w:color w:val="000000"/>
              </w:rPr>
            </w:pPr>
            <w:r>
              <w:rPr>
                <w:rFonts w:hint="eastAsia"/>
                <w:color w:val="000000"/>
              </w:rPr>
              <w:t>2</w:t>
            </w:r>
            <w:r>
              <w:rPr>
                <w:color w:val="000000"/>
              </w:rPr>
              <w:t>0</w:t>
            </w:r>
          </w:p>
        </w:tc>
      </w:tr>
      <w:tr w:rsidR="004B0883" w14:paraId="049522A9" w14:textId="77777777">
        <w:trPr>
          <w:cantSplit/>
          <w:trHeight w:val="397"/>
        </w:trPr>
        <w:tc>
          <w:tcPr>
            <w:tcW w:w="1207" w:type="pct"/>
            <w:shd w:val="solid" w:color="FFFFFF" w:fill="FFFFFF"/>
            <w:vAlign w:val="center"/>
          </w:tcPr>
          <w:p w14:paraId="6C71A982" w14:textId="77777777" w:rsidR="004B0883" w:rsidRDefault="004B0883">
            <w:pPr>
              <w:rPr>
                <w:color w:val="000000"/>
              </w:rPr>
            </w:pPr>
            <w:r>
              <w:rPr>
                <w:color w:val="000000"/>
              </w:rPr>
              <w:t>机器设备</w:t>
            </w:r>
          </w:p>
        </w:tc>
        <w:tc>
          <w:tcPr>
            <w:tcW w:w="759" w:type="pct"/>
            <w:shd w:val="solid" w:color="FFFFFF" w:fill="FFFFFF"/>
            <w:vAlign w:val="center"/>
          </w:tcPr>
          <w:p w14:paraId="5F80DD0F" w14:textId="77777777" w:rsidR="004B0883" w:rsidRDefault="004B0883">
            <w:pPr>
              <w:jc w:val="right"/>
              <w:rPr>
                <w:color w:val="000000"/>
              </w:rPr>
            </w:pPr>
            <w:r>
              <w:rPr>
                <w:rFonts w:hint="eastAsia"/>
                <w:color w:val="000000"/>
              </w:rPr>
              <w:t>5-</w:t>
            </w:r>
            <w:r>
              <w:rPr>
                <w:color w:val="000000"/>
              </w:rPr>
              <w:t>10</w:t>
            </w:r>
          </w:p>
        </w:tc>
        <w:tc>
          <w:tcPr>
            <w:tcW w:w="759" w:type="pct"/>
            <w:shd w:val="solid" w:color="FFFFFF" w:fill="FFFFFF"/>
            <w:vAlign w:val="center"/>
          </w:tcPr>
          <w:p w14:paraId="6DAD5EFD" w14:textId="77777777" w:rsidR="004B0883" w:rsidRDefault="004B0883">
            <w:pPr>
              <w:jc w:val="right"/>
              <w:rPr>
                <w:color w:val="000000"/>
              </w:rPr>
            </w:pPr>
            <w:r>
              <w:rPr>
                <w:rFonts w:hint="eastAsia"/>
                <w:color w:val="000000"/>
              </w:rPr>
              <w:t>5-</w:t>
            </w:r>
            <w:r>
              <w:rPr>
                <w:color w:val="000000"/>
              </w:rPr>
              <w:t>10</w:t>
            </w:r>
          </w:p>
        </w:tc>
        <w:tc>
          <w:tcPr>
            <w:tcW w:w="759" w:type="pct"/>
            <w:shd w:val="solid" w:color="FFFFFF" w:fill="FFFFFF"/>
            <w:vAlign w:val="center"/>
          </w:tcPr>
          <w:p w14:paraId="2F22083F" w14:textId="77777777" w:rsidR="004B0883" w:rsidRDefault="004B0883">
            <w:pPr>
              <w:jc w:val="right"/>
              <w:rPr>
                <w:color w:val="000000"/>
              </w:rPr>
            </w:pPr>
            <w:r>
              <w:rPr>
                <w:rFonts w:hint="eastAsia"/>
                <w:color w:val="000000"/>
              </w:rPr>
              <w:t>1</w:t>
            </w:r>
            <w:r>
              <w:rPr>
                <w:color w:val="000000"/>
              </w:rPr>
              <w:t>0</w:t>
            </w:r>
          </w:p>
        </w:tc>
        <w:tc>
          <w:tcPr>
            <w:tcW w:w="759" w:type="pct"/>
            <w:shd w:val="solid" w:color="FFFFFF" w:fill="FFFFFF"/>
            <w:vAlign w:val="center"/>
          </w:tcPr>
          <w:p w14:paraId="47A327F0" w14:textId="77777777" w:rsidR="004B0883" w:rsidRDefault="004B0883">
            <w:pPr>
              <w:jc w:val="right"/>
              <w:rPr>
                <w:color w:val="000000"/>
              </w:rPr>
            </w:pPr>
            <w:r>
              <w:rPr>
                <w:rFonts w:hint="eastAsia"/>
                <w:color w:val="000000"/>
              </w:rPr>
              <w:t>5-</w:t>
            </w:r>
            <w:r>
              <w:rPr>
                <w:color w:val="000000"/>
              </w:rPr>
              <w:t>15</w:t>
            </w:r>
          </w:p>
        </w:tc>
        <w:tc>
          <w:tcPr>
            <w:tcW w:w="759" w:type="pct"/>
            <w:shd w:val="solid" w:color="FFFFFF" w:fill="FFFFFF"/>
            <w:vAlign w:val="center"/>
          </w:tcPr>
          <w:p w14:paraId="593FEDDD" w14:textId="77777777" w:rsidR="004B0883" w:rsidRDefault="004B0883">
            <w:pPr>
              <w:jc w:val="right"/>
              <w:rPr>
                <w:color w:val="000000"/>
              </w:rPr>
            </w:pPr>
            <w:r>
              <w:rPr>
                <w:rFonts w:hint="eastAsia"/>
                <w:color w:val="000000"/>
              </w:rPr>
              <w:t>5-15</w:t>
            </w:r>
          </w:p>
        </w:tc>
      </w:tr>
      <w:tr w:rsidR="004B0883" w14:paraId="06C7850A" w14:textId="77777777">
        <w:trPr>
          <w:cantSplit/>
          <w:trHeight w:val="397"/>
        </w:trPr>
        <w:tc>
          <w:tcPr>
            <w:tcW w:w="1207" w:type="pct"/>
            <w:shd w:val="solid" w:color="FFFFFF" w:fill="FFFFFF"/>
            <w:vAlign w:val="center"/>
          </w:tcPr>
          <w:p w14:paraId="685F6C08" w14:textId="77777777" w:rsidR="004B0883" w:rsidRDefault="004B0883">
            <w:pPr>
              <w:rPr>
                <w:color w:val="000000"/>
              </w:rPr>
            </w:pPr>
            <w:r>
              <w:rPr>
                <w:rFonts w:hint="eastAsia"/>
                <w:color w:val="000000"/>
              </w:rPr>
              <w:t>运输工具</w:t>
            </w:r>
          </w:p>
        </w:tc>
        <w:tc>
          <w:tcPr>
            <w:tcW w:w="759" w:type="pct"/>
            <w:shd w:val="solid" w:color="FFFFFF" w:fill="FFFFFF"/>
            <w:vAlign w:val="center"/>
          </w:tcPr>
          <w:p w14:paraId="2FC0696A" w14:textId="77777777" w:rsidR="004B0883" w:rsidRDefault="004B0883">
            <w:pPr>
              <w:jc w:val="right"/>
              <w:rPr>
                <w:color w:val="000000"/>
              </w:rPr>
            </w:pPr>
            <w:r>
              <w:rPr>
                <w:rFonts w:hint="eastAsia"/>
                <w:color w:val="000000"/>
              </w:rPr>
              <w:t>5-</w:t>
            </w:r>
            <w:r>
              <w:rPr>
                <w:color w:val="000000"/>
              </w:rPr>
              <w:t>10</w:t>
            </w:r>
          </w:p>
        </w:tc>
        <w:tc>
          <w:tcPr>
            <w:tcW w:w="759" w:type="pct"/>
            <w:shd w:val="solid" w:color="FFFFFF" w:fill="FFFFFF"/>
            <w:vAlign w:val="center"/>
          </w:tcPr>
          <w:p w14:paraId="0398E0AD" w14:textId="77777777" w:rsidR="004B0883" w:rsidRDefault="004B0883">
            <w:pPr>
              <w:jc w:val="right"/>
              <w:rPr>
                <w:color w:val="000000"/>
              </w:rPr>
            </w:pPr>
            <w:r>
              <w:rPr>
                <w:rFonts w:hint="eastAsia"/>
                <w:color w:val="000000"/>
              </w:rPr>
              <w:t>5-</w:t>
            </w:r>
            <w:r>
              <w:rPr>
                <w:color w:val="000000"/>
              </w:rPr>
              <w:t>10</w:t>
            </w:r>
          </w:p>
        </w:tc>
        <w:tc>
          <w:tcPr>
            <w:tcW w:w="759" w:type="pct"/>
            <w:shd w:val="solid" w:color="FFFFFF" w:fill="FFFFFF"/>
            <w:vAlign w:val="center"/>
          </w:tcPr>
          <w:p w14:paraId="1AF0062C" w14:textId="77777777" w:rsidR="004B0883" w:rsidRDefault="004B0883">
            <w:pPr>
              <w:jc w:val="right"/>
              <w:rPr>
                <w:color w:val="000000"/>
              </w:rPr>
            </w:pPr>
            <w:r>
              <w:rPr>
                <w:rFonts w:hint="eastAsia"/>
                <w:color w:val="000000"/>
              </w:rPr>
              <w:t>4-</w:t>
            </w:r>
            <w:r>
              <w:rPr>
                <w:color w:val="000000"/>
              </w:rPr>
              <w:t>7</w:t>
            </w:r>
          </w:p>
        </w:tc>
        <w:tc>
          <w:tcPr>
            <w:tcW w:w="759" w:type="pct"/>
            <w:shd w:val="solid" w:color="FFFFFF" w:fill="FFFFFF"/>
            <w:vAlign w:val="center"/>
          </w:tcPr>
          <w:p w14:paraId="052977BE" w14:textId="77777777" w:rsidR="004B0883" w:rsidRDefault="004B0883">
            <w:pPr>
              <w:jc w:val="right"/>
              <w:rPr>
                <w:color w:val="000000"/>
              </w:rPr>
            </w:pPr>
            <w:r>
              <w:rPr>
                <w:rFonts w:hint="eastAsia"/>
                <w:color w:val="000000"/>
              </w:rPr>
              <w:t>5-</w:t>
            </w:r>
            <w:r>
              <w:rPr>
                <w:color w:val="000000"/>
              </w:rPr>
              <w:t>10</w:t>
            </w:r>
          </w:p>
        </w:tc>
        <w:tc>
          <w:tcPr>
            <w:tcW w:w="759" w:type="pct"/>
            <w:shd w:val="solid" w:color="FFFFFF" w:fill="FFFFFF"/>
            <w:vAlign w:val="center"/>
          </w:tcPr>
          <w:p w14:paraId="22E35884" w14:textId="77777777" w:rsidR="004B0883" w:rsidRDefault="004B0883">
            <w:pPr>
              <w:jc w:val="right"/>
              <w:rPr>
                <w:color w:val="000000"/>
              </w:rPr>
            </w:pPr>
            <w:r>
              <w:rPr>
                <w:color w:val="000000"/>
              </w:rPr>
              <w:t>4</w:t>
            </w:r>
            <w:r>
              <w:rPr>
                <w:rFonts w:hint="eastAsia"/>
                <w:color w:val="000000"/>
              </w:rPr>
              <w:t>-</w:t>
            </w:r>
            <w:r>
              <w:rPr>
                <w:color w:val="000000"/>
              </w:rPr>
              <w:t>5</w:t>
            </w:r>
          </w:p>
        </w:tc>
      </w:tr>
      <w:tr w:rsidR="004B0883" w14:paraId="3152344E" w14:textId="77777777">
        <w:trPr>
          <w:cantSplit/>
          <w:trHeight w:val="397"/>
        </w:trPr>
        <w:tc>
          <w:tcPr>
            <w:tcW w:w="1207" w:type="pct"/>
            <w:shd w:val="solid" w:color="FFFFFF" w:fill="FFFFFF"/>
            <w:vAlign w:val="center"/>
          </w:tcPr>
          <w:p w14:paraId="2F47963E" w14:textId="77777777" w:rsidR="004B0883" w:rsidRDefault="004B0883">
            <w:pPr>
              <w:rPr>
                <w:color w:val="000000"/>
              </w:rPr>
            </w:pPr>
            <w:r>
              <w:rPr>
                <w:rFonts w:hint="eastAsia"/>
                <w:color w:val="000000"/>
              </w:rPr>
              <w:t>电子设备及其他</w:t>
            </w:r>
          </w:p>
        </w:tc>
        <w:tc>
          <w:tcPr>
            <w:tcW w:w="759" w:type="pct"/>
            <w:shd w:val="solid" w:color="FFFFFF" w:fill="FFFFFF"/>
            <w:vAlign w:val="center"/>
          </w:tcPr>
          <w:p w14:paraId="685B988B" w14:textId="77777777" w:rsidR="004B0883" w:rsidRDefault="004B0883">
            <w:pPr>
              <w:jc w:val="right"/>
              <w:rPr>
                <w:color w:val="000000"/>
              </w:rPr>
            </w:pPr>
            <w:r>
              <w:rPr>
                <w:rFonts w:hint="eastAsia"/>
                <w:color w:val="000000"/>
              </w:rPr>
              <w:t>5-</w:t>
            </w:r>
            <w:r>
              <w:rPr>
                <w:color w:val="000000"/>
              </w:rPr>
              <w:t>10</w:t>
            </w:r>
          </w:p>
        </w:tc>
        <w:tc>
          <w:tcPr>
            <w:tcW w:w="759" w:type="pct"/>
            <w:shd w:val="solid" w:color="FFFFFF" w:fill="FFFFFF"/>
            <w:vAlign w:val="center"/>
          </w:tcPr>
          <w:p w14:paraId="1CF80C67" w14:textId="77777777" w:rsidR="004B0883" w:rsidRDefault="004B0883">
            <w:pPr>
              <w:jc w:val="right"/>
              <w:rPr>
                <w:color w:val="000000"/>
              </w:rPr>
            </w:pPr>
            <w:r>
              <w:rPr>
                <w:rFonts w:hint="eastAsia"/>
                <w:color w:val="000000"/>
              </w:rPr>
              <w:t>3-</w:t>
            </w:r>
            <w:r>
              <w:rPr>
                <w:color w:val="000000"/>
              </w:rPr>
              <w:t>5</w:t>
            </w:r>
          </w:p>
        </w:tc>
        <w:tc>
          <w:tcPr>
            <w:tcW w:w="759" w:type="pct"/>
            <w:shd w:val="solid" w:color="FFFFFF" w:fill="FFFFFF"/>
            <w:vAlign w:val="center"/>
          </w:tcPr>
          <w:p w14:paraId="73008137" w14:textId="77777777" w:rsidR="004B0883" w:rsidRDefault="004B0883">
            <w:pPr>
              <w:jc w:val="right"/>
              <w:rPr>
                <w:color w:val="000000"/>
              </w:rPr>
            </w:pPr>
            <w:r>
              <w:rPr>
                <w:rFonts w:hint="eastAsia"/>
                <w:color w:val="000000"/>
              </w:rPr>
              <w:t>3-</w:t>
            </w:r>
            <w:r>
              <w:rPr>
                <w:color w:val="000000"/>
              </w:rPr>
              <w:t>7</w:t>
            </w:r>
          </w:p>
        </w:tc>
        <w:tc>
          <w:tcPr>
            <w:tcW w:w="759" w:type="pct"/>
            <w:shd w:val="solid" w:color="FFFFFF" w:fill="FFFFFF"/>
            <w:vAlign w:val="center"/>
          </w:tcPr>
          <w:p w14:paraId="756A04DA" w14:textId="77777777" w:rsidR="004B0883" w:rsidRDefault="004B0883">
            <w:pPr>
              <w:jc w:val="right"/>
              <w:rPr>
                <w:color w:val="000000"/>
              </w:rPr>
            </w:pPr>
            <w:r>
              <w:rPr>
                <w:rFonts w:hint="eastAsia"/>
                <w:color w:val="000000"/>
              </w:rPr>
              <w:t>4-</w:t>
            </w:r>
            <w:r>
              <w:rPr>
                <w:color w:val="000000"/>
              </w:rPr>
              <w:t>10</w:t>
            </w:r>
          </w:p>
        </w:tc>
        <w:tc>
          <w:tcPr>
            <w:tcW w:w="759" w:type="pct"/>
            <w:shd w:val="solid" w:color="FFFFFF" w:fill="FFFFFF"/>
            <w:vAlign w:val="center"/>
          </w:tcPr>
          <w:p w14:paraId="7F49125B" w14:textId="77777777" w:rsidR="004B0883" w:rsidRDefault="004B0883">
            <w:pPr>
              <w:jc w:val="right"/>
              <w:rPr>
                <w:color w:val="000000"/>
              </w:rPr>
            </w:pPr>
            <w:r>
              <w:rPr>
                <w:color w:val="000000"/>
              </w:rPr>
              <w:t>3</w:t>
            </w:r>
            <w:r>
              <w:rPr>
                <w:rFonts w:hint="eastAsia"/>
                <w:color w:val="000000"/>
              </w:rPr>
              <w:t>-</w:t>
            </w:r>
            <w:r>
              <w:rPr>
                <w:color w:val="000000"/>
              </w:rPr>
              <w:t>5</w:t>
            </w:r>
          </w:p>
        </w:tc>
      </w:tr>
    </w:tbl>
    <w:p w14:paraId="39AD68EE" w14:textId="77777777" w:rsidR="004B0883" w:rsidRDefault="004B0883">
      <w:pPr>
        <w:spacing w:beforeLines="50" w:before="120" w:line="360" w:lineRule="auto"/>
        <w:ind w:firstLineChars="200" w:firstLine="480"/>
        <w:rPr>
          <w:bCs/>
          <w:sz w:val="24"/>
          <w:szCs w:val="24"/>
        </w:rPr>
      </w:pPr>
      <w:r>
        <w:rPr>
          <w:bCs/>
          <w:sz w:val="24"/>
          <w:szCs w:val="24"/>
        </w:rPr>
        <w:t>由上表可知，</w:t>
      </w:r>
      <w:r>
        <w:rPr>
          <w:rFonts w:hint="eastAsia"/>
          <w:bCs/>
          <w:sz w:val="24"/>
          <w:szCs w:val="24"/>
        </w:rPr>
        <w:t>公司</w:t>
      </w:r>
      <w:r>
        <w:rPr>
          <w:bCs/>
          <w:sz w:val="24"/>
          <w:szCs w:val="24"/>
        </w:rPr>
        <w:t>固定资产中房屋及建筑物、</w:t>
      </w:r>
      <w:r>
        <w:rPr>
          <w:rFonts w:hint="eastAsia"/>
          <w:bCs/>
          <w:sz w:val="24"/>
          <w:szCs w:val="24"/>
        </w:rPr>
        <w:t>生产</w:t>
      </w:r>
      <w:r>
        <w:rPr>
          <w:bCs/>
          <w:sz w:val="24"/>
          <w:szCs w:val="24"/>
        </w:rPr>
        <w:t>设备、</w:t>
      </w:r>
      <w:r>
        <w:rPr>
          <w:rFonts w:hint="eastAsia"/>
          <w:bCs/>
          <w:sz w:val="24"/>
          <w:szCs w:val="24"/>
        </w:rPr>
        <w:t>电子设备、办公设备及</w:t>
      </w:r>
      <w:r>
        <w:rPr>
          <w:bCs/>
          <w:sz w:val="24"/>
          <w:szCs w:val="24"/>
        </w:rPr>
        <w:t>运输设备与可比公司折旧期限基本一致，公司固定资产折旧期限合理。</w:t>
      </w:r>
      <w:bookmarkEnd w:id="320"/>
    </w:p>
    <w:p w14:paraId="4C9F4F12" w14:textId="77777777" w:rsidR="004B0883" w:rsidRDefault="004B0883">
      <w:pPr>
        <w:widowControl w:val="0"/>
        <w:spacing w:beforeLines="50" w:before="120" w:line="360" w:lineRule="auto"/>
        <w:ind w:firstLineChars="200" w:firstLine="480"/>
        <w:jc w:val="both"/>
        <w:rPr>
          <w:sz w:val="24"/>
          <w:szCs w:val="22"/>
        </w:rPr>
      </w:pPr>
      <w:bookmarkStart w:id="321" w:name="_Hlk124285659"/>
      <w:bookmarkStart w:id="322" w:name="_Hlk124285870"/>
      <w:r>
        <w:rPr>
          <w:rFonts w:hint="eastAsia"/>
          <w:sz w:val="24"/>
          <w:szCs w:val="22"/>
        </w:rPr>
        <w:t>报告期内，公司固定资产状况运作良好，不存在固定资产减值等情形</w:t>
      </w:r>
      <w:bookmarkEnd w:id="322"/>
      <w:r>
        <w:rPr>
          <w:rFonts w:hint="eastAsia"/>
          <w:sz w:val="24"/>
          <w:szCs w:val="22"/>
        </w:rPr>
        <w:t>。</w:t>
      </w:r>
    </w:p>
    <w:bookmarkEnd w:id="321"/>
    <w:p w14:paraId="16A952DD" w14:textId="77777777" w:rsidR="004B0883" w:rsidRDefault="004B0883">
      <w:pPr>
        <w:pStyle w:val="003"/>
        <w:spacing w:before="120" w:after="120"/>
        <w:rPr>
          <w:rFonts w:hint="eastAsia"/>
        </w:rPr>
      </w:pPr>
      <w:r>
        <w:rPr>
          <w:rFonts w:hint="eastAsia"/>
        </w:rPr>
        <w:t>（二）负债结构分析</w:t>
      </w:r>
    </w:p>
    <w:p w14:paraId="78DC9C48" w14:textId="77777777" w:rsidR="004B0883" w:rsidRDefault="004B0883">
      <w:pPr>
        <w:widowControl w:val="0"/>
        <w:spacing w:beforeLines="50" w:before="120" w:line="360" w:lineRule="auto"/>
        <w:ind w:firstLineChars="200" w:firstLine="480"/>
        <w:jc w:val="both"/>
        <w:rPr>
          <w:sz w:val="24"/>
          <w:szCs w:val="22"/>
        </w:rPr>
      </w:pPr>
      <w:bookmarkStart w:id="323" w:name="_Hlk50303002"/>
      <w:r>
        <w:rPr>
          <w:rFonts w:hint="eastAsia"/>
          <w:sz w:val="24"/>
          <w:szCs w:val="22"/>
        </w:rPr>
        <w:t>报告期各期末，公司负债构成如下：</w:t>
      </w:r>
    </w:p>
    <w:p w14:paraId="4264789B" w14:textId="77777777" w:rsidR="004B0883" w:rsidRDefault="004B0883">
      <w:pPr>
        <w:keepNext/>
        <w:widowControl w:val="0"/>
        <w:jc w:val="right"/>
        <w:rPr>
          <w:szCs w:val="22"/>
        </w:rPr>
      </w:pPr>
      <w:r>
        <w:rPr>
          <w:rFonts w:hint="eastAsia"/>
          <w:szCs w:val="22"/>
        </w:rPr>
        <w:t>单位：万元</w:t>
      </w:r>
    </w:p>
    <w:tbl>
      <w:tblPr>
        <w:tblW w:w="11348"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327"/>
        <w:gridCol w:w="1252"/>
        <w:gridCol w:w="1253"/>
        <w:gridCol w:w="1252"/>
        <w:gridCol w:w="1253"/>
        <w:gridCol w:w="1253"/>
        <w:gridCol w:w="1252"/>
        <w:gridCol w:w="1253"/>
        <w:gridCol w:w="1253"/>
      </w:tblGrid>
      <w:tr w:rsidR="004B0883" w14:paraId="4A6E1EC5" w14:textId="77777777">
        <w:trPr>
          <w:trHeight w:val="397"/>
          <w:tblHeader/>
          <w:jc w:val="center"/>
        </w:trPr>
        <w:tc>
          <w:tcPr>
            <w:tcW w:w="1327" w:type="dxa"/>
            <w:vMerge w:val="restart"/>
            <w:shd w:val="clear" w:color="auto" w:fill="D9D9D9"/>
            <w:vAlign w:val="center"/>
          </w:tcPr>
          <w:p w14:paraId="2373B54A" w14:textId="77777777" w:rsidR="004B0883" w:rsidRDefault="004B0883">
            <w:pPr>
              <w:keepNext/>
              <w:widowControl w:val="0"/>
              <w:adjustRightInd w:val="0"/>
              <w:snapToGrid w:val="0"/>
              <w:jc w:val="center"/>
              <w:rPr>
                <w:b/>
                <w:bCs/>
                <w:color w:val="000000"/>
                <w:kern w:val="0"/>
              </w:rPr>
            </w:pPr>
            <w:r>
              <w:rPr>
                <w:b/>
                <w:bCs/>
                <w:color w:val="000000"/>
                <w:kern w:val="0"/>
              </w:rPr>
              <w:t>项目</w:t>
            </w:r>
          </w:p>
        </w:tc>
        <w:tc>
          <w:tcPr>
            <w:tcW w:w="2505" w:type="dxa"/>
            <w:gridSpan w:val="2"/>
            <w:shd w:val="clear" w:color="auto" w:fill="D9D9D9"/>
            <w:vAlign w:val="center"/>
          </w:tcPr>
          <w:p w14:paraId="28FEAFB3" w14:textId="77777777" w:rsidR="004B0883" w:rsidRDefault="004B0883">
            <w:pPr>
              <w:keepNext/>
              <w:widowControl w:val="0"/>
              <w:adjustRightInd w:val="0"/>
              <w:snapToGrid w:val="0"/>
              <w:jc w:val="center"/>
              <w:rPr>
                <w:b/>
                <w:bCs/>
                <w:color w:val="000000"/>
                <w:kern w:val="0"/>
              </w:rPr>
            </w:pPr>
            <w:r>
              <w:rPr>
                <w:b/>
                <w:bCs/>
                <w:color w:val="000000"/>
                <w:kern w:val="0"/>
              </w:rPr>
              <w:t>2023.</w:t>
            </w:r>
            <w:r>
              <w:rPr>
                <w:rFonts w:hint="eastAsia"/>
                <w:b/>
                <w:bCs/>
                <w:color w:val="000000"/>
                <w:kern w:val="0"/>
              </w:rPr>
              <w:t>9</w:t>
            </w:r>
            <w:r>
              <w:rPr>
                <w:b/>
                <w:bCs/>
                <w:color w:val="000000"/>
                <w:kern w:val="0"/>
              </w:rPr>
              <w:t>.30</w:t>
            </w:r>
          </w:p>
        </w:tc>
        <w:tc>
          <w:tcPr>
            <w:tcW w:w="2505" w:type="dxa"/>
            <w:gridSpan w:val="2"/>
            <w:shd w:val="clear" w:color="auto" w:fill="D9D9D9"/>
            <w:vAlign w:val="center"/>
          </w:tcPr>
          <w:p w14:paraId="4DA73B5F" w14:textId="77777777" w:rsidR="004B0883" w:rsidRDefault="004B0883">
            <w:pPr>
              <w:keepNext/>
              <w:widowControl w:val="0"/>
              <w:adjustRightInd w:val="0"/>
              <w:snapToGrid w:val="0"/>
              <w:jc w:val="center"/>
              <w:rPr>
                <w:b/>
                <w:bCs/>
                <w:color w:val="000000"/>
                <w:kern w:val="0"/>
              </w:rPr>
            </w:pPr>
            <w:r>
              <w:rPr>
                <w:b/>
                <w:bCs/>
                <w:color w:val="000000"/>
                <w:kern w:val="0"/>
              </w:rPr>
              <w:t>2022.12.31</w:t>
            </w:r>
          </w:p>
        </w:tc>
        <w:tc>
          <w:tcPr>
            <w:tcW w:w="2505" w:type="dxa"/>
            <w:gridSpan w:val="2"/>
            <w:shd w:val="clear" w:color="auto" w:fill="D9D9D9"/>
            <w:vAlign w:val="center"/>
          </w:tcPr>
          <w:p w14:paraId="239D8115" w14:textId="77777777" w:rsidR="004B0883" w:rsidRDefault="004B0883">
            <w:pPr>
              <w:keepNext/>
              <w:widowControl w:val="0"/>
              <w:adjustRightInd w:val="0"/>
              <w:snapToGrid w:val="0"/>
              <w:jc w:val="center"/>
              <w:rPr>
                <w:b/>
                <w:bCs/>
                <w:color w:val="000000"/>
                <w:kern w:val="0"/>
              </w:rPr>
            </w:pPr>
            <w:r>
              <w:rPr>
                <w:b/>
                <w:bCs/>
                <w:color w:val="000000"/>
                <w:kern w:val="0"/>
              </w:rPr>
              <w:t>2021.12.31</w:t>
            </w:r>
          </w:p>
        </w:tc>
        <w:tc>
          <w:tcPr>
            <w:tcW w:w="2506" w:type="dxa"/>
            <w:gridSpan w:val="2"/>
            <w:shd w:val="clear" w:color="auto" w:fill="D9D9D9"/>
            <w:vAlign w:val="center"/>
          </w:tcPr>
          <w:p w14:paraId="6C6DC6BD" w14:textId="77777777" w:rsidR="004B0883" w:rsidRDefault="004B0883">
            <w:pPr>
              <w:keepNext/>
              <w:widowControl w:val="0"/>
              <w:adjustRightInd w:val="0"/>
              <w:snapToGrid w:val="0"/>
              <w:jc w:val="center"/>
              <w:rPr>
                <w:b/>
                <w:bCs/>
                <w:color w:val="000000"/>
                <w:kern w:val="0"/>
              </w:rPr>
            </w:pPr>
            <w:r>
              <w:rPr>
                <w:b/>
                <w:bCs/>
                <w:color w:val="000000"/>
                <w:kern w:val="0"/>
              </w:rPr>
              <w:t>2020.12.31</w:t>
            </w:r>
          </w:p>
        </w:tc>
      </w:tr>
      <w:tr w:rsidR="004B0883" w14:paraId="73879445" w14:textId="77777777">
        <w:trPr>
          <w:trHeight w:val="397"/>
          <w:tblHeader/>
          <w:jc w:val="center"/>
        </w:trPr>
        <w:tc>
          <w:tcPr>
            <w:tcW w:w="1327" w:type="dxa"/>
            <w:vMerge/>
            <w:shd w:val="clear" w:color="auto" w:fill="D9D9D9"/>
            <w:vAlign w:val="center"/>
          </w:tcPr>
          <w:p w14:paraId="7D9F4ACC" w14:textId="77777777" w:rsidR="004B0883" w:rsidRDefault="004B0883">
            <w:pPr>
              <w:keepNext/>
              <w:widowControl w:val="0"/>
              <w:adjustRightInd w:val="0"/>
              <w:snapToGrid w:val="0"/>
              <w:rPr>
                <w:b/>
                <w:bCs/>
                <w:color w:val="000000"/>
                <w:kern w:val="0"/>
              </w:rPr>
            </w:pPr>
          </w:p>
        </w:tc>
        <w:tc>
          <w:tcPr>
            <w:tcW w:w="1252" w:type="dxa"/>
            <w:shd w:val="clear" w:color="auto" w:fill="D9D9D9"/>
            <w:vAlign w:val="center"/>
          </w:tcPr>
          <w:p w14:paraId="63056F24" w14:textId="77777777" w:rsidR="004B0883" w:rsidRDefault="004B0883">
            <w:pPr>
              <w:keepNext/>
              <w:widowControl w:val="0"/>
              <w:adjustRightInd w:val="0"/>
              <w:snapToGrid w:val="0"/>
              <w:jc w:val="center"/>
              <w:rPr>
                <w:b/>
                <w:bCs/>
                <w:color w:val="000000"/>
                <w:kern w:val="0"/>
              </w:rPr>
            </w:pPr>
            <w:r>
              <w:rPr>
                <w:b/>
                <w:bCs/>
                <w:color w:val="000000"/>
                <w:kern w:val="0"/>
              </w:rPr>
              <w:t>金额</w:t>
            </w:r>
          </w:p>
        </w:tc>
        <w:tc>
          <w:tcPr>
            <w:tcW w:w="1253" w:type="dxa"/>
            <w:shd w:val="clear" w:color="auto" w:fill="D9D9D9"/>
            <w:vAlign w:val="center"/>
          </w:tcPr>
          <w:p w14:paraId="62859BCE" w14:textId="77777777" w:rsidR="004B0883" w:rsidRDefault="004B0883">
            <w:pPr>
              <w:keepNext/>
              <w:widowControl w:val="0"/>
              <w:adjustRightInd w:val="0"/>
              <w:snapToGrid w:val="0"/>
              <w:jc w:val="center"/>
              <w:rPr>
                <w:b/>
                <w:bCs/>
                <w:color w:val="000000"/>
                <w:kern w:val="0"/>
              </w:rPr>
            </w:pPr>
            <w:r>
              <w:rPr>
                <w:b/>
                <w:bCs/>
                <w:color w:val="000000"/>
                <w:kern w:val="0"/>
              </w:rPr>
              <w:t>占比</w:t>
            </w:r>
          </w:p>
        </w:tc>
        <w:tc>
          <w:tcPr>
            <w:tcW w:w="1252" w:type="dxa"/>
            <w:shd w:val="clear" w:color="auto" w:fill="D9D9D9"/>
            <w:vAlign w:val="center"/>
          </w:tcPr>
          <w:p w14:paraId="3AB724F9" w14:textId="77777777" w:rsidR="004B0883" w:rsidRDefault="004B0883">
            <w:pPr>
              <w:keepNext/>
              <w:widowControl w:val="0"/>
              <w:adjustRightInd w:val="0"/>
              <w:snapToGrid w:val="0"/>
              <w:jc w:val="center"/>
              <w:rPr>
                <w:b/>
                <w:bCs/>
                <w:color w:val="000000"/>
                <w:kern w:val="0"/>
              </w:rPr>
            </w:pPr>
            <w:r>
              <w:rPr>
                <w:b/>
                <w:bCs/>
                <w:color w:val="000000"/>
                <w:kern w:val="0"/>
              </w:rPr>
              <w:t>金额</w:t>
            </w:r>
          </w:p>
        </w:tc>
        <w:tc>
          <w:tcPr>
            <w:tcW w:w="1253" w:type="dxa"/>
            <w:shd w:val="clear" w:color="auto" w:fill="D9D9D9"/>
            <w:vAlign w:val="center"/>
          </w:tcPr>
          <w:p w14:paraId="1F1236F5" w14:textId="77777777" w:rsidR="004B0883" w:rsidRDefault="004B0883">
            <w:pPr>
              <w:keepNext/>
              <w:widowControl w:val="0"/>
              <w:adjustRightInd w:val="0"/>
              <w:snapToGrid w:val="0"/>
              <w:jc w:val="center"/>
              <w:rPr>
                <w:b/>
                <w:bCs/>
                <w:color w:val="000000"/>
                <w:kern w:val="0"/>
              </w:rPr>
            </w:pPr>
            <w:r>
              <w:rPr>
                <w:b/>
                <w:bCs/>
                <w:color w:val="000000"/>
                <w:kern w:val="0"/>
              </w:rPr>
              <w:t>占比</w:t>
            </w:r>
          </w:p>
        </w:tc>
        <w:tc>
          <w:tcPr>
            <w:tcW w:w="1253" w:type="dxa"/>
            <w:shd w:val="clear" w:color="auto" w:fill="D9D9D9"/>
            <w:vAlign w:val="center"/>
          </w:tcPr>
          <w:p w14:paraId="18D307F5" w14:textId="77777777" w:rsidR="004B0883" w:rsidRDefault="004B0883">
            <w:pPr>
              <w:keepNext/>
              <w:widowControl w:val="0"/>
              <w:adjustRightInd w:val="0"/>
              <w:snapToGrid w:val="0"/>
              <w:jc w:val="center"/>
              <w:rPr>
                <w:b/>
                <w:bCs/>
                <w:color w:val="000000"/>
                <w:kern w:val="0"/>
              </w:rPr>
            </w:pPr>
            <w:r>
              <w:rPr>
                <w:b/>
                <w:bCs/>
                <w:color w:val="000000"/>
                <w:kern w:val="0"/>
              </w:rPr>
              <w:t>金额</w:t>
            </w:r>
          </w:p>
        </w:tc>
        <w:tc>
          <w:tcPr>
            <w:tcW w:w="1252" w:type="dxa"/>
            <w:shd w:val="clear" w:color="auto" w:fill="D9D9D9"/>
            <w:vAlign w:val="center"/>
          </w:tcPr>
          <w:p w14:paraId="72E50942" w14:textId="77777777" w:rsidR="004B0883" w:rsidRDefault="004B0883">
            <w:pPr>
              <w:keepNext/>
              <w:widowControl w:val="0"/>
              <w:adjustRightInd w:val="0"/>
              <w:snapToGrid w:val="0"/>
              <w:jc w:val="center"/>
              <w:rPr>
                <w:b/>
                <w:bCs/>
                <w:color w:val="000000"/>
                <w:kern w:val="0"/>
              </w:rPr>
            </w:pPr>
            <w:r>
              <w:rPr>
                <w:b/>
                <w:bCs/>
                <w:color w:val="000000"/>
                <w:kern w:val="0"/>
              </w:rPr>
              <w:t>占比</w:t>
            </w:r>
          </w:p>
        </w:tc>
        <w:tc>
          <w:tcPr>
            <w:tcW w:w="1253" w:type="dxa"/>
            <w:shd w:val="clear" w:color="auto" w:fill="D9D9D9"/>
            <w:vAlign w:val="center"/>
          </w:tcPr>
          <w:p w14:paraId="57A11F36" w14:textId="77777777" w:rsidR="004B0883" w:rsidRDefault="004B0883">
            <w:pPr>
              <w:keepNext/>
              <w:widowControl w:val="0"/>
              <w:adjustRightInd w:val="0"/>
              <w:snapToGrid w:val="0"/>
              <w:jc w:val="center"/>
              <w:rPr>
                <w:b/>
                <w:bCs/>
                <w:color w:val="000000"/>
                <w:kern w:val="0"/>
              </w:rPr>
            </w:pPr>
            <w:r>
              <w:rPr>
                <w:b/>
                <w:bCs/>
                <w:color w:val="000000"/>
                <w:kern w:val="0"/>
              </w:rPr>
              <w:t>金额</w:t>
            </w:r>
          </w:p>
        </w:tc>
        <w:tc>
          <w:tcPr>
            <w:tcW w:w="1253" w:type="dxa"/>
            <w:shd w:val="clear" w:color="auto" w:fill="D9D9D9"/>
            <w:vAlign w:val="center"/>
          </w:tcPr>
          <w:p w14:paraId="5B374CBB" w14:textId="77777777" w:rsidR="004B0883" w:rsidRDefault="004B0883">
            <w:pPr>
              <w:keepNext/>
              <w:widowControl w:val="0"/>
              <w:adjustRightInd w:val="0"/>
              <w:snapToGrid w:val="0"/>
              <w:jc w:val="center"/>
              <w:rPr>
                <w:b/>
                <w:bCs/>
                <w:color w:val="000000"/>
                <w:kern w:val="0"/>
              </w:rPr>
            </w:pPr>
            <w:r>
              <w:rPr>
                <w:b/>
                <w:bCs/>
                <w:color w:val="000000"/>
                <w:kern w:val="0"/>
              </w:rPr>
              <w:t>占比</w:t>
            </w:r>
          </w:p>
        </w:tc>
      </w:tr>
      <w:tr w:rsidR="004B0883" w14:paraId="549BDAC2" w14:textId="77777777">
        <w:trPr>
          <w:trHeight w:val="397"/>
          <w:jc w:val="center"/>
        </w:trPr>
        <w:tc>
          <w:tcPr>
            <w:tcW w:w="1327" w:type="dxa"/>
            <w:vAlign w:val="center"/>
          </w:tcPr>
          <w:p w14:paraId="33502250" w14:textId="77777777" w:rsidR="004B0883" w:rsidRDefault="004B0883">
            <w:pPr>
              <w:adjustRightInd w:val="0"/>
              <w:snapToGrid w:val="0"/>
              <w:rPr>
                <w:color w:val="000000"/>
                <w:kern w:val="0"/>
              </w:rPr>
            </w:pPr>
            <w:r>
              <w:t>流动负债</w:t>
            </w:r>
          </w:p>
        </w:tc>
        <w:tc>
          <w:tcPr>
            <w:tcW w:w="1252" w:type="dxa"/>
            <w:vAlign w:val="center"/>
          </w:tcPr>
          <w:p w14:paraId="24412BA9" w14:textId="77777777" w:rsidR="004B0883" w:rsidRDefault="004B0883">
            <w:pPr>
              <w:adjustRightInd w:val="0"/>
              <w:snapToGrid w:val="0"/>
              <w:jc w:val="right"/>
              <w:rPr>
                <w:color w:val="000000"/>
                <w:kern w:val="0"/>
              </w:rPr>
            </w:pPr>
            <w:r>
              <w:t>16,567.34</w:t>
            </w:r>
          </w:p>
        </w:tc>
        <w:tc>
          <w:tcPr>
            <w:tcW w:w="1253" w:type="dxa"/>
            <w:vAlign w:val="center"/>
          </w:tcPr>
          <w:p w14:paraId="7334A8A4" w14:textId="77777777" w:rsidR="004B0883" w:rsidRDefault="004B0883">
            <w:pPr>
              <w:adjustRightInd w:val="0"/>
              <w:snapToGrid w:val="0"/>
              <w:jc w:val="right"/>
              <w:rPr>
                <w:color w:val="000000"/>
                <w:kern w:val="0"/>
              </w:rPr>
            </w:pPr>
            <w:r>
              <w:t>91.47%</w:t>
            </w:r>
          </w:p>
        </w:tc>
        <w:tc>
          <w:tcPr>
            <w:tcW w:w="1252" w:type="dxa"/>
            <w:vAlign w:val="center"/>
          </w:tcPr>
          <w:p w14:paraId="463688E6" w14:textId="77777777" w:rsidR="004B0883" w:rsidRDefault="004B0883">
            <w:pPr>
              <w:adjustRightInd w:val="0"/>
              <w:snapToGrid w:val="0"/>
              <w:jc w:val="right"/>
              <w:rPr>
                <w:color w:val="000000"/>
                <w:kern w:val="0"/>
              </w:rPr>
            </w:pPr>
            <w:r>
              <w:rPr>
                <w:color w:val="000000"/>
                <w:kern w:val="0"/>
              </w:rPr>
              <w:t>20,947.15</w:t>
            </w:r>
          </w:p>
        </w:tc>
        <w:tc>
          <w:tcPr>
            <w:tcW w:w="1253" w:type="dxa"/>
            <w:vAlign w:val="center"/>
          </w:tcPr>
          <w:p w14:paraId="352EB9FE" w14:textId="77777777" w:rsidR="004B0883" w:rsidRDefault="004B0883">
            <w:pPr>
              <w:adjustRightInd w:val="0"/>
              <w:snapToGrid w:val="0"/>
              <w:jc w:val="right"/>
              <w:rPr>
                <w:color w:val="000000"/>
                <w:kern w:val="0"/>
              </w:rPr>
            </w:pPr>
            <w:r>
              <w:rPr>
                <w:color w:val="000000"/>
                <w:kern w:val="0"/>
              </w:rPr>
              <w:t>94.08%</w:t>
            </w:r>
          </w:p>
        </w:tc>
        <w:tc>
          <w:tcPr>
            <w:tcW w:w="1253" w:type="dxa"/>
            <w:vAlign w:val="center"/>
          </w:tcPr>
          <w:p w14:paraId="5CA22854" w14:textId="77777777" w:rsidR="004B0883" w:rsidRDefault="004B0883">
            <w:pPr>
              <w:adjustRightInd w:val="0"/>
              <w:snapToGrid w:val="0"/>
              <w:jc w:val="right"/>
              <w:rPr>
                <w:color w:val="000000"/>
                <w:kern w:val="0"/>
              </w:rPr>
            </w:pPr>
            <w:r>
              <w:rPr>
                <w:color w:val="000000"/>
                <w:kern w:val="0"/>
              </w:rPr>
              <w:t>22,933.23</w:t>
            </w:r>
          </w:p>
        </w:tc>
        <w:tc>
          <w:tcPr>
            <w:tcW w:w="1252" w:type="dxa"/>
            <w:vAlign w:val="center"/>
          </w:tcPr>
          <w:p w14:paraId="53F1FD4D" w14:textId="77777777" w:rsidR="004B0883" w:rsidRDefault="004B0883">
            <w:pPr>
              <w:adjustRightInd w:val="0"/>
              <w:snapToGrid w:val="0"/>
              <w:jc w:val="right"/>
              <w:rPr>
                <w:color w:val="000000"/>
                <w:kern w:val="0"/>
              </w:rPr>
            </w:pPr>
            <w:r>
              <w:rPr>
                <w:color w:val="000000"/>
                <w:kern w:val="0"/>
              </w:rPr>
              <w:t>94.03%</w:t>
            </w:r>
          </w:p>
        </w:tc>
        <w:tc>
          <w:tcPr>
            <w:tcW w:w="1253" w:type="dxa"/>
            <w:vAlign w:val="center"/>
          </w:tcPr>
          <w:p w14:paraId="058F4433" w14:textId="77777777" w:rsidR="004B0883" w:rsidRDefault="004B0883">
            <w:pPr>
              <w:adjustRightInd w:val="0"/>
              <w:snapToGrid w:val="0"/>
              <w:jc w:val="right"/>
              <w:rPr>
                <w:color w:val="000000"/>
                <w:kern w:val="0"/>
              </w:rPr>
            </w:pPr>
            <w:r>
              <w:rPr>
                <w:color w:val="000000"/>
                <w:kern w:val="0"/>
              </w:rPr>
              <w:t>19,142.30</w:t>
            </w:r>
          </w:p>
        </w:tc>
        <w:tc>
          <w:tcPr>
            <w:tcW w:w="1253" w:type="dxa"/>
            <w:vAlign w:val="center"/>
          </w:tcPr>
          <w:p w14:paraId="6438081B" w14:textId="77777777" w:rsidR="004B0883" w:rsidRDefault="004B0883">
            <w:pPr>
              <w:adjustRightInd w:val="0"/>
              <w:snapToGrid w:val="0"/>
              <w:jc w:val="right"/>
              <w:rPr>
                <w:color w:val="000000"/>
                <w:kern w:val="0"/>
              </w:rPr>
            </w:pPr>
            <w:r>
              <w:rPr>
                <w:color w:val="000000"/>
                <w:kern w:val="0"/>
              </w:rPr>
              <w:t>92.73%</w:t>
            </w:r>
          </w:p>
        </w:tc>
      </w:tr>
      <w:tr w:rsidR="004B0883" w14:paraId="00294A84" w14:textId="77777777">
        <w:trPr>
          <w:trHeight w:val="397"/>
          <w:jc w:val="center"/>
        </w:trPr>
        <w:tc>
          <w:tcPr>
            <w:tcW w:w="1327" w:type="dxa"/>
            <w:vAlign w:val="center"/>
          </w:tcPr>
          <w:p w14:paraId="7A243457" w14:textId="77777777" w:rsidR="004B0883" w:rsidRDefault="004B0883">
            <w:pPr>
              <w:adjustRightInd w:val="0"/>
              <w:snapToGrid w:val="0"/>
              <w:rPr>
                <w:color w:val="000000"/>
                <w:kern w:val="0"/>
              </w:rPr>
            </w:pPr>
            <w:r>
              <w:t>非流动负债</w:t>
            </w:r>
          </w:p>
        </w:tc>
        <w:tc>
          <w:tcPr>
            <w:tcW w:w="1252" w:type="dxa"/>
            <w:vAlign w:val="center"/>
          </w:tcPr>
          <w:p w14:paraId="59F8F513" w14:textId="77777777" w:rsidR="004B0883" w:rsidRDefault="004B0883">
            <w:pPr>
              <w:adjustRightInd w:val="0"/>
              <w:snapToGrid w:val="0"/>
              <w:jc w:val="right"/>
              <w:rPr>
                <w:color w:val="000000"/>
                <w:kern w:val="0"/>
              </w:rPr>
            </w:pPr>
            <w:r>
              <w:t>1,544.90</w:t>
            </w:r>
          </w:p>
        </w:tc>
        <w:tc>
          <w:tcPr>
            <w:tcW w:w="1253" w:type="dxa"/>
            <w:vAlign w:val="center"/>
          </w:tcPr>
          <w:p w14:paraId="3EDEC354" w14:textId="77777777" w:rsidR="004B0883" w:rsidRDefault="004B0883">
            <w:pPr>
              <w:adjustRightInd w:val="0"/>
              <w:snapToGrid w:val="0"/>
              <w:jc w:val="right"/>
              <w:rPr>
                <w:color w:val="000000"/>
                <w:kern w:val="0"/>
              </w:rPr>
            </w:pPr>
            <w:r>
              <w:t>8.53%</w:t>
            </w:r>
          </w:p>
        </w:tc>
        <w:tc>
          <w:tcPr>
            <w:tcW w:w="1252" w:type="dxa"/>
            <w:vAlign w:val="center"/>
          </w:tcPr>
          <w:p w14:paraId="02F836CD" w14:textId="77777777" w:rsidR="004B0883" w:rsidRDefault="004B0883">
            <w:pPr>
              <w:adjustRightInd w:val="0"/>
              <w:snapToGrid w:val="0"/>
              <w:jc w:val="right"/>
              <w:rPr>
                <w:color w:val="000000"/>
                <w:kern w:val="0"/>
              </w:rPr>
            </w:pPr>
            <w:r>
              <w:rPr>
                <w:color w:val="000000"/>
                <w:kern w:val="0"/>
              </w:rPr>
              <w:t>1,317.88</w:t>
            </w:r>
          </w:p>
        </w:tc>
        <w:tc>
          <w:tcPr>
            <w:tcW w:w="1253" w:type="dxa"/>
            <w:vAlign w:val="center"/>
          </w:tcPr>
          <w:p w14:paraId="075AFC51" w14:textId="77777777" w:rsidR="004B0883" w:rsidRDefault="004B0883">
            <w:pPr>
              <w:adjustRightInd w:val="0"/>
              <w:snapToGrid w:val="0"/>
              <w:jc w:val="right"/>
              <w:rPr>
                <w:color w:val="000000"/>
                <w:kern w:val="0"/>
              </w:rPr>
            </w:pPr>
            <w:r>
              <w:rPr>
                <w:color w:val="000000"/>
                <w:kern w:val="0"/>
              </w:rPr>
              <w:t>5.92%</w:t>
            </w:r>
          </w:p>
        </w:tc>
        <w:tc>
          <w:tcPr>
            <w:tcW w:w="1253" w:type="dxa"/>
            <w:vAlign w:val="center"/>
          </w:tcPr>
          <w:p w14:paraId="488E587D" w14:textId="77777777" w:rsidR="004B0883" w:rsidRDefault="004B0883">
            <w:pPr>
              <w:adjustRightInd w:val="0"/>
              <w:snapToGrid w:val="0"/>
              <w:jc w:val="right"/>
              <w:rPr>
                <w:color w:val="000000"/>
                <w:kern w:val="0"/>
              </w:rPr>
            </w:pPr>
            <w:r>
              <w:rPr>
                <w:color w:val="000000"/>
                <w:kern w:val="0"/>
              </w:rPr>
              <w:t>1,456.97</w:t>
            </w:r>
          </w:p>
        </w:tc>
        <w:tc>
          <w:tcPr>
            <w:tcW w:w="1252" w:type="dxa"/>
            <w:vAlign w:val="center"/>
          </w:tcPr>
          <w:p w14:paraId="17E59290" w14:textId="77777777" w:rsidR="004B0883" w:rsidRDefault="004B0883">
            <w:pPr>
              <w:adjustRightInd w:val="0"/>
              <w:snapToGrid w:val="0"/>
              <w:jc w:val="right"/>
              <w:rPr>
                <w:color w:val="000000"/>
                <w:kern w:val="0"/>
              </w:rPr>
            </w:pPr>
            <w:r>
              <w:rPr>
                <w:color w:val="000000"/>
                <w:kern w:val="0"/>
              </w:rPr>
              <w:t>5.97%</w:t>
            </w:r>
          </w:p>
        </w:tc>
        <w:tc>
          <w:tcPr>
            <w:tcW w:w="1253" w:type="dxa"/>
            <w:vAlign w:val="center"/>
          </w:tcPr>
          <w:p w14:paraId="5D345CBA" w14:textId="77777777" w:rsidR="004B0883" w:rsidRDefault="004B0883">
            <w:pPr>
              <w:adjustRightInd w:val="0"/>
              <w:snapToGrid w:val="0"/>
              <w:jc w:val="right"/>
              <w:rPr>
                <w:color w:val="000000"/>
                <w:kern w:val="0"/>
              </w:rPr>
            </w:pPr>
            <w:r>
              <w:rPr>
                <w:color w:val="000000"/>
                <w:kern w:val="0"/>
              </w:rPr>
              <w:t>1,500.92</w:t>
            </w:r>
          </w:p>
        </w:tc>
        <w:tc>
          <w:tcPr>
            <w:tcW w:w="1253" w:type="dxa"/>
            <w:vAlign w:val="center"/>
          </w:tcPr>
          <w:p w14:paraId="3CD6312C" w14:textId="77777777" w:rsidR="004B0883" w:rsidRDefault="004B0883">
            <w:pPr>
              <w:adjustRightInd w:val="0"/>
              <w:snapToGrid w:val="0"/>
              <w:jc w:val="right"/>
              <w:rPr>
                <w:color w:val="000000"/>
                <w:kern w:val="0"/>
              </w:rPr>
            </w:pPr>
            <w:r>
              <w:rPr>
                <w:color w:val="000000"/>
                <w:kern w:val="0"/>
              </w:rPr>
              <w:t>7.27%</w:t>
            </w:r>
          </w:p>
        </w:tc>
      </w:tr>
      <w:tr w:rsidR="004B0883" w14:paraId="4F52E018" w14:textId="77777777">
        <w:trPr>
          <w:trHeight w:val="397"/>
          <w:jc w:val="center"/>
        </w:trPr>
        <w:tc>
          <w:tcPr>
            <w:tcW w:w="1327" w:type="dxa"/>
            <w:vAlign w:val="center"/>
          </w:tcPr>
          <w:p w14:paraId="4B1C6226" w14:textId="77777777" w:rsidR="004B0883" w:rsidRDefault="004B0883">
            <w:pPr>
              <w:adjustRightInd w:val="0"/>
              <w:snapToGrid w:val="0"/>
              <w:jc w:val="center"/>
              <w:rPr>
                <w:b/>
                <w:bCs/>
                <w:color w:val="000000"/>
                <w:kern w:val="0"/>
              </w:rPr>
            </w:pPr>
            <w:r>
              <w:rPr>
                <w:b/>
              </w:rPr>
              <w:t>负债合计</w:t>
            </w:r>
          </w:p>
        </w:tc>
        <w:tc>
          <w:tcPr>
            <w:tcW w:w="1252" w:type="dxa"/>
            <w:vAlign w:val="center"/>
          </w:tcPr>
          <w:p w14:paraId="1AEE2E7D" w14:textId="77777777" w:rsidR="004B0883" w:rsidRDefault="004B0883">
            <w:pPr>
              <w:adjustRightInd w:val="0"/>
              <w:snapToGrid w:val="0"/>
              <w:jc w:val="right"/>
              <w:rPr>
                <w:b/>
                <w:bCs/>
                <w:color w:val="000000"/>
                <w:kern w:val="0"/>
              </w:rPr>
            </w:pPr>
            <w:r>
              <w:rPr>
                <w:b/>
                <w:bCs/>
              </w:rPr>
              <w:t>18,112.24</w:t>
            </w:r>
          </w:p>
        </w:tc>
        <w:tc>
          <w:tcPr>
            <w:tcW w:w="1253" w:type="dxa"/>
            <w:vAlign w:val="center"/>
          </w:tcPr>
          <w:p w14:paraId="3E7A3BBD" w14:textId="77777777" w:rsidR="004B0883" w:rsidRDefault="004B0883">
            <w:pPr>
              <w:adjustRightInd w:val="0"/>
              <w:snapToGrid w:val="0"/>
              <w:jc w:val="right"/>
              <w:rPr>
                <w:b/>
                <w:bCs/>
                <w:color w:val="000000"/>
                <w:kern w:val="0"/>
              </w:rPr>
            </w:pPr>
            <w:r>
              <w:rPr>
                <w:b/>
                <w:bCs/>
              </w:rPr>
              <w:t>100.00%</w:t>
            </w:r>
          </w:p>
        </w:tc>
        <w:tc>
          <w:tcPr>
            <w:tcW w:w="1252" w:type="dxa"/>
            <w:vAlign w:val="center"/>
          </w:tcPr>
          <w:p w14:paraId="7252A2B1" w14:textId="77777777" w:rsidR="004B0883" w:rsidRDefault="004B0883">
            <w:pPr>
              <w:adjustRightInd w:val="0"/>
              <w:snapToGrid w:val="0"/>
              <w:jc w:val="right"/>
              <w:rPr>
                <w:b/>
                <w:bCs/>
                <w:color w:val="000000"/>
                <w:kern w:val="0"/>
              </w:rPr>
            </w:pPr>
            <w:r>
              <w:rPr>
                <w:b/>
                <w:bCs/>
                <w:color w:val="000000"/>
                <w:kern w:val="0"/>
              </w:rPr>
              <w:t>22,265.03</w:t>
            </w:r>
          </w:p>
        </w:tc>
        <w:tc>
          <w:tcPr>
            <w:tcW w:w="1253" w:type="dxa"/>
            <w:vAlign w:val="center"/>
          </w:tcPr>
          <w:p w14:paraId="673842C1" w14:textId="77777777" w:rsidR="004B0883" w:rsidRDefault="004B0883">
            <w:pPr>
              <w:adjustRightInd w:val="0"/>
              <w:snapToGrid w:val="0"/>
              <w:jc w:val="right"/>
              <w:rPr>
                <w:b/>
                <w:bCs/>
                <w:color w:val="000000"/>
                <w:kern w:val="0"/>
              </w:rPr>
            </w:pPr>
            <w:r>
              <w:rPr>
                <w:b/>
                <w:bCs/>
              </w:rPr>
              <w:t>100.00%</w:t>
            </w:r>
          </w:p>
        </w:tc>
        <w:tc>
          <w:tcPr>
            <w:tcW w:w="1253" w:type="dxa"/>
            <w:vAlign w:val="center"/>
          </w:tcPr>
          <w:p w14:paraId="7465DA06" w14:textId="77777777" w:rsidR="004B0883" w:rsidRDefault="004B0883">
            <w:pPr>
              <w:adjustRightInd w:val="0"/>
              <w:snapToGrid w:val="0"/>
              <w:jc w:val="right"/>
              <w:rPr>
                <w:b/>
                <w:bCs/>
                <w:color w:val="000000"/>
                <w:kern w:val="0"/>
              </w:rPr>
            </w:pPr>
            <w:r>
              <w:rPr>
                <w:b/>
                <w:bCs/>
                <w:color w:val="000000"/>
                <w:kern w:val="0"/>
              </w:rPr>
              <w:t>24,390.19</w:t>
            </w:r>
          </w:p>
        </w:tc>
        <w:tc>
          <w:tcPr>
            <w:tcW w:w="1252" w:type="dxa"/>
            <w:vAlign w:val="center"/>
          </w:tcPr>
          <w:p w14:paraId="026A1850" w14:textId="77777777" w:rsidR="004B0883" w:rsidRDefault="004B0883">
            <w:pPr>
              <w:adjustRightInd w:val="0"/>
              <w:snapToGrid w:val="0"/>
              <w:jc w:val="right"/>
              <w:rPr>
                <w:b/>
                <w:bCs/>
                <w:color w:val="000000"/>
                <w:kern w:val="0"/>
              </w:rPr>
            </w:pPr>
            <w:r>
              <w:rPr>
                <w:b/>
                <w:bCs/>
              </w:rPr>
              <w:t>100.00%</w:t>
            </w:r>
          </w:p>
        </w:tc>
        <w:tc>
          <w:tcPr>
            <w:tcW w:w="1253" w:type="dxa"/>
            <w:vAlign w:val="center"/>
          </w:tcPr>
          <w:p w14:paraId="3B33598E" w14:textId="77777777" w:rsidR="004B0883" w:rsidRDefault="004B0883">
            <w:pPr>
              <w:adjustRightInd w:val="0"/>
              <w:snapToGrid w:val="0"/>
              <w:jc w:val="right"/>
              <w:rPr>
                <w:b/>
                <w:bCs/>
                <w:color w:val="000000"/>
                <w:kern w:val="0"/>
              </w:rPr>
            </w:pPr>
            <w:r>
              <w:rPr>
                <w:b/>
                <w:bCs/>
                <w:color w:val="000000"/>
                <w:kern w:val="0"/>
              </w:rPr>
              <w:t>20,643.22</w:t>
            </w:r>
          </w:p>
        </w:tc>
        <w:tc>
          <w:tcPr>
            <w:tcW w:w="1253" w:type="dxa"/>
            <w:vAlign w:val="center"/>
          </w:tcPr>
          <w:p w14:paraId="3BFF61AC" w14:textId="77777777" w:rsidR="004B0883" w:rsidRDefault="004B0883">
            <w:pPr>
              <w:adjustRightInd w:val="0"/>
              <w:snapToGrid w:val="0"/>
              <w:jc w:val="right"/>
              <w:rPr>
                <w:b/>
                <w:bCs/>
                <w:color w:val="000000"/>
                <w:kern w:val="0"/>
              </w:rPr>
            </w:pPr>
            <w:r>
              <w:rPr>
                <w:b/>
                <w:bCs/>
              </w:rPr>
              <w:t>100.00%</w:t>
            </w:r>
          </w:p>
        </w:tc>
      </w:tr>
    </w:tbl>
    <w:p w14:paraId="396BE60A" w14:textId="77777777" w:rsidR="004B0883" w:rsidRDefault="004B0883">
      <w:pPr>
        <w:widowControl w:val="0"/>
        <w:spacing w:beforeLines="50" w:before="120" w:line="360" w:lineRule="auto"/>
        <w:ind w:firstLineChars="200" w:firstLine="480"/>
        <w:jc w:val="both"/>
        <w:rPr>
          <w:rFonts w:hint="eastAsia"/>
          <w:sz w:val="24"/>
          <w:szCs w:val="22"/>
        </w:rPr>
      </w:pPr>
      <w:r>
        <w:rPr>
          <w:rFonts w:hint="eastAsia"/>
          <w:sz w:val="24"/>
          <w:szCs w:val="22"/>
        </w:rPr>
        <w:t>报告期各期末，公司负债总额分别为</w:t>
      </w:r>
      <w:r>
        <w:rPr>
          <w:rFonts w:hint="eastAsia"/>
          <w:sz w:val="24"/>
          <w:szCs w:val="22"/>
        </w:rPr>
        <w:t>20,643.22</w:t>
      </w:r>
      <w:r>
        <w:rPr>
          <w:rFonts w:hint="eastAsia"/>
          <w:sz w:val="24"/>
          <w:szCs w:val="22"/>
        </w:rPr>
        <w:t>万元、</w:t>
      </w:r>
      <w:r>
        <w:rPr>
          <w:rFonts w:hint="eastAsia"/>
          <w:sz w:val="24"/>
          <w:szCs w:val="22"/>
        </w:rPr>
        <w:t>24,390.19</w:t>
      </w:r>
      <w:r>
        <w:rPr>
          <w:rFonts w:hint="eastAsia"/>
          <w:sz w:val="24"/>
          <w:szCs w:val="22"/>
        </w:rPr>
        <w:t>万元、</w:t>
      </w:r>
      <w:r>
        <w:rPr>
          <w:rFonts w:hint="eastAsia"/>
          <w:sz w:val="24"/>
          <w:szCs w:val="22"/>
        </w:rPr>
        <w:t>22,265.03</w:t>
      </w:r>
      <w:r>
        <w:rPr>
          <w:rFonts w:hint="eastAsia"/>
          <w:sz w:val="24"/>
          <w:szCs w:val="22"/>
        </w:rPr>
        <w:t>万元和</w:t>
      </w:r>
      <w:r>
        <w:rPr>
          <w:sz w:val="24"/>
          <w:szCs w:val="22"/>
        </w:rPr>
        <w:t>18,112.24</w:t>
      </w:r>
      <w:r>
        <w:rPr>
          <w:rFonts w:hint="eastAsia"/>
          <w:sz w:val="24"/>
          <w:szCs w:val="22"/>
        </w:rPr>
        <w:t>万元，公司负债规模总体保持稳定，</w:t>
      </w:r>
      <w:r>
        <w:rPr>
          <w:rFonts w:hint="eastAsia"/>
          <w:sz w:val="24"/>
          <w:szCs w:val="22"/>
        </w:rPr>
        <w:t>2</w:t>
      </w:r>
      <w:r>
        <w:rPr>
          <w:sz w:val="24"/>
          <w:szCs w:val="22"/>
        </w:rPr>
        <w:t>021</w:t>
      </w:r>
      <w:r>
        <w:rPr>
          <w:rFonts w:hint="eastAsia"/>
          <w:sz w:val="24"/>
          <w:szCs w:val="22"/>
        </w:rPr>
        <w:t>年末小幅增加主要系预收子公司即聚机电的股权转让款所致，</w:t>
      </w:r>
      <w:r>
        <w:rPr>
          <w:rFonts w:hint="eastAsia"/>
          <w:sz w:val="24"/>
          <w:szCs w:val="22"/>
        </w:rPr>
        <w:t>2</w:t>
      </w:r>
      <w:r>
        <w:rPr>
          <w:sz w:val="24"/>
          <w:szCs w:val="22"/>
        </w:rPr>
        <w:t>023</w:t>
      </w:r>
      <w:r>
        <w:rPr>
          <w:rFonts w:hint="eastAsia"/>
          <w:sz w:val="24"/>
          <w:szCs w:val="22"/>
        </w:rPr>
        <w:t>年</w:t>
      </w:r>
      <w:r>
        <w:rPr>
          <w:rFonts w:hint="eastAsia"/>
          <w:sz w:val="24"/>
          <w:szCs w:val="22"/>
        </w:rPr>
        <w:t>9</w:t>
      </w:r>
      <w:r>
        <w:rPr>
          <w:rFonts w:hint="eastAsia"/>
          <w:sz w:val="24"/>
          <w:szCs w:val="22"/>
        </w:rPr>
        <w:t>月末小幅下降主要系偿还了部分短期借款。</w:t>
      </w:r>
    </w:p>
    <w:bookmarkEnd w:id="323"/>
    <w:p w14:paraId="7B64E7FE" w14:textId="77777777" w:rsidR="004B0883" w:rsidRDefault="004B0883">
      <w:pPr>
        <w:keepNext/>
        <w:keepLines/>
        <w:widowControl w:val="0"/>
        <w:spacing w:beforeLines="50" w:before="120" w:line="360" w:lineRule="auto"/>
        <w:ind w:firstLineChars="200" w:firstLine="482"/>
        <w:jc w:val="both"/>
        <w:outlineLvl w:val="3"/>
        <w:rPr>
          <w:b/>
          <w:bCs/>
          <w:sz w:val="24"/>
          <w:szCs w:val="28"/>
        </w:rPr>
      </w:pPr>
      <w:r>
        <w:rPr>
          <w:b/>
          <w:bCs/>
          <w:sz w:val="24"/>
          <w:szCs w:val="28"/>
        </w:rPr>
        <w:t>1</w:t>
      </w:r>
      <w:r>
        <w:rPr>
          <w:rFonts w:hint="eastAsia"/>
          <w:b/>
          <w:bCs/>
          <w:sz w:val="24"/>
          <w:szCs w:val="28"/>
        </w:rPr>
        <w:t>、流动负债结构分析</w:t>
      </w:r>
    </w:p>
    <w:p w14:paraId="6924FDB9"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报告期各期末，公司的流动负债构成如下：</w:t>
      </w:r>
    </w:p>
    <w:p w14:paraId="4B268530" w14:textId="77777777" w:rsidR="004B0883" w:rsidRDefault="004B0883">
      <w:pPr>
        <w:keepNext/>
        <w:widowControl w:val="0"/>
        <w:jc w:val="right"/>
        <w:rPr>
          <w:szCs w:val="22"/>
        </w:rPr>
      </w:pPr>
      <w:r>
        <w:rPr>
          <w:rFonts w:hint="eastAsia"/>
          <w:szCs w:val="22"/>
        </w:rPr>
        <w:t>单位：万元</w:t>
      </w:r>
    </w:p>
    <w:tbl>
      <w:tblPr>
        <w:tblW w:w="6484" w:type="pct"/>
        <w:tblInd w:w="-131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shd w:val="solid" w:color="FFFFFF" w:fill="FFFFFF"/>
        <w:tblLayout w:type="fixed"/>
        <w:tblLook w:val="0000" w:firstRow="0" w:lastRow="0" w:firstColumn="0" w:lastColumn="0" w:noHBand="0" w:noVBand="0"/>
      </w:tblPr>
      <w:tblGrid>
        <w:gridCol w:w="1324"/>
        <w:gridCol w:w="1177"/>
        <w:gridCol w:w="1177"/>
        <w:gridCol w:w="1177"/>
        <w:gridCol w:w="1177"/>
        <w:gridCol w:w="1177"/>
        <w:gridCol w:w="1177"/>
        <w:gridCol w:w="1177"/>
        <w:gridCol w:w="1175"/>
      </w:tblGrid>
      <w:tr w:rsidR="004B0883" w14:paraId="717E7842" w14:textId="77777777">
        <w:trPr>
          <w:cantSplit/>
          <w:trHeight w:val="397"/>
          <w:tblHeader/>
        </w:trPr>
        <w:tc>
          <w:tcPr>
            <w:tcW w:w="617" w:type="pct"/>
            <w:vMerge w:val="restart"/>
            <w:tcBorders>
              <w:top w:val="single" w:sz="12" w:space="0" w:color="000000"/>
              <w:bottom w:val="single" w:sz="4" w:space="0" w:color="000000"/>
            </w:tcBorders>
            <w:shd w:val="clear" w:color="auto" w:fill="D9D9D9"/>
            <w:vAlign w:val="center"/>
          </w:tcPr>
          <w:p w14:paraId="1FD05A41" w14:textId="77777777" w:rsidR="004B0883" w:rsidRDefault="004B0883">
            <w:pPr>
              <w:jc w:val="center"/>
              <w:rPr>
                <w:b/>
                <w:color w:val="000000"/>
              </w:rPr>
            </w:pPr>
            <w:r>
              <w:rPr>
                <w:b/>
                <w:color w:val="000000"/>
              </w:rPr>
              <w:t>项目</w:t>
            </w:r>
          </w:p>
        </w:tc>
        <w:tc>
          <w:tcPr>
            <w:tcW w:w="1096" w:type="pct"/>
            <w:gridSpan w:val="2"/>
            <w:tcBorders>
              <w:top w:val="single" w:sz="12" w:space="0" w:color="000000"/>
              <w:bottom w:val="single" w:sz="4" w:space="0" w:color="000000"/>
            </w:tcBorders>
            <w:shd w:val="clear" w:color="auto" w:fill="D9D9D9"/>
            <w:vAlign w:val="center"/>
          </w:tcPr>
          <w:p w14:paraId="172344F6" w14:textId="77777777" w:rsidR="004B0883" w:rsidRDefault="004B0883">
            <w:pPr>
              <w:jc w:val="center"/>
              <w:rPr>
                <w:b/>
                <w:color w:val="000000"/>
              </w:rPr>
            </w:pPr>
            <w:r>
              <w:rPr>
                <w:b/>
                <w:color w:val="000000"/>
              </w:rPr>
              <w:t>2023.</w:t>
            </w:r>
            <w:r>
              <w:rPr>
                <w:rFonts w:hint="eastAsia"/>
                <w:b/>
                <w:color w:val="000000"/>
              </w:rPr>
              <w:t>9</w:t>
            </w:r>
            <w:r>
              <w:rPr>
                <w:b/>
                <w:color w:val="000000"/>
              </w:rPr>
              <w:t>.30</w:t>
            </w:r>
          </w:p>
        </w:tc>
        <w:tc>
          <w:tcPr>
            <w:tcW w:w="1096" w:type="pct"/>
            <w:gridSpan w:val="2"/>
            <w:tcBorders>
              <w:top w:val="single" w:sz="12" w:space="0" w:color="000000"/>
              <w:bottom w:val="single" w:sz="4" w:space="0" w:color="000000"/>
            </w:tcBorders>
            <w:shd w:val="clear" w:color="auto" w:fill="D9D9D9"/>
            <w:vAlign w:val="center"/>
          </w:tcPr>
          <w:p w14:paraId="3F194093" w14:textId="77777777" w:rsidR="004B0883" w:rsidRDefault="004B0883">
            <w:pPr>
              <w:jc w:val="center"/>
              <w:rPr>
                <w:b/>
                <w:color w:val="000000"/>
              </w:rPr>
            </w:pPr>
            <w:r>
              <w:rPr>
                <w:b/>
                <w:color w:val="000000"/>
              </w:rPr>
              <w:t>2022.12.31</w:t>
            </w:r>
          </w:p>
        </w:tc>
        <w:tc>
          <w:tcPr>
            <w:tcW w:w="1096" w:type="pct"/>
            <w:gridSpan w:val="2"/>
            <w:tcBorders>
              <w:top w:val="single" w:sz="12" w:space="0" w:color="000000"/>
              <w:bottom w:val="single" w:sz="4" w:space="0" w:color="000000"/>
            </w:tcBorders>
            <w:shd w:val="clear" w:color="auto" w:fill="D9D9D9"/>
            <w:vAlign w:val="center"/>
          </w:tcPr>
          <w:p w14:paraId="46CF0B83" w14:textId="77777777" w:rsidR="004B0883" w:rsidRDefault="004B0883">
            <w:pPr>
              <w:jc w:val="center"/>
              <w:rPr>
                <w:b/>
                <w:color w:val="000000"/>
              </w:rPr>
            </w:pPr>
            <w:r>
              <w:rPr>
                <w:b/>
                <w:color w:val="000000"/>
              </w:rPr>
              <w:t>2021.12.31</w:t>
            </w:r>
          </w:p>
        </w:tc>
        <w:tc>
          <w:tcPr>
            <w:tcW w:w="1096" w:type="pct"/>
            <w:gridSpan w:val="2"/>
            <w:tcBorders>
              <w:top w:val="single" w:sz="12" w:space="0" w:color="000000"/>
              <w:bottom w:val="single" w:sz="4" w:space="0" w:color="000000"/>
            </w:tcBorders>
            <w:shd w:val="clear" w:color="auto" w:fill="D9D9D9"/>
            <w:vAlign w:val="center"/>
          </w:tcPr>
          <w:p w14:paraId="0FF97EB4" w14:textId="77777777" w:rsidR="004B0883" w:rsidRDefault="004B0883">
            <w:pPr>
              <w:jc w:val="center"/>
              <w:rPr>
                <w:b/>
                <w:color w:val="000000"/>
              </w:rPr>
            </w:pPr>
            <w:r>
              <w:rPr>
                <w:b/>
                <w:color w:val="000000"/>
              </w:rPr>
              <w:t>2020.12.31</w:t>
            </w:r>
          </w:p>
        </w:tc>
      </w:tr>
      <w:tr w:rsidR="004B0883" w14:paraId="0D83F5EF" w14:textId="77777777">
        <w:trPr>
          <w:cantSplit/>
          <w:trHeight w:val="397"/>
          <w:tblHeader/>
        </w:trPr>
        <w:tc>
          <w:tcPr>
            <w:tcW w:w="617" w:type="pct"/>
            <w:vMerge/>
            <w:tcBorders>
              <w:top w:val="single" w:sz="4" w:space="0" w:color="000000"/>
              <w:bottom w:val="single" w:sz="4" w:space="0" w:color="000000"/>
            </w:tcBorders>
            <w:shd w:val="clear" w:color="auto" w:fill="D9D9D9"/>
            <w:vAlign w:val="center"/>
          </w:tcPr>
          <w:p w14:paraId="1BD87703" w14:textId="77777777" w:rsidR="004B0883" w:rsidRDefault="004B0883">
            <w:pPr>
              <w:jc w:val="center"/>
              <w:rPr>
                <w:b/>
                <w:color w:val="000000"/>
              </w:rPr>
            </w:pPr>
          </w:p>
        </w:tc>
        <w:tc>
          <w:tcPr>
            <w:tcW w:w="548" w:type="pct"/>
            <w:tcBorders>
              <w:top w:val="single" w:sz="4" w:space="0" w:color="000000"/>
              <w:bottom w:val="single" w:sz="4" w:space="0" w:color="000000"/>
            </w:tcBorders>
            <w:shd w:val="clear" w:color="auto" w:fill="D9D9D9"/>
            <w:vAlign w:val="center"/>
          </w:tcPr>
          <w:p w14:paraId="5A5A6B74" w14:textId="77777777" w:rsidR="004B0883" w:rsidRDefault="004B0883">
            <w:pPr>
              <w:jc w:val="center"/>
              <w:rPr>
                <w:b/>
                <w:color w:val="000000"/>
              </w:rPr>
            </w:pPr>
            <w:r>
              <w:rPr>
                <w:b/>
                <w:color w:val="000000"/>
              </w:rPr>
              <w:t>金额</w:t>
            </w:r>
          </w:p>
        </w:tc>
        <w:tc>
          <w:tcPr>
            <w:tcW w:w="548" w:type="pct"/>
            <w:tcBorders>
              <w:top w:val="single" w:sz="4" w:space="0" w:color="000000"/>
              <w:bottom w:val="single" w:sz="4" w:space="0" w:color="000000"/>
            </w:tcBorders>
            <w:shd w:val="clear" w:color="auto" w:fill="D9D9D9"/>
            <w:vAlign w:val="center"/>
          </w:tcPr>
          <w:p w14:paraId="59D93846" w14:textId="77777777" w:rsidR="004B0883" w:rsidRDefault="004B0883">
            <w:pPr>
              <w:jc w:val="center"/>
              <w:rPr>
                <w:b/>
                <w:color w:val="000000"/>
              </w:rPr>
            </w:pPr>
            <w:r>
              <w:rPr>
                <w:b/>
                <w:color w:val="000000"/>
              </w:rPr>
              <w:t>比例</w:t>
            </w:r>
          </w:p>
        </w:tc>
        <w:tc>
          <w:tcPr>
            <w:tcW w:w="548" w:type="pct"/>
            <w:tcBorders>
              <w:top w:val="single" w:sz="4" w:space="0" w:color="000000"/>
              <w:bottom w:val="single" w:sz="4" w:space="0" w:color="000000"/>
            </w:tcBorders>
            <w:shd w:val="clear" w:color="auto" w:fill="D9D9D9"/>
            <w:vAlign w:val="center"/>
          </w:tcPr>
          <w:p w14:paraId="7D50CE49" w14:textId="77777777" w:rsidR="004B0883" w:rsidRDefault="004B0883">
            <w:pPr>
              <w:jc w:val="center"/>
              <w:rPr>
                <w:b/>
                <w:color w:val="000000"/>
              </w:rPr>
            </w:pPr>
            <w:r>
              <w:rPr>
                <w:b/>
                <w:color w:val="000000"/>
              </w:rPr>
              <w:t>金额</w:t>
            </w:r>
          </w:p>
        </w:tc>
        <w:tc>
          <w:tcPr>
            <w:tcW w:w="548" w:type="pct"/>
            <w:tcBorders>
              <w:top w:val="single" w:sz="4" w:space="0" w:color="000000"/>
              <w:bottom w:val="single" w:sz="4" w:space="0" w:color="000000"/>
            </w:tcBorders>
            <w:shd w:val="clear" w:color="auto" w:fill="D9D9D9"/>
            <w:vAlign w:val="center"/>
          </w:tcPr>
          <w:p w14:paraId="2006C633" w14:textId="77777777" w:rsidR="004B0883" w:rsidRDefault="004B0883">
            <w:pPr>
              <w:jc w:val="center"/>
              <w:rPr>
                <w:b/>
                <w:color w:val="000000"/>
              </w:rPr>
            </w:pPr>
            <w:r>
              <w:rPr>
                <w:b/>
                <w:color w:val="000000"/>
              </w:rPr>
              <w:t>比例</w:t>
            </w:r>
          </w:p>
        </w:tc>
        <w:tc>
          <w:tcPr>
            <w:tcW w:w="548" w:type="pct"/>
            <w:tcBorders>
              <w:top w:val="single" w:sz="4" w:space="0" w:color="000000"/>
              <w:bottom w:val="single" w:sz="4" w:space="0" w:color="000000"/>
            </w:tcBorders>
            <w:shd w:val="clear" w:color="auto" w:fill="D9D9D9"/>
            <w:vAlign w:val="center"/>
          </w:tcPr>
          <w:p w14:paraId="3EEE59C9" w14:textId="77777777" w:rsidR="004B0883" w:rsidRDefault="004B0883">
            <w:pPr>
              <w:jc w:val="center"/>
              <w:rPr>
                <w:b/>
                <w:color w:val="000000"/>
              </w:rPr>
            </w:pPr>
            <w:r>
              <w:rPr>
                <w:b/>
                <w:color w:val="000000"/>
              </w:rPr>
              <w:t>金额</w:t>
            </w:r>
          </w:p>
        </w:tc>
        <w:tc>
          <w:tcPr>
            <w:tcW w:w="548" w:type="pct"/>
            <w:tcBorders>
              <w:top w:val="single" w:sz="4" w:space="0" w:color="000000"/>
              <w:bottom w:val="single" w:sz="4" w:space="0" w:color="000000"/>
            </w:tcBorders>
            <w:shd w:val="clear" w:color="auto" w:fill="D9D9D9"/>
            <w:vAlign w:val="center"/>
          </w:tcPr>
          <w:p w14:paraId="58F743E4" w14:textId="77777777" w:rsidR="004B0883" w:rsidRDefault="004B0883">
            <w:pPr>
              <w:jc w:val="center"/>
              <w:rPr>
                <w:b/>
                <w:color w:val="000000"/>
              </w:rPr>
            </w:pPr>
            <w:r>
              <w:rPr>
                <w:b/>
                <w:color w:val="000000"/>
              </w:rPr>
              <w:t>比例</w:t>
            </w:r>
          </w:p>
        </w:tc>
        <w:tc>
          <w:tcPr>
            <w:tcW w:w="548" w:type="pct"/>
            <w:tcBorders>
              <w:top w:val="single" w:sz="4" w:space="0" w:color="000000"/>
              <w:bottom w:val="single" w:sz="4" w:space="0" w:color="000000"/>
            </w:tcBorders>
            <w:shd w:val="clear" w:color="auto" w:fill="D9D9D9"/>
            <w:vAlign w:val="center"/>
          </w:tcPr>
          <w:p w14:paraId="20F473CC" w14:textId="77777777" w:rsidR="004B0883" w:rsidRDefault="004B0883">
            <w:pPr>
              <w:jc w:val="center"/>
              <w:rPr>
                <w:b/>
                <w:color w:val="000000"/>
              </w:rPr>
            </w:pPr>
            <w:r>
              <w:rPr>
                <w:b/>
                <w:color w:val="000000"/>
              </w:rPr>
              <w:t>金额</w:t>
            </w:r>
          </w:p>
        </w:tc>
        <w:tc>
          <w:tcPr>
            <w:tcW w:w="548" w:type="pct"/>
            <w:tcBorders>
              <w:top w:val="single" w:sz="4" w:space="0" w:color="000000"/>
              <w:bottom w:val="single" w:sz="4" w:space="0" w:color="000000"/>
            </w:tcBorders>
            <w:shd w:val="clear" w:color="auto" w:fill="D9D9D9"/>
            <w:vAlign w:val="center"/>
          </w:tcPr>
          <w:p w14:paraId="5D0B1726" w14:textId="77777777" w:rsidR="004B0883" w:rsidRDefault="004B0883">
            <w:pPr>
              <w:jc w:val="center"/>
              <w:rPr>
                <w:b/>
                <w:color w:val="000000"/>
              </w:rPr>
            </w:pPr>
            <w:r>
              <w:rPr>
                <w:b/>
                <w:color w:val="000000"/>
              </w:rPr>
              <w:t>比例</w:t>
            </w:r>
          </w:p>
        </w:tc>
      </w:tr>
      <w:tr w:rsidR="004B0883" w14:paraId="10366CCA" w14:textId="77777777">
        <w:trPr>
          <w:cantSplit/>
          <w:trHeight w:val="397"/>
        </w:trPr>
        <w:tc>
          <w:tcPr>
            <w:tcW w:w="617" w:type="pct"/>
            <w:tcBorders>
              <w:top w:val="single" w:sz="4" w:space="0" w:color="000000"/>
            </w:tcBorders>
            <w:shd w:val="solid" w:color="FFFFFF" w:fill="FFFFFF"/>
            <w:vAlign w:val="center"/>
          </w:tcPr>
          <w:p w14:paraId="1A7E7F3C" w14:textId="77777777" w:rsidR="004B0883" w:rsidRDefault="004B0883">
            <w:pPr>
              <w:jc w:val="center"/>
              <w:rPr>
                <w:color w:val="000000"/>
              </w:rPr>
            </w:pPr>
            <w:r>
              <w:rPr>
                <w:rFonts w:hint="eastAsia"/>
                <w:color w:val="000000"/>
              </w:rPr>
              <w:t>短期借款</w:t>
            </w:r>
          </w:p>
        </w:tc>
        <w:tc>
          <w:tcPr>
            <w:tcW w:w="548" w:type="pct"/>
            <w:tcBorders>
              <w:top w:val="single" w:sz="4" w:space="0" w:color="000000"/>
            </w:tcBorders>
            <w:shd w:val="solid" w:color="FFFFFF" w:fill="FFFFFF"/>
            <w:vAlign w:val="center"/>
          </w:tcPr>
          <w:p w14:paraId="01E3D720" w14:textId="77777777" w:rsidR="004B0883" w:rsidRDefault="004B0883">
            <w:pPr>
              <w:jc w:val="right"/>
              <w:rPr>
                <w:color w:val="000000"/>
              </w:rPr>
            </w:pPr>
            <w:r>
              <w:rPr>
                <w:color w:val="000000"/>
              </w:rPr>
              <w:t>-</w:t>
            </w:r>
          </w:p>
        </w:tc>
        <w:tc>
          <w:tcPr>
            <w:tcW w:w="548" w:type="pct"/>
            <w:tcBorders>
              <w:top w:val="single" w:sz="4" w:space="0" w:color="000000"/>
            </w:tcBorders>
            <w:shd w:val="solid" w:color="FFFFFF" w:fill="FFFFFF"/>
            <w:vAlign w:val="center"/>
          </w:tcPr>
          <w:p w14:paraId="1CC08E31" w14:textId="77777777" w:rsidR="004B0883" w:rsidRDefault="004B0883">
            <w:pPr>
              <w:jc w:val="right"/>
              <w:rPr>
                <w:color w:val="000000"/>
              </w:rPr>
            </w:pPr>
            <w:r>
              <w:rPr>
                <w:color w:val="000000"/>
              </w:rPr>
              <w:t>-</w:t>
            </w:r>
          </w:p>
        </w:tc>
        <w:tc>
          <w:tcPr>
            <w:tcW w:w="548" w:type="pct"/>
            <w:tcBorders>
              <w:top w:val="single" w:sz="4" w:space="0" w:color="000000"/>
            </w:tcBorders>
            <w:shd w:val="solid" w:color="FFFFFF" w:fill="FFFFFF"/>
            <w:vAlign w:val="center"/>
          </w:tcPr>
          <w:p w14:paraId="221B9DAF" w14:textId="77777777" w:rsidR="004B0883" w:rsidRDefault="004B0883">
            <w:pPr>
              <w:jc w:val="right"/>
              <w:rPr>
                <w:color w:val="000000"/>
              </w:rPr>
            </w:pPr>
            <w:r>
              <w:rPr>
                <w:rFonts w:hint="eastAsia"/>
                <w:color w:val="000000"/>
              </w:rPr>
              <w:t>3,000.92</w:t>
            </w:r>
          </w:p>
        </w:tc>
        <w:tc>
          <w:tcPr>
            <w:tcW w:w="548" w:type="pct"/>
            <w:tcBorders>
              <w:top w:val="single" w:sz="4" w:space="0" w:color="000000"/>
            </w:tcBorders>
            <w:shd w:val="solid" w:color="FFFFFF" w:fill="FFFFFF"/>
            <w:vAlign w:val="center"/>
          </w:tcPr>
          <w:p w14:paraId="187D0FAE" w14:textId="77777777" w:rsidR="004B0883" w:rsidRDefault="004B0883">
            <w:pPr>
              <w:jc w:val="right"/>
              <w:rPr>
                <w:color w:val="000000"/>
              </w:rPr>
            </w:pPr>
            <w:r>
              <w:rPr>
                <w:rFonts w:hint="eastAsia"/>
                <w:color w:val="000000"/>
              </w:rPr>
              <w:t>13.48%</w:t>
            </w:r>
          </w:p>
        </w:tc>
        <w:tc>
          <w:tcPr>
            <w:tcW w:w="548" w:type="pct"/>
            <w:tcBorders>
              <w:top w:val="single" w:sz="4" w:space="0" w:color="000000"/>
            </w:tcBorders>
            <w:shd w:val="solid" w:color="FFFFFF" w:fill="FFFFFF"/>
            <w:vAlign w:val="center"/>
          </w:tcPr>
          <w:p w14:paraId="10CF362B" w14:textId="77777777" w:rsidR="004B0883" w:rsidRDefault="004B0883">
            <w:pPr>
              <w:jc w:val="right"/>
              <w:rPr>
                <w:color w:val="000000"/>
              </w:rPr>
            </w:pPr>
            <w:r>
              <w:rPr>
                <w:rFonts w:hint="eastAsia"/>
                <w:color w:val="000000"/>
              </w:rPr>
              <w:t>3,100.00</w:t>
            </w:r>
          </w:p>
        </w:tc>
        <w:tc>
          <w:tcPr>
            <w:tcW w:w="548" w:type="pct"/>
            <w:tcBorders>
              <w:top w:val="single" w:sz="4" w:space="0" w:color="000000"/>
            </w:tcBorders>
            <w:shd w:val="solid" w:color="FFFFFF" w:fill="FFFFFF"/>
            <w:vAlign w:val="center"/>
          </w:tcPr>
          <w:p w14:paraId="785DCCAF" w14:textId="77777777" w:rsidR="004B0883" w:rsidRDefault="004B0883">
            <w:pPr>
              <w:jc w:val="right"/>
              <w:rPr>
                <w:color w:val="000000"/>
              </w:rPr>
            </w:pPr>
            <w:r>
              <w:rPr>
                <w:rFonts w:hint="eastAsia"/>
                <w:color w:val="000000"/>
              </w:rPr>
              <w:t>12.71%</w:t>
            </w:r>
          </w:p>
        </w:tc>
        <w:tc>
          <w:tcPr>
            <w:tcW w:w="548" w:type="pct"/>
            <w:tcBorders>
              <w:top w:val="single" w:sz="4" w:space="0" w:color="000000"/>
            </w:tcBorders>
            <w:shd w:val="solid" w:color="FFFFFF" w:fill="FFFFFF"/>
            <w:vAlign w:val="center"/>
          </w:tcPr>
          <w:p w14:paraId="41825733" w14:textId="77777777" w:rsidR="004B0883" w:rsidRDefault="004B0883">
            <w:pPr>
              <w:jc w:val="right"/>
              <w:rPr>
                <w:color w:val="000000"/>
              </w:rPr>
            </w:pPr>
            <w:r>
              <w:rPr>
                <w:rFonts w:hint="eastAsia"/>
                <w:color w:val="000000"/>
              </w:rPr>
              <w:t>4,958.61</w:t>
            </w:r>
          </w:p>
        </w:tc>
        <w:tc>
          <w:tcPr>
            <w:tcW w:w="548" w:type="pct"/>
            <w:tcBorders>
              <w:top w:val="single" w:sz="4" w:space="0" w:color="000000"/>
            </w:tcBorders>
            <w:shd w:val="solid" w:color="FFFFFF" w:fill="FFFFFF"/>
            <w:vAlign w:val="center"/>
          </w:tcPr>
          <w:p w14:paraId="405822A8" w14:textId="77777777" w:rsidR="004B0883" w:rsidRDefault="004B0883">
            <w:pPr>
              <w:jc w:val="right"/>
              <w:rPr>
                <w:color w:val="000000"/>
              </w:rPr>
            </w:pPr>
            <w:r>
              <w:rPr>
                <w:rFonts w:hint="eastAsia"/>
                <w:color w:val="000000"/>
              </w:rPr>
              <w:t>24.02%</w:t>
            </w:r>
          </w:p>
        </w:tc>
      </w:tr>
      <w:tr w:rsidR="004B0883" w14:paraId="77FD8116" w14:textId="77777777">
        <w:trPr>
          <w:cantSplit/>
          <w:trHeight w:val="397"/>
        </w:trPr>
        <w:tc>
          <w:tcPr>
            <w:tcW w:w="617" w:type="pct"/>
            <w:shd w:val="solid" w:color="FFFFFF" w:fill="FFFFFF"/>
            <w:vAlign w:val="center"/>
          </w:tcPr>
          <w:p w14:paraId="12F82820" w14:textId="77777777" w:rsidR="004B0883" w:rsidRDefault="004B0883">
            <w:pPr>
              <w:jc w:val="center"/>
              <w:rPr>
                <w:color w:val="000000"/>
              </w:rPr>
            </w:pPr>
            <w:r>
              <w:rPr>
                <w:rFonts w:hint="eastAsia"/>
                <w:color w:val="000000"/>
              </w:rPr>
              <w:t>交易性金融负债</w:t>
            </w:r>
          </w:p>
        </w:tc>
        <w:tc>
          <w:tcPr>
            <w:tcW w:w="548" w:type="pct"/>
            <w:shd w:val="solid" w:color="FFFFFF" w:fill="FFFFFF"/>
            <w:vAlign w:val="center"/>
          </w:tcPr>
          <w:p w14:paraId="55280394" w14:textId="77777777" w:rsidR="004B0883" w:rsidRDefault="004B0883">
            <w:pPr>
              <w:jc w:val="right"/>
              <w:rPr>
                <w:color w:val="000000"/>
              </w:rPr>
            </w:pPr>
            <w:r>
              <w:rPr>
                <w:color w:val="000000"/>
              </w:rPr>
              <w:t>-</w:t>
            </w:r>
          </w:p>
        </w:tc>
        <w:tc>
          <w:tcPr>
            <w:tcW w:w="548" w:type="pct"/>
            <w:shd w:val="solid" w:color="FFFFFF" w:fill="FFFFFF"/>
            <w:vAlign w:val="center"/>
          </w:tcPr>
          <w:p w14:paraId="7B1E2831" w14:textId="77777777" w:rsidR="004B0883" w:rsidRDefault="004B0883">
            <w:pPr>
              <w:jc w:val="right"/>
              <w:rPr>
                <w:rFonts w:hint="eastAsia"/>
                <w:color w:val="000000"/>
              </w:rPr>
            </w:pPr>
            <w:r>
              <w:rPr>
                <w:color w:val="000000"/>
              </w:rPr>
              <w:t>-</w:t>
            </w:r>
          </w:p>
        </w:tc>
        <w:tc>
          <w:tcPr>
            <w:tcW w:w="548" w:type="pct"/>
            <w:shd w:val="solid" w:color="FFFFFF" w:fill="FFFFFF"/>
            <w:vAlign w:val="center"/>
          </w:tcPr>
          <w:p w14:paraId="4EF8E16D" w14:textId="77777777" w:rsidR="004B0883" w:rsidRDefault="004B0883">
            <w:pPr>
              <w:jc w:val="right"/>
              <w:rPr>
                <w:color w:val="000000"/>
              </w:rPr>
            </w:pPr>
            <w:r>
              <w:rPr>
                <w:color w:val="000000"/>
              </w:rPr>
              <w:t>-</w:t>
            </w:r>
          </w:p>
        </w:tc>
        <w:tc>
          <w:tcPr>
            <w:tcW w:w="548" w:type="pct"/>
            <w:shd w:val="solid" w:color="FFFFFF" w:fill="FFFFFF"/>
            <w:vAlign w:val="center"/>
          </w:tcPr>
          <w:p w14:paraId="3CECF5BA" w14:textId="77777777" w:rsidR="004B0883" w:rsidRDefault="004B0883">
            <w:pPr>
              <w:jc w:val="right"/>
              <w:rPr>
                <w:rFonts w:hint="eastAsia"/>
                <w:color w:val="000000"/>
              </w:rPr>
            </w:pPr>
            <w:r>
              <w:rPr>
                <w:color w:val="000000"/>
              </w:rPr>
              <w:t>-</w:t>
            </w:r>
          </w:p>
        </w:tc>
        <w:tc>
          <w:tcPr>
            <w:tcW w:w="548" w:type="pct"/>
            <w:shd w:val="solid" w:color="FFFFFF" w:fill="FFFFFF"/>
            <w:vAlign w:val="center"/>
          </w:tcPr>
          <w:p w14:paraId="699BC652" w14:textId="77777777" w:rsidR="004B0883" w:rsidRDefault="004B0883">
            <w:pPr>
              <w:jc w:val="right"/>
              <w:rPr>
                <w:color w:val="000000"/>
              </w:rPr>
            </w:pPr>
            <w:r>
              <w:rPr>
                <w:color w:val="000000"/>
              </w:rPr>
              <w:t>-</w:t>
            </w:r>
          </w:p>
        </w:tc>
        <w:tc>
          <w:tcPr>
            <w:tcW w:w="548" w:type="pct"/>
            <w:shd w:val="solid" w:color="FFFFFF" w:fill="FFFFFF"/>
            <w:vAlign w:val="center"/>
          </w:tcPr>
          <w:p w14:paraId="18142B42" w14:textId="77777777" w:rsidR="004B0883" w:rsidRDefault="004B0883">
            <w:pPr>
              <w:jc w:val="right"/>
              <w:rPr>
                <w:rFonts w:hint="eastAsia"/>
                <w:color w:val="000000"/>
              </w:rPr>
            </w:pPr>
            <w:r>
              <w:rPr>
                <w:color w:val="000000"/>
              </w:rPr>
              <w:t>-</w:t>
            </w:r>
          </w:p>
        </w:tc>
        <w:tc>
          <w:tcPr>
            <w:tcW w:w="548" w:type="pct"/>
            <w:shd w:val="solid" w:color="FFFFFF" w:fill="FFFFFF"/>
            <w:vAlign w:val="center"/>
          </w:tcPr>
          <w:p w14:paraId="58CC32EE" w14:textId="77777777" w:rsidR="004B0883" w:rsidRDefault="004B0883">
            <w:pPr>
              <w:jc w:val="right"/>
              <w:rPr>
                <w:color w:val="000000"/>
              </w:rPr>
            </w:pPr>
            <w:r>
              <w:rPr>
                <w:rFonts w:hint="eastAsia"/>
                <w:color w:val="000000"/>
              </w:rPr>
              <w:t>3.16</w:t>
            </w:r>
          </w:p>
        </w:tc>
        <w:tc>
          <w:tcPr>
            <w:tcW w:w="548" w:type="pct"/>
            <w:shd w:val="solid" w:color="FFFFFF" w:fill="FFFFFF"/>
            <w:vAlign w:val="center"/>
          </w:tcPr>
          <w:p w14:paraId="2CCAB7E4" w14:textId="77777777" w:rsidR="004B0883" w:rsidRDefault="004B0883">
            <w:pPr>
              <w:jc w:val="right"/>
              <w:rPr>
                <w:rFonts w:hint="eastAsia"/>
                <w:color w:val="000000"/>
              </w:rPr>
            </w:pPr>
            <w:r>
              <w:rPr>
                <w:rFonts w:hint="eastAsia"/>
                <w:color w:val="000000"/>
              </w:rPr>
              <w:t>0.02%</w:t>
            </w:r>
          </w:p>
        </w:tc>
      </w:tr>
      <w:tr w:rsidR="004B0883" w14:paraId="3F8359C2" w14:textId="77777777">
        <w:trPr>
          <w:cantSplit/>
          <w:trHeight w:val="397"/>
        </w:trPr>
        <w:tc>
          <w:tcPr>
            <w:tcW w:w="617" w:type="pct"/>
            <w:shd w:val="solid" w:color="FFFFFF" w:fill="FFFFFF"/>
            <w:vAlign w:val="center"/>
          </w:tcPr>
          <w:p w14:paraId="534E3256" w14:textId="77777777" w:rsidR="004B0883" w:rsidRDefault="004B0883">
            <w:pPr>
              <w:jc w:val="center"/>
              <w:rPr>
                <w:color w:val="000000"/>
              </w:rPr>
            </w:pPr>
            <w:r>
              <w:rPr>
                <w:rFonts w:hint="eastAsia"/>
                <w:color w:val="000000"/>
              </w:rPr>
              <w:t>应付票据</w:t>
            </w:r>
          </w:p>
        </w:tc>
        <w:tc>
          <w:tcPr>
            <w:tcW w:w="548" w:type="pct"/>
            <w:shd w:val="solid" w:color="FFFFFF" w:fill="FFFFFF"/>
            <w:vAlign w:val="center"/>
          </w:tcPr>
          <w:p w14:paraId="79EDE521" w14:textId="77777777" w:rsidR="004B0883" w:rsidRDefault="004B0883">
            <w:pPr>
              <w:jc w:val="right"/>
              <w:rPr>
                <w:color w:val="000000"/>
              </w:rPr>
            </w:pPr>
            <w:r>
              <w:rPr>
                <w:color w:val="000000"/>
              </w:rPr>
              <w:t>3,525.91</w:t>
            </w:r>
          </w:p>
        </w:tc>
        <w:tc>
          <w:tcPr>
            <w:tcW w:w="548" w:type="pct"/>
            <w:shd w:val="solid" w:color="FFFFFF" w:fill="FFFFFF"/>
            <w:vAlign w:val="center"/>
          </w:tcPr>
          <w:p w14:paraId="367C25AA" w14:textId="77777777" w:rsidR="004B0883" w:rsidRDefault="004B0883">
            <w:pPr>
              <w:jc w:val="right"/>
              <w:rPr>
                <w:color w:val="000000"/>
              </w:rPr>
            </w:pPr>
            <w:r>
              <w:rPr>
                <w:color w:val="000000"/>
              </w:rPr>
              <w:t>19.47%</w:t>
            </w:r>
          </w:p>
        </w:tc>
        <w:tc>
          <w:tcPr>
            <w:tcW w:w="548" w:type="pct"/>
            <w:shd w:val="solid" w:color="FFFFFF" w:fill="FFFFFF"/>
            <w:vAlign w:val="center"/>
          </w:tcPr>
          <w:p w14:paraId="53BDBC34" w14:textId="77777777" w:rsidR="004B0883" w:rsidRDefault="004B0883">
            <w:pPr>
              <w:jc w:val="right"/>
              <w:rPr>
                <w:color w:val="000000"/>
              </w:rPr>
            </w:pPr>
            <w:r>
              <w:rPr>
                <w:rFonts w:hint="eastAsia"/>
                <w:color w:val="000000"/>
              </w:rPr>
              <w:t>4,200.84</w:t>
            </w:r>
          </w:p>
        </w:tc>
        <w:tc>
          <w:tcPr>
            <w:tcW w:w="548" w:type="pct"/>
            <w:shd w:val="solid" w:color="FFFFFF" w:fill="FFFFFF"/>
            <w:vAlign w:val="center"/>
          </w:tcPr>
          <w:p w14:paraId="30EA01BD" w14:textId="77777777" w:rsidR="004B0883" w:rsidRDefault="004B0883">
            <w:pPr>
              <w:jc w:val="right"/>
              <w:rPr>
                <w:color w:val="000000"/>
              </w:rPr>
            </w:pPr>
            <w:r>
              <w:rPr>
                <w:rFonts w:hint="eastAsia"/>
                <w:color w:val="000000"/>
              </w:rPr>
              <w:t>18.87%</w:t>
            </w:r>
          </w:p>
        </w:tc>
        <w:tc>
          <w:tcPr>
            <w:tcW w:w="548" w:type="pct"/>
            <w:shd w:val="solid" w:color="FFFFFF" w:fill="FFFFFF"/>
            <w:vAlign w:val="center"/>
          </w:tcPr>
          <w:p w14:paraId="1C518A40" w14:textId="77777777" w:rsidR="004B0883" w:rsidRDefault="004B0883">
            <w:pPr>
              <w:jc w:val="right"/>
              <w:rPr>
                <w:color w:val="000000"/>
              </w:rPr>
            </w:pPr>
            <w:r>
              <w:rPr>
                <w:rFonts w:hint="eastAsia"/>
                <w:color w:val="000000"/>
              </w:rPr>
              <w:t>3,878.65</w:t>
            </w:r>
          </w:p>
        </w:tc>
        <w:tc>
          <w:tcPr>
            <w:tcW w:w="548" w:type="pct"/>
            <w:shd w:val="solid" w:color="FFFFFF" w:fill="FFFFFF"/>
            <w:vAlign w:val="center"/>
          </w:tcPr>
          <w:p w14:paraId="7F3183E0" w14:textId="77777777" w:rsidR="004B0883" w:rsidRDefault="004B0883">
            <w:pPr>
              <w:jc w:val="right"/>
              <w:rPr>
                <w:color w:val="000000"/>
              </w:rPr>
            </w:pPr>
            <w:r>
              <w:rPr>
                <w:rFonts w:hint="eastAsia"/>
                <w:color w:val="000000"/>
              </w:rPr>
              <w:t>15.90%</w:t>
            </w:r>
          </w:p>
        </w:tc>
        <w:tc>
          <w:tcPr>
            <w:tcW w:w="548" w:type="pct"/>
            <w:shd w:val="solid" w:color="FFFFFF" w:fill="FFFFFF"/>
            <w:vAlign w:val="center"/>
          </w:tcPr>
          <w:p w14:paraId="299D2548" w14:textId="77777777" w:rsidR="004B0883" w:rsidRDefault="004B0883">
            <w:pPr>
              <w:jc w:val="right"/>
              <w:rPr>
                <w:color w:val="000000"/>
              </w:rPr>
            </w:pPr>
            <w:r>
              <w:rPr>
                <w:rFonts w:hint="eastAsia"/>
                <w:color w:val="000000"/>
              </w:rPr>
              <w:t>3,479.85</w:t>
            </w:r>
          </w:p>
        </w:tc>
        <w:tc>
          <w:tcPr>
            <w:tcW w:w="548" w:type="pct"/>
            <w:shd w:val="solid" w:color="FFFFFF" w:fill="FFFFFF"/>
            <w:vAlign w:val="center"/>
          </w:tcPr>
          <w:p w14:paraId="0CAC0D35" w14:textId="77777777" w:rsidR="004B0883" w:rsidRDefault="004B0883">
            <w:pPr>
              <w:jc w:val="right"/>
              <w:rPr>
                <w:rFonts w:hint="eastAsia"/>
                <w:color w:val="000000"/>
              </w:rPr>
            </w:pPr>
            <w:r>
              <w:rPr>
                <w:rFonts w:hint="eastAsia"/>
                <w:color w:val="000000"/>
              </w:rPr>
              <w:t>16.86%</w:t>
            </w:r>
          </w:p>
        </w:tc>
      </w:tr>
      <w:tr w:rsidR="004B0883" w14:paraId="4CF89084" w14:textId="77777777">
        <w:trPr>
          <w:cantSplit/>
          <w:trHeight w:val="397"/>
        </w:trPr>
        <w:tc>
          <w:tcPr>
            <w:tcW w:w="617" w:type="pct"/>
            <w:shd w:val="solid" w:color="FFFFFF" w:fill="FFFFFF"/>
            <w:vAlign w:val="center"/>
          </w:tcPr>
          <w:p w14:paraId="2D174776" w14:textId="77777777" w:rsidR="004B0883" w:rsidRDefault="004B0883">
            <w:pPr>
              <w:jc w:val="center"/>
              <w:rPr>
                <w:color w:val="000000"/>
              </w:rPr>
            </w:pPr>
            <w:r>
              <w:rPr>
                <w:rFonts w:hint="eastAsia"/>
                <w:color w:val="000000"/>
              </w:rPr>
              <w:t>应付账款</w:t>
            </w:r>
          </w:p>
        </w:tc>
        <w:tc>
          <w:tcPr>
            <w:tcW w:w="548" w:type="pct"/>
            <w:shd w:val="solid" w:color="FFFFFF" w:fill="FFFFFF"/>
            <w:vAlign w:val="center"/>
          </w:tcPr>
          <w:p w14:paraId="711D477D" w14:textId="77777777" w:rsidR="004B0883" w:rsidRDefault="004B0883">
            <w:pPr>
              <w:jc w:val="right"/>
              <w:rPr>
                <w:color w:val="000000"/>
              </w:rPr>
            </w:pPr>
            <w:r>
              <w:rPr>
                <w:color w:val="000000"/>
              </w:rPr>
              <w:t>4,783.48</w:t>
            </w:r>
          </w:p>
        </w:tc>
        <w:tc>
          <w:tcPr>
            <w:tcW w:w="548" w:type="pct"/>
            <w:shd w:val="solid" w:color="FFFFFF" w:fill="FFFFFF"/>
            <w:vAlign w:val="center"/>
          </w:tcPr>
          <w:p w14:paraId="0B4C8D82" w14:textId="77777777" w:rsidR="004B0883" w:rsidRDefault="004B0883">
            <w:pPr>
              <w:jc w:val="right"/>
              <w:rPr>
                <w:rFonts w:hint="eastAsia"/>
                <w:color w:val="000000"/>
              </w:rPr>
            </w:pPr>
            <w:r>
              <w:rPr>
                <w:color w:val="000000"/>
              </w:rPr>
              <w:t>26.41%</w:t>
            </w:r>
          </w:p>
        </w:tc>
        <w:tc>
          <w:tcPr>
            <w:tcW w:w="548" w:type="pct"/>
            <w:shd w:val="solid" w:color="FFFFFF" w:fill="FFFFFF"/>
            <w:vAlign w:val="center"/>
          </w:tcPr>
          <w:p w14:paraId="12DD7AE3" w14:textId="77777777" w:rsidR="004B0883" w:rsidRDefault="004B0883">
            <w:pPr>
              <w:jc w:val="right"/>
              <w:rPr>
                <w:color w:val="000000"/>
              </w:rPr>
            </w:pPr>
            <w:r>
              <w:rPr>
                <w:rFonts w:hint="eastAsia"/>
                <w:color w:val="000000"/>
              </w:rPr>
              <w:t>5,839.20</w:t>
            </w:r>
          </w:p>
        </w:tc>
        <w:tc>
          <w:tcPr>
            <w:tcW w:w="548" w:type="pct"/>
            <w:shd w:val="solid" w:color="FFFFFF" w:fill="FFFFFF"/>
            <w:vAlign w:val="center"/>
          </w:tcPr>
          <w:p w14:paraId="55C014F4" w14:textId="77777777" w:rsidR="004B0883" w:rsidRDefault="004B0883">
            <w:pPr>
              <w:jc w:val="right"/>
              <w:rPr>
                <w:rFonts w:hint="eastAsia"/>
                <w:color w:val="000000"/>
              </w:rPr>
            </w:pPr>
            <w:r>
              <w:rPr>
                <w:rFonts w:hint="eastAsia"/>
                <w:color w:val="000000"/>
              </w:rPr>
              <w:t>26.23%</w:t>
            </w:r>
          </w:p>
        </w:tc>
        <w:tc>
          <w:tcPr>
            <w:tcW w:w="548" w:type="pct"/>
            <w:shd w:val="solid" w:color="FFFFFF" w:fill="FFFFFF"/>
            <w:vAlign w:val="center"/>
          </w:tcPr>
          <w:p w14:paraId="44F0C136" w14:textId="77777777" w:rsidR="004B0883" w:rsidRDefault="004B0883">
            <w:pPr>
              <w:jc w:val="right"/>
              <w:rPr>
                <w:color w:val="000000"/>
              </w:rPr>
            </w:pPr>
            <w:r>
              <w:rPr>
                <w:rFonts w:hint="eastAsia"/>
                <w:color w:val="000000"/>
              </w:rPr>
              <w:t>5,758.97</w:t>
            </w:r>
          </w:p>
        </w:tc>
        <w:tc>
          <w:tcPr>
            <w:tcW w:w="548" w:type="pct"/>
            <w:shd w:val="solid" w:color="FFFFFF" w:fill="FFFFFF"/>
            <w:vAlign w:val="center"/>
          </w:tcPr>
          <w:p w14:paraId="63311606" w14:textId="77777777" w:rsidR="004B0883" w:rsidRDefault="004B0883">
            <w:pPr>
              <w:jc w:val="right"/>
              <w:rPr>
                <w:rFonts w:hint="eastAsia"/>
                <w:color w:val="000000"/>
              </w:rPr>
            </w:pPr>
            <w:r>
              <w:rPr>
                <w:rFonts w:hint="eastAsia"/>
                <w:color w:val="000000"/>
              </w:rPr>
              <w:t>23.61%</w:t>
            </w:r>
          </w:p>
        </w:tc>
        <w:tc>
          <w:tcPr>
            <w:tcW w:w="548" w:type="pct"/>
            <w:shd w:val="solid" w:color="FFFFFF" w:fill="FFFFFF"/>
            <w:vAlign w:val="center"/>
          </w:tcPr>
          <w:p w14:paraId="6D26C31D" w14:textId="77777777" w:rsidR="004B0883" w:rsidRDefault="004B0883">
            <w:pPr>
              <w:jc w:val="right"/>
              <w:rPr>
                <w:color w:val="000000"/>
              </w:rPr>
            </w:pPr>
            <w:r>
              <w:rPr>
                <w:rFonts w:hint="eastAsia"/>
                <w:color w:val="000000"/>
              </w:rPr>
              <w:t>5,013.08</w:t>
            </w:r>
          </w:p>
        </w:tc>
        <w:tc>
          <w:tcPr>
            <w:tcW w:w="548" w:type="pct"/>
            <w:shd w:val="solid" w:color="FFFFFF" w:fill="FFFFFF"/>
            <w:vAlign w:val="center"/>
          </w:tcPr>
          <w:p w14:paraId="03180EB3" w14:textId="77777777" w:rsidR="004B0883" w:rsidRDefault="004B0883">
            <w:pPr>
              <w:jc w:val="right"/>
              <w:rPr>
                <w:rFonts w:hint="eastAsia"/>
                <w:color w:val="000000"/>
              </w:rPr>
            </w:pPr>
            <w:r>
              <w:rPr>
                <w:rFonts w:hint="eastAsia"/>
                <w:color w:val="000000"/>
              </w:rPr>
              <w:t>24.28%</w:t>
            </w:r>
          </w:p>
        </w:tc>
      </w:tr>
      <w:tr w:rsidR="004B0883" w14:paraId="37772DC5" w14:textId="77777777">
        <w:trPr>
          <w:cantSplit/>
          <w:trHeight w:val="397"/>
        </w:trPr>
        <w:tc>
          <w:tcPr>
            <w:tcW w:w="617" w:type="pct"/>
            <w:shd w:val="solid" w:color="FFFFFF" w:fill="FFFFFF"/>
            <w:vAlign w:val="center"/>
          </w:tcPr>
          <w:p w14:paraId="76CCE73A" w14:textId="77777777" w:rsidR="004B0883" w:rsidRDefault="004B0883">
            <w:pPr>
              <w:jc w:val="center"/>
              <w:rPr>
                <w:color w:val="000000"/>
              </w:rPr>
            </w:pPr>
            <w:r>
              <w:rPr>
                <w:rFonts w:hint="eastAsia"/>
                <w:color w:val="000000"/>
              </w:rPr>
              <w:t>预收款项</w:t>
            </w:r>
          </w:p>
        </w:tc>
        <w:tc>
          <w:tcPr>
            <w:tcW w:w="548" w:type="pct"/>
            <w:shd w:val="solid" w:color="FFFFFF" w:fill="FFFFFF"/>
            <w:vAlign w:val="center"/>
          </w:tcPr>
          <w:p w14:paraId="2DCF93A8" w14:textId="77777777" w:rsidR="004B0883" w:rsidRDefault="004B0883">
            <w:pPr>
              <w:jc w:val="right"/>
              <w:rPr>
                <w:color w:val="000000"/>
              </w:rPr>
            </w:pPr>
            <w:r>
              <w:rPr>
                <w:rFonts w:hint="eastAsia"/>
                <w:color w:val="000000"/>
              </w:rPr>
              <w:t>-</w:t>
            </w:r>
          </w:p>
        </w:tc>
        <w:tc>
          <w:tcPr>
            <w:tcW w:w="548" w:type="pct"/>
            <w:shd w:val="solid" w:color="FFFFFF" w:fill="FFFFFF"/>
            <w:vAlign w:val="center"/>
          </w:tcPr>
          <w:p w14:paraId="0F6069FA" w14:textId="77777777" w:rsidR="004B0883" w:rsidRDefault="004B0883">
            <w:pPr>
              <w:jc w:val="right"/>
              <w:rPr>
                <w:rFonts w:hint="eastAsia"/>
                <w:color w:val="000000"/>
              </w:rPr>
            </w:pPr>
            <w:r>
              <w:rPr>
                <w:rFonts w:hint="eastAsia"/>
                <w:color w:val="000000"/>
              </w:rPr>
              <w:t>-</w:t>
            </w:r>
          </w:p>
        </w:tc>
        <w:tc>
          <w:tcPr>
            <w:tcW w:w="548" w:type="pct"/>
            <w:shd w:val="solid" w:color="FFFFFF" w:fill="FFFFFF"/>
            <w:vAlign w:val="center"/>
          </w:tcPr>
          <w:p w14:paraId="00CE5C6A" w14:textId="77777777" w:rsidR="004B0883" w:rsidRDefault="004B0883">
            <w:pPr>
              <w:jc w:val="right"/>
              <w:rPr>
                <w:color w:val="000000"/>
              </w:rPr>
            </w:pPr>
            <w:r>
              <w:rPr>
                <w:color w:val="000000"/>
              </w:rPr>
              <w:t>-</w:t>
            </w:r>
          </w:p>
        </w:tc>
        <w:tc>
          <w:tcPr>
            <w:tcW w:w="548" w:type="pct"/>
            <w:shd w:val="solid" w:color="FFFFFF" w:fill="FFFFFF"/>
            <w:vAlign w:val="center"/>
          </w:tcPr>
          <w:p w14:paraId="07BBF1A7" w14:textId="77777777" w:rsidR="004B0883" w:rsidRDefault="004B0883">
            <w:pPr>
              <w:jc w:val="right"/>
              <w:rPr>
                <w:rFonts w:hint="eastAsia"/>
                <w:color w:val="000000"/>
              </w:rPr>
            </w:pPr>
            <w:r>
              <w:rPr>
                <w:color w:val="000000"/>
              </w:rPr>
              <w:t>-</w:t>
            </w:r>
          </w:p>
        </w:tc>
        <w:tc>
          <w:tcPr>
            <w:tcW w:w="548" w:type="pct"/>
            <w:shd w:val="solid" w:color="FFFFFF" w:fill="FFFFFF"/>
            <w:vAlign w:val="center"/>
          </w:tcPr>
          <w:p w14:paraId="50324E6A" w14:textId="77777777" w:rsidR="004B0883" w:rsidRDefault="004B0883">
            <w:pPr>
              <w:jc w:val="right"/>
              <w:rPr>
                <w:color w:val="000000"/>
              </w:rPr>
            </w:pPr>
            <w:r>
              <w:rPr>
                <w:rFonts w:hint="eastAsia"/>
                <w:color w:val="000000"/>
              </w:rPr>
              <w:t>2,450.00</w:t>
            </w:r>
          </w:p>
        </w:tc>
        <w:tc>
          <w:tcPr>
            <w:tcW w:w="548" w:type="pct"/>
            <w:shd w:val="solid" w:color="FFFFFF" w:fill="FFFFFF"/>
            <w:vAlign w:val="center"/>
          </w:tcPr>
          <w:p w14:paraId="34F70712" w14:textId="77777777" w:rsidR="004B0883" w:rsidRDefault="004B0883">
            <w:pPr>
              <w:jc w:val="right"/>
              <w:rPr>
                <w:rFonts w:hint="eastAsia"/>
                <w:color w:val="000000"/>
              </w:rPr>
            </w:pPr>
            <w:r>
              <w:rPr>
                <w:rFonts w:hint="eastAsia"/>
                <w:color w:val="000000"/>
              </w:rPr>
              <w:t>10.05%</w:t>
            </w:r>
          </w:p>
        </w:tc>
        <w:tc>
          <w:tcPr>
            <w:tcW w:w="548" w:type="pct"/>
            <w:shd w:val="solid" w:color="FFFFFF" w:fill="FFFFFF"/>
            <w:vAlign w:val="center"/>
          </w:tcPr>
          <w:p w14:paraId="03D71582" w14:textId="77777777" w:rsidR="004B0883" w:rsidRDefault="004B0883">
            <w:pPr>
              <w:jc w:val="right"/>
              <w:rPr>
                <w:color w:val="000000"/>
              </w:rPr>
            </w:pPr>
            <w:r>
              <w:rPr>
                <w:color w:val="000000"/>
              </w:rPr>
              <w:t>-</w:t>
            </w:r>
          </w:p>
        </w:tc>
        <w:tc>
          <w:tcPr>
            <w:tcW w:w="548" w:type="pct"/>
            <w:shd w:val="solid" w:color="FFFFFF" w:fill="FFFFFF"/>
            <w:vAlign w:val="center"/>
          </w:tcPr>
          <w:p w14:paraId="6D60D924" w14:textId="77777777" w:rsidR="004B0883" w:rsidRDefault="004B0883">
            <w:pPr>
              <w:jc w:val="right"/>
              <w:rPr>
                <w:rFonts w:hint="eastAsia"/>
                <w:color w:val="000000"/>
              </w:rPr>
            </w:pPr>
            <w:r>
              <w:rPr>
                <w:color w:val="000000"/>
              </w:rPr>
              <w:t>-</w:t>
            </w:r>
          </w:p>
        </w:tc>
      </w:tr>
      <w:tr w:rsidR="004B0883" w14:paraId="5F4293EE" w14:textId="77777777">
        <w:trPr>
          <w:cantSplit/>
          <w:trHeight w:val="397"/>
        </w:trPr>
        <w:tc>
          <w:tcPr>
            <w:tcW w:w="617" w:type="pct"/>
            <w:shd w:val="solid" w:color="FFFFFF" w:fill="FFFFFF"/>
            <w:vAlign w:val="center"/>
          </w:tcPr>
          <w:p w14:paraId="7223A36C" w14:textId="77777777" w:rsidR="004B0883" w:rsidRDefault="004B0883">
            <w:pPr>
              <w:jc w:val="center"/>
              <w:rPr>
                <w:color w:val="000000"/>
              </w:rPr>
            </w:pPr>
            <w:r>
              <w:rPr>
                <w:rFonts w:hint="eastAsia"/>
                <w:color w:val="000000"/>
              </w:rPr>
              <w:t>合同负债</w:t>
            </w:r>
          </w:p>
        </w:tc>
        <w:tc>
          <w:tcPr>
            <w:tcW w:w="548" w:type="pct"/>
            <w:shd w:val="solid" w:color="FFFFFF" w:fill="FFFFFF"/>
            <w:vAlign w:val="center"/>
          </w:tcPr>
          <w:p w14:paraId="5C4163AA" w14:textId="77777777" w:rsidR="004B0883" w:rsidRDefault="004B0883">
            <w:pPr>
              <w:jc w:val="right"/>
              <w:rPr>
                <w:color w:val="000000"/>
              </w:rPr>
            </w:pPr>
            <w:r>
              <w:rPr>
                <w:color w:val="000000"/>
              </w:rPr>
              <w:t>3,482.94</w:t>
            </w:r>
          </w:p>
        </w:tc>
        <w:tc>
          <w:tcPr>
            <w:tcW w:w="548" w:type="pct"/>
            <w:shd w:val="solid" w:color="FFFFFF" w:fill="FFFFFF"/>
            <w:vAlign w:val="center"/>
          </w:tcPr>
          <w:p w14:paraId="53994D4B" w14:textId="77777777" w:rsidR="004B0883" w:rsidRDefault="004B0883">
            <w:pPr>
              <w:jc w:val="right"/>
              <w:rPr>
                <w:color w:val="000000"/>
              </w:rPr>
            </w:pPr>
            <w:r>
              <w:rPr>
                <w:color w:val="000000"/>
              </w:rPr>
              <w:t>19.23%</w:t>
            </w:r>
          </w:p>
        </w:tc>
        <w:tc>
          <w:tcPr>
            <w:tcW w:w="548" w:type="pct"/>
            <w:shd w:val="solid" w:color="FFFFFF" w:fill="FFFFFF"/>
            <w:vAlign w:val="center"/>
          </w:tcPr>
          <w:p w14:paraId="3B371C99" w14:textId="77777777" w:rsidR="004B0883" w:rsidRDefault="004B0883">
            <w:pPr>
              <w:jc w:val="right"/>
              <w:rPr>
                <w:color w:val="000000"/>
              </w:rPr>
            </w:pPr>
            <w:r>
              <w:rPr>
                <w:rFonts w:hint="eastAsia"/>
                <w:color w:val="000000"/>
              </w:rPr>
              <w:t>1,715.03</w:t>
            </w:r>
          </w:p>
        </w:tc>
        <w:tc>
          <w:tcPr>
            <w:tcW w:w="548" w:type="pct"/>
            <w:shd w:val="solid" w:color="FFFFFF" w:fill="FFFFFF"/>
            <w:vAlign w:val="center"/>
          </w:tcPr>
          <w:p w14:paraId="4C50F811" w14:textId="77777777" w:rsidR="004B0883" w:rsidRDefault="004B0883">
            <w:pPr>
              <w:jc w:val="right"/>
              <w:rPr>
                <w:rFonts w:hint="eastAsia"/>
                <w:color w:val="000000"/>
              </w:rPr>
            </w:pPr>
            <w:r>
              <w:rPr>
                <w:rFonts w:hint="eastAsia"/>
                <w:color w:val="000000"/>
              </w:rPr>
              <w:t>7.70%</w:t>
            </w:r>
          </w:p>
        </w:tc>
        <w:tc>
          <w:tcPr>
            <w:tcW w:w="548" w:type="pct"/>
            <w:shd w:val="solid" w:color="FFFFFF" w:fill="FFFFFF"/>
            <w:vAlign w:val="center"/>
          </w:tcPr>
          <w:p w14:paraId="59497FE3" w14:textId="77777777" w:rsidR="004B0883" w:rsidRDefault="004B0883">
            <w:pPr>
              <w:jc w:val="right"/>
              <w:rPr>
                <w:color w:val="000000"/>
              </w:rPr>
            </w:pPr>
            <w:r>
              <w:rPr>
                <w:rFonts w:hint="eastAsia"/>
                <w:color w:val="000000"/>
              </w:rPr>
              <w:t>1,652.29</w:t>
            </w:r>
          </w:p>
        </w:tc>
        <w:tc>
          <w:tcPr>
            <w:tcW w:w="548" w:type="pct"/>
            <w:shd w:val="solid" w:color="FFFFFF" w:fill="FFFFFF"/>
            <w:vAlign w:val="center"/>
          </w:tcPr>
          <w:p w14:paraId="73BC0DE4" w14:textId="77777777" w:rsidR="004B0883" w:rsidRDefault="004B0883">
            <w:pPr>
              <w:jc w:val="right"/>
              <w:rPr>
                <w:rFonts w:hint="eastAsia"/>
                <w:color w:val="000000"/>
              </w:rPr>
            </w:pPr>
            <w:r>
              <w:rPr>
                <w:rFonts w:hint="eastAsia"/>
                <w:color w:val="000000"/>
              </w:rPr>
              <w:t>6.77%</w:t>
            </w:r>
          </w:p>
        </w:tc>
        <w:tc>
          <w:tcPr>
            <w:tcW w:w="548" w:type="pct"/>
            <w:shd w:val="solid" w:color="FFFFFF" w:fill="FFFFFF"/>
            <w:vAlign w:val="center"/>
          </w:tcPr>
          <w:p w14:paraId="106DC949" w14:textId="77777777" w:rsidR="004B0883" w:rsidRDefault="004B0883">
            <w:pPr>
              <w:jc w:val="right"/>
              <w:rPr>
                <w:color w:val="000000"/>
              </w:rPr>
            </w:pPr>
            <w:r>
              <w:rPr>
                <w:rFonts w:hint="eastAsia"/>
                <w:color w:val="000000"/>
              </w:rPr>
              <w:t>2,165.95</w:t>
            </w:r>
          </w:p>
        </w:tc>
        <w:tc>
          <w:tcPr>
            <w:tcW w:w="548" w:type="pct"/>
            <w:shd w:val="solid" w:color="FFFFFF" w:fill="FFFFFF"/>
            <w:vAlign w:val="center"/>
          </w:tcPr>
          <w:p w14:paraId="5ECFA6E5" w14:textId="77777777" w:rsidR="004B0883" w:rsidRDefault="004B0883">
            <w:pPr>
              <w:jc w:val="right"/>
              <w:rPr>
                <w:rFonts w:hint="eastAsia"/>
                <w:color w:val="000000"/>
              </w:rPr>
            </w:pPr>
            <w:r>
              <w:rPr>
                <w:rFonts w:hint="eastAsia"/>
                <w:color w:val="000000"/>
              </w:rPr>
              <w:t>10.49%</w:t>
            </w:r>
          </w:p>
        </w:tc>
      </w:tr>
      <w:tr w:rsidR="004B0883" w14:paraId="158B5853" w14:textId="77777777">
        <w:trPr>
          <w:cantSplit/>
          <w:trHeight w:val="397"/>
        </w:trPr>
        <w:tc>
          <w:tcPr>
            <w:tcW w:w="617" w:type="pct"/>
            <w:shd w:val="solid" w:color="FFFFFF" w:fill="FFFFFF"/>
            <w:vAlign w:val="center"/>
          </w:tcPr>
          <w:p w14:paraId="1831EB27" w14:textId="77777777" w:rsidR="004B0883" w:rsidRDefault="004B0883">
            <w:pPr>
              <w:jc w:val="center"/>
              <w:rPr>
                <w:color w:val="000000"/>
              </w:rPr>
            </w:pPr>
            <w:r>
              <w:rPr>
                <w:rFonts w:hint="eastAsia"/>
                <w:color w:val="000000"/>
              </w:rPr>
              <w:t>应付职工薪酬</w:t>
            </w:r>
          </w:p>
        </w:tc>
        <w:tc>
          <w:tcPr>
            <w:tcW w:w="548" w:type="pct"/>
            <w:shd w:val="solid" w:color="FFFFFF" w:fill="FFFFFF"/>
            <w:vAlign w:val="center"/>
          </w:tcPr>
          <w:p w14:paraId="4E16FAE7" w14:textId="77777777" w:rsidR="004B0883" w:rsidRDefault="004B0883">
            <w:pPr>
              <w:jc w:val="right"/>
              <w:rPr>
                <w:color w:val="000000"/>
              </w:rPr>
            </w:pPr>
            <w:r>
              <w:rPr>
                <w:color w:val="000000"/>
              </w:rPr>
              <w:t>1,813.76</w:t>
            </w:r>
          </w:p>
        </w:tc>
        <w:tc>
          <w:tcPr>
            <w:tcW w:w="548" w:type="pct"/>
            <w:shd w:val="solid" w:color="FFFFFF" w:fill="FFFFFF"/>
            <w:vAlign w:val="center"/>
          </w:tcPr>
          <w:p w14:paraId="62A4518C" w14:textId="77777777" w:rsidR="004B0883" w:rsidRDefault="004B0883">
            <w:pPr>
              <w:jc w:val="right"/>
              <w:rPr>
                <w:rFonts w:hint="eastAsia"/>
                <w:color w:val="000000"/>
              </w:rPr>
            </w:pPr>
            <w:r>
              <w:rPr>
                <w:color w:val="000000"/>
              </w:rPr>
              <w:t>10.01%</w:t>
            </w:r>
          </w:p>
        </w:tc>
        <w:tc>
          <w:tcPr>
            <w:tcW w:w="548" w:type="pct"/>
            <w:shd w:val="solid" w:color="FFFFFF" w:fill="FFFFFF"/>
            <w:vAlign w:val="center"/>
          </w:tcPr>
          <w:p w14:paraId="54D95BB3" w14:textId="77777777" w:rsidR="004B0883" w:rsidRDefault="004B0883">
            <w:pPr>
              <w:jc w:val="right"/>
              <w:rPr>
                <w:color w:val="000000"/>
              </w:rPr>
            </w:pPr>
            <w:r>
              <w:rPr>
                <w:rFonts w:hint="eastAsia"/>
                <w:color w:val="000000"/>
              </w:rPr>
              <w:t>2,708.63</w:t>
            </w:r>
          </w:p>
        </w:tc>
        <w:tc>
          <w:tcPr>
            <w:tcW w:w="548" w:type="pct"/>
            <w:shd w:val="solid" w:color="FFFFFF" w:fill="FFFFFF"/>
            <w:vAlign w:val="center"/>
          </w:tcPr>
          <w:p w14:paraId="319FB4D3" w14:textId="77777777" w:rsidR="004B0883" w:rsidRDefault="004B0883">
            <w:pPr>
              <w:jc w:val="right"/>
              <w:rPr>
                <w:rFonts w:hint="eastAsia"/>
                <w:color w:val="000000"/>
              </w:rPr>
            </w:pPr>
            <w:r>
              <w:rPr>
                <w:rFonts w:hint="eastAsia"/>
                <w:color w:val="000000"/>
              </w:rPr>
              <w:t>12.17%</w:t>
            </w:r>
          </w:p>
        </w:tc>
        <w:tc>
          <w:tcPr>
            <w:tcW w:w="548" w:type="pct"/>
            <w:shd w:val="solid" w:color="FFFFFF" w:fill="FFFFFF"/>
            <w:vAlign w:val="center"/>
          </w:tcPr>
          <w:p w14:paraId="56E8D17A" w14:textId="77777777" w:rsidR="004B0883" w:rsidRDefault="004B0883">
            <w:pPr>
              <w:jc w:val="right"/>
              <w:rPr>
                <w:color w:val="000000"/>
              </w:rPr>
            </w:pPr>
            <w:r>
              <w:rPr>
                <w:rFonts w:hint="eastAsia"/>
                <w:color w:val="000000"/>
              </w:rPr>
              <w:t>2,146.23</w:t>
            </w:r>
          </w:p>
        </w:tc>
        <w:tc>
          <w:tcPr>
            <w:tcW w:w="548" w:type="pct"/>
            <w:shd w:val="solid" w:color="FFFFFF" w:fill="FFFFFF"/>
            <w:vAlign w:val="center"/>
          </w:tcPr>
          <w:p w14:paraId="3CB91275" w14:textId="77777777" w:rsidR="004B0883" w:rsidRDefault="004B0883">
            <w:pPr>
              <w:jc w:val="right"/>
              <w:rPr>
                <w:rFonts w:hint="eastAsia"/>
                <w:color w:val="000000"/>
              </w:rPr>
            </w:pPr>
            <w:r>
              <w:rPr>
                <w:rFonts w:hint="eastAsia"/>
                <w:color w:val="000000"/>
              </w:rPr>
              <w:t>8.80%</w:t>
            </w:r>
          </w:p>
        </w:tc>
        <w:tc>
          <w:tcPr>
            <w:tcW w:w="548" w:type="pct"/>
            <w:shd w:val="solid" w:color="FFFFFF" w:fill="FFFFFF"/>
            <w:vAlign w:val="center"/>
          </w:tcPr>
          <w:p w14:paraId="2305E3E1" w14:textId="77777777" w:rsidR="004B0883" w:rsidRDefault="004B0883">
            <w:pPr>
              <w:jc w:val="right"/>
              <w:rPr>
                <w:color w:val="000000"/>
              </w:rPr>
            </w:pPr>
            <w:r>
              <w:rPr>
                <w:rFonts w:hint="eastAsia"/>
                <w:color w:val="000000"/>
              </w:rPr>
              <w:t>2,114.50</w:t>
            </w:r>
          </w:p>
        </w:tc>
        <w:tc>
          <w:tcPr>
            <w:tcW w:w="548" w:type="pct"/>
            <w:shd w:val="solid" w:color="FFFFFF" w:fill="FFFFFF"/>
            <w:vAlign w:val="center"/>
          </w:tcPr>
          <w:p w14:paraId="3403EC41" w14:textId="77777777" w:rsidR="004B0883" w:rsidRDefault="004B0883">
            <w:pPr>
              <w:jc w:val="right"/>
              <w:rPr>
                <w:rFonts w:hint="eastAsia"/>
                <w:color w:val="000000"/>
              </w:rPr>
            </w:pPr>
            <w:r>
              <w:rPr>
                <w:rFonts w:hint="eastAsia"/>
                <w:color w:val="000000"/>
              </w:rPr>
              <w:t>10.24%</w:t>
            </w:r>
          </w:p>
        </w:tc>
      </w:tr>
      <w:tr w:rsidR="004B0883" w14:paraId="668CF20D" w14:textId="77777777">
        <w:trPr>
          <w:cantSplit/>
          <w:trHeight w:val="397"/>
        </w:trPr>
        <w:tc>
          <w:tcPr>
            <w:tcW w:w="617" w:type="pct"/>
            <w:shd w:val="solid" w:color="FFFFFF" w:fill="FFFFFF"/>
            <w:vAlign w:val="center"/>
          </w:tcPr>
          <w:p w14:paraId="1DC83269" w14:textId="77777777" w:rsidR="004B0883" w:rsidRDefault="004B0883">
            <w:pPr>
              <w:jc w:val="center"/>
              <w:rPr>
                <w:color w:val="000000"/>
              </w:rPr>
            </w:pPr>
            <w:r>
              <w:rPr>
                <w:rFonts w:hint="eastAsia"/>
                <w:color w:val="000000"/>
              </w:rPr>
              <w:t>应交税费</w:t>
            </w:r>
          </w:p>
        </w:tc>
        <w:tc>
          <w:tcPr>
            <w:tcW w:w="548" w:type="pct"/>
            <w:shd w:val="solid" w:color="FFFFFF" w:fill="FFFFFF"/>
            <w:vAlign w:val="center"/>
          </w:tcPr>
          <w:p w14:paraId="244299D9" w14:textId="77777777" w:rsidR="004B0883" w:rsidRDefault="004B0883">
            <w:pPr>
              <w:jc w:val="right"/>
              <w:rPr>
                <w:color w:val="000000"/>
              </w:rPr>
            </w:pPr>
            <w:r>
              <w:rPr>
                <w:color w:val="000000"/>
              </w:rPr>
              <w:t>731.15</w:t>
            </w:r>
          </w:p>
        </w:tc>
        <w:tc>
          <w:tcPr>
            <w:tcW w:w="548" w:type="pct"/>
            <w:shd w:val="solid" w:color="FFFFFF" w:fill="FFFFFF"/>
            <w:vAlign w:val="center"/>
          </w:tcPr>
          <w:p w14:paraId="2A14DA0C" w14:textId="77777777" w:rsidR="004B0883" w:rsidRDefault="004B0883">
            <w:pPr>
              <w:jc w:val="right"/>
              <w:rPr>
                <w:rFonts w:hint="eastAsia"/>
                <w:color w:val="000000"/>
              </w:rPr>
            </w:pPr>
            <w:r>
              <w:rPr>
                <w:color w:val="000000"/>
              </w:rPr>
              <w:t>4.04%</w:t>
            </w:r>
          </w:p>
        </w:tc>
        <w:tc>
          <w:tcPr>
            <w:tcW w:w="548" w:type="pct"/>
            <w:shd w:val="solid" w:color="FFFFFF" w:fill="FFFFFF"/>
            <w:vAlign w:val="center"/>
          </w:tcPr>
          <w:p w14:paraId="7CFDCB62" w14:textId="77777777" w:rsidR="004B0883" w:rsidRDefault="004B0883">
            <w:pPr>
              <w:jc w:val="right"/>
              <w:rPr>
                <w:color w:val="000000"/>
              </w:rPr>
            </w:pPr>
            <w:r>
              <w:rPr>
                <w:rFonts w:hint="eastAsia"/>
                <w:color w:val="000000"/>
              </w:rPr>
              <w:t>1,281.95</w:t>
            </w:r>
          </w:p>
        </w:tc>
        <w:tc>
          <w:tcPr>
            <w:tcW w:w="548" w:type="pct"/>
            <w:shd w:val="solid" w:color="FFFFFF" w:fill="FFFFFF"/>
            <w:vAlign w:val="center"/>
          </w:tcPr>
          <w:p w14:paraId="2F706451" w14:textId="77777777" w:rsidR="004B0883" w:rsidRDefault="004B0883">
            <w:pPr>
              <w:jc w:val="right"/>
              <w:rPr>
                <w:rFonts w:hint="eastAsia"/>
                <w:color w:val="000000"/>
              </w:rPr>
            </w:pPr>
            <w:r>
              <w:rPr>
                <w:rFonts w:hint="eastAsia"/>
                <w:color w:val="000000"/>
              </w:rPr>
              <w:t>5.76%</w:t>
            </w:r>
          </w:p>
        </w:tc>
        <w:tc>
          <w:tcPr>
            <w:tcW w:w="548" w:type="pct"/>
            <w:shd w:val="solid" w:color="FFFFFF" w:fill="FFFFFF"/>
            <w:vAlign w:val="center"/>
          </w:tcPr>
          <w:p w14:paraId="05C538B1" w14:textId="77777777" w:rsidR="004B0883" w:rsidRDefault="004B0883">
            <w:pPr>
              <w:jc w:val="right"/>
              <w:rPr>
                <w:color w:val="000000"/>
              </w:rPr>
            </w:pPr>
            <w:r>
              <w:rPr>
                <w:rFonts w:hint="eastAsia"/>
                <w:color w:val="000000"/>
              </w:rPr>
              <w:t>496.29</w:t>
            </w:r>
          </w:p>
        </w:tc>
        <w:tc>
          <w:tcPr>
            <w:tcW w:w="548" w:type="pct"/>
            <w:shd w:val="solid" w:color="FFFFFF" w:fill="FFFFFF"/>
            <w:vAlign w:val="center"/>
          </w:tcPr>
          <w:p w14:paraId="7A1C99CA" w14:textId="77777777" w:rsidR="004B0883" w:rsidRDefault="004B0883">
            <w:pPr>
              <w:jc w:val="right"/>
              <w:rPr>
                <w:rFonts w:hint="eastAsia"/>
                <w:color w:val="000000"/>
              </w:rPr>
            </w:pPr>
            <w:r>
              <w:rPr>
                <w:rFonts w:hint="eastAsia"/>
                <w:color w:val="000000"/>
              </w:rPr>
              <w:t>2.03%</w:t>
            </w:r>
          </w:p>
        </w:tc>
        <w:tc>
          <w:tcPr>
            <w:tcW w:w="548" w:type="pct"/>
            <w:shd w:val="solid" w:color="FFFFFF" w:fill="FFFFFF"/>
            <w:vAlign w:val="center"/>
          </w:tcPr>
          <w:p w14:paraId="3644E321" w14:textId="77777777" w:rsidR="004B0883" w:rsidRDefault="004B0883">
            <w:pPr>
              <w:jc w:val="right"/>
              <w:rPr>
                <w:color w:val="000000"/>
              </w:rPr>
            </w:pPr>
            <w:r>
              <w:rPr>
                <w:rFonts w:hint="eastAsia"/>
                <w:color w:val="000000"/>
              </w:rPr>
              <w:t>91.19</w:t>
            </w:r>
          </w:p>
        </w:tc>
        <w:tc>
          <w:tcPr>
            <w:tcW w:w="548" w:type="pct"/>
            <w:shd w:val="solid" w:color="FFFFFF" w:fill="FFFFFF"/>
            <w:vAlign w:val="center"/>
          </w:tcPr>
          <w:p w14:paraId="0BCA2F80" w14:textId="77777777" w:rsidR="004B0883" w:rsidRDefault="004B0883">
            <w:pPr>
              <w:jc w:val="right"/>
              <w:rPr>
                <w:rFonts w:hint="eastAsia"/>
                <w:color w:val="000000"/>
              </w:rPr>
            </w:pPr>
            <w:r>
              <w:rPr>
                <w:rFonts w:hint="eastAsia"/>
                <w:color w:val="000000"/>
              </w:rPr>
              <w:t>0.44%</w:t>
            </w:r>
          </w:p>
        </w:tc>
      </w:tr>
      <w:tr w:rsidR="004B0883" w14:paraId="58E0EE07" w14:textId="77777777">
        <w:trPr>
          <w:cantSplit/>
          <w:trHeight w:val="397"/>
        </w:trPr>
        <w:tc>
          <w:tcPr>
            <w:tcW w:w="617" w:type="pct"/>
            <w:shd w:val="solid" w:color="FFFFFF" w:fill="FFFFFF"/>
            <w:vAlign w:val="center"/>
          </w:tcPr>
          <w:p w14:paraId="482ED189" w14:textId="77777777" w:rsidR="004B0883" w:rsidRDefault="004B0883">
            <w:pPr>
              <w:jc w:val="center"/>
              <w:rPr>
                <w:color w:val="000000"/>
              </w:rPr>
            </w:pPr>
            <w:r>
              <w:rPr>
                <w:rFonts w:hint="eastAsia"/>
                <w:color w:val="000000"/>
              </w:rPr>
              <w:t>其他应付款</w:t>
            </w:r>
          </w:p>
        </w:tc>
        <w:tc>
          <w:tcPr>
            <w:tcW w:w="548" w:type="pct"/>
            <w:shd w:val="solid" w:color="FFFFFF" w:fill="FFFFFF"/>
            <w:vAlign w:val="center"/>
          </w:tcPr>
          <w:p w14:paraId="4729556D" w14:textId="77777777" w:rsidR="004B0883" w:rsidRDefault="004B0883">
            <w:pPr>
              <w:jc w:val="right"/>
              <w:rPr>
                <w:color w:val="000000"/>
              </w:rPr>
            </w:pPr>
            <w:r>
              <w:rPr>
                <w:color w:val="000000"/>
              </w:rPr>
              <w:t>2,030.16</w:t>
            </w:r>
          </w:p>
        </w:tc>
        <w:tc>
          <w:tcPr>
            <w:tcW w:w="548" w:type="pct"/>
            <w:shd w:val="solid" w:color="FFFFFF" w:fill="FFFFFF"/>
            <w:vAlign w:val="center"/>
          </w:tcPr>
          <w:p w14:paraId="17BF1C94" w14:textId="77777777" w:rsidR="004B0883" w:rsidRDefault="004B0883">
            <w:pPr>
              <w:jc w:val="right"/>
              <w:rPr>
                <w:rFonts w:hint="eastAsia"/>
                <w:color w:val="000000"/>
              </w:rPr>
            </w:pPr>
            <w:r>
              <w:rPr>
                <w:color w:val="000000"/>
              </w:rPr>
              <w:t>11.21%</w:t>
            </w:r>
          </w:p>
        </w:tc>
        <w:tc>
          <w:tcPr>
            <w:tcW w:w="548" w:type="pct"/>
            <w:shd w:val="solid" w:color="FFFFFF" w:fill="FFFFFF"/>
            <w:vAlign w:val="center"/>
          </w:tcPr>
          <w:p w14:paraId="19B81569" w14:textId="77777777" w:rsidR="004B0883" w:rsidRDefault="004B0883">
            <w:pPr>
              <w:jc w:val="right"/>
              <w:rPr>
                <w:color w:val="000000"/>
              </w:rPr>
            </w:pPr>
            <w:r>
              <w:rPr>
                <w:color w:val="000000"/>
              </w:rPr>
              <w:t>2,166.39</w:t>
            </w:r>
          </w:p>
        </w:tc>
        <w:tc>
          <w:tcPr>
            <w:tcW w:w="548" w:type="pct"/>
            <w:shd w:val="solid" w:color="FFFFFF" w:fill="FFFFFF"/>
            <w:vAlign w:val="center"/>
          </w:tcPr>
          <w:p w14:paraId="461A2719" w14:textId="77777777" w:rsidR="004B0883" w:rsidRDefault="004B0883">
            <w:pPr>
              <w:jc w:val="right"/>
              <w:rPr>
                <w:rFonts w:hint="eastAsia"/>
                <w:color w:val="000000"/>
              </w:rPr>
            </w:pPr>
            <w:r>
              <w:rPr>
                <w:rFonts w:hint="eastAsia"/>
                <w:color w:val="000000"/>
              </w:rPr>
              <w:t>9.73%</w:t>
            </w:r>
          </w:p>
        </w:tc>
        <w:tc>
          <w:tcPr>
            <w:tcW w:w="548" w:type="pct"/>
            <w:shd w:val="solid" w:color="FFFFFF" w:fill="FFFFFF"/>
            <w:vAlign w:val="center"/>
          </w:tcPr>
          <w:p w14:paraId="745ACEA2" w14:textId="77777777" w:rsidR="004B0883" w:rsidRDefault="004B0883">
            <w:pPr>
              <w:jc w:val="right"/>
              <w:rPr>
                <w:color w:val="000000"/>
              </w:rPr>
            </w:pPr>
            <w:r>
              <w:rPr>
                <w:color w:val="000000"/>
              </w:rPr>
              <w:t>3,411.65</w:t>
            </w:r>
          </w:p>
        </w:tc>
        <w:tc>
          <w:tcPr>
            <w:tcW w:w="548" w:type="pct"/>
            <w:shd w:val="solid" w:color="FFFFFF" w:fill="FFFFFF"/>
            <w:vAlign w:val="center"/>
          </w:tcPr>
          <w:p w14:paraId="5AB613E9" w14:textId="77777777" w:rsidR="004B0883" w:rsidRDefault="004B0883">
            <w:pPr>
              <w:jc w:val="right"/>
              <w:rPr>
                <w:rFonts w:hint="eastAsia"/>
                <w:color w:val="000000"/>
              </w:rPr>
            </w:pPr>
            <w:r>
              <w:rPr>
                <w:rFonts w:hint="eastAsia"/>
                <w:color w:val="000000"/>
              </w:rPr>
              <w:t>13.99%</w:t>
            </w:r>
          </w:p>
        </w:tc>
        <w:tc>
          <w:tcPr>
            <w:tcW w:w="548" w:type="pct"/>
            <w:shd w:val="solid" w:color="FFFFFF" w:fill="FFFFFF"/>
            <w:vAlign w:val="center"/>
          </w:tcPr>
          <w:p w14:paraId="1626C39D" w14:textId="77777777" w:rsidR="004B0883" w:rsidRDefault="004B0883">
            <w:pPr>
              <w:jc w:val="right"/>
              <w:rPr>
                <w:color w:val="000000"/>
              </w:rPr>
            </w:pPr>
            <w:r>
              <w:rPr>
                <w:color w:val="000000"/>
              </w:rPr>
              <w:t>1,224.39</w:t>
            </w:r>
          </w:p>
        </w:tc>
        <w:tc>
          <w:tcPr>
            <w:tcW w:w="548" w:type="pct"/>
            <w:shd w:val="solid" w:color="FFFFFF" w:fill="FFFFFF"/>
            <w:vAlign w:val="center"/>
          </w:tcPr>
          <w:p w14:paraId="682B1C13" w14:textId="77777777" w:rsidR="004B0883" w:rsidRDefault="004B0883">
            <w:pPr>
              <w:jc w:val="right"/>
              <w:rPr>
                <w:rFonts w:hint="eastAsia"/>
                <w:color w:val="000000"/>
              </w:rPr>
            </w:pPr>
            <w:r>
              <w:rPr>
                <w:rFonts w:hint="eastAsia"/>
                <w:color w:val="000000"/>
              </w:rPr>
              <w:t>5.93%</w:t>
            </w:r>
          </w:p>
        </w:tc>
      </w:tr>
      <w:tr w:rsidR="004B0883" w14:paraId="21499CC2" w14:textId="77777777">
        <w:trPr>
          <w:cantSplit/>
          <w:trHeight w:val="397"/>
        </w:trPr>
        <w:tc>
          <w:tcPr>
            <w:tcW w:w="617" w:type="pct"/>
            <w:shd w:val="solid" w:color="FFFFFF" w:fill="FFFFFF"/>
            <w:vAlign w:val="center"/>
          </w:tcPr>
          <w:p w14:paraId="48185650" w14:textId="77777777" w:rsidR="004B0883" w:rsidRDefault="004B0883">
            <w:pPr>
              <w:jc w:val="center"/>
              <w:rPr>
                <w:color w:val="000000"/>
              </w:rPr>
            </w:pPr>
            <w:r>
              <w:rPr>
                <w:rFonts w:hint="eastAsia"/>
                <w:color w:val="000000"/>
              </w:rPr>
              <w:t>其他流动负债</w:t>
            </w:r>
          </w:p>
        </w:tc>
        <w:tc>
          <w:tcPr>
            <w:tcW w:w="548" w:type="pct"/>
            <w:shd w:val="solid" w:color="FFFFFF" w:fill="FFFFFF"/>
            <w:vAlign w:val="center"/>
          </w:tcPr>
          <w:p w14:paraId="68B417BF" w14:textId="77777777" w:rsidR="004B0883" w:rsidRDefault="004B0883">
            <w:pPr>
              <w:jc w:val="right"/>
              <w:rPr>
                <w:color w:val="000000"/>
              </w:rPr>
            </w:pPr>
            <w:r>
              <w:rPr>
                <w:color w:val="000000"/>
              </w:rPr>
              <w:t>199.95</w:t>
            </w:r>
          </w:p>
        </w:tc>
        <w:tc>
          <w:tcPr>
            <w:tcW w:w="548" w:type="pct"/>
            <w:shd w:val="solid" w:color="FFFFFF" w:fill="FFFFFF"/>
            <w:vAlign w:val="center"/>
          </w:tcPr>
          <w:p w14:paraId="5FFFEEAC" w14:textId="77777777" w:rsidR="004B0883" w:rsidRDefault="004B0883">
            <w:pPr>
              <w:jc w:val="right"/>
              <w:rPr>
                <w:rFonts w:hint="eastAsia"/>
                <w:color w:val="000000"/>
              </w:rPr>
            </w:pPr>
            <w:r>
              <w:rPr>
                <w:color w:val="000000"/>
              </w:rPr>
              <w:t>1.10%</w:t>
            </w:r>
          </w:p>
        </w:tc>
        <w:tc>
          <w:tcPr>
            <w:tcW w:w="548" w:type="pct"/>
            <w:shd w:val="solid" w:color="FFFFFF" w:fill="FFFFFF"/>
            <w:vAlign w:val="center"/>
          </w:tcPr>
          <w:p w14:paraId="78743916" w14:textId="77777777" w:rsidR="004B0883" w:rsidRDefault="004B0883">
            <w:pPr>
              <w:jc w:val="right"/>
              <w:rPr>
                <w:color w:val="000000"/>
              </w:rPr>
            </w:pPr>
            <w:r>
              <w:rPr>
                <w:color w:val="000000"/>
              </w:rPr>
              <w:t>34.19</w:t>
            </w:r>
          </w:p>
        </w:tc>
        <w:tc>
          <w:tcPr>
            <w:tcW w:w="548" w:type="pct"/>
            <w:shd w:val="solid" w:color="FFFFFF" w:fill="FFFFFF"/>
            <w:vAlign w:val="center"/>
          </w:tcPr>
          <w:p w14:paraId="1DBF03D2" w14:textId="77777777" w:rsidR="004B0883" w:rsidRDefault="004B0883">
            <w:pPr>
              <w:jc w:val="right"/>
              <w:rPr>
                <w:rFonts w:hint="eastAsia"/>
                <w:color w:val="000000"/>
              </w:rPr>
            </w:pPr>
            <w:r>
              <w:rPr>
                <w:rFonts w:hint="eastAsia"/>
                <w:color w:val="000000"/>
              </w:rPr>
              <w:t>0.15%</w:t>
            </w:r>
          </w:p>
        </w:tc>
        <w:tc>
          <w:tcPr>
            <w:tcW w:w="548" w:type="pct"/>
            <w:shd w:val="solid" w:color="FFFFFF" w:fill="FFFFFF"/>
            <w:vAlign w:val="center"/>
          </w:tcPr>
          <w:p w14:paraId="44024876" w14:textId="77777777" w:rsidR="004B0883" w:rsidRDefault="004B0883">
            <w:pPr>
              <w:jc w:val="right"/>
              <w:rPr>
                <w:color w:val="000000"/>
              </w:rPr>
            </w:pPr>
            <w:r>
              <w:rPr>
                <w:color w:val="000000"/>
              </w:rPr>
              <w:t>39.16</w:t>
            </w:r>
          </w:p>
        </w:tc>
        <w:tc>
          <w:tcPr>
            <w:tcW w:w="548" w:type="pct"/>
            <w:shd w:val="solid" w:color="FFFFFF" w:fill="FFFFFF"/>
            <w:vAlign w:val="center"/>
          </w:tcPr>
          <w:p w14:paraId="26A2A10C" w14:textId="77777777" w:rsidR="004B0883" w:rsidRDefault="004B0883">
            <w:pPr>
              <w:jc w:val="right"/>
              <w:rPr>
                <w:rFonts w:hint="eastAsia"/>
                <w:color w:val="000000"/>
              </w:rPr>
            </w:pPr>
            <w:r>
              <w:rPr>
                <w:rFonts w:hint="eastAsia"/>
                <w:color w:val="000000"/>
              </w:rPr>
              <w:t>0.16%</w:t>
            </w:r>
          </w:p>
        </w:tc>
        <w:tc>
          <w:tcPr>
            <w:tcW w:w="548" w:type="pct"/>
            <w:shd w:val="solid" w:color="FFFFFF" w:fill="FFFFFF"/>
            <w:vAlign w:val="center"/>
          </w:tcPr>
          <w:p w14:paraId="48091C74" w14:textId="77777777" w:rsidR="004B0883" w:rsidRDefault="004B0883">
            <w:pPr>
              <w:jc w:val="right"/>
              <w:rPr>
                <w:color w:val="000000"/>
              </w:rPr>
            </w:pPr>
            <w:r>
              <w:rPr>
                <w:color w:val="000000"/>
              </w:rPr>
              <w:t>91.56</w:t>
            </w:r>
          </w:p>
        </w:tc>
        <w:tc>
          <w:tcPr>
            <w:tcW w:w="548" w:type="pct"/>
            <w:shd w:val="solid" w:color="FFFFFF" w:fill="FFFFFF"/>
            <w:vAlign w:val="center"/>
          </w:tcPr>
          <w:p w14:paraId="209578D7" w14:textId="77777777" w:rsidR="004B0883" w:rsidRDefault="004B0883">
            <w:pPr>
              <w:jc w:val="right"/>
              <w:rPr>
                <w:rFonts w:hint="eastAsia"/>
                <w:color w:val="000000"/>
              </w:rPr>
            </w:pPr>
            <w:r>
              <w:rPr>
                <w:rFonts w:hint="eastAsia"/>
                <w:color w:val="000000"/>
              </w:rPr>
              <w:t>0.44%</w:t>
            </w:r>
          </w:p>
        </w:tc>
      </w:tr>
      <w:tr w:rsidR="004B0883" w14:paraId="65D9D437" w14:textId="77777777">
        <w:trPr>
          <w:cantSplit/>
          <w:trHeight w:val="397"/>
        </w:trPr>
        <w:tc>
          <w:tcPr>
            <w:tcW w:w="617" w:type="pct"/>
            <w:shd w:val="solid" w:color="FFFFFF" w:fill="FFFFFF"/>
            <w:vAlign w:val="center"/>
          </w:tcPr>
          <w:p w14:paraId="200F9159" w14:textId="77777777" w:rsidR="004B0883" w:rsidRDefault="004B0883">
            <w:pPr>
              <w:jc w:val="center"/>
              <w:rPr>
                <w:b/>
                <w:bCs/>
                <w:color w:val="000000"/>
              </w:rPr>
            </w:pPr>
            <w:r>
              <w:rPr>
                <w:b/>
                <w:bCs/>
                <w:color w:val="000000"/>
              </w:rPr>
              <w:t>流动负债</w:t>
            </w:r>
          </w:p>
        </w:tc>
        <w:tc>
          <w:tcPr>
            <w:tcW w:w="548" w:type="pct"/>
            <w:shd w:val="solid" w:color="FFFFFF" w:fill="FFFFFF"/>
            <w:vAlign w:val="center"/>
          </w:tcPr>
          <w:p w14:paraId="1047D921" w14:textId="77777777" w:rsidR="004B0883" w:rsidRDefault="004B0883">
            <w:pPr>
              <w:jc w:val="right"/>
              <w:rPr>
                <w:b/>
                <w:bCs/>
                <w:color w:val="000000"/>
              </w:rPr>
            </w:pPr>
            <w:r>
              <w:rPr>
                <w:b/>
                <w:bCs/>
                <w:color w:val="000000"/>
              </w:rPr>
              <w:t>16,567.34</w:t>
            </w:r>
          </w:p>
        </w:tc>
        <w:tc>
          <w:tcPr>
            <w:tcW w:w="548" w:type="pct"/>
            <w:shd w:val="solid" w:color="FFFFFF" w:fill="FFFFFF"/>
            <w:vAlign w:val="center"/>
          </w:tcPr>
          <w:p w14:paraId="2F6179A4" w14:textId="77777777" w:rsidR="004B0883" w:rsidRDefault="004B0883">
            <w:pPr>
              <w:jc w:val="right"/>
              <w:rPr>
                <w:b/>
                <w:bCs/>
                <w:color w:val="000000"/>
              </w:rPr>
            </w:pPr>
            <w:r>
              <w:rPr>
                <w:b/>
                <w:bCs/>
                <w:color w:val="000000"/>
              </w:rPr>
              <w:t>91.47%</w:t>
            </w:r>
          </w:p>
        </w:tc>
        <w:tc>
          <w:tcPr>
            <w:tcW w:w="548" w:type="pct"/>
            <w:shd w:val="solid" w:color="FFFFFF" w:fill="FFFFFF"/>
            <w:vAlign w:val="center"/>
          </w:tcPr>
          <w:p w14:paraId="49845A53" w14:textId="77777777" w:rsidR="004B0883" w:rsidRDefault="004B0883">
            <w:pPr>
              <w:jc w:val="right"/>
              <w:rPr>
                <w:b/>
                <w:bCs/>
                <w:color w:val="000000"/>
              </w:rPr>
            </w:pPr>
            <w:r>
              <w:rPr>
                <w:b/>
                <w:bCs/>
                <w:color w:val="000000"/>
              </w:rPr>
              <w:t>20,947.15</w:t>
            </w:r>
          </w:p>
        </w:tc>
        <w:tc>
          <w:tcPr>
            <w:tcW w:w="548" w:type="pct"/>
            <w:shd w:val="solid" w:color="FFFFFF" w:fill="FFFFFF"/>
            <w:vAlign w:val="center"/>
          </w:tcPr>
          <w:p w14:paraId="758A0282" w14:textId="77777777" w:rsidR="004B0883" w:rsidRDefault="004B0883">
            <w:pPr>
              <w:jc w:val="right"/>
              <w:rPr>
                <w:b/>
                <w:bCs/>
                <w:color w:val="000000"/>
              </w:rPr>
            </w:pPr>
            <w:r>
              <w:rPr>
                <w:b/>
                <w:bCs/>
                <w:color w:val="000000"/>
              </w:rPr>
              <w:t>94.08%</w:t>
            </w:r>
          </w:p>
        </w:tc>
        <w:tc>
          <w:tcPr>
            <w:tcW w:w="548" w:type="pct"/>
            <w:shd w:val="solid" w:color="FFFFFF" w:fill="FFFFFF"/>
            <w:vAlign w:val="center"/>
          </w:tcPr>
          <w:p w14:paraId="4A8F25B2" w14:textId="77777777" w:rsidR="004B0883" w:rsidRDefault="004B0883">
            <w:pPr>
              <w:jc w:val="right"/>
              <w:rPr>
                <w:b/>
                <w:bCs/>
                <w:color w:val="000000"/>
              </w:rPr>
            </w:pPr>
            <w:r>
              <w:rPr>
                <w:b/>
                <w:bCs/>
                <w:color w:val="000000"/>
              </w:rPr>
              <w:t>22,933.23</w:t>
            </w:r>
          </w:p>
        </w:tc>
        <w:tc>
          <w:tcPr>
            <w:tcW w:w="548" w:type="pct"/>
            <w:shd w:val="solid" w:color="FFFFFF" w:fill="FFFFFF"/>
            <w:vAlign w:val="center"/>
          </w:tcPr>
          <w:p w14:paraId="70A5E9DD" w14:textId="77777777" w:rsidR="004B0883" w:rsidRDefault="004B0883">
            <w:pPr>
              <w:jc w:val="right"/>
              <w:rPr>
                <w:b/>
                <w:bCs/>
                <w:color w:val="000000"/>
              </w:rPr>
            </w:pPr>
            <w:r>
              <w:rPr>
                <w:b/>
                <w:bCs/>
                <w:color w:val="000000"/>
              </w:rPr>
              <w:t>94.03%</w:t>
            </w:r>
          </w:p>
        </w:tc>
        <w:tc>
          <w:tcPr>
            <w:tcW w:w="548" w:type="pct"/>
            <w:shd w:val="solid" w:color="FFFFFF" w:fill="FFFFFF"/>
            <w:vAlign w:val="center"/>
          </w:tcPr>
          <w:p w14:paraId="2809B913" w14:textId="77777777" w:rsidR="004B0883" w:rsidRDefault="004B0883">
            <w:pPr>
              <w:jc w:val="right"/>
              <w:rPr>
                <w:b/>
                <w:bCs/>
                <w:color w:val="000000"/>
              </w:rPr>
            </w:pPr>
            <w:r>
              <w:rPr>
                <w:b/>
                <w:bCs/>
                <w:color w:val="000000"/>
              </w:rPr>
              <w:t>19,142.30</w:t>
            </w:r>
          </w:p>
        </w:tc>
        <w:tc>
          <w:tcPr>
            <w:tcW w:w="548" w:type="pct"/>
            <w:shd w:val="solid" w:color="FFFFFF" w:fill="FFFFFF"/>
            <w:vAlign w:val="center"/>
          </w:tcPr>
          <w:p w14:paraId="180DD610" w14:textId="77777777" w:rsidR="004B0883" w:rsidRDefault="004B0883">
            <w:pPr>
              <w:jc w:val="right"/>
              <w:rPr>
                <w:b/>
                <w:bCs/>
                <w:color w:val="000000"/>
              </w:rPr>
            </w:pPr>
            <w:r>
              <w:rPr>
                <w:b/>
                <w:bCs/>
                <w:color w:val="000000"/>
              </w:rPr>
              <w:t>92.73%</w:t>
            </w:r>
          </w:p>
        </w:tc>
      </w:tr>
      <w:tr w:rsidR="004B0883" w14:paraId="5D0E94EF" w14:textId="77777777">
        <w:trPr>
          <w:cantSplit/>
          <w:trHeight w:val="397"/>
        </w:trPr>
        <w:tc>
          <w:tcPr>
            <w:tcW w:w="617" w:type="pct"/>
            <w:shd w:val="solid" w:color="FFFFFF" w:fill="FFFFFF"/>
            <w:vAlign w:val="center"/>
          </w:tcPr>
          <w:p w14:paraId="70AF28DB" w14:textId="77777777" w:rsidR="004B0883" w:rsidRDefault="004B0883">
            <w:pPr>
              <w:jc w:val="center"/>
              <w:rPr>
                <w:b/>
                <w:bCs/>
                <w:color w:val="000000"/>
              </w:rPr>
            </w:pPr>
            <w:r>
              <w:rPr>
                <w:rFonts w:hint="eastAsia"/>
                <w:b/>
                <w:bCs/>
                <w:color w:val="000000"/>
              </w:rPr>
              <w:t>负债合计</w:t>
            </w:r>
          </w:p>
        </w:tc>
        <w:tc>
          <w:tcPr>
            <w:tcW w:w="548" w:type="pct"/>
            <w:shd w:val="solid" w:color="FFFFFF" w:fill="FFFFFF"/>
            <w:vAlign w:val="center"/>
          </w:tcPr>
          <w:p w14:paraId="0ABF4276" w14:textId="77777777" w:rsidR="004B0883" w:rsidRDefault="004B0883">
            <w:pPr>
              <w:jc w:val="right"/>
              <w:rPr>
                <w:b/>
                <w:bCs/>
                <w:color w:val="000000"/>
              </w:rPr>
            </w:pPr>
            <w:r>
              <w:rPr>
                <w:b/>
                <w:bCs/>
                <w:color w:val="000000"/>
              </w:rPr>
              <w:t>18,112.24</w:t>
            </w:r>
          </w:p>
        </w:tc>
        <w:tc>
          <w:tcPr>
            <w:tcW w:w="548" w:type="pct"/>
            <w:shd w:val="solid" w:color="FFFFFF" w:fill="FFFFFF"/>
            <w:vAlign w:val="center"/>
          </w:tcPr>
          <w:p w14:paraId="666567BB" w14:textId="77777777" w:rsidR="004B0883" w:rsidRDefault="004B0883">
            <w:pPr>
              <w:jc w:val="right"/>
              <w:rPr>
                <w:b/>
                <w:bCs/>
                <w:color w:val="000000"/>
              </w:rPr>
            </w:pPr>
            <w:r>
              <w:rPr>
                <w:b/>
                <w:bCs/>
                <w:color w:val="000000"/>
              </w:rPr>
              <w:t>100.00%</w:t>
            </w:r>
          </w:p>
        </w:tc>
        <w:tc>
          <w:tcPr>
            <w:tcW w:w="548" w:type="pct"/>
            <w:shd w:val="solid" w:color="FFFFFF" w:fill="FFFFFF"/>
            <w:vAlign w:val="center"/>
          </w:tcPr>
          <w:p w14:paraId="5B4959FB" w14:textId="77777777" w:rsidR="004B0883" w:rsidRDefault="004B0883">
            <w:pPr>
              <w:jc w:val="right"/>
              <w:rPr>
                <w:b/>
                <w:bCs/>
                <w:color w:val="000000"/>
              </w:rPr>
            </w:pPr>
            <w:r>
              <w:rPr>
                <w:b/>
                <w:bCs/>
                <w:color w:val="000000"/>
              </w:rPr>
              <w:t>22,265.03</w:t>
            </w:r>
          </w:p>
        </w:tc>
        <w:tc>
          <w:tcPr>
            <w:tcW w:w="548" w:type="pct"/>
            <w:shd w:val="solid" w:color="FFFFFF" w:fill="FFFFFF"/>
            <w:vAlign w:val="center"/>
          </w:tcPr>
          <w:p w14:paraId="280DE55A" w14:textId="77777777" w:rsidR="004B0883" w:rsidRDefault="004B0883">
            <w:pPr>
              <w:jc w:val="right"/>
              <w:rPr>
                <w:b/>
                <w:bCs/>
                <w:color w:val="000000"/>
              </w:rPr>
            </w:pPr>
            <w:r>
              <w:rPr>
                <w:b/>
                <w:bCs/>
                <w:color w:val="000000"/>
              </w:rPr>
              <w:t>100.00%</w:t>
            </w:r>
          </w:p>
        </w:tc>
        <w:tc>
          <w:tcPr>
            <w:tcW w:w="548" w:type="pct"/>
            <w:shd w:val="solid" w:color="FFFFFF" w:fill="FFFFFF"/>
            <w:vAlign w:val="center"/>
          </w:tcPr>
          <w:p w14:paraId="38246824" w14:textId="77777777" w:rsidR="004B0883" w:rsidRDefault="004B0883">
            <w:pPr>
              <w:jc w:val="right"/>
              <w:rPr>
                <w:b/>
                <w:bCs/>
                <w:color w:val="000000"/>
              </w:rPr>
            </w:pPr>
            <w:r>
              <w:rPr>
                <w:b/>
                <w:bCs/>
                <w:color w:val="000000"/>
              </w:rPr>
              <w:t>24,390.19</w:t>
            </w:r>
          </w:p>
        </w:tc>
        <w:tc>
          <w:tcPr>
            <w:tcW w:w="548" w:type="pct"/>
            <w:shd w:val="solid" w:color="FFFFFF" w:fill="FFFFFF"/>
            <w:vAlign w:val="center"/>
          </w:tcPr>
          <w:p w14:paraId="67BBFAA0" w14:textId="77777777" w:rsidR="004B0883" w:rsidRDefault="004B0883">
            <w:pPr>
              <w:jc w:val="right"/>
              <w:rPr>
                <w:b/>
                <w:bCs/>
                <w:color w:val="000000"/>
              </w:rPr>
            </w:pPr>
            <w:r>
              <w:rPr>
                <w:b/>
                <w:bCs/>
                <w:color w:val="000000"/>
              </w:rPr>
              <w:t>100.00%</w:t>
            </w:r>
          </w:p>
        </w:tc>
        <w:tc>
          <w:tcPr>
            <w:tcW w:w="548" w:type="pct"/>
            <w:shd w:val="solid" w:color="FFFFFF" w:fill="FFFFFF"/>
            <w:vAlign w:val="center"/>
          </w:tcPr>
          <w:p w14:paraId="318ACC41" w14:textId="77777777" w:rsidR="004B0883" w:rsidRDefault="004B0883">
            <w:pPr>
              <w:jc w:val="right"/>
              <w:rPr>
                <w:b/>
                <w:bCs/>
                <w:color w:val="000000"/>
              </w:rPr>
            </w:pPr>
            <w:r>
              <w:rPr>
                <w:b/>
                <w:bCs/>
                <w:color w:val="000000"/>
              </w:rPr>
              <w:t>20,643.22</w:t>
            </w:r>
          </w:p>
        </w:tc>
        <w:tc>
          <w:tcPr>
            <w:tcW w:w="548" w:type="pct"/>
            <w:shd w:val="solid" w:color="FFFFFF" w:fill="FFFFFF"/>
            <w:vAlign w:val="center"/>
          </w:tcPr>
          <w:p w14:paraId="34CAA451" w14:textId="77777777" w:rsidR="004B0883" w:rsidRDefault="004B0883">
            <w:pPr>
              <w:jc w:val="right"/>
              <w:rPr>
                <w:b/>
                <w:bCs/>
                <w:color w:val="000000"/>
              </w:rPr>
            </w:pPr>
            <w:r>
              <w:rPr>
                <w:b/>
                <w:bCs/>
                <w:color w:val="000000"/>
              </w:rPr>
              <w:t>100.00%</w:t>
            </w:r>
          </w:p>
        </w:tc>
      </w:tr>
    </w:tbl>
    <w:p w14:paraId="1374890B"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报告期各期末，流动负债合计分别为</w:t>
      </w:r>
      <w:r>
        <w:rPr>
          <w:rFonts w:hint="eastAsia"/>
          <w:sz w:val="24"/>
          <w:szCs w:val="22"/>
        </w:rPr>
        <w:t>19,142.30</w:t>
      </w:r>
      <w:r>
        <w:rPr>
          <w:rFonts w:hint="eastAsia"/>
          <w:sz w:val="24"/>
          <w:szCs w:val="22"/>
        </w:rPr>
        <w:t>万元、</w:t>
      </w:r>
      <w:r>
        <w:rPr>
          <w:rFonts w:hint="eastAsia"/>
          <w:sz w:val="24"/>
          <w:szCs w:val="22"/>
        </w:rPr>
        <w:t>22,933.23</w:t>
      </w:r>
      <w:r>
        <w:rPr>
          <w:rFonts w:hint="eastAsia"/>
          <w:sz w:val="24"/>
          <w:szCs w:val="22"/>
        </w:rPr>
        <w:t>万元、</w:t>
      </w:r>
      <w:r>
        <w:rPr>
          <w:rFonts w:hint="eastAsia"/>
          <w:sz w:val="24"/>
          <w:szCs w:val="22"/>
        </w:rPr>
        <w:t>20,947.15</w:t>
      </w:r>
      <w:r>
        <w:rPr>
          <w:rFonts w:hint="eastAsia"/>
          <w:sz w:val="24"/>
          <w:szCs w:val="22"/>
        </w:rPr>
        <w:t>万元和</w:t>
      </w:r>
      <w:r>
        <w:rPr>
          <w:sz w:val="24"/>
          <w:szCs w:val="22"/>
        </w:rPr>
        <w:t>16,567.34</w:t>
      </w:r>
      <w:r>
        <w:rPr>
          <w:rFonts w:hint="eastAsia"/>
          <w:sz w:val="24"/>
          <w:szCs w:val="22"/>
        </w:rPr>
        <w:t>万元，占负债总额的比例分别为</w:t>
      </w:r>
      <w:r>
        <w:rPr>
          <w:rFonts w:hint="eastAsia"/>
          <w:sz w:val="24"/>
          <w:szCs w:val="22"/>
        </w:rPr>
        <w:t>92.73%</w:t>
      </w:r>
      <w:r>
        <w:rPr>
          <w:rFonts w:hint="eastAsia"/>
          <w:sz w:val="24"/>
          <w:szCs w:val="22"/>
        </w:rPr>
        <w:t>、</w:t>
      </w:r>
      <w:r>
        <w:rPr>
          <w:rFonts w:hint="eastAsia"/>
          <w:sz w:val="24"/>
          <w:szCs w:val="22"/>
        </w:rPr>
        <w:t>94.03%</w:t>
      </w:r>
      <w:r>
        <w:rPr>
          <w:rFonts w:hint="eastAsia"/>
          <w:sz w:val="24"/>
          <w:szCs w:val="22"/>
        </w:rPr>
        <w:t>、</w:t>
      </w:r>
      <w:r>
        <w:rPr>
          <w:rFonts w:hint="eastAsia"/>
          <w:sz w:val="24"/>
          <w:szCs w:val="22"/>
        </w:rPr>
        <w:t>94.08%</w:t>
      </w:r>
      <w:r>
        <w:rPr>
          <w:rFonts w:hint="eastAsia"/>
          <w:sz w:val="24"/>
          <w:szCs w:val="22"/>
        </w:rPr>
        <w:t>和</w:t>
      </w:r>
      <w:r>
        <w:rPr>
          <w:rFonts w:hint="eastAsia"/>
          <w:sz w:val="24"/>
          <w:szCs w:val="22"/>
        </w:rPr>
        <w:t>91.47%</w:t>
      </w:r>
      <w:r>
        <w:rPr>
          <w:rFonts w:hint="eastAsia"/>
          <w:sz w:val="24"/>
          <w:szCs w:val="22"/>
        </w:rPr>
        <w:t>。公司流动负债报告期各期末总体保持稳定，</w:t>
      </w:r>
      <w:r>
        <w:rPr>
          <w:rFonts w:hint="eastAsia"/>
          <w:sz w:val="24"/>
          <w:szCs w:val="22"/>
        </w:rPr>
        <w:t>2</w:t>
      </w:r>
      <w:r>
        <w:rPr>
          <w:sz w:val="24"/>
          <w:szCs w:val="22"/>
        </w:rPr>
        <w:t>021</w:t>
      </w:r>
      <w:r>
        <w:rPr>
          <w:rFonts w:hint="eastAsia"/>
          <w:sz w:val="24"/>
          <w:szCs w:val="22"/>
        </w:rPr>
        <w:t>年末小幅增加主要系预收子公司即聚机电的股权转让款所致，</w:t>
      </w:r>
      <w:r>
        <w:rPr>
          <w:rFonts w:hint="eastAsia"/>
          <w:sz w:val="24"/>
          <w:szCs w:val="22"/>
        </w:rPr>
        <w:t>2</w:t>
      </w:r>
      <w:r>
        <w:rPr>
          <w:sz w:val="24"/>
          <w:szCs w:val="22"/>
        </w:rPr>
        <w:t>023</w:t>
      </w:r>
      <w:r>
        <w:rPr>
          <w:rFonts w:hint="eastAsia"/>
          <w:sz w:val="24"/>
          <w:szCs w:val="22"/>
        </w:rPr>
        <w:t>年</w:t>
      </w:r>
      <w:r>
        <w:rPr>
          <w:rFonts w:hint="eastAsia"/>
          <w:sz w:val="24"/>
          <w:szCs w:val="22"/>
        </w:rPr>
        <w:t>9</w:t>
      </w:r>
      <w:r>
        <w:rPr>
          <w:rFonts w:hint="eastAsia"/>
          <w:sz w:val="24"/>
          <w:szCs w:val="22"/>
        </w:rPr>
        <w:t>月末小幅下降主要系偿还了部分短期借款。</w:t>
      </w:r>
    </w:p>
    <w:p w14:paraId="78BA13E7" w14:textId="77777777" w:rsidR="004B0883" w:rsidRDefault="004B0883">
      <w:pPr>
        <w:keepNext/>
        <w:keepLines/>
        <w:widowControl w:val="0"/>
        <w:spacing w:beforeLines="50" w:before="120" w:line="360" w:lineRule="auto"/>
        <w:ind w:firstLineChars="200" w:firstLine="480"/>
        <w:jc w:val="both"/>
        <w:outlineLvl w:val="4"/>
        <w:rPr>
          <w:sz w:val="24"/>
          <w:szCs w:val="22"/>
        </w:rPr>
      </w:pPr>
      <w:r>
        <w:rPr>
          <w:rFonts w:hint="eastAsia"/>
          <w:sz w:val="24"/>
          <w:szCs w:val="22"/>
        </w:rPr>
        <w:t>（</w:t>
      </w:r>
      <w:r>
        <w:rPr>
          <w:sz w:val="24"/>
          <w:szCs w:val="22"/>
        </w:rPr>
        <w:t>1</w:t>
      </w:r>
      <w:r>
        <w:rPr>
          <w:rFonts w:hint="eastAsia"/>
          <w:sz w:val="24"/>
          <w:szCs w:val="22"/>
        </w:rPr>
        <w:t>）短期借款</w:t>
      </w:r>
    </w:p>
    <w:p w14:paraId="159A8BDE"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报告期各期末，公司短期借款情况如下：</w:t>
      </w:r>
    </w:p>
    <w:p w14:paraId="64F47C5E" w14:textId="77777777" w:rsidR="004B0883" w:rsidRDefault="004B0883">
      <w:pPr>
        <w:keepNext/>
        <w:widowControl w:val="0"/>
        <w:jc w:val="right"/>
        <w:rPr>
          <w:szCs w:val="22"/>
        </w:rPr>
      </w:pPr>
      <w:r>
        <w:rPr>
          <w:rFonts w:hint="eastAsia"/>
          <w:szCs w:val="22"/>
        </w:rP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ook w:val="0000" w:firstRow="0" w:lastRow="0" w:firstColumn="0" w:lastColumn="0" w:noHBand="0" w:noVBand="0"/>
      </w:tblPr>
      <w:tblGrid>
        <w:gridCol w:w="2718"/>
        <w:gridCol w:w="1381"/>
        <w:gridCol w:w="1396"/>
        <w:gridCol w:w="1396"/>
        <w:gridCol w:w="1389"/>
      </w:tblGrid>
      <w:tr w:rsidR="004B0883" w14:paraId="33C9352F" w14:textId="77777777">
        <w:trPr>
          <w:trHeight w:val="397"/>
          <w:tblHeader/>
          <w:jc w:val="center"/>
        </w:trPr>
        <w:tc>
          <w:tcPr>
            <w:tcW w:w="1641" w:type="pct"/>
            <w:shd w:val="clear" w:color="auto" w:fill="D9D9D9"/>
            <w:tcMar>
              <w:top w:w="0" w:type="dxa"/>
              <w:bottom w:w="0" w:type="dxa"/>
            </w:tcMar>
            <w:vAlign w:val="center"/>
          </w:tcPr>
          <w:p w14:paraId="12540F3F" w14:textId="77777777" w:rsidR="004B0883" w:rsidRDefault="004B0883">
            <w:pPr>
              <w:widowControl w:val="0"/>
              <w:adjustRightInd w:val="0"/>
              <w:snapToGrid w:val="0"/>
              <w:jc w:val="center"/>
              <w:rPr>
                <w:b/>
                <w:color w:val="000000"/>
                <w:sz w:val="18"/>
                <w:szCs w:val="18"/>
              </w:rPr>
            </w:pPr>
            <w:r>
              <w:rPr>
                <w:rFonts w:hint="eastAsia"/>
                <w:b/>
                <w:color w:val="000000"/>
                <w:sz w:val="18"/>
                <w:szCs w:val="18"/>
              </w:rPr>
              <w:t>项目</w:t>
            </w:r>
          </w:p>
        </w:tc>
        <w:tc>
          <w:tcPr>
            <w:tcW w:w="834" w:type="pct"/>
            <w:shd w:val="clear" w:color="auto" w:fill="D9D9D9"/>
            <w:tcMar>
              <w:top w:w="0" w:type="dxa"/>
              <w:bottom w:w="0" w:type="dxa"/>
            </w:tcMar>
            <w:vAlign w:val="center"/>
          </w:tcPr>
          <w:p w14:paraId="3DD9A959" w14:textId="77777777" w:rsidR="004B0883" w:rsidRDefault="004B0883">
            <w:pPr>
              <w:adjustRightInd w:val="0"/>
              <w:snapToGrid w:val="0"/>
              <w:jc w:val="center"/>
              <w:rPr>
                <w:b/>
                <w:bCs/>
                <w:color w:val="000000"/>
                <w:kern w:val="0"/>
                <w:sz w:val="18"/>
                <w:szCs w:val="18"/>
              </w:rPr>
            </w:pPr>
            <w:r>
              <w:rPr>
                <w:b/>
                <w:bCs/>
                <w:color w:val="000000"/>
                <w:kern w:val="0"/>
                <w:sz w:val="18"/>
                <w:szCs w:val="18"/>
              </w:rPr>
              <w:t>2023.</w:t>
            </w:r>
            <w:r>
              <w:rPr>
                <w:rFonts w:hint="eastAsia"/>
                <w:b/>
                <w:bCs/>
                <w:color w:val="000000"/>
                <w:kern w:val="0"/>
                <w:sz w:val="18"/>
                <w:szCs w:val="18"/>
              </w:rPr>
              <w:t>9</w:t>
            </w:r>
            <w:r>
              <w:rPr>
                <w:b/>
                <w:bCs/>
                <w:color w:val="000000"/>
                <w:kern w:val="0"/>
                <w:sz w:val="18"/>
                <w:szCs w:val="18"/>
              </w:rPr>
              <w:t>.30</w:t>
            </w:r>
          </w:p>
        </w:tc>
        <w:tc>
          <w:tcPr>
            <w:tcW w:w="843" w:type="pct"/>
            <w:shd w:val="clear" w:color="auto" w:fill="D9D9D9"/>
            <w:tcMar>
              <w:top w:w="0" w:type="dxa"/>
              <w:bottom w:w="0" w:type="dxa"/>
            </w:tcMar>
            <w:vAlign w:val="center"/>
          </w:tcPr>
          <w:p w14:paraId="62427D6B" w14:textId="77777777" w:rsidR="004B0883" w:rsidRDefault="004B0883">
            <w:pPr>
              <w:adjustRightInd w:val="0"/>
              <w:snapToGrid w:val="0"/>
              <w:jc w:val="center"/>
              <w:rPr>
                <w:b/>
                <w:bCs/>
                <w:color w:val="000000"/>
                <w:kern w:val="0"/>
                <w:sz w:val="18"/>
                <w:szCs w:val="18"/>
              </w:rPr>
            </w:pPr>
            <w:r>
              <w:rPr>
                <w:b/>
                <w:bCs/>
                <w:color w:val="000000"/>
                <w:kern w:val="0"/>
                <w:sz w:val="18"/>
                <w:szCs w:val="18"/>
              </w:rPr>
              <w:t>2022.12.31</w:t>
            </w:r>
          </w:p>
        </w:tc>
        <w:tc>
          <w:tcPr>
            <w:tcW w:w="843" w:type="pct"/>
            <w:shd w:val="clear" w:color="auto" w:fill="D9D9D9"/>
            <w:tcMar>
              <w:top w:w="0" w:type="dxa"/>
              <w:bottom w:w="0" w:type="dxa"/>
            </w:tcMar>
            <w:vAlign w:val="center"/>
          </w:tcPr>
          <w:p w14:paraId="2BD253A7" w14:textId="77777777" w:rsidR="004B0883" w:rsidRDefault="004B0883">
            <w:pPr>
              <w:adjustRightInd w:val="0"/>
              <w:snapToGrid w:val="0"/>
              <w:jc w:val="center"/>
              <w:rPr>
                <w:b/>
                <w:bCs/>
                <w:color w:val="000000"/>
                <w:kern w:val="0"/>
                <w:sz w:val="18"/>
                <w:szCs w:val="18"/>
              </w:rPr>
            </w:pPr>
            <w:r>
              <w:rPr>
                <w:b/>
                <w:bCs/>
                <w:color w:val="000000"/>
                <w:kern w:val="0"/>
                <w:sz w:val="18"/>
                <w:szCs w:val="18"/>
              </w:rPr>
              <w:t>2021.12.31</w:t>
            </w:r>
          </w:p>
        </w:tc>
        <w:tc>
          <w:tcPr>
            <w:tcW w:w="839" w:type="pct"/>
            <w:shd w:val="clear" w:color="auto" w:fill="D9D9D9"/>
            <w:tcMar>
              <w:top w:w="0" w:type="dxa"/>
              <w:bottom w:w="0" w:type="dxa"/>
            </w:tcMar>
            <w:vAlign w:val="center"/>
          </w:tcPr>
          <w:p w14:paraId="3EE00915" w14:textId="77777777" w:rsidR="004B0883" w:rsidRDefault="004B0883">
            <w:pPr>
              <w:adjustRightInd w:val="0"/>
              <w:snapToGrid w:val="0"/>
              <w:jc w:val="center"/>
              <w:rPr>
                <w:b/>
                <w:bCs/>
                <w:color w:val="000000"/>
                <w:kern w:val="0"/>
                <w:sz w:val="18"/>
                <w:szCs w:val="18"/>
              </w:rPr>
            </w:pPr>
            <w:r>
              <w:rPr>
                <w:b/>
                <w:bCs/>
                <w:color w:val="000000"/>
                <w:kern w:val="0"/>
                <w:sz w:val="18"/>
                <w:szCs w:val="18"/>
              </w:rPr>
              <w:t>2020.12.31</w:t>
            </w:r>
          </w:p>
        </w:tc>
      </w:tr>
      <w:tr w:rsidR="004B0883" w14:paraId="5FEB1874" w14:textId="77777777">
        <w:trPr>
          <w:trHeight w:val="397"/>
          <w:jc w:val="center"/>
        </w:trPr>
        <w:tc>
          <w:tcPr>
            <w:tcW w:w="1641" w:type="pct"/>
            <w:tcMar>
              <w:top w:w="0" w:type="dxa"/>
              <w:bottom w:w="0" w:type="dxa"/>
            </w:tcMar>
            <w:vAlign w:val="center"/>
          </w:tcPr>
          <w:p w14:paraId="490A1BA6" w14:textId="77777777" w:rsidR="004B0883" w:rsidRDefault="004B0883">
            <w:pPr>
              <w:adjustRightInd w:val="0"/>
              <w:snapToGrid w:val="0"/>
              <w:rPr>
                <w:color w:val="000000"/>
                <w:kern w:val="0"/>
                <w:sz w:val="18"/>
                <w:szCs w:val="18"/>
              </w:rPr>
            </w:pPr>
            <w:r>
              <w:rPr>
                <w:color w:val="000000"/>
                <w:kern w:val="0"/>
                <w:sz w:val="18"/>
                <w:szCs w:val="18"/>
              </w:rPr>
              <w:t>保证借款</w:t>
            </w:r>
          </w:p>
        </w:tc>
        <w:tc>
          <w:tcPr>
            <w:tcW w:w="834" w:type="pct"/>
            <w:tcMar>
              <w:top w:w="0" w:type="dxa"/>
              <w:bottom w:w="0" w:type="dxa"/>
            </w:tcMar>
            <w:vAlign w:val="center"/>
          </w:tcPr>
          <w:p w14:paraId="23D38566" w14:textId="77777777" w:rsidR="004B0883" w:rsidRDefault="004B0883">
            <w:pPr>
              <w:adjustRightInd w:val="0"/>
              <w:snapToGrid w:val="0"/>
              <w:jc w:val="right"/>
              <w:rPr>
                <w:color w:val="000000"/>
                <w:kern w:val="0"/>
                <w:sz w:val="18"/>
                <w:szCs w:val="18"/>
              </w:rPr>
            </w:pPr>
            <w:r>
              <w:rPr>
                <w:rFonts w:eastAsia="仿宋_GB2312"/>
                <w:color w:val="000000"/>
              </w:rPr>
              <w:t>-</w:t>
            </w:r>
          </w:p>
        </w:tc>
        <w:tc>
          <w:tcPr>
            <w:tcW w:w="843" w:type="pct"/>
            <w:tcMar>
              <w:top w:w="0" w:type="dxa"/>
              <w:bottom w:w="0" w:type="dxa"/>
            </w:tcMar>
            <w:vAlign w:val="center"/>
          </w:tcPr>
          <w:p w14:paraId="04B16895" w14:textId="77777777" w:rsidR="004B0883" w:rsidRDefault="004B0883">
            <w:pPr>
              <w:adjustRightInd w:val="0"/>
              <w:snapToGrid w:val="0"/>
              <w:jc w:val="right"/>
              <w:rPr>
                <w:color w:val="000000"/>
                <w:kern w:val="0"/>
                <w:sz w:val="18"/>
                <w:szCs w:val="18"/>
              </w:rPr>
            </w:pPr>
            <w:r>
              <w:rPr>
                <w:rFonts w:hint="eastAsia"/>
                <w:color w:val="000000"/>
                <w:kern w:val="0"/>
                <w:sz w:val="18"/>
                <w:szCs w:val="18"/>
              </w:rPr>
              <w:t>1,000.00</w:t>
            </w:r>
          </w:p>
        </w:tc>
        <w:tc>
          <w:tcPr>
            <w:tcW w:w="843" w:type="pct"/>
            <w:tcMar>
              <w:top w:w="0" w:type="dxa"/>
              <w:bottom w:w="0" w:type="dxa"/>
            </w:tcMar>
            <w:vAlign w:val="center"/>
          </w:tcPr>
          <w:p w14:paraId="2505DD65" w14:textId="77777777" w:rsidR="004B0883" w:rsidRDefault="004B0883">
            <w:pPr>
              <w:adjustRightInd w:val="0"/>
              <w:snapToGrid w:val="0"/>
              <w:jc w:val="right"/>
              <w:rPr>
                <w:color w:val="000000"/>
                <w:kern w:val="0"/>
                <w:sz w:val="18"/>
                <w:szCs w:val="18"/>
              </w:rPr>
            </w:pPr>
            <w:r>
              <w:rPr>
                <w:rFonts w:eastAsia="仿宋_GB2312"/>
                <w:color w:val="000000"/>
              </w:rPr>
              <w:t>-</w:t>
            </w:r>
          </w:p>
        </w:tc>
        <w:tc>
          <w:tcPr>
            <w:tcW w:w="839" w:type="pct"/>
            <w:tcMar>
              <w:top w:w="0" w:type="dxa"/>
              <w:bottom w:w="0" w:type="dxa"/>
            </w:tcMar>
            <w:vAlign w:val="center"/>
          </w:tcPr>
          <w:p w14:paraId="6D0B272F" w14:textId="77777777" w:rsidR="004B0883" w:rsidRDefault="004B0883">
            <w:pPr>
              <w:adjustRightInd w:val="0"/>
              <w:snapToGrid w:val="0"/>
              <w:jc w:val="right"/>
              <w:rPr>
                <w:color w:val="000000"/>
                <w:kern w:val="0"/>
                <w:sz w:val="18"/>
                <w:szCs w:val="18"/>
              </w:rPr>
            </w:pPr>
            <w:r>
              <w:rPr>
                <w:rFonts w:hint="eastAsia"/>
                <w:color w:val="000000"/>
                <w:kern w:val="0"/>
                <w:sz w:val="18"/>
                <w:szCs w:val="18"/>
              </w:rPr>
              <w:t>1,957.47</w:t>
            </w:r>
          </w:p>
        </w:tc>
      </w:tr>
      <w:tr w:rsidR="004B0883" w14:paraId="5AEB8A9C" w14:textId="77777777">
        <w:trPr>
          <w:trHeight w:val="397"/>
          <w:jc w:val="center"/>
        </w:trPr>
        <w:tc>
          <w:tcPr>
            <w:tcW w:w="1641" w:type="pct"/>
            <w:tcMar>
              <w:top w:w="0" w:type="dxa"/>
              <w:bottom w:w="0" w:type="dxa"/>
            </w:tcMar>
            <w:vAlign w:val="center"/>
          </w:tcPr>
          <w:p w14:paraId="59160703" w14:textId="77777777" w:rsidR="004B0883" w:rsidRDefault="004B0883">
            <w:pPr>
              <w:adjustRightInd w:val="0"/>
              <w:snapToGrid w:val="0"/>
              <w:rPr>
                <w:color w:val="000000"/>
                <w:kern w:val="0"/>
                <w:sz w:val="18"/>
                <w:szCs w:val="18"/>
              </w:rPr>
            </w:pPr>
            <w:r>
              <w:rPr>
                <w:rFonts w:hint="eastAsia"/>
                <w:color w:val="000000"/>
                <w:kern w:val="0"/>
                <w:sz w:val="18"/>
                <w:szCs w:val="18"/>
              </w:rPr>
              <w:t>信用证融资</w:t>
            </w:r>
          </w:p>
        </w:tc>
        <w:tc>
          <w:tcPr>
            <w:tcW w:w="834" w:type="pct"/>
            <w:tcMar>
              <w:top w:w="0" w:type="dxa"/>
              <w:bottom w:w="0" w:type="dxa"/>
            </w:tcMar>
            <w:vAlign w:val="center"/>
          </w:tcPr>
          <w:p w14:paraId="3D17D502" w14:textId="77777777" w:rsidR="004B0883" w:rsidRDefault="004B0883">
            <w:pPr>
              <w:adjustRightInd w:val="0"/>
              <w:snapToGrid w:val="0"/>
              <w:jc w:val="right"/>
              <w:rPr>
                <w:color w:val="000000"/>
                <w:kern w:val="0"/>
                <w:sz w:val="18"/>
                <w:szCs w:val="18"/>
              </w:rPr>
            </w:pPr>
            <w:r>
              <w:rPr>
                <w:rFonts w:hint="eastAsia"/>
                <w:color w:val="000000"/>
                <w:kern w:val="0"/>
                <w:sz w:val="18"/>
                <w:szCs w:val="18"/>
              </w:rPr>
              <w:t>-</w:t>
            </w:r>
          </w:p>
        </w:tc>
        <w:tc>
          <w:tcPr>
            <w:tcW w:w="843" w:type="pct"/>
            <w:tcMar>
              <w:top w:w="0" w:type="dxa"/>
              <w:bottom w:w="0" w:type="dxa"/>
            </w:tcMar>
            <w:vAlign w:val="center"/>
          </w:tcPr>
          <w:p w14:paraId="56537C2D" w14:textId="77777777" w:rsidR="004B0883" w:rsidRDefault="004B0883">
            <w:pPr>
              <w:adjustRightInd w:val="0"/>
              <w:snapToGrid w:val="0"/>
              <w:jc w:val="right"/>
              <w:rPr>
                <w:color w:val="000000"/>
                <w:kern w:val="0"/>
                <w:sz w:val="18"/>
                <w:szCs w:val="18"/>
              </w:rPr>
            </w:pPr>
            <w:r>
              <w:rPr>
                <w:rFonts w:hint="eastAsia"/>
                <w:color w:val="000000"/>
                <w:kern w:val="0"/>
                <w:sz w:val="18"/>
                <w:szCs w:val="18"/>
              </w:rPr>
              <w:t>2,000.00</w:t>
            </w:r>
          </w:p>
        </w:tc>
        <w:tc>
          <w:tcPr>
            <w:tcW w:w="843" w:type="pct"/>
            <w:tcMar>
              <w:top w:w="0" w:type="dxa"/>
              <w:bottom w:w="0" w:type="dxa"/>
            </w:tcMar>
            <w:vAlign w:val="center"/>
          </w:tcPr>
          <w:p w14:paraId="5BCFAB01" w14:textId="77777777" w:rsidR="004B0883" w:rsidRDefault="004B0883">
            <w:pPr>
              <w:adjustRightInd w:val="0"/>
              <w:snapToGrid w:val="0"/>
              <w:jc w:val="right"/>
              <w:rPr>
                <w:color w:val="000000"/>
                <w:kern w:val="0"/>
                <w:sz w:val="18"/>
                <w:szCs w:val="18"/>
              </w:rPr>
            </w:pPr>
            <w:r>
              <w:rPr>
                <w:rFonts w:hint="eastAsia"/>
                <w:color w:val="000000"/>
                <w:kern w:val="0"/>
                <w:sz w:val="18"/>
                <w:szCs w:val="18"/>
              </w:rPr>
              <w:t>3,100.00</w:t>
            </w:r>
          </w:p>
        </w:tc>
        <w:tc>
          <w:tcPr>
            <w:tcW w:w="839" w:type="pct"/>
            <w:tcMar>
              <w:top w:w="0" w:type="dxa"/>
              <w:bottom w:w="0" w:type="dxa"/>
            </w:tcMar>
            <w:vAlign w:val="center"/>
          </w:tcPr>
          <w:p w14:paraId="48E02B57" w14:textId="77777777" w:rsidR="004B0883" w:rsidRDefault="004B0883">
            <w:pPr>
              <w:adjustRightInd w:val="0"/>
              <w:snapToGrid w:val="0"/>
              <w:jc w:val="right"/>
              <w:rPr>
                <w:color w:val="000000"/>
                <w:kern w:val="0"/>
                <w:sz w:val="18"/>
                <w:szCs w:val="18"/>
              </w:rPr>
            </w:pPr>
            <w:r>
              <w:rPr>
                <w:rFonts w:hint="eastAsia"/>
                <w:color w:val="000000"/>
                <w:kern w:val="0"/>
                <w:sz w:val="18"/>
                <w:szCs w:val="18"/>
              </w:rPr>
              <w:t>2,979.65</w:t>
            </w:r>
          </w:p>
        </w:tc>
      </w:tr>
      <w:tr w:rsidR="004B0883" w14:paraId="6BDF3636" w14:textId="77777777">
        <w:trPr>
          <w:trHeight w:val="397"/>
          <w:jc w:val="center"/>
        </w:trPr>
        <w:tc>
          <w:tcPr>
            <w:tcW w:w="1641" w:type="pct"/>
            <w:tcMar>
              <w:top w:w="0" w:type="dxa"/>
              <w:bottom w:w="0" w:type="dxa"/>
            </w:tcMar>
            <w:vAlign w:val="center"/>
          </w:tcPr>
          <w:p w14:paraId="193172FE" w14:textId="77777777" w:rsidR="004B0883" w:rsidRDefault="004B0883">
            <w:pPr>
              <w:adjustRightInd w:val="0"/>
              <w:snapToGrid w:val="0"/>
              <w:rPr>
                <w:rFonts w:hint="eastAsia"/>
                <w:color w:val="000000"/>
                <w:kern w:val="0"/>
                <w:sz w:val="18"/>
                <w:szCs w:val="18"/>
              </w:rPr>
            </w:pPr>
            <w:r>
              <w:rPr>
                <w:rFonts w:hint="eastAsia"/>
                <w:color w:val="000000"/>
                <w:kern w:val="0"/>
                <w:sz w:val="18"/>
                <w:szCs w:val="18"/>
              </w:rPr>
              <w:t>应付利息</w:t>
            </w:r>
          </w:p>
        </w:tc>
        <w:tc>
          <w:tcPr>
            <w:tcW w:w="834" w:type="pct"/>
            <w:tcMar>
              <w:top w:w="0" w:type="dxa"/>
              <w:bottom w:w="0" w:type="dxa"/>
            </w:tcMar>
            <w:vAlign w:val="center"/>
          </w:tcPr>
          <w:p w14:paraId="19153877" w14:textId="77777777" w:rsidR="004B0883" w:rsidRDefault="004B0883">
            <w:pPr>
              <w:adjustRightInd w:val="0"/>
              <w:snapToGrid w:val="0"/>
              <w:jc w:val="right"/>
              <w:rPr>
                <w:color w:val="000000"/>
                <w:kern w:val="0"/>
                <w:sz w:val="18"/>
                <w:szCs w:val="18"/>
              </w:rPr>
            </w:pPr>
            <w:r>
              <w:rPr>
                <w:rFonts w:eastAsia="仿宋_GB2312"/>
                <w:color w:val="000000"/>
              </w:rPr>
              <w:t>-</w:t>
            </w:r>
          </w:p>
        </w:tc>
        <w:tc>
          <w:tcPr>
            <w:tcW w:w="843" w:type="pct"/>
            <w:tcMar>
              <w:top w:w="0" w:type="dxa"/>
              <w:bottom w:w="0" w:type="dxa"/>
            </w:tcMar>
            <w:vAlign w:val="center"/>
          </w:tcPr>
          <w:p w14:paraId="5E23FDED" w14:textId="77777777" w:rsidR="004B0883" w:rsidRDefault="004B0883">
            <w:pPr>
              <w:adjustRightInd w:val="0"/>
              <w:snapToGrid w:val="0"/>
              <w:jc w:val="right"/>
              <w:rPr>
                <w:color w:val="000000"/>
                <w:kern w:val="0"/>
                <w:sz w:val="18"/>
                <w:szCs w:val="18"/>
              </w:rPr>
            </w:pPr>
            <w:r>
              <w:rPr>
                <w:rFonts w:hint="eastAsia"/>
                <w:color w:val="000000"/>
                <w:kern w:val="0"/>
                <w:sz w:val="18"/>
                <w:szCs w:val="18"/>
              </w:rPr>
              <w:t>0.92</w:t>
            </w:r>
          </w:p>
        </w:tc>
        <w:tc>
          <w:tcPr>
            <w:tcW w:w="843" w:type="pct"/>
            <w:tcMar>
              <w:top w:w="0" w:type="dxa"/>
              <w:bottom w:w="0" w:type="dxa"/>
            </w:tcMar>
            <w:vAlign w:val="center"/>
          </w:tcPr>
          <w:p w14:paraId="25D15EFE" w14:textId="77777777" w:rsidR="004B0883" w:rsidRDefault="004B0883">
            <w:pPr>
              <w:adjustRightInd w:val="0"/>
              <w:snapToGrid w:val="0"/>
              <w:jc w:val="right"/>
              <w:rPr>
                <w:color w:val="000000"/>
                <w:kern w:val="0"/>
                <w:sz w:val="18"/>
                <w:szCs w:val="18"/>
              </w:rPr>
            </w:pPr>
            <w:r>
              <w:rPr>
                <w:rFonts w:eastAsia="仿宋_GB2312"/>
                <w:color w:val="000000"/>
              </w:rPr>
              <w:t>-</w:t>
            </w:r>
          </w:p>
        </w:tc>
        <w:tc>
          <w:tcPr>
            <w:tcW w:w="839" w:type="pct"/>
            <w:tcMar>
              <w:top w:w="0" w:type="dxa"/>
              <w:bottom w:w="0" w:type="dxa"/>
            </w:tcMar>
            <w:vAlign w:val="center"/>
          </w:tcPr>
          <w:p w14:paraId="6C35ED58" w14:textId="77777777" w:rsidR="004B0883" w:rsidRDefault="004B0883">
            <w:pPr>
              <w:adjustRightInd w:val="0"/>
              <w:snapToGrid w:val="0"/>
              <w:jc w:val="right"/>
              <w:rPr>
                <w:color w:val="000000"/>
                <w:kern w:val="0"/>
                <w:sz w:val="18"/>
                <w:szCs w:val="18"/>
              </w:rPr>
            </w:pPr>
            <w:r>
              <w:rPr>
                <w:rFonts w:hint="eastAsia"/>
                <w:color w:val="000000"/>
                <w:kern w:val="0"/>
                <w:sz w:val="18"/>
                <w:szCs w:val="18"/>
              </w:rPr>
              <w:t>21.49</w:t>
            </w:r>
          </w:p>
        </w:tc>
      </w:tr>
      <w:tr w:rsidR="004B0883" w14:paraId="2B28B3DA" w14:textId="77777777">
        <w:trPr>
          <w:trHeight w:val="397"/>
          <w:jc w:val="center"/>
        </w:trPr>
        <w:tc>
          <w:tcPr>
            <w:tcW w:w="1641" w:type="pct"/>
            <w:tcMar>
              <w:top w:w="0" w:type="dxa"/>
              <w:bottom w:w="0" w:type="dxa"/>
            </w:tcMar>
            <w:vAlign w:val="center"/>
          </w:tcPr>
          <w:p w14:paraId="6D2FAF86" w14:textId="77777777" w:rsidR="004B0883" w:rsidRDefault="004B0883">
            <w:pPr>
              <w:adjustRightInd w:val="0"/>
              <w:snapToGrid w:val="0"/>
              <w:jc w:val="center"/>
              <w:rPr>
                <w:b/>
                <w:bCs/>
                <w:color w:val="000000"/>
                <w:kern w:val="0"/>
                <w:sz w:val="18"/>
                <w:szCs w:val="18"/>
              </w:rPr>
            </w:pPr>
            <w:r>
              <w:rPr>
                <w:b/>
                <w:bCs/>
                <w:color w:val="000000"/>
                <w:kern w:val="0"/>
                <w:sz w:val="18"/>
                <w:szCs w:val="18"/>
              </w:rPr>
              <w:t>合计</w:t>
            </w:r>
          </w:p>
        </w:tc>
        <w:tc>
          <w:tcPr>
            <w:tcW w:w="834" w:type="pct"/>
            <w:tcMar>
              <w:top w:w="0" w:type="dxa"/>
              <w:bottom w:w="0" w:type="dxa"/>
            </w:tcMar>
            <w:vAlign w:val="center"/>
          </w:tcPr>
          <w:p w14:paraId="596D95E6" w14:textId="77777777" w:rsidR="004B0883" w:rsidRDefault="004B0883">
            <w:pPr>
              <w:adjustRightInd w:val="0"/>
              <w:snapToGrid w:val="0"/>
              <w:jc w:val="right"/>
              <w:rPr>
                <w:b/>
                <w:bCs/>
                <w:color w:val="000000"/>
                <w:kern w:val="0"/>
                <w:sz w:val="18"/>
                <w:szCs w:val="18"/>
              </w:rPr>
            </w:pPr>
            <w:r>
              <w:rPr>
                <w:rFonts w:hint="eastAsia"/>
                <w:b/>
                <w:bCs/>
                <w:color w:val="000000"/>
                <w:kern w:val="0"/>
                <w:sz w:val="18"/>
                <w:szCs w:val="18"/>
              </w:rPr>
              <w:t>-</w:t>
            </w:r>
          </w:p>
        </w:tc>
        <w:tc>
          <w:tcPr>
            <w:tcW w:w="843" w:type="pct"/>
            <w:tcMar>
              <w:top w:w="0" w:type="dxa"/>
              <w:bottom w:w="0" w:type="dxa"/>
            </w:tcMar>
            <w:vAlign w:val="center"/>
          </w:tcPr>
          <w:p w14:paraId="5C1C79E3" w14:textId="77777777" w:rsidR="004B0883" w:rsidRDefault="004B0883">
            <w:pPr>
              <w:adjustRightInd w:val="0"/>
              <w:snapToGrid w:val="0"/>
              <w:jc w:val="right"/>
              <w:rPr>
                <w:b/>
                <w:bCs/>
                <w:color w:val="000000"/>
                <w:kern w:val="0"/>
                <w:sz w:val="18"/>
                <w:szCs w:val="18"/>
              </w:rPr>
            </w:pPr>
            <w:r>
              <w:rPr>
                <w:rFonts w:hint="eastAsia"/>
                <w:b/>
                <w:bCs/>
                <w:color w:val="000000"/>
                <w:kern w:val="0"/>
                <w:sz w:val="18"/>
                <w:szCs w:val="18"/>
              </w:rPr>
              <w:t>3,000.92</w:t>
            </w:r>
          </w:p>
        </w:tc>
        <w:tc>
          <w:tcPr>
            <w:tcW w:w="843" w:type="pct"/>
            <w:tcMar>
              <w:top w:w="0" w:type="dxa"/>
              <w:bottom w:w="0" w:type="dxa"/>
            </w:tcMar>
            <w:vAlign w:val="center"/>
          </w:tcPr>
          <w:p w14:paraId="4B7CD16E" w14:textId="77777777" w:rsidR="004B0883" w:rsidRDefault="004B0883">
            <w:pPr>
              <w:adjustRightInd w:val="0"/>
              <w:snapToGrid w:val="0"/>
              <w:jc w:val="right"/>
              <w:rPr>
                <w:b/>
                <w:bCs/>
                <w:color w:val="000000"/>
                <w:kern w:val="0"/>
                <w:sz w:val="18"/>
                <w:szCs w:val="18"/>
              </w:rPr>
            </w:pPr>
            <w:r>
              <w:rPr>
                <w:rFonts w:hint="eastAsia"/>
                <w:b/>
                <w:bCs/>
                <w:color w:val="000000"/>
                <w:kern w:val="0"/>
                <w:sz w:val="18"/>
                <w:szCs w:val="18"/>
              </w:rPr>
              <w:t>3,100.00</w:t>
            </w:r>
          </w:p>
        </w:tc>
        <w:tc>
          <w:tcPr>
            <w:tcW w:w="839" w:type="pct"/>
            <w:tcMar>
              <w:top w:w="0" w:type="dxa"/>
              <w:bottom w:w="0" w:type="dxa"/>
            </w:tcMar>
            <w:vAlign w:val="center"/>
          </w:tcPr>
          <w:p w14:paraId="0E7B4C3F" w14:textId="77777777" w:rsidR="004B0883" w:rsidRDefault="004B0883">
            <w:pPr>
              <w:adjustRightInd w:val="0"/>
              <w:snapToGrid w:val="0"/>
              <w:jc w:val="right"/>
              <w:rPr>
                <w:b/>
                <w:bCs/>
                <w:color w:val="000000"/>
                <w:kern w:val="0"/>
                <w:sz w:val="18"/>
                <w:szCs w:val="18"/>
              </w:rPr>
            </w:pPr>
            <w:r>
              <w:rPr>
                <w:rFonts w:hint="eastAsia"/>
                <w:b/>
                <w:bCs/>
                <w:color w:val="000000"/>
                <w:kern w:val="0"/>
                <w:sz w:val="18"/>
                <w:szCs w:val="18"/>
              </w:rPr>
              <w:t>4,958.61</w:t>
            </w:r>
          </w:p>
        </w:tc>
      </w:tr>
    </w:tbl>
    <w:p w14:paraId="5388770E"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公司短期借款主要包括保证借款和信用证融资。报告期各期末，公司短期借款分别为</w:t>
      </w:r>
      <w:r>
        <w:rPr>
          <w:sz w:val="24"/>
          <w:szCs w:val="22"/>
        </w:rPr>
        <w:t>4,958.61</w:t>
      </w:r>
      <w:r>
        <w:rPr>
          <w:rFonts w:hint="eastAsia"/>
          <w:sz w:val="24"/>
          <w:szCs w:val="22"/>
        </w:rPr>
        <w:t>万元、</w:t>
      </w:r>
      <w:r>
        <w:rPr>
          <w:sz w:val="24"/>
          <w:szCs w:val="22"/>
        </w:rPr>
        <w:t>3,100.00</w:t>
      </w:r>
      <w:r>
        <w:rPr>
          <w:rFonts w:hint="eastAsia"/>
          <w:sz w:val="24"/>
          <w:szCs w:val="22"/>
        </w:rPr>
        <w:t>万元、</w:t>
      </w:r>
      <w:r>
        <w:rPr>
          <w:sz w:val="24"/>
          <w:szCs w:val="22"/>
        </w:rPr>
        <w:t>3,000.92</w:t>
      </w:r>
      <w:r>
        <w:rPr>
          <w:rFonts w:hint="eastAsia"/>
          <w:sz w:val="24"/>
          <w:szCs w:val="22"/>
        </w:rPr>
        <w:t>万元和</w:t>
      </w:r>
      <w:r>
        <w:rPr>
          <w:rFonts w:hint="eastAsia"/>
          <w:sz w:val="24"/>
          <w:szCs w:val="22"/>
        </w:rPr>
        <w:t>0</w:t>
      </w:r>
      <w:r>
        <w:rPr>
          <w:sz w:val="24"/>
          <w:szCs w:val="22"/>
        </w:rPr>
        <w:t>.00</w:t>
      </w:r>
      <w:r>
        <w:rPr>
          <w:rFonts w:hint="eastAsia"/>
          <w:sz w:val="24"/>
          <w:szCs w:val="22"/>
        </w:rPr>
        <w:t>万元，占总负债的比例分别为</w:t>
      </w:r>
      <w:r>
        <w:rPr>
          <w:sz w:val="24"/>
          <w:szCs w:val="22"/>
        </w:rPr>
        <w:t>24.02%</w:t>
      </w:r>
      <w:r>
        <w:rPr>
          <w:rFonts w:hint="eastAsia"/>
          <w:sz w:val="24"/>
          <w:szCs w:val="22"/>
        </w:rPr>
        <w:t>、</w:t>
      </w:r>
      <w:r>
        <w:rPr>
          <w:sz w:val="24"/>
          <w:szCs w:val="22"/>
        </w:rPr>
        <w:t>12.71%</w:t>
      </w:r>
      <w:r>
        <w:rPr>
          <w:rFonts w:hint="eastAsia"/>
          <w:sz w:val="24"/>
          <w:szCs w:val="22"/>
        </w:rPr>
        <w:t>、</w:t>
      </w:r>
      <w:r>
        <w:rPr>
          <w:rFonts w:hint="eastAsia"/>
          <w:sz w:val="24"/>
          <w:szCs w:val="22"/>
        </w:rPr>
        <w:t>1</w:t>
      </w:r>
      <w:r>
        <w:rPr>
          <w:sz w:val="24"/>
          <w:szCs w:val="22"/>
        </w:rPr>
        <w:t>3.48%</w:t>
      </w:r>
      <w:r>
        <w:rPr>
          <w:rFonts w:hint="eastAsia"/>
          <w:sz w:val="24"/>
          <w:szCs w:val="22"/>
        </w:rPr>
        <w:t>和</w:t>
      </w:r>
      <w:r>
        <w:rPr>
          <w:rFonts w:hint="eastAsia"/>
          <w:sz w:val="24"/>
          <w:szCs w:val="22"/>
        </w:rPr>
        <w:t>0.00</w:t>
      </w:r>
      <w:r>
        <w:rPr>
          <w:sz w:val="24"/>
          <w:szCs w:val="22"/>
        </w:rPr>
        <w:t>%</w:t>
      </w:r>
      <w:r>
        <w:rPr>
          <w:rFonts w:hint="eastAsia"/>
          <w:sz w:val="24"/>
          <w:szCs w:val="22"/>
        </w:rPr>
        <w:t>。</w:t>
      </w:r>
      <w:r>
        <w:rPr>
          <w:sz w:val="24"/>
          <w:szCs w:val="22"/>
        </w:rPr>
        <w:t>2021</w:t>
      </w:r>
      <w:r>
        <w:rPr>
          <w:rFonts w:hint="eastAsia"/>
          <w:sz w:val="24"/>
          <w:szCs w:val="22"/>
        </w:rPr>
        <w:t>年末较</w:t>
      </w:r>
      <w:r>
        <w:rPr>
          <w:rFonts w:hint="eastAsia"/>
          <w:sz w:val="24"/>
          <w:szCs w:val="22"/>
        </w:rPr>
        <w:t>2</w:t>
      </w:r>
      <w:r>
        <w:rPr>
          <w:sz w:val="24"/>
          <w:szCs w:val="22"/>
        </w:rPr>
        <w:t>020</w:t>
      </w:r>
      <w:r>
        <w:rPr>
          <w:rFonts w:hint="eastAsia"/>
          <w:sz w:val="24"/>
          <w:szCs w:val="22"/>
        </w:rPr>
        <w:t>年末、</w:t>
      </w:r>
      <w:r>
        <w:rPr>
          <w:rFonts w:hint="eastAsia"/>
          <w:sz w:val="24"/>
          <w:szCs w:val="22"/>
        </w:rPr>
        <w:t>2023</w:t>
      </w:r>
      <w:r>
        <w:rPr>
          <w:rFonts w:hint="eastAsia"/>
          <w:sz w:val="24"/>
          <w:szCs w:val="22"/>
        </w:rPr>
        <w:t>年</w:t>
      </w:r>
      <w:r>
        <w:rPr>
          <w:rFonts w:hint="eastAsia"/>
          <w:sz w:val="24"/>
          <w:szCs w:val="22"/>
        </w:rPr>
        <w:t>9</w:t>
      </w:r>
      <w:r>
        <w:rPr>
          <w:rFonts w:hint="eastAsia"/>
          <w:sz w:val="24"/>
          <w:szCs w:val="22"/>
        </w:rPr>
        <w:t>月末较</w:t>
      </w:r>
      <w:r>
        <w:rPr>
          <w:rFonts w:hint="eastAsia"/>
          <w:sz w:val="24"/>
          <w:szCs w:val="22"/>
        </w:rPr>
        <w:t>2022</w:t>
      </w:r>
      <w:r>
        <w:rPr>
          <w:rFonts w:hint="eastAsia"/>
          <w:sz w:val="24"/>
          <w:szCs w:val="22"/>
        </w:rPr>
        <w:t>年末短期借款减少主要系偿还借款所致。报告期内，公司信用记录良好，未发生到期未能偿还银行贷款的情形。</w:t>
      </w:r>
    </w:p>
    <w:p w14:paraId="354C2B27" w14:textId="77777777" w:rsidR="004B0883" w:rsidRDefault="004B0883">
      <w:pPr>
        <w:keepNext/>
        <w:keepLines/>
        <w:widowControl w:val="0"/>
        <w:spacing w:beforeLines="50" w:before="120" w:line="360" w:lineRule="auto"/>
        <w:ind w:firstLineChars="200" w:firstLine="480"/>
        <w:jc w:val="both"/>
        <w:outlineLvl w:val="4"/>
        <w:rPr>
          <w:sz w:val="24"/>
          <w:szCs w:val="22"/>
        </w:rPr>
      </w:pPr>
      <w:r>
        <w:rPr>
          <w:rFonts w:hint="eastAsia"/>
          <w:sz w:val="24"/>
          <w:szCs w:val="22"/>
        </w:rPr>
        <w:t>（</w:t>
      </w:r>
      <w:r>
        <w:rPr>
          <w:sz w:val="24"/>
          <w:szCs w:val="22"/>
        </w:rPr>
        <w:t>2</w:t>
      </w:r>
      <w:r>
        <w:rPr>
          <w:rFonts w:hint="eastAsia"/>
          <w:sz w:val="24"/>
          <w:szCs w:val="22"/>
        </w:rPr>
        <w:t>）应付票据</w:t>
      </w:r>
    </w:p>
    <w:p w14:paraId="4620538E"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公司应付票据均为银行承兑汇票，主要用于向供应商支付采购原材料采购款等款项。报告期各期末，公司应付票据余额分别为</w:t>
      </w:r>
      <w:r>
        <w:rPr>
          <w:sz w:val="24"/>
          <w:szCs w:val="22"/>
        </w:rPr>
        <w:t>3,479.85</w:t>
      </w:r>
      <w:r>
        <w:rPr>
          <w:rFonts w:hint="eastAsia"/>
          <w:sz w:val="24"/>
          <w:szCs w:val="22"/>
        </w:rPr>
        <w:t>万元、</w:t>
      </w:r>
      <w:r>
        <w:rPr>
          <w:sz w:val="24"/>
          <w:szCs w:val="22"/>
        </w:rPr>
        <w:t>3,878.65</w:t>
      </w:r>
      <w:r>
        <w:rPr>
          <w:rFonts w:hint="eastAsia"/>
          <w:sz w:val="24"/>
          <w:szCs w:val="22"/>
        </w:rPr>
        <w:t>万元、</w:t>
      </w:r>
      <w:r>
        <w:rPr>
          <w:sz w:val="24"/>
          <w:szCs w:val="22"/>
        </w:rPr>
        <w:t>4,200.84</w:t>
      </w:r>
      <w:r>
        <w:rPr>
          <w:rFonts w:hint="eastAsia"/>
          <w:sz w:val="24"/>
          <w:szCs w:val="22"/>
        </w:rPr>
        <w:t>万元和</w:t>
      </w:r>
      <w:bookmarkStart w:id="324" w:name="_Hlk150379487"/>
      <w:r>
        <w:rPr>
          <w:sz w:val="24"/>
          <w:szCs w:val="22"/>
        </w:rPr>
        <w:t>3,525.91</w:t>
      </w:r>
      <w:bookmarkEnd w:id="324"/>
      <w:r>
        <w:rPr>
          <w:rFonts w:hint="eastAsia"/>
          <w:sz w:val="24"/>
          <w:szCs w:val="22"/>
        </w:rPr>
        <w:t>万元，占总负债的比例分别为</w:t>
      </w:r>
      <w:r>
        <w:rPr>
          <w:sz w:val="24"/>
          <w:szCs w:val="22"/>
        </w:rPr>
        <w:t>16.86%</w:t>
      </w:r>
      <w:r>
        <w:rPr>
          <w:rFonts w:hint="eastAsia"/>
          <w:sz w:val="24"/>
          <w:szCs w:val="22"/>
        </w:rPr>
        <w:t>、</w:t>
      </w:r>
      <w:r>
        <w:rPr>
          <w:sz w:val="24"/>
          <w:szCs w:val="22"/>
        </w:rPr>
        <w:t>15.90%</w:t>
      </w:r>
      <w:r>
        <w:rPr>
          <w:rFonts w:hint="eastAsia"/>
          <w:sz w:val="24"/>
          <w:szCs w:val="22"/>
        </w:rPr>
        <w:t>、</w:t>
      </w:r>
      <w:r>
        <w:rPr>
          <w:sz w:val="24"/>
          <w:szCs w:val="22"/>
        </w:rPr>
        <w:t>18.87%</w:t>
      </w:r>
      <w:r>
        <w:rPr>
          <w:rFonts w:hint="eastAsia"/>
          <w:sz w:val="24"/>
          <w:szCs w:val="22"/>
        </w:rPr>
        <w:t>和</w:t>
      </w:r>
      <w:r>
        <w:rPr>
          <w:rFonts w:hint="eastAsia"/>
          <w:sz w:val="24"/>
          <w:szCs w:val="22"/>
        </w:rPr>
        <w:t>19.47</w:t>
      </w:r>
      <w:r>
        <w:rPr>
          <w:sz w:val="24"/>
          <w:szCs w:val="22"/>
        </w:rPr>
        <w:t>%</w:t>
      </w:r>
      <w:r>
        <w:rPr>
          <w:rFonts w:hint="eastAsia"/>
          <w:sz w:val="24"/>
          <w:szCs w:val="22"/>
        </w:rPr>
        <w:t>。</w:t>
      </w:r>
      <w:r>
        <w:rPr>
          <w:rFonts w:hint="eastAsia"/>
          <w:sz w:val="24"/>
          <w:szCs w:val="22"/>
        </w:rPr>
        <w:t>2</w:t>
      </w:r>
      <w:r>
        <w:rPr>
          <w:sz w:val="24"/>
          <w:szCs w:val="22"/>
        </w:rPr>
        <w:t>020</w:t>
      </w:r>
      <w:r>
        <w:rPr>
          <w:rFonts w:hint="eastAsia"/>
          <w:sz w:val="24"/>
          <w:szCs w:val="22"/>
        </w:rPr>
        <w:t>年</w:t>
      </w:r>
      <w:r>
        <w:rPr>
          <w:rFonts w:hint="eastAsia"/>
          <w:sz w:val="24"/>
          <w:szCs w:val="22"/>
        </w:rPr>
        <w:t>-</w:t>
      </w:r>
      <w:r>
        <w:rPr>
          <w:sz w:val="24"/>
          <w:szCs w:val="22"/>
        </w:rPr>
        <w:t>202</w:t>
      </w:r>
      <w:r>
        <w:rPr>
          <w:rFonts w:hint="eastAsia"/>
          <w:sz w:val="24"/>
          <w:szCs w:val="22"/>
        </w:rPr>
        <w:t>2</w:t>
      </w:r>
      <w:r>
        <w:rPr>
          <w:rFonts w:hint="eastAsia"/>
          <w:sz w:val="24"/>
          <w:szCs w:val="22"/>
        </w:rPr>
        <w:t>年，公司应付票据随着业务规模的扩张而持续增长，</w:t>
      </w:r>
      <w:r>
        <w:rPr>
          <w:rFonts w:hint="eastAsia"/>
          <w:sz w:val="24"/>
          <w:szCs w:val="22"/>
        </w:rPr>
        <w:t>2023</w:t>
      </w:r>
      <w:r>
        <w:rPr>
          <w:rFonts w:hint="eastAsia"/>
          <w:sz w:val="24"/>
          <w:szCs w:val="22"/>
        </w:rPr>
        <w:t>年</w:t>
      </w:r>
      <w:r>
        <w:rPr>
          <w:rFonts w:hint="eastAsia"/>
          <w:sz w:val="24"/>
          <w:szCs w:val="22"/>
        </w:rPr>
        <w:t>9</w:t>
      </w:r>
      <w:r>
        <w:rPr>
          <w:rFonts w:hint="eastAsia"/>
          <w:sz w:val="24"/>
          <w:szCs w:val="22"/>
        </w:rPr>
        <w:t>月末较</w:t>
      </w:r>
      <w:r>
        <w:rPr>
          <w:rFonts w:hint="eastAsia"/>
          <w:sz w:val="24"/>
          <w:szCs w:val="22"/>
        </w:rPr>
        <w:t>2022</w:t>
      </w:r>
      <w:r>
        <w:rPr>
          <w:rFonts w:hint="eastAsia"/>
          <w:sz w:val="24"/>
          <w:szCs w:val="22"/>
        </w:rPr>
        <w:t>年末公司应付票据金额下降主要系公司季末集中支付供应商货款。</w:t>
      </w:r>
    </w:p>
    <w:p w14:paraId="61324700" w14:textId="77777777" w:rsidR="004B0883" w:rsidRDefault="004B0883">
      <w:pPr>
        <w:keepNext/>
        <w:keepLines/>
        <w:widowControl w:val="0"/>
        <w:spacing w:beforeLines="50" w:before="120" w:line="360" w:lineRule="auto"/>
        <w:ind w:firstLineChars="200" w:firstLine="480"/>
        <w:jc w:val="both"/>
        <w:outlineLvl w:val="4"/>
        <w:rPr>
          <w:sz w:val="24"/>
          <w:szCs w:val="22"/>
        </w:rPr>
      </w:pPr>
      <w:r>
        <w:rPr>
          <w:rFonts w:hint="eastAsia"/>
          <w:sz w:val="24"/>
          <w:szCs w:val="22"/>
        </w:rPr>
        <w:t>（</w:t>
      </w:r>
      <w:r>
        <w:rPr>
          <w:sz w:val="24"/>
          <w:szCs w:val="22"/>
        </w:rPr>
        <w:t>3</w:t>
      </w:r>
      <w:r>
        <w:rPr>
          <w:rFonts w:hint="eastAsia"/>
          <w:sz w:val="24"/>
          <w:szCs w:val="22"/>
        </w:rPr>
        <w:t>）应付账款</w:t>
      </w:r>
    </w:p>
    <w:p w14:paraId="60DAB1BA"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报告期各期末，公司应付账款情况如下：</w:t>
      </w:r>
    </w:p>
    <w:p w14:paraId="40E10789" w14:textId="77777777" w:rsidR="004B0883" w:rsidRDefault="004B0883">
      <w:pPr>
        <w:keepNext/>
        <w:widowControl w:val="0"/>
        <w:jc w:val="right"/>
        <w:rPr>
          <w:szCs w:val="22"/>
        </w:rPr>
      </w:pPr>
      <w:r>
        <w:rPr>
          <w:rFonts w:hint="eastAsia"/>
          <w:szCs w:val="22"/>
        </w:rP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652"/>
        <w:gridCol w:w="1656"/>
        <w:gridCol w:w="1658"/>
        <w:gridCol w:w="1657"/>
        <w:gridCol w:w="1657"/>
      </w:tblGrid>
      <w:tr w:rsidR="004B0883" w14:paraId="0DC63AD2" w14:textId="77777777">
        <w:trPr>
          <w:trHeight w:val="397"/>
          <w:tblHeader/>
          <w:jc w:val="center"/>
        </w:trPr>
        <w:tc>
          <w:tcPr>
            <w:tcW w:w="1702" w:type="dxa"/>
            <w:shd w:val="clear" w:color="auto" w:fill="D9D9D9"/>
            <w:tcMar>
              <w:top w:w="0" w:type="dxa"/>
              <w:bottom w:w="0" w:type="dxa"/>
            </w:tcMar>
            <w:vAlign w:val="center"/>
          </w:tcPr>
          <w:p w14:paraId="13EAD9E1" w14:textId="77777777" w:rsidR="004B0883" w:rsidRDefault="004B0883">
            <w:pPr>
              <w:widowControl w:val="0"/>
              <w:adjustRightInd w:val="0"/>
              <w:snapToGrid w:val="0"/>
              <w:jc w:val="center"/>
              <w:rPr>
                <w:b/>
                <w:bCs/>
                <w:sz w:val="18"/>
                <w:szCs w:val="18"/>
              </w:rPr>
            </w:pPr>
            <w:r>
              <w:rPr>
                <w:rFonts w:hint="eastAsia"/>
                <w:b/>
                <w:bCs/>
                <w:sz w:val="18"/>
                <w:szCs w:val="18"/>
              </w:rPr>
              <w:t>项目</w:t>
            </w:r>
          </w:p>
        </w:tc>
        <w:tc>
          <w:tcPr>
            <w:tcW w:w="1705" w:type="dxa"/>
            <w:shd w:val="clear" w:color="auto" w:fill="D9D9D9"/>
            <w:tcMar>
              <w:top w:w="0" w:type="dxa"/>
              <w:bottom w:w="0" w:type="dxa"/>
            </w:tcMar>
            <w:vAlign w:val="center"/>
          </w:tcPr>
          <w:p w14:paraId="33B54EAD" w14:textId="77777777" w:rsidR="004B0883" w:rsidRDefault="004B0883">
            <w:pPr>
              <w:adjustRightInd w:val="0"/>
              <w:snapToGrid w:val="0"/>
              <w:jc w:val="center"/>
              <w:rPr>
                <w:b/>
                <w:bCs/>
                <w:color w:val="000000"/>
                <w:kern w:val="0"/>
                <w:sz w:val="18"/>
                <w:szCs w:val="18"/>
              </w:rPr>
            </w:pPr>
            <w:r>
              <w:rPr>
                <w:b/>
                <w:bCs/>
                <w:color w:val="000000"/>
                <w:kern w:val="0"/>
                <w:sz w:val="18"/>
                <w:szCs w:val="18"/>
              </w:rPr>
              <w:t>2023.</w:t>
            </w:r>
            <w:r>
              <w:rPr>
                <w:rFonts w:hint="eastAsia"/>
                <w:b/>
                <w:bCs/>
                <w:color w:val="000000"/>
                <w:kern w:val="0"/>
                <w:sz w:val="18"/>
                <w:szCs w:val="18"/>
              </w:rPr>
              <w:t>9</w:t>
            </w:r>
            <w:r>
              <w:rPr>
                <w:b/>
                <w:bCs/>
                <w:color w:val="000000"/>
                <w:kern w:val="0"/>
                <w:sz w:val="18"/>
                <w:szCs w:val="18"/>
              </w:rPr>
              <w:t>.30</w:t>
            </w:r>
          </w:p>
        </w:tc>
        <w:tc>
          <w:tcPr>
            <w:tcW w:w="1707" w:type="dxa"/>
            <w:shd w:val="clear" w:color="auto" w:fill="D9D9D9"/>
            <w:tcMar>
              <w:top w:w="0" w:type="dxa"/>
              <w:bottom w:w="0" w:type="dxa"/>
            </w:tcMar>
            <w:vAlign w:val="center"/>
          </w:tcPr>
          <w:p w14:paraId="4D9816B1" w14:textId="77777777" w:rsidR="004B0883" w:rsidRDefault="004B0883">
            <w:pPr>
              <w:adjustRightInd w:val="0"/>
              <w:snapToGrid w:val="0"/>
              <w:jc w:val="center"/>
              <w:rPr>
                <w:b/>
                <w:bCs/>
                <w:color w:val="000000"/>
                <w:kern w:val="0"/>
                <w:sz w:val="18"/>
                <w:szCs w:val="18"/>
              </w:rPr>
            </w:pPr>
            <w:r>
              <w:rPr>
                <w:b/>
                <w:bCs/>
                <w:color w:val="000000"/>
                <w:kern w:val="0"/>
                <w:sz w:val="18"/>
                <w:szCs w:val="18"/>
              </w:rPr>
              <w:t>2022.12.31</w:t>
            </w:r>
          </w:p>
        </w:tc>
        <w:tc>
          <w:tcPr>
            <w:tcW w:w="1706" w:type="dxa"/>
            <w:shd w:val="clear" w:color="auto" w:fill="D9D9D9"/>
            <w:tcMar>
              <w:top w:w="0" w:type="dxa"/>
              <w:bottom w:w="0" w:type="dxa"/>
            </w:tcMar>
            <w:vAlign w:val="center"/>
          </w:tcPr>
          <w:p w14:paraId="5EAB67F4" w14:textId="77777777" w:rsidR="004B0883" w:rsidRDefault="004B0883">
            <w:pPr>
              <w:adjustRightInd w:val="0"/>
              <w:snapToGrid w:val="0"/>
              <w:jc w:val="center"/>
              <w:rPr>
                <w:b/>
                <w:bCs/>
                <w:color w:val="000000"/>
                <w:kern w:val="0"/>
                <w:sz w:val="18"/>
                <w:szCs w:val="18"/>
              </w:rPr>
            </w:pPr>
            <w:r>
              <w:rPr>
                <w:b/>
                <w:bCs/>
                <w:color w:val="000000"/>
                <w:kern w:val="0"/>
                <w:sz w:val="18"/>
                <w:szCs w:val="18"/>
              </w:rPr>
              <w:t>2021.12.31</w:t>
            </w:r>
          </w:p>
        </w:tc>
        <w:tc>
          <w:tcPr>
            <w:tcW w:w="1706" w:type="dxa"/>
            <w:shd w:val="clear" w:color="auto" w:fill="D9D9D9"/>
            <w:tcMar>
              <w:top w:w="0" w:type="dxa"/>
              <w:bottom w:w="0" w:type="dxa"/>
            </w:tcMar>
            <w:vAlign w:val="center"/>
          </w:tcPr>
          <w:p w14:paraId="70BFEBCE" w14:textId="77777777" w:rsidR="004B0883" w:rsidRDefault="004B0883">
            <w:pPr>
              <w:adjustRightInd w:val="0"/>
              <w:snapToGrid w:val="0"/>
              <w:jc w:val="center"/>
              <w:rPr>
                <w:b/>
                <w:bCs/>
                <w:color w:val="000000"/>
                <w:kern w:val="0"/>
                <w:sz w:val="18"/>
                <w:szCs w:val="18"/>
              </w:rPr>
            </w:pPr>
            <w:r>
              <w:rPr>
                <w:b/>
                <w:bCs/>
                <w:color w:val="000000"/>
                <w:kern w:val="0"/>
                <w:sz w:val="18"/>
                <w:szCs w:val="18"/>
              </w:rPr>
              <w:t>2020.12.31</w:t>
            </w:r>
          </w:p>
        </w:tc>
      </w:tr>
      <w:tr w:rsidR="004B0883" w14:paraId="0B935A7A" w14:textId="77777777">
        <w:trPr>
          <w:trHeight w:val="397"/>
          <w:jc w:val="center"/>
        </w:trPr>
        <w:tc>
          <w:tcPr>
            <w:tcW w:w="1702" w:type="dxa"/>
            <w:tcMar>
              <w:top w:w="0" w:type="dxa"/>
              <w:bottom w:w="0" w:type="dxa"/>
            </w:tcMar>
            <w:vAlign w:val="center"/>
          </w:tcPr>
          <w:p w14:paraId="08CB3CDF" w14:textId="77777777" w:rsidR="004B0883" w:rsidRDefault="004B0883">
            <w:pPr>
              <w:widowControl w:val="0"/>
              <w:adjustRightInd w:val="0"/>
              <w:snapToGrid w:val="0"/>
              <w:jc w:val="both"/>
              <w:rPr>
                <w:kern w:val="0"/>
                <w:sz w:val="18"/>
                <w:szCs w:val="18"/>
              </w:rPr>
            </w:pPr>
            <w:r>
              <w:rPr>
                <w:rFonts w:hint="eastAsia"/>
                <w:kern w:val="0"/>
                <w:sz w:val="18"/>
                <w:szCs w:val="18"/>
              </w:rPr>
              <w:t>应付货款及工程款</w:t>
            </w:r>
          </w:p>
        </w:tc>
        <w:tc>
          <w:tcPr>
            <w:tcW w:w="1705" w:type="dxa"/>
            <w:tcMar>
              <w:top w:w="0" w:type="dxa"/>
              <w:bottom w:w="0" w:type="dxa"/>
            </w:tcMar>
            <w:vAlign w:val="center"/>
          </w:tcPr>
          <w:p w14:paraId="77EADB6C" w14:textId="77777777" w:rsidR="004B0883" w:rsidRDefault="004B0883">
            <w:pPr>
              <w:widowControl w:val="0"/>
              <w:adjustRightInd w:val="0"/>
              <w:snapToGrid w:val="0"/>
              <w:jc w:val="right"/>
              <w:rPr>
                <w:color w:val="000000"/>
                <w:sz w:val="18"/>
                <w:szCs w:val="18"/>
              </w:rPr>
            </w:pPr>
            <w:r>
              <w:rPr>
                <w:color w:val="000000"/>
                <w:sz w:val="18"/>
                <w:szCs w:val="18"/>
              </w:rPr>
              <w:t>4,783.48</w:t>
            </w:r>
          </w:p>
        </w:tc>
        <w:tc>
          <w:tcPr>
            <w:tcW w:w="1707" w:type="dxa"/>
            <w:tcMar>
              <w:top w:w="0" w:type="dxa"/>
              <w:bottom w:w="0" w:type="dxa"/>
            </w:tcMar>
            <w:vAlign w:val="center"/>
          </w:tcPr>
          <w:p w14:paraId="07F0C915" w14:textId="77777777" w:rsidR="004B0883" w:rsidRDefault="004B0883">
            <w:pPr>
              <w:widowControl w:val="0"/>
              <w:adjustRightInd w:val="0"/>
              <w:snapToGrid w:val="0"/>
              <w:jc w:val="right"/>
              <w:rPr>
                <w:sz w:val="18"/>
                <w:szCs w:val="18"/>
              </w:rPr>
            </w:pPr>
            <w:r>
              <w:rPr>
                <w:sz w:val="18"/>
                <w:szCs w:val="18"/>
              </w:rPr>
              <w:t>5,839.20</w:t>
            </w:r>
          </w:p>
        </w:tc>
        <w:tc>
          <w:tcPr>
            <w:tcW w:w="1706" w:type="dxa"/>
            <w:tcMar>
              <w:top w:w="0" w:type="dxa"/>
              <w:bottom w:w="0" w:type="dxa"/>
            </w:tcMar>
            <w:vAlign w:val="center"/>
          </w:tcPr>
          <w:p w14:paraId="3B5ECE12" w14:textId="77777777" w:rsidR="004B0883" w:rsidRDefault="004B0883">
            <w:pPr>
              <w:widowControl w:val="0"/>
              <w:adjustRightInd w:val="0"/>
              <w:snapToGrid w:val="0"/>
              <w:jc w:val="right"/>
              <w:rPr>
                <w:color w:val="000000"/>
                <w:sz w:val="18"/>
                <w:szCs w:val="18"/>
              </w:rPr>
            </w:pPr>
            <w:r>
              <w:rPr>
                <w:sz w:val="18"/>
                <w:szCs w:val="18"/>
              </w:rPr>
              <w:t>5,758.97</w:t>
            </w:r>
          </w:p>
        </w:tc>
        <w:tc>
          <w:tcPr>
            <w:tcW w:w="1706" w:type="dxa"/>
            <w:tcMar>
              <w:top w:w="0" w:type="dxa"/>
              <w:bottom w:w="0" w:type="dxa"/>
            </w:tcMar>
            <w:vAlign w:val="center"/>
          </w:tcPr>
          <w:p w14:paraId="3F145F28" w14:textId="77777777" w:rsidR="004B0883" w:rsidRDefault="004B0883">
            <w:pPr>
              <w:widowControl w:val="0"/>
              <w:adjustRightInd w:val="0"/>
              <w:snapToGrid w:val="0"/>
              <w:jc w:val="right"/>
              <w:rPr>
                <w:color w:val="000000"/>
                <w:sz w:val="18"/>
                <w:szCs w:val="18"/>
              </w:rPr>
            </w:pPr>
            <w:r>
              <w:rPr>
                <w:sz w:val="18"/>
                <w:szCs w:val="18"/>
              </w:rPr>
              <w:t>5,013.08</w:t>
            </w:r>
          </w:p>
        </w:tc>
      </w:tr>
      <w:tr w:rsidR="004B0883" w14:paraId="6ED622AB" w14:textId="77777777">
        <w:trPr>
          <w:trHeight w:val="397"/>
          <w:jc w:val="center"/>
        </w:trPr>
        <w:tc>
          <w:tcPr>
            <w:tcW w:w="1702" w:type="dxa"/>
            <w:tcMar>
              <w:top w:w="0" w:type="dxa"/>
              <w:bottom w:w="0" w:type="dxa"/>
            </w:tcMar>
            <w:vAlign w:val="center"/>
          </w:tcPr>
          <w:p w14:paraId="2F029EBD" w14:textId="77777777" w:rsidR="004B0883" w:rsidRDefault="004B0883">
            <w:pPr>
              <w:widowControl w:val="0"/>
              <w:adjustRightInd w:val="0"/>
              <w:snapToGrid w:val="0"/>
              <w:jc w:val="center"/>
              <w:rPr>
                <w:b/>
                <w:bCs/>
                <w:kern w:val="0"/>
                <w:sz w:val="18"/>
                <w:szCs w:val="18"/>
              </w:rPr>
            </w:pPr>
            <w:r>
              <w:rPr>
                <w:rFonts w:hint="eastAsia"/>
                <w:b/>
                <w:bCs/>
                <w:kern w:val="0"/>
                <w:sz w:val="18"/>
                <w:szCs w:val="18"/>
              </w:rPr>
              <w:t>合计</w:t>
            </w:r>
          </w:p>
        </w:tc>
        <w:tc>
          <w:tcPr>
            <w:tcW w:w="1705" w:type="dxa"/>
            <w:tcMar>
              <w:top w:w="0" w:type="dxa"/>
              <w:bottom w:w="0" w:type="dxa"/>
            </w:tcMar>
            <w:vAlign w:val="center"/>
          </w:tcPr>
          <w:p w14:paraId="129076C7" w14:textId="77777777" w:rsidR="004B0883" w:rsidRDefault="004B0883">
            <w:pPr>
              <w:widowControl w:val="0"/>
              <w:adjustRightInd w:val="0"/>
              <w:snapToGrid w:val="0"/>
              <w:jc w:val="right"/>
              <w:rPr>
                <w:b/>
                <w:bCs/>
                <w:color w:val="000000"/>
                <w:sz w:val="18"/>
                <w:szCs w:val="18"/>
              </w:rPr>
            </w:pPr>
            <w:r>
              <w:rPr>
                <w:b/>
                <w:bCs/>
                <w:color w:val="000000"/>
                <w:sz w:val="18"/>
                <w:szCs w:val="18"/>
              </w:rPr>
              <w:t>4,783.48</w:t>
            </w:r>
          </w:p>
        </w:tc>
        <w:tc>
          <w:tcPr>
            <w:tcW w:w="1707" w:type="dxa"/>
            <w:tcMar>
              <w:top w:w="0" w:type="dxa"/>
              <w:bottom w:w="0" w:type="dxa"/>
            </w:tcMar>
            <w:vAlign w:val="center"/>
          </w:tcPr>
          <w:p w14:paraId="4B297A06" w14:textId="77777777" w:rsidR="004B0883" w:rsidRDefault="004B0883">
            <w:pPr>
              <w:widowControl w:val="0"/>
              <w:adjustRightInd w:val="0"/>
              <w:snapToGrid w:val="0"/>
              <w:jc w:val="right"/>
              <w:rPr>
                <w:b/>
                <w:bCs/>
                <w:sz w:val="18"/>
                <w:szCs w:val="18"/>
              </w:rPr>
            </w:pPr>
            <w:r>
              <w:rPr>
                <w:b/>
                <w:bCs/>
                <w:sz w:val="18"/>
                <w:szCs w:val="18"/>
              </w:rPr>
              <w:t>5,839.20</w:t>
            </w:r>
          </w:p>
        </w:tc>
        <w:tc>
          <w:tcPr>
            <w:tcW w:w="1706" w:type="dxa"/>
            <w:tcMar>
              <w:top w:w="0" w:type="dxa"/>
              <w:bottom w:w="0" w:type="dxa"/>
            </w:tcMar>
            <w:vAlign w:val="center"/>
          </w:tcPr>
          <w:p w14:paraId="113B07D5" w14:textId="77777777" w:rsidR="004B0883" w:rsidRDefault="004B0883">
            <w:pPr>
              <w:widowControl w:val="0"/>
              <w:adjustRightInd w:val="0"/>
              <w:snapToGrid w:val="0"/>
              <w:jc w:val="right"/>
              <w:rPr>
                <w:b/>
                <w:bCs/>
                <w:color w:val="000000"/>
                <w:sz w:val="18"/>
                <w:szCs w:val="18"/>
              </w:rPr>
            </w:pPr>
            <w:r>
              <w:rPr>
                <w:b/>
                <w:bCs/>
                <w:sz w:val="18"/>
                <w:szCs w:val="18"/>
              </w:rPr>
              <w:t>5,758.97</w:t>
            </w:r>
          </w:p>
        </w:tc>
        <w:tc>
          <w:tcPr>
            <w:tcW w:w="1706" w:type="dxa"/>
            <w:tcMar>
              <w:top w:w="0" w:type="dxa"/>
              <w:bottom w:w="0" w:type="dxa"/>
            </w:tcMar>
            <w:vAlign w:val="center"/>
          </w:tcPr>
          <w:p w14:paraId="20A82D14" w14:textId="77777777" w:rsidR="004B0883" w:rsidRDefault="004B0883">
            <w:pPr>
              <w:widowControl w:val="0"/>
              <w:adjustRightInd w:val="0"/>
              <w:snapToGrid w:val="0"/>
              <w:jc w:val="right"/>
              <w:rPr>
                <w:b/>
                <w:bCs/>
                <w:color w:val="000000"/>
                <w:sz w:val="18"/>
                <w:szCs w:val="18"/>
              </w:rPr>
            </w:pPr>
            <w:r>
              <w:rPr>
                <w:b/>
                <w:bCs/>
                <w:sz w:val="18"/>
                <w:szCs w:val="18"/>
              </w:rPr>
              <w:t>5,013.08</w:t>
            </w:r>
          </w:p>
        </w:tc>
      </w:tr>
    </w:tbl>
    <w:p w14:paraId="27FCE220"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报告期各期末，公司应付账款余额分别为</w:t>
      </w:r>
      <w:r>
        <w:rPr>
          <w:rFonts w:hint="eastAsia"/>
          <w:sz w:val="24"/>
          <w:szCs w:val="22"/>
        </w:rPr>
        <w:t>5,013.08</w:t>
      </w:r>
      <w:r>
        <w:rPr>
          <w:rFonts w:hint="eastAsia"/>
          <w:sz w:val="24"/>
          <w:szCs w:val="22"/>
        </w:rPr>
        <w:t>万元、</w:t>
      </w:r>
      <w:r>
        <w:rPr>
          <w:rFonts w:hint="eastAsia"/>
          <w:sz w:val="24"/>
          <w:szCs w:val="22"/>
        </w:rPr>
        <w:t>5,758.97</w:t>
      </w:r>
      <w:r>
        <w:rPr>
          <w:rFonts w:hint="eastAsia"/>
          <w:sz w:val="24"/>
          <w:szCs w:val="22"/>
        </w:rPr>
        <w:t>万元、</w:t>
      </w:r>
      <w:r>
        <w:rPr>
          <w:rFonts w:hint="eastAsia"/>
          <w:sz w:val="24"/>
          <w:szCs w:val="22"/>
        </w:rPr>
        <w:t>5,839.20</w:t>
      </w:r>
      <w:r>
        <w:rPr>
          <w:rFonts w:hint="eastAsia"/>
          <w:sz w:val="24"/>
          <w:szCs w:val="22"/>
        </w:rPr>
        <w:t>万元和</w:t>
      </w:r>
      <w:bookmarkStart w:id="325" w:name="_Hlk150379504"/>
      <w:r>
        <w:rPr>
          <w:sz w:val="24"/>
          <w:szCs w:val="22"/>
        </w:rPr>
        <w:t>4,783.48</w:t>
      </w:r>
      <w:bookmarkEnd w:id="325"/>
      <w:r>
        <w:rPr>
          <w:rFonts w:hint="eastAsia"/>
          <w:sz w:val="24"/>
          <w:szCs w:val="22"/>
        </w:rPr>
        <w:t>万元，占总负债的比例分别为</w:t>
      </w:r>
      <w:r>
        <w:rPr>
          <w:sz w:val="24"/>
          <w:szCs w:val="22"/>
        </w:rPr>
        <w:t>24.28%</w:t>
      </w:r>
      <w:r>
        <w:rPr>
          <w:rFonts w:hint="eastAsia"/>
          <w:sz w:val="24"/>
          <w:szCs w:val="22"/>
        </w:rPr>
        <w:t>、</w:t>
      </w:r>
      <w:r>
        <w:rPr>
          <w:sz w:val="24"/>
          <w:szCs w:val="22"/>
        </w:rPr>
        <w:t>23.61%</w:t>
      </w:r>
      <w:r>
        <w:rPr>
          <w:rFonts w:hint="eastAsia"/>
          <w:sz w:val="24"/>
          <w:szCs w:val="22"/>
        </w:rPr>
        <w:t>、</w:t>
      </w:r>
      <w:r>
        <w:rPr>
          <w:sz w:val="24"/>
          <w:szCs w:val="22"/>
        </w:rPr>
        <w:t>26.23%</w:t>
      </w:r>
      <w:r>
        <w:rPr>
          <w:rFonts w:hint="eastAsia"/>
          <w:sz w:val="24"/>
          <w:szCs w:val="22"/>
        </w:rPr>
        <w:t>和</w:t>
      </w:r>
      <w:r>
        <w:rPr>
          <w:sz w:val="24"/>
          <w:szCs w:val="22"/>
        </w:rPr>
        <w:t>2</w:t>
      </w:r>
      <w:r>
        <w:rPr>
          <w:rFonts w:hint="eastAsia"/>
          <w:sz w:val="24"/>
          <w:szCs w:val="22"/>
        </w:rPr>
        <w:t>6.41</w:t>
      </w:r>
      <w:r>
        <w:rPr>
          <w:sz w:val="24"/>
          <w:szCs w:val="22"/>
        </w:rPr>
        <w:t>%</w:t>
      </w:r>
      <w:r>
        <w:rPr>
          <w:rFonts w:hint="eastAsia"/>
          <w:sz w:val="24"/>
          <w:szCs w:val="22"/>
        </w:rPr>
        <w:t>。</w:t>
      </w:r>
      <w:r>
        <w:rPr>
          <w:rFonts w:hint="eastAsia"/>
          <w:sz w:val="24"/>
          <w:szCs w:val="22"/>
        </w:rPr>
        <w:t>2020</w:t>
      </w:r>
      <w:r>
        <w:rPr>
          <w:rFonts w:hint="eastAsia"/>
          <w:sz w:val="24"/>
          <w:szCs w:val="22"/>
        </w:rPr>
        <w:t>年末</w:t>
      </w:r>
      <w:r>
        <w:rPr>
          <w:rFonts w:hint="eastAsia"/>
          <w:sz w:val="24"/>
          <w:szCs w:val="22"/>
        </w:rPr>
        <w:t>-2022</w:t>
      </w:r>
      <w:r>
        <w:rPr>
          <w:rFonts w:hint="eastAsia"/>
          <w:sz w:val="24"/>
          <w:szCs w:val="22"/>
        </w:rPr>
        <w:t>年末，公司应付账款呈上升趋势，主要系公司经营规模扩张，相应的采购规模上涨，对供应商应付账款增加所致。</w:t>
      </w:r>
      <w:r>
        <w:rPr>
          <w:rFonts w:hint="eastAsia"/>
          <w:sz w:val="24"/>
          <w:szCs w:val="22"/>
        </w:rPr>
        <w:t>2023</w:t>
      </w:r>
      <w:r>
        <w:rPr>
          <w:rFonts w:hint="eastAsia"/>
          <w:sz w:val="24"/>
          <w:szCs w:val="22"/>
        </w:rPr>
        <w:t>年</w:t>
      </w:r>
      <w:r>
        <w:rPr>
          <w:rFonts w:hint="eastAsia"/>
          <w:sz w:val="24"/>
          <w:szCs w:val="22"/>
        </w:rPr>
        <w:t>9</w:t>
      </w:r>
      <w:r>
        <w:rPr>
          <w:rFonts w:hint="eastAsia"/>
          <w:sz w:val="24"/>
          <w:szCs w:val="22"/>
        </w:rPr>
        <w:t>月末，公司应付账款小幅降低，主要系支付了供应商货款所致。</w:t>
      </w:r>
    </w:p>
    <w:p w14:paraId="2B7B9D99" w14:textId="77777777" w:rsidR="004B0883" w:rsidRDefault="004B0883">
      <w:pPr>
        <w:keepNext/>
        <w:keepLines/>
        <w:widowControl w:val="0"/>
        <w:spacing w:beforeLines="50" w:before="120" w:line="360" w:lineRule="auto"/>
        <w:ind w:firstLineChars="200" w:firstLine="480"/>
        <w:jc w:val="both"/>
        <w:outlineLvl w:val="4"/>
        <w:rPr>
          <w:sz w:val="24"/>
          <w:szCs w:val="22"/>
        </w:rPr>
      </w:pPr>
      <w:r>
        <w:rPr>
          <w:rFonts w:hint="eastAsia"/>
          <w:sz w:val="24"/>
          <w:szCs w:val="22"/>
        </w:rPr>
        <w:t>（</w:t>
      </w:r>
      <w:r>
        <w:rPr>
          <w:sz w:val="24"/>
          <w:szCs w:val="22"/>
        </w:rPr>
        <w:t>4</w:t>
      </w:r>
      <w:r>
        <w:rPr>
          <w:rFonts w:hint="eastAsia"/>
          <w:sz w:val="24"/>
          <w:szCs w:val="22"/>
        </w:rPr>
        <w:t>）预收账款与合同负债</w:t>
      </w:r>
    </w:p>
    <w:p w14:paraId="4059C45C" w14:textId="77777777" w:rsidR="004B0883" w:rsidRDefault="004B0883">
      <w:pPr>
        <w:pStyle w:val="005"/>
        <w:spacing w:before="120"/>
        <w:ind w:firstLine="480"/>
      </w:pPr>
      <w:r>
        <w:rPr>
          <w:rFonts w:hint="eastAsia"/>
        </w:rPr>
        <w:t>报告期各期末，公司预收款项与合同负债情况如下：</w:t>
      </w:r>
    </w:p>
    <w:p w14:paraId="4ECEC5BA" w14:textId="77777777" w:rsidR="004B0883" w:rsidRDefault="004B0883">
      <w:pPr>
        <w:pStyle w:val="009"/>
      </w:pPr>
      <w:r>
        <w:rPr>
          <w:rFonts w:hint="eastAsia"/>
        </w:rP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27"/>
        <w:gridCol w:w="1660"/>
        <w:gridCol w:w="1664"/>
        <w:gridCol w:w="1664"/>
        <w:gridCol w:w="1665"/>
      </w:tblGrid>
      <w:tr w:rsidR="004B0883" w14:paraId="291029ED" w14:textId="77777777">
        <w:trPr>
          <w:trHeight w:val="397"/>
          <w:tblHeader/>
          <w:jc w:val="center"/>
        </w:trPr>
        <w:tc>
          <w:tcPr>
            <w:tcW w:w="1706" w:type="dxa"/>
            <w:shd w:val="clear" w:color="auto" w:fill="D9D9D9"/>
            <w:vAlign w:val="center"/>
          </w:tcPr>
          <w:p w14:paraId="6D845545" w14:textId="77777777" w:rsidR="004B0883" w:rsidRDefault="004B0883">
            <w:pPr>
              <w:adjustRightInd w:val="0"/>
              <w:snapToGrid w:val="0"/>
              <w:jc w:val="center"/>
              <w:rPr>
                <w:b/>
                <w:bCs/>
                <w:color w:val="000000"/>
                <w:kern w:val="0"/>
                <w:sz w:val="18"/>
                <w:szCs w:val="18"/>
              </w:rPr>
            </w:pPr>
            <w:r>
              <w:rPr>
                <w:b/>
                <w:bCs/>
                <w:color w:val="000000"/>
                <w:kern w:val="0"/>
                <w:sz w:val="18"/>
                <w:szCs w:val="18"/>
              </w:rPr>
              <w:t>项目</w:t>
            </w:r>
          </w:p>
        </w:tc>
        <w:tc>
          <w:tcPr>
            <w:tcW w:w="1706" w:type="dxa"/>
            <w:shd w:val="clear" w:color="auto" w:fill="D9D9D9"/>
            <w:vAlign w:val="center"/>
          </w:tcPr>
          <w:p w14:paraId="08C83D11" w14:textId="77777777" w:rsidR="004B0883" w:rsidRDefault="004B0883">
            <w:pPr>
              <w:adjustRightInd w:val="0"/>
              <w:snapToGrid w:val="0"/>
              <w:jc w:val="center"/>
              <w:rPr>
                <w:b/>
                <w:bCs/>
                <w:color w:val="000000"/>
                <w:kern w:val="0"/>
                <w:sz w:val="18"/>
                <w:szCs w:val="18"/>
              </w:rPr>
            </w:pPr>
            <w:r>
              <w:rPr>
                <w:b/>
                <w:bCs/>
                <w:color w:val="000000"/>
                <w:kern w:val="0"/>
                <w:sz w:val="18"/>
                <w:szCs w:val="18"/>
              </w:rPr>
              <w:t>2023.</w:t>
            </w:r>
            <w:r>
              <w:rPr>
                <w:rFonts w:hint="eastAsia"/>
                <w:b/>
                <w:bCs/>
                <w:color w:val="000000"/>
                <w:kern w:val="0"/>
                <w:sz w:val="18"/>
                <w:szCs w:val="18"/>
              </w:rPr>
              <w:t>9</w:t>
            </w:r>
            <w:r>
              <w:rPr>
                <w:b/>
                <w:bCs/>
                <w:color w:val="000000"/>
                <w:kern w:val="0"/>
                <w:sz w:val="18"/>
                <w:szCs w:val="18"/>
              </w:rPr>
              <w:t>.30</w:t>
            </w:r>
          </w:p>
        </w:tc>
        <w:tc>
          <w:tcPr>
            <w:tcW w:w="1705" w:type="dxa"/>
            <w:shd w:val="clear" w:color="auto" w:fill="D9D9D9"/>
            <w:vAlign w:val="center"/>
          </w:tcPr>
          <w:p w14:paraId="04DB788A" w14:textId="77777777" w:rsidR="004B0883" w:rsidRDefault="004B0883">
            <w:pPr>
              <w:adjustRightInd w:val="0"/>
              <w:snapToGrid w:val="0"/>
              <w:jc w:val="center"/>
              <w:rPr>
                <w:b/>
                <w:bCs/>
                <w:color w:val="000000"/>
                <w:kern w:val="0"/>
                <w:sz w:val="18"/>
                <w:szCs w:val="18"/>
              </w:rPr>
            </w:pPr>
            <w:r>
              <w:rPr>
                <w:b/>
                <w:bCs/>
                <w:color w:val="000000"/>
                <w:kern w:val="0"/>
                <w:sz w:val="18"/>
                <w:szCs w:val="18"/>
              </w:rPr>
              <w:t>2022.12.31</w:t>
            </w:r>
          </w:p>
        </w:tc>
        <w:tc>
          <w:tcPr>
            <w:tcW w:w="1705" w:type="dxa"/>
            <w:shd w:val="clear" w:color="auto" w:fill="D9D9D9"/>
            <w:vAlign w:val="center"/>
          </w:tcPr>
          <w:p w14:paraId="72AC04EC" w14:textId="77777777" w:rsidR="004B0883" w:rsidRDefault="004B0883">
            <w:pPr>
              <w:adjustRightInd w:val="0"/>
              <w:snapToGrid w:val="0"/>
              <w:jc w:val="center"/>
              <w:rPr>
                <w:b/>
                <w:bCs/>
                <w:color w:val="000000"/>
                <w:kern w:val="0"/>
                <w:sz w:val="18"/>
                <w:szCs w:val="18"/>
              </w:rPr>
            </w:pPr>
            <w:r>
              <w:rPr>
                <w:b/>
                <w:bCs/>
                <w:color w:val="000000"/>
                <w:kern w:val="0"/>
                <w:sz w:val="18"/>
                <w:szCs w:val="18"/>
              </w:rPr>
              <w:t>2021.12.31</w:t>
            </w:r>
          </w:p>
        </w:tc>
        <w:tc>
          <w:tcPr>
            <w:tcW w:w="1706" w:type="dxa"/>
            <w:shd w:val="clear" w:color="auto" w:fill="D9D9D9"/>
            <w:vAlign w:val="center"/>
          </w:tcPr>
          <w:p w14:paraId="4C45B3D1" w14:textId="77777777" w:rsidR="004B0883" w:rsidRDefault="004B0883">
            <w:pPr>
              <w:adjustRightInd w:val="0"/>
              <w:snapToGrid w:val="0"/>
              <w:jc w:val="center"/>
              <w:rPr>
                <w:b/>
                <w:bCs/>
                <w:color w:val="000000"/>
                <w:kern w:val="0"/>
                <w:sz w:val="18"/>
                <w:szCs w:val="18"/>
              </w:rPr>
            </w:pPr>
            <w:r>
              <w:rPr>
                <w:b/>
                <w:bCs/>
                <w:color w:val="000000"/>
                <w:kern w:val="0"/>
                <w:sz w:val="18"/>
                <w:szCs w:val="18"/>
              </w:rPr>
              <w:t>2020.12.31</w:t>
            </w:r>
          </w:p>
        </w:tc>
      </w:tr>
      <w:tr w:rsidR="004B0883" w14:paraId="2F36FB5D" w14:textId="77777777">
        <w:trPr>
          <w:trHeight w:val="397"/>
          <w:jc w:val="center"/>
        </w:trPr>
        <w:tc>
          <w:tcPr>
            <w:tcW w:w="1706" w:type="dxa"/>
            <w:vAlign w:val="center"/>
          </w:tcPr>
          <w:p w14:paraId="6C252A22" w14:textId="77777777" w:rsidR="004B0883" w:rsidRDefault="004B0883">
            <w:pPr>
              <w:adjustRightInd w:val="0"/>
              <w:snapToGrid w:val="0"/>
              <w:rPr>
                <w:color w:val="000000"/>
                <w:kern w:val="0"/>
                <w:sz w:val="18"/>
                <w:szCs w:val="18"/>
              </w:rPr>
            </w:pPr>
            <w:r>
              <w:rPr>
                <w:color w:val="000000"/>
                <w:kern w:val="0"/>
                <w:sz w:val="18"/>
                <w:szCs w:val="18"/>
              </w:rPr>
              <w:t>预收款项</w:t>
            </w:r>
          </w:p>
        </w:tc>
        <w:tc>
          <w:tcPr>
            <w:tcW w:w="1706" w:type="dxa"/>
            <w:vAlign w:val="center"/>
          </w:tcPr>
          <w:p w14:paraId="68CE4DAA" w14:textId="77777777" w:rsidR="004B0883" w:rsidRDefault="004B0883">
            <w:pPr>
              <w:adjustRightInd w:val="0"/>
              <w:snapToGrid w:val="0"/>
              <w:jc w:val="right"/>
              <w:rPr>
                <w:color w:val="000000"/>
                <w:kern w:val="0"/>
                <w:sz w:val="18"/>
                <w:szCs w:val="18"/>
              </w:rPr>
            </w:pPr>
            <w:r>
              <w:rPr>
                <w:rFonts w:eastAsia="仿宋_GB2312"/>
                <w:color w:val="000000"/>
              </w:rPr>
              <w:t>-</w:t>
            </w:r>
          </w:p>
        </w:tc>
        <w:tc>
          <w:tcPr>
            <w:tcW w:w="1705" w:type="dxa"/>
            <w:vAlign w:val="center"/>
          </w:tcPr>
          <w:p w14:paraId="4D866194" w14:textId="77777777" w:rsidR="004B0883" w:rsidRDefault="004B0883">
            <w:pPr>
              <w:adjustRightInd w:val="0"/>
              <w:snapToGrid w:val="0"/>
              <w:jc w:val="right"/>
              <w:rPr>
                <w:color w:val="000000"/>
                <w:kern w:val="0"/>
                <w:sz w:val="18"/>
                <w:szCs w:val="18"/>
              </w:rPr>
            </w:pPr>
            <w:r>
              <w:rPr>
                <w:rFonts w:eastAsia="仿宋_GB2312"/>
                <w:color w:val="000000"/>
              </w:rPr>
              <w:t>-</w:t>
            </w:r>
          </w:p>
        </w:tc>
        <w:tc>
          <w:tcPr>
            <w:tcW w:w="1705" w:type="dxa"/>
            <w:vAlign w:val="center"/>
          </w:tcPr>
          <w:p w14:paraId="375A370B" w14:textId="77777777" w:rsidR="004B0883" w:rsidRDefault="004B0883">
            <w:pPr>
              <w:adjustRightInd w:val="0"/>
              <w:snapToGrid w:val="0"/>
              <w:jc w:val="right"/>
              <w:rPr>
                <w:color w:val="000000"/>
                <w:kern w:val="0"/>
                <w:sz w:val="18"/>
                <w:szCs w:val="18"/>
              </w:rPr>
            </w:pPr>
            <w:r>
              <w:rPr>
                <w:sz w:val="18"/>
                <w:szCs w:val="18"/>
              </w:rPr>
              <w:t>2,450.00</w:t>
            </w:r>
          </w:p>
        </w:tc>
        <w:tc>
          <w:tcPr>
            <w:tcW w:w="1706" w:type="dxa"/>
            <w:vAlign w:val="center"/>
          </w:tcPr>
          <w:p w14:paraId="1AFE7764" w14:textId="77777777" w:rsidR="004B0883" w:rsidRDefault="004B0883">
            <w:pPr>
              <w:adjustRightInd w:val="0"/>
              <w:snapToGrid w:val="0"/>
              <w:jc w:val="right"/>
              <w:rPr>
                <w:color w:val="000000"/>
                <w:kern w:val="0"/>
                <w:sz w:val="18"/>
                <w:szCs w:val="18"/>
              </w:rPr>
            </w:pPr>
            <w:r>
              <w:rPr>
                <w:rFonts w:eastAsia="仿宋_GB2312"/>
                <w:color w:val="000000"/>
              </w:rPr>
              <w:t>-</w:t>
            </w:r>
          </w:p>
        </w:tc>
      </w:tr>
      <w:tr w:rsidR="004B0883" w14:paraId="537FD8E7" w14:textId="77777777">
        <w:trPr>
          <w:trHeight w:val="397"/>
          <w:jc w:val="center"/>
        </w:trPr>
        <w:tc>
          <w:tcPr>
            <w:tcW w:w="1706" w:type="dxa"/>
            <w:vAlign w:val="center"/>
          </w:tcPr>
          <w:p w14:paraId="6B55F5ED" w14:textId="77777777" w:rsidR="004B0883" w:rsidRDefault="004B0883">
            <w:pPr>
              <w:adjustRightInd w:val="0"/>
              <w:snapToGrid w:val="0"/>
              <w:rPr>
                <w:color w:val="000000"/>
                <w:kern w:val="0"/>
                <w:sz w:val="18"/>
                <w:szCs w:val="18"/>
              </w:rPr>
            </w:pPr>
            <w:r>
              <w:rPr>
                <w:color w:val="000000"/>
                <w:kern w:val="0"/>
                <w:sz w:val="18"/>
                <w:szCs w:val="18"/>
              </w:rPr>
              <w:t>合同负债</w:t>
            </w:r>
          </w:p>
        </w:tc>
        <w:tc>
          <w:tcPr>
            <w:tcW w:w="1706" w:type="dxa"/>
            <w:vAlign w:val="center"/>
          </w:tcPr>
          <w:p w14:paraId="5BC86874" w14:textId="77777777" w:rsidR="004B0883" w:rsidRDefault="004B0883">
            <w:pPr>
              <w:adjustRightInd w:val="0"/>
              <w:snapToGrid w:val="0"/>
              <w:jc w:val="right"/>
              <w:rPr>
                <w:color w:val="000000"/>
                <w:kern w:val="0"/>
                <w:sz w:val="18"/>
                <w:szCs w:val="18"/>
              </w:rPr>
            </w:pPr>
            <w:r>
              <w:rPr>
                <w:color w:val="000000"/>
                <w:kern w:val="0"/>
                <w:sz w:val="18"/>
                <w:szCs w:val="18"/>
              </w:rPr>
              <w:t>3,482.94</w:t>
            </w:r>
          </w:p>
        </w:tc>
        <w:tc>
          <w:tcPr>
            <w:tcW w:w="1705" w:type="dxa"/>
            <w:vAlign w:val="center"/>
          </w:tcPr>
          <w:p w14:paraId="325BFE96" w14:textId="77777777" w:rsidR="004B0883" w:rsidRDefault="004B0883">
            <w:pPr>
              <w:adjustRightInd w:val="0"/>
              <w:snapToGrid w:val="0"/>
              <w:jc w:val="right"/>
              <w:rPr>
                <w:color w:val="000000"/>
                <w:kern w:val="0"/>
                <w:sz w:val="18"/>
                <w:szCs w:val="18"/>
              </w:rPr>
            </w:pPr>
            <w:r>
              <w:rPr>
                <w:sz w:val="18"/>
                <w:szCs w:val="18"/>
              </w:rPr>
              <w:t>1,715.03</w:t>
            </w:r>
          </w:p>
        </w:tc>
        <w:tc>
          <w:tcPr>
            <w:tcW w:w="1705" w:type="dxa"/>
            <w:vAlign w:val="center"/>
          </w:tcPr>
          <w:p w14:paraId="0E428F2C" w14:textId="77777777" w:rsidR="004B0883" w:rsidRDefault="004B0883">
            <w:pPr>
              <w:adjustRightInd w:val="0"/>
              <w:snapToGrid w:val="0"/>
              <w:jc w:val="right"/>
              <w:rPr>
                <w:color w:val="000000"/>
                <w:kern w:val="0"/>
                <w:sz w:val="18"/>
                <w:szCs w:val="18"/>
              </w:rPr>
            </w:pPr>
            <w:r>
              <w:rPr>
                <w:sz w:val="18"/>
                <w:szCs w:val="18"/>
              </w:rPr>
              <w:t>1,652.29</w:t>
            </w:r>
          </w:p>
        </w:tc>
        <w:tc>
          <w:tcPr>
            <w:tcW w:w="1706" w:type="dxa"/>
            <w:vAlign w:val="center"/>
          </w:tcPr>
          <w:p w14:paraId="2A7B33D2" w14:textId="77777777" w:rsidR="004B0883" w:rsidRDefault="004B0883">
            <w:pPr>
              <w:adjustRightInd w:val="0"/>
              <w:snapToGrid w:val="0"/>
              <w:jc w:val="right"/>
              <w:rPr>
                <w:color w:val="000000"/>
                <w:kern w:val="0"/>
                <w:sz w:val="18"/>
                <w:szCs w:val="18"/>
              </w:rPr>
            </w:pPr>
            <w:r>
              <w:rPr>
                <w:sz w:val="18"/>
                <w:szCs w:val="18"/>
              </w:rPr>
              <w:t xml:space="preserve">2,165.95 </w:t>
            </w:r>
          </w:p>
        </w:tc>
      </w:tr>
      <w:tr w:rsidR="004B0883" w14:paraId="5CA0CC14" w14:textId="77777777">
        <w:trPr>
          <w:trHeight w:val="397"/>
          <w:jc w:val="center"/>
        </w:trPr>
        <w:tc>
          <w:tcPr>
            <w:tcW w:w="1706" w:type="dxa"/>
            <w:vAlign w:val="center"/>
          </w:tcPr>
          <w:p w14:paraId="6AB0F90C" w14:textId="77777777" w:rsidR="004B0883" w:rsidRDefault="004B0883">
            <w:pPr>
              <w:adjustRightInd w:val="0"/>
              <w:snapToGrid w:val="0"/>
              <w:jc w:val="center"/>
              <w:rPr>
                <w:b/>
                <w:bCs/>
                <w:color w:val="000000"/>
                <w:kern w:val="0"/>
                <w:sz w:val="18"/>
                <w:szCs w:val="18"/>
              </w:rPr>
            </w:pPr>
            <w:r>
              <w:rPr>
                <w:rFonts w:hint="eastAsia"/>
                <w:b/>
                <w:bCs/>
                <w:color w:val="000000"/>
                <w:kern w:val="0"/>
                <w:sz w:val="18"/>
                <w:szCs w:val="18"/>
              </w:rPr>
              <w:t>合计</w:t>
            </w:r>
          </w:p>
        </w:tc>
        <w:tc>
          <w:tcPr>
            <w:tcW w:w="1706" w:type="dxa"/>
            <w:vAlign w:val="center"/>
          </w:tcPr>
          <w:p w14:paraId="224F271D" w14:textId="77777777" w:rsidR="004B0883" w:rsidRDefault="004B0883">
            <w:pPr>
              <w:adjustRightInd w:val="0"/>
              <w:snapToGrid w:val="0"/>
              <w:jc w:val="right"/>
              <w:rPr>
                <w:b/>
                <w:bCs/>
                <w:sz w:val="18"/>
                <w:szCs w:val="18"/>
              </w:rPr>
            </w:pPr>
            <w:r>
              <w:rPr>
                <w:b/>
                <w:bCs/>
                <w:sz w:val="18"/>
                <w:szCs w:val="18"/>
              </w:rPr>
              <w:t>3,482.94</w:t>
            </w:r>
          </w:p>
        </w:tc>
        <w:tc>
          <w:tcPr>
            <w:tcW w:w="1705" w:type="dxa"/>
            <w:vAlign w:val="center"/>
          </w:tcPr>
          <w:p w14:paraId="519C50A3" w14:textId="77777777" w:rsidR="004B0883" w:rsidRDefault="004B0883">
            <w:pPr>
              <w:adjustRightInd w:val="0"/>
              <w:snapToGrid w:val="0"/>
              <w:jc w:val="right"/>
              <w:rPr>
                <w:b/>
                <w:bCs/>
                <w:sz w:val="18"/>
                <w:szCs w:val="18"/>
              </w:rPr>
            </w:pPr>
            <w:r>
              <w:rPr>
                <w:b/>
                <w:bCs/>
                <w:sz w:val="18"/>
                <w:szCs w:val="18"/>
              </w:rPr>
              <w:t>1,715.03</w:t>
            </w:r>
          </w:p>
        </w:tc>
        <w:tc>
          <w:tcPr>
            <w:tcW w:w="1705" w:type="dxa"/>
            <w:vAlign w:val="center"/>
          </w:tcPr>
          <w:p w14:paraId="74CE5388" w14:textId="77777777" w:rsidR="004B0883" w:rsidRDefault="004B0883">
            <w:pPr>
              <w:adjustRightInd w:val="0"/>
              <w:snapToGrid w:val="0"/>
              <w:jc w:val="right"/>
              <w:rPr>
                <w:b/>
                <w:bCs/>
                <w:sz w:val="18"/>
                <w:szCs w:val="18"/>
              </w:rPr>
            </w:pPr>
            <w:r>
              <w:rPr>
                <w:b/>
                <w:bCs/>
                <w:sz w:val="18"/>
                <w:szCs w:val="18"/>
              </w:rPr>
              <w:t>4,102.29</w:t>
            </w:r>
          </w:p>
        </w:tc>
        <w:tc>
          <w:tcPr>
            <w:tcW w:w="1706" w:type="dxa"/>
            <w:vAlign w:val="center"/>
          </w:tcPr>
          <w:p w14:paraId="2A676BD6" w14:textId="77777777" w:rsidR="004B0883" w:rsidRDefault="004B0883">
            <w:pPr>
              <w:adjustRightInd w:val="0"/>
              <w:snapToGrid w:val="0"/>
              <w:jc w:val="right"/>
              <w:rPr>
                <w:b/>
                <w:bCs/>
                <w:sz w:val="18"/>
                <w:szCs w:val="18"/>
              </w:rPr>
            </w:pPr>
            <w:r>
              <w:rPr>
                <w:b/>
                <w:bCs/>
                <w:sz w:val="18"/>
                <w:szCs w:val="18"/>
              </w:rPr>
              <w:t xml:space="preserve">2,165.95 </w:t>
            </w:r>
          </w:p>
        </w:tc>
      </w:tr>
    </w:tbl>
    <w:p w14:paraId="1FC20537" w14:textId="77777777" w:rsidR="004B0883" w:rsidRDefault="004B0883">
      <w:pPr>
        <w:pStyle w:val="005"/>
        <w:spacing w:before="120"/>
        <w:ind w:firstLine="480"/>
      </w:pPr>
      <w:r>
        <w:rPr>
          <w:rFonts w:hint="eastAsia"/>
        </w:rPr>
        <w:t>报告期各期末，公司合同负债余额分别为</w:t>
      </w:r>
      <w:r>
        <w:t>2,165.95</w:t>
      </w:r>
      <w:r>
        <w:rPr>
          <w:rFonts w:hint="eastAsia"/>
        </w:rPr>
        <w:t>万元、</w:t>
      </w:r>
      <w:r>
        <w:t>1,652.29</w:t>
      </w:r>
      <w:r>
        <w:rPr>
          <w:rFonts w:hint="eastAsia"/>
        </w:rPr>
        <w:t>万元、</w:t>
      </w:r>
      <w:r>
        <w:t>1,715.03</w:t>
      </w:r>
      <w:r>
        <w:rPr>
          <w:rFonts w:hint="eastAsia"/>
        </w:rPr>
        <w:t>万元和</w:t>
      </w:r>
      <w:r>
        <w:t>3,482.94</w:t>
      </w:r>
      <w:r>
        <w:rPr>
          <w:rFonts w:hint="eastAsia"/>
        </w:rPr>
        <w:t>万元，占总负债的比例分别为</w:t>
      </w:r>
      <w:r>
        <w:t>10.49%</w:t>
      </w:r>
      <w:r>
        <w:rPr>
          <w:rFonts w:hint="eastAsia"/>
        </w:rPr>
        <w:t>、</w:t>
      </w:r>
      <w:r>
        <w:t>6.77%</w:t>
      </w:r>
      <w:r>
        <w:rPr>
          <w:rFonts w:hint="eastAsia"/>
        </w:rPr>
        <w:t>、</w:t>
      </w:r>
      <w:r>
        <w:t>7.70%</w:t>
      </w:r>
      <w:r>
        <w:rPr>
          <w:rFonts w:hint="eastAsia"/>
        </w:rPr>
        <w:t>和</w:t>
      </w:r>
      <w:r>
        <w:t>1</w:t>
      </w:r>
      <w:r>
        <w:rPr>
          <w:rFonts w:hint="eastAsia"/>
        </w:rPr>
        <w:t>9.23</w:t>
      </w:r>
      <w:r>
        <w:t>%</w:t>
      </w:r>
      <w:r>
        <w:rPr>
          <w:rFonts w:hint="eastAsia"/>
        </w:rPr>
        <w:t>，主要由当期正在履行销售合同的预收货款构成。报告期内总体保持稳定。</w:t>
      </w:r>
      <w:r>
        <w:rPr>
          <w:rFonts w:hint="eastAsia"/>
        </w:rPr>
        <w:t>2</w:t>
      </w:r>
      <w:r>
        <w:t>021</w:t>
      </w:r>
      <w:r>
        <w:rPr>
          <w:rFonts w:hint="eastAsia"/>
        </w:rPr>
        <w:t>年末公司预收账款系预收即聚机电公司的股权转让款，</w:t>
      </w:r>
      <w:r>
        <w:rPr>
          <w:rFonts w:hint="eastAsia"/>
        </w:rPr>
        <w:t>2</w:t>
      </w:r>
      <w:r>
        <w:t>023</w:t>
      </w:r>
      <w:r>
        <w:rPr>
          <w:rFonts w:hint="eastAsia"/>
        </w:rPr>
        <w:t>年</w:t>
      </w:r>
      <w:r>
        <w:rPr>
          <w:rFonts w:hint="eastAsia"/>
        </w:rPr>
        <w:t>9</w:t>
      </w:r>
      <w:r>
        <w:rPr>
          <w:rFonts w:hint="eastAsia"/>
        </w:rPr>
        <w:t>月末合同负债增加，主要系在手订单增加所致。</w:t>
      </w:r>
    </w:p>
    <w:p w14:paraId="714EE2AC" w14:textId="77777777" w:rsidR="004B0883" w:rsidRDefault="004B0883">
      <w:pPr>
        <w:keepNext/>
        <w:keepLines/>
        <w:widowControl w:val="0"/>
        <w:spacing w:beforeLines="50" w:before="120" w:line="360" w:lineRule="auto"/>
        <w:ind w:firstLineChars="200" w:firstLine="480"/>
        <w:jc w:val="both"/>
        <w:outlineLvl w:val="4"/>
        <w:rPr>
          <w:sz w:val="24"/>
          <w:szCs w:val="22"/>
        </w:rPr>
      </w:pPr>
      <w:r>
        <w:rPr>
          <w:rFonts w:hint="eastAsia"/>
          <w:sz w:val="24"/>
          <w:szCs w:val="22"/>
        </w:rPr>
        <w:t>（</w:t>
      </w:r>
      <w:r>
        <w:rPr>
          <w:sz w:val="24"/>
          <w:szCs w:val="22"/>
        </w:rPr>
        <w:t>5</w:t>
      </w:r>
      <w:r>
        <w:rPr>
          <w:rFonts w:hint="eastAsia"/>
          <w:sz w:val="24"/>
          <w:szCs w:val="22"/>
        </w:rPr>
        <w:t>）应付职工薪酬</w:t>
      </w:r>
    </w:p>
    <w:p w14:paraId="7A5ADC90" w14:textId="77777777" w:rsidR="004B0883" w:rsidRDefault="004B0883">
      <w:pPr>
        <w:widowControl w:val="0"/>
        <w:spacing w:beforeLines="50" w:before="120" w:line="360" w:lineRule="auto"/>
        <w:ind w:firstLineChars="200" w:firstLine="480"/>
        <w:jc w:val="both"/>
        <w:rPr>
          <w:rFonts w:hint="eastAsia"/>
          <w:sz w:val="24"/>
          <w:szCs w:val="22"/>
        </w:rPr>
      </w:pPr>
      <w:r>
        <w:rPr>
          <w:rFonts w:hint="eastAsia"/>
          <w:sz w:val="24"/>
          <w:szCs w:val="22"/>
        </w:rPr>
        <w:t>报告期各期末，公司应付职工薪酬分别为</w:t>
      </w:r>
      <w:r>
        <w:rPr>
          <w:rFonts w:hint="eastAsia"/>
          <w:sz w:val="24"/>
          <w:szCs w:val="22"/>
        </w:rPr>
        <w:t>2,114.50</w:t>
      </w:r>
      <w:r>
        <w:rPr>
          <w:rFonts w:hint="eastAsia"/>
          <w:sz w:val="24"/>
          <w:szCs w:val="22"/>
        </w:rPr>
        <w:t>万元、</w:t>
      </w:r>
      <w:r>
        <w:rPr>
          <w:rFonts w:hint="eastAsia"/>
          <w:sz w:val="24"/>
          <w:szCs w:val="22"/>
        </w:rPr>
        <w:t>2,146.23</w:t>
      </w:r>
      <w:r>
        <w:rPr>
          <w:rFonts w:hint="eastAsia"/>
          <w:sz w:val="24"/>
          <w:szCs w:val="22"/>
        </w:rPr>
        <w:t>万元、</w:t>
      </w:r>
      <w:r>
        <w:rPr>
          <w:rFonts w:hint="eastAsia"/>
          <w:sz w:val="24"/>
          <w:szCs w:val="22"/>
        </w:rPr>
        <w:t>2,708.63</w:t>
      </w:r>
      <w:r>
        <w:rPr>
          <w:rFonts w:hint="eastAsia"/>
          <w:sz w:val="24"/>
          <w:szCs w:val="22"/>
        </w:rPr>
        <w:t>万元和</w:t>
      </w:r>
      <w:bookmarkStart w:id="326" w:name="_Hlk150379575"/>
      <w:r>
        <w:rPr>
          <w:sz w:val="24"/>
          <w:szCs w:val="22"/>
        </w:rPr>
        <w:t>1,813.76</w:t>
      </w:r>
      <w:bookmarkEnd w:id="326"/>
      <w:r>
        <w:rPr>
          <w:rFonts w:hint="eastAsia"/>
          <w:sz w:val="24"/>
          <w:szCs w:val="22"/>
        </w:rPr>
        <w:t>万元，占总负债的比例分别为</w:t>
      </w:r>
      <w:r>
        <w:rPr>
          <w:sz w:val="24"/>
          <w:szCs w:val="22"/>
        </w:rPr>
        <w:t>10.24%</w:t>
      </w:r>
      <w:r>
        <w:rPr>
          <w:rFonts w:hint="eastAsia"/>
          <w:sz w:val="24"/>
          <w:szCs w:val="22"/>
        </w:rPr>
        <w:t>、</w:t>
      </w:r>
      <w:r>
        <w:rPr>
          <w:sz w:val="24"/>
          <w:szCs w:val="22"/>
        </w:rPr>
        <w:t>8.80%</w:t>
      </w:r>
      <w:r>
        <w:rPr>
          <w:rFonts w:hint="eastAsia"/>
          <w:sz w:val="24"/>
          <w:szCs w:val="22"/>
        </w:rPr>
        <w:t>、</w:t>
      </w:r>
      <w:r>
        <w:rPr>
          <w:sz w:val="24"/>
          <w:szCs w:val="22"/>
        </w:rPr>
        <w:t>12.17%</w:t>
      </w:r>
      <w:r>
        <w:rPr>
          <w:rFonts w:hint="eastAsia"/>
          <w:sz w:val="24"/>
          <w:szCs w:val="22"/>
        </w:rPr>
        <w:t>和</w:t>
      </w:r>
      <w:r>
        <w:rPr>
          <w:rFonts w:hint="eastAsia"/>
          <w:sz w:val="24"/>
          <w:szCs w:val="22"/>
        </w:rPr>
        <w:t>10.01</w:t>
      </w:r>
      <w:r>
        <w:rPr>
          <w:sz w:val="24"/>
          <w:szCs w:val="22"/>
        </w:rPr>
        <w:t>%</w:t>
      </w:r>
      <w:r>
        <w:rPr>
          <w:rFonts w:hint="eastAsia"/>
          <w:sz w:val="24"/>
          <w:szCs w:val="22"/>
        </w:rPr>
        <w:t>，总体保持稳定。</w:t>
      </w:r>
    </w:p>
    <w:p w14:paraId="0ACC78BA" w14:textId="77777777" w:rsidR="004B0883" w:rsidRDefault="004B0883">
      <w:pPr>
        <w:keepNext/>
        <w:keepLines/>
        <w:widowControl w:val="0"/>
        <w:spacing w:beforeLines="50" w:before="120" w:line="360" w:lineRule="auto"/>
        <w:ind w:firstLineChars="200" w:firstLine="480"/>
        <w:jc w:val="both"/>
        <w:outlineLvl w:val="4"/>
        <w:rPr>
          <w:sz w:val="24"/>
          <w:szCs w:val="22"/>
        </w:rPr>
      </w:pPr>
      <w:r>
        <w:rPr>
          <w:rFonts w:hint="eastAsia"/>
          <w:sz w:val="24"/>
          <w:szCs w:val="22"/>
        </w:rPr>
        <w:t>（</w:t>
      </w:r>
      <w:r>
        <w:rPr>
          <w:sz w:val="24"/>
          <w:szCs w:val="22"/>
        </w:rPr>
        <w:t>6</w:t>
      </w:r>
      <w:r>
        <w:rPr>
          <w:rFonts w:hint="eastAsia"/>
          <w:sz w:val="24"/>
          <w:szCs w:val="22"/>
        </w:rPr>
        <w:t>）应交税费</w:t>
      </w:r>
    </w:p>
    <w:p w14:paraId="61402726"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报告期各期末，公司应交税费分别为</w:t>
      </w:r>
      <w:r>
        <w:rPr>
          <w:sz w:val="24"/>
          <w:szCs w:val="22"/>
        </w:rPr>
        <w:t>91.19</w:t>
      </w:r>
      <w:r>
        <w:rPr>
          <w:rFonts w:hint="eastAsia"/>
          <w:sz w:val="24"/>
          <w:szCs w:val="22"/>
        </w:rPr>
        <w:t>万元、</w:t>
      </w:r>
      <w:r>
        <w:rPr>
          <w:sz w:val="24"/>
          <w:szCs w:val="22"/>
        </w:rPr>
        <w:t>496.29</w:t>
      </w:r>
      <w:r>
        <w:rPr>
          <w:rFonts w:hint="eastAsia"/>
          <w:sz w:val="24"/>
          <w:szCs w:val="22"/>
        </w:rPr>
        <w:t>万元、</w:t>
      </w:r>
      <w:r>
        <w:rPr>
          <w:sz w:val="24"/>
          <w:szCs w:val="22"/>
        </w:rPr>
        <w:t>1,281.95</w:t>
      </w:r>
      <w:r>
        <w:rPr>
          <w:rFonts w:hint="eastAsia"/>
          <w:sz w:val="24"/>
          <w:szCs w:val="22"/>
        </w:rPr>
        <w:t>万元和</w:t>
      </w:r>
      <w:r>
        <w:rPr>
          <w:sz w:val="24"/>
          <w:szCs w:val="22"/>
        </w:rPr>
        <w:t>731.15</w:t>
      </w:r>
      <w:r>
        <w:rPr>
          <w:rFonts w:hint="eastAsia"/>
          <w:sz w:val="24"/>
          <w:szCs w:val="22"/>
        </w:rPr>
        <w:t>万元，占总负债的比例分别为</w:t>
      </w:r>
      <w:r>
        <w:rPr>
          <w:sz w:val="24"/>
          <w:szCs w:val="22"/>
        </w:rPr>
        <w:t>0.44%</w:t>
      </w:r>
      <w:r>
        <w:rPr>
          <w:rFonts w:hint="eastAsia"/>
          <w:sz w:val="24"/>
          <w:szCs w:val="22"/>
        </w:rPr>
        <w:t>、</w:t>
      </w:r>
      <w:r>
        <w:rPr>
          <w:sz w:val="24"/>
          <w:szCs w:val="22"/>
        </w:rPr>
        <w:t>2.03%</w:t>
      </w:r>
      <w:r>
        <w:rPr>
          <w:rFonts w:hint="eastAsia"/>
          <w:sz w:val="24"/>
          <w:szCs w:val="22"/>
        </w:rPr>
        <w:t>、</w:t>
      </w:r>
      <w:r>
        <w:rPr>
          <w:sz w:val="24"/>
          <w:szCs w:val="22"/>
        </w:rPr>
        <w:t>5.76%</w:t>
      </w:r>
      <w:r>
        <w:rPr>
          <w:rFonts w:hint="eastAsia"/>
          <w:sz w:val="24"/>
          <w:szCs w:val="22"/>
        </w:rPr>
        <w:t>和</w:t>
      </w:r>
      <w:r>
        <w:rPr>
          <w:rFonts w:hint="eastAsia"/>
          <w:sz w:val="24"/>
          <w:szCs w:val="22"/>
        </w:rPr>
        <w:t>4.04</w:t>
      </w:r>
      <w:r>
        <w:rPr>
          <w:sz w:val="24"/>
          <w:szCs w:val="22"/>
        </w:rPr>
        <w:t>%</w:t>
      </w:r>
      <w:r>
        <w:rPr>
          <w:rFonts w:hint="eastAsia"/>
          <w:sz w:val="24"/>
          <w:szCs w:val="22"/>
        </w:rPr>
        <w:t>。应交税费主要系应交增值税和应交企业所得税。</w:t>
      </w:r>
    </w:p>
    <w:p w14:paraId="752AC3C1" w14:textId="77777777" w:rsidR="004B0883" w:rsidRDefault="004B0883">
      <w:pPr>
        <w:keepNext/>
        <w:keepLines/>
        <w:widowControl w:val="0"/>
        <w:spacing w:beforeLines="50" w:before="120" w:line="360" w:lineRule="auto"/>
        <w:ind w:firstLineChars="200" w:firstLine="480"/>
        <w:jc w:val="both"/>
        <w:outlineLvl w:val="4"/>
        <w:rPr>
          <w:sz w:val="24"/>
          <w:szCs w:val="22"/>
        </w:rPr>
      </w:pPr>
      <w:r>
        <w:rPr>
          <w:rFonts w:hint="eastAsia"/>
          <w:sz w:val="24"/>
          <w:szCs w:val="22"/>
        </w:rPr>
        <w:t>（</w:t>
      </w:r>
      <w:r>
        <w:rPr>
          <w:sz w:val="24"/>
          <w:szCs w:val="22"/>
        </w:rPr>
        <w:t>7</w:t>
      </w:r>
      <w:r>
        <w:rPr>
          <w:rFonts w:hint="eastAsia"/>
          <w:sz w:val="24"/>
          <w:szCs w:val="22"/>
        </w:rPr>
        <w:t>）其他应付款</w:t>
      </w:r>
    </w:p>
    <w:p w14:paraId="04A4B2FC" w14:textId="77777777" w:rsidR="004B0883" w:rsidRDefault="004B0883">
      <w:pPr>
        <w:pStyle w:val="005"/>
        <w:spacing w:before="120"/>
        <w:ind w:firstLine="480"/>
      </w:pPr>
      <w:r>
        <w:rPr>
          <w:rFonts w:hint="eastAsia"/>
        </w:rPr>
        <w:t>报告期各期末，公司其他应付款情况如下：</w:t>
      </w:r>
    </w:p>
    <w:p w14:paraId="3D73285E" w14:textId="77777777" w:rsidR="004B0883" w:rsidRDefault="004B0883">
      <w:pPr>
        <w:pStyle w:val="009"/>
        <w:rPr>
          <w:rFonts w:hint="eastAsia"/>
        </w:rPr>
      </w:pPr>
      <w:r>
        <w:rPr>
          <w:rFonts w:hint="eastAsia"/>
        </w:rP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17"/>
        <w:gridCol w:w="1661"/>
        <w:gridCol w:w="1667"/>
        <w:gridCol w:w="1667"/>
        <w:gridCol w:w="1668"/>
      </w:tblGrid>
      <w:tr w:rsidR="004B0883" w14:paraId="44F5B0F8" w14:textId="77777777">
        <w:trPr>
          <w:trHeight w:val="397"/>
          <w:tblHeader/>
          <w:jc w:val="center"/>
        </w:trPr>
        <w:tc>
          <w:tcPr>
            <w:tcW w:w="1704" w:type="dxa"/>
            <w:shd w:val="clear" w:color="auto" w:fill="D9D9D9"/>
            <w:vAlign w:val="center"/>
          </w:tcPr>
          <w:p w14:paraId="05E0682E" w14:textId="77777777" w:rsidR="004B0883" w:rsidRDefault="004B0883">
            <w:pPr>
              <w:adjustRightInd w:val="0"/>
              <w:snapToGrid w:val="0"/>
              <w:jc w:val="center"/>
              <w:rPr>
                <w:b/>
                <w:bCs/>
                <w:color w:val="000000"/>
                <w:kern w:val="0"/>
              </w:rPr>
            </w:pPr>
            <w:r>
              <w:rPr>
                <w:b/>
                <w:bCs/>
                <w:color w:val="000000"/>
                <w:kern w:val="0"/>
              </w:rPr>
              <w:t>项目</w:t>
            </w:r>
          </w:p>
        </w:tc>
        <w:tc>
          <w:tcPr>
            <w:tcW w:w="1706" w:type="dxa"/>
            <w:shd w:val="clear" w:color="auto" w:fill="D9D9D9"/>
            <w:vAlign w:val="center"/>
          </w:tcPr>
          <w:p w14:paraId="0D0971E0" w14:textId="77777777" w:rsidR="004B0883" w:rsidRDefault="004B0883">
            <w:pPr>
              <w:adjustRightInd w:val="0"/>
              <w:snapToGrid w:val="0"/>
              <w:jc w:val="center"/>
              <w:rPr>
                <w:b/>
                <w:bCs/>
                <w:color w:val="000000"/>
                <w:kern w:val="0"/>
              </w:rPr>
            </w:pPr>
            <w:r>
              <w:rPr>
                <w:b/>
                <w:bCs/>
                <w:color w:val="000000"/>
                <w:kern w:val="0"/>
              </w:rPr>
              <w:t>2023.</w:t>
            </w:r>
            <w:r>
              <w:rPr>
                <w:rFonts w:hint="eastAsia"/>
                <w:b/>
                <w:bCs/>
                <w:color w:val="000000"/>
                <w:kern w:val="0"/>
              </w:rPr>
              <w:t>9</w:t>
            </w:r>
            <w:r>
              <w:rPr>
                <w:b/>
                <w:bCs/>
                <w:color w:val="000000"/>
                <w:kern w:val="0"/>
              </w:rPr>
              <w:t>.30</w:t>
            </w:r>
          </w:p>
        </w:tc>
        <w:tc>
          <w:tcPr>
            <w:tcW w:w="1705" w:type="dxa"/>
            <w:shd w:val="clear" w:color="auto" w:fill="D9D9D9"/>
            <w:vAlign w:val="center"/>
          </w:tcPr>
          <w:p w14:paraId="3E624497" w14:textId="77777777" w:rsidR="004B0883" w:rsidRDefault="004B0883">
            <w:pPr>
              <w:adjustRightInd w:val="0"/>
              <w:snapToGrid w:val="0"/>
              <w:jc w:val="center"/>
              <w:rPr>
                <w:b/>
                <w:bCs/>
                <w:color w:val="000000"/>
                <w:kern w:val="0"/>
              </w:rPr>
            </w:pPr>
            <w:r>
              <w:rPr>
                <w:b/>
                <w:bCs/>
                <w:color w:val="000000"/>
                <w:kern w:val="0"/>
              </w:rPr>
              <w:t>2022.12.31</w:t>
            </w:r>
          </w:p>
        </w:tc>
        <w:tc>
          <w:tcPr>
            <w:tcW w:w="1705" w:type="dxa"/>
            <w:shd w:val="clear" w:color="auto" w:fill="D9D9D9"/>
            <w:vAlign w:val="center"/>
          </w:tcPr>
          <w:p w14:paraId="5AEE20C2" w14:textId="77777777" w:rsidR="004B0883" w:rsidRDefault="004B0883">
            <w:pPr>
              <w:adjustRightInd w:val="0"/>
              <w:snapToGrid w:val="0"/>
              <w:jc w:val="center"/>
              <w:rPr>
                <w:b/>
                <w:bCs/>
                <w:color w:val="000000"/>
                <w:kern w:val="0"/>
              </w:rPr>
            </w:pPr>
            <w:r>
              <w:rPr>
                <w:b/>
                <w:bCs/>
                <w:color w:val="000000"/>
                <w:kern w:val="0"/>
              </w:rPr>
              <w:t>2021.12.31</w:t>
            </w:r>
          </w:p>
        </w:tc>
        <w:tc>
          <w:tcPr>
            <w:tcW w:w="1706" w:type="dxa"/>
            <w:shd w:val="clear" w:color="auto" w:fill="D9D9D9"/>
            <w:vAlign w:val="center"/>
          </w:tcPr>
          <w:p w14:paraId="7C6B8C63" w14:textId="77777777" w:rsidR="004B0883" w:rsidRDefault="004B0883">
            <w:pPr>
              <w:adjustRightInd w:val="0"/>
              <w:snapToGrid w:val="0"/>
              <w:jc w:val="center"/>
              <w:rPr>
                <w:b/>
                <w:bCs/>
                <w:color w:val="000000"/>
                <w:kern w:val="0"/>
              </w:rPr>
            </w:pPr>
            <w:r>
              <w:rPr>
                <w:b/>
                <w:bCs/>
                <w:color w:val="000000"/>
                <w:kern w:val="0"/>
              </w:rPr>
              <w:t>2020.12.31</w:t>
            </w:r>
          </w:p>
        </w:tc>
      </w:tr>
      <w:tr w:rsidR="004B0883" w14:paraId="74059EE1" w14:textId="77777777">
        <w:trPr>
          <w:trHeight w:val="397"/>
          <w:jc w:val="center"/>
        </w:trPr>
        <w:tc>
          <w:tcPr>
            <w:tcW w:w="1704" w:type="dxa"/>
            <w:vAlign w:val="center"/>
          </w:tcPr>
          <w:p w14:paraId="2092EF70" w14:textId="77777777" w:rsidR="004B0883" w:rsidRDefault="004B0883">
            <w:pPr>
              <w:adjustRightInd w:val="0"/>
              <w:snapToGrid w:val="0"/>
              <w:rPr>
                <w:rFonts w:ascii="宋体" w:hAnsi="宋体"/>
                <w:color w:val="000000"/>
                <w:kern w:val="0"/>
              </w:rPr>
            </w:pPr>
            <w:r>
              <w:rPr>
                <w:rFonts w:ascii="宋体" w:hAnsi="宋体" w:hint="eastAsia"/>
                <w:bCs/>
                <w:color w:val="000000"/>
              </w:rPr>
              <w:t>质保金及押金</w:t>
            </w:r>
          </w:p>
        </w:tc>
        <w:tc>
          <w:tcPr>
            <w:tcW w:w="1706" w:type="dxa"/>
            <w:vAlign w:val="center"/>
          </w:tcPr>
          <w:p w14:paraId="3FF87142" w14:textId="77777777" w:rsidR="004B0883" w:rsidRDefault="004B0883">
            <w:pPr>
              <w:adjustRightInd w:val="0"/>
              <w:snapToGrid w:val="0"/>
              <w:jc w:val="right"/>
              <w:rPr>
                <w:color w:val="000000"/>
                <w:kern w:val="0"/>
              </w:rPr>
            </w:pPr>
            <w:r>
              <w:t>828.16</w:t>
            </w:r>
          </w:p>
        </w:tc>
        <w:tc>
          <w:tcPr>
            <w:tcW w:w="1705" w:type="dxa"/>
            <w:vAlign w:val="center"/>
          </w:tcPr>
          <w:p w14:paraId="391DB516" w14:textId="77777777" w:rsidR="004B0883" w:rsidRDefault="004B0883">
            <w:pPr>
              <w:adjustRightInd w:val="0"/>
              <w:snapToGrid w:val="0"/>
              <w:jc w:val="right"/>
              <w:rPr>
                <w:color w:val="000000"/>
                <w:kern w:val="0"/>
              </w:rPr>
            </w:pPr>
            <w:r>
              <w:rPr>
                <w:color w:val="000000"/>
                <w:kern w:val="0"/>
              </w:rPr>
              <w:t>986.77</w:t>
            </w:r>
          </w:p>
        </w:tc>
        <w:tc>
          <w:tcPr>
            <w:tcW w:w="1705" w:type="dxa"/>
            <w:vAlign w:val="center"/>
          </w:tcPr>
          <w:p w14:paraId="43B8EB1A" w14:textId="77777777" w:rsidR="004B0883" w:rsidRDefault="004B0883">
            <w:pPr>
              <w:adjustRightInd w:val="0"/>
              <w:snapToGrid w:val="0"/>
              <w:jc w:val="right"/>
              <w:rPr>
                <w:color w:val="000000"/>
                <w:kern w:val="0"/>
              </w:rPr>
            </w:pPr>
            <w:r>
              <w:rPr>
                <w:rFonts w:eastAsia="仿宋_GB2312"/>
              </w:rPr>
              <w:t>1,635.38</w:t>
            </w:r>
          </w:p>
        </w:tc>
        <w:tc>
          <w:tcPr>
            <w:tcW w:w="1706" w:type="dxa"/>
            <w:vAlign w:val="center"/>
          </w:tcPr>
          <w:p w14:paraId="282023AE" w14:textId="77777777" w:rsidR="004B0883" w:rsidRDefault="004B0883">
            <w:pPr>
              <w:adjustRightInd w:val="0"/>
              <w:snapToGrid w:val="0"/>
              <w:jc w:val="right"/>
              <w:rPr>
                <w:color w:val="000000"/>
                <w:kern w:val="0"/>
              </w:rPr>
            </w:pPr>
            <w:r>
              <w:rPr>
                <w:rFonts w:eastAsia="仿宋_GB2312"/>
              </w:rPr>
              <w:t>618.74</w:t>
            </w:r>
          </w:p>
        </w:tc>
      </w:tr>
      <w:tr w:rsidR="004B0883" w14:paraId="06778A1A" w14:textId="77777777">
        <w:trPr>
          <w:trHeight w:val="397"/>
          <w:jc w:val="center"/>
        </w:trPr>
        <w:tc>
          <w:tcPr>
            <w:tcW w:w="1704" w:type="dxa"/>
            <w:vAlign w:val="center"/>
          </w:tcPr>
          <w:p w14:paraId="16AD0152" w14:textId="77777777" w:rsidR="004B0883" w:rsidRDefault="004B0883">
            <w:pPr>
              <w:adjustRightInd w:val="0"/>
              <w:snapToGrid w:val="0"/>
              <w:rPr>
                <w:rFonts w:ascii="宋体" w:hAnsi="宋体"/>
                <w:color w:val="000000"/>
                <w:kern w:val="0"/>
              </w:rPr>
            </w:pPr>
            <w:r>
              <w:rPr>
                <w:rFonts w:ascii="宋体" w:hAnsi="宋体" w:hint="eastAsia"/>
                <w:bCs/>
                <w:color w:val="000000"/>
              </w:rPr>
              <w:t>单位往来款</w:t>
            </w:r>
          </w:p>
        </w:tc>
        <w:tc>
          <w:tcPr>
            <w:tcW w:w="1706" w:type="dxa"/>
            <w:vAlign w:val="center"/>
          </w:tcPr>
          <w:p w14:paraId="061869B4" w14:textId="77777777" w:rsidR="004B0883" w:rsidRDefault="004B0883">
            <w:pPr>
              <w:adjustRightInd w:val="0"/>
              <w:snapToGrid w:val="0"/>
              <w:jc w:val="right"/>
              <w:rPr>
                <w:color w:val="000000"/>
                <w:kern w:val="0"/>
              </w:rPr>
            </w:pPr>
            <w:r>
              <w:t>237.69</w:t>
            </w:r>
          </w:p>
        </w:tc>
        <w:tc>
          <w:tcPr>
            <w:tcW w:w="1705" w:type="dxa"/>
            <w:vAlign w:val="center"/>
          </w:tcPr>
          <w:p w14:paraId="719BD9BB" w14:textId="77777777" w:rsidR="004B0883" w:rsidRDefault="004B0883">
            <w:pPr>
              <w:adjustRightInd w:val="0"/>
              <w:snapToGrid w:val="0"/>
              <w:jc w:val="right"/>
              <w:rPr>
                <w:color w:val="000000"/>
                <w:kern w:val="0"/>
              </w:rPr>
            </w:pPr>
            <w:r>
              <w:rPr>
                <w:color w:val="000000"/>
                <w:kern w:val="0"/>
              </w:rPr>
              <w:t>141.71</w:t>
            </w:r>
          </w:p>
        </w:tc>
        <w:tc>
          <w:tcPr>
            <w:tcW w:w="1705" w:type="dxa"/>
            <w:vAlign w:val="center"/>
          </w:tcPr>
          <w:p w14:paraId="02FCD5BF" w14:textId="77777777" w:rsidR="004B0883" w:rsidRDefault="004B0883">
            <w:pPr>
              <w:adjustRightInd w:val="0"/>
              <w:snapToGrid w:val="0"/>
              <w:jc w:val="right"/>
              <w:rPr>
                <w:color w:val="000000"/>
                <w:kern w:val="0"/>
              </w:rPr>
            </w:pPr>
            <w:r>
              <w:rPr>
                <w:rFonts w:eastAsia="仿宋_GB2312"/>
              </w:rPr>
              <w:t>410.40</w:t>
            </w:r>
          </w:p>
        </w:tc>
        <w:tc>
          <w:tcPr>
            <w:tcW w:w="1706" w:type="dxa"/>
            <w:vAlign w:val="center"/>
          </w:tcPr>
          <w:p w14:paraId="38A0A8C6" w14:textId="77777777" w:rsidR="004B0883" w:rsidRDefault="004B0883">
            <w:pPr>
              <w:adjustRightInd w:val="0"/>
              <w:snapToGrid w:val="0"/>
              <w:jc w:val="right"/>
              <w:rPr>
                <w:color w:val="000000"/>
                <w:kern w:val="0"/>
              </w:rPr>
            </w:pPr>
            <w:r>
              <w:rPr>
                <w:rFonts w:eastAsia="仿宋_GB2312"/>
              </w:rPr>
              <w:t>75.28</w:t>
            </w:r>
          </w:p>
        </w:tc>
      </w:tr>
      <w:tr w:rsidR="004B0883" w14:paraId="57B26531" w14:textId="77777777">
        <w:trPr>
          <w:trHeight w:val="397"/>
          <w:jc w:val="center"/>
        </w:trPr>
        <w:tc>
          <w:tcPr>
            <w:tcW w:w="1704" w:type="dxa"/>
            <w:vAlign w:val="center"/>
          </w:tcPr>
          <w:p w14:paraId="32F9CD94" w14:textId="77777777" w:rsidR="004B0883" w:rsidRDefault="004B0883">
            <w:pPr>
              <w:adjustRightInd w:val="0"/>
              <w:snapToGrid w:val="0"/>
              <w:rPr>
                <w:rFonts w:ascii="宋体" w:hAnsi="宋体"/>
                <w:color w:val="000000"/>
                <w:kern w:val="0"/>
              </w:rPr>
            </w:pPr>
            <w:r>
              <w:rPr>
                <w:rFonts w:ascii="宋体" w:hAnsi="宋体" w:hint="eastAsia"/>
                <w:bCs/>
                <w:color w:val="000000"/>
              </w:rPr>
              <w:t>个人往来及其他</w:t>
            </w:r>
          </w:p>
        </w:tc>
        <w:tc>
          <w:tcPr>
            <w:tcW w:w="1706" w:type="dxa"/>
            <w:vAlign w:val="center"/>
          </w:tcPr>
          <w:p w14:paraId="34508135" w14:textId="77777777" w:rsidR="004B0883" w:rsidRDefault="004B0883">
            <w:pPr>
              <w:adjustRightInd w:val="0"/>
              <w:snapToGrid w:val="0"/>
              <w:jc w:val="right"/>
              <w:rPr>
                <w:color w:val="000000"/>
                <w:kern w:val="0"/>
              </w:rPr>
            </w:pPr>
            <w:r>
              <w:t>3.47</w:t>
            </w:r>
          </w:p>
        </w:tc>
        <w:tc>
          <w:tcPr>
            <w:tcW w:w="1705" w:type="dxa"/>
            <w:vAlign w:val="center"/>
          </w:tcPr>
          <w:p w14:paraId="0F798AF3" w14:textId="77777777" w:rsidR="004B0883" w:rsidRDefault="004B0883">
            <w:pPr>
              <w:adjustRightInd w:val="0"/>
              <w:snapToGrid w:val="0"/>
              <w:jc w:val="right"/>
            </w:pPr>
            <w:r>
              <w:t>0.90</w:t>
            </w:r>
          </w:p>
        </w:tc>
        <w:tc>
          <w:tcPr>
            <w:tcW w:w="1705" w:type="dxa"/>
            <w:vAlign w:val="center"/>
          </w:tcPr>
          <w:p w14:paraId="44D444B3" w14:textId="77777777" w:rsidR="004B0883" w:rsidRDefault="004B0883">
            <w:pPr>
              <w:adjustRightInd w:val="0"/>
              <w:snapToGrid w:val="0"/>
              <w:jc w:val="right"/>
            </w:pPr>
            <w:r>
              <w:rPr>
                <w:rFonts w:eastAsia="仿宋_GB2312"/>
              </w:rPr>
              <w:t>5.86</w:t>
            </w:r>
          </w:p>
        </w:tc>
        <w:tc>
          <w:tcPr>
            <w:tcW w:w="1706" w:type="dxa"/>
            <w:vAlign w:val="center"/>
          </w:tcPr>
          <w:p w14:paraId="1E5C5841" w14:textId="77777777" w:rsidR="004B0883" w:rsidRDefault="004B0883">
            <w:pPr>
              <w:adjustRightInd w:val="0"/>
              <w:snapToGrid w:val="0"/>
              <w:jc w:val="right"/>
            </w:pPr>
            <w:r>
              <w:rPr>
                <w:rFonts w:eastAsia="仿宋_GB2312"/>
              </w:rPr>
              <w:t>146.78</w:t>
            </w:r>
          </w:p>
        </w:tc>
      </w:tr>
      <w:tr w:rsidR="004B0883" w14:paraId="21AA43BD" w14:textId="77777777">
        <w:trPr>
          <w:trHeight w:val="397"/>
          <w:jc w:val="center"/>
        </w:trPr>
        <w:tc>
          <w:tcPr>
            <w:tcW w:w="1704" w:type="dxa"/>
            <w:vAlign w:val="center"/>
          </w:tcPr>
          <w:p w14:paraId="71E0EFC0" w14:textId="77777777" w:rsidR="004B0883" w:rsidRDefault="004B0883">
            <w:pPr>
              <w:adjustRightInd w:val="0"/>
              <w:snapToGrid w:val="0"/>
              <w:rPr>
                <w:rFonts w:ascii="宋体" w:hAnsi="宋体"/>
                <w:color w:val="000000"/>
                <w:kern w:val="0"/>
              </w:rPr>
            </w:pPr>
            <w:r>
              <w:rPr>
                <w:rFonts w:ascii="宋体" w:hAnsi="宋体" w:hint="eastAsia"/>
                <w:bCs/>
                <w:color w:val="000000"/>
              </w:rPr>
              <w:t>限制性股票回购义务</w:t>
            </w:r>
          </w:p>
        </w:tc>
        <w:tc>
          <w:tcPr>
            <w:tcW w:w="1706" w:type="dxa"/>
            <w:vAlign w:val="center"/>
          </w:tcPr>
          <w:p w14:paraId="5D5A889E" w14:textId="77777777" w:rsidR="004B0883" w:rsidRDefault="004B0883">
            <w:pPr>
              <w:adjustRightInd w:val="0"/>
              <w:snapToGrid w:val="0"/>
              <w:jc w:val="right"/>
              <w:rPr>
                <w:color w:val="000000"/>
                <w:kern w:val="0"/>
              </w:rPr>
            </w:pPr>
            <w:r>
              <w:t>960.84</w:t>
            </w:r>
          </w:p>
        </w:tc>
        <w:tc>
          <w:tcPr>
            <w:tcW w:w="1705" w:type="dxa"/>
            <w:vAlign w:val="center"/>
          </w:tcPr>
          <w:p w14:paraId="7537F694" w14:textId="77777777" w:rsidR="004B0883" w:rsidRDefault="004B0883">
            <w:pPr>
              <w:adjustRightInd w:val="0"/>
              <w:snapToGrid w:val="0"/>
              <w:jc w:val="right"/>
            </w:pPr>
            <w:r>
              <w:t>1,037.01</w:t>
            </w:r>
          </w:p>
        </w:tc>
        <w:tc>
          <w:tcPr>
            <w:tcW w:w="1705" w:type="dxa"/>
            <w:vAlign w:val="center"/>
          </w:tcPr>
          <w:p w14:paraId="7EFB7C28" w14:textId="77777777" w:rsidR="004B0883" w:rsidRDefault="004B0883">
            <w:pPr>
              <w:adjustRightInd w:val="0"/>
              <w:snapToGrid w:val="0"/>
              <w:jc w:val="right"/>
            </w:pPr>
            <w:r>
              <w:rPr>
                <w:rFonts w:eastAsia="仿宋_GB2312"/>
              </w:rPr>
              <w:t>1,360.00</w:t>
            </w:r>
          </w:p>
        </w:tc>
        <w:tc>
          <w:tcPr>
            <w:tcW w:w="1706" w:type="dxa"/>
            <w:vAlign w:val="center"/>
          </w:tcPr>
          <w:p w14:paraId="10D6F60E" w14:textId="77777777" w:rsidR="004B0883" w:rsidRDefault="004B0883">
            <w:pPr>
              <w:adjustRightInd w:val="0"/>
              <w:snapToGrid w:val="0"/>
              <w:jc w:val="right"/>
            </w:pPr>
            <w:r>
              <w:rPr>
                <w:rFonts w:eastAsia="仿宋_GB2312"/>
              </w:rPr>
              <w:t>383.59</w:t>
            </w:r>
          </w:p>
        </w:tc>
      </w:tr>
      <w:tr w:rsidR="004B0883" w14:paraId="20126435" w14:textId="77777777">
        <w:trPr>
          <w:trHeight w:val="397"/>
          <w:jc w:val="center"/>
        </w:trPr>
        <w:tc>
          <w:tcPr>
            <w:tcW w:w="1704" w:type="dxa"/>
            <w:vAlign w:val="center"/>
          </w:tcPr>
          <w:p w14:paraId="1BF57C89" w14:textId="77777777" w:rsidR="004B0883" w:rsidRDefault="004B0883">
            <w:pPr>
              <w:adjustRightInd w:val="0"/>
              <w:snapToGrid w:val="0"/>
              <w:jc w:val="center"/>
              <w:rPr>
                <w:b/>
                <w:bCs/>
                <w:color w:val="000000"/>
                <w:kern w:val="0"/>
              </w:rPr>
            </w:pPr>
            <w:r>
              <w:rPr>
                <w:rFonts w:hint="eastAsia"/>
                <w:b/>
                <w:bCs/>
                <w:color w:val="000000"/>
                <w:kern w:val="0"/>
              </w:rPr>
              <w:t>合计</w:t>
            </w:r>
          </w:p>
        </w:tc>
        <w:tc>
          <w:tcPr>
            <w:tcW w:w="1706" w:type="dxa"/>
            <w:vAlign w:val="center"/>
          </w:tcPr>
          <w:p w14:paraId="33B74333" w14:textId="77777777" w:rsidR="004B0883" w:rsidRDefault="004B0883">
            <w:pPr>
              <w:adjustRightInd w:val="0"/>
              <w:snapToGrid w:val="0"/>
              <w:jc w:val="right"/>
              <w:rPr>
                <w:b/>
                <w:bCs/>
              </w:rPr>
            </w:pPr>
            <w:r>
              <w:rPr>
                <w:b/>
                <w:bCs/>
              </w:rPr>
              <w:t>2,030.16</w:t>
            </w:r>
          </w:p>
        </w:tc>
        <w:tc>
          <w:tcPr>
            <w:tcW w:w="1705" w:type="dxa"/>
            <w:vAlign w:val="center"/>
          </w:tcPr>
          <w:p w14:paraId="1899D48B" w14:textId="77777777" w:rsidR="004B0883" w:rsidRDefault="004B0883">
            <w:pPr>
              <w:adjustRightInd w:val="0"/>
              <w:snapToGrid w:val="0"/>
              <w:jc w:val="right"/>
              <w:rPr>
                <w:b/>
                <w:bCs/>
              </w:rPr>
            </w:pPr>
            <w:r>
              <w:rPr>
                <w:b/>
                <w:bCs/>
              </w:rPr>
              <w:t>2,166.39</w:t>
            </w:r>
          </w:p>
        </w:tc>
        <w:tc>
          <w:tcPr>
            <w:tcW w:w="1705" w:type="dxa"/>
            <w:vAlign w:val="center"/>
          </w:tcPr>
          <w:p w14:paraId="607BAA3E" w14:textId="77777777" w:rsidR="004B0883" w:rsidRDefault="004B0883">
            <w:pPr>
              <w:adjustRightInd w:val="0"/>
              <w:snapToGrid w:val="0"/>
              <w:jc w:val="right"/>
              <w:rPr>
                <w:b/>
                <w:bCs/>
              </w:rPr>
            </w:pPr>
            <w:r>
              <w:rPr>
                <w:rFonts w:eastAsia="仿宋_GB2312"/>
                <w:b/>
                <w:bCs/>
                <w:color w:val="000000"/>
              </w:rPr>
              <w:t>3,411.65</w:t>
            </w:r>
          </w:p>
        </w:tc>
        <w:tc>
          <w:tcPr>
            <w:tcW w:w="1706" w:type="dxa"/>
            <w:vAlign w:val="center"/>
          </w:tcPr>
          <w:p w14:paraId="033EECE3" w14:textId="77777777" w:rsidR="004B0883" w:rsidRDefault="004B0883">
            <w:pPr>
              <w:adjustRightInd w:val="0"/>
              <w:snapToGrid w:val="0"/>
              <w:jc w:val="right"/>
              <w:rPr>
                <w:b/>
                <w:bCs/>
              </w:rPr>
            </w:pPr>
            <w:r>
              <w:rPr>
                <w:rFonts w:eastAsia="仿宋_GB2312"/>
                <w:b/>
                <w:bCs/>
              </w:rPr>
              <w:t>1,224.39</w:t>
            </w:r>
          </w:p>
        </w:tc>
      </w:tr>
    </w:tbl>
    <w:p w14:paraId="7C9B1161"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报告期各期末，公司其他应付款分别为</w:t>
      </w:r>
      <w:r>
        <w:rPr>
          <w:sz w:val="24"/>
          <w:szCs w:val="22"/>
        </w:rPr>
        <w:t>1,224.39</w:t>
      </w:r>
      <w:r>
        <w:rPr>
          <w:rFonts w:hint="eastAsia"/>
          <w:sz w:val="24"/>
          <w:szCs w:val="22"/>
        </w:rPr>
        <w:t>万元、</w:t>
      </w:r>
      <w:r>
        <w:rPr>
          <w:sz w:val="24"/>
          <w:szCs w:val="22"/>
        </w:rPr>
        <w:t>3,411.65</w:t>
      </w:r>
      <w:r>
        <w:rPr>
          <w:rFonts w:hint="eastAsia"/>
          <w:sz w:val="24"/>
          <w:szCs w:val="22"/>
        </w:rPr>
        <w:t>万元、</w:t>
      </w:r>
      <w:r>
        <w:rPr>
          <w:sz w:val="24"/>
          <w:szCs w:val="22"/>
        </w:rPr>
        <w:t>2,166.39</w:t>
      </w:r>
      <w:r>
        <w:rPr>
          <w:rFonts w:hint="eastAsia"/>
          <w:sz w:val="24"/>
          <w:szCs w:val="22"/>
        </w:rPr>
        <w:t>万元和</w:t>
      </w:r>
      <w:r>
        <w:rPr>
          <w:sz w:val="24"/>
          <w:szCs w:val="22"/>
        </w:rPr>
        <w:t>2,030.16</w:t>
      </w:r>
      <w:r>
        <w:rPr>
          <w:rFonts w:hint="eastAsia"/>
          <w:sz w:val="24"/>
          <w:szCs w:val="22"/>
        </w:rPr>
        <w:t>万元，占总负债的比例分别为</w:t>
      </w:r>
      <w:r>
        <w:rPr>
          <w:sz w:val="24"/>
          <w:szCs w:val="22"/>
        </w:rPr>
        <w:t>5.93%</w:t>
      </w:r>
      <w:r>
        <w:rPr>
          <w:rFonts w:hint="eastAsia"/>
          <w:sz w:val="24"/>
          <w:szCs w:val="22"/>
        </w:rPr>
        <w:t>、</w:t>
      </w:r>
      <w:r>
        <w:rPr>
          <w:sz w:val="24"/>
          <w:szCs w:val="22"/>
        </w:rPr>
        <w:t>13.99%</w:t>
      </w:r>
      <w:r>
        <w:rPr>
          <w:rFonts w:hint="eastAsia"/>
          <w:sz w:val="24"/>
          <w:szCs w:val="22"/>
        </w:rPr>
        <w:t>、</w:t>
      </w:r>
      <w:r>
        <w:rPr>
          <w:sz w:val="24"/>
          <w:szCs w:val="22"/>
        </w:rPr>
        <w:t>9.73%</w:t>
      </w:r>
      <w:r>
        <w:rPr>
          <w:rFonts w:hint="eastAsia"/>
          <w:sz w:val="24"/>
          <w:szCs w:val="22"/>
        </w:rPr>
        <w:t>和</w:t>
      </w:r>
      <w:r>
        <w:rPr>
          <w:rFonts w:hint="eastAsia"/>
          <w:sz w:val="24"/>
          <w:szCs w:val="22"/>
        </w:rPr>
        <w:t>11.21</w:t>
      </w:r>
      <w:r>
        <w:rPr>
          <w:sz w:val="24"/>
          <w:szCs w:val="22"/>
        </w:rPr>
        <w:t>%</w:t>
      </w:r>
      <w:r>
        <w:rPr>
          <w:rFonts w:hint="eastAsia"/>
          <w:sz w:val="24"/>
          <w:szCs w:val="22"/>
        </w:rPr>
        <w:t>，主要由质保金和押金及限制性股票回购义务构成。</w:t>
      </w:r>
      <w:r>
        <w:rPr>
          <w:rFonts w:hint="eastAsia"/>
          <w:sz w:val="24"/>
          <w:szCs w:val="22"/>
        </w:rPr>
        <w:t>2</w:t>
      </w:r>
      <w:r>
        <w:rPr>
          <w:sz w:val="24"/>
          <w:szCs w:val="22"/>
        </w:rPr>
        <w:t>022</w:t>
      </w:r>
      <w:r>
        <w:rPr>
          <w:rFonts w:hint="eastAsia"/>
          <w:sz w:val="24"/>
          <w:szCs w:val="22"/>
        </w:rPr>
        <w:t>年减少主要系完成即聚机电的交割，退还股权转让款押金。</w:t>
      </w:r>
    </w:p>
    <w:p w14:paraId="63F6BC0F" w14:textId="77777777" w:rsidR="004B0883" w:rsidRDefault="004B0883">
      <w:pPr>
        <w:keepNext/>
        <w:keepLines/>
        <w:widowControl w:val="0"/>
        <w:spacing w:beforeLines="50" w:before="120" w:line="360" w:lineRule="auto"/>
        <w:ind w:firstLineChars="200" w:firstLine="482"/>
        <w:jc w:val="both"/>
        <w:outlineLvl w:val="3"/>
        <w:rPr>
          <w:b/>
          <w:bCs/>
          <w:sz w:val="24"/>
          <w:szCs w:val="28"/>
        </w:rPr>
      </w:pPr>
      <w:r>
        <w:rPr>
          <w:b/>
          <w:bCs/>
          <w:sz w:val="24"/>
          <w:szCs w:val="28"/>
        </w:rPr>
        <w:t>2</w:t>
      </w:r>
      <w:r>
        <w:rPr>
          <w:rFonts w:hint="eastAsia"/>
          <w:b/>
          <w:bCs/>
          <w:sz w:val="24"/>
          <w:szCs w:val="28"/>
        </w:rPr>
        <w:t>、非流动负债结构分析</w:t>
      </w:r>
    </w:p>
    <w:p w14:paraId="0B99752D"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报告期各期末，公司的非流动负债构成情况如下：</w:t>
      </w:r>
    </w:p>
    <w:p w14:paraId="1930FE24" w14:textId="77777777" w:rsidR="004B0883" w:rsidRDefault="004B0883">
      <w:pPr>
        <w:keepNext/>
        <w:widowControl w:val="0"/>
        <w:jc w:val="right"/>
        <w:rPr>
          <w:szCs w:val="22"/>
        </w:rPr>
      </w:pPr>
      <w:r>
        <w:rPr>
          <w:rFonts w:hint="eastAsia"/>
          <w:szCs w:val="22"/>
        </w:rPr>
        <w:t>单位：万元</w:t>
      </w:r>
    </w:p>
    <w:tbl>
      <w:tblPr>
        <w:tblW w:w="11244"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386"/>
        <w:gridCol w:w="1232"/>
        <w:gridCol w:w="1232"/>
        <w:gridCol w:w="1232"/>
        <w:gridCol w:w="1233"/>
        <w:gridCol w:w="1232"/>
        <w:gridCol w:w="1232"/>
        <w:gridCol w:w="1232"/>
        <w:gridCol w:w="1233"/>
      </w:tblGrid>
      <w:tr w:rsidR="004B0883" w14:paraId="4BC2862C" w14:textId="77777777">
        <w:trPr>
          <w:trHeight w:val="397"/>
          <w:tblHeader/>
          <w:jc w:val="center"/>
        </w:trPr>
        <w:tc>
          <w:tcPr>
            <w:tcW w:w="1386" w:type="dxa"/>
            <w:vMerge w:val="restart"/>
            <w:shd w:val="clear" w:color="auto" w:fill="D9D9D9"/>
            <w:vAlign w:val="center"/>
          </w:tcPr>
          <w:p w14:paraId="079266CD" w14:textId="77777777" w:rsidR="004B0883" w:rsidRDefault="004B0883">
            <w:pPr>
              <w:adjustRightInd w:val="0"/>
              <w:snapToGrid w:val="0"/>
              <w:jc w:val="center"/>
              <w:rPr>
                <w:b/>
                <w:bCs/>
                <w:color w:val="000000"/>
                <w:kern w:val="0"/>
              </w:rPr>
            </w:pPr>
            <w:r>
              <w:rPr>
                <w:b/>
                <w:bCs/>
                <w:color w:val="000000"/>
                <w:kern w:val="0"/>
              </w:rPr>
              <w:t>项目</w:t>
            </w:r>
          </w:p>
        </w:tc>
        <w:tc>
          <w:tcPr>
            <w:tcW w:w="2464" w:type="dxa"/>
            <w:gridSpan w:val="2"/>
            <w:shd w:val="clear" w:color="auto" w:fill="D9D9D9"/>
            <w:vAlign w:val="center"/>
          </w:tcPr>
          <w:p w14:paraId="167E7109" w14:textId="77777777" w:rsidR="004B0883" w:rsidRDefault="004B0883">
            <w:pPr>
              <w:adjustRightInd w:val="0"/>
              <w:snapToGrid w:val="0"/>
              <w:jc w:val="center"/>
              <w:rPr>
                <w:b/>
                <w:bCs/>
                <w:color w:val="000000"/>
                <w:kern w:val="0"/>
              </w:rPr>
            </w:pPr>
            <w:r>
              <w:rPr>
                <w:b/>
                <w:bCs/>
                <w:color w:val="000000"/>
                <w:kern w:val="0"/>
              </w:rPr>
              <w:t>2023.</w:t>
            </w:r>
            <w:r>
              <w:rPr>
                <w:rFonts w:hint="eastAsia"/>
                <w:b/>
                <w:bCs/>
                <w:color w:val="000000"/>
                <w:kern w:val="0"/>
              </w:rPr>
              <w:t>9</w:t>
            </w:r>
            <w:r>
              <w:rPr>
                <w:b/>
                <w:bCs/>
                <w:color w:val="000000"/>
                <w:kern w:val="0"/>
              </w:rPr>
              <w:t>.30</w:t>
            </w:r>
          </w:p>
        </w:tc>
        <w:tc>
          <w:tcPr>
            <w:tcW w:w="2465" w:type="dxa"/>
            <w:gridSpan w:val="2"/>
            <w:shd w:val="clear" w:color="auto" w:fill="D9D9D9"/>
            <w:vAlign w:val="center"/>
          </w:tcPr>
          <w:p w14:paraId="0BC32058" w14:textId="77777777" w:rsidR="004B0883" w:rsidRDefault="004B0883">
            <w:pPr>
              <w:adjustRightInd w:val="0"/>
              <w:snapToGrid w:val="0"/>
              <w:jc w:val="center"/>
              <w:rPr>
                <w:b/>
                <w:bCs/>
                <w:color w:val="000000"/>
                <w:kern w:val="0"/>
              </w:rPr>
            </w:pPr>
            <w:r>
              <w:rPr>
                <w:b/>
                <w:bCs/>
                <w:color w:val="000000"/>
                <w:kern w:val="0"/>
              </w:rPr>
              <w:t>2022.12.31</w:t>
            </w:r>
          </w:p>
        </w:tc>
        <w:tc>
          <w:tcPr>
            <w:tcW w:w="2464" w:type="dxa"/>
            <w:gridSpan w:val="2"/>
            <w:shd w:val="clear" w:color="auto" w:fill="D9D9D9"/>
            <w:vAlign w:val="center"/>
          </w:tcPr>
          <w:p w14:paraId="57BC7AAD" w14:textId="77777777" w:rsidR="004B0883" w:rsidRDefault="004B0883">
            <w:pPr>
              <w:adjustRightInd w:val="0"/>
              <w:snapToGrid w:val="0"/>
              <w:jc w:val="center"/>
              <w:rPr>
                <w:b/>
                <w:bCs/>
                <w:color w:val="000000"/>
                <w:kern w:val="0"/>
              </w:rPr>
            </w:pPr>
            <w:r>
              <w:rPr>
                <w:b/>
                <w:bCs/>
                <w:color w:val="000000"/>
                <w:kern w:val="0"/>
              </w:rPr>
              <w:t>2021.12.31</w:t>
            </w:r>
          </w:p>
        </w:tc>
        <w:tc>
          <w:tcPr>
            <w:tcW w:w="2465" w:type="dxa"/>
            <w:gridSpan w:val="2"/>
            <w:shd w:val="clear" w:color="auto" w:fill="D9D9D9"/>
            <w:vAlign w:val="center"/>
          </w:tcPr>
          <w:p w14:paraId="74BB2D37" w14:textId="77777777" w:rsidR="004B0883" w:rsidRDefault="004B0883">
            <w:pPr>
              <w:adjustRightInd w:val="0"/>
              <w:snapToGrid w:val="0"/>
              <w:jc w:val="center"/>
              <w:rPr>
                <w:b/>
                <w:bCs/>
                <w:color w:val="000000"/>
                <w:kern w:val="0"/>
              </w:rPr>
            </w:pPr>
            <w:r>
              <w:rPr>
                <w:b/>
                <w:bCs/>
                <w:color w:val="000000"/>
                <w:kern w:val="0"/>
              </w:rPr>
              <w:t>2020.12.31</w:t>
            </w:r>
          </w:p>
        </w:tc>
      </w:tr>
      <w:tr w:rsidR="004B0883" w14:paraId="2B48A922" w14:textId="77777777">
        <w:trPr>
          <w:trHeight w:val="397"/>
          <w:tblHeader/>
          <w:jc w:val="center"/>
        </w:trPr>
        <w:tc>
          <w:tcPr>
            <w:tcW w:w="1386" w:type="dxa"/>
            <w:vMerge/>
            <w:shd w:val="clear" w:color="auto" w:fill="D9D9D9"/>
            <w:vAlign w:val="center"/>
          </w:tcPr>
          <w:p w14:paraId="00A2351B" w14:textId="77777777" w:rsidR="004B0883" w:rsidRDefault="004B0883">
            <w:pPr>
              <w:adjustRightInd w:val="0"/>
              <w:snapToGrid w:val="0"/>
              <w:rPr>
                <w:b/>
                <w:bCs/>
                <w:color w:val="000000"/>
                <w:kern w:val="0"/>
              </w:rPr>
            </w:pPr>
          </w:p>
        </w:tc>
        <w:tc>
          <w:tcPr>
            <w:tcW w:w="1232" w:type="dxa"/>
            <w:shd w:val="clear" w:color="auto" w:fill="D9D9D9"/>
            <w:vAlign w:val="center"/>
          </w:tcPr>
          <w:p w14:paraId="69DC0E98" w14:textId="77777777" w:rsidR="004B0883" w:rsidRDefault="004B0883">
            <w:pPr>
              <w:adjustRightInd w:val="0"/>
              <w:snapToGrid w:val="0"/>
              <w:jc w:val="center"/>
              <w:rPr>
                <w:b/>
                <w:bCs/>
                <w:color w:val="000000"/>
                <w:kern w:val="0"/>
              </w:rPr>
            </w:pPr>
            <w:r>
              <w:rPr>
                <w:b/>
                <w:bCs/>
                <w:color w:val="000000"/>
                <w:kern w:val="0"/>
              </w:rPr>
              <w:t>金额</w:t>
            </w:r>
          </w:p>
        </w:tc>
        <w:tc>
          <w:tcPr>
            <w:tcW w:w="1232" w:type="dxa"/>
            <w:shd w:val="clear" w:color="auto" w:fill="D9D9D9"/>
            <w:vAlign w:val="center"/>
          </w:tcPr>
          <w:p w14:paraId="3A28C97E" w14:textId="77777777" w:rsidR="004B0883" w:rsidRDefault="004B0883">
            <w:pPr>
              <w:adjustRightInd w:val="0"/>
              <w:snapToGrid w:val="0"/>
              <w:jc w:val="center"/>
              <w:rPr>
                <w:b/>
                <w:bCs/>
                <w:color w:val="000000"/>
                <w:kern w:val="0"/>
              </w:rPr>
            </w:pPr>
            <w:r>
              <w:rPr>
                <w:b/>
                <w:bCs/>
                <w:color w:val="000000"/>
                <w:kern w:val="0"/>
              </w:rPr>
              <w:t>比例</w:t>
            </w:r>
          </w:p>
        </w:tc>
        <w:tc>
          <w:tcPr>
            <w:tcW w:w="1232" w:type="dxa"/>
            <w:shd w:val="clear" w:color="auto" w:fill="D9D9D9"/>
            <w:vAlign w:val="center"/>
          </w:tcPr>
          <w:p w14:paraId="49C6B7C5" w14:textId="77777777" w:rsidR="004B0883" w:rsidRDefault="004B0883">
            <w:pPr>
              <w:adjustRightInd w:val="0"/>
              <w:snapToGrid w:val="0"/>
              <w:jc w:val="center"/>
              <w:rPr>
                <w:b/>
                <w:bCs/>
                <w:color w:val="000000"/>
                <w:kern w:val="0"/>
              </w:rPr>
            </w:pPr>
            <w:r>
              <w:rPr>
                <w:b/>
                <w:bCs/>
                <w:color w:val="000000"/>
                <w:kern w:val="0"/>
              </w:rPr>
              <w:t>金额</w:t>
            </w:r>
          </w:p>
        </w:tc>
        <w:tc>
          <w:tcPr>
            <w:tcW w:w="1233" w:type="dxa"/>
            <w:shd w:val="clear" w:color="auto" w:fill="D9D9D9"/>
            <w:vAlign w:val="center"/>
          </w:tcPr>
          <w:p w14:paraId="6784E7F7" w14:textId="77777777" w:rsidR="004B0883" w:rsidRDefault="004B0883">
            <w:pPr>
              <w:adjustRightInd w:val="0"/>
              <w:snapToGrid w:val="0"/>
              <w:jc w:val="center"/>
              <w:rPr>
                <w:b/>
                <w:bCs/>
                <w:color w:val="000000"/>
                <w:kern w:val="0"/>
              </w:rPr>
            </w:pPr>
            <w:r>
              <w:rPr>
                <w:b/>
                <w:bCs/>
                <w:color w:val="000000"/>
                <w:kern w:val="0"/>
              </w:rPr>
              <w:t>比例</w:t>
            </w:r>
          </w:p>
        </w:tc>
        <w:tc>
          <w:tcPr>
            <w:tcW w:w="1232" w:type="dxa"/>
            <w:shd w:val="clear" w:color="auto" w:fill="D9D9D9"/>
            <w:vAlign w:val="center"/>
          </w:tcPr>
          <w:p w14:paraId="70C3E20B" w14:textId="77777777" w:rsidR="004B0883" w:rsidRDefault="004B0883">
            <w:pPr>
              <w:adjustRightInd w:val="0"/>
              <w:snapToGrid w:val="0"/>
              <w:jc w:val="center"/>
              <w:rPr>
                <w:b/>
                <w:bCs/>
                <w:color w:val="000000"/>
                <w:kern w:val="0"/>
              </w:rPr>
            </w:pPr>
            <w:r>
              <w:rPr>
                <w:b/>
                <w:bCs/>
                <w:color w:val="000000"/>
                <w:kern w:val="0"/>
              </w:rPr>
              <w:t>金额</w:t>
            </w:r>
          </w:p>
        </w:tc>
        <w:tc>
          <w:tcPr>
            <w:tcW w:w="1232" w:type="dxa"/>
            <w:shd w:val="clear" w:color="auto" w:fill="D9D9D9"/>
            <w:vAlign w:val="center"/>
          </w:tcPr>
          <w:p w14:paraId="25C3AEBE" w14:textId="77777777" w:rsidR="004B0883" w:rsidRDefault="004B0883">
            <w:pPr>
              <w:adjustRightInd w:val="0"/>
              <w:snapToGrid w:val="0"/>
              <w:jc w:val="center"/>
              <w:rPr>
                <w:b/>
                <w:bCs/>
                <w:color w:val="000000"/>
                <w:kern w:val="0"/>
              </w:rPr>
            </w:pPr>
            <w:r>
              <w:rPr>
                <w:b/>
                <w:bCs/>
                <w:color w:val="000000"/>
                <w:kern w:val="0"/>
              </w:rPr>
              <w:t>比例</w:t>
            </w:r>
          </w:p>
        </w:tc>
        <w:tc>
          <w:tcPr>
            <w:tcW w:w="1232" w:type="dxa"/>
            <w:shd w:val="clear" w:color="auto" w:fill="D9D9D9"/>
            <w:vAlign w:val="center"/>
          </w:tcPr>
          <w:p w14:paraId="5F13747B" w14:textId="77777777" w:rsidR="004B0883" w:rsidRDefault="004B0883">
            <w:pPr>
              <w:adjustRightInd w:val="0"/>
              <w:snapToGrid w:val="0"/>
              <w:jc w:val="center"/>
              <w:rPr>
                <w:b/>
                <w:bCs/>
                <w:color w:val="000000"/>
                <w:kern w:val="0"/>
              </w:rPr>
            </w:pPr>
            <w:r>
              <w:rPr>
                <w:b/>
                <w:bCs/>
                <w:color w:val="000000"/>
                <w:kern w:val="0"/>
              </w:rPr>
              <w:t>金额</w:t>
            </w:r>
          </w:p>
        </w:tc>
        <w:tc>
          <w:tcPr>
            <w:tcW w:w="1233" w:type="dxa"/>
            <w:shd w:val="clear" w:color="auto" w:fill="D9D9D9"/>
            <w:vAlign w:val="center"/>
          </w:tcPr>
          <w:p w14:paraId="08687B23" w14:textId="77777777" w:rsidR="004B0883" w:rsidRDefault="004B0883">
            <w:pPr>
              <w:adjustRightInd w:val="0"/>
              <w:snapToGrid w:val="0"/>
              <w:jc w:val="center"/>
              <w:rPr>
                <w:b/>
                <w:bCs/>
                <w:color w:val="000000"/>
                <w:kern w:val="0"/>
              </w:rPr>
            </w:pPr>
            <w:r>
              <w:rPr>
                <w:b/>
                <w:bCs/>
                <w:color w:val="000000"/>
                <w:kern w:val="0"/>
              </w:rPr>
              <w:t>比例</w:t>
            </w:r>
          </w:p>
        </w:tc>
      </w:tr>
      <w:tr w:rsidR="004B0883" w14:paraId="4E30087E" w14:textId="77777777">
        <w:trPr>
          <w:trHeight w:val="397"/>
          <w:jc w:val="center"/>
        </w:trPr>
        <w:tc>
          <w:tcPr>
            <w:tcW w:w="1386" w:type="dxa"/>
            <w:vAlign w:val="center"/>
          </w:tcPr>
          <w:p w14:paraId="1D8D58C4" w14:textId="77777777" w:rsidR="004B0883" w:rsidRDefault="004B0883">
            <w:pPr>
              <w:adjustRightInd w:val="0"/>
              <w:snapToGrid w:val="0"/>
              <w:rPr>
                <w:color w:val="000000"/>
                <w:kern w:val="0"/>
              </w:rPr>
            </w:pPr>
            <w:r>
              <w:rPr>
                <w:color w:val="000000"/>
                <w:kern w:val="0"/>
              </w:rPr>
              <w:t>递延收益</w:t>
            </w:r>
          </w:p>
        </w:tc>
        <w:tc>
          <w:tcPr>
            <w:tcW w:w="1232" w:type="dxa"/>
            <w:vAlign w:val="center"/>
          </w:tcPr>
          <w:p w14:paraId="529321C2" w14:textId="77777777" w:rsidR="004B0883" w:rsidRDefault="004B0883">
            <w:pPr>
              <w:adjustRightInd w:val="0"/>
              <w:snapToGrid w:val="0"/>
              <w:jc w:val="right"/>
              <w:rPr>
                <w:color w:val="000000"/>
                <w:kern w:val="0"/>
              </w:rPr>
            </w:pPr>
            <w:r>
              <w:t>987.97</w:t>
            </w:r>
          </w:p>
        </w:tc>
        <w:tc>
          <w:tcPr>
            <w:tcW w:w="1232" w:type="dxa"/>
            <w:vAlign w:val="center"/>
          </w:tcPr>
          <w:p w14:paraId="7182DF0C" w14:textId="77777777" w:rsidR="004B0883" w:rsidRDefault="004B0883">
            <w:pPr>
              <w:adjustRightInd w:val="0"/>
              <w:snapToGrid w:val="0"/>
              <w:jc w:val="right"/>
              <w:rPr>
                <w:color w:val="000000"/>
                <w:kern w:val="0"/>
              </w:rPr>
            </w:pPr>
            <w:r>
              <w:t>5.45%</w:t>
            </w:r>
          </w:p>
        </w:tc>
        <w:tc>
          <w:tcPr>
            <w:tcW w:w="1232" w:type="dxa"/>
            <w:vAlign w:val="center"/>
          </w:tcPr>
          <w:p w14:paraId="44B3CBD1" w14:textId="77777777" w:rsidR="004B0883" w:rsidRDefault="004B0883">
            <w:pPr>
              <w:adjustRightInd w:val="0"/>
              <w:snapToGrid w:val="0"/>
              <w:jc w:val="right"/>
              <w:rPr>
                <w:color w:val="000000"/>
                <w:kern w:val="0"/>
              </w:rPr>
            </w:pPr>
            <w:r>
              <w:rPr>
                <w:rFonts w:hint="eastAsia"/>
                <w:color w:val="000000"/>
                <w:kern w:val="0"/>
              </w:rPr>
              <w:t>1,052.36</w:t>
            </w:r>
          </w:p>
        </w:tc>
        <w:tc>
          <w:tcPr>
            <w:tcW w:w="1233" w:type="dxa"/>
            <w:vAlign w:val="center"/>
          </w:tcPr>
          <w:p w14:paraId="409EDF87" w14:textId="77777777" w:rsidR="004B0883" w:rsidRDefault="004B0883">
            <w:pPr>
              <w:adjustRightInd w:val="0"/>
              <w:snapToGrid w:val="0"/>
              <w:jc w:val="right"/>
              <w:rPr>
                <w:color w:val="000000"/>
                <w:kern w:val="0"/>
              </w:rPr>
            </w:pPr>
            <w:r>
              <w:rPr>
                <w:color w:val="000000"/>
                <w:kern w:val="0"/>
              </w:rPr>
              <w:t>4.73%</w:t>
            </w:r>
          </w:p>
        </w:tc>
        <w:tc>
          <w:tcPr>
            <w:tcW w:w="1232" w:type="dxa"/>
            <w:vAlign w:val="center"/>
          </w:tcPr>
          <w:p w14:paraId="29F20647" w14:textId="77777777" w:rsidR="004B0883" w:rsidRDefault="004B0883">
            <w:pPr>
              <w:adjustRightInd w:val="0"/>
              <w:snapToGrid w:val="0"/>
              <w:jc w:val="right"/>
              <w:rPr>
                <w:color w:val="000000"/>
                <w:kern w:val="0"/>
              </w:rPr>
            </w:pPr>
            <w:r>
              <w:rPr>
                <w:rFonts w:hint="eastAsia"/>
                <w:color w:val="000000"/>
                <w:kern w:val="0"/>
              </w:rPr>
              <w:t>1,124.29</w:t>
            </w:r>
          </w:p>
        </w:tc>
        <w:tc>
          <w:tcPr>
            <w:tcW w:w="1232" w:type="dxa"/>
            <w:vAlign w:val="center"/>
          </w:tcPr>
          <w:p w14:paraId="44E7892A" w14:textId="77777777" w:rsidR="004B0883" w:rsidRDefault="004B0883">
            <w:pPr>
              <w:adjustRightInd w:val="0"/>
              <w:snapToGrid w:val="0"/>
              <w:jc w:val="right"/>
              <w:rPr>
                <w:color w:val="000000"/>
                <w:kern w:val="0"/>
              </w:rPr>
            </w:pPr>
            <w:r>
              <w:rPr>
                <w:color w:val="000000"/>
                <w:kern w:val="0"/>
              </w:rPr>
              <w:t>4.61%</w:t>
            </w:r>
          </w:p>
        </w:tc>
        <w:tc>
          <w:tcPr>
            <w:tcW w:w="1232" w:type="dxa"/>
            <w:vAlign w:val="center"/>
          </w:tcPr>
          <w:p w14:paraId="0185F304" w14:textId="77777777" w:rsidR="004B0883" w:rsidRDefault="004B0883">
            <w:pPr>
              <w:adjustRightInd w:val="0"/>
              <w:snapToGrid w:val="0"/>
              <w:jc w:val="right"/>
              <w:rPr>
                <w:color w:val="000000"/>
                <w:kern w:val="0"/>
              </w:rPr>
            </w:pPr>
            <w:r>
              <w:rPr>
                <w:rFonts w:hint="eastAsia"/>
                <w:color w:val="000000"/>
                <w:kern w:val="0"/>
              </w:rPr>
              <w:t>1,120.38</w:t>
            </w:r>
          </w:p>
        </w:tc>
        <w:tc>
          <w:tcPr>
            <w:tcW w:w="1233" w:type="dxa"/>
            <w:vAlign w:val="center"/>
          </w:tcPr>
          <w:p w14:paraId="0AC8A35E" w14:textId="77777777" w:rsidR="004B0883" w:rsidRDefault="004B0883">
            <w:pPr>
              <w:adjustRightInd w:val="0"/>
              <w:snapToGrid w:val="0"/>
              <w:jc w:val="right"/>
              <w:rPr>
                <w:color w:val="000000"/>
                <w:kern w:val="0"/>
              </w:rPr>
            </w:pPr>
            <w:r>
              <w:rPr>
                <w:color w:val="000000"/>
                <w:kern w:val="0"/>
              </w:rPr>
              <w:t>5.43%</w:t>
            </w:r>
          </w:p>
        </w:tc>
      </w:tr>
      <w:tr w:rsidR="004B0883" w14:paraId="0B1BF63B" w14:textId="77777777">
        <w:trPr>
          <w:trHeight w:val="397"/>
          <w:jc w:val="center"/>
        </w:trPr>
        <w:tc>
          <w:tcPr>
            <w:tcW w:w="1386" w:type="dxa"/>
            <w:vAlign w:val="center"/>
          </w:tcPr>
          <w:p w14:paraId="23C2A9B9" w14:textId="77777777" w:rsidR="004B0883" w:rsidRDefault="004B0883">
            <w:pPr>
              <w:adjustRightInd w:val="0"/>
              <w:snapToGrid w:val="0"/>
              <w:rPr>
                <w:color w:val="000000"/>
                <w:kern w:val="0"/>
              </w:rPr>
            </w:pPr>
            <w:r>
              <w:rPr>
                <w:color w:val="000000"/>
                <w:kern w:val="0"/>
              </w:rPr>
              <w:t>递延所得税负债</w:t>
            </w:r>
          </w:p>
        </w:tc>
        <w:tc>
          <w:tcPr>
            <w:tcW w:w="1232" w:type="dxa"/>
            <w:vAlign w:val="center"/>
          </w:tcPr>
          <w:p w14:paraId="7DF5D533" w14:textId="77777777" w:rsidR="004B0883" w:rsidRDefault="004B0883">
            <w:pPr>
              <w:adjustRightInd w:val="0"/>
              <w:snapToGrid w:val="0"/>
              <w:jc w:val="right"/>
              <w:rPr>
                <w:color w:val="000000"/>
                <w:kern w:val="0"/>
              </w:rPr>
            </w:pPr>
            <w:r>
              <w:t>556.93</w:t>
            </w:r>
          </w:p>
        </w:tc>
        <w:tc>
          <w:tcPr>
            <w:tcW w:w="1232" w:type="dxa"/>
            <w:vAlign w:val="center"/>
          </w:tcPr>
          <w:p w14:paraId="5B01122B" w14:textId="77777777" w:rsidR="004B0883" w:rsidRDefault="004B0883">
            <w:pPr>
              <w:adjustRightInd w:val="0"/>
              <w:snapToGrid w:val="0"/>
              <w:jc w:val="right"/>
              <w:rPr>
                <w:color w:val="000000"/>
                <w:kern w:val="0"/>
              </w:rPr>
            </w:pPr>
            <w:r>
              <w:t>3.07%</w:t>
            </w:r>
          </w:p>
        </w:tc>
        <w:tc>
          <w:tcPr>
            <w:tcW w:w="1232" w:type="dxa"/>
            <w:vAlign w:val="center"/>
          </w:tcPr>
          <w:p w14:paraId="5322D336" w14:textId="77777777" w:rsidR="004B0883" w:rsidRDefault="004B0883">
            <w:pPr>
              <w:adjustRightInd w:val="0"/>
              <w:snapToGrid w:val="0"/>
              <w:jc w:val="right"/>
              <w:rPr>
                <w:color w:val="000000"/>
                <w:kern w:val="0"/>
              </w:rPr>
            </w:pPr>
            <w:r>
              <w:rPr>
                <w:rFonts w:hint="eastAsia"/>
                <w:color w:val="000000"/>
                <w:kern w:val="0"/>
              </w:rPr>
              <w:t>265.52</w:t>
            </w:r>
          </w:p>
        </w:tc>
        <w:tc>
          <w:tcPr>
            <w:tcW w:w="1233" w:type="dxa"/>
            <w:vAlign w:val="center"/>
          </w:tcPr>
          <w:p w14:paraId="7A0DA56A" w14:textId="77777777" w:rsidR="004B0883" w:rsidRDefault="004B0883">
            <w:pPr>
              <w:adjustRightInd w:val="0"/>
              <w:snapToGrid w:val="0"/>
              <w:jc w:val="right"/>
              <w:rPr>
                <w:color w:val="000000"/>
                <w:kern w:val="0"/>
              </w:rPr>
            </w:pPr>
            <w:r>
              <w:rPr>
                <w:color w:val="000000"/>
                <w:kern w:val="0"/>
              </w:rPr>
              <w:t>1.19%</w:t>
            </w:r>
          </w:p>
        </w:tc>
        <w:tc>
          <w:tcPr>
            <w:tcW w:w="1232" w:type="dxa"/>
            <w:vAlign w:val="center"/>
          </w:tcPr>
          <w:p w14:paraId="788FDBCD" w14:textId="77777777" w:rsidR="004B0883" w:rsidRDefault="004B0883">
            <w:pPr>
              <w:adjustRightInd w:val="0"/>
              <w:snapToGrid w:val="0"/>
              <w:jc w:val="right"/>
              <w:rPr>
                <w:color w:val="000000"/>
                <w:kern w:val="0"/>
              </w:rPr>
            </w:pPr>
            <w:r>
              <w:rPr>
                <w:rFonts w:hint="eastAsia"/>
                <w:color w:val="000000"/>
                <w:kern w:val="0"/>
              </w:rPr>
              <w:t>332.68</w:t>
            </w:r>
          </w:p>
        </w:tc>
        <w:tc>
          <w:tcPr>
            <w:tcW w:w="1232" w:type="dxa"/>
            <w:vAlign w:val="center"/>
          </w:tcPr>
          <w:p w14:paraId="41F030E6" w14:textId="77777777" w:rsidR="004B0883" w:rsidRDefault="004B0883">
            <w:pPr>
              <w:adjustRightInd w:val="0"/>
              <w:snapToGrid w:val="0"/>
              <w:jc w:val="right"/>
              <w:rPr>
                <w:color w:val="000000"/>
                <w:kern w:val="0"/>
              </w:rPr>
            </w:pPr>
            <w:r>
              <w:rPr>
                <w:color w:val="000000"/>
                <w:kern w:val="0"/>
              </w:rPr>
              <w:t>1.36%</w:t>
            </w:r>
          </w:p>
        </w:tc>
        <w:tc>
          <w:tcPr>
            <w:tcW w:w="1232" w:type="dxa"/>
            <w:vAlign w:val="center"/>
          </w:tcPr>
          <w:p w14:paraId="3690B0E9" w14:textId="77777777" w:rsidR="004B0883" w:rsidRDefault="004B0883">
            <w:pPr>
              <w:adjustRightInd w:val="0"/>
              <w:snapToGrid w:val="0"/>
              <w:jc w:val="right"/>
              <w:rPr>
                <w:color w:val="000000"/>
                <w:kern w:val="0"/>
              </w:rPr>
            </w:pPr>
            <w:r>
              <w:rPr>
                <w:rFonts w:hint="eastAsia"/>
                <w:color w:val="000000"/>
                <w:kern w:val="0"/>
              </w:rPr>
              <w:t>380.54</w:t>
            </w:r>
          </w:p>
        </w:tc>
        <w:tc>
          <w:tcPr>
            <w:tcW w:w="1233" w:type="dxa"/>
            <w:vAlign w:val="center"/>
          </w:tcPr>
          <w:p w14:paraId="67DFADD0" w14:textId="77777777" w:rsidR="004B0883" w:rsidRDefault="004B0883">
            <w:pPr>
              <w:adjustRightInd w:val="0"/>
              <w:snapToGrid w:val="0"/>
              <w:jc w:val="right"/>
              <w:rPr>
                <w:color w:val="000000"/>
                <w:kern w:val="0"/>
              </w:rPr>
            </w:pPr>
            <w:r>
              <w:rPr>
                <w:color w:val="000000"/>
                <w:kern w:val="0"/>
              </w:rPr>
              <w:t>1.84%</w:t>
            </w:r>
          </w:p>
        </w:tc>
      </w:tr>
      <w:tr w:rsidR="004B0883" w14:paraId="3F1DD809" w14:textId="77777777">
        <w:trPr>
          <w:trHeight w:val="397"/>
          <w:jc w:val="center"/>
        </w:trPr>
        <w:tc>
          <w:tcPr>
            <w:tcW w:w="1386" w:type="dxa"/>
            <w:vAlign w:val="center"/>
          </w:tcPr>
          <w:p w14:paraId="4AC1FDF7" w14:textId="77777777" w:rsidR="004B0883" w:rsidRDefault="004B0883">
            <w:pPr>
              <w:adjustRightInd w:val="0"/>
              <w:snapToGrid w:val="0"/>
              <w:jc w:val="center"/>
              <w:rPr>
                <w:b/>
                <w:bCs/>
                <w:color w:val="000000"/>
                <w:kern w:val="0"/>
              </w:rPr>
            </w:pPr>
            <w:r>
              <w:rPr>
                <w:b/>
                <w:bCs/>
              </w:rPr>
              <w:t>非流动负债</w:t>
            </w:r>
          </w:p>
        </w:tc>
        <w:tc>
          <w:tcPr>
            <w:tcW w:w="1232" w:type="dxa"/>
            <w:vAlign w:val="center"/>
          </w:tcPr>
          <w:p w14:paraId="0F38BFFB" w14:textId="77777777" w:rsidR="004B0883" w:rsidRDefault="004B0883">
            <w:pPr>
              <w:adjustRightInd w:val="0"/>
              <w:snapToGrid w:val="0"/>
              <w:jc w:val="right"/>
              <w:rPr>
                <w:b/>
                <w:bCs/>
                <w:color w:val="000000"/>
                <w:kern w:val="0"/>
              </w:rPr>
            </w:pPr>
            <w:r>
              <w:rPr>
                <w:b/>
                <w:bCs/>
              </w:rPr>
              <w:t>1,544.90</w:t>
            </w:r>
          </w:p>
        </w:tc>
        <w:tc>
          <w:tcPr>
            <w:tcW w:w="1232" w:type="dxa"/>
            <w:vAlign w:val="center"/>
          </w:tcPr>
          <w:p w14:paraId="0F29AC18" w14:textId="77777777" w:rsidR="004B0883" w:rsidRDefault="004B0883">
            <w:pPr>
              <w:adjustRightInd w:val="0"/>
              <w:snapToGrid w:val="0"/>
              <w:jc w:val="right"/>
              <w:rPr>
                <w:b/>
                <w:bCs/>
                <w:color w:val="000000"/>
                <w:kern w:val="0"/>
              </w:rPr>
            </w:pPr>
            <w:r>
              <w:rPr>
                <w:rFonts w:hint="eastAsia"/>
                <w:b/>
                <w:bCs/>
                <w:color w:val="000000"/>
                <w:kern w:val="0"/>
              </w:rPr>
              <w:t>8.53</w:t>
            </w:r>
            <w:r>
              <w:rPr>
                <w:b/>
                <w:bCs/>
                <w:color w:val="000000"/>
                <w:kern w:val="0"/>
              </w:rPr>
              <w:t>%</w:t>
            </w:r>
          </w:p>
        </w:tc>
        <w:tc>
          <w:tcPr>
            <w:tcW w:w="1232" w:type="dxa"/>
            <w:vAlign w:val="center"/>
          </w:tcPr>
          <w:p w14:paraId="4CBBD921" w14:textId="77777777" w:rsidR="004B0883" w:rsidRDefault="004B0883">
            <w:pPr>
              <w:adjustRightInd w:val="0"/>
              <w:snapToGrid w:val="0"/>
              <w:jc w:val="right"/>
              <w:rPr>
                <w:b/>
                <w:bCs/>
                <w:color w:val="000000"/>
                <w:kern w:val="0"/>
              </w:rPr>
            </w:pPr>
            <w:r>
              <w:rPr>
                <w:b/>
                <w:bCs/>
                <w:color w:val="000000"/>
                <w:kern w:val="0"/>
              </w:rPr>
              <w:t>1,317.88</w:t>
            </w:r>
          </w:p>
        </w:tc>
        <w:tc>
          <w:tcPr>
            <w:tcW w:w="1233" w:type="dxa"/>
            <w:vAlign w:val="center"/>
          </w:tcPr>
          <w:p w14:paraId="5D859A9B" w14:textId="77777777" w:rsidR="004B0883" w:rsidRDefault="004B0883">
            <w:pPr>
              <w:adjustRightInd w:val="0"/>
              <w:snapToGrid w:val="0"/>
              <w:jc w:val="right"/>
              <w:rPr>
                <w:b/>
                <w:bCs/>
                <w:color w:val="000000"/>
                <w:kern w:val="0"/>
              </w:rPr>
            </w:pPr>
            <w:r>
              <w:rPr>
                <w:b/>
                <w:bCs/>
                <w:color w:val="000000"/>
                <w:kern w:val="0"/>
              </w:rPr>
              <w:t>5.92%</w:t>
            </w:r>
          </w:p>
        </w:tc>
        <w:tc>
          <w:tcPr>
            <w:tcW w:w="1232" w:type="dxa"/>
            <w:vAlign w:val="center"/>
          </w:tcPr>
          <w:p w14:paraId="6989216B" w14:textId="77777777" w:rsidR="004B0883" w:rsidRDefault="004B0883">
            <w:pPr>
              <w:adjustRightInd w:val="0"/>
              <w:snapToGrid w:val="0"/>
              <w:jc w:val="right"/>
              <w:rPr>
                <w:b/>
                <w:bCs/>
                <w:color w:val="000000"/>
                <w:kern w:val="0"/>
              </w:rPr>
            </w:pPr>
            <w:r>
              <w:rPr>
                <w:b/>
                <w:bCs/>
                <w:color w:val="000000"/>
                <w:kern w:val="0"/>
              </w:rPr>
              <w:t>1,456.97</w:t>
            </w:r>
          </w:p>
        </w:tc>
        <w:tc>
          <w:tcPr>
            <w:tcW w:w="1232" w:type="dxa"/>
            <w:vAlign w:val="center"/>
          </w:tcPr>
          <w:p w14:paraId="4CD40267" w14:textId="77777777" w:rsidR="004B0883" w:rsidRDefault="004B0883">
            <w:pPr>
              <w:adjustRightInd w:val="0"/>
              <w:snapToGrid w:val="0"/>
              <w:jc w:val="right"/>
              <w:rPr>
                <w:b/>
                <w:bCs/>
                <w:color w:val="000000"/>
                <w:kern w:val="0"/>
              </w:rPr>
            </w:pPr>
            <w:r>
              <w:rPr>
                <w:b/>
                <w:bCs/>
                <w:color w:val="000000"/>
                <w:kern w:val="0"/>
              </w:rPr>
              <w:t>5.97%</w:t>
            </w:r>
          </w:p>
        </w:tc>
        <w:tc>
          <w:tcPr>
            <w:tcW w:w="1232" w:type="dxa"/>
            <w:vAlign w:val="center"/>
          </w:tcPr>
          <w:p w14:paraId="7C6CFEE8" w14:textId="77777777" w:rsidR="004B0883" w:rsidRDefault="004B0883">
            <w:pPr>
              <w:adjustRightInd w:val="0"/>
              <w:snapToGrid w:val="0"/>
              <w:jc w:val="right"/>
              <w:rPr>
                <w:b/>
                <w:bCs/>
                <w:color w:val="000000"/>
                <w:kern w:val="0"/>
              </w:rPr>
            </w:pPr>
            <w:r>
              <w:rPr>
                <w:b/>
                <w:bCs/>
                <w:color w:val="000000"/>
                <w:kern w:val="0"/>
              </w:rPr>
              <w:t>1,500.92</w:t>
            </w:r>
          </w:p>
        </w:tc>
        <w:tc>
          <w:tcPr>
            <w:tcW w:w="1233" w:type="dxa"/>
            <w:vAlign w:val="center"/>
          </w:tcPr>
          <w:p w14:paraId="7C7C1425" w14:textId="77777777" w:rsidR="004B0883" w:rsidRDefault="004B0883">
            <w:pPr>
              <w:adjustRightInd w:val="0"/>
              <w:snapToGrid w:val="0"/>
              <w:jc w:val="right"/>
              <w:rPr>
                <w:b/>
                <w:bCs/>
                <w:color w:val="000000"/>
                <w:kern w:val="0"/>
              </w:rPr>
            </w:pPr>
            <w:r>
              <w:rPr>
                <w:b/>
                <w:bCs/>
                <w:color w:val="000000"/>
                <w:kern w:val="0"/>
              </w:rPr>
              <w:t>7.27%</w:t>
            </w:r>
          </w:p>
        </w:tc>
      </w:tr>
      <w:tr w:rsidR="004B0883" w14:paraId="29612B99" w14:textId="77777777">
        <w:trPr>
          <w:trHeight w:val="397"/>
          <w:jc w:val="center"/>
        </w:trPr>
        <w:tc>
          <w:tcPr>
            <w:tcW w:w="1386" w:type="dxa"/>
            <w:vAlign w:val="center"/>
          </w:tcPr>
          <w:p w14:paraId="76F5B033" w14:textId="77777777" w:rsidR="004B0883" w:rsidRDefault="004B0883">
            <w:pPr>
              <w:adjustRightInd w:val="0"/>
              <w:snapToGrid w:val="0"/>
              <w:jc w:val="center"/>
              <w:rPr>
                <w:b/>
                <w:bCs/>
                <w:color w:val="000000"/>
                <w:kern w:val="0"/>
              </w:rPr>
            </w:pPr>
            <w:r>
              <w:rPr>
                <w:b/>
              </w:rPr>
              <w:t>负债合计</w:t>
            </w:r>
          </w:p>
        </w:tc>
        <w:tc>
          <w:tcPr>
            <w:tcW w:w="1232" w:type="dxa"/>
            <w:vAlign w:val="center"/>
          </w:tcPr>
          <w:p w14:paraId="4A759A0D" w14:textId="77777777" w:rsidR="004B0883" w:rsidRDefault="004B0883">
            <w:pPr>
              <w:adjustRightInd w:val="0"/>
              <w:snapToGrid w:val="0"/>
              <w:jc w:val="right"/>
              <w:rPr>
                <w:b/>
                <w:bCs/>
                <w:color w:val="000000"/>
                <w:kern w:val="0"/>
              </w:rPr>
            </w:pPr>
            <w:r>
              <w:rPr>
                <w:b/>
                <w:bCs/>
              </w:rPr>
              <w:t>18,112.24</w:t>
            </w:r>
          </w:p>
        </w:tc>
        <w:tc>
          <w:tcPr>
            <w:tcW w:w="1232" w:type="dxa"/>
            <w:vAlign w:val="center"/>
          </w:tcPr>
          <w:p w14:paraId="1CA3B293" w14:textId="77777777" w:rsidR="004B0883" w:rsidRDefault="004B0883">
            <w:pPr>
              <w:adjustRightInd w:val="0"/>
              <w:snapToGrid w:val="0"/>
              <w:jc w:val="right"/>
              <w:rPr>
                <w:b/>
                <w:bCs/>
                <w:color w:val="000000"/>
                <w:kern w:val="0"/>
              </w:rPr>
            </w:pPr>
            <w:r>
              <w:rPr>
                <w:b/>
                <w:bCs/>
              </w:rPr>
              <w:t>100.00%</w:t>
            </w:r>
          </w:p>
        </w:tc>
        <w:tc>
          <w:tcPr>
            <w:tcW w:w="1232" w:type="dxa"/>
            <w:vAlign w:val="center"/>
          </w:tcPr>
          <w:p w14:paraId="4F0680AD" w14:textId="77777777" w:rsidR="004B0883" w:rsidRDefault="004B0883">
            <w:pPr>
              <w:adjustRightInd w:val="0"/>
              <w:snapToGrid w:val="0"/>
              <w:jc w:val="right"/>
              <w:rPr>
                <w:b/>
                <w:bCs/>
                <w:color w:val="000000"/>
                <w:kern w:val="0"/>
              </w:rPr>
            </w:pPr>
            <w:r>
              <w:rPr>
                <w:b/>
                <w:bCs/>
                <w:color w:val="000000"/>
                <w:kern w:val="0"/>
              </w:rPr>
              <w:t>22,265.03</w:t>
            </w:r>
          </w:p>
        </w:tc>
        <w:tc>
          <w:tcPr>
            <w:tcW w:w="1233" w:type="dxa"/>
            <w:vAlign w:val="center"/>
          </w:tcPr>
          <w:p w14:paraId="47834D6E" w14:textId="77777777" w:rsidR="004B0883" w:rsidRDefault="004B0883">
            <w:pPr>
              <w:adjustRightInd w:val="0"/>
              <w:snapToGrid w:val="0"/>
              <w:jc w:val="right"/>
              <w:rPr>
                <w:b/>
                <w:bCs/>
                <w:color w:val="000000"/>
                <w:kern w:val="0"/>
              </w:rPr>
            </w:pPr>
            <w:r>
              <w:rPr>
                <w:b/>
                <w:bCs/>
              </w:rPr>
              <w:t>100.00%</w:t>
            </w:r>
          </w:p>
        </w:tc>
        <w:tc>
          <w:tcPr>
            <w:tcW w:w="1232" w:type="dxa"/>
            <w:vAlign w:val="center"/>
          </w:tcPr>
          <w:p w14:paraId="133E53F9" w14:textId="77777777" w:rsidR="004B0883" w:rsidRDefault="004B0883">
            <w:pPr>
              <w:adjustRightInd w:val="0"/>
              <w:snapToGrid w:val="0"/>
              <w:jc w:val="right"/>
              <w:rPr>
                <w:b/>
                <w:bCs/>
                <w:color w:val="000000"/>
                <w:kern w:val="0"/>
              </w:rPr>
            </w:pPr>
            <w:r>
              <w:rPr>
                <w:b/>
                <w:bCs/>
                <w:color w:val="000000"/>
                <w:kern w:val="0"/>
              </w:rPr>
              <w:t>24,390.19</w:t>
            </w:r>
          </w:p>
        </w:tc>
        <w:tc>
          <w:tcPr>
            <w:tcW w:w="1232" w:type="dxa"/>
            <w:vAlign w:val="center"/>
          </w:tcPr>
          <w:p w14:paraId="59283738" w14:textId="77777777" w:rsidR="004B0883" w:rsidRDefault="004B0883">
            <w:pPr>
              <w:adjustRightInd w:val="0"/>
              <w:snapToGrid w:val="0"/>
              <w:jc w:val="right"/>
              <w:rPr>
                <w:b/>
                <w:bCs/>
                <w:color w:val="000000"/>
                <w:kern w:val="0"/>
              </w:rPr>
            </w:pPr>
            <w:r>
              <w:rPr>
                <w:b/>
                <w:bCs/>
              </w:rPr>
              <w:t>100.00%</w:t>
            </w:r>
          </w:p>
        </w:tc>
        <w:tc>
          <w:tcPr>
            <w:tcW w:w="1232" w:type="dxa"/>
            <w:vAlign w:val="center"/>
          </w:tcPr>
          <w:p w14:paraId="76DB4F49" w14:textId="77777777" w:rsidR="004B0883" w:rsidRDefault="004B0883">
            <w:pPr>
              <w:adjustRightInd w:val="0"/>
              <w:snapToGrid w:val="0"/>
              <w:jc w:val="right"/>
              <w:rPr>
                <w:b/>
                <w:bCs/>
                <w:color w:val="000000"/>
                <w:kern w:val="0"/>
              </w:rPr>
            </w:pPr>
            <w:r>
              <w:rPr>
                <w:b/>
                <w:bCs/>
                <w:color w:val="000000"/>
                <w:kern w:val="0"/>
              </w:rPr>
              <w:t>20,643.22</w:t>
            </w:r>
          </w:p>
        </w:tc>
        <w:tc>
          <w:tcPr>
            <w:tcW w:w="1233" w:type="dxa"/>
            <w:vAlign w:val="center"/>
          </w:tcPr>
          <w:p w14:paraId="567D8B98" w14:textId="77777777" w:rsidR="004B0883" w:rsidRDefault="004B0883">
            <w:pPr>
              <w:adjustRightInd w:val="0"/>
              <w:snapToGrid w:val="0"/>
              <w:jc w:val="right"/>
              <w:rPr>
                <w:b/>
                <w:bCs/>
                <w:color w:val="000000"/>
                <w:kern w:val="0"/>
              </w:rPr>
            </w:pPr>
            <w:r>
              <w:rPr>
                <w:b/>
                <w:bCs/>
              </w:rPr>
              <w:t>100.00%</w:t>
            </w:r>
          </w:p>
        </w:tc>
      </w:tr>
    </w:tbl>
    <w:p w14:paraId="0FD25D35"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报告期各期末，公司非流动负债合计分别为</w:t>
      </w:r>
      <w:r>
        <w:rPr>
          <w:rFonts w:hint="eastAsia"/>
          <w:sz w:val="24"/>
          <w:szCs w:val="22"/>
        </w:rPr>
        <w:t>1,500.92</w:t>
      </w:r>
      <w:r>
        <w:rPr>
          <w:rFonts w:hint="eastAsia"/>
          <w:sz w:val="24"/>
          <w:szCs w:val="22"/>
        </w:rPr>
        <w:t>万元、</w:t>
      </w:r>
      <w:r>
        <w:rPr>
          <w:rFonts w:hint="eastAsia"/>
          <w:sz w:val="24"/>
          <w:szCs w:val="22"/>
        </w:rPr>
        <w:t>1,456.97</w:t>
      </w:r>
      <w:r>
        <w:rPr>
          <w:rFonts w:hint="eastAsia"/>
          <w:sz w:val="24"/>
          <w:szCs w:val="22"/>
        </w:rPr>
        <w:t>万元、</w:t>
      </w:r>
      <w:r>
        <w:rPr>
          <w:rFonts w:hint="eastAsia"/>
          <w:sz w:val="24"/>
          <w:szCs w:val="22"/>
        </w:rPr>
        <w:t>1,317.88</w:t>
      </w:r>
      <w:r>
        <w:rPr>
          <w:rFonts w:hint="eastAsia"/>
          <w:sz w:val="24"/>
          <w:szCs w:val="22"/>
        </w:rPr>
        <w:t>万元和</w:t>
      </w:r>
      <w:r>
        <w:rPr>
          <w:sz w:val="24"/>
          <w:szCs w:val="22"/>
        </w:rPr>
        <w:t>1,544.90</w:t>
      </w:r>
      <w:r>
        <w:rPr>
          <w:rFonts w:hint="eastAsia"/>
          <w:sz w:val="24"/>
          <w:szCs w:val="22"/>
        </w:rPr>
        <w:t>万元，占总负债的比例分别为</w:t>
      </w:r>
      <w:r>
        <w:rPr>
          <w:sz w:val="24"/>
          <w:szCs w:val="22"/>
        </w:rPr>
        <w:t>7.27%</w:t>
      </w:r>
      <w:r>
        <w:rPr>
          <w:rFonts w:hint="eastAsia"/>
          <w:sz w:val="24"/>
          <w:szCs w:val="22"/>
        </w:rPr>
        <w:t>、</w:t>
      </w:r>
      <w:r>
        <w:rPr>
          <w:sz w:val="24"/>
          <w:szCs w:val="22"/>
        </w:rPr>
        <w:t>5.97%</w:t>
      </w:r>
      <w:r>
        <w:rPr>
          <w:rFonts w:hint="eastAsia"/>
          <w:sz w:val="24"/>
          <w:szCs w:val="22"/>
        </w:rPr>
        <w:t>、</w:t>
      </w:r>
      <w:r>
        <w:rPr>
          <w:sz w:val="24"/>
          <w:szCs w:val="22"/>
        </w:rPr>
        <w:t>5.92%</w:t>
      </w:r>
      <w:r>
        <w:rPr>
          <w:rFonts w:hint="eastAsia"/>
          <w:sz w:val="24"/>
          <w:szCs w:val="22"/>
        </w:rPr>
        <w:t>和</w:t>
      </w:r>
      <w:r>
        <w:rPr>
          <w:rFonts w:hint="eastAsia"/>
          <w:sz w:val="24"/>
          <w:szCs w:val="22"/>
        </w:rPr>
        <w:t>8.53</w:t>
      </w:r>
      <w:r>
        <w:rPr>
          <w:sz w:val="24"/>
          <w:szCs w:val="22"/>
        </w:rPr>
        <w:t>%</w:t>
      </w:r>
      <w:r>
        <w:rPr>
          <w:rFonts w:hint="eastAsia"/>
          <w:sz w:val="24"/>
          <w:szCs w:val="22"/>
        </w:rPr>
        <w:t>。公司非流动负债主要由递延收益、递延所得税负债构成，报告期各期末总体保持稳定。</w:t>
      </w:r>
    </w:p>
    <w:p w14:paraId="144E7ED1" w14:textId="77777777" w:rsidR="004B0883" w:rsidRDefault="004B0883">
      <w:pPr>
        <w:keepNext/>
        <w:keepLines/>
        <w:widowControl w:val="0"/>
        <w:spacing w:beforeLines="50" w:before="120" w:line="360" w:lineRule="auto"/>
        <w:ind w:firstLineChars="200" w:firstLine="480"/>
        <w:jc w:val="both"/>
        <w:outlineLvl w:val="4"/>
        <w:rPr>
          <w:sz w:val="24"/>
          <w:szCs w:val="22"/>
        </w:rPr>
      </w:pPr>
      <w:r>
        <w:rPr>
          <w:rFonts w:hint="eastAsia"/>
          <w:sz w:val="24"/>
          <w:szCs w:val="22"/>
        </w:rPr>
        <w:t>（</w:t>
      </w:r>
      <w:r>
        <w:rPr>
          <w:sz w:val="24"/>
          <w:szCs w:val="22"/>
        </w:rPr>
        <w:t>1</w:t>
      </w:r>
      <w:r>
        <w:rPr>
          <w:rFonts w:hint="eastAsia"/>
          <w:sz w:val="24"/>
          <w:szCs w:val="22"/>
        </w:rPr>
        <w:t>）递延收益</w:t>
      </w:r>
    </w:p>
    <w:p w14:paraId="2263D31F"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公司递延收益主要为资产相关的政府补助形成的递延收益，主要包括因技术改造、土地出让补偿款等所获得的补贴。</w:t>
      </w:r>
    </w:p>
    <w:p w14:paraId="6AA712C4"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报告期各期末，公司递延收益分别为</w:t>
      </w:r>
      <w:r>
        <w:rPr>
          <w:rFonts w:hint="eastAsia"/>
          <w:sz w:val="24"/>
          <w:szCs w:val="22"/>
        </w:rPr>
        <w:t>1,120.38</w:t>
      </w:r>
      <w:r>
        <w:rPr>
          <w:rFonts w:hint="eastAsia"/>
          <w:sz w:val="24"/>
          <w:szCs w:val="22"/>
        </w:rPr>
        <w:t>万元、</w:t>
      </w:r>
      <w:r>
        <w:rPr>
          <w:rFonts w:hint="eastAsia"/>
          <w:sz w:val="24"/>
          <w:szCs w:val="22"/>
        </w:rPr>
        <w:t>1,124.29</w:t>
      </w:r>
      <w:r>
        <w:rPr>
          <w:rFonts w:hint="eastAsia"/>
          <w:sz w:val="24"/>
          <w:szCs w:val="22"/>
        </w:rPr>
        <w:t>万元、</w:t>
      </w:r>
      <w:r>
        <w:rPr>
          <w:rFonts w:hint="eastAsia"/>
          <w:sz w:val="24"/>
          <w:szCs w:val="22"/>
        </w:rPr>
        <w:t>1,052.36</w:t>
      </w:r>
      <w:r>
        <w:rPr>
          <w:rFonts w:hint="eastAsia"/>
          <w:sz w:val="24"/>
          <w:szCs w:val="22"/>
        </w:rPr>
        <w:t>万元和</w:t>
      </w:r>
      <w:r>
        <w:rPr>
          <w:sz w:val="24"/>
          <w:szCs w:val="22"/>
        </w:rPr>
        <w:t>987.97</w:t>
      </w:r>
      <w:r>
        <w:rPr>
          <w:rFonts w:hint="eastAsia"/>
          <w:sz w:val="24"/>
          <w:szCs w:val="22"/>
        </w:rPr>
        <w:t>万元，占总负债的比例分别为</w:t>
      </w:r>
      <w:r>
        <w:rPr>
          <w:sz w:val="24"/>
          <w:szCs w:val="22"/>
        </w:rPr>
        <w:t>5.43%</w:t>
      </w:r>
      <w:r>
        <w:rPr>
          <w:rFonts w:hint="eastAsia"/>
          <w:sz w:val="24"/>
          <w:szCs w:val="22"/>
        </w:rPr>
        <w:t>、</w:t>
      </w:r>
      <w:r>
        <w:rPr>
          <w:sz w:val="24"/>
          <w:szCs w:val="22"/>
        </w:rPr>
        <w:t>4.61%</w:t>
      </w:r>
      <w:r>
        <w:rPr>
          <w:rFonts w:hint="eastAsia"/>
          <w:sz w:val="24"/>
          <w:szCs w:val="22"/>
        </w:rPr>
        <w:t>、</w:t>
      </w:r>
      <w:r>
        <w:rPr>
          <w:sz w:val="24"/>
          <w:szCs w:val="22"/>
        </w:rPr>
        <w:t>4.73%</w:t>
      </w:r>
      <w:r>
        <w:rPr>
          <w:rFonts w:hint="eastAsia"/>
          <w:sz w:val="24"/>
          <w:szCs w:val="22"/>
        </w:rPr>
        <w:t>以及</w:t>
      </w:r>
      <w:r>
        <w:rPr>
          <w:rFonts w:hint="eastAsia"/>
          <w:sz w:val="24"/>
          <w:szCs w:val="22"/>
        </w:rPr>
        <w:t>5.45</w:t>
      </w:r>
      <w:r>
        <w:rPr>
          <w:sz w:val="24"/>
          <w:szCs w:val="22"/>
        </w:rPr>
        <w:t>%</w:t>
      </w:r>
      <w:r>
        <w:rPr>
          <w:rFonts w:hint="eastAsia"/>
          <w:sz w:val="24"/>
          <w:szCs w:val="22"/>
        </w:rPr>
        <w:t>，总体保持稳定。</w:t>
      </w:r>
    </w:p>
    <w:p w14:paraId="2687E67C" w14:textId="77777777" w:rsidR="004B0883" w:rsidRDefault="004B0883">
      <w:pPr>
        <w:pStyle w:val="003"/>
        <w:spacing w:before="120" w:after="120"/>
        <w:rPr>
          <w:rFonts w:hint="eastAsia"/>
        </w:rPr>
      </w:pPr>
      <w:r>
        <w:rPr>
          <w:rFonts w:hint="eastAsia"/>
        </w:rPr>
        <w:t>（三）偿债能力分析</w:t>
      </w:r>
    </w:p>
    <w:p w14:paraId="46A1F17F" w14:textId="77777777" w:rsidR="004B0883" w:rsidRDefault="004B0883">
      <w:pPr>
        <w:pStyle w:val="004"/>
        <w:spacing w:before="120" w:after="120"/>
        <w:ind w:firstLine="482"/>
        <w:rPr>
          <w:rFonts w:hint="eastAsia"/>
          <w:kern w:val="0"/>
        </w:rPr>
      </w:pPr>
      <w:r>
        <w:rPr>
          <w:rFonts w:hint="eastAsia"/>
          <w:kern w:val="0"/>
        </w:rPr>
        <w:t>1</w:t>
      </w:r>
      <w:r>
        <w:rPr>
          <w:rFonts w:hint="eastAsia"/>
          <w:kern w:val="0"/>
        </w:rPr>
        <w:t>、偿债能力指标</w:t>
      </w:r>
    </w:p>
    <w:p w14:paraId="4DBA75CB" w14:textId="77777777" w:rsidR="004B0883" w:rsidRDefault="004B0883">
      <w:pPr>
        <w:widowControl w:val="0"/>
        <w:spacing w:beforeLines="50" w:before="120" w:line="360" w:lineRule="auto"/>
        <w:ind w:firstLineChars="200" w:firstLine="480"/>
        <w:jc w:val="both"/>
        <w:rPr>
          <w:sz w:val="24"/>
          <w:szCs w:val="22"/>
        </w:rPr>
      </w:pPr>
      <w:r>
        <w:rPr>
          <w:sz w:val="24"/>
          <w:szCs w:val="22"/>
        </w:rPr>
        <w:t>报告期内，与公司</w:t>
      </w:r>
      <w:r>
        <w:rPr>
          <w:rFonts w:hint="eastAsia"/>
          <w:sz w:val="24"/>
          <w:szCs w:val="22"/>
        </w:rPr>
        <w:t>偿债</w:t>
      </w:r>
      <w:r>
        <w:rPr>
          <w:sz w:val="24"/>
          <w:szCs w:val="22"/>
        </w:rPr>
        <w:t>能力相关的主要财务指标如下：</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167"/>
        <w:gridCol w:w="1528"/>
        <w:gridCol w:w="1528"/>
        <w:gridCol w:w="1528"/>
        <w:gridCol w:w="1529"/>
      </w:tblGrid>
      <w:tr w:rsidR="004B0883" w14:paraId="5D754CB7" w14:textId="77777777">
        <w:trPr>
          <w:trHeight w:val="397"/>
          <w:tblHeader/>
          <w:jc w:val="center"/>
        </w:trPr>
        <w:tc>
          <w:tcPr>
            <w:tcW w:w="2235" w:type="dxa"/>
            <w:shd w:val="clear" w:color="auto" w:fill="D9D9D9"/>
            <w:tcMar>
              <w:top w:w="0" w:type="dxa"/>
              <w:bottom w:w="0" w:type="dxa"/>
            </w:tcMar>
            <w:vAlign w:val="center"/>
          </w:tcPr>
          <w:p w14:paraId="0545D2BA" w14:textId="77777777" w:rsidR="004B0883" w:rsidRDefault="004B0883">
            <w:pPr>
              <w:widowControl w:val="0"/>
              <w:autoSpaceDE w:val="0"/>
              <w:autoSpaceDN w:val="0"/>
              <w:adjustRightInd w:val="0"/>
              <w:snapToGrid w:val="0"/>
              <w:jc w:val="center"/>
              <w:rPr>
                <w:b/>
                <w:kern w:val="0"/>
              </w:rPr>
            </w:pPr>
            <w:r>
              <w:rPr>
                <w:b/>
                <w:kern w:val="0"/>
              </w:rPr>
              <w:t>财务指标</w:t>
            </w:r>
          </w:p>
        </w:tc>
        <w:tc>
          <w:tcPr>
            <w:tcW w:w="1573" w:type="dxa"/>
            <w:shd w:val="clear" w:color="auto" w:fill="D9D9D9"/>
            <w:tcMar>
              <w:top w:w="0" w:type="dxa"/>
              <w:bottom w:w="0" w:type="dxa"/>
            </w:tcMar>
            <w:vAlign w:val="center"/>
          </w:tcPr>
          <w:p w14:paraId="62B1E536" w14:textId="77777777" w:rsidR="004B0883" w:rsidRDefault="004B0883">
            <w:pPr>
              <w:widowControl w:val="0"/>
              <w:autoSpaceDE w:val="0"/>
              <w:autoSpaceDN w:val="0"/>
              <w:adjustRightInd w:val="0"/>
              <w:snapToGrid w:val="0"/>
              <w:jc w:val="center"/>
              <w:rPr>
                <w:b/>
                <w:kern w:val="0"/>
              </w:rPr>
            </w:pPr>
            <w:r>
              <w:rPr>
                <w:b/>
              </w:rPr>
              <w:t>2023</w:t>
            </w:r>
            <w:r>
              <w:rPr>
                <w:rFonts w:hint="eastAsia"/>
                <w:b/>
              </w:rPr>
              <w:t>.9</w:t>
            </w:r>
            <w:r>
              <w:rPr>
                <w:b/>
              </w:rPr>
              <w:t>.30</w:t>
            </w:r>
          </w:p>
        </w:tc>
        <w:tc>
          <w:tcPr>
            <w:tcW w:w="1573" w:type="dxa"/>
            <w:shd w:val="clear" w:color="auto" w:fill="D9D9D9"/>
            <w:tcMar>
              <w:top w:w="0" w:type="dxa"/>
              <w:bottom w:w="0" w:type="dxa"/>
            </w:tcMar>
            <w:vAlign w:val="center"/>
          </w:tcPr>
          <w:p w14:paraId="5DB338EF" w14:textId="77777777" w:rsidR="004B0883" w:rsidRDefault="004B0883">
            <w:pPr>
              <w:widowControl w:val="0"/>
              <w:autoSpaceDE w:val="0"/>
              <w:autoSpaceDN w:val="0"/>
              <w:adjustRightInd w:val="0"/>
              <w:snapToGrid w:val="0"/>
              <w:jc w:val="center"/>
              <w:rPr>
                <w:b/>
                <w:kern w:val="0"/>
              </w:rPr>
            </w:pPr>
            <w:r>
              <w:rPr>
                <w:b/>
              </w:rPr>
              <w:t>2022</w:t>
            </w:r>
            <w:r>
              <w:rPr>
                <w:rFonts w:hint="eastAsia"/>
                <w:b/>
              </w:rPr>
              <w:t>.</w:t>
            </w:r>
            <w:r>
              <w:rPr>
                <w:b/>
              </w:rPr>
              <w:t>12.31</w:t>
            </w:r>
          </w:p>
        </w:tc>
        <w:tc>
          <w:tcPr>
            <w:tcW w:w="1573" w:type="dxa"/>
            <w:shd w:val="clear" w:color="auto" w:fill="D9D9D9"/>
            <w:tcMar>
              <w:top w:w="0" w:type="dxa"/>
              <w:bottom w:w="0" w:type="dxa"/>
            </w:tcMar>
            <w:vAlign w:val="center"/>
          </w:tcPr>
          <w:p w14:paraId="3F9C0D61" w14:textId="77777777" w:rsidR="004B0883" w:rsidRDefault="004B0883">
            <w:pPr>
              <w:widowControl w:val="0"/>
              <w:autoSpaceDE w:val="0"/>
              <w:autoSpaceDN w:val="0"/>
              <w:adjustRightInd w:val="0"/>
              <w:snapToGrid w:val="0"/>
              <w:jc w:val="center"/>
              <w:rPr>
                <w:b/>
                <w:kern w:val="0"/>
              </w:rPr>
            </w:pPr>
            <w:r>
              <w:rPr>
                <w:b/>
              </w:rPr>
              <w:t>2021</w:t>
            </w:r>
            <w:r>
              <w:rPr>
                <w:rFonts w:hint="eastAsia"/>
                <w:b/>
              </w:rPr>
              <w:t>.</w:t>
            </w:r>
            <w:r>
              <w:rPr>
                <w:b/>
              </w:rPr>
              <w:t>12.31</w:t>
            </w:r>
          </w:p>
        </w:tc>
        <w:tc>
          <w:tcPr>
            <w:tcW w:w="1574" w:type="dxa"/>
            <w:shd w:val="clear" w:color="auto" w:fill="D9D9D9"/>
            <w:tcMar>
              <w:top w:w="0" w:type="dxa"/>
              <w:bottom w:w="0" w:type="dxa"/>
            </w:tcMar>
            <w:vAlign w:val="center"/>
          </w:tcPr>
          <w:p w14:paraId="60BA12EF" w14:textId="77777777" w:rsidR="004B0883" w:rsidRDefault="004B0883">
            <w:pPr>
              <w:widowControl w:val="0"/>
              <w:autoSpaceDE w:val="0"/>
              <w:autoSpaceDN w:val="0"/>
              <w:adjustRightInd w:val="0"/>
              <w:snapToGrid w:val="0"/>
              <w:jc w:val="center"/>
              <w:rPr>
                <w:b/>
                <w:kern w:val="0"/>
              </w:rPr>
            </w:pPr>
            <w:r>
              <w:rPr>
                <w:b/>
              </w:rPr>
              <w:t>2020</w:t>
            </w:r>
            <w:r>
              <w:rPr>
                <w:rFonts w:hint="eastAsia"/>
                <w:b/>
              </w:rPr>
              <w:t>.</w:t>
            </w:r>
            <w:r>
              <w:rPr>
                <w:b/>
              </w:rPr>
              <w:t>12.31</w:t>
            </w:r>
          </w:p>
        </w:tc>
      </w:tr>
      <w:tr w:rsidR="004B0883" w14:paraId="36FEDED6" w14:textId="77777777">
        <w:trPr>
          <w:trHeight w:val="397"/>
          <w:jc w:val="center"/>
        </w:trPr>
        <w:tc>
          <w:tcPr>
            <w:tcW w:w="2235" w:type="dxa"/>
            <w:tcMar>
              <w:top w:w="0" w:type="dxa"/>
              <w:bottom w:w="0" w:type="dxa"/>
            </w:tcMar>
            <w:vAlign w:val="center"/>
          </w:tcPr>
          <w:p w14:paraId="780CE5EA" w14:textId="77777777" w:rsidR="004B0883" w:rsidRDefault="004B0883">
            <w:pPr>
              <w:widowControl w:val="0"/>
              <w:autoSpaceDE w:val="0"/>
              <w:autoSpaceDN w:val="0"/>
              <w:adjustRightInd w:val="0"/>
              <w:snapToGrid w:val="0"/>
              <w:rPr>
                <w:rFonts w:hint="eastAsia"/>
                <w:kern w:val="0"/>
              </w:rPr>
            </w:pPr>
            <w:r>
              <w:rPr>
                <w:rFonts w:hint="eastAsia"/>
                <w:kern w:val="0"/>
              </w:rPr>
              <w:t>流动比率（倍）</w:t>
            </w:r>
          </w:p>
        </w:tc>
        <w:tc>
          <w:tcPr>
            <w:tcW w:w="1573" w:type="dxa"/>
            <w:tcMar>
              <w:top w:w="0" w:type="dxa"/>
              <w:bottom w:w="0" w:type="dxa"/>
            </w:tcMar>
            <w:vAlign w:val="center"/>
          </w:tcPr>
          <w:p w14:paraId="21DD2F41" w14:textId="77777777" w:rsidR="004B0883" w:rsidRDefault="004B0883">
            <w:pPr>
              <w:jc w:val="right"/>
              <w:rPr>
                <w:rFonts w:hint="eastAsia"/>
                <w:color w:val="000000"/>
              </w:rPr>
            </w:pPr>
            <w:r>
              <w:rPr>
                <w:rFonts w:hint="eastAsia"/>
                <w:color w:val="000000"/>
              </w:rPr>
              <w:t>4.09</w:t>
            </w:r>
          </w:p>
        </w:tc>
        <w:tc>
          <w:tcPr>
            <w:tcW w:w="1573" w:type="dxa"/>
            <w:tcMar>
              <w:top w:w="0" w:type="dxa"/>
              <w:bottom w:w="0" w:type="dxa"/>
            </w:tcMar>
            <w:vAlign w:val="center"/>
          </w:tcPr>
          <w:p w14:paraId="3D6AA429" w14:textId="77777777" w:rsidR="004B0883" w:rsidRDefault="004B0883">
            <w:pPr>
              <w:jc w:val="right"/>
              <w:rPr>
                <w:color w:val="000000"/>
              </w:rPr>
            </w:pPr>
            <w:r>
              <w:rPr>
                <w:color w:val="000000"/>
              </w:rPr>
              <w:t>3.29</w:t>
            </w:r>
          </w:p>
        </w:tc>
        <w:tc>
          <w:tcPr>
            <w:tcW w:w="1573" w:type="dxa"/>
            <w:tcMar>
              <w:top w:w="0" w:type="dxa"/>
              <w:bottom w:w="0" w:type="dxa"/>
            </w:tcMar>
            <w:vAlign w:val="center"/>
          </w:tcPr>
          <w:p w14:paraId="3F2880AD" w14:textId="77777777" w:rsidR="004B0883" w:rsidRDefault="004B0883">
            <w:pPr>
              <w:jc w:val="right"/>
              <w:rPr>
                <w:color w:val="000000"/>
              </w:rPr>
            </w:pPr>
            <w:r>
              <w:rPr>
                <w:color w:val="000000"/>
              </w:rPr>
              <w:t>2.53</w:t>
            </w:r>
          </w:p>
        </w:tc>
        <w:tc>
          <w:tcPr>
            <w:tcW w:w="1574" w:type="dxa"/>
            <w:tcMar>
              <w:top w:w="0" w:type="dxa"/>
              <w:bottom w:w="0" w:type="dxa"/>
            </w:tcMar>
            <w:vAlign w:val="center"/>
          </w:tcPr>
          <w:p w14:paraId="0FDD4724" w14:textId="77777777" w:rsidR="004B0883" w:rsidRDefault="004B0883">
            <w:pPr>
              <w:jc w:val="right"/>
              <w:rPr>
                <w:color w:val="000000"/>
              </w:rPr>
            </w:pPr>
            <w:r>
              <w:rPr>
                <w:color w:val="000000"/>
              </w:rPr>
              <w:t>2.90</w:t>
            </w:r>
          </w:p>
        </w:tc>
      </w:tr>
      <w:tr w:rsidR="004B0883" w14:paraId="3A455775" w14:textId="77777777">
        <w:trPr>
          <w:trHeight w:val="397"/>
          <w:jc w:val="center"/>
        </w:trPr>
        <w:tc>
          <w:tcPr>
            <w:tcW w:w="2235" w:type="dxa"/>
            <w:tcMar>
              <w:top w:w="0" w:type="dxa"/>
              <w:bottom w:w="0" w:type="dxa"/>
            </w:tcMar>
            <w:vAlign w:val="center"/>
          </w:tcPr>
          <w:p w14:paraId="6AB77867" w14:textId="77777777" w:rsidR="004B0883" w:rsidRDefault="004B0883">
            <w:pPr>
              <w:widowControl w:val="0"/>
              <w:autoSpaceDE w:val="0"/>
              <w:autoSpaceDN w:val="0"/>
              <w:adjustRightInd w:val="0"/>
              <w:snapToGrid w:val="0"/>
              <w:rPr>
                <w:rFonts w:hint="eastAsia"/>
                <w:kern w:val="0"/>
              </w:rPr>
            </w:pPr>
            <w:r>
              <w:rPr>
                <w:rFonts w:hint="eastAsia"/>
                <w:kern w:val="0"/>
              </w:rPr>
              <w:t>速动比率（倍）</w:t>
            </w:r>
          </w:p>
        </w:tc>
        <w:tc>
          <w:tcPr>
            <w:tcW w:w="1573" w:type="dxa"/>
            <w:tcMar>
              <w:top w:w="0" w:type="dxa"/>
              <w:bottom w:w="0" w:type="dxa"/>
            </w:tcMar>
            <w:vAlign w:val="center"/>
          </w:tcPr>
          <w:p w14:paraId="1B92FE42" w14:textId="77777777" w:rsidR="004B0883" w:rsidRDefault="004B0883">
            <w:pPr>
              <w:jc w:val="right"/>
              <w:rPr>
                <w:rFonts w:hint="eastAsia"/>
                <w:color w:val="000000"/>
              </w:rPr>
            </w:pPr>
            <w:r>
              <w:rPr>
                <w:color w:val="000000"/>
              </w:rPr>
              <w:t>3.</w:t>
            </w:r>
            <w:r>
              <w:rPr>
                <w:rFonts w:hint="eastAsia"/>
                <w:color w:val="000000"/>
              </w:rPr>
              <w:t>49</w:t>
            </w:r>
          </w:p>
        </w:tc>
        <w:tc>
          <w:tcPr>
            <w:tcW w:w="1573" w:type="dxa"/>
            <w:tcMar>
              <w:top w:w="0" w:type="dxa"/>
              <w:bottom w:w="0" w:type="dxa"/>
            </w:tcMar>
            <w:vAlign w:val="center"/>
          </w:tcPr>
          <w:p w14:paraId="7130E099" w14:textId="77777777" w:rsidR="004B0883" w:rsidRDefault="004B0883">
            <w:pPr>
              <w:jc w:val="right"/>
              <w:rPr>
                <w:color w:val="000000"/>
              </w:rPr>
            </w:pPr>
            <w:r>
              <w:rPr>
                <w:color w:val="000000"/>
              </w:rPr>
              <w:t>2.72</w:t>
            </w:r>
          </w:p>
        </w:tc>
        <w:tc>
          <w:tcPr>
            <w:tcW w:w="1573" w:type="dxa"/>
            <w:tcMar>
              <w:top w:w="0" w:type="dxa"/>
              <w:bottom w:w="0" w:type="dxa"/>
            </w:tcMar>
            <w:vAlign w:val="center"/>
          </w:tcPr>
          <w:p w14:paraId="7B253761" w14:textId="77777777" w:rsidR="004B0883" w:rsidRDefault="004B0883">
            <w:pPr>
              <w:jc w:val="right"/>
              <w:rPr>
                <w:color w:val="000000"/>
              </w:rPr>
            </w:pPr>
            <w:r>
              <w:rPr>
                <w:color w:val="000000"/>
              </w:rPr>
              <w:t>2.04</w:t>
            </w:r>
          </w:p>
        </w:tc>
        <w:tc>
          <w:tcPr>
            <w:tcW w:w="1574" w:type="dxa"/>
            <w:tcMar>
              <w:top w:w="0" w:type="dxa"/>
              <w:bottom w:w="0" w:type="dxa"/>
            </w:tcMar>
            <w:vAlign w:val="center"/>
          </w:tcPr>
          <w:p w14:paraId="5DCA705C" w14:textId="77777777" w:rsidR="004B0883" w:rsidRDefault="004B0883">
            <w:pPr>
              <w:jc w:val="right"/>
              <w:rPr>
                <w:color w:val="000000"/>
              </w:rPr>
            </w:pPr>
            <w:r>
              <w:rPr>
                <w:color w:val="000000"/>
              </w:rPr>
              <w:t>2.52</w:t>
            </w:r>
          </w:p>
        </w:tc>
      </w:tr>
      <w:tr w:rsidR="004B0883" w14:paraId="4297A270" w14:textId="77777777">
        <w:trPr>
          <w:trHeight w:val="397"/>
          <w:jc w:val="center"/>
        </w:trPr>
        <w:tc>
          <w:tcPr>
            <w:tcW w:w="2235" w:type="dxa"/>
            <w:tcMar>
              <w:top w:w="0" w:type="dxa"/>
              <w:bottom w:w="0" w:type="dxa"/>
            </w:tcMar>
            <w:vAlign w:val="center"/>
          </w:tcPr>
          <w:p w14:paraId="1138FBC6" w14:textId="77777777" w:rsidR="004B0883" w:rsidRDefault="004B0883">
            <w:pPr>
              <w:widowControl w:val="0"/>
              <w:autoSpaceDE w:val="0"/>
              <w:autoSpaceDN w:val="0"/>
              <w:adjustRightInd w:val="0"/>
              <w:snapToGrid w:val="0"/>
              <w:rPr>
                <w:kern w:val="0"/>
              </w:rPr>
            </w:pPr>
            <w:r>
              <w:rPr>
                <w:rFonts w:hint="eastAsia"/>
                <w:kern w:val="0"/>
              </w:rPr>
              <w:t>资产负债率（合并）</w:t>
            </w:r>
          </w:p>
        </w:tc>
        <w:tc>
          <w:tcPr>
            <w:tcW w:w="1573" w:type="dxa"/>
            <w:tcMar>
              <w:top w:w="0" w:type="dxa"/>
              <w:bottom w:w="0" w:type="dxa"/>
            </w:tcMar>
            <w:vAlign w:val="center"/>
          </w:tcPr>
          <w:p w14:paraId="521F8D5B" w14:textId="77777777" w:rsidR="004B0883" w:rsidRDefault="004B0883">
            <w:pPr>
              <w:jc w:val="right"/>
              <w:rPr>
                <w:rFonts w:hint="eastAsia"/>
                <w:color w:val="000000"/>
              </w:rPr>
            </w:pPr>
            <w:r>
              <w:rPr>
                <w:rFonts w:hint="eastAsia"/>
                <w:color w:val="000000"/>
              </w:rPr>
              <w:t>17.98</w:t>
            </w:r>
            <w:r>
              <w:rPr>
                <w:color w:val="000000"/>
              </w:rPr>
              <w:t>%</w:t>
            </w:r>
          </w:p>
        </w:tc>
        <w:tc>
          <w:tcPr>
            <w:tcW w:w="1573" w:type="dxa"/>
            <w:tcMar>
              <w:top w:w="0" w:type="dxa"/>
              <w:bottom w:w="0" w:type="dxa"/>
            </w:tcMar>
            <w:vAlign w:val="center"/>
          </w:tcPr>
          <w:p w14:paraId="1F7EBF44" w14:textId="77777777" w:rsidR="004B0883" w:rsidRDefault="004B0883">
            <w:pPr>
              <w:jc w:val="right"/>
              <w:rPr>
                <w:color w:val="000000"/>
              </w:rPr>
            </w:pPr>
            <w:r>
              <w:rPr>
                <w:color w:val="000000"/>
              </w:rPr>
              <w:t>22.40%</w:t>
            </w:r>
          </w:p>
        </w:tc>
        <w:tc>
          <w:tcPr>
            <w:tcW w:w="1573" w:type="dxa"/>
            <w:tcMar>
              <w:top w:w="0" w:type="dxa"/>
              <w:bottom w:w="0" w:type="dxa"/>
            </w:tcMar>
            <w:vAlign w:val="center"/>
          </w:tcPr>
          <w:p w14:paraId="5C7C5A0F" w14:textId="77777777" w:rsidR="004B0883" w:rsidRDefault="004B0883">
            <w:pPr>
              <w:jc w:val="right"/>
              <w:rPr>
                <w:color w:val="000000"/>
              </w:rPr>
            </w:pPr>
            <w:r>
              <w:rPr>
                <w:color w:val="000000"/>
              </w:rPr>
              <w:t>27.41%</w:t>
            </w:r>
          </w:p>
        </w:tc>
        <w:tc>
          <w:tcPr>
            <w:tcW w:w="1574" w:type="dxa"/>
            <w:tcMar>
              <w:top w:w="0" w:type="dxa"/>
              <w:bottom w:w="0" w:type="dxa"/>
            </w:tcMar>
            <w:vAlign w:val="center"/>
          </w:tcPr>
          <w:p w14:paraId="2997E0CB" w14:textId="77777777" w:rsidR="004B0883" w:rsidRDefault="004B0883">
            <w:pPr>
              <w:jc w:val="right"/>
              <w:rPr>
                <w:color w:val="000000"/>
              </w:rPr>
            </w:pPr>
            <w:r>
              <w:rPr>
                <w:color w:val="000000"/>
              </w:rPr>
              <w:t>23.74%</w:t>
            </w:r>
          </w:p>
        </w:tc>
      </w:tr>
    </w:tbl>
    <w:p w14:paraId="4E3F8298"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报告期各期末，公司流动比率分别为</w:t>
      </w:r>
      <w:r>
        <w:rPr>
          <w:sz w:val="24"/>
          <w:szCs w:val="22"/>
        </w:rPr>
        <w:t>2.90</w:t>
      </w:r>
      <w:r>
        <w:rPr>
          <w:rFonts w:hint="eastAsia"/>
          <w:sz w:val="24"/>
          <w:szCs w:val="22"/>
        </w:rPr>
        <w:t>、</w:t>
      </w:r>
      <w:r>
        <w:rPr>
          <w:sz w:val="24"/>
          <w:szCs w:val="22"/>
        </w:rPr>
        <w:t>2.53</w:t>
      </w:r>
      <w:r>
        <w:rPr>
          <w:rFonts w:hint="eastAsia"/>
          <w:sz w:val="24"/>
          <w:szCs w:val="22"/>
        </w:rPr>
        <w:t>、</w:t>
      </w:r>
      <w:r>
        <w:rPr>
          <w:sz w:val="24"/>
          <w:szCs w:val="22"/>
        </w:rPr>
        <w:t>3.29</w:t>
      </w:r>
      <w:r>
        <w:rPr>
          <w:rFonts w:hint="eastAsia"/>
          <w:sz w:val="24"/>
          <w:szCs w:val="22"/>
        </w:rPr>
        <w:t>和</w:t>
      </w:r>
      <w:r>
        <w:rPr>
          <w:rFonts w:hint="eastAsia"/>
          <w:sz w:val="24"/>
          <w:szCs w:val="22"/>
        </w:rPr>
        <w:t>4.09</w:t>
      </w:r>
      <w:r>
        <w:rPr>
          <w:rFonts w:hint="eastAsia"/>
          <w:sz w:val="24"/>
          <w:szCs w:val="22"/>
        </w:rPr>
        <w:t>，速动比率分别为</w:t>
      </w:r>
      <w:r>
        <w:rPr>
          <w:sz w:val="24"/>
          <w:szCs w:val="22"/>
        </w:rPr>
        <w:t>2.52</w:t>
      </w:r>
      <w:r>
        <w:rPr>
          <w:rFonts w:hint="eastAsia"/>
          <w:sz w:val="24"/>
          <w:szCs w:val="22"/>
        </w:rPr>
        <w:t>、</w:t>
      </w:r>
      <w:r>
        <w:rPr>
          <w:sz w:val="24"/>
          <w:szCs w:val="22"/>
        </w:rPr>
        <w:t>2.04</w:t>
      </w:r>
      <w:r>
        <w:rPr>
          <w:rFonts w:hint="eastAsia"/>
          <w:sz w:val="24"/>
          <w:szCs w:val="22"/>
        </w:rPr>
        <w:t>、</w:t>
      </w:r>
      <w:r>
        <w:rPr>
          <w:sz w:val="24"/>
          <w:szCs w:val="22"/>
        </w:rPr>
        <w:t>2.72</w:t>
      </w:r>
      <w:r>
        <w:rPr>
          <w:rFonts w:hint="eastAsia"/>
          <w:sz w:val="24"/>
          <w:szCs w:val="22"/>
        </w:rPr>
        <w:t>和</w:t>
      </w:r>
      <w:r>
        <w:rPr>
          <w:sz w:val="24"/>
          <w:szCs w:val="22"/>
        </w:rPr>
        <w:t>3.</w:t>
      </w:r>
      <w:r>
        <w:rPr>
          <w:rFonts w:hint="eastAsia"/>
          <w:sz w:val="24"/>
          <w:szCs w:val="22"/>
        </w:rPr>
        <w:t>49</w:t>
      </w:r>
      <w:r>
        <w:rPr>
          <w:rFonts w:hint="eastAsia"/>
          <w:sz w:val="24"/>
          <w:szCs w:val="22"/>
        </w:rPr>
        <w:t>。</w:t>
      </w:r>
      <w:r>
        <w:rPr>
          <w:rFonts w:hint="eastAsia"/>
          <w:sz w:val="24"/>
          <w:szCs w:val="22"/>
        </w:rPr>
        <w:t>2</w:t>
      </w:r>
      <w:r>
        <w:rPr>
          <w:sz w:val="24"/>
          <w:szCs w:val="22"/>
        </w:rPr>
        <w:t>022</w:t>
      </w:r>
      <w:r>
        <w:rPr>
          <w:rFonts w:hint="eastAsia"/>
          <w:sz w:val="24"/>
          <w:szCs w:val="22"/>
        </w:rPr>
        <w:t>年末，公司流动比率与速动比率较高，一方面系</w:t>
      </w:r>
      <w:r>
        <w:rPr>
          <w:rFonts w:hint="eastAsia"/>
          <w:sz w:val="24"/>
          <w:szCs w:val="22"/>
        </w:rPr>
        <w:t>2</w:t>
      </w:r>
      <w:r>
        <w:rPr>
          <w:sz w:val="24"/>
          <w:szCs w:val="22"/>
        </w:rPr>
        <w:t>022</w:t>
      </w:r>
      <w:r>
        <w:rPr>
          <w:rFonts w:hint="eastAsia"/>
          <w:sz w:val="24"/>
          <w:szCs w:val="22"/>
        </w:rPr>
        <w:t>年出售了子公司即聚机电收回部分资金，另一方面由于公司订单增加导致销售回款增加导致货币资金增加所致。</w:t>
      </w:r>
    </w:p>
    <w:p w14:paraId="7581EE3D" w14:textId="77777777" w:rsidR="004B0883" w:rsidRDefault="004B0883">
      <w:pPr>
        <w:pStyle w:val="005"/>
        <w:spacing w:before="120"/>
        <w:ind w:firstLine="480"/>
        <w:rPr>
          <w:szCs w:val="24"/>
        </w:rPr>
      </w:pPr>
      <w:r>
        <w:rPr>
          <w:rFonts w:hint="eastAsia"/>
          <w:szCs w:val="24"/>
        </w:rPr>
        <w:t>报告期各期末，公司合并口径资产负债率分别为</w:t>
      </w:r>
      <w:r>
        <w:rPr>
          <w:szCs w:val="24"/>
        </w:rPr>
        <w:t>23.74%</w:t>
      </w:r>
      <w:r>
        <w:rPr>
          <w:rFonts w:hint="eastAsia"/>
          <w:szCs w:val="24"/>
        </w:rPr>
        <w:t>、</w:t>
      </w:r>
      <w:r>
        <w:rPr>
          <w:szCs w:val="24"/>
        </w:rPr>
        <w:t>27.41%</w:t>
      </w:r>
      <w:r>
        <w:rPr>
          <w:rFonts w:hint="eastAsia"/>
          <w:szCs w:val="24"/>
        </w:rPr>
        <w:t>、</w:t>
      </w:r>
      <w:r>
        <w:rPr>
          <w:szCs w:val="24"/>
        </w:rPr>
        <w:t>22.40%</w:t>
      </w:r>
      <w:r>
        <w:rPr>
          <w:rFonts w:hint="eastAsia"/>
          <w:szCs w:val="24"/>
        </w:rPr>
        <w:t>和</w:t>
      </w:r>
      <w:r>
        <w:rPr>
          <w:rFonts w:hint="eastAsia"/>
          <w:szCs w:val="24"/>
        </w:rPr>
        <w:t>17.98</w:t>
      </w:r>
      <w:r>
        <w:rPr>
          <w:szCs w:val="24"/>
        </w:rPr>
        <w:t>%</w:t>
      </w:r>
      <w:r>
        <w:rPr>
          <w:rFonts w:hint="eastAsia"/>
          <w:szCs w:val="24"/>
        </w:rPr>
        <w:t>。</w:t>
      </w:r>
      <w:r>
        <w:rPr>
          <w:szCs w:val="24"/>
        </w:rPr>
        <w:t>2021</w:t>
      </w:r>
      <w:r>
        <w:rPr>
          <w:rFonts w:hint="eastAsia"/>
          <w:szCs w:val="24"/>
        </w:rPr>
        <w:t>年末至</w:t>
      </w:r>
      <w:r>
        <w:rPr>
          <w:szCs w:val="24"/>
        </w:rPr>
        <w:t>2023</w:t>
      </w:r>
      <w:r>
        <w:rPr>
          <w:rFonts w:hint="eastAsia"/>
          <w:szCs w:val="24"/>
        </w:rPr>
        <w:t>年</w:t>
      </w:r>
      <w:r>
        <w:rPr>
          <w:rFonts w:hint="eastAsia"/>
          <w:szCs w:val="24"/>
        </w:rPr>
        <w:t>9</w:t>
      </w:r>
      <w:r>
        <w:rPr>
          <w:rFonts w:hint="eastAsia"/>
          <w:szCs w:val="24"/>
        </w:rPr>
        <w:t>月末，公司资产负债率下降主要系出售子公司及销售回款较为良好所致。</w:t>
      </w:r>
      <w:r>
        <w:rPr>
          <w:rFonts w:hint="eastAsia"/>
          <w:szCs w:val="24"/>
        </w:rPr>
        <w:t xml:space="preserve"> </w:t>
      </w:r>
    </w:p>
    <w:p w14:paraId="149D7F04" w14:textId="77777777" w:rsidR="004B0883" w:rsidRDefault="004B0883">
      <w:pPr>
        <w:pStyle w:val="005"/>
        <w:spacing w:before="120"/>
        <w:ind w:firstLine="480"/>
      </w:pPr>
      <w:bookmarkStart w:id="327" w:name="_Hlk124791266"/>
      <w:r>
        <w:rPr>
          <w:rFonts w:hint="eastAsia"/>
        </w:rPr>
        <w:t>在货币资金及银行授信方面，截至</w:t>
      </w:r>
      <w:r>
        <w:rPr>
          <w:rFonts w:hint="eastAsia"/>
        </w:rPr>
        <w:t>202</w:t>
      </w:r>
      <w:r>
        <w:t>3</w:t>
      </w:r>
      <w:r>
        <w:rPr>
          <w:rFonts w:hint="eastAsia"/>
        </w:rPr>
        <w:t>年</w:t>
      </w:r>
      <w:r>
        <w:rPr>
          <w:rFonts w:hint="eastAsia"/>
        </w:rPr>
        <w:t>9</w:t>
      </w:r>
      <w:r>
        <w:rPr>
          <w:rFonts w:hint="eastAsia"/>
        </w:rPr>
        <w:t>月</w:t>
      </w:r>
      <w:r>
        <w:rPr>
          <w:rFonts w:hint="eastAsia"/>
        </w:rPr>
        <w:t>3</w:t>
      </w:r>
      <w:r>
        <w:t>0</w:t>
      </w:r>
      <w:r>
        <w:rPr>
          <w:rFonts w:hint="eastAsia"/>
        </w:rPr>
        <w:t>日，公司的货币资金余额为</w:t>
      </w:r>
      <w:r>
        <w:t>3,867.12</w:t>
      </w:r>
      <w:r>
        <w:rPr>
          <w:rFonts w:hint="eastAsia"/>
        </w:rPr>
        <w:t>万元，交易性金融资产余额为</w:t>
      </w:r>
      <w:r>
        <w:t>39,822.11</w:t>
      </w:r>
      <w:r>
        <w:rPr>
          <w:rFonts w:hint="eastAsia"/>
        </w:rPr>
        <w:t>万元，资信情况良好，融资渠道通畅，短期偿债风险较低。</w:t>
      </w:r>
    </w:p>
    <w:bookmarkEnd w:id="327"/>
    <w:p w14:paraId="791E82CF" w14:textId="77777777" w:rsidR="004B0883" w:rsidRDefault="004B0883">
      <w:pPr>
        <w:pStyle w:val="004"/>
        <w:spacing w:before="120" w:after="120"/>
        <w:ind w:firstLine="482"/>
        <w:rPr>
          <w:rFonts w:hint="eastAsia"/>
          <w:kern w:val="0"/>
        </w:rPr>
      </w:pPr>
      <w:r>
        <w:rPr>
          <w:rFonts w:hint="eastAsia"/>
          <w:kern w:val="0"/>
        </w:rPr>
        <w:t>2</w:t>
      </w:r>
      <w:r>
        <w:rPr>
          <w:rFonts w:hint="eastAsia"/>
          <w:kern w:val="0"/>
        </w:rPr>
        <w:t>、可比上市公司情况分析</w:t>
      </w:r>
    </w:p>
    <w:p w14:paraId="228D2E8B" w14:textId="77777777" w:rsidR="004B0883" w:rsidRDefault="004B0883">
      <w:pPr>
        <w:widowControl w:val="0"/>
        <w:spacing w:beforeLines="50" w:before="120" w:line="360" w:lineRule="auto"/>
        <w:ind w:firstLineChars="200" w:firstLine="480"/>
        <w:jc w:val="both"/>
        <w:rPr>
          <w:sz w:val="24"/>
          <w:szCs w:val="22"/>
        </w:rPr>
      </w:pPr>
      <w:r>
        <w:rPr>
          <w:sz w:val="24"/>
          <w:szCs w:val="22"/>
        </w:rPr>
        <w:t>报告期内，公司与</w:t>
      </w:r>
      <w:r>
        <w:rPr>
          <w:rFonts w:hint="eastAsia"/>
          <w:sz w:val="24"/>
          <w:szCs w:val="22"/>
        </w:rPr>
        <w:t>同行业可比上市公司</w:t>
      </w:r>
      <w:r>
        <w:rPr>
          <w:sz w:val="24"/>
          <w:szCs w:val="22"/>
        </w:rPr>
        <w:t>的</w:t>
      </w:r>
      <w:r>
        <w:rPr>
          <w:rFonts w:hint="eastAsia"/>
          <w:sz w:val="24"/>
          <w:szCs w:val="22"/>
        </w:rPr>
        <w:t>偿债能力</w:t>
      </w:r>
      <w:r>
        <w:rPr>
          <w:sz w:val="24"/>
          <w:szCs w:val="22"/>
        </w:rPr>
        <w:t>指标比较情况如下：</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616"/>
        <w:gridCol w:w="1102"/>
        <w:gridCol w:w="927"/>
        <w:gridCol w:w="927"/>
        <w:gridCol w:w="927"/>
        <w:gridCol w:w="927"/>
        <w:gridCol w:w="927"/>
        <w:gridCol w:w="927"/>
      </w:tblGrid>
      <w:tr w:rsidR="004B0883" w14:paraId="06A6ED8A" w14:textId="77777777">
        <w:trPr>
          <w:trHeight w:val="397"/>
          <w:tblHeader/>
          <w:jc w:val="center"/>
        </w:trPr>
        <w:tc>
          <w:tcPr>
            <w:tcW w:w="2802" w:type="dxa"/>
            <w:gridSpan w:val="2"/>
            <w:shd w:val="clear" w:color="auto" w:fill="D9D9D9"/>
            <w:tcMar>
              <w:top w:w="0" w:type="dxa"/>
              <w:bottom w:w="0" w:type="dxa"/>
            </w:tcMar>
            <w:vAlign w:val="center"/>
          </w:tcPr>
          <w:p w14:paraId="1D3F6157" w14:textId="77777777" w:rsidR="004B0883" w:rsidRDefault="004B0883">
            <w:pPr>
              <w:widowControl w:val="0"/>
              <w:adjustRightInd w:val="0"/>
              <w:snapToGrid w:val="0"/>
              <w:jc w:val="center"/>
              <w:rPr>
                <w:rFonts w:cs="宋体"/>
                <w:b/>
                <w:bCs/>
                <w:color w:val="000000"/>
                <w:kern w:val="0"/>
                <w:sz w:val="18"/>
                <w:szCs w:val="18"/>
              </w:rPr>
            </w:pPr>
            <w:r>
              <w:rPr>
                <w:rFonts w:cs="宋体" w:hint="eastAsia"/>
                <w:b/>
                <w:bCs/>
                <w:color w:val="000000"/>
                <w:kern w:val="0"/>
                <w:sz w:val="18"/>
                <w:szCs w:val="18"/>
              </w:rPr>
              <w:t>公司简称</w:t>
            </w:r>
          </w:p>
        </w:tc>
        <w:tc>
          <w:tcPr>
            <w:tcW w:w="954" w:type="dxa"/>
            <w:shd w:val="clear" w:color="auto" w:fill="D9D9D9"/>
            <w:tcMar>
              <w:top w:w="0" w:type="dxa"/>
              <w:bottom w:w="0" w:type="dxa"/>
            </w:tcMar>
            <w:vAlign w:val="center"/>
          </w:tcPr>
          <w:p w14:paraId="23860E17" w14:textId="77777777" w:rsidR="004B0883" w:rsidRDefault="004B0883">
            <w:pPr>
              <w:widowControl w:val="0"/>
              <w:adjustRightInd w:val="0"/>
              <w:snapToGrid w:val="0"/>
              <w:jc w:val="center"/>
              <w:rPr>
                <w:b/>
                <w:bCs/>
                <w:color w:val="000000"/>
                <w:kern w:val="0"/>
                <w:sz w:val="18"/>
                <w:szCs w:val="18"/>
              </w:rPr>
            </w:pPr>
            <w:r>
              <w:rPr>
                <w:b/>
                <w:bCs/>
                <w:color w:val="000000"/>
                <w:kern w:val="0"/>
                <w:sz w:val="18"/>
                <w:szCs w:val="18"/>
              </w:rPr>
              <w:t>江苏神通</w:t>
            </w:r>
          </w:p>
        </w:tc>
        <w:tc>
          <w:tcPr>
            <w:tcW w:w="954" w:type="dxa"/>
            <w:shd w:val="clear" w:color="auto" w:fill="D9D9D9"/>
            <w:tcMar>
              <w:top w:w="0" w:type="dxa"/>
              <w:bottom w:w="0" w:type="dxa"/>
            </w:tcMar>
            <w:vAlign w:val="center"/>
          </w:tcPr>
          <w:p w14:paraId="68D746C5" w14:textId="77777777" w:rsidR="004B0883" w:rsidRDefault="004B0883">
            <w:pPr>
              <w:widowControl w:val="0"/>
              <w:adjustRightInd w:val="0"/>
              <w:snapToGrid w:val="0"/>
              <w:jc w:val="center"/>
              <w:rPr>
                <w:b/>
                <w:bCs/>
                <w:color w:val="000000"/>
                <w:kern w:val="0"/>
                <w:sz w:val="18"/>
                <w:szCs w:val="18"/>
              </w:rPr>
            </w:pPr>
            <w:r>
              <w:rPr>
                <w:b/>
                <w:bCs/>
                <w:color w:val="000000"/>
                <w:kern w:val="0"/>
                <w:sz w:val="18"/>
                <w:szCs w:val="18"/>
              </w:rPr>
              <w:t>冠龙节能</w:t>
            </w:r>
          </w:p>
        </w:tc>
        <w:tc>
          <w:tcPr>
            <w:tcW w:w="954" w:type="dxa"/>
            <w:shd w:val="clear" w:color="auto" w:fill="D9D9D9"/>
            <w:tcMar>
              <w:top w:w="0" w:type="dxa"/>
              <w:bottom w:w="0" w:type="dxa"/>
            </w:tcMar>
            <w:vAlign w:val="center"/>
          </w:tcPr>
          <w:p w14:paraId="25C2D92C" w14:textId="77777777" w:rsidR="004B0883" w:rsidRDefault="004B0883">
            <w:pPr>
              <w:widowControl w:val="0"/>
              <w:adjustRightInd w:val="0"/>
              <w:snapToGrid w:val="0"/>
              <w:jc w:val="center"/>
              <w:rPr>
                <w:b/>
                <w:bCs/>
                <w:color w:val="000000"/>
                <w:kern w:val="0"/>
                <w:sz w:val="18"/>
                <w:szCs w:val="18"/>
              </w:rPr>
            </w:pPr>
            <w:r>
              <w:rPr>
                <w:b/>
                <w:bCs/>
                <w:color w:val="000000"/>
                <w:kern w:val="0"/>
                <w:sz w:val="18"/>
                <w:szCs w:val="18"/>
              </w:rPr>
              <w:t>纽威股份</w:t>
            </w:r>
          </w:p>
        </w:tc>
        <w:tc>
          <w:tcPr>
            <w:tcW w:w="954" w:type="dxa"/>
            <w:shd w:val="clear" w:color="auto" w:fill="D9D9D9"/>
            <w:tcMar>
              <w:top w:w="0" w:type="dxa"/>
              <w:bottom w:w="0" w:type="dxa"/>
            </w:tcMar>
            <w:vAlign w:val="center"/>
          </w:tcPr>
          <w:p w14:paraId="3F122C26" w14:textId="77777777" w:rsidR="004B0883" w:rsidRDefault="004B0883">
            <w:pPr>
              <w:widowControl w:val="0"/>
              <w:adjustRightInd w:val="0"/>
              <w:snapToGrid w:val="0"/>
              <w:jc w:val="center"/>
              <w:rPr>
                <w:b/>
                <w:bCs/>
                <w:color w:val="000000"/>
                <w:kern w:val="0"/>
                <w:sz w:val="18"/>
                <w:szCs w:val="18"/>
              </w:rPr>
            </w:pPr>
            <w:r>
              <w:rPr>
                <w:b/>
                <w:bCs/>
                <w:color w:val="000000"/>
                <w:kern w:val="0"/>
                <w:sz w:val="18"/>
                <w:szCs w:val="18"/>
              </w:rPr>
              <w:t>中核科技</w:t>
            </w:r>
          </w:p>
        </w:tc>
        <w:tc>
          <w:tcPr>
            <w:tcW w:w="954" w:type="dxa"/>
            <w:shd w:val="clear" w:color="auto" w:fill="D9D9D9"/>
            <w:tcMar>
              <w:top w:w="0" w:type="dxa"/>
              <w:bottom w:w="0" w:type="dxa"/>
            </w:tcMar>
            <w:vAlign w:val="center"/>
          </w:tcPr>
          <w:p w14:paraId="37348C5D" w14:textId="77777777" w:rsidR="004B0883" w:rsidRDefault="004B0883">
            <w:pPr>
              <w:widowControl w:val="0"/>
              <w:adjustRightInd w:val="0"/>
              <w:snapToGrid w:val="0"/>
              <w:jc w:val="center"/>
              <w:rPr>
                <w:rFonts w:cs="宋体"/>
                <w:b/>
                <w:bCs/>
                <w:color w:val="000000"/>
                <w:kern w:val="0"/>
                <w:sz w:val="18"/>
                <w:szCs w:val="18"/>
              </w:rPr>
            </w:pPr>
            <w:r>
              <w:rPr>
                <w:rFonts w:cs="宋体" w:hint="eastAsia"/>
                <w:b/>
                <w:bCs/>
                <w:color w:val="000000"/>
                <w:kern w:val="0"/>
                <w:sz w:val="18"/>
                <w:szCs w:val="18"/>
              </w:rPr>
              <w:t>平均值</w:t>
            </w:r>
          </w:p>
        </w:tc>
        <w:tc>
          <w:tcPr>
            <w:tcW w:w="954" w:type="dxa"/>
            <w:shd w:val="clear" w:color="auto" w:fill="D9D9D9"/>
            <w:tcMar>
              <w:top w:w="0" w:type="dxa"/>
              <w:bottom w:w="0" w:type="dxa"/>
            </w:tcMar>
            <w:vAlign w:val="center"/>
          </w:tcPr>
          <w:p w14:paraId="75F9AE76" w14:textId="77777777" w:rsidR="004B0883" w:rsidRDefault="004B0883">
            <w:pPr>
              <w:widowControl w:val="0"/>
              <w:adjustRightInd w:val="0"/>
              <w:snapToGrid w:val="0"/>
              <w:jc w:val="center"/>
              <w:rPr>
                <w:rFonts w:cs="宋体"/>
                <w:b/>
                <w:bCs/>
                <w:color w:val="000000"/>
                <w:kern w:val="0"/>
                <w:sz w:val="18"/>
                <w:szCs w:val="18"/>
              </w:rPr>
            </w:pPr>
            <w:r>
              <w:rPr>
                <w:rFonts w:cs="宋体" w:hint="eastAsia"/>
                <w:b/>
                <w:bCs/>
                <w:color w:val="000000"/>
                <w:kern w:val="0"/>
                <w:sz w:val="18"/>
                <w:szCs w:val="18"/>
              </w:rPr>
              <w:t>伟隆股份</w:t>
            </w:r>
          </w:p>
        </w:tc>
      </w:tr>
      <w:tr w:rsidR="004B0883" w14:paraId="04367078" w14:textId="77777777">
        <w:trPr>
          <w:trHeight w:val="397"/>
          <w:jc w:val="center"/>
        </w:trPr>
        <w:tc>
          <w:tcPr>
            <w:tcW w:w="1668" w:type="dxa"/>
            <w:vMerge w:val="restart"/>
            <w:tcMar>
              <w:top w:w="0" w:type="dxa"/>
              <w:bottom w:w="0" w:type="dxa"/>
            </w:tcMar>
            <w:vAlign w:val="center"/>
          </w:tcPr>
          <w:p w14:paraId="4CF38699" w14:textId="77777777" w:rsidR="004B0883" w:rsidRDefault="004B0883">
            <w:pPr>
              <w:widowControl w:val="0"/>
              <w:adjustRightInd w:val="0"/>
              <w:snapToGrid w:val="0"/>
              <w:rPr>
                <w:rFonts w:cs="宋体" w:hint="eastAsia"/>
                <w:color w:val="000000"/>
                <w:kern w:val="0"/>
                <w:sz w:val="18"/>
                <w:szCs w:val="18"/>
              </w:rPr>
            </w:pPr>
            <w:r>
              <w:rPr>
                <w:rFonts w:cs="宋体" w:hint="eastAsia"/>
                <w:color w:val="000000"/>
                <w:kern w:val="0"/>
                <w:sz w:val="18"/>
                <w:szCs w:val="18"/>
              </w:rPr>
              <w:t>流动比率（倍）</w:t>
            </w:r>
          </w:p>
        </w:tc>
        <w:tc>
          <w:tcPr>
            <w:tcW w:w="1134" w:type="dxa"/>
            <w:tcMar>
              <w:top w:w="0" w:type="dxa"/>
              <w:bottom w:w="0" w:type="dxa"/>
            </w:tcMar>
            <w:vAlign w:val="center"/>
          </w:tcPr>
          <w:p w14:paraId="357F6FA7" w14:textId="77777777" w:rsidR="004B0883" w:rsidRDefault="004B0883">
            <w:pPr>
              <w:widowControl w:val="0"/>
              <w:adjustRightInd w:val="0"/>
              <w:snapToGrid w:val="0"/>
              <w:rPr>
                <w:color w:val="000000"/>
                <w:kern w:val="0"/>
                <w:sz w:val="20"/>
                <w:szCs w:val="20"/>
              </w:rPr>
            </w:pPr>
            <w:r>
              <w:rPr>
                <w:color w:val="000000"/>
                <w:kern w:val="0"/>
                <w:sz w:val="20"/>
                <w:szCs w:val="20"/>
              </w:rPr>
              <w:t>2023.</w:t>
            </w:r>
            <w:r>
              <w:rPr>
                <w:rFonts w:hint="eastAsia"/>
                <w:color w:val="000000"/>
                <w:kern w:val="0"/>
                <w:sz w:val="20"/>
                <w:szCs w:val="20"/>
              </w:rPr>
              <w:t>9</w:t>
            </w:r>
            <w:r>
              <w:rPr>
                <w:color w:val="000000"/>
                <w:kern w:val="0"/>
                <w:sz w:val="20"/>
                <w:szCs w:val="20"/>
              </w:rPr>
              <w:t>.30</w:t>
            </w:r>
          </w:p>
        </w:tc>
        <w:tc>
          <w:tcPr>
            <w:tcW w:w="954" w:type="dxa"/>
            <w:tcMar>
              <w:top w:w="0" w:type="dxa"/>
              <w:bottom w:w="0" w:type="dxa"/>
            </w:tcMar>
            <w:vAlign w:val="center"/>
          </w:tcPr>
          <w:p w14:paraId="74EB2BDD" w14:textId="77777777" w:rsidR="004B0883" w:rsidRDefault="004B0883">
            <w:pPr>
              <w:jc w:val="right"/>
              <w:rPr>
                <w:rFonts w:eastAsia="等线"/>
                <w:color w:val="000000"/>
                <w:sz w:val="20"/>
                <w:szCs w:val="20"/>
              </w:rPr>
            </w:pPr>
            <w:r>
              <w:rPr>
                <w:rFonts w:eastAsia="等线"/>
                <w:color w:val="000000"/>
                <w:sz w:val="20"/>
                <w:szCs w:val="20"/>
              </w:rPr>
              <w:t>1.4</w:t>
            </w:r>
            <w:r>
              <w:rPr>
                <w:rFonts w:eastAsia="等线" w:hint="eastAsia"/>
                <w:color w:val="000000"/>
                <w:sz w:val="20"/>
                <w:szCs w:val="20"/>
              </w:rPr>
              <w:t>5</w:t>
            </w:r>
          </w:p>
        </w:tc>
        <w:tc>
          <w:tcPr>
            <w:tcW w:w="954" w:type="dxa"/>
            <w:tcMar>
              <w:top w:w="0" w:type="dxa"/>
              <w:bottom w:w="0" w:type="dxa"/>
            </w:tcMar>
            <w:vAlign w:val="center"/>
          </w:tcPr>
          <w:p w14:paraId="7CFEA116" w14:textId="77777777" w:rsidR="004B0883" w:rsidRDefault="004B0883">
            <w:pPr>
              <w:jc w:val="right"/>
              <w:rPr>
                <w:rFonts w:eastAsia="等线"/>
                <w:color w:val="000000"/>
                <w:sz w:val="20"/>
                <w:szCs w:val="20"/>
              </w:rPr>
            </w:pPr>
            <w:r>
              <w:rPr>
                <w:rFonts w:eastAsia="等线"/>
                <w:color w:val="000000"/>
                <w:sz w:val="20"/>
                <w:szCs w:val="20"/>
              </w:rPr>
              <w:t>3.</w:t>
            </w:r>
            <w:r>
              <w:rPr>
                <w:rFonts w:eastAsia="等线" w:hint="eastAsia"/>
                <w:color w:val="000000"/>
                <w:sz w:val="20"/>
                <w:szCs w:val="20"/>
              </w:rPr>
              <w:t>40</w:t>
            </w:r>
          </w:p>
        </w:tc>
        <w:tc>
          <w:tcPr>
            <w:tcW w:w="954" w:type="dxa"/>
            <w:tcMar>
              <w:top w:w="0" w:type="dxa"/>
              <w:bottom w:w="0" w:type="dxa"/>
            </w:tcMar>
            <w:vAlign w:val="center"/>
          </w:tcPr>
          <w:p w14:paraId="4F76C719" w14:textId="77777777" w:rsidR="004B0883" w:rsidRDefault="004B0883">
            <w:pPr>
              <w:jc w:val="right"/>
              <w:rPr>
                <w:rFonts w:eastAsia="等线"/>
                <w:color w:val="000000"/>
                <w:sz w:val="20"/>
                <w:szCs w:val="20"/>
              </w:rPr>
            </w:pPr>
            <w:r>
              <w:rPr>
                <w:rFonts w:eastAsia="等线"/>
                <w:color w:val="000000"/>
                <w:sz w:val="20"/>
                <w:szCs w:val="20"/>
              </w:rPr>
              <w:t>1.</w:t>
            </w:r>
            <w:r>
              <w:rPr>
                <w:rFonts w:eastAsia="等线" w:hint="eastAsia"/>
                <w:color w:val="000000"/>
                <w:sz w:val="20"/>
                <w:szCs w:val="20"/>
              </w:rPr>
              <w:t>51</w:t>
            </w:r>
          </w:p>
        </w:tc>
        <w:tc>
          <w:tcPr>
            <w:tcW w:w="954" w:type="dxa"/>
            <w:tcMar>
              <w:top w:w="0" w:type="dxa"/>
              <w:bottom w:w="0" w:type="dxa"/>
            </w:tcMar>
            <w:vAlign w:val="center"/>
          </w:tcPr>
          <w:p w14:paraId="1AC0D889" w14:textId="77777777" w:rsidR="004B0883" w:rsidRDefault="004B0883">
            <w:pPr>
              <w:jc w:val="right"/>
              <w:rPr>
                <w:rFonts w:eastAsia="等线"/>
                <w:color w:val="000000"/>
                <w:sz w:val="20"/>
                <w:szCs w:val="20"/>
              </w:rPr>
            </w:pPr>
            <w:r>
              <w:rPr>
                <w:rFonts w:eastAsia="等线"/>
                <w:color w:val="000000"/>
                <w:sz w:val="20"/>
                <w:szCs w:val="20"/>
              </w:rPr>
              <w:t>1.</w:t>
            </w:r>
            <w:r>
              <w:rPr>
                <w:rFonts w:eastAsia="等线" w:hint="eastAsia"/>
                <w:color w:val="000000"/>
                <w:sz w:val="20"/>
                <w:szCs w:val="20"/>
              </w:rPr>
              <w:t>74</w:t>
            </w:r>
          </w:p>
        </w:tc>
        <w:tc>
          <w:tcPr>
            <w:tcW w:w="954" w:type="dxa"/>
            <w:tcMar>
              <w:top w:w="0" w:type="dxa"/>
              <w:bottom w:w="0" w:type="dxa"/>
            </w:tcMar>
            <w:vAlign w:val="center"/>
          </w:tcPr>
          <w:p w14:paraId="733FBA10" w14:textId="77777777" w:rsidR="004B0883" w:rsidRDefault="004B0883">
            <w:pPr>
              <w:jc w:val="right"/>
              <w:rPr>
                <w:rFonts w:eastAsia="等线"/>
                <w:b/>
                <w:bCs/>
                <w:color w:val="000000"/>
                <w:sz w:val="20"/>
                <w:szCs w:val="20"/>
              </w:rPr>
            </w:pPr>
            <w:r>
              <w:rPr>
                <w:rFonts w:eastAsia="等线"/>
                <w:b/>
                <w:bCs/>
                <w:color w:val="000000"/>
                <w:sz w:val="20"/>
                <w:szCs w:val="20"/>
              </w:rPr>
              <w:t>2.0</w:t>
            </w:r>
            <w:r>
              <w:rPr>
                <w:rFonts w:eastAsia="等线" w:hint="eastAsia"/>
                <w:b/>
                <w:bCs/>
                <w:color w:val="000000"/>
                <w:sz w:val="20"/>
                <w:szCs w:val="20"/>
              </w:rPr>
              <w:t>3</w:t>
            </w:r>
          </w:p>
        </w:tc>
        <w:tc>
          <w:tcPr>
            <w:tcW w:w="954" w:type="dxa"/>
            <w:tcMar>
              <w:top w:w="0" w:type="dxa"/>
              <w:bottom w:w="0" w:type="dxa"/>
            </w:tcMar>
            <w:vAlign w:val="center"/>
          </w:tcPr>
          <w:p w14:paraId="6ED1DDCA" w14:textId="77777777" w:rsidR="004B0883" w:rsidRDefault="004B0883">
            <w:pPr>
              <w:jc w:val="right"/>
              <w:rPr>
                <w:rFonts w:eastAsia="等线"/>
                <w:b/>
                <w:bCs/>
                <w:color w:val="000000"/>
                <w:kern w:val="0"/>
                <w:sz w:val="20"/>
                <w:szCs w:val="20"/>
              </w:rPr>
            </w:pPr>
            <w:r>
              <w:rPr>
                <w:rFonts w:eastAsia="等线" w:hint="eastAsia"/>
                <w:b/>
                <w:bCs/>
                <w:color w:val="000000"/>
                <w:sz w:val="20"/>
                <w:szCs w:val="20"/>
              </w:rPr>
              <w:t>4.09</w:t>
            </w:r>
          </w:p>
        </w:tc>
      </w:tr>
      <w:tr w:rsidR="004B0883" w14:paraId="6192D2C0" w14:textId="77777777">
        <w:trPr>
          <w:trHeight w:val="397"/>
          <w:jc w:val="center"/>
        </w:trPr>
        <w:tc>
          <w:tcPr>
            <w:tcW w:w="1668" w:type="dxa"/>
            <w:vMerge/>
            <w:tcMar>
              <w:top w:w="0" w:type="dxa"/>
              <w:bottom w:w="0" w:type="dxa"/>
            </w:tcMar>
            <w:vAlign w:val="center"/>
          </w:tcPr>
          <w:p w14:paraId="3785563B" w14:textId="77777777" w:rsidR="004B0883" w:rsidRDefault="004B0883">
            <w:pPr>
              <w:widowControl w:val="0"/>
              <w:adjustRightInd w:val="0"/>
              <w:snapToGrid w:val="0"/>
              <w:rPr>
                <w:rFonts w:cs="宋体"/>
                <w:color w:val="000000"/>
                <w:kern w:val="0"/>
                <w:sz w:val="18"/>
                <w:szCs w:val="18"/>
              </w:rPr>
            </w:pPr>
          </w:p>
        </w:tc>
        <w:tc>
          <w:tcPr>
            <w:tcW w:w="1134" w:type="dxa"/>
            <w:tcMar>
              <w:top w:w="0" w:type="dxa"/>
              <w:bottom w:w="0" w:type="dxa"/>
            </w:tcMar>
            <w:vAlign w:val="center"/>
          </w:tcPr>
          <w:p w14:paraId="1149D679" w14:textId="77777777" w:rsidR="004B0883" w:rsidRDefault="004B0883">
            <w:pPr>
              <w:widowControl w:val="0"/>
              <w:adjustRightInd w:val="0"/>
              <w:snapToGrid w:val="0"/>
              <w:rPr>
                <w:color w:val="000000"/>
                <w:kern w:val="0"/>
                <w:sz w:val="20"/>
                <w:szCs w:val="20"/>
              </w:rPr>
            </w:pPr>
            <w:r>
              <w:rPr>
                <w:color w:val="000000"/>
                <w:kern w:val="0"/>
                <w:sz w:val="20"/>
                <w:szCs w:val="20"/>
              </w:rPr>
              <w:t>2022.12.31</w:t>
            </w:r>
          </w:p>
        </w:tc>
        <w:tc>
          <w:tcPr>
            <w:tcW w:w="954" w:type="dxa"/>
            <w:tcMar>
              <w:top w:w="0" w:type="dxa"/>
              <w:bottom w:w="0" w:type="dxa"/>
            </w:tcMar>
            <w:vAlign w:val="center"/>
          </w:tcPr>
          <w:p w14:paraId="58B5ACE8" w14:textId="77777777" w:rsidR="004B0883" w:rsidRDefault="004B0883">
            <w:pPr>
              <w:jc w:val="right"/>
              <w:rPr>
                <w:rFonts w:eastAsia="等线"/>
                <w:color w:val="000000"/>
                <w:sz w:val="20"/>
                <w:szCs w:val="20"/>
              </w:rPr>
            </w:pPr>
            <w:r>
              <w:rPr>
                <w:rFonts w:eastAsia="等线"/>
                <w:color w:val="000000"/>
                <w:sz w:val="20"/>
                <w:szCs w:val="20"/>
              </w:rPr>
              <w:t>1.54</w:t>
            </w:r>
          </w:p>
        </w:tc>
        <w:tc>
          <w:tcPr>
            <w:tcW w:w="954" w:type="dxa"/>
            <w:tcMar>
              <w:top w:w="0" w:type="dxa"/>
              <w:bottom w:w="0" w:type="dxa"/>
            </w:tcMar>
            <w:vAlign w:val="center"/>
          </w:tcPr>
          <w:p w14:paraId="4CB72F06" w14:textId="77777777" w:rsidR="004B0883" w:rsidRDefault="004B0883">
            <w:pPr>
              <w:jc w:val="right"/>
              <w:rPr>
                <w:rFonts w:eastAsia="等线"/>
                <w:color w:val="000000"/>
                <w:sz w:val="20"/>
                <w:szCs w:val="20"/>
              </w:rPr>
            </w:pPr>
            <w:r>
              <w:rPr>
                <w:rFonts w:eastAsia="等线"/>
                <w:color w:val="000000"/>
                <w:sz w:val="20"/>
                <w:szCs w:val="20"/>
              </w:rPr>
              <w:t>3.69</w:t>
            </w:r>
          </w:p>
        </w:tc>
        <w:tc>
          <w:tcPr>
            <w:tcW w:w="954" w:type="dxa"/>
            <w:tcMar>
              <w:top w:w="0" w:type="dxa"/>
              <w:bottom w:w="0" w:type="dxa"/>
            </w:tcMar>
            <w:vAlign w:val="center"/>
          </w:tcPr>
          <w:p w14:paraId="2A93E4DA" w14:textId="77777777" w:rsidR="004B0883" w:rsidRDefault="004B0883">
            <w:pPr>
              <w:jc w:val="right"/>
              <w:rPr>
                <w:rFonts w:eastAsia="等线"/>
                <w:color w:val="000000"/>
                <w:sz w:val="20"/>
                <w:szCs w:val="20"/>
              </w:rPr>
            </w:pPr>
            <w:r>
              <w:rPr>
                <w:rFonts w:eastAsia="等线"/>
                <w:color w:val="000000"/>
                <w:sz w:val="20"/>
                <w:szCs w:val="20"/>
              </w:rPr>
              <w:t>1.46</w:t>
            </w:r>
          </w:p>
        </w:tc>
        <w:tc>
          <w:tcPr>
            <w:tcW w:w="954" w:type="dxa"/>
            <w:tcMar>
              <w:top w:w="0" w:type="dxa"/>
              <w:bottom w:w="0" w:type="dxa"/>
            </w:tcMar>
            <w:vAlign w:val="center"/>
          </w:tcPr>
          <w:p w14:paraId="06BF59B6" w14:textId="77777777" w:rsidR="004B0883" w:rsidRDefault="004B0883">
            <w:pPr>
              <w:jc w:val="right"/>
              <w:rPr>
                <w:rFonts w:eastAsia="等线"/>
                <w:color w:val="000000"/>
                <w:sz w:val="20"/>
                <w:szCs w:val="20"/>
              </w:rPr>
            </w:pPr>
            <w:r>
              <w:rPr>
                <w:rFonts w:eastAsia="等线"/>
                <w:color w:val="000000"/>
                <w:sz w:val="20"/>
                <w:szCs w:val="20"/>
              </w:rPr>
              <w:t>1.71</w:t>
            </w:r>
          </w:p>
        </w:tc>
        <w:tc>
          <w:tcPr>
            <w:tcW w:w="954" w:type="dxa"/>
            <w:tcMar>
              <w:top w:w="0" w:type="dxa"/>
              <w:bottom w:w="0" w:type="dxa"/>
            </w:tcMar>
            <w:vAlign w:val="center"/>
          </w:tcPr>
          <w:p w14:paraId="75E15EC6" w14:textId="77777777" w:rsidR="004B0883" w:rsidRDefault="004B0883">
            <w:pPr>
              <w:jc w:val="right"/>
              <w:rPr>
                <w:rFonts w:eastAsia="等线"/>
                <w:b/>
                <w:bCs/>
                <w:color w:val="000000"/>
                <w:sz w:val="20"/>
                <w:szCs w:val="20"/>
              </w:rPr>
            </w:pPr>
            <w:r>
              <w:rPr>
                <w:rFonts w:eastAsia="等线"/>
                <w:b/>
                <w:bCs/>
                <w:color w:val="000000"/>
                <w:sz w:val="20"/>
                <w:szCs w:val="20"/>
              </w:rPr>
              <w:t xml:space="preserve">2.10 </w:t>
            </w:r>
          </w:p>
        </w:tc>
        <w:tc>
          <w:tcPr>
            <w:tcW w:w="954" w:type="dxa"/>
            <w:tcMar>
              <w:top w:w="0" w:type="dxa"/>
              <w:bottom w:w="0" w:type="dxa"/>
            </w:tcMar>
            <w:vAlign w:val="center"/>
          </w:tcPr>
          <w:p w14:paraId="61FDD2F4" w14:textId="77777777" w:rsidR="004B0883" w:rsidRDefault="004B0883">
            <w:pPr>
              <w:jc w:val="right"/>
              <w:rPr>
                <w:rFonts w:eastAsia="等线"/>
                <w:b/>
                <w:bCs/>
                <w:color w:val="000000"/>
                <w:sz w:val="20"/>
                <w:szCs w:val="20"/>
              </w:rPr>
            </w:pPr>
            <w:r>
              <w:rPr>
                <w:rFonts w:eastAsia="等线"/>
                <w:b/>
                <w:bCs/>
                <w:color w:val="000000"/>
                <w:sz w:val="20"/>
                <w:szCs w:val="20"/>
              </w:rPr>
              <w:t>3.29</w:t>
            </w:r>
          </w:p>
        </w:tc>
      </w:tr>
      <w:tr w:rsidR="004B0883" w14:paraId="05512CCE" w14:textId="77777777">
        <w:trPr>
          <w:trHeight w:val="397"/>
          <w:jc w:val="center"/>
        </w:trPr>
        <w:tc>
          <w:tcPr>
            <w:tcW w:w="1668" w:type="dxa"/>
            <w:vMerge/>
            <w:tcMar>
              <w:top w:w="0" w:type="dxa"/>
              <w:bottom w:w="0" w:type="dxa"/>
            </w:tcMar>
            <w:vAlign w:val="center"/>
          </w:tcPr>
          <w:p w14:paraId="58ABF01B" w14:textId="77777777" w:rsidR="004B0883" w:rsidRDefault="004B0883">
            <w:pPr>
              <w:widowControl w:val="0"/>
              <w:adjustRightInd w:val="0"/>
              <w:snapToGrid w:val="0"/>
              <w:rPr>
                <w:rFonts w:cs="宋体"/>
                <w:color w:val="000000"/>
                <w:kern w:val="0"/>
                <w:sz w:val="18"/>
                <w:szCs w:val="18"/>
              </w:rPr>
            </w:pPr>
          </w:p>
        </w:tc>
        <w:tc>
          <w:tcPr>
            <w:tcW w:w="1134" w:type="dxa"/>
            <w:tcMar>
              <w:top w:w="0" w:type="dxa"/>
              <w:bottom w:w="0" w:type="dxa"/>
            </w:tcMar>
            <w:vAlign w:val="center"/>
          </w:tcPr>
          <w:p w14:paraId="57272C46" w14:textId="77777777" w:rsidR="004B0883" w:rsidRDefault="004B0883">
            <w:pPr>
              <w:widowControl w:val="0"/>
              <w:adjustRightInd w:val="0"/>
              <w:snapToGrid w:val="0"/>
              <w:rPr>
                <w:color w:val="000000"/>
                <w:kern w:val="0"/>
                <w:sz w:val="20"/>
                <w:szCs w:val="20"/>
              </w:rPr>
            </w:pPr>
            <w:r>
              <w:rPr>
                <w:color w:val="000000"/>
                <w:kern w:val="0"/>
                <w:sz w:val="20"/>
                <w:szCs w:val="20"/>
              </w:rPr>
              <w:t>2021.12.31</w:t>
            </w:r>
          </w:p>
        </w:tc>
        <w:tc>
          <w:tcPr>
            <w:tcW w:w="954" w:type="dxa"/>
            <w:tcMar>
              <w:top w:w="0" w:type="dxa"/>
              <w:bottom w:w="0" w:type="dxa"/>
            </w:tcMar>
            <w:vAlign w:val="center"/>
          </w:tcPr>
          <w:p w14:paraId="14DA6BEC" w14:textId="77777777" w:rsidR="004B0883" w:rsidRDefault="004B0883">
            <w:pPr>
              <w:jc w:val="right"/>
              <w:rPr>
                <w:rFonts w:eastAsia="等线"/>
                <w:color w:val="000000"/>
                <w:sz w:val="20"/>
                <w:szCs w:val="20"/>
              </w:rPr>
            </w:pPr>
            <w:r>
              <w:rPr>
                <w:rFonts w:eastAsia="等线"/>
                <w:color w:val="000000"/>
                <w:sz w:val="20"/>
                <w:szCs w:val="20"/>
              </w:rPr>
              <w:t>1.47</w:t>
            </w:r>
          </w:p>
        </w:tc>
        <w:tc>
          <w:tcPr>
            <w:tcW w:w="954" w:type="dxa"/>
            <w:tcMar>
              <w:top w:w="0" w:type="dxa"/>
              <w:bottom w:w="0" w:type="dxa"/>
            </w:tcMar>
            <w:vAlign w:val="center"/>
          </w:tcPr>
          <w:p w14:paraId="1A6B0531" w14:textId="77777777" w:rsidR="004B0883" w:rsidRDefault="004B0883">
            <w:pPr>
              <w:jc w:val="right"/>
              <w:rPr>
                <w:rFonts w:eastAsia="等线"/>
                <w:color w:val="000000"/>
                <w:sz w:val="20"/>
                <w:szCs w:val="20"/>
              </w:rPr>
            </w:pPr>
            <w:r>
              <w:rPr>
                <w:rFonts w:eastAsia="等线"/>
                <w:color w:val="000000"/>
                <w:sz w:val="20"/>
                <w:szCs w:val="20"/>
              </w:rPr>
              <w:t>2.01</w:t>
            </w:r>
          </w:p>
        </w:tc>
        <w:tc>
          <w:tcPr>
            <w:tcW w:w="954" w:type="dxa"/>
            <w:tcMar>
              <w:top w:w="0" w:type="dxa"/>
              <w:bottom w:w="0" w:type="dxa"/>
            </w:tcMar>
            <w:vAlign w:val="center"/>
          </w:tcPr>
          <w:p w14:paraId="16B2F515" w14:textId="77777777" w:rsidR="004B0883" w:rsidRDefault="004B0883">
            <w:pPr>
              <w:jc w:val="right"/>
              <w:rPr>
                <w:rFonts w:eastAsia="等线"/>
                <w:color w:val="000000"/>
                <w:sz w:val="20"/>
                <w:szCs w:val="20"/>
              </w:rPr>
            </w:pPr>
            <w:r>
              <w:rPr>
                <w:rFonts w:eastAsia="等线"/>
                <w:color w:val="000000"/>
                <w:sz w:val="20"/>
                <w:szCs w:val="20"/>
              </w:rPr>
              <w:t>1.46</w:t>
            </w:r>
          </w:p>
        </w:tc>
        <w:tc>
          <w:tcPr>
            <w:tcW w:w="954" w:type="dxa"/>
            <w:tcMar>
              <w:top w:w="0" w:type="dxa"/>
              <w:bottom w:w="0" w:type="dxa"/>
            </w:tcMar>
            <w:vAlign w:val="center"/>
          </w:tcPr>
          <w:p w14:paraId="6A70D6A8" w14:textId="77777777" w:rsidR="004B0883" w:rsidRDefault="004B0883">
            <w:pPr>
              <w:jc w:val="right"/>
              <w:rPr>
                <w:rFonts w:eastAsia="等线"/>
                <w:color w:val="000000"/>
                <w:sz w:val="20"/>
                <w:szCs w:val="20"/>
              </w:rPr>
            </w:pPr>
            <w:r>
              <w:rPr>
                <w:rFonts w:eastAsia="等线"/>
                <w:color w:val="000000"/>
                <w:sz w:val="20"/>
                <w:szCs w:val="20"/>
              </w:rPr>
              <w:t>1.58</w:t>
            </w:r>
          </w:p>
        </w:tc>
        <w:tc>
          <w:tcPr>
            <w:tcW w:w="954" w:type="dxa"/>
            <w:tcMar>
              <w:top w:w="0" w:type="dxa"/>
              <w:bottom w:w="0" w:type="dxa"/>
            </w:tcMar>
            <w:vAlign w:val="center"/>
          </w:tcPr>
          <w:p w14:paraId="05E7D56F" w14:textId="77777777" w:rsidR="004B0883" w:rsidRDefault="004B0883">
            <w:pPr>
              <w:jc w:val="right"/>
              <w:rPr>
                <w:rFonts w:eastAsia="等线"/>
                <w:b/>
                <w:bCs/>
                <w:color w:val="000000"/>
                <w:sz w:val="20"/>
                <w:szCs w:val="20"/>
              </w:rPr>
            </w:pPr>
            <w:r>
              <w:rPr>
                <w:rFonts w:eastAsia="等线"/>
                <w:b/>
                <w:bCs/>
                <w:color w:val="000000"/>
                <w:sz w:val="20"/>
                <w:szCs w:val="20"/>
              </w:rPr>
              <w:t xml:space="preserve">1.63 </w:t>
            </w:r>
          </w:p>
        </w:tc>
        <w:tc>
          <w:tcPr>
            <w:tcW w:w="954" w:type="dxa"/>
            <w:tcMar>
              <w:top w:w="0" w:type="dxa"/>
              <w:bottom w:w="0" w:type="dxa"/>
            </w:tcMar>
            <w:vAlign w:val="center"/>
          </w:tcPr>
          <w:p w14:paraId="29F3B41B" w14:textId="77777777" w:rsidR="004B0883" w:rsidRDefault="004B0883">
            <w:pPr>
              <w:jc w:val="right"/>
              <w:rPr>
                <w:rFonts w:eastAsia="等线"/>
                <w:b/>
                <w:bCs/>
                <w:color w:val="000000"/>
                <w:sz w:val="20"/>
                <w:szCs w:val="20"/>
              </w:rPr>
            </w:pPr>
            <w:r>
              <w:rPr>
                <w:rFonts w:eastAsia="等线"/>
                <w:b/>
                <w:bCs/>
                <w:color w:val="000000"/>
                <w:sz w:val="20"/>
                <w:szCs w:val="20"/>
              </w:rPr>
              <w:t>2.53</w:t>
            </w:r>
          </w:p>
        </w:tc>
      </w:tr>
      <w:tr w:rsidR="004B0883" w14:paraId="06DF0670" w14:textId="77777777">
        <w:trPr>
          <w:trHeight w:val="397"/>
          <w:jc w:val="center"/>
        </w:trPr>
        <w:tc>
          <w:tcPr>
            <w:tcW w:w="1668" w:type="dxa"/>
            <w:vMerge/>
            <w:tcMar>
              <w:top w:w="0" w:type="dxa"/>
              <w:bottom w:w="0" w:type="dxa"/>
            </w:tcMar>
            <w:vAlign w:val="center"/>
          </w:tcPr>
          <w:p w14:paraId="163088C5" w14:textId="77777777" w:rsidR="004B0883" w:rsidRDefault="004B0883">
            <w:pPr>
              <w:widowControl w:val="0"/>
              <w:adjustRightInd w:val="0"/>
              <w:snapToGrid w:val="0"/>
              <w:rPr>
                <w:rFonts w:cs="宋体"/>
                <w:color w:val="000000"/>
                <w:kern w:val="0"/>
                <w:sz w:val="18"/>
                <w:szCs w:val="18"/>
              </w:rPr>
            </w:pPr>
          </w:p>
        </w:tc>
        <w:tc>
          <w:tcPr>
            <w:tcW w:w="1134" w:type="dxa"/>
            <w:tcMar>
              <w:top w:w="0" w:type="dxa"/>
              <w:bottom w:w="0" w:type="dxa"/>
            </w:tcMar>
            <w:vAlign w:val="center"/>
          </w:tcPr>
          <w:p w14:paraId="5EFBAE4E" w14:textId="77777777" w:rsidR="004B0883" w:rsidRDefault="004B0883">
            <w:pPr>
              <w:widowControl w:val="0"/>
              <w:adjustRightInd w:val="0"/>
              <w:snapToGrid w:val="0"/>
              <w:rPr>
                <w:color w:val="000000"/>
                <w:kern w:val="0"/>
                <w:sz w:val="20"/>
                <w:szCs w:val="20"/>
              </w:rPr>
            </w:pPr>
            <w:r>
              <w:rPr>
                <w:color w:val="000000"/>
                <w:kern w:val="0"/>
                <w:sz w:val="20"/>
                <w:szCs w:val="20"/>
              </w:rPr>
              <w:t>2020.12.31</w:t>
            </w:r>
          </w:p>
        </w:tc>
        <w:tc>
          <w:tcPr>
            <w:tcW w:w="954" w:type="dxa"/>
            <w:tcMar>
              <w:top w:w="0" w:type="dxa"/>
              <w:bottom w:w="0" w:type="dxa"/>
            </w:tcMar>
            <w:vAlign w:val="center"/>
          </w:tcPr>
          <w:p w14:paraId="785ABDC6" w14:textId="77777777" w:rsidR="004B0883" w:rsidRDefault="004B0883">
            <w:pPr>
              <w:jc w:val="right"/>
              <w:rPr>
                <w:rFonts w:eastAsia="等线"/>
                <w:color w:val="000000"/>
                <w:sz w:val="20"/>
                <w:szCs w:val="20"/>
              </w:rPr>
            </w:pPr>
            <w:r>
              <w:rPr>
                <w:rFonts w:eastAsia="等线"/>
                <w:color w:val="000000"/>
                <w:sz w:val="20"/>
                <w:szCs w:val="20"/>
              </w:rPr>
              <w:t>1.80</w:t>
            </w:r>
          </w:p>
        </w:tc>
        <w:tc>
          <w:tcPr>
            <w:tcW w:w="954" w:type="dxa"/>
            <w:tcMar>
              <w:top w:w="0" w:type="dxa"/>
              <w:bottom w:w="0" w:type="dxa"/>
            </w:tcMar>
            <w:vAlign w:val="center"/>
          </w:tcPr>
          <w:p w14:paraId="4C2F5428" w14:textId="77777777" w:rsidR="004B0883" w:rsidRDefault="004B0883">
            <w:pPr>
              <w:jc w:val="right"/>
              <w:rPr>
                <w:rFonts w:eastAsia="等线"/>
                <w:color w:val="000000"/>
                <w:sz w:val="20"/>
                <w:szCs w:val="20"/>
              </w:rPr>
            </w:pPr>
            <w:r>
              <w:rPr>
                <w:rFonts w:eastAsia="等线"/>
                <w:color w:val="000000"/>
                <w:sz w:val="20"/>
                <w:szCs w:val="20"/>
              </w:rPr>
              <w:t>1.72</w:t>
            </w:r>
          </w:p>
        </w:tc>
        <w:tc>
          <w:tcPr>
            <w:tcW w:w="954" w:type="dxa"/>
            <w:tcMar>
              <w:top w:w="0" w:type="dxa"/>
              <w:bottom w:w="0" w:type="dxa"/>
            </w:tcMar>
            <w:vAlign w:val="center"/>
          </w:tcPr>
          <w:p w14:paraId="4EBC6CDB" w14:textId="77777777" w:rsidR="004B0883" w:rsidRDefault="004B0883">
            <w:pPr>
              <w:jc w:val="right"/>
              <w:rPr>
                <w:rFonts w:eastAsia="等线"/>
                <w:color w:val="000000"/>
                <w:sz w:val="20"/>
                <w:szCs w:val="20"/>
              </w:rPr>
            </w:pPr>
            <w:r>
              <w:rPr>
                <w:rFonts w:eastAsia="等线"/>
                <w:color w:val="000000"/>
                <w:sz w:val="20"/>
                <w:szCs w:val="20"/>
              </w:rPr>
              <w:t>1.59</w:t>
            </w:r>
          </w:p>
        </w:tc>
        <w:tc>
          <w:tcPr>
            <w:tcW w:w="954" w:type="dxa"/>
            <w:tcMar>
              <w:top w:w="0" w:type="dxa"/>
              <w:bottom w:w="0" w:type="dxa"/>
            </w:tcMar>
            <w:vAlign w:val="center"/>
          </w:tcPr>
          <w:p w14:paraId="2DA8DDBC" w14:textId="77777777" w:rsidR="004B0883" w:rsidRDefault="004B0883">
            <w:pPr>
              <w:jc w:val="right"/>
              <w:rPr>
                <w:rFonts w:eastAsia="等线"/>
                <w:color w:val="000000"/>
                <w:sz w:val="20"/>
                <w:szCs w:val="20"/>
              </w:rPr>
            </w:pPr>
            <w:r>
              <w:rPr>
                <w:rFonts w:eastAsia="等线"/>
                <w:color w:val="000000"/>
                <w:sz w:val="20"/>
                <w:szCs w:val="20"/>
              </w:rPr>
              <w:t>1.77</w:t>
            </w:r>
          </w:p>
        </w:tc>
        <w:tc>
          <w:tcPr>
            <w:tcW w:w="954" w:type="dxa"/>
            <w:tcMar>
              <w:top w:w="0" w:type="dxa"/>
              <w:bottom w:w="0" w:type="dxa"/>
            </w:tcMar>
            <w:vAlign w:val="center"/>
          </w:tcPr>
          <w:p w14:paraId="424F3669" w14:textId="77777777" w:rsidR="004B0883" w:rsidRDefault="004B0883">
            <w:pPr>
              <w:jc w:val="right"/>
              <w:rPr>
                <w:rFonts w:eastAsia="等线"/>
                <w:b/>
                <w:bCs/>
                <w:color w:val="000000"/>
                <w:sz w:val="20"/>
                <w:szCs w:val="20"/>
              </w:rPr>
            </w:pPr>
            <w:r>
              <w:rPr>
                <w:rFonts w:eastAsia="等线"/>
                <w:b/>
                <w:bCs/>
                <w:color w:val="000000"/>
                <w:sz w:val="20"/>
                <w:szCs w:val="20"/>
              </w:rPr>
              <w:t xml:space="preserve">1.72 </w:t>
            </w:r>
          </w:p>
        </w:tc>
        <w:tc>
          <w:tcPr>
            <w:tcW w:w="954" w:type="dxa"/>
            <w:tcMar>
              <w:top w:w="0" w:type="dxa"/>
              <w:bottom w:w="0" w:type="dxa"/>
            </w:tcMar>
            <w:vAlign w:val="center"/>
          </w:tcPr>
          <w:p w14:paraId="73E72E10" w14:textId="77777777" w:rsidR="004B0883" w:rsidRDefault="004B0883">
            <w:pPr>
              <w:jc w:val="right"/>
              <w:rPr>
                <w:rFonts w:eastAsia="等线"/>
                <w:b/>
                <w:bCs/>
                <w:color w:val="000000"/>
                <w:sz w:val="20"/>
                <w:szCs w:val="20"/>
              </w:rPr>
            </w:pPr>
            <w:r>
              <w:rPr>
                <w:rFonts w:eastAsia="等线"/>
                <w:b/>
                <w:bCs/>
                <w:color w:val="000000"/>
                <w:sz w:val="20"/>
                <w:szCs w:val="20"/>
              </w:rPr>
              <w:t>2.90</w:t>
            </w:r>
          </w:p>
        </w:tc>
      </w:tr>
      <w:tr w:rsidR="004B0883" w14:paraId="61408FC9" w14:textId="77777777">
        <w:trPr>
          <w:trHeight w:val="397"/>
          <w:jc w:val="center"/>
        </w:trPr>
        <w:tc>
          <w:tcPr>
            <w:tcW w:w="1668" w:type="dxa"/>
            <w:vMerge w:val="restart"/>
            <w:tcMar>
              <w:top w:w="0" w:type="dxa"/>
              <w:bottom w:w="0" w:type="dxa"/>
            </w:tcMar>
            <w:vAlign w:val="center"/>
          </w:tcPr>
          <w:p w14:paraId="3506BC72" w14:textId="77777777" w:rsidR="004B0883" w:rsidRDefault="004B0883">
            <w:pPr>
              <w:widowControl w:val="0"/>
              <w:adjustRightInd w:val="0"/>
              <w:snapToGrid w:val="0"/>
              <w:rPr>
                <w:rFonts w:cs="宋体" w:hint="eastAsia"/>
                <w:color w:val="000000"/>
                <w:kern w:val="0"/>
                <w:sz w:val="18"/>
                <w:szCs w:val="18"/>
              </w:rPr>
            </w:pPr>
            <w:r>
              <w:rPr>
                <w:rFonts w:cs="宋体" w:hint="eastAsia"/>
                <w:color w:val="000000"/>
                <w:kern w:val="0"/>
                <w:sz w:val="18"/>
                <w:szCs w:val="18"/>
              </w:rPr>
              <w:t>速动比率（倍）</w:t>
            </w:r>
          </w:p>
        </w:tc>
        <w:tc>
          <w:tcPr>
            <w:tcW w:w="1134" w:type="dxa"/>
            <w:tcMar>
              <w:top w:w="0" w:type="dxa"/>
              <w:bottom w:w="0" w:type="dxa"/>
            </w:tcMar>
            <w:vAlign w:val="center"/>
          </w:tcPr>
          <w:p w14:paraId="5E783F5F" w14:textId="77777777" w:rsidR="004B0883" w:rsidRDefault="004B0883">
            <w:pPr>
              <w:widowControl w:val="0"/>
              <w:adjustRightInd w:val="0"/>
              <w:snapToGrid w:val="0"/>
              <w:rPr>
                <w:color w:val="000000"/>
                <w:kern w:val="0"/>
                <w:sz w:val="20"/>
                <w:szCs w:val="20"/>
              </w:rPr>
            </w:pPr>
            <w:r>
              <w:rPr>
                <w:color w:val="000000"/>
                <w:kern w:val="0"/>
                <w:sz w:val="20"/>
                <w:szCs w:val="20"/>
              </w:rPr>
              <w:t>2023.</w:t>
            </w:r>
            <w:r>
              <w:rPr>
                <w:rFonts w:hint="eastAsia"/>
                <w:color w:val="000000"/>
                <w:kern w:val="0"/>
                <w:sz w:val="20"/>
                <w:szCs w:val="20"/>
              </w:rPr>
              <w:t>9</w:t>
            </w:r>
            <w:r>
              <w:rPr>
                <w:color w:val="000000"/>
                <w:kern w:val="0"/>
                <w:sz w:val="20"/>
                <w:szCs w:val="20"/>
              </w:rPr>
              <w:t>.30</w:t>
            </w:r>
          </w:p>
        </w:tc>
        <w:tc>
          <w:tcPr>
            <w:tcW w:w="954" w:type="dxa"/>
            <w:tcMar>
              <w:top w:w="0" w:type="dxa"/>
              <w:bottom w:w="0" w:type="dxa"/>
            </w:tcMar>
            <w:vAlign w:val="center"/>
          </w:tcPr>
          <w:p w14:paraId="4624172C" w14:textId="77777777" w:rsidR="004B0883" w:rsidRDefault="004B0883">
            <w:pPr>
              <w:jc w:val="right"/>
              <w:rPr>
                <w:sz w:val="20"/>
                <w:szCs w:val="20"/>
              </w:rPr>
            </w:pPr>
            <w:r>
              <w:rPr>
                <w:sz w:val="20"/>
                <w:szCs w:val="20"/>
              </w:rPr>
              <w:t>1.0</w:t>
            </w:r>
            <w:r>
              <w:rPr>
                <w:rFonts w:hint="eastAsia"/>
                <w:sz w:val="20"/>
                <w:szCs w:val="20"/>
              </w:rPr>
              <w:t>2</w:t>
            </w:r>
          </w:p>
        </w:tc>
        <w:tc>
          <w:tcPr>
            <w:tcW w:w="954" w:type="dxa"/>
            <w:tcMar>
              <w:top w:w="0" w:type="dxa"/>
              <w:bottom w:w="0" w:type="dxa"/>
            </w:tcMar>
            <w:vAlign w:val="center"/>
          </w:tcPr>
          <w:p w14:paraId="7199CFE5" w14:textId="77777777" w:rsidR="004B0883" w:rsidRDefault="004B0883">
            <w:pPr>
              <w:jc w:val="right"/>
              <w:rPr>
                <w:sz w:val="20"/>
                <w:szCs w:val="20"/>
              </w:rPr>
            </w:pPr>
            <w:r>
              <w:rPr>
                <w:rFonts w:hint="eastAsia"/>
                <w:sz w:val="20"/>
                <w:szCs w:val="20"/>
              </w:rPr>
              <w:t>2.86</w:t>
            </w:r>
          </w:p>
        </w:tc>
        <w:tc>
          <w:tcPr>
            <w:tcW w:w="954" w:type="dxa"/>
            <w:tcMar>
              <w:top w:w="0" w:type="dxa"/>
              <w:bottom w:w="0" w:type="dxa"/>
            </w:tcMar>
            <w:vAlign w:val="center"/>
          </w:tcPr>
          <w:p w14:paraId="34C96706" w14:textId="77777777" w:rsidR="004B0883" w:rsidRDefault="004B0883">
            <w:pPr>
              <w:jc w:val="right"/>
              <w:rPr>
                <w:sz w:val="20"/>
                <w:szCs w:val="20"/>
              </w:rPr>
            </w:pPr>
            <w:r>
              <w:rPr>
                <w:sz w:val="20"/>
                <w:szCs w:val="20"/>
              </w:rPr>
              <w:t>0.</w:t>
            </w:r>
            <w:r>
              <w:rPr>
                <w:rFonts w:hint="eastAsia"/>
                <w:sz w:val="20"/>
                <w:szCs w:val="20"/>
              </w:rPr>
              <w:t>94</w:t>
            </w:r>
          </w:p>
        </w:tc>
        <w:tc>
          <w:tcPr>
            <w:tcW w:w="954" w:type="dxa"/>
            <w:tcMar>
              <w:top w:w="0" w:type="dxa"/>
              <w:bottom w:w="0" w:type="dxa"/>
            </w:tcMar>
            <w:vAlign w:val="center"/>
          </w:tcPr>
          <w:p w14:paraId="2D821B23" w14:textId="77777777" w:rsidR="004B0883" w:rsidRDefault="004B0883">
            <w:pPr>
              <w:jc w:val="right"/>
              <w:rPr>
                <w:sz w:val="20"/>
                <w:szCs w:val="20"/>
              </w:rPr>
            </w:pPr>
            <w:r>
              <w:rPr>
                <w:sz w:val="20"/>
                <w:szCs w:val="20"/>
              </w:rPr>
              <w:t>1.</w:t>
            </w:r>
            <w:r>
              <w:rPr>
                <w:rFonts w:hint="eastAsia"/>
                <w:sz w:val="20"/>
                <w:szCs w:val="20"/>
              </w:rPr>
              <w:t>29</w:t>
            </w:r>
          </w:p>
        </w:tc>
        <w:tc>
          <w:tcPr>
            <w:tcW w:w="954" w:type="dxa"/>
            <w:tcMar>
              <w:top w:w="0" w:type="dxa"/>
              <w:bottom w:w="0" w:type="dxa"/>
            </w:tcMar>
            <w:vAlign w:val="center"/>
          </w:tcPr>
          <w:p w14:paraId="7357CBE7" w14:textId="77777777" w:rsidR="004B0883" w:rsidRDefault="004B0883">
            <w:pPr>
              <w:jc w:val="right"/>
              <w:rPr>
                <w:rFonts w:eastAsia="等线"/>
                <w:b/>
                <w:bCs/>
                <w:color w:val="000000"/>
                <w:sz w:val="20"/>
                <w:szCs w:val="20"/>
              </w:rPr>
            </w:pPr>
            <w:r>
              <w:rPr>
                <w:rFonts w:eastAsia="等线"/>
                <w:b/>
                <w:bCs/>
                <w:color w:val="000000"/>
                <w:sz w:val="20"/>
                <w:szCs w:val="20"/>
              </w:rPr>
              <w:t>1.5</w:t>
            </w:r>
            <w:r>
              <w:rPr>
                <w:rFonts w:eastAsia="等线" w:hint="eastAsia"/>
                <w:b/>
                <w:bCs/>
                <w:color w:val="000000"/>
                <w:sz w:val="20"/>
                <w:szCs w:val="20"/>
              </w:rPr>
              <w:t>3</w:t>
            </w:r>
          </w:p>
        </w:tc>
        <w:tc>
          <w:tcPr>
            <w:tcW w:w="954" w:type="dxa"/>
            <w:tcMar>
              <w:top w:w="0" w:type="dxa"/>
              <w:bottom w:w="0" w:type="dxa"/>
            </w:tcMar>
            <w:vAlign w:val="center"/>
          </w:tcPr>
          <w:p w14:paraId="0A3653FC" w14:textId="77777777" w:rsidR="004B0883" w:rsidRDefault="004B0883">
            <w:pPr>
              <w:jc w:val="right"/>
              <w:rPr>
                <w:rFonts w:eastAsia="等线"/>
                <w:b/>
                <w:bCs/>
                <w:color w:val="000000"/>
                <w:kern w:val="0"/>
                <w:sz w:val="20"/>
                <w:szCs w:val="20"/>
              </w:rPr>
            </w:pPr>
            <w:r>
              <w:rPr>
                <w:rFonts w:eastAsia="等线"/>
                <w:b/>
                <w:bCs/>
                <w:color w:val="000000"/>
                <w:sz w:val="20"/>
                <w:szCs w:val="20"/>
              </w:rPr>
              <w:t>3.49</w:t>
            </w:r>
          </w:p>
        </w:tc>
      </w:tr>
      <w:tr w:rsidR="004B0883" w14:paraId="101F4B48" w14:textId="77777777">
        <w:trPr>
          <w:trHeight w:val="397"/>
          <w:jc w:val="center"/>
        </w:trPr>
        <w:tc>
          <w:tcPr>
            <w:tcW w:w="1668" w:type="dxa"/>
            <w:vMerge/>
            <w:tcMar>
              <w:top w:w="0" w:type="dxa"/>
              <w:bottom w:w="0" w:type="dxa"/>
            </w:tcMar>
            <w:vAlign w:val="center"/>
          </w:tcPr>
          <w:p w14:paraId="04D8F66D" w14:textId="77777777" w:rsidR="004B0883" w:rsidRDefault="004B0883">
            <w:pPr>
              <w:widowControl w:val="0"/>
              <w:adjustRightInd w:val="0"/>
              <w:snapToGrid w:val="0"/>
              <w:rPr>
                <w:rFonts w:cs="宋体"/>
                <w:color w:val="000000"/>
                <w:kern w:val="0"/>
                <w:sz w:val="18"/>
                <w:szCs w:val="18"/>
              </w:rPr>
            </w:pPr>
          </w:p>
        </w:tc>
        <w:tc>
          <w:tcPr>
            <w:tcW w:w="1134" w:type="dxa"/>
            <w:tcMar>
              <w:top w:w="0" w:type="dxa"/>
              <w:bottom w:w="0" w:type="dxa"/>
            </w:tcMar>
            <w:vAlign w:val="center"/>
          </w:tcPr>
          <w:p w14:paraId="1272765D" w14:textId="77777777" w:rsidR="004B0883" w:rsidRDefault="004B0883">
            <w:pPr>
              <w:widowControl w:val="0"/>
              <w:adjustRightInd w:val="0"/>
              <w:snapToGrid w:val="0"/>
              <w:rPr>
                <w:color w:val="000000"/>
                <w:kern w:val="0"/>
                <w:sz w:val="20"/>
                <w:szCs w:val="20"/>
              </w:rPr>
            </w:pPr>
            <w:r>
              <w:rPr>
                <w:color w:val="000000"/>
                <w:kern w:val="0"/>
                <w:sz w:val="20"/>
                <w:szCs w:val="20"/>
              </w:rPr>
              <w:t>2022.12.31</w:t>
            </w:r>
          </w:p>
        </w:tc>
        <w:tc>
          <w:tcPr>
            <w:tcW w:w="954" w:type="dxa"/>
            <w:tcMar>
              <w:top w:w="0" w:type="dxa"/>
              <w:bottom w:w="0" w:type="dxa"/>
            </w:tcMar>
            <w:vAlign w:val="center"/>
          </w:tcPr>
          <w:p w14:paraId="4C337B31" w14:textId="77777777" w:rsidR="004B0883" w:rsidRDefault="004B0883">
            <w:pPr>
              <w:jc w:val="right"/>
              <w:rPr>
                <w:sz w:val="20"/>
                <w:szCs w:val="20"/>
              </w:rPr>
            </w:pPr>
            <w:r>
              <w:rPr>
                <w:sz w:val="20"/>
                <w:szCs w:val="20"/>
              </w:rPr>
              <w:t>1.14</w:t>
            </w:r>
          </w:p>
        </w:tc>
        <w:tc>
          <w:tcPr>
            <w:tcW w:w="954" w:type="dxa"/>
            <w:tcMar>
              <w:top w:w="0" w:type="dxa"/>
              <w:bottom w:w="0" w:type="dxa"/>
            </w:tcMar>
            <w:vAlign w:val="center"/>
          </w:tcPr>
          <w:p w14:paraId="6E09E37C" w14:textId="77777777" w:rsidR="004B0883" w:rsidRDefault="004B0883">
            <w:pPr>
              <w:jc w:val="right"/>
              <w:rPr>
                <w:sz w:val="20"/>
                <w:szCs w:val="20"/>
              </w:rPr>
            </w:pPr>
            <w:r>
              <w:rPr>
                <w:sz w:val="20"/>
                <w:szCs w:val="20"/>
              </w:rPr>
              <w:t>3.17</w:t>
            </w:r>
          </w:p>
        </w:tc>
        <w:tc>
          <w:tcPr>
            <w:tcW w:w="954" w:type="dxa"/>
            <w:tcMar>
              <w:top w:w="0" w:type="dxa"/>
              <w:bottom w:w="0" w:type="dxa"/>
            </w:tcMar>
            <w:vAlign w:val="center"/>
          </w:tcPr>
          <w:p w14:paraId="0C690057" w14:textId="77777777" w:rsidR="004B0883" w:rsidRDefault="004B0883">
            <w:pPr>
              <w:jc w:val="right"/>
              <w:rPr>
                <w:sz w:val="20"/>
                <w:szCs w:val="20"/>
              </w:rPr>
            </w:pPr>
            <w:r>
              <w:rPr>
                <w:sz w:val="20"/>
                <w:szCs w:val="20"/>
              </w:rPr>
              <w:t>0.87</w:t>
            </w:r>
          </w:p>
        </w:tc>
        <w:tc>
          <w:tcPr>
            <w:tcW w:w="954" w:type="dxa"/>
            <w:tcMar>
              <w:top w:w="0" w:type="dxa"/>
              <w:bottom w:w="0" w:type="dxa"/>
            </w:tcMar>
            <w:vAlign w:val="center"/>
          </w:tcPr>
          <w:p w14:paraId="333EB97C" w14:textId="77777777" w:rsidR="004B0883" w:rsidRDefault="004B0883">
            <w:pPr>
              <w:jc w:val="right"/>
              <w:rPr>
                <w:sz w:val="20"/>
                <w:szCs w:val="20"/>
              </w:rPr>
            </w:pPr>
            <w:r>
              <w:rPr>
                <w:sz w:val="20"/>
                <w:szCs w:val="20"/>
              </w:rPr>
              <w:t>1.28</w:t>
            </w:r>
          </w:p>
        </w:tc>
        <w:tc>
          <w:tcPr>
            <w:tcW w:w="954" w:type="dxa"/>
            <w:tcMar>
              <w:top w:w="0" w:type="dxa"/>
              <w:bottom w:w="0" w:type="dxa"/>
            </w:tcMar>
            <w:vAlign w:val="center"/>
          </w:tcPr>
          <w:p w14:paraId="085EA683" w14:textId="77777777" w:rsidR="004B0883" w:rsidRDefault="004B0883">
            <w:pPr>
              <w:jc w:val="right"/>
              <w:rPr>
                <w:rFonts w:eastAsia="等线"/>
                <w:b/>
                <w:bCs/>
                <w:color w:val="000000"/>
                <w:sz w:val="20"/>
                <w:szCs w:val="20"/>
              </w:rPr>
            </w:pPr>
            <w:r>
              <w:rPr>
                <w:rFonts w:eastAsia="等线"/>
                <w:b/>
                <w:bCs/>
                <w:color w:val="000000"/>
                <w:sz w:val="20"/>
                <w:szCs w:val="20"/>
              </w:rPr>
              <w:t xml:space="preserve">1.62 </w:t>
            </w:r>
          </w:p>
        </w:tc>
        <w:tc>
          <w:tcPr>
            <w:tcW w:w="954" w:type="dxa"/>
            <w:tcMar>
              <w:top w:w="0" w:type="dxa"/>
              <w:bottom w:w="0" w:type="dxa"/>
            </w:tcMar>
            <w:vAlign w:val="center"/>
          </w:tcPr>
          <w:p w14:paraId="3226A89D" w14:textId="77777777" w:rsidR="004B0883" w:rsidRDefault="004B0883">
            <w:pPr>
              <w:jc w:val="right"/>
              <w:rPr>
                <w:rFonts w:eastAsia="等线"/>
                <w:b/>
                <w:bCs/>
                <w:color w:val="000000"/>
                <w:sz w:val="20"/>
                <w:szCs w:val="20"/>
              </w:rPr>
            </w:pPr>
            <w:r>
              <w:rPr>
                <w:rFonts w:eastAsia="等线"/>
                <w:b/>
                <w:bCs/>
                <w:color w:val="000000"/>
                <w:sz w:val="20"/>
                <w:szCs w:val="20"/>
              </w:rPr>
              <w:t>2.72</w:t>
            </w:r>
          </w:p>
        </w:tc>
      </w:tr>
      <w:tr w:rsidR="004B0883" w14:paraId="69350A43" w14:textId="77777777">
        <w:trPr>
          <w:trHeight w:val="397"/>
          <w:jc w:val="center"/>
        </w:trPr>
        <w:tc>
          <w:tcPr>
            <w:tcW w:w="1668" w:type="dxa"/>
            <w:vMerge/>
            <w:tcMar>
              <w:top w:w="0" w:type="dxa"/>
              <w:bottom w:w="0" w:type="dxa"/>
            </w:tcMar>
            <w:vAlign w:val="center"/>
          </w:tcPr>
          <w:p w14:paraId="1B97BE22" w14:textId="77777777" w:rsidR="004B0883" w:rsidRDefault="004B0883">
            <w:pPr>
              <w:widowControl w:val="0"/>
              <w:adjustRightInd w:val="0"/>
              <w:snapToGrid w:val="0"/>
              <w:rPr>
                <w:rFonts w:cs="宋体"/>
                <w:color w:val="000000"/>
                <w:kern w:val="0"/>
                <w:sz w:val="18"/>
                <w:szCs w:val="18"/>
              </w:rPr>
            </w:pPr>
          </w:p>
        </w:tc>
        <w:tc>
          <w:tcPr>
            <w:tcW w:w="1134" w:type="dxa"/>
            <w:tcMar>
              <w:top w:w="0" w:type="dxa"/>
              <w:bottom w:w="0" w:type="dxa"/>
            </w:tcMar>
            <w:vAlign w:val="center"/>
          </w:tcPr>
          <w:p w14:paraId="2765E1F0" w14:textId="77777777" w:rsidR="004B0883" w:rsidRDefault="004B0883">
            <w:pPr>
              <w:widowControl w:val="0"/>
              <w:adjustRightInd w:val="0"/>
              <w:snapToGrid w:val="0"/>
              <w:rPr>
                <w:color w:val="000000"/>
                <w:kern w:val="0"/>
                <w:sz w:val="20"/>
                <w:szCs w:val="20"/>
              </w:rPr>
            </w:pPr>
            <w:r>
              <w:rPr>
                <w:color w:val="000000"/>
                <w:kern w:val="0"/>
                <w:sz w:val="20"/>
                <w:szCs w:val="20"/>
              </w:rPr>
              <w:t>2021.12.31</w:t>
            </w:r>
          </w:p>
        </w:tc>
        <w:tc>
          <w:tcPr>
            <w:tcW w:w="954" w:type="dxa"/>
            <w:tcMar>
              <w:top w:w="0" w:type="dxa"/>
              <w:bottom w:w="0" w:type="dxa"/>
            </w:tcMar>
            <w:vAlign w:val="center"/>
          </w:tcPr>
          <w:p w14:paraId="0A9987E3" w14:textId="77777777" w:rsidR="004B0883" w:rsidRDefault="004B0883">
            <w:pPr>
              <w:jc w:val="right"/>
              <w:rPr>
                <w:sz w:val="20"/>
                <w:szCs w:val="20"/>
              </w:rPr>
            </w:pPr>
            <w:r>
              <w:rPr>
                <w:sz w:val="20"/>
                <w:szCs w:val="20"/>
              </w:rPr>
              <w:t>1.02</w:t>
            </w:r>
          </w:p>
        </w:tc>
        <w:tc>
          <w:tcPr>
            <w:tcW w:w="954" w:type="dxa"/>
            <w:tcMar>
              <w:top w:w="0" w:type="dxa"/>
              <w:bottom w:w="0" w:type="dxa"/>
            </w:tcMar>
            <w:vAlign w:val="center"/>
          </w:tcPr>
          <w:p w14:paraId="3EFEBED2" w14:textId="77777777" w:rsidR="004B0883" w:rsidRDefault="004B0883">
            <w:pPr>
              <w:jc w:val="right"/>
              <w:rPr>
                <w:sz w:val="20"/>
                <w:szCs w:val="20"/>
              </w:rPr>
            </w:pPr>
            <w:r>
              <w:rPr>
                <w:sz w:val="20"/>
                <w:szCs w:val="20"/>
              </w:rPr>
              <w:t>1.51</w:t>
            </w:r>
          </w:p>
        </w:tc>
        <w:tc>
          <w:tcPr>
            <w:tcW w:w="954" w:type="dxa"/>
            <w:tcMar>
              <w:top w:w="0" w:type="dxa"/>
              <w:bottom w:w="0" w:type="dxa"/>
            </w:tcMar>
            <w:vAlign w:val="center"/>
          </w:tcPr>
          <w:p w14:paraId="4DEB5056" w14:textId="77777777" w:rsidR="004B0883" w:rsidRDefault="004B0883">
            <w:pPr>
              <w:jc w:val="right"/>
              <w:rPr>
                <w:sz w:val="20"/>
                <w:szCs w:val="20"/>
              </w:rPr>
            </w:pPr>
            <w:r>
              <w:rPr>
                <w:sz w:val="20"/>
                <w:szCs w:val="20"/>
              </w:rPr>
              <w:t>0.92</w:t>
            </w:r>
          </w:p>
        </w:tc>
        <w:tc>
          <w:tcPr>
            <w:tcW w:w="954" w:type="dxa"/>
            <w:tcMar>
              <w:top w:w="0" w:type="dxa"/>
              <w:bottom w:w="0" w:type="dxa"/>
            </w:tcMar>
            <w:vAlign w:val="center"/>
          </w:tcPr>
          <w:p w14:paraId="5775C91C" w14:textId="77777777" w:rsidR="004B0883" w:rsidRDefault="004B0883">
            <w:pPr>
              <w:jc w:val="right"/>
              <w:rPr>
                <w:sz w:val="20"/>
                <w:szCs w:val="20"/>
              </w:rPr>
            </w:pPr>
            <w:r>
              <w:rPr>
                <w:sz w:val="20"/>
                <w:szCs w:val="20"/>
              </w:rPr>
              <w:t>1.18</w:t>
            </w:r>
          </w:p>
        </w:tc>
        <w:tc>
          <w:tcPr>
            <w:tcW w:w="954" w:type="dxa"/>
            <w:tcMar>
              <w:top w:w="0" w:type="dxa"/>
              <w:bottom w:w="0" w:type="dxa"/>
            </w:tcMar>
            <w:vAlign w:val="center"/>
          </w:tcPr>
          <w:p w14:paraId="5CB11727" w14:textId="77777777" w:rsidR="004B0883" w:rsidRDefault="004B0883">
            <w:pPr>
              <w:jc w:val="right"/>
              <w:rPr>
                <w:rFonts w:eastAsia="等线"/>
                <w:b/>
                <w:bCs/>
                <w:color w:val="000000"/>
                <w:sz w:val="20"/>
                <w:szCs w:val="20"/>
              </w:rPr>
            </w:pPr>
            <w:r>
              <w:rPr>
                <w:rFonts w:eastAsia="等线"/>
                <w:b/>
                <w:bCs/>
                <w:color w:val="000000"/>
                <w:sz w:val="20"/>
                <w:szCs w:val="20"/>
              </w:rPr>
              <w:t xml:space="preserve">1.16 </w:t>
            </w:r>
          </w:p>
        </w:tc>
        <w:tc>
          <w:tcPr>
            <w:tcW w:w="954" w:type="dxa"/>
            <w:tcMar>
              <w:top w:w="0" w:type="dxa"/>
              <w:bottom w:w="0" w:type="dxa"/>
            </w:tcMar>
            <w:vAlign w:val="center"/>
          </w:tcPr>
          <w:p w14:paraId="10D22729" w14:textId="77777777" w:rsidR="004B0883" w:rsidRDefault="004B0883">
            <w:pPr>
              <w:jc w:val="right"/>
              <w:rPr>
                <w:rFonts w:eastAsia="等线"/>
                <w:b/>
                <w:bCs/>
                <w:color w:val="000000"/>
                <w:sz w:val="20"/>
                <w:szCs w:val="20"/>
              </w:rPr>
            </w:pPr>
            <w:r>
              <w:rPr>
                <w:rFonts w:eastAsia="等线"/>
                <w:b/>
                <w:bCs/>
                <w:color w:val="000000"/>
                <w:sz w:val="20"/>
                <w:szCs w:val="20"/>
              </w:rPr>
              <w:t>2.04</w:t>
            </w:r>
          </w:p>
        </w:tc>
      </w:tr>
      <w:tr w:rsidR="004B0883" w14:paraId="3D53DDCD" w14:textId="77777777">
        <w:trPr>
          <w:trHeight w:val="397"/>
          <w:jc w:val="center"/>
        </w:trPr>
        <w:tc>
          <w:tcPr>
            <w:tcW w:w="1668" w:type="dxa"/>
            <w:vMerge/>
            <w:tcMar>
              <w:top w:w="0" w:type="dxa"/>
              <w:bottom w:w="0" w:type="dxa"/>
            </w:tcMar>
            <w:vAlign w:val="center"/>
          </w:tcPr>
          <w:p w14:paraId="32D79949" w14:textId="77777777" w:rsidR="004B0883" w:rsidRDefault="004B0883">
            <w:pPr>
              <w:widowControl w:val="0"/>
              <w:adjustRightInd w:val="0"/>
              <w:snapToGrid w:val="0"/>
              <w:rPr>
                <w:rFonts w:cs="宋体"/>
                <w:color w:val="000000"/>
                <w:kern w:val="0"/>
                <w:sz w:val="18"/>
                <w:szCs w:val="18"/>
              </w:rPr>
            </w:pPr>
          </w:p>
        </w:tc>
        <w:tc>
          <w:tcPr>
            <w:tcW w:w="1134" w:type="dxa"/>
            <w:tcMar>
              <w:top w:w="0" w:type="dxa"/>
              <w:bottom w:w="0" w:type="dxa"/>
            </w:tcMar>
            <w:vAlign w:val="center"/>
          </w:tcPr>
          <w:p w14:paraId="14206368" w14:textId="77777777" w:rsidR="004B0883" w:rsidRDefault="004B0883">
            <w:pPr>
              <w:widowControl w:val="0"/>
              <w:adjustRightInd w:val="0"/>
              <w:snapToGrid w:val="0"/>
              <w:rPr>
                <w:color w:val="000000"/>
                <w:kern w:val="0"/>
                <w:sz w:val="20"/>
                <w:szCs w:val="20"/>
              </w:rPr>
            </w:pPr>
            <w:r>
              <w:rPr>
                <w:color w:val="000000"/>
                <w:kern w:val="0"/>
                <w:sz w:val="20"/>
                <w:szCs w:val="20"/>
              </w:rPr>
              <w:t>2020.12.31</w:t>
            </w:r>
          </w:p>
        </w:tc>
        <w:tc>
          <w:tcPr>
            <w:tcW w:w="954" w:type="dxa"/>
            <w:tcMar>
              <w:top w:w="0" w:type="dxa"/>
              <w:bottom w:w="0" w:type="dxa"/>
            </w:tcMar>
            <w:vAlign w:val="center"/>
          </w:tcPr>
          <w:p w14:paraId="3992571C" w14:textId="77777777" w:rsidR="004B0883" w:rsidRDefault="004B0883">
            <w:pPr>
              <w:jc w:val="right"/>
              <w:rPr>
                <w:sz w:val="20"/>
                <w:szCs w:val="20"/>
              </w:rPr>
            </w:pPr>
            <w:r>
              <w:rPr>
                <w:sz w:val="20"/>
                <w:szCs w:val="20"/>
              </w:rPr>
              <w:t>1.22</w:t>
            </w:r>
          </w:p>
        </w:tc>
        <w:tc>
          <w:tcPr>
            <w:tcW w:w="954" w:type="dxa"/>
            <w:tcMar>
              <w:top w:w="0" w:type="dxa"/>
              <w:bottom w:w="0" w:type="dxa"/>
            </w:tcMar>
            <w:vAlign w:val="center"/>
          </w:tcPr>
          <w:p w14:paraId="3E24AE34" w14:textId="77777777" w:rsidR="004B0883" w:rsidRDefault="004B0883">
            <w:pPr>
              <w:jc w:val="right"/>
              <w:rPr>
                <w:sz w:val="20"/>
                <w:szCs w:val="20"/>
              </w:rPr>
            </w:pPr>
            <w:r>
              <w:rPr>
                <w:sz w:val="20"/>
                <w:szCs w:val="20"/>
              </w:rPr>
              <w:t>1.26</w:t>
            </w:r>
          </w:p>
        </w:tc>
        <w:tc>
          <w:tcPr>
            <w:tcW w:w="954" w:type="dxa"/>
            <w:tcMar>
              <w:top w:w="0" w:type="dxa"/>
              <w:bottom w:w="0" w:type="dxa"/>
            </w:tcMar>
            <w:vAlign w:val="center"/>
          </w:tcPr>
          <w:p w14:paraId="203BE359" w14:textId="77777777" w:rsidR="004B0883" w:rsidRDefault="004B0883">
            <w:pPr>
              <w:jc w:val="right"/>
              <w:rPr>
                <w:sz w:val="20"/>
                <w:szCs w:val="20"/>
              </w:rPr>
            </w:pPr>
            <w:r>
              <w:rPr>
                <w:sz w:val="20"/>
                <w:szCs w:val="20"/>
              </w:rPr>
              <w:t>0.96</w:t>
            </w:r>
          </w:p>
        </w:tc>
        <w:tc>
          <w:tcPr>
            <w:tcW w:w="954" w:type="dxa"/>
            <w:tcMar>
              <w:top w:w="0" w:type="dxa"/>
              <w:bottom w:w="0" w:type="dxa"/>
            </w:tcMar>
            <w:vAlign w:val="center"/>
          </w:tcPr>
          <w:p w14:paraId="348D9ABC" w14:textId="77777777" w:rsidR="004B0883" w:rsidRDefault="004B0883">
            <w:pPr>
              <w:jc w:val="right"/>
              <w:rPr>
                <w:sz w:val="20"/>
                <w:szCs w:val="20"/>
              </w:rPr>
            </w:pPr>
            <w:r>
              <w:rPr>
                <w:sz w:val="20"/>
                <w:szCs w:val="20"/>
              </w:rPr>
              <w:t>1.27</w:t>
            </w:r>
          </w:p>
        </w:tc>
        <w:tc>
          <w:tcPr>
            <w:tcW w:w="954" w:type="dxa"/>
            <w:tcMar>
              <w:top w:w="0" w:type="dxa"/>
              <w:bottom w:w="0" w:type="dxa"/>
            </w:tcMar>
            <w:vAlign w:val="center"/>
          </w:tcPr>
          <w:p w14:paraId="3775EA20" w14:textId="77777777" w:rsidR="004B0883" w:rsidRDefault="004B0883">
            <w:pPr>
              <w:jc w:val="right"/>
              <w:rPr>
                <w:rFonts w:eastAsia="等线"/>
                <w:b/>
                <w:bCs/>
                <w:color w:val="000000"/>
                <w:sz w:val="20"/>
                <w:szCs w:val="20"/>
              </w:rPr>
            </w:pPr>
            <w:r>
              <w:rPr>
                <w:rFonts w:eastAsia="等线"/>
                <w:b/>
                <w:bCs/>
                <w:color w:val="000000"/>
                <w:sz w:val="20"/>
                <w:szCs w:val="20"/>
              </w:rPr>
              <w:t xml:space="preserve">1.18 </w:t>
            </w:r>
          </w:p>
        </w:tc>
        <w:tc>
          <w:tcPr>
            <w:tcW w:w="954" w:type="dxa"/>
            <w:tcMar>
              <w:top w:w="0" w:type="dxa"/>
              <w:bottom w:w="0" w:type="dxa"/>
            </w:tcMar>
            <w:vAlign w:val="center"/>
          </w:tcPr>
          <w:p w14:paraId="41A3A092" w14:textId="77777777" w:rsidR="004B0883" w:rsidRDefault="004B0883">
            <w:pPr>
              <w:jc w:val="right"/>
              <w:rPr>
                <w:rFonts w:eastAsia="等线"/>
                <w:b/>
                <w:bCs/>
                <w:color w:val="000000"/>
                <w:sz w:val="20"/>
                <w:szCs w:val="20"/>
              </w:rPr>
            </w:pPr>
            <w:r>
              <w:rPr>
                <w:rFonts w:eastAsia="等线"/>
                <w:b/>
                <w:bCs/>
                <w:color w:val="000000"/>
                <w:sz w:val="20"/>
                <w:szCs w:val="20"/>
              </w:rPr>
              <w:t>2.52</w:t>
            </w:r>
          </w:p>
        </w:tc>
      </w:tr>
      <w:tr w:rsidR="004B0883" w14:paraId="172EA1D2" w14:textId="77777777">
        <w:trPr>
          <w:trHeight w:val="397"/>
          <w:jc w:val="center"/>
        </w:trPr>
        <w:tc>
          <w:tcPr>
            <w:tcW w:w="1668" w:type="dxa"/>
            <w:vMerge w:val="restart"/>
            <w:tcMar>
              <w:top w:w="0" w:type="dxa"/>
              <w:bottom w:w="0" w:type="dxa"/>
            </w:tcMar>
            <w:vAlign w:val="center"/>
          </w:tcPr>
          <w:p w14:paraId="5570D65E" w14:textId="77777777" w:rsidR="004B0883" w:rsidRDefault="004B0883">
            <w:pPr>
              <w:widowControl w:val="0"/>
              <w:adjustRightInd w:val="0"/>
              <w:snapToGrid w:val="0"/>
              <w:rPr>
                <w:rFonts w:hint="eastAsia"/>
                <w:color w:val="000000"/>
                <w:kern w:val="0"/>
                <w:sz w:val="18"/>
                <w:szCs w:val="18"/>
              </w:rPr>
            </w:pPr>
            <w:r>
              <w:rPr>
                <w:rFonts w:hint="eastAsia"/>
                <w:color w:val="000000"/>
                <w:kern w:val="0"/>
                <w:sz w:val="18"/>
                <w:szCs w:val="18"/>
              </w:rPr>
              <w:t>资产负债率（</w:t>
            </w:r>
            <w:r>
              <w:rPr>
                <w:rFonts w:hint="eastAsia"/>
                <w:color w:val="000000"/>
                <w:kern w:val="0"/>
                <w:sz w:val="18"/>
                <w:szCs w:val="18"/>
              </w:rPr>
              <w:t>%</w:t>
            </w:r>
            <w:r>
              <w:rPr>
                <w:rFonts w:hint="eastAsia"/>
                <w:color w:val="000000"/>
                <w:kern w:val="0"/>
                <w:sz w:val="18"/>
                <w:szCs w:val="18"/>
              </w:rPr>
              <w:t>）</w:t>
            </w:r>
          </w:p>
        </w:tc>
        <w:tc>
          <w:tcPr>
            <w:tcW w:w="1134" w:type="dxa"/>
            <w:tcMar>
              <w:top w:w="0" w:type="dxa"/>
              <w:bottom w:w="0" w:type="dxa"/>
            </w:tcMar>
            <w:vAlign w:val="center"/>
          </w:tcPr>
          <w:p w14:paraId="64DCA645" w14:textId="77777777" w:rsidR="004B0883" w:rsidRDefault="004B0883">
            <w:pPr>
              <w:widowControl w:val="0"/>
              <w:adjustRightInd w:val="0"/>
              <w:snapToGrid w:val="0"/>
              <w:rPr>
                <w:color w:val="000000"/>
                <w:kern w:val="0"/>
                <w:sz w:val="20"/>
                <w:szCs w:val="20"/>
              </w:rPr>
            </w:pPr>
            <w:r>
              <w:rPr>
                <w:color w:val="000000"/>
                <w:kern w:val="0"/>
                <w:sz w:val="20"/>
                <w:szCs w:val="20"/>
              </w:rPr>
              <w:t>2023.</w:t>
            </w:r>
            <w:r>
              <w:rPr>
                <w:rFonts w:hint="eastAsia"/>
                <w:color w:val="000000"/>
                <w:kern w:val="0"/>
                <w:sz w:val="20"/>
                <w:szCs w:val="20"/>
              </w:rPr>
              <w:t>9</w:t>
            </w:r>
            <w:r>
              <w:rPr>
                <w:color w:val="000000"/>
                <w:kern w:val="0"/>
                <w:sz w:val="20"/>
                <w:szCs w:val="20"/>
              </w:rPr>
              <w:t>.30</w:t>
            </w:r>
          </w:p>
        </w:tc>
        <w:tc>
          <w:tcPr>
            <w:tcW w:w="954" w:type="dxa"/>
            <w:tcMar>
              <w:top w:w="0" w:type="dxa"/>
              <w:bottom w:w="0" w:type="dxa"/>
            </w:tcMar>
            <w:vAlign w:val="center"/>
          </w:tcPr>
          <w:p w14:paraId="7FE381E6" w14:textId="77777777" w:rsidR="004B0883" w:rsidRDefault="004B0883">
            <w:pPr>
              <w:jc w:val="right"/>
              <w:rPr>
                <w:sz w:val="20"/>
                <w:szCs w:val="20"/>
              </w:rPr>
            </w:pPr>
            <w:r>
              <w:rPr>
                <w:sz w:val="20"/>
                <w:szCs w:val="20"/>
              </w:rPr>
              <w:t>44.06</w:t>
            </w:r>
          </w:p>
        </w:tc>
        <w:tc>
          <w:tcPr>
            <w:tcW w:w="954" w:type="dxa"/>
            <w:tcMar>
              <w:top w:w="0" w:type="dxa"/>
              <w:bottom w:w="0" w:type="dxa"/>
            </w:tcMar>
            <w:vAlign w:val="center"/>
          </w:tcPr>
          <w:p w14:paraId="55FB56C7" w14:textId="77777777" w:rsidR="004B0883" w:rsidRDefault="004B0883">
            <w:pPr>
              <w:jc w:val="right"/>
              <w:rPr>
                <w:sz w:val="20"/>
                <w:szCs w:val="20"/>
              </w:rPr>
            </w:pPr>
            <w:r>
              <w:rPr>
                <w:sz w:val="20"/>
                <w:szCs w:val="20"/>
              </w:rPr>
              <w:t>25.29</w:t>
            </w:r>
          </w:p>
        </w:tc>
        <w:tc>
          <w:tcPr>
            <w:tcW w:w="954" w:type="dxa"/>
            <w:tcMar>
              <w:top w:w="0" w:type="dxa"/>
              <w:bottom w:w="0" w:type="dxa"/>
            </w:tcMar>
            <w:vAlign w:val="center"/>
          </w:tcPr>
          <w:p w14:paraId="263D04CF" w14:textId="77777777" w:rsidR="004B0883" w:rsidRDefault="004B0883">
            <w:pPr>
              <w:jc w:val="right"/>
              <w:rPr>
                <w:sz w:val="20"/>
                <w:szCs w:val="20"/>
              </w:rPr>
            </w:pPr>
            <w:r>
              <w:rPr>
                <w:sz w:val="20"/>
                <w:szCs w:val="20"/>
              </w:rPr>
              <w:t>52.24</w:t>
            </w:r>
          </w:p>
        </w:tc>
        <w:tc>
          <w:tcPr>
            <w:tcW w:w="954" w:type="dxa"/>
            <w:tcMar>
              <w:top w:w="0" w:type="dxa"/>
              <w:bottom w:w="0" w:type="dxa"/>
            </w:tcMar>
            <w:vAlign w:val="center"/>
          </w:tcPr>
          <w:p w14:paraId="0DEE3DFD" w14:textId="77777777" w:rsidR="004B0883" w:rsidRDefault="004B0883">
            <w:pPr>
              <w:jc w:val="right"/>
              <w:rPr>
                <w:sz w:val="20"/>
                <w:szCs w:val="20"/>
              </w:rPr>
            </w:pPr>
            <w:r>
              <w:rPr>
                <w:sz w:val="20"/>
                <w:szCs w:val="20"/>
              </w:rPr>
              <w:t>40.57</w:t>
            </w:r>
          </w:p>
        </w:tc>
        <w:tc>
          <w:tcPr>
            <w:tcW w:w="954" w:type="dxa"/>
            <w:tcMar>
              <w:top w:w="0" w:type="dxa"/>
              <w:bottom w:w="0" w:type="dxa"/>
            </w:tcMar>
            <w:vAlign w:val="center"/>
          </w:tcPr>
          <w:p w14:paraId="07CCBCA6" w14:textId="77777777" w:rsidR="004B0883" w:rsidRDefault="004B0883">
            <w:pPr>
              <w:jc w:val="right"/>
              <w:rPr>
                <w:rFonts w:eastAsia="等线"/>
                <w:b/>
                <w:bCs/>
                <w:color w:val="000000"/>
                <w:sz w:val="20"/>
                <w:szCs w:val="20"/>
              </w:rPr>
            </w:pPr>
            <w:r>
              <w:rPr>
                <w:rFonts w:eastAsia="等线"/>
                <w:b/>
                <w:bCs/>
                <w:color w:val="000000"/>
                <w:sz w:val="20"/>
                <w:szCs w:val="20"/>
              </w:rPr>
              <w:t>4</w:t>
            </w:r>
            <w:r>
              <w:rPr>
                <w:rFonts w:eastAsia="等线" w:hint="eastAsia"/>
                <w:b/>
                <w:bCs/>
                <w:color w:val="000000"/>
                <w:sz w:val="20"/>
                <w:szCs w:val="20"/>
              </w:rPr>
              <w:t>0.54</w:t>
            </w:r>
          </w:p>
        </w:tc>
        <w:tc>
          <w:tcPr>
            <w:tcW w:w="954" w:type="dxa"/>
            <w:tcMar>
              <w:top w:w="0" w:type="dxa"/>
              <w:bottom w:w="0" w:type="dxa"/>
            </w:tcMar>
            <w:vAlign w:val="center"/>
          </w:tcPr>
          <w:p w14:paraId="546DE673" w14:textId="77777777" w:rsidR="004B0883" w:rsidRDefault="004B0883">
            <w:pPr>
              <w:jc w:val="right"/>
              <w:rPr>
                <w:rFonts w:eastAsia="等线"/>
                <w:b/>
                <w:bCs/>
                <w:color w:val="000000"/>
                <w:kern w:val="0"/>
                <w:sz w:val="20"/>
                <w:szCs w:val="20"/>
              </w:rPr>
            </w:pPr>
            <w:r>
              <w:rPr>
                <w:rFonts w:eastAsia="等线"/>
                <w:b/>
                <w:bCs/>
                <w:color w:val="000000"/>
                <w:sz w:val="20"/>
                <w:szCs w:val="20"/>
              </w:rPr>
              <w:t>17.98</w:t>
            </w:r>
          </w:p>
        </w:tc>
      </w:tr>
      <w:tr w:rsidR="004B0883" w14:paraId="3BCD9D92" w14:textId="77777777">
        <w:trPr>
          <w:trHeight w:val="397"/>
          <w:jc w:val="center"/>
        </w:trPr>
        <w:tc>
          <w:tcPr>
            <w:tcW w:w="1668" w:type="dxa"/>
            <w:vMerge/>
            <w:tcMar>
              <w:top w:w="0" w:type="dxa"/>
              <w:bottom w:w="0" w:type="dxa"/>
            </w:tcMar>
            <w:vAlign w:val="center"/>
          </w:tcPr>
          <w:p w14:paraId="7302B92C" w14:textId="77777777" w:rsidR="004B0883" w:rsidRDefault="004B0883">
            <w:pPr>
              <w:widowControl w:val="0"/>
              <w:adjustRightInd w:val="0"/>
              <w:snapToGrid w:val="0"/>
              <w:rPr>
                <w:rFonts w:cs="宋体"/>
                <w:color w:val="000000"/>
                <w:kern w:val="0"/>
                <w:sz w:val="18"/>
                <w:szCs w:val="18"/>
              </w:rPr>
            </w:pPr>
          </w:p>
        </w:tc>
        <w:tc>
          <w:tcPr>
            <w:tcW w:w="1134" w:type="dxa"/>
            <w:tcMar>
              <w:top w:w="0" w:type="dxa"/>
              <w:bottom w:w="0" w:type="dxa"/>
            </w:tcMar>
            <w:vAlign w:val="center"/>
          </w:tcPr>
          <w:p w14:paraId="4A86BC8D" w14:textId="77777777" w:rsidR="004B0883" w:rsidRDefault="004B0883">
            <w:pPr>
              <w:widowControl w:val="0"/>
              <w:adjustRightInd w:val="0"/>
              <w:snapToGrid w:val="0"/>
              <w:rPr>
                <w:color w:val="000000"/>
                <w:kern w:val="0"/>
                <w:sz w:val="20"/>
                <w:szCs w:val="20"/>
              </w:rPr>
            </w:pPr>
            <w:r>
              <w:rPr>
                <w:color w:val="000000"/>
                <w:kern w:val="0"/>
                <w:sz w:val="20"/>
                <w:szCs w:val="20"/>
              </w:rPr>
              <w:t>2022.12.31</w:t>
            </w:r>
          </w:p>
        </w:tc>
        <w:tc>
          <w:tcPr>
            <w:tcW w:w="954" w:type="dxa"/>
            <w:tcMar>
              <w:top w:w="0" w:type="dxa"/>
              <w:bottom w:w="0" w:type="dxa"/>
            </w:tcMar>
            <w:vAlign w:val="center"/>
          </w:tcPr>
          <w:p w14:paraId="2DFC58E5" w14:textId="77777777" w:rsidR="004B0883" w:rsidRDefault="004B0883">
            <w:pPr>
              <w:jc w:val="right"/>
              <w:rPr>
                <w:sz w:val="20"/>
                <w:szCs w:val="20"/>
              </w:rPr>
            </w:pPr>
            <w:r>
              <w:rPr>
                <w:sz w:val="20"/>
                <w:szCs w:val="20"/>
              </w:rPr>
              <w:t>49.08</w:t>
            </w:r>
          </w:p>
        </w:tc>
        <w:tc>
          <w:tcPr>
            <w:tcW w:w="954" w:type="dxa"/>
            <w:tcMar>
              <w:top w:w="0" w:type="dxa"/>
              <w:bottom w:w="0" w:type="dxa"/>
            </w:tcMar>
            <w:vAlign w:val="center"/>
          </w:tcPr>
          <w:p w14:paraId="44EB23B4" w14:textId="77777777" w:rsidR="004B0883" w:rsidRDefault="004B0883">
            <w:pPr>
              <w:jc w:val="right"/>
              <w:rPr>
                <w:sz w:val="20"/>
                <w:szCs w:val="20"/>
              </w:rPr>
            </w:pPr>
            <w:r>
              <w:rPr>
                <w:sz w:val="20"/>
                <w:szCs w:val="20"/>
              </w:rPr>
              <w:t>23.69</w:t>
            </w:r>
          </w:p>
        </w:tc>
        <w:tc>
          <w:tcPr>
            <w:tcW w:w="954" w:type="dxa"/>
            <w:tcMar>
              <w:top w:w="0" w:type="dxa"/>
              <w:bottom w:w="0" w:type="dxa"/>
            </w:tcMar>
            <w:vAlign w:val="center"/>
          </w:tcPr>
          <w:p w14:paraId="0BC59A6B" w14:textId="77777777" w:rsidR="004B0883" w:rsidRDefault="004B0883">
            <w:pPr>
              <w:jc w:val="right"/>
              <w:rPr>
                <w:sz w:val="20"/>
                <w:szCs w:val="20"/>
              </w:rPr>
            </w:pPr>
            <w:r>
              <w:rPr>
                <w:sz w:val="20"/>
                <w:szCs w:val="20"/>
              </w:rPr>
              <w:t>52.34</w:t>
            </w:r>
          </w:p>
        </w:tc>
        <w:tc>
          <w:tcPr>
            <w:tcW w:w="954" w:type="dxa"/>
            <w:tcMar>
              <w:top w:w="0" w:type="dxa"/>
              <w:bottom w:w="0" w:type="dxa"/>
            </w:tcMar>
            <w:vAlign w:val="center"/>
          </w:tcPr>
          <w:p w14:paraId="36C1AF2C" w14:textId="77777777" w:rsidR="004B0883" w:rsidRDefault="004B0883">
            <w:pPr>
              <w:jc w:val="right"/>
              <w:rPr>
                <w:sz w:val="20"/>
                <w:szCs w:val="20"/>
              </w:rPr>
            </w:pPr>
            <w:r>
              <w:rPr>
                <w:sz w:val="20"/>
                <w:szCs w:val="20"/>
              </w:rPr>
              <w:t>40.60</w:t>
            </w:r>
          </w:p>
        </w:tc>
        <w:tc>
          <w:tcPr>
            <w:tcW w:w="954" w:type="dxa"/>
            <w:tcMar>
              <w:top w:w="0" w:type="dxa"/>
              <w:bottom w:w="0" w:type="dxa"/>
            </w:tcMar>
            <w:vAlign w:val="center"/>
          </w:tcPr>
          <w:p w14:paraId="3F69FC95" w14:textId="77777777" w:rsidR="004B0883" w:rsidRDefault="004B0883">
            <w:pPr>
              <w:jc w:val="right"/>
              <w:rPr>
                <w:rFonts w:eastAsia="等线"/>
                <w:b/>
                <w:bCs/>
                <w:color w:val="000000"/>
                <w:sz w:val="20"/>
                <w:szCs w:val="20"/>
              </w:rPr>
            </w:pPr>
            <w:r>
              <w:rPr>
                <w:rFonts w:eastAsia="等线"/>
                <w:b/>
                <w:bCs/>
                <w:color w:val="000000"/>
                <w:sz w:val="20"/>
                <w:szCs w:val="20"/>
              </w:rPr>
              <w:t xml:space="preserve">41.43 </w:t>
            </w:r>
          </w:p>
        </w:tc>
        <w:tc>
          <w:tcPr>
            <w:tcW w:w="954" w:type="dxa"/>
            <w:tcMar>
              <w:top w:w="0" w:type="dxa"/>
              <w:bottom w:w="0" w:type="dxa"/>
            </w:tcMar>
            <w:vAlign w:val="center"/>
          </w:tcPr>
          <w:p w14:paraId="600BB28C" w14:textId="77777777" w:rsidR="004B0883" w:rsidRDefault="004B0883">
            <w:pPr>
              <w:jc w:val="right"/>
              <w:rPr>
                <w:rFonts w:eastAsia="等线"/>
                <w:b/>
                <w:bCs/>
                <w:color w:val="000000"/>
                <w:sz w:val="20"/>
                <w:szCs w:val="20"/>
              </w:rPr>
            </w:pPr>
            <w:r>
              <w:rPr>
                <w:rFonts w:eastAsia="等线"/>
                <w:b/>
                <w:bCs/>
                <w:color w:val="000000"/>
                <w:sz w:val="20"/>
                <w:szCs w:val="20"/>
              </w:rPr>
              <w:t>22.40</w:t>
            </w:r>
          </w:p>
        </w:tc>
      </w:tr>
      <w:tr w:rsidR="004B0883" w14:paraId="252888FD" w14:textId="77777777">
        <w:trPr>
          <w:trHeight w:val="397"/>
          <w:jc w:val="center"/>
        </w:trPr>
        <w:tc>
          <w:tcPr>
            <w:tcW w:w="1668" w:type="dxa"/>
            <w:vMerge/>
            <w:tcMar>
              <w:top w:w="0" w:type="dxa"/>
              <w:bottom w:w="0" w:type="dxa"/>
            </w:tcMar>
            <w:vAlign w:val="center"/>
          </w:tcPr>
          <w:p w14:paraId="5A22B56A" w14:textId="77777777" w:rsidR="004B0883" w:rsidRDefault="004B0883">
            <w:pPr>
              <w:widowControl w:val="0"/>
              <w:adjustRightInd w:val="0"/>
              <w:snapToGrid w:val="0"/>
              <w:rPr>
                <w:rFonts w:cs="宋体"/>
                <w:color w:val="000000"/>
                <w:kern w:val="0"/>
                <w:sz w:val="18"/>
                <w:szCs w:val="18"/>
              </w:rPr>
            </w:pPr>
          </w:p>
        </w:tc>
        <w:tc>
          <w:tcPr>
            <w:tcW w:w="1134" w:type="dxa"/>
            <w:tcMar>
              <w:top w:w="0" w:type="dxa"/>
              <w:bottom w:w="0" w:type="dxa"/>
            </w:tcMar>
            <w:vAlign w:val="center"/>
          </w:tcPr>
          <w:p w14:paraId="00969960" w14:textId="77777777" w:rsidR="004B0883" w:rsidRDefault="004B0883">
            <w:pPr>
              <w:widowControl w:val="0"/>
              <w:adjustRightInd w:val="0"/>
              <w:snapToGrid w:val="0"/>
              <w:rPr>
                <w:color w:val="000000"/>
                <w:kern w:val="0"/>
                <w:sz w:val="20"/>
                <w:szCs w:val="20"/>
              </w:rPr>
            </w:pPr>
            <w:r>
              <w:rPr>
                <w:color w:val="000000"/>
                <w:kern w:val="0"/>
                <w:sz w:val="20"/>
                <w:szCs w:val="20"/>
              </w:rPr>
              <w:t>2021.12.31</w:t>
            </w:r>
          </w:p>
        </w:tc>
        <w:tc>
          <w:tcPr>
            <w:tcW w:w="954" w:type="dxa"/>
            <w:tcMar>
              <w:top w:w="0" w:type="dxa"/>
              <w:bottom w:w="0" w:type="dxa"/>
            </w:tcMar>
            <w:vAlign w:val="center"/>
          </w:tcPr>
          <w:p w14:paraId="2C86A0A3" w14:textId="77777777" w:rsidR="004B0883" w:rsidRDefault="004B0883">
            <w:pPr>
              <w:jc w:val="right"/>
              <w:rPr>
                <w:sz w:val="20"/>
                <w:szCs w:val="20"/>
              </w:rPr>
            </w:pPr>
            <w:r>
              <w:rPr>
                <w:sz w:val="20"/>
                <w:szCs w:val="20"/>
              </w:rPr>
              <w:t>45.52</w:t>
            </w:r>
          </w:p>
        </w:tc>
        <w:tc>
          <w:tcPr>
            <w:tcW w:w="954" w:type="dxa"/>
            <w:tcMar>
              <w:top w:w="0" w:type="dxa"/>
              <w:bottom w:w="0" w:type="dxa"/>
            </w:tcMar>
            <w:vAlign w:val="center"/>
          </w:tcPr>
          <w:p w14:paraId="43CD5FDD" w14:textId="77777777" w:rsidR="004B0883" w:rsidRDefault="004B0883">
            <w:pPr>
              <w:jc w:val="right"/>
              <w:rPr>
                <w:sz w:val="20"/>
                <w:szCs w:val="20"/>
              </w:rPr>
            </w:pPr>
            <w:r>
              <w:rPr>
                <w:sz w:val="20"/>
                <w:szCs w:val="20"/>
              </w:rPr>
              <w:t>43.69</w:t>
            </w:r>
          </w:p>
        </w:tc>
        <w:tc>
          <w:tcPr>
            <w:tcW w:w="954" w:type="dxa"/>
            <w:tcMar>
              <w:top w:w="0" w:type="dxa"/>
              <w:bottom w:w="0" w:type="dxa"/>
            </w:tcMar>
            <w:vAlign w:val="center"/>
          </w:tcPr>
          <w:p w14:paraId="38E36DAD" w14:textId="77777777" w:rsidR="004B0883" w:rsidRDefault="004B0883">
            <w:pPr>
              <w:jc w:val="right"/>
              <w:rPr>
                <w:sz w:val="20"/>
                <w:szCs w:val="20"/>
              </w:rPr>
            </w:pPr>
            <w:r>
              <w:rPr>
                <w:sz w:val="20"/>
                <w:szCs w:val="20"/>
              </w:rPr>
              <w:t>49.52</w:t>
            </w:r>
          </w:p>
        </w:tc>
        <w:tc>
          <w:tcPr>
            <w:tcW w:w="954" w:type="dxa"/>
            <w:tcMar>
              <w:top w:w="0" w:type="dxa"/>
              <w:bottom w:w="0" w:type="dxa"/>
            </w:tcMar>
            <w:vAlign w:val="center"/>
          </w:tcPr>
          <w:p w14:paraId="07F3537A" w14:textId="77777777" w:rsidR="004B0883" w:rsidRDefault="004B0883">
            <w:pPr>
              <w:jc w:val="right"/>
              <w:rPr>
                <w:sz w:val="20"/>
                <w:szCs w:val="20"/>
              </w:rPr>
            </w:pPr>
            <w:r>
              <w:rPr>
                <w:sz w:val="20"/>
                <w:szCs w:val="20"/>
              </w:rPr>
              <w:t>43.21</w:t>
            </w:r>
          </w:p>
        </w:tc>
        <w:tc>
          <w:tcPr>
            <w:tcW w:w="954" w:type="dxa"/>
            <w:tcMar>
              <w:top w:w="0" w:type="dxa"/>
              <w:bottom w:w="0" w:type="dxa"/>
            </w:tcMar>
            <w:vAlign w:val="center"/>
          </w:tcPr>
          <w:p w14:paraId="1CD629B1" w14:textId="77777777" w:rsidR="004B0883" w:rsidRDefault="004B0883">
            <w:pPr>
              <w:jc w:val="right"/>
              <w:rPr>
                <w:rFonts w:eastAsia="等线"/>
                <w:b/>
                <w:bCs/>
                <w:color w:val="000000"/>
                <w:sz w:val="20"/>
                <w:szCs w:val="20"/>
              </w:rPr>
            </w:pPr>
            <w:r>
              <w:rPr>
                <w:rFonts w:eastAsia="等线"/>
                <w:b/>
                <w:bCs/>
                <w:color w:val="000000"/>
                <w:sz w:val="20"/>
                <w:szCs w:val="20"/>
              </w:rPr>
              <w:t xml:space="preserve">45.49 </w:t>
            </w:r>
          </w:p>
        </w:tc>
        <w:tc>
          <w:tcPr>
            <w:tcW w:w="954" w:type="dxa"/>
            <w:tcMar>
              <w:top w:w="0" w:type="dxa"/>
              <w:bottom w:w="0" w:type="dxa"/>
            </w:tcMar>
            <w:vAlign w:val="center"/>
          </w:tcPr>
          <w:p w14:paraId="5F0A31E2" w14:textId="77777777" w:rsidR="004B0883" w:rsidRDefault="004B0883">
            <w:pPr>
              <w:jc w:val="right"/>
              <w:rPr>
                <w:rFonts w:eastAsia="等线"/>
                <w:b/>
                <w:bCs/>
                <w:color w:val="000000"/>
                <w:sz w:val="20"/>
                <w:szCs w:val="20"/>
              </w:rPr>
            </w:pPr>
            <w:r>
              <w:rPr>
                <w:rFonts w:eastAsia="等线"/>
                <w:b/>
                <w:bCs/>
                <w:color w:val="000000"/>
                <w:sz w:val="20"/>
                <w:szCs w:val="20"/>
              </w:rPr>
              <w:t>27.41</w:t>
            </w:r>
          </w:p>
        </w:tc>
      </w:tr>
      <w:tr w:rsidR="004B0883" w14:paraId="064E7807" w14:textId="77777777">
        <w:trPr>
          <w:trHeight w:val="397"/>
          <w:jc w:val="center"/>
        </w:trPr>
        <w:tc>
          <w:tcPr>
            <w:tcW w:w="1668" w:type="dxa"/>
            <w:vMerge/>
            <w:tcMar>
              <w:top w:w="0" w:type="dxa"/>
              <w:bottom w:w="0" w:type="dxa"/>
            </w:tcMar>
            <w:vAlign w:val="center"/>
          </w:tcPr>
          <w:p w14:paraId="1F1C1C3E" w14:textId="77777777" w:rsidR="004B0883" w:rsidRDefault="004B0883">
            <w:pPr>
              <w:widowControl w:val="0"/>
              <w:adjustRightInd w:val="0"/>
              <w:snapToGrid w:val="0"/>
              <w:rPr>
                <w:rFonts w:cs="宋体"/>
                <w:color w:val="000000"/>
                <w:kern w:val="0"/>
                <w:sz w:val="18"/>
                <w:szCs w:val="18"/>
              </w:rPr>
            </w:pPr>
          </w:p>
        </w:tc>
        <w:tc>
          <w:tcPr>
            <w:tcW w:w="1134" w:type="dxa"/>
            <w:tcMar>
              <w:top w:w="0" w:type="dxa"/>
              <w:bottom w:w="0" w:type="dxa"/>
            </w:tcMar>
            <w:vAlign w:val="center"/>
          </w:tcPr>
          <w:p w14:paraId="14743132" w14:textId="77777777" w:rsidR="004B0883" w:rsidRDefault="004B0883">
            <w:pPr>
              <w:widowControl w:val="0"/>
              <w:adjustRightInd w:val="0"/>
              <w:snapToGrid w:val="0"/>
              <w:rPr>
                <w:color w:val="000000"/>
                <w:kern w:val="0"/>
                <w:sz w:val="20"/>
                <w:szCs w:val="20"/>
              </w:rPr>
            </w:pPr>
            <w:r>
              <w:rPr>
                <w:color w:val="000000"/>
                <w:kern w:val="0"/>
                <w:sz w:val="20"/>
                <w:szCs w:val="20"/>
              </w:rPr>
              <w:t>2020.12.31</w:t>
            </w:r>
          </w:p>
        </w:tc>
        <w:tc>
          <w:tcPr>
            <w:tcW w:w="954" w:type="dxa"/>
            <w:tcMar>
              <w:top w:w="0" w:type="dxa"/>
              <w:bottom w:w="0" w:type="dxa"/>
            </w:tcMar>
            <w:vAlign w:val="center"/>
          </w:tcPr>
          <w:p w14:paraId="48900742" w14:textId="77777777" w:rsidR="004B0883" w:rsidRDefault="004B0883">
            <w:pPr>
              <w:jc w:val="right"/>
              <w:rPr>
                <w:sz w:val="20"/>
                <w:szCs w:val="20"/>
              </w:rPr>
            </w:pPr>
            <w:r>
              <w:rPr>
                <w:sz w:val="20"/>
                <w:szCs w:val="20"/>
              </w:rPr>
              <w:t>39.78</w:t>
            </w:r>
          </w:p>
        </w:tc>
        <w:tc>
          <w:tcPr>
            <w:tcW w:w="954" w:type="dxa"/>
            <w:tcMar>
              <w:top w:w="0" w:type="dxa"/>
              <w:bottom w:w="0" w:type="dxa"/>
            </w:tcMar>
            <w:vAlign w:val="center"/>
          </w:tcPr>
          <w:p w14:paraId="58733C60" w14:textId="77777777" w:rsidR="004B0883" w:rsidRDefault="004B0883">
            <w:pPr>
              <w:jc w:val="right"/>
              <w:rPr>
                <w:sz w:val="20"/>
                <w:szCs w:val="20"/>
              </w:rPr>
            </w:pPr>
            <w:r>
              <w:rPr>
                <w:sz w:val="20"/>
                <w:szCs w:val="20"/>
              </w:rPr>
              <w:t>50.81</w:t>
            </w:r>
          </w:p>
        </w:tc>
        <w:tc>
          <w:tcPr>
            <w:tcW w:w="954" w:type="dxa"/>
            <w:tcMar>
              <w:top w:w="0" w:type="dxa"/>
              <w:bottom w:w="0" w:type="dxa"/>
            </w:tcMar>
            <w:vAlign w:val="center"/>
          </w:tcPr>
          <w:p w14:paraId="57E02111" w14:textId="77777777" w:rsidR="004B0883" w:rsidRDefault="004B0883">
            <w:pPr>
              <w:jc w:val="right"/>
              <w:rPr>
                <w:sz w:val="20"/>
                <w:szCs w:val="20"/>
              </w:rPr>
            </w:pPr>
            <w:r>
              <w:rPr>
                <w:sz w:val="20"/>
                <w:szCs w:val="20"/>
              </w:rPr>
              <w:t>45.69</w:t>
            </w:r>
          </w:p>
        </w:tc>
        <w:tc>
          <w:tcPr>
            <w:tcW w:w="954" w:type="dxa"/>
            <w:tcMar>
              <w:top w:w="0" w:type="dxa"/>
              <w:bottom w:w="0" w:type="dxa"/>
            </w:tcMar>
            <w:vAlign w:val="center"/>
          </w:tcPr>
          <w:p w14:paraId="4C615C1F" w14:textId="77777777" w:rsidR="004B0883" w:rsidRDefault="004B0883">
            <w:pPr>
              <w:jc w:val="right"/>
              <w:rPr>
                <w:sz w:val="20"/>
                <w:szCs w:val="20"/>
              </w:rPr>
            </w:pPr>
            <w:r>
              <w:rPr>
                <w:sz w:val="20"/>
                <w:szCs w:val="20"/>
              </w:rPr>
              <w:t>37.43</w:t>
            </w:r>
          </w:p>
        </w:tc>
        <w:tc>
          <w:tcPr>
            <w:tcW w:w="954" w:type="dxa"/>
            <w:tcMar>
              <w:top w:w="0" w:type="dxa"/>
              <w:bottom w:w="0" w:type="dxa"/>
            </w:tcMar>
            <w:vAlign w:val="center"/>
          </w:tcPr>
          <w:p w14:paraId="4E17EE06" w14:textId="77777777" w:rsidR="004B0883" w:rsidRDefault="004B0883">
            <w:pPr>
              <w:jc w:val="right"/>
              <w:rPr>
                <w:rFonts w:eastAsia="等线"/>
                <w:b/>
                <w:bCs/>
                <w:color w:val="000000"/>
                <w:sz w:val="20"/>
                <w:szCs w:val="20"/>
              </w:rPr>
            </w:pPr>
            <w:r>
              <w:rPr>
                <w:rFonts w:eastAsia="等线"/>
                <w:b/>
                <w:bCs/>
                <w:color w:val="000000"/>
                <w:sz w:val="20"/>
                <w:szCs w:val="20"/>
              </w:rPr>
              <w:t xml:space="preserve">43.43 </w:t>
            </w:r>
          </w:p>
        </w:tc>
        <w:tc>
          <w:tcPr>
            <w:tcW w:w="954" w:type="dxa"/>
            <w:tcMar>
              <w:top w:w="0" w:type="dxa"/>
              <w:bottom w:w="0" w:type="dxa"/>
            </w:tcMar>
            <w:vAlign w:val="center"/>
          </w:tcPr>
          <w:p w14:paraId="07133114" w14:textId="77777777" w:rsidR="004B0883" w:rsidRDefault="004B0883">
            <w:pPr>
              <w:jc w:val="right"/>
              <w:rPr>
                <w:rFonts w:eastAsia="等线"/>
                <w:b/>
                <w:bCs/>
                <w:color w:val="000000"/>
                <w:sz w:val="20"/>
                <w:szCs w:val="20"/>
              </w:rPr>
            </w:pPr>
            <w:r>
              <w:rPr>
                <w:rFonts w:eastAsia="等线"/>
                <w:b/>
                <w:bCs/>
                <w:color w:val="000000"/>
                <w:sz w:val="20"/>
                <w:szCs w:val="20"/>
              </w:rPr>
              <w:t>23.74</w:t>
            </w:r>
          </w:p>
        </w:tc>
      </w:tr>
    </w:tbl>
    <w:p w14:paraId="0B5F5B05" w14:textId="77777777" w:rsidR="004B0883" w:rsidRDefault="004B0883">
      <w:pPr>
        <w:pStyle w:val="005"/>
        <w:spacing w:before="120"/>
        <w:ind w:firstLine="480"/>
        <w:rPr>
          <w:rFonts w:hint="eastAsia"/>
          <w:szCs w:val="24"/>
        </w:rPr>
      </w:pPr>
      <w:r>
        <w:rPr>
          <w:rFonts w:hint="eastAsia"/>
          <w:szCs w:val="24"/>
        </w:rPr>
        <w:t>报告期各期末，公司流动比率与速动比率略高于同行业可比上市公司水平，主要系公司为应对逐渐增加的订单，保持适度的营运资金所致。报告期各期末，公司资产负债率低于同行业可比公司平均值，主要因为公司较为谨慎，较少运用债务工具所致。</w:t>
      </w:r>
    </w:p>
    <w:p w14:paraId="64338450" w14:textId="77777777" w:rsidR="004B0883" w:rsidRDefault="004B0883">
      <w:pPr>
        <w:pStyle w:val="003"/>
        <w:spacing w:before="120" w:after="120"/>
        <w:rPr>
          <w:rFonts w:hint="eastAsia"/>
        </w:rPr>
      </w:pPr>
      <w:r>
        <w:rPr>
          <w:rFonts w:hint="eastAsia"/>
        </w:rPr>
        <w:t>（四）营运能力分析</w:t>
      </w:r>
    </w:p>
    <w:p w14:paraId="2767E56E" w14:textId="77777777" w:rsidR="004B0883" w:rsidRDefault="004B0883">
      <w:pPr>
        <w:pStyle w:val="004"/>
        <w:spacing w:before="120" w:after="120"/>
        <w:ind w:firstLine="482"/>
        <w:rPr>
          <w:rFonts w:hint="eastAsia"/>
          <w:kern w:val="0"/>
        </w:rPr>
      </w:pPr>
      <w:r>
        <w:rPr>
          <w:rFonts w:hint="eastAsia"/>
          <w:kern w:val="0"/>
        </w:rPr>
        <w:t>1</w:t>
      </w:r>
      <w:r>
        <w:rPr>
          <w:rFonts w:hint="eastAsia"/>
          <w:kern w:val="0"/>
        </w:rPr>
        <w:t>、营运能力指标</w:t>
      </w:r>
    </w:p>
    <w:p w14:paraId="57D963CF" w14:textId="77777777" w:rsidR="004B0883" w:rsidRDefault="004B0883">
      <w:pPr>
        <w:widowControl w:val="0"/>
        <w:spacing w:beforeLines="50" w:before="120" w:line="360" w:lineRule="auto"/>
        <w:ind w:firstLineChars="200" w:firstLine="480"/>
        <w:jc w:val="both"/>
        <w:rPr>
          <w:sz w:val="24"/>
          <w:szCs w:val="22"/>
        </w:rPr>
      </w:pPr>
      <w:r>
        <w:rPr>
          <w:sz w:val="24"/>
          <w:szCs w:val="22"/>
        </w:rPr>
        <w:t>报告期内，与公司</w:t>
      </w:r>
      <w:r>
        <w:rPr>
          <w:rFonts w:hint="eastAsia"/>
          <w:sz w:val="24"/>
          <w:szCs w:val="22"/>
        </w:rPr>
        <w:t>营运</w:t>
      </w:r>
      <w:r>
        <w:rPr>
          <w:sz w:val="24"/>
          <w:szCs w:val="22"/>
        </w:rPr>
        <w:t>能力相关的主要财务指标如下：</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305"/>
        <w:gridCol w:w="1494"/>
        <w:gridCol w:w="1494"/>
        <w:gridCol w:w="1493"/>
        <w:gridCol w:w="1494"/>
      </w:tblGrid>
      <w:tr w:rsidR="004B0883" w14:paraId="5B3E3A22" w14:textId="77777777">
        <w:trPr>
          <w:trHeight w:val="397"/>
          <w:tblHeader/>
          <w:jc w:val="center"/>
        </w:trPr>
        <w:tc>
          <w:tcPr>
            <w:tcW w:w="2376" w:type="dxa"/>
            <w:shd w:val="clear" w:color="auto" w:fill="D9D9D9"/>
            <w:tcMar>
              <w:top w:w="0" w:type="dxa"/>
              <w:bottom w:w="0" w:type="dxa"/>
            </w:tcMar>
            <w:vAlign w:val="center"/>
          </w:tcPr>
          <w:p w14:paraId="49D6D48A" w14:textId="77777777" w:rsidR="004B0883" w:rsidRDefault="004B0883">
            <w:pPr>
              <w:widowControl w:val="0"/>
              <w:autoSpaceDE w:val="0"/>
              <w:autoSpaceDN w:val="0"/>
              <w:adjustRightInd w:val="0"/>
              <w:snapToGrid w:val="0"/>
              <w:jc w:val="center"/>
              <w:rPr>
                <w:b/>
                <w:kern w:val="0"/>
              </w:rPr>
            </w:pPr>
            <w:r>
              <w:rPr>
                <w:b/>
                <w:kern w:val="0"/>
              </w:rPr>
              <w:t>财务指标</w:t>
            </w:r>
          </w:p>
        </w:tc>
        <w:tc>
          <w:tcPr>
            <w:tcW w:w="1537" w:type="dxa"/>
            <w:shd w:val="clear" w:color="auto" w:fill="D9D9D9"/>
            <w:tcMar>
              <w:top w:w="0" w:type="dxa"/>
              <w:bottom w:w="0" w:type="dxa"/>
            </w:tcMar>
            <w:vAlign w:val="center"/>
          </w:tcPr>
          <w:p w14:paraId="51A491E4" w14:textId="77777777" w:rsidR="004B0883" w:rsidRDefault="004B0883">
            <w:pPr>
              <w:widowControl w:val="0"/>
              <w:autoSpaceDE w:val="0"/>
              <w:autoSpaceDN w:val="0"/>
              <w:adjustRightInd w:val="0"/>
              <w:snapToGrid w:val="0"/>
              <w:jc w:val="center"/>
              <w:rPr>
                <w:b/>
                <w:kern w:val="0"/>
              </w:rPr>
            </w:pPr>
            <w:r>
              <w:rPr>
                <w:b/>
              </w:rPr>
              <w:t>2023</w:t>
            </w:r>
            <w:r>
              <w:rPr>
                <w:b/>
              </w:rPr>
              <w:t>年</w:t>
            </w:r>
            <w:r>
              <w:rPr>
                <w:b/>
              </w:rPr>
              <w:t>1-</w:t>
            </w:r>
            <w:r>
              <w:rPr>
                <w:rFonts w:hint="eastAsia"/>
                <w:b/>
              </w:rPr>
              <w:t>9</w:t>
            </w:r>
            <w:r>
              <w:rPr>
                <w:b/>
              </w:rPr>
              <w:t>月</w:t>
            </w:r>
          </w:p>
        </w:tc>
        <w:tc>
          <w:tcPr>
            <w:tcW w:w="1538" w:type="dxa"/>
            <w:shd w:val="clear" w:color="auto" w:fill="D9D9D9"/>
            <w:tcMar>
              <w:top w:w="0" w:type="dxa"/>
              <w:bottom w:w="0" w:type="dxa"/>
            </w:tcMar>
            <w:vAlign w:val="center"/>
          </w:tcPr>
          <w:p w14:paraId="317DB6EA" w14:textId="77777777" w:rsidR="004B0883" w:rsidRDefault="004B0883">
            <w:pPr>
              <w:widowControl w:val="0"/>
              <w:autoSpaceDE w:val="0"/>
              <w:autoSpaceDN w:val="0"/>
              <w:adjustRightInd w:val="0"/>
              <w:snapToGrid w:val="0"/>
              <w:jc w:val="center"/>
              <w:rPr>
                <w:b/>
                <w:kern w:val="0"/>
              </w:rPr>
            </w:pPr>
            <w:r>
              <w:rPr>
                <w:b/>
              </w:rPr>
              <w:t>2022</w:t>
            </w:r>
            <w:r>
              <w:rPr>
                <w:b/>
              </w:rPr>
              <w:t>年度</w:t>
            </w:r>
          </w:p>
        </w:tc>
        <w:tc>
          <w:tcPr>
            <w:tcW w:w="1537" w:type="dxa"/>
            <w:shd w:val="clear" w:color="auto" w:fill="D9D9D9"/>
            <w:tcMar>
              <w:top w:w="0" w:type="dxa"/>
              <w:bottom w:w="0" w:type="dxa"/>
            </w:tcMar>
            <w:vAlign w:val="center"/>
          </w:tcPr>
          <w:p w14:paraId="3EDEF5BE" w14:textId="77777777" w:rsidR="004B0883" w:rsidRDefault="004B0883">
            <w:pPr>
              <w:widowControl w:val="0"/>
              <w:autoSpaceDE w:val="0"/>
              <w:autoSpaceDN w:val="0"/>
              <w:adjustRightInd w:val="0"/>
              <w:snapToGrid w:val="0"/>
              <w:jc w:val="center"/>
              <w:rPr>
                <w:b/>
                <w:kern w:val="0"/>
              </w:rPr>
            </w:pPr>
            <w:r>
              <w:rPr>
                <w:b/>
              </w:rPr>
              <w:t>2021</w:t>
            </w:r>
            <w:r>
              <w:rPr>
                <w:b/>
              </w:rPr>
              <w:t>年度</w:t>
            </w:r>
          </w:p>
        </w:tc>
        <w:tc>
          <w:tcPr>
            <w:tcW w:w="1538" w:type="dxa"/>
            <w:shd w:val="clear" w:color="auto" w:fill="D9D9D9"/>
            <w:tcMar>
              <w:top w:w="0" w:type="dxa"/>
              <w:bottom w:w="0" w:type="dxa"/>
            </w:tcMar>
            <w:vAlign w:val="center"/>
          </w:tcPr>
          <w:p w14:paraId="0A863F7C" w14:textId="77777777" w:rsidR="004B0883" w:rsidRDefault="004B0883">
            <w:pPr>
              <w:widowControl w:val="0"/>
              <w:autoSpaceDE w:val="0"/>
              <w:autoSpaceDN w:val="0"/>
              <w:adjustRightInd w:val="0"/>
              <w:snapToGrid w:val="0"/>
              <w:jc w:val="center"/>
              <w:rPr>
                <w:b/>
                <w:kern w:val="0"/>
              </w:rPr>
            </w:pPr>
            <w:r>
              <w:rPr>
                <w:b/>
              </w:rPr>
              <w:t>2020</w:t>
            </w:r>
            <w:r>
              <w:rPr>
                <w:b/>
              </w:rPr>
              <w:t>年度</w:t>
            </w:r>
          </w:p>
        </w:tc>
      </w:tr>
      <w:tr w:rsidR="004B0883" w14:paraId="2BF4F07E" w14:textId="77777777">
        <w:trPr>
          <w:trHeight w:val="397"/>
          <w:jc w:val="center"/>
        </w:trPr>
        <w:tc>
          <w:tcPr>
            <w:tcW w:w="2376" w:type="dxa"/>
            <w:tcMar>
              <w:top w:w="0" w:type="dxa"/>
              <w:bottom w:w="0" w:type="dxa"/>
            </w:tcMar>
            <w:vAlign w:val="center"/>
          </w:tcPr>
          <w:p w14:paraId="7D490C21" w14:textId="77777777" w:rsidR="004B0883" w:rsidRDefault="004B0883">
            <w:pPr>
              <w:widowControl w:val="0"/>
              <w:autoSpaceDE w:val="0"/>
              <w:autoSpaceDN w:val="0"/>
              <w:adjustRightInd w:val="0"/>
              <w:snapToGrid w:val="0"/>
              <w:rPr>
                <w:kern w:val="0"/>
              </w:rPr>
            </w:pPr>
            <w:r>
              <w:rPr>
                <w:kern w:val="0"/>
              </w:rPr>
              <w:t>应收账款周转率</w:t>
            </w:r>
            <w:r>
              <w:rPr>
                <w:rFonts w:hint="eastAsia"/>
                <w:kern w:val="0"/>
              </w:rPr>
              <w:t>（次）</w:t>
            </w:r>
          </w:p>
        </w:tc>
        <w:tc>
          <w:tcPr>
            <w:tcW w:w="1537" w:type="dxa"/>
            <w:tcMar>
              <w:top w:w="0" w:type="dxa"/>
              <w:bottom w:w="0" w:type="dxa"/>
            </w:tcMar>
            <w:vAlign w:val="center"/>
          </w:tcPr>
          <w:p w14:paraId="76634FC3" w14:textId="77777777" w:rsidR="004B0883" w:rsidRDefault="004B0883">
            <w:pPr>
              <w:jc w:val="right"/>
              <w:rPr>
                <w:rFonts w:hint="eastAsia"/>
                <w:color w:val="000000"/>
              </w:rPr>
            </w:pPr>
            <w:r>
              <w:rPr>
                <w:rFonts w:hint="eastAsia"/>
                <w:color w:val="000000"/>
              </w:rPr>
              <w:t>4.66</w:t>
            </w:r>
          </w:p>
        </w:tc>
        <w:tc>
          <w:tcPr>
            <w:tcW w:w="1538" w:type="dxa"/>
            <w:tcMar>
              <w:top w:w="0" w:type="dxa"/>
              <w:bottom w:w="0" w:type="dxa"/>
            </w:tcMar>
            <w:vAlign w:val="center"/>
          </w:tcPr>
          <w:p w14:paraId="5AF7DCC1" w14:textId="77777777" w:rsidR="004B0883" w:rsidRDefault="004B0883">
            <w:pPr>
              <w:jc w:val="right"/>
              <w:rPr>
                <w:color w:val="000000"/>
              </w:rPr>
            </w:pPr>
            <w:r>
              <w:rPr>
                <w:color w:val="000000"/>
              </w:rPr>
              <w:t>7.13</w:t>
            </w:r>
          </w:p>
        </w:tc>
        <w:tc>
          <w:tcPr>
            <w:tcW w:w="1537" w:type="dxa"/>
            <w:tcMar>
              <w:top w:w="0" w:type="dxa"/>
              <w:bottom w:w="0" w:type="dxa"/>
            </w:tcMar>
            <w:vAlign w:val="center"/>
          </w:tcPr>
          <w:p w14:paraId="71DCCE1F" w14:textId="77777777" w:rsidR="004B0883" w:rsidRDefault="004B0883">
            <w:pPr>
              <w:jc w:val="right"/>
              <w:rPr>
                <w:color w:val="000000"/>
              </w:rPr>
            </w:pPr>
            <w:r>
              <w:rPr>
                <w:color w:val="000000"/>
              </w:rPr>
              <w:t>6.77</w:t>
            </w:r>
          </w:p>
        </w:tc>
        <w:tc>
          <w:tcPr>
            <w:tcW w:w="1538" w:type="dxa"/>
            <w:tcMar>
              <w:top w:w="0" w:type="dxa"/>
              <w:bottom w:w="0" w:type="dxa"/>
            </w:tcMar>
            <w:vAlign w:val="center"/>
          </w:tcPr>
          <w:p w14:paraId="3EDC7EB0" w14:textId="77777777" w:rsidR="004B0883" w:rsidRDefault="004B0883">
            <w:pPr>
              <w:jc w:val="right"/>
              <w:rPr>
                <w:color w:val="000000"/>
              </w:rPr>
            </w:pPr>
            <w:r>
              <w:rPr>
                <w:color w:val="000000"/>
              </w:rPr>
              <w:t>5.84</w:t>
            </w:r>
          </w:p>
        </w:tc>
      </w:tr>
      <w:tr w:rsidR="004B0883" w14:paraId="6BB7E35F" w14:textId="77777777">
        <w:trPr>
          <w:trHeight w:val="397"/>
          <w:jc w:val="center"/>
        </w:trPr>
        <w:tc>
          <w:tcPr>
            <w:tcW w:w="2376" w:type="dxa"/>
            <w:tcMar>
              <w:top w:w="0" w:type="dxa"/>
              <w:bottom w:w="0" w:type="dxa"/>
            </w:tcMar>
            <w:vAlign w:val="center"/>
          </w:tcPr>
          <w:p w14:paraId="6EBAE158" w14:textId="77777777" w:rsidR="004B0883" w:rsidRDefault="004B0883">
            <w:pPr>
              <w:widowControl w:val="0"/>
              <w:autoSpaceDE w:val="0"/>
              <w:autoSpaceDN w:val="0"/>
              <w:adjustRightInd w:val="0"/>
              <w:snapToGrid w:val="0"/>
              <w:rPr>
                <w:kern w:val="0"/>
              </w:rPr>
            </w:pPr>
            <w:r>
              <w:rPr>
                <w:kern w:val="0"/>
              </w:rPr>
              <w:t>存货周转率</w:t>
            </w:r>
            <w:r>
              <w:rPr>
                <w:rFonts w:hint="eastAsia"/>
                <w:kern w:val="0"/>
              </w:rPr>
              <w:t>（次）</w:t>
            </w:r>
          </w:p>
        </w:tc>
        <w:tc>
          <w:tcPr>
            <w:tcW w:w="1537" w:type="dxa"/>
            <w:tcMar>
              <w:top w:w="0" w:type="dxa"/>
              <w:bottom w:w="0" w:type="dxa"/>
            </w:tcMar>
            <w:vAlign w:val="center"/>
          </w:tcPr>
          <w:p w14:paraId="1263E96E" w14:textId="77777777" w:rsidR="004B0883" w:rsidRDefault="004B0883">
            <w:pPr>
              <w:jc w:val="right"/>
              <w:rPr>
                <w:rFonts w:hint="eastAsia"/>
                <w:color w:val="000000"/>
              </w:rPr>
            </w:pPr>
            <w:r>
              <w:rPr>
                <w:rFonts w:hint="eastAsia"/>
                <w:color w:val="000000"/>
              </w:rPr>
              <w:t>2.25</w:t>
            </w:r>
          </w:p>
        </w:tc>
        <w:tc>
          <w:tcPr>
            <w:tcW w:w="1538" w:type="dxa"/>
            <w:tcMar>
              <w:top w:w="0" w:type="dxa"/>
              <w:bottom w:w="0" w:type="dxa"/>
            </w:tcMar>
            <w:vAlign w:val="center"/>
          </w:tcPr>
          <w:p w14:paraId="1DFEC933" w14:textId="77777777" w:rsidR="004B0883" w:rsidRDefault="004B0883">
            <w:pPr>
              <w:jc w:val="right"/>
              <w:rPr>
                <w:color w:val="000000"/>
              </w:rPr>
            </w:pPr>
            <w:r>
              <w:rPr>
                <w:color w:val="000000"/>
              </w:rPr>
              <w:t>2.92</w:t>
            </w:r>
          </w:p>
        </w:tc>
        <w:tc>
          <w:tcPr>
            <w:tcW w:w="1537" w:type="dxa"/>
            <w:tcMar>
              <w:top w:w="0" w:type="dxa"/>
              <w:bottom w:w="0" w:type="dxa"/>
            </w:tcMar>
            <w:vAlign w:val="center"/>
          </w:tcPr>
          <w:p w14:paraId="527971C2" w14:textId="77777777" w:rsidR="004B0883" w:rsidRDefault="004B0883">
            <w:pPr>
              <w:jc w:val="right"/>
              <w:rPr>
                <w:color w:val="000000"/>
              </w:rPr>
            </w:pPr>
            <w:r>
              <w:rPr>
                <w:color w:val="000000"/>
              </w:rPr>
              <w:t>3.00</w:t>
            </w:r>
          </w:p>
        </w:tc>
        <w:tc>
          <w:tcPr>
            <w:tcW w:w="1538" w:type="dxa"/>
            <w:tcMar>
              <w:top w:w="0" w:type="dxa"/>
              <w:bottom w:w="0" w:type="dxa"/>
            </w:tcMar>
            <w:vAlign w:val="center"/>
          </w:tcPr>
          <w:p w14:paraId="180DFD37" w14:textId="77777777" w:rsidR="004B0883" w:rsidRDefault="004B0883">
            <w:pPr>
              <w:jc w:val="right"/>
              <w:rPr>
                <w:color w:val="000000"/>
              </w:rPr>
            </w:pPr>
            <w:r>
              <w:rPr>
                <w:color w:val="000000"/>
              </w:rPr>
              <w:t>3.13</w:t>
            </w:r>
          </w:p>
        </w:tc>
      </w:tr>
      <w:tr w:rsidR="004B0883" w14:paraId="0A55976D" w14:textId="77777777">
        <w:trPr>
          <w:trHeight w:val="397"/>
          <w:jc w:val="center"/>
        </w:trPr>
        <w:tc>
          <w:tcPr>
            <w:tcW w:w="2376" w:type="dxa"/>
            <w:tcMar>
              <w:top w:w="0" w:type="dxa"/>
              <w:bottom w:w="0" w:type="dxa"/>
            </w:tcMar>
            <w:vAlign w:val="center"/>
          </w:tcPr>
          <w:p w14:paraId="089A9CCA" w14:textId="77777777" w:rsidR="004B0883" w:rsidRDefault="004B0883">
            <w:pPr>
              <w:widowControl w:val="0"/>
              <w:autoSpaceDE w:val="0"/>
              <w:autoSpaceDN w:val="0"/>
              <w:adjustRightInd w:val="0"/>
              <w:snapToGrid w:val="0"/>
              <w:rPr>
                <w:kern w:val="0"/>
              </w:rPr>
            </w:pPr>
            <w:r>
              <w:rPr>
                <w:kern w:val="0"/>
              </w:rPr>
              <w:t>总资产周转率</w:t>
            </w:r>
            <w:r>
              <w:rPr>
                <w:rFonts w:hint="eastAsia"/>
                <w:kern w:val="0"/>
              </w:rPr>
              <w:t>（次）</w:t>
            </w:r>
          </w:p>
        </w:tc>
        <w:tc>
          <w:tcPr>
            <w:tcW w:w="1537" w:type="dxa"/>
            <w:tcMar>
              <w:top w:w="0" w:type="dxa"/>
              <w:bottom w:w="0" w:type="dxa"/>
            </w:tcMar>
            <w:vAlign w:val="center"/>
          </w:tcPr>
          <w:p w14:paraId="2E7DACCD" w14:textId="77777777" w:rsidR="004B0883" w:rsidRDefault="004B0883">
            <w:pPr>
              <w:jc w:val="right"/>
              <w:rPr>
                <w:rFonts w:hint="eastAsia"/>
                <w:color w:val="000000"/>
              </w:rPr>
            </w:pPr>
            <w:r>
              <w:rPr>
                <w:rFonts w:hint="eastAsia"/>
                <w:color w:val="000000"/>
              </w:rPr>
              <w:t>39.89</w:t>
            </w:r>
            <w:r>
              <w:rPr>
                <w:color w:val="000000"/>
              </w:rPr>
              <w:t>%</w:t>
            </w:r>
          </w:p>
        </w:tc>
        <w:tc>
          <w:tcPr>
            <w:tcW w:w="1538" w:type="dxa"/>
            <w:tcMar>
              <w:top w:w="0" w:type="dxa"/>
              <w:bottom w:w="0" w:type="dxa"/>
            </w:tcMar>
            <w:vAlign w:val="center"/>
          </w:tcPr>
          <w:p w14:paraId="265B0FE3" w14:textId="77777777" w:rsidR="004B0883" w:rsidRDefault="004B0883">
            <w:pPr>
              <w:jc w:val="right"/>
              <w:rPr>
                <w:color w:val="000000"/>
              </w:rPr>
            </w:pPr>
            <w:r>
              <w:rPr>
                <w:color w:val="000000"/>
              </w:rPr>
              <w:t>57.34%</w:t>
            </w:r>
          </w:p>
        </w:tc>
        <w:tc>
          <w:tcPr>
            <w:tcW w:w="1537" w:type="dxa"/>
            <w:tcMar>
              <w:top w:w="0" w:type="dxa"/>
              <w:bottom w:w="0" w:type="dxa"/>
            </w:tcMar>
            <w:vAlign w:val="center"/>
          </w:tcPr>
          <w:p w14:paraId="0E7D4206" w14:textId="77777777" w:rsidR="004B0883" w:rsidRDefault="004B0883">
            <w:pPr>
              <w:jc w:val="right"/>
              <w:rPr>
                <w:color w:val="000000"/>
              </w:rPr>
            </w:pPr>
            <w:r>
              <w:rPr>
                <w:color w:val="000000"/>
              </w:rPr>
              <w:t>47.19%</w:t>
            </w:r>
          </w:p>
        </w:tc>
        <w:tc>
          <w:tcPr>
            <w:tcW w:w="1538" w:type="dxa"/>
            <w:tcMar>
              <w:top w:w="0" w:type="dxa"/>
              <w:bottom w:w="0" w:type="dxa"/>
            </w:tcMar>
            <w:vAlign w:val="center"/>
          </w:tcPr>
          <w:p w14:paraId="765A8963" w14:textId="77777777" w:rsidR="004B0883" w:rsidRDefault="004B0883">
            <w:pPr>
              <w:jc w:val="right"/>
              <w:rPr>
                <w:color w:val="000000"/>
              </w:rPr>
            </w:pPr>
            <w:r>
              <w:rPr>
                <w:color w:val="000000"/>
              </w:rPr>
              <w:t>41.28%</w:t>
            </w:r>
          </w:p>
        </w:tc>
      </w:tr>
    </w:tbl>
    <w:p w14:paraId="109ED8D6" w14:textId="77777777" w:rsidR="004B0883" w:rsidRDefault="004B0883">
      <w:pPr>
        <w:pStyle w:val="005"/>
        <w:spacing w:before="120"/>
        <w:ind w:firstLine="480"/>
        <w:rPr>
          <w:rFonts w:hint="eastAsia"/>
          <w:kern w:val="0"/>
        </w:rPr>
      </w:pPr>
      <w:r>
        <w:rPr>
          <w:rFonts w:hint="eastAsia"/>
          <w:szCs w:val="24"/>
        </w:rPr>
        <w:t>报告期内，公司应收账款周转率、存货周转率与总资产周转率总体呈现上升趋势，体现了公司销售情况良好，资产管理能力较强</w:t>
      </w:r>
      <w:r>
        <w:rPr>
          <w:rFonts w:hint="eastAsia"/>
          <w:kern w:val="0"/>
        </w:rPr>
        <w:t>。</w:t>
      </w:r>
    </w:p>
    <w:p w14:paraId="38F151F9" w14:textId="77777777" w:rsidR="004B0883" w:rsidRDefault="004B0883">
      <w:pPr>
        <w:pStyle w:val="004"/>
        <w:spacing w:before="120" w:after="120"/>
        <w:ind w:firstLine="482"/>
        <w:rPr>
          <w:rFonts w:hint="eastAsia"/>
          <w:kern w:val="0"/>
        </w:rPr>
      </w:pPr>
      <w:r>
        <w:rPr>
          <w:rFonts w:hint="eastAsia"/>
          <w:kern w:val="0"/>
        </w:rPr>
        <w:t>2</w:t>
      </w:r>
      <w:r>
        <w:rPr>
          <w:rFonts w:hint="eastAsia"/>
          <w:kern w:val="0"/>
        </w:rPr>
        <w:t>、可比上市公司情况分析</w:t>
      </w:r>
    </w:p>
    <w:p w14:paraId="1CE29B32" w14:textId="77777777" w:rsidR="004B0883" w:rsidRDefault="004B0883">
      <w:pPr>
        <w:widowControl w:val="0"/>
        <w:spacing w:beforeLines="50" w:before="120" w:line="360" w:lineRule="auto"/>
        <w:ind w:firstLineChars="200" w:firstLine="480"/>
        <w:jc w:val="both"/>
        <w:rPr>
          <w:sz w:val="24"/>
          <w:szCs w:val="22"/>
        </w:rPr>
      </w:pPr>
      <w:r>
        <w:rPr>
          <w:sz w:val="24"/>
          <w:szCs w:val="22"/>
        </w:rPr>
        <w:t>报告期内，公司与</w:t>
      </w:r>
      <w:r>
        <w:rPr>
          <w:rFonts w:hint="eastAsia"/>
          <w:sz w:val="24"/>
          <w:szCs w:val="22"/>
        </w:rPr>
        <w:t>同行业可比上市公司</w:t>
      </w:r>
      <w:r>
        <w:rPr>
          <w:sz w:val="24"/>
          <w:szCs w:val="22"/>
        </w:rPr>
        <w:t>的</w:t>
      </w:r>
      <w:r>
        <w:rPr>
          <w:rFonts w:hint="eastAsia"/>
          <w:sz w:val="24"/>
          <w:szCs w:val="22"/>
        </w:rPr>
        <w:t>营运</w:t>
      </w:r>
      <w:r>
        <w:rPr>
          <w:sz w:val="24"/>
          <w:szCs w:val="22"/>
        </w:rPr>
        <w:t>能力指标比较情况如下：</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80"/>
        <w:gridCol w:w="1171"/>
        <w:gridCol w:w="1006"/>
        <w:gridCol w:w="1007"/>
        <w:gridCol w:w="1006"/>
        <w:gridCol w:w="1006"/>
        <w:gridCol w:w="928"/>
        <w:gridCol w:w="1076"/>
      </w:tblGrid>
      <w:tr w:rsidR="004B0883" w14:paraId="087EB8B6" w14:textId="77777777">
        <w:trPr>
          <w:trHeight w:val="397"/>
          <w:tblHeader/>
          <w:jc w:val="center"/>
        </w:trPr>
        <w:tc>
          <w:tcPr>
            <w:tcW w:w="2277" w:type="dxa"/>
            <w:gridSpan w:val="2"/>
            <w:shd w:val="clear" w:color="auto" w:fill="D9D9D9"/>
            <w:tcMar>
              <w:top w:w="0" w:type="dxa"/>
              <w:bottom w:w="0" w:type="dxa"/>
            </w:tcMar>
            <w:vAlign w:val="center"/>
          </w:tcPr>
          <w:p w14:paraId="3C68898F" w14:textId="77777777" w:rsidR="004B0883" w:rsidRDefault="004B0883">
            <w:pPr>
              <w:widowControl w:val="0"/>
              <w:adjustRightInd w:val="0"/>
              <w:snapToGrid w:val="0"/>
              <w:jc w:val="center"/>
              <w:rPr>
                <w:b/>
                <w:bCs/>
                <w:color w:val="000000"/>
                <w:kern w:val="0"/>
                <w:sz w:val="20"/>
                <w:szCs w:val="20"/>
              </w:rPr>
            </w:pPr>
            <w:r>
              <w:rPr>
                <w:b/>
                <w:bCs/>
                <w:color w:val="000000"/>
                <w:kern w:val="0"/>
                <w:sz w:val="20"/>
                <w:szCs w:val="20"/>
              </w:rPr>
              <w:t>公司简称</w:t>
            </w:r>
          </w:p>
        </w:tc>
        <w:tc>
          <w:tcPr>
            <w:tcW w:w="1043" w:type="dxa"/>
            <w:shd w:val="clear" w:color="auto" w:fill="D9D9D9"/>
            <w:tcMar>
              <w:top w:w="0" w:type="dxa"/>
              <w:bottom w:w="0" w:type="dxa"/>
            </w:tcMar>
            <w:vAlign w:val="center"/>
          </w:tcPr>
          <w:p w14:paraId="1171F5DD" w14:textId="77777777" w:rsidR="004B0883" w:rsidRDefault="004B0883">
            <w:pPr>
              <w:widowControl w:val="0"/>
              <w:adjustRightInd w:val="0"/>
              <w:snapToGrid w:val="0"/>
              <w:jc w:val="center"/>
              <w:rPr>
                <w:b/>
                <w:bCs/>
                <w:color w:val="000000"/>
                <w:kern w:val="0"/>
                <w:sz w:val="20"/>
                <w:szCs w:val="20"/>
              </w:rPr>
            </w:pPr>
            <w:r>
              <w:rPr>
                <w:b/>
                <w:bCs/>
                <w:color w:val="000000"/>
                <w:kern w:val="0"/>
                <w:sz w:val="20"/>
                <w:szCs w:val="20"/>
              </w:rPr>
              <w:t>江苏神通</w:t>
            </w:r>
          </w:p>
        </w:tc>
        <w:tc>
          <w:tcPr>
            <w:tcW w:w="1044" w:type="dxa"/>
            <w:shd w:val="clear" w:color="auto" w:fill="D9D9D9"/>
            <w:tcMar>
              <w:top w:w="0" w:type="dxa"/>
              <w:bottom w:w="0" w:type="dxa"/>
            </w:tcMar>
            <w:vAlign w:val="center"/>
          </w:tcPr>
          <w:p w14:paraId="5BF1DAA1" w14:textId="77777777" w:rsidR="004B0883" w:rsidRDefault="004B0883">
            <w:pPr>
              <w:widowControl w:val="0"/>
              <w:adjustRightInd w:val="0"/>
              <w:snapToGrid w:val="0"/>
              <w:jc w:val="center"/>
              <w:rPr>
                <w:b/>
                <w:bCs/>
                <w:color w:val="000000"/>
                <w:kern w:val="0"/>
                <w:sz w:val="20"/>
                <w:szCs w:val="20"/>
              </w:rPr>
            </w:pPr>
            <w:r>
              <w:rPr>
                <w:b/>
                <w:bCs/>
                <w:color w:val="000000"/>
                <w:kern w:val="0"/>
                <w:sz w:val="20"/>
                <w:szCs w:val="20"/>
              </w:rPr>
              <w:t>冠龙节能</w:t>
            </w:r>
          </w:p>
        </w:tc>
        <w:tc>
          <w:tcPr>
            <w:tcW w:w="1043" w:type="dxa"/>
            <w:shd w:val="clear" w:color="auto" w:fill="D9D9D9"/>
            <w:tcMar>
              <w:top w:w="0" w:type="dxa"/>
              <w:bottom w:w="0" w:type="dxa"/>
            </w:tcMar>
            <w:vAlign w:val="center"/>
          </w:tcPr>
          <w:p w14:paraId="685D26EE" w14:textId="77777777" w:rsidR="004B0883" w:rsidRDefault="004B0883">
            <w:pPr>
              <w:widowControl w:val="0"/>
              <w:adjustRightInd w:val="0"/>
              <w:snapToGrid w:val="0"/>
              <w:jc w:val="center"/>
              <w:rPr>
                <w:b/>
                <w:bCs/>
                <w:color w:val="000000"/>
                <w:kern w:val="0"/>
                <w:sz w:val="20"/>
                <w:szCs w:val="20"/>
              </w:rPr>
            </w:pPr>
            <w:r>
              <w:rPr>
                <w:b/>
                <w:bCs/>
                <w:color w:val="000000"/>
                <w:kern w:val="0"/>
                <w:sz w:val="20"/>
                <w:szCs w:val="20"/>
              </w:rPr>
              <w:t>纽威股份</w:t>
            </w:r>
          </w:p>
        </w:tc>
        <w:tc>
          <w:tcPr>
            <w:tcW w:w="1043" w:type="dxa"/>
            <w:shd w:val="clear" w:color="auto" w:fill="D9D9D9"/>
            <w:tcMar>
              <w:top w:w="0" w:type="dxa"/>
              <w:bottom w:w="0" w:type="dxa"/>
            </w:tcMar>
            <w:vAlign w:val="center"/>
          </w:tcPr>
          <w:p w14:paraId="58AB6D7F" w14:textId="77777777" w:rsidR="004B0883" w:rsidRDefault="004B0883">
            <w:pPr>
              <w:widowControl w:val="0"/>
              <w:adjustRightInd w:val="0"/>
              <w:snapToGrid w:val="0"/>
              <w:jc w:val="center"/>
              <w:rPr>
                <w:b/>
                <w:bCs/>
                <w:color w:val="000000"/>
                <w:kern w:val="0"/>
                <w:sz w:val="20"/>
                <w:szCs w:val="20"/>
              </w:rPr>
            </w:pPr>
            <w:r>
              <w:rPr>
                <w:b/>
                <w:bCs/>
                <w:color w:val="000000"/>
                <w:kern w:val="0"/>
                <w:sz w:val="20"/>
                <w:szCs w:val="20"/>
              </w:rPr>
              <w:t>中核科技</w:t>
            </w:r>
          </w:p>
        </w:tc>
        <w:tc>
          <w:tcPr>
            <w:tcW w:w="958" w:type="dxa"/>
            <w:shd w:val="clear" w:color="auto" w:fill="D9D9D9"/>
            <w:vAlign w:val="center"/>
          </w:tcPr>
          <w:p w14:paraId="439496B3" w14:textId="77777777" w:rsidR="004B0883" w:rsidRDefault="004B0883">
            <w:pPr>
              <w:widowControl w:val="0"/>
              <w:adjustRightInd w:val="0"/>
              <w:snapToGrid w:val="0"/>
              <w:jc w:val="center"/>
              <w:rPr>
                <w:rFonts w:hint="eastAsia"/>
                <w:b/>
                <w:bCs/>
                <w:color w:val="000000"/>
                <w:kern w:val="0"/>
                <w:sz w:val="20"/>
                <w:szCs w:val="20"/>
              </w:rPr>
            </w:pPr>
            <w:r>
              <w:rPr>
                <w:rFonts w:hint="eastAsia"/>
                <w:b/>
                <w:bCs/>
                <w:color w:val="000000"/>
                <w:kern w:val="0"/>
                <w:sz w:val="20"/>
                <w:szCs w:val="20"/>
              </w:rPr>
              <w:t>平均值</w:t>
            </w:r>
          </w:p>
        </w:tc>
        <w:tc>
          <w:tcPr>
            <w:tcW w:w="1118" w:type="dxa"/>
            <w:shd w:val="clear" w:color="auto" w:fill="D9D9D9"/>
            <w:tcMar>
              <w:top w:w="0" w:type="dxa"/>
              <w:bottom w:w="0" w:type="dxa"/>
            </w:tcMar>
            <w:vAlign w:val="center"/>
          </w:tcPr>
          <w:p w14:paraId="36662AA4" w14:textId="77777777" w:rsidR="004B0883" w:rsidRDefault="004B0883">
            <w:pPr>
              <w:widowControl w:val="0"/>
              <w:adjustRightInd w:val="0"/>
              <w:snapToGrid w:val="0"/>
              <w:jc w:val="center"/>
              <w:rPr>
                <w:b/>
                <w:bCs/>
                <w:color w:val="000000"/>
                <w:kern w:val="0"/>
                <w:sz w:val="20"/>
                <w:szCs w:val="20"/>
              </w:rPr>
            </w:pPr>
            <w:r>
              <w:rPr>
                <w:b/>
                <w:bCs/>
                <w:color w:val="000000"/>
                <w:kern w:val="0"/>
                <w:sz w:val="20"/>
                <w:szCs w:val="20"/>
              </w:rPr>
              <w:t>伟隆股份</w:t>
            </w:r>
          </w:p>
        </w:tc>
      </w:tr>
      <w:tr w:rsidR="004B0883" w14:paraId="1C8F8B90" w14:textId="77777777">
        <w:trPr>
          <w:trHeight w:val="397"/>
          <w:jc w:val="center"/>
        </w:trPr>
        <w:tc>
          <w:tcPr>
            <w:tcW w:w="1101" w:type="dxa"/>
            <w:vMerge w:val="restart"/>
            <w:tcMar>
              <w:top w:w="0" w:type="dxa"/>
              <w:bottom w:w="0" w:type="dxa"/>
            </w:tcMar>
            <w:vAlign w:val="center"/>
          </w:tcPr>
          <w:p w14:paraId="0080DD83" w14:textId="77777777" w:rsidR="004B0883" w:rsidRDefault="004B0883">
            <w:pPr>
              <w:widowControl w:val="0"/>
              <w:adjustRightInd w:val="0"/>
              <w:snapToGrid w:val="0"/>
              <w:rPr>
                <w:rFonts w:hint="eastAsia"/>
                <w:color w:val="000000"/>
                <w:kern w:val="0"/>
                <w:sz w:val="20"/>
                <w:szCs w:val="20"/>
              </w:rPr>
            </w:pPr>
            <w:r>
              <w:rPr>
                <w:color w:val="000000"/>
                <w:kern w:val="0"/>
                <w:sz w:val="20"/>
                <w:szCs w:val="20"/>
              </w:rPr>
              <w:t>应收账款周转率</w:t>
            </w:r>
            <w:r>
              <w:rPr>
                <w:rFonts w:hint="eastAsia"/>
                <w:color w:val="000000"/>
                <w:kern w:val="0"/>
                <w:sz w:val="20"/>
                <w:szCs w:val="20"/>
              </w:rPr>
              <w:t>（次）</w:t>
            </w:r>
          </w:p>
        </w:tc>
        <w:tc>
          <w:tcPr>
            <w:tcW w:w="1176" w:type="dxa"/>
            <w:tcMar>
              <w:top w:w="0" w:type="dxa"/>
              <w:bottom w:w="0" w:type="dxa"/>
            </w:tcMar>
            <w:vAlign w:val="center"/>
          </w:tcPr>
          <w:p w14:paraId="6ABE9153" w14:textId="77777777" w:rsidR="004B0883" w:rsidRDefault="004B0883">
            <w:pPr>
              <w:widowControl w:val="0"/>
              <w:adjustRightInd w:val="0"/>
              <w:snapToGrid w:val="0"/>
              <w:rPr>
                <w:color w:val="000000"/>
                <w:kern w:val="0"/>
                <w:sz w:val="20"/>
                <w:szCs w:val="20"/>
              </w:rPr>
            </w:pPr>
            <w:r>
              <w:rPr>
                <w:color w:val="000000"/>
                <w:kern w:val="0"/>
                <w:sz w:val="20"/>
                <w:szCs w:val="20"/>
              </w:rPr>
              <w:t>2023.</w:t>
            </w:r>
            <w:r>
              <w:rPr>
                <w:rFonts w:hint="eastAsia"/>
                <w:color w:val="000000"/>
                <w:kern w:val="0"/>
                <w:sz w:val="20"/>
                <w:szCs w:val="20"/>
              </w:rPr>
              <w:t>9</w:t>
            </w:r>
            <w:r>
              <w:rPr>
                <w:color w:val="000000"/>
                <w:kern w:val="0"/>
                <w:sz w:val="20"/>
                <w:szCs w:val="20"/>
              </w:rPr>
              <w:t>.30</w:t>
            </w:r>
          </w:p>
        </w:tc>
        <w:tc>
          <w:tcPr>
            <w:tcW w:w="1043" w:type="dxa"/>
            <w:tcMar>
              <w:top w:w="0" w:type="dxa"/>
              <w:bottom w:w="0" w:type="dxa"/>
            </w:tcMar>
            <w:vAlign w:val="center"/>
          </w:tcPr>
          <w:p w14:paraId="2BDA19D6" w14:textId="77777777" w:rsidR="004B0883" w:rsidRDefault="004B0883">
            <w:pPr>
              <w:jc w:val="right"/>
              <w:rPr>
                <w:color w:val="000000"/>
                <w:sz w:val="20"/>
                <w:szCs w:val="20"/>
              </w:rPr>
            </w:pPr>
            <w:r>
              <w:rPr>
                <w:color w:val="000000"/>
                <w:sz w:val="20"/>
                <w:szCs w:val="20"/>
              </w:rPr>
              <w:t>1.67</w:t>
            </w:r>
          </w:p>
        </w:tc>
        <w:tc>
          <w:tcPr>
            <w:tcW w:w="1044" w:type="dxa"/>
            <w:tcMar>
              <w:top w:w="0" w:type="dxa"/>
              <w:bottom w:w="0" w:type="dxa"/>
            </w:tcMar>
            <w:vAlign w:val="center"/>
          </w:tcPr>
          <w:p w14:paraId="691DEF45" w14:textId="77777777" w:rsidR="004B0883" w:rsidRDefault="004B0883">
            <w:pPr>
              <w:jc w:val="right"/>
              <w:rPr>
                <w:color w:val="000000"/>
                <w:sz w:val="20"/>
                <w:szCs w:val="20"/>
              </w:rPr>
            </w:pPr>
            <w:r>
              <w:rPr>
                <w:color w:val="000000"/>
                <w:sz w:val="20"/>
                <w:szCs w:val="20"/>
              </w:rPr>
              <w:t>1.37</w:t>
            </w:r>
          </w:p>
        </w:tc>
        <w:tc>
          <w:tcPr>
            <w:tcW w:w="1043" w:type="dxa"/>
            <w:tcMar>
              <w:top w:w="0" w:type="dxa"/>
              <w:bottom w:w="0" w:type="dxa"/>
            </w:tcMar>
            <w:vAlign w:val="center"/>
          </w:tcPr>
          <w:p w14:paraId="3C7123AD" w14:textId="77777777" w:rsidR="004B0883" w:rsidRDefault="004B0883">
            <w:pPr>
              <w:jc w:val="right"/>
              <w:rPr>
                <w:color w:val="000000"/>
                <w:sz w:val="20"/>
                <w:szCs w:val="20"/>
              </w:rPr>
            </w:pPr>
            <w:r>
              <w:rPr>
                <w:color w:val="000000"/>
                <w:sz w:val="20"/>
                <w:szCs w:val="20"/>
              </w:rPr>
              <w:t>2.10</w:t>
            </w:r>
          </w:p>
        </w:tc>
        <w:tc>
          <w:tcPr>
            <w:tcW w:w="1043" w:type="dxa"/>
            <w:tcMar>
              <w:top w:w="0" w:type="dxa"/>
              <w:bottom w:w="0" w:type="dxa"/>
            </w:tcMar>
            <w:vAlign w:val="center"/>
          </w:tcPr>
          <w:p w14:paraId="5B72761E" w14:textId="77777777" w:rsidR="004B0883" w:rsidRDefault="004B0883">
            <w:pPr>
              <w:jc w:val="right"/>
              <w:rPr>
                <w:color w:val="000000"/>
                <w:sz w:val="20"/>
                <w:szCs w:val="20"/>
              </w:rPr>
            </w:pPr>
            <w:r>
              <w:rPr>
                <w:color w:val="000000"/>
                <w:sz w:val="20"/>
                <w:szCs w:val="20"/>
              </w:rPr>
              <w:t>1.33</w:t>
            </w:r>
          </w:p>
        </w:tc>
        <w:tc>
          <w:tcPr>
            <w:tcW w:w="958" w:type="dxa"/>
            <w:vAlign w:val="center"/>
          </w:tcPr>
          <w:p w14:paraId="512A47AC" w14:textId="77777777" w:rsidR="004B0883" w:rsidRDefault="004B0883">
            <w:pPr>
              <w:jc w:val="right"/>
              <w:rPr>
                <w:b/>
                <w:bCs/>
                <w:color w:val="000000"/>
                <w:sz w:val="20"/>
                <w:szCs w:val="20"/>
              </w:rPr>
            </w:pPr>
            <w:r>
              <w:rPr>
                <w:b/>
                <w:bCs/>
                <w:color w:val="000000"/>
                <w:sz w:val="20"/>
                <w:szCs w:val="20"/>
              </w:rPr>
              <w:t>1.</w:t>
            </w:r>
            <w:r>
              <w:rPr>
                <w:rFonts w:hint="eastAsia"/>
                <w:b/>
                <w:bCs/>
                <w:color w:val="000000"/>
                <w:sz w:val="20"/>
                <w:szCs w:val="20"/>
              </w:rPr>
              <w:t>62</w:t>
            </w:r>
          </w:p>
        </w:tc>
        <w:tc>
          <w:tcPr>
            <w:tcW w:w="1118" w:type="dxa"/>
            <w:tcMar>
              <w:top w:w="0" w:type="dxa"/>
              <w:bottom w:w="0" w:type="dxa"/>
            </w:tcMar>
            <w:vAlign w:val="center"/>
          </w:tcPr>
          <w:p w14:paraId="5E0C651A" w14:textId="77777777" w:rsidR="004B0883" w:rsidRDefault="004B0883">
            <w:pPr>
              <w:jc w:val="right"/>
              <w:rPr>
                <w:b/>
                <w:bCs/>
                <w:color w:val="000000"/>
                <w:sz w:val="20"/>
                <w:szCs w:val="20"/>
              </w:rPr>
            </w:pPr>
            <w:r>
              <w:rPr>
                <w:rFonts w:hint="eastAsia"/>
                <w:b/>
                <w:bCs/>
                <w:color w:val="000000"/>
                <w:sz w:val="20"/>
                <w:szCs w:val="20"/>
              </w:rPr>
              <w:t>4.66</w:t>
            </w:r>
          </w:p>
        </w:tc>
      </w:tr>
      <w:tr w:rsidR="004B0883" w14:paraId="0083A744" w14:textId="77777777">
        <w:trPr>
          <w:trHeight w:val="397"/>
          <w:jc w:val="center"/>
        </w:trPr>
        <w:tc>
          <w:tcPr>
            <w:tcW w:w="1101" w:type="dxa"/>
            <w:vMerge/>
            <w:tcMar>
              <w:top w:w="0" w:type="dxa"/>
              <w:bottom w:w="0" w:type="dxa"/>
            </w:tcMar>
            <w:vAlign w:val="center"/>
          </w:tcPr>
          <w:p w14:paraId="49E9C31E" w14:textId="77777777" w:rsidR="004B0883" w:rsidRDefault="004B0883">
            <w:pPr>
              <w:widowControl w:val="0"/>
              <w:adjustRightInd w:val="0"/>
              <w:snapToGrid w:val="0"/>
              <w:rPr>
                <w:color w:val="000000"/>
                <w:kern w:val="0"/>
                <w:sz w:val="20"/>
                <w:szCs w:val="20"/>
              </w:rPr>
            </w:pPr>
          </w:p>
        </w:tc>
        <w:tc>
          <w:tcPr>
            <w:tcW w:w="1176" w:type="dxa"/>
            <w:tcMar>
              <w:top w:w="0" w:type="dxa"/>
              <w:bottom w:w="0" w:type="dxa"/>
            </w:tcMar>
            <w:vAlign w:val="center"/>
          </w:tcPr>
          <w:p w14:paraId="27EF2B65" w14:textId="77777777" w:rsidR="004B0883" w:rsidRDefault="004B0883">
            <w:pPr>
              <w:widowControl w:val="0"/>
              <w:adjustRightInd w:val="0"/>
              <w:snapToGrid w:val="0"/>
              <w:rPr>
                <w:color w:val="000000"/>
                <w:kern w:val="0"/>
                <w:sz w:val="20"/>
                <w:szCs w:val="20"/>
              </w:rPr>
            </w:pPr>
            <w:r>
              <w:rPr>
                <w:color w:val="000000"/>
                <w:kern w:val="0"/>
                <w:sz w:val="20"/>
                <w:szCs w:val="20"/>
              </w:rPr>
              <w:t>2022.12.31</w:t>
            </w:r>
          </w:p>
        </w:tc>
        <w:tc>
          <w:tcPr>
            <w:tcW w:w="1043" w:type="dxa"/>
            <w:tcMar>
              <w:top w:w="0" w:type="dxa"/>
              <w:bottom w:w="0" w:type="dxa"/>
            </w:tcMar>
            <w:vAlign w:val="center"/>
          </w:tcPr>
          <w:p w14:paraId="1D607ED6" w14:textId="77777777" w:rsidR="004B0883" w:rsidRDefault="004B0883">
            <w:pPr>
              <w:jc w:val="right"/>
              <w:rPr>
                <w:color w:val="000000"/>
                <w:sz w:val="20"/>
                <w:szCs w:val="20"/>
              </w:rPr>
            </w:pPr>
            <w:r>
              <w:rPr>
                <w:color w:val="000000"/>
                <w:sz w:val="20"/>
                <w:szCs w:val="20"/>
              </w:rPr>
              <w:t>2.68</w:t>
            </w:r>
          </w:p>
        </w:tc>
        <w:tc>
          <w:tcPr>
            <w:tcW w:w="1044" w:type="dxa"/>
            <w:tcMar>
              <w:top w:w="0" w:type="dxa"/>
              <w:bottom w:w="0" w:type="dxa"/>
            </w:tcMar>
            <w:vAlign w:val="center"/>
          </w:tcPr>
          <w:p w14:paraId="19EE939D" w14:textId="77777777" w:rsidR="004B0883" w:rsidRDefault="004B0883">
            <w:pPr>
              <w:jc w:val="right"/>
              <w:rPr>
                <w:color w:val="000000"/>
                <w:sz w:val="20"/>
                <w:szCs w:val="20"/>
              </w:rPr>
            </w:pPr>
            <w:r>
              <w:rPr>
                <w:color w:val="000000"/>
                <w:sz w:val="20"/>
                <w:szCs w:val="20"/>
              </w:rPr>
              <w:t>2.02</w:t>
            </w:r>
          </w:p>
        </w:tc>
        <w:tc>
          <w:tcPr>
            <w:tcW w:w="1043" w:type="dxa"/>
            <w:tcMar>
              <w:top w:w="0" w:type="dxa"/>
              <w:bottom w:w="0" w:type="dxa"/>
            </w:tcMar>
            <w:vAlign w:val="center"/>
          </w:tcPr>
          <w:p w14:paraId="70A1A687" w14:textId="77777777" w:rsidR="004B0883" w:rsidRDefault="004B0883">
            <w:pPr>
              <w:jc w:val="right"/>
              <w:rPr>
                <w:color w:val="000000"/>
                <w:sz w:val="20"/>
                <w:szCs w:val="20"/>
              </w:rPr>
            </w:pPr>
            <w:r>
              <w:rPr>
                <w:color w:val="000000"/>
                <w:sz w:val="20"/>
                <w:szCs w:val="20"/>
              </w:rPr>
              <w:t>2.38</w:t>
            </w:r>
          </w:p>
        </w:tc>
        <w:tc>
          <w:tcPr>
            <w:tcW w:w="1043" w:type="dxa"/>
            <w:tcMar>
              <w:top w:w="0" w:type="dxa"/>
              <w:bottom w:w="0" w:type="dxa"/>
            </w:tcMar>
            <w:vAlign w:val="center"/>
          </w:tcPr>
          <w:p w14:paraId="047E879A" w14:textId="77777777" w:rsidR="004B0883" w:rsidRDefault="004B0883">
            <w:pPr>
              <w:jc w:val="right"/>
              <w:rPr>
                <w:color w:val="000000"/>
                <w:sz w:val="20"/>
                <w:szCs w:val="20"/>
              </w:rPr>
            </w:pPr>
            <w:r>
              <w:rPr>
                <w:color w:val="000000"/>
                <w:sz w:val="20"/>
                <w:szCs w:val="20"/>
              </w:rPr>
              <w:t>2.01</w:t>
            </w:r>
          </w:p>
        </w:tc>
        <w:tc>
          <w:tcPr>
            <w:tcW w:w="958" w:type="dxa"/>
            <w:vAlign w:val="center"/>
          </w:tcPr>
          <w:p w14:paraId="0524CA7C" w14:textId="77777777" w:rsidR="004B0883" w:rsidRDefault="004B0883">
            <w:pPr>
              <w:jc w:val="right"/>
              <w:rPr>
                <w:b/>
                <w:bCs/>
                <w:color w:val="000000"/>
                <w:sz w:val="20"/>
                <w:szCs w:val="20"/>
              </w:rPr>
            </w:pPr>
            <w:r>
              <w:rPr>
                <w:rFonts w:hint="eastAsia"/>
                <w:b/>
                <w:bCs/>
                <w:color w:val="000000"/>
                <w:sz w:val="20"/>
                <w:szCs w:val="20"/>
              </w:rPr>
              <w:t xml:space="preserve">2.27 </w:t>
            </w:r>
          </w:p>
        </w:tc>
        <w:tc>
          <w:tcPr>
            <w:tcW w:w="1118" w:type="dxa"/>
            <w:tcMar>
              <w:top w:w="0" w:type="dxa"/>
              <w:bottom w:w="0" w:type="dxa"/>
            </w:tcMar>
            <w:vAlign w:val="center"/>
          </w:tcPr>
          <w:p w14:paraId="6F78989D" w14:textId="77777777" w:rsidR="004B0883" w:rsidRDefault="004B0883">
            <w:pPr>
              <w:jc w:val="right"/>
              <w:rPr>
                <w:b/>
                <w:bCs/>
                <w:color w:val="000000"/>
                <w:sz w:val="20"/>
                <w:szCs w:val="20"/>
              </w:rPr>
            </w:pPr>
            <w:r>
              <w:rPr>
                <w:b/>
                <w:bCs/>
                <w:color w:val="000000"/>
                <w:sz w:val="20"/>
                <w:szCs w:val="20"/>
              </w:rPr>
              <w:t>7.13</w:t>
            </w:r>
          </w:p>
        </w:tc>
      </w:tr>
      <w:tr w:rsidR="004B0883" w14:paraId="25A87CA7" w14:textId="77777777">
        <w:trPr>
          <w:trHeight w:val="397"/>
          <w:jc w:val="center"/>
        </w:trPr>
        <w:tc>
          <w:tcPr>
            <w:tcW w:w="1101" w:type="dxa"/>
            <w:vMerge/>
            <w:tcMar>
              <w:top w:w="0" w:type="dxa"/>
              <w:bottom w:w="0" w:type="dxa"/>
            </w:tcMar>
            <w:vAlign w:val="center"/>
          </w:tcPr>
          <w:p w14:paraId="55B4824A" w14:textId="77777777" w:rsidR="004B0883" w:rsidRDefault="004B0883">
            <w:pPr>
              <w:widowControl w:val="0"/>
              <w:adjustRightInd w:val="0"/>
              <w:snapToGrid w:val="0"/>
              <w:rPr>
                <w:color w:val="000000"/>
                <w:kern w:val="0"/>
                <w:sz w:val="20"/>
                <w:szCs w:val="20"/>
              </w:rPr>
            </w:pPr>
          </w:p>
        </w:tc>
        <w:tc>
          <w:tcPr>
            <w:tcW w:w="1176" w:type="dxa"/>
            <w:tcMar>
              <w:top w:w="0" w:type="dxa"/>
              <w:bottom w:w="0" w:type="dxa"/>
            </w:tcMar>
            <w:vAlign w:val="center"/>
          </w:tcPr>
          <w:p w14:paraId="08F73FA2" w14:textId="77777777" w:rsidR="004B0883" w:rsidRDefault="004B0883">
            <w:pPr>
              <w:widowControl w:val="0"/>
              <w:adjustRightInd w:val="0"/>
              <w:snapToGrid w:val="0"/>
              <w:rPr>
                <w:color w:val="000000"/>
                <w:kern w:val="0"/>
                <w:sz w:val="20"/>
                <w:szCs w:val="20"/>
              </w:rPr>
            </w:pPr>
            <w:r>
              <w:rPr>
                <w:color w:val="000000"/>
                <w:kern w:val="0"/>
                <w:sz w:val="20"/>
                <w:szCs w:val="20"/>
              </w:rPr>
              <w:t>2021.12.31</w:t>
            </w:r>
          </w:p>
        </w:tc>
        <w:tc>
          <w:tcPr>
            <w:tcW w:w="1043" w:type="dxa"/>
            <w:tcMar>
              <w:top w:w="0" w:type="dxa"/>
              <w:bottom w:w="0" w:type="dxa"/>
            </w:tcMar>
            <w:vAlign w:val="center"/>
          </w:tcPr>
          <w:p w14:paraId="1050D444" w14:textId="77777777" w:rsidR="004B0883" w:rsidRDefault="004B0883">
            <w:pPr>
              <w:jc w:val="right"/>
              <w:rPr>
                <w:color w:val="000000"/>
                <w:sz w:val="20"/>
                <w:szCs w:val="20"/>
              </w:rPr>
            </w:pPr>
            <w:r>
              <w:rPr>
                <w:color w:val="000000"/>
                <w:sz w:val="20"/>
                <w:szCs w:val="20"/>
              </w:rPr>
              <w:t>3.01</w:t>
            </w:r>
          </w:p>
        </w:tc>
        <w:tc>
          <w:tcPr>
            <w:tcW w:w="1044" w:type="dxa"/>
            <w:tcMar>
              <w:top w:w="0" w:type="dxa"/>
              <w:bottom w:w="0" w:type="dxa"/>
            </w:tcMar>
            <w:vAlign w:val="center"/>
          </w:tcPr>
          <w:p w14:paraId="07EBE0D7" w14:textId="77777777" w:rsidR="004B0883" w:rsidRDefault="004B0883">
            <w:pPr>
              <w:jc w:val="right"/>
              <w:rPr>
                <w:color w:val="000000"/>
                <w:sz w:val="20"/>
                <w:szCs w:val="20"/>
              </w:rPr>
            </w:pPr>
            <w:r>
              <w:rPr>
                <w:color w:val="000000"/>
                <w:sz w:val="20"/>
                <w:szCs w:val="20"/>
              </w:rPr>
              <w:t>2.28</w:t>
            </w:r>
          </w:p>
        </w:tc>
        <w:tc>
          <w:tcPr>
            <w:tcW w:w="1043" w:type="dxa"/>
            <w:tcMar>
              <w:top w:w="0" w:type="dxa"/>
              <w:bottom w:w="0" w:type="dxa"/>
            </w:tcMar>
            <w:vAlign w:val="center"/>
          </w:tcPr>
          <w:p w14:paraId="7F1D4B0E" w14:textId="77777777" w:rsidR="004B0883" w:rsidRDefault="004B0883">
            <w:pPr>
              <w:jc w:val="right"/>
              <w:rPr>
                <w:color w:val="000000"/>
                <w:sz w:val="20"/>
                <w:szCs w:val="20"/>
              </w:rPr>
            </w:pPr>
            <w:r>
              <w:rPr>
                <w:color w:val="000000"/>
                <w:sz w:val="20"/>
                <w:szCs w:val="20"/>
              </w:rPr>
              <w:t>2.61</w:t>
            </w:r>
          </w:p>
        </w:tc>
        <w:tc>
          <w:tcPr>
            <w:tcW w:w="1043" w:type="dxa"/>
            <w:tcMar>
              <w:top w:w="0" w:type="dxa"/>
              <w:bottom w:w="0" w:type="dxa"/>
            </w:tcMar>
            <w:vAlign w:val="center"/>
          </w:tcPr>
          <w:p w14:paraId="21D545B5" w14:textId="77777777" w:rsidR="004B0883" w:rsidRDefault="004B0883">
            <w:pPr>
              <w:jc w:val="right"/>
              <w:rPr>
                <w:color w:val="000000"/>
                <w:sz w:val="20"/>
                <w:szCs w:val="20"/>
              </w:rPr>
            </w:pPr>
            <w:r>
              <w:rPr>
                <w:color w:val="000000"/>
                <w:sz w:val="20"/>
                <w:szCs w:val="20"/>
              </w:rPr>
              <w:t>2.13</w:t>
            </w:r>
          </w:p>
        </w:tc>
        <w:tc>
          <w:tcPr>
            <w:tcW w:w="958" w:type="dxa"/>
            <w:vAlign w:val="center"/>
          </w:tcPr>
          <w:p w14:paraId="0DE000B5" w14:textId="77777777" w:rsidR="004B0883" w:rsidRDefault="004B0883">
            <w:pPr>
              <w:jc w:val="right"/>
              <w:rPr>
                <w:b/>
                <w:bCs/>
                <w:color w:val="000000"/>
                <w:sz w:val="20"/>
                <w:szCs w:val="20"/>
              </w:rPr>
            </w:pPr>
            <w:r>
              <w:rPr>
                <w:rFonts w:hint="eastAsia"/>
                <w:b/>
                <w:bCs/>
                <w:color w:val="000000"/>
                <w:sz w:val="20"/>
                <w:szCs w:val="20"/>
              </w:rPr>
              <w:t xml:space="preserve">2.51 </w:t>
            </w:r>
          </w:p>
        </w:tc>
        <w:tc>
          <w:tcPr>
            <w:tcW w:w="1118" w:type="dxa"/>
            <w:tcMar>
              <w:top w:w="0" w:type="dxa"/>
              <w:bottom w:w="0" w:type="dxa"/>
            </w:tcMar>
            <w:vAlign w:val="center"/>
          </w:tcPr>
          <w:p w14:paraId="6587CBF6" w14:textId="77777777" w:rsidR="004B0883" w:rsidRDefault="004B0883">
            <w:pPr>
              <w:jc w:val="right"/>
              <w:rPr>
                <w:b/>
                <w:bCs/>
                <w:color w:val="000000"/>
                <w:sz w:val="20"/>
                <w:szCs w:val="20"/>
              </w:rPr>
            </w:pPr>
            <w:r>
              <w:rPr>
                <w:b/>
                <w:bCs/>
                <w:color w:val="000000"/>
                <w:sz w:val="20"/>
                <w:szCs w:val="20"/>
              </w:rPr>
              <w:t>6.77</w:t>
            </w:r>
          </w:p>
        </w:tc>
      </w:tr>
      <w:tr w:rsidR="004B0883" w14:paraId="2C6D3571" w14:textId="77777777">
        <w:trPr>
          <w:trHeight w:val="397"/>
          <w:jc w:val="center"/>
        </w:trPr>
        <w:tc>
          <w:tcPr>
            <w:tcW w:w="1101" w:type="dxa"/>
            <w:vMerge/>
            <w:tcMar>
              <w:top w:w="0" w:type="dxa"/>
              <w:bottom w:w="0" w:type="dxa"/>
            </w:tcMar>
            <w:vAlign w:val="center"/>
          </w:tcPr>
          <w:p w14:paraId="4BC2D5CE" w14:textId="77777777" w:rsidR="004B0883" w:rsidRDefault="004B0883">
            <w:pPr>
              <w:widowControl w:val="0"/>
              <w:adjustRightInd w:val="0"/>
              <w:snapToGrid w:val="0"/>
              <w:rPr>
                <w:color w:val="000000"/>
                <w:kern w:val="0"/>
                <w:sz w:val="20"/>
                <w:szCs w:val="20"/>
              </w:rPr>
            </w:pPr>
          </w:p>
        </w:tc>
        <w:tc>
          <w:tcPr>
            <w:tcW w:w="1176" w:type="dxa"/>
            <w:tcMar>
              <w:top w:w="0" w:type="dxa"/>
              <w:bottom w:w="0" w:type="dxa"/>
            </w:tcMar>
            <w:vAlign w:val="center"/>
          </w:tcPr>
          <w:p w14:paraId="0C911016" w14:textId="77777777" w:rsidR="004B0883" w:rsidRDefault="004B0883">
            <w:pPr>
              <w:widowControl w:val="0"/>
              <w:adjustRightInd w:val="0"/>
              <w:snapToGrid w:val="0"/>
              <w:rPr>
                <w:color w:val="000000"/>
                <w:kern w:val="0"/>
                <w:sz w:val="20"/>
                <w:szCs w:val="20"/>
              </w:rPr>
            </w:pPr>
            <w:r>
              <w:rPr>
                <w:color w:val="000000"/>
                <w:kern w:val="0"/>
                <w:sz w:val="20"/>
                <w:szCs w:val="20"/>
              </w:rPr>
              <w:t>2020.12.31</w:t>
            </w:r>
          </w:p>
        </w:tc>
        <w:tc>
          <w:tcPr>
            <w:tcW w:w="1043" w:type="dxa"/>
            <w:tcMar>
              <w:top w:w="0" w:type="dxa"/>
              <w:bottom w:w="0" w:type="dxa"/>
            </w:tcMar>
            <w:vAlign w:val="center"/>
          </w:tcPr>
          <w:p w14:paraId="3422E413" w14:textId="77777777" w:rsidR="004B0883" w:rsidRDefault="004B0883">
            <w:pPr>
              <w:jc w:val="right"/>
              <w:rPr>
                <w:color w:val="000000"/>
                <w:sz w:val="20"/>
                <w:szCs w:val="20"/>
              </w:rPr>
            </w:pPr>
            <w:r>
              <w:rPr>
                <w:color w:val="000000"/>
                <w:sz w:val="20"/>
                <w:szCs w:val="20"/>
              </w:rPr>
              <w:t>2.64</w:t>
            </w:r>
          </w:p>
        </w:tc>
        <w:tc>
          <w:tcPr>
            <w:tcW w:w="1044" w:type="dxa"/>
            <w:tcMar>
              <w:top w:w="0" w:type="dxa"/>
              <w:bottom w:w="0" w:type="dxa"/>
            </w:tcMar>
            <w:vAlign w:val="center"/>
          </w:tcPr>
          <w:p w14:paraId="39947CB4" w14:textId="77777777" w:rsidR="004B0883" w:rsidRDefault="004B0883">
            <w:pPr>
              <w:jc w:val="right"/>
              <w:rPr>
                <w:color w:val="000000"/>
                <w:sz w:val="20"/>
                <w:szCs w:val="20"/>
              </w:rPr>
            </w:pPr>
            <w:r>
              <w:rPr>
                <w:color w:val="000000"/>
                <w:sz w:val="20"/>
                <w:szCs w:val="20"/>
              </w:rPr>
              <w:t>2.21</w:t>
            </w:r>
          </w:p>
        </w:tc>
        <w:tc>
          <w:tcPr>
            <w:tcW w:w="1043" w:type="dxa"/>
            <w:tcMar>
              <w:top w:w="0" w:type="dxa"/>
              <w:bottom w:w="0" w:type="dxa"/>
            </w:tcMar>
            <w:vAlign w:val="center"/>
          </w:tcPr>
          <w:p w14:paraId="1080CA07" w14:textId="77777777" w:rsidR="004B0883" w:rsidRDefault="004B0883">
            <w:pPr>
              <w:jc w:val="right"/>
              <w:rPr>
                <w:color w:val="000000"/>
                <w:sz w:val="20"/>
                <w:szCs w:val="20"/>
              </w:rPr>
            </w:pPr>
            <w:r>
              <w:rPr>
                <w:color w:val="000000"/>
                <w:sz w:val="20"/>
                <w:szCs w:val="20"/>
              </w:rPr>
              <w:t>2.48</w:t>
            </w:r>
          </w:p>
        </w:tc>
        <w:tc>
          <w:tcPr>
            <w:tcW w:w="1043" w:type="dxa"/>
            <w:tcMar>
              <w:top w:w="0" w:type="dxa"/>
              <w:bottom w:w="0" w:type="dxa"/>
            </w:tcMar>
            <w:vAlign w:val="center"/>
          </w:tcPr>
          <w:p w14:paraId="37D330B5" w14:textId="77777777" w:rsidR="004B0883" w:rsidRDefault="004B0883">
            <w:pPr>
              <w:jc w:val="right"/>
              <w:rPr>
                <w:color w:val="000000"/>
                <w:sz w:val="20"/>
                <w:szCs w:val="20"/>
              </w:rPr>
            </w:pPr>
            <w:r>
              <w:rPr>
                <w:color w:val="000000"/>
                <w:sz w:val="20"/>
                <w:szCs w:val="20"/>
              </w:rPr>
              <w:t>1.62</w:t>
            </w:r>
          </w:p>
        </w:tc>
        <w:tc>
          <w:tcPr>
            <w:tcW w:w="958" w:type="dxa"/>
            <w:vAlign w:val="center"/>
          </w:tcPr>
          <w:p w14:paraId="3C005224" w14:textId="77777777" w:rsidR="004B0883" w:rsidRDefault="004B0883">
            <w:pPr>
              <w:jc w:val="right"/>
              <w:rPr>
                <w:b/>
                <w:bCs/>
                <w:color w:val="000000"/>
                <w:sz w:val="20"/>
                <w:szCs w:val="20"/>
              </w:rPr>
            </w:pPr>
            <w:r>
              <w:rPr>
                <w:rFonts w:hint="eastAsia"/>
                <w:b/>
                <w:bCs/>
                <w:color w:val="000000"/>
                <w:sz w:val="20"/>
                <w:szCs w:val="20"/>
              </w:rPr>
              <w:t xml:space="preserve">2.24 </w:t>
            </w:r>
          </w:p>
        </w:tc>
        <w:tc>
          <w:tcPr>
            <w:tcW w:w="1118" w:type="dxa"/>
            <w:tcMar>
              <w:top w:w="0" w:type="dxa"/>
              <w:bottom w:w="0" w:type="dxa"/>
            </w:tcMar>
            <w:vAlign w:val="center"/>
          </w:tcPr>
          <w:p w14:paraId="735C065E" w14:textId="77777777" w:rsidR="004B0883" w:rsidRDefault="004B0883">
            <w:pPr>
              <w:jc w:val="right"/>
              <w:rPr>
                <w:b/>
                <w:bCs/>
                <w:color w:val="000000"/>
                <w:sz w:val="20"/>
                <w:szCs w:val="20"/>
              </w:rPr>
            </w:pPr>
            <w:r>
              <w:rPr>
                <w:b/>
                <w:bCs/>
                <w:color w:val="000000"/>
                <w:sz w:val="20"/>
                <w:szCs w:val="20"/>
              </w:rPr>
              <w:t>5.84</w:t>
            </w:r>
          </w:p>
        </w:tc>
      </w:tr>
      <w:tr w:rsidR="004B0883" w14:paraId="5C1FF53A" w14:textId="77777777">
        <w:trPr>
          <w:trHeight w:val="397"/>
          <w:jc w:val="center"/>
        </w:trPr>
        <w:tc>
          <w:tcPr>
            <w:tcW w:w="1101" w:type="dxa"/>
            <w:vMerge w:val="restart"/>
            <w:tcMar>
              <w:top w:w="0" w:type="dxa"/>
              <w:bottom w:w="0" w:type="dxa"/>
            </w:tcMar>
            <w:vAlign w:val="center"/>
          </w:tcPr>
          <w:p w14:paraId="74A7FC1A" w14:textId="77777777" w:rsidR="004B0883" w:rsidRDefault="004B0883">
            <w:pPr>
              <w:widowControl w:val="0"/>
              <w:adjustRightInd w:val="0"/>
              <w:snapToGrid w:val="0"/>
              <w:rPr>
                <w:rFonts w:hint="eastAsia"/>
                <w:color w:val="000000"/>
                <w:kern w:val="0"/>
                <w:sz w:val="20"/>
                <w:szCs w:val="20"/>
              </w:rPr>
            </w:pPr>
            <w:r>
              <w:rPr>
                <w:color w:val="000000"/>
                <w:kern w:val="0"/>
                <w:sz w:val="20"/>
                <w:szCs w:val="20"/>
              </w:rPr>
              <w:t>存货周转率</w:t>
            </w:r>
            <w:r>
              <w:rPr>
                <w:rFonts w:hint="eastAsia"/>
                <w:color w:val="000000"/>
                <w:kern w:val="0"/>
                <w:sz w:val="20"/>
                <w:szCs w:val="20"/>
              </w:rPr>
              <w:t>（次）</w:t>
            </w:r>
          </w:p>
        </w:tc>
        <w:tc>
          <w:tcPr>
            <w:tcW w:w="1176" w:type="dxa"/>
            <w:tcMar>
              <w:top w:w="0" w:type="dxa"/>
              <w:bottom w:w="0" w:type="dxa"/>
            </w:tcMar>
            <w:vAlign w:val="center"/>
          </w:tcPr>
          <w:p w14:paraId="6B7F594B" w14:textId="77777777" w:rsidR="004B0883" w:rsidRDefault="004B0883">
            <w:pPr>
              <w:widowControl w:val="0"/>
              <w:adjustRightInd w:val="0"/>
              <w:snapToGrid w:val="0"/>
              <w:rPr>
                <w:color w:val="000000"/>
                <w:kern w:val="0"/>
                <w:sz w:val="20"/>
                <w:szCs w:val="20"/>
              </w:rPr>
            </w:pPr>
            <w:r>
              <w:rPr>
                <w:color w:val="000000"/>
                <w:kern w:val="0"/>
                <w:sz w:val="20"/>
                <w:szCs w:val="20"/>
              </w:rPr>
              <w:t>2023.</w:t>
            </w:r>
            <w:r>
              <w:rPr>
                <w:rFonts w:hint="eastAsia"/>
                <w:color w:val="000000"/>
                <w:kern w:val="0"/>
                <w:sz w:val="20"/>
                <w:szCs w:val="20"/>
              </w:rPr>
              <w:t>9</w:t>
            </w:r>
            <w:r>
              <w:rPr>
                <w:color w:val="000000"/>
                <w:kern w:val="0"/>
                <w:sz w:val="20"/>
                <w:szCs w:val="20"/>
              </w:rPr>
              <w:t>.30</w:t>
            </w:r>
          </w:p>
        </w:tc>
        <w:tc>
          <w:tcPr>
            <w:tcW w:w="1043" w:type="dxa"/>
            <w:tcMar>
              <w:top w:w="0" w:type="dxa"/>
              <w:bottom w:w="0" w:type="dxa"/>
            </w:tcMar>
            <w:vAlign w:val="center"/>
          </w:tcPr>
          <w:p w14:paraId="0F918929" w14:textId="77777777" w:rsidR="004B0883" w:rsidRDefault="004B0883">
            <w:pPr>
              <w:jc w:val="right"/>
              <w:rPr>
                <w:color w:val="000000"/>
                <w:sz w:val="20"/>
                <w:szCs w:val="20"/>
              </w:rPr>
            </w:pPr>
            <w:r>
              <w:rPr>
                <w:rFonts w:hint="eastAsia"/>
                <w:color w:val="000000"/>
                <w:sz w:val="20"/>
                <w:szCs w:val="20"/>
              </w:rPr>
              <w:t>1.16</w:t>
            </w:r>
          </w:p>
        </w:tc>
        <w:tc>
          <w:tcPr>
            <w:tcW w:w="1044" w:type="dxa"/>
            <w:tcMar>
              <w:top w:w="0" w:type="dxa"/>
              <w:bottom w:w="0" w:type="dxa"/>
            </w:tcMar>
            <w:vAlign w:val="center"/>
          </w:tcPr>
          <w:p w14:paraId="5D47A78F" w14:textId="77777777" w:rsidR="004B0883" w:rsidRDefault="004B0883">
            <w:pPr>
              <w:jc w:val="right"/>
              <w:rPr>
                <w:color w:val="000000"/>
                <w:sz w:val="20"/>
                <w:szCs w:val="20"/>
              </w:rPr>
            </w:pPr>
            <w:r>
              <w:rPr>
                <w:rFonts w:hint="eastAsia"/>
                <w:color w:val="000000"/>
                <w:sz w:val="20"/>
                <w:szCs w:val="20"/>
              </w:rPr>
              <w:t>1.30</w:t>
            </w:r>
          </w:p>
        </w:tc>
        <w:tc>
          <w:tcPr>
            <w:tcW w:w="1043" w:type="dxa"/>
            <w:tcMar>
              <w:top w:w="0" w:type="dxa"/>
              <w:bottom w:w="0" w:type="dxa"/>
            </w:tcMar>
            <w:vAlign w:val="center"/>
          </w:tcPr>
          <w:p w14:paraId="20F40599" w14:textId="77777777" w:rsidR="004B0883" w:rsidRDefault="004B0883">
            <w:pPr>
              <w:jc w:val="right"/>
              <w:rPr>
                <w:color w:val="000000"/>
                <w:sz w:val="20"/>
                <w:szCs w:val="20"/>
              </w:rPr>
            </w:pPr>
            <w:r>
              <w:rPr>
                <w:rFonts w:hint="eastAsia"/>
                <w:color w:val="000000"/>
                <w:sz w:val="20"/>
                <w:szCs w:val="20"/>
              </w:rPr>
              <w:t>1.28</w:t>
            </w:r>
          </w:p>
        </w:tc>
        <w:tc>
          <w:tcPr>
            <w:tcW w:w="1043" w:type="dxa"/>
            <w:tcMar>
              <w:top w:w="0" w:type="dxa"/>
              <w:bottom w:w="0" w:type="dxa"/>
            </w:tcMar>
            <w:vAlign w:val="center"/>
          </w:tcPr>
          <w:p w14:paraId="4C878098" w14:textId="77777777" w:rsidR="004B0883" w:rsidRDefault="004B0883">
            <w:pPr>
              <w:jc w:val="right"/>
              <w:rPr>
                <w:color w:val="000000"/>
                <w:sz w:val="20"/>
                <w:szCs w:val="20"/>
              </w:rPr>
            </w:pPr>
            <w:r>
              <w:rPr>
                <w:color w:val="000000"/>
                <w:sz w:val="20"/>
                <w:szCs w:val="20"/>
              </w:rPr>
              <w:t>1.47</w:t>
            </w:r>
          </w:p>
        </w:tc>
        <w:tc>
          <w:tcPr>
            <w:tcW w:w="958" w:type="dxa"/>
            <w:vAlign w:val="center"/>
          </w:tcPr>
          <w:p w14:paraId="055D2209" w14:textId="77777777" w:rsidR="004B0883" w:rsidRDefault="004B0883">
            <w:pPr>
              <w:jc w:val="right"/>
              <w:rPr>
                <w:b/>
                <w:bCs/>
                <w:color w:val="000000"/>
                <w:sz w:val="20"/>
                <w:szCs w:val="20"/>
              </w:rPr>
            </w:pPr>
            <w:r>
              <w:rPr>
                <w:rFonts w:hint="eastAsia"/>
                <w:b/>
                <w:bCs/>
                <w:color w:val="000000"/>
                <w:sz w:val="20"/>
                <w:szCs w:val="20"/>
              </w:rPr>
              <w:t>1.30</w:t>
            </w:r>
          </w:p>
        </w:tc>
        <w:tc>
          <w:tcPr>
            <w:tcW w:w="1118" w:type="dxa"/>
            <w:tcMar>
              <w:top w:w="0" w:type="dxa"/>
              <w:bottom w:w="0" w:type="dxa"/>
            </w:tcMar>
            <w:vAlign w:val="center"/>
          </w:tcPr>
          <w:p w14:paraId="60EF6C70" w14:textId="77777777" w:rsidR="004B0883" w:rsidRDefault="004B0883">
            <w:pPr>
              <w:jc w:val="right"/>
              <w:rPr>
                <w:b/>
                <w:bCs/>
                <w:color w:val="000000"/>
                <w:kern w:val="0"/>
                <w:sz w:val="20"/>
                <w:szCs w:val="20"/>
              </w:rPr>
            </w:pPr>
            <w:r>
              <w:rPr>
                <w:rFonts w:hint="eastAsia"/>
                <w:b/>
                <w:bCs/>
                <w:color w:val="000000"/>
                <w:sz w:val="20"/>
                <w:szCs w:val="20"/>
              </w:rPr>
              <w:t>2.25</w:t>
            </w:r>
          </w:p>
        </w:tc>
      </w:tr>
      <w:tr w:rsidR="004B0883" w14:paraId="0B050898" w14:textId="77777777">
        <w:trPr>
          <w:trHeight w:val="397"/>
          <w:jc w:val="center"/>
        </w:trPr>
        <w:tc>
          <w:tcPr>
            <w:tcW w:w="1101" w:type="dxa"/>
            <w:vMerge/>
            <w:tcMar>
              <w:top w:w="0" w:type="dxa"/>
              <w:bottom w:w="0" w:type="dxa"/>
            </w:tcMar>
            <w:vAlign w:val="center"/>
          </w:tcPr>
          <w:p w14:paraId="510FAB87" w14:textId="77777777" w:rsidR="004B0883" w:rsidRDefault="004B0883">
            <w:pPr>
              <w:widowControl w:val="0"/>
              <w:adjustRightInd w:val="0"/>
              <w:snapToGrid w:val="0"/>
              <w:rPr>
                <w:color w:val="000000"/>
                <w:kern w:val="0"/>
                <w:sz w:val="20"/>
                <w:szCs w:val="20"/>
              </w:rPr>
            </w:pPr>
          </w:p>
        </w:tc>
        <w:tc>
          <w:tcPr>
            <w:tcW w:w="1176" w:type="dxa"/>
            <w:tcMar>
              <w:top w:w="0" w:type="dxa"/>
              <w:bottom w:w="0" w:type="dxa"/>
            </w:tcMar>
            <w:vAlign w:val="center"/>
          </w:tcPr>
          <w:p w14:paraId="613444BD" w14:textId="77777777" w:rsidR="004B0883" w:rsidRDefault="004B0883">
            <w:pPr>
              <w:widowControl w:val="0"/>
              <w:adjustRightInd w:val="0"/>
              <w:snapToGrid w:val="0"/>
              <w:rPr>
                <w:color w:val="000000"/>
                <w:kern w:val="0"/>
                <w:sz w:val="20"/>
                <w:szCs w:val="20"/>
              </w:rPr>
            </w:pPr>
            <w:r>
              <w:rPr>
                <w:color w:val="000000"/>
                <w:kern w:val="0"/>
                <w:sz w:val="20"/>
                <w:szCs w:val="20"/>
              </w:rPr>
              <w:t>2022.12.31</w:t>
            </w:r>
          </w:p>
        </w:tc>
        <w:tc>
          <w:tcPr>
            <w:tcW w:w="1043" w:type="dxa"/>
            <w:tcMar>
              <w:top w:w="0" w:type="dxa"/>
              <w:bottom w:w="0" w:type="dxa"/>
            </w:tcMar>
            <w:vAlign w:val="center"/>
          </w:tcPr>
          <w:p w14:paraId="2D3DF9AD" w14:textId="77777777" w:rsidR="004B0883" w:rsidRDefault="004B0883">
            <w:pPr>
              <w:jc w:val="right"/>
              <w:rPr>
                <w:color w:val="000000"/>
                <w:sz w:val="20"/>
                <w:szCs w:val="20"/>
              </w:rPr>
            </w:pPr>
            <w:r>
              <w:rPr>
                <w:color w:val="000000"/>
                <w:sz w:val="20"/>
                <w:szCs w:val="20"/>
              </w:rPr>
              <w:t>1.45</w:t>
            </w:r>
          </w:p>
        </w:tc>
        <w:tc>
          <w:tcPr>
            <w:tcW w:w="1044" w:type="dxa"/>
            <w:tcMar>
              <w:top w:w="0" w:type="dxa"/>
              <w:bottom w:w="0" w:type="dxa"/>
            </w:tcMar>
            <w:vAlign w:val="center"/>
          </w:tcPr>
          <w:p w14:paraId="3DA034B8" w14:textId="77777777" w:rsidR="004B0883" w:rsidRDefault="004B0883">
            <w:pPr>
              <w:jc w:val="right"/>
              <w:rPr>
                <w:color w:val="000000"/>
                <w:sz w:val="20"/>
                <w:szCs w:val="20"/>
              </w:rPr>
            </w:pPr>
            <w:r>
              <w:rPr>
                <w:color w:val="000000"/>
                <w:sz w:val="20"/>
                <w:szCs w:val="20"/>
              </w:rPr>
              <w:t>1.92</w:t>
            </w:r>
          </w:p>
        </w:tc>
        <w:tc>
          <w:tcPr>
            <w:tcW w:w="1043" w:type="dxa"/>
            <w:tcMar>
              <w:top w:w="0" w:type="dxa"/>
              <w:bottom w:w="0" w:type="dxa"/>
            </w:tcMar>
            <w:vAlign w:val="center"/>
          </w:tcPr>
          <w:p w14:paraId="46134CA3" w14:textId="77777777" w:rsidR="004B0883" w:rsidRDefault="004B0883">
            <w:pPr>
              <w:jc w:val="right"/>
              <w:rPr>
                <w:color w:val="000000"/>
                <w:sz w:val="20"/>
                <w:szCs w:val="20"/>
              </w:rPr>
            </w:pPr>
            <w:r>
              <w:rPr>
                <w:color w:val="000000"/>
                <w:sz w:val="20"/>
                <w:szCs w:val="20"/>
              </w:rPr>
              <w:t>1.45</w:t>
            </w:r>
          </w:p>
        </w:tc>
        <w:tc>
          <w:tcPr>
            <w:tcW w:w="1043" w:type="dxa"/>
            <w:tcMar>
              <w:top w:w="0" w:type="dxa"/>
              <w:bottom w:w="0" w:type="dxa"/>
            </w:tcMar>
            <w:vAlign w:val="center"/>
          </w:tcPr>
          <w:p w14:paraId="6D6FE23A" w14:textId="77777777" w:rsidR="004B0883" w:rsidRDefault="004B0883">
            <w:pPr>
              <w:jc w:val="right"/>
              <w:rPr>
                <w:color w:val="000000"/>
                <w:sz w:val="20"/>
                <w:szCs w:val="20"/>
              </w:rPr>
            </w:pPr>
            <w:r>
              <w:rPr>
                <w:color w:val="000000"/>
                <w:sz w:val="20"/>
                <w:szCs w:val="20"/>
              </w:rPr>
              <w:t>2.08</w:t>
            </w:r>
          </w:p>
        </w:tc>
        <w:tc>
          <w:tcPr>
            <w:tcW w:w="958" w:type="dxa"/>
            <w:vAlign w:val="center"/>
          </w:tcPr>
          <w:p w14:paraId="7846C32D" w14:textId="77777777" w:rsidR="004B0883" w:rsidRDefault="004B0883">
            <w:pPr>
              <w:jc w:val="right"/>
              <w:rPr>
                <w:b/>
                <w:bCs/>
                <w:color w:val="000000"/>
                <w:sz w:val="20"/>
                <w:szCs w:val="20"/>
              </w:rPr>
            </w:pPr>
            <w:r>
              <w:rPr>
                <w:rFonts w:hint="eastAsia"/>
                <w:b/>
                <w:bCs/>
                <w:color w:val="000000"/>
                <w:sz w:val="20"/>
                <w:szCs w:val="20"/>
              </w:rPr>
              <w:t xml:space="preserve">1.73 </w:t>
            </w:r>
          </w:p>
        </w:tc>
        <w:tc>
          <w:tcPr>
            <w:tcW w:w="1118" w:type="dxa"/>
            <w:tcMar>
              <w:top w:w="0" w:type="dxa"/>
              <w:bottom w:w="0" w:type="dxa"/>
            </w:tcMar>
            <w:vAlign w:val="center"/>
          </w:tcPr>
          <w:p w14:paraId="4DBA9C25" w14:textId="77777777" w:rsidR="004B0883" w:rsidRDefault="004B0883">
            <w:pPr>
              <w:jc w:val="right"/>
              <w:rPr>
                <w:b/>
                <w:bCs/>
                <w:color w:val="000000"/>
                <w:sz w:val="20"/>
                <w:szCs w:val="20"/>
              </w:rPr>
            </w:pPr>
            <w:r>
              <w:rPr>
                <w:b/>
                <w:bCs/>
                <w:color w:val="000000"/>
                <w:sz w:val="20"/>
                <w:szCs w:val="20"/>
              </w:rPr>
              <w:t>2.92</w:t>
            </w:r>
          </w:p>
        </w:tc>
      </w:tr>
      <w:tr w:rsidR="004B0883" w14:paraId="11CF35EE" w14:textId="77777777">
        <w:trPr>
          <w:trHeight w:val="397"/>
          <w:jc w:val="center"/>
        </w:trPr>
        <w:tc>
          <w:tcPr>
            <w:tcW w:w="1101" w:type="dxa"/>
            <w:vMerge/>
            <w:tcMar>
              <w:top w:w="0" w:type="dxa"/>
              <w:bottom w:w="0" w:type="dxa"/>
            </w:tcMar>
            <w:vAlign w:val="center"/>
          </w:tcPr>
          <w:p w14:paraId="5B2757D4" w14:textId="77777777" w:rsidR="004B0883" w:rsidRDefault="004B0883">
            <w:pPr>
              <w:widowControl w:val="0"/>
              <w:adjustRightInd w:val="0"/>
              <w:snapToGrid w:val="0"/>
              <w:rPr>
                <w:color w:val="000000"/>
                <w:kern w:val="0"/>
                <w:sz w:val="20"/>
                <w:szCs w:val="20"/>
              </w:rPr>
            </w:pPr>
          </w:p>
        </w:tc>
        <w:tc>
          <w:tcPr>
            <w:tcW w:w="1176" w:type="dxa"/>
            <w:tcMar>
              <w:top w:w="0" w:type="dxa"/>
              <w:bottom w:w="0" w:type="dxa"/>
            </w:tcMar>
            <w:vAlign w:val="center"/>
          </w:tcPr>
          <w:p w14:paraId="0F614B17" w14:textId="77777777" w:rsidR="004B0883" w:rsidRDefault="004B0883">
            <w:pPr>
              <w:widowControl w:val="0"/>
              <w:adjustRightInd w:val="0"/>
              <w:snapToGrid w:val="0"/>
              <w:rPr>
                <w:color w:val="000000"/>
                <w:kern w:val="0"/>
                <w:sz w:val="20"/>
                <w:szCs w:val="20"/>
              </w:rPr>
            </w:pPr>
            <w:r>
              <w:rPr>
                <w:color w:val="000000"/>
                <w:kern w:val="0"/>
                <w:sz w:val="20"/>
                <w:szCs w:val="20"/>
              </w:rPr>
              <w:t>2021.12.31</w:t>
            </w:r>
          </w:p>
        </w:tc>
        <w:tc>
          <w:tcPr>
            <w:tcW w:w="1043" w:type="dxa"/>
            <w:tcMar>
              <w:top w:w="0" w:type="dxa"/>
              <w:bottom w:w="0" w:type="dxa"/>
            </w:tcMar>
            <w:vAlign w:val="center"/>
          </w:tcPr>
          <w:p w14:paraId="228A7A7D" w14:textId="77777777" w:rsidR="004B0883" w:rsidRDefault="004B0883">
            <w:pPr>
              <w:jc w:val="right"/>
              <w:rPr>
                <w:color w:val="000000"/>
                <w:sz w:val="20"/>
                <w:szCs w:val="20"/>
              </w:rPr>
            </w:pPr>
            <w:r>
              <w:rPr>
                <w:color w:val="000000"/>
                <w:sz w:val="20"/>
                <w:szCs w:val="20"/>
              </w:rPr>
              <w:t>1.47</w:t>
            </w:r>
          </w:p>
        </w:tc>
        <w:tc>
          <w:tcPr>
            <w:tcW w:w="1044" w:type="dxa"/>
            <w:tcMar>
              <w:top w:w="0" w:type="dxa"/>
              <w:bottom w:w="0" w:type="dxa"/>
            </w:tcMar>
            <w:vAlign w:val="center"/>
          </w:tcPr>
          <w:p w14:paraId="3589CBAD" w14:textId="77777777" w:rsidR="004B0883" w:rsidRDefault="004B0883">
            <w:pPr>
              <w:jc w:val="right"/>
              <w:rPr>
                <w:color w:val="000000"/>
                <w:sz w:val="20"/>
                <w:szCs w:val="20"/>
              </w:rPr>
            </w:pPr>
            <w:r>
              <w:rPr>
                <w:color w:val="000000"/>
                <w:sz w:val="20"/>
                <w:szCs w:val="20"/>
              </w:rPr>
              <w:t>2.08</w:t>
            </w:r>
          </w:p>
        </w:tc>
        <w:tc>
          <w:tcPr>
            <w:tcW w:w="1043" w:type="dxa"/>
            <w:tcMar>
              <w:top w:w="0" w:type="dxa"/>
              <w:bottom w:w="0" w:type="dxa"/>
            </w:tcMar>
            <w:vAlign w:val="center"/>
          </w:tcPr>
          <w:p w14:paraId="02578385" w14:textId="77777777" w:rsidR="004B0883" w:rsidRDefault="004B0883">
            <w:pPr>
              <w:jc w:val="right"/>
              <w:rPr>
                <w:color w:val="000000"/>
                <w:sz w:val="20"/>
                <w:szCs w:val="20"/>
              </w:rPr>
            </w:pPr>
            <w:r>
              <w:rPr>
                <w:color w:val="000000"/>
                <w:sz w:val="20"/>
                <w:szCs w:val="20"/>
              </w:rPr>
              <w:t>1.73</w:t>
            </w:r>
          </w:p>
        </w:tc>
        <w:tc>
          <w:tcPr>
            <w:tcW w:w="1043" w:type="dxa"/>
            <w:tcMar>
              <w:top w:w="0" w:type="dxa"/>
              <w:bottom w:w="0" w:type="dxa"/>
            </w:tcMar>
            <w:vAlign w:val="center"/>
          </w:tcPr>
          <w:p w14:paraId="725D265B" w14:textId="77777777" w:rsidR="004B0883" w:rsidRDefault="004B0883">
            <w:pPr>
              <w:jc w:val="right"/>
              <w:rPr>
                <w:color w:val="000000"/>
                <w:sz w:val="20"/>
                <w:szCs w:val="20"/>
              </w:rPr>
            </w:pPr>
            <w:r>
              <w:rPr>
                <w:color w:val="000000"/>
                <w:sz w:val="20"/>
                <w:szCs w:val="20"/>
              </w:rPr>
              <w:t>2.36</w:t>
            </w:r>
          </w:p>
        </w:tc>
        <w:tc>
          <w:tcPr>
            <w:tcW w:w="958" w:type="dxa"/>
            <w:vAlign w:val="center"/>
          </w:tcPr>
          <w:p w14:paraId="7A95753B" w14:textId="77777777" w:rsidR="004B0883" w:rsidRDefault="004B0883">
            <w:pPr>
              <w:jc w:val="right"/>
              <w:rPr>
                <w:b/>
                <w:bCs/>
                <w:color w:val="000000"/>
                <w:sz w:val="20"/>
                <w:szCs w:val="20"/>
              </w:rPr>
            </w:pPr>
            <w:r>
              <w:rPr>
                <w:rFonts w:hint="eastAsia"/>
                <w:b/>
                <w:bCs/>
                <w:color w:val="000000"/>
                <w:sz w:val="20"/>
                <w:szCs w:val="20"/>
              </w:rPr>
              <w:t xml:space="preserve">1.91 </w:t>
            </w:r>
          </w:p>
        </w:tc>
        <w:tc>
          <w:tcPr>
            <w:tcW w:w="1118" w:type="dxa"/>
            <w:tcMar>
              <w:top w:w="0" w:type="dxa"/>
              <w:bottom w:w="0" w:type="dxa"/>
            </w:tcMar>
            <w:vAlign w:val="center"/>
          </w:tcPr>
          <w:p w14:paraId="52BF593C" w14:textId="77777777" w:rsidR="004B0883" w:rsidRDefault="004B0883">
            <w:pPr>
              <w:jc w:val="right"/>
              <w:rPr>
                <w:b/>
                <w:bCs/>
                <w:color w:val="000000"/>
                <w:sz w:val="20"/>
                <w:szCs w:val="20"/>
              </w:rPr>
            </w:pPr>
            <w:r>
              <w:rPr>
                <w:b/>
                <w:bCs/>
                <w:color w:val="000000"/>
                <w:sz w:val="20"/>
                <w:szCs w:val="20"/>
              </w:rPr>
              <w:t>3</w:t>
            </w:r>
            <w:r>
              <w:rPr>
                <w:rFonts w:hint="eastAsia"/>
                <w:b/>
                <w:bCs/>
                <w:color w:val="000000"/>
                <w:sz w:val="20"/>
                <w:szCs w:val="20"/>
              </w:rPr>
              <w:t>.</w:t>
            </w:r>
            <w:r>
              <w:rPr>
                <w:b/>
                <w:bCs/>
                <w:color w:val="000000"/>
                <w:sz w:val="20"/>
                <w:szCs w:val="20"/>
              </w:rPr>
              <w:t>00</w:t>
            </w:r>
          </w:p>
        </w:tc>
      </w:tr>
      <w:tr w:rsidR="004B0883" w14:paraId="717FF337" w14:textId="77777777">
        <w:trPr>
          <w:trHeight w:val="397"/>
          <w:jc w:val="center"/>
        </w:trPr>
        <w:tc>
          <w:tcPr>
            <w:tcW w:w="1101" w:type="dxa"/>
            <w:vMerge/>
            <w:tcMar>
              <w:top w:w="0" w:type="dxa"/>
              <w:bottom w:w="0" w:type="dxa"/>
            </w:tcMar>
            <w:vAlign w:val="center"/>
          </w:tcPr>
          <w:p w14:paraId="5554AAD9" w14:textId="77777777" w:rsidR="004B0883" w:rsidRDefault="004B0883">
            <w:pPr>
              <w:widowControl w:val="0"/>
              <w:adjustRightInd w:val="0"/>
              <w:snapToGrid w:val="0"/>
              <w:rPr>
                <w:color w:val="000000"/>
                <w:kern w:val="0"/>
                <w:sz w:val="20"/>
                <w:szCs w:val="20"/>
              </w:rPr>
            </w:pPr>
          </w:p>
        </w:tc>
        <w:tc>
          <w:tcPr>
            <w:tcW w:w="1176" w:type="dxa"/>
            <w:tcMar>
              <w:top w:w="0" w:type="dxa"/>
              <w:bottom w:w="0" w:type="dxa"/>
            </w:tcMar>
            <w:vAlign w:val="center"/>
          </w:tcPr>
          <w:p w14:paraId="2C2B3A4C" w14:textId="77777777" w:rsidR="004B0883" w:rsidRDefault="004B0883">
            <w:pPr>
              <w:widowControl w:val="0"/>
              <w:adjustRightInd w:val="0"/>
              <w:snapToGrid w:val="0"/>
              <w:rPr>
                <w:color w:val="000000"/>
                <w:kern w:val="0"/>
                <w:sz w:val="20"/>
                <w:szCs w:val="20"/>
              </w:rPr>
            </w:pPr>
            <w:r>
              <w:rPr>
                <w:color w:val="000000"/>
                <w:kern w:val="0"/>
                <w:sz w:val="20"/>
                <w:szCs w:val="20"/>
              </w:rPr>
              <w:t>2020.12.31</w:t>
            </w:r>
          </w:p>
        </w:tc>
        <w:tc>
          <w:tcPr>
            <w:tcW w:w="1043" w:type="dxa"/>
            <w:tcMar>
              <w:top w:w="0" w:type="dxa"/>
              <w:bottom w:w="0" w:type="dxa"/>
            </w:tcMar>
            <w:vAlign w:val="center"/>
          </w:tcPr>
          <w:p w14:paraId="11684BEE" w14:textId="77777777" w:rsidR="004B0883" w:rsidRDefault="004B0883">
            <w:pPr>
              <w:jc w:val="right"/>
              <w:rPr>
                <w:color w:val="000000"/>
                <w:sz w:val="20"/>
                <w:szCs w:val="20"/>
              </w:rPr>
            </w:pPr>
            <w:r>
              <w:rPr>
                <w:color w:val="000000"/>
                <w:sz w:val="20"/>
                <w:szCs w:val="20"/>
              </w:rPr>
              <w:t>1.37</w:t>
            </w:r>
          </w:p>
        </w:tc>
        <w:tc>
          <w:tcPr>
            <w:tcW w:w="1044" w:type="dxa"/>
            <w:tcMar>
              <w:top w:w="0" w:type="dxa"/>
              <w:bottom w:w="0" w:type="dxa"/>
            </w:tcMar>
            <w:vAlign w:val="center"/>
          </w:tcPr>
          <w:p w14:paraId="6935A686" w14:textId="77777777" w:rsidR="004B0883" w:rsidRDefault="004B0883">
            <w:pPr>
              <w:jc w:val="right"/>
              <w:rPr>
                <w:color w:val="000000"/>
                <w:sz w:val="20"/>
                <w:szCs w:val="20"/>
              </w:rPr>
            </w:pPr>
            <w:r>
              <w:rPr>
                <w:color w:val="000000"/>
                <w:sz w:val="20"/>
                <w:szCs w:val="20"/>
              </w:rPr>
              <w:t>2.09</w:t>
            </w:r>
          </w:p>
        </w:tc>
        <w:tc>
          <w:tcPr>
            <w:tcW w:w="1043" w:type="dxa"/>
            <w:tcMar>
              <w:top w:w="0" w:type="dxa"/>
              <w:bottom w:w="0" w:type="dxa"/>
            </w:tcMar>
            <w:vAlign w:val="center"/>
          </w:tcPr>
          <w:p w14:paraId="4A42644E" w14:textId="77777777" w:rsidR="004B0883" w:rsidRDefault="004B0883">
            <w:pPr>
              <w:jc w:val="right"/>
              <w:rPr>
                <w:color w:val="000000"/>
                <w:sz w:val="20"/>
                <w:szCs w:val="20"/>
              </w:rPr>
            </w:pPr>
            <w:r>
              <w:rPr>
                <w:color w:val="000000"/>
                <w:sz w:val="20"/>
                <w:szCs w:val="20"/>
              </w:rPr>
              <w:t>1.56</w:t>
            </w:r>
          </w:p>
        </w:tc>
        <w:tc>
          <w:tcPr>
            <w:tcW w:w="1043" w:type="dxa"/>
            <w:tcMar>
              <w:top w:w="0" w:type="dxa"/>
              <w:bottom w:w="0" w:type="dxa"/>
            </w:tcMar>
            <w:vAlign w:val="center"/>
          </w:tcPr>
          <w:p w14:paraId="700EE750" w14:textId="77777777" w:rsidR="004B0883" w:rsidRDefault="004B0883">
            <w:pPr>
              <w:jc w:val="right"/>
              <w:rPr>
                <w:color w:val="000000"/>
                <w:sz w:val="20"/>
                <w:szCs w:val="20"/>
              </w:rPr>
            </w:pPr>
            <w:r>
              <w:rPr>
                <w:color w:val="000000"/>
                <w:sz w:val="20"/>
                <w:szCs w:val="20"/>
              </w:rPr>
              <w:t>2.09</w:t>
            </w:r>
          </w:p>
        </w:tc>
        <w:tc>
          <w:tcPr>
            <w:tcW w:w="958" w:type="dxa"/>
            <w:vAlign w:val="center"/>
          </w:tcPr>
          <w:p w14:paraId="06CCE63F" w14:textId="77777777" w:rsidR="004B0883" w:rsidRDefault="004B0883">
            <w:pPr>
              <w:jc w:val="right"/>
              <w:rPr>
                <w:b/>
                <w:bCs/>
                <w:color w:val="000000"/>
                <w:sz w:val="20"/>
                <w:szCs w:val="20"/>
              </w:rPr>
            </w:pPr>
            <w:r>
              <w:rPr>
                <w:rFonts w:hint="eastAsia"/>
                <w:b/>
                <w:bCs/>
                <w:color w:val="000000"/>
                <w:sz w:val="20"/>
                <w:szCs w:val="20"/>
              </w:rPr>
              <w:t xml:space="preserve">1.78 </w:t>
            </w:r>
          </w:p>
        </w:tc>
        <w:tc>
          <w:tcPr>
            <w:tcW w:w="1118" w:type="dxa"/>
            <w:tcMar>
              <w:top w:w="0" w:type="dxa"/>
              <w:bottom w:w="0" w:type="dxa"/>
            </w:tcMar>
            <w:vAlign w:val="center"/>
          </w:tcPr>
          <w:p w14:paraId="7DA9ADDD" w14:textId="77777777" w:rsidR="004B0883" w:rsidRDefault="004B0883">
            <w:pPr>
              <w:jc w:val="right"/>
              <w:rPr>
                <w:b/>
                <w:bCs/>
                <w:color w:val="000000"/>
                <w:sz w:val="20"/>
                <w:szCs w:val="20"/>
              </w:rPr>
            </w:pPr>
            <w:r>
              <w:rPr>
                <w:b/>
                <w:bCs/>
                <w:color w:val="000000"/>
                <w:sz w:val="20"/>
                <w:szCs w:val="20"/>
              </w:rPr>
              <w:t>3.13</w:t>
            </w:r>
          </w:p>
        </w:tc>
      </w:tr>
      <w:tr w:rsidR="004B0883" w14:paraId="40F4932F" w14:textId="77777777">
        <w:trPr>
          <w:trHeight w:val="397"/>
          <w:jc w:val="center"/>
        </w:trPr>
        <w:tc>
          <w:tcPr>
            <w:tcW w:w="1101" w:type="dxa"/>
            <w:vMerge w:val="restart"/>
            <w:tcMar>
              <w:top w:w="0" w:type="dxa"/>
              <w:bottom w:w="0" w:type="dxa"/>
            </w:tcMar>
            <w:vAlign w:val="center"/>
          </w:tcPr>
          <w:p w14:paraId="54A26F9A" w14:textId="77777777" w:rsidR="004B0883" w:rsidRDefault="004B0883">
            <w:pPr>
              <w:widowControl w:val="0"/>
              <w:adjustRightInd w:val="0"/>
              <w:snapToGrid w:val="0"/>
              <w:rPr>
                <w:rFonts w:hint="eastAsia"/>
                <w:color w:val="000000"/>
                <w:kern w:val="0"/>
                <w:sz w:val="20"/>
                <w:szCs w:val="20"/>
              </w:rPr>
            </w:pPr>
            <w:r>
              <w:rPr>
                <w:color w:val="000000"/>
                <w:kern w:val="0"/>
                <w:sz w:val="20"/>
                <w:szCs w:val="20"/>
              </w:rPr>
              <w:t>总资产周转率</w:t>
            </w:r>
            <w:r>
              <w:rPr>
                <w:rFonts w:hint="eastAsia"/>
                <w:color w:val="000000"/>
                <w:kern w:val="0"/>
                <w:sz w:val="20"/>
                <w:szCs w:val="20"/>
              </w:rPr>
              <w:t>（次）</w:t>
            </w:r>
          </w:p>
        </w:tc>
        <w:tc>
          <w:tcPr>
            <w:tcW w:w="1176" w:type="dxa"/>
            <w:tcMar>
              <w:top w:w="0" w:type="dxa"/>
              <w:bottom w:w="0" w:type="dxa"/>
            </w:tcMar>
            <w:vAlign w:val="center"/>
          </w:tcPr>
          <w:p w14:paraId="76A05310" w14:textId="77777777" w:rsidR="004B0883" w:rsidRDefault="004B0883">
            <w:pPr>
              <w:widowControl w:val="0"/>
              <w:adjustRightInd w:val="0"/>
              <w:snapToGrid w:val="0"/>
              <w:rPr>
                <w:color w:val="000000"/>
                <w:kern w:val="0"/>
                <w:sz w:val="20"/>
                <w:szCs w:val="20"/>
              </w:rPr>
            </w:pPr>
            <w:r>
              <w:rPr>
                <w:color w:val="000000"/>
                <w:kern w:val="0"/>
                <w:sz w:val="20"/>
                <w:szCs w:val="20"/>
              </w:rPr>
              <w:t>2023.</w:t>
            </w:r>
            <w:r>
              <w:rPr>
                <w:rFonts w:hint="eastAsia"/>
                <w:color w:val="000000"/>
                <w:kern w:val="0"/>
                <w:sz w:val="20"/>
                <w:szCs w:val="20"/>
              </w:rPr>
              <w:t>9</w:t>
            </w:r>
            <w:r>
              <w:rPr>
                <w:color w:val="000000"/>
                <w:kern w:val="0"/>
                <w:sz w:val="20"/>
                <w:szCs w:val="20"/>
              </w:rPr>
              <w:t>.30</w:t>
            </w:r>
          </w:p>
        </w:tc>
        <w:tc>
          <w:tcPr>
            <w:tcW w:w="1043" w:type="dxa"/>
            <w:tcMar>
              <w:top w:w="0" w:type="dxa"/>
              <w:bottom w:w="0" w:type="dxa"/>
            </w:tcMar>
            <w:vAlign w:val="center"/>
          </w:tcPr>
          <w:p w14:paraId="7F9F9122" w14:textId="77777777" w:rsidR="004B0883" w:rsidRDefault="004B0883">
            <w:pPr>
              <w:jc w:val="right"/>
              <w:rPr>
                <w:color w:val="000000"/>
                <w:sz w:val="20"/>
                <w:szCs w:val="20"/>
              </w:rPr>
            </w:pPr>
            <w:r>
              <w:rPr>
                <w:color w:val="000000"/>
                <w:sz w:val="20"/>
                <w:szCs w:val="20"/>
              </w:rPr>
              <w:t>0.</w:t>
            </w:r>
            <w:r>
              <w:rPr>
                <w:rFonts w:hint="eastAsia"/>
                <w:color w:val="000000"/>
                <w:sz w:val="20"/>
                <w:szCs w:val="20"/>
              </w:rPr>
              <w:t>27</w:t>
            </w:r>
          </w:p>
        </w:tc>
        <w:tc>
          <w:tcPr>
            <w:tcW w:w="1044" w:type="dxa"/>
            <w:tcMar>
              <w:top w:w="0" w:type="dxa"/>
              <w:bottom w:w="0" w:type="dxa"/>
            </w:tcMar>
            <w:vAlign w:val="center"/>
          </w:tcPr>
          <w:p w14:paraId="278FBD2A" w14:textId="77777777" w:rsidR="004B0883" w:rsidRDefault="004B0883">
            <w:pPr>
              <w:jc w:val="right"/>
              <w:rPr>
                <w:color w:val="000000"/>
                <w:sz w:val="20"/>
                <w:szCs w:val="20"/>
              </w:rPr>
            </w:pPr>
            <w:r>
              <w:rPr>
                <w:color w:val="000000"/>
                <w:sz w:val="20"/>
                <w:szCs w:val="20"/>
              </w:rPr>
              <w:t>0.</w:t>
            </w:r>
            <w:r>
              <w:rPr>
                <w:rFonts w:hint="eastAsia"/>
                <w:color w:val="000000"/>
                <w:sz w:val="20"/>
                <w:szCs w:val="20"/>
              </w:rPr>
              <w:t>25</w:t>
            </w:r>
          </w:p>
        </w:tc>
        <w:tc>
          <w:tcPr>
            <w:tcW w:w="1043" w:type="dxa"/>
            <w:tcMar>
              <w:top w:w="0" w:type="dxa"/>
              <w:bottom w:w="0" w:type="dxa"/>
            </w:tcMar>
            <w:vAlign w:val="center"/>
          </w:tcPr>
          <w:p w14:paraId="5058B8D1" w14:textId="77777777" w:rsidR="004B0883" w:rsidRDefault="004B0883">
            <w:pPr>
              <w:jc w:val="right"/>
              <w:rPr>
                <w:color w:val="000000"/>
                <w:sz w:val="20"/>
                <w:szCs w:val="20"/>
              </w:rPr>
            </w:pPr>
            <w:r>
              <w:rPr>
                <w:color w:val="000000"/>
                <w:sz w:val="20"/>
                <w:szCs w:val="20"/>
              </w:rPr>
              <w:t>0.</w:t>
            </w:r>
            <w:r>
              <w:rPr>
                <w:rFonts w:hint="eastAsia"/>
                <w:color w:val="000000"/>
                <w:sz w:val="20"/>
                <w:szCs w:val="20"/>
              </w:rPr>
              <w:t>58</w:t>
            </w:r>
          </w:p>
        </w:tc>
        <w:tc>
          <w:tcPr>
            <w:tcW w:w="1043" w:type="dxa"/>
            <w:tcMar>
              <w:top w:w="0" w:type="dxa"/>
              <w:bottom w:w="0" w:type="dxa"/>
            </w:tcMar>
            <w:vAlign w:val="center"/>
          </w:tcPr>
          <w:p w14:paraId="76B70B7B" w14:textId="77777777" w:rsidR="004B0883" w:rsidRDefault="004B0883">
            <w:pPr>
              <w:jc w:val="right"/>
              <w:rPr>
                <w:color w:val="000000"/>
                <w:sz w:val="20"/>
                <w:szCs w:val="20"/>
              </w:rPr>
            </w:pPr>
            <w:r>
              <w:rPr>
                <w:color w:val="000000"/>
                <w:sz w:val="20"/>
                <w:szCs w:val="20"/>
              </w:rPr>
              <w:t>0.</w:t>
            </w:r>
            <w:r>
              <w:rPr>
                <w:rFonts w:hint="eastAsia"/>
                <w:color w:val="000000"/>
                <w:sz w:val="20"/>
                <w:szCs w:val="20"/>
              </w:rPr>
              <w:t>36</w:t>
            </w:r>
          </w:p>
        </w:tc>
        <w:tc>
          <w:tcPr>
            <w:tcW w:w="958" w:type="dxa"/>
            <w:vAlign w:val="center"/>
          </w:tcPr>
          <w:p w14:paraId="67405A8D" w14:textId="77777777" w:rsidR="004B0883" w:rsidRDefault="004B0883">
            <w:pPr>
              <w:jc w:val="right"/>
              <w:rPr>
                <w:b/>
                <w:bCs/>
                <w:color w:val="000000"/>
                <w:sz w:val="20"/>
                <w:szCs w:val="20"/>
              </w:rPr>
            </w:pPr>
            <w:r>
              <w:rPr>
                <w:b/>
                <w:bCs/>
                <w:color w:val="000000"/>
                <w:sz w:val="20"/>
                <w:szCs w:val="20"/>
              </w:rPr>
              <w:t>0.</w:t>
            </w:r>
            <w:r>
              <w:rPr>
                <w:rFonts w:hint="eastAsia"/>
                <w:b/>
                <w:bCs/>
                <w:color w:val="000000"/>
                <w:sz w:val="20"/>
                <w:szCs w:val="20"/>
              </w:rPr>
              <w:t>37</w:t>
            </w:r>
          </w:p>
        </w:tc>
        <w:tc>
          <w:tcPr>
            <w:tcW w:w="1118" w:type="dxa"/>
            <w:tcMar>
              <w:top w:w="0" w:type="dxa"/>
              <w:bottom w:w="0" w:type="dxa"/>
            </w:tcMar>
            <w:vAlign w:val="center"/>
          </w:tcPr>
          <w:p w14:paraId="2ADED094" w14:textId="77777777" w:rsidR="004B0883" w:rsidRDefault="004B0883">
            <w:pPr>
              <w:jc w:val="right"/>
              <w:rPr>
                <w:rFonts w:eastAsia="等线"/>
                <w:b/>
                <w:bCs/>
                <w:color w:val="000000"/>
                <w:kern w:val="0"/>
                <w:sz w:val="20"/>
                <w:szCs w:val="20"/>
              </w:rPr>
            </w:pPr>
            <w:r>
              <w:rPr>
                <w:rFonts w:eastAsia="等线"/>
                <w:b/>
                <w:bCs/>
                <w:color w:val="000000"/>
                <w:sz w:val="20"/>
                <w:szCs w:val="20"/>
              </w:rPr>
              <w:t>0.</w:t>
            </w:r>
            <w:r>
              <w:rPr>
                <w:rFonts w:eastAsia="等线" w:hint="eastAsia"/>
                <w:b/>
                <w:bCs/>
                <w:color w:val="000000"/>
                <w:sz w:val="20"/>
                <w:szCs w:val="20"/>
              </w:rPr>
              <w:t>40</w:t>
            </w:r>
          </w:p>
        </w:tc>
      </w:tr>
      <w:tr w:rsidR="004B0883" w14:paraId="69737FA9" w14:textId="77777777">
        <w:trPr>
          <w:trHeight w:val="397"/>
          <w:jc w:val="center"/>
        </w:trPr>
        <w:tc>
          <w:tcPr>
            <w:tcW w:w="1101" w:type="dxa"/>
            <w:vMerge/>
            <w:tcMar>
              <w:top w:w="0" w:type="dxa"/>
              <w:bottom w:w="0" w:type="dxa"/>
            </w:tcMar>
            <w:vAlign w:val="center"/>
          </w:tcPr>
          <w:p w14:paraId="01BF4E9D" w14:textId="77777777" w:rsidR="004B0883" w:rsidRDefault="004B0883">
            <w:pPr>
              <w:widowControl w:val="0"/>
              <w:adjustRightInd w:val="0"/>
              <w:snapToGrid w:val="0"/>
              <w:rPr>
                <w:color w:val="000000"/>
                <w:kern w:val="0"/>
                <w:sz w:val="20"/>
                <w:szCs w:val="20"/>
              </w:rPr>
            </w:pPr>
          </w:p>
        </w:tc>
        <w:tc>
          <w:tcPr>
            <w:tcW w:w="1176" w:type="dxa"/>
            <w:tcMar>
              <w:top w:w="0" w:type="dxa"/>
              <w:bottom w:w="0" w:type="dxa"/>
            </w:tcMar>
            <w:vAlign w:val="center"/>
          </w:tcPr>
          <w:p w14:paraId="23379D07" w14:textId="77777777" w:rsidR="004B0883" w:rsidRDefault="004B0883">
            <w:pPr>
              <w:widowControl w:val="0"/>
              <w:adjustRightInd w:val="0"/>
              <w:snapToGrid w:val="0"/>
              <w:rPr>
                <w:color w:val="000000"/>
                <w:kern w:val="0"/>
                <w:sz w:val="20"/>
                <w:szCs w:val="20"/>
              </w:rPr>
            </w:pPr>
            <w:r>
              <w:rPr>
                <w:color w:val="000000"/>
                <w:kern w:val="0"/>
                <w:sz w:val="20"/>
                <w:szCs w:val="20"/>
              </w:rPr>
              <w:t>2022.12.31</w:t>
            </w:r>
          </w:p>
        </w:tc>
        <w:tc>
          <w:tcPr>
            <w:tcW w:w="1043" w:type="dxa"/>
            <w:tcMar>
              <w:top w:w="0" w:type="dxa"/>
              <w:bottom w:w="0" w:type="dxa"/>
            </w:tcMar>
            <w:vAlign w:val="center"/>
          </w:tcPr>
          <w:p w14:paraId="278FCDAB" w14:textId="77777777" w:rsidR="004B0883" w:rsidRDefault="004B0883">
            <w:pPr>
              <w:jc w:val="right"/>
              <w:rPr>
                <w:color w:val="000000"/>
                <w:sz w:val="20"/>
                <w:szCs w:val="20"/>
              </w:rPr>
            </w:pPr>
            <w:r>
              <w:rPr>
                <w:color w:val="000000"/>
                <w:sz w:val="20"/>
                <w:szCs w:val="20"/>
              </w:rPr>
              <w:t>0.38</w:t>
            </w:r>
          </w:p>
        </w:tc>
        <w:tc>
          <w:tcPr>
            <w:tcW w:w="1044" w:type="dxa"/>
            <w:tcMar>
              <w:top w:w="0" w:type="dxa"/>
              <w:bottom w:w="0" w:type="dxa"/>
            </w:tcMar>
            <w:vAlign w:val="center"/>
          </w:tcPr>
          <w:p w14:paraId="52D1E579" w14:textId="77777777" w:rsidR="004B0883" w:rsidRDefault="004B0883">
            <w:pPr>
              <w:jc w:val="right"/>
              <w:rPr>
                <w:color w:val="000000"/>
                <w:sz w:val="20"/>
                <w:szCs w:val="20"/>
              </w:rPr>
            </w:pPr>
            <w:r>
              <w:rPr>
                <w:color w:val="000000"/>
                <w:sz w:val="20"/>
                <w:szCs w:val="20"/>
              </w:rPr>
              <w:t>0.47</w:t>
            </w:r>
          </w:p>
        </w:tc>
        <w:tc>
          <w:tcPr>
            <w:tcW w:w="1043" w:type="dxa"/>
            <w:tcMar>
              <w:top w:w="0" w:type="dxa"/>
              <w:bottom w:w="0" w:type="dxa"/>
            </w:tcMar>
            <w:vAlign w:val="center"/>
          </w:tcPr>
          <w:p w14:paraId="595D3051" w14:textId="77777777" w:rsidR="004B0883" w:rsidRDefault="004B0883">
            <w:pPr>
              <w:jc w:val="right"/>
              <w:rPr>
                <w:color w:val="000000"/>
                <w:sz w:val="20"/>
                <w:szCs w:val="20"/>
              </w:rPr>
            </w:pPr>
            <w:r>
              <w:rPr>
                <w:color w:val="000000"/>
                <w:sz w:val="20"/>
                <w:szCs w:val="20"/>
              </w:rPr>
              <w:t>0.63</w:t>
            </w:r>
          </w:p>
        </w:tc>
        <w:tc>
          <w:tcPr>
            <w:tcW w:w="1043" w:type="dxa"/>
            <w:tcMar>
              <w:top w:w="0" w:type="dxa"/>
              <w:bottom w:w="0" w:type="dxa"/>
            </w:tcMar>
            <w:vAlign w:val="center"/>
          </w:tcPr>
          <w:p w14:paraId="671379B3" w14:textId="77777777" w:rsidR="004B0883" w:rsidRDefault="004B0883">
            <w:pPr>
              <w:jc w:val="right"/>
              <w:rPr>
                <w:color w:val="000000"/>
                <w:sz w:val="20"/>
                <w:szCs w:val="20"/>
              </w:rPr>
            </w:pPr>
            <w:r>
              <w:rPr>
                <w:color w:val="000000"/>
                <w:sz w:val="20"/>
                <w:szCs w:val="20"/>
              </w:rPr>
              <w:t>0.50</w:t>
            </w:r>
          </w:p>
        </w:tc>
        <w:tc>
          <w:tcPr>
            <w:tcW w:w="958" w:type="dxa"/>
            <w:vAlign w:val="center"/>
          </w:tcPr>
          <w:p w14:paraId="7130C5E7" w14:textId="77777777" w:rsidR="004B0883" w:rsidRDefault="004B0883">
            <w:pPr>
              <w:jc w:val="right"/>
              <w:rPr>
                <w:b/>
                <w:bCs/>
                <w:color w:val="000000"/>
                <w:sz w:val="20"/>
                <w:szCs w:val="20"/>
              </w:rPr>
            </w:pPr>
            <w:r>
              <w:rPr>
                <w:rFonts w:hint="eastAsia"/>
                <w:b/>
                <w:bCs/>
                <w:color w:val="000000"/>
                <w:sz w:val="20"/>
                <w:szCs w:val="20"/>
              </w:rPr>
              <w:t xml:space="preserve">0.50 </w:t>
            </w:r>
          </w:p>
        </w:tc>
        <w:tc>
          <w:tcPr>
            <w:tcW w:w="1118" w:type="dxa"/>
            <w:tcMar>
              <w:top w:w="0" w:type="dxa"/>
              <w:bottom w:w="0" w:type="dxa"/>
            </w:tcMar>
            <w:vAlign w:val="center"/>
          </w:tcPr>
          <w:p w14:paraId="7725351D" w14:textId="77777777" w:rsidR="004B0883" w:rsidRDefault="004B0883">
            <w:pPr>
              <w:jc w:val="right"/>
              <w:rPr>
                <w:rFonts w:eastAsia="等线"/>
                <w:b/>
                <w:bCs/>
                <w:color w:val="000000"/>
                <w:sz w:val="20"/>
                <w:szCs w:val="20"/>
              </w:rPr>
            </w:pPr>
            <w:r>
              <w:rPr>
                <w:rFonts w:eastAsia="等线"/>
                <w:b/>
                <w:bCs/>
                <w:color w:val="000000"/>
                <w:sz w:val="20"/>
                <w:szCs w:val="20"/>
              </w:rPr>
              <w:t>0.57</w:t>
            </w:r>
          </w:p>
        </w:tc>
      </w:tr>
      <w:tr w:rsidR="004B0883" w14:paraId="5CF73B1D" w14:textId="77777777">
        <w:trPr>
          <w:trHeight w:val="397"/>
          <w:jc w:val="center"/>
        </w:trPr>
        <w:tc>
          <w:tcPr>
            <w:tcW w:w="1101" w:type="dxa"/>
            <w:vMerge/>
            <w:tcMar>
              <w:top w:w="0" w:type="dxa"/>
              <w:bottom w:w="0" w:type="dxa"/>
            </w:tcMar>
            <w:vAlign w:val="center"/>
          </w:tcPr>
          <w:p w14:paraId="0EF5666A" w14:textId="77777777" w:rsidR="004B0883" w:rsidRDefault="004B0883">
            <w:pPr>
              <w:widowControl w:val="0"/>
              <w:adjustRightInd w:val="0"/>
              <w:snapToGrid w:val="0"/>
              <w:rPr>
                <w:color w:val="000000"/>
                <w:kern w:val="0"/>
                <w:sz w:val="20"/>
                <w:szCs w:val="20"/>
              </w:rPr>
            </w:pPr>
          </w:p>
        </w:tc>
        <w:tc>
          <w:tcPr>
            <w:tcW w:w="1176" w:type="dxa"/>
            <w:tcMar>
              <w:top w:w="0" w:type="dxa"/>
              <w:bottom w:w="0" w:type="dxa"/>
            </w:tcMar>
            <w:vAlign w:val="center"/>
          </w:tcPr>
          <w:p w14:paraId="7766B92F" w14:textId="77777777" w:rsidR="004B0883" w:rsidRDefault="004B0883">
            <w:pPr>
              <w:widowControl w:val="0"/>
              <w:adjustRightInd w:val="0"/>
              <w:snapToGrid w:val="0"/>
              <w:rPr>
                <w:color w:val="000000"/>
                <w:kern w:val="0"/>
                <w:sz w:val="20"/>
                <w:szCs w:val="20"/>
              </w:rPr>
            </w:pPr>
            <w:r>
              <w:rPr>
                <w:color w:val="000000"/>
                <w:kern w:val="0"/>
                <w:sz w:val="20"/>
                <w:szCs w:val="20"/>
              </w:rPr>
              <w:t>2021.12.31</w:t>
            </w:r>
          </w:p>
        </w:tc>
        <w:tc>
          <w:tcPr>
            <w:tcW w:w="1043" w:type="dxa"/>
            <w:tcMar>
              <w:top w:w="0" w:type="dxa"/>
              <w:bottom w:w="0" w:type="dxa"/>
            </w:tcMar>
            <w:vAlign w:val="center"/>
          </w:tcPr>
          <w:p w14:paraId="3ADB479F" w14:textId="77777777" w:rsidR="004B0883" w:rsidRDefault="004B0883">
            <w:pPr>
              <w:jc w:val="right"/>
              <w:rPr>
                <w:color w:val="000000"/>
                <w:sz w:val="20"/>
                <w:szCs w:val="20"/>
              </w:rPr>
            </w:pPr>
            <w:r>
              <w:rPr>
                <w:color w:val="000000"/>
                <w:sz w:val="20"/>
                <w:szCs w:val="20"/>
              </w:rPr>
              <w:t>0.48</w:t>
            </w:r>
          </w:p>
        </w:tc>
        <w:tc>
          <w:tcPr>
            <w:tcW w:w="1044" w:type="dxa"/>
            <w:tcMar>
              <w:top w:w="0" w:type="dxa"/>
              <w:bottom w:w="0" w:type="dxa"/>
            </w:tcMar>
            <w:vAlign w:val="center"/>
          </w:tcPr>
          <w:p w14:paraId="095768DF" w14:textId="77777777" w:rsidR="004B0883" w:rsidRDefault="004B0883">
            <w:pPr>
              <w:jc w:val="right"/>
              <w:rPr>
                <w:color w:val="000000"/>
                <w:sz w:val="20"/>
                <w:szCs w:val="20"/>
              </w:rPr>
            </w:pPr>
            <w:r>
              <w:rPr>
                <w:color w:val="000000"/>
                <w:sz w:val="20"/>
                <w:szCs w:val="20"/>
              </w:rPr>
              <w:t>0.82</w:t>
            </w:r>
          </w:p>
        </w:tc>
        <w:tc>
          <w:tcPr>
            <w:tcW w:w="1043" w:type="dxa"/>
            <w:tcMar>
              <w:top w:w="0" w:type="dxa"/>
              <w:bottom w:w="0" w:type="dxa"/>
            </w:tcMar>
            <w:vAlign w:val="center"/>
          </w:tcPr>
          <w:p w14:paraId="795ED8C6" w14:textId="77777777" w:rsidR="004B0883" w:rsidRDefault="004B0883">
            <w:pPr>
              <w:jc w:val="right"/>
              <w:rPr>
                <w:color w:val="000000"/>
                <w:sz w:val="20"/>
                <w:szCs w:val="20"/>
              </w:rPr>
            </w:pPr>
            <w:r>
              <w:rPr>
                <w:color w:val="000000"/>
                <w:sz w:val="20"/>
                <w:szCs w:val="20"/>
              </w:rPr>
              <w:t>0.70</w:t>
            </w:r>
          </w:p>
        </w:tc>
        <w:tc>
          <w:tcPr>
            <w:tcW w:w="1043" w:type="dxa"/>
            <w:tcMar>
              <w:top w:w="0" w:type="dxa"/>
              <w:bottom w:w="0" w:type="dxa"/>
            </w:tcMar>
            <w:vAlign w:val="center"/>
          </w:tcPr>
          <w:p w14:paraId="46AF12C0" w14:textId="77777777" w:rsidR="004B0883" w:rsidRDefault="004B0883">
            <w:pPr>
              <w:jc w:val="right"/>
              <w:rPr>
                <w:color w:val="000000"/>
                <w:sz w:val="20"/>
                <w:szCs w:val="20"/>
              </w:rPr>
            </w:pPr>
            <w:r>
              <w:rPr>
                <w:color w:val="000000"/>
                <w:sz w:val="20"/>
                <w:szCs w:val="20"/>
              </w:rPr>
              <w:t>0.58</w:t>
            </w:r>
          </w:p>
        </w:tc>
        <w:tc>
          <w:tcPr>
            <w:tcW w:w="958" w:type="dxa"/>
            <w:vAlign w:val="center"/>
          </w:tcPr>
          <w:p w14:paraId="456F1C1A" w14:textId="77777777" w:rsidR="004B0883" w:rsidRDefault="004B0883">
            <w:pPr>
              <w:jc w:val="right"/>
              <w:rPr>
                <w:b/>
                <w:bCs/>
                <w:color w:val="000000"/>
                <w:sz w:val="20"/>
                <w:szCs w:val="20"/>
              </w:rPr>
            </w:pPr>
            <w:r>
              <w:rPr>
                <w:rFonts w:hint="eastAsia"/>
                <w:b/>
                <w:bCs/>
                <w:color w:val="000000"/>
                <w:sz w:val="20"/>
                <w:szCs w:val="20"/>
              </w:rPr>
              <w:t xml:space="preserve">0.65 </w:t>
            </w:r>
          </w:p>
        </w:tc>
        <w:tc>
          <w:tcPr>
            <w:tcW w:w="1118" w:type="dxa"/>
            <w:tcMar>
              <w:top w:w="0" w:type="dxa"/>
              <w:bottom w:w="0" w:type="dxa"/>
            </w:tcMar>
            <w:vAlign w:val="center"/>
          </w:tcPr>
          <w:p w14:paraId="5295EECE" w14:textId="77777777" w:rsidR="004B0883" w:rsidRDefault="004B0883">
            <w:pPr>
              <w:jc w:val="right"/>
              <w:rPr>
                <w:rFonts w:eastAsia="等线"/>
                <w:b/>
                <w:bCs/>
                <w:color w:val="000000"/>
                <w:sz w:val="20"/>
                <w:szCs w:val="20"/>
              </w:rPr>
            </w:pPr>
            <w:r>
              <w:rPr>
                <w:rFonts w:eastAsia="等线"/>
                <w:b/>
                <w:bCs/>
                <w:color w:val="000000"/>
                <w:sz w:val="20"/>
                <w:szCs w:val="20"/>
              </w:rPr>
              <w:t>0.47</w:t>
            </w:r>
          </w:p>
        </w:tc>
      </w:tr>
      <w:tr w:rsidR="004B0883" w14:paraId="25DD50E7" w14:textId="77777777">
        <w:trPr>
          <w:trHeight w:val="397"/>
          <w:jc w:val="center"/>
        </w:trPr>
        <w:tc>
          <w:tcPr>
            <w:tcW w:w="1101" w:type="dxa"/>
            <w:vMerge/>
            <w:tcMar>
              <w:top w:w="0" w:type="dxa"/>
              <w:bottom w:w="0" w:type="dxa"/>
            </w:tcMar>
            <w:vAlign w:val="center"/>
          </w:tcPr>
          <w:p w14:paraId="13A39F0E" w14:textId="77777777" w:rsidR="004B0883" w:rsidRDefault="004B0883">
            <w:pPr>
              <w:widowControl w:val="0"/>
              <w:adjustRightInd w:val="0"/>
              <w:snapToGrid w:val="0"/>
              <w:rPr>
                <w:color w:val="000000"/>
                <w:kern w:val="0"/>
                <w:sz w:val="20"/>
                <w:szCs w:val="20"/>
              </w:rPr>
            </w:pPr>
          </w:p>
        </w:tc>
        <w:tc>
          <w:tcPr>
            <w:tcW w:w="1176" w:type="dxa"/>
            <w:tcMar>
              <w:top w:w="0" w:type="dxa"/>
              <w:bottom w:w="0" w:type="dxa"/>
            </w:tcMar>
            <w:vAlign w:val="center"/>
          </w:tcPr>
          <w:p w14:paraId="0719958F" w14:textId="77777777" w:rsidR="004B0883" w:rsidRDefault="004B0883">
            <w:pPr>
              <w:widowControl w:val="0"/>
              <w:adjustRightInd w:val="0"/>
              <w:snapToGrid w:val="0"/>
              <w:rPr>
                <w:color w:val="000000"/>
                <w:kern w:val="0"/>
                <w:sz w:val="20"/>
                <w:szCs w:val="20"/>
              </w:rPr>
            </w:pPr>
            <w:r>
              <w:rPr>
                <w:color w:val="000000"/>
                <w:kern w:val="0"/>
                <w:sz w:val="20"/>
                <w:szCs w:val="20"/>
              </w:rPr>
              <w:t>2020.12.31</w:t>
            </w:r>
          </w:p>
        </w:tc>
        <w:tc>
          <w:tcPr>
            <w:tcW w:w="1043" w:type="dxa"/>
            <w:tcMar>
              <w:top w:w="0" w:type="dxa"/>
              <w:bottom w:w="0" w:type="dxa"/>
            </w:tcMar>
            <w:vAlign w:val="center"/>
          </w:tcPr>
          <w:p w14:paraId="7B8B4EA3" w14:textId="77777777" w:rsidR="004B0883" w:rsidRDefault="004B0883">
            <w:pPr>
              <w:jc w:val="right"/>
              <w:rPr>
                <w:color w:val="000000"/>
                <w:sz w:val="20"/>
                <w:szCs w:val="20"/>
              </w:rPr>
            </w:pPr>
            <w:r>
              <w:rPr>
                <w:color w:val="000000"/>
                <w:sz w:val="20"/>
                <w:szCs w:val="20"/>
              </w:rPr>
              <w:t>0.46</w:t>
            </w:r>
          </w:p>
        </w:tc>
        <w:tc>
          <w:tcPr>
            <w:tcW w:w="1044" w:type="dxa"/>
            <w:tcMar>
              <w:top w:w="0" w:type="dxa"/>
              <w:bottom w:w="0" w:type="dxa"/>
            </w:tcMar>
            <w:vAlign w:val="center"/>
          </w:tcPr>
          <w:p w14:paraId="2A54AC31" w14:textId="77777777" w:rsidR="004B0883" w:rsidRDefault="004B0883">
            <w:pPr>
              <w:jc w:val="right"/>
              <w:rPr>
                <w:color w:val="000000"/>
                <w:sz w:val="20"/>
                <w:szCs w:val="20"/>
              </w:rPr>
            </w:pPr>
            <w:r>
              <w:rPr>
                <w:color w:val="000000"/>
                <w:sz w:val="20"/>
                <w:szCs w:val="20"/>
              </w:rPr>
              <w:t>0.84</w:t>
            </w:r>
          </w:p>
        </w:tc>
        <w:tc>
          <w:tcPr>
            <w:tcW w:w="1043" w:type="dxa"/>
            <w:tcMar>
              <w:top w:w="0" w:type="dxa"/>
              <w:bottom w:w="0" w:type="dxa"/>
            </w:tcMar>
            <w:vAlign w:val="center"/>
          </w:tcPr>
          <w:p w14:paraId="0D5E99B6" w14:textId="77777777" w:rsidR="004B0883" w:rsidRDefault="004B0883">
            <w:pPr>
              <w:jc w:val="right"/>
              <w:rPr>
                <w:color w:val="000000"/>
                <w:sz w:val="20"/>
                <w:szCs w:val="20"/>
              </w:rPr>
            </w:pPr>
            <w:r>
              <w:rPr>
                <w:color w:val="000000"/>
                <w:sz w:val="20"/>
                <w:szCs w:val="20"/>
              </w:rPr>
              <w:t>0.70</w:t>
            </w:r>
          </w:p>
        </w:tc>
        <w:tc>
          <w:tcPr>
            <w:tcW w:w="1043" w:type="dxa"/>
            <w:tcMar>
              <w:top w:w="0" w:type="dxa"/>
              <w:bottom w:w="0" w:type="dxa"/>
            </w:tcMar>
            <w:vAlign w:val="center"/>
          </w:tcPr>
          <w:p w14:paraId="013BA0A8" w14:textId="77777777" w:rsidR="004B0883" w:rsidRDefault="004B0883">
            <w:pPr>
              <w:jc w:val="right"/>
              <w:rPr>
                <w:color w:val="000000"/>
                <w:sz w:val="20"/>
                <w:szCs w:val="20"/>
              </w:rPr>
            </w:pPr>
            <w:r>
              <w:rPr>
                <w:color w:val="000000"/>
                <w:sz w:val="20"/>
                <w:szCs w:val="20"/>
              </w:rPr>
              <w:t>0.48</w:t>
            </w:r>
          </w:p>
        </w:tc>
        <w:tc>
          <w:tcPr>
            <w:tcW w:w="958" w:type="dxa"/>
            <w:vAlign w:val="center"/>
          </w:tcPr>
          <w:p w14:paraId="678EEFB9" w14:textId="77777777" w:rsidR="004B0883" w:rsidRDefault="004B0883">
            <w:pPr>
              <w:jc w:val="right"/>
              <w:rPr>
                <w:b/>
                <w:bCs/>
                <w:color w:val="000000"/>
                <w:sz w:val="20"/>
                <w:szCs w:val="20"/>
              </w:rPr>
            </w:pPr>
            <w:r>
              <w:rPr>
                <w:rFonts w:hint="eastAsia"/>
                <w:b/>
                <w:bCs/>
                <w:color w:val="000000"/>
                <w:sz w:val="20"/>
                <w:szCs w:val="20"/>
              </w:rPr>
              <w:t xml:space="preserve">0.62 </w:t>
            </w:r>
          </w:p>
        </w:tc>
        <w:tc>
          <w:tcPr>
            <w:tcW w:w="1118" w:type="dxa"/>
            <w:tcMar>
              <w:top w:w="0" w:type="dxa"/>
              <w:bottom w:w="0" w:type="dxa"/>
            </w:tcMar>
            <w:vAlign w:val="center"/>
          </w:tcPr>
          <w:p w14:paraId="718F69DE" w14:textId="77777777" w:rsidR="004B0883" w:rsidRDefault="004B0883">
            <w:pPr>
              <w:jc w:val="right"/>
              <w:rPr>
                <w:rFonts w:eastAsia="等线"/>
                <w:b/>
                <w:bCs/>
                <w:color w:val="000000"/>
                <w:sz w:val="20"/>
                <w:szCs w:val="20"/>
              </w:rPr>
            </w:pPr>
            <w:r>
              <w:rPr>
                <w:rFonts w:eastAsia="等线"/>
                <w:b/>
                <w:bCs/>
                <w:color w:val="000000"/>
                <w:sz w:val="20"/>
                <w:szCs w:val="20"/>
              </w:rPr>
              <w:t>0.41</w:t>
            </w:r>
          </w:p>
        </w:tc>
      </w:tr>
    </w:tbl>
    <w:p w14:paraId="36756D15" w14:textId="77777777" w:rsidR="004B0883" w:rsidRDefault="004B0883">
      <w:pPr>
        <w:pStyle w:val="005"/>
        <w:spacing w:before="120"/>
        <w:ind w:firstLine="480"/>
        <w:rPr>
          <w:rFonts w:hint="eastAsia"/>
          <w:kern w:val="0"/>
        </w:rPr>
      </w:pPr>
      <w:r>
        <w:rPr>
          <w:rFonts w:hint="eastAsia"/>
          <w:szCs w:val="24"/>
        </w:rPr>
        <w:t>报告期各期末，公司</w:t>
      </w:r>
      <w:r>
        <w:rPr>
          <w:kern w:val="0"/>
          <w:szCs w:val="21"/>
        </w:rPr>
        <w:t>应收账款周转率</w:t>
      </w:r>
      <w:r>
        <w:rPr>
          <w:rFonts w:hint="eastAsia"/>
          <w:szCs w:val="24"/>
        </w:rPr>
        <w:t>高于同行业可比公司，主要系公司主要客户为国外客户，回款速度较快所致；</w:t>
      </w:r>
      <w:r>
        <w:rPr>
          <w:rFonts w:hint="eastAsia"/>
          <w:kern w:val="0"/>
          <w:szCs w:val="21"/>
        </w:rPr>
        <w:t>存货周转率</w:t>
      </w:r>
      <w:r>
        <w:rPr>
          <w:rFonts w:hint="eastAsia"/>
          <w:szCs w:val="24"/>
        </w:rPr>
        <w:t>高于同行业可比公司主要系公司采取以销定产的生产模式。</w:t>
      </w:r>
    </w:p>
    <w:p w14:paraId="51E69D30" w14:textId="77777777" w:rsidR="004B0883" w:rsidRDefault="004B0883">
      <w:pPr>
        <w:pStyle w:val="003"/>
        <w:spacing w:before="120" w:after="120"/>
        <w:rPr>
          <w:rFonts w:hint="eastAsia"/>
        </w:rPr>
      </w:pPr>
      <w:r>
        <w:rPr>
          <w:rFonts w:hint="eastAsia"/>
        </w:rPr>
        <w:t>（五）公司财务性投资分析</w:t>
      </w:r>
    </w:p>
    <w:p w14:paraId="17291D1F" w14:textId="77777777" w:rsidR="004B0883" w:rsidRDefault="004B0883">
      <w:pPr>
        <w:keepNext/>
        <w:keepLines/>
        <w:widowControl w:val="0"/>
        <w:spacing w:beforeLines="50" w:before="120" w:line="360" w:lineRule="auto"/>
        <w:ind w:firstLineChars="200" w:firstLine="482"/>
        <w:jc w:val="both"/>
        <w:outlineLvl w:val="3"/>
        <w:rPr>
          <w:b/>
          <w:bCs/>
          <w:sz w:val="24"/>
          <w:szCs w:val="28"/>
        </w:rPr>
      </w:pPr>
      <w:r>
        <w:rPr>
          <w:b/>
          <w:bCs/>
          <w:sz w:val="24"/>
          <w:szCs w:val="28"/>
        </w:rPr>
        <w:t>1</w:t>
      </w:r>
      <w:r>
        <w:rPr>
          <w:rFonts w:hint="eastAsia"/>
          <w:b/>
          <w:bCs/>
          <w:sz w:val="24"/>
          <w:szCs w:val="28"/>
        </w:rPr>
        <w:t>、财务性投资的相关认定</w:t>
      </w:r>
    </w:p>
    <w:p w14:paraId="1F4EEA35"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根据中国证监会《〈上市公司证券发行注册管理办法〉第九条、第十条、第十一条、第十三条、第四十条、第五十七条、第六十条有关规定的适用意见——证券期货法律适用意见第</w:t>
      </w:r>
      <w:r>
        <w:rPr>
          <w:rFonts w:hint="eastAsia"/>
          <w:sz w:val="24"/>
          <w:szCs w:val="22"/>
        </w:rPr>
        <w:t>18</w:t>
      </w:r>
      <w:r>
        <w:rPr>
          <w:rFonts w:hint="eastAsia"/>
          <w:sz w:val="24"/>
          <w:szCs w:val="22"/>
        </w:rPr>
        <w:t>号》规定：（一）财务性投资包括但不限于：投资类金融业务；非金融企业投资金融业务（不包括投资前后持股比例未增加的对集团财务公司的投资）；与公司主营业务无关的股权投资；投资产业基金、并购基金；拆借资金；委托贷款；购买收益波动大且风险较高的金融产品等。（二）围绕产业链上下游以获取技术、原料或者渠道为目的的产业投资，以收购或者整合为目的的并购投资，以拓展客户、渠道为目的的拆借资金、委托贷款，如符合公司主营业务及战略发展方向，不界定为财务性投资。（三）上市公司及其子公司参股类金融公司的，适用本条要求；经营类金融业务的不适用本条，经营类金融业务是指将类金融业务收入纳入合并报表。（四）基于历史原因，通过发起设立、政策性重组等形成且短期难以清退的财务性投资，不纳入财务性投资计算口径。（五）金额较大是指，公司已持有和拟持有的财务性投资金额超过公司合并报表归属于母公司净资产的百分之三十（不包括对合并报表范围内的类金融业务的投资金额）。（六）本次发行董事会决议日前六个月至本次发行前新投入和拟投入的财务性投资金额应当从本次募集资金总额中扣除。投入是指支付投资资金、披露投资意向或者签订投资协议等。（七）发行人应当结合前述情况，准确披露截至最近一期末不存在金额较大的财务性投资的基本情况。</w:t>
      </w:r>
    </w:p>
    <w:p w14:paraId="317BB2B8" w14:textId="77777777" w:rsidR="004B0883" w:rsidRDefault="004B0883">
      <w:pPr>
        <w:widowControl w:val="0"/>
        <w:spacing w:beforeLines="50" w:before="120" w:line="360" w:lineRule="auto"/>
        <w:ind w:firstLineChars="200" w:firstLine="480"/>
        <w:jc w:val="both"/>
        <w:rPr>
          <w:rFonts w:hint="eastAsia"/>
          <w:sz w:val="24"/>
          <w:szCs w:val="22"/>
        </w:rPr>
      </w:pPr>
      <w:r>
        <w:rPr>
          <w:rFonts w:hint="eastAsia"/>
          <w:sz w:val="24"/>
          <w:szCs w:val="22"/>
        </w:rPr>
        <w:t>根据《监管规则适用指引——发行类第</w:t>
      </w:r>
      <w:r>
        <w:rPr>
          <w:rFonts w:hint="eastAsia"/>
          <w:sz w:val="24"/>
          <w:szCs w:val="22"/>
        </w:rPr>
        <w:t>7</w:t>
      </w:r>
      <w:r>
        <w:rPr>
          <w:rFonts w:hint="eastAsia"/>
          <w:sz w:val="24"/>
          <w:szCs w:val="22"/>
        </w:rPr>
        <w:t>号》的规定，除人民银行、银保监会、证监会批准从事金融业务的持牌机构为金融机构外，其他从事金融活动的机构均为类金融机构。类金融业务包括但不限于：融资租赁、融资担保、商业保理、典当及小额贷款等业务。</w:t>
      </w:r>
    </w:p>
    <w:p w14:paraId="718410E9" w14:textId="77777777" w:rsidR="004B0883" w:rsidRDefault="004B0883">
      <w:pPr>
        <w:keepNext/>
        <w:keepLines/>
        <w:widowControl w:val="0"/>
        <w:spacing w:beforeLines="50" w:before="120" w:line="360" w:lineRule="auto"/>
        <w:ind w:firstLineChars="200" w:firstLine="482"/>
        <w:jc w:val="both"/>
        <w:outlineLvl w:val="3"/>
        <w:rPr>
          <w:b/>
          <w:bCs/>
          <w:sz w:val="24"/>
          <w:szCs w:val="28"/>
        </w:rPr>
      </w:pPr>
      <w:bookmarkStart w:id="328" w:name="_Hlk122382812"/>
      <w:bookmarkStart w:id="329" w:name="_Hlk101971784"/>
      <w:r>
        <w:rPr>
          <w:b/>
          <w:bCs/>
          <w:sz w:val="24"/>
          <w:szCs w:val="28"/>
        </w:rPr>
        <w:t>2</w:t>
      </w:r>
      <w:r>
        <w:rPr>
          <w:rFonts w:hint="eastAsia"/>
          <w:b/>
          <w:bCs/>
          <w:sz w:val="24"/>
          <w:szCs w:val="28"/>
        </w:rPr>
        <w:t>、</w:t>
      </w:r>
      <w:bookmarkStart w:id="330" w:name="_Hlk122513820"/>
      <w:r>
        <w:rPr>
          <w:rFonts w:hint="eastAsia"/>
          <w:b/>
          <w:bCs/>
          <w:sz w:val="24"/>
          <w:szCs w:val="28"/>
        </w:rPr>
        <w:t>自本次发行董事会决议日前六个月起至今，公司实施或拟实施的财务性投资情况</w:t>
      </w:r>
      <w:bookmarkEnd w:id="330"/>
    </w:p>
    <w:p w14:paraId="7289B334" w14:textId="77777777" w:rsidR="004B0883" w:rsidRDefault="004B0883">
      <w:pPr>
        <w:widowControl w:val="0"/>
        <w:spacing w:beforeLines="50" w:before="120" w:line="360" w:lineRule="auto"/>
        <w:ind w:firstLineChars="200" w:firstLine="480"/>
        <w:jc w:val="both"/>
        <w:rPr>
          <w:sz w:val="24"/>
          <w:szCs w:val="22"/>
        </w:rPr>
      </w:pPr>
      <w:bookmarkStart w:id="331" w:name="_Hlk122515442"/>
      <w:r>
        <w:rPr>
          <w:rFonts w:hint="eastAsia"/>
          <w:sz w:val="24"/>
          <w:szCs w:val="22"/>
        </w:rPr>
        <w:t>公司于</w:t>
      </w:r>
      <w:r>
        <w:rPr>
          <w:rFonts w:hint="eastAsia"/>
          <w:sz w:val="24"/>
          <w:szCs w:val="22"/>
        </w:rPr>
        <w:t>2023</w:t>
      </w:r>
      <w:r>
        <w:rPr>
          <w:rFonts w:hint="eastAsia"/>
          <w:sz w:val="24"/>
          <w:szCs w:val="22"/>
        </w:rPr>
        <w:t>年</w:t>
      </w:r>
      <w:r>
        <w:rPr>
          <w:sz w:val="24"/>
          <w:szCs w:val="22"/>
        </w:rPr>
        <w:t>1</w:t>
      </w:r>
      <w:r>
        <w:rPr>
          <w:rFonts w:hint="eastAsia"/>
          <w:sz w:val="24"/>
          <w:szCs w:val="22"/>
        </w:rPr>
        <w:t>月</w:t>
      </w:r>
      <w:r>
        <w:rPr>
          <w:rFonts w:hint="eastAsia"/>
          <w:sz w:val="24"/>
          <w:szCs w:val="22"/>
        </w:rPr>
        <w:t>1</w:t>
      </w:r>
      <w:r>
        <w:rPr>
          <w:sz w:val="24"/>
          <w:szCs w:val="22"/>
        </w:rPr>
        <w:t>6</w:t>
      </w:r>
      <w:r>
        <w:rPr>
          <w:rFonts w:hint="eastAsia"/>
          <w:sz w:val="24"/>
          <w:szCs w:val="22"/>
        </w:rPr>
        <w:t>日召开第四届董事会第十七次会议审议通过《关于公司公开发行可转换公司债券方案的议案》，于</w:t>
      </w:r>
      <w:r>
        <w:rPr>
          <w:rFonts w:hint="eastAsia"/>
          <w:sz w:val="24"/>
          <w:szCs w:val="22"/>
        </w:rPr>
        <w:t>2023</w:t>
      </w:r>
      <w:r>
        <w:rPr>
          <w:rFonts w:hint="eastAsia"/>
          <w:sz w:val="24"/>
          <w:szCs w:val="22"/>
        </w:rPr>
        <w:t>年</w:t>
      </w:r>
      <w:r>
        <w:rPr>
          <w:rFonts w:hint="eastAsia"/>
          <w:sz w:val="24"/>
          <w:szCs w:val="22"/>
        </w:rPr>
        <w:t>4</w:t>
      </w:r>
      <w:r>
        <w:rPr>
          <w:rFonts w:hint="eastAsia"/>
          <w:sz w:val="24"/>
          <w:szCs w:val="22"/>
        </w:rPr>
        <w:t>月</w:t>
      </w:r>
      <w:r>
        <w:rPr>
          <w:rFonts w:hint="eastAsia"/>
          <w:sz w:val="24"/>
          <w:szCs w:val="22"/>
        </w:rPr>
        <w:t>19</w:t>
      </w:r>
      <w:r>
        <w:rPr>
          <w:rFonts w:hint="eastAsia"/>
          <w:sz w:val="24"/>
          <w:szCs w:val="22"/>
        </w:rPr>
        <w:t>日召开第四届董事会第二十次会议审议通过《关于修订</w:t>
      </w:r>
      <w:r>
        <w:rPr>
          <w:rFonts w:hint="eastAsia"/>
          <w:sz w:val="24"/>
          <w:szCs w:val="22"/>
        </w:rPr>
        <w:t>&lt;</w:t>
      </w:r>
      <w:r>
        <w:rPr>
          <w:rFonts w:hint="eastAsia"/>
          <w:sz w:val="24"/>
          <w:szCs w:val="22"/>
        </w:rPr>
        <w:t>公司向不特定对象发行可转换公司债券方案</w:t>
      </w:r>
      <w:r>
        <w:rPr>
          <w:rFonts w:hint="eastAsia"/>
          <w:sz w:val="24"/>
          <w:szCs w:val="22"/>
        </w:rPr>
        <w:t>&gt;</w:t>
      </w:r>
      <w:r>
        <w:rPr>
          <w:rFonts w:hint="eastAsia"/>
          <w:sz w:val="24"/>
          <w:szCs w:val="22"/>
        </w:rPr>
        <w:t>的议案》，于</w:t>
      </w:r>
      <w:r>
        <w:rPr>
          <w:rFonts w:hint="eastAsia"/>
          <w:sz w:val="24"/>
          <w:szCs w:val="22"/>
        </w:rPr>
        <w:t>2023</w:t>
      </w:r>
      <w:r>
        <w:rPr>
          <w:rFonts w:hint="eastAsia"/>
          <w:sz w:val="24"/>
          <w:szCs w:val="22"/>
        </w:rPr>
        <w:t>年</w:t>
      </w:r>
      <w:r>
        <w:rPr>
          <w:rFonts w:hint="eastAsia"/>
          <w:sz w:val="24"/>
          <w:szCs w:val="22"/>
        </w:rPr>
        <w:t>6</w:t>
      </w:r>
      <w:r>
        <w:rPr>
          <w:rFonts w:hint="eastAsia"/>
          <w:sz w:val="24"/>
          <w:szCs w:val="22"/>
        </w:rPr>
        <w:t>月</w:t>
      </w:r>
      <w:r>
        <w:rPr>
          <w:rFonts w:hint="eastAsia"/>
          <w:sz w:val="24"/>
          <w:szCs w:val="22"/>
        </w:rPr>
        <w:t>27</w:t>
      </w:r>
      <w:r>
        <w:rPr>
          <w:rFonts w:hint="eastAsia"/>
          <w:sz w:val="24"/>
          <w:szCs w:val="22"/>
        </w:rPr>
        <w:t>日召开公司第四届董事会第二十三次会议，审议通过了《关于修订</w:t>
      </w:r>
      <w:r>
        <w:rPr>
          <w:rFonts w:hint="eastAsia"/>
          <w:sz w:val="24"/>
          <w:szCs w:val="22"/>
        </w:rPr>
        <w:t>&lt;</w:t>
      </w:r>
      <w:r>
        <w:rPr>
          <w:rFonts w:hint="eastAsia"/>
          <w:sz w:val="24"/>
          <w:szCs w:val="22"/>
        </w:rPr>
        <w:t>公司向不特定对象发行可转换公司债券方案</w:t>
      </w:r>
      <w:r>
        <w:rPr>
          <w:rFonts w:hint="eastAsia"/>
          <w:sz w:val="24"/>
          <w:szCs w:val="22"/>
        </w:rPr>
        <w:t>&gt;</w:t>
      </w:r>
      <w:r>
        <w:rPr>
          <w:rFonts w:hint="eastAsia"/>
          <w:sz w:val="24"/>
          <w:szCs w:val="22"/>
        </w:rPr>
        <w:t>（二次修订稿）的议案》。本次发行相关董事会决议日前六个月起至本募集说明书签署日，公司不存在实施财务性投资的情形，具体如下：</w:t>
      </w:r>
    </w:p>
    <w:p w14:paraId="27ACB5C6" w14:textId="77777777" w:rsidR="004B0883" w:rsidRDefault="004B0883">
      <w:pPr>
        <w:pStyle w:val="004"/>
        <w:spacing w:before="120" w:after="120"/>
        <w:ind w:firstLine="480"/>
        <w:outlineLvl w:val="4"/>
        <w:rPr>
          <w:b w:val="0"/>
          <w:bCs w:val="0"/>
        </w:rPr>
      </w:pPr>
      <w:r>
        <w:rPr>
          <w:rFonts w:hint="eastAsia"/>
          <w:b w:val="0"/>
          <w:bCs w:val="0"/>
        </w:rPr>
        <w:t>（</w:t>
      </w:r>
      <w:r>
        <w:rPr>
          <w:b w:val="0"/>
          <w:bCs w:val="0"/>
        </w:rPr>
        <w:t>1</w:t>
      </w:r>
      <w:r>
        <w:rPr>
          <w:rFonts w:hint="eastAsia"/>
          <w:b w:val="0"/>
          <w:bCs w:val="0"/>
        </w:rPr>
        <w:t>）类金融业务</w:t>
      </w:r>
    </w:p>
    <w:p w14:paraId="27C6255A" w14:textId="77777777" w:rsidR="004B0883" w:rsidRDefault="004B0883">
      <w:pPr>
        <w:pStyle w:val="005"/>
        <w:spacing w:before="120"/>
        <w:ind w:firstLine="480"/>
      </w:pPr>
      <w:r>
        <w:rPr>
          <w:rFonts w:hint="eastAsia"/>
        </w:rPr>
        <w:t>本次发行相关董事会决议日前六个月起至本募集说明书签署日，公司不存在对融资租赁、商业保理和小贷业务等类金融业务投资的情况。</w:t>
      </w:r>
    </w:p>
    <w:p w14:paraId="7793BEEA" w14:textId="77777777" w:rsidR="004B0883" w:rsidRDefault="004B0883">
      <w:pPr>
        <w:pStyle w:val="004"/>
        <w:spacing w:before="120" w:after="120"/>
        <w:ind w:firstLine="480"/>
        <w:outlineLvl w:val="4"/>
        <w:rPr>
          <w:b w:val="0"/>
          <w:bCs w:val="0"/>
        </w:rPr>
      </w:pPr>
      <w:r>
        <w:rPr>
          <w:rFonts w:hint="eastAsia"/>
          <w:b w:val="0"/>
          <w:bCs w:val="0"/>
        </w:rPr>
        <w:t>（</w:t>
      </w:r>
      <w:r>
        <w:rPr>
          <w:rFonts w:hint="eastAsia"/>
          <w:b w:val="0"/>
          <w:bCs w:val="0"/>
        </w:rPr>
        <w:t>2</w:t>
      </w:r>
      <w:r>
        <w:rPr>
          <w:rFonts w:hint="eastAsia"/>
          <w:b w:val="0"/>
          <w:bCs w:val="0"/>
        </w:rPr>
        <w:t>）投资产业基金、并购基金</w:t>
      </w:r>
    </w:p>
    <w:p w14:paraId="7A101350" w14:textId="77777777" w:rsidR="004B0883" w:rsidRDefault="004B0883">
      <w:pPr>
        <w:pStyle w:val="005"/>
        <w:spacing w:before="120"/>
        <w:ind w:firstLine="480"/>
      </w:pPr>
      <w:r>
        <w:rPr>
          <w:rFonts w:hint="eastAsia"/>
        </w:rPr>
        <w:t>本次发行相关董事会决议日前六个月起至本募集说明书签署日，公司不存在投资产业基金、并购基金的情况。</w:t>
      </w:r>
    </w:p>
    <w:p w14:paraId="55C1CB17" w14:textId="77777777" w:rsidR="004B0883" w:rsidRDefault="004B0883">
      <w:pPr>
        <w:pStyle w:val="004"/>
        <w:spacing w:before="120" w:after="120"/>
        <w:ind w:firstLine="480"/>
        <w:outlineLvl w:val="4"/>
        <w:rPr>
          <w:b w:val="0"/>
          <w:bCs w:val="0"/>
        </w:rPr>
      </w:pPr>
      <w:r>
        <w:rPr>
          <w:rFonts w:hint="eastAsia"/>
          <w:b w:val="0"/>
          <w:bCs w:val="0"/>
        </w:rPr>
        <w:t>（</w:t>
      </w:r>
      <w:r>
        <w:rPr>
          <w:rFonts w:hint="eastAsia"/>
          <w:b w:val="0"/>
          <w:bCs w:val="0"/>
        </w:rPr>
        <w:t>3</w:t>
      </w:r>
      <w:r>
        <w:rPr>
          <w:rFonts w:hint="eastAsia"/>
          <w:b w:val="0"/>
          <w:bCs w:val="0"/>
        </w:rPr>
        <w:t>）拆借资金</w:t>
      </w:r>
    </w:p>
    <w:p w14:paraId="069901E8" w14:textId="77777777" w:rsidR="004B0883" w:rsidRDefault="004B0883">
      <w:pPr>
        <w:pStyle w:val="005"/>
        <w:spacing w:before="120"/>
        <w:ind w:firstLine="480"/>
      </w:pPr>
      <w:r>
        <w:rPr>
          <w:rFonts w:hint="eastAsia"/>
        </w:rPr>
        <w:t>本次发行相关董事会决议日前六个月起至本募集说明书签署日，公司不存在对外资金拆借、借予他人的情况。</w:t>
      </w:r>
    </w:p>
    <w:p w14:paraId="36EADEE0" w14:textId="77777777" w:rsidR="004B0883" w:rsidRDefault="004B0883">
      <w:pPr>
        <w:pStyle w:val="004"/>
        <w:spacing w:before="120" w:after="120"/>
        <w:ind w:firstLine="480"/>
        <w:outlineLvl w:val="4"/>
        <w:rPr>
          <w:b w:val="0"/>
          <w:bCs w:val="0"/>
        </w:rPr>
      </w:pPr>
      <w:r>
        <w:rPr>
          <w:rFonts w:hint="eastAsia"/>
          <w:b w:val="0"/>
          <w:bCs w:val="0"/>
        </w:rPr>
        <w:t>（</w:t>
      </w:r>
      <w:r>
        <w:rPr>
          <w:rFonts w:hint="eastAsia"/>
          <w:b w:val="0"/>
          <w:bCs w:val="0"/>
        </w:rPr>
        <w:t>4</w:t>
      </w:r>
      <w:r>
        <w:rPr>
          <w:rFonts w:hint="eastAsia"/>
          <w:b w:val="0"/>
          <w:bCs w:val="0"/>
        </w:rPr>
        <w:t>）委托贷款</w:t>
      </w:r>
    </w:p>
    <w:p w14:paraId="6B74F6B0" w14:textId="77777777" w:rsidR="004B0883" w:rsidRDefault="004B0883">
      <w:pPr>
        <w:pStyle w:val="005"/>
        <w:spacing w:before="120"/>
        <w:ind w:firstLine="480"/>
      </w:pPr>
      <w:r>
        <w:rPr>
          <w:rFonts w:hint="eastAsia"/>
        </w:rPr>
        <w:t>本次发行相关董事会决议日前六个月起至本募集说明书签署日，公司不存在将资金以委托贷款的形式借予他人的情况。</w:t>
      </w:r>
    </w:p>
    <w:p w14:paraId="0128AA70" w14:textId="77777777" w:rsidR="004B0883" w:rsidRDefault="004B0883">
      <w:pPr>
        <w:pStyle w:val="004"/>
        <w:spacing w:before="120" w:after="120"/>
        <w:ind w:firstLine="480"/>
        <w:outlineLvl w:val="4"/>
        <w:rPr>
          <w:b w:val="0"/>
          <w:bCs w:val="0"/>
        </w:rPr>
      </w:pPr>
      <w:r>
        <w:rPr>
          <w:rFonts w:hint="eastAsia"/>
          <w:b w:val="0"/>
          <w:bCs w:val="0"/>
        </w:rPr>
        <w:t>（</w:t>
      </w:r>
      <w:r>
        <w:rPr>
          <w:rFonts w:hint="eastAsia"/>
          <w:b w:val="0"/>
          <w:bCs w:val="0"/>
        </w:rPr>
        <w:t>5</w:t>
      </w:r>
      <w:r>
        <w:rPr>
          <w:rFonts w:hint="eastAsia"/>
          <w:b w:val="0"/>
          <w:bCs w:val="0"/>
        </w:rPr>
        <w:t>）以超过集团持股比例向集团财务公司出资或增资</w:t>
      </w:r>
    </w:p>
    <w:p w14:paraId="101F3EC4" w14:textId="77777777" w:rsidR="004B0883" w:rsidRDefault="004B0883">
      <w:pPr>
        <w:pStyle w:val="005"/>
        <w:spacing w:before="120"/>
        <w:ind w:firstLine="480"/>
      </w:pPr>
      <w:r>
        <w:rPr>
          <w:rFonts w:hint="eastAsia"/>
        </w:rPr>
        <w:t>本次发行相关董事会决议日前六个月起至本募集说明书签署日，公司不存在以超过集团持股比例向集团财务公司出资或增资的情况。</w:t>
      </w:r>
    </w:p>
    <w:p w14:paraId="19B7A1E6" w14:textId="77777777" w:rsidR="004B0883" w:rsidRDefault="004B0883">
      <w:pPr>
        <w:pStyle w:val="004"/>
        <w:spacing w:before="120" w:after="120"/>
        <w:ind w:firstLine="480"/>
        <w:outlineLvl w:val="4"/>
        <w:rPr>
          <w:b w:val="0"/>
          <w:bCs w:val="0"/>
        </w:rPr>
      </w:pPr>
      <w:r>
        <w:rPr>
          <w:rFonts w:hint="eastAsia"/>
          <w:b w:val="0"/>
          <w:bCs w:val="0"/>
        </w:rPr>
        <w:t>（</w:t>
      </w:r>
      <w:r>
        <w:rPr>
          <w:rFonts w:hint="eastAsia"/>
          <w:b w:val="0"/>
          <w:bCs w:val="0"/>
        </w:rPr>
        <w:t>6</w:t>
      </w:r>
      <w:r>
        <w:rPr>
          <w:rFonts w:hint="eastAsia"/>
          <w:b w:val="0"/>
          <w:bCs w:val="0"/>
        </w:rPr>
        <w:t>）购买收益波动大且风险较高的金融产品</w:t>
      </w:r>
    </w:p>
    <w:p w14:paraId="34CAB87A" w14:textId="77777777" w:rsidR="004B0883" w:rsidRDefault="004B0883">
      <w:pPr>
        <w:pStyle w:val="005"/>
        <w:spacing w:before="120"/>
        <w:ind w:firstLine="480"/>
      </w:pPr>
      <w:bookmarkStart w:id="332" w:name="_Hlk152283781"/>
      <w:r>
        <w:rPr>
          <w:rFonts w:hint="eastAsia"/>
        </w:rPr>
        <w:t>本次发行相关董事会决议日前六个月起至本募集说明书签署日，公司存在使用暂时闲置资金购买理财产品的情形，具体明细如下：</w:t>
      </w:r>
    </w:p>
    <w:bookmarkEnd w:id="332"/>
    <w:p w14:paraId="60140030" w14:textId="77777777" w:rsidR="004B0883" w:rsidRDefault="004B0883">
      <w:pPr>
        <w:pStyle w:val="009"/>
      </w:pPr>
      <w:r>
        <w:rPr>
          <w:rFonts w:hint="eastAsia"/>
        </w:rP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05"/>
        <w:gridCol w:w="2666"/>
        <w:gridCol w:w="1514"/>
        <w:gridCol w:w="1239"/>
        <w:gridCol w:w="1259"/>
        <w:gridCol w:w="997"/>
      </w:tblGrid>
      <w:tr w:rsidR="004B0883" w14:paraId="1C7BD8D4" w14:textId="77777777">
        <w:trPr>
          <w:trHeight w:val="397"/>
          <w:tblHeader/>
          <w:jc w:val="center"/>
        </w:trPr>
        <w:tc>
          <w:tcPr>
            <w:tcW w:w="366" w:type="pct"/>
            <w:shd w:val="clear" w:color="auto" w:fill="D9D9D9"/>
            <w:vAlign w:val="center"/>
          </w:tcPr>
          <w:p w14:paraId="7A582E27" w14:textId="77777777" w:rsidR="004B0883" w:rsidRDefault="004B0883">
            <w:pPr>
              <w:adjustRightInd w:val="0"/>
              <w:snapToGrid w:val="0"/>
              <w:jc w:val="center"/>
              <w:rPr>
                <w:b/>
                <w:bCs/>
                <w:kern w:val="0"/>
              </w:rPr>
            </w:pPr>
            <w:r>
              <w:rPr>
                <w:b/>
                <w:bCs/>
                <w:kern w:val="0"/>
              </w:rPr>
              <w:t>序号</w:t>
            </w:r>
          </w:p>
        </w:tc>
        <w:tc>
          <w:tcPr>
            <w:tcW w:w="1610" w:type="pct"/>
            <w:shd w:val="clear" w:color="auto" w:fill="D9D9D9"/>
            <w:vAlign w:val="center"/>
          </w:tcPr>
          <w:p w14:paraId="23EF884E" w14:textId="77777777" w:rsidR="004B0883" w:rsidRDefault="004B0883">
            <w:pPr>
              <w:adjustRightInd w:val="0"/>
              <w:snapToGrid w:val="0"/>
              <w:jc w:val="center"/>
              <w:rPr>
                <w:b/>
                <w:bCs/>
                <w:kern w:val="0"/>
              </w:rPr>
            </w:pPr>
            <w:r>
              <w:rPr>
                <w:b/>
                <w:bCs/>
                <w:kern w:val="0"/>
              </w:rPr>
              <w:t>产品名称</w:t>
            </w:r>
          </w:p>
        </w:tc>
        <w:tc>
          <w:tcPr>
            <w:tcW w:w="914" w:type="pct"/>
            <w:shd w:val="clear" w:color="auto" w:fill="D9D9D9"/>
            <w:vAlign w:val="center"/>
          </w:tcPr>
          <w:p w14:paraId="374CCECF" w14:textId="77777777" w:rsidR="004B0883" w:rsidRDefault="004B0883">
            <w:pPr>
              <w:adjustRightInd w:val="0"/>
              <w:snapToGrid w:val="0"/>
              <w:jc w:val="center"/>
              <w:rPr>
                <w:b/>
                <w:bCs/>
                <w:kern w:val="0"/>
              </w:rPr>
            </w:pPr>
            <w:r>
              <w:rPr>
                <w:b/>
                <w:bCs/>
                <w:kern w:val="0"/>
              </w:rPr>
              <w:t>产品风险等级</w:t>
            </w:r>
          </w:p>
        </w:tc>
        <w:tc>
          <w:tcPr>
            <w:tcW w:w="748" w:type="pct"/>
            <w:shd w:val="clear" w:color="auto" w:fill="D9D9D9"/>
            <w:vAlign w:val="center"/>
          </w:tcPr>
          <w:p w14:paraId="18A6B710" w14:textId="77777777" w:rsidR="004B0883" w:rsidRDefault="004B0883">
            <w:pPr>
              <w:adjustRightInd w:val="0"/>
              <w:snapToGrid w:val="0"/>
              <w:jc w:val="center"/>
              <w:rPr>
                <w:b/>
                <w:bCs/>
                <w:kern w:val="0"/>
              </w:rPr>
            </w:pPr>
            <w:r>
              <w:rPr>
                <w:b/>
                <w:bCs/>
                <w:kern w:val="0"/>
              </w:rPr>
              <w:t>购买日期</w:t>
            </w:r>
          </w:p>
        </w:tc>
        <w:tc>
          <w:tcPr>
            <w:tcW w:w="760" w:type="pct"/>
            <w:shd w:val="clear" w:color="auto" w:fill="D9D9D9"/>
            <w:vAlign w:val="center"/>
          </w:tcPr>
          <w:p w14:paraId="4EC9AED0" w14:textId="77777777" w:rsidR="004B0883" w:rsidRDefault="004B0883">
            <w:pPr>
              <w:adjustRightInd w:val="0"/>
              <w:snapToGrid w:val="0"/>
              <w:jc w:val="center"/>
              <w:rPr>
                <w:b/>
                <w:bCs/>
                <w:kern w:val="0"/>
              </w:rPr>
            </w:pPr>
            <w:r>
              <w:rPr>
                <w:b/>
                <w:bCs/>
                <w:kern w:val="0"/>
              </w:rPr>
              <w:t>预期收益率水平</w:t>
            </w:r>
          </w:p>
        </w:tc>
        <w:tc>
          <w:tcPr>
            <w:tcW w:w="602" w:type="pct"/>
            <w:shd w:val="clear" w:color="auto" w:fill="D9D9D9"/>
            <w:vAlign w:val="center"/>
          </w:tcPr>
          <w:p w14:paraId="2A443EC6" w14:textId="77777777" w:rsidR="004B0883" w:rsidRDefault="004B0883">
            <w:pPr>
              <w:adjustRightInd w:val="0"/>
              <w:snapToGrid w:val="0"/>
              <w:jc w:val="center"/>
              <w:rPr>
                <w:b/>
                <w:bCs/>
                <w:kern w:val="0"/>
              </w:rPr>
            </w:pPr>
            <w:r>
              <w:rPr>
                <w:b/>
                <w:bCs/>
                <w:kern w:val="0"/>
              </w:rPr>
              <w:t>投资</w:t>
            </w:r>
          </w:p>
          <w:p w14:paraId="17290A46" w14:textId="77777777" w:rsidR="004B0883" w:rsidRDefault="004B0883">
            <w:pPr>
              <w:adjustRightInd w:val="0"/>
              <w:snapToGrid w:val="0"/>
              <w:jc w:val="center"/>
              <w:rPr>
                <w:b/>
                <w:bCs/>
                <w:kern w:val="0"/>
              </w:rPr>
            </w:pPr>
            <w:r>
              <w:rPr>
                <w:b/>
                <w:bCs/>
                <w:kern w:val="0"/>
              </w:rPr>
              <w:t>金额</w:t>
            </w:r>
          </w:p>
        </w:tc>
      </w:tr>
      <w:tr w:rsidR="004B0883" w14:paraId="2C046F5D" w14:textId="77777777">
        <w:trPr>
          <w:trHeight w:val="397"/>
          <w:jc w:val="center"/>
        </w:trPr>
        <w:tc>
          <w:tcPr>
            <w:tcW w:w="366" w:type="pct"/>
            <w:vAlign w:val="center"/>
          </w:tcPr>
          <w:p w14:paraId="5639F5BC" w14:textId="77777777" w:rsidR="004B0883" w:rsidRDefault="004B0883">
            <w:pPr>
              <w:adjustRightInd w:val="0"/>
              <w:snapToGrid w:val="0"/>
              <w:jc w:val="center"/>
              <w:rPr>
                <w:kern w:val="0"/>
              </w:rPr>
            </w:pPr>
            <w:r>
              <w:rPr>
                <w:kern w:val="0"/>
              </w:rPr>
              <w:t>1</w:t>
            </w:r>
          </w:p>
        </w:tc>
        <w:tc>
          <w:tcPr>
            <w:tcW w:w="1610" w:type="pct"/>
            <w:vAlign w:val="center"/>
          </w:tcPr>
          <w:p w14:paraId="08951A65" w14:textId="77777777" w:rsidR="004B0883" w:rsidRDefault="004B0883">
            <w:pPr>
              <w:adjustRightInd w:val="0"/>
              <w:snapToGrid w:val="0"/>
              <w:rPr>
                <w:color w:val="000000"/>
              </w:rPr>
            </w:pPr>
            <w:r>
              <w:rPr>
                <w:rFonts w:hint="eastAsia"/>
                <w:color w:val="000000"/>
              </w:rPr>
              <w:t>中信证券信信向荣</w:t>
            </w:r>
            <w:r>
              <w:rPr>
                <w:rFonts w:hint="eastAsia"/>
                <w:color w:val="000000"/>
              </w:rPr>
              <w:t>3</w:t>
            </w:r>
            <w:r>
              <w:rPr>
                <w:rFonts w:hint="eastAsia"/>
                <w:color w:val="000000"/>
              </w:rPr>
              <w:t>号资产管理计划</w:t>
            </w:r>
          </w:p>
        </w:tc>
        <w:tc>
          <w:tcPr>
            <w:tcW w:w="914" w:type="pct"/>
            <w:vAlign w:val="center"/>
          </w:tcPr>
          <w:p w14:paraId="5B225A26" w14:textId="77777777" w:rsidR="004B0883" w:rsidRDefault="004B0883">
            <w:pPr>
              <w:adjustRightInd w:val="0"/>
              <w:snapToGrid w:val="0"/>
              <w:jc w:val="center"/>
              <w:rPr>
                <w:kern w:val="0"/>
              </w:rPr>
            </w:pPr>
            <w:r>
              <w:rPr>
                <w:rFonts w:hint="eastAsia"/>
              </w:rPr>
              <w:t>R2</w:t>
            </w:r>
            <w:r>
              <w:rPr>
                <w:rFonts w:hint="eastAsia"/>
              </w:rPr>
              <w:t>（稳健型）</w:t>
            </w:r>
          </w:p>
        </w:tc>
        <w:tc>
          <w:tcPr>
            <w:tcW w:w="748" w:type="pct"/>
            <w:vAlign w:val="center"/>
          </w:tcPr>
          <w:p w14:paraId="4FE94C41" w14:textId="77777777" w:rsidR="004B0883" w:rsidRDefault="004B0883">
            <w:pPr>
              <w:adjustRightInd w:val="0"/>
              <w:snapToGrid w:val="0"/>
              <w:jc w:val="center"/>
              <w:rPr>
                <w:kern w:val="0"/>
              </w:rPr>
            </w:pPr>
            <w:r>
              <w:rPr>
                <w:color w:val="000000"/>
              </w:rPr>
              <w:t>2022/7/20</w:t>
            </w:r>
          </w:p>
        </w:tc>
        <w:tc>
          <w:tcPr>
            <w:tcW w:w="760" w:type="pct"/>
            <w:vAlign w:val="center"/>
          </w:tcPr>
          <w:p w14:paraId="441F3B65" w14:textId="77777777" w:rsidR="004B0883" w:rsidRDefault="004B0883">
            <w:pPr>
              <w:adjustRightInd w:val="0"/>
              <w:snapToGrid w:val="0"/>
              <w:jc w:val="right"/>
              <w:rPr>
                <w:kern w:val="0"/>
              </w:rPr>
            </w:pPr>
            <w:r>
              <w:rPr>
                <w:kern w:val="0"/>
              </w:rPr>
              <w:t>3.90%</w:t>
            </w:r>
          </w:p>
        </w:tc>
        <w:tc>
          <w:tcPr>
            <w:tcW w:w="602" w:type="pct"/>
            <w:vAlign w:val="center"/>
          </w:tcPr>
          <w:p w14:paraId="7D366D1A" w14:textId="77777777" w:rsidR="004B0883" w:rsidRDefault="004B0883">
            <w:pPr>
              <w:adjustRightInd w:val="0"/>
              <w:snapToGrid w:val="0"/>
              <w:jc w:val="right"/>
              <w:rPr>
                <w:kern w:val="0"/>
              </w:rPr>
            </w:pPr>
            <w:r>
              <w:rPr>
                <w:color w:val="000000"/>
              </w:rPr>
              <w:t>1,000.00</w:t>
            </w:r>
          </w:p>
        </w:tc>
      </w:tr>
      <w:tr w:rsidR="004B0883" w14:paraId="6CFABF03" w14:textId="77777777">
        <w:trPr>
          <w:trHeight w:val="397"/>
          <w:jc w:val="center"/>
        </w:trPr>
        <w:tc>
          <w:tcPr>
            <w:tcW w:w="366" w:type="pct"/>
            <w:vAlign w:val="center"/>
          </w:tcPr>
          <w:p w14:paraId="4131126F" w14:textId="77777777" w:rsidR="004B0883" w:rsidRDefault="004B0883">
            <w:pPr>
              <w:adjustRightInd w:val="0"/>
              <w:snapToGrid w:val="0"/>
              <w:jc w:val="center"/>
              <w:rPr>
                <w:kern w:val="0"/>
              </w:rPr>
            </w:pPr>
            <w:r>
              <w:rPr>
                <w:kern w:val="0"/>
              </w:rPr>
              <w:t>2</w:t>
            </w:r>
          </w:p>
        </w:tc>
        <w:tc>
          <w:tcPr>
            <w:tcW w:w="1610" w:type="pct"/>
            <w:vAlign w:val="center"/>
          </w:tcPr>
          <w:p w14:paraId="129D0963" w14:textId="77777777" w:rsidR="004B0883" w:rsidRDefault="004B0883">
            <w:pPr>
              <w:adjustRightInd w:val="0"/>
              <w:snapToGrid w:val="0"/>
              <w:rPr>
                <w:color w:val="000000"/>
              </w:rPr>
            </w:pPr>
            <w:r>
              <w:rPr>
                <w:rFonts w:hint="eastAsia"/>
                <w:color w:val="000000"/>
              </w:rPr>
              <w:t>中信理财之共赢成长强债半年锁定期净值型人民币理财产品</w:t>
            </w:r>
          </w:p>
        </w:tc>
        <w:tc>
          <w:tcPr>
            <w:tcW w:w="914" w:type="pct"/>
            <w:vAlign w:val="center"/>
          </w:tcPr>
          <w:p w14:paraId="2D7DE55F" w14:textId="77777777" w:rsidR="004B0883" w:rsidRDefault="004B0883">
            <w:pPr>
              <w:adjustRightInd w:val="0"/>
              <w:snapToGrid w:val="0"/>
              <w:jc w:val="center"/>
              <w:rPr>
                <w:kern w:val="0"/>
              </w:rPr>
            </w:pPr>
            <w:r>
              <w:rPr>
                <w:rFonts w:hint="eastAsia"/>
              </w:rPr>
              <w:t>R2</w:t>
            </w:r>
            <w:r>
              <w:rPr>
                <w:rFonts w:hint="eastAsia"/>
              </w:rPr>
              <w:t>（稳健型）</w:t>
            </w:r>
          </w:p>
        </w:tc>
        <w:tc>
          <w:tcPr>
            <w:tcW w:w="748" w:type="pct"/>
            <w:vAlign w:val="center"/>
          </w:tcPr>
          <w:p w14:paraId="51D52F26" w14:textId="77777777" w:rsidR="004B0883" w:rsidRDefault="004B0883">
            <w:pPr>
              <w:adjustRightInd w:val="0"/>
              <w:snapToGrid w:val="0"/>
              <w:jc w:val="center"/>
              <w:rPr>
                <w:kern w:val="0"/>
              </w:rPr>
            </w:pPr>
            <w:r>
              <w:rPr>
                <w:color w:val="000000"/>
              </w:rPr>
              <w:t>2022/7/20</w:t>
            </w:r>
          </w:p>
        </w:tc>
        <w:tc>
          <w:tcPr>
            <w:tcW w:w="760" w:type="pct"/>
            <w:vAlign w:val="center"/>
          </w:tcPr>
          <w:p w14:paraId="7A7EA323" w14:textId="77777777" w:rsidR="004B0883" w:rsidRDefault="004B0883">
            <w:pPr>
              <w:adjustRightInd w:val="0"/>
              <w:snapToGrid w:val="0"/>
              <w:jc w:val="right"/>
              <w:rPr>
                <w:kern w:val="0"/>
              </w:rPr>
            </w:pPr>
            <w:r>
              <w:rPr>
                <w:kern w:val="0"/>
              </w:rPr>
              <w:t>3.7%-4.3%</w:t>
            </w:r>
          </w:p>
        </w:tc>
        <w:tc>
          <w:tcPr>
            <w:tcW w:w="602" w:type="pct"/>
            <w:vAlign w:val="center"/>
          </w:tcPr>
          <w:p w14:paraId="674569DA" w14:textId="77777777" w:rsidR="004B0883" w:rsidRDefault="004B0883">
            <w:pPr>
              <w:adjustRightInd w:val="0"/>
              <w:snapToGrid w:val="0"/>
              <w:jc w:val="right"/>
              <w:rPr>
                <w:kern w:val="0"/>
              </w:rPr>
            </w:pPr>
            <w:r>
              <w:rPr>
                <w:rFonts w:hint="eastAsia"/>
                <w:kern w:val="0"/>
              </w:rPr>
              <w:t>8</w:t>
            </w:r>
            <w:r>
              <w:rPr>
                <w:kern w:val="0"/>
              </w:rPr>
              <w:t>70.00</w:t>
            </w:r>
          </w:p>
        </w:tc>
      </w:tr>
      <w:tr w:rsidR="004B0883" w14:paraId="32B0F951" w14:textId="77777777">
        <w:trPr>
          <w:trHeight w:val="397"/>
          <w:jc w:val="center"/>
        </w:trPr>
        <w:tc>
          <w:tcPr>
            <w:tcW w:w="366" w:type="pct"/>
            <w:vAlign w:val="center"/>
          </w:tcPr>
          <w:p w14:paraId="6A7EC8BA" w14:textId="77777777" w:rsidR="004B0883" w:rsidRDefault="004B0883">
            <w:pPr>
              <w:adjustRightInd w:val="0"/>
              <w:snapToGrid w:val="0"/>
              <w:jc w:val="center"/>
              <w:rPr>
                <w:kern w:val="0"/>
              </w:rPr>
            </w:pPr>
            <w:r>
              <w:rPr>
                <w:kern w:val="0"/>
              </w:rPr>
              <w:t>3</w:t>
            </w:r>
          </w:p>
        </w:tc>
        <w:tc>
          <w:tcPr>
            <w:tcW w:w="1610" w:type="pct"/>
            <w:vAlign w:val="center"/>
          </w:tcPr>
          <w:p w14:paraId="1CE7847A" w14:textId="77777777" w:rsidR="004B0883" w:rsidRDefault="004B0883">
            <w:pPr>
              <w:adjustRightInd w:val="0"/>
              <w:snapToGrid w:val="0"/>
              <w:rPr>
                <w:rFonts w:hint="eastAsia"/>
                <w:color w:val="000000"/>
              </w:rPr>
            </w:pPr>
            <w:r>
              <w:rPr>
                <w:rFonts w:hint="eastAsia"/>
                <w:color w:val="000000"/>
              </w:rPr>
              <w:t>平安银行（三年定期存款）</w:t>
            </w:r>
          </w:p>
        </w:tc>
        <w:tc>
          <w:tcPr>
            <w:tcW w:w="914" w:type="pct"/>
            <w:vAlign w:val="center"/>
          </w:tcPr>
          <w:p w14:paraId="78D20E4A" w14:textId="77777777" w:rsidR="004B0883" w:rsidRDefault="004B0883">
            <w:pPr>
              <w:adjustRightInd w:val="0"/>
              <w:snapToGrid w:val="0"/>
              <w:jc w:val="center"/>
              <w:rPr>
                <w:rFonts w:hint="eastAsia"/>
              </w:rPr>
            </w:pPr>
            <w:r>
              <w:t>R1</w:t>
            </w:r>
            <w:r>
              <w:t>（谨慎型）</w:t>
            </w:r>
          </w:p>
        </w:tc>
        <w:tc>
          <w:tcPr>
            <w:tcW w:w="748" w:type="pct"/>
            <w:vAlign w:val="center"/>
          </w:tcPr>
          <w:p w14:paraId="2D7B2226" w14:textId="77777777" w:rsidR="004B0883" w:rsidRDefault="004B0883">
            <w:pPr>
              <w:adjustRightInd w:val="0"/>
              <w:snapToGrid w:val="0"/>
              <w:jc w:val="center"/>
              <w:rPr>
                <w:color w:val="000000"/>
              </w:rPr>
            </w:pPr>
            <w:r>
              <w:rPr>
                <w:color w:val="000000"/>
              </w:rPr>
              <w:t>2022/9/16</w:t>
            </w:r>
          </w:p>
        </w:tc>
        <w:tc>
          <w:tcPr>
            <w:tcW w:w="760" w:type="pct"/>
            <w:vAlign w:val="center"/>
          </w:tcPr>
          <w:p w14:paraId="67D9C99E" w14:textId="77777777" w:rsidR="004B0883" w:rsidRDefault="004B0883">
            <w:pPr>
              <w:adjustRightInd w:val="0"/>
              <w:snapToGrid w:val="0"/>
              <w:jc w:val="right"/>
              <w:rPr>
                <w:kern w:val="0"/>
              </w:rPr>
            </w:pPr>
            <w:r>
              <w:rPr>
                <w:rFonts w:hint="eastAsia"/>
                <w:color w:val="000000"/>
              </w:rPr>
              <w:t>3</w:t>
            </w:r>
            <w:r>
              <w:rPr>
                <w:color w:val="000000"/>
              </w:rPr>
              <w:t>.05%</w:t>
            </w:r>
          </w:p>
        </w:tc>
        <w:tc>
          <w:tcPr>
            <w:tcW w:w="602" w:type="pct"/>
            <w:vAlign w:val="center"/>
          </w:tcPr>
          <w:p w14:paraId="2918ACFC" w14:textId="77777777" w:rsidR="004B0883" w:rsidRDefault="004B0883">
            <w:pPr>
              <w:adjustRightInd w:val="0"/>
              <w:snapToGrid w:val="0"/>
              <w:jc w:val="right"/>
              <w:rPr>
                <w:rFonts w:hint="eastAsia"/>
                <w:kern w:val="0"/>
              </w:rPr>
            </w:pPr>
            <w:r>
              <w:rPr>
                <w:color w:val="000000"/>
              </w:rPr>
              <w:t>1,000.00</w:t>
            </w:r>
          </w:p>
        </w:tc>
      </w:tr>
      <w:tr w:rsidR="004B0883" w14:paraId="3797B471" w14:textId="77777777">
        <w:trPr>
          <w:trHeight w:val="397"/>
          <w:jc w:val="center"/>
        </w:trPr>
        <w:tc>
          <w:tcPr>
            <w:tcW w:w="366" w:type="pct"/>
            <w:vAlign w:val="center"/>
          </w:tcPr>
          <w:p w14:paraId="4A5973FD" w14:textId="77777777" w:rsidR="004B0883" w:rsidRDefault="004B0883">
            <w:pPr>
              <w:adjustRightInd w:val="0"/>
              <w:snapToGrid w:val="0"/>
              <w:jc w:val="center"/>
              <w:rPr>
                <w:kern w:val="0"/>
              </w:rPr>
            </w:pPr>
            <w:r>
              <w:rPr>
                <w:kern w:val="0"/>
              </w:rPr>
              <w:t>4</w:t>
            </w:r>
          </w:p>
        </w:tc>
        <w:tc>
          <w:tcPr>
            <w:tcW w:w="1610" w:type="pct"/>
            <w:vAlign w:val="center"/>
          </w:tcPr>
          <w:p w14:paraId="64C38966" w14:textId="77777777" w:rsidR="004B0883" w:rsidRDefault="004B0883">
            <w:pPr>
              <w:adjustRightInd w:val="0"/>
              <w:snapToGrid w:val="0"/>
              <w:rPr>
                <w:color w:val="000000"/>
              </w:rPr>
            </w:pPr>
            <w:r>
              <w:rPr>
                <w:color w:val="000000"/>
              </w:rPr>
              <w:t>光大信托</w:t>
            </w:r>
            <w:r>
              <w:rPr>
                <w:color w:val="000000"/>
              </w:rPr>
              <w:t>-</w:t>
            </w:r>
            <w:r>
              <w:rPr>
                <w:color w:val="000000"/>
              </w:rPr>
              <w:t>深汇系列集合资金信托计划</w:t>
            </w:r>
          </w:p>
        </w:tc>
        <w:tc>
          <w:tcPr>
            <w:tcW w:w="914" w:type="pct"/>
            <w:vAlign w:val="center"/>
          </w:tcPr>
          <w:p w14:paraId="3C7AFBC0" w14:textId="77777777" w:rsidR="004B0883" w:rsidRDefault="004B0883">
            <w:pPr>
              <w:adjustRightInd w:val="0"/>
              <w:snapToGrid w:val="0"/>
              <w:jc w:val="center"/>
              <w:rPr>
                <w:rFonts w:hint="eastAsia"/>
              </w:rPr>
            </w:pPr>
            <w:r>
              <w:rPr>
                <w:rFonts w:hint="eastAsia"/>
              </w:rPr>
              <w:t>R2</w:t>
            </w:r>
            <w:r>
              <w:rPr>
                <w:rFonts w:hint="eastAsia"/>
              </w:rPr>
              <w:t>（稳健型）</w:t>
            </w:r>
          </w:p>
        </w:tc>
        <w:tc>
          <w:tcPr>
            <w:tcW w:w="748" w:type="pct"/>
            <w:vAlign w:val="center"/>
          </w:tcPr>
          <w:p w14:paraId="5518CB97" w14:textId="77777777" w:rsidR="004B0883" w:rsidRDefault="004B0883">
            <w:pPr>
              <w:adjustRightInd w:val="0"/>
              <w:snapToGrid w:val="0"/>
              <w:jc w:val="center"/>
              <w:rPr>
                <w:color w:val="000000"/>
              </w:rPr>
            </w:pPr>
            <w:r>
              <w:rPr>
                <w:color w:val="000000"/>
              </w:rPr>
              <w:t>2022/10/20</w:t>
            </w:r>
          </w:p>
        </w:tc>
        <w:tc>
          <w:tcPr>
            <w:tcW w:w="760" w:type="pct"/>
            <w:vAlign w:val="center"/>
          </w:tcPr>
          <w:p w14:paraId="33474DB4" w14:textId="77777777" w:rsidR="004B0883" w:rsidRDefault="004B0883">
            <w:pPr>
              <w:adjustRightInd w:val="0"/>
              <w:snapToGrid w:val="0"/>
              <w:jc w:val="right"/>
              <w:rPr>
                <w:color w:val="000000"/>
              </w:rPr>
            </w:pPr>
            <w:r>
              <w:rPr>
                <w:color w:val="000000"/>
              </w:rPr>
              <w:t>5.40%</w:t>
            </w:r>
          </w:p>
        </w:tc>
        <w:tc>
          <w:tcPr>
            <w:tcW w:w="602" w:type="pct"/>
            <w:vAlign w:val="center"/>
          </w:tcPr>
          <w:p w14:paraId="517CB0CE" w14:textId="77777777" w:rsidR="004B0883" w:rsidRDefault="004B0883">
            <w:pPr>
              <w:adjustRightInd w:val="0"/>
              <w:snapToGrid w:val="0"/>
              <w:jc w:val="right"/>
              <w:rPr>
                <w:color w:val="000000"/>
              </w:rPr>
            </w:pPr>
            <w:r>
              <w:rPr>
                <w:color w:val="000000"/>
              </w:rPr>
              <w:t>1,000.00</w:t>
            </w:r>
          </w:p>
        </w:tc>
      </w:tr>
      <w:tr w:rsidR="004B0883" w14:paraId="4A8B7386" w14:textId="77777777">
        <w:trPr>
          <w:trHeight w:val="397"/>
          <w:jc w:val="center"/>
        </w:trPr>
        <w:tc>
          <w:tcPr>
            <w:tcW w:w="366" w:type="pct"/>
            <w:vAlign w:val="center"/>
          </w:tcPr>
          <w:p w14:paraId="51F21237" w14:textId="77777777" w:rsidR="004B0883" w:rsidRDefault="004B0883">
            <w:pPr>
              <w:adjustRightInd w:val="0"/>
              <w:snapToGrid w:val="0"/>
              <w:jc w:val="center"/>
              <w:rPr>
                <w:kern w:val="0"/>
              </w:rPr>
            </w:pPr>
            <w:r>
              <w:rPr>
                <w:kern w:val="0"/>
              </w:rPr>
              <w:t>5</w:t>
            </w:r>
          </w:p>
        </w:tc>
        <w:tc>
          <w:tcPr>
            <w:tcW w:w="1610" w:type="pct"/>
            <w:vAlign w:val="center"/>
          </w:tcPr>
          <w:p w14:paraId="4EB1A68A" w14:textId="77777777" w:rsidR="004B0883" w:rsidRDefault="004B0883">
            <w:pPr>
              <w:adjustRightInd w:val="0"/>
              <w:snapToGrid w:val="0"/>
              <w:rPr>
                <w:color w:val="000000"/>
              </w:rPr>
            </w:pPr>
            <w:r>
              <w:rPr>
                <w:color w:val="000000"/>
              </w:rPr>
              <w:t>东证融汇汇鑫</w:t>
            </w:r>
            <w:r>
              <w:rPr>
                <w:color w:val="000000"/>
              </w:rPr>
              <w:t>6M3</w:t>
            </w:r>
            <w:r>
              <w:rPr>
                <w:color w:val="000000"/>
              </w:rPr>
              <w:t>号集合资产管理计划</w:t>
            </w:r>
          </w:p>
        </w:tc>
        <w:tc>
          <w:tcPr>
            <w:tcW w:w="914" w:type="pct"/>
            <w:vAlign w:val="center"/>
          </w:tcPr>
          <w:p w14:paraId="104EDED1" w14:textId="77777777" w:rsidR="004B0883" w:rsidRDefault="004B0883">
            <w:pPr>
              <w:adjustRightInd w:val="0"/>
              <w:snapToGrid w:val="0"/>
              <w:jc w:val="center"/>
              <w:rPr>
                <w:kern w:val="0"/>
              </w:rPr>
            </w:pPr>
            <w:r>
              <w:rPr>
                <w:rFonts w:hint="eastAsia"/>
              </w:rPr>
              <w:t>R2</w:t>
            </w:r>
            <w:r>
              <w:rPr>
                <w:rFonts w:hint="eastAsia"/>
              </w:rPr>
              <w:t>（稳健型）</w:t>
            </w:r>
          </w:p>
        </w:tc>
        <w:tc>
          <w:tcPr>
            <w:tcW w:w="748" w:type="pct"/>
            <w:vAlign w:val="center"/>
          </w:tcPr>
          <w:p w14:paraId="3CC6B3DE" w14:textId="77777777" w:rsidR="004B0883" w:rsidRDefault="004B0883">
            <w:pPr>
              <w:adjustRightInd w:val="0"/>
              <w:snapToGrid w:val="0"/>
              <w:jc w:val="center"/>
              <w:rPr>
                <w:kern w:val="0"/>
              </w:rPr>
            </w:pPr>
            <w:r>
              <w:rPr>
                <w:color w:val="000000"/>
              </w:rPr>
              <w:t>2022/10/25</w:t>
            </w:r>
          </w:p>
        </w:tc>
        <w:tc>
          <w:tcPr>
            <w:tcW w:w="760" w:type="pct"/>
            <w:vAlign w:val="center"/>
          </w:tcPr>
          <w:p w14:paraId="2DEF317A" w14:textId="77777777" w:rsidR="004B0883" w:rsidRDefault="004B0883">
            <w:pPr>
              <w:adjustRightInd w:val="0"/>
              <w:snapToGrid w:val="0"/>
              <w:jc w:val="right"/>
              <w:rPr>
                <w:kern w:val="0"/>
              </w:rPr>
            </w:pPr>
            <w:r>
              <w:rPr>
                <w:color w:val="000000"/>
              </w:rPr>
              <w:t>4.60%</w:t>
            </w:r>
          </w:p>
        </w:tc>
        <w:tc>
          <w:tcPr>
            <w:tcW w:w="602" w:type="pct"/>
            <w:vAlign w:val="center"/>
          </w:tcPr>
          <w:p w14:paraId="4C49E964" w14:textId="77777777" w:rsidR="004B0883" w:rsidRDefault="004B0883">
            <w:pPr>
              <w:adjustRightInd w:val="0"/>
              <w:snapToGrid w:val="0"/>
              <w:jc w:val="right"/>
              <w:rPr>
                <w:kern w:val="0"/>
              </w:rPr>
            </w:pPr>
            <w:r>
              <w:rPr>
                <w:color w:val="000000"/>
              </w:rPr>
              <w:t>1,000.00</w:t>
            </w:r>
          </w:p>
        </w:tc>
      </w:tr>
      <w:tr w:rsidR="004B0883" w14:paraId="00EDF08B" w14:textId="77777777">
        <w:trPr>
          <w:trHeight w:val="397"/>
          <w:jc w:val="center"/>
        </w:trPr>
        <w:tc>
          <w:tcPr>
            <w:tcW w:w="366" w:type="pct"/>
            <w:vAlign w:val="center"/>
          </w:tcPr>
          <w:p w14:paraId="62DBBF7B" w14:textId="77777777" w:rsidR="004B0883" w:rsidRDefault="004B0883">
            <w:pPr>
              <w:adjustRightInd w:val="0"/>
              <w:snapToGrid w:val="0"/>
              <w:jc w:val="center"/>
              <w:rPr>
                <w:kern w:val="0"/>
              </w:rPr>
            </w:pPr>
            <w:r>
              <w:rPr>
                <w:kern w:val="0"/>
              </w:rPr>
              <w:t>6</w:t>
            </w:r>
          </w:p>
        </w:tc>
        <w:tc>
          <w:tcPr>
            <w:tcW w:w="1610" w:type="pct"/>
            <w:vAlign w:val="center"/>
          </w:tcPr>
          <w:p w14:paraId="234DCFCA" w14:textId="77777777" w:rsidR="004B0883" w:rsidRDefault="004B0883">
            <w:pPr>
              <w:adjustRightInd w:val="0"/>
              <w:snapToGrid w:val="0"/>
              <w:rPr>
                <w:color w:val="000000"/>
              </w:rPr>
            </w:pPr>
            <w:r>
              <w:rPr>
                <w:color w:val="000000"/>
              </w:rPr>
              <w:t>贵竹固收增利</w:t>
            </w:r>
            <w:r>
              <w:rPr>
                <w:color w:val="000000"/>
              </w:rPr>
              <w:t>6</w:t>
            </w:r>
            <w:r>
              <w:rPr>
                <w:color w:val="000000"/>
              </w:rPr>
              <w:t>个月自动续期</w:t>
            </w:r>
            <w:r>
              <w:rPr>
                <w:color w:val="000000"/>
              </w:rPr>
              <w:t>2</w:t>
            </w:r>
            <w:r>
              <w:rPr>
                <w:color w:val="000000"/>
              </w:rPr>
              <w:t>号</w:t>
            </w:r>
          </w:p>
        </w:tc>
        <w:tc>
          <w:tcPr>
            <w:tcW w:w="914" w:type="pct"/>
            <w:vAlign w:val="center"/>
          </w:tcPr>
          <w:p w14:paraId="7B2946C1" w14:textId="77777777" w:rsidR="004B0883" w:rsidRDefault="004B0883">
            <w:pPr>
              <w:adjustRightInd w:val="0"/>
              <w:snapToGrid w:val="0"/>
              <w:jc w:val="center"/>
              <w:rPr>
                <w:kern w:val="0"/>
              </w:rPr>
            </w:pPr>
            <w:r>
              <w:rPr>
                <w:rFonts w:hint="eastAsia"/>
              </w:rPr>
              <w:t>R2</w:t>
            </w:r>
            <w:r>
              <w:rPr>
                <w:rFonts w:hint="eastAsia"/>
              </w:rPr>
              <w:t>（稳健型）</w:t>
            </w:r>
          </w:p>
        </w:tc>
        <w:tc>
          <w:tcPr>
            <w:tcW w:w="748" w:type="pct"/>
            <w:vAlign w:val="center"/>
          </w:tcPr>
          <w:p w14:paraId="798C5A2A" w14:textId="77777777" w:rsidR="004B0883" w:rsidRDefault="004B0883">
            <w:pPr>
              <w:adjustRightInd w:val="0"/>
              <w:snapToGrid w:val="0"/>
              <w:jc w:val="center"/>
              <w:rPr>
                <w:kern w:val="0"/>
              </w:rPr>
            </w:pPr>
            <w:r>
              <w:rPr>
                <w:color w:val="000000"/>
              </w:rPr>
              <w:t>2022/11/25</w:t>
            </w:r>
          </w:p>
        </w:tc>
        <w:tc>
          <w:tcPr>
            <w:tcW w:w="760" w:type="pct"/>
            <w:vAlign w:val="center"/>
          </w:tcPr>
          <w:p w14:paraId="186BE76F" w14:textId="77777777" w:rsidR="004B0883" w:rsidRDefault="004B0883">
            <w:pPr>
              <w:adjustRightInd w:val="0"/>
              <w:snapToGrid w:val="0"/>
              <w:jc w:val="right"/>
              <w:rPr>
                <w:kern w:val="0"/>
              </w:rPr>
            </w:pPr>
            <w:r>
              <w:rPr>
                <w:color w:val="000000"/>
              </w:rPr>
              <w:t>3.3%-5%</w:t>
            </w:r>
          </w:p>
        </w:tc>
        <w:tc>
          <w:tcPr>
            <w:tcW w:w="602" w:type="pct"/>
            <w:vAlign w:val="center"/>
          </w:tcPr>
          <w:p w14:paraId="7E9A4FA2" w14:textId="77777777" w:rsidR="004B0883" w:rsidRDefault="004B0883">
            <w:pPr>
              <w:adjustRightInd w:val="0"/>
              <w:snapToGrid w:val="0"/>
              <w:jc w:val="right"/>
              <w:rPr>
                <w:kern w:val="0"/>
              </w:rPr>
            </w:pPr>
            <w:r>
              <w:rPr>
                <w:color w:val="000000"/>
              </w:rPr>
              <w:t>2,000.00</w:t>
            </w:r>
          </w:p>
        </w:tc>
      </w:tr>
      <w:tr w:rsidR="004B0883" w14:paraId="5BF9F0DA" w14:textId="77777777">
        <w:trPr>
          <w:trHeight w:val="397"/>
          <w:jc w:val="center"/>
        </w:trPr>
        <w:tc>
          <w:tcPr>
            <w:tcW w:w="366" w:type="pct"/>
            <w:vAlign w:val="center"/>
          </w:tcPr>
          <w:p w14:paraId="4331AD2F" w14:textId="77777777" w:rsidR="004B0883" w:rsidRDefault="004B0883">
            <w:pPr>
              <w:adjustRightInd w:val="0"/>
              <w:snapToGrid w:val="0"/>
              <w:jc w:val="center"/>
              <w:rPr>
                <w:kern w:val="0"/>
              </w:rPr>
            </w:pPr>
            <w:r>
              <w:rPr>
                <w:kern w:val="0"/>
              </w:rPr>
              <w:t>7</w:t>
            </w:r>
          </w:p>
        </w:tc>
        <w:tc>
          <w:tcPr>
            <w:tcW w:w="1610" w:type="pct"/>
            <w:vAlign w:val="center"/>
          </w:tcPr>
          <w:p w14:paraId="63CDAFC0" w14:textId="77777777" w:rsidR="004B0883" w:rsidRDefault="004B0883">
            <w:pPr>
              <w:adjustRightInd w:val="0"/>
              <w:snapToGrid w:val="0"/>
              <w:rPr>
                <w:color w:val="000000"/>
              </w:rPr>
            </w:pPr>
            <w:r>
              <w:rPr>
                <w:color w:val="000000"/>
              </w:rPr>
              <w:t>平安银行挂钩中证指数</w:t>
            </w:r>
          </w:p>
        </w:tc>
        <w:tc>
          <w:tcPr>
            <w:tcW w:w="914" w:type="pct"/>
            <w:vAlign w:val="center"/>
          </w:tcPr>
          <w:p w14:paraId="64DC4F96" w14:textId="77777777" w:rsidR="004B0883" w:rsidRDefault="004B0883">
            <w:pPr>
              <w:adjustRightInd w:val="0"/>
              <w:snapToGrid w:val="0"/>
              <w:jc w:val="center"/>
              <w:rPr>
                <w:kern w:val="0"/>
              </w:rPr>
            </w:pPr>
            <w:r>
              <w:rPr>
                <w:rFonts w:hint="eastAsia"/>
              </w:rPr>
              <w:t>R2</w:t>
            </w:r>
            <w:r>
              <w:rPr>
                <w:rFonts w:hint="eastAsia"/>
              </w:rPr>
              <w:t>（稳健型）</w:t>
            </w:r>
          </w:p>
        </w:tc>
        <w:tc>
          <w:tcPr>
            <w:tcW w:w="748" w:type="pct"/>
            <w:vAlign w:val="center"/>
          </w:tcPr>
          <w:p w14:paraId="72E60A7A" w14:textId="77777777" w:rsidR="004B0883" w:rsidRDefault="004B0883">
            <w:pPr>
              <w:adjustRightInd w:val="0"/>
              <w:snapToGrid w:val="0"/>
              <w:jc w:val="center"/>
              <w:rPr>
                <w:kern w:val="0"/>
              </w:rPr>
            </w:pPr>
            <w:r>
              <w:rPr>
                <w:color w:val="000000"/>
              </w:rPr>
              <w:t>2023/1/20</w:t>
            </w:r>
          </w:p>
        </w:tc>
        <w:tc>
          <w:tcPr>
            <w:tcW w:w="760" w:type="pct"/>
            <w:vAlign w:val="center"/>
          </w:tcPr>
          <w:p w14:paraId="7E2CD41E" w14:textId="77777777" w:rsidR="004B0883" w:rsidRDefault="004B0883">
            <w:pPr>
              <w:adjustRightInd w:val="0"/>
              <w:snapToGrid w:val="0"/>
              <w:ind w:rightChars="-52" w:right="-109"/>
              <w:jc w:val="right"/>
              <w:rPr>
                <w:kern w:val="0"/>
              </w:rPr>
            </w:pPr>
            <w:r>
              <w:rPr>
                <w:color w:val="000000"/>
              </w:rPr>
              <w:t>1.95%-3.00%</w:t>
            </w:r>
          </w:p>
        </w:tc>
        <w:tc>
          <w:tcPr>
            <w:tcW w:w="602" w:type="pct"/>
            <w:vAlign w:val="center"/>
          </w:tcPr>
          <w:p w14:paraId="18D26F06" w14:textId="77777777" w:rsidR="004B0883" w:rsidRDefault="004B0883">
            <w:pPr>
              <w:adjustRightInd w:val="0"/>
              <w:snapToGrid w:val="0"/>
              <w:jc w:val="right"/>
              <w:rPr>
                <w:kern w:val="0"/>
              </w:rPr>
            </w:pPr>
            <w:r>
              <w:rPr>
                <w:color w:val="000000"/>
              </w:rPr>
              <w:t>3,000.00</w:t>
            </w:r>
          </w:p>
        </w:tc>
      </w:tr>
      <w:tr w:rsidR="004B0883" w14:paraId="2CE642E2" w14:textId="77777777">
        <w:trPr>
          <w:trHeight w:val="397"/>
          <w:jc w:val="center"/>
        </w:trPr>
        <w:tc>
          <w:tcPr>
            <w:tcW w:w="366" w:type="pct"/>
            <w:vAlign w:val="center"/>
          </w:tcPr>
          <w:p w14:paraId="1E99B377" w14:textId="77777777" w:rsidR="004B0883" w:rsidRDefault="004B0883">
            <w:pPr>
              <w:adjustRightInd w:val="0"/>
              <w:snapToGrid w:val="0"/>
              <w:jc w:val="center"/>
              <w:rPr>
                <w:kern w:val="0"/>
              </w:rPr>
            </w:pPr>
            <w:r>
              <w:rPr>
                <w:kern w:val="0"/>
              </w:rPr>
              <w:t>8</w:t>
            </w:r>
          </w:p>
        </w:tc>
        <w:tc>
          <w:tcPr>
            <w:tcW w:w="1610" w:type="pct"/>
            <w:vAlign w:val="center"/>
          </w:tcPr>
          <w:p w14:paraId="09868EA9" w14:textId="77777777" w:rsidR="004B0883" w:rsidRDefault="004B0883">
            <w:pPr>
              <w:adjustRightInd w:val="0"/>
              <w:snapToGrid w:val="0"/>
              <w:rPr>
                <w:color w:val="000000"/>
              </w:rPr>
            </w:pPr>
            <w:r>
              <w:rPr>
                <w:color w:val="000000"/>
              </w:rPr>
              <w:t>平安银行挂钩黄金指数</w:t>
            </w:r>
          </w:p>
        </w:tc>
        <w:tc>
          <w:tcPr>
            <w:tcW w:w="914" w:type="pct"/>
            <w:vAlign w:val="center"/>
          </w:tcPr>
          <w:p w14:paraId="0A1BA63D" w14:textId="77777777" w:rsidR="004B0883" w:rsidRDefault="004B0883">
            <w:pPr>
              <w:adjustRightInd w:val="0"/>
              <w:snapToGrid w:val="0"/>
              <w:jc w:val="center"/>
              <w:rPr>
                <w:kern w:val="0"/>
              </w:rPr>
            </w:pPr>
            <w:r>
              <w:rPr>
                <w:rFonts w:hint="eastAsia"/>
              </w:rPr>
              <w:t>R2</w:t>
            </w:r>
            <w:r>
              <w:rPr>
                <w:rFonts w:hint="eastAsia"/>
              </w:rPr>
              <w:t>（稳健型）</w:t>
            </w:r>
          </w:p>
        </w:tc>
        <w:tc>
          <w:tcPr>
            <w:tcW w:w="748" w:type="pct"/>
            <w:vAlign w:val="center"/>
          </w:tcPr>
          <w:p w14:paraId="61C53884" w14:textId="77777777" w:rsidR="004B0883" w:rsidRDefault="004B0883">
            <w:pPr>
              <w:adjustRightInd w:val="0"/>
              <w:snapToGrid w:val="0"/>
              <w:jc w:val="center"/>
              <w:rPr>
                <w:kern w:val="0"/>
              </w:rPr>
            </w:pPr>
            <w:r>
              <w:rPr>
                <w:color w:val="000000"/>
              </w:rPr>
              <w:t>2023/1/20</w:t>
            </w:r>
          </w:p>
        </w:tc>
        <w:tc>
          <w:tcPr>
            <w:tcW w:w="760" w:type="pct"/>
            <w:vAlign w:val="center"/>
          </w:tcPr>
          <w:p w14:paraId="66160F4B" w14:textId="77777777" w:rsidR="004B0883" w:rsidRDefault="004B0883">
            <w:pPr>
              <w:adjustRightInd w:val="0"/>
              <w:snapToGrid w:val="0"/>
              <w:ind w:right="-111"/>
              <w:jc w:val="right"/>
              <w:rPr>
                <w:kern w:val="0"/>
              </w:rPr>
            </w:pPr>
            <w:r>
              <w:rPr>
                <w:color w:val="000000"/>
              </w:rPr>
              <w:t>1.75%-3.04%</w:t>
            </w:r>
          </w:p>
        </w:tc>
        <w:tc>
          <w:tcPr>
            <w:tcW w:w="602" w:type="pct"/>
            <w:vAlign w:val="center"/>
          </w:tcPr>
          <w:p w14:paraId="7755AD4C" w14:textId="77777777" w:rsidR="004B0883" w:rsidRDefault="004B0883">
            <w:pPr>
              <w:adjustRightInd w:val="0"/>
              <w:snapToGrid w:val="0"/>
              <w:jc w:val="right"/>
              <w:rPr>
                <w:kern w:val="0"/>
              </w:rPr>
            </w:pPr>
            <w:r>
              <w:rPr>
                <w:color w:val="000000"/>
              </w:rPr>
              <w:t>3,000.00</w:t>
            </w:r>
          </w:p>
        </w:tc>
      </w:tr>
      <w:tr w:rsidR="004B0883" w14:paraId="0F461F67" w14:textId="77777777">
        <w:trPr>
          <w:trHeight w:val="397"/>
          <w:jc w:val="center"/>
        </w:trPr>
        <w:tc>
          <w:tcPr>
            <w:tcW w:w="366" w:type="pct"/>
            <w:vAlign w:val="center"/>
          </w:tcPr>
          <w:p w14:paraId="18A09EC3" w14:textId="77777777" w:rsidR="004B0883" w:rsidRDefault="004B0883">
            <w:pPr>
              <w:adjustRightInd w:val="0"/>
              <w:snapToGrid w:val="0"/>
              <w:jc w:val="center"/>
              <w:rPr>
                <w:kern w:val="0"/>
              </w:rPr>
            </w:pPr>
            <w:r>
              <w:rPr>
                <w:kern w:val="0"/>
              </w:rPr>
              <w:t>9</w:t>
            </w:r>
          </w:p>
        </w:tc>
        <w:tc>
          <w:tcPr>
            <w:tcW w:w="1610" w:type="pct"/>
            <w:vAlign w:val="center"/>
          </w:tcPr>
          <w:p w14:paraId="64F75D54" w14:textId="77777777" w:rsidR="004B0883" w:rsidRDefault="004B0883">
            <w:pPr>
              <w:adjustRightInd w:val="0"/>
              <w:snapToGrid w:val="0"/>
              <w:rPr>
                <w:color w:val="000000"/>
              </w:rPr>
            </w:pPr>
            <w:r>
              <w:rPr>
                <w:color w:val="000000"/>
              </w:rPr>
              <w:t>招商银行点金系列看涨两层区间</w:t>
            </w:r>
            <w:r>
              <w:rPr>
                <w:color w:val="000000"/>
              </w:rPr>
              <w:t>93</w:t>
            </w:r>
            <w:r>
              <w:rPr>
                <w:color w:val="000000"/>
              </w:rPr>
              <w:t>天结构性存款产品</w:t>
            </w:r>
          </w:p>
        </w:tc>
        <w:tc>
          <w:tcPr>
            <w:tcW w:w="914" w:type="pct"/>
            <w:vAlign w:val="center"/>
          </w:tcPr>
          <w:p w14:paraId="00C44C17" w14:textId="77777777" w:rsidR="004B0883" w:rsidRDefault="004B0883">
            <w:pPr>
              <w:adjustRightInd w:val="0"/>
              <w:snapToGrid w:val="0"/>
              <w:jc w:val="center"/>
              <w:rPr>
                <w:kern w:val="0"/>
              </w:rPr>
            </w:pPr>
            <w:r>
              <w:rPr>
                <w:rFonts w:hint="eastAsia"/>
              </w:rPr>
              <w:t>R1</w:t>
            </w:r>
            <w:r>
              <w:rPr>
                <w:rFonts w:hint="eastAsia"/>
              </w:rPr>
              <w:t>（谨慎型）</w:t>
            </w:r>
          </w:p>
        </w:tc>
        <w:tc>
          <w:tcPr>
            <w:tcW w:w="748" w:type="pct"/>
            <w:vAlign w:val="center"/>
          </w:tcPr>
          <w:p w14:paraId="05A7C967" w14:textId="77777777" w:rsidR="004B0883" w:rsidRDefault="004B0883">
            <w:pPr>
              <w:adjustRightInd w:val="0"/>
              <w:snapToGrid w:val="0"/>
              <w:jc w:val="center"/>
              <w:rPr>
                <w:color w:val="000000"/>
              </w:rPr>
            </w:pPr>
            <w:r>
              <w:rPr>
                <w:color w:val="000000"/>
              </w:rPr>
              <w:t>2023/2/24</w:t>
            </w:r>
          </w:p>
        </w:tc>
        <w:tc>
          <w:tcPr>
            <w:tcW w:w="760" w:type="pct"/>
            <w:vAlign w:val="center"/>
          </w:tcPr>
          <w:p w14:paraId="10E62CFE" w14:textId="77777777" w:rsidR="004B0883" w:rsidRDefault="004B0883">
            <w:pPr>
              <w:adjustRightInd w:val="0"/>
              <w:snapToGrid w:val="0"/>
              <w:jc w:val="right"/>
              <w:rPr>
                <w:color w:val="000000"/>
              </w:rPr>
            </w:pPr>
            <w:r>
              <w:rPr>
                <w:color w:val="000000"/>
              </w:rPr>
              <w:t>2.85%</w:t>
            </w:r>
          </w:p>
        </w:tc>
        <w:tc>
          <w:tcPr>
            <w:tcW w:w="602" w:type="pct"/>
            <w:vAlign w:val="center"/>
          </w:tcPr>
          <w:p w14:paraId="6958D090" w14:textId="77777777" w:rsidR="004B0883" w:rsidRDefault="004B0883">
            <w:pPr>
              <w:adjustRightInd w:val="0"/>
              <w:snapToGrid w:val="0"/>
              <w:jc w:val="right"/>
              <w:rPr>
                <w:color w:val="000000"/>
              </w:rPr>
            </w:pPr>
            <w:r>
              <w:rPr>
                <w:color w:val="000000"/>
              </w:rPr>
              <w:t>3,000.00</w:t>
            </w:r>
          </w:p>
        </w:tc>
      </w:tr>
      <w:tr w:rsidR="004B0883" w14:paraId="61CD3E45" w14:textId="77777777">
        <w:trPr>
          <w:trHeight w:val="397"/>
          <w:jc w:val="center"/>
        </w:trPr>
        <w:tc>
          <w:tcPr>
            <w:tcW w:w="366" w:type="pct"/>
            <w:vAlign w:val="center"/>
          </w:tcPr>
          <w:p w14:paraId="102F7E79" w14:textId="77777777" w:rsidR="004B0883" w:rsidRDefault="004B0883">
            <w:pPr>
              <w:adjustRightInd w:val="0"/>
              <w:snapToGrid w:val="0"/>
              <w:jc w:val="center"/>
              <w:rPr>
                <w:kern w:val="0"/>
              </w:rPr>
            </w:pPr>
            <w:r>
              <w:rPr>
                <w:kern w:val="0"/>
              </w:rPr>
              <w:t>10</w:t>
            </w:r>
          </w:p>
        </w:tc>
        <w:tc>
          <w:tcPr>
            <w:tcW w:w="1610" w:type="pct"/>
            <w:vAlign w:val="center"/>
          </w:tcPr>
          <w:p w14:paraId="0913A973" w14:textId="77777777" w:rsidR="004B0883" w:rsidRDefault="004B0883">
            <w:pPr>
              <w:adjustRightInd w:val="0"/>
              <w:snapToGrid w:val="0"/>
              <w:rPr>
                <w:color w:val="000000"/>
              </w:rPr>
            </w:pPr>
            <w:r>
              <w:rPr>
                <w:color w:val="000000"/>
              </w:rPr>
              <w:t>平安银行对公结构性存款</w:t>
            </w:r>
            <w:r>
              <w:rPr>
                <w:color w:val="000000"/>
              </w:rPr>
              <w:t>(100%</w:t>
            </w:r>
            <w:r>
              <w:rPr>
                <w:color w:val="000000"/>
              </w:rPr>
              <w:t>保本挂钩指数</w:t>
            </w:r>
            <w:r>
              <w:rPr>
                <w:color w:val="000000"/>
              </w:rPr>
              <w:t>)</w:t>
            </w:r>
            <w:r>
              <w:rPr>
                <w:color w:val="000000"/>
              </w:rPr>
              <w:t>产品</w:t>
            </w:r>
          </w:p>
        </w:tc>
        <w:tc>
          <w:tcPr>
            <w:tcW w:w="914" w:type="pct"/>
            <w:vAlign w:val="center"/>
          </w:tcPr>
          <w:p w14:paraId="52584AD0" w14:textId="77777777" w:rsidR="004B0883" w:rsidRDefault="004B0883">
            <w:pPr>
              <w:adjustRightInd w:val="0"/>
              <w:snapToGrid w:val="0"/>
              <w:jc w:val="center"/>
              <w:rPr>
                <w:kern w:val="0"/>
              </w:rPr>
            </w:pPr>
            <w:r>
              <w:rPr>
                <w:rFonts w:hint="eastAsia"/>
              </w:rPr>
              <w:t>R2</w:t>
            </w:r>
            <w:r>
              <w:rPr>
                <w:rFonts w:hint="eastAsia"/>
              </w:rPr>
              <w:t>（稳健型）</w:t>
            </w:r>
          </w:p>
        </w:tc>
        <w:tc>
          <w:tcPr>
            <w:tcW w:w="748" w:type="pct"/>
            <w:vAlign w:val="center"/>
          </w:tcPr>
          <w:p w14:paraId="203AE395" w14:textId="77777777" w:rsidR="004B0883" w:rsidRDefault="004B0883">
            <w:pPr>
              <w:adjustRightInd w:val="0"/>
              <w:snapToGrid w:val="0"/>
              <w:jc w:val="center"/>
              <w:rPr>
                <w:color w:val="000000"/>
              </w:rPr>
            </w:pPr>
            <w:r>
              <w:rPr>
                <w:color w:val="000000"/>
              </w:rPr>
              <w:t>2023/2/24</w:t>
            </w:r>
          </w:p>
        </w:tc>
        <w:tc>
          <w:tcPr>
            <w:tcW w:w="760" w:type="pct"/>
            <w:vAlign w:val="center"/>
          </w:tcPr>
          <w:p w14:paraId="0E3992B0" w14:textId="77777777" w:rsidR="004B0883" w:rsidRDefault="004B0883">
            <w:pPr>
              <w:adjustRightInd w:val="0"/>
              <w:snapToGrid w:val="0"/>
              <w:jc w:val="right"/>
              <w:rPr>
                <w:color w:val="000000"/>
              </w:rPr>
            </w:pPr>
            <w:r>
              <w:rPr>
                <w:color w:val="000000"/>
              </w:rPr>
              <w:t>2.90%</w:t>
            </w:r>
          </w:p>
        </w:tc>
        <w:tc>
          <w:tcPr>
            <w:tcW w:w="602" w:type="pct"/>
            <w:vAlign w:val="center"/>
          </w:tcPr>
          <w:p w14:paraId="51BD2F52" w14:textId="77777777" w:rsidR="004B0883" w:rsidRDefault="004B0883">
            <w:pPr>
              <w:adjustRightInd w:val="0"/>
              <w:snapToGrid w:val="0"/>
              <w:jc w:val="right"/>
              <w:rPr>
                <w:color w:val="000000"/>
              </w:rPr>
            </w:pPr>
            <w:r>
              <w:rPr>
                <w:color w:val="000000"/>
              </w:rPr>
              <w:t>2,000.00</w:t>
            </w:r>
          </w:p>
        </w:tc>
      </w:tr>
      <w:tr w:rsidR="004B0883" w14:paraId="2A3F4838" w14:textId="77777777">
        <w:trPr>
          <w:trHeight w:val="397"/>
          <w:jc w:val="center"/>
        </w:trPr>
        <w:tc>
          <w:tcPr>
            <w:tcW w:w="366" w:type="pct"/>
            <w:vAlign w:val="center"/>
          </w:tcPr>
          <w:p w14:paraId="19DAC2F9" w14:textId="77777777" w:rsidR="004B0883" w:rsidRDefault="004B0883">
            <w:pPr>
              <w:adjustRightInd w:val="0"/>
              <w:snapToGrid w:val="0"/>
              <w:jc w:val="center"/>
              <w:rPr>
                <w:kern w:val="0"/>
              </w:rPr>
            </w:pPr>
            <w:r>
              <w:rPr>
                <w:rFonts w:hint="eastAsia"/>
                <w:kern w:val="0"/>
              </w:rPr>
              <w:t>1</w:t>
            </w:r>
            <w:r>
              <w:rPr>
                <w:kern w:val="0"/>
              </w:rPr>
              <w:t>1</w:t>
            </w:r>
          </w:p>
        </w:tc>
        <w:tc>
          <w:tcPr>
            <w:tcW w:w="1610" w:type="pct"/>
            <w:vAlign w:val="center"/>
          </w:tcPr>
          <w:p w14:paraId="78767F21" w14:textId="77777777" w:rsidR="004B0883" w:rsidRDefault="004B0883">
            <w:pPr>
              <w:adjustRightInd w:val="0"/>
              <w:snapToGrid w:val="0"/>
              <w:rPr>
                <w:color w:val="000000"/>
              </w:rPr>
            </w:pPr>
            <w:r>
              <w:rPr>
                <w:color w:val="000000"/>
              </w:rPr>
              <w:t>中信理财之共赢智信汇率挂钩人民币结构性存款</w:t>
            </w:r>
            <w:r>
              <w:rPr>
                <w:color w:val="000000"/>
              </w:rPr>
              <w:t>13938</w:t>
            </w:r>
            <w:r>
              <w:rPr>
                <w:color w:val="000000"/>
              </w:rPr>
              <w:t>期</w:t>
            </w:r>
          </w:p>
        </w:tc>
        <w:tc>
          <w:tcPr>
            <w:tcW w:w="914" w:type="pct"/>
            <w:vAlign w:val="center"/>
          </w:tcPr>
          <w:p w14:paraId="74F8096D" w14:textId="77777777" w:rsidR="004B0883" w:rsidRDefault="004B0883">
            <w:pPr>
              <w:adjustRightInd w:val="0"/>
              <w:snapToGrid w:val="0"/>
              <w:jc w:val="center"/>
              <w:rPr>
                <w:rFonts w:hint="eastAsia"/>
              </w:rPr>
            </w:pPr>
            <w:r>
              <w:t>R1</w:t>
            </w:r>
            <w:r>
              <w:rPr>
                <w:rFonts w:hint="eastAsia"/>
              </w:rPr>
              <w:t>（谨慎型）</w:t>
            </w:r>
          </w:p>
        </w:tc>
        <w:tc>
          <w:tcPr>
            <w:tcW w:w="748" w:type="pct"/>
            <w:vAlign w:val="center"/>
          </w:tcPr>
          <w:p w14:paraId="6A8E7EED" w14:textId="77777777" w:rsidR="004B0883" w:rsidRDefault="004B0883">
            <w:pPr>
              <w:adjustRightInd w:val="0"/>
              <w:snapToGrid w:val="0"/>
              <w:jc w:val="center"/>
              <w:rPr>
                <w:color w:val="000000"/>
              </w:rPr>
            </w:pPr>
            <w:r>
              <w:rPr>
                <w:color w:val="000000"/>
              </w:rPr>
              <w:t>2023/3/1</w:t>
            </w:r>
          </w:p>
        </w:tc>
        <w:tc>
          <w:tcPr>
            <w:tcW w:w="760" w:type="pct"/>
            <w:vAlign w:val="center"/>
          </w:tcPr>
          <w:p w14:paraId="77A82C53" w14:textId="77777777" w:rsidR="004B0883" w:rsidRDefault="004B0883">
            <w:pPr>
              <w:adjustRightInd w:val="0"/>
              <w:snapToGrid w:val="0"/>
              <w:jc w:val="right"/>
              <w:rPr>
                <w:color w:val="000000"/>
              </w:rPr>
            </w:pPr>
            <w:r>
              <w:rPr>
                <w:color w:val="000000"/>
              </w:rPr>
              <w:t>2.60%</w:t>
            </w:r>
          </w:p>
        </w:tc>
        <w:tc>
          <w:tcPr>
            <w:tcW w:w="602" w:type="pct"/>
            <w:vAlign w:val="center"/>
          </w:tcPr>
          <w:p w14:paraId="09B97161" w14:textId="77777777" w:rsidR="004B0883" w:rsidRDefault="004B0883">
            <w:pPr>
              <w:adjustRightInd w:val="0"/>
              <w:snapToGrid w:val="0"/>
              <w:jc w:val="right"/>
              <w:rPr>
                <w:color w:val="000000"/>
              </w:rPr>
            </w:pPr>
            <w:r>
              <w:rPr>
                <w:color w:val="000000"/>
              </w:rPr>
              <w:t>950.00</w:t>
            </w:r>
          </w:p>
        </w:tc>
      </w:tr>
      <w:tr w:rsidR="004B0883" w14:paraId="26272FF5" w14:textId="77777777">
        <w:trPr>
          <w:trHeight w:val="397"/>
          <w:jc w:val="center"/>
        </w:trPr>
        <w:tc>
          <w:tcPr>
            <w:tcW w:w="366" w:type="pct"/>
            <w:vAlign w:val="center"/>
          </w:tcPr>
          <w:p w14:paraId="58C245BD" w14:textId="77777777" w:rsidR="004B0883" w:rsidRDefault="004B0883">
            <w:pPr>
              <w:adjustRightInd w:val="0"/>
              <w:snapToGrid w:val="0"/>
              <w:jc w:val="center"/>
              <w:rPr>
                <w:kern w:val="0"/>
              </w:rPr>
            </w:pPr>
            <w:r>
              <w:rPr>
                <w:rFonts w:hint="eastAsia"/>
                <w:kern w:val="0"/>
              </w:rPr>
              <w:t>1</w:t>
            </w:r>
            <w:r>
              <w:rPr>
                <w:kern w:val="0"/>
              </w:rPr>
              <w:t>2</w:t>
            </w:r>
          </w:p>
        </w:tc>
        <w:tc>
          <w:tcPr>
            <w:tcW w:w="1610" w:type="pct"/>
            <w:vAlign w:val="center"/>
          </w:tcPr>
          <w:p w14:paraId="2FFA42BF" w14:textId="77777777" w:rsidR="004B0883" w:rsidRDefault="004B0883">
            <w:pPr>
              <w:adjustRightInd w:val="0"/>
              <w:snapToGrid w:val="0"/>
              <w:rPr>
                <w:color w:val="000000"/>
              </w:rPr>
            </w:pPr>
            <w:r>
              <w:rPr>
                <w:rFonts w:hint="eastAsia"/>
                <w:color w:val="000000"/>
              </w:rPr>
              <w:t>中国民生银行对公大额存单</w:t>
            </w:r>
            <w:r>
              <w:rPr>
                <w:rFonts w:hint="eastAsia"/>
                <w:color w:val="000000"/>
              </w:rPr>
              <w:t>FGG2301A02</w:t>
            </w:r>
          </w:p>
        </w:tc>
        <w:tc>
          <w:tcPr>
            <w:tcW w:w="914" w:type="pct"/>
            <w:vAlign w:val="center"/>
          </w:tcPr>
          <w:p w14:paraId="2EDF601F" w14:textId="77777777" w:rsidR="004B0883" w:rsidRDefault="004B0883">
            <w:pPr>
              <w:adjustRightInd w:val="0"/>
              <w:snapToGrid w:val="0"/>
              <w:jc w:val="center"/>
              <w:rPr>
                <w:rFonts w:hint="eastAsia"/>
              </w:rPr>
            </w:pPr>
            <w:r>
              <w:t>R1</w:t>
            </w:r>
            <w:r>
              <w:t>（谨慎型）</w:t>
            </w:r>
          </w:p>
        </w:tc>
        <w:tc>
          <w:tcPr>
            <w:tcW w:w="748" w:type="pct"/>
            <w:vAlign w:val="center"/>
          </w:tcPr>
          <w:p w14:paraId="4A774AB8" w14:textId="77777777" w:rsidR="004B0883" w:rsidRDefault="004B0883">
            <w:pPr>
              <w:adjustRightInd w:val="0"/>
              <w:snapToGrid w:val="0"/>
              <w:jc w:val="center"/>
              <w:rPr>
                <w:color w:val="000000"/>
              </w:rPr>
            </w:pPr>
            <w:r>
              <w:rPr>
                <w:color w:val="000000"/>
              </w:rPr>
              <w:t>2023/3/2</w:t>
            </w:r>
          </w:p>
        </w:tc>
        <w:tc>
          <w:tcPr>
            <w:tcW w:w="760" w:type="pct"/>
            <w:vAlign w:val="center"/>
          </w:tcPr>
          <w:p w14:paraId="5D7A5D4B" w14:textId="77777777" w:rsidR="004B0883" w:rsidRDefault="004B0883">
            <w:pPr>
              <w:adjustRightInd w:val="0"/>
              <w:snapToGrid w:val="0"/>
              <w:jc w:val="right"/>
              <w:rPr>
                <w:color w:val="000000"/>
              </w:rPr>
            </w:pPr>
            <w:r>
              <w:rPr>
                <w:color w:val="000000"/>
              </w:rPr>
              <w:t>2.7%</w:t>
            </w:r>
          </w:p>
        </w:tc>
        <w:tc>
          <w:tcPr>
            <w:tcW w:w="602" w:type="pct"/>
            <w:vAlign w:val="center"/>
          </w:tcPr>
          <w:p w14:paraId="3A59E807" w14:textId="77777777" w:rsidR="004B0883" w:rsidRDefault="004B0883">
            <w:pPr>
              <w:adjustRightInd w:val="0"/>
              <w:snapToGrid w:val="0"/>
              <w:jc w:val="right"/>
              <w:rPr>
                <w:color w:val="000000"/>
              </w:rPr>
            </w:pPr>
            <w:r>
              <w:rPr>
                <w:color w:val="000000"/>
              </w:rPr>
              <w:t>1,000.00</w:t>
            </w:r>
          </w:p>
        </w:tc>
      </w:tr>
      <w:tr w:rsidR="004B0883" w14:paraId="1DC068D5" w14:textId="77777777">
        <w:trPr>
          <w:trHeight w:val="397"/>
          <w:jc w:val="center"/>
        </w:trPr>
        <w:tc>
          <w:tcPr>
            <w:tcW w:w="366" w:type="pct"/>
            <w:vAlign w:val="center"/>
          </w:tcPr>
          <w:p w14:paraId="4867948F" w14:textId="77777777" w:rsidR="004B0883" w:rsidRDefault="004B0883">
            <w:pPr>
              <w:adjustRightInd w:val="0"/>
              <w:snapToGrid w:val="0"/>
              <w:jc w:val="center"/>
              <w:rPr>
                <w:kern w:val="0"/>
              </w:rPr>
            </w:pPr>
            <w:r>
              <w:rPr>
                <w:rFonts w:hint="eastAsia"/>
                <w:kern w:val="0"/>
              </w:rPr>
              <w:t>1</w:t>
            </w:r>
            <w:r>
              <w:rPr>
                <w:kern w:val="0"/>
              </w:rPr>
              <w:t>3</w:t>
            </w:r>
          </w:p>
        </w:tc>
        <w:tc>
          <w:tcPr>
            <w:tcW w:w="1610" w:type="pct"/>
            <w:vAlign w:val="center"/>
          </w:tcPr>
          <w:p w14:paraId="48BB0186" w14:textId="77777777" w:rsidR="004B0883" w:rsidRDefault="004B0883">
            <w:pPr>
              <w:adjustRightInd w:val="0"/>
              <w:snapToGrid w:val="0"/>
              <w:rPr>
                <w:color w:val="000000"/>
              </w:rPr>
            </w:pPr>
            <w:r>
              <w:rPr>
                <w:color w:val="000000"/>
              </w:rPr>
              <w:t>招商银行点金系列看涨两层区间</w:t>
            </w:r>
            <w:r>
              <w:rPr>
                <w:color w:val="000000"/>
              </w:rPr>
              <w:t>92</w:t>
            </w:r>
            <w:r>
              <w:rPr>
                <w:color w:val="000000"/>
              </w:rPr>
              <w:t>天结构性存款产品</w:t>
            </w:r>
          </w:p>
        </w:tc>
        <w:tc>
          <w:tcPr>
            <w:tcW w:w="914" w:type="pct"/>
            <w:vAlign w:val="center"/>
          </w:tcPr>
          <w:p w14:paraId="493647C6" w14:textId="77777777" w:rsidR="004B0883" w:rsidRDefault="004B0883">
            <w:pPr>
              <w:adjustRightInd w:val="0"/>
              <w:snapToGrid w:val="0"/>
              <w:jc w:val="center"/>
              <w:rPr>
                <w:rFonts w:hint="eastAsia"/>
              </w:rPr>
            </w:pPr>
            <w:r>
              <w:rPr>
                <w:rFonts w:hint="eastAsia"/>
              </w:rPr>
              <w:t>R1</w:t>
            </w:r>
            <w:r>
              <w:rPr>
                <w:rFonts w:hint="eastAsia"/>
              </w:rPr>
              <w:t>（谨慎型）</w:t>
            </w:r>
          </w:p>
        </w:tc>
        <w:tc>
          <w:tcPr>
            <w:tcW w:w="748" w:type="pct"/>
            <w:vAlign w:val="center"/>
          </w:tcPr>
          <w:p w14:paraId="426C4574" w14:textId="77777777" w:rsidR="004B0883" w:rsidRDefault="004B0883">
            <w:pPr>
              <w:adjustRightInd w:val="0"/>
              <w:snapToGrid w:val="0"/>
              <w:jc w:val="center"/>
              <w:rPr>
                <w:color w:val="000000"/>
              </w:rPr>
            </w:pPr>
            <w:r>
              <w:rPr>
                <w:color w:val="000000"/>
              </w:rPr>
              <w:t>2023/3/30</w:t>
            </w:r>
          </w:p>
        </w:tc>
        <w:tc>
          <w:tcPr>
            <w:tcW w:w="760" w:type="pct"/>
            <w:vAlign w:val="center"/>
          </w:tcPr>
          <w:p w14:paraId="4EB15AC4" w14:textId="77777777" w:rsidR="004B0883" w:rsidRDefault="004B0883">
            <w:pPr>
              <w:adjustRightInd w:val="0"/>
              <w:snapToGrid w:val="0"/>
              <w:ind w:rightChars="-59" w:right="-124"/>
              <w:jc w:val="right"/>
              <w:rPr>
                <w:color w:val="000000"/>
              </w:rPr>
            </w:pPr>
            <w:r>
              <w:rPr>
                <w:color w:val="000000"/>
              </w:rPr>
              <w:t>1.65%-2.85%</w:t>
            </w:r>
          </w:p>
        </w:tc>
        <w:tc>
          <w:tcPr>
            <w:tcW w:w="602" w:type="pct"/>
            <w:vAlign w:val="center"/>
          </w:tcPr>
          <w:p w14:paraId="04F3F310" w14:textId="77777777" w:rsidR="004B0883" w:rsidRDefault="004B0883">
            <w:pPr>
              <w:adjustRightInd w:val="0"/>
              <w:snapToGrid w:val="0"/>
              <w:jc w:val="right"/>
              <w:rPr>
                <w:color w:val="000000"/>
              </w:rPr>
            </w:pPr>
            <w:r>
              <w:rPr>
                <w:color w:val="000000"/>
              </w:rPr>
              <w:t>4,000.00</w:t>
            </w:r>
          </w:p>
        </w:tc>
      </w:tr>
      <w:tr w:rsidR="004B0883" w14:paraId="1E7D3A61" w14:textId="77777777">
        <w:trPr>
          <w:trHeight w:val="397"/>
          <w:jc w:val="center"/>
        </w:trPr>
        <w:tc>
          <w:tcPr>
            <w:tcW w:w="366" w:type="pct"/>
            <w:vAlign w:val="center"/>
          </w:tcPr>
          <w:p w14:paraId="798279CF" w14:textId="77777777" w:rsidR="004B0883" w:rsidRDefault="004B0883">
            <w:pPr>
              <w:adjustRightInd w:val="0"/>
              <w:snapToGrid w:val="0"/>
              <w:jc w:val="center"/>
              <w:rPr>
                <w:kern w:val="0"/>
              </w:rPr>
            </w:pPr>
            <w:r>
              <w:rPr>
                <w:rFonts w:hint="eastAsia"/>
                <w:kern w:val="0"/>
              </w:rPr>
              <w:t>1</w:t>
            </w:r>
            <w:r>
              <w:rPr>
                <w:kern w:val="0"/>
              </w:rPr>
              <w:t>4</w:t>
            </w:r>
          </w:p>
        </w:tc>
        <w:tc>
          <w:tcPr>
            <w:tcW w:w="1610" w:type="pct"/>
            <w:vAlign w:val="center"/>
          </w:tcPr>
          <w:p w14:paraId="1D87F083" w14:textId="77777777" w:rsidR="004B0883" w:rsidRDefault="004B0883">
            <w:pPr>
              <w:adjustRightInd w:val="0"/>
              <w:snapToGrid w:val="0"/>
              <w:rPr>
                <w:color w:val="000000"/>
              </w:rPr>
            </w:pPr>
            <w:r>
              <w:rPr>
                <w:color w:val="000000"/>
              </w:rPr>
              <w:t>平安银行对公结构性存款</w:t>
            </w:r>
            <w:r>
              <w:rPr>
                <w:color w:val="000000"/>
              </w:rPr>
              <w:t>(100%</w:t>
            </w:r>
            <w:r>
              <w:rPr>
                <w:color w:val="000000"/>
              </w:rPr>
              <w:t>保本挂钩指数</w:t>
            </w:r>
            <w:r>
              <w:rPr>
                <w:color w:val="000000"/>
              </w:rPr>
              <w:t>)</w:t>
            </w:r>
            <w:r>
              <w:rPr>
                <w:color w:val="000000"/>
              </w:rPr>
              <w:t>产品</w:t>
            </w:r>
          </w:p>
        </w:tc>
        <w:tc>
          <w:tcPr>
            <w:tcW w:w="914" w:type="pct"/>
            <w:vAlign w:val="center"/>
          </w:tcPr>
          <w:p w14:paraId="0322A43D" w14:textId="77777777" w:rsidR="004B0883" w:rsidRDefault="004B0883">
            <w:pPr>
              <w:adjustRightInd w:val="0"/>
              <w:snapToGrid w:val="0"/>
              <w:jc w:val="center"/>
              <w:rPr>
                <w:kern w:val="0"/>
              </w:rPr>
            </w:pPr>
            <w:r>
              <w:rPr>
                <w:rFonts w:hint="eastAsia"/>
              </w:rPr>
              <w:t>R2</w:t>
            </w:r>
            <w:r>
              <w:rPr>
                <w:rFonts w:hint="eastAsia"/>
              </w:rPr>
              <w:t>（稳健型）</w:t>
            </w:r>
          </w:p>
        </w:tc>
        <w:tc>
          <w:tcPr>
            <w:tcW w:w="748" w:type="pct"/>
            <w:vAlign w:val="center"/>
          </w:tcPr>
          <w:p w14:paraId="6303790C" w14:textId="77777777" w:rsidR="004B0883" w:rsidRDefault="004B0883">
            <w:pPr>
              <w:adjustRightInd w:val="0"/>
              <w:snapToGrid w:val="0"/>
              <w:jc w:val="center"/>
              <w:rPr>
                <w:color w:val="000000"/>
              </w:rPr>
            </w:pPr>
            <w:r>
              <w:rPr>
                <w:color w:val="000000"/>
              </w:rPr>
              <w:t>2023/3/30</w:t>
            </w:r>
          </w:p>
        </w:tc>
        <w:tc>
          <w:tcPr>
            <w:tcW w:w="760" w:type="pct"/>
            <w:vAlign w:val="center"/>
          </w:tcPr>
          <w:p w14:paraId="1747A6BE" w14:textId="77777777" w:rsidR="004B0883" w:rsidRDefault="004B0883">
            <w:pPr>
              <w:adjustRightInd w:val="0"/>
              <w:snapToGrid w:val="0"/>
              <w:ind w:rightChars="-46" w:right="-97"/>
              <w:jc w:val="right"/>
              <w:rPr>
                <w:color w:val="000000"/>
              </w:rPr>
            </w:pPr>
            <w:r>
              <w:rPr>
                <w:color w:val="000000"/>
              </w:rPr>
              <w:t>1.95%-3.00%</w:t>
            </w:r>
          </w:p>
        </w:tc>
        <w:tc>
          <w:tcPr>
            <w:tcW w:w="602" w:type="pct"/>
            <w:vAlign w:val="center"/>
          </w:tcPr>
          <w:p w14:paraId="32D4884A" w14:textId="77777777" w:rsidR="004B0883" w:rsidRDefault="004B0883">
            <w:pPr>
              <w:adjustRightInd w:val="0"/>
              <w:snapToGrid w:val="0"/>
              <w:jc w:val="right"/>
              <w:rPr>
                <w:color w:val="000000"/>
              </w:rPr>
            </w:pPr>
            <w:r>
              <w:rPr>
                <w:color w:val="000000"/>
              </w:rPr>
              <w:t>4,000.00</w:t>
            </w:r>
          </w:p>
        </w:tc>
      </w:tr>
      <w:tr w:rsidR="004B0883" w14:paraId="22D9CD82" w14:textId="77777777">
        <w:trPr>
          <w:trHeight w:val="397"/>
          <w:jc w:val="center"/>
        </w:trPr>
        <w:tc>
          <w:tcPr>
            <w:tcW w:w="366" w:type="pct"/>
            <w:vAlign w:val="center"/>
          </w:tcPr>
          <w:p w14:paraId="45355741" w14:textId="77777777" w:rsidR="004B0883" w:rsidRDefault="004B0883">
            <w:pPr>
              <w:adjustRightInd w:val="0"/>
              <w:snapToGrid w:val="0"/>
              <w:jc w:val="center"/>
              <w:rPr>
                <w:kern w:val="0"/>
              </w:rPr>
            </w:pPr>
            <w:r>
              <w:rPr>
                <w:rFonts w:hint="eastAsia"/>
                <w:kern w:val="0"/>
              </w:rPr>
              <w:t>1</w:t>
            </w:r>
            <w:r>
              <w:rPr>
                <w:kern w:val="0"/>
              </w:rPr>
              <w:t>5</w:t>
            </w:r>
          </w:p>
        </w:tc>
        <w:tc>
          <w:tcPr>
            <w:tcW w:w="1610" w:type="pct"/>
            <w:vAlign w:val="center"/>
          </w:tcPr>
          <w:p w14:paraId="2A614569" w14:textId="77777777" w:rsidR="004B0883" w:rsidRDefault="004B0883">
            <w:pPr>
              <w:adjustRightInd w:val="0"/>
              <w:snapToGrid w:val="0"/>
              <w:rPr>
                <w:color w:val="000000"/>
              </w:rPr>
            </w:pPr>
            <w:r>
              <w:rPr>
                <w:color w:val="000000"/>
              </w:rPr>
              <w:t>东证融汇汇鑫</w:t>
            </w:r>
            <w:r>
              <w:rPr>
                <w:color w:val="000000"/>
              </w:rPr>
              <w:t>6M3</w:t>
            </w:r>
            <w:r>
              <w:rPr>
                <w:color w:val="000000"/>
              </w:rPr>
              <w:t>号集合资产管理计划</w:t>
            </w:r>
          </w:p>
        </w:tc>
        <w:tc>
          <w:tcPr>
            <w:tcW w:w="914" w:type="pct"/>
            <w:vAlign w:val="center"/>
          </w:tcPr>
          <w:p w14:paraId="70B09D17" w14:textId="77777777" w:rsidR="004B0883" w:rsidRDefault="004B0883">
            <w:pPr>
              <w:adjustRightInd w:val="0"/>
              <w:snapToGrid w:val="0"/>
              <w:jc w:val="center"/>
              <w:rPr>
                <w:kern w:val="0"/>
              </w:rPr>
            </w:pPr>
            <w:r>
              <w:rPr>
                <w:rFonts w:hint="eastAsia"/>
              </w:rPr>
              <w:t>R2</w:t>
            </w:r>
            <w:r>
              <w:rPr>
                <w:rFonts w:hint="eastAsia"/>
              </w:rPr>
              <w:t>（稳健型）</w:t>
            </w:r>
          </w:p>
        </w:tc>
        <w:tc>
          <w:tcPr>
            <w:tcW w:w="748" w:type="pct"/>
            <w:vAlign w:val="center"/>
          </w:tcPr>
          <w:p w14:paraId="4287744A" w14:textId="77777777" w:rsidR="004B0883" w:rsidRDefault="004B0883">
            <w:pPr>
              <w:adjustRightInd w:val="0"/>
              <w:snapToGrid w:val="0"/>
              <w:jc w:val="center"/>
              <w:rPr>
                <w:color w:val="000000"/>
              </w:rPr>
            </w:pPr>
            <w:r>
              <w:rPr>
                <w:color w:val="000000"/>
              </w:rPr>
              <w:t>2023/4/25</w:t>
            </w:r>
          </w:p>
        </w:tc>
        <w:tc>
          <w:tcPr>
            <w:tcW w:w="760" w:type="pct"/>
            <w:vAlign w:val="center"/>
          </w:tcPr>
          <w:p w14:paraId="61851B50" w14:textId="77777777" w:rsidR="004B0883" w:rsidRDefault="004B0883">
            <w:pPr>
              <w:adjustRightInd w:val="0"/>
              <w:snapToGrid w:val="0"/>
              <w:ind w:rightChars="-52" w:right="-109"/>
              <w:jc w:val="right"/>
              <w:rPr>
                <w:color w:val="000000"/>
              </w:rPr>
            </w:pPr>
            <w:r>
              <w:rPr>
                <w:color w:val="000000"/>
              </w:rPr>
              <w:t>4.60%</w:t>
            </w:r>
          </w:p>
        </w:tc>
        <w:tc>
          <w:tcPr>
            <w:tcW w:w="602" w:type="pct"/>
            <w:vAlign w:val="center"/>
          </w:tcPr>
          <w:p w14:paraId="4A75C37F" w14:textId="77777777" w:rsidR="004B0883" w:rsidRDefault="004B0883">
            <w:pPr>
              <w:adjustRightInd w:val="0"/>
              <w:snapToGrid w:val="0"/>
              <w:jc w:val="right"/>
              <w:rPr>
                <w:color w:val="000000"/>
              </w:rPr>
            </w:pPr>
            <w:r>
              <w:rPr>
                <w:color w:val="000000"/>
              </w:rPr>
              <w:t>1,000.00</w:t>
            </w:r>
          </w:p>
        </w:tc>
      </w:tr>
      <w:tr w:rsidR="004B0883" w14:paraId="43A894D8" w14:textId="77777777">
        <w:trPr>
          <w:trHeight w:val="397"/>
          <w:jc w:val="center"/>
        </w:trPr>
        <w:tc>
          <w:tcPr>
            <w:tcW w:w="366" w:type="pct"/>
            <w:vAlign w:val="center"/>
          </w:tcPr>
          <w:p w14:paraId="18ADBD0F" w14:textId="77777777" w:rsidR="004B0883" w:rsidRDefault="004B0883">
            <w:pPr>
              <w:adjustRightInd w:val="0"/>
              <w:snapToGrid w:val="0"/>
              <w:jc w:val="center"/>
              <w:rPr>
                <w:kern w:val="0"/>
              </w:rPr>
            </w:pPr>
            <w:r>
              <w:rPr>
                <w:color w:val="000000"/>
              </w:rPr>
              <w:t>16</w:t>
            </w:r>
          </w:p>
        </w:tc>
        <w:tc>
          <w:tcPr>
            <w:tcW w:w="1610" w:type="pct"/>
            <w:vAlign w:val="center"/>
          </w:tcPr>
          <w:p w14:paraId="5C3AB134" w14:textId="77777777" w:rsidR="004B0883" w:rsidRDefault="004B0883">
            <w:pPr>
              <w:adjustRightInd w:val="0"/>
              <w:snapToGrid w:val="0"/>
              <w:rPr>
                <w:color w:val="000000"/>
              </w:rPr>
            </w:pPr>
            <w:r>
              <w:rPr>
                <w:rFonts w:hint="eastAsia"/>
                <w:color w:val="000000"/>
              </w:rPr>
              <w:t>招商银行点金系列看涨两层区间结构性存款</w:t>
            </w:r>
            <w:r>
              <w:rPr>
                <w:rFonts w:hint="eastAsia"/>
                <w:color w:val="000000"/>
              </w:rPr>
              <w:t>NQD00544</w:t>
            </w:r>
          </w:p>
        </w:tc>
        <w:tc>
          <w:tcPr>
            <w:tcW w:w="914" w:type="pct"/>
            <w:vAlign w:val="center"/>
          </w:tcPr>
          <w:p w14:paraId="52AD000A" w14:textId="77777777" w:rsidR="004B0883" w:rsidRDefault="004B0883">
            <w:pPr>
              <w:adjustRightInd w:val="0"/>
              <w:snapToGrid w:val="0"/>
              <w:jc w:val="center"/>
              <w:rPr>
                <w:kern w:val="0"/>
              </w:rPr>
            </w:pPr>
            <w:r>
              <w:t>R1</w:t>
            </w:r>
            <w:r>
              <w:rPr>
                <w:rFonts w:hint="eastAsia"/>
              </w:rPr>
              <w:t>（谨慎型）</w:t>
            </w:r>
          </w:p>
        </w:tc>
        <w:tc>
          <w:tcPr>
            <w:tcW w:w="748" w:type="pct"/>
            <w:vAlign w:val="center"/>
          </w:tcPr>
          <w:p w14:paraId="51E76BE7" w14:textId="77777777" w:rsidR="004B0883" w:rsidRDefault="004B0883">
            <w:pPr>
              <w:adjustRightInd w:val="0"/>
              <w:snapToGrid w:val="0"/>
              <w:jc w:val="center"/>
              <w:rPr>
                <w:color w:val="000000"/>
              </w:rPr>
            </w:pPr>
            <w:r>
              <w:rPr>
                <w:color w:val="000000"/>
              </w:rPr>
              <w:t>2023/6/6</w:t>
            </w:r>
          </w:p>
        </w:tc>
        <w:tc>
          <w:tcPr>
            <w:tcW w:w="760" w:type="pct"/>
            <w:vAlign w:val="center"/>
          </w:tcPr>
          <w:p w14:paraId="362368D1" w14:textId="77777777" w:rsidR="004B0883" w:rsidRDefault="004B0883">
            <w:pPr>
              <w:adjustRightInd w:val="0"/>
              <w:snapToGrid w:val="0"/>
              <w:jc w:val="right"/>
              <w:rPr>
                <w:color w:val="000000"/>
              </w:rPr>
            </w:pPr>
            <w:r>
              <w:rPr>
                <w:rFonts w:hint="eastAsia"/>
                <w:color w:val="000000"/>
              </w:rPr>
              <w:t>2</w:t>
            </w:r>
            <w:r>
              <w:rPr>
                <w:color w:val="000000"/>
              </w:rPr>
              <w:t>.85%</w:t>
            </w:r>
          </w:p>
        </w:tc>
        <w:tc>
          <w:tcPr>
            <w:tcW w:w="602" w:type="pct"/>
            <w:vAlign w:val="center"/>
          </w:tcPr>
          <w:p w14:paraId="0778E2FC" w14:textId="77777777" w:rsidR="004B0883" w:rsidRDefault="004B0883">
            <w:pPr>
              <w:adjustRightInd w:val="0"/>
              <w:snapToGrid w:val="0"/>
              <w:jc w:val="right"/>
              <w:rPr>
                <w:color w:val="000000"/>
              </w:rPr>
            </w:pPr>
            <w:r>
              <w:rPr>
                <w:color w:val="000000"/>
              </w:rPr>
              <w:t>3,500.00</w:t>
            </w:r>
          </w:p>
        </w:tc>
      </w:tr>
      <w:tr w:rsidR="004B0883" w14:paraId="58A45FFA" w14:textId="77777777">
        <w:trPr>
          <w:trHeight w:val="397"/>
          <w:jc w:val="center"/>
        </w:trPr>
        <w:tc>
          <w:tcPr>
            <w:tcW w:w="366" w:type="pct"/>
            <w:vAlign w:val="center"/>
          </w:tcPr>
          <w:p w14:paraId="3562FE42" w14:textId="77777777" w:rsidR="004B0883" w:rsidRDefault="004B0883">
            <w:pPr>
              <w:adjustRightInd w:val="0"/>
              <w:snapToGrid w:val="0"/>
              <w:jc w:val="center"/>
              <w:rPr>
                <w:kern w:val="0"/>
              </w:rPr>
            </w:pPr>
            <w:r>
              <w:rPr>
                <w:rFonts w:hint="eastAsia"/>
                <w:color w:val="000000"/>
                <w:kern w:val="0"/>
              </w:rPr>
              <w:t>1</w:t>
            </w:r>
            <w:r>
              <w:rPr>
                <w:color w:val="000000"/>
                <w:kern w:val="0"/>
              </w:rPr>
              <w:t>7</w:t>
            </w:r>
          </w:p>
        </w:tc>
        <w:tc>
          <w:tcPr>
            <w:tcW w:w="1610" w:type="pct"/>
            <w:vAlign w:val="center"/>
          </w:tcPr>
          <w:p w14:paraId="31C0F103" w14:textId="77777777" w:rsidR="004B0883" w:rsidRDefault="004B0883">
            <w:pPr>
              <w:adjustRightInd w:val="0"/>
              <w:snapToGrid w:val="0"/>
              <w:rPr>
                <w:color w:val="000000"/>
              </w:rPr>
            </w:pPr>
            <w:r>
              <w:rPr>
                <w:rFonts w:hint="eastAsia"/>
                <w:color w:val="000000"/>
              </w:rPr>
              <w:t>平安银行对公结构性存款（</w:t>
            </w:r>
            <w:r>
              <w:rPr>
                <w:rFonts w:hint="eastAsia"/>
                <w:color w:val="000000"/>
              </w:rPr>
              <w:t>100%</w:t>
            </w:r>
            <w:r>
              <w:rPr>
                <w:rFonts w:hint="eastAsia"/>
                <w:color w:val="000000"/>
              </w:rPr>
              <w:t>保本挂钩指数）</w:t>
            </w:r>
            <w:r>
              <w:rPr>
                <w:rFonts w:hint="eastAsia"/>
                <w:color w:val="000000"/>
              </w:rPr>
              <w:t>2023</w:t>
            </w:r>
            <w:r>
              <w:rPr>
                <w:rFonts w:hint="eastAsia"/>
                <w:color w:val="000000"/>
              </w:rPr>
              <w:t>年</w:t>
            </w:r>
            <w:r>
              <w:rPr>
                <w:rFonts w:hint="eastAsia"/>
                <w:color w:val="000000"/>
              </w:rPr>
              <w:t>TGG23100368</w:t>
            </w:r>
            <w:r>
              <w:rPr>
                <w:rFonts w:hint="eastAsia"/>
                <w:color w:val="000000"/>
              </w:rPr>
              <w:t>期人民币产品</w:t>
            </w:r>
          </w:p>
        </w:tc>
        <w:tc>
          <w:tcPr>
            <w:tcW w:w="914" w:type="pct"/>
            <w:vAlign w:val="center"/>
          </w:tcPr>
          <w:p w14:paraId="51EABB0F" w14:textId="77777777" w:rsidR="004B0883" w:rsidRDefault="004B0883">
            <w:pPr>
              <w:adjustRightInd w:val="0"/>
              <w:snapToGrid w:val="0"/>
              <w:jc w:val="center"/>
            </w:pPr>
            <w:r>
              <w:rPr>
                <w:rFonts w:hint="eastAsia"/>
              </w:rPr>
              <w:t>R2</w:t>
            </w:r>
            <w:r>
              <w:rPr>
                <w:rFonts w:hint="eastAsia"/>
              </w:rPr>
              <w:t>（稳健型）</w:t>
            </w:r>
          </w:p>
        </w:tc>
        <w:tc>
          <w:tcPr>
            <w:tcW w:w="748" w:type="pct"/>
            <w:vAlign w:val="center"/>
          </w:tcPr>
          <w:p w14:paraId="3517066B" w14:textId="77777777" w:rsidR="004B0883" w:rsidRDefault="004B0883">
            <w:pPr>
              <w:adjustRightInd w:val="0"/>
              <w:snapToGrid w:val="0"/>
              <w:jc w:val="center"/>
              <w:rPr>
                <w:color w:val="000000"/>
              </w:rPr>
            </w:pPr>
            <w:r>
              <w:rPr>
                <w:color w:val="000000"/>
              </w:rPr>
              <w:t>2023/6/7</w:t>
            </w:r>
          </w:p>
        </w:tc>
        <w:tc>
          <w:tcPr>
            <w:tcW w:w="760" w:type="pct"/>
            <w:vAlign w:val="center"/>
          </w:tcPr>
          <w:p w14:paraId="4F5DF3CA" w14:textId="77777777" w:rsidR="004B0883" w:rsidRDefault="004B0883">
            <w:pPr>
              <w:adjustRightInd w:val="0"/>
              <w:snapToGrid w:val="0"/>
              <w:jc w:val="right"/>
              <w:rPr>
                <w:color w:val="000000"/>
              </w:rPr>
            </w:pPr>
            <w:r>
              <w:rPr>
                <w:rFonts w:hint="eastAsia"/>
                <w:color w:val="000000"/>
              </w:rPr>
              <w:t>2</w:t>
            </w:r>
            <w:r>
              <w:rPr>
                <w:color w:val="000000"/>
              </w:rPr>
              <w:t>.90%</w:t>
            </w:r>
          </w:p>
        </w:tc>
        <w:tc>
          <w:tcPr>
            <w:tcW w:w="602" w:type="pct"/>
            <w:vAlign w:val="center"/>
          </w:tcPr>
          <w:p w14:paraId="625E59B5" w14:textId="77777777" w:rsidR="004B0883" w:rsidRDefault="004B0883">
            <w:pPr>
              <w:adjustRightInd w:val="0"/>
              <w:snapToGrid w:val="0"/>
              <w:jc w:val="right"/>
              <w:rPr>
                <w:color w:val="000000"/>
              </w:rPr>
            </w:pPr>
            <w:r>
              <w:rPr>
                <w:color w:val="000000"/>
              </w:rPr>
              <w:t>3,000.00</w:t>
            </w:r>
          </w:p>
        </w:tc>
      </w:tr>
      <w:tr w:rsidR="004B0883" w14:paraId="7DE5FDC6" w14:textId="77777777">
        <w:trPr>
          <w:trHeight w:val="397"/>
          <w:jc w:val="center"/>
        </w:trPr>
        <w:tc>
          <w:tcPr>
            <w:tcW w:w="366" w:type="pct"/>
            <w:vAlign w:val="center"/>
          </w:tcPr>
          <w:p w14:paraId="3502D0E3" w14:textId="77777777" w:rsidR="004B0883" w:rsidRDefault="004B0883">
            <w:pPr>
              <w:adjustRightInd w:val="0"/>
              <w:snapToGrid w:val="0"/>
              <w:jc w:val="center"/>
              <w:rPr>
                <w:kern w:val="0"/>
              </w:rPr>
            </w:pPr>
            <w:r>
              <w:rPr>
                <w:rFonts w:hint="eastAsia"/>
                <w:color w:val="000000"/>
                <w:kern w:val="0"/>
              </w:rPr>
              <w:t>18</w:t>
            </w:r>
          </w:p>
        </w:tc>
        <w:tc>
          <w:tcPr>
            <w:tcW w:w="1610" w:type="pct"/>
            <w:vAlign w:val="center"/>
          </w:tcPr>
          <w:p w14:paraId="481470DA" w14:textId="77777777" w:rsidR="004B0883" w:rsidRDefault="004B0883">
            <w:pPr>
              <w:adjustRightInd w:val="0"/>
              <w:snapToGrid w:val="0"/>
              <w:rPr>
                <w:color w:val="000000"/>
              </w:rPr>
            </w:pPr>
            <w:r>
              <w:rPr>
                <w:rFonts w:hint="eastAsia"/>
                <w:color w:val="000000"/>
              </w:rPr>
              <w:t>中信证券信信向荣</w:t>
            </w:r>
            <w:r>
              <w:rPr>
                <w:rFonts w:hint="eastAsia"/>
                <w:color w:val="000000"/>
              </w:rPr>
              <w:t>1</w:t>
            </w:r>
            <w:r>
              <w:rPr>
                <w:rFonts w:hint="eastAsia"/>
                <w:color w:val="000000"/>
              </w:rPr>
              <w:t>号集合资产管理计划</w:t>
            </w:r>
          </w:p>
        </w:tc>
        <w:tc>
          <w:tcPr>
            <w:tcW w:w="914" w:type="pct"/>
            <w:vAlign w:val="center"/>
          </w:tcPr>
          <w:p w14:paraId="533A339C" w14:textId="77777777" w:rsidR="004B0883" w:rsidRDefault="004B0883">
            <w:pPr>
              <w:adjustRightInd w:val="0"/>
              <w:snapToGrid w:val="0"/>
              <w:jc w:val="center"/>
            </w:pPr>
            <w:r>
              <w:rPr>
                <w:rFonts w:hint="eastAsia"/>
              </w:rPr>
              <w:t>R</w:t>
            </w:r>
            <w:r>
              <w:t>3</w:t>
            </w:r>
            <w:r>
              <w:rPr>
                <w:rFonts w:hint="eastAsia"/>
              </w:rPr>
              <w:t>（中风险）</w:t>
            </w:r>
          </w:p>
        </w:tc>
        <w:tc>
          <w:tcPr>
            <w:tcW w:w="748" w:type="pct"/>
            <w:vAlign w:val="center"/>
          </w:tcPr>
          <w:p w14:paraId="7ADACE65" w14:textId="77777777" w:rsidR="004B0883" w:rsidRDefault="004B0883">
            <w:pPr>
              <w:adjustRightInd w:val="0"/>
              <w:snapToGrid w:val="0"/>
              <w:jc w:val="center"/>
              <w:rPr>
                <w:color w:val="000000"/>
              </w:rPr>
            </w:pPr>
            <w:r>
              <w:rPr>
                <w:kern w:val="0"/>
              </w:rPr>
              <w:t>2022</w:t>
            </w:r>
            <w:r>
              <w:rPr>
                <w:rFonts w:hint="eastAsia"/>
                <w:kern w:val="0"/>
              </w:rPr>
              <w:t>/7/1</w:t>
            </w:r>
            <w:r>
              <w:rPr>
                <w:kern w:val="0"/>
              </w:rPr>
              <w:t>2</w:t>
            </w:r>
            <w:r>
              <w:rPr>
                <w:rFonts w:hint="eastAsia"/>
                <w:kern w:val="0"/>
              </w:rPr>
              <w:t>，并于</w:t>
            </w:r>
            <w:r>
              <w:rPr>
                <w:kern w:val="0"/>
              </w:rPr>
              <w:t>2023/7/12</w:t>
            </w:r>
            <w:r>
              <w:rPr>
                <w:rFonts w:hint="eastAsia"/>
                <w:kern w:val="0"/>
              </w:rPr>
              <w:t>自动滚存</w:t>
            </w:r>
          </w:p>
        </w:tc>
        <w:tc>
          <w:tcPr>
            <w:tcW w:w="760" w:type="pct"/>
            <w:vAlign w:val="center"/>
          </w:tcPr>
          <w:p w14:paraId="372CFA05" w14:textId="77777777" w:rsidR="004B0883" w:rsidRDefault="004B0883">
            <w:pPr>
              <w:adjustRightInd w:val="0"/>
              <w:snapToGrid w:val="0"/>
              <w:jc w:val="right"/>
              <w:rPr>
                <w:color w:val="000000"/>
              </w:rPr>
            </w:pPr>
            <w:r>
              <w:rPr>
                <w:rFonts w:hint="eastAsia"/>
                <w:color w:val="000000"/>
              </w:rPr>
              <w:t>4</w:t>
            </w:r>
            <w:r>
              <w:rPr>
                <w:color w:val="000000"/>
              </w:rPr>
              <w:t>.00%</w:t>
            </w:r>
          </w:p>
        </w:tc>
        <w:tc>
          <w:tcPr>
            <w:tcW w:w="602" w:type="pct"/>
            <w:vAlign w:val="center"/>
          </w:tcPr>
          <w:p w14:paraId="53805913" w14:textId="77777777" w:rsidR="004B0883" w:rsidRDefault="004B0883">
            <w:pPr>
              <w:adjustRightInd w:val="0"/>
              <w:snapToGrid w:val="0"/>
              <w:jc w:val="right"/>
              <w:rPr>
                <w:color w:val="000000"/>
              </w:rPr>
            </w:pPr>
            <w:r>
              <w:rPr>
                <w:color w:val="000000"/>
              </w:rPr>
              <w:t>1,000.00</w:t>
            </w:r>
          </w:p>
        </w:tc>
      </w:tr>
      <w:tr w:rsidR="004B0883" w14:paraId="4714B57F" w14:textId="77777777">
        <w:trPr>
          <w:trHeight w:val="397"/>
          <w:jc w:val="center"/>
        </w:trPr>
        <w:tc>
          <w:tcPr>
            <w:tcW w:w="366" w:type="pct"/>
            <w:vAlign w:val="center"/>
          </w:tcPr>
          <w:p w14:paraId="7B4586E4" w14:textId="77777777" w:rsidR="004B0883" w:rsidRDefault="004B0883">
            <w:pPr>
              <w:adjustRightInd w:val="0"/>
              <w:snapToGrid w:val="0"/>
              <w:jc w:val="center"/>
              <w:rPr>
                <w:rFonts w:hint="eastAsia"/>
                <w:kern w:val="0"/>
              </w:rPr>
            </w:pPr>
            <w:r>
              <w:rPr>
                <w:rFonts w:hint="eastAsia"/>
                <w:color w:val="000000"/>
                <w:kern w:val="0"/>
              </w:rPr>
              <w:t>19</w:t>
            </w:r>
          </w:p>
        </w:tc>
        <w:tc>
          <w:tcPr>
            <w:tcW w:w="1610" w:type="pct"/>
            <w:vAlign w:val="center"/>
          </w:tcPr>
          <w:p w14:paraId="3554E3AC" w14:textId="77777777" w:rsidR="004B0883" w:rsidRDefault="004B0883">
            <w:pPr>
              <w:adjustRightInd w:val="0"/>
              <w:snapToGrid w:val="0"/>
              <w:rPr>
                <w:rFonts w:hint="eastAsia"/>
                <w:color w:val="000000"/>
              </w:rPr>
            </w:pPr>
            <w:r>
              <w:rPr>
                <w:rFonts w:hint="eastAsia"/>
                <w:color w:val="000000"/>
              </w:rPr>
              <w:t>平安银行对公结构性存款（</w:t>
            </w:r>
            <w:r>
              <w:rPr>
                <w:rFonts w:hint="eastAsia"/>
                <w:color w:val="000000"/>
              </w:rPr>
              <w:t>100%</w:t>
            </w:r>
            <w:r>
              <w:rPr>
                <w:rFonts w:hint="eastAsia"/>
                <w:color w:val="000000"/>
              </w:rPr>
              <w:t>保本挂钩黄金）</w:t>
            </w:r>
            <w:r>
              <w:rPr>
                <w:rFonts w:hint="eastAsia"/>
                <w:color w:val="000000"/>
              </w:rPr>
              <w:t>TGG23200830</w:t>
            </w:r>
            <w:r>
              <w:rPr>
                <w:rFonts w:hint="eastAsia"/>
                <w:color w:val="000000"/>
              </w:rPr>
              <w:t>期产品</w:t>
            </w:r>
          </w:p>
        </w:tc>
        <w:tc>
          <w:tcPr>
            <w:tcW w:w="914" w:type="pct"/>
            <w:vAlign w:val="center"/>
          </w:tcPr>
          <w:p w14:paraId="14AF074B" w14:textId="77777777" w:rsidR="004B0883" w:rsidRDefault="004B0883">
            <w:pPr>
              <w:adjustRightInd w:val="0"/>
              <w:snapToGrid w:val="0"/>
              <w:jc w:val="center"/>
            </w:pPr>
            <w:r>
              <w:rPr>
                <w:rFonts w:hint="eastAsia"/>
              </w:rPr>
              <w:t>R2</w:t>
            </w:r>
            <w:r>
              <w:rPr>
                <w:rFonts w:hint="eastAsia"/>
              </w:rPr>
              <w:t>（稳健型）</w:t>
            </w:r>
          </w:p>
        </w:tc>
        <w:tc>
          <w:tcPr>
            <w:tcW w:w="748" w:type="pct"/>
            <w:vAlign w:val="center"/>
          </w:tcPr>
          <w:p w14:paraId="19B77881" w14:textId="77777777" w:rsidR="004B0883" w:rsidRDefault="004B0883">
            <w:pPr>
              <w:adjustRightInd w:val="0"/>
              <w:snapToGrid w:val="0"/>
              <w:jc w:val="center"/>
              <w:rPr>
                <w:color w:val="000000"/>
              </w:rPr>
            </w:pPr>
            <w:r>
              <w:rPr>
                <w:color w:val="000000"/>
              </w:rPr>
              <w:t>2023/7/26</w:t>
            </w:r>
          </w:p>
        </w:tc>
        <w:tc>
          <w:tcPr>
            <w:tcW w:w="760" w:type="pct"/>
            <w:vAlign w:val="center"/>
          </w:tcPr>
          <w:p w14:paraId="2E969F71" w14:textId="77777777" w:rsidR="004B0883" w:rsidRDefault="004B0883">
            <w:pPr>
              <w:adjustRightInd w:val="0"/>
              <w:snapToGrid w:val="0"/>
              <w:jc w:val="right"/>
              <w:rPr>
                <w:color w:val="000000"/>
              </w:rPr>
            </w:pPr>
            <w:r>
              <w:rPr>
                <w:color w:val="000000"/>
              </w:rPr>
              <w:t>2.97%</w:t>
            </w:r>
          </w:p>
        </w:tc>
        <w:tc>
          <w:tcPr>
            <w:tcW w:w="602" w:type="pct"/>
            <w:vAlign w:val="center"/>
          </w:tcPr>
          <w:p w14:paraId="636F7CD4" w14:textId="77777777" w:rsidR="004B0883" w:rsidRDefault="004B0883">
            <w:pPr>
              <w:adjustRightInd w:val="0"/>
              <w:snapToGrid w:val="0"/>
              <w:jc w:val="right"/>
              <w:rPr>
                <w:color w:val="000000"/>
              </w:rPr>
            </w:pPr>
            <w:r>
              <w:rPr>
                <w:color w:val="000000"/>
              </w:rPr>
              <w:t>4,000.00</w:t>
            </w:r>
          </w:p>
        </w:tc>
      </w:tr>
      <w:tr w:rsidR="004B0883" w14:paraId="2B2C8059" w14:textId="77777777">
        <w:trPr>
          <w:trHeight w:val="397"/>
          <w:jc w:val="center"/>
        </w:trPr>
        <w:tc>
          <w:tcPr>
            <w:tcW w:w="366" w:type="pct"/>
            <w:vAlign w:val="center"/>
          </w:tcPr>
          <w:p w14:paraId="008392DF" w14:textId="77777777" w:rsidR="004B0883" w:rsidRDefault="004B0883">
            <w:pPr>
              <w:adjustRightInd w:val="0"/>
              <w:snapToGrid w:val="0"/>
              <w:jc w:val="center"/>
              <w:rPr>
                <w:color w:val="000000"/>
              </w:rPr>
            </w:pPr>
            <w:r>
              <w:rPr>
                <w:rFonts w:hint="eastAsia"/>
                <w:color w:val="000000"/>
                <w:kern w:val="0"/>
              </w:rPr>
              <w:t>20</w:t>
            </w:r>
          </w:p>
        </w:tc>
        <w:tc>
          <w:tcPr>
            <w:tcW w:w="1610" w:type="pct"/>
            <w:vAlign w:val="center"/>
          </w:tcPr>
          <w:p w14:paraId="52A61E4C" w14:textId="77777777" w:rsidR="004B0883" w:rsidRDefault="004B0883">
            <w:pPr>
              <w:adjustRightInd w:val="0"/>
              <w:snapToGrid w:val="0"/>
              <w:rPr>
                <w:rFonts w:hint="eastAsia"/>
                <w:color w:val="000000"/>
              </w:rPr>
            </w:pPr>
            <w:r>
              <w:rPr>
                <w:rFonts w:hint="eastAsia"/>
              </w:rPr>
              <w:t>平安银行对公结构性存款（</w:t>
            </w:r>
            <w:r>
              <w:rPr>
                <w:rFonts w:hint="eastAsia"/>
              </w:rPr>
              <w:t>100%</w:t>
            </w:r>
            <w:r>
              <w:rPr>
                <w:rFonts w:hint="eastAsia"/>
              </w:rPr>
              <w:t>保本挂钩指数）</w:t>
            </w:r>
            <w:r>
              <w:rPr>
                <w:rFonts w:hint="eastAsia"/>
              </w:rPr>
              <w:t>2023</w:t>
            </w:r>
            <w:r>
              <w:rPr>
                <w:rFonts w:hint="eastAsia"/>
              </w:rPr>
              <w:t>年</w:t>
            </w:r>
            <w:r>
              <w:rPr>
                <w:rFonts w:hint="eastAsia"/>
              </w:rPr>
              <w:t>TGG23100630</w:t>
            </w:r>
            <w:r>
              <w:rPr>
                <w:rFonts w:hint="eastAsia"/>
              </w:rPr>
              <w:t>期人民币产品</w:t>
            </w:r>
          </w:p>
        </w:tc>
        <w:tc>
          <w:tcPr>
            <w:tcW w:w="914" w:type="pct"/>
            <w:vAlign w:val="center"/>
          </w:tcPr>
          <w:p w14:paraId="49E526AC" w14:textId="77777777" w:rsidR="004B0883" w:rsidRDefault="004B0883">
            <w:pPr>
              <w:adjustRightInd w:val="0"/>
              <w:snapToGrid w:val="0"/>
              <w:jc w:val="center"/>
              <w:rPr>
                <w:rFonts w:hint="eastAsia"/>
              </w:rPr>
            </w:pPr>
            <w:r>
              <w:rPr>
                <w:color w:val="000000"/>
              </w:rPr>
              <w:t>R2</w:t>
            </w:r>
            <w:r>
              <w:rPr>
                <w:rFonts w:hint="eastAsia"/>
                <w:color w:val="000000"/>
              </w:rPr>
              <w:t>（稳健型）</w:t>
            </w:r>
          </w:p>
        </w:tc>
        <w:tc>
          <w:tcPr>
            <w:tcW w:w="748" w:type="pct"/>
            <w:vAlign w:val="center"/>
          </w:tcPr>
          <w:p w14:paraId="77096A59" w14:textId="77777777" w:rsidR="004B0883" w:rsidRDefault="004B0883">
            <w:pPr>
              <w:adjustRightInd w:val="0"/>
              <w:snapToGrid w:val="0"/>
              <w:jc w:val="center"/>
              <w:rPr>
                <w:color w:val="000000"/>
              </w:rPr>
            </w:pPr>
            <w:r>
              <w:t>2023/9/8</w:t>
            </w:r>
          </w:p>
        </w:tc>
        <w:tc>
          <w:tcPr>
            <w:tcW w:w="760" w:type="pct"/>
            <w:vAlign w:val="center"/>
          </w:tcPr>
          <w:p w14:paraId="3F41DEAE" w14:textId="77777777" w:rsidR="004B0883" w:rsidRDefault="004B0883">
            <w:pPr>
              <w:adjustRightInd w:val="0"/>
              <w:snapToGrid w:val="0"/>
              <w:jc w:val="right"/>
              <w:rPr>
                <w:rFonts w:hint="eastAsia"/>
                <w:color w:val="000000"/>
              </w:rPr>
            </w:pPr>
            <w:r>
              <w:t>2.60%</w:t>
            </w:r>
          </w:p>
        </w:tc>
        <w:tc>
          <w:tcPr>
            <w:tcW w:w="602" w:type="pct"/>
            <w:vAlign w:val="center"/>
          </w:tcPr>
          <w:p w14:paraId="5D0886E9" w14:textId="77777777" w:rsidR="004B0883" w:rsidRDefault="004B0883">
            <w:pPr>
              <w:adjustRightInd w:val="0"/>
              <w:snapToGrid w:val="0"/>
              <w:jc w:val="right"/>
              <w:rPr>
                <w:color w:val="000000"/>
              </w:rPr>
            </w:pPr>
            <w:r>
              <w:rPr>
                <w:color w:val="000000"/>
              </w:rPr>
              <w:t>4,000.00</w:t>
            </w:r>
          </w:p>
        </w:tc>
      </w:tr>
      <w:tr w:rsidR="004B0883" w14:paraId="743DCC59" w14:textId="77777777">
        <w:trPr>
          <w:trHeight w:val="397"/>
          <w:jc w:val="center"/>
        </w:trPr>
        <w:tc>
          <w:tcPr>
            <w:tcW w:w="366" w:type="pct"/>
            <w:vAlign w:val="center"/>
          </w:tcPr>
          <w:p w14:paraId="654498CB" w14:textId="77777777" w:rsidR="004B0883" w:rsidRDefault="004B0883">
            <w:pPr>
              <w:jc w:val="center"/>
              <w:rPr>
                <w:color w:val="000000"/>
                <w:kern w:val="0"/>
              </w:rPr>
            </w:pPr>
            <w:r>
              <w:rPr>
                <w:rFonts w:hint="eastAsia"/>
                <w:color w:val="000000"/>
                <w:kern w:val="0"/>
              </w:rPr>
              <w:t>2</w:t>
            </w:r>
            <w:r>
              <w:rPr>
                <w:color w:val="000000"/>
                <w:kern w:val="0"/>
              </w:rPr>
              <w:t>1</w:t>
            </w:r>
          </w:p>
        </w:tc>
        <w:tc>
          <w:tcPr>
            <w:tcW w:w="1610" w:type="pct"/>
            <w:vAlign w:val="center"/>
          </w:tcPr>
          <w:p w14:paraId="13A68202" w14:textId="77777777" w:rsidR="004B0883" w:rsidRDefault="004B0883">
            <w:pPr>
              <w:rPr>
                <w:rFonts w:ascii="宋体" w:hAnsi="宋体" w:cs="宋体"/>
                <w:color w:val="000000"/>
              </w:rPr>
            </w:pPr>
            <w:r>
              <w:rPr>
                <w:rFonts w:hint="eastAsia"/>
              </w:rPr>
              <w:t>共赢慧信汇率挂钩人民币结构性存款</w:t>
            </w:r>
            <w:r>
              <w:rPr>
                <w:rFonts w:hint="eastAsia"/>
              </w:rPr>
              <w:t>00246</w:t>
            </w:r>
            <w:r>
              <w:rPr>
                <w:rFonts w:hint="eastAsia"/>
              </w:rPr>
              <w:t>期</w:t>
            </w:r>
          </w:p>
        </w:tc>
        <w:tc>
          <w:tcPr>
            <w:tcW w:w="914" w:type="pct"/>
            <w:vAlign w:val="center"/>
          </w:tcPr>
          <w:p w14:paraId="75D64D88" w14:textId="77777777" w:rsidR="004B0883" w:rsidRDefault="004B0883">
            <w:pPr>
              <w:jc w:val="center"/>
              <w:rPr>
                <w:rFonts w:hint="eastAsia"/>
                <w:color w:val="000000"/>
              </w:rPr>
            </w:pPr>
            <w:r>
              <w:t>R1</w:t>
            </w:r>
            <w:r>
              <w:rPr>
                <w:rFonts w:hint="eastAsia"/>
              </w:rPr>
              <w:t>（谨慎型）</w:t>
            </w:r>
          </w:p>
        </w:tc>
        <w:tc>
          <w:tcPr>
            <w:tcW w:w="748" w:type="pct"/>
            <w:vAlign w:val="center"/>
          </w:tcPr>
          <w:p w14:paraId="39694D32" w14:textId="77777777" w:rsidR="004B0883" w:rsidRDefault="004B0883">
            <w:pPr>
              <w:jc w:val="center"/>
              <w:rPr>
                <w:color w:val="000000"/>
              </w:rPr>
            </w:pPr>
            <w:r>
              <w:t>2023/9/16</w:t>
            </w:r>
          </w:p>
        </w:tc>
        <w:tc>
          <w:tcPr>
            <w:tcW w:w="760" w:type="pct"/>
            <w:vAlign w:val="center"/>
          </w:tcPr>
          <w:p w14:paraId="17C35B7F" w14:textId="77777777" w:rsidR="004B0883" w:rsidRDefault="004B0883">
            <w:pPr>
              <w:jc w:val="right"/>
              <w:rPr>
                <w:color w:val="000000"/>
              </w:rPr>
            </w:pPr>
            <w:r>
              <w:rPr>
                <w:rFonts w:hint="eastAsia"/>
                <w:color w:val="000000"/>
              </w:rPr>
              <w:t>2</w:t>
            </w:r>
            <w:r>
              <w:rPr>
                <w:color w:val="000000"/>
              </w:rPr>
              <w:t>.35%</w:t>
            </w:r>
          </w:p>
        </w:tc>
        <w:tc>
          <w:tcPr>
            <w:tcW w:w="602" w:type="pct"/>
            <w:vAlign w:val="center"/>
          </w:tcPr>
          <w:p w14:paraId="3C99D2EE" w14:textId="77777777" w:rsidR="004B0883" w:rsidRDefault="004B0883">
            <w:pPr>
              <w:jc w:val="right"/>
              <w:rPr>
                <w:color w:val="000000"/>
              </w:rPr>
            </w:pPr>
            <w:r>
              <w:rPr>
                <w:rFonts w:hint="eastAsia"/>
                <w:color w:val="000000"/>
              </w:rPr>
              <w:t>970.</w:t>
            </w:r>
            <w:r>
              <w:rPr>
                <w:color w:val="000000"/>
              </w:rPr>
              <w:t>00</w:t>
            </w:r>
          </w:p>
        </w:tc>
      </w:tr>
      <w:tr w:rsidR="004B0883" w14:paraId="4964CB2C" w14:textId="77777777">
        <w:trPr>
          <w:trHeight w:val="397"/>
          <w:jc w:val="center"/>
        </w:trPr>
        <w:tc>
          <w:tcPr>
            <w:tcW w:w="366" w:type="pct"/>
            <w:vAlign w:val="center"/>
          </w:tcPr>
          <w:p w14:paraId="01D57503" w14:textId="77777777" w:rsidR="004B0883" w:rsidRDefault="004B0883">
            <w:pPr>
              <w:jc w:val="center"/>
              <w:rPr>
                <w:rFonts w:hint="eastAsia"/>
                <w:color w:val="000000"/>
                <w:kern w:val="0"/>
              </w:rPr>
            </w:pPr>
            <w:r>
              <w:rPr>
                <w:rFonts w:hint="eastAsia"/>
                <w:color w:val="000000"/>
                <w:kern w:val="0"/>
              </w:rPr>
              <w:t>2</w:t>
            </w:r>
            <w:r>
              <w:rPr>
                <w:color w:val="000000"/>
                <w:kern w:val="0"/>
              </w:rPr>
              <w:t>2</w:t>
            </w:r>
          </w:p>
        </w:tc>
        <w:tc>
          <w:tcPr>
            <w:tcW w:w="1610" w:type="pct"/>
            <w:vAlign w:val="center"/>
          </w:tcPr>
          <w:p w14:paraId="74F69F2C" w14:textId="77777777" w:rsidR="004B0883" w:rsidRDefault="004B0883">
            <w:pPr>
              <w:rPr>
                <w:rFonts w:hint="eastAsia"/>
              </w:rPr>
            </w:pPr>
            <w:r>
              <w:rPr>
                <w:rFonts w:hint="eastAsia"/>
              </w:rPr>
              <w:t>聚赢股票挂钩沪深</w:t>
            </w:r>
            <w:r>
              <w:rPr>
                <w:rFonts w:hint="eastAsia"/>
              </w:rPr>
              <w:t>300</w:t>
            </w:r>
            <w:r>
              <w:rPr>
                <w:rFonts w:hint="eastAsia"/>
              </w:rPr>
              <w:t>指数双向鲨鱼鳍结构性存款</w:t>
            </w:r>
            <w:r>
              <w:rPr>
                <w:rFonts w:hint="eastAsia"/>
              </w:rPr>
              <w:t>SDGA230502V</w:t>
            </w:r>
          </w:p>
        </w:tc>
        <w:tc>
          <w:tcPr>
            <w:tcW w:w="914" w:type="pct"/>
            <w:vAlign w:val="center"/>
          </w:tcPr>
          <w:p w14:paraId="344545D6" w14:textId="77777777" w:rsidR="004B0883" w:rsidRDefault="004B0883">
            <w:pPr>
              <w:jc w:val="center"/>
              <w:rPr>
                <w:color w:val="000000"/>
              </w:rPr>
            </w:pPr>
            <w:r>
              <w:t>R1</w:t>
            </w:r>
            <w:r>
              <w:rPr>
                <w:rFonts w:hint="eastAsia"/>
              </w:rPr>
              <w:t>（谨慎型）</w:t>
            </w:r>
          </w:p>
        </w:tc>
        <w:tc>
          <w:tcPr>
            <w:tcW w:w="748" w:type="pct"/>
            <w:vAlign w:val="center"/>
          </w:tcPr>
          <w:p w14:paraId="6094EE0B" w14:textId="77777777" w:rsidR="004B0883" w:rsidRDefault="004B0883">
            <w:pPr>
              <w:jc w:val="center"/>
            </w:pPr>
            <w:r>
              <w:t>2023/9/22</w:t>
            </w:r>
          </w:p>
        </w:tc>
        <w:tc>
          <w:tcPr>
            <w:tcW w:w="760" w:type="pct"/>
            <w:vAlign w:val="center"/>
          </w:tcPr>
          <w:p w14:paraId="4C7D0AE4" w14:textId="77777777" w:rsidR="004B0883" w:rsidRDefault="004B0883">
            <w:pPr>
              <w:jc w:val="right"/>
              <w:rPr>
                <w:color w:val="000000"/>
              </w:rPr>
            </w:pPr>
            <w:r>
              <w:t>2.60%</w:t>
            </w:r>
          </w:p>
        </w:tc>
        <w:tc>
          <w:tcPr>
            <w:tcW w:w="602" w:type="pct"/>
            <w:vAlign w:val="center"/>
          </w:tcPr>
          <w:p w14:paraId="7417A012" w14:textId="77777777" w:rsidR="004B0883" w:rsidRDefault="004B0883">
            <w:pPr>
              <w:jc w:val="right"/>
              <w:rPr>
                <w:color w:val="000000"/>
              </w:rPr>
            </w:pPr>
            <w:r>
              <w:rPr>
                <w:color w:val="000000"/>
              </w:rPr>
              <w:t>4,000.00</w:t>
            </w:r>
          </w:p>
        </w:tc>
      </w:tr>
      <w:tr w:rsidR="004B0883" w14:paraId="22386012" w14:textId="77777777">
        <w:trPr>
          <w:trHeight w:val="397"/>
          <w:jc w:val="center"/>
        </w:trPr>
        <w:tc>
          <w:tcPr>
            <w:tcW w:w="366" w:type="pct"/>
            <w:vAlign w:val="center"/>
          </w:tcPr>
          <w:p w14:paraId="3AD341E8" w14:textId="77777777" w:rsidR="004B0883" w:rsidRDefault="004B0883">
            <w:pPr>
              <w:jc w:val="center"/>
              <w:rPr>
                <w:rFonts w:hint="eastAsia"/>
                <w:color w:val="000000"/>
                <w:kern w:val="0"/>
              </w:rPr>
            </w:pPr>
            <w:r>
              <w:rPr>
                <w:rFonts w:hint="eastAsia"/>
                <w:color w:val="000000"/>
                <w:kern w:val="0"/>
              </w:rPr>
              <w:t>2</w:t>
            </w:r>
            <w:r>
              <w:rPr>
                <w:color w:val="000000"/>
                <w:kern w:val="0"/>
              </w:rPr>
              <w:t>3</w:t>
            </w:r>
          </w:p>
        </w:tc>
        <w:tc>
          <w:tcPr>
            <w:tcW w:w="1610" w:type="pct"/>
            <w:vAlign w:val="center"/>
          </w:tcPr>
          <w:p w14:paraId="559442D6" w14:textId="77777777" w:rsidR="004B0883" w:rsidRDefault="004B0883">
            <w:pPr>
              <w:rPr>
                <w:rFonts w:hint="eastAsia"/>
              </w:rPr>
            </w:pPr>
            <w:r>
              <w:rPr>
                <w:rFonts w:hint="eastAsia"/>
              </w:rPr>
              <w:t>共赢慧信汇率挂钩人民币结构性存款</w:t>
            </w:r>
            <w:r>
              <w:rPr>
                <w:rFonts w:hint="eastAsia"/>
              </w:rPr>
              <w:t>00313</w:t>
            </w:r>
            <w:r>
              <w:rPr>
                <w:rFonts w:hint="eastAsia"/>
              </w:rPr>
              <w:t>期</w:t>
            </w:r>
          </w:p>
        </w:tc>
        <w:tc>
          <w:tcPr>
            <w:tcW w:w="914" w:type="pct"/>
            <w:vAlign w:val="center"/>
          </w:tcPr>
          <w:p w14:paraId="33D4F89D" w14:textId="77777777" w:rsidR="004B0883" w:rsidRDefault="004B0883">
            <w:pPr>
              <w:jc w:val="center"/>
              <w:rPr>
                <w:color w:val="000000"/>
              </w:rPr>
            </w:pPr>
            <w:r>
              <w:t>R1</w:t>
            </w:r>
            <w:r>
              <w:rPr>
                <w:rFonts w:hint="eastAsia"/>
              </w:rPr>
              <w:t>（谨慎型）</w:t>
            </w:r>
          </w:p>
        </w:tc>
        <w:tc>
          <w:tcPr>
            <w:tcW w:w="748" w:type="pct"/>
            <w:vAlign w:val="center"/>
          </w:tcPr>
          <w:p w14:paraId="0C5275F5" w14:textId="77777777" w:rsidR="004B0883" w:rsidRDefault="004B0883">
            <w:pPr>
              <w:jc w:val="center"/>
            </w:pPr>
            <w:r>
              <w:t>2023/9/23</w:t>
            </w:r>
          </w:p>
        </w:tc>
        <w:tc>
          <w:tcPr>
            <w:tcW w:w="760" w:type="pct"/>
            <w:vAlign w:val="center"/>
          </w:tcPr>
          <w:p w14:paraId="5283E017" w14:textId="77777777" w:rsidR="004B0883" w:rsidRDefault="004B0883">
            <w:pPr>
              <w:jc w:val="right"/>
              <w:rPr>
                <w:color w:val="000000"/>
              </w:rPr>
            </w:pPr>
            <w:r>
              <w:t>2.35%</w:t>
            </w:r>
          </w:p>
        </w:tc>
        <w:tc>
          <w:tcPr>
            <w:tcW w:w="602" w:type="pct"/>
            <w:vAlign w:val="center"/>
          </w:tcPr>
          <w:p w14:paraId="2838B304" w14:textId="77777777" w:rsidR="004B0883" w:rsidRDefault="004B0883">
            <w:pPr>
              <w:jc w:val="right"/>
              <w:rPr>
                <w:color w:val="000000"/>
              </w:rPr>
            </w:pPr>
            <w:r>
              <w:rPr>
                <w:color w:val="000000"/>
              </w:rPr>
              <w:t>4,000.00</w:t>
            </w:r>
          </w:p>
        </w:tc>
      </w:tr>
    </w:tbl>
    <w:p w14:paraId="67CA4E2E" w14:textId="77777777" w:rsidR="004B0883" w:rsidRDefault="004B0883">
      <w:pPr>
        <w:pStyle w:val="005"/>
        <w:spacing w:before="120"/>
        <w:ind w:firstLine="480"/>
      </w:pPr>
      <w:bookmarkStart w:id="333" w:name="_Hlk152283500"/>
      <w:r>
        <w:rPr>
          <w:rFonts w:hint="eastAsia"/>
        </w:rPr>
        <w:t>公司于</w:t>
      </w:r>
      <w:r>
        <w:rPr>
          <w:rFonts w:hint="eastAsia"/>
        </w:rPr>
        <w:t>2022</w:t>
      </w:r>
      <w:r>
        <w:rPr>
          <w:rFonts w:hint="eastAsia"/>
        </w:rPr>
        <w:t>年</w:t>
      </w:r>
      <w:r>
        <w:rPr>
          <w:rFonts w:hint="eastAsia"/>
        </w:rPr>
        <w:t>7</w:t>
      </w:r>
      <w:r>
        <w:rPr>
          <w:rFonts w:hint="eastAsia"/>
        </w:rPr>
        <w:t>月</w:t>
      </w:r>
      <w:r>
        <w:rPr>
          <w:rFonts w:hint="eastAsia"/>
        </w:rPr>
        <w:t>12</w:t>
      </w:r>
      <w:r>
        <w:rPr>
          <w:rFonts w:hint="eastAsia"/>
        </w:rPr>
        <w:t>日购买中信证券信信向荣</w:t>
      </w:r>
      <w:r>
        <w:rPr>
          <w:rFonts w:hint="eastAsia"/>
        </w:rPr>
        <w:t>1</w:t>
      </w:r>
      <w:r>
        <w:rPr>
          <w:rFonts w:hint="eastAsia"/>
        </w:rPr>
        <w:t>号集合资产管理计划</w:t>
      </w:r>
      <w:r>
        <w:rPr>
          <w:rFonts w:hint="eastAsia"/>
        </w:rPr>
        <w:t>1,000</w:t>
      </w:r>
      <w:r>
        <w:rPr>
          <w:rFonts w:hint="eastAsia"/>
        </w:rPr>
        <w:t>万元，该产品风险等级为</w:t>
      </w:r>
      <w:r>
        <w:rPr>
          <w:rFonts w:hint="eastAsia"/>
        </w:rPr>
        <w:t>R3</w:t>
      </w:r>
      <w:r>
        <w:rPr>
          <w:rFonts w:hint="eastAsia"/>
        </w:rPr>
        <w:t>（中风险），该产品于</w:t>
      </w:r>
      <w:r>
        <w:rPr>
          <w:rFonts w:hint="eastAsia"/>
        </w:rPr>
        <w:t>2023</w:t>
      </w:r>
      <w:r>
        <w:rPr>
          <w:rFonts w:hint="eastAsia"/>
        </w:rPr>
        <w:t>年</w:t>
      </w:r>
      <w:r>
        <w:rPr>
          <w:rFonts w:hint="eastAsia"/>
        </w:rPr>
        <w:t>7</w:t>
      </w:r>
      <w:r>
        <w:rPr>
          <w:rFonts w:hint="eastAsia"/>
        </w:rPr>
        <w:t>月</w:t>
      </w:r>
      <w:r>
        <w:rPr>
          <w:rFonts w:hint="eastAsia"/>
        </w:rPr>
        <w:t>11</w:t>
      </w:r>
      <w:r>
        <w:rPr>
          <w:rFonts w:hint="eastAsia"/>
        </w:rPr>
        <w:t>日到期后，公司未作任何操作。该产品于</w:t>
      </w:r>
      <w:r>
        <w:rPr>
          <w:rFonts w:hint="eastAsia"/>
        </w:rPr>
        <w:t>2023</w:t>
      </w:r>
      <w:r>
        <w:rPr>
          <w:rFonts w:hint="eastAsia"/>
        </w:rPr>
        <w:t>年</w:t>
      </w:r>
      <w:r>
        <w:rPr>
          <w:rFonts w:hint="eastAsia"/>
        </w:rPr>
        <w:t>7</w:t>
      </w:r>
      <w:r>
        <w:rPr>
          <w:rFonts w:hint="eastAsia"/>
        </w:rPr>
        <w:t>月</w:t>
      </w:r>
      <w:r>
        <w:rPr>
          <w:rFonts w:hint="eastAsia"/>
        </w:rPr>
        <w:t>12</w:t>
      </w:r>
      <w:r>
        <w:rPr>
          <w:rFonts w:hint="eastAsia"/>
        </w:rPr>
        <w:t>日自动滚存，不属于公司主动实施的购买行为。</w:t>
      </w:r>
    </w:p>
    <w:bookmarkEnd w:id="333"/>
    <w:p w14:paraId="57262B07" w14:textId="77777777" w:rsidR="004B0883" w:rsidRDefault="004B0883">
      <w:pPr>
        <w:pStyle w:val="004"/>
        <w:spacing w:before="120" w:after="120"/>
        <w:ind w:firstLine="480"/>
        <w:outlineLvl w:val="4"/>
        <w:rPr>
          <w:b w:val="0"/>
          <w:bCs w:val="0"/>
        </w:rPr>
      </w:pPr>
      <w:r>
        <w:rPr>
          <w:rFonts w:hint="eastAsia"/>
          <w:b w:val="0"/>
          <w:bCs w:val="0"/>
        </w:rPr>
        <w:t>（</w:t>
      </w:r>
      <w:r>
        <w:rPr>
          <w:rFonts w:hint="eastAsia"/>
          <w:b w:val="0"/>
          <w:bCs w:val="0"/>
        </w:rPr>
        <w:t>7</w:t>
      </w:r>
      <w:r>
        <w:rPr>
          <w:rFonts w:hint="eastAsia"/>
          <w:b w:val="0"/>
          <w:bCs w:val="0"/>
        </w:rPr>
        <w:t>）非金融企业投资金融业务</w:t>
      </w:r>
    </w:p>
    <w:p w14:paraId="6E4D9018" w14:textId="77777777" w:rsidR="004B0883" w:rsidRDefault="004B0883">
      <w:pPr>
        <w:pStyle w:val="005"/>
        <w:spacing w:before="120"/>
        <w:ind w:firstLine="480"/>
      </w:pPr>
      <w:r>
        <w:rPr>
          <w:rFonts w:hint="eastAsia"/>
        </w:rPr>
        <w:t>本次发行相关董事会决议日前六个月起至本募集说明书签署日，公司不存在投资金融业务的情况。</w:t>
      </w:r>
    </w:p>
    <w:p w14:paraId="309DDFC8" w14:textId="77777777" w:rsidR="004B0883" w:rsidRDefault="004B0883">
      <w:pPr>
        <w:pStyle w:val="004"/>
        <w:spacing w:before="120" w:after="120"/>
        <w:ind w:firstLine="480"/>
        <w:outlineLvl w:val="4"/>
        <w:rPr>
          <w:b w:val="0"/>
          <w:bCs w:val="0"/>
        </w:rPr>
      </w:pPr>
      <w:r>
        <w:rPr>
          <w:rFonts w:hint="eastAsia"/>
          <w:b w:val="0"/>
          <w:bCs w:val="0"/>
        </w:rPr>
        <w:t>（</w:t>
      </w:r>
      <w:r>
        <w:rPr>
          <w:rFonts w:hint="eastAsia"/>
          <w:b w:val="0"/>
          <w:bCs w:val="0"/>
        </w:rPr>
        <w:t>8</w:t>
      </w:r>
      <w:r>
        <w:rPr>
          <w:rFonts w:hint="eastAsia"/>
          <w:b w:val="0"/>
          <w:bCs w:val="0"/>
        </w:rPr>
        <w:t>）拟实施的财务性投资的具体情况</w:t>
      </w:r>
    </w:p>
    <w:p w14:paraId="339EC743" w14:textId="77777777" w:rsidR="004B0883" w:rsidRDefault="004B0883">
      <w:pPr>
        <w:pStyle w:val="005"/>
        <w:spacing w:before="120"/>
        <w:ind w:firstLine="480"/>
      </w:pPr>
      <w:r>
        <w:rPr>
          <w:rFonts w:hint="eastAsia"/>
        </w:rPr>
        <w:t>截至本募集说明书签署日，公司不存在拟实施财务性投资的相关安排。</w:t>
      </w:r>
    </w:p>
    <w:p w14:paraId="6D4F1361" w14:textId="77777777" w:rsidR="004B0883" w:rsidRDefault="004B0883">
      <w:pPr>
        <w:widowControl w:val="0"/>
        <w:spacing w:beforeLines="50" w:before="120" w:line="360" w:lineRule="auto"/>
        <w:ind w:firstLineChars="200" w:firstLine="480"/>
        <w:jc w:val="both"/>
        <w:rPr>
          <w:sz w:val="24"/>
          <w:szCs w:val="22"/>
        </w:rPr>
      </w:pPr>
      <w:bookmarkStart w:id="334" w:name="_Hlk152283903"/>
      <w:bookmarkEnd w:id="328"/>
      <w:r>
        <w:rPr>
          <w:rFonts w:hint="eastAsia"/>
          <w:sz w:val="24"/>
          <w:szCs w:val="22"/>
        </w:rPr>
        <w:t>综上所述，自本次发行相关董事会决议日前六个月起至本募集说明书签署日，公司不存在实施财务性投资的情形。</w:t>
      </w:r>
    </w:p>
    <w:bookmarkEnd w:id="329"/>
    <w:bookmarkEnd w:id="331"/>
    <w:bookmarkEnd w:id="334"/>
    <w:p w14:paraId="0DA7595E" w14:textId="77777777" w:rsidR="004B0883" w:rsidRDefault="004B0883">
      <w:pPr>
        <w:keepNext/>
        <w:keepLines/>
        <w:widowControl w:val="0"/>
        <w:spacing w:beforeLines="50" w:before="120" w:line="360" w:lineRule="auto"/>
        <w:ind w:firstLineChars="200" w:firstLine="482"/>
        <w:jc w:val="both"/>
        <w:outlineLvl w:val="3"/>
        <w:rPr>
          <w:b/>
          <w:bCs/>
          <w:sz w:val="24"/>
          <w:szCs w:val="28"/>
        </w:rPr>
      </w:pPr>
      <w:r>
        <w:rPr>
          <w:b/>
          <w:bCs/>
          <w:sz w:val="24"/>
          <w:szCs w:val="28"/>
        </w:rPr>
        <w:t>3</w:t>
      </w:r>
      <w:r>
        <w:rPr>
          <w:rFonts w:hint="eastAsia"/>
          <w:b/>
          <w:bCs/>
          <w:sz w:val="24"/>
          <w:szCs w:val="28"/>
        </w:rPr>
        <w:t>、</w:t>
      </w:r>
      <w:bookmarkStart w:id="335" w:name="_Hlk122515547"/>
      <w:r>
        <w:rPr>
          <w:rFonts w:hint="eastAsia"/>
          <w:b/>
          <w:bCs/>
          <w:sz w:val="24"/>
          <w:szCs w:val="28"/>
        </w:rPr>
        <w:t>公司是否存在最近一期末持有金额较大、期限较长的交易性金融资产和可供出售的金融资产、借予他人款项、委托理财等财务性投资的情形</w:t>
      </w:r>
      <w:bookmarkEnd w:id="335"/>
    </w:p>
    <w:p w14:paraId="681C18A1" w14:textId="77777777" w:rsidR="004B0883" w:rsidRDefault="004B0883">
      <w:pPr>
        <w:widowControl w:val="0"/>
        <w:spacing w:beforeLines="50" w:before="120" w:line="360" w:lineRule="auto"/>
        <w:ind w:firstLineChars="200" w:firstLine="480"/>
        <w:jc w:val="both"/>
        <w:rPr>
          <w:sz w:val="24"/>
          <w:szCs w:val="22"/>
        </w:rPr>
      </w:pPr>
      <w:bookmarkStart w:id="336" w:name="_Hlk85723560"/>
      <w:bookmarkStart w:id="337" w:name="_Hlk122515567"/>
      <w:r>
        <w:rPr>
          <w:rFonts w:hint="eastAsia"/>
          <w:sz w:val="24"/>
          <w:szCs w:val="22"/>
        </w:rPr>
        <w:t>截至</w:t>
      </w:r>
      <w:r>
        <w:rPr>
          <w:sz w:val="24"/>
          <w:szCs w:val="22"/>
        </w:rPr>
        <w:t>2023</w:t>
      </w:r>
      <w:r>
        <w:rPr>
          <w:rFonts w:hint="eastAsia"/>
          <w:sz w:val="24"/>
          <w:szCs w:val="22"/>
        </w:rPr>
        <w:t>年</w:t>
      </w:r>
      <w:r>
        <w:rPr>
          <w:rFonts w:hint="eastAsia"/>
          <w:sz w:val="24"/>
          <w:szCs w:val="22"/>
        </w:rPr>
        <w:t>9</w:t>
      </w:r>
      <w:r>
        <w:rPr>
          <w:rFonts w:hint="eastAsia"/>
          <w:sz w:val="24"/>
          <w:szCs w:val="22"/>
        </w:rPr>
        <w:t>月</w:t>
      </w:r>
      <w:r>
        <w:rPr>
          <w:sz w:val="24"/>
          <w:szCs w:val="22"/>
        </w:rPr>
        <w:t>30</w:t>
      </w:r>
      <w:r>
        <w:rPr>
          <w:rFonts w:hint="eastAsia"/>
          <w:sz w:val="24"/>
          <w:szCs w:val="22"/>
        </w:rPr>
        <w:t>日，公司财务报表中可能涉及财务性投资（包括类金融投资）的报表项目列示分析如下：</w:t>
      </w:r>
    </w:p>
    <w:p w14:paraId="18E9BC25" w14:textId="77777777" w:rsidR="004B0883" w:rsidRDefault="004B0883">
      <w:pPr>
        <w:pStyle w:val="009"/>
      </w:pPr>
      <w:r>
        <w:rPr>
          <w:rFonts w:hint="eastAsia"/>
        </w:rP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24"/>
        <w:gridCol w:w="2898"/>
        <w:gridCol w:w="2229"/>
        <w:gridCol w:w="2229"/>
      </w:tblGrid>
      <w:tr w:rsidR="004B0883" w14:paraId="2217F984" w14:textId="77777777">
        <w:trPr>
          <w:trHeight w:val="397"/>
          <w:tblHeader/>
          <w:jc w:val="center"/>
        </w:trPr>
        <w:tc>
          <w:tcPr>
            <w:tcW w:w="558" w:type="pct"/>
            <w:shd w:val="clear" w:color="auto" w:fill="D9D9D9"/>
            <w:vAlign w:val="center"/>
          </w:tcPr>
          <w:p w14:paraId="59E3A13F" w14:textId="77777777" w:rsidR="004B0883" w:rsidRDefault="004B0883">
            <w:pPr>
              <w:adjustRightInd w:val="0"/>
              <w:snapToGrid w:val="0"/>
              <w:rPr>
                <w:b/>
                <w:bCs/>
                <w:color w:val="000000"/>
                <w:kern w:val="0"/>
              </w:rPr>
            </w:pPr>
            <w:r>
              <w:rPr>
                <w:b/>
                <w:bCs/>
                <w:color w:val="000000"/>
                <w:kern w:val="0"/>
              </w:rPr>
              <w:t>序号</w:t>
            </w:r>
          </w:p>
        </w:tc>
        <w:tc>
          <w:tcPr>
            <w:tcW w:w="1750" w:type="pct"/>
            <w:shd w:val="clear" w:color="auto" w:fill="D9D9D9"/>
            <w:vAlign w:val="center"/>
          </w:tcPr>
          <w:p w14:paraId="0CADC482" w14:textId="77777777" w:rsidR="004B0883" w:rsidRDefault="004B0883">
            <w:pPr>
              <w:adjustRightInd w:val="0"/>
              <w:snapToGrid w:val="0"/>
              <w:jc w:val="center"/>
              <w:rPr>
                <w:b/>
                <w:bCs/>
                <w:color w:val="000000"/>
                <w:kern w:val="0"/>
              </w:rPr>
            </w:pPr>
            <w:r>
              <w:rPr>
                <w:b/>
                <w:bCs/>
                <w:color w:val="000000"/>
                <w:kern w:val="0"/>
              </w:rPr>
              <w:t>项目</w:t>
            </w:r>
          </w:p>
        </w:tc>
        <w:tc>
          <w:tcPr>
            <w:tcW w:w="1346" w:type="pct"/>
            <w:shd w:val="clear" w:color="auto" w:fill="D9D9D9"/>
            <w:vAlign w:val="center"/>
          </w:tcPr>
          <w:p w14:paraId="015861CF" w14:textId="77777777" w:rsidR="004B0883" w:rsidRDefault="004B0883">
            <w:pPr>
              <w:adjustRightInd w:val="0"/>
              <w:snapToGrid w:val="0"/>
              <w:jc w:val="center"/>
              <w:rPr>
                <w:b/>
                <w:bCs/>
                <w:color w:val="000000"/>
                <w:kern w:val="0"/>
              </w:rPr>
            </w:pPr>
            <w:r>
              <w:rPr>
                <w:b/>
                <w:bCs/>
                <w:color w:val="000000"/>
                <w:kern w:val="0"/>
              </w:rPr>
              <w:t>账面价值</w:t>
            </w:r>
          </w:p>
        </w:tc>
        <w:tc>
          <w:tcPr>
            <w:tcW w:w="1346" w:type="pct"/>
            <w:shd w:val="clear" w:color="auto" w:fill="D9D9D9"/>
            <w:vAlign w:val="center"/>
          </w:tcPr>
          <w:p w14:paraId="36ACE69E" w14:textId="77777777" w:rsidR="004B0883" w:rsidRDefault="004B0883">
            <w:pPr>
              <w:adjustRightInd w:val="0"/>
              <w:snapToGrid w:val="0"/>
              <w:jc w:val="center"/>
              <w:rPr>
                <w:b/>
                <w:bCs/>
                <w:color w:val="000000"/>
                <w:kern w:val="0"/>
              </w:rPr>
            </w:pPr>
            <w:r>
              <w:rPr>
                <w:b/>
                <w:bCs/>
                <w:color w:val="000000"/>
                <w:kern w:val="0"/>
              </w:rPr>
              <w:t>财务性投资金额</w:t>
            </w:r>
          </w:p>
        </w:tc>
      </w:tr>
      <w:tr w:rsidR="004B0883" w14:paraId="5C0A6E8D" w14:textId="77777777">
        <w:trPr>
          <w:trHeight w:val="397"/>
          <w:jc w:val="center"/>
        </w:trPr>
        <w:tc>
          <w:tcPr>
            <w:tcW w:w="558" w:type="pct"/>
            <w:vAlign w:val="center"/>
          </w:tcPr>
          <w:p w14:paraId="0CCC1226" w14:textId="77777777" w:rsidR="004B0883" w:rsidRDefault="004B0883">
            <w:pPr>
              <w:adjustRightInd w:val="0"/>
              <w:snapToGrid w:val="0"/>
              <w:jc w:val="center"/>
              <w:rPr>
                <w:color w:val="000000"/>
                <w:kern w:val="0"/>
              </w:rPr>
            </w:pPr>
            <w:r>
              <w:rPr>
                <w:color w:val="000000"/>
                <w:kern w:val="0"/>
              </w:rPr>
              <w:t>1</w:t>
            </w:r>
          </w:p>
        </w:tc>
        <w:tc>
          <w:tcPr>
            <w:tcW w:w="1750" w:type="pct"/>
            <w:vAlign w:val="center"/>
          </w:tcPr>
          <w:p w14:paraId="0BE10371" w14:textId="77777777" w:rsidR="004B0883" w:rsidRDefault="004B0883">
            <w:pPr>
              <w:adjustRightInd w:val="0"/>
              <w:snapToGrid w:val="0"/>
              <w:rPr>
                <w:color w:val="000000"/>
                <w:kern w:val="0"/>
              </w:rPr>
            </w:pPr>
            <w:r>
              <w:rPr>
                <w:kern w:val="0"/>
              </w:rPr>
              <w:t>交易性金融资产</w:t>
            </w:r>
          </w:p>
        </w:tc>
        <w:tc>
          <w:tcPr>
            <w:tcW w:w="1346" w:type="pct"/>
            <w:vAlign w:val="center"/>
          </w:tcPr>
          <w:p w14:paraId="524DAC0A" w14:textId="77777777" w:rsidR="004B0883" w:rsidRDefault="004B0883">
            <w:pPr>
              <w:adjustRightInd w:val="0"/>
              <w:snapToGrid w:val="0"/>
              <w:jc w:val="right"/>
              <w:rPr>
                <w:color w:val="000000"/>
                <w:kern w:val="0"/>
              </w:rPr>
            </w:pPr>
            <w:r>
              <w:rPr>
                <w:color w:val="000000"/>
                <w:kern w:val="0"/>
              </w:rPr>
              <w:t>39,822.11</w:t>
            </w:r>
          </w:p>
        </w:tc>
        <w:tc>
          <w:tcPr>
            <w:tcW w:w="1346" w:type="pct"/>
            <w:vAlign w:val="center"/>
          </w:tcPr>
          <w:p w14:paraId="08CDD8FF" w14:textId="77777777" w:rsidR="004B0883" w:rsidRDefault="004B0883">
            <w:pPr>
              <w:adjustRightInd w:val="0"/>
              <w:snapToGrid w:val="0"/>
              <w:jc w:val="right"/>
              <w:rPr>
                <w:color w:val="000000"/>
              </w:rPr>
            </w:pPr>
            <w:r>
              <w:rPr>
                <w:color w:val="000000"/>
              </w:rPr>
              <w:t>11,138.97</w:t>
            </w:r>
          </w:p>
        </w:tc>
      </w:tr>
      <w:tr w:rsidR="004B0883" w14:paraId="320B7853" w14:textId="77777777">
        <w:trPr>
          <w:trHeight w:val="397"/>
          <w:jc w:val="center"/>
        </w:trPr>
        <w:tc>
          <w:tcPr>
            <w:tcW w:w="558" w:type="pct"/>
            <w:vAlign w:val="center"/>
          </w:tcPr>
          <w:p w14:paraId="173FEEBE" w14:textId="77777777" w:rsidR="004B0883" w:rsidRDefault="004B0883">
            <w:pPr>
              <w:adjustRightInd w:val="0"/>
              <w:snapToGrid w:val="0"/>
              <w:jc w:val="center"/>
              <w:rPr>
                <w:color w:val="000000"/>
                <w:kern w:val="0"/>
              </w:rPr>
            </w:pPr>
            <w:r>
              <w:rPr>
                <w:color w:val="000000"/>
                <w:kern w:val="0"/>
              </w:rPr>
              <w:t>2</w:t>
            </w:r>
          </w:p>
        </w:tc>
        <w:tc>
          <w:tcPr>
            <w:tcW w:w="1750" w:type="pct"/>
            <w:vAlign w:val="center"/>
          </w:tcPr>
          <w:p w14:paraId="0AB6A87F" w14:textId="77777777" w:rsidR="004B0883" w:rsidRDefault="004B0883">
            <w:pPr>
              <w:adjustRightInd w:val="0"/>
              <w:snapToGrid w:val="0"/>
              <w:rPr>
                <w:kern w:val="0"/>
              </w:rPr>
            </w:pPr>
            <w:r>
              <w:rPr>
                <w:kern w:val="0"/>
              </w:rPr>
              <w:t>其他应收款</w:t>
            </w:r>
          </w:p>
        </w:tc>
        <w:tc>
          <w:tcPr>
            <w:tcW w:w="1346" w:type="pct"/>
            <w:vAlign w:val="center"/>
          </w:tcPr>
          <w:p w14:paraId="1C6ACFD4" w14:textId="77777777" w:rsidR="004B0883" w:rsidRDefault="004B0883">
            <w:pPr>
              <w:adjustRightInd w:val="0"/>
              <w:snapToGrid w:val="0"/>
              <w:jc w:val="right"/>
              <w:rPr>
                <w:kern w:val="0"/>
              </w:rPr>
            </w:pPr>
            <w:bookmarkStart w:id="338" w:name="_Hlk150342880"/>
            <w:r>
              <w:rPr>
                <w:kern w:val="0"/>
              </w:rPr>
              <w:t>645.46</w:t>
            </w:r>
            <w:bookmarkEnd w:id="338"/>
          </w:p>
        </w:tc>
        <w:tc>
          <w:tcPr>
            <w:tcW w:w="1346" w:type="pct"/>
            <w:vAlign w:val="center"/>
          </w:tcPr>
          <w:p w14:paraId="48B3BAA0" w14:textId="77777777" w:rsidR="004B0883" w:rsidRDefault="004B0883">
            <w:pPr>
              <w:adjustRightInd w:val="0"/>
              <w:snapToGrid w:val="0"/>
              <w:jc w:val="right"/>
              <w:rPr>
                <w:kern w:val="0"/>
              </w:rPr>
            </w:pPr>
            <w:r>
              <w:rPr>
                <w:rFonts w:eastAsia="仿宋_GB2312"/>
                <w:color w:val="000000"/>
              </w:rPr>
              <w:t>-</w:t>
            </w:r>
          </w:p>
        </w:tc>
      </w:tr>
      <w:tr w:rsidR="004B0883" w14:paraId="3C1A7A7A" w14:textId="77777777">
        <w:trPr>
          <w:trHeight w:val="397"/>
          <w:jc w:val="center"/>
        </w:trPr>
        <w:tc>
          <w:tcPr>
            <w:tcW w:w="558" w:type="pct"/>
            <w:vAlign w:val="center"/>
          </w:tcPr>
          <w:p w14:paraId="7D13C6B7" w14:textId="77777777" w:rsidR="004B0883" w:rsidRDefault="004B0883">
            <w:pPr>
              <w:adjustRightInd w:val="0"/>
              <w:snapToGrid w:val="0"/>
              <w:jc w:val="center"/>
              <w:rPr>
                <w:color w:val="000000"/>
                <w:kern w:val="0"/>
              </w:rPr>
            </w:pPr>
            <w:r>
              <w:rPr>
                <w:color w:val="000000"/>
                <w:kern w:val="0"/>
              </w:rPr>
              <w:t>3</w:t>
            </w:r>
          </w:p>
        </w:tc>
        <w:tc>
          <w:tcPr>
            <w:tcW w:w="1750" w:type="pct"/>
            <w:vAlign w:val="center"/>
          </w:tcPr>
          <w:p w14:paraId="7ABB4E04" w14:textId="77777777" w:rsidR="004B0883" w:rsidRDefault="004B0883">
            <w:pPr>
              <w:adjustRightInd w:val="0"/>
              <w:snapToGrid w:val="0"/>
              <w:rPr>
                <w:kern w:val="0"/>
              </w:rPr>
            </w:pPr>
            <w:r>
              <w:rPr>
                <w:kern w:val="0"/>
              </w:rPr>
              <w:t>其他流动资产</w:t>
            </w:r>
          </w:p>
        </w:tc>
        <w:tc>
          <w:tcPr>
            <w:tcW w:w="1346" w:type="pct"/>
            <w:vAlign w:val="center"/>
          </w:tcPr>
          <w:p w14:paraId="7EACF340" w14:textId="77777777" w:rsidR="004B0883" w:rsidRDefault="004B0883">
            <w:pPr>
              <w:adjustRightInd w:val="0"/>
              <w:snapToGrid w:val="0"/>
              <w:jc w:val="right"/>
              <w:rPr>
                <w:kern w:val="0"/>
              </w:rPr>
            </w:pPr>
            <w:r>
              <w:rPr>
                <w:kern w:val="0"/>
              </w:rPr>
              <w:t>3,238.40</w:t>
            </w:r>
          </w:p>
        </w:tc>
        <w:tc>
          <w:tcPr>
            <w:tcW w:w="1346" w:type="pct"/>
            <w:vAlign w:val="center"/>
          </w:tcPr>
          <w:p w14:paraId="4BFCCB92" w14:textId="77777777" w:rsidR="004B0883" w:rsidRDefault="004B0883">
            <w:pPr>
              <w:adjustRightInd w:val="0"/>
              <w:snapToGrid w:val="0"/>
              <w:jc w:val="right"/>
              <w:rPr>
                <w:kern w:val="0"/>
              </w:rPr>
            </w:pPr>
            <w:r>
              <w:rPr>
                <w:rFonts w:eastAsia="仿宋_GB2312"/>
                <w:color w:val="000000"/>
              </w:rPr>
              <w:t>-</w:t>
            </w:r>
          </w:p>
        </w:tc>
      </w:tr>
      <w:tr w:rsidR="004B0883" w14:paraId="2E801D8F" w14:textId="77777777">
        <w:trPr>
          <w:trHeight w:val="397"/>
          <w:jc w:val="center"/>
        </w:trPr>
        <w:tc>
          <w:tcPr>
            <w:tcW w:w="558" w:type="pct"/>
            <w:vAlign w:val="center"/>
          </w:tcPr>
          <w:p w14:paraId="5ED97D60" w14:textId="77777777" w:rsidR="004B0883" w:rsidRDefault="004B0883">
            <w:pPr>
              <w:adjustRightInd w:val="0"/>
              <w:snapToGrid w:val="0"/>
              <w:jc w:val="center"/>
              <w:rPr>
                <w:color w:val="000000"/>
                <w:kern w:val="0"/>
              </w:rPr>
            </w:pPr>
            <w:r>
              <w:rPr>
                <w:color w:val="000000"/>
                <w:kern w:val="0"/>
              </w:rPr>
              <w:t>4</w:t>
            </w:r>
          </w:p>
        </w:tc>
        <w:tc>
          <w:tcPr>
            <w:tcW w:w="1750" w:type="pct"/>
            <w:vAlign w:val="center"/>
          </w:tcPr>
          <w:p w14:paraId="58ABAAA8" w14:textId="77777777" w:rsidR="004B0883" w:rsidRDefault="004B0883">
            <w:pPr>
              <w:adjustRightInd w:val="0"/>
              <w:snapToGrid w:val="0"/>
              <w:rPr>
                <w:kern w:val="0"/>
              </w:rPr>
            </w:pPr>
            <w:r>
              <w:rPr>
                <w:rFonts w:hint="eastAsia"/>
                <w:kern w:val="0"/>
              </w:rPr>
              <w:t>债权投资</w:t>
            </w:r>
          </w:p>
        </w:tc>
        <w:tc>
          <w:tcPr>
            <w:tcW w:w="1346" w:type="pct"/>
            <w:vAlign w:val="center"/>
          </w:tcPr>
          <w:p w14:paraId="4CBEE69E" w14:textId="77777777" w:rsidR="004B0883" w:rsidRDefault="004B0883">
            <w:pPr>
              <w:adjustRightInd w:val="0"/>
              <w:snapToGrid w:val="0"/>
              <w:jc w:val="right"/>
              <w:rPr>
                <w:rFonts w:hint="eastAsia"/>
                <w:color w:val="000000"/>
              </w:rPr>
            </w:pPr>
            <w:r>
              <w:rPr>
                <w:color w:val="000000"/>
                <w:kern w:val="0"/>
              </w:rPr>
              <w:t>1,033.23</w:t>
            </w:r>
          </w:p>
        </w:tc>
        <w:tc>
          <w:tcPr>
            <w:tcW w:w="1346" w:type="pct"/>
            <w:vAlign w:val="center"/>
          </w:tcPr>
          <w:p w14:paraId="52A21157" w14:textId="77777777" w:rsidR="004B0883" w:rsidRDefault="004B0883">
            <w:pPr>
              <w:adjustRightInd w:val="0"/>
              <w:snapToGrid w:val="0"/>
              <w:jc w:val="right"/>
              <w:rPr>
                <w:color w:val="000000"/>
              </w:rPr>
            </w:pPr>
            <w:r>
              <w:rPr>
                <w:rFonts w:eastAsia="仿宋_GB2312"/>
                <w:color w:val="000000"/>
              </w:rPr>
              <w:t>-</w:t>
            </w:r>
          </w:p>
        </w:tc>
      </w:tr>
      <w:tr w:rsidR="004B0883" w14:paraId="1362A353" w14:textId="77777777">
        <w:trPr>
          <w:trHeight w:val="397"/>
          <w:jc w:val="center"/>
        </w:trPr>
        <w:tc>
          <w:tcPr>
            <w:tcW w:w="558" w:type="pct"/>
            <w:vAlign w:val="center"/>
          </w:tcPr>
          <w:p w14:paraId="03FAC075" w14:textId="77777777" w:rsidR="004B0883" w:rsidRDefault="004B0883">
            <w:pPr>
              <w:adjustRightInd w:val="0"/>
              <w:snapToGrid w:val="0"/>
              <w:jc w:val="center"/>
              <w:rPr>
                <w:color w:val="000000"/>
                <w:kern w:val="0"/>
              </w:rPr>
            </w:pPr>
            <w:r>
              <w:rPr>
                <w:color w:val="000000"/>
                <w:kern w:val="0"/>
              </w:rPr>
              <w:t>5</w:t>
            </w:r>
          </w:p>
        </w:tc>
        <w:tc>
          <w:tcPr>
            <w:tcW w:w="1750" w:type="pct"/>
            <w:vAlign w:val="center"/>
          </w:tcPr>
          <w:p w14:paraId="45B6033F" w14:textId="77777777" w:rsidR="004B0883" w:rsidRDefault="004B0883">
            <w:pPr>
              <w:adjustRightInd w:val="0"/>
              <w:snapToGrid w:val="0"/>
              <w:rPr>
                <w:color w:val="000000"/>
                <w:kern w:val="0"/>
              </w:rPr>
            </w:pPr>
            <w:r>
              <w:rPr>
                <w:kern w:val="0"/>
              </w:rPr>
              <w:t>其他权益工具投资</w:t>
            </w:r>
          </w:p>
        </w:tc>
        <w:tc>
          <w:tcPr>
            <w:tcW w:w="1346" w:type="pct"/>
            <w:vAlign w:val="center"/>
          </w:tcPr>
          <w:p w14:paraId="72A7714F" w14:textId="77777777" w:rsidR="004B0883" w:rsidRDefault="004B0883">
            <w:pPr>
              <w:adjustRightInd w:val="0"/>
              <w:snapToGrid w:val="0"/>
              <w:jc w:val="right"/>
              <w:rPr>
                <w:color w:val="000000"/>
              </w:rPr>
            </w:pPr>
            <w:r>
              <w:rPr>
                <w:rFonts w:hint="eastAsia"/>
                <w:color w:val="000000"/>
              </w:rPr>
              <w:t>0.0</w:t>
            </w:r>
            <w:r>
              <w:rPr>
                <w:color w:val="000000"/>
              </w:rPr>
              <w:t>0</w:t>
            </w:r>
          </w:p>
        </w:tc>
        <w:tc>
          <w:tcPr>
            <w:tcW w:w="1346" w:type="pct"/>
            <w:vAlign w:val="center"/>
          </w:tcPr>
          <w:p w14:paraId="1CB2D358" w14:textId="77777777" w:rsidR="004B0883" w:rsidRDefault="004B0883">
            <w:pPr>
              <w:adjustRightInd w:val="0"/>
              <w:snapToGrid w:val="0"/>
              <w:jc w:val="right"/>
              <w:rPr>
                <w:color w:val="000000"/>
              </w:rPr>
            </w:pPr>
            <w:r>
              <w:rPr>
                <w:rFonts w:eastAsia="仿宋_GB2312"/>
                <w:color w:val="000000"/>
              </w:rPr>
              <w:t>-</w:t>
            </w:r>
          </w:p>
        </w:tc>
      </w:tr>
      <w:tr w:rsidR="004B0883" w14:paraId="1D5C9D8F" w14:textId="77777777">
        <w:trPr>
          <w:trHeight w:val="397"/>
          <w:jc w:val="center"/>
        </w:trPr>
        <w:tc>
          <w:tcPr>
            <w:tcW w:w="558" w:type="pct"/>
            <w:vAlign w:val="center"/>
          </w:tcPr>
          <w:p w14:paraId="4A205E26" w14:textId="77777777" w:rsidR="004B0883" w:rsidRDefault="004B0883">
            <w:pPr>
              <w:adjustRightInd w:val="0"/>
              <w:snapToGrid w:val="0"/>
              <w:jc w:val="center"/>
              <w:rPr>
                <w:color w:val="000000"/>
                <w:kern w:val="0"/>
              </w:rPr>
            </w:pPr>
            <w:r>
              <w:rPr>
                <w:color w:val="000000"/>
                <w:kern w:val="0"/>
              </w:rPr>
              <w:t>6</w:t>
            </w:r>
          </w:p>
        </w:tc>
        <w:tc>
          <w:tcPr>
            <w:tcW w:w="1750" w:type="pct"/>
            <w:vAlign w:val="center"/>
          </w:tcPr>
          <w:p w14:paraId="56C8BE15" w14:textId="77777777" w:rsidR="004B0883" w:rsidRDefault="004B0883">
            <w:pPr>
              <w:adjustRightInd w:val="0"/>
              <w:snapToGrid w:val="0"/>
              <w:rPr>
                <w:color w:val="000000"/>
                <w:kern w:val="0"/>
              </w:rPr>
            </w:pPr>
            <w:r>
              <w:rPr>
                <w:kern w:val="0"/>
              </w:rPr>
              <w:t>其他非流动金融资产</w:t>
            </w:r>
          </w:p>
        </w:tc>
        <w:tc>
          <w:tcPr>
            <w:tcW w:w="1346" w:type="pct"/>
            <w:vAlign w:val="center"/>
          </w:tcPr>
          <w:p w14:paraId="6E310325" w14:textId="77777777" w:rsidR="004B0883" w:rsidRDefault="004B0883">
            <w:pPr>
              <w:adjustRightInd w:val="0"/>
              <w:snapToGrid w:val="0"/>
              <w:jc w:val="right"/>
              <w:rPr>
                <w:color w:val="000000"/>
              </w:rPr>
            </w:pPr>
            <w:r>
              <w:rPr>
                <w:rFonts w:hint="eastAsia"/>
                <w:color w:val="000000"/>
              </w:rPr>
              <w:t>0</w:t>
            </w:r>
            <w:r>
              <w:rPr>
                <w:color w:val="000000"/>
              </w:rPr>
              <w:t>.00</w:t>
            </w:r>
          </w:p>
        </w:tc>
        <w:tc>
          <w:tcPr>
            <w:tcW w:w="1346" w:type="pct"/>
            <w:vAlign w:val="center"/>
          </w:tcPr>
          <w:p w14:paraId="69528246" w14:textId="77777777" w:rsidR="004B0883" w:rsidRDefault="004B0883">
            <w:pPr>
              <w:adjustRightInd w:val="0"/>
              <w:snapToGrid w:val="0"/>
              <w:jc w:val="right"/>
              <w:rPr>
                <w:color w:val="000000"/>
              </w:rPr>
            </w:pPr>
            <w:r>
              <w:rPr>
                <w:rFonts w:eastAsia="仿宋_GB2312"/>
                <w:color w:val="000000"/>
              </w:rPr>
              <w:t>-</w:t>
            </w:r>
          </w:p>
        </w:tc>
      </w:tr>
      <w:tr w:rsidR="004B0883" w14:paraId="2A25FA8B" w14:textId="77777777">
        <w:trPr>
          <w:trHeight w:val="397"/>
          <w:jc w:val="center"/>
        </w:trPr>
        <w:tc>
          <w:tcPr>
            <w:tcW w:w="558" w:type="pct"/>
            <w:vAlign w:val="center"/>
          </w:tcPr>
          <w:p w14:paraId="05154088" w14:textId="77777777" w:rsidR="004B0883" w:rsidRDefault="004B0883">
            <w:pPr>
              <w:adjustRightInd w:val="0"/>
              <w:snapToGrid w:val="0"/>
              <w:jc w:val="center"/>
              <w:rPr>
                <w:color w:val="000000"/>
                <w:kern w:val="0"/>
              </w:rPr>
            </w:pPr>
            <w:r>
              <w:rPr>
                <w:color w:val="000000"/>
                <w:kern w:val="0"/>
              </w:rPr>
              <w:t>7</w:t>
            </w:r>
          </w:p>
        </w:tc>
        <w:tc>
          <w:tcPr>
            <w:tcW w:w="1750" w:type="pct"/>
            <w:vAlign w:val="center"/>
          </w:tcPr>
          <w:p w14:paraId="1B59631F" w14:textId="77777777" w:rsidR="004B0883" w:rsidRDefault="004B0883">
            <w:pPr>
              <w:adjustRightInd w:val="0"/>
              <w:snapToGrid w:val="0"/>
              <w:rPr>
                <w:color w:val="000000"/>
                <w:kern w:val="0"/>
              </w:rPr>
            </w:pPr>
            <w:r>
              <w:rPr>
                <w:kern w:val="0"/>
              </w:rPr>
              <w:t>长期股权投资</w:t>
            </w:r>
          </w:p>
        </w:tc>
        <w:tc>
          <w:tcPr>
            <w:tcW w:w="1346" w:type="pct"/>
            <w:vAlign w:val="center"/>
          </w:tcPr>
          <w:p w14:paraId="4F3C5B33" w14:textId="77777777" w:rsidR="004B0883" w:rsidRDefault="004B0883">
            <w:pPr>
              <w:adjustRightInd w:val="0"/>
              <w:snapToGrid w:val="0"/>
              <w:jc w:val="right"/>
              <w:rPr>
                <w:color w:val="000000"/>
              </w:rPr>
            </w:pPr>
            <w:r>
              <w:rPr>
                <w:rFonts w:hint="eastAsia"/>
                <w:color w:val="000000"/>
              </w:rPr>
              <w:t>0</w:t>
            </w:r>
            <w:r>
              <w:rPr>
                <w:color w:val="000000"/>
              </w:rPr>
              <w:t>.00</w:t>
            </w:r>
          </w:p>
        </w:tc>
        <w:tc>
          <w:tcPr>
            <w:tcW w:w="1346" w:type="pct"/>
            <w:vAlign w:val="center"/>
          </w:tcPr>
          <w:p w14:paraId="5983A38B" w14:textId="77777777" w:rsidR="004B0883" w:rsidRDefault="004B0883">
            <w:pPr>
              <w:adjustRightInd w:val="0"/>
              <w:snapToGrid w:val="0"/>
              <w:jc w:val="right"/>
              <w:rPr>
                <w:color w:val="000000"/>
              </w:rPr>
            </w:pPr>
            <w:r>
              <w:rPr>
                <w:rFonts w:eastAsia="仿宋_GB2312"/>
                <w:color w:val="000000"/>
              </w:rPr>
              <w:t>-</w:t>
            </w:r>
          </w:p>
        </w:tc>
      </w:tr>
      <w:tr w:rsidR="004B0883" w14:paraId="765C644B" w14:textId="77777777">
        <w:trPr>
          <w:trHeight w:val="397"/>
          <w:jc w:val="center"/>
        </w:trPr>
        <w:tc>
          <w:tcPr>
            <w:tcW w:w="558" w:type="pct"/>
            <w:vAlign w:val="center"/>
          </w:tcPr>
          <w:p w14:paraId="0E096151" w14:textId="77777777" w:rsidR="004B0883" w:rsidRDefault="004B0883">
            <w:pPr>
              <w:adjustRightInd w:val="0"/>
              <w:snapToGrid w:val="0"/>
              <w:jc w:val="center"/>
              <w:rPr>
                <w:color w:val="000000"/>
                <w:kern w:val="0"/>
              </w:rPr>
            </w:pPr>
            <w:r>
              <w:rPr>
                <w:rFonts w:hint="eastAsia"/>
                <w:color w:val="000000"/>
                <w:kern w:val="0"/>
              </w:rPr>
              <w:t>8</w:t>
            </w:r>
          </w:p>
        </w:tc>
        <w:tc>
          <w:tcPr>
            <w:tcW w:w="1750" w:type="pct"/>
            <w:vAlign w:val="center"/>
          </w:tcPr>
          <w:p w14:paraId="18E72A75" w14:textId="77777777" w:rsidR="004B0883" w:rsidRDefault="004B0883">
            <w:pPr>
              <w:adjustRightInd w:val="0"/>
              <w:snapToGrid w:val="0"/>
              <w:rPr>
                <w:color w:val="000000"/>
                <w:kern w:val="0"/>
              </w:rPr>
            </w:pPr>
            <w:r>
              <w:rPr>
                <w:kern w:val="0"/>
              </w:rPr>
              <w:t>其他非流动资产</w:t>
            </w:r>
          </w:p>
        </w:tc>
        <w:tc>
          <w:tcPr>
            <w:tcW w:w="1346" w:type="pct"/>
            <w:vAlign w:val="center"/>
          </w:tcPr>
          <w:p w14:paraId="77548FA9" w14:textId="77777777" w:rsidR="004B0883" w:rsidRDefault="004B0883">
            <w:pPr>
              <w:adjustRightInd w:val="0"/>
              <w:snapToGrid w:val="0"/>
              <w:jc w:val="right"/>
              <w:rPr>
                <w:color w:val="000000"/>
              </w:rPr>
            </w:pPr>
            <w:r>
              <w:rPr>
                <w:rFonts w:hint="eastAsia"/>
                <w:color w:val="000000"/>
              </w:rPr>
              <w:t>2.00</w:t>
            </w:r>
          </w:p>
        </w:tc>
        <w:tc>
          <w:tcPr>
            <w:tcW w:w="1346" w:type="pct"/>
            <w:vAlign w:val="center"/>
          </w:tcPr>
          <w:p w14:paraId="02183957" w14:textId="77777777" w:rsidR="004B0883" w:rsidRDefault="004B0883">
            <w:pPr>
              <w:adjustRightInd w:val="0"/>
              <w:snapToGrid w:val="0"/>
              <w:jc w:val="right"/>
              <w:rPr>
                <w:color w:val="000000"/>
              </w:rPr>
            </w:pPr>
            <w:r>
              <w:rPr>
                <w:rFonts w:eastAsia="仿宋_GB2312"/>
                <w:color w:val="000000"/>
              </w:rPr>
              <w:t>-</w:t>
            </w:r>
          </w:p>
        </w:tc>
      </w:tr>
    </w:tbl>
    <w:p w14:paraId="51807919" w14:textId="77777777" w:rsidR="004B0883" w:rsidRDefault="004B0883">
      <w:pPr>
        <w:widowControl w:val="0"/>
        <w:spacing w:beforeLines="50" w:before="120" w:line="360" w:lineRule="auto"/>
        <w:ind w:firstLineChars="200" w:firstLine="480"/>
        <w:jc w:val="both"/>
        <w:rPr>
          <w:sz w:val="24"/>
          <w:szCs w:val="22"/>
        </w:rPr>
      </w:pPr>
      <w:bookmarkStart w:id="339" w:name="_Hlk50304555"/>
      <w:r>
        <w:rPr>
          <w:rFonts w:hint="eastAsia"/>
          <w:sz w:val="24"/>
          <w:szCs w:val="22"/>
        </w:rPr>
        <w:t>各科目具体分析如下：</w:t>
      </w:r>
    </w:p>
    <w:bookmarkEnd w:id="339"/>
    <w:p w14:paraId="48B29B8F" w14:textId="77777777" w:rsidR="004B0883" w:rsidRDefault="004B0883">
      <w:pPr>
        <w:pStyle w:val="004"/>
        <w:spacing w:before="120" w:after="120"/>
        <w:ind w:firstLine="480"/>
        <w:outlineLvl w:val="4"/>
        <w:rPr>
          <w:b w:val="0"/>
          <w:bCs w:val="0"/>
        </w:rPr>
      </w:pPr>
      <w:r>
        <w:rPr>
          <w:rFonts w:hint="eastAsia"/>
          <w:b w:val="0"/>
          <w:bCs w:val="0"/>
        </w:rPr>
        <w:t>（</w:t>
      </w:r>
      <w:r>
        <w:rPr>
          <w:rFonts w:hint="eastAsia"/>
          <w:b w:val="0"/>
          <w:bCs w:val="0"/>
        </w:rPr>
        <w:t>1</w:t>
      </w:r>
      <w:r>
        <w:rPr>
          <w:rFonts w:hint="eastAsia"/>
          <w:b w:val="0"/>
          <w:bCs w:val="0"/>
        </w:rPr>
        <w:t>）交易性金融资产</w:t>
      </w:r>
    </w:p>
    <w:p w14:paraId="070690DF" w14:textId="77777777" w:rsidR="004B0883" w:rsidRDefault="004B0883">
      <w:pPr>
        <w:pStyle w:val="005"/>
        <w:spacing w:before="120"/>
        <w:ind w:firstLine="480"/>
      </w:pPr>
      <w:bookmarkStart w:id="340" w:name="_Hlk138965828"/>
      <w:r>
        <w:rPr>
          <w:rFonts w:hint="eastAsia"/>
        </w:rPr>
        <w:t>截至</w:t>
      </w:r>
      <w:r>
        <w:rPr>
          <w:rFonts w:hint="eastAsia"/>
        </w:rPr>
        <w:t>202</w:t>
      </w:r>
      <w:r>
        <w:t>3</w:t>
      </w:r>
      <w:r>
        <w:rPr>
          <w:rFonts w:hint="eastAsia"/>
        </w:rPr>
        <w:t>年</w:t>
      </w:r>
      <w:r>
        <w:rPr>
          <w:rFonts w:hint="eastAsia"/>
        </w:rPr>
        <w:t>9</w:t>
      </w:r>
      <w:r>
        <w:rPr>
          <w:rFonts w:hint="eastAsia"/>
        </w:rPr>
        <w:t>月</w:t>
      </w:r>
      <w:r>
        <w:rPr>
          <w:rFonts w:hint="eastAsia"/>
        </w:rPr>
        <w:t>3</w:t>
      </w:r>
      <w:r>
        <w:t>0</w:t>
      </w:r>
      <w:r>
        <w:rPr>
          <w:rFonts w:hint="eastAsia"/>
        </w:rPr>
        <w:t>日，发行人交易性金融资产账面价值为</w:t>
      </w:r>
      <w:r>
        <w:t>39,822.11</w:t>
      </w:r>
      <w:r>
        <w:rPr>
          <w:rFonts w:hint="eastAsia"/>
        </w:rPr>
        <w:t>万元。其中</w:t>
      </w:r>
      <w:r>
        <w:t>28,683.14</w:t>
      </w:r>
      <w:r>
        <w:rPr>
          <w:rFonts w:hint="eastAsia"/>
        </w:rPr>
        <w:t>万元为公司购买的安全性高、流动性好、低风险、期限较短的</w:t>
      </w:r>
      <w:r>
        <w:rPr>
          <w:rFonts w:hint="eastAsia"/>
        </w:rPr>
        <w:t>R</w:t>
      </w:r>
      <w:r>
        <w:t>1</w:t>
      </w:r>
      <w:r>
        <w:rPr>
          <w:rFonts w:hint="eastAsia"/>
        </w:rPr>
        <w:t>或者</w:t>
      </w:r>
      <w:r>
        <w:rPr>
          <w:rFonts w:hint="eastAsia"/>
        </w:rPr>
        <w:t>R2</w:t>
      </w:r>
      <w:r>
        <w:rPr>
          <w:rFonts w:hint="eastAsia"/>
        </w:rPr>
        <w:t>级理财产品，不属于收益波动大且风险较高的金融产品，发行人购买的上述理财产品的目的是在充分满足流动性的前提下进行的现金管理，上述理财产品并不属于财务性投资或类金融投资；剩余</w:t>
      </w:r>
      <w:r>
        <w:t>11,138.97</w:t>
      </w:r>
      <w:r>
        <w:rPr>
          <w:rFonts w:hint="eastAsia"/>
        </w:rPr>
        <w:t>万元的《益安地风</w:t>
      </w:r>
      <w:r>
        <w:rPr>
          <w:rFonts w:hint="eastAsia"/>
        </w:rPr>
        <w:t>5</w:t>
      </w:r>
      <w:r>
        <w:rPr>
          <w:rFonts w:hint="eastAsia"/>
        </w:rPr>
        <w:t>号私募证券投资基金》属于财务性投资</w:t>
      </w:r>
      <w:bookmarkEnd w:id="340"/>
      <w:r>
        <w:rPr>
          <w:rFonts w:hint="eastAsia"/>
        </w:rPr>
        <w:t>。</w:t>
      </w:r>
    </w:p>
    <w:p w14:paraId="21F07F46" w14:textId="77777777" w:rsidR="004B0883" w:rsidRDefault="004B0883">
      <w:pPr>
        <w:pStyle w:val="005"/>
        <w:spacing w:before="120"/>
        <w:ind w:firstLine="480"/>
      </w:pPr>
      <w:r>
        <w:rPr>
          <w:rFonts w:hint="eastAsia"/>
        </w:rPr>
        <w:t>2023</w:t>
      </w:r>
      <w:r>
        <w:rPr>
          <w:rFonts w:hint="eastAsia"/>
        </w:rPr>
        <w:t>年</w:t>
      </w:r>
      <w:r>
        <w:rPr>
          <w:rFonts w:hint="eastAsia"/>
        </w:rPr>
        <w:t>1</w:t>
      </w:r>
      <w:r>
        <w:rPr>
          <w:rFonts w:hint="eastAsia"/>
        </w:rPr>
        <w:t>月</w:t>
      </w:r>
      <w:r>
        <w:rPr>
          <w:rFonts w:hint="eastAsia"/>
        </w:rPr>
        <w:t>16</w:t>
      </w:r>
      <w:r>
        <w:rPr>
          <w:rFonts w:hint="eastAsia"/>
        </w:rPr>
        <w:t>日，公司召开了第四届董事会第十七次会议，审议通过了《关于公司继续持有且不再增加风险投资产品的议案》，同意公司控股子公司海南伟隆继续持有现有风险投资产品《益安地风</w:t>
      </w:r>
      <w:r>
        <w:rPr>
          <w:rFonts w:hint="eastAsia"/>
        </w:rPr>
        <w:t>5</w:t>
      </w:r>
      <w:r>
        <w:rPr>
          <w:rFonts w:hint="eastAsia"/>
        </w:rPr>
        <w:t>号私募证券投资基金》，期限自公司</w:t>
      </w:r>
      <w:r>
        <w:rPr>
          <w:rFonts w:hint="eastAsia"/>
        </w:rPr>
        <w:t>2023</w:t>
      </w:r>
      <w:r>
        <w:rPr>
          <w:rFonts w:hint="eastAsia"/>
        </w:rPr>
        <w:t>年第一次临时股东大会审议通过之日起一年内有效。在上述期限内，除现有风险投资产品外，公司不再新增其他风险投资。</w:t>
      </w:r>
    </w:p>
    <w:p w14:paraId="224F661D" w14:textId="77777777" w:rsidR="004B0883" w:rsidRDefault="004B0883">
      <w:pPr>
        <w:pStyle w:val="005"/>
        <w:spacing w:before="120"/>
        <w:ind w:firstLine="480"/>
      </w:pPr>
      <w:r>
        <w:rPr>
          <w:rFonts w:hint="eastAsia"/>
        </w:rPr>
        <w:t>202</w:t>
      </w:r>
      <w:r>
        <w:t>3</w:t>
      </w:r>
      <w:r>
        <w:rPr>
          <w:rFonts w:hint="eastAsia"/>
        </w:rPr>
        <w:t>年</w:t>
      </w:r>
      <w:r>
        <w:rPr>
          <w:rFonts w:hint="eastAsia"/>
        </w:rPr>
        <w:t>2</w:t>
      </w:r>
      <w:r>
        <w:rPr>
          <w:rFonts w:hint="eastAsia"/>
        </w:rPr>
        <w:t>月</w:t>
      </w:r>
      <w:r>
        <w:t>2</w:t>
      </w:r>
      <w:r>
        <w:rPr>
          <w:rFonts w:hint="eastAsia"/>
        </w:rPr>
        <w:t>日，公司召开了</w:t>
      </w:r>
      <w:r>
        <w:rPr>
          <w:rFonts w:hint="eastAsia"/>
        </w:rPr>
        <w:t>202</w:t>
      </w:r>
      <w:r>
        <w:t>3</w:t>
      </w:r>
      <w:r>
        <w:rPr>
          <w:rFonts w:hint="eastAsia"/>
        </w:rPr>
        <w:t>年第一次临时股东大会，除现有风险投资产品外，公司不再新增其他风险投资。</w:t>
      </w:r>
    </w:p>
    <w:p w14:paraId="5B0D3D87" w14:textId="77777777" w:rsidR="004B0883" w:rsidRDefault="004B0883">
      <w:pPr>
        <w:pStyle w:val="004"/>
        <w:spacing w:before="120" w:after="120"/>
        <w:ind w:firstLine="480"/>
        <w:outlineLvl w:val="4"/>
        <w:rPr>
          <w:b w:val="0"/>
          <w:bCs w:val="0"/>
        </w:rPr>
      </w:pPr>
      <w:r>
        <w:rPr>
          <w:rFonts w:hint="eastAsia"/>
          <w:b w:val="0"/>
          <w:bCs w:val="0"/>
        </w:rPr>
        <w:t>（</w:t>
      </w:r>
      <w:r>
        <w:rPr>
          <w:rFonts w:hint="eastAsia"/>
          <w:b w:val="0"/>
          <w:bCs w:val="0"/>
        </w:rPr>
        <w:t>2</w:t>
      </w:r>
      <w:r>
        <w:rPr>
          <w:rFonts w:hint="eastAsia"/>
          <w:b w:val="0"/>
          <w:bCs w:val="0"/>
        </w:rPr>
        <w:t>）其他应收款</w:t>
      </w:r>
    </w:p>
    <w:p w14:paraId="25FE3977" w14:textId="77777777" w:rsidR="004B0883" w:rsidRDefault="004B0883">
      <w:pPr>
        <w:pStyle w:val="005"/>
        <w:spacing w:before="120"/>
        <w:ind w:firstLine="480"/>
      </w:pPr>
      <w:r>
        <w:t>截至</w:t>
      </w:r>
      <w:r>
        <w:t>2023</w:t>
      </w:r>
      <w:r>
        <w:t>年</w:t>
      </w:r>
      <w:r>
        <w:rPr>
          <w:rFonts w:hint="eastAsia"/>
        </w:rPr>
        <w:t>9</w:t>
      </w:r>
      <w:r>
        <w:t>月</w:t>
      </w:r>
      <w:r>
        <w:t>30</w:t>
      </w:r>
      <w:r>
        <w:t>日，发行人其他应收款账面价值为</w:t>
      </w:r>
      <w:bookmarkStart w:id="341" w:name="_Hlk150379809"/>
      <w:r>
        <w:t>645.46</w:t>
      </w:r>
      <w:bookmarkEnd w:id="341"/>
      <w:r>
        <w:t>万元，</w:t>
      </w:r>
      <w:r>
        <w:rPr>
          <w:rFonts w:hint="eastAsia"/>
        </w:rPr>
        <w:t>账面余额为</w:t>
      </w:r>
      <w:bookmarkStart w:id="342" w:name="_Hlk150379820"/>
      <w:r>
        <w:t>685.21</w:t>
      </w:r>
      <w:bookmarkEnd w:id="342"/>
      <w:r>
        <w:rPr>
          <w:rFonts w:hint="eastAsia"/>
        </w:rPr>
        <w:t>万元，</w:t>
      </w:r>
      <w:r>
        <w:t>主要包括</w:t>
      </w:r>
      <w:r>
        <w:rPr>
          <w:rFonts w:hint="eastAsia"/>
        </w:rPr>
        <w:t>出口退税、保证金</w:t>
      </w:r>
      <w:r>
        <w:t>、往来款等，具体</w:t>
      </w:r>
      <w:r>
        <w:rPr>
          <w:rFonts w:hint="eastAsia"/>
        </w:rPr>
        <w:t>账面</w:t>
      </w:r>
      <w:r>
        <w:t>余额明细如下：</w:t>
      </w:r>
    </w:p>
    <w:p w14:paraId="24EF4068" w14:textId="77777777" w:rsidR="004B0883" w:rsidRDefault="004B0883">
      <w:pPr>
        <w:keepNext/>
        <w:jc w:val="right"/>
        <w:rPr>
          <w:rFonts w:ascii="宋体" w:hAnsi="宋体"/>
          <w:bCs/>
        </w:rPr>
      </w:pPr>
      <w:r>
        <w:rPr>
          <w:rFonts w:ascii="宋体" w:hAnsi="宋体" w:hint="eastAsia"/>
          <w:bCs/>
        </w:rPr>
        <w:t>单位：万元</w:t>
      </w:r>
    </w:p>
    <w:tbl>
      <w:tblPr>
        <w:tblW w:w="5000" w:type="pct"/>
        <w:tblInd w:w="45" w:type="dxa"/>
        <w:tblBorders>
          <w:top w:val="single" w:sz="12" w:space="0" w:color="000000"/>
          <w:left w:val="single" w:sz="12" w:space="0" w:color="auto"/>
          <w:bottom w:val="single" w:sz="12" w:space="0" w:color="000000"/>
          <w:right w:val="single" w:sz="12" w:space="0" w:color="auto"/>
          <w:insideH w:val="single" w:sz="4" w:space="0" w:color="000000"/>
          <w:insideV w:val="single" w:sz="4" w:space="0" w:color="000000"/>
        </w:tblBorders>
        <w:shd w:val="clear" w:color="auto" w:fill="FFFFFF"/>
        <w:tblLook w:val="0000" w:firstRow="0" w:lastRow="0" w:firstColumn="0" w:lastColumn="0" w:noHBand="0" w:noVBand="0"/>
      </w:tblPr>
      <w:tblGrid>
        <w:gridCol w:w="4070"/>
        <w:gridCol w:w="4210"/>
      </w:tblGrid>
      <w:tr w:rsidR="004B0883" w14:paraId="45F91F6F" w14:textId="77777777">
        <w:trPr>
          <w:cantSplit/>
          <w:trHeight w:val="397"/>
          <w:tblHeader/>
        </w:trPr>
        <w:tc>
          <w:tcPr>
            <w:tcW w:w="2458" w:type="pct"/>
            <w:shd w:val="clear" w:color="auto" w:fill="D9D9D9"/>
            <w:tcMar>
              <w:top w:w="0" w:type="dxa"/>
              <w:left w:w="30" w:type="dxa"/>
              <w:bottom w:w="0" w:type="dxa"/>
              <w:right w:w="30" w:type="dxa"/>
            </w:tcMar>
            <w:vAlign w:val="center"/>
          </w:tcPr>
          <w:p w14:paraId="098695C6" w14:textId="77777777" w:rsidR="004B0883" w:rsidRDefault="004B0883">
            <w:pPr>
              <w:jc w:val="center"/>
              <w:rPr>
                <w:rFonts w:ascii="宋体" w:hAnsi="宋体"/>
                <w:b/>
                <w:color w:val="000000"/>
                <w:szCs w:val="28"/>
              </w:rPr>
            </w:pPr>
            <w:r>
              <w:rPr>
                <w:rFonts w:ascii="宋体" w:hAnsi="宋体" w:hint="eastAsia"/>
                <w:b/>
                <w:color w:val="000000"/>
                <w:szCs w:val="28"/>
              </w:rPr>
              <w:t>款项性质</w:t>
            </w:r>
          </w:p>
        </w:tc>
        <w:tc>
          <w:tcPr>
            <w:tcW w:w="2542" w:type="pct"/>
            <w:shd w:val="clear" w:color="auto" w:fill="D9D9D9"/>
            <w:tcMar>
              <w:top w:w="0" w:type="dxa"/>
              <w:left w:w="30" w:type="dxa"/>
              <w:bottom w:w="0" w:type="dxa"/>
              <w:right w:w="30" w:type="dxa"/>
            </w:tcMar>
            <w:vAlign w:val="center"/>
          </w:tcPr>
          <w:p w14:paraId="0B2C850E" w14:textId="77777777" w:rsidR="004B0883" w:rsidRDefault="004B0883">
            <w:pPr>
              <w:jc w:val="center"/>
              <w:rPr>
                <w:rFonts w:ascii="宋体" w:hAnsi="宋体"/>
                <w:b/>
                <w:color w:val="000000"/>
                <w:szCs w:val="28"/>
              </w:rPr>
            </w:pPr>
            <w:r>
              <w:rPr>
                <w:rFonts w:ascii="宋体" w:hAnsi="宋体" w:hint="eastAsia"/>
                <w:b/>
                <w:color w:val="000000"/>
                <w:szCs w:val="28"/>
              </w:rPr>
              <w:t>期末账面余额</w:t>
            </w:r>
          </w:p>
        </w:tc>
      </w:tr>
      <w:tr w:rsidR="004B0883" w14:paraId="4347247C" w14:textId="77777777">
        <w:trPr>
          <w:cantSplit/>
          <w:trHeight w:val="397"/>
        </w:trPr>
        <w:tc>
          <w:tcPr>
            <w:tcW w:w="2458" w:type="pct"/>
            <w:tcMar>
              <w:top w:w="0" w:type="dxa"/>
              <w:left w:w="30" w:type="dxa"/>
              <w:bottom w:w="0" w:type="dxa"/>
              <w:right w:w="30" w:type="dxa"/>
            </w:tcMar>
            <w:vAlign w:val="center"/>
          </w:tcPr>
          <w:p w14:paraId="0137CBC1" w14:textId="77777777" w:rsidR="004B0883" w:rsidRDefault="004B0883">
            <w:pPr>
              <w:jc w:val="center"/>
              <w:rPr>
                <w:rFonts w:ascii="宋体" w:hAnsi="宋体"/>
                <w:color w:val="000000"/>
                <w:szCs w:val="28"/>
              </w:rPr>
            </w:pPr>
            <w:r>
              <w:rPr>
                <w:rFonts w:ascii="宋体" w:hAnsi="宋体" w:hint="eastAsia"/>
                <w:color w:val="000000"/>
                <w:szCs w:val="28"/>
              </w:rPr>
              <w:t>出口退税</w:t>
            </w:r>
          </w:p>
        </w:tc>
        <w:tc>
          <w:tcPr>
            <w:tcW w:w="2542" w:type="pct"/>
            <w:tcMar>
              <w:top w:w="0" w:type="dxa"/>
              <w:left w:w="30" w:type="dxa"/>
              <w:bottom w:w="0" w:type="dxa"/>
              <w:right w:w="30" w:type="dxa"/>
            </w:tcMar>
            <w:vAlign w:val="center"/>
          </w:tcPr>
          <w:p w14:paraId="54906A34" w14:textId="77777777" w:rsidR="004B0883" w:rsidRDefault="004B0883">
            <w:pPr>
              <w:jc w:val="right"/>
              <w:rPr>
                <w:color w:val="000000"/>
                <w:szCs w:val="28"/>
              </w:rPr>
            </w:pPr>
            <w:r>
              <w:t xml:space="preserve">549.97 </w:t>
            </w:r>
          </w:p>
        </w:tc>
      </w:tr>
      <w:tr w:rsidR="004B0883" w14:paraId="7217F870" w14:textId="77777777">
        <w:trPr>
          <w:cantSplit/>
          <w:trHeight w:val="397"/>
        </w:trPr>
        <w:tc>
          <w:tcPr>
            <w:tcW w:w="2458" w:type="pct"/>
            <w:tcMar>
              <w:top w:w="0" w:type="dxa"/>
              <w:left w:w="30" w:type="dxa"/>
              <w:bottom w:w="0" w:type="dxa"/>
              <w:right w:w="30" w:type="dxa"/>
            </w:tcMar>
            <w:vAlign w:val="center"/>
          </w:tcPr>
          <w:p w14:paraId="1B4F74F4" w14:textId="77777777" w:rsidR="004B0883" w:rsidRDefault="004B0883">
            <w:pPr>
              <w:jc w:val="center"/>
              <w:rPr>
                <w:rFonts w:ascii="宋体" w:hAnsi="宋体"/>
                <w:color w:val="000000"/>
                <w:szCs w:val="28"/>
              </w:rPr>
            </w:pPr>
            <w:r>
              <w:rPr>
                <w:rFonts w:ascii="宋体" w:hAnsi="宋体" w:hint="eastAsia"/>
                <w:color w:val="000000"/>
                <w:szCs w:val="28"/>
              </w:rPr>
              <w:t>保证金</w:t>
            </w:r>
          </w:p>
        </w:tc>
        <w:tc>
          <w:tcPr>
            <w:tcW w:w="2542" w:type="pct"/>
            <w:tcMar>
              <w:top w:w="0" w:type="dxa"/>
              <w:left w:w="30" w:type="dxa"/>
              <w:bottom w:w="0" w:type="dxa"/>
              <w:right w:w="30" w:type="dxa"/>
            </w:tcMar>
            <w:vAlign w:val="center"/>
          </w:tcPr>
          <w:p w14:paraId="52466831" w14:textId="77777777" w:rsidR="004B0883" w:rsidRDefault="004B0883">
            <w:pPr>
              <w:jc w:val="right"/>
              <w:rPr>
                <w:color w:val="000000"/>
                <w:szCs w:val="28"/>
              </w:rPr>
            </w:pPr>
            <w:r>
              <w:t xml:space="preserve">46.07 </w:t>
            </w:r>
          </w:p>
        </w:tc>
      </w:tr>
      <w:tr w:rsidR="004B0883" w14:paraId="0919F84E" w14:textId="77777777">
        <w:trPr>
          <w:cantSplit/>
          <w:trHeight w:val="397"/>
        </w:trPr>
        <w:tc>
          <w:tcPr>
            <w:tcW w:w="2458" w:type="pct"/>
            <w:tcMar>
              <w:top w:w="0" w:type="dxa"/>
              <w:left w:w="30" w:type="dxa"/>
              <w:bottom w:w="0" w:type="dxa"/>
              <w:right w:w="30" w:type="dxa"/>
            </w:tcMar>
            <w:vAlign w:val="center"/>
          </w:tcPr>
          <w:p w14:paraId="1CA2DC52" w14:textId="77777777" w:rsidR="004B0883" w:rsidRDefault="004B0883">
            <w:pPr>
              <w:jc w:val="center"/>
              <w:rPr>
                <w:rFonts w:ascii="宋体" w:hAnsi="宋体"/>
                <w:color w:val="000000"/>
                <w:szCs w:val="28"/>
              </w:rPr>
            </w:pPr>
            <w:r>
              <w:rPr>
                <w:rFonts w:ascii="宋体" w:hAnsi="宋体" w:hint="eastAsia"/>
                <w:color w:val="000000"/>
                <w:szCs w:val="28"/>
              </w:rPr>
              <w:t>往来款</w:t>
            </w:r>
          </w:p>
        </w:tc>
        <w:tc>
          <w:tcPr>
            <w:tcW w:w="2542" w:type="pct"/>
            <w:tcMar>
              <w:top w:w="0" w:type="dxa"/>
              <w:left w:w="30" w:type="dxa"/>
              <w:bottom w:w="0" w:type="dxa"/>
              <w:right w:w="30" w:type="dxa"/>
            </w:tcMar>
            <w:vAlign w:val="center"/>
          </w:tcPr>
          <w:p w14:paraId="2EEB048A" w14:textId="77777777" w:rsidR="004B0883" w:rsidRDefault="004B0883">
            <w:pPr>
              <w:jc w:val="right"/>
              <w:rPr>
                <w:color w:val="000000"/>
                <w:szCs w:val="28"/>
              </w:rPr>
            </w:pPr>
            <w:r>
              <w:t xml:space="preserve">89.16 </w:t>
            </w:r>
          </w:p>
        </w:tc>
      </w:tr>
      <w:tr w:rsidR="004B0883" w14:paraId="09295588" w14:textId="77777777">
        <w:trPr>
          <w:cantSplit/>
          <w:trHeight w:val="397"/>
        </w:trPr>
        <w:tc>
          <w:tcPr>
            <w:tcW w:w="2458" w:type="pct"/>
            <w:tcMar>
              <w:top w:w="0" w:type="dxa"/>
              <w:left w:w="30" w:type="dxa"/>
              <w:bottom w:w="0" w:type="dxa"/>
              <w:right w:w="30" w:type="dxa"/>
            </w:tcMar>
            <w:vAlign w:val="center"/>
          </w:tcPr>
          <w:p w14:paraId="44577777" w14:textId="77777777" w:rsidR="004B0883" w:rsidRDefault="004B0883">
            <w:pPr>
              <w:jc w:val="center"/>
              <w:rPr>
                <w:rFonts w:ascii="宋体" w:hAnsi="宋体"/>
                <w:b/>
                <w:bCs/>
                <w:color w:val="000000"/>
                <w:szCs w:val="28"/>
              </w:rPr>
            </w:pPr>
            <w:r>
              <w:rPr>
                <w:rFonts w:ascii="宋体" w:hAnsi="宋体" w:hint="eastAsia"/>
                <w:b/>
                <w:bCs/>
                <w:color w:val="000000"/>
                <w:szCs w:val="28"/>
              </w:rPr>
              <w:t>合计</w:t>
            </w:r>
          </w:p>
        </w:tc>
        <w:tc>
          <w:tcPr>
            <w:tcW w:w="2542" w:type="pct"/>
            <w:tcMar>
              <w:top w:w="0" w:type="dxa"/>
              <w:left w:w="30" w:type="dxa"/>
              <w:bottom w:w="0" w:type="dxa"/>
              <w:right w:w="30" w:type="dxa"/>
            </w:tcMar>
            <w:vAlign w:val="center"/>
          </w:tcPr>
          <w:p w14:paraId="6A8EF3BC" w14:textId="77777777" w:rsidR="004B0883" w:rsidRDefault="004B0883">
            <w:pPr>
              <w:jc w:val="right"/>
              <w:rPr>
                <w:b/>
                <w:bCs/>
                <w:color w:val="000000"/>
                <w:szCs w:val="28"/>
              </w:rPr>
            </w:pPr>
            <w:r>
              <w:rPr>
                <w:b/>
                <w:bCs/>
              </w:rPr>
              <w:t xml:space="preserve">685.21 </w:t>
            </w:r>
          </w:p>
        </w:tc>
      </w:tr>
    </w:tbl>
    <w:p w14:paraId="11C2FAE8" w14:textId="77777777" w:rsidR="004B0883" w:rsidRDefault="004B0883">
      <w:pPr>
        <w:autoSpaceDE w:val="0"/>
        <w:autoSpaceDN w:val="0"/>
        <w:adjustRightInd w:val="0"/>
        <w:spacing w:beforeLines="50" w:before="120" w:line="360" w:lineRule="auto"/>
        <w:ind w:firstLineChars="200" w:firstLine="480"/>
        <w:rPr>
          <w:sz w:val="24"/>
          <w:szCs w:val="22"/>
        </w:rPr>
      </w:pPr>
      <w:r>
        <w:rPr>
          <w:sz w:val="24"/>
          <w:szCs w:val="22"/>
        </w:rPr>
        <w:t>发行人其他应收款主要包括</w:t>
      </w:r>
      <w:r>
        <w:rPr>
          <w:rFonts w:hint="eastAsia"/>
          <w:sz w:val="24"/>
          <w:szCs w:val="22"/>
        </w:rPr>
        <w:t>出口退税</w:t>
      </w:r>
      <w:r>
        <w:rPr>
          <w:sz w:val="24"/>
          <w:szCs w:val="22"/>
        </w:rPr>
        <w:t>、保证金</w:t>
      </w:r>
      <w:r>
        <w:rPr>
          <w:rFonts w:hint="eastAsia"/>
          <w:sz w:val="24"/>
          <w:szCs w:val="22"/>
        </w:rPr>
        <w:t>、往来款</w:t>
      </w:r>
      <w:r>
        <w:rPr>
          <w:sz w:val="24"/>
          <w:szCs w:val="22"/>
        </w:rPr>
        <w:t>等，均与公司日常经营活动有关，不存在拆借资金或对外部企业提供借款的情况，不属于财务性投资或类金融投资。</w:t>
      </w:r>
    </w:p>
    <w:p w14:paraId="0020481D" w14:textId="77777777" w:rsidR="004B0883" w:rsidRDefault="004B0883">
      <w:pPr>
        <w:pStyle w:val="004"/>
        <w:spacing w:before="120" w:after="120"/>
        <w:ind w:firstLine="480"/>
        <w:outlineLvl w:val="4"/>
        <w:rPr>
          <w:b w:val="0"/>
          <w:bCs w:val="0"/>
        </w:rPr>
      </w:pPr>
      <w:r>
        <w:rPr>
          <w:rFonts w:hint="eastAsia"/>
          <w:b w:val="0"/>
          <w:bCs w:val="0"/>
        </w:rPr>
        <w:t>（</w:t>
      </w:r>
      <w:r>
        <w:rPr>
          <w:b w:val="0"/>
          <w:bCs w:val="0"/>
        </w:rPr>
        <w:t>3</w:t>
      </w:r>
      <w:r>
        <w:rPr>
          <w:rFonts w:hint="eastAsia"/>
          <w:b w:val="0"/>
          <w:bCs w:val="0"/>
        </w:rPr>
        <w:t>）其他流动资产</w:t>
      </w:r>
    </w:p>
    <w:p w14:paraId="717B2BFE" w14:textId="77777777" w:rsidR="004B0883" w:rsidRDefault="004B0883">
      <w:pPr>
        <w:pStyle w:val="005"/>
        <w:spacing w:before="120"/>
        <w:ind w:firstLine="480"/>
      </w:pPr>
      <w:r>
        <w:t>截至</w:t>
      </w:r>
      <w:r>
        <w:t>2023</w:t>
      </w:r>
      <w:r>
        <w:t>年</w:t>
      </w:r>
      <w:r>
        <w:rPr>
          <w:rFonts w:hint="eastAsia"/>
        </w:rPr>
        <w:t>9</w:t>
      </w:r>
      <w:r>
        <w:t>月</w:t>
      </w:r>
      <w:r>
        <w:t>30</w:t>
      </w:r>
      <w:r>
        <w:t>日，发行人其他流动资产账面余额为</w:t>
      </w:r>
      <w:bookmarkStart w:id="343" w:name="_Hlk150379847"/>
      <w:r>
        <w:t>3,238.40</w:t>
      </w:r>
      <w:bookmarkEnd w:id="343"/>
      <w:r>
        <w:t>万元，主要为预缴增值税、大额存单等，具体明细如下：</w:t>
      </w:r>
    </w:p>
    <w:p w14:paraId="1D53969A" w14:textId="77777777" w:rsidR="004B0883" w:rsidRDefault="004B0883">
      <w:pPr>
        <w:keepNext/>
        <w:jc w:val="right"/>
        <w:rPr>
          <w:rFonts w:ascii="宋体" w:hAnsi="宋体"/>
          <w:bCs/>
        </w:rPr>
      </w:pPr>
      <w:r>
        <w:rPr>
          <w:rFonts w:ascii="宋体" w:hAnsi="宋体" w:hint="eastAsia"/>
          <w:bCs/>
        </w:rPr>
        <w:t>单位：万元</w:t>
      </w:r>
    </w:p>
    <w:tbl>
      <w:tblPr>
        <w:tblW w:w="5000" w:type="pct"/>
        <w:tblInd w:w="45" w:type="dxa"/>
        <w:tblBorders>
          <w:top w:val="single" w:sz="12" w:space="0" w:color="000000"/>
          <w:left w:val="single" w:sz="12" w:space="0" w:color="auto"/>
          <w:bottom w:val="single" w:sz="12" w:space="0" w:color="000000"/>
          <w:right w:val="single" w:sz="12" w:space="0" w:color="auto"/>
          <w:insideH w:val="single" w:sz="4" w:space="0" w:color="000000"/>
          <w:insideV w:val="single" w:sz="4" w:space="0" w:color="000000"/>
        </w:tblBorders>
        <w:shd w:val="clear" w:color="auto" w:fill="FFFFFF"/>
        <w:tblLook w:val="0000" w:firstRow="0" w:lastRow="0" w:firstColumn="0" w:lastColumn="0" w:noHBand="0" w:noVBand="0"/>
      </w:tblPr>
      <w:tblGrid>
        <w:gridCol w:w="4855"/>
        <w:gridCol w:w="3425"/>
      </w:tblGrid>
      <w:tr w:rsidR="004B0883" w14:paraId="7F92CA8F" w14:textId="77777777">
        <w:trPr>
          <w:cantSplit/>
          <w:trHeight w:val="397"/>
          <w:tblHeader/>
        </w:trPr>
        <w:tc>
          <w:tcPr>
            <w:tcW w:w="2932" w:type="pct"/>
            <w:shd w:val="clear" w:color="auto" w:fill="D9D9D9"/>
            <w:tcMar>
              <w:top w:w="0" w:type="dxa"/>
              <w:left w:w="30" w:type="dxa"/>
              <w:bottom w:w="0" w:type="dxa"/>
              <w:right w:w="30" w:type="dxa"/>
            </w:tcMar>
            <w:vAlign w:val="center"/>
          </w:tcPr>
          <w:p w14:paraId="2AC56664" w14:textId="77777777" w:rsidR="004B0883" w:rsidRDefault="004B0883">
            <w:pPr>
              <w:jc w:val="center"/>
              <w:rPr>
                <w:b/>
                <w:color w:val="000000"/>
                <w:szCs w:val="28"/>
              </w:rPr>
            </w:pPr>
            <w:r>
              <w:rPr>
                <w:b/>
                <w:color w:val="000000"/>
                <w:szCs w:val="28"/>
              </w:rPr>
              <w:t>项目</w:t>
            </w:r>
          </w:p>
        </w:tc>
        <w:tc>
          <w:tcPr>
            <w:tcW w:w="2068" w:type="pct"/>
            <w:shd w:val="clear" w:color="auto" w:fill="D9D9D9"/>
            <w:tcMar>
              <w:top w:w="0" w:type="dxa"/>
              <w:left w:w="30" w:type="dxa"/>
              <w:bottom w:w="0" w:type="dxa"/>
              <w:right w:w="30" w:type="dxa"/>
            </w:tcMar>
            <w:vAlign w:val="center"/>
          </w:tcPr>
          <w:p w14:paraId="71F5D900" w14:textId="77777777" w:rsidR="004B0883" w:rsidRDefault="004B0883">
            <w:pPr>
              <w:jc w:val="center"/>
              <w:rPr>
                <w:b/>
                <w:color w:val="000000"/>
                <w:szCs w:val="28"/>
              </w:rPr>
            </w:pPr>
            <w:r>
              <w:rPr>
                <w:b/>
                <w:color w:val="000000"/>
                <w:szCs w:val="28"/>
              </w:rPr>
              <w:t>期末余额</w:t>
            </w:r>
          </w:p>
        </w:tc>
      </w:tr>
      <w:tr w:rsidR="004B0883" w14:paraId="4E6CD295" w14:textId="77777777">
        <w:trPr>
          <w:cantSplit/>
          <w:trHeight w:val="397"/>
        </w:trPr>
        <w:tc>
          <w:tcPr>
            <w:tcW w:w="2932" w:type="pct"/>
            <w:tcMar>
              <w:top w:w="0" w:type="dxa"/>
              <w:left w:w="30" w:type="dxa"/>
              <w:bottom w:w="0" w:type="dxa"/>
              <w:right w:w="30" w:type="dxa"/>
            </w:tcMar>
            <w:vAlign w:val="center"/>
          </w:tcPr>
          <w:p w14:paraId="3D71D001" w14:textId="77777777" w:rsidR="004B0883" w:rsidRDefault="004B0883">
            <w:pPr>
              <w:jc w:val="center"/>
              <w:rPr>
                <w:color w:val="000000"/>
                <w:szCs w:val="28"/>
              </w:rPr>
            </w:pPr>
            <w:r>
              <w:rPr>
                <w:color w:val="000000"/>
                <w:szCs w:val="28"/>
              </w:rPr>
              <w:t>大额存单</w:t>
            </w:r>
          </w:p>
        </w:tc>
        <w:tc>
          <w:tcPr>
            <w:tcW w:w="2068" w:type="pct"/>
            <w:tcMar>
              <w:top w:w="0" w:type="dxa"/>
              <w:left w:w="30" w:type="dxa"/>
              <w:bottom w:w="0" w:type="dxa"/>
              <w:right w:w="30" w:type="dxa"/>
            </w:tcMar>
            <w:vAlign w:val="center"/>
          </w:tcPr>
          <w:p w14:paraId="52457A2C" w14:textId="77777777" w:rsidR="004B0883" w:rsidRDefault="004B0883">
            <w:pPr>
              <w:jc w:val="right"/>
              <w:rPr>
                <w:color w:val="000000"/>
                <w:szCs w:val="28"/>
              </w:rPr>
            </w:pPr>
            <w:r>
              <w:rPr>
                <w:color w:val="000000"/>
                <w:szCs w:val="28"/>
              </w:rPr>
              <w:t>3,167.39</w:t>
            </w:r>
          </w:p>
        </w:tc>
      </w:tr>
      <w:tr w:rsidR="004B0883" w14:paraId="2BEC9EAB" w14:textId="77777777">
        <w:trPr>
          <w:cantSplit/>
          <w:trHeight w:val="397"/>
        </w:trPr>
        <w:tc>
          <w:tcPr>
            <w:tcW w:w="2932" w:type="pct"/>
            <w:tcMar>
              <w:top w:w="0" w:type="dxa"/>
              <w:left w:w="30" w:type="dxa"/>
              <w:bottom w:w="0" w:type="dxa"/>
              <w:right w:w="30" w:type="dxa"/>
            </w:tcMar>
            <w:vAlign w:val="center"/>
          </w:tcPr>
          <w:p w14:paraId="3FD78DD9" w14:textId="77777777" w:rsidR="004B0883" w:rsidRDefault="004B0883">
            <w:pPr>
              <w:jc w:val="center"/>
              <w:rPr>
                <w:color w:val="000000"/>
                <w:szCs w:val="28"/>
              </w:rPr>
            </w:pPr>
            <w:r>
              <w:rPr>
                <w:rFonts w:hint="eastAsia"/>
                <w:color w:val="000000"/>
                <w:szCs w:val="28"/>
              </w:rPr>
              <w:t>待抵扣增值税</w:t>
            </w:r>
          </w:p>
        </w:tc>
        <w:tc>
          <w:tcPr>
            <w:tcW w:w="2068" w:type="pct"/>
            <w:tcMar>
              <w:top w:w="0" w:type="dxa"/>
              <w:left w:w="30" w:type="dxa"/>
              <w:bottom w:w="0" w:type="dxa"/>
              <w:right w:w="30" w:type="dxa"/>
            </w:tcMar>
            <w:vAlign w:val="center"/>
          </w:tcPr>
          <w:p w14:paraId="4B699101" w14:textId="77777777" w:rsidR="004B0883" w:rsidRDefault="004B0883">
            <w:pPr>
              <w:jc w:val="right"/>
              <w:rPr>
                <w:color w:val="000000"/>
                <w:szCs w:val="28"/>
              </w:rPr>
            </w:pPr>
            <w:r>
              <w:rPr>
                <w:rFonts w:hint="eastAsia"/>
                <w:color w:val="000000"/>
                <w:szCs w:val="28"/>
              </w:rPr>
              <w:t>71.00</w:t>
            </w:r>
          </w:p>
        </w:tc>
      </w:tr>
      <w:tr w:rsidR="004B0883" w14:paraId="4B247647" w14:textId="77777777">
        <w:trPr>
          <w:cantSplit/>
          <w:trHeight w:val="397"/>
        </w:trPr>
        <w:tc>
          <w:tcPr>
            <w:tcW w:w="2932" w:type="pct"/>
            <w:tcMar>
              <w:top w:w="0" w:type="dxa"/>
              <w:left w:w="30" w:type="dxa"/>
              <w:bottom w:w="0" w:type="dxa"/>
              <w:right w:w="30" w:type="dxa"/>
            </w:tcMar>
            <w:vAlign w:val="center"/>
          </w:tcPr>
          <w:p w14:paraId="2F8FCEA7" w14:textId="77777777" w:rsidR="004B0883" w:rsidRDefault="004B0883">
            <w:pPr>
              <w:jc w:val="center"/>
              <w:rPr>
                <w:b/>
                <w:bCs/>
                <w:color w:val="000000"/>
                <w:szCs w:val="28"/>
              </w:rPr>
            </w:pPr>
            <w:r>
              <w:rPr>
                <w:b/>
                <w:bCs/>
                <w:color w:val="000000"/>
                <w:szCs w:val="28"/>
              </w:rPr>
              <w:t>合计</w:t>
            </w:r>
          </w:p>
        </w:tc>
        <w:tc>
          <w:tcPr>
            <w:tcW w:w="2068" w:type="pct"/>
            <w:tcMar>
              <w:top w:w="0" w:type="dxa"/>
              <w:left w:w="30" w:type="dxa"/>
              <w:bottom w:w="0" w:type="dxa"/>
              <w:right w:w="30" w:type="dxa"/>
            </w:tcMar>
            <w:vAlign w:val="center"/>
          </w:tcPr>
          <w:p w14:paraId="3AF7AFEA" w14:textId="77777777" w:rsidR="004B0883" w:rsidRDefault="004B0883">
            <w:pPr>
              <w:jc w:val="right"/>
              <w:rPr>
                <w:b/>
                <w:bCs/>
                <w:color w:val="000000"/>
                <w:szCs w:val="28"/>
              </w:rPr>
            </w:pPr>
            <w:r>
              <w:rPr>
                <w:b/>
                <w:bCs/>
                <w:color w:val="000000"/>
                <w:szCs w:val="28"/>
              </w:rPr>
              <w:t>3,238.40</w:t>
            </w:r>
          </w:p>
        </w:tc>
      </w:tr>
    </w:tbl>
    <w:p w14:paraId="50DA6C91" w14:textId="77777777" w:rsidR="004B0883" w:rsidRDefault="004B0883">
      <w:pPr>
        <w:autoSpaceDE w:val="0"/>
        <w:autoSpaceDN w:val="0"/>
        <w:adjustRightInd w:val="0"/>
        <w:spacing w:beforeLines="50" w:before="120" w:line="360" w:lineRule="auto"/>
        <w:ind w:firstLineChars="200" w:firstLine="480"/>
        <w:rPr>
          <w:sz w:val="24"/>
          <w:szCs w:val="22"/>
        </w:rPr>
      </w:pPr>
      <w:r>
        <w:rPr>
          <w:sz w:val="24"/>
          <w:szCs w:val="22"/>
        </w:rPr>
        <w:t>上述其他流动资产不属于财务性投资或类金融投资。</w:t>
      </w:r>
    </w:p>
    <w:p w14:paraId="6683CA4B" w14:textId="77777777" w:rsidR="004B0883" w:rsidRDefault="004B0883">
      <w:pPr>
        <w:pStyle w:val="004"/>
        <w:spacing w:before="120" w:after="120"/>
        <w:ind w:firstLine="480"/>
        <w:outlineLvl w:val="4"/>
        <w:rPr>
          <w:b w:val="0"/>
          <w:bCs w:val="0"/>
        </w:rPr>
      </w:pPr>
      <w:r>
        <w:rPr>
          <w:rFonts w:hint="eastAsia"/>
          <w:b w:val="0"/>
          <w:bCs w:val="0"/>
        </w:rPr>
        <w:t>（</w:t>
      </w:r>
      <w:r>
        <w:rPr>
          <w:b w:val="0"/>
          <w:bCs w:val="0"/>
        </w:rPr>
        <w:t>4</w:t>
      </w:r>
      <w:r>
        <w:rPr>
          <w:rFonts w:hint="eastAsia"/>
          <w:b w:val="0"/>
          <w:bCs w:val="0"/>
        </w:rPr>
        <w:t>）债权投资</w:t>
      </w:r>
    </w:p>
    <w:p w14:paraId="68F4945B" w14:textId="77777777" w:rsidR="004B0883" w:rsidRDefault="004B0883">
      <w:pPr>
        <w:pStyle w:val="005"/>
        <w:spacing w:before="120"/>
        <w:ind w:firstLine="480"/>
      </w:pPr>
      <w:bookmarkStart w:id="344" w:name="_Hlk144217734"/>
      <w:r>
        <w:rPr>
          <w:rFonts w:hint="eastAsia"/>
        </w:rPr>
        <w:t>截至</w:t>
      </w:r>
      <w:r>
        <w:rPr>
          <w:rFonts w:hint="eastAsia"/>
        </w:rPr>
        <w:t>2023</w:t>
      </w:r>
      <w:r>
        <w:rPr>
          <w:rFonts w:hint="eastAsia"/>
        </w:rPr>
        <w:t>年</w:t>
      </w:r>
      <w:r>
        <w:rPr>
          <w:rFonts w:hint="eastAsia"/>
        </w:rPr>
        <w:t>9</w:t>
      </w:r>
      <w:r>
        <w:rPr>
          <w:rFonts w:hint="eastAsia"/>
        </w:rPr>
        <w:t>月</w:t>
      </w:r>
      <w:r>
        <w:rPr>
          <w:rFonts w:hint="eastAsia"/>
        </w:rPr>
        <w:t>30</w:t>
      </w:r>
      <w:r>
        <w:rPr>
          <w:rFonts w:hint="eastAsia"/>
        </w:rPr>
        <w:t>日，发行人债权投资为购买的三年定期存单，金额为</w:t>
      </w:r>
      <w:bookmarkStart w:id="345" w:name="_Hlk150379874"/>
      <w:r>
        <w:t>1,033.23</w:t>
      </w:r>
      <w:bookmarkEnd w:id="345"/>
      <w:r>
        <w:rPr>
          <w:rFonts w:hint="eastAsia"/>
        </w:rPr>
        <w:t>万元，不属于财务性投资或类金融投资</w:t>
      </w:r>
      <w:bookmarkEnd w:id="344"/>
      <w:r>
        <w:rPr>
          <w:rFonts w:hint="eastAsia"/>
        </w:rPr>
        <w:t>。</w:t>
      </w:r>
    </w:p>
    <w:p w14:paraId="09EC6398" w14:textId="77777777" w:rsidR="004B0883" w:rsidRDefault="004B0883">
      <w:pPr>
        <w:pStyle w:val="004"/>
        <w:spacing w:before="120" w:after="120"/>
        <w:ind w:firstLine="480"/>
        <w:outlineLvl w:val="4"/>
        <w:rPr>
          <w:b w:val="0"/>
          <w:bCs w:val="0"/>
        </w:rPr>
      </w:pPr>
      <w:r>
        <w:rPr>
          <w:rFonts w:hint="eastAsia"/>
          <w:b w:val="0"/>
          <w:bCs w:val="0"/>
        </w:rPr>
        <w:t>（</w:t>
      </w:r>
      <w:r>
        <w:rPr>
          <w:b w:val="0"/>
          <w:bCs w:val="0"/>
        </w:rPr>
        <w:t>5</w:t>
      </w:r>
      <w:r>
        <w:rPr>
          <w:rFonts w:hint="eastAsia"/>
          <w:b w:val="0"/>
          <w:bCs w:val="0"/>
        </w:rPr>
        <w:t>）其他权益工具投资</w:t>
      </w:r>
    </w:p>
    <w:p w14:paraId="4CB56D59" w14:textId="77777777" w:rsidR="004B0883" w:rsidRDefault="004B0883">
      <w:pPr>
        <w:pStyle w:val="005"/>
        <w:spacing w:before="120"/>
        <w:ind w:firstLine="480"/>
      </w:pPr>
      <w:r>
        <w:rPr>
          <w:rFonts w:hint="eastAsia"/>
        </w:rPr>
        <w:t>截至</w:t>
      </w:r>
      <w:r>
        <w:rPr>
          <w:rFonts w:hint="eastAsia"/>
        </w:rPr>
        <w:t>202</w:t>
      </w:r>
      <w:r>
        <w:t>3</w:t>
      </w:r>
      <w:r>
        <w:rPr>
          <w:rFonts w:hint="eastAsia"/>
        </w:rPr>
        <w:t>年</w:t>
      </w:r>
      <w:r>
        <w:rPr>
          <w:rFonts w:hint="eastAsia"/>
        </w:rPr>
        <w:t>9</w:t>
      </w:r>
      <w:r>
        <w:rPr>
          <w:rFonts w:hint="eastAsia"/>
        </w:rPr>
        <w:t>月</w:t>
      </w:r>
      <w:r>
        <w:rPr>
          <w:rFonts w:hint="eastAsia"/>
        </w:rPr>
        <w:t>3</w:t>
      </w:r>
      <w:r>
        <w:t>0</w:t>
      </w:r>
      <w:r>
        <w:rPr>
          <w:rFonts w:hint="eastAsia"/>
        </w:rPr>
        <w:t>日，发行人其他权益工具投资账面价值为</w:t>
      </w:r>
      <w:r>
        <w:rPr>
          <w:rFonts w:hint="eastAsia"/>
        </w:rPr>
        <w:t>0.00</w:t>
      </w:r>
      <w:r>
        <w:rPr>
          <w:rFonts w:hint="eastAsia"/>
        </w:rPr>
        <w:t>万元，不存在财务性投资或类金融投资的情况。</w:t>
      </w:r>
    </w:p>
    <w:p w14:paraId="6730D2D6" w14:textId="77777777" w:rsidR="004B0883" w:rsidRDefault="004B0883">
      <w:pPr>
        <w:pStyle w:val="004"/>
        <w:spacing w:before="120" w:after="120"/>
        <w:ind w:firstLine="480"/>
        <w:outlineLvl w:val="4"/>
        <w:rPr>
          <w:b w:val="0"/>
          <w:bCs w:val="0"/>
        </w:rPr>
      </w:pPr>
      <w:r>
        <w:rPr>
          <w:rFonts w:hint="eastAsia"/>
          <w:b w:val="0"/>
          <w:bCs w:val="0"/>
        </w:rPr>
        <w:t>（</w:t>
      </w:r>
      <w:r>
        <w:rPr>
          <w:b w:val="0"/>
          <w:bCs w:val="0"/>
        </w:rPr>
        <w:t>6</w:t>
      </w:r>
      <w:r>
        <w:rPr>
          <w:rFonts w:hint="eastAsia"/>
          <w:b w:val="0"/>
          <w:bCs w:val="0"/>
        </w:rPr>
        <w:t>）其他非流动金融资产</w:t>
      </w:r>
    </w:p>
    <w:p w14:paraId="57153DF9" w14:textId="77777777" w:rsidR="004B0883" w:rsidRDefault="004B0883">
      <w:pPr>
        <w:pStyle w:val="005"/>
        <w:spacing w:before="120"/>
        <w:ind w:firstLine="480"/>
      </w:pPr>
      <w:r>
        <w:rPr>
          <w:rFonts w:hint="eastAsia"/>
        </w:rPr>
        <w:t>截至</w:t>
      </w:r>
      <w:r>
        <w:t>2023</w:t>
      </w:r>
      <w:r>
        <w:rPr>
          <w:rFonts w:hint="eastAsia"/>
        </w:rPr>
        <w:t>年</w:t>
      </w:r>
      <w:r>
        <w:rPr>
          <w:rFonts w:hint="eastAsia"/>
        </w:rPr>
        <w:t>9</w:t>
      </w:r>
      <w:r>
        <w:rPr>
          <w:rFonts w:hint="eastAsia"/>
        </w:rPr>
        <w:t>月</w:t>
      </w:r>
      <w:r>
        <w:t>30</w:t>
      </w:r>
      <w:r>
        <w:rPr>
          <w:rFonts w:hint="eastAsia"/>
        </w:rPr>
        <w:t>日，发行人其他非流动金融资产账面价值为</w:t>
      </w:r>
      <w:r>
        <w:rPr>
          <w:rFonts w:hint="eastAsia"/>
        </w:rPr>
        <w:t>0.00</w:t>
      </w:r>
      <w:r>
        <w:rPr>
          <w:rFonts w:hint="eastAsia"/>
        </w:rPr>
        <w:t>万元，不存在财务性投资或类金融投资的情况。</w:t>
      </w:r>
    </w:p>
    <w:p w14:paraId="64F75850" w14:textId="77777777" w:rsidR="004B0883" w:rsidRDefault="004B0883">
      <w:pPr>
        <w:pStyle w:val="004"/>
        <w:spacing w:before="120" w:after="120"/>
        <w:ind w:firstLine="480"/>
        <w:outlineLvl w:val="4"/>
        <w:rPr>
          <w:b w:val="0"/>
          <w:bCs w:val="0"/>
        </w:rPr>
      </w:pPr>
      <w:r>
        <w:rPr>
          <w:rFonts w:hint="eastAsia"/>
          <w:b w:val="0"/>
          <w:bCs w:val="0"/>
        </w:rPr>
        <w:t>（</w:t>
      </w:r>
      <w:r>
        <w:rPr>
          <w:b w:val="0"/>
          <w:bCs w:val="0"/>
        </w:rPr>
        <w:t>7</w:t>
      </w:r>
      <w:r>
        <w:rPr>
          <w:rFonts w:hint="eastAsia"/>
          <w:b w:val="0"/>
          <w:bCs w:val="0"/>
        </w:rPr>
        <w:t>）长期股权投资</w:t>
      </w:r>
    </w:p>
    <w:p w14:paraId="0003F39F" w14:textId="77777777" w:rsidR="004B0883" w:rsidRDefault="004B0883">
      <w:pPr>
        <w:pStyle w:val="005"/>
        <w:spacing w:before="120"/>
        <w:ind w:firstLine="480"/>
      </w:pPr>
      <w:r>
        <w:rPr>
          <w:rFonts w:hint="eastAsia"/>
        </w:rPr>
        <w:t>截至</w:t>
      </w:r>
      <w:r>
        <w:t>2023</w:t>
      </w:r>
      <w:r>
        <w:rPr>
          <w:rFonts w:hint="eastAsia"/>
        </w:rPr>
        <w:t>年</w:t>
      </w:r>
      <w:r>
        <w:rPr>
          <w:rFonts w:hint="eastAsia"/>
        </w:rPr>
        <w:t>9</w:t>
      </w:r>
      <w:r>
        <w:rPr>
          <w:rFonts w:hint="eastAsia"/>
        </w:rPr>
        <w:t>月</w:t>
      </w:r>
      <w:r>
        <w:t>30</w:t>
      </w:r>
      <w:r>
        <w:rPr>
          <w:rFonts w:hint="eastAsia"/>
        </w:rPr>
        <w:t>日，发行人长期股权投资账面价值为</w:t>
      </w:r>
      <w:r>
        <w:rPr>
          <w:rFonts w:hint="eastAsia"/>
        </w:rPr>
        <w:t>0.00</w:t>
      </w:r>
      <w:r>
        <w:rPr>
          <w:rFonts w:hint="eastAsia"/>
        </w:rPr>
        <w:t>万元，不存在财务性投资或类金融投资的情况。</w:t>
      </w:r>
    </w:p>
    <w:p w14:paraId="32A5C639" w14:textId="77777777" w:rsidR="004B0883" w:rsidRDefault="004B0883">
      <w:pPr>
        <w:pStyle w:val="004"/>
        <w:spacing w:before="120" w:after="120"/>
        <w:ind w:firstLine="480"/>
        <w:outlineLvl w:val="4"/>
        <w:rPr>
          <w:b w:val="0"/>
          <w:bCs w:val="0"/>
        </w:rPr>
      </w:pPr>
      <w:r>
        <w:rPr>
          <w:rFonts w:hint="eastAsia"/>
          <w:b w:val="0"/>
          <w:bCs w:val="0"/>
        </w:rPr>
        <w:t>（</w:t>
      </w:r>
      <w:r>
        <w:rPr>
          <w:b w:val="0"/>
          <w:bCs w:val="0"/>
        </w:rPr>
        <w:t>8</w:t>
      </w:r>
      <w:r>
        <w:rPr>
          <w:rFonts w:hint="eastAsia"/>
          <w:b w:val="0"/>
          <w:bCs w:val="0"/>
        </w:rPr>
        <w:t>）其他非流动资产</w:t>
      </w:r>
    </w:p>
    <w:p w14:paraId="1CB239AC" w14:textId="77777777" w:rsidR="004B0883" w:rsidRDefault="004B0883">
      <w:pPr>
        <w:pStyle w:val="005"/>
        <w:spacing w:before="120"/>
        <w:ind w:firstLine="480"/>
      </w:pPr>
      <w:r>
        <w:rPr>
          <w:rFonts w:hint="eastAsia"/>
        </w:rPr>
        <w:t>截至</w:t>
      </w:r>
      <w:r>
        <w:t>2023</w:t>
      </w:r>
      <w:r>
        <w:rPr>
          <w:rFonts w:hint="eastAsia"/>
        </w:rPr>
        <w:t>年</w:t>
      </w:r>
      <w:r>
        <w:rPr>
          <w:rFonts w:hint="eastAsia"/>
        </w:rPr>
        <w:t>9</w:t>
      </w:r>
      <w:r>
        <w:rPr>
          <w:rFonts w:hint="eastAsia"/>
        </w:rPr>
        <w:t>月</w:t>
      </w:r>
      <w:r>
        <w:t>30</w:t>
      </w:r>
      <w:r>
        <w:rPr>
          <w:rFonts w:hint="eastAsia"/>
        </w:rPr>
        <w:t>日，发行人其他非流动资产账面价值为</w:t>
      </w:r>
      <w:r>
        <w:rPr>
          <w:rFonts w:hint="eastAsia"/>
        </w:rPr>
        <w:t>2.00</w:t>
      </w:r>
      <w:r>
        <w:rPr>
          <w:rFonts w:hint="eastAsia"/>
        </w:rPr>
        <w:t>万元，具体明细如下：</w:t>
      </w:r>
    </w:p>
    <w:p w14:paraId="7C5B4F4A" w14:textId="77777777" w:rsidR="004B0883" w:rsidRDefault="004B0883">
      <w:pPr>
        <w:jc w:val="right"/>
        <w:rPr>
          <w:shd w:val="clear" w:color="auto" w:fill="D9D9D9"/>
        </w:rPr>
      </w:pPr>
      <w:r>
        <w:rPr>
          <w:rFonts w:hint="eastAsia"/>
        </w:rP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ook w:val="0000" w:firstRow="0" w:lastRow="0" w:firstColumn="0" w:lastColumn="0" w:noHBand="0" w:noVBand="0"/>
      </w:tblPr>
      <w:tblGrid>
        <w:gridCol w:w="4140"/>
        <w:gridCol w:w="4140"/>
      </w:tblGrid>
      <w:tr w:rsidR="004B0883" w14:paraId="0C89F5D6" w14:textId="77777777">
        <w:trPr>
          <w:trHeight w:val="397"/>
          <w:tblHeader/>
          <w:jc w:val="center"/>
        </w:trPr>
        <w:tc>
          <w:tcPr>
            <w:tcW w:w="2500" w:type="pct"/>
            <w:shd w:val="clear" w:color="auto" w:fill="D9D9D9"/>
            <w:vAlign w:val="center"/>
          </w:tcPr>
          <w:p w14:paraId="55FDBD3C" w14:textId="77777777" w:rsidR="004B0883" w:rsidRDefault="004B0883">
            <w:pPr>
              <w:adjustRightInd w:val="0"/>
              <w:snapToGrid w:val="0"/>
              <w:jc w:val="center"/>
              <w:rPr>
                <w:b/>
                <w:bCs/>
                <w:kern w:val="0"/>
              </w:rPr>
            </w:pPr>
            <w:r>
              <w:rPr>
                <w:b/>
                <w:bCs/>
                <w:kern w:val="0"/>
              </w:rPr>
              <w:t>项目</w:t>
            </w:r>
          </w:p>
        </w:tc>
        <w:tc>
          <w:tcPr>
            <w:tcW w:w="2500" w:type="pct"/>
            <w:shd w:val="clear" w:color="auto" w:fill="D9D9D9"/>
            <w:vAlign w:val="center"/>
          </w:tcPr>
          <w:p w14:paraId="025185E3" w14:textId="77777777" w:rsidR="004B0883" w:rsidRDefault="004B0883">
            <w:pPr>
              <w:adjustRightInd w:val="0"/>
              <w:snapToGrid w:val="0"/>
              <w:jc w:val="center"/>
              <w:rPr>
                <w:b/>
                <w:bCs/>
                <w:kern w:val="0"/>
              </w:rPr>
            </w:pPr>
            <w:r>
              <w:rPr>
                <w:b/>
                <w:bCs/>
                <w:kern w:val="0"/>
              </w:rPr>
              <w:t>账面价值</w:t>
            </w:r>
          </w:p>
        </w:tc>
      </w:tr>
      <w:tr w:rsidR="004B0883" w14:paraId="50ECE8EC" w14:textId="77777777">
        <w:trPr>
          <w:trHeight w:val="397"/>
          <w:jc w:val="center"/>
        </w:trPr>
        <w:tc>
          <w:tcPr>
            <w:tcW w:w="2500" w:type="pct"/>
            <w:vAlign w:val="center"/>
          </w:tcPr>
          <w:p w14:paraId="23A8D835" w14:textId="77777777" w:rsidR="004B0883" w:rsidRDefault="004B0883">
            <w:pPr>
              <w:adjustRightInd w:val="0"/>
              <w:snapToGrid w:val="0"/>
              <w:rPr>
                <w:kern w:val="0"/>
              </w:rPr>
            </w:pPr>
            <w:r>
              <w:rPr>
                <w:kern w:val="0"/>
              </w:rPr>
              <w:t>预付</w:t>
            </w:r>
            <w:r>
              <w:rPr>
                <w:rFonts w:hint="eastAsia"/>
                <w:kern w:val="0"/>
              </w:rPr>
              <w:t>软件</w:t>
            </w:r>
            <w:r>
              <w:rPr>
                <w:kern w:val="0"/>
              </w:rPr>
              <w:t>款</w:t>
            </w:r>
          </w:p>
        </w:tc>
        <w:tc>
          <w:tcPr>
            <w:tcW w:w="2500" w:type="pct"/>
            <w:vAlign w:val="center"/>
          </w:tcPr>
          <w:p w14:paraId="1F7B1BF9" w14:textId="77777777" w:rsidR="004B0883" w:rsidRDefault="004B0883">
            <w:pPr>
              <w:adjustRightInd w:val="0"/>
              <w:snapToGrid w:val="0"/>
              <w:jc w:val="right"/>
              <w:rPr>
                <w:kern w:val="0"/>
              </w:rPr>
            </w:pPr>
            <w:r>
              <w:rPr>
                <w:rFonts w:hint="eastAsia"/>
              </w:rPr>
              <w:t>2.00</w:t>
            </w:r>
          </w:p>
        </w:tc>
      </w:tr>
      <w:tr w:rsidR="004B0883" w14:paraId="069195D9" w14:textId="77777777">
        <w:trPr>
          <w:trHeight w:val="397"/>
          <w:jc w:val="center"/>
        </w:trPr>
        <w:tc>
          <w:tcPr>
            <w:tcW w:w="2500" w:type="pct"/>
            <w:vAlign w:val="center"/>
          </w:tcPr>
          <w:p w14:paraId="2BB0968A" w14:textId="77777777" w:rsidR="004B0883" w:rsidRDefault="004B0883">
            <w:pPr>
              <w:adjustRightInd w:val="0"/>
              <w:snapToGrid w:val="0"/>
              <w:jc w:val="center"/>
              <w:rPr>
                <w:b/>
                <w:bCs/>
                <w:kern w:val="0"/>
              </w:rPr>
            </w:pPr>
            <w:r>
              <w:rPr>
                <w:b/>
                <w:bCs/>
                <w:kern w:val="0"/>
              </w:rPr>
              <w:t>合计</w:t>
            </w:r>
          </w:p>
        </w:tc>
        <w:tc>
          <w:tcPr>
            <w:tcW w:w="2500" w:type="pct"/>
            <w:vAlign w:val="center"/>
          </w:tcPr>
          <w:p w14:paraId="308C0466" w14:textId="77777777" w:rsidR="004B0883" w:rsidRDefault="004B0883">
            <w:pPr>
              <w:adjustRightInd w:val="0"/>
              <w:snapToGrid w:val="0"/>
              <w:jc w:val="right"/>
              <w:rPr>
                <w:b/>
                <w:bCs/>
                <w:kern w:val="0"/>
              </w:rPr>
            </w:pPr>
            <w:r>
              <w:rPr>
                <w:rFonts w:hint="eastAsia"/>
                <w:b/>
                <w:bCs/>
                <w:kern w:val="0"/>
              </w:rPr>
              <w:t>2.00</w:t>
            </w:r>
          </w:p>
        </w:tc>
      </w:tr>
    </w:tbl>
    <w:p w14:paraId="1A2E62AD" w14:textId="77777777" w:rsidR="004B0883" w:rsidRDefault="004B0883">
      <w:pPr>
        <w:pStyle w:val="005"/>
        <w:spacing w:before="120"/>
        <w:ind w:firstLine="480"/>
      </w:pPr>
      <w:r>
        <w:rPr>
          <w:rFonts w:hint="eastAsia"/>
        </w:rPr>
        <w:t>上述其他非流动资产不属于财务性投资或类金融投资。</w:t>
      </w:r>
    </w:p>
    <w:p w14:paraId="008C4D36" w14:textId="77777777" w:rsidR="004B0883" w:rsidRDefault="004B0883">
      <w:pPr>
        <w:pStyle w:val="005"/>
        <w:spacing w:before="120"/>
        <w:ind w:firstLine="480"/>
        <w:rPr>
          <w:color w:val="000000"/>
        </w:rPr>
      </w:pPr>
      <w:bookmarkStart w:id="346" w:name="_Hlk138965871"/>
      <w:r>
        <w:rPr>
          <w:rFonts w:hint="eastAsia"/>
          <w:color w:val="000000"/>
        </w:rPr>
        <w:t>综上所述，截至</w:t>
      </w:r>
      <w:r>
        <w:rPr>
          <w:color w:val="000000"/>
        </w:rPr>
        <w:t>2023</w:t>
      </w:r>
      <w:r>
        <w:rPr>
          <w:rFonts w:hint="eastAsia"/>
          <w:color w:val="000000"/>
        </w:rPr>
        <w:t>年</w:t>
      </w:r>
      <w:r>
        <w:rPr>
          <w:rFonts w:hint="eastAsia"/>
          <w:color w:val="000000"/>
        </w:rPr>
        <w:t>9</w:t>
      </w:r>
      <w:r>
        <w:rPr>
          <w:rFonts w:hint="eastAsia"/>
          <w:color w:val="000000"/>
        </w:rPr>
        <w:t>月</w:t>
      </w:r>
      <w:r>
        <w:rPr>
          <w:color w:val="000000"/>
        </w:rPr>
        <w:t>30</w:t>
      </w:r>
      <w:r>
        <w:rPr>
          <w:rFonts w:hint="eastAsia"/>
          <w:color w:val="000000"/>
        </w:rPr>
        <w:t>日，发行人财务性投资金额为</w:t>
      </w:r>
      <w:r>
        <w:rPr>
          <w:color w:val="000000"/>
        </w:rPr>
        <w:t>11,138.97</w:t>
      </w:r>
      <w:r>
        <w:rPr>
          <w:rFonts w:hint="eastAsia"/>
          <w:color w:val="000000"/>
        </w:rPr>
        <w:t>万元，占发行人</w:t>
      </w:r>
      <w:r>
        <w:rPr>
          <w:color w:val="000000"/>
        </w:rPr>
        <w:t>2023</w:t>
      </w:r>
      <w:r>
        <w:rPr>
          <w:rFonts w:hint="eastAsia"/>
          <w:color w:val="000000"/>
        </w:rPr>
        <w:t>年</w:t>
      </w:r>
      <w:r>
        <w:rPr>
          <w:rFonts w:hint="eastAsia"/>
          <w:color w:val="000000"/>
        </w:rPr>
        <w:t>9</w:t>
      </w:r>
      <w:r>
        <w:rPr>
          <w:rFonts w:hint="eastAsia"/>
          <w:color w:val="000000"/>
        </w:rPr>
        <w:t>月</w:t>
      </w:r>
      <w:r>
        <w:rPr>
          <w:color w:val="000000"/>
        </w:rPr>
        <w:t>30</w:t>
      </w:r>
      <w:r>
        <w:rPr>
          <w:rFonts w:hint="eastAsia"/>
          <w:color w:val="000000"/>
        </w:rPr>
        <w:t>日归属于母公司净资产</w:t>
      </w:r>
      <w:r>
        <w:rPr>
          <w:color w:val="000000"/>
        </w:rPr>
        <w:t>78,281.01</w:t>
      </w:r>
      <w:r>
        <w:rPr>
          <w:rFonts w:hint="eastAsia"/>
          <w:color w:val="000000"/>
        </w:rPr>
        <w:t>万元的比例为</w:t>
      </w:r>
      <w:bookmarkEnd w:id="346"/>
      <w:r>
        <w:rPr>
          <w:color w:val="000000"/>
        </w:rPr>
        <w:t>14.23%</w:t>
      </w:r>
      <w:r>
        <w:rPr>
          <w:rFonts w:hint="eastAsia"/>
          <w:color w:val="000000"/>
        </w:rPr>
        <w:t>。</w:t>
      </w:r>
    </w:p>
    <w:p w14:paraId="217AB33C" w14:textId="77777777" w:rsidR="004B0883" w:rsidRDefault="004B0883">
      <w:pPr>
        <w:pStyle w:val="002"/>
        <w:spacing w:before="120" w:after="120"/>
      </w:pPr>
      <w:bookmarkStart w:id="347" w:name="_Toc152320810"/>
      <w:bookmarkEnd w:id="336"/>
      <w:bookmarkEnd w:id="337"/>
      <w:r>
        <w:rPr>
          <w:rFonts w:hint="eastAsia"/>
        </w:rPr>
        <w:t>七、公司经营成果分析</w:t>
      </w:r>
      <w:bookmarkEnd w:id="347"/>
    </w:p>
    <w:p w14:paraId="7B3ADB7D" w14:textId="77777777" w:rsidR="004B0883" w:rsidRDefault="004B0883">
      <w:pPr>
        <w:pStyle w:val="003"/>
        <w:spacing w:before="120" w:after="120"/>
      </w:pPr>
      <w:bookmarkStart w:id="348" w:name="_Toc509261545"/>
      <w:bookmarkStart w:id="349" w:name="_Toc20246"/>
      <w:bookmarkStart w:id="350" w:name="_Toc87206143"/>
      <w:r>
        <w:t>（一）营业收入分析</w:t>
      </w:r>
    </w:p>
    <w:p w14:paraId="1C0335D3" w14:textId="77777777" w:rsidR="004B0883" w:rsidRDefault="004B0883">
      <w:pPr>
        <w:pStyle w:val="005"/>
        <w:spacing w:before="120"/>
        <w:ind w:firstLine="480"/>
      </w:pPr>
      <w:bookmarkStart w:id="351" w:name="_Hlk144009881"/>
      <w:r>
        <w:t>报告期各期，公司营业收入构成情况如下：</w:t>
      </w:r>
    </w:p>
    <w:p w14:paraId="42348EA2" w14:textId="77777777" w:rsidR="004B0883" w:rsidRDefault="004B0883">
      <w:pPr>
        <w:pStyle w:val="009"/>
      </w:pPr>
      <w: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33"/>
        <w:gridCol w:w="918"/>
        <w:gridCol w:w="921"/>
        <w:gridCol w:w="917"/>
        <w:gridCol w:w="919"/>
        <w:gridCol w:w="917"/>
        <w:gridCol w:w="919"/>
        <w:gridCol w:w="917"/>
        <w:gridCol w:w="919"/>
      </w:tblGrid>
      <w:tr w:rsidR="004B0883" w14:paraId="41147D67" w14:textId="77777777">
        <w:trPr>
          <w:trHeight w:val="397"/>
          <w:tblHeader/>
          <w:jc w:val="center"/>
        </w:trPr>
        <w:tc>
          <w:tcPr>
            <w:tcW w:w="563" w:type="pct"/>
            <w:vMerge w:val="restart"/>
            <w:shd w:val="clear" w:color="auto" w:fill="D9D9D9"/>
            <w:tcMar>
              <w:top w:w="0" w:type="dxa"/>
              <w:left w:w="28" w:type="dxa"/>
              <w:bottom w:w="0" w:type="dxa"/>
              <w:right w:w="28" w:type="dxa"/>
            </w:tcMar>
            <w:vAlign w:val="center"/>
          </w:tcPr>
          <w:p w14:paraId="7550B26B" w14:textId="77777777" w:rsidR="004B0883" w:rsidRDefault="004B0883">
            <w:pPr>
              <w:jc w:val="center"/>
              <w:rPr>
                <w:b/>
                <w:color w:val="000000"/>
              </w:rPr>
            </w:pPr>
            <w:r>
              <w:rPr>
                <w:b/>
                <w:color w:val="000000"/>
              </w:rPr>
              <w:t>项目</w:t>
            </w:r>
          </w:p>
        </w:tc>
        <w:tc>
          <w:tcPr>
            <w:tcW w:w="1110" w:type="pct"/>
            <w:gridSpan w:val="2"/>
            <w:shd w:val="clear" w:color="auto" w:fill="D9D9D9"/>
            <w:tcMar>
              <w:top w:w="0" w:type="dxa"/>
              <w:left w:w="28" w:type="dxa"/>
              <w:bottom w:w="0" w:type="dxa"/>
              <w:right w:w="28" w:type="dxa"/>
            </w:tcMar>
            <w:vAlign w:val="center"/>
          </w:tcPr>
          <w:p w14:paraId="33D99D58" w14:textId="77777777" w:rsidR="004B0883" w:rsidRDefault="004B0883">
            <w:pPr>
              <w:jc w:val="center"/>
              <w:rPr>
                <w:b/>
                <w:color w:val="000000"/>
              </w:rPr>
            </w:pPr>
            <w:r>
              <w:rPr>
                <w:b/>
                <w:color w:val="000000"/>
              </w:rPr>
              <w:t>2023</w:t>
            </w:r>
            <w:r>
              <w:rPr>
                <w:b/>
                <w:color w:val="000000"/>
              </w:rPr>
              <w:t>年</w:t>
            </w:r>
            <w:r>
              <w:rPr>
                <w:b/>
                <w:color w:val="000000"/>
              </w:rPr>
              <w:t>1-9</w:t>
            </w:r>
            <w:r>
              <w:rPr>
                <w:b/>
                <w:color w:val="000000"/>
              </w:rPr>
              <w:t>月</w:t>
            </w:r>
          </w:p>
        </w:tc>
        <w:tc>
          <w:tcPr>
            <w:tcW w:w="1109" w:type="pct"/>
            <w:gridSpan w:val="2"/>
            <w:shd w:val="clear" w:color="auto" w:fill="D9D9D9"/>
            <w:tcMar>
              <w:top w:w="0" w:type="dxa"/>
              <w:left w:w="28" w:type="dxa"/>
              <w:bottom w:w="0" w:type="dxa"/>
              <w:right w:w="28" w:type="dxa"/>
            </w:tcMar>
            <w:vAlign w:val="center"/>
          </w:tcPr>
          <w:p w14:paraId="3E761727" w14:textId="77777777" w:rsidR="004B0883" w:rsidRDefault="004B0883">
            <w:pPr>
              <w:jc w:val="center"/>
              <w:rPr>
                <w:b/>
                <w:color w:val="000000"/>
              </w:rPr>
            </w:pPr>
            <w:r>
              <w:rPr>
                <w:b/>
                <w:color w:val="000000"/>
              </w:rPr>
              <w:t>2022</w:t>
            </w:r>
            <w:r>
              <w:rPr>
                <w:b/>
                <w:color w:val="000000"/>
              </w:rPr>
              <w:t>年度</w:t>
            </w:r>
          </w:p>
        </w:tc>
        <w:tc>
          <w:tcPr>
            <w:tcW w:w="1109" w:type="pct"/>
            <w:gridSpan w:val="2"/>
            <w:shd w:val="clear" w:color="auto" w:fill="D9D9D9"/>
            <w:tcMar>
              <w:top w:w="0" w:type="dxa"/>
              <w:left w:w="28" w:type="dxa"/>
              <w:bottom w:w="0" w:type="dxa"/>
              <w:right w:w="28" w:type="dxa"/>
            </w:tcMar>
            <w:vAlign w:val="center"/>
          </w:tcPr>
          <w:p w14:paraId="5363195F" w14:textId="77777777" w:rsidR="004B0883" w:rsidRDefault="004B0883">
            <w:pPr>
              <w:jc w:val="center"/>
              <w:rPr>
                <w:b/>
                <w:color w:val="000000"/>
              </w:rPr>
            </w:pPr>
            <w:r>
              <w:rPr>
                <w:b/>
                <w:color w:val="000000"/>
              </w:rPr>
              <w:t>2021</w:t>
            </w:r>
            <w:r>
              <w:rPr>
                <w:b/>
                <w:color w:val="000000"/>
              </w:rPr>
              <w:t>年度</w:t>
            </w:r>
          </w:p>
        </w:tc>
        <w:tc>
          <w:tcPr>
            <w:tcW w:w="1109" w:type="pct"/>
            <w:gridSpan w:val="2"/>
            <w:shd w:val="clear" w:color="auto" w:fill="D9D9D9"/>
            <w:tcMar>
              <w:top w:w="0" w:type="dxa"/>
              <w:left w:w="28" w:type="dxa"/>
              <w:bottom w:w="0" w:type="dxa"/>
              <w:right w:w="28" w:type="dxa"/>
            </w:tcMar>
            <w:vAlign w:val="center"/>
          </w:tcPr>
          <w:p w14:paraId="1BD12210" w14:textId="77777777" w:rsidR="004B0883" w:rsidRDefault="004B0883">
            <w:pPr>
              <w:jc w:val="center"/>
              <w:rPr>
                <w:b/>
                <w:color w:val="000000"/>
              </w:rPr>
            </w:pPr>
            <w:r>
              <w:rPr>
                <w:b/>
                <w:color w:val="000000"/>
              </w:rPr>
              <w:t>2020</w:t>
            </w:r>
            <w:r>
              <w:rPr>
                <w:b/>
                <w:color w:val="000000"/>
              </w:rPr>
              <w:t>年度</w:t>
            </w:r>
          </w:p>
        </w:tc>
      </w:tr>
      <w:tr w:rsidR="004B0883" w14:paraId="0766E9AB" w14:textId="77777777">
        <w:trPr>
          <w:trHeight w:val="397"/>
          <w:tblHeader/>
          <w:jc w:val="center"/>
        </w:trPr>
        <w:tc>
          <w:tcPr>
            <w:tcW w:w="563" w:type="pct"/>
            <w:vMerge/>
            <w:shd w:val="clear" w:color="auto" w:fill="D9D9D9"/>
            <w:tcMar>
              <w:top w:w="0" w:type="dxa"/>
              <w:left w:w="28" w:type="dxa"/>
              <w:bottom w:w="0" w:type="dxa"/>
              <w:right w:w="28" w:type="dxa"/>
            </w:tcMar>
            <w:vAlign w:val="center"/>
          </w:tcPr>
          <w:p w14:paraId="4A1BBE18" w14:textId="77777777" w:rsidR="004B0883" w:rsidRDefault="004B0883">
            <w:pPr>
              <w:jc w:val="center"/>
              <w:rPr>
                <w:b/>
                <w:color w:val="000000"/>
              </w:rPr>
            </w:pPr>
          </w:p>
        </w:tc>
        <w:tc>
          <w:tcPr>
            <w:tcW w:w="554" w:type="pct"/>
            <w:shd w:val="clear" w:color="auto" w:fill="D9D9D9"/>
            <w:tcMar>
              <w:top w:w="0" w:type="dxa"/>
              <w:left w:w="28" w:type="dxa"/>
              <w:bottom w:w="0" w:type="dxa"/>
              <w:right w:w="28" w:type="dxa"/>
            </w:tcMar>
            <w:vAlign w:val="center"/>
          </w:tcPr>
          <w:p w14:paraId="25588B38" w14:textId="77777777" w:rsidR="004B0883" w:rsidRDefault="004B0883">
            <w:pPr>
              <w:jc w:val="center"/>
              <w:rPr>
                <w:b/>
                <w:color w:val="000000"/>
              </w:rPr>
            </w:pPr>
            <w:r>
              <w:rPr>
                <w:b/>
                <w:color w:val="000000"/>
              </w:rPr>
              <w:t>金额</w:t>
            </w:r>
          </w:p>
        </w:tc>
        <w:tc>
          <w:tcPr>
            <w:tcW w:w="555" w:type="pct"/>
            <w:shd w:val="clear" w:color="auto" w:fill="D9D9D9"/>
            <w:tcMar>
              <w:top w:w="0" w:type="dxa"/>
              <w:left w:w="28" w:type="dxa"/>
              <w:bottom w:w="0" w:type="dxa"/>
              <w:right w:w="28" w:type="dxa"/>
            </w:tcMar>
            <w:vAlign w:val="center"/>
          </w:tcPr>
          <w:p w14:paraId="50E1976B" w14:textId="77777777" w:rsidR="004B0883" w:rsidRDefault="004B0883">
            <w:pPr>
              <w:jc w:val="center"/>
              <w:rPr>
                <w:b/>
                <w:color w:val="000000"/>
              </w:rPr>
            </w:pPr>
            <w:r>
              <w:rPr>
                <w:b/>
                <w:color w:val="000000"/>
              </w:rPr>
              <w:t>占比</w:t>
            </w:r>
          </w:p>
        </w:tc>
        <w:tc>
          <w:tcPr>
            <w:tcW w:w="554" w:type="pct"/>
            <w:shd w:val="clear" w:color="auto" w:fill="D9D9D9"/>
            <w:tcMar>
              <w:top w:w="0" w:type="dxa"/>
              <w:left w:w="28" w:type="dxa"/>
              <w:bottom w:w="0" w:type="dxa"/>
              <w:right w:w="28" w:type="dxa"/>
            </w:tcMar>
            <w:vAlign w:val="center"/>
          </w:tcPr>
          <w:p w14:paraId="797AC6EC" w14:textId="77777777" w:rsidR="004B0883" w:rsidRDefault="004B0883">
            <w:pPr>
              <w:jc w:val="center"/>
              <w:rPr>
                <w:b/>
                <w:color w:val="000000"/>
              </w:rPr>
            </w:pPr>
            <w:r>
              <w:rPr>
                <w:b/>
                <w:color w:val="000000"/>
              </w:rPr>
              <w:t>金额</w:t>
            </w:r>
          </w:p>
        </w:tc>
        <w:tc>
          <w:tcPr>
            <w:tcW w:w="555" w:type="pct"/>
            <w:shd w:val="clear" w:color="auto" w:fill="D9D9D9"/>
            <w:tcMar>
              <w:top w:w="0" w:type="dxa"/>
              <w:left w:w="28" w:type="dxa"/>
              <w:bottom w:w="0" w:type="dxa"/>
              <w:right w:w="28" w:type="dxa"/>
            </w:tcMar>
            <w:vAlign w:val="center"/>
          </w:tcPr>
          <w:p w14:paraId="762E50E1" w14:textId="77777777" w:rsidR="004B0883" w:rsidRDefault="004B0883">
            <w:pPr>
              <w:jc w:val="center"/>
              <w:rPr>
                <w:b/>
                <w:color w:val="000000"/>
              </w:rPr>
            </w:pPr>
            <w:r>
              <w:rPr>
                <w:b/>
                <w:color w:val="000000"/>
              </w:rPr>
              <w:t>占比</w:t>
            </w:r>
          </w:p>
        </w:tc>
        <w:tc>
          <w:tcPr>
            <w:tcW w:w="554" w:type="pct"/>
            <w:shd w:val="clear" w:color="auto" w:fill="D9D9D9"/>
            <w:tcMar>
              <w:top w:w="0" w:type="dxa"/>
              <w:left w:w="28" w:type="dxa"/>
              <w:bottom w:w="0" w:type="dxa"/>
              <w:right w:w="28" w:type="dxa"/>
            </w:tcMar>
            <w:vAlign w:val="center"/>
          </w:tcPr>
          <w:p w14:paraId="69E1BF66" w14:textId="77777777" w:rsidR="004B0883" w:rsidRDefault="004B0883">
            <w:pPr>
              <w:jc w:val="center"/>
              <w:rPr>
                <w:b/>
                <w:color w:val="000000"/>
              </w:rPr>
            </w:pPr>
            <w:r>
              <w:rPr>
                <w:b/>
                <w:color w:val="000000"/>
              </w:rPr>
              <w:t>金额</w:t>
            </w:r>
          </w:p>
        </w:tc>
        <w:tc>
          <w:tcPr>
            <w:tcW w:w="555" w:type="pct"/>
            <w:shd w:val="clear" w:color="auto" w:fill="D9D9D9"/>
            <w:tcMar>
              <w:top w:w="0" w:type="dxa"/>
              <w:left w:w="28" w:type="dxa"/>
              <w:bottom w:w="0" w:type="dxa"/>
              <w:right w:w="28" w:type="dxa"/>
            </w:tcMar>
            <w:vAlign w:val="center"/>
          </w:tcPr>
          <w:p w14:paraId="1478890B" w14:textId="77777777" w:rsidR="004B0883" w:rsidRDefault="004B0883">
            <w:pPr>
              <w:jc w:val="center"/>
              <w:rPr>
                <w:b/>
                <w:color w:val="000000"/>
              </w:rPr>
            </w:pPr>
            <w:r>
              <w:rPr>
                <w:b/>
                <w:color w:val="000000"/>
              </w:rPr>
              <w:t>占比</w:t>
            </w:r>
          </w:p>
        </w:tc>
        <w:tc>
          <w:tcPr>
            <w:tcW w:w="554" w:type="pct"/>
            <w:shd w:val="clear" w:color="auto" w:fill="D9D9D9"/>
            <w:tcMar>
              <w:top w:w="0" w:type="dxa"/>
              <w:left w:w="28" w:type="dxa"/>
              <w:bottom w:w="0" w:type="dxa"/>
              <w:right w:w="28" w:type="dxa"/>
            </w:tcMar>
            <w:vAlign w:val="center"/>
          </w:tcPr>
          <w:p w14:paraId="6F2E2E6E" w14:textId="77777777" w:rsidR="004B0883" w:rsidRDefault="004B0883">
            <w:pPr>
              <w:jc w:val="center"/>
              <w:rPr>
                <w:b/>
                <w:color w:val="000000"/>
              </w:rPr>
            </w:pPr>
            <w:r>
              <w:rPr>
                <w:b/>
                <w:color w:val="000000"/>
              </w:rPr>
              <w:t>金额</w:t>
            </w:r>
          </w:p>
        </w:tc>
        <w:tc>
          <w:tcPr>
            <w:tcW w:w="555" w:type="pct"/>
            <w:shd w:val="clear" w:color="auto" w:fill="D9D9D9"/>
            <w:tcMar>
              <w:top w:w="0" w:type="dxa"/>
              <w:left w:w="28" w:type="dxa"/>
              <w:bottom w:w="0" w:type="dxa"/>
              <w:right w:w="28" w:type="dxa"/>
            </w:tcMar>
            <w:vAlign w:val="center"/>
          </w:tcPr>
          <w:p w14:paraId="59B81E15" w14:textId="77777777" w:rsidR="004B0883" w:rsidRDefault="004B0883">
            <w:pPr>
              <w:jc w:val="center"/>
              <w:rPr>
                <w:b/>
                <w:color w:val="000000"/>
              </w:rPr>
            </w:pPr>
            <w:r>
              <w:rPr>
                <w:b/>
                <w:color w:val="000000"/>
              </w:rPr>
              <w:t>占比</w:t>
            </w:r>
          </w:p>
        </w:tc>
      </w:tr>
      <w:tr w:rsidR="004B0883" w14:paraId="2C23C967" w14:textId="77777777">
        <w:trPr>
          <w:trHeight w:val="397"/>
          <w:jc w:val="center"/>
        </w:trPr>
        <w:tc>
          <w:tcPr>
            <w:tcW w:w="563" w:type="pct"/>
            <w:tcMar>
              <w:top w:w="0" w:type="dxa"/>
              <w:left w:w="28" w:type="dxa"/>
              <w:bottom w:w="0" w:type="dxa"/>
              <w:right w:w="28" w:type="dxa"/>
            </w:tcMar>
            <w:vAlign w:val="center"/>
          </w:tcPr>
          <w:p w14:paraId="121EF707" w14:textId="77777777" w:rsidR="004B0883" w:rsidRDefault="004B0883">
            <w:pPr>
              <w:rPr>
                <w:color w:val="000000"/>
              </w:rPr>
            </w:pPr>
            <w:r>
              <w:rPr>
                <w:color w:val="000000"/>
              </w:rPr>
              <w:t>主营业务收入</w:t>
            </w:r>
          </w:p>
        </w:tc>
        <w:tc>
          <w:tcPr>
            <w:tcW w:w="554" w:type="pct"/>
            <w:tcMar>
              <w:top w:w="0" w:type="dxa"/>
              <w:left w:w="28" w:type="dxa"/>
              <w:bottom w:w="0" w:type="dxa"/>
              <w:right w:w="28" w:type="dxa"/>
            </w:tcMar>
            <w:vAlign w:val="center"/>
          </w:tcPr>
          <w:p w14:paraId="48F779F8" w14:textId="77777777" w:rsidR="004B0883" w:rsidRDefault="004B0883">
            <w:pPr>
              <w:jc w:val="right"/>
              <w:rPr>
                <w:color w:val="000000"/>
                <w:kern w:val="0"/>
              </w:rPr>
            </w:pPr>
            <w:r>
              <w:rPr>
                <w:color w:val="000000"/>
              </w:rPr>
              <w:t>39,681.76</w:t>
            </w:r>
          </w:p>
        </w:tc>
        <w:tc>
          <w:tcPr>
            <w:tcW w:w="555" w:type="pct"/>
            <w:tcMar>
              <w:top w:w="0" w:type="dxa"/>
              <w:left w:w="28" w:type="dxa"/>
              <w:bottom w:w="0" w:type="dxa"/>
              <w:right w:w="28" w:type="dxa"/>
            </w:tcMar>
            <w:vAlign w:val="center"/>
          </w:tcPr>
          <w:p w14:paraId="590F024C" w14:textId="77777777" w:rsidR="004B0883" w:rsidRDefault="004B0883">
            <w:pPr>
              <w:jc w:val="right"/>
              <w:rPr>
                <w:color w:val="000000"/>
              </w:rPr>
            </w:pPr>
            <w:r>
              <w:rPr>
                <w:rFonts w:hint="eastAsia"/>
                <w:color w:val="000000"/>
                <w:sz w:val="22"/>
                <w:szCs w:val="22"/>
              </w:rPr>
              <w:t>99.43%</w:t>
            </w:r>
          </w:p>
        </w:tc>
        <w:tc>
          <w:tcPr>
            <w:tcW w:w="554" w:type="pct"/>
            <w:tcMar>
              <w:top w:w="0" w:type="dxa"/>
              <w:left w:w="28" w:type="dxa"/>
              <w:bottom w:w="0" w:type="dxa"/>
              <w:right w:w="28" w:type="dxa"/>
            </w:tcMar>
            <w:vAlign w:val="center"/>
          </w:tcPr>
          <w:p w14:paraId="2FD80A55" w14:textId="77777777" w:rsidR="004B0883" w:rsidRDefault="004B0883">
            <w:pPr>
              <w:jc w:val="right"/>
              <w:rPr>
                <w:color w:val="000000"/>
              </w:rPr>
            </w:pPr>
            <w:r>
              <w:rPr>
                <w:rFonts w:eastAsia="等线"/>
                <w:color w:val="000000"/>
              </w:rPr>
              <w:t>53,496.13</w:t>
            </w:r>
          </w:p>
        </w:tc>
        <w:tc>
          <w:tcPr>
            <w:tcW w:w="555" w:type="pct"/>
            <w:tcMar>
              <w:top w:w="0" w:type="dxa"/>
              <w:left w:w="28" w:type="dxa"/>
              <w:bottom w:w="0" w:type="dxa"/>
              <w:right w:w="28" w:type="dxa"/>
            </w:tcMar>
            <w:vAlign w:val="center"/>
          </w:tcPr>
          <w:p w14:paraId="0E1127DD" w14:textId="77777777" w:rsidR="004B0883" w:rsidRDefault="004B0883">
            <w:pPr>
              <w:jc w:val="right"/>
              <w:rPr>
                <w:color w:val="000000"/>
              </w:rPr>
            </w:pPr>
            <w:r>
              <w:rPr>
                <w:rFonts w:eastAsia="等线"/>
                <w:color w:val="000000"/>
              </w:rPr>
              <w:t>99.04%</w:t>
            </w:r>
          </w:p>
        </w:tc>
        <w:tc>
          <w:tcPr>
            <w:tcW w:w="554" w:type="pct"/>
            <w:tcMar>
              <w:top w:w="0" w:type="dxa"/>
              <w:left w:w="28" w:type="dxa"/>
              <w:bottom w:w="0" w:type="dxa"/>
              <w:right w:w="28" w:type="dxa"/>
            </w:tcMar>
            <w:vAlign w:val="center"/>
          </w:tcPr>
          <w:p w14:paraId="4332F99D" w14:textId="77777777" w:rsidR="004B0883" w:rsidRDefault="004B0883">
            <w:pPr>
              <w:jc w:val="right"/>
              <w:rPr>
                <w:color w:val="000000"/>
              </w:rPr>
            </w:pPr>
            <w:r>
              <w:rPr>
                <w:rFonts w:eastAsia="等线"/>
                <w:color w:val="000000"/>
              </w:rPr>
              <w:t>41,175.41</w:t>
            </w:r>
          </w:p>
        </w:tc>
        <w:tc>
          <w:tcPr>
            <w:tcW w:w="555" w:type="pct"/>
            <w:tcMar>
              <w:top w:w="0" w:type="dxa"/>
              <w:left w:w="28" w:type="dxa"/>
              <w:bottom w:w="0" w:type="dxa"/>
              <w:right w:w="28" w:type="dxa"/>
            </w:tcMar>
            <w:vAlign w:val="center"/>
          </w:tcPr>
          <w:p w14:paraId="159EDBF2" w14:textId="77777777" w:rsidR="004B0883" w:rsidRDefault="004B0883">
            <w:pPr>
              <w:jc w:val="right"/>
              <w:rPr>
                <w:color w:val="000000"/>
              </w:rPr>
            </w:pPr>
            <w:r>
              <w:rPr>
                <w:rFonts w:eastAsia="等线"/>
                <w:color w:val="000000"/>
              </w:rPr>
              <w:t>99.18%</w:t>
            </w:r>
          </w:p>
        </w:tc>
        <w:tc>
          <w:tcPr>
            <w:tcW w:w="554" w:type="pct"/>
            <w:tcMar>
              <w:top w:w="0" w:type="dxa"/>
              <w:left w:w="28" w:type="dxa"/>
              <w:bottom w:w="0" w:type="dxa"/>
              <w:right w:w="28" w:type="dxa"/>
            </w:tcMar>
            <w:vAlign w:val="center"/>
          </w:tcPr>
          <w:p w14:paraId="0A689993" w14:textId="77777777" w:rsidR="004B0883" w:rsidRDefault="004B0883">
            <w:pPr>
              <w:jc w:val="right"/>
              <w:rPr>
                <w:color w:val="000000"/>
              </w:rPr>
            </w:pPr>
            <w:r>
              <w:rPr>
                <w:rFonts w:eastAsia="等线"/>
                <w:color w:val="000000"/>
              </w:rPr>
              <w:t>34,335.39</w:t>
            </w:r>
          </w:p>
        </w:tc>
        <w:tc>
          <w:tcPr>
            <w:tcW w:w="555" w:type="pct"/>
            <w:tcMar>
              <w:top w:w="0" w:type="dxa"/>
              <w:left w:w="28" w:type="dxa"/>
              <w:bottom w:w="0" w:type="dxa"/>
              <w:right w:w="28" w:type="dxa"/>
            </w:tcMar>
            <w:vAlign w:val="center"/>
          </w:tcPr>
          <w:p w14:paraId="69D85AE4" w14:textId="77777777" w:rsidR="004B0883" w:rsidRDefault="004B0883">
            <w:pPr>
              <w:jc w:val="right"/>
              <w:rPr>
                <w:color w:val="000000"/>
              </w:rPr>
            </w:pPr>
            <w:r>
              <w:rPr>
                <w:rFonts w:eastAsia="等线"/>
                <w:color w:val="000000"/>
              </w:rPr>
              <w:t>99.64%</w:t>
            </w:r>
          </w:p>
        </w:tc>
      </w:tr>
      <w:tr w:rsidR="004B0883" w14:paraId="236A206F" w14:textId="77777777">
        <w:trPr>
          <w:trHeight w:val="397"/>
          <w:jc w:val="center"/>
        </w:trPr>
        <w:tc>
          <w:tcPr>
            <w:tcW w:w="563" w:type="pct"/>
            <w:tcMar>
              <w:top w:w="0" w:type="dxa"/>
              <w:left w:w="28" w:type="dxa"/>
              <w:bottom w:w="0" w:type="dxa"/>
              <w:right w:w="28" w:type="dxa"/>
            </w:tcMar>
            <w:vAlign w:val="center"/>
          </w:tcPr>
          <w:p w14:paraId="73F22F75" w14:textId="77777777" w:rsidR="004B0883" w:rsidRDefault="004B0883">
            <w:pPr>
              <w:rPr>
                <w:color w:val="000000"/>
              </w:rPr>
            </w:pPr>
            <w:r>
              <w:rPr>
                <w:color w:val="000000"/>
              </w:rPr>
              <w:t>其他业务收入</w:t>
            </w:r>
          </w:p>
        </w:tc>
        <w:tc>
          <w:tcPr>
            <w:tcW w:w="554" w:type="pct"/>
            <w:tcMar>
              <w:top w:w="0" w:type="dxa"/>
              <w:left w:w="28" w:type="dxa"/>
              <w:bottom w:w="0" w:type="dxa"/>
              <w:right w:w="28" w:type="dxa"/>
            </w:tcMar>
            <w:vAlign w:val="center"/>
          </w:tcPr>
          <w:p w14:paraId="2D13A0CE" w14:textId="77777777" w:rsidR="004B0883" w:rsidRDefault="004B0883">
            <w:pPr>
              <w:jc w:val="right"/>
              <w:rPr>
                <w:color w:val="000000"/>
              </w:rPr>
            </w:pPr>
            <w:r>
              <w:rPr>
                <w:color w:val="000000"/>
              </w:rPr>
              <w:t>227.95</w:t>
            </w:r>
          </w:p>
        </w:tc>
        <w:tc>
          <w:tcPr>
            <w:tcW w:w="555" w:type="pct"/>
            <w:tcMar>
              <w:top w:w="0" w:type="dxa"/>
              <w:left w:w="28" w:type="dxa"/>
              <w:bottom w:w="0" w:type="dxa"/>
              <w:right w:w="28" w:type="dxa"/>
            </w:tcMar>
            <w:vAlign w:val="center"/>
          </w:tcPr>
          <w:p w14:paraId="650CB7B4" w14:textId="77777777" w:rsidR="004B0883" w:rsidRDefault="004B0883">
            <w:pPr>
              <w:jc w:val="right"/>
              <w:rPr>
                <w:color w:val="000000"/>
              </w:rPr>
            </w:pPr>
            <w:r>
              <w:rPr>
                <w:rFonts w:hint="eastAsia"/>
                <w:color w:val="000000"/>
                <w:sz w:val="22"/>
                <w:szCs w:val="22"/>
              </w:rPr>
              <w:t>0.57%</w:t>
            </w:r>
          </w:p>
        </w:tc>
        <w:tc>
          <w:tcPr>
            <w:tcW w:w="554" w:type="pct"/>
            <w:tcMar>
              <w:top w:w="0" w:type="dxa"/>
              <w:left w:w="28" w:type="dxa"/>
              <w:bottom w:w="0" w:type="dxa"/>
              <w:right w:w="28" w:type="dxa"/>
            </w:tcMar>
            <w:vAlign w:val="center"/>
          </w:tcPr>
          <w:p w14:paraId="33F06F6D" w14:textId="77777777" w:rsidR="004B0883" w:rsidRDefault="004B0883">
            <w:pPr>
              <w:jc w:val="right"/>
              <w:rPr>
                <w:color w:val="000000"/>
              </w:rPr>
            </w:pPr>
            <w:r>
              <w:rPr>
                <w:rFonts w:eastAsia="等线"/>
                <w:color w:val="000000"/>
              </w:rPr>
              <w:t>518.03</w:t>
            </w:r>
          </w:p>
        </w:tc>
        <w:tc>
          <w:tcPr>
            <w:tcW w:w="555" w:type="pct"/>
            <w:tcMar>
              <w:top w:w="0" w:type="dxa"/>
              <w:left w:w="28" w:type="dxa"/>
              <w:bottom w:w="0" w:type="dxa"/>
              <w:right w:w="28" w:type="dxa"/>
            </w:tcMar>
            <w:vAlign w:val="center"/>
          </w:tcPr>
          <w:p w14:paraId="29EF65D1" w14:textId="77777777" w:rsidR="004B0883" w:rsidRDefault="004B0883">
            <w:pPr>
              <w:jc w:val="right"/>
              <w:rPr>
                <w:color w:val="000000"/>
              </w:rPr>
            </w:pPr>
            <w:r>
              <w:rPr>
                <w:rFonts w:eastAsia="等线"/>
                <w:color w:val="000000"/>
              </w:rPr>
              <w:t>0.96%</w:t>
            </w:r>
          </w:p>
        </w:tc>
        <w:tc>
          <w:tcPr>
            <w:tcW w:w="554" w:type="pct"/>
            <w:tcMar>
              <w:top w:w="0" w:type="dxa"/>
              <w:left w:w="28" w:type="dxa"/>
              <w:bottom w:w="0" w:type="dxa"/>
              <w:right w:w="28" w:type="dxa"/>
            </w:tcMar>
            <w:vAlign w:val="center"/>
          </w:tcPr>
          <w:p w14:paraId="6021C5C3" w14:textId="77777777" w:rsidR="004B0883" w:rsidRDefault="004B0883">
            <w:pPr>
              <w:jc w:val="right"/>
              <w:rPr>
                <w:color w:val="000000"/>
              </w:rPr>
            </w:pPr>
            <w:r>
              <w:rPr>
                <w:rFonts w:eastAsia="等线"/>
                <w:color w:val="000000"/>
              </w:rPr>
              <w:t>340.87</w:t>
            </w:r>
          </w:p>
        </w:tc>
        <w:tc>
          <w:tcPr>
            <w:tcW w:w="555" w:type="pct"/>
            <w:tcMar>
              <w:top w:w="0" w:type="dxa"/>
              <w:left w:w="28" w:type="dxa"/>
              <w:bottom w:w="0" w:type="dxa"/>
              <w:right w:w="28" w:type="dxa"/>
            </w:tcMar>
            <w:vAlign w:val="center"/>
          </w:tcPr>
          <w:p w14:paraId="0AACA495" w14:textId="77777777" w:rsidR="004B0883" w:rsidRDefault="004B0883">
            <w:pPr>
              <w:jc w:val="right"/>
              <w:rPr>
                <w:color w:val="000000"/>
              </w:rPr>
            </w:pPr>
            <w:r>
              <w:rPr>
                <w:rFonts w:eastAsia="等线"/>
                <w:color w:val="000000"/>
              </w:rPr>
              <w:t>0.82%</w:t>
            </w:r>
          </w:p>
        </w:tc>
        <w:tc>
          <w:tcPr>
            <w:tcW w:w="554" w:type="pct"/>
            <w:tcMar>
              <w:top w:w="0" w:type="dxa"/>
              <w:left w:w="28" w:type="dxa"/>
              <w:bottom w:w="0" w:type="dxa"/>
              <w:right w:w="28" w:type="dxa"/>
            </w:tcMar>
            <w:vAlign w:val="center"/>
          </w:tcPr>
          <w:p w14:paraId="1C329A55" w14:textId="77777777" w:rsidR="004B0883" w:rsidRDefault="004B0883">
            <w:pPr>
              <w:jc w:val="right"/>
              <w:rPr>
                <w:color w:val="000000"/>
              </w:rPr>
            </w:pPr>
            <w:r>
              <w:rPr>
                <w:rFonts w:eastAsia="等线"/>
                <w:color w:val="000000"/>
              </w:rPr>
              <w:t>123.61</w:t>
            </w:r>
          </w:p>
        </w:tc>
        <w:tc>
          <w:tcPr>
            <w:tcW w:w="555" w:type="pct"/>
            <w:tcMar>
              <w:top w:w="0" w:type="dxa"/>
              <w:left w:w="28" w:type="dxa"/>
              <w:bottom w:w="0" w:type="dxa"/>
              <w:right w:w="28" w:type="dxa"/>
            </w:tcMar>
            <w:vAlign w:val="center"/>
          </w:tcPr>
          <w:p w14:paraId="5C577D2D" w14:textId="77777777" w:rsidR="004B0883" w:rsidRDefault="004B0883">
            <w:pPr>
              <w:jc w:val="right"/>
              <w:rPr>
                <w:color w:val="000000"/>
              </w:rPr>
            </w:pPr>
            <w:r>
              <w:rPr>
                <w:rFonts w:eastAsia="等线"/>
                <w:color w:val="000000"/>
              </w:rPr>
              <w:t>0.36%</w:t>
            </w:r>
          </w:p>
        </w:tc>
      </w:tr>
      <w:tr w:rsidR="004B0883" w14:paraId="67FAF37D" w14:textId="77777777">
        <w:trPr>
          <w:trHeight w:val="397"/>
          <w:jc w:val="center"/>
        </w:trPr>
        <w:tc>
          <w:tcPr>
            <w:tcW w:w="563" w:type="pct"/>
            <w:tcMar>
              <w:top w:w="0" w:type="dxa"/>
              <w:left w:w="28" w:type="dxa"/>
              <w:bottom w:w="0" w:type="dxa"/>
              <w:right w:w="28" w:type="dxa"/>
            </w:tcMar>
            <w:vAlign w:val="center"/>
          </w:tcPr>
          <w:p w14:paraId="396B0A2E" w14:textId="77777777" w:rsidR="004B0883" w:rsidRDefault="004B0883">
            <w:pPr>
              <w:jc w:val="center"/>
              <w:rPr>
                <w:b/>
                <w:color w:val="000000"/>
              </w:rPr>
            </w:pPr>
            <w:r>
              <w:rPr>
                <w:b/>
                <w:color w:val="000000"/>
              </w:rPr>
              <w:t>合计</w:t>
            </w:r>
          </w:p>
        </w:tc>
        <w:tc>
          <w:tcPr>
            <w:tcW w:w="554" w:type="pct"/>
            <w:tcMar>
              <w:top w:w="0" w:type="dxa"/>
              <w:left w:w="28" w:type="dxa"/>
              <w:bottom w:w="0" w:type="dxa"/>
              <w:right w:w="28" w:type="dxa"/>
            </w:tcMar>
            <w:vAlign w:val="center"/>
          </w:tcPr>
          <w:p w14:paraId="5A7267F7" w14:textId="77777777" w:rsidR="004B0883" w:rsidRDefault="004B0883">
            <w:pPr>
              <w:jc w:val="right"/>
              <w:rPr>
                <w:b/>
                <w:color w:val="000000"/>
              </w:rPr>
            </w:pPr>
            <w:r>
              <w:rPr>
                <w:b/>
                <w:color w:val="000000"/>
              </w:rPr>
              <w:t>39,909.71</w:t>
            </w:r>
          </w:p>
        </w:tc>
        <w:tc>
          <w:tcPr>
            <w:tcW w:w="555" w:type="pct"/>
            <w:tcMar>
              <w:top w:w="0" w:type="dxa"/>
              <w:left w:w="28" w:type="dxa"/>
              <w:bottom w:w="0" w:type="dxa"/>
              <w:right w:w="28" w:type="dxa"/>
            </w:tcMar>
            <w:vAlign w:val="center"/>
          </w:tcPr>
          <w:p w14:paraId="720B6617" w14:textId="77777777" w:rsidR="004B0883" w:rsidRDefault="004B0883">
            <w:pPr>
              <w:jc w:val="right"/>
              <w:rPr>
                <w:b/>
                <w:color w:val="000000"/>
              </w:rPr>
            </w:pPr>
            <w:r>
              <w:rPr>
                <w:b/>
                <w:color w:val="000000"/>
              </w:rPr>
              <w:t>100.00%</w:t>
            </w:r>
          </w:p>
        </w:tc>
        <w:tc>
          <w:tcPr>
            <w:tcW w:w="554" w:type="pct"/>
            <w:tcMar>
              <w:top w:w="0" w:type="dxa"/>
              <w:left w:w="28" w:type="dxa"/>
              <w:bottom w:w="0" w:type="dxa"/>
              <w:right w:w="28" w:type="dxa"/>
            </w:tcMar>
            <w:vAlign w:val="center"/>
          </w:tcPr>
          <w:p w14:paraId="3A5867C2" w14:textId="77777777" w:rsidR="004B0883" w:rsidRDefault="004B0883">
            <w:pPr>
              <w:jc w:val="right"/>
              <w:rPr>
                <w:b/>
                <w:color w:val="000000"/>
              </w:rPr>
            </w:pPr>
            <w:r>
              <w:rPr>
                <w:rFonts w:eastAsia="等线"/>
                <w:b/>
                <w:color w:val="000000"/>
              </w:rPr>
              <w:t>54,014.16</w:t>
            </w:r>
          </w:p>
        </w:tc>
        <w:tc>
          <w:tcPr>
            <w:tcW w:w="555" w:type="pct"/>
            <w:tcMar>
              <w:top w:w="0" w:type="dxa"/>
              <w:left w:w="28" w:type="dxa"/>
              <w:bottom w:w="0" w:type="dxa"/>
              <w:right w:w="28" w:type="dxa"/>
            </w:tcMar>
            <w:vAlign w:val="center"/>
          </w:tcPr>
          <w:p w14:paraId="6C914A6D" w14:textId="77777777" w:rsidR="004B0883" w:rsidRDefault="004B0883">
            <w:pPr>
              <w:jc w:val="right"/>
              <w:rPr>
                <w:b/>
                <w:color w:val="000000"/>
              </w:rPr>
            </w:pPr>
            <w:r>
              <w:rPr>
                <w:rFonts w:eastAsia="等线"/>
                <w:b/>
                <w:color w:val="000000"/>
              </w:rPr>
              <w:t>100.00%</w:t>
            </w:r>
          </w:p>
        </w:tc>
        <w:tc>
          <w:tcPr>
            <w:tcW w:w="554" w:type="pct"/>
            <w:tcMar>
              <w:top w:w="0" w:type="dxa"/>
              <w:left w:w="28" w:type="dxa"/>
              <w:bottom w:w="0" w:type="dxa"/>
              <w:right w:w="28" w:type="dxa"/>
            </w:tcMar>
            <w:vAlign w:val="center"/>
          </w:tcPr>
          <w:p w14:paraId="1CE12658" w14:textId="77777777" w:rsidR="004B0883" w:rsidRDefault="004B0883">
            <w:pPr>
              <w:jc w:val="right"/>
              <w:rPr>
                <w:b/>
                <w:color w:val="000000"/>
              </w:rPr>
            </w:pPr>
            <w:r>
              <w:rPr>
                <w:rFonts w:eastAsia="等线"/>
                <w:b/>
                <w:color w:val="000000"/>
              </w:rPr>
              <w:t>41,516.27</w:t>
            </w:r>
          </w:p>
        </w:tc>
        <w:tc>
          <w:tcPr>
            <w:tcW w:w="555" w:type="pct"/>
            <w:tcMar>
              <w:top w:w="0" w:type="dxa"/>
              <w:left w:w="28" w:type="dxa"/>
              <w:bottom w:w="0" w:type="dxa"/>
              <w:right w:w="28" w:type="dxa"/>
            </w:tcMar>
            <w:vAlign w:val="center"/>
          </w:tcPr>
          <w:p w14:paraId="0488C36E" w14:textId="77777777" w:rsidR="004B0883" w:rsidRDefault="004B0883">
            <w:pPr>
              <w:jc w:val="right"/>
              <w:rPr>
                <w:b/>
                <w:color w:val="000000"/>
              </w:rPr>
            </w:pPr>
            <w:r>
              <w:rPr>
                <w:rFonts w:eastAsia="等线"/>
                <w:b/>
                <w:color w:val="000000"/>
              </w:rPr>
              <w:t>100.00%</w:t>
            </w:r>
          </w:p>
        </w:tc>
        <w:tc>
          <w:tcPr>
            <w:tcW w:w="554" w:type="pct"/>
            <w:tcMar>
              <w:top w:w="0" w:type="dxa"/>
              <w:left w:w="28" w:type="dxa"/>
              <w:bottom w:w="0" w:type="dxa"/>
              <w:right w:w="28" w:type="dxa"/>
            </w:tcMar>
            <w:vAlign w:val="center"/>
          </w:tcPr>
          <w:p w14:paraId="0DBE150D" w14:textId="77777777" w:rsidR="004B0883" w:rsidRDefault="004B0883">
            <w:pPr>
              <w:jc w:val="right"/>
              <w:rPr>
                <w:b/>
                <w:color w:val="000000"/>
              </w:rPr>
            </w:pPr>
            <w:r>
              <w:rPr>
                <w:rFonts w:eastAsia="等线"/>
                <w:b/>
                <w:color w:val="000000"/>
              </w:rPr>
              <w:t>34,459.00</w:t>
            </w:r>
          </w:p>
        </w:tc>
        <w:tc>
          <w:tcPr>
            <w:tcW w:w="555" w:type="pct"/>
            <w:tcMar>
              <w:top w:w="0" w:type="dxa"/>
              <w:left w:w="28" w:type="dxa"/>
              <w:bottom w:w="0" w:type="dxa"/>
              <w:right w:w="28" w:type="dxa"/>
            </w:tcMar>
            <w:vAlign w:val="center"/>
          </w:tcPr>
          <w:p w14:paraId="503A4F24" w14:textId="77777777" w:rsidR="004B0883" w:rsidRDefault="004B0883">
            <w:pPr>
              <w:jc w:val="right"/>
              <w:rPr>
                <w:b/>
                <w:color w:val="000000"/>
              </w:rPr>
            </w:pPr>
            <w:r>
              <w:rPr>
                <w:rFonts w:eastAsia="等线"/>
                <w:b/>
                <w:color w:val="000000"/>
              </w:rPr>
              <w:t>100.00%</w:t>
            </w:r>
          </w:p>
        </w:tc>
      </w:tr>
    </w:tbl>
    <w:p w14:paraId="215BF354" w14:textId="77777777" w:rsidR="004B0883" w:rsidRDefault="004B0883">
      <w:pPr>
        <w:pStyle w:val="005"/>
        <w:spacing w:before="120"/>
        <w:ind w:firstLine="480"/>
      </w:pPr>
      <w:r>
        <w:t>报告期各期，公司营业收入主要来源于主营业务收入，主营业务收入占公司营业收入的比重均超过</w:t>
      </w:r>
      <w:r>
        <w:t>99%</w:t>
      </w:r>
      <w:r>
        <w:t>。</w:t>
      </w:r>
    </w:p>
    <w:p w14:paraId="5F92AD16" w14:textId="77777777" w:rsidR="004B0883" w:rsidRDefault="004B0883">
      <w:pPr>
        <w:pStyle w:val="005"/>
        <w:spacing w:before="120"/>
        <w:ind w:firstLine="480"/>
      </w:pPr>
      <w:r>
        <w:t>公司主要从事阀门的设计、研发、生产与销售，报告期各期，公司主营业务收入按产品类别构成情况如下：</w:t>
      </w:r>
    </w:p>
    <w:p w14:paraId="19072173" w14:textId="77777777" w:rsidR="004B0883" w:rsidRDefault="004B0883">
      <w:pPr>
        <w:pStyle w:val="009"/>
      </w:pPr>
      <w: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26"/>
        <w:gridCol w:w="990"/>
        <w:gridCol w:w="844"/>
        <w:gridCol w:w="896"/>
        <w:gridCol w:w="844"/>
        <w:gridCol w:w="896"/>
        <w:gridCol w:w="844"/>
        <w:gridCol w:w="896"/>
        <w:gridCol w:w="844"/>
      </w:tblGrid>
      <w:tr w:rsidR="004B0883" w14:paraId="6937962F" w14:textId="77777777">
        <w:trPr>
          <w:trHeight w:val="397"/>
          <w:tblHeader/>
          <w:jc w:val="center"/>
        </w:trPr>
        <w:tc>
          <w:tcPr>
            <w:tcW w:w="760" w:type="pct"/>
            <w:vMerge w:val="restart"/>
            <w:shd w:val="clear" w:color="auto" w:fill="D9D9D9"/>
            <w:tcMar>
              <w:top w:w="0" w:type="dxa"/>
              <w:left w:w="28" w:type="dxa"/>
              <w:bottom w:w="0" w:type="dxa"/>
              <w:right w:w="28" w:type="dxa"/>
            </w:tcMar>
            <w:vAlign w:val="center"/>
          </w:tcPr>
          <w:p w14:paraId="419B074D" w14:textId="77777777" w:rsidR="004B0883" w:rsidRDefault="004B0883">
            <w:pPr>
              <w:jc w:val="center"/>
              <w:rPr>
                <w:b/>
                <w:color w:val="000000"/>
              </w:rPr>
            </w:pPr>
            <w:r>
              <w:rPr>
                <w:b/>
                <w:color w:val="000000"/>
              </w:rPr>
              <w:t>产品名称</w:t>
            </w:r>
          </w:p>
        </w:tc>
        <w:tc>
          <w:tcPr>
            <w:tcW w:w="1121" w:type="pct"/>
            <w:gridSpan w:val="2"/>
            <w:shd w:val="clear" w:color="auto" w:fill="D9D9D9"/>
            <w:tcMar>
              <w:top w:w="0" w:type="dxa"/>
              <w:left w:w="28" w:type="dxa"/>
              <w:bottom w:w="0" w:type="dxa"/>
              <w:right w:w="28" w:type="dxa"/>
            </w:tcMar>
            <w:vAlign w:val="center"/>
          </w:tcPr>
          <w:p w14:paraId="7373FC98" w14:textId="77777777" w:rsidR="004B0883" w:rsidRDefault="004B0883">
            <w:pPr>
              <w:jc w:val="center"/>
              <w:rPr>
                <w:b/>
                <w:color w:val="000000"/>
              </w:rPr>
            </w:pPr>
            <w:r>
              <w:rPr>
                <w:b/>
                <w:color w:val="000000"/>
              </w:rPr>
              <w:t>2023</w:t>
            </w:r>
            <w:r>
              <w:rPr>
                <w:b/>
                <w:color w:val="000000"/>
              </w:rPr>
              <w:t>年</w:t>
            </w:r>
            <w:r>
              <w:rPr>
                <w:b/>
                <w:color w:val="000000"/>
              </w:rPr>
              <w:t>1-9</w:t>
            </w:r>
            <w:r>
              <w:rPr>
                <w:b/>
                <w:color w:val="000000"/>
              </w:rPr>
              <w:t>月</w:t>
            </w:r>
          </w:p>
        </w:tc>
        <w:tc>
          <w:tcPr>
            <w:tcW w:w="1040" w:type="pct"/>
            <w:gridSpan w:val="2"/>
            <w:shd w:val="clear" w:color="auto" w:fill="D9D9D9"/>
            <w:tcMar>
              <w:top w:w="0" w:type="dxa"/>
              <w:left w:w="28" w:type="dxa"/>
              <w:bottom w:w="0" w:type="dxa"/>
              <w:right w:w="28" w:type="dxa"/>
            </w:tcMar>
            <w:vAlign w:val="center"/>
          </w:tcPr>
          <w:p w14:paraId="43AE5B70" w14:textId="77777777" w:rsidR="004B0883" w:rsidRDefault="004B0883">
            <w:pPr>
              <w:jc w:val="center"/>
              <w:rPr>
                <w:b/>
                <w:color w:val="000000"/>
              </w:rPr>
            </w:pPr>
            <w:r>
              <w:rPr>
                <w:b/>
                <w:color w:val="000000"/>
              </w:rPr>
              <w:t>2022</w:t>
            </w:r>
            <w:r>
              <w:rPr>
                <w:b/>
                <w:color w:val="000000"/>
              </w:rPr>
              <w:t>年度</w:t>
            </w:r>
          </w:p>
        </w:tc>
        <w:tc>
          <w:tcPr>
            <w:tcW w:w="1040" w:type="pct"/>
            <w:gridSpan w:val="2"/>
            <w:shd w:val="clear" w:color="auto" w:fill="D9D9D9"/>
            <w:tcMar>
              <w:top w:w="0" w:type="dxa"/>
              <w:left w:w="28" w:type="dxa"/>
              <w:bottom w:w="0" w:type="dxa"/>
              <w:right w:w="28" w:type="dxa"/>
            </w:tcMar>
            <w:vAlign w:val="center"/>
          </w:tcPr>
          <w:p w14:paraId="12F6BA39" w14:textId="77777777" w:rsidR="004B0883" w:rsidRDefault="004B0883">
            <w:pPr>
              <w:jc w:val="center"/>
              <w:rPr>
                <w:b/>
                <w:color w:val="000000"/>
              </w:rPr>
            </w:pPr>
            <w:r>
              <w:rPr>
                <w:b/>
                <w:color w:val="000000"/>
              </w:rPr>
              <w:t>2021</w:t>
            </w:r>
            <w:r>
              <w:rPr>
                <w:b/>
                <w:color w:val="000000"/>
              </w:rPr>
              <w:t>年度</w:t>
            </w:r>
          </w:p>
        </w:tc>
        <w:tc>
          <w:tcPr>
            <w:tcW w:w="1040" w:type="pct"/>
            <w:gridSpan w:val="2"/>
            <w:shd w:val="clear" w:color="auto" w:fill="D9D9D9"/>
            <w:tcMar>
              <w:top w:w="0" w:type="dxa"/>
              <w:left w:w="28" w:type="dxa"/>
              <w:bottom w:w="0" w:type="dxa"/>
              <w:right w:w="28" w:type="dxa"/>
            </w:tcMar>
            <w:vAlign w:val="center"/>
          </w:tcPr>
          <w:p w14:paraId="1E52CAB7" w14:textId="77777777" w:rsidR="004B0883" w:rsidRDefault="004B0883">
            <w:pPr>
              <w:jc w:val="center"/>
              <w:rPr>
                <w:b/>
                <w:color w:val="000000"/>
              </w:rPr>
            </w:pPr>
            <w:r>
              <w:rPr>
                <w:b/>
                <w:color w:val="000000"/>
              </w:rPr>
              <w:t>2020</w:t>
            </w:r>
            <w:r>
              <w:rPr>
                <w:b/>
                <w:color w:val="000000"/>
              </w:rPr>
              <w:t>年度</w:t>
            </w:r>
          </w:p>
        </w:tc>
      </w:tr>
      <w:tr w:rsidR="004B0883" w14:paraId="411F4163" w14:textId="77777777">
        <w:trPr>
          <w:trHeight w:val="397"/>
          <w:tblHeader/>
          <w:jc w:val="center"/>
        </w:trPr>
        <w:tc>
          <w:tcPr>
            <w:tcW w:w="760" w:type="pct"/>
            <w:vMerge/>
            <w:shd w:val="clear" w:color="auto" w:fill="D9D9D9"/>
            <w:tcMar>
              <w:top w:w="0" w:type="dxa"/>
              <w:left w:w="28" w:type="dxa"/>
              <w:bottom w:w="0" w:type="dxa"/>
              <w:right w:w="28" w:type="dxa"/>
            </w:tcMar>
            <w:vAlign w:val="center"/>
          </w:tcPr>
          <w:p w14:paraId="148982C3" w14:textId="77777777" w:rsidR="004B0883" w:rsidRDefault="004B0883">
            <w:pPr>
              <w:jc w:val="center"/>
              <w:rPr>
                <w:b/>
                <w:color w:val="000000"/>
              </w:rPr>
            </w:pPr>
          </w:p>
        </w:tc>
        <w:tc>
          <w:tcPr>
            <w:tcW w:w="617" w:type="pct"/>
            <w:shd w:val="clear" w:color="auto" w:fill="D9D9D9"/>
            <w:tcMar>
              <w:top w:w="0" w:type="dxa"/>
              <w:left w:w="28" w:type="dxa"/>
              <w:bottom w:w="0" w:type="dxa"/>
              <w:right w:w="28" w:type="dxa"/>
            </w:tcMar>
            <w:vAlign w:val="center"/>
          </w:tcPr>
          <w:p w14:paraId="7A6A25B7" w14:textId="77777777" w:rsidR="004B0883" w:rsidRDefault="004B0883">
            <w:pPr>
              <w:jc w:val="center"/>
              <w:rPr>
                <w:b/>
                <w:color w:val="000000"/>
              </w:rPr>
            </w:pPr>
            <w:r>
              <w:rPr>
                <w:b/>
                <w:color w:val="000000"/>
              </w:rPr>
              <w:t>金额</w:t>
            </w:r>
          </w:p>
        </w:tc>
        <w:tc>
          <w:tcPr>
            <w:tcW w:w="504" w:type="pct"/>
            <w:shd w:val="clear" w:color="auto" w:fill="D9D9D9"/>
            <w:tcMar>
              <w:top w:w="0" w:type="dxa"/>
              <w:left w:w="28" w:type="dxa"/>
              <w:bottom w:w="0" w:type="dxa"/>
              <w:right w:w="28" w:type="dxa"/>
            </w:tcMar>
            <w:vAlign w:val="center"/>
          </w:tcPr>
          <w:p w14:paraId="5535C422" w14:textId="77777777" w:rsidR="004B0883" w:rsidRDefault="004B0883">
            <w:pPr>
              <w:jc w:val="center"/>
              <w:rPr>
                <w:b/>
                <w:color w:val="000000"/>
              </w:rPr>
            </w:pPr>
            <w:r>
              <w:rPr>
                <w:b/>
                <w:color w:val="000000"/>
              </w:rPr>
              <w:t>占比</w:t>
            </w:r>
          </w:p>
        </w:tc>
        <w:tc>
          <w:tcPr>
            <w:tcW w:w="535" w:type="pct"/>
            <w:shd w:val="clear" w:color="auto" w:fill="D9D9D9"/>
            <w:tcMar>
              <w:top w:w="0" w:type="dxa"/>
              <w:left w:w="28" w:type="dxa"/>
              <w:bottom w:w="0" w:type="dxa"/>
              <w:right w:w="28" w:type="dxa"/>
            </w:tcMar>
            <w:vAlign w:val="center"/>
          </w:tcPr>
          <w:p w14:paraId="0AB22080" w14:textId="77777777" w:rsidR="004B0883" w:rsidRDefault="004B0883">
            <w:pPr>
              <w:jc w:val="center"/>
              <w:rPr>
                <w:b/>
                <w:color w:val="000000"/>
              </w:rPr>
            </w:pPr>
            <w:r>
              <w:rPr>
                <w:b/>
                <w:color w:val="000000"/>
              </w:rPr>
              <w:t>金额</w:t>
            </w:r>
          </w:p>
        </w:tc>
        <w:tc>
          <w:tcPr>
            <w:tcW w:w="504" w:type="pct"/>
            <w:shd w:val="clear" w:color="auto" w:fill="D9D9D9"/>
            <w:tcMar>
              <w:top w:w="0" w:type="dxa"/>
              <w:left w:w="28" w:type="dxa"/>
              <w:bottom w:w="0" w:type="dxa"/>
              <w:right w:w="28" w:type="dxa"/>
            </w:tcMar>
            <w:vAlign w:val="center"/>
          </w:tcPr>
          <w:p w14:paraId="6E95814D" w14:textId="77777777" w:rsidR="004B0883" w:rsidRDefault="004B0883">
            <w:pPr>
              <w:jc w:val="center"/>
              <w:rPr>
                <w:b/>
                <w:color w:val="000000"/>
              </w:rPr>
            </w:pPr>
            <w:r>
              <w:rPr>
                <w:b/>
                <w:color w:val="000000"/>
              </w:rPr>
              <w:t>占比</w:t>
            </w:r>
          </w:p>
        </w:tc>
        <w:tc>
          <w:tcPr>
            <w:tcW w:w="535" w:type="pct"/>
            <w:shd w:val="clear" w:color="auto" w:fill="D9D9D9"/>
            <w:tcMar>
              <w:top w:w="0" w:type="dxa"/>
              <w:left w:w="28" w:type="dxa"/>
              <w:bottom w:w="0" w:type="dxa"/>
              <w:right w:w="28" w:type="dxa"/>
            </w:tcMar>
            <w:vAlign w:val="center"/>
          </w:tcPr>
          <w:p w14:paraId="788E46A7" w14:textId="77777777" w:rsidR="004B0883" w:rsidRDefault="004B0883">
            <w:pPr>
              <w:jc w:val="center"/>
              <w:rPr>
                <w:b/>
                <w:color w:val="000000"/>
              </w:rPr>
            </w:pPr>
            <w:r>
              <w:rPr>
                <w:b/>
                <w:color w:val="000000"/>
              </w:rPr>
              <w:t>金额</w:t>
            </w:r>
          </w:p>
        </w:tc>
        <w:tc>
          <w:tcPr>
            <w:tcW w:w="504" w:type="pct"/>
            <w:shd w:val="clear" w:color="auto" w:fill="D9D9D9"/>
            <w:tcMar>
              <w:top w:w="0" w:type="dxa"/>
              <w:left w:w="28" w:type="dxa"/>
              <w:bottom w:w="0" w:type="dxa"/>
              <w:right w:w="28" w:type="dxa"/>
            </w:tcMar>
            <w:vAlign w:val="center"/>
          </w:tcPr>
          <w:p w14:paraId="0539733A" w14:textId="77777777" w:rsidR="004B0883" w:rsidRDefault="004B0883">
            <w:pPr>
              <w:jc w:val="center"/>
              <w:rPr>
                <w:b/>
                <w:color w:val="000000"/>
              </w:rPr>
            </w:pPr>
            <w:r>
              <w:rPr>
                <w:b/>
                <w:color w:val="000000"/>
              </w:rPr>
              <w:t>占比</w:t>
            </w:r>
          </w:p>
        </w:tc>
        <w:tc>
          <w:tcPr>
            <w:tcW w:w="535" w:type="pct"/>
            <w:shd w:val="clear" w:color="auto" w:fill="D9D9D9"/>
            <w:tcMar>
              <w:top w:w="0" w:type="dxa"/>
              <w:left w:w="28" w:type="dxa"/>
              <w:bottom w:w="0" w:type="dxa"/>
              <w:right w:w="28" w:type="dxa"/>
            </w:tcMar>
            <w:vAlign w:val="center"/>
          </w:tcPr>
          <w:p w14:paraId="0806239B" w14:textId="77777777" w:rsidR="004B0883" w:rsidRDefault="004B0883">
            <w:pPr>
              <w:jc w:val="center"/>
              <w:rPr>
                <w:b/>
                <w:color w:val="000000"/>
              </w:rPr>
            </w:pPr>
            <w:r>
              <w:rPr>
                <w:b/>
                <w:color w:val="000000"/>
              </w:rPr>
              <w:t>金额</w:t>
            </w:r>
          </w:p>
        </w:tc>
        <w:tc>
          <w:tcPr>
            <w:tcW w:w="504" w:type="pct"/>
            <w:shd w:val="clear" w:color="auto" w:fill="D9D9D9"/>
            <w:tcMar>
              <w:top w:w="0" w:type="dxa"/>
              <w:left w:w="28" w:type="dxa"/>
              <w:bottom w:w="0" w:type="dxa"/>
              <w:right w:w="28" w:type="dxa"/>
            </w:tcMar>
            <w:vAlign w:val="center"/>
          </w:tcPr>
          <w:p w14:paraId="6E90B93D" w14:textId="77777777" w:rsidR="004B0883" w:rsidRDefault="004B0883">
            <w:pPr>
              <w:jc w:val="center"/>
              <w:rPr>
                <w:b/>
                <w:color w:val="000000"/>
              </w:rPr>
            </w:pPr>
            <w:r>
              <w:rPr>
                <w:b/>
                <w:color w:val="000000"/>
              </w:rPr>
              <w:t>占比</w:t>
            </w:r>
          </w:p>
        </w:tc>
      </w:tr>
      <w:tr w:rsidR="004B0883" w14:paraId="707D2D61" w14:textId="77777777">
        <w:trPr>
          <w:trHeight w:val="397"/>
          <w:jc w:val="center"/>
        </w:trPr>
        <w:tc>
          <w:tcPr>
            <w:tcW w:w="760" w:type="pct"/>
            <w:tcMar>
              <w:top w:w="0" w:type="dxa"/>
              <w:left w:w="28" w:type="dxa"/>
              <w:bottom w:w="0" w:type="dxa"/>
              <w:right w:w="28" w:type="dxa"/>
            </w:tcMar>
            <w:vAlign w:val="center"/>
          </w:tcPr>
          <w:p w14:paraId="671C3FEA" w14:textId="77777777" w:rsidR="004B0883" w:rsidRDefault="004B0883">
            <w:pPr>
              <w:rPr>
                <w:color w:val="000000"/>
              </w:rPr>
            </w:pPr>
            <w:r>
              <w:rPr>
                <w:color w:val="000000"/>
              </w:rPr>
              <w:t>阀门销售</w:t>
            </w:r>
          </w:p>
        </w:tc>
        <w:tc>
          <w:tcPr>
            <w:tcW w:w="617" w:type="pct"/>
            <w:tcMar>
              <w:top w:w="0" w:type="dxa"/>
              <w:left w:w="28" w:type="dxa"/>
              <w:bottom w:w="0" w:type="dxa"/>
              <w:right w:w="28" w:type="dxa"/>
            </w:tcMar>
            <w:vAlign w:val="center"/>
          </w:tcPr>
          <w:p w14:paraId="41CCE2C1" w14:textId="77777777" w:rsidR="004B0883" w:rsidRDefault="004B0883">
            <w:pPr>
              <w:jc w:val="right"/>
              <w:rPr>
                <w:bCs/>
                <w:color w:val="000000"/>
                <w:kern w:val="0"/>
              </w:rPr>
            </w:pPr>
            <w:r>
              <w:rPr>
                <w:color w:val="000000"/>
              </w:rPr>
              <w:t>33,015.89</w:t>
            </w:r>
          </w:p>
        </w:tc>
        <w:tc>
          <w:tcPr>
            <w:tcW w:w="504" w:type="pct"/>
            <w:tcMar>
              <w:top w:w="0" w:type="dxa"/>
              <w:left w:w="28" w:type="dxa"/>
              <w:bottom w:w="0" w:type="dxa"/>
              <w:right w:w="28" w:type="dxa"/>
            </w:tcMar>
            <w:vAlign w:val="center"/>
          </w:tcPr>
          <w:p w14:paraId="6C23CB6B" w14:textId="77777777" w:rsidR="004B0883" w:rsidRDefault="004B0883">
            <w:pPr>
              <w:jc w:val="right"/>
              <w:rPr>
                <w:bCs/>
                <w:color w:val="000000"/>
              </w:rPr>
            </w:pPr>
            <w:r>
              <w:rPr>
                <w:rFonts w:hint="eastAsia"/>
                <w:color w:val="000000"/>
              </w:rPr>
              <w:t>83.20%</w:t>
            </w:r>
          </w:p>
        </w:tc>
        <w:tc>
          <w:tcPr>
            <w:tcW w:w="535" w:type="pct"/>
            <w:tcMar>
              <w:top w:w="0" w:type="dxa"/>
              <w:left w:w="28" w:type="dxa"/>
              <w:bottom w:w="0" w:type="dxa"/>
              <w:right w:w="28" w:type="dxa"/>
            </w:tcMar>
            <w:vAlign w:val="center"/>
          </w:tcPr>
          <w:p w14:paraId="343FC8C0" w14:textId="77777777" w:rsidR="004B0883" w:rsidRDefault="004B0883">
            <w:pPr>
              <w:jc w:val="right"/>
              <w:rPr>
                <w:color w:val="000000"/>
              </w:rPr>
            </w:pPr>
            <w:r>
              <w:rPr>
                <w:color w:val="000000"/>
              </w:rPr>
              <w:t>44,605.52</w:t>
            </w:r>
          </w:p>
        </w:tc>
        <w:tc>
          <w:tcPr>
            <w:tcW w:w="504" w:type="pct"/>
            <w:tcMar>
              <w:top w:w="0" w:type="dxa"/>
              <w:left w:w="28" w:type="dxa"/>
              <w:bottom w:w="0" w:type="dxa"/>
              <w:right w:w="28" w:type="dxa"/>
            </w:tcMar>
            <w:vAlign w:val="center"/>
          </w:tcPr>
          <w:p w14:paraId="0E05316A" w14:textId="77777777" w:rsidR="004B0883" w:rsidRDefault="004B0883">
            <w:pPr>
              <w:jc w:val="right"/>
              <w:rPr>
                <w:color w:val="000000"/>
              </w:rPr>
            </w:pPr>
            <w:r>
              <w:rPr>
                <w:color w:val="000000"/>
              </w:rPr>
              <w:t>83.38%</w:t>
            </w:r>
          </w:p>
        </w:tc>
        <w:tc>
          <w:tcPr>
            <w:tcW w:w="535" w:type="pct"/>
            <w:tcMar>
              <w:top w:w="0" w:type="dxa"/>
              <w:left w:w="28" w:type="dxa"/>
              <w:bottom w:w="0" w:type="dxa"/>
              <w:right w:w="28" w:type="dxa"/>
            </w:tcMar>
            <w:vAlign w:val="center"/>
          </w:tcPr>
          <w:p w14:paraId="784563CE" w14:textId="77777777" w:rsidR="004B0883" w:rsidRDefault="004B0883">
            <w:pPr>
              <w:jc w:val="right"/>
              <w:rPr>
                <w:color w:val="000000"/>
              </w:rPr>
            </w:pPr>
            <w:r>
              <w:rPr>
                <w:color w:val="000000"/>
              </w:rPr>
              <w:t>32,449.93</w:t>
            </w:r>
          </w:p>
        </w:tc>
        <w:tc>
          <w:tcPr>
            <w:tcW w:w="504" w:type="pct"/>
            <w:tcMar>
              <w:top w:w="0" w:type="dxa"/>
              <w:left w:w="28" w:type="dxa"/>
              <w:bottom w:w="0" w:type="dxa"/>
              <w:right w:w="28" w:type="dxa"/>
            </w:tcMar>
            <w:vAlign w:val="center"/>
          </w:tcPr>
          <w:p w14:paraId="1912CDCD" w14:textId="77777777" w:rsidR="004B0883" w:rsidRDefault="004B0883">
            <w:pPr>
              <w:jc w:val="right"/>
              <w:rPr>
                <w:color w:val="000000"/>
              </w:rPr>
            </w:pPr>
            <w:r>
              <w:rPr>
                <w:color w:val="000000"/>
              </w:rPr>
              <w:t>78.81%</w:t>
            </w:r>
          </w:p>
        </w:tc>
        <w:tc>
          <w:tcPr>
            <w:tcW w:w="535" w:type="pct"/>
            <w:tcMar>
              <w:top w:w="0" w:type="dxa"/>
              <w:left w:w="28" w:type="dxa"/>
              <w:bottom w:w="0" w:type="dxa"/>
              <w:right w:w="28" w:type="dxa"/>
            </w:tcMar>
            <w:vAlign w:val="center"/>
          </w:tcPr>
          <w:p w14:paraId="016DDD9C" w14:textId="77777777" w:rsidR="004B0883" w:rsidRDefault="004B0883">
            <w:pPr>
              <w:jc w:val="right"/>
              <w:rPr>
                <w:color w:val="000000"/>
              </w:rPr>
            </w:pPr>
            <w:r>
              <w:rPr>
                <w:color w:val="000000"/>
              </w:rPr>
              <w:t>27,606.93</w:t>
            </w:r>
          </w:p>
        </w:tc>
        <w:tc>
          <w:tcPr>
            <w:tcW w:w="504" w:type="pct"/>
            <w:tcMar>
              <w:top w:w="0" w:type="dxa"/>
              <w:left w:w="28" w:type="dxa"/>
              <w:bottom w:w="0" w:type="dxa"/>
              <w:right w:w="28" w:type="dxa"/>
            </w:tcMar>
            <w:vAlign w:val="center"/>
          </w:tcPr>
          <w:p w14:paraId="6EDB5C9F" w14:textId="77777777" w:rsidR="004B0883" w:rsidRDefault="004B0883">
            <w:pPr>
              <w:jc w:val="right"/>
              <w:rPr>
                <w:color w:val="000000"/>
              </w:rPr>
            </w:pPr>
            <w:r>
              <w:rPr>
                <w:color w:val="000000"/>
              </w:rPr>
              <w:t>80.40%</w:t>
            </w:r>
          </w:p>
        </w:tc>
      </w:tr>
      <w:tr w:rsidR="004B0883" w14:paraId="515724D9" w14:textId="77777777">
        <w:trPr>
          <w:trHeight w:val="397"/>
          <w:jc w:val="center"/>
        </w:trPr>
        <w:tc>
          <w:tcPr>
            <w:tcW w:w="760" w:type="pct"/>
            <w:tcMar>
              <w:top w:w="0" w:type="dxa"/>
              <w:left w:w="28" w:type="dxa"/>
              <w:bottom w:w="0" w:type="dxa"/>
              <w:right w:w="28" w:type="dxa"/>
            </w:tcMar>
            <w:vAlign w:val="center"/>
          </w:tcPr>
          <w:p w14:paraId="0D42E418" w14:textId="77777777" w:rsidR="004B0883" w:rsidRDefault="004B0883">
            <w:pPr>
              <w:rPr>
                <w:color w:val="000000"/>
              </w:rPr>
            </w:pPr>
            <w:r>
              <w:rPr>
                <w:color w:val="000000"/>
              </w:rPr>
              <w:t>过滤器销售</w:t>
            </w:r>
          </w:p>
        </w:tc>
        <w:tc>
          <w:tcPr>
            <w:tcW w:w="617" w:type="pct"/>
            <w:tcMar>
              <w:top w:w="0" w:type="dxa"/>
              <w:left w:w="28" w:type="dxa"/>
              <w:bottom w:w="0" w:type="dxa"/>
              <w:right w:w="28" w:type="dxa"/>
            </w:tcMar>
            <w:vAlign w:val="center"/>
          </w:tcPr>
          <w:p w14:paraId="5A3517F3" w14:textId="77777777" w:rsidR="004B0883" w:rsidRDefault="004B0883">
            <w:pPr>
              <w:jc w:val="right"/>
              <w:rPr>
                <w:bCs/>
                <w:color w:val="000000"/>
              </w:rPr>
            </w:pPr>
            <w:r>
              <w:rPr>
                <w:color w:val="000000"/>
              </w:rPr>
              <w:t>1,646.84</w:t>
            </w:r>
          </w:p>
        </w:tc>
        <w:tc>
          <w:tcPr>
            <w:tcW w:w="504" w:type="pct"/>
            <w:tcMar>
              <w:top w:w="0" w:type="dxa"/>
              <w:left w:w="28" w:type="dxa"/>
              <w:bottom w:w="0" w:type="dxa"/>
              <w:right w:w="28" w:type="dxa"/>
            </w:tcMar>
            <w:vAlign w:val="center"/>
          </w:tcPr>
          <w:p w14:paraId="41E4BE10" w14:textId="77777777" w:rsidR="004B0883" w:rsidRDefault="004B0883">
            <w:pPr>
              <w:jc w:val="right"/>
              <w:rPr>
                <w:bCs/>
                <w:color w:val="000000"/>
              </w:rPr>
            </w:pPr>
            <w:r>
              <w:rPr>
                <w:rFonts w:hint="eastAsia"/>
                <w:color w:val="000000"/>
              </w:rPr>
              <w:t>4.15%</w:t>
            </w:r>
          </w:p>
        </w:tc>
        <w:tc>
          <w:tcPr>
            <w:tcW w:w="535" w:type="pct"/>
            <w:tcMar>
              <w:top w:w="0" w:type="dxa"/>
              <w:left w:w="28" w:type="dxa"/>
              <w:bottom w:w="0" w:type="dxa"/>
              <w:right w:w="28" w:type="dxa"/>
            </w:tcMar>
            <w:vAlign w:val="center"/>
          </w:tcPr>
          <w:p w14:paraId="7F5C3E28" w14:textId="77777777" w:rsidR="004B0883" w:rsidRDefault="004B0883">
            <w:pPr>
              <w:jc w:val="right"/>
              <w:rPr>
                <w:color w:val="000000"/>
              </w:rPr>
            </w:pPr>
            <w:r>
              <w:rPr>
                <w:color w:val="000000"/>
              </w:rPr>
              <w:t>2,787.39</w:t>
            </w:r>
          </w:p>
        </w:tc>
        <w:tc>
          <w:tcPr>
            <w:tcW w:w="504" w:type="pct"/>
            <w:tcMar>
              <w:top w:w="0" w:type="dxa"/>
              <w:left w:w="28" w:type="dxa"/>
              <w:bottom w:w="0" w:type="dxa"/>
              <w:right w:w="28" w:type="dxa"/>
            </w:tcMar>
            <w:vAlign w:val="center"/>
          </w:tcPr>
          <w:p w14:paraId="10C97647" w14:textId="77777777" w:rsidR="004B0883" w:rsidRDefault="004B0883">
            <w:pPr>
              <w:jc w:val="right"/>
              <w:rPr>
                <w:color w:val="000000"/>
              </w:rPr>
            </w:pPr>
            <w:r>
              <w:rPr>
                <w:color w:val="000000"/>
              </w:rPr>
              <w:t>5.21%</w:t>
            </w:r>
          </w:p>
        </w:tc>
        <w:tc>
          <w:tcPr>
            <w:tcW w:w="535" w:type="pct"/>
            <w:tcMar>
              <w:top w:w="0" w:type="dxa"/>
              <w:left w:w="28" w:type="dxa"/>
              <w:bottom w:w="0" w:type="dxa"/>
              <w:right w:w="28" w:type="dxa"/>
            </w:tcMar>
            <w:vAlign w:val="center"/>
          </w:tcPr>
          <w:p w14:paraId="1BCB2B15" w14:textId="77777777" w:rsidR="004B0883" w:rsidRDefault="004B0883">
            <w:pPr>
              <w:jc w:val="right"/>
              <w:rPr>
                <w:color w:val="000000"/>
              </w:rPr>
            </w:pPr>
            <w:r>
              <w:rPr>
                <w:color w:val="000000"/>
              </w:rPr>
              <w:t>2,202.71</w:t>
            </w:r>
          </w:p>
        </w:tc>
        <w:tc>
          <w:tcPr>
            <w:tcW w:w="504" w:type="pct"/>
            <w:tcMar>
              <w:top w:w="0" w:type="dxa"/>
              <w:left w:w="28" w:type="dxa"/>
              <w:bottom w:w="0" w:type="dxa"/>
              <w:right w:w="28" w:type="dxa"/>
            </w:tcMar>
            <w:vAlign w:val="center"/>
          </w:tcPr>
          <w:p w14:paraId="5C407B53" w14:textId="77777777" w:rsidR="004B0883" w:rsidRDefault="004B0883">
            <w:pPr>
              <w:jc w:val="right"/>
              <w:rPr>
                <w:color w:val="000000"/>
              </w:rPr>
            </w:pPr>
            <w:r>
              <w:rPr>
                <w:color w:val="000000"/>
              </w:rPr>
              <w:t>5.35%</w:t>
            </w:r>
          </w:p>
        </w:tc>
        <w:tc>
          <w:tcPr>
            <w:tcW w:w="535" w:type="pct"/>
            <w:tcMar>
              <w:top w:w="0" w:type="dxa"/>
              <w:left w:w="28" w:type="dxa"/>
              <w:bottom w:w="0" w:type="dxa"/>
              <w:right w:w="28" w:type="dxa"/>
            </w:tcMar>
            <w:vAlign w:val="center"/>
          </w:tcPr>
          <w:p w14:paraId="30C80FEC" w14:textId="77777777" w:rsidR="004B0883" w:rsidRDefault="004B0883">
            <w:pPr>
              <w:jc w:val="right"/>
              <w:rPr>
                <w:color w:val="000000"/>
              </w:rPr>
            </w:pPr>
            <w:r>
              <w:rPr>
                <w:color w:val="000000"/>
              </w:rPr>
              <w:t>1,890.08</w:t>
            </w:r>
          </w:p>
        </w:tc>
        <w:tc>
          <w:tcPr>
            <w:tcW w:w="504" w:type="pct"/>
            <w:tcMar>
              <w:top w:w="0" w:type="dxa"/>
              <w:left w:w="28" w:type="dxa"/>
              <w:bottom w:w="0" w:type="dxa"/>
              <w:right w:w="28" w:type="dxa"/>
            </w:tcMar>
            <w:vAlign w:val="center"/>
          </w:tcPr>
          <w:p w14:paraId="06179260" w14:textId="77777777" w:rsidR="004B0883" w:rsidRDefault="004B0883">
            <w:pPr>
              <w:jc w:val="right"/>
              <w:rPr>
                <w:color w:val="000000"/>
              </w:rPr>
            </w:pPr>
            <w:r>
              <w:rPr>
                <w:color w:val="000000"/>
              </w:rPr>
              <w:t>5.50%</w:t>
            </w:r>
          </w:p>
        </w:tc>
      </w:tr>
      <w:tr w:rsidR="004B0883" w14:paraId="6B9954A2" w14:textId="77777777">
        <w:trPr>
          <w:trHeight w:val="397"/>
          <w:jc w:val="center"/>
        </w:trPr>
        <w:tc>
          <w:tcPr>
            <w:tcW w:w="760" w:type="pct"/>
            <w:tcMar>
              <w:top w:w="0" w:type="dxa"/>
              <w:left w:w="28" w:type="dxa"/>
              <w:bottom w:w="0" w:type="dxa"/>
              <w:right w:w="28" w:type="dxa"/>
            </w:tcMar>
            <w:vAlign w:val="center"/>
          </w:tcPr>
          <w:p w14:paraId="172D669C" w14:textId="77777777" w:rsidR="004B0883" w:rsidRDefault="004B0883">
            <w:pPr>
              <w:rPr>
                <w:color w:val="000000"/>
              </w:rPr>
            </w:pPr>
            <w:r>
              <w:rPr>
                <w:color w:val="000000"/>
              </w:rPr>
              <w:t>阀门零件及</w:t>
            </w:r>
          </w:p>
          <w:p w14:paraId="43C636FA" w14:textId="77777777" w:rsidR="004B0883" w:rsidRDefault="004B0883">
            <w:pPr>
              <w:rPr>
                <w:color w:val="000000"/>
              </w:rPr>
            </w:pPr>
            <w:r>
              <w:rPr>
                <w:color w:val="000000"/>
              </w:rPr>
              <w:t>管件销售</w:t>
            </w:r>
          </w:p>
        </w:tc>
        <w:tc>
          <w:tcPr>
            <w:tcW w:w="617" w:type="pct"/>
            <w:tcMar>
              <w:top w:w="0" w:type="dxa"/>
              <w:left w:w="28" w:type="dxa"/>
              <w:bottom w:w="0" w:type="dxa"/>
              <w:right w:w="28" w:type="dxa"/>
            </w:tcMar>
            <w:vAlign w:val="center"/>
          </w:tcPr>
          <w:p w14:paraId="2637F987" w14:textId="77777777" w:rsidR="004B0883" w:rsidRDefault="004B0883">
            <w:pPr>
              <w:jc w:val="right"/>
              <w:rPr>
                <w:bCs/>
                <w:color w:val="000000"/>
              </w:rPr>
            </w:pPr>
            <w:r>
              <w:rPr>
                <w:color w:val="000000"/>
              </w:rPr>
              <w:t>3,614.32</w:t>
            </w:r>
          </w:p>
        </w:tc>
        <w:tc>
          <w:tcPr>
            <w:tcW w:w="504" w:type="pct"/>
            <w:tcMar>
              <w:top w:w="0" w:type="dxa"/>
              <w:left w:w="28" w:type="dxa"/>
              <w:bottom w:w="0" w:type="dxa"/>
              <w:right w:w="28" w:type="dxa"/>
            </w:tcMar>
            <w:vAlign w:val="center"/>
          </w:tcPr>
          <w:p w14:paraId="4C6C6850" w14:textId="77777777" w:rsidR="004B0883" w:rsidRDefault="004B0883">
            <w:pPr>
              <w:jc w:val="right"/>
              <w:rPr>
                <w:bCs/>
                <w:color w:val="000000"/>
              </w:rPr>
            </w:pPr>
            <w:r>
              <w:rPr>
                <w:rFonts w:hint="eastAsia"/>
                <w:color w:val="000000"/>
              </w:rPr>
              <w:t>9.11%</w:t>
            </w:r>
          </w:p>
        </w:tc>
        <w:tc>
          <w:tcPr>
            <w:tcW w:w="535" w:type="pct"/>
            <w:tcMar>
              <w:top w:w="0" w:type="dxa"/>
              <w:left w:w="28" w:type="dxa"/>
              <w:bottom w:w="0" w:type="dxa"/>
              <w:right w:w="28" w:type="dxa"/>
            </w:tcMar>
            <w:vAlign w:val="center"/>
          </w:tcPr>
          <w:p w14:paraId="75EAAEB5" w14:textId="77777777" w:rsidR="004B0883" w:rsidRDefault="004B0883">
            <w:pPr>
              <w:jc w:val="right"/>
              <w:rPr>
                <w:color w:val="000000"/>
              </w:rPr>
            </w:pPr>
            <w:r>
              <w:rPr>
                <w:color w:val="000000"/>
              </w:rPr>
              <w:t>4,853.61</w:t>
            </w:r>
          </w:p>
        </w:tc>
        <w:tc>
          <w:tcPr>
            <w:tcW w:w="504" w:type="pct"/>
            <w:tcMar>
              <w:top w:w="0" w:type="dxa"/>
              <w:left w:w="28" w:type="dxa"/>
              <w:bottom w:w="0" w:type="dxa"/>
              <w:right w:w="28" w:type="dxa"/>
            </w:tcMar>
            <w:vAlign w:val="center"/>
          </w:tcPr>
          <w:p w14:paraId="473D5A4D" w14:textId="77777777" w:rsidR="004B0883" w:rsidRDefault="004B0883">
            <w:pPr>
              <w:jc w:val="right"/>
              <w:rPr>
                <w:color w:val="000000"/>
              </w:rPr>
            </w:pPr>
            <w:r>
              <w:rPr>
                <w:color w:val="000000"/>
              </w:rPr>
              <w:t>9.07%</w:t>
            </w:r>
          </w:p>
        </w:tc>
        <w:tc>
          <w:tcPr>
            <w:tcW w:w="535" w:type="pct"/>
            <w:tcMar>
              <w:top w:w="0" w:type="dxa"/>
              <w:left w:w="28" w:type="dxa"/>
              <w:bottom w:w="0" w:type="dxa"/>
              <w:right w:w="28" w:type="dxa"/>
            </w:tcMar>
            <w:vAlign w:val="center"/>
          </w:tcPr>
          <w:p w14:paraId="17BE2241" w14:textId="77777777" w:rsidR="004B0883" w:rsidRDefault="004B0883">
            <w:pPr>
              <w:jc w:val="right"/>
              <w:rPr>
                <w:color w:val="000000"/>
              </w:rPr>
            </w:pPr>
            <w:r>
              <w:rPr>
                <w:color w:val="000000"/>
              </w:rPr>
              <w:t>3,253.76</w:t>
            </w:r>
          </w:p>
        </w:tc>
        <w:tc>
          <w:tcPr>
            <w:tcW w:w="504" w:type="pct"/>
            <w:tcMar>
              <w:top w:w="0" w:type="dxa"/>
              <w:left w:w="28" w:type="dxa"/>
              <w:bottom w:w="0" w:type="dxa"/>
              <w:right w:w="28" w:type="dxa"/>
            </w:tcMar>
            <w:vAlign w:val="center"/>
          </w:tcPr>
          <w:p w14:paraId="7434C8C3" w14:textId="77777777" w:rsidR="004B0883" w:rsidRDefault="004B0883">
            <w:pPr>
              <w:jc w:val="right"/>
              <w:rPr>
                <w:color w:val="000000"/>
              </w:rPr>
            </w:pPr>
            <w:r>
              <w:rPr>
                <w:color w:val="000000"/>
              </w:rPr>
              <w:t>7.90%</w:t>
            </w:r>
          </w:p>
        </w:tc>
        <w:tc>
          <w:tcPr>
            <w:tcW w:w="535" w:type="pct"/>
            <w:tcMar>
              <w:top w:w="0" w:type="dxa"/>
              <w:left w:w="28" w:type="dxa"/>
              <w:bottom w:w="0" w:type="dxa"/>
              <w:right w:w="28" w:type="dxa"/>
            </w:tcMar>
            <w:vAlign w:val="center"/>
          </w:tcPr>
          <w:p w14:paraId="2806E70A" w14:textId="77777777" w:rsidR="004B0883" w:rsidRDefault="004B0883">
            <w:pPr>
              <w:jc w:val="right"/>
              <w:rPr>
                <w:color w:val="000000"/>
              </w:rPr>
            </w:pPr>
            <w:r>
              <w:rPr>
                <w:color w:val="000000"/>
              </w:rPr>
              <w:t>2,928.62</w:t>
            </w:r>
          </w:p>
        </w:tc>
        <w:tc>
          <w:tcPr>
            <w:tcW w:w="504" w:type="pct"/>
            <w:tcMar>
              <w:top w:w="0" w:type="dxa"/>
              <w:left w:w="28" w:type="dxa"/>
              <w:bottom w:w="0" w:type="dxa"/>
              <w:right w:w="28" w:type="dxa"/>
            </w:tcMar>
            <w:vAlign w:val="center"/>
          </w:tcPr>
          <w:p w14:paraId="2BDA2A66" w14:textId="77777777" w:rsidR="004B0883" w:rsidRDefault="004B0883">
            <w:pPr>
              <w:jc w:val="right"/>
              <w:rPr>
                <w:color w:val="000000"/>
              </w:rPr>
            </w:pPr>
            <w:r>
              <w:rPr>
                <w:color w:val="000000"/>
              </w:rPr>
              <w:t>8.53%</w:t>
            </w:r>
          </w:p>
        </w:tc>
      </w:tr>
      <w:tr w:rsidR="004B0883" w14:paraId="52103699" w14:textId="77777777">
        <w:trPr>
          <w:trHeight w:val="397"/>
          <w:jc w:val="center"/>
        </w:trPr>
        <w:tc>
          <w:tcPr>
            <w:tcW w:w="760" w:type="pct"/>
            <w:tcMar>
              <w:top w:w="0" w:type="dxa"/>
              <w:left w:w="28" w:type="dxa"/>
              <w:bottom w:w="0" w:type="dxa"/>
              <w:right w:w="28" w:type="dxa"/>
            </w:tcMar>
            <w:vAlign w:val="center"/>
          </w:tcPr>
          <w:p w14:paraId="7450B2ED" w14:textId="77777777" w:rsidR="004B0883" w:rsidRDefault="004B0883">
            <w:pPr>
              <w:rPr>
                <w:color w:val="000000"/>
              </w:rPr>
            </w:pPr>
            <w:r>
              <w:rPr>
                <w:color w:val="000000"/>
              </w:rPr>
              <w:t>汽车配件</w:t>
            </w:r>
          </w:p>
        </w:tc>
        <w:tc>
          <w:tcPr>
            <w:tcW w:w="617" w:type="pct"/>
            <w:tcMar>
              <w:top w:w="0" w:type="dxa"/>
              <w:left w:w="28" w:type="dxa"/>
              <w:bottom w:w="0" w:type="dxa"/>
              <w:right w:w="28" w:type="dxa"/>
            </w:tcMar>
            <w:vAlign w:val="center"/>
          </w:tcPr>
          <w:p w14:paraId="56ED1379" w14:textId="77777777" w:rsidR="004B0883" w:rsidRDefault="004B0883">
            <w:pPr>
              <w:jc w:val="right"/>
              <w:rPr>
                <w:bCs/>
                <w:color w:val="000000"/>
              </w:rPr>
            </w:pPr>
            <w:r>
              <w:rPr>
                <w:color w:val="000000"/>
              </w:rPr>
              <w:t>1,397.47</w:t>
            </w:r>
          </w:p>
        </w:tc>
        <w:tc>
          <w:tcPr>
            <w:tcW w:w="504" w:type="pct"/>
            <w:tcMar>
              <w:top w:w="0" w:type="dxa"/>
              <w:left w:w="28" w:type="dxa"/>
              <w:bottom w:w="0" w:type="dxa"/>
              <w:right w:w="28" w:type="dxa"/>
            </w:tcMar>
            <w:vAlign w:val="center"/>
          </w:tcPr>
          <w:p w14:paraId="60110004" w14:textId="77777777" w:rsidR="004B0883" w:rsidRDefault="004B0883">
            <w:pPr>
              <w:jc w:val="right"/>
              <w:rPr>
                <w:bCs/>
                <w:color w:val="000000"/>
              </w:rPr>
            </w:pPr>
            <w:r>
              <w:rPr>
                <w:rFonts w:hint="eastAsia"/>
                <w:color w:val="000000"/>
              </w:rPr>
              <w:t>3.52%</w:t>
            </w:r>
          </w:p>
        </w:tc>
        <w:tc>
          <w:tcPr>
            <w:tcW w:w="535" w:type="pct"/>
            <w:tcMar>
              <w:top w:w="0" w:type="dxa"/>
              <w:left w:w="28" w:type="dxa"/>
              <w:bottom w:w="0" w:type="dxa"/>
              <w:right w:w="28" w:type="dxa"/>
            </w:tcMar>
            <w:vAlign w:val="center"/>
          </w:tcPr>
          <w:p w14:paraId="073A8B59" w14:textId="77777777" w:rsidR="004B0883" w:rsidRDefault="004B0883">
            <w:pPr>
              <w:jc w:val="right"/>
              <w:rPr>
                <w:color w:val="000000"/>
              </w:rPr>
            </w:pPr>
            <w:r>
              <w:rPr>
                <w:color w:val="000000"/>
              </w:rPr>
              <w:t>1,217.18</w:t>
            </w:r>
          </w:p>
        </w:tc>
        <w:tc>
          <w:tcPr>
            <w:tcW w:w="504" w:type="pct"/>
            <w:tcMar>
              <w:top w:w="0" w:type="dxa"/>
              <w:left w:w="28" w:type="dxa"/>
              <w:bottom w:w="0" w:type="dxa"/>
              <w:right w:w="28" w:type="dxa"/>
            </w:tcMar>
            <w:vAlign w:val="center"/>
          </w:tcPr>
          <w:p w14:paraId="6C008C67" w14:textId="77777777" w:rsidR="004B0883" w:rsidRDefault="004B0883">
            <w:pPr>
              <w:jc w:val="right"/>
              <w:rPr>
                <w:color w:val="000000"/>
              </w:rPr>
            </w:pPr>
            <w:r>
              <w:rPr>
                <w:color w:val="000000"/>
              </w:rPr>
              <w:t>2.28%</w:t>
            </w:r>
          </w:p>
        </w:tc>
        <w:tc>
          <w:tcPr>
            <w:tcW w:w="535" w:type="pct"/>
            <w:tcMar>
              <w:top w:w="0" w:type="dxa"/>
              <w:left w:w="28" w:type="dxa"/>
              <w:bottom w:w="0" w:type="dxa"/>
              <w:right w:w="28" w:type="dxa"/>
            </w:tcMar>
            <w:vAlign w:val="center"/>
          </w:tcPr>
          <w:p w14:paraId="6C1738A9" w14:textId="77777777" w:rsidR="004B0883" w:rsidRDefault="004B0883">
            <w:pPr>
              <w:jc w:val="right"/>
              <w:rPr>
                <w:color w:val="000000"/>
              </w:rPr>
            </w:pPr>
            <w:r>
              <w:rPr>
                <w:color w:val="000000"/>
              </w:rPr>
              <w:t>3,262.44</w:t>
            </w:r>
          </w:p>
        </w:tc>
        <w:tc>
          <w:tcPr>
            <w:tcW w:w="504" w:type="pct"/>
            <w:tcMar>
              <w:top w:w="0" w:type="dxa"/>
              <w:left w:w="28" w:type="dxa"/>
              <w:bottom w:w="0" w:type="dxa"/>
              <w:right w:w="28" w:type="dxa"/>
            </w:tcMar>
            <w:vAlign w:val="center"/>
          </w:tcPr>
          <w:p w14:paraId="51E5A54D" w14:textId="77777777" w:rsidR="004B0883" w:rsidRDefault="004B0883">
            <w:pPr>
              <w:jc w:val="right"/>
              <w:rPr>
                <w:color w:val="000000"/>
              </w:rPr>
            </w:pPr>
            <w:r>
              <w:rPr>
                <w:color w:val="000000"/>
              </w:rPr>
              <w:t>7.92%</w:t>
            </w:r>
          </w:p>
        </w:tc>
        <w:tc>
          <w:tcPr>
            <w:tcW w:w="535" w:type="pct"/>
            <w:tcMar>
              <w:top w:w="0" w:type="dxa"/>
              <w:left w:w="28" w:type="dxa"/>
              <w:bottom w:w="0" w:type="dxa"/>
              <w:right w:w="28" w:type="dxa"/>
            </w:tcMar>
            <w:vAlign w:val="center"/>
          </w:tcPr>
          <w:p w14:paraId="72036930" w14:textId="77777777" w:rsidR="004B0883" w:rsidRDefault="004B0883">
            <w:pPr>
              <w:jc w:val="right"/>
              <w:rPr>
                <w:color w:val="000000"/>
              </w:rPr>
            </w:pPr>
            <w:r>
              <w:rPr>
                <w:color w:val="000000"/>
              </w:rPr>
              <w:t>1,909.76</w:t>
            </w:r>
          </w:p>
        </w:tc>
        <w:tc>
          <w:tcPr>
            <w:tcW w:w="504" w:type="pct"/>
            <w:tcMar>
              <w:top w:w="0" w:type="dxa"/>
              <w:left w:w="28" w:type="dxa"/>
              <w:bottom w:w="0" w:type="dxa"/>
              <w:right w:w="28" w:type="dxa"/>
            </w:tcMar>
            <w:vAlign w:val="center"/>
          </w:tcPr>
          <w:p w14:paraId="07E75E10" w14:textId="77777777" w:rsidR="004B0883" w:rsidRDefault="004B0883">
            <w:pPr>
              <w:jc w:val="right"/>
              <w:rPr>
                <w:color w:val="000000"/>
              </w:rPr>
            </w:pPr>
            <w:r>
              <w:rPr>
                <w:color w:val="000000"/>
              </w:rPr>
              <w:t>5.56%</w:t>
            </w:r>
          </w:p>
        </w:tc>
      </w:tr>
      <w:tr w:rsidR="004B0883" w14:paraId="280C297A" w14:textId="77777777">
        <w:trPr>
          <w:trHeight w:val="397"/>
          <w:jc w:val="center"/>
        </w:trPr>
        <w:tc>
          <w:tcPr>
            <w:tcW w:w="760" w:type="pct"/>
            <w:tcMar>
              <w:top w:w="0" w:type="dxa"/>
              <w:left w:w="28" w:type="dxa"/>
              <w:bottom w:w="0" w:type="dxa"/>
              <w:right w:w="28" w:type="dxa"/>
            </w:tcMar>
            <w:vAlign w:val="center"/>
          </w:tcPr>
          <w:p w14:paraId="530B5A8E" w14:textId="77777777" w:rsidR="004B0883" w:rsidRDefault="004B0883">
            <w:pPr>
              <w:rPr>
                <w:color w:val="000000"/>
              </w:rPr>
            </w:pPr>
            <w:r>
              <w:rPr>
                <w:color w:val="000000"/>
              </w:rPr>
              <w:t>其他</w:t>
            </w:r>
          </w:p>
        </w:tc>
        <w:tc>
          <w:tcPr>
            <w:tcW w:w="617" w:type="pct"/>
            <w:tcMar>
              <w:top w:w="0" w:type="dxa"/>
              <w:left w:w="28" w:type="dxa"/>
              <w:bottom w:w="0" w:type="dxa"/>
              <w:right w:w="28" w:type="dxa"/>
            </w:tcMar>
            <w:vAlign w:val="center"/>
          </w:tcPr>
          <w:p w14:paraId="759DE4A8" w14:textId="77777777" w:rsidR="004B0883" w:rsidRDefault="004B0883">
            <w:pPr>
              <w:jc w:val="right"/>
              <w:rPr>
                <w:bCs/>
                <w:color w:val="000000"/>
              </w:rPr>
            </w:pPr>
            <w:r>
              <w:rPr>
                <w:color w:val="000000"/>
              </w:rPr>
              <w:t>7.24</w:t>
            </w:r>
          </w:p>
        </w:tc>
        <w:tc>
          <w:tcPr>
            <w:tcW w:w="504" w:type="pct"/>
            <w:tcMar>
              <w:top w:w="0" w:type="dxa"/>
              <w:left w:w="28" w:type="dxa"/>
              <w:bottom w:w="0" w:type="dxa"/>
              <w:right w:w="28" w:type="dxa"/>
            </w:tcMar>
            <w:vAlign w:val="center"/>
          </w:tcPr>
          <w:p w14:paraId="4559F086" w14:textId="77777777" w:rsidR="004B0883" w:rsidRDefault="004B0883">
            <w:pPr>
              <w:jc w:val="right"/>
              <w:rPr>
                <w:bCs/>
                <w:color w:val="000000"/>
              </w:rPr>
            </w:pPr>
            <w:r>
              <w:rPr>
                <w:rFonts w:hint="eastAsia"/>
                <w:color w:val="000000"/>
              </w:rPr>
              <w:t>0.02%</w:t>
            </w:r>
          </w:p>
        </w:tc>
        <w:tc>
          <w:tcPr>
            <w:tcW w:w="535" w:type="pct"/>
            <w:tcMar>
              <w:top w:w="0" w:type="dxa"/>
              <w:left w:w="28" w:type="dxa"/>
              <w:bottom w:w="0" w:type="dxa"/>
              <w:right w:w="28" w:type="dxa"/>
            </w:tcMar>
            <w:vAlign w:val="center"/>
          </w:tcPr>
          <w:p w14:paraId="266D294F" w14:textId="77777777" w:rsidR="004B0883" w:rsidRDefault="004B0883">
            <w:pPr>
              <w:jc w:val="right"/>
              <w:rPr>
                <w:color w:val="000000"/>
              </w:rPr>
            </w:pPr>
            <w:r>
              <w:rPr>
                <w:color w:val="000000"/>
              </w:rPr>
              <w:t>32.43</w:t>
            </w:r>
          </w:p>
        </w:tc>
        <w:tc>
          <w:tcPr>
            <w:tcW w:w="504" w:type="pct"/>
            <w:tcMar>
              <w:top w:w="0" w:type="dxa"/>
              <w:left w:w="28" w:type="dxa"/>
              <w:bottom w:w="0" w:type="dxa"/>
              <w:right w:w="28" w:type="dxa"/>
            </w:tcMar>
            <w:vAlign w:val="center"/>
          </w:tcPr>
          <w:p w14:paraId="44D6935E" w14:textId="77777777" w:rsidR="004B0883" w:rsidRDefault="004B0883">
            <w:pPr>
              <w:jc w:val="right"/>
              <w:rPr>
                <w:color w:val="000000"/>
              </w:rPr>
            </w:pPr>
            <w:r>
              <w:rPr>
                <w:color w:val="000000"/>
              </w:rPr>
              <w:t>0.06%</w:t>
            </w:r>
          </w:p>
        </w:tc>
        <w:tc>
          <w:tcPr>
            <w:tcW w:w="535" w:type="pct"/>
            <w:tcMar>
              <w:top w:w="0" w:type="dxa"/>
              <w:left w:w="28" w:type="dxa"/>
              <w:bottom w:w="0" w:type="dxa"/>
              <w:right w:w="28" w:type="dxa"/>
            </w:tcMar>
            <w:vAlign w:val="center"/>
          </w:tcPr>
          <w:p w14:paraId="76E0448D" w14:textId="77777777" w:rsidR="004B0883" w:rsidRDefault="004B0883">
            <w:pPr>
              <w:jc w:val="right"/>
              <w:rPr>
                <w:color w:val="000000"/>
              </w:rPr>
            </w:pPr>
            <w:r>
              <w:rPr>
                <w:color w:val="000000"/>
              </w:rPr>
              <w:t>6.57</w:t>
            </w:r>
          </w:p>
        </w:tc>
        <w:tc>
          <w:tcPr>
            <w:tcW w:w="504" w:type="pct"/>
            <w:tcMar>
              <w:top w:w="0" w:type="dxa"/>
              <w:left w:w="28" w:type="dxa"/>
              <w:bottom w:w="0" w:type="dxa"/>
              <w:right w:w="28" w:type="dxa"/>
            </w:tcMar>
            <w:vAlign w:val="center"/>
          </w:tcPr>
          <w:p w14:paraId="14B2D966" w14:textId="77777777" w:rsidR="004B0883" w:rsidRDefault="004B0883">
            <w:pPr>
              <w:jc w:val="right"/>
              <w:rPr>
                <w:color w:val="000000"/>
              </w:rPr>
            </w:pPr>
            <w:r>
              <w:rPr>
                <w:color w:val="000000"/>
              </w:rPr>
              <w:t>0.02%</w:t>
            </w:r>
          </w:p>
        </w:tc>
        <w:tc>
          <w:tcPr>
            <w:tcW w:w="535" w:type="pct"/>
            <w:tcMar>
              <w:top w:w="0" w:type="dxa"/>
              <w:left w:w="28" w:type="dxa"/>
              <w:bottom w:w="0" w:type="dxa"/>
              <w:right w:w="28" w:type="dxa"/>
            </w:tcMar>
            <w:vAlign w:val="center"/>
          </w:tcPr>
          <w:p w14:paraId="2C4AE16B" w14:textId="77777777" w:rsidR="004B0883" w:rsidRDefault="004B0883">
            <w:pPr>
              <w:jc w:val="right"/>
              <w:rPr>
                <w:color w:val="000000"/>
              </w:rPr>
            </w:pPr>
            <w:r>
              <w:rPr>
                <w:color w:val="000000"/>
              </w:rPr>
              <w:t>-</w:t>
            </w:r>
          </w:p>
        </w:tc>
        <w:tc>
          <w:tcPr>
            <w:tcW w:w="504" w:type="pct"/>
            <w:tcMar>
              <w:top w:w="0" w:type="dxa"/>
              <w:left w:w="28" w:type="dxa"/>
              <w:bottom w:w="0" w:type="dxa"/>
              <w:right w:w="28" w:type="dxa"/>
            </w:tcMar>
            <w:vAlign w:val="center"/>
          </w:tcPr>
          <w:p w14:paraId="4FB684A9" w14:textId="77777777" w:rsidR="004B0883" w:rsidRDefault="004B0883">
            <w:pPr>
              <w:jc w:val="right"/>
              <w:rPr>
                <w:color w:val="000000"/>
              </w:rPr>
            </w:pPr>
            <w:r>
              <w:rPr>
                <w:color w:val="000000"/>
              </w:rPr>
              <w:t>-</w:t>
            </w:r>
          </w:p>
        </w:tc>
      </w:tr>
      <w:tr w:rsidR="004B0883" w14:paraId="1689A36B" w14:textId="77777777">
        <w:trPr>
          <w:trHeight w:val="397"/>
          <w:jc w:val="center"/>
        </w:trPr>
        <w:tc>
          <w:tcPr>
            <w:tcW w:w="760" w:type="pct"/>
            <w:tcMar>
              <w:top w:w="0" w:type="dxa"/>
              <w:left w:w="28" w:type="dxa"/>
              <w:bottom w:w="0" w:type="dxa"/>
              <w:right w:w="28" w:type="dxa"/>
            </w:tcMar>
            <w:vAlign w:val="center"/>
          </w:tcPr>
          <w:p w14:paraId="759FFE3D" w14:textId="77777777" w:rsidR="004B0883" w:rsidRDefault="004B0883">
            <w:pPr>
              <w:jc w:val="center"/>
              <w:rPr>
                <w:b/>
                <w:color w:val="000000"/>
              </w:rPr>
            </w:pPr>
            <w:r>
              <w:rPr>
                <w:b/>
                <w:color w:val="000000"/>
              </w:rPr>
              <w:t>合计</w:t>
            </w:r>
          </w:p>
        </w:tc>
        <w:tc>
          <w:tcPr>
            <w:tcW w:w="617" w:type="pct"/>
            <w:tcMar>
              <w:top w:w="0" w:type="dxa"/>
              <w:left w:w="28" w:type="dxa"/>
              <w:bottom w:w="0" w:type="dxa"/>
              <w:right w:w="28" w:type="dxa"/>
            </w:tcMar>
            <w:vAlign w:val="center"/>
          </w:tcPr>
          <w:p w14:paraId="15E970F6" w14:textId="77777777" w:rsidR="004B0883" w:rsidRDefault="004B0883">
            <w:pPr>
              <w:jc w:val="right"/>
              <w:rPr>
                <w:b/>
                <w:color w:val="000000"/>
              </w:rPr>
            </w:pPr>
            <w:r>
              <w:rPr>
                <w:b/>
                <w:color w:val="000000"/>
              </w:rPr>
              <w:t>39,681.76</w:t>
            </w:r>
          </w:p>
        </w:tc>
        <w:tc>
          <w:tcPr>
            <w:tcW w:w="504" w:type="pct"/>
            <w:tcMar>
              <w:top w:w="0" w:type="dxa"/>
              <w:left w:w="28" w:type="dxa"/>
              <w:bottom w:w="0" w:type="dxa"/>
              <w:right w:w="28" w:type="dxa"/>
            </w:tcMar>
            <w:vAlign w:val="center"/>
          </w:tcPr>
          <w:p w14:paraId="379F3827" w14:textId="77777777" w:rsidR="004B0883" w:rsidRDefault="004B0883">
            <w:pPr>
              <w:jc w:val="right"/>
              <w:rPr>
                <w:b/>
                <w:color w:val="000000"/>
              </w:rPr>
            </w:pPr>
            <w:r>
              <w:rPr>
                <w:b/>
                <w:color w:val="000000"/>
              </w:rPr>
              <w:t>100.00%</w:t>
            </w:r>
          </w:p>
        </w:tc>
        <w:tc>
          <w:tcPr>
            <w:tcW w:w="535" w:type="pct"/>
            <w:tcMar>
              <w:top w:w="0" w:type="dxa"/>
              <w:left w:w="28" w:type="dxa"/>
              <w:bottom w:w="0" w:type="dxa"/>
              <w:right w:w="28" w:type="dxa"/>
            </w:tcMar>
            <w:vAlign w:val="center"/>
          </w:tcPr>
          <w:p w14:paraId="7239FF24" w14:textId="77777777" w:rsidR="004B0883" w:rsidRDefault="004B0883">
            <w:pPr>
              <w:jc w:val="right"/>
              <w:rPr>
                <w:b/>
                <w:color w:val="000000"/>
              </w:rPr>
            </w:pPr>
            <w:r>
              <w:rPr>
                <w:b/>
                <w:color w:val="000000"/>
              </w:rPr>
              <w:t>53,496.13</w:t>
            </w:r>
          </w:p>
        </w:tc>
        <w:tc>
          <w:tcPr>
            <w:tcW w:w="504" w:type="pct"/>
            <w:tcMar>
              <w:top w:w="0" w:type="dxa"/>
              <w:left w:w="28" w:type="dxa"/>
              <w:bottom w:w="0" w:type="dxa"/>
              <w:right w:w="28" w:type="dxa"/>
            </w:tcMar>
            <w:vAlign w:val="center"/>
          </w:tcPr>
          <w:p w14:paraId="35FDF327" w14:textId="77777777" w:rsidR="004B0883" w:rsidRDefault="004B0883">
            <w:pPr>
              <w:jc w:val="right"/>
              <w:rPr>
                <w:b/>
                <w:color w:val="000000"/>
              </w:rPr>
            </w:pPr>
            <w:r>
              <w:rPr>
                <w:b/>
                <w:color w:val="000000"/>
              </w:rPr>
              <w:t>100.00%</w:t>
            </w:r>
          </w:p>
        </w:tc>
        <w:tc>
          <w:tcPr>
            <w:tcW w:w="535" w:type="pct"/>
            <w:tcMar>
              <w:top w:w="0" w:type="dxa"/>
              <w:left w:w="28" w:type="dxa"/>
              <w:bottom w:w="0" w:type="dxa"/>
              <w:right w:w="28" w:type="dxa"/>
            </w:tcMar>
            <w:vAlign w:val="center"/>
          </w:tcPr>
          <w:p w14:paraId="6A65E85F" w14:textId="77777777" w:rsidR="004B0883" w:rsidRDefault="004B0883">
            <w:pPr>
              <w:jc w:val="right"/>
              <w:rPr>
                <w:b/>
                <w:color w:val="000000"/>
              </w:rPr>
            </w:pPr>
            <w:r>
              <w:rPr>
                <w:b/>
                <w:color w:val="000000"/>
              </w:rPr>
              <w:t>41,175.41</w:t>
            </w:r>
          </w:p>
        </w:tc>
        <w:tc>
          <w:tcPr>
            <w:tcW w:w="504" w:type="pct"/>
            <w:tcMar>
              <w:top w:w="0" w:type="dxa"/>
              <w:left w:w="28" w:type="dxa"/>
              <w:bottom w:w="0" w:type="dxa"/>
              <w:right w:w="28" w:type="dxa"/>
            </w:tcMar>
            <w:vAlign w:val="center"/>
          </w:tcPr>
          <w:p w14:paraId="6290701B" w14:textId="77777777" w:rsidR="004B0883" w:rsidRDefault="004B0883">
            <w:pPr>
              <w:jc w:val="right"/>
              <w:rPr>
                <w:b/>
                <w:color w:val="000000"/>
              </w:rPr>
            </w:pPr>
            <w:r>
              <w:rPr>
                <w:b/>
                <w:color w:val="000000"/>
              </w:rPr>
              <w:t>100.00%</w:t>
            </w:r>
          </w:p>
        </w:tc>
        <w:tc>
          <w:tcPr>
            <w:tcW w:w="535" w:type="pct"/>
            <w:tcMar>
              <w:top w:w="0" w:type="dxa"/>
              <w:left w:w="28" w:type="dxa"/>
              <w:bottom w:w="0" w:type="dxa"/>
              <w:right w:w="28" w:type="dxa"/>
            </w:tcMar>
            <w:vAlign w:val="center"/>
          </w:tcPr>
          <w:p w14:paraId="5A29B5B7" w14:textId="77777777" w:rsidR="004B0883" w:rsidRDefault="004B0883">
            <w:pPr>
              <w:jc w:val="right"/>
              <w:rPr>
                <w:b/>
                <w:color w:val="000000"/>
              </w:rPr>
            </w:pPr>
            <w:r>
              <w:rPr>
                <w:b/>
                <w:color w:val="000000"/>
              </w:rPr>
              <w:t>34,335.39</w:t>
            </w:r>
          </w:p>
        </w:tc>
        <w:tc>
          <w:tcPr>
            <w:tcW w:w="504" w:type="pct"/>
            <w:tcMar>
              <w:top w:w="0" w:type="dxa"/>
              <w:left w:w="28" w:type="dxa"/>
              <w:bottom w:w="0" w:type="dxa"/>
              <w:right w:w="28" w:type="dxa"/>
            </w:tcMar>
            <w:vAlign w:val="center"/>
          </w:tcPr>
          <w:p w14:paraId="0D2D1BA1" w14:textId="77777777" w:rsidR="004B0883" w:rsidRDefault="004B0883">
            <w:pPr>
              <w:jc w:val="right"/>
              <w:rPr>
                <w:b/>
                <w:color w:val="000000"/>
              </w:rPr>
            </w:pPr>
            <w:r>
              <w:rPr>
                <w:b/>
                <w:color w:val="000000"/>
              </w:rPr>
              <w:t>100.00%</w:t>
            </w:r>
          </w:p>
        </w:tc>
      </w:tr>
    </w:tbl>
    <w:p w14:paraId="394EEEA1" w14:textId="77777777" w:rsidR="004B0883" w:rsidRDefault="004B0883">
      <w:pPr>
        <w:pStyle w:val="005"/>
        <w:spacing w:before="120"/>
        <w:ind w:firstLine="480"/>
      </w:pPr>
      <w:r>
        <w:t>报告期各期，根据产品分类，公司主营业务收入来自阀门、过滤器、阀门零件及管件和汽车配件的销售，其中，阀门销售业务占公司主营业务收入的比例分别为</w:t>
      </w:r>
      <w:r>
        <w:t>80.40%</w:t>
      </w:r>
      <w:r>
        <w:t>、</w:t>
      </w:r>
      <w:r>
        <w:t>78.81%</w:t>
      </w:r>
      <w:r>
        <w:t>、</w:t>
      </w:r>
      <w:r>
        <w:t>83.38%</w:t>
      </w:r>
      <w:r>
        <w:t>和</w:t>
      </w:r>
      <w:r>
        <w:t>83.20%</w:t>
      </w:r>
      <w:r>
        <w:t>，为公司主营业务收入的主要来源。报告期内，公司主营业务收入呈明显增长趋势，主要系阀门销售收入的快速增长。</w:t>
      </w:r>
    </w:p>
    <w:p w14:paraId="24255727" w14:textId="77777777" w:rsidR="004B0883" w:rsidRDefault="004B0883">
      <w:pPr>
        <w:pStyle w:val="005"/>
        <w:spacing w:before="120"/>
        <w:ind w:firstLine="480"/>
      </w:pPr>
      <w:r>
        <w:t>报告期内，公司阀门销售收入的持续增长，主要系</w:t>
      </w:r>
      <w:r>
        <w:t>2021</w:t>
      </w:r>
      <w:r>
        <w:t>年以来公司产品的主要原材料价格持续上涨，成本端价格的提升支撑了阀门市场价格的提升，随着公司价格联动机制效应的落地，公司报告期内的阀门产品销售价格陆续上调；此外，公司不断拓展海外市场，外销订单及销量持续增加，销售规模不断提高。</w:t>
      </w:r>
    </w:p>
    <w:p w14:paraId="478D43A4" w14:textId="77777777" w:rsidR="004B0883" w:rsidRDefault="004B0883">
      <w:pPr>
        <w:pStyle w:val="005"/>
        <w:spacing w:before="120"/>
        <w:ind w:firstLine="480"/>
      </w:pPr>
      <w:r>
        <w:t>按销售区域划分，公司收入分为内销收入与外销收入，报告期各期，公司收入按地域分类情况如下：</w:t>
      </w:r>
    </w:p>
    <w:p w14:paraId="1168C791" w14:textId="77777777" w:rsidR="004B0883" w:rsidRDefault="004B0883">
      <w:pPr>
        <w:pStyle w:val="009"/>
      </w:pPr>
      <w:r>
        <w:rPr>
          <w:rFonts w:hint="eastAsia"/>
        </w:rP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30"/>
        <w:gridCol w:w="955"/>
        <w:gridCol w:w="957"/>
        <w:gridCol w:w="956"/>
        <w:gridCol w:w="957"/>
        <w:gridCol w:w="956"/>
        <w:gridCol w:w="957"/>
        <w:gridCol w:w="956"/>
        <w:gridCol w:w="956"/>
      </w:tblGrid>
      <w:tr w:rsidR="004B0883" w14:paraId="02F5BD21" w14:textId="77777777">
        <w:trPr>
          <w:trHeight w:val="397"/>
          <w:tblHeader/>
          <w:jc w:val="center"/>
        </w:trPr>
        <w:tc>
          <w:tcPr>
            <w:tcW w:w="381" w:type="pct"/>
            <w:vMerge w:val="restart"/>
            <w:shd w:val="clear" w:color="auto" w:fill="D9D9D9"/>
            <w:tcMar>
              <w:top w:w="0" w:type="dxa"/>
              <w:left w:w="28" w:type="dxa"/>
              <w:bottom w:w="0" w:type="dxa"/>
              <w:right w:w="28" w:type="dxa"/>
            </w:tcMar>
            <w:vAlign w:val="center"/>
          </w:tcPr>
          <w:p w14:paraId="7BBCC91C" w14:textId="77777777" w:rsidR="004B0883" w:rsidRDefault="004B0883">
            <w:pPr>
              <w:jc w:val="center"/>
              <w:rPr>
                <w:b/>
                <w:color w:val="000000"/>
              </w:rPr>
            </w:pPr>
            <w:r>
              <w:rPr>
                <w:b/>
                <w:color w:val="000000"/>
              </w:rPr>
              <w:t>业务类别</w:t>
            </w:r>
          </w:p>
        </w:tc>
        <w:tc>
          <w:tcPr>
            <w:tcW w:w="1155" w:type="pct"/>
            <w:gridSpan w:val="2"/>
            <w:shd w:val="clear" w:color="auto" w:fill="D9D9D9"/>
            <w:tcMar>
              <w:top w:w="0" w:type="dxa"/>
              <w:left w:w="28" w:type="dxa"/>
              <w:bottom w:w="0" w:type="dxa"/>
              <w:right w:w="28" w:type="dxa"/>
            </w:tcMar>
            <w:vAlign w:val="center"/>
          </w:tcPr>
          <w:p w14:paraId="147C234C" w14:textId="77777777" w:rsidR="004B0883" w:rsidRDefault="004B0883">
            <w:pPr>
              <w:jc w:val="center"/>
              <w:rPr>
                <w:b/>
                <w:color w:val="000000"/>
              </w:rPr>
            </w:pPr>
            <w:r>
              <w:rPr>
                <w:b/>
                <w:color w:val="000000"/>
              </w:rPr>
              <w:t>2023</w:t>
            </w:r>
            <w:r>
              <w:rPr>
                <w:b/>
                <w:color w:val="000000"/>
              </w:rPr>
              <w:t>年</w:t>
            </w:r>
            <w:r>
              <w:rPr>
                <w:b/>
                <w:color w:val="000000"/>
              </w:rPr>
              <w:t>1-9</w:t>
            </w:r>
            <w:r>
              <w:rPr>
                <w:b/>
                <w:color w:val="000000"/>
              </w:rPr>
              <w:t>月</w:t>
            </w:r>
          </w:p>
        </w:tc>
        <w:tc>
          <w:tcPr>
            <w:tcW w:w="1155" w:type="pct"/>
            <w:gridSpan w:val="2"/>
            <w:shd w:val="clear" w:color="auto" w:fill="D9D9D9"/>
            <w:tcMar>
              <w:top w:w="0" w:type="dxa"/>
              <w:left w:w="28" w:type="dxa"/>
              <w:bottom w:w="0" w:type="dxa"/>
              <w:right w:w="28" w:type="dxa"/>
            </w:tcMar>
            <w:vAlign w:val="center"/>
          </w:tcPr>
          <w:p w14:paraId="7962D247" w14:textId="77777777" w:rsidR="004B0883" w:rsidRDefault="004B0883">
            <w:pPr>
              <w:jc w:val="center"/>
              <w:rPr>
                <w:b/>
                <w:color w:val="000000"/>
              </w:rPr>
            </w:pPr>
            <w:r>
              <w:rPr>
                <w:b/>
                <w:color w:val="000000"/>
              </w:rPr>
              <w:t>2022</w:t>
            </w:r>
            <w:r>
              <w:rPr>
                <w:b/>
                <w:color w:val="000000"/>
              </w:rPr>
              <w:t>年度</w:t>
            </w:r>
          </w:p>
        </w:tc>
        <w:tc>
          <w:tcPr>
            <w:tcW w:w="1155" w:type="pct"/>
            <w:gridSpan w:val="2"/>
            <w:shd w:val="clear" w:color="auto" w:fill="D9D9D9"/>
            <w:tcMar>
              <w:top w:w="0" w:type="dxa"/>
              <w:left w:w="28" w:type="dxa"/>
              <w:bottom w:w="0" w:type="dxa"/>
              <w:right w:w="28" w:type="dxa"/>
            </w:tcMar>
            <w:vAlign w:val="center"/>
          </w:tcPr>
          <w:p w14:paraId="5F29EC6C" w14:textId="77777777" w:rsidR="004B0883" w:rsidRDefault="004B0883">
            <w:pPr>
              <w:jc w:val="center"/>
              <w:rPr>
                <w:b/>
                <w:color w:val="000000"/>
              </w:rPr>
            </w:pPr>
            <w:r>
              <w:rPr>
                <w:b/>
                <w:color w:val="000000"/>
              </w:rPr>
              <w:t>2021</w:t>
            </w:r>
            <w:r>
              <w:rPr>
                <w:b/>
                <w:color w:val="000000"/>
              </w:rPr>
              <w:t>年度</w:t>
            </w:r>
          </w:p>
        </w:tc>
        <w:tc>
          <w:tcPr>
            <w:tcW w:w="1154" w:type="pct"/>
            <w:gridSpan w:val="2"/>
            <w:shd w:val="clear" w:color="auto" w:fill="D9D9D9"/>
            <w:tcMar>
              <w:top w:w="0" w:type="dxa"/>
              <w:left w:w="28" w:type="dxa"/>
              <w:bottom w:w="0" w:type="dxa"/>
              <w:right w:w="28" w:type="dxa"/>
            </w:tcMar>
            <w:vAlign w:val="center"/>
          </w:tcPr>
          <w:p w14:paraId="665FC42C" w14:textId="77777777" w:rsidR="004B0883" w:rsidRDefault="004B0883">
            <w:pPr>
              <w:jc w:val="center"/>
              <w:rPr>
                <w:b/>
                <w:color w:val="000000"/>
              </w:rPr>
            </w:pPr>
            <w:r>
              <w:rPr>
                <w:b/>
                <w:color w:val="000000"/>
              </w:rPr>
              <w:t>2020</w:t>
            </w:r>
            <w:r>
              <w:rPr>
                <w:b/>
                <w:color w:val="000000"/>
              </w:rPr>
              <w:t>年度</w:t>
            </w:r>
          </w:p>
        </w:tc>
      </w:tr>
      <w:tr w:rsidR="004B0883" w14:paraId="308D67E3" w14:textId="77777777">
        <w:trPr>
          <w:trHeight w:val="397"/>
          <w:tblHeader/>
          <w:jc w:val="center"/>
        </w:trPr>
        <w:tc>
          <w:tcPr>
            <w:tcW w:w="381" w:type="pct"/>
            <w:vMerge/>
            <w:shd w:val="clear" w:color="auto" w:fill="D9D9D9"/>
            <w:tcMar>
              <w:top w:w="0" w:type="dxa"/>
              <w:left w:w="28" w:type="dxa"/>
              <w:bottom w:w="0" w:type="dxa"/>
              <w:right w:w="28" w:type="dxa"/>
            </w:tcMar>
            <w:vAlign w:val="center"/>
          </w:tcPr>
          <w:p w14:paraId="2865591B" w14:textId="77777777" w:rsidR="004B0883" w:rsidRDefault="004B0883">
            <w:pPr>
              <w:jc w:val="center"/>
              <w:rPr>
                <w:b/>
                <w:color w:val="000000"/>
              </w:rPr>
            </w:pPr>
          </w:p>
        </w:tc>
        <w:tc>
          <w:tcPr>
            <w:tcW w:w="577" w:type="pct"/>
            <w:shd w:val="clear" w:color="auto" w:fill="D9D9D9"/>
            <w:tcMar>
              <w:top w:w="0" w:type="dxa"/>
              <w:left w:w="28" w:type="dxa"/>
              <w:bottom w:w="0" w:type="dxa"/>
              <w:right w:w="28" w:type="dxa"/>
            </w:tcMar>
            <w:vAlign w:val="center"/>
          </w:tcPr>
          <w:p w14:paraId="53182A8A" w14:textId="77777777" w:rsidR="004B0883" w:rsidRDefault="004B0883">
            <w:pPr>
              <w:jc w:val="center"/>
              <w:rPr>
                <w:b/>
                <w:color w:val="000000"/>
              </w:rPr>
            </w:pPr>
            <w:r>
              <w:rPr>
                <w:b/>
                <w:color w:val="000000"/>
              </w:rPr>
              <w:t>金额</w:t>
            </w:r>
          </w:p>
        </w:tc>
        <w:tc>
          <w:tcPr>
            <w:tcW w:w="578" w:type="pct"/>
            <w:shd w:val="clear" w:color="auto" w:fill="D9D9D9"/>
            <w:tcMar>
              <w:top w:w="0" w:type="dxa"/>
              <w:left w:w="28" w:type="dxa"/>
              <w:bottom w:w="0" w:type="dxa"/>
              <w:right w:w="28" w:type="dxa"/>
            </w:tcMar>
            <w:vAlign w:val="center"/>
          </w:tcPr>
          <w:p w14:paraId="6124D6C8" w14:textId="77777777" w:rsidR="004B0883" w:rsidRDefault="004B0883">
            <w:pPr>
              <w:jc w:val="center"/>
              <w:rPr>
                <w:b/>
                <w:color w:val="000000"/>
              </w:rPr>
            </w:pPr>
            <w:r>
              <w:rPr>
                <w:b/>
                <w:color w:val="000000"/>
              </w:rPr>
              <w:t>占比</w:t>
            </w:r>
          </w:p>
        </w:tc>
        <w:tc>
          <w:tcPr>
            <w:tcW w:w="577" w:type="pct"/>
            <w:shd w:val="clear" w:color="auto" w:fill="D9D9D9"/>
            <w:tcMar>
              <w:top w:w="0" w:type="dxa"/>
              <w:left w:w="28" w:type="dxa"/>
              <w:bottom w:w="0" w:type="dxa"/>
              <w:right w:w="28" w:type="dxa"/>
            </w:tcMar>
            <w:vAlign w:val="center"/>
          </w:tcPr>
          <w:p w14:paraId="5D50B103" w14:textId="77777777" w:rsidR="004B0883" w:rsidRDefault="004B0883">
            <w:pPr>
              <w:jc w:val="center"/>
              <w:rPr>
                <w:b/>
                <w:color w:val="000000"/>
              </w:rPr>
            </w:pPr>
            <w:r>
              <w:rPr>
                <w:b/>
                <w:color w:val="000000"/>
              </w:rPr>
              <w:t>金额</w:t>
            </w:r>
          </w:p>
        </w:tc>
        <w:tc>
          <w:tcPr>
            <w:tcW w:w="578" w:type="pct"/>
            <w:shd w:val="clear" w:color="auto" w:fill="D9D9D9"/>
            <w:tcMar>
              <w:top w:w="0" w:type="dxa"/>
              <w:left w:w="28" w:type="dxa"/>
              <w:bottom w:w="0" w:type="dxa"/>
              <w:right w:w="28" w:type="dxa"/>
            </w:tcMar>
            <w:vAlign w:val="center"/>
          </w:tcPr>
          <w:p w14:paraId="7BA3B1AE" w14:textId="77777777" w:rsidR="004B0883" w:rsidRDefault="004B0883">
            <w:pPr>
              <w:jc w:val="center"/>
              <w:rPr>
                <w:b/>
                <w:color w:val="000000"/>
              </w:rPr>
            </w:pPr>
            <w:r>
              <w:rPr>
                <w:b/>
                <w:color w:val="000000"/>
              </w:rPr>
              <w:t>占比</w:t>
            </w:r>
          </w:p>
        </w:tc>
        <w:tc>
          <w:tcPr>
            <w:tcW w:w="577" w:type="pct"/>
            <w:shd w:val="clear" w:color="auto" w:fill="D9D9D9"/>
            <w:tcMar>
              <w:top w:w="0" w:type="dxa"/>
              <w:left w:w="28" w:type="dxa"/>
              <w:bottom w:w="0" w:type="dxa"/>
              <w:right w:w="28" w:type="dxa"/>
            </w:tcMar>
            <w:vAlign w:val="center"/>
          </w:tcPr>
          <w:p w14:paraId="51E44823" w14:textId="77777777" w:rsidR="004B0883" w:rsidRDefault="004B0883">
            <w:pPr>
              <w:jc w:val="center"/>
              <w:rPr>
                <w:b/>
                <w:color w:val="000000"/>
              </w:rPr>
            </w:pPr>
            <w:r>
              <w:rPr>
                <w:b/>
                <w:color w:val="000000"/>
              </w:rPr>
              <w:t>金额</w:t>
            </w:r>
          </w:p>
        </w:tc>
        <w:tc>
          <w:tcPr>
            <w:tcW w:w="578" w:type="pct"/>
            <w:shd w:val="clear" w:color="auto" w:fill="D9D9D9"/>
            <w:tcMar>
              <w:top w:w="0" w:type="dxa"/>
              <w:left w:w="28" w:type="dxa"/>
              <w:bottom w:w="0" w:type="dxa"/>
              <w:right w:w="28" w:type="dxa"/>
            </w:tcMar>
            <w:vAlign w:val="center"/>
          </w:tcPr>
          <w:p w14:paraId="3DB03E28" w14:textId="77777777" w:rsidR="004B0883" w:rsidRDefault="004B0883">
            <w:pPr>
              <w:jc w:val="center"/>
              <w:rPr>
                <w:b/>
                <w:color w:val="000000"/>
              </w:rPr>
            </w:pPr>
            <w:r>
              <w:rPr>
                <w:b/>
                <w:color w:val="000000"/>
              </w:rPr>
              <w:t>占比</w:t>
            </w:r>
          </w:p>
        </w:tc>
        <w:tc>
          <w:tcPr>
            <w:tcW w:w="577" w:type="pct"/>
            <w:shd w:val="clear" w:color="auto" w:fill="D9D9D9"/>
            <w:tcMar>
              <w:top w:w="0" w:type="dxa"/>
              <w:left w:w="28" w:type="dxa"/>
              <w:bottom w:w="0" w:type="dxa"/>
              <w:right w:w="28" w:type="dxa"/>
            </w:tcMar>
            <w:vAlign w:val="center"/>
          </w:tcPr>
          <w:p w14:paraId="2D4D5D66" w14:textId="77777777" w:rsidR="004B0883" w:rsidRDefault="004B0883">
            <w:pPr>
              <w:jc w:val="center"/>
              <w:rPr>
                <w:b/>
                <w:color w:val="000000"/>
              </w:rPr>
            </w:pPr>
            <w:r>
              <w:rPr>
                <w:b/>
                <w:color w:val="000000"/>
              </w:rPr>
              <w:t>金额</w:t>
            </w:r>
          </w:p>
        </w:tc>
        <w:tc>
          <w:tcPr>
            <w:tcW w:w="577" w:type="pct"/>
            <w:shd w:val="clear" w:color="auto" w:fill="D9D9D9"/>
            <w:tcMar>
              <w:top w:w="0" w:type="dxa"/>
              <w:left w:w="28" w:type="dxa"/>
              <w:bottom w:w="0" w:type="dxa"/>
              <w:right w:w="28" w:type="dxa"/>
            </w:tcMar>
            <w:vAlign w:val="center"/>
          </w:tcPr>
          <w:p w14:paraId="0C04D5DE" w14:textId="77777777" w:rsidR="004B0883" w:rsidRDefault="004B0883">
            <w:pPr>
              <w:jc w:val="center"/>
              <w:rPr>
                <w:b/>
                <w:color w:val="000000"/>
              </w:rPr>
            </w:pPr>
            <w:r>
              <w:rPr>
                <w:b/>
                <w:color w:val="000000"/>
              </w:rPr>
              <w:t>占比</w:t>
            </w:r>
          </w:p>
        </w:tc>
      </w:tr>
      <w:tr w:rsidR="004B0883" w14:paraId="6E5A8E8A" w14:textId="77777777">
        <w:trPr>
          <w:trHeight w:val="397"/>
          <w:jc w:val="center"/>
        </w:trPr>
        <w:tc>
          <w:tcPr>
            <w:tcW w:w="381" w:type="pct"/>
            <w:tcMar>
              <w:top w:w="0" w:type="dxa"/>
              <w:left w:w="28" w:type="dxa"/>
              <w:bottom w:w="0" w:type="dxa"/>
              <w:right w:w="28" w:type="dxa"/>
            </w:tcMar>
            <w:vAlign w:val="center"/>
          </w:tcPr>
          <w:p w14:paraId="3BD738D2" w14:textId="77777777" w:rsidR="004B0883" w:rsidRDefault="004B0883">
            <w:pPr>
              <w:rPr>
                <w:color w:val="000000"/>
              </w:rPr>
            </w:pPr>
            <w:r>
              <w:rPr>
                <w:color w:val="000000"/>
              </w:rPr>
              <w:t>外销</w:t>
            </w:r>
          </w:p>
        </w:tc>
        <w:tc>
          <w:tcPr>
            <w:tcW w:w="577" w:type="pct"/>
            <w:tcMar>
              <w:top w:w="0" w:type="dxa"/>
              <w:left w:w="28" w:type="dxa"/>
              <w:bottom w:w="0" w:type="dxa"/>
              <w:right w:w="28" w:type="dxa"/>
            </w:tcMar>
            <w:vAlign w:val="center"/>
          </w:tcPr>
          <w:p w14:paraId="4AABA376" w14:textId="77777777" w:rsidR="004B0883" w:rsidRDefault="004B0883">
            <w:pPr>
              <w:jc w:val="right"/>
              <w:rPr>
                <w:color w:val="000000"/>
                <w:kern w:val="0"/>
              </w:rPr>
            </w:pPr>
            <w:r>
              <w:rPr>
                <w:color w:val="000000"/>
              </w:rPr>
              <w:t>32,056.10</w:t>
            </w:r>
          </w:p>
        </w:tc>
        <w:tc>
          <w:tcPr>
            <w:tcW w:w="578" w:type="pct"/>
            <w:tcMar>
              <w:top w:w="0" w:type="dxa"/>
              <w:left w:w="28" w:type="dxa"/>
              <w:bottom w:w="0" w:type="dxa"/>
              <w:right w:w="28" w:type="dxa"/>
            </w:tcMar>
            <w:vAlign w:val="center"/>
          </w:tcPr>
          <w:p w14:paraId="35AAB12C" w14:textId="77777777" w:rsidR="004B0883" w:rsidRDefault="004B0883">
            <w:pPr>
              <w:jc w:val="right"/>
              <w:rPr>
                <w:color w:val="000000"/>
              </w:rPr>
            </w:pPr>
            <w:r>
              <w:rPr>
                <w:rFonts w:hint="eastAsia"/>
                <w:color w:val="000000"/>
                <w:sz w:val="22"/>
                <w:szCs w:val="22"/>
              </w:rPr>
              <w:t>80.32%</w:t>
            </w:r>
          </w:p>
        </w:tc>
        <w:tc>
          <w:tcPr>
            <w:tcW w:w="577" w:type="pct"/>
            <w:tcMar>
              <w:top w:w="0" w:type="dxa"/>
              <w:left w:w="28" w:type="dxa"/>
              <w:bottom w:w="0" w:type="dxa"/>
              <w:right w:w="28" w:type="dxa"/>
            </w:tcMar>
            <w:vAlign w:val="center"/>
          </w:tcPr>
          <w:p w14:paraId="705BAD83" w14:textId="77777777" w:rsidR="004B0883" w:rsidRDefault="004B0883">
            <w:pPr>
              <w:jc w:val="right"/>
              <w:rPr>
                <w:color w:val="000000"/>
              </w:rPr>
            </w:pPr>
            <w:r>
              <w:rPr>
                <w:color w:val="000000"/>
              </w:rPr>
              <w:t>45,118.28</w:t>
            </w:r>
          </w:p>
        </w:tc>
        <w:tc>
          <w:tcPr>
            <w:tcW w:w="578" w:type="pct"/>
            <w:tcMar>
              <w:top w:w="0" w:type="dxa"/>
              <w:left w:w="28" w:type="dxa"/>
              <w:bottom w:w="0" w:type="dxa"/>
              <w:right w:w="28" w:type="dxa"/>
            </w:tcMar>
            <w:vAlign w:val="center"/>
          </w:tcPr>
          <w:p w14:paraId="081C7434" w14:textId="77777777" w:rsidR="004B0883" w:rsidRDefault="004B0883">
            <w:pPr>
              <w:jc w:val="right"/>
              <w:rPr>
                <w:color w:val="000000"/>
              </w:rPr>
            </w:pPr>
            <w:r>
              <w:rPr>
                <w:color w:val="000000"/>
              </w:rPr>
              <w:t>83.53%</w:t>
            </w:r>
          </w:p>
        </w:tc>
        <w:tc>
          <w:tcPr>
            <w:tcW w:w="577" w:type="pct"/>
            <w:tcMar>
              <w:top w:w="0" w:type="dxa"/>
              <w:left w:w="28" w:type="dxa"/>
              <w:bottom w:w="0" w:type="dxa"/>
              <w:right w:w="28" w:type="dxa"/>
            </w:tcMar>
            <w:vAlign w:val="center"/>
          </w:tcPr>
          <w:p w14:paraId="46A29AE0" w14:textId="77777777" w:rsidR="004B0883" w:rsidRDefault="004B0883">
            <w:pPr>
              <w:jc w:val="right"/>
              <w:rPr>
                <w:color w:val="000000"/>
              </w:rPr>
            </w:pPr>
            <w:r>
              <w:rPr>
                <w:color w:val="000000"/>
              </w:rPr>
              <w:t>31,275.26</w:t>
            </w:r>
          </w:p>
        </w:tc>
        <w:tc>
          <w:tcPr>
            <w:tcW w:w="578" w:type="pct"/>
            <w:tcMar>
              <w:top w:w="0" w:type="dxa"/>
              <w:left w:w="28" w:type="dxa"/>
              <w:bottom w:w="0" w:type="dxa"/>
              <w:right w:w="28" w:type="dxa"/>
            </w:tcMar>
            <w:vAlign w:val="center"/>
          </w:tcPr>
          <w:p w14:paraId="671C4EC0" w14:textId="77777777" w:rsidR="004B0883" w:rsidRDefault="004B0883">
            <w:pPr>
              <w:jc w:val="right"/>
              <w:rPr>
                <w:color w:val="000000"/>
              </w:rPr>
            </w:pPr>
            <w:r>
              <w:rPr>
                <w:color w:val="000000"/>
              </w:rPr>
              <w:t>75.33%</w:t>
            </w:r>
          </w:p>
        </w:tc>
        <w:tc>
          <w:tcPr>
            <w:tcW w:w="577" w:type="pct"/>
            <w:tcMar>
              <w:top w:w="0" w:type="dxa"/>
              <w:left w:w="28" w:type="dxa"/>
              <w:bottom w:w="0" w:type="dxa"/>
              <w:right w:w="28" w:type="dxa"/>
            </w:tcMar>
            <w:vAlign w:val="center"/>
          </w:tcPr>
          <w:p w14:paraId="4406119D" w14:textId="77777777" w:rsidR="004B0883" w:rsidRDefault="004B0883">
            <w:pPr>
              <w:jc w:val="right"/>
              <w:rPr>
                <w:color w:val="000000"/>
              </w:rPr>
            </w:pPr>
            <w:r>
              <w:rPr>
                <w:color w:val="000000"/>
              </w:rPr>
              <w:t>27,604.16</w:t>
            </w:r>
          </w:p>
        </w:tc>
        <w:tc>
          <w:tcPr>
            <w:tcW w:w="577" w:type="pct"/>
            <w:tcMar>
              <w:top w:w="0" w:type="dxa"/>
              <w:left w:w="28" w:type="dxa"/>
              <w:bottom w:w="0" w:type="dxa"/>
              <w:right w:w="28" w:type="dxa"/>
            </w:tcMar>
            <w:vAlign w:val="center"/>
          </w:tcPr>
          <w:p w14:paraId="37DE8329" w14:textId="77777777" w:rsidR="004B0883" w:rsidRDefault="004B0883">
            <w:pPr>
              <w:jc w:val="right"/>
              <w:rPr>
                <w:color w:val="000000"/>
              </w:rPr>
            </w:pPr>
            <w:r>
              <w:rPr>
                <w:color w:val="000000"/>
              </w:rPr>
              <w:t>80.11%</w:t>
            </w:r>
          </w:p>
        </w:tc>
      </w:tr>
      <w:tr w:rsidR="004B0883" w14:paraId="6850E427" w14:textId="77777777">
        <w:trPr>
          <w:trHeight w:val="397"/>
          <w:jc w:val="center"/>
        </w:trPr>
        <w:tc>
          <w:tcPr>
            <w:tcW w:w="381" w:type="pct"/>
            <w:tcMar>
              <w:top w:w="0" w:type="dxa"/>
              <w:left w:w="28" w:type="dxa"/>
              <w:bottom w:w="0" w:type="dxa"/>
              <w:right w:w="28" w:type="dxa"/>
            </w:tcMar>
            <w:vAlign w:val="center"/>
          </w:tcPr>
          <w:p w14:paraId="231B2B63" w14:textId="77777777" w:rsidR="004B0883" w:rsidRDefault="004B0883">
            <w:pPr>
              <w:rPr>
                <w:color w:val="000000"/>
              </w:rPr>
            </w:pPr>
            <w:r>
              <w:rPr>
                <w:color w:val="000000"/>
              </w:rPr>
              <w:t>内销</w:t>
            </w:r>
          </w:p>
        </w:tc>
        <w:tc>
          <w:tcPr>
            <w:tcW w:w="577" w:type="pct"/>
            <w:tcMar>
              <w:top w:w="0" w:type="dxa"/>
              <w:left w:w="28" w:type="dxa"/>
              <w:bottom w:w="0" w:type="dxa"/>
              <w:right w:w="28" w:type="dxa"/>
            </w:tcMar>
            <w:vAlign w:val="center"/>
          </w:tcPr>
          <w:p w14:paraId="645C3421" w14:textId="77777777" w:rsidR="004B0883" w:rsidRDefault="004B0883">
            <w:pPr>
              <w:jc w:val="right"/>
              <w:rPr>
                <w:color w:val="000000"/>
              </w:rPr>
            </w:pPr>
            <w:r>
              <w:rPr>
                <w:color w:val="000000"/>
              </w:rPr>
              <w:t>7,853.61</w:t>
            </w:r>
          </w:p>
        </w:tc>
        <w:tc>
          <w:tcPr>
            <w:tcW w:w="578" w:type="pct"/>
            <w:tcMar>
              <w:top w:w="0" w:type="dxa"/>
              <w:left w:w="28" w:type="dxa"/>
              <w:bottom w:w="0" w:type="dxa"/>
              <w:right w:w="28" w:type="dxa"/>
            </w:tcMar>
            <w:vAlign w:val="center"/>
          </w:tcPr>
          <w:p w14:paraId="4048B48C" w14:textId="77777777" w:rsidR="004B0883" w:rsidRDefault="004B0883">
            <w:pPr>
              <w:jc w:val="right"/>
              <w:rPr>
                <w:color w:val="000000"/>
              </w:rPr>
            </w:pPr>
            <w:r>
              <w:rPr>
                <w:rFonts w:hint="eastAsia"/>
                <w:color w:val="000000"/>
                <w:sz w:val="22"/>
                <w:szCs w:val="22"/>
              </w:rPr>
              <w:t>19.68%</w:t>
            </w:r>
          </w:p>
        </w:tc>
        <w:tc>
          <w:tcPr>
            <w:tcW w:w="577" w:type="pct"/>
            <w:tcMar>
              <w:top w:w="0" w:type="dxa"/>
              <w:left w:w="28" w:type="dxa"/>
              <w:bottom w:w="0" w:type="dxa"/>
              <w:right w:w="28" w:type="dxa"/>
            </w:tcMar>
            <w:vAlign w:val="center"/>
          </w:tcPr>
          <w:p w14:paraId="4043418A" w14:textId="77777777" w:rsidR="004B0883" w:rsidRDefault="004B0883">
            <w:pPr>
              <w:jc w:val="right"/>
              <w:rPr>
                <w:color w:val="000000"/>
              </w:rPr>
            </w:pPr>
            <w:r>
              <w:rPr>
                <w:color w:val="000000"/>
              </w:rPr>
              <w:t>8,895.88</w:t>
            </w:r>
          </w:p>
        </w:tc>
        <w:tc>
          <w:tcPr>
            <w:tcW w:w="578" w:type="pct"/>
            <w:tcMar>
              <w:top w:w="0" w:type="dxa"/>
              <w:left w:w="28" w:type="dxa"/>
              <w:bottom w:w="0" w:type="dxa"/>
              <w:right w:w="28" w:type="dxa"/>
            </w:tcMar>
            <w:vAlign w:val="center"/>
          </w:tcPr>
          <w:p w14:paraId="6F362D70" w14:textId="77777777" w:rsidR="004B0883" w:rsidRDefault="004B0883">
            <w:pPr>
              <w:jc w:val="right"/>
              <w:rPr>
                <w:color w:val="000000"/>
              </w:rPr>
            </w:pPr>
            <w:r>
              <w:rPr>
                <w:color w:val="000000"/>
              </w:rPr>
              <w:t>16.47%</w:t>
            </w:r>
          </w:p>
        </w:tc>
        <w:tc>
          <w:tcPr>
            <w:tcW w:w="577" w:type="pct"/>
            <w:tcMar>
              <w:top w:w="0" w:type="dxa"/>
              <w:left w:w="28" w:type="dxa"/>
              <w:bottom w:w="0" w:type="dxa"/>
              <w:right w:w="28" w:type="dxa"/>
            </w:tcMar>
            <w:vAlign w:val="center"/>
          </w:tcPr>
          <w:p w14:paraId="0C7A0785" w14:textId="77777777" w:rsidR="004B0883" w:rsidRDefault="004B0883">
            <w:pPr>
              <w:jc w:val="right"/>
              <w:rPr>
                <w:color w:val="000000"/>
              </w:rPr>
            </w:pPr>
            <w:r>
              <w:rPr>
                <w:color w:val="000000"/>
              </w:rPr>
              <w:t>10,241.01</w:t>
            </w:r>
          </w:p>
        </w:tc>
        <w:tc>
          <w:tcPr>
            <w:tcW w:w="578" w:type="pct"/>
            <w:tcMar>
              <w:top w:w="0" w:type="dxa"/>
              <w:left w:w="28" w:type="dxa"/>
              <w:bottom w:w="0" w:type="dxa"/>
              <w:right w:w="28" w:type="dxa"/>
            </w:tcMar>
            <w:vAlign w:val="center"/>
          </w:tcPr>
          <w:p w14:paraId="407F2719" w14:textId="77777777" w:rsidR="004B0883" w:rsidRDefault="004B0883">
            <w:pPr>
              <w:jc w:val="right"/>
              <w:rPr>
                <w:color w:val="000000"/>
              </w:rPr>
            </w:pPr>
            <w:r>
              <w:rPr>
                <w:color w:val="000000"/>
              </w:rPr>
              <w:t>24.67%</w:t>
            </w:r>
          </w:p>
        </w:tc>
        <w:tc>
          <w:tcPr>
            <w:tcW w:w="577" w:type="pct"/>
            <w:tcMar>
              <w:top w:w="0" w:type="dxa"/>
              <w:left w:w="28" w:type="dxa"/>
              <w:bottom w:w="0" w:type="dxa"/>
              <w:right w:w="28" w:type="dxa"/>
            </w:tcMar>
            <w:vAlign w:val="center"/>
          </w:tcPr>
          <w:p w14:paraId="690BC33F" w14:textId="77777777" w:rsidR="004B0883" w:rsidRDefault="004B0883">
            <w:pPr>
              <w:jc w:val="right"/>
              <w:rPr>
                <w:color w:val="000000"/>
              </w:rPr>
            </w:pPr>
            <w:r>
              <w:rPr>
                <w:color w:val="000000"/>
              </w:rPr>
              <w:t>6,854.84</w:t>
            </w:r>
          </w:p>
        </w:tc>
        <w:tc>
          <w:tcPr>
            <w:tcW w:w="577" w:type="pct"/>
            <w:tcMar>
              <w:top w:w="0" w:type="dxa"/>
              <w:left w:w="28" w:type="dxa"/>
              <w:bottom w:w="0" w:type="dxa"/>
              <w:right w:w="28" w:type="dxa"/>
            </w:tcMar>
            <w:vAlign w:val="center"/>
          </w:tcPr>
          <w:p w14:paraId="034E2793" w14:textId="77777777" w:rsidR="004B0883" w:rsidRDefault="004B0883">
            <w:pPr>
              <w:jc w:val="right"/>
              <w:rPr>
                <w:color w:val="000000"/>
              </w:rPr>
            </w:pPr>
            <w:r>
              <w:rPr>
                <w:color w:val="000000"/>
              </w:rPr>
              <w:t>19.89%</w:t>
            </w:r>
          </w:p>
        </w:tc>
      </w:tr>
      <w:tr w:rsidR="004B0883" w14:paraId="0B5FEB7D" w14:textId="77777777">
        <w:trPr>
          <w:trHeight w:val="397"/>
          <w:jc w:val="center"/>
        </w:trPr>
        <w:tc>
          <w:tcPr>
            <w:tcW w:w="381" w:type="pct"/>
            <w:tcMar>
              <w:top w:w="0" w:type="dxa"/>
              <w:left w:w="28" w:type="dxa"/>
              <w:bottom w:w="0" w:type="dxa"/>
              <w:right w:w="28" w:type="dxa"/>
            </w:tcMar>
            <w:vAlign w:val="center"/>
          </w:tcPr>
          <w:p w14:paraId="024D9D64" w14:textId="77777777" w:rsidR="004B0883" w:rsidRDefault="004B0883">
            <w:pPr>
              <w:jc w:val="center"/>
              <w:rPr>
                <w:b/>
                <w:color w:val="000000"/>
              </w:rPr>
            </w:pPr>
            <w:r>
              <w:rPr>
                <w:b/>
                <w:color w:val="000000"/>
              </w:rPr>
              <w:t>合计</w:t>
            </w:r>
          </w:p>
        </w:tc>
        <w:tc>
          <w:tcPr>
            <w:tcW w:w="577" w:type="pct"/>
            <w:tcMar>
              <w:top w:w="0" w:type="dxa"/>
              <w:left w:w="28" w:type="dxa"/>
              <w:bottom w:w="0" w:type="dxa"/>
              <w:right w:w="28" w:type="dxa"/>
            </w:tcMar>
            <w:vAlign w:val="center"/>
          </w:tcPr>
          <w:p w14:paraId="769BBB0C" w14:textId="77777777" w:rsidR="004B0883" w:rsidRDefault="004B0883">
            <w:pPr>
              <w:jc w:val="right"/>
              <w:rPr>
                <w:b/>
                <w:color w:val="000000"/>
              </w:rPr>
            </w:pPr>
            <w:r>
              <w:rPr>
                <w:b/>
                <w:color w:val="000000"/>
              </w:rPr>
              <w:t>39,909.71</w:t>
            </w:r>
          </w:p>
        </w:tc>
        <w:tc>
          <w:tcPr>
            <w:tcW w:w="578" w:type="pct"/>
            <w:tcMar>
              <w:top w:w="0" w:type="dxa"/>
              <w:left w:w="28" w:type="dxa"/>
              <w:bottom w:w="0" w:type="dxa"/>
              <w:right w:w="28" w:type="dxa"/>
            </w:tcMar>
            <w:vAlign w:val="center"/>
          </w:tcPr>
          <w:p w14:paraId="4F63C4A1" w14:textId="77777777" w:rsidR="004B0883" w:rsidRDefault="004B0883">
            <w:pPr>
              <w:jc w:val="right"/>
              <w:rPr>
                <w:b/>
                <w:color w:val="000000"/>
              </w:rPr>
            </w:pPr>
            <w:r>
              <w:rPr>
                <w:b/>
                <w:color w:val="000000"/>
              </w:rPr>
              <w:t>100.00%</w:t>
            </w:r>
          </w:p>
        </w:tc>
        <w:tc>
          <w:tcPr>
            <w:tcW w:w="577" w:type="pct"/>
            <w:tcMar>
              <w:top w:w="0" w:type="dxa"/>
              <w:left w:w="28" w:type="dxa"/>
              <w:bottom w:w="0" w:type="dxa"/>
              <w:right w:w="28" w:type="dxa"/>
            </w:tcMar>
            <w:vAlign w:val="center"/>
          </w:tcPr>
          <w:p w14:paraId="417B3C6A" w14:textId="77777777" w:rsidR="004B0883" w:rsidRDefault="004B0883">
            <w:pPr>
              <w:jc w:val="right"/>
              <w:rPr>
                <w:b/>
                <w:color w:val="000000"/>
              </w:rPr>
            </w:pPr>
            <w:r>
              <w:rPr>
                <w:b/>
                <w:color w:val="000000"/>
              </w:rPr>
              <w:t>54,014.16</w:t>
            </w:r>
          </w:p>
        </w:tc>
        <w:tc>
          <w:tcPr>
            <w:tcW w:w="578" w:type="pct"/>
            <w:tcMar>
              <w:top w:w="0" w:type="dxa"/>
              <w:left w:w="28" w:type="dxa"/>
              <w:bottom w:w="0" w:type="dxa"/>
              <w:right w:w="28" w:type="dxa"/>
            </w:tcMar>
            <w:vAlign w:val="center"/>
          </w:tcPr>
          <w:p w14:paraId="2FC985E0" w14:textId="77777777" w:rsidR="004B0883" w:rsidRDefault="004B0883">
            <w:pPr>
              <w:jc w:val="right"/>
              <w:rPr>
                <w:b/>
                <w:color w:val="000000"/>
              </w:rPr>
            </w:pPr>
            <w:r>
              <w:rPr>
                <w:b/>
                <w:color w:val="000000"/>
              </w:rPr>
              <w:t>100.00%</w:t>
            </w:r>
          </w:p>
        </w:tc>
        <w:tc>
          <w:tcPr>
            <w:tcW w:w="577" w:type="pct"/>
            <w:tcMar>
              <w:top w:w="0" w:type="dxa"/>
              <w:left w:w="28" w:type="dxa"/>
              <w:bottom w:w="0" w:type="dxa"/>
              <w:right w:w="28" w:type="dxa"/>
            </w:tcMar>
            <w:vAlign w:val="center"/>
          </w:tcPr>
          <w:p w14:paraId="6121B445" w14:textId="77777777" w:rsidR="004B0883" w:rsidRDefault="004B0883">
            <w:pPr>
              <w:jc w:val="right"/>
              <w:rPr>
                <w:b/>
                <w:color w:val="000000"/>
              </w:rPr>
            </w:pPr>
            <w:r>
              <w:rPr>
                <w:b/>
                <w:color w:val="000000"/>
              </w:rPr>
              <w:t>41,516.27</w:t>
            </w:r>
          </w:p>
        </w:tc>
        <w:tc>
          <w:tcPr>
            <w:tcW w:w="578" w:type="pct"/>
            <w:tcMar>
              <w:top w:w="0" w:type="dxa"/>
              <w:left w:w="28" w:type="dxa"/>
              <w:bottom w:w="0" w:type="dxa"/>
              <w:right w:w="28" w:type="dxa"/>
            </w:tcMar>
            <w:vAlign w:val="center"/>
          </w:tcPr>
          <w:p w14:paraId="650DA95C" w14:textId="77777777" w:rsidR="004B0883" w:rsidRDefault="004B0883">
            <w:pPr>
              <w:jc w:val="right"/>
              <w:rPr>
                <w:b/>
                <w:color w:val="000000"/>
              </w:rPr>
            </w:pPr>
            <w:r>
              <w:rPr>
                <w:b/>
                <w:color w:val="000000"/>
              </w:rPr>
              <w:t>100.00%</w:t>
            </w:r>
          </w:p>
        </w:tc>
        <w:tc>
          <w:tcPr>
            <w:tcW w:w="577" w:type="pct"/>
            <w:tcMar>
              <w:top w:w="0" w:type="dxa"/>
              <w:left w:w="28" w:type="dxa"/>
              <w:bottom w:w="0" w:type="dxa"/>
              <w:right w:w="28" w:type="dxa"/>
            </w:tcMar>
            <w:vAlign w:val="center"/>
          </w:tcPr>
          <w:p w14:paraId="582716A5" w14:textId="77777777" w:rsidR="004B0883" w:rsidRDefault="004B0883">
            <w:pPr>
              <w:jc w:val="right"/>
              <w:rPr>
                <w:b/>
                <w:color w:val="000000"/>
              </w:rPr>
            </w:pPr>
            <w:r>
              <w:rPr>
                <w:b/>
                <w:color w:val="000000"/>
              </w:rPr>
              <w:t>34,459.00</w:t>
            </w:r>
          </w:p>
        </w:tc>
        <w:tc>
          <w:tcPr>
            <w:tcW w:w="577" w:type="pct"/>
            <w:tcMar>
              <w:top w:w="0" w:type="dxa"/>
              <w:left w:w="28" w:type="dxa"/>
              <w:bottom w:w="0" w:type="dxa"/>
              <w:right w:w="28" w:type="dxa"/>
            </w:tcMar>
            <w:vAlign w:val="center"/>
          </w:tcPr>
          <w:p w14:paraId="6E9CAB2E" w14:textId="77777777" w:rsidR="004B0883" w:rsidRDefault="004B0883">
            <w:pPr>
              <w:jc w:val="right"/>
              <w:rPr>
                <w:b/>
                <w:color w:val="000000"/>
              </w:rPr>
            </w:pPr>
            <w:r>
              <w:rPr>
                <w:b/>
                <w:color w:val="000000"/>
              </w:rPr>
              <w:t>100.00%</w:t>
            </w:r>
          </w:p>
        </w:tc>
      </w:tr>
    </w:tbl>
    <w:p w14:paraId="79D9E3E9" w14:textId="77777777" w:rsidR="004B0883" w:rsidRDefault="004B0883">
      <w:pPr>
        <w:pStyle w:val="005"/>
        <w:spacing w:before="120"/>
        <w:ind w:firstLine="480"/>
      </w:pPr>
      <w:r>
        <w:t>报告期各期，公司</w:t>
      </w:r>
      <w:r>
        <w:rPr>
          <w:rStyle w:val="005Char"/>
        </w:rPr>
        <w:t>外销</w:t>
      </w:r>
      <w:r>
        <w:t>收入占收入的比重分别为</w:t>
      </w:r>
      <w:r>
        <w:t>80.11%</w:t>
      </w:r>
      <w:r>
        <w:t>、</w:t>
      </w:r>
      <w:r>
        <w:t>75.33%</w:t>
      </w:r>
      <w:r>
        <w:t>、</w:t>
      </w:r>
      <w:r>
        <w:t>83.53%</w:t>
      </w:r>
      <w:r>
        <w:t>及</w:t>
      </w:r>
      <w:r>
        <w:t>80.32%</w:t>
      </w:r>
      <w:r>
        <w:t>，为收入的主要来源。</w:t>
      </w:r>
      <w:r>
        <w:t>2022</w:t>
      </w:r>
      <w:r>
        <w:t>年随着全球突发性公共卫生事件的逐步缓解，公司及时复产复工并进一步扩大了海外市场的开拓，外销的订单量和销售发货量较上年同期呈大幅增长。</w:t>
      </w:r>
    </w:p>
    <w:bookmarkEnd w:id="351"/>
    <w:p w14:paraId="3709691E" w14:textId="77777777" w:rsidR="004B0883" w:rsidRDefault="004B0883">
      <w:pPr>
        <w:pStyle w:val="003"/>
        <w:spacing w:before="120" w:after="120"/>
      </w:pPr>
      <w:r>
        <w:t>（二）营业成本分析</w:t>
      </w:r>
    </w:p>
    <w:p w14:paraId="7F1266F5" w14:textId="77777777" w:rsidR="004B0883" w:rsidRDefault="004B0883">
      <w:pPr>
        <w:pStyle w:val="005"/>
        <w:spacing w:before="120"/>
        <w:ind w:firstLine="480"/>
      </w:pPr>
      <w:r>
        <w:t>报告期各期，公司营业成本构成情况如下：</w:t>
      </w:r>
    </w:p>
    <w:p w14:paraId="0004B4A7" w14:textId="77777777" w:rsidR="004B0883" w:rsidRDefault="004B0883">
      <w:pPr>
        <w:pStyle w:val="009"/>
      </w:pPr>
      <w:r>
        <w:t>单位：万元</w:t>
      </w:r>
    </w:p>
    <w:tbl>
      <w:tblPr>
        <w:tblW w:w="5141"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500"/>
        <w:gridCol w:w="896"/>
        <w:gridCol w:w="844"/>
        <w:gridCol w:w="898"/>
        <w:gridCol w:w="855"/>
        <w:gridCol w:w="904"/>
        <w:gridCol w:w="858"/>
        <w:gridCol w:w="904"/>
        <w:gridCol w:w="854"/>
      </w:tblGrid>
      <w:tr w:rsidR="004B0883" w14:paraId="6F16F39C" w14:textId="77777777">
        <w:trPr>
          <w:trHeight w:val="397"/>
          <w:tblHeader/>
          <w:jc w:val="center"/>
        </w:trPr>
        <w:tc>
          <w:tcPr>
            <w:tcW w:w="883" w:type="pct"/>
            <w:vMerge w:val="restart"/>
            <w:shd w:val="clear" w:color="auto" w:fill="D9D9D9"/>
            <w:tcMar>
              <w:top w:w="0" w:type="dxa"/>
              <w:left w:w="28" w:type="dxa"/>
              <w:bottom w:w="0" w:type="dxa"/>
              <w:right w:w="28" w:type="dxa"/>
            </w:tcMar>
            <w:vAlign w:val="center"/>
          </w:tcPr>
          <w:p w14:paraId="4F9310A8" w14:textId="77777777" w:rsidR="004B0883" w:rsidRDefault="004B0883">
            <w:pPr>
              <w:keepNext/>
              <w:jc w:val="center"/>
              <w:rPr>
                <w:b/>
                <w:color w:val="000000"/>
              </w:rPr>
            </w:pPr>
            <w:r>
              <w:rPr>
                <w:b/>
                <w:color w:val="000000"/>
              </w:rPr>
              <w:t>项目</w:t>
            </w:r>
          </w:p>
        </w:tc>
        <w:tc>
          <w:tcPr>
            <w:tcW w:w="1012" w:type="pct"/>
            <w:gridSpan w:val="2"/>
            <w:shd w:val="clear" w:color="auto" w:fill="D9D9D9"/>
            <w:tcMar>
              <w:top w:w="0" w:type="dxa"/>
              <w:left w:w="28" w:type="dxa"/>
              <w:bottom w:w="0" w:type="dxa"/>
              <w:right w:w="28" w:type="dxa"/>
            </w:tcMar>
            <w:vAlign w:val="center"/>
          </w:tcPr>
          <w:p w14:paraId="57F2DA64" w14:textId="77777777" w:rsidR="004B0883" w:rsidRDefault="004B0883">
            <w:pPr>
              <w:keepNext/>
              <w:jc w:val="center"/>
              <w:rPr>
                <w:b/>
                <w:color w:val="000000"/>
              </w:rPr>
            </w:pPr>
            <w:r>
              <w:rPr>
                <w:b/>
                <w:color w:val="000000"/>
              </w:rPr>
              <w:t>2023</w:t>
            </w:r>
            <w:r>
              <w:rPr>
                <w:b/>
                <w:color w:val="000000"/>
              </w:rPr>
              <w:t>年</w:t>
            </w:r>
            <w:r>
              <w:rPr>
                <w:b/>
                <w:color w:val="000000"/>
              </w:rPr>
              <w:t>1-9</w:t>
            </w:r>
            <w:r>
              <w:rPr>
                <w:b/>
                <w:color w:val="000000"/>
              </w:rPr>
              <w:t>月</w:t>
            </w:r>
          </w:p>
        </w:tc>
        <w:tc>
          <w:tcPr>
            <w:tcW w:w="1033" w:type="pct"/>
            <w:gridSpan w:val="2"/>
            <w:shd w:val="clear" w:color="auto" w:fill="D9D9D9"/>
            <w:tcMar>
              <w:top w:w="0" w:type="dxa"/>
              <w:left w:w="28" w:type="dxa"/>
              <w:bottom w:w="0" w:type="dxa"/>
              <w:right w:w="28" w:type="dxa"/>
            </w:tcMar>
            <w:vAlign w:val="center"/>
          </w:tcPr>
          <w:p w14:paraId="1AB12278" w14:textId="77777777" w:rsidR="004B0883" w:rsidRDefault="004B0883">
            <w:pPr>
              <w:keepNext/>
              <w:jc w:val="center"/>
              <w:rPr>
                <w:b/>
                <w:color w:val="000000"/>
              </w:rPr>
            </w:pPr>
            <w:r>
              <w:rPr>
                <w:b/>
                <w:color w:val="000000"/>
              </w:rPr>
              <w:t>2022</w:t>
            </w:r>
            <w:r>
              <w:rPr>
                <w:b/>
                <w:color w:val="000000"/>
              </w:rPr>
              <w:t>年度</w:t>
            </w:r>
          </w:p>
        </w:tc>
        <w:tc>
          <w:tcPr>
            <w:tcW w:w="1037" w:type="pct"/>
            <w:gridSpan w:val="2"/>
            <w:shd w:val="clear" w:color="auto" w:fill="D9D9D9"/>
            <w:tcMar>
              <w:top w:w="0" w:type="dxa"/>
              <w:left w:w="28" w:type="dxa"/>
              <w:bottom w:w="0" w:type="dxa"/>
              <w:right w:w="28" w:type="dxa"/>
            </w:tcMar>
            <w:vAlign w:val="center"/>
          </w:tcPr>
          <w:p w14:paraId="18841DE7" w14:textId="77777777" w:rsidR="004B0883" w:rsidRDefault="004B0883">
            <w:pPr>
              <w:keepNext/>
              <w:jc w:val="center"/>
              <w:rPr>
                <w:b/>
                <w:color w:val="000000"/>
              </w:rPr>
            </w:pPr>
            <w:r>
              <w:rPr>
                <w:b/>
                <w:color w:val="000000"/>
              </w:rPr>
              <w:t>2021</w:t>
            </w:r>
            <w:r>
              <w:rPr>
                <w:b/>
                <w:color w:val="000000"/>
              </w:rPr>
              <w:t>年</w:t>
            </w:r>
            <w:r>
              <w:rPr>
                <w:b/>
                <w:bCs/>
                <w:kern w:val="0"/>
              </w:rPr>
              <w:t>度</w:t>
            </w:r>
          </w:p>
        </w:tc>
        <w:tc>
          <w:tcPr>
            <w:tcW w:w="1036" w:type="pct"/>
            <w:gridSpan w:val="2"/>
            <w:shd w:val="clear" w:color="auto" w:fill="D9D9D9"/>
            <w:tcMar>
              <w:top w:w="0" w:type="dxa"/>
              <w:left w:w="28" w:type="dxa"/>
              <w:bottom w:w="0" w:type="dxa"/>
              <w:right w:w="28" w:type="dxa"/>
            </w:tcMar>
            <w:vAlign w:val="center"/>
          </w:tcPr>
          <w:p w14:paraId="1F7BE543" w14:textId="77777777" w:rsidR="004B0883" w:rsidRDefault="004B0883">
            <w:pPr>
              <w:keepNext/>
              <w:jc w:val="center"/>
              <w:rPr>
                <w:b/>
                <w:color w:val="000000"/>
              </w:rPr>
            </w:pPr>
            <w:r>
              <w:rPr>
                <w:b/>
                <w:color w:val="000000"/>
              </w:rPr>
              <w:t>2020</w:t>
            </w:r>
            <w:r>
              <w:rPr>
                <w:b/>
                <w:color w:val="000000"/>
              </w:rPr>
              <w:t>年</w:t>
            </w:r>
            <w:r>
              <w:rPr>
                <w:b/>
                <w:bCs/>
                <w:kern w:val="0"/>
              </w:rPr>
              <w:t>度</w:t>
            </w:r>
          </w:p>
        </w:tc>
      </w:tr>
      <w:tr w:rsidR="004B0883" w14:paraId="6263AD8C" w14:textId="77777777">
        <w:trPr>
          <w:trHeight w:val="397"/>
          <w:tblHeader/>
          <w:jc w:val="center"/>
        </w:trPr>
        <w:tc>
          <w:tcPr>
            <w:tcW w:w="883" w:type="pct"/>
            <w:vMerge/>
            <w:shd w:val="clear" w:color="auto" w:fill="D9D9D9"/>
            <w:tcMar>
              <w:top w:w="0" w:type="dxa"/>
              <w:left w:w="28" w:type="dxa"/>
              <w:bottom w:w="0" w:type="dxa"/>
              <w:right w:w="28" w:type="dxa"/>
            </w:tcMar>
            <w:vAlign w:val="center"/>
          </w:tcPr>
          <w:p w14:paraId="5E8C9152" w14:textId="77777777" w:rsidR="004B0883" w:rsidRDefault="004B0883">
            <w:pPr>
              <w:jc w:val="center"/>
              <w:rPr>
                <w:b/>
                <w:color w:val="000000"/>
              </w:rPr>
            </w:pPr>
          </w:p>
        </w:tc>
        <w:tc>
          <w:tcPr>
            <w:tcW w:w="521" w:type="pct"/>
            <w:shd w:val="clear" w:color="auto" w:fill="D9D9D9"/>
            <w:tcMar>
              <w:top w:w="0" w:type="dxa"/>
              <w:left w:w="28" w:type="dxa"/>
              <w:bottom w:w="0" w:type="dxa"/>
              <w:right w:w="28" w:type="dxa"/>
            </w:tcMar>
            <w:vAlign w:val="center"/>
          </w:tcPr>
          <w:p w14:paraId="51AFD51F" w14:textId="77777777" w:rsidR="004B0883" w:rsidRDefault="004B0883">
            <w:pPr>
              <w:jc w:val="center"/>
              <w:rPr>
                <w:b/>
                <w:color w:val="000000"/>
              </w:rPr>
            </w:pPr>
            <w:r>
              <w:rPr>
                <w:b/>
                <w:color w:val="000000"/>
              </w:rPr>
              <w:t>金额</w:t>
            </w:r>
          </w:p>
        </w:tc>
        <w:tc>
          <w:tcPr>
            <w:tcW w:w="490" w:type="pct"/>
            <w:shd w:val="clear" w:color="auto" w:fill="D9D9D9"/>
            <w:tcMar>
              <w:top w:w="0" w:type="dxa"/>
              <w:left w:w="28" w:type="dxa"/>
              <w:bottom w:w="0" w:type="dxa"/>
              <w:right w:w="28" w:type="dxa"/>
            </w:tcMar>
            <w:vAlign w:val="center"/>
          </w:tcPr>
          <w:p w14:paraId="618FFA66" w14:textId="77777777" w:rsidR="004B0883" w:rsidRDefault="004B0883">
            <w:pPr>
              <w:jc w:val="center"/>
              <w:rPr>
                <w:b/>
                <w:color w:val="000000"/>
              </w:rPr>
            </w:pPr>
            <w:r>
              <w:rPr>
                <w:b/>
                <w:color w:val="000000"/>
              </w:rPr>
              <w:t>占比</w:t>
            </w:r>
          </w:p>
        </w:tc>
        <w:tc>
          <w:tcPr>
            <w:tcW w:w="529" w:type="pct"/>
            <w:shd w:val="clear" w:color="auto" w:fill="D9D9D9"/>
            <w:tcMar>
              <w:top w:w="0" w:type="dxa"/>
              <w:left w:w="28" w:type="dxa"/>
              <w:bottom w:w="0" w:type="dxa"/>
              <w:right w:w="28" w:type="dxa"/>
            </w:tcMar>
            <w:vAlign w:val="center"/>
          </w:tcPr>
          <w:p w14:paraId="6B8609B9" w14:textId="77777777" w:rsidR="004B0883" w:rsidRDefault="004B0883">
            <w:pPr>
              <w:jc w:val="center"/>
              <w:rPr>
                <w:b/>
                <w:color w:val="000000"/>
              </w:rPr>
            </w:pPr>
            <w:r>
              <w:rPr>
                <w:b/>
                <w:color w:val="000000"/>
              </w:rPr>
              <w:t>金额</w:t>
            </w:r>
          </w:p>
        </w:tc>
        <w:tc>
          <w:tcPr>
            <w:tcW w:w="504" w:type="pct"/>
            <w:shd w:val="clear" w:color="auto" w:fill="D9D9D9"/>
            <w:tcMar>
              <w:top w:w="0" w:type="dxa"/>
              <w:left w:w="28" w:type="dxa"/>
              <w:bottom w:w="0" w:type="dxa"/>
              <w:right w:w="28" w:type="dxa"/>
            </w:tcMar>
            <w:vAlign w:val="center"/>
          </w:tcPr>
          <w:p w14:paraId="102FE2EA" w14:textId="77777777" w:rsidR="004B0883" w:rsidRDefault="004B0883">
            <w:pPr>
              <w:jc w:val="center"/>
              <w:rPr>
                <w:b/>
                <w:color w:val="000000"/>
              </w:rPr>
            </w:pPr>
            <w:r>
              <w:rPr>
                <w:b/>
                <w:color w:val="000000"/>
              </w:rPr>
              <w:t>占比</w:t>
            </w:r>
          </w:p>
        </w:tc>
        <w:tc>
          <w:tcPr>
            <w:tcW w:w="532" w:type="pct"/>
            <w:shd w:val="clear" w:color="auto" w:fill="D9D9D9"/>
            <w:tcMar>
              <w:top w:w="0" w:type="dxa"/>
              <w:left w:w="28" w:type="dxa"/>
              <w:bottom w:w="0" w:type="dxa"/>
              <w:right w:w="28" w:type="dxa"/>
            </w:tcMar>
            <w:vAlign w:val="center"/>
          </w:tcPr>
          <w:p w14:paraId="1820E348" w14:textId="77777777" w:rsidR="004B0883" w:rsidRDefault="004B0883">
            <w:pPr>
              <w:jc w:val="center"/>
              <w:rPr>
                <w:b/>
                <w:color w:val="000000"/>
              </w:rPr>
            </w:pPr>
            <w:r>
              <w:rPr>
                <w:b/>
                <w:color w:val="000000"/>
              </w:rPr>
              <w:t>金额</w:t>
            </w:r>
          </w:p>
        </w:tc>
        <w:tc>
          <w:tcPr>
            <w:tcW w:w="505" w:type="pct"/>
            <w:shd w:val="clear" w:color="auto" w:fill="D9D9D9"/>
            <w:tcMar>
              <w:top w:w="0" w:type="dxa"/>
              <w:left w:w="28" w:type="dxa"/>
              <w:bottom w:w="0" w:type="dxa"/>
              <w:right w:w="28" w:type="dxa"/>
            </w:tcMar>
            <w:vAlign w:val="center"/>
          </w:tcPr>
          <w:p w14:paraId="40BC0471" w14:textId="77777777" w:rsidR="004B0883" w:rsidRDefault="004B0883">
            <w:pPr>
              <w:jc w:val="center"/>
              <w:rPr>
                <w:b/>
                <w:color w:val="000000"/>
              </w:rPr>
            </w:pPr>
            <w:r>
              <w:rPr>
                <w:b/>
                <w:color w:val="000000"/>
              </w:rPr>
              <w:t>占比</w:t>
            </w:r>
          </w:p>
        </w:tc>
        <w:tc>
          <w:tcPr>
            <w:tcW w:w="532" w:type="pct"/>
            <w:shd w:val="clear" w:color="auto" w:fill="D9D9D9"/>
            <w:tcMar>
              <w:top w:w="0" w:type="dxa"/>
              <w:left w:w="28" w:type="dxa"/>
              <w:bottom w:w="0" w:type="dxa"/>
              <w:right w:w="28" w:type="dxa"/>
            </w:tcMar>
            <w:vAlign w:val="center"/>
          </w:tcPr>
          <w:p w14:paraId="0803413D" w14:textId="77777777" w:rsidR="004B0883" w:rsidRDefault="004B0883">
            <w:pPr>
              <w:jc w:val="center"/>
              <w:rPr>
                <w:b/>
                <w:color w:val="000000"/>
              </w:rPr>
            </w:pPr>
            <w:r>
              <w:rPr>
                <w:b/>
                <w:color w:val="000000"/>
              </w:rPr>
              <w:t>金额</w:t>
            </w:r>
          </w:p>
        </w:tc>
        <w:tc>
          <w:tcPr>
            <w:tcW w:w="504" w:type="pct"/>
            <w:shd w:val="clear" w:color="auto" w:fill="D9D9D9"/>
            <w:tcMar>
              <w:top w:w="0" w:type="dxa"/>
              <w:left w:w="28" w:type="dxa"/>
              <w:bottom w:w="0" w:type="dxa"/>
              <w:right w:w="28" w:type="dxa"/>
            </w:tcMar>
            <w:vAlign w:val="center"/>
          </w:tcPr>
          <w:p w14:paraId="7FEA80FF" w14:textId="77777777" w:rsidR="004B0883" w:rsidRDefault="004B0883">
            <w:pPr>
              <w:jc w:val="center"/>
              <w:rPr>
                <w:b/>
                <w:color w:val="000000"/>
              </w:rPr>
            </w:pPr>
            <w:r>
              <w:rPr>
                <w:b/>
                <w:color w:val="000000"/>
              </w:rPr>
              <w:t>占比</w:t>
            </w:r>
          </w:p>
        </w:tc>
      </w:tr>
      <w:tr w:rsidR="004B0883" w14:paraId="7A8B78BD" w14:textId="77777777">
        <w:trPr>
          <w:trHeight w:val="397"/>
          <w:jc w:val="center"/>
        </w:trPr>
        <w:tc>
          <w:tcPr>
            <w:tcW w:w="883" w:type="pct"/>
            <w:tcMar>
              <w:top w:w="0" w:type="dxa"/>
              <w:left w:w="28" w:type="dxa"/>
              <w:bottom w:w="0" w:type="dxa"/>
              <w:right w:w="28" w:type="dxa"/>
            </w:tcMar>
            <w:vAlign w:val="center"/>
          </w:tcPr>
          <w:p w14:paraId="2505B7E4" w14:textId="77777777" w:rsidR="004B0883" w:rsidRDefault="004B0883">
            <w:pPr>
              <w:rPr>
                <w:color w:val="000000"/>
              </w:rPr>
            </w:pPr>
            <w:r>
              <w:rPr>
                <w:color w:val="000000"/>
              </w:rPr>
              <w:t>主营业务成本</w:t>
            </w:r>
          </w:p>
        </w:tc>
        <w:tc>
          <w:tcPr>
            <w:tcW w:w="521" w:type="pct"/>
            <w:tcMar>
              <w:top w:w="0" w:type="dxa"/>
              <w:left w:w="28" w:type="dxa"/>
              <w:bottom w:w="0" w:type="dxa"/>
              <w:right w:w="28" w:type="dxa"/>
            </w:tcMar>
            <w:vAlign w:val="center"/>
          </w:tcPr>
          <w:p w14:paraId="676C6C1C" w14:textId="77777777" w:rsidR="004B0883" w:rsidRDefault="004B0883">
            <w:pPr>
              <w:jc w:val="right"/>
              <w:rPr>
                <w:color w:val="000000"/>
                <w:kern w:val="0"/>
              </w:rPr>
            </w:pPr>
            <w:r>
              <w:rPr>
                <w:color w:val="000000"/>
              </w:rPr>
              <w:t>24,465.46</w:t>
            </w:r>
          </w:p>
        </w:tc>
        <w:tc>
          <w:tcPr>
            <w:tcW w:w="490" w:type="pct"/>
            <w:tcMar>
              <w:top w:w="0" w:type="dxa"/>
              <w:left w:w="28" w:type="dxa"/>
              <w:bottom w:w="0" w:type="dxa"/>
              <w:right w:w="28" w:type="dxa"/>
            </w:tcMar>
            <w:vAlign w:val="center"/>
          </w:tcPr>
          <w:p w14:paraId="457C568C" w14:textId="77777777" w:rsidR="004B0883" w:rsidRDefault="004B0883">
            <w:pPr>
              <w:jc w:val="right"/>
              <w:rPr>
                <w:color w:val="000000"/>
              </w:rPr>
            </w:pPr>
            <w:r>
              <w:rPr>
                <w:color w:val="000000"/>
              </w:rPr>
              <w:t>99.73%</w:t>
            </w:r>
          </w:p>
        </w:tc>
        <w:tc>
          <w:tcPr>
            <w:tcW w:w="529" w:type="pct"/>
            <w:tcMar>
              <w:top w:w="0" w:type="dxa"/>
              <w:left w:w="28" w:type="dxa"/>
              <w:bottom w:w="0" w:type="dxa"/>
              <w:right w:w="28" w:type="dxa"/>
            </w:tcMar>
            <w:vAlign w:val="center"/>
          </w:tcPr>
          <w:p w14:paraId="4E1113AC" w14:textId="77777777" w:rsidR="004B0883" w:rsidRDefault="004B0883">
            <w:pPr>
              <w:jc w:val="right"/>
              <w:rPr>
                <w:color w:val="000000"/>
              </w:rPr>
            </w:pPr>
            <w:r>
              <w:rPr>
                <w:color w:val="000000"/>
              </w:rPr>
              <w:t>33,476.91</w:t>
            </w:r>
          </w:p>
        </w:tc>
        <w:tc>
          <w:tcPr>
            <w:tcW w:w="504" w:type="pct"/>
            <w:tcMar>
              <w:top w:w="0" w:type="dxa"/>
              <w:left w:w="28" w:type="dxa"/>
              <w:bottom w:w="0" w:type="dxa"/>
              <w:right w:w="28" w:type="dxa"/>
            </w:tcMar>
            <w:vAlign w:val="center"/>
          </w:tcPr>
          <w:p w14:paraId="002C8D06" w14:textId="77777777" w:rsidR="004B0883" w:rsidRDefault="004B0883">
            <w:pPr>
              <w:jc w:val="right"/>
              <w:rPr>
                <w:color w:val="000000"/>
              </w:rPr>
            </w:pPr>
            <w:r>
              <w:rPr>
                <w:color w:val="000000"/>
              </w:rPr>
              <w:t>99.15%</w:t>
            </w:r>
          </w:p>
        </w:tc>
        <w:tc>
          <w:tcPr>
            <w:tcW w:w="532" w:type="pct"/>
            <w:tcMar>
              <w:top w:w="0" w:type="dxa"/>
              <w:left w:w="28" w:type="dxa"/>
              <w:bottom w:w="0" w:type="dxa"/>
              <w:right w:w="28" w:type="dxa"/>
            </w:tcMar>
            <w:vAlign w:val="center"/>
          </w:tcPr>
          <w:p w14:paraId="482AC2FF" w14:textId="77777777" w:rsidR="004B0883" w:rsidRDefault="004B0883">
            <w:pPr>
              <w:jc w:val="right"/>
              <w:rPr>
                <w:color w:val="000000"/>
              </w:rPr>
            </w:pPr>
            <w:r>
              <w:rPr>
                <w:color w:val="000000"/>
              </w:rPr>
              <w:t>27,867.57</w:t>
            </w:r>
          </w:p>
        </w:tc>
        <w:tc>
          <w:tcPr>
            <w:tcW w:w="505" w:type="pct"/>
            <w:tcMar>
              <w:top w:w="0" w:type="dxa"/>
              <w:left w:w="28" w:type="dxa"/>
              <w:bottom w:w="0" w:type="dxa"/>
              <w:right w:w="28" w:type="dxa"/>
            </w:tcMar>
            <w:vAlign w:val="center"/>
          </w:tcPr>
          <w:p w14:paraId="2B8783BC" w14:textId="77777777" w:rsidR="004B0883" w:rsidRDefault="004B0883">
            <w:pPr>
              <w:jc w:val="right"/>
              <w:rPr>
                <w:color w:val="000000"/>
              </w:rPr>
            </w:pPr>
            <w:r>
              <w:rPr>
                <w:color w:val="000000"/>
              </w:rPr>
              <w:t>99.58%</w:t>
            </w:r>
          </w:p>
        </w:tc>
        <w:tc>
          <w:tcPr>
            <w:tcW w:w="532" w:type="pct"/>
            <w:tcMar>
              <w:top w:w="0" w:type="dxa"/>
              <w:left w:w="28" w:type="dxa"/>
              <w:bottom w:w="0" w:type="dxa"/>
              <w:right w:w="28" w:type="dxa"/>
            </w:tcMar>
            <w:vAlign w:val="center"/>
          </w:tcPr>
          <w:p w14:paraId="08D59605" w14:textId="77777777" w:rsidR="004B0883" w:rsidRDefault="004B0883">
            <w:pPr>
              <w:jc w:val="right"/>
              <w:rPr>
                <w:color w:val="000000"/>
              </w:rPr>
            </w:pPr>
            <w:r>
              <w:rPr>
                <w:color w:val="000000"/>
              </w:rPr>
              <w:t>22,523.22</w:t>
            </w:r>
          </w:p>
        </w:tc>
        <w:tc>
          <w:tcPr>
            <w:tcW w:w="504" w:type="pct"/>
            <w:tcMar>
              <w:top w:w="0" w:type="dxa"/>
              <w:left w:w="28" w:type="dxa"/>
              <w:bottom w:w="0" w:type="dxa"/>
              <w:right w:w="28" w:type="dxa"/>
            </w:tcMar>
            <w:vAlign w:val="center"/>
          </w:tcPr>
          <w:p w14:paraId="04E905AD" w14:textId="77777777" w:rsidR="004B0883" w:rsidRDefault="004B0883">
            <w:pPr>
              <w:jc w:val="right"/>
              <w:rPr>
                <w:color w:val="000000"/>
              </w:rPr>
            </w:pPr>
            <w:r>
              <w:rPr>
                <w:color w:val="000000"/>
              </w:rPr>
              <w:t>99.83%</w:t>
            </w:r>
          </w:p>
        </w:tc>
      </w:tr>
      <w:tr w:rsidR="004B0883" w14:paraId="5BE6E049" w14:textId="77777777">
        <w:trPr>
          <w:trHeight w:val="397"/>
          <w:jc w:val="center"/>
        </w:trPr>
        <w:tc>
          <w:tcPr>
            <w:tcW w:w="883" w:type="pct"/>
            <w:tcMar>
              <w:top w:w="0" w:type="dxa"/>
              <w:left w:w="28" w:type="dxa"/>
              <w:bottom w:w="0" w:type="dxa"/>
              <w:right w:w="28" w:type="dxa"/>
            </w:tcMar>
            <w:vAlign w:val="center"/>
          </w:tcPr>
          <w:p w14:paraId="53A3E205" w14:textId="77777777" w:rsidR="004B0883" w:rsidRDefault="004B0883">
            <w:pPr>
              <w:rPr>
                <w:color w:val="000000"/>
              </w:rPr>
            </w:pPr>
            <w:r>
              <w:rPr>
                <w:color w:val="000000"/>
              </w:rPr>
              <w:t>其他业务成本</w:t>
            </w:r>
          </w:p>
        </w:tc>
        <w:tc>
          <w:tcPr>
            <w:tcW w:w="521" w:type="pct"/>
            <w:tcMar>
              <w:top w:w="0" w:type="dxa"/>
              <w:left w:w="28" w:type="dxa"/>
              <w:bottom w:w="0" w:type="dxa"/>
              <w:right w:w="28" w:type="dxa"/>
            </w:tcMar>
            <w:vAlign w:val="center"/>
          </w:tcPr>
          <w:p w14:paraId="5122C14B" w14:textId="77777777" w:rsidR="004B0883" w:rsidRDefault="004B0883">
            <w:pPr>
              <w:jc w:val="right"/>
              <w:rPr>
                <w:color w:val="000000"/>
              </w:rPr>
            </w:pPr>
            <w:r>
              <w:rPr>
                <w:color w:val="000000"/>
              </w:rPr>
              <w:t>67.30</w:t>
            </w:r>
          </w:p>
        </w:tc>
        <w:tc>
          <w:tcPr>
            <w:tcW w:w="490" w:type="pct"/>
            <w:tcMar>
              <w:top w:w="0" w:type="dxa"/>
              <w:left w:w="28" w:type="dxa"/>
              <w:bottom w:w="0" w:type="dxa"/>
              <w:right w:w="28" w:type="dxa"/>
            </w:tcMar>
            <w:vAlign w:val="center"/>
          </w:tcPr>
          <w:p w14:paraId="3D5E2E2B" w14:textId="77777777" w:rsidR="004B0883" w:rsidRDefault="004B0883">
            <w:pPr>
              <w:jc w:val="right"/>
              <w:rPr>
                <w:color w:val="000000"/>
              </w:rPr>
            </w:pPr>
            <w:r>
              <w:rPr>
                <w:color w:val="000000"/>
              </w:rPr>
              <w:t>0.27%</w:t>
            </w:r>
          </w:p>
        </w:tc>
        <w:tc>
          <w:tcPr>
            <w:tcW w:w="529" w:type="pct"/>
            <w:tcMar>
              <w:top w:w="0" w:type="dxa"/>
              <w:left w:w="28" w:type="dxa"/>
              <w:bottom w:w="0" w:type="dxa"/>
              <w:right w:w="28" w:type="dxa"/>
            </w:tcMar>
            <w:vAlign w:val="center"/>
          </w:tcPr>
          <w:p w14:paraId="611DEBE1" w14:textId="77777777" w:rsidR="004B0883" w:rsidRDefault="004B0883">
            <w:pPr>
              <w:jc w:val="right"/>
              <w:rPr>
                <w:color w:val="000000"/>
              </w:rPr>
            </w:pPr>
            <w:r>
              <w:rPr>
                <w:color w:val="000000"/>
              </w:rPr>
              <w:t>287.18</w:t>
            </w:r>
          </w:p>
        </w:tc>
        <w:tc>
          <w:tcPr>
            <w:tcW w:w="504" w:type="pct"/>
            <w:tcMar>
              <w:top w:w="0" w:type="dxa"/>
              <w:left w:w="28" w:type="dxa"/>
              <w:bottom w:w="0" w:type="dxa"/>
              <w:right w:w="28" w:type="dxa"/>
            </w:tcMar>
            <w:vAlign w:val="center"/>
          </w:tcPr>
          <w:p w14:paraId="53EF02C9" w14:textId="77777777" w:rsidR="004B0883" w:rsidRDefault="004B0883">
            <w:pPr>
              <w:jc w:val="right"/>
              <w:rPr>
                <w:color w:val="000000"/>
              </w:rPr>
            </w:pPr>
            <w:r>
              <w:rPr>
                <w:color w:val="000000"/>
              </w:rPr>
              <w:t>0.85%</w:t>
            </w:r>
          </w:p>
        </w:tc>
        <w:tc>
          <w:tcPr>
            <w:tcW w:w="532" w:type="pct"/>
            <w:tcMar>
              <w:top w:w="0" w:type="dxa"/>
              <w:left w:w="28" w:type="dxa"/>
              <w:bottom w:w="0" w:type="dxa"/>
              <w:right w:w="28" w:type="dxa"/>
            </w:tcMar>
            <w:vAlign w:val="center"/>
          </w:tcPr>
          <w:p w14:paraId="134AB004" w14:textId="77777777" w:rsidR="004B0883" w:rsidRDefault="004B0883">
            <w:pPr>
              <w:jc w:val="right"/>
              <w:rPr>
                <w:color w:val="000000"/>
              </w:rPr>
            </w:pPr>
            <w:r>
              <w:rPr>
                <w:color w:val="000000"/>
              </w:rPr>
              <w:t>118.82</w:t>
            </w:r>
          </w:p>
        </w:tc>
        <w:tc>
          <w:tcPr>
            <w:tcW w:w="505" w:type="pct"/>
            <w:tcMar>
              <w:top w:w="0" w:type="dxa"/>
              <w:left w:w="28" w:type="dxa"/>
              <w:bottom w:w="0" w:type="dxa"/>
              <w:right w:w="28" w:type="dxa"/>
            </w:tcMar>
            <w:vAlign w:val="center"/>
          </w:tcPr>
          <w:p w14:paraId="334F3882" w14:textId="77777777" w:rsidR="004B0883" w:rsidRDefault="004B0883">
            <w:pPr>
              <w:jc w:val="right"/>
              <w:rPr>
                <w:color w:val="000000"/>
              </w:rPr>
            </w:pPr>
            <w:r>
              <w:rPr>
                <w:color w:val="000000"/>
              </w:rPr>
              <w:t>0.42%</w:t>
            </w:r>
          </w:p>
        </w:tc>
        <w:tc>
          <w:tcPr>
            <w:tcW w:w="532" w:type="pct"/>
            <w:tcMar>
              <w:top w:w="0" w:type="dxa"/>
              <w:left w:w="28" w:type="dxa"/>
              <w:bottom w:w="0" w:type="dxa"/>
              <w:right w:w="28" w:type="dxa"/>
            </w:tcMar>
            <w:vAlign w:val="center"/>
          </w:tcPr>
          <w:p w14:paraId="0137AFC4" w14:textId="77777777" w:rsidR="004B0883" w:rsidRDefault="004B0883">
            <w:pPr>
              <w:jc w:val="right"/>
              <w:rPr>
                <w:color w:val="000000"/>
              </w:rPr>
            </w:pPr>
            <w:r>
              <w:rPr>
                <w:color w:val="000000"/>
              </w:rPr>
              <w:t>38.64</w:t>
            </w:r>
          </w:p>
        </w:tc>
        <w:tc>
          <w:tcPr>
            <w:tcW w:w="504" w:type="pct"/>
            <w:tcMar>
              <w:top w:w="0" w:type="dxa"/>
              <w:left w:w="28" w:type="dxa"/>
              <w:bottom w:w="0" w:type="dxa"/>
              <w:right w:w="28" w:type="dxa"/>
            </w:tcMar>
            <w:vAlign w:val="center"/>
          </w:tcPr>
          <w:p w14:paraId="505EB231" w14:textId="77777777" w:rsidR="004B0883" w:rsidRDefault="004B0883">
            <w:pPr>
              <w:jc w:val="right"/>
              <w:rPr>
                <w:color w:val="000000"/>
              </w:rPr>
            </w:pPr>
            <w:r>
              <w:rPr>
                <w:color w:val="000000"/>
              </w:rPr>
              <w:t>0.17%</w:t>
            </w:r>
          </w:p>
        </w:tc>
      </w:tr>
      <w:tr w:rsidR="004B0883" w14:paraId="4302900A" w14:textId="77777777">
        <w:trPr>
          <w:trHeight w:val="397"/>
          <w:jc w:val="center"/>
        </w:trPr>
        <w:tc>
          <w:tcPr>
            <w:tcW w:w="883" w:type="pct"/>
            <w:tcMar>
              <w:top w:w="0" w:type="dxa"/>
              <w:left w:w="28" w:type="dxa"/>
              <w:bottom w:w="0" w:type="dxa"/>
              <w:right w:w="28" w:type="dxa"/>
            </w:tcMar>
            <w:vAlign w:val="center"/>
          </w:tcPr>
          <w:p w14:paraId="433737B2" w14:textId="77777777" w:rsidR="004B0883" w:rsidRDefault="004B0883">
            <w:pPr>
              <w:jc w:val="center"/>
              <w:rPr>
                <w:b/>
                <w:color w:val="000000"/>
              </w:rPr>
            </w:pPr>
            <w:r>
              <w:rPr>
                <w:b/>
                <w:color w:val="000000"/>
              </w:rPr>
              <w:t>合计</w:t>
            </w:r>
          </w:p>
        </w:tc>
        <w:tc>
          <w:tcPr>
            <w:tcW w:w="521" w:type="pct"/>
            <w:tcMar>
              <w:top w:w="0" w:type="dxa"/>
              <w:left w:w="28" w:type="dxa"/>
              <w:bottom w:w="0" w:type="dxa"/>
              <w:right w:w="28" w:type="dxa"/>
            </w:tcMar>
            <w:vAlign w:val="center"/>
          </w:tcPr>
          <w:p w14:paraId="38608613" w14:textId="77777777" w:rsidR="004B0883" w:rsidRDefault="004B0883">
            <w:pPr>
              <w:jc w:val="right"/>
              <w:rPr>
                <w:b/>
                <w:color w:val="000000"/>
              </w:rPr>
            </w:pPr>
            <w:r>
              <w:rPr>
                <w:b/>
                <w:color w:val="000000"/>
              </w:rPr>
              <w:t>24,532.77</w:t>
            </w:r>
          </w:p>
        </w:tc>
        <w:tc>
          <w:tcPr>
            <w:tcW w:w="490" w:type="pct"/>
            <w:tcMar>
              <w:top w:w="0" w:type="dxa"/>
              <w:left w:w="28" w:type="dxa"/>
              <w:bottom w:w="0" w:type="dxa"/>
              <w:right w:w="28" w:type="dxa"/>
            </w:tcMar>
            <w:vAlign w:val="center"/>
          </w:tcPr>
          <w:p w14:paraId="6A045BA5" w14:textId="77777777" w:rsidR="004B0883" w:rsidRDefault="004B0883">
            <w:pPr>
              <w:jc w:val="right"/>
              <w:rPr>
                <w:b/>
                <w:color w:val="000000"/>
              </w:rPr>
            </w:pPr>
            <w:r>
              <w:rPr>
                <w:b/>
                <w:color w:val="000000"/>
              </w:rPr>
              <w:t>100.00%</w:t>
            </w:r>
          </w:p>
        </w:tc>
        <w:tc>
          <w:tcPr>
            <w:tcW w:w="529" w:type="pct"/>
            <w:tcMar>
              <w:top w:w="0" w:type="dxa"/>
              <w:left w:w="28" w:type="dxa"/>
              <w:bottom w:w="0" w:type="dxa"/>
              <w:right w:w="28" w:type="dxa"/>
            </w:tcMar>
            <w:vAlign w:val="center"/>
          </w:tcPr>
          <w:p w14:paraId="443CB37D" w14:textId="77777777" w:rsidR="004B0883" w:rsidRDefault="004B0883">
            <w:pPr>
              <w:jc w:val="right"/>
              <w:rPr>
                <w:b/>
                <w:color w:val="000000"/>
              </w:rPr>
            </w:pPr>
            <w:r>
              <w:rPr>
                <w:b/>
                <w:color w:val="000000"/>
              </w:rPr>
              <w:t>33,764.09</w:t>
            </w:r>
          </w:p>
        </w:tc>
        <w:tc>
          <w:tcPr>
            <w:tcW w:w="504" w:type="pct"/>
            <w:tcMar>
              <w:top w:w="0" w:type="dxa"/>
              <w:left w:w="28" w:type="dxa"/>
              <w:bottom w:w="0" w:type="dxa"/>
              <w:right w:w="28" w:type="dxa"/>
            </w:tcMar>
            <w:vAlign w:val="center"/>
          </w:tcPr>
          <w:p w14:paraId="67BEA77C" w14:textId="77777777" w:rsidR="004B0883" w:rsidRDefault="004B0883">
            <w:pPr>
              <w:jc w:val="right"/>
              <w:rPr>
                <w:b/>
                <w:color w:val="000000"/>
              </w:rPr>
            </w:pPr>
            <w:r>
              <w:rPr>
                <w:b/>
                <w:color w:val="000000"/>
              </w:rPr>
              <w:t>100.00%</w:t>
            </w:r>
          </w:p>
        </w:tc>
        <w:tc>
          <w:tcPr>
            <w:tcW w:w="532" w:type="pct"/>
            <w:tcMar>
              <w:top w:w="0" w:type="dxa"/>
              <w:left w:w="28" w:type="dxa"/>
              <w:bottom w:w="0" w:type="dxa"/>
              <w:right w:w="28" w:type="dxa"/>
            </w:tcMar>
            <w:vAlign w:val="center"/>
          </w:tcPr>
          <w:p w14:paraId="182C4187" w14:textId="77777777" w:rsidR="004B0883" w:rsidRDefault="004B0883">
            <w:pPr>
              <w:jc w:val="right"/>
              <w:rPr>
                <w:b/>
                <w:color w:val="000000"/>
              </w:rPr>
            </w:pPr>
            <w:r>
              <w:rPr>
                <w:b/>
                <w:color w:val="000000"/>
              </w:rPr>
              <w:t>27,986.39</w:t>
            </w:r>
          </w:p>
        </w:tc>
        <w:tc>
          <w:tcPr>
            <w:tcW w:w="505" w:type="pct"/>
            <w:tcMar>
              <w:top w:w="0" w:type="dxa"/>
              <w:left w:w="28" w:type="dxa"/>
              <w:bottom w:w="0" w:type="dxa"/>
              <w:right w:w="28" w:type="dxa"/>
            </w:tcMar>
            <w:vAlign w:val="center"/>
          </w:tcPr>
          <w:p w14:paraId="74DA86B8" w14:textId="77777777" w:rsidR="004B0883" w:rsidRDefault="004B0883">
            <w:pPr>
              <w:jc w:val="right"/>
              <w:rPr>
                <w:b/>
                <w:color w:val="000000"/>
              </w:rPr>
            </w:pPr>
            <w:r>
              <w:rPr>
                <w:b/>
                <w:color w:val="000000"/>
              </w:rPr>
              <w:t>100.00%</w:t>
            </w:r>
          </w:p>
        </w:tc>
        <w:tc>
          <w:tcPr>
            <w:tcW w:w="532" w:type="pct"/>
            <w:tcMar>
              <w:top w:w="0" w:type="dxa"/>
              <w:left w:w="28" w:type="dxa"/>
              <w:bottom w:w="0" w:type="dxa"/>
              <w:right w:w="28" w:type="dxa"/>
            </w:tcMar>
            <w:vAlign w:val="center"/>
          </w:tcPr>
          <w:p w14:paraId="7E6F4743" w14:textId="77777777" w:rsidR="004B0883" w:rsidRDefault="004B0883">
            <w:pPr>
              <w:jc w:val="right"/>
              <w:rPr>
                <w:b/>
                <w:color w:val="000000"/>
              </w:rPr>
            </w:pPr>
            <w:r>
              <w:rPr>
                <w:b/>
                <w:color w:val="000000"/>
              </w:rPr>
              <w:t>22,561.86</w:t>
            </w:r>
          </w:p>
        </w:tc>
        <w:tc>
          <w:tcPr>
            <w:tcW w:w="504" w:type="pct"/>
            <w:tcMar>
              <w:top w:w="0" w:type="dxa"/>
              <w:left w:w="28" w:type="dxa"/>
              <w:bottom w:w="0" w:type="dxa"/>
              <w:right w:w="28" w:type="dxa"/>
            </w:tcMar>
            <w:vAlign w:val="center"/>
          </w:tcPr>
          <w:p w14:paraId="0E0DD073" w14:textId="77777777" w:rsidR="004B0883" w:rsidRDefault="004B0883">
            <w:pPr>
              <w:jc w:val="right"/>
              <w:rPr>
                <w:b/>
                <w:color w:val="000000"/>
              </w:rPr>
            </w:pPr>
            <w:r>
              <w:rPr>
                <w:b/>
                <w:color w:val="000000"/>
              </w:rPr>
              <w:t>100.00%</w:t>
            </w:r>
          </w:p>
        </w:tc>
      </w:tr>
    </w:tbl>
    <w:p w14:paraId="545C9551" w14:textId="77777777" w:rsidR="004B0883" w:rsidRDefault="004B0883">
      <w:pPr>
        <w:pStyle w:val="005"/>
        <w:spacing w:before="120"/>
        <w:ind w:firstLine="480"/>
      </w:pPr>
      <w:r>
        <w:t>报告期各期，公司营业成本金额分别为</w:t>
      </w:r>
      <w:r>
        <w:t>22,561.86</w:t>
      </w:r>
      <w:r>
        <w:t>万元、</w:t>
      </w:r>
      <w:r>
        <w:t>27,986.39</w:t>
      </w:r>
      <w:r>
        <w:t>万元、</w:t>
      </w:r>
      <w:r>
        <w:t>33,764.09</w:t>
      </w:r>
      <w:r>
        <w:t>万元和</w:t>
      </w:r>
      <w:r>
        <w:t>24,532.77</w:t>
      </w:r>
      <w:r>
        <w:t>万元，随着业务规模的增加，叠加钢铁、有色金属等大宗物资价格提升带动原材料价格的持续上涨等因素的影响，公司营业成本金额也相应上升。报告期各期，公司主营业务成本占公司营业成本比例均在</w:t>
      </w:r>
      <w:r>
        <w:t>99%</w:t>
      </w:r>
      <w:r>
        <w:t>以上，营业成本主要由主营业务成本构成。</w:t>
      </w:r>
    </w:p>
    <w:p w14:paraId="7ED91B6A" w14:textId="77777777" w:rsidR="004B0883" w:rsidRDefault="004B0883">
      <w:pPr>
        <w:pStyle w:val="003"/>
        <w:spacing w:before="120" w:after="120"/>
      </w:pPr>
      <w:r>
        <w:t>（三）毛利及毛利率分析</w:t>
      </w:r>
    </w:p>
    <w:p w14:paraId="69FDAD4A" w14:textId="77777777" w:rsidR="004B0883" w:rsidRDefault="004B0883">
      <w:pPr>
        <w:pStyle w:val="004"/>
        <w:spacing w:before="120" w:after="120"/>
        <w:ind w:firstLine="482"/>
      </w:pPr>
      <w:r>
        <w:t>1</w:t>
      </w:r>
      <w:r>
        <w:t>、营业毛利情况</w:t>
      </w:r>
    </w:p>
    <w:p w14:paraId="43EDCC6B" w14:textId="77777777" w:rsidR="004B0883" w:rsidRDefault="004B0883">
      <w:pPr>
        <w:pStyle w:val="005"/>
        <w:spacing w:before="120"/>
        <w:ind w:firstLine="480"/>
      </w:pPr>
      <w:r>
        <w:t>报告期内，公司毛利总体情况如下：</w:t>
      </w:r>
    </w:p>
    <w:p w14:paraId="14C80B3A" w14:textId="77777777" w:rsidR="004B0883" w:rsidRDefault="004B0883">
      <w:pPr>
        <w:pStyle w:val="009"/>
      </w:pPr>
      <w: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933"/>
        <w:gridCol w:w="918"/>
        <w:gridCol w:w="921"/>
        <w:gridCol w:w="917"/>
        <w:gridCol w:w="919"/>
        <w:gridCol w:w="917"/>
        <w:gridCol w:w="919"/>
        <w:gridCol w:w="917"/>
        <w:gridCol w:w="919"/>
      </w:tblGrid>
      <w:tr w:rsidR="004B0883" w14:paraId="596621D0" w14:textId="77777777">
        <w:trPr>
          <w:trHeight w:val="397"/>
          <w:tblHeader/>
          <w:jc w:val="center"/>
        </w:trPr>
        <w:tc>
          <w:tcPr>
            <w:tcW w:w="563" w:type="pct"/>
            <w:vMerge w:val="restart"/>
            <w:shd w:val="clear" w:color="auto" w:fill="D9D9D9"/>
            <w:tcMar>
              <w:top w:w="0" w:type="dxa"/>
              <w:left w:w="28" w:type="dxa"/>
              <w:bottom w:w="0" w:type="dxa"/>
              <w:right w:w="28" w:type="dxa"/>
            </w:tcMar>
            <w:vAlign w:val="center"/>
          </w:tcPr>
          <w:p w14:paraId="59636831" w14:textId="77777777" w:rsidR="004B0883" w:rsidRDefault="004B0883">
            <w:pPr>
              <w:jc w:val="center"/>
              <w:rPr>
                <w:b/>
                <w:color w:val="000000"/>
              </w:rPr>
            </w:pPr>
            <w:r>
              <w:rPr>
                <w:b/>
                <w:color w:val="000000"/>
              </w:rPr>
              <w:t>项目</w:t>
            </w:r>
          </w:p>
        </w:tc>
        <w:tc>
          <w:tcPr>
            <w:tcW w:w="1110" w:type="pct"/>
            <w:gridSpan w:val="2"/>
            <w:shd w:val="clear" w:color="auto" w:fill="D9D9D9"/>
            <w:tcMar>
              <w:top w:w="0" w:type="dxa"/>
              <w:left w:w="28" w:type="dxa"/>
              <w:bottom w:w="0" w:type="dxa"/>
              <w:right w:w="28" w:type="dxa"/>
            </w:tcMar>
            <w:vAlign w:val="center"/>
          </w:tcPr>
          <w:p w14:paraId="55A0FB83" w14:textId="77777777" w:rsidR="004B0883" w:rsidRDefault="004B0883">
            <w:pPr>
              <w:jc w:val="center"/>
              <w:rPr>
                <w:b/>
                <w:color w:val="000000"/>
              </w:rPr>
            </w:pPr>
            <w:r>
              <w:rPr>
                <w:b/>
                <w:color w:val="000000"/>
              </w:rPr>
              <w:t>2023</w:t>
            </w:r>
            <w:r>
              <w:rPr>
                <w:b/>
                <w:color w:val="000000"/>
              </w:rPr>
              <w:t>年</w:t>
            </w:r>
            <w:r>
              <w:rPr>
                <w:b/>
                <w:color w:val="000000"/>
              </w:rPr>
              <w:t>1-9</w:t>
            </w:r>
            <w:r>
              <w:rPr>
                <w:b/>
                <w:color w:val="000000"/>
              </w:rPr>
              <w:t>月</w:t>
            </w:r>
          </w:p>
        </w:tc>
        <w:tc>
          <w:tcPr>
            <w:tcW w:w="1109" w:type="pct"/>
            <w:gridSpan w:val="2"/>
            <w:shd w:val="clear" w:color="auto" w:fill="D9D9D9"/>
            <w:tcMar>
              <w:top w:w="0" w:type="dxa"/>
              <w:left w:w="28" w:type="dxa"/>
              <w:bottom w:w="0" w:type="dxa"/>
              <w:right w:w="28" w:type="dxa"/>
            </w:tcMar>
            <w:vAlign w:val="center"/>
          </w:tcPr>
          <w:p w14:paraId="1BDDB705" w14:textId="77777777" w:rsidR="004B0883" w:rsidRDefault="004B0883">
            <w:pPr>
              <w:jc w:val="center"/>
              <w:rPr>
                <w:b/>
                <w:color w:val="000000"/>
              </w:rPr>
            </w:pPr>
            <w:r>
              <w:rPr>
                <w:b/>
                <w:color w:val="000000"/>
              </w:rPr>
              <w:t>2022</w:t>
            </w:r>
            <w:r>
              <w:rPr>
                <w:b/>
                <w:color w:val="000000"/>
              </w:rPr>
              <w:t>年度</w:t>
            </w:r>
          </w:p>
        </w:tc>
        <w:tc>
          <w:tcPr>
            <w:tcW w:w="1109" w:type="pct"/>
            <w:gridSpan w:val="2"/>
            <w:shd w:val="clear" w:color="auto" w:fill="D9D9D9"/>
            <w:tcMar>
              <w:top w:w="0" w:type="dxa"/>
              <w:left w:w="28" w:type="dxa"/>
              <w:bottom w:w="0" w:type="dxa"/>
              <w:right w:w="28" w:type="dxa"/>
            </w:tcMar>
            <w:vAlign w:val="center"/>
          </w:tcPr>
          <w:p w14:paraId="23C2F9E8" w14:textId="77777777" w:rsidR="004B0883" w:rsidRDefault="004B0883">
            <w:pPr>
              <w:jc w:val="center"/>
              <w:rPr>
                <w:b/>
                <w:color w:val="000000"/>
              </w:rPr>
            </w:pPr>
            <w:r>
              <w:rPr>
                <w:b/>
                <w:color w:val="000000"/>
              </w:rPr>
              <w:t>2021</w:t>
            </w:r>
            <w:r>
              <w:rPr>
                <w:b/>
                <w:color w:val="000000"/>
              </w:rPr>
              <w:t>年度</w:t>
            </w:r>
          </w:p>
        </w:tc>
        <w:tc>
          <w:tcPr>
            <w:tcW w:w="1109" w:type="pct"/>
            <w:gridSpan w:val="2"/>
            <w:shd w:val="clear" w:color="auto" w:fill="D9D9D9"/>
            <w:tcMar>
              <w:top w:w="0" w:type="dxa"/>
              <w:left w:w="28" w:type="dxa"/>
              <w:bottom w:w="0" w:type="dxa"/>
              <w:right w:w="28" w:type="dxa"/>
            </w:tcMar>
            <w:vAlign w:val="center"/>
          </w:tcPr>
          <w:p w14:paraId="09FA10E0" w14:textId="77777777" w:rsidR="004B0883" w:rsidRDefault="004B0883">
            <w:pPr>
              <w:jc w:val="center"/>
              <w:rPr>
                <w:b/>
                <w:color w:val="000000"/>
              </w:rPr>
            </w:pPr>
            <w:r>
              <w:rPr>
                <w:b/>
                <w:color w:val="000000"/>
              </w:rPr>
              <w:t>2020</w:t>
            </w:r>
            <w:r>
              <w:rPr>
                <w:b/>
                <w:color w:val="000000"/>
              </w:rPr>
              <w:t>年度</w:t>
            </w:r>
          </w:p>
        </w:tc>
      </w:tr>
      <w:tr w:rsidR="004B0883" w14:paraId="226FEC51" w14:textId="77777777">
        <w:trPr>
          <w:trHeight w:val="397"/>
          <w:tblHeader/>
          <w:jc w:val="center"/>
        </w:trPr>
        <w:tc>
          <w:tcPr>
            <w:tcW w:w="563" w:type="pct"/>
            <w:vMerge/>
            <w:shd w:val="clear" w:color="auto" w:fill="D9D9D9"/>
            <w:tcMar>
              <w:top w:w="0" w:type="dxa"/>
              <w:left w:w="28" w:type="dxa"/>
              <w:bottom w:w="0" w:type="dxa"/>
              <w:right w:w="28" w:type="dxa"/>
            </w:tcMar>
            <w:vAlign w:val="center"/>
          </w:tcPr>
          <w:p w14:paraId="3E2C0A7F" w14:textId="77777777" w:rsidR="004B0883" w:rsidRDefault="004B0883">
            <w:pPr>
              <w:jc w:val="center"/>
              <w:rPr>
                <w:b/>
                <w:color w:val="000000"/>
              </w:rPr>
            </w:pPr>
          </w:p>
        </w:tc>
        <w:tc>
          <w:tcPr>
            <w:tcW w:w="554" w:type="pct"/>
            <w:shd w:val="clear" w:color="auto" w:fill="D9D9D9"/>
            <w:tcMar>
              <w:top w:w="0" w:type="dxa"/>
              <w:left w:w="28" w:type="dxa"/>
              <w:bottom w:w="0" w:type="dxa"/>
              <w:right w:w="28" w:type="dxa"/>
            </w:tcMar>
            <w:vAlign w:val="center"/>
          </w:tcPr>
          <w:p w14:paraId="3A9B6D20" w14:textId="77777777" w:rsidR="004B0883" w:rsidRDefault="004B0883">
            <w:pPr>
              <w:jc w:val="center"/>
              <w:rPr>
                <w:b/>
                <w:color w:val="000000"/>
              </w:rPr>
            </w:pPr>
            <w:r>
              <w:rPr>
                <w:b/>
                <w:color w:val="000000"/>
              </w:rPr>
              <w:t>金额</w:t>
            </w:r>
          </w:p>
        </w:tc>
        <w:tc>
          <w:tcPr>
            <w:tcW w:w="556" w:type="pct"/>
            <w:shd w:val="clear" w:color="auto" w:fill="D9D9D9"/>
            <w:tcMar>
              <w:top w:w="0" w:type="dxa"/>
              <w:left w:w="28" w:type="dxa"/>
              <w:bottom w:w="0" w:type="dxa"/>
              <w:right w:w="28" w:type="dxa"/>
            </w:tcMar>
            <w:vAlign w:val="center"/>
          </w:tcPr>
          <w:p w14:paraId="77B626EF" w14:textId="77777777" w:rsidR="004B0883" w:rsidRDefault="004B0883">
            <w:pPr>
              <w:jc w:val="center"/>
              <w:rPr>
                <w:b/>
                <w:color w:val="000000"/>
              </w:rPr>
            </w:pPr>
            <w:r>
              <w:rPr>
                <w:b/>
                <w:color w:val="000000"/>
              </w:rPr>
              <w:t>占比</w:t>
            </w:r>
          </w:p>
        </w:tc>
        <w:tc>
          <w:tcPr>
            <w:tcW w:w="554" w:type="pct"/>
            <w:shd w:val="clear" w:color="auto" w:fill="D9D9D9"/>
            <w:tcMar>
              <w:top w:w="0" w:type="dxa"/>
              <w:left w:w="28" w:type="dxa"/>
              <w:bottom w:w="0" w:type="dxa"/>
              <w:right w:w="28" w:type="dxa"/>
            </w:tcMar>
            <w:vAlign w:val="center"/>
          </w:tcPr>
          <w:p w14:paraId="22009583" w14:textId="77777777" w:rsidR="004B0883" w:rsidRDefault="004B0883">
            <w:pPr>
              <w:jc w:val="center"/>
              <w:rPr>
                <w:b/>
                <w:color w:val="000000"/>
              </w:rPr>
            </w:pPr>
            <w:r>
              <w:rPr>
                <w:b/>
                <w:color w:val="000000"/>
              </w:rPr>
              <w:t>金额</w:t>
            </w:r>
          </w:p>
        </w:tc>
        <w:tc>
          <w:tcPr>
            <w:tcW w:w="555" w:type="pct"/>
            <w:shd w:val="clear" w:color="auto" w:fill="D9D9D9"/>
            <w:tcMar>
              <w:top w:w="0" w:type="dxa"/>
              <w:left w:w="28" w:type="dxa"/>
              <w:bottom w:w="0" w:type="dxa"/>
              <w:right w:w="28" w:type="dxa"/>
            </w:tcMar>
            <w:vAlign w:val="center"/>
          </w:tcPr>
          <w:p w14:paraId="0B7491A5" w14:textId="77777777" w:rsidR="004B0883" w:rsidRDefault="004B0883">
            <w:pPr>
              <w:jc w:val="center"/>
              <w:rPr>
                <w:b/>
                <w:color w:val="000000"/>
              </w:rPr>
            </w:pPr>
            <w:r>
              <w:rPr>
                <w:b/>
                <w:color w:val="000000"/>
              </w:rPr>
              <w:t>占比</w:t>
            </w:r>
          </w:p>
        </w:tc>
        <w:tc>
          <w:tcPr>
            <w:tcW w:w="554" w:type="pct"/>
            <w:shd w:val="clear" w:color="auto" w:fill="D9D9D9"/>
            <w:tcMar>
              <w:top w:w="0" w:type="dxa"/>
              <w:left w:w="28" w:type="dxa"/>
              <w:bottom w:w="0" w:type="dxa"/>
              <w:right w:w="28" w:type="dxa"/>
            </w:tcMar>
            <w:vAlign w:val="center"/>
          </w:tcPr>
          <w:p w14:paraId="12040C42" w14:textId="77777777" w:rsidR="004B0883" w:rsidRDefault="004B0883">
            <w:pPr>
              <w:jc w:val="center"/>
              <w:rPr>
                <w:b/>
                <w:color w:val="000000"/>
              </w:rPr>
            </w:pPr>
            <w:r>
              <w:rPr>
                <w:b/>
                <w:color w:val="000000"/>
              </w:rPr>
              <w:t>金额</w:t>
            </w:r>
          </w:p>
        </w:tc>
        <w:tc>
          <w:tcPr>
            <w:tcW w:w="555" w:type="pct"/>
            <w:shd w:val="clear" w:color="auto" w:fill="D9D9D9"/>
            <w:tcMar>
              <w:top w:w="0" w:type="dxa"/>
              <w:left w:w="28" w:type="dxa"/>
              <w:bottom w:w="0" w:type="dxa"/>
              <w:right w:w="28" w:type="dxa"/>
            </w:tcMar>
            <w:vAlign w:val="center"/>
          </w:tcPr>
          <w:p w14:paraId="405704FC" w14:textId="77777777" w:rsidR="004B0883" w:rsidRDefault="004B0883">
            <w:pPr>
              <w:jc w:val="center"/>
              <w:rPr>
                <w:b/>
                <w:color w:val="000000"/>
              </w:rPr>
            </w:pPr>
            <w:r>
              <w:rPr>
                <w:b/>
                <w:color w:val="000000"/>
              </w:rPr>
              <w:t>占比</w:t>
            </w:r>
          </w:p>
        </w:tc>
        <w:tc>
          <w:tcPr>
            <w:tcW w:w="554" w:type="pct"/>
            <w:shd w:val="clear" w:color="auto" w:fill="D9D9D9"/>
            <w:tcMar>
              <w:top w:w="0" w:type="dxa"/>
              <w:left w:w="28" w:type="dxa"/>
              <w:bottom w:w="0" w:type="dxa"/>
              <w:right w:w="28" w:type="dxa"/>
            </w:tcMar>
            <w:vAlign w:val="center"/>
          </w:tcPr>
          <w:p w14:paraId="65671C8C" w14:textId="77777777" w:rsidR="004B0883" w:rsidRDefault="004B0883">
            <w:pPr>
              <w:jc w:val="center"/>
              <w:rPr>
                <w:b/>
                <w:color w:val="000000"/>
              </w:rPr>
            </w:pPr>
            <w:r>
              <w:rPr>
                <w:b/>
                <w:color w:val="000000"/>
              </w:rPr>
              <w:t>金额</w:t>
            </w:r>
          </w:p>
        </w:tc>
        <w:tc>
          <w:tcPr>
            <w:tcW w:w="555" w:type="pct"/>
            <w:shd w:val="clear" w:color="auto" w:fill="D9D9D9"/>
            <w:tcMar>
              <w:top w:w="0" w:type="dxa"/>
              <w:left w:w="28" w:type="dxa"/>
              <w:bottom w:w="0" w:type="dxa"/>
              <w:right w:w="28" w:type="dxa"/>
            </w:tcMar>
            <w:vAlign w:val="center"/>
          </w:tcPr>
          <w:p w14:paraId="3FBF215E" w14:textId="77777777" w:rsidR="004B0883" w:rsidRDefault="004B0883">
            <w:pPr>
              <w:jc w:val="center"/>
              <w:rPr>
                <w:b/>
                <w:color w:val="000000"/>
              </w:rPr>
            </w:pPr>
            <w:r>
              <w:rPr>
                <w:b/>
                <w:color w:val="000000"/>
              </w:rPr>
              <w:t>占比</w:t>
            </w:r>
          </w:p>
        </w:tc>
      </w:tr>
      <w:tr w:rsidR="004B0883" w14:paraId="6AE9848C" w14:textId="77777777">
        <w:trPr>
          <w:trHeight w:val="397"/>
          <w:jc w:val="center"/>
        </w:trPr>
        <w:tc>
          <w:tcPr>
            <w:tcW w:w="563" w:type="pct"/>
            <w:tcMar>
              <w:top w:w="0" w:type="dxa"/>
              <w:left w:w="28" w:type="dxa"/>
              <w:bottom w:w="0" w:type="dxa"/>
              <w:right w:w="28" w:type="dxa"/>
            </w:tcMar>
            <w:vAlign w:val="center"/>
          </w:tcPr>
          <w:p w14:paraId="3AC998BF" w14:textId="77777777" w:rsidR="004B0883" w:rsidRDefault="004B0883">
            <w:pPr>
              <w:rPr>
                <w:color w:val="000000"/>
              </w:rPr>
            </w:pPr>
            <w:r>
              <w:rPr>
                <w:color w:val="000000"/>
              </w:rPr>
              <w:t>主营业务毛利</w:t>
            </w:r>
          </w:p>
        </w:tc>
        <w:tc>
          <w:tcPr>
            <w:tcW w:w="554" w:type="pct"/>
            <w:tcMar>
              <w:top w:w="0" w:type="dxa"/>
              <w:left w:w="28" w:type="dxa"/>
              <w:bottom w:w="0" w:type="dxa"/>
              <w:right w:w="28" w:type="dxa"/>
            </w:tcMar>
            <w:vAlign w:val="center"/>
          </w:tcPr>
          <w:p w14:paraId="62F5AF80" w14:textId="77777777" w:rsidR="004B0883" w:rsidRDefault="004B0883">
            <w:pPr>
              <w:jc w:val="right"/>
              <w:rPr>
                <w:rFonts w:eastAsia="等线"/>
                <w:color w:val="000000"/>
                <w:kern w:val="0"/>
              </w:rPr>
            </w:pPr>
            <w:r>
              <w:rPr>
                <w:rFonts w:eastAsia="等线"/>
                <w:color w:val="000000"/>
              </w:rPr>
              <w:t>15,216.30</w:t>
            </w:r>
          </w:p>
        </w:tc>
        <w:tc>
          <w:tcPr>
            <w:tcW w:w="556" w:type="pct"/>
            <w:tcMar>
              <w:top w:w="0" w:type="dxa"/>
              <w:left w:w="28" w:type="dxa"/>
              <w:bottom w:w="0" w:type="dxa"/>
              <w:right w:w="28" w:type="dxa"/>
            </w:tcMar>
            <w:vAlign w:val="center"/>
          </w:tcPr>
          <w:p w14:paraId="065AB2B8" w14:textId="77777777" w:rsidR="004B0883" w:rsidRDefault="004B0883">
            <w:pPr>
              <w:jc w:val="right"/>
              <w:rPr>
                <w:rFonts w:eastAsia="等线"/>
                <w:color w:val="000000"/>
              </w:rPr>
            </w:pPr>
            <w:r>
              <w:rPr>
                <w:rFonts w:eastAsia="等线"/>
                <w:color w:val="000000"/>
              </w:rPr>
              <w:t>98.96%</w:t>
            </w:r>
          </w:p>
        </w:tc>
        <w:tc>
          <w:tcPr>
            <w:tcW w:w="554" w:type="pct"/>
            <w:tcMar>
              <w:top w:w="0" w:type="dxa"/>
              <w:left w:w="28" w:type="dxa"/>
              <w:bottom w:w="0" w:type="dxa"/>
              <w:right w:w="28" w:type="dxa"/>
            </w:tcMar>
            <w:vAlign w:val="center"/>
          </w:tcPr>
          <w:p w14:paraId="608701ED" w14:textId="77777777" w:rsidR="004B0883" w:rsidRDefault="004B0883">
            <w:pPr>
              <w:jc w:val="right"/>
              <w:rPr>
                <w:color w:val="000000"/>
              </w:rPr>
            </w:pPr>
            <w:r>
              <w:rPr>
                <w:rFonts w:eastAsia="等线"/>
                <w:color w:val="000000"/>
              </w:rPr>
              <w:t>20,019.22</w:t>
            </w:r>
          </w:p>
        </w:tc>
        <w:tc>
          <w:tcPr>
            <w:tcW w:w="555" w:type="pct"/>
            <w:tcMar>
              <w:top w:w="0" w:type="dxa"/>
              <w:left w:w="28" w:type="dxa"/>
              <w:bottom w:w="0" w:type="dxa"/>
              <w:right w:w="28" w:type="dxa"/>
            </w:tcMar>
            <w:vAlign w:val="center"/>
          </w:tcPr>
          <w:p w14:paraId="3661CD12" w14:textId="77777777" w:rsidR="004B0883" w:rsidRDefault="004B0883">
            <w:pPr>
              <w:jc w:val="right"/>
              <w:rPr>
                <w:color w:val="000000"/>
              </w:rPr>
            </w:pPr>
            <w:r>
              <w:rPr>
                <w:rFonts w:eastAsia="等线"/>
                <w:color w:val="000000"/>
              </w:rPr>
              <w:t>98.86%</w:t>
            </w:r>
          </w:p>
        </w:tc>
        <w:tc>
          <w:tcPr>
            <w:tcW w:w="554" w:type="pct"/>
            <w:tcMar>
              <w:top w:w="0" w:type="dxa"/>
              <w:left w:w="28" w:type="dxa"/>
              <w:bottom w:w="0" w:type="dxa"/>
              <w:right w:w="28" w:type="dxa"/>
            </w:tcMar>
            <w:vAlign w:val="center"/>
          </w:tcPr>
          <w:p w14:paraId="6104FB90" w14:textId="77777777" w:rsidR="004B0883" w:rsidRDefault="004B0883">
            <w:pPr>
              <w:jc w:val="right"/>
              <w:rPr>
                <w:color w:val="000000"/>
              </w:rPr>
            </w:pPr>
            <w:r>
              <w:rPr>
                <w:rFonts w:eastAsia="等线"/>
                <w:color w:val="000000"/>
              </w:rPr>
              <w:t>13,307.84</w:t>
            </w:r>
          </w:p>
        </w:tc>
        <w:tc>
          <w:tcPr>
            <w:tcW w:w="555" w:type="pct"/>
            <w:tcMar>
              <w:top w:w="0" w:type="dxa"/>
              <w:left w:w="28" w:type="dxa"/>
              <w:bottom w:w="0" w:type="dxa"/>
              <w:right w:w="28" w:type="dxa"/>
            </w:tcMar>
            <w:vAlign w:val="center"/>
          </w:tcPr>
          <w:p w14:paraId="17339CDB" w14:textId="77777777" w:rsidR="004B0883" w:rsidRDefault="004B0883">
            <w:pPr>
              <w:jc w:val="right"/>
              <w:rPr>
                <w:color w:val="000000"/>
              </w:rPr>
            </w:pPr>
            <w:r>
              <w:rPr>
                <w:rFonts w:eastAsia="等线"/>
                <w:color w:val="000000"/>
              </w:rPr>
              <w:t>98.36%</w:t>
            </w:r>
          </w:p>
        </w:tc>
        <w:tc>
          <w:tcPr>
            <w:tcW w:w="554" w:type="pct"/>
            <w:tcMar>
              <w:top w:w="0" w:type="dxa"/>
              <w:left w:w="28" w:type="dxa"/>
              <w:bottom w:w="0" w:type="dxa"/>
              <w:right w:w="28" w:type="dxa"/>
            </w:tcMar>
            <w:vAlign w:val="center"/>
          </w:tcPr>
          <w:p w14:paraId="3215335C" w14:textId="77777777" w:rsidR="004B0883" w:rsidRDefault="004B0883">
            <w:pPr>
              <w:jc w:val="right"/>
              <w:rPr>
                <w:color w:val="000000"/>
              </w:rPr>
            </w:pPr>
            <w:r>
              <w:rPr>
                <w:color w:val="000000"/>
              </w:rPr>
              <w:t>11,812.18</w:t>
            </w:r>
          </w:p>
        </w:tc>
        <w:tc>
          <w:tcPr>
            <w:tcW w:w="555" w:type="pct"/>
            <w:tcMar>
              <w:top w:w="0" w:type="dxa"/>
              <w:left w:w="28" w:type="dxa"/>
              <w:bottom w:w="0" w:type="dxa"/>
              <w:right w:w="28" w:type="dxa"/>
            </w:tcMar>
            <w:vAlign w:val="center"/>
          </w:tcPr>
          <w:p w14:paraId="726013EE" w14:textId="77777777" w:rsidR="004B0883" w:rsidRDefault="004B0883">
            <w:pPr>
              <w:jc w:val="right"/>
              <w:rPr>
                <w:color w:val="000000"/>
              </w:rPr>
            </w:pPr>
            <w:r>
              <w:rPr>
                <w:color w:val="000000"/>
              </w:rPr>
              <w:t>99.29%</w:t>
            </w:r>
          </w:p>
        </w:tc>
      </w:tr>
      <w:tr w:rsidR="004B0883" w14:paraId="17744912" w14:textId="77777777">
        <w:trPr>
          <w:trHeight w:val="397"/>
          <w:jc w:val="center"/>
        </w:trPr>
        <w:tc>
          <w:tcPr>
            <w:tcW w:w="563" w:type="pct"/>
            <w:tcMar>
              <w:top w:w="0" w:type="dxa"/>
              <w:left w:w="28" w:type="dxa"/>
              <w:bottom w:w="0" w:type="dxa"/>
              <w:right w:w="28" w:type="dxa"/>
            </w:tcMar>
            <w:vAlign w:val="center"/>
          </w:tcPr>
          <w:p w14:paraId="1B8EEF10" w14:textId="77777777" w:rsidR="004B0883" w:rsidRDefault="004B0883">
            <w:pPr>
              <w:rPr>
                <w:color w:val="000000"/>
              </w:rPr>
            </w:pPr>
            <w:r>
              <w:rPr>
                <w:color w:val="000000"/>
              </w:rPr>
              <w:t>其他业务毛利</w:t>
            </w:r>
          </w:p>
        </w:tc>
        <w:tc>
          <w:tcPr>
            <w:tcW w:w="554" w:type="pct"/>
            <w:tcMar>
              <w:top w:w="0" w:type="dxa"/>
              <w:left w:w="28" w:type="dxa"/>
              <w:bottom w:w="0" w:type="dxa"/>
              <w:right w:w="28" w:type="dxa"/>
            </w:tcMar>
            <w:vAlign w:val="center"/>
          </w:tcPr>
          <w:p w14:paraId="55760A8F" w14:textId="77777777" w:rsidR="004B0883" w:rsidRDefault="004B0883">
            <w:pPr>
              <w:jc w:val="right"/>
              <w:rPr>
                <w:rFonts w:eastAsia="等线"/>
                <w:color w:val="000000"/>
              </w:rPr>
            </w:pPr>
            <w:r>
              <w:rPr>
                <w:rFonts w:eastAsia="等线"/>
                <w:color w:val="000000"/>
              </w:rPr>
              <w:t>160.64</w:t>
            </w:r>
          </w:p>
        </w:tc>
        <w:tc>
          <w:tcPr>
            <w:tcW w:w="556" w:type="pct"/>
            <w:tcMar>
              <w:top w:w="0" w:type="dxa"/>
              <w:left w:w="28" w:type="dxa"/>
              <w:bottom w:w="0" w:type="dxa"/>
              <w:right w:w="28" w:type="dxa"/>
            </w:tcMar>
            <w:vAlign w:val="center"/>
          </w:tcPr>
          <w:p w14:paraId="2C7FF04F" w14:textId="77777777" w:rsidR="004B0883" w:rsidRDefault="004B0883">
            <w:pPr>
              <w:jc w:val="right"/>
              <w:rPr>
                <w:rFonts w:eastAsia="等线"/>
                <w:color w:val="000000"/>
              </w:rPr>
            </w:pPr>
            <w:r>
              <w:rPr>
                <w:rFonts w:eastAsia="等线"/>
                <w:color w:val="000000"/>
              </w:rPr>
              <w:t>1.04%</w:t>
            </w:r>
          </w:p>
        </w:tc>
        <w:tc>
          <w:tcPr>
            <w:tcW w:w="554" w:type="pct"/>
            <w:tcMar>
              <w:top w:w="0" w:type="dxa"/>
              <w:left w:w="28" w:type="dxa"/>
              <w:bottom w:w="0" w:type="dxa"/>
              <w:right w:w="28" w:type="dxa"/>
            </w:tcMar>
            <w:vAlign w:val="center"/>
          </w:tcPr>
          <w:p w14:paraId="4332D0CE" w14:textId="77777777" w:rsidR="004B0883" w:rsidRDefault="004B0883">
            <w:pPr>
              <w:jc w:val="right"/>
              <w:rPr>
                <w:color w:val="000000"/>
              </w:rPr>
            </w:pPr>
            <w:r>
              <w:rPr>
                <w:rFonts w:eastAsia="等线"/>
                <w:color w:val="000000"/>
              </w:rPr>
              <w:t>230.85</w:t>
            </w:r>
          </w:p>
        </w:tc>
        <w:tc>
          <w:tcPr>
            <w:tcW w:w="555" w:type="pct"/>
            <w:tcMar>
              <w:top w:w="0" w:type="dxa"/>
              <w:left w:w="28" w:type="dxa"/>
              <w:bottom w:w="0" w:type="dxa"/>
              <w:right w:w="28" w:type="dxa"/>
            </w:tcMar>
            <w:vAlign w:val="center"/>
          </w:tcPr>
          <w:p w14:paraId="0F813AF7" w14:textId="77777777" w:rsidR="004B0883" w:rsidRDefault="004B0883">
            <w:pPr>
              <w:jc w:val="right"/>
              <w:rPr>
                <w:color w:val="000000"/>
              </w:rPr>
            </w:pPr>
            <w:r>
              <w:rPr>
                <w:rFonts w:eastAsia="等线"/>
                <w:color w:val="000000"/>
              </w:rPr>
              <w:t>1.14%</w:t>
            </w:r>
          </w:p>
        </w:tc>
        <w:tc>
          <w:tcPr>
            <w:tcW w:w="554" w:type="pct"/>
            <w:tcMar>
              <w:top w:w="0" w:type="dxa"/>
              <w:left w:w="28" w:type="dxa"/>
              <w:bottom w:w="0" w:type="dxa"/>
              <w:right w:w="28" w:type="dxa"/>
            </w:tcMar>
            <w:vAlign w:val="center"/>
          </w:tcPr>
          <w:p w14:paraId="6BBFDE2F" w14:textId="77777777" w:rsidR="004B0883" w:rsidRDefault="004B0883">
            <w:pPr>
              <w:jc w:val="right"/>
              <w:rPr>
                <w:color w:val="000000"/>
              </w:rPr>
            </w:pPr>
            <w:r>
              <w:rPr>
                <w:rFonts w:eastAsia="等线"/>
                <w:color w:val="000000"/>
              </w:rPr>
              <w:t>222.05</w:t>
            </w:r>
          </w:p>
        </w:tc>
        <w:tc>
          <w:tcPr>
            <w:tcW w:w="555" w:type="pct"/>
            <w:tcMar>
              <w:top w:w="0" w:type="dxa"/>
              <w:left w:w="28" w:type="dxa"/>
              <w:bottom w:w="0" w:type="dxa"/>
              <w:right w:w="28" w:type="dxa"/>
            </w:tcMar>
            <w:vAlign w:val="center"/>
          </w:tcPr>
          <w:p w14:paraId="3ABBA3B7" w14:textId="77777777" w:rsidR="004B0883" w:rsidRDefault="004B0883">
            <w:pPr>
              <w:jc w:val="right"/>
              <w:rPr>
                <w:color w:val="000000"/>
              </w:rPr>
            </w:pPr>
            <w:r>
              <w:rPr>
                <w:rFonts w:eastAsia="等线"/>
                <w:color w:val="000000"/>
              </w:rPr>
              <w:t>1.64%</w:t>
            </w:r>
          </w:p>
        </w:tc>
        <w:tc>
          <w:tcPr>
            <w:tcW w:w="554" w:type="pct"/>
            <w:tcMar>
              <w:top w:w="0" w:type="dxa"/>
              <w:left w:w="28" w:type="dxa"/>
              <w:bottom w:w="0" w:type="dxa"/>
              <w:right w:w="28" w:type="dxa"/>
            </w:tcMar>
            <w:vAlign w:val="center"/>
          </w:tcPr>
          <w:p w14:paraId="4B847A06" w14:textId="77777777" w:rsidR="004B0883" w:rsidRDefault="004B0883">
            <w:pPr>
              <w:jc w:val="right"/>
              <w:rPr>
                <w:color w:val="000000"/>
              </w:rPr>
            </w:pPr>
            <w:r>
              <w:rPr>
                <w:color w:val="000000"/>
              </w:rPr>
              <w:t>84.97</w:t>
            </w:r>
          </w:p>
        </w:tc>
        <w:tc>
          <w:tcPr>
            <w:tcW w:w="555" w:type="pct"/>
            <w:tcMar>
              <w:top w:w="0" w:type="dxa"/>
              <w:left w:w="28" w:type="dxa"/>
              <w:bottom w:w="0" w:type="dxa"/>
              <w:right w:w="28" w:type="dxa"/>
            </w:tcMar>
            <w:vAlign w:val="center"/>
          </w:tcPr>
          <w:p w14:paraId="344A0A27" w14:textId="77777777" w:rsidR="004B0883" w:rsidRDefault="004B0883">
            <w:pPr>
              <w:jc w:val="right"/>
              <w:rPr>
                <w:color w:val="000000"/>
              </w:rPr>
            </w:pPr>
            <w:r>
              <w:rPr>
                <w:color w:val="000000"/>
              </w:rPr>
              <w:t>0.71%</w:t>
            </w:r>
          </w:p>
        </w:tc>
      </w:tr>
      <w:tr w:rsidR="004B0883" w14:paraId="5E6A11CE" w14:textId="77777777">
        <w:trPr>
          <w:trHeight w:val="397"/>
          <w:jc w:val="center"/>
        </w:trPr>
        <w:tc>
          <w:tcPr>
            <w:tcW w:w="563" w:type="pct"/>
            <w:tcMar>
              <w:top w:w="0" w:type="dxa"/>
              <w:left w:w="28" w:type="dxa"/>
              <w:bottom w:w="0" w:type="dxa"/>
              <w:right w:w="28" w:type="dxa"/>
            </w:tcMar>
            <w:vAlign w:val="center"/>
          </w:tcPr>
          <w:p w14:paraId="6323F547" w14:textId="77777777" w:rsidR="004B0883" w:rsidRDefault="004B0883">
            <w:pPr>
              <w:jc w:val="center"/>
              <w:rPr>
                <w:b/>
                <w:color w:val="000000"/>
              </w:rPr>
            </w:pPr>
            <w:r>
              <w:rPr>
                <w:b/>
                <w:color w:val="000000"/>
              </w:rPr>
              <w:t>合计</w:t>
            </w:r>
          </w:p>
        </w:tc>
        <w:tc>
          <w:tcPr>
            <w:tcW w:w="554" w:type="pct"/>
            <w:tcMar>
              <w:top w:w="0" w:type="dxa"/>
              <w:left w:w="28" w:type="dxa"/>
              <w:bottom w:w="0" w:type="dxa"/>
              <w:right w:w="28" w:type="dxa"/>
            </w:tcMar>
            <w:vAlign w:val="center"/>
          </w:tcPr>
          <w:p w14:paraId="75859868" w14:textId="77777777" w:rsidR="004B0883" w:rsidRDefault="004B0883">
            <w:pPr>
              <w:jc w:val="right"/>
              <w:rPr>
                <w:rFonts w:eastAsia="等线"/>
                <w:b/>
                <w:bCs/>
                <w:color w:val="000000"/>
              </w:rPr>
            </w:pPr>
            <w:r>
              <w:rPr>
                <w:rFonts w:eastAsia="等线"/>
                <w:b/>
                <w:bCs/>
                <w:color w:val="000000"/>
              </w:rPr>
              <w:t>15,376.94</w:t>
            </w:r>
          </w:p>
        </w:tc>
        <w:tc>
          <w:tcPr>
            <w:tcW w:w="556" w:type="pct"/>
            <w:tcMar>
              <w:top w:w="0" w:type="dxa"/>
              <w:left w:w="28" w:type="dxa"/>
              <w:bottom w:w="0" w:type="dxa"/>
              <w:right w:w="28" w:type="dxa"/>
            </w:tcMar>
            <w:vAlign w:val="center"/>
          </w:tcPr>
          <w:p w14:paraId="2134B20A" w14:textId="77777777" w:rsidR="004B0883" w:rsidRDefault="004B0883">
            <w:pPr>
              <w:jc w:val="right"/>
              <w:rPr>
                <w:rFonts w:eastAsia="等线"/>
                <w:b/>
                <w:bCs/>
                <w:color w:val="000000"/>
              </w:rPr>
            </w:pPr>
            <w:r>
              <w:rPr>
                <w:rFonts w:eastAsia="等线"/>
                <w:b/>
                <w:bCs/>
                <w:color w:val="000000"/>
              </w:rPr>
              <w:t>100.00%</w:t>
            </w:r>
          </w:p>
        </w:tc>
        <w:tc>
          <w:tcPr>
            <w:tcW w:w="554" w:type="pct"/>
            <w:tcMar>
              <w:top w:w="0" w:type="dxa"/>
              <w:left w:w="28" w:type="dxa"/>
              <w:bottom w:w="0" w:type="dxa"/>
              <w:right w:w="28" w:type="dxa"/>
            </w:tcMar>
            <w:vAlign w:val="center"/>
          </w:tcPr>
          <w:p w14:paraId="7D9EDE9B" w14:textId="77777777" w:rsidR="004B0883" w:rsidRDefault="004B0883">
            <w:pPr>
              <w:jc w:val="right"/>
              <w:rPr>
                <w:b/>
                <w:color w:val="000000"/>
              </w:rPr>
            </w:pPr>
            <w:r>
              <w:rPr>
                <w:rFonts w:eastAsia="等线"/>
                <w:b/>
                <w:bCs/>
                <w:color w:val="000000"/>
              </w:rPr>
              <w:t>20,250.08</w:t>
            </w:r>
          </w:p>
        </w:tc>
        <w:tc>
          <w:tcPr>
            <w:tcW w:w="555" w:type="pct"/>
            <w:tcMar>
              <w:top w:w="0" w:type="dxa"/>
              <w:left w:w="28" w:type="dxa"/>
              <w:bottom w:w="0" w:type="dxa"/>
              <w:right w:w="28" w:type="dxa"/>
            </w:tcMar>
            <w:vAlign w:val="center"/>
          </w:tcPr>
          <w:p w14:paraId="52CECA42" w14:textId="77777777" w:rsidR="004B0883" w:rsidRDefault="004B0883">
            <w:pPr>
              <w:jc w:val="right"/>
              <w:rPr>
                <w:b/>
                <w:color w:val="000000"/>
              </w:rPr>
            </w:pPr>
            <w:r>
              <w:rPr>
                <w:rFonts w:eastAsia="等线"/>
                <w:b/>
                <w:bCs/>
                <w:color w:val="000000"/>
              </w:rPr>
              <w:t>100.00%</w:t>
            </w:r>
          </w:p>
        </w:tc>
        <w:tc>
          <w:tcPr>
            <w:tcW w:w="554" w:type="pct"/>
            <w:tcMar>
              <w:top w:w="0" w:type="dxa"/>
              <w:left w:w="28" w:type="dxa"/>
              <w:bottom w:w="0" w:type="dxa"/>
              <w:right w:w="28" w:type="dxa"/>
            </w:tcMar>
            <w:vAlign w:val="center"/>
          </w:tcPr>
          <w:p w14:paraId="623219D2" w14:textId="77777777" w:rsidR="004B0883" w:rsidRDefault="004B0883">
            <w:pPr>
              <w:jc w:val="right"/>
              <w:rPr>
                <w:b/>
                <w:color w:val="000000"/>
              </w:rPr>
            </w:pPr>
            <w:r>
              <w:rPr>
                <w:rFonts w:eastAsia="等线"/>
                <w:b/>
                <w:bCs/>
                <w:color w:val="000000"/>
              </w:rPr>
              <w:t>13,529.89</w:t>
            </w:r>
          </w:p>
        </w:tc>
        <w:tc>
          <w:tcPr>
            <w:tcW w:w="555" w:type="pct"/>
            <w:tcMar>
              <w:top w:w="0" w:type="dxa"/>
              <w:left w:w="28" w:type="dxa"/>
              <w:bottom w:w="0" w:type="dxa"/>
              <w:right w:w="28" w:type="dxa"/>
            </w:tcMar>
            <w:vAlign w:val="center"/>
          </w:tcPr>
          <w:p w14:paraId="371570F2" w14:textId="77777777" w:rsidR="004B0883" w:rsidRDefault="004B0883">
            <w:pPr>
              <w:jc w:val="right"/>
              <w:rPr>
                <w:b/>
                <w:color w:val="000000"/>
              </w:rPr>
            </w:pPr>
            <w:r>
              <w:rPr>
                <w:rFonts w:eastAsia="等线"/>
                <w:b/>
                <w:bCs/>
                <w:color w:val="000000"/>
              </w:rPr>
              <w:t>100.00%</w:t>
            </w:r>
          </w:p>
        </w:tc>
        <w:tc>
          <w:tcPr>
            <w:tcW w:w="554" w:type="pct"/>
            <w:tcMar>
              <w:top w:w="0" w:type="dxa"/>
              <w:left w:w="28" w:type="dxa"/>
              <w:bottom w:w="0" w:type="dxa"/>
              <w:right w:w="28" w:type="dxa"/>
            </w:tcMar>
            <w:vAlign w:val="center"/>
          </w:tcPr>
          <w:p w14:paraId="4C9ABDB8" w14:textId="77777777" w:rsidR="004B0883" w:rsidRDefault="004B0883">
            <w:pPr>
              <w:jc w:val="right"/>
              <w:rPr>
                <w:b/>
                <w:color w:val="000000"/>
              </w:rPr>
            </w:pPr>
            <w:r>
              <w:rPr>
                <w:b/>
                <w:color w:val="000000"/>
              </w:rPr>
              <w:t>11,897.14</w:t>
            </w:r>
          </w:p>
        </w:tc>
        <w:tc>
          <w:tcPr>
            <w:tcW w:w="555" w:type="pct"/>
            <w:tcMar>
              <w:top w:w="0" w:type="dxa"/>
              <w:left w:w="28" w:type="dxa"/>
              <w:bottom w:w="0" w:type="dxa"/>
              <w:right w:w="28" w:type="dxa"/>
            </w:tcMar>
            <w:vAlign w:val="center"/>
          </w:tcPr>
          <w:p w14:paraId="676D1275" w14:textId="77777777" w:rsidR="004B0883" w:rsidRDefault="004B0883">
            <w:pPr>
              <w:jc w:val="right"/>
              <w:rPr>
                <w:b/>
                <w:color w:val="000000"/>
              </w:rPr>
            </w:pPr>
            <w:r>
              <w:rPr>
                <w:b/>
                <w:color w:val="000000"/>
              </w:rPr>
              <w:t>100.00%</w:t>
            </w:r>
          </w:p>
        </w:tc>
      </w:tr>
    </w:tbl>
    <w:p w14:paraId="2639FCFB" w14:textId="77777777" w:rsidR="004B0883" w:rsidRDefault="004B0883">
      <w:pPr>
        <w:pStyle w:val="005"/>
        <w:spacing w:before="120"/>
        <w:ind w:firstLine="480"/>
      </w:pPr>
      <w:r>
        <w:t>报告期各期，公司主营业务突出，主营业务毛利额分别为</w:t>
      </w:r>
      <w:r>
        <w:t>11,812.18</w:t>
      </w:r>
      <w:r>
        <w:t>万元、</w:t>
      </w:r>
      <w:r>
        <w:t>13,307.84</w:t>
      </w:r>
      <w:r>
        <w:t>万元、</w:t>
      </w:r>
      <w:r>
        <w:t>20,019.22</w:t>
      </w:r>
      <w:r>
        <w:t>万元和</w:t>
      </w:r>
      <w:r>
        <w:t>15,216.30</w:t>
      </w:r>
      <w:r>
        <w:t>万元，占总毛利的比例分别为</w:t>
      </w:r>
      <w:r>
        <w:t>99.29%</w:t>
      </w:r>
      <w:r>
        <w:t>、</w:t>
      </w:r>
      <w:r>
        <w:t>98.36%</w:t>
      </w:r>
      <w:r>
        <w:t>、</w:t>
      </w:r>
      <w:r>
        <w:t>98.86%</w:t>
      </w:r>
      <w:r>
        <w:t>和</w:t>
      </w:r>
      <w:r>
        <w:t>98.96%</w:t>
      </w:r>
      <w:r>
        <w:t>。</w:t>
      </w:r>
    </w:p>
    <w:p w14:paraId="19AAE74D" w14:textId="77777777" w:rsidR="004B0883" w:rsidRDefault="004B0883">
      <w:pPr>
        <w:pStyle w:val="004"/>
        <w:spacing w:before="120" w:after="120"/>
        <w:ind w:firstLine="482"/>
      </w:pPr>
      <w:r>
        <w:t>2</w:t>
      </w:r>
      <w:r>
        <w:t>、毛利率分析</w:t>
      </w:r>
    </w:p>
    <w:p w14:paraId="4C783EB4" w14:textId="77777777" w:rsidR="004B0883" w:rsidRDefault="004B0883">
      <w:pPr>
        <w:pStyle w:val="005"/>
        <w:spacing w:before="120"/>
        <w:ind w:firstLine="480"/>
      </w:pPr>
      <w:r>
        <w:t>报告期各期，公司主营业务毛利率及分产品毛利率情况如下：</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444"/>
        <w:gridCol w:w="1568"/>
        <w:gridCol w:w="1424"/>
        <w:gridCol w:w="1421"/>
        <w:gridCol w:w="1423"/>
      </w:tblGrid>
      <w:tr w:rsidR="004B0883" w14:paraId="2584C33E" w14:textId="77777777">
        <w:trPr>
          <w:trHeight w:val="397"/>
          <w:tblHeader/>
          <w:jc w:val="center"/>
        </w:trPr>
        <w:tc>
          <w:tcPr>
            <w:tcW w:w="1476" w:type="pct"/>
            <w:shd w:val="clear" w:color="auto" w:fill="D9D9D9"/>
            <w:tcMar>
              <w:top w:w="0" w:type="dxa"/>
              <w:left w:w="108" w:type="dxa"/>
              <w:bottom w:w="0" w:type="dxa"/>
              <w:right w:w="108" w:type="dxa"/>
            </w:tcMar>
            <w:vAlign w:val="center"/>
          </w:tcPr>
          <w:p w14:paraId="3C0A4F0A" w14:textId="77777777" w:rsidR="004B0883" w:rsidRDefault="004B0883">
            <w:pPr>
              <w:jc w:val="center"/>
              <w:rPr>
                <w:b/>
                <w:color w:val="000000"/>
              </w:rPr>
            </w:pPr>
            <w:r>
              <w:rPr>
                <w:b/>
                <w:color w:val="000000"/>
              </w:rPr>
              <w:t>项目</w:t>
            </w:r>
          </w:p>
        </w:tc>
        <w:tc>
          <w:tcPr>
            <w:tcW w:w="947" w:type="pct"/>
            <w:shd w:val="clear" w:color="auto" w:fill="D9D9D9"/>
            <w:tcMar>
              <w:top w:w="0" w:type="dxa"/>
              <w:left w:w="108" w:type="dxa"/>
              <w:bottom w:w="0" w:type="dxa"/>
              <w:right w:w="108" w:type="dxa"/>
            </w:tcMar>
            <w:vAlign w:val="center"/>
          </w:tcPr>
          <w:p w14:paraId="72870FB1" w14:textId="77777777" w:rsidR="004B0883" w:rsidRDefault="004B0883">
            <w:pPr>
              <w:jc w:val="center"/>
              <w:rPr>
                <w:b/>
                <w:color w:val="000000"/>
              </w:rPr>
            </w:pPr>
            <w:r>
              <w:rPr>
                <w:b/>
                <w:color w:val="000000"/>
              </w:rPr>
              <w:t>2023</w:t>
            </w:r>
            <w:r>
              <w:rPr>
                <w:b/>
                <w:color w:val="000000"/>
              </w:rPr>
              <w:t>年</w:t>
            </w:r>
            <w:r>
              <w:rPr>
                <w:b/>
                <w:color w:val="000000"/>
              </w:rPr>
              <w:t>1-9</w:t>
            </w:r>
            <w:r>
              <w:rPr>
                <w:b/>
                <w:color w:val="000000"/>
              </w:rPr>
              <w:t>月</w:t>
            </w:r>
          </w:p>
        </w:tc>
        <w:tc>
          <w:tcPr>
            <w:tcW w:w="860" w:type="pct"/>
            <w:shd w:val="clear" w:color="auto" w:fill="D9D9D9"/>
            <w:tcMar>
              <w:top w:w="0" w:type="dxa"/>
              <w:left w:w="108" w:type="dxa"/>
              <w:bottom w:w="0" w:type="dxa"/>
              <w:right w:w="108" w:type="dxa"/>
            </w:tcMar>
            <w:vAlign w:val="center"/>
          </w:tcPr>
          <w:p w14:paraId="4271EA11" w14:textId="77777777" w:rsidR="004B0883" w:rsidRDefault="004B0883">
            <w:pPr>
              <w:jc w:val="center"/>
              <w:rPr>
                <w:b/>
                <w:color w:val="000000"/>
              </w:rPr>
            </w:pPr>
            <w:r>
              <w:rPr>
                <w:b/>
                <w:color w:val="000000"/>
              </w:rPr>
              <w:t>2022</w:t>
            </w:r>
            <w:r>
              <w:rPr>
                <w:b/>
                <w:color w:val="000000"/>
              </w:rPr>
              <w:t>年</w:t>
            </w:r>
          </w:p>
        </w:tc>
        <w:tc>
          <w:tcPr>
            <w:tcW w:w="858" w:type="pct"/>
            <w:shd w:val="clear" w:color="auto" w:fill="D9D9D9"/>
            <w:tcMar>
              <w:top w:w="0" w:type="dxa"/>
              <w:left w:w="108" w:type="dxa"/>
              <w:bottom w:w="0" w:type="dxa"/>
              <w:right w:w="108" w:type="dxa"/>
            </w:tcMar>
            <w:vAlign w:val="center"/>
          </w:tcPr>
          <w:p w14:paraId="272D7641" w14:textId="77777777" w:rsidR="004B0883" w:rsidRDefault="004B0883">
            <w:pPr>
              <w:jc w:val="center"/>
              <w:rPr>
                <w:b/>
                <w:color w:val="000000"/>
              </w:rPr>
            </w:pPr>
            <w:r>
              <w:rPr>
                <w:b/>
                <w:color w:val="000000"/>
              </w:rPr>
              <w:t>2021</w:t>
            </w:r>
            <w:r>
              <w:rPr>
                <w:b/>
                <w:color w:val="000000"/>
              </w:rPr>
              <w:t>年度</w:t>
            </w:r>
          </w:p>
        </w:tc>
        <w:tc>
          <w:tcPr>
            <w:tcW w:w="859" w:type="pct"/>
            <w:shd w:val="clear" w:color="auto" w:fill="D9D9D9"/>
            <w:tcMar>
              <w:top w:w="0" w:type="dxa"/>
              <w:left w:w="108" w:type="dxa"/>
              <w:bottom w:w="0" w:type="dxa"/>
              <w:right w:w="108" w:type="dxa"/>
            </w:tcMar>
            <w:vAlign w:val="center"/>
          </w:tcPr>
          <w:p w14:paraId="161E5A8E" w14:textId="77777777" w:rsidR="004B0883" w:rsidRDefault="004B0883">
            <w:pPr>
              <w:jc w:val="center"/>
              <w:rPr>
                <w:b/>
                <w:color w:val="000000"/>
              </w:rPr>
            </w:pPr>
            <w:r>
              <w:rPr>
                <w:b/>
                <w:color w:val="000000"/>
              </w:rPr>
              <w:t>2020</w:t>
            </w:r>
            <w:r>
              <w:rPr>
                <w:b/>
                <w:color w:val="000000"/>
              </w:rPr>
              <w:t>年度</w:t>
            </w:r>
          </w:p>
        </w:tc>
      </w:tr>
      <w:tr w:rsidR="004B0883" w14:paraId="1EFF6CCF" w14:textId="77777777">
        <w:trPr>
          <w:trHeight w:val="397"/>
          <w:jc w:val="center"/>
        </w:trPr>
        <w:tc>
          <w:tcPr>
            <w:tcW w:w="1476" w:type="pct"/>
            <w:tcMar>
              <w:top w:w="0" w:type="dxa"/>
              <w:left w:w="108" w:type="dxa"/>
              <w:bottom w:w="0" w:type="dxa"/>
              <w:right w:w="108" w:type="dxa"/>
            </w:tcMar>
            <w:vAlign w:val="center"/>
          </w:tcPr>
          <w:p w14:paraId="7142EA34" w14:textId="77777777" w:rsidR="004B0883" w:rsidRDefault="004B0883">
            <w:pPr>
              <w:rPr>
                <w:color w:val="000000"/>
              </w:rPr>
            </w:pPr>
            <w:r>
              <w:rPr>
                <w:color w:val="000000"/>
              </w:rPr>
              <w:t>主营业务毛利率</w:t>
            </w:r>
          </w:p>
        </w:tc>
        <w:tc>
          <w:tcPr>
            <w:tcW w:w="947" w:type="pct"/>
            <w:tcMar>
              <w:top w:w="0" w:type="dxa"/>
              <w:left w:w="108" w:type="dxa"/>
              <w:bottom w:w="0" w:type="dxa"/>
              <w:right w:w="108" w:type="dxa"/>
            </w:tcMar>
            <w:vAlign w:val="center"/>
          </w:tcPr>
          <w:p w14:paraId="2F1FAE13" w14:textId="77777777" w:rsidR="004B0883" w:rsidRDefault="004B0883">
            <w:pPr>
              <w:jc w:val="right"/>
              <w:rPr>
                <w:rFonts w:eastAsia="等线"/>
                <w:color w:val="000000"/>
                <w:kern w:val="0"/>
              </w:rPr>
            </w:pPr>
            <w:r>
              <w:rPr>
                <w:rFonts w:eastAsia="等线"/>
                <w:color w:val="000000"/>
              </w:rPr>
              <w:t>38.35%</w:t>
            </w:r>
          </w:p>
        </w:tc>
        <w:tc>
          <w:tcPr>
            <w:tcW w:w="860" w:type="pct"/>
            <w:tcMar>
              <w:top w:w="0" w:type="dxa"/>
              <w:left w:w="108" w:type="dxa"/>
              <w:bottom w:w="0" w:type="dxa"/>
              <w:right w:w="108" w:type="dxa"/>
            </w:tcMar>
            <w:vAlign w:val="center"/>
          </w:tcPr>
          <w:p w14:paraId="6D65D901" w14:textId="77777777" w:rsidR="004B0883" w:rsidRDefault="004B0883">
            <w:pPr>
              <w:jc w:val="right"/>
              <w:rPr>
                <w:color w:val="000000"/>
              </w:rPr>
            </w:pPr>
            <w:r>
              <w:rPr>
                <w:color w:val="000000"/>
              </w:rPr>
              <w:t>37.42%</w:t>
            </w:r>
          </w:p>
        </w:tc>
        <w:tc>
          <w:tcPr>
            <w:tcW w:w="858" w:type="pct"/>
            <w:tcMar>
              <w:top w:w="0" w:type="dxa"/>
              <w:left w:w="108" w:type="dxa"/>
              <w:bottom w:w="0" w:type="dxa"/>
              <w:right w:w="108" w:type="dxa"/>
            </w:tcMar>
            <w:vAlign w:val="center"/>
          </w:tcPr>
          <w:p w14:paraId="7742EDDA" w14:textId="77777777" w:rsidR="004B0883" w:rsidRDefault="004B0883">
            <w:pPr>
              <w:jc w:val="right"/>
              <w:rPr>
                <w:color w:val="000000"/>
              </w:rPr>
            </w:pPr>
            <w:r>
              <w:rPr>
                <w:color w:val="000000"/>
              </w:rPr>
              <w:t>32.32%</w:t>
            </w:r>
          </w:p>
        </w:tc>
        <w:tc>
          <w:tcPr>
            <w:tcW w:w="859" w:type="pct"/>
            <w:tcMar>
              <w:top w:w="0" w:type="dxa"/>
              <w:left w:w="108" w:type="dxa"/>
              <w:bottom w:w="0" w:type="dxa"/>
              <w:right w:w="108" w:type="dxa"/>
            </w:tcMar>
            <w:vAlign w:val="center"/>
          </w:tcPr>
          <w:p w14:paraId="5DABB303" w14:textId="77777777" w:rsidR="004B0883" w:rsidRDefault="004B0883">
            <w:pPr>
              <w:jc w:val="right"/>
              <w:rPr>
                <w:color w:val="000000"/>
              </w:rPr>
            </w:pPr>
            <w:r>
              <w:rPr>
                <w:color w:val="000000"/>
              </w:rPr>
              <w:t>34.40%</w:t>
            </w:r>
          </w:p>
        </w:tc>
      </w:tr>
      <w:tr w:rsidR="004B0883" w14:paraId="0882CDC5" w14:textId="77777777">
        <w:trPr>
          <w:trHeight w:val="397"/>
          <w:jc w:val="center"/>
        </w:trPr>
        <w:tc>
          <w:tcPr>
            <w:tcW w:w="1476" w:type="pct"/>
            <w:tcMar>
              <w:top w:w="0" w:type="dxa"/>
              <w:left w:w="108" w:type="dxa"/>
              <w:bottom w:w="0" w:type="dxa"/>
              <w:right w:w="108" w:type="dxa"/>
            </w:tcMar>
            <w:vAlign w:val="center"/>
          </w:tcPr>
          <w:p w14:paraId="47FDF832" w14:textId="77777777" w:rsidR="004B0883" w:rsidRDefault="004B0883">
            <w:pPr>
              <w:jc w:val="center"/>
              <w:rPr>
                <w:color w:val="000000"/>
              </w:rPr>
            </w:pPr>
            <w:r>
              <w:rPr>
                <w:color w:val="000000"/>
              </w:rPr>
              <w:t>其中：阀门销售</w:t>
            </w:r>
          </w:p>
        </w:tc>
        <w:tc>
          <w:tcPr>
            <w:tcW w:w="947" w:type="pct"/>
            <w:tcMar>
              <w:top w:w="0" w:type="dxa"/>
              <w:left w:w="108" w:type="dxa"/>
              <w:bottom w:w="0" w:type="dxa"/>
              <w:right w:w="108" w:type="dxa"/>
            </w:tcMar>
            <w:vAlign w:val="center"/>
          </w:tcPr>
          <w:p w14:paraId="75277C70" w14:textId="77777777" w:rsidR="004B0883" w:rsidRDefault="004B0883">
            <w:pPr>
              <w:jc w:val="right"/>
              <w:rPr>
                <w:rFonts w:eastAsia="等线"/>
                <w:color w:val="000000"/>
              </w:rPr>
            </w:pPr>
            <w:r>
              <w:rPr>
                <w:rFonts w:eastAsia="等线"/>
                <w:color w:val="000000"/>
              </w:rPr>
              <w:t>41.61%</w:t>
            </w:r>
          </w:p>
        </w:tc>
        <w:tc>
          <w:tcPr>
            <w:tcW w:w="860" w:type="pct"/>
            <w:tcMar>
              <w:top w:w="0" w:type="dxa"/>
              <w:left w:w="108" w:type="dxa"/>
              <w:bottom w:w="0" w:type="dxa"/>
              <w:right w:w="108" w:type="dxa"/>
            </w:tcMar>
            <w:vAlign w:val="center"/>
          </w:tcPr>
          <w:p w14:paraId="06DDD292" w14:textId="77777777" w:rsidR="004B0883" w:rsidRDefault="004B0883">
            <w:pPr>
              <w:jc w:val="right"/>
              <w:rPr>
                <w:color w:val="000000"/>
              </w:rPr>
            </w:pPr>
            <w:r>
              <w:rPr>
                <w:rFonts w:eastAsia="等线"/>
                <w:color w:val="000000"/>
              </w:rPr>
              <w:t>39.09%</w:t>
            </w:r>
          </w:p>
        </w:tc>
        <w:tc>
          <w:tcPr>
            <w:tcW w:w="858" w:type="pct"/>
            <w:tcMar>
              <w:top w:w="0" w:type="dxa"/>
              <w:left w:w="108" w:type="dxa"/>
              <w:bottom w:w="0" w:type="dxa"/>
              <w:right w:w="108" w:type="dxa"/>
            </w:tcMar>
            <w:vAlign w:val="center"/>
          </w:tcPr>
          <w:p w14:paraId="06E3E483" w14:textId="77777777" w:rsidR="004B0883" w:rsidRDefault="004B0883">
            <w:pPr>
              <w:jc w:val="right"/>
              <w:rPr>
                <w:color w:val="000000"/>
              </w:rPr>
            </w:pPr>
            <w:r>
              <w:rPr>
                <w:rFonts w:eastAsia="等线"/>
                <w:color w:val="000000"/>
              </w:rPr>
              <w:t>36.12%</w:t>
            </w:r>
          </w:p>
        </w:tc>
        <w:tc>
          <w:tcPr>
            <w:tcW w:w="859" w:type="pct"/>
            <w:tcMar>
              <w:top w:w="0" w:type="dxa"/>
              <w:left w:w="108" w:type="dxa"/>
              <w:bottom w:w="0" w:type="dxa"/>
              <w:right w:w="108" w:type="dxa"/>
            </w:tcMar>
            <w:vAlign w:val="center"/>
          </w:tcPr>
          <w:p w14:paraId="6FC23547" w14:textId="77777777" w:rsidR="004B0883" w:rsidRDefault="004B0883">
            <w:pPr>
              <w:jc w:val="right"/>
              <w:rPr>
                <w:color w:val="000000"/>
              </w:rPr>
            </w:pPr>
            <w:r>
              <w:rPr>
                <w:rFonts w:eastAsia="等线"/>
                <w:color w:val="000000"/>
              </w:rPr>
              <w:t>37.56%</w:t>
            </w:r>
          </w:p>
        </w:tc>
      </w:tr>
      <w:tr w:rsidR="004B0883" w14:paraId="32B19210" w14:textId="77777777">
        <w:trPr>
          <w:trHeight w:val="397"/>
          <w:jc w:val="center"/>
        </w:trPr>
        <w:tc>
          <w:tcPr>
            <w:tcW w:w="1476" w:type="pct"/>
            <w:tcMar>
              <w:top w:w="0" w:type="dxa"/>
              <w:left w:w="108" w:type="dxa"/>
              <w:bottom w:w="0" w:type="dxa"/>
              <w:right w:w="108" w:type="dxa"/>
            </w:tcMar>
            <w:vAlign w:val="center"/>
          </w:tcPr>
          <w:p w14:paraId="1D1CC47A" w14:textId="77777777" w:rsidR="004B0883" w:rsidRDefault="004B0883">
            <w:pPr>
              <w:jc w:val="center"/>
              <w:rPr>
                <w:color w:val="000000"/>
              </w:rPr>
            </w:pPr>
            <w:r>
              <w:rPr>
                <w:color w:val="000000"/>
              </w:rPr>
              <w:t>过滤器销售</w:t>
            </w:r>
          </w:p>
        </w:tc>
        <w:tc>
          <w:tcPr>
            <w:tcW w:w="947" w:type="pct"/>
            <w:tcMar>
              <w:top w:w="0" w:type="dxa"/>
              <w:left w:w="108" w:type="dxa"/>
              <w:bottom w:w="0" w:type="dxa"/>
              <w:right w:w="108" w:type="dxa"/>
            </w:tcMar>
            <w:vAlign w:val="center"/>
          </w:tcPr>
          <w:p w14:paraId="73AA41DA" w14:textId="77777777" w:rsidR="004B0883" w:rsidRDefault="004B0883">
            <w:pPr>
              <w:jc w:val="right"/>
              <w:rPr>
                <w:rFonts w:eastAsia="等线"/>
                <w:color w:val="000000"/>
              </w:rPr>
            </w:pPr>
            <w:r>
              <w:rPr>
                <w:rFonts w:eastAsia="等线"/>
                <w:color w:val="000000"/>
              </w:rPr>
              <w:t>28.97%</w:t>
            </w:r>
          </w:p>
        </w:tc>
        <w:tc>
          <w:tcPr>
            <w:tcW w:w="860" w:type="pct"/>
            <w:tcMar>
              <w:top w:w="0" w:type="dxa"/>
              <w:left w:w="108" w:type="dxa"/>
              <w:bottom w:w="0" w:type="dxa"/>
              <w:right w:w="108" w:type="dxa"/>
            </w:tcMar>
            <w:vAlign w:val="center"/>
          </w:tcPr>
          <w:p w14:paraId="65AD379D" w14:textId="77777777" w:rsidR="004B0883" w:rsidRDefault="004B0883">
            <w:pPr>
              <w:jc w:val="right"/>
              <w:rPr>
                <w:color w:val="000000"/>
              </w:rPr>
            </w:pPr>
            <w:r>
              <w:rPr>
                <w:rFonts w:eastAsia="等线"/>
                <w:color w:val="000000"/>
              </w:rPr>
              <w:t>41.47%</w:t>
            </w:r>
          </w:p>
        </w:tc>
        <w:tc>
          <w:tcPr>
            <w:tcW w:w="858" w:type="pct"/>
            <w:tcMar>
              <w:top w:w="0" w:type="dxa"/>
              <w:left w:w="108" w:type="dxa"/>
              <w:bottom w:w="0" w:type="dxa"/>
              <w:right w:w="108" w:type="dxa"/>
            </w:tcMar>
            <w:vAlign w:val="center"/>
          </w:tcPr>
          <w:p w14:paraId="413B5FC5" w14:textId="77777777" w:rsidR="004B0883" w:rsidRDefault="004B0883">
            <w:pPr>
              <w:jc w:val="right"/>
              <w:rPr>
                <w:color w:val="000000"/>
              </w:rPr>
            </w:pPr>
            <w:r>
              <w:rPr>
                <w:rFonts w:eastAsia="等线"/>
                <w:color w:val="000000"/>
              </w:rPr>
              <w:t>36.62%</w:t>
            </w:r>
          </w:p>
        </w:tc>
        <w:tc>
          <w:tcPr>
            <w:tcW w:w="859" w:type="pct"/>
            <w:tcMar>
              <w:top w:w="0" w:type="dxa"/>
              <w:left w:w="108" w:type="dxa"/>
              <w:bottom w:w="0" w:type="dxa"/>
              <w:right w:w="108" w:type="dxa"/>
            </w:tcMar>
            <w:vAlign w:val="center"/>
          </w:tcPr>
          <w:p w14:paraId="1DD5EB53" w14:textId="77777777" w:rsidR="004B0883" w:rsidRDefault="004B0883">
            <w:pPr>
              <w:jc w:val="right"/>
              <w:rPr>
                <w:color w:val="000000"/>
              </w:rPr>
            </w:pPr>
            <w:r>
              <w:rPr>
                <w:rFonts w:eastAsia="等线"/>
                <w:color w:val="000000"/>
              </w:rPr>
              <w:t>35.07%</w:t>
            </w:r>
          </w:p>
        </w:tc>
      </w:tr>
      <w:tr w:rsidR="004B0883" w14:paraId="0DA339CA" w14:textId="77777777">
        <w:trPr>
          <w:trHeight w:val="397"/>
          <w:jc w:val="center"/>
        </w:trPr>
        <w:tc>
          <w:tcPr>
            <w:tcW w:w="1476" w:type="pct"/>
            <w:tcMar>
              <w:top w:w="0" w:type="dxa"/>
              <w:left w:w="108" w:type="dxa"/>
              <w:bottom w:w="0" w:type="dxa"/>
              <w:right w:w="108" w:type="dxa"/>
            </w:tcMar>
            <w:vAlign w:val="center"/>
          </w:tcPr>
          <w:p w14:paraId="613D5184" w14:textId="77777777" w:rsidR="004B0883" w:rsidRDefault="004B0883">
            <w:pPr>
              <w:jc w:val="center"/>
              <w:rPr>
                <w:color w:val="000000"/>
              </w:rPr>
            </w:pPr>
            <w:r>
              <w:rPr>
                <w:color w:val="000000"/>
              </w:rPr>
              <w:t>阀门零件及管件销售</w:t>
            </w:r>
          </w:p>
        </w:tc>
        <w:tc>
          <w:tcPr>
            <w:tcW w:w="947" w:type="pct"/>
            <w:tcMar>
              <w:top w:w="0" w:type="dxa"/>
              <w:left w:w="108" w:type="dxa"/>
              <w:bottom w:w="0" w:type="dxa"/>
              <w:right w:w="108" w:type="dxa"/>
            </w:tcMar>
            <w:vAlign w:val="center"/>
          </w:tcPr>
          <w:p w14:paraId="086D2FC4" w14:textId="77777777" w:rsidR="004B0883" w:rsidRDefault="004B0883">
            <w:pPr>
              <w:jc w:val="right"/>
              <w:rPr>
                <w:rFonts w:eastAsia="等线"/>
                <w:color w:val="000000"/>
              </w:rPr>
            </w:pPr>
            <w:r>
              <w:rPr>
                <w:rFonts w:eastAsia="等线"/>
                <w:color w:val="000000"/>
              </w:rPr>
              <w:t>38.10%</w:t>
            </w:r>
          </w:p>
        </w:tc>
        <w:tc>
          <w:tcPr>
            <w:tcW w:w="860" w:type="pct"/>
            <w:tcMar>
              <w:top w:w="0" w:type="dxa"/>
              <w:left w:w="108" w:type="dxa"/>
              <w:bottom w:w="0" w:type="dxa"/>
              <w:right w:w="108" w:type="dxa"/>
            </w:tcMar>
            <w:vAlign w:val="center"/>
          </w:tcPr>
          <w:p w14:paraId="5FCE1A83" w14:textId="77777777" w:rsidR="004B0883" w:rsidRDefault="004B0883">
            <w:pPr>
              <w:jc w:val="right"/>
              <w:rPr>
                <w:color w:val="000000"/>
              </w:rPr>
            </w:pPr>
            <w:r>
              <w:rPr>
                <w:rFonts w:eastAsia="等线"/>
                <w:color w:val="000000"/>
              </w:rPr>
              <w:t>33.30%</w:t>
            </w:r>
          </w:p>
        </w:tc>
        <w:tc>
          <w:tcPr>
            <w:tcW w:w="858" w:type="pct"/>
            <w:tcMar>
              <w:top w:w="0" w:type="dxa"/>
              <w:left w:w="108" w:type="dxa"/>
              <w:bottom w:w="0" w:type="dxa"/>
              <w:right w:w="108" w:type="dxa"/>
            </w:tcMar>
            <w:vAlign w:val="center"/>
          </w:tcPr>
          <w:p w14:paraId="00DC0928" w14:textId="77777777" w:rsidR="004B0883" w:rsidRDefault="004B0883">
            <w:pPr>
              <w:jc w:val="right"/>
              <w:rPr>
                <w:color w:val="000000"/>
              </w:rPr>
            </w:pPr>
            <w:r>
              <w:rPr>
                <w:rFonts w:eastAsia="等线"/>
                <w:color w:val="000000"/>
              </w:rPr>
              <w:t>36.28%</w:t>
            </w:r>
          </w:p>
        </w:tc>
        <w:tc>
          <w:tcPr>
            <w:tcW w:w="859" w:type="pct"/>
            <w:tcMar>
              <w:top w:w="0" w:type="dxa"/>
              <w:left w:w="108" w:type="dxa"/>
              <w:bottom w:w="0" w:type="dxa"/>
              <w:right w:w="108" w:type="dxa"/>
            </w:tcMar>
            <w:vAlign w:val="center"/>
          </w:tcPr>
          <w:p w14:paraId="1457F6C9" w14:textId="77777777" w:rsidR="004B0883" w:rsidRDefault="004B0883">
            <w:pPr>
              <w:jc w:val="right"/>
              <w:rPr>
                <w:color w:val="000000"/>
              </w:rPr>
            </w:pPr>
            <w:r>
              <w:rPr>
                <w:rFonts w:eastAsia="等线"/>
                <w:color w:val="000000"/>
              </w:rPr>
              <w:t>33.60%</w:t>
            </w:r>
          </w:p>
        </w:tc>
      </w:tr>
      <w:tr w:rsidR="004B0883" w14:paraId="47294E0A" w14:textId="77777777">
        <w:trPr>
          <w:trHeight w:val="397"/>
          <w:jc w:val="center"/>
        </w:trPr>
        <w:tc>
          <w:tcPr>
            <w:tcW w:w="1476" w:type="pct"/>
            <w:tcMar>
              <w:top w:w="0" w:type="dxa"/>
              <w:left w:w="108" w:type="dxa"/>
              <w:bottom w:w="0" w:type="dxa"/>
              <w:right w:w="108" w:type="dxa"/>
            </w:tcMar>
            <w:vAlign w:val="center"/>
          </w:tcPr>
          <w:p w14:paraId="49ECC546" w14:textId="77777777" w:rsidR="004B0883" w:rsidRDefault="004B0883">
            <w:pPr>
              <w:jc w:val="center"/>
              <w:rPr>
                <w:color w:val="000000"/>
              </w:rPr>
            </w:pPr>
            <w:r>
              <w:rPr>
                <w:color w:val="000000"/>
              </w:rPr>
              <w:t>汽车配件及其他</w:t>
            </w:r>
          </w:p>
        </w:tc>
        <w:tc>
          <w:tcPr>
            <w:tcW w:w="947" w:type="pct"/>
            <w:tcMar>
              <w:top w:w="0" w:type="dxa"/>
              <w:left w:w="108" w:type="dxa"/>
              <w:bottom w:w="0" w:type="dxa"/>
              <w:right w:w="108" w:type="dxa"/>
            </w:tcMar>
            <w:vAlign w:val="center"/>
          </w:tcPr>
          <w:p w14:paraId="1B58EA2F" w14:textId="77777777" w:rsidR="004B0883" w:rsidRDefault="004B0883">
            <w:pPr>
              <w:jc w:val="right"/>
              <w:rPr>
                <w:rFonts w:eastAsia="等线"/>
                <w:color w:val="000000"/>
              </w:rPr>
            </w:pPr>
            <w:r>
              <w:rPr>
                <w:rFonts w:eastAsia="等线"/>
                <w:color w:val="000000"/>
              </w:rPr>
              <w:t>-26.64%</w:t>
            </w:r>
          </w:p>
        </w:tc>
        <w:tc>
          <w:tcPr>
            <w:tcW w:w="860" w:type="pct"/>
            <w:tcMar>
              <w:top w:w="0" w:type="dxa"/>
              <w:left w:w="108" w:type="dxa"/>
              <w:bottom w:w="0" w:type="dxa"/>
              <w:right w:w="108" w:type="dxa"/>
            </w:tcMar>
            <w:vAlign w:val="center"/>
          </w:tcPr>
          <w:p w14:paraId="3D1CBD7A" w14:textId="77777777" w:rsidR="004B0883" w:rsidRDefault="004B0883">
            <w:pPr>
              <w:jc w:val="right"/>
              <w:rPr>
                <w:color w:val="000000"/>
              </w:rPr>
            </w:pPr>
            <w:r>
              <w:rPr>
                <w:rFonts w:eastAsia="等线"/>
                <w:color w:val="000000"/>
              </w:rPr>
              <w:t>-15.12%</w:t>
            </w:r>
          </w:p>
        </w:tc>
        <w:tc>
          <w:tcPr>
            <w:tcW w:w="858" w:type="pct"/>
            <w:tcMar>
              <w:top w:w="0" w:type="dxa"/>
              <w:left w:w="108" w:type="dxa"/>
              <w:bottom w:w="0" w:type="dxa"/>
              <w:right w:w="108" w:type="dxa"/>
            </w:tcMar>
            <w:vAlign w:val="center"/>
          </w:tcPr>
          <w:p w14:paraId="129DD833" w14:textId="77777777" w:rsidR="004B0883" w:rsidRDefault="004B0883">
            <w:pPr>
              <w:jc w:val="right"/>
              <w:rPr>
                <w:color w:val="000000"/>
              </w:rPr>
            </w:pPr>
            <w:r>
              <w:rPr>
                <w:rFonts w:eastAsia="等线"/>
                <w:color w:val="000000"/>
              </w:rPr>
              <w:t>-12.21%</w:t>
            </w:r>
          </w:p>
        </w:tc>
        <w:tc>
          <w:tcPr>
            <w:tcW w:w="859" w:type="pct"/>
            <w:tcMar>
              <w:top w:w="0" w:type="dxa"/>
              <w:left w:w="108" w:type="dxa"/>
              <w:bottom w:w="0" w:type="dxa"/>
              <w:right w:w="108" w:type="dxa"/>
            </w:tcMar>
            <w:vAlign w:val="center"/>
          </w:tcPr>
          <w:p w14:paraId="4C7BDF10" w14:textId="77777777" w:rsidR="004B0883" w:rsidRDefault="004B0883">
            <w:pPr>
              <w:jc w:val="right"/>
              <w:rPr>
                <w:color w:val="000000"/>
              </w:rPr>
            </w:pPr>
            <w:r>
              <w:rPr>
                <w:rFonts w:eastAsia="等线"/>
                <w:color w:val="000000"/>
              </w:rPr>
              <w:t>-10.73%</w:t>
            </w:r>
          </w:p>
        </w:tc>
      </w:tr>
    </w:tbl>
    <w:p w14:paraId="16A3BEAF" w14:textId="77777777" w:rsidR="004B0883" w:rsidRDefault="004B0883">
      <w:pPr>
        <w:pStyle w:val="005"/>
        <w:spacing w:before="120"/>
        <w:ind w:firstLine="480"/>
      </w:pPr>
      <w:r>
        <w:t>报告期各期，公司营业收入主要来源于阀门销售，报告期各期公司阀门销售收入占主营业务收入的比例分别为</w:t>
      </w:r>
      <w:r>
        <w:t>80.40%</w:t>
      </w:r>
      <w:r>
        <w:t>、</w:t>
      </w:r>
      <w:r>
        <w:t>78.81%</w:t>
      </w:r>
      <w:r>
        <w:t>、</w:t>
      </w:r>
      <w:r>
        <w:t>83.38%</w:t>
      </w:r>
      <w:r>
        <w:t>和</w:t>
      </w:r>
      <w:r>
        <w:t>83.20%</w:t>
      </w:r>
      <w:r>
        <w:t>，因此，公司主营业务毛利率水平主要受阀门销售业务毛利率变化的影响。</w:t>
      </w:r>
    </w:p>
    <w:p w14:paraId="22D70C61" w14:textId="77777777" w:rsidR="004B0883" w:rsidRDefault="004B0883">
      <w:pPr>
        <w:pStyle w:val="005"/>
        <w:spacing w:before="120"/>
        <w:ind w:firstLine="480"/>
      </w:pPr>
      <w:r>
        <w:t>报告期各期，发行人阀门产品的销量、单位售价、单位成本和毛利率情况如下：</w:t>
      </w:r>
    </w:p>
    <w:tbl>
      <w:tblPr>
        <w:tblW w:w="5138"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947"/>
        <w:gridCol w:w="1389"/>
        <w:gridCol w:w="1392"/>
        <w:gridCol w:w="1392"/>
        <w:gridCol w:w="1389"/>
      </w:tblGrid>
      <w:tr w:rsidR="004B0883" w14:paraId="40C5707B" w14:textId="77777777">
        <w:trPr>
          <w:trHeight w:val="397"/>
          <w:tblHeader/>
          <w:jc w:val="center"/>
        </w:trPr>
        <w:tc>
          <w:tcPr>
            <w:tcW w:w="1732" w:type="pct"/>
            <w:shd w:val="clear" w:color="auto" w:fill="D9D9D9"/>
            <w:tcMar>
              <w:top w:w="0" w:type="dxa"/>
              <w:left w:w="108" w:type="dxa"/>
              <w:bottom w:w="0" w:type="dxa"/>
              <w:right w:w="108" w:type="dxa"/>
            </w:tcMar>
            <w:vAlign w:val="center"/>
          </w:tcPr>
          <w:p w14:paraId="2F029FAF" w14:textId="77777777" w:rsidR="004B0883" w:rsidRDefault="004B0883">
            <w:pPr>
              <w:jc w:val="center"/>
              <w:rPr>
                <w:b/>
                <w:color w:val="000000"/>
              </w:rPr>
            </w:pPr>
            <w:r>
              <w:rPr>
                <w:b/>
                <w:color w:val="000000"/>
              </w:rPr>
              <w:t>项目</w:t>
            </w:r>
          </w:p>
        </w:tc>
        <w:tc>
          <w:tcPr>
            <w:tcW w:w="816" w:type="pct"/>
            <w:shd w:val="clear" w:color="auto" w:fill="D9D9D9"/>
            <w:tcMar>
              <w:top w:w="0" w:type="dxa"/>
              <w:left w:w="108" w:type="dxa"/>
              <w:bottom w:w="0" w:type="dxa"/>
              <w:right w:w="108" w:type="dxa"/>
            </w:tcMar>
            <w:vAlign w:val="center"/>
          </w:tcPr>
          <w:p w14:paraId="12B4CA21" w14:textId="77777777" w:rsidR="004B0883" w:rsidRDefault="004B0883">
            <w:pPr>
              <w:jc w:val="center"/>
              <w:rPr>
                <w:b/>
                <w:color w:val="000000"/>
              </w:rPr>
            </w:pPr>
            <w:r>
              <w:rPr>
                <w:b/>
                <w:color w:val="000000"/>
              </w:rPr>
              <w:t>2023</w:t>
            </w:r>
            <w:r>
              <w:rPr>
                <w:b/>
                <w:color w:val="000000"/>
              </w:rPr>
              <w:t>年</w:t>
            </w:r>
          </w:p>
          <w:p w14:paraId="3CBB0764" w14:textId="77777777" w:rsidR="004B0883" w:rsidRDefault="004B0883">
            <w:pPr>
              <w:jc w:val="center"/>
              <w:rPr>
                <w:b/>
                <w:color w:val="000000"/>
              </w:rPr>
            </w:pPr>
            <w:r>
              <w:rPr>
                <w:b/>
                <w:color w:val="000000"/>
              </w:rPr>
              <w:t>1-9</w:t>
            </w:r>
            <w:r>
              <w:rPr>
                <w:b/>
                <w:color w:val="000000"/>
              </w:rPr>
              <w:t>月</w:t>
            </w:r>
          </w:p>
        </w:tc>
        <w:tc>
          <w:tcPr>
            <w:tcW w:w="818" w:type="pct"/>
            <w:shd w:val="clear" w:color="auto" w:fill="D9D9D9"/>
            <w:tcMar>
              <w:top w:w="0" w:type="dxa"/>
              <w:left w:w="108" w:type="dxa"/>
              <w:bottom w:w="0" w:type="dxa"/>
              <w:right w:w="108" w:type="dxa"/>
            </w:tcMar>
            <w:vAlign w:val="center"/>
          </w:tcPr>
          <w:p w14:paraId="6E175207" w14:textId="77777777" w:rsidR="004B0883" w:rsidRDefault="004B0883">
            <w:pPr>
              <w:jc w:val="center"/>
              <w:rPr>
                <w:b/>
                <w:color w:val="000000"/>
              </w:rPr>
            </w:pPr>
            <w:r>
              <w:rPr>
                <w:b/>
                <w:color w:val="000000"/>
              </w:rPr>
              <w:t>2022</w:t>
            </w:r>
            <w:r>
              <w:rPr>
                <w:b/>
                <w:color w:val="000000"/>
              </w:rPr>
              <w:t>年度</w:t>
            </w:r>
          </w:p>
        </w:tc>
        <w:tc>
          <w:tcPr>
            <w:tcW w:w="818" w:type="pct"/>
            <w:shd w:val="clear" w:color="auto" w:fill="D9D9D9"/>
            <w:tcMar>
              <w:top w:w="0" w:type="dxa"/>
              <w:left w:w="108" w:type="dxa"/>
              <w:bottom w:w="0" w:type="dxa"/>
              <w:right w:w="108" w:type="dxa"/>
            </w:tcMar>
            <w:vAlign w:val="center"/>
          </w:tcPr>
          <w:p w14:paraId="0FB2DA6C" w14:textId="77777777" w:rsidR="004B0883" w:rsidRDefault="004B0883">
            <w:pPr>
              <w:jc w:val="center"/>
              <w:rPr>
                <w:b/>
                <w:color w:val="000000"/>
              </w:rPr>
            </w:pPr>
            <w:r>
              <w:rPr>
                <w:b/>
                <w:color w:val="000000"/>
              </w:rPr>
              <w:t>2021</w:t>
            </w:r>
            <w:r>
              <w:rPr>
                <w:b/>
                <w:color w:val="000000"/>
              </w:rPr>
              <w:t>年度</w:t>
            </w:r>
          </w:p>
        </w:tc>
        <w:tc>
          <w:tcPr>
            <w:tcW w:w="816" w:type="pct"/>
            <w:shd w:val="clear" w:color="auto" w:fill="D9D9D9"/>
            <w:tcMar>
              <w:top w:w="0" w:type="dxa"/>
              <w:left w:w="108" w:type="dxa"/>
              <w:bottom w:w="0" w:type="dxa"/>
              <w:right w:w="108" w:type="dxa"/>
            </w:tcMar>
            <w:vAlign w:val="center"/>
          </w:tcPr>
          <w:p w14:paraId="5B7208B8" w14:textId="77777777" w:rsidR="004B0883" w:rsidRDefault="004B0883">
            <w:pPr>
              <w:jc w:val="center"/>
              <w:rPr>
                <w:b/>
                <w:color w:val="000000"/>
              </w:rPr>
            </w:pPr>
            <w:r>
              <w:rPr>
                <w:b/>
                <w:color w:val="000000"/>
              </w:rPr>
              <w:t>2020</w:t>
            </w:r>
            <w:r>
              <w:rPr>
                <w:b/>
                <w:color w:val="000000"/>
              </w:rPr>
              <w:t>年度</w:t>
            </w:r>
          </w:p>
        </w:tc>
      </w:tr>
      <w:tr w:rsidR="004B0883" w14:paraId="25E3F6A4" w14:textId="77777777">
        <w:trPr>
          <w:trHeight w:val="397"/>
          <w:jc w:val="center"/>
        </w:trPr>
        <w:tc>
          <w:tcPr>
            <w:tcW w:w="1732" w:type="pct"/>
            <w:tcMar>
              <w:top w:w="0" w:type="dxa"/>
              <w:left w:w="108" w:type="dxa"/>
              <w:bottom w:w="0" w:type="dxa"/>
              <w:right w:w="108" w:type="dxa"/>
            </w:tcMar>
            <w:vAlign w:val="center"/>
          </w:tcPr>
          <w:p w14:paraId="7178FF43" w14:textId="77777777" w:rsidR="004B0883" w:rsidRDefault="004B0883">
            <w:pPr>
              <w:rPr>
                <w:color w:val="000000"/>
              </w:rPr>
            </w:pPr>
            <w:r>
              <w:rPr>
                <w:color w:val="000000"/>
              </w:rPr>
              <w:t>阀门销售收入（万元）</w:t>
            </w:r>
            <w:r>
              <w:rPr>
                <w:rFonts w:ascii="宋体" w:hAnsi="宋体" w:cs="宋体" w:hint="eastAsia"/>
                <w:color w:val="000000"/>
              </w:rPr>
              <w:t>①</w:t>
            </w:r>
          </w:p>
        </w:tc>
        <w:tc>
          <w:tcPr>
            <w:tcW w:w="816" w:type="pct"/>
            <w:tcMar>
              <w:top w:w="0" w:type="dxa"/>
              <w:left w:w="108" w:type="dxa"/>
              <w:bottom w:w="0" w:type="dxa"/>
              <w:right w:w="108" w:type="dxa"/>
            </w:tcMar>
            <w:vAlign w:val="center"/>
          </w:tcPr>
          <w:p w14:paraId="49E5B2B6" w14:textId="77777777" w:rsidR="004B0883" w:rsidRDefault="004B0883">
            <w:pPr>
              <w:jc w:val="right"/>
              <w:rPr>
                <w:rFonts w:eastAsia="等线"/>
                <w:color w:val="000000"/>
                <w:kern w:val="0"/>
              </w:rPr>
            </w:pPr>
            <w:r>
              <w:rPr>
                <w:rFonts w:eastAsia="等线"/>
                <w:color w:val="000000"/>
              </w:rPr>
              <w:t>33,015.89</w:t>
            </w:r>
          </w:p>
        </w:tc>
        <w:tc>
          <w:tcPr>
            <w:tcW w:w="818" w:type="pct"/>
            <w:tcMar>
              <w:top w:w="0" w:type="dxa"/>
              <w:left w:w="108" w:type="dxa"/>
              <w:bottom w:w="0" w:type="dxa"/>
              <w:right w:w="108" w:type="dxa"/>
            </w:tcMar>
            <w:vAlign w:val="center"/>
          </w:tcPr>
          <w:p w14:paraId="0C05D63F" w14:textId="77777777" w:rsidR="004B0883" w:rsidRDefault="004B0883">
            <w:pPr>
              <w:jc w:val="right"/>
              <w:rPr>
                <w:color w:val="000000"/>
              </w:rPr>
            </w:pPr>
            <w:r>
              <w:rPr>
                <w:color w:val="000000"/>
              </w:rPr>
              <w:t>44,605.52</w:t>
            </w:r>
          </w:p>
        </w:tc>
        <w:tc>
          <w:tcPr>
            <w:tcW w:w="818" w:type="pct"/>
            <w:tcMar>
              <w:top w:w="0" w:type="dxa"/>
              <w:left w:w="108" w:type="dxa"/>
              <w:bottom w:w="0" w:type="dxa"/>
              <w:right w:w="108" w:type="dxa"/>
            </w:tcMar>
            <w:vAlign w:val="center"/>
          </w:tcPr>
          <w:p w14:paraId="56F8F877" w14:textId="77777777" w:rsidR="004B0883" w:rsidRDefault="004B0883">
            <w:pPr>
              <w:jc w:val="right"/>
              <w:rPr>
                <w:color w:val="000000"/>
              </w:rPr>
            </w:pPr>
            <w:r>
              <w:rPr>
                <w:color w:val="000000"/>
              </w:rPr>
              <w:t>32,449.93</w:t>
            </w:r>
          </w:p>
        </w:tc>
        <w:tc>
          <w:tcPr>
            <w:tcW w:w="816" w:type="pct"/>
            <w:tcMar>
              <w:top w:w="0" w:type="dxa"/>
              <w:left w:w="108" w:type="dxa"/>
              <w:bottom w:w="0" w:type="dxa"/>
              <w:right w:w="108" w:type="dxa"/>
            </w:tcMar>
            <w:vAlign w:val="center"/>
          </w:tcPr>
          <w:p w14:paraId="2860D54F" w14:textId="77777777" w:rsidR="004B0883" w:rsidRDefault="004B0883">
            <w:pPr>
              <w:jc w:val="right"/>
              <w:rPr>
                <w:color w:val="000000"/>
              </w:rPr>
            </w:pPr>
            <w:r>
              <w:rPr>
                <w:color w:val="000000"/>
              </w:rPr>
              <w:t>27,606.93</w:t>
            </w:r>
          </w:p>
        </w:tc>
      </w:tr>
      <w:tr w:rsidR="004B0883" w14:paraId="27F16759" w14:textId="77777777">
        <w:trPr>
          <w:trHeight w:val="397"/>
          <w:jc w:val="center"/>
        </w:trPr>
        <w:tc>
          <w:tcPr>
            <w:tcW w:w="1732" w:type="pct"/>
            <w:tcMar>
              <w:top w:w="0" w:type="dxa"/>
              <w:left w:w="108" w:type="dxa"/>
              <w:bottom w:w="0" w:type="dxa"/>
              <w:right w:w="108" w:type="dxa"/>
            </w:tcMar>
            <w:vAlign w:val="center"/>
          </w:tcPr>
          <w:p w14:paraId="3579BB3C" w14:textId="77777777" w:rsidR="004B0883" w:rsidRDefault="004B0883">
            <w:pPr>
              <w:rPr>
                <w:color w:val="000000"/>
              </w:rPr>
            </w:pPr>
            <w:r>
              <w:rPr>
                <w:color w:val="000000"/>
              </w:rPr>
              <w:t>阀门业务销售成本（万元）</w:t>
            </w:r>
            <w:r>
              <w:rPr>
                <w:rFonts w:ascii="宋体" w:hAnsi="宋体" w:cs="宋体" w:hint="eastAsia"/>
                <w:color w:val="000000"/>
              </w:rPr>
              <w:t>②</w:t>
            </w:r>
          </w:p>
        </w:tc>
        <w:tc>
          <w:tcPr>
            <w:tcW w:w="816" w:type="pct"/>
            <w:tcMar>
              <w:top w:w="0" w:type="dxa"/>
              <w:left w:w="108" w:type="dxa"/>
              <w:bottom w:w="0" w:type="dxa"/>
              <w:right w:w="108" w:type="dxa"/>
            </w:tcMar>
            <w:vAlign w:val="center"/>
          </w:tcPr>
          <w:p w14:paraId="1A10B57B" w14:textId="77777777" w:rsidR="004B0883" w:rsidRDefault="004B0883">
            <w:pPr>
              <w:jc w:val="right"/>
              <w:rPr>
                <w:rFonts w:eastAsia="等线"/>
                <w:color w:val="000000"/>
              </w:rPr>
            </w:pPr>
            <w:r>
              <w:rPr>
                <w:rFonts w:eastAsia="等线"/>
                <w:color w:val="000000"/>
              </w:rPr>
              <w:t>19,279.39</w:t>
            </w:r>
          </w:p>
        </w:tc>
        <w:tc>
          <w:tcPr>
            <w:tcW w:w="818" w:type="pct"/>
            <w:tcMar>
              <w:top w:w="0" w:type="dxa"/>
              <w:left w:w="108" w:type="dxa"/>
              <w:bottom w:w="0" w:type="dxa"/>
              <w:right w:w="108" w:type="dxa"/>
            </w:tcMar>
            <w:vAlign w:val="center"/>
          </w:tcPr>
          <w:p w14:paraId="0E0EEA81" w14:textId="77777777" w:rsidR="004B0883" w:rsidRDefault="004B0883">
            <w:pPr>
              <w:jc w:val="right"/>
              <w:rPr>
                <w:color w:val="000000"/>
              </w:rPr>
            </w:pPr>
            <w:r>
              <w:rPr>
                <w:color w:val="000000"/>
              </w:rPr>
              <w:t>27,169.79</w:t>
            </w:r>
          </w:p>
        </w:tc>
        <w:tc>
          <w:tcPr>
            <w:tcW w:w="818" w:type="pct"/>
            <w:tcMar>
              <w:top w:w="0" w:type="dxa"/>
              <w:left w:w="108" w:type="dxa"/>
              <w:bottom w:w="0" w:type="dxa"/>
              <w:right w:w="108" w:type="dxa"/>
            </w:tcMar>
            <w:vAlign w:val="center"/>
          </w:tcPr>
          <w:p w14:paraId="6D4720E4" w14:textId="77777777" w:rsidR="004B0883" w:rsidRDefault="004B0883">
            <w:pPr>
              <w:jc w:val="right"/>
              <w:rPr>
                <w:color w:val="000000"/>
              </w:rPr>
            </w:pPr>
            <w:r>
              <w:rPr>
                <w:color w:val="000000"/>
              </w:rPr>
              <w:t>20,729.86</w:t>
            </w:r>
          </w:p>
        </w:tc>
        <w:tc>
          <w:tcPr>
            <w:tcW w:w="816" w:type="pct"/>
            <w:tcMar>
              <w:top w:w="0" w:type="dxa"/>
              <w:left w:w="108" w:type="dxa"/>
              <w:bottom w:w="0" w:type="dxa"/>
              <w:right w:w="108" w:type="dxa"/>
            </w:tcMar>
            <w:vAlign w:val="center"/>
          </w:tcPr>
          <w:p w14:paraId="5CC5B659" w14:textId="77777777" w:rsidR="004B0883" w:rsidRDefault="004B0883">
            <w:pPr>
              <w:jc w:val="right"/>
              <w:rPr>
                <w:color w:val="000000"/>
              </w:rPr>
            </w:pPr>
            <w:r>
              <w:rPr>
                <w:color w:val="000000"/>
              </w:rPr>
              <w:t>17,236.72</w:t>
            </w:r>
          </w:p>
        </w:tc>
      </w:tr>
      <w:tr w:rsidR="004B0883" w14:paraId="5D4BEEA4" w14:textId="77777777">
        <w:trPr>
          <w:trHeight w:val="397"/>
          <w:jc w:val="center"/>
        </w:trPr>
        <w:tc>
          <w:tcPr>
            <w:tcW w:w="1732" w:type="pct"/>
            <w:tcMar>
              <w:top w:w="0" w:type="dxa"/>
              <w:left w:w="108" w:type="dxa"/>
              <w:bottom w:w="0" w:type="dxa"/>
              <w:right w:w="108" w:type="dxa"/>
            </w:tcMar>
            <w:vAlign w:val="center"/>
          </w:tcPr>
          <w:p w14:paraId="73169433" w14:textId="77777777" w:rsidR="004B0883" w:rsidRDefault="004B0883">
            <w:pPr>
              <w:rPr>
                <w:color w:val="000000"/>
              </w:rPr>
            </w:pPr>
            <w:r>
              <w:rPr>
                <w:color w:val="000000"/>
              </w:rPr>
              <w:t>销量（万套）</w:t>
            </w:r>
            <w:r>
              <w:rPr>
                <w:rFonts w:ascii="宋体" w:hAnsi="宋体" w:cs="宋体" w:hint="eastAsia"/>
                <w:color w:val="000000"/>
              </w:rPr>
              <w:t>③</w:t>
            </w:r>
          </w:p>
        </w:tc>
        <w:tc>
          <w:tcPr>
            <w:tcW w:w="816" w:type="pct"/>
            <w:tcMar>
              <w:top w:w="0" w:type="dxa"/>
              <w:left w:w="108" w:type="dxa"/>
              <w:bottom w:w="0" w:type="dxa"/>
              <w:right w:w="108" w:type="dxa"/>
            </w:tcMar>
            <w:vAlign w:val="center"/>
          </w:tcPr>
          <w:p w14:paraId="444064AF" w14:textId="77777777" w:rsidR="004B0883" w:rsidRDefault="004B0883">
            <w:pPr>
              <w:jc w:val="right"/>
              <w:rPr>
                <w:rFonts w:eastAsia="等线"/>
                <w:color w:val="000000"/>
              </w:rPr>
            </w:pPr>
            <w:r>
              <w:rPr>
                <w:rFonts w:eastAsia="等线"/>
                <w:color w:val="000000"/>
              </w:rPr>
              <w:t>31.82</w:t>
            </w:r>
          </w:p>
        </w:tc>
        <w:tc>
          <w:tcPr>
            <w:tcW w:w="818" w:type="pct"/>
            <w:tcMar>
              <w:top w:w="0" w:type="dxa"/>
              <w:left w:w="108" w:type="dxa"/>
              <w:bottom w:w="0" w:type="dxa"/>
              <w:right w:w="108" w:type="dxa"/>
            </w:tcMar>
            <w:vAlign w:val="center"/>
          </w:tcPr>
          <w:p w14:paraId="756366A9" w14:textId="77777777" w:rsidR="004B0883" w:rsidRDefault="004B0883">
            <w:pPr>
              <w:jc w:val="right"/>
              <w:rPr>
                <w:color w:val="000000"/>
              </w:rPr>
            </w:pPr>
            <w:r>
              <w:rPr>
                <w:color w:val="000000"/>
              </w:rPr>
              <w:t>47.81</w:t>
            </w:r>
          </w:p>
        </w:tc>
        <w:tc>
          <w:tcPr>
            <w:tcW w:w="818" w:type="pct"/>
            <w:tcMar>
              <w:top w:w="0" w:type="dxa"/>
              <w:left w:w="108" w:type="dxa"/>
              <w:bottom w:w="0" w:type="dxa"/>
              <w:right w:w="108" w:type="dxa"/>
            </w:tcMar>
            <w:vAlign w:val="center"/>
          </w:tcPr>
          <w:p w14:paraId="0166607A" w14:textId="77777777" w:rsidR="004B0883" w:rsidRDefault="004B0883">
            <w:pPr>
              <w:jc w:val="right"/>
              <w:rPr>
                <w:color w:val="000000"/>
              </w:rPr>
            </w:pPr>
            <w:r>
              <w:rPr>
                <w:color w:val="000000"/>
              </w:rPr>
              <w:t>40.04</w:t>
            </w:r>
          </w:p>
        </w:tc>
        <w:tc>
          <w:tcPr>
            <w:tcW w:w="816" w:type="pct"/>
            <w:tcMar>
              <w:top w:w="0" w:type="dxa"/>
              <w:left w:w="108" w:type="dxa"/>
              <w:bottom w:w="0" w:type="dxa"/>
              <w:right w:w="108" w:type="dxa"/>
            </w:tcMar>
            <w:vAlign w:val="center"/>
          </w:tcPr>
          <w:p w14:paraId="4F8FDE31" w14:textId="77777777" w:rsidR="004B0883" w:rsidRDefault="004B0883">
            <w:pPr>
              <w:jc w:val="right"/>
              <w:rPr>
                <w:color w:val="000000"/>
              </w:rPr>
            </w:pPr>
            <w:r>
              <w:rPr>
                <w:color w:val="000000"/>
              </w:rPr>
              <w:t>40.11</w:t>
            </w:r>
          </w:p>
        </w:tc>
      </w:tr>
      <w:tr w:rsidR="004B0883" w14:paraId="7EA4C35D" w14:textId="77777777">
        <w:trPr>
          <w:trHeight w:val="397"/>
          <w:jc w:val="center"/>
        </w:trPr>
        <w:tc>
          <w:tcPr>
            <w:tcW w:w="1732" w:type="pct"/>
            <w:tcMar>
              <w:top w:w="0" w:type="dxa"/>
              <w:left w:w="108" w:type="dxa"/>
              <w:bottom w:w="0" w:type="dxa"/>
              <w:right w:w="108" w:type="dxa"/>
            </w:tcMar>
            <w:vAlign w:val="center"/>
          </w:tcPr>
          <w:p w14:paraId="450F0403" w14:textId="77777777" w:rsidR="004B0883" w:rsidRDefault="004B0883">
            <w:pPr>
              <w:rPr>
                <w:color w:val="000000"/>
              </w:rPr>
            </w:pPr>
            <w:r>
              <w:rPr>
                <w:color w:val="000000"/>
              </w:rPr>
              <w:t>平均销售单价（元</w:t>
            </w:r>
            <w:r>
              <w:rPr>
                <w:color w:val="000000"/>
              </w:rPr>
              <w:t>/</w:t>
            </w:r>
            <w:r>
              <w:rPr>
                <w:color w:val="000000"/>
              </w:rPr>
              <w:t>套）</w:t>
            </w:r>
            <w:r>
              <w:rPr>
                <w:rFonts w:ascii="宋体" w:hAnsi="宋体" w:cs="宋体" w:hint="eastAsia"/>
                <w:color w:val="000000"/>
              </w:rPr>
              <w:t>④</w:t>
            </w:r>
            <w:r>
              <w:rPr>
                <w:color w:val="000000"/>
              </w:rPr>
              <w:t>（</w:t>
            </w:r>
            <w:r>
              <w:rPr>
                <w:rFonts w:ascii="宋体" w:hAnsi="宋体" w:cs="宋体" w:hint="eastAsia"/>
                <w:color w:val="000000"/>
              </w:rPr>
              <w:t>④</w:t>
            </w:r>
            <w:r>
              <w:rPr>
                <w:color w:val="000000"/>
              </w:rPr>
              <w:t>=</w:t>
            </w:r>
            <w:r>
              <w:rPr>
                <w:rFonts w:ascii="宋体" w:hAnsi="宋体" w:cs="宋体" w:hint="eastAsia"/>
                <w:color w:val="000000"/>
              </w:rPr>
              <w:t>①</w:t>
            </w:r>
            <w:r>
              <w:rPr>
                <w:color w:val="000000"/>
              </w:rPr>
              <w:t>/</w:t>
            </w:r>
            <w:r>
              <w:rPr>
                <w:rFonts w:ascii="宋体" w:hAnsi="宋体" w:cs="宋体" w:hint="eastAsia"/>
                <w:color w:val="000000"/>
              </w:rPr>
              <w:t>③</w:t>
            </w:r>
            <w:r>
              <w:rPr>
                <w:color w:val="000000"/>
              </w:rPr>
              <w:t>）</w:t>
            </w:r>
          </w:p>
        </w:tc>
        <w:tc>
          <w:tcPr>
            <w:tcW w:w="816" w:type="pct"/>
            <w:tcMar>
              <w:top w:w="0" w:type="dxa"/>
              <w:left w:w="108" w:type="dxa"/>
              <w:bottom w:w="0" w:type="dxa"/>
              <w:right w:w="108" w:type="dxa"/>
            </w:tcMar>
            <w:vAlign w:val="center"/>
          </w:tcPr>
          <w:p w14:paraId="6C19B949" w14:textId="77777777" w:rsidR="004B0883" w:rsidRDefault="004B0883">
            <w:pPr>
              <w:jc w:val="right"/>
              <w:rPr>
                <w:rFonts w:eastAsia="等线"/>
                <w:color w:val="000000"/>
              </w:rPr>
            </w:pPr>
            <w:r>
              <w:rPr>
                <w:rFonts w:eastAsia="等线"/>
                <w:color w:val="000000"/>
              </w:rPr>
              <w:t>1,037.60</w:t>
            </w:r>
          </w:p>
        </w:tc>
        <w:tc>
          <w:tcPr>
            <w:tcW w:w="818" w:type="pct"/>
            <w:tcMar>
              <w:top w:w="0" w:type="dxa"/>
              <w:left w:w="108" w:type="dxa"/>
              <w:bottom w:w="0" w:type="dxa"/>
              <w:right w:w="108" w:type="dxa"/>
            </w:tcMar>
            <w:vAlign w:val="center"/>
          </w:tcPr>
          <w:p w14:paraId="31E60953" w14:textId="77777777" w:rsidR="004B0883" w:rsidRDefault="004B0883">
            <w:pPr>
              <w:jc w:val="right"/>
              <w:rPr>
                <w:color w:val="000000"/>
              </w:rPr>
            </w:pPr>
            <w:r>
              <w:rPr>
                <w:color w:val="000000"/>
              </w:rPr>
              <w:t>932.99</w:t>
            </w:r>
          </w:p>
        </w:tc>
        <w:tc>
          <w:tcPr>
            <w:tcW w:w="818" w:type="pct"/>
            <w:tcMar>
              <w:top w:w="0" w:type="dxa"/>
              <w:left w:w="108" w:type="dxa"/>
              <w:bottom w:w="0" w:type="dxa"/>
              <w:right w:w="108" w:type="dxa"/>
            </w:tcMar>
            <w:vAlign w:val="center"/>
          </w:tcPr>
          <w:p w14:paraId="61008CE4" w14:textId="77777777" w:rsidR="004B0883" w:rsidRDefault="004B0883">
            <w:pPr>
              <w:jc w:val="right"/>
              <w:rPr>
                <w:color w:val="000000"/>
              </w:rPr>
            </w:pPr>
            <w:r>
              <w:rPr>
                <w:color w:val="000000"/>
              </w:rPr>
              <w:t>810.34</w:t>
            </w:r>
          </w:p>
        </w:tc>
        <w:tc>
          <w:tcPr>
            <w:tcW w:w="816" w:type="pct"/>
            <w:tcMar>
              <w:top w:w="0" w:type="dxa"/>
              <w:left w:w="108" w:type="dxa"/>
              <w:bottom w:w="0" w:type="dxa"/>
              <w:right w:w="108" w:type="dxa"/>
            </w:tcMar>
            <w:vAlign w:val="center"/>
          </w:tcPr>
          <w:p w14:paraId="6D29FB90" w14:textId="77777777" w:rsidR="004B0883" w:rsidRDefault="004B0883">
            <w:pPr>
              <w:jc w:val="right"/>
              <w:rPr>
                <w:color w:val="000000"/>
              </w:rPr>
            </w:pPr>
            <w:r>
              <w:rPr>
                <w:color w:val="000000"/>
              </w:rPr>
              <w:t>688.36</w:t>
            </w:r>
          </w:p>
        </w:tc>
      </w:tr>
      <w:tr w:rsidR="004B0883" w14:paraId="06EEC652" w14:textId="77777777">
        <w:trPr>
          <w:trHeight w:val="397"/>
          <w:jc w:val="center"/>
        </w:trPr>
        <w:tc>
          <w:tcPr>
            <w:tcW w:w="1732" w:type="pct"/>
            <w:tcMar>
              <w:top w:w="0" w:type="dxa"/>
              <w:left w:w="108" w:type="dxa"/>
              <w:bottom w:w="0" w:type="dxa"/>
              <w:right w:w="108" w:type="dxa"/>
            </w:tcMar>
            <w:vAlign w:val="center"/>
          </w:tcPr>
          <w:p w14:paraId="11E7B0F6" w14:textId="77777777" w:rsidR="004B0883" w:rsidRDefault="004B0883">
            <w:pPr>
              <w:rPr>
                <w:color w:val="000000"/>
              </w:rPr>
            </w:pPr>
            <w:r>
              <w:rPr>
                <w:color w:val="000000"/>
              </w:rPr>
              <w:t>平均单位成本（元</w:t>
            </w:r>
            <w:r>
              <w:rPr>
                <w:color w:val="000000"/>
              </w:rPr>
              <w:t>/</w:t>
            </w:r>
            <w:r>
              <w:rPr>
                <w:color w:val="000000"/>
              </w:rPr>
              <w:t>套）</w:t>
            </w:r>
            <w:r>
              <w:rPr>
                <w:rFonts w:ascii="宋体" w:hAnsi="宋体" w:cs="宋体" w:hint="eastAsia"/>
                <w:color w:val="000000"/>
              </w:rPr>
              <w:t>⑤</w:t>
            </w:r>
            <w:r>
              <w:rPr>
                <w:color w:val="000000"/>
              </w:rPr>
              <w:t>（</w:t>
            </w:r>
            <w:r>
              <w:rPr>
                <w:rFonts w:ascii="宋体" w:hAnsi="宋体" w:cs="宋体" w:hint="eastAsia"/>
                <w:color w:val="000000"/>
              </w:rPr>
              <w:t>⑤</w:t>
            </w:r>
            <w:r>
              <w:rPr>
                <w:color w:val="000000"/>
              </w:rPr>
              <w:t>=</w:t>
            </w:r>
            <w:r>
              <w:rPr>
                <w:rFonts w:ascii="宋体" w:hAnsi="宋体" w:cs="宋体" w:hint="eastAsia"/>
                <w:color w:val="000000"/>
              </w:rPr>
              <w:t>②</w:t>
            </w:r>
            <w:r>
              <w:rPr>
                <w:color w:val="000000"/>
              </w:rPr>
              <w:t>/</w:t>
            </w:r>
            <w:r>
              <w:rPr>
                <w:rFonts w:ascii="宋体" w:hAnsi="宋体" w:cs="宋体" w:hint="eastAsia"/>
                <w:color w:val="000000"/>
              </w:rPr>
              <w:t>③</w:t>
            </w:r>
            <w:r>
              <w:rPr>
                <w:color w:val="000000"/>
              </w:rPr>
              <w:t>）</w:t>
            </w:r>
          </w:p>
        </w:tc>
        <w:tc>
          <w:tcPr>
            <w:tcW w:w="816" w:type="pct"/>
            <w:tcMar>
              <w:top w:w="0" w:type="dxa"/>
              <w:left w:w="108" w:type="dxa"/>
              <w:bottom w:w="0" w:type="dxa"/>
              <w:right w:w="108" w:type="dxa"/>
            </w:tcMar>
            <w:vAlign w:val="center"/>
          </w:tcPr>
          <w:p w14:paraId="007C8FAF" w14:textId="77777777" w:rsidR="004B0883" w:rsidRDefault="004B0883">
            <w:pPr>
              <w:jc w:val="right"/>
              <w:rPr>
                <w:rFonts w:eastAsia="等线"/>
                <w:color w:val="000000"/>
              </w:rPr>
            </w:pPr>
            <w:r>
              <w:rPr>
                <w:rFonts w:eastAsia="等线"/>
                <w:color w:val="000000"/>
              </w:rPr>
              <w:t>605.90</w:t>
            </w:r>
          </w:p>
        </w:tc>
        <w:tc>
          <w:tcPr>
            <w:tcW w:w="818" w:type="pct"/>
            <w:tcMar>
              <w:top w:w="0" w:type="dxa"/>
              <w:left w:w="108" w:type="dxa"/>
              <w:bottom w:w="0" w:type="dxa"/>
              <w:right w:w="108" w:type="dxa"/>
            </w:tcMar>
            <w:vAlign w:val="center"/>
          </w:tcPr>
          <w:p w14:paraId="45A0D689" w14:textId="77777777" w:rsidR="004B0883" w:rsidRDefault="004B0883">
            <w:pPr>
              <w:jc w:val="right"/>
              <w:rPr>
                <w:color w:val="000000"/>
              </w:rPr>
            </w:pPr>
            <w:r>
              <w:rPr>
                <w:color w:val="000000"/>
              </w:rPr>
              <w:t>568.29</w:t>
            </w:r>
          </w:p>
        </w:tc>
        <w:tc>
          <w:tcPr>
            <w:tcW w:w="818" w:type="pct"/>
            <w:tcMar>
              <w:top w:w="0" w:type="dxa"/>
              <w:left w:w="108" w:type="dxa"/>
              <w:bottom w:w="0" w:type="dxa"/>
              <w:right w:w="108" w:type="dxa"/>
            </w:tcMar>
            <w:vAlign w:val="center"/>
          </w:tcPr>
          <w:p w14:paraId="465314D2" w14:textId="77777777" w:rsidR="004B0883" w:rsidRDefault="004B0883">
            <w:pPr>
              <w:jc w:val="right"/>
              <w:rPr>
                <w:color w:val="000000"/>
              </w:rPr>
            </w:pPr>
            <w:r>
              <w:rPr>
                <w:color w:val="000000"/>
              </w:rPr>
              <w:t>517.67</w:t>
            </w:r>
          </w:p>
        </w:tc>
        <w:tc>
          <w:tcPr>
            <w:tcW w:w="816" w:type="pct"/>
            <w:tcMar>
              <w:top w:w="0" w:type="dxa"/>
              <w:left w:w="108" w:type="dxa"/>
              <w:bottom w:w="0" w:type="dxa"/>
              <w:right w:w="108" w:type="dxa"/>
            </w:tcMar>
            <w:vAlign w:val="center"/>
          </w:tcPr>
          <w:p w14:paraId="7C52936D" w14:textId="77777777" w:rsidR="004B0883" w:rsidRDefault="004B0883">
            <w:pPr>
              <w:jc w:val="right"/>
              <w:rPr>
                <w:color w:val="000000"/>
              </w:rPr>
            </w:pPr>
            <w:r>
              <w:rPr>
                <w:color w:val="000000"/>
              </w:rPr>
              <w:t>429.79</w:t>
            </w:r>
          </w:p>
        </w:tc>
      </w:tr>
      <w:tr w:rsidR="004B0883" w14:paraId="6522E1B1" w14:textId="77777777">
        <w:trPr>
          <w:trHeight w:val="397"/>
          <w:jc w:val="center"/>
        </w:trPr>
        <w:tc>
          <w:tcPr>
            <w:tcW w:w="1732" w:type="pct"/>
            <w:tcMar>
              <w:top w:w="0" w:type="dxa"/>
              <w:left w:w="108" w:type="dxa"/>
              <w:bottom w:w="0" w:type="dxa"/>
              <w:right w:w="108" w:type="dxa"/>
            </w:tcMar>
            <w:vAlign w:val="center"/>
          </w:tcPr>
          <w:p w14:paraId="113AE5E0" w14:textId="77777777" w:rsidR="004B0883" w:rsidRDefault="004B0883">
            <w:pPr>
              <w:rPr>
                <w:color w:val="000000"/>
              </w:rPr>
            </w:pPr>
            <w:r>
              <w:rPr>
                <w:color w:val="000000"/>
              </w:rPr>
              <w:t>毛利率</w:t>
            </w:r>
            <w:r>
              <w:rPr>
                <w:rFonts w:ascii="宋体" w:hAnsi="宋体" w:cs="宋体" w:hint="eastAsia"/>
                <w:color w:val="000000"/>
              </w:rPr>
              <w:t>⑥</w:t>
            </w:r>
            <w:r>
              <w:rPr>
                <w:color w:val="000000"/>
              </w:rPr>
              <w:t>（</w:t>
            </w:r>
            <w:r>
              <w:rPr>
                <w:rFonts w:ascii="宋体" w:hAnsi="宋体" w:cs="宋体" w:hint="eastAsia"/>
                <w:color w:val="000000"/>
              </w:rPr>
              <w:t>⑥</w:t>
            </w:r>
            <w:r>
              <w:rPr>
                <w:color w:val="000000"/>
              </w:rPr>
              <w:t>=1-</w:t>
            </w:r>
            <w:r>
              <w:rPr>
                <w:rFonts w:ascii="宋体" w:hAnsi="宋体" w:cs="宋体" w:hint="eastAsia"/>
                <w:color w:val="000000"/>
              </w:rPr>
              <w:t>②</w:t>
            </w:r>
            <w:r>
              <w:rPr>
                <w:color w:val="000000"/>
              </w:rPr>
              <w:t>/</w:t>
            </w:r>
            <w:r>
              <w:rPr>
                <w:rFonts w:ascii="宋体" w:hAnsi="宋体" w:cs="宋体" w:hint="eastAsia"/>
                <w:color w:val="000000"/>
              </w:rPr>
              <w:t>①</w:t>
            </w:r>
            <w:r>
              <w:rPr>
                <w:color w:val="000000"/>
              </w:rPr>
              <w:t>）</w:t>
            </w:r>
          </w:p>
        </w:tc>
        <w:tc>
          <w:tcPr>
            <w:tcW w:w="816" w:type="pct"/>
            <w:tcMar>
              <w:top w:w="0" w:type="dxa"/>
              <w:left w:w="108" w:type="dxa"/>
              <w:bottom w:w="0" w:type="dxa"/>
              <w:right w:w="108" w:type="dxa"/>
            </w:tcMar>
            <w:vAlign w:val="center"/>
          </w:tcPr>
          <w:p w14:paraId="1B916AB0" w14:textId="77777777" w:rsidR="004B0883" w:rsidRDefault="004B0883">
            <w:pPr>
              <w:jc w:val="right"/>
              <w:rPr>
                <w:rFonts w:eastAsia="等线"/>
                <w:color w:val="000000"/>
              </w:rPr>
            </w:pPr>
            <w:r>
              <w:rPr>
                <w:rFonts w:eastAsia="等线"/>
                <w:color w:val="000000"/>
              </w:rPr>
              <w:t>41.61%</w:t>
            </w:r>
          </w:p>
        </w:tc>
        <w:tc>
          <w:tcPr>
            <w:tcW w:w="818" w:type="pct"/>
            <w:tcMar>
              <w:top w:w="0" w:type="dxa"/>
              <w:left w:w="108" w:type="dxa"/>
              <w:bottom w:w="0" w:type="dxa"/>
              <w:right w:w="108" w:type="dxa"/>
            </w:tcMar>
            <w:vAlign w:val="center"/>
          </w:tcPr>
          <w:p w14:paraId="34B6B123" w14:textId="77777777" w:rsidR="004B0883" w:rsidRDefault="004B0883">
            <w:pPr>
              <w:jc w:val="right"/>
              <w:rPr>
                <w:color w:val="000000"/>
              </w:rPr>
            </w:pPr>
            <w:r>
              <w:rPr>
                <w:color w:val="000000"/>
              </w:rPr>
              <w:t>39.09%</w:t>
            </w:r>
          </w:p>
        </w:tc>
        <w:tc>
          <w:tcPr>
            <w:tcW w:w="818" w:type="pct"/>
            <w:tcMar>
              <w:top w:w="0" w:type="dxa"/>
              <w:left w:w="108" w:type="dxa"/>
              <w:bottom w:w="0" w:type="dxa"/>
              <w:right w:w="108" w:type="dxa"/>
            </w:tcMar>
            <w:vAlign w:val="center"/>
          </w:tcPr>
          <w:p w14:paraId="5FB66554" w14:textId="77777777" w:rsidR="004B0883" w:rsidRDefault="004B0883">
            <w:pPr>
              <w:jc w:val="right"/>
              <w:rPr>
                <w:color w:val="000000"/>
              </w:rPr>
            </w:pPr>
            <w:r>
              <w:rPr>
                <w:color w:val="000000"/>
              </w:rPr>
              <w:t>36.12%</w:t>
            </w:r>
          </w:p>
        </w:tc>
        <w:tc>
          <w:tcPr>
            <w:tcW w:w="816" w:type="pct"/>
            <w:tcMar>
              <w:top w:w="0" w:type="dxa"/>
              <w:left w:w="108" w:type="dxa"/>
              <w:bottom w:w="0" w:type="dxa"/>
              <w:right w:w="108" w:type="dxa"/>
            </w:tcMar>
            <w:vAlign w:val="center"/>
          </w:tcPr>
          <w:p w14:paraId="735A2AA5" w14:textId="77777777" w:rsidR="004B0883" w:rsidRDefault="004B0883">
            <w:pPr>
              <w:jc w:val="right"/>
              <w:rPr>
                <w:color w:val="000000"/>
              </w:rPr>
            </w:pPr>
            <w:r>
              <w:rPr>
                <w:color w:val="000000"/>
              </w:rPr>
              <w:t>37.56%</w:t>
            </w:r>
          </w:p>
        </w:tc>
      </w:tr>
    </w:tbl>
    <w:p w14:paraId="063936EB" w14:textId="77777777" w:rsidR="004B0883" w:rsidRDefault="004B0883">
      <w:pPr>
        <w:pStyle w:val="005"/>
        <w:spacing w:before="120"/>
        <w:ind w:firstLine="480"/>
      </w:pPr>
      <w:r>
        <w:t>由上表可知，公司阀门产品单位成本与单位收入均呈上涨趋势，毛利率整体较为稳定，主要系公司大多采取成本加成法确定售价。</w:t>
      </w:r>
    </w:p>
    <w:p w14:paraId="5BFC9343" w14:textId="77777777" w:rsidR="004B0883" w:rsidRDefault="004B0883">
      <w:pPr>
        <w:pStyle w:val="005"/>
        <w:spacing w:before="120"/>
        <w:ind w:firstLine="480"/>
      </w:pPr>
      <w:r>
        <w:t>公司生产成本中原材料占比最高，是影响公司生产成本的主要因素。公司主要原材料包括各类铸件、生铁、废钢等材料，受钢铁、有色金属等大宗物资价格提升的影响，原材料价格呈上升趋势，推动平均单位成本增高；成本端价格的提升支撑了阀门市场价格的提升，在公司价格联动机制效应的落地及市场需求的旺盛的影响下，阀门产品平均销售单价提升。</w:t>
      </w:r>
    </w:p>
    <w:p w14:paraId="03AA4C88" w14:textId="77777777" w:rsidR="004B0883" w:rsidRDefault="004B0883">
      <w:pPr>
        <w:pStyle w:val="004"/>
        <w:spacing w:before="120" w:after="120"/>
        <w:ind w:firstLine="482"/>
      </w:pPr>
      <w:r>
        <w:t>3</w:t>
      </w:r>
      <w:r>
        <w:t>、与同行业上市公司的对比情况</w:t>
      </w:r>
    </w:p>
    <w:p w14:paraId="3746B30E" w14:textId="77777777" w:rsidR="004B0883" w:rsidRDefault="004B0883">
      <w:pPr>
        <w:pStyle w:val="005"/>
        <w:spacing w:before="120"/>
        <w:ind w:firstLine="480"/>
      </w:pPr>
      <w:bookmarkStart w:id="352" w:name="_Hlk111317988"/>
      <w:r>
        <w:t>报告期各期，公司和主要同行业可比上市公司毛利率比较情况如下表所示：</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033"/>
        <w:gridCol w:w="2252"/>
        <w:gridCol w:w="1250"/>
        <w:gridCol w:w="1250"/>
        <w:gridCol w:w="1250"/>
        <w:gridCol w:w="1245"/>
      </w:tblGrid>
      <w:tr w:rsidR="004B0883" w14:paraId="75D6BAC4" w14:textId="77777777">
        <w:trPr>
          <w:trHeight w:val="397"/>
          <w:tblHeader/>
          <w:jc w:val="center"/>
        </w:trPr>
        <w:tc>
          <w:tcPr>
            <w:tcW w:w="623" w:type="pct"/>
            <w:shd w:val="clear" w:color="auto" w:fill="D9D9D9"/>
            <w:tcMar>
              <w:top w:w="0" w:type="dxa"/>
              <w:left w:w="108" w:type="dxa"/>
              <w:bottom w:w="0" w:type="dxa"/>
              <w:right w:w="108" w:type="dxa"/>
            </w:tcMar>
            <w:vAlign w:val="center"/>
          </w:tcPr>
          <w:p w14:paraId="2E4FFC06" w14:textId="77777777" w:rsidR="004B0883" w:rsidRDefault="004B0883">
            <w:pPr>
              <w:jc w:val="center"/>
              <w:rPr>
                <w:b/>
                <w:color w:val="000000"/>
              </w:rPr>
            </w:pPr>
            <w:r>
              <w:rPr>
                <w:b/>
                <w:color w:val="000000"/>
              </w:rPr>
              <w:t>证券简称</w:t>
            </w:r>
          </w:p>
        </w:tc>
        <w:tc>
          <w:tcPr>
            <w:tcW w:w="1360" w:type="pct"/>
            <w:shd w:val="clear" w:color="auto" w:fill="D9D9D9"/>
            <w:tcMar>
              <w:top w:w="0" w:type="dxa"/>
              <w:left w:w="108" w:type="dxa"/>
              <w:bottom w:w="0" w:type="dxa"/>
              <w:right w:w="108" w:type="dxa"/>
            </w:tcMar>
            <w:vAlign w:val="center"/>
          </w:tcPr>
          <w:p w14:paraId="4D844726" w14:textId="77777777" w:rsidR="004B0883" w:rsidRDefault="004B0883">
            <w:pPr>
              <w:jc w:val="center"/>
              <w:rPr>
                <w:b/>
                <w:color w:val="000000"/>
              </w:rPr>
            </w:pPr>
            <w:r>
              <w:rPr>
                <w:b/>
                <w:color w:val="000000"/>
              </w:rPr>
              <w:t>产品</w:t>
            </w:r>
          </w:p>
        </w:tc>
        <w:tc>
          <w:tcPr>
            <w:tcW w:w="755" w:type="pct"/>
            <w:shd w:val="clear" w:color="auto" w:fill="D9D9D9"/>
            <w:tcMar>
              <w:top w:w="0" w:type="dxa"/>
              <w:left w:w="108" w:type="dxa"/>
              <w:bottom w:w="0" w:type="dxa"/>
              <w:right w:w="108" w:type="dxa"/>
            </w:tcMar>
            <w:vAlign w:val="center"/>
          </w:tcPr>
          <w:p w14:paraId="66AA55E4" w14:textId="77777777" w:rsidR="004B0883" w:rsidRDefault="004B0883">
            <w:pPr>
              <w:jc w:val="center"/>
              <w:rPr>
                <w:b/>
                <w:color w:val="000000"/>
              </w:rPr>
            </w:pPr>
            <w:r>
              <w:rPr>
                <w:b/>
                <w:color w:val="000000"/>
              </w:rPr>
              <w:t>2023</w:t>
            </w:r>
            <w:r>
              <w:rPr>
                <w:b/>
                <w:color w:val="000000"/>
              </w:rPr>
              <w:t>年</w:t>
            </w:r>
          </w:p>
          <w:p w14:paraId="2FAE0AE8" w14:textId="77777777" w:rsidR="004B0883" w:rsidRDefault="004B0883">
            <w:pPr>
              <w:jc w:val="center"/>
              <w:rPr>
                <w:b/>
                <w:color w:val="000000"/>
              </w:rPr>
            </w:pPr>
            <w:r>
              <w:rPr>
                <w:b/>
                <w:color w:val="000000"/>
              </w:rPr>
              <w:t>1-9</w:t>
            </w:r>
            <w:r>
              <w:rPr>
                <w:b/>
                <w:color w:val="000000"/>
              </w:rPr>
              <w:t>月</w:t>
            </w:r>
          </w:p>
        </w:tc>
        <w:tc>
          <w:tcPr>
            <w:tcW w:w="755" w:type="pct"/>
            <w:shd w:val="clear" w:color="auto" w:fill="D9D9D9"/>
            <w:tcMar>
              <w:top w:w="0" w:type="dxa"/>
              <w:left w:w="108" w:type="dxa"/>
              <w:bottom w:w="0" w:type="dxa"/>
              <w:right w:w="108" w:type="dxa"/>
            </w:tcMar>
            <w:vAlign w:val="center"/>
          </w:tcPr>
          <w:p w14:paraId="42E54285" w14:textId="77777777" w:rsidR="004B0883" w:rsidRDefault="004B0883">
            <w:pPr>
              <w:jc w:val="center"/>
              <w:rPr>
                <w:b/>
                <w:color w:val="000000"/>
              </w:rPr>
            </w:pPr>
            <w:r>
              <w:rPr>
                <w:b/>
                <w:color w:val="000000"/>
              </w:rPr>
              <w:t>2022</w:t>
            </w:r>
            <w:r>
              <w:rPr>
                <w:b/>
                <w:color w:val="000000"/>
              </w:rPr>
              <w:t>年度</w:t>
            </w:r>
          </w:p>
        </w:tc>
        <w:tc>
          <w:tcPr>
            <w:tcW w:w="755" w:type="pct"/>
            <w:shd w:val="clear" w:color="auto" w:fill="D9D9D9"/>
            <w:tcMar>
              <w:top w:w="0" w:type="dxa"/>
              <w:left w:w="108" w:type="dxa"/>
              <w:bottom w:w="0" w:type="dxa"/>
              <w:right w:w="108" w:type="dxa"/>
            </w:tcMar>
            <w:vAlign w:val="center"/>
          </w:tcPr>
          <w:p w14:paraId="7035B2CB" w14:textId="77777777" w:rsidR="004B0883" w:rsidRDefault="004B0883">
            <w:pPr>
              <w:jc w:val="center"/>
              <w:rPr>
                <w:b/>
                <w:color w:val="000000"/>
              </w:rPr>
            </w:pPr>
            <w:r>
              <w:rPr>
                <w:b/>
                <w:color w:val="000000"/>
              </w:rPr>
              <w:t>2021</w:t>
            </w:r>
            <w:r>
              <w:rPr>
                <w:b/>
                <w:color w:val="000000"/>
              </w:rPr>
              <w:t>年度</w:t>
            </w:r>
          </w:p>
        </w:tc>
        <w:tc>
          <w:tcPr>
            <w:tcW w:w="752" w:type="pct"/>
            <w:shd w:val="clear" w:color="auto" w:fill="D9D9D9"/>
            <w:tcMar>
              <w:top w:w="0" w:type="dxa"/>
              <w:left w:w="108" w:type="dxa"/>
              <w:bottom w:w="0" w:type="dxa"/>
              <w:right w:w="108" w:type="dxa"/>
            </w:tcMar>
            <w:vAlign w:val="center"/>
          </w:tcPr>
          <w:p w14:paraId="571904B7" w14:textId="77777777" w:rsidR="004B0883" w:rsidRDefault="004B0883">
            <w:pPr>
              <w:jc w:val="center"/>
              <w:rPr>
                <w:b/>
                <w:color w:val="000000"/>
              </w:rPr>
            </w:pPr>
            <w:r>
              <w:rPr>
                <w:b/>
                <w:color w:val="000000"/>
              </w:rPr>
              <w:t>2020</w:t>
            </w:r>
            <w:r>
              <w:rPr>
                <w:b/>
                <w:color w:val="000000"/>
              </w:rPr>
              <w:t>年度</w:t>
            </w:r>
          </w:p>
        </w:tc>
      </w:tr>
      <w:tr w:rsidR="004B0883" w14:paraId="7DFA84C7" w14:textId="77777777">
        <w:trPr>
          <w:trHeight w:val="397"/>
          <w:jc w:val="center"/>
        </w:trPr>
        <w:tc>
          <w:tcPr>
            <w:tcW w:w="623" w:type="pct"/>
            <w:tcMar>
              <w:top w:w="0" w:type="dxa"/>
              <w:left w:w="108" w:type="dxa"/>
              <w:bottom w:w="0" w:type="dxa"/>
              <w:right w:w="108" w:type="dxa"/>
            </w:tcMar>
            <w:vAlign w:val="center"/>
          </w:tcPr>
          <w:p w14:paraId="49C7ECAF" w14:textId="77777777" w:rsidR="004B0883" w:rsidRDefault="004B0883">
            <w:pPr>
              <w:rPr>
                <w:color w:val="000000"/>
              </w:rPr>
            </w:pPr>
            <w:r>
              <w:rPr>
                <w:color w:val="000000"/>
              </w:rPr>
              <w:t>江苏神通</w:t>
            </w:r>
          </w:p>
        </w:tc>
        <w:tc>
          <w:tcPr>
            <w:tcW w:w="1360" w:type="pct"/>
            <w:tcMar>
              <w:top w:w="0" w:type="dxa"/>
              <w:left w:w="108" w:type="dxa"/>
              <w:bottom w:w="0" w:type="dxa"/>
              <w:right w:w="108" w:type="dxa"/>
            </w:tcMar>
            <w:vAlign w:val="center"/>
          </w:tcPr>
          <w:p w14:paraId="15CFDC9B" w14:textId="77777777" w:rsidR="004B0883" w:rsidRDefault="004B0883">
            <w:pPr>
              <w:rPr>
                <w:color w:val="000000"/>
              </w:rPr>
            </w:pPr>
            <w:r>
              <w:rPr>
                <w:color w:val="000000"/>
              </w:rPr>
              <w:t>阀门类产品</w:t>
            </w:r>
          </w:p>
          <w:p w14:paraId="624ED06B" w14:textId="77777777" w:rsidR="004B0883" w:rsidRDefault="004B0883">
            <w:pPr>
              <w:rPr>
                <w:color w:val="000000"/>
              </w:rPr>
            </w:pPr>
            <w:r>
              <w:rPr>
                <w:color w:val="000000"/>
              </w:rPr>
              <w:t>（蝶阀、球阀等产品）</w:t>
            </w:r>
          </w:p>
        </w:tc>
        <w:tc>
          <w:tcPr>
            <w:tcW w:w="755" w:type="pct"/>
            <w:tcMar>
              <w:top w:w="0" w:type="dxa"/>
              <w:left w:w="108" w:type="dxa"/>
              <w:bottom w:w="0" w:type="dxa"/>
              <w:right w:w="108" w:type="dxa"/>
            </w:tcMar>
            <w:vAlign w:val="center"/>
          </w:tcPr>
          <w:p w14:paraId="049E75DC" w14:textId="77777777" w:rsidR="004B0883" w:rsidRDefault="004B0883">
            <w:pPr>
              <w:jc w:val="right"/>
              <w:rPr>
                <w:color w:val="000000"/>
              </w:rPr>
            </w:pPr>
            <w:r>
              <w:rPr>
                <w:rFonts w:eastAsia="等线"/>
                <w:color w:val="000000"/>
              </w:rPr>
              <w:t>30.46%</w:t>
            </w:r>
          </w:p>
        </w:tc>
        <w:tc>
          <w:tcPr>
            <w:tcW w:w="755" w:type="pct"/>
            <w:tcMar>
              <w:top w:w="0" w:type="dxa"/>
              <w:left w:w="108" w:type="dxa"/>
              <w:bottom w:w="0" w:type="dxa"/>
              <w:right w:w="108" w:type="dxa"/>
            </w:tcMar>
            <w:vAlign w:val="center"/>
          </w:tcPr>
          <w:p w14:paraId="4E1C3C5B" w14:textId="77777777" w:rsidR="004B0883" w:rsidRDefault="004B0883">
            <w:pPr>
              <w:jc w:val="right"/>
              <w:rPr>
                <w:color w:val="000000"/>
              </w:rPr>
            </w:pPr>
            <w:r>
              <w:rPr>
                <w:color w:val="000000"/>
              </w:rPr>
              <w:t>38.11%</w:t>
            </w:r>
          </w:p>
        </w:tc>
        <w:tc>
          <w:tcPr>
            <w:tcW w:w="755" w:type="pct"/>
            <w:tcMar>
              <w:top w:w="0" w:type="dxa"/>
              <w:left w:w="108" w:type="dxa"/>
              <w:bottom w:w="0" w:type="dxa"/>
              <w:right w:w="108" w:type="dxa"/>
            </w:tcMar>
            <w:vAlign w:val="center"/>
          </w:tcPr>
          <w:p w14:paraId="2C445B2F" w14:textId="77777777" w:rsidR="004B0883" w:rsidRDefault="004B0883">
            <w:pPr>
              <w:jc w:val="right"/>
              <w:rPr>
                <w:color w:val="000000"/>
              </w:rPr>
            </w:pPr>
            <w:r>
              <w:rPr>
                <w:color w:val="000000"/>
              </w:rPr>
              <w:t>33.11%</w:t>
            </w:r>
          </w:p>
        </w:tc>
        <w:tc>
          <w:tcPr>
            <w:tcW w:w="752" w:type="pct"/>
            <w:tcMar>
              <w:top w:w="0" w:type="dxa"/>
              <w:left w:w="108" w:type="dxa"/>
              <w:bottom w:w="0" w:type="dxa"/>
              <w:right w:w="108" w:type="dxa"/>
            </w:tcMar>
            <w:vAlign w:val="center"/>
          </w:tcPr>
          <w:p w14:paraId="556AD1AC" w14:textId="77777777" w:rsidR="004B0883" w:rsidRDefault="004B0883">
            <w:pPr>
              <w:jc w:val="right"/>
              <w:rPr>
                <w:color w:val="000000"/>
              </w:rPr>
            </w:pPr>
            <w:r>
              <w:rPr>
                <w:color w:val="000000"/>
              </w:rPr>
              <w:t>33.93%</w:t>
            </w:r>
          </w:p>
        </w:tc>
      </w:tr>
      <w:tr w:rsidR="004B0883" w14:paraId="76E8AABD" w14:textId="77777777">
        <w:trPr>
          <w:trHeight w:val="397"/>
          <w:jc w:val="center"/>
        </w:trPr>
        <w:tc>
          <w:tcPr>
            <w:tcW w:w="623" w:type="pct"/>
            <w:tcMar>
              <w:top w:w="0" w:type="dxa"/>
              <w:left w:w="108" w:type="dxa"/>
              <w:bottom w:w="0" w:type="dxa"/>
              <w:right w:w="108" w:type="dxa"/>
            </w:tcMar>
            <w:vAlign w:val="center"/>
          </w:tcPr>
          <w:p w14:paraId="0EC4C992" w14:textId="77777777" w:rsidR="004B0883" w:rsidRDefault="004B0883">
            <w:pPr>
              <w:rPr>
                <w:color w:val="000000"/>
              </w:rPr>
            </w:pPr>
            <w:r>
              <w:rPr>
                <w:color w:val="000000"/>
              </w:rPr>
              <w:t>冠龙节能</w:t>
            </w:r>
          </w:p>
        </w:tc>
        <w:tc>
          <w:tcPr>
            <w:tcW w:w="1360" w:type="pct"/>
            <w:tcMar>
              <w:top w:w="0" w:type="dxa"/>
              <w:left w:w="108" w:type="dxa"/>
              <w:bottom w:w="0" w:type="dxa"/>
              <w:right w:w="108" w:type="dxa"/>
            </w:tcMar>
            <w:vAlign w:val="center"/>
          </w:tcPr>
          <w:p w14:paraId="2E75A282" w14:textId="77777777" w:rsidR="004B0883" w:rsidRDefault="004B0883">
            <w:pPr>
              <w:rPr>
                <w:color w:val="000000"/>
              </w:rPr>
            </w:pPr>
            <w:r>
              <w:rPr>
                <w:color w:val="000000"/>
              </w:rPr>
              <w:t>阀门类产品</w:t>
            </w:r>
          </w:p>
        </w:tc>
        <w:tc>
          <w:tcPr>
            <w:tcW w:w="755" w:type="pct"/>
            <w:tcMar>
              <w:top w:w="0" w:type="dxa"/>
              <w:left w:w="108" w:type="dxa"/>
              <w:bottom w:w="0" w:type="dxa"/>
              <w:right w:w="108" w:type="dxa"/>
            </w:tcMar>
            <w:vAlign w:val="center"/>
          </w:tcPr>
          <w:p w14:paraId="71E81F1A" w14:textId="77777777" w:rsidR="004B0883" w:rsidRDefault="004B0883">
            <w:pPr>
              <w:jc w:val="right"/>
              <w:rPr>
                <w:color w:val="000000"/>
              </w:rPr>
            </w:pPr>
            <w:r>
              <w:rPr>
                <w:rFonts w:eastAsia="等线"/>
                <w:color w:val="000000"/>
              </w:rPr>
              <w:t>33.45%</w:t>
            </w:r>
          </w:p>
        </w:tc>
        <w:tc>
          <w:tcPr>
            <w:tcW w:w="755" w:type="pct"/>
            <w:tcMar>
              <w:top w:w="0" w:type="dxa"/>
              <w:left w:w="108" w:type="dxa"/>
              <w:bottom w:w="0" w:type="dxa"/>
              <w:right w:w="108" w:type="dxa"/>
            </w:tcMar>
            <w:vAlign w:val="center"/>
          </w:tcPr>
          <w:p w14:paraId="70FE2C64" w14:textId="77777777" w:rsidR="004B0883" w:rsidRDefault="004B0883">
            <w:pPr>
              <w:jc w:val="right"/>
              <w:rPr>
                <w:color w:val="000000"/>
              </w:rPr>
            </w:pPr>
            <w:r>
              <w:rPr>
                <w:color w:val="000000"/>
              </w:rPr>
              <w:t>37.28%</w:t>
            </w:r>
          </w:p>
        </w:tc>
        <w:tc>
          <w:tcPr>
            <w:tcW w:w="755" w:type="pct"/>
            <w:tcMar>
              <w:top w:w="0" w:type="dxa"/>
              <w:left w:w="108" w:type="dxa"/>
              <w:bottom w:w="0" w:type="dxa"/>
              <w:right w:w="108" w:type="dxa"/>
            </w:tcMar>
            <w:vAlign w:val="center"/>
          </w:tcPr>
          <w:p w14:paraId="61F9F395" w14:textId="77777777" w:rsidR="004B0883" w:rsidRDefault="004B0883">
            <w:pPr>
              <w:jc w:val="right"/>
              <w:rPr>
                <w:color w:val="000000"/>
              </w:rPr>
            </w:pPr>
            <w:r>
              <w:rPr>
                <w:color w:val="000000"/>
              </w:rPr>
              <w:t>43.93%</w:t>
            </w:r>
          </w:p>
        </w:tc>
        <w:tc>
          <w:tcPr>
            <w:tcW w:w="752" w:type="pct"/>
            <w:tcMar>
              <w:top w:w="0" w:type="dxa"/>
              <w:left w:w="108" w:type="dxa"/>
              <w:bottom w:w="0" w:type="dxa"/>
              <w:right w:w="108" w:type="dxa"/>
            </w:tcMar>
            <w:vAlign w:val="center"/>
          </w:tcPr>
          <w:p w14:paraId="4D0293B0" w14:textId="77777777" w:rsidR="004B0883" w:rsidRDefault="004B0883">
            <w:pPr>
              <w:jc w:val="right"/>
              <w:rPr>
                <w:color w:val="000000"/>
              </w:rPr>
            </w:pPr>
            <w:r>
              <w:rPr>
                <w:color w:val="000000"/>
              </w:rPr>
              <w:t>45.62%</w:t>
            </w:r>
          </w:p>
        </w:tc>
      </w:tr>
      <w:tr w:rsidR="004B0883" w14:paraId="5CF44A4C" w14:textId="77777777">
        <w:trPr>
          <w:trHeight w:val="397"/>
          <w:jc w:val="center"/>
        </w:trPr>
        <w:tc>
          <w:tcPr>
            <w:tcW w:w="623" w:type="pct"/>
            <w:tcMar>
              <w:top w:w="0" w:type="dxa"/>
              <w:left w:w="108" w:type="dxa"/>
              <w:bottom w:w="0" w:type="dxa"/>
              <w:right w:w="108" w:type="dxa"/>
            </w:tcMar>
            <w:vAlign w:val="center"/>
          </w:tcPr>
          <w:p w14:paraId="56EB12C3" w14:textId="77777777" w:rsidR="004B0883" w:rsidRDefault="004B0883">
            <w:pPr>
              <w:rPr>
                <w:color w:val="000000"/>
              </w:rPr>
            </w:pPr>
            <w:r>
              <w:rPr>
                <w:color w:val="000000"/>
              </w:rPr>
              <w:t>纽威股份</w:t>
            </w:r>
          </w:p>
        </w:tc>
        <w:tc>
          <w:tcPr>
            <w:tcW w:w="1360" w:type="pct"/>
            <w:tcMar>
              <w:top w:w="0" w:type="dxa"/>
              <w:left w:w="108" w:type="dxa"/>
              <w:bottom w:w="0" w:type="dxa"/>
              <w:right w:w="108" w:type="dxa"/>
            </w:tcMar>
            <w:vAlign w:val="center"/>
          </w:tcPr>
          <w:p w14:paraId="133BB7A8" w14:textId="77777777" w:rsidR="004B0883" w:rsidRDefault="004B0883">
            <w:pPr>
              <w:rPr>
                <w:color w:val="000000"/>
              </w:rPr>
            </w:pPr>
            <w:r>
              <w:rPr>
                <w:color w:val="000000"/>
              </w:rPr>
              <w:t>阀门类产品</w:t>
            </w:r>
          </w:p>
        </w:tc>
        <w:tc>
          <w:tcPr>
            <w:tcW w:w="755" w:type="pct"/>
            <w:tcMar>
              <w:top w:w="0" w:type="dxa"/>
              <w:left w:w="108" w:type="dxa"/>
              <w:bottom w:w="0" w:type="dxa"/>
              <w:right w:w="108" w:type="dxa"/>
            </w:tcMar>
            <w:vAlign w:val="center"/>
          </w:tcPr>
          <w:p w14:paraId="75016253" w14:textId="77777777" w:rsidR="004B0883" w:rsidRDefault="004B0883">
            <w:pPr>
              <w:jc w:val="right"/>
              <w:rPr>
                <w:color w:val="000000"/>
              </w:rPr>
            </w:pPr>
            <w:r>
              <w:rPr>
                <w:rFonts w:eastAsia="等线"/>
                <w:color w:val="000000"/>
              </w:rPr>
              <w:t>30.94%</w:t>
            </w:r>
          </w:p>
        </w:tc>
        <w:tc>
          <w:tcPr>
            <w:tcW w:w="755" w:type="pct"/>
            <w:tcMar>
              <w:top w:w="0" w:type="dxa"/>
              <w:left w:w="108" w:type="dxa"/>
              <w:bottom w:w="0" w:type="dxa"/>
              <w:right w:w="108" w:type="dxa"/>
            </w:tcMar>
            <w:vAlign w:val="center"/>
          </w:tcPr>
          <w:p w14:paraId="5125F021" w14:textId="77777777" w:rsidR="004B0883" w:rsidRDefault="004B0883">
            <w:pPr>
              <w:jc w:val="right"/>
              <w:rPr>
                <w:color w:val="000000"/>
              </w:rPr>
            </w:pPr>
            <w:r>
              <w:rPr>
                <w:color w:val="000000"/>
              </w:rPr>
              <w:t>30.81%</w:t>
            </w:r>
          </w:p>
        </w:tc>
        <w:tc>
          <w:tcPr>
            <w:tcW w:w="755" w:type="pct"/>
            <w:tcMar>
              <w:top w:w="0" w:type="dxa"/>
              <w:left w:w="108" w:type="dxa"/>
              <w:bottom w:w="0" w:type="dxa"/>
              <w:right w:w="108" w:type="dxa"/>
            </w:tcMar>
            <w:vAlign w:val="center"/>
          </w:tcPr>
          <w:p w14:paraId="377A0412" w14:textId="77777777" w:rsidR="004B0883" w:rsidRDefault="004B0883">
            <w:pPr>
              <w:jc w:val="right"/>
              <w:rPr>
                <w:color w:val="000000"/>
              </w:rPr>
            </w:pPr>
            <w:r>
              <w:rPr>
                <w:color w:val="000000"/>
              </w:rPr>
              <w:t>29.17%</w:t>
            </w:r>
          </w:p>
        </w:tc>
        <w:tc>
          <w:tcPr>
            <w:tcW w:w="752" w:type="pct"/>
            <w:tcMar>
              <w:top w:w="0" w:type="dxa"/>
              <w:left w:w="108" w:type="dxa"/>
              <w:bottom w:w="0" w:type="dxa"/>
              <w:right w:w="108" w:type="dxa"/>
            </w:tcMar>
            <w:vAlign w:val="center"/>
          </w:tcPr>
          <w:p w14:paraId="5EFAF776" w14:textId="77777777" w:rsidR="004B0883" w:rsidRDefault="004B0883">
            <w:pPr>
              <w:jc w:val="right"/>
              <w:rPr>
                <w:color w:val="000000"/>
              </w:rPr>
            </w:pPr>
            <w:r>
              <w:rPr>
                <w:color w:val="000000"/>
              </w:rPr>
              <w:t>35.61%</w:t>
            </w:r>
          </w:p>
        </w:tc>
      </w:tr>
      <w:tr w:rsidR="004B0883" w14:paraId="7FC2077C" w14:textId="77777777">
        <w:trPr>
          <w:trHeight w:val="397"/>
          <w:jc w:val="center"/>
        </w:trPr>
        <w:tc>
          <w:tcPr>
            <w:tcW w:w="623" w:type="pct"/>
            <w:tcMar>
              <w:top w:w="0" w:type="dxa"/>
              <w:left w:w="108" w:type="dxa"/>
              <w:bottom w:w="0" w:type="dxa"/>
              <w:right w:w="108" w:type="dxa"/>
            </w:tcMar>
            <w:vAlign w:val="center"/>
          </w:tcPr>
          <w:p w14:paraId="22D33D0C" w14:textId="77777777" w:rsidR="004B0883" w:rsidRDefault="004B0883">
            <w:pPr>
              <w:rPr>
                <w:color w:val="000000"/>
              </w:rPr>
            </w:pPr>
            <w:r>
              <w:rPr>
                <w:color w:val="000000"/>
              </w:rPr>
              <w:t>中核科技</w:t>
            </w:r>
          </w:p>
        </w:tc>
        <w:tc>
          <w:tcPr>
            <w:tcW w:w="1360" w:type="pct"/>
            <w:tcMar>
              <w:top w:w="0" w:type="dxa"/>
              <w:left w:w="108" w:type="dxa"/>
              <w:bottom w:w="0" w:type="dxa"/>
              <w:right w:w="108" w:type="dxa"/>
            </w:tcMar>
            <w:vAlign w:val="center"/>
          </w:tcPr>
          <w:p w14:paraId="1CD9BD5E" w14:textId="77777777" w:rsidR="004B0883" w:rsidRDefault="004B0883">
            <w:pPr>
              <w:rPr>
                <w:color w:val="000000"/>
              </w:rPr>
            </w:pPr>
            <w:r>
              <w:rPr>
                <w:color w:val="000000"/>
              </w:rPr>
              <w:t>阀门制造</w:t>
            </w:r>
          </w:p>
        </w:tc>
        <w:tc>
          <w:tcPr>
            <w:tcW w:w="755" w:type="pct"/>
            <w:tcMar>
              <w:top w:w="0" w:type="dxa"/>
              <w:left w:w="108" w:type="dxa"/>
              <w:bottom w:w="0" w:type="dxa"/>
              <w:right w:w="108" w:type="dxa"/>
            </w:tcMar>
            <w:vAlign w:val="center"/>
          </w:tcPr>
          <w:p w14:paraId="684287FA" w14:textId="77777777" w:rsidR="004B0883" w:rsidRDefault="004B0883">
            <w:pPr>
              <w:jc w:val="right"/>
              <w:rPr>
                <w:color w:val="000000"/>
              </w:rPr>
            </w:pPr>
            <w:r>
              <w:rPr>
                <w:rFonts w:eastAsia="等线"/>
                <w:color w:val="000000"/>
              </w:rPr>
              <w:t>20.37%</w:t>
            </w:r>
          </w:p>
        </w:tc>
        <w:tc>
          <w:tcPr>
            <w:tcW w:w="755" w:type="pct"/>
            <w:tcMar>
              <w:top w:w="0" w:type="dxa"/>
              <w:left w:w="108" w:type="dxa"/>
              <w:bottom w:w="0" w:type="dxa"/>
              <w:right w:w="108" w:type="dxa"/>
            </w:tcMar>
            <w:vAlign w:val="center"/>
          </w:tcPr>
          <w:p w14:paraId="5B6770F0" w14:textId="77777777" w:rsidR="004B0883" w:rsidRDefault="004B0883">
            <w:pPr>
              <w:jc w:val="right"/>
              <w:rPr>
                <w:color w:val="000000"/>
              </w:rPr>
            </w:pPr>
            <w:r>
              <w:rPr>
                <w:color w:val="000000"/>
              </w:rPr>
              <w:t>19.58%</w:t>
            </w:r>
          </w:p>
        </w:tc>
        <w:tc>
          <w:tcPr>
            <w:tcW w:w="755" w:type="pct"/>
            <w:tcMar>
              <w:top w:w="0" w:type="dxa"/>
              <w:left w:w="108" w:type="dxa"/>
              <w:bottom w:w="0" w:type="dxa"/>
              <w:right w:w="108" w:type="dxa"/>
            </w:tcMar>
            <w:vAlign w:val="center"/>
          </w:tcPr>
          <w:p w14:paraId="2A648F57" w14:textId="77777777" w:rsidR="004B0883" w:rsidRDefault="004B0883">
            <w:pPr>
              <w:jc w:val="right"/>
              <w:rPr>
                <w:color w:val="000000"/>
              </w:rPr>
            </w:pPr>
            <w:r>
              <w:rPr>
                <w:color w:val="000000"/>
              </w:rPr>
              <w:t>18.32%</w:t>
            </w:r>
          </w:p>
        </w:tc>
        <w:tc>
          <w:tcPr>
            <w:tcW w:w="752" w:type="pct"/>
            <w:tcMar>
              <w:top w:w="0" w:type="dxa"/>
              <w:left w:w="108" w:type="dxa"/>
              <w:bottom w:w="0" w:type="dxa"/>
              <w:right w:w="108" w:type="dxa"/>
            </w:tcMar>
            <w:vAlign w:val="center"/>
          </w:tcPr>
          <w:p w14:paraId="6EDBC283" w14:textId="77777777" w:rsidR="004B0883" w:rsidRDefault="004B0883">
            <w:pPr>
              <w:jc w:val="right"/>
              <w:rPr>
                <w:color w:val="000000"/>
              </w:rPr>
            </w:pPr>
            <w:r>
              <w:rPr>
                <w:color w:val="000000"/>
              </w:rPr>
              <w:t>21.62%</w:t>
            </w:r>
          </w:p>
        </w:tc>
      </w:tr>
      <w:tr w:rsidR="004B0883" w14:paraId="4C7D1C95" w14:textId="77777777">
        <w:trPr>
          <w:trHeight w:val="397"/>
          <w:jc w:val="center"/>
        </w:trPr>
        <w:tc>
          <w:tcPr>
            <w:tcW w:w="1982" w:type="pct"/>
            <w:gridSpan w:val="2"/>
            <w:tcMar>
              <w:top w:w="0" w:type="dxa"/>
              <w:left w:w="108" w:type="dxa"/>
              <w:bottom w:w="0" w:type="dxa"/>
              <w:right w:w="108" w:type="dxa"/>
            </w:tcMar>
            <w:vAlign w:val="center"/>
          </w:tcPr>
          <w:p w14:paraId="51A60F77" w14:textId="77777777" w:rsidR="004B0883" w:rsidRDefault="004B0883">
            <w:pPr>
              <w:jc w:val="center"/>
              <w:rPr>
                <w:b/>
                <w:bCs/>
                <w:color w:val="000000"/>
              </w:rPr>
            </w:pPr>
            <w:r>
              <w:rPr>
                <w:b/>
                <w:bCs/>
                <w:color w:val="000000"/>
              </w:rPr>
              <w:t>平均值</w:t>
            </w:r>
          </w:p>
        </w:tc>
        <w:tc>
          <w:tcPr>
            <w:tcW w:w="755" w:type="pct"/>
            <w:tcMar>
              <w:top w:w="0" w:type="dxa"/>
              <w:left w:w="108" w:type="dxa"/>
              <w:bottom w:w="0" w:type="dxa"/>
              <w:right w:w="108" w:type="dxa"/>
            </w:tcMar>
            <w:vAlign w:val="center"/>
          </w:tcPr>
          <w:p w14:paraId="6AAC25F7" w14:textId="77777777" w:rsidR="004B0883" w:rsidRDefault="004B0883">
            <w:pPr>
              <w:jc w:val="right"/>
              <w:rPr>
                <w:b/>
                <w:bCs/>
                <w:color w:val="000000"/>
              </w:rPr>
            </w:pPr>
            <w:r>
              <w:rPr>
                <w:rFonts w:eastAsia="等线"/>
                <w:b/>
                <w:bCs/>
                <w:color w:val="000000"/>
              </w:rPr>
              <w:t>28.81%</w:t>
            </w:r>
          </w:p>
        </w:tc>
        <w:tc>
          <w:tcPr>
            <w:tcW w:w="755" w:type="pct"/>
            <w:tcMar>
              <w:top w:w="0" w:type="dxa"/>
              <w:left w:w="108" w:type="dxa"/>
              <w:bottom w:w="0" w:type="dxa"/>
              <w:right w:w="108" w:type="dxa"/>
            </w:tcMar>
            <w:vAlign w:val="center"/>
          </w:tcPr>
          <w:p w14:paraId="6939577C" w14:textId="77777777" w:rsidR="004B0883" w:rsidRDefault="004B0883">
            <w:pPr>
              <w:jc w:val="right"/>
              <w:rPr>
                <w:b/>
                <w:bCs/>
                <w:color w:val="000000"/>
              </w:rPr>
            </w:pPr>
            <w:r>
              <w:rPr>
                <w:rFonts w:eastAsia="等线"/>
                <w:b/>
                <w:bCs/>
                <w:color w:val="000000"/>
              </w:rPr>
              <w:t>31.45%</w:t>
            </w:r>
          </w:p>
        </w:tc>
        <w:tc>
          <w:tcPr>
            <w:tcW w:w="755" w:type="pct"/>
            <w:tcMar>
              <w:top w:w="0" w:type="dxa"/>
              <w:left w:w="108" w:type="dxa"/>
              <w:bottom w:w="0" w:type="dxa"/>
              <w:right w:w="108" w:type="dxa"/>
            </w:tcMar>
            <w:vAlign w:val="center"/>
          </w:tcPr>
          <w:p w14:paraId="57DE1952" w14:textId="77777777" w:rsidR="004B0883" w:rsidRDefault="004B0883">
            <w:pPr>
              <w:jc w:val="right"/>
              <w:rPr>
                <w:b/>
                <w:bCs/>
                <w:color w:val="000000"/>
              </w:rPr>
            </w:pPr>
            <w:r>
              <w:rPr>
                <w:rFonts w:eastAsia="等线"/>
                <w:b/>
                <w:bCs/>
                <w:color w:val="000000"/>
              </w:rPr>
              <w:t>31.13%</w:t>
            </w:r>
          </w:p>
        </w:tc>
        <w:tc>
          <w:tcPr>
            <w:tcW w:w="752" w:type="pct"/>
            <w:tcMar>
              <w:top w:w="0" w:type="dxa"/>
              <w:left w:w="108" w:type="dxa"/>
              <w:bottom w:w="0" w:type="dxa"/>
              <w:right w:w="108" w:type="dxa"/>
            </w:tcMar>
            <w:vAlign w:val="center"/>
          </w:tcPr>
          <w:p w14:paraId="7E7E407E" w14:textId="77777777" w:rsidR="004B0883" w:rsidRDefault="004B0883">
            <w:pPr>
              <w:jc w:val="right"/>
              <w:rPr>
                <w:b/>
                <w:bCs/>
                <w:color w:val="000000"/>
              </w:rPr>
            </w:pPr>
            <w:r>
              <w:rPr>
                <w:rFonts w:eastAsia="等线"/>
                <w:b/>
                <w:bCs/>
                <w:color w:val="000000"/>
              </w:rPr>
              <w:t>34.20%</w:t>
            </w:r>
          </w:p>
        </w:tc>
      </w:tr>
      <w:tr w:rsidR="004B0883" w14:paraId="33EA398C" w14:textId="77777777">
        <w:trPr>
          <w:trHeight w:val="397"/>
          <w:jc w:val="center"/>
        </w:trPr>
        <w:tc>
          <w:tcPr>
            <w:tcW w:w="623" w:type="pct"/>
            <w:tcMar>
              <w:top w:w="0" w:type="dxa"/>
              <w:left w:w="108" w:type="dxa"/>
              <w:bottom w:w="0" w:type="dxa"/>
              <w:right w:w="108" w:type="dxa"/>
            </w:tcMar>
            <w:vAlign w:val="center"/>
          </w:tcPr>
          <w:p w14:paraId="76BE4EE0" w14:textId="77777777" w:rsidR="004B0883" w:rsidRDefault="004B0883">
            <w:pPr>
              <w:rPr>
                <w:b/>
                <w:bCs/>
                <w:color w:val="000000"/>
              </w:rPr>
            </w:pPr>
            <w:r>
              <w:rPr>
                <w:b/>
                <w:bCs/>
                <w:color w:val="000000"/>
              </w:rPr>
              <w:t>公司</w:t>
            </w:r>
          </w:p>
        </w:tc>
        <w:tc>
          <w:tcPr>
            <w:tcW w:w="1360" w:type="pct"/>
            <w:tcMar>
              <w:top w:w="0" w:type="dxa"/>
              <w:left w:w="108" w:type="dxa"/>
              <w:bottom w:w="0" w:type="dxa"/>
              <w:right w:w="108" w:type="dxa"/>
            </w:tcMar>
            <w:vAlign w:val="center"/>
          </w:tcPr>
          <w:p w14:paraId="7DE4E3E7" w14:textId="77777777" w:rsidR="004B0883" w:rsidRDefault="004B0883">
            <w:pPr>
              <w:rPr>
                <w:b/>
                <w:bCs/>
                <w:color w:val="000000"/>
              </w:rPr>
            </w:pPr>
            <w:r>
              <w:rPr>
                <w:b/>
                <w:bCs/>
                <w:color w:val="000000"/>
              </w:rPr>
              <w:t>阀门销售</w:t>
            </w:r>
          </w:p>
        </w:tc>
        <w:tc>
          <w:tcPr>
            <w:tcW w:w="755" w:type="pct"/>
            <w:tcMar>
              <w:top w:w="0" w:type="dxa"/>
              <w:left w:w="108" w:type="dxa"/>
              <w:bottom w:w="0" w:type="dxa"/>
              <w:right w:w="108" w:type="dxa"/>
            </w:tcMar>
            <w:vAlign w:val="center"/>
          </w:tcPr>
          <w:p w14:paraId="510810EC" w14:textId="77777777" w:rsidR="004B0883" w:rsidRDefault="004B0883">
            <w:pPr>
              <w:jc w:val="right"/>
              <w:rPr>
                <w:b/>
                <w:bCs/>
                <w:color w:val="000000"/>
              </w:rPr>
            </w:pPr>
            <w:r>
              <w:rPr>
                <w:b/>
                <w:bCs/>
                <w:color w:val="000000"/>
              </w:rPr>
              <w:t>38.35%</w:t>
            </w:r>
          </w:p>
        </w:tc>
        <w:tc>
          <w:tcPr>
            <w:tcW w:w="755" w:type="pct"/>
            <w:tcMar>
              <w:top w:w="0" w:type="dxa"/>
              <w:left w:w="108" w:type="dxa"/>
              <w:bottom w:w="0" w:type="dxa"/>
              <w:right w:w="108" w:type="dxa"/>
            </w:tcMar>
            <w:vAlign w:val="center"/>
          </w:tcPr>
          <w:p w14:paraId="3D7E1F40" w14:textId="77777777" w:rsidR="004B0883" w:rsidRDefault="004B0883">
            <w:pPr>
              <w:jc w:val="right"/>
              <w:rPr>
                <w:b/>
                <w:bCs/>
                <w:color w:val="000000"/>
              </w:rPr>
            </w:pPr>
            <w:r>
              <w:rPr>
                <w:b/>
                <w:bCs/>
                <w:color w:val="000000"/>
              </w:rPr>
              <w:t>39.09%</w:t>
            </w:r>
          </w:p>
        </w:tc>
        <w:tc>
          <w:tcPr>
            <w:tcW w:w="755" w:type="pct"/>
            <w:tcMar>
              <w:top w:w="0" w:type="dxa"/>
              <w:left w:w="108" w:type="dxa"/>
              <w:bottom w:w="0" w:type="dxa"/>
              <w:right w:w="108" w:type="dxa"/>
            </w:tcMar>
            <w:vAlign w:val="center"/>
          </w:tcPr>
          <w:p w14:paraId="2A81BB35" w14:textId="77777777" w:rsidR="004B0883" w:rsidRDefault="004B0883">
            <w:pPr>
              <w:jc w:val="right"/>
              <w:rPr>
                <w:b/>
                <w:bCs/>
                <w:color w:val="000000"/>
              </w:rPr>
            </w:pPr>
            <w:r>
              <w:rPr>
                <w:b/>
                <w:bCs/>
                <w:color w:val="000000"/>
              </w:rPr>
              <w:t>36.12%</w:t>
            </w:r>
          </w:p>
        </w:tc>
        <w:tc>
          <w:tcPr>
            <w:tcW w:w="752" w:type="pct"/>
            <w:tcMar>
              <w:top w:w="0" w:type="dxa"/>
              <w:left w:w="108" w:type="dxa"/>
              <w:bottom w:w="0" w:type="dxa"/>
              <w:right w:w="108" w:type="dxa"/>
            </w:tcMar>
            <w:vAlign w:val="center"/>
          </w:tcPr>
          <w:p w14:paraId="4DF7BBBE" w14:textId="77777777" w:rsidR="004B0883" w:rsidRDefault="004B0883">
            <w:pPr>
              <w:jc w:val="right"/>
              <w:rPr>
                <w:b/>
                <w:bCs/>
                <w:color w:val="000000"/>
              </w:rPr>
            </w:pPr>
            <w:r>
              <w:rPr>
                <w:b/>
                <w:bCs/>
                <w:color w:val="000000"/>
              </w:rPr>
              <w:t>37.56%</w:t>
            </w:r>
          </w:p>
        </w:tc>
      </w:tr>
    </w:tbl>
    <w:p w14:paraId="3BAE7B50" w14:textId="77777777" w:rsidR="004B0883" w:rsidRDefault="004B0883">
      <w:r>
        <w:rPr>
          <w:rFonts w:hint="eastAsia"/>
        </w:rPr>
        <w:t>注：同行业可比上市公司</w:t>
      </w:r>
      <w:r>
        <w:rPr>
          <w:rFonts w:hint="eastAsia"/>
        </w:rPr>
        <w:t>2</w:t>
      </w:r>
      <w:r>
        <w:t>023</w:t>
      </w:r>
      <w:r>
        <w:rPr>
          <w:rFonts w:hint="eastAsia"/>
        </w:rPr>
        <w:t>年三季度报中均未披露分产品的毛利率情况，因此列示综合毛利率。为便于对比，发行人</w:t>
      </w:r>
      <w:r>
        <w:rPr>
          <w:rFonts w:hint="eastAsia"/>
        </w:rPr>
        <w:t>2</w:t>
      </w:r>
      <w:r>
        <w:t>023</w:t>
      </w:r>
      <w:r>
        <w:rPr>
          <w:rFonts w:hint="eastAsia"/>
        </w:rPr>
        <w:t>年</w:t>
      </w:r>
      <w:r>
        <w:rPr>
          <w:rFonts w:hint="eastAsia"/>
        </w:rPr>
        <w:t>1</w:t>
      </w:r>
      <w:r>
        <w:t>-9</w:t>
      </w:r>
      <w:r>
        <w:rPr>
          <w:rFonts w:hint="eastAsia"/>
        </w:rPr>
        <w:t>月毛利率列示主营业务毛利率。</w:t>
      </w:r>
    </w:p>
    <w:p w14:paraId="2FBD8288" w14:textId="77777777" w:rsidR="004B0883" w:rsidRDefault="004B0883">
      <w:pPr>
        <w:pStyle w:val="005"/>
        <w:spacing w:before="120"/>
        <w:ind w:firstLine="480"/>
      </w:pPr>
      <w:r>
        <w:t>由上可见，公司阀门销售类业务毛利率与同行业可比上市公司之间趋势一致，报告期内略高于同行业可比上市公司平均水平，主要系公司产品应用领域、销售模式与同行业其他公司存在一定的区别。</w:t>
      </w:r>
    </w:p>
    <w:p w14:paraId="1445666A" w14:textId="77777777" w:rsidR="004B0883" w:rsidRDefault="004B0883">
      <w:pPr>
        <w:pStyle w:val="005"/>
        <w:spacing w:before="120"/>
        <w:ind w:firstLine="480"/>
      </w:pPr>
      <w:r>
        <w:t>公</w:t>
      </w:r>
      <w:bookmarkStart w:id="353" w:name="_Hlk138603356"/>
      <w:r>
        <w:t>司与可比公司阀门类产品在应用领域比较情况如下：</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032"/>
        <w:gridCol w:w="6248"/>
      </w:tblGrid>
      <w:tr w:rsidR="004B0883" w14:paraId="0908B5B0" w14:textId="77777777">
        <w:trPr>
          <w:trHeight w:val="397"/>
          <w:tblHeader/>
          <w:jc w:val="center"/>
        </w:trPr>
        <w:tc>
          <w:tcPr>
            <w:tcW w:w="1227" w:type="pct"/>
            <w:shd w:val="clear" w:color="auto" w:fill="D9D9D9"/>
            <w:tcMar>
              <w:top w:w="0" w:type="dxa"/>
              <w:left w:w="108" w:type="dxa"/>
              <w:bottom w:w="0" w:type="dxa"/>
              <w:right w:w="108" w:type="dxa"/>
            </w:tcMar>
            <w:vAlign w:val="center"/>
          </w:tcPr>
          <w:p w14:paraId="45769D2A" w14:textId="77777777" w:rsidR="004B0883" w:rsidRDefault="004B0883">
            <w:pPr>
              <w:keepNext/>
              <w:jc w:val="center"/>
              <w:rPr>
                <w:b/>
                <w:color w:val="000000"/>
              </w:rPr>
            </w:pPr>
            <w:r>
              <w:rPr>
                <w:b/>
                <w:color w:val="000000"/>
              </w:rPr>
              <w:t>证券简称</w:t>
            </w:r>
          </w:p>
        </w:tc>
        <w:tc>
          <w:tcPr>
            <w:tcW w:w="3773" w:type="pct"/>
            <w:shd w:val="clear" w:color="auto" w:fill="D9D9D9"/>
            <w:tcMar>
              <w:top w:w="0" w:type="dxa"/>
              <w:left w:w="108" w:type="dxa"/>
              <w:bottom w:w="0" w:type="dxa"/>
              <w:right w:w="108" w:type="dxa"/>
            </w:tcMar>
            <w:vAlign w:val="center"/>
          </w:tcPr>
          <w:p w14:paraId="727837FC" w14:textId="77777777" w:rsidR="004B0883" w:rsidRDefault="004B0883">
            <w:pPr>
              <w:keepNext/>
              <w:jc w:val="center"/>
              <w:rPr>
                <w:b/>
                <w:color w:val="000000"/>
              </w:rPr>
            </w:pPr>
            <w:r>
              <w:rPr>
                <w:b/>
                <w:color w:val="000000"/>
              </w:rPr>
              <w:t>主要应用领域</w:t>
            </w:r>
          </w:p>
        </w:tc>
      </w:tr>
      <w:tr w:rsidR="004B0883" w14:paraId="5E19E098" w14:textId="77777777">
        <w:trPr>
          <w:trHeight w:val="397"/>
          <w:jc w:val="center"/>
        </w:trPr>
        <w:tc>
          <w:tcPr>
            <w:tcW w:w="1227" w:type="pct"/>
            <w:tcMar>
              <w:top w:w="0" w:type="dxa"/>
              <w:left w:w="108" w:type="dxa"/>
              <w:bottom w:w="0" w:type="dxa"/>
              <w:right w:w="108" w:type="dxa"/>
            </w:tcMar>
            <w:vAlign w:val="center"/>
          </w:tcPr>
          <w:p w14:paraId="2E2ECD39" w14:textId="77777777" w:rsidR="004B0883" w:rsidRDefault="004B0883">
            <w:pPr>
              <w:rPr>
                <w:color w:val="000000"/>
              </w:rPr>
            </w:pPr>
            <w:r>
              <w:rPr>
                <w:color w:val="000000"/>
              </w:rPr>
              <w:t>江苏神通</w:t>
            </w:r>
          </w:p>
        </w:tc>
        <w:tc>
          <w:tcPr>
            <w:tcW w:w="3773" w:type="pct"/>
            <w:tcMar>
              <w:top w:w="0" w:type="dxa"/>
              <w:left w:w="108" w:type="dxa"/>
              <w:bottom w:w="0" w:type="dxa"/>
              <w:right w:w="108" w:type="dxa"/>
            </w:tcMar>
            <w:vAlign w:val="center"/>
          </w:tcPr>
          <w:p w14:paraId="5483C498" w14:textId="77777777" w:rsidR="004B0883" w:rsidRDefault="004B0883">
            <w:pPr>
              <w:rPr>
                <w:color w:val="000000"/>
              </w:rPr>
            </w:pPr>
            <w:r>
              <w:rPr>
                <w:color w:val="000000"/>
              </w:rPr>
              <w:t>主要应用于能源、冶金和核电领域</w:t>
            </w:r>
          </w:p>
        </w:tc>
      </w:tr>
      <w:tr w:rsidR="004B0883" w14:paraId="26675C1F" w14:textId="77777777">
        <w:trPr>
          <w:trHeight w:val="397"/>
          <w:jc w:val="center"/>
        </w:trPr>
        <w:tc>
          <w:tcPr>
            <w:tcW w:w="1227" w:type="pct"/>
            <w:tcMar>
              <w:top w:w="0" w:type="dxa"/>
              <w:left w:w="108" w:type="dxa"/>
              <w:bottom w:w="0" w:type="dxa"/>
              <w:right w:w="108" w:type="dxa"/>
            </w:tcMar>
            <w:vAlign w:val="center"/>
          </w:tcPr>
          <w:p w14:paraId="21CA1E35" w14:textId="77777777" w:rsidR="004B0883" w:rsidRDefault="004B0883">
            <w:pPr>
              <w:rPr>
                <w:color w:val="000000"/>
              </w:rPr>
            </w:pPr>
            <w:r>
              <w:rPr>
                <w:color w:val="000000"/>
              </w:rPr>
              <w:t>冠龙节能</w:t>
            </w:r>
          </w:p>
        </w:tc>
        <w:tc>
          <w:tcPr>
            <w:tcW w:w="3773" w:type="pct"/>
            <w:tcMar>
              <w:top w:w="0" w:type="dxa"/>
              <w:left w:w="108" w:type="dxa"/>
              <w:bottom w:w="0" w:type="dxa"/>
              <w:right w:w="108" w:type="dxa"/>
            </w:tcMar>
            <w:vAlign w:val="center"/>
          </w:tcPr>
          <w:p w14:paraId="61F59BD0" w14:textId="77777777" w:rsidR="004B0883" w:rsidRDefault="004B0883">
            <w:pPr>
              <w:rPr>
                <w:color w:val="000000"/>
              </w:rPr>
            </w:pPr>
            <w:r>
              <w:rPr>
                <w:color w:val="000000"/>
              </w:rPr>
              <w:t>主要应用于城镇给排水、水利和工业等下游领域</w:t>
            </w:r>
          </w:p>
        </w:tc>
      </w:tr>
      <w:tr w:rsidR="004B0883" w14:paraId="08BB9E80" w14:textId="77777777">
        <w:trPr>
          <w:trHeight w:val="397"/>
          <w:jc w:val="center"/>
        </w:trPr>
        <w:tc>
          <w:tcPr>
            <w:tcW w:w="1227" w:type="pct"/>
            <w:tcMar>
              <w:top w:w="0" w:type="dxa"/>
              <w:left w:w="108" w:type="dxa"/>
              <w:bottom w:w="0" w:type="dxa"/>
              <w:right w:w="108" w:type="dxa"/>
            </w:tcMar>
            <w:vAlign w:val="center"/>
          </w:tcPr>
          <w:p w14:paraId="6645D7C4" w14:textId="77777777" w:rsidR="004B0883" w:rsidRDefault="004B0883">
            <w:pPr>
              <w:rPr>
                <w:color w:val="000000"/>
              </w:rPr>
            </w:pPr>
            <w:r>
              <w:rPr>
                <w:color w:val="000000"/>
              </w:rPr>
              <w:t>纽威股份</w:t>
            </w:r>
          </w:p>
        </w:tc>
        <w:tc>
          <w:tcPr>
            <w:tcW w:w="3773" w:type="pct"/>
            <w:tcMar>
              <w:top w:w="0" w:type="dxa"/>
              <w:left w:w="108" w:type="dxa"/>
              <w:bottom w:w="0" w:type="dxa"/>
              <w:right w:w="108" w:type="dxa"/>
            </w:tcMar>
            <w:vAlign w:val="center"/>
          </w:tcPr>
          <w:p w14:paraId="2073777C" w14:textId="77777777" w:rsidR="004B0883" w:rsidRDefault="004B0883">
            <w:pPr>
              <w:rPr>
                <w:color w:val="000000"/>
              </w:rPr>
            </w:pPr>
            <w:r>
              <w:rPr>
                <w:color w:val="000000"/>
              </w:rPr>
              <w:t>主要用于石油、石化等领域</w:t>
            </w:r>
          </w:p>
        </w:tc>
      </w:tr>
      <w:tr w:rsidR="004B0883" w14:paraId="535A4636" w14:textId="77777777">
        <w:trPr>
          <w:trHeight w:val="397"/>
          <w:jc w:val="center"/>
        </w:trPr>
        <w:tc>
          <w:tcPr>
            <w:tcW w:w="1227" w:type="pct"/>
            <w:tcMar>
              <w:top w:w="0" w:type="dxa"/>
              <w:left w:w="108" w:type="dxa"/>
              <w:bottom w:w="0" w:type="dxa"/>
              <w:right w:w="108" w:type="dxa"/>
            </w:tcMar>
            <w:vAlign w:val="center"/>
          </w:tcPr>
          <w:p w14:paraId="20BC4ECC" w14:textId="77777777" w:rsidR="004B0883" w:rsidRDefault="004B0883">
            <w:pPr>
              <w:rPr>
                <w:color w:val="000000"/>
              </w:rPr>
            </w:pPr>
            <w:r>
              <w:rPr>
                <w:color w:val="000000"/>
              </w:rPr>
              <w:t>中核科技</w:t>
            </w:r>
          </w:p>
        </w:tc>
        <w:tc>
          <w:tcPr>
            <w:tcW w:w="3773" w:type="pct"/>
            <w:tcMar>
              <w:top w:w="0" w:type="dxa"/>
              <w:left w:w="108" w:type="dxa"/>
              <w:bottom w:w="0" w:type="dxa"/>
              <w:right w:w="108" w:type="dxa"/>
            </w:tcMar>
            <w:vAlign w:val="center"/>
          </w:tcPr>
          <w:p w14:paraId="7327A7B8" w14:textId="77777777" w:rsidR="004B0883" w:rsidRDefault="004B0883">
            <w:pPr>
              <w:rPr>
                <w:color w:val="000000"/>
              </w:rPr>
            </w:pPr>
            <w:r>
              <w:rPr>
                <w:color w:val="000000"/>
              </w:rPr>
              <w:t>主要应用于核电、核化工、石油石化等领域</w:t>
            </w:r>
          </w:p>
        </w:tc>
      </w:tr>
      <w:tr w:rsidR="004B0883" w14:paraId="12CBF7F0" w14:textId="77777777">
        <w:trPr>
          <w:trHeight w:val="397"/>
          <w:jc w:val="center"/>
        </w:trPr>
        <w:tc>
          <w:tcPr>
            <w:tcW w:w="1227" w:type="pct"/>
            <w:tcMar>
              <w:top w:w="0" w:type="dxa"/>
              <w:left w:w="108" w:type="dxa"/>
              <w:bottom w:w="0" w:type="dxa"/>
              <w:right w:w="108" w:type="dxa"/>
            </w:tcMar>
            <w:vAlign w:val="center"/>
          </w:tcPr>
          <w:p w14:paraId="494475EF" w14:textId="77777777" w:rsidR="004B0883" w:rsidRDefault="004B0883">
            <w:pPr>
              <w:rPr>
                <w:color w:val="000000"/>
              </w:rPr>
            </w:pPr>
            <w:r>
              <w:rPr>
                <w:color w:val="000000"/>
              </w:rPr>
              <w:t>伟隆股份</w:t>
            </w:r>
          </w:p>
        </w:tc>
        <w:tc>
          <w:tcPr>
            <w:tcW w:w="3773" w:type="pct"/>
            <w:tcMar>
              <w:top w:w="0" w:type="dxa"/>
              <w:left w:w="108" w:type="dxa"/>
              <w:bottom w:w="0" w:type="dxa"/>
              <w:right w:w="108" w:type="dxa"/>
            </w:tcMar>
            <w:vAlign w:val="center"/>
          </w:tcPr>
          <w:p w14:paraId="626D3660" w14:textId="77777777" w:rsidR="004B0883" w:rsidRDefault="004B0883">
            <w:pPr>
              <w:rPr>
                <w:color w:val="000000"/>
              </w:rPr>
            </w:pPr>
            <w:r>
              <w:rPr>
                <w:color w:val="000000"/>
              </w:rPr>
              <w:t>主要应用于城镇给排水系统、消防给水系统、空调暖通系统及、污水处理系统、燃气等领域</w:t>
            </w:r>
          </w:p>
        </w:tc>
      </w:tr>
    </w:tbl>
    <w:p w14:paraId="35F37DB7" w14:textId="77777777" w:rsidR="004B0883" w:rsidRDefault="004B0883">
      <w:pPr>
        <w:pStyle w:val="005"/>
        <w:spacing w:before="120"/>
        <w:ind w:firstLine="480"/>
      </w:pPr>
      <w:r>
        <w:t>由上表可见，公司阀门产品应用领域与可比公司存在一定差异，不同领域之间毛利率通常存在一定区别。以江苏神通披露数据为例，冶金行业及核电行业毛利率明显高于能源装备行业。可比公司中，中核科技、纽威股份、江苏神通的产品应用领域与公司不同，因此毛利率存在一定的差异。</w:t>
      </w:r>
    </w:p>
    <w:p w14:paraId="592AB2EA" w14:textId="77777777" w:rsidR="004B0883" w:rsidRDefault="004B0883">
      <w:pPr>
        <w:pStyle w:val="005"/>
        <w:spacing w:before="120"/>
        <w:ind w:firstLine="480"/>
      </w:pPr>
      <w:r>
        <w:t>冠龙节能则与公司应用领域较为接近。</w:t>
      </w:r>
      <w:r>
        <w:t>2020</w:t>
      </w:r>
      <w:r>
        <w:t>年及</w:t>
      </w:r>
      <w:r>
        <w:t>2021</w:t>
      </w:r>
      <w:r>
        <w:t>年，冠龙节能产品毛利率高于公司，</w:t>
      </w:r>
      <w:r>
        <w:t>2022</w:t>
      </w:r>
      <w:r>
        <w:t>年至</w:t>
      </w:r>
      <w:r>
        <w:t>2023</w:t>
      </w:r>
      <w:r>
        <w:t>年</w:t>
      </w:r>
      <w:r>
        <w:t>1-9</w:t>
      </w:r>
      <w:r>
        <w:t>月冠龙节能产品毛利率则略低于公司，主要系销售模式及销售区域存在差异。</w:t>
      </w:r>
    </w:p>
    <w:p w14:paraId="561EA841" w14:textId="77777777" w:rsidR="004B0883" w:rsidRDefault="004B0883">
      <w:pPr>
        <w:pStyle w:val="005"/>
        <w:spacing w:before="120"/>
        <w:ind w:firstLine="480"/>
      </w:pPr>
      <w:bookmarkStart w:id="354" w:name="_Hlk139793652"/>
      <w:r>
        <w:t>销售模式方面，</w:t>
      </w:r>
      <w:bookmarkEnd w:id="353"/>
      <w:r>
        <w:t>冠龙节能采取直销为主、经销为辅的销售模式，且以自主品牌销售为主。在直销模式下，企业需要自建销售网络，组建一定规模的销售队伍，从事市场开发推广，销售费用相对较高，直销毛利率也相应较高。公司产品主要采用贴牌和自有品牌模式相结合的业务模式，且主要以贴牌为主。与贴牌销售相比，其他条件相同的情形下，销售自有品牌产品将获得一定的品牌溢价，且节省了贴牌模式下需要预留给品牌运营商的适当利润，使得销售自主品牌的毛利率相对较高。因此</w:t>
      </w:r>
      <w:r>
        <w:t>2020</w:t>
      </w:r>
      <w:r>
        <w:t>年及</w:t>
      </w:r>
      <w:r>
        <w:t>2021</w:t>
      </w:r>
      <w:r>
        <w:t>年冠龙节能毛利率高于公司。</w:t>
      </w:r>
    </w:p>
    <w:bookmarkEnd w:id="354"/>
    <w:p w14:paraId="71299901" w14:textId="77777777" w:rsidR="004B0883" w:rsidRDefault="004B0883">
      <w:pPr>
        <w:pStyle w:val="005"/>
        <w:spacing w:before="120"/>
        <w:ind w:firstLine="480"/>
      </w:pPr>
      <w:r>
        <w:t>销售区域方面，公司销售以外销为主，</w:t>
      </w:r>
      <w:r>
        <w:t>2020</w:t>
      </w:r>
      <w:r>
        <w:t>年至</w:t>
      </w:r>
      <w:r>
        <w:t>2022</w:t>
      </w:r>
      <w:r>
        <w:t>年外销收入占比分别为</w:t>
      </w:r>
      <w:r>
        <w:t>80.11%</w:t>
      </w:r>
      <w:r>
        <w:t>、</w:t>
      </w:r>
      <w:r>
        <w:t>75.33%</w:t>
      </w:r>
      <w:r>
        <w:t>和</w:t>
      </w:r>
      <w:r>
        <w:t>83.53%</w:t>
      </w:r>
      <w:r>
        <w:t>。而冠龙节能则以内销为主，</w:t>
      </w:r>
      <w:bookmarkStart w:id="355" w:name="_Hlk138603581"/>
      <w:r>
        <w:t>2020</w:t>
      </w:r>
      <w:r>
        <w:t>年至</w:t>
      </w:r>
      <w:r>
        <w:t>2022</w:t>
      </w:r>
      <w:r>
        <w:t>年外销收入占比分别为</w:t>
      </w:r>
      <w:r>
        <w:t>4.52%</w:t>
      </w:r>
      <w:r>
        <w:t>、</w:t>
      </w:r>
      <w:r>
        <w:t>3.23%</w:t>
      </w:r>
      <w:r>
        <w:t>和</w:t>
      </w:r>
      <w:r>
        <w:t>4.97%</w:t>
      </w:r>
      <w:r>
        <w:t>。</w:t>
      </w:r>
      <w:bookmarkEnd w:id="355"/>
      <w:r>
        <w:t>2022</w:t>
      </w:r>
      <w:r>
        <w:t>年以来，受国内城镇给排水、水利和工业等阀门下游领域相对低迷、原材料成本上涨的影响，内销毛利率出现下滑。公司主要以外销为主，未受此影响。此外，</w:t>
      </w:r>
      <w:r>
        <w:t>2022</w:t>
      </w:r>
      <w:r>
        <w:t>年以来，人民币对美元汇率呈现宽幅震荡态势，美元对人民币年度平均汇率有所上升，对公司以美元计价结算的出口带来积极影响，因此</w:t>
      </w:r>
      <w:r>
        <w:t>2022</w:t>
      </w:r>
      <w:r>
        <w:t>年后毛利率高于冠龙节能。</w:t>
      </w:r>
    </w:p>
    <w:bookmarkEnd w:id="352"/>
    <w:p w14:paraId="63DFC1EF" w14:textId="77777777" w:rsidR="004B0883" w:rsidRDefault="004B0883">
      <w:pPr>
        <w:pStyle w:val="003"/>
        <w:spacing w:before="120" w:after="120"/>
      </w:pPr>
      <w:r>
        <w:t>（四）期间费用分析</w:t>
      </w:r>
    </w:p>
    <w:p w14:paraId="1A1FD05C" w14:textId="77777777" w:rsidR="004B0883" w:rsidRDefault="004B0883">
      <w:pPr>
        <w:pStyle w:val="005"/>
        <w:spacing w:before="120"/>
        <w:ind w:firstLine="480"/>
      </w:pPr>
      <w:r>
        <w:t>报告期内，公司期间费用的具体情况如下：</w:t>
      </w:r>
    </w:p>
    <w:p w14:paraId="5189076D" w14:textId="77777777" w:rsidR="004B0883" w:rsidRDefault="004B0883">
      <w:pPr>
        <w:pStyle w:val="009"/>
      </w:pPr>
      <w:r>
        <w:t>单位：万元</w:t>
      </w:r>
    </w:p>
    <w:tbl>
      <w:tblPr>
        <w:tblW w:w="5138"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109"/>
        <w:gridCol w:w="951"/>
        <w:gridCol w:w="899"/>
        <w:gridCol w:w="951"/>
        <w:gridCol w:w="899"/>
        <w:gridCol w:w="951"/>
        <w:gridCol w:w="899"/>
        <w:gridCol w:w="951"/>
        <w:gridCol w:w="899"/>
      </w:tblGrid>
      <w:tr w:rsidR="004B0883" w14:paraId="5F491F2C" w14:textId="77777777">
        <w:trPr>
          <w:trHeight w:val="397"/>
          <w:tblHeader/>
          <w:jc w:val="center"/>
        </w:trPr>
        <w:tc>
          <w:tcPr>
            <w:tcW w:w="685" w:type="pct"/>
            <w:vMerge w:val="restart"/>
            <w:shd w:val="clear" w:color="auto" w:fill="D9D9D9"/>
            <w:tcMar>
              <w:top w:w="0" w:type="dxa"/>
              <w:left w:w="108" w:type="dxa"/>
              <w:bottom w:w="0" w:type="dxa"/>
              <w:right w:w="108" w:type="dxa"/>
            </w:tcMar>
            <w:vAlign w:val="center"/>
          </w:tcPr>
          <w:p w14:paraId="10EECEAC" w14:textId="77777777" w:rsidR="004B0883" w:rsidRDefault="004B0883">
            <w:pPr>
              <w:jc w:val="center"/>
              <w:rPr>
                <w:b/>
                <w:color w:val="000000"/>
              </w:rPr>
            </w:pPr>
            <w:r>
              <w:rPr>
                <w:b/>
                <w:color w:val="000000"/>
              </w:rPr>
              <w:t>项目</w:t>
            </w:r>
          </w:p>
        </w:tc>
        <w:tc>
          <w:tcPr>
            <w:tcW w:w="1079" w:type="pct"/>
            <w:gridSpan w:val="2"/>
            <w:shd w:val="clear" w:color="auto" w:fill="D9D9D9"/>
            <w:tcMar>
              <w:top w:w="0" w:type="dxa"/>
              <w:left w:w="108" w:type="dxa"/>
              <w:bottom w:w="0" w:type="dxa"/>
              <w:right w:w="108" w:type="dxa"/>
            </w:tcMar>
            <w:vAlign w:val="center"/>
          </w:tcPr>
          <w:p w14:paraId="347B4971" w14:textId="77777777" w:rsidR="004B0883" w:rsidRDefault="004B0883">
            <w:pPr>
              <w:jc w:val="center"/>
              <w:rPr>
                <w:b/>
                <w:color w:val="000000"/>
              </w:rPr>
            </w:pPr>
            <w:r>
              <w:rPr>
                <w:b/>
                <w:color w:val="000000"/>
              </w:rPr>
              <w:t>2023</w:t>
            </w:r>
            <w:r>
              <w:rPr>
                <w:b/>
                <w:color w:val="000000"/>
              </w:rPr>
              <w:t>年</w:t>
            </w:r>
            <w:r>
              <w:rPr>
                <w:b/>
                <w:color w:val="000000"/>
              </w:rPr>
              <w:t>1-9</w:t>
            </w:r>
            <w:r>
              <w:rPr>
                <w:b/>
                <w:color w:val="000000"/>
              </w:rPr>
              <w:t>月</w:t>
            </w:r>
          </w:p>
        </w:tc>
        <w:tc>
          <w:tcPr>
            <w:tcW w:w="1080" w:type="pct"/>
            <w:gridSpan w:val="2"/>
            <w:shd w:val="clear" w:color="auto" w:fill="D9D9D9"/>
            <w:tcMar>
              <w:top w:w="0" w:type="dxa"/>
              <w:left w:w="108" w:type="dxa"/>
              <w:bottom w:w="0" w:type="dxa"/>
              <w:right w:w="108" w:type="dxa"/>
            </w:tcMar>
            <w:vAlign w:val="center"/>
          </w:tcPr>
          <w:p w14:paraId="78BD4D4A" w14:textId="77777777" w:rsidR="004B0883" w:rsidRDefault="004B0883">
            <w:pPr>
              <w:jc w:val="center"/>
              <w:rPr>
                <w:b/>
                <w:color w:val="000000"/>
              </w:rPr>
            </w:pPr>
            <w:r>
              <w:rPr>
                <w:b/>
                <w:color w:val="000000"/>
              </w:rPr>
              <w:t>2022</w:t>
            </w:r>
            <w:r>
              <w:rPr>
                <w:b/>
                <w:color w:val="000000"/>
              </w:rPr>
              <w:t>年度</w:t>
            </w:r>
          </w:p>
        </w:tc>
        <w:tc>
          <w:tcPr>
            <w:tcW w:w="1080" w:type="pct"/>
            <w:gridSpan w:val="2"/>
            <w:shd w:val="clear" w:color="auto" w:fill="D9D9D9"/>
            <w:tcMar>
              <w:top w:w="0" w:type="dxa"/>
              <w:left w:w="108" w:type="dxa"/>
              <w:bottom w:w="0" w:type="dxa"/>
              <w:right w:w="108" w:type="dxa"/>
            </w:tcMar>
            <w:vAlign w:val="center"/>
          </w:tcPr>
          <w:p w14:paraId="114AF68A" w14:textId="77777777" w:rsidR="004B0883" w:rsidRDefault="004B0883">
            <w:pPr>
              <w:jc w:val="center"/>
              <w:rPr>
                <w:b/>
                <w:color w:val="000000"/>
              </w:rPr>
            </w:pPr>
            <w:r>
              <w:rPr>
                <w:b/>
                <w:color w:val="000000"/>
              </w:rPr>
              <w:t>2021</w:t>
            </w:r>
            <w:r>
              <w:rPr>
                <w:b/>
                <w:color w:val="000000"/>
              </w:rPr>
              <w:t>年</w:t>
            </w:r>
            <w:r>
              <w:rPr>
                <w:b/>
                <w:bCs/>
                <w:kern w:val="0"/>
              </w:rPr>
              <w:t>度</w:t>
            </w:r>
          </w:p>
        </w:tc>
        <w:tc>
          <w:tcPr>
            <w:tcW w:w="1076" w:type="pct"/>
            <w:gridSpan w:val="2"/>
            <w:shd w:val="clear" w:color="auto" w:fill="D9D9D9"/>
            <w:tcMar>
              <w:top w:w="0" w:type="dxa"/>
              <w:left w:w="108" w:type="dxa"/>
              <w:bottom w:w="0" w:type="dxa"/>
              <w:right w:w="108" w:type="dxa"/>
            </w:tcMar>
            <w:vAlign w:val="center"/>
          </w:tcPr>
          <w:p w14:paraId="03E0B9EB" w14:textId="77777777" w:rsidR="004B0883" w:rsidRDefault="004B0883">
            <w:pPr>
              <w:jc w:val="center"/>
              <w:rPr>
                <w:b/>
                <w:color w:val="000000"/>
              </w:rPr>
            </w:pPr>
            <w:r>
              <w:rPr>
                <w:b/>
                <w:color w:val="000000"/>
              </w:rPr>
              <w:t>2020</w:t>
            </w:r>
            <w:r>
              <w:rPr>
                <w:b/>
                <w:color w:val="000000"/>
              </w:rPr>
              <w:t>年</w:t>
            </w:r>
            <w:r>
              <w:rPr>
                <w:b/>
                <w:bCs/>
                <w:kern w:val="0"/>
              </w:rPr>
              <w:t>度</w:t>
            </w:r>
          </w:p>
        </w:tc>
      </w:tr>
      <w:tr w:rsidR="004B0883" w14:paraId="1DF1AEA4" w14:textId="77777777">
        <w:trPr>
          <w:trHeight w:val="397"/>
          <w:tblHeader/>
          <w:jc w:val="center"/>
        </w:trPr>
        <w:tc>
          <w:tcPr>
            <w:tcW w:w="685" w:type="pct"/>
            <w:vMerge/>
            <w:shd w:val="clear" w:color="auto" w:fill="D9D9D9"/>
            <w:tcMar>
              <w:top w:w="0" w:type="dxa"/>
              <w:left w:w="108" w:type="dxa"/>
              <w:bottom w:w="0" w:type="dxa"/>
              <w:right w:w="108" w:type="dxa"/>
            </w:tcMar>
            <w:vAlign w:val="center"/>
          </w:tcPr>
          <w:p w14:paraId="133DBAAC" w14:textId="77777777" w:rsidR="004B0883" w:rsidRDefault="004B0883">
            <w:pPr>
              <w:jc w:val="center"/>
              <w:rPr>
                <w:b/>
                <w:color w:val="000000"/>
              </w:rPr>
            </w:pPr>
          </w:p>
        </w:tc>
        <w:tc>
          <w:tcPr>
            <w:tcW w:w="543" w:type="pct"/>
            <w:shd w:val="clear" w:color="auto" w:fill="D9D9D9"/>
            <w:tcMar>
              <w:top w:w="0" w:type="dxa"/>
              <w:left w:w="108" w:type="dxa"/>
              <w:bottom w:w="0" w:type="dxa"/>
              <w:right w:w="108" w:type="dxa"/>
            </w:tcMar>
            <w:vAlign w:val="center"/>
          </w:tcPr>
          <w:p w14:paraId="422F0A3D" w14:textId="77777777" w:rsidR="004B0883" w:rsidRDefault="004B0883">
            <w:pPr>
              <w:jc w:val="center"/>
              <w:rPr>
                <w:b/>
                <w:color w:val="000000"/>
              </w:rPr>
            </w:pPr>
            <w:r>
              <w:rPr>
                <w:b/>
                <w:color w:val="000000"/>
              </w:rPr>
              <w:t>金额</w:t>
            </w:r>
          </w:p>
        </w:tc>
        <w:tc>
          <w:tcPr>
            <w:tcW w:w="536" w:type="pct"/>
            <w:shd w:val="clear" w:color="auto" w:fill="D9D9D9"/>
            <w:tcMar>
              <w:top w:w="0" w:type="dxa"/>
              <w:left w:w="108" w:type="dxa"/>
              <w:bottom w:w="0" w:type="dxa"/>
              <w:right w:w="108" w:type="dxa"/>
            </w:tcMar>
            <w:vAlign w:val="center"/>
          </w:tcPr>
          <w:p w14:paraId="21A89104" w14:textId="77777777" w:rsidR="004B0883" w:rsidRDefault="004B0883">
            <w:pPr>
              <w:jc w:val="center"/>
              <w:rPr>
                <w:b/>
                <w:color w:val="000000"/>
              </w:rPr>
            </w:pPr>
            <w:r>
              <w:rPr>
                <w:b/>
                <w:color w:val="000000"/>
              </w:rPr>
              <w:t>占营业</w:t>
            </w:r>
          </w:p>
          <w:p w14:paraId="5AD00B89" w14:textId="77777777" w:rsidR="004B0883" w:rsidRDefault="004B0883">
            <w:pPr>
              <w:jc w:val="center"/>
              <w:rPr>
                <w:b/>
                <w:color w:val="000000"/>
              </w:rPr>
            </w:pPr>
            <w:r>
              <w:rPr>
                <w:b/>
                <w:color w:val="000000"/>
              </w:rPr>
              <w:t>收入</w:t>
            </w:r>
          </w:p>
          <w:p w14:paraId="7A5772BD" w14:textId="77777777" w:rsidR="004B0883" w:rsidRDefault="004B0883">
            <w:pPr>
              <w:jc w:val="center"/>
              <w:rPr>
                <w:b/>
                <w:color w:val="000000"/>
              </w:rPr>
            </w:pPr>
            <w:r>
              <w:rPr>
                <w:b/>
                <w:color w:val="000000"/>
              </w:rPr>
              <w:t>比重</w:t>
            </w:r>
          </w:p>
        </w:tc>
        <w:tc>
          <w:tcPr>
            <w:tcW w:w="543" w:type="pct"/>
            <w:shd w:val="clear" w:color="auto" w:fill="D9D9D9"/>
            <w:tcMar>
              <w:top w:w="0" w:type="dxa"/>
              <w:left w:w="108" w:type="dxa"/>
              <w:bottom w:w="0" w:type="dxa"/>
              <w:right w:w="108" w:type="dxa"/>
            </w:tcMar>
            <w:vAlign w:val="center"/>
          </w:tcPr>
          <w:p w14:paraId="07D9B30D" w14:textId="77777777" w:rsidR="004B0883" w:rsidRDefault="004B0883">
            <w:pPr>
              <w:jc w:val="center"/>
              <w:rPr>
                <w:b/>
                <w:color w:val="000000"/>
              </w:rPr>
            </w:pPr>
            <w:r>
              <w:rPr>
                <w:b/>
                <w:color w:val="000000"/>
              </w:rPr>
              <w:t>金额</w:t>
            </w:r>
          </w:p>
        </w:tc>
        <w:tc>
          <w:tcPr>
            <w:tcW w:w="537" w:type="pct"/>
            <w:shd w:val="clear" w:color="auto" w:fill="D9D9D9"/>
            <w:tcMar>
              <w:top w:w="0" w:type="dxa"/>
              <w:left w:w="108" w:type="dxa"/>
              <w:bottom w:w="0" w:type="dxa"/>
              <w:right w:w="108" w:type="dxa"/>
            </w:tcMar>
            <w:vAlign w:val="center"/>
          </w:tcPr>
          <w:p w14:paraId="45B6ACE6" w14:textId="77777777" w:rsidR="004B0883" w:rsidRDefault="004B0883">
            <w:pPr>
              <w:jc w:val="center"/>
              <w:rPr>
                <w:b/>
                <w:color w:val="000000"/>
              </w:rPr>
            </w:pPr>
            <w:r>
              <w:rPr>
                <w:b/>
                <w:color w:val="000000"/>
              </w:rPr>
              <w:t>占营业</w:t>
            </w:r>
          </w:p>
          <w:p w14:paraId="0C13CFB8" w14:textId="77777777" w:rsidR="004B0883" w:rsidRDefault="004B0883">
            <w:pPr>
              <w:jc w:val="center"/>
              <w:rPr>
                <w:b/>
                <w:color w:val="000000"/>
              </w:rPr>
            </w:pPr>
            <w:r>
              <w:rPr>
                <w:b/>
                <w:color w:val="000000"/>
              </w:rPr>
              <w:t>收入</w:t>
            </w:r>
          </w:p>
          <w:p w14:paraId="6F14895A" w14:textId="77777777" w:rsidR="004B0883" w:rsidRDefault="004B0883">
            <w:pPr>
              <w:jc w:val="center"/>
              <w:rPr>
                <w:b/>
                <w:color w:val="000000"/>
              </w:rPr>
            </w:pPr>
            <w:r>
              <w:rPr>
                <w:b/>
                <w:color w:val="000000"/>
              </w:rPr>
              <w:t>比重</w:t>
            </w:r>
          </w:p>
        </w:tc>
        <w:tc>
          <w:tcPr>
            <w:tcW w:w="543" w:type="pct"/>
            <w:shd w:val="clear" w:color="auto" w:fill="D9D9D9"/>
            <w:tcMar>
              <w:top w:w="0" w:type="dxa"/>
              <w:left w:w="108" w:type="dxa"/>
              <w:bottom w:w="0" w:type="dxa"/>
              <w:right w:w="108" w:type="dxa"/>
            </w:tcMar>
            <w:vAlign w:val="center"/>
          </w:tcPr>
          <w:p w14:paraId="01E634CA" w14:textId="77777777" w:rsidR="004B0883" w:rsidRDefault="004B0883">
            <w:pPr>
              <w:jc w:val="center"/>
              <w:rPr>
                <w:b/>
                <w:color w:val="000000"/>
              </w:rPr>
            </w:pPr>
            <w:r>
              <w:rPr>
                <w:b/>
                <w:color w:val="000000"/>
              </w:rPr>
              <w:t>金额</w:t>
            </w:r>
          </w:p>
        </w:tc>
        <w:tc>
          <w:tcPr>
            <w:tcW w:w="537" w:type="pct"/>
            <w:shd w:val="clear" w:color="auto" w:fill="D9D9D9"/>
            <w:tcMar>
              <w:top w:w="0" w:type="dxa"/>
              <w:left w:w="108" w:type="dxa"/>
              <w:bottom w:w="0" w:type="dxa"/>
              <w:right w:w="108" w:type="dxa"/>
            </w:tcMar>
            <w:vAlign w:val="center"/>
          </w:tcPr>
          <w:p w14:paraId="7783DCDB" w14:textId="77777777" w:rsidR="004B0883" w:rsidRDefault="004B0883">
            <w:pPr>
              <w:jc w:val="center"/>
              <w:rPr>
                <w:b/>
                <w:color w:val="000000"/>
              </w:rPr>
            </w:pPr>
            <w:r>
              <w:rPr>
                <w:b/>
                <w:color w:val="000000"/>
              </w:rPr>
              <w:t>占业</w:t>
            </w:r>
          </w:p>
          <w:p w14:paraId="18BCB599" w14:textId="77777777" w:rsidR="004B0883" w:rsidRDefault="004B0883">
            <w:pPr>
              <w:jc w:val="center"/>
              <w:rPr>
                <w:b/>
                <w:color w:val="000000"/>
              </w:rPr>
            </w:pPr>
            <w:r>
              <w:rPr>
                <w:b/>
                <w:color w:val="000000"/>
              </w:rPr>
              <w:t>收入</w:t>
            </w:r>
          </w:p>
          <w:p w14:paraId="1A8F78B0" w14:textId="77777777" w:rsidR="004B0883" w:rsidRDefault="004B0883">
            <w:pPr>
              <w:jc w:val="center"/>
              <w:rPr>
                <w:b/>
                <w:color w:val="000000"/>
              </w:rPr>
            </w:pPr>
            <w:r>
              <w:rPr>
                <w:b/>
                <w:color w:val="000000"/>
              </w:rPr>
              <w:t>比重</w:t>
            </w:r>
          </w:p>
        </w:tc>
        <w:tc>
          <w:tcPr>
            <w:tcW w:w="543" w:type="pct"/>
            <w:shd w:val="clear" w:color="auto" w:fill="D9D9D9"/>
            <w:tcMar>
              <w:top w:w="0" w:type="dxa"/>
              <w:left w:w="108" w:type="dxa"/>
              <w:bottom w:w="0" w:type="dxa"/>
              <w:right w:w="108" w:type="dxa"/>
            </w:tcMar>
            <w:vAlign w:val="center"/>
          </w:tcPr>
          <w:p w14:paraId="0D15C411" w14:textId="77777777" w:rsidR="004B0883" w:rsidRDefault="004B0883">
            <w:pPr>
              <w:jc w:val="center"/>
              <w:rPr>
                <w:b/>
                <w:color w:val="000000"/>
              </w:rPr>
            </w:pPr>
            <w:r>
              <w:rPr>
                <w:b/>
                <w:color w:val="000000"/>
              </w:rPr>
              <w:t>金额</w:t>
            </w:r>
          </w:p>
        </w:tc>
        <w:tc>
          <w:tcPr>
            <w:tcW w:w="533" w:type="pct"/>
            <w:shd w:val="clear" w:color="auto" w:fill="D9D9D9"/>
            <w:tcMar>
              <w:top w:w="0" w:type="dxa"/>
              <w:left w:w="108" w:type="dxa"/>
              <w:bottom w:w="0" w:type="dxa"/>
              <w:right w:w="108" w:type="dxa"/>
            </w:tcMar>
            <w:vAlign w:val="center"/>
          </w:tcPr>
          <w:p w14:paraId="170F88A2" w14:textId="77777777" w:rsidR="004B0883" w:rsidRDefault="004B0883">
            <w:pPr>
              <w:jc w:val="center"/>
              <w:rPr>
                <w:b/>
                <w:color w:val="000000"/>
              </w:rPr>
            </w:pPr>
            <w:r>
              <w:rPr>
                <w:b/>
                <w:color w:val="000000"/>
              </w:rPr>
              <w:t>占营业</w:t>
            </w:r>
          </w:p>
          <w:p w14:paraId="49F97B21" w14:textId="77777777" w:rsidR="004B0883" w:rsidRDefault="004B0883">
            <w:pPr>
              <w:jc w:val="center"/>
              <w:rPr>
                <w:b/>
                <w:color w:val="000000"/>
              </w:rPr>
            </w:pPr>
            <w:r>
              <w:rPr>
                <w:b/>
                <w:color w:val="000000"/>
              </w:rPr>
              <w:t>收入</w:t>
            </w:r>
          </w:p>
          <w:p w14:paraId="02F57762" w14:textId="77777777" w:rsidR="004B0883" w:rsidRDefault="004B0883">
            <w:pPr>
              <w:jc w:val="center"/>
              <w:rPr>
                <w:b/>
                <w:color w:val="000000"/>
              </w:rPr>
            </w:pPr>
            <w:r>
              <w:rPr>
                <w:b/>
                <w:color w:val="000000"/>
              </w:rPr>
              <w:t>比重</w:t>
            </w:r>
          </w:p>
        </w:tc>
      </w:tr>
      <w:tr w:rsidR="004B0883" w14:paraId="60E12438" w14:textId="77777777">
        <w:trPr>
          <w:trHeight w:val="397"/>
          <w:jc w:val="center"/>
        </w:trPr>
        <w:tc>
          <w:tcPr>
            <w:tcW w:w="685" w:type="pct"/>
            <w:tcMar>
              <w:top w:w="0" w:type="dxa"/>
              <w:left w:w="108" w:type="dxa"/>
              <w:bottom w:w="0" w:type="dxa"/>
              <w:right w:w="108" w:type="dxa"/>
            </w:tcMar>
            <w:vAlign w:val="center"/>
          </w:tcPr>
          <w:p w14:paraId="5BC57A5B" w14:textId="77777777" w:rsidR="004B0883" w:rsidRDefault="004B0883">
            <w:pPr>
              <w:rPr>
                <w:color w:val="000000"/>
              </w:rPr>
            </w:pPr>
            <w:r>
              <w:rPr>
                <w:color w:val="000000"/>
              </w:rPr>
              <w:t>销售费用</w:t>
            </w:r>
          </w:p>
        </w:tc>
        <w:tc>
          <w:tcPr>
            <w:tcW w:w="543" w:type="pct"/>
            <w:tcMar>
              <w:top w:w="0" w:type="dxa"/>
              <w:left w:w="108" w:type="dxa"/>
              <w:bottom w:w="0" w:type="dxa"/>
              <w:right w:w="108" w:type="dxa"/>
            </w:tcMar>
            <w:vAlign w:val="center"/>
          </w:tcPr>
          <w:p w14:paraId="41F3EF6B" w14:textId="77777777" w:rsidR="004B0883" w:rsidRDefault="004B0883">
            <w:pPr>
              <w:jc w:val="right"/>
              <w:rPr>
                <w:color w:val="000000"/>
              </w:rPr>
            </w:pPr>
            <w:r>
              <w:rPr>
                <w:rFonts w:hint="eastAsia"/>
                <w:color w:val="000000"/>
              </w:rPr>
              <w:t xml:space="preserve">1,953.17 </w:t>
            </w:r>
          </w:p>
        </w:tc>
        <w:tc>
          <w:tcPr>
            <w:tcW w:w="536" w:type="pct"/>
            <w:tcMar>
              <w:top w:w="0" w:type="dxa"/>
              <w:left w:w="108" w:type="dxa"/>
              <w:bottom w:w="0" w:type="dxa"/>
              <w:right w:w="108" w:type="dxa"/>
            </w:tcMar>
            <w:vAlign w:val="center"/>
          </w:tcPr>
          <w:p w14:paraId="4634A719" w14:textId="77777777" w:rsidR="004B0883" w:rsidRDefault="004B0883">
            <w:pPr>
              <w:jc w:val="right"/>
              <w:rPr>
                <w:color w:val="000000"/>
              </w:rPr>
            </w:pPr>
            <w:r>
              <w:rPr>
                <w:rFonts w:hint="eastAsia"/>
                <w:color w:val="000000"/>
              </w:rPr>
              <w:t>4.89%</w:t>
            </w:r>
          </w:p>
        </w:tc>
        <w:tc>
          <w:tcPr>
            <w:tcW w:w="543" w:type="pct"/>
            <w:tcMar>
              <w:top w:w="0" w:type="dxa"/>
              <w:left w:w="108" w:type="dxa"/>
              <w:bottom w:w="0" w:type="dxa"/>
              <w:right w:w="108" w:type="dxa"/>
            </w:tcMar>
            <w:vAlign w:val="center"/>
          </w:tcPr>
          <w:p w14:paraId="6CFB5201" w14:textId="77777777" w:rsidR="004B0883" w:rsidRDefault="004B0883">
            <w:pPr>
              <w:jc w:val="right"/>
              <w:rPr>
                <w:color w:val="000000"/>
              </w:rPr>
            </w:pPr>
            <w:r>
              <w:rPr>
                <w:color w:val="000000"/>
              </w:rPr>
              <w:t>3,098.42</w:t>
            </w:r>
          </w:p>
        </w:tc>
        <w:tc>
          <w:tcPr>
            <w:tcW w:w="537" w:type="pct"/>
            <w:tcMar>
              <w:top w:w="0" w:type="dxa"/>
              <w:left w:w="108" w:type="dxa"/>
              <w:bottom w:w="0" w:type="dxa"/>
              <w:right w:w="108" w:type="dxa"/>
            </w:tcMar>
            <w:vAlign w:val="center"/>
          </w:tcPr>
          <w:p w14:paraId="0085EE19" w14:textId="77777777" w:rsidR="004B0883" w:rsidRDefault="004B0883">
            <w:pPr>
              <w:jc w:val="right"/>
              <w:rPr>
                <w:color w:val="000000"/>
              </w:rPr>
            </w:pPr>
            <w:r>
              <w:rPr>
                <w:color w:val="000000"/>
              </w:rPr>
              <w:t>5.74%</w:t>
            </w:r>
          </w:p>
        </w:tc>
        <w:tc>
          <w:tcPr>
            <w:tcW w:w="543" w:type="pct"/>
            <w:tcMar>
              <w:top w:w="0" w:type="dxa"/>
              <w:left w:w="108" w:type="dxa"/>
              <w:bottom w:w="0" w:type="dxa"/>
              <w:right w:w="108" w:type="dxa"/>
            </w:tcMar>
            <w:vAlign w:val="center"/>
          </w:tcPr>
          <w:p w14:paraId="2D0BE0C4" w14:textId="77777777" w:rsidR="004B0883" w:rsidRDefault="004B0883">
            <w:pPr>
              <w:jc w:val="right"/>
              <w:rPr>
                <w:color w:val="000000"/>
              </w:rPr>
            </w:pPr>
            <w:r>
              <w:rPr>
                <w:color w:val="000000"/>
              </w:rPr>
              <w:t>2,788.32</w:t>
            </w:r>
          </w:p>
        </w:tc>
        <w:tc>
          <w:tcPr>
            <w:tcW w:w="537" w:type="pct"/>
            <w:tcMar>
              <w:top w:w="0" w:type="dxa"/>
              <w:left w:w="108" w:type="dxa"/>
              <w:bottom w:w="0" w:type="dxa"/>
              <w:right w:w="108" w:type="dxa"/>
            </w:tcMar>
            <w:vAlign w:val="center"/>
          </w:tcPr>
          <w:p w14:paraId="3BBA9513" w14:textId="77777777" w:rsidR="004B0883" w:rsidRDefault="004B0883">
            <w:pPr>
              <w:jc w:val="right"/>
              <w:rPr>
                <w:color w:val="000000"/>
              </w:rPr>
            </w:pPr>
            <w:r>
              <w:rPr>
                <w:color w:val="000000"/>
              </w:rPr>
              <w:t>6.72%</w:t>
            </w:r>
          </w:p>
        </w:tc>
        <w:tc>
          <w:tcPr>
            <w:tcW w:w="543" w:type="pct"/>
            <w:tcMar>
              <w:top w:w="0" w:type="dxa"/>
              <w:left w:w="108" w:type="dxa"/>
              <w:bottom w:w="0" w:type="dxa"/>
              <w:right w:w="108" w:type="dxa"/>
            </w:tcMar>
            <w:vAlign w:val="center"/>
          </w:tcPr>
          <w:p w14:paraId="7FF5BF05" w14:textId="77777777" w:rsidR="004B0883" w:rsidRDefault="004B0883">
            <w:pPr>
              <w:jc w:val="right"/>
              <w:rPr>
                <w:color w:val="000000"/>
              </w:rPr>
            </w:pPr>
            <w:r>
              <w:rPr>
                <w:color w:val="000000"/>
              </w:rPr>
              <w:t>2,082.10</w:t>
            </w:r>
          </w:p>
        </w:tc>
        <w:tc>
          <w:tcPr>
            <w:tcW w:w="533" w:type="pct"/>
            <w:tcMar>
              <w:top w:w="0" w:type="dxa"/>
              <w:left w:w="108" w:type="dxa"/>
              <w:bottom w:w="0" w:type="dxa"/>
              <w:right w:w="108" w:type="dxa"/>
            </w:tcMar>
            <w:vAlign w:val="center"/>
          </w:tcPr>
          <w:p w14:paraId="11AE257F" w14:textId="77777777" w:rsidR="004B0883" w:rsidRDefault="004B0883">
            <w:pPr>
              <w:jc w:val="right"/>
              <w:rPr>
                <w:color w:val="000000"/>
              </w:rPr>
            </w:pPr>
            <w:r>
              <w:rPr>
                <w:color w:val="000000"/>
              </w:rPr>
              <w:t>6.04%</w:t>
            </w:r>
          </w:p>
        </w:tc>
      </w:tr>
      <w:tr w:rsidR="004B0883" w14:paraId="6B64FDBE" w14:textId="77777777">
        <w:trPr>
          <w:trHeight w:val="397"/>
          <w:jc w:val="center"/>
        </w:trPr>
        <w:tc>
          <w:tcPr>
            <w:tcW w:w="685" w:type="pct"/>
            <w:tcMar>
              <w:top w:w="0" w:type="dxa"/>
              <w:left w:w="108" w:type="dxa"/>
              <w:bottom w:w="0" w:type="dxa"/>
              <w:right w:w="108" w:type="dxa"/>
            </w:tcMar>
            <w:vAlign w:val="center"/>
          </w:tcPr>
          <w:p w14:paraId="38376331" w14:textId="77777777" w:rsidR="004B0883" w:rsidRDefault="004B0883">
            <w:pPr>
              <w:rPr>
                <w:color w:val="000000"/>
              </w:rPr>
            </w:pPr>
            <w:r>
              <w:rPr>
                <w:color w:val="000000"/>
              </w:rPr>
              <w:t>管理费用</w:t>
            </w:r>
          </w:p>
        </w:tc>
        <w:tc>
          <w:tcPr>
            <w:tcW w:w="543" w:type="pct"/>
            <w:tcMar>
              <w:top w:w="0" w:type="dxa"/>
              <w:left w:w="108" w:type="dxa"/>
              <w:bottom w:w="0" w:type="dxa"/>
              <w:right w:w="108" w:type="dxa"/>
            </w:tcMar>
            <w:vAlign w:val="center"/>
          </w:tcPr>
          <w:p w14:paraId="3FE52964" w14:textId="77777777" w:rsidR="004B0883" w:rsidRDefault="004B0883">
            <w:pPr>
              <w:jc w:val="right"/>
              <w:rPr>
                <w:color w:val="000000"/>
              </w:rPr>
            </w:pPr>
            <w:r>
              <w:rPr>
                <w:color w:val="000000"/>
              </w:rPr>
              <w:t>2,387.83</w:t>
            </w:r>
          </w:p>
        </w:tc>
        <w:tc>
          <w:tcPr>
            <w:tcW w:w="536" w:type="pct"/>
            <w:tcMar>
              <w:top w:w="0" w:type="dxa"/>
              <w:left w:w="108" w:type="dxa"/>
              <w:bottom w:w="0" w:type="dxa"/>
              <w:right w:w="108" w:type="dxa"/>
            </w:tcMar>
            <w:vAlign w:val="center"/>
          </w:tcPr>
          <w:p w14:paraId="5571ABF5" w14:textId="77777777" w:rsidR="004B0883" w:rsidRDefault="004B0883">
            <w:pPr>
              <w:jc w:val="right"/>
              <w:rPr>
                <w:color w:val="000000"/>
              </w:rPr>
            </w:pPr>
            <w:r>
              <w:rPr>
                <w:rFonts w:hint="eastAsia"/>
                <w:color w:val="000000"/>
              </w:rPr>
              <w:t>5.98%</w:t>
            </w:r>
          </w:p>
        </w:tc>
        <w:tc>
          <w:tcPr>
            <w:tcW w:w="543" w:type="pct"/>
            <w:tcMar>
              <w:top w:w="0" w:type="dxa"/>
              <w:left w:w="108" w:type="dxa"/>
              <w:bottom w:w="0" w:type="dxa"/>
              <w:right w:w="108" w:type="dxa"/>
            </w:tcMar>
            <w:vAlign w:val="center"/>
          </w:tcPr>
          <w:p w14:paraId="04DEAC8D" w14:textId="77777777" w:rsidR="004B0883" w:rsidRDefault="004B0883">
            <w:pPr>
              <w:jc w:val="right"/>
              <w:rPr>
                <w:color w:val="000000"/>
              </w:rPr>
            </w:pPr>
            <w:r>
              <w:rPr>
                <w:color w:val="000000"/>
              </w:rPr>
              <w:t>3,227.61</w:t>
            </w:r>
          </w:p>
        </w:tc>
        <w:tc>
          <w:tcPr>
            <w:tcW w:w="537" w:type="pct"/>
            <w:tcMar>
              <w:top w:w="0" w:type="dxa"/>
              <w:left w:w="108" w:type="dxa"/>
              <w:bottom w:w="0" w:type="dxa"/>
              <w:right w:w="108" w:type="dxa"/>
            </w:tcMar>
            <w:vAlign w:val="center"/>
          </w:tcPr>
          <w:p w14:paraId="6D8E48D4" w14:textId="77777777" w:rsidR="004B0883" w:rsidRDefault="004B0883">
            <w:pPr>
              <w:jc w:val="right"/>
              <w:rPr>
                <w:color w:val="000000"/>
              </w:rPr>
            </w:pPr>
            <w:r>
              <w:rPr>
                <w:color w:val="000000"/>
              </w:rPr>
              <w:t>5.98%</w:t>
            </w:r>
          </w:p>
        </w:tc>
        <w:tc>
          <w:tcPr>
            <w:tcW w:w="543" w:type="pct"/>
            <w:tcMar>
              <w:top w:w="0" w:type="dxa"/>
              <w:left w:w="108" w:type="dxa"/>
              <w:bottom w:w="0" w:type="dxa"/>
              <w:right w:w="108" w:type="dxa"/>
            </w:tcMar>
            <w:vAlign w:val="center"/>
          </w:tcPr>
          <w:p w14:paraId="068CE248" w14:textId="77777777" w:rsidR="004B0883" w:rsidRDefault="004B0883">
            <w:pPr>
              <w:jc w:val="right"/>
              <w:rPr>
                <w:color w:val="000000"/>
              </w:rPr>
            </w:pPr>
            <w:r>
              <w:rPr>
                <w:color w:val="000000"/>
              </w:rPr>
              <w:t>2,180.12</w:t>
            </w:r>
          </w:p>
        </w:tc>
        <w:tc>
          <w:tcPr>
            <w:tcW w:w="537" w:type="pct"/>
            <w:tcMar>
              <w:top w:w="0" w:type="dxa"/>
              <w:left w:w="108" w:type="dxa"/>
              <w:bottom w:w="0" w:type="dxa"/>
              <w:right w:w="108" w:type="dxa"/>
            </w:tcMar>
            <w:vAlign w:val="center"/>
          </w:tcPr>
          <w:p w14:paraId="65D1A1F8" w14:textId="77777777" w:rsidR="004B0883" w:rsidRDefault="004B0883">
            <w:pPr>
              <w:jc w:val="right"/>
              <w:rPr>
                <w:color w:val="000000"/>
              </w:rPr>
            </w:pPr>
            <w:r>
              <w:rPr>
                <w:color w:val="000000"/>
              </w:rPr>
              <w:t>5.25%</w:t>
            </w:r>
          </w:p>
        </w:tc>
        <w:tc>
          <w:tcPr>
            <w:tcW w:w="543" w:type="pct"/>
            <w:tcMar>
              <w:top w:w="0" w:type="dxa"/>
              <w:left w:w="108" w:type="dxa"/>
              <w:bottom w:w="0" w:type="dxa"/>
              <w:right w:w="108" w:type="dxa"/>
            </w:tcMar>
            <w:vAlign w:val="center"/>
          </w:tcPr>
          <w:p w14:paraId="363FA1AD" w14:textId="77777777" w:rsidR="004B0883" w:rsidRDefault="004B0883">
            <w:pPr>
              <w:jc w:val="right"/>
              <w:rPr>
                <w:color w:val="000000"/>
              </w:rPr>
            </w:pPr>
            <w:r>
              <w:rPr>
                <w:color w:val="000000"/>
              </w:rPr>
              <w:t>2,325.75</w:t>
            </w:r>
          </w:p>
        </w:tc>
        <w:tc>
          <w:tcPr>
            <w:tcW w:w="533" w:type="pct"/>
            <w:tcMar>
              <w:top w:w="0" w:type="dxa"/>
              <w:left w:w="108" w:type="dxa"/>
              <w:bottom w:w="0" w:type="dxa"/>
              <w:right w:w="108" w:type="dxa"/>
            </w:tcMar>
            <w:vAlign w:val="center"/>
          </w:tcPr>
          <w:p w14:paraId="422A49FB" w14:textId="77777777" w:rsidR="004B0883" w:rsidRDefault="004B0883">
            <w:pPr>
              <w:jc w:val="right"/>
              <w:rPr>
                <w:color w:val="000000"/>
              </w:rPr>
            </w:pPr>
            <w:r>
              <w:rPr>
                <w:color w:val="000000"/>
              </w:rPr>
              <w:t>6.75%</w:t>
            </w:r>
          </w:p>
        </w:tc>
      </w:tr>
      <w:tr w:rsidR="004B0883" w14:paraId="5344B888" w14:textId="77777777">
        <w:trPr>
          <w:trHeight w:val="397"/>
          <w:jc w:val="center"/>
        </w:trPr>
        <w:tc>
          <w:tcPr>
            <w:tcW w:w="685" w:type="pct"/>
            <w:tcMar>
              <w:top w:w="0" w:type="dxa"/>
              <w:left w:w="108" w:type="dxa"/>
              <w:bottom w:w="0" w:type="dxa"/>
              <w:right w:w="108" w:type="dxa"/>
            </w:tcMar>
            <w:vAlign w:val="center"/>
          </w:tcPr>
          <w:p w14:paraId="1C6760E1" w14:textId="77777777" w:rsidR="004B0883" w:rsidRDefault="004B0883">
            <w:pPr>
              <w:rPr>
                <w:color w:val="000000"/>
              </w:rPr>
            </w:pPr>
            <w:r>
              <w:rPr>
                <w:color w:val="000000"/>
              </w:rPr>
              <w:t>研发费用</w:t>
            </w:r>
          </w:p>
        </w:tc>
        <w:tc>
          <w:tcPr>
            <w:tcW w:w="543" w:type="pct"/>
            <w:tcMar>
              <w:top w:w="0" w:type="dxa"/>
              <w:left w:w="108" w:type="dxa"/>
              <w:bottom w:w="0" w:type="dxa"/>
              <w:right w:w="108" w:type="dxa"/>
            </w:tcMar>
            <w:vAlign w:val="center"/>
          </w:tcPr>
          <w:p w14:paraId="44FC5F25" w14:textId="77777777" w:rsidR="004B0883" w:rsidRDefault="004B0883">
            <w:pPr>
              <w:jc w:val="right"/>
              <w:rPr>
                <w:color w:val="000000"/>
              </w:rPr>
            </w:pPr>
            <w:r>
              <w:rPr>
                <w:color w:val="000000"/>
              </w:rPr>
              <w:t>1,626.82</w:t>
            </w:r>
          </w:p>
        </w:tc>
        <w:tc>
          <w:tcPr>
            <w:tcW w:w="536" w:type="pct"/>
            <w:tcMar>
              <w:top w:w="0" w:type="dxa"/>
              <w:left w:w="108" w:type="dxa"/>
              <w:bottom w:w="0" w:type="dxa"/>
              <w:right w:w="108" w:type="dxa"/>
            </w:tcMar>
            <w:vAlign w:val="center"/>
          </w:tcPr>
          <w:p w14:paraId="20DAEC41" w14:textId="77777777" w:rsidR="004B0883" w:rsidRDefault="004B0883">
            <w:pPr>
              <w:jc w:val="right"/>
              <w:rPr>
                <w:color w:val="000000"/>
              </w:rPr>
            </w:pPr>
            <w:r>
              <w:rPr>
                <w:rFonts w:hint="eastAsia"/>
                <w:color w:val="000000"/>
              </w:rPr>
              <w:t>4.08%</w:t>
            </w:r>
          </w:p>
        </w:tc>
        <w:tc>
          <w:tcPr>
            <w:tcW w:w="543" w:type="pct"/>
            <w:tcMar>
              <w:top w:w="0" w:type="dxa"/>
              <w:left w:w="108" w:type="dxa"/>
              <w:bottom w:w="0" w:type="dxa"/>
              <w:right w:w="108" w:type="dxa"/>
            </w:tcMar>
            <w:vAlign w:val="center"/>
          </w:tcPr>
          <w:p w14:paraId="09A63CFA" w14:textId="77777777" w:rsidR="004B0883" w:rsidRDefault="004B0883">
            <w:pPr>
              <w:jc w:val="right"/>
              <w:rPr>
                <w:color w:val="000000"/>
              </w:rPr>
            </w:pPr>
            <w:r>
              <w:rPr>
                <w:color w:val="000000"/>
              </w:rPr>
              <w:t>2,650.47</w:t>
            </w:r>
          </w:p>
        </w:tc>
        <w:tc>
          <w:tcPr>
            <w:tcW w:w="537" w:type="pct"/>
            <w:tcMar>
              <w:top w:w="0" w:type="dxa"/>
              <w:left w:w="108" w:type="dxa"/>
              <w:bottom w:w="0" w:type="dxa"/>
              <w:right w:w="108" w:type="dxa"/>
            </w:tcMar>
            <w:vAlign w:val="center"/>
          </w:tcPr>
          <w:p w14:paraId="497E019C" w14:textId="77777777" w:rsidR="004B0883" w:rsidRDefault="004B0883">
            <w:pPr>
              <w:jc w:val="right"/>
              <w:rPr>
                <w:color w:val="000000"/>
              </w:rPr>
            </w:pPr>
            <w:r>
              <w:rPr>
                <w:color w:val="000000"/>
              </w:rPr>
              <w:t>4.91%</w:t>
            </w:r>
          </w:p>
        </w:tc>
        <w:tc>
          <w:tcPr>
            <w:tcW w:w="543" w:type="pct"/>
            <w:tcMar>
              <w:top w:w="0" w:type="dxa"/>
              <w:left w:w="108" w:type="dxa"/>
              <w:bottom w:w="0" w:type="dxa"/>
              <w:right w:w="108" w:type="dxa"/>
            </w:tcMar>
            <w:vAlign w:val="center"/>
          </w:tcPr>
          <w:p w14:paraId="02109FC2" w14:textId="77777777" w:rsidR="004B0883" w:rsidRDefault="004B0883">
            <w:pPr>
              <w:jc w:val="right"/>
              <w:rPr>
                <w:color w:val="000000"/>
              </w:rPr>
            </w:pPr>
            <w:r>
              <w:rPr>
                <w:color w:val="000000"/>
              </w:rPr>
              <w:t>2,419.61</w:t>
            </w:r>
          </w:p>
        </w:tc>
        <w:tc>
          <w:tcPr>
            <w:tcW w:w="537" w:type="pct"/>
            <w:tcMar>
              <w:top w:w="0" w:type="dxa"/>
              <w:left w:w="108" w:type="dxa"/>
              <w:bottom w:w="0" w:type="dxa"/>
              <w:right w:w="108" w:type="dxa"/>
            </w:tcMar>
            <w:vAlign w:val="center"/>
          </w:tcPr>
          <w:p w14:paraId="52CD8009" w14:textId="77777777" w:rsidR="004B0883" w:rsidRDefault="004B0883">
            <w:pPr>
              <w:jc w:val="right"/>
              <w:rPr>
                <w:color w:val="000000"/>
              </w:rPr>
            </w:pPr>
            <w:r>
              <w:rPr>
                <w:color w:val="000000"/>
              </w:rPr>
              <w:t>5.83%</w:t>
            </w:r>
          </w:p>
        </w:tc>
        <w:tc>
          <w:tcPr>
            <w:tcW w:w="543" w:type="pct"/>
            <w:tcMar>
              <w:top w:w="0" w:type="dxa"/>
              <w:left w:w="108" w:type="dxa"/>
              <w:bottom w:w="0" w:type="dxa"/>
              <w:right w:w="108" w:type="dxa"/>
            </w:tcMar>
            <w:vAlign w:val="center"/>
          </w:tcPr>
          <w:p w14:paraId="30B5B9B5" w14:textId="77777777" w:rsidR="004B0883" w:rsidRDefault="004B0883">
            <w:pPr>
              <w:jc w:val="right"/>
              <w:rPr>
                <w:color w:val="000000"/>
              </w:rPr>
            </w:pPr>
            <w:r>
              <w:rPr>
                <w:color w:val="000000"/>
              </w:rPr>
              <w:t>2,123.79</w:t>
            </w:r>
          </w:p>
        </w:tc>
        <w:tc>
          <w:tcPr>
            <w:tcW w:w="533" w:type="pct"/>
            <w:tcMar>
              <w:top w:w="0" w:type="dxa"/>
              <w:left w:w="108" w:type="dxa"/>
              <w:bottom w:w="0" w:type="dxa"/>
              <w:right w:w="108" w:type="dxa"/>
            </w:tcMar>
            <w:vAlign w:val="center"/>
          </w:tcPr>
          <w:p w14:paraId="46A21677" w14:textId="77777777" w:rsidR="004B0883" w:rsidRDefault="004B0883">
            <w:pPr>
              <w:jc w:val="right"/>
              <w:rPr>
                <w:color w:val="000000"/>
              </w:rPr>
            </w:pPr>
            <w:r>
              <w:rPr>
                <w:color w:val="000000"/>
              </w:rPr>
              <w:t>6.16%</w:t>
            </w:r>
          </w:p>
        </w:tc>
      </w:tr>
      <w:tr w:rsidR="004B0883" w14:paraId="30BCF90D" w14:textId="77777777">
        <w:trPr>
          <w:trHeight w:val="397"/>
          <w:jc w:val="center"/>
        </w:trPr>
        <w:tc>
          <w:tcPr>
            <w:tcW w:w="685" w:type="pct"/>
            <w:tcMar>
              <w:top w:w="0" w:type="dxa"/>
              <w:left w:w="108" w:type="dxa"/>
              <w:bottom w:w="0" w:type="dxa"/>
              <w:right w:w="108" w:type="dxa"/>
            </w:tcMar>
            <w:vAlign w:val="center"/>
          </w:tcPr>
          <w:p w14:paraId="0E68296D" w14:textId="77777777" w:rsidR="004B0883" w:rsidRDefault="004B0883">
            <w:pPr>
              <w:rPr>
                <w:color w:val="000000"/>
              </w:rPr>
            </w:pPr>
            <w:r>
              <w:rPr>
                <w:color w:val="000000"/>
              </w:rPr>
              <w:t>财务费用</w:t>
            </w:r>
          </w:p>
        </w:tc>
        <w:tc>
          <w:tcPr>
            <w:tcW w:w="543" w:type="pct"/>
            <w:tcMar>
              <w:top w:w="0" w:type="dxa"/>
              <w:left w:w="108" w:type="dxa"/>
              <w:bottom w:w="0" w:type="dxa"/>
              <w:right w:w="108" w:type="dxa"/>
            </w:tcMar>
            <w:vAlign w:val="center"/>
          </w:tcPr>
          <w:p w14:paraId="4D0A0347" w14:textId="77777777" w:rsidR="004B0883" w:rsidRDefault="004B0883">
            <w:pPr>
              <w:jc w:val="right"/>
              <w:rPr>
                <w:color w:val="000000"/>
              </w:rPr>
            </w:pPr>
            <w:r>
              <w:rPr>
                <w:color w:val="000000"/>
              </w:rPr>
              <w:t>-264.72</w:t>
            </w:r>
          </w:p>
        </w:tc>
        <w:tc>
          <w:tcPr>
            <w:tcW w:w="536" w:type="pct"/>
            <w:tcMar>
              <w:top w:w="0" w:type="dxa"/>
              <w:left w:w="108" w:type="dxa"/>
              <w:bottom w:w="0" w:type="dxa"/>
              <w:right w:w="108" w:type="dxa"/>
            </w:tcMar>
            <w:vAlign w:val="center"/>
          </w:tcPr>
          <w:p w14:paraId="142C9BFA" w14:textId="77777777" w:rsidR="004B0883" w:rsidRDefault="004B0883">
            <w:pPr>
              <w:jc w:val="right"/>
              <w:rPr>
                <w:color w:val="000000"/>
              </w:rPr>
            </w:pPr>
            <w:r>
              <w:rPr>
                <w:rFonts w:hint="eastAsia"/>
                <w:color w:val="000000"/>
              </w:rPr>
              <w:t>-0.66%</w:t>
            </w:r>
          </w:p>
        </w:tc>
        <w:tc>
          <w:tcPr>
            <w:tcW w:w="543" w:type="pct"/>
            <w:tcMar>
              <w:top w:w="0" w:type="dxa"/>
              <w:left w:w="108" w:type="dxa"/>
              <w:bottom w:w="0" w:type="dxa"/>
              <w:right w:w="108" w:type="dxa"/>
            </w:tcMar>
            <w:vAlign w:val="center"/>
          </w:tcPr>
          <w:p w14:paraId="0E688FDA" w14:textId="77777777" w:rsidR="004B0883" w:rsidRDefault="004B0883">
            <w:pPr>
              <w:jc w:val="right"/>
              <w:rPr>
                <w:color w:val="000000"/>
              </w:rPr>
            </w:pPr>
            <w:r>
              <w:rPr>
                <w:color w:val="000000"/>
              </w:rPr>
              <w:t>-702.99</w:t>
            </w:r>
          </w:p>
        </w:tc>
        <w:tc>
          <w:tcPr>
            <w:tcW w:w="537" w:type="pct"/>
            <w:tcMar>
              <w:top w:w="0" w:type="dxa"/>
              <w:left w:w="108" w:type="dxa"/>
              <w:bottom w:w="0" w:type="dxa"/>
              <w:right w:w="108" w:type="dxa"/>
            </w:tcMar>
            <w:vAlign w:val="center"/>
          </w:tcPr>
          <w:p w14:paraId="5C63635A" w14:textId="77777777" w:rsidR="004B0883" w:rsidRDefault="004B0883">
            <w:pPr>
              <w:jc w:val="right"/>
              <w:rPr>
                <w:color w:val="000000"/>
              </w:rPr>
            </w:pPr>
            <w:r>
              <w:rPr>
                <w:color w:val="000000"/>
              </w:rPr>
              <w:t>-1.30%</w:t>
            </w:r>
          </w:p>
        </w:tc>
        <w:tc>
          <w:tcPr>
            <w:tcW w:w="543" w:type="pct"/>
            <w:tcMar>
              <w:top w:w="0" w:type="dxa"/>
              <w:left w:w="108" w:type="dxa"/>
              <w:bottom w:w="0" w:type="dxa"/>
              <w:right w:w="108" w:type="dxa"/>
            </w:tcMar>
            <w:vAlign w:val="center"/>
          </w:tcPr>
          <w:p w14:paraId="6BE766A2" w14:textId="77777777" w:rsidR="004B0883" w:rsidRDefault="004B0883">
            <w:pPr>
              <w:jc w:val="right"/>
              <w:rPr>
                <w:color w:val="000000"/>
              </w:rPr>
            </w:pPr>
            <w:r>
              <w:rPr>
                <w:color w:val="000000"/>
              </w:rPr>
              <w:t>254.82</w:t>
            </w:r>
          </w:p>
        </w:tc>
        <w:tc>
          <w:tcPr>
            <w:tcW w:w="537" w:type="pct"/>
            <w:tcMar>
              <w:top w:w="0" w:type="dxa"/>
              <w:left w:w="108" w:type="dxa"/>
              <w:bottom w:w="0" w:type="dxa"/>
              <w:right w:w="108" w:type="dxa"/>
            </w:tcMar>
            <w:vAlign w:val="center"/>
          </w:tcPr>
          <w:p w14:paraId="2759471E" w14:textId="77777777" w:rsidR="004B0883" w:rsidRDefault="004B0883">
            <w:pPr>
              <w:jc w:val="right"/>
              <w:rPr>
                <w:color w:val="000000"/>
              </w:rPr>
            </w:pPr>
            <w:r>
              <w:rPr>
                <w:color w:val="000000"/>
              </w:rPr>
              <w:t>0.61%</w:t>
            </w:r>
          </w:p>
        </w:tc>
        <w:tc>
          <w:tcPr>
            <w:tcW w:w="543" w:type="pct"/>
            <w:tcMar>
              <w:top w:w="0" w:type="dxa"/>
              <w:left w:w="108" w:type="dxa"/>
              <w:bottom w:w="0" w:type="dxa"/>
              <w:right w:w="108" w:type="dxa"/>
            </w:tcMar>
            <w:vAlign w:val="center"/>
          </w:tcPr>
          <w:p w14:paraId="270A23E4" w14:textId="77777777" w:rsidR="004B0883" w:rsidRDefault="004B0883">
            <w:pPr>
              <w:jc w:val="right"/>
              <w:rPr>
                <w:color w:val="000000"/>
              </w:rPr>
            </w:pPr>
            <w:r>
              <w:rPr>
                <w:color w:val="000000"/>
              </w:rPr>
              <w:t>178.91</w:t>
            </w:r>
          </w:p>
        </w:tc>
        <w:tc>
          <w:tcPr>
            <w:tcW w:w="533" w:type="pct"/>
            <w:tcMar>
              <w:top w:w="0" w:type="dxa"/>
              <w:left w:w="108" w:type="dxa"/>
              <w:bottom w:w="0" w:type="dxa"/>
              <w:right w:w="108" w:type="dxa"/>
            </w:tcMar>
            <w:vAlign w:val="center"/>
          </w:tcPr>
          <w:p w14:paraId="4B0F9B13" w14:textId="77777777" w:rsidR="004B0883" w:rsidRDefault="004B0883">
            <w:pPr>
              <w:jc w:val="right"/>
              <w:rPr>
                <w:color w:val="000000"/>
              </w:rPr>
            </w:pPr>
            <w:r>
              <w:rPr>
                <w:color w:val="000000"/>
              </w:rPr>
              <w:t>0.52%</w:t>
            </w:r>
          </w:p>
        </w:tc>
      </w:tr>
      <w:tr w:rsidR="004B0883" w14:paraId="5A5EE6EC" w14:textId="77777777">
        <w:trPr>
          <w:trHeight w:val="397"/>
          <w:jc w:val="center"/>
        </w:trPr>
        <w:tc>
          <w:tcPr>
            <w:tcW w:w="685" w:type="pct"/>
            <w:tcMar>
              <w:top w:w="0" w:type="dxa"/>
              <w:left w:w="108" w:type="dxa"/>
              <w:bottom w:w="0" w:type="dxa"/>
              <w:right w:w="108" w:type="dxa"/>
            </w:tcMar>
            <w:vAlign w:val="center"/>
          </w:tcPr>
          <w:p w14:paraId="5CAB36B2" w14:textId="77777777" w:rsidR="004B0883" w:rsidRDefault="004B0883">
            <w:pPr>
              <w:jc w:val="center"/>
              <w:rPr>
                <w:b/>
                <w:color w:val="000000"/>
              </w:rPr>
            </w:pPr>
            <w:r>
              <w:rPr>
                <w:b/>
                <w:color w:val="000000"/>
              </w:rPr>
              <w:t>合计</w:t>
            </w:r>
          </w:p>
        </w:tc>
        <w:tc>
          <w:tcPr>
            <w:tcW w:w="543" w:type="pct"/>
            <w:tcMar>
              <w:top w:w="0" w:type="dxa"/>
              <w:left w:w="108" w:type="dxa"/>
              <w:bottom w:w="0" w:type="dxa"/>
              <w:right w:w="108" w:type="dxa"/>
            </w:tcMar>
            <w:vAlign w:val="center"/>
          </w:tcPr>
          <w:p w14:paraId="2F5E35BD" w14:textId="77777777" w:rsidR="004B0883" w:rsidRDefault="004B0883">
            <w:pPr>
              <w:jc w:val="right"/>
              <w:rPr>
                <w:b/>
                <w:color w:val="000000"/>
              </w:rPr>
            </w:pPr>
            <w:r>
              <w:rPr>
                <w:b/>
                <w:color w:val="000000"/>
              </w:rPr>
              <w:t>5,703.10</w:t>
            </w:r>
          </w:p>
        </w:tc>
        <w:tc>
          <w:tcPr>
            <w:tcW w:w="536" w:type="pct"/>
            <w:tcMar>
              <w:top w:w="0" w:type="dxa"/>
              <w:left w:w="108" w:type="dxa"/>
              <w:bottom w:w="0" w:type="dxa"/>
              <w:right w:w="108" w:type="dxa"/>
            </w:tcMar>
            <w:vAlign w:val="center"/>
          </w:tcPr>
          <w:p w14:paraId="4C405CCA" w14:textId="77777777" w:rsidR="004B0883" w:rsidRDefault="004B0883">
            <w:pPr>
              <w:jc w:val="right"/>
              <w:rPr>
                <w:b/>
                <w:color w:val="000000"/>
              </w:rPr>
            </w:pPr>
            <w:r>
              <w:rPr>
                <w:rFonts w:hint="eastAsia"/>
                <w:b/>
                <w:color w:val="000000"/>
              </w:rPr>
              <w:t>14.29%</w:t>
            </w:r>
          </w:p>
        </w:tc>
        <w:tc>
          <w:tcPr>
            <w:tcW w:w="543" w:type="pct"/>
            <w:tcMar>
              <w:top w:w="0" w:type="dxa"/>
              <w:left w:w="108" w:type="dxa"/>
              <w:bottom w:w="0" w:type="dxa"/>
              <w:right w:w="108" w:type="dxa"/>
            </w:tcMar>
            <w:vAlign w:val="center"/>
          </w:tcPr>
          <w:p w14:paraId="5C349603" w14:textId="77777777" w:rsidR="004B0883" w:rsidRDefault="004B0883">
            <w:pPr>
              <w:jc w:val="right"/>
              <w:rPr>
                <w:b/>
                <w:color w:val="000000"/>
              </w:rPr>
            </w:pPr>
            <w:r>
              <w:rPr>
                <w:b/>
                <w:color w:val="000000"/>
              </w:rPr>
              <w:t>8,273.52</w:t>
            </w:r>
          </w:p>
        </w:tc>
        <w:tc>
          <w:tcPr>
            <w:tcW w:w="537" w:type="pct"/>
            <w:tcMar>
              <w:top w:w="0" w:type="dxa"/>
              <w:left w:w="108" w:type="dxa"/>
              <w:bottom w:w="0" w:type="dxa"/>
              <w:right w:w="108" w:type="dxa"/>
            </w:tcMar>
            <w:vAlign w:val="center"/>
          </w:tcPr>
          <w:p w14:paraId="686BC8C1" w14:textId="77777777" w:rsidR="004B0883" w:rsidRDefault="004B0883">
            <w:pPr>
              <w:jc w:val="right"/>
              <w:rPr>
                <w:b/>
                <w:color w:val="000000"/>
              </w:rPr>
            </w:pPr>
            <w:r>
              <w:rPr>
                <w:b/>
                <w:color w:val="000000"/>
              </w:rPr>
              <w:t>15.32%</w:t>
            </w:r>
          </w:p>
        </w:tc>
        <w:tc>
          <w:tcPr>
            <w:tcW w:w="543" w:type="pct"/>
            <w:tcMar>
              <w:top w:w="0" w:type="dxa"/>
              <w:left w:w="108" w:type="dxa"/>
              <w:bottom w:w="0" w:type="dxa"/>
              <w:right w:w="108" w:type="dxa"/>
            </w:tcMar>
            <w:vAlign w:val="center"/>
          </w:tcPr>
          <w:p w14:paraId="0A0181E3" w14:textId="77777777" w:rsidR="004B0883" w:rsidRDefault="004B0883">
            <w:pPr>
              <w:jc w:val="right"/>
              <w:rPr>
                <w:b/>
                <w:color w:val="000000"/>
              </w:rPr>
            </w:pPr>
            <w:r>
              <w:rPr>
                <w:b/>
                <w:color w:val="000000"/>
              </w:rPr>
              <w:t>7,642.87</w:t>
            </w:r>
          </w:p>
        </w:tc>
        <w:tc>
          <w:tcPr>
            <w:tcW w:w="537" w:type="pct"/>
            <w:tcMar>
              <w:top w:w="0" w:type="dxa"/>
              <w:left w:w="108" w:type="dxa"/>
              <w:bottom w:w="0" w:type="dxa"/>
              <w:right w:w="108" w:type="dxa"/>
            </w:tcMar>
            <w:vAlign w:val="center"/>
          </w:tcPr>
          <w:p w14:paraId="76E098E9" w14:textId="77777777" w:rsidR="004B0883" w:rsidRDefault="004B0883">
            <w:pPr>
              <w:jc w:val="right"/>
              <w:rPr>
                <w:b/>
                <w:color w:val="000000"/>
              </w:rPr>
            </w:pPr>
            <w:r>
              <w:rPr>
                <w:b/>
                <w:color w:val="000000"/>
              </w:rPr>
              <w:t>18.41%</w:t>
            </w:r>
          </w:p>
        </w:tc>
        <w:tc>
          <w:tcPr>
            <w:tcW w:w="543" w:type="pct"/>
            <w:tcMar>
              <w:top w:w="0" w:type="dxa"/>
              <w:left w:w="108" w:type="dxa"/>
              <w:bottom w:w="0" w:type="dxa"/>
              <w:right w:w="108" w:type="dxa"/>
            </w:tcMar>
            <w:vAlign w:val="center"/>
          </w:tcPr>
          <w:p w14:paraId="21570C5F" w14:textId="77777777" w:rsidR="004B0883" w:rsidRDefault="004B0883">
            <w:pPr>
              <w:jc w:val="right"/>
              <w:rPr>
                <w:b/>
                <w:color w:val="000000"/>
              </w:rPr>
            </w:pPr>
            <w:r>
              <w:rPr>
                <w:b/>
                <w:color w:val="000000"/>
              </w:rPr>
              <w:t>6,710.55</w:t>
            </w:r>
          </w:p>
        </w:tc>
        <w:tc>
          <w:tcPr>
            <w:tcW w:w="533" w:type="pct"/>
            <w:tcMar>
              <w:top w:w="0" w:type="dxa"/>
              <w:left w:w="108" w:type="dxa"/>
              <w:bottom w:w="0" w:type="dxa"/>
              <w:right w:w="108" w:type="dxa"/>
            </w:tcMar>
            <w:vAlign w:val="center"/>
          </w:tcPr>
          <w:p w14:paraId="23825761" w14:textId="77777777" w:rsidR="004B0883" w:rsidRDefault="004B0883">
            <w:pPr>
              <w:jc w:val="right"/>
              <w:rPr>
                <w:b/>
                <w:color w:val="000000"/>
              </w:rPr>
            </w:pPr>
            <w:r>
              <w:rPr>
                <w:b/>
                <w:color w:val="000000"/>
              </w:rPr>
              <w:t>19.47%</w:t>
            </w:r>
          </w:p>
        </w:tc>
      </w:tr>
    </w:tbl>
    <w:p w14:paraId="05CDDEE7" w14:textId="77777777" w:rsidR="004B0883" w:rsidRDefault="004B0883">
      <w:pPr>
        <w:pStyle w:val="005"/>
        <w:spacing w:before="120"/>
        <w:ind w:firstLine="480"/>
      </w:pPr>
      <w:r>
        <w:t>报告期内，公司期间费用的总额分别为</w:t>
      </w:r>
      <w:r>
        <w:t>6,710.55</w:t>
      </w:r>
      <w:r>
        <w:t>万元、</w:t>
      </w:r>
      <w:r>
        <w:t>7,642.87</w:t>
      </w:r>
      <w:r>
        <w:t>万元、</w:t>
      </w:r>
      <w:r>
        <w:t>8,273.52</w:t>
      </w:r>
      <w:r>
        <w:rPr>
          <w:rFonts w:hint="eastAsia"/>
        </w:rPr>
        <w:t>万元</w:t>
      </w:r>
      <w:r>
        <w:t>和</w:t>
      </w:r>
      <w:r>
        <w:t>5,703.10</w:t>
      </w:r>
      <w:r>
        <w:t>万元，占营业收入的比例分别为</w:t>
      </w:r>
      <w:r>
        <w:t>19.47%</w:t>
      </w:r>
      <w:r>
        <w:t>、</w:t>
      </w:r>
      <w:r>
        <w:t>18.41%</w:t>
      </w:r>
      <w:r>
        <w:t>、</w:t>
      </w:r>
      <w:r>
        <w:t>15.32%</w:t>
      </w:r>
      <w:r>
        <w:t>和</w:t>
      </w:r>
      <w:r>
        <w:t>14.29%</w:t>
      </w:r>
      <w:r>
        <w:t>，期间费用占营业收入的比例较为稳定。</w:t>
      </w:r>
    </w:p>
    <w:p w14:paraId="45ECFE5D" w14:textId="77777777" w:rsidR="004B0883" w:rsidRDefault="004B0883">
      <w:pPr>
        <w:pStyle w:val="004"/>
        <w:spacing w:before="120" w:after="120"/>
        <w:ind w:firstLine="482"/>
      </w:pPr>
      <w:bookmarkStart w:id="356" w:name="_Hlk110713565"/>
      <w:r>
        <w:t>1</w:t>
      </w:r>
      <w:r>
        <w:t>、销售费用</w:t>
      </w:r>
    </w:p>
    <w:p w14:paraId="2FE70356" w14:textId="77777777" w:rsidR="004B0883" w:rsidRDefault="004B0883">
      <w:pPr>
        <w:pStyle w:val="005"/>
        <w:spacing w:before="120"/>
        <w:ind w:firstLine="480"/>
      </w:pPr>
      <w:r>
        <w:t>报告期内，公司销售费用具体情况如下：</w:t>
      </w:r>
    </w:p>
    <w:p w14:paraId="4C77D401" w14:textId="77777777" w:rsidR="004B0883" w:rsidRDefault="004B0883">
      <w:pPr>
        <w:pStyle w:val="009"/>
      </w:pPr>
      <w:r>
        <w:t>单位：万元</w:t>
      </w:r>
    </w:p>
    <w:tbl>
      <w:tblPr>
        <w:tblW w:w="5141"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642"/>
        <w:gridCol w:w="908"/>
        <w:gridCol w:w="970"/>
        <w:gridCol w:w="813"/>
        <w:gridCol w:w="856"/>
        <w:gridCol w:w="812"/>
        <w:gridCol w:w="856"/>
        <w:gridCol w:w="812"/>
        <w:gridCol w:w="844"/>
      </w:tblGrid>
      <w:tr w:rsidR="004B0883" w14:paraId="6FAC0E24" w14:textId="77777777">
        <w:trPr>
          <w:trHeight w:val="397"/>
          <w:tblHeader/>
          <w:jc w:val="center"/>
        </w:trPr>
        <w:tc>
          <w:tcPr>
            <w:tcW w:w="964" w:type="pct"/>
            <w:vMerge w:val="restart"/>
            <w:shd w:val="clear" w:color="auto" w:fill="D9D9D9"/>
            <w:tcMar>
              <w:top w:w="0" w:type="dxa"/>
              <w:left w:w="28" w:type="dxa"/>
              <w:bottom w:w="0" w:type="dxa"/>
              <w:right w:w="28" w:type="dxa"/>
            </w:tcMar>
            <w:vAlign w:val="center"/>
          </w:tcPr>
          <w:bookmarkEnd w:id="356"/>
          <w:p w14:paraId="2C0D1B6E" w14:textId="77777777" w:rsidR="004B0883" w:rsidRDefault="004B0883">
            <w:pPr>
              <w:jc w:val="center"/>
              <w:rPr>
                <w:b/>
                <w:color w:val="000000"/>
              </w:rPr>
            </w:pPr>
            <w:r>
              <w:rPr>
                <w:b/>
                <w:color w:val="000000"/>
              </w:rPr>
              <w:t>项目</w:t>
            </w:r>
          </w:p>
        </w:tc>
        <w:tc>
          <w:tcPr>
            <w:tcW w:w="1102" w:type="pct"/>
            <w:gridSpan w:val="2"/>
            <w:shd w:val="clear" w:color="auto" w:fill="D9D9D9"/>
            <w:tcMar>
              <w:top w:w="0" w:type="dxa"/>
              <w:left w:w="28" w:type="dxa"/>
              <w:bottom w:w="0" w:type="dxa"/>
              <w:right w:w="28" w:type="dxa"/>
            </w:tcMar>
            <w:vAlign w:val="center"/>
          </w:tcPr>
          <w:p w14:paraId="0DE2287A" w14:textId="77777777" w:rsidR="004B0883" w:rsidRDefault="004B0883">
            <w:pPr>
              <w:jc w:val="center"/>
              <w:rPr>
                <w:b/>
                <w:bCs/>
                <w:color w:val="000000"/>
              </w:rPr>
            </w:pPr>
            <w:r>
              <w:rPr>
                <w:b/>
                <w:bCs/>
                <w:color w:val="000000"/>
              </w:rPr>
              <w:t>2023</w:t>
            </w:r>
            <w:r>
              <w:rPr>
                <w:b/>
                <w:bCs/>
                <w:color w:val="000000"/>
              </w:rPr>
              <w:t>年</w:t>
            </w:r>
            <w:r>
              <w:rPr>
                <w:b/>
                <w:bCs/>
                <w:color w:val="000000"/>
              </w:rPr>
              <w:t>1-9</w:t>
            </w:r>
            <w:r>
              <w:rPr>
                <w:b/>
                <w:bCs/>
                <w:color w:val="000000"/>
              </w:rPr>
              <w:t>月</w:t>
            </w:r>
          </w:p>
        </w:tc>
        <w:tc>
          <w:tcPr>
            <w:tcW w:w="980" w:type="pct"/>
            <w:gridSpan w:val="2"/>
            <w:shd w:val="clear" w:color="auto" w:fill="D9D9D9"/>
            <w:tcMar>
              <w:top w:w="0" w:type="dxa"/>
              <w:left w:w="28" w:type="dxa"/>
              <w:bottom w:w="0" w:type="dxa"/>
              <w:right w:w="28" w:type="dxa"/>
            </w:tcMar>
            <w:vAlign w:val="center"/>
          </w:tcPr>
          <w:p w14:paraId="383777CF" w14:textId="77777777" w:rsidR="004B0883" w:rsidRDefault="004B0883">
            <w:pPr>
              <w:jc w:val="center"/>
              <w:rPr>
                <w:b/>
                <w:bCs/>
                <w:color w:val="000000"/>
              </w:rPr>
            </w:pPr>
            <w:r>
              <w:rPr>
                <w:b/>
                <w:bCs/>
                <w:color w:val="000000"/>
              </w:rPr>
              <w:t>2022</w:t>
            </w:r>
            <w:r>
              <w:rPr>
                <w:b/>
                <w:bCs/>
                <w:color w:val="000000"/>
              </w:rPr>
              <w:t>年度</w:t>
            </w:r>
          </w:p>
        </w:tc>
        <w:tc>
          <w:tcPr>
            <w:tcW w:w="980" w:type="pct"/>
            <w:gridSpan w:val="2"/>
            <w:shd w:val="clear" w:color="auto" w:fill="D9D9D9"/>
            <w:tcMar>
              <w:top w:w="0" w:type="dxa"/>
              <w:left w:w="28" w:type="dxa"/>
              <w:bottom w:w="0" w:type="dxa"/>
              <w:right w:w="28" w:type="dxa"/>
            </w:tcMar>
            <w:vAlign w:val="center"/>
          </w:tcPr>
          <w:p w14:paraId="42FC0F79" w14:textId="77777777" w:rsidR="004B0883" w:rsidRDefault="004B0883">
            <w:pPr>
              <w:jc w:val="center"/>
              <w:rPr>
                <w:b/>
                <w:bCs/>
                <w:color w:val="000000"/>
              </w:rPr>
            </w:pPr>
            <w:r>
              <w:rPr>
                <w:b/>
                <w:bCs/>
                <w:color w:val="000000"/>
              </w:rPr>
              <w:t>2021</w:t>
            </w:r>
            <w:r>
              <w:rPr>
                <w:b/>
                <w:bCs/>
                <w:color w:val="000000"/>
              </w:rPr>
              <w:t>年</w:t>
            </w:r>
            <w:r>
              <w:rPr>
                <w:b/>
                <w:bCs/>
                <w:kern w:val="0"/>
              </w:rPr>
              <w:t>度</w:t>
            </w:r>
          </w:p>
        </w:tc>
        <w:tc>
          <w:tcPr>
            <w:tcW w:w="973" w:type="pct"/>
            <w:gridSpan w:val="2"/>
            <w:shd w:val="clear" w:color="auto" w:fill="D9D9D9"/>
            <w:tcMar>
              <w:top w:w="0" w:type="dxa"/>
              <w:left w:w="28" w:type="dxa"/>
              <w:bottom w:w="0" w:type="dxa"/>
              <w:right w:w="28" w:type="dxa"/>
            </w:tcMar>
            <w:vAlign w:val="center"/>
          </w:tcPr>
          <w:p w14:paraId="5AEA758A" w14:textId="77777777" w:rsidR="004B0883" w:rsidRDefault="004B0883">
            <w:pPr>
              <w:jc w:val="center"/>
              <w:rPr>
                <w:b/>
                <w:bCs/>
                <w:color w:val="000000"/>
              </w:rPr>
            </w:pPr>
            <w:r>
              <w:rPr>
                <w:b/>
                <w:bCs/>
                <w:color w:val="000000"/>
              </w:rPr>
              <w:t>2020</w:t>
            </w:r>
            <w:r>
              <w:rPr>
                <w:b/>
                <w:bCs/>
                <w:color w:val="000000"/>
              </w:rPr>
              <w:t>年</w:t>
            </w:r>
            <w:r>
              <w:rPr>
                <w:b/>
                <w:bCs/>
                <w:kern w:val="0"/>
              </w:rPr>
              <w:t>度</w:t>
            </w:r>
          </w:p>
        </w:tc>
      </w:tr>
      <w:tr w:rsidR="004B0883" w14:paraId="76154721" w14:textId="77777777">
        <w:trPr>
          <w:trHeight w:val="397"/>
          <w:tblHeader/>
          <w:jc w:val="center"/>
        </w:trPr>
        <w:tc>
          <w:tcPr>
            <w:tcW w:w="964" w:type="pct"/>
            <w:vMerge/>
            <w:shd w:val="clear" w:color="auto" w:fill="D9D9D9"/>
            <w:tcMar>
              <w:top w:w="0" w:type="dxa"/>
              <w:left w:w="28" w:type="dxa"/>
              <w:bottom w:w="0" w:type="dxa"/>
              <w:right w:w="28" w:type="dxa"/>
            </w:tcMar>
            <w:vAlign w:val="center"/>
          </w:tcPr>
          <w:p w14:paraId="36A76135" w14:textId="77777777" w:rsidR="004B0883" w:rsidRDefault="004B0883">
            <w:pPr>
              <w:jc w:val="center"/>
              <w:rPr>
                <w:b/>
                <w:color w:val="000000"/>
              </w:rPr>
            </w:pPr>
          </w:p>
        </w:tc>
        <w:tc>
          <w:tcPr>
            <w:tcW w:w="533" w:type="pct"/>
            <w:shd w:val="clear" w:color="auto" w:fill="D9D9D9"/>
            <w:tcMar>
              <w:top w:w="0" w:type="dxa"/>
              <w:left w:w="28" w:type="dxa"/>
              <w:bottom w:w="0" w:type="dxa"/>
              <w:right w:w="28" w:type="dxa"/>
            </w:tcMar>
            <w:vAlign w:val="center"/>
          </w:tcPr>
          <w:p w14:paraId="4E48F7E8" w14:textId="77777777" w:rsidR="004B0883" w:rsidRDefault="004B0883">
            <w:pPr>
              <w:jc w:val="center"/>
              <w:rPr>
                <w:b/>
                <w:bCs/>
                <w:color w:val="000000"/>
              </w:rPr>
            </w:pPr>
            <w:r>
              <w:rPr>
                <w:b/>
                <w:bCs/>
                <w:color w:val="000000"/>
              </w:rPr>
              <w:t>金额</w:t>
            </w:r>
          </w:p>
        </w:tc>
        <w:tc>
          <w:tcPr>
            <w:tcW w:w="569" w:type="pct"/>
            <w:shd w:val="clear" w:color="auto" w:fill="D9D9D9"/>
            <w:tcMar>
              <w:top w:w="0" w:type="dxa"/>
              <w:left w:w="28" w:type="dxa"/>
              <w:bottom w:w="0" w:type="dxa"/>
              <w:right w:w="28" w:type="dxa"/>
            </w:tcMar>
            <w:vAlign w:val="center"/>
          </w:tcPr>
          <w:p w14:paraId="605B6E53" w14:textId="77777777" w:rsidR="004B0883" w:rsidRDefault="004B0883">
            <w:pPr>
              <w:jc w:val="center"/>
              <w:rPr>
                <w:b/>
                <w:bCs/>
                <w:color w:val="000000"/>
              </w:rPr>
            </w:pPr>
            <w:r>
              <w:rPr>
                <w:b/>
                <w:bCs/>
                <w:color w:val="000000"/>
              </w:rPr>
              <w:t>占比</w:t>
            </w:r>
          </w:p>
        </w:tc>
        <w:tc>
          <w:tcPr>
            <w:tcW w:w="477" w:type="pct"/>
            <w:shd w:val="clear" w:color="auto" w:fill="D9D9D9"/>
            <w:tcMar>
              <w:top w:w="0" w:type="dxa"/>
              <w:left w:w="28" w:type="dxa"/>
              <w:bottom w:w="0" w:type="dxa"/>
              <w:right w:w="28" w:type="dxa"/>
            </w:tcMar>
            <w:vAlign w:val="center"/>
          </w:tcPr>
          <w:p w14:paraId="2EA44756" w14:textId="77777777" w:rsidR="004B0883" w:rsidRDefault="004B0883">
            <w:pPr>
              <w:jc w:val="center"/>
              <w:rPr>
                <w:b/>
                <w:bCs/>
                <w:color w:val="000000"/>
              </w:rPr>
            </w:pPr>
            <w:r>
              <w:rPr>
                <w:b/>
                <w:bCs/>
                <w:color w:val="000000"/>
              </w:rPr>
              <w:t>金额</w:t>
            </w:r>
          </w:p>
        </w:tc>
        <w:tc>
          <w:tcPr>
            <w:tcW w:w="503" w:type="pct"/>
            <w:shd w:val="clear" w:color="auto" w:fill="D9D9D9"/>
            <w:tcMar>
              <w:top w:w="0" w:type="dxa"/>
              <w:left w:w="28" w:type="dxa"/>
              <w:bottom w:w="0" w:type="dxa"/>
              <w:right w:w="28" w:type="dxa"/>
            </w:tcMar>
            <w:vAlign w:val="center"/>
          </w:tcPr>
          <w:p w14:paraId="6F517845" w14:textId="77777777" w:rsidR="004B0883" w:rsidRDefault="004B0883">
            <w:pPr>
              <w:jc w:val="center"/>
              <w:rPr>
                <w:b/>
                <w:bCs/>
                <w:color w:val="000000"/>
              </w:rPr>
            </w:pPr>
            <w:r>
              <w:rPr>
                <w:b/>
                <w:bCs/>
                <w:color w:val="000000"/>
              </w:rPr>
              <w:t>占比</w:t>
            </w:r>
          </w:p>
        </w:tc>
        <w:tc>
          <w:tcPr>
            <w:tcW w:w="477" w:type="pct"/>
            <w:shd w:val="clear" w:color="auto" w:fill="D9D9D9"/>
            <w:tcMar>
              <w:top w:w="0" w:type="dxa"/>
              <w:left w:w="28" w:type="dxa"/>
              <w:bottom w:w="0" w:type="dxa"/>
              <w:right w:w="28" w:type="dxa"/>
            </w:tcMar>
            <w:vAlign w:val="center"/>
          </w:tcPr>
          <w:p w14:paraId="237FDA97" w14:textId="77777777" w:rsidR="004B0883" w:rsidRDefault="004B0883">
            <w:pPr>
              <w:jc w:val="center"/>
              <w:rPr>
                <w:b/>
                <w:bCs/>
                <w:color w:val="000000"/>
              </w:rPr>
            </w:pPr>
            <w:r>
              <w:rPr>
                <w:b/>
                <w:bCs/>
                <w:color w:val="000000"/>
              </w:rPr>
              <w:t>金额</w:t>
            </w:r>
          </w:p>
        </w:tc>
        <w:tc>
          <w:tcPr>
            <w:tcW w:w="503" w:type="pct"/>
            <w:shd w:val="clear" w:color="auto" w:fill="D9D9D9"/>
            <w:tcMar>
              <w:top w:w="0" w:type="dxa"/>
              <w:left w:w="28" w:type="dxa"/>
              <w:bottom w:w="0" w:type="dxa"/>
              <w:right w:w="28" w:type="dxa"/>
            </w:tcMar>
            <w:vAlign w:val="center"/>
          </w:tcPr>
          <w:p w14:paraId="7AF19F81" w14:textId="77777777" w:rsidR="004B0883" w:rsidRDefault="004B0883">
            <w:pPr>
              <w:jc w:val="center"/>
              <w:rPr>
                <w:b/>
                <w:bCs/>
                <w:color w:val="000000"/>
              </w:rPr>
            </w:pPr>
            <w:r>
              <w:rPr>
                <w:b/>
                <w:bCs/>
                <w:color w:val="000000"/>
              </w:rPr>
              <w:t>占比</w:t>
            </w:r>
          </w:p>
        </w:tc>
        <w:tc>
          <w:tcPr>
            <w:tcW w:w="477" w:type="pct"/>
            <w:shd w:val="clear" w:color="auto" w:fill="D9D9D9"/>
            <w:tcMar>
              <w:top w:w="0" w:type="dxa"/>
              <w:left w:w="28" w:type="dxa"/>
              <w:bottom w:w="0" w:type="dxa"/>
              <w:right w:w="28" w:type="dxa"/>
            </w:tcMar>
            <w:vAlign w:val="center"/>
          </w:tcPr>
          <w:p w14:paraId="22811119" w14:textId="77777777" w:rsidR="004B0883" w:rsidRDefault="004B0883">
            <w:pPr>
              <w:jc w:val="center"/>
              <w:rPr>
                <w:b/>
                <w:bCs/>
                <w:color w:val="000000"/>
              </w:rPr>
            </w:pPr>
            <w:r>
              <w:rPr>
                <w:b/>
                <w:bCs/>
                <w:color w:val="000000"/>
              </w:rPr>
              <w:t>金额</w:t>
            </w:r>
          </w:p>
        </w:tc>
        <w:tc>
          <w:tcPr>
            <w:tcW w:w="496" w:type="pct"/>
            <w:shd w:val="clear" w:color="auto" w:fill="D9D9D9"/>
            <w:tcMar>
              <w:top w:w="0" w:type="dxa"/>
              <w:left w:w="28" w:type="dxa"/>
              <w:bottom w:w="0" w:type="dxa"/>
              <w:right w:w="28" w:type="dxa"/>
            </w:tcMar>
            <w:vAlign w:val="center"/>
          </w:tcPr>
          <w:p w14:paraId="4C79C206" w14:textId="77777777" w:rsidR="004B0883" w:rsidRDefault="004B0883">
            <w:pPr>
              <w:jc w:val="center"/>
              <w:rPr>
                <w:b/>
                <w:bCs/>
                <w:color w:val="000000"/>
              </w:rPr>
            </w:pPr>
            <w:r>
              <w:rPr>
                <w:b/>
                <w:bCs/>
                <w:color w:val="000000"/>
              </w:rPr>
              <w:t>占比</w:t>
            </w:r>
          </w:p>
        </w:tc>
      </w:tr>
      <w:tr w:rsidR="004B0883" w14:paraId="5F25E3F6" w14:textId="77777777">
        <w:trPr>
          <w:trHeight w:val="397"/>
          <w:jc w:val="center"/>
        </w:trPr>
        <w:tc>
          <w:tcPr>
            <w:tcW w:w="964" w:type="pct"/>
            <w:tcMar>
              <w:top w:w="0" w:type="dxa"/>
              <w:left w:w="28" w:type="dxa"/>
              <w:bottom w:w="0" w:type="dxa"/>
              <w:right w:w="28" w:type="dxa"/>
            </w:tcMar>
            <w:vAlign w:val="center"/>
          </w:tcPr>
          <w:p w14:paraId="2956ACDC" w14:textId="77777777" w:rsidR="004B0883" w:rsidRDefault="004B0883">
            <w:pPr>
              <w:rPr>
                <w:color w:val="000000"/>
              </w:rPr>
            </w:pPr>
            <w:r>
              <w:rPr>
                <w:color w:val="000000"/>
              </w:rPr>
              <w:t>办公费及差旅费</w:t>
            </w:r>
          </w:p>
        </w:tc>
        <w:tc>
          <w:tcPr>
            <w:tcW w:w="533" w:type="pct"/>
            <w:tcMar>
              <w:top w:w="0" w:type="dxa"/>
              <w:left w:w="28" w:type="dxa"/>
              <w:bottom w:w="0" w:type="dxa"/>
              <w:right w:w="28" w:type="dxa"/>
            </w:tcMar>
            <w:vAlign w:val="center"/>
          </w:tcPr>
          <w:p w14:paraId="7D322EBD" w14:textId="77777777" w:rsidR="004B0883" w:rsidRDefault="004B0883">
            <w:pPr>
              <w:jc w:val="right"/>
              <w:rPr>
                <w:color w:val="000000"/>
                <w:kern w:val="0"/>
              </w:rPr>
            </w:pPr>
            <w:r>
              <w:rPr>
                <w:rFonts w:hint="eastAsia"/>
                <w:color w:val="000000"/>
              </w:rPr>
              <w:t>61.30</w:t>
            </w:r>
          </w:p>
        </w:tc>
        <w:tc>
          <w:tcPr>
            <w:tcW w:w="569" w:type="pct"/>
            <w:tcMar>
              <w:top w:w="0" w:type="dxa"/>
              <w:left w:w="28" w:type="dxa"/>
              <w:bottom w:w="0" w:type="dxa"/>
              <w:right w:w="28" w:type="dxa"/>
            </w:tcMar>
            <w:vAlign w:val="center"/>
          </w:tcPr>
          <w:p w14:paraId="0937F90E" w14:textId="77777777" w:rsidR="004B0883" w:rsidRDefault="004B0883">
            <w:pPr>
              <w:jc w:val="right"/>
              <w:rPr>
                <w:color w:val="000000"/>
              </w:rPr>
            </w:pPr>
            <w:r>
              <w:rPr>
                <w:rFonts w:hint="eastAsia"/>
                <w:color w:val="000000"/>
              </w:rPr>
              <w:t>3.14%</w:t>
            </w:r>
          </w:p>
        </w:tc>
        <w:tc>
          <w:tcPr>
            <w:tcW w:w="477" w:type="pct"/>
            <w:tcMar>
              <w:top w:w="0" w:type="dxa"/>
              <w:left w:w="28" w:type="dxa"/>
              <w:bottom w:w="0" w:type="dxa"/>
              <w:right w:w="28" w:type="dxa"/>
            </w:tcMar>
            <w:vAlign w:val="center"/>
          </w:tcPr>
          <w:p w14:paraId="435A533F" w14:textId="77777777" w:rsidR="004B0883" w:rsidRDefault="004B0883">
            <w:pPr>
              <w:jc w:val="right"/>
              <w:rPr>
                <w:color w:val="000000"/>
              </w:rPr>
            </w:pPr>
            <w:r>
              <w:rPr>
                <w:color w:val="000000"/>
              </w:rPr>
              <w:t>19.19</w:t>
            </w:r>
          </w:p>
        </w:tc>
        <w:tc>
          <w:tcPr>
            <w:tcW w:w="503" w:type="pct"/>
            <w:tcMar>
              <w:top w:w="0" w:type="dxa"/>
              <w:left w:w="28" w:type="dxa"/>
              <w:bottom w:w="0" w:type="dxa"/>
              <w:right w:w="28" w:type="dxa"/>
            </w:tcMar>
            <w:vAlign w:val="center"/>
          </w:tcPr>
          <w:p w14:paraId="7B386476" w14:textId="77777777" w:rsidR="004B0883" w:rsidRDefault="004B0883">
            <w:pPr>
              <w:jc w:val="right"/>
              <w:rPr>
                <w:color w:val="000000"/>
              </w:rPr>
            </w:pPr>
            <w:r>
              <w:rPr>
                <w:color w:val="000000"/>
              </w:rPr>
              <w:t>0.62%</w:t>
            </w:r>
          </w:p>
        </w:tc>
        <w:tc>
          <w:tcPr>
            <w:tcW w:w="477" w:type="pct"/>
            <w:tcMar>
              <w:top w:w="0" w:type="dxa"/>
              <w:left w:w="28" w:type="dxa"/>
              <w:bottom w:w="0" w:type="dxa"/>
              <w:right w:w="28" w:type="dxa"/>
            </w:tcMar>
            <w:vAlign w:val="center"/>
          </w:tcPr>
          <w:p w14:paraId="3D72F522" w14:textId="77777777" w:rsidR="004B0883" w:rsidRDefault="004B0883">
            <w:pPr>
              <w:jc w:val="right"/>
              <w:rPr>
                <w:color w:val="000000"/>
              </w:rPr>
            </w:pPr>
            <w:r>
              <w:rPr>
                <w:color w:val="000000"/>
              </w:rPr>
              <w:t>20.51</w:t>
            </w:r>
          </w:p>
        </w:tc>
        <w:tc>
          <w:tcPr>
            <w:tcW w:w="503" w:type="pct"/>
            <w:tcMar>
              <w:top w:w="0" w:type="dxa"/>
              <w:left w:w="28" w:type="dxa"/>
              <w:bottom w:w="0" w:type="dxa"/>
              <w:right w:w="28" w:type="dxa"/>
            </w:tcMar>
            <w:vAlign w:val="center"/>
          </w:tcPr>
          <w:p w14:paraId="7E32F356" w14:textId="77777777" w:rsidR="004B0883" w:rsidRDefault="004B0883">
            <w:pPr>
              <w:jc w:val="right"/>
              <w:rPr>
                <w:color w:val="000000"/>
              </w:rPr>
            </w:pPr>
            <w:r>
              <w:rPr>
                <w:color w:val="000000"/>
              </w:rPr>
              <w:t>0.74%</w:t>
            </w:r>
          </w:p>
        </w:tc>
        <w:tc>
          <w:tcPr>
            <w:tcW w:w="477" w:type="pct"/>
            <w:tcMar>
              <w:top w:w="0" w:type="dxa"/>
              <w:left w:w="28" w:type="dxa"/>
              <w:bottom w:w="0" w:type="dxa"/>
              <w:right w:w="28" w:type="dxa"/>
            </w:tcMar>
            <w:vAlign w:val="center"/>
          </w:tcPr>
          <w:p w14:paraId="03AE3038" w14:textId="77777777" w:rsidR="004B0883" w:rsidRDefault="004B0883">
            <w:pPr>
              <w:jc w:val="right"/>
              <w:rPr>
                <w:color w:val="000000"/>
              </w:rPr>
            </w:pPr>
            <w:r>
              <w:rPr>
                <w:color w:val="000000"/>
              </w:rPr>
              <w:t>68.91</w:t>
            </w:r>
          </w:p>
        </w:tc>
        <w:tc>
          <w:tcPr>
            <w:tcW w:w="496" w:type="pct"/>
            <w:tcMar>
              <w:top w:w="0" w:type="dxa"/>
              <w:left w:w="28" w:type="dxa"/>
              <w:bottom w:w="0" w:type="dxa"/>
              <w:right w:w="28" w:type="dxa"/>
            </w:tcMar>
            <w:vAlign w:val="center"/>
          </w:tcPr>
          <w:p w14:paraId="4C7C7F21" w14:textId="77777777" w:rsidR="004B0883" w:rsidRDefault="004B0883">
            <w:pPr>
              <w:jc w:val="right"/>
              <w:rPr>
                <w:color w:val="000000"/>
              </w:rPr>
            </w:pPr>
            <w:r>
              <w:rPr>
                <w:color w:val="000000"/>
              </w:rPr>
              <w:t>3.31%</w:t>
            </w:r>
          </w:p>
        </w:tc>
      </w:tr>
      <w:tr w:rsidR="004B0883" w14:paraId="149D3979" w14:textId="77777777">
        <w:trPr>
          <w:trHeight w:val="397"/>
          <w:jc w:val="center"/>
        </w:trPr>
        <w:tc>
          <w:tcPr>
            <w:tcW w:w="964" w:type="pct"/>
            <w:tcMar>
              <w:top w:w="0" w:type="dxa"/>
              <w:left w:w="28" w:type="dxa"/>
              <w:bottom w:w="0" w:type="dxa"/>
              <w:right w:w="28" w:type="dxa"/>
            </w:tcMar>
            <w:vAlign w:val="center"/>
          </w:tcPr>
          <w:p w14:paraId="4BA73F70" w14:textId="77777777" w:rsidR="004B0883" w:rsidRDefault="004B0883">
            <w:pPr>
              <w:rPr>
                <w:color w:val="000000"/>
              </w:rPr>
            </w:pPr>
            <w:r>
              <w:rPr>
                <w:color w:val="000000"/>
              </w:rPr>
              <w:t>工资及附加</w:t>
            </w:r>
          </w:p>
        </w:tc>
        <w:tc>
          <w:tcPr>
            <w:tcW w:w="533" w:type="pct"/>
            <w:tcMar>
              <w:top w:w="0" w:type="dxa"/>
              <w:left w:w="28" w:type="dxa"/>
              <w:bottom w:w="0" w:type="dxa"/>
              <w:right w:w="28" w:type="dxa"/>
            </w:tcMar>
            <w:vAlign w:val="center"/>
          </w:tcPr>
          <w:p w14:paraId="6A399B2E" w14:textId="77777777" w:rsidR="004B0883" w:rsidRDefault="004B0883">
            <w:pPr>
              <w:jc w:val="right"/>
              <w:rPr>
                <w:color w:val="000000"/>
              </w:rPr>
            </w:pPr>
            <w:r>
              <w:rPr>
                <w:rFonts w:hint="eastAsia"/>
                <w:color w:val="000000"/>
              </w:rPr>
              <w:t>349.09</w:t>
            </w:r>
          </w:p>
        </w:tc>
        <w:tc>
          <w:tcPr>
            <w:tcW w:w="569" w:type="pct"/>
            <w:tcMar>
              <w:top w:w="0" w:type="dxa"/>
              <w:left w:w="28" w:type="dxa"/>
              <w:bottom w:w="0" w:type="dxa"/>
              <w:right w:w="28" w:type="dxa"/>
            </w:tcMar>
            <w:vAlign w:val="center"/>
          </w:tcPr>
          <w:p w14:paraId="3F031857" w14:textId="77777777" w:rsidR="004B0883" w:rsidRDefault="004B0883">
            <w:pPr>
              <w:jc w:val="right"/>
              <w:rPr>
                <w:color w:val="000000"/>
              </w:rPr>
            </w:pPr>
            <w:r>
              <w:rPr>
                <w:rFonts w:hint="eastAsia"/>
                <w:color w:val="000000"/>
              </w:rPr>
              <w:t>17.87%</w:t>
            </w:r>
          </w:p>
        </w:tc>
        <w:tc>
          <w:tcPr>
            <w:tcW w:w="477" w:type="pct"/>
            <w:tcMar>
              <w:top w:w="0" w:type="dxa"/>
              <w:left w:w="28" w:type="dxa"/>
              <w:bottom w:w="0" w:type="dxa"/>
              <w:right w:w="28" w:type="dxa"/>
            </w:tcMar>
            <w:vAlign w:val="center"/>
          </w:tcPr>
          <w:p w14:paraId="74C99945" w14:textId="77777777" w:rsidR="004B0883" w:rsidRDefault="004B0883">
            <w:pPr>
              <w:jc w:val="right"/>
              <w:rPr>
                <w:color w:val="000000"/>
              </w:rPr>
            </w:pPr>
            <w:r>
              <w:rPr>
                <w:color w:val="000000"/>
              </w:rPr>
              <w:t>489.93</w:t>
            </w:r>
          </w:p>
        </w:tc>
        <w:tc>
          <w:tcPr>
            <w:tcW w:w="503" w:type="pct"/>
            <w:tcMar>
              <w:top w:w="0" w:type="dxa"/>
              <w:left w:w="28" w:type="dxa"/>
              <w:bottom w:w="0" w:type="dxa"/>
              <w:right w:w="28" w:type="dxa"/>
            </w:tcMar>
            <w:vAlign w:val="center"/>
          </w:tcPr>
          <w:p w14:paraId="7509D9D5" w14:textId="77777777" w:rsidR="004B0883" w:rsidRDefault="004B0883">
            <w:pPr>
              <w:jc w:val="right"/>
              <w:rPr>
                <w:color w:val="000000"/>
              </w:rPr>
            </w:pPr>
            <w:r>
              <w:rPr>
                <w:color w:val="000000"/>
              </w:rPr>
              <w:t>15.81%</w:t>
            </w:r>
          </w:p>
        </w:tc>
        <w:tc>
          <w:tcPr>
            <w:tcW w:w="477" w:type="pct"/>
            <w:tcMar>
              <w:top w:w="0" w:type="dxa"/>
              <w:left w:w="28" w:type="dxa"/>
              <w:bottom w:w="0" w:type="dxa"/>
              <w:right w:w="28" w:type="dxa"/>
            </w:tcMar>
            <w:vAlign w:val="center"/>
          </w:tcPr>
          <w:p w14:paraId="15F6C4A1" w14:textId="77777777" w:rsidR="004B0883" w:rsidRDefault="004B0883">
            <w:pPr>
              <w:jc w:val="right"/>
              <w:rPr>
                <w:color w:val="000000"/>
              </w:rPr>
            </w:pPr>
            <w:r>
              <w:rPr>
                <w:color w:val="000000"/>
              </w:rPr>
              <w:t>309.14</w:t>
            </w:r>
          </w:p>
        </w:tc>
        <w:tc>
          <w:tcPr>
            <w:tcW w:w="503" w:type="pct"/>
            <w:tcMar>
              <w:top w:w="0" w:type="dxa"/>
              <w:left w:w="28" w:type="dxa"/>
              <w:bottom w:w="0" w:type="dxa"/>
              <w:right w:w="28" w:type="dxa"/>
            </w:tcMar>
            <w:vAlign w:val="center"/>
          </w:tcPr>
          <w:p w14:paraId="36E21EE5" w14:textId="77777777" w:rsidR="004B0883" w:rsidRDefault="004B0883">
            <w:pPr>
              <w:jc w:val="right"/>
              <w:rPr>
                <w:color w:val="000000"/>
              </w:rPr>
            </w:pPr>
            <w:r>
              <w:rPr>
                <w:color w:val="000000"/>
              </w:rPr>
              <w:t>11.09%</w:t>
            </w:r>
          </w:p>
        </w:tc>
        <w:tc>
          <w:tcPr>
            <w:tcW w:w="477" w:type="pct"/>
            <w:tcMar>
              <w:top w:w="0" w:type="dxa"/>
              <w:left w:w="28" w:type="dxa"/>
              <w:bottom w:w="0" w:type="dxa"/>
              <w:right w:w="28" w:type="dxa"/>
            </w:tcMar>
            <w:vAlign w:val="center"/>
          </w:tcPr>
          <w:p w14:paraId="1BC7F8D5" w14:textId="77777777" w:rsidR="004B0883" w:rsidRDefault="004B0883">
            <w:pPr>
              <w:jc w:val="right"/>
              <w:rPr>
                <w:color w:val="000000"/>
              </w:rPr>
            </w:pPr>
            <w:r>
              <w:rPr>
                <w:color w:val="000000"/>
              </w:rPr>
              <w:t>395.96</w:t>
            </w:r>
          </w:p>
        </w:tc>
        <w:tc>
          <w:tcPr>
            <w:tcW w:w="496" w:type="pct"/>
            <w:tcMar>
              <w:top w:w="0" w:type="dxa"/>
              <w:left w:w="28" w:type="dxa"/>
              <w:bottom w:w="0" w:type="dxa"/>
              <w:right w:w="28" w:type="dxa"/>
            </w:tcMar>
            <w:vAlign w:val="center"/>
          </w:tcPr>
          <w:p w14:paraId="61A1BB59" w14:textId="77777777" w:rsidR="004B0883" w:rsidRDefault="004B0883">
            <w:pPr>
              <w:jc w:val="right"/>
              <w:rPr>
                <w:color w:val="000000"/>
              </w:rPr>
            </w:pPr>
            <w:r>
              <w:rPr>
                <w:color w:val="000000"/>
              </w:rPr>
              <w:t>19.02%</w:t>
            </w:r>
          </w:p>
        </w:tc>
      </w:tr>
      <w:tr w:rsidR="004B0883" w14:paraId="2B32E10A" w14:textId="77777777">
        <w:trPr>
          <w:trHeight w:val="397"/>
          <w:jc w:val="center"/>
        </w:trPr>
        <w:tc>
          <w:tcPr>
            <w:tcW w:w="964" w:type="pct"/>
            <w:tcMar>
              <w:top w:w="0" w:type="dxa"/>
              <w:left w:w="28" w:type="dxa"/>
              <w:bottom w:w="0" w:type="dxa"/>
              <w:right w:w="28" w:type="dxa"/>
            </w:tcMar>
            <w:vAlign w:val="center"/>
          </w:tcPr>
          <w:p w14:paraId="6EB29F43" w14:textId="77777777" w:rsidR="004B0883" w:rsidRDefault="004B0883">
            <w:pPr>
              <w:rPr>
                <w:color w:val="000000"/>
              </w:rPr>
            </w:pPr>
            <w:r>
              <w:rPr>
                <w:color w:val="000000"/>
              </w:rPr>
              <w:t>业务宣传费及展位费</w:t>
            </w:r>
          </w:p>
        </w:tc>
        <w:tc>
          <w:tcPr>
            <w:tcW w:w="533" w:type="pct"/>
            <w:tcMar>
              <w:top w:w="0" w:type="dxa"/>
              <w:left w:w="28" w:type="dxa"/>
              <w:bottom w:w="0" w:type="dxa"/>
              <w:right w:w="28" w:type="dxa"/>
            </w:tcMar>
            <w:vAlign w:val="center"/>
          </w:tcPr>
          <w:p w14:paraId="5594B20B" w14:textId="77777777" w:rsidR="004B0883" w:rsidRDefault="004B0883">
            <w:pPr>
              <w:jc w:val="right"/>
              <w:rPr>
                <w:color w:val="000000"/>
              </w:rPr>
            </w:pPr>
            <w:r>
              <w:rPr>
                <w:rFonts w:hint="eastAsia"/>
                <w:color w:val="000000"/>
              </w:rPr>
              <w:t>116.74</w:t>
            </w:r>
          </w:p>
        </w:tc>
        <w:tc>
          <w:tcPr>
            <w:tcW w:w="569" w:type="pct"/>
            <w:tcMar>
              <w:top w:w="0" w:type="dxa"/>
              <w:left w:w="28" w:type="dxa"/>
              <w:bottom w:w="0" w:type="dxa"/>
              <w:right w:w="28" w:type="dxa"/>
            </w:tcMar>
            <w:vAlign w:val="center"/>
          </w:tcPr>
          <w:p w14:paraId="447F2EA1" w14:textId="77777777" w:rsidR="004B0883" w:rsidRDefault="004B0883">
            <w:pPr>
              <w:jc w:val="right"/>
              <w:rPr>
                <w:color w:val="000000"/>
              </w:rPr>
            </w:pPr>
            <w:r>
              <w:rPr>
                <w:rFonts w:hint="eastAsia"/>
                <w:color w:val="000000"/>
              </w:rPr>
              <w:t>5.98%</w:t>
            </w:r>
          </w:p>
        </w:tc>
        <w:tc>
          <w:tcPr>
            <w:tcW w:w="477" w:type="pct"/>
            <w:tcMar>
              <w:top w:w="0" w:type="dxa"/>
              <w:left w:w="28" w:type="dxa"/>
              <w:bottom w:w="0" w:type="dxa"/>
              <w:right w:w="28" w:type="dxa"/>
            </w:tcMar>
            <w:vAlign w:val="center"/>
          </w:tcPr>
          <w:p w14:paraId="5E2CC023" w14:textId="77777777" w:rsidR="004B0883" w:rsidRDefault="004B0883">
            <w:pPr>
              <w:jc w:val="right"/>
              <w:rPr>
                <w:color w:val="000000"/>
              </w:rPr>
            </w:pPr>
            <w:r>
              <w:rPr>
                <w:color w:val="000000"/>
              </w:rPr>
              <w:t>63.50</w:t>
            </w:r>
          </w:p>
        </w:tc>
        <w:tc>
          <w:tcPr>
            <w:tcW w:w="503" w:type="pct"/>
            <w:tcMar>
              <w:top w:w="0" w:type="dxa"/>
              <w:left w:w="28" w:type="dxa"/>
              <w:bottom w:w="0" w:type="dxa"/>
              <w:right w:w="28" w:type="dxa"/>
            </w:tcMar>
            <w:vAlign w:val="center"/>
          </w:tcPr>
          <w:p w14:paraId="75D3DCE6" w14:textId="77777777" w:rsidR="004B0883" w:rsidRDefault="004B0883">
            <w:pPr>
              <w:jc w:val="right"/>
              <w:rPr>
                <w:color w:val="000000"/>
              </w:rPr>
            </w:pPr>
            <w:r>
              <w:rPr>
                <w:color w:val="000000"/>
              </w:rPr>
              <w:t>2.05%</w:t>
            </w:r>
          </w:p>
        </w:tc>
        <w:tc>
          <w:tcPr>
            <w:tcW w:w="477" w:type="pct"/>
            <w:tcMar>
              <w:top w:w="0" w:type="dxa"/>
              <w:left w:w="28" w:type="dxa"/>
              <w:bottom w:w="0" w:type="dxa"/>
              <w:right w:w="28" w:type="dxa"/>
            </w:tcMar>
            <w:vAlign w:val="center"/>
          </w:tcPr>
          <w:p w14:paraId="5BCE49C1" w14:textId="77777777" w:rsidR="004B0883" w:rsidRDefault="004B0883">
            <w:pPr>
              <w:jc w:val="right"/>
              <w:rPr>
                <w:color w:val="000000"/>
              </w:rPr>
            </w:pPr>
            <w:r>
              <w:rPr>
                <w:color w:val="000000"/>
              </w:rPr>
              <w:t>54.79</w:t>
            </w:r>
          </w:p>
        </w:tc>
        <w:tc>
          <w:tcPr>
            <w:tcW w:w="503" w:type="pct"/>
            <w:tcMar>
              <w:top w:w="0" w:type="dxa"/>
              <w:left w:w="28" w:type="dxa"/>
              <w:bottom w:w="0" w:type="dxa"/>
              <w:right w:w="28" w:type="dxa"/>
            </w:tcMar>
            <w:vAlign w:val="center"/>
          </w:tcPr>
          <w:p w14:paraId="13F06807" w14:textId="77777777" w:rsidR="004B0883" w:rsidRDefault="004B0883">
            <w:pPr>
              <w:jc w:val="right"/>
              <w:rPr>
                <w:color w:val="000000"/>
              </w:rPr>
            </w:pPr>
            <w:r>
              <w:rPr>
                <w:color w:val="000000"/>
              </w:rPr>
              <w:t>1.97%</w:t>
            </w:r>
          </w:p>
        </w:tc>
        <w:tc>
          <w:tcPr>
            <w:tcW w:w="477" w:type="pct"/>
            <w:tcMar>
              <w:top w:w="0" w:type="dxa"/>
              <w:left w:w="28" w:type="dxa"/>
              <w:bottom w:w="0" w:type="dxa"/>
              <w:right w:w="28" w:type="dxa"/>
            </w:tcMar>
            <w:vAlign w:val="center"/>
          </w:tcPr>
          <w:p w14:paraId="08D39223" w14:textId="77777777" w:rsidR="004B0883" w:rsidRDefault="004B0883">
            <w:pPr>
              <w:jc w:val="right"/>
              <w:rPr>
                <w:color w:val="000000"/>
              </w:rPr>
            </w:pPr>
            <w:r>
              <w:rPr>
                <w:color w:val="000000"/>
              </w:rPr>
              <w:t>58.27</w:t>
            </w:r>
          </w:p>
        </w:tc>
        <w:tc>
          <w:tcPr>
            <w:tcW w:w="496" w:type="pct"/>
            <w:tcMar>
              <w:top w:w="0" w:type="dxa"/>
              <w:left w:w="28" w:type="dxa"/>
              <w:bottom w:w="0" w:type="dxa"/>
              <w:right w:w="28" w:type="dxa"/>
            </w:tcMar>
            <w:vAlign w:val="center"/>
          </w:tcPr>
          <w:p w14:paraId="379A0808" w14:textId="77777777" w:rsidR="004B0883" w:rsidRDefault="004B0883">
            <w:pPr>
              <w:jc w:val="right"/>
              <w:rPr>
                <w:color w:val="000000"/>
              </w:rPr>
            </w:pPr>
            <w:r>
              <w:rPr>
                <w:color w:val="000000"/>
              </w:rPr>
              <w:t>2.80%</w:t>
            </w:r>
          </w:p>
        </w:tc>
      </w:tr>
      <w:tr w:rsidR="004B0883" w14:paraId="0E2640CE" w14:textId="77777777">
        <w:trPr>
          <w:trHeight w:val="397"/>
          <w:jc w:val="center"/>
        </w:trPr>
        <w:tc>
          <w:tcPr>
            <w:tcW w:w="964" w:type="pct"/>
            <w:tcMar>
              <w:top w:w="0" w:type="dxa"/>
              <w:left w:w="28" w:type="dxa"/>
              <w:bottom w:w="0" w:type="dxa"/>
              <w:right w:w="28" w:type="dxa"/>
            </w:tcMar>
            <w:vAlign w:val="center"/>
          </w:tcPr>
          <w:p w14:paraId="59F01712" w14:textId="77777777" w:rsidR="004B0883" w:rsidRDefault="004B0883">
            <w:pPr>
              <w:rPr>
                <w:color w:val="000000"/>
              </w:rPr>
            </w:pPr>
            <w:r>
              <w:rPr>
                <w:color w:val="000000"/>
              </w:rPr>
              <w:t>检验费及认证费</w:t>
            </w:r>
          </w:p>
        </w:tc>
        <w:tc>
          <w:tcPr>
            <w:tcW w:w="533" w:type="pct"/>
            <w:tcMar>
              <w:top w:w="0" w:type="dxa"/>
              <w:left w:w="28" w:type="dxa"/>
              <w:bottom w:w="0" w:type="dxa"/>
              <w:right w:w="28" w:type="dxa"/>
            </w:tcMar>
            <w:vAlign w:val="center"/>
          </w:tcPr>
          <w:p w14:paraId="6AB1F098" w14:textId="77777777" w:rsidR="004B0883" w:rsidRDefault="004B0883">
            <w:pPr>
              <w:jc w:val="right"/>
              <w:rPr>
                <w:color w:val="000000"/>
              </w:rPr>
            </w:pPr>
            <w:r>
              <w:rPr>
                <w:rFonts w:hint="eastAsia"/>
                <w:color w:val="000000"/>
              </w:rPr>
              <w:t>373.54</w:t>
            </w:r>
          </w:p>
        </w:tc>
        <w:tc>
          <w:tcPr>
            <w:tcW w:w="569" w:type="pct"/>
            <w:tcMar>
              <w:top w:w="0" w:type="dxa"/>
              <w:left w:w="28" w:type="dxa"/>
              <w:bottom w:w="0" w:type="dxa"/>
              <w:right w:w="28" w:type="dxa"/>
            </w:tcMar>
            <w:vAlign w:val="center"/>
          </w:tcPr>
          <w:p w14:paraId="4767D601" w14:textId="77777777" w:rsidR="004B0883" w:rsidRDefault="004B0883">
            <w:pPr>
              <w:jc w:val="right"/>
              <w:rPr>
                <w:color w:val="000000"/>
              </w:rPr>
            </w:pPr>
            <w:r>
              <w:rPr>
                <w:rFonts w:hint="eastAsia"/>
                <w:color w:val="000000"/>
              </w:rPr>
              <w:t>19.12%</w:t>
            </w:r>
          </w:p>
        </w:tc>
        <w:tc>
          <w:tcPr>
            <w:tcW w:w="477" w:type="pct"/>
            <w:tcMar>
              <w:top w:w="0" w:type="dxa"/>
              <w:left w:w="28" w:type="dxa"/>
              <w:bottom w:w="0" w:type="dxa"/>
              <w:right w:w="28" w:type="dxa"/>
            </w:tcMar>
            <w:vAlign w:val="center"/>
          </w:tcPr>
          <w:p w14:paraId="7589B595" w14:textId="77777777" w:rsidR="004B0883" w:rsidRDefault="004B0883">
            <w:pPr>
              <w:jc w:val="right"/>
              <w:rPr>
                <w:color w:val="000000"/>
              </w:rPr>
            </w:pPr>
            <w:r>
              <w:rPr>
                <w:color w:val="000000"/>
              </w:rPr>
              <w:t>568.84</w:t>
            </w:r>
          </w:p>
        </w:tc>
        <w:tc>
          <w:tcPr>
            <w:tcW w:w="503" w:type="pct"/>
            <w:tcMar>
              <w:top w:w="0" w:type="dxa"/>
              <w:left w:w="28" w:type="dxa"/>
              <w:bottom w:w="0" w:type="dxa"/>
              <w:right w:w="28" w:type="dxa"/>
            </w:tcMar>
            <w:vAlign w:val="center"/>
          </w:tcPr>
          <w:p w14:paraId="3F08116F" w14:textId="77777777" w:rsidR="004B0883" w:rsidRDefault="004B0883">
            <w:pPr>
              <w:jc w:val="right"/>
              <w:rPr>
                <w:color w:val="000000"/>
              </w:rPr>
            </w:pPr>
            <w:r>
              <w:rPr>
                <w:color w:val="000000"/>
              </w:rPr>
              <w:t>18.36%</w:t>
            </w:r>
          </w:p>
        </w:tc>
        <w:tc>
          <w:tcPr>
            <w:tcW w:w="477" w:type="pct"/>
            <w:tcMar>
              <w:top w:w="0" w:type="dxa"/>
              <w:left w:w="28" w:type="dxa"/>
              <w:bottom w:w="0" w:type="dxa"/>
              <w:right w:w="28" w:type="dxa"/>
            </w:tcMar>
            <w:vAlign w:val="center"/>
          </w:tcPr>
          <w:p w14:paraId="3391B65A" w14:textId="77777777" w:rsidR="004B0883" w:rsidRDefault="004B0883">
            <w:pPr>
              <w:jc w:val="right"/>
              <w:rPr>
                <w:color w:val="000000"/>
              </w:rPr>
            </w:pPr>
            <w:r>
              <w:rPr>
                <w:color w:val="000000"/>
              </w:rPr>
              <w:t>693.23</w:t>
            </w:r>
          </w:p>
        </w:tc>
        <w:tc>
          <w:tcPr>
            <w:tcW w:w="503" w:type="pct"/>
            <w:tcMar>
              <w:top w:w="0" w:type="dxa"/>
              <w:left w:w="28" w:type="dxa"/>
              <w:bottom w:w="0" w:type="dxa"/>
              <w:right w:w="28" w:type="dxa"/>
            </w:tcMar>
            <w:vAlign w:val="center"/>
          </w:tcPr>
          <w:p w14:paraId="780D6B2A" w14:textId="77777777" w:rsidR="004B0883" w:rsidRDefault="004B0883">
            <w:pPr>
              <w:jc w:val="right"/>
              <w:rPr>
                <w:color w:val="000000"/>
              </w:rPr>
            </w:pPr>
            <w:r>
              <w:rPr>
                <w:color w:val="000000"/>
              </w:rPr>
              <w:t>24.86%</w:t>
            </w:r>
          </w:p>
        </w:tc>
        <w:tc>
          <w:tcPr>
            <w:tcW w:w="477" w:type="pct"/>
            <w:tcMar>
              <w:top w:w="0" w:type="dxa"/>
              <w:left w:w="28" w:type="dxa"/>
              <w:bottom w:w="0" w:type="dxa"/>
              <w:right w:w="28" w:type="dxa"/>
            </w:tcMar>
            <w:vAlign w:val="center"/>
          </w:tcPr>
          <w:p w14:paraId="35D52D9C" w14:textId="77777777" w:rsidR="004B0883" w:rsidRDefault="004B0883">
            <w:pPr>
              <w:jc w:val="right"/>
              <w:rPr>
                <w:color w:val="000000"/>
              </w:rPr>
            </w:pPr>
            <w:r>
              <w:rPr>
                <w:color w:val="000000"/>
              </w:rPr>
              <w:t>316.53</w:t>
            </w:r>
          </w:p>
        </w:tc>
        <w:tc>
          <w:tcPr>
            <w:tcW w:w="496" w:type="pct"/>
            <w:tcMar>
              <w:top w:w="0" w:type="dxa"/>
              <w:left w:w="28" w:type="dxa"/>
              <w:bottom w:w="0" w:type="dxa"/>
              <w:right w:w="28" w:type="dxa"/>
            </w:tcMar>
            <w:vAlign w:val="center"/>
          </w:tcPr>
          <w:p w14:paraId="4E437D2F" w14:textId="77777777" w:rsidR="004B0883" w:rsidRDefault="004B0883">
            <w:pPr>
              <w:jc w:val="right"/>
              <w:rPr>
                <w:color w:val="000000"/>
              </w:rPr>
            </w:pPr>
            <w:r>
              <w:rPr>
                <w:color w:val="000000"/>
              </w:rPr>
              <w:t>15.20%</w:t>
            </w:r>
          </w:p>
        </w:tc>
      </w:tr>
      <w:tr w:rsidR="004B0883" w14:paraId="6D82DDB2" w14:textId="77777777">
        <w:trPr>
          <w:trHeight w:val="397"/>
          <w:jc w:val="center"/>
        </w:trPr>
        <w:tc>
          <w:tcPr>
            <w:tcW w:w="964" w:type="pct"/>
            <w:tcMar>
              <w:top w:w="0" w:type="dxa"/>
              <w:left w:w="28" w:type="dxa"/>
              <w:bottom w:w="0" w:type="dxa"/>
              <w:right w:w="28" w:type="dxa"/>
            </w:tcMar>
            <w:vAlign w:val="center"/>
          </w:tcPr>
          <w:p w14:paraId="6C90D24F" w14:textId="77777777" w:rsidR="004B0883" w:rsidRDefault="004B0883">
            <w:pPr>
              <w:rPr>
                <w:color w:val="000000"/>
              </w:rPr>
            </w:pPr>
            <w:r>
              <w:rPr>
                <w:color w:val="000000"/>
              </w:rPr>
              <w:t>佣金及咨询费</w:t>
            </w:r>
          </w:p>
        </w:tc>
        <w:tc>
          <w:tcPr>
            <w:tcW w:w="533" w:type="pct"/>
            <w:tcMar>
              <w:top w:w="0" w:type="dxa"/>
              <w:left w:w="28" w:type="dxa"/>
              <w:bottom w:w="0" w:type="dxa"/>
              <w:right w:w="28" w:type="dxa"/>
            </w:tcMar>
            <w:vAlign w:val="center"/>
          </w:tcPr>
          <w:p w14:paraId="0AE118BD" w14:textId="77777777" w:rsidR="004B0883" w:rsidRDefault="004B0883">
            <w:pPr>
              <w:jc w:val="right"/>
              <w:rPr>
                <w:color w:val="000000"/>
              </w:rPr>
            </w:pPr>
            <w:r>
              <w:rPr>
                <w:rFonts w:hint="eastAsia"/>
                <w:color w:val="000000"/>
              </w:rPr>
              <w:t>890.73</w:t>
            </w:r>
          </w:p>
        </w:tc>
        <w:tc>
          <w:tcPr>
            <w:tcW w:w="569" w:type="pct"/>
            <w:tcMar>
              <w:top w:w="0" w:type="dxa"/>
              <w:left w:w="28" w:type="dxa"/>
              <w:bottom w:w="0" w:type="dxa"/>
              <w:right w:w="28" w:type="dxa"/>
            </w:tcMar>
            <w:vAlign w:val="center"/>
          </w:tcPr>
          <w:p w14:paraId="787EBDD5" w14:textId="77777777" w:rsidR="004B0883" w:rsidRDefault="004B0883">
            <w:pPr>
              <w:jc w:val="right"/>
              <w:rPr>
                <w:color w:val="000000"/>
              </w:rPr>
            </w:pPr>
            <w:r>
              <w:rPr>
                <w:rFonts w:hint="eastAsia"/>
                <w:color w:val="000000"/>
              </w:rPr>
              <w:t>45.60%</w:t>
            </w:r>
          </w:p>
        </w:tc>
        <w:tc>
          <w:tcPr>
            <w:tcW w:w="477" w:type="pct"/>
            <w:tcMar>
              <w:top w:w="0" w:type="dxa"/>
              <w:left w:w="28" w:type="dxa"/>
              <w:bottom w:w="0" w:type="dxa"/>
              <w:right w:w="28" w:type="dxa"/>
            </w:tcMar>
            <w:vAlign w:val="center"/>
          </w:tcPr>
          <w:p w14:paraId="314596E8" w14:textId="77777777" w:rsidR="004B0883" w:rsidRDefault="004B0883">
            <w:pPr>
              <w:jc w:val="right"/>
              <w:rPr>
                <w:color w:val="000000"/>
              </w:rPr>
            </w:pPr>
            <w:r>
              <w:rPr>
                <w:color w:val="000000"/>
              </w:rPr>
              <w:t>1,724.00</w:t>
            </w:r>
          </w:p>
        </w:tc>
        <w:tc>
          <w:tcPr>
            <w:tcW w:w="503" w:type="pct"/>
            <w:tcMar>
              <w:top w:w="0" w:type="dxa"/>
              <w:left w:w="28" w:type="dxa"/>
              <w:bottom w:w="0" w:type="dxa"/>
              <w:right w:w="28" w:type="dxa"/>
            </w:tcMar>
            <w:vAlign w:val="center"/>
          </w:tcPr>
          <w:p w14:paraId="55BB05F1" w14:textId="77777777" w:rsidR="004B0883" w:rsidRDefault="004B0883">
            <w:pPr>
              <w:jc w:val="right"/>
              <w:rPr>
                <w:color w:val="000000"/>
              </w:rPr>
            </w:pPr>
            <w:r>
              <w:rPr>
                <w:color w:val="000000"/>
              </w:rPr>
              <w:t>55.64%</w:t>
            </w:r>
          </w:p>
        </w:tc>
        <w:tc>
          <w:tcPr>
            <w:tcW w:w="477" w:type="pct"/>
            <w:tcMar>
              <w:top w:w="0" w:type="dxa"/>
              <w:left w:w="28" w:type="dxa"/>
              <w:bottom w:w="0" w:type="dxa"/>
              <w:right w:w="28" w:type="dxa"/>
            </w:tcMar>
            <w:vAlign w:val="center"/>
          </w:tcPr>
          <w:p w14:paraId="02DFC938" w14:textId="77777777" w:rsidR="004B0883" w:rsidRDefault="004B0883">
            <w:pPr>
              <w:jc w:val="right"/>
              <w:rPr>
                <w:color w:val="000000"/>
              </w:rPr>
            </w:pPr>
            <w:r>
              <w:rPr>
                <w:color w:val="000000"/>
              </w:rPr>
              <w:t>1,549.25</w:t>
            </w:r>
          </w:p>
        </w:tc>
        <w:tc>
          <w:tcPr>
            <w:tcW w:w="503" w:type="pct"/>
            <w:tcMar>
              <w:top w:w="0" w:type="dxa"/>
              <w:left w:w="28" w:type="dxa"/>
              <w:bottom w:w="0" w:type="dxa"/>
              <w:right w:w="28" w:type="dxa"/>
            </w:tcMar>
            <w:vAlign w:val="center"/>
          </w:tcPr>
          <w:p w14:paraId="5E371493" w14:textId="77777777" w:rsidR="004B0883" w:rsidRDefault="004B0883">
            <w:pPr>
              <w:jc w:val="right"/>
              <w:rPr>
                <w:color w:val="000000"/>
              </w:rPr>
            </w:pPr>
            <w:r>
              <w:rPr>
                <w:color w:val="000000"/>
              </w:rPr>
              <w:t>55.56%</w:t>
            </w:r>
          </w:p>
        </w:tc>
        <w:tc>
          <w:tcPr>
            <w:tcW w:w="477" w:type="pct"/>
            <w:tcMar>
              <w:top w:w="0" w:type="dxa"/>
              <w:left w:w="28" w:type="dxa"/>
              <w:bottom w:w="0" w:type="dxa"/>
              <w:right w:w="28" w:type="dxa"/>
            </w:tcMar>
            <w:vAlign w:val="center"/>
          </w:tcPr>
          <w:p w14:paraId="021D4431" w14:textId="77777777" w:rsidR="004B0883" w:rsidRDefault="004B0883">
            <w:pPr>
              <w:jc w:val="right"/>
              <w:rPr>
                <w:color w:val="000000"/>
              </w:rPr>
            </w:pPr>
            <w:r>
              <w:rPr>
                <w:color w:val="000000"/>
              </w:rPr>
              <w:t>1,036.94</w:t>
            </w:r>
          </w:p>
        </w:tc>
        <w:tc>
          <w:tcPr>
            <w:tcW w:w="496" w:type="pct"/>
            <w:tcMar>
              <w:top w:w="0" w:type="dxa"/>
              <w:left w:w="28" w:type="dxa"/>
              <w:bottom w:w="0" w:type="dxa"/>
              <w:right w:w="28" w:type="dxa"/>
            </w:tcMar>
            <w:vAlign w:val="center"/>
          </w:tcPr>
          <w:p w14:paraId="37CDCECA" w14:textId="77777777" w:rsidR="004B0883" w:rsidRDefault="004B0883">
            <w:pPr>
              <w:jc w:val="right"/>
              <w:rPr>
                <w:color w:val="000000"/>
              </w:rPr>
            </w:pPr>
            <w:r>
              <w:rPr>
                <w:color w:val="000000"/>
              </w:rPr>
              <w:t>49.80%</w:t>
            </w:r>
          </w:p>
        </w:tc>
      </w:tr>
      <w:tr w:rsidR="004B0883" w14:paraId="4F7BBDD1" w14:textId="77777777">
        <w:trPr>
          <w:trHeight w:val="397"/>
          <w:jc w:val="center"/>
        </w:trPr>
        <w:tc>
          <w:tcPr>
            <w:tcW w:w="964" w:type="pct"/>
            <w:tcMar>
              <w:top w:w="0" w:type="dxa"/>
              <w:left w:w="28" w:type="dxa"/>
              <w:bottom w:w="0" w:type="dxa"/>
              <w:right w:w="28" w:type="dxa"/>
            </w:tcMar>
            <w:vAlign w:val="center"/>
          </w:tcPr>
          <w:p w14:paraId="507FDCFD" w14:textId="77777777" w:rsidR="004B0883" w:rsidRDefault="004B0883">
            <w:pPr>
              <w:rPr>
                <w:color w:val="000000"/>
              </w:rPr>
            </w:pPr>
            <w:r>
              <w:rPr>
                <w:color w:val="000000"/>
              </w:rPr>
              <w:t>水电费、通讯费及其他</w:t>
            </w:r>
          </w:p>
        </w:tc>
        <w:tc>
          <w:tcPr>
            <w:tcW w:w="533" w:type="pct"/>
            <w:tcMar>
              <w:top w:w="0" w:type="dxa"/>
              <w:left w:w="28" w:type="dxa"/>
              <w:bottom w:w="0" w:type="dxa"/>
              <w:right w:w="28" w:type="dxa"/>
            </w:tcMar>
            <w:vAlign w:val="center"/>
          </w:tcPr>
          <w:p w14:paraId="544DC255" w14:textId="77777777" w:rsidR="004B0883" w:rsidRDefault="004B0883">
            <w:pPr>
              <w:jc w:val="right"/>
              <w:rPr>
                <w:color w:val="000000"/>
              </w:rPr>
            </w:pPr>
            <w:r>
              <w:rPr>
                <w:rFonts w:hint="eastAsia"/>
                <w:color w:val="000000"/>
              </w:rPr>
              <w:t>36.09</w:t>
            </w:r>
          </w:p>
        </w:tc>
        <w:tc>
          <w:tcPr>
            <w:tcW w:w="569" w:type="pct"/>
            <w:tcMar>
              <w:top w:w="0" w:type="dxa"/>
              <w:left w:w="28" w:type="dxa"/>
              <w:bottom w:w="0" w:type="dxa"/>
              <w:right w:w="28" w:type="dxa"/>
            </w:tcMar>
            <w:vAlign w:val="center"/>
          </w:tcPr>
          <w:p w14:paraId="46250A59" w14:textId="77777777" w:rsidR="004B0883" w:rsidRDefault="004B0883">
            <w:pPr>
              <w:jc w:val="right"/>
              <w:rPr>
                <w:color w:val="000000"/>
              </w:rPr>
            </w:pPr>
            <w:r>
              <w:rPr>
                <w:rFonts w:hint="eastAsia"/>
                <w:color w:val="000000"/>
              </w:rPr>
              <w:t>1.85%</w:t>
            </w:r>
          </w:p>
        </w:tc>
        <w:tc>
          <w:tcPr>
            <w:tcW w:w="477" w:type="pct"/>
            <w:tcMar>
              <w:top w:w="0" w:type="dxa"/>
              <w:left w:w="28" w:type="dxa"/>
              <w:bottom w:w="0" w:type="dxa"/>
              <w:right w:w="28" w:type="dxa"/>
            </w:tcMar>
            <w:vAlign w:val="center"/>
          </w:tcPr>
          <w:p w14:paraId="160ADF83" w14:textId="77777777" w:rsidR="004B0883" w:rsidRDefault="004B0883">
            <w:pPr>
              <w:jc w:val="right"/>
              <w:rPr>
                <w:color w:val="000000"/>
              </w:rPr>
            </w:pPr>
            <w:r>
              <w:rPr>
                <w:color w:val="000000"/>
              </w:rPr>
              <w:t>62.29</w:t>
            </w:r>
          </w:p>
        </w:tc>
        <w:tc>
          <w:tcPr>
            <w:tcW w:w="503" w:type="pct"/>
            <w:tcMar>
              <w:top w:w="0" w:type="dxa"/>
              <w:left w:w="28" w:type="dxa"/>
              <w:bottom w:w="0" w:type="dxa"/>
              <w:right w:w="28" w:type="dxa"/>
            </w:tcMar>
            <w:vAlign w:val="center"/>
          </w:tcPr>
          <w:p w14:paraId="3A2D5CA3" w14:textId="77777777" w:rsidR="004B0883" w:rsidRDefault="004B0883">
            <w:pPr>
              <w:jc w:val="right"/>
              <w:rPr>
                <w:color w:val="000000"/>
              </w:rPr>
            </w:pPr>
            <w:r>
              <w:rPr>
                <w:color w:val="000000"/>
              </w:rPr>
              <w:t>2.01%</w:t>
            </w:r>
          </w:p>
        </w:tc>
        <w:tc>
          <w:tcPr>
            <w:tcW w:w="477" w:type="pct"/>
            <w:tcMar>
              <w:top w:w="0" w:type="dxa"/>
              <w:left w:w="28" w:type="dxa"/>
              <w:bottom w:w="0" w:type="dxa"/>
              <w:right w:w="28" w:type="dxa"/>
            </w:tcMar>
            <w:vAlign w:val="center"/>
          </w:tcPr>
          <w:p w14:paraId="7947ADF5" w14:textId="77777777" w:rsidR="004B0883" w:rsidRDefault="004B0883">
            <w:pPr>
              <w:jc w:val="right"/>
              <w:rPr>
                <w:color w:val="000000"/>
              </w:rPr>
            </w:pPr>
            <w:r>
              <w:rPr>
                <w:color w:val="000000"/>
              </w:rPr>
              <w:t>102.40</w:t>
            </w:r>
          </w:p>
        </w:tc>
        <w:tc>
          <w:tcPr>
            <w:tcW w:w="503" w:type="pct"/>
            <w:tcMar>
              <w:top w:w="0" w:type="dxa"/>
              <w:left w:w="28" w:type="dxa"/>
              <w:bottom w:w="0" w:type="dxa"/>
              <w:right w:w="28" w:type="dxa"/>
            </w:tcMar>
            <w:vAlign w:val="center"/>
          </w:tcPr>
          <w:p w14:paraId="4DE97A8D" w14:textId="77777777" w:rsidR="004B0883" w:rsidRDefault="004B0883">
            <w:pPr>
              <w:jc w:val="right"/>
              <w:rPr>
                <w:color w:val="000000"/>
              </w:rPr>
            </w:pPr>
            <w:r>
              <w:rPr>
                <w:color w:val="000000"/>
              </w:rPr>
              <w:t>3.67%</w:t>
            </w:r>
          </w:p>
        </w:tc>
        <w:tc>
          <w:tcPr>
            <w:tcW w:w="477" w:type="pct"/>
            <w:tcMar>
              <w:top w:w="0" w:type="dxa"/>
              <w:left w:w="28" w:type="dxa"/>
              <w:bottom w:w="0" w:type="dxa"/>
              <w:right w:w="28" w:type="dxa"/>
            </w:tcMar>
            <w:vAlign w:val="center"/>
          </w:tcPr>
          <w:p w14:paraId="110F5874" w14:textId="77777777" w:rsidR="004B0883" w:rsidRDefault="004B0883">
            <w:pPr>
              <w:jc w:val="right"/>
              <w:rPr>
                <w:color w:val="000000"/>
              </w:rPr>
            </w:pPr>
            <w:r>
              <w:rPr>
                <w:color w:val="000000"/>
              </w:rPr>
              <w:t>158.44</w:t>
            </w:r>
          </w:p>
        </w:tc>
        <w:tc>
          <w:tcPr>
            <w:tcW w:w="496" w:type="pct"/>
            <w:tcMar>
              <w:top w:w="0" w:type="dxa"/>
              <w:left w:w="28" w:type="dxa"/>
              <w:bottom w:w="0" w:type="dxa"/>
              <w:right w:w="28" w:type="dxa"/>
            </w:tcMar>
            <w:vAlign w:val="center"/>
          </w:tcPr>
          <w:p w14:paraId="14C11CD4" w14:textId="77777777" w:rsidR="004B0883" w:rsidRDefault="004B0883">
            <w:pPr>
              <w:jc w:val="right"/>
              <w:rPr>
                <w:color w:val="000000"/>
              </w:rPr>
            </w:pPr>
            <w:r>
              <w:rPr>
                <w:color w:val="000000"/>
              </w:rPr>
              <w:t>7.61%</w:t>
            </w:r>
          </w:p>
        </w:tc>
      </w:tr>
      <w:tr w:rsidR="004B0883" w14:paraId="5218E097" w14:textId="77777777">
        <w:trPr>
          <w:trHeight w:val="397"/>
          <w:jc w:val="center"/>
        </w:trPr>
        <w:tc>
          <w:tcPr>
            <w:tcW w:w="964" w:type="pct"/>
            <w:tcMar>
              <w:top w:w="0" w:type="dxa"/>
              <w:left w:w="28" w:type="dxa"/>
              <w:bottom w:w="0" w:type="dxa"/>
              <w:right w:w="28" w:type="dxa"/>
            </w:tcMar>
            <w:vAlign w:val="center"/>
          </w:tcPr>
          <w:p w14:paraId="592DDBBB" w14:textId="77777777" w:rsidR="004B0883" w:rsidRDefault="004B0883">
            <w:pPr>
              <w:rPr>
                <w:color w:val="000000"/>
              </w:rPr>
            </w:pPr>
            <w:r>
              <w:rPr>
                <w:color w:val="000000"/>
              </w:rPr>
              <w:t>出口保险费用</w:t>
            </w:r>
          </w:p>
        </w:tc>
        <w:tc>
          <w:tcPr>
            <w:tcW w:w="533" w:type="pct"/>
            <w:tcMar>
              <w:top w:w="0" w:type="dxa"/>
              <w:left w:w="28" w:type="dxa"/>
              <w:bottom w:w="0" w:type="dxa"/>
              <w:right w:w="28" w:type="dxa"/>
            </w:tcMar>
            <w:vAlign w:val="center"/>
          </w:tcPr>
          <w:p w14:paraId="4F5388D9" w14:textId="77777777" w:rsidR="004B0883" w:rsidRDefault="004B0883">
            <w:pPr>
              <w:jc w:val="right"/>
              <w:rPr>
                <w:color w:val="000000"/>
              </w:rPr>
            </w:pPr>
            <w:r>
              <w:rPr>
                <w:rFonts w:hint="eastAsia"/>
                <w:color w:val="000000"/>
              </w:rPr>
              <w:t>125.68</w:t>
            </w:r>
          </w:p>
        </w:tc>
        <w:tc>
          <w:tcPr>
            <w:tcW w:w="569" w:type="pct"/>
            <w:tcMar>
              <w:top w:w="0" w:type="dxa"/>
              <w:left w:w="28" w:type="dxa"/>
              <w:bottom w:w="0" w:type="dxa"/>
              <w:right w:w="28" w:type="dxa"/>
            </w:tcMar>
            <w:vAlign w:val="center"/>
          </w:tcPr>
          <w:p w14:paraId="52B5C698" w14:textId="77777777" w:rsidR="004B0883" w:rsidRDefault="004B0883">
            <w:pPr>
              <w:jc w:val="right"/>
              <w:rPr>
                <w:color w:val="000000"/>
              </w:rPr>
            </w:pPr>
            <w:r>
              <w:rPr>
                <w:rFonts w:hint="eastAsia"/>
                <w:color w:val="000000"/>
              </w:rPr>
              <w:t>6.43%</w:t>
            </w:r>
          </w:p>
        </w:tc>
        <w:tc>
          <w:tcPr>
            <w:tcW w:w="477" w:type="pct"/>
            <w:tcMar>
              <w:top w:w="0" w:type="dxa"/>
              <w:left w:w="28" w:type="dxa"/>
              <w:bottom w:w="0" w:type="dxa"/>
              <w:right w:w="28" w:type="dxa"/>
            </w:tcMar>
            <w:vAlign w:val="center"/>
          </w:tcPr>
          <w:p w14:paraId="2290A64A" w14:textId="77777777" w:rsidR="004B0883" w:rsidRDefault="004B0883">
            <w:pPr>
              <w:jc w:val="right"/>
              <w:rPr>
                <w:color w:val="000000"/>
              </w:rPr>
            </w:pPr>
            <w:r>
              <w:rPr>
                <w:color w:val="000000"/>
              </w:rPr>
              <w:t>170.67</w:t>
            </w:r>
          </w:p>
        </w:tc>
        <w:tc>
          <w:tcPr>
            <w:tcW w:w="503" w:type="pct"/>
            <w:tcMar>
              <w:top w:w="0" w:type="dxa"/>
              <w:left w:w="28" w:type="dxa"/>
              <w:bottom w:w="0" w:type="dxa"/>
              <w:right w:w="28" w:type="dxa"/>
            </w:tcMar>
            <w:vAlign w:val="center"/>
          </w:tcPr>
          <w:p w14:paraId="22481C08" w14:textId="77777777" w:rsidR="004B0883" w:rsidRDefault="004B0883">
            <w:pPr>
              <w:jc w:val="right"/>
              <w:rPr>
                <w:color w:val="000000"/>
              </w:rPr>
            </w:pPr>
            <w:r>
              <w:rPr>
                <w:color w:val="000000"/>
              </w:rPr>
              <w:t>5.51%</w:t>
            </w:r>
          </w:p>
        </w:tc>
        <w:tc>
          <w:tcPr>
            <w:tcW w:w="477" w:type="pct"/>
            <w:tcMar>
              <w:top w:w="0" w:type="dxa"/>
              <w:left w:w="28" w:type="dxa"/>
              <w:bottom w:w="0" w:type="dxa"/>
              <w:right w:w="28" w:type="dxa"/>
            </w:tcMar>
            <w:vAlign w:val="center"/>
          </w:tcPr>
          <w:p w14:paraId="43682CC2" w14:textId="77777777" w:rsidR="004B0883" w:rsidRDefault="004B0883">
            <w:pPr>
              <w:jc w:val="right"/>
              <w:rPr>
                <w:color w:val="000000"/>
              </w:rPr>
            </w:pPr>
            <w:r>
              <w:rPr>
                <w:color w:val="000000"/>
              </w:rPr>
              <w:t>58.99</w:t>
            </w:r>
          </w:p>
        </w:tc>
        <w:tc>
          <w:tcPr>
            <w:tcW w:w="503" w:type="pct"/>
            <w:tcMar>
              <w:top w:w="0" w:type="dxa"/>
              <w:left w:w="28" w:type="dxa"/>
              <w:bottom w:w="0" w:type="dxa"/>
              <w:right w:w="28" w:type="dxa"/>
            </w:tcMar>
            <w:vAlign w:val="center"/>
          </w:tcPr>
          <w:p w14:paraId="0E89DDC1" w14:textId="77777777" w:rsidR="004B0883" w:rsidRDefault="004B0883">
            <w:pPr>
              <w:jc w:val="right"/>
              <w:rPr>
                <w:color w:val="000000"/>
              </w:rPr>
            </w:pPr>
            <w:r>
              <w:rPr>
                <w:color w:val="000000"/>
              </w:rPr>
              <w:t>2.12%</w:t>
            </w:r>
          </w:p>
        </w:tc>
        <w:tc>
          <w:tcPr>
            <w:tcW w:w="477" w:type="pct"/>
            <w:tcMar>
              <w:top w:w="0" w:type="dxa"/>
              <w:left w:w="28" w:type="dxa"/>
              <w:bottom w:w="0" w:type="dxa"/>
              <w:right w:w="28" w:type="dxa"/>
            </w:tcMar>
            <w:vAlign w:val="center"/>
          </w:tcPr>
          <w:p w14:paraId="5A0CEF55" w14:textId="77777777" w:rsidR="004B0883" w:rsidRDefault="004B0883">
            <w:pPr>
              <w:jc w:val="right"/>
              <w:rPr>
                <w:color w:val="000000"/>
              </w:rPr>
            </w:pPr>
            <w:r>
              <w:rPr>
                <w:color w:val="000000"/>
              </w:rPr>
              <w:t>47.06</w:t>
            </w:r>
          </w:p>
        </w:tc>
        <w:tc>
          <w:tcPr>
            <w:tcW w:w="496" w:type="pct"/>
            <w:tcMar>
              <w:top w:w="0" w:type="dxa"/>
              <w:left w:w="28" w:type="dxa"/>
              <w:bottom w:w="0" w:type="dxa"/>
              <w:right w:w="28" w:type="dxa"/>
            </w:tcMar>
            <w:vAlign w:val="center"/>
          </w:tcPr>
          <w:p w14:paraId="3D466EE3" w14:textId="77777777" w:rsidR="004B0883" w:rsidRDefault="004B0883">
            <w:pPr>
              <w:jc w:val="right"/>
              <w:rPr>
                <w:color w:val="000000"/>
              </w:rPr>
            </w:pPr>
            <w:r>
              <w:rPr>
                <w:color w:val="000000"/>
              </w:rPr>
              <w:t>2.26%</w:t>
            </w:r>
          </w:p>
        </w:tc>
      </w:tr>
      <w:tr w:rsidR="004B0883" w14:paraId="07904DB6" w14:textId="77777777">
        <w:trPr>
          <w:trHeight w:val="397"/>
          <w:jc w:val="center"/>
        </w:trPr>
        <w:tc>
          <w:tcPr>
            <w:tcW w:w="964" w:type="pct"/>
            <w:tcMar>
              <w:top w:w="0" w:type="dxa"/>
              <w:left w:w="28" w:type="dxa"/>
              <w:bottom w:w="0" w:type="dxa"/>
              <w:right w:w="28" w:type="dxa"/>
            </w:tcMar>
            <w:vAlign w:val="center"/>
          </w:tcPr>
          <w:p w14:paraId="1F6CF0CD" w14:textId="77777777" w:rsidR="004B0883" w:rsidRDefault="004B0883">
            <w:pPr>
              <w:jc w:val="center"/>
              <w:rPr>
                <w:b/>
                <w:color w:val="000000"/>
              </w:rPr>
            </w:pPr>
            <w:r>
              <w:rPr>
                <w:b/>
                <w:color w:val="000000"/>
              </w:rPr>
              <w:t>合计</w:t>
            </w:r>
          </w:p>
        </w:tc>
        <w:tc>
          <w:tcPr>
            <w:tcW w:w="533" w:type="pct"/>
            <w:tcMar>
              <w:top w:w="0" w:type="dxa"/>
              <w:left w:w="28" w:type="dxa"/>
              <w:bottom w:w="0" w:type="dxa"/>
              <w:right w:w="28" w:type="dxa"/>
            </w:tcMar>
            <w:vAlign w:val="center"/>
          </w:tcPr>
          <w:p w14:paraId="315EAA30" w14:textId="77777777" w:rsidR="004B0883" w:rsidRDefault="004B0883">
            <w:pPr>
              <w:jc w:val="right"/>
              <w:rPr>
                <w:b/>
                <w:bCs/>
                <w:color w:val="000000"/>
              </w:rPr>
            </w:pPr>
            <w:r>
              <w:rPr>
                <w:rFonts w:hint="eastAsia"/>
                <w:b/>
                <w:bCs/>
                <w:color w:val="000000"/>
              </w:rPr>
              <w:t>1,953.17</w:t>
            </w:r>
          </w:p>
        </w:tc>
        <w:tc>
          <w:tcPr>
            <w:tcW w:w="569" w:type="pct"/>
            <w:tcMar>
              <w:top w:w="0" w:type="dxa"/>
              <w:left w:w="28" w:type="dxa"/>
              <w:bottom w:w="0" w:type="dxa"/>
              <w:right w:w="28" w:type="dxa"/>
            </w:tcMar>
            <w:vAlign w:val="center"/>
          </w:tcPr>
          <w:p w14:paraId="17B3B261" w14:textId="77777777" w:rsidR="004B0883" w:rsidRDefault="004B0883">
            <w:pPr>
              <w:jc w:val="right"/>
              <w:rPr>
                <w:b/>
                <w:bCs/>
                <w:color w:val="000000"/>
              </w:rPr>
            </w:pPr>
            <w:r>
              <w:rPr>
                <w:rFonts w:hint="eastAsia"/>
                <w:b/>
                <w:bCs/>
                <w:color w:val="000000"/>
              </w:rPr>
              <w:t>100.00%</w:t>
            </w:r>
          </w:p>
        </w:tc>
        <w:tc>
          <w:tcPr>
            <w:tcW w:w="477" w:type="pct"/>
            <w:tcMar>
              <w:top w:w="0" w:type="dxa"/>
              <w:left w:w="28" w:type="dxa"/>
              <w:bottom w:w="0" w:type="dxa"/>
              <w:right w:w="28" w:type="dxa"/>
            </w:tcMar>
            <w:vAlign w:val="center"/>
          </w:tcPr>
          <w:p w14:paraId="63CEFCE4" w14:textId="77777777" w:rsidR="004B0883" w:rsidRDefault="004B0883">
            <w:pPr>
              <w:jc w:val="right"/>
              <w:rPr>
                <w:b/>
                <w:color w:val="000000"/>
              </w:rPr>
            </w:pPr>
            <w:r>
              <w:rPr>
                <w:b/>
                <w:color w:val="000000"/>
              </w:rPr>
              <w:t>3,098.42</w:t>
            </w:r>
          </w:p>
        </w:tc>
        <w:tc>
          <w:tcPr>
            <w:tcW w:w="503" w:type="pct"/>
            <w:tcMar>
              <w:top w:w="0" w:type="dxa"/>
              <w:left w:w="28" w:type="dxa"/>
              <w:bottom w:w="0" w:type="dxa"/>
              <w:right w:w="28" w:type="dxa"/>
            </w:tcMar>
            <w:vAlign w:val="center"/>
          </w:tcPr>
          <w:p w14:paraId="16C8A5E0" w14:textId="77777777" w:rsidR="004B0883" w:rsidRDefault="004B0883">
            <w:pPr>
              <w:jc w:val="right"/>
              <w:rPr>
                <w:b/>
                <w:color w:val="000000"/>
              </w:rPr>
            </w:pPr>
            <w:r>
              <w:rPr>
                <w:b/>
                <w:color w:val="000000"/>
              </w:rPr>
              <w:t>100.00%</w:t>
            </w:r>
          </w:p>
        </w:tc>
        <w:tc>
          <w:tcPr>
            <w:tcW w:w="477" w:type="pct"/>
            <w:tcMar>
              <w:top w:w="0" w:type="dxa"/>
              <w:left w:w="28" w:type="dxa"/>
              <w:bottom w:w="0" w:type="dxa"/>
              <w:right w:w="28" w:type="dxa"/>
            </w:tcMar>
            <w:vAlign w:val="center"/>
          </w:tcPr>
          <w:p w14:paraId="2A903D32" w14:textId="77777777" w:rsidR="004B0883" w:rsidRDefault="004B0883">
            <w:pPr>
              <w:jc w:val="right"/>
              <w:rPr>
                <w:b/>
                <w:color w:val="000000"/>
              </w:rPr>
            </w:pPr>
            <w:r>
              <w:rPr>
                <w:b/>
                <w:color w:val="000000"/>
              </w:rPr>
              <w:t>2,788.32</w:t>
            </w:r>
          </w:p>
        </w:tc>
        <w:tc>
          <w:tcPr>
            <w:tcW w:w="503" w:type="pct"/>
            <w:tcMar>
              <w:top w:w="0" w:type="dxa"/>
              <w:left w:w="28" w:type="dxa"/>
              <w:bottom w:w="0" w:type="dxa"/>
              <w:right w:w="28" w:type="dxa"/>
            </w:tcMar>
            <w:vAlign w:val="center"/>
          </w:tcPr>
          <w:p w14:paraId="7A887131" w14:textId="77777777" w:rsidR="004B0883" w:rsidRDefault="004B0883">
            <w:pPr>
              <w:jc w:val="right"/>
              <w:rPr>
                <w:b/>
                <w:color w:val="000000"/>
              </w:rPr>
            </w:pPr>
            <w:r>
              <w:rPr>
                <w:b/>
                <w:color w:val="000000"/>
              </w:rPr>
              <w:t>100.00%</w:t>
            </w:r>
          </w:p>
        </w:tc>
        <w:tc>
          <w:tcPr>
            <w:tcW w:w="477" w:type="pct"/>
            <w:tcMar>
              <w:top w:w="0" w:type="dxa"/>
              <w:left w:w="28" w:type="dxa"/>
              <w:bottom w:w="0" w:type="dxa"/>
              <w:right w:w="28" w:type="dxa"/>
            </w:tcMar>
            <w:vAlign w:val="center"/>
          </w:tcPr>
          <w:p w14:paraId="5F6B5052" w14:textId="77777777" w:rsidR="004B0883" w:rsidRDefault="004B0883">
            <w:pPr>
              <w:jc w:val="right"/>
              <w:rPr>
                <w:b/>
                <w:color w:val="000000"/>
              </w:rPr>
            </w:pPr>
            <w:r>
              <w:rPr>
                <w:b/>
                <w:color w:val="000000"/>
              </w:rPr>
              <w:t>2,082.10</w:t>
            </w:r>
          </w:p>
        </w:tc>
        <w:tc>
          <w:tcPr>
            <w:tcW w:w="496" w:type="pct"/>
            <w:tcMar>
              <w:top w:w="0" w:type="dxa"/>
              <w:left w:w="28" w:type="dxa"/>
              <w:bottom w:w="0" w:type="dxa"/>
              <w:right w:w="28" w:type="dxa"/>
            </w:tcMar>
            <w:vAlign w:val="center"/>
          </w:tcPr>
          <w:p w14:paraId="32F54CCE" w14:textId="77777777" w:rsidR="004B0883" w:rsidRDefault="004B0883">
            <w:pPr>
              <w:jc w:val="right"/>
              <w:rPr>
                <w:b/>
                <w:color w:val="000000"/>
              </w:rPr>
            </w:pPr>
            <w:r>
              <w:rPr>
                <w:b/>
                <w:color w:val="000000"/>
              </w:rPr>
              <w:t>100.00%</w:t>
            </w:r>
          </w:p>
        </w:tc>
      </w:tr>
    </w:tbl>
    <w:p w14:paraId="4601EE8C" w14:textId="77777777" w:rsidR="004B0883" w:rsidRDefault="004B0883">
      <w:pPr>
        <w:pStyle w:val="005"/>
        <w:spacing w:before="120"/>
        <w:ind w:firstLine="480"/>
      </w:pPr>
      <w:r>
        <w:t>报告期各期，公司销售费用分别为</w:t>
      </w:r>
      <w:r>
        <w:t>2,082.10</w:t>
      </w:r>
      <w:r>
        <w:t>万元、</w:t>
      </w:r>
      <w:r>
        <w:t>2,788.32</w:t>
      </w:r>
      <w:r>
        <w:t>万元、</w:t>
      </w:r>
      <w:r>
        <w:t>3,098.42</w:t>
      </w:r>
      <w:r>
        <w:t>万元和</w:t>
      </w:r>
      <w:r>
        <w:t>1,953.17</w:t>
      </w:r>
      <w:r>
        <w:t>万元，主要由佣金及咨询费、工资及附加、检验费及认证费等构成。</w:t>
      </w:r>
    </w:p>
    <w:p w14:paraId="532949E0" w14:textId="77777777" w:rsidR="004B0883" w:rsidRDefault="004B0883">
      <w:pPr>
        <w:pStyle w:val="004"/>
        <w:spacing w:before="120" w:after="120"/>
        <w:ind w:firstLine="482"/>
      </w:pPr>
      <w:bookmarkStart w:id="357" w:name="_Hlk110713978"/>
      <w:r>
        <w:t>2</w:t>
      </w:r>
      <w:r>
        <w:t>、管理费用</w:t>
      </w:r>
    </w:p>
    <w:p w14:paraId="7203E81E" w14:textId="77777777" w:rsidR="004B0883" w:rsidRDefault="004B0883">
      <w:pPr>
        <w:pStyle w:val="005"/>
        <w:spacing w:before="120"/>
        <w:ind w:firstLine="480"/>
      </w:pPr>
      <w:r>
        <w:t>报告期内，公司管理费用具体情况如下：</w:t>
      </w:r>
    </w:p>
    <w:p w14:paraId="1AECCD9F" w14:textId="77777777" w:rsidR="004B0883" w:rsidRDefault="004B0883">
      <w:pPr>
        <w:pStyle w:val="009"/>
      </w:pPr>
      <w:r>
        <w:t>单位：万元</w:t>
      </w:r>
    </w:p>
    <w:tbl>
      <w:tblPr>
        <w:tblW w:w="5141"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599"/>
        <w:gridCol w:w="807"/>
        <w:gridCol w:w="844"/>
        <w:gridCol w:w="855"/>
        <w:gridCol w:w="902"/>
        <w:gridCol w:w="855"/>
        <w:gridCol w:w="902"/>
        <w:gridCol w:w="855"/>
        <w:gridCol w:w="894"/>
      </w:tblGrid>
      <w:tr w:rsidR="004B0883" w14:paraId="3C136D09" w14:textId="77777777">
        <w:trPr>
          <w:trHeight w:val="397"/>
          <w:tblHeader/>
          <w:jc w:val="center"/>
        </w:trPr>
        <w:tc>
          <w:tcPr>
            <w:tcW w:w="939" w:type="pct"/>
            <w:vMerge w:val="restart"/>
            <w:shd w:val="clear" w:color="auto" w:fill="D9D9D9"/>
            <w:tcMar>
              <w:top w:w="0" w:type="dxa"/>
              <w:left w:w="28" w:type="dxa"/>
              <w:bottom w:w="0" w:type="dxa"/>
              <w:right w:w="28" w:type="dxa"/>
            </w:tcMar>
            <w:vAlign w:val="center"/>
          </w:tcPr>
          <w:p w14:paraId="09991705" w14:textId="77777777" w:rsidR="004B0883" w:rsidRDefault="004B0883">
            <w:pPr>
              <w:jc w:val="center"/>
              <w:rPr>
                <w:b/>
                <w:color w:val="000000"/>
              </w:rPr>
            </w:pPr>
            <w:bookmarkStart w:id="358" w:name="_Hlk110715778"/>
            <w:bookmarkEnd w:id="357"/>
            <w:r>
              <w:rPr>
                <w:b/>
                <w:color w:val="000000"/>
              </w:rPr>
              <w:t>项目</w:t>
            </w:r>
          </w:p>
        </w:tc>
        <w:tc>
          <w:tcPr>
            <w:tcW w:w="970" w:type="pct"/>
            <w:gridSpan w:val="2"/>
            <w:shd w:val="clear" w:color="auto" w:fill="D9D9D9"/>
            <w:tcMar>
              <w:top w:w="0" w:type="dxa"/>
              <w:left w:w="28" w:type="dxa"/>
              <w:bottom w:w="0" w:type="dxa"/>
              <w:right w:w="28" w:type="dxa"/>
            </w:tcMar>
            <w:vAlign w:val="center"/>
          </w:tcPr>
          <w:p w14:paraId="5114CE84" w14:textId="77777777" w:rsidR="004B0883" w:rsidRDefault="004B0883">
            <w:pPr>
              <w:jc w:val="center"/>
              <w:rPr>
                <w:b/>
                <w:bCs/>
                <w:color w:val="000000"/>
              </w:rPr>
            </w:pPr>
            <w:r>
              <w:rPr>
                <w:b/>
                <w:bCs/>
                <w:color w:val="000000"/>
              </w:rPr>
              <w:t>2023</w:t>
            </w:r>
            <w:r>
              <w:rPr>
                <w:b/>
                <w:bCs/>
                <w:color w:val="000000"/>
              </w:rPr>
              <w:t>年</w:t>
            </w:r>
            <w:r>
              <w:rPr>
                <w:b/>
                <w:bCs/>
                <w:color w:val="000000"/>
              </w:rPr>
              <w:t>1-9</w:t>
            </w:r>
            <w:r>
              <w:rPr>
                <w:b/>
                <w:bCs/>
                <w:color w:val="000000"/>
              </w:rPr>
              <w:t>月</w:t>
            </w:r>
          </w:p>
        </w:tc>
        <w:tc>
          <w:tcPr>
            <w:tcW w:w="1032" w:type="pct"/>
            <w:gridSpan w:val="2"/>
            <w:shd w:val="clear" w:color="auto" w:fill="D9D9D9"/>
            <w:tcMar>
              <w:top w:w="0" w:type="dxa"/>
              <w:left w:w="28" w:type="dxa"/>
              <w:bottom w:w="0" w:type="dxa"/>
              <w:right w:w="28" w:type="dxa"/>
            </w:tcMar>
            <w:vAlign w:val="center"/>
          </w:tcPr>
          <w:p w14:paraId="26438488" w14:textId="77777777" w:rsidR="004B0883" w:rsidRDefault="004B0883">
            <w:pPr>
              <w:jc w:val="center"/>
              <w:rPr>
                <w:b/>
                <w:bCs/>
                <w:color w:val="000000"/>
              </w:rPr>
            </w:pPr>
            <w:r>
              <w:rPr>
                <w:b/>
                <w:bCs/>
                <w:color w:val="000000"/>
              </w:rPr>
              <w:t>2022</w:t>
            </w:r>
            <w:r>
              <w:rPr>
                <w:b/>
                <w:bCs/>
                <w:color w:val="000000"/>
              </w:rPr>
              <w:t>年度</w:t>
            </w:r>
          </w:p>
        </w:tc>
        <w:tc>
          <w:tcPr>
            <w:tcW w:w="1032" w:type="pct"/>
            <w:gridSpan w:val="2"/>
            <w:shd w:val="clear" w:color="auto" w:fill="D9D9D9"/>
            <w:tcMar>
              <w:top w:w="0" w:type="dxa"/>
              <w:left w:w="28" w:type="dxa"/>
              <w:bottom w:w="0" w:type="dxa"/>
              <w:right w:w="28" w:type="dxa"/>
            </w:tcMar>
            <w:vAlign w:val="center"/>
          </w:tcPr>
          <w:p w14:paraId="07402270" w14:textId="77777777" w:rsidR="004B0883" w:rsidRDefault="004B0883">
            <w:pPr>
              <w:jc w:val="center"/>
              <w:rPr>
                <w:b/>
                <w:bCs/>
                <w:color w:val="000000"/>
              </w:rPr>
            </w:pPr>
            <w:r>
              <w:rPr>
                <w:b/>
                <w:bCs/>
                <w:color w:val="000000"/>
              </w:rPr>
              <w:t>2021</w:t>
            </w:r>
            <w:r>
              <w:rPr>
                <w:b/>
                <w:bCs/>
                <w:color w:val="000000"/>
              </w:rPr>
              <w:t>年度</w:t>
            </w:r>
          </w:p>
        </w:tc>
        <w:tc>
          <w:tcPr>
            <w:tcW w:w="1027" w:type="pct"/>
            <w:gridSpan w:val="2"/>
            <w:shd w:val="clear" w:color="auto" w:fill="D9D9D9"/>
            <w:tcMar>
              <w:top w:w="0" w:type="dxa"/>
              <w:left w:w="28" w:type="dxa"/>
              <w:bottom w:w="0" w:type="dxa"/>
              <w:right w:w="28" w:type="dxa"/>
            </w:tcMar>
            <w:vAlign w:val="center"/>
          </w:tcPr>
          <w:p w14:paraId="4275CBAC" w14:textId="77777777" w:rsidR="004B0883" w:rsidRDefault="004B0883">
            <w:pPr>
              <w:jc w:val="center"/>
              <w:rPr>
                <w:b/>
                <w:bCs/>
                <w:color w:val="000000"/>
              </w:rPr>
            </w:pPr>
            <w:r>
              <w:rPr>
                <w:b/>
                <w:bCs/>
                <w:color w:val="000000"/>
              </w:rPr>
              <w:t>2020</w:t>
            </w:r>
            <w:r>
              <w:rPr>
                <w:b/>
                <w:bCs/>
                <w:color w:val="000000"/>
              </w:rPr>
              <w:t>年度</w:t>
            </w:r>
          </w:p>
        </w:tc>
      </w:tr>
      <w:tr w:rsidR="004B0883" w14:paraId="5720BCB5" w14:textId="77777777">
        <w:trPr>
          <w:trHeight w:val="397"/>
          <w:tblHeader/>
          <w:jc w:val="center"/>
        </w:trPr>
        <w:tc>
          <w:tcPr>
            <w:tcW w:w="939" w:type="pct"/>
            <w:vMerge/>
            <w:shd w:val="clear" w:color="auto" w:fill="D9D9D9"/>
            <w:tcMar>
              <w:top w:w="0" w:type="dxa"/>
              <w:left w:w="28" w:type="dxa"/>
              <w:bottom w:w="0" w:type="dxa"/>
              <w:right w:w="28" w:type="dxa"/>
            </w:tcMar>
            <w:vAlign w:val="center"/>
          </w:tcPr>
          <w:p w14:paraId="504ACD28" w14:textId="77777777" w:rsidR="004B0883" w:rsidRDefault="004B0883">
            <w:pPr>
              <w:jc w:val="center"/>
              <w:rPr>
                <w:b/>
                <w:color w:val="000000"/>
              </w:rPr>
            </w:pPr>
          </w:p>
        </w:tc>
        <w:tc>
          <w:tcPr>
            <w:tcW w:w="474" w:type="pct"/>
            <w:shd w:val="clear" w:color="auto" w:fill="D9D9D9"/>
            <w:tcMar>
              <w:top w:w="0" w:type="dxa"/>
              <w:left w:w="28" w:type="dxa"/>
              <w:bottom w:w="0" w:type="dxa"/>
              <w:right w:w="28" w:type="dxa"/>
            </w:tcMar>
            <w:vAlign w:val="center"/>
          </w:tcPr>
          <w:p w14:paraId="60AD5E08" w14:textId="77777777" w:rsidR="004B0883" w:rsidRDefault="004B0883">
            <w:pPr>
              <w:jc w:val="center"/>
              <w:rPr>
                <w:b/>
                <w:bCs/>
                <w:color w:val="000000"/>
              </w:rPr>
            </w:pPr>
            <w:r>
              <w:rPr>
                <w:b/>
                <w:bCs/>
                <w:color w:val="000000"/>
              </w:rPr>
              <w:t>金额</w:t>
            </w:r>
          </w:p>
        </w:tc>
        <w:tc>
          <w:tcPr>
            <w:tcW w:w="496" w:type="pct"/>
            <w:shd w:val="clear" w:color="auto" w:fill="D9D9D9"/>
            <w:tcMar>
              <w:top w:w="0" w:type="dxa"/>
              <w:left w:w="28" w:type="dxa"/>
              <w:bottom w:w="0" w:type="dxa"/>
              <w:right w:w="28" w:type="dxa"/>
            </w:tcMar>
            <w:vAlign w:val="center"/>
          </w:tcPr>
          <w:p w14:paraId="75FD4553" w14:textId="77777777" w:rsidR="004B0883" w:rsidRDefault="004B0883">
            <w:pPr>
              <w:jc w:val="center"/>
              <w:rPr>
                <w:b/>
                <w:bCs/>
                <w:color w:val="000000"/>
              </w:rPr>
            </w:pPr>
            <w:r>
              <w:rPr>
                <w:b/>
                <w:bCs/>
                <w:color w:val="000000"/>
              </w:rPr>
              <w:t>占比</w:t>
            </w:r>
          </w:p>
        </w:tc>
        <w:tc>
          <w:tcPr>
            <w:tcW w:w="502" w:type="pct"/>
            <w:shd w:val="clear" w:color="auto" w:fill="D9D9D9"/>
            <w:tcMar>
              <w:top w:w="0" w:type="dxa"/>
              <w:left w:w="28" w:type="dxa"/>
              <w:bottom w:w="0" w:type="dxa"/>
              <w:right w:w="28" w:type="dxa"/>
            </w:tcMar>
            <w:vAlign w:val="center"/>
          </w:tcPr>
          <w:p w14:paraId="10597AFD" w14:textId="77777777" w:rsidR="004B0883" w:rsidRDefault="004B0883">
            <w:pPr>
              <w:jc w:val="center"/>
              <w:rPr>
                <w:b/>
                <w:bCs/>
                <w:color w:val="000000"/>
              </w:rPr>
            </w:pPr>
            <w:r>
              <w:rPr>
                <w:b/>
                <w:bCs/>
                <w:color w:val="000000"/>
              </w:rPr>
              <w:t>金额</w:t>
            </w:r>
          </w:p>
        </w:tc>
        <w:tc>
          <w:tcPr>
            <w:tcW w:w="530" w:type="pct"/>
            <w:shd w:val="clear" w:color="auto" w:fill="D9D9D9"/>
            <w:tcMar>
              <w:top w:w="0" w:type="dxa"/>
              <w:left w:w="28" w:type="dxa"/>
              <w:bottom w:w="0" w:type="dxa"/>
              <w:right w:w="28" w:type="dxa"/>
            </w:tcMar>
            <w:vAlign w:val="center"/>
          </w:tcPr>
          <w:p w14:paraId="53CFFCDF" w14:textId="77777777" w:rsidR="004B0883" w:rsidRDefault="004B0883">
            <w:pPr>
              <w:jc w:val="center"/>
              <w:rPr>
                <w:b/>
                <w:bCs/>
                <w:color w:val="000000"/>
              </w:rPr>
            </w:pPr>
            <w:r>
              <w:rPr>
                <w:b/>
                <w:bCs/>
                <w:color w:val="000000"/>
              </w:rPr>
              <w:t>占比</w:t>
            </w:r>
          </w:p>
        </w:tc>
        <w:tc>
          <w:tcPr>
            <w:tcW w:w="502" w:type="pct"/>
            <w:shd w:val="clear" w:color="auto" w:fill="D9D9D9"/>
            <w:tcMar>
              <w:top w:w="0" w:type="dxa"/>
              <w:left w:w="28" w:type="dxa"/>
              <w:bottom w:w="0" w:type="dxa"/>
              <w:right w:w="28" w:type="dxa"/>
            </w:tcMar>
            <w:vAlign w:val="center"/>
          </w:tcPr>
          <w:p w14:paraId="6D24E35B" w14:textId="77777777" w:rsidR="004B0883" w:rsidRDefault="004B0883">
            <w:pPr>
              <w:jc w:val="center"/>
              <w:rPr>
                <w:b/>
                <w:bCs/>
                <w:color w:val="000000"/>
              </w:rPr>
            </w:pPr>
            <w:r>
              <w:rPr>
                <w:b/>
                <w:bCs/>
                <w:color w:val="000000"/>
              </w:rPr>
              <w:t>金额</w:t>
            </w:r>
          </w:p>
        </w:tc>
        <w:tc>
          <w:tcPr>
            <w:tcW w:w="530" w:type="pct"/>
            <w:shd w:val="clear" w:color="auto" w:fill="D9D9D9"/>
            <w:tcMar>
              <w:top w:w="0" w:type="dxa"/>
              <w:left w:w="28" w:type="dxa"/>
              <w:bottom w:w="0" w:type="dxa"/>
              <w:right w:w="28" w:type="dxa"/>
            </w:tcMar>
            <w:vAlign w:val="center"/>
          </w:tcPr>
          <w:p w14:paraId="3B330CED" w14:textId="77777777" w:rsidR="004B0883" w:rsidRDefault="004B0883">
            <w:pPr>
              <w:jc w:val="center"/>
              <w:rPr>
                <w:b/>
                <w:bCs/>
                <w:color w:val="000000"/>
              </w:rPr>
            </w:pPr>
            <w:r>
              <w:rPr>
                <w:b/>
                <w:bCs/>
                <w:color w:val="000000"/>
              </w:rPr>
              <w:t>占比</w:t>
            </w:r>
          </w:p>
        </w:tc>
        <w:tc>
          <w:tcPr>
            <w:tcW w:w="502" w:type="pct"/>
            <w:shd w:val="clear" w:color="auto" w:fill="D9D9D9"/>
            <w:tcMar>
              <w:top w:w="0" w:type="dxa"/>
              <w:left w:w="28" w:type="dxa"/>
              <w:bottom w:w="0" w:type="dxa"/>
              <w:right w:w="28" w:type="dxa"/>
            </w:tcMar>
            <w:vAlign w:val="center"/>
          </w:tcPr>
          <w:p w14:paraId="3083A51C" w14:textId="77777777" w:rsidR="004B0883" w:rsidRDefault="004B0883">
            <w:pPr>
              <w:jc w:val="center"/>
              <w:rPr>
                <w:b/>
                <w:bCs/>
                <w:color w:val="000000"/>
              </w:rPr>
            </w:pPr>
            <w:r>
              <w:rPr>
                <w:b/>
                <w:bCs/>
                <w:color w:val="000000"/>
              </w:rPr>
              <w:t>金额</w:t>
            </w:r>
          </w:p>
        </w:tc>
        <w:tc>
          <w:tcPr>
            <w:tcW w:w="525" w:type="pct"/>
            <w:shd w:val="clear" w:color="auto" w:fill="D9D9D9"/>
            <w:tcMar>
              <w:top w:w="0" w:type="dxa"/>
              <w:left w:w="28" w:type="dxa"/>
              <w:bottom w:w="0" w:type="dxa"/>
              <w:right w:w="28" w:type="dxa"/>
            </w:tcMar>
            <w:vAlign w:val="center"/>
          </w:tcPr>
          <w:p w14:paraId="4561E1D0" w14:textId="77777777" w:rsidR="004B0883" w:rsidRDefault="004B0883">
            <w:pPr>
              <w:jc w:val="center"/>
              <w:rPr>
                <w:b/>
                <w:bCs/>
                <w:color w:val="000000"/>
              </w:rPr>
            </w:pPr>
            <w:r>
              <w:rPr>
                <w:b/>
                <w:bCs/>
                <w:color w:val="000000"/>
              </w:rPr>
              <w:t>占比</w:t>
            </w:r>
          </w:p>
        </w:tc>
      </w:tr>
      <w:tr w:rsidR="004B0883" w14:paraId="1C845F9E" w14:textId="77777777">
        <w:trPr>
          <w:trHeight w:val="397"/>
          <w:jc w:val="center"/>
        </w:trPr>
        <w:tc>
          <w:tcPr>
            <w:tcW w:w="939" w:type="pct"/>
            <w:tcMar>
              <w:top w:w="0" w:type="dxa"/>
              <w:left w:w="28" w:type="dxa"/>
              <w:bottom w:w="0" w:type="dxa"/>
              <w:right w:w="28" w:type="dxa"/>
            </w:tcMar>
            <w:vAlign w:val="center"/>
          </w:tcPr>
          <w:p w14:paraId="1DF444EC" w14:textId="77777777" w:rsidR="004B0883" w:rsidRDefault="004B0883">
            <w:pPr>
              <w:rPr>
                <w:color w:val="000000"/>
              </w:rPr>
            </w:pPr>
            <w:r>
              <w:rPr>
                <w:color w:val="000000"/>
              </w:rPr>
              <w:t>办公费及差旅费</w:t>
            </w:r>
          </w:p>
        </w:tc>
        <w:tc>
          <w:tcPr>
            <w:tcW w:w="474" w:type="pct"/>
            <w:tcMar>
              <w:top w:w="0" w:type="dxa"/>
              <w:left w:w="28" w:type="dxa"/>
              <w:bottom w:w="0" w:type="dxa"/>
              <w:right w:w="28" w:type="dxa"/>
            </w:tcMar>
            <w:vAlign w:val="center"/>
          </w:tcPr>
          <w:p w14:paraId="3F04CB0E" w14:textId="77777777" w:rsidR="004B0883" w:rsidRDefault="004B0883">
            <w:pPr>
              <w:jc w:val="right"/>
              <w:rPr>
                <w:color w:val="000000"/>
                <w:kern w:val="0"/>
              </w:rPr>
            </w:pPr>
            <w:r>
              <w:rPr>
                <w:rFonts w:hint="eastAsia"/>
                <w:color w:val="000000"/>
              </w:rPr>
              <w:t>128.40</w:t>
            </w:r>
          </w:p>
        </w:tc>
        <w:tc>
          <w:tcPr>
            <w:tcW w:w="496" w:type="pct"/>
            <w:tcMar>
              <w:top w:w="0" w:type="dxa"/>
              <w:left w:w="28" w:type="dxa"/>
              <w:bottom w:w="0" w:type="dxa"/>
              <w:right w:w="28" w:type="dxa"/>
            </w:tcMar>
            <w:vAlign w:val="center"/>
          </w:tcPr>
          <w:p w14:paraId="35EEB034" w14:textId="77777777" w:rsidR="004B0883" w:rsidRDefault="004B0883">
            <w:pPr>
              <w:jc w:val="right"/>
              <w:rPr>
                <w:color w:val="000000"/>
              </w:rPr>
            </w:pPr>
            <w:r>
              <w:rPr>
                <w:rFonts w:hint="eastAsia"/>
                <w:color w:val="000000"/>
              </w:rPr>
              <w:t>5.38%</w:t>
            </w:r>
          </w:p>
        </w:tc>
        <w:tc>
          <w:tcPr>
            <w:tcW w:w="502" w:type="pct"/>
            <w:tcMar>
              <w:top w:w="0" w:type="dxa"/>
              <w:left w:w="28" w:type="dxa"/>
              <w:bottom w:w="0" w:type="dxa"/>
              <w:right w:w="28" w:type="dxa"/>
            </w:tcMar>
            <w:vAlign w:val="center"/>
          </w:tcPr>
          <w:p w14:paraId="20EA85BF" w14:textId="77777777" w:rsidR="004B0883" w:rsidRDefault="004B0883">
            <w:pPr>
              <w:jc w:val="right"/>
              <w:rPr>
                <w:color w:val="000000"/>
              </w:rPr>
            </w:pPr>
            <w:r>
              <w:rPr>
                <w:color w:val="000000"/>
              </w:rPr>
              <w:t>48.83</w:t>
            </w:r>
          </w:p>
        </w:tc>
        <w:tc>
          <w:tcPr>
            <w:tcW w:w="530" w:type="pct"/>
            <w:tcMar>
              <w:top w:w="0" w:type="dxa"/>
              <w:left w:w="28" w:type="dxa"/>
              <w:bottom w:w="0" w:type="dxa"/>
              <w:right w:w="28" w:type="dxa"/>
            </w:tcMar>
            <w:vAlign w:val="center"/>
          </w:tcPr>
          <w:p w14:paraId="6019B578" w14:textId="77777777" w:rsidR="004B0883" w:rsidRDefault="004B0883">
            <w:pPr>
              <w:jc w:val="right"/>
              <w:rPr>
                <w:color w:val="000000"/>
              </w:rPr>
            </w:pPr>
            <w:r>
              <w:rPr>
                <w:color w:val="000000"/>
              </w:rPr>
              <w:t>1.51%</w:t>
            </w:r>
          </w:p>
        </w:tc>
        <w:tc>
          <w:tcPr>
            <w:tcW w:w="502" w:type="pct"/>
            <w:tcMar>
              <w:top w:w="0" w:type="dxa"/>
              <w:left w:w="28" w:type="dxa"/>
              <w:bottom w:w="0" w:type="dxa"/>
              <w:right w:w="28" w:type="dxa"/>
            </w:tcMar>
            <w:vAlign w:val="center"/>
          </w:tcPr>
          <w:p w14:paraId="5553A890" w14:textId="77777777" w:rsidR="004B0883" w:rsidRDefault="004B0883">
            <w:pPr>
              <w:jc w:val="right"/>
              <w:rPr>
                <w:color w:val="000000"/>
              </w:rPr>
            </w:pPr>
            <w:r>
              <w:rPr>
                <w:color w:val="000000"/>
              </w:rPr>
              <w:t>56.85</w:t>
            </w:r>
          </w:p>
        </w:tc>
        <w:tc>
          <w:tcPr>
            <w:tcW w:w="530" w:type="pct"/>
            <w:tcMar>
              <w:top w:w="0" w:type="dxa"/>
              <w:left w:w="28" w:type="dxa"/>
              <w:bottom w:w="0" w:type="dxa"/>
              <w:right w:w="28" w:type="dxa"/>
            </w:tcMar>
            <w:vAlign w:val="center"/>
          </w:tcPr>
          <w:p w14:paraId="057692B4" w14:textId="77777777" w:rsidR="004B0883" w:rsidRDefault="004B0883">
            <w:pPr>
              <w:jc w:val="right"/>
              <w:rPr>
                <w:color w:val="000000"/>
              </w:rPr>
            </w:pPr>
            <w:r>
              <w:rPr>
                <w:color w:val="000000"/>
              </w:rPr>
              <w:t>2.61%</w:t>
            </w:r>
          </w:p>
        </w:tc>
        <w:tc>
          <w:tcPr>
            <w:tcW w:w="502" w:type="pct"/>
            <w:tcMar>
              <w:top w:w="0" w:type="dxa"/>
              <w:left w:w="28" w:type="dxa"/>
              <w:bottom w:w="0" w:type="dxa"/>
              <w:right w:w="28" w:type="dxa"/>
            </w:tcMar>
            <w:vAlign w:val="center"/>
          </w:tcPr>
          <w:p w14:paraId="30E6B691" w14:textId="77777777" w:rsidR="004B0883" w:rsidRDefault="004B0883">
            <w:pPr>
              <w:jc w:val="right"/>
              <w:rPr>
                <w:color w:val="000000"/>
              </w:rPr>
            </w:pPr>
            <w:r>
              <w:rPr>
                <w:color w:val="000000"/>
              </w:rPr>
              <w:t>37.30</w:t>
            </w:r>
          </w:p>
        </w:tc>
        <w:tc>
          <w:tcPr>
            <w:tcW w:w="525" w:type="pct"/>
            <w:tcMar>
              <w:top w:w="0" w:type="dxa"/>
              <w:left w:w="28" w:type="dxa"/>
              <w:bottom w:w="0" w:type="dxa"/>
              <w:right w:w="28" w:type="dxa"/>
            </w:tcMar>
            <w:vAlign w:val="center"/>
          </w:tcPr>
          <w:p w14:paraId="1DF6B4D7" w14:textId="77777777" w:rsidR="004B0883" w:rsidRDefault="004B0883">
            <w:pPr>
              <w:jc w:val="right"/>
              <w:rPr>
                <w:color w:val="000000"/>
              </w:rPr>
            </w:pPr>
            <w:r>
              <w:rPr>
                <w:color w:val="000000"/>
              </w:rPr>
              <w:t>1.60%</w:t>
            </w:r>
          </w:p>
        </w:tc>
      </w:tr>
      <w:tr w:rsidR="004B0883" w14:paraId="0B6678EB" w14:textId="77777777">
        <w:trPr>
          <w:trHeight w:val="397"/>
          <w:jc w:val="center"/>
        </w:trPr>
        <w:tc>
          <w:tcPr>
            <w:tcW w:w="939" w:type="pct"/>
            <w:tcMar>
              <w:top w:w="0" w:type="dxa"/>
              <w:left w:w="28" w:type="dxa"/>
              <w:bottom w:w="0" w:type="dxa"/>
              <w:right w:w="28" w:type="dxa"/>
            </w:tcMar>
            <w:vAlign w:val="center"/>
          </w:tcPr>
          <w:p w14:paraId="1D54FD21" w14:textId="77777777" w:rsidR="004B0883" w:rsidRDefault="004B0883">
            <w:pPr>
              <w:rPr>
                <w:color w:val="000000"/>
              </w:rPr>
            </w:pPr>
            <w:r>
              <w:rPr>
                <w:color w:val="000000"/>
              </w:rPr>
              <w:t>业务招待费</w:t>
            </w:r>
          </w:p>
        </w:tc>
        <w:tc>
          <w:tcPr>
            <w:tcW w:w="474" w:type="pct"/>
            <w:tcMar>
              <w:top w:w="0" w:type="dxa"/>
              <w:left w:w="28" w:type="dxa"/>
              <w:bottom w:w="0" w:type="dxa"/>
              <w:right w:w="28" w:type="dxa"/>
            </w:tcMar>
            <w:vAlign w:val="center"/>
          </w:tcPr>
          <w:p w14:paraId="607F8E76" w14:textId="77777777" w:rsidR="004B0883" w:rsidRDefault="004B0883">
            <w:pPr>
              <w:jc w:val="right"/>
              <w:rPr>
                <w:color w:val="000000"/>
              </w:rPr>
            </w:pPr>
            <w:r>
              <w:rPr>
                <w:rFonts w:hint="eastAsia"/>
                <w:color w:val="000000"/>
              </w:rPr>
              <w:t>57.00</w:t>
            </w:r>
          </w:p>
        </w:tc>
        <w:tc>
          <w:tcPr>
            <w:tcW w:w="496" w:type="pct"/>
            <w:tcMar>
              <w:top w:w="0" w:type="dxa"/>
              <w:left w:w="28" w:type="dxa"/>
              <w:bottom w:w="0" w:type="dxa"/>
              <w:right w:w="28" w:type="dxa"/>
            </w:tcMar>
            <w:vAlign w:val="center"/>
          </w:tcPr>
          <w:p w14:paraId="18893CE8" w14:textId="77777777" w:rsidR="004B0883" w:rsidRDefault="004B0883">
            <w:pPr>
              <w:jc w:val="right"/>
              <w:rPr>
                <w:color w:val="000000"/>
              </w:rPr>
            </w:pPr>
            <w:r>
              <w:rPr>
                <w:rFonts w:hint="eastAsia"/>
                <w:color w:val="000000"/>
              </w:rPr>
              <w:t>2.39%</w:t>
            </w:r>
          </w:p>
        </w:tc>
        <w:tc>
          <w:tcPr>
            <w:tcW w:w="502" w:type="pct"/>
            <w:tcMar>
              <w:top w:w="0" w:type="dxa"/>
              <w:left w:w="28" w:type="dxa"/>
              <w:bottom w:w="0" w:type="dxa"/>
              <w:right w:w="28" w:type="dxa"/>
            </w:tcMar>
            <w:vAlign w:val="center"/>
          </w:tcPr>
          <w:p w14:paraId="63F2434E" w14:textId="77777777" w:rsidR="004B0883" w:rsidRDefault="004B0883">
            <w:pPr>
              <w:jc w:val="right"/>
              <w:rPr>
                <w:color w:val="000000"/>
              </w:rPr>
            </w:pPr>
            <w:r>
              <w:rPr>
                <w:color w:val="000000"/>
              </w:rPr>
              <w:t>26.96</w:t>
            </w:r>
          </w:p>
        </w:tc>
        <w:tc>
          <w:tcPr>
            <w:tcW w:w="530" w:type="pct"/>
            <w:tcMar>
              <w:top w:w="0" w:type="dxa"/>
              <w:left w:w="28" w:type="dxa"/>
              <w:bottom w:w="0" w:type="dxa"/>
              <w:right w:w="28" w:type="dxa"/>
            </w:tcMar>
            <w:vAlign w:val="center"/>
          </w:tcPr>
          <w:p w14:paraId="600CFBEC" w14:textId="77777777" w:rsidR="004B0883" w:rsidRDefault="004B0883">
            <w:pPr>
              <w:jc w:val="right"/>
              <w:rPr>
                <w:color w:val="000000"/>
              </w:rPr>
            </w:pPr>
            <w:r>
              <w:rPr>
                <w:color w:val="000000"/>
              </w:rPr>
              <w:t>0.84%</w:t>
            </w:r>
          </w:p>
        </w:tc>
        <w:tc>
          <w:tcPr>
            <w:tcW w:w="502" w:type="pct"/>
            <w:tcMar>
              <w:top w:w="0" w:type="dxa"/>
              <w:left w:w="28" w:type="dxa"/>
              <w:bottom w:w="0" w:type="dxa"/>
              <w:right w:w="28" w:type="dxa"/>
            </w:tcMar>
            <w:vAlign w:val="center"/>
          </w:tcPr>
          <w:p w14:paraId="6D297ED9" w14:textId="77777777" w:rsidR="004B0883" w:rsidRDefault="004B0883">
            <w:pPr>
              <w:jc w:val="right"/>
              <w:rPr>
                <w:color w:val="000000"/>
              </w:rPr>
            </w:pPr>
            <w:r>
              <w:rPr>
                <w:color w:val="000000"/>
              </w:rPr>
              <w:t>39.95</w:t>
            </w:r>
          </w:p>
        </w:tc>
        <w:tc>
          <w:tcPr>
            <w:tcW w:w="530" w:type="pct"/>
            <w:tcMar>
              <w:top w:w="0" w:type="dxa"/>
              <w:left w:w="28" w:type="dxa"/>
              <w:bottom w:w="0" w:type="dxa"/>
              <w:right w:w="28" w:type="dxa"/>
            </w:tcMar>
            <w:vAlign w:val="center"/>
          </w:tcPr>
          <w:p w14:paraId="6BF43D2C" w14:textId="77777777" w:rsidR="004B0883" w:rsidRDefault="004B0883">
            <w:pPr>
              <w:jc w:val="right"/>
              <w:rPr>
                <w:color w:val="000000"/>
              </w:rPr>
            </w:pPr>
            <w:r>
              <w:rPr>
                <w:color w:val="000000"/>
              </w:rPr>
              <w:t>1.83%</w:t>
            </w:r>
          </w:p>
        </w:tc>
        <w:tc>
          <w:tcPr>
            <w:tcW w:w="502" w:type="pct"/>
            <w:tcMar>
              <w:top w:w="0" w:type="dxa"/>
              <w:left w:w="28" w:type="dxa"/>
              <w:bottom w:w="0" w:type="dxa"/>
              <w:right w:w="28" w:type="dxa"/>
            </w:tcMar>
            <w:vAlign w:val="center"/>
          </w:tcPr>
          <w:p w14:paraId="13DBA205" w14:textId="77777777" w:rsidR="004B0883" w:rsidRDefault="004B0883">
            <w:pPr>
              <w:jc w:val="right"/>
              <w:rPr>
                <w:color w:val="000000"/>
              </w:rPr>
            </w:pPr>
            <w:r>
              <w:rPr>
                <w:color w:val="000000"/>
              </w:rPr>
              <w:t>38.96</w:t>
            </w:r>
          </w:p>
        </w:tc>
        <w:tc>
          <w:tcPr>
            <w:tcW w:w="525" w:type="pct"/>
            <w:tcMar>
              <w:top w:w="0" w:type="dxa"/>
              <w:left w:w="28" w:type="dxa"/>
              <w:bottom w:w="0" w:type="dxa"/>
              <w:right w:w="28" w:type="dxa"/>
            </w:tcMar>
            <w:vAlign w:val="center"/>
          </w:tcPr>
          <w:p w14:paraId="6BE355FB" w14:textId="77777777" w:rsidR="004B0883" w:rsidRDefault="004B0883">
            <w:pPr>
              <w:jc w:val="right"/>
              <w:rPr>
                <w:color w:val="000000"/>
              </w:rPr>
            </w:pPr>
            <w:r>
              <w:rPr>
                <w:color w:val="000000"/>
              </w:rPr>
              <w:t>1.68%</w:t>
            </w:r>
          </w:p>
        </w:tc>
      </w:tr>
      <w:tr w:rsidR="004B0883" w14:paraId="539FABCA" w14:textId="77777777">
        <w:trPr>
          <w:trHeight w:val="397"/>
          <w:jc w:val="center"/>
        </w:trPr>
        <w:tc>
          <w:tcPr>
            <w:tcW w:w="939" w:type="pct"/>
            <w:tcMar>
              <w:top w:w="0" w:type="dxa"/>
              <w:left w:w="28" w:type="dxa"/>
              <w:bottom w:w="0" w:type="dxa"/>
              <w:right w:w="28" w:type="dxa"/>
            </w:tcMar>
            <w:vAlign w:val="center"/>
          </w:tcPr>
          <w:p w14:paraId="75399739" w14:textId="77777777" w:rsidR="004B0883" w:rsidRDefault="004B0883">
            <w:pPr>
              <w:rPr>
                <w:color w:val="000000"/>
              </w:rPr>
            </w:pPr>
            <w:r>
              <w:rPr>
                <w:color w:val="000000"/>
              </w:rPr>
              <w:t>工资及附加</w:t>
            </w:r>
          </w:p>
        </w:tc>
        <w:tc>
          <w:tcPr>
            <w:tcW w:w="474" w:type="pct"/>
            <w:tcMar>
              <w:top w:w="0" w:type="dxa"/>
              <w:left w:w="28" w:type="dxa"/>
              <w:bottom w:w="0" w:type="dxa"/>
              <w:right w:w="28" w:type="dxa"/>
            </w:tcMar>
            <w:vAlign w:val="center"/>
          </w:tcPr>
          <w:p w14:paraId="3D6B6D54" w14:textId="77777777" w:rsidR="004B0883" w:rsidRDefault="004B0883">
            <w:pPr>
              <w:jc w:val="right"/>
              <w:rPr>
                <w:color w:val="000000"/>
              </w:rPr>
            </w:pPr>
            <w:r>
              <w:rPr>
                <w:rFonts w:hint="eastAsia"/>
                <w:color w:val="000000"/>
              </w:rPr>
              <w:t>1,053.91</w:t>
            </w:r>
          </w:p>
        </w:tc>
        <w:tc>
          <w:tcPr>
            <w:tcW w:w="496" w:type="pct"/>
            <w:tcMar>
              <w:top w:w="0" w:type="dxa"/>
              <w:left w:w="28" w:type="dxa"/>
              <w:bottom w:w="0" w:type="dxa"/>
              <w:right w:w="28" w:type="dxa"/>
            </w:tcMar>
            <w:vAlign w:val="center"/>
          </w:tcPr>
          <w:p w14:paraId="5D4E00A9" w14:textId="77777777" w:rsidR="004B0883" w:rsidRDefault="004B0883">
            <w:pPr>
              <w:jc w:val="right"/>
              <w:rPr>
                <w:color w:val="000000"/>
              </w:rPr>
            </w:pPr>
            <w:r>
              <w:rPr>
                <w:rFonts w:hint="eastAsia"/>
                <w:color w:val="000000"/>
              </w:rPr>
              <w:t>44.14%</w:t>
            </w:r>
          </w:p>
        </w:tc>
        <w:tc>
          <w:tcPr>
            <w:tcW w:w="502" w:type="pct"/>
            <w:tcMar>
              <w:top w:w="0" w:type="dxa"/>
              <w:left w:w="28" w:type="dxa"/>
              <w:bottom w:w="0" w:type="dxa"/>
              <w:right w:w="28" w:type="dxa"/>
            </w:tcMar>
            <w:vAlign w:val="center"/>
          </w:tcPr>
          <w:p w14:paraId="147C48BC" w14:textId="77777777" w:rsidR="004B0883" w:rsidRDefault="004B0883">
            <w:pPr>
              <w:jc w:val="right"/>
              <w:rPr>
                <w:color w:val="000000"/>
              </w:rPr>
            </w:pPr>
            <w:r>
              <w:rPr>
                <w:color w:val="000000"/>
              </w:rPr>
              <w:t>1,787.41</w:t>
            </w:r>
          </w:p>
        </w:tc>
        <w:tc>
          <w:tcPr>
            <w:tcW w:w="530" w:type="pct"/>
            <w:tcMar>
              <w:top w:w="0" w:type="dxa"/>
              <w:left w:w="28" w:type="dxa"/>
              <w:bottom w:w="0" w:type="dxa"/>
              <w:right w:w="28" w:type="dxa"/>
            </w:tcMar>
            <w:vAlign w:val="center"/>
          </w:tcPr>
          <w:p w14:paraId="7EFF1901" w14:textId="77777777" w:rsidR="004B0883" w:rsidRDefault="004B0883">
            <w:pPr>
              <w:jc w:val="right"/>
              <w:rPr>
                <w:color w:val="000000"/>
              </w:rPr>
            </w:pPr>
            <w:r>
              <w:rPr>
                <w:color w:val="000000"/>
              </w:rPr>
              <w:t>55.38%</w:t>
            </w:r>
          </w:p>
        </w:tc>
        <w:tc>
          <w:tcPr>
            <w:tcW w:w="502" w:type="pct"/>
            <w:tcMar>
              <w:top w:w="0" w:type="dxa"/>
              <w:left w:w="28" w:type="dxa"/>
              <w:bottom w:w="0" w:type="dxa"/>
              <w:right w:w="28" w:type="dxa"/>
            </w:tcMar>
            <w:vAlign w:val="center"/>
          </w:tcPr>
          <w:p w14:paraId="1B6F2ADC" w14:textId="77777777" w:rsidR="004B0883" w:rsidRDefault="004B0883">
            <w:pPr>
              <w:jc w:val="right"/>
              <w:rPr>
                <w:color w:val="000000"/>
              </w:rPr>
            </w:pPr>
            <w:r>
              <w:rPr>
                <w:color w:val="000000"/>
              </w:rPr>
              <w:t>1,210.12</w:t>
            </w:r>
          </w:p>
        </w:tc>
        <w:tc>
          <w:tcPr>
            <w:tcW w:w="530" w:type="pct"/>
            <w:tcMar>
              <w:top w:w="0" w:type="dxa"/>
              <w:left w:w="28" w:type="dxa"/>
              <w:bottom w:w="0" w:type="dxa"/>
              <w:right w:w="28" w:type="dxa"/>
            </w:tcMar>
            <w:vAlign w:val="center"/>
          </w:tcPr>
          <w:p w14:paraId="12CBF831" w14:textId="77777777" w:rsidR="004B0883" w:rsidRDefault="004B0883">
            <w:pPr>
              <w:jc w:val="right"/>
              <w:rPr>
                <w:color w:val="000000"/>
              </w:rPr>
            </w:pPr>
            <w:r>
              <w:rPr>
                <w:color w:val="000000"/>
              </w:rPr>
              <w:t>55.51%</w:t>
            </w:r>
          </w:p>
        </w:tc>
        <w:tc>
          <w:tcPr>
            <w:tcW w:w="502" w:type="pct"/>
            <w:tcMar>
              <w:top w:w="0" w:type="dxa"/>
              <w:left w:w="28" w:type="dxa"/>
              <w:bottom w:w="0" w:type="dxa"/>
              <w:right w:w="28" w:type="dxa"/>
            </w:tcMar>
            <w:vAlign w:val="center"/>
          </w:tcPr>
          <w:p w14:paraId="35FD211B" w14:textId="77777777" w:rsidR="004B0883" w:rsidRDefault="004B0883">
            <w:pPr>
              <w:jc w:val="right"/>
              <w:rPr>
                <w:color w:val="000000"/>
              </w:rPr>
            </w:pPr>
            <w:r>
              <w:rPr>
                <w:color w:val="000000"/>
              </w:rPr>
              <w:t>981.83</w:t>
            </w:r>
          </w:p>
        </w:tc>
        <w:tc>
          <w:tcPr>
            <w:tcW w:w="525" w:type="pct"/>
            <w:tcMar>
              <w:top w:w="0" w:type="dxa"/>
              <w:left w:w="28" w:type="dxa"/>
              <w:bottom w:w="0" w:type="dxa"/>
              <w:right w:w="28" w:type="dxa"/>
            </w:tcMar>
            <w:vAlign w:val="center"/>
          </w:tcPr>
          <w:p w14:paraId="4AEBD037" w14:textId="77777777" w:rsidR="004B0883" w:rsidRDefault="004B0883">
            <w:pPr>
              <w:jc w:val="right"/>
              <w:rPr>
                <w:color w:val="000000"/>
              </w:rPr>
            </w:pPr>
            <w:r>
              <w:rPr>
                <w:color w:val="000000"/>
              </w:rPr>
              <w:t>42.22%</w:t>
            </w:r>
          </w:p>
        </w:tc>
      </w:tr>
      <w:tr w:rsidR="004B0883" w14:paraId="3D67D955" w14:textId="77777777">
        <w:trPr>
          <w:trHeight w:val="397"/>
          <w:jc w:val="center"/>
        </w:trPr>
        <w:tc>
          <w:tcPr>
            <w:tcW w:w="939" w:type="pct"/>
            <w:tcMar>
              <w:top w:w="0" w:type="dxa"/>
              <w:left w:w="28" w:type="dxa"/>
              <w:bottom w:w="0" w:type="dxa"/>
              <w:right w:w="28" w:type="dxa"/>
            </w:tcMar>
            <w:vAlign w:val="center"/>
          </w:tcPr>
          <w:p w14:paraId="2F8E4E1C" w14:textId="77777777" w:rsidR="004B0883" w:rsidRDefault="004B0883">
            <w:pPr>
              <w:rPr>
                <w:color w:val="000000"/>
              </w:rPr>
            </w:pPr>
            <w:r>
              <w:rPr>
                <w:color w:val="000000"/>
              </w:rPr>
              <w:t>折旧及摊销</w:t>
            </w:r>
          </w:p>
        </w:tc>
        <w:tc>
          <w:tcPr>
            <w:tcW w:w="474" w:type="pct"/>
            <w:tcMar>
              <w:top w:w="0" w:type="dxa"/>
              <w:left w:w="28" w:type="dxa"/>
              <w:bottom w:w="0" w:type="dxa"/>
              <w:right w:w="28" w:type="dxa"/>
            </w:tcMar>
            <w:vAlign w:val="center"/>
          </w:tcPr>
          <w:p w14:paraId="015746F7" w14:textId="77777777" w:rsidR="004B0883" w:rsidRDefault="004B0883">
            <w:pPr>
              <w:jc w:val="right"/>
              <w:rPr>
                <w:color w:val="000000"/>
              </w:rPr>
            </w:pPr>
            <w:r>
              <w:rPr>
                <w:rFonts w:hint="eastAsia"/>
                <w:color w:val="000000"/>
              </w:rPr>
              <w:t>320.91</w:t>
            </w:r>
          </w:p>
        </w:tc>
        <w:tc>
          <w:tcPr>
            <w:tcW w:w="496" w:type="pct"/>
            <w:tcMar>
              <w:top w:w="0" w:type="dxa"/>
              <w:left w:w="28" w:type="dxa"/>
              <w:bottom w:w="0" w:type="dxa"/>
              <w:right w:w="28" w:type="dxa"/>
            </w:tcMar>
            <w:vAlign w:val="center"/>
          </w:tcPr>
          <w:p w14:paraId="0C4A2D74" w14:textId="77777777" w:rsidR="004B0883" w:rsidRDefault="004B0883">
            <w:pPr>
              <w:jc w:val="right"/>
              <w:rPr>
                <w:color w:val="000000"/>
              </w:rPr>
            </w:pPr>
            <w:r>
              <w:rPr>
                <w:rFonts w:hint="eastAsia"/>
                <w:color w:val="000000"/>
              </w:rPr>
              <w:t>13.44%</w:t>
            </w:r>
          </w:p>
        </w:tc>
        <w:tc>
          <w:tcPr>
            <w:tcW w:w="502" w:type="pct"/>
            <w:tcMar>
              <w:top w:w="0" w:type="dxa"/>
              <w:left w:w="28" w:type="dxa"/>
              <w:bottom w:w="0" w:type="dxa"/>
              <w:right w:w="28" w:type="dxa"/>
            </w:tcMar>
            <w:vAlign w:val="center"/>
          </w:tcPr>
          <w:p w14:paraId="14BE65B4" w14:textId="77777777" w:rsidR="004B0883" w:rsidRDefault="004B0883">
            <w:pPr>
              <w:jc w:val="right"/>
              <w:rPr>
                <w:color w:val="000000"/>
              </w:rPr>
            </w:pPr>
            <w:r>
              <w:rPr>
                <w:color w:val="000000"/>
              </w:rPr>
              <w:t>376.32</w:t>
            </w:r>
          </w:p>
        </w:tc>
        <w:tc>
          <w:tcPr>
            <w:tcW w:w="530" w:type="pct"/>
            <w:tcMar>
              <w:top w:w="0" w:type="dxa"/>
              <w:left w:w="28" w:type="dxa"/>
              <w:bottom w:w="0" w:type="dxa"/>
              <w:right w:w="28" w:type="dxa"/>
            </w:tcMar>
            <w:vAlign w:val="center"/>
          </w:tcPr>
          <w:p w14:paraId="67506FF6" w14:textId="77777777" w:rsidR="004B0883" w:rsidRDefault="004B0883">
            <w:pPr>
              <w:jc w:val="right"/>
              <w:rPr>
                <w:color w:val="000000"/>
              </w:rPr>
            </w:pPr>
            <w:r>
              <w:rPr>
                <w:color w:val="000000"/>
              </w:rPr>
              <w:t>11.66%</w:t>
            </w:r>
          </w:p>
        </w:tc>
        <w:tc>
          <w:tcPr>
            <w:tcW w:w="502" w:type="pct"/>
            <w:tcMar>
              <w:top w:w="0" w:type="dxa"/>
              <w:left w:w="28" w:type="dxa"/>
              <w:bottom w:w="0" w:type="dxa"/>
              <w:right w:w="28" w:type="dxa"/>
            </w:tcMar>
            <w:vAlign w:val="center"/>
          </w:tcPr>
          <w:p w14:paraId="13E41017" w14:textId="77777777" w:rsidR="004B0883" w:rsidRDefault="004B0883">
            <w:pPr>
              <w:jc w:val="right"/>
              <w:rPr>
                <w:color w:val="000000"/>
              </w:rPr>
            </w:pPr>
            <w:r>
              <w:rPr>
                <w:color w:val="000000"/>
              </w:rPr>
              <w:t>403.14</w:t>
            </w:r>
          </w:p>
        </w:tc>
        <w:tc>
          <w:tcPr>
            <w:tcW w:w="530" w:type="pct"/>
            <w:tcMar>
              <w:top w:w="0" w:type="dxa"/>
              <w:left w:w="28" w:type="dxa"/>
              <w:bottom w:w="0" w:type="dxa"/>
              <w:right w:w="28" w:type="dxa"/>
            </w:tcMar>
            <w:vAlign w:val="center"/>
          </w:tcPr>
          <w:p w14:paraId="2F4A0ABD" w14:textId="77777777" w:rsidR="004B0883" w:rsidRDefault="004B0883">
            <w:pPr>
              <w:jc w:val="right"/>
              <w:rPr>
                <w:color w:val="000000"/>
              </w:rPr>
            </w:pPr>
            <w:r>
              <w:rPr>
                <w:color w:val="000000"/>
              </w:rPr>
              <w:t>18.49%</w:t>
            </w:r>
          </w:p>
        </w:tc>
        <w:tc>
          <w:tcPr>
            <w:tcW w:w="502" w:type="pct"/>
            <w:tcMar>
              <w:top w:w="0" w:type="dxa"/>
              <w:left w:w="28" w:type="dxa"/>
              <w:bottom w:w="0" w:type="dxa"/>
              <w:right w:w="28" w:type="dxa"/>
            </w:tcMar>
            <w:vAlign w:val="center"/>
          </w:tcPr>
          <w:p w14:paraId="468AB9F8" w14:textId="77777777" w:rsidR="004B0883" w:rsidRDefault="004B0883">
            <w:pPr>
              <w:jc w:val="right"/>
              <w:rPr>
                <w:color w:val="000000"/>
              </w:rPr>
            </w:pPr>
            <w:r>
              <w:rPr>
                <w:color w:val="000000"/>
              </w:rPr>
              <w:t>383.38</w:t>
            </w:r>
          </w:p>
        </w:tc>
        <w:tc>
          <w:tcPr>
            <w:tcW w:w="525" w:type="pct"/>
            <w:tcMar>
              <w:top w:w="0" w:type="dxa"/>
              <w:left w:w="28" w:type="dxa"/>
              <w:bottom w:w="0" w:type="dxa"/>
              <w:right w:w="28" w:type="dxa"/>
            </w:tcMar>
            <w:vAlign w:val="center"/>
          </w:tcPr>
          <w:p w14:paraId="530D399B" w14:textId="77777777" w:rsidR="004B0883" w:rsidRDefault="004B0883">
            <w:pPr>
              <w:jc w:val="right"/>
              <w:rPr>
                <w:color w:val="000000"/>
              </w:rPr>
            </w:pPr>
            <w:r>
              <w:rPr>
                <w:color w:val="000000"/>
              </w:rPr>
              <w:t>16.48%</w:t>
            </w:r>
          </w:p>
        </w:tc>
      </w:tr>
      <w:tr w:rsidR="004B0883" w14:paraId="046D39A9" w14:textId="77777777">
        <w:trPr>
          <w:trHeight w:val="397"/>
          <w:jc w:val="center"/>
        </w:trPr>
        <w:tc>
          <w:tcPr>
            <w:tcW w:w="939" w:type="pct"/>
            <w:tcMar>
              <w:top w:w="0" w:type="dxa"/>
              <w:left w:w="28" w:type="dxa"/>
              <w:bottom w:w="0" w:type="dxa"/>
              <w:right w:w="28" w:type="dxa"/>
            </w:tcMar>
            <w:vAlign w:val="center"/>
          </w:tcPr>
          <w:p w14:paraId="54096C8B" w14:textId="77777777" w:rsidR="004B0883" w:rsidRDefault="004B0883">
            <w:pPr>
              <w:rPr>
                <w:color w:val="000000"/>
              </w:rPr>
            </w:pPr>
            <w:r>
              <w:rPr>
                <w:color w:val="000000"/>
              </w:rPr>
              <w:t>股权激励费</w:t>
            </w:r>
          </w:p>
        </w:tc>
        <w:tc>
          <w:tcPr>
            <w:tcW w:w="474" w:type="pct"/>
            <w:tcMar>
              <w:top w:w="0" w:type="dxa"/>
              <w:left w:w="28" w:type="dxa"/>
              <w:bottom w:w="0" w:type="dxa"/>
              <w:right w:w="28" w:type="dxa"/>
            </w:tcMar>
            <w:vAlign w:val="center"/>
          </w:tcPr>
          <w:p w14:paraId="0895E219" w14:textId="77777777" w:rsidR="004B0883" w:rsidRDefault="004B0883">
            <w:pPr>
              <w:jc w:val="right"/>
              <w:rPr>
                <w:color w:val="000000"/>
              </w:rPr>
            </w:pPr>
            <w:r>
              <w:rPr>
                <w:rFonts w:hint="eastAsia"/>
                <w:color w:val="000000"/>
              </w:rPr>
              <w:t>251.52</w:t>
            </w:r>
          </w:p>
        </w:tc>
        <w:tc>
          <w:tcPr>
            <w:tcW w:w="496" w:type="pct"/>
            <w:tcMar>
              <w:top w:w="0" w:type="dxa"/>
              <w:left w:w="28" w:type="dxa"/>
              <w:bottom w:w="0" w:type="dxa"/>
              <w:right w:w="28" w:type="dxa"/>
            </w:tcMar>
            <w:vAlign w:val="center"/>
          </w:tcPr>
          <w:p w14:paraId="790F8523" w14:textId="77777777" w:rsidR="004B0883" w:rsidRDefault="004B0883">
            <w:pPr>
              <w:jc w:val="right"/>
              <w:rPr>
                <w:color w:val="000000"/>
              </w:rPr>
            </w:pPr>
            <w:r>
              <w:rPr>
                <w:rFonts w:hint="eastAsia"/>
                <w:color w:val="000000"/>
              </w:rPr>
              <w:t>10.53%</w:t>
            </w:r>
          </w:p>
        </w:tc>
        <w:tc>
          <w:tcPr>
            <w:tcW w:w="502" w:type="pct"/>
            <w:tcMar>
              <w:top w:w="0" w:type="dxa"/>
              <w:left w:w="28" w:type="dxa"/>
              <w:bottom w:w="0" w:type="dxa"/>
              <w:right w:w="28" w:type="dxa"/>
            </w:tcMar>
            <w:vAlign w:val="center"/>
          </w:tcPr>
          <w:p w14:paraId="6373886C" w14:textId="77777777" w:rsidR="004B0883" w:rsidRDefault="004B0883">
            <w:pPr>
              <w:jc w:val="right"/>
              <w:rPr>
                <w:color w:val="000000"/>
              </w:rPr>
            </w:pPr>
            <w:r>
              <w:rPr>
                <w:color w:val="000000"/>
              </w:rPr>
              <w:t>450.24</w:t>
            </w:r>
          </w:p>
        </w:tc>
        <w:tc>
          <w:tcPr>
            <w:tcW w:w="530" w:type="pct"/>
            <w:tcMar>
              <w:top w:w="0" w:type="dxa"/>
              <w:left w:w="28" w:type="dxa"/>
              <w:bottom w:w="0" w:type="dxa"/>
              <w:right w:w="28" w:type="dxa"/>
            </w:tcMar>
            <w:vAlign w:val="center"/>
          </w:tcPr>
          <w:p w14:paraId="6245890C" w14:textId="77777777" w:rsidR="004B0883" w:rsidRDefault="004B0883">
            <w:pPr>
              <w:jc w:val="right"/>
              <w:rPr>
                <w:color w:val="000000"/>
              </w:rPr>
            </w:pPr>
            <w:r>
              <w:rPr>
                <w:color w:val="000000"/>
              </w:rPr>
              <w:t>13.95%</w:t>
            </w:r>
          </w:p>
        </w:tc>
        <w:tc>
          <w:tcPr>
            <w:tcW w:w="502" w:type="pct"/>
            <w:tcMar>
              <w:top w:w="0" w:type="dxa"/>
              <w:left w:w="28" w:type="dxa"/>
              <w:bottom w:w="0" w:type="dxa"/>
              <w:right w:w="28" w:type="dxa"/>
            </w:tcMar>
            <w:vAlign w:val="center"/>
          </w:tcPr>
          <w:p w14:paraId="20A78E31" w14:textId="77777777" w:rsidR="004B0883" w:rsidRDefault="004B0883">
            <w:pPr>
              <w:jc w:val="right"/>
              <w:rPr>
                <w:color w:val="000000"/>
              </w:rPr>
            </w:pPr>
            <w:r>
              <w:rPr>
                <w:color w:val="000000"/>
              </w:rPr>
              <w:t>72.99</w:t>
            </w:r>
          </w:p>
        </w:tc>
        <w:tc>
          <w:tcPr>
            <w:tcW w:w="530" w:type="pct"/>
            <w:tcMar>
              <w:top w:w="0" w:type="dxa"/>
              <w:left w:w="28" w:type="dxa"/>
              <w:bottom w:w="0" w:type="dxa"/>
              <w:right w:w="28" w:type="dxa"/>
            </w:tcMar>
            <w:vAlign w:val="center"/>
          </w:tcPr>
          <w:p w14:paraId="5706B8CE" w14:textId="77777777" w:rsidR="004B0883" w:rsidRDefault="004B0883">
            <w:pPr>
              <w:jc w:val="right"/>
              <w:rPr>
                <w:color w:val="000000"/>
              </w:rPr>
            </w:pPr>
            <w:r>
              <w:rPr>
                <w:color w:val="000000"/>
              </w:rPr>
              <w:t>3.35%</w:t>
            </w:r>
          </w:p>
        </w:tc>
        <w:tc>
          <w:tcPr>
            <w:tcW w:w="502" w:type="pct"/>
            <w:tcMar>
              <w:top w:w="0" w:type="dxa"/>
              <w:left w:w="28" w:type="dxa"/>
              <w:bottom w:w="0" w:type="dxa"/>
              <w:right w:w="28" w:type="dxa"/>
            </w:tcMar>
            <w:vAlign w:val="center"/>
          </w:tcPr>
          <w:p w14:paraId="37EC89DB" w14:textId="77777777" w:rsidR="004B0883" w:rsidRDefault="004B0883">
            <w:pPr>
              <w:jc w:val="right"/>
              <w:rPr>
                <w:color w:val="000000"/>
              </w:rPr>
            </w:pPr>
            <w:r>
              <w:rPr>
                <w:color w:val="000000"/>
              </w:rPr>
              <w:t>193.52</w:t>
            </w:r>
          </w:p>
        </w:tc>
        <w:tc>
          <w:tcPr>
            <w:tcW w:w="525" w:type="pct"/>
            <w:tcMar>
              <w:top w:w="0" w:type="dxa"/>
              <w:left w:w="28" w:type="dxa"/>
              <w:bottom w:w="0" w:type="dxa"/>
              <w:right w:w="28" w:type="dxa"/>
            </w:tcMar>
            <w:vAlign w:val="center"/>
          </w:tcPr>
          <w:p w14:paraId="08717A4B" w14:textId="77777777" w:rsidR="004B0883" w:rsidRDefault="004B0883">
            <w:pPr>
              <w:jc w:val="right"/>
              <w:rPr>
                <w:color w:val="000000"/>
              </w:rPr>
            </w:pPr>
            <w:r>
              <w:rPr>
                <w:color w:val="000000"/>
              </w:rPr>
              <w:t>8.32%</w:t>
            </w:r>
          </w:p>
        </w:tc>
      </w:tr>
      <w:tr w:rsidR="004B0883" w14:paraId="3961F1CA" w14:textId="77777777">
        <w:trPr>
          <w:trHeight w:val="397"/>
          <w:jc w:val="center"/>
        </w:trPr>
        <w:tc>
          <w:tcPr>
            <w:tcW w:w="939" w:type="pct"/>
            <w:tcMar>
              <w:top w:w="0" w:type="dxa"/>
              <w:left w:w="28" w:type="dxa"/>
              <w:bottom w:w="0" w:type="dxa"/>
              <w:right w:w="28" w:type="dxa"/>
            </w:tcMar>
            <w:vAlign w:val="center"/>
          </w:tcPr>
          <w:p w14:paraId="6D49B486" w14:textId="77777777" w:rsidR="004B0883" w:rsidRDefault="004B0883">
            <w:pPr>
              <w:rPr>
                <w:color w:val="000000"/>
              </w:rPr>
            </w:pPr>
            <w:r>
              <w:rPr>
                <w:color w:val="000000"/>
              </w:rPr>
              <w:t>其他</w:t>
            </w:r>
          </w:p>
        </w:tc>
        <w:tc>
          <w:tcPr>
            <w:tcW w:w="474" w:type="pct"/>
            <w:tcMar>
              <w:top w:w="0" w:type="dxa"/>
              <w:left w:w="28" w:type="dxa"/>
              <w:bottom w:w="0" w:type="dxa"/>
              <w:right w:w="28" w:type="dxa"/>
            </w:tcMar>
            <w:vAlign w:val="center"/>
          </w:tcPr>
          <w:p w14:paraId="3F9F785C" w14:textId="77777777" w:rsidR="004B0883" w:rsidRDefault="004B0883">
            <w:pPr>
              <w:jc w:val="right"/>
              <w:rPr>
                <w:color w:val="000000"/>
              </w:rPr>
            </w:pPr>
            <w:r>
              <w:rPr>
                <w:rFonts w:hint="eastAsia"/>
                <w:color w:val="000000"/>
              </w:rPr>
              <w:t>576.09</w:t>
            </w:r>
          </w:p>
        </w:tc>
        <w:tc>
          <w:tcPr>
            <w:tcW w:w="496" w:type="pct"/>
            <w:tcMar>
              <w:top w:w="0" w:type="dxa"/>
              <w:left w:w="28" w:type="dxa"/>
              <w:bottom w:w="0" w:type="dxa"/>
              <w:right w:w="28" w:type="dxa"/>
            </w:tcMar>
            <w:vAlign w:val="center"/>
          </w:tcPr>
          <w:p w14:paraId="63D928AD" w14:textId="77777777" w:rsidR="004B0883" w:rsidRDefault="004B0883">
            <w:pPr>
              <w:jc w:val="right"/>
              <w:rPr>
                <w:color w:val="000000"/>
              </w:rPr>
            </w:pPr>
            <w:r>
              <w:rPr>
                <w:rFonts w:hint="eastAsia"/>
                <w:color w:val="000000"/>
              </w:rPr>
              <w:t>24.13%</w:t>
            </w:r>
          </w:p>
        </w:tc>
        <w:tc>
          <w:tcPr>
            <w:tcW w:w="502" w:type="pct"/>
            <w:tcMar>
              <w:top w:w="0" w:type="dxa"/>
              <w:left w:w="28" w:type="dxa"/>
              <w:bottom w:w="0" w:type="dxa"/>
              <w:right w:w="28" w:type="dxa"/>
            </w:tcMar>
            <w:vAlign w:val="center"/>
          </w:tcPr>
          <w:p w14:paraId="1CFA6B16" w14:textId="77777777" w:rsidR="004B0883" w:rsidRDefault="004B0883">
            <w:pPr>
              <w:jc w:val="right"/>
              <w:rPr>
                <w:color w:val="000000"/>
              </w:rPr>
            </w:pPr>
            <w:r>
              <w:rPr>
                <w:color w:val="000000"/>
              </w:rPr>
              <w:t>537.85</w:t>
            </w:r>
          </w:p>
        </w:tc>
        <w:tc>
          <w:tcPr>
            <w:tcW w:w="530" w:type="pct"/>
            <w:tcMar>
              <w:top w:w="0" w:type="dxa"/>
              <w:left w:w="28" w:type="dxa"/>
              <w:bottom w:w="0" w:type="dxa"/>
              <w:right w:w="28" w:type="dxa"/>
            </w:tcMar>
            <w:vAlign w:val="center"/>
          </w:tcPr>
          <w:p w14:paraId="4DEAF698" w14:textId="77777777" w:rsidR="004B0883" w:rsidRDefault="004B0883">
            <w:pPr>
              <w:jc w:val="right"/>
              <w:rPr>
                <w:color w:val="000000"/>
              </w:rPr>
            </w:pPr>
            <w:r>
              <w:rPr>
                <w:color w:val="000000"/>
              </w:rPr>
              <w:t>16.66%</w:t>
            </w:r>
          </w:p>
        </w:tc>
        <w:tc>
          <w:tcPr>
            <w:tcW w:w="502" w:type="pct"/>
            <w:tcMar>
              <w:top w:w="0" w:type="dxa"/>
              <w:left w:w="28" w:type="dxa"/>
              <w:bottom w:w="0" w:type="dxa"/>
              <w:right w:w="28" w:type="dxa"/>
            </w:tcMar>
            <w:vAlign w:val="center"/>
          </w:tcPr>
          <w:p w14:paraId="4A03099F" w14:textId="77777777" w:rsidR="004B0883" w:rsidRDefault="004B0883">
            <w:pPr>
              <w:jc w:val="right"/>
              <w:rPr>
                <w:color w:val="000000"/>
              </w:rPr>
            </w:pPr>
            <w:r>
              <w:rPr>
                <w:color w:val="000000"/>
              </w:rPr>
              <w:t>397.07</w:t>
            </w:r>
          </w:p>
        </w:tc>
        <w:tc>
          <w:tcPr>
            <w:tcW w:w="530" w:type="pct"/>
            <w:tcMar>
              <w:top w:w="0" w:type="dxa"/>
              <w:left w:w="28" w:type="dxa"/>
              <w:bottom w:w="0" w:type="dxa"/>
              <w:right w:w="28" w:type="dxa"/>
            </w:tcMar>
            <w:vAlign w:val="center"/>
          </w:tcPr>
          <w:p w14:paraId="719501E2" w14:textId="77777777" w:rsidR="004B0883" w:rsidRDefault="004B0883">
            <w:pPr>
              <w:jc w:val="right"/>
              <w:rPr>
                <w:color w:val="000000"/>
              </w:rPr>
            </w:pPr>
            <w:r>
              <w:rPr>
                <w:color w:val="000000"/>
              </w:rPr>
              <w:t>18.21%</w:t>
            </w:r>
          </w:p>
        </w:tc>
        <w:tc>
          <w:tcPr>
            <w:tcW w:w="502" w:type="pct"/>
            <w:tcMar>
              <w:top w:w="0" w:type="dxa"/>
              <w:left w:w="28" w:type="dxa"/>
              <w:bottom w:w="0" w:type="dxa"/>
              <w:right w:w="28" w:type="dxa"/>
            </w:tcMar>
            <w:vAlign w:val="center"/>
          </w:tcPr>
          <w:p w14:paraId="7C76353B" w14:textId="77777777" w:rsidR="004B0883" w:rsidRDefault="004B0883">
            <w:pPr>
              <w:jc w:val="right"/>
              <w:rPr>
                <w:color w:val="000000"/>
              </w:rPr>
            </w:pPr>
            <w:r>
              <w:rPr>
                <w:color w:val="000000"/>
              </w:rPr>
              <w:t>690.77</w:t>
            </w:r>
          </w:p>
        </w:tc>
        <w:tc>
          <w:tcPr>
            <w:tcW w:w="525" w:type="pct"/>
            <w:tcMar>
              <w:top w:w="0" w:type="dxa"/>
              <w:left w:w="28" w:type="dxa"/>
              <w:bottom w:w="0" w:type="dxa"/>
              <w:right w:w="28" w:type="dxa"/>
            </w:tcMar>
            <w:vAlign w:val="center"/>
          </w:tcPr>
          <w:p w14:paraId="5DE51BA2" w14:textId="77777777" w:rsidR="004B0883" w:rsidRDefault="004B0883">
            <w:pPr>
              <w:jc w:val="right"/>
              <w:rPr>
                <w:color w:val="000000"/>
              </w:rPr>
            </w:pPr>
            <w:r>
              <w:rPr>
                <w:color w:val="000000"/>
              </w:rPr>
              <w:t>29.70%</w:t>
            </w:r>
          </w:p>
        </w:tc>
      </w:tr>
      <w:tr w:rsidR="004B0883" w14:paraId="3A7E529A" w14:textId="77777777">
        <w:trPr>
          <w:trHeight w:val="397"/>
          <w:jc w:val="center"/>
        </w:trPr>
        <w:tc>
          <w:tcPr>
            <w:tcW w:w="939" w:type="pct"/>
            <w:tcMar>
              <w:top w:w="0" w:type="dxa"/>
              <w:left w:w="28" w:type="dxa"/>
              <w:bottom w:w="0" w:type="dxa"/>
              <w:right w:w="28" w:type="dxa"/>
            </w:tcMar>
            <w:vAlign w:val="center"/>
          </w:tcPr>
          <w:p w14:paraId="7D85A759" w14:textId="77777777" w:rsidR="004B0883" w:rsidRDefault="004B0883">
            <w:pPr>
              <w:jc w:val="center"/>
              <w:rPr>
                <w:b/>
                <w:color w:val="000000"/>
              </w:rPr>
            </w:pPr>
            <w:r>
              <w:rPr>
                <w:b/>
                <w:color w:val="000000"/>
              </w:rPr>
              <w:t>合计</w:t>
            </w:r>
          </w:p>
        </w:tc>
        <w:tc>
          <w:tcPr>
            <w:tcW w:w="474" w:type="pct"/>
            <w:tcMar>
              <w:top w:w="0" w:type="dxa"/>
              <w:left w:w="28" w:type="dxa"/>
              <w:bottom w:w="0" w:type="dxa"/>
              <w:right w:w="28" w:type="dxa"/>
            </w:tcMar>
            <w:vAlign w:val="center"/>
          </w:tcPr>
          <w:p w14:paraId="0B7200CA" w14:textId="77777777" w:rsidR="004B0883" w:rsidRDefault="004B0883">
            <w:pPr>
              <w:jc w:val="right"/>
              <w:rPr>
                <w:b/>
                <w:color w:val="000000"/>
              </w:rPr>
            </w:pPr>
            <w:r>
              <w:rPr>
                <w:rFonts w:hint="eastAsia"/>
                <w:b/>
                <w:color w:val="000000"/>
              </w:rPr>
              <w:t>2,387.83</w:t>
            </w:r>
          </w:p>
        </w:tc>
        <w:tc>
          <w:tcPr>
            <w:tcW w:w="496" w:type="pct"/>
            <w:tcMar>
              <w:top w:w="0" w:type="dxa"/>
              <w:left w:w="28" w:type="dxa"/>
              <w:bottom w:w="0" w:type="dxa"/>
              <w:right w:w="28" w:type="dxa"/>
            </w:tcMar>
            <w:vAlign w:val="center"/>
          </w:tcPr>
          <w:p w14:paraId="2F94F7D0" w14:textId="77777777" w:rsidR="004B0883" w:rsidRDefault="004B0883">
            <w:pPr>
              <w:jc w:val="right"/>
              <w:rPr>
                <w:b/>
                <w:color w:val="000000"/>
              </w:rPr>
            </w:pPr>
            <w:r>
              <w:rPr>
                <w:rFonts w:hint="eastAsia"/>
                <w:b/>
                <w:color w:val="000000"/>
              </w:rPr>
              <w:t>100.00%</w:t>
            </w:r>
          </w:p>
        </w:tc>
        <w:tc>
          <w:tcPr>
            <w:tcW w:w="502" w:type="pct"/>
            <w:tcMar>
              <w:top w:w="0" w:type="dxa"/>
              <w:left w:w="28" w:type="dxa"/>
              <w:bottom w:w="0" w:type="dxa"/>
              <w:right w:w="28" w:type="dxa"/>
            </w:tcMar>
            <w:vAlign w:val="center"/>
          </w:tcPr>
          <w:p w14:paraId="00F3A369" w14:textId="77777777" w:rsidR="004B0883" w:rsidRDefault="004B0883">
            <w:pPr>
              <w:jc w:val="right"/>
              <w:rPr>
                <w:b/>
                <w:color w:val="000000"/>
              </w:rPr>
            </w:pPr>
            <w:r>
              <w:rPr>
                <w:b/>
                <w:color w:val="000000"/>
              </w:rPr>
              <w:t>3,227.61</w:t>
            </w:r>
          </w:p>
        </w:tc>
        <w:tc>
          <w:tcPr>
            <w:tcW w:w="530" w:type="pct"/>
            <w:tcMar>
              <w:top w:w="0" w:type="dxa"/>
              <w:left w:w="28" w:type="dxa"/>
              <w:bottom w:w="0" w:type="dxa"/>
              <w:right w:w="28" w:type="dxa"/>
            </w:tcMar>
            <w:vAlign w:val="center"/>
          </w:tcPr>
          <w:p w14:paraId="1DD09324" w14:textId="77777777" w:rsidR="004B0883" w:rsidRDefault="004B0883">
            <w:pPr>
              <w:jc w:val="right"/>
              <w:rPr>
                <w:b/>
                <w:color w:val="000000"/>
              </w:rPr>
            </w:pPr>
            <w:r>
              <w:rPr>
                <w:b/>
                <w:color w:val="000000"/>
              </w:rPr>
              <w:t>100.00%</w:t>
            </w:r>
          </w:p>
        </w:tc>
        <w:tc>
          <w:tcPr>
            <w:tcW w:w="502" w:type="pct"/>
            <w:tcMar>
              <w:top w:w="0" w:type="dxa"/>
              <w:left w:w="28" w:type="dxa"/>
              <w:bottom w:w="0" w:type="dxa"/>
              <w:right w:w="28" w:type="dxa"/>
            </w:tcMar>
            <w:vAlign w:val="center"/>
          </w:tcPr>
          <w:p w14:paraId="65A9950F" w14:textId="77777777" w:rsidR="004B0883" w:rsidRDefault="004B0883">
            <w:pPr>
              <w:jc w:val="right"/>
              <w:rPr>
                <w:b/>
                <w:color w:val="000000"/>
              </w:rPr>
            </w:pPr>
            <w:r>
              <w:rPr>
                <w:b/>
                <w:color w:val="000000"/>
              </w:rPr>
              <w:t>2,180.12</w:t>
            </w:r>
          </w:p>
        </w:tc>
        <w:tc>
          <w:tcPr>
            <w:tcW w:w="530" w:type="pct"/>
            <w:tcMar>
              <w:top w:w="0" w:type="dxa"/>
              <w:left w:w="28" w:type="dxa"/>
              <w:bottom w:w="0" w:type="dxa"/>
              <w:right w:w="28" w:type="dxa"/>
            </w:tcMar>
            <w:vAlign w:val="center"/>
          </w:tcPr>
          <w:p w14:paraId="35C842A5" w14:textId="77777777" w:rsidR="004B0883" w:rsidRDefault="004B0883">
            <w:pPr>
              <w:jc w:val="right"/>
              <w:rPr>
                <w:b/>
                <w:color w:val="000000"/>
              </w:rPr>
            </w:pPr>
            <w:r>
              <w:rPr>
                <w:b/>
                <w:color w:val="000000"/>
              </w:rPr>
              <w:t>100.00%</w:t>
            </w:r>
          </w:p>
        </w:tc>
        <w:tc>
          <w:tcPr>
            <w:tcW w:w="502" w:type="pct"/>
            <w:tcMar>
              <w:top w:w="0" w:type="dxa"/>
              <w:left w:w="28" w:type="dxa"/>
              <w:bottom w:w="0" w:type="dxa"/>
              <w:right w:w="28" w:type="dxa"/>
            </w:tcMar>
            <w:vAlign w:val="center"/>
          </w:tcPr>
          <w:p w14:paraId="5EB17C2C" w14:textId="77777777" w:rsidR="004B0883" w:rsidRDefault="004B0883">
            <w:pPr>
              <w:jc w:val="right"/>
              <w:rPr>
                <w:b/>
                <w:color w:val="000000"/>
              </w:rPr>
            </w:pPr>
            <w:r>
              <w:rPr>
                <w:b/>
                <w:color w:val="000000"/>
              </w:rPr>
              <w:t>2,325.75</w:t>
            </w:r>
          </w:p>
        </w:tc>
        <w:tc>
          <w:tcPr>
            <w:tcW w:w="525" w:type="pct"/>
            <w:tcMar>
              <w:top w:w="0" w:type="dxa"/>
              <w:left w:w="28" w:type="dxa"/>
              <w:bottom w:w="0" w:type="dxa"/>
              <w:right w:w="28" w:type="dxa"/>
            </w:tcMar>
            <w:vAlign w:val="center"/>
          </w:tcPr>
          <w:p w14:paraId="59F581B8" w14:textId="77777777" w:rsidR="004B0883" w:rsidRDefault="004B0883">
            <w:pPr>
              <w:jc w:val="right"/>
              <w:rPr>
                <w:b/>
                <w:color w:val="000000"/>
              </w:rPr>
            </w:pPr>
            <w:r>
              <w:rPr>
                <w:b/>
                <w:color w:val="000000"/>
              </w:rPr>
              <w:t>100.00%</w:t>
            </w:r>
          </w:p>
        </w:tc>
      </w:tr>
    </w:tbl>
    <w:p w14:paraId="1B33A0DC" w14:textId="77777777" w:rsidR="004B0883" w:rsidRDefault="004B0883">
      <w:pPr>
        <w:pStyle w:val="005"/>
        <w:spacing w:before="120"/>
        <w:ind w:firstLine="480"/>
      </w:pPr>
      <w:r>
        <w:t>报告期各期，公司管理费用分别为</w:t>
      </w:r>
      <w:r>
        <w:t>2,325.75</w:t>
      </w:r>
      <w:r>
        <w:t>万元、</w:t>
      </w:r>
      <w:r>
        <w:t>2,180.12</w:t>
      </w:r>
      <w:r>
        <w:t>万元、</w:t>
      </w:r>
      <w:r>
        <w:t>3,227.61</w:t>
      </w:r>
      <w:r>
        <w:t>万元和</w:t>
      </w:r>
      <w:r>
        <w:t>2,387.83</w:t>
      </w:r>
      <w:r>
        <w:t>万元，主要由工资及附加、折旧及摊销、股权激励费等构成。</w:t>
      </w:r>
    </w:p>
    <w:p w14:paraId="26AED344" w14:textId="77777777" w:rsidR="004B0883" w:rsidRDefault="004B0883">
      <w:pPr>
        <w:pStyle w:val="004"/>
        <w:spacing w:before="120" w:after="120"/>
        <w:ind w:firstLine="482"/>
      </w:pPr>
      <w:bookmarkStart w:id="359" w:name="_Hlk110716079"/>
      <w:bookmarkEnd w:id="358"/>
      <w:r>
        <w:t>3</w:t>
      </w:r>
      <w:r>
        <w:t>、研发费用</w:t>
      </w:r>
    </w:p>
    <w:p w14:paraId="1BEBAC26" w14:textId="77777777" w:rsidR="004B0883" w:rsidRDefault="004B0883">
      <w:pPr>
        <w:pStyle w:val="005"/>
        <w:spacing w:before="120"/>
        <w:ind w:firstLine="480"/>
      </w:pPr>
      <w:r>
        <w:t>报告期内，公司研发费用具体情况如下：</w:t>
      </w:r>
    </w:p>
    <w:p w14:paraId="3B37FC7B" w14:textId="77777777" w:rsidR="004B0883" w:rsidRDefault="004B0883">
      <w:pPr>
        <w:pStyle w:val="009"/>
        <w:widowControl w:val="0"/>
      </w:pPr>
      <w: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732"/>
        <w:gridCol w:w="1636"/>
        <w:gridCol w:w="1638"/>
        <w:gridCol w:w="1638"/>
        <w:gridCol w:w="1636"/>
      </w:tblGrid>
      <w:tr w:rsidR="004B0883" w14:paraId="3A6D6A3C" w14:textId="77777777">
        <w:trPr>
          <w:trHeight w:val="397"/>
          <w:tblHeader/>
          <w:jc w:val="center"/>
        </w:trPr>
        <w:tc>
          <w:tcPr>
            <w:tcW w:w="1046" w:type="pct"/>
            <w:shd w:val="clear" w:color="auto" w:fill="D9D9D9"/>
            <w:tcMar>
              <w:top w:w="0" w:type="dxa"/>
              <w:left w:w="108" w:type="dxa"/>
              <w:bottom w:w="0" w:type="dxa"/>
              <w:right w:w="108" w:type="dxa"/>
            </w:tcMar>
            <w:vAlign w:val="center"/>
          </w:tcPr>
          <w:p w14:paraId="6DDDC9E1" w14:textId="77777777" w:rsidR="004B0883" w:rsidRDefault="004B0883">
            <w:pPr>
              <w:keepNext/>
              <w:widowControl w:val="0"/>
              <w:jc w:val="center"/>
              <w:rPr>
                <w:b/>
                <w:color w:val="000000"/>
              </w:rPr>
            </w:pPr>
            <w:r>
              <w:rPr>
                <w:b/>
                <w:color w:val="000000"/>
              </w:rPr>
              <w:t>项目</w:t>
            </w:r>
          </w:p>
        </w:tc>
        <w:tc>
          <w:tcPr>
            <w:tcW w:w="988" w:type="pct"/>
            <w:shd w:val="clear" w:color="auto" w:fill="D9D9D9"/>
            <w:tcMar>
              <w:top w:w="0" w:type="dxa"/>
              <w:left w:w="108" w:type="dxa"/>
              <w:bottom w:w="0" w:type="dxa"/>
              <w:right w:w="108" w:type="dxa"/>
            </w:tcMar>
            <w:vAlign w:val="center"/>
          </w:tcPr>
          <w:p w14:paraId="7096BCB7" w14:textId="77777777" w:rsidR="004B0883" w:rsidRDefault="004B0883">
            <w:pPr>
              <w:keepNext/>
              <w:widowControl w:val="0"/>
              <w:jc w:val="center"/>
              <w:rPr>
                <w:b/>
                <w:color w:val="000000"/>
              </w:rPr>
            </w:pPr>
            <w:r>
              <w:rPr>
                <w:b/>
                <w:color w:val="000000"/>
              </w:rPr>
              <w:t>2023</w:t>
            </w:r>
            <w:r>
              <w:rPr>
                <w:b/>
                <w:color w:val="000000"/>
              </w:rPr>
              <w:t>年</w:t>
            </w:r>
            <w:r>
              <w:rPr>
                <w:b/>
                <w:color w:val="000000"/>
              </w:rPr>
              <w:t>1-9</w:t>
            </w:r>
            <w:r>
              <w:rPr>
                <w:b/>
                <w:color w:val="000000"/>
              </w:rPr>
              <w:t>月</w:t>
            </w:r>
          </w:p>
        </w:tc>
        <w:tc>
          <w:tcPr>
            <w:tcW w:w="989" w:type="pct"/>
            <w:shd w:val="clear" w:color="auto" w:fill="D9D9D9"/>
            <w:tcMar>
              <w:top w:w="0" w:type="dxa"/>
              <w:left w:w="108" w:type="dxa"/>
              <w:bottom w:w="0" w:type="dxa"/>
              <w:right w:w="108" w:type="dxa"/>
            </w:tcMar>
            <w:vAlign w:val="center"/>
          </w:tcPr>
          <w:p w14:paraId="61D29B9C" w14:textId="77777777" w:rsidR="004B0883" w:rsidRDefault="004B0883">
            <w:pPr>
              <w:keepNext/>
              <w:widowControl w:val="0"/>
              <w:jc w:val="center"/>
              <w:rPr>
                <w:b/>
                <w:color w:val="000000"/>
              </w:rPr>
            </w:pPr>
            <w:r>
              <w:rPr>
                <w:b/>
                <w:color w:val="000000"/>
              </w:rPr>
              <w:t>2022</w:t>
            </w:r>
            <w:r>
              <w:rPr>
                <w:b/>
                <w:color w:val="000000"/>
              </w:rPr>
              <w:t>年度</w:t>
            </w:r>
          </w:p>
        </w:tc>
        <w:tc>
          <w:tcPr>
            <w:tcW w:w="989" w:type="pct"/>
            <w:shd w:val="clear" w:color="auto" w:fill="D9D9D9"/>
            <w:tcMar>
              <w:top w:w="0" w:type="dxa"/>
              <w:left w:w="108" w:type="dxa"/>
              <w:bottom w:w="0" w:type="dxa"/>
              <w:right w:w="108" w:type="dxa"/>
            </w:tcMar>
            <w:vAlign w:val="center"/>
          </w:tcPr>
          <w:p w14:paraId="67A8957F" w14:textId="77777777" w:rsidR="004B0883" w:rsidRDefault="004B0883">
            <w:pPr>
              <w:keepNext/>
              <w:widowControl w:val="0"/>
              <w:jc w:val="center"/>
              <w:rPr>
                <w:b/>
                <w:color w:val="000000"/>
              </w:rPr>
            </w:pPr>
            <w:r>
              <w:rPr>
                <w:b/>
                <w:color w:val="000000"/>
              </w:rPr>
              <w:t>2021</w:t>
            </w:r>
            <w:r>
              <w:rPr>
                <w:b/>
                <w:bCs/>
                <w:color w:val="000000"/>
              </w:rPr>
              <w:t>年度</w:t>
            </w:r>
          </w:p>
        </w:tc>
        <w:tc>
          <w:tcPr>
            <w:tcW w:w="988" w:type="pct"/>
            <w:shd w:val="clear" w:color="auto" w:fill="D9D9D9"/>
            <w:tcMar>
              <w:top w:w="0" w:type="dxa"/>
              <w:left w:w="108" w:type="dxa"/>
              <w:bottom w:w="0" w:type="dxa"/>
              <w:right w:w="108" w:type="dxa"/>
            </w:tcMar>
            <w:vAlign w:val="center"/>
          </w:tcPr>
          <w:p w14:paraId="497C2392" w14:textId="77777777" w:rsidR="004B0883" w:rsidRDefault="004B0883">
            <w:pPr>
              <w:keepNext/>
              <w:widowControl w:val="0"/>
              <w:jc w:val="center"/>
              <w:rPr>
                <w:b/>
                <w:color w:val="000000"/>
              </w:rPr>
            </w:pPr>
            <w:r>
              <w:rPr>
                <w:b/>
                <w:color w:val="000000"/>
              </w:rPr>
              <w:t>2020</w:t>
            </w:r>
            <w:r>
              <w:rPr>
                <w:b/>
                <w:bCs/>
                <w:color w:val="000000"/>
              </w:rPr>
              <w:t>年度</w:t>
            </w:r>
          </w:p>
        </w:tc>
      </w:tr>
      <w:tr w:rsidR="004B0883" w14:paraId="15373B66" w14:textId="77777777">
        <w:trPr>
          <w:trHeight w:val="397"/>
          <w:jc w:val="center"/>
        </w:trPr>
        <w:tc>
          <w:tcPr>
            <w:tcW w:w="1046" w:type="pct"/>
            <w:tcMar>
              <w:top w:w="0" w:type="dxa"/>
              <w:left w:w="108" w:type="dxa"/>
              <w:bottom w:w="0" w:type="dxa"/>
              <w:right w:w="108" w:type="dxa"/>
            </w:tcMar>
            <w:vAlign w:val="center"/>
          </w:tcPr>
          <w:p w14:paraId="1291639B" w14:textId="77777777" w:rsidR="004B0883" w:rsidRDefault="004B0883">
            <w:pPr>
              <w:rPr>
                <w:color w:val="000000"/>
              </w:rPr>
            </w:pPr>
            <w:r>
              <w:rPr>
                <w:color w:val="000000"/>
              </w:rPr>
              <w:t>工资及附加</w:t>
            </w:r>
          </w:p>
        </w:tc>
        <w:tc>
          <w:tcPr>
            <w:tcW w:w="988" w:type="pct"/>
            <w:tcMar>
              <w:top w:w="0" w:type="dxa"/>
              <w:left w:w="108" w:type="dxa"/>
              <w:bottom w:w="0" w:type="dxa"/>
              <w:right w:w="108" w:type="dxa"/>
            </w:tcMar>
            <w:vAlign w:val="center"/>
          </w:tcPr>
          <w:p w14:paraId="6EA6E2AF" w14:textId="77777777" w:rsidR="004B0883" w:rsidRDefault="004B0883">
            <w:pPr>
              <w:jc w:val="right"/>
              <w:rPr>
                <w:color w:val="000000"/>
                <w:kern w:val="0"/>
              </w:rPr>
            </w:pPr>
            <w:r>
              <w:rPr>
                <w:rFonts w:eastAsia="等线"/>
                <w:color w:val="000000"/>
              </w:rPr>
              <w:t>846.03</w:t>
            </w:r>
          </w:p>
        </w:tc>
        <w:tc>
          <w:tcPr>
            <w:tcW w:w="989" w:type="pct"/>
            <w:tcMar>
              <w:top w:w="0" w:type="dxa"/>
              <w:left w:w="108" w:type="dxa"/>
              <w:bottom w:w="0" w:type="dxa"/>
              <w:right w:w="108" w:type="dxa"/>
            </w:tcMar>
            <w:vAlign w:val="center"/>
          </w:tcPr>
          <w:p w14:paraId="13534851" w14:textId="77777777" w:rsidR="004B0883" w:rsidRDefault="004B0883">
            <w:pPr>
              <w:jc w:val="right"/>
              <w:rPr>
                <w:color w:val="000000"/>
              </w:rPr>
            </w:pPr>
            <w:r>
              <w:rPr>
                <w:color w:val="000000"/>
              </w:rPr>
              <w:t>1,490.05</w:t>
            </w:r>
          </w:p>
        </w:tc>
        <w:tc>
          <w:tcPr>
            <w:tcW w:w="989" w:type="pct"/>
            <w:tcMar>
              <w:top w:w="0" w:type="dxa"/>
              <w:left w:w="108" w:type="dxa"/>
              <w:bottom w:w="0" w:type="dxa"/>
              <w:right w:w="108" w:type="dxa"/>
            </w:tcMar>
            <w:vAlign w:val="center"/>
          </w:tcPr>
          <w:p w14:paraId="7D09FEE6" w14:textId="77777777" w:rsidR="004B0883" w:rsidRDefault="004B0883">
            <w:pPr>
              <w:jc w:val="right"/>
              <w:rPr>
                <w:color w:val="000000"/>
              </w:rPr>
            </w:pPr>
            <w:r>
              <w:rPr>
                <w:color w:val="000000"/>
              </w:rPr>
              <w:t>1,090.51</w:t>
            </w:r>
          </w:p>
        </w:tc>
        <w:tc>
          <w:tcPr>
            <w:tcW w:w="988" w:type="pct"/>
            <w:tcMar>
              <w:top w:w="0" w:type="dxa"/>
              <w:left w:w="108" w:type="dxa"/>
              <w:bottom w:w="0" w:type="dxa"/>
              <w:right w:w="108" w:type="dxa"/>
            </w:tcMar>
            <w:vAlign w:val="center"/>
          </w:tcPr>
          <w:p w14:paraId="0384B598" w14:textId="77777777" w:rsidR="004B0883" w:rsidRDefault="004B0883">
            <w:pPr>
              <w:jc w:val="right"/>
              <w:rPr>
                <w:color w:val="000000"/>
              </w:rPr>
            </w:pPr>
            <w:r>
              <w:rPr>
                <w:color w:val="000000"/>
              </w:rPr>
              <w:t>1,134.27</w:t>
            </w:r>
          </w:p>
        </w:tc>
      </w:tr>
      <w:tr w:rsidR="004B0883" w14:paraId="4C507872" w14:textId="77777777">
        <w:trPr>
          <w:trHeight w:val="397"/>
          <w:jc w:val="center"/>
        </w:trPr>
        <w:tc>
          <w:tcPr>
            <w:tcW w:w="1046" w:type="pct"/>
            <w:tcMar>
              <w:top w:w="0" w:type="dxa"/>
              <w:left w:w="108" w:type="dxa"/>
              <w:bottom w:w="0" w:type="dxa"/>
              <w:right w:w="108" w:type="dxa"/>
            </w:tcMar>
            <w:vAlign w:val="center"/>
          </w:tcPr>
          <w:p w14:paraId="02EE6DDB" w14:textId="77777777" w:rsidR="004B0883" w:rsidRDefault="004B0883">
            <w:pPr>
              <w:rPr>
                <w:color w:val="000000"/>
              </w:rPr>
            </w:pPr>
            <w:r>
              <w:rPr>
                <w:color w:val="000000"/>
              </w:rPr>
              <w:t>折旧费</w:t>
            </w:r>
          </w:p>
        </w:tc>
        <w:tc>
          <w:tcPr>
            <w:tcW w:w="988" w:type="pct"/>
            <w:tcMar>
              <w:top w:w="0" w:type="dxa"/>
              <w:left w:w="108" w:type="dxa"/>
              <w:bottom w:w="0" w:type="dxa"/>
              <w:right w:w="108" w:type="dxa"/>
            </w:tcMar>
            <w:vAlign w:val="center"/>
          </w:tcPr>
          <w:p w14:paraId="0FF92E12" w14:textId="77777777" w:rsidR="004B0883" w:rsidRDefault="004B0883">
            <w:pPr>
              <w:jc w:val="right"/>
              <w:rPr>
                <w:color w:val="000000"/>
              </w:rPr>
            </w:pPr>
            <w:r>
              <w:rPr>
                <w:rFonts w:eastAsia="等线"/>
                <w:color w:val="000000"/>
              </w:rPr>
              <w:t>77.67</w:t>
            </w:r>
          </w:p>
        </w:tc>
        <w:tc>
          <w:tcPr>
            <w:tcW w:w="989" w:type="pct"/>
            <w:tcMar>
              <w:top w:w="0" w:type="dxa"/>
              <w:left w:w="108" w:type="dxa"/>
              <w:bottom w:w="0" w:type="dxa"/>
              <w:right w:w="108" w:type="dxa"/>
            </w:tcMar>
            <w:vAlign w:val="center"/>
          </w:tcPr>
          <w:p w14:paraId="65693544" w14:textId="77777777" w:rsidR="004B0883" w:rsidRDefault="004B0883">
            <w:pPr>
              <w:jc w:val="right"/>
              <w:rPr>
                <w:color w:val="000000"/>
              </w:rPr>
            </w:pPr>
            <w:r>
              <w:rPr>
                <w:color w:val="000000"/>
              </w:rPr>
              <w:t>150.78</w:t>
            </w:r>
          </w:p>
        </w:tc>
        <w:tc>
          <w:tcPr>
            <w:tcW w:w="989" w:type="pct"/>
            <w:tcMar>
              <w:top w:w="0" w:type="dxa"/>
              <w:left w:w="108" w:type="dxa"/>
              <w:bottom w:w="0" w:type="dxa"/>
              <w:right w:w="108" w:type="dxa"/>
            </w:tcMar>
            <w:vAlign w:val="center"/>
          </w:tcPr>
          <w:p w14:paraId="102D628C" w14:textId="77777777" w:rsidR="004B0883" w:rsidRDefault="004B0883">
            <w:pPr>
              <w:jc w:val="right"/>
              <w:rPr>
                <w:color w:val="000000"/>
              </w:rPr>
            </w:pPr>
            <w:r>
              <w:rPr>
                <w:color w:val="000000"/>
              </w:rPr>
              <w:t>126.31</w:t>
            </w:r>
          </w:p>
        </w:tc>
        <w:tc>
          <w:tcPr>
            <w:tcW w:w="988" w:type="pct"/>
            <w:tcMar>
              <w:top w:w="0" w:type="dxa"/>
              <w:left w:w="108" w:type="dxa"/>
              <w:bottom w:w="0" w:type="dxa"/>
              <w:right w:w="108" w:type="dxa"/>
            </w:tcMar>
            <w:vAlign w:val="center"/>
          </w:tcPr>
          <w:p w14:paraId="382A5D77" w14:textId="77777777" w:rsidR="004B0883" w:rsidRDefault="004B0883">
            <w:pPr>
              <w:jc w:val="right"/>
              <w:rPr>
                <w:color w:val="000000"/>
              </w:rPr>
            </w:pPr>
            <w:r>
              <w:rPr>
                <w:color w:val="000000"/>
              </w:rPr>
              <w:t>130.88</w:t>
            </w:r>
          </w:p>
        </w:tc>
      </w:tr>
      <w:tr w:rsidR="004B0883" w14:paraId="21FF22C7" w14:textId="77777777">
        <w:trPr>
          <w:trHeight w:val="397"/>
          <w:jc w:val="center"/>
        </w:trPr>
        <w:tc>
          <w:tcPr>
            <w:tcW w:w="1046" w:type="pct"/>
            <w:tcMar>
              <w:top w:w="0" w:type="dxa"/>
              <w:left w:w="108" w:type="dxa"/>
              <w:bottom w:w="0" w:type="dxa"/>
              <w:right w:w="108" w:type="dxa"/>
            </w:tcMar>
            <w:vAlign w:val="center"/>
          </w:tcPr>
          <w:p w14:paraId="46297B90" w14:textId="77777777" w:rsidR="004B0883" w:rsidRDefault="004B0883">
            <w:pPr>
              <w:rPr>
                <w:color w:val="000000"/>
              </w:rPr>
            </w:pPr>
            <w:r>
              <w:rPr>
                <w:color w:val="000000"/>
              </w:rPr>
              <w:t>材料费用</w:t>
            </w:r>
          </w:p>
        </w:tc>
        <w:tc>
          <w:tcPr>
            <w:tcW w:w="988" w:type="pct"/>
            <w:tcMar>
              <w:top w:w="0" w:type="dxa"/>
              <w:left w:w="108" w:type="dxa"/>
              <w:bottom w:w="0" w:type="dxa"/>
              <w:right w:w="108" w:type="dxa"/>
            </w:tcMar>
            <w:vAlign w:val="center"/>
          </w:tcPr>
          <w:p w14:paraId="40762E76" w14:textId="77777777" w:rsidR="004B0883" w:rsidRDefault="004B0883">
            <w:pPr>
              <w:jc w:val="right"/>
              <w:rPr>
                <w:color w:val="000000"/>
              </w:rPr>
            </w:pPr>
            <w:r>
              <w:rPr>
                <w:rFonts w:eastAsia="等线"/>
                <w:color w:val="000000"/>
              </w:rPr>
              <w:t>699.46</w:t>
            </w:r>
          </w:p>
        </w:tc>
        <w:tc>
          <w:tcPr>
            <w:tcW w:w="989" w:type="pct"/>
            <w:tcMar>
              <w:top w:w="0" w:type="dxa"/>
              <w:left w:w="108" w:type="dxa"/>
              <w:bottom w:w="0" w:type="dxa"/>
              <w:right w:w="108" w:type="dxa"/>
            </w:tcMar>
            <w:vAlign w:val="center"/>
          </w:tcPr>
          <w:p w14:paraId="10E134F8" w14:textId="77777777" w:rsidR="004B0883" w:rsidRDefault="004B0883">
            <w:pPr>
              <w:jc w:val="right"/>
              <w:rPr>
                <w:color w:val="000000"/>
              </w:rPr>
            </w:pPr>
            <w:r>
              <w:rPr>
                <w:color w:val="000000"/>
              </w:rPr>
              <w:t>988.36</w:t>
            </w:r>
          </w:p>
        </w:tc>
        <w:tc>
          <w:tcPr>
            <w:tcW w:w="989" w:type="pct"/>
            <w:tcMar>
              <w:top w:w="0" w:type="dxa"/>
              <w:left w:w="108" w:type="dxa"/>
              <w:bottom w:w="0" w:type="dxa"/>
              <w:right w:w="108" w:type="dxa"/>
            </w:tcMar>
            <w:vAlign w:val="center"/>
          </w:tcPr>
          <w:p w14:paraId="2AB9C83D" w14:textId="77777777" w:rsidR="004B0883" w:rsidRDefault="004B0883">
            <w:pPr>
              <w:jc w:val="right"/>
              <w:rPr>
                <w:color w:val="000000"/>
              </w:rPr>
            </w:pPr>
            <w:r>
              <w:rPr>
                <w:color w:val="000000"/>
              </w:rPr>
              <w:t>1,196.87</w:t>
            </w:r>
          </w:p>
        </w:tc>
        <w:tc>
          <w:tcPr>
            <w:tcW w:w="988" w:type="pct"/>
            <w:tcMar>
              <w:top w:w="0" w:type="dxa"/>
              <w:left w:w="108" w:type="dxa"/>
              <w:bottom w:w="0" w:type="dxa"/>
              <w:right w:w="108" w:type="dxa"/>
            </w:tcMar>
            <w:vAlign w:val="center"/>
          </w:tcPr>
          <w:p w14:paraId="3443A434" w14:textId="77777777" w:rsidR="004B0883" w:rsidRDefault="004B0883">
            <w:pPr>
              <w:jc w:val="right"/>
              <w:rPr>
                <w:color w:val="000000"/>
              </w:rPr>
            </w:pPr>
            <w:r>
              <w:rPr>
                <w:color w:val="000000"/>
              </w:rPr>
              <w:t>791.43</w:t>
            </w:r>
          </w:p>
        </w:tc>
      </w:tr>
      <w:tr w:rsidR="004B0883" w14:paraId="7A3E9553" w14:textId="77777777">
        <w:trPr>
          <w:trHeight w:val="397"/>
          <w:jc w:val="center"/>
        </w:trPr>
        <w:tc>
          <w:tcPr>
            <w:tcW w:w="1046" w:type="pct"/>
            <w:tcMar>
              <w:top w:w="0" w:type="dxa"/>
              <w:left w:w="108" w:type="dxa"/>
              <w:bottom w:w="0" w:type="dxa"/>
              <w:right w:w="108" w:type="dxa"/>
            </w:tcMar>
            <w:vAlign w:val="center"/>
          </w:tcPr>
          <w:p w14:paraId="53E5F57F" w14:textId="77777777" w:rsidR="004B0883" w:rsidRDefault="004B0883">
            <w:pPr>
              <w:rPr>
                <w:color w:val="000000"/>
              </w:rPr>
            </w:pPr>
            <w:r>
              <w:rPr>
                <w:color w:val="000000"/>
              </w:rPr>
              <w:t>其他费用</w:t>
            </w:r>
          </w:p>
        </w:tc>
        <w:tc>
          <w:tcPr>
            <w:tcW w:w="988" w:type="pct"/>
            <w:tcMar>
              <w:top w:w="0" w:type="dxa"/>
              <w:left w:w="108" w:type="dxa"/>
              <w:bottom w:w="0" w:type="dxa"/>
              <w:right w:w="108" w:type="dxa"/>
            </w:tcMar>
            <w:vAlign w:val="center"/>
          </w:tcPr>
          <w:p w14:paraId="3807F4BC" w14:textId="77777777" w:rsidR="004B0883" w:rsidRDefault="004B0883">
            <w:pPr>
              <w:jc w:val="right"/>
              <w:rPr>
                <w:color w:val="000000"/>
              </w:rPr>
            </w:pPr>
            <w:r>
              <w:rPr>
                <w:rFonts w:eastAsia="等线"/>
                <w:color w:val="000000"/>
              </w:rPr>
              <w:t>3.65</w:t>
            </w:r>
          </w:p>
        </w:tc>
        <w:tc>
          <w:tcPr>
            <w:tcW w:w="989" w:type="pct"/>
            <w:tcMar>
              <w:top w:w="0" w:type="dxa"/>
              <w:left w:w="108" w:type="dxa"/>
              <w:bottom w:w="0" w:type="dxa"/>
              <w:right w:w="108" w:type="dxa"/>
            </w:tcMar>
            <w:vAlign w:val="center"/>
          </w:tcPr>
          <w:p w14:paraId="2444A3D8" w14:textId="77777777" w:rsidR="004B0883" w:rsidRDefault="004B0883">
            <w:pPr>
              <w:jc w:val="right"/>
              <w:rPr>
                <w:color w:val="000000"/>
              </w:rPr>
            </w:pPr>
            <w:r>
              <w:rPr>
                <w:color w:val="000000"/>
              </w:rPr>
              <w:t>21.28</w:t>
            </w:r>
          </w:p>
        </w:tc>
        <w:tc>
          <w:tcPr>
            <w:tcW w:w="989" w:type="pct"/>
            <w:tcMar>
              <w:top w:w="0" w:type="dxa"/>
              <w:left w:w="108" w:type="dxa"/>
              <w:bottom w:w="0" w:type="dxa"/>
              <w:right w:w="108" w:type="dxa"/>
            </w:tcMar>
            <w:vAlign w:val="center"/>
          </w:tcPr>
          <w:p w14:paraId="784E5D3F" w14:textId="77777777" w:rsidR="004B0883" w:rsidRDefault="004B0883">
            <w:pPr>
              <w:jc w:val="right"/>
              <w:rPr>
                <w:color w:val="000000"/>
              </w:rPr>
            </w:pPr>
            <w:r>
              <w:rPr>
                <w:color w:val="000000"/>
              </w:rPr>
              <w:t>5.91</w:t>
            </w:r>
          </w:p>
        </w:tc>
        <w:tc>
          <w:tcPr>
            <w:tcW w:w="988" w:type="pct"/>
            <w:tcMar>
              <w:top w:w="0" w:type="dxa"/>
              <w:left w:w="108" w:type="dxa"/>
              <w:bottom w:w="0" w:type="dxa"/>
              <w:right w:w="108" w:type="dxa"/>
            </w:tcMar>
            <w:vAlign w:val="center"/>
          </w:tcPr>
          <w:p w14:paraId="715C3A89" w14:textId="77777777" w:rsidR="004B0883" w:rsidRDefault="004B0883">
            <w:pPr>
              <w:jc w:val="right"/>
              <w:rPr>
                <w:color w:val="000000"/>
              </w:rPr>
            </w:pPr>
            <w:r>
              <w:rPr>
                <w:color w:val="000000"/>
              </w:rPr>
              <w:t>67.21</w:t>
            </w:r>
          </w:p>
        </w:tc>
      </w:tr>
      <w:tr w:rsidR="004B0883" w14:paraId="6367F242" w14:textId="77777777">
        <w:trPr>
          <w:trHeight w:val="397"/>
          <w:jc w:val="center"/>
        </w:trPr>
        <w:tc>
          <w:tcPr>
            <w:tcW w:w="1046" w:type="pct"/>
            <w:tcMar>
              <w:top w:w="0" w:type="dxa"/>
              <w:left w:w="108" w:type="dxa"/>
              <w:bottom w:w="0" w:type="dxa"/>
              <w:right w:w="108" w:type="dxa"/>
            </w:tcMar>
            <w:vAlign w:val="center"/>
          </w:tcPr>
          <w:p w14:paraId="4DF37F39" w14:textId="77777777" w:rsidR="004B0883" w:rsidRDefault="004B0883">
            <w:pPr>
              <w:jc w:val="center"/>
              <w:rPr>
                <w:b/>
                <w:color w:val="000000"/>
              </w:rPr>
            </w:pPr>
            <w:r>
              <w:rPr>
                <w:b/>
                <w:color w:val="000000"/>
              </w:rPr>
              <w:t>合计</w:t>
            </w:r>
          </w:p>
        </w:tc>
        <w:tc>
          <w:tcPr>
            <w:tcW w:w="988" w:type="pct"/>
            <w:tcMar>
              <w:top w:w="0" w:type="dxa"/>
              <w:left w:w="108" w:type="dxa"/>
              <w:bottom w:w="0" w:type="dxa"/>
              <w:right w:w="108" w:type="dxa"/>
            </w:tcMar>
            <w:vAlign w:val="center"/>
          </w:tcPr>
          <w:p w14:paraId="1164811B" w14:textId="77777777" w:rsidR="004B0883" w:rsidRDefault="004B0883">
            <w:pPr>
              <w:jc w:val="right"/>
              <w:rPr>
                <w:b/>
                <w:color w:val="000000"/>
              </w:rPr>
            </w:pPr>
            <w:r>
              <w:rPr>
                <w:rFonts w:eastAsia="等线"/>
                <w:b/>
                <w:color w:val="000000"/>
              </w:rPr>
              <w:t>1,626.82</w:t>
            </w:r>
          </w:p>
        </w:tc>
        <w:tc>
          <w:tcPr>
            <w:tcW w:w="989" w:type="pct"/>
            <w:tcMar>
              <w:top w:w="0" w:type="dxa"/>
              <w:left w:w="108" w:type="dxa"/>
              <w:bottom w:w="0" w:type="dxa"/>
              <w:right w:w="108" w:type="dxa"/>
            </w:tcMar>
            <w:vAlign w:val="center"/>
          </w:tcPr>
          <w:p w14:paraId="57B9A2A7" w14:textId="77777777" w:rsidR="004B0883" w:rsidRDefault="004B0883">
            <w:pPr>
              <w:jc w:val="right"/>
              <w:rPr>
                <w:b/>
                <w:color w:val="000000"/>
              </w:rPr>
            </w:pPr>
            <w:r>
              <w:rPr>
                <w:b/>
                <w:color w:val="000000"/>
              </w:rPr>
              <w:t>2,650.47</w:t>
            </w:r>
          </w:p>
        </w:tc>
        <w:tc>
          <w:tcPr>
            <w:tcW w:w="989" w:type="pct"/>
            <w:tcMar>
              <w:top w:w="0" w:type="dxa"/>
              <w:left w:w="108" w:type="dxa"/>
              <w:bottom w:w="0" w:type="dxa"/>
              <w:right w:w="108" w:type="dxa"/>
            </w:tcMar>
            <w:vAlign w:val="center"/>
          </w:tcPr>
          <w:p w14:paraId="07A1C334" w14:textId="77777777" w:rsidR="004B0883" w:rsidRDefault="004B0883">
            <w:pPr>
              <w:jc w:val="right"/>
              <w:rPr>
                <w:b/>
                <w:color w:val="000000"/>
              </w:rPr>
            </w:pPr>
            <w:r>
              <w:rPr>
                <w:b/>
                <w:color w:val="000000"/>
              </w:rPr>
              <w:t>2,419.61</w:t>
            </w:r>
          </w:p>
        </w:tc>
        <w:tc>
          <w:tcPr>
            <w:tcW w:w="988" w:type="pct"/>
            <w:tcMar>
              <w:top w:w="0" w:type="dxa"/>
              <w:left w:w="108" w:type="dxa"/>
              <w:bottom w:w="0" w:type="dxa"/>
              <w:right w:w="108" w:type="dxa"/>
            </w:tcMar>
            <w:vAlign w:val="center"/>
          </w:tcPr>
          <w:p w14:paraId="63CA4FE5" w14:textId="77777777" w:rsidR="004B0883" w:rsidRDefault="004B0883">
            <w:pPr>
              <w:jc w:val="right"/>
              <w:rPr>
                <w:b/>
                <w:color w:val="000000"/>
              </w:rPr>
            </w:pPr>
            <w:r>
              <w:rPr>
                <w:b/>
                <w:color w:val="000000"/>
              </w:rPr>
              <w:t>2,123.79</w:t>
            </w:r>
          </w:p>
        </w:tc>
      </w:tr>
    </w:tbl>
    <w:bookmarkEnd w:id="359"/>
    <w:p w14:paraId="25C5C7A9" w14:textId="77777777" w:rsidR="004B0883" w:rsidRDefault="004B0883">
      <w:pPr>
        <w:pStyle w:val="005"/>
        <w:spacing w:before="120"/>
        <w:ind w:firstLine="480"/>
      </w:pPr>
      <w:r>
        <w:t>报告期各期，公司研发费用分别为</w:t>
      </w:r>
      <w:r>
        <w:t>2,123.79</w:t>
      </w:r>
      <w:r>
        <w:t>万元、</w:t>
      </w:r>
      <w:r>
        <w:t>2,419.61</w:t>
      </w:r>
      <w:r>
        <w:t>万元、</w:t>
      </w:r>
      <w:r>
        <w:t>2,650.47</w:t>
      </w:r>
      <w:r>
        <w:t>万元和</w:t>
      </w:r>
      <w:r>
        <w:t>1,626.82</w:t>
      </w:r>
      <w:r>
        <w:t>万元，主要由工资及附加、材料费用构成。</w:t>
      </w:r>
    </w:p>
    <w:p w14:paraId="2F8977A3" w14:textId="77777777" w:rsidR="004B0883" w:rsidRDefault="004B0883">
      <w:pPr>
        <w:pStyle w:val="004"/>
        <w:spacing w:before="120" w:after="120"/>
        <w:ind w:firstLine="482"/>
      </w:pPr>
      <w:r>
        <w:t>4</w:t>
      </w:r>
      <w:r>
        <w:t>、财务费用</w:t>
      </w:r>
    </w:p>
    <w:p w14:paraId="47BF6881" w14:textId="77777777" w:rsidR="004B0883" w:rsidRDefault="004B0883">
      <w:pPr>
        <w:pStyle w:val="005"/>
        <w:spacing w:before="120"/>
        <w:ind w:firstLine="480"/>
      </w:pPr>
      <w:bookmarkStart w:id="360" w:name="_Hlk110718156"/>
      <w:r>
        <w:t>报告期内，公司财务费用具体情况如下：</w:t>
      </w:r>
    </w:p>
    <w:p w14:paraId="1518F0DC" w14:textId="77777777" w:rsidR="004B0883" w:rsidRDefault="004B0883">
      <w:pPr>
        <w:pStyle w:val="009"/>
      </w:pPr>
      <w: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951"/>
        <w:gridCol w:w="1956"/>
        <w:gridCol w:w="1457"/>
        <w:gridCol w:w="1457"/>
        <w:gridCol w:w="1459"/>
      </w:tblGrid>
      <w:tr w:rsidR="004B0883" w14:paraId="2233240E" w14:textId="77777777">
        <w:trPr>
          <w:trHeight w:val="397"/>
          <w:tblHeader/>
          <w:jc w:val="center"/>
        </w:trPr>
        <w:tc>
          <w:tcPr>
            <w:tcW w:w="1178" w:type="pct"/>
            <w:shd w:val="clear" w:color="auto" w:fill="D9D9D9"/>
            <w:tcMar>
              <w:top w:w="0" w:type="dxa"/>
              <w:left w:w="108" w:type="dxa"/>
              <w:bottom w:w="0" w:type="dxa"/>
              <w:right w:w="108" w:type="dxa"/>
            </w:tcMar>
            <w:vAlign w:val="center"/>
          </w:tcPr>
          <w:bookmarkEnd w:id="360"/>
          <w:p w14:paraId="78DCF326" w14:textId="77777777" w:rsidR="004B0883" w:rsidRDefault="004B0883">
            <w:pPr>
              <w:jc w:val="center"/>
              <w:rPr>
                <w:b/>
                <w:color w:val="000000"/>
              </w:rPr>
            </w:pPr>
            <w:r>
              <w:rPr>
                <w:b/>
                <w:color w:val="000000"/>
              </w:rPr>
              <w:t>项目</w:t>
            </w:r>
          </w:p>
        </w:tc>
        <w:tc>
          <w:tcPr>
            <w:tcW w:w="1181" w:type="pct"/>
            <w:shd w:val="clear" w:color="auto" w:fill="D9D9D9"/>
            <w:tcMar>
              <w:top w:w="0" w:type="dxa"/>
              <w:left w:w="108" w:type="dxa"/>
              <w:bottom w:w="0" w:type="dxa"/>
              <w:right w:w="108" w:type="dxa"/>
            </w:tcMar>
            <w:vAlign w:val="center"/>
          </w:tcPr>
          <w:p w14:paraId="4F68E0BB" w14:textId="77777777" w:rsidR="004B0883" w:rsidRDefault="004B0883">
            <w:pPr>
              <w:jc w:val="center"/>
              <w:rPr>
                <w:b/>
                <w:color w:val="000000"/>
              </w:rPr>
            </w:pPr>
            <w:r>
              <w:rPr>
                <w:b/>
                <w:color w:val="000000"/>
              </w:rPr>
              <w:t>2023</w:t>
            </w:r>
            <w:r>
              <w:rPr>
                <w:b/>
                <w:color w:val="000000"/>
              </w:rPr>
              <w:t>年</w:t>
            </w:r>
            <w:r>
              <w:rPr>
                <w:b/>
                <w:color w:val="000000"/>
              </w:rPr>
              <w:t>1-9</w:t>
            </w:r>
            <w:r>
              <w:rPr>
                <w:b/>
                <w:color w:val="000000"/>
              </w:rPr>
              <w:t>月</w:t>
            </w:r>
          </w:p>
        </w:tc>
        <w:tc>
          <w:tcPr>
            <w:tcW w:w="880" w:type="pct"/>
            <w:shd w:val="clear" w:color="auto" w:fill="D9D9D9"/>
            <w:tcMar>
              <w:top w:w="0" w:type="dxa"/>
              <w:left w:w="108" w:type="dxa"/>
              <w:bottom w:w="0" w:type="dxa"/>
              <w:right w:w="108" w:type="dxa"/>
            </w:tcMar>
            <w:vAlign w:val="center"/>
          </w:tcPr>
          <w:p w14:paraId="05823D61" w14:textId="77777777" w:rsidR="004B0883" w:rsidRDefault="004B0883">
            <w:pPr>
              <w:jc w:val="center"/>
              <w:rPr>
                <w:b/>
                <w:color w:val="000000"/>
              </w:rPr>
            </w:pPr>
            <w:r>
              <w:rPr>
                <w:b/>
                <w:color w:val="000000"/>
              </w:rPr>
              <w:t>2022</w:t>
            </w:r>
            <w:r>
              <w:rPr>
                <w:b/>
                <w:color w:val="000000"/>
              </w:rPr>
              <w:t>年度</w:t>
            </w:r>
          </w:p>
        </w:tc>
        <w:tc>
          <w:tcPr>
            <w:tcW w:w="880" w:type="pct"/>
            <w:shd w:val="clear" w:color="auto" w:fill="D9D9D9"/>
            <w:tcMar>
              <w:top w:w="0" w:type="dxa"/>
              <w:left w:w="108" w:type="dxa"/>
              <w:bottom w:w="0" w:type="dxa"/>
              <w:right w:w="108" w:type="dxa"/>
            </w:tcMar>
            <w:vAlign w:val="center"/>
          </w:tcPr>
          <w:p w14:paraId="707964BD" w14:textId="77777777" w:rsidR="004B0883" w:rsidRDefault="004B0883">
            <w:pPr>
              <w:jc w:val="center"/>
              <w:rPr>
                <w:b/>
                <w:color w:val="000000"/>
              </w:rPr>
            </w:pPr>
            <w:r>
              <w:rPr>
                <w:b/>
                <w:color w:val="000000"/>
              </w:rPr>
              <w:t>2021</w:t>
            </w:r>
            <w:r>
              <w:rPr>
                <w:b/>
                <w:color w:val="000000"/>
              </w:rPr>
              <w:t>年度</w:t>
            </w:r>
          </w:p>
        </w:tc>
        <w:tc>
          <w:tcPr>
            <w:tcW w:w="881" w:type="pct"/>
            <w:shd w:val="clear" w:color="auto" w:fill="D9D9D9"/>
            <w:tcMar>
              <w:top w:w="0" w:type="dxa"/>
              <w:left w:w="108" w:type="dxa"/>
              <w:bottom w:w="0" w:type="dxa"/>
              <w:right w:w="108" w:type="dxa"/>
            </w:tcMar>
            <w:vAlign w:val="center"/>
          </w:tcPr>
          <w:p w14:paraId="7C1A90D5" w14:textId="77777777" w:rsidR="004B0883" w:rsidRDefault="004B0883">
            <w:pPr>
              <w:jc w:val="center"/>
              <w:rPr>
                <w:b/>
                <w:color w:val="000000"/>
              </w:rPr>
            </w:pPr>
            <w:r>
              <w:rPr>
                <w:b/>
                <w:color w:val="000000"/>
              </w:rPr>
              <w:t>2020</w:t>
            </w:r>
            <w:r>
              <w:rPr>
                <w:b/>
                <w:color w:val="000000"/>
              </w:rPr>
              <w:t>年度</w:t>
            </w:r>
          </w:p>
        </w:tc>
      </w:tr>
      <w:tr w:rsidR="004B0883" w14:paraId="24989335" w14:textId="77777777">
        <w:trPr>
          <w:trHeight w:val="397"/>
          <w:jc w:val="center"/>
        </w:trPr>
        <w:tc>
          <w:tcPr>
            <w:tcW w:w="1178" w:type="pct"/>
            <w:tcMar>
              <w:top w:w="0" w:type="dxa"/>
              <w:left w:w="108" w:type="dxa"/>
              <w:bottom w:w="0" w:type="dxa"/>
              <w:right w:w="108" w:type="dxa"/>
            </w:tcMar>
            <w:vAlign w:val="center"/>
          </w:tcPr>
          <w:p w14:paraId="1EFAFD7D" w14:textId="77777777" w:rsidR="004B0883" w:rsidRDefault="004B0883">
            <w:pPr>
              <w:rPr>
                <w:color w:val="000000"/>
              </w:rPr>
            </w:pPr>
            <w:r>
              <w:rPr>
                <w:color w:val="000000"/>
              </w:rPr>
              <w:t>利息支出</w:t>
            </w:r>
          </w:p>
        </w:tc>
        <w:tc>
          <w:tcPr>
            <w:tcW w:w="1181" w:type="pct"/>
            <w:tcMar>
              <w:top w:w="0" w:type="dxa"/>
              <w:left w:w="108" w:type="dxa"/>
              <w:bottom w:w="0" w:type="dxa"/>
              <w:right w:w="108" w:type="dxa"/>
            </w:tcMar>
            <w:vAlign w:val="center"/>
          </w:tcPr>
          <w:p w14:paraId="1DDB5411" w14:textId="77777777" w:rsidR="004B0883" w:rsidRDefault="004B0883">
            <w:pPr>
              <w:jc w:val="right"/>
              <w:rPr>
                <w:rFonts w:eastAsia="等线"/>
                <w:color w:val="000000"/>
                <w:kern w:val="0"/>
              </w:rPr>
            </w:pPr>
            <w:r>
              <w:rPr>
                <w:rFonts w:eastAsia="等线"/>
                <w:color w:val="000000"/>
              </w:rPr>
              <w:t>14.67</w:t>
            </w:r>
          </w:p>
        </w:tc>
        <w:tc>
          <w:tcPr>
            <w:tcW w:w="880" w:type="pct"/>
            <w:tcMar>
              <w:top w:w="0" w:type="dxa"/>
              <w:left w:w="108" w:type="dxa"/>
              <w:bottom w:w="0" w:type="dxa"/>
              <w:right w:w="108" w:type="dxa"/>
            </w:tcMar>
            <w:vAlign w:val="center"/>
          </w:tcPr>
          <w:p w14:paraId="0234D7BD" w14:textId="77777777" w:rsidR="004B0883" w:rsidRDefault="004B0883">
            <w:pPr>
              <w:jc w:val="right"/>
              <w:rPr>
                <w:color w:val="000000"/>
              </w:rPr>
            </w:pPr>
            <w:r>
              <w:rPr>
                <w:color w:val="000000"/>
              </w:rPr>
              <w:t>119.82</w:t>
            </w:r>
          </w:p>
        </w:tc>
        <w:tc>
          <w:tcPr>
            <w:tcW w:w="880" w:type="pct"/>
            <w:tcMar>
              <w:top w:w="0" w:type="dxa"/>
              <w:left w:w="108" w:type="dxa"/>
              <w:bottom w:w="0" w:type="dxa"/>
              <w:right w:w="108" w:type="dxa"/>
            </w:tcMar>
            <w:vAlign w:val="center"/>
          </w:tcPr>
          <w:p w14:paraId="40450CAE" w14:textId="77777777" w:rsidR="004B0883" w:rsidRDefault="004B0883">
            <w:pPr>
              <w:jc w:val="right"/>
              <w:rPr>
                <w:color w:val="000000"/>
              </w:rPr>
            </w:pPr>
            <w:r>
              <w:rPr>
                <w:color w:val="000000"/>
              </w:rPr>
              <w:t>102.11</w:t>
            </w:r>
          </w:p>
        </w:tc>
        <w:tc>
          <w:tcPr>
            <w:tcW w:w="881" w:type="pct"/>
            <w:tcMar>
              <w:top w:w="0" w:type="dxa"/>
              <w:left w:w="108" w:type="dxa"/>
              <w:bottom w:w="0" w:type="dxa"/>
              <w:right w:w="108" w:type="dxa"/>
            </w:tcMar>
            <w:vAlign w:val="center"/>
          </w:tcPr>
          <w:p w14:paraId="340450B2" w14:textId="77777777" w:rsidR="004B0883" w:rsidRDefault="004B0883">
            <w:pPr>
              <w:jc w:val="right"/>
              <w:rPr>
                <w:color w:val="000000"/>
              </w:rPr>
            </w:pPr>
            <w:r>
              <w:rPr>
                <w:color w:val="000000"/>
              </w:rPr>
              <w:t>63.90</w:t>
            </w:r>
          </w:p>
        </w:tc>
      </w:tr>
      <w:tr w:rsidR="004B0883" w14:paraId="0E76840D" w14:textId="77777777">
        <w:trPr>
          <w:trHeight w:val="397"/>
          <w:jc w:val="center"/>
        </w:trPr>
        <w:tc>
          <w:tcPr>
            <w:tcW w:w="1178" w:type="pct"/>
            <w:tcMar>
              <w:top w:w="0" w:type="dxa"/>
              <w:left w:w="108" w:type="dxa"/>
              <w:bottom w:w="0" w:type="dxa"/>
              <w:right w:w="108" w:type="dxa"/>
            </w:tcMar>
            <w:vAlign w:val="center"/>
          </w:tcPr>
          <w:p w14:paraId="0C542A3B" w14:textId="77777777" w:rsidR="004B0883" w:rsidRDefault="004B0883">
            <w:pPr>
              <w:rPr>
                <w:color w:val="000000"/>
              </w:rPr>
            </w:pPr>
            <w:r>
              <w:rPr>
                <w:color w:val="000000"/>
              </w:rPr>
              <w:t>减：利息收入</w:t>
            </w:r>
          </w:p>
        </w:tc>
        <w:tc>
          <w:tcPr>
            <w:tcW w:w="1181" w:type="pct"/>
            <w:tcMar>
              <w:top w:w="0" w:type="dxa"/>
              <w:left w:w="108" w:type="dxa"/>
              <w:bottom w:w="0" w:type="dxa"/>
              <w:right w:w="108" w:type="dxa"/>
            </w:tcMar>
            <w:vAlign w:val="center"/>
          </w:tcPr>
          <w:p w14:paraId="13E4C1F9" w14:textId="77777777" w:rsidR="004B0883" w:rsidRDefault="004B0883">
            <w:pPr>
              <w:jc w:val="right"/>
              <w:rPr>
                <w:rFonts w:eastAsia="等线"/>
                <w:color w:val="000000"/>
              </w:rPr>
            </w:pPr>
            <w:r>
              <w:rPr>
                <w:rFonts w:eastAsia="等线"/>
                <w:color w:val="000000"/>
              </w:rPr>
              <w:t>66.37</w:t>
            </w:r>
          </w:p>
        </w:tc>
        <w:tc>
          <w:tcPr>
            <w:tcW w:w="880" w:type="pct"/>
            <w:tcMar>
              <w:top w:w="0" w:type="dxa"/>
              <w:left w:w="108" w:type="dxa"/>
              <w:bottom w:w="0" w:type="dxa"/>
              <w:right w:w="108" w:type="dxa"/>
            </w:tcMar>
            <w:vAlign w:val="center"/>
          </w:tcPr>
          <w:p w14:paraId="49F22B33" w14:textId="77777777" w:rsidR="004B0883" w:rsidRDefault="004B0883">
            <w:pPr>
              <w:jc w:val="right"/>
              <w:rPr>
                <w:color w:val="000000"/>
              </w:rPr>
            </w:pPr>
            <w:r>
              <w:rPr>
                <w:color w:val="000000"/>
              </w:rPr>
              <w:t>47.11</w:t>
            </w:r>
          </w:p>
        </w:tc>
        <w:tc>
          <w:tcPr>
            <w:tcW w:w="880" w:type="pct"/>
            <w:tcMar>
              <w:top w:w="0" w:type="dxa"/>
              <w:left w:w="108" w:type="dxa"/>
              <w:bottom w:w="0" w:type="dxa"/>
              <w:right w:w="108" w:type="dxa"/>
            </w:tcMar>
            <w:vAlign w:val="center"/>
          </w:tcPr>
          <w:p w14:paraId="6A7010C7" w14:textId="77777777" w:rsidR="004B0883" w:rsidRDefault="004B0883">
            <w:pPr>
              <w:jc w:val="right"/>
              <w:rPr>
                <w:color w:val="000000"/>
              </w:rPr>
            </w:pPr>
            <w:r>
              <w:rPr>
                <w:color w:val="000000"/>
              </w:rPr>
              <w:t>27.55</w:t>
            </w:r>
          </w:p>
        </w:tc>
        <w:tc>
          <w:tcPr>
            <w:tcW w:w="881" w:type="pct"/>
            <w:tcMar>
              <w:top w:w="0" w:type="dxa"/>
              <w:left w:w="108" w:type="dxa"/>
              <w:bottom w:w="0" w:type="dxa"/>
              <w:right w:w="108" w:type="dxa"/>
            </w:tcMar>
            <w:vAlign w:val="center"/>
          </w:tcPr>
          <w:p w14:paraId="6840868B" w14:textId="77777777" w:rsidR="004B0883" w:rsidRDefault="004B0883">
            <w:pPr>
              <w:jc w:val="right"/>
              <w:rPr>
                <w:color w:val="000000"/>
              </w:rPr>
            </w:pPr>
            <w:r>
              <w:rPr>
                <w:color w:val="000000"/>
              </w:rPr>
              <w:t>55.72</w:t>
            </w:r>
          </w:p>
        </w:tc>
      </w:tr>
      <w:tr w:rsidR="004B0883" w14:paraId="039E789B" w14:textId="77777777">
        <w:trPr>
          <w:trHeight w:val="397"/>
          <w:jc w:val="center"/>
        </w:trPr>
        <w:tc>
          <w:tcPr>
            <w:tcW w:w="1178" w:type="pct"/>
            <w:tcMar>
              <w:top w:w="0" w:type="dxa"/>
              <w:left w:w="108" w:type="dxa"/>
              <w:bottom w:w="0" w:type="dxa"/>
              <w:right w:w="108" w:type="dxa"/>
            </w:tcMar>
            <w:vAlign w:val="center"/>
          </w:tcPr>
          <w:p w14:paraId="73B49C5E" w14:textId="77777777" w:rsidR="004B0883" w:rsidRDefault="004B0883">
            <w:pPr>
              <w:rPr>
                <w:color w:val="000000"/>
              </w:rPr>
            </w:pPr>
            <w:r>
              <w:rPr>
                <w:color w:val="000000"/>
              </w:rPr>
              <w:t>汇兑损益</w:t>
            </w:r>
          </w:p>
        </w:tc>
        <w:tc>
          <w:tcPr>
            <w:tcW w:w="1181" w:type="pct"/>
            <w:tcMar>
              <w:top w:w="0" w:type="dxa"/>
              <w:left w:w="108" w:type="dxa"/>
              <w:bottom w:w="0" w:type="dxa"/>
              <w:right w:w="108" w:type="dxa"/>
            </w:tcMar>
            <w:vAlign w:val="center"/>
          </w:tcPr>
          <w:p w14:paraId="72DFC472" w14:textId="77777777" w:rsidR="004B0883" w:rsidRDefault="004B0883">
            <w:pPr>
              <w:jc w:val="right"/>
              <w:rPr>
                <w:rFonts w:eastAsia="等线"/>
                <w:color w:val="000000"/>
              </w:rPr>
            </w:pPr>
            <w:r>
              <w:rPr>
                <w:rFonts w:eastAsia="等线"/>
                <w:color w:val="000000"/>
              </w:rPr>
              <w:t>-250.47</w:t>
            </w:r>
          </w:p>
        </w:tc>
        <w:tc>
          <w:tcPr>
            <w:tcW w:w="880" w:type="pct"/>
            <w:tcMar>
              <w:top w:w="0" w:type="dxa"/>
              <w:left w:w="108" w:type="dxa"/>
              <w:bottom w:w="0" w:type="dxa"/>
              <w:right w:w="108" w:type="dxa"/>
            </w:tcMar>
            <w:vAlign w:val="center"/>
          </w:tcPr>
          <w:p w14:paraId="0D8044D3" w14:textId="77777777" w:rsidR="004B0883" w:rsidRDefault="004B0883">
            <w:pPr>
              <w:jc w:val="right"/>
              <w:rPr>
                <w:color w:val="000000"/>
              </w:rPr>
            </w:pPr>
            <w:r>
              <w:rPr>
                <w:color w:val="000000"/>
              </w:rPr>
              <w:t>-832.82</w:t>
            </w:r>
          </w:p>
        </w:tc>
        <w:tc>
          <w:tcPr>
            <w:tcW w:w="880" w:type="pct"/>
            <w:tcMar>
              <w:top w:w="0" w:type="dxa"/>
              <w:left w:w="108" w:type="dxa"/>
              <w:bottom w:w="0" w:type="dxa"/>
              <w:right w:w="108" w:type="dxa"/>
            </w:tcMar>
            <w:vAlign w:val="center"/>
          </w:tcPr>
          <w:p w14:paraId="0CDD0C6D" w14:textId="77777777" w:rsidR="004B0883" w:rsidRDefault="004B0883">
            <w:pPr>
              <w:jc w:val="right"/>
              <w:rPr>
                <w:color w:val="000000"/>
              </w:rPr>
            </w:pPr>
            <w:r>
              <w:rPr>
                <w:color w:val="000000"/>
              </w:rPr>
              <w:t>139.16</w:t>
            </w:r>
          </w:p>
        </w:tc>
        <w:tc>
          <w:tcPr>
            <w:tcW w:w="881" w:type="pct"/>
            <w:tcMar>
              <w:top w:w="0" w:type="dxa"/>
              <w:left w:w="108" w:type="dxa"/>
              <w:bottom w:w="0" w:type="dxa"/>
              <w:right w:w="108" w:type="dxa"/>
            </w:tcMar>
            <w:vAlign w:val="center"/>
          </w:tcPr>
          <w:p w14:paraId="173266CD" w14:textId="77777777" w:rsidR="004B0883" w:rsidRDefault="004B0883">
            <w:pPr>
              <w:jc w:val="right"/>
              <w:rPr>
                <w:color w:val="000000"/>
              </w:rPr>
            </w:pPr>
            <w:r>
              <w:rPr>
                <w:color w:val="000000"/>
              </w:rPr>
              <w:t>124.06</w:t>
            </w:r>
          </w:p>
        </w:tc>
      </w:tr>
      <w:tr w:rsidR="004B0883" w14:paraId="24782E67" w14:textId="77777777">
        <w:trPr>
          <w:trHeight w:val="397"/>
          <w:jc w:val="center"/>
        </w:trPr>
        <w:tc>
          <w:tcPr>
            <w:tcW w:w="1178" w:type="pct"/>
            <w:tcMar>
              <w:top w:w="0" w:type="dxa"/>
              <w:left w:w="108" w:type="dxa"/>
              <w:bottom w:w="0" w:type="dxa"/>
              <w:right w:w="108" w:type="dxa"/>
            </w:tcMar>
            <w:vAlign w:val="center"/>
          </w:tcPr>
          <w:p w14:paraId="71857346" w14:textId="77777777" w:rsidR="004B0883" w:rsidRDefault="004B0883">
            <w:pPr>
              <w:rPr>
                <w:color w:val="000000"/>
              </w:rPr>
            </w:pPr>
            <w:r>
              <w:rPr>
                <w:color w:val="000000"/>
              </w:rPr>
              <w:t>手续费</w:t>
            </w:r>
          </w:p>
        </w:tc>
        <w:tc>
          <w:tcPr>
            <w:tcW w:w="1181" w:type="pct"/>
            <w:tcMar>
              <w:top w:w="0" w:type="dxa"/>
              <w:left w:w="108" w:type="dxa"/>
              <w:bottom w:w="0" w:type="dxa"/>
              <w:right w:w="108" w:type="dxa"/>
            </w:tcMar>
            <w:vAlign w:val="center"/>
          </w:tcPr>
          <w:p w14:paraId="27A441A3" w14:textId="77777777" w:rsidR="004B0883" w:rsidRDefault="004B0883">
            <w:pPr>
              <w:jc w:val="right"/>
              <w:rPr>
                <w:rFonts w:eastAsia="等线"/>
                <w:color w:val="000000"/>
              </w:rPr>
            </w:pPr>
            <w:r>
              <w:rPr>
                <w:rFonts w:eastAsia="等线"/>
                <w:color w:val="000000"/>
              </w:rPr>
              <w:t>37.45</w:t>
            </w:r>
          </w:p>
        </w:tc>
        <w:tc>
          <w:tcPr>
            <w:tcW w:w="880" w:type="pct"/>
            <w:tcMar>
              <w:top w:w="0" w:type="dxa"/>
              <w:left w:w="108" w:type="dxa"/>
              <w:bottom w:w="0" w:type="dxa"/>
              <w:right w:w="108" w:type="dxa"/>
            </w:tcMar>
            <w:vAlign w:val="center"/>
          </w:tcPr>
          <w:p w14:paraId="6376D1C5" w14:textId="77777777" w:rsidR="004B0883" w:rsidRDefault="004B0883">
            <w:pPr>
              <w:jc w:val="right"/>
              <w:rPr>
                <w:color w:val="000000"/>
              </w:rPr>
            </w:pPr>
            <w:r>
              <w:rPr>
                <w:color w:val="000000"/>
              </w:rPr>
              <w:t>57.12</w:t>
            </w:r>
          </w:p>
        </w:tc>
        <w:tc>
          <w:tcPr>
            <w:tcW w:w="880" w:type="pct"/>
            <w:tcMar>
              <w:top w:w="0" w:type="dxa"/>
              <w:left w:w="108" w:type="dxa"/>
              <w:bottom w:w="0" w:type="dxa"/>
              <w:right w:w="108" w:type="dxa"/>
            </w:tcMar>
            <w:vAlign w:val="center"/>
          </w:tcPr>
          <w:p w14:paraId="605A5E50" w14:textId="77777777" w:rsidR="004B0883" w:rsidRDefault="004B0883">
            <w:pPr>
              <w:jc w:val="right"/>
              <w:rPr>
                <w:color w:val="000000"/>
              </w:rPr>
            </w:pPr>
            <w:r>
              <w:rPr>
                <w:color w:val="000000"/>
              </w:rPr>
              <w:t>41.11</w:t>
            </w:r>
          </w:p>
        </w:tc>
        <w:tc>
          <w:tcPr>
            <w:tcW w:w="881" w:type="pct"/>
            <w:tcMar>
              <w:top w:w="0" w:type="dxa"/>
              <w:left w:w="108" w:type="dxa"/>
              <w:bottom w:w="0" w:type="dxa"/>
              <w:right w:w="108" w:type="dxa"/>
            </w:tcMar>
            <w:vAlign w:val="center"/>
          </w:tcPr>
          <w:p w14:paraId="05E1048C" w14:textId="77777777" w:rsidR="004B0883" w:rsidRDefault="004B0883">
            <w:pPr>
              <w:jc w:val="right"/>
              <w:rPr>
                <w:color w:val="000000"/>
              </w:rPr>
            </w:pPr>
            <w:r>
              <w:rPr>
                <w:color w:val="000000"/>
              </w:rPr>
              <w:t>46.67</w:t>
            </w:r>
          </w:p>
        </w:tc>
      </w:tr>
      <w:tr w:rsidR="004B0883" w14:paraId="1E2F1B97" w14:textId="77777777">
        <w:trPr>
          <w:trHeight w:val="397"/>
          <w:jc w:val="center"/>
        </w:trPr>
        <w:tc>
          <w:tcPr>
            <w:tcW w:w="1178" w:type="pct"/>
            <w:tcMar>
              <w:top w:w="0" w:type="dxa"/>
              <w:left w:w="108" w:type="dxa"/>
              <w:bottom w:w="0" w:type="dxa"/>
              <w:right w:w="108" w:type="dxa"/>
            </w:tcMar>
            <w:vAlign w:val="center"/>
          </w:tcPr>
          <w:p w14:paraId="3198DA18" w14:textId="77777777" w:rsidR="004B0883" w:rsidRDefault="004B0883">
            <w:pPr>
              <w:jc w:val="center"/>
              <w:rPr>
                <w:b/>
                <w:color w:val="000000"/>
              </w:rPr>
            </w:pPr>
            <w:r>
              <w:rPr>
                <w:b/>
                <w:color w:val="000000"/>
              </w:rPr>
              <w:t>合计</w:t>
            </w:r>
          </w:p>
        </w:tc>
        <w:tc>
          <w:tcPr>
            <w:tcW w:w="1181" w:type="pct"/>
            <w:tcMar>
              <w:top w:w="0" w:type="dxa"/>
              <w:left w:w="108" w:type="dxa"/>
              <w:bottom w:w="0" w:type="dxa"/>
              <w:right w:w="108" w:type="dxa"/>
            </w:tcMar>
            <w:vAlign w:val="center"/>
          </w:tcPr>
          <w:p w14:paraId="4FF398CB" w14:textId="77777777" w:rsidR="004B0883" w:rsidRDefault="004B0883">
            <w:pPr>
              <w:jc w:val="right"/>
              <w:rPr>
                <w:rFonts w:eastAsia="等线"/>
                <w:b/>
                <w:bCs/>
                <w:color w:val="000000"/>
              </w:rPr>
            </w:pPr>
            <w:r>
              <w:rPr>
                <w:rFonts w:eastAsia="等线"/>
                <w:b/>
                <w:bCs/>
                <w:color w:val="000000"/>
              </w:rPr>
              <w:t>-264.72</w:t>
            </w:r>
          </w:p>
        </w:tc>
        <w:tc>
          <w:tcPr>
            <w:tcW w:w="880" w:type="pct"/>
            <w:tcMar>
              <w:top w:w="0" w:type="dxa"/>
              <w:left w:w="108" w:type="dxa"/>
              <w:bottom w:w="0" w:type="dxa"/>
              <w:right w:w="108" w:type="dxa"/>
            </w:tcMar>
            <w:vAlign w:val="center"/>
          </w:tcPr>
          <w:p w14:paraId="4F3987ED" w14:textId="77777777" w:rsidR="004B0883" w:rsidRDefault="004B0883">
            <w:pPr>
              <w:jc w:val="right"/>
              <w:rPr>
                <w:b/>
                <w:color w:val="000000"/>
              </w:rPr>
            </w:pPr>
            <w:r>
              <w:rPr>
                <w:b/>
                <w:color w:val="000000"/>
              </w:rPr>
              <w:t>-702.99</w:t>
            </w:r>
          </w:p>
        </w:tc>
        <w:tc>
          <w:tcPr>
            <w:tcW w:w="880" w:type="pct"/>
            <w:tcMar>
              <w:top w:w="0" w:type="dxa"/>
              <w:left w:w="108" w:type="dxa"/>
              <w:bottom w:w="0" w:type="dxa"/>
              <w:right w:w="108" w:type="dxa"/>
            </w:tcMar>
            <w:vAlign w:val="center"/>
          </w:tcPr>
          <w:p w14:paraId="6D206351" w14:textId="77777777" w:rsidR="004B0883" w:rsidRDefault="004B0883">
            <w:pPr>
              <w:jc w:val="right"/>
              <w:rPr>
                <w:b/>
                <w:color w:val="000000"/>
              </w:rPr>
            </w:pPr>
            <w:r>
              <w:rPr>
                <w:b/>
                <w:color w:val="000000"/>
              </w:rPr>
              <w:t>254.82</w:t>
            </w:r>
          </w:p>
        </w:tc>
        <w:tc>
          <w:tcPr>
            <w:tcW w:w="881" w:type="pct"/>
            <w:tcMar>
              <w:top w:w="0" w:type="dxa"/>
              <w:left w:w="108" w:type="dxa"/>
              <w:bottom w:w="0" w:type="dxa"/>
              <w:right w:w="108" w:type="dxa"/>
            </w:tcMar>
            <w:vAlign w:val="center"/>
          </w:tcPr>
          <w:p w14:paraId="0E8EFA90" w14:textId="77777777" w:rsidR="004B0883" w:rsidRDefault="004B0883">
            <w:pPr>
              <w:jc w:val="right"/>
              <w:rPr>
                <w:b/>
                <w:color w:val="000000"/>
              </w:rPr>
            </w:pPr>
            <w:r>
              <w:rPr>
                <w:b/>
                <w:color w:val="000000"/>
              </w:rPr>
              <w:t>178.91</w:t>
            </w:r>
          </w:p>
        </w:tc>
      </w:tr>
    </w:tbl>
    <w:p w14:paraId="104228F4" w14:textId="77777777" w:rsidR="004B0883" w:rsidRDefault="004B0883">
      <w:pPr>
        <w:pStyle w:val="005"/>
        <w:spacing w:before="120"/>
        <w:ind w:firstLine="480"/>
      </w:pPr>
      <w:r>
        <w:t>公司财务费用主要由利息支出、汇兑损益等构成。报告期各期，公司财务费用分别为</w:t>
      </w:r>
      <w:r>
        <w:t>178.91</w:t>
      </w:r>
      <w:r>
        <w:t>万元、</w:t>
      </w:r>
      <w:r>
        <w:t>254.82</w:t>
      </w:r>
      <w:r>
        <w:t>万元、</w:t>
      </w:r>
      <w:r>
        <w:t>-702.99</w:t>
      </w:r>
      <w:r>
        <w:t>万元和</w:t>
      </w:r>
      <w:r>
        <w:t>-264.72</w:t>
      </w:r>
      <w:r>
        <w:t>万元。</w:t>
      </w:r>
      <w:r>
        <w:t>2022</w:t>
      </w:r>
      <w:r>
        <w:t>年汇兑损益波动较大，主要原因是</w:t>
      </w:r>
      <w:r>
        <w:t>2022</w:t>
      </w:r>
      <w:r>
        <w:t>年美元汇率开始大幅上升，公司形成汇兑收益较大。</w:t>
      </w:r>
    </w:p>
    <w:p w14:paraId="5529DBDA" w14:textId="77777777" w:rsidR="004B0883" w:rsidRDefault="004B0883">
      <w:pPr>
        <w:pStyle w:val="003"/>
        <w:spacing w:before="120" w:after="120"/>
      </w:pPr>
      <w:r>
        <w:t>（五）利润表其他重要科目</w:t>
      </w:r>
    </w:p>
    <w:p w14:paraId="41E41169" w14:textId="77777777" w:rsidR="004B0883" w:rsidRDefault="004B0883">
      <w:pPr>
        <w:pStyle w:val="004"/>
        <w:spacing w:before="120" w:after="120"/>
        <w:ind w:firstLine="482"/>
      </w:pPr>
      <w:r>
        <w:t>1</w:t>
      </w:r>
      <w:r>
        <w:t>、投资收益</w:t>
      </w:r>
    </w:p>
    <w:p w14:paraId="657CD377" w14:textId="77777777" w:rsidR="004B0883" w:rsidRDefault="004B0883">
      <w:pPr>
        <w:pStyle w:val="005"/>
        <w:spacing w:before="120"/>
        <w:ind w:firstLine="480"/>
      </w:pPr>
      <w:r>
        <w:t>报告期各期，公司投资收益具体情况如下：</w:t>
      </w:r>
    </w:p>
    <w:p w14:paraId="00C972C5" w14:textId="77777777" w:rsidR="004B0883" w:rsidRDefault="004B0883">
      <w:pPr>
        <w:pStyle w:val="009"/>
      </w:pPr>
      <w:r>
        <w:t>单位：万元</w:t>
      </w:r>
    </w:p>
    <w:tbl>
      <w:tblPr>
        <w:tblW w:w="5247"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3417"/>
        <w:gridCol w:w="1627"/>
        <w:gridCol w:w="1215"/>
        <w:gridCol w:w="1215"/>
        <w:gridCol w:w="1215"/>
      </w:tblGrid>
      <w:tr w:rsidR="004B0883" w14:paraId="016C7A30" w14:textId="77777777">
        <w:trPr>
          <w:trHeight w:val="397"/>
          <w:tblHeader/>
          <w:jc w:val="center"/>
        </w:trPr>
        <w:tc>
          <w:tcPr>
            <w:tcW w:w="1967" w:type="pct"/>
            <w:shd w:val="clear" w:color="auto" w:fill="D9D9D9"/>
            <w:tcMar>
              <w:top w:w="0" w:type="dxa"/>
              <w:left w:w="108" w:type="dxa"/>
              <w:bottom w:w="0" w:type="dxa"/>
              <w:right w:w="108" w:type="dxa"/>
            </w:tcMar>
            <w:vAlign w:val="center"/>
          </w:tcPr>
          <w:p w14:paraId="4B44B0AE" w14:textId="77777777" w:rsidR="004B0883" w:rsidRDefault="004B0883">
            <w:pPr>
              <w:jc w:val="center"/>
              <w:rPr>
                <w:b/>
                <w:color w:val="000000"/>
              </w:rPr>
            </w:pPr>
            <w:r>
              <w:rPr>
                <w:b/>
                <w:color w:val="000000"/>
              </w:rPr>
              <w:t>项目</w:t>
            </w:r>
          </w:p>
        </w:tc>
        <w:tc>
          <w:tcPr>
            <w:tcW w:w="936" w:type="pct"/>
            <w:shd w:val="clear" w:color="auto" w:fill="D9D9D9"/>
            <w:tcMar>
              <w:top w:w="0" w:type="dxa"/>
              <w:left w:w="108" w:type="dxa"/>
              <w:bottom w:w="0" w:type="dxa"/>
              <w:right w:w="108" w:type="dxa"/>
            </w:tcMar>
            <w:vAlign w:val="center"/>
          </w:tcPr>
          <w:p w14:paraId="253AD722" w14:textId="77777777" w:rsidR="004B0883" w:rsidRDefault="004B0883">
            <w:pPr>
              <w:jc w:val="center"/>
              <w:rPr>
                <w:b/>
                <w:color w:val="000000"/>
              </w:rPr>
            </w:pPr>
            <w:r>
              <w:rPr>
                <w:b/>
                <w:color w:val="000000"/>
              </w:rPr>
              <w:t>2023</w:t>
            </w:r>
            <w:r>
              <w:rPr>
                <w:b/>
                <w:color w:val="000000"/>
              </w:rPr>
              <w:t>年</w:t>
            </w:r>
            <w:r>
              <w:rPr>
                <w:b/>
                <w:color w:val="000000"/>
              </w:rPr>
              <w:t>1-9</w:t>
            </w:r>
            <w:r>
              <w:rPr>
                <w:b/>
                <w:color w:val="000000"/>
              </w:rPr>
              <w:t>月</w:t>
            </w:r>
          </w:p>
        </w:tc>
        <w:tc>
          <w:tcPr>
            <w:tcW w:w="699" w:type="pct"/>
            <w:shd w:val="clear" w:color="auto" w:fill="D9D9D9"/>
            <w:tcMar>
              <w:top w:w="0" w:type="dxa"/>
              <w:left w:w="108" w:type="dxa"/>
              <w:bottom w:w="0" w:type="dxa"/>
              <w:right w:w="108" w:type="dxa"/>
            </w:tcMar>
            <w:vAlign w:val="center"/>
          </w:tcPr>
          <w:p w14:paraId="5D5C0313" w14:textId="77777777" w:rsidR="004B0883" w:rsidRDefault="004B0883">
            <w:pPr>
              <w:jc w:val="center"/>
              <w:rPr>
                <w:b/>
                <w:color w:val="000000"/>
              </w:rPr>
            </w:pPr>
            <w:r>
              <w:rPr>
                <w:b/>
                <w:color w:val="000000"/>
              </w:rPr>
              <w:t>2022</w:t>
            </w:r>
            <w:r>
              <w:rPr>
                <w:b/>
                <w:color w:val="000000"/>
              </w:rPr>
              <w:t>年度</w:t>
            </w:r>
          </w:p>
        </w:tc>
        <w:tc>
          <w:tcPr>
            <w:tcW w:w="699" w:type="pct"/>
            <w:shd w:val="clear" w:color="auto" w:fill="D9D9D9"/>
            <w:tcMar>
              <w:top w:w="0" w:type="dxa"/>
              <w:left w:w="108" w:type="dxa"/>
              <w:bottom w:w="0" w:type="dxa"/>
              <w:right w:w="108" w:type="dxa"/>
            </w:tcMar>
            <w:vAlign w:val="center"/>
          </w:tcPr>
          <w:p w14:paraId="2DEED3EF" w14:textId="77777777" w:rsidR="004B0883" w:rsidRDefault="004B0883">
            <w:pPr>
              <w:jc w:val="center"/>
              <w:rPr>
                <w:b/>
                <w:color w:val="000000"/>
              </w:rPr>
            </w:pPr>
            <w:r>
              <w:rPr>
                <w:b/>
                <w:color w:val="000000"/>
              </w:rPr>
              <w:t>2021</w:t>
            </w:r>
            <w:r>
              <w:rPr>
                <w:b/>
                <w:color w:val="000000"/>
              </w:rPr>
              <w:t>年度</w:t>
            </w:r>
          </w:p>
        </w:tc>
        <w:tc>
          <w:tcPr>
            <w:tcW w:w="699" w:type="pct"/>
            <w:shd w:val="clear" w:color="auto" w:fill="D9D9D9"/>
            <w:tcMar>
              <w:top w:w="0" w:type="dxa"/>
              <w:left w:w="108" w:type="dxa"/>
              <w:bottom w:w="0" w:type="dxa"/>
              <w:right w:w="108" w:type="dxa"/>
            </w:tcMar>
            <w:vAlign w:val="center"/>
          </w:tcPr>
          <w:p w14:paraId="3E453E1B" w14:textId="77777777" w:rsidR="004B0883" w:rsidRDefault="004B0883">
            <w:pPr>
              <w:jc w:val="center"/>
              <w:rPr>
                <w:b/>
                <w:color w:val="000000"/>
              </w:rPr>
            </w:pPr>
            <w:r>
              <w:rPr>
                <w:b/>
                <w:color w:val="000000"/>
              </w:rPr>
              <w:t>2020</w:t>
            </w:r>
            <w:r>
              <w:rPr>
                <w:b/>
                <w:color w:val="000000"/>
              </w:rPr>
              <w:t>年度</w:t>
            </w:r>
          </w:p>
        </w:tc>
      </w:tr>
      <w:tr w:rsidR="004B0883" w14:paraId="5A73F871" w14:textId="77777777">
        <w:trPr>
          <w:trHeight w:val="397"/>
          <w:jc w:val="center"/>
        </w:trPr>
        <w:tc>
          <w:tcPr>
            <w:tcW w:w="1967" w:type="pct"/>
            <w:tcMar>
              <w:top w:w="0" w:type="dxa"/>
              <w:left w:w="108" w:type="dxa"/>
              <w:bottom w:w="0" w:type="dxa"/>
              <w:right w:w="108" w:type="dxa"/>
            </w:tcMar>
            <w:vAlign w:val="center"/>
          </w:tcPr>
          <w:p w14:paraId="399837E3" w14:textId="77777777" w:rsidR="004B0883" w:rsidRDefault="004B0883">
            <w:pPr>
              <w:rPr>
                <w:color w:val="000000"/>
              </w:rPr>
            </w:pPr>
            <w:r>
              <w:rPr>
                <w:color w:val="000000"/>
              </w:rPr>
              <w:t>处置长期股权投资产生的投资收益</w:t>
            </w:r>
          </w:p>
        </w:tc>
        <w:tc>
          <w:tcPr>
            <w:tcW w:w="936" w:type="pct"/>
            <w:tcMar>
              <w:top w:w="0" w:type="dxa"/>
              <w:left w:w="108" w:type="dxa"/>
              <w:bottom w:w="0" w:type="dxa"/>
              <w:right w:w="108" w:type="dxa"/>
            </w:tcMar>
            <w:vAlign w:val="center"/>
          </w:tcPr>
          <w:p w14:paraId="1FA4DF00" w14:textId="77777777" w:rsidR="004B0883" w:rsidRDefault="004B0883">
            <w:pPr>
              <w:jc w:val="right"/>
              <w:rPr>
                <w:rFonts w:eastAsia="等线"/>
                <w:color w:val="000000"/>
                <w:kern w:val="0"/>
              </w:rPr>
            </w:pPr>
            <w:r>
              <w:rPr>
                <w:rFonts w:eastAsia="等线"/>
                <w:color w:val="000000"/>
              </w:rPr>
              <w:t>17.56</w:t>
            </w:r>
          </w:p>
        </w:tc>
        <w:tc>
          <w:tcPr>
            <w:tcW w:w="699" w:type="pct"/>
            <w:tcMar>
              <w:top w:w="0" w:type="dxa"/>
              <w:left w:w="108" w:type="dxa"/>
              <w:bottom w:w="0" w:type="dxa"/>
              <w:right w:w="108" w:type="dxa"/>
            </w:tcMar>
            <w:vAlign w:val="center"/>
          </w:tcPr>
          <w:p w14:paraId="130BD8A5" w14:textId="77777777" w:rsidR="004B0883" w:rsidRDefault="004B0883">
            <w:pPr>
              <w:jc w:val="right"/>
              <w:rPr>
                <w:color w:val="000000"/>
              </w:rPr>
            </w:pPr>
            <w:r>
              <w:rPr>
                <w:rFonts w:eastAsia="等线"/>
                <w:color w:val="000000"/>
              </w:rPr>
              <w:t>4,164.12</w:t>
            </w:r>
          </w:p>
        </w:tc>
        <w:tc>
          <w:tcPr>
            <w:tcW w:w="699" w:type="pct"/>
            <w:tcMar>
              <w:top w:w="0" w:type="dxa"/>
              <w:left w:w="108" w:type="dxa"/>
              <w:bottom w:w="0" w:type="dxa"/>
              <w:right w:w="108" w:type="dxa"/>
            </w:tcMar>
            <w:vAlign w:val="center"/>
          </w:tcPr>
          <w:p w14:paraId="4882FD05" w14:textId="77777777" w:rsidR="004B0883" w:rsidRDefault="004B0883">
            <w:pPr>
              <w:jc w:val="right"/>
              <w:rPr>
                <w:color w:val="000000"/>
              </w:rPr>
            </w:pPr>
            <w:r>
              <w:rPr>
                <w:rFonts w:eastAsia="等线"/>
                <w:color w:val="000000"/>
              </w:rPr>
              <w:t>-</w:t>
            </w:r>
          </w:p>
        </w:tc>
        <w:tc>
          <w:tcPr>
            <w:tcW w:w="699" w:type="pct"/>
            <w:tcMar>
              <w:top w:w="0" w:type="dxa"/>
              <w:left w:w="108" w:type="dxa"/>
              <w:bottom w:w="0" w:type="dxa"/>
              <w:right w:w="108" w:type="dxa"/>
            </w:tcMar>
            <w:vAlign w:val="center"/>
          </w:tcPr>
          <w:p w14:paraId="643182CE" w14:textId="77777777" w:rsidR="004B0883" w:rsidRDefault="004B0883">
            <w:pPr>
              <w:jc w:val="right"/>
              <w:rPr>
                <w:color w:val="000000"/>
              </w:rPr>
            </w:pPr>
            <w:r>
              <w:rPr>
                <w:color w:val="000000"/>
              </w:rPr>
              <w:t>-</w:t>
            </w:r>
          </w:p>
        </w:tc>
      </w:tr>
      <w:tr w:rsidR="004B0883" w14:paraId="2B71170A" w14:textId="77777777">
        <w:trPr>
          <w:trHeight w:val="397"/>
          <w:jc w:val="center"/>
        </w:trPr>
        <w:tc>
          <w:tcPr>
            <w:tcW w:w="1967" w:type="pct"/>
            <w:tcMar>
              <w:top w:w="0" w:type="dxa"/>
              <w:left w:w="108" w:type="dxa"/>
              <w:bottom w:w="0" w:type="dxa"/>
              <w:right w:w="108" w:type="dxa"/>
            </w:tcMar>
            <w:vAlign w:val="center"/>
          </w:tcPr>
          <w:p w14:paraId="2E0EFE90" w14:textId="77777777" w:rsidR="004B0883" w:rsidRDefault="004B0883">
            <w:pPr>
              <w:rPr>
                <w:color w:val="000000"/>
              </w:rPr>
            </w:pPr>
            <w:r>
              <w:rPr>
                <w:color w:val="000000"/>
              </w:rPr>
              <w:t>理财产品收益</w:t>
            </w:r>
          </w:p>
        </w:tc>
        <w:tc>
          <w:tcPr>
            <w:tcW w:w="936" w:type="pct"/>
            <w:tcMar>
              <w:top w:w="0" w:type="dxa"/>
              <w:left w:w="108" w:type="dxa"/>
              <w:bottom w:w="0" w:type="dxa"/>
              <w:right w:w="108" w:type="dxa"/>
            </w:tcMar>
            <w:vAlign w:val="center"/>
          </w:tcPr>
          <w:p w14:paraId="1048A94A" w14:textId="77777777" w:rsidR="004B0883" w:rsidRDefault="004B0883">
            <w:pPr>
              <w:jc w:val="right"/>
              <w:rPr>
                <w:rFonts w:eastAsia="等线"/>
                <w:color w:val="000000"/>
              </w:rPr>
            </w:pPr>
            <w:r>
              <w:rPr>
                <w:rFonts w:eastAsia="等线"/>
                <w:color w:val="000000"/>
              </w:rPr>
              <w:t>360.34</w:t>
            </w:r>
          </w:p>
        </w:tc>
        <w:tc>
          <w:tcPr>
            <w:tcW w:w="699" w:type="pct"/>
            <w:tcMar>
              <w:top w:w="0" w:type="dxa"/>
              <w:left w:w="108" w:type="dxa"/>
              <w:bottom w:w="0" w:type="dxa"/>
              <w:right w:w="108" w:type="dxa"/>
            </w:tcMar>
            <w:vAlign w:val="center"/>
          </w:tcPr>
          <w:p w14:paraId="4E934097" w14:textId="77777777" w:rsidR="004B0883" w:rsidRDefault="004B0883">
            <w:pPr>
              <w:jc w:val="right"/>
              <w:rPr>
                <w:color w:val="000000"/>
              </w:rPr>
            </w:pPr>
            <w:r>
              <w:rPr>
                <w:rFonts w:eastAsia="等线"/>
                <w:color w:val="000000"/>
              </w:rPr>
              <w:t>608.83</w:t>
            </w:r>
          </w:p>
        </w:tc>
        <w:tc>
          <w:tcPr>
            <w:tcW w:w="699" w:type="pct"/>
            <w:tcMar>
              <w:top w:w="0" w:type="dxa"/>
              <w:left w:w="108" w:type="dxa"/>
              <w:bottom w:w="0" w:type="dxa"/>
              <w:right w:w="108" w:type="dxa"/>
            </w:tcMar>
            <w:vAlign w:val="center"/>
          </w:tcPr>
          <w:p w14:paraId="0221D05A" w14:textId="77777777" w:rsidR="004B0883" w:rsidRDefault="004B0883">
            <w:pPr>
              <w:jc w:val="right"/>
              <w:rPr>
                <w:color w:val="000000"/>
              </w:rPr>
            </w:pPr>
            <w:r>
              <w:rPr>
                <w:rFonts w:eastAsia="等线"/>
                <w:color w:val="000000"/>
              </w:rPr>
              <w:t>1,436.16</w:t>
            </w:r>
          </w:p>
        </w:tc>
        <w:tc>
          <w:tcPr>
            <w:tcW w:w="699" w:type="pct"/>
            <w:tcMar>
              <w:top w:w="0" w:type="dxa"/>
              <w:left w:w="108" w:type="dxa"/>
              <w:bottom w:w="0" w:type="dxa"/>
              <w:right w:w="108" w:type="dxa"/>
            </w:tcMar>
            <w:vAlign w:val="center"/>
          </w:tcPr>
          <w:p w14:paraId="6642CAF5" w14:textId="77777777" w:rsidR="004B0883" w:rsidRDefault="004B0883">
            <w:pPr>
              <w:jc w:val="right"/>
              <w:rPr>
                <w:color w:val="000000"/>
              </w:rPr>
            </w:pPr>
            <w:r>
              <w:rPr>
                <w:rFonts w:eastAsia="等线"/>
                <w:color w:val="000000"/>
              </w:rPr>
              <w:t>800.97</w:t>
            </w:r>
          </w:p>
        </w:tc>
      </w:tr>
      <w:tr w:rsidR="004B0883" w14:paraId="042B0639" w14:textId="77777777">
        <w:trPr>
          <w:trHeight w:val="397"/>
          <w:jc w:val="center"/>
        </w:trPr>
        <w:tc>
          <w:tcPr>
            <w:tcW w:w="1967" w:type="pct"/>
            <w:tcMar>
              <w:top w:w="0" w:type="dxa"/>
              <w:left w:w="108" w:type="dxa"/>
              <w:bottom w:w="0" w:type="dxa"/>
              <w:right w:w="108" w:type="dxa"/>
            </w:tcMar>
            <w:vAlign w:val="center"/>
          </w:tcPr>
          <w:p w14:paraId="2C8D92AE" w14:textId="77777777" w:rsidR="004B0883" w:rsidRDefault="004B0883">
            <w:pPr>
              <w:rPr>
                <w:color w:val="000000"/>
              </w:rPr>
            </w:pPr>
            <w:r>
              <w:rPr>
                <w:color w:val="000000"/>
              </w:rPr>
              <w:t>外汇期权收益</w:t>
            </w:r>
          </w:p>
        </w:tc>
        <w:tc>
          <w:tcPr>
            <w:tcW w:w="936" w:type="pct"/>
            <w:tcMar>
              <w:top w:w="0" w:type="dxa"/>
              <w:left w:w="108" w:type="dxa"/>
              <w:bottom w:w="0" w:type="dxa"/>
              <w:right w:w="108" w:type="dxa"/>
            </w:tcMar>
            <w:vAlign w:val="center"/>
          </w:tcPr>
          <w:p w14:paraId="4E40F1F4" w14:textId="77777777" w:rsidR="004B0883" w:rsidRDefault="004B0883">
            <w:pPr>
              <w:jc w:val="right"/>
              <w:rPr>
                <w:rFonts w:eastAsia="等线"/>
                <w:color w:val="000000"/>
              </w:rPr>
            </w:pPr>
            <w:r>
              <w:rPr>
                <w:rFonts w:eastAsia="等线"/>
                <w:color w:val="000000"/>
              </w:rPr>
              <w:t>-</w:t>
            </w:r>
          </w:p>
        </w:tc>
        <w:tc>
          <w:tcPr>
            <w:tcW w:w="699" w:type="pct"/>
            <w:tcMar>
              <w:top w:w="0" w:type="dxa"/>
              <w:left w:w="108" w:type="dxa"/>
              <w:bottom w:w="0" w:type="dxa"/>
              <w:right w:w="108" w:type="dxa"/>
            </w:tcMar>
            <w:vAlign w:val="center"/>
          </w:tcPr>
          <w:p w14:paraId="2C8F0831" w14:textId="77777777" w:rsidR="004B0883" w:rsidRDefault="004B0883">
            <w:pPr>
              <w:jc w:val="right"/>
              <w:rPr>
                <w:color w:val="000000"/>
              </w:rPr>
            </w:pPr>
            <w:r>
              <w:rPr>
                <w:rFonts w:eastAsia="等线"/>
                <w:color w:val="000000"/>
              </w:rPr>
              <w:t>-</w:t>
            </w:r>
          </w:p>
        </w:tc>
        <w:tc>
          <w:tcPr>
            <w:tcW w:w="699" w:type="pct"/>
            <w:tcMar>
              <w:top w:w="0" w:type="dxa"/>
              <w:left w:w="108" w:type="dxa"/>
              <w:bottom w:w="0" w:type="dxa"/>
              <w:right w:w="108" w:type="dxa"/>
            </w:tcMar>
            <w:vAlign w:val="center"/>
          </w:tcPr>
          <w:p w14:paraId="0639FE85" w14:textId="77777777" w:rsidR="004B0883" w:rsidRDefault="004B0883">
            <w:pPr>
              <w:jc w:val="right"/>
              <w:rPr>
                <w:color w:val="000000"/>
              </w:rPr>
            </w:pPr>
            <w:r>
              <w:rPr>
                <w:rFonts w:eastAsia="等线"/>
                <w:color w:val="000000"/>
              </w:rPr>
              <w:t>5.53</w:t>
            </w:r>
          </w:p>
        </w:tc>
        <w:tc>
          <w:tcPr>
            <w:tcW w:w="699" w:type="pct"/>
            <w:tcMar>
              <w:top w:w="0" w:type="dxa"/>
              <w:left w:w="108" w:type="dxa"/>
              <w:bottom w:w="0" w:type="dxa"/>
              <w:right w:w="108" w:type="dxa"/>
            </w:tcMar>
            <w:vAlign w:val="center"/>
          </w:tcPr>
          <w:p w14:paraId="79E5E910" w14:textId="77777777" w:rsidR="004B0883" w:rsidRDefault="004B0883">
            <w:pPr>
              <w:jc w:val="right"/>
              <w:rPr>
                <w:color w:val="000000"/>
              </w:rPr>
            </w:pPr>
            <w:r>
              <w:rPr>
                <w:rFonts w:eastAsia="等线"/>
                <w:color w:val="000000"/>
              </w:rPr>
              <w:t>43.09</w:t>
            </w:r>
          </w:p>
        </w:tc>
      </w:tr>
      <w:tr w:rsidR="004B0883" w14:paraId="187E82E3" w14:textId="77777777">
        <w:trPr>
          <w:trHeight w:val="397"/>
          <w:jc w:val="center"/>
        </w:trPr>
        <w:tc>
          <w:tcPr>
            <w:tcW w:w="1967" w:type="pct"/>
            <w:tcMar>
              <w:top w:w="0" w:type="dxa"/>
              <w:left w:w="108" w:type="dxa"/>
              <w:bottom w:w="0" w:type="dxa"/>
              <w:right w:w="108" w:type="dxa"/>
            </w:tcMar>
            <w:vAlign w:val="center"/>
          </w:tcPr>
          <w:p w14:paraId="019A727B" w14:textId="77777777" w:rsidR="004B0883" w:rsidRDefault="004B0883">
            <w:pPr>
              <w:rPr>
                <w:color w:val="000000"/>
              </w:rPr>
            </w:pPr>
            <w:r>
              <w:rPr>
                <w:color w:val="000000"/>
              </w:rPr>
              <w:t>远期结售汇损失</w:t>
            </w:r>
          </w:p>
        </w:tc>
        <w:tc>
          <w:tcPr>
            <w:tcW w:w="936" w:type="pct"/>
            <w:tcMar>
              <w:top w:w="0" w:type="dxa"/>
              <w:left w:w="108" w:type="dxa"/>
              <w:bottom w:w="0" w:type="dxa"/>
              <w:right w:w="108" w:type="dxa"/>
            </w:tcMar>
            <w:vAlign w:val="center"/>
          </w:tcPr>
          <w:p w14:paraId="1D268DE3" w14:textId="77777777" w:rsidR="004B0883" w:rsidRDefault="004B0883">
            <w:pPr>
              <w:jc w:val="right"/>
              <w:rPr>
                <w:rFonts w:eastAsia="等线"/>
                <w:color w:val="000000"/>
              </w:rPr>
            </w:pPr>
            <w:r>
              <w:rPr>
                <w:rFonts w:eastAsia="等线"/>
                <w:color w:val="000000"/>
              </w:rPr>
              <w:t>-</w:t>
            </w:r>
          </w:p>
        </w:tc>
        <w:tc>
          <w:tcPr>
            <w:tcW w:w="699" w:type="pct"/>
            <w:tcMar>
              <w:top w:w="0" w:type="dxa"/>
              <w:left w:w="108" w:type="dxa"/>
              <w:bottom w:w="0" w:type="dxa"/>
              <w:right w:w="108" w:type="dxa"/>
            </w:tcMar>
            <w:vAlign w:val="center"/>
          </w:tcPr>
          <w:p w14:paraId="6B1DEF97" w14:textId="77777777" w:rsidR="004B0883" w:rsidRDefault="004B0883">
            <w:pPr>
              <w:jc w:val="right"/>
              <w:rPr>
                <w:color w:val="000000"/>
              </w:rPr>
            </w:pPr>
            <w:r>
              <w:rPr>
                <w:rFonts w:eastAsia="等线"/>
                <w:color w:val="000000"/>
              </w:rPr>
              <w:t>-41.80</w:t>
            </w:r>
          </w:p>
        </w:tc>
        <w:tc>
          <w:tcPr>
            <w:tcW w:w="699" w:type="pct"/>
            <w:tcMar>
              <w:top w:w="0" w:type="dxa"/>
              <w:left w:w="108" w:type="dxa"/>
              <w:bottom w:w="0" w:type="dxa"/>
              <w:right w:w="108" w:type="dxa"/>
            </w:tcMar>
            <w:vAlign w:val="center"/>
          </w:tcPr>
          <w:p w14:paraId="767D6D0D" w14:textId="77777777" w:rsidR="004B0883" w:rsidRDefault="004B0883">
            <w:pPr>
              <w:jc w:val="right"/>
              <w:rPr>
                <w:color w:val="000000"/>
              </w:rPr>
            </w:pPr>
            <w:r>
              <w:rPr>
                <w:rFonts w:eastAsia="等线"/>
                <w:color w:val="000000"/>
              </w:rPr>
              <w:t>-</w:t>
            </w:r>
          </w:p>
        </w:tc>
        <w:tc>
          <w:tcPr>
            <w:tcW w:w="699" w:type="pct"/>
            <w:tcMar>
              <w:top w:w="0" w:type="dxa"/>
              <w:left w:w="108" w:type="dxa"/>
              <w:bottom w:w="0" w:type="dxa"/>
              <w:right w:w="108" w:type="dxa"/>
            </w:tcMar>
            <w:vAlign w:val="center"/>
          </w:tcPr>
          <w:p w14:paraId="44CD7140" w14:textId="77777777" w:rsidR="004B0883" w:rsidRDefault="004B0883">
            <w:pPr>
              <w:jc w:val="right"/>
              <w:rPr>
                <w:color w:val="000000"/>
              </w:rPr>
            </w:pPr>
            <w:r>
              <w:rPr>
                <w:rFonts w:eastAsia="等线"/>
                <w:color w:val="000000"/>
              </w:rPr>
              <w:t>-12.96</w:t>
            </w:r>
          </w:p>
        </w:tc>
      </w:tr>
      <w:tr w:rsidR="004B0883" w14:paraId="71C5F23F" w14:textId="77777777">
        <w:trPr>
          <w:trHeight w:val="397"/>
          <w:jc w:val="center"/>
        </w:trPr>
        <w:tc>
          <w:tcPr>
            <w:tcW w:w="1967" w:type="pct"/>
            <w:tcMar>
              <w:top w:w="0" w:type="dxa"/>
              <w:left w:w="108" w:type="dxa"/>
              <w:bottom w:w="0" w:type="dxa"/>
              <w:right w:w="108" w:type="dxa"/>
            </w:tcMar>
            <w:vAlign w:val="center"/>
          </w:tcPr>
          <w:p w14:paraId="487001C0" w14:textId="77777777" w:rsidR="004B0883" w:rsidRDefault="004B0883">
            <w:pPr>
              <w:rPr>
                <w:color w:val="000000"/>
              </w:rPr>
            </w:pPr>
            <w:r>
              <w:rPr>
                <w:color w:val="000000"/>
              </w:rPr>
              <w:t>大额存单利息</w:t>
            </w:r>
          </w:p>
        </w:tc>
        <w:tc>
          <w:tcPr>
            <w:tcW w:w="936" w:type="pct"/>
            <w:tcMar>
              <w:top w:w="0" w:type="dxa"/>
              <w:left w:w="108" w:type="dxa"/>
              <w:bottom w:w="0" w:type="dxa"/>
              <w:right w:w="108" w:type="dxa"/>
            </w:tcMar>
            <w:vAlign w:val="center"/>
          </w:tcPr>
          <w:p w14:paraId="0C0000F0" w14:textId="77777777" w:rsidR="004B0883" w:rsidRDefault="004B0883">
            <w:pPr>
              <w:jc w:val="right"/>
              <w:rPr>
                <w:rFonts w:eastAsia="等线"/>
                <w:color w:val="000000"/>
              </w:rPr>
            </w:pPr>
            <w:r>
              <w:rPr>
                <w:rFonts w:eastAsia="等线"/>
                <w:color w:val="000000"/>
              </w:rPr>
              <w:t>128.46</w:t>
            </w:r>
          </w:p>
        </w:tc>
        <w:tc>
          <w:tcPr>
            <w:tcW w:w="699" w:type="pct"/>
            <w:tcMar>
              <w:top w:w="0" w:type="dxa"/>
              <w:left w:w="108" w:type="dxa"/>
              <w:bottom w:w="0" w:type="dxa"/>
              <w:right w:w="108" w:type="dxa"/>
            </w:tcMar>
            <w:vAlign w:val="center"/>
          </w:tcPr>
          <w:p w14:paraId="7730B706" w14:textId="77777777" w:rsidR="004B0883" w:rsidRDefault="004B0883">
            <w:pPr>
              <w:jc w:val="right"/>
              <w:rPr>
                <w:color w:val="000000"/>
              </w:rPr>
            </w:pPr>
            <w:r>
              <w:rPr>
                <w:rFonts w:eastAsia="等线"/>
                <w:color w:val="000000"/>
              </w:rPr>
              <w:t>227.82</w:t>
            </w:r>
          </w:p>
        </w:tc>
        <w:tc>
          <w:tcPr>
            <w:tcW w:w="699" w:type="pct"/>
            <w:tcMar>
              <w:top w:w="0" w:type="dxa"/>
              <w:left w:w="108" w:type="dxa"/>
              <w:bottom w:w="0" w:type="dxa"/>
              <w:right w:w="108" w:type="dxa"/>
            </w:tcMar>
            <w:vAlign w:val="center"/>
          </w:tcPr>
          <w:p w14:paraId="22EA5818" w14:textId="77777777" w:rsidR="004B0883" w:rsidRDefault="004B0883">
            <w:pPr>
              <w:jc w:val="right"/>
              <w:rPr>
                <w:color w:val="000000"/>
              </w:rPr>
            </w:pPr>
            <w:r>
              <w:rPr>
                <w:rFonts w:eastAsia="等线"/>
                <w:color w:val="000000"/>
              </w:rPr>
              <w:t>149.89</w:t>
            </w:r>
          </w:p>
        </w:tc>
        <w:tc>
          <w:tcPr>
            <w:tcW w:w="699" w:type="pct"/>
            <w:tcMar>
              <w:top w:w="0" w:type="dxa"/>
              <w:left w:w="108" w:type="dxa"/>
              <w:bottom w:w="0" w:type="dxa"/>
              <w:right w:w="108" w:type="dxa"/>
            </w:tcMar>
            <w:vAlign w:val="center"/>
          </w:tcPr>
          <w:p w14:paraId="13424E63" w14:textId="77777777" w:rsidR="004B0883" w:rsidRDefault="004B0883">
            <w:pPr>
              <w:jc w:val="right"/>
              <w:rPr>
                <w:color w:val="000000"/>
              </w:rPr>
            </w:pPr>
            <w:r>
              <w:rPr>
                <w:rFonts w:eastAsia="等线"/>
                <w:color w:val="000000"/>
              </w:rPr>
              <w:t>87.54</w:t>
            </w:r>
          </w:p>
        </w:tc>
      </w:tr>
      <w:tr w:rsidR="004B0883" w14:paraId="635FE86B" w14:textId="77777777">
        <w:trPr>
          <w:trHeight w:val="397"/>
          <w:jc w:val="center"/>
        </w:trPr>
        <w:tc>
          <w:tcPr>
            <w:tcW w:w="1967" w:type="pct"/>
            <w:tcMar>
              <w:top w:w="0" w:type="dxa"/>
              <w:left w:w="108" w:type="dxa"/>
              <w:bottom w:w="0" w:type="dxa"/>
              <w:right w:w="108" w:type="dxa"/>
            </w:tcMar>
            <w:vAlign w:val="center"/>
          </w:tcPr>
          <w:p w14:paraId="51EB4343" w14:textId="77777777" w:rsidR="004B0883" w:rsidRDefault="004B0883">
            <w:pPr>
              <w:rPr>
                <w:color w:val="000000"/>
              </w:rPr>
            </w:pPr>
            <w:r>
              <w:rPr>
                <w:color w:val="000000"/>
              </w:rPr>
              <w:t>债务重组</w:t>
            </w:r>
          </w:p>
        </w:tc>
        <w:tc>
          <w:tcPr>
            <w:tcW w:w="936" w:type="pct"/>
            <w:tcMar>
              <w:top w:w="0" w:type="dxa"/>
              <w:left w:w="108" w:type="dxa"/>
              <w:bottom w:w="0" w:type="dxa"/>
              <w:right w:w="108" w:type="dxa"/>
            </w:tcMar>
            <w:vAlign w:val="center"/>
          </w:tcPr>
          <w:p w14:paraId="49803C3A" w14:textId="77777777" w:rsidR="004B0883" w:rsidRDefault="004B0883">
            <w:pPr>
              <w:jc w:val="right"/>
              <w:rPr>
                <w:rFonts w:eastAsia="等线"/>
                <w:color w:val="000000"/>
              </w:rPr>
            </w:pPr>
            <w:r>
              <w:rPr>
                <w:rFonts w:eastAsia="等线"/>
                <w:color w:val="000000"/>
              </w:rPr>
              <w:t>-</w:t>
            </w:r>
          </w:p>
        </w:tc>
        <w:tc>
          <w:tcPr>
            <w:tcW w:w="699" w:type="pct"/>
            <w:tcMar>
              <w:top w:w="0" w:type="dxa"/>
              <w:left w:w="108" w:type="dxa"/>
              <w:bottom w:w="0" w:type="dxa"/>
              <w:right w:w="108" w:type="dxa"/>
            </w:tcMar>
            <w:vAlign w:val="center"/>
          </w:tcPr>
          <w:p w14:paraId="57936392" w14:textId="77777777" w:rsidR="004B0883" w:rsidRDefault="004B0883">
            <w:pPr>
              <w:jc w:val="right"/>
              <w:rPr>
                <w:color w:val="000000"/>
              </w:rPr>
            </w:pPr>
            <w:r>
              <w:rPr>
                <w:rFonts w:eastAsia="等线"/>
                <w:color w:val="000000"/>
              </w:rPr>
              <w:t>-26.40</w:t>
            </w:r>
          </w:p>
        </w:tc>
        <w:tc>
          <w:tcPr>
            <w:tcW w:w="699" w:type="pct"/>
            <w:tcMar>
              <w:top w:w="0" w:type="dxa"/>
              <w:left w:w="108" w:type="dxa"/>
              <w:bottom w:w="0" w:type="dxa"/>
              <w:right w:w="108" w:type="dxa"/>
            </w:tcMar>
            <w:vAlign w:val="center"/>
          </w:tcPr>
          <w:p w14:paraId="4C5FC476" w14:textId="77777777" w:rsidR="004B0883" w:rsidRDefault="004B0883">
            <w:pPr>
              <w:jc w:val="right"/>
              <w:rPr>
                <w:color w:val="000000"/>
              </w:rPr>
            </w:pPr>
            <w:r>
              <w:rPr>
                <w:rFonts w:eastAsia="等线"/>
                <w:color w:val="000000"/>
              </w:rPr>
              <w:t>-</w:t>
            </w:r>
          </w:p>
        </w:tc>
        <w:tc>
          <w:tcPr>
            <w:tcW w:w="699" w:type="pct"/>
            <w:tcMar>
              <w:top w:w="0" w:type="dxa"/>
              <w:left w:w="108" w:type="dxa"/>
              <w:bottom w:w="0" w:type="dxa"/>
              <w:right w:w="108" w:type="dxa"/>
            </w:tcMar>
            <w:vAlign w:val="center"/>
          </w:tcPr>
          <w:p w14:paraId="1100B657" w14:textId="77777777" w:rsidR="004B0883" w:rsidRDefault="004B0883">
            <w:pPr>
              <w:jc w:val="right"/>
              <w:rPr>
                <w:color w:val="000000"/>
              </w:rPr>
            </w:pPr>
            <w:r>
              <w:rPr>
                <w:rFonts w:eastAsia="等线"/>
                <w:color w:val="000000"/>
              </w:rPr>
              <w:t>-</w:t>
            </w:r>
          </w:p>
        </w:tc>
      </w:tr>
      <w:tr w:rsidR="004B0883" w14:paraId="67D368FE" w14:textId="77777777">
        <w:trPr>
          <w:trHeight w:val="397"/>
          <w:jc w:val="center"/>
        </w:trPr>
        <w:tc>
          <w:tcPr>
            <w:tcW w:w="1967" w:type="pct"/>
            <w:tcMar>
              <w:top w:w="0" w:type="dxa"/>
              <w:left w:w="108" w:type="dxa"/>
              <w:bottom w:w="0" w:type="dxa"/>
              <w:right w:w="108" w:type="dxa"/>
            </w:tcMar>
            <w:vAlign w:val="center"/>
          </w:tcPr>
          <w:p w14:paraId="71642F47" w14:textId="77777777" w:rsidR="004B0883" w:rsidRDefault="004B0883">
            <w:pPr>
              <w:jc w:val="center"/>
              <w:rPr>
                <w:b/>
                <w:color w:val="000000"/>
              </w:rPr>
            </w:pPr>
            <w:r>
              <w:rPr>
                <w:b/>
                <w:color w:val="000000"/>
              </w:rPr>
              <w:t>合计</w:t>
            </w:r>
          </w:p>
        </w:tc>
        <w:tc>
          <w:tcPr>
            <w:tcW w:w="936" w:type="pct"/>
            <w:tcMar>
              <w:top w:w="0" w:type="dxa"/>
              <w:left w:w="108" w:type="dxa"/>
              <w:bottom w:w="0" w:type="dxa"/>
              <w:right w:w="108" w:type="dxa"/>
            </w:tcMar>
            <w:vAlign w:val="center"/>
          </w:tcPr>
          <w:p w14:paraId="2B76B1E7" w14:textId="77777777" w:rsidR="004B0883" w:rsidRDefault="004B0883">
            <w:pPr>
              <w:jc w:val="right"/>
              <w:rPr>
                <w:rFonts w:eastAsia="等线"/>
                <w:b/>
                <w:bCs/>
                <w:color w:val="000000"/>
              </w:rPr>
            </w:pPr>
            <w:r>
              <w:rPr>
                <w:rFonts w:eastAsia="等线"/>
                <w:b/>
                <w:bCs/>
                <w:color w:val="000000"/>
              </w:rPr>
              <w:t>506.35</w:t>
            </w:r>
          </w:p>
        </w:tc>
        <w:tc>
          <w:tcPr>
            <w:tcW w:w="699" w:type="pct"/>
            <w:tcMar>
              <w:top w:w="0" w:type="dxa"/>
              <w:left w:w="108" w:type="dxa"/>
              <w:bottom w:w="0" w:type="dxa"/>
              <w:right w:w="108" w:type="dxa"/>
            </w:tcMar>
            <w:vAlign w:val="center"/>
          </w:tcPr>
          <w:p w14:paraId="0393AF2F" w14:textId="77777777" w:rsidR="004B0883" w:rsidRDefault="004B0883">
            <w:pPr>
              <w:jc w:val="right"/>
              <w:rPr>
                <w:b/>
                <w:color w:val="000000"/>
              </w:rPr>
            </w:pPr>
            <w:r>
              <w:rPr>
                <w:rFonts w:eastAsia="等线"/>
                <w:b/>
                <w:color w:val="000000"/>
              </w:rPr>
              <w:t>4,932.57</w:t>
            </w:r>
          </w:p>
        </w:tc>
        <w:tc>
          <w:tcPr>
            <w:tcW w:w="699" w:type="pct"/>
            <w:tcMar>
              <w:top w:w="0" w:type="dxa"/>
              <w:left w:w="108" w:type="dxa"/>
              <w:bottom w:w="0" w:type="dxa"/>
              <w:right w:w="108" w:type="dxa"/>
            </w:tcMar>
            <w:vAlign w:val="center"/>
          </w:tcPr>
          <w:p w14:paraId="53B43D65" w14:textId="77777777" w:rsidR="004B0883" w:rsidRDefault="004B0883">
            <w:pPr>
              <w:jc w:val="right"/>
              <w:rPr>
                <w:b/>
                <w:color w:val="000000"/>
              </w:rPr>
            </w:pPr>
            <w:r>
              <w:rPr>
                <w:rFonts w:eastAsia="等线"/>
                <w:b/>
                <w:color w:val="000000"/>
              </w:rPr>
              <w:t>1,591.57</w:t>
            </w:r>
          </w:p>
        </w:tc>
        <w:tc>
          <w:tcPr>
            <w:tcW w:w="699" w:type="pct"/>
            <w:tcMar>
              <w:top w:w="0" w:type="dxa"/>
              <w:left w:w="108" w:type="dxa"/>
              <w:bottom w:w="0" w:type="dxa"/>
              <w:right w:w="108" w:type="dxa"/>
            </w:tcMar>
            <w:vAlign w:val="center"/>
          </w:tcPr>
          <w:p w14:paraId="44A422AF" w14:textId="77777777" w:rsidR="004B0883" w:rsidRDefault="004B0883">
            <w:pPr>
              <w:jc w:val="right"/>
              <w:rPr>
                <w:b/>
                <w:color w:val="000000"/>
              </w:rPr>
            </w:pPr>
            <w:r>
              <w:rPr>
                <w:rFonts w:eastAsia="等线"/>
                <w:b/>
                <w:color w:val="000000"/>
              </w:rPr>
              <w:t>918.64</w:t>
            </w:r>
          </w:p>
        </w:tc>
      </w:tr>
    </w:tbl>
    <w:p w14:paraId="346FB4D0" w14:textId="77777777" w:rsidR="004B0883" w:rsidRDefault="004B0883">
      <w:pPr>
        <w:pStyle w:val="005"/>
        <w:spacing w:before="120"/>
        <w:ind w:firstLine="480"/>
      </w:pPr>
      <w:r>
        <w:t>报告期各期，公司投资收益分别为</w:t>
      </w:r>
      <w:r>
        <w:t>918.64</w:t>
      </w:r>
      <w:r>
        <w:t>万元、</w:t>
      </w:r>
      <w:r>
        <w:t>1,591.57</w:t>
      </w:r>
      <w:r>
        <w:t>万元、</w:t>
      </w:r>
      <w:r>
        <w:t>4,932.57</w:t>
      </w:r>
      <w:r>
        <w:t>万元和</w:t>
      </w:r>
      <w:r>
        <w:t>506.35</w:t>
      </w:r>
      <w:r>
        <w:t>万元。</w:t>
      </w:r>
    </w:p>
    <w:p w14:paraId="3C784F8D" w14:textId="77777777" w:rsidR="004B0883" w:rsidRDefault="004B0883">
      <w:pPr>
        <w:pStyle w:val="005"/>
        <w:spacing w:before="120"/>
        <w:ind w:firstLine="480"/>
      </w:pPr>
      <w:r>
        <w:t>2022</w:t>
      </w:r>
      <w:r>
        <w:t>年，公司投资收益金额增加较多，主要系公司处置子公司青岛即聚机电有限责任公司股权获得的投资收益。</w:t>
      </w:r>
    </w:p>
    <w:p w14:paraId="6E90B2B4" w14:textId="77777777" w:rsidR="004B0883" w:rsidRDefault="004B0883">
      <w:pPr>
        <w:pStyle w:val="004"/>
        <w:spacing w:before="120" w:after="120"/>
        <w:ind w:firstLine="482"/>
      </w:pPr>
      <w:r>
        <w:t>2</w:t>
      </w:r>
      <w:r>
        <w:t>、其他收益</w:t>
      </w:r>
    </w:p>
    <w:p w14:paraId="4024A577" w14:textId="77777777" w:rsidR="004B0883" w:rsidRDefault="004B0883">
      <w:pPr>
        <w:pStyle w:val="005"/>
        <w:spacing w:before="120"/>
        <w:ind w:firstLine="480"/>
      </w:pPr>
      <w:r>
        <w:t>报告期各期，公司其他收益具体情况如下：</w:t>
      </w:r>
    </w:p>
    <w:p w14:paraId="58ECACA8" w14:textId="77777777" w:rsidR="004B0883" w:rsidRDefault="004B0883">
      <w:pPr>
        <w:pStyle w:val="009"/>
      </w:pPr>
      <w: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585"/>
        <w:gridCol w:w="1512"/>
        <w:gridCol w:w="1396"/>
        <w:gridCol w:w="1396"/>
        <w:gridCol w:w="1391"/>
      </w:tblGrid>
      <w:tr w:rsidR="004B0883" w14:paraId="63F563F4" w14:textId="77777777">
        <w:trPr>
          <w:trHeight w:val="397"/>
          <w:tblHeader/>
          <w:jc w:val="center"/>
        </w:trPr>
        <w:tc>
          <w:tcPr>
            <w:tcW w:w="1561" w:type="pct"/>
            <w:shd w:val="clear" w:color="auto" w:fill="D9D9D9"/>
            <w:tcMar>
              <w:top w:w="0" w:type="dxa"/>
              <w:left w:w="108" w:type="dxa"/>
              <w:bottom w:w="0" w:type="dxa"/>
              <w:right w:w="108" w:type="dxa"/>
            </w:tcMar>
            <w:vAlign w:val="center"/>
          </w:tcPr>
          <w:p w14:paraId="0AA88E7D" w14:textId="77777777" w:rsidR="004B0883" w:rsidRDefault="004B0883">
            <w:pPr>
              <w:jc w:val="center"/>
              <w:rPr>
                <w:b/>
                <w:color w:val="000000"/>
              </w:rPr>
            </w:pPr>
            <w:r>
              <w:rPr>
                <w:b/>
                <w:color w:val="000000"/>
              </w:rPr>
              <w:t>项目</w:t>
            </w:r>
          </w:p>
        </w:tc>
        <w:tc>
          <w:tcPr>
            <w:tcW w:w="913" w:type="pct"/>
            <w:shd w:val="clear" w:color="auto" w:fill="D9D9D9"/>
            <w:tcMar>
              <w:top w:w="0" w:type="dxa"/>
              <w:left w:w="108" w:type="dxa"/>
              <w:bottom w:w="0" w:type="dxa"/>
              <w:right w:w="108" w:type="dxa"/>
            </w:tcMar>
            <w:vAlign w:val="center"/>
          </w:tcPr>
          <w:p w14:paraId="7F6F02A2" w14:textId="77777777" w:rsidR="004B0883" w:rsidRDefault="004B0883">
            <w:pPr>
              <w:jc w:val="center"/>
              <w:rPr>
                <w:b/>
                <w:color w:val="000000"/>
              </w:rPr>
            </w:pPr>
            <w:r>
              <w:rPr>
                <w:b/>
                <w:color w:val="000000"/>
              </w:rPr>
              <w:t>2023</w:t>
            </w:r>
            <w:r>
              <w:rPr>
                <w:b/>
                <w:color w:val="000000"/>
              </w:rPr>
              <w:t>年</w:t>
            </w:r>
            <w:r>
              <w:rPr>
                <w:b/>
                <w:color w:val="000000"/>
              </w:rPr>
              <w:t>1-9</w:t>
            </w:r>
            <w:r>
              <w:rPr>
                <w:b/>
                <w:color w:val="000000"/>
              </w:rPr>
              <w:t>月</w:t>
            </w:r>
          </w:p>
        </w:tc>
        <w:tc>
          <w:tcPr>
            <w:tcW w:w="843" w:type="pct"/>
            <w:shd w:val="clear" w:color="auto" w:fill="D9D9D9"/>
            <w:tcMar>
              <w:top w:w="0" w:type="dxa"/>
              <w:left w:w="108" w:type="dxa"/>
              <w:bottom w:w="0" w:type="dxa"/>
              <w:right w:w="108" w:type="dxa"/>
            </w:tcMar>
            <w:vAlign w:val="center"/>
          </w:tcPr>
          <w:p w14:paraId="60C50E04" w14:textId="77777777" w:rsidR="004B0883" w:rsidRDefault="004B0883">
            <w:pPr>
              <w:jc w:val="center"/>
              <w:rPr>
                <w:b/>
                <w:color w:val="000000"/>
              </w:rPr>
            </w:pPr>
            <w:r>
              <w:rPr>
                <w:b/>
                <w:color w:val="000000"/>
              </w:rPr>
              <w:t>2022</w:t>
            </w:r>
            <w:r>
              <w:rPr>
                <w:b/>
                <w:color w:val="000000"/>
              </w:rPr>
              <w:t>年度</w:t>
            </w:r>
          </w:p>
        </w:tc>
        <w:tc>
          <w:tcPr>
            <w:tcW w:w="843" w:type="pct"/>
            <w:shd w:val="clear" w:color="auto" w:fill="D9D9D9"/>
            <w:tcMar>
              <w:top w:w="0" w:type="dxa"/>
              <w:left w:w="108" w:type="dxa"/>
              <w:bottom w:w="0" w:type="dxa"/>
              <w:right w:w="108" w:type="dxa"/>
            </w:tcMar>
            <w:vAlign w:val="center"/>
          </w:tcPr>
          <w:p w14:paraId="02B79163" w14:textId="77777777" w:rsidR="004B0883" w:rsidRDefault="004B0883">
            <w:pPr>
              <w:jc w:val="center"/>
              <w:rPr>
                <w:b/>
                <w:color w:val="000000"/>
              </w:rPr>
            </w:pPr>
            <w:r>
              <w:rPr>
                <w:b/>
                <w:color w:val="000000"/>
              </w:rPr>
              <w:t>2021</w:t>
            </w:r>
            <w:r>
              <w:rPr>
                <w:b/>
                <w:color w:val="000000"/>
              </w:rPr>
              <w:t>年度</w:t>
            </w:r>
          </w:p>
        </w:tc>
        <w:tc>
          <w:tcPr>
            <w:tcW w:w="840" w:type="pct"/>
            <w:shd w:val="clear" w:color="auto" w:fill="D9D9D9"/>
            <w:tcMar>
              <w:top w:w="0" w:type="dxa"/>
              <w:left w:w="108" w:type="dxa"/>
              <w:bottom w:w="0" w:type="dxa"/>
              <w:right w:w="108" w:type="dxa"/>
            </w:tcMar>
            <w:vAlign w:val="center"/>
          </w:tcPr>
          <w:p w14:paraId="575145F3" w14:textId="77777777" w:rsidR="004B0883" w:rsidRDefault="004B0883">
            <w:pPr>
              <w:jc w:val="center"/>
              <w:rPr>
                <w:b/>
                <w:color w:val="000000"/>
              </w:rPr>
            </w:pPr>
            <w:r>
              <w:rPr>
                <w:b/>
                <w:color w:val="000000"/>
              </w:rPr>
              <w:t>2020</w:t>
            </w:r>
            <w:r>
              <w:rPr>
                <w:b/>
                <w:color w:val="000000"/>
              </w:rPr>
              <w:t>年度</w:t>
            </w:r>
          </w:p>
        </w:tc>
      </w:tr>
      <w:tr w:rsidR="004B0883" w14:paraId="69359308" w14:textId="77777777">
        <w:trPr>
          <w:trHeight w:val="397"/>
          <w:jc w:val="center"/>
        </w:trPr>
        <w:tc>
          <w:tcPr>
            <w:tcW w:w="1561" w:type="pct"/>
            <w:tcMar>
              <w:top w:w="0" w:type="dxa"/>
              <w:left w:w="108" w:type="dxa"/>
              <w:bottom w:w="0" w:type="dxa"/>
              <w:right w:w="108" w:type="dxa"/>
            </w:tcMar>
            <w:vAlign w:val="center"/>
          </w:tcPr>
          <w:p w14:paraId="58086EF7" w14:textId="77777777" w:rsidR="004B0883" w:rsidRDefault="004B0883">
            <w:pPr>
              <w:rPr>
                <w:color w:val="000000"/>
              </w:rPr>
            </w:pPr>
            <w:r>
              <w:rPr>
                <w:color w:val="000000"/>
              </w:rPr>
              <w:t>与资产相关的政府补助</w:t>
            </w:r>
          </w:p>
        </w:tc>
        <w:tc>
          <w:tcPr>
            <w:tcW w:w="913" w:type="pct"/>
            <w:tcMar>
              <w:top w:w="0" w:type="dxa"/>
              <w:left w:w="108" w:type="dxa"/>
              <w:bottom w:w="0" w:type="dxa"/>
              <w:right w:w="108" w:type="dxa"/>
            </w:tcMar>
            <w:vAlign w:val="center"/>
          </w:tcPr>
          <w:p w14:paraId="5695E613" w14:textId="77777777" w:rsidR="004B0883" w:rsidRDefault="004B0883">
            <w:pPr>
              <w:jc w:val="right"/>
              <w:rPr>
                <w:color w:val="000000"/>
              </w:rPr>
            </w:pPr>
            <w:r>
              <w:rPr>
                <w:color w:val="000000"/>
              </w:rPr>
              <w:t>64.39</w:t>
            </w:r>
          </w:p>
        </w:tc>
        <w:tc>
          <w:tcPr>
            <w:tcW w:w="843" w:type="pct"/>
            <w:tcMar>
              <w:top w:w="0" w:type="dxa"/>
              <w:left w:w="108" w:type="dxa"/>
              <w:bottom w:w="0" w:type="dxa"/>
              <w:right w:w="108" w:type="dxa"/>
            </w:tcMar>
            <w:vAlign w:val="center"/>
          </w:tcPr>
          <w:p w14:paraId="4FA859C4" w14:textId="77777777" w:rsidR="004B0883" w:rsidRDefault="004B0883">
            <w:pPr>
              <w:jc w:val="right"/>
              <w:rPr>
                <w:color w:val="000000"/>
              </w:rPr>
            </w:pPr>
            <w:r>
              <w:rPr>
                <w:color w:val="000000"/>
              </w:rPr>
              <w:t>86.52</w:t>
            </w:r>
          </w:p>
        </w:tc>
        <w:tc>
          <w:tcPr>
            <w:tcW w:w="843" w:type="pct"/>
            <w:tcMar>
              <w:top w:w="0" w:type="dxa"/>
              <w:left w:w="108" w:type="dxa"/>
              <w:bottom w:w="0" w:type="dxa"/>
              <w:right w:w="108" w:type="dxa"/>
            </w:tcMar>
            <w:vAlign w:val="center"/>
          </w:tcPr>
          <w:p w14:paraId="08889F81" w14:textId="77777777" w:rsidR="004B0883" w:rsidRDefault="004B0883">
            <w:pPr>
              <w:jc w:val="right"/>
              <w:rPr>
                <w:color w:val="000000"/>
              </w:rPr>
            </w:pPr>
            <w:r>
              <w:rPr>
                <w:color w:val="000000"/>
              </w:rPr>
              <w:t>79.09</w:t>
            </w:r>
          </w:p>
        </w:tc>
        <w:tc>
          <w:tcPr>
            <w:tcW w:w="840" w:type="pct"/>
            <w:tcMar>
              <w:top w:w="0" w:type="dxa"/>
              <w:left w:w="108" w:type="dxa"/>
              <w:bottom w:w="0" w:type="dxa"/>
              <w:right w:w="108" w:type="dxa"/>
            </w:tcMar>
            <w:vAlign w:val="center"/>
          </w:tcPr>
          <w:p w14:paraId="7C5BCF88" w14:textId="77777777" w:rsidR="004B0883" w:rsidRDefault="004B0883">
            <w:pPr>
              <w:jc w:val="right"/>
              <w:rPr>
                <w:color w:val="000000"/>
              </w:rPr>
            </w:pPr>
            <w:r>
              <w:rPr>
                <w:color w:val="000000"/>
              </w:rPr>
              <w:t>59.26</w:t>
            </w:r>
          </w:p>
        </w:tc>
      </w:tr>
      <w:tr w:rsidR="004B0883" w14:paraId="77F20E0C" w14:textId="77777777">
        <w:trPr>
          <w:trHeight w:val="397"/>
          <w:jc w:val="center"/>
        </w:trPr>
        <w:tc>
          <w:tcPr>
            <w:tcW w:w="1561" w:type="pct"/>
            <w:tcMar>
              <w:top w:w="0" w:type="dxa"/>
              <w:left w:w="108" w:type="dxa"/>
              <w:bottom w:w="0" w:type="dxa"/>
              <w:right w:w="108" w:type="dxa"/>
            </w:tcMar>
            <w:vAlign w:val="center"/>
          </w:tcPr>
          <w:p w14:paraId="47569936" w14:textId="77777777" w:rsidR="004B0883" w:rsidRDefault="004B0883">
            <w:pPr>
              <w:rPr>
                <w:color w:val="000000"/>
              </w:rPr>
            </w:pPr>
            <w:r>
              <w:rPr>
                <w:color w:val="000000"/>
              </w:rPr>
              <w:t>与收益相关的政府补助</w:t>
            </w:r>
          </w:p>
        </w:tc>
        <w:tc>
          <w:tcPr>
            <w:tcW w:w="913" w:type="pct"/>
            <w:tcMar>
              <w:top w:w="0" w:type="dxa"/>
              <w:left w:w="108" w:type="dxa"/>
              <w:bottom w:w="0" w:type="dxa"/>
              <w:right w:w="108" w:type="dxa"/>
            </w:tcMar>
            <w:vAlign w:val="center"/>
          </w:tcPr>
          <w:p w14:paraId="60407765" w14:textId="77777777" w:rsidR="004B0883" w:rsidRDefault="004B0883">
            <w:pPr>
              <w:jc w:val="right"/>
              <w:rPr>
                <w:color w:val="000000"/>
              </w:rPr>
            </w:pPr>
            <w:r>
              <w:rPr>
                <w:color w:val="000000"/>
              </w:rPr>
              <w:t>127.03</w:t>
            </w:r>
          </w:p>
        </w:tc>
        <w:tc>
          <w:tcPr>
            <w:tcW w:w="843" w:type="pct"/>
            <w:tcMar>
              <w:top w:w="0" w:type="dxa"/>
              <w:left w:w="108" w:type="dxa"/>
              <w:bottom w:w="0" w:type="dxa"/>
              <w:right w:w="108" w:type="dxa"/>
            </w:tcMar>
            <w:vAlign w:val="center"/>
          </w:tcPr>
          <w:p w14:paraId="2431422C" w14:textId="77777777" w:rsidR="004B0883" w:rsidRDefault="004B0883">
            <w:pPr>
              <w:jc w:val="right"/>
              <w:rPr>
                <w:color w:val="000000"/>
              </w:rPr>
            </w:pPr>
            <w:r>
              <w:rPr>
                <w:color w:val="000000"/>
              </w:rPr>
              <w:t>241.72</w:t>
            </w:r>
          </w:p>
        </w:tc>
        <w:tc>
          <w:tcPr>
            <w:tcW w:w="843" w:type="pct"/>
            <w:tcMar>
              <w:top w:w="0" w:type="dxa"/>
              <w:left w:w="108" w:type="dxa"/>
              <w:bottom w:w="0" w:type="dxa"/>
              <w:right w:w="108" w:type="dxa"/>
            </w:tcMar>
            <w:vAlign w:val="center"/>
          </w:tcPr>
          <w:p w14:paraId="10C45BB8" w14:textId="77777777" w:rsidR="004B0883" w:rsidRDefault="004B0883">
            <w:pPr>
              <w:jc w:val="right"/>
              <w:rPr>
                <w:color w:val="000000"/>
              </w:rPr>
            </w:pPr>
            <w:r>
              <w:rPr>
                <w:color w:val="000000"/>
              </w:rPr>
              <w:t>222.40</w:t>
            </w:r>
          </w:p>
        </w:tc>
        <w:tc>
          <w:tcPr>
            <w:tcW w:w="840" w:type="pct"/>
            <w:tcMar>
              <w:top w:w="0" w:type="dxa"/>
              <w:left w:w="108" w:type="dxa"/>
              <w:bottom w:w="0" w:type="dxa"/>
              <w:right w:w="108" w:type="dxa"/>
            </w:tcMar>
            <w:vAlign w:val="center"/>
          </w:tcPr>
          <w:p w14:paraId="57FF4B21" w14:textId="77777777" w:rsidR="004B0883" w:rsidRDefault="004B0883">
            <w:pPr>
              <w:jc w:val="right"/>
              <w:rPr>
                <w:color w:val="000000"/>
              </w:rPr>
            </w:pPr>
            <w:r>
              <w:rPr>
                <w:color w:val="000000"/>
              </w:rPr>
              <w:t>350.35</w:t>
            </w:r>
          </w:p>
        </w:tc>
      </w:tr>
      <w:tr w:rsidR="004B0883" w14:paraId="4E8374F5" w14:textId="77777777">
        <w:trPr>
          <w:trHeight w:val="397"/>
          <w:jc w:val="center"/>
        </w:trPr>
        <w:tc>
          <w:tcPr>
            <w:tcW w:w="1561" w:type="pct"/>
            <w:tcMar>
              <w:top w:w="0" w:type="dxa"/>
              <w:left w:w="108" w:type="dxa"/>
              <w:bottom w:w="0" w:type="dxa"/>
              <w:right w:w="108" w:type="dxa"/>
            </w:tcMar>
            <w:vAlign w:val="center"/>
          </w:tcPr>
          <w:p w14:paraId="1C11D321" w14:textId="77777777" w:rsidR="004B0883" w:rsidRDefault="004B0883">
            <w:pPr>
              <w:rPr>
                <w:color w:val="000000"/>
              </w:rPr>
            </w:pPr>
            <w:r>
              <w:rPr>
                <w:color w:val="000000"/>
              </w:rPr>
              <w:t>退伍军人附加税减免</w:t>
            </w:r>
          </w:p>
        </w:tc>
        <w:tc>
          <w:tcPr>
            <w:tcW w:w="913" w:type="pct"/>
            <w:tcMar>
              <w:top w:w="0" w:type="dxa"/>
              <w:left w:w="108" w:type="dxa"/>
              <w:bottom w:w="0" w:type="dxa"/>
              <w:right w:w="108" w:type="dxa"/>
            </w:tcMar>
            <w:vAlign w:val="center"/>
          </w:tcPr>
          <w:p w14:paraId="72DD5AB3" w14:textId="77777777" w:rsidR="004B0883" w:rsidRDefault="004B0883">
            <w:pPr>
              <w:jc w:val="right"/>
              <w:rPr>
                <w:color w:val="000000"/>
              </w:rPr>
            </w:pPr>
            <w:r>
              <w:rPr>
                <w:color w:val="000000"/>
              </w:rPr>
              <w:t>5.78</w:t>
            </w:r>
          </w:p>
        </w:tc>
        <w:tc>
          <w:tcPr>
            <w:tcW w:w="843" w:type="pct"/>
            <w:tcMar>
              <w:top w:w="0" w:type="dxa"/>
              <w:left w:w="108" w:type="dxa"/>
              <w:bottom w:w="0" w:type="dxa"/>
              <w:right w:w="108" w:type="dxa"/>
            </w:tcMar>
            <w:vAlign w:val="center"/>
          </w:tcPr>
          <w:p w14:paraId="30ED6A55" w14:textId="77777777" w:rsidR="004B0883" w:rsidRDefault="004B0883">
            <w:pPr>
              <w:jc w:val="right"/>
              <w:rPr>
                <w:color w:val="000000"/>
              </w:rPr>
            </w:pPr>
            <w:r>
              <w:rPr>
                <w:color w:val="000000"/>
              </w:rPr>
              <w:t>3.60</w:t>
            </w:r>
          </w:p>
        </w:tc>
        <w:tc>
          <w:tcPr>
            <w:tcW w:w="843" w:type="pct"/>
            <w:tcMar>
              <w:top w:w="0" w:type="dxa"/>
              <w:left w:w="108" w:type="dxa"/>
              <w:bottom w:w="0" w:type="dxa"/>
              <w:right w:w="108" w:type="dxa"/>
            </w:tcMar>
            <w:vAlign w:val="center"/>
          </w:tcPr>
          <w:p w14:paraId="1F150889" w14:textId="77777777" w:rsidR="004B0883" w:rsidRDefault="004B0883">
            <w:pPr>
              <w:jc w:val="right"/>
              <w:rPr>
                <w:color w:val="000000"/>
              </w:rPr>
            </w:pPr>
            <w:r>
              <w:rPr>
                <w:color w:val="000000"/>
              </w:rPr>
              <w:t>-</w:t>
            </w:r>
          </w:p>
        </w:tc>
        <w:tc>
          <w:tcPr>
            <w:tcW w:w="840" w:type="pct"/>
            <w:tcMar>
              <w:top w:w="0" w:type="dxa"/>
              <w:left w:w="108" w:type="dxa"/>
              <w:bottom w:w="0" w:type="dxa"/>
              <w:right w:w="108" w:type="dxa"/>
            </w:tcMar>
            <w:vAlign w:val="center"/>
          </w:tcPr>
          <w:p w14:paraId="04F53874" w14:textId="77777777" w:rsidR="004B0883" w:rsidRDefault="004B0883">
            <w:pPr>
              <w:jc w:val="right"/>
              <w:rPr>
                <w:color w:val="000000"/>
              </w:rPr>
            </w:pPr>
            <w:r>
              <w:rPr>
                <w:color w:val="000000"/>
              </w:rPr>
              <w:t>-</w:t>
            </w:r>
          </w:p>
        </w:tc>
      </w:tr>
      <w:tr w:rsidR="004B0883" w14:paraId="18C0ABD1" w14:textId="77777777">
        <w:trPr>
          <w:trHeight w:val="397"/>
          <w:jc w:val="center"/>
        </w:trPr>
        <w:tc>
          <w:tcPr>
            <w:tcW w:w="1561" w:type="pct"/>
            <w:tcMar>
              <w:top w:w="0" w:type="dxa"/>
              <w:left w:w="108" w:type="dxa"/>
              <w:bottom w:w="0" w:type="dxa"/>
              <w:right w:w="108" w:type="dxa"/>
            </w:tcMar>
            <w:vAlign w:val="center"/>
          </w:tcPr>
          <w:p w14:paraId="242ACB66" w14:textId="77777777" w:rsidR="004B0883" w:rsidRDefault="004B0883">
            <w:pPr>
              <w:rPr>
                <w:color w:val="000000"/>
              </w:rPr>
            </w:pPr>
            <w:r>
              <w:rPr>
                <w:color w:val="000000"/>
              </w:rPr>
              <w:t>手续费返还</w:t>
            </w:r>
          </w:p>
        </w:tc>
        <w:tc>
          <w:tcPr>
            <w:tcW w:w="913" w:type="pct"/>
            <w:tcMar>
              <w:top w:w="0" w:type="dxa"/>
              <w:left w:w="108" w:type="dxa"/>
              <w:bottom w:w="0" w:type="dxa"/>
              <w:right w:w="108" w:type="dxa"/>
            </w:tcMar>
            <w:vAlign w:val="center"/>
          </w:tcPr>
          <w:p w14:paraId="18C9CD37" w14:textId="77777777" w:rsidR="004B0883" w:rsidRDefault="004B0883">
            <w:pPr>
              <w:jc w:val="right"/>
              <w:rPr>
                <w:color w:val="000000"/>
              </w:rPr>
            </w:pPr>
            <w:r>
              <w:rPr>
                <w:color w:val="000000"/>
              </w:rPr>
              <w:t>4.19</w:t>
            </w:r>
          </w:p>
        </w:tc>
        <w:tc>
          <w:tcPr>
            <w:tcW w:w="843" w:type="pct"/>
            <w:tcMar>
              <w:top w:w="0" w:type="dxa"/>
              <w:left w:w="108" w:type="dxa"/>
              <w:bottom w:w="0" w:type="dxa"/>
              <w:right w:w="108" w:type="dxa"/>
            </w:tcMar>
            <w:vAlign w:val="center"/>
          </w:tcPr>
          <w:p w14:paraId="10D2838F" w14:textId="77777777" w:rsidR="004B0883" w:rsidRDefault="004B0883">
            <w:pPr>
              <w:jc w:val="right"/>
              <w:rPr>
                <w:color w:val="000000"/>
              </w:rPr>
            </w:pPr>
            <w:r>
              <w:rPr>
                <w:color w:val="000000"/>
              </w:rPr>
              <w:t>4.49</w:t>
            </w:r>
          </w:p>
        </w:tc>
        <w:tc>
          <w:tcPr>
            <w:tcW w:w="843" w:type="pct"/>
            <w:tcMar>
              <w:top w:w="0" w:type="dxa"/>
              <w:left w:w="108" w:type="dxa"/>
              <w:bottom w:w="0" w:type="dxa"/>
              <w:right w:w="108" w:type="dxa"/>
            </w:tcMar>
            <w:vAlign w:val="center"/>
          </w:tcPr>
          <w:p w14:paraId="770DD0D9" w14:textId="77777777" w:rsidR="004B0883" w:rsidRDefault="004B0883">
            <w:pPr>
              <w:jc w:val="right"/>
              <w:rPr>
                <w:color w:val="000000"/>
              </w:rPr>
            </w:pPr>
            <w:r>
              <w:rPr>
                <w:color w:val="000000"/>
              </w:rPr>
              <w:t>5.14</w:t>
            </w:r>
          </w:p>
        </w:tc>
        <w:tc>
          <w:tcPr>
            <w:tcW w:w="840" w:type="pct"/>
            <w:tcMar>
              <w:top w:w="0" w:type="dxa"/>
              <w:left w:w="108" w:type="dxa"/>
              <w:bottom w:w="0" w:type="dxa"/>
              <w:right w:w="108" w:type="dxa"/>
            </w:tcMar>
            <w:vAlign w:val="center"/>
          </w:tcPr>
          <w:p w14:paraId="6812151B" w14:textId="77777777" w:rsidR="004B0883" w:rsidRDefault="004B0883">
            <w:pPr>
              <w:jc w:val="right"/>
              <w:rPr>
                <w:color w:val="000000"/>
              </w:rPr>
            </w:pPr>
            <w:r>
              <w:rPr>
                <w:color w:val="000000"/>
              </w:rPr>
              <w:t>5.89</w:t>
            </w:r>
          </w:p>
        </w:tc>
      </w:tr>
      <w:tr w:rsidR="004B0883" w14:paraId="38795B11" w14:textId="77777777">
        <w:trPr>
          <w:trHeight w:val="397"/>
          <w:jc w:val="center"/>
        </w:trPr>
        <w:tc>
          <w:tcPr>
            <w:tcW w:w="1561" w:type="pct"/>
            <w:tcMar>
              <w:top w:w="0" w:type="dxa"/>
              <w:left w:w="108" w:type="dxa"/>
              <w:bottom w:w="0" w:type="dxa"/>
              <w:right w:w="108" w:type="dxa"/>
            </w:tcMar>
            <w:vAlign w:val="center"/>
          </w:tcPr>
          <w:p w14:paraId="328C1FD5" w14:textId="77777777" w:rsidR="004B0883" w:rsidRDefault="004B0883">
            <w:pPr>
              <w:rPr>
                <w:color w:val="000000"/>
              </w:rPr>
            </w:pPr>
            <w:r>
              <w:rPr>
                <w:color w:val="000000"/>
              </w:rPr>
              <w:t>税收减免</w:t>
            </w:r>
          </w:p>
        </w:tc>
        <w:tc>
          <w:tcPr>
            <w:tcW w:w="913" w:type="pct"/>
            <w:tcMar>
              <w:top w:w="0" w:type="dxa"/>
              <w:left w:w="108" w:type="dxa"/>
              <w:bottom w:w="0" w:type="dxa"/>
              <w:right w:w="108" w:type="dxa"/>
            </w:tcMar>
            <w:vAlign w:val="center"/>
          </w:tcPr>
          <w:p w14:paraId="44ADFCFB" w14:textId="77777777" w:rsidR="004B0883" w:rsidRDefault="004B0883">
            <w:pPr>
              <w:jc w:val="right"/>
              <w:rPr>
                <w:color w:val="000000"/>
              </w:rPr>
            </w:pPr>
            <w:r>
              <w:rPr>
                <w:color w:val="000000"/>
              </w:rPr>
              <w:t>2.11</w:t>
            </w:r>
          </w:p>
        </w:tc>
        <w:tc>
          <w:tcPr>
            <w:tcW w:w="843" w:type="pct"/>
            <w:tcMar>
              <w:top w:w="0" w:type="dxa"/>
              <w:left w:w="108" w:type="dxa"/>
              <w:bottom w:w="0" w:type="dxa"/>
              <w:right w:w="108" w:type="dxa"/>
            </w:tcMar>
            <w:vAlign w:val="center"/>
          </w:tcPr>
          <w:p w14:paraId="61CEF16A" w14:textId="77777777" w:rsidR="004B0883" w:rsidRDefault="004B0883">
            <w:pPr>
              <w:jc w:val="right"/>
              <w:rPr>
                <w:color w:val="000000"/>
              </w:rPr>
            </w:pPr>
            <w:r>
              <w:rPr>
                <w:color w:val="000000"/>
              </w:rPr>
              <w:t>4.32</w:t>
            </w:r>
          </w:p>
        </w:tc>
        <w:tc>
          <w:tcPr>
            <w:tcW w:w="843" w:type="pct"/>
            <w:tcMar>
              <w:top w:w="0" w:type="dxa"/>
              <w:left w:w="108" w:type="dxa"/>
              <w:bottom w:w="0" w:type="dxa"/>
              <w:right w:w="108" w:type="dxa"/>
            </w:tcMar>
            <w:vAlign w:val="center"/>
          </w:tcPr>
          <w:p w14:paraId="5B104D3E" w14:textId="77777777" w:rsidR="004B0883" w:rsidRDefault="004B0883">
            <w:pPr>
              <w:jc w:val="right"/>
              <w:rPr>
                <w:color w:val="000000"/>
              </w:rPr>
            </w:pPr>
            <w:r>
              <w:rPr>
                <w:color w:val="000000"/>
              </w:rPr>
              <w:t>8.52</w:t>
            </w:r>
          </w:p>
        </w:tc>
        <w:tc>
          <w:tcPr>
            <w:tcW w:w="840" w:type="pct"/>
            <w:tcMar>
              <w:top w:w="0" w:type="dxa"/>
              <w:left w:w="108" w:type="dxa"/>
              <w:bottom w:w="0" w:type="dxa"/>
              <w:right w:w="108" w:type="dxa"/>
            </w:tcMar>
            <w:vAlign w:val="center"/>
          </w:tcPr>
          <w:p w14:paraId="1B702648" w14:textId="77777777" w:rsidR="004B0883" w:rsidRDefault="004B0883">
            <w:pPr>
              <w:jc w:val="right"/>
              <w:rPr>
                <w:color w:val="000000"/>
              </w:rPr>
            </w:pPr>
            <w:r>
              <w:rPr>
                <w:color w:val="000000"/>
              </w:rPr>
              <w:t>1.56</w:t>
            </w:r>
          </w:p>
        </w:tc>
      </w:tr>
      <w:tr w:rsidR="004B0883" w14:paraId="2AFBAAE3" w14:textId="77777777">
        <w:trPr>
          <w:trHeight w:val="397"/>
          <w:jc w:val="center"/>
        </w:trPr>
        <w:tc>
          <w:tcPr>
            <w:tcW w:w="1561" w:type="pct"/>
            <w:tcMar>
              <w:top w:w="0" w:type="dxa"/>
              <w:left w:w="108" w:type="dxa"/>
              <w:bottom w:w="0" w:type="dxa"/>
              <w:right w:w="108" w:type="dxa"/>
            </w:tcMar>
            <w:vAlign w:val="center"/>
          </w:tcPr>
          <w:p w14:paraId="22A77CE2" w14:textId="77777777" w:rsidR="004B0883" w:rsidRDefault="004B0883">
            <w:pPr>
              <w:jc w:val="center"/>
              <w:rPr>
                <w:b/>
                <w:color w:val="000000"/>
              </w:rPr>
            </w:pPr>
            <w:r>
              <w:rPr>
                <w:b/>
                <w:color w:val="000000"/>
              </w:rPr>
              <w:t>合计</w:t>
            </w:r>
          </w:p>
        </w:tc>
        <w:tc>
          <w:tcPr>
            <w:tcW w:w="913" w:type="pct"/>
            <w:tcMar>
              <w:top w:w="0" w:type="dxa"/>
              <w:left w:w="108" w:type="dxa"/>
              <w:bottom w:w="0" w:type="dxa"/>
              <w:right w:w="108" w:type="dxa"/>
            </w:tcMar>
            <w:vAlign w:val="center"/>
          </w:tcPr>
          <w:p w14:paraId="0E6EBE8D" w14:textId="77777777" w:rsidR="004B0883" w:rsidRDefault="004B0883">
            <w:pPr>
              <w:jc w:val="right"/>
              <w:rPr>
                <w:b/>
                <w:bCs/>
                <w:color w:val="000000"/>
              </w:rPr>
            </w:pPr>
            <w:r>
              <w:rPr>
                <w:rFonts w:hint="eastAsia"/>
                <w:b/>
                <w:bCs/>
                <w:color w:val="000000"/>
                <w:sz w:val="22"/>
                <w:szCs w:val="22"/>
              </w:rPr>
              <w:t>203.50</w:t>
            </w:r>
          </w:p>
        </w:tc>
        <w:tc>
          <w:tcPr>
            <w:tcW w:w="843" w:type="pct"/>
            <w:tcMar>
              <w:top w:w="0" w:type="dxa"/>
              <w:left w:w="108" w:type="dxa"/>
              <w:bottom w:w="0" w:type="dxa"/>
              <w:right w:w="108" w:type="dxa"/>
            </w:tcMar>
            <w:vAlign w:val="center"/>
          </w:tcPr>
          <w:p w14:paraId="4990CF89" w14:textId="77777777" w:rsidR="004B0883" w:rsidRDefault="004B0883">
            <w:pPr>
              <w:jc w:val="right"/>
              <w:rPr>
                <w:b/>
                <w:color w:val="000000"/>
              </w:rPr>
            </w:pPr>
            <w:r>
              <w:rPr>
                <w:b/>
                <w:color w:val="000000"/>
              </w:rPr>
              <w:t>340.65</w:t>
            </w:r>
          </w:p>
        </w:tc>
        <w:tc>
          <w:tcPr>
            <w:tcW w:w="843" w:type="pct"/>
            <w:tcMar>
              <w:top w:w="0" w:type="dxa"/>
              <w:left w:w="108" w:type="dxa"/>
              <w:bottom w:w="0" w:type="dxa"/>
              <w:right w:w="108" w:type="dxa"/>
            </w:tcMar>
            <w:vAlign w:val="center"/>
          </w:tcPr>
          <w:p w14:paraId="537689F8" w14:textId="77777777" w:rsidR="004B0883" w:rsidRDefault="004B0883">
            <w:pPr>
              <w:jc w:val="right"/>
              <w:rPr>
                <w:b/>
                <w:color w:val="000000"/>
              </w:rPr>
            </w:pPr>
            <w:r>
              <w:rPr>
                <w:b/>
                <w:color w:val="000000"/>
              </w:rPr>
              <w:t>315.15</w:t>
            </w:r>
          </w:p>
        </w:tc>
        <w:tc>
          <w:tcPr>
            <w:tcW w:w="840" w:type="pct"/>
            <w:tcMar>
              <w:top w:w="0" w:type="dxa"/>
              <w:left w:w="108" w:type="dxa"/>
              <w:bottom w:w="0" w:type="dxa"/>
              <w:right w:w="108" w:type="dxa"/>
            </w:tcMar>
            <w:vAlign w:val="center"/>
          </w:tcPr>
          <w:p w14:paraId="0597C8B6" w14:textId="77777777" w:rsidR="004B0883" w:rsidRDefault="004B0883">
            <w:pPr>
              <w:jc w:val="right"/>
              <w:rPr>
                <w:b/>
                <w:color w:val="000000"/>
              </w:rPr>
            </w:pPr>
            <w:r>
              <w:rPr>
                <w:b/>
                <w:color w:val="000000"/>
              </w:rPr>
              <w:t>417.07</w:t>
            </w:r>
          </w:p>
        </w:tc>
      </w:tr>
    </w:tbl>
    <w:p w14:paraId="13D785DB" w14:textId="77777777" w:rsidR="004B0883" w:rsidRDefault="004B0883">
      <w:pPr>
        <w:pStyle w:val="005"/>
        <w:spacing w:before="120"/>
        <w:ind w:firstLine="480"/>
      </w:pPr>
      <w:r>
        <w:t>报告期各期，公司其他收益金额分别为</w:t>
      </w:r>
      <w:r>
        <w:t>417.07</w:t>
      </w:r>
      <w:r>
        <w:t>万元、</w:t>
      </w:r>
      <w:r>
        <w:t>315.15</w:t>
      </w:r>
      <w:r>
        <w:t>万元、</w:t>
      </w:r>
      <w:r>
        <w:t>340.65</w:t>
      </w:r>
      <w:r>
        <w:t>万元和</w:t>
      </w:r>
      <w:r>
        <w:t>203.50</w:t>
      </w:r>
      <w:r>
        <w:t>万元，公司其他收益主要为政府补助。</w:t>
      </w:r>
    </w:p>
    <w:p w14:paraId="4E36EFA9" w14:textId="77777777" w:rsidR="004B0883" w:rsidRDefault="004B0883">
      <w:pPr>
        <w:pStyle w:val="003"/>
        <w:spacing w:before="120" w:after="120"/>
      </w:pPr>
      <w:r>
        <w:t>（六）非经常性损益分析</w:t>
      </w:r>
    </w:p>
    <w:p w14:paraId="2C94FCB7" w14:textId="77777777" w:rsidR="004B0883" w:rsidRDefault="004B0883">
      <w:pPr>
        <w:pStyle w:val="005"/>
        <w:spacing w:before="120"/>
        <w:ind w:firstLine="480"/>
      </w:pPr>
      <w:r>
        <w:t>报告期各期，公司非经常性损益及非经常损益净额占当期归属母公司普通股股东净利润的情况如下：</w:t>
      </w:r>
    </w:p>
    <w:p w14:paraId="6AAFB58B" w14:textId="77777777" w:rsidR="004B0883" w:rsidRDefault="004B0883">
      <w:pPr>
        <w:pStyle w:val="009"/>
      </w:pPr>
      <w:r>
        <w:t>单位：万元</w:t>
      </w:r>
    </w:p>
    <w:tbl>
      <w:tblPr>
        <w:tblW w:w="5138"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3102"/>
        <w:gridCol w:w="1524"/>
        <w:gridCol w:w="1295"/>
        <w:gridCol w:w="1293"/>
        <w:gridCol w:w="1295"/>
      </w:tblGrid>
      <w:tr w:rsidR="004B0883" w14:paraId="72A74724" w14:textId="77777777">
        <w:trPr>
          <w:trHeight w:val="397"/>
          <w:tblHeader/>
          <w:jc w:val="center"/>
        </w:trPr>
        <w:tc>
          <w:tcPr>
            <w:tcW w:w="1822" w:type="pct"/>
            <w:shd w:val="clear" w:color="auto" w:fill="D9D9D9"/>
            <w:tcMar>
              <w:top w:w="0" w:type="dxa"/>
              <w:left w:w="108" w:type="dxa"/>
              <w:bottom w:w="0" w:type="dxa"/>
              <w:right w:w="108" w:type="dxa"/>
            </w:tcMar>
            <w:vAlign w:val="center"/>
          </w:tcPr>
          <w:p w14:paraId="71D4971F" w14:textId="77777777" w:rsidR="004B0883" w:rsidRDefault="004B0883">
            <w:pPr>
              <w:jc w:val="center"/>
              <w:rPr>
                <w:b/>
                <w:color w:val="000000"/>
              </w:rPr>
            </w:pPr>
            <w:bookmarkStart w:id="361" w:name="_Hlk133530392"/>
            <w:r>
              <w:rPr>
                <w:b/>
                <w:color w:val="000000"/>
              </w:rPr>
              <w:t>项目</w:t>
            </w:r>
          </w:p>
        </w:tc>
        <w:tc>
          <w:tcPr>
            <w:tcW w:w="895" w:type="pct"/>
            <w:shd w:val="clear" w:color="auto" w:fill="D9D9D9"/>
            <w:tcMar>
              <w:top w:w="0" w:type="dxa"/>
              <w:left w:w="108" w:type="dxa"/>
              <w:bottom w:w="0" w:type="dxa"/>
              <w:right w:w="108" w:type="dxa"/>
            </w:tcMar>
            <w:vAlign w:val="center"/>
          </w:tcPr>
          <w:p w14:paraId="03B6633F" w14:textId="77777777" w:rsidR="004B0883" w:rsidRDefault="004B0883">
            <w:pPr>
              <w:jc w:val="center"/>
              <w:rPr>
                <w:b/>
                <w:color w:val="000000"/>
              </w:rPr>
            </w:pPr>
            <w:r>
              <w:rPr>
                <w:b/>
                <w:color w:val="000000"/>
              </w:rPr>
              <w:t>2023</w:t>
            </w:r>
            <w:r>
              <w:rPr>
                <w:b/>
                <w:color w:val="000000"/>
              </w:rPr>
              <w:t>年</w:t>
            </w:r>
            <w:r>
              <w:rPr>
                <w:b/>
                <w:color w:val="000000"/>
              </w:rPr>
              <w:t>1-9</w:t>
            </w:r>
            <w:r>
              <w:rPr>
                <w:b/>
                <w:color w:val="000000"/>
              </w:rPr>
              <w:t>月</w:t>
            </w:r>
          </w:p>
        </w:tc>
        <w:tc>
          <w:tcPr>
            <w:tcW w:w="761" w:type="pct"/>
            <w:shd w:val="clear" w:color="auto" w:fill="D9D9D9"/>
            <w:tcMar>
              <w:top w:w="0" w:type="dxa"/>
              <w:left w:w="108" w:type="dxa"/>
              <w:bottom w:w="0" w:type="dxa"/>
              <w:right w:w="108" w:type="dxa"/>
            </w:tcMar>
            <w:vAlign w:val="center"/>
          </w:tcPr>
          <w:p w14:paraId="070A196B" w14:textId="77777777" w:rsidR="004B0883" w:rsidRDefault="004B0883">
            <w:pPr>
              <w:jc w:val="center"/>
              <w:rPr>
                <w:b/>
                <w:color w:val="000000"/>
              </w:rPr>
            </w:pPr>
            <w:r>
              <w:rPr>
                <w:b/>
                <w:color w:val="000000"/>
              </w:rPr>
              <w:t>2022</w:t>
            </w:r>
            <w:r>
              <w:rPr>
                <w:b/>
                <w:color w:val="000000"/>
              </w:rPr>
              <w:t>年</w:t>
            </w:r>
            <w:r>
              <w:rPr>
                <w:b/>
                <w:bCs/>
                <w:kern w:val="0"/>
              </w:rPr>
              <w:t>度</w:t>
            </w:r>
          </w:p>
        </w:tc>
        <w:tc>
          <w:tcPr>
            <w:tcW w:w="760" w:type="pct"/>
            <w:shd w:val="clear" w:color="auto" w:fill="D9D9D9"/>
            <w:tcMar>
              <w:top w:w="0" w:type="dxa"/>
              <w:left w:w="108" w:type="dxa"/>
              <w:bottom w:w="0" w:type="dxa"/>
              <w:right w:w="108" w:type="dxa"/>
            </w:tcMar>
            <w:vAlign w:val="center"/>
          </w:tcPr>
          <w:p w14:paraId="297DD3D2" w14:textId="77777777" w:rsidR="004B0883" w:rsidRDefault="004B0883">
            <w:pPr>
              <w:jc w:val="center"/>
              <w:rPr>
                <w:b/>
                <w:color w:val="000000"/>
              </w:rPr>
            </w:pPr>
            <w:r>
              <w:rPr>
                <w:b/>
                <w:color w:val="000000"/>
              </w:rPr>
              <w:t>2021</w:t>
            </w:r>
            <w:r>
              <w:rPr>
                <w:b/>
                <w:color w:val="000000"/>
              </w:rPr>
              <w:t>年</w:t>
            </w:r>
            <w:r>
              <w:rPr>
                <w:b/>
                <w:bCs/>
                <w:kern w:val="0"/>
              </w:rPr>
              <w:t>度</w:t>
            </w:r>
          </w:p>
        </w:tc>
        <w:tc>
          <w:tcPr>
            <w:tcW w:w="761" w:type="pct"/>
            <w:shd w:val="clear" w:color="auto" w:fill="D9D9D9"/>
            <w:tcMar>
              <w:top w:w="0" w:type="dxa"/>
              <w:left w:w="108" w:type="dxa"/>
              <w:bottom w:w="0" w:type="dxa"/>
              <w:right w:w="108" w:type="dxa"/>
            </w:tcMar>
            <w:vAlign w:val="center"/>
          </w:tcPr>
          <w:p w14:paraId="5B33F0BC" w14:textId="77777777" w:rsidR="004B0883" w:rsidRDefault="004B0883">
            <w:pPr>
              <w:jc w:val="center"/>
              <w:rPr>
                <w:b/>
                <w:color w:val="000000"/>
              </w:rPr>
            </w:pPr>
            <w:r>
              <w:rPr>
                <w:b/>
                <w:color w:val="000000"/>
              </w:rPr>
              <w:t>2020</w:t>
            </w:r>
            <w:r>
              <w:rPr>
                <w:b/>
                <w:color w:val="000000"/>
              </w:rPr>
              <w:t>年</w:t>
            </w:r>
            <w:r>
              <w:rPr>
                <w:b/>
                <w:bCs/>
                <w:kern w:val="0"/>
              </w:rPr>
              <w:t>度</w:t>
            </w:r>
          </w:p>
        </w:tc>
      </w:tr>
      <w:tr w:rsidR="004B0883" w14:paraId="6859FC3E" w14:textId="77777777">
        <w:trPr>
          <w:trHeight w:val="397"/>
          <w:jc w:val="center"/>
        </w:trPr>
        <w:tc>
          <w:tcPr>
            <w:tcW w:w="1822" w:type="pct"/>
            <w:tcMar>
              <w:top w:w="0" w:type="dxa"/>
              <w:left w:w="108" w:type="dxa"/>
              <w:bottom w:w="0" w:type="dxa"/>
              <w:right w:w="108" w:type="dxa"/>
            </w:tcMar>
            <w:vAlign w:val="center"/>
          </w:tcPr>
          <w:p w14:paraId="16613108" w14:textId="77777777" w:rsidR="004B0883" w:rsidRDefault="004B0883">
            <w:pPr>
              <w:rPr>
                <w:color w:val="000000"/>
              </w:rPr>
            </w:pPr>
            <w:r>
              <w:rPr>
                <w:color w:val="000000"/>
              </w:rPr>
              <w:t>非流动资产处置损益</w:t>
            </w:r>
          </w:p>
        </w:tc>
        <w:tc>
          <w:tcPr>
            <w:tcW w:w="895" w:type="pct"/>
            <w:tcMar>
              <w:top w:w="0" w:type="dxa"/>
              <w:left w:w="108" w:type="dxa"/>
              <w:bottom w:w="0" w:type="dxa"/>
              <w:right w:w="108" w:type="dxa"/>
            </w:tcMar>
            <w:vAlign w:val="center"/>
          </w:tcPr>
          <w:p w14:paraId="29A2CA9D" w14:textId="77777777" w:rsidR="004B0883" w:rsidRDefault="004B0883">
            <w:pPr>
              <w:jc w:val="right"/>
              <w:rPr>
                <w:color w:val="000000"/>
              </w:rPr>
            </w:pPr>
            <w:r>
              <w:rPr>
                <w:rFonts w:eastAsia="等线"/>
                <w:color w:val="000000"/>
              </w:rPr>
              <w:t>-100.33</w:t>
            </w:r>
          </w:p>
        </w:tc>
        <w:tc>
          <w:tcPr>
            <w:tcW w:w="761" w:type="pct"/>
            <w:tcMar>
              <w:top w:w="0" w:type="dxa"/>
              <w:left w:w="108" w:type="dxa"/>
              <w:bottom w:w="0" w:type="dxa"/>
              <w:right w:w="108" w:type="dxa"/>
            </w:tcMar>
            <w:vAlign w:val="center"/>
          </w:tcPr>
          <w:p w14:paraId="6543A02E" w14:textId="77777777" w:rsidR="004B0883" w:rsidRDefault="004B0883">
            <w:pPr>
              <w:jc w:val="right"/>
              <w:rPr>
                <w:color w:val="000000"/>
              </w:rPr>
            </w:pPr>
            <w:r>
              <w:rPr>
                <w:color w:val="000000"/>
              </w:rPr>
              <w:t>4,137.52</w:t>
            </w:r>
          </w:p>
        </w:tc>
        <w:tc>
          <w:tcPr>
            <w:tcW w:w="760" w:type="pct"/>
            <w:tcMar>
              <w:top w:w="0" w:type="dxa"/>
              <w:left w:w="108" w:type="dxa"/>
              <w:bottom w:w="0" w:type="dxa"/>
              <w:right w:w="108" w:type="dxa"/>
            </w:tcMar>
            <w:vAlign w:val="center"/>
          </w:tcPr>
          <w:p w14:paraId="6E64F8EC" w14:textId="77777777" w:rsidR="004B0883" w:rsidRDefault="004B0883">
            <w:pPr>
              <w:jc w:val="right"/>
              <w:rPr>
                <w:color w:val="000000"/>
              </w:rPr>
            </w:pPr>
            <w:r>
              <w:rPr>
                <w:color w:val="000000"/>
              </w:rPr>
              <w:t>52.34</w:t>
            </w:r>
          </w:p>
        </w:tc>
        <w:tc>
          <w:tcPr>
            <w:tcW w:w="761" w:type="pct"/>
            <w:tcMar>
              <w:top w:w="0" w:type="dxa"/>
              <w:left w:w="108" w:type="dxa"/>
              <w:bottom w:w="0" w:type="dxa"/>
              <w:right w:w="108" w:type="dxa"/>
            </w:tcMar>
            <w:vAlign w:val="center"/>
          </w:tcPr>
          <w:p w14:paraId="32AE6B5F" w14:textId="77777777" w:rsidR="004B0883" w:rsidRDefault="004B0883">
            <w:pPr>
              <w:jc w:val="right"/>
              <w:rPr>
                <w:color w:val="000000"/>
              </w:rPr>
            </w:pPr>
            <w:r>
              <w:rPr>
                <w:color w:val="000000"/>
              </w:rPr>
              <w:t>-28.48</w:t>
            </w:r>
          </w:p>
        </w:tc>
      </w:tr>
      <w:tr w:rsidR="004B0883" w14:paraId="5F2C2C3E" w14:textId="77777777">
        <w:trPr>
          <w:trHeight w:val="397"/>
          <w:jc w:val="center"/>
        </w:trPr>
        <w:tc>
          <w:tcPr>
            <w:tcW w:w="1822" w:type="pct"/>
            <w:tcMar>
              <w:top w:w="0" w:type="dxa"/>
              <w:left w:w="108" w:type="dxa"/>
              <w:bottom w:w="0" w:type="dxa"/>
              <w:right w:w="108" w:type="dxa"/>
            </w:tcMar>
            <w:vAlign w:val="center"/>
          </w:tcPr>
          <w:p w14:paraId="5F2EC378" w14:textId="77777777" w:rsidR="004B0883" w:rsidRDefault="004B0883">
            <w:pPr>
              <w:rPr>
                <w:color w:val="000000"/>
              </w:rPr>
            </w:pPr>
            <w:r>
              <w:rPr>
                <w:color w:val="000000"/>
              </w:rPr>
              <w:t>政府补助</w:t>
            </w:r>
          </w:p>
        </w:tc>
        <w:tc>
          <w:tcPr>
            <w:tcW w:w="895" w:type="pct"/>
            <w:tcMar>
              <w:top w:w="0" w:type="dxa"/>
              <w:left w:w="108" w:type="dxa"/>
              <w:bottom w:w="0" w:type="dxa"/>
              <w:right w:w="108" w:type="dxa"/>
            </w:tcMar>
            <w:vAlign w:val="center"/>
          </w:tcPr>
          <w:p w14:paraId="200DB07B" w14:textId="77777777" w:rsidR="004B0883" w:rsidRDefault="004B0883">
            <w:pPr>
              <w:jc w:val="right"/>
              <w:rPr>
                <w:color w:val="000000"/>
              </w:rPr>
            </w:pPr>
            <w:r>
              <w:rPr>
                <w:rFonts w:eastAsia="等线"/>
                <w:color w:val="000000"/>
              </w:rPr>
              <w:t>121.59</w:t>
            </w:r>
          </w:p>
        </w:tc>
        <w:tc>
          <w:tcPr>
            <w:tcW w:w="761" w:type="pct"/>
            <w:tcMar>
              <w:top w:w="0" w:type="dxa"/>
              <w:left w:w="108" w:type="dxa"/>
              <w:bottom w:w="0" w:type="dxa"/>
              <w:right w:w="108" w:type="dxa"/>
            </w:tcMar>
            <w:vAlign w:val="center"/>
          </w:tcPr>
          <w:p w14:paraId="48382903" w14:textId="77777777" w:rsidR="004B0883" w:rsidRDefault="004B0883">
            <w:pPr>
              <w:jc w:val="right"/>
              <w:rPr>
                <w:color w:val="000000"/>
              </w:rPr>
            </w:pPr>
            <w:r>
              <w:rPr>
                <w:color w:val="000000"/>
              </w:rPr>
              <w:t>229.43</w:t>
            </w:r>
          </w:p>
        </w:tc>
        <w:tc>
          <w:tcPr>
            <w:tcW w:w="760" w:type="pct"/>
            <w:tcMar>
              <w:top w:w="0" w:type="dxa"/>
              <w:left w:w="108" w:type="dxa"/>
              <w:bottom w:w="0" w:type="dxa"/>
              <w:right w:w="108" w:type="dxa"/>
            </w:tcMar>
            <w:vAlign w:val="center"/>
          </w:tcPr>
          <w:p w14:paraId="2D8A3920" w14:textId="77777777" w:rsidR="004B0883" w:rsidRDefault="004B0883">
            <w:pPr>
              <w:jc w:val="right"/>
              <w:rPr>
                <w:color w:val="000000"/>
              </w:rPr>
            </w:pPr>
            <w:r>
              <w:rPr>
                <w:color w:val="000000"/>
              </w:rPr>
              <w:t>301.49</w:t>
            </w:r>
          </w:p>
        </w:tc>
        <w:tc>
          <w:tcPr>
            <w:tcW w:w="761" w:type="pct"/>
            <w:tcMar>
              <w:top w:w="0" w:type="dxa"/>
              <w:left w:w="108" w:type="dxa"/>
              <w:bottom w:w="0" w:type="dxa"/>
              <w:right w:w="108" w:type="dxa"/>
            </w:tcMar>
            <w:vAlign w:val="center"/>
          </w:tcPr>
          <w:p w14:paraId="2ABE3CB8" w14:textId="77777777" w:rsidR="004B0883" w:rsidRDefault="004B0883">
            <w:pPr>
              <w:jc w:val="right"/>
              <w:rPr>
                <w:color w:val="000000"/>
              </w:rPr>
            </w:pPr>
            <w:r>
              <w:rPr>
                <w:color w:val="000000"/>
              </w:rPr>
              <w:t>417.07</w:t>
            </w:r>
          </w:p>
        </w:tc>
      </w:tr>
      <w:tr w:rsidR="004B0883" w14:paraId="7CA927B1" w14:textId="77777777">
        <w:trPr>
          <w:trHeight w:val="397"/>
          <w:jc w:val="center"/>
        </w:trPr>
        <w:tc>
          <w:tcPr>
            <w:tcW w:w="1822" w:type="pct"/>
            <w:tcMar>
              <w:top w:w="0" w:type="dxa"/>
              <w:left w:w="108" w:type="dxa"/>
              <w:bottom w:w="0" w:type="dxa"/>
              <w:right w:w="108" w:type="dxa"/>
            </w:tcMar>
            <w:vAlign w:val="center"/>
          </w:tcPr>
          <w:p w14:paraId="3CAA38B7" w14:textId="77777777" w:rsidR="004B0883" w:rsidRDefault="004B0883">
            <w:pPr>
              <w:rPr>
                <w:color w:val="000000"/>
              </w:rPr>
            </w:pPr>
            <w:r>
              <w:rPr>
                <w:color w:val="000000"/>
              </w:rPr>
              <w:t>委托投资损益</w:t>
            </w:r>
          </w:p>
        </w:tc>
        <w:tc>
          <w:tcPr>
            <w:tcW w:w="895" w:type="pct"/>
            <w:tcMar>
              <w:top w:w="0" w:type="dxa"/>
              <w:left w:w="108" w:type="dxa"/>
              <w:bottom w:w="0" w:type="dxa"/>
              <w:right w:w="108" w:type="dxa"/>
            </w:tcMar>
            <w:vAlign w:val="center"/>
          </w:tcPr>
          <w:p w14:paraId="694E976D" w14:textId="77777777" w:rsidR="004B0883" w:rsidRDefault="004B0883">
            <w:pPr>
              <w:jc w:val="right"/>
              <w:rPr>
                <w:color w:val="000000"/>
              </w:rPr>
            </w:pPr>
            <w:r>
              <w:rPr>
                <w:rFonts w:eastAsia="等线"/>
                <w:color w:val="000000"/>
              </w:rPr>
              <w:t>488.80</w:t>
            </w:r>
          </w:p>
        </w:tc>
        <w:tc>
          <w:tcPr>
            <w:tcW w:w="761" w:type="pct"/>
            <w:tcMar>
              <w:top w:w="0" w:type="dxa"/>
              <w:left w:w="108" w:type="dxa"/>
              <w:bottom w:w="0" w:type="dxa"/>
              <w:right w:w="108" w:type="dxa"/>
            </w:tcMar>
            <w:vAlign w:val="center"/>
          </w:tcPr>
          <w:p w14:paraId="07140D5D" w14:textId="77777777" w:rsidR="004B0883" w:rsidRDefault="004B0883">
            <w:pPr>
              <w:jc w:val="right"/>
              <w:rPr>
                <w:color w:val="000000"/>
              </w:rPr>
            </w:pPr>
            <w:r>
              <w:rPr>
                <w:color w:val="000000"/>
              </w:rPr>
              <w:t>794.85</w:t>
            </w:r>
          </w:p>
        </w:tc>
        <w:tc>
          <w:tcPr>
            <w:tcW w:w="760" w:type="pct"/>
            <w:tcMar>
              <w:top w:w="0" w:type="dxa"/>
              <w:left w:w="108" w:type="dxa"/>
              <w:bottom w:w="0" w:type="dxa"/>
              <w:right w:w="108" w:type="dxa"/>
            </w:tcMar>
            <w:vAlign w:val="center"/>
          </w:tcPr>
          <w:p w14:paraId="27515751" w14:textId="77777777" w:rsidR="004B0883" w:rsidRDefault="004B0883">
            <w:pPr>
              <w:jc w:val="right"/>
              <w:rPr>
                <w:color w:val="000000"/>
              </w:rPr>
            </w:pPr>
            <w:r>
              <w:rPr>
                <w:color w:val="000000"/>
              </w:rPr>
              <w:t>1,591.57</w:t>
            </w:r>
          </w:p>
        </w:tc>
        <w:tc>
          <w:tcPr>
            <w:tcW w:w="761" w:type="pct"/>
            <w:tcMar>
              <w:top w:w="0" w:type="dxa"/>
              <w:left w:w="108" w:type="dxa"/>
              <w:bottom w:w="0" w:type="dxa"/>
              <w:right w:w="108" w:type="dxa"/>
            </w:tcMar>
            <w:vAlign w:val="center"/>
          </w:tcPr>
          <w:p w14:paraId="768F908B" w14:textId="77777777" w:rsidR="004B0883" w:rsidRDefault="004B0883">
            <w:pPr>
              <w:jc w:val="right"/>
              <w:rPr>
                <w:color w:val="000000"/>
              </w:rPr>
            </w:pPr>
            <w:r>
              <w:rPr>
                <w:color w:val="000000"/>
              </w:rPr>
              <w:t>918.64</w:t>
            </w:r>
          </w:p>
        </w:tc>
      </w:tr>
      <w:tr w:rsidR="004B0883" w14:paraId="3A3F790F" w14:textId="77777777">
        <w:trPr>
          <w:trHeight w:val="397"/>
          <w:jc w:val="center"/>
        </w:trPr>
        <w:tc>
          <w:tcPr>
            <w:tcW w:w="1822" w:type="pct"/>
            <w:tcMar>
              <w:top w:w="0" w:type="dxa"/>
              <w:left w:w="108" w:type="dxa"/>
              <w:bottom w:w="0" w:type="dxa"/>
              <w:right w:w="108" w:type="dxa"/>
            </w:tcMar>
            <w:vAlign w:val="center"/>
          </w:tcPr>
          <w:p w14:paraId="0064B39B" w14:textId="77777777" w:rsidR="004B0883" w:rsidRDefault="004B0883">
            <w:pPr>
              <w:rPr>
                <w:color w:val="000000"/>
              </w:rPr>
            </w:pPr>
            <w:r>
              <w:rPr>
                <w:color w:val="000000"/>
              </w:rPr>
              <w:t>债务重组损益</w:t>
            </w:r>
          </w:p>
        </w:tc>
        <w:tc>
          <w:tcPr>
            <w:tcW w:w="895" w:type="pct"/>
            <w:tcMar>
              <w:top w:w="0" w:type="dxa"/>
              <w:left w:w="108" w:type="dxa"/>
              <w:bottom w:w="0" w:type="dxa"/>
              <w:right w:w="108" w:type="dxa"/>
            </w:tcMar>
            <w:vAlign w:val="center"/>
          </w:tcPr>
          <w:p w14:paraId="324AEFFD" w14:textId="77777777" w:rsidR="004B0883" w:rsidRDefault="004B0883">
            <w:pPr>
              <w:jc w:val="right"/>
              <w:rPr>
                <w:color w:val="000000"/>
              </w:rPr>
            </w:pPr>
            <w:r>
              <w:rPr>
                <w:rFonts w:eastAsia="等线"/>
                <w:color w:val="000000"/>
              </w:rPr>
              <w:t>-</w:t>
            </w:r>
          </w:p>
        </w:tc>
        <w:tc>
          <w:tcPr>
            <w:tcW w:w="761" w:type="pct"/>
            <w:tcMar>
              <w:top w:w="0" w:type="dxa"/>
              <w:left w:w="108" w:type="dxa"/>
              <w:bottom w:w="0" w:type="dxa"/>
              <w:right w:w="108" w:type="dxa"/>
            </w:tcMar>
            <w:vAlign w:val="center"/>
          </w:tcPr>
          <w:p w14:paraId="7FE59CF7" w14:textId="77777777" w:rsidR="004B0883" w:rsidRDefault="004B0883">
            <w:pPr>
              <w:jc w:val="right"/>
              <w:rPr>
                <w:color w:val="000000"/>
              </w:rPr>
            </w:pPr>
            <w:r>
              <w:rPr>
                <w:color w:val="000000"/>
              </w:rPr>
              <w:t>-26.40</w:t>
            </w:r>
          </w:p>
        </w:tc>
        <w:tc>
          <w:tcPr>
            <w:tcW w:w="760" w:type="pct"/>
            <w:tcMar>
              <w:top w:w="0" w:type="dxa"/>
              <w:left w:w="108" w:type="dxa"/>
              <w:bottom w:w="0" w:type="dxa"/>
              <w:right w:w="108" w:type="dxa"/>
            </w:tcMar>
            <w:vAlign w:val="center"/>
          </w:tcPr>
          <w:p w14:paraId="26C3B913" w14:textId="77777777" w:rsidR="004B0883" w:rsidRDefault="004B0883">
            <w:pPr>
              <w:jc w:val="right"/>
              <w:rPr>
                <w:color w:val="000000"/>
              </w:rPr>
            </w:pPr>
            <w:r>
              <w:rPr>
                <w:color w:val="000000"/>
              </w:rPr>
              <w:t>-</w:t>
            </w:r>
          </w:p>
        </w:tc>
        <w:tc>
          <w:tcPr>
            <w:tcW w:w="761" w:type="pct"/>
            <w:tcMar>
              <w:top w:w="0" w:type="dxa"/>
              <w:left w:w="108" w:type="dxa"/>
              <w:bottom w:w="0" w:type="dxa"/>
              <w:right w:w="108" w:type="dxa"/>
            </w:tcMar>
            <w:vAlign w:val="center"/>
          </w:tcPr>
          <w:p w14:paraId="3D9FE5CB" w14:textId="77777777" w:rsidR="004B0883" w:rsidRDefault="004B0883">
            <w:pPr>
              <w:jc w:val="right"/>
              <w:rPr>
                <w:color w:val="000000"/>
              </w:rPr>
            </w:pPr>
            <w:r>
              <w:rPr>
                <w:color w:val="000000"/>
              </w:rPr>
              <w:t>-</w:t>
            </w:r>
          </w:p>
        </w:tc>
      </w:tr>
      <w:tr w:rsidR="004B0883" w14:paraId="6DFA41FD" w14:textId="77777777">
        <w:trPr>
          <w:trHeight w:val="397"/>
          <w:jc w:val="center"/>
        </w:trPr>
        <w:tc>
          <w:tcPr>
            <w:tcW w:w="1822" w:type="pct"/>
            <w:tcMar>
              <w:top w:w="0" w:type="dxa"/>
              <w:left w:w="108" w:type="dxa"/>
              <w:bottom w:w="0" w:type="dxa"/>
              <w:right w:w="108" w:type="dxa"/>
            </w:tcMar>
            <w:vAlign w:val="center"/>
          </w:tcPr>
          <w:p w14:paraId="301405E6" w14:textId="77777777" w:rsidR="004B0883" w:rsidRDefault="004B0883">
            <w:pPr>
              <w:rPr>
                <w:color w:val="000000"/>
              </w:rPr>
            </w:pPr>
            <w:r>
              <w:rPr>
                <w:color w:val="000000"/>
              </w:rPr>
              <w:t>持有（或处置）交易性金融资产和负债产生的公允价值变动损益</w:t>
            </w:r>
          </w:p>
        </w:tc>
        <w:tc>
          <w:tcPr>
            <w:tcW w:w="895" w:type="pct"/>
            <w:tcMar>
              <w:top w:w="0" w:type="dxa"/>
              <w:left w:w="108" w:type="dxa"/>
              <w:bottom w:w="0" w:type="dxa"/>
              <w:right w:w="108" w:type="dxa"/>
            </w:tcMar>
            <w:vAlign w:val="center"/>
          </w:tcPr>
          <w:p w14:paraId="0B330D0B" w14:textId="77777777" w:rsidR="004B0883" w:rsidRDefault="004B0883">
            <w:pPr>
              <w:jc w:val="right"/>
              <w:rPr>
                <w:color w:val="000000"/>
              </w:rPr>
            </w:pPr>
            <w:r>
              <w:rPr>
                <w:rFonts w:eastAsia="等线"/>
                <w:color w:val="000000"/>
              </w:rPr>
              <w:t>1,929.72</w:t>
            </w:r>
          </w:p>
        </w:tc>
        <w:tc>
          <w:tcPr>
            <w:tcW w:w="761" w:type="pct"/>
            <w:tcMar>
              <w:top w:w="0" w:type="dxa"/>
              <w:left w:w="108" w:type="dxa"/>
              <w:bottom w:w="0" w:type="dxa"/>
              <w:right w:w="108" w:type="dxa"/>
            </w:tcMar>
            <w:vAlign w:val="center"/>
          </w:tcPr>
          <w:p w14:paraId="40881339" w14:textId="77777777" w:rsidR="004B0883" w:rsidRDefault="004B0883">
            <w:pPr>
              <w:jc w:val="right"/>
              <w:rPr>
                <w:color w:val="000000"/>
              </w:rPr>
            </w:pPr>
            <w:r>
              <w:rPr>
                <w:color w:val="000000"/>
              </w:rPr>
              <w:t>-838.21</w:t>
            </w:r>
          </w:p>
        </w:tc>
        <w:tc>
          <w:tcPr>
            <w:tcW w:w="760" w:type="pct"/>
            <w:tcMar>
              <w:top w:w="0" w:type="dxa"/>
              <w:left w:w="108" w:type="dxa"/>
              <w:bottom w:w="0" w:type="dxa"/>
              <w:right w:w="108" w:type="dxa"/>
            </w:tcMar>
            <w:vAlign w:val="center"/>
          </w:tcPr>
          <w:p w14:paraId="3F563C56" w14:textId="77777777" w:rsidR="004B0883" w:rsidRDefault="004B0883">
            <w:pPr>
              <w:jc w:val="right"/>
              <w:rPr>
                <w:color w:val="000000"/>
              </w:rPr>
            </w:pPr>
            <w:r>
              <w:rPr>
                <w:color w:val="000000"/>
              </w:rPr>
              <w:t>-336.67</w:t>
            </w:r>
          </w:p>
        </w:tc>
        <w:tc>
          <w:tcPr>
            <w:tcW w:w="761" w:type="pct"/>
            <w:tcMar>
              <w:top w:w="0" w:type="dxa"/>
              <w:left w:w="108" w:type="dxa"/>
              <w:bottom w:w="0" w:type="dxa"/>
              <w:right w:w="108" w:type="dxa"/>
            </w:tcMar>
            <w:vAlign w:val="center"/>
          </w:tcPr>
          <w:p w14:paraId="6A5585C8" w14:textId="77777777" w:rsidR="004B0883" w:rsidRDefault="004B0883">
            <w:pPr>
              <w:jc w:val="right"/>
              <w:rPr>
                <w:color w:val="000000"/>
              </w:rPr>
            </w:pPr>
            <w:r>
              <w:rPr>
                <w:color w:val="000000"/>
              </w:rPr>
              <w:t>460.16</w:t>
            </w:r>
          </w:p>
        </w:tc>
      </w:tr>
      <w:tr w:rsidR="004B0883" w14:paraId="7FB105E1" w14:textId="77777777">
        <w:trPr>
          <w:trHeight w:val="397"/>
          <w:jc w:val="center"/>
        </w:trPr>
        <w:tc>
          <w:tcPr>
            <w:tcW w:w="1822" w:type="pct"/>
            <w:tcMar>
              <w:top w:w="0" w:type="dxa"/>
              <w:left w:w="108" w:type="dxa"/>
              <w:bottom w:w="0" w:type="dxa"/>
              <w:right w:w="108" w:type="dxa"/>
            </w:tcMar>
            <w:vAlign w:val="center"/>
          </w:tcPr>
          <w:p w14:paraId="34C27C2D" w14:textId="77777777" w:rsidR="004B0883" w:rsidRDefault="004B0883">
            <w:pPr>
              <w:rPr>
                <w:color w:val="000000"/>
              </w:rPr>
            </w:pPr>
            <w:r>
              <w:rPr>
                <w:color w:val="000000"/>
              </w:rPr>
              <w:t>法规要求一次性损益调整影响</w:t>
            </w:r>
          </w:p>
        </w:tc>
        <w:tc>
          <w:tcPr>
            <w:tcW w:w="895" w:type="pct"/>
            <w:tcMar>
              <w:top w:w="0" w:type="dxa"/>
              <w:left w:w="108" w:type="dxa"/>
              <w:bottom w:w="0" w:type="dxa"/>
              <w:right w:w="108" w:type="dxa"/>
            </w:tcMar>
            <w:vAlign w:val="center"/>
          </w:tcPr>
          <w:p w14:paraId="2422882A" w14:textId="77777777" w:rsidR="004B0883" w:rsidRDefault="004B0883">
            <w:pPr>
              <w:jc w:val="right"/>
              <w:rPr>
                <w:color w:val="000000"/>
              </w:rPr>
            </w:pPr>
          </w:p>
        </w:tc>
        <w:tc>
          <w:tcPr>
            <w:tcW w:w="761" w:type="pct"/>
            <w:tcMar>
              <w:top w:w="0" w:type="dxa"/>
              <w:left w:w="108" w:type="dxa"/>
              <w:bottom w:w="0" w:type="dxa"/>
              <w:right w:w="108" w:type="dxa"/>
            </w:tcMar>
            <w:vAlign w:val="center"/>
          </w:tcPr>
          <w:p w14:paraId="5BCE877A" w14:textId="77777777" w:rsidR="004B0883" w:rsidRDefault="004B0883">
            <w:pPr>
              <w:jc w:val="right"/>
              <w:rPr>
                <w:color w:val="000000"/>
              </w:rPr>
            </w:pPr>
            <w:r>
              <w:rPr>
                <w:color w:val="000000"/>
              </w:rPr>
              <w:t>15.71</w:t>
            </w:r>
          </w:p>
        </w:tc>
        <w:tc>
          <w:tcPr>
            <w:tcW w:w="760" w:type="pct"/>
            <w:tcMar>
              <w:top w:w="0" w:type="dxa"/>
              <w:left w:w="108" w:type="dxa"/>
              <w:bottom w:w="0" w:type="dxa"/>
              <w:right w:w="108" w:type="dxa"/>
            </w:tcMar>
            <w:vAlign w:val="center"/>
          </w:tcPr>
          <w:p w14:paraId="1D303375" w14:textId="77777777" w:rsidR="004B0883" w:rsidRDefault="004B0883">
            <w:pPr>
              <w:jc w:val="right"/>
              <w:rPr>
                <w:color w:val="000000"/>
              </w:rPr>
            </w:pPr>
            <w:r>
              <w:rPr>
                <w:color w:val="000000"/>
              </w:rPr>
              <w:t>-</w:t>
            </w:r>
          </w:p>
        </w:tc>
        <w:tc>
          <w:tcPr>
            <w:tcW w:w="761" w:type="pct"/>
            <w:tcMar>
              <w:top w:w="0" w:type="dxa"/>
              <w:left w:w="108" w:type="dxa"/>
              <w:bottom w:w="0" w:type="dxa"/>
              <w:right w:w="108" w:type="dxa"/>
            </w:tcMar>
            <w:vAlign w:val="center"/>
          </w:tcPr>
          <w:p w14:paraId="5D32C4B4" w14:textId="77777777" w:rsidR="004B0883" w:rsidRDefault="004B0883">
            <w:pPr>
              <w:jc w:val="right"/>
              <w:rPr>
                <w:color w:val="000000"/>
              </w:rPr>
            </w:pPr>
            <w:r>
              <w:rPr>
                <w:color w:val="000000"/>
              </w:rPr>
              <w:t>-</w:t>
            </w:r>
          </w:p>
        </w:tc>
      </w:tr>
      <w:tr w:rsidR="004B0883" w14:paraId="182E2A3B" w14:textId="77777777">
        <w:trPr>
          <w:trHeight w:val="397"/>
          <w:jc w:val="center"/>
        </w:trPr>
        <w:tc>
          <w:tcPr>
            <w:tcW w:w="1822" w:type="pct"/>
            <w:tcMar>
              <w:top w:w="0" w:type="dxa"/>
              <w:left w:w="108" w:type="dxa"/>
              <w:bottom w:w="0" w:type="dxa"/>
              <w:right w:w="108" w:type="dxa"/>
            </w:tcMar>
            <w:vAlign w:val="center"/>
          </w:tcPr>
          <w:p w14:paraId="453B766F" w14:textId="77777777" w:rsidR="004B0883" w:rsidRDefault="004B0883">
            <w:pPr>
              <w:rPr>
                <w:color w:val="000000"/>
              </w:rPr>
            </w:pPr>
            <w:r>
              <w:rPr>
                <w:color w:val="000000"/>
              </w:rPr>
              <w:t>其他营业外收支净额</w:t>
            </w:r>
          </w:p>
        </w:tc>
        <w:tc>
          <w:tcPr>
            <w:tcW w:w="895" w:type="pct"/>
            <w:tcMar>
              <w:top w:w="0" w:type="dxa"/>
              <w:left w:w="108" w:type="dxa"/>
              <w:bottom w:w="0" w:type="dxa"/>
              <w:right w:w="108" w:type="dxa"/>
            </w:tcMar>
            <w:vAlign w:val="center"/>
          </w:tcPr>
          <w:p w14:paraId="153B572B" w14:textId="77777777" w:rsidR="004B0883" w:rsidRDefault="004B0883">
            <w:pPr>
              <w:jc w:val="right"/>
              <w:rPr>
                <w:color w:val="000000"/>
              </w:rPr>
            </w:pPr>
            <w:r>
              <w:rPr>
                <w:rFonts w:eastAsia="等线"/>
                <w:color w:val="000000"/>
              </w:rPr>
              <w:t>20.09</w:t>
            </w:r>
          </w:p>
        </w:tc>
        <w:tc>
          <w:tcPr>
            <w:tcW w:w="761" w:type="pct"/>
            <w:tcMar>
              <w:top w:w="0" w:type="dxa"/>
              <w:left w:w="108" w:type="dxa"/>
              <w:bottom w:w="0" w:type="dxa"/>
              <w:right w:w="108" w:type="dxa"/>
            </w:tcMar>
            <w:vAlign w:val="center"/>
          </w:tcPr>
          <w:p w14:paraId="208BD41B" w14:textId="77777777" w:rsidR="004B0883" w:rsidRDefault="004B0883">
            <w:pPr>
              <w:jc w:val="right"/>
              <w:rPr>
                <w:color w:val="000000"/>
              </w:rPr>
            </w:pPr>
            <w:r>
              <w:rPr>
                <w:color w:val="000000"/>
              </w:rPr>
              <w:t>1.39</w:t>
            </w:r>
          </w:p>
        </w:tc>
        <w:tc>
          <w:tcPr>
            <w:tcW w:w="760" w:type="pct"/>
            <w:tcMar>
              <w:top w:w="0" w:type="dxa"/>
              <w:left w:w="108" w:type="dxa"/>
              <w:bottom w:w="0" w:type="dxa"/>
              <w:right w:w="108" w:type="dxa"/>
            </w:tcMar>
            <w:vAlign w:val="center"/>
          </w:tcPr>
          <w:p w14:paraId="2F54CE3A" w14:textId="77777777" w:rsidR="004B0883" w:rsidRDefault="004B0883">
            <w:pPr>
              <w:jc w:val="right"/>
              <w:rPr>
                <w:color w:val="000000"/>
              </w:rPr>
            </w:pPr>
            <w:r>
              <w:rPr>
                <w:color w:val="000000"/>
              </w:rPr>
              <w:t>119.33</w:t>
            </w:r>
          </w:p>
        </w:tc>
        <w:tc>
          <w:tcPr>
            <w:tcW w:w="761" w:type="pct"/>
            <w:tcMar>
              <w:top w:w="0" w:type="dxa"/>
              <w:left w:w="108" w:type="dxa"/>
              <w:bottom w:w="0" w:type="dxa"/>
              <w:right w:w="108" w:type="dxa"/>
            </w:tcMar>
            <w:vAlign w:val="center"/>
          </w:tcPr>
          <w:p w14:paraId="6378464F" w14:textId="77777777" w:rsidR="004B0883" w:rsidRDefault="004B0883">
            <w:pPr>
              <w:jc w:val="right"/>
              <w:rPr>
                <w:color w:val="000000"/>
              </w:rPr>
            </w:pPr>
            <w:r>
              <w:rPr>
                <w:color w:val="000000"/>
              </w:rPr>
              <w:t>71.48</w:t>
            </w:r>
          </w:p>
        </w:tc>
      </w:tr>
      <w:tr w:rsidR="004B0883" w14:paraId="577E1BC3" w14:textId="77777777">
        <w:trPr>
          <w:trHeight w:val="397"/>
          <w:jc w:val="center"/>
        </w:trPr>
        <w:tc>
          <w:tcPr>
            <w:tcW w:w="1822" w:type="pct"/>
            <w:tcMar>
              <w:top w:w="0" w:type="dxa"/>
              <w:left w:w="108" w:type="dxa"/>
              <w:bottom w:w="0" w:type="dxa"/>
              <w:right w:w="108" w:type="dxa"/>
            </w:tcMar>
            <w:vAlign w:val="center"/>
          </w:tcPr>
          <w:p w14:paraId="3E16D1A1" w14:textId="77777777" w:rsidR="004B0883" w:rsidRDefault="004B0883">
            <w:pPr>
              <w:rPr>
                <w:b/>
                <w:bCs/>
                <w:color w:val="000000"/>
              </w:rPr>
            </w:pPr>
            <w:r>
              <w:rPr>
                <w:b/>
                <w:bCs/>
                <w:color w:val="000000"/>
              </w:rPr>
              <w:t>非经常性损益项目小计</w:t>
            </w:r>
          </w:p>
        </w:tc>
        <w:tc>
          <w:tcPr>
            <w:tcW w:w="895" w:type="pct"/>
            <w:tcMar>
              <w:top w:w="0" w:type="dxa"/>
              <w:left w:w="108" w:type="dxa"/>
              <w:bottom w:w="0" w:type="dxa"/>
              <w:right w:w="108" w:type="dxa"/>
            </w:tcMar>
            <w:vAlign w:val="center"/>
          </w:tcPr>
          <w:p w14:paraId="0C74F02C" w14:textId="77777777" w:rsidR="004B0883" w:rsidRDefault="004B0883">
            <w:pPr>
              <w:jc w:val="right"/>
              <w:rPr>
                <w:b/>
                <w:bCs/>
                <w:color w:val="000000"/>
              </w:rPr>
            </w:pPr>
            <w:r>
              <w:rPr>
                <w:rFonts w:eastAsia="等线"/>
                <w:b/>
                <w:bCs/>
                <w:color w:val="000000"/>
              </w:rPr>
              <w:t>2,459.87</w:t>
            </w:r>
          </w:p>
        </w:tc>
        <w:tc>
          <w:tcPr>
            <w:tcW w:w="761" w:type="pct"/>
            <w:tcMar>
              <w:top w:w="0" w:type="dxa"/>
              <w:left w:w="108" w:type="dxa"/>
              <w:bottom w:w="0" w:type="dxa"/>
              <w:right w:w="108" w:type="dxa"/>
            </w:tcMar>
            <w:vAlign w:val="center"/>
          </w:tcPr>
          <w:p w14:paraId="7D2E83EC" w14:textId="77777777" w:rsidR="004B0883" w:rsidRDefault="004B0883">
            <w:pPr>
              <w:jc w:val="right"/>
              <w:rPr>
                <w:b/>
                <w:bCs/>
                <w:color w:val="000000"/>
              </w:rPr>
            </w:pPr>
            <w:r>
              <w:rPr>
                <w:b/>
                <w:bCs/>
                <w:color w:val="000000"/>
              </w:rPr>
              <w:t>4,314.30</w:t>
            </w:r>
          </w:p>
        </w:tc>
        <w:tc>
          <w:tcPr>
            <w:tcW w:w="760" w:type="pct"/>
            <w:tcMar>
              <w:top w:w="0" w:type="dxa"/>
              <w:left w:w="108" w:type="dxa"/>
              <w:bottom w:w="0" w:type="dxa"/>
              <w:right w:w="108" w:type="dxa"/>
            </w:tcMar>
            <w:vAlign w:val="center"/>
          </w:tcPr>
          <w:p w14:paraId="7C8800EC" w14:textId="77777777" w:rsidR="004B0883" w:rsidRDefault="004B0883">
            <w:pPr>
              <w:jc w:val="right"/>
              <w:rPr>
                <w:b/>
                <w:bCs/>
                <w:color w:val="000000"/>
              </w:rPr>
            </w:pPr>
            <w:r>
              <w:rPr>
                <w:b/>
                <w:bCs/>
                <w:color w:val="000000"/>
              </w:rPr>
              <w:t>1,728.07</w:t>
            </w:r>
          </w:p>
        </w:tc>
        <w:tc>
          <w:tcPr>
            <w:tcW w:w="761" w:type="pct"/>
            <w:tcMar>
              <w:top w:w="0" w:type="dxa"/>
              <w:left w:w="108" w:type="dxa"/>
              <w:bottom w:w="0" w:type="dxa"/>
              <w:right w:w="108" w:type="dxa"/>
            </w:tcMar>
            <w:vAlign w:val="center"/>
          </w:tcPr>
          <w:p w14:paraId="0898583F" w14:textId="77777777" w:rsidR="004B0883" w:rsidRDefault="004B0883">
            <w:pPr>
              <w:jc w:val="right"/>
              <w:rPr>
                <w:b/>
                <w:bCs/>
                <w:color w:val="000000"/>
              </w:rPr>
            </w:pPr>
            <w:r>
              <w:rPr>
                <w:b/>
                <w:bCs/>
                <w:color w:val="000000"/>
              </w:rPr>
              <w:t>1,838.87</w:t>
            </w:r>
          </w:p>
        </w:tc>
      </w:tr>
      <w:tr w:rsidR="004B0883" w14:paraId="2DDA5C18" w14:textId="77777777">
        <w:trPr>
          <w:trHeight w:val="397"/>
          <w:jc w:val="center"/>
        </w:trPr>
        <w:tc>
          <w:tcPr>
            <w:tcW w:w="1822" w:type="pct"/>
            <w:tcMar>
              <w:top w:w="0" w:type="dxa"/>
              <w:left w:w="108" w:type="dxa"/>
              <w:bottom w:w="0" w:type="dxa"/>
              <w:right w:w="108" w:type="dxa"/>
            </w:tcMar>
            <w:vAlign w:val="center"/>
          </w:tcPr>
          <w:p w14:paraId="1BFBEE7E" w14:textId="77777777" w:rsidR="004B0883" w:rsidRDefault="004B0883">
            <w:pPr>
              <w:rPr>
                <w:color w:val="000000"/>
              </w:rPr>
            </w:pPr>
            <w:r>
              <w:rPr>
                <w:rFonts w:hint="eastAsia"/>
                <w:color w:val="000000"/>
              </w:rPr>
              <w:t>减：</w:t>
            </w:r>
            <w:r>
              <w:rPr>
                <w:color w:val="000000"/>
              </w:rPr>
              <w:t>所得税影响数</w:t>
            </w:r>
          </w:p>
        </w:tc>
        <w:tc>
          <w:tcPr>
            <w:tcW w:w="895" w:type="pct"/>
            <w:tcMar>
              <w:top w:w="0" w:type="dxa"/>
              <w:left w:w="108" w:type="dxa"/>
              <w:bottom w:w="0" w:type="dxa"/>
              <w:right w:w="108" w:type="dxa"/>
            </w:tcMar>
            <w:vAlign w:val="center"/>
          </w:tcPr>
          <w:p w14:paraId="2AF92BC5" w14:textId="77777777" w:rsidR="004B0883" w:rsidRDefault="004B0883">
            <w:pPr>
              <w:jc w:val="right"/>
              <w:rPr>
                <w:color w:val="000000"/>
              </w:rPr>
            </w:pPr>
            <w:r>
              <w:rPr>
                <w:rFonts w:eastAsia="等线"/>
                <w:color w:val="000000"/>
              </w:rPr>
              <w:t>-523.85</w:t>
            </w:r>
          </w:p>
        </w:tc>
        <w:tc>
          <w:tcPr>
            <w:tcW w:w="761" w:type="pct"/>
            <w:tcMar>
              <w:top w:w="0" w:type="dxa"/>
              <w:left w:w="108" w:type="dxa"/>
              <w:bottom w:w="0" w:type="dxa"/>
              <w:right w:w="108" w:type="dxa"/>
            </w:tcMar>
            <w:vAlign w:val="center"/>
          </w:tcPr>
          <w:p w14:paraId="3410EFCC" w14:textId="77777777" w:rsidR="004B0883" w:rsidRDefault="004B0883">
            <w:pPr>
              <w:jc w:val="right"/>
              <w:rPr>
                <w:color w:val="000000"/>
              </w:rPr>
            </w:pPr>
            <w:r>
              <w:rPr>
                <w:color w:val="000000"/>
              </w:rPr>
              <w:t>744.28</w:t>
            </w:r>
          </w:p>
        </w:tc>
        <w:tc>
          <w:tcPr>
            <w:tcW w:w="760" w:type="pct"/>
            <w:tcMar>
              <w:top w:w="0" w:type="dxa"/>
              <w:left w:w="108" w:type="dxa"/>
              <w:bottom w:w="0" w:type="dxa"/>
              <w:right w:w="108" w:type="dxa"/>
            </w:tcMar>
            <w:vAlign w:val="center"/>
          </w:tcPr>
          <w:p w14:paraId="08CC26AD" w14:textId="77777777" w:rsidR="004B0883" w:rsidRDefault="004B0883">
            <w:pPr>
              <w:jc w:val="right"/>
              <w:rPr>
                <w:color w:val="000000"/>
              </w:rPr>
            </w:pPr>
            <w:r>
              <w:rPr>
                <w:color w:val="000000"/>
              </w:rPr>
              <w:t>313.49</w:t>
            </w:r>
          </w:p>
        </w:tc>
        <w:tc>
          <w:tcPr>
            <w:tcW w:w="761" w:type="pct"/>
            <w:tcMar>
              <w:top w:w="0" w:type="dxa"/>
              <w:left w:w="108" w:type="dxa"/>
              <w:bottom w:w="0" w:type="dxa"/>
              <w:right w:w="108" w:type="dxa"/>
            </w:tcMar>
            <w:vAlign w:val="center"/>
          </w:tcPr>
          <w:p w14:paraId="1AF46BDA" w14:textId="77777777" w:rsidR="004B0883" w:rsidRDefault="004B0883">
            <w:pPr>
              <w:jc w:val="right"/>
              <w:rPr>
                <w:color w:val="000000"/>
              </w:rPr>
            </w:pPr>
            <w:r>
              <w:rPr>
                <w:color w:val="000000"/>
              </w:rPr>
              <w:t>285.43</w:t>
            </w:r>
          </w:p>
        </w:tc>
      </w:tr>
      <w:tr w:rsidR="004B0883" w14:paraId="45838CC1" w14:textId="77777777">
        <w:trPr>
          <w:trHeight w:val="397"/>
          <w:jc w:val="center"/>
        </w:trPr>
        <w:tc>
          <w:tcPr>
            <w:tcW w:w="1822" w:type="pct"/>
            <w:tcMar>
              <w:top w:w="0" w:type="dxa"/>
              <w:left w:w="108" w:type="dxa"/>
              <w:bottom w:w="0" w:type="dxa"/>
              <w:right w:w="108" w:type="dxa"/>
            </w:tcMar>
            <w:vAlign w:val="center"/>
          </w:tcPr>
          <w:p w14:paraId="2D0BCCA7" w14:textId="77777777" w:rsidR="004B0883" w:rsidRDefault="004B0883">
            <w:pPr>
              <w:rPr>
                <w:color w:val="000000"/>
              </w:rPr>
            </w:pPr>
            <w:r>
              <w:rPr>
                <w:rFonts w:hint="eastAsia"/>
                <w:color w:val="000000"/>
              </w:rPr>
              <w:t>减：</w:t>
            </w:r>
            <w:r>
              <w:rPr>
                <w:color w:val="000000"/>
              </w:rPr>
              <w:t>少数股东损益影响数</w:t>
            </w:r>
          </w:p>
        </w:tc>
        <w:tc>
          <w:tcPr>
            <w:tcW w:w="895" w:type="pct"/>
            <w:tcMar>
              <w:top w:w="0" w:type="dxa"/>
              <w:left w:w="108" w:type="dxa"/>
              <w:bottom w:w="0" w:type="dxa"/>
              <w:right w:w="108" w:type="dxa"/>
            </w:tcMar>
            <w:vAlign w:val="center"/>
          </w:tcPr>
          <w:p w14:paraId="38B6E488" w14:textId="77777777" w:rsidR="004B0883" w:rsidRDefault="004B0883">
            <w:pPr>
              <w:jc w:val="right"/>
              <w:rPr>
                <w:color w:val="000000"/>
              </w:rPr>
            </w:pPr>
            <w:r>
              <w:rPr>
                <w:rFonts w:eastAsia="等线"/>
                <w:color w:val="000000"/>
              </w:rPr>
              <w:t>-534.12</w:t>
            </w:r>
          </w:p>
        </w:tc>
        <w:tc>
          <w:tcPr>
            <w:tcW w:w="761" w:type="pct"/>
            <w:tcMar>
              <w:top w:w="0" w:type="dxa"/>
              <w:left w:w="108" w:type="dxa"/>
              <w:bottom w:w="0" w:type="dxa"/>
              <w:right w:w="108" w:type="dxa"/>
            </w:tcMar>
            <w:vAlign w:val="center"/>
          </w:tcPr>
          <w:p w14:paraId="5B6A0248" w14:textId="77777777" w:rsidR="004B0883" w:rsidRDefault="004B0883">
            <w:pPr>
              <w:jc w:val="right"/>
              <w:rPr>
                <w:color w:val="000000"/>
              </w:rPr>
            </w:pPr>
            <w:r>
              <w:rPr>
                <w:color w:val="000000"/>
              </w:rPr>
              <w:t>-256.57</w:t>
            </w:r>
          </w:p>
        </w:tc>
        <w:tc>
          <w:tcPr>
            <w:tcW w:w="760" w:type="pct"/>
            <w:tcMar>
              <w:top w:w="0" w:type="dxa"/>
              <w:left w:w="108" w:type="dxa"/>
              <w:bottom w:w="0" w:type="dxa"/>
              <w:right w:w="108" w:type="dxa"/>
            </w:tcMar>
            <w:vAlign w:val="center"/>
          </w:tcPr>
          <w:p w14:paraId="0CE66BEF" w14:textId="77777777" w:rsidR="004B0883" w:rsidRDefault="004B0883">
            <w:pPr>
              <w:jc w:val="right"/>
              <w:rPr>
                <w:color w:val="000000"/>
              </w:rPr>
            </w:pPr>
            <w:r>
              <w:rPr>
                <w:color w:val="000000"/>
              </w:rPr>
              <w:t>-</w:t>
            </w:r>
          </w:p>
        </w:tc>
        <w:tc>
          <w:tcPr>
            <w:tcW w:w="761" w:type="pct"/>
            <w:tcMar>
              <w:top w:w="0" w:type="dxa"/>
              <w:left w:w="108" w:type="dxa"/>
              <w:bottom w:w="0" w:type="dxa"/>
              <w:right w:w="108" w:type="dxa"/>
            </w:tcMar>
            <w:vAlign w:val="center"/>
          </w:tcPr>
          <w:p w14:paraId="7EC77940" w14:textId="77777777" w:rsidR="004B0883" w:rsidRDefault="004B0883">
            <w:pPr>
              <w:jc w:val="right"/>
              <w:rPr>
                <w:color w:val="000000"/>
              </w:rPr>
            </w:pPr>
            <w:r>
              <w:rPr>
                <w:color w:val="000000"/>
              </w:rPr>
              <w:t>-</w:t>
            </w:r>
          </w:p>
        </w:tc>
      </w:tr>
      <w:tr w:rsidR="004B0883" w14:paraId="74C74318" w14:textId="77777777">
        <w:trPr>
          <w:trHeight w:val="397"/>
          <w:jc w:val="center"/>
        </w:trPr>
        <w:tc>
          <w:tcPr>
            <w:tcW w:w="1822" w:type="pct"/>
            <w:tcMar>
              <w:top w:w="0" w:type="dxa"/>
              <w:left w:w="108" w:type="dxa"/>
              <w:bottom w:w="0" w:type="dxa"/>
              <w:right w:w="108" w:type="dxa"/>
            </w:tcMar>
            <w:vAlign w:val="center"/>
          </w:tcPr>
          <w:p w14:paraId="62BB8F5E" w14:textId="77777777" w:rsidR="004B0883" w:rsidRDefault="004B0883">
            <w:pPr>
              <w:rPr>
                <w:b/>
                <w:bCs/>
                <w:color w:val="000000"/>
              </w:rPr>
            </w:pPr>
            <w:r>
              <w:rPr>
                <w:b/>
                <w:bCs/>
                <w:color w:val="000000"/>
              </w:rPr>
              <w:t>非经常性损益项目合计</w:t>
            </w:r>
          </w:p>
        </w:tc>
        <w:tc>
          <w:tcPr>
            <w:tcW w:w="895" w:type="pct"/>
            <w:tcMar>
              <w:top w:w="0" w:type="dxa"/>
              <w:left w:w="108" w:type="dxa"/>
              <w:bottom w:w="0" w:type="dxa"/>
              <w:right w:w="108" w:type="dxa"/>
            </w:tcMar>
            <w:vAlign w:val="center"/>
          </w:tcPr>
          <w:p w14:paraId="5077FF62" w14:textId="77777777" w:rsidR="004B0883" w:rsidRDefault="004B0883">
            <w:pPr>
              <w:jc w:val="right"/>
              <w:rPr>
                <w:b/>
                <w:bCs/>
                <w:color w:val="000000"/>
              </w:rPr>
            </w:pPr>
            <w:r>
              <w:rPr>
                <w:rFonts w:eastAsia="等线"/>
                <w:color w:val="000000"/>
              </w:rPr>
              <w:t>1,401.90</w:t>
            </w:r>
          </w:p>
        </w:tc>
        <w:tc>
          <w:tcPr>
            <w:tcW w:w="761" w:type="pct"/>
            <w:tcMar>
              <w:top w:w="0" w:type="dxa"/>
              <w:left w:w="108" w:type="dxa"/>
              <w:bottom w:w="0" w:type="dxa"/>
              <w:right w:w="108" w:type="dxa"/>
            </w:tcMar>
            <w:vAlign w:val="center"/>
          </w:tcPr>
          <w:p w14:paraId="268D4492" w14:textId="77777777" w:rsidR="004B0883" w:rsidRDefault="004B0883">
            <w:pPr>
              <w:jc w:val="right"/>
              <w:rPr>
                <w:b/>
                <w:bCs/>
                <w:color w:val="000000"/>
              </w:rPr>
            </w:pPr>
            <w:r>
              <w:rPr>
                <w:b/>
                <w:bCs/>
                <w:color w:val="000000"/>
              </w:rPr>
              <w:t>3,826.59</w:t>
            </w:r>
          </w:p>
        </w:tc>
        <w:tc>
          <w:tcPr>
            <w:tcW w:w="760" w:type="pct"/>
            <w:tcMar>
              <w:top w:w="0" w:type="dxa"/>
              <w:left w:w="108" w:type="dxa"/>
              <w:bottom w:w="0" w:type="dxa"/>
              <w:right w:w="108" w:type="dxa"/>
            </w:tcMar>
            <w:vAlign w:val="center"/>
          </w:tcPr>
          <w:p w14:paraId="148C5315" w14:textId="77777777" w:rsidR="004B0883" w:rsidRDefault="004B0883">
            <w:pPr>
              <w:jc w:val="right"/>
              <w:rPr>
                <w:b/>
                <w:bCs/>
                <w:color w:val="000000"/>
              </w:rPr>
            </w:pPr>
            <w:r>
              <w:rPr>
                <w:b/>
                <w:bCs/>
                <w:color w:val="000000"/>
              </w:rPr>
              <w:t>1,414.58</w:t>
            </w:r>
          </w:p>
        </w:tc>
        <w:tc>
          <w:tcPr>
            <w:tcW w:w="761" w:type="pct"/>
            <w:tcMar>
              <w:top w:w="0" w:type="dxa"/>
              <w:left w:w="108" w:type="dxa"/>
              <w:bottom w:w="0" w:type="dxa"/>
              <w:right w:w="108" w:type="dxa"/>
            </w:tcMar>
            <w:vAlign w:val="center"/>
          </w:tcPr>
          <w:p w14:paraId="665C0F63" w14:textId="77777777" w:rsidR="004B0883" w:rsidRDefault="004B0883">
            <w:pPr>
              <w:jc w:val="right"/>
              <w:rPr>
                <w:b/>
                <w:bCs/>
                <w:color w:val="000000"/>
              </w:rPr>
            </w:pPr>
            <w:r>
              <w:rPr>
                <w:b/>
                <w:bCs/>
                <w:color w:val="000000"/>
              </w:rPr>
              <w:t>1,553.44</w:t>
            </w:r>
          </w:p>
        </w:tc>
      </w:tr>
      <w:tr w:rsidR="004B0883" w14:paraId="5B23284D" w14:textId="77777777">
        <w:trPr>
          <w:trHeight w:val="397"/>
          <w:jc w:val="center"/>
        </w:trPr>
        <w:tc>
          <w:tcPr>
            <w:tcW w:w="1822" w:type="pct"/>
            <w:tcMar>
              <w:top w:w="0" w:type="dxa"/>
              <w:left w:w="108" w:type="dxa"/>
              <w:bottom w:w="0" w:type="dxa"/>
              <w:right w:w="108" w:type="dxa"/>
            </w:tcMar>
            <w:vAlign w:val="center"/>
          </w:tcPr>
          <w:p w14:paraId="1B65F2C5" w14:textId="77777777" w:rsidR="004B0883" w:rsidRDefault="004B0883">
            <w:pPr>
              <w:rPr>
                <w:color w:val="000000"/>
              </w:rPr>
            </w:pPr>
            <w:r>
              <w:rPr>
                <w:color w:val="000000"/>
              </w:rPr>
              <w:t>归属于母公司普通股股东的净利润</w:t>
            </w:r>
          </w:p>
        </w:tc>
        <w:tc>
          <w:tcPr>
            <w:tcW w:w="895" w:type="pct"/>
            <w:tcMar>
              <w:top w:w="0" w:type="dxa"/>
              <w:left w:w="108" w:type="dxa"/>
              <w:bottom w:w="0" w:type="dxa"/>
              <w:right w:w="108" w:type="dxa"/>
            </w:tcMar>
            <w:vAlign w:val="center"/>
          </w:tcPr>
          <w:p w14:paraId="311F3D91" w14:textId="77777777" w:rsidR="004B0883" w:rsidRDefault="004B0883">
            <w:pPr>
              <w:jc w:val="right"/>
              <w:rPr>
                <w:color w:val="000000"/>
              </w:rPr>
            </w:pPr>
            <w:r>
              <w:rPr>
                <w:rFonts w:eastAsia="等线"/>
                <w:color w:val="000000"/>
              </w:rPr>
              <w:t>9,476.30</w:t>
            </w:r>
          </w:p>
        </w:tc>
        <w:tc>
          <w:tcPr>
            <w:tcW w:w="761" w:type="pct"/>
            <w:tcMar>
              <w:top w:w="0" w:type="dxa"/>
              <w:left w:w="108" w:type="dxa"/>
              <w:bottom w:w="0" w:type="dxa"/>
              <w:right w:w="108" w:type="dxa"/>
            </w:tcMar>
            <w:vAlign w:val="center"/>
          </w:tcPr>
          <w:p w14:paraId="1689C0E4" w14:textId="77777777" w:rsidR="004B0883" w:rsidRDefault="004B0883">
            <w:pPr>
              <w:jc w:val="right"/>
              <w:rPr>
                <w:color w:val="000000"/>
              </w:rPr>
            </w:pPr>
            <w:r>
              <w:rPr>
                <w:kern w:val="0"/>
              </w:rPr>
              <w:t>13,620.51</w:t>
            </w:r>
          </w:p>
        </w:tc>
        <w:tc>
          <w:tcPr>
            <w:tcW w:w="760" w:type="pct"/>
            <w:tcMar>
              <w:top w:w="0" w:type="dxa"/>
              <w:left w:w="108" w:type="dxa"/>
              <w:bottom w:w="0" w:type="dxa"/>
              <w:right w:w="108" w:type="dxa"/>
            </w:tcMar>
            <w:vAlign w:val="center"/>
          </w:tcPr>
          <w:p w14:paraId="3DB99CCE" w14:textId="77777777" w:rsidR="004B0883" w:rsidRDefault="004B0883">
            <w:pPr>
              <w:jc w:val="right"/>
              <w:rPr>
                <w:color w:val="000000"/>
              </w:rPr>
            </w:pPr>
            <w:r>
              <w:rPr>
                <w:color w:val="000000"/>
              </w:rPr>
              <w:t>6,099.35</w:t>
            </w:r>
          </w:p>
        </w:tc>
        <w:tc>
          <w:tcPr>
            <w:tcW w:w="761" w:type="pct"/>
            <w:tcMar>
              <w:top w:w="0" w:type="dxa"/>
              <w:left w:w="108" w:type="dxa"/>
              <w:bottom w:w="0" w:type="dxa"/>
              <w:right w:w="108" w:type="dxa"/>
            </w:tcMar>
            <w:vAlign w:val="center"/>
          </w:tcPr>
          <w:p w14:paraId="14C16A99" w14:textId="77777777" w:rsidR="004B0883" w:rsidRDefault="004B0883">
            <w:pPr>
              <w:jc w:val="right"/>
              <w:rPr>
                <w:color w:val="000000"/>
              </w:rPr>
            </w:pPr>
            <w:r>
              <w:rPr>
                <w:color w:val="000000"/>
              </w:rPr>
              <w:t>5,796.81</w:t>
            </w:r>
          </w:p>
        </w:tc>
      </w:tr>
      <w:tr w:rsidR="004B0883" w14:paraId="62C7E99D" w14:textId="77777777">
        <w:trPr>
          <w:trHeight w:val="397"/>
          <w:jc w:val="center"/>
        </w:trPr>
        <w:tc>
          <w:tcPr>
            <w:tcW w:w="1822" w:type="pct"/>
            <w:tcMar>
              <w:top w:w="0" w:type="dxa"/>
              <w:left w:w="108" w:type="dxa"/>
              <w:bottom w:w="0" w:type="dxa"/>
              <w:right w:w="108" w:type="dxa"/>
            </w:tcMar>
            <w:vAlign w:val="center"/>
          </w:tcPr>
          <w:p w14:paraId="6ECDFF11" w14:textId="77777777" w:rsidR="004B0883" w:rsidRDefault="004B0883">
            <w:pPr>
              <w:rPr>
                <w:b/>
                <w:bCs/>
                <w:color w:val="000000"/>
              </w:rPr>
            </w:pPr>
            <w:r>
              <w:rPr>
                <w:b/>
                <w:bCs/>
                <w:color w:val="000000"/>
              </w:rPr>
              <w:t>占比</w:t>
            </w:r>
          </w:p>
        </w:tc>
        <w:tc>
          <w:tcPr>
            <w:tcW w:w="895" w:type="pct"/>
            <w:tcMar>
              <w:top w:w="0" w:type="dxa"/>
              <w:left w:w="108" w:type="dxa"/>
              <w:bottom w:w="0" w:type="dxa"/>
              <w:right w:w="108" w:type="dxa"/>
            </w:tcMar>
            <w:vAlign w:val="center"/>
          </w:tcPr>
          <w:p w14:paraId="6FBF1AFF" w14:textId="77777777" w:rsidR="004B0883" w:rsidRDefault="004B0883">
            <w:pPr>
              <w:jc w:val="right"/>
              <w:rPr>
                <w:b/>
                <w:bCs/>
                <w:color w:val="000000"/>
              </w:rPr>
            </w:pPr>
            <w:r>
              <w:rPr>
                <w:rFonts w:eastAsia="等线"/>
                <w:b/>
                <w:bCs/>
                <w:color w:val="000000"/>
              </w:rPr>
              <w:t>14.79%</w:t>
            </w:r>
          </w:p>
        </w:tc>
        <w:tc>
          <w:tcPr>
            <w:tcW w:w="761" w:type="pct"/>
            <w:tcMar>
              <w:top w:w="0" w:type="dxa"/>
              <w:left w:w="108" w:type="dxa"/>
              <w:bottom w:w="0" w:type="dxa"/>
              <w:right w:w="108" w:type="dxa"/>
            </w:tcMar>
            <w:vAlign w:val="center"/>
          </w:tcPr>
          <w:p w14:paraId="117B912A" w14:textId="77777777" w:rsidR="004B0883" w:rsidRDefault="004B0883">
            <w:pPr>
              <w:jc w:val="right"/>
              <w:rPr>
                <w:b/>
                <w:bCs/>
                <w:color w:val="000000"/>
              </w:rPr>
            </w:pPr>
            <w:r>
              <w:rPr>
                <w:rFonts w:eastAsia="等线"/>
                <w:b/>
                <w:bCs/>
                <w:color w:val="000000"/>
              </w:rPr>
              <w:t>28.09%</w:t>
            </w:r>
          </w:p>
        </w:tc>
        <w:tc>
          <w:tcPr>
            <w:tcW w:w="760" w:type="pct"/>
            <w:tcMar>
              <w:top w:w="0" w:type="dxa"/>
              <w:left w:w="108" w:type="dxa"/>
              <w:bottom w:w="0" w:type="dxa"/>
              <w:right w:w="108" w:type="dxa"/>
            </w:tcMar>
            <w:vAlign w:val="center"/>
          </w:tcPr>
          <w:p w14:paraId="4C7CBAB8" w14:textId="77777777" w:rsidR="004B0883" w:rsidRDefault="004B0883">
            <w:pPr>
              <w:jc w:val="right"/>
              <w:rPr>
                <w:b/>
                <w:bCs/>
                <w:color w:val="000000"/>
              </w:rPr>
            </w:pPr>
            <w:r>
              <w:rPr>
                <w:b/>
                <w:bCs/>
                <w:color w:val="000000"/>
              </w:rPr>
              <w:t>23.19%</w:t>
            </w:r>
          </w:p>
        </w:tc>
        <w:tc>
          <w:tcPr>
            <w:tcW w:w="761" w:type="pct"/>
            <w:tcMar>
              <w:top w:w="0" w:type="dxa"/>
              <w:left w:w="108" w:type="dxa"/>
              <w:bottom w:w="0" w:type="dxa"/>
              <w:right w:w="108" w:type="dxa"/>
            </w:tcMar>
            <w:vAlign w:val="center"/>
          </w:tcPr>
          <w:p w14:paraId="6814031A" w14:textId="77777777" w:rsidR="004B0883" w:rsidRDefault="004B0883">
            <w:pPr>
              <w:jc w:val="right"/>
              <w:rPr>
                <w:b/>
                <w:bCs/>
                <w:color w:val="000000"/>
              </w:rPr>
            </w:pPr>
            <w:r>
              <w:rPr>
                <w:b/>
                <w:bCs/>
                <w:color w:val="000000"/>
              </w:rPr>
              <w:t>26.80%</w:t>
            </w:r>
          </w:p>
        </w:tc>
      </w:tr>
    </w:tbl>
    <w:bookmarkEnd w:id="361"/>
    <w:p w14:paraId="2A5A1ED4" w14:textId="77777777" w:rsidR="004B0883" w:rsidRDefault="004B0883">
      <w:pPr>
        <w:pStyle w:val="005"/>
        <w:spacing w:before="120"/>
        <w:ind w:firstLine="480"/>
      </w:pPr>
      <w:r>
        <w:t>报告期各期，公司非经常性损益主要由非流动资产处置损益及委托投资损益构成。</w:t>
      </w:r>
      <w:r>
        <w:t>2022</w:t>
      </w:r>
      <w:r>
        <w:t>年，公司非经常性损益金额及占比同比提升较多，主要系当期处置子公司青岛即聚机电有限责任公司产生的处置收益所致</w:t>
      </w:r>
      <w:r>
        <w:rPr>
          <w:rFonts w:hint="eastAsia"/>
        </w:rPr>
        <w:t>。</w:t>
      </w:r>
    </w:p>
    <w:bookmarkEnd w:id="348"/>
    <w:bookmarkEnd w:id="349"/>
    <w:bookmarkEnd w:id="350"/>
    <w:p w14:paraId="5E5D68FB" w14:textId="77777777" w:rsidR="004B0883" w:rsidRDefault="004B0883">
      <w:pPr>
        <w:pStyle w:val="003"/>
        <w:spacing w:before="120" w:after="120"/>
      </w:pPr>
      <w:r>
        <w:t>（七）净利润分析</w:t>
      </w:r>
    </w:p>
    <w:p w14:paraId="40914757" w14:textId="77777777" w:rsidR="004B0883" w:rsidRDefault="004B0883">
      <w:pPr>
        <w:pStyle w:val="004"/>
        <w:spacing w:before="120" w:after="120"/>
        <w:ind w:firstLine="482"/>
      </w:pPr>
      <w:r>
        <w:t>1</w:t>
      </w:r>
      <w:r>
        <w:t>、净利润波动情况分析</w:t>
      </w:r>
    </w:p>
    <w:p w14:paraId="206AAC80" w14:textId="77777777" w:rsidR="004B0883" w:rsidRDefault="004B0883">
      <w:pPr>
        <w:pStyle w:val="005"/>
        <w:spacing w:before="120"/>
        <w:ind w:firstLine="480"/>
      </w:pPr>
      <w:r>
        <w:t>报告期各期，公司实现主营业务收入分别为</w:t>
      </w:r>
      <w:r>
        <w:t>34,335.39</w:t>
      </w:r>
      <w:r>
        <w:t>万元、</w:t>
      </w:r>
      <w:r>
        <w:t>41,175.41</w:t>
      </w:r>
      <w:r>
        <w:t>万元、</w:t>
      </w:r>
      <w:r>
        <w:t>53,496.13</w:t>
      </w:r>
      <w:r>
        <w:t>万元和</w:t>
      </w:r>
      <w:r>
        <w:t>39,681.76</w:t>
      </w:r>
      <w:r>
        <w:t>万元；实现净利润分别为</w:t>
      </w:r>
      <w:r>
        <w:t>5,796.81</w:t>
      </w:r>
      <w:r>
        <w:t>万元、</w:t>
      </w:r>
      <w:r>
        <w:t>6,099.35</w:t>
      </w:r>
      <w:r>
        <w:t>万元、</w:t>
      </w:r>
      <w:r>
        <w:t>13,362.71</w:t>
      </w:r>
      <w:r>
        <w:t>万元和</w:t>
      </w:r>
      <w:r>
        <w:t>10,062.09</w:t>
      </w:r>
      <w:r>
        <w:t>万元，随着公司销售规模的不断增大，公司营业收入及净利润均整体呈上升趋势。其中，</w:t>
      </w:r>
      <w:r>
        <w:t>2022</w:t>
      </w:r>
      <w:r>
        <w:t>年公司主营业务收入及净利润较</w:t>
      </w:r>
      <w:r>
        <w:t>2021</w:t>
      </w:r>
      <w:r>
        <w:t>年分别上涨</w:t>
      </w:r>
      <w:r>
        <w:t>29.92%</w:t>
      </w:r>
      <w:r>
        <w:t>和</w:t>
      </w:r>
      <w:r>
        <w:t>119.08%</w:t>
      </w:r>
      <w:r>
        <w:t>，主要系：</w:t>
      </w:r>
    </w:p>
    <w:p w14:paraId="37686073" w14:textId="77777777" w:rsidR="004B0883" w:rsidRDefault="004B0883">
      <w:pPr>
        <w:pStyle w:val="005"/>
        <w:spacing w:before="120"/>
        <w:ind w:firstLine="480"/>
        <w:rPr>
          <w:szCs w:val="20"/>
        </w:rPr>
      </w:pPr>
      <w:r>
        <w:rPr>
          <w:rFonts w:ascii="宋体" w:hAnsi="宋体" w:cs="宋体" w:hint="eastAsia"/>
        </w:rPr>
        <w:t>①</w:t>
      </w:r>
      <w:r>
        <w:t>公司主营业务阀门产品销售收入快速增长。</w:t>
      </w:r>
      <w:r>
        <w:rPr>
          <w:szCs w:val="20"/>
        </w:rPr>
        <w:t>一方面，受公司产品的主要原材料价格持续上涨，成本端价格的提升支撑了阀门市场价格的提升，随着公司价格联动机制效应的落地，公司报告期内的阀门产品销售价格陆续上调；另一方面，随着公司外销市场的进一步开拓，</w:t>
      </w:r>
      <w:r>
        <w:rPr>
          <w:szCs w:val="20"/>
        </w:rPr>
        <w:t>2022</w:t>
      </w:r>
      <w:r>
        <w:rPr>
          <w:szCs w:val="20"/>
        </w:rPr>
        <w:t>年公司签订订单量和销售发货量较上年同期增加，使得公司收入明显提升。</w:t>
      </w:r>
    </w:p>
    <w:p w14:paraId="3A48ED3A" w14:textId="77777777" w:rsidR="004B0883" w:rsidRDefault="004B0883">
      <w:pPr>
        <w:pStyle w:val="005"/>
        <w:spacing w:before="120"/>
        <w:ind w:firstLine="480"/>
      </w:pPr>
      <w:r>
        <w:rPr>
          <w:rFonts w:ascii="宋体" w:hAnsi="宋体" w:cs="宋体" w:hint="eastAsia"/>
        </w:rPr>
        <w:t>②</w:t>
      </w:r>
      <w:r>
        <w:t>汇率变动导致净利润进一步增加。公司销售以外销为主，并主要以美元结算。</w:t>
      </w:r>
      <w:r>
        <w:t>2022</w:t>
      </w:r>
      <w:r>
        <w:t>年美元汇率开始大幅上升，人民币兑外币的记账汇率波动均值</w:t>
      </w:r>
      <w:r>
        <w:t>6.72</w:t>
      </w:r>
      <w:r>
        <w:t>元，较</w:t>
      </w:r>
      <w:r>
        <w:t>2021</w:t>
      </w:r>
      <w:r>
        <w:t>年的</w:t>
      </w:r>
      <w:r>
        <w:t>6.45</w:t>
      </w:r>
      <w:r>
        <w:t>元变动约</w:t>
      </w:r>
      <w:r>
        <w:t>0.27</w:t>
      </w:r>
      <w:r>
        <w:t>元，对公司出口业绩产生一定的正向影响，提升了产品毛利率。</w:t>
      </w:r>
    </w:p>
    <w:p w14:paraId="1AC18E8F" w14:textId="77777777" w:rsidR="004B0883" w:rsidRDefault="004B0883">
      <w:pPr>
        <w:pStyle w:val="005"/>
        <w:spacing w:before="120"/>
        <w:ind w:firstLine="480"/>
      </w:pPr>
      <w:r>
        <w:rPr>
          <w:rFonts w:ascii="宋体" w:hAnsi="宋体" w:cs="宋体" w:hint="eastAsia"/>
        </w:rPr>
        <w:t>③</w:t>
      </w:r>
      <w:r>
        <w:t>转让子公司即聚机电使得投资收益大幅增加。</w:t>
      </w:r>
      <w:r>
        <w:t>2022</w:t>
      </w:r>
      <w:r>
        <w:t>年，公司处置即聚机电产生投资收益为</w:t>
      </w:r>
      <w:r>
        <w:t>4,164.12</w:t>
      </w:r>
      <w:r>
        <w:t>万元，占当期利润总额的比例为</w:t>
      </w:r>
      <w:r>
        <w:t>26.91%</w:t>
      </w:r>
      <w:r>
        <w:t>。主要系当年处置子公司青岛即聚机电有限责任公司产生的处置收益较多。</w:t>
      </w:r>
    </w:p>
    <w:p w14:paraId="0E86B82D" w14:textId="77777777" w:rsidR="004B0883" w:rsidRDefault="004B0883">
      <w:pPr>
        <w:pStyle w:val="004"/>
        <w:spacing w:before="120" w:after="120"/>
        <w:ind w:firstLine="482"/>
      </w:pPr>
      <w:r>
        <w:t>2</w:t>
      </w:r>
      <w:r>
        <w:t>、非经常性损益对经营成果的影响分析</w:t>
      </w:r>
    </w:p>
    <w:p w14:paraId="615460F9" w14:textId="77777777" w:rsidR="004B0883" w:rsidRDefault="004B0883">
      <w:pPr>
        <w:pStyle w:val="005"/>
        <w:spacing w:before="120"/>
        <w:ind w:firstLine="480"/>
      </w:pPr>
      <w:r>
        <w:t>报告期各期，公司非经常性损益占净利润的情况如下：</w:t>
      </w:r>
    </w:p>
    <w:p w14:paraId="7D192D5C" w14:textId="77777777" w:rsidR="004B0883" w:rsidRDefault="004B0883">
      <w:pPr>
        <w:pStyle w:val="009"/>
      </w:pPr>
      <w: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140"/>
        <w:gridCol w:w="1788"/>
        <w:gridCol w:w="1118"/>
        <w:gridCol w:w="1118"/>
        <w:gridCol w:w="1116"/>
      </w:tblGrid>
      <w:tr w:rsidR="004B0883" w14:paraId="3452A090" w14:textId="77777777">
        <w:trPr>
          <w:trHeight w:val="397"/>
          <w:tblHeader/>
          <w:jc w:val="center"/>
        </w:trPr>
        <w:tc>
          <w:tcPr>
            <w:tcW w:w="1896" w:type="pct"/>
            <w:shd w:val="clear" w:color="auto" w:fill="D9D9D9"/>
            <w:tcMar>
              <w:top w:w="0" w:type="dxa"/>
              <w:left w:w="108" w:type="dxa"/>
              <w:bottom w:w="0" w:type="dxa"/>
              <w:right w:w="108" w:type="dxa"/>
            </w:tcMar>
            <w:vAlign w:val="center"/>
          </w:tcPr>
          <w:p w14:paraId="49EE1AC2" w14:textId="77777777" w:rsidR="004B0883" w:rsidRDefault="004B0883">
            <w:pPr>
              <w:keepNext/>
              <w:jc w:val="center"/>
              <w:rPr>
                <w:b/>
                <w:color w:val="000000"/>
              </w:rPr>
            </w:pPr>
            <w:r>
              <w:rPr>
                <w:b/>
                <w:color w:val="000000"/>
              </w:rPr>
              <w:t>项目</w:t>
            </w:r>
          </w:p>
        </w:tc>
        <w:tc>
          <w:tcPr>
            <w:tcW w:w="1080" w:type="pct"/>
            <w:shd w:val="clear" w:color="auto" w:fill="D9D9D9"/>
            <w:tcMar>
              <w:top w:w="0" w:type="dxa"/>
              <w:left w:w="108" w:type="dxa"/>
              <w:bottom w:w="0" w:type="dxa"/>
              <w:right w:w="108" w:type="dxa"/>
            </w:tcMar>
            <w:vAlign w:val="center"/>
          </w:tcPr>
          <w:p w14:paraId="4E855386" w14:textId="77777777" w:rsidR="004B0883" w:rsidRDefault="004B0883">
            <w:pPr>
              <w:keepNext/>
              <w:jc w:val="center"/>
              <w:rPr>
                <w:b/>
                <w:color w:val="000000"/>
              </w:rPr>
            </w:pPr>
            <w:r>
              <w:rPr>
                <w:b/>
                <w:color w:val="000000"/>
              </w:rPr>
              <w:t>2023</w:t>
            </w:r>
            <w:r>
              <w:rPr>
                <w:b/>
                <w:color w:val="000000"/>
              </w:rPr>
              <w:t>年</w:t>
            </w:r>
            <w:r>
              <w:rPr>
                <w:b/>
                <w:color w:val="000000"/>
              </w:rPr>
              <w:t>1-9</w:t>
            </w:r>
            <w:r>
              <w:rPr>
                <w:b/>
                <w:color w:val="000000"/>
              </w:rPr>
              <w:t>月</w:t>
            </w:r>
          </w:p>
        </w:tc>
        <w:tc>
          <w:tcPr>
            <w:tcW w:w="675" w:type="pct"/>
            <w:shd w:val="clear" w:color="auto" w:fill="D9D9D9"/>
            <w:tcMar>
              <w:top w:w="0" w:type="dxa"/>
              <w:left w:w="108" w:type="dxa"/>
              <w:bottom w:w="0" w:type="dxa"/>
              <w:right w:w="108" w:type="dxa"/>
            </w:tcMar>
            <w:vAlign w:val="center"/>
          </w:tcPr>
          <w:p w14:paraId="6BE22DB8" w14:textId="77777777" w:rsidR="004B0883" w:rsidRDefault="004B0883">
            <w:pPr>
              <w:keepNext/>
              <w:jc w:val="center"/>
              <w:rPr>
                <w:b/>
                <w:color w:val="000000"/>
              </w:rPr>
            </w:pPr>
            <w:r>
              <w:rPr>
                <w:b/>
                <w:color w:val="000000"/>
              </w:rPr>
              <w:t>2022</w:t>
            </w:r>
            <w:r>
              <w:rPr>
                <w:b/>
                <w:color w:val="000000"/>
              </w:rPr>
              <w:t>年度</w:t>
            </w:r>
          </w:p>
        </w:tc>
        <w:tc>
          <w:tcPr>
            <w:tcW w:w="675" w:type="pct"/>
            <w:shd w:val="clear" w:color="auto" w:fill="D9D9D9"/>
            <w:tcMar>
              <w:top w:w="0" w:type="dxa"/>
              <w:left w:w="108" w:type="dxa"/>
              <w:bottom w:w="0" w:type="dxa"/>
              <w:right w:w="108" w:type="dxa"/>
            </w:tcMar>
            <w:vAlign w:val="center"/>
          </w:tcPr>
          <w:p w14:paraId="5F00D737" w14:textId="77777777" w:rsidR="004B0883" w:rsidRDefault="004B0883">
            <w:pPr>
              <w:keepNext/>
              <w:jc w:val="center"/>
              <w:rPr>
                <w:b/>
                <w:color w:val="000000"/>
              </w:rPr>
            </w:pPr>
            <w:r>
              <w:rPr>
                <w:b/>
                <w:color w:val="000000"/>
              </w:rPr>
              <w:t>2021</w:t>
            </w:r>
            <w:r>
              <w:rPr>
                <w:b/>
                <w:color w:val="000000"/>
              </w:rPr>
              <w:t>年度</w:t>
            </w:r>
          </w:p>
        </w:tc>
        <w:tc>
          <w:tcPr>
            <w:tcW w:w="675" w:type="pct"/>
            <w:shd w:val="clear" w:color="auto" w:fill="D9D9D9"/>
            <w:tcMar>
              <w:top w:w="0" w:type="dxa"/>
              <w:left w:w="108" w:type="dxa"/>
              <w:bottom w:w="0" w:type="dxa"/>
              <w:right w:w="108" w:type="dxa"/>
            </w:tcMar>
            <w:vAlign w:val="center"/>
          </w:tcPr>
          <w:p w14:paraId="3E4D3E0F" w14:textId="77777777" w:rsidR="004B0883" w:rsidRDefault="004B0883">
            <w:pPr>
              <w:keepNext/>
              <w:jc w:val="center"/>
              <w:rPr>
                <w:b/>
                <w:color w:val="000000"/>
              </w:rPr>
            </w:pPr>
            <w:r>
              <w:rPr>
                <w:b/>
                <w:color w:val="000000"/>
              </w:rPr>
              <w:t>2020</w:t>
            </w:r>
            <w:r>
              <w:rPr>
                <w:b/>
                <w:color w:val="000000"/>
              </w:rPr>
              <w:t>年度</w:t>
            </w:r>
          </w:p>
        </w:tc>
      </w:tr>
      <w:tr w:rsidR="004B0883" w14:paraId="4F237919" w14:textId="77777777">
        <w:trPr>
          <w:trHeight w:val="397"/>
          <w:jc w:val="center"/>
        </w:trPr>
        <w:tc>
          <w:tcPr>
            <w:tcW w:w="1896" w:type="pct"/>
            <w:tcMar>
              <w:top w:w="0" w:type="dxa"/>
              <w:left w:w="108" w:type="dxa"/>
              <w:bottom w:w="0" w:type="dxa"/>
              <w:right w:w="108" w:type="dxa"/>
            </w:tcMar>
            <w:vAlign w:val="center"/>
          </w:tcPr>
          <w:p w14:paraId="60E6895B" w14:textId="77777777" w:rsidR="004B0883" w:rsidRDefault="004B0883">
            <w:pPr>
              <w:rPr>
                <w:color w:val="000000"/>
              </w:rPr>
            </w:pPr>
            <w:r>
              <w:rPr>
                <w:color w:val="000000"/>
              </w:rPr>
              <w:t>归属于母公司非经常性损益净额</w:t>
            </w:r>
          </w:p>
        </w:tc>
        <w:tc>
          <w:tcPr>
            <w:tcW w:w="1080" w:type="pct"/>
            <w:tcMar>
              <w:top w:w="0" w:type="dxa"/>
              <w:left w:w="108" w:type="dxa"/>
              <w:bottom w:w="0" w:type="dxa"/>
              <w:right w:w="108" w:type="dxa"/>
            </w:tcMar>
            <w:vAlign w:val="center"/>
          </w:tcPr>
          <w:p w14:paraId="0730481F" w14:textId="77777777" w:rsidR="004B0883" w:rsidRDefault="004B0883">
            <w:pPr>
              <w:jc w:val="right"/>
              <w:rPr>
                <w:color w:val="000000"/>
              </w:rPr>
            </w:pPr>
            <w:r>
              <w:rPr>
                <w:color w:val="000000"/>
              </w:rPr>
              <w:t>1,401.90</w:t>
            </w:r>
          </w:p>
        </w:tc>
        <w:tc>
          <w:tcPr>
            <w:tcW w:w="675" w:type="pct"/>
            <w:tcMar>
              <w:top w:w="0" w:type="dxa"/>
              <w:left w:w="108" w:type="dxa"/>
              <w:bottom w:w="0" w:type="dxa"/>
              <w:right w:w="108" w:type="dxa"/>
            </w:tcMar>
            <w:vAlign w:val="center"/>
          </w:tcPr>
          <w:p w14:paraId="624B7B7E" w14:textId="77777777" w:rsidR="004B0883" w:rsidRDefault="004B0883">
            <w:pPr>
              <w:jc w:val="right"/>
              <w:rPr>
                <w:color w:val="000000"/>
              </w:rPr>
            </w:pPr>
            <w:r>
              <w:rPr>
                <w:color w:val="000000"/>
              </w:rPr>
              <w:t>3,826.59</w:t>
            </w:r>
          </w:p>
        </w:tc>
        <w:tc>
          <w:tcPr>
            <w:tcW w:w="675" w:type="pct"/>
            <w:tcMar>
              <w:top w:w="0" w:type="dxa"/>
              <w:left w:w="108" w:type="dxa"/>
              <w:bottom w:w="0" w:type="dxa"/>
              <w:right w:w="108" w:type="dxa"/>
            </w:tcMar>
            <w:vAlign w:val="center"/>
          </w:tcPr>
          <w:p w14:paraId="04CD6D64" w14:textId="77777777" w:rsidR="004B0883" w:rsidRDefault="004B0883">
            <w:pPr>
              <w:jc w:val="right"/>
              <w:rPr>
                <w:color w:val="000000"/>
              </w:rPr>
            </w:pPr>
            <w:r>
              <w:rPr>
                <w:color w:val="000000"/>
              </w:rPr>
              <w:t>1,414.58</w:t>
            </w:r>
          </w:p>
        </w:tc>
        <w:tc>
          <w:tcPr>
            <w:tcW w:w="675" w:type="pct"/>
            <w:tcMar>
              <w:top w:w="0" w:type="dxa"/>
              <w:left w:w="108" w:type="dxa"/>
              <w:bottom w:w="0" w:type="dxa"/>
              <w:right w:w="108" w:type="dxa"/>
            </w:tcMar>
            <w:vAlign w:val="center"/>
          </w:tcPr>
          <w:p w14:paraId="57EA35EC" w14:textId="77777777" w:rsidR="004B0883" w:rsidRDefault="004B0883">
            <w:pPr>
              <w:jc w:val="right"/>
              <w:rPr>
                <w:color w:val="000000"/>
              </w:rPr>
            </w:pPr>
            <w:r>
              <w:rPr>
                <w:color w:val="000000"/>
              </w:rPr>
              <w:t>1,553.44</w:t>
            </w:r>
          </w:p>
        </w:tc>
      </w:tr>
      <w:tr w:rsidR="004B0883" w14:paraId="5FEC2BC4" w14:textId="77777777">
        <w:trPr>
          <w:trHeight w:val="397"/>
          <w:jc w:val="center"/>
        </w:trPr>
        <w:tc>
          <w:tcPr>
            <w:tcW w:w="1896" w:type="pct"/>
            <w:tcMar>
              <w:top w:w="0" w:type="dxa"/>
              <w:left w:w="108" w:type="dxa"/>
              <w:bottom w:w="0" w:type="dxa"/>
              <w:right w:w="108" w:type="dxa"/>
            </w:tcMar>
            <w:vAlign w:val="center"/>
          </w:tcPr>
          <w:p w14:paraId="1EE9902C" w14:textId="77777777" w:rsidR="004B0883" w:rsidRDefault="004B0883">
            <w:pPr>
              <w:rPr>
                <w:color w:val="000000"/>
              </w:rPr>
            </w:pPr>
            <w:r>
              <w:rPr>
                <w:color w:val="000000"/>
              </w:rPr>
              <w:t>归属于母公司股东的净利润</w:t>
            </w:r>
          </w:p>
        </w:tc>
        <w:tc>
          <w:tcPr>
            <w:tcW w:w="1080" w:type="pct"/>
            <w:tcMar>
              <w:top w:w="0" w:type="dxa"/>
              <w:left w:w="108" w:type="dxa"/>
              <w:bottom w:w="0" w:type="dxa"/>
              <w:right w:w="108" w:type="dxa"/>
            </w:tcMar>
            <w:vAlign w:val="center"/>
          </w:tcPr>
          <w:p w14:paraId="014CA488" w14:textId="77777777" w:rsidR="004B0883" w:rsidRDefault="004B0883">
            <w:pPr>
              <w:jc w:val="right"/>
              <w:rPr>
                <w:color w:val="000000"/>
              </w:rPr>
            </w:pPr>
            <w:r>
              <w:t>9,476.30</w:t>
            </w:r>
          </w:p>
        </w:tc>
        <w:tc>
          <w:tcPr>
            <w:tcW w:w="675" w:type="pct"/>
            <w:tcMar>
              <w:top w:w="0" w:type="dxa"/>
              <w:left w:w="108" w:type="dxa"/>
              <w:bottom w:w="0" w:type="dxa"/>
              <w:right w:w="108" w:type="dxa"/>
            </w:tcMar>
            <w:vAlign w:val="center"/>
          </w:tcPr>
          <w:p w14:paraId="74509FE3" w14:textId="77777777" w:rsidR="004B0883" w:rsidRDefault="004B0883">
            <w:pPr>
              <w:jc w:val="right"/>
              <w:rPr>
                <w:color w:val="000000"/>
              </w:rPr>
            </w:pPr>
            <w:r>
              <w:rPr>
                <w:color w:val="000000"/>
              </w:rPr>
              <w:t>13,620.51</w:t>
            </w:r>
          </w:p>
        </w:tc>
        <w:tc>
          <w:tcPr>
            <w:tcW w:w="675" w:type="pct"/>
            <w:tcMar>
              <w:top w:w="0" w:type="dxa"/>
              <w:left w:w="108" w:type="dxa"/>
              <w:bottom w:w="0" w:type="dxa"/>
              <w:right w:w="108" w:type="dxa"/>
            </w:tcMar>
            <w:vAlign w:val="center"/>
          </w:tcPr>
          <w:p w14:paraId="5412C74B" w14:textId="77777777" w:rsidR="004B0883" w:rsidRDefault="004B0883">
            <w:pPr>
              <w:jc w:val="right"/>
              <w:rPr>
                <w:color w:val="000000"/>
              </w:rPr>
            </w:pPr>
            <w:r>
              <w:rPr>
                <w:color w:val="000000"/>
              </w:rPr>
              <w:t>6,099.35</w:t>
            </w:r>
          </w:p>
        </w:tc>
        <w:tc>
          <w:tcPr>
            <w:tcW w:w="675" w:type="pct"/>
            <w:tcMar>
              <w:top w:w="0" w:type="dxa"/>
              <w:left w:w="108" w:type="dxa"/>
              <w:bottom w:w="0" w:type="dxa"/>
              <w:right w:w="108" w:type="dxa"/>
            </w:tcMar>
            <w:vAlign w:val="center"/>
          </w:tcPr>
          <w:p w14:paraId="6F7468FA" w14:textId="77777777" w:rsidR="004B0883" w:rsidRDefault="004B0883">
            <w:pPr>
              <w:jc w:val="right"/>
              <w:rPr>
                <w:color w:val="000000"/>
              </w:rPr>
            </w:pPr>
            <w:r>
              <w:rPr>
                <w:color w:val="000000"/>
              </w:rPr>
              <w:t>5,796.81</w:t>
            </w:r>
          </w:p>
        </w:tc>
      </w:tr>
      <w:tr w:rsidR="004B0883" w14:paraId="42A0AA62" w14:textId="77777777">
        <w:trPr>
          <w:trHeight w:val="397"/>
          <w:jc w:val="center"/>
        </w:trPr>
        <w:tc>
          <w:tcPr>
            <w:tcW w:w="1896" w:type="pct"/>
            <w:tcMar>
              <w:top w:w="0" w:type="dxa"/>
              <w:left w:w="108" w:type="dxa"/>
              <w:bottom w:w="0" w:type="dxa"/>
              <w:right w:w="108" w:type="dxa"/>
            </w:tcMar>
            <w:vAlign w:val="center"/>
          </w:tcPr>
          <w:p w14:paraId="0257DC3E" w14:textId="77777777" w:rsidR="004B0883" w:rsidRDefault="004B0883">
            <w:pPr>
              <w:rPr>
                <w:color w:val="000000"/>
              </w:rPr>
            </w:pPr>
            <w:r>
              <w:rPr>
                <w:color w:val="000000"/>
              </w:rPr>
              <w:t>占比</w:t>
            </w:r>
          </w:p>
        </w:tc>
        <w:tc>
          <w:tcPr>
            <w:tcW w:w="1080" w:type="pct"/>
            <w:tcMar>
              <w:top w:w="0" w:type="dxa"/>
              <w:left w:w="108" w:type="dxa"/>
              <w:bottom w:w="0" w:type="dxa"/>
              <w:right w:w="108" w:type="dxa"/>
            </w:tcMar>
            <w:vAlign w:val="center"/>
          </w:tcPr>
          <w:p w14:paraId="7FA8E86C" w14:textId="77777777" w:rsidR="004B0883" w:rsidRDefault="004B0883">
            <w:pPr>
              <w:jc w:val="right"/>
              <w:rPr>
                <w:color w:val="000000"/>
              </w:rPr>
            </w:pPr>
            <w:r>
              <w:rPr>
                <w:color w:val="000000"/>
              </w:rPr>
              <w:t>14.79%</w:t>
            </w:r>
          </w:p>
        </w:tc>
        <w:tc>
          <w:tcPr>
            <w:tcW w:w="675" w:type="pct"/>
            <w:tcMar>
              <w:top w:w="0" w:type="dxa"/>
              <w:left w:w="108" w:type="dxa"/>
              <w:bottom w:w="0" w:type="dxa"/>
              <w:right w:w="108" w:type="dxa"/>
            </w:tcMar>
            <w:vAlign w:val="center"/>
          </w:tcPr>
          <w:p w14:paraId="0DE97665" w14:textId="77777777" w:rsidR="004B0883" w:rsidRDefault="004B0883">
            <w:pPr>
              <w:jc w:val="right"/>
              <w:rPr>
                <w:color w:val="000000"/>
              </w:rPr>
            </w:pPr>
            <w:bookmarkStart w:id="362" w:name="_Hlk138495669"/>
            <w:r>
              <w:rPr>
                <w:color w:val="000000"/>
              </w:rPr>
              <w:t>28.09%</w:t>
            </w:r>
            <w:bookmarkEnd w:id="362"/>
          </w:p>
        </w:tc>
        <w:tc>
          <w:tcPr>
            <w:tcW w:w="675" w:type="pct"/>
            <w:tcMar>
              <w:top w:w="0" w:type="dxa"/>
              <w:left w:w="108" w:type="dxa"/>
              <w:bottom w:w="0" w:type="dxa"/>
              <w:right w:w="108" w:type="dxa"/>
            </w:tcMar>
            <w:vAlign w:val="center"/>
          </w:tcPr>
          <w:p w14:paraId="506FAE2C" w14:textId="77777777" w:rsidR="004B0883" w:rsidRDefault="004B0883">
            <w:pPr>
              <w:jc w:val="right"/>
              <w:rPr>
                <w:color w:val="000000"/>
              </w:rPr>
            </w:pPr>
            <w:r>
              <w:rPr>
                <w:color w:val="000000"/>
              </w:rPr>
              <w:t>23.19%</w:t>
            </w:r>
          </w:p>
        </w:tc>
        <w:tc>
          <w:tcPr>
            <w:tcW w:w="675" w:type="pct"/>
            <w:tcMar>
              <w:top w:w="0" w:type="dxa"/>
              <w:left w:w="108" w:type="dxa"/>
              <w:bottom w:w="0" w:type="dxa"/>
              <w:right w:w="108" w:type="dxa"/>
            </w:tcMar>
            <w:vAlign w:val="center"/>
          </w:tcPr>
          <w:p w14:paraId="6779B1A3" w14:textId="77777777" w:rsidR="004B0883" w:rsidRDefault="004B0883">
            <w:pPr>
              <w:jc w:val="right"/>
              <w:rPr>
                <w:color w:val="000000"/>
              </w:rPr>
            </w:pPr>
            <w:r>
              <w:rPr>
                <w:color w:val="000000"/>
              </w:rPr>
              <w:t>26.80%</w:t>
            </w:r>
          </w:p>
        </w:tc>
      </w:tr>
    </w:tbl>
    <w:p w14:paraId="28B54838" w14:textId="77777777" w:rsidR="004B0883" w:rsidRDefault="004B0883">
      <w:pPr>
        <w:pStyle w:val="005"/>
        <w:spacing w:before="120"/>
        <w:ind w:firstLine="480"/>
      </w:pPr>
      <w:r>
        <w:t>报告期各期，公司</w:t>
      </w:r>
      <w:r>
        <w:rPr>
          <w:rFonts w:hint="eastAsia"/>
        </w:rPr>
        <w:t>归属于母公司非经常性损益净额</w:t>
      </w:r>
      <w:r>
        <w:t>占归母净利润的比重分别为</w:t>
      </w:r>
      <w:r>
        <w:t>26.80%</w:t>
      </w:r>
      <w:r>
        <w:t>、</w:t>
      </w:r>
      <w:r>
        <w:t>23.19%</w:t>
      </w:r>
      <w:r>
        <w:t>、</w:t>
      </w:r>
      <w:r>
        <w:t>28.09%</w:t>
      </w:r>
      <w:r>
        <w:t>和</w:t>
      </w:r>
      <w:r>
        <w:t>14.79%</w:t>
      </w:r>
      <w:r>
        <w:t>。</w:t>
      </w:r>
    </w:p>
    <w:p w14:paraId="4DA06548" w14:textId="77777777" w:rsidR="004B0883" w:rsidRDefault="004B0883">
      <w:pPr>
        <w:pStyle w:val="005"/>
        <w:spacing w:before="120"/>
        <w:ind w:firstLine="480"/>
      </w:pPr>
      <w:r>
        <w:t>公司非经常性损益主要由非流动资产处置损益及金融资产投资收益、公允价值变动构成。</w:t>
      </w:r>
      <w:r>
        <w:t>2022</w:t>
      </w:r>
      <w:r>
        <w:t>年，公司非经常性损益金额及占比同比提升较多，主要系当期处置子公司青岛即聚机电有限责任公司产生的处置收益所致。</w:t>
      </w:r>
    </w:p>
    <w:p w14:paraId="1D5A6C4D" w14:textId="77777777" w:rsidR="004B0883" w:rsidRDefault="004B0883">
      <w:pPr>
        <w:pStyle w:val="004"/>
        <w:spacing w:before="120" w:after="120"/>
        <w:ind w:firstLine="482"/>
      </w:pPr>
      <w:r>
        <w:t>3</w:t>
      </w:r>
      <w:r>
        <w:t>、税收优惠对经营成果的影响</w:t>
      </w:r>
    </w:p>
    <w:p w14:paraId="30F98417" w14:textId="77777777" w:rsidR="004B0883" w:rsidRDefault="004B0883">
      <w:pPr>
        <w:pStyle w:val="005"/>
        <w:spacing w:before="120"/>
        <w:ind w:firstLine="480"/>
      </w:pPr>
      <w:r>
        <w:t>公司报告期内作为高新技术企业，根据《中华人民共和国企业所得税法》《中华人民共和国企业所得税法实施条例》等相关规定，适用企业所得税税率为</w:t>
      </w:r>
      <w:r>
        <w:t>15%</w:t>
      </w:r>
      <w:r>
        <w:t>。同时，公司还享受研发费用加计扣除的税收优惠政策。</w:t>
      </w:r>
    </w:p>
    <w:p w14:paraId="6F4D3015" w14:textId="77777777" w:rsidR="004B0883" w:rsidRDefault="004B0883">
      <w:pPr>
        <w:pStyle w:val="005"/>
        <w:spacing w:before="120"/>
        <w:ind w:firstLine="480"/>
      </w:pPr>
      <w:r>
        <w:t>根据《关于实施小微企业普惠性税收减免政策的通知》（财税</w:t>
      </w:r>
      <w:r>
        <w:t>[2019]13</w:t>
      </w:r>
      <w:r>
        <w:t>号）规定，对小型微利企业年应纳税所得额不超过</w:t>
      </w:r>
      <w:r>
        <w:t>100</w:t>
      </w:r>
      <w:r>
        <w:t>万元的部分，减按</w:t>
      </w:r>
      <w:r>
        <w:t>25</w:t>
      </w:r>
      <w:r>
        <w:t>％计入应纳税所得额，按</w:t>
      </w:r>
      <w:r>
        <w:t>20</w:t>
      </w:r>
      <w:r>
        <w:t>％的税率缴纳企业所得税；对年应纳税所得额超过</w:t>
      </w:r>
      <w:r>
        <w:t>100</w:t>
      </w:r>
      <w:r>
        <w:t>万元但不超过</w:t>
      </w:r>
      <w:r>
        <w:t>300</w:t>
      </w:r>
      <w:r>
        <w:t>万元的部分，减按</w:t>
      </w:r>
      <w:r>
        <w:t>50</w:t>
      </w:r>
      <w:r>
        <w:t>％计入应纳税所得额，按</w:t>
      </w:r>
      <w:r>
        <w:t>20</w:t>
      </w:r>
      <w:r>
        <w:t>％的税率缴纳企业所得税。根据《国家税务总局关于落实支持小型微利企业和个体工商户发展所得税优惠政策有关事项的公告》（国家税务总局公告</w:t>
      </w:r>
      <w:r>
        <w:t>2021</w:t>
      </w:r>
      <w:r>
        <w:t>年第</w:t>
      </w:r>
      <w:r>
        <w:t>8</w:t>
      </w:r>
      <w:r>
        <w:t>号），对小型微利企业</w:t>
      </w:r>
      <w:r>
        <w:t>2021</w:t>
      </w:r>
      <w:r>
        <w:t>年应纳税所得额不超过</w:t>
      </w:r>
      <w:r>
        <w:t>100</w:t>
      </w:r>
      <w:r>
        <w:t>万元的部分，减按</w:t>
      </w:r>
      <w:r>
        <w:t>12.5%</w:t>
      </w:r>
      <w:r>
        <w:t>计入应纳税所得额，按</w:t>
      </w:r>
      <w:r>
        <w:t>20%</w:t>
      </w:r>
      <w:r>
        <w:t>的税率缴纳企业所得税。报告期内，子公司青岛伟隆五金机械有限公司、青岛即聚机电有限责任公司</w:t>
      </w:r>
      <w:r>
        <w:t>2020</w:t>
      </w:r>
      <w:r>
        <w:t>年度、</w:t>
      </w:r>
      <w:r>
        <w:t>2021</w:t>
      </w:r>
      <w:r>
        <w:t>年度、</w:t>
      </w:r>
      <w:r>
        <w:t>2022</w:t>
      </w:r>
      <w:r>
        <w:t>年度及</w:t>
      </w:r>
      <w:r>
        <w:t>2023</w:t>
      </w:r>
      <w:r>
        <w:t>年</w:t>
      </w:r>
      <w:r>
        <w:rPr>
          <w:rFonts w:hint="eastAsia"/>
        </w:rPr>
        <w:t>1-9</w:t>
      </w:r>
      <w:r>
        <w:t>月按照小型微利企业缴纳企业所得税，子公司青岛卓信检测技术有限公司</w:t>
      </w:r>
      <w:r>
        <w:t>2021</w:t>
      </w:r>
      <w:r>
        <w:t>年、</w:t>
      </w:r>
      <w:r>
        <w:t>2022</w:t>
      </w:r>
      <w:r>
        <w:t>年及</w:t>
      </w:r>
      <w:r>
        <w:t>2023</w:t>
      </w:r>
      <w:r>
        <w:t>年</w:t>
      </w:r>
      <w:r>
        <w:rPr>
          <w:rFonts w:hint="eastAsia"/>
        </w:rPr>
        <w:t>1-</w:t>
      </w:r>
      <w:r>
        <w:t>9</w:t>
      </w:r>
      <w:r>
        <w:t>月按照小型微利企业缴纳企业所得税。</w:t>
      </w:r>
    </w:p>
    <w:p w14:paraId="7F3A8BA3" w14:textId="77777777" w:rsidR="004B0883" w:rsidRDefault="004B0883">
      <w:pPr>
        <w:pStyle w:val="005"/>
        <w:spacing w:before="120"/>
        <w:ind w:firstLine="480"/>
      </w:pPr>
      <w:r>
        <w:t>报告期各期，公司享有的税收优惠金额及占税前利润情况如下：</w:t>
      </w:r>
    </w:p>
    <w:p w14:paraId="040BEFB8" w14:textId="77777777" w:rsidR="004B0883" w:rsidRDefault="004B0883">
      <w:pPr>
        <w:pStyle w:val="009"/>
      </w:pPr>
      <w: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722"/>
        <w:gridCol w:w="1491"/>
        <w:gridCol w:w="1356"/>
        <w:gridCol w:w="1356"/>
        <w:gridCol w:w="1355"/>
      </w:tblGrid>
      <w:tr w:rsidR="004B0883" w14:paraId="48A25866" w14:textId="77777777">
        <w:trPr>
          <w:trHeight w:val="397"/>
          <w:tblHeader/>
          <w:jc w:val="center"/>
        </w:trPr>
        <w:tc>
          <w:tcPr>
            <w:tcW w:w="1643" w:type="pct"/>
            <w:shd w:val="clear" w:color="auto" w:fill="D9D9D9"/>
            <w:tcMar>
              <w:top w:w="0" w:type="dxa"/>
              <w:left w:w="108" w:type="dxa"/>
              <w:bottom w:w="0" w:type="dxa"/>
              <w:right w:w="108" w:type="dxa"/>
            </w:tcMar>
            <w:vAlign w:val="center"/>
          </w:tcPr>
          <w:p w14:paraId="58F810ED" w14:textId="77777777" w:rsidR="004B0883" w:rsidRDefault="004B0883">
            <w:pPr>
              <w:keepNext/>
              <w:jc w:val="center"/>
              <w:rPr>
                <w:b/>
                <w:color w:val="000000"/>
              </w:rPr>
            </w:pPr>
            <w:r>
              <w:rPr>
                <w:b/>
                <w:color w:val="000000"/>
              </w:rPr>
              <w:t>税种</w:t>
            </w:r>
          </w:p>
        </w:tc>
        <w:tc>
          <w:tcPr>
            <w:tcW w:w="900" w:type="pct"/>
            <w:shd w:val="clear" w:color="auto" w:fill="D9D9D9"/>
            <w:tcMar>
              <w:top w:w="0" w:type="dxa"/>
              <w:left w:w="108" w:type="dxa"/>
              <w:bottom w:w="0" w:type="dxa"/>
              <w:right w:w="108" w:type="dxa"/>
            </w:tcMar>
            <w:vAlign w:val="center"/>
          </w:tcPr>
          <w:p w14:paraId="3FAE3EF2" w14:textId="77777777" w:rsidR="004B0883" w:rsidRDefault="004B0883">
            <w:pPr>
              <w:keepNext/>
              <w:jc w:val="center"/>
              <w:rPr>
                <w:b/>
                <w:color w:val="000000"/>
              </w:rPr>
            </w:pPr>
            <w:r>
              <w:rPr>
                <w:b/>
                <w:color w:val="000000"/>
              </w:rPr>
              <w:t>2023</w:t>
            </w:r>
            <w:r>
              <w:rPr>
                <w:b/>
                <w:color w:val="000000"/>
              </w:rPr>
              <w:t>年</w:t>
            </w:r>
            <w:r>
              <w:rPr>
                <w:b/>
                <w:color w:val="000000"/>
              </w:rPr>
              <w:t>1-9</w:t>
            </w:r>
            <w:r>
              <w:rPr>
                <w:b/>
                <w:color w:val="000000"/>
              </w:rPr>
              <w:t>月</w:t>
            </w:r>
          </w:p>
        </w:tc>
        <w:tc>
          <w:tcPr>
            <w:tcW w:w="819" w:type="pct"/>
            <w:shd w:val="clear" w:color="auto" w:fill="D9D9D9"/>
            <w:tcMar>
              <w:top w:w="0" w:type="dxa"/>
              <w:left w:w="108" w:type="dxa"/>
              <w:bottom w:w="0" w:type="dxa"/>
              <w:right w:w="108" w:type="dxa"/>
            </w:tcMar>
            <w:vAlign w:val="center"/>
          </w:tcPr>
          <w:p w14:paraId="1AB1A481" w14:textId="77777777" w:rsidR="004B0883" w:rsidRDefault="004B0883">
            <w:pPr>
              <w:keepNext/>
              <w:jc w:val="center"/>
              <w:rPr>
                <w:b/>
                <w:color w:val="000000"/>
              </w:rPr>
            </w:pPr>
            <w:r>
              <w:rPr>
                <w:b/>
                <w:color w:val="000000"/>
              </w:rPr>
              <w:t>2022</w:t>
            </w:r>
            <w:r>
              <w:rPr>
                <w:b/>
                <w:color w:val="000000"/>
              </w:rPr>
              <w:t>年度</w:t>
            </w:r>
          </w:p>
        </w:tc>
        <w:tc>
          <w:tcPr>
            <w:tcW w:w="819" w:type="pct"/>
            <w:shd w:val="clear" w:color="auto" w:fill="D9D9D9"/>
            <w:tcMar>
              <w:top w:w="0" w:type="dxa"/>
              <w:left w:w="108" w:type="dxa"/>
              <w:bottom w:w="0" w:type="dxa"/>
              <w:right w:w="108" w:type="dxa"/>
            </w:tcMar>
            <w:vAlign w:val="center"/>
          </w:tcPr>
          <w:p w14:paraId="2C00B37E" w14:textId="77777777" w:rsidR="004B0883" w:rsidRDefault="004B0883">
            <w:pPr>
              <w:keepNext/>
              <w:jc w:val="center"/>
              <w:rPr>
                <w:b/>
                <w:color w:val="000000"/>
              </w:rPr>
            </w:pPr>
            <w:r>
              <w:rPr>
                <w:b/>
                <w:color w:val="000000"/>
              </w:rPr>
              <w:t>2021</w:t>
            </w:r>
            <w:r>
              <w:rPr>
                <w:b/>
                <w:color w:val="000000"/>
              </w:rPr>
              <w:t>年度</w:t>
            </w:r>
          </w:p>
        </w:tc>
        <w:tc>
          <w:tcPr>
            <w:tcW w:w="818" w:type="pct"/>
            <w:shd w:val="clear" w:color="auto" w:fill="D9D9D9"/>
            <w:tcMar>
              <w:top w:w="0" w:type="dxa"/>
              <w:left w:w="108" w:type="dxa"/>
              <w:bottom w:w="0" w:type="dxa"/>
              <w:right w:w="108" w:type="dxa"/>
            </w:tcMar>
            <w:vAlign w:val="center"/>
          </w:tcPr>
          <w:p w14:paraId="31F2BF51" w14:textId="77777777" w:rsidR="004B0883" w:rsidRDefault="004B0883">
            <w:pPr>
              <w:keepNext/>
              <w:jc w:val="center"/>
              <w:rPr>
                <w:b/>
                <w:color w:val="000000"/>
              </w:rPr>
            </w:pPr>
            <w:r>
              <w:rPr>
                <w:b/>
                <w:color w:val="000000"/>
              </w:rPr>
              <w:t>2020</w:t>
            </w:r>
            <w:r>
              <w:rPr>
                <w:b/>
                <w:color w:val="000000"/>
              </w:rPr>
              <w:t>年度</w:t>
            </w:r>
          </w:p>
        </w:tc>
      </w:tr>
      <w:tr w:rsidR="004B0883" w14:paraId="69B6DEAA" w14:textId="77777777">
        <w:trPr>
          <w:trHeight w:val="397"/>
          <w:jc w:val="center"/>
        </w:trPr>
        <w:tc>
          <w:tcPr>
            <w:tcW w:w="1643" w:type="pct"/>
            <w:tcMar>
              <w:top w:w="0" w:type="dxa"/>
              <w:left w:w="108" w:type="dxa"/>
              <w:bottom w:w="0" w:type="dxa"/>
              <w:right w:w="108" w:type="dxa"/>
            </w:tcMar>
            <w:vAlign w:val="center"/>
          </w:tcPr>
          <w:p w14:paraId="17260FF5" w14:textId="77777777" w:rsidR="004B0883" w:rsidRDefault="004B0883">
            <w:pPr>
              <w:rPr>
                <w:color w:val="000000"/>
              </w:rPr>
            </w:pPr>
            <w:r>
              <w:rPr>
                <w:color w:val="000000"/>
              </w:rPr>
              <w:t>高新技术企业税收优惠</w:t>
            </w:r>
          </w:p>
        </w:tc>
        <w:tc>
          <w:tcPr>
            <w:tcW w:w="900" w:type="pct"/>
            <w:tcMar>
              <w:top w:w="0" w:type="dxa"/>
              <w:left w:w="108" w:type="dxa"/>
              <w:bottom w:w="0" w:type="dxa"/>
              <w:right w:w="108" w:type="dxa"/>
            </w:tcMar>
            <w:vAlign w:val="center"/>
          </w:tcPr>
          <w:p w14:paraId="2A3EE7BF" w14:textId="77777777" w:rsidR="004B0883" w:rsidRDefault="004B0883">
            <w:pPr>
              <w:jc w:val="right"/>
              <w:rPr>
                <w:color w:val="000000"/>
              </w:rPr>
            </w:pPr>
            <w:r>
              <w:rPr>
                <w:color w:val="000000"/>
              </w:rPr>
              <w:t>971.66</w:t>
            </w:r>
          </w:p>
        </w:tc>
        <w:tc>
          <w:tcPr>
            <w:tcW w:w="819" w:type="pct"/>
            <w:tcMar>
              <w:top w:w="0" w:type="dxa"/>
              <w:left w:w="108" w:type="dxa"/>
              <w:bottom w:w="0" w:type="dxa"/>
              <w:right w:w="108" w:type="dxa"/>
            </w:tcMar>
            <w:vAlign w:val="center"/>
          </w:tcPr>
          <w:p w14:paraId="4A4D57A3" w14:textId="77777777" w:rsidR="004B0883" w:rsidRDefault="004B0883">
            <w:pPr>
              <w:jc w:val="right"/>
              <w:rPr>
                <w:color w:val="000000"/>
              </w:rPr>
            </w:pPr>
            <w:r>
              <w:rPr>
                <w:color w:val="000000"/>
              </w:rPr>
              <w:t>1,601.46</w:t>
            </w:r>
          </w:p>
        </w:tc>
        <w:tc>
          <w:tcPr>
            <w:tcW w:w="819" w:type="pct"/>
            <w:tcMar>
              <w:top w:w="0" w:type="dxa"/>
              <w:left w:w="108" w:type="dxa"/>
              <w:bottom w:w="0" w:type="dxa"/>
              <w:right w:w="108" w:type="dxa"/>
            </w:tcMar>
            <w:vAlign w:val="center"/>
          </w:tcPr>
          <w:p w14:paraId="1427EC79" w14:textId="77777777" w:rsidR="004B0883" w:rsidRDefault="004B0883">
            <w:pPr>
              <w:jc w:val="right"/>
              <w:rPr>
                <w:color w:val="000000"/>
              </w:rPr>
            </w:pPr>
            <w:r>
              <w:rPr>
                <w:color w:val="000000"/>
              </w:rPr>
              <w:t>660.80</w:t>
            </w:r>
          </w:p>
        </w:tc>
        <w:tc>
          <w:tcPr>
            <w:tcW w:w="818" w:type="pct"/>
            <w:tcMar>
              <w:top w:w="0" w:type="dxa"/>
              <w:left w:w="108" w:type="dxa"/>
              <w:bottom w:w="0" w:type="dxa"/>
              <w:right w:w="108" w:type="dxa"/>
            </w:tcMar>
            <w:vAlign w:val="center"/>
          </w:tcPr>
          <w:p w14:paraId="5AA792C8" w14:textId="77777777" w:rsidR="004B0883" w:rsidRDefault="004B0883">
            <w:pPr>
              <w:jc w:val="right"/>
              <w:rPr>
                <w:color w:val="000000"/>
              </w:rPr>
            </w:pPr>
            <w:r>
              <w:rPr>
                <w:color w:val="000000"/>
              </w:rPr>
              <w:t>692.74</w:t>
            </w:r>
          </w:p>
        </w:tc>
      </w:tr>
      <w:tr w:rsidR="004B0883" w14:paraId="452A8534" w14:textId="77777777">
        <w:trPr>
          <w:trHeight w:val="397"/>
          <w:jc w:val="center"/>
        </w:trPr>
        <w:tc>
          <w:tcPr>
            <w:tcW w:w="1643" w:type="pct"/>
            <w:tcMar>
              <w:top w:w="0" w:type="dxa"/>
              <w:left w:w="108" w:type="dxa"/>
              <w:bottom w:w="0" w:type="dxa"/>
              <w:right w:w="108" w:type="dxa"/>
            </w:tcMar>
            <w:vAlign w:val="center"/>
          </w:tcPr>
          <w:p w14:paraId="2789220F" w14:textId="77777777" w:rsidR="004B0883" w:rsidRDefault="004B0883">
            <w:pPr>
              <w:rPr>
                <w:color w:val="000000"/>
              </w:rPr>
            </w:pPr>
            <w:r>
              <w:rPr>
                <w:color w:val="000000"/>
              </w:rPr>
              <w:t>研发费用加计扣除对企业所得税的影响金额</w:t>
            </w:r>
          </w:p>
        </w:tc>
        <w:tc>
          <w:tcPr>
            <w:tcW w:w="900" w:type="pct"/>
            <w:tcMar>
              <w:top w:w="0" w:type="dxa"/>
              <w:left w:w="108" w:type="dxa"/>
              <w:bottom w:w="0" w:type="dxa"/>
              <w:right w:w="108" w:type="dxa"/>
            </w:tcMar>
            <w:vAlign w:val="center"/>
          </w:tcPr>
          <w:p w14:paraId="52EC6E6B" w14:textId="77777777" w:rsidR="004B0883" w:rsidRDefault="004B0883">
            <w:pPr>
              <w:jc w:val="right"/>
              <w:rPr>
                <w:color w:val="000000"/>
              </w:rPr>
            </w:pPr>
            <w:r>
              <w:rPr>
                <w:color w:val="000000"/>
              </w:rPr>
              <w:t>148.70</w:t>
            </w:r>
          </w:p>
        </w:tc>
        <w:tc>
          <w:tcPr>
            <w:tcW w:w="819" w:type="pct"/>
            <w:tcMar>
              <w:top w:w="0" w:type="dxa"/>
              <w:left w:w="108" w:type="dxa"/>
              <w:bottom w:w="0" w:type="dxa"/>
              <w:right w:w="108" w:type="dxa"/>
            </w:tcMar>
            <w:vAlign w:val="center"/>
          </w:tcPr>
          <w:p w14:paraId="5354D7F6" w14:textId="77777777" w:rsidR="004B0883" w:rsidRDefault="004B0883">
            <w:pPr>
              <w:jc w:val="right"/>
              <w:rPr>
                <w:color w:val="000000"/>
              </w:rPr>
            </w:pPr>
            <w:r>
              <w:rPr>
                <w:color w:val="000000"/>
              </w:rPr>
              <w:t>400.04</w:t>
            </w:r>
          </w:p>
        </w:tc>
        <w:tc>
          <w:tcPr>
            <w:tcW w:w="819" w:type="pct"/>
            <w:tcMar>
              <w:top w:w="0" w:type="dxa"/>
              <w:left w:w="108" w:type="dxa"/>
              <w:bottom w:w="0" w:type="dxa"/>
              <w:right w:w="108" w:type="dxa"/>
            </w:tcMar>
            <w:vAlign w:val="center"/>
          </w:tcPr>
          <w:p w14:paraId="78EDD114" w14:textId="77777777" w:rsidR="004B0883" w:rsidRDefault="004B0883">
            <w:pPr>
              <w:jc w:val="right"/>
              <w:rPr>
                <w:color w:val="000000"/>
              </w:rPr>
            </w:pPr>
            <w:r>
              <w:rPr>
                <w:color w:val="000000"/>
              </w:rPr>
              <w:t>357.97</w:t>
            </w:r>
          </w:p>
        </w:tc>
        <w:tc>
          <w:tcPr>
            <w:tcW w:w="818" w:type="pct"/>
            <w:tcMar>
              <w:top w:w="0" w:type="dxa"/>
              <w:left w:w="108" w:type="dxa"/>
              <w:bottom w:w="0" w:type="dxa"/>
              <w:right w:w="108" w:type="dxa"/>
            </w:tcMar>
            <w:vAlign w:val="center"/>
          </w:tcPr>
          <w:p w14:paraId="567AEEDD" w14:textId="77777777" w:rsidR="004B0883" w:rsidRDefault="004B0883">
            <w:pPr>
              <w:jc w:val="right"/>
              <w:rPr>
                <w:color w:val="000000"/>
              </w:rPr>
            </w:pPr>
            <w:r>
              <w:rPr>
                <w:color w:val="000000"/>
              </w:rPr>
              <w:t>249.27</w:t>
            </w:r>
          </w:p>
        </w:tc>
      </w:tr>
      <w:tr w:rsidR="004B0883" w14:paraId="3208F918" w14:textId="77777777">
        <w:trPr>
          <w:trHeight w:val="397"/>
          <w:jc w:val="center"/>
        </w:trPr>
        <w:tc>
          <w:tcPr>
            <w:tcW w:w="1643" w:type="pct"/>
            <w:tcMar>
              <w:top w:w="0" w:type="dxa"/>
              <w:left w:w="108" w:type="dxa"/>
              <w:bottom w:w="0" w:type="dxa"/>
              <w:right w:w="108" w:type="dxa"/>
            </w:tcMar>
            <w:vAlign w:val="center"/>
          </w:tcPr>
          <w:p w14:paraId="0B44EB78" w14:textId="77777777" w:rsidR="004B0883" w:rsidRDefault="004B0883">
            <w:pPr>
              <w:rPr>
                <w:color w:val="000000"/>
              </w:rPr>
            </w:pPr>
            <w:r>
              <w:rPr>
                <w:color w:val="000000"/>
              </w:rPr>
              <w:t>小微企业税收优惠</w:t>
            </w:r>
          </w:p>
        </w:tc>
        <w:tc>
          <w:tcPr>
            <w:tcW w:w="900" w:type="pct"/>
            <w:tcMar>
              <w:top w:w="0" w:type="dxa"/>
              <w:left w:w="108" w:type="dxa"/>
              <w:bottom w:w="0" w:type="dxa"/>
              <w:right w:w="108" w:type="dxa"/>
            </w:tcMar>
            <w:vAlign w:val="center"/>
          </w:tcPr>
          <w:p w14:paraId="6E0A0A52" w14:textId="77777777" w:rsidR="004B0883" w:rsidRDefault="004B0883">
            <w:pPr>
              <w:jc w:val="right"/>
              <w:rPr>
                <w:color w:val="000000"/>
              </w:rPr>
            </w:pPr>
            <w:r>
              <w:rPr>
                <w:color w:val="000000"/>
              </w:rPr>
              <w:t>22.12</w:t>
            </w:r>
          </w:p>
        </w:tc>
        <w:tc>
          <w:tcPr>
            <w:tcW w:w="819" w:type="pct"/>
            <w:tcMar>
              <w:top w:w="0" w:type="dxa"/>
              <w:left w:w="108" w:type="dxa"/>
              <w:bottom w:w="0" w:type="dxa"/>
              <w:right w:w="108" w:type="dxa"/>
            </w:tcMar>
            <w:vAlign w:val="center"/>
          </w:tcPr>
          <w:p w14:paraId="123AE0AE" w14:textId="77777777" w:rsidR="004B0883" w:rsidRDefault="004B0883">
            <w:pPr>
              <w:jc w:val="right"/>
              <w:rPr>
                <w:color w:val="000000"/>
              </w:rPr>
            </w:pPr>
            <w:r>
              <w:rPr>
                <w:color w:val="000000"/>
              </w:rPr>
              <w:t>10.54</w:t>
            </w:r>
          </w:p>
        </w:tc>
        <w:tc>
          <w:tcPr>
            <w:tcW w:w="819" w:type="pct"/>
            <w:tcMar>
              <w:top w:w="0" w:type="dxa"/>
              <w:left w:w="108" w:type="dxa"/>
              <w:bottom w:w="0" w:type="dxa"/>
              <w:right w:w="108" w:type="dxa"/>
            </w:tcMar>
            <w:vAlign w:val="center"/>
          </w:tcPr>
          <w:p w14:paraId="77CA3478" w14:textId="77777777" w:rsidR="004B0883" w:rsidRDefault="004B0883">
            <w:pPr>
              <w:jc w:val="right"/>
              <w:rPr>
                <w:color w:val="000000"/>
              </w:rPr>
            </w:pPr>
            <w:r>
              <w:rPr>
                <w:color w:val="000000"/>
              </w:rPr>
              <w:t>29.69</w:t>
            </w:r>
          </w:p>
        </w:tc>
        <w:tc>
          <w:tcPr>
            <w:tcW w:w="818" w:type="pct"/>
            <w:tcMar>
              <w:top w:w="0" w:type="dxa"/>
              <w:left w:w="108" w:type="dxa"/>
              <w:bottom w:w="0" w:type="dxa"/>
              <w:right w:w="108" w:type="dxa"/>
            </w:tcMar>
            <w:vAlign w:val="center"/>
          </w:tcPr>
          <w:p w14:paraId="234BE7D1" w14:textId="77777777" w:rsidR="004B0883" w:rsidRDefault="004B0883">
            <w:pPr>
              <w:jc w:val="right"/>
              <w:rPr>
                <w:color w:val="000000"/>
              </w:rPr>
            </w:pPr>
            <w:r>
              <w:rPr>
                <w:color w:val="000000"/>
              </w:rPr>
              <w:t>1.74</w:t>
            </w:r>
          </w:p>
        </w:tc>
      </w:tr>
      <w:tr w:rsidR="004B0883" w14:paraId="10F04460" w14:textId="77777777">
        <w:trPr>
          <w:trHeight w:val="397"/>
          <w:jc w:val="center"/>
        </w:trPr>
        <w:tc>
          <w:tcPr>
            <w:tcW w:w="1643" w:type="pct"/>
            <w:tcMar>
              <w:top w:w="0" w:type="dxa"/>
              <w:left w:w="108" w:type="dxa"/>
              <w:bottom w:w="0" w:type="dxa"/>
              <w:right w:w="108" w:type="dxa"/>
            </w:tcMar>
            <w:vAlign w:val="center"/>
          </w:tcPr>
          <w:p w14:paraId="1D48E217" w14:textId="77777777" w:rsidR="004B0883" w:rsidRDefault="004B0883">
            <w:pPr>
              <w:rPr>
                <w:color w:val="000000"/>
              </w:rPr>
            </w:pPr>
            <w:r>
              <w:rPr>
                <w:color w:val="000000"/>
              </w:rPr>
              <w:t>高新技术企业固定资产加计扣除</w:t>
            </w:r>
          </w:p>
        </w:tc>
        <w:tc>
          <w:tcPr>
            <w:tcW w:w="900" w:type="pct"/>
            <w:tcMar>
              <w:top w:w="0" w:type="dxa"/>
              <w:left w:w="108" w:type="dxa"/>
              <w:bottom w:w="0" w:type="dxa"/>
              <w:right w:w="108" w:type="dxa"/>
            </w:tcMar>
            <w:vAlign w:val="center"/>
          </w:tcPr>
          <w:p w14:paraId="10165411" w14:textId="77777777" w:rsidR="004B0883" w:rsidRDefault="004B0883">
            <w:pPr>
              <w:jc w:val="right"/>
              <w:rPr>
                <w:color w:val="000000"/>
              </w:rPr>
            </w:pPr>
            <w:r>
              <w:rPr>
                <w:color w:val="000000"/>
              </w:rPr>
              <w:t>-</w:t>
            </w:r>
          </w:p>
        </w:tc>
        <w:tc>
          <w:tcPr>
            <w:tcW w:w="819" w:type="pct"/>
            <w:tcMar>
              <w:top w:w="0" w:type="dxa"/>
              <w:left w:w="108" w:type="dxa"/>
              <w:bottom w:w="0" w:type="dxa"/>
              <w:right w:w="108" w:type="dxa"/>
            </w:tcMar>
            <w:vAlign w:val="center"/>
          </w:tcPr>
          <w:p w14:paraId="43A3BD22" w14:textId="77777777" w:rsidR="004B0883" w:rsidRDefault="004B0883">
            <w:pPr>
              <w:jc w:val="right"/>
              <w:rPr>
                <w:color w:val="000000"/>
              </w:rPr>
            </w:pPr>
            <w:r>
              <w:rPr>
                <w:color w:val="000000"/>
              </w:rPr>
              <w:t>15.71</w:t>
            </w:r>
          </w:p>
        </w:tc>
        <w:tc>
          <w:tcPr>
            <w:tcW w:w="819" w:type="pct"/>
            <w:tcMar>
              <w:top w:w="0" w:type="dxa"/>
              <w:left w:w="108" w:type="dxa"/>
              <w:bottom w:w="0" w:type="dxa"/>
              <w:right w:w="108" w:type="dxa"/>
            </w:tcMar>
            <w:vAlign w:val="center"/>
          </w:tcPr>
          <w:p w14:paraId="7B9B9A96" w14:textId="77777777" w:rsidR="004B0883" w:rsidRDefault="004B0883">
            <w:pPr>
              <w:jc w:val="right"/>
              <w:rPr>
                <w:color w:val="000000"/>
              </w:rPr>
            </w:pPr>
            <w:r>
              <w:rPr>
                <w:color w:val="000000"/>
              </w:rPr>
              <w:t>-</w:t>
            </w:r>
          </w:p>
        </w:tc>
        <w:tc>
          <w:tcPr>
            <w:tcW w:w="818" w:type="pct"/>
            <w:tcMar>
              <w:top w:w="0" w:type="dxa"/>
              <w:left w:w="108" w:type="dxa"/>
              <w:bottom w:w="0" w:type="dxa"/>
              <w:right w:w="108" w:type="dxa"/>
            </w:tcMar>
            <w:vAlign w:val="center"/>
          </w:tcPr>
          <w:p w14:paraId="1B867983" w14:textId="77777777" w:rsidR="004B0883" w:rsidRDefault="004B0883">
            <w:pPr>
              <w:jc w:val="right"/>
              <w:rPr>
                <w:color w:val="000000"/>
              </w:rPr>
            </w:pPr>
            <w:r>
              <w:rPr>
                <w:color w:val="000000"/>
              </w:rPr>
              <w:t>-</w:t>
            </w:r>
          </w:p>
        </w:tc>
      </w:tr>
      <w:tr w:rsidR="004B0883" w14:paraId="0F70585F" w14:textId="77777777">
        <w:trPr>
          <w:trHeight w:val="397"/>
          <w:jc w:val="center"/>
        </w:trPr>
        <w:tc>
          <w:tcPr>
            <w:tcW w:w="1643" w:type="pct"/>
            <w:tcMar>
              <w:top w:w="0" w:type="dxa"/>
              <w:left w:w="108" w:type="dxa"/>
              <w:bottom w:w="0" w:type="dxa"/>
              <w:right w:w="108" w:type="dxa"/>
            </w:tcMar>
            <w:vAlign w:val="center"/>
          </w:tcPr>
          <w:p w14:paraId="6C7BC9AD" w14:textId="77777777" w:rsidR="004B0883" w:rsidRDefault="004B0883">
            <w:pPr>
              <w:rPr>
                <w:color w:val="000000"/>
              </w:rPr>
            </w:pPr>
            <w:r>
              <w:rPr>
                <w:color w:val="000000"/>
              </w:rPr>
              <w:t>税收优惠合计</w:t>
            </w:r>
          </w:p>
        </w:tc>
        <w:tc>
          <w:tcPr>
            <w:tcW w:w="900" w:type="pct"/>
            <w:tcMar>
              <w:top w:w="0" w:type="dxa"/>
              <w:left w:w="108" w:type="dxa"/>
              <w:bottom w:w="0" w:type="dxa"/>
              <w:right w:w="108" w:type="dxa"/>
            </w:tcMar>
            <w:vAlign w:val="center"/>
          </w:tcPr>
          <w:p w14:paraId="63F4D187" w14:textId="77777777" w:rsidR="004B0883" w:rsidRDefault="004B0883">
            <w:pPr>
              <w:jc w:val="right"/>
              <w:rPr>
                <w:color w:val="000000"/>
              </w:rPr>
            </w:pPr>
            <w:r>
              <w:rPr>
                <w:color w:val="000000"/>
              </w:rPr>
              <w:t>1,142.48</w:t>
            </w:r>
          </w:p>
        </w:tc>
        <w:tc>
          <w:tcPr>
            <w:tcW w:w="819" w:type="pct"/>
            <w:tcMar>
              <w:top w:w="0" w:type="dxa"/>
              <w:left w:w="108" w:type="dxa"/>
              <w:bottom w:w="0" w:type="dxa"/>
              <w:right w:w="108" w:type="dxa"/>
            </w:tcMar>
            <w:vAlign w:val="center"/>
          </w:tcPr>
          <w:p w14:paraId="42172699" w14:textId="77777777" w:rsidR="004B0883" w:rsidRDefault="004B0883">
            <w:pPr>
              <w:jc w:val="right"/>
              <w:rPr>
                <w:color w:val="000000"/>
              </w:rPr>
            </w:pPr>
            <w:r>
              <w:rPr>
                <w:color w:val="000000"/>
              </w:rPr>
              <w:t>2,027.75</w:t>
            </w:r>
          </w:p>
        </w:tc>
        <w:tc>
          <w:tcPr>
            <w:tcW w:w="819" w:type="pct"/>
            <w:tcMar>
              <w:top w:w="0" w:type="dxa"/>
              <w:left w:w="108" w:type="dxa"/>
              <w:bottom w:w="0" w:type="dxa"/>
              <w:right w:w="108" w:type="dxa"/>
            </w:tcMar>
            <w:vAlign w:val="center"/>
          </w:tcPr>
          <w:p w14:paraId="0D308D68" w14:textId="77777777" w:rsidR="004B0883" w:rsidRDefault="004B0883">
            <w:pPr>
              <w:jc w:val="right"/>
              <w:rPr>
                <w:color w:val="000000"/>
              </w:rPr>
            </w:pPr>
            <w:r>
              <w:rPr>
                <w:color w:val="000000"/>
              </w:rPr>
              <w:t>1048.45</w:t>
            </w:r>
          </w:p>
        </w:tc>
        <w:tc>
          <w:tcPr>
            <w:tcW w:w="818" w:type="pct"/>
            <w:tcMar>
              <w:top w:w="0" w:type="dxa"/>
              <w:left w:w="108" w:type="dxa"/>
              <w:bottom w:w="0" w:type="dxa"/>
              <w:right w:w="108" w:type="dxa"/>
            </w:tcMar>
            <w:vAlign w:val="center"/>
          </w:tcPr>
          <w:p w14:paraId="1AAD8FBF" w14:textId="77777777" w:rsidR="004B0883" w:rsidRDefault="004B0883">
            <w:pPr>
              <w:jc w:val="right"/>
              <w:rPr>
                <w:color w:val="000000"/>
              </w:rPr>
            </w:pPr>
            <w:r>
              <w:rPr>
                <w:color w:val="000000"/>
              </w:rPr>
              <w:t>943.75</w:t>
            </w:r>
          </w:p>
        </w:tc>
      </w:tr>
      <w:tr w:rsidR="004B0883" w14:paraId="0F6990B9" w14:textId="77777777">
        <w:trPr>
          <w:trHeight w:val="397"/>
          <w:jc w:val="center"/>
        </w:trPr>
        <w:tc>
          <w:tcPr>
            <w:tcW w:w="1643" w:type="pct"/>
            <w:tcMar>
              <w:top w:w="0" w:type="dxa"/>
              <w:left w:w="108" w:type="dxa"/>
              <w:bottom w:w="0" w:type="dxa"/>
              <w:right w:w="108" w:type="dxa"/>
            </w:tcMar>
            <w:vAlign w:val="center"/>
          </w:tcPr>
          <w:p w14:paraId="63FB0103" w14:textId="77777777" w:rsidR="004B0883" w:rsidRDefault="004B0883">
            <w:pPr>
              <w:rPr>
                <w:b/>
                <w:bCs/>
                <w:color w:val="000000"/>
              </w:rPr>
            </w:pPr>
            <w:r>
              <w:rPr>
                <w:b/>
                <w:bCs/>
                <w:color w:val="000000"/>
              </w:rPr>
              <w:t>利润总额</w:t>
            </w:r>
          </w:p>
        </w:tc>
        <w:tc>
          <w:tcPr>
            <w:tcW w:w="900" w:type="pct"/>
            <w:tcMar>
              <w:top w:w="0" w:type="dxa"/>
              <w:left w:w="108" w:type="dxa"/>
              <w:bottom w:w="0" w:type="dxa"/>
              <w:right w:w="108" w:type="dxa"/>
            </w:tcMar>
            <w:vAlign w:val="center"/>
          </w:tcPr>
          <w:p w14:paraId="2F62BB63" w14:textId="77777777" w:rsidR="004B0883" w:rsidRDefault="004B0883">
            <w:pPr>
              <w:jc w:val="right"/>
              <w:rPr>
                <w:b/>
                <w:bCs/>
                <w:color w:val="000000"/>
              </w:rPr>
            </w:pPr>
            <w:r>
              <w:rPr>
                <w:b/>
                <w:bCs/>
                <w:color w:val="000000"/>
              </w:rPr>
              <w:t>11,676.79</w:t>
            </w:r>
          </w:p>
        </w:tc>
        <w:tc>
          <w:tcPr>
            <w:tcW w:w="819" w:type="pct"/>
            <w:tcMar>
              <w:top w:w="0" w:type="dxa"/>
              <w:left w:w="108" w:type="dxa"/>
              <w:bottom w:w="0" w:type="dxa"/>
              <w:right w:w="108" w:type="dxa"/>
            </w:tcMar>
            <w:vAlign w:val="center"/>
          </w:tcPr>
          <w:p w14:paraId="79BBA2FF" w14:textId="77777777" w:rsidR="004B0883" w:rsidRDefault="004B0883">
            <w:pPr>
              <w:jc w:val="right"/>
              <w:rPr>
                <w:b/>
                <w:bCs/>
                <w:color w:val="000000"/>
              </w:rPr>
            </w:pPr>
            <w:r>
              <w:rPr>
                <w:b/>
                <w:bCs/>
                <w:color w:val="000000"/>
              </w:rPr>
              <w:t>15,475.41</w:t>
            </w:r>
          </w:p>
        </w:tc>
        <w:tc>
          <w:tcPr>
            <w:tcW w:w="819" w:type="pct"/>
            <w:tcMar>
              <w:top w:w="0" w:type="dxa"/>
              <w:left w:w="108" w:type="dxa"/>
              <w:bottom w:w="0" w:type="dxa"/>
              <w:right w:w="108" w:type="dxa"/>
            </w:tcMar>
            <w:vAlign w:val="center"/>
          </w:tcPr>
          <w:p w14:paraId="2E690F44" w14:textId="77777777" w:rsidR="004B0883" w:rsidRDefault="004B0883">
            <w:pPr>
              <w:jc w:val="right"/>
              <w:rPr>
                <w:b/>
                <w:bCs/>
                <w:color w:val="000000"/>
              </w:rPr>
            </w:pPr>
            <w:r>
              <w:rPr>
                <w:b/>
                <w:bCs/>
                <w:color w:val="000000"/>
              </w:rPr>
              <w:t>6,753.57</w:t>
            </w:r>
          </w:p>
        </w:tc>
        <w:tc>
          <w:tcPr>
            <w:tcW w:w="818" w:type="pct"/>
            <w:tcMar>
              <w:top w:w="0" w:type="dxa"/>
              <w:left w:w="108" w:type="dxa"/>
              <w:bottom w:w="0" w:type="dxa"/>
              <w:right w:w="108" w:type="dxa"/>
            </w:tcMar>
            <w:vAlign w:val="center"/>
          </w:tcPr>
          <w:p w14:paraId="0F7B7CA5" w14:textId="77777777" w:rsidR="004B0883" w:rsidRDefault="004B0883">
            <w:pPr>
              <w:jc w:val="right"/>
              <w:rPr>
                <w:b/>
                <w:bCs/>
                <w:color w:val="000000"/>
              </w:rPr>
            </w:pPr>
            <w:r>
              <w:rPr>
                <w:b/>
                <w:bCs/>
                <w:color w:val="000000"/>
              </w:rPr>
              <w:t>6,585.06</w:t>
            </w:r>
          </w:p>
        </w:tc>
      </w:tr>
      <w:tr w:rsidR="004B0883" w14:paraId="2CD9ADA0" w14:textId="77777777">
        <w:trPr>
          <w:trHeight w:val="397"/>
          <w:jc w:val="center"/>
        </w:trPr>
        <w:tc>
          <w:tcPr>
            <w:tcW w:w="1643" w:type="pct"/>
            <w:tcMar>
              <w:top w:w="0" w:type="dxa"/>
              <w:left w:w="108" w:type="dxa"/>
              <w:bottom w:w="0" w:type="dxa"/>
              <w:right w:w="108" w:type="dxa"/>
            </w:tcMar>
            <w:vAlign w:val="center"/>
          </w:tcPr>
          <w:p w14:paraId="5FE1C752" w14:textId="77777777" w:rsidR="004B0883" w:rsidRDefault="004B0883">
            <w:pPr>
              <w:rPr>
                <w:color w:val="000000"/>
              </w:rPr>
            </w:pPr>
            <w:r>
              <w:rPr>
                <w:color w:val="000000"/>
              </w:rPr>
              <w:t>税收优惠占利润总额的比例</w:t>
            </w:r>
          </w:p>
        </w:tc>
        <w:tc>
          <w:tcPr>
            <w:tcW w:w="900" w:type="pct"/>
            <w:tcMar>
              <w:top w:w="0" w:type="dxa"/>
              <w:left w:w="108" w:type="dxa"/>
              <w:bottom w:w="0" w:type="dxa"/>
              <w:right w:w="108" w:type="dxa"/>
            </w:tcMar>
            <w:vAlign w:val="center"/>
          </w:tcPr>
          <w:p w14:paraId="73A884E1" w14:textId="77777777" w:rsidR="004B0883" w:rsidRDefault="004B0883">
            <w:pPr>
              <w:jc w:val="right"/>
              <w:rPr>
                <w:color w:val="000000"/>
              </w:rPr>
            </w:pPr>
            <w:r>
              <w:rPr>
                <w:color w:val="000000"/>
              </w:rPr>
              <w:t>9.78%</w:t>
            </w:r>
          </w:p>
        </w:tc>
        <w:tc>
          <w:tcPr>
            <w:tcW w:w="819" w:type="pct"/>
            <w:tcMar>
              <w:top w:w="0" w:type="dxa"/>
              <w:left w:w="108" w:type="dxa"/>
              <w:bottom w:w="0" w:type="dxa"/>
              <w:right w:w="108" w:type="dxa"/>
            </w:tcMar>
            <w:vAlign w:val="center"/>
          </w:tcPr>
          <w:p w14:paraId="22FEA1C1" w14:textId="77777777" w:rsidR="004B0883" w:rsidRDefault="004B0883">
            <w:pPr>
              <w:jc w:val="right"/>
              <w:rPr>
                <w:color w:val="000000"/>
              </w:rPr>
            </w:pPr>
            <w:r>
              <w:rPr>
                <w:color w:val="000000"/>
              </w:rPr>
              <w:t>13.10%</w:t>
            </w:r>
          </w:p>
        </w:tc>
        <w:tc>
          <w:tcPr>
            <w:tcW w:w="819" w:type="pct"/>
            <w:tcMar>
              <w:top w:w="0" w:type="dxa"/>
              <w:left w:w="108" w:type="dxa"/>
              <w:bottom w:w="0" w:type="dxa"/>
              <w:right w:w="108" w:type="dxa"/>
            </w:tcMar>
            <w:vAlign w:val="center"/>
          </w:tcPr>
          <w:p w14:paraId="1D901FE3" w14:textId="77777777" w:rsidR="004B0883" w:rsidRDefault="004B0883">
            <w:pPr>
              <w:jc w:val="right"/>
              <w:rPr>
                <w:color w:val="000000"/>
              </w:rPr>
            </w:pPr>
            <w:r>
              <w:rPr>
                <w:color w:val="000000"/>
              </w:rPr>
              <w:t>15.52%</w:t>
            </w:r>
          </w:p>
        </w:tc>
        <w:tc>
          <w:tcPr>
            <w:tcW w:w="818" w:type="pct"/>
            <w:tcMar>
              <w:top w:w="0" w:type="dxa"/>
              <w:left w:w="108" w:type="dxa"/>
              <w:bottom w:w="0" w:type="dxa"/>
              <w:right w:w="108" w:type="dxa"/>
            </w:tcMar>
            <w:vAlign w:val="center"/>
          </w:tcPr>
          <w:p w14:paraId="3D2418D6" w14:textId="77777777" w:rsidR="004B0883" w:rsidRDefault="004B0883">
            <w:pPr>
              <w:jc w:val="right"/>
              <w:rPr>
                <w:color w:val="000000"/>
              </w:rPr>
            </w:pPr>
            <w:r>
              <w:rPr>
                <w:color w:val="000000"/>
              </w:rPr>
              <w:t>14.33%</w:t>
            </w:r>
          </w:p>
        </w:tc>
      </w:tr>
    </w:tbl>
    <w:p w14:paraId="35E68B79" w14:textId="77777777" w:rsidR="004B0883" w:rsidRDefault="004B0883">
      <w:pPr>
        <w:pStyle w:val="005"/>
        <w:spacing w:before="120"/>
        <w:ind w:firstLine="480"/>
      </w:pPr>
      <w:r>
        <w:t>报告期各期，公司无计入非经常性损益的税收优惠，税收优惠分别占当期利润总额的</w:t>
      </w:r>
      <w:r>
        <w:t>14.33%</w:t>
      </w:r>
      <w:r>
        <w:t>、</w:t>
      </w:r>
      <w:r>
        <w:t>15.52%</w:t>
      </w:r>
      <w:r>
        <w:t>、</w:t>
      </w:r>
      <w:r>
        <w:t>13.10%</w:t>
      </w:r>
      <w:r>
        <w:t>和</w:t>
      </w:r>
      <w:r>
        <w:rPr>
          <w:rFonts w:hint="eastAsia"/>
        </w:rPr>
        <w:t>9</w:t>
      </w:r>
      <w:r>
        <w:t>.78%</w:t>
      </w:r>
      <w:r>
        <w:t>，公司经营成果对税收优惠不存在重大依赖。</w:t>
      </w:r>
    </w:p>
    <w:p w14:paraId="68816B35" w14:textId="77777777" w:rsidR="004B0883" w:rsidRDefault="004B0883">
      <w:pPr>
        <w:pStyle w:val="004"/>
        <w:spacing w:before="120" w:after="120"/>
        <w:ind w:firstLine="482"/>
      </w:pPr>
      <w:r>
        <w:t>4</w:t>
      </w:r>
      <w:r>
        <w:t>、经营活动现金流量净额与净利润差异情况</w:t>
      </w:r>
    </w:p>
    <w:p w14:paraId="47FAD0AE" w14:textId="77777777" w:rsidR="004B0883" w:rsidRDefault="004B0883">
      <w:pPr>
        <w:pStyle w:val="005"/>
        <w:spacing w:before="120"/>
        <w:ind w:firstLine="480"/>
        <w:rPr>
          <w:szCs w:val="28"/>
        </w:rPr>
      </w:pPr>
      <w:r>
        <w:t>报告期各期，公司经营活动产生的现金流量占净利润的比例情况如下：</w:t>
      </w:r>
      <w:bookmarkStart w:id="363" w:name="_Hlk72339435"/>
    </w:p>
    <w:bookmarkEnd w:id="363"/>
    <w:p w14:paraId="7C2489C9" w14:textId="77777777" w:rsidR="004B0883" w:rsidRDefault="004B0883">
      <w:pPr>
        <w:pStyle w:val="009"/>
      </w:pPr>
      <w: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152"/>
        <w:gridCol w:w="1585"/>
        <w:gridCol w:w="1181"/>
        <w:gridCol w:w="1181"/>
        <w:gridCol w:w="1181"/>
      </w:tblGrid>
      <w:tr w:rsidR="004B0883" w14:paraId="008668C7" w14:textId="77777777">
        <w:trPr>
          <w:trHeight w:val="397"/>
          <w:tblHeader/>
          <w:jc w:val="center"/>
        </w:trPr>
        <w:tc>
          <w:tcPr>
            <w:tcW w:w="1904" w:type="pct"/>
            <w:shd w:val="clear" w:color="auto" w:fill="D9D9D9"/>
            <w:tcMar>
              <w:top w:w="0" w:type="dxa"/>
              <w:left w:w="108" w:type="dxa"/>
              <w:bottom w:w="0" w:type="dxa"/>
              <w:right w:w="108" w:type="dxa"/>
            </w:tcMar>
            <w:vAlign w:val="center"/>
          </w:tcPr>
          <w:p w14:paraId="20C6D769" w14:textId="77777777" w:rsidR="004B0883" w:rsidRDefault="004B0883">
            <w:pPr>
              <w:keepNext/>
              <w:jc w:val="center"/>
              <w:rPr>
                <w:b/>
                <w:color w:val="000000"/>
              </w:rPr>
            </w:pPr>
            <w:bookmarkStart w:id="364" w:name="_Hlk72339496"/>
            <w:r>
              <w:rPr>
                <w:b/>
                <w:color w:val="000000"/>
              </w:rPr>
              <w:t>项目</w:t>
            </w:r>
          </w:p>
        </w:tc>
        <w:tc>
          <w:tcPr>
            <w:tcW w:w="957" w:type="pct"/>
            <w:shd w:val="clear" w:color="auto" w:fill="D9D9D9"/>
            <w:tcMar>
              <w:top w:w="0" w:type="dxa"/>
              <w:left w:w="108" w:type="dxa"/>
              <w:bottom w:w="0" w:type="dxa"/>
              <w:right w:w="108" w:type="dxa"/>
            </w:tcMar>
            <w:vAlign w:val="center"/>
          </w:tcPr>
          <w:p w14:paraId="0742A67F" w14:textId="77777777" w:rsidR="004B0883" w:rsidRDefault="004B0883">
            <w:pPr>
              <w:keepNext/>
              <w:jc w:val="center"/>
              <w:rPr>
                <w:b/>
                <w:color w:val="000000"/>
              </w:rPr>
            </w:pPr>
            <w:r>
              <w:rPr>
                <w:b/>
                <w:color w:val="000000"/>
              </w:rPr>
              <w:t>2023</w:t>
            </w:r>
            <w:r>
              <w:rPr>
                <w:b/>
                <w:color w:val="000000"/>
              </w:rPr>
              <w:t>年</w:t>
            </w:r>
            <w:r>
              <w:rPr>
                <w:b/>
                <w:color w:val="000000"/>
              </w:rPr>
              <w:t>1-</w:t>
            </w:r>
            <w:r>
              <w:rPr>
                <w:rFonts w:hint="eastAsia"/>
                <w:b/>
                <w:color w:val="000000"/>
              </w:rPr>
              <w:t>9</w:t>
            </w:r>
            <w:r>
              <w:rPr>
                <w:b/>
                <w:color w:val="000000"/>
              </w:rPr>
              <w:t>月</w:t>
            </w:r>
          </w:p>
        </w:tc>
        <w:tc>
          <w:tcPr>
            <w:tcW w:w="713" w:type="pct"/>
            <w:shd w:val="clear" w:color="auto" w:fill="D9D9D9"/>
            <w:tcMar>
              <w:top w:w="0" w:type="dxa"/>
              <w:left w:w="108" w:type="dxa"/>
              <w:bottom w:w="0" w:type="dxa"/>
              <w:right w:w="108" w:type="dxa"/>
            </w:tcMar>
            <w:vAlign w:val="center"/>
          </w:tcPr>
          <w:p w14:paraId="22FA1754" w14:textId="77777777" w:rsidR="004B0883" w:rsidRDefault="004B0883">
            <w:pPr>
              <w:keepNext/>
              <w:jc w:val="center"/>
              <w:rPr>
                <w:b/>
                <w:color w:val="000000"/>
              </w:rPr>
            </w:pPr>
            <w:r>
              <w:rPr>
                <w:b/>
                <w:color w:val="000000"/>
              </w:rPr>
              <w:t>2022</w:t>
            </w:r>
            <w:r>
              <w:rPr>
                <w:b/>
                <w:color w:val="000000"/>
              </w:rPr>
              <w:t>年度</w:t>
            </w:r>
          </w:p>
        </w:tc>
        <w:tc>
          <w:tcPr>
            <w:tcW w:w="713" w:type="pct"/>
            <w:shd w:val="clear" w:color="auto" w:fill="D9D9D9"/>
            <w:tcMar>
              <w:top w:w="0" w:type="dxa"/>
              <w:left w:w="108" w:type="dxa"/>
              <w:bottom w:w="0" w:type="dxa"/>
              <w:right w:w="108" w:type="dxa"/>
            </w:tcMar>
            <w:vAlign w:val="center"/>
          </w:tcPr>
          <w:p w14:paraId="6F5DA60A" w14:textId="77777777" w:rsidR="004B0883" w:rsidRDefault="004B0883">
            <w:pPr>
              <w:keepNext/>
              <w:jc w:val="center"/>
              <w:rPr>
                <w:b/>
                <w:color w:val="000000"/>
              </w:rPr>
            </w:pPr>
            <w:r>
              <w:rPr>
                <w:b/>
                <w:color w:val="000000"/>
              </w:rPr>
              <w:t>2021</w:t>
            </w:r>
            <w:r>
              <w:rPr>
                <w:b/>
                <w:color w:val="000000"/>
              </w:rPr>
              <w:t>年度</w:t>
            </w:r>
          </w:p>
        </w:tc>
        <w:tc>
          <w:tcPr>
            <w:tcW w:w="713" w:type="pct"/>
            <w:shd w:val="clear" w:color="auto" w:fill="D9D9D9"/>
            <w:tcMar>
              <w:top w:w="0" w:type="dxa"/>
              <w:left w:w="108" w:type="dxa"/>
              <w:bottom w:w="0" w:type="dxa"/>
              <w:right w:w="108" w:type="dxa"/>
            </w:tcMar>
            <w:vAlign w:val="center"/>
          </w:tcPr>
          <w:p w14:paraId="76B7B422" w14:textId="77777777" w:rsidR="004B0883" w:rsidRDefault="004B0883">
            <w:pPr>
              <w:keepNext/>
              <w:jc w:val="center"/>
              <w:rPr>
                <w:b/>
                <w:color w:val="000000"/>
              </w:rPr>
            </w:pPr>
            <w:r>
              <w:rPr>
                <w:b/>
                <w:color w:val="000000"/>
              </w:rPr>
              <w:t>2020</w:t>
            </w:r>
            <w:r>
              <w:rPr>
                <w:b/>
                <w:color w:val="000000"/>
              </w:rPr>
              <w:t>年度</w:t>
            </w:r>
          </w:p>
        </w:tc>
      </w:tr>
      <w:tr w:rsidR="004B0883" w14:paraId="2F8A9B45" w14:textId="77777777">
        <w:trPr>
          <w:trHeight w:val="397"/>
          <w:jc w:val="center"/>
        </w:trPr>
        <w:tc>
          <w:tcPr>
            <w:tcW w:w="1904" w:type="pct"/>
            <w:tcMar>
              <w:top w:w="0" w:type="dxa"/>
              <w:left w:w="108" w:type="dxa"/>
              <w:bottom w:w="0" w:type="dxa"/>
              <w:right w:w="108" w:type="dxa"/>
            </w:tcMar>
            <w:vAlign w:val="center"/>
          </w:tcPr>
          <w:p w14:paraId="3F6E477A" w14:textId="77777777" w:rsidR="004B0883" w:rsidRDefault="004B0883">
            <w:pPr>
              <w:rPr>
                <w:color w:val="000000"/>
              </w:rPr>
            </w:pPr>
            <w:r>
              <w:rPr>
                <w:color w:val="000000"/>
              </w:rPr>
              <w:t>经营活动产生的现金流量净额</w:t>
            </w:r>
          </w:p>
        </w:tc>
        <w:tc>
          <w:tcPr>
            <w:tcW w:w="957" w:type="pct"/>
            <w:tcMar>
              <w:top w:w="0" w:type="dxa"/>
              <w:left w:w="108" w:type="dxa"/>
              <w:bottom w:w="0" w:type="dxa"/>
              <w:right w:w="108" w:type="dxa"/>
            </w:tcMar>
            <w:vAlign w:val="center"/>
          </w:tcPr>
          <w:p w14:paraId="04B8DB1B" w14:textId="77777777" w:rsidR="004B0883" w:rsidRDefault="004B0883">
            <w:pPr>
              <w:jc w:val="right"/>
              <w:rPr>
                <w:color w:val="000000"/>
              </w:rPr>
            </w:pPr>
            <w:r>
              <w:rPr>
                <w:color w:val="000000"/>
              </w:rPr>
              <w:t>9,962.43</w:t>
            </w:r>
          </w:p>
        </w:tc>
        <w:tc>
          <w:tcPr>
            <w:tcW w:w="713" w:type="pct"/>
            <w:tcMar>
              <w:top w:w="0" w:type="dxa"/>
              <w:left w:w="108" w:type="dxa"/>
              <w:bottom w:w="0" w:type="dxa"/>
              <w:right w:w="108" w:type="dxa"/>
            </w:tcMar>
            <w:vAlign w:val="center"/>
          </w:tcPr>
          <w:p w14:paraId="42BA5A33" w14:textId="77777777" w:rsidR="004B0883" w:rsidRDefault="004B0883">
            <w:pPr>
              <w:jc w:val="right"/>
              <w:rPr>
                <w:color w:val="000000"/>
              </w:rPr>
            </w:pPr>
            <w:r>
              <w:rPr>
                <w:color w:val="000000"/>
              </w:rPr>
              <w:t>13,470.79</w:t>
            </w:r>
          </w:p>
        </w:tc>
        <w:tc>
          <w:tcPr>
            <w:tcW w:w="713" w:type="pct"/>
            <w:tcMar>
              <w:top w:w="0" w:type="dxa"/>
              <w:left w:w="108" w:type="dxa"/>
              <w:bottom w:w="0" w:type="dxa"/>
              <w:right w:w="108" w:type="dxa"/>
            </w:tcMar>
            <w:vAlign w:val="center"/>
          </w:tcPr>
          <w:p w14:paraId="022323A2" w14:textId="77777777" w:rsidR="004B0883" w:rsidRDefault="004B0883">
            <w:pPr>
              <w:jc w:val="right"/>
              <w:rPr>
                <w:color w:val="000000"/>
              </w:rPr>
            </w:pPr>
            <w:r>
              <w:rPr>
                <w:color w:val="000000"/>
              </w:rPr>
              <w:t>1,138.73</w:t>
            </w:r>
          </w:p>
        </w:tc>
        <w:tc>
          <w:tcPr>
            <w:tcW w:w="713" w:type="pct"/>
            <w:tcMar>
              <w:top w:w="0" w:type="dxa"/>
              <w:left w:w="108" w:type="dxa"/>
              <w:bottom w:w="0" w:type="dxa"/>
              <w:right w:w="108" w:type="dxa"/>
            </w:tcMar>
            <w:vAlign w:val="center"/>
          </w:tcPr>
          <w:p w14:paraId="191AADCF" w14:textId="77777777" w:rsidR="004B0883" w:rsidRDefault="004B0883">
            <w:pPr>
              <w:jc w:val="right"/>
              <w:rPr>
                <w:color w:val="000000"/>
              </w:rPr>
            </w:pPr>
            <w:r>
              <w:rPr>
                <w:color w:val="000000"/>
              </w:rPr>
              <w:t>8,994.61</w:t>
            </w:r>
          </w:p>
        </w:tc>
      </w:tr>
      <w:tr w:rsidR="004B0883" w14:paraId="4E9B2230" w14:textId="77777777">
        <w:trPr>
          <w:trHeight w:val="397"/>
          <w:jc w:val="center"/>
        </w:trPr>
        <w:tc>
          <w:tcPr>
            <w:tcW w:w="1904" w:type="pct"/>
            <w:tcMar>
              <w:top w:w="0" w:type="dxa"/>
              <w:left w:w="108" w:type="dxa"/>
              <w:bottom w:w="0" w:type="dxa"/>
              <w:right w:w="108" w:type="dxa"/>
            </w:tcMar>
            <w:vAlign w:val="center"/>
          </w:tcPr>
          <w:p w14:paraId="737371F7" w14:textId="77777777" w:rsidR="004B0883" w:rsidRDefault="004B0883">
            <w:pPr>
              <w:rPr>
                <w:color w:val="000000"/>
              </w:rPr>
            </w:pPr>
            <w:r>
              <w:rPr>
                <w:color w:val="000000"/>
              </w:rPr>
              <w:t>净利润</w:t>
            </w:r>
          </w:p>
        </w:tc>
        <w:tc>
          <w:tcPr>
            <w:tcW w:w="957" w:type="pct"/>
            <w:tcMar>
              <w:top w:w="0" w:type="dxa"/>
              <w:left w:w="108" w:type="dxa"/>
              <w:bottom w:w="0" w:type="dxa"/>
              <w:right w:w="108" w:type="dxa"/>
            </w:tcMar>
            <w:vAlign w:val="center"/>
          </w:tcPr>
          <w:p w14:paraId="2EE81102" w14:textId="77777777" w:rsidR="004B0883" w:rsidRDefault="004B0883">
            <w:pPr>
              <w:jc w:val="right"/>
              <w:rPr>
                <w:color w:val="000000"/>
              </w:rPr>
            </w:pPr>
            <w:r>
              <w:rPr>
                <w:color w:val="000000"/>
              </w:rPr>
              <w:t>10,062.09</w:t>
            </w:r>
          </w:p>
        </w:tc>
        <w:tc>
          <w:tcPr>
            <w:tcW w:w="713" w:type="pct"/>
            <w:tcMar>
              <w:top w:w="0" w:type="dxa"/>
              <w:left w:w="108" w:type="dxa"/>
              <w:bottom w:w="0" w:type="dxa"/>
              <w:right w:w="108" w:type="dxa"/>
            </w:tcMar>
            <w:vAlign w:val="center"/>
          </w:tcPr>
          <w:p w14:paraId="17E1525F" w14:textId="77777777" w:rsidR="004B0883" w:rsidRDefault="004B0883">
            <w:pPr>
              <w:jc w:val="right"/>
              <w:rPr>
                <w:color w:val="000000"/>
              </w:rPr>
            </w:pPr>
            <w:r>
              <w:rPr>
                <w:color w:val="000000"/>
              </w:rPr>
              <w:t>13,362.71</w:t>
            </w:r>
          </w:p>
        </w:tc>
        <w:tc>
          <w:tcPr>
            <w:tcW w:w="713" w:type="pct"/>
            <w:tcMar>
              <w:top w:w="0" w:type="dxa"/>
              <w:left w:w="108" w:type="dxa"/>
              <w:bottom w:w="0" w:type="dxa"/>
              <w:right w:w="108" w:type="dxa"/>
            </w:tcMar>
            <w:vAlign w:val="center"/>
          </w:tcPr>
          <w:p w14:paraId="3A21B56B" w14:textId="77777777" w:rsidR="004B0883" w:rsidRDefault="004B0883">
            <w:pPr>
              <w:jc w:val="right"/>
              <w:rPr>
                <w:color w:val="000000"/>
              </w:rPr>
            </w:pPr>
            <w:r>
              <w:rPr>
                <w:color w:val="000000"/>
              </w:rPr>
              <w:t>6,099.35</w:t>
            </w:r>
          </w:p>
        </w:tc>
        <w:tc>
          <w:tcPr>
            <w:tcW w:w="713" w:type="pct"/>
            <w:tcMar>
              <w:top w:w="0" w:type="dxa"/>
              <w:left w:w="108" w:type="dxa"/>
              <w:bottom w:w="0" w:type="dxa"/>
              <w:right w:w="108" w:type="dxa"/>
            </w:tcMar>
            <w:vAlign w:val="center"/>
          </w:tcPr>
          <w:p w14:paraId="3A399879" w14:textId="77777777" w:rsidR="004B0883" w:rsidRDefault="004B0883">
            <w:pPr>
              <w:jc w:val="right"/>
              <w:rPr>
                <w:color w:val="000000"/>
              </w:rPr>
            </w:pPr>
            <w:r>
              <w:rPr>
                <w:color w:val="000000"/>
              </w:rPr>
              <w:t>5,796.81</w:t>
            </w:r>
          </w:p>
        </w:tc>
      </w:tr>
      <w:tr w:rsidR="004B0883" w14:paraId="700072DE" w14:textId="77777777">
        <w:trPr>
          <w:trHeight w:val="397"/>
          <w:jc w:val="center"/>
        </w:trPr>
        <w:tc>
          <w:tcPr>
            <w:tcW w:w="1904" w:type="pct"/>
            <w:tcMar>
              <w:top w:w="0" w:type="dxa"/>
              <w:left w:w="108" w:type="dxa"/>
              <w:bottom w:w="0" w:type="dxa"/>
              <w:right w:w="108" w:type="dxa"/>
            </w:tcMar>
            <w:vAlign w:val="center"/>
          </w:tcPr>
          <w:p w14:paraId="307B692D" w14:textId="77777777" w:rsidR="004B0883" w:rsidRDefault="004B0883">
            <w:pPr>
              <w:rPr>
                <w:color w:val="000000"/>
              </w:rPr>
            </w:pPr>
            <w:r>
              <w:rPr>
                <w:color w:val="000000"/>
              </w:rPr>
              <w:t>占比</w:t>
            </w:r>
          </w:p>
        </w:tc>
        <w:tc>
          <w:tcPr>
            <w:tcW w:w="957" w:type="pct"/>
            <w:tcMar>
              <w:top w:w="0" w:type="dxa"/>
              <w:left w:w="108" w:type="dxa"/>
              <w:bottom w:w="0" w:type="dxa"/>
              <w:right w:w="108" w:type="dxa"/>
            </w:tcMar>
            <w:vAlign w:val="center"/>
          </w:tcPr>
          <w:p w14:paraId="097E9FBE" w14:textId="77777777" w:rsidR="004B0883" w:rsidRDefault="004B0883">
            <w:pPr>
              <w:jc w:val="right"/>
              <w:rPr>
                <w:color w:val="000000"/>
              </w:rPr>
            </w:pPr>
            <w:r>
              <w:rPr>
                <w:rFonts w:hint="eastAsia"/>
                <w:color w:val="000000"/>
                <w:szCs w:val="22"/>
              </w:rPr>
              <w:t>99.01</w:t>
            </w:r>
            <w:r>
              <w:rPr>
                <w:color w:val="000000"/>
                <w:szCs w:val="22"/>
              </w:rPr>
              <w:t>%</w:t>
            </w:r>
          </w:p>
        </w:tc>
        <w:tc>
          <w:tcPr>
            <w:tcW w:w="713" w:type="pct"/>
            <w:tcMar>
              <w:top w:w="0" w:type="dxa"/>
              <w:left w:w="108" w:type="dxa"/>
              <w:bottom w:w="0" w:type="dxa"/>
              <w:right w:w="108" w:type="dxa"/>
            </w:tcMar>
            <w:vAlign w:val="center"/>
          </w:tcPr>
          <w:p w14:paraId="59C2FEEF" w14:textId="77777777" w:rsidR="004B0883" w:rsidRDefault="004B0883">
            <w:pPr>
              <w:jc w:val="right"/>
              <w:rPr>
                <w:color w:val="000000"/>
              </w:rPr>
            </w:pPr>
            <w:r>
              <w:rPr>
                <w:color w:val="000000"/>
              </w:rPr>
              <w:t>100.81%</w:t>
            </w:r>
          </w:p>
        </w:tc>
        <w:tc>
          <w:tcPr>
            <w:tcW w:w="713" w:type="pct"/>
            <w:tcMar>
              <w:top w:w="0" w:type="dxa"/>
              <w:left w:w="108" w:type="dxa"/>
              <w:bottom w:w="0" w:type="dxa"/>
              <w:right w:w="108" w:type="dxa"/>
            </w:tcMar>
            <w:vAlign w:val="center"/>
          </w:tcPr>
          <w:p w14:paraId="28BAF888" w14:textId="77777777" w:rsidR="004B0883" w:rsidRDefault="004B0883">
            <w:pPr>
              <w:jc w:val="right"/>
              <w:rPr>
                <w:color w:val="000000"/>
              </w:rPr>
            </w:pPr>
            <w:r>
              <w:rPr>
                <w:color w:val="000000"/>
              </w:rPr>
              <w:t>18.67%</w:t>
            </w:r>
          </w:p>
        </w:tc>
        <w:tc>
          <w:tcPr>
            <w:tcW w:w="713" w:type="pct"/>
            <w:tcMar>
              <w:top w:w="0" w:type="dxa"/>
              <w:left w:w="108" w:type="dxa"/>
              <w:bottom w:w="0" w:type="dxa"/>
              <w:right w:w="108" w:type="dxa"/>
            </w:tcMar>
            <w:vAlign w:val="center"/>
          </w:tcPr>
          <w:p w14:paraId="27DD4DDA" w14:textId="77777777" w:rsidR="004B0883" w:rsidRDefault="004B0883">
            <w:pPr>
              <w:jc w:val="right"/>
              <w:rPr>
                <w:color w:val="000000"/>
              </w:rPr>
            </w:pPr>
            <w:r>
              <w:rPr>
                <w:color w:val="000000"/>
              </w:rPr>
              <w:t>155.16%</w:t>
            </w:r>
          </w:p>
        </w:tc>
      </w:tr>
    </w:tbl>
    <w:p w14:paraId="5C43A436" w14:textId="77777777" w:rsidR="004B0883" w:rsidRDefault="004B0883">
      <w:pPr>
        <w:pStyle w:val="005"/>
        <w:spacing w:before="120"/>
        <w:ind w:firstLine="480"/>
      </w:pPr>
      <w:r>
        <w:t>报告期各期，公司经营活动产生的现金流量净额占同期净利润的比例分别为，差异较大主要系销售采购周期与付款导致往来款余额变动以及原材料等存货储备规模的变化的影响，具体请参见本章之</w:t>
      </w:r>
      <w:r>
        <w:rPr>
          <w:rFonts w:ascii="宋体" w:hAnsi="宋体"/>
        </w:rPr>
        <w:t>“</w:t>
      </w:r>
      <w:r>
        <w:rPr>
          <w:rFonts w:hint="eastAsia"/>
        </w:rPr>
        <w:t>八、现金流量分析</w:t>
      </w:r>
      <w:r>
        <w:rPr>
          <w:rFonts w:ascii="宋体" w:hAnsi="宋体"/>
        </w:rPr>
        <w:t>”</w:t>
      </w:r>
      <w:r>
        <w:t>之</w:t>
      </w:r>
      <w:r>
        <w:rPr>
          <w:rFonts w:ascii="宋体" w:hAnsi="宋体"/>
        </w:rPr>
        <w:t>“</w:t>
      </w:r>
      <w:r>
        <w:t>（一）经营活动产生的现金流量</w:t>
      </w:r>
      <w:r>
        <w:rPr>
          <w:rFonts w:ascii="宋体" w:hAnsi="宋体"/>
        </w:rPr>
        <w:t>”</w:t>
      </w:r>
      <w:r>
        <w:t>。</w:t>
      </w:r>
    </w:p>
    <w:bookmarkEnd w:id="364"/>
    <w:p w14:paraId="29FF854F" w14:textId="77777777" w:rsidR="004B0883" w:rsidRDefault="004B0883">
      <w:pPr>
        <w:pStyle w:val="004"/>
        <w:spacing w:before="120" w:after="120"/>
        <w:ind w:firstLine="482"/>
      </w:pPr>
      <w:r>
        <w:t>5</w:t>
      </w:r>
      <w:r>
        <w:t>、最近一期业绩情况分析</w:t>
      </w:r>
    </w:p>
    <w:p w14:paraId="4AA9EB6F" w14:textId="77777777" w:rsidR="004B0883" w:rsidRDefault="004B0883">
      <w:pPr>
        <w:pStyle w:val="005"/>
        <w:spacing w:before="120"/>
        <w:ind w:firstLine="480"/>
      </w:pPr>
      <w:r>
        <w:t>2023</w:t>
      </w:r>
      <w:r>
        <w:t>年</w:t>
      </w:r>
      <w:r>
        <w:t>1-</w:t>
      </w:r>
      <w:r>
        <w:rPr>
          <w:rFonts w:hint="eastAsia"/>
        </w:rPr>
        <w:t>9</w:t>
      </w:r>
      <w:r>
        <w:t>月，公司业绩较上年同期对比情况如下：</w:t>
      </w:r>
    </w:p>
    <w:p w14:paraId="73B9E2F4" w14:textId="77777777" w:rsidR="004B0883" w:rsidRDefault="004B0883">
      <w:pPr>
        <w:pStyle w:val="009"/>
      </w:pPr>
      <w: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856"/>
        <w:gridCol w:w="1808"/>
        <w:gridCol w:w="1808"/>
        <w:gridCol w:w="1808"/>
      </w:tblGrid>
      <w:tr w:rsidR="004B0883" w14:paraId="0E0E8191" w14:textId="77777777">
        <w:trPr>
          <w:trHeight w:val="397"/>
          <w:tblHeader/>
          <w:jc w:val="center"/>
        </w:trPr>
        <w:tc>
          <w:tcPr>
            <w:tcW w:w="1724" w:type="pct"/>
            <w:shd w:val="clear" w:color="auto" w:fill="D9D9D9"/>
            <w:tcMar>
              <w:top w:w="0" w:type="dxa"/>
              <w:left w:w="108" w:type="dxa"/>
              <w:bottom w:w="0" w:type="dxa"/>
              <w:right w:w="108" w:type="dxa"/>
            </w:tcMar>
            <w:vAlign w:val="center"/>
          </w:tcPr>
          <w:p w14:paraId="3D449E7B" w14:textId="77777777" w:rsidR="004B0883" w:rsidRDefault="004B0883">
            <w:pPr>
              <w:keepNext/>
              <w:jc w:val="center"/>
              <w:rPr>
                <w:b/>
                <w:color w:val="000000"/>
              </w:rPr>
            </w:pPr>
            <w:r>
              <w:rPr>
                <w:b/>
                <w:color w:val="000000"/>
              </w:rPr>
              <w:t>业绩指标</w:t>
            </w:r>
          </w:p>
        </w:tc>
        <w:tc>
          <w:tcPr>
            <w:tcW w:w="1091" w:type="pct"/>
            <w:shd w:val="clear" w:color="auto" w:fill="D9D9D9"/>
            <w:tcMar>
              <w:top w:w="0" w:type="dxa"/>
              <w:left w:w="108" w:type="dxa"/>
              <w:bottom w:w="0" w:type="dxa"/>
              <w:right w:w="108" w:type="dxa"/>
            </w:tcMar>
            <w:vAlign w:val="center"/>
          </w:tcPr>
          <w:p w14:paraId="0C80A7A2" w14:textId="77777777" w:rsidR="004B0883" w:rsidRDefault="004B0883">
            <w:pPr>
              <w:keepNext/>
              <w:jc w:val="center"/>
              <w:rPr>
                <w:b/>
                <w:color w:val="000000"/>
              </w:rPr>
            </w:pPr>
            <w:r>
              <w:rPr>
                <w:b/>
                <w:color w:val="000000"/>
              </w:rPr>
              <w:t>2023</w:t>
            </w:r>
            <w:r>
              <w:rPr>
                <w:b/>
                <w:color w:val="000000"/>
              </w:rPr>
              <w:t>年</w:t>
            </w:r>
            <w:r>
              <w:rPr>
                <w:b/>
                <w:color w:val="000000"/>
              </w:rPr>
              <w:t>1-</w:t>
            </w:r>
            <w:r>
              <w:rPr>
                <w:rFonts w:hint="eastAsia"/>
                <w:b/>
                <w:color w:val="000000"/>
              </w:rPr>
              <w:t>9</w:t>
            </w:r>
            <w:r>
              <w:rPr>
                <w:b/>
                <w:color w:val="000000"/>
              </w:rPr>
              <w:t>月</w:t>
            </w:r>
          </w:p>
        </w:tc>
        <w:tc>
          <w:tcPr>
            <w:tcW w:w="1092" w:type="pct"/>
            <w:shd w:val="clear" w:color="auto" w:fill="D9D9D9"/>
            <w:tcMar>
              <w:top w:w="0" w:type="dxa"/>
              <w:left w:w="108" w:type="dxa"/>
              <w:bottom w:w="0" w:type="dxa"/>
              <w:right w:w="108" w:type="dxa"/>
            </w:tcMar>
            <w:vAlign w:val="center"/>
          </w:tcPr>
          <w:p w14:paraId="3EABA840" w14:textId="77777777" w:rsidR="004B0883" w:rsidRDefault="004B0883">
            <w:pPr>
              <w:keepNext/>
              <w:jc w:val="center"/>
              <w:rPr>
                <w:b/>
                <w:color w:val="000000"/>
              </w:rPr>
            </w:pPr>
            <w:r>
              <w:rPr>
                <w:b/>
                <w:color w:val="000000"/>
              </w:rPr>
              <w:t>2022</w:t>
            </w:r>
            <w:r>
              <w:rPr>
                <w:b/>
                <w:color w:val="000000"/>
              </w:rPr>
              <w:t>年</w:t>
            </w:r>
            <w:r>
              <w:rPr>
                <w:b/>
                <w:color w:val="000000"/>
              </w:rPr>
              <w:t>1-9</w:t>
            </w:r>
            <w:r>
              <w:rPr>
                <w:b/>
                <w:color w:val="000000"/>
              </w:rPr>
              <w:t>月</w:t>
            </w:r>
          </w:p>
        </w:tc>
        <w:tc>
          <w:tcPr>
            <w:tcW w:w="1092" w:type="pct"/>
            <w:shd w:val="clear" w:color="auto" w:fill="D9D9D9"/>
            <w:tcMar>
              <w:top w:w="0" w:type="dxa"/>
              <w:left w:w="108" w:type="dxa"/>
              <w:bottom w:w="0" w:type="dxa"/>
              <w:right w:w="108" w:type="dxa"/>
            </w:tcMar>
            <w:vAlign w:val="center"/>
          </w:tcPr>
          <w:p w14:paraId="5A627424" w14:textId="77777777" w:rsidR="004B0883" w:rsidRDefault="004B0883">
            <w:pPr>
              <w:keepNext/>
              <w:jc w:val="center"/>
              <w:rPr>
                <w:b/>
                <w:color w:val="000000"/>
              </w:rPr>
            </w:pPr>
            <w:r>
              <w:rPr>
                <w:b/>
                <w:color w:val="000000"/>
              </w:rPr>
              <w:t>变动比例</w:t>
            </w:r>
          </w:p>
        </w:tc>
      </w:tr>
      <w:tr w:rsidR="004B0883" w14:paraId="036D014D" w14:textId="77777777">
        <w:trPr>
          <w:trHeight w:val="397"/>
          <w:jc w:val="center"/>
        </w:trPr>
        <w:tc>
          <w:tcPr>
            <w:tcW w:w="1724" w:type="pct"/>
            <w:tcMar>
              <w:top w:w="0" w:type="dxa"/>
              <w:left w:w="108" w:type="dxa"/>
              <w:bottom w:w="0" w:type="dxa"/>
              <w:right w:w="108" w:type="dxa"/>
            </w:tcMar>
            <w:vAlign w:val="center"/>
          </w:tcPr>
          <w:p w14:paraId="5D8D4E26" w14:textId="77777777" w:rsidR="004B0883" w:rsidRDefault="004B0883">
            <w:pPr>
              <w:rPr>
                <w:color w:val="000000"/>
              </w:rPr>
            </w:pPr>
            <w:r>
              <w:rPr>
                <w:color w:val="000000"/>
              </w:rPr>
              <w:t>营业收入</w:t>
            </w:r>
          </w:p>
        </w:tc>
        <w:tc>
          <w:tcPr>
            <w:tcW w:w="1091" w:type="pct"/>
            <w:tcMar>
              <w:top w:w="0" w:type="dxa"/>
              <w:left w:w="108" w:type="dxa"/>
              <w:bottom w:w="0" w:type="dxa"/>
              <w:right w:w="108" w:type="dxa"/>
            </w:tcMar>
            <w:vAlign w:val="center"/>
          </w:tcPr>
          <w:p w14:paraId="10FBE3AC" w14:textId="77777777" w:rsidR="004B0883" w:rsidRDefault="004B0883">
            <w:pPr>
              <w:jc w:val="right"/>
              <w:rPr>
                <w:color w:val="000000"/>
              </w:rPr>
            </w:pPr>
            <w:r>
              <w:rPr>
                <w:color w:val="000000"/>
                <w:szCs w:val="22"/>
              </w:rPr>
              <w:t>39,909.71</w:t>
            </w:r>
          </w:p>
        </w:tc>
        <w:tc>
          <w:tcPr>
            <w:tcW w:w="1092" w:type="pct"/>
            <w:tcMar>
              <w:top w:w="0" w:type="dxa"/>
              <w:left w:w="108" w:type="dxa"/>
              <w:bottom w:w="0" w:type="dxa"/>
              <w:right w:w="108" w:type="dxa"/>
            </w:tcMar>
            <w:vAlign w:val="center"/>
          </w:tcPr>
          <w:p w14:paraId="2A59E520" w14:textId="77777777" w:rsidR="004B0883" w:rsidRDefault="004B0883">
            <w:pPr>
              <w:jc w:val="right"/>
              <w:rPr>
                <w:color w:val="000000"/>
              </w:rPr>
            </w:pPr>
            <w:r>
              <w:rPr>
                <w:color w:val="000000"/>
                <w:szCs w:val="22"/>
              </w:rPr>
              <w:t>40,446.83</w:t>
            </w:r>
          </w:p>
        </w:tc>
        <w:tc>
          <w:tcPr>
            <w:tcW w:w="1092" w:type="pct"/>
            <w:tcMar>
              <w:top w:w="0" w:type="dxa"/>
              <w:left w:w="108" w:type="dxa"/>
              <w:bottom w:w="0" w:type="dxa"/>
              <w:right w:w="108" w:type="dxa"/>
            </w:tcMar>
            <w:vAlign w:val="center"/>
          </w:tcPr>
          <w:p w14:paraId="55B7B379" w14:textId="77777777" w:rsidR="004B0883" w:rsidRDefault="004B0883">
            <w:pPr>
              <w:jc w:val="right"/>
              <w:rPr>
                <w:color w:val="000000"/>
              </w:rPr>
            </w:pPr>
            <w:r>
              <w:rPr>
                <w:rFonts w:hint="eastAsia"/>
                <w:color w:val="000000"/>
                <w:szCs w:val="22"/>
              </w:rPr>
              <w:t>-1.33%</w:t>
            </w:r>
          </w:p>
        </w:tc>
      </w:tr>
      <w:tr w:rsidR="004B0883" w14:paraId="220021BD" w14:textId="77777777">
        <w:trPr>
          <w:trHeight w:val="397"/>
          <w:jc w:val="center"/>
        </w:trPr>
        <w:tc>
          <w:tcPr>
            <w:tcW w:w="1724" w:type="pct"/>
            <w:tcMar>
              <w:top w:w="0" w:type="dxa"/>
              <w:left w:w="108" w:type="dxa"/>
              <w:bottom w:w="0" w:type="dxa"/>
              <w:right w:w="108" w:type="dxa"/>
            </w:tcMar>
            <w:vAlign w:val="center"/>
          </w:tcPr>
          <w:p w14:paraId="07D7A05F" w14:textId="77777777" w:rsidR="004B0883" w:rsidRDefault="004B0883">
            <w:pPr>
              <w:rPr>
                <w:color w:val="000000"/>
              </w:rPr>
            </w:pPr>
            <w:r>
              <w:rPr>
                <w:color w:val="000000"/>
              </w:rPr>
              <w:t>归属于上市公司股东的扣除非经常性损益后的净利润</w:t>
            </w:r>
          </w:p>
        </w:tc>
        <w:tc>
          <w:tcPr>
            <w:tcW w:w="1091" w:type="pct"/>
            <w:tcMar>
              <w:top w:w="0" w:type="dxa"/>
              <w:left w:w="108" w:type="dxa"/>
              <w:bottom w:w="0" w:type="dxa"/>
              <w:right w:w="108" w:type="dxa"/>
            </w:tcMar>
            <w:vAlign w:val="center"/>
          </w:tcPr>
          <w:p w14:paraId="7630153B" w14:textId="77777777" w:rsidR="004B0883" w:rsidRDefault="004B0883">
            <w:pPr>
              <w:jc w:val="right"/>
              <w:rPr>
                <w:color w:val="000000"/>
              </w:rPr>
            </w:pPr>
            <w:r>
              <w:rPr>
                <w:rFonts w:hint="eastAsia"/>
                <w:color w:val="000000"/>
                <w:szCs w:val="22"/>
              </w:rPr>
              <w:t>8</w:t>
            </w:r>
            <w:r>
              <w:rPr>
                <w:color w:val="000000"/>
                <w:szCs w:val="22"/>
              </w:rPr>
              <w:t>,</w:t>
            </w:r>
            <w:r>
              <w:rPr>
                <w:rFonts w:hint="eastAsia"/>
                <w:color w:val="000000"/>
                <w:szCs w:val="22"/>
              </w:rPr>
              <w:t>074.40</w:t>
            </w:r>
          </w:p>
        </w:tc>
        <w:tc>
          <w:tcPr>
            <w:tcW w:w="1092" w:type="pct"/>
            <w:tcMar>
              <w:top w:w="0" w:type="dxa"/>
              <w:left w:w="108" w:type="dxa"/>
              <w:bottom w:w="0" w:type="dxa"/>
              <w:right w:w="108" w:type="dxa"/>
            </w:tcMar>
            <w:vAlign w:val="center"/>
          </w:tcPr>
          <w:p w14:paraId="2DAB6588" w14:textId="77777777" w:rsidR="004B0883" w:rsidRDefault="004B0883">
            <w:pPr>
              <w:jc w:val="right"/>
              <w:rPr>
                <w:color w:val="000000"/>
              </w:rPr>
            </w:pPr>
            <w:r>
              <w:rPr>
                <w:color w:val="000000"/>
                <w:szCs w:val="22"/>
              </w:rPr>
              <w:t>8,068.03</w:t>
            </w:r>
          </w:p>
        </w:tc>
        <w:tc>
          <w:tcPr>
            <w:tcW w:w="1092" w:type="pct"/>
            <w:tcMar>
              <w:top w:w="0" w:type="dxa"/>
              <w:left w:w="108" w:type="dxa"/>
              <w:bottom w:w="0" w:type="dxa"/>
              <w:right w:w="108" w:type="dxa"/>
            </w:tcMar>
            <w:vAlign w:val="center"/>
          </w:tcPr>
          <w:p w14:paraId="2362D7DE" w14:textId="77777777" w:rsidR="004B0883" w:rsidRDefault="004B0883">
            <w:pPr>
              <w:jc w:val="right"/>
              <w:rPr>
                <w:color w:val="000000"/>
              </w:rPr>
            </w:pPr>
            <w:r>
              <w:rPr>
                <w:rFonts w:hint="eastAsia"/>
                <w:color w:val="000000"/>
                <w:szCs w:val="22"/>
              </w:rPr>
              <w:t>0.08%</w:t>
            </w:r>
          </w:p>
        </w:tc>
      </w:tr>
    </w:tbl>
    <w:p w14:paraId="7A1B0B13" w14:textId="77777777" w:rsidR="004B0883" w:rsidRDefault="004B0883">
      <w:pPr>
        <w:pStyle w:val="005"/>
        <w:spacing w:before="120"/>
        <w:ind w:firstLine="480"/>
      </w:pPr>
      <w:r>
        <w:t>由上可见，</w:t>
      </w:r>
      <w:r>
        <w:rPr>
          <w:rFonts w:hint="eastAsia"/>
        </w:rPr>
        <w:t>2</w:t>
      </w:r>
      <w:r>
        <w:t>023</w:t>
      </w:r>
      <w:r>
        <w:rPr>
          <w:rFonts w:hint="eastAsia"/>
        </w:rPr>
        <w:t>年</w:t>
      </w:r>
      <w:r>
        <w:rPr>
          <w:rFonts w:hint="eastAsia"/>
        </w:rPr>
        <w:t>1</w:t>
      </w:r>
      <w:r>
        <w:t>-</w:t>
      </w:r>
      <w:r>
        <w:rPr>
          <w:rFonts w:hint="eastAsia"/>
        </w:rPr>
        <w:t>9</w:t>
      </w:r>
      <w:r>
        <w:rPr>
          <w:rFonts w:hint="eastAsia"/>
        </w:rPr>
        <w:t>月公司营业收入与上年同期相比小幅度降低，扣非后归母净利润与上年同期有所增加，不存在下降的情形。</w:t>
      </w:r>
    </w:p>
    <w:p w14:paraId="7A84D9AD" w14:textId="77777777" w:rsidR="004B0883" w:rsidRDefault="004B0883">
      <w:pPr>
        <w:pStyle w:val="002"/>
        <w:spacing w:before="120" w:after="120"/>
        <w:rPr>
          <w:rFonts w:hint="eastAsia"/>
        </w:rPr>
      </w:pPr>
      <w:bookmarkStart w:id="365" w:name="_Toc152320811"/>
      <w:r>
        <w:rPr>
          <w:rFonts w:hint="eastAsia"/>
        </w:rPr>
        <w:t>八、现金流量分析</w:t>
      </w:r>
      <w:bookmarkEnd w:id="365"/>
    </w:p>
    <w:p w14:paraId="559FB2C3"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报告期内，公司现金流量基本情况如下：</w:t>
      </w:r>
    </w:p>
    <w:p w14:paraId="6A99D8DA" w14:textId="77777777" w:rsidR="004B0883" w:rsidRDefault="004B0883">
      <w:pPr>
        <w:keepNext/>
        <w:widowControl w:val="0"/>
        <w:jc w:val="right"/>
        <w:rPr>
          <w:szCs w:val="22"/>
        </w:rPr>
      </w:pPr>
      <w:r>
        <w:rPr>
          <w:rFonts w:hint="eastAsia"/>
          <w:szCs w:val="22"/>
        </w:rPr>
        <w:t>单位：万元</w:t>
      </w:r>
    </w:p>
    <w:tbl>
      <w:tblPr>
        <w:tblW w:w="5138" w:type="pct"/>
        <w:tblInd w:w="0" w:type="dxa"/>
        <w:tblBorders>
          <w:top w:val="single" w:sz="12" w:space="0" w:color="010000"/>
          <w:left w:val="single" w:sz="12" w:space="0" w:color="010000"/>
          <w:bottom w:val="single" w:sz="12" w:space="0" w:color="010000"/>
          <w:right w:val="single" w:sz="12" w:space="0" w:color="010000"/>
          <w:insideH w:val="single" w:sz="4" w:space="0" w:color="010000"/>
          <w:insideV w:val="single" w:sz="4" w:space="0" w:color="010000"/>
        </w:tblBorders>
        <w:tblLayout w:type="fixed"/>
        <w:tblLook w:val="0000" w:firstRow="0" w:lastRow="0" w:firstColumn="0" w:lastColumn="0" w:noHBand="0" w:noVBand="0"/>
      </w:tblPr>
      <w:tblGrid>
        <w:gridCol w:w="3546"/>
        <w:gridCol w:w="1515"/>
        <w:gridCol w:w="1103"/>
        <w:gridCol w:w="1239"/>
        <w:gridCol w:w="1106"/>
      </w:tblGrid>
      <w:tr w:rsidR="004B0883" w14:paraId="73040F76" w14:textId="77777777">
        <w:trPr>
          <w:cantSplit/>
          <w:trHeight w:val="397"/>
          <w:tblHeader/>
        </w:trPr>
        <w:tc>
          <w:tcPr>
            <w:tcW w:w="2084" w:type="pct"/>
            <w:tcBorders>
              <w:top w:val="single" w:sz="12" w:space="0" w:color="010000"/>
              <w:bottom w:val="single" w:sz="4" w:space="0" w:color="010000"/>
            </w:tcBorders>
            <w:shd w:val="clear" w:color="auto" w:fill="D9D9D9"/>
            <w:vAlign w:val="center"/>
          </w:tcPr>
          <w:p w14:paraId="2B210042" w14:textId="77777777" w:rsidR="004B0883" w:rsidRDefault="004B0883">
            <w:pPr>
              <w:jc w:val="center"/>
              <w:rPr>
                <w:b/>
                <w:color w:val="000000"/>
              </w:rPr>
            </w:pPr>
            <w:r>
              <w:rPr>
                <w:rFonts w:hint="eastAsia"/>
                <w:b/>
                <w:color w:val="000000"/>
              </w:rPr>
              <w:t>项目</w:t>
            </w:r>
          </w:p>
        </w:tc>
        <w:tc>
          <w:tcPr>
            <w:tcW w:w="890" w:type="pct"/>
            <w:tcBorders>
              <w:top w:val="single" w:sz="12" w:space="0" w:color="010000"/>
              <w:bottom w:val="single" w:sz="4" w:space="0" w:color="010000"/>
            </w:tcBorders>
            <w:shd w:val="clear" w:color="auto" w:fill="D9D9D9"/>
            <w:vAlign w:val="center"/>
          </w:tcPr>
          <w:p w14:paraId="2C13AE62" w14:textId="77777777" w:rsidR="004B0883" w:rsidRDefault="004B0883">
            <w:pPr>
              <w:jc w:val="center"/>
              <w:rPr>
                <w:rFonts w:hint="eastAsia"/>
                <w:b/>
                <w:color w:val="000000"/>
              </w:rPr>
            </w:pPr>
            <w:r>
              <w:rPr>
                <w:b/>
                <w:color w:val="000000"/>
              </w:rPr>
              <w:t>2023</w:t>
            </w:r>
            <w:r>
              <w:rPr>
                <w:rFonts w:hint="eastAsia"/>
                <w:b/>
                <w:color w:val="000000"/>
              </w:rPr>
              <w:t>年</w:t>
            </w:r>
            <w:r>
              <w:rPr>
                <w:b/>
                <w:color w:val="000000"/>
              </w:rPr>
              <w:t>1-</w:t>
            </w:r>
            <w:r>
              <w:rPr>
                <w:rFonts w:hint="eastAsia"/>
                <w:b/>
                <w:color w:val="000000"/>
              </w:rPr>
              <w:t>9</w:t>
            </w:r>
            <w:r>
              <w:rPr>
                <w:rFonts w:hint="eastAsia"/>
                <w:b/>
                <w:color w:val="000000"/>
              </w:rPr>
              <w:t>月</w:t>
            </w:r>
          </w:p>
        </w:tc>
        <w:tc>
          <w:tcPr>
            <w:tcW w:w="648" w:type="pct"/>
            <w:tcBorders>
              <w:top w:val="single" w:sz="12" w:space="0" w:color="010000"/>
              <w:bottom w:val="single" w:sz="4" w:space="0" w:color="010000"/>
            </w:tcBorders>
            <w:shd w:val="clear" w:color="auto" w:fill="D9D9D9"/>
            <w:vAlign w:val="center"/>
          </w:tcPr>
          <w:p w14:paraId="0A15A73E" w14:textId="77777777" w:rsidR="004B0883" w:rsidRDefault="004B0883">
            <w:pPr>
              <w:jc w:val="center"/>
              <w:rPr>
                <w:b/>
                <w:color w:val="000000"/>
              </w:rPr>
            </w:pPr>
            <w:r>
              <w:rPr>
                <w:b/>
                <w:color w:val="000000"/>
              </w:rPr>
              <w:t>2022</w:t>
            </w:r>
            <w:r>
              <w:rPr>
                <w:b/>
                <w:color w:val="000000"/>
              </w:rPr>
              <w:t>年度</w:t>
            </w:r>
          </w:p>
        </w:tc>
        <w:tc>
          <w:tcPr>
            <w:tcW w:w="728" w:type="pct"/>
            <w:tcBorders>
              <w:top w:val="single" w:sz="12" w:space="0" w:color="010000"/>
              <w:bottom w:val="single" w:sz="4" w:space="0" w:color="010000"/>
            </w:tcBorders>
            <w:shd w:val="clear" w:color="auto" w:fill="D9D9D9"/>
            <w:vAlign w:val="center"/>
          </w:tcPr>
          <w:p w14:paraId="7BBDAD7E" w14:textId="77777777" w:rsidR="004B0883" w:rsidRDefault="004B0883">
            <w:pPr>
              <w:jc w:val="center"/>
              <w:rPr>
                <w:b/>
                <w:color w:val="000000"/>
              </w:rPr>
            </w:pPr>
            <w:r>
              <w:rPr>
                <w:b/>
                <w:color w:val="000000"/>
              </w:rPr>
              <w:t>2021</w:t>
            </w:r>
            <w:r>
              <w:rPr>
                <w:b/>
                <w:color w:val="000000"/>
              </w:rPr>
              <w:t>年度</w:t>
            </w:r>
          </w:p>
        </w:tc>
        <w:tc>
          <w:tcPr>
            <w:tcW w:w="651" w:type="pct"/>
            <w:tcBorders>
              <w:top w:val="single" w:sz="12" w:space="0" w:color="010000"/>
              <w:bottom w:val="single" w:sz="4" w:space="0" w:color="010000"/>
            </w:tcBorders>
            <w:shd w:val="clear" w:color="auto" w:fill="D9D9D9"/>
            <w:vAlign w:val="center"/>
          </w:tcPr>
          <w:p w14:paraId="36B5AEEA" w14:textId="77777777" w:rsidR="004B0883" w:rsidRDefault="004B0883">
            <w:pPr>
              <w:jc w:val="center"/>
              <w:rPr>
                <w:b/>
                <w:color w:val="000000"/>
              </w:rPr>
            </w:pPr>
            <w:r>
              <w:rPr>
                <w:b/>
                <w:color w:val="000000"/>
              </w:rPr>
              <w:t>2020</w:t>
            </w:r>
            <w:r>
              <w:rPr>
                <w:b/>
                <w:color w:val="000000"/>
              </w:rPr>
              <w:t>年度</w:t>
            </w:r>
          </w:p>
        </w:tc>
      </w:tr>
      <w:tr w:rsidR="004B0883" w14:paraId="32ADD26F" w14:textId="77777777">
        <w:trPr>
          <w:cantSplit/>
          <w:trHeight w:val="397"/>
        </w:trPr>
        <w:tc>
          <w:tcPr>
            <w:tcW w:w="2084" w:type="pct"/>
            <w:tcBorders>
              <w:top w:val="single" w:sz="4" w:space="0" w:color="010000"/>
            </w:tcBorders>
            <w:vAlign w:val="center"/>
          </w:tcPr>
          <w:p w14:paraId="7DD21481" w14:textId="77777777" w:rsidR="004B0883" w:rsidRDefault="004B0883">
            <w:pPr>
              <w:rPr>
                <w:color w:val="000000"/>
              </w:rPr>
            </w:pPr>
            <w:r>
              <w:rPr>
                <w:rFonts w:hint="eastAsia"/>
                <w:color w:val="000000"/>
              </w:rPr>
              <w:t>经营活动产生的现金流量净额</w:t>
            </w:r>
          </w:p>
        </w:tc>
        <w:tc>
          <w:tcPr>
            <w:tcW w:w="890" w:type="pct"/>
            <w:tcBorders>
              <w:top w:val="single" w:sz="4" w:space="0" w:color="010000"/>
            </w:tcBorders>
            <w:vAlign w:val="center"/>
          </w:tcPr>
          <w:p w14:paraId="7F6995C4" w14:textId="77777777" w:rsidR="004B0883" w:rsidRDefault="004B0883">
            <w:pPr>
              <w:jc w:val="right"/>
              <w:rPr>
                <w:rFonts w:hint="eastAsia"/>
                <w:color w:val="000000"/>
              </w:rPr>
            </w:pPr>
            <w:r>
              <w:rPr>
                <w:rFonts w:eastAsia="等线"/>
                <w:color w:val="000000"/>
              </w:rPr>
              <w:t>9,962.43</w:t>
            </w:r>
          </w:p>
        </w:tc>
        <w:tc>
          <w:tcPr>
            <w:tcW w:w="648" w:type="pct"/>
            <w:tcBorders>
              <w:top w:val="single" w:sz="4" w:space="0" w:color="010000"/>
            </w:tcBorders>
            <w:vAlign w:val="center"/>
          </w:tcPr>
          <w:p w14:paraId="10A3789E" w14:textId="77777777" w:rsidR="004B0883" w:rsidRDefault="004B0883">
            <w:pPr>
              <w:jc w:val="right"/>
              <w:rPr>
                <w:color w:val="000000"/>
              </w:rPr>
            </w:pPr>
            <w:r>
              <w:rPr>
                <w:color w:val="000000"/>
              </w:rPr>
              <w:t>13,470.79</w:t>
            </w:r>
          </w:p>
        </w:tc>
        <w:tc>
          <w:tcPr>
            <w:tcW w:w="728" w:type="pct"/>
            <w:tcBorders>
              <w:top w:val="single" w:sz="4" w:space="0" w:color="010000"/>
            </w:tcBorders>
            <w:vAlign w:val="center"/>
          </w:tcPr>
          <w:p w14:paraId="6A56F4FA" w14:textId="77777777" w:rsidR="004B0883" w:rsidRDefault="004B0883">
            <w:pPr>
              <w:jc w:val="right"/>
              <w:rPr>
                <w:color w:val="000000"/>
              </w:rPr>
            </w:pPr>
            <w:r>
              <w:rPr>
                <w:color w:val="000000"/>
              </w:rPr>
              <w:t>1,138.73</w:t>
            </w:r>
          </w:p>
        </w:tc>
        <w:tc>
          <w:tcPr>
            <w:tcW w:w="651" w:type="pct"/>
            <w:tcBorders>
              <w:top w:val="single" w:sz="4" w:space="0" w:color="010000"/>
            </w:tcBorders>
            <w:vAlign w:val="center"/>
          </w:tcPr>
          <w:p w14:paraId="250101C6" w14:textId="77777777" w:rsidR="004B0883" w:rsidRDefault="004B0883">
            <w:pPr>
              <w:jc w:val="right"/>
              <w:rPr>
                <w:color w:val="000000"/>
              </w:rPr>
            </w:pPr>
            <w:r>
              <w:rPr>
                <w:color w:val="000000"/>
              </w:rPr>
              <w:t>8,994.61</w:t>
            </w:r>
          </w:p>
        </w:tc>
      </w:tr>
      <w:tr w:rsidR="004B0883" w14:paraId="63BBB2CE" w14:textId="77777777">
        <w:trPr>
          <w:cantSplit/>
          <w:trHeight w:val="397"/>
        </w:trPr>
        <w:tc>
          <w:tcPr>
            <w:tcW w:w="2084" w:type="pct"/>
            <w:vAlign w:val="center"/>
          </w:tcPr>
          <w:p w14:paraId="516ECD6E" w14:textId="77777777" w:rsidR="004B0883" w:rsidRDefault="004B0883">
            <w:pPr>
              <w:rPr>
                <w:color w:val="000000"/>
              </w:rPr>
            </w:pPr>
            <w:r>
              <w:rPr>
                <w:rFonts w:hint="eastAsia"/>
                <w:color w:val="000000"/>
              </w:rPr>
              <w:t>投资活动产生的现金流量净额</w:t>
            </w:r>
          </w:p>
        </w:tc>
        <w:tc>
          <w:tcPr>
            <w:tcW w:w="890" w:type="pct"/>
            <w:vAlign w:val="center"/>
          </w:tcPr>
          <w:p w14:paraId="22CBDE63" w14:textId="77777777" w:rsidR="004B0883" w:rsidRDefault="004B0883">
            <w:pPr>
              <w:jc w:val="right"/>
              <w:rPr>
                <w:rFonts w:hint="eastAsia"/>
                <w:color w:val="000000"/>
              </w:rPr>
            </w:pPr>
            <w:r>
              <w:rPr>
                <w:rFonts w:eastAsia="等线"/>
                <w:color w:val="000000"/>
              </w:rPr>
              <w:t>-13,575.17</w:t>
            </w:r>
          </w:p>
        </w:tc>
        <w:tc>
          <w:tcPr>
            <w:tcW w:w="648" w:type="pct"/>
            <w:vAlign w:val="center"/>
          </w:tcPr>
          <w:p w14:paraId="021F4540" w14:textId="77777777" w:rsidR="004B0883" w:rsidRDefault="004B0883">
            <w:pPr>
              <w:jc w:val="right"/>
              <w:rPr>
                <w:color w:val="000000"/>
              </w:rPr>
            </w:pPr>
            <w:r>
              <w:rPr>
                <w:color w:val="000000"/>
              </w:rPr>
              <w:t>-4,436.89</w:t>
            </w:r>
          </w:p>
        </w:tc>
        <w:tc>
          <w:tcPr>
            <w:tcW w:w="728" w:type="pct"/>
            <w:vAlign w:val="center"/>
          </w:tcPr>
          <w:p w14:paraId="04B04E18" w14:textId="77777777" w:rsidR="004B0883" w:rsidRDefault="004B0883">
            <w:pPr>
              <w:jc w:val="right"/>
              <w:rPr>
                <w:color w:val="000000"/>
              </w:rPr>
            </w:pPr>
            <w:r>
              <w:rPr>
                <w:color w:val="000000"/>
              </w:rPr>
              <w:t>9,294.27</w:t>
            </w:r>
          </w:p>
        </w:tc>
        <w:tc>
          <w:tcPr>
            <w:tcW w:w="651" w:type="pct"/>
            <w:vAlign w:val="center"/>
          </w:tcPr>
          <w:p w14:paraId="7AB097C7" w14:textId="77777777" w:rsidR="004B0883" w:rsidRDefault="004B0883">
            <w:pPr>
              <w:jc w:val="right"/>
              <w:rPr>
                <w:color w:val="000000"/>
              </w:rPr>
            </w:pPr>
            <w:r>
              <w:rPr>
                <w:color w:val="000000"/>
              </w:rPr>
              <w:t>-9,802.39</w:t>
            </w:r>
          </w:p>
        </w:tc>
      </w:tr>
      <w:tr w:rsidR="004B0883" w14:paraId="261E0965" w14:textId="77777777">
        <w:trPr>
          <w:cantSplit/>
          <w:trHeight w:val="397"/>
        </w:trPr>
        <w:tc>
          <w:tcPr>
            <w:tcW w:w="2084" w:type="pct"/>
            <w:vAlign w:val="center"/>
          </w:tcPr>
          <w:p w14:paraId="32C76DC4" w14:textId="77777777" w:rsidR="004B0883" w:rsidRDefault="004B0883">
            <w:pPr>
              <w:rPr>
                <w:color w:val="000000"/>
              </w:rPr>
            </w:pPr>
            <w:r>
              <w:rPr>
                <w:rFonts w:hint="eastAsia"/>
                <w:color w:val="000000"/>
              </w:rPr>
              <w:t>筹资活动产生的现金流量净额</w:t>
            </w:r>
          </w:p>
        </w:tc>
        <w:tc>
          <w:tcPr>
            <w:tcW w:w="890" w:type="pct"/>
            <w:vAlign w:val="center"/>
          </w:tcPr>
          <w:p w14:paraId="27CAC562" w14:textId="77777777" w:rsidR="004B0883" w:rsidRDefault="004B0883">
            <w:pPr>
              <w:jc w:val="right"/>
              <w:rPr>
                <w:rFonts w:hint="eastAsia"/>
                <w:color w:val="000000"/>
              </w:rPr>
            </w:pPr>
            <w:r>
              <w:rPr>
                <w:rFonts w:eastAsia="等线"/>
                <w:color w:val="000000"/>
              </w:rPr>
              <w:t>-7,952.90</w:t>
            </w:r>
          </w:p>
        </w:tc>
        <w:tc>
          <w:tcPr>
            <w:tcW w:w="648" w:type="pct"/>
            <w:vAlign w:val="center"/>
          </w:tcPr>
          <w:p w14:paraId="2902F787" w14:textId="77777777" w:rsidR="004B0883" w:rsidRDefault="004B0883">
            <w:pPr>
              <w:jc w:val="right"/>
              <w:rPr>
                <w:color w:val="000000"/>
              </w:rPr>
            </w:pPr>
            <w:r>
              <w:rPr>
                <w:color w:val="000000"/>
              </w:rPr>
              <w:t>-1,993.55</w:t>
            </w:r>
          </w:p>
        </w:tc>
        <w:tc>
          <w:tcPr>
            <w:tcW w:w="728" w:type="pct"/>
            <w:vAlign w:val="center"/>
          </w:tcPr>
          <w:p w14:paraId="71DEAEFC" w14:textId="77777777" w:rsidR="004B0883" w:rsidRDefault="004B0883">
            <w:pPr>
              <w:jc w:val="right"/>
              <w:rPr>
                <w:color w:val="000000"/>
              </w:rPr>
            </w:pPr>
            <w:r>
              <w:rPr>
                <w:color w:val="000000"/>
              </w:rPr>
              <w:t>-6,391.88</w:t>
            </w:r>
          </w:p>
        </w:tc>
        <w:tc>
          <w:tcPr>
            <w:tcW w:w="651" w:type="pct"/>
            <w:vAlign w:val="center"/>
          </w:tcPr>
          <w:p w14:paraId="06EBFB8D" w14:textId="77777777" w:rsidR="004B0883" w:rsidRDefault="004B0883">
            <w:pPr>
              <w:jc w:val="right"/>
              <w:rPr>
                <w:color w:val="000000"/>
              </w:rPr>
            </w:pPr>
            <w:r>
              <w:rPr>
                <w:color w:val="000000"/>
              </w:rPr>
              <w:t>-210.16</w:t>
            </w:r>
          </w:p>
        </w:tc>
      </w:tr>
      <w:tr w:rsidR="004B0883" w14:paraId="61EDC055" w14:textId="77777777">
        <w:trPr>
          <w:cantSplit/>
          <w:trHeight w:val="397"/>
        </w:trPr>
        <w:tc>
          <w:tcPr>
            <w:tcW w:w="2084" w:type="pct"/>
            <w:vAlign w:val="center"/>
          </w:tcPr>
          <w:p w14:paraId="695B31DE" w14:textId="77777777" w:rsidR="004B0883" w:rsidRDefault="004B0883">
            <w:pPr>
              <w:rPr>
                <w:color w:val="000000"/>
              </w:rPr>
            </w:pPr>
            <w:r>
              <w:rPr>
                <w:rFonts w:hint="eastAsia"/>
                <w:color w:val="000000"/>
              </w:rPr>
              <w:t>汇率变动对现金及现金等价物的影响</w:t>
            </w:r>
          </w:p>
        </w:tc>
        <w:tc>
          <w:tcPr>
            <w:tcW w:w="890" w:type="pct"/>
            <w:vAlign w:val="center"/>
          </w:tcPr>
          <w:p w14:paraId="6A950B1B" w14:textId="77777777" w:rsidR="004B0883" w:rsidRDefault="004B0883">
            <w:pPr>
              <w:jc w:val="right"/>
              <w:rPr>
                <w:rFonts w:hint="eastAsia"/>
                <w:color w:val="000000"/>
              </w:rPr>
            </w:pPr>
            <w:r>
              <w:rPr>
                <w:rFonts w:eastAsia="等线"/>
                <w:color w:val="000000"/>
              </w:rPr>
              <w:t>-181.97</w:t>
            </w:r>
          </w:p>
        </w:tc>
        <w:tc>
          <w:tcPr>
            <w:tcW w:w="648" w:type="pct"/>
            <w:vAlign w:val="center"/>
          </w:tcPr>
          <w:p w14:paraId="72D7F581" w14:textId="77777777" w:rsidR="004B0883" w:rsidRDefault="004B0883">
            <w:pPr>
              <w:jc w:val="right"/>
              <w:rPr>
                <w:color w:val="000000"/>
              </w:rPr>
            </w:pPr>
            <w:r>
              <w:rPr>
                <w:color w:val="000000"/>
              </w:rPr>
              <w:t>238.67</w:t>
            </w:r>
          </w:p>
        </w:tc>
        <w:tc>
          <w:tcPr>
            <w:tcW w:w="728" w:type="pct"/>
            <w:vAlign w:val="center"/>
          </w:tcPr>
          <w:p w14:paraId="61F248E0" w14:textId="77777777" w:rsidR="004B0883" w:rsidRDefault="004B0883">
            <w:pPr>
              <w:jc w:val="right"/>
              <w:rPr>
                <w:color w:val="000000"/>
              </w:rPr>
            </w:pPr>
            <w:r>
              <w:rPr>
                <w:color w:val="000000"/>
              </w:rPr>
              <w:t>-67.71</w:t>
            </w:r>
          </w:p>
        </w:tc>
        <w:tc>
          <w:tcPr>
            <w:tcW w:w="651" w:type="pct"/>
            <w:vAlign w:val="center"/>
          </w:tcPr>
          <w:p w14:paraId="26E2B2B0" w14:textId="77777777" w:rsidR="004B0883" w:rsidRDefault="004B0883">
            <w:pPr>
              <w:jc w:val="right"/>
              <w:rPr>
                <w:color w:val="000000"/>
              </w:rPr>
            </w:pPr>
            <w:r>
              <w:rPr>
                <w:color w:val="000000"/>
              </w:rPr>
              <w:t>-78.65</w:t>
            </w:r>
          </w:p>
        </w:tc>
      </w:tr>
      <w:tr w:rsidR="004B0883" w14:paraId="74725782" w14:textId="77777777">
        <w:trPr>
          <w:cantSplit/>
          <w:trHeight w:val="397"/>
        </w:trPr>
        <w:tc>
          <w:tcPr>
            <w:tcW w:w="2084" w:type="pct"/>
            <w:vAlign w:val="center"/>
          </w:tcPr>
          <w:p w14:paraId="78F87822" w14:textId="77777777" w:rsidR="004B0883" w:rsidRDefault="004B0883">
            <w:pPr>
              <w:rPr>
                <w:color w:val="000000"/>
              </w:rPr>
            </w:pPr>
            <w:r>
              <w:rPr>
                <w:rFonts w:hint="eastAsia"/>
                <w:color w:val="000000"/>
              </w:rPr>
              <w:t>现金及现金等价物净增加额</w:t>
            </w:r>
          </w:p>
        </w:tc>
        <w:tc>
          <w:tcPr>
            <w:tcW w:w="890" w:type="pct"/>
            <w:vAlign w:val="center"/>
          </w:tcPr>
          <w:p w14:paraId="6F25A8D5" w14:textId="77777777" w:rsidR="004B0883" w:rsidRDefault="004B0883">
            <w:pPr>
              <w:jc w:val="right"/>
              <w:rPr>
                <w:rFonts w:hint="eastAsia"/>
                <w:color w:val="000000"/>
              </w:rPr>
            </w:pPr>
            <w:r>
              <w:rPr>
                <w:rFonts w:eastAsia="等线"/>
                <w:color w:val="000000"/>
              </w:rPr>
              <w:t>-11,747.61</w:t>
            </w:r>
          </w:p>
        </w:tc>
        <w:tc>
          <w:tcPr>
            <w:tcW w:w="648" w:type="pct"/>
            <w:vAlign w:val="center"/>
          </w:tcPr>
          <w:p w14:paraId="12CAF695" w14:textId="77777777" w:rsidR="004B0883" w:rsidRDefault="004B0883">
            <w:pPr>
              <w:jc w:val="right"/>
              <w:rPr>
                <w:color w:val="000000"/>
              </w:rPr>
            </w:pPr>
            <w:r>
              <w:rPr>
                <w:color w:val="000000"/>
              </w:rPr>
              <w:t>7,279.02</w:t>
            </w:r>
          </w:p>
        </w:tc>
        <w:tc>
          <w:tcPr>
            <w:tcW w:w="728" w:type="pct"/>
            <w:vAlign w:val="center"/>
          </w:tcPr>
          <w:p w14:paraId="0F6267B5" w14:textId="77777777" w:rsidR="004B0883" w:rsidRDefault="004B0883">
            <w:pPr>
              <w:jc w:val="right"/>
              <w:rPr>
                <w:color w:val="000000"/>
              </w:rPr>
            </w:pPr>
            <w:r>
              <w:rPr>
                <w:color w:val="000000"/>
              </w:rPr>
              <w:t>3,973.42</w:t>
            </w:r>
          </w:p>
        </w:tc>
        <w:tc>
          <w:tcPr>
            <w:tcW w:w="651" w:type="pct"/>
            <w:vAlign w:val="center"/>
          </w:tcPr>
          <w:p w14:paraId="4D31395C" w14:textId="77777777" w:rsidR="004B0883" w:rsidRDefault="004B0883">
            <w:pPr>
              <w:jc w:val="right"/>
              <w:rPr>
                <w:color w:val="000000"/>
              </w:rPr>
            </w:pPr>
            <w:r>
              <w:rPr>
                <w:color w:val="000000"/>
              </w:rPr>
              <w:t>-1,096.58</w:t>
            </w:r>
          </w:p>
        </w:tc>
      </w:tr>
    </w:tbl>
    <w:p w14:paraId="6194154E" w14:textId="77777777" w:rsidR="004B0883" w:rsidRDefault="004B0883">
      <w:pPr>
        <w:pStyle w:val="003"/>
        <w:spacing w:before="120" w:after="120"/>
        <w:rPr>
          <w:rFonts w:hint="eastAsia"/>
        </w:rPr>
      </w:pPr>
      <w:r>
        <w:rPr>
          <w:rFonts w:hint="eastAsia"/>
        </w:rPr>
        <w:t>（一）经营活动产生的现金流量</w:t>
      </w:r>
    </w:p>
    <w:p w14:paraId="09022D94"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报告期内，公司经营活动产生的现金流量情况如下：</w:t>
      </w:r>
    </w:p>
    <w:p w14:paraId="339B2AE2" w14:textId="77777777" w:rsidR="004B0883" w:rsidRDefault="004B0883">
      <w:pPr>
        <w:keepNext/>
        <w:widowControl w:val="0"/>
        <w:jc w:val="right"/>
        <w:rPr>
          <w:szCs w:val="22"/>
        </w:rPr>
      </w:pPr>
      <w:r>
        <w:rPr>
          <w:rFonts w:hint="eastAsia"/>
          <w:szCs w:val="22"/>
        </w:rPr>
        <w:t>单位：万元</w:t>
      </w:r>
    </w:p>
    <w:tbl>
      <w:tblPr>
        <w:tblW w:w="5138" w:type="pct"/>
        <w:tblInd w:w="0" w:type="dxa"/>
        <w:tblBorders>
          <w:top w:val="single" w:sz="12" w:space="0" w:color="010000"/>
          <w:left w:val="single" w:sz="12" w:space="0" w:color="010000"/>
          <w:bottom w:val="single" w:sz="12" w:space="0" w:color="010000"/>
          <w:right w:val="single" w:sz="12" w:space="0" w:color="010000"/>
          <w:insideH w:val="single" w:sz="4" w:space="0" w:color="010000"/>
          <w:insideV w:val="single" w:sz="4" w:space="0" w:color="010000"/>
        </w:tblBorders>
        <w:tblLayout w:type="fixed"/>
        <w:tblLook w:val="0000" w:firstRow="0" w:lastRow="0" w:firstColumn="0" w:lastColumn="0" w:noHBand="0" w:noVBand="0"/>
      </w:tblPr>
      <w:tblGrid>
        <w:gridCol w:w="3322"/>
        <w:gridCol w:w="1465"/>
        <w:gridCol w:w="1237"/>
        <w:gridCol w:w="1239"/>
        <w:gridCol w:w="1246"/>
      </w:tblGrid>
      <w:tr w:rsidR="004B0883" w14:paraId="6FE638A2" w14:textId="77777777">
        <w:trPr>
          <w:cantSplit/>
          <w:trHeight w:val="397"/>
          <w:tblHeader/>
        </w:trPr>
        <w:tc>
          <w:tcPr>
            <w:tcW w:w="1952" w:type="pct"/>
            <w:tcBorders>
              <w:top w:val="single" w:sz="12" w:space="0" w:color="010000"/>
              <w:bottom w:val="single" w:sz="4" w:space="0" w:color="010000"/>
            </w:tcBorders>
            <w:shd w:val="clear" w:color="auto" w:fill="D9D9D9"/>
            <w:vAlign w:val="center"/>
          </w:tcPr>
          <w:p w14:paraId="62C8E8B5" w14:textId="77777777" w:rsidR="004B0883" w:rsidRDefault="004B0883">
            <w:pPr>
              <w:jc w:val="center"/>
              <w:rPr>
                <w:b/>
                <w:color w:val="000000"/>
              </w:rPr>
            </w:pPr>
            <w:r>
              <w:rPr>
                <w:rFonts w:hint="eastAsia"/>
                <w:b/>
                <w:color w:val="000000"/>
              </w:rPr>
              <w:t>项目</w:t>
            </w:r>
          </w:p>
        </w:tc>
        <w:tc>
          <w:tcPr>
            <w:tcW w:w="861" w:type="pct"/>
            <w:tcBorders>
              <w:top w:val="single" w:sz="12" w:space="0" w:color="010000"/>
              <w:bottom w:val="single" w:sz="4" w:space="0" w:color="010000"/>
            </w:tcBorders>
            <w:shd w:val="clear" w:color="auto" w:fill="D9D9D9"/>
            <w:vAlign w:val="center"/>
          </w:tcPr>
          <w:p w14:paraId="509441F8" w14:textId="77777777" w:rsidR="004B0883" w:rsidRDefault="004B0883">
            <w:pPr>
              <w:jc w:val="center"/>
              <w:rPr>
                <w:rFonts w:hint="eastAsia"/>
                <w:b/>
                <w:color w:val="000000"/>
              </w:rPr>
            </w:pPr>
            <w:r>
              <w:rPr>
                <w:b/>
                <w:color w:val="000000"/>
              </w:rPr>
              <w:t>2023</w:t>
            </w:r>
            <w:r>
              <w:rPr>
                <w:rFonts w:hint="eastAsia"/>
                <w:b/>
                <w:color w:val="000000"/>
              </w:rPr>
              <w:t>年</w:t>
            </w:r>
            <w:r>
              <w:rPr>
                <w:b/>
                <w:color w:val="000000"/>
              </w:rPr>
              <w:t>1-</w:t>
            </w:r>
            <w:r>
              <w:rPr>
                <w:rFonts w:hint="eastAsia"/>
                <w:b/>
                <w:color w:val="000000"/>
              </w:rPr>
              <w:t>9</w:t>
            </w:r>
            <w:r>
              <w:rPr>
                <w:rFonts w:hint="eastAsia"/>
                <w:b/>
                <w:color w:val="000000"/>
              </w:rPr>
              <w:t>月</w:t>
            </w:r>
          </w:p>
        </w:tc>
        <w:tc>
          <w:tcPr>
            <w:tcW w:w="727" w:type="pct"/>
            <w:tcBorders>
              <w:top w:val="single" w:sz="12" w:space="0" w:color="010000"/>
              <w:bottom w:val="single" w:sz="4" w:space="0" w:color="010000"/>
            </w:tcBorders>
            <w:shd w:val="clear" w:color="auto" w:fill="D9D9D9"/>
            <w:vAlign w:val="center"/>
          </w:tcPr>
          <w:p w14:paraId="62B3953E" w14:textId="77777777" w:rsidR="004B0883" w:rsidRDefault="004B0883">
            <w:pPr>
              <w:jc w:val="center"/>
              <w:rPr>
                <w:b/>
                <w:color w:val="000000"/>
              </w:rPr>
            </w:pPr>
            <w:r>
              <w:rPr>
                <w:b/>
                <w:color w:val="000000"/>
              </w:rPr>
              <w:t>2022</w:t>
            </w:r>
            <w:r>
              <w:rPr>
                <w:b/>
                <w:color w:val="000000"/>
              </w:rPr>
              <w:t>年度</w:t>
            </w:r>
          </w:p>
        </w:tc>
        <w:tc>
          <w:tcPr>
            <w:tcW w:w="728" w:type="pct"/>
            <w:tcBorders>
              <w:top w:val="single" w:sz="12" w:space="0" w:color="010000"/>
              <w:bottom w:val="single" w:sz="4" w:space="0" w:color="010000"/>
            </w:tcBorders>
            <w:shd w:val="clear" w:color="auto" w:fill="D9D9D9"/>
            <w:vAlign w:val="center"/>
          </w:tcPr>
          <w:p w14:paraId="1E7156AC" w14:textId="77777777" w:rsidR="004B0883" w:rsidRDefault="004B0883">
            <w:pPr>
              <w:jc w:val="center"/>
              <w:rPr>
                <w:b/>
                <w:color w:val="000000"/>
              </w:rPr>
            </w:pPr>
            <w:r>
              <w:rPr>
                <w:b/>
                <w:color w:val="000000"/>
              </w:rPr>
              <w:t>2021</w:t>
            </w:r>
            <w:r>
              <w:rPr>
                <w:b/>
                <w:color w:val="000000"/>
              </w:rPr>
              <w:t>年度</w:t>
            </w:r>
          </w:p>
        </w:tc>
        <w:tc>
          <w:tcPr>
            <w:tcW w:w="732" w:type="pct"/>
            <w:tcBorders>
              <w:top w:val="single" w:sz="12" w:space="0" w:color="010000"/>
              <w:bottom w:val="single" w:sz="4" w:space="0" w:color="010000"/>
            </w:tcBorders>
            <w:shd w:val="clear" w:color="auto" w:fill="D9D9D9"/>
            <w:vAlign w:val="center"/>
          </w:tcPr>
          <w:p w14:paraId="7D16D494" w14:textId="77777777" w:rsidR="004B0883" w:rsidRDefault="004B0883">
            <w:pPr>
              <w:jc w:val="center"/>
              <w:rPr>
                <w:b/>
                <w:color w:val="000000"/>
              </w:rPr>
            </w:pPr>
            <w:r>
              <w:rPr>
                <w:b/>
                <w:color w:val="000000"/>
              </w:rPr>
              <w:t>2020</w:t>
            </w:r>
            <w:r>
              <w:rPr>
                <w:b/>
                <w:color w:val="000000"/>
              </w:rPr>
              <w:t>年度</w:t>
            </w:r>
          </w:p>
        </w:tc>
      </w:tr>
      <w:tr w:rsidR="004B0883" w14:paraId="0BE35EC9" w14:textId="77777777">
        <w:trPr>
          <w:cantSplit/>
          <w:trHeight w:val="397"/>
        </w:trPr>
        <w:tc>
          <w:tcPr>
            <w:tcW w:w="1952" w:type="pct"/>
            <w:tcBorders>
              <w:top w:val="single" w:sz="4" w:space="0" w:color="010000"/>
            </w:tcBorders>
            <w:vAlign w:val="center"/>
          </w:tcPr>
          <w:p w14:paraId="6E179D41" w14:textId="77777777" w:rsidR="004B0883" w:rsidRDefault="004B0883">
            <w:pPr>
              <w:rPr>
                <w:color w:val="000000"/>
              </w:rPr>
            </w:pPr>
            <w:r>
              <w:rPr>
                <w:rFonts w:hint="eastAsia"/>
                <w:color w:val="000000"/>
              </w:rPr>
              <w:t>销售商品、提供劳务收到的现金</w:t>
            </w:r>
          </w:p>
        </w:tc>
        <w:tc>
          <w:tcPr>
            <w:tcW w:w="861" w:type="pct"/>
            <w:tcBorders>
              <w:top w:val="single" w:sz="4" w:space="0" w:color="010000"/>
            </w:tcBorders>
            <w:vAlign w:val="center"/>
          </w:tcPr>
          <w:p w14:paraId="1AF8B0F0" w14:textId="77777777" w:rsidR="004B0883" w:rsidRDefault="004B0883">
            <w:pPr>
              <w:jc w:val="right"/>
              <w:rPr>
                <w:rFonts w:hint="eastAsia"/>
                <w:color w:val="000000"/>
              </w:rPr>
            </w:pPr>
            <w:r>
              <w:t>40,839.05</w:t>
            </w:r>
          </w:p>
        </w:tc>
        <w:tc>
          <w:tcPr>
            <w:tcW w:w="727" w:type="pct"/>
            <w:tcBorders>
              <w:top w:val="single" w:sz="4" w:space="0" w:color="010000"/>
            </w:tcBorders>
            <w:vAlign w:val="center"/>
          </w:tcPr>
          <w:p w14:paraId="51A8B76F" w14:textId="77777777" w:rsidR="004B0883" w:rsidRDefault="004B0883">
            <w:pPr>
              <w:jc w:val="right"/>
              <w:rPr>
                <w:color w:val="000000"/>
              </w:rPr>
            </w:pPr>
            <w:r>
              <w:rPr>
                <w:color w:val="000000"/>
              </w:rPr>
              <w:t>50,096.75</w:t>
            </w:r>
          </w:p>
        </w:tc>
        <w:tc>
          <w:tcPr>
            <w:tcW w:w="728" w:type="pct"/>
            <w:tcBorders>
              <w:top w:val="single" w:sz="4" w:space="0" w:color="010000"/>
            </w:tcBorders>
            <w:vAlign w:val="center"/>
          </w:tcPr>
          <w:p w14:paraId="50920BC5" w14:textId="77777777" w:rsidR="004B0883" w:rsidRDefault="004B0883">
            <w:pPr>
              <w:jc w:val="right"/>
              <w:rPr>
                <w:color w:val="000000"/>
              </w:rPr>
            </w:pPr>
            <w:r>
              <w:rPr>
                <w:color w:val="000000"/>
              </w:rPr>
              <w:t>38,747.07</w:t>
            </w:r>
          </w:p>
        </w:tc>
        <w:tc>
          <w:tcPr>
            <w:tcW w:w="732" w:type="pct"/>
            <w:tcBorders>
              <w:top w:val="single" w:sz="4" w:space="0" w:color="010000"/>
            </w:tcBorders>
            <w:vAlign w:val="center"/>
          </w:tcPr>
          <w:p w14:paraId="0DDA545E" w14:textId="77777777" w:rsidR="004B0883" w:rsidRDefault="004B0883">
            <w:pPr>
              <w:jc w:val="right"/>
              <w:rPr>
                <w:color w:val="000000"/>
              </w:rPr>
            </w:pPr>
            <w:r>
              <w:rPr>
                <w:color w:val="000000"/>
              </w:rPr>
              <w:t>37,606.50</w:t>
            </w:r>
          </w:p>
        </w:tc>
      </w:tr>
      <w:tr w:rsidR="004B0883" w14:paraId="71C7803D" w14:textId="77777777">
        <w:trPr>
          <w:cantSplit/>
          <w:trHeight w:val="397"/>
        </w:trPr>
        <w:tc>
          <w:tcPr>
            <w:tcW w:w="1952" w:type="pct"/>
            <w:vAlign w:val="center"/>
          </w:tcPr>
          <w:p w14:paraId="2CB8072F" w14:textId="77777777" w:rsidR="004B0883" w:rsidRDefault="004B0883">
            <w:pPr>
              <w:rPr>
                <w:color w:val="000000"/>
              </w:rPr>
            </w:pPr>
            <w:r>
              <w:rPr>
                <w:rFonts w:hint="eastAsia"/>
                <w:color w:val="000000"/>
              </w:rPr>
              <w:t>收到的税费返还</w:t>
            </w:r>
          </w:p>
        </w:tc>
        <w:tc>
          <w:tcPr>
            <w:tcW w:w="861" w:type="pct"/>
            <w:vAlign w:val="center"/>
          </w:tcPr>
          <w:p w14:paraId="2AF85876" w14:textId="77777777" w:rsidR="004B0883" w:rsidRDefault="004B0883">
            <w:pPr>
              <w:jc w:val="right"/>
              <w:rPr>
                <w:rFonts w:hint="eastAsia"/>
                <w:color w:val="000000"/>
              </w:rPr>
            </w:pPr>
            <w:r>
              <w:t>1,976.62</w:t>
            </w:r>
          </w:p>
        </w:tc>
        <w:tc>
          <w:tcPr>
            <w:tcW w:w="727" w:type="pct"/>
            <w:vAlign w:val="center"/>
          </w:tcPr>
          <w:p w14:paraId="14667E29" w14:textId="77777777" w:rsidR="004B0883" w:rsidRDefault="004B0883">
            <w:pPr>
              <w:jc w:val="right"/>
              <w:rPr>
                <w:color w:val="000000"/>
              </w:rPr>
            </w:pPr>
            <w:r>
              <w:rPr>
                <w:color w:val="000000"/>
              </w:rPr>
              <w:t>3,283.70</w:t>
            </w:r>
          </w:p>
        </w:tc>
        <w:tc>
          <w:tcPr>
            <w:tcW w:w="728" w:type="pct"/>
            <w:vAlign w:val="center"/>
          </w:tcPr>
          <w:p w14:paraId="3B02B5D3" w14:textId="77777777" w:rsidR="004B0883" w:rsidRDefault="004B0883">
            <w:pPr>
              <w:jc w:val="right"/>
              <w:rPr>
                <w:color w:val="000000"/>
              </w:rPr>
            </w:pPr>
            <w:r>
              <w:rPr>
                <w:color w:val="000000"/>
              </w:rPr>
              <w:t>2,419.49</w:t>
            </w:r>
          </w:p>
        </w:tc>
        <w:tc>
          <w:tcPr>
            <w:tcW w:w="732" w:type="pct"/>
            <w:vAlign w:val="center"/>
          </w:tcPr>
          <w:p w14:paraId="72062BB4" w14:textId="77777777" w:rsidR="004B0883" w:rsidRDefault="004B0883">
            <w:pPr>
              <w:jc w:val="right"/>
              <w:rPr>
                <w:color w:val="000000"/>
              </w:rPr>
            </w:pPr>
            <w:r>
              <w:rPr>
                <w:color w:val="000000"/>
              </w:rPr>
              <w:t>1,947.42</w:t>
            </w:r>
          </w:p>
        </w:tc>
      </w:tr>
      <w:tr w:rsidR="004B0883" w14:paraId="3159DA13" w14:textId="77777777">
        <w:trPr>
          <w:cantSplit/>
          <w:trHeight w:val="397"/>
        </w:trPr>
        <w:tc>
          <w:tcPr>
            <w:tcW w:w="1952" w:type="pct"/>
            <w:vAlign w:val="center"/>
          </w:tcPr>
          <w:p w14:paraId="0D8F9B13" w14:textId="77777777" w:rsidR="004B0883" w:rsidRDefault="004B0883">
            <w:pPr>
              <w:rPr>
                <w:color w:val="000000"/>
              </w:rPr>
            </w:pPr>
            <w:r>
              <w:rPr>
                <w:rFonts w:hint="eastAsia"/>
                <w:color w:val="000000"/>
              </w:rPr>
              <w:t>收到其他与经营活动有关的现金</w:t>
            </w:r>
          </w:p>
        </w:tc>
        <w:tc>
          <w:tcPr>
            <w:tcW w:w="861" w:type="pct"/>
            <w:vAlign w:val="center"/>
          </w:tcPr>
          <w:p w14:paraId="593CE591" w14:textId="77777777" w:rsidR="004B0883" w:rsidRDefault="004B0883">
            <w:pPr>
              <w:jc w:val="right"/>
              <w:rPr>
                <w:rFonts w:hint="eastAsia"/>
                <w:color w:val="000000"/>
              </w:rPr>
            </w:pPr>
            <w:r>
              <w:t>134.21</w:t>
            </w:r>
          </w:p>
        </w:tc>
        <w:tc>
          <w:tcPr>
            <w:tcW w:w="727" w:type="pct"/>
            <w:vAlign w:val="center"/>
          </w:tcPr>
          <w:p w14:paraId="103FD853" w14:textId="77777777" w:rsidR="004B0883" w:rsidRDefault="004B0883">
            <w:pPr>
              <w:jc w:val="right"/>
              <w:rPr>
                <w:color w:val="000000"/>
              </w:rPr>
            </w:pPr>
            <w:r>
              <w:rPr>
                <w:color w:val="000000"/>
              </w:rPr>
              <w:t>711.47</w:t>
            </w:r>
          </w:p>
        </w:tc>
        <w:tc>
          <w:tcPr>
            <w:tcW w:w="728" w:type="pct"/>
            <w:vAlign w:val="center"/>
          </w:tcPr>
          <w:p w14:paraId="7C5AAA29" w14:textId="77777777" w:rsidR="004B0883" w:rsidRDefault="004B0883">
            <w:pPr>
              <w:jc w:val="right"/>
              <w:rPr>
                <w:color w:val="000000"/>
              </w:rPr>
            </w:pPr>
            <w:r>
              <w:rPr>
                <w:color w:val="000000"/>
              </w:rPr>
              <w:t>932.95</w:t>
            </w:r>
          </w:p>
        </w:tc>
        <w:tc>
          <w:tcPr>
            <w:tcW w:w="732" w:type="pct"/>
            <w:vAlign w:val="center"/>
          </w:tcPr>
          <w:p w14:paraId="3D3EE812" w14:textId="77777777" w:rsidR="004B0883" w:rsidRDefault="004B0883">
            <w:pPr>
              <w:jc w:val="right"/>
              <w:rPr>
                <w:color w:val="000000"/>
              </w:rPr>
            </w:pPr>
            <w:r>
              <w:rPr>
                <w:color w:val="000000"/>
              </w:rPr>
              <w:t>853.69</w:t>
            </w:r>
          </w:p>
        </w:tc>
      </w:tr>
      <w:tr w:rsidR="004B0883" w14:paraId="26B5A175" w14:textId="77777777">
        <w:trPr>
          <w:cantSplit/>
          <w:trHeight w:val="397"/>
        </w:trPr>
        <w:tc>
          <w:tcPr>
            <w:tcW w:w="1952" w:type="pct"/>
            <w:vAlign w:val="center"/>
          </w:tcPr>
          <w:p w14:paraId="5F0FD514" w14:textId="77777777" w:rsidR="004B0883" w:rsidRDefault="004B0883">
            <w:pPr>
              <w:rPr>
                <w:b/>
                <w:bCs/>
                <w:color w:val="000000"/>
              </w:rPr>
            </w:pPr>
            <w:r>
              <w:rPr>
                <w:rFonts w:hint="eastAsia"/>
                <w:b/>
                <w:bCs/>
                <w:color w:val="000000"/>
              </w:rPr>
              <w:t>经营活动现金流入小计</w:t>
            </w:r>
          </w:p>
        </w:tc>
        <w:tc>
          <w:tcPr>
            <w:tcW w:w="861" w:type="pct"/>
            <w:vAlign w:val="center"/>
          </w:tcPr>
          <w:p w14:paraId="7D6E59B9" w14:textId="77777777" w:rsidR="004B0883" w:rsidRDefault="004B0883">
            <w:pPr>
              <w:jc w:val="right"/>
              <w:rPr>
                <w:rFonts w:hint="eastAsia"/>
                <w:b/>
                <w:bCs/>
                <w:color w:val="000000"/>
              </w:rPr>
            </w:pPr>
            <w:r>
              <w:rPr>
                <w:b/>
                <w:bCs/>
              </w:rPr>
              <w:t>42,949.88</w:t>
            </w:r>
          </w:p>
        </w:tc>
        <w:tc>
          <w:tcPr>
            <w:tcW w:w="727" w:type="pct"/>
            <w:vAlign w:val="center"/>
          </w:tcPr>
          <w:p w14:paraId="0D74F8E9" w14:textId="77777777" w:rsidR="004B0883" w:rsidRDefault="004B0883">
            <w:pPr>
              <w:jc w:val="right"/>
              <w:rPr>
                <w:b/>
                <w:bCs/>
                <w:color w:val="000000"/>
              </w:rPr>
            </w:pPr>
            <w:r>
              <w:rPr>
                <w:b/>
                <w:bCs/>
                <w:color w:val="000000"/>
              </w:rPr>
              <w:t>54,091.92</w:t>
            </w:r>
          </w:p>
        </w:tc>
        <w:tc>
          <w:tcPr>
            <w:tcW w:w="728" w:type="pct"/>
            <w:vAlign w:val="center"/>
          </w:tcPr>
          <w:p w14:paraId="5B7DA8EE" w14:textId="77777777" w:rsidR="004B0883" w:rsidRDefault="004B0883">
            <w:pPr>
              <w:jc w:val="right"/>
              <w:rPr>
                <w:b/>
                <w:bCs/>
                <w:color w:val="000000"/>
              </w:rPr>
            </w:pPr>
            <w:r>
              <w:rPr>
                <w:b/>
                <w:bCs/>
                <w:color w:val="000000"/>
              </w:rPr>
              <w:t>42,099.51</w:t>
            </w:r>
          </w:p>
        </w:tc>
        <w:tc>
          <w:tcPr>
            <w:tcW w:w="732" w:type="pct"/>
            <w:vAlign w:val="center"/>
          </w:tcPr>
          <w:p w14:paraId="7EC6ABB1" w14:textId="77777777" w:rsidR="004B0883" w:rsidRDefault="004B0883">
            <w:pPr>
              <w:jc w:val="right"/>
              <w:rPr>
                <w:b/>
                <w:bCs/>
                <w:color w:val="000000"/>
              </w:rPr>
            </w:pPr>
            <w:r>
              <w:rPr>
                <w:b/>
                <w:bCs/>
                <w:color w:val="000000"/>
              </w:rPr>
              <w:t>40,407.61</w:t>
            </w:r>
          </w:p>
        </w:tc>
      </w:tr>
      <w:tr w:rsidR="004B0883" w14:paraId="2413BC7C" w14:textId="77777777">
        <w:trPr>
          <w:cantSplit/>
          <w:trHeight w:val="397"/>
        </w:trPr>
        <w:tc>
          <w:tcPr>
            <w:tcW w:w="1952" w:type="pct"/>
            <w:vAlign w:val="center"/>
          </w:tcPr>
          <w:p w14:paraId="20FFDE99" w14:textId="77777777" w:rsidR="004B0883" w:rsidRDefault="004B0883">
            <w:pPr>
              <w:rPr>
                <w:color w:val="000000"/>
              </w:rPr>
            </w:pPr>
            <w:r>
              <w:rPr>
                <w:rFonts w:hint="eastAsia"/>
                <w:color w:val="000000"/>
              </w:rPr>
              <w:t>购买商品、接受劳务支付的现金</w:t>
            </w:r>
          </w:p>
        </w:tc>
        <w:tc>
          <w:tcPr>
            <w:tcW w:w="861" w:type="pct"/>
            <w:vAlign w:val="center"/>
          </w:tcPr>
          <w:p w14:paraId="130B45F0" w14:textId="77777777" w:rsidR="004B0883" w:rsidRDefault="004B0883">
            <w:pPr>
              <w:jc w:val="right"/>
              <w:rPr>
                <w:rFonts w:hint="eastAsia"/>
                <w:color w:val="000000"/>
              </w:rPr>
            </w:pPr>
            <w:r>
              <w:t>21,172.83</w:t>
            </w:r>
          </w:p>
        </w:tc>
        <w:tc>
          <w:tcPr>
            <w:tcW w:w="727" w:type="pct"/>
            <w:vAlign w:val="center"/>
          </w:tcPr>
          <w:p w14:paraId="3286BE10" w14:textId="77777777" w:rsidR="004B0883" w:rsidRDefault="004B0883">
            <w:pPr>
              <w:jc w:val="right"/>
              <w:rPr>
                <w:color w:val="000000"/>
              </w:rPr>
            </w:pPr>
            <w:r>
              <w:rPr>
                <w:color w:val="000000"/>
              </w:rPr>
              <w:t>26,850.47</w:t>
            </w:r>
          </w:p>
        </w:tc>
        <w:tc>
          <w:tcPr>
            <w:tcW w:w="728" w:type="pct"/>
            <w:vAlign w:val="center"/>
          </w:tcPr>
          <w:p w14:paraId="7636364A" w14:textId="77777777" w:rsidR="004B0883" w:rsidRDefault="004B0883">
            <w:pPr>
              <w:jc w:val="right"/>
              <w:rPr>
                <w:color w:val="000000"/>
              </w:rPr>
            </w:pPr>
            <w:r>
              <w:rPr>
                <w:color w:val="000000"/>
              </w:rPr>
              <w:t>30,180.56</w:t>
            </w:r>
          </w:p>
        </w:tc>
        <w:tc>
          <w:tcPr>
            <w:tcW w:w="732" w:type="pct"/>
            <w:vAlign w:val="center"/>
          </w:tcPr>
          <w:p w14:paraId="18CDA3DB" w14:textId="77777777" w:rsidR="004B0883" w:rsidRDefault="004B0883">
            <w:pPr>
              <w:jc w:val="right"/>
              <w:rPr>
                <w:color w:val="000000"/>
              </w:rPr>
            </w:pPr>
            <w:r>
              <w:rPr>
                <w:color w:val="000000"/>
              </w:rPr>
              <w:t>21,533.71</w:t>
            </w:r>
          </w:p>
        </w:tc>
      </w:tr>
      <w:tr w:rsidR="004B0883" w14:paraId="79B415EB" w14:textId="77777777">
        <w:trPr>
          <w:cantSplit/>
          <w:trHeight w:val="397"/>
        </w:trPr>
        <w:tc>
          <w:tcPr>
            <w:tcW w:w="1952" w:type="pct"/>
            <w:vAlign w:val="center"/>
          </w:tcPr>
          <w:p w14:paraId="2432B62B" w14:textId="77777777" w:rsidR="004B0883" w:rsidRDefault="004B0883">
            <w:pPr>
              <w:rPr>
                <w:color w:val="000000"/>
              </w:rPr>
            </w:pPr>
            <w:r>
              <w:rPr>
                <w:rFonts w:hint="eastAsia"/>
                <w:color w:val="000000"/>
              </w:rPr>
              <w:t>支付给职工以及为职工支付的现金</w:t>
            </w:r>
          </w:p>
        </w:tc>
        <w:tc>
          <w:tcPr>
            <w:tcW w:w="861" w:type="pct"/>
            <w:vAlign w:val="center"/>
          </w:tcPr>
          <w:p w14:paraId="48835049" w14:textId="77777777" w:rsidR="004B0883" w:rsidRDefault="004B0883">
            <w:pPr>
              <w:jc w:val="right"/>
              <w:rPr>
                <w:rFonts w:hint="eastAsia"/>
                <w:color w:val="000000"/>
              </w:rPr>
            </w:pPr>
            <w:r>
              <w:t>6,188.25</w:t>
            </w:r>
          </w:p>
        </w:tc>
        <w:tc>
          <w:tcPr>
            <w:tcW w:w="727" w:type="pct"/>
            <w:vAlign w:val="center"/>
          </w:tcPr>
          <w:p w14:paraId="70ABD0FD" w14:textId="77777777" w:rsidR="004B0883" w:rsidRDefault="004B0883">
            <w:pPr>
              <w:jc w:val="right"/>
              <w:rPr>
                <w:color w:val="000000"/>
              </w:rPr>
            </w:pPr>
            <w:r>
              <w:rPr>
                <w:color w:val="000000"/>
              </w:rPr>
              <w:t>7,594.96</w:t>
            </w:r>
          </w:p>
        </w:tc>
        <w:tc>
          <w:tcPr>
            <w:tcW w:w="728" w:type="pct"/>
            <w:vAlign w:val="center"/>
          </w:tcPr>
          <w:p w14:paraId="0A7D7D43" w14:textId="77777777" w:rsidR="004B0883" w:rsidRDefault="004B0883">
            <w:pPr>
              <w:jc w:val="right"/>
              <w:rPr>
                <w:color w:val="000000"/>
              </w:rPr>
            </w:pPr>
            <w:r>
              <w:rPr>
                <w:color w:val="000000"/>
              </w:rPr>
              <w:t>6,431.42</w:t>
            </w:r>
          </w:p>
        </w:tc>
        <w:tc>
          <w:tcPr>
            <w:tcW w:w="732" w:type="pct"/>
            <w:vAlign w:val="center"/>
          </w:tcPr>
          <w:p w14:paraId="0B3B36DB" w14:textId="77777777" w:rsidR="004B0883" w:rsidRDefault="004B0883">
            <w:pPr>
              <w:jc w:val="right"/>
              <w:rPr>
                <w:color w:val="000000"/>
              </w:rPr>
            </w:pPr>
            <w:r>
              <w:rPr>
                <w:color w:val="000000"/>
              </w:rPr>
              <w:t>4,976.22</w:t>
            </w:r>
          </w:p>
        </w:tc>
      </w:tr>
      <w:tr w:rsidR="004B0883" w14:paraId="2E032056" w14:textId="77777777">
        <w:trPr>
          <w:cantSplit/>
          <w:trHeight w:val="397"/>
        </w:trPr>
        <w:tc>
          <w:tcPr>
            <w:tcW w:w="1952" w:type="pct"/>
            <w:vAlign w:val="center"/>
          </w:tcPr>
          <w:p w14:paraId="0CB9D894" w14:textId="77777777" w:rsidR="004B0883" w:rsidRDefault="004B0883">
            <w:pPr>
              <w:rPr>
                <w:color w:val="000000"/>
              </w:rPr>
            </w:pPr>
            <w:r>
              <w:rPr>
                <w:rFonts w:hint="eastAsia"/>
                <w:color w:val="000000"/>
              </w:rPr>
              <w:t>支付的各项税费</w:t>
            </w:r>
          </w:p>
        </w:tc>
        <w:tc>
          <w:tcPr>
            <w:tcW w:w="861" w:type="pct"/>
            <w:vAlign w:val="center"/>
          </w:tcPr>
          <w:p w14:paraId="50B65126" w14:textId="77777777" w:rsidR="004B0883" w:rsidRDefault="004B0883">
            <w:pPr>
              <w:jc w:val="right"/>
              <w:rPr>
                <w:rFonts w:hint="eastAsia"/>
                <w:color w:val="000000"/>
              </w:rPr>
            </w:pPr>
            <w:r>
              <w:t>3,086.29</w:t>
            </w:r>
          </w:p>
        </w:tc>
        <w:tc>
          <w:tcPr>
            <w:tcW w:w="727" w:type="pct"/>
            <w:vAlign w:val="center"/>
          </w:tcPr>
          <w:p w14:paraId="7D53FF29" w14:textId="77777777" w:rsidR="004B0883" w:rsidRDefault="004B0883">
            <w:pPr>
              <w:jc w:val="right"/>
              <w:rPr>
                <w:color w:val="000000"/>
              </w:rPr>
            </w:pPr>
            <w:r>
              <w:rPr>
                <w:color w:val="000000"/>
              </w:rPr>
              <w:t>2,587.97</w:t>
            </w:r>
          </w:p>
        </w:tc>
        <w:tc>
          <w:tcPr>
            <w:tcW w:w="728" w:type="pct"/>
            <w:vAlign w:val="center"/>
          </w:tcPr>
          <w:p w14:paraId="1A70B85D" w14:textId="77777777" w:rsidR="004B0883" w:rsidRDefault="004B0883">
            <w:pPr>
              <w:jc w:val="right"/>
              <w:rPr>
                <w:color w:val="000000"/>
              </w:rPr>
            </w:pPr>
            <w:r>
              <w:rPr>
                <w:color w:val="000000"/>
              </w:rPr>
              <w:t>1,190.13</w:t>
            </w:r>
          </w:p>
        </w:tc>
        <w:tc>
          <w:tcPr>
            <w:tcW w:w="732" w:type="pct"/>
            <w:vAlign w:val="center"/>
          </w:tcPr>
          <w:p w14:paraId="715D93FC" w14:textId="77777777" w:rsidR="004B0883" w:rsidRDefault="004B0883">
            <w:pPr>
              <w:jc w:val="right"/>
              <w:rPr>
                <w:color w:val="000000"/>
              </w:rPr>
            </w:pPr>
            <w:r>
              <w:rPr>
                <w:color w:val="000000"/>
              </w:rPr>
              <w:t>1,655.92</w:t>
            </w:r>
          </w:p>
        </w:tc>
      </w:tr>
      <w:tr w:rsidR="004B0883" w14:paraId="1E59DF87" w14:textId="77777777">
        <w:trPr>
          <w:cantSplit/>
          <w:trHeight w:val="397"/>
        </w:trPr>
        <w:tc>
          <w:tcPr>
            <w:tcW w:w="1952" w:type="pct"/>
            <w:vAlign w:val="center"/>
          </w:tcPr>
          <w:p w14:paraId="48FC4B66" w14:textId="77777777" w:rsidR="004B0883" w:rsidRDefault="004B0883">
            <w:pPr>
              <w:rPr>
                <w:color w:val="000000"/>
              </w:rPr>
            </w:pPr>
            <w:r>
              <w:rPr>
                <w:rFonts w:hint="eastAsia"/>
                <w:color w:val="000000"/>
              </w:rPr>
              <w:t>支付其他与经营活动有关的现金</w:t>
            </w:r>
          </w:p>
        </w:tc>
        <w:tc>
          <w:tcPr>
            <w:tcW w:w="861" w:type="pct"/>
            <w:vAlign w:val="center"/>
          </w:tcPr>
          <w:p w14:paraId="11E55ED3" w14:textId="77777777" w:rsidR="004B0883" w:rsidRDefault="004B0883">
            <w:pPr>
              <w:jc w:val="right"/>
              <w:rPr>
                <w:rFonts w:hint="eastAsia"/>
                <w:color w:val="000000"/>
              </w:rPr>
            </w:pPr>
            <w:r>
              <w:t>2,540.08</w:t>
            </w:r>
          </w:p>
        </w:tc>
        <w:tc>
          <w:tcPr>
            <w:tcW w:w="727" w:type="pct"/>
            <w:vAlign w:val="center"/>
          </w:tcPr>
          <w:p w14:paraId="2773852B" w14:textId="77777777" w:rsidR="004B0883" w:rsidRDefault="004B0883">
            <w:pPr>
              <w:jc w:val="right"/>
              <w:rPr>
                <w:color w:val="000000"/>
              </w:rPr>
            </w:pPr>
            <w:r>
              <w:rPr>
                <w:color w:val="000000"/>
              </w:rPr>
              <w:t>3,587.73</w:t>
            </w:r>
          </w:p>
        </w:tc>
        <w:tc>
          <w:tcPr>
            <w:tcW w:w="728" w:type="pct"/>
            <w:vAlign w:val="center"/>
          </w:tcPr>
          <w:p w14:paraId="15C88529" w14:textId="77777777" w:rsidR="004B0883" w:rsidRDefault="004B0883">
            <w:pPr>
              <w:jc w:val="right"/>
              <w:rPr>
                <w:color w:val="000000"/>
              </w:rPr>
            </w:pPr>
            <w:r>
              <w:rPr>
                <w:color w:val="000000"/>
              </w:rPr>
              <w:t>3,158.67</w:t>
            </w:r>
          </w:p>
        </w:tc>
        <w:tc>
          <w:tcPr>
            <w:tcW w:w="732" w:type="pct"/>
            <w:vAlign w:val="center"/>
          </w:tcPr>
          <w:p w14:paraId="48A934C2" w14:textId="77777777" w:rsidR="004B0883" w:rsidRDefault="004B0883">
            <w:pPr>
              <w:jc w:val="right"/>
              <w:rPr>
                <w:color w:val="000000"/>
              </w:rPr>
            </w:pPr>
            <w:r>
              <w:rPr>
                <w:color w:val="000000"/>
              </w:rPr>
              <w:t>3,247.14</w:t>
            </w:r>
          </w:p>
        </w:tc>
      </w:tr>
      <w:tr w:rsidR="004B0883" w14:paraId="69A9F966" w14:textId="77777777">
        <w:trPr>
          <w:cantSplit/>
          <w:trHeight w:val="397"/>
        </w:trPr>
        <w:tc>
          <w:tcPr>
            <w:tcW w:w="1952" w:type="pct"/>
            <w:vAlign w:val="center"/>
          </w:tcPr>
          <w:p w14:paraId="78E10AD7" w14:textId="77777777" w:rsidR="004B0883" w:rsidRDefault="004B0883">
            <w:pPr>
              <w:rPr>
                <w:b/>
                <w:bCs/>
                <w:color w:val="000000"/>
              </w:rPr>
            </w:pPr>
            <w:r>
              <w:rPr>
                <w:rFonts w:hint="eastAsia"/>
                <w:b/>
                <w:bCs/>
                <w:color w:val="000000"/>
              </w:rPr>
              <w:t>经营活动现金流出小计</w:t>
            </w:r>
          </w:p>
        </w:tc>
        <w:tc>
          <w:tcPr>
            <w:tcW w:w="861" w:type="pct"/>
            <w:vAlign w:val="center"/>
          </w:tcPr>
          <w:p w14:paraId="6C69E146" w14:textId="77777777" w:rsidR="004B0883" w:rsidRDefault="004B0883">
            <w:pPr>
              <w:jc w:val="right"/>
              <w:rPr>
                <w:rFonts w:hint="eastAsia"/>
                <w:b/>
                <w:bCs/>
                <w:color w:val="000000"/>
              </w:rPr>
            </w:pPr>
            <w:r>
              <w:rPr>
                <w:b/>
                <w:bCs/>
              </w:rPr>
              <w:t>32,987.45</w:t>
            </w:r>
          </w:p>
        </w:tc>
        <w:tc>
          <w:tcPr>
            <w:tcW w:w="727" w:type="pct"/>
            <w:vAlign w:val="center"/>
          </w:tcPr>
          <w:p w14:paraId="34F42E58" w14:textId="77777777" w:rsidR="004B0883" w:rsidRDefault="004B0883">
            <w:pPr>
              <w:jc w:val="right"/>
              <w:rPr>
                <w:b/>
                <w:bCs/>
                <w:color w:val="000000"/>
              </w:rPr>
            </w:pPr>
            <w:r>
              <w:rPr>
                <w:b/>
                <w:bCs/>
                <w:color w:val="000000"/>
              </w:rPr>
              <w:t>40,621.13</w:t>
            </w:r>
          </w:p>
        </w:tc>
        <w:tc>
          <w:tcPr>
            <w:tcW w:w="728" w:type="pct"/>
            <w:vAlign w:val="center"/>
          </w:tcPr>
          <w:p w14:paraId="16A2BFD0" w14:textId="77777777" w:rsidR="004B0883" w:rsidRDefault="004B0883">
            <w:pPr>
              <w:jc w:val="right"/>
              <w:rPr>
                <w:b/>
                <w:bCs/>
                <w:color w:val="000000"/>
              </w:rPr>
            </w:pPr>
            <w:r>
              <w:rPr>
                <w:b/>
                <w:bCs/>
                <w:color w:val="000000"/>
              </w:rPr>
              <w:t>40,960.78</w:t>
            </w:r>
          </w:p>
        </w:tc>
        <w:tc>
          <w:tcPr>
            <w:tcW w:w="732" w:type="pct"/>
            <w:vAlign w:val="center"/>
          </w:tcPr>
          <w:p w14:paraId="7CA539DE" w14:textId="77777777" w:rsidR="004B0883" w:rsidRDefault="004B0883">
            <w:pPr>
              <w:jc w:val="right"/>
              <w:rPr>
                <w:b/>
                <w:bCs/>
                <w:color w:val="000000"/>
              </w:rPr>
            </w:pPr>
            <w:r>
              <w:rPr>
                <w:b/>
                <w:bCs/>
                <w:color w:val="000000"/>
              </w:rPr>
              <w:t>31,413.00</w:t>
            </w:r>
          </w:p>
        </w:tc>
      </w:tr>
      <w:tr w:rsidR="004B0883" w14:paraId="04995085" w14:textId="77777777">
        <w:trPr>
          <w:cantSplit/>
          <w:trHeight w:val="397"/>
        </w:trPr>
        <w:tc>
          <w:tcPr>
            <w:tcW w:w="1952" w:type="pct"/>
            <w:vAlign w:val="center"/>
          </w:tcPr>
          <w:p w14:paraId="38D1B2B8" w14:textId="77777777" w:rsidR="004B0883" w:rsidRDefault="004B0883">
            <w:pPr>
              <w:rPr>
                <w:b/>
                <w:bCs/>
                <w:color w:val="000000"/>
              </w:rPr>
            </w:pPr>
            <w:r>
              <w:rPr>
                <w:rFonts w:hint="eastAsia"/>
                <w:b/>
                <w:bCs/>
                <w:color w:val="000000"/>
              </w:rPr>
              <w:t>经营活动产生的现金流量净额</w:t>
            </w:r>
          </w:p>
        </w:tc>
        <w:tc>
          <w:tcPr>
            <w:tcW w:w="861" w:type="pct"/>
            <w:vAlign w:val="center"/>
          </w:tcPr>
          <w:p w14:paraId="5FC20F90" w14:textId="77777777" w:rsidR="004B0883" w:rsidRDefault="004B0883">
            <w:pPr>
              <w:jc w:val="right"/>
              <w:rPr>
                <w:rFonts w:hint="eastAsia"/>
                <w:b/>
                <w:bCs/>
                <w:color w:val="000000"/>
              </w:rPr>
            </w:pPr>
            <w:r>
              <w:rPr>
                <w:b/>
                <w:bCs/>
              </w:rPr>
              <w:t>9,962.43</w:t>
            </w:r>
          </w:p>
        </w:tc>
        <w:tc>
          <w:tcPr>
            <w:tcW w:w="727" w:type="pct"/>
            <w:vAlign w:val="center"/>
          </w:tcPr>
          <w:p w14:paraId="32DBF588" w14:textId="77777777" w:rsidR="004B0883" w:rsidRDefault="004B0883">
            <w:pPr>
              <w:jc w:val="right"/>
              <w:rPr>
                <w:b/>
                <w:bCs/>
                <w:color w:val="000000"/>
              </w:rPr>
            </w:pPr>
            <w:r>
              <w:rPr>
                <w:b/>
                <w:bCs/>
                <w:color w:val="000000"/>
              </w:rPr>
              <w:t>13,470.79</w:t>
            </w:r>
          </w:p>
        </w:tc>
        <w:tc>
          <w:tcPr>
            <w:tcW w:w="728" w:type="pct"/>
            <w:vAlign w:val="center"/>
          </w:tcPr>
          <w:p w14:paraId="3B6743AA" w14:textId="77777777" w:rsidR="004B0883" w:rsidRDefault="004B0883">
            <w:pPr>
              <w:jc w:val="right"/>
              <w:rPr>
                <w:b/>
                <w:bCs/>
                <w:color w:val="000000"/>
              </w:rPr>
            </w:pPr>
            <w:r>
              <w:rPr>
                <w:b/>
                <w:bCs/>
                <w:color w:val="000000"/>
              </w:rPr>
              <w:t>1,138.73</w:t>
            </w:r>
          </w:p>
        </w:tc>
        <w:tc>
          <w:tcPr>
            <w:tcW w:w="732" w:type="pct"/>
            <w:vAlign w:val="center"/>
          </w:tcPr>
          <w:p w14:paraId="039BA1C2" w14:textId="77777777" w:rsidR="004B0883" w:rsidRDefault="004B0883">
            <w:pPr>
              <w:jc w:val="right"/>
              <w:rPr>
                <w:b/>
                <w:bCs/>
                <w:color w:val="000000"/>
              </w:rPr>
            </w:pPr>
            <w:r>
              <w:rPr>
                <w:b/>
                <w:bCs/>
                <w:color w:val="000000"/>
              </w:rPr>
              <w:t>8,994.61</w:t>
            </w:r>
          </w:p>
        </w:tc>
      </w:tr>
    </w:tbl>
    <w:p w14:paraId="08B2A4E8" w14:textId="77777777" w:rsidR="004B0883" w:rsidRDefault="004B0883">
      <w:pPr>
        <w:pStyle w:val="005"/>
        <w:spacing w:before="120"/>
        <w:ind w:firstLine="480"/>
        <w:rPr>
          <w:szCs w:val="24"/>
        </w:rPr>
      </w:pPr>
      <w:r>
        <w:rPr>
          <w:rFonts w:hint="eastAsia"/>
          <w:szCs w:val="24"/>
        </w:rPr>
        <w:t>报告期内，公司经营活动产生的现金流量净额分别为</w:t>
      </w:r>
      <w:r>
        <w:rPr>
          <w:szCs w:val="24"/>
        </w:rPr>
        <w:t>8,994.61</w:t>
      </w:r>
      <w:r>
        <w:rPr>
          <w:rFonts w:hint="eastAsia"/>
          <w:szCs w:val="24"/>
        </w:rPr>
        <w:t>万元、</w:t>
      </w:r>
      <w:r>
        <w:rPr>
          <w:szCs w:val="24"/>
        </w:rPr>
        <w:t>1,138.73</w:t>
      </w:r>
      <w:r>
        <w:rPr>
          <w:rFonts w:hint="eastAsia"/>
          <w:szCs w:val="24"/>
        </w:rPr>
        <w:t>万元、</w:t>
      </w:r>
      <w:r>
        <w:rPr>
          <w:szCs w:val="24"/>
        </w:rPr>
        <w:t>13,470.79</w:t>
      </w:r>
      <w:r>
        <w:rPr>
          <w:rFonts w:hint="eastAsia"/>
          <w:szCs w:val="24"/>
        </w:rPr>
        <w:t>万元和</w:t>
      </w:r>
      <w:r>
        <w:rPr>
          <w:szCs w:val="24"/>
        </w:rPr>
        <w:t>9,962.43</w:t>
      </w:r>
      <w:r>
        <w:rPr>
          <w:rFonts w:hint="eastAsia"/>
          <w:szCs w:val="24"/>
        </w:rPr>
        <w:t>万元。</w:t>
      </w:r>
    </w:p>
    <w:p w14:paraId="486D20A9" w14:textId="77777777" w:rsidR="004B0883" w:rsidRDefault="004B0883">
      <w:pPr>
        <w:pStyle w:val="005"/>
        <w:spacing w:before="120"/>
        <w:ind w:firstLine="480"/>
        <w:rPr>
          <w:rFonts w:hint="eastAsia"/>
        </w:rPr>
      </w:pPr>
      <w:r>
        <w:rPr>
          <w:rFonts w:hint="eastAsia"/>
          <w:szCs w:val="24"/>
        </w:rPr>
        <w:t>2021</w:t>
      </w:r>
      <w:r>
        <w:rPr>
          <w:rFonts w:hint="eastAsia"/>
          <w:szCs w:val="24"/>
        </w:rPr>
        <w:t>年度，公司经营活动现金流量净额同比大幅下降，经营活动现金流入方面，公司</w:t>
      </w:r>
      <w:r>
        <w:rPr>
          <w:rFonts w:hint="eastAsia"/>
          <w:szCs w:val="24"/>
        </w:rPr>
        <w:t>2021</w:t>
      </w:r>
      <w:r>
        <w:rPr>
          <w:rFonts w:hint="eastAsia"/>
          <w:szCs w:val="24"/>
        </w:rPr>
        <w:t>年度营业收入同比有所增加，但</w:t>
      </w:r>
      <w:r>
        <w:rPr>
          <w:rFonts w:hint="eastAsia"/>
          <w:szCs w:val="24"/>
        </w:rPr>
        <w:t>2021</w:t>
      </w:r>
      <w:r>
        <w:rPr>
          <w:rFonts w:hint="eastAsia"/>
          <w:szCs w:val="24"/>
        </w:rPr>
        <w:t>年末应收账款较上期末增加</w:t>
      </w:r>
      <w:r>
        <w:rPr>
          <w:rFonts w:hint="eastAsia"/>
          <w:szCs w:val="24"/>
        </w:rPr>
        <w:t>2,101.06</w:t>
      </w:r>
      <w:r>
        <w:rPr>
          <w:rFonts w:hint="eastAsia"/>
          <w:szCs w:val="24"/>
        </w:rPr>
        <w:t>万元，导致经营活动现金流入增加幅度较小；经营活动现金流出方面，受原材料价格上涨、期末加大原材料采购量等因素的影响，</w:t>
      </w:r>
      <w:r>
        <w:rPr>
          <w:rFonts w:hint="eastAsia"/>
          <w:szCs w:val="24"/>
        </w:rPr>
        <w:t>2021</w:t>
      </w:r>
      <w:r>
        <w:rPr>
          <w:rFonts w:hint="eastAsia"/>
          <w:szCs w:val="24"/>
        </w:rPr>
        <w:t>年度采购原材料付现增加。</w:t>
      </w:r>
      <w:r>
        <w:rPr>
          <w:rFonts w:hint="eastAsia"/>
          <w:szCs w:val="24"/>
        </w:rPr>
        <w:t>2</w:t>
      </w:r>
      <w:r>
        <w:rPr>
          <w:szCs w:val="24"/>
        </w:rPr>
        <w:t>023</w:t>
      </w:r>
      <w:r>
        <w:rPr>
          <w:rFonts w:hint="eastAsia"/>
          <w:szCs w:val="24"/>
        </w:rPr>
        <w:t>年</w:t>
      </w:r>
      <w:r>
        <w:rPr>
          <w:rFonts w:hint="eastAsia"/>
          <w:szCs w:val="24"/>
        </w:rPr>
        <w:t>1</w:t>
      </w:r>
      <w:r>
        <w:rPr>
          <w:szCs w:val="24"/>
        </w:rPr>
        <w:t>-</w:t>
      </w:r>
      <w:r>
        <w:rPr>
          <w:rFonts w:hint="eastAsia"/>
          <w:szCs w:val="24"/>
        </w:rPr>
        <w:t>9</w:t>
      </w:r>
      <w:r>
        <w:rPr>
          <w:rFonts w:hint="eastAsia"/>
          <w:szCs w:val="24"/>
        </w:rPr>
        <w:t>月，经营活动现金流量净额出现下滑，主要系当期支付</w:t>
      </w:r>
      <w:r>
        <w:rPr>
          <w:rFonts w:hint="eastAsia"/>
          <w:szCs w:val="24"/>
        </w:rPr>
        <w:t>2</w:t>
      </w:r>
      <w:r>
        <w:rPr>
          <w:szCs w:val="24"/>
        </w:rPr>
        <w:t>022</w:t>
      </w:r>
      <w:r>
        <w:rPr>
          <w:rFonts w:hint="eastAsia"/>
          <w:szCs w:val="24"/>
        </w:rPr>
        <w:t>年末的应付账款及应交税费较多。</w:t>
      </w:r>
    </w:p>
    <w:p w14:paraId="1D8ADF12" w14:textId="77777777" w:rsidR="004B0883" w:rsidRDefault="004B0883">
      <w:pPr>
        <w:pStyle w:val="003"/>
        <w:spacing w:before="120" w:after="120"/>
        <w:rPr>
          <w:rFonts w:hint="eastAsia"/>
        </w:rPr>
      </w:pPr>
      <w:r>
        <w:rPr>
          <w:rFonts w:hint="eastAsia"/>
        </w:rPr>
        <w:t>（二）投资活动产生的现金流量</w:t>
      </w:r>
    </w:p>
    <w:p w14:paraId="739C69B0" w14:textId="77777777" w:rsidR="004B0883" w:rsidRDefault="004B0883">
      <w:pPr>
        <w:pStyle w:val="005"/>
        <w:spacing w:before="120"/>
        <w:ind w:firstLine="480"/>
        <w:rPr>
          <w:rFonts w:hint="eastAsia"/>
        </w:rPr>
      </w:pPr>
      <w:r>
        <w:rPr>
          <w:rFonts w:hint="eastAsia"/>
        </w:rPr>
        <w:t>报告期内，公司投资活动现金流情况如下：</w:t>
      </w:r>
    </w:p>
    <w:p w14:paraId="528F6EF6" w14:textId="77777777" w:rsidR="004B0883" w:rsidRDefault="004B0883">
      <w:pPr>
        <w:pStyle w:val="009"/>
        <w:rPr>
          <w:rFonts w:hint="eastAsia"/>
          <w:kern w:val="0"/>
        </w:rPr>
      </w:pPr>
      <w:r>
        <w:rPr>
          <w:rFonts w:hint="eastAsia"/>
          <w:kern w:val="0"/>
        </w:rPr>
        <w:t>单位：万元</w:t>
      </w:r>
    </w:p>
    <w:tbl>
      <w:tblPr>
        <w:tblW w:w="5000" w:type="pct"/>
        <w:tblInd w:w="0" w:type="dxa"/>
        <w:tblBorders>
          <w:top w:val="single" w:sz="12" w:space="0" w:color="010000"/>
          <w:left w:val="single" w:sz="12" w:space="0" w:color="010000"/>
          <w:bottom w:val="single" w:sz="12" w:space="0" w:color="010000"/>
          <w:right w:val="single" w:sz="12" w:space="0" w:color="010000"/>
          <w:insideH w:val="single" w:sz="4" w:space="0" w:color="010000"/>
          <w:insideV w:val="single" w:sz="4" w:space="0" w:color="010000"/>
        </w:tblBorders>
        <w:tblLayout w:type="fixed"/>
        <w:tblLook w:val="0000" w:firstRow="0" w:lastRow="0" w:firstColumn="0" w:lastColumn="0" w:noHBand="0" w:noVBand="0"/>
      </w:tblPr>
      <w:tblGrid>
        <w:gridCol w:w="3318"/>
        <w:gridCol w:w="1241"/>
        <w:gridCol w:w="1241"/>
        <w:gridCol w:w="1240"/>
        <w:gridCol w:w="1240"/>
      </w:tblGrid>
      <w:tr w:rsidR="004B0883" w14:paraId="2C205DF3" w14:textId="77777777">
        <w:trPr>
          <w:cantSplit/>
          <w:trHeight w:val="397"/>
          <w:tblHeader/>
        </w:trPr>
        <w:tc>
          <w:tcPr>
            <w:tcW w:w="2003" w:type="pct"/>
            <w:tcBorders>
              <w:top w:val="single" w:sz="12" w:space="0" w:color="010000"/>
              <w:bottom w:val="single" w:sz="4" w:space="0" w:color="010000"/>
            </w:tcBorders>
            <w:shd w:val="clear" w:color="auto" w:fill="D9D9D9"/>
            <w:vAlign w:val="center"/>
          </w:tcPr>
          <w:p w14:paraId="63A0AE1A" w14:textId="77777777" w:rsidR="004B0883" w:rsidRDefault="004B0883">
            <w:pPr>
              <w:jc w:val="center"/>
              <w:rPr>
                <w:b/>
                <w:color w:val="000000"/>
              </w:rPr>
            </w:pPr>
            <w:r>
              <w:rPr>
                <w:rFonts w:hint="eastAsia"/>
                <w:b/>
                <w:color w:val="000000"/>
              </w:rPr>
              <w:t>项目</w:t>
            </w:r>
          </w:p>
        </w:tc>
        <w:tc>
          <w:tcPr>
            <w:tcW w:w="749" w:type="pct"/>
            <w:tcBorders>
              <w:top w:val="single" w:sz="12" w:space="0" w:color="010000"/>
              <w:bottom w:val="single" w:sz="4" w:space="0" w:color="010000"/>
            </w:tcBorders>
            <w:shd w:val="clear" w:color="auto" w:fill="D9D9D9"/>
            <w:vAlign w:val="center"/>
          </w:tcPr>
          <w:p w14:paraId="26441A60" w14:textId="77777777" w:rsidR="004B0883" w:rsidRDefault="004B0883">
            <w:pPr>
              <w:jc w:val="center"/>
              <w:rPr>
                <w:rFonts w:hint="eastAsia"/>
                <w:b/>
                <w:color w:val="000000"/>
              </w:rPr>
            </w:pPr>
            <w:r>
              <w:rPr>
                <w:b/>
                <w:color w:val="000000"/>
              </w:rPr>
              <w:t>2023</w:t>
            </w:r>
            <w:r>
              <w:rPr>
                <w:rFonts w:hint="eastAsia"/>
                <w:b/>
                <w:color w:val="000000"/>
              </w:rPr>
              <w:t>年</w:t>
            </w:r>
            <w:r>
              <w:rPr>
                <w:b/>
                <w:color w:val="000000"/>
              </w:rPr>
              <w:t>1-</w:t>
            </w:r>
            <w:r>
              <w:rPr>
                <w:rFonts w:hint="eastAsia"/>
                <w:b/>
                <w:color w:val="000000"/>
              </w:rPr>
              <w:t>9</w:t>
            </w:r>
            <w:r>
              <w:rPr>
                <w:rFonts w:hint="eastAsia"/>
                <w:b/>
                <w:color w:val="000000"/>
              </w:rPr>
              <w:t>月</w:t>
            </w:r>
          </w:p>
        </w:tc>
        <w:tc>
          <w:tcPr>
            <w:tcW w:w="749" w:type="pct"/>
            <w:tcBorders>
              <w:top w:val="single" w:sz="12" w:space="0" w:color="010000"/>
              <w:bottom w:val="single" w:sz="4" w:space="0" w:color="010000"/>
            </w:tcBorders>
            <w:shd w:val="clear" w:color="auto" w:fill="D9D9D9"/>
            <w:vAlign w:val="center"/>
          </w:tcPr>
          <w:p w14:paraId="1DB4A32D" w14:textId="77777777" w:rsidR="004B0883" w:rsidRDefault="004B0883">
            <w:pPr>
              <w:jc w:val="center"/>
              <w:rPr>
                <w:b/>
                <w:color w:val="000000"/>
              </w:rPr>
            </w:pPr>
            <w:r>
              <w:rPr>
                <w:b/>
                <w:color w:val="000000"/>
              </w:rPr>
              <w:t>2022</w:t>
            </w:r>
            <w:r>
              <w:rPr>
                <w:b/>
                <w:color w:val="000000"/>
              </w:rPr>
              <w:t>年度</w:t>
            </w:r>
          </w:p>
        </w:tc>
        <w:tc>
          <w:tcPr>
            <w:tcW w:w="749" w:type="pct"/>
            <w:tcBorders>
              <w:top w:val="single" w:sz="12" w:space="0" w:color="010000"/>
              <w:bottom w:val="single" w:sz="4" w:space="0" w:color="010000"/>
            </w:tcBorders>
            <w:shd w:val="clear" w:color="auto" w:fill="D9D9D9"/>
            <w:vAlign w:val="center"/>
          </w:tcPr>
          <w:p w14:paraId="35E4C812" w14:textId="77777777" w:rsidR="004B0883" w:rsidRDefault="004B0883">
            <w:pPr>
              <w:jc w:val="center"/>
              <w:rPr>
                <w:b/>
                <w:color w:val="000000"/>
              </w:rPr>
            </w:pPr>
            <w:r>
              <w:rPr>
                <w:b/>
                <w:color w:val="000000"/>
              </w:rPr>
              <w:t>2021</w:t>
            </w:r>
            <w:r>
              <w:rPr>
                <w:b/>
                <w:color w:val="000000"/>
              </w:rPr>
              <w:t>年度</w:t>
            </w:r>
          </w:p>
        </w:tc>
        <w:tc>
          <w:tcPr>
            <w:tcW w:w="749" w:type="pct"/>
            <w:tcBorders>
              <w:top w:val="single" w:sz="12" w:space="0" w:color="010000"/>
              <w:bottom w:val="single" w:sz="4" w:space="0" w:color="010000"/>
            </w:tcBorders>
            <w:shd w:val="clear" w:color="auto" w:fill="D9D9D9"/>
            <w:vAlign w:val="center"/>
          </w:tcPr>
          <w:p w14:paraId="24DC2266" w14:textId="77777777" w:rsidR="004B0883" w:rsidRDefault="004B0883">
            <w:pPr>
              <w:jc w:val="center"/>
              <w:rPr>
                <w:b/>
                <w:color w:val="000000"/>
              </w:rPr>
            </w:pPr>
            <w:r>
              <w:rPr>
                <w:b/>
                <w:color w:val="000000"/>
              </w:rPr>
              <w:t>2020</w:t>
            </w:r>
            <w:r>
              <w:rPr>
                <w:b/>
                <w:color w:val="000000"/>
              </w:rPr>
              <w:t>年度</w:t>
            </w:r>
          </w:p>
        </w:tc>
      </w:tr>
      <w:tr w:rsidR="004B0883" w14:paraId="2EFE0A90" w14:textId="77777777">
        <w:trPr>
          <w:cantSplit/>
          <w:trHeight w:val="397"/>
        </w:trPr>
        <w:tc>
          <w:tcPr>
            <w:tcW w:w="2003" w:type="pct"/>
            <w:tcBorders>
              <w:top w:val="single" w:sz="4" w:space="0" w:color="010000"/>
            </w:tcBorders>
            <w:vAlign w:val="center"/>
          </w:tcPr>
          <w:p w14:paraId="70C10446" w14:textId="77777777" w:rsidR="004B0883" w:rsidRDefault="004B0883">
            <w:pPr>
              <w:rPr>
                <w:color w:val="000000"/>
              </w:rPr>
            </w:pPr>
            <w:r>
              <w:rPr>
                <w:rFonts w:hint="eastAsia"/>
                <w:color w:val="000000"/>
              </w:rPr>
              <w:t>收回投资收到的现金</w:t>
            </w:r>
          </w:p>
        </w:tc>
        <w:tc>
          <w:tcPr>
            <w:tcW w:w="749" w:type="pct"/>
            <w:tcBorders>
              <w:top w:val="single" w:sz="4" w:space="0" w:color="010000"/>
            </w:tcBorders>
            <w:vAlign w:val="center"/>
          </w:tcPr>
          <w:p w14:paraId="37CDD8D5" w14:textId="77777777" w:rsidR="004B0883" w:rsidRDefault="004B0883">
            <w:pPr>
              <w:jc w:val="right"/>
              <w:rPr>
                <w:rFonts w:hint="eastAsia"/>
                <w:color w:val="000000"/>
              </w:rPr>
            </w:pPr>
            <w:r>
              <w:t>36,948.34</w:t>
            </w:r>
          </w:p>
        </w:tc>
        <w:tc>
          <w:tcPr>
            <w:tcW w:w="749" w:type="pct"/>
            <w:tcBorders>
              <w:top w:val="single" w:sz="4" w:space="0" w:color="010000"/>
            </w:tcBorders>
            <w:vAlign w:val="center"/>
          </w:tcPr>
          <w:p w14:paraId="6F043054" w14:textId="77777777" w:rsidR="004B0883" w:rsidRDefault="004B0883">
            <w:pPr>
              <w:jc w:val="right"/>
              <w:rPr>
                <w:color w:val="000000"/>
              </w:rPr>
            </w:pPr>
            <w:r>
              <w:rPr>
                <w:color w:val="000000"/>
              </w:rPr>
              <w:t>35,160.00</w:t>
            </w:r>
          </w:p>
        </w:tc>
        <w:tc>
          <w:tcPr>
            <w:tcW w:w="749" w:type="pct"/>
            <w:tcBorders>
              <w:top w:val="single" w:sz="4" w:space="0" w:color="010000"/>
            </w:tcBorders>
            <w:vAlign w:val="center"/>
          </w:tcPr>
          <w:p w14:paraId="0EBEF543" w14:textId="77777777" w:rsidR="004B0883" w:rsidRDefault="004B0883">
            <w:pPr>
              <w:jc w:val="right"/>
              <w:rPr>
                <w:color w:val="000000"/>
              </w:rPr>
            </w:pPr>
            <w:r>
              <w:rPr>
                <w:color w:val="000000"/>
              </w:rPr>
              <w:t>44,587.45</w:t>
            </w:r>
          </w:p>
        </w:tc>
        <w:tc>
          <w:tcPr>
            <w:tcW w:w="749" w:type="pct"/>
            <w:tcBorders>
              <w:top w:val="single" w:sz="4" w:space="0" w:color="010000"/>
            </w:tcBorders>
            <w:vAlign w:val="center"/>
          </w:tcPr>
          <w:p w14:paraId="4ED3D0CC" w14:textId="77777777" w:rsidR="004B0883" w:rsidRDefault="004B0883">
            <w:pPr>
              <w:jc w:val="right"/>
              <w:rPr>
                <w:color w:val="000000"/>
              </w:rPr>
            </w:pPr>
            <w:r>
              <w:rPr>
                <w:color w:val="000000"/>
              </w:rPr>
              <w:t>73,000.00</w:t>
            </w:r>
          </w:p>
        </w:tc>
      </w:tr>
      <w:tr w:rsidR="004B0883" w14:paraId="57A9DB22" w14:textId="77777777">
        <w:trPr>
          <w:cantSplit/>
          <w:trHeight w:val="397"/>
        </w:trPr>
        <w:tc>
          <w:tcPr>
            <w:tcW w:w="2003" w:type="pct"/>
            <w:vAlign w:val="center"/>
          </w:tcPr>
          <w:p w14:paraId="62E7F1BB" w14:textId="77777777" w:rsidR="004B0883" w:rsidRDefault="004B0883">
            <w:pPr>
              <w:rPr>
                <w:color w:val="000000"/>
              </w:rPr>
            </w:pPr>
            <w:r>
              <w:rPr>
                <w:rFonts w:hint="eastAsia"/>
                <w:color w:val="000000"/>
              </w:rPr>
              <w:t>取得投资收益收到的现金</w:t>
            </w:r>
          </w:p>
        </w:tc>
        <w:tc>
          <w:tcPr>
            <w:tcW w:w="749" w:type="pct"/>
            <w:vAlign w:val="center"/>
          </w:tcPr>
          <w:p w14:paraId="77316E58" w14:textId="77777777" w:rsidR="004B0883" w:rsidRDefault="004B0883">
            <w:pPr>
              <w:jc w:val="right"/>
              <w:rPr>
                <w:rFonts w:hint="eastAsia"/>
                <w:color w:val="000000"/>
              </w:rPr>
            </w:pPr>
            <w:r>
              <w:t>392.75</w:t>
            </w:r>
          </w:p>
        </w:tc>
        <w:tc>
          <w:tcPr>
            <w:tcW w:w="749" w:type="pct"/>
            <w:vAlign w:val="center"/>
          </w:tcPr>
          <w:p w14:paraId="3E6316E3" w14:textId="77777777" w:rsidR="004B0883" w:rsidRDefault="004B0883">
            <w:pPr>
              <w:jc w:val="right"/>
              <w:rPr>
                <w:color w:val="000000"/>
              </w:rPr>
            </w:pPr>
            <w:r>
              <w:rPr>
                <w:color w:val="000000"/>
              </w:rPr>
              <w:t>800.55</w:t>
            </w:r>
          </w:p>
        </w:tc>
        <w:tc>
          <w:tcPr>
            <w:tcW w:w="749" w:type="pct"/>
            <w:vAlign w:val="center"/>
          </w:tcPr>
          <w:p w14:paraId="7A71D21C" w14:textId="77777777" w:rsidR="004B0883" w:rsidRDefault="004B0883">
            <w:pPr>
              <w:jc w:val="right"/>
              <w:rPr>
                <w:color w:val="000000"/>
              </w:rPr>
            </w:pPr>
            <w:r>
              <w:rPr>
                <w:color w:val="000000"/>
              </w:rPr>
              <w:t>1,556.05</w:t>
            </w:r>
          </w:p>
        </w:tc>
        <w:tc>
          <w:tcPr>
            <w:tcW w:w="749" w:type="pct"/>
            <w:vAlign w:val="center"/>
          </w:tcPr>
          <w:p w14:paraId="7B967F98" w14:textId="77777777" w:rsidR="004B0883" w:rsidRDefault="004B0883">
            <w:pPr>
              <w:jc w:val="right"/>
              <w:rPr>
                <w:color w:val="000000"/>
              </w:rPr>
            </w:pPr>
            <w:r>
              <w:rPr>
                <w:color w:val="000000"/>
              </w:rPr>
              <w:t>914.98</w:t>
            </w:r>
          </w:p>
        </w:tc>
      </w:tr>
      <w:tr w:rsidR="004B0883" w14:paraId="57DBD043" w14:textId="77777777">
        <w:trPr>
          <w:cantSplit/>
          <w:trHeight w:val="397"/>
        </w:trPr>
        <w:tc>
          <w:tcPr>
            <w:tcW w:w="2003" w:type="pct"/>
            <w:vAlign w:val="center"/>
          </w:tcPr>
          <w:p w14:paraId="2A489D5E" w14:textId="77777777" w:rsidR="004B0883" w:rsidRDefault="004B0883">
            <w:pPr>
              <w:rPr>
                <w:color w:val="000000"/>
              </w:rPr>
            </w:pPr>
            <w:r>
              <w:rPr>
                <w:rFonts w:hint="eastAsia"/>
                <w:color w:val="000000"/>
              </w:rPr>
              <w:t>处置固定资产、无形资产和其他长期资产收回的现金净额</w:t>
            </w:r>
          </w:p>
        </w:tc>
        <w:tc>
          <w:tcPr>
            <w:tcW w:w="749" w:type="pct"/>
            <w:vAlign w:val="center"/>
          </w:tcPr>
          <w:p w14:paraId="3EC9D5D9" w14:textId="77777777" w:rsidR="004B0883" w:rsidRDefault="004B0883">
            <w:pPr>
              <w:jc w:val="right"/>
              <w:rPr>
                <w:rFonts w:hint="eastAsia"/>
                <w:color w:val="000000"/>
              </w:rPr>
            </w:pPr>
            <w:r>
              <w:t>50.50</w:t>
            </w:r>
          </w:p>
        </w:tc>
        <w:tc>
          <w:tcPr>
            <w:tcW w:w="749" w:type="pct"/>
            <w:vAlign w:val="center"/>
          </w:tcPr>
          <w:p w14:paraId="601DB03C" w14:textId="77777777" w:rsidR="004B0883" w:rsidRDefault="004B0883">
            <w:pPr>
              <w:jc w:val="right"/>
              <w:rPr>
                <w:color w:val="000000"/>
              </w:rPr>
            </w:pPr>
            <w:r>
              <w:rPr>
                <w:color w:val="000000"/>
              </w:rPr>
              <w:t>259.07</w:t>
            </w:r>
          </w:p>
        </w:tc>
        <w:tc>
          <w:tcPr>
            <w:tcW w:w="749" w:type="pct"/>
            <w:vAlign w:val="center"/>
          </w:tcPr>
          <w:p w14:paraId="6DFED5CB" w14:textId="77777777" w:rsidR="004B0883" w:rsidRDefault="004B0883">
            <w:pPr>
              <w:jc w:val="right"/>
              <w:rPr>
                <w:color w:val="000000"/>
              </w:rPr>
            </w:pPr>
            <w:r>
              <w:rPr>
                <w:color w:val="000000"/>
              </w:rPr>
              <w:t>108.53</w:t>
            </w:r>
          </w:p>
        </w:tc>
        <w:tc>
          <w:tcPr>
            <w:tcW w:w="749" w:type="pct"/>
            <w:vAlign w:val="center"/>
          </w:tcPr>
          <w:p w14:paraId="645CD171" w14:textId="77777777" w:rsidR="004B0883" w:rsidRDefault="004B0883">
            <w:pPr>
              <w:jc w:val="right"/>
              <w:rPr>
                <w:color w:val="000000"/>
              </w:rPr>
            </w:pPr>
            <w:r>
              <w:rPr>
                <w:color w:val="000000"/>
              </w:rPr>
              <w:t>45.89</w:t>
            </w:r>
          </w:p>
        </w:tc>
      </w:tr>
      <w:tr w:rsidR="004B0883" w14:paraId="300D4208" w14:textId="77777777">
        <w:trPr>
          <w:cantSplit/>
          <w:trHeight w:val="397"/>
        </w:trPr>
        <w:tc>
          <w:tcPr>
            <w:tcW w:w="2003" w:type="pct"/>
            <w:vAlign w:val="center"/>
          </w:tcPr>
          <w:p w14:paraId="26D18FFB" w14:textId="77777777" w:rsidR="004B0883" w:rsidRDefault="004B0883">
            <w:pPr>
              <w:rPr>
                <w:color w:val="000000"/>
              </w:rPr>
            </w:pPr>
            <w:r>
              <w:rPr>
                <w:rFonts w:hint="eastAsia"/>
                <w:color w:val="000000"/>
              </w:rPr>
              <w:t>处置子公司及其他营业单位收到的现金净额</w:t>
            </w:r>
          </w:p>
        </w:tc>
        <w:tc>
          <w:tcPr>
            <w:tcW w:w="749" w:type="pct"/>
            <w:vAlign w:val="center"/>
          </w:tcPr>
          <w:p w14:paraId="508D4A67" w14:textId="77777777" w:rsidR="004B0883" w:rsidRDefault="004B0883">
            <w:pPr>
              <w:jc w:val="right"/>
              <w:rPr>
                <w:rFonts w:hint="eastAsia"/>
                <w:color w:val="000000"/>
              </w:rPr>
            </w:pPr>
            <w:r>
              <w:t>79.10</w:t>
            </w:r>
          </w:p>
        </w:tc>
        <w:tc>
          <w:tcPr>
            <w:tcW w:w="749" w:type="pct"/>
            <w:vAlign w:val="center"/>
          </w:tcPr>
          <w:p w14:paraId="576C306D" w14:textId="77777777" w:rsidR="004B0883" w:rsidRDefault="004B0883">
            <w:pPr>
              <w:jc w:val="right"/>
              <w:rPr>
                <w:color w:val="000000"/>
              </w:rPr>
            </w:pPr>
            <w:r>
              <w:rPr>
                <w:color w:val="000000"/>
              </w:rPr>
              <w:t>2,379.08</w:t>
            </w:r>
          </w:p>
        </w:tc>
        <w:tc>
          <w:tcPr>
            <w:tcW w:w="749" w:type="pct"/>
            <w:vAlign w:val="center"/>
          </w:tcPr>
          <w:p w14:paraId="6C8AABB9" w14:textId="77777777" w:rsidR="004B0883" w:rsidRDefault="004B0883">
            <w:pPr>
              <w:jc w:val="right"/>
              <w:rPr>
                <w:color w:val="000000"/>
              </w:rPr>
            </w:pPr>
            <w:r>
              <w:rPr>
                <w:color w:val="000000"/>
              </w:rPr>
              <w:t>-</w:t>
            </w:r>
          </w:p>
        </w:tc>
        <w:tc>
          <w:tcPr>
            <w:tcW w:w="749" w:type="pct"/>
            <w:vAlign w:val="center"/>
          </w:tcPr>
          <w:p w14:paraId="1EEAC827" w14:textId="77777777" w:rsidR="004B0883" w:rsidRDefault="004B0883">
            <w:pPr>
              <w:jc w:val="right"/>
              <w:rPr>
                <w:color w:val="000000"/>
              </w:rPr>
            </w:pPr>
            <w:r>
              <w:rPr>
                <w:color w:val="000000"/>
              </w:rPr>
              <w:t>-</w:t>
            </w:r>
          </w:p>
        </w:tc>
      </w:tr>
      <w:tr w:rsidR="004B0883" w14:paraId="375C4104" w14:textId="77777777">
        <w:trPr>
          <w:cantSplit/>
          <w:trHeight w:val="397"/>
        </w:trPr>
        <w:tc>
          <w:tcPr>
            <w:tcW w:w="2003" w:type="pct"/>
            <w:vAlign w:val="center"/>
          </w:tcPr>
          <w:p w14:paraId="07AAF9C9" w14:textId="77777777" w:rsidR="004B0883" w:rsidRDefault="004B0883">
            <w:pPr>
              <w:rPr>
                <w:color w:val="000000"/>
              </w:rPr>
            </w:pPr>
            <w:r>
              <w:rPr>
                <w:rFonts w:hint="eastAsia"/>
                <w:color w:val="000000"/>
              </w:rPr>
              <w:t>收到其他与投资活动有关的现金</w:t>
            </w:r>
          </w:p>
        </w:tc>
        <w:tc>
          <w:tcPr>
            <w:tcW w:w="749" w:type="pct"/>
            <w:vAlign w:val="center"/>
          </w:tcPr>
          <w:p w14:paraId="453D556F" w14:textId="77777777" w:rsidR="004B0883" w:rsidRDefault="004B0883">
            <w:pPr>
              <w:jc w:val="right"/>
              <w:rPr>
                <w:rFonts w:hint="eastAsia"/>
                <w:color w:val="000000"/>
              </w:rPr>
            </w:pPr>
            <w:r>
              <w:t>-</w:t>
            </w:r>
          </w:p>
        </w:tc>
        <w:tc>
          <w:tcPr>
            <w:tcW w:w="749" w:type="pct"/>
            <w:vAlign w:val="center"/>
          </w:tcPr>
          <w:p w14:paraId="5D034CC1" w14:textId="77777777" w:rsidR="004B0883" w:rsidRDefault="004B0883">
            <w:pPr>
              <w:jc w:val="right"/>
              <w:rPr>
                <w:color w:val="000000"/>
              </w:rPr>
            </w:pPr>
            <w:r>
              <w:rPr>
                <w:color w:val="000000"/>
              </w:rPr>
              <w:t>-</w:t>
            </w:r>
          </w:p>
        </w:tc>
        <w:tc>
          <w:tcPr>
            <w:tcW w:w="749" w:type="pct"/>
            <w:vAlign w:val="center"/>
          </w:tcPr>
          <w:p w14:paraId="62A46240" w14:textId="77777777" w:rsidR="004B0883" w:rsidRDefault="004B0883">
            <w:pPr>
              <w:jc w:val="right"/>
              <w:rPr>
                <w:color w:val="000000"/>
              </w:rPr>
            </w:pPr>
            <w:r>
              <w:rPr>
                <w:color w:val="000000"/>
              </w:rPr>
              <w:t>1,000.00</w:t>
            </w:r>
          </w:p>
        </w:tc>
        <w:tc>
          <w:tcPr>
            <w:tcW w:w="749" w:type="pct"/>
            <w:vAlign w:val="center"/>
          </w:tcPr>
          <w:p w14:paraId="575A1ECB" w14:textId="77777777" w:rsidR="004B0883" w:rsidRDefault="004B0883">
            <w:pPr>
              <w:jc w:val="right"/>
              <w:rPr>
                <w:color w:val="000000"/>
              </w:rPr>
            </w:pPr>
            <w:r>
              <w:rPr>
                <w:color w:val="000000"/>
              </w:rPr>
              <w:t>-</w:t>
            </w:r>
          </w:p>
        </w:tc>
      </w:tr>
      <w:tr w:rsidR="004B0883" w14:paraId="01E6A9DB" w14:textId="77777777">
        <w:trPr>
          <w:cantSplit/>
          <w:trHeight w:val="397"/>
        </w:trPr>
        <w:tc>
          <w:tcPr>
            <w:tcW w:w="2003" w:type="pct"/>
            <w:vAlign w:val="center"/>
          </w:tcPr>
          <w:p w14:paraId="6937062D" w14:textId="77777777" w:rsidR="004B0883" w:rsidRDefault="004B0883">
            <w:pPr>
              <w:rPr>
                <w:b/>
                <w:bCs/>
                <w:color w:val="000000"/>
              </w:rPr>
            </w:pPr>
            <w:r>
              <w:rPr>
                <w:rFonts w:hint="eastAsia"/>
                <w:b/>
                <w:bCs/>
                <w:color w:val="000000"/>
              </w:rPr>
              <w:t>投资活动现金流入小计</w:t>
            </w:r>
          </w:p>
        </w:tc>
        <w:tc>
          <w:tcPr>
            <w:tcW w:w="749" w:type="pct"/>
            <w:vAlign w:val="center"/>
          </w:tcPr>
          <w:p w14:paraId="7EF4D060" w14:textId="77777777" w:rsidR="004B0883" w:rsidRDefault="004B0883">
            <w:pPr>
              <w:jc w:val="right"/>
              <w:rPr>
                <w:rFonts w:hint="eastAsia"/>
                <w:b/>
                <w:bCs/>
                <w:color w:val="000000"/>
              </w:rPr>
            </w:pPr>
            <w:r>
              <w:rPr>
                <w:b/>
                <w:bCs/>
              </w:rPr>
              <w:t>37,470.69</w:t>
            </w:r>
          </w:p>
        </w:tc>
        <w:tc>
          <w:tcPr>
            <w:tcW w:w="749" w:type="pct"/>
            <w:vAlign w:val="center"/>
          </w:tcPr>
          <w:p w14:paraId="10EADF86" w14:textId="77777777" w:rsidR="004B0883" w:rsidRDefault="004B0883">
            <w:pPr>
              <w:jc w:val="right"/>
              <w:rPr>
                <w:b/>
                <w:bCs/>
                <w:color w:val="000000"/>
              </w:rPr>
            </w:pPr>
            <w:r>
              <w:rPr>
                <w:b/>
                <w:bCs/>
                <w:color w:val="000000"/>
              </w:rPr>
              <w:t>38,598.70</w:t>
            </w:r>
          </w:p>
        </w:tc>
        <w:tc>
          <w:tcPr>
            <w:tcW w:w="749" w:type="pct"/>
            <w:vAlign w:val="center"/>
          </w:tcPr>
          <w:p w14:paraId="1D8DD9D8" w14:textId="77777777" w:rsidR="004B0883" w:rsidRDefault="004B0883">
            <w:pPr>
              <w:jc w:val="right"/>
              <w:rPr>
                <w:b/>
                <w:bCs/>
                <w:color w:val="000000"/>
              </w:rPr>
            </w:pPr>
            <w:r>
              <w:rPr>
                <w:b/>
                <w:bCs/>
                <w:color w:val="000000"/>
              </w:rPr>
              <w:t>47,252.04</w:t>
            </w:r>
          </w:p>
        </w:tc>
        <w:tc>
          <w:tcPr>
            <w:tcW w:w="749" w:type="pct"/>
            <w:vAlign w:val="center"/>
          </w:tcPr>
          <w:p w14:paraId="65EAF5DA" w14:textId="77777777" w:rsidR="004B0883" w:rsidRDefault="004B0883">
            <w:pPr>
              <w:jc w:val="right"/>
              <w:rPr>
                <w:b/>
                <w:bCs/>
                <w:color w:val="000000"/>
              </w:rPr>
            </w:pPr>
            <w:r>
              <w:rPr>
                <w:b/>
                <w:bCs/>
                <w:color w:val="000000"/>
              </w:rPr>
              <w:t>73,960.87</w:t>
            </w:r>
          </w:p>
        </w:tc>
      </w:tr>
      <w:tr w:rsidR="004B0883" w14:paraId="798CAA73" w14:textId="77777777">
        <w:trPr>
          <w:cantSplit/>
          <w:trHeight w:val="397"/>
        </w:trPr>
        <w:tc>
          <w:tcPr>
            <w:tcW w:w="2003" w:type="pct"/>
            <w:vAlign w:val="center"/>
          </w:tcPr>
          <w:p w14:paraId="090EDB21" w14:textId="77777777" w:rsidR="004B0883" w:rsidRDefault="004B0883">
            <w:pPr>
              <w:rPr>
                <w:color w:val="000000"/>
              </w:rPr>
            </w:pPr>
            <w:r>
              <w:rPr>
                <w:rFonts w:hint="eastAsia"/>
                <w:color w:val="000000"/>
              </w:rPr>
              <w:t>购建固定资产、无形资产和其他长期资产支付的现金</w:t>
            </w:r>
          </w:p>
        </w:tc>
        <w:tc>
          <w:tcPr>
            <w:tcW w:w="749" w:type="pct"/>
            <w:vAlign w:val="center"/>
          </w:tcPr>
          <w:p w14:paraId="19F926AF" w14:textId="77777777" w:rsidR="004B0883" w:rsidRDefault="004B0883">
            <w:pPr>
              <w:jc w:val="right"/>
              <w:rPr>
                <w:rFonts w:hint="eastAsia"/>
                <w:color w:val="000000"/>
              </w:rPr>
            </w:pPr>
            <w:r>
              <w:t>4,617.52</w:t>
            </w:r>
          </w:p>
        </w:tc>
        <w:tc>
          <w:tcPr>
            <w:tcW w:w="749" w:type="pct"/>
            <w:vAlign w:val="center"/>
          </w:tcPr>
          <w:p w14:paraId="064DB9B2" w14:textId="77777777" w:rsidR="004B0883" w:rsidRDefault="004B0883">
            <w:pPr>
              <w:jc w:val="right"/>
              <w:rPr>
                <w:color w:val="000000"/>
              </w:rPr>
            </w:pPr>
            <w:r>
              <w:rPr>
                <w:color w:val="000000"/>
              </w:rPr>
              <w:t>1,185.59</w:t>
            </w:r>
          </w:p>
        </w:tc>
        <w:tc>
          <w:tcPr>
            <w:tcW w:w="749" w:type="pct"/>
            <w:vAlign w:val="center"/>
          </w:tcPr>
          <w:p w14:paraId="6ED999BF" w14:textId="77777777" w:rsidR="004B0883" w:rsidRDefault="004B0883">
            <w:pPr>
              <w:jc w:val="right"/>
              <w:rPr>
                <w:color w:val="000000"/>
              </w:rPr>
            </w:pPr>
            <w:r>
              <w:rPr>
                <w:color w:val="000000"/>
              </w:rPr>
              <w:t>1,957.77</w:t>
            </w:r>
          </w:p>
        </w:tc>
        <w:tc>
          <w:tcPr>
            <w:tcW w:w="749" w:type="pct"/>
            <w:vAlign w:val="center"/>
          </w:tcPr>
          <w:p w14:paraId="2CEC1FCC" w14:textId="77777777" w:rsidR="004B0883" w:rsidRDefault="004B0883">
            <w:pPr>
              <w:jc w:val="right"/>
              <w:rPr>
                <w:color w:val="000000"/>
              </w:rPr>
            </w:pPr>
            <w:r>
              <w:rPr>
                <w:color w:val="000000"/>
              </w:rPr>
              <w:t>2,363.26</w:t>
            </w:r>
          </w:p>
        </w:tc>
      </w:tr>
      <w:tr w:rsidR="004B0883" w14:paraId="155C1352" w14:textId="77777777">
        <w:trPr>
          <w:cantSplit/>
          <w:trHeight w:val="397"/>
        </w:trPr>
        <w:tc>
          <w:tcPr>
            <w:tcW w:w="2003" w:type="pct"/>
            <w:vAlign w:val="center"/>
          </w:tcPr>
          <w:p w14:paraId="2473F9B6" w14:textId="77777777" w:rsidR="004B0883" w:rsidRDefault="004B0883">
            <w:pPr>
              <w:rPr>
                <w:color w:val="000000"/>
              </w:rPr>
            </w:pPr>
            <w:r>
              <w:rPr>
                <w:rFonts w:hint="eastAsia"/>
                <w:color w:val="000000"/>
              </w:rPr>
              <w:t>投资支付的现金</w:t>
            </w:r>
          </w:p>
        </w:tc>
        <w:tc>
          <w:tcPr>
            <w:tcW w:w="749" w:type="pct"/>
            <w:vAlign w:val="center"/>
          </w:tcPr>
          <w:p w14:paraId="103F7F61" w14:textId="77777777" w:rsidR="004B0883" w:rsidRDefault="004B0883">
            <w:pPr>
              <w:jc w:val="right"/>
              <w:rPr>
                <w:rFonts w:hint="eastAsia"/>
                <w:color w:val="000000"/>
              </w:rPr>
            </w:pPr>
            <w:r>
              <w:t>46,428.34</w:t>
            </w:r>
          </w:p>
        </w:tc>
        <w:tc>
          <w:tcPr>
            <w:tcW w:w="749" w:type="pct"/>
            <w:vAlign w:val="center"/>
          </w:tcPr>
          <w:p w14:paraId="6F0671EB" w14:textId="77777777" w:rsidR="004B0883" w:rsidRDefault="004B0883">
            <w:pPr>
              <w:jc w:val="right"/>
              <w:rPr>
                <w:color w:val="000000"/>
              </w:rPr>
            </w:pPr>
            <w:r>
              <w:rPr>
                <w:color w:val="000000"/>
              </w:rPr>
              <w:t>40,850.00</w:t>
            </w:r>
          </w:p>
        </w:tc>
        <w:tc>
          <w:tcPr>
            <w:tcW w:w="749" w:type="pct"/>
            <w:vAlign w:val="center"/>
          </w:tcPr>
          <w:p w14:paraId="654D41B9" w14:textId="77777777" w:rsidR="004B0883" w:rsidRDefault="004B0883">
            <w:pPr>
              <w:jc w:val="right"/>
              <w:rPr>
                <w:color w:val="000000"/>
              </w:rPr>
            </w:pPr>
            <w:r>
              <w:rPr>
                <w:color w:val="000000"/>
              </w:rPr>
              <w:t>36,000.00</w:t>
            </w:r>
          </w:p>
        </w:tc>
        <w:tc>
          <w:tcPr>
            <w:tcW w:w="749" w:type="pct"/>
            <w:vAlign w:val="center"/>
          </w:tcPr>
          <w:p w14:paraId="5FDF5210" w14:textId="77777777" w:rsidR="004B0883" w:rsidRDefault="004B0883">
            <w:pPr>
              <w:jc w:val="right"/>
              <w:rPr>
                <w:color w:val="000000"/>
              </w:rPr>
            </w:pPr>
            <w:r>
              <w:rPr>
                <w:color w:val="000000"/>
              </w:rPr>
              <w:t>81,400.00</w:t>
            </w:r>
          </w:p>
        </w:tc>
      </w:tr>
      <w:tr w:rsidR="004B0883" w14:paraId="26DF7D7B" w14:textId="77777777">
        <w:trPr>
          <w:cantSplit/>
          <w:trHeight w:val="397"/>
        </w:trPr>
        <w:tc>
          <w:tcPr>
            <w:tcW w:w="2003" w:type="pct"/>
            <w:vAlign w:val="center"/>
          </w:tcPr>
          <w:p w14:paraId="085DECA9" w14:textId="77777777" w:rsidR="004B0883" w:rsidRDefault="004B0883">
            <w:pPr>
              <w:rPr>
                <w:color w:val="000000"/>
              </w:rPr>
            </w:pPr>
            <w:r>
              <w:rPr>
                <w:rFonts w:hint="eastAsia"/>
                <w:color w:val="000000"/>
              </w:rPr>
              <w:t>支付其他与投资活动有关的现金</w:t>
            </w:r>
          </w:p>
        </w:tc>
        <w:tc>
          <w:tcPr>
            <w:tcW w:w="749" w:type="pct"/>
            <w:vAlign w:val="center"/>
          </w:tcPr>
          <w:p w14:paraId="164CC7E5" w14:textId="77777777" w:rsidR="004B0883" w:rsidRDefault="004B0883">
            <w:pPr>
              <w:jc w:val="right"/>
              <w:rPr>
                <w:rFonts w:hint="eastAsia"/>
                <w:color w:val="000000"/>
              </w:rPr>
            </w:pPr>
            <w:r>
              <w:rPr>
                <w:rFonts w:eastAsia="等线"/>
                <w:color w:val="000000"/>
              </w:rPr>
              <w:t>-</w:t>
            </w:r>
          </w:p>
        </w:tc>
        <w:tc>
          <w:tcPr>
            <w:tcW w:w="749" w:type="pct"/>
            <w:vAlign w:val="center"/>
          </w:tcPr>
          <w:p w14:paraId="1A9D4E05" w14:textId="77777777" w:rsidR="004B0883" w:rsidRDefault="004B0883">
            <w:pPr>
              <w:jc w:val="right"/>
              <w:rPr>
                <w:color w:val="000000"/>
              </w:rPr>
            </w:pPr>
            <w:r>
              <w:rPr>
                <w:color w:val="000000"/>
              </w:rPr>
              <w:t>1,000.00</w:t>
            </w:r>
          </w:p>
        </w:tc>
        <w:tc>
          <w:tcPr>
            <w:tcW w:w="749" w:type="pct"/>
            <w:vAlign w:val="center"/>
          </w:tcPr>
          <w:p w14:paraId="1FC6E7A4" w14:textId="77777777" w:rsidR="004B0883" w:rsidRDefault="004B0883">
            <w:pPr>
              <w:jc w:val="right"/>
              <w:rPr>
                <w:color w:val="000000"/>
              </w:rPr>
            </w:pPr>
            <w:r>
              <w:rPr>
                <w:color w:val="000000"/>
              </w:rPr>
              <w:t>-</w:t>
            </w:r>
          </w:p>
        </w:tc>
        <w:tc>
          <w:tcPr>
            <w:tcW w:w="749" w:type="pct"/>
            <w:vAlign w:val="center"/>
          </w:tcPr>
          <w:p w14:paraId="2CB13F8B" w14:textId="77777777" w:rsidR="004B0883" w:rsidRDefault="004B0883">
            <w:pPr>
              <w:jc w:val="right"/>
              <w:rPr>
                <w:color w:val="000000"/>
              </w:rPr>
            </w:pPr>
            <w:r>
              <w:rPr>
                <w:color w:val="000000"/>
              </w:rPr>
              <w:t>-</w:t>
            </w:r>
          </w:p>
        </w:tc>
      </w:tr>
      <w:tr w:rsidR="004B0883" w14:paraId="3EF130B7" w14:textId="77777777">
        <w:trPr>
          <w:cantSplit/>
          <w:trHeight w:val="397"/>
        </w:trPr>
        <w:tc>
          <w:tcPr>
            <w:tcW w:w="2003" w:type="pct"/>
            <w:vAlign w:val="center"/>
          </w:tcPr>
          <w:p w14:paraId="66DDA42F" w14:textId="77777777" w:rsidR="004B0883" w:rsidRDefault="004B0883">
            <w:pPr>
              <w:rPr>
                <w:b/>
                <w:bCs/>
                <w:color w:val="000000"/>
              </w:rPr>
            </w:pPr>
            <w:r>
              <w:rPr>
                <w:rFonts w:hint="eastAsia"/>
                <w:b/>
                <w:bCs/>
                <w:color w:val="000000"/>
              </w:rPr>
              <w:t>投资活动现金流出小计</w:t>
            </w:r>
          </w:p>
        </w:tc>
        <w:tc>
          <w:tcPr>
            <w:tcW w:w="749" w:type="pct"/>
            <w:vAlign w:val="center"/>
          </w:tcPr>
          <w:p w14:paraId="5FF08A5F" w14:textId="77777777" w:rsidR="004B0883" w:rsidRDefault="004B0883">
            <w:pPr>
              <w:jc w:val="right"/>
              <w:rPr>
                <w:rFonts w:hint="eastAsia"/>
                <w:b/>
                <w:bCs/>
                <w:color w:val="000000"/>
              </w:rPr>
            </w:pPr>
            <w:r>
              <w:rPr>
                <w:b/>
                <w:bCs/>
              </w:rPr>
              <w:t>51,045.86</w:t>
            </w:r>
          </w:p>
        </w:tc>
        <w:tc>
          <w:tcPr>
            <w:tcW w:w="749" w:type="pct"/>
            <w:vAlign w:val="center"/>
          </w:tcPr>
          <w:p w14:paraId="29F93C8C" w14:textId="77777777" w:rsidR="004B0883" w:rsidRDefault="004B0883">
            <w:pPr>
              <w:jc w:val="right"/>
              <w:rPr>
                <w:b/>
                <w:bCs/>
                <w:color w:val="000000"/>
              </w:rPr>
            </w:pPr>
            <w:r>
              <w:rPr>
                <w:b/>
                <w:bCs/>
                <w:color w:val="000000"/>
              </w:rPr>
              <w:t>43,035.59</w:t>
            </w:r>
          </w:p>
        </w:tc>
        <w:tc>
          <w:tcPr>
            <w:tcW w:w="749" w:type="pct"/>
            <w:vAlign w:val="center"/>
          </w:tcPr>
          <w:p w14:paraId="59949F20" w14:textId="77777777" w:rsidR="004B0883" w:rsidRDefault="004B0883">
            <w:pPr>
              <w:jc w:val="right"/>
              <w:rPr>
                <w:b/>
                <w:bCs/>
                <w:color w:val="000000"/>
              </w:rPr>
            </w:pPr>
            <w:r>
              <w:rPr>
                <w:b/>
                <w:bCs/>
                <w:color w:val="000000"/>
              </w:rPr>
              <w:t>37,957.77</w:t>
            </w:r>
          </w:p>
        </w:tc>
        <w:tc>
          <w:tcPr>
            <w:tcW w:w="749" w:type="pct"/>
            <w:vAlign w:val="center"/>
          </w:tcPr>
          <w:p w14:paraId="35A9676A" w14:textId="77777777" w:rsidR="004B0883" w:rsidRDefault="004B0883">
            <w:pPr>
              <w:jc w:val="right"/>
              <w:rPr>
                <w:b/>
                <w:bCs/>
                <w:color w:val="000000"/>
              </w:rPr>
            </w:pPr>
            <w:r>
              <w:rPr>
                <w:b/>
                <w:bCs/>
                <w:color w:val="000000"/>
              </w:rPr>
              <w:t>83,763.26</w:t>
            </w:r>
          </w:p>
        </w:tc>
      </w:tr>
      <w:tr w:rsidR="004B0883" w14:paraId="37B7033F" w14:textId="77777777">
        <w:trPr>
          <w:cantSplit/>
          <w:trHeight w:val="397"/>
        </w:trPr>
        <w:tc>
          <w:tcPr>
            <w:tcW w:w="2003" w:type="pct"/>
            <w:vAlign w:val="center"/>
          </w:tcPr>
          <w:p w14:paraId="45E6A2D7" w14:textId="77777777" w:rsidR="004B0883" w:rsidRDefault="004B0883">
            <w:pPr>
              <w:rPr>
                <w:b/>
                <w:bCs/>
                <w:color w:val="000000"/>
              </w:rPr>
            </w:pPr>
            <w:r>
              <w:rPr>
                <w:rFonts w:hint="eastAsia"/>
                <w:b/>
                <w:bCs/>
                <w:color w:val="000000"/>
              </w:rPr>
              <w:t>投资活动产生的现金流量净额</w:t>
            </w:r>
          </w:p>
        </w:tc>
        <w:tc>
          <w:tcPr>
            <w:tcW w:w="749" w:type="pct"/>
            <w:vAlign w:val="center"/>
          </w:tcPr>
          <w:p w14:paraId="3C01DB16" w14:textId="77777777" w:rsidR="004B0883" w:rsidRDefault="004B0883">
            <w:pPr>
              <w:jc w:val="right"/>
              <w:rPr>
                <w:rFonts w:hint="eastAsia"/>
                <w:b/>
                <w:bCs/>
                <w:color w:val="000000"/>
              </w:rPr>
            </w:pPr>
            <w:r>
              <w:rPr>
                <w:b/>
                <w:bCs/>
              </w:rPr>
              <w:t>-13,575.17</w:t>
            </w:r>
          </w:p>
        </w:tc>
        <w:tc>
          <w:tcPr>
            <w:tcW w:w="749" w:type="pct"/>
            <w:vAlign w:val="center"/>
          </w:tcPr>
          <w:p w14:paraId="2E3EB1B0" w14:textId="77777777" w:rsidR="004B0883" w:rsidRDefault="004B0883">
            <w:pPr>
              <w:jc w:val="right"/>
              <w:rPr>
                <w:b/>
                <w:bCs/>
                <w:color w:val="000000"/>
              </w:rPr>
            </w:pPr>
            <w:r>
              <w:rPr>
                <w:b/>
                <w:bCs/>
                <w:color w:val="000000"/>
              </w:rPr>
              <w:t>-4,436.89</w:t>
            </w:r>
          </w:p>
        </w:tc>
        <w:tc>
          <w:tcPr>
            <w:tcW w:w="749" w:type="pct"/>
            <w:vAlign w:val="center"/>
          </w:tcPr>
          <w:p w14:paraId="3633667C" w14:textId="77777777" w:rsidR="004B0883" w:rsidRDefault="004B0883">
            <w:pPr>
              <w:jc w:val="right"/>
              <w:rPr>
                <w:b/>
                <w:bCs/>
                <w:color w:val="000000"/>
              </w:rPr>
            </w:pPr>
            <w:r>
              <w:rPr>
                <w:b/>
                <w:bCs/>
                <w:color w:val="000000"/>
              </w:rPr>
              <w:t>9,294.27</w:t>
            </w:r>
          </w:p>
        </w:tc>
        <w:tc>
          <w:tcPr>
            <w:tcW w:w="749" w:type="pct"/>
            <w:vAlign w:val="center"/>
          </w:tcPr>
          <w:p w14:paraId="6CEF69B4" w14:textId="77777777" w:rsidR="004B0883" w:rsidRDefault="004B0883">
            <w:pPr>
              <w:jc w:val="right"/>
              <w:rPr>
                <w:b/>
                <w:bCs/>
                <w:color w:val="000000"/>
              </w:rPr>
            </w:pPr>
            <w:r>
              <w:rPr>
                <w:b/>
                <w:bCs/>
                <w:color w:val="000000"/>
              </w:rPr>
              <w:t>-9,802.39</w:t>
            </w:r>
          </w:p>
        </w:tc>
      </w:tr>
    </w:tbl>
    <w:p w14:paraId="03044E40" w14:textId="77777777" w:rsidR="004B0883" w:rsidRDefault="004B0883">
      <w:pPr>
        <w:pStyle w:val="005"/>
        <w:spacing w:before="120"/>
        <w:ind w:firstLine="480"/>
        <w:rPr>
          <w:rFonts w:hint="eastAsia"/>
        </w:rPr>
      </w:pPr>
      <w:r>
        <w:rPr>
          <w:rFonts w:hint="eastAsia"/>
        </w:rPr>
        <w:t>报告期内，公司投资活动产生的现金流量净额为</w:t>
      </w:r>
      <w:r>
        <w:t>-9,802.39</w:t>
      </w:r>
      <w:r>
        <w:rPr>
          <w:rFonts w:hint="eastAsia"/>
        </w:rPr>
        <w:t>万元、</w:t>
      </w:r>
      <w:r>
        <w:t>9,294.27</w:t>
      </w:r>
      <w:r>
        <w:rPr>
          <w:rFonts w:hint="eastAsia"/>
        </w:rPr>
        <w:t>万元、</w:t>
      </w:r>
      <w:r>
        <w:t>-4,436.89</w:t>
      </w:r>
      <w:r>
        <w:rPr>
          <w:rFonts w:hint="eastAsia"/>
        </w:rPr>
        <w:t>万元和</w:t>
      </w:r>
      <w:r>
        <w:t>-13,575.17</w:t>
      </w:r>
      <w:r>
        <w:rPr>
          <w:rFonts w:hint="eastAsia"/>
        </w:rPr>
        <w:t>万元。</w:t>
      </w:r>
      <w:r>
        <w:rPr>
          <w:rFonts w:hint="eastAsia"/>
        </w:rPr>
        <w:t>2021</w:t>
      </w:r>
      <w:r>
        <w:rPr>
          <w:rFonts w:hint="eastAsia"/>
        </w:rPr>
        <w:t>年度，公司投资活动现金流量净额较</w:t>
      </w:r>
      <w:r>
        <w:rPr>
          <w:rFonts w:hint="eastAsia"/>
        </w:rPr>
        <w:t>2020</w:t>
      </w:r>
      <w:r>
        <w:rPr>
          <w:rFonts w:hint="eastAsia"/>
        </w:rPr>
        <w:t>年度大幅度增加，主要系公司当期收回较多理财产品。</w:t>
      </w:r>
      <w:r>
        <w:rPr>
          <w:rFonts w:hint="eastAsia"/>
        </w:rPr>
        <w:t>2022</w:t>
      </w:r>
      <w:r>
        <w:rPr>
          <w:rFonts w:hint="eastAsia"/>
        </w:rPr>
        <w:t>年及</w:t>
      </w:r>
      <w:r>
        <w:rPr>
          <w:rFonts w:hint="eastAsia"/>
        </w:rPr>
        <w:t>2</w:t>
      </w:r>
      <w:r>
        <w:t>023</w:t>
      </w:r>
      <w:r>
        <w:rPr>
          <w:rFonts w:hint="eastAsia"/>
        </w:rPr>
        <w:t>年</w:t>
      </w:r>
      <w:r>
        <w:rPr>
          <w:rFonts w:hint="eastAsia"/>
        </w:rPr>
        <w:t>1</w:t>
      </w:r>
      <w:r>
        <w:t>-</w:t>
      </w:r>
      <w:r>
        <w:rPr>
          <w:rFonts w:hint="eastAsia"/>
        </w:rPr>
        <w:t>9</w:t>
      </w:r>
      <w:r>
        <w:rPr>
          <w:rFonts w:hint="eastAsia"/>
        </w:rPr>
        <w:t>月，公司投资活动现金流量净额减少较多，主要系当期公司理财资金增加所致。</w:t>
      </w:r>
    </w:p>
    <w:p w14:paraId="573A8FDE" w14:textId="77777777" w:rsidR="004B0883" w:rsidRDefault="004B0883">
      <w:pPr>
        <w:pStyle w:val="003"/>
        <w:spacing w:before="120" w:after="120"/>
        <w:rPr>
          <w:rFonts w:hint="eastAsia"/>
        </w:rPr>
      </w:pPr>
      <w:r>
        <w:rPr>
          <w:rFonts w:hint="eastAsia"/>
        </w:rPr>
        <w:t>（三）筹资活动产生的现金流量</w:t>
      </w:r>
    </w:p>
    <w:p w14:paraId="7CAE0E57" w14:textId="77777777" w:rsidR="004B0883" w:rsidRDefault="004B0883">
      <w:pPr>
        <w:pStyle w:val="005"/>
        <w:spacing w:before="120"/>
        <w:ind w:firstLine="480"/>
        <w:rPr>
          <w:rFonts w:hint="eastAsia"/>
        </w:rPr>
      </w:pPr>
      <w:r>
        <w:rPr>
          <w:rFonts w:hint="eastAsia"/>
        </w:rPr>
        <w:t>报告期内，公司筹资活动现金流情况如下：</w:t>
      </w:r>
    </w:p>
    <w:p w14:paraId="3C691684" w14:textId="77777777" w:rsidR="004B0883" w:rsidRDefault="004B0883">
      <w:pPr>
        <w:pStyle w:val="009"/>
        <w:rPr>
          <w:rFonts w:hint="eastAsia"/>
          <w:kern w:val="0"/>
        </w:rPr>
      </w:pPr>
      <w:r>
        <w:rPr>
          <w:rFonts w:hint="eastAsia"/>
          <w:kern w:val="0"/>
        </w:rPr>
        <w:t>单位：万元</w:t>
      </w:r>
    </w:p>
    <w:tbl>
      <w:tblPr>
        <w:tblW w:w="5114" w:type="pct"/>
        <w:tblInd w:w="0" w:type="dxa"/>
        <w:tblBorders>
          <w:top w:val="single" w:sz="12" w:space="0" w:color="010000"/>
          <w:left w:val="single" w:sz="12" w:space="0" w:color="010000"/>
          <w:bottom w:val="single" w:sz="12" w:space="0" w:color="010000"/>
          <w:right w:val="single" w:sz="12" w:space="0" w:color="010000"/>
          <w:insideH w:val="single" w:sz="4" w:space="0" w:color="010000"/>
          <w:insideV w:val="single" w:sz="4" w:space="0" w:color="010000"/>
        </w:tblBorders>
        <w:tblLook w:val="0000" w:firstRow="0" w:lastRow="0" w:firstColumn="0" w:lastColumn="0" w:noHBand="0" w:noVBand="0"/>
      </w:tblPr>
      <w:tblGrid>
        <w:gridCol w:w="2587"/>
        <w:gridCol w:w="1613"/>
        <w:gridCol w:w="1424"/>
        <w:gridCol w:w="1424"/>
        <w:gridCol w:w="1421"/>
      </w:tblGrid>
      <w:tr w:rsidR="004B0883" w14:paraId="20D38337" w14:textId="77777777">
        <w:trPr>
          <w:cantSplit/>
          <w:trHeight w:val="397"/>
          <w:tblHeader/>
        </w:trPr>
        <w:tc>
          <w:tcPr>
            <w:tcW w:w="1527" w:type="pct"/>
            <w:tcBorders>
              <w:top w:val="single" w:sz="12" w:space="0" w:color="010000"/>
              <w:bottom w:val="single" w:sz="4" w:space="0" w:color="010000"/>
            </w:tcBorders>
            <w:shd w:val="clear" w:color="auto" w:fill="D9D9D9"/>
            <w:vAlign w:val="center"/>
          </w:tcPr>
          <w:p w14:paraId="2691A9FC" w14:textId="77777777" w:rsidR="004B0883" w:rsidRDefault="004B0883">
            <w:pPr>
              <w:jc w:val="center"/>
              <w:rPr>
                <w:b/>
                <w:color w:val="000000"/>
              </w:rPr>
            </w:pPr>
            <w:r>
              <w:rPr>
                <w:rFonts w:hint="eastAsia"/>
                <w:b/>
                <w:color w:val="000000"/>
              </w:rPr>
              <w:t>项目</w:t>
            </w:r>
          </w:p>
        </w:tc>
        <w:tc>
          <w:tcPr>
            <w:tcW w:w="952" w:type="pct"/>
            <w:tcBorders>
              <w:top w:val="single" w:sz="12" w:space="0" w:color="010000"/>
              <w:bottom w:val="single" w:sz="4" w:space="0" w:color="010000"/>
            </w:tcBorders>
            <w:shd w:val="clear" w:color="auto" w:fill="D9D9D9"/>
            <w:vAlign w:val="center"/>
          </w:tcPr>
          <w:p w14:paraId="3D32EED5" w14:textId="77777777" w:rsidR="004B0883" w:rsidRDefault="004B0883">
            <w:pPr>
              <w:jc w:val="center"/>
              <w:rPr>
                <w:rFonts w:hint="eastAsia"/>
                <w:b/>
                <w:color w:val="000000"/>
              </w:rPr>
            </w:pPr>
            <w:r>
              <w:rPr>
                <w:b/>
                <w:color w:val="000000"/>
              </w:rPr>
              <w:t>2023</w:t>
            </w:r>
            <w:r>
              <w:rPr>
                <w:rFonts w:hint="eastAsia"/>
                <w:b/>
                <w:color w:val="000000"/>
              </w:rPr>
              <w:t>年</w:t>
            </w:r>
            <w:r>
              <w:rPr>
                <w:b/>
                <w:color w:val="000000"/>
              </w:rPr>
              <w:t>1-</w:t>
            </w:r>
            <w:r>
              <w:rPr>
                <w:rFonts w:hint="eastAsia"/>
                <w:b/>
                <w:color w:val="000000"/>
              </w:rPr>
              <w:t>9</w:t>
            </w:r>
            <w:r>
              <w:rPr>
                <w:rFonts w:hint="eastAsia"/>
                <w:b/>
                <w:color w:val="000000"/>
              </w:rPr>
              <w:t>月</w:t>
            </w:r>
          </w:p>
        </w:tc>
        <w:tc>
          <w:tcPr>
            <w:tcW w:w="841" w:type="pct"/>
            <w:tcBorders>
              <w:top w:val="single" w:sz="12" w:space="0" w:color="010000"/>
              <w:bottom w:val="single" w:sz="4" w:space="0" w:color="010000"/>
            </w:tcBorders>
            <w:shd w:val="clear" w:color="auto" w:fill="D9D9D9"/>
            <w:vAlign w:val="center"/>
          </w:tcPr>
          <w:p w14:paraId="66012364" w14:textId="77777777" w:rsidR="004B0883" w:rsidRDefault="004B0883">
            <w:pPr>
              <w:jc w:val="center"/>
              <w:rPr>
                <w:b/>
                <w:color w:val="000000"/>
              </w:rPr>
            </w:pPr>
            <w:r>
              <w:rPr>
                <w:b/>
                <w:color w:val="000000"/>
              </w:rPr>
              <w:t>2022</w:t>
            </w:r>
            <w:r>
              <w:rPr>
                <w:b/>
                <w:color w:val="000000"/>
              </w:rPr>
              <w:t>年度</w:t>
            </w:r>
          </w:p>
        </w:tc>
        <w:tc>
          <w:tcPr>
            <w:tcW w:w="841" w:type="pct"/>
            <w:tcBorders>
              <w:top w:val="single" w:sz="12" w:space="0" w:color="010000"/>
              <w:bottom w:val="single" w:sz="4" w:space="0" w:color="010000"/>
            </w:tcBorders>
            <w:shd w:val="clear" w:color="auto" w:fill="D9D9D9"/>
            <w:vAlign w:val="center"/>
          </w:tcPr>
          <w:p w14:paraId="54B78E24" w14:textId="77777777" w:rsidR="004B0883" w:rsidRDefault="004B0883">
            <w:pPr>
              <w:jc w:val="center"/>
              <w:rPr>
                <w:b/>
                <w:color w:val="000000"/>
              </w:rPr>
            </w:pPr>
            <w:r>
              <w:rPr>
                <w:b/>
                <w:color w:val="000000"/>
              </w:rPr>
              <w:t>2021</w:t>
            </w:r>
            <w:r>
              <w:rPr>
                <w:b/>
                <w:color w:val="000000"/>
              </w:rPr>
              <w:t>年度</w:t>
            </w:r>
          </w:p>
        </w:tc>
        <w:tc>
          <w:tcPr>
            <w:tcW w:w="839" w:type="pct"/>
            <w:tcBorders>
              <w:top w:val="single" w:sz="12" w:space="0" w:color="010000"/>
              <w:bottom w:val="single" w:sz="4" w:space="0" w:color="010000"/>
            </w:tcBorders>
            <w:shd w:val="clear" w:color="auto" w:fill="D9D9D9"/>
            <w:vAlign w:val="center"/>
          </w:tcPr>
          <w:p w14:paraId="20D4DA9D" w14:textId="77777777" w:rsidR="004B0883" w:rsidRDefault="004B0883">
            <w:pPr>
              <w:jc w:val="center"/>
              <w:rPr>
                <w:b/>
                <w:color w:val="000000"/>
              </w:rPr>
            </w:pPr>
            <w:r>
              <w:rPr>
                <w:b/>
                <w:color w:val="000000"/>
              </w:rPr>
              <w:t>2020</w:t>
            </w:r>
            <w:r>
              <w:rPr>
                <w:b/>
                <w:color w:val="000000"/>
              </w:rPr>
              <w:t>年度</w:t>
            </w:r>
          </w:p>
        </w:tc>
      </w:tr>
      <w:tr w:rsidR="004B0883" w14:paraId="1A417FEB" w14:textId="77777777">
        <w:trPr>
          <w:cantSplit/>
          <w:trHeight w:val="397"/>
        </w:trPr>
        <w:tc>
          <w:tcPr>
            <w:tcW w:w="1527" w:type="pct"/>
            <w:tcBorders>
              <w:top w:val="single" w:sz="4" w:space="0" w:color="010000"/>
            </w:tcBorders>
            <w:vAlign w:val="center"/>
          </w:tcPr>
          <w:p w14:paraId="6D5DA813" w14:textId="77777777" w:rsidR="004B0883" w:rsidRDefault="004B0883">
            <w:pPr>
              <w:rPr>
                <w:color w:val="000000"/>
              </w:rPr>
            </w:pPr>
            <w:r>
              <w:rPr>
                <w:rFonts w:hint="eastAsia"/>
                <w:color w:val="000000"/>
              </w:rPr>
              <w:t>吸收投资收到的现金</w:t>
            </w:r>
          </w:p>
        </w:tc>
        <w:tc>
          <w:tcPr>
            <w:tcW w:w="952" w:type="pct"/>
            <w:tcBorders>
              <w:top w:val="single" w:sz="4" w:space="0" w:color="010000"/>
            </w:tcBorders>
            <w:vAlign w:val="center"/>
          </w:tcPr>
          <w:p w14:paraId="3D05CB9A" w14:textId="77777777" w:rsidR="004B0883" w:rsidRDefault="004B0883">
            <w:pPr>
              <w:jc w:val="right"/>
              <w:rPr>
                <w:rFonts w:hint="eastAsia"/>
                <w:color w:val="000000"/>
              </w:rPr>
            </w:pPr>
            <w:r>
              <w:rPr>
                <w:rFonts w:eastAsia="等线"/>
                <w:color w:val="000000"/>
              </w:rPr>
              <w:t>200.20</w:t>
            </w:r>
          </w:p>
        </w:tc>
        <w:tc>
          <w:tcPr>
            <w:tcW w:w="841" w:type="pct"/>
            <w:tcBorders>
              <w:top w:val="single" w:sz="4" w:space="0" w:color="010000"/>
            </w:tcBorders>
            <w:vAlign w:val="center"/>
          </w:tcPr>
          <w:p w14:paraId="22609F99" w14:textId="77777777" w:rsidR="004B0883" w:rsidRDefault="004B0883">
            <w:pPr>
              <w:jc w:val="right"/>
              <w:rPr>
                <w:color w:val="000000"/>
              </w:rPr>
            </w:pPr>
            <w:r>
              <w:rPr>
                <w:color w:val="000000"/>
              </w:rPr>
              <w:t>4,000.00</w:t>
            </w:r>
          </w:p>
        </w:tc>
        <w:tc>
          <w:tcPr>
            <w:tcW w:w="841" w:type="pct"/>
            <w:tcBorders>
              <w:top w:val="single" w:sz="4" w:space="0" w:color="010000"/>
            </w:tcBorders>
            <w:vAlign w:val="center"/>
          </w:tcPr>
          <w:p w14:paraId="6FD78373" w14:textId="77777777" w:rsidR="004B0883" w:rsidRDefault="004B0883">
            <w:pPr>
              <w:jc w:val="right"/>
              <w:rPr>
                <w:color w:val="000000"/>
              </w:rPr>
            </w:pPr>
            <w:r>
              <w:rPr>
                <w:color w:val="000000"/>
              </w:rPr>
              <w:t>2,450.00</w:t>
            </w:r>
          </w:p>
        </w:tc>
        <w:tc>
          <w:tcPr>
            <w:tcW w:w="839" w:type="pct"/>
            <w:tcBorders>
              <w:top w:val="single" w:sz="4" w:space="0" w:color="010000"/>
            </w:tcBorders>
            <w:vAlign w:val="center"/>
          </w:tcPr>
          <w:p w14:paraId="39DACEEF" w14:textId="77777777" w:rsidR="004B0883" w:rsidRDefault="004B0883">
            <w:pPr>
              <w:jc w:val="right"/>
              <w:rPr>
                <w:color w:val="000000"/>
              </w:rPr>
            </w:pPr>
          </w:p>
        </w:tc>
      </w:tr>
      <w:tr w:rsidR="004B0883" w14:paraId="7645374D" w14:textId="77777777">
        <w:trPr>
          <w:cantSplit/>
          <w:trHeight w:val="397"/>
        </w:trPr>
        <w:tc>
          <w:tcPr>
            <w:tcW w:w="1527" w:type="pct"/>
            <w:vAlign w:val="center"/>
          </w:tcPr>
          <w:p w14:paraId="5DD50CB9" w14:textId="77777777" w:rsidR="004B0883" w:rsidRDefault="004B0883">
            <w:pPr>
              <w:rPr>
                <w:color w:val="000000"/>
              </w:rPr>
            </w:pPr>
            <w:r>
              <w:rPr>
                <w:rFonts w:hint="eastAsia"/>
                <w:color w:val="000000"/>
              </w:rPr>
              <w:t>取得借款收到的现金</w:t>
            </w:r>
          </w:p>
        </w:tc>
        <w:tc>
          <w:tcPr>
            <w:tcW w:w="952" w:type="pct"/>
            <w:vAlign w:val="center"/>
          </w:tcPr>
          <w:p w14:paraId="5155F171" w14:textId="77777777" w:rsidR="004B0883" w:rsidRDefault="004B0883">
            <w:pPr>
              <w:jc w:val="right"/>
              <w:rPr>
                <w:rFonts w:hint="eastAsia"/>
                <w:color w:val="000000"/>
              </w:rPr>
            </w:pPr>
            <w:r>
              <w:rPr>
                <w:rFonts w:eastAsia="等线"/>
                <w:color w:val="000000"/>
              </w:rPr>
              <w:t>-</w:t>
            </w:r>
          </w:p>
        </w:tc>
        <w:tc>
          <w:tcPr>
            <w:tcW w:w="841" w:type="pct"/>
            <w:vAlign w:val="center"/>
          </w:tcPr>
          <w:p w14:paraId="691C6CE4" w14:textId="77777777" w:rsidR="004B0883" w:rsidRDefault="004B0883">
            <w:pPr>
              <w:jc w:val="right"/>
              <w:rPr>
                <w:color w:val="000000"/>
              </w:rPr>
            </w:pPr>
            <w:r>
              <w:rPr>
                <w:color w:val="000000"/>
              </w:rPr>
              <w:t>7,000.00</w:t>
            </w:r>
          </w:p>
        </w:tc>
        <w:tc>
          <w:tcPr>
            <w:tcW w:w="841" w:type="pct"/>
            <w:vAlign w:val="center"/>
          </w:tcPr>
          <w:p w14:paraId="028A55CD" w14:textId="77777777" w:rsidR="004B0883" w:rsidRDefault="004B0883">
            <w:pPr>
              <w:jc w:val="right"/>
              <w:rPr>
                <w:color w:val="000000"/>
              </w:rPr>
            </w:pPr>
            <w:r>
              <w:rPr>
                <w:color w:val="000000"/>
              </w:rPr>
              <w:t>4,900.00</w:t>
            </w:r>
          </w:p>
        </w:tc>
        <w:tc>
          <w:tcPr>
            <w:tcW w:w="839" w:type="pct"/>
            <w:vAlign w:val="center"/>
          </w:tcPr>
          <w:p w14:paraId="100A4D54" w14:textId="77777777" w:rsidR="004B0883" w:rsidRDefault="004B0883">
            <w:pPr>
              <w:jc w:val="right"/>
              <w:rPr>
                <w:color w:val="000000"/>
              </w:rPr>
            </w:pPr>
            <w:r>
              <w:rPr>
                <w:color w:val="000000"/>
              </w:rPr>
              <w:t>5,119.10</w:t>
            </w:r>
          </w:p>
        </w:tc>
      </w:tr>
      <w:tr w:rsidR="004B0883" w14:paraId="0D98EE9B" w14:textId="77777777">
        <w:trPr>
          <w:cantSplit/>
          <w:trHeight w:val="397"/>
        </w:trPr>
        <w:tc>
          <w:tcPr>
            <w:tcW w:w="1527" w:type="pct"/>
            <w:vAlign w:val="center"/>
          </w:tcPr>
          <w:p w14:paraId="5867871F" w14:textId="77777777" w:rsidR="004B0883" w:rsidRDefault="004B0883">
            <w:pPr>
              <w:rPr>
                <w:color w:val="000000"/>
              </w:rPr>
            </w:pPr>
            <w:r>
              <w:rPr>
                <w:rFonts w:hint="eastAsia"/>
                <w:color w:val="000000"/>
              </w:rPr>
              <w:t>收到其他与筹资活动有关的现金</w:t>
            </w:r>
          </w:p>
        </w:tc>
        <w:tc>
          <w:tcPr>
            <w:tcW w:w="952" w:type="pct"/>
            <w:vAlign w:val="center"/>
          </w:tcPr>
          <w:p w14:paraId="16B79DBC" w14:textId="77777777" w:rsidR="004B0883" w:rsidRDefault="004B0883">
            <w:pPr>
              <w:jc w:val="right"/>
              <w:rPr>
                <w:rFonts w:hint="eastAsia"/>
                <w:color w:val="000000"/>
              </w:rPr>
            </w:pPr>
            <w:r>
              <w:rPr>
                <w:rFonts w:eastAsia="等线"/>
                <w:color w:val="000000"/>
              </w:rPr>
              <w:t>-</w:t>
            </w:r>
          </w:p>
        </w:tc>
        <w:tc>
          <w:tcPr>
            <w:tcW w:w="841" w:type="pct"/>
            <w:vAlign w:val="center"/>
          </w:tcPr>
          <w:p w14:paraId="1D2AF73C" w14:textId="77777777" w:rsidR="004B0883" w:rsidRDefault="004B0883">
            <w:pPr>
              <w:jc w:val="right"/>
              <w:rPr>
                <w:color w:val="000000"/>
              </w:rPr>
            </w:pPr>
            <w:r>
              <w:rPr>
                <w:color w:val="000000"/>
              </w:rPr>
              <w:t>198.85</w:t>
            </w:r>
          </w:p>
        </w:tc>
        <w:tc>
          <w:tcPr>
            <w:tcW w:w="841" w:type="pct"/>
            <w:vAlign w:val="center"/>
          </w:tcPr>
          <w:p w14:paraId="145B8CA5" w14:textId="77777777" w:rsidR="004B0883" w:rsidRDefault="004B0883">
            <w:pPr>
              <w:jc w:val="right"/>
              <w:rPr>
                <w:color w:val="000000"/>
              </w:rPr>
            </w:pPr>
            <w:r>
              <w:rPr>
                <w:color w:val="000000"/>
              </w:rPr>
              <w:t>1,360.00</w:t>
            </w:r>
          </w:p>
        </w:tc>
        <w:tc>
          <w:tcPr>
            <w:tcW w:w="839" w:type="pct"/>
            <w:vAlign w:val="center"/>
          </w:tcPr>
          <w:p w14:paraId="172F533C" w14:textId="77777777" w:rsidR="004B0883" w:rsidRDefault="004B0883">
            <w:pPr>
              <w:jc w:val="right"/>
              <w:rPr>
                <w:color w:val="000000"/>
              </w:rPr>
            </w:pPr>
          </w:p>
        </w:tc>
      </w:tr>
      <w:tr w:rsidR="004B0883" w14:paraId="768B88E3" w14:textId="77777777">
        <w:trPr>
          <w:cantSplit/>
          <w:trHeight w:val="397"/>
        </w:trPr>
        <w:tc>
          <w:tcPr>
            <w:tcW w:w="1527" w:type="pct"/>
            <w:vAlign w:val="center"/>
          </w:tcPr>
          <w:p w14:paraId="3F066090" w14:textId="77777777" w:rsidR="004B0883" w:rsidRDefault="004B0883">
            <w:pPr>
              <w:rPr>
                <w:b/>
                <w:bCs/>
                <w:color w:val="000000"/>
              </w:rPr>
            </w:pPr>
            <w:r>
              <w:rPr>
                <w:rFonts w:hint="eastAsia"/>
                <w:b/>
                <w:bCs/>
                <w:color w:val="000000"/>
              </w:rPr>
              <w:t>筹资活动现金流入小计</w:t>
            </w:r>
          </w:p>
        </w:tc>
        <w:tc>
          <w:tcPr>
            <w:tcW w:w="952" w:type="pct"/>
            <w:vAlign w:val="center"/>
          </w:tcPr>
          <w:p w14:paraId="72B34D40" w14:textId="77777777" w:rsidR="004B0883" w:rsidRDefault="004B0883">
            <w:pPr>
              <w:jc w:val="right"/>
              <w:rPr>
                <w:rFonts w:hint="eastAsia"/>
                <w:b/>
                <w:bCs/>
                <w:color w:val="000000"/>
              </w:rPr>
            </w:pPr>
            <w:r>
              <w:rPr>
                <w:rFonts w:eastAsia="等线"/>
                <w:b/>
                <w:bCs/>
                <w:color w:val="000000"/>
              </w:rPr>
              <w:t>200.20</w:t>
            </w:r>
          </w:p>
        </w:tc>
        <w:tc>
          <w:tcPr>
            <w:tcW w:w="841" w:type="pct"/>
            <w:vAlign w:val="center"/>
          </w:tcPr>
          <w:p w14:paraId="63A78164" w14:textId="77777777" w:rsidR="004B0883" w:rsidRDefault="004B0883">
            <w:pPr>
              <w:jc w:val="right"/>
              <w:rPr>
                <w:b/>
                <w:bCs/>
                <w:color w:val="000000"/>
              </w:rPr>
            </w:pPr>
            <w:r>
              <w:rPr>
                <w:b/>
                <w:bCs/>
                <w:color w:val="000000"/>
              </w:rPr>
              <w:t>11,198.85</w:t>
            </w:r>
          </w:p>
        </w:tc>
        <w:tc>
          <w:tcPr>
            <w:tcW w:w="841" w:type="pct"/>
            <w:vAlign w:val="center"/>
          </w:tcPr>
          <w:p w14:paraId="2C1BBDF5" w14:textId="77777777" w:rsidR="004B0883" w:rsidRDefault="004B0883">
            <w:pPr>
              <w:jc w:val="right"/>
              <w:rPr>
                <w:b/>
                <w:bCs/>
                <w:color w:val="000000"/>
              </w:rPr>
            </w:pPr>
            <w:r>
              <w:rPr>
                <w:b/>
                <w:bCs/>
                <w:color w:val="000000"/>
              </w:rPr>
              <w:t>8,710.00</w:t>
            </w:r>
          </w:p>
        </w:tc>
        <w:tc>
          <w:tcPr>
            <w:tcW w:w="839" w:type="pct"/>
            <w:vAlign w:val="center"/>
          </w:tcPr>
          <w:p w14:paraId="3F5337AC" w14:textId="77777777" w:rsidR="004B0883" w:rsidRDefault="004B0883">
            <w:pPr>
              <w:jc w:val="right"/>
              <w:rPr>
                <w:b/>
                <w:bCs/>
                <w:color w:val="000000"/>
              </w:rPr>
            </w:pPr>
            <w:r>
              <w:rPr>
                <w:b/>
                <w:bCs/>
                <w:color w:val="000000"/>
              </w:rPr>
              <w:t>5,119.10</w:t>
            </w:r>
          </w:p>
        </w:tc>
      </w:tr>
      <w:tr w:rsidR="004B0883" w14:paraId="3DD9DD3A" w14:textId="77777777">
        <w:trPr>
          <w:cantSplit/>
          <w:trHeight w:val="397"/>
        </w:trPr>
        <w:tc>
          <w:tcPr>
            <w:tcW w:w="1527" w:type="pct"/>
            <w:vAlign w:val="center"/>
          </w:tcPr>
          <w:p w14:paraId="620F70A3" w14:textId="77777777" w:rsidR="004B0883" w:rsidRDefault="004B0883">
            <w:pPr>
              <w:rPr>
                <w:color w:val="000000"/>
              </w:rPr>
            </w:pPr>
            <w:r>
              <w:rPr>
                <w:rFonts w:hint="eastAsia"/>
                <w:color w:val="000000"/>
              </w:rPr>
              <w:t>偿还债务支付的现金</w:t>
            </w:r>
          </w:p>
        </w:tc>
        <w:tc>
          <w:tcPr>
            <w:tcW w:w="952" w:type="pct"/>
            <w:vAlign w:val="center"/>
          </w:tcPr>
          <w:p w14:paraId="056106F1" w14:textId="77777777" w:rsidR="004B0883" w:rsidRDefault="004B0883">
            <w:pPr>
              <w:jc w:val="right"/>
              <w:rPr>
                <w:rFonts w:hint="eastAsia"/>
                <w:color w:val="000000"/>
              </w:rPr>
            </w:pPr>
            <w:r>
              <w:t>3,000.00</w:t>
            </w:r>
          </w:p>
        </w:tc>
        <w:tc>
          <w:tcPr>
            <w:tcW w:w="841" w:type="pct"/>
            <w:vAlign w:val="center"/>
          </w:tcPr>
          <w:p w14:paraId="76540A56" w14:textId="77777777" w:rsidR="004B0883" w:rsidRDefault="004B0883">
            <w:pPr>
              <w:jc w:val="right"/>
              <w:rPr>
                <w:color w:val="000000"/>
              </w:rPr>
            </w:pPr>
            <w:r>
              <w:rPr>
                <w:color w:val="000000"/>
              </w:rPr>
              <w:t>7,100.00</w:t>
            </w:r>
          </w:p>
        </w:tc>
        <w:tc>
          <w:tcPr>
            <w:tcW w:w="841" w:type="pct"/>
            <w:vAlign w:val="center"/>
          </w:tcPr>
          <w:p w14:paraId="111D8DB1" w14:textId="77777777" w:rsidR="004B0883" w:rsidRDefault="004B0883">
            <w:pPr>
              <w:jc w:val="right"/>
              <w:rPr>
                <w:color w:val="000000"/>
              </w:rPr>
            </w:pPr>
            <w:r>
              <w:rPr>
                <w:color w:val="000000"/>
              </w:rPr>
              <w:t>6,685.92</w:t>
            </w:r>
          </w:p>
        </w:tc>
        <w:tc>
          <w:tcPr>
            <w:tcW w:w="839" w:type="pct"/>
            <w:vAlign w:val="center"/>
          </w:tcPr>
          <w:p w14:paraId="35D169F0" w14:textId="77777777" w:rsidR="004B0883" w:rsidRDefault="004B0883">
            <w:pPr>
              <w:jc w:val="right"/>
              <w:rPr>
                <w:color w:val="000000"/>
              </w:rPr>
            </w:pPr>
          </w:p>
        </w:tc>
      </w:tr>
      <w:tr w:rsidR="004B0883" w14:paraId="7E16B5B1" w14:textId="77777777">
        <w:trPr>
          <w:cantSplit/>
          <w:trHeight w:val="397"/>
        </w:trPr>
        <w:tc>
          <w:tcPr>
            <w:tcW w:w="1527" w:type="pct"/>
            <w:vAlign w:val="center"/>
          </w:tcPr>
          <w:p w14:paraId="6A08C705" w14:textId="77777777" w:rsidR="004B0883" w:rsidRDefault="004B0883">
            <w:pPr>
              <w:rPr>
                <w:color w:val="000000"/>
              </w:rPr>
            </w:pPr>
            <w:r>
              <w:rPr>
                <w:rFonts w:hint="eastAsia"/>
                <w:color w:val="000000"/>
              </w:rPr>
              <w:t>分配股利、利润或偿付利息支付的现金</w:t>
            </w:r>
          </w:p>
        </w:tc>
        <w:tc>
          <w:tcPr>
            <w:tcW w:w="952" w:type="pct"/>
            <w:vAlign w:val="center"/>
          </w:tcPr>
          <w:p w14:paraId="6DC7F98F" w14:textId="77777777" w:rsidR="004B0883" w:rsidRDefault="004B0883">
            <w:pPr>
              <w:jc w:val="right"/>
              <w:rPr>
                <w:rFonts w:hint="eastAsia"/>
                <w:color w:val="000000"/>
              </w:rPr>
            </w:pPr>
            <w:r>
              <w:t>5,080.99</w:t>
            </w:r>
          </w:p>
        </w:tc>
        <w:tc>
          <w:tcPr>
            <w:tcW w:w="841" w:type="pct"/>
            <w:vAlign w:val="center"/>
          </w:tcPr>
          <w:p w14:paraId="2BBDCE9F" w14:textId="77777777" w:rsidR="004B0883" w:rsidRDefault="004B0883">
            <w:pPr>
              <w:jc w:val="right"/>
              <w:rPr>
                <w:color w:val="000000"/>
              </w:rPr>
            </w:pPr>
            <w:r>
              <w:rPr>
                <w:color w:val="000000"/>
              </w:rPr>
              <w:t>6,020.08</w:t>
            </w:r>
          </w:p>
        </w:tc>
        <w:tc>
          <w:tcPr>
            <w:tcW w:w="841" w:type="pct"/>
            <w:vAlign w:val="center"/>
          </w:tcPr>
          <w:p w14:paraId="2BAC845A" w14:textId="77777777" w:rsidR="004B0883" w:rsidRDefault="004B0883">
            <w:pPr>
              <w:jc w:val="right"/>
              <w:rPr>
                <w:color w:val="000000"/>
              </w:rPr>
            </w:pPr>
            <w:r>
              <w:rPr>
                <w:color w:val="000000"/>
              </w:rPr>
              <w:t>5,330.94</w:t>
            </w:r>
          </w:p>
        </w:tc>
        <w:tc>
          <w:tcPr>
            <w:tcW w:w="839" w:type="pct"/>
            <w:vAlign w:val="center"/>
          </w:tcPr>
          <w:p w14:paraId="145E3B54" w14:textId="77777777" w:rsidR="004B0883" w:rsidRDefault="004B0883">
            <w:pPr>
              <w:jc w:val="right"/>
              <w:rPr>
                <w:color w:val="000000"/>
              </w:rPr>
            </w:pPr>
            <w:r>
              <w:rPr>
                <w:color w:val="000000"/>
              </w:rPr>
              <w:t>5,292.17</w:t>
            </w:r>
          </w:p>
        </w:tc>
      </w:tr>
      <w:tr w:rsidR="004B0883" w14:paraId="5C0020FE" w14:textId="77777777">
        <w:trPr>
          <w:cantSplit/>
          <w:trHeight w:val="397"/>
        </w:trPr>
        <w:tc>
          <w:tcPr>
            <w:tcW w:w="1527" w:type="pct"/>
            <w:vAlign w:val="center"/>
          </w:tcPr>
          <w:p w14:paraId="48453FA3" w14:textId="77777777" w:rsidR="004B0883" w:rsidRDefault="004B0883">
            <w:pPr>
              <w:rPr>
                <w:color w:val="000000"/>
              </w:rPr>
            </w:pPr>
            <w:r>
              <w:rPr>
                <w:rFonts w:hint="eastAsia"/>
                <w:color w:val="000000"/>
              </w:rPr>
              <w:t>支付其他与筹资活动有关的现金</w:t>
            </w:r>
          </w:p>
        </w:tc>
        <w:tc>
          <w:tcPr>
            <w:tcW w:w="952" w:type="pct"/>
            <w:vAlign w:val="center"/>
          </w:tcPr>
          <w:p w14:paraId="23A71F44" w14:textId="77777777" w:rsidR="004B0883" w:rsidRDefault="004B0883">
            <w:pPr>
              <w:jc w:val="right"/>
              <w:rPr>
                <w:rFonts w:hint="eastAsia"/>
                <w:color w:val="000000"/>
              </w:rPr>
            </w:pPr>
            <w:r>
              <w:t>72.12</w:t>
            </w:r>
          </w:p>
        </w:tc>
        <w:tc>
          <w:tcPr>
            <w:tcW w:w="841" w:type="pct"/>
            <w:vAlign w:val="center"/>
          </w:tcPr>
          <w:p w14:paraId="5D673F61" w14:textId="77777777" w:rsidR="004B0883" w:rsidRDefault="004B0883">
            <w:pPr>
              <w:jc w:val="right"/>
              <w:rPr>
                <w:color w:val="000000"/>
              </w:rPr>
            </w:pPr>
            <w:r>
              <w:rPr>
                <w:color w:val="000000"/>
              </w:rPr>
              <w:t>72.31</w:t>
            </w:r>
          </w:p>
        </w:tc>
        <w:tc>
          <w:tcPr>
            <w:tcW w:w="841" w:type="pct"/>
            <w:vAlign w:val="center"/>
          </w:tcPr>
          <w:p w14:paraId="5CF7579C" w14:textId="77777777" w:rsidR="004B0883" w:rsidRDefault="004B0883">
            <w:pPr>
              <w:jc w:val="right"/>
              <w:rPr>
                <w:color w:val="000000"/>
              </w:rPr>
            </w:pPr>
            <w:r>
              <w:rPr>
                <w:color w:val="000000"/>
              </w:rPr>
              <w:t>3,085.02</w:t>
            </w:r>
          </w:p>
        </w:tc>
        <w:tc>
          <w:tcPr>
            <w:tcW w:w="839" w:type="pct"/>
            <w:vAlign w:val="center"/>
          </w:tcPr>
          <w:p w14:paraId="17E8E0AE" w14:textId="77777777" w:rsidR="004B0883" w:rsidRDefault="004B0883">
            <w:pPr>
              <w:jc w:val="right"/>
              <w:rPr>
                <w:color w:val="000000"/>
              </w:rPr>
            </w:pPr>
            <w:r>
              <w:rPr>
                <w:color w:val="000000"/>
              </w:rPr>
              <w:t>37.09</w:t>
            </w:r>
          </w:p>
        </w:tc>
      </w:tr>
      <w:tr w:rsidR="004B0883" w14:paraId="168CC3B3" w14:textId="77777777">
        <w:trPr>
          <w:cantSplit/>
          <w:trHeight w:val="397"/>
        </w:trPr>
        <w:tc>
          <w:tcPr>
            <w:tcW w:w="1527" w:type="pct"/>
            <w:vAlign w:val="center"/>
          </w:tcPr>
          <w:p w14:paraId="0BFE8971" w14:textId="77777777" w:rsidR="004B0883" w:rsidRDefault="004B0883">
            <w:pPr>
              <w:rPr>
                <w:b/>
                <w:bCs/>
                <w:color w:val="000000"/>
              </w:rPr>
            </w:pPr>
            <w:r>
              <w:rPr>
                <w:rFonts w:hint="eastAsia"/>
                <w:b/>
                <w:bCs/>
                <w:color w:val="000000"/>
              </w:rPr>
              <w:t>筹资活动现金流出小计</w:t>
            </w:r>
          </w:p>
        </w:tc>
        <w:tc>
          <w:tcPr>
            <w:tcW w:w="952" w:type="pct"/>
            <w:vAlign w:val="center"/>
          </w:tcPr>
          <w:p w14:paraId="3EEB6D5F" w14:textId="77777777" w:rsidR="004B0883" w:rsidRDefault="004B0883">
            <w:pPr>
              <w:jc w:val="right"/>
              <w:rPr>
                <w:rFonts w:hint="eastAsia"/>
                <w:b/>
                <w:bCs/>
                <w:color w:val="000000"/>
              </w:rPr>
            </w:pPr>
            <w:r>
              <w:rPr>
                <w:b/>
                <w:bCs/>
              </w:rPr>
              <w:t>8,153.10</w:t>
            </w:r>
          </w:p>
        </w:tc>
        <w:tc>
          <w:tcPr>
            <w:tcW w:w="841" w:type="pct"/>
            <w:vAlign w:val="center"/>
          </w:tcPr>
          <w:p w14:paraId="68CFADA0" w14:textId="77777777" w:rsidR="004B0883" w:rsidRDefault="004B0883">
            <w:pPr>
              <w:jc w:val="right"/>
              <w:rPr>
                <w:b/>
                <w:bCs/>
                <w:color w:val="000000"/>
              </w:rPr>
            </w:pPr>
            <w:r>
              <w:rPr>
                <w:b/>
                <w:bCs/>
                <w:color w:val="000000"/>
              </w:rPr>
              <w:t>13,192.39</w:t>
            </w:r>
          </w:p>
        </w:tc>
        <w:tc>
          <w:tcPr>
            <w:tcW w:w="841" w:type="pct"/>
            <w:vAlign w:val="center"/>
          </w:tcPr>
          <w:p w14:paraId="0244C459" w14:textId="77777777" w:rsidR="004B0883" w:rsidRDefault="004B0883">
            <w:pPr>
              <w:jc w:val="right"/>
              <w:rPr>
                <w:b/>
                <w:bCs/>
                <w:color w:val="000000"/>
              </w:rPr>
            </w:pPr>
            <w:r>
              <w:rPr>
                <w:b/>
                <w:bCs/>
                <w:color w:val="000000"/>
              </w:rPr>
              <w:t>15,101.88</w:t>
            </w:r>
          </w:p>
        </w:tc>
        <w:tc>
          <w:tcPr>
            <w:tcW w:w="839" w:type="pct"/>
            <w:vAlign w:val="center"/>
          </w:tcPr>
          <w:p w14:paraId="232D290E" w14:textId="77777777" w:rsidR="004B0883" w:rsidRDefault="004B0883">
            <w:pPr>
              <w:jc w:val="right"/>
              <w:rPr>
                <w:b/>
                <w:bCs/>
                <w:color w:val="000000"/>
              </w:rPr>
            </w:pPr>
            <w:r>
              <w:rPr>
                <w:b/>
                <w:bCs/>
                <w:color w:val="000000"/>
              </w:rPr>
              <w:t>5,329.26</w:t>
            </w:r>
          </w:p>
        </w:tc>
      </w:tr>
      <w:tr w:rsidR="004B0883" w14:paraId="4A2BAADB" w14:textId="77777777">
        <w:trPr>
          <w:cantSplit/>
          <w:trHeight w:val="397"/>
        </w:trPr>
        <w:tc>
          <w:tcPr>
            <w:tcW w:w="1527" w:type="pct"/>
            <w:vAlign w:val="center"/>
          </w:tcPr>
          <w:p w14:paraId="313C6AB1" w14:textId="77777777" w:rsidR="004B0883" w:rsidRDefault="004B0883">
            <w:pPr>
              <w:rPr>
                <w:b/>
                <w:bCs/>
                <w:color w:val="000000"/>
              </w:rPr>
            </w:pPr>
            <w:r>
              <w:rPr>
                <w:rFonts w:hint="eastAsia"/>
                <w:b/>
                <w:bCs/>
                <w:color w:val="000000"/>
              </w:rPr>
              <w:t>筹资活动产生的现金流量净额</w:t>
            </w:r>
          </w:p>
        </w:tc>
        <w:tc>
          <w:tcPr>
            <w:tcW w:w="952" w:type="pct"/>
            <w:vAlign w:val="center"/>
          </w:tcPr>
          <w:p w14:paraId="75D5D8C5" w14:textId="77777777" w:rsidR="004B0883" w:rsidRDefault="004B0883">
            <w:pPr>
              <w:jc w:val="right"/>
              <w:rPr>
                <w:rFonts w:hint="eastAsia"/>
                <w:b/>
                <w:bCs/>
                <w:color w:val="000000"/>
              </w:rPr>
            </w:pPr>
            <w:r>
              <w:rPr>
                <w:b/>
                <w:bCs/>
              </w:rPr>
              <w:t>-7,952.90</w:t>
            </w:r>
          </w:p>
        </w:tc>
        <w:tc>
          <w:tcPr>
            <w:tcW w:w="841" w:type="pct"/>
            <w:vAlign w:val="center"/>
          </w:tcPr>
          <w:p w14:paraId="27EA00EB" w14:textId="77777777" w:rsidR="004B0883" w:rsidRDefault="004B0883">
            <w:pPr>
              <w:jc w:val="right"/>
              <w:rPr>
                <w:b/>
                <w:bCs/>
                <w:color w:val="000000"/>
              </w:rPr>
            </w:pPr>
            <w:r>
              <w:rPr>
                <w:b/>
                <w:bCs/>
                <w:color w:val="000000"/>
              </w:rPr>
              <w:t>-1,993.55</w:t>
            </w:r>
          </w:p>
        </w:tc>
        <w:tc>
          <w:tcPr>
            <w:tcW w:w="841" w:type="pct"/>
            <w:vAlign w:val="center"/>
          </w:tcPr>
          <w:p w14:paraId="5731FAE1" w14:textId="77777777" w:rsidR="004B0883" w:rsidRDefault="004B0883">
            <w:pPr>
              <w:jc w:val="right"/>
              <w:rPr>
                <w:b/>
                <w:bCs/>
                <w:color w:val="000000"/>
              </w:rPr>
            </w:pPr>
            <w:r>
              <w:rPr>
                <w:b/>
                <w:bCs/>
                <w:color w:val="000000"/>
              </w:rPr>
              <w:t>-6,391.88</w:t>
            </w:r>
          </w:p>
        </w:tc>
        <w:tc>
          <w:tcPr>
            <w:tcW w:w="839" w:type="pct"/>
            <w:vAlign w:val="center"/>
          </w:tcPr>
          <w:p w14:paraId="33727CD4" w14:textId="77777777" w:rsidR="004B0883" w:rsidRDefault="004B0883">
            <w:pPr>
              <w:jc w:val="right"/>
              <w:rPr>
                <w:b/>
                <w:bCs/>
                <w:color w:val="000000"/>
              </w:rPr>
            </w:pPr>
            <w:r>
              <w:rPr>
                <w:b/>
                <w:bCs/>
                <w:color w:val="000000"/>
              </w:rPr>
              <w:t>-210.16</w:t>
            </w:r>
          </w:p>
        </w:tc>
      </w:tr>
    </w:tbl>
    <w:p w14:paraId="0846653C" w14:textId="77777777" w:rsidR="004B0883" w:rsidRDefault="004B0883">
      <w:pPr>
        <w:pStyle w:val="005"/>
        <w:spacing w:before="120"/>
        <w:ind w:firstLine="480"/>
        <w:rPr>
          <w:rFonts w:hint="eastAsia"/>
          <w:kern w:val="0"/>
        </w:rPr>
      </w:pPr>
      <w:r>
        <w:rPr>
          <w:rFonts w:hint="eastAsia"/>
          <w:kern w:val="0"/>
        </w:rPr>
        <w:t>报告期内，公司筹资活动产生的现金流量净额为</w:t>
      </w:r>
      <w:r>
        <w:rPr>
          <w:kern w:val="0"/>
        </w:rPr>
        <w:t>-210.16</w:t>
      </w:r>
      <w:r>
        <w:rPr>
          <w:rFonts w:hint="eastAsia"/>
          <w:kern w:val="0"/>
        </w:rPr>
        <w:t>万元、</w:t>
      </w:r>
      <w:r>
        <w:rPr>
          <w:kern w:val="0"/>
        </w:rPr>
        <w:t>-6,391.88</w:t>
      </w:r>
      <w:r>
        <w:rPr>
          <w:rFonts w:hint="eastAsia"/>
          <w:kern w:val="0"/>
        </w:rPr>
        <w:t>万元、</w:t>
      </w:r>
      <w:r>
        <w:rPr>
          <w:kern w:val="0"/>
        </w:rPr>
        <w:t>-1,993.55</w:t>
      </w:r>
      <w:r>
        <w:rPr>
          <w:rFonts w:hint="eastAsia"/>
          <w:kern w:val="0"/>
        </w:rPr>
        <w:t>万元和</w:t>
      </w:r>
      <w:r>
        <w:rPr>
          <w:kern w:val="0"/>
        </w:rPr>
        <w:t>-7,952.90</w:t>
      </w:r>
      <w:r>
        <w:rPr>
          <w:rFonts w:hint="eastAsia"/>
          <w:kern w:val="0"/>
        </w:rPr>
        <w:t>万元。</w:t>
      </w:r>
      <w:bookmarkStart w:id="366" w:name="_Hlk124002462"/>
      <w:r>
        <w:rPr>
          <w:rFonts w:hint="eastAsia"/>
          <w:kern w:val="0"/>
        </w:rPr>
        <w:t>2021</w:t>
      </w:r>
      <w:r>
        <w:rPr>
          <w:rFonts w:hint="eastAsia"/>
          <w:kern w:val="0"/>
        </w:rPr>
        <w:t>年度，公司筹资活动现金流量净额较</w:t>
      </w:r>
      <w:r>
        <w:rPr>
          <w:rFonts w:hint="eastAsia"/>
          <w:kern w:val="0"/>
        </w:rPr>
        <w:t>2020</w:t>
      </w:r>
      <w:r>
        <w:rPr>
          <w:rFonts w:hint="eastAsia"/>
          <w:kern w:val="0"/>
        </w:rPr>
        <w:t>年度大幅度下降，主要系偿还借款、信用证到期及股份回购增多所致。</w:t>
      </w:r>
      <w:bookmarkEnd w:id="366"/>
      <w:r>
        <w:rPr>
          <w:rFonts w:hint="eastAsia"/>
          <w:kern w:val="0"/>
        </w:rPr>
        <w:t>2</w:t>
      </w:r>
      <w:r>
        <w:rPr>
          <w:kern w:val="0"/>
        </w:rPr>
        <w:t>023</w:t>
      </w:r>
      <w:r>
        <w:rPr>
          <w:rFonts w:hint="eastAsia"/>
          <w:kern w:val="0"/>
        </w:rPr>
        <w:t>年</w:t>
      </w:r>
      <w:r>
        <w:rPr>
          <w:rFonts w:hint="eastAsia"/>
          <w:kern w:val="0"/>
        </w:rPr>
        <w:t>1</w:t>
      </w:r>
      <w:r>
        <w:rPr>
          <w:kern w:val="0"/>
        </w:rPr>
        <w:t>-</w:t>
      </w:r>
      <w:r>
        <w:rPr>
          <w:rFonts w:hint="eastAsia"/>
          <w:kern w:val="0"/>
        </w:rPr>
        <w:t>9</w:t>
      </w:r>
      <w:r>
        <w:rPr>
          <w:rFonts w:hint="eastAsia"/>
          <w:kern w:val="0"/>
        </w:rPr>
        <w:t>月，公司筹资活动现金净额减少较多，主要系当期无新增借款所致。</w:t>
      </w:r>
    </w:p>
    <w:p w14:paraId="0FA661D4" w14:textId="77777777" w:rsidR="004B0883" w:rsidRDefault="004B0883">
      <w:pPr>
        <w:pStyle w:val="002"/>
        <w:spacing w:before="120" w:after="120"/>
        <w:rPr>
          <w:rFonts w:hint="eastAsia"/>
        </w:rPr>
      </w:pPr>
      <w:bookmarkStart w:id="367" w:name="_Toc152320812"/>
      <w:r>
        <w:rPr>
          <w:rFonts w:hint="eastAsia"/>
        </w:rPr>
        <w:t>九、资本支出分析</w:t>
      </w:r>
      <w:bookmarkEnd w:id="367"/>
    </w:p>
    <w:p w14:paraId="7D03A9E0" w14:textId="77777777" w:rsidR="004B0883" w:rsidRDefault="004B0883">
      <w:pPr>
        <w:pStyle w:val="003"/>
        <w:spacing w:before="120" w:after="120"/>
        <w:rPr>
          <w:rFonts w:hint="eastAsia"/>
        </w:rPr>
      </w:pPr>
      <w:r>
        <w:rPr>
          <w:rFonts w:hint="eastAsia"/>
        </w:rPr>
        <w:t>（一）报告期内重大资本性支出</w:t>
      </w:r>
    </w:p>
    <w:p w14:paraId="1098E87E" w14:textId="77777777" w:rsidR="004B0883" w:rsidRDefault="004B0883">
      <w:pPr>
        <w:pStyle w:val="005"/>
        <w:spacing w:before="120"/>
        <w:ind w:firstLine="480"/>
        <w:rPr>
          <w:rFonts w:hint="eastAsia"/>
          <w:kern w:val="0"/>
        </w:rPr>
      </w:pPr>
      <w:r>
        <w:rPr>
          <w:rFonts w:hint="eastAsia"/>
          <w:kern w:val="0"/>
        </w:rPr>
        <w:t>报告期内，公司购建固定资产、无形资产和其他长期资产支付的现金分别为</w:t>
      </w:r>
      <w:r>
        <w:rPr>
          <w:kern w:val="0"/>
        </w:rPr>
        <w:t>2,363.26</w:t>
      </w:r>
      <w:r>
        <w:rPr>
          <w:rFonts w:hint="eastAsia"/>
          <w:kern w:val="0"/>
        </w:rPr>
        <w:t>万元、</w:t>
      </w:r>
      <w:r>
        <w:rPr>
          <w:kern w:val="0"/>
        </w:rPr>
        <w:t>1,957.77</w:t>
      </w:r>
      <w:r>
        <w:rPr>
          <w:rFonts w:hint="eastAsia"/>
          <w:kern w:val="0"/>
        </w:rPr>
        <w:t>万元、</w:t>
      </w:r>
      <w:r>
        <w:rPr>
          <w:kern w:val="0"/>
        </w:rPr>
        <w:t>1,185.59</w:t>
      </w:r>
      <w:r>
        <w:rPr>
          <w:rFonts w:hint="eastAsia"/>
          <w:kern w:val="0"/>
        </w:rPr>
        <w:t>万元和</w:t>
      </w:r>
      <w:r>
        <w:rPr>
          <w:kern w:val="0"/>
        </w:rPr>
        <w:t>4,617.52</w:t>
      </w:r>
      <w:r>
        <w:rPr>
          <w:rFonts w:hint="eastAsia"/>
          <w:kern w:val="0"/>
        </w:rPr>
        <w:t>万元，主要用于购置生产设备、土地使用权等资产的投资，具体情况参见本募集说明书</w:t>
      </w:r>
      <w:r>
        <w:rPr>
          <w:rFonts w:ascii="宋体" w:hAnsi="宋体" w:hint="eastAsia"/>
          <w:kern w:val="0"/>
        </w:rPr>
        <w:t>“</w:t>
      </w:r>
      <w:r>
        <w:rPr>
          <w:rFonts w:hint="eastAsia"/>
          <w:kern w:val="0"/>
        </w:rPr>
        <w:t>第五节</w:t>
      </w:r>
      <w:r>
        <w:rPr>
          <w:rFonts w:hint="eastAsia"/>
          <w:kern w:val="0"/>
        </w:rPr>
        <w:t xml:space="preserve"> </w:t>
      </w:r>
      <w:r>
        <w:rPr>
          <w:rFonts w:hint="eastAsia"/>
          <w:kern w:val="0"/>
        </w:rPr>
        <w:t>财务会计信息与管理层分析</w:t>
      </w:r>
      <w:r>
        <w:rPr>
          <w:rFonts w:ascii="宋体" w:hAnsi="宋体" w:hint="eastAsia"/>
          <w:kern w:val="0"/>
        </w:rPr>
        <w:t>”</w:t>
      </w:r>
      <w:r>
        <w:rPr>
          <w:rFonts w:hint="eastAsia"/>
          <w:kern w:val="0"/>
        </w:rPr>
        <w:t>之</w:t>
      </w:r>
      <w:r>
        <w:rPr>
          <w:rFonts w:ascii="宋体" w:hAnsi="宋体" w:hint="eastAsia"/>
          <w:kern w:val="0"/>
        </w:rPr>
        <w:t>“</w:t>
      </w:r>
      <w:r>
        <w:rPr>
          <w:rFonts w:hint="eastAsia"/>
          <w:kern w:val="0"/>
        </w:rPr>
        <w:t>六、</w:t>
      </w:r>
      <w:r>
        <w:rPr>
          <w:rFonts w:hint="eastAsia"/>
          <w:kern w:val="0"/>
        </w:rPr>
        <w:t xml:space="preserve"> </w:t>
      </w:r>
      <w:r>
        <w:rPr>
          <w:rFonts w:hint="eastAsia"/>
          <w:kern w:val="0"/>
        </w:rPr>
        <w:t>财务状况分析</w:t>
      </w:r>
      <w:r>
        <w:rPr>
          <w:rFonts w:ascii="宋体" w:hAnsi="宋体" w:hint="eastAsia"/>
          <w:kern w:val="0"/>
        </w:rPr>
        <w:t>”</w:t>
      </w:r>
      <w:r>
        <w:rPr>
          <w:rFonts w:hint="eastAsia"/>
          <w:kern w:val="0"/>
        </w:rPr>
        <w:t>中非流动资产结构分析的有关内容。</w:t>
      </w:r>
    </w:p>
    <w:p w14:paraId="551BF5D3" w14:textId="77777777" w:rsidR="004B0883" w:rsidRDefault="004B0883">
      <w:pPr>
        <w:pStyle w:val="003"/>
        <w:spacing w:before="120" w:after="120"/>
        <w:rPr>
          <w:rFonts w:hint="eastAsia"/>
          <w:kern w:val="0"/>
        </w:rPr>
      </w:pPr>
      <w:r>
        <w:rPr>
          <w:rFonts w:hint="eastAsia"/>
        </w:rPr>
        <w:t>（二）未来可预见的重大资本性支出计划及资金需要量</w:t>
      </w:r>
    </w:p>
    <w:p w14:paraId="2CB28781" w14:textId="77777777" w:rsidR="004B0883" w:rsidRDefault="004B0883">
      <w:pPr>
        <w:pStyle w:val="005"/>
        <w:spacing w:before="120"/>
        <w:ind w:firstLine="480"/>
        <w:rPr>
          <w:rFonts w:hint="eastAsia"/>
          <w:kern w:val="0"/>
        </w:rPr>
      </w:pPr>
      <w:r>
        <w:rPr>
          <w:rFonts w:hint="eastAsia"/>
          <w:kern w:val="0"/>
        </w:rPr>
        <w:t>截至本募集说明书签署日，未来可预见的重大资本性支出为本次募集资金投资项目，具体情况参见本募集说明书</w:t>
      </w:r>
      <w:r>
        <w:rPr>
          <w:rFonts w:ascii="宋体" w:hAnsi="宋体" w:hint="eastAsia"/>
          <w:kern w:val="0"/>
        </w:rPr>
        <w:t>“</w:t>
      </w:r>
      <w:r>
        <w:rPr>
          <w:rFonts w:hint="eastAsia"/>
          <w:kern w:val="0"/>
        </w:rPr>
        <w:t>第七节</w:t>
      </w:r>
      <w:r>
        <w:rPr>
          <w:rFonts w:hint="eastAsia"/>
          <w:kern w:val="0"/>
        </w:rPr>
        <w:t xml:space="preserve"> </w:t>
      </w:r>
      <w:r>
        <w:rPr>
          <w:rFonts w:hint="eastAsia"/>
          <w:kern w:val="0"/>
        </w:rPr>
        <w:t>本次募集资金运用</w:t>
      </w:r>
      <w:r>
        <w:rPr>
          <w:rFonts w:ascii="宋体" w:hAnsi="宋体" w:hint="eastAsia"/>
          <w:kern w:val="0"/>
        </w:rPr>
        <w:t>”</w:t>
      </w:r>
      <w:r>
        <w:rPr>
          <w:rFonts w:hint="eastAsia"/>
          <w:kern w:val="0"/>
        </w:rPr>
        <w:t>的有关内容。</w:t>
      </w:r>
    </w:p>
    <w:p w14:paraId="58053043" w14:textId="77777777" w:rsidR="004B0883" w:rsidRDefault="004B0883">
      <w:pPr>
        <w:pStyle w:val="002"/>
        <w:spacing w:before="120" w:after="120"/>
        <w:rPr>
          <w:rFonts w:hint="eastAsia"/>
        </w:rPr>
      </w:pPr>
      <w:bookmarkStart w:id="368" w:name="_Toc152320813"/>
      <w:r>
        <w:rPr>
          <w:rFonts w:hint="eastAsia"/>
        </w:rPr>
        <w:t>十、技术创新分析</w:t>
      </w:r>
      <w:bookmarkEnd w:id="368"/>
    </w:p>
    <w:p w14:paraId="5A19505B" w14:textId="77777777" w:rsidR="004B0883" w:rsidRDefault="004B0883">
      <w:pPr>
        <w:pStyle w:val="005"/>
        <w:spacing w:before="120"/>
        <w:ind w:firstLine="480"/>
        <w:rPr>
          <w:rFonts w:hint="eastAsia"/>
          <w:kern w:val="0"/>
        </w:rPr>
      </w:pPr>
      <w:r>
        <w:rPr>
          <w:rFonts w:hint="eastAsia"/>
          <w:kern w:val="0"/>
        </w:rPr>
        <w:t>报告期内，公司技术先进性、正在从事的研发项目及进展情况、技术创新的机制和安排，详见本募集说明书</w:t>
      </w:r>
      <w:r>
        <w:rPr>
          <w:rFonts w:ascii="宋体" w:hAnsi="宋体" w:hint="eastAsia"/>
          <w:kern w:val="0"/>
        </w:rPr>
        <w:t>“</w:t>
      </w:r>
      <w:r>
        <w:rPr>
          <w:rFonts w:hint="eastAsia"/>
          <w:kern w:val="0"/>
        </w:rPr>
        <w:t>第四节</w:t>
      </w:r>
      <w:r>
        <w:rPr>
          <w:rFonts w:hint="eastAsia"/>
          <w:kern w:val="0"/>
        </w:rPr>
        <w:t xml:space="preserve"> </w:t>
      </w:r>
      <w:r>
        <w:rPr>
          <w:rFonts w:hint="eastAsia"/>
          <w:kern w:val="0"/>
        </w:rPr>
        <w:t>发行人基本情况</w:t>
      </w:r>
      <w:r>
        <w:rPr>
          <w:rFonts w:ascii="宋体" w:hAnsi="宋体" w:hint="eastAsia"/>
          <w:kern w:val="0"/>
        </w:rPr>
        <w:t>”</w:t>
      </w:r>
      <w:r>
        <w:rPr>
          <w:rFonts w:hint="eastAsia"/>
          <w:kern w:val="0"/>
        </w:rPr>
        <w:t>之</w:t>
      </w:r>
      <w:r>
        <w:rPr>
          <w:rFonts w:ascii="宋体" w:hAnsi="宋体" w:hint="eastAsia"/>
          <w:kern w:val="0"/>
        </w:rPr>
        <w:t>“</w:t>
      </w:r>
      <w:r>
        <w:rPr>
          <w:rFonts w:hint="eastAsia"/>
          <w:kern w:val="0"/>
        </w:rPr>
        <w:t>八、公司的技术与研发情况</w:t>
      </w:r>
      <w:r>
        <w:rPr>
          <w:rFonts w:ascii="宋体" w:hAnsi="宋体" w:hint="eastAsia"/>
          <w:kern w:val="0"/>
        </w:rPr>
        <w:t>”</w:t>
      </w:r>
      <w:r>
        <w:rPr>
          <w:rFonts w:hint="eastAsia"/>
          <w:kern w:val="0"/>
        </w:rPr>
        <w:t>。</w:t>
      </w:r>
    </w:p>
    <w:p w14:paraId="182CA0FB" w14:textId="77777777" w:rsidR="004B0883" w:rsidRDefault="004B0883">
      <w:pPr>
        <w:pStyle w:val="002"/>
        <w:spacing w:before="120" w:after="120"/>
        <w:rPr>
          <w:rFonts w:hint="eastAsia"/>
        </w:rPr>
      </w:pPr>
      <w:bookmarkStart w:id="369" w:name="_Toc152320814"/>
      <w:r>
        <w:rPr>
          <w:rFonts w:hint="eastAsia"/>
        </w:rPr>
        <w:t>十一、本次发行摊薄即期回报及公司采取的措施</w:t>
      </w:r>
      <w:bookmarkEnd w:id="369"/>
    </w:p>
    <w:p w14:paraId="03288292" w14:textId="77777777" w:rsidR="004B0883" w:rsidRDefault="004B0883">
      <w:pPr>
        <w:pStyle w:val="003"/>
        <w:spacing w:before="120" w:after="120"/>
        <w:rPr>
          <w:rFonts w:hint="eastAsia"/>
          <w:szCs w:val="22"/>
        </w:rPr>
      </w:pPr>
      <w:r>
        <w:rPr>
          <w:rFonts w:hint="eastAsia"/>
        </w:rPr>
        <w:t>（一）本次向不特定对象发行可转换公司债券对公司主要财务指标的影响</w:t>
      </w:r>
    </w:p>
    <w:p w14:paraId="4425D628" w14:textId="77777777" w:rsidR="004B0883" w:rsidRDefault="004B0883">
      <w:pPr>
        <w:pStyle w:val="004"/>
        <w:spacing w:before="120" w:after="120"/>
        <w:ind w:firstLine="482"/>
        <w:rPr>
          <w:rFonts w:hint="eastAsia"/>
        </w:rPr>
      </w:pPr>
      <w:r>
        <w:rPr>
          <w:rFonts w:hint="eastAsia"/>
        </w:rPr>
        <w:t>1</w:t>
      </w:r>
      <w:r>
        <w:rPr>
          <w:rFonts w:hint="eastAsia"/>
        </w:rPr>
        <w:t>、测算假设和前提条件</w:t>
      </w:r>
    </w:p>
    <w:p w14:paraId="7A95A26F" w14:textId="77777777" w:rsidR="004B0883" w:rsidRDefault="004B0883">
      <w:pPr>
        <w:pStyle w:val="005"/>
        <w:spacing w:before="120"/>
        <w:ind w:firstLine="480"/>
        <w:rPr>
          <w:rFonts w:hint="eastAsia"/>
        </w:rPr>
      </w:pPr>
      <w:r>
        <w:rPr>
          <w:rFonts w:hint="eastAsia"/>
        </w:rPr>
        <w:t>（</w:t>
      </w:r>
      <w:r>
        <w:rPr>
          <w:rFonts w:hint="eastAsia"/>
        </w:rPr>
        <w:t>1</w:t>
      </w:r>
      <w:r>
        <w:rPr>
          <w:rFonts w:hint="eastAsia"/>
        </w:rPr>
        <w:t>）假设宏观经济环境、产业政策、行业发展趋势及公司经营情况未发生重大不利变化。</w:t>
      </w:r>
    </w:p>
    <w:p w14:paraId="59856E5D" w14:textId="77777777" w:rsidR="004B0883" w:rsidRDefault="004B0883">
      <w:pPr>
        <w:pStyle w:val="005"/>
        <w:spacing w:before="120"/>
        <w:ind w:firstLine="480"/>
        <w:rPr>
          <w:rFonts w:hint="eastAsia"/>
        </w:rPr>
      </w:pPr>
      <w:r>
        <w:rPr>
          <w:rFonts w:hint="eastAsia"/>
        </w:rPr>
        <w:t>（</w:t>
      </w:r>
      <w:r>
        <w:rPr>
          <w:rFonts w:hint="eastAsia"/>
        </w:rPr>
        <w:t>2</w:t>
      </w:r>
      <w:r>
        <w:rPr>
          <w:rFonts w:hint="eastAsia"/>
        </w:rPr>
        <w:t>）假设本次发行可转换公司债券募集资金总额为</w:t>
      </w:r>
      <w:r>
        <w:rPr>
          <w:rFonts w:ascii="楷体" w:eastAsia="楷体" w:hAnsi="楷体"/>
          <w:b/>
          <w:bCs/>
        </w:rPr>
        <w:t>32</w:t>
      </w:r>
      <w:r>
        <w:rPr>
          <w:rFonts w:ascii="楷体" w:eastAsia="楷体" w:hAnsi="楷体" w:hint="eastAsia"/>
          <w:b/>
          <w:bCs/>
        </w:rPr>
        <w:t>,</w:t>
      </w:r>
      <w:r>
        <w:rPr>
          <w:rFonts w:ascii="楷体" w:eastAsia="楷体" w:hAnsi="楷体"/>
          <w:b/>
          <w:bCs/>
        </w:rPr>
        <w:t>183</w:t>
      </w:r>
      <w:r>
        <w:rPr>
          <w:rFonts w:ascii="楷体" w:eastAsia="楷体" w:hAnsi="楷体" w:hint="eastAsia"/>
          <w:b/>
          <w:bCs/>
        </w:rPr>
        <w:t>.00万元</w:t>
      </w:r>
      <w:r>
        <w:rPr>
          <w:rFonts w:hint="eastAsia"/>
        </w:rPr>
        <w:t>，且不考虑发行费用的影响。本次可转换公司债券发行实际到账的募集资金规模及时间将根据监管部门审核、发行认购情况以及发行费用等情况最终确定。</w:t>
      </w:r>
    </w:p>
    <w:p w14:paraId="6EE7D14E" w14:textId="77777777" w:rsidR="004B0883" w:rsidRDefault="004B0883">
      <w:pPr>
        <w:pStyle w:val="005"/>
        <w:spacing w:before="120"/>
        <w:ind w:firstLine="480"/>
        <w:rPr>
          <w:rFonts w:hint="eastAsia"/>
        </w:rPr>
      </w:pPr>
      <w:r>
        <w:rPr>
          <w:rFonts w:hint="eastAsia"/>
        </w:rPr>
        <w:t>（</w:t>
      </w:r>
      <w:r>
        <w:rPr>
          <w:rFonts w:hint="eastAsia"/>
        </w:rPr>
        <w:t>3</w:t>
      </w:r>
      <w:r>
        <w:rPr>
          <w:rFonts w:hint="eastAsia"/>
        </w:rPr>
        <w:t>）假设本次发行可转换公司债券于</w:t>
      </w:r>
      <w:r>
        <w:rPr>
          <w:rFonts w:hint="eastAsia"/>
        </w:rPr>
        <w:t>2023</w:t>
      </w:r>
      <w:r>
        <w:rPr>
          <w:rFonts w:hint="eastAsia"/>
        </w:rPr>
        <w:t>年</w:t>
      </w:r>
      <w:r>
        <w:rPr>
          <w:rFonts w:hint="eastAsia"/>
        </w:rPr>
        <w:t>12</w:t>
      </w:r>
      <w:r>
        <w:rPr>
          <w:rFonts w:hint="eastAsia"/>
        </w:rPr>
        <w:t>月底实施完毕，于</w:t>
      </w:r>
      <w:r>
        <w:rPr>
          <w:rFonts w:hint="eastAsia"/>
        </w:rPr>
        <w:t>2024</w:t>
      </w:r>
      <w:r>
        <w:rPr>
          <w:rFonts w:hint="eastAsia"/>
        </w:rPr>
        <w:t>年</w:t>
      </w:r>
      <w:r>
        <w:rPr>
          <w:rFonts w:hint="eastAsia"/>
        </w:rPr>
        <w:t>6</w:t>
      </w:r>
      <w:r>
        <w:rPr>
          <w:rFonts w:hint="eastAsia"/>
        </w:rPr>
        <w:t>月底达到转股条件，且分别假设所有可转债持有人于</w:t>
      </w:r>
      <w:r>
        <w:rPr>
          <w:rFonts w:hint="eastAsia"/>
        </w:rPr>
        <w:t>2024</w:t>
      </w:r>
      <w:r>
        <w:rPr>
          <w:rFonts w:hint="eastAsia"/>
        </w:rPr>
        <w:t>年</w:t>
      </w:r>
      <w:r>
        <w:rPr>
          <w:rFonts w:hint="eastAsia"/>
        </w:rPr>
        <w:t>6</w:t>
      </w:r>
      <w:r>
        <w:rPr>
          <w:rFonts w:hint="eastAsia"/>
        </w:rPr>
        <w:t>月</w:t>
      </w:r>
      <w:r>
        <w:rPr>
          <w:rFonts w:hint="eastAsia"/>
        </w:rPr>
        <w:t>30</w:t>
      </w:r>
      <w:r>
        <w:rPr>
          <w:rFonts w:hint="eastAsia"/>
        </w:rPr>
        <w:t>日全部转股和</w:t>
      </w:r>
      <w:r>
        <w:rPr>
          <w:rFonts w:hint="eastAsia"/>
        </w:rPr>
        <w:t>2024</w:t>
      </w:r>
      <w:r>
        <w:rPr>
          <w:rFonts w:hint="eastAsia"/>
        </w:rPr>
        <w:t>年</w:t>
      </w:r>
      <w:r>
        <w:rPr>
          <w:rFonts w:hint="eastAsia"/>
        </w:rPr>
        <w:t>12</w:t>
      </w:r>
      <w:r>
        <w:rPr>
          <w:rFonts w:hint="eastAsia"/>
        </w:rPr>
        <w:t>月</w:t>
      </w:r>
      <w:r>
        <w:rPr>
          <w:rFonts w:hint="eastAsia"/>
        </w:rPr>
        <w:t>31</w:t>
      </w:r>
      <w:r>
        <w:rPr>
          <w:rFonts w:hint="eastAsia"/>
        </w:rPr>
        <w:t>日全部未转股两种情况。上述发行方案实施完毕的时间和转股完成时间仅用于测算本次可转换公司债券发行摊薄即期回报对主要财务指标的影响，最终以经深圳证券交易所审核通过、并经中国证监会同意注册的发行数量和本次发行方案的实际完成时间及债券持有人完成转股的实际时间为准。</w:t>
      </w:r>
    </w:p>
    <w:p w14:paraId="4E559047" w14:textId="77777777" w:rsidR="004B0883" w:rsidRDefault="004B0883">
      <w:pPr>
        <w:pStyle w:val="005"/>
        <w:spacing w:before="120"/>
        <w:ind w:firstLine="480"/>
        <w:rPr>
          <w:rFonts w:hint="eastAsia"/>
        </w:rPr>
      </w:pPr>
      <w:r>
        <w:rPr>
          <w:rFonts w:hint="eastAsia"/>
        </w:rPr>
        <w:t>（</w:t>
      </w:r>
      <w:r>
        <w:rPr>
          <w:rFonts w:hint="eastAsia"/>
        </w:rPr>
        <w:t>4</w:t>
      </w:r>
      <w:r>
        <w:rPr>
          <w:rFonts w:hint="eastAsia"/>
        </w:rPr>
        <w:t>）在预测公司总股本时，以截至</w:t>
      </w:r>
      <w:r>
        <w:rPr>
          <w:rFonts w:hint="eastAsia"/>
        </w:rPr>
        <w:t>2023</w:t>
      </w:r>
      <w:r>
        <w:rPr>
          <w:rFonts w:hint="eastAsia"/>
        </w:rPr>
        <w:t>年</w:t>
      </w:r>
      <w:r>
        <w:rPr>
          <w:rFonts w:hint="eastAsia"/>
        </w:rPr>
        <w:t>4</w:t>
      </w:r>
      <w:r>
        <w:rPr>
          <w:rFonts w:hint="eastAsia"/>
        </w:rPr>
        <w:t>月</w:t>
      </w:r>
      <w:r>
        <w:rPr>
          <w:rFonts w:hint="eastAsia"/>
        </w:rPr>
        <w:t>20</w:t>
      </w:r>
      <w:r>
        <w:rPr>
          <w:rFonts w:hint="eastAsia"/>
        </w:rPr>
        <w:t>日公司总股本</w:t>
      </w:r>
      <w:r>
        <w:rPr>
          <w:rFonts w:hint="eastAsia"/>
        </w:rPr>
        <w:t>168,877,148</w:t>
      </w:r>
      <w:r>
        <w:rPr>
          <w:rFonts w:hint="eastAsia"/>
        </w:rPr>
        <w:t>股为基础，仅考虑本次发行完成并全部转股后的股票数对股本的影响，不考虑股权激励等其他因素导致股本发生的变化。假设除本次发行外，公司不会实施其他会对公司总股本发生影响或潜在影响的行为。</w:t>
      </w:r>
    </w:p>
    <w:p w14:paraId="438CBFD8" w14:textId="77777777" w:rsidR="004B0883" w:rsidRDefault="004B0883">
      <w:pPr>
        <w:pStyle w:val="005"/>
        <w:spacing w:before="120"/>
        <w:ind w:firstLine="480"/>
        <w:rPr>
          <w:rFonts w:hint="eastAsia"/>
        </w:rPr>
      </w:pPr>
      <w:r>
        <w:rPr>
          <w:rFonts w:hint="eastAsia"/>
        </w:rPr>
        <w:t>（</w:t>
      </w:r>
      <w:r>
        <w:rPr>
          <w:rFonts w:hint="eastAsia"/>
        </w:rPr>
        <w:t>5</w:t>
      </w:r>
      <w:r>
        <w:rPr>
          <w:rFonts w:hint="eastAsia"/>
        </w:rPr>
        <w:t>）假设本次可转债的转股价格为人民币</w:t>
      </w:r>
      <w:r>
        <w:rPr>
          <w:rFonts w:hint="eastAsia"/>
        </w:rPr>
        <w:t>13.65</w:t>
      </w:r>
      <w:r>
        <w:rPr>
          <w:rFonts w:hint="eastAsia"/>
        </w:rPr>
        <w:t>元</w:t>
      </w:r>
      <w:r>
        <w:rPr>
          <w:rFonts w:hint="eastAsia"/>
        </w:rPr>
        <w:t>/</w:t>
      </w:r>
      <w:r>
        <w:rPr>
          <w:rFonts w:hint="eastAsia"/>
        </w:rPr>
        <w:t>股，该价格为公司第四届董事会第十七次会议召开日（</w:t>
      </w:r>
      <w:r>
        <w:rPr>
          <w:rFonts w:hint="eastAsia"/>
        </w:rPr>
        <w:t>2023</w:t>
      </w:r>
      <w:r>
        <w:rPr>
          <w:rFonts w:hint="eastAsia"/>
        </w:rPr>
        <w:t>年</w:t>
      </w:r>
      <w:r>
        <w:rPr>
          <w:rFonts w:hint="eastAsia"/>
        </w:rPr>
        <w:t>1</w:t>
      </w:r>
      <w:r>
        <w:rPr>
          <w:rFonts w:hint="eastAsia"/>
        </w:rPr>
        <w:t>月</w:t>
      </w:r>
      <w:r>
        <w:rPr>
          <w:rFonts w:hint="eastAsia"/>
        </w:rPr>
        <w:t>16</w:t>
      </w:r>
      <w:r>
        <w:rPr>
          <w:rFonts w:hint="eastAsia"/>
        </w:rPr>
        <w:t>日）前二十个交易日交易均价与前一交易日交易均价的较高者，转股数量上限约为</w:t>
      </w:r>
      <w:r>
        <w:rPr>
          <w:rFonts w:ascii="楷体" w:eastAsia="楷体" w:hAnsi="楷体"/>
          <w:b/>
          <w:bCs/>
        </w:rPr>
        <w:t>23,577,289</w:t>
      </w:r>
      <w:r>
        <w:rPr>
          <w:rFonts w:ascii="楷体" w:eastAsia="楷体" w:hAnsi="楷体" w:hint="eastAsia"/>
          <w:b/>
          <w:bCs/>
        </w:rPr>
        <w:t>股</w:t>
      </w:r>
      <w:r>
        <w:rPr>
          <w:rFonts w:hint="eastAsia"/>
        </w:rPr>
        <w:t>。（该转股价格仅用于计算本次发行摊薄即期回报对公司主要财务指标的影响，最终的转股价格由公司董事会根据股东大会授权，在发行前根据市场状况和公司具体情况与保荐机构（主承销商）协商确定，并可能进行除权、除息调整或向下修正）。</w:t>
      </w:r>
    </w:p>
    <w:p w14:paraId="09A8A953" w14:textId="77777777" w:rsidR="004B0883" w:rsidRDefault="004B0883">
      <w:pPr>
        <w:pStyle w:val="005"/>
        <w:spacing w:before="120"/>
        <w:ind w:firstLine="480"/>
        <w:rPr>
          <w:rFonts w:hint="eastAsia"/>
        </w:rPr>
      </w:pPr>
      <w:r>
        <w:rPr>
          <w:rFonts w:hint="eastAsia"/>
        </w:rPr>
        <w:t>（</w:t>
      </w:r>
      <w:r>
        <w:rPr>
          <w:rFonts w:hint="eastAsia"/>
        </w:rPr>
        <w:t>6</w:t>
      </w:r>
      <w:r>
        <w:rPr>
          <w:rFonts w:hint="eastAsia"/>
        </w:rPr>
        <w:t>）根据公司</w:t>
      </w:r>
      <w:r>
        <w:rPr>
          <w:rFonts w:hint="eastAsia"/>
        </w:rPr>
        <w:t>2022</w:t>
      </w:r>
      <w:r>
        <w:rPr>
          <w:rFonts w:hint="eastAsia"/>
        </w:rPr>
        <w:t>年度股东大会审议通过的《关于</w:t>
      </w:r>
      <w:r>
        <w:rPr>
          <w:rFonts w:hint="eastAsia"/>
        </w:rPr>
        <w:t>2022</w:t>
      </w:r>
      <w:r>
        <w:rPr>
          <w:rFonts w:hint="eastAsia"/>
        </w:rPr>
        <w:t>年度利润分配及资本公积金转增股本预案的议案》，公司</w:t>
      </w:r>
      <w:r>
        <w:rPr>
          <w:rFonts w:hint="eastAsia"/>
        </w:rPr>
        <w:t>2022</w:t>
      </w:r>
      <w:r>
        <w:rPr>
          <w:rFonts w:hint="eastAsia"/>
        </w:rPr>
        <w:t>年度派发现金红利为</w:t>
      </w:r>
      <w:r>
        <w:rPr>
          <w:rFonts w:hint="eastAsia"/>
        </w:rPr>
        <w:t>50,663,144.40</w:t>
      </w:r>
      <w:r>
        <w:rPr>
          <w:rFonts w:hint="eastAsia"/>
        </w:rPr>
        <w:t>元（含税）。不考虑公司</w:t>
      </w:r>
      <w:r>
        <w:rPr>
          <w:rFonts w:hint="eastAsia"/>
        </w:rPr>
        <w:t>2022</w:t>
      </w:r>
      <w:r>
        <w:rPr>
          <w:rFonts w:hint="eastAsia"/>
        </w:rPr>
        <w:t>年度资本公积金转增股本的影响，不考虑公司</w:t>
      </w:r>
      <w:r>
        <w:rPr>
          <w:rFonts w:hint="eastAsia"/>
        </w:rPr>
        <w:t>2023</w:t>
      </w:r>
      <w:r>
        <w:rPr>
          <w:rFonts w:hint="eastAsia"/>
        </w:rPr>
        <w:t>年度利润分配因素的影响。</w:t>
      </w:r>
    </w:p>
    <w:p w14:paraId="26747F30" w14:textId="77777777" w:rsidR="004B0883" w:rsidRDefault="004B0883">
      <w:pPr>
        <w:pStyle w:val="005"/>
        <w:spacing w:before="120"/>
        <w:ind w:firstLine="480"/>
      </w:pPr>
      <w:r>
        <w:rPr>
          <w:rFonts w:hint="eastAsia"/>
        </w:rPr>
        <w:t>（</w:t>
      </w:r>
      <w:r>
        <w:rPr>
          <w:rFonts w:hint="eastAsia"/>
        </w:rPr>
        <w:t>7</w:t>
      </w:r>
      <w:r>
        <w:rPr>
          <w:rFonts w:hint="eastAsia"/>
        </w:rPr>
        <w:t>）根据公司</w:t>
      </w:r>
      <w:r>
        <w:rPr>
          <w:rFonts w:hint="eastAsia"/>
        </w:rPr>
        <w:t>2022</w:t>
      </w:r>
      <w:r>
        <w:rPr>
          <w:rFonts w:hint="eastAsia"/>
        </w:rPr>
        <w:t>年报，公司</w:t>
      </w:r>
      <w:r>
        <w:rPr>
          <w:rFonts w:hint="eastAsia"/>
        </w:rPr>
        <w:t>2022</w:t>
      </w:r>
      <w:r>
        <w:rPr>
          <w:rFonts w:hint="eastAsia"/>
        </w:rPr>
        <w:t>年年度归属于母公司股东的净利润为</w:t>
      </w:r>
      <w:r>
        <w:rPr>
          <w:rFonts w:hint="eastAsia"/>
        </w:rPr>
        <w:t>136,205,068.76</w:t>
      </w:r>
      <w:r>
        <w:rPr>
          <w:rFonts w:hint="eastAsia"/>
        </w:rPr>
        <w:t>元，扣除非经常性损益后归属于母公司股东的净利润为</w:t>
      </w:r>
      <w:r>
        <w:rPr>
          <w:rFonts w:hint="eastAsia"/>
        </w:rPr>
        <w:t>97,939,171.27</w:t>
      </w:r>
      <w:r>
        <w:rPr>
          <w:rFonts w:hint="eastAsia"/>
        </w:rPr>
        <w:t>元；</w:t>
      </w:r>
      <w:r>
        <w:rPr>
          <w:rFonts w:hint="eastAsia"/>
        </w:rPr>
        <w:t>2023</w:t>
      </w:r>
      <w:r>
        <w:rPr>
          <w:rFonts w:hint="eastAsia"/>
        </w:rPr>
        <w:t>年度、</w:t>
      </w:r>
      <w:r>
        <w:rPr>
          <w:rFonts w:hint="eastAsia"/>
        </w:rPr>
        <w:t>2024</w:t>
      </w:r>
      <w:r>
        <w:rPr>
          <w:rFonts w:hint="eastAsia"/>
        </w:rPr>
        <w:t>年度归属于上市公司股东的扣除非经常性损益前</w:t>
      </w:r>
      <w:r>
        <w:rPr>
          <w:rFonts w:hint="eastAsia"/>
        </w:rPr>
        <w:t>/</w:t>
      </w:r>
      <w:r>
        <w:rPr>
          <w:rFonts w:hint="eastAsia"/>
        </w:rPr>
        <w:t>后的净利润分别按以下三种情况进行测算：（</w:t>
      </w:r>
      <w:r>
        <w:rPr>
          <w:rFonts w:hint="eastAsia"/>
        </w:rPr>
        <w:t>1</w:t>
      </w:r>
      <w:r>
        <w:rPr>
          <w:rFonts w:hint="eastAsia"/>
        </w:rPr>
        <w:t>）同比增长</w:t>
      </w:r>
      <w:r>
        <w:rPr>
          <w:rFonts w:hint="eastAsia"/>
        </w:rPr>
        <w:t>15%</w:t>
      </w:r>
      <w:r>
        <w:rPr>
          <w:rFonts w:hint="eastAsia"/>
        </w:rPr>
        <w:t>；（</w:t>
      </w:r>
      <w:r>
        <w:rPr>
          <w:rFonts w:hint="eastAsia"/>
        </w:rPr>
        <w:t>2</w:t>
      </w:r>
      <w:r>
        <w:rPr>
          <w:rFonts w:hint="eastAsia"/>
        </w:rPr>
        <w:t>）同比持平；（</w:t>
      </w:r>
      <w:r>
        <w:rPr>
          <w:rFonts w:hint="eastAsia"/>
        </w:rPr>
        <w:t>3</w:t>
      </w:r>
      <w:r>
        <w:rPr>
          <w:rFonts w:hint="eastAsia"/>
        </w:rPr>
        <w:t>）同比下降</w:t>
      </w:r>
      <w:r>
        <w:rPr>
          <w:rFonts w:hint="eastAsia"/>
        </w:rPr>
        <w:t>15%</w:t>
      </w:r>
      <w:r>
        <w:rPr>
          <w:rFonts w:hint="eastAsia"/>
        </w:rPr>
        <w:t>。上述假设仅用于计算本次发行可转债摊薄即期回报对公司主要财务指标的影响，并不代表公司对未来经营情况及趋势的判断，亦不构成公司盈利预测，盈利情况及所有者权益数据最终以会计师事务所审计的金额为准</w:t>
      </w:r>
    </w:p>
    <w:p w14:paraId="5E402A74" w14:textId="77777777" w:rsidR="004B0883" w:rsidRDefault="004B0883">
      <w:pPr>
        <w:pStyle w:val="005"/>
        <w:spacing w:before="120"/>
        <w:ind w:firstLine="480"/>
      </w:pPr>
      <w:r>
        <w:rPr>
          <w:rFonts w:hint="eastAsia"/>
        </w:rPr>
        <w:t>（</w:t>
      </w:r>
      <w:r>
        <w:rPr>
          <w:rFonts w:hint="eastAsia"/>
        </w:rPr>
        <w:t>8</w:t>
      </w:r>
      <w:r>
        <w:rPr>
          <w:rFonts w:hint="eastAsia"/>
        </w:rPr>
        <w:t>）假设</w:t>
      </w:r>
      <w:r>
        <w:rPr>
          <w:rFonts w:hint="eastAsia"/>
        </w:rPr>
        <w:t>2023</w:t>
      </w:r>
      <w:r>
        <w:rPr>
          <w:rFonts w:hint="eastAsia"/>
        </w:rPr>
        <w:t>年</w:t>
      </w:r>
      <w:r>
        <w:rPr>
          <w:rFonts w:hint="eastAsia"/>
        </w:rPr>
        <w:t>12</w:t>
      </w:r>
      <w:r>
        <w:rPr>
          <w:rFonts w:hint="eastAsia"/>
        </w:rPr>
        <w:t>月</w:t>
      </w:r>
      <w:r>
        <w:rPr>
          <w:rFonts w:hint="eastAsia"/>
        </w:rPr>
        <w:t>31</w:t>
      </w:r>
      <w:r>
        <w:rPr>
          <w:rFonts w:hint="eastAsia"/>
        </w:rPr>
        <w:t>日归属于母公司所有者权益</w:t>
      </w:r>
      <w:r>
        <w:rPr>
          <w:rFonts w:hint="eastAsia"/>
        </w:rPr>
        <w:t>=2023</w:t>
      </w:r>
      <w:r>
        <w:rPr>
          <w:rFonts w:hint="eastAsia"/>
        </w:rPr>
        <w:t>年期初归属于母公司所有者权益＋</w:t>
      </w:r>
      <w:r>
        <w:rPr>
          <w:rFonts w:hint="eastAsia"/>
        </w:rPr>
        <w:t>2023</w:t>
      </w:r>
      <w:r>
        <w:rPr>
          <w:rFonts w:hint="eastAsia"/>
        </w:rPr>
        <w:t>年归属于母公司所有者的净利润－当期现金分红金额；假设</w:t>
      </w:r>
      <w:r>
        <w:rPr>
          <w:rFonts w:hint="eastAsia"/>
        </w:rPr>
        <w:t>2024</w:t>
      </w:r>
      <w:r>
        <w:rPr>
          <w:rFonts w:hint="eastAsia"/>
        </w:rPr>
        <w:t>年</w:t>
      </w:r>
      <w:r>
        <w:rPr>
          <w:rFonts w:hint="eastAsia"/>
        </w:rPr>
        <w:t>12</w:t>
      </w:r>
      <w:r>
        <w:rPr>
          <w:rFonts w:hint="eastAsia"/>
        </w:rPr>
        <w:t>月</w:t>
      </w:r>
      <w:r>
        <w:rPr>
          <w:rFonts w:hint="eastAsia"/>
        </w:rPr>
        <w:t>31</w:t>
      </w:r>
      <w:r>
        <w:rPr>
          <w:rFonts w:hint="eastAsia"/>
        </w:rPr>
        <w:t>日归属于母公司所有者权益</w:t>
      </w:r>
      <w:r>
        <w:rPr>
          <w:rFonts w:hint="eastAsia"/>
        </w:rPr>
        <w:t>=2024</w:t>
      </w:r>
      <w:r>
        <w:rPr>
          <w:rFonts w:hint="eastAsia"/>
        </w:rPr>
        <w:t>年期初归属于母公司所有者权益＋</w:t>
      </w:r>
      <w:r>
        <w:rPr>
          <w:rFonts w:hint="eastAsia"/>
        </w:rPr>
        <w:t>2024</w:t>
      </w:r>
      <w:r>
        <w:rPr>
          <w:rFonts w:hint="eastAsia"/>
        </w:rPr>
        <w:t>年归属于母公司所有者的净利润。</w:t>
      </w:r>
    </w:p>
    <w:p w14:paraId="5EA9920F" w14:textId="77777777" w:rsidR="004B0883" w:rsidRDefault="004B0883">
      <w:pPr>
        <w:pStyle w:val="005"/>
        <w:spacing w:before="120"/>
        <w:ind w:firstLine="480"/>
      </w:pPr>
      <w:r>
        <w:rPr>
          <w:rFonts w:hint="eastAsia"/>
        </w:rPr>
        <w:t>（</w:t>
      </w:r>
      <w:r>
        <w:rPr>
          <w:rFonts w:hint="eastAsia"/>
        </w:rPr>
        <w:t>9</w:t>
      </w:r>
      <w:r>
        <w:rPr>
          <w:rFonts w:hint="eastAsia"/>
        </w:rPr>
        <w:t>）在预测公司发行后净资产时，未考虑除募集资金和净利润之外的其他因素对净资产的影响。</w:t>
      </w:r>
    </w:p>
    <w:p w14:paraId="2A553533" w14:textId="77777777" w:rsidR="004B0883" w:rsidRDefault="004B0883">
      <w:pPr>
        <w:pStyle w:val="005"/>
        <w:spacing w:before="120"/>
        <w:ind w:firstLine="480"/>
      </w:pPr>
      <w:r>
        <w:rPr>
          <w:rFonts w:hint="eastAsia"/>
        </w:rPr>
        <w:t>（</w:t>
      </w:r>
      <w:r>
        <w:rPr>
          <w:rFonts w:hint="eastAsia"/>
        </w:rPr>
        <w:t>1</w:t>
      </w:r>
      <w:r>
        <w:t>0</w:t>
      </w:r>
      <w:r>
        <w:rPr>
          <w:rFonts w:hint="eastAsia"/>
        </w:rPr>
        <w:t>）假设不考虑本次可转债票面利率的影响，仅为模拟测算需要，不构成对实际票面利率的数值预测。</w:t>
      </w:r>
    </w:p>
    <w:p w14:paraId="21E6A0A6" w14:textId="77777777" w:rsidR="004B0883" w:rsidRDefault="004B0883">
      <w:pPr>
        <w:pStyle w:val="005"/>
        <w:spacing w:before="120"/>
        <w:ind w:firstLine="480"/>
        <w:rPr>
          <w:rFonts w:hint="eastAsia"/>
        </w:rPr>
      </w:pPr>
      <w:r>
        <w:rPr>
          <w:rFonts w:hint="eastAsia"/>
        </w:rPr>
        <w:t>（</w:t>
      </w:r>
      <w:r>
        <w:rPr>
          <w:rFonts w:hint="eastAsia"/>
        </w:rPr>
        <w:t>1</w:t>
      </w:r>
      <w:r>
        <w:t>1</w:t>
      </w:r>
      <w:r>
        <w:rPr>
          <w:rFonts w:hint="eastAsia"/>
        </w:rPr>
        <w:t>）假设本次可转债在发行完成后全部以负债项目在财务报表中列示。该假设仅为模拟测算财务指标使用，具体情况以发行完成后的实际会计处理为准。</w:t>
      </w:r>
    </w:p>
    <w:p w14:paraId="27ADBFD8" w14:textId="77777777" w:rsidR="004B0883" w:rsidRDefault="004B0883">
      <w:pPr>
        <w:pStyle w:val="005"/>
        <w:spacing w:before="120"/>
        <w:ind w:firstLine="480"/>
        <w:rPr>
          <w:rFonts w:hint="eastAsia"/>
        </w:rPr>
      </w:pPr>
      <w:r>
        <w:rPr>
          <w:rFonts w:hint="eastAsia"/>
        </w:rPr>
        <w:t>上述假设仅为测算本次发行摊薄即期回报对公司主要财务指标的影响，不代表公司对</w:t>
      </w:r>
      <w:r>
        <w:rPr>
          <w:rFonts w:hint="eastAsia"/>
        </w:rPr>
        <w:t>2023</w:t>
      </w:r>
      <w:r>
        <w:rPr>
          <w:rFonts w:hint="eastAsia"/>
        </w:rPr>
        <w:t>年度及</w:t>
      </w:r>
      <w:r>
        <w:rPr>
          <w:rFonts w:hint="eastAsia"/>
        </w:rPr>
        <w:t>2024</w:t>
      </w:r>
      <w:r>
        <w:rPr>
          <w:rFonts w:hint="eastAsia"/>
        </w:rPr>
        <w:t>年度经营情况及趋势的判断，亦不构成任何盈利预测及承诺事项。投资者不应据此进行投资决策，投资者据此进行投资决策造成损失的，公司不承担赔偿责任。</w:t>
      </w:r>
    </w:p>
    <w:p w14:paraId="4FA59C82" w14:textId="77777777" w:rsidR="004B0883" w:rsidRDefault="004B0883">
      <w:pPr>
        <w:pStyle w:val="004"/>
        <w:spacing w:before="120" w:after="120"/>
        <w:ind w:firstLine="482"/>
        <w:rPr>
          <w:rFonts w:hint="eastAsia"/>
        </w:rPr>
      </w:pPr>
      <w:r>
        <w:rPr>
          <w:rFonts w:hint="eastAsia"/>
        </w:rPr>
        <w:t>2</w:t>
      </w:r>
      <w:r>
        <w:rPr>
          <w:rFonts w:hint="eastAsia"/>
        </w:rPr>
        <w:t>、对公司主要财务指标的影响</w:t>
      </w:r>
    </w:p>
    <w:p w14:paraId="1F71F54E" w14:textId="77777777" w:rsidR="004B0883" w:rsidRDefault="004B0883">
      <w:pPr>
        <w:pStyle w:val="005"/>
        <w:spacing w:before="120"/>
        <w:ind w:firstLine="480"/>
      </w:pPr>
      <w:r>
        <w:rPr>
          <w:rFonts w:hint="eastAsia"/>
        </w:rPr>
        <w:t>基于上述假设，公司测算了本次发行摊薄即期回报对每股收益的影响，具体情况如下：</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ook w:val="0000" w:firstRow="0" w:lastRow="0" w:firstColumn="0" w:lastColumn="0" w:noHBand="0" w:noVBand="0"/>
      </w:tblPr>
      <w:tblGrid>
        <w:gridCol w:w="1299"/>
        <w:gridCol w:w="1604"/>
        <w:gridCol w:w="1690"/>
        <w:gridCol w:w="10"/>
        <w:gridCol w:w="1900"/>
        <w:gridCol w:w="1777"/>
      </w:tblGrid>
      <w:tr w:rsidR="004B0883" w14:paraId="5686656E" w14:textId="77777777">
        <w:trPr>
          <w:trHeight w:val="397"/>
          <w:tblHeader/>
          <w:jc w:val="center"/>
        </w:trPr>
        <w:tc>
          <w:tcPr>
            <w:tcW w:w="1469" w:type="dxa"/>
            <w:vMerge w:val="restart"/>
            <w:shd w:val="clear" w:color="auto" w:fill="D9D9D9"/>
            <w:vAlign w:val="center"/>
          </w:tcPr>
          <w:p w14:paraId="71DC6F26" w14:textId="77777777" w:rsidR="004B0883" w:rsidRDefault="004B0883">
            <w:pPr>
              <w:jc w:val="center"/>
              <w:rPr>
                <w:rFonts w:cs="宋体" w:hint="eastAsia"/>
                <w:b/>
                <w:bCs/>
                <w:color w:val="000000"/>
                <w:kern w:val="0"/>
              </w:rPr>
            </w:pPr>
            <w:r>
              <w:rPr>
                <w:rFonts w:cs="宋体" w:hint="eastAsia"/>
                <w:b/>
                <w:bCs/>
                <w:color w:val="000000"/>
                <w:kern w:val="0"/>
              </w:rPr>
              <w:t>项目</w:t>
            </w:r>
          </w:p>
        </w:tc>
        <w:tc>
          <w:tcPr>
            <w:tcW w:w="1633" w:type="dxa"/>
            <w:vMerge w:val="restart"/>
            <w:shd w:val="clear" w:color="auto" w:fill="D9D9D9"/>
            <w:vAlign w:val="center"/>
          </w:tcPr>
          <w:p w14:paraId="30A0FF63" w14:textId="77777777" w:rsidR="004B0883" w:rsidRDefault="004B0883">
            <w:pPr>
              <w:jc w:val="center"/>
              <w:rPr>
                <w:b/>
                <w:bCs/>
                <w:color w:val="000000"/>
                <w:kern w:val="0"/>
              </w:rPr>
            </w:pPr>
            <w:r>
              <w:rPr>
                <w:b/>
                <w:bCs/>
                <w:color w:val="000000"/>
                <w:kern w:val="0"/>
              </w:rPr>
              <w:t>2022</w:t>
            </w:r>
            <w:r>
              <w:rPr>
                <w:rFonts w:hint="eastAsia"/>
                <w:b/>
                <w:bCs/>
                <w:color w:val="000000"/>
                <w:kern w:val="0"/>
              </w:rPr>
              <w:t>年度</w:t>
            </w:r>
            <w:r>
              <w:rPr>
                <w:b/>
                <w:bCs/>
                <w:color w:val="000000"/>
                <w:kern w:val="0"/>
              </w:rPr>
              <w:t>/2022</w:t>
            </w:r>
            <w:r>
              <w:rPr>
                <w:rFonts w:hint="eastAsia"/>
                <w:b/>
                <w:bCs/>
                <w:color w:val="000000"/>
                <w:kern w:val="0"/>
              </w:rPr>
              <w:t>年</w:t>
            </w:r>
            <w:r>
              <w:rPr>
                <w:b/>
                <w:bCs/>
                <w:color w:val="000000"/>
                <w:kern w:val="0"/>
              </w:rPr>
              <w:t>12</w:t>
            </w:r>
            <w:r>
              <w:rPr>
                <w:rFonts w:hint="eastAsia"/>
                <w:b/>
                <w:bCs/>
                <w:color w:val="000000"/>
                <w:kern w:val="0"/>
              </w:rPr>
              <w:t>月</w:t>
            </w:r>
            <w:r>
              <w:rPr>
                <w:b/>
                <w:bCs/>
                <w:color w:val="000000"/>
                <w:kern w:val="0"/>
              </w:rPr>
              <w:t>31</w:t>
            </w:r>
            <w:r>
              <w:rPr>
                <w:rFonts w:hint="eastAsia"/>
                <w:b/>
                <w:bCs/>
                <w:color w:val="000000"/>
                <w:kern w:val="0"/>
              </w:rPr>
              <w:t>日</w:t>
            </w:r>
          </w:p>
        </w:tc>
        <w:tc>
          <w:tcPr>
            <w:tcW w:w="1760" w:type="dxa"/>
            <w:gridSpan w:val="2"/>
            <w:vMerge w:val="restart"/>
            <w:shd w:val="clear" w:color="auto" w:fill="D9D9D9"/>
            <w:vAlign w:val="center"/>
          </w:tcPr>
          <w:p w14:paraId="2B725919" w14:textId="77777777" w:rsidR="004B0883" w:rsidRDefault="004B0883">
            <w:pPr>
              <w:rPr>
                <w:b/>
                <w:bCs/>
                <w:color w:val="000000"/>
                <w:kern w:val="0"/>
              </w:rPr>
            </w:pPr>
            <w:r>
              <w:rPr>
                <w:b/>
                <w:bCs/>
                <w:color w:val="000000"/>
                <w:kern w:val="0"/>
              </w:rPr>
              <w:t>2023</w:t>
            </w:r>
            <w:r>
              <w:rPr>
                <w:rFonts w:hint="eastAsia"/>
                <w:b/>
                <w:bCs/>
                <w:color w:val="000000"/>
                <w:kern w:val="0"/>
              </w:rPr>
              <w:t>年度</w:t>
            </w:r>
            <w:r>
              <w:rPr>
                <w:b/>
                <w:bCs/>
                <w:color w:val="000000"/>
                <w:kern w:val="0"/>
              </w:rPr>
              <w:t>/202</w:t>
            </w:r>
            <w:r>
              <w:rPr>
                <w:rFonts w:hint="eastAsia"/>
                <w:b/>
                <w:bCs/>
                <w:color w:val="000000"/>
                <w:kern w:val="0"/>
              </w:rPr>
              <w:t>3</w:t>
            </w:r>
            <w:r>
              <w:rPr>
                <w:rFonts w:hint="eastAsia"/>
                <w:b/>
                <w:bCs/>
                <w:color w:val="000000"/>
                <w:kern w:val="0"/>
              </w:rPr>
              <w:t>年</w:t>
            </w:r>
            <w:r>
              <w:rPr>
                <w:b/>
                <w:bCs/>
                <w:color w:val="000000"/>
                <w:kern w:val="0"/>
              </w:rPr>
              <w:t>12</w:t>
            </w:r>
            <w:r>
              <w:rPr>
                <w:rFonts w:hint="eastAsia"/>
                <w:b/>
                <w:bCs/>
                <w:color w:val="000000"/>
                <w:kern w:val="0"/>
              </w:rPr>
              <w:t>月</w:t>
            </w:r>
            <w:r>
              <w:rPr>
                <w:b/>
                <w:bCs/>
                <w:color w:val="000000"/>
                <w:kern w:val="0"/>
              </w:rPr>
              <w:t>31</w:t>
            </w:r>
            <w:r>
              <w:rPr>
                <w:rFonts w:hint="eastAsia"/>
                <w:b/>
                <w:bCs/>
                <w:color w:val="000000"/>
                <w:kern w:val="0"/>
              </w:rPr>
              <w:t>日</w:t>
            </w:r>
          </w:p>
        </w:tc>
        <w:tc>
          <w:tcPr>
            <w:tcW w:w="3664" w:type="dxa"/>
            <w:gridSpan w:val="2"/>
            <w:shd w:val="clear" w:color="auto" w:fill="D9D9D9"/>
            <w:vAlign w:val="center"/>
          </w:tcPr>
          <w:p w14:paraId="5CD0EFA5" w14:textId="77777777" w:rsidR="004B0883" w:rsidRDefault="004B0883">
            <w:pPr>
              <w:jc w:val="center"/>
              <w:rPr>
                <w:b/>
                <w:bCs/>
                <w:color w:val="000000"/>
                <w:kern w:val="0"/>
              </w:rPr>
            </w:pPr>
            <w:r>
              <w:rPr>
                <w:b/>
                <w:bCs/>
                <w:color w:val="000000"/>
                <w:kern w:val="0"/>
              </w:rPr>
              <w:t>2024</w:t>
            </w:r>
            <w:r>
              <w:rPr>
                <w:rFonts w:hint="eastAsia"/>
                <w:b/>
                <w:bCs/>
                <w:color w:val="000000"/>
                <w:kern w:val="0"/>
              </w:rPr>
              <w:t>年度</w:t>
            </w:r>
            <w:r>
              <w:rPr>
                <w:rFonts w:hint="eastAsia"/>
                <w:b/>
                <w:bCs/>
                <w:color w:val="000000"/>
                <w:kern w:val="0"/>
              </w:rPr>
              <w:t>/</w:t>
            </w:r>
            <w:r>
              <w:rPr>
                <w:b/>
                <w:bCs/>
                <w:color w:val="000000"/>
                <w:kern w:val="0"/>
              </w:rPr>
              <w:t>2024</w:t>
            </w:r>
            <w:r>
              <w:rPr>
                <w:rFonts w:hint="eastAsia"/>
                <w:b/>
                <w:bCs/>
                <w:color w:val="000000"/>
                <w:kern w:val="0"/>
              </w:rPr>
              <w:t>年</w:t>
            </w:r>
            <w:r>
              <w:rPr>
                <w:b/>
                <w:bCs/>
                <w:color w:val="000000"/>
                <w:kern w:val="0"/>
              </w:rPr>
              <w:t>12</w:t>
            </w:r>
            <w:r>
              <w:rPr>
                <w:rFonts w:hint="eastAsia"/>
                <w:b/>
                <w:bCs/>
                <w:color w:val="000000"/>
                <w:kern w:val="0"/>
              </w:rPr>
              <w:t>月</w:t>
            </w:r>
            <w:r>
              <w:rPr>
                <w:b/>
                <w:bCs/>
                <w:color w:val="000000"/>
                <w:kern w:val="0"/>
              </w:rPr>
              <w:t>31</w:t>
            </w:r>
            <w:r>
              <w:rPr>
                <w:rFonts w:hint="eastAsia"/>
                <w:b/>
                <w:bCs/>
                <w:color w:val="000000"/>
                <w:kern w:val="0"/>
              </w:rPr>
              <w:t>日</w:t>
            </w:r>
          </w:p>
        </w:tc>
      </w:tr>
      <w:tr w:rsidR="004B0883" w14:paraId="74345F32" w14:textId="77777777">
        <w:trPr>
          <w:trHeight w:val="397"/>
          <w:tblHeader/>
          <w:jc w:val="center"/>
        </w:trPr>
        <w:tc>
          <w:tcPr>
            <w:tcW w:w="1469" w:type="dxa"/>
            <w:vMerge/>
            <w:shd w:val="clear" w:color="auto" w:fill="D9D9D9"/>
            <w:vAlign w:val="center"/>
          </w:tcPr>
          <w:p w14:paraId="7CEE1AA7" w14:textId="77777777" w:rsidR="004B0883" w:rsidRDefault="004B0883">
            <w:pPr>
              <w:jc w:val="center"/>
              <w:rPr>
                <w:rFonts w:cs="宋体" w:hint="eastAsia"/>
                <w:b/>
                <w:bCs/>
                <w:color w:val="000000"/>
                <w:kern w:val="0"/>
              </w:rPr>
            </w:pPr>
          </w:p>
        </w:tc>
        <w:tc>
          <w:tcPr>
            <w:tcW w:w="1633" w:type="dxa"/>
            <w:vMerge/>
            <w:shd w:val="clear" w:color="auto" w:fill="D9D9D9"/>
            <w:vAlign w:val="center"/>
          </w:tcPr>
          <w:p w14:paraId="558175DF" w14:textId="77777777" w:rsidR="004B0883" w:rsidRDefault="004B0883">
            <w:pPr>
              <w:rPr>
                <w:rFonts w:hint="eastAsia"/>
                <w:b/>
                <w:bCs/>
                <w:color w:val="000000"/>
                <w:kern w:val="0"/>
              </w:rPr>
            </w:pPr>
          </w:p>
        </w:tc>
        <w:tc>
          <w:tcPr>
            <w:tcW w:w="1760" w:type="dxa"/>
            <w:gridSpan w:val="2"/>
            <w:vMerge/>
            <w:shd w:val="clear" w:color="auto" w:fill="D9D9D9"/>
            <w:vAlign w:val="center"/>
          </w:tcPr>
          <w:p w14:paraId="6293D9EE" w14:textId="77777777" w:rsidR="004B0883" w:rsidRDefault="004B0883">
            <w:pPr>
              <w:rPr>
                <w:rFonts w:hint="eastAsia"/>
                <w:b/>
                <w:bCs/>
                <w:color w:val="000000"/>
                <w:kern w:val="0"/>
              </w:rPr>
            </w:pPr>
          </w:p>
        </w:tc>
        <w:tc>
          <w:tcPr>
            <w:tcW w:w="1852" w:type="dxa"/>
            <w:shd w:val="clear" w:color="auto" w:fill="D9D9D9"/>
            <w:vAlign w:val="center"/>
          </w:tcPr>
          <w:p w14:paraId="5D1C6B35" w14:textId="77777777" w:rsidR="004B0883" w:rsidRDefault="004B0883">
            <w:pPr>
              <w:jc w:val="center"/>
              <w:rPr>
                <w:b/>
                <w:bCs/>
                <w:color w:val="000000"/>
                <w:kern w:val="0"/>
              </w:rPr>
            </w:pPr>
            <w:r>
              <w:rPr>
                <w:b/>
                <w:bCs/>
                <w:color w:val="000000"/>
                <w:kern w:val="0"/>
              </w:rPr>
              <w:t>2024</w:t>
            </w:r>
            <w:r>
              <w:rPr>
                <w:rFonts w:hint="eastAsia"/>
                <w:b/>
                <w:bCs/>
                <w:color w:val="000000"/>
                <w:kern w:val="0"/>
              </w:rPr>
              <w:t>年</w:t>
            </w:r>
            <w:r>
              <w:rPr>
                <w:b/>
                <w:bCs/>
                <w:color w:val="000000"/>
                <w:kern w:val="0"/>
              </w:rPr>
              <w:t>6</w:t>
            </w:r>
            <w:r>
              <w:rPr>
                <w:rFonts w:hint="eastAsia"/>
                <w:b/>
                <w:bCs/>
                <w:color w:val="000000"/>
                <w:kern w:val="0"/>
              </w:rPr>
              <w:t>月</w:t>
            </w:r>
            <w:r>
              <w:rPr>
                <w:b/>
                <w:bCs/>
                <w:color w:val="000000"/>
                <w:kern w:val="0"/>
              </w:rPr>
              <w:t>30</w:t>
            </w:r>
            <w:r>
              <w:rPr>
                <w:rFonts w:hint="eastAsia"/>
                <w:b/>
                <w:bCs/>
                <w:color w:val="000000"/>
                <w:kern w:val="0"/>
              </w:rPr>
              <w:t>日全部转股</w:t>
            </w:r>
          </w:p>
        </w:tc>
        <w:tc>
          <w:tcPr>
            <w:tcW w:w="1812" w:type="dxa"/>
            <w:shd w:val="clear" w:color="auto" w:fill="D9D9D9"/>
            <w:vAlign w:val="center"/>
          </w:tcPr>
          <w:p w14:paraId="2649B1BD" w14:textId="77777777" w:rsidR="004B0883" w:rsidRDefault="004B0883">
            <w:pPr>
              <w:jc w:val="center"/>
              <w:rPr>
                <w:b/>
                <w:bCs/>
                <w:color w:val="000000"/>
                <w:kern w:val="0"/>
              </w:rPr>
            </w:pPr>
            <w:r>
              <w:rPr>
                <w:b/>
                <w:bCs/>
                <w:color w:val="000000"/>
                <w:kern w:val="0"/>
              </w:rPr>
              <w:t>2024</w:t>
            </w:r>
            <w:r>
              <w:rPr>
                <w:rFonts w:hint="eastAsia"/>
                <w:b/>
                <w:bCs/>
                <w:color w:val="000000"/>
                <w:kern w:val="0"/>
              </w:rPr>
              <w:t>年</w:t>
            </w:r>
            <w:r>
              <w:rPr>
                <w:b/>
                <w:bCs/>
                <w:color w:val="000000"/>
                <w:kern w:val="0"/>
              </w:rPr>
              <w:t>12</w:t>
            </w:r>
            <w:r>
              <w:rPr>
                <w:rFonts w:hint="eastAsia"/>
                <w:b/>
                <w:bCs/>
                <w:color w:val="000000"/>
                <w:kern w:val="0"/>
              </w:rPr>
              <w:t>月</w:t>
            </w:r>
            <w:r>
              <w:rPr>
                <w:b/>
                <w:bCs/>
                <w:color w:val="000000"/>
                <w:kern w:val="0"/>
              </w:rPr>
              <w:t>31</w:t>
            </w:r>
            <w:r>
              <w:rPr>
                <w:rFonts w:hint="eastAsia"/>
                <w:b/>
                <w:bCs/>
                <w:color w:val="000000"/>
                <w:kern w:val="0"/>
              </w:rPr>
              <w:t>日全部未转股</w:t>
            </w:r>
          </w:p>
        </w:tc>
      </w:tr>
      <w:tr w:rsidR="004B0883" w14:paraId="0C5846E7" w14:textId="77777777">
        <w:trPr>
          <w:trHeight w:val="397"/>
          <w:jc w:val="center"/>
        </w:trPr>
        <w:tc>
          <w:tcPr>
            <w:tcW w:w="1469" w:type="dxa"/>
            <w:shd w:val="clear" w:color="auto" w:fill="FFFFFF"/>
            <w:vAlign w:val="center"/>
          </w:tcPr>
          <w:p w14:paraId="18350291" w14:textId="77777777" w:rsidR="004B0883" w:rsidRDefault="004B0883">
            <w:pPr>
              <w:rPr>
                <w:rFonts w:cs="宋体"/>
                <w:color w:val="000000"/>
                <w:kern w:val="0"/>
              </w:rPr>
            </w:pPr>
            <w:r>
              <w:rPr>
                <w:rFonts w:cs="宋体" w:hint="eastAsia"/>
                <w:color w:val="000000"/>
                <w:kern w:val="0"/>
              </w:rPr>
              <w:t>总股本（股）</w:t>
            </w:r>
          </w:p>
        </w:tc>
        <w:tc>
          <w:tcPr>
            <w:tcW w:w="1633" w:type="dxa"/>
            <w:shd w:val="clear" w:color="auto" w:fill="FFFFFF"/>
            <w:vAlign w:val="center"/>
          </w:tcPr>
          <w:p w14:paraId="44B042D3" w14:textId="77777777" w:rsidR="004B0883" w:rsidRDefault="004B0883">
            <w:pPr>
              <w:jc w:val="right"/>
              <w:rPr>
                <w:color w:val="000000"/>
                <w:highlight w:val="yellow"/>
              </w:rPr>
            </w:pPr>
            <w:r>
              <w:t>168,877,148</w:t>
            </w:r>
          </w:p>
        </w:tc>
        <w:tc>
          <w:tcPr>
            <w:tcW w:w="1751" w:type="dxa"/>
            <w:shd w:val="clear" w:color="auto" w:fill="FFFFFF"/>
            <w:vAlign w:val="center"/>
          </w:tcPr>
          <w:p w14:paraId="390083CD" w14:textId="77777777" w:rsidR="004B0883" w:rsidRDefault="004B0883">
            <w:pPr>
              <w:jc w:val="right"/>
              <w:rPr>
                <w:color w:val="000000"/>
                <w:kern w:val="0"/>
                <w:highlight w:val="yellow"/>
              </w:rPr>
            </w:pPr>
            <w:r>
              <w:t>168,877,148</w:t>
            </w:r>
          </w:p>
        </w:tc>
        <w:tc>
          <w:tcPr>
            <w:tcW w:w="1861" w:type="dxa"/>
            <w:gridSpan w:val="2"/>
            <w:shd w:val="clear" w:color="auto" w:fill="FFFFFF"/>
            <w:vAlign w:val="center"/>
          </w:tcPr>
          <w:p w14:paraId="63CD1F92" w14:textId="77777777" w:rsidR="004B0883" w:rsidRDefault="004B0883">
            <w:pPr>
              <w:jc w:val="right"/>
              <w:rPr>
                <w:rFonts w:ascii="楷体" w:eastAsia="楷体" w:hAnsi="楷体"/>
                <w:b/>
                <w:bCs/>
                <w:color w:val="000000"/>
                <w:highlight w:val="yellow"/>
              </w:rPr>
            </w:pPr>
            <w:r>
              <w:rPr>
                <w:rFonts w:ascii="楷体" w:eastAsia="楷体" w:hAnsi="楷体"/>
                <w:b/>
                <w:bCs/>
              </w:rPr>
              <w:t>192,454,437</w:t>
            </w:r>
          </w:p>
        </w:tc>
        <w:tc>
          <w:tcPr>
            <w:tcW w:w="1812" w:type="dxa"/>
            <w:shd w:val="clear" w:color="auto" w:fill="FFFFFF"/>
            <w:vAlign w:val="center"/>
          </w:tcPr>
          <w:p w14:paraId="4F41048C" w14:textId="77777777" w:rsidR="004B0883" w:rsidRDefault="004B0883">
            <w:pPr>
              <w:jc w:val="right"/>
              <w:rPr>
                <w:color w:val="000000"/>
                <w:highlight w:val="yellow"/>
              </w:rPr>
            </w:pPr>
            <w:r>
              <w:t>168,877,148</w:t>
            </w:r>
          </w:p>
        </w:tc>
      </w:tr>
      <w:tr w:rsidR="004B0883" w14:paraId="1AC4DB0B" w14:textId="77777777">
        <w:trPr>
          <w:trHeight w:val="397"/>
          <w:jc w:val="center"/>
        </w:trPr>
        <w:tc>
          <w:tcPr>
            <w:tcW w:w="8526" w:type="dxa"/>
            <w:gridSpan w:val="6"/>
            <w:shd w:val="clear" w:color="auto" w:fill="FFFFFF"/>
            <w:vAlign w:val="center"/>
          </w:tcPr>
          <w:p w14:paraId="31A4CFCE" w14:textId="77777777" w:rsidR="004B0883" w:rsidRDefault="004B0883">
            <w:pPr>
              <w:rPr>
                <w:rFonts w:cs="宋体"/>
                <w:b/>
                <w:bCs/>
                <w:color w:val="000000"/>
                <w:kern w:val="0"/>
              </w:rPr>
            </w:pPr>
            <w:r>
              <w:rPr>
                <w:rFonts w:cs="宋体" w:hint="eastAsia"/>
                <w:b/>
                <w:bCs/>
                <w:color w:val="000000"/>
                <w:kern w:val="0"/>
              </w:rPr>
              <w:t>假设</w:t>
            </w:r>
            <w:r>
              <w:rPr>
                <w:rFonts w:cs="宋体" w:hint="eastAsia"/>
                <w:b/>
                <w:bCs/>
                <w:color w:val="000000"/>
                <w:kern w:val="0"/>
              </w:rPr>
              <w:t>1</w:t>
            </w:r>
            <w:r>
              <w:rPr>
                <w:rFonts w:cs="宋体" w:hint="eastAsia"/>
                <w:b/>
                <w:bCs/>
                <w:color w:val="000000"/>
                <w:kern w:val="0"/>
              </w:rPr>
              <w:t>：假设</w:t>
            </w:r>
            <w:r>
              <w:rPr>
                <w:rFonts w:cs="宋体" w:hint="eastAsia"/>
                <w:b/>
                <w:bCs/>
                <w:color w:val="000000"/>
                <w:kern w:val="0"/>
              </w:rPr>
              <w:t>202</w:t>
            </w:r>
            <w:r>
              <w:rPr>
                <w:rFonts w:cs="宋体"/>
                <w:b/>
                <w:bCs/>
                <w:color w:val="000000"/>
                <w:kern w:val="0"/>
              </w:rPr>
              <w:t>4</w:t>
            </w:r>
            <w:r>
              <w:rPr>
                <w:rFonts w:cs="宋体" w:hint="eastAsia"/>
                <w:b/>
                <w:bCs/>
                <w:color w:val="000000"/>
                <w:kern w:val="0"/>
              </w:rPr>
              <w:t>年度扣除非经常性损益前</w:t>
            </w:r>
            <w:r>
              <w:rPr>
                <w:rFonts w:cs="宋体" w:hint="eastAsia"/>
                <w:b/>
                <w:bCs/>
                <w:color w:val="000000"/>
                <w:kern w:val="0"/>
              </w:rPr>
              <w:t>/</w:t>
            </w:r>
            <w:r>
              <w:rPr>
                <w:rFonts w:cs="宋体" w:hint="eastAsia"/>
                <w:b/>
                <w:bCs/>
                <w:color w:val="000000"/>
                <w:kern w:val="0"/>
              </w:rPr>
              <w:t>后归属于母公司股东的净利润同比下降</w:t>
            </w:r>
            <w:r>
              <w:rPr>
                <w:rFonts w:cs="宋体" w:hint="eastAsia"/>
                <w:b/>
                <w:bCs/>
                <w:color w:val="000000"/>
                <w:kern w:val="0"/>
              </w:rPr>
              <w:t>15%</w:t>
            </w:r>
          </w:p>
        </w:tc>
      </w:tr>
      <w:tr w:rsidR="004B0883" w14:paraId="596CF9D9" w14:textId="77777777">
        <w:trPr>
          <w:trHeight w:val="397"/>
          <w:jc w:val="center"/>
        </w:trPr>
        <w:tc>
          <w:tcPr>
            <w:tcW w:w="1469" w:type="dxa"/>
            <w:shd w:val="clear" w:color="auto" w:fill="FFFFFF"/>
            <w:vAlign w:val="center"/>
          </w:tcPr>
          <w:p w14:paraId="0D13FA3C" w14:textId="77777777" w:rsidR="004B0883" w:rsidRDefault="004B0883">
            <w:pPr>
              <w:rPr>
                <w:rFonts w:cs="宋体" w:hint="eastAsia"/>
                <w:color w:val="000000"/>
                <w:kern w:val="0"/>
              </w:rPr>
            </w:pPr>
            <w:r>
              <w:rPr>
                <w:rFonts w:hint="eastAsia"/>
              </w:rPr>
              <w:t>归属于母公司股东的净利润</w:t>
            </w:r>
            <w:r>
              <w:rPr>
                <w:rFonts w:cs="宋体" w:hint="eastAsia"/>
                <w:color w:val="000000"/>
                <w:kern w:val="0"/>
              </w:rPr>
              <w:t>（元）</w:t>
            </w:r>
          </w:p>
        </w:tc>
        <w:tc>
          <w:tcPr>
            <w:tcW w:w="1633" w:type="dxa"/>
            <w:shd w:val="clear" w:color="auto" w:fill="FFFFFF"/>
            <w:vAlign w:val="center"/>
          </w:tcPr>
          <w:p w14:paraId="52737CFA" w14:textId="77777777" w:rsidR="004B0883" w:rsidRDefault="004B0883">
            <w:pPr>
              <w:jc w:val="right"/>
              <w:rPr>
                <w:color w:val="000000"/>
                <w:highlight w:val="yellow"/>
              </w:rPr>
            </w:pPr>
            <w:r>
              <w:t>136,205,068.76</w:t>
            </w:r>
          </w:p>
        </w:tc>
        <w:tc>
          <w:tcPr>
            <w:tcW w:w="1751" w:type="dxa"/>
            <w:shd w:val="clear" w:color="auto" w:fill="FFFFFF"/>
            <w:vAlign w:val="center"/>
          </w:tcPr>
          <w:p w14:paraId="338E70F7" w14:textId="77777777" w:rsidR="004B0883" w:rsidRDefault="004B0883">
            <w:pPr>
              <w:jc w:val="right"/>
              <w:rPr>
                <w:color w:val="000000"/>
                <w:kern w:val="0"/>
                <w:highlight w:val="yellow"/>
              </w:rPr>
            </w:pPr>
            <w:r>
              <w:t xml:space="preserve">115,774,308.45 </w:t>
            </w:r>
          </w:p>
        </w:tc>
        <w:tc>
          <w:tcPr>
            <w:tcW w:w="1861" w:type="dxa"/>
            <w:gridSpan w:val="2"/>
            <w:shd w:val="clear" w:color="auto" w:fill="FFFFFF"/>
            <w:vAlign w:val="center"/>
          </w:tcPr>
          <w:p w14:paraId="7A908E04" w14:textId="77777777" w:rsidR="004B0883" w:rsidRDefault="004B0883">
            <w:pPr>
              <w:jc w:val="right"/>
              <w:rPr>
                <w:color w:val="000000"/>
                <w:highlight w:val="yellow"/>
              </w:rPr>
            </w:pPr>
            <w:r>
              <w:rPr>
                <w:rFonts w:eastAsia="等线"/>
                <w:color w:val="000000"/>
              </w:rPr>
              <w:t>98,408,162.18</w:t>
            </w:r>
          </w:p>
        </w:tc>
        <w:tc>
          <w:tcPr>
            <w:tcW w:w="1812" w:type="dxa"/>
            <w:shd w:val="clear" w:color="auto" w:fill="FFFFFF"/>
            <w:vAlign w:val="center"/>
          </w:tcPr>
          <w:p w14:paraId="16A52AF0" w14:textId="77777777" w:rsidR="004B0883" w:rsidRDefault="004B0883">
            <w:pPr>
              <w:jc w:val="right"/>
              <w:rPr>
                <w:color w:val="000000"/>
                <w:highlight w:val="yellow"/>
              </w:rPr>
            </w:pPr>
            <w:r>
              <w:t xml:space="preserve">98,408,162.18 </w:t>
            </w:r>
          </w:p>
        </w:tc>
      </w:tr>
      <w:tr w:rsidR="004B0883" w14:paraId="72593FE6" w14:textId="77777777">
        <w:trPr>
          <w:trHeight w:val="397"/>
          <w:jc w:val="center"/>
        </w:trPr>
        <w:tc>
          <w:tcPr>
            <w:tcW w:w="1469" w:type="dxa"/>
            <w:shd w:val="clear" w:color="auto" w:fill="FFFFFF"/>
            <w:vAlign w:val="center"/>
          </w:tcPr>
          <w:p w14:paraId="44B9F0AB" w14:textId="77777777" w:rsidR="004B0883" w:rsidRDefault="004B0883">
            <w:pPr>
              <w:rPr>
                <w:rFonts w:cs="宋体"/>
                <w:color w:val="000000"/>
                <w:kern w:val="0"/>
              </w:rPr>
            </w:pPr>
            <w:r>
              <w:rPr>
                <w:rFonts w:cs="宋体" w:hint="eastAsia"/>
                <w:color w:val="000000"/>
                <w:kern w:val="0"/>
              </w:rPr>
              <w:t>扣除非经常性损益后</w:t>
            </w:r>
            <w:r>
              <w:rPr>
                <w:rFonts w:hint="eastAsia"/>
              </w:rPr>
              <w:t>归属于母公司股东的净利润</w:t>
            </w:r>
            <w:r>
              <w:rPr>
                <w:rFonts w:cs="宋体" w:hint="eastAsia"/>
                <w:color w:val="000000"/>
                <w:kern w:val="0"/>
              </w:rPr>
              <w:t>（元）</w:t>
            </w:r>
          </w:p>
        </w:tc>
        <w:tc>
          <w:tcPr>
            <w:tcW w:w="1633" w:type="dxa"/>
            <w:shd w:val="clear" w:color="auto" w:fill="FFFFFF"/>
            <w:vAlign w:val="center"/>
          </w:tcPr>
          <w:p w14:paraId="2C52AD1C" w14:textId="77777777" w:rsidR="004B0883" w:rsidRDefault="004B0883">
            <w:pPr>
              <w:jc w:val="right"/>
              <w:rPr>
                <w:color w:val="000000"/>
                <w:highlight w:val="yellow"/>
              </w:rPr>
            </w:pPr>
            <w:r>
              <w:t>97,939,171.27</w:t>
            </w:r>
          </w:p>
        </w:tc>
        <w:tc>
          <w:tcPr>
            <w:tcW w:w="1751" w:type="dxa"/>
            <w:shd w:val="clear" w:color="auto" w:fill="FFFFFF"/>
            <w:vAlign w:val="center"/>
          </w:tcPr>
          <w:p w14:paraId="7AC7CE9B" w14:textId="77777777" w:rsidR="004B0883" w:rsidRDefault="004B0883">
            <w:pPr>
              <w:jc w:val="right"/>
              <w:rPr>
                <w:color w:val="000000"/>
                <w:highlight w:val="yellow"/>
              </w:rPr>
            </w:pPr>
            <w:r>
              <w:t xml:space="preserve">83,248,295.58 </w:t>
            </w:r>
          </w:p>
        </w:tc>
        <w:tc>
          <w:tcPr>
            <w:tcW w:w="1861" w:type="dxa"/>
            <w:gridSpan w:val="2"/>
            <w:shd w:val="clear" w:color="auto" w:fill="FFFFFF"/>
            <w:vAlign w:val="center"/>
          </w:tcPr>
          <w:p w14:paraId="5E4DFC6E" w14:textId="77777777" w:rsidR="004B0883" w:rsidRDefault="004B0883">
            <w:pPr>
              <w:jc w:val="right"/>
              <w:rPr>
                <w:color w:val="000000"/>
                <w:highlight w:val="yellow"/>
              </w:rPr>
            </w:pPr>
            <w:r>
              <w:rPr>
                <w:rFonts w:eastAsia="等线"/>
                <w:color w:val="000000"/>
              </w:rPr>
              <w:t>70,761,051.24</w:t>
            </w:r>
          </w:p>
        </w:tc>
        <w:tc>
          <w:tcPr>
            <w:tcW w:w="1812" w:type="dxa"/>
            <w:shd w:val="clear" w:color="auto" w:fill="FFFFFF"/>
            <w:vAlign w:val="center"/>
          </w:tcPr>
          <w:p w14:paraId="70D9E5FE" w14:textId="77777777" w:rsidR="004B0883" w:rsidRDefault="004B0883">
            <w:pPr>
              <w:jc w:val="right"/>
              <w:rPr>
                <w:color w:val="000000"/>
                <w:highlight w:val="yellow"/>
              </w:rPr>
            </w:pPr>
            <w:r>
              <w:t xml:space="preserve">70,761,051.24 </w:t>
            </w:r>
          </w:p>
        </w:tc>
      </w:tr>
      <w:tr w:rsidR="004B0883" w14:paraId="16D9271A" w14:textId="77777777">
        <w:trPr>
          <w:trHeight w:val="397"/>
          <w:jc w:val="center"/>
        </w:trPr>
        <w:tc>
          <w:tcPr>
            <w:tcW w:w="1469" w:type="dxa"/>
            <w:shd w:val="clear" w:color="auto" w:fill="FFFFFF"/>
            <w:vAlign w:val="center"/>
          </w:tcPr>
          <w:p w14:paraId="64F559DB" w14:textId="77777777" w:rsidR="004B0883" w:rsidRDefault="004B0883">
            <w:pPr>
              <w:rPr>
                <w:rFonts w:cs="宋体"/>
                <w:color w:val="000000"/>
                <w:kern w:val="0"/>
              </w:rPr>
            </w:pPr>
            <w:r>
              <w:rPr>
                <w:rFonts w:cs="宋体" w:hint="eastAsia"/>
                <w:color w:val="000000"/>
                <w:kern w:val="0"/>
              </w:rPr>
              <w:t>归属于母公司所有者权益（元）</w:t>
            </w:r>
          </w:p>
        </w:tc>
        <w:tc>
          <w:tcPr>
            <w:tcW w:w="1633" w:type="dxa"/>
            <w:shd w:val="clear" w:color="auto" w:fill="FFFFFF"/>
            <w:vAlign w:val="center"/>
          </w:tcPr>
          <w:p w14:paraId="338517C7" w14:textId="77777777" w:rsidR="004B0883" w:rsidRDefault="004B0883">
            <w:pPr>
              <w:jc w:val="right"/>
              <w:rPr>
                <w:color w:val="000000"/>
                <w:highlight w:val="yellow"/>
              </w:rPr>
            </w:pPr>
            <w:r>
              <w:t>733,889,514.15</w:t>
            </w:r>
          </w:p>
        </w:tc>
        <w:tc>
          <w:tcPr>
            <w:tcW w:w="1751" w:type="dxa"/>
            <w:shd w:val="clear" w:color="auto" w:fill="FFFFFF"/>
            <w:vAlign w:val="center"/>
          </w:tcPr>
          <w:p w14:paraId="13EDF261" w14:textId="77777777" w:rsidR="004B0883" w:rsidRDefault="004B0883">
            <w:pPr>
              <w:jc w:val="right"/>
              <w:rPr>
                <w:color w:val="000000"/>
                <w:highlight w:val="yellow"/>
              </w:rPr>
            </w:pPr>
            <w:r>
              <w:t xml:space="preserve">799,000,678.20 </w:t>
            </w:r>
          </w:p>
        </w:tc>
        <w:tc>
          <w:tcPr>
            <w:tcW w:w="1861" w:type="dxa"/>
            <w:gridSpan w:val="2"/>
            <w:shd w:val="clear" w:color="auto" w:fill="FFFFFF"/>
            <w:vAlign w:val="center"/>
          </w:tcPr>
          <w:p w14:paraId="2A7838D9" w14:textId="77777777" w:rsidR="004B0883" w:rsidRDefault="004B0883">
            <w:pPr>
              <w:jc w:val="right"/>
              <w:rPr>
                <w:rFonts w:ascii="楷体" w:eastAsia="楷体" w:hAnsi="楷体"/>
                <w:b/>
                <w:bCs/>
                <w:color w:val="000000"/>
                <w:highlight w:val="yellow"/>
              </w:rPr>
            </w:pPr>
            <w:r>
              <w:rPr>
                <w:rFonts w:ascii="楷体" w:eastAsia="楷体" w:hAnsi="楷体"/>
                <w:b/>
                <w:bCs/>
                <w:color w:val="000000"/>
              </w:rPr>
              <w:t>1,219,238,840.38</w:t>
            </w:r>
          </w:p>
        </w:tc>
        <w:tc>
          <w:tcPr>
            <w:tcW w:w="1812" w:type="dxa"/>
            <w:shd w:val="clear" w:color="auto" w:fill="FFFFFF"/>
            <w:vAlign w:val="center"/>
          </w:tcPr>
          <w:p w14:paraId="6129ACDB" w14:textId="77777777" w:rsidR="004B0883" w:rsidRDefault="004B0883">
            <w:pPr>
              <w:jc w:val="right"/>
              <w:rPr>
                <w:color w:val="000000"/>
                <w:highlight w:val="yellow"/>
              </w:rPr>
            </w:pPr>
            <w:r>
              <w:t xml:space="preserve">897,408,840.38 </w:t>
            </w:r>
          </w:p>
        </w:tc>
      </w:tr>
      <w:tr w:rsidR="004B0883" w14:paraId="2AB5C097" w14:textId="77777777">
        <w:trPr>
          <w:trHeight w:val="397"/>
          <w:jc w:val="center"/>
        </w:trPr>
        <w:tc>
          <w:tcPr>
            <w:tcW w:w="1469" w:type="dxa"/>
            <w:shd w:val="clear" w:color="auto" w:fill="FFFFFF"/>
            <w:vAlign w:val="center"/>
          </w:tcPr>
          <w:p w14:paraId="23BDC63F" w14:textId="77777777" w:rsidR="004B0883" w:rsidRDefault="004B0883">
            <w:pPr>
              <w:rPr>
                <w:rFonts w:cs="宋体"/>
                <w:color w:val="000000"/>
                <w:kern w:val="0"/>
              </w:rPr>
            </w:pPr>
            <w:r>
              <w:rPr>
                <w:rFonts w:cs="宋体" w:hint="eastAsia"/>
                <w:color w:val="000000"/>
                <w:kern w:val="0"/>
              </w:rPr>
              <w:t>基本每股收益（元</w:t>
            </w:r>
            <w:r>
              <w:rPr>
                <w:color w:val="000000"/>
                <w:kern w:val="0"/>
              </w:rPr>
              <w:t>/</w:t>
            </w:r>
            <w:r>
              <w:rPr>
                <w:rFonts w:cs="宋体" w:hint="eastAsia"/>
                <w:color w:val="000000"/>
                <w:kern w:val="0"/>
              </w:rPr>
              <w:t>股）</w:t>
            </w:r>
          </w:p>
        </w:tc>
        <w:tc>
          <w:tcPr>
            <w:tcW w:w="1633" w:type="dxa"/>
            <w:shd w:val="clear" w:color="auto" w:fill="FFFFFF"/>
            <w:vAlign w:val="center"/>
          </w:tcPr>
          <w:p w14:paraId="426B2266" w14:textId="77777777" w:rsidR="004B0883" w:rsidRDefault="004B0883">
            <w:pPr>
              <w:jc w:val="right"/>
              <w:rPr>
                <w:color w:val="000000"/>
                <w:highlight w:val="yellow"/>
              </w:rPr>
            </w:pPr>
            <w:r>
              <w:t>0.81</w:t>
            </w:r>
          </w:p>
        </w:tc>
        <w:tc>
          <w:tcPr>
            <w:tcW w:w="1751" w:type="dxa"/>
            <w:shd w:val="clear" w:color="auto" w:fill="FFFFFF"/>
            <w:vAlign w:val="center"/>
          </w:tcPr>
          <w:p w14:paraId="23136FC9" w14:textId="77777777" w:rsidR="004B0883" w:rsidRDefault="004B0883">
            <w:pPr>
              <w:jc w:val="right"/>
              <w:rPr>
                <w:color w:val="000000"/>
                <w:highlight w:val="yellow"/>
              </w:rPr>
            </w:pPr>
            <w:r>
              <w:t xml:space="preserve">0.69 </w:t>
            </w:r>
          </w:p>
        </w:tc>
        <w:tc>
          <w:tcPr>
            <w:tcW w:w="1861" w:type="dxa"/>
            <w:gridSpan w:val="2"/>
            <w:shd w:val="clear" w:color="auto" w:fill="FFFFFF"/>
            <w:vAlign w:val="center"/>
          </w:tcPr>
          <w:p w14:paraId="3BB4257F" w14:textId="77777777" w:rsidR="004B0883" w:rsidRDefault="004B0883">
            <w:pPr>
              <w:jc w:val="right"/>
              <w:rPr>
                <w:color w:val="000000"/>
                <w:highlight w:val="yellow"/>
              </w:rPr>
            </w:pPr>
            <w:r>
              <w:rPr>
                <w:rFonts w:eastAsia="等线"/>
                <w:color w:val="000000"/>
              </w:rPr>
              <w:t>0.54</w:t>
            </w:r>
          </w:p>
        </w:tc>
        <w:tc>
          <w:tcPr>
            <w:tcW w:w="1812" w:type="dxa"/>
            <w:shd w:val="clear" w:color="auto" w:fill="FFFFFF"/>
            <w:vAlign w:val="center"/>
          </w:tcPr>
          <w:p w14:paraId="090F4AD0" w14:textId="77777777" w:rsidR="004B0883" w:rsidRDefault="004B0883">
            <w:pPr>
              <w:jc w:val="right"/>
              <w:rPr>
                <w:color w:val="000000"/>
                <w:highlight w:val="yellow"/>
              </w:rPr>
            </w:pPr>
            <w:r>
              <w:t xml:space="preserve">0.58 </w:t>
            </w:r>
          </w:p>
        </w:tc>
      </w:tr>
      <w:tr w:rsidR="004B0883" w14:paraId="6420814B" w14:textId="77777777">
        <w:trPr>
          <w:trHeight w:val="397"/>
          <w:jc w:val="center"/>
        </w:trPr>
        <w:tc>
          <w:tcPr>
            <w:tcW w:w="1469" w:type="dxa"/>
            <w:shd w:val="clear" w:color="auto" w:fill="FFFFFF"/>
            <w:vAlign w:val="center"/>
          </w:tcPr>
          <w:p w14:paraId="19AA2F15" w14:textId="77777777" w:rsidR="004B0883" w:rsidRDefault="004B0883">
            <w:pPr>
              <w:rPr>
                <w:rFonts w:cs="宋体"/>
                <w:color w:val="000000"/>
                <w:kern w:val="0"/>
              </w:rPr>
            </w:pPr>
            <w:r>
              <w:rPr>
                <w:rFonts w:cs="宋体" w:hint="eastAsia"/>
                <w:color w:val="000000"/>
                <w:kern w:val="0"/>
              </w:rPr>
              <w:t>稀释每股收益（元</w:t>
            </w:r>
            <w:r>
              <w:rPr>
                <w:color w:val="000000"/>
                <w:kern w:val="0"/>
              </w:rPr>
              <w:t>/</w:t>
            </w:r>
            <w:r>
              <w:rPr>
                <w:rFonts w:cs="宋体" w:hint="eastAsia"/>
                <w:color w:val="000000"/>
                <w:kern w:val="0"/>
              </w:rPr>
              <w:t>股）</w:t>
            </w:r>
          </w:p>
        </w:tc>
        <w:tc>
          <w:tcPr>
            <w:tcW w:w="1633" w:type="dxa"/>
            <w:shd w:val="clear" w:color="auto" w:fill="FFFFFF"/>
            <w:vAlign w:val="center"/>
          </w:tcPr>
          <w:p w14:paraId="30DD0462" w14:textId="77777777" w:rsidR="004B0883" w:rsidRDefault="004B0883">
            <w:pPr>
              <w:jc w:val="right"/>
              <w:rPr>
                <w:color w:val="000000"/>
                <w:highlight w:val="yellow"/>
              </w:rPr>
            </w:pPr>
            <w:r>
              <w:t>0.80</w:t>
            </w:r>
          </w:p>
        </w:tc>
        <w:tc>
          <w:tcPr>
            <w:tcW w:w="1751" w:type="dxa"/>
            <w:shd w:val="clear" w:color="auto" w:fill="FFFFFF"/>
            <w:vAlign w:val="center"/>
          </w:tcPr>
          <w:p w14:paraId="29FDEF95" w14:textId="77777777" w:rsidR="004B0883" w:rsidRDefault="004B0883">
            <w:pPr>
              <w:jc w:val="right"/>
              <w:rPr>
                <w:color w:val="000000"/>
                <w:highlight w:val="yellow"/>
              </w:rPr>
            </w:pPr>
            <w:r>
              <w:t xml:space="preserve">0.69 </w:t>
            </w:r>
          </w:p>
        </w:tc>
        <w:tc>
          <w:tcPr>
            <w:tcW w:w="1861" w:type="dxa"/>
            <w:gridSpan w:val="2"/>
            <w:shd w:val="clear" w:color="auto" w:fill="FFFFFF"/>
            <w:vAlign w:val="center"/>
          </w:tcPr>
          <w:p w14:paraId="0DDCE1A7" w14:textId="77777777" w:rsidR="004B0883" w:rsidRDefault="004B0883">
            <w:pPr>
              <w:jc w:val="right"/>
              <w:rPr>
                <w:color w:val="000000"/>
                <w:highlight w:val="yellow"/>
              </w:rPr>
            </w:pPr>
            <w:r>
              <w:rPr>
                <w:rFonts w:eastAsia="等线"/>
                <w:color w:val="000000"/>
              </w:rPr>
              <w:t>0.51</w:t>
            </w:r>
          </w:p>
        </w:tc>
        <w:tc>
          <w:tcPr>
            <w:tcW w:w="1812" w:type="dxa"/>
            <w:shd w:val="clear" w:color="auto" w:fill="FFFFFF"/>
            <w:vAlign w:val="center"/>
          </w:tcPr>
          <w:p w14:paraId="6DC971D2" w14:textId="77777777" w:rsidR="004B0883" w:rsidRDefault="004B0883">
            <w:pPr>
              <w:jc w:val="right"/>
              <w:rPr>
                <w:color w:val="000000"/>
                <w:highlight w:val="yellow"/>
              </w:rPr>
            </w:pPr>
            <w:r>
              <w:t xml:space="preserve">0.51 </w:t>
            </w:r>
          </w:p>
        </w:tc>
      </w:tr>
      <w:tr w:rsidR="004B0883" w14:paraId="7DC8ABCE" w14:textId="77777777">
        <w:trPr>
          <w:trHeight w:val="397"/>
          <w:jc w:val="center"/>
        </w:trPr>
        <w:tc>
          <w:tcPr>
            <w:tcW w:w="1469" w:type="dxa"/>
            <w:shd w:val="clear" w:color="auto" w:fill="FFFFFF"/>
            <w:vAlign w:val="center"/>
          </w:tcPr>
          <w:p w14:paraId="4E0D0BC3" w14:textId="77777777" w:rsidR="004B0883" w:rsidRDefault="004B0883">
            <w:pPr>
              <w:rPr>
                <w:rFonts w:cs="宋体"/>
                <w:color w:val="000000"/>
                <w:kern w:val="0"/>
              </w:rPr>
            </w:pPr>
            <w:r>
              <w:rPr>
                <w:rFonts w:cs="宋体" w:hint="eastAsia"/>
                <w:color w:val="000000"/>
                <w:kern w:val="0"/>
              </w:rPr>
              <w:t>扣除非经常性损益后基本每股收益（元</w:t>
            </w:r>
            <w:r>
              <w:rPr>
                <w:color w:val="000000"/>
                <w:kern w:val="0"/>
              </w:rPr>
              <w:t>/</w:t>
            </w:r>
            <w:r>
              <w:rPr>
                <w:rFonts w:cs="宋体" w:hint="eastAsia"/>
                <w:color w:val="000000"/>
                <w:kern w:val="0"/>
              </w:rPr>
              <w:t>股）</w:t>
            </w:r>
          </w:p>
        </w:tc>
        <w:tc>
          <w:tcPr>
            <w:tcW w:w="1633" w:type="dxa"/>
            <w:shd w:val="clear" w:color="auto" w:fill="FFFFFF"/>
            <w:vAlign w:val="center"/>
          </w:tcPr>
          <w:p w14:paraId="658918CC" w14:textId="77777777" w:rsidR="004B0883" w:rsidRDefault="004B0883">
            <w:pPr>
              <w:jc w:val="right"/>
              <w:rPr>
                <w:color w:val="000000"/>
                <w:highlight w:val="yellow"/>
              </w:rPr>
            </w:pPr>
            <w:r>
              <w:t>0.58</w:t>
            </w:r>
          </w:p>
        </w:tc>
        <w:tc>
          <w:tcPr>
            <w:tcW w:w="1751" w:type="dxa"/>
            <w:shd w:val="clear" w:color="auto" w:fill="FFFFFF"/>
            <w:vAlign w:val="center"/>
          </w:tcPr>
          <w:p w14:paraId="57892599" w14:textId="77777777" w:rsidR="004B0883" w:rsidRDefault="004B0883">
            <w:pPr>
              <w:jc w:val="right"/>
              <w:rPr>
                <w:color w:val="000000"/>
                <w:highlight w:val="yellow"/>
              </w:rPr>
            </w:pPr>
            <w:r>
              <w:t xml:space="preserve">0.49 </w:t>
            </w:r>
          </w:p>
        </w:tc>
        <w:tc>
          <w:tcPr>
            <w:tcW w:w="1861" w:type="dxa"/>
            <w:gridSpan w:val="2"/>
            <w:shd w:val="clear" w:color="auto" w:fill="FFFFFF"/>
            <w:vAlign w:val="center"/>
          </w:tcPr>
          <w:p w14:paraId="4374301B" w14:textId="77777777" w:rsidR="004B0883" w:rsidRDefault="004B0883">
            <w:pPr>
              <w:jc w:val="right"/>
              <w:rPr>
                <w:color w:val="000000"/>
                <w:highlight w:val="yellow"/>
              </w:rPr>
            </w:pPr>
            <w:r>
              <w:rPr>
                <w:rFonts w:eastAsia="等线"/>
                <w:color w:val="000000"/>
              </w:rPr>
              <w:t>0.39</w:t>
            </w:r>
          </w:p>
        </w:tc>
        <w:tc>
          <w:tcPr>
            <w:tcW w:w="1812" w:type="dxa"/>
            <w:shd w:val="clear" w:color="auto" w:fill="FFFFFF"/>
            <w:vAlign w:val="center"/>
          </w:tcPr>
          <w:p w14:paraId="5B664743" w14:textId="77777777" w:rsidR="004B0883" w:rsidRDefault="004B0883">
            <w:pPr>
              <w:jc w:val="right"/>
              <w:rPr>
                <w:color w:val="000000"/>
                <w:highlight w:val="yellow"/>
              </w:rPr>
            </w:pPr>
            <w:r>
              <w:t xml:space="preserve">0.42 </w:t>
            </w:r>
          </w:p>
        </w:tc>
      </w:tr>
      <w:tr w:rsidR="004B0883" w14:paraId="11A29429" w14:textId="77777777">
        <w:trPr>
          <w:trHeight w:val="397"/>
          <w:jc w:val="center"/>
        </w:trPr>
        <w:tc>
          <w:tcPr>
            <w:tcW w:w="1469" w:type="dxa"/>
            <w:shd w:val="clear" w:color="auto" w:fill="FFFFFF"/>
            <w:vAlign w:val="center"/>
          </w:tcPr>
          <w:p w14:paraId="1673EF35" w14:textId="77777777" w:rsidR="004B0883" w:rsidRDefault="004B0883">
            <w:pPr>
              <w:rPr>
                <w:rFonts w:cs="宋体"/>
                <w:color w:val="000000"/>
                <w:kern w:val="0"/>
              </w:rPr>
            </w:pPr>
            <w:r>
              <w:rPr>
                <w:rFonts w:cs="宋体" w:hint="eastAsia"/>
                <w:color w:val="000000"/>
                <w:kern w:val="0"/>
              </w:rPr>
              <w:t>扣除非经常性损益后稀释每股收益（元</w:t>
            </w:r>
            <w:r>
              <w:rPr>
                <w:color w:val="000000"/>
                <w:kern w:val="0"/>
              </w:rPr>
              <w:t>/</w:t>
            </w:r>
            <w:r>
              <w:rPr>
                <w:rFonts w:cs="宋体" w:hint="eastAsia"/>
                <w:color w:val="000000"/>
                <w:kern w:val="0"/>
              </w:rPr>
              <w:t>股）</w:t>
            </w:r>
          </w:p>
        </w:tc>
        <w:tc>
          <w:tcPr>
            <w:tcW w:w="1633" w:type="dxa"/>
            <w:shd w:val="clear" w:color="auto" w:fill="FFFFFF"/>
            <w:vAlign w:val="center"/>
          </w:tcPr>
          <w:p w14:paraId="78AC70FC" w14:textId="77777777" w:rsidR="004B0883" w:rsidRDefault="004B0883">
            <w:pPr>
              <w:jc w:val="right"/>
              <w:rPr>
                <w:color w:val="000000"/>
                <w:highlight w:val="yellow"/>
              </w:rPr>
            </w:pPr>
            <w:r>
              <w:t>0.58</w:t>
            </w:r>
          </w:p>
        </w:tc>
        <w:tc>
          <w:tcPr>
            <w:tcW w:w="1751" w:type="dxa"/>
            <w:shd w:val="clear" w:color="auto" w:fill="FFFFFF"/>
            <w:vAlign w:val="center"/>
          </w:tcPr>
          <w:p w14:paraId="0A775E40" w14:textId="77777777" w:rsidR="004B0883" w:rsidRDefault="004B0883">
            <w:pPr>
              <w:jc w:val="right"/>
              <w:rPr>
                <w:color w:val="000000"/>
                <w:highlight w:val="yellow"/>
              </w:rPr>
            </w:pPr>
            <w:r>
              <w:t xml:space="preserve">0.49 </w:t>
            </w:r>
          </w:p>
        </w:tc>
        <w:tc>
          <w:tcPr>
            <w:tcW w:w="1861" w:type="dxa"/>
            <w:gridSpan w:val="2"/>
            <w:shd w:val="clear" w:color="auto" w:fill="FFFFFF"/>
            <w:vAlign w:val="center"/>
          </w:tcPr>
          <w:p w14:paraId="2067638A" w14:textId="77777777" w:rsidR="004B0883" w:rsidRDefault="004B0883">
            <w:pPr>
              <w:jc w:val="right"/>
              <w:rPr>
                <w:color w:val="000000"/>
                <w:highlight w:val="yellow"/>
              </w:rPr>
            </w:pPr>
            <w:r>
              <w:rPr>
                <w:rFonts w:eastAsia="等线"/>
                <w:color w:val="000000"/>
              </w:rPr>
              <w:t>0.37</w:t>
            </w:r>
          </w:p>
        </w:tc>
        <w:tc>
          <w:tcPr>
            <w:tcW w:w="1812" w:type="dxa"/>
            <w:shd w:val="clear" w:color="auto" w:fill="FFFFFF"/>
            <w:vAlign w:val="center"/>
          </w:tcPr>
          <w:p w14:paraId="39627801" w14:textId="77777777" w:rsidR="004B0883" w:rsidRDefault="004B0883">
            <w:pPr>
              <w:jc w:val="right"/>
              <w:rPr>
                <w:color w:val="000000"/>
                <w:highlight w:val="yellow"/>
              </w:rPr>
            </w:pPr>
            <w:r>
              <w:t xml:space="preserve">0.37 </w:t>
            </w:r>
          </w:p>
        </w:tc>
      </w:tr>
      <w:tr w:rsidR="004B0883" w14:paraId="0D019CFD" w14:textId="77777777">
        <w:trPr>
          <w:trHeight w:val="397"/>
          <w:jc w:val="center"/>
        </w:trPr>
        <w:tc>
          <w:tcPr>
            <w:tcW w:w="1469" w:type="dxa"/>
            <w:shd w:val="clear" w:color="auto" w:fill="FFFFFF"/>
            <w:vAlign w:val="center"/>
          </w:tcPr>
          <w:p w14:paraId="251A9B8C" w14:textId="77777777" w:rsidR="004B0883" w:rsidRDefault="004B0883">
            <w:pPr>
              <w:rPr>
                <w:rFonts w:cs="宋体"/>
                <w:color w:val="000000"/>
                <w:kern w:val="0"/>
              </w:rPr>
            </w:pPr>
            <w:r>
              <w:rPr>
                <w:rFonts w:cs="宋体" w:hint="eastAsia"/>
                <w:color w:val="000000"/>
                <w:kern w:val="0"/>
              </w:rPr>
              <w:t>加权平均净资产收益率</w:t>
            </w:r>
          </w:p>
        </w:tc>
        <w:tc>
          <w:tcPr>
            <w:tcW w:w="1633" w:type="dxa"/>
            <w:shd w:val="clear" w:color="auto" w:fill="FFFFFF"/>
            <w:vAlign w:val="center"/>
          </w:tcPr>
          <w:p w14:paraId="08CE1B9C" w14:textId="77777777" w:rsidR="004B0883" w:rsidRDefault="004B0883">
            <w:pPr>
              <w:jc w:val="right"/>
              <w:rPr>
                <w:color w:val="000000"/>
                <w:highlight w:val="yellow"/>
              </w:rPr>
            </w:pPr>
            <w:r>
              <w:t>19.94%</w:t>
            </w:r>
          </w:p>
        </w:tc>
        <w:tc>
          <w:tcPr>
            <w:tcW w:w="1751" w:type="dxa"/>
            <w:shd w:val="clear" w:color="auto" w:fill="FFFFFF"/>
            <w:vAlign w:val="center"/>
          </w:tcPr>
          <w:p w14:paraId="6605E9AA" w14:textId="77777777" w:rsidR="004B0883" w:rsidRDefault="004B0883">
            <w:pPr>
              <w:jc w:val="right"/>
              <w:rPr>
                <w:color w:val="000000"/>
                <w:highlight w:val="yellow"/>
              </w:rPr>
            </w:pPr>
            <w:r>
              <w:t>15.11%</w:t>
            </w:r>
          </w:p>
        </w:tc>
        <w:tc>
          <w:tcPr>
            <w:tcW w:w="1861" w:type="dxa"/>
            <w:gridSpan w:val="2"/>
            <w:shd w:val="clear" w:color="auto" w:fill="FFFFFF"/>
            <w:vAlign w:val="center"/>
          </w:tcPr>
          <w:p w14:paraId="0BE20F3B" w14:textId="77777777" w:rsidR="004B0883" w:rsidRDefault="004B0883">
            <w:pPr>
              <w:jc w:val="right"/>
              <w:rPr>
                <w:rFonts w:ascii="楷体" w:eastAsia="楷体" w:hAnsi="楷体"/>
                <w:b/>
                <w:bCs/>
                <w:color w:val="000000"/>
                <w:highlight w:val="yellow"/>
              </w:rPr>
            </w:pPr>
            <w:r>
              <w:rPr>
                <w:rFonts w:ascii="楷体" w:eastAsia="楷体" w:hAnsi="楷体"/>
                <w:b/>
                <w:bCs/>
                <w:color w:val="000000"/>
              </w:rPr>
              <w:t>9.75%</w:t>
            </w:r>
          </w:p>
        </w:tc>
        <w:tc>
          <w:tcPr>
            <w:tcW w:w="1812" w:type="dxa"/>
            <w:shd w:val="clear" w:color="auto" w:fill="FFFFFF"/>
            <w:vAlign w:val="center"/>
          </w:tcPr>
          <w:p w14:paraId="7A6EF032" w14:textId="77777777" w:rsidR="004B0883" w:rsidRDefault="004B0883">
            <w:pPr>
              <w:jc w:val="right"/>
              <w:rPr>
                <w:color w:val="000000"/>
                <w:highlight w:val="yellow"/>
              </w:rPr>
            </w:pPr>
            <w:r>
              <w:t>11.60%</w:t>
            </w:r>
          </w:p>
        </w:tc>
      </w:tr>
      <w:tr w:rsidR="004B0883" w14:paraId="0B178E80" w14:textId="77777777">
        <w:trPr>
          <w:trHeight w:val="397"/>
          <w:jc w:val="center"/>
        </w:trPr>
        <w:tc>
          <w:tcPr>
            <w:tcW w:w="1469" w:type="dxa"/>
            <w:shd w:val="clear" w:color="auto" w:fill="FFFFFF"/>
            <w:vAlign w:val="center"/>
          </w:tcPr>
          <w:p w14:paraId="11F03BE7" w14:textId="77777777" w:rsidR="004B0883" w:rsidRDefault="004B0883">
            <w:pPr>
              <w:rPr>
                <w:rFonts w:cs="宋体"/>
                <w:color w:val="000000"/>
                <w:kern w:val="0"/>
              </w:rPr>
            </w:pPr>
            <w:r>
              <w:rPr>
                <w:rFonts w:cs="宋体" w:hint="eastAsia"/>
                <w:color w:val="000000"/>
                <w:kern w:val="0"/>
              </w:rPr>
              <w:t>扣除非经常性损益后加权平均净资产收益率</w:t>
            </w:r>
          </w:p>
        </w:tc>
        <w:tc>
          <w:tcPr>
            <w:tcW w:w="1633" w:type="dxa"/>
            <w:shd w:val="clear" w:color="auto" w:fill="FFFFFF"/>
            <w:vAlign w:val="center"/>
          </w:tcPr>
          <w:p w14:paraId="4836C3EA" w14:textId="77777777" w:rsidR="004B0883" w:rsidRDefault="004B0883">
            <w:pPr>
              <w:jc w:val="right"/>
              <w:rPr>
                <w:color w:val="000000"/>
                <w:highlight w:val="yellow"/>
              </w:rPr>
            </w:pPr>
            <w:r>
              <w:t>14.34%</w:t>
            </w:r>
          </w:p>
        </w:tc>
        <w:tc>
          <w:tcPr>
            <w:tcW w:w="1751" w:type="dxa"/>
            <w:shd w:val="clear" w:color="auto" w:fill="FFFFFF"/>
            <w:vAlign w:val="center"/>
          </w:tcPr>
          <w:p w14:paraId="7806CE48" w14:textId="77777777" w:rsidR="004B0883" w:rsidRDefault="004B0883">
            <w:pPr>
              <w:jc w:val="right"/>
              <w:rPr>
                <w:color w:val="000000"/>
                <w:highlight w:val="yellow"/>
              </w:rPr>
            </w:pPr>
            <w:r>
              <w:t>10.86%</w:t>
            </w:r>
          </w:p>
        </w:tc>
        <w:tc>
          <w:tcPr>
            <w:tcW w:w="1861" w:type="dxa"/>
            <w:gridSpan w:val="2"/>
            <w:shd w:val="clear" w:color="auto" w:fill="FFFFFF"/>
            <w:vAlign w:val="center"/>
          </w:tcPr>
          <w:p w14:paraId="38249E09" w14:textId="77777777" w:rsidR="004B0883" w:rsidRDefault="004B0883">
            <w:pPr>
              <w:jc w:val="right"/>
              <w:rPr>
                <w:rFonts w:ascii="楷体" w:eastAsia="楷体" w:hAnsi="楷体"/>
                <w:b/>
                <w:bCs/>
                <w:color w:val="000000"/>
                <w:highlight w:val="yellow"/>
              </w:rPr>
            </w:pPr>
            <w:r>
              <w:rPr>
                <w:rFonts w:ascii="楷体" w:eastAsia="楷体" w:hAnsi="楷体"/>
                <w:b/>
                <w:bCs/>
                <w:color w:val="000000"/>
              </w:rPr>
              <w:t>7.01%</w:t>
            </w:r>
          </w:p>
        </w:tc>
        <w:tc>
          <w:tcPr>
            <w:tcW w:w="1812" w:type="dxa"/>
            <w:shd w:val="clear" w:color="auto" w:fill="FFFFFF"/>
            <w:vAlign w:val="center"/>
          </w:tcPr>
          <w:p w14:paraId="6FCF9F1A" w14:textId="77777777" w:rsidR="004B0883" w:rsidRDefault="004B0883">
            <w:pPr>
              <w:jc w:val="right"/>
              <w:rPr>
                <w:color w:val="000000"/>
                <w:highlight w:val="yellow"/>
              </w:rPr>
            </w:pPr>
            <w:r>
              <w:t>8.34%</w:t>
            </w:r>
          </w:p>
        </w:tc>
      </w:tr>
      <w:tr w:rsidR="004B0883" w14:paraId="3ECBE91C" w14:textId="77777777">
        <w:trPr>
          <w:trHeight w:val="397"/>
          <w:jc w:val="center"/>
        </w:trPr>
        <w:tc>
          <w:tcPr>
            <w:tcW w:w="8526" w:type="dxa"/>
            <w:gridSpan w:val="6"/>
            <w:shd w:val="clear" w:color="auto" w:fill="FFFFFF"/>
            <w:vAlign w:val="center"/>
          </w:tcPr>
          <w:p w14:paraId="21C28743" w14:textId="77777777" w:rsidR="004B0883" w:rsidRDefault="004B0883">
            <w:pPr>
              <w:rPr>
                <w:rFonts w:cs="宋体"/>
                <w:b/>
                <w:bCs/>
                <w:color w:val="000000"/>
                <w:kern w:val="0"/>
              </w:rPr>
            </w:pPr>
            <w:r>
              <w:rPr>
                <w:rFonts w:cs="宋体" w:hint="eastAsia"/>
                <w:b/>
                <w:bCs/>
                <w:color w:val="000000"/>
                <w:kern w:val="0"/>
              </w:rPr>
              <w:t>假设</w:t>
            </w:r>
            <w:r>
              <w:rPr>
                <w:rFonts w:cs="宋体"/>
                <w:b/>
                <w:bCs/>
                <w:color w:val="000000"/>
                <w:kern w:val="0"/>
              </w:rPr>
              <w:t>2</w:t>
            </w:r>
            <w:r>
              <w:rPr>
                <w:rFonts w:cs="宋体" w:hint="eastAsia"/>
                <w:b/>
                <w:bCs/>
                <w:color w:val="000000"/>
                <w:kern w:val="0"/>
              </w:rPr>
              <w:t>：假设</w:t>
            </w:r>
            <w:r>
              <w:rPr>
                <w:rFonts w:cs="宋体" w:hint="eastAsia"/>
                <w:b/>
                <w:bCs/>
                <w:color w:val="000000"/>
                <w:kern w:val="0"/>
              </w:rPr>
              <w:t>2023</w:t>
            </w:r>
            <w:r>
              <w:rPr>
                <w:rFonts w:cs="宋体" w:hint="eastAsia"/>
                <w:b/>
                <w:bCs/>
                <w:color w:val="000000"/>
                <w:kern w:val="0"/>
              </w:rPr>
              <w:t>年度扣除非经常性损益前</w:t>
            </w:r>
            <w:r>
              <w:rPr>
                <w:rFonts w:cs="宋体" w:hint="eastAsia"/>
                <w:b/>
                <w:bCs/>
                <w:color w:val="000000"/>
                <w:kern w:val="0"/>
              </w:rPr>
              <w:t>/</w:t>
            </w:r>
            <w:r>
              <w:rPr>
                <w:rFonts w:cs="宋体" w:hint="eastAsia"/>
                <w:b/>
                <w:bCs/>
                <w:color w:val="000000"/>
                <w:kern w:val="0"/>
              </w:rPr>
              <w:t>后归属于母公司股东的净利润同比持平</w:t>
            </w:r>
          </w:p>
        </w:tc>
      </w:tr>
      <w:tr w:rsidR="004B0883" w14:paraId="7967F739" w14:textId="77777777">
        <w:trPr>
          <w:trHeight w:val="397"/>
          <w:jc w:val="center"/>
        </w:trPr>
        <w:tc>
          <w:tcPr>
            <w:tcW w:w="1469" w:type="dxa"/>
            <w:shd w:val="clear" w:color="auto" w:fill="FFFFFF"/>
            <w:vAlign w:val="center"/>
          </w:tcPr>
          <w:p w14:paraId="2FBAB3DC" w14:textId="77777777" w:rsidR="004B0883" w:rsidRDefault="004B0883">
            <w:pPr>
              <w:rPr>
                <w:rFonts w:cs="宋体" w:hint="eastAsia"/>
                <w:color w:val="000000"/>
                <w:kern w:val="0"/>
              </w:rPr>
            </w:pPr>
            <w:r>
              <w:rPr>
                <w:rFonts w:hint="eastAsia"/>
              </w:rPr>
              <w:t>归属于母公司股东的净利润</w:t>
            </w:r>
            <w:r>
              <w:rPr>
                <w:rFonts w:cs="宋体" w:hint="eastAsia"/>
                <w:color w:val="000000"/>
                <w:kern w:val="0"/>
              </w:rPr>
              <w:t>（元）</w:t>
            </w:r>
          </w:p>
        </w:tc>
        <w:tc>
          <w:tcPr>
            <w:tcW w:w="1633" w:type="dxa"/>
            <w:shd w:val="clear" w:color="auto" w:fill="FFFFFF"/>
            <w:vAlign w:val="center"/>
          </w:tcPr>
          <w:p w14:paraId="2892CCD9" w14:textId="77777777" w:rsidR="004B0883" w:rsidRDefault="004B0883">
            <w:pPr>
              <w:jc w:val="right"/>
              <w:rPr>
                <w:color w:val="000000"/>
                <w:highlight w:val="yellow"/>
              </w:rPr>
            </w:pPr>
            <w:r>
              <w:rPr>
                <w:color w:val="000000"/>
              </w:rPr>
              <w:t>136,205,068.76</w:t>
            </w:r>
          </w:p>
        </w:tc>
        <w:tc>
          <w:tcPr>
            <w:tcW w:w="1751" w:type="dxa"/>
            <w:shd w:val="clear" w:color="auto" w:fill="FFFFFF"/>
            <w:vAlign w:val="center"/>
          </w:tcPr>
          <w:p w14:paraId="22C97714" w14:textId="77777777" w:rsidR="004B0883" w:rsidRDefault="004B0883">
            <w:pPr>
              <w:jc w:val="right"/>
              <w:rPr>
                <w:color w:val="000000"/>
                <w:kern w:val="0"/>
                <w:highlight w:val="yellow"/>
              </w:rPr>
            </w:pPr>
            <w:r>
              <w:rPr>
                <w:color w:val="000000"/>
              </w:rPr>
              <w:t xml:space="preserve">136,205,068.76 </w:t>
            </w:r>
          </w:p>
        </w:tc>
        <w:tc>
          <w:tcPr>
            <w:tcW w:w="1861" w:type="dxa"/>
            <w:gridSpan w:val="2"/>
            <w:shd w:val="clear" w:color="auto" w:fill="FFFFFF"/>
            <w:vAlign w:val="center"/>
          </w:tcPr>
          <w:p w14:paraId="25E9F05E" w14:textId="77777777" w:rsidR="004B0883" w:rsidRDefault="004B0883">
            <w:pPr>
              <w:jc w:val="right"/>
              <w:rPr>
                <w:color w:val="000000"/>
                <w:highlight w:val="yellow"/>
              </w:rPr>
            </w:pPr>
            <w:r>
              <w:rPr>
                <w:rFonts w:eastAsia="等线"/>
                <w:color w:val="000000"/>
              </w:rPr>
              <w:t>136,205,068.76</w:t>
            </w:r>
          </w:p>
        </w:tc>
        <w:tc>
          <w:tcPr>
            <w:tcW w:w="1812" w:type="dxa"/>
            <w:shd w:val="clear" w:color="auto" w:fill="FFFFFF"/>
            <w:vAlign w:val="center"/>
          </w:tcPr>
          <w:p w14:paraId="1AB6FF2C" w14:textId="77777777" w:rsidR="004B0883" w:rsidRDefault="004B0883">
            <w:pPr>
              <w:jc w:val="right"/>
              <w:rPr>
                <w:color w:val="000000"/>
                <w:highlight w:val="yellow"/>
              </w:rPr>
            </w:pPr>
            <w:r>
              <w:rPr>
                <w:color w:val="000000"/>
              </w:rPr>
              <w:t xml:space="preserve">136,205,068.76 </w:t>
            </w:r>
          </w:p>
        </w:tc>
      </w:tr>
      <w:tr w:rsidR="004B0883" w14:paraId="2E965382" w14:textId="77777777">
        <w:trPr>
          <w:trHeight w:val="397"/>
          <w:jc w:val="center"/>
        </w:trPr>
        <w:tc>
          <w:tcPr>
            <w:tcW w:w="1469" w:type="dxa"/>
            <w:shd w:val="clear" w:color="auto" w:fill="FFFFFF"/>
            <w:vAlign w:val="center"/>
          </w:tcPr>
          <w:p w14:paraId="24844769" w14:textId="77777777" w:rsidR="004B0883" w:rsidRDefault="004B0883">
            <w:pPr>
              <w:rPr>
                <w:rFonts w:cs="宋体"/>
                <w:color w:val="000000"/>
                <w:kern w:val="0"/>
              </w:rPr>
            </w:pPr>
            <w:r>
              <w:rPr>
                <w:rFonts w:cs="宋体" w:hint="eastAsia"/>
                <w:color w:val="000000"/>
                <w:kern w:val="0"/>
              </w:rPr>
              <w:t>扣除非经常性损益后</w:t>
            </w:r>
            <w:r>
              <w:rPr>
                <w:rFonts w:hint="eastAsia"/>
              </w:rPr>
              <w:t>归属于母公司股东的净利润</w:t>
            </w:r>
            <w:r>
              <w:rPr>
                <w:rFonts w:cs="宋体" w:hint="eastAsia"/>
                <w:color w:val="000000"/>
                <w:kern w:val="0"/>
              </w:rPr>
              <w:t>（元）</w:t>
            </w:r>
          </w:p>
        </w:tc>
        <w:tc>
          <w:tcPr>
            <w:tcW w:w="1633" w:type="dxa"/>
            <w:shd w:val="clear" w:color="auto" w:fill="FFFFFF"/>
            <w:vAlign w:val="center"/>
          </w:tcPr>
          <w:p w14:paraId="01B44ACF" w14:textId="77777777" w:rsidR="004B0883" w:rsidRDefault="004B0883">
            <w:pPr>
              <w:jc w:val="right"/>
              <w:rPr>
                <w:color w:val="000000"/>
                <w:highlight w:val="yellow"/>
              </w:rPr>
            </w:pPr>
            <w:r>
              <w:rPr>
                <w:color w:val="000000"/>
              </w:rPr>
              <w:t>97,939,171.27</w:t>
            </w:r>
          </w:p>
        </w:tc>
        <w:tc>
          <w:tcPr>
            <w:tcW w:w="1751" w:type="dxa"/>
            <w:shd w:val="clear" w:color="auto" w:fill="FFFFFF"/>
            <w:vAlign w:val="center"/>
          </w:tcPr>
          <w:p w14:paraId="7CA69B7F" w14:textId="77777777" w:rsidR="004B0883" w:rsidRDefault="004B0883">
            <w:pPr>
              <w:jc w:val="right"/>
              <w:rPr>
                <w:color w:val="000000"/>
                <w:highlight w:val="yellow"/>
              </w:rPr>
            </w:pPr>
            <w:r>
              <w:rPr>
                <w:color w:val="000000"/>
              </w:rPr>
              <w:t xml:space="preserve">97,939,171.27 </w:t>
            </w:r>
          </w:p>
        </w:tc>
        <w:tc>
          <w:tcPr>
            <w:tcW w:w="1861" w:type="dxa"/>
            <w:gridSpan w:val="2"/>
            <w:shd w:val="clear" w:color="auto" w:fill="FFFFFF"/>
            <w:vAlign w:val="center"/>
          </w:tcPr>
          <w:p w14:paraId="1EA84F1A" w14:textId="77777777" w:rsidR="004B0883" w:rsidRDefault="004B0883">
            <w:pPr>
              <w:jc w:val="right"/>
              <w:rPr>
                <w:color w:val="000000"/>
                <w:highlight w:val="yellow"/>
              </w:rPr>
            </w:pPr>
            <w:r>
              <w:rPr>
                <w:rFonts w:eastAsia="等线"/>
                <w:color w:val="000000"/>
              </w:rPr>
              <w:t>97,939,171.27</w:t>
            </w:r>
          </w:p>
        </w:tc>
        <w:tc>
          <w:tcPr>
            <w:tcW w:w="1812" w:type="dxa"/>
            <w:shd w:val="clear" w:color="auto" w:fill="FFFFFF"/>
            <w:vAlign w:val="center"/>
          </w:tcPr>
          <w:p w14:paraId="39EF5B82" w14:textId="77777777" w:rsidR="004B0883" w:rsidRDefault="004B0883">
            <w:pPr>
              <w:jc w:val="right"/>
              <w:rPr>
                <w:color w:val="000000"/>
                <w:highlight w:val="yellow"/>
              </w:rPr>
            </w:pPr>
            <w:r>
              <w:rPr>
                <w:color w:val="000000"/>
              </w:rPr>
              <w:t xml:space="preserve">97,939,171.27 </w:t>
            </w:r>
          </w:p>
        </w:tc>
      </w:tr>
      <w:tr w:rsidR="004B0883" w14:paraId="31BBBBC6" w14:textId="77777777">
        <w:trPr>
          <w:trHeight w:val="397"/>
          <w:jc w:val="center"/>
        </w:trPr>
        <w:tc>
          <w:tcPr>
            <w:tcW w:w="1469" w:type="dxa"/>
            <w:shd w:val="clear" w:color="auto" w:fill="FFFFFF"/>
            <w:vAlign w:val="center"/>
          </w:tcPr>
          <w:p w14:paraId="580E6E6D" w14:textId="77777777" w:rsidR="004B0883" w:rsidRDefault="004B0883">
            <w:pPr>
              <w:rPr>
                <w:rFonts w:cs="宋体"/>
                <w:color w:val="000000"/>
                <w:kern w:val="0"/>
              </w:rPr>
            </w:pPr>
            <w:r>
              <w:rPr>
                <w:rFonts w:cs="宋体" w:hint="eastAsia"/>
                <w:color w:val="000000"/>
                <w:kern w:val="0"/>
              </w:rPr>
              <w:t>归属于母公司所有者权益（元）</w:t>
            </w:r>
          </w:p>
        </w:tc>
        <w:tc>
          <w:tcPr>
            <w:tcW w:w="1633" w:type="dxa"/>
            <w:shd w:val="clear" w:color="auto" w:fill="FFFFFF"/>
            <w:vAlign w:val="center"/>
          </w:tcPr>
          <w:p w14:paraId="3CAF4163" w14:textId="77777777" w:rsidR="004B0883" w:rsidRDefault="004B0883">
            <w:pPr>
              <w:jc w:val="right"/>
              <w:rPr>
                <w:color w:val="000000"/>
                <w:highlight w:val="yellow"/>
              </w:rPr>
            </w:pPr>
            <w:r>
              <w:rPr>
                <w:color w:val="000000"/>
              </w:rPr>
              <w:t>733,889,514.15</w:t>
            </w:r>
          </w:p>
        </w:tc>
        <w:tc>
          <w:tcPr>
            <w:tcW w:w="1751" w:type="dxa"/>
            <w:shd w:val="clear" w:color="auto" w:fill="FFFFFF"/>
            <w:vAlign w:val="center"/>
          </w:tcPr>
          <w:p w14:paraId="2A6C3B1F" w14:textId="77777777" w:rsidR="004B0883" w:rsidRDefault="004B0883">
            <w:pPr>
              <w:jc w:val="right"/>
              <w:rPr>
                <w:color w:val="000000"/>
                <w:highlight w:val="yellow"/>
              </w:rPr>
            </w:pPr>
            <w:r>
              <w:rPr>
                <w:color w:val="000000"/>
              </w:rPr>
              <w:t xml:space="preserve">819,431,438.51 </w:t>
            </w:r>
          </w:p>
        </w:tc>
        <w:tc>
          <w:tcPr>
            <w:tcW w:w="1861" w:type="dxa"/>
            <w:gridSpan w:val="2"/>
            <w:shd w:val="clear" w:color="auto" w:fill="FFFFFF"/>
            <w:vAlign w:val="center"/>
          </w:tcPr>
          <w:p w14:paraId="1524EB08" w14:textId="77777777" w:rsidR="004B0883" w:rsidRDefault="004B0883">
            <w:pPr>
              <w:jc w:val="right"/>
              <w:rPr>
                <w:rFonts w:ascii="楷体" w:eastAsia="楷体" w:hAnsi="楷体"/>
                <w:b/>
                <w:bCs/>
                <w:color w:val="000000"/>
                <w:highlight w:val="yellow"/>
              </w:rPr>
            </w:pPr>
            <w:r>
              <w:rPr>
                <w:rFonts w:ascii="楷体" w:eastAsia="楷体" w:hAnsi="楷体"/>
                <w:b/>
                <w:bCs/>
                <w:color w:val="000000"/>
              </w:rPr>
              <w:t>1,277,466,507.27</w:t>
            </w:r>
          </w:p>
        </w:tc>
        <w:tc>
          <w:tcPr>
            <w:tcW w:w="1812" w:type="dxa"/>
            <w:shd w:val="clear" w:color="auto" w:fill="FFFFFF"/>
            <w:vAlign w:val="center"/>
          </w:tcPr>
          <w:p w14:paraId="4459526B" w14:textId="77777777" w:rsidR="004B0883" w:rsidRDefault="004B0883">
            <w:pPr>
              <w:jc w:val="right"/>
              <w:rPr>
                <w:color w:val="000000"/>
                <w:highlight w:val="yellow"/>
              </w:rPr>
            </w:pPr>
            <w:r>
              <w:rPr>
                <w:color w:val="000000"/>
              </w:rPr>
              <w:t xml:space="preserve">955,636,507.27 </w:t>
            </w:r>
          </w:p>
        </w:tc>
      </w:tr>
      <w:tr w:rsidR="004B0883" w14:paraId="579A0EF4" w14:textId="77777777">
        <w:trPr>
          <w:trHeight w:val="397"/>
          <w:jc w:val="center"/>
        </w:trPr>
        <w:tc>
          <w:tcPr>
            <w:tcW w:w="1469" w:type="dxa"/>
            <w:shd w:val="clear" w:color="auto" w:fill="FFFFFF"/>
            <w:vAlign w:val="center"/>
          </w:tcPr>
          <w:p w14:paraId="0A1F59CC" w14:textId="77777777" w:rsidR="004B0883" w:rsidRDefault="004B0883">
            <w:pPr>
              <w:rPr>
                <w:rFonts w:cs="宋体"/>
                <w:color w:val="000000"/>
                <w:kern w:val="0"/>
              </w:rPr>
            </w:pPr>
            <w:r>
              <w:rPr>
                <w:rFonts w:cs="宋体" w:hint="eastAsia"/>
                <w:color w:val="000000"/>
                <w:kern w:val="0"/>
              </w:rPr>
              <w:t>基本每股收益（元</w:t>
            </w:r>
            <w:r>
              <w:rPr>
                <w:color w:val="000000"/>
                <w:kern w:val="0"/>
              </w:rPr>
              <w:t>/</w:t>
            </w:r>
            <w:r>
              <w:rPr>
                <w:rFonts w:cs="宋体" w:hint="eastAsia"/>
                <w:color w:val="000000"/>
                <w:kern w:val="0"/>
              </w:rPr>
              <w:t>股）</w:t>
            </w:r>
          </w:p>
        </w:tc>
        <w:tc>
          <w:tcPr>
            <w:tcW w:w="1633" w:type="dxa"/>
            <w:shd w:val="clear" w:color="auto" w:fill="FFFFFF"/>
            <w:vAlign w:val="center"/>
          </w:tcPr>
          <w:p w14:paraId="6FC4A9CB" w14:textId="77777777" w:rsidR="004B0883" w:rsidRDefault="004B0883">
            <w:pPr>
              <w:jc w:val="right"/>
              <w:rPr>
                <w:color w:val="000000"/>
                <w:highlight w:val="yellow"/>
              </w:rPr>
            </w:pPr>
            <w:r>
              <w:rPr>
                <w:color w:val="000000"/>
              </w:rPr>
              <w:t>0.81</w:t>
            </w:r>
          </w:p>
        </w:tc>
        <w:tc>
          <w:tcPr>
            <w:tcW w:w="1751" w:type="dxa"/>
            <w:shd w:val="clear" w:color="auto" w:fill="FFFFFF"/>
            <w:vAlign w:val="center"/>
          </w:tcPr>
          <w:p w14:paraId="66B2C3E9" w14:textId="77777777" w:rsidR="004B0883" w:rsidRDefault="004B0883">
            <w:pPr>
              <w:jc w:val="right"/>
              <w:rPr>
                <w:color w:val="000000"/>
                <w:highlight w:val="yellow"/>
              </w:rPr>
            </w:pPr>
            <w:r>
              <w:rPr>
                <w:color w:val="000000"/>
              </w:rPr>
              <w:t xml:space="preserve">0.81 </w:t>
            </w:r>
          </w:p>
        </w:tc>
        <w:tc>
          <w:tcPr>
            <w:tcW w:w="1861" w:type="dxa"/>
            <w:gridSpan w:val="2"/>
            <w:shd w:val="clear" w:color="auto" w:fill="FFFFFF"/>
            <w:vAlign w:val="center"/>
          </w:tcPr>
          <w:p w14:paraId="7312A286" w14:textId="77777777" w:rsidR="004B0883" w:rsidRDefault="004B0883">
            <w:pPr>
              <w:jc w:val="right"/>
              <w:rPr>
                <w:color w:val="000000"/>
                <w:highlight w:val="yellow"/>
              </w:rPr>
            </w:pPr>
            <w:r>
              <w:rPr>
                <w:rFonts w:eastAsia="等线"/>
                <w:color w:val="000000"/>
              </w:rPr>
              <w:t>0.75</w:t>
            </w:r>
          </w:p>
        </w:tc>
        <w:tc>
          <w:tcPr>
            <w:tcW w:w="1812" w:type="dxa"/>
            <w:shd w:val="clear" w:color="auto" w:fill="FFFFFF"/>
            <w:vAlign w:val="center"/>
          </w:tcPr>
          <w:p w14:paraId="2CF1E990" w14:textId="77777777" w:rsidR="004B0883" w:rsidRDefault="004B0883">
            <w:pPr>
              <w:jc w:val="right"/>
              <w:rPr>
                <w:color w:val="000000"/>
                <w:highlight w:val="yellow"/>
              </w:rPr>
            </w:pPr>
            <w:r>
              <w:rPr>
                <w:color w:val="000000"/>
              </w:rPr>
              <w:t xml:space="preserve">0.81 </w:t>
            </w:r>
          </w:p>
        </w:tc>
      </w:tr>
      <w:tr w:rsidR="004B0883" w14:paraId="04278E69" w14:textId="77777777">
        <w:trPr>
          <w:trHeight w:val="397"/>
          <w:jc w:val="center"/>
        </w:trPr>
        <w:tc>
          <w:tcPr>
            <w:tcW w:w="1469" w:type="dxa"/>
            <w:shd w:val="clear" w:color="auto" w:fill="FFFFFF"/>
            <w:vAlign w:val="center"/>
          </w:tcPr>
          <w:p w14:paraId="4C3C9815" w14:textId="77777777" w:rsidR="004B0883" w:rsidRDefault="004B0883">
            <w:pPr>
              <w:rPr>
                <w:rFonts w:cs="宋体"/>
                <w:color w:val="000000"/>
                <w:kern w:val="0"/>
              </w:rPr>
            </w:pPr>
            <w:r>
              <w:rPr>
                <w:rFonts w:cs="宋体" w:hint="eastAsia"/>
                <w:color w:val="000000"/>
                <w:kern w:val="0"/>
              </w:rPr>
              <w:t>稀释每股收益（元</w:t>
            </w:r>
            <w:r>
              <w:rPr>
                <w:color w:val="000000"/>
                <w:kern w:val="0"/>
              </w:rPr>
              <w:t>/</w:t>
            </w:r>
            <w:r>
              <w:rPr>
                <w:rFonts w:cs="宋体" w:hint="eastAsia"/>
                <w:color w:val="000000"/>
                <w:kern w:val="0"/>
              </w:rPr>
              <w:t>股）</w:t>
            </w:r>
          </w:p>
        </w:tc>
        <w:tc>
          <w:tcPr>
            <w:tcW w:w="1633" w:type="dxa"/>
            <w:shd w:val="clear" w:color="auto" w:fill="FFFFFF"/>
            <w:vAlign w:val="center"/>
          </w:tcPr>
          <w:p w14:paraId="4BA3379E" w14:textId="77777777" w:rsidR="004B0883" w:rsidRDefault="004B0883">
            <w:pPr>
              <w:jc w:val="right"/>
              <w:rPr>
                <w:color w:val="000000"/>
                <w:highlight w:val="yellow"/>
              </w:rPr>
            </w:pPr>
            <w:r>
              <w:rPr>
                <w:color w:val="000000"/>
              </w:rPr>
              <w:t>0.80</w:t>
            </w:r>
          </w:p>
        </w:tc>
        <w:tc>
          <w:tcPr>
            <w:tcW w:w="1751" w:type="dxa"/>
            <w:shd w:val="clear" w:color="auto" w:fill="FFFFFF"/>
            <w:vAlign w:val="center"/>
          </w:tcPr>
          <w:p w14:paraId="4F998802" w14:textId="77777777" w:rsidR="004B0883" w:rsidRDefault="004B0883">
            <w:pPr>
              <w:jc w:val="right"/>
              <w:rPr>
                <w:color w:val="000000"/>
                <w:highlight w:val="yellow"/>
              </w:rPr>
            </w:pPr>
            <w:r>
              <w:rPr>
                <w:color w:val="000000"/>
              </w:rPr>
              <w:t xml:space="preserve">0.81 </w:t>
            </w:r>
          </w:p>
        </w:tc>
        <w:tc>
          <w:tcPr>
            <w:tcW w:w="1861" w:type="dxa"/>
            <w:gridSpan w:val="2"/>
            <w:shd w:val="clear" w:color="auto" w:fill="FFFFFF"/>
            <w:vAlign w:val="center"/>
          </w:tcPr>
          <w:p w14:paraId="500385E0" w14:textId="77777777" w:rsidR="004B0883" w:rsidRDefault="004B0883">
            <w:pPr>
              <w:jc w:val="right"/>
              <w:rPr>
                <w:color w:val="000000"/>
                <w:highlight w:val="yellow"/>
              </w:rPr>
            </w:pPr>
            <w:r>
              <w:rPr>
                <w:rFonts w:eastAsia="等线"/>
                <w:color w:val="000000"/>
              </w:rPr>
              <w:t>0.71</w:t>
            </w:r>
          </w:p>
        </w:tc>
        <w:tc>
          <w:tcPr>
            <w:tcW w:w="1812" w:type="dxa"/>
            <w:shd w:val="clear" w:color="auto" w:fill="FFFFFF"/>
            <w:vAlign w:val="center"/>
          </w:tcPr>
          <w:p w14:paraId="3233B15A" w14:textId="77777777" w:rsidR="004B0883" w:rsidRDefault="004B0883">
            <w:pPr>
              <w:jc w:val="right"/>
              <w:rPr>
                <w:color w:val="000000"/>
                <w:highlight w:val="yellow"/>
              </w:rPr>
            </w:pPr>
            <w:r>
              <w:rPr>
                <w:color w:val="000000"/>
              </w:rPr>
              <w:t xml:space="preserve">0.71 </w:t>
            </w:r>
          </w:p>
        </w:tc>
      </w:tr>
      <w:tr w:rsidR="004B0883" w14:paraId="5934B503" w14:textId="77777777">
        <w:trPr>
          <w:trHeight w:val="397"/>
          <w:jc w:val="center"/>
        </w:trPr>
        <w:tc>
          <w:tcPr>
            <w:tcW w:w="1469" w:type="dxa"/>
            <w:shd w:val="clear" w:color="auto" w:fill="FFFFFF"/>
            <w:vAlign w:val="center"/>
          </w:tcPr>
          <w:p w14:paraId="7C8EF4E8" w14:textId="77777777" w:rsidR="004B0883" w:rsidRDefault="004B0883">
            <w:pPr>
              <w:rPr>
                <w:rFonts w:cs="宋体"/>
                <w:color w:val="000000"/>
                <w:kern w:val="0"/>
              </w:rPr>
            </w:pPr>
            <w:r>
              <w:rPr>
                <w:rFonts w:cs="宋体" w:hint="eastAsia"/>
                <w:color w:val="000000"/>
                <w:kern w:val="0"/>
              </w:rPr>
              <w:t>扣除非经常性损益后基本每股收益（元</w:t>
            </w:r>
            <w:r>
              <w:rPr>
                <w:color w:val="000000"/>
                <w:kern w:val="0"/>
              </w:rPr>
              <w:t>/</w:t>
            </w:r>
            <w:r>
              <w:rPr>
                <w:rFonts w:cs="宋体" w:hint="eastAsia"/>
                <w:color w:val="000000"/>
                <w:kern w:val="0"/>
              </w:rPr>
              <w:t>股）</w:t>
            </w:r>
          </w:p>
        </w:tc>
        <w:tc>
          <w:tcPr>
            <w:tcW w:w="1633" w:type="dxa"/>
            <w:shd w:val="clear" w:color="auto" w:fill="FFFFFF"/>
            <w:vAlign w:val="center"/>
          </w:tcPr>
          <w:p w14:paraId="13567347" w14:textId="77777777" w:rsidR="004B0883" w:rsidRDefault="004B0883">
            <w:pPr>
              <w:jc w:val="right"/>
              <w:rPr>
                <w:color w:val="000000"/>
                <w:highlight w:val="yellow"/>
              </w:rPr>
            </w:pPr>
            <w:r>
              <w:rPr>
                <w:color w:val="000000"/>
              </w:rPr>
              <w:t>0.58</w:t>
            </w:r>
          </w:p>
        </w:tc>
        <w:tc>
          <w:tcPr>
            <w:tcW w:w="1751" w:type="dxa"/>
            <w:shd w:val="clear" w:color="auto" w:fill="FFFFFF"/>
            <w:vAlign w:val="center"/>
          </w:tcPr>
          <w:p w14:paraId="76911C2B" w14:textId="77777777" w:rsidR="004B0883" w:rsidRDefault="004B0883">
            <w:pPr>
              <w:jc w:val="right"/>
              <w:rPr>
                <w:color w:val="000000"/>
                <w:highlight w:val="yellow"/>
              </w:rPr>
            </w:pPr>
            <w:r>
              <w:rPr>
                <w:color w:val="000000"/>
              </w:rPr>
              <w:t xml:space="preserve">0.58 </w:t>
            </w:r>
          </w:p>
        </w:tc>
        <w:tc>
          <w:tcPr>
            <w:tcW w:w="1861" w:type="dxa"/>
            <w:gridSpan w:val="2"/>
            <w:shd w:val="clear" w:color="auto" w:fill="FFFFFF"/>
            <w:vAlign w:val="center"/>
          </w:tcPr>
          <w:p w14:paraId="37F2925C" w14:textId="77777777" w:rsidR="004B0883" w:rsidRDefault="004B0883">
            <w:pPr>
              <w:jc w:val="right"/>
              <w:rPr>
                <w:color w:val="000000"/>
                <w:highlight w:val="yellow"/>
              </w:rPr>
            </w:pPr>
            <w:r>
              <w:rPr>
                <w:rFonts w:eastAsia="等线"/>
                <w:color w:val="000000"/>
              </w:rPr>
              <w:t>0.54</w:t>
            </w:r>
          </w:p>
        </w:tc>
        <w:tc>
          <w:tcPr>
            <w:tcW w:w="1812" w:type="dxa"/>
            <w:shd w:val="clear" w:color="auto" w:fill="FFFFFF"/>
            <w:vAlign w:val="center"/>
          </w:tcPr>
          <w:p w14:paraId="6FE5AD42" w14:textId="77777777" w:rsidR="004B0883" w:rsidRDefault="004B0883">
            <w:pPr>
              <w:jc w:val="right"/>
              <w:rPr>
                <w:color w:val="000000"/>
                <w:highlight w:val="yellow"/>
              </w:rPr>
            </w:pPr>
            <w:r>
              <w:rPr>
                <w:color w:val="000000"/>
              </w:rPr>
              <w:t xml:space="preserve">0.58 </w:t>
            </w:r>
          </w:p>
        </w:tc>
      </w:tr>
      <w:tr w:rsidR="004B0883" w14:paraId="558B96CA" w14:textId="77777777">
        <w:trPr>
          <w:trHeight w:val="397"/>
          <w:jc w:val="center"/>
        </w:trPr>
        <w:tc>
          <w:tcPr>
            <w:tcW w:w="1469" w:type="dxa"/>
            <w:shd w:val="clear" w:color="auto" w:fill="FFFFFF"/>
            <w:vAlign w:val="center"/>
          </w:tcPr>
          <w:p w14:paraId="56110DA1" w14:textId="77777777" w:rsidR="004B0883" w:rsidRDefault="004B0883">
            <w:pPr>
              <w:rPr>
                <w:rFonts w:cs="宋体"/>
                <w:color w:val="000000"/>
                <w:kern w:val="0"/>
              </w:rPr>
            </w:pPr>
            <w:r>
              <w:rPr>
                <w:rFonts w:cs="宋体" w:hint="eastAsia"/>
                <w:color w:val="000000"/>
                <w:kern w:val="0"/>
              </w:rPr>
              <w:t>扣除非经常性损益后稀释每股收益（元</w:t>
            </w:r>
            <w:r>
              <w:rPr>
                <w:color w:val="000000"/>
                <w:kern w:val="0"/>
              </w:rPr>
              <w:t>/</w:t>
            </w:r>
            <w:r>
              <w:rPr>
                <w:rFonts w:cs="宋体" w:hint="eastAsia"/>
                <w:color w:val="000000"/>
                <w:kern w:val="0"/>
              </w:rPr>
              <w:t>股）</w:t>
            </w:r>
          </w:p>
        </w:tc>
        <w:tc>
          <w:tcPr>
            <w:tcW w:w="1633" w:type="dxa"/>
            <w:shd w:val="clear" w:color="auto" w:fill="FFFFFF"/>
            <w:vAlign w:val="center"/>
          </w:tcPr>
          <w:p w14:paraId="6744B5A6" w14:textId="77777777" w:rsidR="004B0883" w:rsidRDefault="004B0883">
            <w:pPr>
              <w:jc w:val="right"/>
              <w:rPr>
                <w:color w:val="000000"/>
                <w:highlight w:val="yellow"/>
              </w:rPr>
            </w:pPr>
            <w:r>
              <w:rPr>
                <w:color w:val="000000"/>
              </w:rPr>
              <w:t>0.58</w:t>
            </w:r>
          </w:p>
        </w:tc>
        <w:tc>
          <w:tcPr>
            <w:tcW w:w="1751" w:type="dxa"/>
            <w:shd w:val="clear" w:color="auto" w:fill="FFFFFF"/>
            <w:vAlign w:val="center"/>
          </w:tcPr>
          <w:p w14:paraId="51F98B2D" w14:textId="77777777" w:rsidR="004B0883" w:rsidRDefault="004B0883">
            <w:pPr>
              <w:jc w:val="right"/>
              <w:rPr>
                <w:color w:val="000000"/>
                <w:highlight w:val="yellow"/>
              </w:rPr>
            </w:pPr>
            <w:r>
              <w:rPr>
                <w:color w:val="000000"/>
              </w:rPr>
              <w:t xml:space="preserve">0.58 </w:t>
            </w:r>
          </w:p>
        </w:tc>
        <w:tc>
          <w:tcPr>
            <w:tcW w:w="1861" w:type="dxa"/>
            <w:gridSpan w:val="2"/>
            <w:shd w:val="clear" w:color="auto" w:fill="FFFFFF"/>
            <w:vAlign w:val="center"/>
          </w:tcPr>
          <w:p w14:paraId="6D5D306F" w14:textId="77777777" w:rsidR="004B0883" w:rsidRDefault="004B0883">
            <w:pPr>
              <w:jc w:val="right"/>
              <w:rPr>
                <w:color w:val="000000"/>
                <w:highlight w:val="yellow"/>
              </w:rPr>
            </w:pPr>
            <w:r>
              <w:rPr>
                <w:rFonts w:eastAsia="等线"/>
                <w:color w:val="000000"/>
              </w:rPr>
              <w:t>0.51</w:t>
            </w:r>
          </w:p>
        </w:tc>
        <w:tc>
          <w:tcPr>
            <w:tcW w:w="1812" w:type="dxa"/>
            <w:shd w:val="clear" w:color="auto" w:fill="FFFFFF"/>
            <w:vAlign w:val="center"/>
          </w:tcPr>
          <w:p w14:paraId="2B181287" w14:textId="77777777" w:rsidR="004B0883" w:rsidRDefault="004B0883">
            <w:pPr>
              <w:jc w:val="right"/>
              <w:rPr>
                <w:color w:val="000000"/>
                <w:highlight w:val="yellow"/>
              </w:rPr>
            </w:pPr>
            <w:r>
              <w:rPr>
                <w:color w:val="000000"/>
              </w:rPr>
              <w:t xml:space="preserve">0.51 </w:t>
            </w:r>
          </w:p>
        </w:tc>
      </w:tr>
      <w:tr w:rsidR="004B0883" w14:paraId="2E361BA3" w14:textId="77777777">
        <w:trPr>
          <w:trHeight w:val="397"/>
          <w:jc w:val="center"/>
        </w:trPr>
        <w:tc>
          <w:tcPr>
            <w:tcW w:w="1469" w:type="dxa"/>
            <w:shd w:val="clear" w:color="auto" w:fill="FFFFFF"/>
            <w:vAlign w:val="center"/>
          </w:tcPr>
          <w:p w14:paraId="6724A3BD" w14:textId="77777777" w:rsidR="004B0883" w:rsidRDefault="004B0883">
            <w:pPr>
              <w:rPr>
                <w:rFonts w:cs="宋体"/>
                <w:color w:val="000000"/>
                <w:kern w:val="0"/>
              </w:rPr>
            </w:pPr>
            <w:r>
              <w:rPr>
                <w:rFonts w:cs="宋体" w:hint="eastAsia"/>
                <w:color w:val="000000"/>
                <w:kern w:val="0"/>
              </w:rPr>
              <w:t>加权平均净资产收益率</w:t>
            </w:r>
          </w:p>
        </w:tc>
        <w:tc>
          <w:tcPr>
            <w:tcW w:w="1633" w:type="dxa"/>
            <w:shd w:val="clear" w:color="auto" w:fill="FFFFFF"/>
            <w:vAlign w:val="center"/>
          </w:tcPr>
          <w:p w14:paraId="03AA7A22" w14:textId="77777777" w:rsidR="004B0883" w:rsidRDefault="004B0883">
            <w:pPr>
              <w:jc w:val="right"/>
              <w:rPr>
                <w:color w:val="000000"/>
                <w:highlight w:val="yellow"/>
              </w:rPr>
            </w:pPr>
            <w:r>
              <w:rPr>
                <w:color w:val="000000"/>
              </w:rPr>
              <w:t>19.94%</w:t>
            </w:r>
          </w:p>
        </w:tc>
        <w:tc>
          <w:tcPr>
            <w:tcW w:w="1751" w:type="dxa"/>
            <w:shd w:val="clear" w:color="auto" w:fill="FFFFFF"/>
            <w:vAlign w:val="center"/>
          </w:tcPr>
          <w:p w14:paraId="3E1C101E" w14:textId="77777777" w:rsidR="004B0883" w:rsidRDefault="004B0883">
            <w:pPr>
              <w:jc w:val="right"/>
              <w:rPr>
                <w:color w:val="000000"/>
                <w:highlight w:val="yellow"/>
              </w:rPr>
            </w:pPr>
            <w:r>
              <w:rPr>
                <w:color w:val="000000"/>
              </w:rPr>
              <w:t>17.54%</w:t>
            </w:r>
          </w:p>
        </w:tc>
        <w:tc>
          <w:tcPr>
            <w:tcW w:w="1861" w:type="dxa"/>
            <w:gridSpan w:val="2"/>
            <w:shd w:val="clear" w:color="auto" w:fill="FFFFFF"/>
            <w:vAlign w:val="center"/>
          </w:tcPr>
          <w:p w14:paraId="55A3175A" w14:textId="77777777" w:rsidR="004B0883" w:rsidRDefault="004B0883">
            <w:pPr>
              <w:jc w:val="right"/>
              <w:rPr>
                <w:rFonts w:ascii="楷体" w:eastAsia="楷体" w:hAnsi="楷体"/>
                <w:b/>
                <w:bCs/>
                <w:color w:val="000000"/>
                <w:highlight w:val="yellow"/>
              </w:rPr>
            </w:pPr>
            <w:r>
              <w:rPr>
                <w:rFonts w:ascii="楷体" w:eastAsia="楷体" w:hAnsi="楷体"/>
                <w:b/>
                <w:bCs/>
                <w:color w:val="000000"/>
              </w:rPr>
              <w:t>12.99%</w:t>
            </w:r>
          </w:p>
        </w:tc>
        <w:tc>
          <w:tcPr>
            <w:tcW w:w="1812" w:type="dxa"/>
            <w:shd w:val="clear" w:color="auto" w:fill="FFFFFF"/>
            <w:vAlign w:val="center"/>
          </w:tcPr>
          <w:p w14:paraId="6CC3CA55" w14:textId="77777777" w:rsidR="004B0883" w:rsidRDefault="004B0883">
            <w:pPr>
              <w:jc w:val="right"/>
              <w:rPr>
                <w:color w:val="000000"/>
                <w:highlight w:val="yellow"/>
              </w:rPr>
            </w:pPr>
            <w:r>
              <w:rPr>
                <w:color w:val="000000"/>
              </w:rPr>
              <w:t>15.35%</w:t>
            </w:r>
          </w:p>
        </w:tc>
      </w:tr>
      <w:tr w:rsidR="004B0883" w14:paraId="34F79CD7" w14:textId="77777777">
        <w:trPr>
          <w:trHeight w:val="397"/>
          <w:jc w:val="center"/>
        </w:trPr>
        <w:tc>
          <w:tcPr>
            <w:tcW w:w="1469" w:type="dxa"/>
            <w:shd w:val="clear" w:color="auto" w:fill="FFFFFF"/>
            <w:vAlign w:val="center"/>
          </w:tcPr>
          <w:p w14:paraId="6CCF0052" w14:textId="77777777" w:rsidR="004B0883" w:rsidRDefault="004B0883">
            <w:pPr>
              <w:rPr>
                <w:rFonts w:cs="宋体"/>
                <w:color w:val="000000"/>
                <w:kern w:val="0"/>
              </w:rPr>
            </w:pPr>
            <w:r>
              <w:rPr>
                <w:rFonts w:cs="宋体" w:hint="eastAsia"/>
                <w:color w:val="000000"/>
                <w:kern w:val="0"/>
              </w:rPr>
              <w:t>扣除非经常性损益后加权平均净资产收益率</w:t>
            </w:r>
          </w:p>
        </w:tc>
        <w:tc>
          <w:tcPr>
            <w:tcW w:w="1633" w:type="dxa"/>
            <w:shd w:val="clear" w:color="auto" w:fill="FFFFFF"/>
            <w:vAlign w:val="center"/>
          </w:tcPr>
          <w:p w14:paraId="5C4C4E43" w14:textId="77777777" w:rsidR="004B0883" w:rsidRDefault="004B0883">
            <w:pPr>
              <w:jc w:val="right"/>
              <w:rPr>
                <w:color w:val="000000"/>
                <w:highlight w:val="yellow"/>
              </w:rPr>
            </w:pPr>
            <w:r>
              <w:rPr>
                <w:color w:val="000000"/>
              </w:rPr>
              <w:t>14.34%</w:t>
            </w:r>
          </w:p>
        </w:tc>
        <w:tc>
          <w:tcPr>
            <w:tcW w:w="1751" w:type="dxa"/>
            <w:shd w:val="clear" w:color="auto" w:fill="FFFFFF"/>
            <w:vAlign w:val="center"/>
          </w:tcPr>
          <w:p w14:paraId="76633F92" w14:textId="77777777" w:rsidR="004B0883" w:rsidRDefault="004B0883">
            <w:pPr>
              <w:jc w:val="right"/>
              <w:rPr>
                <w:color w:val="000000"/>
                <w:highlight w:val="yellow"/>
              </w:rPr>
            </w:pPr>
            <w:r>
              <w:rPr>
                <w:color w:val="000000"/>
              </w:rPr>
              <w:t>12.61%</w:t>
            </w:r>
          </w:p>
        </w:tc>
        <w:tc>
          <w:tcPr>
            <w:tcW w:w="1861" w:type="dxa"/>
            <w:gridSpan w:val="2"/>
            <w:shd w:val="clear" w:color="auto" w:fill="FFFFFF"/>
            <w:vAlign w:val="center"/>
          </w:tcPr>
          <w:p w14:paraId="588ABF12" w14:textId="77777777" w:rsidR="004B0883" w:rsidRDefault="004B0883">
            <w:pPr>
              <w:jc w:val="right"/>
              <w:rPr>
                <w:rFonts w:ascii="楷体" w:eastAsia="楷体" w:hAnsi="楷体"/>
                <w:b/>
                <w:bCs/>
                <w:color w:val="000000"/>
                <w:highlight w:val="yellow"/>
              </w:rPr>
            </w:pPr>
            <w:r>
              <w:rPr>
                <w:rFonts w:ascii="楷体" w:eastAsia="楷体" w:hAnsi="楷体"/>
                <w:b/>
                <w:bCs/>
                <w:color w:val="000000"/>
              </w:rPr>
              <w:t>9.34%</w:t>
            </w:r>
          </w:p>
        </w:tc>
        <w:tc>
          <w:tcPr>
            <w:tcW w:w="1812" w:type="dxa"/>
            <w:shd w:val="clear" w:color="auto" w:fill="FFFFFF"/>
            <w:vAlign w:val="center"/>
          </w:tcPr>
          <w:p w14:paraId="5DD0F944" w14:textId="77777777" w:rsidR="004B0883" w:rsidRDefault="004B0883">
            <w:pPr>
              <w:jc w:val="right"/>
              <w:rPr>
                <w:color w:val="000000"/>
                <w:highlight w:val="yellow"/>
              </w:rPr>
            </w:pPr>
            <w:r>
              <w:rPr>
                <w:color w:val="000000"/>
              </w:rPr>
              <w:t>11.03%</w:t>
            </w:r>
          </w:p>
        </w:tc>
      </w:tr>
      <w:tr w:rsidR="004B0883" w14:paraId="72920B42" w14:textId="77777777">
        <w:trPr>
          <w:trHeight w:val="397"/>
          <w:jc w:val="center"/>
        </w:trPr>
        <w:tc>
          <w:tcPr>
            <w:tcW w:w="8526" w:type="dxa"/>
            <w:gridSpan w:val="6"/>
            <w:shd w:val="clear" w:color="auto" w:fill="FFFFFF"/>
            <w:vAlign w:val="center"/>
          </w:tcPr>
          <w:p w14:paraId="1A48B69B" w14:textId="77777777" w:rsidR="004B0883" w:rsidRDefault="004B0883">
            <w:pPr>
              <w:rPr>
                <w:rFonts w:cs="宋体"/>
                <w:b/>
                <w:bCs/>
                <w:color w:val="000000"/>
                <w:kern w:val="0"/>
              </w:rPr>
            </w:pPr>
            <w:r>
              <w:rPr>
                <w:rFonts w:cs="宋体" w:hint="eastAsia"/>
                <w:b/>
                <w:bCs/>
                <w:color w:val="000000"/>
                <w:kern w:val="0"/>
              </w:rPr>
              <w:t>假设</w:t>
            </w:r>
            <w:r>
              <w:rPr>
                <w:rFonts w:cs="宋体"/>
                <w:b/>
                <w:bCs/>
                <w:color w:val="000000"/>
                <w:kern w:val="0"/>
              </w:rPr>
              <w:t>3</w:t>
            </w:r>
            <w:r>
              <w:rPr>
                <w:rFonts w:cs="宋体" w:hint="eastAsia"/>
                <w:b/>
                <w:bCs/>
                <w:color w:val="000000"/>
                <w:kern w:val="0"/>
              </w:rPr>
              <w:t>：假设</w:t>
            </w:r>
            <w:r>
              <w:rPr>
                <w:rFonts w:cs="宋体" w:hint="eastAsia"/>
                <w:b/>
                <w:bCs/>
                <w:color w:val="000000"/>
                <w:kern w:val="0"/>
              </w:rPr>
              <w:t>2023</w:t>
            </w:r>
            <w:r>
              <w:rPr>
                <w:rFonts w:cs="宋体" w:hint="eastAsia"/>
                <w:b/>
                <w:bCs/>
                <w:color w:val="000000"/>
                <w:kern w:val="0"/>
              </w:rPr>
              <w:t>年度扣除非经常性损益前</w:t>
            </w:r>
            <w:r>
              <w:rPr>
                <w:rFonts w:cs="宋体" w:hint="eastAsia"/>
                <w:b/>
                <w:bCs/>
                <w:color w:val="000000"/>
                <w:kern w:val="0"/>
              </w:rPr>
              <w:t>/</w:t>
            </w:r>
            <w:r>
              <w:rPr>
                <w:rFonts w:cs="宋体" w:hint="eastAsia"/>
                <w:b/>
                <w:bCs/>
                <w:color w:val="000000"/>
                <w:kern w:val="0"/>
              </w:rPr>
              <w:t>后归属于母公司股东的净利润同比增长</w:t>
            </w:r>
            <w:r>
              <w:rPr>
                <w:rFonts w:cs="宋体" w:hint="eastAsia"/>
                <w:b/>
                <w:bCs/>
                <w:color w:val="000000"/>
                <w:kern w:val="0"/>
              </w:rPr>
              <w:t>15%</w:t>
            </w:r>
          </w:p>
        </w:tc>
      </w:tr>
      <w:tr w:rsidR="004B0883" w14:paraId="7A261529" w14:textId="77777777">
        <w:trPr>
          <w:trHeight w:val="397"/>
          <w:jc w:val="center"/>
        </w:trPr>
        <w:tc>
          <w:tcPr>
            <w:tcW w:w="1469" w:type="dxa"/>
            <w:shd w:val="clear" w:color="auto" w:fill="FFFFFF"/>
            <w:vAlign w:val="center"/>
          </w:tcPr>
          <w:p w14:paraId="67C6D098" w14:textId="77777777" w:rsidR="004B0883" w:rsidRDefault="004B0883">
            <w:pPr>
              <w:rPr>
                <w:rFonts w:cs="宋体" w:hint="eastAsia"/>
                <w:color w:val="000000"/>
                <w:kern w:val="0"/>
              </w:rPr>
            </w:pPr>
            <w:r>
              <w:rPr>
                <w:rFonts w:hint="eastAsia"/>
              </w:rPr>
              <w:t>归属于母公司股东的净利润</w:t>
            </w:r>
            <w:r>
              <w:rPr>
                <w:rFonts w:cs="宋体" w:hint="eastAsia"/>
                <w:color w:val="000000"/>
                <w:kern w:val="0"/>
              </w:rPr>
              <w:t>（元）</w:t>
            </w:r>
          </w:p>
        </w:tc>
        <w:tc>
          <w:tcPr>
            <w:tcW w:w="1633" w:type="dxa"/>
            <w:shd w:val="clear" w:color="auto" w:fill="FFFFFF"/>
            <w:vAlign w:val="center"/>
          </w:tcPr>
          <w:p w14:paraId="513D4D88" w14:textId="77777777" w:rsidR="004B0883" w:rsidRDefault="004B0883">
            <w:pPr>
              <w:jc w:val="right"/>
              <w:rPr>
                <w:color w:val="000000"/>
                <w:highlight w:val="yellow"/>
              </w:rPr>
            </w:pPr>
            <w:r>
              <w:rPr>
                <w:color w:val="000000"/>
              </w:rPr>
              <w:t>136,205,068.76</w:t>
            </w:r>
          </w:p>
        </w:tc>
        <w:tc>
          <w:tcPr>
            <w:tcW w:w="1751" w:type="dxa"/>
            <w:shd w:val="clear" w:color="auto" w:fill="FFFFFF"/>
            <w:vAlign w:val="center"/>
          </w:tcPr>
          <w:p w14:paraId="37D42CFA" w14:textId="77777777" w:rsidR="004B0883" w:rsidRDefault="004B0883">
            <w:pPr>
              <w:jc w:val="right"/>
              <w:rPr>
                <w:color w:val="000000"/>
                <w:kern w:val="0"/>
                <w:highlight w:val="yellow"/>
              </w:rPr>
            </w:pPr>
            <w:r>
              <w:rPr>
                <w:color w:val="000000"/>
              </w:rPr>
              <w:t xml:space="preserve">156,635,829.07 </w:t>
            </w:r>
          </w:p>
        </w:tc>
        <w:tc>
          <w:tcPr>
            <w:tcW w:w="1861" w:type="dxa"/>
            <w:gridSpan w:val="2"/>
            <w:shd w:val="clear" w:color="auto" w:fill="FFFFFF"/>
            <w:vAlign w:val="center"/>
          </w:tcPr>
          <w:p w14:paraId="61CE531A" w14:textId="77777777" w:rsidR="004B0883" w:rsidRDefault="004B0883">
            <w:pPr>
              <w:jc w:val="right"/>
              <w:rPr>
                <w:color w:val="000000"/>
                <w:highlight w:val="yellow"/>
              </w:rPr>
            </w:pPr>
            <w:r>
              <w:rPr>
                <w:rFonts w:eastAsia="等线"/>
                <w:color w:val="000000"/>
              </w:rPr>
              <w:t>180,131,203.44</w:t>
            </w:r>
          </w:p>
        </w:tc>
        <w:tc>
          <w:tcPr>
            <w:tcW w:w="1812" w:type="dxa"/>
            <w:shd w:val="clear" w:color="auto" w:fill="FFFFFF"/>
            <w:vAlign w:val="center"/>
          </w:tcPr>
          <w:p w14:paraId="4356F5F2" w14:textId="77777777" w:rsidR="004B0883" w:rsidRDefault="004B0883">
            <w:pPr>
              <w:jc w:val="right"/>
              <w:rPr>
                <w:color w:val="000000"/>
                <w:highlight w:val="yellow"/>
              </w:rPr>
            </w:pPr>
            <w:r>
              <w:rPr>
                <w:color w:val="000000"/>
              </w:rPr>
              <w:t xml:space="preserve">180,131,203.44 </w:t>
            </w:r>
          </w:p>
        </w:tc>
      </w:tr>
      <w:tr w:rsidR="004B0883" w14:paraId="383C47D8" w14:textId="77777777">
        <w:trPr>
          <w:trHeight w:val="397"/>
          <w:jc w:val="center"/>
        </w:trPr>
        <w:tc>
          <w:tcPr>
            <w:tcW w:w="1469" w:type="dxa"/>
            <w:shd w:val="clear" w:color="auto" w:fill="FFFFFF"/>
            <w:vAlign w:val="center"/>
          </w:tcPr>
          <w:p w14:paraId="2206B457" w14:textId="77777777" w:rsidR="004B0883" w:rsidRDefault="004B0883">
            <w:pPr>
              <w:rPr>
                <w:rFonts w:cs="宋体"/>
                <w:color w:val="000000"/>
                <w:kern w:val="0"/>
              </w:rPr>
            </w:pPr>
            <w:r>
              <w:rPr>
                <w:rFonts w:cs="宋体" w:hint="eastAsia"/>
                <w:color w:val="000000"/>
                <w:kern w:val="0"/>
              </w:rPr>
              <w:t>扣除非经常性损益后</w:t>
            </w:r>
            <w:r>
              <w:rPr>
                <w:rFonts w:hint="eastAsia"/>
              </w:rPr>
              <w:t>归属于母公司股东的净利润</w:t>
            </w:r>
            <w:r>
              <w:rPr>
                <w:rFonts w:cs="宋体" w:hint="eastAsia"/>
                <w:color w:val="000000"/>
                <w:kern w:val="0"/>
              </w:rPr>
              <w:t>（元）</w:t>
            </w:r>
          </w:p>
        </w:tc>
        <w:tc>
          <w:tcPr>
            <w:tcW w:w="1633" w:type="dxa"/>
            <w:shd w:val="clear" w:color="auto" w:fill="FFFFFF"/>
            <w:vAlign w:val="center"/>
          </w:tcPr>
          <w:p w14:paraId="76413D8D" w14:textId="77777777" w:rsidR="004B0883" w:rsidRDefault="004B0883">
            <w:pPr>
              <w:jc w:val="right"/>
              <w:rPr>
                <w:color w:val="000000"/>
                <w:highlight w:val="yellow"/>
              </w:rPr>
            </w:pPr>
            <w:r>
              <w:rPr>
                <w:color w:val="000000"/>
              </w:rPr>
              <w:t>97,939,171.27</w:t>
            </w:r>
          </w:p>
        </w:tc>
        <w:tc>
          <w:tcPr>
            <w:tcW w:w="1751" w:type="dxa"/>
            <w:shd w:val="clear" w:color="auto" w:fill="FFFFFF"/>
            <w:vAlign w:val="center"/>
          </w:tcPr>
          <w:p w14:paraId="3FE34328" w14:textId="77777777" w:rsidR="004B0883" w:rsidRDefault="004B0883">
            <w:pPr>
              <w:jc w:val="right"/>
              <w:rPr>
                <w:color w:val="000000"/>
                <w:highlight w:val="yellow"/>
              </w:rPr>
            </w:pPr>
            <w:r>
              <w:rPr>
                <w:color w:val="000000"/>
              </w:rPr>
              <w:t xml:space="preserve">112,630,046.96 </w:t>
            </w:r>
          </w:p>
        </w:tc>
        <w:tc>
          <w:tcPr>
            <w:tcW w:w="1861" w:type="dxa"/>
            <w:gridSpan w:val="2"/>
            <w:shd w:val="clear" w:color="auto" w:fill="FFFFFF"/>
            <w:vAlign w:val="center"/>
          </w:tcPr>
          <w:p w14:paraId="0C9435F8" w14:textId="77777777" w:rsidR="004B0883" w:rsidRDefault="004B0883">
            <w:pPr>
              <w:jc w:val="right"/>
              <w:rPr>
                <w:color w:val="000000"/>
                <w:highlight w:val="yellow"/>
              </w:rPr>
            </w:pPr>
            <w:r>
              <w:rPr>
                <w:rFonts w:eastAsia="等线"/>
                <w:color w:val="000000"/>
              </w:rPr>
              <w:t>129,524,554.00</w:t>
            </w:r>
          </w:p>
        </w:tc>
        <w:tc>
          <w:tcPr>
            <w:tcW w:w="1812" w:type="dxa"/>
            <w:shd w:val="clear" w:color="auto" w:fill="FFFFFF"/>
            <w:vAlign w:val="center"/>
          </w:tcPr>
          <w:p w14:paraId="2CE715CE" w14:textId="77777777" w:rsidR="004B0883" w:rsidRDefault="004B0883">
            <w:pPr>
              <w:jc w:val="right"/>
              <w:rPr>
                <w:color w:val="000000"/>
                <w:highlight w:val="yellow"/>
              </w:rPr>
            </w:pPr>
            <w:r>
              <w:rPr>
                <w:color w:val="000000"/>
              </w:rPr>
              <w:t xml:space="preserve">129,524,554.00 </w:t>
            </w:r>
          </w:p>
        </w:tc>
      </w:tr>
      <w:tr w:rsidR="004B0883" w14:paraId="3B7705A8" w14:textId="77777777">
        <w:trPr>
          <w:trHeight w:val="397"/>
          <w:jc w:val="center"/>
        </w:trPr>
        <w:tc>
          <w:tcPr>
            <w:tcW w:w="1469" w:type="dxa"/>
            <w:shd w:val="clear" w:color="auto" w:fill="FFFFFF"/>
            <w:vAlign w:val="center"/>
          </w:tcPr>
          <w:p w14:paraId="7B9CF24C" w14:textId="77777777" w:rsidR="004B0883" w:rsidRDefault="004B0883">
            <w:pPr>
              <w:rPr>
                <w:rFonts w:cs="宋体"/>
                <w:color w:val="000000"/>
                <w:kern w:val="0"/>
              </w:rPr>
            </w:pPr>
            <w:r>
              <w:rPr>
                <w:rFonts w:cs="宋体" w:hint="eastAsia"/>
                <w:color w:val="000000"/>
                <w:kern w:val="0"/>
              </w:rPr>
              <w:t>归属于母公司所有者权益（元）</w:t>
            </w:r>
          </w:p>
        </w:tc>
        <w:tc>
          <w:tcPr>
            <w:tcW w:w="1633" w:type="dxa"/>
            <w:shd w:val="clear" w:color="auto" w:fill="FFFFFF"/>
            <w:vAlign w:val="center"/>
          </w:tcPr>
          <w:p w14:paraId="4F083CBA" w14:textId="77777777" w:rsidR="004B0883" w:rsidRDefault="004B0883">
            <w:pPr>
              <w:jc w:val="right"/>
              <w:rPr>
                <w:color w:val="000000"/>
                <w:highlight w:val="yellow"/>
              </w:rPr>
            </w:pPr>
            <w:r>
              <w:rPr>
                <w:color w:val="000000"/>
              </w:rPr>
              <w:t>733,889,514.15</w:t>
            </w:r>
          </w:p>
        </w:tc>
        <w:tc>
          <w:tcPr>
            <w:tcW w:w="1751" w:type="dxa"/>
            <w:shd w:val="clear" w:color="auto" w:fill="FFFFFF"/>
            <w:vAlign w:val="center"/>
          </w:tcPr>
          <w:p w14:paraId="0A0E93CD" w14:textId="77777777" w:rsidR="004B0883" w:rsidRDefault="004B0883">
            <w:pPr>
              <w:jc w:val="right"/>
              <w:rPr>
                <w:color w:val="000000"/>
                <w:highlight w:val="yellow"/>
              </w:rPr>
            </w:pPr>
            <w:r>
              <w:rPr>
                <w:color w:val="000000"/>
              </w:rPr>
              <w:t xml:space="preserve">839,862,198.82 </w:t>
            </w:r>
          </w:p>
        </w:tc>
        <w:tc>
          <w:tcPr>
            <w:tcW w:w="1861" w:type="dxa"/>
            <w:gridSpan w:val="2"/>
            <w:shd w:val="clear" w:color="auto" w:fill="FFFFFF"/>
            <w:vAlign w:val="center"/>
          </w:tcPr>
          <w:p w14:paraId="6C48C5FC" w14:textId="77777777" w:rsidR="004B0883" w:rsidRDefault="004B0883">
            <w:pPr>
              <w:jc w:val="right"/>
              <w:rPr>
                <w:rFonts w:ascii="楷体" w:eastAsia="楷体" w:hAnsi="楷体"/>
                <w:b/>
                <w:bCs/>
                <w:color w:val="000000"/>
                <w:highlight w:val="yellow"/>
              </w:rPr>
            </w:pPr>
            <w:r>
              <w:rPr>
                <w:rFonts w:ascii="楷体" w:eastAsia="楷体" w:hAnsi="楷体"/>
                <w:b/>
                <w:bCs/>
                <w:color w:val="000000"/>
              </w:rPr>
              <w:t>1,341,823,402.26</w:t>
            </w:r>
          </w:p>
        </w:tc>
        <w:tc>
          <w:tcPr>
            <w:tcW w:w="1812" w:type="dxa"/>
            <w:shd w:val="clear" w:color="auto" w:fill="FFFFFF"/>
            <w:vAlign w:val="center"/>
          </w:tcPr>
          <w:p w14:paraId="3EE03C53" w14:textId="77777777" w:rsidR="004B0883" w:rsidRDefault="004B0883">
            <w:pPr>
              <w:jc w:val="right"/>
              <w:rPr>
                <w:color w:val="000000"/>
                <w:highlight w:val="yellow"/>
              </w:rPr>
            </w:pPr>
            <w:r>
              <w:rPr>
                <w:color w:val="000000"/>
              </w:rPr>
              <w:t xml:space="preserve">1,019,993,402.26 </w:t>
            </w:r>
          </w:p>
        </w:tc>
      </w:tr>
      <w:tr w:rsidR="004B0883" w14:paraId="419CEC61" w14:textId="77777777">
        <w:trPr>
          <w:trHeight w:val="397"/>
          <w:jc w:val="center"/>
        </w:trPr>
        <w:tc>
          <w:tcPr>
            <w:tcW w:w="1469" w:type="dxa"/>
            <w:shd w:val="clear" w:color="auto" w:fill="FFFFFF"/>
            <w:vAlign w:val="center"/>
          </w:tcPr>
          <w:p w14:paraId="6020DF23" w14:textId="77777777" w:rsidR="004B0883" w:rsidRDefault="004B0883">
            <w:pPr>
              <w:rPr>
                <w:rFonts w:cs="宋体"/>
                <w:color w:val="000000"/>
                <w:kern w:val="0"/>
              </w:rPr>
            </w:pPr>
            <w:r>
              <w:rPr>
                <w:rFonts w:cs="宋体" w:hint="eastAsia"/>
                <w:color w:val="000000"/>
                <w:kern w:val="0"/>
              </w:rPr>
              <w:t>基本每股收益（元</w:t>
            </w:r>
            <w:r>
              <w:rPr>
                <w:color w:val="000000"/>
                <w:kern w:val="0"/>
              </w:rPr>
              <w:t>/</w:t>
            </w:r>
            <w:r>
              <w:rPr>
                <w:rFonts w:cs="宋体" w:hint="eastAsia"/>
                <w:color w:val="000000"/>
                <w:kern w:val="0"/>
              </w:rPr>
              <w:t>股）</w:t>
            </w:r>
          </w:p>
        </w:tc>
        <w:tc>
          <w:tcPr>
            <w:tcW w:w="1633" w:type="dxa"/>
            <w:shd w:val="clear" w:color="auto" w:fill="FFFFFF"/>
            <w:vAlign w:val="center"/>
          </w:tcPr>
          <w:p w14:paraId="681D2B23" w14:textId="77777777" w:rsidR="004B0883" w:rsidRDefault="004B0883">
            <w:pPr>
              <w:jc w:val="right"/>
              <w:rPr>
                <w:color w:val="000000"/>
                <w:highlight w:val="yellow"/>
              </w:rPr>
            </w:pPr>
            <w:r>
              <w:rPr>
                <w:color w:val="000000"/>
              </w:rPr>
              <w:t>0.81</w:t>
            </w:r>
          </w:p>
        </w:tc>
        <w:tc>
          <w:tcPr>
            <w:tcW w:w="1751" w:type="dxa"/>
            <w:shd w:val="clear" w:color="auto" w:fill="FFFFFF"/>
            <w:vAlign w:val="center"/>
          </w:tcPr>
          <w:p w14:paraId="420CCD5C" w14:textId="77777777" w:rsidR="004B0883" w:rsidRDefault="004B0883">
            <w:pPr>
              <w:jc w:val="right"/>
              <w:rPr>
                <w:color w:val="000000"/>
                <w:highlight w:val="yellow"/>
              </w:rPr>
            </w:pPr>
            <w:r>
              <w:rPr>
                <w:color w:val="000000"/>
              </w:rPr>
              <w:t xml:space="preserve">0.93 </w:t>
            </w:r>
          </w:p>
        </w:tc>
        <w:tc>
          <w:tcPr>
            <w:tcW w:w="1861" w:type="dxa"/>
            <w:gridSpan w:val="2"/>
            <w:shd w:val="clear" w:color="auto" w:fill="FFFFFF"/>
            <w:vAlign w:val="center"/>
          </w:tcPr>
          <w:p w14:paraId="002F0EA1" w14:textId="77777777" w:rsidR="004B0883" w:rsidRDefault="004B0883">
            <w:pPr>
              <w:jc w:val="right"/>
              <w:rPr>
                <w:color w:val="000000"/>
                <w:highlight w:val="yellow"/>
              </w:rPr>
            </w:pPr>
            <w:r>
              <w:rPr>
                <w:rFonts w:eastAsia="等线"/>
                <w:color w:val="000000"/>
              </w:rPr>
              <w:t>1.00</w:t>
            </w:r>
          </w:p>
        </w:tc>
        <w:tc>
          <w:tcPr>
            <w:tcW w:w="1812" w:type="dxa"/>
            <w:shd w:val="clear" w:color="auto" w:fill="FFFFFF"/>
            <w:vAlign w:val="center"/>
          </w:tcPr>
          <w:p w14:paraId="2850DF8D" w14:textId="77777777" w:rsidR="004B0883" w:rsidRDefault="004B0883">
            <w:pPr>
              <w:jc w:val="right"/>
              <w:rPr>
                <w:color w:val="000000"/>
                <w:highlight w:val="yellow"/>
              </w:rPr>
            </w:pPr>
            <w:r>
              <w:rPr>
                <w:color w:val="000000"/>
              </w:rPr>
              <w:t xml:space="preserve">1.07 </w:t>
            </w:r>
          </w:p>
        </w:tc>
      </w:tr>
      <w:tr w:rsidR="004B0883" w14:paraId="3675E165" w14:textId="77777777">
        <w:trPr>
          <w:trHeight w:val="397"/>
          <w:jc w:val="center"/>
        </w:trPr>
        <w:tc>
          <w:tcPr>
            <w:tcW w:w="1469" w:type="dxa"/>
            <w:shd w:val="clear" w:color="auto" w:fill="FFFFFF"/>
            <w:vAlign w:val="center"/>
          </w:tcPr>
          <w:p w14:paraId="3C252A64" w14:textId="77777777" w:rsidR="004B0883" w:rsidRDefault="004B0883">
            <w:pPr>
              <w:rPr>
                <w:rFonts w:cs="宋体"/>
                <w:color w:val="000000"/>
                <w:kern w:val="0"/>
              </w:rPr>
            </w:pPr>
            <w:r>
              <w:rPr>
                <w:rFonts w:cs="宋体" w:hint="eastAsia"/>
                <w:color w:val="000000"/>
                <w:kern w:val="0"/>
              </w:rPr>
              <w:t>稀释每股收益（元</w:t>
            </w:r>
            <w:r>
              <w:rPr>
                <w:color w:val="000000"/>
                <w:kern w:val="0"/>
              </w:rPr>
              <w:t>/</w:t>
            </w:r>
            <w:r>
              <w:rPr>
                <w:rFonts w:cs="宋体" w:hint="eastAsia"/>
                <w:color w:val="000000"/>
                <w:kern w:val="0"/>
              </w:rPr>
              <w:t>股）</w:t>
            </w:r>
          </w:p>
        </w:tc>
        <w:tc>
          <w:tcPr>
            <w:tcW w:w="1633" w:type="dxa"/>
            <w:shd w:val="clear" w:color="auto" w:fill="FFFFFF"/>
            <w:vAlign w:val="center"/>
          </w:tcPr>
          <w:p w14:paraId="78D82068" w14:textId="77777777" w:rsidR="004B0883" w:rsidRDefault="004B0883">
            <w:pPr>
              <w:jc w:val="right"/>
              <w:rPr>
                <w:color w:val="000000"/>
                <w:highlight w:val="yellow"/>
              </w:rPr>
            </w:pPr>
            <w:r>
              <w:rPr>
                <w:color w:val="000000"/>
              </w:rPr>
              <w:t>0.80</w:t>
            </w:r>
          </w:p>
        </w:tc>
        <w:tc>
          <w:tcPr>
            <w:tcW w:w="1751" w:type="dxa"/>
            <w:shd w:val="clear" w:color="auto" w:fill="FFFFFF"/>
            <w:vAlign w:val="center"/>
          </w:tcPr>
          <w:p w14:paraId="16602D12" w14:textId="77777777" w:rsidR="004B0883" w:rsidRDefault="004B0883">
            <w:pPr>
              <w:jc w:val="right"/>
              <w:rPr>
                <w:color w:val="000000"/>
                <w:highlight w:val="yellow"/>
              </w:rPr>
            </w:pPr>
            <w:r>
              <w:rPr>
                <w:color w:val="000000"/>
              </w:rPr>
              <w:t xml:space="preserve">0.93 </w:t>
            </w:r>
          </w:p>
        </w:tc>
        <w:tc>
          <w:tcPr>
            <w:tcW w:w="1861" w:type="dxa"/>
            <w:gridSpan w:val="2"/>
            <w:shd w:val="clear" w:color="auto" w:fill="FFFFFF"/>
            <w:vAlign w:val="center"/>
          </w:tcPr>
          <w:p w14:paraId="02ADC59D" w14:textId="77777777" w:rsidR="004B0883" w:rsidRDefault="004B0883">
            <w:pPr>
              <w:jc w:val="right"/>
              <w:rPr>
                <w:rFonts w:ascii="楷体" w:eastAsia="楷体" w:hAnsi="楷体"/>
                <w:b/>
                <w:color w:val="000000"/>
                <w:highlight w:val="yellow"/>
              </w:rPr>
            </w:pPr>
            <w:r>
              <w:rPr>
                <w:rFonts w:ascii="楷体" w:eastAsia="楷体" w:hAnsi="楷体"/>
                <w:b/>
                <w:color w:val="000000"/>
              </w:rPr>
              <w:t>0.94</w:t>
            </w:r>
          </w:p>
        </w:tc>
        <w:tc>
          <w:tcPr>
            <w:tcW w:w="1812" w:type="dxa"/>
            <w:shd w:val="clear" w:color="auto" w:fill="FFFFFF"/>
            <w:vAlign w:val="center"/>
          </w:tcPr>
          <w:p w14:paraId="5F82C2BE" w14:textId="77777777" w:rsidR="004B0883" w:rsidRDefault="004B0883">
            <w:pPr>
              <w:jc w:val="right"/>
              <w:rPr>
                <w:color w:val="000000"/>
                <w:highlight w:val="yellow"/>
              </w:rPr>
            </w:pPr>
            <w:r>
              <w:rPr>
                <w:color w:val="000000"/>
              </w:rPr>
              <w:t xml:space="preserve">0.93 </w:t>
            </w:r>
          </w:p>
        </w:tc>
      </w:tr>
      <w:tr w:rsidR="004B0883" w14:paraId="4D70806D" w14:textId="77777777">
        <w:trPr>
          <w:trHeight w:val="397"/>
          <w:jc w:val="center"/>
        </w:trPr>
        <w:tc>
          <w:tcPr>
            <w:tcW w:w="1469" w:type="dxa"/>
            <w:shd w:val="clear" w:color="auto" w:fill="FFFFFF"/>
            <w:vAlign w:val="center"/>
          </w:tcPr>
          <w:p w14:paraId="6354BF86" w14:textId="77777777" w:rsidR="004B0883" w:rsidRDefault="004B0883">
            <w:pPr>
              <w:rPr>
                <w:rFonts w:cs="宋体"/>
                <w:color w:val="000000"/>
                <w:kern w:val="0"/>
              </w:rPr>
            </w:pPr>
            <w:r>
              <w:rPr>
                <w:rFonts w:cs="宋体" w:hint="eastAsia"/>
                <w:color w:val="000000"/>
                <w:kern w:val="0"/>
              </w:rPr>
              <w:t>扣除非经常性损益后基本每股收益（元</w:t>
            </w:r>
            <w:r>
              <w:rPr>
                <w:color w:val="000000"/>
                <w:kern w:val="0"/>
              </w:rPr>
              <w:t>/</w:t>
            </w:r>
            <w:r>
              <w:rPr>
                <w:rFonts w:cs="宋体" w:hint="eastAsia"/>
                <w:color w:val="000000"/>
                <w:kern w:val="0"/>
              </w:rPr>
              <w:t>股）</w:t>
            </w:r>
          </w:p>
        </w:tc>
        <w:tc>
          <w:tcPr>
            <w:tcW w:w="1633" w:type="dxa"/>
            <w:shd w:val="clear" w:color="auto" w:fill="FFFFFF"/>
            <w:vAlign w:val="center"/>
          </w:tcPr>
          <w:p w14:paraId="45445DBB" w14:textId="77777777" w:rsidR="004B0883" w:rsidRDefault="004B0883">
            <w:pPr>
              <w:jc w:val="right"/>
              <w:rPr>
                <w:color w:val="000000"/>
                <w:highlight w:val="yellow"/>
              </w:rPr>
            </w:pPr>
            <w:r>
              <w:rPr>
                <w:color w:val="000000"/>
              </w:rPr>
              <w:t>0.58</w:t>
            </w:r>
          </w:p>
        </w:tc>
        <w:tc>
          <w:tcPr>
            <w:tcW w:w="1751" w:type="dxa"/>
            <w:shd w:val="clear" w:color="auto" w:fill="FFFFFF"/>
            <w:vAlign w:val="center"/>
          </w:tcPr>
          <w:p w14:paraId="6ACCB7E8" w14:textId="77777777" w:rsidR="004B0883" w:rsidRDefault="004B0883">
            <w:pPr>
              <w:jc w:val="right"/>
              <w:rPr>
                <w:color w:val="000000"/>
                <w:highlight w:val="yellow"/>
              </w:rPr>
            </w:pPr>
            <w:r>
              <w:rPr>
                <w:color w:val="000000"/>
              </w:rPr>
              <w:t xml:space="preserve">0.67 </w:t>
            </w:r>
          </w:p>
        </w:tc>
        <w:tc>
          <w:tcPr>
            <w:tcW w:w="1861" w:type="dxa"/>
            <w:gridSpan w:val="2"/>
            <w:shd w:val="clear" w:color="auto" w:fill="FFFFFF"/>
            <w:vAlign w:val="center"/>
          </w:tcPr>
          <w:p w14:paraId="4AB82B7A" w14:textId="77777777" w:rsidR="004B0883" w:rsidRDefault="004B0883">
            <w:pPr>
              <w:jc w:val="right"/>
              <w:rPr>
                <w:color w:val="000000"/>
                <w:highlight w:val="yellow"/>
              </w:rPr>
            </w:pPr>
            <w:r>
              <w:rPr>
                <w:rFonts w:eastAsia="等线"/>
                <w:color w:val="000000"/>
              </w:rPr>
              <w:t>0.72</w:t>
            </w:r>
          </w:p>
        </w:tc>
        <w:tc>
          <w:tcPr>
            <w:tcW w:w="1812" w:type="dxa"/>
            <w:shd w:val="clear" w:color="auto" w:fill="FFFFFF"/>
            <w:vAlign w:val="center"/>
          </w:tcPr>
          <w:p w14:paraId="1668CC40" w14:textId="77777777" w:rsidR="004B0883" w:rsidRDefault="004B0883">
            <w:pPr>
              <w:jc w:val="right"/>
              <w:rPr>
                <w:color w:val="000000"/>
                <w:highlight w:val="yellow"/>
              </w:rPr>
            </w:pPr>
            <w:r>
              <w:rPr>
                <w:color w:val="000000"/>
              </w:rPr>
              <w:t xml:space="preserve">0.77 </w:t>
            </w:r>
          </w:p>
        </w:tc>
      </w:tr>
      <w:tr w:rsidR="004B0883" w14:paraId="0EB96522" w14:textId="77777777">
        <w:trPr>
          <w:trHeight w:val="397"/>
          <w:jc w:val="center"/>
        </w:trPr>
        <w:tc>
          <w:tcPr>
            <w:tcW w:w="1469" w:type="dxa"/>
            <w:shd w:val="clear" w:color="auto" w:fill="FFFFFF"/>
            <w:vAlign w:val="center"/>
          </w:tcPr>
          <w:p w14:paraId="6FFBB2E1" w14:textId="77777777" w:rsidR="004B0883" w:rsidRDefault="004B0883">
            <w:pPr>
              <w:rPr>
                <w:rFonts w:cs="宋体"/>
                <w:color w:val="000000"/>
                <w:kern w:val="0"/>
              </w:rPr>
            </w:pPr>
            <w:r>
              <w:rPr>
                <w:rFonts w:cs="宋体" w:hint="eastAsia"/>
                <w:color w:val="000000"/>
                <w:kern w:val="0"/>
              </w:rPr>
              <w:t>扣除非经常性损益后稀释每股收益（元</w:t>
            </w:r>
            <w:r>
              <w:rPr>
                <w:color w:val="000000"/>
                <w:kern w:val="0"/>
              </w:rPr>
              <w:t>/</w:t>
            </w:r>
            <w:r>
              <w:rPr>
                <w:rFonts w:cs="宋体" w:hint="eastAsia"/>
                <w:color w:val="000000"/>
                <w:kern w:val="0"/>
              </w:rPr>
              <w:t>股）</w:t>
            </w:r>
          </w:p>
        </w:tc>
        <w:tc>
          <w:tcPr>
            <w:tcW w:w="1633" w:type="dxa"/>
            <w:shd w:val="clear" w:color="auto" w:fill="FFFFFF"/>
            <w:vAlign w:val="center"/>
          </w:tcPr>
          <w:p w14:paraId="260A676A" w14:textId="77777777" w:rsidR="004B0883" w:rsidRDefault="004B0883">
            <w:pPr>
              <w:jc w:val="right"/>
              <w:rPr>
                <w:color w:val="000000"/>
                <w:highlight w:val="yellow"/>
              </w:rPr>
            </w:pPr>
            <w:r>
              <w:rPr>
                <w:color w:val="000000"/>
              </w:rPr>
              <w:t>0.58</w:t>
            </w:r>
          </w:p>
        </w:tc>
        <w:tc>
          <w:tcPr>
            <w:tcW w:w="1751" w:type="dxa"/>
            <w:shd w:val="clear" w:color="auto" w:fill="FFFFFF"/>
            <w:vAlign w:val="center"/>
          </w:tcPr>
          <w:p w14:paraId="782E02C7" w14:textId="77777777" w:rsidR="004B0883" w:rsidRDefault="004B0883">
            <w:pPr>
              <w:jc w:val="right"/>
              <w:rPr>
                <w:color w:val="000000"/>
                <w:highlight w:val="yellow"/>
              </w:rPr>
            </w:pPr>
            <w:r>
              <w:rPr>
                <w:color w:val="000000"/>
              </w:rPr>
              <w:t xml:space="preserve">0.67 </w:t>
            </w:r>
          </w:p>
        </w:tc>
        <w:tc>
          <w:tcPr>
            <w:tcW w:w="1861" w:type="dxa"/>
            <w:gridSpan w:val="2"/>
            <w:shd w:val="clear" w:color="auto" w:fill="FFFFFF"/>
            <w:vAlign w:val="center"/>
          </w:tcPr>
          <w:p w14:paraId="182D921E" w14:textId="77777777" w:rsidR="004B0883" w:rsidRDefault="004B0883">
            <w:pPr>
              <w:jc w:val="right"/>
              <w:rPr>
                <w:color w:val="000000"/>
                <w:highlight w:val="yellow"/>
              </w:rPr>
            </w:pPr>
            <w:r>
              <w:rPr>
                <w:rFonts w:eastAsia="等线"/>
                <w:color w:val="000000"/>
              </w:rPr>
              <w:t>0.67</w:t>
            </w:r>
          </w:p>
        </w:tc>
        <w:tc>
          <w:tcPr>
            <w:tcW w:w="1812" w:type="dxa"/>
            <w:shd w:val="clear" w:color="auto" w:fill="FFFFFF"/>
            <w:vAlign w:val="center"/>
          </w:tcPr>
          <w:p w14:paraId="274B4C43" w14:textId="77777777" w:rsidR="004B0883" w:rsidRDefault="004B0883">
            <w:pPr>
              <w:jc w:val="right"/>
              <w:rPr>
                <w:color w:val="000000"/>
                <w:highlight w:val="yellow"/>
              </w:rPr>
            </w:pPr>
            <w:r>
              <w:rPr>
                <w:color w:val="000000"/>
              </w:rPr>
              <w:t xml:space="preserve">0.67 </w:t>
            </w:r>
          </w:p>
        </w:tc>
      </w:tr>
      <w:tr w:rsidR="004B0883" w14:paraId="03B8F4FC" w14:textId="77777777">
        <w:trPr>
          <w:trHeight w:val="397"/>
          <w:jc w:val="center"/>
        </w:trPr>
        <w:tc>
          <w:tcPr>
            <w:tcW w:w="1469" w:type="dxa"/>
            <w:shd w:val="clear" w:color="auto" w:fill="FFFFFF"/>
            <w:vAlign w:val="center"/>
          </w:tcPr>
          <w:p w14:paraId="79698511" w14:textId="77777777" w:rsidR="004B0883" w:rsidRDefault="004B0883">
            <w:pPr>
              <w:rPr>
                <w:rFonts w:cs="宋体"/>
                <w:color w:val="000000"/>
                <w:kern w:val="0"/>
              </w:rPr>
            </w:pPr>
            <w:r>
              <w:rPr>
                <w:rFonts w:cs="宋体" w:hint="eastAsia"/>
                <w:color w:val="000000"/>
                <w:kern w:val="0"/>
              </w:rPr>
              <w:t>加权平均净资产收益率</w:t>
            </w:r>
          </w:p>
        </w:tc>
        <w:tc>
          <w:tcPr>
            <w:tcW w:w="1633" w:type="dxa"/>
            <w:shd w:val="clear" w:color="auto" w:fill="FFFFFF"/>
            <w:vAlign w:val="center"/>
          </w:tcPr>
          <w:p w14:paraId="6022D476" w14:textId="77777777" w:rsidR="004B0883" w:rsidRDefault="004B0883">
            <w:pPr>
              <w:jc w:val="right"/>
              <w:rPr>
                <w:color w:val="000000"/>
                <w:highlight w:val="yellow"/>
              </w:rPr>
            </w:pPr>
            <w:r>
              <w:rPr>
                <w:color w:val="000000"/>
              </w:rPr>
              <w:t>19.94%</w:t>
            </w:r>
          </w:p>
        </w:tc>
        <w:tc>
          <w:tcPr>
            <w:tcW w:w="1751" w:type="dxa"/>
            <w:shd w:val="clear" w:color="auto" w:fill="FFFFFF"/>
            <w:vAlign w:val="center"/>
          </w:tcPr>
          <w:p w14:paraId="333D934D" w14:textId="77777777" w:rsidR="004B0883" w:rsidRDefault="004B0883">
            <w:pPr>
              <w:jc w:val="right"/>
              <w:rPr>
                <w:color w:val="000000"/>
                <w:highlight w:val="yellow"/>
              </w:rPr>
            </w:pPr>
            <w:r>
              <w:rPr>
                <w:color w:val="000000"/>
              </w:rPr>
              <w:t>19.91%</w:t>
            </w:r>
          </w:p>
        </w:tc>
        <w:tc>
          <w:tcPr>
            <w:tcW w:w="1861" w:type="dxa"/>
            <w:gridSpan w:val="2"/>
            <w:shd w:val="clear" w:color="auto" w:fill="FFFFFF"/>
            <w:vAlign w:val="center"/>
          </w:tcPr>
          <w:p w14:paraId="5C48C20B" w14:textId="77777777" w:rsidR="004B0883" w:rsidRDefault="004B0883">
            <w:pPr>
              <w:jc w:val="right"/>
              <w:rPr>
                <w:rFonts w:ascii="楷体" w:eastAsia="楷体" w:hAnsi="楷体"/>
                <w:b/>
                <w:bCs/>
                <w:color w:val="000000"/>
                <w:highlight w:val="yellow"/>
              </w:rPr>
            </w:pPr>
            <w:r>
              <w:rPr>
                <w:rFonts w:ascii="楷体" w:eastAsia="楷体" w:hAnsi="楷体"/>
                <w:b/>
                <w:bCs/>
                <w:color w:val="000000"/>
              </w:rPr>
              <w:t>16.51%</w:t>
            </w:r>
          </w:p>
        </w:tc>
        <w:tc>
          <w:tcPr>
            <w:tcW w:w="1812" w:type="dxa"/>
            <w:shd w:val="clear" w:color="auto" w:fill="FFFFFF"/>
            <w:vAlign w:val="center"/>
          </w:tcPr>
          <w:p w14:paraId="6E490E5D" w14:textId="77777777" w:rsidR="004B0883" w:rsidRDefault="004B0883">
            <w:pPr>
              <w:jc w:val="right"/>
              <w:rPr>
                <w:color w:val="000000"/>
                <w:highlight w:val="yellow"/>
              </w:rPr>
            </w:pPr>
            <w:r>
              <w:rPr>
                <w:color w:val="000000"/>
              </w:rPr>
              <w:t>19.37%</w:t>
            </w:r>
          </w:p>
        </w:tc>
      </w:tr>
      <w:tr w:rsidR="004B0883" w14:paraId="611334C8" w14:textId="77777777">
        <w:trPr>
          <w:trHeight w:val="397"/>
          <w:jc w:val="center"/>
        </w:trPr>
        <w:tc>
          <w:tcPr>
            <w:tcW w:w="1469" w:type="dxa"/>
            <w:shd w:val="clear" w:color="auto" w:fill="FFFFFF"/>
            <w:vAlign w:val="center"/>
          </w:tcPr>
          <w:p w14:paraId="699B09F0" w14:textId="77777777" w:rsidR="004B0883" w:rsidRDefault="004B0883">
            <w:pPr>
              <w:rPr>
                <w:rFonts w:cs="宋体"/>
                <w:color w:val="000000"/>
                <w:kern w:val="0"/>
              </w:rPr>
            </w:pPr>
            <w:r>
              <w:rPr>
                <w:rFonts w:cs="宋体" w:hint="eastAsia"/>
                <w:color w:val="000000"/>
                <w:kern w:val="0"/>
              </w:rPr>
              <w:t>扣除非经常性损益后加权平均净资产收益率</w:t>
            </w:r>
          </w:p>
        </w:tc>
        <w:tc>
          <w:tcPr>
            <w:tcW w:w="1633" w:type="dxa"/>
            <w:shd w:val="clear" w:color="auto" w:fill="FFFFFF"/>
            <w:vAlign w:val="center"/>
          </w:tcPr>
          <w:p w14:paraId="7BD92456" w14:textId="77777777" w:rsidR="004B0883" w:rsidRDefault="004B0883">
            <w:pPr>
              <w:jc w:val="right"/>
              <w:rPr>
                <w:color w:val="000000"/>
                <w:highlight w:val="yellow"/>
              </w:rPr>
            </w:pPr>
            <w:r>
              <w:rPr>
                <w:color w:val="000000"/>
              </w:rPr>
              <w:t>14.34%</w:t>
            </w:r>
          </w:p>
        </w:tc>
        <w:tc>
          <w:tcPr>
            <w:tcW w:w="1751" w:type="dxa"/>
            <w:shd w:val="clear" w:color="auto" w:fill="FFFFFF"/>
            <w:vAlign w:val="center"/>
          </w:tcPr>
          <w:p w14:paraId="5453E383" w14:textId="77777777" w:rsidR="004B0883" w:rsidRDefault="004B0883">
            <w:pPr>
              <w:jc w:val="right"/>
              <w:rPr>
                <w:color w:val="000000"/>
                <w:highlight w:val="yellow"/>
              </w:rPr>
            </w:pPr>
            <w:r>
              <w:rPr>
                <w:color w:val="000000"/>
              </w:rPr>
              <w:t>14.31%</w:t>
            </w:r>
          </w:p>
        </w:tc>
        <w:tc>
          <w:tcPr>
            <w:tcW w:w="1861" w:type="dxa"/>
            <w:gridSpan w:val="2"/>
            <w:shd w:val="clear" w:color="auto" w:fill="FFFFFF"/>
            <w:vAlign w:val="center"/>
          </w:tcPr>
          <w:p w14:paraId="314C0490" w14:textId="77777777" w:rsidR="004B0883" w:rsidRDefault="004B0883">
            <w:pPr>
              <w:jc w:val="right"/>
              <w:rPr>
                <w:rFonts w:ascii="楷体" w:eastAsia="楷体" w:hAnsi="楷体"/>
                <w:b/>
                <w:bCs/>
                <w:color w:val="000000"/>
                <w:highlight w:val="yellow"/>
              </w:rPr>
            </w:pPr>
            <w:r>
              <w:rPr>
                <w:rFonts w:ascii="楷体" w:eastAsia="楷体" w:hAnsi="楷体"/>
                <w:b/>
                <w:bCs/>
                <w:color w:val="000000"/>
              </w:rPr>
              <w:t>11.87%</w:t>
            </w:r>
          </w:p>
        </w:tc>
        <w:tc>
          <w:tcPr>
            <w:tcW w:w="1812" w:type="dxa"/>
            <w:shd w:val="clear" w:color="auto" w:fill="FFFFFF"/>
            <w:vAlign w:val="center"/>
          </w:tcPr>
          <w:p w14:paraId="4C57D856" w14:textId="77777777" w:rsidR="004B0883" w:rsidRDefault="004B0883">
            <w:pPr>
              <w:jc w:val="right"/>
              <w:rPr>
                <w:color w:val="000000"/>
                <w:highlight w:val="yellow"/>
              </w:rPr>
            </w:pPr>
            <w:r>
              <w:rPr>
                <w:color w:val="000000"/>
              </w:rPr>
              <w:t>13.93%</w:t>
            </w:r>
          </w:p>
        </w:tc>
      </w:tr>
    </w:tbl>
    <w:p w14:paraId="38DCB8D2" w14:textId="77777777" w:rsidR="004B0883" w:rsidRDefault="004B0883">
      <w:pPr>
        <w:pStyle w:val="006"/>
        <w:ind w:firstLine="420"/>
        <w:rPr>
          <w:kern w:val="0"/>
          <w:lang w:val="zh-CN" w:bidi="zh-CN"/>
        </w:rPr>
      </w:pPr>
      <w:bookmarkStart w:id="370" w:name="_Hlk100317220"/>
      <w:r>
        <w:rPr>
          <w:rFonts w:hint="eastAsia"/>
          <w:kern w:val="0"/>
          <w:lang w:val="zh-CN" w:bidi="zh-CN"/>
        </w:rPr>
        <w:t>注：上述每股收益指标根据《公开发行证券的公司信息披露编报规则第</w:t>
      </w:r>
      <w:r>
        <w:rPr>
          <w:kern w:val="0"/>
          <w:lang w:val="zh-CN" w:bidi="zh-CN"/>
        </w:rPr>
        <w:t>9</w:t>
      </w:r>
      <w:r>
        <w:rPr>
          <w:kern w:val="0"/>
          <w:lang w:val="zh-CN" w:bidi="zh-CN"/>
        </w:rPr>
        <w:t>号</w:t>
      </w:r>
      <w:r>
        <w:rPr>
          <w:kern w:val="0"/>
          <w:lang w:val="zh-CN" w:bidi="zh-CN"/>
        </w:rPr>
        <w:t>——</w:t>
      </w:r>
      <w:r>
        <w:rPr>
          <w:kern w:val="0"/>
          <w:lang w:val="zh-CN" w:bidi="zh-CN"/>
        </w:rPr>
        <w:t>净资产收益率和</w:t>
      </w:r>
      <w:r>
        <w:rPr>
          <w:rFonts w:hint="eastAsia"/>
          <w:kern w:val="0"/>
          <w:lang w:val="zh-CN" w:bidi="zh-CN"/>
        </w:rPr>
        <w:t>每股收益的计算及披露》的有关规定进行计算。</w:t>
      </w:r>
    </w:p>
    <w:p w14:paraId="06AB13CE" w14:textId="77777777" w:rsidR="004B0883" w:rsidRDefault="004B0883">
      <w:pPr>
        <w:pStyle w:val="005"/>
        <w:spacing w:before="120"/>
        <w:ind w:firstLine="480"/>
        <w:rPr>
          <w:rFonts w:hint="eastAsia"/>
        </w:rPr>
      </w:pPr>
      <w:r>
        <w:rPr>
          <w:rFonts w:hint="eastAsia"/>
        </w:rPr>
        <w:t>根据上述测算，在完成本次发行后，公司股本规模以及净资产规模将会相应增加，但由于募集资金产生效益需要一定时间，短期内每股收益等指标存在被摊薄的风险。</w:t>
      </w:r>
    </w:p>
    <w:bookmarkEnd w:id="370"/>
    <w:p w14:paraId="6C236C32" w14:textId="77777777" w:rsidR="004B0883" w:rsidRDefault="004B0883">
      <w:pPr>
        <w:pStyle w:val="003"/>
        <w:spacing w:before="120" w:after="120"/>
        <w:rPr>
          <w:rFonts w:hint="eastAsia"/>
        </w:rPr>
      </w:pPr>
      <w:r>
        <w:rPr>
          <w:rFonts w:hint="eastAsia"/>
        </w:rPr>
        <w:t>（二）公司应对本次发行摊薄即期回报采取的具体措施</w:t>
      </w:r>
    </w:p>
    <w:p w14:paraId="25FABA5E" w14:textId="77777777" w:rsidR="004B0883" w:rsidRDefault="004B0883">
      <w:pPr>
        <w:pStyle w:val="005"/>
        <w:spacing w:before="120"/>
        <w:ind w:firstLine="480"/>
      </w:pPr>
      <w:r>
        <w:rPr>
          <w:rFonts w:hint="eastAsia"/>
        </w:rPr>
        <w:t>为了维护广大投资者的利益，降低即期回报被摊薄的风险，增强对股东利益的回报，公司拟采取多种措施填补即期回报，具体如下：</w:t>
      </w:r>
    </w:p>
    <w:p w14:paraId="1ECC79E6" w14:textId="77777777" w:rsidR="004B0883" w:rsidRDefault="004B0883">
      <w:pPr>
        <w:pStyle w:val="004"/>
        <w:spacing w:before="120" w:after="120"/>
        <w:ind w:firstLine="482"/>
      </w:pPr>
      <w:r>
        <w:rPr>
          <w:rFonts w:hint="eastAsia"/>
        </w:rPr>
        <w:t>1</w:t>
      </w:r>
      <w:r>
        <w:rPr>
          <w:rFonts w:hint="eastAsia"/>
        </w:rPr>
        <w:t>、强化募集资金管理，保证募集资金合理规范使用</w:t>
      </w:r>
    </w:p>
    <w:p w14:paraId="256D268D" w14:textId="77777777" w:rsidR="004B0883" w:rsidRDefault="004B0883">
      <w:pPr>
        <w:pStyle w:val="005"/>
        <w:spacing w:before="120"/>
        <w:ind w:firstLine="480"/>
        <w:rPr>
          <w:rFonts w:hint="eastAsia"/>
        </w:rPr>
      </w:pPr>
      <w:r>
        <w:rPr>
          <w:rFonts w:hint="eastAsia"/>
        </w:rPr>
        <w:t>公司将严格按照《证券法》《上市公司监管指引第</w:t>
      </w:r>
      <w:r>
        <w:rPr>
          <w:rFonts w:hint="eastAsia"/>
        </w:rPr>
        <w:t>2</w:t>
      </w:r>
      <w:r>
        <w:rPr>
          <w:rFonts w:hint="eastAsia"/>
        </w:rPr>
        <w:t>号—上市公司募集资金管理和使用的监管要求》和《深圳证券交易所上市公司自律监管指引第</w:t>
      </w:r>
      <w:r>
        <w:rPr>
          <w:rFonts w:hint="eastAsia"/>
        </w:rPr>
        <w:t>1</w:t>
      </w:r>
      <w:r>
        <w:rPr>
          <w:rFonts w:hint="eastAsia"/>
        </w:rPr>
        <w:t>号——主板上市公司规范运作》等法律法规、规范性文件以及公司《募集资金管理制度》的规定，加强募集资金管理，对募集资金进行专户存储，并依相关规定使用募集资金，以保证募集资金合理规范使用，防范募集资金使用风险，提高募集资金使用效率。</w:t>
      </w:r>
    </w:p>
    <w:p w14:paraId="676CB953" w14:textId="77777777" w:rsidR="004B0883" w:rsidRDefault="004B0883">
      <w:pPr>
        <w:pStyle w:val="004"/>
        <w:spacing w:before="120" w:after="120"/>
        <w:ind w:firstLine="482"/>
      </w:pPr>
      <w:r>
        <w:rPr>
          <w:rFonts w:hint="eastAsia"/>
        </w:rPr>
        <w:t>2</w:t>
      </w:r>
      <w:r>
        <w:rPr>
          <w:rFonts w:hint="eastAsia"/>
        </w:rPr>
        <w:t>、加快募投项目建设进度，增强公司核心竞争力</w:t>
      </w:r>
    </w:p>
    <w:p w14:paraId="510E97A4" w14:textId="77777777" w:rsidR="004B0883" w:rsidRDefault="004B0883">
      <w:pPr>
        <w:pStyle w:val="005"/>
        <w:spacing w:before="120"/>
        <w:ind w:firstLine="480"/>
        <w:rPr>
          <w:rFonts w:hint="eastAsia"/>
        </w:rPr>
      </w:pPr>
      <w:bookmarkStart w:id="371" w:name="_Hlk104548580"/>
      <w:r>
        <w:rPr>
          <w:rFonts w:hint="eastAsia"/>
        </w:rPr>
        <w:t>公司董事会已对本次募投项目的可行性进行了充分论证，认为本次募投项目符合未来公司整体战略发展方向，具有良好的市场发展前景和经济效益，有利于巩固公司的行业地位，增强公司综合实力及核心竞争力。本次发行的募集资金到位后，公司将加快募投项目的投资进度，推进募投项目的顺利建设，尽快产生效益回报股东。</w:t>
      </w:r>
    </w:p>
    <w:bookmarkEnd w:id="371"/>
    <w:p w14:paraId="37DC5D66" w14:textId="77777777" w:rsidR="004B0883" w:rsidRDefault="004B0883">
      <w:pPr>
        <w:pStyle w:val="004"/>
        <w:spacing w:before="120" w:after="120"/>
        <w:ind w:firstLine="482"/>
      </w:pPr>
      <w:r>
        <w:rPr>
          <w:rFonts w:hint="eastAsia"/>
        </w:rPr>
        <w:t>3</w:t>
      </w:r>
      <w:r>
        <w:rPr>
          <w:rFonts w:hint="eastAsia"/>
        </w:rPr>
        <w:t>、严格执行公司利润分配政策，强化投资者回报机制</w:t>
      </w:r>
    </w:p>
    <w:p w14:paraId="1BF7DE56" w14:textId="77777777" w:rsidR="004B0883" w:rsidRDefault="004B0883">
      <w:pPr>
        <w:pStyle w:val="005"/>
        <w:spacing w:before="120"/>
        <w:ind w:firstLine="480"/>
        <w:rPr>
          <w:rFonts w:hint="eastAsia"/>
        </w:rPr>
      </w:pPr>
      <w:r>
        <w:rPr>
          <w:rFonts w:hint="eastAsia"/>
        </w:rPr>
        <w:t>根据《关于进一步落实上市公司现金分红有关事项的通知》《上市公司监管指引第</w:t>
      </w:r>
      <w:r>
        <w:rPr>
          <w:rFonts w:hint="eastAsia"/>
        </w:rPr>
        <w:t>3</w:t>
      </w:r>
      <w:r>
        <w:rPr>
          <w:rFonts w:hint="eastAsia"/>
        </w:rPr>
        <w:t>号—上市公司现金分红》等法律法规、规范性文件的规定，公司已制定了《公司章程》中有关利润分配的相关条款，并制定了《青岛伟隆阀门股份有限公司未来三年（</w:t>
      </w:r>
      <w:r>
        <w:rPr>
          <w:rFonts w:hint="eastAsia"/>
        </w:rPr>
        <w:t>2023</w:t>
      </w:r>
      <w:r>
        <w:rPr>
          <w:rFonts w:hint="eastAsia"/>
        </w:rPr>
        <w:t>年</w:t>
      </w:r>
      <w:r>
        <w:rPr>
          <w:rFonts w:hint="eastAsia"/>
        </w:rPr>
        <w:t>-2025</w:t>
      </w:r>
      <w:r>
        <w:rPr>
          <w:rFonts w:hint="eastAsia"/>
        </w:rPr>
        <w:t>年）股东分红回报规划（修订稿）》，明确了股东的具体回报计划，建立了股东回报规划的决策、实施和调整机制。本次发行后，公司将严格执行分红政策，在符合利润分配条件的情况下，积极推动对股东的利润分配，加大落实对投资者持续、稳定、科学的回报，从而切实保护公众投资者的合法权益。</w:t>
      </w:r>
    </w:p>
    <w:p w14:paraId="0F193946" w14:textId="77777777" w:rsidR="004B0883" w:rsidRDefault="004B0883">
      <w:pPr>
        <w:pStyle w:val="004"/>
        <w:spacing w:before="120" w:after="120"/>
        <w:ind w:firstLine="482"/>
      </w:pPr>
      <w:r>
        <w:rPr>
          <w:rFonts w:hint="eastAsia"/>
        </w:rPr>
        <w:t>4</w:t>
      </w:r>
      <w:r>
        <w:rPr>
          <w:rFonts w:hint="eastAsia"/>
        </w:rPr>
        <w:t>、不断完善公司治理，为公司发展提供制度保障</w:t>
      </w:r>
    </w:p>
    <w:p w14:paraId="55B6F677" w14:textId="77777777" w:rsidR="004B0883" w:rsidRDefault="004B0883">
      <w:pPr>
        <w:pStyle w:val="005"/>
        <w:spacing w:before="120"/>
        <w:ind w:firstLine="480"/>
        <w:rPr>
          <w:rFonts w:hint="eastAsia"/>
        </w:rPr>
      </w:pPr>
      <w:r>
        <w:rPr>
          <w:rFonts w:hint="eastAsia"/>
        </w:rPr>
        <w:t>公司将严格遵循《公司法》《证券法》等法律法规和规范性文件的要求，不断完善公司治理结构，确保股东权利能够得以充分行使，确保董事会能够按照法律法规和公司章程的规定行使职权，做出科学、迅速和谨慎的决策，确保独立董事能够认真履行职责，维护公司整体利益，尤其是中小股东的合法权益，为公司发展提供制度保障。确保监事会能够独立有效地行使对董事、经理和其他高级管理人员及公司财务的监督权和检查权，为公司发展提供制度保障。</w:t>
      </w:r>
    </w:p>
    <w:p w14:paraId="671A0A5F" w14:textId="77777777" w:rsidR="004B0883" w:rsidRDefault="004B0883">
      <w:pPr>
        <w:pStyle w:val="003"/>
        <w:spacing w:before="120" w:after="120"/>
        <w:rPr>
          <w:rFonts w:hint="eastAsia"/>
        </w:rPr>
      </w:pPr>
      <w:r>
        <w:rPr>
          <w:rFonts w:hint="eastAsia"/>
        </w:rPr>
        <w:t>（三）公司的控股股东、实际控制人及全体董事、高级管理人员关于填补回报措施能够得到切实履行的承诺</w:t>
      </w:r>
    </w:p>
    <w:p w14:paraId="6D0CC1DD" w14:textId="77777777" w:rsidR="004B0883" w:rsidRDefault="004B0883">
      <w:pPr>
        <w:pStyle w:val="004"/>
        <w:spacing w:before="120" w:after="120"/>
        <w:ind w:firstLine="482"/>
        <w:rPr>
          <w:rFonts w:hint="eastAsia"/>
        </w:rPr>
      </w:pPr>
      <w:r>
        <w:rPr>
          <w:rFonts w:hint="eastAsia"/>
        </w:rPr>
        <w:t>1</w:t>
      </w:r>
      <w:r>
        <w:rPr>
          <w:rFonts w:hint="eastAsia"/>
        </w:rPr>
        <w:t>、控股股东、实际控制人关于填补回报措施能够得到切实履行的承诺</w:t>
      </w:r>
    </w:p>
    <w:p w14:paraId="1D7635F2" w14:textId="77777777" w:rsidR="004B0883" w:rsidRDefault="004B0883">
      <w:pPr>
        <w:autoSpaceDE w:val="0"/>
        <w:autoSpaceDN w:val="0"/>
        <w:adjustRightInd w:val="0"/>
        <w:spacing w:beforeLines="50" w:before="120" w:line="360" w:lineRule="auto"/>
        <w:ind w:firstLineChars="200" w:firstLine="480"/>
        <w:jc w:val="both"/>
        <w:rPr>
          <w:rFonts w:hint="eastAsia"/>
          <w:sz w:val="24"/>
        </w:rPr>
      </w:pPr>
      <w:r>
        <w:rPr>
          <w:rFonts w:hint="eastAsia"/>
          <w:sz w:val="24"/>
        </w:rPr>
        <w:t>公司控股股东、实际控制人对向不特定对象发行可转换公司债券摊薄即期回报采取填补措施事宜作出以下承诺：</w:t>
      </w:r>
    </w:p>
    <w:p w14:paraId="5B0045BA" w14:textId="77777777" w:rsidR="004B0883" w:rsidRDefault="004B0883">
      <w:pPr>
        <w:autoSpaceDE w:val="0"/>
        <w:autoSpaceDN w:val="0"/>
        <w:adjustRightInd w:val="0"/>
        <w:spacing w:beforeLines="50" w:before="120" w:line="360" w:lineRule="auto"/>
        <w:ind w:firstLineChars="200" w:firstLine="480"/>
        <w:jc w:val="both"/>
        <w:rPr>
          <w:sz w:val="24"/>
        </w:rPr>
      </w:pPr>
      <w:r>
        <w:rPr>
          <w:rFonts w:ascii="宋体" w:hAnsi="宋体" w:hint="eastAsia"/>
          <w:sz w:val="24"/>
        </w:rPr>
        <w:t>“</w:t>
      </w:r>
      <w:bookmarkStart w:id="372" w:name="_Hlk128595849"/>
      <w:r>
        <w:rPr>
          <w:sz w:val="24"/>
        </w:rPr>
        <w:t>1</w:t>
      </w:r>
      <w:r>
        <w:rPr>
          <w:sz w:val="24"/>
        </w:rPr>
        <w:t>、本人承诺不越权干预公司的经营管理活动，不侵占公司利益；</w:t>
      </w:r>
    </w:p>
    <w:p w14:paraId="347FCEFB" w14:textId="77777777" w:rsidR="004B0883" w:rsidRDefault="004B0883">
      <w:pPr>
        <w:autoSpaceDE w:val="0"/>
        <w:autoSpaceDN w:val="0"/>
        <w:adjustRightInd w:val="0"/>
        <w:spacing w:beforeLines="50" w:before="120" w:line="360" w:lineRule="auto"/>
        <w:ind w:firstLineChars="200" w:firstLine="480"/>
        <w:jc w:val="both"/>
        <w:rPr>
          <w:sz w:val="24"/>
        </w:rPr>
      </w:pPr>
      <w:r>
        <w:rPr>
          <w:sz w:val="24"/>
        </w:rPr>
        <w:t>2</w:t>
      </w:r>
      <w:r>
        <w:rPr>
          <w:sz w:val="24"/>
        </w:rPr>
        <w:t>、自本承诺出具日至公司本次向不特定对象发行可转换公司债券完成前，若中国证券监督管理委员会、深圳证券交易所等监管部门作出关于上市公司填补被摊薄即期回报措施的其他新的监管规定的，且本承诺不能满足国家及证券监管部门的该等规定时，本人承诺届时将按照中国证券监督管理委员会、深圳证券交易所等监管部门的最新规定出具补充承诺；</w:t>
      </w:r>
    </w:p>
    <w:p w14:paraId="263447EE" w14:textId="77777777" w:rsidR="004B0883" w:rsidRDefault="004B0883">
      <w:pPr>
        <w:pStyle w:val="005"/>
        <w:spacing w:before="120"/>
        <w:ind w:firstLine="480"/>
        <w:rPr>
          <w:rFonts w:hint="eastAsia"/>
          <w:bCs/>
          <w:color w:val="000000"/>
        </w:rPr>
      </w:pPr>
      <w:r>
        <w:t>3</w:t>
      </w:r>
      <w:r>
        <w:t>、本人承诺切实履行公司制定的有关填补被摊薄即期回报措施以及本承诺，若违反本承诺或拒不履行本承诺而给公司或者投资者造成损失的，本人愿意依法承担相应的补偿责任</w:t>
      </w:r>
      <w:r>
        <w:rPr>
          <w:rFonts w:hint="eastAsia"/>
        </w:rPr>
        <w:t>。</w:t>
      </w:r>
      <w:bookmarkEnd w:id="372"/>
      <w:r>
        <w:rPr>
          <w:rFonts w:ascii="宋体" w:hAnsi="宋体" w:hint="eastAsia"/>
        </w:rPr>
        <w:t>”</w:t>
      </w:r>
    </w:p>
    <w:p w14:paraId="3EB839A5" w14:textId="77777777" w:rsidR="004B0883" w:rsidRDefault="004B0883">
      <w:pPr>
        <w:pStyle w:val="004"/>
        <w:spacing w:before="120" w:after="120"/>
        <w:ind w:firstLine="482"/>
        <w:rPr>
          <w:rFonts w:hint="eastAsia"/>
        </w:rPr>
      </w:pPr>
      <w:r>
        <w:rPr>
          <w:rFonts w:hint="eastAsia"/>
        </w:rPr>
        <w:t>2</w:t>
      </w:r>
      <w:r>
        <w:rPr>
          <w:rFonts w:hint="eastAsia"/>
        </w:rPr>
        <w:t>、董事、高级管理人员关于填补回报措施能够得到切实履行的承诺</w:t>
      </w:r>
    </w:p>
    <w:p w14:paraId="3C885405" w14:textId="77777777" w:rsidR="004B0883" w:rsidRDefault="004B0883">
      <w:pPr>
        <w:autoSpaceDE w:val="0"/>
        <w:autoSpaceDN w:val="0"/>
        <w:adjustRightInd w:val="0"/>
        <w:spacing w:beforeLines="50" w:before="120" w:line="360" w:lineRule="auto"/>
        <w:ind w:firstLineChars="200" w:firstLine="480"/>
        <w:jc w:val="both"/>
        <w:rPr>
          <w:rFonts w:hint="eastAsia"/>
          <w:sz w:val="24"/>
        </w:rPr>
      </w:pPr>
      <w:r>
        <w:rPr>
          <w:rFonts w:hint="eastAsia"/>
          <w:sz w:val="24"/>
        </w:rPr>
        <w:t>公司全体董事、高级管理人员对</w:t>
      </w:r>
      <w:r>
        <w:rPr>
          <w:sz w:val="24"/>
        </w:rPr>
        <w:t>本次</w:t>
      </w:r>
      <w:r>
        <w:rPr>
          <w:rFonts w:hint="eastAsia"/>
          <w:sz w:val="24"/>
        </w:rPr>
        <w:t>向不特定对象发行可转换公司债券摊薄即期回报采取填补措施事宜作出以下承诺：</w:t>
      </w:r>
    </w:p>
    <w:p w14:paraId="550C1EEE" w14:textId="77777777" w:rsidR="004B0883" w:rsidRDefault="004B0883">
      <w:pPr>
        <w:autoSpaceDE w:val="0"/>
        <w:autoSpaceDN w:val="0"/>
        <w:adjustRightInd w:val="0"/>
        <w:spacing w:beforeLines="50" w:before="120" w:line="360" w:lineRule="auto"/>
        <w:ind w:firstLineChars="200" w:firstLine="480"/>
        <w:jc w:val="both"/>
        <w:rPr>
          <w:sz w:val="24"/>
        </w:rPr>
      </w:pPr>
      <w:r>
        <w:rPr>
          <w:rFonts w:ascii="宋体" w:hAnsi="宋体" w:hint="eastAsia"/>
          <w:sz w:val="24"/>
        </w:rPr>
        <w:t>“</w:t>
      </w:r>
      <w:bookmarkStart w:id="373" w:name="_Hlk128595909"/>
      <w:r>
        <w:rPr>
          <w:sz w:val="24"/>
        </w:rPr>
        <w:t>1</w:t>
      </w:r>
      <w:r>
        <w:rPr>
          <w:sz w:val="24"/>
        </w:rPr>
        <w:t>、本人承诺不无偿或以不公平条件向其他单位或者个人输送利益，也不采用其他方式损害公司利益；</w:t>
      </w:r>
    </w:p>
    <w:p w14:paraId="4D0B6581" w14:textId="77777777" w:rsidR="004B0883" w:rsidRDefault="004B0883">
      <w:pPr>
        <w:autoSpaceDE w:val="0"/>
        <w:autoSpaceDN w:val="0"/>
        <w:adjustRightInd w:val="0"/>
        <w:spacing w:beforeLines="50" w:before="120" w:line="360" w:lineRule="auto"/>
        <w:ind w:firstLineChars="200" w:firstLine="480"/>
        <w:jc w:val="both"/>
        <w:rPr>
          <w:sz w:val="24"/>
        </w:rPr>
      </w:pPr>
      <w:r>
        <w:rPr>
          <w:sz w:val="24"/>
        </w:rPr>
        <w:t>2</w:t>
      </w:r>
      <w:r>
        <w:rPr>
          <w:sz w:val="24"/>
        </w:rPr>
        <w:t>、本人承诺对本人的职务消费行为进行约束；</w:t>
      </w:r>
    </w:p>
    <w:p w14:paraId="4941E5EC" w14:textId="77777777" w:rsidR="004B0883" w:rsidRDefault="004B0883">
      <w:pPr>
        <w:autoSpaceDE w:val="0"/>
        <w:autoSpaceDN w:val="0"/>
        <w:adjustRightInd w:val="0"/>
        <w:spacing w:beforeLines="50" w:before="120" w:line="360" w:lineRule="auto"/>
        <w:ind w:firstLineChars="200" w:firstLine="480"/>
        <w:jc w:val="both"/>
        <w:rPr>
          <w:sz w:val="24"/>
        </w:rPr>
      </w:pPr>
      <w:r>
        <w:rPr>
          <w:sz w:val="24"/>
        </w:rPr>
        <w:t>3</w:t>
      </w:r>
      <w:r>
        <w:rPr>
          <w:sz w:val="24"/>
        </w:rPr>
        <w:t>、本人承诺不动用公司资产从事与本人履行职责无关的投资、消费活动；</w:t>
      </w:r>
    </w:p>
    <w:p w14:paraId="001E6355" w14:textId="77777777" w:rsidR="004B0883" w:rsidRDefault="004B0883">
      <w:pPr>
        <w:autoSpaceDE w:val="0"/>
        <w:autoSpaceDN w:val="0"/>
        <w:adjustRightInd w:val="0"/>
        <w:spacing w:beforeLines="50" w:before="120" w:line="360" w:lineRule="auto"/>
        <w:ind w:firstLineChars="200" w:firstLine="480"/>
        <w:jc w:val="both"/>
        <w:rPr>
          <w:sz w:val="24"/>
        </w:rPr>
      </w:pPr>
      <w:r>
        <w:rPr>
          <w:sz w:val="24"/>
        </w:rPr>
        <w:t>4</w:t>
      </w:r>
      <w:r>
        <w:rPr>
          <w:sz w:val="24"/>
        </w:rPr>
        <w:t>、本人承诺由董事会或薪酬委员会制定的薪酬制度与公司填补被摊薄即期回报措施的执行情况相挂钩；</w:t>
      </w:r>
    </w:p>
    <w:p w14:paraId="28D56A21" w14:textId="77777777" w:rsidR="004B0883" w:rsidRDefault="004B0883">
      <w:pPr>
        <w:autoSpaceDE w:val="0"/>
        <w:autoSpaceDN w:val="0"/>
        <w:adjustRightInd w:val="0"/>
        <w:spacing w:beforeLines="50" w:before="120" w:line="360" w:lineRule="auto"/>
        <w:ind w:firstLineChars="200" w:firstLine="480"/>
        <w:jc w:val="both"/>
        <w:rPr>
          <w:sz w:val="24"/>
        </w:rPr>
      </w:pPr>
      <w:r>
        <w:rPr>
          <w:sz w:val="24"/>
        </w:rPr>
        <w:t>5</w:t>
      </w:r>
      <w:r>
        <w:rPr>
          <w:sz w:val="24"/>
        </w:rPr>
        <w:t>、本人承诺如公司拟实施股权激励计划，本人支持拟公布的股权激励的行权条件与公司填补被摊薄即期回报措施的执行情况相挂钩；</w:t>
      </w:r>
    </w:p>
    <w:p w14:paraId="1E553AF3" w14:textId="77777777" w:rsidR="004B0883" w:rsidRDefault="004B0883">
      <w:pPr>
        <w:autoSpaceDE w:val="0"/>
        <w:autoSpaceDN w:val="0"/>
        <w:adjustRightInd w:val="0"/>
        <w:spacing w:beforeLines="50" w:before="120" w:line="360" w:lineRule="auto"/>
        <w:ind w:firstLineChars="200" w:firstLine="480"/>
        <w:jc w:val="both"/>
        <w:rPr>
          <w:sz w:val="24"/>
        </w:rPr>
      </w:pPr>
      <w:r>
        <w:rPr>
          <w:sz w:val="24"/>
        </w:rPr>
        <w:t>6</w:t>
      </w:r>
      <w:r>
        <w:rPr>
          <w:sz w:val="24"/>
        </w:rPr>
        <w:t>、自本承诺出具日后至公司本次发行可转换公司债券完成前，若中国证券监督管理委员会、深圳证券交易所等监管部门作出关于上市公司填补被摊薄即期回报措施及其承诺的其他新的监管规定，且本承诺不能满足国家及证券监管部门的该等规定时，本人承诺届时将按照监管部门的最新规定出具补充承诺；</w:t>
      </w:r>
    </w:p>
    <w:p w14:paraId="46C33EAA" w14:textId="77777777" w:rsidR="004B0883" w:rsidRDefault="004B0883">
      <w:pPr>
        <w:pStyle w:val="005"/>
        <w:spacing w:before="120"/>
        <w:ind w:firstLine="480"/>
        <w:rPr>
          <w:rFonts w:hint="eastAsia"/>
        </w:rPr>
      </w:pPr>
      <w:r>
        <w:t>7</w:t>
      </w:r>
      <w:r>
        <w:t>、本人承诺切实履行公司制定的有关填补被摊薄即期回报措施以及本承诺，若违反本承诺或拒不履行本承诺而给公司或者投资者造成损失的，本人愿意依法承担相应的补偿责任</w:t>
      </w:r>
      <w:r>
        <w:rPr>
          <w:rFonts w:hint="eastAsia"/>
        </w:rPr>
        <w:t>。</w:t>
      </w:r>
      <w:bookmarkEnd w:id="373"/>
      <w:r>
        <w:rPr>
          <w:rFonts w:ascii="宋体" w:hAnsi="宋体" w:hint="eastAsia"/>
        </w:rPr>
        <w:t>”</w:t>
      </w:r>
    </w:p>
    <w:p w14:paraId="4B47D70D" w14:textId="77777777" w:rsidR="004B0883" w:rsidRDefault="004B0883">
      <w:pPr>
        <w:pStyle w:val="003"/>
        <w:spacing w:before="120" w:after="120"/>
        <w:rPr>
          <w:rFonts w:hint="eastAsia"/>
        </w:rPr>
      </w:pPr>
      <w:r>
        <w:rPr>
          <w:rFonts w:hint="eastAsia"/>
        </w:rPr>
        <w:t>（四）本次发行摊薄即期回报的特别风险提示</w:t>
      </w:r>
    </w:p>
    <w:p w14:paraId="1E11D8A7" w14:textId="77777777" w:rsidR="004B0883" w:rsidRDefault="004B0883">
      <w:pPr>
        <w:autoSpaceDE w:val="0"/>
        <w:autoSpaceDN w:val="0"/>
        <w:adjustRightInd w:val="0"/>
        <w:spacing w:beforeLines="50" w:before="120" w:line="360" w:lineRule="auto"/>
        <w:ind w:firstLineChars="200" w:firstLine="480"/>
        <w:jc w:val="both"/>
        <w:rPr>
          <w:rFonts w:hint="eastAsia"/>
          <w:sz w:val="24"/>
        </w:rPr>
      </w:pPr>
      <w:r>
        <w:rPr>
          <w:rFonts w:hint="eastAsia"/>
          <w:sz w:val="24"/>
        </w:rPr>
        <w:t>本次可转债发行完成后、转股前，公司需按照约定的票面利率对未转股的可转债支付利息，由于可转债票面利率一般较低，正常情况下公司对可转债募集资金运用带来的盈利增长会超过需支付的债券利息，不会摊薄基本每股收益，但极端情况下，如果公司对可转债募集资金运用带来的盈利增长无法覆盖需支付的债券利息，则将使公司的税后利润面临下降的风险，公司即期回报面临被摊薄的风险。</w:t>
      </w:r>
    </w:p>
    <w:p w14:paraId="2DB14AB9" w14:textId="77777777" w:rsidR="004B0883" w:rsidRDefault="004B0883">
      <w:pPr>
        <w:autoSpaceDE w:val="0"/>
        <w:autoSpaceDN w:val="0"/>
        <w:adjustRightInd w:val="0"/>
        <w:spacing w:beforeLines="50" w:before="120" w:line="360" w:lineRule="auto"/>
        <w:ind w:firstLineChars="200" w:firstLine="480"/>
        <w:jc w:val="both"/>
        <w:rPr>
          <w:rFonts w:hint="eastAsia"/>
          <w:sz w:val="24"/>
        </w:rPr>
      </w:pPr>
      <w:r>
        <w:rPr>
          <w:rFonts w:hint="eastAsia"/>
          <w:sz w:val="24"/>
        </w:rPr>
        <w:t>本次募集资金到位后，公司将合理有效地利用募集资金，提升公司运营能力，从而提高公司长期盈利能力。投资者持有的可转债部分或全部转股后，公司股本总额将相应增加。但由于受到宏观经济以及行业发展情况的影响，短期内公司盈利状况仍然存在一定的不确定性，并且由于本次募集资金投资项目建设需要一定周期，本次发行募集资金使用效益可能需要一定时间才能得以体现，如果公司营业收入及利润没有立即实现同步增长，本次发行的可转债转股可能导致原有股东持股比例、每股收益指标出现下降，公司短期业绩面临被摊薄的风险。</w:t>
      </w:r>
    </w:p>
    <w:p w14:paraId="058C5CB3" w14:textId="77777777" w:rsidR="004B0883" w:rsidRDefault="004B0883">
      <w:pPr>
        <w:autoSpaceDE w:val="0"/>
        <w:autoSpaceDN w:val="0"/>
        <w:adjustRightInd w:val="0"/>
        <w:spacing w:beforeLines="50" w:before="120" w:line="360" w:lineRule="auto"/>
        <w:ind w:firstLineChars="200" w:firstLine="480"/>
        <w:jc w:val="both"/>
        <w:rPr>
          <w:rFonts w:hint="eastAsia"/>
          <w:sz w:val="24"/>
        </w:rPr>
      </w:pPr>
      <w:r>
        <w:rPr>
          <w:rFonts w:hint="eastAsia"/>
          <w:sz w:val="24"/>
        </w:rPr>
        <w:t>另外，本次向不特定对象发行可转换公司债券设有转股价格向下修正条款，在该条款被触发时，公司可能申请向下修正转股价格，导致因本次可转换公司债券转股而新增的股本总额增加，从而扩大本次向不特定对象发行可转换公司债券转股对公司原普通股股东的潜在摊薄作用。</w:t>
      </w:r>
    </w:p>
    <w:p w14:paraId="74CCE90F" w14:textId="77777777" w:rsidR="004B0883" w:rsidRDefault="004B0883">
      <w:pPr>
        <w:pStyle w:val="005"/>
        <w:spacing w:before="120"/>
        <w:ind w:firstLine="480"/>
        <w:rPr>
          <w:rFonts w:hint="eastAsia"/>
        </w:rPr>
      </w:pPr>
      <w:r>
        <w:rPr>
          <w:rFonts w:hint="eastAsia"/>
        </w:rPr>
        <w:t>公司向不特定对象发行可转换公司债券后即期回报存在被摊薄的风险，敬请广大投资者关注，并注意投资风险。</w:t>
      </w:r>
    </w:p>
    <w:p w14:paraId="7415E0D4" w14:textId="77777777" w:rsidR="004B0883" w:rsidRDefault="004B0883">
      <w:pPr>
        <w:pStyle w:val="002"/>
        <w:spacing w:before="120" w:after="120"/>
        <w:rPr>
          <w:rFonts w:hint="eastAsia"/>
        </w:rPr>
      </w:pPr>
      <w:bookmarkStart w:id="374" w:name="_Toc152320815"/>
      <w:r>
        <w:rPr>
          <w:rFonts w:hint="eastAsia"/>
        </w:rPr>
        <w:t>十二、重大担保、诉讼、其他或有事项和重大期后事项情况</w:t>
      </w:r>
      <w:bookmarkEnd w:id="374"/>
    </w:p>
    <w:p w14:paraId="065F12F0" w14:textId="77777777" w:rsidR="004B0883" w:rsidRDefault="004B0883">
      <w:pPr>
        <w:pStyle w:val="003"/>
        <w:spacing w:before="120" w:after="120"/>
        <w:rPr>
          <w:rFonts w:hint="eastAsia"/>
        </w:rPr>
      </w:pPr>
      <w:r>
        <w:rPr>
          <w:rFonts w:hint="eastAsia"/>
        </w:rPr>
        <w:t>（一）对外担保</w:t>
      </w:r>
    </w:p>
    <w:p w14:paraId="086646A6" w14:textId="77777777" w:rsidR="004B0883" w:rsidRDefault="004B0883">
      <w:pPr>
        <w:pStyle w:val="005"/>
        <w:spacing w:before="120"/>
        <w:ind w:firstLine="480"/>
        <w:rPr>
          <w:rFonts w:hint="eastAsia"/>
        </w:rPr>
      </w:pPr>
      <w:r>
        <w:rPr>
          <w:rFonts w:hint="eastAsia"/>
        </w:rPr>
        <w:t>截至本募集说明书签署日，发行人及其子公司不存在正在履行的对外担保合同。</w:t>
      </w:r>
    </w:p>
    <w:p w14:paraId="56B11064" w14:textId="77777777" w:rsidR="004B0883" w:rsidRDefault="004B0883">
      <w:pPr>
        <w:pStyle w:val="003"/>
        <w:spacing w:before="120" w:after="120"/>
        <w:rPr>
          <w:rFonts w:hint="eastAsia"/>
        </w:rPr>
      </w:pPr>
      <w:r>
        <w:rPr>
          <w:rFonts w:hint="eastAsia"/>
        </w:rPr>
        <w:t>（二）诉讼、仲裁</w:t>
      </w:r>
    </w:p>
    <w:p w14:paraId="61CEAE1C" w14:textId="77777777" w:rsidR="004B0883" w:rsidRDefault="004B0883">
      <w:pPr>
        <w:pStyle w:val="005"/>
        <w:spacing w:before="120"/>
        <w:ind w:firstLine="480"/>
      </w:pPr>
      <w:r>
        <w:rPr>
          <w:rFonts w:hint="eastAsia"/>
        </w:rPr>
        <w:t>截至本募集说明书签署日，发行人及其控股子公司不存在尚未了结的或可预见的重大诉讼、仲裁案件。</w:t>
      </w:r>
    </w:p>
    <w:p w14:paraId="50FA4395" w14:textId="77777777" w:rsidR="004B0883" w:rsidRDefault="004B0883">
      <w:pPr>
        <w:pStyle w:val="003"/>
        <w:spacing w:before="120" w:after="120"/>
        <w:rPr>
          <w:rFonts w:hint="eastAsia"/>
        </w:rPr>
      </w:pPr>
      <w:r>
        <w:rPr>
          <w:rFonts w:hint="eastAsia"/>
        </w:rPr>
        <w:t>（三）其他或有事项</w:t>
      </w:r>
    </w:p>
    <w:p w14:paraId="2BFF9C0C" w14:textId="77777777" w:rsidR="004B0883" w:rsidRDefault="004B0883">
      <w:pPr>
        <w:pStyle w:val="005"/>
        <w:spacing w:before="120"/>
        <w:ind w:firstLine="480"/>
        <w:rPr>
          <w:rFonts w:hint="eastAsia"/>
        </w:rPr>
      </w:pPr>
      <w:r>
        <w:rPr>
          <w:rFonts w:hint="eastAsia"/>
        </w:rPr>
        <w:t>截至本募集说明书签署日，公司及其子公司无需要披露的其他或有事项。</w:t>
      </w:r>
    </w:p>
    <w:p w14:paraId="081247F0" w14:textId="77777777" w:rsidR="004B0883" w:rsidRDefault="004B0883">
      <w:pPr>
        <w:pStyle w:val="003"/>
        <w:spacing w:before="120" w:after="120"/>
        <w:rPr>
          <w:rFonts w:hint="eastAsia"/>
        </w:rPr>
      </w:pPr>
      <w:r>
        <w:rPr>
          <w:rFonts w:hint="eastAsia"/>
        </w:rPr>
        <w:t>（四）重大期后事项</w:t>
      </w:r>
    </w:p>
    <w:p w14:paraId="405E71EB" w14:textId="77777777" w:rsidR="004B0883" w:rsidRDefault="004B0883">
      <w:pPr>
        <w:pStyle w:val="005"/>
        <w:spacing w:before="120"/>
        <w:ind w:firstLine="480"/>
        <w:rPr>
          <w:rFonts w:hint="eastAsia"/>
        </w:rPr>
      </w:pPr>
      <w:r>
        <w:rPr>
          <w:rFonts w:hint="eastAsia"/>
        </w:rPr>
        <w:t>截至本募集说明书签署日，公司及其子公司无需要披露的重大期后事项。</w:t>
      </w:r>
    </w:p>
    <w:p w14:paraId="024512E6" w14:textId="77777777" w:rsidR="004B0883" w:rsidRDefault="004B0883">
      <w:pPr>
        <w:pStyle w:val="002"/>
        <w:spacing w:before="120" w:after="120"/>
        <w:rPr>
          <w:rFonts w:hint="eastAsia"/>
        </w:rPr>
      </w:pPr>
      <w:bookmarkStart w:id="375" w:name="_Toc152320816"/>
      <w:r>
        <w:rPr>
          <w:rFonts w:hint="eastAsia"/>
        </w:rPr>
        <w:t>十三、本次发行对上市公司的影响</w:t>
      </w:r>
      <w:bookmarkEnd w:id="375"/>
    </w:p>
    <w:p w14:paraId="2EF2C2D2" w14:textId="77777777" w:rsidR="004B0883" w:rsidRDefault="004B0883">
      <w:pPr>
        <w:pStyle w:val="003"/>
        <w:spacing w:before="120" w:after="120"/>
        <w:rPr>
          <w:rFonts w:hint="eastAsia"/>
        </w:rPr>
      </w:pPr>
      <w:r>
        <w:rPr>
          <w:rFonts w:hint="eastAsia"/>
        </w:rPr>
        <w:t>（一）本次发行可转债对公司经营管理的影响</w:t>
      </w:r>
    </w:p>
    <w:p w14:paraId="3228ADC9" w14:textId="77777777" w:rsidR="004B0883" w:rsidRDefault="004B0883">
      <w:pPr>
        <w:pStyle w:val="005"/>
        <w:spacing w:before="120"/>
        <w:ind w:firstLine="480"/>
        <w:rPr>
          <w:rFonts w:hint="eastAsia"/>
        </w:rPr>
      </w:pPr>
      <w:r>
        <w:rPr>
          <w:rFonts w:hint="eastAsia"/>
        </w:rPr>
        <w:t>本次发行募投项目符合国家相关的产业政策以及公司整体战略发展方向，具有良好的市场发展前景和经济效益。本项目实施后公司主营业务的产能将得到进一步释放，为公司进一步提升自身竞争优势、强化市场地位奠定基础。本次募集资金有利于公司向市场提供更具竞争力和综合性的产品及服务，有利于提升资本实力和抗风险能力，进一步提升公司的整体竞争实力，符合公司长期发展需求及全体股东的利益</w:t>
      </w:r>
      <w:r>
        <w:t>。</w:t>
      </w:r>
    </w:p>
    <w:p w14:paraId="5D9FCB0A" w14:textId="77777777" w:rsidR="004B0883" w:rsidRDefault="004B0883">
      <w:pPr>
        <w:pStyle w:val="003"/>
        <w:spacing w:before="120" w:after="120"/>
        <w:rPr>
          <w:rFonts w:hint="eastAsia"/>
        </w:rPr>
      </w:pPr>
      <w:r>
        <w:rPr>
          <w:rFonts w:hint="eastAsia"/>
        </w:rPr>
        <w:t>（二）本次发行可转债对公司财务状况的影响</w:t>
      </w:r>
    </w:p>
    <w:p w14:paraId="563D225D" w14:textId="77777777" w:rsidR="004B0883" w:rsidRDefault="004B0883">
      <w:pPr>
        <w:pStyle w:val="005"/>
        <w:spacing w:before="120"/>
        <w:ind w:firstLine="480"/>
      </w:pPr>
      <w:r>
        <w:t>本次发行将进一步扩大公司的资产规模，如本次发行的可转债逐渐转股，公司的资产负债率将逐步降低，净资产提高，财务结构进一步优化，抗风险能力将得到提升。</w:t>
      </w:r>
    </w:p>
    <w:p w14:paraId="025C1A90" w14:textId="77777777" w:rsidR="004B0883" w:rsidRDefault="004B0883">
      <w:pPr>
        <w:pStyle w:val="005"/>
        <w:spacing w:before="120"/>
        <w:ind w:firstLine="480"/>
      </w:pPr>
      <w:r>
        <w:rPr>
          <w:rFonts w:hint="eastAsia"/>
        </w:rPr>
        <w:t>募投</w:t>
      </w:r>
      <w:r>
        <w:t>项目产生效益需要一定的过程和时间，若本次发行的可转债转股较快，募投项目效益尚未完全实现，则可能出现每股收益等财务指标在短期内小幅下滑的情况。但是，随着本次募集资金投资项目的有序开展，公司的发展战略将得以有效实施，公司未来的盈利能力、经营业绩将会得到提升。</w:t>
      </w:r>
    </w:p>
    <w:p w14:paraId="2273B273" w14:textId="77777777" w:rsidR="004B0883" w:rsidRDefault="004B0883">
      <w:pPr>
        <w:pStyle w:val="003"/>
        <w:spacing w:before="120" w:after="120"/>
        <w:rPr>
          <w:rFonts w:hint="eastAsia"/>
        </w:rPr>
      </w:pPr>
      <w:r>
        <w:rPr>
          <w:rFonts w:hint="eastAsia"/>
        </w:rPr>
        <w:t>（三）本次发行完成后，上市公司控制权结构的变化</w:t>
      </w:r>
    </w:p>
    <w:p w14:paraId="4B9198BB" w14:textId="77777777" w:rsidR="004B0883" w:rsidRDefault="004B0883">
      <w:pPr>
        <w:pStyle w:val="005"/>
        <w:spacing w:before="120"/>
        <w:ind w:firstLine="480"/>
        <w:rPr>
          <w:rFonts w:hint="eastAsia"/>
        </w:rPr>
      </w:pPr>
      <w:r>
        <w:rPr>
          <w:rFonts w:hint="eastAsia"/>
        </w:rPr>
        <w:t>本次发行不会导致上市公司控制权发生变化。</w:t>
      </w:r>
    </w:p>
    <w:p w14:paraId="2B9D1C32" w14:textId="77777777" w:rsidR="004B0883" w:rsidRDefault="004B0883">
      <w:pPr>
        <w:pStyle w:val="001"/>
        <w:spacing w:before="120" w:after="120"/>
        <w:rPr>
          <w:rFonts w:hint="eastAsia"/>
          <w:kern w:val="44"/>
        </w:rPr>
      </w:pPr>
      <w:bookmarkStart w:id="376" w:name="_Toc444987083"/>
      <w:bookmarkStart w:id="377" w:name="_Toc444987291"/>
      <w:bookmarkStart w:id="378" w:name="_Toc152320817"/>
      <w:bookmarkEnd w:id="295"/>
      <w:bookmarkEnd w:id="296"/>
      <w:bookmarkEnd w:id="376"/>
      <w:bookmarkEnd w:id="377"/>
      <w:r>
        <w:rPr>
          <w:rFonts w:hint="eastAsia"/>
          <w:kern w:val="44"/>
        </w:rPr>
        <w:t>第六节</w:t>
      </w:r>
      <w:r>
        <w:rPr>
          <w:rFonts w:hint="eastAsia"/>
          <w:kern w:val="44"/>
        </w:rPr>
        <w:t xml:space="preserve">  </w:t>
      </w:r>
      <w:r>
        <w:rPr>
          <w:rFonts w:hint="eastAsia"/>
          <w:kern w:val="44"/>
        </w:rPr>
        <w:t>合规经营与独立性</w:t>
      </w:r>
      <w:bookmarkEnd w:id="378"/>
    </w:p>
    <w:p w14:paraId="454F70F9" w14:textId="77777777" w:rsidR="004B0883" w:rsidRDefault="004B0883">
      <w:pPr>
        <w:pStyle w:val="002"/>
        <w:spacing w:before="120" w:after="120"/>
        <w:rPr>
          <w:rFonts w:hint="eastAsia"/>
        </w:rPr>
      </w:pPr>
      <w:bookmarkStart w:id="379" w:name="_Toc152320818"/>
      <w:r>
        <w:rPr>
          <w:rFonts w:hint="eastAsia"/>
        </w:rPr>
        <w:t>一、合规经营情况</w:t>
      </w:r>
      <w:bookmarkEnd w:id="379"/>
    </w:p>
    <w:p w14:paraId="13ADCCE3" w14:textId="77777777" w:rsidR="004B0883" w:rsidRDefault="004B0883">
      <w:pPr>
        <w:pStyle w:val="003"/>
        <w:spacing w:before="120" w:after="120"/>
        <w:rPr>
          <w:rFonts w:hint="eastAsia"/>
        </w:rPr>
      </w:pPr>
      <w:r>
        <w:rPr>
          <w:rFonts w:hint="eastAsia"/>
        </w:rPr>
        <w:t>（一）发行人涉及的违法违规及受到处罚的情况</w:t>
      </w:r>
    </w:p>
    <w:p w14:paraId="0D99DE6F" w14:textId="77777777" w:rsidR="004B0883" w:rsidRDefault="004B0883">
      <w:pPr>
        <w:pStyle w:val="005"/>
        <w:spacing w:before="120"/>
        <w:ind w:firstLine="480"/>
      </w:pPr>
      <w:r>
        <w:rPr>
          <w:rFonts w:hint="eastAsia"/>
        </w:rPr>
        <w:t>报告期内，发行人及其控股子公司受到的行政处罚情况如下：</w:t>
      </w:r>
    </w:p>
    <w:tbl>
      <w:tblPr>
        <w:tblW w:w="9630"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98"/>
        <w:gridCol w:w="2620"/>
        <w:gridCol w:w="1542"/>
        <w:gridCol w:w="1294"/>
        <w:gridCol w:w="1790"/>
        <w:gridCol w:w="1186"/>
      </w:tblGrid>
      <w:tr w:rsidR="004B0883" w14:paraId="0E08806A" w14:textId="77777777">
        <w:trPr>
          <w:trHeight w:val="397"/>
          <w:tblHeader/>
          <w:jc w:val="center"/>
        </w:trPr>
        <w:tc>
          <w:tcPr>
            <w:tcW w:w="1198" w:type="dxa"/>
            <w:shd w:val="clear" w:color="auto" w:fill="D9D9D9"/>
            <w:vAlign w:val="center"/>
          </w:tcPr>
          <w:p w14:paraId="62F7041D" w14:textId="77777777" w:rsidR="004B0883" w:rsidRDefault="004B0883">
            <w:pPr>
              <w:jc w:val="center"/>
              <w:rPr>
                <w:rFonts w:ascii="宋体" w:hAnsi="宋体"/>
                <w:b/>
                <w:color w:val="000000"/>
                <w:kern w:val="0"/>
              </w:rPr>
            </w:pPr>
            <w:r>
              <w:rPr>
                <w:rFonts w:ascii="宋体" w:hAnsi="宋体" w:hint="eastAsia"/>
                <w:b/>
                <w:color w:val="000000"/>
                <w:kern w:val="0"/>
              </w:rPr>
              <w:t>处罚主体</w:t>
            </w:r>
          </w:p>
        </w:tc>
        <w:tc>
          <w:tcPr>
            <w:tcW w:w="2620" w:type="dxa"/>
            <w:shd w:val="clear" w:color="auto" w:fill="D9D9D9"/>
            <w:vAlign w:val="center"/>
          </w:tcPr>
          <w:p w14:paraId="3965CACA" w14:textId="77777777" w:rsidR="004B0883" w:rsidRDefault="004B0883">
            <w:pPr>
              <w:jc w:val="center"/>
              <w:rPr>
                <w:rFonts w:ascii="宋体" w:hAnsi="宋体"/>
                <w:b/>
                <w:color w:val="000000"/>
                <w:kern w:val="0"/>
              </w:rPr>
            </w:pPr>
            <w:r>
              <w:rPr>
                <w:rFonts w:ascii="宋体" w:hAnsi="宋体" w:hint="eastAsia"/>
                <w:b/>
                <w:color w:val="000000"/>
                <w:kern w:val="0"/>
              </w:rPr>
              <w:t>处罚事由</w:t>
            </w:r>
          </w:p>
        </w:tc>
        <w:tc>
          <w:tcPr>
            <w:tcW w:w="1542" w:type="dxa"/>
            <w:shd w:val="clear" w:color="auto" w:fill="D9D9D9"/>
            <w:vAlign w:val="center"/>
          </w:tcPr>
          <w:p w14:paraId="112183B3" w14:textId="77777777" w:rsidR="004B0883" w:rsidRDefault="004B0883">
            <w:pPr>
              <w:jc w:val="center"/>
              <w:rPr>
                <w:rFonts w:ascii="宋体" w:hAnsi="宋体"/>
                <w:b/>
                <w:color w:val="000000"/>
                <w:kern w:val="0"/>
              </w:rPr>
            </w:pPr>
            <w:r>
              <w:rPr>
                <w:rFonts w:ascii="宋体" w:hAnsi="宋体" w:hint="eastAsia"/>
                <w:b/>
                <w:color w:val="000000"/>
                <w:kern w:val="0"/>
              </w:rPr>
              <w:t>处罚机关</w:t>
            </w:r>
          </w:p>
        </w:tc>
        <w:tc>
          <w:tcPr>
            <w:tcW w:w="1294" w:type="dxa"/>
            <w:shd w:val="clear" w:color="auto" w:fill="D9D9D9"/>
            <w:vAlign w:val="center"/>
          </w:tcPr>
          <w:p w14:paraId="4DC6151C" w14:textId="77777777" w:rsidR="004B0883" w:rsidRDefault="004B0883">
            <w:pPr>
              <w:jc w:val="center"/>
              <w:rPr>
                <w:rFonts w:ascii="宋体" w:hAnsi="宋体"/>
                <w:b/>
                <w:color w:val="000000"/>
                <w:kern w:val="0"/>
              </w:rPr>
            </w:pPr>
            <w:r>
              <w:rPr>
                <w:rFonts w:ascii="宋体" w:hAnsi="宋体" w:hint="eastAsia"/>
                <w:b/>
                <w:color w:val="000000"/>
                <w:kern w:val="0"/>
              </w:rPr>
              <w:t>处罚时间</w:t>
            </w:r>
          </w:p>
        </w:tc>
        <w:tc>
          <w:tcPr>
            <w:tcW w:w="1790" w:type="dxa"/>
            <w:shd w:val="clear" w:color="auto" w:fill="D9D9D9"/>
            <w:vAlign w:val="center"/>
          </w:tcPr>
          <w:p w14:paraId="4324BE05" w14:textId="77777777" w:rsidR="004B0883" w:rsidRDefault="004B0883">
            <w:pPr>
              <w:jc w:val="center"/>
              <w:rPr>
                <w:rFonts w:ascii="宋体" w:hAnsi="宋体"/>
                <w:b/>
                <w:color w:val="000000"/>
                <w:kern w:val="0"/>
              </w:rPr>
            </w:pPr>
            <w:r>
              <w:rPr>
                <w:rFonts w:ascii="宋体" w:hAnsi="宋体" w:hint="eastAsia"/>
                <w:b/>
                <w:color w:val="000000"/>
                <w:kern w:val="0"/>
              </w:rPr>
              <w:t>处罚措施</w:t>
            </w:r>
          </w:p>
        </w:tc>
        <w:tc>
          <w:tcPr>
            <w:tcW w:w="1186" w:type="dxa"/>
            <w:shd w:val="clear" w:color="auto" w:fill="D9D9D9"/>
          </w:tcPr>
          <w:p w14:paraId="739AA067" w14:textId="77777777" w:rsidR="004B0883" w:rsidRDefault="004B0883">
            <w:pPr>
              <w:jc w:val="center"/>
              <w:rPr>
                <w:rFonts w:ascii="宋体" w:hAnsi="宋体"/>
                <w:b/>
                <w:color w:val="000000"/>
                <w:kern w:val="0"/>
              </w:rPr>
            </w:pPr>
            <w:r>
              <w:rPr>
                <w:rFonts w:ascii="宋体" w:hAnsi="宋体" w:hint="eastAsia"/>
                <w:b/>
                <w:color w:val="000000"/>
                <w:kern w:val="0"/>
              </w:rPr>
              <w:t>属于重大违法行为</w:t>
            </w:r>
          </w:p>
        </w:tc>
      </w:tr>
      <w:tr w:rsidR="004B0883" w14:paraId="7A0B3E2A" w14:textId="77777777">
        <w:trPr>
          <w:trHeight w:val="397"/>
          <w:jc w:val="center"/>
        </w:trPr>
        <w:tc>
          <w:tcPr>
            <w:tcW w:w="1198" w:type="dxa"/>
            <w:vMerge w:val="restart"/>
            <w:vAlign w:val="center"/>
          </w:tcPr>
          <w:p w14:paraId="773312AF" w14:textId="77777777" w:rsidR="004B0883" w:rsidRDefault="004B0883">
            <w:pPr>
              <w:rPr>
                <w:rFonts w:ascii="宋体" w:hAnsi="宋体"/>
                <w:color w:val="000000"/>
                <w:kern w:val="0"/>
                <w:highlight w:val="yellow"/>
              </w:rPr>
            </w:pPr>
            <w:r>
              <w:rPr>
                <w:rFonts w:ascii="宋体" w:hAnsi="宋体" w:hint="eastAsia"/>
                <w:color w:val="000000"/>
                <w:kern w:val="0"/>
              </w:rPr>
              <w:t>莱州伟隆</w:t>
            </w:r>
          </w:p>
        </w:tc>
        <w:tc>
          <w:tcPr>
            <w:tcW w:w="2620" w:type="dxa"/>
            <w:vAlign w:val="center"/>
          </w:tcPr>
          <w:p w14:paraId="7D60BBE8" w14:textId="77777777" w:rsidR="004B0883" w:rsidRDefault="004B0883">
            <w:pPr>
              <w:rPr>
                <w:rFonts w:ascii="宋体" w:hAnsi="宋体"/>
                <w:color w:val="000000"/>
                <w:kern w:val="0"/>
                <w:highlight w:val="yellow"/>
              </w:rPr>
            </w:pPr>
            <w:r>
              <w:rPr>
                <w:rFonts w:ascii="宋体" w:hAnsi="宋体" w:hint="eastAsia"/>
                <w:bCs/>
                <w:color w:val="000000"/>
              </w:rPr>
              <w:t>莱州伟隆违反规定延长二百一十七名劳动者工作时间，违反了《中华人民共和国劳动法》第四十一条之规定</w:t>
            </w:r>
          </w:p>
        </w:tc>
        <w:tc>
          <w:tcPr>
            <w:tcW w:w="1542" w:type="dxa"/>
            <w:vAlign w:val="center"/>
          </w:tcPr>
          <w:p w14:paraId="0315A8B3" w14:textId="77777777" w:rsidR="004B0883" w:rsidRDefault="004B0883">
            <w:pPr>
              <w:rPr>
                <w:rFonts w:ascii="宋体" w:hAnsi="宋体"/>
                <w:color w:val="000000"/>
                <w:kern w:val="0"/>
                <w:highlight w:val="yellow"/>
              </w:rPr>
            </w:pPr>
            <w:r>
              <w:rPr>
                <w:rFonts w:ascii="宋体" w:hAnsi="宋体" w:hint="eastAsia"/>
                <w:bCs/>
                <w:color w:val="000000"/>
              </w:rPr>
              <w:t>莱州市人力资源和社会保障局</w:t>
            </w:r>
          </w:p>
        </w:tc>
        <w:tc>
          <w:tcPr>
            <w:tcW w:w="1294" w:type="dxa"/>
            <w:vAlign w:val="center"/>
          </w:tcPr>
          <w:p w14:paraId="70F5806A" w14:textId="77777777" w:rsidR="004B0883" w:rsidRDefault="004B0883">
            <w:pPr>
              <w:jc w:val="center"/>
              <w:rPr>
                <w:color w:val="000000"/>
                <w:kern w:val="0"/>
                <w:highlight w:val="yellow"/>
              </w:rPr>
            </w:pPr>
            <w:r>
              <w:rPr>
                <w:bCs/>
                <w:color w:val="000000"/>
              </w:rPr>
              <w:t>2022</w:t>
            </w:r>
            <w:r>
              <w:rPr>
                <w:bCs/>
                <w:color w:val="000000"/>
              </w:rPr>
              <w:t>年</w:t>
            </w:r>
            <w:r>
              <w:rPr>
                <w:bCs/>
                <w:color w:val="000000"/>
              </w:rPr>
              <w:br/>
              <w:t>4</w:t>
            </w:r>
            <w:r>
              <w:rPr>
                <w:bCs/>
                <w:color w:val="000000"/>
              </w:rPr>
              <w:t>月</w:t>
            </w:r>
            <w:r>
              <w:rPr>
                <w:bCs/>
                <w:color w:val="000000"/>
              </w:rPr>
              <w:t>24</w:t>
            </w:r>
            <w:r>
              <w:rPr>
                <w:bCs/>
                <w:color w:val="000000"/>
              </w:rPr>
              <w:t>日</w:t>
            </w:r>
          </w:p>
        </w:tc>
        <w:tc>
          <w:tcPr>
            <w:tcW w:w="1790" w:type="dxa"/>
            <w:vAlign w:val="center"/>
          </w:tcPr>
          <w:p w14:paraId="154C54DB" w14:textId="77777777" w:rsidR="004B0883" w:rsidRDefault="004B0883">
            <w:pPr>
              <w:rPr>
                <w:color w:val="000000"/>
                <w:kern w:val="0"/>
                <w:highlight w:val="yellow"/>
              </w:rPr>
            </w:pPr>
            <w:r>
              <w:rPr>
                <w:bCs/>
                <w:color w:val="000000"/>
              </w:rPr>
              <w:t>对</w:t>
            </w:r>
            <w:r>
              <w:rPr>
                <w:rFonts w:hint="eastAsia"/>
                <w:bCs/>
                <w:color w:val="000000"/>
              </w:rPr>
              <w:t>莱州伟隆</w:t>
            </w:r>
            <w:r>
              <w:rPr>
                <w:bCs/>
                <w:color w:val="000000"/>
              </w:rPr>
              <w:t>处以人民币</w:t>
            </w:r>
            <w:r>
              <w:rPr>
                <w:bCs/>
                <w:color w:val="000000"/>
              </w:rPr>
              <w:t>51,500.00</w:t>
            </w:r>
            <w:r>
              <w:rPr>
                <w:bCs/>
                <w:color w:val="000000"/>
              </w:rPr>
              <w:t>元罚款</w:t>
            </w:r>
          </w:p>
        </w:tc>
        <w:tc>
          <w:tcPr>
            <w:tcW w:w="1186" w:type="dxa"/>
            <w:vAlign w:val="center"/>
          </w:tcPr>
          <w:p w14:paraId="2C6000CB" w14:textId="77777777" w:rsidR="004B0883" w:rsidRDefault="004B0883">
            <w:pPr>
              <w:jc w:val="center"/>
              <w:rPr>
                <w:rFonts w:ascii="宋体" w:hAnsi="宋体"/>
                <w:bCs/>
                <w:color w:val="000000"/>
              </w:rPr>
            </w:pPr>
            <w:r>
              <w:rPr>
                <w:rFonts w:ascii="宋体" w:hAnsi="宋体" w:hint="eastAsia"/>
                <w:bCs/>
                <w:color w:val="000000"/>
              </w:rPr>
              <w:t>否</w:t>
            </w:r>
          </w:p>
        </w:tc>
      </w:tr>
      <w:tr w:rsidR="004B0883" w14:paraId="69AC903A" w14:textId="77777777">
        <w:trPr>
          <w:trHeight w:val="397"/>
          <w:jc w:val="center"/>
        </w:trPr>
        <w:tc>
          <w:tcPr>
            <w:tcW w:w="1198" w:type="dxa"/>
            <w:vMerge/>
            <w:vAlign w:val="center"/>
          </w:tcPr>
          <w:p w14:paraId="1C5CC9F8" w14:textId="77777777" w:rsidR="004B0883" w:rsidRDefault="004B0883">
            <w:pPr>
              <w:rPr>
                <w:rFonts w:ascii="宋体" w:hAnsi="宋体"/>
                <w:color w:val="000000"/>
                <w:kern w:val="0"/>
                <w:highlight w:val="yellow"/>
              </w:rPr>
            </w:pPr>
          </w:p>
        </w:tc>
        <w:tc>
          <w:tcPr>
            <w:tcW w:w="2620" w:type="dxa"/>
            <w:vAlign w:val="center"/>
          </w:tcPr>
          <w:p w14:paraId="2EBCFA8C" w14:textId="77777777" w:rsidR="004B0883" w:rsidRDefault="004B0883">
            <w:pPr>
              <w:rPr>
                <w:rFonts w:ascii="宋体" w:hAnsi="宋体"/>
                <w:color w:val="000000"/>
                <w:kern w:val="0"/>
                <w:highlight w:val="yellow"/>
              </w:rPr>
            </w:pPr>
            <w:r>
              <w:rPr>
                <w:rFonts w:ascii="宋体" w:hAnsi="宋体" w:hint="eastAsia"/>
                <w:bCs/>
                <w:color w:val="000000"/>
              </w:rPr>
              <w:t>莱州伟隆室外消火栓供水压力不足，违反了《中华人民共和国消防法》第十六条第一款第二项之规定</w:t>
            </w:r>
          </w:p>
        </w:tc>
        <w:tc>
          <w:tcPr>
            <w:tcW w:w="1542" w:type="dxa"/>
            <w:vAlign w:val="center"/>
          </w:tcPr>
          <w:p w14:paraId="22E4A354" w14:textId="77777777" w:rsidR="004B0883" w:rsidRDefault="004B0883">
            <w:pPr>
              <w:rPr>
                <w:rFonts w:ascii="宋体" w:hAnsi="宋体"/>
                <w:color w:val="000000"/>
                <w:kern w:val="0"/>
                <w:highlight w:val="yellow"/>
              </w:rPr>
            </w:pPr>
            <w:r>
              <w:rPr>
                <w:rFonts w:ascii="宋体" w:hAnsi="宋体" w:hint="eastAsia"/>
                <w:bCs/>
                <w:color w:val="000000"/>
              </w:rPr>
              <w:t>莱州市消防救援大队</w:t>
            </w:r>
          </w:p>
        </w:tc>
        <w:tc>
          <w:tcPr>
            <w:tcW w:w="1294" w:type="dxa"/>
            <w:vAlign w:val="center"/>
          </w:tcPr>
          <w:p w14:paraId="385A9885" w14:textId="77777777" w:rsidR="004B0883" w:rsidRDefault="004B0883">
            <w:pPr>
              <w:jc w:val="center"/>
              <w:rPr>
                <w:color w:val="000000"/>
                <w:kern w:val="0"/>
                <w:highlight w:val="yellow"/>
              </w:rPr>
            </w:pPr>
            <w:r>
              <w:rPr>
                <w:bCs/>
                <w:color w:val="000000"/>
              </w:rPr>
              <w:t>2022</w:t>
            </w:r>
            <w:r>
              <w:rPr>
                <w:bCs/>
                <w:color w:val="000000"/>
              </w:rPr>
              <w:t>年</w:t>
            </w:r>
            <w:r>
              <w:rPr>
                <w:bCs/>
                <w:color w:val="000000"/>
              </w:rPr>
              <w:br/>
              <w:t>1</w:t>
            </w:r>
            <w:r>
              <w:rPr>
                <w:bCs/>
                <w:color w:val="000000"/>
              </w:rPr>
              <w:t>月</w:t>
            </w:r>
            <w:r>
              <w:rPr>
                <w:bCs/>
                <w:color w:val="000000"/>
              </w:rPr>
              <w:t>4</w:t>
            </w:r>
            <w:r>
              <w:rPr>
                <w:bCs/>
                <w:color w:val="000000"/>
              </w:rPr>
              <w:t>日</w:t>
            </w:r>
          </w:p>
        </w:tc>
        <w:tc>
          <w:tcPr>
            <w:tcW w:w="1790" w:type="dxa"/>
            <w:vAlign w:val="center"/>
          </w:tcPr>
          <w:p w14:paraId="0699F957" w14:textId="77777777" w:rsidR="004B0883" w:rsidRDefault="004B0883">
            <w:pPr>
              <w:jc w:val="both"/>
              <w:rPr>
                <w:color w:val="000000"/>
                <w:kern w:val="0"/>
                <w:highlight w:val="yellow"/>
              </w:rPr>
            </w:pPr>
            <w:r>
              <w:rPr>
                <w:bCs/>
                <w:color w:val="000000"/>
              </w:rPr>
              <w:t>对</w:t>
            </w:r>
            <w:r>
              <w:rPr>
                <w:rFonts w:hint="eastAsia"/>
                <w:bCs/>
                <w:color w:val="000000"/>
              </w:rPr>
              <w:t>莱州伟隆</w:t>
            </w:r>
            <w:r>
              <w:rPr>
                <w:bCs/>
                <w:color w:val="000000"/>
              </w:rPr>
              <w:t>处</w:t>
            </w:r>
            <w:r>
              <w:rPr>
                <w:rFonts w:hint="eastAsia"/>
                <w:bCs/>
                <w:color w:val="000000"/>
              </w:rPr>
              <w:t>以人民币</w:t>
            </w:r>
            <w:r>
              <w:rPr>
                <w:bCs/>
                <w:color w:val="000000"/>
              </w:rPr>
              <w:t>5,000.00</w:t>
            </w:r>
            <w:r>
              <w:rPr>
                <w:bCs/>
                <w:color w:val="000000"/>
              </w:rPr>
              <w:t>元罚款</w:t>
            </w:r>
          </w:p>
        </w:tc>
        <w:tc>
          <w:tcPr>
            <w:tcW w:w="1186" w:type="dxa"/>
            <w:vAlign w:val="center"/>
          </w:tcPr>
          <w:p w14:paraId="5BFF3BF8" w14:textId="77777777" w:rsidR="004B0883" w:rsidRDefault="004B0883">
            <w:pPr>
              <w:jc w:val="center"/>
              <w:rPr>
                <w:rFonts w:ascii="宋体" w:hAnsi="宋体"/>
                <w:bCs/>
                <w:color w:val="000000"/>
              </w:rPr>
            </w:pPr>
            <w:r>
              <w:rPr>
                <w:rFonts w:ascii="宋体" w:hAnsi="宋体" w:hint="eastAsia"/>
                <w:bCs/>
                <w:color w:val="000000"/>
              </w:rPr>
              <w:t>否</w:t>
            </w:r>
          </w:p>
        </w:tc>
      </w:tr>
    </w:tbl>
    <w:p w14:paraId="1C25F9EF" w14:textId="77777777" w:rsidR="004B0883" w:rsidRDefault="004B0883">
      <w:pPr>
        <w:pStyle w:val="005"/>
        <w:spacing w:before="120"/>
        <w:ind w:firstLine="482"/>
        <w:rPr>
          <w:b/>
          <w:bCs/>
        </w:rPr>
      </w:pPr>
      <w:r>
        <w:rPr>
          <w:rFonts w:hint="eastAsia"/>
          <w:b/>
          <w:bCs/>
        </w:rPr>
        <w:t>1</w:t>
      </w:r>
      <w:r>
        <w:rPr>
          <w:rFonts w:hint="eastAsia"/>
          <w:b/>
          <w:bCs/>
        </w:rPr>
        <w:t>、关于莱州市人力资源和社会保障局行政处罚的说明</w:t>
      </w:r>
    </w:p>
    <w:p w14:paraId="77F1F8C6" w14:textId="77777777" w:rsidR="004B0883" w:rsidRDefault="004B0883">
      <w:pPr>
        <w:pStyle w:val="005"/>
        <w:spacing w:before="120"/>
        <w:ind w:firstLine="480"/>
      </w:pPr>
      <w:r>
        <w:t>2022</w:t>
      </w:r>
      <w:r>
        <w:t>年</w:t>
      </w:r>
      <w:r>
        <w:t>4</w:t>
      </w:r>
      <w:r>
        <w:t>月</w:t>
      </w:r>
      <w:r>
        <w:t>24</w:t>
      </w:r>
      <w:r>
        <w:t>日，莱州市人力资源和社会保障局作出（莱人社监罚字</w:t>
      </w:r>
      <w:r>
        <w:t>[2022]024</w:t>
      </w:r>
      <w:r>
        <w:t>号）《劳动保障监察行政处罚决定书》，具体如下：</w:t>
      </w:r>
    </w:p>
    <w:p w14:paraId="18E1B18D" w14:textId="77777777" w:rsidR="004B0883" w:rsidRDefault="004B0883">
      <w:pPr>
        <w:pStyle w:val="005"/>
        <w:spacing w:before="120"/>
        <w:ind w:firstLine="480"/>
      </w:pPr>
      <w:r>
        <w:rPr>
          <w:rFonts w:hint="eastAsia"/>
        </w:rPr>
        <w:t>莱州伟隆</w:t>
      </w:r>
      <w:r>
        <w:t>违反法律规定延长二百一十七名劳动者工作时间，违反了《中华人民共和国劳动法》第四十一条之规定，现依据《劳动保障监察条例》第二十五条之规定，对</w:t>
      </w:r>
      <w:r>
        <w:rPr>
          <w:rFonts w:hint="eastAsia"/>
        </w:rPr>
        <w:t>莱州伟隆</w:t>
      </w:r>
      <w:r>
        <w:t>处以人民币</w:t>
      </w:r>
      <w:r>
        <w:t>51,500.00</w:t>
      </w:r>
      <w:r>
        <w:t>元罚款。</w:t>
      </w:r>
    </w:p>
    <w:p w14:paraId="25653E2C" w14:textId="77777777" w:rsidR="004B0883" w:rsidRDefault="004B0883">
      <w:pPr>
        <w:pStyle w:val="005"/>
        <w:spacing w:before="120"/>
        <w:ind w:firstLine="480"/>
      </w:pPr>
      <w:r>
        <w:t>该处罚不属于重大违法违规行为所受的处罚，具体分析如下：</w:t>
      </w:r>
    </w:p>
    <w:p w14:paraId="380EF08E" w14:textId="77777777" w:rsidR="004B0883" w:rsidRDefault="004B0883">
      <w:pPr>
        <w:pStyle w:val="005"/>
        <w:spacing w:before="120"/>
        <w:ind w:firstLine="480"/>
      </w:pPr>
      <w:r>
        <w:t>根据《劳动保障监察条例》第二十五条之规定，</w:t>
      </w:r>
      <w:r>
        <w:rPr>
          <w:rFonts w:ascii="宋体" w:hAnsi="宋体"/>
        </w:rPr>
        <w:t>“</w:t>
      </w:r>
      <w:r>
        <w:t>用人单位违反劳动保障法律、法规或者规章延长劳动者工作时间的，由劳动保障行政部门给予警告，责令限期改正，并可以按照受侵害的劳动者每人</w:t>
      </w:r>
      <w:r>
        <w:t>100</w:t>
      </w:r>
      <w:r>
        <w:t>元以上</w:t>
      </w:r>
      <w:r>
        <w:t>500</w:t>
      </w:r>
      <w:r>
        <w:t>元以下的标准计算，处以罚款</w:t>
      </w:r>
      <w:r>
        <w:rPr>
          <w:rFonts w:ascii="宋体" w:hAnsi="宋体"/>
        </w:rPr>
        <w:t>”</w:t>
      </w:r>
      <w:r>
        <w:t>。莱州市人力资源和社会保障局对莱州</w:t>
      </w:r>
      <w:r>
        <w:rPr>
          <w:rFonts w:hint="eastAsia"/>
        </w:rPr>
        <w:t>伟隆</w:t>
      </w:r>
      <w:r>
        <w:t>的处罚金额为</w:t>
      </w:r>
      <w:r>
        <w:t>51,500.00</w:t>
      </w:r>
      <w:r>
        <w:t>元，总处罚人数为</w:t>
      </w:r>
      <w:r>
        <w:t>217</w:t>
      </w:r>
      <w:r>
        <w:t>人，人均处罚金额约为</w:t>
      </w:r>
      <w:r>
        <w:t>237</w:t>
      </w:r>
      <w:r>
        <w:t>元，属于《劳动保障监察条例》中较低水平。</w:t>
      </w:r>
    </w:p>
    <w:p w14:paraId="302F57DF" w14:textId="77777777" w:rsidR="004B0883" w:rsidRDefault="004B0883">
      <w:pPr>
        <w:pStyle w:val="005"/>
        <w:spacing w:before="120"/>
        <w:ind w:firstLine="480"/>
      </w:pPr>
      <w:r>
        <w:t>鉴于主管机关依照相关法律法规选用的罚款标准较低，作出的罚款金额较小，莱州伟隆已经积极进行了整改且足额缴纳了相应罚款，且前述行政处罚对公司的业务及当期主营业务收入、净利润的影响较小，因此，莱州伟隆受到的上述行政处罚对应的违法行为不属于重大违法行为。</w:t>
      </w:r>
    </w:p>
    <w:p w14:paraId="234AC926" w14:textId="77777777" w:rsidR="004B0883" w:rsidRDefault="004B0883">
      <w:pPr>
        <w:pStyle w:val="005"/>
        <w:spacing w:before="120"/>
        <w:ind w:firstLine="482"/>
        <w:rPr>
          <w:b/>
          <w:bCs/>
        </w:rPr>
      </w:pPr>
      <w:r>
        <w:rPr>
          <w:rFonts w:hint="eastAsia"/>
          <w:b/>
          <w:bCs/>
        </w:rPr>
        <w:t>2</w:t>
      </w:r>
      <w:r>
        <w:rPr>
          <w:rFonts w:hint="eastAsia"/>
          <w:b/>
          <w:bCs/>
        </w:rPr>
        <w:t>、关于莱州市消防救援大队行政处罚的说明</w:t>
      </w:r>
    </w:p>
    <w:p w14:paraId="0713870F" w14:textId="77777777" w:rsidR="004B0883" w:rsidRDefault="004B0883">
      <w:pPr>
        <w:pStyle w:val="005"/>
        <w:spacing w:before="120"/>
        <w:ind w:firstLine="480"/>
      </w:pPr>
      <w:r>
        <w:rPr>
          <w:rFonts w:hint="eastAsia"/>
        </w:rPr>
        <w:t>2022</w:t>
      </w:r>
      <w:r>
        <w:rPr>
          <w:rFonts w:hint="eastAsia"/>
        </w:rPr>
        <w:t>年</w:t>
      </w:r>
      <w:r>
        <w:rPr>
          <w:rFonts w:hint="eastAsia"/>
        </w:rPr>
        <w:t>1</w:t>
      </w:r>
      <w:r>
        <w:rPr>
          <w:rFonts w:hint="eastAsia"/>
        </w:rPr>
        <w:t>月</w:t>
      </w:r>
      <w:r>
        <w:rPr>
          <w:rFonts w:hint="eastAsia"/>
        </w:rPr>
        <w:t>4</w:t>
      </w:r>
      <w:r>
        <w:rPr>
          <w:rFonts w:hint="eastAsia"/>
        </w:rPr>
        <w:t>日，莱州市消防救援大队作出（莱消行罚决字</w:t>
      </w:r>
      <w:r>
        <w:rPr>
          <w:rFonts w:hint="eastAsia"/>
        </w:rPr>
        <w:t>[</w:t>
      </w:r>
      <w:r>
        <w:t>2022]0003</w:t>
      </w:r>
      <w:r>
        <w:rPr>
          <w:rFonts w:hint="eastAsia"/>
        </w:rPr>
        <w:t>号）《行政处罚决定书》，具体如下：</w:t>
      </w:r>
    </w:p>
    <w:p w14:paraId="1330EC2C" w14:textId="77777777" w:rsidR="004B0883" w:rsidRDefault="004B0883">
      <w:pPr>
        <w:pStyle w:val="005"/>
        <w:spacing w:before="120"/>
        <w:ind w:firstLine="480"/>
      </w:pPr>
      <w:r>
        <w:rPr>
          <w:rFonts w:hint="eastAsia"/>
        </w:rPr>
        <w:t>莱州伟隆室外消火栓供水压力不足。莱州伟隆消防设施未保持完好有效，违反了《中华人民共和国消防法》第十六条第一款第二项之规定。根据《中华人民共和国消防法》第六十条第一款第一项之规定，决定给予莱州伟隆罚款</w:t>
      </w:r>
      <w:r>
        <w:t>5,000</w:t>
      </w:r>
      <w:r>
        <w:rPr>
          <w:rFonts w:hint="eastAsia"/>
        </w:rPr>
        <w:t>.</w:t>
      </w:r>
      <w:r>
        <w:t>00</w:t>
      </w:r>
      <w:r>
        <w:rPr>
          <w:rFonts w:hint="eastAsia"/>
        </w:rPr>
        <w:t>元的处罚。</w:t>
      </w:r>
    </w:p>
    <w:p w14:paraId="56E0FD6B" w14:textId="77777777" w:rsidR="004B0883" w:rsidRDefault="004B0883">
      <w:pPr>
        <w:pStyle w:val="005"/>
        <w:spacing w:before="120"/>
        <w:ind w:firstLine="480"/>
        <w:rPr>
          <w:rFonts w:hint="eastAsia"/>
        </w:rPr>
      </w:pPr>
      <w:r>
        <w:rPr>
          <w:rFonts w:hint="eastAsia"/>
        </w:rPr>
        <w:t>根据《中华人民共和国消防法》第六十条的规定：</w:t>
      </w:r>
      <w:r>
        <w:rPr>
          <w:rFonts w:ascii="宋体" w:hAnsi="宋体" w:hint="eastAsia"/>
        </w:rPr>
        <w:t>“</w:t>
      </w:r>
      <w:r>
        <w:rPr>
          <w:rFonts w:hint="eastAsia"/>
        </w:rPr>
        <w:t>单位违反本法规定，有下列行为之一的，责令改正，处五千元以上五万元以下罚款：（一）消防设施、器材或者消防安全标志的配置、设置不符合国家标准、行业标准，或者未保持完好有效的。……</w:t>
      </w:r>
      <w:r>
        <w:rPr>
          <w:rFonts w:ascii="宋体" w:hAnsi="宋体" w:hint="eastAsia"/>
        </w:rPr>
        <w:t>”</w:t>
      </w:r>
      <w:r>
        <w:rPr>
          <w:rFonts w:hint="eastAsia"/>
        </w:rPr>
        <w:t>鉴于莱州伟隆受到的行政处罚为</w:t>
      </w:r>
      <w:r>
        <w:rPr>
          <w:rFonts w:hint="eastAsia"/>
        </w:rPr>
        <w:t>5,000.00</w:t>
      </w:r>
      <w:r>
        <w:rPr>
          <w:rFonts w:hint="eastAsia"/>
        </w:rPr>
        <w:t>元的罚款，罚款处于最低档，且莱州伟隆已全额缴纳了该笔罚款，并及时就违法行为进行了纠正，结合莱州伟隆上述行政处罚事由，上述事项不属于重大违法违规行为，该等行政处罚不属于重大行政处罚。</w:t>
      </w:r>
    </w:p>
    <w:p w14:paraId="1066DCDF" w14:textId="77777777" w:rsidR="004B0883" w:rsidRDefault="004B0883">
      <w:pPr>
        <w:pStyle w:val="005"/>
        <w:spacing w:before="120"/>
        <w:ind w:firstLine="480"/>
        <w:rPr>
          <w:rFonts w:hint="eastAsia"/>
        </w:rPr>
      </w:pPr>
      <w:r>
        <w:rPr>
          <w:rFonts w:hint="eastAsia"/>
        </w:rPr>
        <w:t>根据莱州市应急管理局出具的证明，莱州伟隆遵守国家有关安全生产、消防安全方面的相关法律法规和规范性文件的要求，未发生过重大安全生产以及消防安全事故，不存在违反安全生产、消防安全相关法律、法规及规范性文件规定的重大违法行为，也不存在因违反安全生产、消防安全相关法律、法规及规范性文件的规定而受到重大行政处罚的情形。</w:t>
      </w:r>
    </w:p>
    <w:p w14:paraId="5534192C" w14:textId="77777777" w:rsidR="004B0883" w:rsidRDefault="004B0883">
      <w:pPr>
        <w:pStyle w:val="005"/>
        <w:spacing w:before="120"/>
        <w:ind w:firstLine="480"/>
        <w:rPr>
          <w:rFonts w:hint="eastAsia"/>
        </w:rPr>
      </w:pPr>
      <w:r>
        <w:rPr>
          <w:rFonts w:hint="eastAsia"/>
        </w:rPr>
        <w:t>综上，报告期内，发行人不存在重大违法违规行为。发行人及其子公司、分支机构在报告期内的上述行政处罚均不属于情节严重的情形，已采取积极整改措施，对发行人的业务及主营业务收入、净利润的影响较小，相关行政处罚不构成发行人本次发行的实质性障碍。</w:t>
      </w:r>
    </w:p>
    <w:p w14:paraId="4AB695BC" w14:textId="77777777" w:rsidR="004B0883" w:rsidRDefault="004B0883">
      <w:pPr>
        <w:pStyle w:val="003"/>
        <w:spacing w:before="120" w:after="120"/>
        <w:rPr>
          <w:rFonts w:hint="eastAsia"/>
        </w:rPr>
      </w:pPr>
      <w:r>
        <w:rPr>
          <w:rFonts w:hint="eastAsia"/>
        </w:rPr>
        <w:t>（二）发行人及其董事、监事、高级管理人员、控股股东、实际控制人被证监会行政处罚或采取监管措施及整改情况、被证券交易所公开谴责的情况，以及因涉嫌犯罪正在被司法机关立案侦查或者涉嫌违法违规正在被证监会立案调查的情况</w:t>
      </w:r>
    </w:p>
    <w:p w14:paraId="599B2496" w14:textId="77777777" w:rsidR="004B0883" w:rsidRDefault="004B0883">
      <w:pPr>
        <w:pStyle w:val="005"/>
        <w:spacing w:before="120"/>
        <w:ind w:firstLine="480"/>
        <w:rPr>
          <w:rFonts w:hint="eastAsia"/>
        </w:rPr>
      </w:pPr>
      <w:r>
        <w:rPr>
          <w:rFonts w:hint="eastAsia"/>
        </w:rPr>
        <w:t>报告期内，发行人及其董事、监事、高级管理人员、控股股东、实际控制人不存在被证监会采取监管措施及整改情况、被证券交易所公开谴责的情况，以及因涉嫌犯罪正在被司法机关立案侦查或者涉嫌违法违规正在被证监会立案调查的情况。</w:t>
      </w:r>
    </w:p>
    <w:p w14:paraId="2FD77FC9" w14:textId="77777777" w:rsidR="004B0883" w:rsidRDefault="004B0883">
      <w:pPr>
        <w:pStyle w:val="003"/>
        <w:spacing w:before="120" w:after="120"/>
        <w:rPr>
          <w:rFonts w:hint="eastAsia"/>
        </w:rPr>
      </w:pPr>
      <w:r>
        <w:rPr>
          <w:rFonts w:hint="eastAsia"/>
        </w:rPr>
        <w:t>（三）资金占用情况</w:t>
      </w:r>
    </w:p>
    <w:p w14:paraId="794E0E12" w14:textId="77777777" w:rsidR="004B0883" w:rsidRDefault="004B0883">
      <w:pPr>
        <w:pStyle w:val="005"/>
        <w:spacing w:before="120"/>
        <w:ind w:firstLine="480"/>
      </w:pPr>
      <w:r>
        <w:rPr>
          <w:rFonts w:hint="eastAsia"/>
        </w:rPr>
        <w:t>报告期内，发行人不存在资金被控股股东、实际控制人及其控制的其他企业以借款、代偿债务、代垫款项或者其他方式占用的情况，或者为控股股东、实际控制人及其控制的其他企业担保的情况。</w:t>
      </w:r>
    </w:p>
    <w:p w14:paraId="427EB064" w14:textId="77777777" w:rsidR="004B0883" w:rsidRDefault="004B0883">
      <w:pPr>
        <w:pStyle w:val="003"/>
        <w:numPr>
          <w:ilvl w:val="0"/>
          <w:numId w:val="24"/>
        </w:numPr>
        <w:spacing w:before="120" w:after="120"/>
        <w:rPr>
          <w:rFonts w:hint="eastAsia"/>
        </w:rPr>
      </w:pPr>
      <w:r>
        <w:rPr>
          <w:rFonts w:hint="eastAsia"/>
        </w:rPr>
        <w:t>需要说明的其他问题</w:t>
      </w:r>
    </w:p>
    <w:p w14:paraId="1141BCE1" w14:textId="77777777" w:rsidR="004B0883" w:rsidRDefault="004B0883">
      <w:pPr>
        <w:pStyle w:val="005"/>
        <w:spacing w:before="120"/>
        <w:ind w:firstLine="480"/>
        <w:rPr>
          <w:rFonts w:hint="eastAsia"/>
        </w:rPr>
      </w:pPr>
      <w:r>
        <w:rPr>
          <w:rFonts w:hint="eastAsia"/>
        </w:rPr>
        <w:t>报告期内，发行人子公司莱州伟隆存在因其原管理人员范庆丰（发行人实际控制人范庆伟之胞弟）在报告期前私用莱州伟隆公章而导致的诉讼情况，具体情况如下：</w:t>
      </w:r>
    </w:p>
    <w:p w14:paraId="21F7C155" w14:textId="77777777" w:rsidR="004B0883" w:rsidRDefault="004B0883">
      <w:pPr>
        <w:autoSpaceDE w:val="0"/>
        <w:autoSpaceDN w:val="0"/>
        <w:spacing w:beforeLines="50" w:before="120" w:afterLines="50" w:after="120" w:line="360" w:lineRule="auto"/>
        <w:ind w:left="482"/>
        <w:rPr>
          <w:rFonts w:ascii="宋体" w:hAnsi="宋体" w:cs="宋体"/>
          <w:b/>
          <w:kern w:val="0"/>
          <w:sz w:val="24"/>
          <w:szCs w:val="24"/>
        </w:rPr>
      </w:pPr>
      <w:r>
        <w:rPr>
          <w:rFonts w:ascii="宋体" w:hAnsi="宋体" w:cs="宋体" w:hint="eastAsia"/>
          <w:b/>
          <w:kern w:val="0"/>
          <w:sz w:val="24"/>
          <w:szCs w:val="24"/>
        </w:rPr>
        <w:t>1、借款情况</w:t>
      </w:r>
    </w:p>
    <w:p w14:paraId="38C09932" w14:textId="77777777" w:rsidR="004B0883" w:rsidRDefault="004B0883">
      <w:pPr>
        <w:autoSpaceDE w:val="0"/>
        <w:autoSpaceDN w:val="0"/>
        <w:spacing w:beforeLines="50" w:before="120" w:afterLines="50" w:after="120" w:line="360" w:lineRule="auto"/>
        <w:ind w:firstLineChars="200" w:firstLine="480"/>
        <w:rPr>
          <w:rFonts w:cs="宋体"/>
          <w:bCs/>
          <w:kern w:val="0"/>
          <w:sz w:val="24"/>
          <w:szCs w:val="24"/>
        </w:rPr>
      </w:pPr>
      <w:r>
        <w:rPr>
          <w:rFonts w:ascii="宋体" w:hAnsi="宋体" w:cs="宋体" w:hint="eastAsia"/>
          <w:bCs/>
          <w:kern w:val="0"/>
          <w:sz w:val="24"/>
          <w:szCs w:val="24"/>
        </w:rPr>
        <w:t>莱州伟隆原管理人员范庆丰未履行内部审批程序，私用莱州伟隆公章对外签署</w:t>
      </w:r>
      <w:r>
        <w:rPr>
          <w:rFonts w:cs="宋体" w:hint="eastAsia"/>
          <w:bCs/>
          <w:kern w:val="0"/>
          <w:sz w:val="24"/>
          <w:szCs w:val="24"/>
        </w:rPr>
        <w:t>借款合同，相关诉讼的具体情况如下：</w:t>
      </w:r>
    </w:p>
    <w:tbl>
      <w:tblPr>
        <w:tblW w:w="6000" w:type="pct"/>
        <w:jc w:val="center"/>
        <w:tblInd w:w="0" w:type="dxa"/>
        <w:tblBorders>
          <w:top w:val="single" w:sz="12" w:space="0" w:color="010000"/>
          <w:left w:val="single" w:sz="12" w:space="0" w:color="010000"/>
          <w:bottom w:val="single" w:sz="12" w:space="0" w:color="010000"/>
          <w:right w:val="single" w:sz="12" w:space="0" w:color="010000"/>
          <w:insideH w:val="single" w:sz="4" w:space="0" w:color="010000"/>
          <w:insideV w:val="single" w:sz="4" w:space="0" w:color="010000"/>
        </w:tblBorders>
        <w:tblLook w:val="0000" w:firstRow="0" w:lastRow="0" w:firstColumn="0" w:lastColumn="0" w:noHBand="0" w:noVBand="0"/>
      </w:tblPr>
      <w:tblGrid>
        <w:gridCol w:w="657"/>
        <w:gridCol w:w="1377"/>
        <w:gridCol w:w="1377"/>
        <w:gridCol w:w="1101"/>
        <w:gridCol w:w="1928"/>
        <w:gridCol w:w="2077"/>
        <w:gridCol w:w="1419"/>
      </w:tblGrid>
      <w:tr w:rsidR="004B0883" w14:paraId="496146B6" w14:textId="77777777">
        <w:trPr>
          <w:cantSplit/>
          <w:trHeight w:val="397"/>
          <w:tblHeader/>
          <w:jc w:val="center"/>
        </w:trPr>
        <w:tc>
          <w:tcPr>
            <w:tcW w:w="331" w:type="pct"/>
            <w:tcBorders>
              <w:top w:val="single" w:sz="12" w:space="0" w:color="010000"/>
              <w:bottom w:val="single" w:sz="4" w:space="0" w:color="010000"/>
            </w:tcBorders>
            <w:shd w:val="clear" w:color="auto" w:fill="D9D9D9"/>
            <w:vAlign w:val="center"/>
          </w:tcPr>
          <w:p w14:paraId="4FC1D94C" w14:textId="77777777" w:rsidR="004B0883" w:rsidRDefault="004B0883">
            <w:pPr>
              <w:keepNext/>
              <w:jc w:val="center"/>
              <w:rPr>
                <w:rFonts w:hint="eastAsia"/>
                <w:b/>
                <w:color w:val="000000"/>
              </w:rPr>
            </w:pPr>
            <w:r>
              <w:rPr>
                <w:b/>
                <w:kern w:val="0"/>
              </w:rPr>
              <w:t>序号</w:t>
            </w:r>
          </w:p>
        </w:tc>
        <w:tc>
          <w:tcPr>
            <w:tcW w:w="693" w:type="pct"/>
            <w:tcBorders>
              <w:top w:val="single" w:sz="12" w:space="0" w:color="010000"/>
              <w:bottom w:val="single" w:sz="4" w:space="0" w:color="010000"/>
            </w:tcBorders>
            <w:shd w:val="clear" w:color="auto" w:fill="D9D9D9"/>
            <w:vAlign w:val="center"/>
          </w:tcPr>
          <w:p w14:paraId="5ABA130C" w14:textId="77777777" w:rsidR="004B0883" w:rsidRDefault="004B0883">
            <w:pPr>
              <w:keepNext/>
              <w:jc w:val="center"/>
              <w:rPr>
                <w:rFonts w:hint="eastAsia"/>
                <w:b/>
                <w:color w:val="000000"/>
              </w:rPr>
            </w:pPr>
            <w:r>
              <w:rPr>
                <w:rFonts w:hint="eastAsia"/>
                <w:b/>
                <w:kern w:val="0"/>
              </w:rPr>
              <w:t>借款时间</w:t>
            </w:r>
          </w:p>
        </w:tc>
        <w:tc>
          <w:tcPr>
            <w:tcW w:w="693" w:type="pct"/>
            <w:tcBorders>
              <w:top w:val="single" w:sz="12" w:space="0" w:color="010000"/>
              <w:bottom w:val="single" w:sz="4" w:space="0" w:color="010000"/>
            </w:tcBorders>
            <w:shd w:val="clear" w:color="auto" w:fill="D9D9D9"/>
            <w:vAlign w:val="center"/>
          </w:tcPr>
          <w:p w14:paraId="2F79966A" w14:textId="77777777" w:rsidR="004B0883" w:rsidRDefault="004B0883">
            <w:pPr>
              <w:keepNext/>
              <w:jc w:val="center"/>
              <w:rPr>
                <w:rFonts w:hint="eastAsia"/>
                <w:b/>
                <w:color w:val="000000"/>
              </w:rPr>
            </w:pPr>
            <w:r>
              <w:rPr>
                <w:b/>
                <w:kern w:val="0"/>
              </w:rPr>
              <w:t>借款人</w:t>
            </w:r>
          </w:p>
        </w:tc>
        <w:tc>
          <w:tcPr>
            <w:tcW w:w="554" w:type="pct"/>
            <w:tcBorders>
              <w:top w:val="single" w:sz="12" w:space="0" w:color="010000"/>
              <w:bottom w:val="single" w:sz="4" w:space="0" w:color="010000"/>
            </w:tcBorders>
            <w:shd w:val="clear" w:color="auto" w:fill="D9D9D9"/>
            <w:vAlign w:val="center"/>
          </w:tcPr>
          <w:p w14:paraId="668C3F4A" w14:textId="77777777" w:rsidR="004B0883" w:rsidRDefault="004B0883">
            <w:pPr>
              <w:keepNext/>
              <w:jc w:val="center"/>
              <w:rPr>
                <w:rFonts w:hint="eastAsia"/>
                <w:b/>
                <w:color w:val="000000"/>
              </w:rPr>
            </w:pPr>
            <w:r>
              <w:rPr>
                <w:b/>
                <w:kern w:val="0"/>
              </w:rPr>
              <w:t>出借人</w:t>
            </w:r>
          </w:p>
        </w:tc>
        <w:tc>
          <w:tcPr>
            <w:tcW w:w="970" w:type="pct"/>
            <w:tcBorders>
              <w:top w:val="single" w:sz="12" w:space="0" w:color="010000"/>
              <w:bottom w:val="single" w:sz="4" w:space="0" w:color="010000"/>
            </w:tcBorders>
            <w:shd w:val="clear" w:color="auto" w:fill="D9D9D9"/>
            <w:vAlign w:val="center"/>
          </w:tcPr>
          <w:p w14:paraId="2D64F178" w14:textId="77777777" w:rsidR="004B0883" w:rsidRDefault="004B0883">
            <w:pPr>
              <w:keepNext/>
              <w:jc w:val="center"/>
              <w:rPr>
                <w:rFonts w:hint="eastAsia"/>
                <w:b/>
                <w:color w:val="000000"/>
              </w:rPr>
            </w:pPr>
            <w:r>
              <w:rPr>
                <w:b/>
                <w:kern w:val="0"/>
              </w:rPr>
              <w:t>借款金额（万元）</w:t>
            </w:r>
          </w:p>
        </w:tc>
        <w:tc>
          <w:tcPr>
            <w:tcW w:w="1045" w:type="pct"/>
            <w:tcBorders>
              <w:top w:val="single" w:sz="12" w:space="0" w:color="010000"/>
              <w:bottom w:val="single" w:sz="4" w:space="0" w:color="010000"/>
            </w:tcBorders>
            <w:shd w:val="clear" w:color="auto" w:fill="D9D9D9"/>
            <w:vAlign w:val="center"/>
          </w:tcPr>
          <w:p w14:paraId="14905E8A" w14:textId="77777777" w:rsidR="004B0883" w:rsidRDefault="004B0883">
            <w:pPr>
              <w:keepNext/>
              <w:jc w:val="center"/>
              <w:rPr>
                <w:rFonts w:hint="eastAsia"/>
                <w:b/>
                <w:color w:val="000000"/>
              </w:rPr>
            </w:pPr>
            <w:r>
              <w:rPr>
                <w:b/>
                <w:kern w:val="0"/>
              </w:rPr>
              <w:t>法院判决</w:t>
            </w:r>
            <w:r>
              <w:rPr>
                <w:b/>
                <w:kern w:val="0"/>
              </w:rPr>
              <w:t>/</w:t>
            </w:r>
            <w:r>
              <w:rPr>
                <w:b/>
                <w:kern w:val="0"/>
              </w:rPr>
              <w:t>调解情况</w:t>
            </w:r>
          </w:p>
        </w:tc>
        <w:tc>
          <w:tcPr>
            <w:tcW w:w="714" w:type="pct"/>
            <w:tcBorders>
              <w:top w:val="single" w:sz="12" w:space="0" w:color="010000"/>
              <w:bottom w:val="single" w:sz="4" w:space="0" w:color="010000"/>
            </w:tcBorders>
            <w:shd w:val="clear" w:color="auto" w:fill="D9D9D9"/>
            <w:vAlign w:val="center"/>
          </w:tcPr>
          <w:p w14:paraId="018794BA" w14:textId="77777777" w:rsidR="004B0883" w:rsidRDefault="004B0883">
            <w:pPr>
              <w:keepNext/>
              <w:jc w:val="center"/>
              <w:rPr>
                <w:rFonts w:hint="eastAsia"/>
                <w:b/>
                <w:color w:val="000000"/>
              </w:rPr>
            </w:pPr>
            <w:r>
              <w:rPr>
                <w:b/>
                <w:kern w:val="0"/>
              </w:rPr>
              <w:t>履行情况</w:t>
            </w:r>
          </w:p>
        </w:tc>
      </w:tr>
      <w:tr w:rsidR="004B0883" w14:paraId="2B723492" w14:textId="77777777">
        <w:trPr>
          <w:cantSplit/>
          <w:trHeight w:val="397"/>
          <w:jc w:val="center"/>
        </w:trPr>
        <w:tc>
          <w:tcPr>
            <w:tcW w:w="331" w:type="pct"/>
            <w:tcBorders>
              <w:top w:val="single" w:sz="4" w:space="0" w:color="010000"/>
            </w:tcBorders>
            <w:vAlign w:val="center"/>
          </w:tcPr>
          <w:p w14:paraId="33E2953A" w14:textId="77777777" w:rsidR="004B0883" w:rsidRDefault="004B0883">
            <w:pPr>
              <w:jc w:val="center"/>
              <w:rPr>
                <w:rFonts w:hint="eastAsia"/>
                <w:color w:val="000000"/>
              </w:rPr>
            </w:pPr>
            <w:r>
              <w:rPr>
                <w:bCs/>
                <w:kern w:val="0"/>
              </w:rPr>
              <w:t>1</w:t>
            </w:r>
          </w:p>
        </w:tc>
        <w:tc>
          <w:tcPr>
            <w:tcW w:w="693" w:type="pct"/>
            <w:tcBorders>
              <w:top w:val="single" w:sz="4" w:space="0" w:color="010000"/>
            </w:tcBorders>
            <w:vAlign w:val="center"/>
          </w:tcPr>
          <w:p w14:paraId="1683A099" w14:textId="77777777" w:rsidR="004B0883" w:rsidRDefault="004B0883">
            <w:pPr>
              <w:jc w:val="center"/>
              <w:rPr>
                <w:rFonts w:hint="eastAsia"/>
                <w:color w:val="000000"/>
              </w:rPr>
            </w:pPr>
            <w:r>
              <w:rPr>
                <w:rFonts w:hint="eastAsia"/>
                <w:bCs/>
                <w:kern w:val="0"/>
              </w:rPr>
              <w:t>2019</w:t>
            </w:r>
            <w:r>
              <w:rPr>
                <w:rFonts w:hint="eastAsia"/>
                <w:bCs/>
                <w:kern w:val="0"/>
              </w:rPr>
              <w:t>年</w:t>
            </w:r>
            <w:r>
              <w:rPr>
                <w:rFonts w:hint="eastAsia"/>
                <w:bCs/>
                <w:kern w:val="0"/>
              </w:rPr>
              <w:t>1</w:t>
            </w:r>
            <w:r>
              <w:rPr>
                <w:rFonts w:hint="eastAsia"/>
                <w:bCs/>
                <w:kern w:val="0"/>
              </w:rPr>
              <w:t>月</w:t>
            </w:r>
          </w:p>
        </w:tc>
        <w:tc>
          <w:tcPr>
            <w:tcW w:w="693" w:type="pct"/>
            <w:tcBorders>
              <w:top w:val="single" w:sz="4" w:space="0" w:color="010000"/>
            </w:tcBorders>
            <w:vAlign w:val="center"/>
          </w:tcPr>
          <w:p w14:paraId="52B4CED8" w14:textId="77777777" w:rsidR="004B0883" w:rsidRDefault="004B0883">
            <w:pPr>
              <w:jc w:val="center"/>
              <w:rPr>
                <w:rFonts w:hint="eastAsia"/>
                <w:color w:val="000000"/>
              </w:rPr>
            </w:pPr>
            <w:r>
              <w:rPr>
                <w:bCs/>
                <w:kern w:val="0"/>
              </w:rPr>
              <w:t>范庆丰、莱州伟隆</w:t>
            </w:r>
          </w:p>
        </w:tc>
        <w:tc>
          <w:tcPr>
            <w:tcW w:w="554" w:type="pct"/>
            <w:tcBorders>
              <w:top w:val="single" w:sz="4" w:space="0" w:color="010000"/>
            </w:tcBorders>
            <w:vAlign w:val="center"/>
          </w:tcPr>
          <w:p w14:paraId="7D701652" w14:textId="77777777" w:rsidR="004B0883" w:rsidRDefault="004B0883">
            <w:pPr>
              <w:jc w:val="center"/>
              <w:rPr>
                <w:rFonts w:hint="eastAsia"/>
                <w:color w:val="000000"/>
              </w:rPr>
            </w:pPr>
            <w:r>
              <w:rPr>
                <w:bCs/>
                <w:kern w:val="0"/>
              </w:rPr>
              <w:t>梁栋</w:t>
            </w:r>
          </w:p>
        </w:tc>
        <w:tc>
          <w:tcPr>
            <w:tcW w:w="970" w:type="pct"/>
            <w:tcBorders>
              <w:top w:val="single" w:sz="4" w:space="0" w:color="010000"/>
            </w:tcBorders>
            <w:vAlign w:val="center"/>
          </w:tcPr>
          <w:p w14:paraId="50155088" w14:textId="77777777" w:rsidR="004B0883" w:rsidRDefault="004B0883">
            <w:pPr>
              <w:jc w:val="right"/>
              <w:rPr>
                <w:rFonts w:hint="eastAsia"/>
                <w:color w:val="000000"/>
              </w:rPr>
            </w:pPr>
            <w:r>
              <w:rPr>
                <w:bCs/>
                <w:kern w:val="0"/>
              </w:rPr>
              <w:t>23.50</w:t>
            </w:r>
          </w:p>
        </w:tc>
        <w:tc>
          <w:tcPr>
            <w:tcW w:w="1045" w:type="pct"/>
            <w:tcBorders>
              <w:top w:val="single" w:sz="4" w:space="0" w:color="010000"/>
            </w:tcBorders>
            <w:vAlign w:val="center"/>
          </w:tcPr>
          <w:p w14:paraId="5CBF5E47" w14:textId="77777777" w:rsidR="004B0883" w:rsidRDefault="004B0883">
            <w:pPr>
              <w:jc w:val="center"/>
              <w:rPr>
                <w:rFonts w:hint="eastAsia"/>
                <w:color w:val="000000"/>
              </w:rPr>
            </w:pPr>
            <w:r>
              <w:rPr>
                <w:bCs/>
                <w:kern w:val="0"/>
              </w:rPr>
              <w:t>范庆丰及莱州伟隆向梁栋偿还</w:t>
            </w:r>
            <w:r>
              <w:rPr>
                <w:bCs/>
                <w:kern w:val="0"/>
              </w:rPr>
              <w:t>23.5</w:t>
            </w:r>
            <w:r>
              <w:rPr>
                <w:bCs/>
                <w:kern w:val="0"/>
              </w:rPr>
              <w:t>万元及利息</w:t>
            </w:r>
          </w:p>
        </w:tc>
        <w:tc>
          <w:tcPr>
            <w:tcW w:w="714" w:type="pct"/>
            <w:tcBorders>
              <w:top w:val="single" w:sz="4" w:space="0" w:color="010000"/>
            </w:tcBorders>
            <w:vAlign w:val="center"/>
          </w:tcPr>
          <w:p w14:paraId="3490A0B6" w14:textId="77777777" w:rsidR="004B0883" w:rsidRDefault="004B0883">
            <w:pPr>
              <w:jc w:val="center"/>
              <w:rPr>
                <w:rFonts w:hint="eastAsia"/>
                <w:color w:val="000000"/>
              </w:rPr>
            </w:pPr>
            <w:r>
              <w:rPr>
                <w:bCs/>
                <w:kern w:val="0"/>
              </w:rPr>
              <w:t>已履行完毕</w:t>
            </w:r>
          </w:p>
        </w:tc>
      </w:tr>
      <w:tr w:rsidR="004B0883" w14:paraId="16E0443D" w14:textId="77777777">
        <w:trPr>
          <w:cantSplit/>
          <w:trHeight w:val="397"/>
          <w:jc w:val="center"/>
        </w:trPr>
        <w:tc>
          <w:tcPr>
            <w:tcW w:w="331" w:type="pct"/>
            <w:vAlign w:val="center"/>
          </w:tcPr>
          <w:p w14:paraId="57577F55" w14:textId="77777777" w:rsidR="004B0883" w:rsidRDefault="004B0883">
            <w:pPr>
              <w:jc w:val="center"/>
              <w:rPr>
                <w:rFonts w:hint="eastAsia"/>
                <w:color w:val="000000"/>
              </w:rPr>
            </w:pPr>
            <w:r>
              <w:rPr>
                <w:bCs/>
                <w:kern w:val="0"/>
              </w:rPr>
              <w:t>2</w:t>
            </w:r>
          </w:p>
        </w:tc>
        <w:tc>
          <w:tcPr>
            <w:tcW w:w="693" w:type="pct"/>
            <w:vAlign w:val="center"/>
          </w:tcPr>
          <w:p w14:paraId="52BCC5DB" w14:textId="77777777" w:rsidR="004B0883" w:rsidRDefault="004B0883">
            <w:pPr>
              <w:jc w:val="center"/>
              <w:rPr>
                <w:rFonts w:hint="eastAsia"/>
                <w:color w:val="000000"/>
              </w:rPr>
            </w:pPr>
            <w:r>
              <w:rPr>
                <w:rFonts w:hint="eastAsia"/>
                <w:bCs/>
                <w:kern w:val="0"/>
              </w:rPr>
              <w:t>2019</w:t>
            </w:r>
            <w:r>
              <w:rPr>
                <w:rFonts w:hint="eastAsia"/>
                <w:bCs/>
                <w:kern w:val="0"/>
              </w:rPr>
              <w:t>年</w:t>
            </w:r>
            <w:r>
              <w:rPr>
                <w:rFonts w:hint="eastAsia"/>
                <w:bCs/>
                <w:kern w:val="0"/>
              </w:rPr>
              <w:t>1</w:t>
            </w:r>
            <w:r>
              <w:rPr>
                <w:rFonts w:hint="eastAsia"/>
                <w:bCs/>
                <w:kern w:val="0"/>
              </w:rPr>
              <w:t>月</w:t>
            </w:r>
          </w:p>
        </w:tc>
        <w:tc>
          <w:tcPr>
            <w:tcW w:w="693" w:type="pct"/>
            <w:vAlign w:val="center"/>
          </w:tcPr>
          <w:p w14:paraId="2EFF4491" w14:textId="77777777" w:rsidR="004B0883" w:rsidRDefault="004B0883">
            <w:pPr>
              <w:jc w:val="center"/>
              <w:rPr>
                <w:rFonts w:hint="eastAsia"/>
                <w:color w:val="000000"/>
              </w:rPr>
            </w:pPr>
            <w:r>
              <w:rPr>
                <w:bCs/>
                <w:kern w:val="0"/>
              </w:rPr>
              <w:t>范庆丰、莱州伟隆</w:t>
            </w:r>
          </w:p>
        </w:tc>
        <w:tc>
          <w:tcPr>
            <w:tcW w:w="554" w:type="pct"/>
            <w:vAlign w:val="center"/>
          </w:tcPr>
          <w:p w14:paraId="11F638A2" w14:textId="77777777" w:rsidR="004B0883" w:rsidRDefault="004B0883">
            <w:pPr>
              <w:jc w:val="center"/>
              <w:rPr>
                <w:rFonts w:hint="eastAsia"/>
                <w:color w:val="000000"/>
              </w:rPr>
            </w:pPr>
            <w:r>
              <w:rPr>
                <w:bCs/>
                <w:kern w:val="0"/>
              </w:rPr>
              <w:t>黎昌莉</w:t>
            </w:r>
          </w:p>
        </w:tc>
        <w:tc>
          <w:tcPr>
            <w:tcW w:w="970" w:type="pct"/>
            <w:vAlign w:val="center"/>
          </w:tcPr>
          <w:p w14:paraId="2DE75D0B" w14:textId="77777777" w:rsidR="004B0883" w:rsidRDefault="004B0883">
            <w:pPr>
              <w:jc w:val="right"/>
              <w:rPr>
                <w:rFonts w:hint="eastAsia"/>
                <w:color w:val="000000"/>
              </w:rPr>
            </w:pPr>
            <w:r>
              <w:rPr>
                <w:bCs/>
                <w:kern w:val="0"/>
              </w:rPr>
              <w:t>60.00</w:t>
            </w:r>
          </w:p>
        </w:tc>
        <w:tc>
          <w:tcPr>
            <w:tcW w:w="1045" w:type="pct"/>
            <w:vAlign w:val="center"/>
          </w:tcPr>
          <w:p w14:paraId="1FE93FB2" w14:textId="77777777" w:rsidR="004B0883" w:rsidRDefault="004B0883">
            <w:pPr>
              <w:jc w:val="center"/>
              <w:rPr>
                <w:rFonts w:hint="eastAsia"/>
                <w:color w:val="000000"/>
              </w:rPr>
            </w:pPr>
            <w:r>
              <w:rPr>
                <w:bCs/>
                <w:kern w:val="0"/>
              </w:rPr>
              <w:t>范庆丰及莱州伟隆共同偿还原告黎昌莉借款</w:t>
            </w:r>
            <w:r>
              <w:rPr>
                <w:bCs/>
                <w:kern w:val="0"/>
              </w:rPr>
              <w:t>60</w:t>
            </w:r>
            <w:r>
              <w:rPr>
                <w:bCs/>
                <w:kern w:val="0"/>
              </w:rPr>
              <w:t>万元及利息；青岛伟隆阀门股份有限公司承担连带清偿责任</w:t>
            </w:r>
          </w:p>
        </w:tc>
        <w:tc>
          <w:tcPr>
            <w:tcW w:w="714" w:type="pct"/>
            <w:vAlign w:val="center"/>
          </w:tcPr>
          <w:p w14:paraId="523D5B31" w14:textId="77777777" w:rsidR="004B0883" w:rsidRDefault="004B0883">
            <w:pPr>
              <w:jc w:val="center"/>
              <w:rPr>
                <w:rFonts w:hint="eastAsia"/>
                <w:color w:val="000000"/>
              </w:rPr>
            </w:pPr>
            <w:r>
              <w:rPr>
                <w:bCs/>
                <w:kern w:val="0"/>
              </w:rPr>
              <w:t>已履行完毕</w:t>
            </w:r>
          </w:p>
        </w:tc>
      </w:tr>
      <w:tr w:rsidR="004B0883" w14:paraId="6E0CE1DC" w14:textId="77777777">
        <w:trPr>
          <w:cantSplit/>
          <w:trHeight w:val="397"/>
          <w:jc w:val="center"/>
        </w:trPr>
        <w:tc>
          <w:tcPr>
            <w:tcW w:w="331" w:type="pct"/>
            <w:vAlign w:val="center"/>
          </w:tcPr>
          <w:p w14:paraId="34A69F0B" w14:textId="77777777" w:rsidR="004B0883" w:rsidRDefault="004B0883">
            <w:pPr>
              <w:jc w:val="center"/>
              <w:rPr>
                <w:rFonts w:hint="eastAsia"/>
                <w:color w:val="000000"/>
              </w:rPr>
            </w:pPr>
            <w:r>
              <w:rPr>
                <w:bCs/>
                <w:kern w:val="0"/>
              </w:rPr>
              <w:t>3</w:t>
            </w:r>
          </w:p>
        </w:tc>
        <w:tc>
          <w:tcPr>
            <w:tcW w:w="693" w:type="pct"/>
            <w:vAlign w:val="center"/>
          </w:tcPr>
          <w:p w14:paraId="77303C63" w14:textId="77777777" w:rsidR="004B0883" w:rsidRDefault="004B0883">
            <w:pPr>
              <w:jc w:val="center"/>
              <w:rPr>
                <w:rFonts w:hint="eastAsia"/>
                <w:color w:val="000000"/>
              </w:rPr>
            </w:pPr>
            <w:r>
              <w:rPr>
                <w:rFonts w:hint="eastAsia"/>
                <w:bCs/>
                <w:kern w:val="0"/>
              </w:rPr>
              <w:t>2018</w:t>
            </w:r>
            <w:r>
              <w:rPr>
                <w:rFonts w:hint="eastAsia"/>
                <w:bCs/>
                <w:kern w:val="0"/>
              </w:rPr>
              <w:t>年</w:t>
            </w:r>
            <w:r>
              <w:rPr>
                <w:rFonts w:hint="eastAsia"/>
                <w:bCs/>
                <w:kern w:val="0"/>
              </w:rPr>
              <w:t>12</w:t>
            </w:r>
            <w:r>
              <w:rPr>
                <w:rFonts w:hint="eastAsia"/>
                <w:bCs/>
                <w:kern w:val="0"/>
              </w:rPr>
              <w:t>月</w:t>
            </w:r>
          </w:p>
        </w:tc>
        <w:tc>
          <w:tcPr>
            <w:tcW w:w="693" w:type="pct"/>
            <w:vAlign w:val="center"/>
          </w:tcPr>
          <w:p w14:paraId="1089A88A" w14:textId="77777777" w:rsidR="004B0883" w:rsidRDefault="004B0883">
            <w:pPr>
              <w:jc w:val="center"/>
              <w:rPr>
                <w:rFonts w:hint="eastAsia"/>
                <w:color w:val="000000"/>
              </w:rPr>
            </w:pPr>
            <w:r>
              <w:rPr>
                <w:bCs/>
                <w:kern w:val="0"/>
              </w:rPr>
              <w:t>范庆丰、范威辰、莱州伟隆、莱州辰英特机械制造有限公司</w:t>
            </w:r>
          </w:p>
        </w:tc>
        <w:tc>
          <w:tcPr>
            <w:tcW w:w="554" w:type="pct"/>
            <w:vAlign w:val="center"/>
          </w:tcPr>
          <w:p w14:paraId="0C13724E" w14:textId="77777777" w:rsidR="004B0883" w:rsidRDefault="004B0883">
            <w:pPr>
              <w:jc w:val="center"/>
              <w:rPr>
                <w:rFonts w:hint="eastAsia"/>
                <w:color w:val="000000"/>
              </w:rPr>
            </w:pPr>
            <w:r>
              <w:rPr>
                <w:bCs/>
                <w:kern w:val="0"/>
              </w:rPr>
              <w:t>张伟</w:t>
            </w:r>
          </w:p>
        </w:tc>
        <w:tc>
          <w:tcPr>
            <w:tcW w:w="970" w:type="pct"/>
            <w:vAlign w:val="center"/>
          </w:tcPr>
          <w:p w14:paraId="6114C857" w14:textId="77777777" w:rsidR="004B0883" w:rsidRDefault="004B0883">
            <w:pPr>
              <w:jc w:val="right"/>
              <w:rPr>
                <w:rFonts w:hint="eastAsia"/>
                <w:color w:val="000000"/>
              </w:rPr>
            </w:pPr>
            <w:r>
              <w:rPr>
                <w:bCs/>
                <w:kern w:val="0"/>
              </w:rPr>
              <w:t>150.00</w:t>
            </w:r>
          </w:p>
        </w:tc>
        <w:tc>
          <w:tcPr>
            <w:tcW w:w="1045" w:type="pct"/>
            <w:vAlign w:val="center"/>
          </w:tcPr>
          <w:p w14:paraId="75569FAC" w14:textId="77777777" w:rsidR="004B0883" w:rsidRDefault="004B0883">
            <w:pPr>
              <w:jc w:val="center"/>
              <w:rPr>
                <w:rFonts w:hint="eastAsia"/>
                <w:color w:val="000000"/>
              </w:rPr>
            </w:pPr>
            <w:r>
              <w:rPr>
                <w:bCs/>
                <w:kern w:val="0"/>
              </w:rPr>
              <w:t>范庆丰、范威辰、莱州伟隆、莱州辰英特机械制造有限公司共同偿还</w:t>
            </w:r>
            <w:r>
              <w:rPr>
                <w:bCs/>
                <w:kern w:val="0"/>
              </w:rPr>
              <w:t>112</w:t>
            </w:r>
            <w:r>
              <w:rPr>
                <w:bCs/>
                <w:kern w:val="0"/>
              </w:rPr>
              <w:t>万元借款及利息</w:t>
            </w:r>
          </w:p>
        </w:tc>
        <w:tc>
          <w:tcPr>
            <w:tcW w:w="714" w:type="pct"/>
            <w:vAlign w:val="center"/>
          </w:tcPr>
          <w:p w14:paraId="1738832C" w14:textId="77777777" w:rsidR="004B0883" w:rsidRDefault="004B0883">
            <w:pPr>
              <w:jc w:val="center"/>
              <w:rPr>
                <w:rFonts w:hint="eastAsia"/>
                <w:color w:val="000000"/>
              </w:rPr>
            </w:pPr>
            <w:r>
              <w:rPr>
                <w:bCs/>
                <w:kern w:val="0"/>
              </w:rPr>
              <w:t>已履行完毕</w:t>
            </w:r>
          </w:p>
        </w:tc>
      </w:tr>
      <w:tr w:rsidR="004B0883" w14:paraId="03E75579" w14:textId="77777777">
        <w:trPr>
          <w:cantSplit/>
          <w:trHeight w:val="397"/>
          <w:jc w:val="center"/>
        </w:trPr>
        <w:tc>
          <w:tcPr>
            <w:tcW w:w="331" w:type="pct"/>
            <w:vAlign w:val="center"/>
          </w:tcPr>
          <w:p w14:paraId="7F419B92" w14:textId="77777777" w:rsidR="004B0883" w:rsidRDefault="004B0883">
            <w:pPr>
              <w:jc w:val="center"/>
              <w:rPr>
                <w:rFonts w:hint="eastAsia"/>
                <w:color w:val="000000"/>
              </w:rPr>
            </w:pPr>
            <w:r>
              <w:rPr>
                <w:bCs/>
                <w:kern w:val="0"/>
              </w:rPr>
              <w:t>4</w:t>
            </w:r>
          </w:p>
        </w:tc>
        <w:tc>
          <w:tcPr>
            <w:tcW w:w="693" w:type="pct"/>
            <w:vAlign w:val="center"/>
          </w:tcPr>
          <w:p w14:paraId="12FA2A8D" w14:textId="77777777" w:rsidR="004B0883" w:rsidRDefault="004B0883">
            <w:pPr>
              <w:jc w:val="center"/>
              <w:rPr>
                <w:rFonts w:hint="eastAsia"/>
                <w:color w:val="000000"/>
              </w:rPr>
            </w:pPr>
            <w:r>
              <w:rPr>
                <w:rFonts w:hint="eastAsia"/>
                <w:bCs/>
                <w:kern w:val="0"/>
              </w:rPr>
              <w:t>2019</w:t>
            </w:r>
            <w:r>
              <w:rPr>
                <w:rFonts w:hint="eastAsia"/>
                <w:bCs/>
                <w:kern w:val="0"/>
              </w:rPr>
              <w:t>年</w:t>
            </w:r>
            <w:r>
              <w:rPr>
                <w:rFonts w:hint="eastAsia"/>
                <w:bCs/>
                <w:kern w:val="0"/>
              </w:rPr>
              <w:t>5</w:t>
            </w:r>
            <w:r>
              <w:rPr>
                <w:rFonts w:hint="eastAsia"/>
                <w:bCs/>
                <w:kern w:val="0"/>
              </w:rPr>
              <w:t>月</w:t>
            </w:r>
          </w:p>
        </w:tc>
        <w:tc>
          <w:tcPr>
            <w:tcW w:w="693" w:type="pct"/>
            <w:vAlign w:val="center"/>
          </w:tcPr>
          <w:p w14:paraId="223F161A" w14:textId="77777777" w:rsidR="004B0883" w:rsidRDefault="004B0883">
            <w:pPr>
              <w:jc w:val="center"/>
              <w:rPr>
                <w:rFonts w:hint="eastAsia"/>
                <w:color w:val="000000"/>
              </w:rPr>
            </w:pPr>
            <w:r>
              <w:rPr>
                <w:bCs/>
                <w:kern w:val="0"/>
              </w:rPr>
              <w:t>范庆丰、莱州伟隆</w:t>
            </w:r>
          </w:p>
        </w:tc>
        <w:tc>
          <w:tcPr>
            <w:tcW w:w="554" w:type="pct"/>
            <w:vAlign w:val="center"/>
          </w:tcPr>
          <w:p w14:paraId="693FA3BB" w14:textId="77777777" w:rsidR="004B0883" w:rsidRDefault="004B0883">
            <w:pPr>
              <w:jc w:val="center"/>
              <w:rPr>
                <w:rFonts w:hint="eastAsia"/>
                <w:color w:val="000000"/>
              </w:rPr>
            </w:pPr>
            <w:r>
              <w:rPr>
                <w:bCs/>
                <w:kern w:val="0"/>
              </w:rPr>
              <w:t>赵志刚</w:t>
            </w:r>
          </w:p>
        </w:tc>
        <w:tc>
          <w:tcPr>
            <w:tcW w:w="970" w:type="pct"/>
            <w:vAlign w:val="center"/>
          </w:tcPr>
          <w:p w14:paraId="4979374B" w14:textId="77777777" w:rsidR="004B0883" w:rsidRDefault="004B0883">
            <w:pPr>
              <w:jc w:val="right"/>
              <w:rPr>
                <w:rFonts w:hint="eastAsia"/>
                <w:color w:val="000000"/>
              </w:rPr>
            </w:pPr>
            <w:r>
              <w:rPr>
                <w:bCs/>
                <w:kern w:val="0"/>
              </w:rPr>
              <w:t>100.00</w:t>
            </w:r>
          </w:p>
        </w:tc>
        <w:tc>
          <w:tcPr>
            <w:tcW w:w="1045" w:type="pct"/>
            <w:vAlign w:val="center"/>
          </w:tcPr>
          <w:p w14:paraId="4A4B0379" w14:textId="77777777" w:rsidR="004B0883" w:rsidRDefault="004B0883">
            <w:pPr>
              <w:jc w:val="center"/>
              <w:rPr>
                <w:rFonts w:hint="eastAsia"/>
                <w:color w:val="000000"/>
              </w:rPr>
            </w:pPr>
            <w:r>
              <w:rPr>
                <w:bCs/>
                <w:kern w:val="0"/>
              </w:rPr>
              <w:t>范庆丰同意向赵志刚一次性支付</w:t>
            </w:r>
            <w:r>
              <w:rPr>
                <w:bCs/>
                <w:kern w:val="0"/>
              </w:rPr>
              <w:t>86</w:t>
            </w:r>
            <w:r>
              <w:rPr>
                <w:bCs/>
                <w:kern w:val="0"/>
              </w:rPr>
              <w:t>万元及一审诉讼费</w:t>
            </w:r>
            <w:r>
              <w:rPr>
                <w:bCs/>
                <w:kern w:val="0"/>
              </w:rPr>
              <w:t>13</w:t>
            </w:r>
            <w:r>
              <w:rPr>
                <w:rFonts w:hint="eastAsia"/>
                <w:bCs/>
                <w:kern w:val="0"/>
              </w:rPr>
              <w:t>,</w:t>
            </w:r>
            <w:r>
              <w:rPr>
                <w:bCs/>
                <w:kern w:val="0"/>
              </w:rPr>
              <w:t>800</w:t>
            </w:r>
            <w:r>
              <w:rPr>
                <w:bCs/>
                <w:kern w:val="0"/>
              </w:rPr>
              <w:t>元</w:t>
            </w:r>
          </w:p>
        </w:tc>
        <w:tc>
          <w:tcPr>
            <w:tcW w:w="714" w:type="pct"/>
            <w:vAlign w:val="center"/>
          </w:tcPr>
          <w:p w14:paraId="3AD120E2" w14:textId="77777777" w:rsidR="004B0883" w:rsidRDefault="004B0883">
            <w:pPr>
              <w:jc w:val="center"/>
              <w:rPr>
                <w:rFonts w:hint="eastAsia"/>
                <w:color w:val="000000"/>
              </w:rPr>
            </w:pPr>
            <w:r>
              <w:rPr>
                <w:bCs/>
                <w:kern w:val="0"/>
              </w:rPr>
              <w:t>已履行完毕</w:t>
            </w:r>
          </w:p>
        </w:tc>
      </w:tr>
      <w:tr w:rsidR="004B0883" w14:paraId="51C45561" w14:textId="77777777">
        <w:trPr>
          <w:cantSplit/>
          <w:trHeight w:val="397"/>
          <w:jc w:val="center"/>
        </w:trPr>
        <w:tc>
          <w:tcPr>
            <w:tcW w:w="331" w:type="pct"/>
            <w:vAlign w:val="center"/>
          </w:tcPr>
          <w:p w14:paraId="5CC6AE7D" w14:textId="77777777" w:rsidR="004B0883" w:rsidRDefault="004B0883">
            <w:pPr>
              <w:jc w:val="center"/>
              <w:rPr>
                <w:rFonts w:hint="eastAsia"/>
                <w:color w:val="000000"/>
              </w:rPr>
            </w:pPr>
            <w:r>
              <w:rPr>
                <w:bCs/>
                <w:kern w:val="0"/>
              </w:rPr>
              <w:t>5</w:t>
            </w:r>
          </w:p>
        </w:tc>
        <w:tc>
          <w:tcPr>
            <w:tcW w:w="693" w:type="pct"/>
            <w:vAlign w:val="center"/>
          </w:tcPr>
          <w:p w14:paraId="4D20DFB4" w14:textId="77777777" w:rsidR="004B0883" w:rsidRDefault="004B0883">
            <w:pPr>
              <w:jc w:val="center"/>
              <w:rPr>
                <w:rFonts w:hint="eastAsia"/>
                <w:color w:val="000000"/>
              </w:rPr>
            </w:pPr>
            <w:r>
              <w:rPr>
                <w:rFonts w:hint="eastAsia"/>
                <w:bCs/>
                <w:kern w:val="0"/>
              </w:rPr>
              <w:t>2017</w:t>
            </w:r>
            <w:r>
              <w:rPr>
                <w:rFonts w:hint="eastAsia"/>
                <w:bCs/>
                <w:kern w:val="0"/>
              </w:rPr>
              <w:t>年</w:t>
            </w:r>
            <w:r>
              <w:rPr>
                <w:rFonts w:hint="eastAsia"/>
                <w:bCs/>
                <w:kern w:val="0"/>
              </w:rPr>
              <w:t>8</w:t>
            </w:r>
            <w:r>
              <w:rPr>
                <w:rFonts w:hint="eastAsia"/>
                <w:bCs/>
                <w:kern w:val="0"/>
              </w:rPr>
              <w:t>月</w:t>
            </w:r>
          </w:p>
        </w:tc>
        <w:tc>
          <w:tcPr>
            <w:tcW w:w="693" w:type="pct"/>
            <w:vAlign w:val="center"/>
          </w:tcPr>
          <w:p w14:paraId="0132E49F" w14:textId="77777777" w:rsidR="004B0883" w:rsidRDefault="004B0883">
            <w:pPr>
              <w:jc w:val="center"/>
              <w:rPr>
                <w:rFonts w:hint="eastAsia"/>
                <w:color w:val="000000"/>
              </w:rPr>
            </w:pPr>
            <w:r>
              <w:rPr>
                <w:bCs/>
                <w:kern w:val="0"/>
              </w:rPr>
              <w:t>范庆丰、莱州伟隆</w:t>
            </w:r>
          </w:p>
        </w:tc>
        <w:tc>
          <w:tcPr>
            <w:tcW w:w="554" w:type="pct"/>
            <w:vAlign w:val="center"/>
          </w:tcPr>
          <w:p w14:paraId="18794E47" w14:textId="77777777" w:rsidR="004B0883" w:rsidRDefault="004B0883">
            <w:pPr>
              <w:jc w:val="center"/>
              <w:rPr>
                <w:rFonts w:hint="eastAsia"/>
                <w:color w:val="000000"/>
              </w:rPr>
            </w:pPr>
            <w:r>
              <w:rPr>
                <w:bCs/>
                <w:kern w:val="0"/>
              </w:rPr>
              <w:t>王伟</w:t>
            </w:r>
          </w:p>
        </w:tc>
        <w:tc>
          <w:tcPr>
            <w:tcW w:w="970" w:type="pct"/>
            <w:vAlign w:val="center"/>
          </w:tcPr>
          <w:p w14:paraId="00BCBB36" w14:textId="77777777" w:rsidR="004B0883" w:rsidRDefault="004B0883">
            <w:pPr>
              <w:jc w:val="right"/>
              <w:rPr>
                <w:rFonts w:hint="eastAsia"/>
                <w:color w:val="000000"/>
              </w:rPr>
            </w:pPr>
            <w:r>
              <w:rPr>
                <w:bCs/>
                <w:kern w:val="0"/>
              </w:rPr>
              <w:t>借款</w:t>
            </w:r>
            <w:r>
              <w:rPr>
                <w:bCs/>
                <w:kern w:val="0"/>
              </w:rPr>
              <w:t>150.00</w:t>
            </w:r>
            <w:r>
              <w:rPr>
                <w:bCs/>
                <w:kern w:val="0"/>
              </w:rPr>
              <w:t>万元，利息</w:t>
            </w:r>
            <w:r>
              <w:rPr>
                <w:bCs/>
                <w:kern w:val="0"/>
              </w:rPr>
              <w:t>161.90</w:t>
            </w:r>
            <w:r>
              <w:rPr>
                <w:bCs/>
                <w:kern w:val="0"/>
              </w:rPr>
              <w:t>万元，合计</w:t>
            </w:r>
            <w:r>
              <w:rPr>
                <w:bCs/>
                <w:kern w:val="0"/>
              </w:rPr>
              <w:t>311.90</w:t>
            </w:r>
            <w:r>
              <w:rPr>
                <w:bCs/>
                <w:kern w:val="0"/>
              </w:rPr>
              <w:t>万元</w:t>
            </w:r>
          </w:p>
        </w:tc>
        <w:tc>
          <w:tcPr>
            <w:tcW w:w="1045" w:type="pct"/>
            <w:vAlign w:val="center"/>
          </w:tcPr>
          <w:p w14:paraId="6366B52F" w14:textId="77777777" w:rsidR="004B0883" w:rsidRDefault="004B0883">
            <w:pPr>
              <w:jc w:val="center"/>
              <w:rPr>
                <w:rFonts w:hint="eastAsia"/>
                <w:color w:val="000000"/>
              </w:rPr>
            </w:pPr>
            <w:r>
              <w:rPr>
                <w:bCs/>
                <w:kern w:val="0"/>
              </w:rPr>
              <w:t>范庆丰及莱州伟隆向王伟支付</w:t>
            </w:r>
            <w:r>
              <w:rPr>
                <w:bCs/>
                <w:kern w:val="0"/>
              </w:rPr>
              <w:t>240</w:t>
            </w:r>
            <w:r>
              <w:rPr>
                <w:bCs/>
                <w:kern w:val="0"/>
              </w:rPr>
              <w:t>万元</w:t>
            </w:r>
          </w:p>
        </w:tc>
        <w:tc>
          <w:tcPr>
            <w:tcW w:w="714" w:type="pct"/>
            <w:vAlign w:val="center"/>
          </w:tcPr>
          <w:p w14:paraId="7641B4DC" w14:textId="77777777" w:rsidR="004B0883" w:rsidRDefault="004B0883">
            <w:pPr>
              <w:jc w:val="center"/>
              <w:rPr>
                <w:rFonts w:hint="eastAsia"/>
                <w:color w:val="000000"/>
              </w:rPr>
            </w:pPr>
            <w:r>
              <w:rPr>
                <w:bCs/>
                <w:kern w:val="0"/>
              </w:rPr>
              <w:t>已履行完毕</w:t>
            </w:r>
          </w:p>
        </w:tc>
      </w:tr>
      <w:tr w:rsidR="004B0883" w14:paraId="29CA97AB" w14:textId="77777777">
        <w:trPr>
          <w:cantSplit/>
          <w:trHeight w:val="397"/>
          <w:jc w:val="center"/>
        </w:trPr>
        <w:tc>
          <w:tcPr>
            <w:tcW w:w="331" w:type="pct"/>
            <w:vAlign w:val="center"/>
          </w:tcPr>
          <w:p w14:paraId="740C5502" w14:textId="77777777" w:rsidR="004B0883" w:rsidRDefault="004B0883">
            <w:pPr>
              <w:jc w:val="center"/>
              <w:rPr>
                <w:rFonts w:hint="eastAsia"/>
                <w:color w:val="000000"/>
              </w:rPr>
            </w:pPr>
            <w:r>
              <w:rPr>
                <w:rFonts w:hint="eastAsia"/>
                <w:bCs/>
                <w:kern w:val="0"/>
              </w:rPr>
              <w:t>6</w:t>
            </w:r>
          </w:p>
        </w:tc>
        <w:tc>
          <w:tcPr>
            <w:tcW w:w="693" w:type="pct"/>
            <w:vAlign w:val="center"/>
          </w:tcPr>
          <w:p w14:paraId="182627B6" w14:textId="77777777" w:rsidR="004B0883" w:rsidRDefault="004B0883">
            <w:pPr>
              <w:jc w:val="center"/>
              <w:rPr>
                <w:rFonts w:hint="eastAsia"/>
                <w:color w:val="000000"/>
              </w:rPr>
            </w:pPr>
            <w:r>
              <w:rPr>
                <w:rFonts w:hint="eastAsia"/>
                <w:bCs/>
                <w:kern w:val="0"/>
                <w:szCs w:val="24"/>
              </w:rPr>
              <w:t>2015</w:t>
            </w:r>
            <w:r>
              <w:rPr>
                <w:rFonts w:hint="eastAsia"/>
                <w:bCs/>
                <w:kern w:val="0"/>
                <w:szCs w:val="24"/>
              </w:rPr>
              <w:t>年</w:t>
            </w:r>
            <w:r>
              <w:rPr>
                <w:rFonts w:hint="eastAsia"/>
                <w:bCs/>
                <w:kern w:val="0"/>
                <w:szCs w:val="24"/>
              </w:rPr>
              <w:t>11</w:t>
            </w:r>
            <w:r>
              <w:rPr>
                <w:rFonts w:hint="eastAsia"/>
                <w:bCs/>
                <w:kern w:val="0"/>
                <w:szCs w:val="24"/>
              </w:rPr>
              <w:t>月</w:t>
            </w:r>
          </w:p>
        </w:tc>
        <w:tc>
          <w:tcPr>
            <w:tcW w:w="693" w:type="pct"/>
            <w:vAlign w:val="center"/>
          </w:tcPr>
          <w:p w14:paraId="0ACE3FDF" w14:textId="77777777" w:rsidR="004B0883" w:rsidRDefault="004B0883">
            <w:pPr>
              <w:jc w:val="center"/>
              <w:rPr>
                <w:rFonts w:hint="eastAsia"/>
                <w:color w:val="000000"/>
              </w:rPr>
            </w:pPr>
            <w:r>
              <w:rPr>
                <w:rFonts w:cs="宋体" w:hint="eastAsia"/>
                <w:bCs/>
                <w:kern w:val="0"/>
              </w:rPr>
              <w:t>范庆丰、莱州伟隆</w:t>
            </w:r>
          </w:p>
        </w:tc>
        <w:tc>
          <w:tcPr>
            <w:tcW w:w="554" w:type="pct"/>
            <w:vAlign w:val="center"/>
          </w:tcPr>
          <w:p w14:paraId="2574FDD1" w14:textId="77777777" w:rsidR="004B0883" w:rsidRDefault="004B0883">
            <w:pPr>
              <w:jc w:val="center"/>
              <w:rPr>
                <w:rFonts w:hint="eastAsia"/>
                <w:color w:val="000000"/>
              </w:rPr>
            </w:pPr>
            <w:r>
              <w:rPr>
                <w:rFonts w:cs="宋体" w:hint="eastAsia"/>
                <w:bCs/>
                <w:kern w:val="0"/>
              </w:rPr>
              <w:t>李斌乐</w:t>
            </w:r>
          </w:p>
        </w:tc>
        <w:tc>
          <w:tcPr>
            <w:tcW w:w="970" w:type="pct"/>
            <w:vAlign w:val="center"/>
          </w:tcPr>
          <w:p w14:paraId="143A106C" w14:textId="77777777" w:rsidR="004B0883" w:rsidRDefault="004B0883">
            <w:pPr>
              <w:jc w:val="right"/>
              <w:rPr>
                <w:rFonts w:hint="eastAsia"/>
                <w:color w:val="000000"/>
              </w:rPr>
            </w:pPr>
            <w:r>
              <w:rPr>
                <w:rFonts w:cs="宋体" w:hint="eastAsia"/>
                <w:bCs/>
                <w:kern w:val="0"/>
              </w:rPr>
              <w:t>60.00</w:t>
            </w:r>
          </w:p>
        </w:tc>
        <w:tc>
          <w:tcPr>
            <w:tcW w:w="1045" w:type="pct"/>
            <w:vAlign w:val="center"/>
          </w:tcPr>
          <w:p w14:paraId="1294BC61" w14:textId="77777777" w:rsidR="004B0883" w:rsidRDefault="004B0883">
            <w:pPr>
              <w:rPr>
                <w:rFonts w:ascii="楷体" w:eastAsia="楷体" w:hAnsi="楷体" w:cs="楷体" w:hint="eastAsia"/>
                <w:b/>
                <w:bCs/>
                <w:color w:val="000000"/>
              </w:rPr>
            </w:pPr>
            <w:r>
              <w:rPr>
                <w:rFonts w:ascii="楷体" w:eastAsia="楷体" w:hAnsi="楷体" w:cs="楷体" w:hint="eastAsia"/>
                <w:b/>
                <w:bCs/>
                <w:color w:val="000000"/>
              </w:rPr>
              <w:t>2023年12月25日，山东省莱州市人民法院作出（2023）鲁0683民初5168号《民事判决书》，判决：范庆丰、莱州伟隆共同偿还原告李斌乐借款50万元及利息</w:t>
            </w:r>
          </w:p>
        </w:tc>
        <w:tc>
          <w:tcPr>
            <w:tcW w:w="714" w:type="pct"/>
            <w:vAlign w:val="center"/>
          </w:tcPr>
          <w:p w14:paraId="6F0B911A" w14:textId="77777777" w:rsidR="004B0883" w:rsidRDefault="004B0883">
            <w:pPr>
              <w:jc w:val="center"/>
              <w:rPr>
                <w:rFonts w:ascii="楷体" w:eastAsia="楷体" w:hAnsi="楷体" w:cs="楷体" w:hint="eastAsia"/>
                <w:b/>
                <w:bCs/>
                <w:color w:val="000000"/>
              </w:rPr>
            </w:pPr>
            <w:r>
              <w:rPr>
                <w:rFonts w:ascii="楷体" w:eastAsia="楷体" w:hAnsi="楷体" w:cs="楷体" w:hint="eastAsia"/>
                <w:b/>
                <w:bCs/>
                <w:color w:val="000000"/>
              </w:rPr>
              <w:t>截至本募集说明书签署日，上述判决尚未生效</w:t>
            </w:r>
          </w:p>
        </w:tc>
      </w:tr>
    </w:tbl>
    <w:p w14:paraId="5C295376" w14:textId="77777777" w:rsidR="004B0883" w:rsidRDefault="004B0883">
      <w:pPr>
        <w:autoSpaceDE w:val="0"/>
        <w:autoSpaceDN w:val="0"/>
        <w:spacing w:beforeLines="50" w:before="120" w:afterLines="50" w:after="120" w:line="360" w:lineRule="auto"/>
        <w:ind w:firstLineChars="200" w:firstLine="480"/>
        <w:jc w:val="both"/>
        <w:rPr>
          <w:rFonts w:ascii="宋体" w:hAnsi="宋体" w:cs="宋体" w:hint="eastAsia"/>
          <w:bCs/>
          <w:kern w:val="0"/>
          <w:sz w:val="24"/>
          <w:szCs w:val="24"/>
        </w:rPr>
      </w:pPr>
      <w:r>
        <w:rPr>
          <w:rFonts w:cs="宋体" w:hint="eastAsia"/>
          <w:bCs/>
          <w:kern w:val="0"/>
          <w:sz w:val="24"/>
          <w:szCs w:val="24"/>
        </w:rPr>
        <w:t>根据保荐机构、律师访谈范庆丰并核查其银行流水，</w:t>
      </w:r>
      <w:r>
        <w:rPr>
          <w:rFonts w:ascii="宋体" w:hAnsi="宋体" w:cs="宋体" w:hint="eastAsia"/>
          <w:bCs/>
          <w:kern w:val="0"/>
          <w:sz w:val="24"/>
          <w:szCs w:val="24"/>
        </w:rPr>
        <w:t>上述相关借款均由范庆丰个人使用，发行人及其子公司未实际占有及使用。上述出借人与发行人控股股东、实际控制人及董监高不存在关联关系。除李斌乐与范庆丰、莱州伟隆的案件正在审理外，范庆丰或莱州伟隆已按照法院判决或调解的金额向上述相关出借人偿还借款，</w:t>
      </w:r>
      <w:bookmarkStart w:id="380" w:name="_Hlk139214569"/>
      <w:r>
        <w:rPr>
          <w:rFonts w:ascii="宋体" w:hAnsi="宋体" w:cs="宋体" w:hint="eastAsia"/>
          <w:bCs/>
          <w:kern w:val="0"/>
          <w:sz w:val="24"/>
          <w:szCs w:val="24"/>
        </w:rPr>
        <w:t>对于莱州伟隆偿还的部分，范庆丰通过向发行人实际控制人范庆伟借款的方式赔偿莱州伟隆的损失，发行人及其子公司未实际遭受损失。范庆伟向范庆丰出借的资金均来自其个人自有资金，不存在占用发行人及其子公司资金的情形。</w:t>
      </w:r>
      <w:bookmarkEnd w:id="380"/>
    </w:p>
    <w:p w14:paraId="3873B5A0" w14:textId="77777777" w:rsidR="004B0883" w:rsidRDefault="004B0883">
      <w:pPr>
        <w:autoSpaceDE w:val="0"/>
        <w:autoSpaceDN w:val="0"/>
        <w:spacing w:beforeLines="50" w:before="120" w:afterLines="50" w:after="120" w:line="360" w:lineRule="auto"/>
        <w:ind w:firstLineChars="200" w:firstLine="480"/>
        <w:jc w:val="both"/>
        <w:rPr>
          <w:rFonts w:cs="宋体" w:hint="eastAsia"/>
          <w:bCs/>
          <w:kern w:val="0"/>
          <w:sz w:val="24"/>
          <w:szCs w:val="24"/>
        </w:rPr>
      </w:pPr>
      <w:r>
        <w:rPr>
          <w:rFonts w:cs="宋体" w:hint="eastAsia"/>
          <w:bCs/>
          <w:kern w:val="0"/>
          <w:sz w:val="24"/>
          <w:szCs w:val="24"/>
        </w:rPr>
        <w:t>通过核查发行人实际控制人范庆伟银行流水，范庆伟向范庆丰出借的资金均来自其个人自有资金，不存在由上市公司及其子公司承担相关赔偿责任的情况。</w:t>
      </w:r>
    </w:p>
    <w:p w14:paraId="4A0B9A35" w14:textId="77777777" w:rsidR="004B0883" w:rsidRDefault="004B0883">
      <w:pPr>
        <w:autoSpaceDE w:val="0"/>
        <w:autoSpaceDN w:val="0"/>
        <w:spacing w:beforeLines="50" w:before="120" w:afterLines="50" w:after="120" w:line="360" w:lineRule="auto"/>
        <w:ind w:left="482"/>
        <w:rPr>
          <w:b/>
          <w:kern w:val="0"/>
          <w:sz w:val="24"/>
          <w:szCs w:val="24"/>
        </w:rPr>
      </w:pPr>
      <w:r>
        <w:rPr>
          <w:b/>
          <w:kern w:val="0"/>
          <w:sz w:val="24"/>
          <w:szCs w:val="24"/>
        </w:rPr>
        <w:t>2</w:t>
      </w:r>
      <w:r>
        <w:rPr>
          <w:b/>
          <w:kern w:val="0"/>
          <w:sz w:val="24"/>
          <w:szCs w:val="24"/>
        </w:rPr>
        <w:t>、</w:t>
      </w:r>
      <w:r>
        <w:rPr>
          <w:rFonts w:hint="eastAsia"/>
          <w:b/>
          <w:kern w:val="0"/>
          <w:sz w:val="24"/>
          <w:szCs w:val="24"/>
        </w:rPr>
        <w:t>担保情况</w:t>
      </w:r>
    </w:p>
    <w:p w14:paraId="3A27D05A" w14:textId="77777777" w:rsidR="004B0883" w:rsidRDefault="004B0883">
      <w:pPr>
        <w:autoSpaceDE w:val="0"/>
        <w:autoSpaceDN w:val="0"/>
        <w:spacing w:beforeLines="50" w:before="120" w:afterLines="50" w:after="120" w:line="360" w:lineRule="auto"/>
        <w:ind w:firstLineChars="200" w:firstLine="480"/>
        <w:rPr>
          <w:bCs/>
          <w:kern w:val="0"/>
          <w:sz w:val="24"/>
          <w:szCs w:val="24"/>
        </w:rPr>
      </w:pPr>
      <w:r>
        <w:rPr>
          <w:bCs/>
          <w:kern w:val="0"/>
          <w:sz w:val="24"/>
          <w:szCs w:val="24"/>
        </w:rPr>
        <w:t>莱州伟隆原管理人员范庆丰未履行内部审批程序，私用莱州伟隆公章对外签署担保合同，</w:t>
      </w:r>
      <w:r>
        <w:rPr>
          <w:rFonts w:hint="eastAsia"/>
          <w:bCs/>
          <w:kern w:val="0"/>
          <w:sz w:val="24"/>
          <w:szCs w:val="24"/>
        </w:rPr>
        <w:t>相关诉讼的</w:t>
      </w:r>
      <w:r>
        <w:rPr>
          <w:bCs/>
          <w:kern w:val="0"/>
          <w:sz w:val="24"/>
          <w:szCs w:val="24"/>
        </w:rPr>
        <w:t>具体情况如下：</w:t>
      </w:r>
    </w:p>
    <w:tbl>
      <w:tblPr>
        <w:tblW w:w="0" w:type="auto"/>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43"/>
        <w:gridCol w:w="1016"/>
        <w:gridCol w:w="1005"/>
        <w:gridCol w:w="1185"/>
        <w:gridCol w:w="1418"/>
        <w:gridCol w:w="1240"/>
        <w:gridCol w:w="1773"/>
      </w:tblGrid>
      <w:tr w:rsidR="004B0883" w14:paraId="232FA290" w14:textId="77777777">
        <w:trPr>
          <w:tblHeader/>
        </w:trPr>
        <w:tc>
          <w:tcPr>
            <w:tcW w:w="655" w:type="dxa"/>
            <w:shd w:val="clear" w:color="auto" w:fill="D9D9D9"/>
            <w:vAlign w:val="center"/>
          </w:tcPr>
          <w:p w14:paraId="2470D228" w14:textId="77777777" w:rsidR="004B0883" w:rsidRDefault="004B0883">
            <w:pPr>
              <w:autoSpaceDE w:val="0"/>
              <w:autoSpaceDN w:val="0"/>
              <w:contextualSpacing/>
              <w:jc w:val="center"/>
              <w:rPr>
                <w:b/>
                <w:kern w:val="0"/>
              </w:rPr>
            </w:pPr>
            <w:r>
              <w:rPr>
                <w:b/>
                <w:kern w:val="0"/>
              </w:rPr>
              <w:t>序号</w:t>
            </w:r>
          </w:p>
        </w:tc>
        <w:tc>
          <w:tcPr>
            <w:tcW w:w="1037" w:type="dxa"/>
            <w:shd w:val="clear" w:color="auto" w:fill="D9D9D9"/>
            <w:vAlign w:val="center"/>
          </w:tcPr>
          <w:p w14:paraId="173B0A9F" w14:textId="77777777" w:rsidR="004B0883" w:rsidRDefault="004B0883">
            <w:pPr>
              <w:autoSpaceDE w:val="0"/>
              <w:autoSpaceDN w:val="0"/>
              <w:contextualSpacing/>
              <w:jc w:val="center"/>
              <w:rPr>
                <w:rFonts w:hint="eastAsia"/>
                <w:b/>
                <w:kern w:val="0"/>
              </w:rPr>
            </w:pPr>
            <w:r>
              <w:rPr>
                <w:rFonts w:hint="eastAsia"/>
                <w:b/>
                <w:kern w:val="0"/>
              </w:rPr>
              <w:t>担保</w:t>
            </w:r>
            <w:r>
              <w:rPr>
                <w:b/>
                <w:kern w:val="0"/>
              </w:rPr>
              <w:br/>
            </w:r>
            <w:r>
              <w:rPr>
                <w:rFonts w:hint="eastAsia"/>
                <w:b/>
                <w:kern w:val="0"/>
              </w:rPr>
              <w:t>时间</w:t>
            </w:r>
          </w:p>
        </w:tc>
        <w:tc>
          <w:tcPr>
            <w:tcW w:w="1037" w:type="dxa"/>
            <w:shd w:val="clear" w:color="auto" w:fill="D9D9D9"/>
            <w:vAlign w:val="center"/>
          </w:tcPr>
          <w:p w14:paraId="4F13312E" w14:textId="77777777" w:rsidR="004B0883" w:rsidRDefault="004B0883">
            <w:pPr>
              <w:autoSpaceDE w:val="0"/>
              <w:autoSpaceDN w:val="0"/>
              <w:contextualSpacing/>
              <w:jc w:val="center"/>
              <w:rPr>
                <w:b/>
                <w:kern w:val="0"/>
              </w:rPr>
            </w:pPr>
            <w:r>
              <w:rPr>
                <w:b/>
                <w:kern w:val="0"/>
              </w:rPr>
              <w:t>债权人</w:t>
            </w:r>
          </w:p>
        </w:tc>
        <w:tc>
          <w:tcPr>
            <w:tcW w:w="1227" w:type="dxa"/>
            <w:shd w:val="clear" w:color="auto" w:fill="D9D9D9"/>
            <w:vAlign w:val="center"/>
          </w:tcPr>
          <w:p w14:paraId="2E528D20" w14:textId="77777777" w:rsidR="004B0883" w:rsidRDefault="004B0883">
            <w:pPr>
              <w:autoSpaceDE w:val="0"/>
              <w:autoSpaceDN w:val="0"/>
              <w:contextualSpacing/>
              <w:jc w:val="center"/>
              <w:rPr>
                <w:b/>
                <w:kern w:val="0"/>
              </w:rPr>
            </w:pPr>
            <w:r>
              <w:rPr>
                <w:b/>
                <w:kern w:val="0"/>
              </w:rPr>
              <w:t>债务人</w:t>
            </w:r>
          </w:p>
        </w:tc>
        <w:tc>
          <w:tcPr>
            <w:tcW w:w="1461" w:type="dxa"/>
            <w:shd w:val="clear" w:color="auto" w:fill="D9D9D9"/>
            <w:vAlign w:val="center"/>
          </w:tcPr>
          <w:p w14:paraId="2FFCCF2E" w14:textId="77777777" w:rsidR="004B0883" w:rsidRDefault="004B0883">
            <w:pPr>
              <w:autoSpaceDE w:val="0"/>
              <w:autoSpaceDN w:val="0"/>
              <w:contextualSpacing/>
              <w:jc w:val="center"/>
              <w:rPr>
                <w:b/>
                <w:kern w:val="0"/>
              </w:rPr>
            </w:pPr>
            <w:r>
              <w:rPr>
                <w:b/>
                <w:kern w:val="0"/>
              </w:rPr>
              <w:t>担保方</w:t>
            </w:r>
          </w:p>
        </w:tc>
        <w:tc>
          <w:tcPr>
            <w:tcW w:w="1270" w:type="dxa"/>
            <w:shd w:val="clear" w:color="auto" w:fill="D9D9D9"/>
            <w:vAlign w:val="center"/>
          </w:tcPr>
          <w:p w14:paraId="10A4E74A" w14:textId="77777777" w:rsidR="004B0883" w:rsidRDefault="004B0883">
            <w:pPr>
              <w:autoSpaceDE w:val="0"/>
              <w:autoSpaceDN w:val="0"/>
              <w:contextualSpacing/>
              <w:jc w:val="center"/>
              <w:rPr>
                <w:b/>
                <w:kern w:val="0"/>
              </w:rPr>
            </w:pPr>
            <w:r>
              <w:rPr>
                <w:b/>
                <w:kern w:val="0"/>
              </w:rPr>
              <w:t>担保金额</w:t>
            </w:r>
          </w:p>
        </w:tc>
        <w:tc>
          <w:tcPr>
            <w:tcW w:w="1835" w:type="dxa"/>
            <w:shd w:val="clear" w:color="auto" w:fill="D9D9D9"/>
            <w:vAlign w:val="center"/>
          </w:tcPr>
          <w:p w14:paraId="2149B19D" w14:textId="77777777" w:rsidR="004B0883" w:rsidRDefault="004B0883">
            <w:pPr>
              <w:autoSpaceDE w:val="0"/>
              <w:autoSpaceDN w:val="0"/>
              <w:contextualSpacing/>
              <w:jc w:val="center"/>
              <w:rPr>
                <w:b/>
                <w:kern w:val="0"/>
              </w:rPr>
            </w:pPr>
            <w:r>
              <w:rPr>
                <w:b/>
                <w:kern w:val="0"/>
              </w:rPr>
              <w:t>法院判决或调解结果</w:t>
            </w:r>
          </w:p>
        </w:tc>
      </w:tr>
      <w:tr w:rsidR="004B0883" w14:paraId="0E9D18A5" w14:textId="77777777">
        <w:tc>
          <w:tcPr>
            <w:tcW w:w="655" w:type="dxa"/>
            <w:vAlign w:val="center"/>
          </w:tcPr>
          <w:p w14:paraId="757C2F92" w14:textId="77777777" w:rsidR="004B0883" w:rsidRDefault="004B0883">
            <w:pPr>
              <w:autoSpaceDE w:val="0"/>
              <w:autoSpaceDN w:val="0"/>
              <w:contextualSpacing/>
              <w:jc w:val="center"/>
              <w:rPr>
                <w:bCs/>
                <w:kern w:val="0"/>
              </w:rPr>
            </w:pPr>
            <w:r>
              <w:rPr>
                <w:bCs/>
                <w:kern w:val="0"/>
              </w:rPr>
              <w:t>1</w:t>
            </w:r>
          </w:p>
        </w:tc>
        <w:tc>
          <w:tcPr>
            <w:tcW w:w="1037" w:type="dxa"/>
            <w:vAlign w:val="center"/>
          </w:tcPr>
          <w:p w14:paraId="3839FC42" w14:textId="77777777" w:rsidR="004B0883" w:rsidRDefault="004B0883">
            <w:pPr>
              <w:autoSpaceDE w:val="0"/>
              <w:autoSpaceDN w:val="0"/>
              <w:spacing w:before="100" w:beforeAutospacing="1" w:after="100" w:afterAutospacing="1"/>
              <w:contextualSpacing/>
              <w:jc w:val="center"/>
              <w:rPr>
                <w:bCs/>
                <w:kern w:val="0"/>
              </w:rPr>
            </w:pPr>
            <w:r>
              <w:rPr>
                <w:rFonts w:hint="eastAsia"/>
                <w:bCs/>
                <w:kern w:val="0"/>
              </w:rPr>
              <w:t>2019</w:t>
            </w:r>
            <w:r>
              <w:rPr>
                <w:rFonts w:hint="eastAsia"/>
                <w:bCs/>
                <w:kern w:val="0"/>
              </w:rPr>
              <w:t>年</w:t>
            </w:r>
            <w:r>
              <w:rPr>
                <w:bCs/>
                <w:kern w:val="0"/>
              </w:rPr>
              <w:br/>
            </w:r>
            <w:r>
              <w:rPr>
                <w:rFonts w:hint="eastAsia"/>
                <w:bCs/>
                <w:kern w:val="0"/>
              </w:rPr>
              <w:t>1</w:t>
            </w:r>
            <w:r>
              <w:rPr>
                <w:rFonts w:hint="eastAsia"/>
                <w:bCs/>
                <w:kern w:val="0"/>
              </w:rPr>
              <w:t>月</w:t>
            </w:r>
          </w:p>
        </w:tc>
        <w:tc>
          <w:tcPr>
            <w:tcW w:w="1037" w:type="dxa"/>
            <w:vAlign w:val="center"/>
          </w:tcPr>
          <w:p w14:paraId="238F5282" w14:textId="77777777" w:rsidR="004B0883" w:rsidRDefault="004B0883">
            <w:pPr>
              <w:autoSpaceDE w:val="0"/>
              <w:autoSpaceDN w:val="0"/>
              <w:spacing w:before="100" w:beforeAutospacing="1" w:after="100" w:afterAutospacing="1"/>
              <w:contextualSpacing/>
              <w:jc w:val="center"/>
              <w:rPr>
                <w:bCs/>
                <w:kern w:val="0"/>
              </w:rPr>
            </w:pPr>
            <w:r>
              <w:rPr>
                <w:bCs/>
                <w:kern w:val="0"/>
              </w:rPr>
              <w:t>莱州辉瑞仓储有限公司</w:t>
            </w:r>
          </w:p>
        </w:tc>
        <w:tc>
          <w:tcPr>
            <w:tcW w:w="1227" w:type="dxa"/>
            <w:vAlign w:val="center"/>
          </w:tcPr>
          <w:p w14:paraId="4C5D1998" w14:textId="77777777" w:rsidR="004B0883" w:rsidRDefault="004B0883">
            <w:pPr>
              <w:autoSpaceDE w:val="0"/>
              <w:autoSpaceDN w:val="0"/>
              <w:contextualSpacing/>
              <w:jc w:val="center"/>
              <w:rPr>
                <w:bCs/>
                <w:kern w:val="0"/>
              </w:rPr>
            </w:pPr>
            <w:r>
              <w:rPr>
                <w:bCs/>
                <w:kern w:val="0"/>
              </w:rPr>
              <w:t>莱州辰英特机械制造有限公司</w:t>
            </w:r>
          </w:p>
        </w:tc>
        <w:tc>
          <w:tcPr>
            <w:tcW w:w="1461" w:type="dxa"/>
            <w:vAlign w:val="center"/>
          </w:tcPr>
          <w:p w14:paraId="2AABCA4A" w14:textId="77777777" w:rsidR="004B0883" w:rsidRDefault="004B0883">
            <w:pPr>
              <w:autoSpaceDE w:val="0"/>
              <w:autoSpaceDN w:val="0"/>
              <w:spacing w:before="100" w:beforeAutospacing="1" w:after="100" w:afterAutospacing="1"/>
              <w:contextualSpacing/>
              <w:jc w:val="center"/>
              <w:rPr>
                <w:bCs/>
                <w:kern w:val="0"/>
              </w:rPr>
            </w:pPr>
            <w:r>
              <w:rPr>
                <w:bCs/>
                <w:kern w:val="0"/>
              </w:rPr>
              <w:t>莱州伟隆阀门有限公司、莱州启江包装厂、莱州市沙河镇庆霖阀门厂、莱州市林兴密封件有限公司、范威辰、范庆丰、于启江、李烟青、李瑞庭</w:t>
            </w:r>
          </w:p>
        </w:tc>
        <w:tc>
          <w:tcPr>
            <w:tcW w:w="1270" w:type="dxa"/>
            <w:vAlign w:val="center"/>
          </w:tcPr>
          <w:p w14:paraId="1B7C4C35" w14:textId="77777777" w:rsidR="004B0883" w:rsidRDefault="004B0883">
            <w:pPr>
              <w:autoSpaceDE w:val="0"/>
              <w:autoSpaceDN w:val="0"/>
              <w:contextualSpacing/>
              <w:jc w:val="center"/>
              <w:rPr>
                <w:bCs/>
                <w:kern w:val="0"/>
              </w:rPr>
            </w:pPr>
            <w:r>
              <w:rPr>
                <w:bCs/>
                <w:kern w:val="0"/>
              </w:rPr>
              <w:t>1</w:t>
            </w:r>
            <w:r>
              <w:rPr>
                <w:rFonts w:hint="eastAsia"/>
                <w:bCs/>
                <w:kern w:val="0"/>
              </w:rPr>
              <w:t>,</w:t>
            </w:r>
            <w:r>
              <w:rPr>
                <w:bCs/>
                <w:kern w:val="0"/>
              </w:rPr>
              <w:t>043</w:t>
            </w:r>
            <w:r>
              <w:rPr>
                <w:bCs/>
                <w:kern w:val="0"/>
              </w:rPr>
              <w:t>万元及利息</w:t>
            </w:r>
          </w:p>
        </w:tc>
        <w:tc>
          <w:tcPr>
            <w:tcW w:w="1835" w:type="dxa"/>
            <w:vAlign w:val="center"/>
          </w:tcPr>
          <w:p w14:paraId="0A844022" w14:textId="77777777" w:rsidR="004B0883" w:rsidRDefault="004B0883">
            <w:pPr>
              <w:autoSpaceDE w:val="0"/>
              <w:autoSpaceDN w:val="0"/>
              <w:spacing w:before="100" w:beforeAutospacing="1" w:after="100" w:afterAutospacing="1"/>
              <w:contextualSpacing/>
              <w:jc w:val="center"/>
              <w:rPr>
                <w:bCs/>
                <w:kern w:val="0"/>
              </w:rPr>
            </w:pPr>
            <w:r>
              <w:rPr>
                <w:bCs/>
                <w:kern w:val="0"/>
              </w:rPr>
              <w:t>莱州伟隆阀门有限公司就莱州辰英特机械制造有限公司及范威辰无法清偿部分承担</w:t>
            </w:r>
            <w:r>
              <w:rPr>
                <w:bCs/>
                <w:kern w:val="0"/>
              </w:rPr>
              <w:t>50%</w:t>
            </w:r>
            <w:r>
              <w:rPr>
                <w:bCs/>
                <w:kern w:val="0"/>
              </w:rPr>
              <w:t>的赔偿责任</w:t>
            </w:r>
          </w:p>
        </w:tc>
      </w:tr>
      <w:tr w:rsidR="004B0883" w14:paraId="1DD4DE05" w14:textId="77777777">
        <w:tc>
          <w:tcPr>
            <w:tcW w:w="655" w:type="dxa"/>
            <w:vAlign w:val="center"/>
          </w:tcPr>
          <w:p w14:paraId="3BC71F93" w14:textId="77777777" w:rsidR="004B0883" w:rsidRDefault="004B0883">
            <w:pPr>
              <w:autoSpaceDE w:val="0"/>
              <w:autoSpaceDN w:val="0"/>
              <w:contextualSpacing/>
              <w:jc w:val="center"/>
              <w:rPr>
                <w:bCs/>
                <w:kern w:val="0"/>
              </w:rPr>
            </w:pPr>
            <w:r>
              <w:rPr>
                <w:bCs/>
                <w:kern w:val="0"/>
              </w:rPr>
              <w:t>2</w:t>
            </w:r>
          </w:p>
        </w:tc>
        <w:tc>
          <w:tcPr>
            <w:tcW w:w="1037" w:type="dxa"/>
            <w:vAlign w:val="center"/>
          </w:tcPr>
          <w:p w14:paraId="611315A1" w14:textId="77777777" w:rsidR="004B0883" w:rsidRDefault="004B0883">
            <w:pPr>
              <w:autoSpaceDE w:val="0"/>
              <w:autoSpaceDN w:val="0"/>
              <w:contextualSpacing/>
              <w:jc w:val="center"/>
              <w:rPr>
                <w:bCs/>
                <w:kern w:val="0"/>
              </w:rPr>
            </w:pPr>
            <w:r>
              <w:rPr>
                <w:rFonts w:hint="eastAsia"/>
                <w:bCs/>
                <w:kern w:val="0"/>
              </w:rPr>
              <w:t>2019</w:t>
            </w:r>
            <w:r>
              <w:rPr>
                <w:rFonts w:hint="eastAsia"/>
                <w:bCs/>
                <w:kern w:val="0"/>
              </w:rPr>
              <w:t>年</w:t>
            </w:r>
            <w:r>
              <w:rPr>
                <w:bCs/>
                <w:kern w:val="0"/>
              </w:rPr>
              <w:br/>
            </w:r>
            <w:r>
              <w:rPr>
                <w:rFonts w:hint="eastAsia"/>
                <w:bCs/>
                <w:kern w:val="0"/>
              </w:rPr>
              <w:t>5</w:t>
            </w:r>
            <w:r>
              <w:rPr>
                <w:rFonts w:hint="eastAsia"/>
                <w:bCs/>
                <w:kern w:val="0"/>
              </w:rPr>
              <w:t>月</w:t>
            </w:r>
          </w:p>
        </w:tc>
        <w:tc>
          <w:tcPr>
            <w:tcW w:w="1037" w:type="dxa"/>
            <w:vAlign w:val="center"/>
          </w:tcPr>
          <w:p w14:paraId="3431A96A" w14:textId="77777777" w:rsidR="004B0883" w:rsidRDefault="004B0883">
            <w:pPr>
              <w:autoSpaceDE w:val="0"/>
              <w:autoSpaceDN w:val="0"/>
              <w:contextualSpacing/>
              <w:jc w:val="center"/>
              <w:rPr>
                <w:bCs/>
                <w:kern w:val="0"/>
              </w:rPr>
            </w:pPr>
            <w:r>
              <w:rPr>
                <w:bCs/>
                <w:kern w:val="0"/>
              </w:rPr>
              <w:t>王鲁松</w:t>
            </w:r>
          </w:p>
        </w:tc>
        <w:tc>
          <w:tcPr>
            <w:tcW w:w="1227" w:type="dxa"/>
            <w:vAlign w:val="center"/>
          </w:tcPr>
          <w:p w14:paraId="703D1EDF" w14:textId="77777777" w:rsidR="004B0883" w:rsidRDefault="004B0883">
            <w:pPr>
              <w:autoSpaceDE w:val="0"/>
              <w:autoSpaceDN w:val="0"/>
              <w:contextualSpacing/>
              <w:jc w:val="center"/>
              <w:rPr>
                <w:bCs/>
                <w:kern w:val="0"/>
              </w:rPr>
            </w:pPr>
            <w:r>
              <w:rPr>
                <w:bCs/>
                <w:kern w:val="0"/>
              </w:rPr>
              <w:t>范庆丰</w:t>
            </w:r>
          </w:p>
        </w:tc>
        <w:tc>
          <w:tcPr>
            <w:tcW w:w="1461" w:type="dxa"/>
            <w:vAlign w:val="center"/>
          </w:tcPr>
          <w:p w14:paraId="73D64945" w14:textId="77777777" w:rsidR="004B0883" w:rsidRDefault="004B0883">
            <w:pPr>
              <w:autoSpaceDE w:val="0"/>
              <w:autoSpaceDN w:val="0"/>
              <w:spacing w:before="100" w:beforeAutospacing="1" w:after="100" w:afterAutospacing="1"/>
              <w:contextualSpacing/>
              <w:jc w:val="center"/>
              <w:rPr>
                <w:bCs/>
                <w:kern w:val="0"/>
              </w:rPr>
            </w:pPr>
            <w:r>
              <w:rPr>
                <w:bCs/>
                <w:kern w:val="0"/>
              </w:rPr>
              <w:t>莱州伟隆阀门有限公司</w:t>
            </w:r>
          </w:p>
        </w:tc>
        <w:tc>
          <w:tcPr>
            <w:tcW w:w="1270" w:type="dxa"/>
            <w:vAlign w:val="center"/>
          </w:tcPr>
          <w:p w14:paraId="7EC5CA6F" w14:textId="77777777" w:rsidR="004B0883" w:rsidRDefault="004B0883">
            <w:pPr>
              <w:autoSpaceDE w:val="0"/>
              <w:autoSpaceDN w:val="0"/>
              <w:contextualSpacing/>
              <w:jc w:val="center"/>
              <w:rPr>
                <w:bCs/>
                <w:kern w:val="0"/>
              </w:rPr>
            </w:pPr>
            <w:r>
              <w:rPr>
                <w:bCs/>
                <w:kern w:val="0"/>
              </w:rPr>
              <w:t>70</w:t>
            </w:r>
            <w:r>
              <w:rPr>
                <w:bCs/>
                <w:kern w:val="0"/>
              </w:rPr>
              <w:t>万元及利息</w:t>
            </w:r>
          </w:p>
        </w:tc>
        <w:tc>
          <w:tcPr>
            <w:tcW w:w="1835" w:type="dxa"/>
            <w:vAlign w:val="center"/>
          </w:tcPr>
          <w:p w14:paraId="04F3F399" w14:textId="77777777" w:rsidR="004B0883" w:rsidRDefault="004B0883">
            <w:pPr>
              <w:autoSpaceDE w:val="0"/>
              <w:autoSpaceDN w:val="0"/>
              <w:contextualSpacing/>
              <w:jc w:val="center"/>
              <w:rPr>
                <w:bCs/>
                <w:kern w:val="0"/>
              </w:rPr>
            </w:pPr>
            <w:r>
              <w:rPr>
                <w:bCs/>
                <w:kern w:val="0"/>
              </w:rPr>
              <w:t>庭外和解，范庆丰向王鲁松支付</w:t>
            </w:r>
            <w:r>
              <w:rPr>
                <w:bCs/>
                <w:kern w:val="0"/>
              </w:rPr>
              <w:t>70</w:t>
            </w:r>
            <w:r>
              <w:rPr>
                <w:bCs/>
                <w:kern w:val="0"/>
              </w:rPr>
              <w:t>万元</w:t>
            </w:r>
          </w:p>
        </w:tc>
      </w:tr>
      <w:tr w:rsidR="004B0883" w14:paraId="15A06528" w14:textId="77777777">
        <w:tc>
          <w:tcPr>
            <w:tcW w:w="655" w:type="dxa"/>
            <w:vAlign w:val="center"/>
          </w:tcPr>
          <w:p w14:paraId="0A562A74" w14:textId="77777777" w:rsidR="004B0883" w:rsidRDefault="004B0883">
            <w:pPr>
              <w:autoSpaceDE w:val="0"/>
              <w:autoSpaceDN w:val="0"/>
              <w:contextualSpacing/>
              <w:jc w:val="center"/>
              <w:rPr>
                <w:bCs/>
                <w:kern w:val="0"/>
              </w:rPr>
            </w:pPr>
            <w:r>
              <w:rPr>
                <w:bCs/>
                <w:kern w:val="0"/>
              </w:rPr>
              <w:t>3</w:t>
            </w:r>
          </w:p>
        </w:tc>
        <w:tc>
          <w:tcPr>
            <w:tcW w:w="1037" w:type="dxa"/>
            <w:vAlign w:val="center"/>
          </w:tcPr>
          <w:p w14:paraId="26A7664E" w14:textId="77777777" w:rsidR="004B0883" w:rsidRDefault="004B0883">
            <w:pPr>
              <w:autoSpaceDE w:val="0"/>
              <w:autoSpaceDN w:val="0"/>
              <w:contextualSpacing/>
              <w:jc w:val="center"/>
              <w:rPr>
                <w:bCs/>
                <w:kern w:val="0"/>
              </w:rPr>
            </w:pPr>
            <w:r>
              <w:rPr>
                <w:rFonts w:hint="eastAsia"/>
                <w:bCs/>
                <w:kern w:val="0"/>
              </w:rPr>
              <w:t>2019</w:t>
            </w:r>
            <w:r>
              <w:rPr>
                <w:rFonts w:hint="eastAsia"/>
                <w:bCs/>
                <w:kern w:val="0"/>
              </w:rPr>
              <w:t>年</w:t>
            </w:r>
            <w:r>
              <w:rPr>
                <w:bCs/>
                <w:kern w:val="0"/>
              </w:rPr>
              <w:br/>
            </w:r>
            <w:r>
              <w:rPr>
                <w:rFonts w:hint="eastAsia"/>
                <w:bCs/>
                <w:kern w:val="0"/>
              </w:rPr>
              <w:t>6</w:t>
            </w:r>
            <w:r>
              <w:rPr>
                <w:rFonts w:hint="eastAsia"/>
                <w:bCs/>
                <w:kern w:val="0"/>
              </w:rPr>
              <w:t>月</w:t>
            </w:r>
          </w:p>
        </w:tc>
        <w:tc>
          <w:tcPr>
            <w:tcW w:w="1037" w:type="dxa"/>
            <w:vAlign w:val="center"/>
          </w:tcPr>
          <w:p w14:paraId="7F0C80B8" w14:textId="77777777" w:rsidR="004B0883" w:rsidRDefault="004B0883">
            <w:pPr>
              <w:autoSpaceDE w:val="0"/>
              <w:autoSpaceDN w:val="0"/>
              <w:contextualSpacing/>
              <w:jc w:val="center"/>
              <w:rPr>
                <w:bCs/>
                <w:kern w:val="0"/>
              </w:rPr>
            </w:pPr>
            <w:r>
              <w:rPr>
                <w:bCs/>
                <w:kern w:val="0"/>
              </w:rPr>
              <w:t>于大鹏</w:t>
            </w:r>
          </w:p>
        </w:tc>
        <w:tc>
          <w:tcPr>
            <w:tcW w:w="1227" w:type="dxa"/>
            <w:vAlign w:val="center"/>
          </w:tcPr>
          <w:p w14:paraId="1DB31080" w14:textId="77777777" w:rsidR="004B0883" w:rsidRDefault="004B0883">
            <w:pPr>
              <w:autoSpaceDE w:val="0"/>
              <w:autoSpaceDN w:val="0"/>
              <w:contextualSpacing/>
              <w:jc w:val="center"/>
              <w:rPr>
                <w:bCs/>
                <w:kern w:val="0"/>
              </w:rPr>
            </w:pPr>
            <w:r>
              <w:rPr>
                <w:bCs/>
                <w:kern w:val="0"/>
              </w:rPr>
              <w:t>范庆丰</w:t>
            </w:r>
          </w:p>
        </w:tc>
        <w:tc>
          <w:tcPr>
            <w:tcW w:w="1461" w:type="dxa"/>
            <w:vAlign w:val="center"/>
          </w:tcPr>
          <w:p w14:paraId="798CC980" w14:textId="77777777" w:rsidR="004B0883" w:rsidRDefault="004B0883">
            <w:pPr>
              <w:autoSpaceDE w:val="0"/>
              <w:autoSpaceDN w:val="0"/>
              <w:spacing w:before="100" w:beforeAutospacing="1" w:after="100" w:afterAutospacing="1"/>
              <w:contextualSpacing/>
              <w:jc w:val="center"/>
              <w:rPr>
                <w:bCs/>
                <w:kern w:val="0"/>
              </w:rPr>
            </w:pPr>
            <w:r>
              <w:rPr>
                <w:bCs/>
                <w:kern w:val="0"/>
              </w:rPr>
              <w:t>于启江、莱州伟隆阀门有限公司</w:t>
            </w:r>
          </w:p>
        </w:tc>
        <w:tc>
          <w:tcPr>
            <w:tcW w:w="1270" w:type="dxa"/>
            <w:vAlign w:val="center"/>
          </w:tcPr>
          <w:p w14:paraId="291B2CE3" w14:textId="77777777" w:rsidR="004B0883" w:rsidRDefault="004B0883">
            <w:pPr>
              <w:autoSpaceDE w:val="0"/>
              <w:autoSpaceDN w:val="0"/>
              <w:contextualSpacing/>
              <w:jc w:val="center"/>
              <w:rPr>
                <w:bCs/>
                <w:kern w:val="0"/>
              </w:rPr>
            </w:pPr>
            <w:r>
              <w:rPr>
                <w:bCs/>
                <w:kern w:val="0"/>
              </w:rPr>
              <w:t>35</w:t>
            </w:r>
            <w:r>
              <w:rPr>
                <w:bCs/>
                <w:kern w:val="0"/>
              </w:rPr>
              <w:t>万元及利息</w:t>
            </w:r>
          </w:p>
        </w:tc>
        <w:tc>
          <w:tcPr>
            <w:tcW w:w="1835" w:type="dxa"/>
            <w:vAlign w:val="center"/>
          </w:tcPr>
          <w:p w14:paraId="1295BDD6" w14:textId="77777777" w:rsidR="004B0883" w:rsidRDefault="004B0883">
            <w:pPr>
              <w:autoSpaceDE w:val="0"/>
              <w:autoSpaceDN w:val="0"/>
              <w:contextualSpacing/>
              <w:jc w:val="center"/>
              <w:rPr>
                <w:bCs/>
                <w:kern w:val="0"/>
              </w:rPr>
            </w:pPr>
            <w:r>
              <w:rPr>
                <w:bCs/>
                <w:kern w:val="0"/>
              </w:rPr>
              <w:t>庭外和解</w:t>
            </w:r>
          </w:p>
        </w:tc>
      </w:tr>
      <w:tr w:rsidR="004B0883" w14:paraId="6934D8BE" w14:textId="77777777">
        <w:tc>
          <w:tcPr>
            <w:tcW w:w="655" w:type="dxa"/>
            <w:vAlign w:val="center"/>
          </w:tcPr>
          <w:p w14:paraId="45555BAA" w14:textId="77777777" w:rsidR="004B0883" w:rsidRDefault="004B0883">
            <w:pPr>
              <w:autoSpaceDE w:val="0"/>
              <w:autoSpaceDN w:val="0"/>
              <w:contextualSpacing/>
              <w:jc w:val="center"/>
              <w:rPr>
                <w:bCs/>
                <w:kern w:val="0"/>
              </w:rPr>
            </w:pPr>
            <w:r>
              <w:rPr>
                <w:bCs/>
                <w:kern w:val="0"/>
              </w:rPr>
              <w:t>4</w:t>
            </w:r>
          </w:p>
        </w:tc>
        <w:tc>
          <w:tcPr>
            <w:tcW w:w="1037" w:type="dxa"/>
            <w:vAlign w:val="center"/>
          </w:tcPr>
          <w:p w14:paraId="76AA6212" w14:textId="77777777" w:rsidR="004B0883" w:rsidRDefault="004B0883">
            <w:pPr>
              <w:autoSpaceDE w:val="0"/>
              <w:autoSpaceDN w:val="0"/>
              <w:contextualSpacing/>
              <w:jc w:val="center"/>
              <w:rPr>
                <w:bCs/>
                <w:kern w:val="0"/>
              </w:rPr>
            </w:pPr>
            <w:r>
              <w:rPr>
                <w:rFonts w:hint="eastAsia"/>
                <w:bCs/>
                <w:kern w:val="0"/>
              </w:rPr>
              <w:t>2018</w:t>
            </w:r>
            <w:r>
              <w:rPr>
                <w:rFonts w:hint="eastAsia"/>
                <w:bCs/>
                <w:kern w:val="0"/>
              </w:rPr>
              <w:t>年</w:t>
            </w:r>
            <w:r>
              <w:rPr>
                <w:bCs/>
                <w:kern w:val="0"/>
              </w:rPr>
              <w:br/>
            </w:r>
            <w:r>
              <w:rPr>
                <w:rFonts w:hint="eastAsia"/>
                <w:bCs/>
                <w:kern w:val="0"/>
              </w:rPr>
              <w:t>12</w:t>
            </w:r>
            <w:r>
              <w:rPr>
                <w:rFonts w:hint="eastAsia"/>
                <w:bCs/>
                <w:kern w:val="0"/>
              </w:rPr>
              <w:t>月</w:t>
            </w:r>
          </w:p>
        </w:tc>
        <w:tc>
          <w:tcPr>
            <w:tcW w:w="1037" w:type="dxa"/>
            <w:vAlign w:val="center"/>
          </w:tcPr>
          <w:p w14:paraId="01813A2A" w14:textId="77777777" w:rsidR="004B0883" w:rsidRDefault="004B0883">
            <w:pPr>
              <w:autoSpaceDE w:val="0"/>
              <w:autoSpaceDN w:val="0"/>
              <w:contextualSpacing/>
              <w:jc w:val="center"/>
              <w:rPr>
                <w:bCs/>
                <w:kern w:val="0"/>
              </w:rPr>
            </w:pPr>
            <w:r>
              <w:rPr>
                <w:bCs/>
                <w:kern w:val="0"/>
              </w:rPr>
              <w:t>李伟</w:t>
            </w:r>
          </w:p>
        </w:tc>
        <w:tc>
          <w:tcPr>
            <w:tcW w:w="1227" w:type="dxa"/>
            <w:vAlign w:val="center"/>
          </w:tcPr>
          <w:p w14:paraId="55A106D8" w14:textId="77777777" w:rsidR="004B0883" w:rsidRDefault="004B0883">
            <w:pPr>
              <w:autoSpaceDE w:val="0"/>
              <w:autoSpaceDN w:val="0"/>
              <w:contextualSpacing/>
              <w:jc w:val="center"/>
              <w:rPr>
                <w:bCs/>
                <w:kern w:val="0"/>
              </w:rPr>
            </w:pPr>
            <w:r>
              <w:rPr>
                <w:bCs/>
                <w:kern w:val="0"/>
              </w:rPr>
              <w:t>范庆丰</w:t>
            </w:r>
          </w:p>
        </w:tc>
        <w:tc>
          <w:tcPr>
            <w:tcW w:w="1461" w:type="dxa"/>
            <w:vAlign w:val="center"/>
          </w:tcPr>
          <w:p w14:paraId="1D905F0B" w14:textId="77777777" w:rsidR="004B0883" w:rsidRDefault="004B0883">
            <w:pPr>
              <w:autoSpaceDE w:val="0"/>
              <w:autoSpaceDN w:val="0"/>
              <w:spacing w:before="100" w:beforeAutospacing="1" w:after="100" w:afterAutospacing="1"/>
              <w:contextualSpacing/>
              <w:jc w:val="center"/>
              <w:rPr>
                <w:bCs/>
                <w:kern w:val="0"/>
              </w:rPr>
            </w:pPr>
            <w:r>
              <w:rPr>
                <w:bCs/>
                <w:kern w:val="0"/>
              </w:rPr>
              <w:t>尹德坤、朱艳红、邵伟、莱州伟隆</w:t>
            </w:r>
          </w:p>
        </w:tc>
        <w:tc>
          <w:tcPr>
            <w:tcW w:w="1270" w:type="dxa"/>
            <w:vAlign w:val="center"/>
          </w:tcPr>
          <w:p w14:paraId="469AEE61" w14:textId="77777777" w:rsidR="004B0883" w:rsidRDefault="004B0883">
            <w:pPr>
              <w:autoSpaceDE w:val="0"/>
              <w:autoSpaceDN w:val="0"/>
              <w:contextualSpacing/>
              <w:jc w:val="center"/>
              <w:rPr>
                <w:bCs/>
                <w:kern w:val="0"/>
              </w:rPr>
            </w:pPr>
            <w:r>
              <w:rPr>
                <w:bCs/>
                <w:kern w:val="0"/>
              </w:rPr>
              <w:t>90.8</w:t>
            </w:r>
            <w:r>
              <w:rPr>
                <w:bCs/>
                <w:kern w:val="0"/>
              </w:rPr>
              <w:t>万元及利息</w:t>
            </w:r>
          </w:p>
        </w:tc>
        <w:tc>
          <w:tcPr>
            <w:tcW w:w="1835" w:type="dxa"/>
            <w:vAlign w:val="center"/>
          </w:tcPr>
          <w:p w14:paraId="40B7E0B8" w14:textId="77777777" w:rsidR="004B0883" w:rsidRDefault="004B0883">
            <w:pPr>
              <w:autoSpaceDE w:val="0"/>
              <w:autoSpaceDN w:val="0"/>
              <w:contextualSpacing/>
              <w:jc w:val="center"/>
              <w:rPr>
                <w:bCs/>
                <w:kern w:val="0"/>
              </w:rPr>
            </w:pPr>
            <w:r>
              <w:rPr>
                <w:bCs/>
                <w:kern w:val="0"/>
              </w:rPr>
              <w:t>尚在审理中</w:t>
            </w:r>
          </w:p>
        </w:tc>
      </w:tr>
      <w:tr w:rsidR="004B0883" w14:paraId="5136ABEF" w14:textId="77777777">
        <w:tc>
          <w:tcPr>
            <w:tcW w:w="655" w:type="dxa"/>
            <w:vAlign w:val="center"/>
          </w:tcPr>
          <w:p w14:paraId="2B6BF26D" w14:textId="77777777" w:rsidR="004B0883" w:rsidRDefault="004B0883">
            <w:pPr>
              <w:autoSpaceDE w:val="0"/>
              <w:autoSpaceDN w:val="0"/>
              <w:contextualSpacing/>
              <w:jc w:val="center"/>
              <w:rPr>
                <w:bCs/>
                <w:kern w:val="0"/>
              </w:rPr>
            </w:pPr>
            <w:r>
              <w:rPr>
                <w:rFonts w:hint="eastAsia"/>
                <w:bCs/>
                <w:kern w:val="0"/>
              </w:rPr>
              <w:t>5</w:t>
            </w:r>
          </w:p>
        </w:tc>
        <w:tc>
          <w:tcPr>
            <w:tcW w:w="1037" w:type="dxa"/>
            <w:vAlign w:val="center"/>
          </w:tcPr>
          <w:p w14:paraId="67400DAC" w14:textId="77777777" w:rsidR="004B0883" w:rsidRDefault="004B0883">
            <w:pPr>
              <w:autoSpaceDE w:val="0"/>
              <w:autoSpaceDN w:val="0"/>
              <w:contextualSpacing/>
              <w:jc w:val="center"/>
              <w:rPr>
                <w:bCs/>
                <w:kern w:val="0"/>
              </w:rPr>
            </w:pPr>
            <w:r>
              <w:rPr>
                <w:rFonts w:hint="eastAsia"/>
                <w:bCs/>
                <w:kern w:val="0"/>
              </w:rPr>
              <w:t>2019</w:t>
            </w:r>
            <w:r>
              <w:rPr>
                <w:rFonts w:hint="eastAsia"/>
                <w:bCs/>
                <w:kern w:val="0"/>
              </w:rPr>
              <w:t>年</w:t>
            </w:r>
            <w:r>
              <w:rPr>
                <w:rFonts w:hint="eastAsia"/>
                <w:bCs/>
                <w:kern w:val="0"/>
              </w:rPr>
              <w:t>4</w:t>
            </w:r>
            <w:r>
              <w:rPr>
                <w:rFonts w:hint="eastAsia"/>
                <w:bCs/>
                <w:kern w:val="0"/>
              </w:rPr>
              <w:t>月</w:t>
            </w:r>
          </w:p>
        </w:tc>
        <w:tc>
          <w:tcPr>
            <w:tcW w:w="1037" w:type="dxa"/>
            <w:vAlign w:val="center"/>
          </w:tcPr>
          <w:p w14:paraId="1F5963AA" w14:textId="77777777" w:rsidR="004B0883" w:rsidRDefault="004B0883">
            <w:pPr>
              <w:autoSpaceDE w:val="0"/>
              <w:autoSpaceDN w:val="0"/>
              <w:contextualSpacing/>
              <w:jc w:val="center"/>
              <w:rPr>
                <w:bCs/>
                <w:kern w:val="0"/>
              </w:rPr>
            </w:pPr>
            <w:r>
              <w:rPr>
                <w:rFonts w:hint="eastAsia"/>
                <w:bCs/>
                <w:kern w:val="0"/>
              </w:rPr>
              <w:t>孙建军</w:t>
            </w:r>
          </w:p>
        </w:tc>
        <w:tc>
          <w:tcPr>
            <w:tcW w:w="1227" w:type="dxa"/>
            <w:vAlign w:val="center"/>
          </w:tcPr>
          <w:p w14:paraId="435144FA" w14:textId="77777777" w:rsidR="004B0883" w:rsidRDefault="004B0883">
            <w:pPr>
              <w:autoSpaceDE w:val="0"/>
              <w:autoSpaceDN w:val="0"/>
              <w:contextualSpacing/>
              <w:jc w:val="center"/>
              <w:rPr>
                <w:rFonts w:hint="eastAsia"/>
                <w:bCs/>
                <w:kern w:val="0"/>
              </w:rPr>
            </w:pPr>
            <w:r>
              <w:rPr>
                <w:rFonts w:hint="eastAsia"/>
                <w:bCs/>
                <w:kern w:val="0"/>
              </w:rPr>
              <w:t>范庆丰</w:t>
            </w:r>
          </w:p>
        </w:tc>
        <w:tc>
          <w:tcPr>
            <w:tcW w:w="1461" w:type="dxa"/>
            <w:vAlign w:val="center"/>
          </w:tcPr>
          <w:p w14:paraId="1FD00AF5" w14:textId="77777777" w:rsidR="004B0883" w:rsidRDefault="004B0883">
            <w:pPr>
              <w:autoSpaceDE w:val="0"/>
              <w:autoSpaceDN w:val="0"/>
              <w:spacing w:before="100" w:beforeAutospacing="1" w:after="100" w:afterAutospacing="1"/>
              <w:contextualSpacing/>
              <w:jc w:val="center"/>
              <w:rPr>
                <w:bCs/>
                <w:kern w:val="0"/>
              </w:rPr>
            </w:pPr>
            <w:r>
              <w:rPr>
                <w:rFonts w:hint="eastAsia"/>
                <w:bCs/>
                <w:kern w:val="0"/>
              </w:rPr>
              <w:t>李存涛、莱州伟隆阀门有限公司</w:t>
            </w:r>
          </w:p>
        </w:tc>
        <w:tc>
          <w:tcPr>
            <w:tcW w:w="1270" w:type="dxa"/>
            <w:vAlign w:val="center"/>
          </w:tcPr>
          <w:p w14:paraId="0B410E35" w14:textId="77777777" w:rsidR="004B0883" w:rsidRDefault="004B0883">
            <w:pPr>
              <w:autoSpaceDE w:val="0"/>
              <w:autoSpaceDN w:val="0"/>
              <w:contextualSpacing/>
              <w:jc w:val="center"/>
              <w:rPr>
                <w:bCs/>
                <w:kern w:val="0"/>
              </w:rPr>
            </w:pPr>
            <w:r>
              <w:rPr>
                <w:rFonts w:hint="eastAsia"/>
                <w:bCs/>
                <w:kern w:val="0"/>
              </w:rPr>
              <w:t>30</w:t>
            </w:r>
            <w:r>
              <w:rPr>
                <w:rFonts w:hint="eastAsia"/>
                <w:bCs/>
                <w:kern w:val="0"/>
              </w:rPr>
              <w:t>万元及利息</w:t>
            </w:r>
          </w:p>
        </w:tc>
        <w:tc>
          <w:tcPr>
            <w:tcW w:w="1835" w:type="dxa"/>
            <w:vAlign w:val="center"/>
          </w:tcPr>
          <w:p w14:paraId="59CAB961" w14:textId="77777777" w:rsidR="004B0883" w:rsidRDefault="004B0883">
            <w:pPr>
              <w:autoSpaceDE w:val="0"/>
              <w:autoSpaceDN w:val="0"/>
              <w:contextualSpacing/>
              <w:jc w:val="center"/>
              <w:rPr>
                <w:bCs/>
                <w:kern w:val="0"/>
              </w:rPr>
            </w:pPr>
            <w:r>
              <w:rPr>
                <w:bCs/>
                <w:kern w:val="0"/>
              </w:rPr>
              <w:t>尚在审理中</w:t>
            </w:r>
          </w:p>
        </w:tc>
      </w:tr>
    </w:tbl>
    <w:p w14:paraId="396EC6AB" w14:textId="77777777" w:rsidR="004B0883" w:rsidRDefault="004B0883">
      <w:pPr>
        <w:autoSpaceDE w:val="0"/>
        <w:autoSpaceDN w:val="0"/>
        <w:spacing w:beforeLines="50" w:before="120" w:afterLines="50" w:after="120" w:line="360" w:lineRule="auto"/>
        <w:ind w:firstLineChars="200" w:firstLine="480"/>
        <w:jc w:val="both"/>
        <w:rPr>
          <w:rFonts w:ascii="宋体" w:hAnsi="宋体" w:cs="宋体" w:hint="eastAsia"/>
          <w:bCs/>
          <w:kern w:val="0"/>
          <w:sz w:val="24"/>
          <w:szCs w:val="24"/>
        </w:rPr>
      </w:pPr>
      <w:r>
        <w:rPr>
          <w:rFonts w:ascii="宋体" w:hAnsi="宋体" w:cs="宋体" w:hint="eastAsia"/>
          <w:bCs/>
          <w:kern w:val="0"/>
          <w:sz w:val="24"/>
          <w:szCs w:val="24"/>
        </w:rPr>
        <w:t>上述担保合同项下的相关借款均由范庆丰个人使用，发行人及其子公司未实际占有及使用。上述出借人与发行人控股股东、实际控制人及董监高不存在关联关系。除李伟、孙建军与范庆丰的案件正在审理中外，其他案件范庆丰或莱州伟隆已偿还相关债权人，对于莱州伟隆偿还的部分，范庆丰通过向发行人实际控制人范庆伟借款的方式赔偿莱州伟隆的损失，发行人及其子公司未实际遭受损失。</w:t>
      </w:r>
    </w:p>
    <w:p w14:paraId="69C8559A" w14:textId="77777777" w:rsidR="004B0883" w:rsidRDefault="004B0883">
      <w:pPr>
        <w:autoSpaceDE w:val="0"/>
        <w:autoSpaceDN w:val="0"/>
        <w:spacing w:beforeLines="50" w:before="120" w:afterLines="50" w:after="120" w:line="360" w:lineRule="auto"/>
        <w:ind w:firstLineChars="200" w:firstLine="480"/>
        <w:jc w:val="both"/>
        <w:rPr>
          <w:rFonts w:ascii="宋体" w:hAnsi="宋体" w:cs="宋体"/>
          <w:bCs/>
          <w:kern w:val="0"/>
          <w:sz w:val="24"/>
          <w:szCs w:val="24"/>
        </w:rPr>
      </w:pPr>
      <w:r>
        <w:rPr>
          <w:rFonts w:ascii="宋体" w:hAnsi="宋体" w:cs="宋体" w:hint="eastAsia"/>
          <w:bCs/>
          <w:kern w:val="0"/>
          <w:sz w:val="24"/>
          <w:szCs w:val="24"/>
        </w:rPr>
        <w:t>范庆伟向范庆丰出借的资金均来自其个人自有资金，不存在占用发行人及其子公司资金的情形。</w:t>
      </w:r>
    </w:p>
    <w:p w14:paraId="4588D9B9" w14:textId="77777777" w:rsidR="004B0883" w:rsidRDefault="004B0883">
      <w:pPr>
        <w:pStyle w:val="005"/>
        <w:spacing w:before="120"/>
        <w:ind w:firstLine="480"/>
      </w:pPr>
      <w:r>
        <w:rPr>
          <w:rFonts w:cs="宋体" w:hint="eastAsia"/>
          <w:bCs/>
          <w:kern w:val="0"/>
          <w:szCs w:val="24"/>
        </w:rPr>
        <w:t>截至本募集说明书签署日，除尚在审理中的案件外，范庆丰已通过向发行人实际控制人范庆伟借款的方式向相关债权人履行了法院判决或调解书规定的支付义务，发行人及其子公司莱州伟隆未因范庆丰私用公章对外借款及担保事项遭受实际损失。同时，发行人实际控制人范庆伟承诺</w:t>
      </w:r>
      <w:r w:rsidR="002E4DDA">
        <w:rPr>
          <w:rFonts w:cs="宋体" w:hint="eastAsia"/>
          <w:bCs/>
          <w:kern w:val="0"/>
          <w:szCs w:val="24"/>
        </w:rPr>
        <w:t>：</w:t>
      </w:r>
      <w:r>
        <w:rPr>
          <w:rFonts w:ascii="楷体" w:eastAsia="楷体" w:hAnsi="楷体" w:cs="楷体" w:hint="eastAsia"/>
          <w:b/>
          <w:bCs/>
        </w:rPr>
        <w:t>“本人同意借款给范庆丰并通过本人范庆伟银行账户向莱州伟隆支付相关款项，以赔偿范庆丰私用莱州伟隆公章进行对外担保及借款给伟隆股份、莱州伟隆造成的一切损失。”</w:t>
      </w:r>
    </w:p>
    <w:p w14:paraId="2E1573D0" w14:textId="77777777" w:rsidR="004B0883" w:rsidRDefault="004B0883">
      <w:pPr>
        <w:autoSpaceDE w:val="0"/>
        <w:autoSpaceDN w:val="0"/>
        <w:spacing w:beforeLines="50" w:before="120" w:afterLines="50" w:after="120" w:line="360" w:lineRule="auto"/>
        <w:ind w:firstLineChars="200" w:firstLine="480"/>
        <w:jc w:val="both"/>
        <w:rPr>
          <w:rFonts w:cs="宋体" w:hint="eastAsia"/>
          <w:bCs/>
          <w:kern w:val="0"/>
          <w:sz w:val="24"/>
          <w:szCs w:val="24"/>
        </w:rPr>
      </w:pPr>
      <w:r>
        <w:rPr>
          <w:rFonts w:cs="宋体" w:hint="eastAsia"/>
          <w:bCs/>
          <w:kern w:val="0"/>
          <w:sz w:val="24"/>
          <w:szCs w:val="24"/>
        </w:rPr>
        <w:t>公司根据中国证券监督管理委员会青岛监管局下发的《关于对青岛伟隆阀门股份有限公司采取责令改正措施的决定》（</w:t>
      </w:r>
      <w:r>
        <w:rPr>
          <w:rFonts w:cs="宋体" w:hint="eastAsia"/>
          <w:bCs/>
          <w:kern w:val="0"/>
          <w:sz w:val="24"/>
          <w:szCs w:val="24"/>
        </w:rPr>
        <w:t>[2021]17</w:t>
      </w:r>
      <w:r>
        <w:rPr>
          <w:rFonts w:cs="宋体" w:hint="eastAsia"/>
          <w:bCs/>
          <w:kern w:val="0"/>
          <w:sz w:val="24"/>
          <w:szCs w:val="24"/>
        </w:rPr>
        <w:t>号）和深圳证券交易所下发的《关于对青岛伟隆阀门股份有限公司的监管函》（公司部监管函</w:t>
      </w:r>
      <w:r>
        <w:rPr>
          <w:rFonts w:cs="宋体" w:hint="eastAsia"/>
          <w:bCs/>
          <w:kern w:val="0"/>
          <w:sz w:val="24"/>
          <w:szCs w:val="24"/>
        </w:rPr>
        <w:t>[2021]</w:t>
      </w:r>
      <w:r>
        <w:rPr>
          <w:rFonts w:cs="宋体" w:hint="eastAsia"/>
          <w:bCs/>
          <w:kern w:val="0"/>
          <w:sz w:val="24"/>
          <w:szCs w:val="24"/>
        </w:rPr>
        <w:t>第</w:t>
      </w:r>
      <w:r>
        <w:rPr>
          <w:rFonts w:cs="宋体" w:hint="eastAsia"/>
          <w:bCs/>
          <w:kern w:val="0"/>
          <w:sz w:val="24"/>
          <w:szCs w:val="24"/>
        </w:rPr>
        <w:t>160</w:t>
      </w:r>
      <w:r>
        <w:rPr>
          <w:rFonts w:cs="宋体" w:hint="eastAsia"/>
          <w:bCs/>
          <w:kern w:val="0"/>
          <w:sz w:val="24"/>
          <w:szCs w:val="24"/>
        </w:rPr>
        <w:t>号）有关精神和要求，进行了认真整改，具体情况如下：</w:t>
      </w:r>
    </w:p>
    <w:p w14:paraId="0808B1BB" w14:textId="77777777" w:rsidR="004B0883" w:rsidRDefault="004B0883">
      <w:pPr>
        <w:autoSpaceDE w:val="0"/>
        <w:autoSpaceDN w:val="0"/>
        <w:spacing w:beforeLines="50" w:before="120" w:afterLines="50" w:after="120" w:line="360" w:lineRule="auto"/>
        <w:ind w:firstLineChars="200" w:firstLine="480"/>
        <w:jc w:val="both"/>
        <w:rPr>
          <w:rFonts w:cs="宋体" w:hint="eastAsia"/>
          <w:bCs/>
          <w:kern w:val="0"/>
          <w:sz w:val="24"/>
          <w:szCs w:val="24"/>
        </w:rPr>
      </w:pPr>
      <w:r>
        <w:rPr>
          <w:rFonts w:cs="宋体" w:hint="eastAsia"/>
          <w:bCs/>
          <w:kern w:val="0"/>
          <w:sz w:val="24"/>
          <w:szCs w:val="24"/>
        </w:rPr>
        <w:t>1</w:t>
      </w:r>
      <w:r>
        <w:rPr>
          <w:rFonts w:cs="宋体" w:hint="eastAsia"/>
          <w:bCs/>
          <w:kern w:val="0"/>
          <w:sz w:val="24"/>
          <w:szCs w:val="24"/>
        </w:rPr>
        <w:t>、为强化公司董事、监事、高级管理人员以及有关人员的合规意识。公司董事会办公室于</w:t>
      </w:r>
      <w:r>
        <w:rPr>
          <w:rFonts w:cs="宋体" w:hint="eastAsia"/>
          <w:bCs/>
          <w:kern w:val="0"/>
          <w:sz w:val="24"/>
          <w:szCs w:val="24"/>
        </w:rPr>
        <w:t>2021</w:t>
      </w:r>
      <w:r>
        <w:rPr>
          <w:rFonts w:cs="宋体" w:hint="eastAsia"/>
          <w:bCs/>
          <w:kern w:val="0"/>
          <w:sz w:val="24"/>
          <w:szCs w:val="24"/>
        </w:rPr>
        <w:t>年</w:t>
      </w:r>
      <w:r>
        <w:rPr>
          <w:rFonts w:cs="宋体" w:hint="eastAsia"/>
          <w:bCs/>
          <w:kern w:val="0"/>
          <w:sz w:val="24"/>
          <w:szCs w:val="24"/>
        </w:rPr>
        <w:t>10</w:t>
      </w:r>
      <w:r>
        <w:rPr>
          <w:rFonts w:cs="宋体" w:hint="eastAsia"/>
          <w:bCs/>
          <w:kern w:val="0"/>
          <w:sz w:val="24"/>
          <w:szCs w:val="24"/>
        </w:rPr>
        <w:t>月</w:t>
      </w:r>
      <w:r>
        <w:rPr>
          <w:rFonts w:cs="宋体" w:hint="eastAsia"/>
          <w:bCs/>
          <w:kern w:val="0"/>
          <w:sz w:val="24"/>
          <w:szCs w:val="24"/>
        </w:rPr>
        <w:t>14</w:t>
      </w:r>
      <w:r>
        <w:rPr>
          <w:rFonts w:cs="宋体" w:hint="eastAsia"/>
          <w:bCs/>
          <w:kern w:val="0"/>
          <w:sz w:val="24"/>
          <w:szCs w:val="24"/>
        </w:rPr>
        <w:t>日组织公司董事、监事、高级管理人员进行了相关法律法规及公司内部制度的培训，前期已对现场监督检查发现的问题进行整改落实；并通过邮件、微信等形式发送有关规则要求自学，后续将不定期开展专题培训活动，进一步提高公司董事、监事、高级管理人员对相关法律法规的理解，强化董监高及相关人员的规范运作意识，规范董监高及相关人员的行为，切实提高公司治理及内控管理能力。公司也将持续安排董事、监事、高级管理人员以及有关人员积极参加证监会、交易所、上市公司协会等监管部门举办的相关培训及学习。</w:t>
      </w:r>
    </w:p>
    <w:p w14:paraId="50970B21" w14:textId="77777777" w:rsidR="004B0883" w:rsidRDefault="004B0883">
      <w:pPr>
        <w:autoSpaceDE w:val="0"/>
        <w:autoSpaceDN w:val="0"/>
        <w:spacing w:beforeLines="50" w:before="120" w:afterLines="50" w:after="120" w:line="360" w:lineRule="auto"/>
        <w:ind w:firstLineChars="200" w:firstLine="480"/>
        <w:jc w:val="both"/>
        <w:rPr>
          <w:rFonts w:cs="宋体" w:hint="eastAsia"/>
          <w:bCs/>
          <w:kern w:val="0"/>
          <w:sz w:val="24"/>
          <w:szCs w:val="24"/>
        </w:rPr>
      </w:pPr>
      <w:r>
        <w:rPr>
          <w:rFonts w:cs="宋体" w:hint="eastAsia"/>
          <w:bCs/>
          <w:kern w:val="0"/>
          <w:sz w:val="24"/>
          <w:szCs w:val="24"/>
        </w:rPr>
        <w:t>2</w:t>
      </w:r>
      <w:r>
        <w:rPr>
          <w:rFonts w:cs="宋体" w:hint="eastAsia"/>
          <w:bCs/>
          <w:kern w:val="0"/>
          <w:sz w:val="24"/>
          <w:szCs w:val="24"/>
        </w:rPr>
        <w:t>、加强公司及子公司规范化管理，提高经营管理水平。公司从实际出发，合理设置工作岗位；组织更新完善《子公司管理制度》《印鉴管理制度》《内部控制管理制度》《信息披露管理制度》等</w:t>
      </w:r>
      <w:r>
        <w:rPr>
          <w:rFonts w:cs="宋体" w:hint="eastAsia"/>
          <w:bCs/>
          <w:kern w:val="0"/>
          <w:sz w:val="24"/>
          <w:szCs w:val="24"/>
        </w:rPr>
        <w:t>23</w:t>
      </w:r>
      <w:r>
        <w:rPr>
          <w:rFonts w:cs="宋体" w:hint="eastAsia"/>
          <w:bCs/>
          <w:kern w:val="0"/>
          <w:sz w:val="24"/>
          <w:szCs w:val="24"/>
        </w:rPr>
        <w:t>个制度，明确公司及子公司的各岗位职责。莱州伟隆已于</w:t>
      </w:r>
      <w:r>
        <w:rPr>
          <w:rFonts w:cs="宋体" w:hint="eastAsia"/>
          <w:bCs/>
          <w:kern w:val="0"/>
          <w:sz w:val="24"/>
          <w:szCs w:val="24"/>
        </w:rPr>
        <w:t>2020</w:t>
      </w:r>
      <w:r>
        <w:rPr>
          <w:rFonts w:cs="宋体" w:hint="eastAsia"/>
          <w:bCs/>
          <w:kern w:val="0"/>
          <w:sz w:val="24"/>
          <w:szCs w:val="24"/>
        </w:rPr>
        <w:t>年</w:t>
      </w:r>
      <w:r>
        <w:rPr>
          <w:rFonts w:cs="宋体" w:hint="eastAsia"/>
          <w:bCs/>
          <w:kern w:val="0"/>
          <w:sz w:val="24"/>
          <w:szCs w:val="24"/>
        </w:rPr>
        <w:t>7</w:t>
      </w:r>
      <w:r>
        <w:rPr>
          <w:rFonts w:cs="宋体" w:hint="eastAsia"/>
          <w:bCs/>
          <w:kern w:val="0"/>
          <w:sz w:val="24"/>
          <w:szCs w:val="24"/>
        </w:rPr>
        <w:t>月份辞退处理了私用公司印鉴的责任人员，改进了印鉴管理要求及落实责任人员，实施了</w:t>
      </w:r>
      <w:r>
        <w:rPr>
          <w:rFonts w:cs="宋体" w:hint="eastAsia"/>
          <w:bCs/>
          <w:kern w:val="0"/>
          <w:sz w:val="24"/>
          <w:szCs w:val="24"/>
        </w:rPr>
        <w:t>OA</w:t>
      </w:r>
      <w:r>
        <w:rPr>
          <w:rFonts w:cs="宋体" w:hint="eastAsia"/>
          <w:bCs/>
          <w:kern w:val="0"/>
          <w:sz w:val="24"/>
          <w:szCs w:val="24"/>
        </w:rPr>
        <w:t>系统审批流程，并于</w:t>
      </w:r>
      <w:r>
        <w:rPr>
          <w:rFonts w:cs="宋体" w:hint="eastAsia"/>
          <w:bCs/>
          <w:kern w:val="0"/>
          <w:sz w:val="24"/>
          <w:szCs w:val="24"/>
        </w:rPr>
        <w:t>2021</w:t>
      </w:r>
      <w:r>
        <w:rPr>
          <w:rFonts w:cs="宋体" w:hint="eastAsia"/>
          <w:bCs/>
          <w:kern w:val="0"/>
          <w:sz w:val="24"/>
          <w:szCs w:val="24"/>
        </w:rPr>
        <w:t>年</w:t>
      </w:r>
      <w:r>
        <w:rPr>
          <w:rFonts w:cs="宋体" w:hint="eastAsia"/>
          <w:bCs/>
          <w:kern w:val="0"/>
          <w:sz w:val="24"/>
          <w:szCs w:val="24"/>
        </w:rPr>
        <w:t>10</w:t>
      </w:r>
      <w:r>
        <w:rPr>
          <w:rFonts w:cs="宋体" w:hint="eastAsia"/>
          <w:bCs/>
          <w:kern w:val="0"/>
          <w:sz w:val="24"/>
          <w:szCs w:val="24"/>
        </w:rPr>
        <w:t>月</w:t>
      </w:r>
      <w:r>
        <w:rPr>
          <w:rFonts w:cs="宋体" w:hint="eastAsia"/>
          <w:bCs/>
          <w:kern w:val="0"/>
          <w:sz w:val="24"/>
          <w:szCs w:val="24"/>
        </w:rPr>
        <w:t>15</w:t>
      </w:r>
      <w:r>
        <w:rPr>
          <w:rFonts w:cs="宋体" w:hint="eastAsia"/>
          <w:bCs/>
          <w:kern w:val="0"/>
          <w:sz w:val="24"/>
          <w:szCs w:val="24"/>
        </w:rPr>
        <w:t>日修订了《印鉴管理制度》，组织相关人员培训学习，要求务必充分掌握公司制度精神，举一反三，规范公司治理。</w:t>
      </w:r>
    </w:p>
    <w:p w14:paraId="4D92D3AB" w14:textId="77777777" w:rsidR="004B0883" w:rsidRDefault="004B0883">
      <w:pPr>
        <w:autoSpaceDE w:val="0"/>
        <w:autoSpaceDN w:val="0"/>
        <w:spacing w:beforeLines="50" w:before="120" w:afterLines="50" w:after="120" w:line="360" w:lineRule="auto"/>
        <w:ind w:firstLineChars="200" w:firstLine="480"/>
        <w:jc w:val="both"/>
        <w:rPr>
          <w:rFonts w:cs="宋体" w:hint="eastAsia"/>
          <w:bCs/>
          <w:kern w:val="0"/>
          <w:sz w:val="24"/>
          <w:szCs w:val="24"/>
        </w:rPr>
      </w:pPr>
      <w:r>
        <w:rPr>
          <w:rFonts w:cs="宋体" w:hint="eastAsia"/>
          <w:bCs/>
          <w:kern w:val="0"/>
          <w:sz w:val="24"/>
          <w:szCs w:val="24"/>
        </w:rPr>
        <w:t>3</w:t>
      </w:r>
      <w:r>
        <w:rPr>
          <w:rFonts w:cs="宋体" w:hint="eastAsia"/>
          <w:bCs/>
          <w:kern w:val="0"/>
          <w:sz w:val="24"/>
          <w:szCs w:val="24"/>
        </w:rPr>
        <w:t>、加强和完善内部控制制度建设。针对深交所《监管函》和青岛证监局《决定书》提出的问题，对公司的内控制度进行全面梳理。根据法律法规、证监会规章以及交易所规范性文件的要求，公司审计监督部于</w:t>
      </w:r>
      <w:r>
        <w:rPr>
          <w:rFonts w:cs="宋体" w:hint="eastAsia"/>
          <w:bCs/>
          <w:kern w:val="0"/>
          <w:sz w:val="24"/>
          <w:szCs w:val="24"/>
        </w:rPr>
        <w:t>2021</w:t>
      </w:r>
      <w:r>
        <w:rPr>
          <w:rFonts w:cs="宋体" w:hint="eastAsia"/>
          <w:bCs/>
          <w:kern w:val="0"/>
          <w:sz w:val="24"/>
          <w:szCs w:val="24"/>
        </w:rPr>
        <w:t>年</w:t>
      </w:r>
      <w:r>
        <w:rPr>
          <w:rFonts w:cs="宋体" w:hint="eastAsia"/>
          <w:bCs/>
          <w:kern w:val="0"/>
          <w:sz w:val="24"/>
          <w:szCs w:val="24"/>
        </w:rPr>
        <w:t>7</w:t>
      </w:r>
      <w:r>
        <w:rPr>
          <w:rFonts w:cs="宋体" w:hint="eastAsia"/>
          <w:bCs/>
          <w:kern w:val="0"/>
          <w:sz w:val="24"/>
          <w:szCs w:val="24"/>
        </w:rPr>
        <w:t>月份以来组织开展了专项内审工作，针对各业务职能部门的工作重点，对内控制度中存在的问题和缺陷进行审核完善，对在内控方面存在的缺失进行查漏补缺，对已经不符合公司发展及管理需要的制度进行更新或调整，从根本上完善公司及子公司制度。</w:t>
      </w:r>
    </w:p>
    <w:p w14:paraId="14CF296E" w14:textId="77777777" w:rsidR="004B0883" w:rsidRDefault="004B0883">
      <w:pPr>
        <w:autoSpaceDE w:val="0"/>
        <w:autoSpaceDN w:val="0"/>
        <w:spacing w:beforeLines="50" w:before="120" w:afterLines="50" w:after="120" w:line="360" w:lineRule="auto"/>
        <w:ind w:firstLineChars="200" w:firstLine="480"/>
        <w:jc w:val="both"/>
        <w:rPr>
          <w:rFonts w:hint="eastAsia"/>
        </w:rPr>
      </w:pPr>
      <w:r>
        <w:rPr>
          <w:rFonts w:cs="宋体" w:hint="eastAsia"/>
          <w:bCs/>
          <w:kern w:val="0"/>
          <w:sz w:val="24"/>
          <w:szCs w:val="24"/>
        </w:rPr>
        <w:t>4</w:t>
      </w:r>
      <w:r>
        <w:rPr>
          <w:rFonts w:cs="宋体" w:hint="eastAsia"/>
          <w:bCs/>
          <w:kern w:val="0"/>
          <w:sz w:val="24"/>
          <w:szCs w:val="24"/>
        </w:rPr>
        <w:t>、完善公司信息披露内控流程，强化内控制度执行力度。公司不断强化内部控制制度建设，完善信息披露相关的规章制度，对内部控制制度、审批系统、执行流程等进行全面梳理及整改，全面梳理内控风险点，通过</w:t>
      </w:r>
      <w:r>
        <w:rPr>
          <w:rFonts w:cs="宋体" w:hint="eastAsia"/>
          <w:bCs/>
          <w:kern w:val="0"/>
          <w:sz w:val="24"/>
          <w:szCs w:val="24"/>
        </w:rPr>
        <w:t>OA</w:t>
      </w:r>
      <w:r>
        <w:rPr>
          <w:rFonts w:cs="宋体" w:hint="eastAsia"/>
          <w:bCs/>
          <w:kern w:val="0"/>
          <w:sz w:val="24"/>
          <w:szCs w:val="24"/>
        </w:rPr>
        <w:t>办公系统建立风险防控的长效机制，严格落实和提高内控制度的执行力度。</w:t>
      </w:r>
    </w:p>
    <w:p w14:paraId="6A75206C" w14:textId="77777777" w:rsidR="004B0883" w:rsidRDefault="004B0883">
      <w:pPr>
        <w:autoSpaceDE w:val="0"/>
        <w:autoSpaceDN w:val="0"/>
        <w:spacing w:beforeLines="50" w:before="120" w:afterLines="50" w:after="120" w:line="360" w:lineRule="auto"/>
        <w:ind w:firstLineChars="200" w:firstLine="480"/>
        <w:rPr>
          <w:rFonts w:ascii="宋体" w:hAnsi="宋体" w:cs="宋体" w:hint="eastAsia"/>
          <w:bCs/>
          <w:kern w:val="0"/>
          <w:sz w:val="24"/>
          <w:szCs w:val="24"/>
        </w:rPr>
      </w:pPr>
      <w:r>
        <w:rPr>
          <w:rFonts w:ascii="宋体" w:hAnsi="宋体" w:cs="宋体" w:hint="eastAsia"/>
          <w:bCs/>
          <w:kern w:val="0"/>
          <w:sz w:val="24"/>
          <w:szCs w:val="24"/>
        </w:rPr>
        <w:t>发行人实际控制人范庆伟已出具承诺，如未来出现因范庆丰私用公章导致发行人及莱州伟隆遭受损失的，将及时借款给范庆丰，由其赔偿发行人及莱州伟隆的损失。范庆丰私用莱州伟隆公章对外借款及担保事项未给发行人及莱州伟隆造成实际损失，未损害包括发行人中小股东在内的股东权益，范庆丰私用莱州伟隆公章对外借款及担保事项不构成发行人本次发行的实质障碍。</w:t>
      </w:r>
    </w:p>
    <w:p w14:paraId="2A69C9AB" w14:textId="77777777" w:rsidR="004B0883" w:rsidRDefault="004B0883">
      <w:pPr>
        <w:pStyle w:val="002"/>
        <w:spacing w:before="120" w:after="120"/>
      </w:pPr>
      <w:bookmarkStart w:id="381" w:name="_Toc152320819"/>
      <w:r>
        <w:rPr>
          <w:rFonts w:hint="eastAsia"/>
        </w:rPr>
        <w:t>二、同业竞争</w:t>
      </w:r>
      <w:bookmarkStart w:id="382" w:name="_Toc42001361"/>
      <w:bookmarkEnd w:id="381"/>
    </w:p>
    <w:p w14:paraId="376A7751" w14:textId="77777777" w:rsidR="004B0883" w:rsidRDefault="004B0883">
      <w:pPr>
        <w:pStyle w:val="003"/>
        <w:spacing w:before="120" w:after="120"/>
      </w:pPr>
      <w:r>
        <w:rPr>
          <w:rFonts w:hint="eastAsia"/>
        </w:rPr>
        <w:t>（一）同业竞争情况</w:t>
      </w:r>
    </w:p>
    <w:p w14:paraId="0A70423C" w14:textId="77777777" w:rsidR="004B0883" w:rsidRDefault="004B0883">
      <w:pPr>
        <w:pStyle w:val="005"/>
        <w:spacing w:before="120"/>
        <w:ind w:firstLine="480"/>
      </w:pPr>
      <w:bookmarkStart w:id="383" w:name="_Hlk96638741"/>
      <w:bookmarkStart w:id="384" w:name="_Hlk96084551"/>
      <w:r>
        <w:rPr>
          <w:rFonts w:hint="eastAsia"/>
        </w:rPr>
        <w:t>发行人主要从事工业阀门产品的设计、研发、生产和销售。</w:t>
      </w:r>
      <w:r>
        <w:rPr>
          <w:rFonts w:hint="eastAsia"/>
          <w:lang w:val="zh-CN"/>
        </w:rPr>
        <w:t>截至</w:t>
      </w:r>
      <w:r>
        <w:rPr>
          <w:rFonts w:hint="eastAsia"/>
          <w:lang w:val="zh-CN"/>
        </w:rPr>
        <w:t>2</w:t>
      </w:r>
      <w:r>
        <w:rPr>
          <w:lang w:val="zh-CN"/>
        </w:rPr>
        <w:t>023</w:t>
      </w:r>
      <w:r>
        <w:rPr>
          <w:rFonts w:hint="eastAsia"/>
          <w:lang w:val="zh-CN"/>
        </w:rPr>
        <w:t>年</w:t>
      </w:r>
      <w:r>
        <w:t>9</w:t>
      </w:r>
      <w:r>
        <w:rPr>
          <w:rFonts w:hint="eastAsia"/>
          <w:lang w:val="zh-CN"/>
        </w:rPr>
        <w:t>月</w:t>
      </w:r>
      <w:r>
        <w:rPr>
          <w:rFonts w:hint="eastAsia"/>
        </w:rPr>
        <w:t>30</w:t>
      </w:r>
      <w:r>
        <w:rPr>
          <w:rFonts w:hint="eastAsia"/>
          <w:lang w:val="zh-CN"/>
        </w:rPr>
        <w:t>日</w:t>
      </w:r>
      <w:r>
        <w:rPr>
          <w:rFonts w:hint="eastAsia"/>
        </w:rPr>
        <w:t>，</w:t>
      </w:r>
      <w:bookmarkEnd w:id="384"/>
      <w:r>
        <w:rPr>
          <w:rFonts w:hint="eastAsia"/>
        </w:rPr>
        <w:t>除公司及公司控股子公司、江西惠隆企业管理有限公司外，公司控股股东、实际控制人范庆伟、范玉隆未控制其他企业。</w:t>
      </w:r>
    </w:p>
    <w:p w14:paraId="0FA9A92E" w14:textId="77777777" w:rsidR="004B0883" w:rsidRDefault="004B0883">
      <w:pPr>
        <w:pStyle w:val="005"/>
        <w:spacing w:before="120"/>
        <w:ind w:firstLine="480"/>
      </w:pPr>
      <w:r>
        <w:rPr>
          <w:rFonts w:hint="eastAsia"/>
        </w:rPr>
        <w:t>因此，公司控股股东、实际控制人及其控制的其他企业不存在从事与公司相同或相似业务的情况，公司与控股股东、实际控制人及其控制的其他企业之间不存在同业竞争。</w:t>
      </w:r>
      <w:bookmarkEnd w:id="383"/>
    </w:p>
    <w:p w14:paraId="7ACBF1B8" w14:textId="77777777" w:rsidR="004B0883" w:rsidRDefault="004B0883">
      <w:pPr>
        <w:pStyle w:val="003"/>
        <w:spacing w:before="120" w:after="120"/>
      </w:pPr>
      <w:r>
        <w:rPr>
          <w:rFonts w:hint="eastAsia"/>
        </w:rPr>
        <w:t>（二）关于避免同业竞争的措施</w:t>
      </w:r>
    </w:p>
    <w:p w14:paraId="7D051FE5" w14:textId="77777777" w:rsidR="004B0883" w:rsidRDefault="004B0883">
      <w:pPr>
        <w:pStyle w:val="005"/>
        <w:spacing w:before="120"/>
        <w:ind w:firstLine="480"/>
      </w:pPr>
      <w:bookmarkStart w:id="385" w:name="_Hlk96638779"/>
      <w:bookmarkStart w:id="386" w:name="_Hlk135584319"/>
      <w:r>
        <w:rPr>
          <w:rFonts w:hint="eastAsia"/>
        </w:rPr>
        <w:t>为避免同业竞争，更好地维护中小股东的利益，公司控股股东、实际控制人范庆伟、范玉隆已向公司出具了《关于避免同业竞争的承诺函》。具体承诺内容如下：</w:t>
      </w:r>
    </w:p>
    <w:p w14:paraId="48A57E5D" w14:textId="77777777" w:rsidR="004B0883" w:rsidRDefault="004B0883">
      <w:pPr>
        <w:pStyle w:val="005"/>
        <w:spacing w:before="120"/>
        <w:ind w:firstLine="480"/>
        <w:rPr>
          <w:rFonts w:hint="eastAsia"/>
        </w:rPr>
      </w:pPr>
      <w:r>
        <w:rPr>
          <w:rFonts w:ascii="宋体" w:hAnsi="宋体" w:hint="eastAsia"/>
        </w:rPr>
        <w:t>“</w:t>
      </w:r>
      <w:r>
        <w:rPr>
          <w:rFonts w:hint="eastAsia"/>
        </w:rPr>
        <w:t>1</w:t>
      </w:r>
      <w:r>
        <w:rPr>
          <w:rFonts w:hint="eastAsia"/>
        </w:rPr>
        <w:t>、截至本承诺书出具之日，本人未以任何方式直接或间接从事与发行人及其下属子公司构成或可能构成竞争的业务或活动，未直接或间接持有与发行人及其下属子公司存在或可能存在同业竞争企业的股权或任何其他权益。</w:t>
      </w:r>
    </w:p>
    <w:p w14:paraId="0FED9E77" w14:textId="77777777" w:rsidR="004B0883" w:rsidRDefault="004B0883">
      <w:pPr>
        <w:pStyle w:val="005"/>
        <w:spacing w:before="120"/>
        <w:ind w:firstLine="480"/>
        <w:rPr>
          <w:rFonts w:hint="eastAsia"/>
        </w:rPr>
      </w:pPr>
      <w:r>
        <w:rPr>
          <w:rFonts w:hint="eastAsia"/>
        </w:rPr>
        <w:t>2</w:t>
      </w:r>
      <w:r>
        <w:rPr>
          <w:rFonts w:hint="eastAsia"/>
        </w:rPr>
        <w:t>、本人承诺不从事任何与发行人及其下属子公司的主营业务构成或可能构成直接或间接竞争的业务或活动，且不会新设或收购与公司及其下属子公司从事相同或类似业务的企业、实体等。</w:t>
      </w:r>
    </w:p>
    <w:p w14:paraId="29E4E531" w14:textId="77777777" w:rsidR="004B0883" w:rsidRDefault="004B0883">
      <w:pPr>
        <w:pStyle w:val="005"/>
        <w:spacing w:before="120"/>
        <w:ind w:firstLine="480"/>
        <w:rPr>
          <w:rFonts w:hint="eastAsia"/>
        </w:rPr>
      </w:pPr>
      <w:r>
        <w:rPr>
          <w:rFonts w:hint="eastAsia"/>
        </w:rPr>
        <w:t>3</w:t>
      </w:r>
      <w:r>
        <w:rPr>
          <w:rFonts w:hint="eastAsia"/>
        </w:rPr>
        <w:t>、若发行人进一步拓展产品或业务范围，本人承诺将不与发行人拓展后的产品或业务相竞争；可能与发行人拓展后的业务相竞争的，本人承诺通过停止生产经营或转让等形式消除同业竞争。</w:t>
      </w:r>
    </w:p>
    <w:p w14:paraId="4D3957DA" w14:textId="77777777" w:rsidR="004B0883" w:rsidRDefault="004B0883">
      <w:pPr>
        <w:pStyle w:val="005"/>
        <w:spacing w:before="120"/>
        <w:ind w:firstLine="480"/>
        <w:rPr>
          <w:rFonts w:hint="eastAsia"/>
        </w:rPr>
      </w:pPr>
      <w:r>
        <w:rPr>
          <w:rFonts w:hint="eastAsia"/>
        </w:rPr>
        <w:t>4</w:t>
      </w:r>
      <w:r>
        <w:rPr>
          <w:rFonts w:hint="eastAsia"/>
        </w:rPr>
        <w:t>、本人承诺不利用对发行人的控制关系或其他关系进行损害发行人或其他股东正当利益的行为。</w:t>
      </w:r>
    </w:p>
    <w:p w14:paraId="2BEC11E0" w14:textId="77777777" w:rsidR="004B0883" w:rsidRDefault="004B0883">
      <w:pPr>
        <w:pStyle w:val="005"/>
        <w:spacing w:before="120"/>
        <w:ind w:firstLine="480"/>
        <w:rPr>
          <w:rFonts w:hint="eastAsia"/>
        </w:rPr>
      </w:pPr>
      <w:r>
        <w:rPr>
          <w:rFonts w:hint="eastAsia"/>
        </w:rPr>
        <w:t>5</w:t>
      </w:r>
      <w:r>
        <w:rPr>
          <w:rFonts w:hint="eastAsia"/>
        </w:rPr>
        <w:t>、本人将督促本人的配偶、父母、子女及其配偶、兄弟姐妹及其配偶，本人配偶的父母、兄弟姐妹，子女配偶的父母，以及本人投资或控制的除公司以外的其他企业、实体</w:t>
      </w:r>
      <w:r>
        <w:rPr>
          <w:rFonts w:hint="eastAsia"/>
        </w:rPr>
        <w:t>/</w:t>
      </w:r>
      <w:r>
        <w:rPr>
          <w:rFonts w:hint="eastAsia"/>
        </w:rPr>
        <w:t>本公司将督促本公司投资或控制的除发行人以外的其他企业、实体等同受本承诺的约束。</w:t>
      </w:r>
    </w:p>
    <w:p w14:paraId="1A768363" w14:textId="77777777" w:rsidR="004B0883" w:rsidRDefault="004B0883">
      <w:pPr>
        <w:pStyle w:val="005"/>
        <w:spacing w:before="120"/>
        <w:ind w:firstLine="480"/>
        <w:rPr>
          <w:rFonts w:hint="eastAsia"/>
        </w:rPr>
      </w:pPr>
      <w:r>
        <w:rPr>
          <w:rFonts w:hint="eastAsia"/>
        </w:rPr>
        <w:t>6</w:t>
      </w:r>
      <w:r>
        <w:rPr>
          <w:rFonts w:hint="eastAsia"/>
        </w:rPr>
        <w:t>、本人承诺本承诺函旨在保证发行人全体股东之利益作出，且本承诺函的每一项承诺为独立可操作的承诺，任何一项承诺无效或被终止将不影响其他承诺的有效性。</w:t>
      </w:r>
    </w:p>
    <w:p w14:paraId="4F9B2B9B" w14:textId="77777777" w:rsidR="004B0883" w:rsidRDefault="004B0883">
      <w:pPr>
        <w:pStyle w:val="005"/>
        <w:spacing w:before="120"/>
        <w:ind w:firstLine="480"/>
        <w:rPr>
          <w:b/>
          <w:bCs/>
        </w:rPr>
      </w:pPr>
      <w:r>
        <w:rPr>
          <w:rFonts w:hint="eastAsia"/>
        </w:rPr>
        <w:t>7</w:t>
      </w:r>
      <w:r>
        <w:rPr>
          <w:rFonts w:hint="eastAsia"/>
        </w:rPr>
        <w:t>、该承诺自签字之日起生效，该承诺函所载各项承诺事项在本人作为公司控股股东、实际控制人期间，以及自本公司不再为发行人控股股东、实际控制人之日起十二个月内持续有效，且不可变更或撤销。</w:t>
      </w:r>
      <w:r>
        <w:rPr>
          <w:rFonts w:ascii="宋体" w:hAnsi="宋体" w:hint="eastAsia"/>
        </w:rPr>
        <w:t>”</w:t>
      </w:r>
    </w:p>
    <w:p w14:paraId="0EE4AD75" w14:textId="77777777" w:rsidR="004B0883" w:rsidRDefault="004B0883">
      <w:pPr>
        <w:pStyle w:val="002"/>
        <w:spacing w:before="120" w:after="120"/>
      </w:pPr>
      <w:bookmarkStart w:id="387" w:name="_Toc152320820"/>
      <w:bookmarkEnd w:id="385"/>
      <w:bookmarkEnd w:id="386"/>
      <w:r>
        <w:rPr>
          <w:rFonts w:hint="eastAsia"/>
        </w:rPr>
        <w:t>三、关联方、关联关系及关联交易</w:t>
      </w:r>
      <w:bookmarkEnd w:id="387"/>
    </w:p>
    <w:p w14:paraId="75DF144D" w14:textId="77777777" w:rsidR="004B0883" w:rsidRDefault="004B0883">
      <w:pPr>
        <w:pStyle w:val="003"/>
        <w:spacing w:before="120" w:after="120"/>
      </w:pPr>
      <w:r>
        <w:rPr>
          <w:rFonts w:hint="eastAsia"/>
        </w:rPr>
        <w:t>（一）关联方和关联关系</w:t>
      </w:r>
    </w:p>
    <w:p w14:paraId="0A1AD406" w14:textId="77777777" w:rsidR="004B0883" w:rsidRDefault="004B0883">
      <w:pPr>
        <w:pStyle w:val="005"/>
        <w:spacing w:before="120"/>
        <w:ind w:firstLine="480"/>
      </w:pPr>
      <w:bookmarkStart w:id="388" w:name="_Hlk59739399"/>
      <w:r>
        <w:t>根据《公司法》《企业会计准则第</w:t>
      </w:r>
      <w:r>
        <w:t>36</w:t>
      </w:r>
      <w:r>
        <w:t>号</w:t>
      </w:r>
      <w:r>
        <w:t>——</w:t>
      </w:r>
      <w:r>
        <w:t>关联方披露》和</w:t>
      </w:r>
      <w:bookmarkStart w:id="389" w:name="_Hlk135584358"/>
      <w:r>
        <w:t>《</w:t>
      </w:r>
      <w:r>
        <w:rPr>
          <w:rFonts w:hint="eastAsia"/>
        </w:rPr>
        <w:t>深圳证券交易所股票上市规则</w:t>
      </w:r>
      <w:r>
        <w:t>》</w:t>
      </w:r>
      <w:bookmarkEnd w:id="389"/>
      <w:r>
        <w:t>等法律、法规的规定，截至</w:t>
      </w:r>
      <w:r>
        <w:rPr>
          <w:rFonts w:hint="eastAsia"/>
        </w:rPr>
        <w:t>本募集说明书签署日</w:t>
      </w:r>
      <w:r>
        <w:t>，上市公司主要关联方包括：</w:t>
      </w:r>
    </w:p>
    <w:p w14:paraId="42449C02" w14:textId="77777777" w:rsidR="004B0883" w:rsidRDefault="004B0883">
      <w:pPr>
        <w:pStyle w:val="005"/>
        <w:spacing w:before="120"/>
        <w:ind w:firstLine="480"/>
      </w:pPr>
      <w:bookmarkStart w:id="390" w:name="_Hlk96638241"/>
      <w:r>
        <w:rPr>
          <w:rFonts w:hint="eastAsia"/>
        </w:rPr>
        <w:t>1</w:t>
      </w:r>
      <w:r>
        <w:rPr>
          <w:rFonts w:hint="eastAsia"/>
        </w:rPr>
        <w:t>、控股股东及实际控制人</w:t>
      </w:r>
    </w:p>
    <w:p w14:paraId="5D21CA8C" w14:textId="77777777" w:rsidR="004B0883" w:rsidRDefault="004B0883">
      <w:pPr>
        <w:pStyle w:val="005"/>
        <w:spacing w:before="120"/>
        <w:ind w:firstLine="480"/>
      </w:pPr>
      <w:bookmarkStart w:id="391" w:name="_Hlk135584459"/>
      <w:r>
        <w:rPr>
          <w:rFonts w:hint="eastAsia"/>
        </w:rPr>
        <w:t>截至本募集说明书签署日，范庆伟直接持有</w:t>
      </w:r>
      <w:r>
        <w:rPr>
          <w:rFonts w:hint="eastAsia"/>
        </w:rPr>
        <w:t>122,460,000</w:t>
      </w:r>
      <w:r>
        <w:rPr>
          <w:rFonts w:hint="eastAsia"/>
        </w:rPr>
        <w:t>股股份，占比</w:t>
      </w:r>
      <w:r>
        <w:rPr>
          <w:rFonts w:hint="eastAsia"/>
        </w:rPr>
        <w:t>55.78%</w:t>
      </w:r>
      <w:r>
        <w:rPr>
          <w:rFonts w:hint="eastAsia"/>
        </w:rPr>
        <w:t>，为公司的控股股东。</w:t>
      </w:r>
    </w:p>
    <w:p w14:paraId="7464442F" w14:textId="77777777" w:rsidR="004B0883" w:rsidRDefault="004B0883">
      <w:pPr>
        <w:pStyle w:val="005"/>
        <w:spacing w:before="120"/>
        <w:ind w:firstLine="480"/>
      </w:pPr>
      <w:r>
        <w:rPr>
          <w:rFonts w:hint="eastAsia"/>
        </w:rPr>
        <w:t>范庆伟、范玉隆同为公司的实际控制人，范庆伟与范玉隆为父子关系，范庆伟与范玉隆直接持有及间接持有公司合计</w:t>
      </w:r>
      <w:r>
        <w:rPr>
          <w:rFonts w:hint="eastAsia"/>
        </w:rPr>
        <w:t>63.07%</w:t>
      </w:r>
      <w:r>
        <w:rPr>
          <w:rFonts w:hint="eastAsia"/>
        </w:rPr>
        <w:t>的股份。</w:t>
      </w:r>
    </w:p>
    <w:bookmarkEnd w:id="391"/>
    <w:p w14:paraId="4598AB6C" w14:textId="77777777" w:rsidR="004B0883" w:rsidRDefault="004B0883">
      <w:pPr>
        <w:pStyle w:val="005"/>
        <w:spacing w:before="120"/>
        <w:ind w:firstLine="480"/>
      </w:pPr>
      <w:r>
        <w:rPr>
          <w:rFonts w:hint="eastAsia"/>
        </w:rPr>
        <w:t>2</w:t>
      </w:r>
      <w:r>
        <w:rPr>
          <w:rFonts w:hint="eastAsia"/>
        </w:rPr>
        <w:t>、持有</w:t>
      </w:r>
      <w:r>
        <w:rPr>
          <w:rFonts w:hint="eastAsia"/>
        </w:rPr>
        <w:t>5%</w:t>
      </w:r>
      <w:r>
        <w:rPr>
          <w:rFonts w:hint="eastAsia"/>
        </w:rPr>
        <w:t>以上股份的股东</w:t>
      </w:r>
    </w:p>
    <w:p w14:paraId="0CF51AE4" w14:textId="77777777" w:rsidR="004B0883" w:rsidRDefault="004B0883">
      <w:pPr>
        <w:pStyle w:val="005"/>
        <w:spacing w:before="120"/>
        <w:ind w:firstLine="480"/>
      </w:pPr>
      <w:r>
        <w:rPr>
          <w:rFonts w:hint="eastAsia"/>
        </w:rPr>
        <w:t>截至本募集说明书签署日，除范庆伟外，公司无其他持有公司</w:t>
      </w:r>
      <w:r>
        <w:rPr>
          <w:rFonts w:hint="eastAsia"/>
        </w:rPr>
        <w:t>5%</w:t>
      </w:r>
      <w:r>
        <w:rPr>
          <w:rFonts w:hint="eastAsia"/>
        </w:rPr>
        <w:t>以上股份的股东。</w:t>
      </w:r>
    </w:p>
    <w:p w14:paraId="32154956" w14:textId="77777777" w:rsidR="004B0883" w:rsidRDefault="004B0883">
      <w:pPr>
        <w:pStyle w:val="005"/>
        <w:spacing w:before="120"/>
        <w:ind w:firstLine="480"/>
      </w:pPr>
      <w:r>
        <w:rPr>
          <w:rFonts w:hint="eastAsia"/>
        </w:rPr>
        <w:t>3</w:t>
      </w:r>
      <w:r>
        <w:rPr>
          <w:rFonts w:hint="eastAsia"/>
        </w:rPr>
        <w:t>、控股股东、实际控制人及其近亲属控制的或担任董事、高级管理人员的除发行人及其控股子公司外的其他企业</w:t>
      </w:r>
    </w:p>
    <w:p w14:paraId="75AB3E08" w14:textId="77777777" w:rsidR="004B0883" w:rsidRDefault="004B0883">
      <w:pPr>
        <w:pStyle w:val="005"/>
        <w:spacing w:before="120"/>
        <w:ind w:firstLine="480"/>
        <w:rPr>
          <w:rFonts w:hint="eastAsia"/>
        </w:rPr>
      </w:pPr>
      <w:bookmarkStart w:id="392" w:name="_Hlk85708505"/>
      <w:r>
        <w:rPr>
          <w:rFonts w:hint="eastAsia"/>
        </w:rPr>
        <w:t>除发行人及其控股子公司以外，控股股东、实际控制人范庆伟、范玉隆及其近亲属控制的</w:t>
      </w:r>
      <w:r>
        <w:rPr>
          <w:rFonts w:hint="eastAsia"/>
          <w:color w:val="000000"/>
        </w:rPr>
        <w:t>或担任董事、高级管理人员的</w:t>
      </w:r>
      <w:r>
        <w:rPr>
          <w:rFonts w:hint="eastAsia"/>
        </w:rPr>
        <w:t>其他企业如下：</w:t>
      </w:r>
    </w:p>
    <w:tbl>
      <w:tblPr>
        <w:tblW w:w="8528"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68"/>
        <w:gridCol w:w="3224"/>
        <w:gridCol w:w="4636"/>
      </w:tblGrid>
      <w:tr w:rsidR="004B0883" w14:paraId="77EE46EA" w14:textId="77777777">
        <w:trPr>
          <w:trHeight w:val="397"/>
          <w:tblHeader/>
          <w:jc w:val="center"/>
        </w:trPr>
        <w:tc>
          <w:tcPr>
            <w:tcW w:w="668" w:type="dxa"/>
            <w:shd w:val="clear" w:color="auto" w:fill="D9D9D9"/>
            <w:vAlign w:val="center"/>
          </w:tcPr>
          <w:p w14:paraId="4577B849" w14:textId="77777777" w:rsidR="004B0883" w:rsidRDefault="004B0883">
            <w:pPr>
              <w:adjustRightInd w:val="0"/>
              <w:snapToGrid w:val="0"/>
              <w:rPr>
                <w:b/>
              </w:rPr>
            </w:pPr>
            <w:r>
              <w:rPr>
                <w:b/>
              </w:rPr>
              <w:t>序号</w:t>
            </w:r>
          </w:p>
        </w:tc>
        <w:tc>
          <w:tcPr>
            <w:tcW w:w="3224" w:type="dxa"/>
            <w:shd w:val="clear" w:color="auto" w:fill="D9D9D9"/>
            <w:vAlign w:val="center"/>
          </w:tcPr>
          <w:p w14:paraId="1CE59A45" w14:textId="77777777" w:rsidR="004B0883" w:rsidRDefault="004B0883">
            <w:pPr>
              <w:adjustRightInd w:val="0"/>
              <w:snapToGrid w:val="0"/>
              <w:jc w:val="center"/>
              <w:rPr>
                <w:b/>
                <w:bCs/>
                <w:color w:val="000000"/>
                <w:kern w:val="0"/>
              </w:rPr>
            </w:pPr>
            <w:r>
              <w:rPr>
                <w:b/>
                <w:color w:val="000000"/>
              </w:rPr>
              <w:t>关联企业名称</w:t>
            </w:r>
          </w:p>
        </w:tc>
        <w:tc>
          <w:tcPr>
            <w:tcW w:w="4636" w:type="dxa"/>
            <w:shd w:val="clear" w:color="auto" w:fill="D9D9D9"/>
            <w:vAlign w:val="center"/>
          </w:tcPr>
          <w:p w14:paraId="2F5C0310" w14:textId="77777777" w:rsidR="004B0883" w:rsidRDefault="004B0883">
            <w:pPr>
              <w:adjustRightInd w:val="0"/>
              <w:snapToGrid w:val="0"/>
              <w:jc w:val="center"/>
              <w:rPr>
                <w:b/>
                <w:bCs/>
                <w:color w:val="000000"/>
                <w:kern w:val="0"/>
              </w:rPr>
            </w:pPr>
            <w:r>
              <w:rPr>
                <w:b/>
                <w:color w:val="000000"/>
              </w:rPr>
              <w:t>关联关系</w:t>
            </w:r>
          </w:p>
        </w:tc>
      </w:tr>
      <w:tr w:rsidR="004B0883" w14:paraId="4F35928C" w14:textId="77777777">
        <w:trPr>
          <w:trHeight w:val="397"/>
          <w:jc w:val="center"/>
        </w:trPr>
        <w:tc>
          <w:tcPr>
            <w:tcW w:w="668" w:type="dxa"/>
            <w:vAlign w:val="center"/>
          </w:tcPr>
          <w:p w14:paraId="0B237180" w14:textId="77777777" w:rsidR="004B0883" w:rsidRDefault="004B0883">
            <w:pPr>
              <w:adjustRightInd w:val="0"/>
              <w:snapToGrid w:val="0"/>
              <w:jc w:val="center"/>
              <w:rPr>
                <w:color w:val="000000"/>
                <w:kern w:val="0"/>
              </w:rPr>
            </w:pPr>
            <w:r>
              <w:t>1</w:t>
            </w:r>
          </w:p>
        </w:tc>
        <w:tc>
          <w:tcPr>
            <w:tcW w:w="3224" w:type="dxa"/>
            <w:vAlign w:val="center"/>
          </w:tcPr>
          <w:p w14:paraId="69C603F4" w14:textId="77777777" w:rsidR="004B0883" w:rsidRDefault="004B0883">
            <w:pPr>
              <w:adjustRightInd w:val="0"/>
              <w:snapToGrid w:val="0"/>
              <w:rPr>
                <w:color w:val="000000"/>
              </w:rPr>
            </w:pPr>
            <w:r>
              <w:rPr>
                <w:rFonts w:ascii="宋体" w:hAnsi="宋体" w:hint="eastAsia"/>
              </w:rPr>
              <w:t>江西惠隆企业管理有限公司</w:t>
            </w:r>
          </w:p>
        </w:tc>
        <w:tc>
          <w:tcPr>
            <w:tcW w:w="4636" w:type="dxa"/>
            <w:vAlign w:val="center"/>
          </w:tcPr>
          <w:p w14:paraId="6C929A47" w14:textId="77777777" w:rsidR="004B0883" w:rsidRDefault="004B0883">
            <w:pPr>
              <w:adjustRightInd w:val="0"/>
              <w:snapToGrid w:val="0"/>
              <w:rPr>
                <w:bCs/>
                <w:color w:val="000000"/>
                <w:kern w:val="0"/>
              </w:rPr>
            </w:pPr>
            <w:r>
              <w:rPr>
                <w:rFonts w:hint="eastAsia"/>
                <w:bCs/>
                <w:color w:val="000000"/>
                <w:kern w:val="0"/>
              </w:rPr>
              <w:t>控股股东范庆伟持有惠隆公司</w:t>
            </w:r>
            <w:r>
              <w:rPr>
                <w:rFonts w:hint="eastAsia"/>
                <w:bCs/>
                <w:color w:val="000000"/>
                <w:kern w:val="0"/>
              </w:rPr>
              <w:t>72.73%</w:t>
            </w:r>
            <w:r>
              <w:rPr>
                <w:rFonts w:hint="eastAsia"/>
                <w:bCs/>
                <w:color w:val="000000"/>
                <w:kern w:val="0"/>
              </w:rPr>
              <w:t>股份</w:t>
            </w:r>
          </w:p>
        </w:tc>
      </w:tr>
    </w:tbl>
    <w:bookmarkEnd w:id="392"/>
    <w:p w14:paraId="5543EF55" w14:textId="77777777" w:rsidR="004B0883" w:rsidRDefault="004B0883">
      <w:pPr>
        <w:pStyle w:val="005"/>
        <w:spacing w:before="120"/>
        <w:ind w:firstLine="480"/>
      </w:pPr>
      <w:r>
        <w:t>4</w:t>
      </w:r>
      <w:r>
        <w:rPr>
          <w:rFonts w:hint="eastAsia"/>
        </w:rPr>
        <w:t>、控股子公司</w:t>
      </w:r>
    </w:p>
    <w:p w14:paraId="2A416DFE" w14:textId="77777777" w:rsidR="004B0883" w:rsidRDefault="004B0883">
      <w:pPr>
        <w:pStyle w:val="005"/>
        <w:spacing w:before="120"/>
        <w:ind w:firstLine="480"/>
      </w:pPr>
      <w:r>
        <w:rPr>
          <w:rFonts w:hint="eastAsia"/>
        </w:rPr>
        <w:t>截至本募集说明书签署日，发行人控股子公司情况如下表：</w:t>
      </w:r>
    </w:p>
    <w:tbl>
      <w:tblPr>
        <w:tblW w:w="5000" w:type="pct"/>
        <w:tblInd w:w="0" w:type="dxa"/>
        <w:tblBorders>
          <w:top w:val="single" w:sz="12" w:space="0" w:color="010000"/>
          <w:left w:val="single" w:sz="12" w:space="0" w:color="010000"/>
          <w:bottom w:val="single" w:sz="12" w:space="0" w:color="010000"/>
          <w:right w:val="single" w:sz="12" w:space="0" w:color="010000"/>
          <w:insideH w:val="single" w:sz="4" w:space="0" w:color="010000"/>
          <w:insideV w:val="single" w:sz="4" w:space="0" w:color="010000"/>
        </w:tblBorders>
        <w:tblLook w:val="0000" w:firstRow="0" w:lastRow="0" w:firstColumn="0" w:lastColumn="0" w:noHBand="0" w:noVBand="0"/>
      </w:tblPr>
      <w:tblGrid>
        <w:gridCol w:w="766"/>
        <w:gridCol w:w="4208"/>
        <w:gridCol w:w="1524"/>
        <w:gridCol w:w="1782"/>
      </w:tblGrid>
      <w:tr w:rsidR="004B0883" w14:paraId="3762DA04" w14:textId="77777777">
        <w:trPr>
          <w:cantSplit/>
          <w:trHeight w:val="397"/>
          <w:tblHeader/>
        </w:trPr>
        <w:tc>
          <w:tcPr>
            <w:tcW w:w="463" w:type="pct"/>
            <w:tcBorders>
              <w:top w:val="single" w:sz="12" w:space="0" w:color="010000"/>
              <w:bottom w:val="single" w:sz="4" w:space="0" w:color="010000"/>
            </w:tcBorders>
            <w:shd w:val="clear" w:color="auto" w:fill="D9D9D9"/>
            <w:vAlign w:val="center"/>
          </w:tcPr>
          <w:p w14:paraId="2B256225" w14:textId="77777777" w:rsidR="004B0883" w:rsidRDefault="004B0883">
            <w:pPr>
              <w:keepNext/>
              <w:jc w:val="center"/>
              <w:rPr>
                <w:b/>
                <w:color w:val="000000"/>
              </w:rPr>
            </w:pPr>
            <w:r>
              <w:rPr>
                <w:b/>
                <w:color w:val="000000"/>
              </w:rPr>
              <w:t>序号</w:t>
            </w:r>
          </w:p>
        </w:tc>
        <w:tc>
          <w:tcPr>
            <w:tcW w:w="2541" w:type="pct"/>
            <w:tcBorders>
              <w:top w:val="single" w:sz="12" w:space="0" w:color="010000"/>
              <w:bottom w:val="single" w:sz="4" w:space="0" w:color="010000"/>
            </w:tcBorders>
            <w:shd w:val="clear" w:color="auto" w:fill="D9D9D9"/>
            <w:vAlign w:val="center"/>
          </w:tcPr>
          <w:p w14:paraId="5432FA1C" w14:textId="77777777" w:rsidR="004B0883" w:rsidRDefault="004B0883">
            <w:pPr>
              <w:keepNext/>
              <w:jc w:val="center"/>
              <w:rPr>
                <w:b/>
                <w:color w:val="000000"/>
              </w:rPr>
            </w:pPr>
            <w:r>
              <w:rPr>
                <w:b/>
                <w:color w:val="000000"/>
              </w:rPr>
              <w:t>公司名称</w:t>
            </w:r>
          </w:p>
        </w:tc>
        <w:tc>
          <w:tcPr>
            <w:tcW w:w="920" w:type="pct"/>
            <w:tcBorders>
              <w:top w:val="single" w:sz="12" w:space="0" w:color="010000"/>
              <w:bottom w:val="single" w:sz="4" w:space="0" w:color="010000"/>
            </w:tcBorders>
            <w:shd w:val="clear" w:color="auto" w:fill="D9D9D9"/>
            <w:vAlign w:val="center"/>
          </w:tcPr>
          <w:p w14:paraId="42B1E7C0" w14:textId="77777777" w:rsidR="004B0883" w:rsidRDefault="004B0883">
            <w:pPr>
              <w:keepNext/>
              <w:jc w:val="center"/>
              <w:rPr>
                <w:b/>
                <w:color w:val="000000"/>
              </w:rPr>
            </w:pPr>
            <w:r>
              <w:rPr>
                <w:b/>
                <w:color w:val="000000"/>
              </w:rPr>
              <w:t>公司类型</w:t>
            </w:r>
          </w:p>
        </w:tc>
        <w:tc>
          <w:tcPr>
            <w:tcW w:w="1076" w:type="pct"/>
            <w:tcBorders>
              <w:top w:val="single" w:sz="12" w:space="0" w:color="010000"/>
              <w:bottom w:val="single" w:sz="4" w:space="0" w:color="010000"/>
            </w:tcBorders>
            <w:shd w:val="clear" w:color="auto" w:fill="D9D9D9"/>
            <w:vAlign w:val="center"/>
          </w:tcPr>
          <w:p w14:paraId="3E1499F3" w14:textId="77777777" w:rsidR="004B0883" w:rsidRDefault="004B0883">
            <w:pPr>
              <w:keepNext/>
              <w:jc w:val="center"/>
              <w:rPr>
                <w:b/>
                <w:color w:val="000000"/>
              </w:rPr>
            </w:pPr>
            <w:r>
              <w:rPr>
                <w:b/>
                <w:color w:val="000000"/>
              </w:rPr>
              <w:t>直接持股比例</w:t>
            </w:r>
          </w:p>
        </w:tc>
      </w:tr>
      <w:tr w:rsidR="004B0883" w14:paraId="508020A8" w14:textId="77777777">
        <w:trPr>
          <w:cantSplit/>
          <w:trHeight w:val="397"/>
        </w:trPr>
        <w:tc>
          <w:tcPr>
            <w:tcW w:w="463" w:type="pct"/>
            <w:tcBorders>
              <w:top w:val="single" w:sz="4" w:space="0" w:color="010000"/>
            </w:tcBorders>
            <w:vAlign w:val="center"/>
          </w:tcPr>
          <w:p w14:paraId="6652A404" w14:textId="77777777" w:rsidR="004B0883" w:rsidRDefault="004B0883">
            <w:pPr>
              <w:jc w:val="center"/>
              <w:rPr>
                <w:color w:val="000000"/>
              </w:rPr>
            </w:pPr>
            <w:r>
              <w:rPr>
                <w:color w:val="000000"/>
              </w:rPr>
              <w:t>1</w:t>
            </w:r>
          </w:p>
        </w:tc>
        <w:tc>
          <w:tcPr>
            <w:tcW w:w="2541" w:type="pct"/>
            <w:tcBorders>
              <w:top w:val="single" w:sz="4" w:space="0" w:color="010000"/>
            </w:tcBorders>
            <w:vAlign w:val="center"/>
          </w:tcPr>
          <w:p w14:paraId="0B6B221F" w14:textId="77777777" w:rsidR="004B0883" w:rsidRDefault="004B0883">
            <w:pPr>
              <w:jc w:val="both"/>
              <w:rPr>
                <w:color w:val="000000"/>
              </w:rPr>
            </w:pPr>
            <w:r>
              <w:rPr>
                <w:rFonts w:cs="Arial"/>
                <w:color w:val="000000"/>
                <w:szCs w:val="20"/>
              </w:rPr>
              <w:t>莱州伟隆阀门有限公司</w:t>
            </w:r>
          </w:p>
        </w:tc>
        <w:tc>
          <w:tcPr>
            <w:tcW w:w="920" w:type="pct"/>
            <w:tcBorders>
              <w:top w:val="single" w:sz="4" w:space="0" w:color="010000"/>
            </w:tcBorders>
            <w:vAlign w:val="center"/>
          </w:tcPr>
          <w:p w14:paraId="2808AB9F" w14:textId="77777777" w:rsidR="004B0883" w:rsidRDefault="004B0883">
            <w:pPr>
              <w:jc w:val="center"/>
              <w:rPr>
                <w:color w:val="000000"/>
              </w:rPr>
            </w:pPr>
            <w:r>
              <w:rPr>
                <w:color w:val="000000"/>
              </w:rPr>
              <w:t>全资子公司</w:t>
            </w:r>
          </w:p>
        </w:tc>
        <w:tc>
          <w:tcPr>
            <w:tcW w:w="1076" w:type="pct"/>
            <w:tcBorders>
              <w:top w:val="single" w:sz="4" w:space="0" w:color="010000"/>
            </w:tcBorders>
            <w:vAlign w:val="center"/>
          </w:tcPr>
          <w:p w14:paraId="6FACBA9E" w14:textId="77777777" w:rsidR="004B0883" w:rsidRDefault="004B0883">
            <w:pPr>
              <w:jc w:val="center"/>
              <w:rPr>
                <w:color w:val="000000"/>
              </w:rPr>
            </w:pPr>
            <w:r>
              <w:rPr>
                <w:color w:val="000000"/>
              </w:rPr>
              <w:t>100.00%</w:t>
            </w:r>
          </w:p>
        </w:tc>
      </w:tr>
      <w:tr w:rsidR="004B0883" w14:paraId="27BFACF4" w14:textId="77777777">
        <w:trPr>
          <w:cantSplit/>
          <w:trHeight w:val="397"/>
        </w:trPr>
        <w:tc>
          <w:tcPr>
            <w:tcW w:w="463" w:type="pct"/>
            <w:vAlign w:val="center"/>
          </w:tcPr>
          <w:p w14:paraId="5E719E2D" w14:textId="77777777" w:rsidR="004B0883" w:rsidRDefault="004B0883">
            <w:pPr>
              <w:jc w:val="center"/>
              <w:rPr>
                <w:color w:val="000000"/>
              </w:rPr>
            </w:pPr>
            <w:r>
              <w:rPr>
                <w:color w:val="000000"/>
              </w:rPr>
              <w:t>2</w:t>
            </w:r>
          </w:p>
        </w:tc>
        <w:tc>
          <w:tcPr>
            <w:tcW w:w="2541" w:type="pct"/>
            <w:vAlign w:val="center"/>
          </w:tcPr>
          <w:p w14:paraId="47CE19AF" w14:textId="77777777" w:rsidR="004B0883" w:rsidRDefault="004B0883">
            <w:pPr>
              <w:jc w:val="both"/>
              <w:rPr>
                <w:color w:val="000000"/>
              </w:rPr>
            </w:pPr>
            <w:r>
              <w:rPr>
                <w:rFonts w:cs="Arial"/>
                <w:color w:val="000000"/>
                <w:szCs w:val="20"/>
              </w:rPr>
              <w:t>海南伟隆投资有限公司</w:t>
            </w:r>
          </w:p>
        </w:tc>
        <w:tc>
          <w:tcPr>
            <w:tcW w:w="920" w:type="pct"/>
            <w:vAlign w:val="center"/>
          </w:tcPr>
          <w:p w14:paraId="48BC39A6" w14:textId="77777777" w:rsidR="004B0883" w:rsidRDefault="004B0883">
            <w:pPr>
              <w:jc w:val="center"/>
              <w:rPr>
                <w:color w:val="000000"/>
              </w:rPr>
            </w:pPr>
            <w:r>
              <w:rPr>
                <w:rFonts w:hint="eastAsia"/>
                <w:color w:val="000000"/>
              </w:rPr>
              <w:t>控股</w:t>
            </w:r>
            <w:r>
              <w:rPr>
                <w:color w:val="000000"/>
              </w:rPr>
              <w:t>子公司</w:t>
            </w:r>
          </w:p>
        </w:tc>
        <w:tc>
          <w:tcPr>
            <w:tcW w:w="1076" w:type="pct"/>
            <w:vAlign w:val="center"/>
          </w:tcPr>
          <w:p w14:paraId="77FC5E6E" w14:textId="77777777" w:rsidR="004B0883" w:rsidRDefault="004B0883">
            <w:pPr>
              <w:jc w:val="center"/>
              <w:rPr>
                <w:color w:val="000000"/>
              </w:rPr>
            </w:pPr>
            <w:r>
              <w:rPr>
                <w:color w:val="000000"/>
              </w:rPr>
              <w:t>60.00%</w:t>
            </w:r>
          </w:p>
        </w:tc>
      </w:tr>
      <w:tr w:rsidR="004B0883" w14:paraId="641B3B90" w14:textId="77777777">
        <w:trPr>
          <w:cantSplit/>
          <w:trHeight w:val="397"/>
        </w:trPr>
        <w:tc>
          <w:tcPr>
            <w:tcW w:w="463" w:type="pct"/>
            <w:vAlign w:val="center"/>
          </w:tcPr>
          <w:p w14:paraId="7F5AE461" w14:textId="77777777" w:rsidR="004B0883" w:rsidRDefault="004B0883">
            <w:pPr>
              <w:jc w:val="center"/>
              <w:rPr>
                <w:color w:val="000000"/>
              </w:rPr>
            </w:pPr>
            <w:r>
              <w:rPr>
                <w:color w:val="000000"/>
              </w:rPr>
              <w:t>3</w:t>
            </w:r>
          </w:p>
        </w:tc>
        <w:tc>
          <w:tcPr>
            <w:tcW w:w="2541" w:type="pct"/>
            <w:vAlign w:val="center"/>
          </w:tcPr>
          <w:p w14:paraId="5CF851FA" w14:textId="77777777" w:rsidR="004B0883" w:rsidRDefault="004B0883">
            <w:pPr>
              <w:jc w:val="both"/>
              <w:rPr>
                <w:color w:val="000000"/>
              </w:rPr>
            </w:pPr>
            <w:r>
              <w:rPr>
                <w:rFonts w:cs="Arial"/>
                <w:color w:val="000000"/>
                <w:szCs w:val="20"/>
              </w:rPr>
              <w:t>青岛伟隆流体设备有限公司</w:t>
            </w:r>
          </w:p>
        </w:tc>
        <w:tc>
          <w:tcPr>
            <w:tcW w:w="920" w:type="pct"/>
            <w:vAlign w:val="center"/>
          </w:tcPr>
          <w:p w14:paraId="3D6DBDA9" w14:textId="77777777" w:rsidR="004B0883" w:rsidRDefault="004B0883">
            <w:pPr>
              <w:jc w:val="center"/>
              <w:rPr>
                <w:color w:val="000000"/>
              </w:rPr>
            </w:pPr>
            <w:r>
              <w:rPr>
                <w:color w:val="000000"/>
              </w:rPr>
              <w:t>全资子公司</w:t>
            </w:r>
          </w:p>
        </w:tc>
        <w:tc>
          <w:tcPr>
            <w:tcW w:w="1076" w:type="pct"/>
            <w:vAlign w:val="center"/>
          </w:tcPr>
          <w:p w14:paraId="3611CE11" w14:textId="77777777" w:rsidR="004B0883" w:rsidRDefault="004B0883">
            <w:pPr>
              <w:jc w:val="center"/>
              <w:rPr>
                <w:color w:val="000000"/>
              </w:rPr>
            </w:pPr>
            <w:r>
              <w:rPr>
                <w:color w:val="000000"/>
              </w:rPr>
              <w:t>100.00%</w:t>
            </w:r>
          </w:p>
        </w:tc>
      </w:tr>
      <w:tr w:rsidR="004B0883" w14:paraId="26F7E345" w14:textId="77777777">
        <w:trPr>
          <w:cantSplit/>
          <w:trHeight w:val="397"/>
        </w:trPr>
        <w:tc>
          <w:tcPr>
            <w:tcW w:w="463" w:type="pct"/>
            <w:vAlign w:val="center"/>
          </w:tcPr>
          <w:p w14:paraId="03C8F7E8" w14:textId="77777777" w:rsidR="004B0883" w:rsidRDefault="004B0883">
            <w:pPr>
              <w:jc w:val="center"/>
              <w:rPr>
                <w:color w:val="000000"/>
              </w:rPr>
            </w:pPr>
            <w:r>
              <w:rPr>
                <w:color w:val="000000"/>
              </w:rPr>
              <w:t>4</w:t>
            </w:r>
          </w:p>
        </w:tc>
        <w:tc>
          <w:tcPr>
            <w:tcW w:w="2541" w:type="pct"/>
            <w:vAlign w:val="center"/>
          </w:tcPr>
          <w:p w14:paraId="4FDB24AB" w14:textId="77777777" w:rsidR="004B0883" w:rsidRDefault="004B0883">
            <w:pPr>
              <w:jc w:val="both"/>
              <w:rPr>
                <w:color w:val="000000"/>
              </w:rPr>
            </w:pPr>
            <w:r>
              <w:rPr>
                <w:rFonts w:cs="Arial"/>
                <w:color w:val="000000"/>
                <w:szCs w:val="20"/>
              </w:rPr>
              <w:t>青岛卓信检测技术有限责任公司</w:t>
            </w:r>
          </w:p>
        </w:tc>
        <w:tc>
          <w:tcPr>
            <w:tcW w:w="920" w:type="pct"/>
            <w:vAlign w:val="center"/>
          </w:tcPr>
          <w:p w14:paraId="251AA677" w14:textId="77777777" w:rsidR="004B0883" w:rsidRDefault="004B0883">
            <w:pPr>
              <w:jc w:val="center"/>
              <w:rPr>
                <w:color w:val="000000"/>
              </w:rPr>
            </w:pPr>
            <w:r>
              <w:rPr>
                <w:color w:val="000000"/>
              </w:rPr>
              <w:t>全资子公司</w:t>
            </w:r>
          </w:p>
        </w:tc>
        <w:tc>
          <w:tcPr>
            <w:tcW w:w="1076" w:type="pct"/>
            <w:vAlign w:val="center"/>
          </w:tcPr>
          <w:p w14:paraId="0A70DDC1" w14:textId="77777777" w:rsidR="004B0883" w:rsidRDefault="004B0883">
            <w:pPr>
              <w:jc w:val="center"/>
              <w:rPr>
                <w:color w:val="000000"/>
              </w:rPr>
            </w:pPr>
            <w:r>
              <w:rPr>
                <w:color w:val="000000"/>
              </w:rPr>
              <w:t>100.00%</w:t>
            </w:r>
          </w:p>
        </w:tc>
      </w:tr>
      <w:tr w:rsidR="004B0883" w14:paraId="58F29E70" w14:textId="77777777">
        <w:trPr>
          <w:cantSplit/>
          <w:trHeight w:val="397"/>
        </w:trPr>
        <w:tc>
          <w:tcPr>
            <w:tcW w:w="463" w:type="pct"/>
            <w:vAlign w:val="center"/>
          </w:tcPr>
          <w:p w14:paraId="0ED6A3B6" w14:textId="77777777" w:rsidR="004B0883" w:rsidRDefault="004B0883">
            <w:pPr>
              <w:jc w:val="center"/>
              <w:rPr>
                <w:color w:val="000000"/>
              </w:rPr>
            </w:pPr>
            <w:r>
              <w:rPr>
                <w:rFonts w:hint="eastAsia"/>
                <w:color w:val="000000"/>
              </w:rPr>
              <w:t>5</w:t>
            </w:r>
          </w:p>
        </w:tc>
        <w:tc>
          <w:tcPr>
            <w:tcW w:w="2541" w:type="pct"/>
            <w:vAlign w:val="center"/>
          </w:tcPr>
          <w:p w14:paraId="5B534832" w14:textId="77777777" w:rsidR="004B0883" w:rsidRDefault="004B0883">
            <w:pPr>
              <w:jc w:val="both"/>
              <w:rPr>
                <w:color w:val="000000"/>
              </w:rPr>
            </w:pPr>
            <w:r>
              <w:rPr>
                <w:rFonts w:cs="Arial"/>
                <w:color w:val="000000"/>
                <w:szCs w:val="20"/>
              </w:rPr>
              <w:t>青岛伟隆五金机械有限公司</w:t>
            </w:r>
          </w:p>
        </w:tc>
        <w:tc>
          <w:tcPr>
            <w:tcW w:w="920" w:type="pct"/>
            <w:vAlign w:val="center"/>
          </w:tcPr>
          <w:p w14:paraId="25058028" w14:textId="77777777" w:rsidR="004B0883" w:rsidRDefault="004B0883">
            <w:pPr>
              <w:jc w:val="center"/>
              <w:rPr>
                <w:color w:val="000000"/>
              </w:rPr>
            </w:pPr>
            <w:r>
              <w:rPr>
                <w:color w:val="000000"/>
              </w:rPr>
              <w:t>全资子公司</w:t>
            </w:r>
          </w:p>
        </w:tc>
        <w:tc>
          <w:tcPr>
            <w:tcW w:w="1076" w:type="pct"/>
            <w:vAlign w:val="center"/>
          </w:tcPr>
          <w:p w14:paraId="5F1237C6" w14:textId="77777777" w:rsidR="004B0883" w:rsidRDefault="004B0883">
            <w:pPr>
              <w:jc w:val="center"/>
              <w:rPr>
                <w:color w:val="000000"/>
              </w:rPr>
            </w:pPr>
            <w:r>
              <w:rPr>
                <w:color w:val="000000"/>
              </w:rPr>
              <w:t>100.00%</w:t>
            </w:r>
          </w:p>
        </w:tc>
      </w:tr>
      <w:tr w:rsidR="004B0883" w14:paraId="43C9C03A" w14:textId="77777777">
        <w:trPr>
          <w:cantSplit/>
          <w:trHeight w:val="397"/>
        </w:trPr>
        <w:tc>
          <w:tcPr>
            <w:tcW w:w="463" w:type="pct"/>
            <w:vAlign w:val="center"/>
          </w:tcPr>
          <w:p w14:paraId="6EB52406" w14:textId="77777777" w:rsidR="004B0883" w:rsidRDefault="004B0883">
            <w:pPr>
              <w:jc w:val="center"/>
              <w:rPr>
                <w:color w:val="000000"/>
              </w:rPr>
            </w:pPr>
            <w:r>
              <w:rPr>
                <w:rFonts w:hint="eastAsia"/>
                <w:color w:val="000000"/>
              </w:rPr>
              <w:t>6</w:t>
            </w:r>
          </w:p>
        </w:tc>
        <w:tc>
          <w:tcPr>
            <w:tcW w:w="2541" w:type="pct"/>
            <w:vAlign w:val="center"/>
          </w:tcPr>
          <w:p w14:paraId="3633E541" w14:textId="77777777" w:rsidR="004B0883" w:rsidRDefault="004B0883">
            <w:pPr>
              <w:jc w:val="both"/>
              <w:rPr>
                <w:color w:val="000000"/>
              </w:rPr>
            </w:pPr>
            <w:r>
              <w:rPr>
                <w:color w:val="000000"/>
              </w:rPr>
              <w:t>WEFLO</w:t>
            </w:r>
            <w:r>
              <w:rPr>
                <w:rFonts w:hint="eastAsia"/>
                <w:color w:val="000000"/>
              </w:rPr>
              <w:t xml:space="preserve"> </w:t>
            </w:r>
            <w:r>
              <w:rPr>
                <w:color w:val="000000"/>
              </w:rPr>
              <w:t>VALVE</w:t>
            </w:r>
            <w:r>
              <w:rPr>
                <w:rFonts w:hint="eastAsia"/>
                <w:color w:val="000000"/>
              </w:rPr>
              <w:t xml:space="preserve"> </w:t>
            </w:r>
            <w:r>
              <w:rPr>
                <w:color w:val="000000"/>
              </w:rPr>
              <w:t>COMPANY</w:t>
            </w:r>
            <w:r>
              <w:rPr>
                <w:rFonts w:hint="eastAsia"/>
                <w:color w:val="000000"/>
              </w:rPr>
              <w:t xml:space="preserve"> </w:t>
            </w:r>
            <w:r>
              <w:rPr>
                <w:color w:val="000000"/>
              </w:rPr>
              <w:t>LIMITED</w:t>
            </w:r>
          </w:p>
        </w:tc>
        <w:tc>
          <w:tcPr>
            <w:tcW w:w="920" w:type="pct"/>
            <w:vAlign w:val="center"/>
          </w:tcPr>
          <w:p w14:paraId="7FEEB7D1" w14:textId="77777777" w:rsidR="004B0883" w:rsidRDefault="004B0883">
            <w:pPr>
              <w:jc w:val="center"/>
              <w:rPr>
                <w:color w:val="000000"/>
              </w:rPr>
            </w:pPr>
            <w:r>
              <w:rPr>
                <w:color w:val="000000"/>
              </w:rPr>
              <w:t>全资子公司</w:t>
            </w:r>
          </w:p>
        </w:tc>
        <w:tc>
          <w:tcPr>
            <w:tcW w:w="1076" w:type="pct"/>
            <w:vAlign w:val="center"/>
          </w:tcPr>
          <w:p w14:paraId="040EB887" w14:textId="77777777" w:rsidR="004B0883" w:rsidRDefault="004B0883">
            <w:pPr>
              <w:jc w:val="center"/>
              <w:rPr>
                <w:color w:val="000000"/>
              </w:rPr>
            </w:pPr>
            <w:r>
              <w:rPr>
                <w:color w:val="000000"/>
              </w:rPr>
              <w:t>100.00%</w:t>
            </w:r>
          </w:p>
        </w:tc>
      </w:tr>
      <w:tr w:rsidR="004B0883" w14:paraId="3ECA75FE" w14:textId="77777777">
        <w:trPr>
          <w:cantSplit/>
          <w:trHeight w:val="397"/>
        </w:trPr>
        <w:tc>
          <w:tcPr>
            <w:tcW w:w="463" w:type="pct"/>
            <w:vAlign w:val="center"/>
          </w:tcPr>
          <w:p w14:paraId="2DE038DA" w14:textId="77777777" w:rsidR="004B0883" w:rsidRDefault="004B0883">
            <w:pPr>
              <w:jc w:val="center"/>
              <w:rPr>
                <w:color w:val="000000"/>
              </w:rPr>
            </w:pPr>
            <w:r>
              <w:rPr>
                <w:rFonts w:hint="eastAsia"/>
                <w:color w:val="000000"/>
              </w:rPr>
              <w:t>7</w:t>
            </w:r>
          </w:p>
        </w:tc>
        <w:tc>
          <w:tcPr>
            <w:tcW w:w="2541" w:type="pct"/>
            <w:vAlign w:val="center"/>
          </w:tcPr>
          <w:p w14:paraId="0DF1DD7D" w14:textId="77777777" w:rsidR="004B0883" w:rsidRDefault="004B0883">
            <w:pPr>
              <w:jc w:val="both"/>
              <w:rPr>
                <w:color w:val="000000"/>
              </w:rPr>
            </w:pPr>
            <w:r>
              <w:rPr>
                <w:rFonts w:hint="eastAsia"/>
                <w:color w:val="000000"/>
              </w:rPr>
              <w:t>伟隆</w:t>
            </w:r>
            <w:r>
              <w:rPr>
                <w:color w:val="000000"/>
              </w:rPr>
              <w:t>（香港）</w:t>
            </w:r>
            <w:r>
              <w:rPr>
                <w:rFonts w:hint="eastAsia"/>
                <w:color w:val="000000"/>
              </w:rPr>
              <w:t>实业</w:t>
            </w:r>
            <w:r>
              <w:rPr>
                <w:color w:val="000000"/>
              </w:rPr>
              <w:t>有限公司</w:t>
            </w:r>
          </w:p>
        </w:tc>
        <w:tc>
          <w:tcPr>
            <w:tcW w:w="920" w:type="pct"/>
            <w:vAlign w:val="center"/>
          </w:tcPr>
          <w:p w14:paraId="12CAB32B" w14:textId="77777777" w:rsidR="004B0883" w:rsidRDefault="004B0883">
            <w:pPr>
              <w:jc w:val="center"/>
              <w:rPr>
                <w:color w:val="000000"/>
              </w:rPr>
            </w:pPr>
            <w:r>
              <w:rPr>
                <w:color w:val="000000"/>
              </w:rPr>
              <w:t>全资子公司</w:t>
            </w:r>
          </w:p>
        </w:tc>
        <w:tc>
          <w:tcPr>
            <w:tcW w:w="1076" w:type="pct"/>
            <w:vAlign w:val="center"/>
          </w:tcPr>
          <w:p w14:paraId="0548394A" w14:textId="77777777" w:rsidR="004B0883" w:rsidRDefault="004B0883">
            <w:pPr>
              <w:jc w:val="center"/>
              <w:rPr>
                <w:color w:val="000000"/>
              </w:rPr>
            </w:pPr>
            <w:r>
              <w:rPr>
                <w:color w:val="000000"/>
              </w:rPr>
              <w:t>100.00%</w:t>
            </w:r>
          </w:p>
        </w:tc>
      </w:tr>
      <w:tr w:rsidR="004B0883" w14:paraId="46F4C205" w14:textId="77777777">
        <w:trPr>
          <w:cantSplit/>
          <w:trHeight w:val="397"/>
        </w:trPr>
        <w:tc>
          <w:tcPr>
            <w:tcW w:w="463" w:type="pct"/>
            <w:vAlign w:val="center"/>
          </w:tcPr>
          <w:p w14:paraId="781D6E42" w14:textId="77777777" w:rsidR="004B0883" w:rsidRDefault="004B0883">
            <w:pPr>
              <w:jc w:val="center"/>
              <w:rPr>
                <w:color w:val="000000"/>
              </w:rPr>
            </w:pPr>
            <w:r>
              <w:rPr>
                <w:rFonts w:hint="eastAsia"/>
                <w:color w:val="000000"/>
              </w:rPr>
              <w:t>8</w:t>
            </w:r>
          </w:p>
        </w:tc>
        <w:tc>
          <w:tcPr>
            <w:tcW w:w="2541" w:type="pct"/>
            <w:vAlign w:val="center"/>
          </w:tcPr>
          <w:p w14:paraId="1C1BC3C7" w14:textId="77777777" w:rsidR="004B0883" w:rsidRDefault="004B0883">
            <w:pPr>
              <w:jc w:val="both"/>
              <w:rPr>
                <w:color w:val="000000"/>
              </w:rPr>
            </w:pPr>
            <w:r>
              <w:rPr>
                <w:color w:val="000000"/>
              </w:rPr>
              <w:t>WEFLO</w:t>
            </w:r>
            <w:r>
              <w:rPr>
                <w:rFonts w:hint="eastAsia"/>
                <w:color w:val="000000"/>
              </w:rPr>
              <w:t xml:space="preserve"> </w:t>
            </w:r>
            <w:r>
              <w:rPr>
                <w:color w:val="000000"/>
              </w:rPr>
              <w:t>VALVE</w:t>
            </w:r>
            <w:r>
              <w:rPr>
                <w:rFonts w:hint="eastAsia"/>
                <w:color w:val="000000"/>
              </w:rPr>
              <w:t xml:space="preserve"> </w:t>
            </w:r>
            <w:r>
              <w:rPr>
                <w:color w:val="000000"/>
              </w:rPr>
              <w:t>LLC</w:t>
            </w:r>
          </w:p>
        </w:tc>
        <w:tc>
          <w:tcPr>
            <w:tcW w:w="920" w:type="pct"/>
            <w:vAlign w:val="center"/>
          </w:tcPr>
          <w:p w14:paraId="70326F0C" w14:textId="77777777" w:rsidR="004B0883" w:rsidRDefault="004B0883">
            <w:pPr>
              <w:jc w:val="center"/>
              <w:rPr>
                <w:color w:val="000000"/>
              </w:rPr>
            </w:pPr>
            <w:r>
              <w:rPr>
                <w:color w:val="000000"/>
              </w:rPr>
              <w:t>全资子公司</w:t>
            </w:r>
          </w:p>
        </w:tc>
        <w:tc>
          <w:tcPr>
            <w:tcW w:w="1076" w:type="pct"/>
            <w:vAlign w:val="center"/>
          </w:tcPr>
          <w:p w14:paraId="59DB23AE" w14:textId="77777777" w:rsidR="004B0883" w:rsidRDefault="004B0883">
            <w:pPr>
              <w:jc w:val="center"/>
              <w:rPr>
                <w:color w:val="000000"/>
              </w:rPr>
            </w:pPr>
            <w:r>
              <w:rPr>
                <w:color w:val="000000"/>
              </w:rPr>
              <w:t>100.00%</w:t>
            </w:r>
          </w:p>
        </w:tc>
      </w:tr>
    </w:tbl>
    <w:p w14:paraId="36C424AA" w14:textId="77777777" w:rsidR="004B0883" w:rsidRDefault="004B0883">
      <w:pPr>
        <w:pStyle w:val="005"/>
        <w:spacing w:before="120"/>
        <w:ind w:firstLine="480"/>
      </w:pPr>
      <w:r>
        <w:t>5</w:t>
      </w:r>
      <w:r>
        <w:rPr>
          <w:rFonts w:hint="eastAsia"/>
        </w:rPr>
        <w:t>、施加重大影响的参股公司及其控制的企业</w:t>
      </w:r>
    </w:p>
    <w:p w14:paraId="1DBF6859" w14:textId="77777777" w:rsidR="004B0883" w:rsidRDefault="004B0883">
      <w:pPr>
        <w:pStyle w:val="005"/>
        <w:spacing w:before="120"/>
        <w:ind w:firstLine="480"/>
      </w:pPr>
      <w:r>
        <w:rPr>
          <w:rFonts w:hint="eastAsia"/>
        </w:rPr>
        <w:t>截至本募集说明书签署日，发行人无参股公司。除发行人及其控股子公司以外，发行人无施加重大影响的参股公司及其控制的企业。</w:t>
      </w:r>
    </w:p>
    <w:p w14:paraId="5312E8F6" w14:textId="77777777" w:rsidR="004B0883" w:rsidRDefault="004B0883">
      <w:pPr>
        <w:pStyle w:val="005"/>
        <w:spacing w:before="120"/>
        <w:ind w:firstLine="480"/>
      </w:pPr>
      <w:r>
        <w:rPr>
          <w:rFonts w:hint="eastAsia"/>
        </w:rPr>
        <w:t>6</w:t>
      </w:r>
      <w:r>
        <w:rPr>
          <w:rFonts w:hint="eastAsia"/>
        </w:rPr>
        <w:t>、董事、监事、高级管理人员</w:t>
      </w:r>
    </w:p>
    <w:p w14:paraId="177FFBEA" w14:textId="77777777" w:rsidR="004B0883" w:rsidRDefault="004B0883">
      <w:pPr>
        <w:pStyle w:val="005"/>
        <w:spacing w:before="120"/>
        <w:ind w:firstLine="480"/>
      </w:pPr>
      <w:r>
        <w:rPr>
          <w:rFonts w:hint="eastAsia"/>
        </w:rPr>
        <w:t>发行人现任董事、监事、高级管理人员情况如下表：</w:t>
      </w:r>
    </w:p>
    <w:tbl>
      <w:tblPr>
        <w:tblW w:w="8528"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23"/>
        <w:gridCol w:w="1853"/>
        <w:gridCol w:w="5852"/>
      </w:tblGrid>
      <w:tr w:rsidR="004B0883" w14:paraId="24FCF7BC" w14:textId="77777777">
        <w:trPr>
          <w:trHeight w:val="397"/>
          <w:tblHeader/>
          <w:jc w:val="center"/>
        </w:trPr>
        <w:tc>
          <w:tcPr>
            <w:tcW w:w="823" w:type="dxa"/>
            <w:shd w:val="clear" w:color="auto" w:fill="D9D9D9"/>
            <w:vAlign w:val="center"/>
          </w:tcPr>
          <w:p w14:paraId="23EFEB9E" w14:textId="77777777" w:rsidR="004B0883" w:rsidRDefault="004B0883">
            <w:pPr>
              <w:adjustRightInd w:val="0"/>
              <w:snapToGrid w:val="0"/>
              <w:jc w:val="center"/>
              <w:rPr>
                <w:rFonts w:ascii="宋体" w:hAnsi="宋体"/>
                <w:b/>
              </w:rPr>
            </w:pPr>
            <w:bookmarkStart w:id="393" w:name="_Hlk134354203"/>
            <w:r>
              <w:rPr>
                <w:rFonts w:ascii="宋体" w:hAnsi="宋体"/>
                <w:b/>
              </w:rPr>
              <w:t>序号</w:t>
            </w:r>
          </w:p>
        </w:tc>
        <w:tc>
          <w:tcPr>
            <w:tcW w:w="1853" w:type="dxa"/>
            <w:shd w:val="clear" w:color="auto" w:fill="D9D9D9"/>
            <w:vAlign w:val="center"/>
          </w:tcPr>
          <w:p w14:paraId="462EDB4C" w14:textId="77777777" w:rsidR="004B0883" w:rsidRDefault="004B0883">
            <w:pPr>
              <w:adjustRightInd w:val="0"/>
              <w:snapToGrid w:val="0"/>
              <w:jc w:val="center"/>
              <w:rPr>
                <w:rFonts w:ascii="宋体" w:hAnsi="宋体"/>
                <w:b/>
              </w:rPr>
            </w:pPr>
            <w:r>
              <w:rPr>
                <w:rFonts w:ascii="宋体" w:hAnsi="宋体"/>
                <w:b/>
                <w:kern w:val="0"/>
              </w:rPr>
              <w:t>关联方</w:t>
            </w:r>
          </w:p>
        </w:tc>
        <w:tc>
          <w:tcPr>
            <w:tcW w:w="5852" w:type="dxa"/>
            <w:shd w:val="clear" w:color="auto" w:fill="D9D9D9"/>
            <w:vAlign w:val="center"/>
          </w:tcPr>
          <w:p w14:paraId="0E9FD6B8" w14:textId="77777777" w:rsidR="004B0883" w:rsidRDefault="004B0883">
            <w:pPr>
              <w:adjustRightInd w:val="0"/>
              <w:snapToGrid w:val="0"/>
              <w:jc w:val="center"/>
              <w:rPr>
                <w:rFonts w:ascii="宋体" w:hAnsi="宋体"/>
                <w:b/>
              </w:rPr>
            </w:pPr>
            <w:r>
              <w:rPr>
                <w:rFonts w:ascii="宋体" w:hAnsi="宋体"/>
                <w:b/>
                <w:kern w:val="0"/>
              </w:rPr>
              <w:t>任职情况</w:t>
            </w:r>
          </w:p>
        </w:tc>
      </w:tr>
      <w:tr w:rsidR="004B0883" w14:paraId="29547DA7" w14:textId="77777777">
        <w:trPr>
          <w:trHeight w:val="397"/>
          <w:jc w:val="center"/>
        </w:trPr>
        <w:tc>
          <w:tcPr>
            <w:tcW w:w="823" w:type="dxa"/>
            <w:vAlign w:val="center"/>
          </w:tcPr>
          <w:p w14:paraId="17B8A531" w14:textId="77777777" w:rsidR="004B0883" w:rsidRDefault="004B0883">
            <w:pPr>
              <w:adjustRightInd w:val="0"/>
              <w:snapToGrid w:val="0"/>
              <w:jc w:val="center"/>
              <w:rPr>
                <w:kern w:val="0"/>
              </w:rPr>
            </w:pPr>
            <w:r>
              <w:rPr>
                <w:color w:val="000000"/>
              </w:rPr>
              <w:t>1</w:t>
            </w:r>
          </w:p>
        </w:tc>
        <w:tc>
          <w:tcPr>
            <w:tcW w:w="1853" w:type="dxa"/>
            <w:vAlign w:val="center"/>
          </w:tcPr>
          <w:p w14:paraId="21A5FDA1" w14:textId="77777777" w:rsidR="004B0883" w:rsidRDefault="004B0883">
            <w:pPr>
              <w:adjustRightInd w:val="0"/>
              <w:snapToGrid w:val="0"/>
              <w:jc w:val="center"/>
              <w:rPr>
                <w:rFonts w:ascii="宋体" w:hAnsi="宋体"/>
              </w:rPr>
            </w:pPr>
            <w:r>
              <w:rPr>
                <w:rFonts w:ascii="宋体" w:hAnsi="宋体" w:cs="微软雅黑" w:hint="eastAsia"/>
                <w:color w:val="000000"/>
              </w:rPr>
              <w:t>范庆伟</w:t>
            </w:r>
          </w:p>
        </w:tc>
        <w:tc>
          <w:tcPr>
            <w:tcW w:w="5852" w:type="dxa"/>
            <w:vAlign w:val="center"/>
          </w:tcPr>
          <w:p w14:paraId="77FFBF22" w14:textId="77777777" w:rsidR="004B0883" w:rsidRDefault="004B0883">
            <w:pPr>
              <w:adjustRightInd w:val="0"/>
              <w:snapToGrid w:val="0"/>
              <w:jc w:val="center"/>
              <w:rPr>
                <w:rFonts w:ascii="宋体" w:hAnsi="宋体"/>
                <w:kern w:val="0"/>
              </w:rPr>
            </w:pPr>
            <w:r>
              <w:rPr>
                <w:rFonts w:ascii="宋体" w:hAnsi="宋体" w:cs="微软雅黑" w:hint="eastAsia"/>
                <w:color w:val="000000"/>
              </w:rPr>
              <w:t>董事长，董事</w:t>
            </w:r>
          </w:p>
        </w:tc>
      </w:tr>
      <w:tr w:rsidR="004B0883" w14:paraId="21A72E2A" w14:textId="77777777">
        <w:trPr>
          <w:trHeight w:val="397"/>
          <w:jc w:val="center"/>
        </w:trPr>
        <w:tc>
          <w:tcPr>
            <w:tcW w:w="823" w:type="dxa"/>
            <w:vAlign w:val="center"/>
          </w:tcPr>
          <w:p w14:paraId="296544B7" w14:textId="77777777" w:rsidR="004B0883" w:rsidRDefault="004B0883">
            <w:pPr>
              <w:adjustRightInd w:val="0"/>
              <w:snapToGrid w:val="0"/>
              <w:jc w:val="center"/>
              <w:rPr>
                <w:kern w:val="0"/>
              </w:rPr>
            </w:pPr>
            <w:r>
              <w:rPr>
                <w:kern w:val="0"/>
              </w:rPr>
              <w:t>2</w:t>
            </w:r>
          </w:p>
        </w:tc>
        <w:tc>
          <w:tcPr>
            <w:tcW w:w="1853" w:type="dxa"/>
            <w:vAlign w:val="center"/>
          </w:tcPr>
          <w:p w14:paraId="2D09DA2D" w14:textId="77777777" w:rsidR="004B0883" w:rsidRDefault="004B0883">
            <w:pPr>
              <w:adjustRightInd w:val="0"/>
              <w:snapToGrid w:val="0"/>
              <w:jc w:val="center"/>
              <w:rPr>
                <w:rFonts w:ascii="宋体" w:hAnsi="宋体"/>
              </w:rPr>
            </w:pPr>
            <w:r>
              <w:rPr>
                <w:rFonts w:ascii="宋体" w:hAnsi="宋体" w:cs="微软雅黑" w:hint="eastAsia"/>
                <w:color w:val="000000"/>
              </w:rPr>
              <w:t>李会君</w:t>
            </w:r>
          </w:p>
        </w:tc>
        <w:tc>
          <w:tcPr>
            <w:tcW w:w="5852" w:type="dxa"/>
            <w:vAlign w:val="center"/>
          </w:tcPr>
          <w:p w14:paraId="6E03C4F0" w14:textId="77777777" w:rsidR="004B0883" w:rsidRDefault="004B0883">
            <w:pPr>
              <w:adjustRightInd w:val="0"/>
              <w:snapToGrid w:val="0"/>
              <w:jc w:val="center"/>
              <w:rPr>
                <w:rFonts w:ascii="宋体" w:hAnsi="宋体"/>
                <w:kern w:val="0"/>
              </w:rPr>
            </w:pPr>
            <w:r>
              <w:rPr>
                <w:rFonts w:ascii="宋体" w:hAnsi="宋体" w:cs="微软雅黑" w:hint="eastAsia"/>
                <w:color w:val="000000"/>
              </w:rPr>
              <w:t>董事，总经理</w:t>
            </w:r>
          </w:p>
        </w:tc>
      </w:tr>
      <w:tr w:rsidR="004B0883" w14:paraId="50031811" w14:textId="77777777">
        <w:trPr>
          <w:trHeight w:val="397"/>
          <w:jc w:val="center"/>
        </w:trPr>
        <w:tc>
          <w:tcPr>
            <w:tcW w:w="823" w:type="dxa"/>
            <w:vAlign w:val="center"/>
          </w:tcPr>
          <w:p w14:paraId="25A2C838" w14:textId="77777777" w:rsidR="004B0883" w:rsidRDefault="004B0883">
            <w:pPr>
              <w:adjustRightInd w:val="0"/>
              <w:snapToGrid w:val="0"/>
              <w:jc w:val="center"/>
              <w:rPr>
                <w:kern w:val="0"/>
              </w:rPr>
            </w:pPr>
            <w:r>
              <w:rPr>
                <w:color w:val="000000"/>
              </w:rPr>
              <w:t>3</w:t>
            </w:r>
          </w:p>
        </w:tc>
        <w:tc>
          <w:tcPr>
            <w:tcW w:w="1853" w:type="dxa"/>
            <w:vAlign w:val="center"/>
          </w:tcPr>
          <w:p w14:paraId="70E7C057" w14:textId="77777777" w:rsidR="004B0883" w:rsidRDefault="004B0883">
            <w:pPr>
              <w:adjustRightInd w:val="0"/>
              <w:snapToGrid w:val="0"/>
              <w:jc w:val="center"/>
              <w:rPr>
                <w:rFonts w:ascii="宋体" w:hAnsi="宋体"/>
                <w:kern w:val="0"/>
              </w:rPr>
            </w:pPr>
            <w:r>
              <w:rPr>
                <w:rFonts w:ascii="宋体" w:hAnsi="宋体" w:cs="微软雅黑" w:hint="eastAsia"/>
                <w:color w:val="000000"/>
              </w:rPr>
              <w:t>迟娜娜</w:t>
            </w:r>
          </w:p>
        </w:tc>
        <w:tc>
          <w:tcPr>
            <w:tcW w:w="5852" w:type="dxa"/>
            <w:vAlign w:val="center"/>
          </w:tcPr>
          <w:p w14:paraId="05CACC0F" w14:textId="77777777" w:rsidR="004B0883" w:rsidRDefault="004B0883">
            <w:pPr>
              <w:adjustRightInd w:val="0"/>
              <w:snapToGrid w:val="0"/>
              <w:jc w:val="center"/>
              <w:rPr>
                <w:rFonts w:ascii="宋体" w:hAnsi="宋体"/>
                <w:kern w:val="0"/>
              </w:rPr>
            </w:pPr>
            <w:r>
              <w:rPr>
                <w:rFonts w:ascii="宋体" w:hAnsi="宋体" w:cs="微软雅黑" w:hint="eastAsia"/>
                <w:color w:val="000000"/>
              </w:rPr>
              <w:t>董事，财务总监</w:t>
            </w:r>
          </w:p>
        </w:tc>
      </w:tr>
      <w:tr w:rsidR="004B0883" w14:paraId="629B7C34" w14:textId="77777777">
        <w:trPr>
          <w:trHeight w:val="397"/>
          <w:jc w:val="center"/>
        </w:trPr>
        <w:tc>
          <w:tcPr>
            <w:tcW w:w="823" w:type="dxa"/>
            <w:vAlign w:val="center"/>
          </w:tcPr>
          <w:p w14:paraId="21BF1BFE" w14:textId="77777777" w:rsidR="004B0883" w:rsidRDefault="004B0883">
            <w:pPr>
              <w:adjustRightInd w:val="0"/>
              <w:snapToGrid w:val="0"/>
              <w:jc w:val="center"/>
              <w:rPr>
                <w:kern w:val="0"/>
              </w:rPr>
            </w:pPr>
            <w:r>
              <w:rPr>
                <w:color w:val="000000"/>
              </w:rPr>
              <w:t>4</w:t>
            </w:r>
          </w:p>
        </w:tc>
        <w:tc>
          <w:tcPr>
            <w:tcW w:w="1853" w:type="dxa"/>
            <w:vAlign w:val="center"/>
          </w:tcPr>
          <w:p w14:paraId="3BA1B49E" w14:textId="77777777" w:rsidR="004B0883" w:rsidRDefault="004B0883">
            <w:pPr>
              <w:adjustRightInd w:val="0"/>
              <w:snapToGrid w:val="0"/>
              <w:jc w:val="center"/>
              <w:rPr>
                <w:rFonts w:ascii="宋体" w:hAnsi="宋体"/>
                <w:kern w:val="0"/>
              </w:rPr>
            </w:pPr>
            <w:r>
              <w:rPr>
                <w:rFonts w:ascii="宋体" w:hAnsi="宋体" w:cs="微软雅黑" w:hint="eastAsia"/>
                <w:color w:val="000000"/>
              </w:rPr>
              <w:t>范玉隆</w:t>
            </w:r>
          </w:p>
        </w:tc>
        <w:tc>
          <w:tcPr>
            <w:tcW w:w="5852" w:type="dxa"/>
            <w:vAlign w:val="center"/>
          </w:tcPr>
          <w:p w14:paraId="459AE6F7" w14:textId="77777777" w:rsidR="004B0883" w:rsidRDefault="004B0883">
            <w:pPr>
              <w:adjustRightInd w:val="0"/>
              <w:snapToGrid w:val="0"/>
              <w:jc w:val="center"/>
              <w:rPr>
                <w:rFonts w:ascii="宋体" w:hAnsi="宋体"/>
                <w:kern w:val="0"/>
              </w:rPr>
            </w:pPr>
            <w:r>
              <w:rPr>
                <w:rFonts w:ascii="宋体" w:hAnsi="宋体" w:cs="微软雅黑" w:hint="eastAsia"/>
                <w:color w:val="000000"/>
              </w:rPr>
              <w:t>董事</w:t>
            </w:r>
          </w:p>
        </w:tc>
      </w:tr>
      <w:tr w:rsidR="004B0883" w14:paraId="5439B9D0" w14:textId="77777777">
        <w:trPr>
          <w:trHeight w:val="397"/>
          <w:jc w:val="center"/>
        </w:trPr>
        <w:tc>
          <w:tcPr>
            <w:tcW w:w="823" w:type="dxa"/>
            <w:vAlign w:val="center"/>
          </w:tcPr>
          <w:p w14:paraId="01F8B501" w14:textId="77777777" w:rsidR="004B0883" w:rsidRDefault="004B0883">
            <w:pPr>
              <w:adjustRightInd w:val="0"/>
              <w:snapToGrid w:val="0"/>
              <w:jc w:val="center"/>
              <w:rPr>
                <w:kern w:val="0"/>
              </w:rPr>
            </w:pPr>
            <w:r>
              <w:rPr>
                <w:color w:val="000000"/>
              </w:rPr>
              <w:t>5</w:t>
            </w:r>
          </w:p>
        </w:tc>
        <w:tc>
          <w:tcPr>
            <w:tcW w:w="1853" w:type="dxa"/>
            <w:vAlign w:val="center"/>
          </w:tcPr>
          <w:p w14:paraId="3D44A03C" w14:textId="77777777" w:rsidR="004B0883" w:rsidRDefault="004B0883">
            <w:pPr>
              <w:adjustRightInd w:val="0"/>
              <w:snapToGrid w:val="0"/>
              <w:jc w:val="center"/>
              <w:rPr>
                <w:rFonts w:ascii="宋体" w:hAnsi="宋体"/>
                <w:kern w:val="0"/>
              </w:rPr>
            </w:pPr>
            <w:r>
              <w:rPr>
                <w:rFonts w:ascii="宋体" w:hAnsi="宋体" w:cs="微软雅黑" w:hint="eastAsia"/>
                <w:color w:val="000000"/>
              </w:rPr>
              <w:t>宋银立</w:t>
            </w:r>
          </w:p>
        </w:tc>
        <w:tc>
          <w:tcPr>
            <w:tcW w:w="5852" w:type="dxa"/>
            <w:vAlign w:val="center"/>
          </w:tcPr>
          <w:p w14:paraId="0CC3F279" w14:textId="77777777" w:rsidR="004B0883" w:rsidRDefault="004B0883">
            <w:pPr>
              <w:adjustRightInd w:val="0"/>
              <w:snapToGrid w:val="0"/>
              <w:jc w:val="center"/>
              <w:rPr>
                <w:rFonts w:ascii="宋体" w:hAnsi="宋体"/>
                <w:kern w:val="0"/>
              </w:rPr>
            </w:pPr>
            <w:r>
              <w:rPr>
                <w:rFonts w:ascii="宋体" w:hAnsi="宋体" w:cs="微软雅黑" w:hint="eastAsia"/>
                <w:color w:val="000000"/>
              </w:rPr>
              <w:t>独立董事</w:t>
            </w:r>
          </w:p>
        </w:tc>
      </w:tr>
      <w:tr w:rsidR="004B0883" w14:paraId="3BC028A5" w14:textId="77777777">
        <w:trPr>
          <w:trHeight w:val="397"/>
          <w:jc w:val="center"/>
        </w:trPr>
        <w:tc>
          <w:tcPr>
            <w:tcW w:w="823" w:type="dxa"/>
            <w:vAlign w:val="center"/>
          </w:tcPr>
          <w:p w14:paraId="459A40B2" w14:textId="77777777" w:rsidR="004B0883" w:rsidRDefault="004B0883">
            <w:pPr>
              <w:adjustRightInd w:val="0"/>
              <w:snapToGrid w:val="0"/>
              <w:jc w:val="center"/>
              <w:rPr>
                <w:kern w:val="0"/>
              </w:rPr>
            </w:pPr>
            <w:r>
              <w:rPr>
                <w:color w:val="000000"/>
              </w:rPr>
              <w:t>6</w:t>
            </w:r>
          </w:p>
        </w:tc>
        <w:tc>
          <w:tcPr>
            <w:tcW w:w="1853" w:type="dxa"/>
            <w:vAlign w:val="center"/>
          </w:tcPr>
          <w:p w14:paraId="49B0C83A" w14:textId="77777777" w:rsidR="004B0883" w:rsidRDefault="004B0883">
            <w:pPr>
              <w:adjustRightInd w:val="0"/>
              <w:snapToGrid w:val="0"/>
              <w:jc w:val="center"/>
              <w:rPr>
                <w:rFonts w:ascii="宋体" w:hAnsi="宋体"/>
                <w:kern w:val="0"/>
              </w:rPr>
            </w:pPr>
            <w:r>
              <w:rPr>
                <w:rFonts w:ascii="宋体" w:hAnsi="宋体" w:cs="微软雅黑" w:hint="eastAsia"/>
                <w:color w:val="000000"/>
              </w:rPr>
              <w:t>樊培银</w:t>
            </w:r>
          </w:p>
        </w:tc>
        <w:tc>
          <w:tcPr>
            <w:tcW w:w="5852" w:type="dxa"/>
            <w:vAlign w:val="center"/>
          </w:tcPr>
          <w:p w14:paraId="1DFE3190" w14:textId="77777777" w:rsidR="004B0883" w:rsidRDefault="004B0883">
            <w:pPr>
              <w:adjustRightInd w:val="0"/>
              <w:snapToGrid w:val="0"/>
              <w:jc w:val="center"/>
              <w:rPr>
                <w:rFonts w:ascii="宋体" w:hAnsi="宋体"/>
                <w:kern w:val="0"/>
              </w:rPr>
            </w:pPr>
            <w:r>
              <w:rPr>
                <w:rFonts w:ascii="宋体" w:hAnsi="宋体" w:cs="微软雅黑" w:hint="eastAsia"/>
                <w:color w:val="000000"/>
              </w:rPr>
              <w:t>独立董事</w:t>
            </w:r>
          </w:p>
        </w:tc>
      </w:tr>
      <w:tr w:rsidR="004B0883" w14:paraId="7B417E64" w14:textId="77777777">
        <w:trPr>
          <w:trHeight w:val="397"/>
          <w:jc w:val="center"/>
        </w:trPr>
        <w:tc>
          <w:tcPr>
            <w:tcW w:w="823" w:type="dxa"/>
            <w:vAlign w:val="center"/>
          </w:tcPr>
          <w:p w14:paraId="55E418C8" w14:textId="77777777" w:rsidR="004B0883" w:rsidRDefault="004B0883">
            <w:pPr>
              <w:adjustRightInd w:val="0"/>
              <w:snapToGrid w:val="0"/>
              <w:jc w:val="center"/>
              <w:rPr>
                <w:kern w:val="0"/>
              </w:rPr>
            </w:pPr>
            <w:r>
              <w:rPr>
                <w:color w:val="000000"/>
              </w:rPr>
              <w:t>7</w:t>
            </w:r>
          </w:p>
        </w:tc>
        <w:tc>
          <w:tcPr>
            <w:tcW w:w="1853" w:type="dxa"/>
            <w:vAlign w:val="center"/>
          </w:tcPr>
          <w:p w14:paraId="2A979E81" w14:textId="77777777" w:rsidR="004B0883" w:rsidRDefault="004B0883">
            <w:pPr>
              <w:adjustRightInd w:val="0"/>
              <w:snapToGrid w:val="0"/>
              <w:jc w:val="center"/>
              <w:rPr>
                <w:rFonts w:ascii="宋体" w:hAnsi="宋体"/>
                <w:kern w:val="0"/>
              </w:rPr>
            </w:pPr>
            <w:r>
              <w:rPr>
                <w:rFonts w:ascii="宋体" w:hAnsi="宋体" w:cs="微软雅黑" w:hint="eastAsia"/>
                <w:color w:val="000000"/>
              </w:rPr>
              <w:t>高科</w:t>
            </w:r>
          </w:p>
        </w:tc>
        <w:tc>
          <w:tcPr>
            <w:tcW w:w="5852" w:type="dxa"/>
            <w:vAlign w:val="center"/>
          </w:tcPr>
          <w:p w14:paraId="15A87948" w14:textId="77777777" w:rsidR="004B0883" w:rsidRDefault="004B0883">
            <w:pPr>
              <w:adjustRightInd w:val="0"/>
              <w:snapToGrid w:val="0"/>
              <w:jc w:val="center"/>
              <w:rPr>
                <w:rFonts w:ascii="宋体" w:hAnsi="宋体"/>
                <w:kern w:val="0"/>
              </w:rPr>
            </w:pPr>
            <w:r>
              <w:rPr>
                <w:rFonts w:ascii="宋体" w:hAnsi="宋体" w:cs="微软雅黑" w:hint="eastAsia"/>
                <w:color w:val="000000"/>
              </w:rPr>
              <w:t>独立董事</w:t>
            </w:r>
          </w:p>
        </w:tc>
      </w:tr>
      <w:tr w:rsidR="004B0883" w14:paraId="6A0C91C7" w14:textId="77777777">
        <w:trPr>
          <w:trHeight w:val="397"/>
          <w:jc w:val="center"/>
        </w:trPr>
        <w:tc>
          <w:tcPr>
            <w:tcW w:w="823" w:type="dxa"/>
            <w:vAlign w:val="center"/>
          </w:tcPr>
          <w:p w14:paraId="1A9ACE39" w14:textId="77777777" w:rsidR="004B0883" w:rsidRDefault="004B0883">
            <w:pPr>
              <w:adjustRightInd w:val="0"/>
              <w:snapToGrid w:val="0"/>
              <w:jc w:val="center"/>
              <w:rPr>
                <w:kern w:val="0"/>
              </w:rPr>
            </w:pPr>
            <w:r>
              <w:rPr>
                <w:color w:val="000000"/>
              </w:rPr>
              <w:t>8</w:t>
            </w:r>
          </w:p>
        </w:tc>
        <w:tc>
          <w:tcPr>
            <w:tcW w:w="1853" w:type="dxa"/>
            <w:vAlign w:val="center"/>
          </w:tcPr>
          <w:p w14:paraId="3FE618FA" w14:textId="77777777" w:rsidR="004B0883" w:rsidRDefault="004B0883">
            <w:pPr>
              <w:adjustRightInd w:val="0"/>
              <w:snapToGrid w:val="0"/>
              <w:jc w:val="center"/>
              <w:rPr>
                <w:rFonts w:ascii="宋体" w:hAnsi="宋体"/>
                <w:kern w:val="0"/>
              </w:rPr>
            </w:pPr>
            <w:r>
              <w:rPr>
                <w:rFonts w:ascii="宋体" w:hAnsi="宋体" w:cs="微软雅黑" w:hint="eastAsia"/>
                <w:color w:val="000000"/>
              </w:rPr>
              <w:t>于春红</w:t>
            </w:r>
          </w:p>
        </w:tc>
        <w:tc>
          <w:tcPr>
            <w:tcW w:w="5852" w:type="dxa"/>
            <w:vAlign w:val="center"/>
          </w:tcPr>
          <w:p w14:paraId="79591877" w14:textId="77777777" w:rsidR="004B0883" w:rsidRDefault="004B0883">
            <w:pPr>
              <w:adjustRightInd w:val="0"/>
              <w:snapToGrid w:val="0"/>
              <w:jc w:val="center"/>
              <w:rPr>
                <w:rFonts w:ascii="宋体" w:hAnsi="宋体"/>
                <w:kern w:val="0"/>
              </w:rPr>
            </w:pPr>
            <w:r>
              <w:rPr>
                <w:rFonts w:ascii="宋体" w:hAnsi="宋体" w:cs="微软雅黑" w:hint="eastAsia"/>
                <w:color w:val="000000"/>
              </w:rPr>
              <w:t>监事会主席</w:t>
            </w:r>
          </w:p>
        </w:tc>
      </w:tr>
      <w:tr w:rsidR="004B0883" w14:paraId="12988AED" w14:textId="77777777">
        <w:trPr>
          <w:trHeight w:val="397"/>
          <w:jc w:val="center"/>
        </w:trPr>
        <w:tc>
          <w:tcPr>
            <w:tcW w:w="823" w:type="dxa"/>
            <w:vAlign w:val="center"/>
          </w:tcPr>
          <w:p w14:paraId="7F416591" w14:textId="77777777" w:rsidR="004B0883" w:rsidRDefault="004B0883">
            <w:pPr>
              <w:adjustRightInd w:val="0"/>
              <w:snapToGrid w:val="0"/>
              <w:jc w:val="center"/>
              <w:rPr>
                <w:kern w:val="0"/>
              </w:rPr>
            </w:pPr>
            <w:r>
              <w:rPr>
                <w:color w:val="000000"/>
              </w:rPr>
              <w:t>9</w:t>
            </w:r>
          </w:p>
        </w:tc>
        <w:tc>
          <w:tcPr>
            <w:tcW w:w="1853" w:type="dxa"/>
            <w:vAlign w:val="center"/>
          </w:tcPr>
          <w:p w14:paraId="0AE2698F" w14:textId="77777777" w:rsidR="004B0883" w:rsidRDefault="004B0883">
            <w:pPr>
              <w:adjustRightInd w:val="0"/>
              <w:snapToGrid w:val="0"/>
              <w:jc w:val="center"/>
              <w:rPr>
                <w:rFonts w:ascii="宋体" w:hAnsi="宋体"/>
                <w:kern w:val="0"/>
              </w:rPr>
            </w:pPr>
            <w:r>
              <w:rPr>
                <w:rFonts w:ascii="宋体" w:hAnsi="宋体" w:cs="微软雅黑" w:hint="eastAsia"/>
                <w:color w:val="000000"/>
              </w:rPr>
              <w:t>王凤春</w:t>
            </w:r>
          </w:p>
        </w:tc>
        <w:tc>
          <w:tcPr>
            <w:tcW w:w="5852" w:type="dxa"/>
            <w:vAlign w:val="center"/>
          </w:tcPr>
          <w:p w14:paraId="2AF84C6C" w14:textId="77777777" w:rsidR="004B0883" w:rsidRDefault="004B0883">
            <w:pPr>
              <w:adjustRightInd w:val="0"/>
              <w:snapToGrid w:val="0"/>
              <w:jc w:val="center"/>
              <w:rPr>
                <w:rFonts w:ascii="宋体" w:hAnsi="宋体"/>
                <w:kern w:val="0"/>
              </w:rPr>
            </w:pPr>
            <w:r>
              <w:rPr>
                <w:rFonts w:ascii="宋体" w:hAnsi="宋体" w:cs="微软雅黑" w:hint="eastAsia"/>
                <w:color w:val="000000"/>
              </w:rPr>
              <w:t>监事</w:t>
            </w:r>
          </w:p>
        </w:tc>
      </w:tr>
      <w:tr w:rsidR="004B0883" w14:paraId="23F827E5" w14:textId="77777777">
        <w:trPr>
          <w:trHeight w:val="397"/>
          <w:jc w:val="center"/>
        </w:trPr>
        <w:tc>
          <w:tcPr>
            <w:tcW w:w="823" w:type="dxa"/>
            <w:vAlign w:val="center"/>
          </w:tcPr>
          <w:p w14:paraId="011668B7" w14:textId="77777777" w:rsidR="004B0883" w:rsidRDefault="004B0883">
            <w:pPr>
              <w:adjustRightInd w:val="0"/>
              <w:snapToGrid w:val="0"/>
              <w:jc w:val="center"/>
              <w:rPr>
                <w:kern w:val="0"/>
              </w:rPr>
            </w:pPr>
            <w:r>
              <w:rPr>
                <w:color w:val="000000"/>
              </w:rPr>
              <w:t>10</w:t>
            </w:r>
          </w:p>
        </w:tc>
        <w:tc>
          <w:tcPr>
            <w:tcW w:w="1853" w:type="dxa"/>
            <w:vAlign w:val="center"/>
          </w:tcPr>
          <w:p w14:paraId="53BBD3F3" w14:textId="77777777" w:rsidR="004B0883" w:rsidRDefault="004B0883">
            <w:pPr>
              <w:adjustRightInd w:val="0"/>
              <w:snapToGrid w:val="0"/>
              <w:jc w:val="center"/>
              <w:rPr>
                <w:rFonts w:ascii="宋体" w:hAnsi="宋体"/>
                <w:kern w:val="0"/>
              </w:rPr>
            </w:pPr>
            <w:r>
              <w:rPr>
                <w:rFonts w:ascii="宋体" w:hAnsi="宋体" w:cs="微软雅黑" w:hint="eastAsia"/>
                <w:color w:val="000000"/>
              </w:rPr>
              <w:t>张涛</w:t>
            </w:r>
          </w:p>
        </w:tc>
        <w:tc>
          <w:tcPr>
            <w:tcW w:w="5852" w:type="dxa"/>
            <w:vAlign w:val="center"/>
          </w:tcPr>
          <w:p w14:paraId="67BEF634" w14:textId="77777777" w:rsidR="004B0883" w:rsidRDefault="004B0883">
            <w:pPr>
              <w:adjustRightInd w:val="0"/>
              <w:snapToGrid w:val="0"/>
              <w:jc w:val="center"/>
              <w:rPr>
                <w:rFonts w:ascii="宋体" w:hAnsi="宋体"/>
                <w:kern w:val="0"/>
              </w:rPr>
            </w:pPr>
            <w:r>
              <w:rPr>
                <w:rFonts w:ascii="宋体" w:hAnsi="宋体" w:cs="微软雅黑" w:hint="eastAsia"/>
                <w:color w:val="000000"/>
              </w:rPr>
              <w:t>监事</w:t>
            </w:r>
          </w:p>
        </w:tc>
      </w:tr>
      <w:tr w:rsidR="004B0883" w14:paraId="5B692461" w14:textId="77777777">
        <w:trPr>
          <w:trHeight w:val="397"/>
          <w:jc w:val="center"/>
        </w:trPr>
        <w:tc>
          <w:tcPr>
            <w:tcW w:w="823" w:type="dxa"/>
            <w:vAlign w:val="center"/>
          </w:tcPr>
          <w:p w14:paraId="021F5177" w14:textId="77777777" w:rsidR="004B0883" w:rsidRDefault="004B0883">
            <w:pPr>
              <w:adjustRightInd w:val="0"/>
              <w:snapToGrid w:val="0"/>
              <w:jc w:val="center"/>
              <w:rPr>
                <w:kern w:val="0"/>
              </w:rPr>
            </w:pPr>
            <w:r>
              <w:rPr>
                <w:color w:val="000000"/>
              </w:rPr>
              <w:t>11</w:t>
            </w:r>
          </w:p>
        </w:tc>
        <w:tc>
          <w:tcPr>
            <w:tcW w:w="1853" w:type="dxa"/>
            <w:vAlign w:val="center"/>
          </w:tcPr>
          <w:p w14:paraId="0684EA79" w14:textId="77777777" w:rsidR="004B0883" w:rsidRDefault="004B0883">
            <w:pPr>
              <w:adjustRightInd w:val="0"/>
              <w:snapToGrid w:val="0"/>
              <w:jc w:val="center"/>
              <w:rPr>
                <w:rFonts w:ascii="宋体" w:hAnsi="宋体"/>
                <w:kern w:val="0"/>
              </w:rPr>
            </w:pPr>
            <w:r>
              <w:rPr>
                <w:rFonts w:ascii="宋体" w:hAnsi="宋体" w:cs="微软雅黑" w:hint="eastAsia"/>
                <w:color w:val="000000"/>
              </w:rPr>
              <w:t>张会亭</w:t>
            </w:r>
          </w:p>
        </w:tc>
        <w:tc>
          <w:tcPr>
            <w:tcW w:w="5852" w:type="dxa"/>
            <w:vAlign w:val="center"/>
          </w:tcPr>
          <w:p w14:paraId="3423C5D4" w14:textId="77777777" w:rsidR="004B0883" w:rsidRDefault="004B0883">
            <w:pPr>
              <w:adjustRightInd w:val="0"/>
              <w:snapToGrid w:val="0"/>
              <w:jc w:val="center"/>
              <w:rPr>
                <w:rFonts w:ascii="宋体" w:hAnsi="宋体"/>
                <w:kern w:val="0"/>
              </w:rPr>
            </w:pPr>
            <w:r>
              <w:rPr>
                <w:rFonts w:ascii="宋体" w:hAnsi="宋体" w:cs="微软雅黑" w:hint="eastAsia"/>
                <w:color w:val="000000"/>
              </w:rPr>
              <w:t>研发技术总监</w:t>
            </w:r>
          </w:p>
        </w:tc>
      </w:tr>
      <w:tr w:rsidR="004B0883" w14:paraId="46ACBFEF" w14:textId="77777777">
        <w:trPr>
          <w:trHeight w:val="397"/>
          <w:jc w:val="center"/>
        </w:trPr>
        <w:tc>
          <w:tcPr>
            <w:tcW w:w="823" w:type="dxa"/>
            <w:vAlign w:val="center"/>
          </w:tcPr>
          <w:p w14:paraId="6BA58E0A" w14:textId="77777777" w:rsidR="004B0883" w:rsidRDefault="004B0883">
            <w:pPr>
              <w:adjustRightInd w:val="0"/>
              <w:snapToGrid w:val="0"/>
              <w:jc w:val="center"/>
              <w:rPr>
                <w:color w:val="000000"/>
              </w:rPr>
            </w:pPr>
            <w:r>
              <w:rPr>
                <w:color w:val="000000"/>
              </w:rPr>
              <w:t>12</w:t>
            </w:r>
          </w:p>
        </w:tc>
        <w:tc>
          <w:tcPr>
            <w:tcW w:w="1853" w:type="dxa"/>
            <w:vAlign w:val="center"/>
          </w:tcPr>
          <w:p w14:paraId="49471443" w14:textId="77777777" w:rsidR="004B0883" w:rsidRDefault="004B0883">
            <w:pPr>
              <w:adjustRightInd w:val="0"/>
              <w:snapToGrid w:val="0"/>
              <w:jc w:val="center"/>
              <w:rPr>
                <w:rFonts w:ascii="宋体" w:hAnsi="宋体" w:cs="微软雅黑"/>
                <w:color w:val="000000"/>
              </w:rPr>
            </w:pPr>
            <w:r>
              <w:rPr>
                <w:rFonts w:ascii="宋体" w:hAnsi="宋体" w:cs="微软雅黑" w:hint="eastAsia"/>
                <w:color w:val="000000"/>
              </w:rPr>
              <w:t>王兆健</w:t>
            </w:r>
          </w:p>
        </w:tc>
        <w:tc>
          <w:tcPr>
            <w:tcW w:w="5852" w:type="dxa"/>
            <w:vAlign w:val="center"/>
          </w:tcPr>
          <w:p w14:paraId="46E12748" w14:textId="77777777" w:rsidR="004B0883" w:rsidRDefault="004B0883">
            <w:pPr>
              <w:adjustRightInd w:val="0"/>
              <w:snapToGrid w:val="0"/>
              <w:jc w:val="center"/>
              <w:rPr>
                <w:rFonts w:ascii="宋体" w:hAnsi="宋体" w:cs="微软雅黑"/>
                <w:color w:val="000000"/>
              </w:rPr>
            </w:pPr>
            <w:r>
              <w:rPr>
                <w:rFonts w:ascii="宋体" w:hAnsi="宋体" w:cs="微软雅黑" w:hint="eastAsia"/>
                <w:color w:val="000000"/>
              </w:rPr>
              <w:t>质量总监</w:t>
            </w:r>
          </w:p>
        </w:tc>
      </w:tr>
      <w:tr w:rsidR="004B0883" w14:paraId="6DC8CCB6" w14:textId="77777777">
        <w:trPr>
          <w:trHeight w:val="397"/>
          <w:jc w:val="center"/>
        </w:trPr>
        <w:tc>
          <w:tcPr>
            <w:tcW w:w="823" w:type="dxa"/>
            <w:vAlign w:val="center"/>
          </w:tcPr>
          <w:p w14:paraId="6C4C184D" w14:textId="77777777" w:rsidR="004B0883" w:rsidRDefault="004B0883">
            <w:pPr>
              <w:adjustRightInd w:val="0"/>
              <w:snapToGrid w:val="0"/>
              <w:jc w:val="center"/>
              <w:rPr>
                <w:color w:val="000000"/>
              </w:rPr>
            </w:pPr>
            <w:r>
              <w:rPr>
                <w:color w:val="000000"/>
              </w:rPr>
              <w:t>13</w:t>
            </w:r>
          </w:p>
        </w:tc>
        <w:tc>
          <w:tcPr>
            <w:tcW w:w="1853" w:type="dxa"/>
            <w:vAlign w:val="center"/>
          </w:tcPr>
          <w:p w14:paraId="3E4D3211" w14:textId="77777777" w:rsidR="004B0883" w:rsidRDefault="004B0883">
            <w:pPr>
              <w:adjustRightInd w:val="0"/>
              <w:snapToGrid w:val="0"/>
              <w:jc w:val="center"/>
              <w:rPr>
                <w:rFonts w:ascii="宋体" w:hAnsi="宋体" w:cs="微软雅黑"/>
                <w:color w:val="000000"/>
              </w:rPr>
            </w:pPr>
            <w:r>
              <w:rPr>
                <w:rFonts w:ascii="宋体" w:hAnsi="宋体" w:cs="微软雅黑" w:hint="eastAsia"/>
                <w:color w:val="000000"/>
              </w:rPr>
              <w:t>郭成尼</w:t>
            </w:r>
          </w:p>
        </w:tc>
        <w:tc>
          <w:tcPr>
            <w:tcW w:w="5852" w:type="dxa"/>
            <w:vAlign w:val="center"/>
          </w:tcPr>
          <w:p w14:paraId="328685D3" w14:textId="77777777" w:rsidR="004B0883" w:rsidRDefault="004B0883">
            <w:pPr>
              <w:adjustRightInd w:val="0"/>
              <w:snapToGrid w:val="0"/>
              <w:jc w:val="center"/>
              <w:rPr>
                <w:rFonts w:ascii="宋体" w:hAnsi="宋体" w:cs="微软雅黑"/>
                <w:color w:val="000000"/>
              </w:rPr>
            </w:pPr>
            <w:r>
              <w:rPr>
                <w:rFonts w:ascii="宋体" w:hAnsi="宋体" w:cs="微软雅黑" w:hint="eastAsia"/>
                <w:color w:val="000000"/>
              </w:rPr>
              <w:t>国际销售总监</w:t>
            </w:r>
          </w:p>
        </w:tc>
      </w:tr>
      <w:tr w:rsidR="004B0883" w14:paraId="545D1752" w14:textId="77777777">
        <w:trPr>
          <w:trHeight w:val="397"/>
          <w:jc w:val="center"/>
        </w:trPr>
        <w:tc>
          <w:tcPr>
            <w:tcW w:w="823" w:type="dxa"/>
            <w:vAlign w:val="center"/>
          </w:tcPr>
          <w:p w14:paraId="4B6252E2" w14:textId="77777777" w:rsidR="004B0883" w:rsidRDefault="004B0883">
            <w:pPr>
              <w:adjustRightInd w:val="0"/>
              <w:snapToGrid w:val="0"/>
              <w:jc w:val="center"/>
              <w:rPr>
                <w:color w:val="000000"/>
              </w:rPr>
            </w:pPr>
            <w:r>
              <w:rPr>
                <w:color w:val="000000"/>
              </w:rPr>
              <w:t>14</w:t>
            </w:r>
          </w:p>
        </w:tc>
        <w:tc>
          <w:tcPr>
            <w:tcW w:w="1853" w:type="dxa"/>
            <w:vAlign w:val="center"/>
          </w:tcPr>
          <w:p w14:paraId="1612902E" w14:textId="77777777" w:rsidR="004B0883" w:rsidRDefault="004B0883">
            <w:pPr>
              <w:adjustRightInd w:val="0"/>
              <w:snapToGrid w:val="0"/>
              <w:jc w:val="center"/>
              <w:rPr>
                <w:rFonts w:ascii="宋体" w:hAnsi="宋体" w:cs="微软雅黑"/>
                <w:color w:val="000000"/>
              </w:rPr>
            </w:pPr>
            <w:r>
              <w:rPr>
                <w:rFonts w:ascii="宋体" w:hAnsi="宋体" w:cs="微软雅黑" w:hint="eastAsia"/>
                <w:color w:val="000000"/>
              </w:rPr>
              <w:t>陈存明</w:t>
            </w:r>
          </w:p>
        </w:tc>
        <w:tc>
          <w:tcPr>
            <w:tcW w:w="5852" w:type="dxa"/>
            <w:vAlign w:val="center"/>
          </w:tcPr>
          <w:p w14:paraId="6131F3A6" w14:textId="77777777" w:rsidR="004B0883" w:rsidRDefault="004B0883">
            <w:pPr>
              <w:adjustRightInd w:val="0"/>
              <w:snapToGrid w:val="0"/>
              <w:jc w:val="center"/>
              <w:rPr>
                <w:rFonts w:ascii="宋体" w:hAnsi="宋体" w:cs="微软雅黑"/>
                <w:color w:val="000000"/>
              </w:rPr>
            </w:pPr>
            <w:r>
              <w:rPr>
                <w:rFonts w:ascii="宋体" w:hAnsi="宋体" w:cs="微软雅黑" w:hint="eastAsia"/>
                <w:color w:val="000000"/>
              </w:rPr>
              <w:t>营销中心总监</w:t>
            </w:r>
          </w:p>
        </w:tc>
      </w:tr>
      <w:tr w:rsidR="004B0883" w14:paraId="44D12621" w14:textId="77777777">
        <w:trPr>
          <w:trHeight w:val="397"/>
          <w:jc w:val="center"/>
        </w:trPr>
        <w:tc>
          <w:tcPr>
            <w:tcW w:w="823" w:type="dxa"/>
            <w:vAlign w:val="center"/>
          </w:tcPr>
          <w:p w14:paraId="125493D6" w14:textId="77777777" w:rsidR="004B0883" w:rsidRDefault="004B0883">
            <w:pPr>
              <w:adjustRightInd w:val="0"/>
              <w:snapToGrid w:val="0"/>
              <w:jc w:val="center"/>
              <w:rPr>
                <w:color w:val="000000"/>
              </w:rPr>
            </w:pPr>
            <w:r>
              <w:rPr>
                <w:color w:val="000000"/>
              </w:rPr>
              <w:t>15</w:t>
            </w:r>
          </w:p>
        </w:tc>
        <w:tc>
          <w:tcPr>
            <w:tcW w:w="1853" w:type="dxa"/>
            <w:vAlign w:val="center"/>
          </w:tcPr>
          <w:p w14:paraId="51B8338F" w14:textId="77777777" w:rsidR="004B0883" w:rsidRDefault="004B0883">
            <w:pPr>
              <w:adjustRightInd w:val="0"/>
              <w:snapToGrid w:val="0"/>
              <w:jc w:val="center"/>
              <w:rPr>
                <w:rFonts w:ascii="宋体" w:hAnsi="宋体" w:cs="微软雅黑"/>
                <w:color w:val="000000"/>
              </w:rPr>
            </w:pPr>
            <w:r>
              <w:rPr>
                <w:rFonts w:ascii="宋体" w:hAnsi="宋体" w:hint="eastAsia"/>
                <w:color w:val="000000"/>
              </w:rPr>
              <w:t>渠汇成</w:t>
            </w:r>
          </w:p>
        </w:tc>
        <w:tc>
          <w:tcPr>
            <w:tcW w:w="5852" w:type="dxa"/>
            <w:vAlign w:val="center"/>
          </w:tcPr>
          <w:p w14:paraId="229EE558" w14:textId="77777777" w:rsidR="004B0883" w:rsidRDefault="004B0883">
            <w:pPr>
              <w:adjustRightInd w:val="0"/>
              <w:snapToGrid w:val="0"/>
              <w:jc w:val="center"/>
              <w:rPr>
                <w:rFonts w:ascii="宋体" w:hAnsi="宋体" w:cs="微软雅黑"/>
                <w:color w:val="000000"/>
              </w:rPr>
            </w:pPr>
            <w:r>
              <w:rPr>
                <w:rFonts w:ascii="宋体" w:hAnsi="宋体" w:hint="eastAsia"/>
                <w:color w:val="000000"/>
              </w:rPr>
              <w:t>生产总监</w:t>
            </w:r>
          </w:p>
        </w:tc>
      </w:tr>
      <w:tr w:rsidR="004B0883" w14:paraId="01C668DB" w14:textId="77777777">
        <w:trPr>
          <w:trHeight w:val="397"/>
          <w:jc w:val="center"/>
        </w:trPr>
        <w:tc>
          <w:tcPr>
            <w:tcW w:w="823" w:type="dxa"/>
            <w:vAlign w:val="center"/>
          </w:tcPr>
          <w:p w14:paraId="26B08C91" w14:textId="77777777" w:rsidR="004B0883" w:rsidRDefault="004B0883">
            <w:pPr>
              <w:adjustRightInd w:val="0"/>
              <w:snapToGrid w:val="0"/>
              <w:jc w:val="center"/>
              <w:rPr>
                <w:color w:val="000000"/>
              </w:rPr>
            </w:pPr>
            <w:r>
              <w:rPr>
                <w:color w:val="000000"/>
              </w:rPr>
              <w:t>16</w:t>
            </w:r>
          </w:p>
        </w:tc>
        <w:tc>
          <w:tcPr>
            <w:tcW w:w="1853" w:type="dxa"/>
            <w:vAlign w:val="center"/>
          </w:tcPr>
          <w:p w14:paraId="5E0D6294" w14:textId="77777777" w:rsidR="004B0883" w:rsidRDefault="004B0883">
            <w:pPr>
              <w:adjustRightInd w:val="0"/>
              <w:snapToGrid w:val="0"/>
              <w:jc w:val="center"/>
              <w:rPr>
                <w:rFonts w:ascii="宋体" w:hAnsi="宋体"/>
                <w:color w:val="000000"/>
              </w:rPr>
            </w:pPr>
            <w:r>
              <w:rPr>
                <w:rFonts w:ascii="宋体" w:hAnsi="宋体" w:hint="eastAsia"/>
                <w:color w:val="000000"/>
              </w:rPr>
              <w:t>李鹏飞</w:t>
            </w:r>
          </w:p>
        </w:tc>
        <w:tc>
          <w:tcPr>
            <w:tcW w:w="5852" w:type="dxa"/>
            <w:vAlign w:val="center"/>
          </w:tcPr>
          <w:p w14:paraId="428BA1AE" w14:textId="77777777" w:rsidR="004B0883" w:rsidRDefault="004B0883">
            <w:pPr>
              <w:adjustRightInd w:val="0"/>
              <w:snapToGrid w:val="0"/>
              <w:jc w:val="center"/>
              <w:rPr>
                <w:rFonts w:ascii="宋体" w:hAnsi="宋体"/>
                <w:color w:val="000000"/>
              </w:rPr>
            </w:pPr>
            <w:r>
              <w:rPr>
                <w:rFonts w:ascii="宋体" w:hAnsi="宋体" w:hint="eastAsia"/>
                <w:color w:val="000000"/>
              </w:rPr>
              <w:t>董事会秘书</w:t>
            </w:r>
          </w:p>
        </w:tc>
      </w:tr>
    </w:tbl>
    <w:bookmarkEnd w:id="393"/>
    <w:p w14:paraId="33B14877" w14:textId="77777777" w:rsidR="004B0883" w:rsidRDefault="004B0883">
      <w:pPr>
        <w:pStyle w:val="005"/>
        <w:spacing w:before="120"/>
        <w:ind w:firstLine="480"/>
      </w:pPr>
      <w:r>
        <w:rPr>
          <w:rFonts w:hint="eastAsia"/>
        </w:rPr>
        <w:t>发行人现任董事、监事、高级管理人员之关系密切的家庭成员，包括配偶、年满</w:t>
      </w:r>
      <w:r>
        <w:rPr>
          <w:rFonts w:hint="eastAsia"/>
        </w:rPr>
        <w:t>18</w:t>
      </w:r>
      <w:r>
        <w:rPr>
          <w:rFonts w:hint="eastAsia"/>
        </w:rPr>
        <w:t>周岁的子女及配偶、父母及配偶的父母、兄弟姐妹及其配偶、配偶的兄弟姐妹、子女配偶的父母亦系发行人之关联方。</w:t>
      </w:r>
    </w:p>
    <w:p w14:paraId="3335CBD5" w14:textId="77777777" w:rsidR="004B0883" w:rsidRDefault="004B0883">
      <w:pPr>
        <w:pStyle w:val="005"/>
        <w:spacing w:before="120"/>
        <w:ind w:firstLine="480"/>
      </w:pPr>
      <w:r>
        <w:rPr>
          <w:rFonts w:hint="eastAsia"/>
        </w:rPr>
        <w:t>7</w:t>
      </w:r>
      <w:r>
        <w:rPr>
          <w:rFonts w:hint="eastAsia"/>
        </w:rPr>
        <w:t>、发行人关联自然人直接或间接控制的，或担任董事、高级管理人员的除上述企业以外的企业</w:t>
      </w:r>
    </w:p>
    <w:p w14:paraId="31D9899D" w14:textId="77777777" w:rsidR="004B0883" w:rsidRDefault="004B0883">
      <w:pPr>
        <w:pStyle w:val="005"/>
        <w:spacing w:before="120"/>
        <w:ind w:firstLine="480"/>
      </w:pPr>
      <w:r>
        <w:rPr>
          <w:rFonts w:hint="eastAsia"/>
        </w:rPr>
        <w:t>发行人关联自然人直接或间接控制的，或担任董事（不含独立董事）、高级管理人员的除上述企业以外的企业情况如下：</w:t>
      </w:r>
    </w:p>
    <w:tbl>
      <w:tblPr>
        <w:tblW w:w="8528"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68"/>
        <w:gridCol w:w="3224"/>
        <w:gridCol w:w="4636"/>
      </w:tblGrid>
      <w:tr w:rsidR="004B0883" w14:paraId="17586673" w14:textId="77777777">
        <w:trPr>
          <w:trHeight w:val="397"/>
          <w:tblHeader/>
          <w:jc w:val="center"/>
        </w:trPr>
        <w:tc>
          <w:tcPr>
            <w:tcW w:w="668" w:type="dxa"/>
            <w:shd w:val="clear" w:color="auto" w:fill="D9D9D9"/>
            <w:vAlign w:val="center"/>
          </w:tcPr>
          <w:p w14:paraId="018120B5" w14:textId="77777777" w:rsidR="004B0883" w:rsidRDefault="004B0883">
            <w:pPr>
              <w:adjustRightInd w:val="0"/>
              <w:snapToGrid w:val="0"/>
              <w:rPr>
                <w:b/>
              </w:rPr>
            </w:pPr>
            <w:r>
              <w:rPr>
                <w:b/>
              </w:rPr>
              <w:t>序号</w:t>
            </w:r>
          </w:p>
        </w:tc>
        <w:tc>
          <w:tcPr>
            <w:tcW w:w="3224" w:type="dxa"/>
            <w:shd w:val="clear" w:color="auto" w:fill="D9D9D9"/>
            <w:vAlign w:val="center"/>
          </w:tcPr>
          <w:p w14:paraId="51D07CF8" w14:textId="77777777" w:rsidR="004B0883" w:rsidRDefault="004B0883">
            <w:pPr>
              <w:adjustRightInd w:val="0"/>
              <w:snapToGrid w:val="0"/>
              <w:jc w:val="center"/>
              <w:rPr>
                <w:b/>
                <w:bCs/>
                <w:color w:val="000000"/>
                <w:kern w:val="0"/>
              </w:rPr>
            </w:pPr>
            <w:r>
              <w:rPr>
                <w:b/>
                <w:color w:val="000000"/>
              </w:rPr>
              <w:t>关联企业名称</w:t>
            </w:r>
          </w:p>
        </w:tc>
        <w:tc>
          <w:tcPr>
            <w:tcW w:w="4636" w:type="dxa"/>
            <w:shd w:val="clear" w:color="auto" w:fill="D9D9D9"/>
            <w:vAlign w:val="center"/>
          </w:tcPr>
          <w:p w14:paraId="46571F4B" w14:textId="77777777" w:rsidR="004B0883" w:rsidRDefault="004B0883">
            <w:pPr>
              <w:adjustRightInd w:val="0"/>
              <w:snapToGrid w:val="0"/>
              <w:jc w:val="center"/>
              <w:rPr>
                <w:b/>
                <w:bCs/>
                <w:color w:val="000000"/>
                <w:kern w:val="0"/>
              </w:rPr>
            </w:pPr>
            <w:r>
              <w:rPr>
                <w:b/>
                <w:color w:val="000000"/>
              </w:rPr>
              <w:t>关联关系</w:t>
            </w:r>
          </w:p>
        </w:tc>
      </w:tr>
      <w:tr w:rsidR="004B0883" w14:paraId="5F1F848B" w14:textId="77777777">
        <w:trPr>
          <w:trHeight w:val="397"/>
          <w:jc w:val="center"/>
        </w:trPr>
        <w:tc>
          <w:tcPr>
            <w:tcW w:w="668" w:type="dxa"/>
            <w:vAlign w:val="center"/>
          </w:tcPr>
          <w:p w14:paraId="355F1A54" w14:textId="77777777" w:rsidR="004B0883" w:rsidRDefault="004B0883">
            <w:pPr>
              <w:adjustRightInd w:val="0"/>
              <w:snapToGrid w:val="0"/>
              <w:jc w:val="center"/>
              <w:rPr>
                <w:color w:val="000000"/>
                <w:kern w:val="0"/>
              </w:rPr>
            </w:pPr>
            <w:r>
              <w:t>1</w:t>
            </w:r>
          </w:p>
        </w:tc>
        <w:tc>
          <w:tcPr>
            <w:tcW w:w="3224" w:type="dxa"/>
            <w:vAlign w:val="center"/>
          </w:tcPr>
          <w:p w14:paraId="1C81C61C" w14:textId="77777777" w:rsidR="004B0883" w:rsidRDefault="004B0883">
            <w:pPr>
              <w:adjustRightInd w:val="0"/>
              <w:snapToGrid w:val="0"/>
              <w:rPr>
                <w:color w:val="000000"/>
              </w:rPr>
            </w:pPr>
            <w:r>
              <w:rPr>
                <w:rFonts w:hint="eastAsia"/>
              </w:rPr>
              <w:t>昌邑恒丽非织造布有限公司</w:t>
            </w:r>
          </w:p>
        </w:tc>
        <w:tc>
          <w:tcPr>
            <w:tcW w:w="4636" w:type="dxa"/>
            <w:vAlign w:val="center"/>
          </w:tcPr>
          <w:p w14:paraId="3999DF7D" w14:textId="77777777" w:rsidR="004B0883" w:rsidRDefault="004B0883">
            <w:pPr>
              <w:adjustRightInd w:val="0"/>
              <w:snapToGrid w:val="0"/>
              <w:rPr>
                <w:bCs/>
                <w:color w:val="000000"/>
                <w:kern w:val="0"/>
              </w:rPr>
            </w:pPr>
            <w:r>
              <w:rPr>
                <w:rFonts w:hint="eastAsia"/>
              </w:rPr>
              <w:t>董事及总经理李会君之兄李会贤担任董事</w:t>
            </w:r>
          </w:p>
        </w:tc>
      </w:tr>
      <w:tr w:rsidR="004B0883" w14:paraId="582418E7" w14:textId="77777777">
        <w:trPr>
          <w:trHeight w:val="397"/>
          <w:jc w:val="center"/>
        </w:trPr>
        <w:tc>
          <w:tcPr>
            <w:tcW w:w="668" w:type="dxa"/>
            <w:vAlign w:val="center"/>
          </w:tcPr>
          <w:p w14:paraId="572CA2EF" w14:textId="77777777" w:rsidR="004B0883" w:rsidRDefault="004B0883">
            <w:pPr>
              <w:adjustRightInd w:val="0"/>
              <w:snapToGrid w:val="0"/>
              <w:jc w:val="center"/>
              <w:rPr>
                <w:color w:val="000000"/>
                <w:kern w:val="0"/>
              </w:rPr>
            </w:pPr>
            <w:r>
              <w:rPr>
                <w:color w:val="000000"/>
                <w:kern w:val="0"/>
              </w:rPr>
              <w:t>2</w:t>
            </w:r>
          </w:p>
        </w:tc>
        <w:tc>
          <w:tcPr>
            <w:tcW w:w="3224" w:type="dxa"/>
            <w:vAlign w:val="center"/>
          </w:tcPr>
          <w:p w14:paraId="66738DE1" w14:textId="77777777" w:rsidR="004B0883" w:rsidRDefault="004B0883">
            <w:pPr>
              <w:adjustRightInd w:val="0"/>
              <w:snapToGrid w:val="0"/>
              <w:rPr>
                <w:color w:val="000000"/>
              </w:rPr>
            </w:pPr>
            <w:r>
              <w:rPr>
                <w:rFonts w:hint="eastAsia"/>
              </w:rPr>
              <w:t>青岛天海峰商贸有限公司</w:t>
            </w:r>
          </w:p>
        </w:tc>
        <w:tc>
          <w:tcPr>
            <w:tcW w:w="4636" w:type="dxa"/>
            <w:vAlign w:val="center"/>
          </w:tcPr>
          <w:p w14:paraId="7A16CF85" w14:textId="77777777" w:rsidR="004B0883" w:rsidRDefault="004B0883">
            <w:pPr>
              <w:adjustRightInd w:val="0"/>
              <w:snapToGrid w:val="0"/>
            </w:pPr>
            <w:r>
              <w:rPr>
                <w:rFonts w:hint="eastAsia"/>
              </w:rPr>
              <w:t>董事及财务总监迟娜娜配偶李侃持股</w:t>
            </w:r>
            <w:r>
              <w:rPr>
                <w:rFonts w:hint="eastAsia"/>
              </w:rPr>
              <w:t>100%</w:t>
            </w:r>
          </w:p>
        </w:tc>
      </w:tr>
      <w:tr w:rsidR="004B0883" w14:paraId="10352F97" w14:textId="77777777">
        <w:trPr>
          <w:trHeight w:val="397"/>
          <w:jc w:val="center"/>
        </w:trPr>
        <w:tc>
          <w:tcPr>
            <w:tcW w:w="668" w:type="dxa"/>
            <w:vAlign w:val="center"/>
          </w:tcPr>
          <w:p w14:paraId="7BDC2BDB" w14:textId="77777777" w:rsidR="004B0883" w:rsidRDefault="004B0883">
            <w:pPr>
              <w:adjustRightInd w:val="0"/>
              <w:snapToGrid w:val="0"/>
              <w:jc w:val="center"/>
              <w:rPr>
                <w:color w:val="000000"/>
                <w:kern w:val="0"/>
              </w:rPr>
            </w:pPr>
            <w:r>
              <w:rPr>
                <w:color w:val="000000"/>
                <w:kern w:val="0"/>
              </w:rPr>
              <w:t>3</w:t>
            </w:r>
          </w:p>
        </w:tc>
        <w:tc>
          <w:tcPr>
            <w:tcW w:w="3224" w:type="dxa"/>
            <w:vAlign w:val="center"/>
          </w:tcPr>
          <w:p w14:paraId="488B7DE0" w14:textId="77777777" w:rsidR="004B0883" w:rsidRDefault="004B0883">
            <w:pPr>
              <w:adjustRightInd w:val="0"/>
              <w:snapToGrid w:val="0"/>
            </w:pPr>
            <w:r>
              <w:rPr>
                <w:rFonts w:hint="eastAsia"/>
              </w:rPr>
              <w:t>山东天创洲际物流有限公司青岛市北分公司</w:t>
            </w:r>
          </w:p>
        </w:tc>
        <w:tc>
          <w:tcPr>
            <w:tcW w:w="4636" w:type="dxa"/>
            <w:vAlign w:val="center"/>
          </w:tcPr>
          <w:p w14:paraId="2A68C408" w14:textId="77777777" w:rsidR="004B0883" w:rsidRDefault="004B0883">
            <w:pPr>
              <w:adjustRightInd w:val="0"/>
              <w:snapToGrid w:val="0"/>
              <w:rPr>
                <w:bCs/>
                <w:color w:val="000000"/>
                <w:kern w:val="0"/>
              </w:rPr>
            </w:pPr>
            <w:r>
              <w:rPr>
                <w:rFonts w:hint="eastAsia"/>
              </w:rPr>
              <w:t>董事及财务总监迟娜娜配偶李侃任负责人</w:t>
            </w:r>
          </w:p>
        </w:tc>
      </w:tr>
      <w:tr w:rsidR="004B0883" w14:paraId="3A5A5C22" w14:textId="77777777">
        <w:trPr>
          <w:trHeight w:val="397"/>
          <w:jc w:val="center"/>
        </w:trPr>
        <w:tc>
          <w:tcPr>
            <w:tcW w:w="668" w:type="dxa"/>
            <w:vAlign w:val="center"/>
          </w:tcPr>
          <w:p w14:paraId="636F6EAC" w14:textId="77777777" w:rsidR="004B0883" w:rsidRDefault="004B0883">
            <w:pPr>
              <w:adjustRightInd w:val="0"/>
              <w:snapToGrid w:val="0"/>
              <w:jc w:val="center"/>
              <w:rPr>
                <w:color w:val="000000"/>
                <w:kern w:val="0"/>
              </w:rPr>
            </w:pPr>
            <w:r>
              <w:rPr>
                <w:color w:val="000000"/>
                <w:kern w:val="0"/>
              </w:rPr>
              <w:t>4</w:t>
            </w:r>
          </w:p>
        </w:tc>
        <w:tc>
          <w:tcPr>
            <w:tcW w:w="3224" w:type="dxa"/>
            <w:vAlign w:val="center"/>
          </w:tcPr>
          <w:p w14:paraId="44F5ACE0" w14:textId="77777777" w:rsidR="004B0883" w:rsidRDefault="004B0883">
            <w:pPr>
              <w:adjustRightInd w:val="0"/>
              <w:snapToGrid w:val="0"/>
            </w:pPr>
            <w:r>
              <w:rPr>
                <w:rFonts w:hint="eastAsia"/>
                <w:color w:val="000000"/>
              </w:rPr>
              <w:t>兰州鑫驰商贸有限公司</w:t>
            </w:r>
          </w:p>
        </w:tc>
        <w:tc>
          <w:tcPr>
            <w:tcW w:w="4636" w:type="dxa"/>
            <w:vAlign w:val="center"/>
          </w:tcPr>
          <w:p w14:paraId="1FF5F8E6" w14:textId="77777777" w:rsidR="004B0883" w:rsidRDefault="004B0883">
            <w:pPr>
              <w:adjustRightInd w:val="0"/>
              <w:snapToGrid w:val="0"/>
              <w:rPr>
                <w:bCs/>
                <w:color w:val="000000"/>
                <w:kern w:val="0"/>
              </w:rPr>
            </w:pPr>
            <w:r>
              <w:rPr>
                <w:rFonts w:hint="eastAsia"/>
                <w:color w:val="000000"/>
              </w:rPr>
              <w:t>董事及财务总监迟娜娜兄弟配偶金巧持股</w:t>
            </w:r>
            <w:r>
              <w:rPr>
                <w:rFonts w:hint="eastAsia"/>
                <w:color w:val="000000"/>
              </w:rPr>
              <w:t>100%</w:t>
            </w:r>
          </w:p>
        </w:tc>
      </w:tr>
      <w:tr w:rsidR="004B0883" w14:paraId="667714D7" w14:textId="77777777">
        <w:trPr>
          <w:trHeight w:val="397"/>
          <w:jc w:val="center"/>
        </w:trPr>
        <w:tc>
          <w:tcPr>
            <w:tcW w:w="668" w:type="dxa"/>
            <w:vAlign w:val="center"/>
          </w:tcPr>
          <w:p w14:paraId="378D5041" w14:textId="77777777" w:rsidR="004B0883" w:rsidRDefault="004B0883">
            <w:pPr>
              <w:adjustRightInd w:val="0"/>
              <w:snapToGrid w:val="0"/>
              <w:jc w:val="center"/>
              <w:rPr>
                <w:color w:val="000000"/>
                <w:kern w:val="0"/>
              </w:rPr>
            </w:pPr>
            <w:r>
              <w:rPr>
                <w:color w:val="000000"/>
                <w:kern w:val="0"/>
              </w:rPr>
              <w:t>5</w:t>
            </w:r>
          </w:p>
        </w:tc>
        <w:tc>
          <w:tcPr>
            <w:tcW w:w="3224" w:type="dxa"/>
            <w:vAlign w:val="center"/>
          </w:tcPr>
          <w:p w14:paraId="434CA787" w14:textId="77777777" w:rsidR="004B0883" w:rsidRDefault="004B0883">
            <w:pPr>
              <w:adjustRightInd w:val="0"/>
              <w:snapToGrid w:val="0"/>
            </w:pPr>
            <w:r>
              <w:rPr>
                <w:rFonts w:hint="eastAsia"/>
                <w:color w:val="000000"/>
              </w:rPr>
              <w:t>青岛汇芯联电子有限公司</w:t>
            </w:r>
          </w:p>
        </w:tc>
        <w:tc>
          <w:tcPr>
            <w:tcW w:w="4636" w:type="dxa"/>
            <w:vAlign w:val="center"/>
          </w:tcPr>
          <w:p w14:paraId="6EC3BEAE" w14:textId="77777777" w:rsidR="004B0883" w:rsidRDefault="004B0883">
            <w:pPr>
              <w:adjustRightInd w:val="0"/>
              <w:snapToGrid w:val="0"/>
              <w:rPr>
                <w:rFonts w:hint="eastAsia"/>
                <w:bCs/>
                <w:color w:val="000000"/>
                <w:kern w:val="0"/>
              </w:rPr>
            </w:pPr>
            <w:r>
              <w:rPr>
                <w:rFonts w:hint="eastAsia"/>
                <w:color w:val="000000"/>
              </w:rPr>
              <w:t>监事王凤春及其配偶合计持有</w:t>
            </w:r>
            <w:r>
              <w:rPr>
                <w:color w:val="000000"/>
              </w:rPr>
              <w:t>100%</w:t>
            </w:r>
            <w:r>
              <w:rPr>
                <w:rFonts w:hint="eastAsia"/>
                <w:color w:val="000000"/>
              </w:rPr>
              <w:t>，监事王凤春任执行董事兼总经理</w:t>
            </w:r>
          </w:p>
        </w:tc>
      </w:tr>
    </w:tbl>
    <w:p w14:paraId="01677139" w14:textId="77777777" w:rsidR="004B0883" w:rsidRDefault="004B0883">
      <w:pPr>
        <w:pStyle w:val="005"/>
        <w:spacing w:before="120"/>
        <w:ind w:firstLine="480"/>
      </w:pPr>
      <w:r>
        <w:rPr>
          <w:rFonts w:hint="eastAsia"/>
        </w:rPr>
        <w:t>8</w:t>
      </w:r>
      <w:r>
        <w:rPr>
          <w:rFonts w:hint="eastAsia"/>
        </w:rPr>
        <w:t>、其他关联方</w:t>
      </w:r>
    </w:p>
    <w:p w14:paraId="786F4782" w14:textId="77777777" w:rsidR="004B0883" w:rsidRDefault="004B0883">
      <w:pPr>
        <w:pStyle w:val="005"/>
        <w:spacing w:before="120"/>
        <w:ind w:firstLine="480"/>
        <w:rPr>
          <w:rFonts w:hint="eastAsia"/>
        </w:rPr>
      </w:pPr>
      <w:r>
        <w:rPr>
          <w:rFonts w:hint="eastAsia"/>
        </w:rPr>
        <w:t>报告期内，其他关联方以及曾与发行人存在关联关系的关联方情况如下：</w:t>
      </w:r>
    </w:p>
    <w:tbl>
      <w:tblPr>
        <w:tblW w:w="8406" w:type="dxa"/>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57"/>
        <w:gridCol w:w="3186"/>
        <w:gridCol w:w="4563"/>
      </w:tblGrid>
      <w:tr w:rsidR="004B0883" w14:paraId="1FA97D31" w14:textId="77777777">
        <w:trPr>
          <w:trHeight w:val="397"/>
          <w:tblHeader/>
        </w:trPr>
        <w:tc>
          <w:tcPr>
            <w:tcW w:w="657" w:type="dxa"/>
            <w:shd w:val="clear" w:color="auto" w:fill="D7D7D7"/>
            <w:vAlign w:val="center"/>
          </w:tcPr>
          <w:p w14:paraId="60174215" w14:textId="77777777" w:rsidR="004B0883" w:rsidRDefault="004B0883">
            <w:pPr>
              <w:adjustRightInd w:val="0"/>
              <w:snapToGrid w:val="0"/>
              <w:jc w:val="center"/>
              <w:rPr>
                <w:b/>
              </w:rPr>
            </w:pPr>
            <w:r>
              <w:rPr>
                <w:b/>
              </w:rPr>
              <w:t>序号</w:t>
            </w:r>
          </w:p>
        </w:tc>
        <w:tc>
          <w:tcPr>
            <w:tcW w:w="3186" w:type="dxa"/>
            <w:shd w:val="clear" w:color="auto" w:fill="D7D7D7"/>
            <w:vAlign w:val="center"/>
          </w:tcPr>
          <w:p w14:paraId="774F0EBF" w14:textId="77777777" w:rsidR="004B0883" w:rsidRDefault="004B0883">
            <w:pPr>
              <w:adjustRightInd w:val="0"/>
              <w:snapToGrid w:val="0"/>
              <w:jc w:val="center"/>
              <w:rPr>
                <w:b/>
              </w:rPr>
            </w:pPr>
            <w:r>
              <w:rPr>
                <w:b/>
              </w:rPr>
              <w:t>关联方</w:t>
            </w:r>
          </w:p>
        </w:tc>
        <w:tc>
          <w:tcPr>
            <w:tcW w:w="4563" w:type="dxa"/>
            <w:shd w:val="clear" w:color="auto" w:fill="D7D7D7"/>
            <w:vAlign w:val="center"/>
          </w:tcPr>
          <w:p w14:paraId="2EF59D8A" w14:textId="77777777" w:rsidR="004B0883" w:rsidRDefault="004B0883">
            <w:pPr>
              <w:adjustRightInd w:val="0"/>
              <w:snapToGrid w:val="0"/>
              <w:jc w:val="center"/>
              <w:rPr>
                <w:b/>
              </w:rPr>
            </w:pPr>
            <w:r>
              <w:rPr>
                <w:b/>
              </w:rPr>
              <w:t>关联关系</w:t>
            </w:r>
          </w:p>
        </w:tc>
      </w:tr>
      <w:tr w:rsidR="004B0883" w14:paraId="50D9BF91" w14:textId="77777777">
        <w:trPr>
          <w:trHeight w:val="397"/>
        </w:trPr>
        <w:tc>
          <w:tcPr>
            <w:tcW w:w="657" w:type="dxa"/>
            <w:vAlign w:val="center"/>
          </w:tcPr>
          <w:p w14:paraId="44349445" w14:textId="77777777" w:rsidR="004B0883" w:rsidRDefault="004B0883">
            <w:pPr>
              <w:adjustRightInd w:val="0"/>
              <w:snapToGrid w:val="0"/>
              <w:jc w:val="center"/>
              <w:rPr>
                <w:color w:val="000000"/>
                <w:kern w:val="0"/>
              </w:rPr>
            </w:pPr>
            <w:r>
              <w:rPr>
                <w:color w:val="000000"/>
                <w:kern w:val="0"/>
              </w:rPr>
              <w:t>1</w:t>
            </w:r>
          </w:p>
        </w:tc>
        <w:tc>
          <w:tcPr>
            <w:tcW w:w="3186" w:type="dxa"/>
            <w:vAlign w:val="center"/>
          </w:tcPr>
          <w:p w14:paraId="3029023E" w14:textId="77777777" w:rsidR="004B0883" w:rsidRDefault="004B0883">
            <w:pPr>
              <w:adjustRightInd w:val="0"/>
              <w:snapToGrid w:val="0"/>
              <w:rPr>
                <w:color w:val="000000"/>
                <w:kern w:val="0"/>
              </w:rPr>
            </w:pPr>
            <w:r>
              <w:rPr>
                <w:color w:val="000000"/>
                <w:kern w:val="0"/>
              </w:rPr>
              <w:t>吕仁红、宫相开</w:t>
            </w:r>
          </w:p>
        </w:tc>
        <w:tc>
          <w:tcPr>
            <w:tcW w:w="4563" w:type="dxa"/>
            <w:vAlign w:val="center"/>
          </w:tcPr>
          <w:p w14:paraId="3047E2EF" w14:textId="77777777" w:rsidR="004B0883" w:rsidRDefault="004B0883">
            <w:pPr>
              <w:adjustRightInd w:val="0"/>
              <w:snapToGrid w:val="0"/>
              <w:jc w:val="both"/>
              <w:rPr>
                <w:color w:val="000000"/>
                <w:kern w:val="0"/>
              </w:rPr>
            </w:pPr>
            <w:r>
              <w:rPr>
                <w:color w:val="000000"/>
                <w:kern w:val="0"/>
              </w:rPr>
              <w:t>报告期内，吕仁红曾持有发行人子公司青岛即聚机电有限责任公司</w:t>
            </w:r>
            <w:r>
              <w:rPr>
                <w:color w:val="000000"/>
                <w:kern w:val="0"/>
              </w:rPr>
              <w:t>49%</w:t>
            </w:r>
            <w:r>
              <w:rPr>
                <w:color w:val="000000"/>
                <w:kern w:val="0"/>
              </w:rPr>
              <w:t>的股权。</w:t>
            </w:r>
            <w:r>
              <w:rPr>
                <w:color w:val="000000"/>
                <w:kern w:val="0"/>
              </w:rPr>
              <w:t>2022</w:t>
            </w:r>
            <w:r>
              <w:rPr>
                <w:color w:val="000000"/>
                <w:kern w:val="0"/>
              </w:rPr>
              <w:t>年</w:t>
            </w:r>
            <w:r>
              <w:rPr>
                <w:color w:val="000000"/>
                <w:kern w:val="0"/>
              </w:rPr>
              <w:t>4</w:t>
            </w:r>
            <w:r>
              <w:rPr>
                <w:color w:val="000000"/>
                <w:kern w:val="0"/>
              </w:rPr>
              <w:t>月，发行人将青岛即聚机电有限责任公司</w:t>
            </w:r>
            <w:r>
              <w:rPr>
                <w:color w:val="000000"/>
                <w:kern w:val="0"/>
              </w:rPr>
              <w:t>51%</w:t>
            </w:r>
            <w:r>
              <w:rPr>
                <w:color w:val="000000"/>
                <w:kern w:val="0"/>
              </w:rPr>
              <w:t>的股权分别转让给吕仁红</w:t>
            </w:r>
            <w:r>
              <w:rPr>
                <w:color w:val="000000"/>
                <w:kern w:val="0"/>
              </w:rPr>
              <w:t>11%</w:t>
            </w:r>
            <w:r>
              <w:rPr>
                <w:color w:val="000000"/>
                <w:kern w:val="0"/>
              </w:rPr>
              <w:t>、宫相开</w:t>
            </w:r>
            <w:r>
              <w:rPr>
                <w:color w:val="000000"/>
                <w:kern w:val="0"/>
              </w:rPr>
              <w:t>40%</w:t>
            </w:r>
            <w:r>
              <w:rPr>
                <w:color w:val="000000"/>
                <w:kern w:val="0"/>
              </w:rPr>
              <w:t>，吕仁红与宫相开系夫妻关系。基于实质重于形式，将两人认定为关联方。</w:t>
            </w:r>
          </w:p>
        </w:tc>
      </w:tr>
      <w:tr w:rsidR="004B0883" w14:paraId="57C50E65" w14:textId="77777777">
        <w:trPr>
          <w:trHeight w:val="397"/>
        </w:trPr>
        <w:tc>
          <w:tcPr>
            <w:tcW w:w="657" w:type="dxa"/>
            <w:vAlign w:val="center"/>
          </w:tcPr>
          <w:p w14:paraId="4C970839" w14:textId="77777777" w:rsidR="004B0883" w:rsidRDefault="004B0883">
            <w:pPr>
              <w:adjustRightInd w:val="0"/>
              <w:snapToGrid w:val="0"/>
              <w:jc w:val="center"/>
              <w:rPr>
                <w:color w:val="000000"/>
                <w:kern w:val="0"/>
              </w:rPr>
            </w:pPr>
            <w:r>
              <w:rPr>
                <w:color w:val="000000"/>
                <w:kern w:val="0"/>
              </w:rPr>
              <w:t>2</w:t>
            </w:r>
          </w:p>
        </w:tc>
        <w:tc>
          <w:tcPr>
            <w:tcW w:w="3186" w:type="dxa"/>
            <w:vAlign w:val="center"/>
          </w:tcPr>
          <w:p w14:paraId="592357C9" w14:textId="77777777" w:rsidR="004B0883" w:rsidRDefault="004B0883">
            <w:pPr>
              <w:adjustRightInd w:val="0"/>
              <w:snapToGrid w:val="0"/>
              <w:rPr>
                <w:color w:val="000000"/>
                <w:kern w:val="0"/>
              </w:rPr>
            </w:pPr>
            <w:r>
              <w:rPr>
                <w:color w:val="000000"/>
                <w:kern w:val="0"/>
              </w:rPr>
              <w:t>益安地风</w:t>
            </w:r>
            <w:r>
              <w:rPr>
                <w:color w:val="000000"/>
                <w:kern w:val="0"/>
              </w:rPr>
              <w:t>5</w:t>
            </w:r>
            <w:r>
              <w:rPr>
                <w:color w:val="000000"/>
                <w:kern w:val="0"/>
              </w:rPr>
              <w:t>号私募证券投资基金</w:t>
            </w:r>
          </w:p>
        </w:tc>
        <w:tc>
          <w:tcPr>
            <w:tcW w:w="4563" w:type="dxa"/>
            <w:vMerge w:val="restart"/>
            <w:vAlign w:val="center"/>
          </w:tcPr>
          <w:p w14:paraId="3BEB9522" w14:textId="77777777" w:rsidR="004B0883" w:rsidRDefault="004B0883">
            <w:pPr>
              <w:adjustRightInd w:val="0"/>
              <w:snapToGrid w:val="0"/>
              <w:jc w:val="both"/>
              <w:rPr>
                <w:color w:val="000000"/>
                <w:kern w:val="0"/>
              </w:rPr>
            </w:pPr>
            <w:r>
              <w:rPr>
                <w:color w:val="000000"/>
                <w:kern w:val="0"/>
              </w:rPr>
              <w:t>因北京益安资本管理有限公司控股股东、实际控制人于新伟同时实际控制上海天诚东泰投资有限公司，并直接持有青岛天诚股权投资基金管理有限公司</w:t>
            </w:r>
            <w:r>
              <w:rPr>
                <w:rFonts w:hint="eastAsia"/>
                <w:color w:val="000000"/>
                <w:kern w:val="0"/>
              </w:rPr>
              <w:t>32</w:t>
            </w:r>
            <w:r>
              <w:rPr>
                <w:color w:val="000000"/>
                <w:kern w:val="0"/>
              </w:rPr>
              <w:t>%</w:t>
            </w:r>
            <w:r>
              <w:rPr>
                <w:color w:val="000000"/>
                <w:kern w:val="0"/>
              </w:rPr>
              <w:t>的股权，上海天诚东泰投资有限公司、青岛天诚股权投资基金管理有限公司分别持有海南伟隆</w:t>
            </w:r>
            <w:r>
              <w:rPr>
                <w:color w:val="000000"/>
                <w:kern w:val="0"/>
              </w:rPr>
              <w:t>39%</w:t>
            </w:r>
            <w:r>
              <w:rPr>
                <w:color w:val="000000"/>
                <w:kern w:val="0"/>
              </w:rPr>
              <w:t>、</w:t>
            </w:r>
            <w:r>
              <w:rPr>
                <w:color w:val="000000"/>
                <w:kern w:val="0"/>
              </w:rPr>
              <w:t>1%</w:t>
            </w:r>
            <w:r>
              <w:rPr>
                <w:color w:val="000000"/>
                <w:kern w:val="0"/>
              </w:rPr>
              <w:t>的股权。基于实质重于形式，将北京益安资本管理有限公司、益安地风</w:t>
            </w:r>
            <w:r>
              <w:rPr>
                <w:color w:val="000000"/>
                <w:kern w:val="0"/>
              </w:rPr>
              <w:t>5</w:t>
            </w:r>
            <w:r>
              <w:rPr>
                <w:color w:val="000000"/>
                <w:kern w:val="0"/>
              </w:rPr>
              <w:t>号私募证券投资基金视作公司的关联方。</w:t>
            </w:r>
          </w:p>
        </w:tc>
      </w:tr>
      <w:tr w:rsidR="004B0883" w14:paraId="015BD917" w14:textId="77777777">
        <w:trPr>
          <w:trHeight w:val="397"/>
        </w:trPr>
        <w:tc>
          <w:tcPr>
            <w:tcW w:w="657" w:type="dxa"/>
            <w:vAlign w:val="center"/>
          </w:tcPr>
          <w:p w14:paraId="3DC618C0" w14:textId="77777777" w:rsidR="004B0883" w:rsidRDefault="004B0883">
            <w:pPr>
              <w:adjustRightInd w:val="0"/>
              <w:snapToGrid w:val="0"/>
              <w:jc w:val="center"/>
              <w:rPr>
                <w:color w:val="000000"/>
                <w:kern w:val="0"/>
              </w:rPr>
            </w:pPr>
            <w:r>
              <w:rPr>
                <w:color w:val="000000"/>
                <w:kern w:val="0"/>
              </w:rPr>
              <w:t>3</w:t>
            </w:r>
          </w:p>
        </w:tc>
        <w:tc>
          <w:tcPr>
            <w:tcW w:w="3186" w:type="dxa"/>
            <w:vAlign w:val="center"/>
          </w:tcPr>
          <w:p w14:paraId="73B05257" w14:textId="77777777" w:rsidR="004B0883" w:rsidRDefault="004B0883">
            <w:pPr>
              <w:adjustRightInd w:val="0"/>
              <w:snapToGrid w:val="0"/>
              <w:rPr>
                <w:color w:val="000000"/>
                <w:kern w:val="0"/>
              </w:rPr>
            </w:pPr>
            <w:r>
              <w:rPr>
                <w:color w:val="000000"/>
                <w:kern w:val="0"/>
              </w:rPr>
              <w:t>北京益安资本管理有限公司</w:t>
            </w:r>
          </w:p>
        </w:tc>
        <w:tc>
          <w:tcPr>
            <w:tcW w:w="4563" w:type="dxa"/>
            <w:vMerge/>
            <w:vAlign w:val="center"/>
          </w:tcPr>
          <w:p w14:paraId="4E53D694" w14:textId="77777777" w:rsidR="004B0883" w:rsidRDefault="004B0883">
            <w:pPr>
              <w:adjustRightInd w:val="0"/>
              <w:snapToGrid w:val="0"/>
              <w:jc w:val="both"/>
              <w:rPr>
                <w:color w:val="000000"/>
                <w:kern w:val="0"/>
              </w:rPr>
            </w:pPr>
          </w:p>
        </w:tc>
      </w:tr>
      <w:tr w:rsidR="004B0883" w14:paraId="6EB48764" w14:textId="77777777">
        <w:trPr>
          <w:trHeight w:val="397"/>
        </w:trPr>
        <w:tc>
          <w:tcPr>
            <w:tcW w:w="657" w:type="dxa"/>
            <w:vAlign w:val="center"/>
          </w:tcPr>
          <w:p w14:paraId="3BA3FB5B" w14:textId="77777777" w:rsidR="004B0883" w:rsidRDefault="004B0883">
            <w:pPr>
              <w:adjustRightInd w:val="0"/>
              <w:snapToGrid w:val="0"/>
              <w:jc w:val="center"/>
              <w:rPr>
                <w:color w:val="000000"/>
                <w:kern w:val="0"/>
              </w:rPr>
            </w:pPr>
            <w:r>
              <w:rPr>
                <w:color w:val="000000"/>
                <w:kern w:val="0"/>
              </w:rPr>
              <w:t>4</w:t>
            </w:r>
          </w:p>
        </w:tc>
        <w:tc>
          <w:tcPr>
            <w:tcW w:w="3186" w:type="dxa"/>
            <w:vAlign w:val="center"/>
          </w:tcPr>
          <w:p w14:paraId="1CEEAE26" w14:textId="77777777" w:rsidR="004B0883" w:rsidRDefault="004B0883">
            <w:pPr>
              <w:adjustRightInd w:val="0"/>
              <w:snapToGrid w:val="0"/>
              <w:rPr>
                <w:color w:val="000000"/>
                <w:kern w:val="0"/>
              </w:rPr>
            </w:pPr>
            <w:r>
              <w:rPr>
                <w:color w:val="000000"/>
                <w:kern w:val="0"/>
              </w:rPr>
              <w:t>丁乃秀</w:t>
            </w:r>
          </w:p>
        </w:tc>
        <w:tc>
          <w:tcPr>
            <w:tcW w:w="4563" w:type="dxa"/>
            <w:vAlign w:val="center"/>
          </w:tcPr>
          <w:p w14:paraId="0B9BAFD0" w14:textId="77777777" w:rsidR="004B0883" w:rsidRDefault="004B0883">
            <w:pPr>
              <w:adjustRightInd w:val="0"/>
              <w:snapToGrid w:val="0"/>
              <w:jc w:val="both"/>
              <w:rPr>
                <w:color w:val="000000"/>
                <w:kern w:val="0"/>
              </w:rPr>
            </w:pPr>
            <w:r>
              <w:rPr>
                <w:color w:val="000000"/>
                <w:kern w:val="0"/>
              </w:rPr>
              <w:t>报告期内曾任发行人独立董事</w:t>
            </w:r>
          </w:p>
        </w:tc>
      </w:tr>
      <w:tr w:rsidR="004B0883" w14:paraId="211D9CEB" w14:textId="77777777">
        <w:trPr>
          <w:trHeight w:val="397"/>
        </w:trPr>
        <w:tc>
          <w:tcPr>
            <w:tcW w:w="657" w:type="dxa"/>
            <w:vAlign w:val="center"/>
          </w:tcPr>
          <w:p w14:paraId="1EBAF673" w14:textId="77777777" w:rsidR="004B0883" w:rsidRDefault="004B0883">
            <w:pPr>
              <w:adjustRightInd w:val="0"/>
              <w:snapToGrid w:val="0"/>
              <w:jc w:val="center"/>
              <w:rPr>
                <w:color w:val="000000"/>
                <w:kern w:val="0"/>
              </w:rPr>
            </w:pPr>
            <w:r>
              <w:rPr>
                <w:color w:val="000000"/>
                <w:kern w:val="0"/>
              </w:rPr>
              <w:t>5</w:t>
            </w:r>
          </w:p>
        </w:tc>
        <w:tc>
          <w:tcPr>
            <w:tcW w:w="3186" w:type="dxa"/>
            <w:vAlign w:val="center"/>
          </w:tcPr>
          <w:p w14:paraId="058D5BA5" w14:textId="77777777" w:rsidR="004B0883" w:rsidRDefault="004B0883">
            <w:pPr>
              <w:adjustRightInd w:val="0"/>
              <w:snapToGrid w:val="0"/>
              <w:rPr>
                <w:color w:val="000000"/>
                <w:kern w:val="0"/>
              </w:rPr>
            </w:pPr>
            <w:r>
              <w:rPr>
                <w:color w:val="000000"/>
                <w:kern w:val="0"/>
              </w:rPr>
              <w:t>崔兴建</w:t>
            </w:r>
          </w:p>
        </w:tc>
        <w:tc>
          <w:tcPr>
            <w:tcW w:w="4563" w:type="dxa"/>
            <w:vAlign w:val="center"/>
          </w:tcPr>
          <w:p w14:paraId="1B016F75" w14:textId="77777777" w:rsidR="004B0883" w:rsidRDefault="004B0883">
            <w:pPr>
              <w:adjustRightInd w:val="0"/>
              <w:snapToGrid w:val="0"/>
              <w:jc w:val="both"/>
              <w:rPr>
                <w:color w:val="000000"/>
                <w:kern w:val="0"/>
              </w:rPr>
            </w:pPr>
            <w:r>
              <w:rPr>
                <w:color w:val="000000"/>
                <w:kern w:val="0"/>
              </w:rPr>
              <w:t>报告期内曾任发行人质量总监</w:t>
            </w:r>
          </w:p>
        </w:tc>
      </w:tr>
      <w:tr w:rsidR="004B0883" w14:paraId="43B98140" w14:textId="77777777">
        <w:trPr>
          <w:trHeight w:val="397"/>
        </w:trPr>
        <w:tc>
          <w:tcPr>
            <w:tcW w:w="657" w:type="dxa"/>
            <w:vAlign w:val="center"/>
          </w:tcPr>
          <w:p w14:paraId="0819ACCE" w14:textId="77777777" w:rsidR="004B0883" w:rsidRDefault="004B0883">
            <w:pPr>
              <w:adjustRightInd w:val="0"/>
              <w:snapToGrid w:val="0"/>
              <w:jc w:val="center"/>
              <w:rPr>
                <w:color w:val="000000"/>
                <w:kern w:val="0"/>
              </w:rPr>
            </w:pPr>
            <w:r>
              <w:rPr>
                <w:color w:val="000000"/>
                <w:kern w:val="0"/>
              </w:rPr>
              <w:t>6</w:t>
            </w:r>
          </w:p>
        </w:tc>
        <w:tc>
          <w:tcPr>
            <w:tcW w:w="3186" w:type="dxa"/>
            <w:vAlign w:val="center"/>
          </w:tcPr>
          <w:p w14:paraId="5C070E9C" w14:textId="77777777" w:rsidR="004B0883" w:rsidRDefault="004B0883">
            <w:pPr>
              <w:adjustRightInd w:val="0"/>
              <w:snapToGrid w:val="0"/>
              <w:rPr>
                <w:color w:val="000000"/>
                <w:kern w:val="0"/>
              </w:rPr>
            </w:pPr>
            <w:r>
              <w:rPr>
                <w:color w:val="000000"/>
                <w:kern w:val="0"/>
              </w:rPr>
              <w:t>刘鹏</w:t>
            </w:r>
          </w:p>
        </w:tc>
        <w:tc>
          <w:tcPr>
            <w:tcW w:w="4563" w:type="dxa"/>
            <w:vAlign w:val="center"/>
          </w:tcPr>
          <w:p w14:paraId="15C86438" w14:textId="77777777" w:rsidR="004B0883" w:rsidRDefault="004B0883">
            <w:pPr>
              <w:adjustRightInd w:val="0"/>
              <w:snapToGrid w:val="0"/>
              <w:jc w:val="both"/>
              <w:rPr>
                <w:color w:val="000000"/>
                <w:kern w:val="0"/>
              </w:rPr>
            </w:pPr>
            <w:r>
              <w:rPr>
                <w:color w:val="000000"/>
                <w:kern w:val="0"/>
              </w:rPr>
              <w:t>报告期内曾任发行人副总经理</w:t>
            </w:r>
          </w:p>
        </w:tc>
      </w:tr>
      <w:tr w:rsidR="004B0883" w14:paraId="00076EAE" w14:textId="77777777">
        <w:trPr>
          <w:trHeight w:val="397"/>
        </w:trPr>
        <w:tc>
          <w:tcPr>
            <w:tcW w:w="657" w:type="dxa"/>
            <w:vAlign w:val="center"/>
          </w:tcPr>
          <w:p w14:paraId="3EA043F9" w14:textId="77777777" w:rsidR="004B0883" w:rsidRDefault="004B0883">
            <w:pPr>
              <w:adjustRightInd w:val="0"/>
              <w:snapToGrid w:val="0"/>
              <w:jc w:val="center"/>
              <w:rPr>
                <w:color w:val="000000"/>
                <w:kern w:val="0"/>
              </w:rPr>
            </w:pPr>
            <w:r>
              <w:rPr>
                <w:color w:val="000000"/>
                <w:kern w:val="0"/>
              </w:rPr>
              <w:t>7</w:t>
            </w:r>
          </w:p>
        </w:tc>
        <w:tc>
          <w:tcPr>
            <w:tcW w:w="3186" w:type="dxa"/>
            <w:vAlign w:val="center"/>
          </w:tcPr>
          <w:p w14:paraId="255C8B7D" w14:textId="77777777" w:rsidR="004B0883" w:rsidRDefault="004B0883">
            <w:pPr>
              <w:adjustRightInd w:val="0"/>
              <w:snapToGrid w:val="0"/>
              <w:rPr>
                <w:color w:val="000000"/>
                <w:kern w:val="0"/>
              </w:rPr>
            </w:pPr>
            <w:r>
              <w:rPr>
                <w:color w:val="000000"/>
                <w:kern w:val="0"/>
              </w:rPr>
              <w:t>高峰</w:t>
            </w:r>
          </w:p>
        </w:tc>
        <w:tc>
          <w:tcPr>
            <w:tcW w:w="4563" w:type="dxa"/>
            <w:vAlign w:val="center"/>
          </w:tcPr>
          <w:p w14:paraId="6A6000B1" w14:textId="77777777" w:rsidR="004B0883" w:rsidRDefault="004B0883">
            <w:pPr>
              <w:adjustRightInd w:val="0"/>
              <w:snapToGrid w:val="0"/>
              <w:jc w:val="both"/>
              <w:rPr>
                <w:color w:val="000000"/>
                <w:kern w:val="0"/>
              </w:rPr>
            </w:pPr>
            <w:r>
              <w:rPr>
                <w:color w:val="000000"/>
                <w:kern w:val="0"/>
              </w:rPr>
              <w:t>报告期内曾任发行人副总经理</w:t>
            </w:r>
          </w:p>
        </w:tc>
      </w:tr>
      <w:tr w:rsidR="004B0883" w14:paraId="1C76A624" w14:textId="77777777">
        <w:trPr>
          <w:trHeight w:val="397"/>
        </w:trPr>
        <w:tc>
          <w:tcPr>
            <w:tcW w:w="657" w:type="dxa"/>
            <w:vAlign w:val="center"/>
          </w:tcPr>
          <w:p w14:paraId="382DBDA9" w14:textId="77777777" w:rsidR="004B0883" w:rsidRDefault="004B0883">
            <w:pPr>
              <w:adjustRightInd w:val="0"/>
              <w:snapToGrid w:val="0"/>
              <w:jc w:val="center"/>
              <w:rPr>
                <w:color w:val="000000"/>
                <w:kern w:val="0"/>
              </w:rPr>
            </w:pPr>
            <w:r>
              <w:rPr>
                <w:color w:val="000000"/>
                <w:kern w:val="0"/>
              </w:rPr>
              <w:t>8</w:t>
            </w:r>
          </w:p>
        </w:tc>
        <w:tc>
          <w:tcPr>
            <w:tcW w:w="3186" w:type="dxa"/>
            <w:vAlign w:val="center"/>
          </w:tcPr>
          <w:p w14:paraId="4DD1DBEE" w14:textId="77777777" w:rsidR="004B0883" w:rsidRDefault="004B0883">
            <w:pPr>
              <w:adjustRightInd w:val="0"/>
              <w:snapToGrid w:val="0"/>
              <w:rPr>
                <w:color w:val="000000"/>
                <w:kern w:val="0"/>
              </w:rPr>
            </w:pPr>
            <w:r>
              <w:rPr>
                <w:color w:val="000000"/>
                <w:kern w:val="0"/>
              </w:rPr>
              <w:t>刘克平</w:t>
            </w:r>
          </w:p>
        </w:tc>
        <w:tc>
          <w:tcPr>
            <w:tcW w:w="4563" w:type="dxa"/>
            <w:vAlign w:val="center"/>
          </w:tcPr>
          <w:p w14:paraId="06EF1148" w14:textId="77777777" w:rsidR="004B0883" w:rsidRDefault="004B0883">
            <w:pPr>
              <w:adjustRightInd w:val="0"/>
              <w:snapToGrid w:val="0"/>
              <w:jc w:val="both"/>
              <w:rPr>
                <w:color w:val="000000"/>
                <w:kern w:val="0"/>
              </w:rPr>
            </w:pPr>
            <w:r>
              <w:rPr>
                <w:color w:val="000000"/>
                <w:kern w:val="0"/>
              </w:rPr>
              <w:t>报告期内曾任发行人副总经理兼董事会秘书</w:t>
            </w:r>
          </w:p>
        </w:tc>
      </w:tr>
      <w:tr w:rsidR="004B0883" w14:paraId="636A50D0" w14:textId="77777777">
        <w:trPr>
          <w:trHeight w:val="397"/>
        </w:trPr>
        <w:tc>
          <w:tcPr>
            <w:tcW w:w="657" w:type="dxa"/>
            <w:vAlign w:val="center"/>
          </w:tcPr>
          <w:p w14:paraId="0ED06249" w14:textId="77777777" w:rsidR="004B0883" w:rsidRDefault="004B0883">
            <w:pPr>
              <w:adjustRightInd w:val="0"/>
              <w:snapToGrid w:val="0"/>
              <w:jc w:val="center"/>
              <w:rPr>
                <w:color w:val="000000"/>
                <w:kern w:val="0"/>
              </w:rPr>
            </w:pPr>
            <w:r>
              <w:rPr>
                <w:rFonts w:hint="eastAsia"/>
                <w:color w:val="000000"/>
                <w:kern w:val="0"/>
              </w:rPr>
              <w:t>9</w:t>
            </w:r>
          </w:p>
        </w:tc>
        <w:tc>
          <w:tcPr>
            <w:tcW w:w="3186" w:type="dxa"/>
            <w:vAlign w:val="center"/>
          </w:tcPr>
          <w:p w14:paraId="6B574EA1" w14:textId="77777777" w:rsidR="004B0883" w:rsidRDefault="004B0883">
            <w:pPr>
              <w:adjustRightInd w:val="0"/>
              <w:snapToGrid w:val="0"/>
              <w:rPr>
                <w:rFonts w:hint="eastAsia"/>
                <w:color w:val="000000"/>
                <w:kern w:val="0"/>
              </w:rPr>
            </w:pPr>
            <w:r>
              <w:rPr>
                <w:rFonts w:hint="eastAsia"/>
                <w:color w:val="000000"/>
                <w:kern w:val="0"/>
              </w:rPr>
              <w:t>杨杰</w:t>
            </w:r>
          </w:p>
        </w:tc>
        <w:tc>
          <w:tcPr>
            <w:tcW w:w="4563" w:type="dxa"/>
            <w:vAlign w:val="center"/>
          </w:tcPr>
          <w:p w14:paraId="0F70549A" w14:textId="77777777" w:rsidR="004B0883" w:rsidRDefault="004B0883">
            <w:pPr>
              <w:adjustRightInd w:val="0"/>
              <w:snapToGrid w:val="0"/>
              <w:jc w:val="both"/>
              <w:rPr>
                <w:color w:val="000000"/>
                <w:kern w:val="0"/>
              </w:rPr>
            </w:pPr>
            <w:r>
              <w:rPr>
                <w:color w:val="000000"/>
                <w:kern w:val="0"/>
              </w:rPr>
              <w:t>报告期内曾任发行人副总经理</w:t>
            </w:r>
          </w:p>
        </w:tc>
      </w:tr>
    </w:tbl>
    <w:p w14:paraId="00AB3699" w14:textId="77777777" w:rsidR="004B0883" w:rsidRDefault="004B0883">
      <w:pPr>
        <w:pStyle w:val="003"/>
        <w:spacing w:before="120" w:after="120"/>
      </w:pPr>
      <w:bookmarkStart w:id="394" w:name="_Toc10896"/>
      <w:bookmarkStart w:id="395" w:name="_Toc87206124"/>
      <w:bookmarkStart w:id="396" w:name="_Toc135405205"/>
      <w:bookmarkStart w:id="397" w:name="_Hlk59627547"/>
      <w:bookmarkEnd w:id="388"/>
      <w:bookmarkEnd w:id="390"/>
      <w:r>
        <w:rPr>
          <w:rFonts w:hint="eastAsia"/>
        </w:rPr>
        <w:t>（二）关联交易</w:t>
      </w:r>
      <w:bookmarkEnd w:id="394"/>
      <w:bookmarkEnd w:id="395"/>
      <w:bookmarkEnd w:id="396"/>
    </w:p>
    <w:p w14:paraId="435A48CC" w14:textId="77777777" w:rsidR="004B0883" w:rsidRDefault="004B0883">
      <w:pPr>
        <w:pStyle w:val="004"/>
        <w:spacing w:before="120" w:after="120"/>
        <w:ind w:firstLine="482"/>
      </w:pPr>
      <w:r>
        <w:rPr>
          <w:rFonts w:hint="eastAsia"/>
        </w:rPr>
        <w:t>1</w:t>
      </w:r>
      <w:r>
        <w:rPr>
          <w:rFonts w:hint="eastAsia"/>
        </w:rPr>
        <w:t>、经常性关联交易</w:t>
      </w:r>
    </w:p>
    <w:p w14:paraId="79A7A34F" w14:textId="77777777" w:rsidR="004B0883" w:rsidRDefault="004B0883">
      <w:pPr>
        <w:pStyle w:val="005"/>
        <w:spacing w:before="120"/>
        <w:ind w:firstLine="480"/>
      </w:pPr>
      <w:r>
        <w:rPr>
          <w:rFonts w:hint="eastAsia"/>
        </w:rPr>
        <w:t>（</w:t>
      </w:r>
      <w:r>
        <w:rPr>
          <w:rFonts w:hint="eastAsia"/>
        </w:rPr>
        <w:t>1</w:t>
      </w:r>
      <w:r>
        <w:rPr>
          <w:rFonts w:hint="eastAsia"/>
        </w:rPr>
        <w:t>）出售商品的关联交易</w:t>
      </w:r>
    </w:p>
    <w:p w14:paraId="2F30F3E7" w14:textId="77777777" w:rsidR="004B0883" w:rsidRDefault="004B0883">
      <w:pPr>
        <w:pStyle w:val="005"/>
        <w:spacing w:before="120"/>
        <w:ind w:firstLine="480"/>
      </w:pPr>
      <w:bookmarkStart w:id="398" w:name="_Hlk96638387"/>
      <w:r>
        <w:rPr>
          <w:rFonts w:hint="eastAsia"/>
        </w:rPr>
        <w:t>报告期各期，公司未发生向关联方销售商品的情况</w:t>
      </w:r>
      <w:bookmarkEnd w:id="398"/>
      <w:r>
        <w:rPr>
          <w:rFonts w:hint="eastAsia"/>
        </w:rPr>
        <w:t>。</w:t>
      </w:r>
    </w:p>
    <w:p w14:paraId="0409B578" w14:textId="77777777" w:rsidR="004B0883" w:rsidRDefault="004B0883">
      <w:pPr>
        <w:pStyle w:val="005"/>
        <w:spacing w:before="120"/>
        <w:ind w:firstLine="480"/>
      </w:pPr>
      <w:r>
        <w:rPr>
          <w:rFonts w:hint="eastAsia"/>
        </w:rPr>
        <w:t>（</w:t>
      </w:r>
      <w:r>
        <w:rPr>
          <w:rFonts w:hint="eastAsia"/>
        </w:rPr>
        <w:t>2</w:t>
      </w:r>
      <w:r>
        <w:rPr>
          <w:rFonts w:hint="eastAsia"/>
        </w:rPr>
        <w:t>）采购商品的关联交易</w:t>
      </w:r>
    </w:p>
    <w:p w14:paraId="03837A30" w14:textId="77777777" w:rsidR="004B0883" w:rsidRDefault="004B0883">
      <w:pPr>
        <w:pStyle w:val="005"/>
        <w:spacing w:before="120"/>
        <w:ind w:firstLine="480"/>
      </w:pPr>
      <w:bookmarkStart w:id="399" w:name="_Hlk96638400"/>
      <w:r>
        <w:rPr>
          <w:rFonts w:hint="eastAsia"/>
        </w:rPr>
        <w:t>报告期各期，公司未发生向关联方采购商品的情况</w:t>
      </w:r>
      <w:bookmarkEnd w:id="399"/>
      <w:r>
        <w:rPr>
          <w:rFonts w:hint="eastAsia"/>
        </w:rPr>
        <w:t>。</w:t>
      </w:r>
    </w:p>
    <w:p w14:paraId="65F342C0" w14:textId="77777777" w:rsidR="004B0883" w:rsidRDefault="004B0883">
      <w:pPr>
        <w:pStyle w:val="005"/>
        <w:spacing w:before="120"/>
        <w:ind w:firstLine="480"/>
      </w:pPr>
      <w:r>
        <w:rPr>
          <w:rFonts w:hint="eastAsia"/>
        </w:rPr>
        <w:t>（</w:t>
      </w:r>
      <w:r>
        <w:rPr>
          <w:rFonts w:hint="eastAsia"/>
        </w:rPr>
        <w:t>3</w:t>
      </w:r>
      <w:r>
        <w:rPr>
          <w:rFonts w:hint="eastAsia"/>
        </w:rPr>
        <w:t>）关键管理人员报酬</w:t>
      </w:r>
    </w:p>
    <w:p w14:paraId="4054AC3F" w14:textId="77777777" w:rsidR="004B0883" w:rsidRDefault="004B0883">
      <w:pPr>
        <w:pStyle w:val="005"/>
        <w:spacing w:before="120"/>
        <w:ind w:firstLine="480"/>
      </w:pPr>
      <w:bookmarkStart w:id="400" w:name="_Hlk96638418"/>
      <w:r>
        <w:rPr>
          <w:rFonts w:hint="eastAsia"/>
        </w:rPr>
        <w:t>报告期各期，公司向董事、监事、高级管理人员支付薪酬情况列示如下：</w:t>
      </w:r>
    </w:p>
    <w:p w14:paraId="0B60C754" w14:textId="77777777" w:rsidR="004B0883" w:rsidRDefault="004B0883">
      <w:pPr>
        <w:pStyle w:val="009"/>
      </w:pPr>
      <w:r>
        <w:rPr>
          <w:rFonts w:hint="eastAsia"/>
        </w:rPr>
        <w:t>单位：万元</w:t>
      </w:r>
    </w:p>
    <w:tbl>
      <w:tblPr>
        <w:tblW w:w="8330"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666"/>
        <w:gridCol w:w="1666"/>
        <w:gridCol w:w="1666"/>
        <w:gridCol w:w="1666"/>
        <w:gridCol w:w="1666"/>
      </w:tblGrid>
      <w:tr w:rsidR="004B0883" w14:paraId="390591A5" w14:textId="77777777">
        <w:trPr>
          <w:trHeight w:val="397"/>
          <w:tblHeader/>
          <w:jc w:val="center"/>
        </w:trPr>
        <w:tc>
          <w:tcPr>
            <w:tcW w:w="1666" w:type="dxa"/>
            <w:shd w:val="clear" w:color="auto" w:fill="D9D9D9"/>
            <w:vAlign w:val="center"/>
          </w:tcPr>
          <w:p w14:paraId="1ACB9E36" w14:textId="77777777" w:rsidR="004B0883" w:rsidRDefault="004B0883">
            <w:pPr>
              <w:adjustRightInd w:val="0"/>
              <w:snapToGrid w:val="0"/>
              <w:jc w:val="center"/>
              <w:rPr>
                <w:b/>
                <w:kern w:val="0"/>
              </w:rPr>
            </w:pPr>
            <w:r>
              <w:rPr>
                <w:b/>
                <w:kern w:val="0"/>
              </w:rPr>
              <w:t>项目</w:t>
            </w:r>
          </w:p>
        </w:tc>
        <w:tc>
          <w:tcPr>
            <w:tcW w:w="1666" w:type="dxa"/>
            <w:shd w:val="clear" w:color="auto" w:fill="D9D9D9"/>
            <w:vAlign w:val="center"/>
          </w:tcPr>
          <w:p w14:paraId="1081360B" w14:textId="77777777" w:rsidR="004B0883" w:rsidRDefault="004B0883">
            <w:pPr>
              <w:adjustRightInd w:val="0"/>
              <w:snapToGrid w:val="0"/>
              <w:jc w:val="center"/>
              <w:rPr>
                <w:b/>
                <w:kern w:val="0"/>
              </w:rPr>
            </w:pPr>
            <w:r>
              <w:rPr>
                <w:b/>
                <w:kern w:val="0"/>
              </w:rPr>
              <w:t>2023</w:t>
            </w:r>
            <w:r>
              <w:rPr>
                <w:b/>
                <w:kern w:val="0"/>
              </w:rPr>
              <w:t>年</w:t>
            </w:r>
            <w:r>
              <w:rPr>
                <w:b/>
                <w:kern w:val="0"/>
              </w:rPr>
              <w:t>1-</w:t>
            </w:r>
            <w:r>
              <w:rPr>
                <w:rFonts w:hint="eastAsia"/>
                <w:b/>
                <w:kern w:val="0"/>
              </w:rPr>
              <w:t>9</w:t>
            </w:r>
            <w:r>
              <w:rPr>
                <w:b/>
                <w:kern w:val="0"/>
              </w:rPr>
              <w:t>月</w:t>
            </w:r>
          </w:p>
        </w:tc>
        <w:tc>
          <w:tcPr>
            <w:tcW w:w="1666" w:type="dxa"/>
            <w:shd w:val="clear" w:color="auto" w:fill="D9D9D9"/>
            <w:vAlign w:val="center"/>
          </w:tcPr>
          <w:p w14:paraId="4802EEDB" w14:textId="77777777" w:rsidR="004B0883" w:rsidRDefault="004B0883">
            <w:pPr>
              <w:adjustRightInd w:val="0"/>
              <w:snapToGrid w:val="0"/>
              <w:jc w:val="center"/>
              <w:rPr>
                <w:b/>
                <w:kern w:val="0"/>
              </w:rPr>
            </w:pPr>
            <w:r>
              <w:rPr>
                <w:b/>
                <w:kern w:val="0"/>
              </w:rPr>
              <w:t>2022</w:t>
            </w:r>
            <w:r>
              <w:rPr>
                <w:b/>
                <w:kern w:val="0"/>
              </w:rPr>
              <w:t>年度</w:t>
            </w:r>
          </w:p>
        </w:tc>
        <w:tc>
          <w:tcPr>
            <w:tcW w:w="1666" w:type="dxa"/>
            <w:shd w:val="clear" w:color="auto" w:fill="D9D9D9"/>
            <w:vAlign w:val="center"/>
          </w:tcPr>
          <w:p w14:paraId="33921D81" w14:textId="77777777" w:rsidR="004B0883" w:rsidRDefault="004B0883">
            <w:pPr>
              <w:adjustRightInd w:val="0"/>
              <w:snapToGrid w:val="0"/>
              <w:jc w:val="center"/>
              <w:rPr>
                <w:b/>
                <w:kern w:val="0"/>
              </w:rPr>
            </w:pPr>
            <w:r>
              <w:rPr>
                <w:b/>
                <w:kern w:val="0"/>
              </w:rPr>
              <w:t>2021</w:t>
            </w:r>
            <w:r>
              <w:rPr>
                <w:b/>
                <w:kern w:val="0"/>
              </w:rPr>
              <w:t>年度</w:t>
            </w:r>
          </w:p>
        </w:tc>
        <w:tc>
          <w:tcPr>
            <w:tcW w:w="1666" w:type="dxa"/>
            <w:shd w:val="clear" w:color="auto" w:fill="D9D9D9"/>
            <w:vAlign w:val="center"/>
          </w:tcPr>
          <w:p w14:paraId="07829E75" w14:textId="77777777" w:rsidR="004B0883" w:rsidRDefault="004B0883">
            <w:pPr>
              <w:adjustRightInd w:val="0"/>
              <w:snapToGrid w:val="0"/>
              <w:jc w:val="center"/>
              <w:rPr>
                <w:b/>
                <w:kern w:val="0"/>
              </w:rPr>
            </w:pPr>
            <w:r>
              <w:rPr>
                <w:b/>
                <w:kern w:val="0"/>
              </w:rPr>
              <w:t>2020</w:t>
            </w:r>
            <w:r>
              <w:rPr>
                <w:b/>
                <w:kern w:val="0"/>
              </w:rPr>
              <w:t>年度</w:t>
            </w:r>
          </w:p>
        </w:tc>
      </w:tr>
      <w:tr w:rsidR="004B0883" w14:paraId="2CB72816" w14:textId="77777777">
        <w:trPr>
          <w:trHeight w:val="397"/>
          <w:jc w:val="center"/>
        </w:trPr>
        <w:tc>
          <w:tcPr>
            <w:tcW w:w="1666" w:type="dxa"/>
            <w:vAlign w:val="center"/>
          </w:tcPr>
          <w:p w14:paraId="25B1480D" w14:textId="77777777" w:rsidR="004B0883" w:rsidRDefault="004B0883">
            <w:pPr>
              <w:adjustRightInd w:val="0"/>
              <w:snapToGrid w:val="0"/>
              <w:jc w:val="center"/>
              <w:rPr>
                <w:kern w:val="0"/>
              </w:rPr>
            </w:pPr>
            <w:r>
              <w:rPr>
                <w:kern w:val="0"/>
              </w:rPr>
              <w:t>薪酬合计</w:t>
            </w:r>
          </w:p>
        </w:tc>
        <w:tc>
          <w:tcPr>
            <w:tcW w:w="1666" w:type="dxa"/>
            <w:vAlign w:val="center"/>
          </w:tcPr>
          <w:p w14:paraId="1D25DDC9" w14:textId="77777777" w:rsidR="004B0883" w:rsidRDefault="004B0883">
            <w:pPr>
              <w:adjustRightInd w:val="0"/>
              <w:snapToGrid w:val="0"/>
              <w:jc w:val="right"/>
            </w:pPr>
            <w:r>
              <w:rPr>
                <w:rFonts w:hint="eastAsia"/>
              </w:rPr>
              <w:t>313.83</w:t>
            </w:r>
          </w:p>
        </w:tc>
        <w:tc>
          <w:tcPr>
            <w:tcW w:w="1666" w:type="dxa"/>
            <w:vAlign w:val="center"/>
          </w:tcPr>
          <w:p w14:paraId="50BA314C" w14:textId="77777777" w:rsidR="004B0883" w:rsidRDefault="004B0883">
            <w:pPr>
              <w:adjustRightInd w:val="0"/>
              <w:snapToGrid w:val="0"/>
              <w:jc w:val="right"/>
            </w:pPr>
            <w:r>
              <w:t>726.65</w:t>
            </w:r>
          </w:p>
        </w:tc>
        <w:tc>
          <w:tcPr>
            <w:tcW w:w="1666" w:type="dxa"/>
            <w:vAlign w:val="center"/>
          </w:tcPr>
          <w:p w14:paraId="1202232E" w14:textId="77777777" w:rsidR="004B0883" w:rsidRDefault="004B0883">
            <w:pPr>
              <w:adjustRightInd w:val="0"/>
              <w:snapToGrid w:val="0"/>
              <w:jc w:val="right"/>
            </w:pPr>
            <w:r>
              <w:rPr>
                <w:rFonts w:hint="eastAsia"/>
              </w:rPr>
              <w:t>369.46</w:t>
            </w:r>
          </w:p>
        </w:tc>
        <w:tc>
          <w:tcPr>
            <w:tcW w:w="1666" w:type="dxa"/>
            <w:vAlign w:val="center"/>
          </w:tcPr>
          <w:p w14:paraId="770C44C5" w14:textId="77777777" w:rsidR="004B0883" w:rsidRDefault="004B0883">
            <w:pPr>
              <w:adjustRightInd w:val="0"/>
              <w:snapToGrid w:val="0"/>
              <w:jc w:val="right"/>
            </w:pPr>
            <w:r>
              <w:t>374.87</w:t>
            </w:r>
          </w:p>
        </w:tc>
      </w:tr>
    </w:tbl>
    <w:bookmarkEnd w:id="400"/>
    <w:p w14:paraId="0989AAD6" w14:textId="77777777" w:rsidR="004B0883" w:rsidRDefault="004B0883">
      <w:pPr>
        <w:pStyle w:val="005"/>
        <w:spacing w:before="120"/>
        <w:ind w:firstLine="480"/>
      </w:pPr>
      <w:r>
        <w:rPr>
          <w:rFonts w:hint="eastAsia"/>
        </w:rPr>
        <w:t>（</w:t>
      </w:r>
      <w:r>
        <w:rPr>
          <w:rFonts w:hint="eastAsia"/>
        </w:rPr>
        <w:t>4</w:t>
      </w:r>
      <w:r>
        <w:rPr>
          <w:rFonts w:hint="eastAsia"/>
        </w:rPr>
        <w:t>）其他关联交易</w:t>
      </w:r>
    </w:p>
    <w:p w14:paraId="016B9B3A" w14:textId="77777777" w:rsidR="004B0883" w:rsidRDefault="004B0883">
      <w:pPr>
        <w:pStyle w:val="005"/>
        <w:spacing w:before="120"/>
        <w:ind w:firstLine="480"/>
      </w:pPr>
      <w:r>
        <w:rPr>
          <w:rFonts w:hint="eastAsia"/>
        </w:rPr>
        <w:t>报告期各期，公司未发生其他经常性关联交易。</w:t>
      </w:r>
    </w:p>
    <w:p w14:paraId="182EBE7D" w14:textId="77777777" w:rsidR="004B0883" w:rsidRDefault="004B0883">
      <w:pPr>
        <w:pStyle w:val="004"/>
        <w:spacing w:before="120" w:after="120"/>
        <w:ind w:firstLine="482"/>
      </w:pPr>
      <w:r>
        <w:rPr>
          <w:rFonts w:hint="eastAsia"/>
        </w:rPr>
        <w:t>2</w:t>
      </w:r>
      <w:r>
        <w:rPr>
          <w:rFonts w:hint="eastAsia"/>
        </w:rPr>
        <w:t>、偶发性关联交易</w:t>
      </w:r>
    </w:p>
    <w:bookmarkEnd w:id="397"/>
    <w:p w14:paraId="544E80A6" w14:textId="77777777" w:rsidR="004B0883" w:rsidRDefault="004B0883">
      <w:pPr>
        <w:pStyle w:val="005"/>
        <w:spacing w:before="120"/>
        <w:ind w:firstLine="480"/>
      </w:pPr>
      <w:r>
        <w:rPr>
          <w:rFonts w:hint="eastAsia"/>
        </w:rPr>
        <w:t>（</w:t>
      </w:r>
      <w:r>
        <w:rPr>
          <w:rFonts w:hint="eastAsia"/>
        </w:rPr>
        <w:t>1</w:t>
      </w:r>
      <w:r>
        <w:rPr>
          <w:rFonts w:hint="eastAsia"/>
        </w:rPr>
        <w:t>）转让控股子公司股权暨关联交易</w:t>
      </w:r>
    </w:p>
    <w:p w14:paraId="62AA5155" w14:textId="77777777" w:rsidR="004B0883" w:rsidRDefault="004B0883">
      <w:pPr>
        <w:spacing w:beforeLines="50" w:before="120" w:line="360" w:lineRule="auto"/>
        <w:ind w:firstLineChars="200" w:firstLine="480"/>
        <w:jc w:val="both"/>
        <w:rPr>
          <w:sz w:val="24"/>
          <w:lang w:bidi="en-US"/>
        </w:rPr>
      </w:pPr>
      <w:r>
        <w:rPr>
          <w:sz w:val="24"/>
          <w:lang w:bidi="en-US"/>
        </w:rPr>
        <w:t>2022</w:t>
      </w:r>
      <w:r>
        <w:rPr>
          <w:sz w:val="24"/>
          <w:lang w:bidi="en-US"/>
        </w:rPr>
        <w:t>年</w:t>
      </w:r>
      <w:r>
        <w:rPr>
          <w:sz w:val="24"/>
          <w:lang w:bidi="en-US"/>
        </w:rPr>
        <w:t>4</w:t>
      </w:r>
      <w:r>
        <w:rPr>
          <w:sz w:val="24"/>
          <w:lang w:bidi="en-US"/>
        </w:rPr>
        <w:t>月</w:t>
      </w:r>
      <w:r>
        <w:rPr>
          <w:sz w:val="24"/>
          <w:lang w:bidi="en-US"/>
        </w:rPr>
        <w:t>27</w:t>
      </w:r>
      <w:r>
        <w:rPr>
          <w:sz w:val="24"/>
          <w:lang w:bidi="en-US"/>
        </w:rPr>
        <w:t>日，发行人召开第四届董事会第十二次会议，审议通过了《关于转让控股子公司股权暨关联交易的议案》，同意将青岛即聚机电有限责任公司的</w:t>
      </w:r>
      <w:r>
        <w:rPr>
          <w:sz w:val="24"/>
          <w:lang w:bidi="en-US"/>
        </w:rPr>
        <w:t>51%</w:t>
      </w:r>
      <w:r>
        <w:rPr>
          <w:sz w:val="24"/>
          <w:lang w:bidi="en-US"/>
        </w:rPr>
        <w:t>股权分别转让给自然人吕仁红</w:t>
      </w:r>
      <w:r>
        <w:rPr>
          <w:sz w:val="24"/>
          <w:lang w:bidi="en-US"/>
        </w:rPr>
        <w:t>11%</w:t>
      </w:r>
      <w:r>
        <w:rPr>
          <w:sz w:val="24"/>
          <w:lang w:bidi="en-US"/>
        </w:rPr>
        <w:t>、宫相开</w:t>
      </w:r>
      <w:r>
        <w:rPr>
          <w:sz w:val="24"/>
          <w:lang w:bidi="en-US"/>
        </w:rPr>
        <w:t>40%</w:t>
      </w:r>
      <w:r>
        <w:rPr>
          <w:sz w:val="24"/>
          <w:lang w:bidi="en-US"/>
        </w:rPr>
        <w:t>，转让价格分别为</w:t>
      </w:r>
      <w:r>
        <w:rPr>
          <w:sz w:val="24"/>
          <w:lang w:bidi="en-US"/>
        </w:rPr>
        <w:t>550</w:t>
      </w:r>
      <w:r>
        <w:rPr>
          <w:sz w:val="24"/>
          <w:lang w:bidi="en-US"/>
        </w:rPr>
        <w:t>万元、</w:t>
      </w:r>
      <w:r>
        <w:rPr>
          <w:sz w:val="24"/>
          <w:lang w:bidi="en-US"/>
        </w:rPr>
        <w:t>2,000</w:t>
      </w:r>
      <w:r>
        <w:rPr>
          <w:sz w:val="24"/>
          <w:lang w:bidi="en-US"/>
        </w:rPr>
        <w:t>万元。因自然人吕仁红已持有即聚机电</w:t>
      </w:r>
      <w:r>
        <w:rPr>
          <w:sz w:val="24"/>
          <w:lang w:bidi="en-US"/>
        </w:rPr>
        <w:t>49%</w:t>
      </w:r>
      <w:r>
        <w:rPr>
          <w:sz w:val="24"/>
          <w:lang w:bidi="en-US"/>
        </w:rPr>
        <w:t>的股权，本次股权转让构成关联交易。至本次关联交易为止，除吕仁红在</w:t>
      </w:r>
      <w:r>
        <w:rPr>
          <w:sz w:val="24"/>
          <w:lang w:bidi="en-US"/>
        </w:rPr>
        <w:t>2021</w:t>
      </w:r>
      <w:r>
        <w:rPr>
          <w:sz w:val="24"/>
          <w:lang w:bidi="en-US"/>
        </w:rPr>
        <w:t>年</w:t>
      </w:r>
      <w:r>
        <w:rPr>
          <w:sz w:val="24"/>
          <w:lang w:bidi="en-US"/>
        </w:rPr>
        <w:t>12</w:t>
      </w:r>
      <w:r>
        <w:rPr>
          <w:sz w:val="24"/>
          <w:lang w:bidi="en-US"/>
        </w:rPr>
        <w:t>月</w:t>
      </w:r>
      <w:r>
        <w:rPr>
          <w:sz w:val="24"/>
          <w:lang w:bidi="en-US"/>
        </w:rPr>
        <w:t>11</w:t>
      </w:r>
      <w:r>
        <w:rPr>
          <w:sz w:val="24"/>
          <w:lang w:bidi="en-US"/>
        </w:rPr>
        <w:t>日以</w:t>
      </w:r>
      <w:r>
        <w:rPr>
          <w:sz w:val="24"/>
          <w:lang w:bidi="en-US"/>
        </w:rPr>
        <w:t>2,450</w:t>
      </w:r>
      <w:r>
        <w:rPr>
          <w:sz w:val="24"/>
          <w:lang w:bidi="en-US"/>
        </w:rPr>
        <w:t>万元的价格受让即聚机电</w:t>
      </w:r>
      <w:r>
        <w:rPr>
          <w:sz w:val="24"/>
          <w:lang w:bidi="en-US"/>
        </w:rPr>
        <w:t>49%</w:t>
      </w:r>
      <w:r>
        <w:rPr>
          <w:sz w:val="24"/>
          <w:lang w:bidi="en-US"/>
        </w:rPr>
        <w:t>的股权外，过去</w:t>
      </w:r>
      <w:r>
        <w:rPr>
          <w:sz w:val="24"/>
          <w:lang w:bidi="en-US"/>
        </w:rPr>
        <w:t>12</w:t>
      </w:r>
      <w:r>
        <w:rPr>
          <w:sz w:val="24"/>
          <w:lang w:bidi="en-US"/>
        </w:rPr>
        <w:t>个月内公司与吕仁红、宫相开未发生其他交易。</w:t>
      </w:r>
    </w:p>
    <w:p w14:paraId="3AFF1720" w14:textId="77777777" w:rsidR="004B0883" w:rsidRDefault="004B0883">
      <w:pPr>
        <w:spacing w:beforeLines="50" w:before="120" w:line="360" w:lineRule="auto"/>
        <w:ind w:firstLineChars="200" w:firstLine="480"/>
        <w:jc w:val="both"/>
        <w:rPr>
          <w:sz w:val="24"/>
          <w:lang w:bidi="en-US"/>
        </w:rPr>
      </w:pPr>
      <w:r>
        <w:rPr>
          <w:sz w:val="24"/>
          <w:lang w:bidi="en-US"/>
        </w:rPr>
        <w:t>（</w:t>
      </w:r>
      <w:r>
        <w:rPr>
          <w:sz w:val="24"/>
          <w:lang w:bidi="en-US"/>
        </w:rPr>
        <w:t>2</w:t>
      </w:r>
      <w:r>
        <w:rPr>
          <w:sz w:val="24"/>
          <w:lang w:bidi="en-US"/>
        </w:rPr>
        <w:t>）认购益安地风</w:t>
      </w:r>
      <w:r>
        <w:rPr>
          <w:sz w:val="24"/>
          <w:lang w:bidi="en-US"/>
        </w:rPr>
        <w:t>5</w:t>
      </w:r>
      <w:r>
        <w:rPr>
          <w:sz w:val="24"/>
          <w:lang w:bidi="en-US"/>
        </w:rPr>
        <w:t>号私募证券投资基金</w:t>
      </w:r>
    </w:p>
    <w:p w14:paraId="6726FA05" w14:textId="77777777" w:rsidR="004B0883" w:rsidRDefault="004B0883">
      <w:pPr>
        <w:spacing w:beforeLines="50" w:before="120" w:line="360" w:lineRule="auto"/>
        <w:ind w:firstLineChars="200" w:firstLine="480"/>
        <w:jc w:val="both"/>
        <w:rPr>
          <w:sz w:val="24"/>
          <w:lang w:bidi="en-US"/>
        </w:rPr>
      </w:pPr>
      <w:r>
        <w:rPr>
          <w:sz w:val="24"/>
          <w:lang w:bidi="en-US"/>
        </w:rPr>
        <w:t>2022</w:t>
      </w:r>
      <w:r>
        <w:rPr>
          <w:sz w:val="24"/>
          <w:lang w:bidi="en-US"/>
        </w:rPr>
        <w:t>年</w:t>
      </w:r>
      <w:r>
        <w:rPr>
          <w:sz w:val="24"/>
          <w:lang w:bidi="en-US"/>
        </w:rPr>
        <w:t>2</w:t>
      </w:r>
      <w:r>
        <w:rPr>
          <w:sz w:val="24"/>
          <w:lang w:bidi="en-US"/>
        </w:rPr>
        <w:t>月</w:t>
      </w:r>
      <w:r>
        <w:rPr>
          <w:sz w:val="24"/>
          <w:lang w:bidi="en-US"/>
        </w:rPr>
        <w:t>16</w:t>
      </w:r>
      <w:r>
        <w:rPr>
          <w:sz w:val="24"/>
          <w:lang w:bidi="en-US"/>
        </w:rPr>
        <w:t>日，发行人召开第四届董事会第十一次会议，审议并通过了《关于公司控股子公司购买私募基金暨关联交易的议案》，同意公司控股子公司海南伟隆出资</w:t>
      </w:r>
      <w:r>
        <w:rPr>
          <w:sz w:val="24"/>
          <w:lang w:bidi="en-US"/>
        </w:rPr>
        <w:t>10,000</w:t>
      </w:r>
      <w:r>
        <w:rPr>
          <w:sz w:val="24"/>
          <w:lang w:bidi="en-US"/>
        </w:rPr>
        <w:t>万元认购益安地风</w:t>
      </w:r>
      <w:r>
        <w:rPr>
          <w:sz w:val="24"/>
          <w:lang w:bidi="en-US"/>
        </w:rPr>
        <w:t>5</w:t>
      </w:r>
      <w:r>
        <w:rPr>
          <w:sz w:val="24"/>
          <w:lang w:bidi="en-US"/>
        </w:rPr>
        <w:t>号私募证券投资基金。</w:t>
      </w:r>
      <w:r>
        <w:rPr>
          <w:sz w:val="24"/>
          <w:lang w:bidi="en-US"/>
        </w:rPr>
        <w:t>2022</w:t>
      </w:r>
      <w:r>
        <w:rPr>
          <w:sz w:val="24"/>
          <w:lang w:bidi="en-US"/>
        </w:rPr>
        <w:t>年</w:t>
      </w:r>
      <w:r>
        <w:rPr>
          <w:sz w:val="24"/>
          <w:lang w:bidi="en-US"/>
        </w:rPr>
        <w:t>3</w:t>
      </w:r>
      <w:r>
        <w:rPr>
          <w:sz w:val="24"/>
          <w:lang w:bidi="en-US"/>
        </w:rPr>
        <w:t>月</w:t>
      </w:r>
      <w:r>
        <w:rPr>
          <w:sz w:val="24"/>
          <w:lang w:bidi="en-US"/>
        </w:rPr>
        <w:t>4</w:t>
      </w:r>
      <w:r>
        <w:rPr>
          <w:sz w:val="24"/>
          <w:lang w:bidi="en-US"/>
        </w:rPr>
        <w:t>日，发行人召开</w:t>
      </w:r>
      <w:r>
        <w:rPr>
          <w:sz w:val="24"/>
          <w:lang w:bidi="en-US"/>
        </w:rPr>
        <w:t>2022</w:t>
      </w:r>
      <w:r>
        <w:rPr>
          <w:sz w:val="24"/>
          <w:lang w:bidi="en-US"/>
        </w:rPr>
        <w:t>年第二次临时股东大会审议通过了《关于公司控股子公司购买私募基金暨关联交易的议案》。</w:t>
      </w:r>
    </w:p>
    <w:p w14:paraId="5D527206" w14:textId="77777777" w:rsidR="004B0883" w:rsidRDefault="004B0883">
      <w:pPr>
        <w:spacing w:beforeLines="50" w:before="120" w:line="360" w:lineRule="auto"/>
        <w:ind w:firstLineChars="200" w:firstLine="480"/>
        <w:jc w:val="both"/>
        <w:rPr>
          <w:sz w:val="24"/>
          <w:lang w:bidi="en-US"/>
        </w:rPr>
      </w:pPr>
      <w:r>
        <w:rPr>
          <w:sz w:val="24"/>
          <w:lang w:bidi="en-US"/>
        </w:rPr>
        <w:t>因北京益安资本管理有限公司（以下称</w:t>
      </w:r>
      <w:r>
        <w:rPr>
          <w:rFonts w:ascii="宋体" w:hAnsi="宋体"/>
          <w:sz w:val="24"/>
          <w:lang w:bidi="en-US"/>
        </w:rPr>
        <w:t>“</w:t>
      </w:r>
      <w:r>
        <w:rPr>
          <w:sz w:val="24"/>
          <w:lang w:bidi="en-US"/>
        </w:rPr>
        <w:t>益安资本</w:t>
      </w:r>
      <w:r>
        <w:rPr>
          <w:rFonts w:ascii="宋体" w:hAnsi="宋体"/>
          <w:sz w:val="24"/>
          <w:lang w:bidi="en-US"/>
        </w:rPr>
        <w:t>”</w:t>
      </w:r>
      <w:r>
        <w:rPr>
          <w:sz w:val="24"/>
          <w:lang w:bidi="en-US"/>
        </w:rPr>
        <w:t>）控股股东、实际控制人于新伟同时实际控制上海天诚东泰投资有限公司（以下简称</w:t>
      </w:r>
      <w:r>
        <w:rPr>
          <w:rFonts w:ascii="宋体" w:hAnsi="宋体"/>
          <w:sz w:val="24"/>
          <w:lang w:bidi="en-US"/>
        </w:rPr>
        <w:t>“</w:t>
      </w:r>
      <w:r>
        <w:rPr>
          <w:sz w:val="24"/>
          <w:lang w:bidi="en-US"/>
        </w:rPr>
        <w:t>天诚东泰</w:t>
      </w:r>
      <w:r>
        <w:rPr>
          <w:rFonts w:ascii="宋体" w:hAnsi="宋体"/>
          <w:sz w:val="24"/>
          <w:lang w:bidi="en-US"/>
        </w:rPr>
        <w:t>”</w:t>
      </w:r>
      <w:r>
        <w:rPr>
          <w:sz w:val="24"/>
          <w:lang w:bidi="en-US"/>
        </w:rPr>
        <w:t>），并直接持有青岛天诚股权投资基金管理有限公司（以下简称</w:t>
      </w:r>
      <w:r>
        <w:rPr>
          <w:rFonts w:ascii="宋体" w:hAnsi="宋体"/>
          <w:sz w:val="24"/>
          <w:lang w:bidi="en-US"/>
        </w:rPr>
        <w:t>“</w:t>
      </w:r>
      <w:r>
        <w:rPr>
          <w:sz w:val="24"/>
          <w:lang w:bidi="en-US"/>
        </w:rPr>
        <w:t>青岛天诚</w:t>
      </w:r>
      <w:r>
        <w:rPr>
          <w:rFonts w:ascii="宋体" w:hAnsi="宋体"/>
          <w:sz w:val="24"/>
          <w:lang w:bidi="en-US"/>
        </w:rPr>
        <w:t>”</w:t>
      </w:r>
      <w:r>
        <w:rPr>
          <w:sz w:val="24"/>
          <w:lang w:bidi="en-US"/>
        </w:rPr>
        <w:t>）</w:t>
      </w:r>
      <w:r>
        <w:rPr>
          <w:rFonts w:hint="eastAsia"/>
          <w:sz w:val="24"/>
          <w:lang w:bidi="en-US"/>
        </w:rPr>
        <w:t>32</w:t>
      </w:r>
      <w:r>
        <w:rPr>
          <w:sz w:val="24"/>
          <w:lang w:bidi="en-US"/>
        </w:rPr>
        <w:t>%</w:t>
      </w:r>
      <w:r>
        <w:rPr>
          <w:sz w:val="24"/>
          <w:lang w:bidi="en-US"/>
        </w:rPr>
        <w:t>的股权，作为公司控股子公司海南伟隆的股东，天诚东泰、青岛天诚分别持有海南伟隆</w:t>
      </w:r>
      <w:r>
        <w:rPr>
          <w:sz w:val="24"/>
          <w:lang w:bidi="en-US"/>
        </w:rPr>
        <w:t>39%</w:t>
      </w:r>
      <w:r>
        <w:rPr>
          <w:sz w:val="24"/>
          <w:lang w:bidi="en-US"/>
        </w:rPr>
        <w:t>、</w:t>
      </w:r>
      <w:r>
        <w:rPr>
          <w:sz w:val="24"/>
          <w:lang w:bidi="en-US"/>
        </w:rPr>
        <w:t>1%</w:t>
      </w:r>
      <w:r>
        <w:rPr>
          <w:sz w:val="24"/>
          <w:lang w:bidi="en-US"/>
        </w:rPr>
        <w:t>的股权，出于谨慎性原则，公司将益安资本、益安地风</w:t>
      </w:r>
      <w:r>
        <w:rPr>
          <w:sz w:val="24"/>
          <w:lang w:bidi="en-US"/>
        </w:rPr>
        <w:t>5</w:t>
      </w:r>
      <w:r>
        <w:rPr>
          <w:sz w:val="24"/>
          <w:lang w:bidi="en-US"/>
        </w:rPr>
        <w:t>号视作公司的关联方，本次公司控股子公司认购益安地风</w:t>
      </w:r>
      <w:r>
        <w:rPr>
          <w:sz w:val="24"/>
          <w:lang w:bidi="en-US"/>
        </w:rPr>
        <w:t>5</w:t>
      </w:r>
      <w:r>
        <w:rPr>
          <w:sz w:val="24"/>
          <w:lang w:bidi="en-US"/>
        </w:rPr>
        <w:t>号构成关联交易。</w:t>
      </w:r>
    </w:p>
    <w:p w14:paraId="3EED32B6" w14:textId="77777777" w:rsidR="004B0883" w:rsidRDefault="004B0883">
      <w:pPr>
        <w:pStyle w:val="004"/>
        <w:spacing w:before="120" w:after="120"/>
        <w:ind w:firstLine="482"/>
      </w:pPr>
      <w:r>
        <w:t>3</w:t>
      </w:r>
      <w:r>
        <w:t>、关联方应收、应付款项余额</w:t>
      </w:r>
    </w:p>
    <w:p w14:paraId="2CBF447D" w14:textId="77777777" w:rsidR="004B0883" w:rsidRDefault="004B0883">
      <w:pPr>
        <w:pStyle w:val="005"/>
        <w:spacing w:before="120"/>
        <w:ind w:firstLine="480"/>
      </w:pPr>
      <w:r>
        <w:t>（</w:t>
      </w:r>
      <w:r>
        <w:t>1</w:t>
      </w:r>
      <w:r>
        <w:t>）关联方应收款项</w:t>
      </w:r>
    </w:p>
    <w:p w14:paraId="40B3371E" w14:textId="77777777" w:rsidR="004B0883" w:rsidRDefault="004B0883">
      <w:pPr>
        <w:pStyle w:val="005"/>
        <w:spacing w:before="120"/>
        <w:ind w:firstLine="480"/>
      </w:pPr>
      <w:r>
        <w:rPr>
          <w:rFonts w:hint="eastAsia"/>
        </w:rPr>
        <w:t>报告期各期末，公司无关联方应收款项。</w:t>
      </w:r>
    </w:p>
    <w:p w14:paraId="36564D38" w14:textId="77777777" w:rsidR="004B0883" w:rsidRDefault="004B0883">
      <w:pPr>
        <w:pStyle w:val="005"/>
        <w:spacing w:before="120"/>
        <w:ind w:firstLine="480"/>
      </w:pPr>
      <w:r>
        <w:rPr>
          <w:rFonts w:hint="eastAsia"/>
        </w:rPr>
        <w:t>（</w:t>
      </w:r>
      <w:r>
        <w:rPr>
          <w:rFonts w:hint="eastAsia"/>
        </w:rPr>
        <w:t>2</w:t>
      </w:r>
      <w:r>
        <w:rPr>
          <w:rFonts w:hint="eastAsia"/>
        </w:rPr>
        <w:t>）关联方应付款项</w:t>
      </w:r>
    </w:p>
    <w:p w14:paraId="27DD3696" w14:textId="77777777" w:rsidR="004B0883" w:rsidRDefault="004B0883">
      <w:pPr>
        <w:pStyle w:val="005"/>
        <w:spacing w:before="120"/>
        <w:ind w:firstLine="480"/>
      </w:pPr>
      <w:r>
        <w:rPr>
          <w:rFonts w:hint="eastAsia"/>
        </w:rPr>
        <w:t>报告期各期末，公司无关联方应付款项。</w:t>
      </w:r>
    </w:p>
    <w:p w14:paraId="6C83D8C7" w14:textId="77777777" w:rsidR="004B0883" w:rsidRDefault="004B0883">
      <w:pPr>
        <w:pStyle w:val="004"/>
        <w:spacing w:before="120" w:after="120"/>
        <w:ind w:firstLine="482"/>
      </w:pPr>
      <w:r>
        <w:rPr>
          <w:rFonts w:hint="eastAsia"/>
        </w:rPr>
        <w:t>4</w:t>
      </w:r>
      <w:r>
        <w:rPr>
          <w:rFonts w:hint="eastAsia"/>
        </w:rPr>
        <w:t>、报告期内关联交易对公司经营成果和财务状况的影响</w:t>
      </w:r>
    </w:p>
    <w:p w14:paraId="192044A7" w14:textId="77777777" w:rsidR="004B0883" w:rsidRDefault="004B0883">
      <w:pPr>
        <w:pStyle w:val="005"/>
        <w:spacing w:before="120"/>
        <w:ind w:firstLine="480"/>
      </w:pPr>
      <w:bookmarkStart w:id="401" w:name="_Toc229251561"/>
      <w:bookmarkStart w:id="402" w:name="_Toc220310366"/>
      <w:r>
        <w:rPr>
          <w:rFonts w:hint="eastAsia"/>
        </w:rPr>
        <w:t>报告期内，发行人与关联方发生的上述关联交易内容合理、价格公允，交易规模较小且履行了必要的决策程序，不存在严重损害公司及其他非关联股东利益的情况，对公司财务状况和经营成果不构成重大不利影响。</w:t>
      </w:r>
      <w:bookmarkEnd w:id="401"/>
      <w:bookmarkEnd w:id="402"/>
    </w:p>
    <w:p w14:paraId="05F685FA" w14:textId="77777777" w:rsidR="004B0883" w:rsidRDefault="004B0883">
      <w:pPr>
        <w:pStyle w:val="004"/>
        <w:spacing w:before="120" w:after="120"/>
        <w:ind w:firstLine="482"/>
      </w:pPr>
      <w:r>
        <w:rPr>
          <w:rFonts w:hint="eastAsia"/>
        </w:rPr>
        <w:t>5</w:t>
      </w:r>
      <w:r>
        <w:rPr>
          <w:rFonts w:hint="eastAsia"/>
        </w:rPr>
        <w:t>、报告期内关联交易履行的审批程序</w:t>
      </w:r>
    </w:p>
    <w:p w14:paraId="5D7E69FC" w14:textId="77777777" w:rsidR="004B0883" w:rsidRDefault="004B0883">
      <w:pPr>
        <w:pStyle w:val="005"/>
        <w:spacing w:before="120"/>
        <w:ind w:firstLine="480"/>
      </w:pPr>
      <w:r>
        <w:rPr>
          <w:rFonts w:hint="eastAsia"/>
        </w:rPr>
        <w:t>公司根据有关法律、法规、规章和规范性文件的规定，已在其《公司章程》《股东大会议事规则》《董事会议事规则》《关联交易管理制度》中规定了股东大会、董事会在审议有关关联交易事项时关联股东、关联董事回避表决制度及其他公允决策程序，且有关议事规则及决策制度已经发行人股东大会审议通过。</w:t>
      </w:r>
    </w:p>
    <w:p w14:paraId="55B4E228" w14:textId="77777777" w:rsidR="004B0883" w:rsidRDefault="004B0883">
      <w:pPr>
        <w:pStyle w:val="005"/>
        <w:spacing w:before="120"/>
        <w:ind w:firstLine="480"/>
      </w:pPr>
      <w:r>
        <w:rPr>
          <w:rFonts w:hint="eastAsia"/>
        </w:rPr>
        <w:t>根据公司说明及提供的资料，该等关联交易已经履行了必要的关联交易决策程序。发行人与关联方之间发生的关联交易均为双方协商一致的结果，遵循了市场原则，定价公允、合理，上述关联交易合法，不存在损害发行人及发行人股东利益的情况。</w:t>
      </w:r>
    </w:p>
    <w:p w14:paraId="1754EACE" w14:textId="77777777" w:rsidR="004B0883" w:rsidRDefault="004B0883">
      <w:pPr>
        <w:pStyle w:val="003"/>
        <w:spacing w:before="120" w:after="120"/>
      </w:pPr>
      <w:r>
        <w:rPr>
          <w:rFonts w:hint="eastAsia"/>
        </w:rPr>
        <w:t>（三）规范和减少关联交易的措施</w:t>
      </w:r>
    </w:p>
    <w:p w14:paraId="2FC0A53F" w14:textId="77777777" w:rsidR="004B0883" w:rsidRDefault="004B0883">
      <w:pPr>
        <w:pStyle w:val="004"/>
        <w:spacing w:before="120" w:after="120"/>
        <w:ind w:firstLine="482"/>
      </w:pPr>
      <w:r>
        <w:rPr>
          <w:rFonts w:hint="eastAsia"/>
        </w:rPr>
        <w:t>1</w:t>
      </w:r>
      <w:r>
        <w:rPr>
          <w:rFonts w:hint="eastAsia"/>
        </w:rPr>
        <w:t>、《公司章程》规定</w:t>
      </w:r>
    </w:p>
    <w:p w14:paraId="0C903583" w14:textId="77777777" w:rsidR="004B0883" w:rsidRDefault="004B0883">
      <w:pPr>
        <w:pStyle w:val="005"/>
        <w:spacing w:before="120"/>
        <w:ind w:firstLine="480"/>
      </w:pPr>
      <w:r>
        <w:rPr>
          <w:rFonts w:hint="eastAsia"/>
        </w:rPr>
        <w:t>《公司章程》规定就如何规范和减少关联交易、保证关联交易公允决策的程序进行了明确规定：</w:t>
      </w:r>
    </w:p>
    <w:p w14:paraId="13618AFB" w14:textId="77777777" w:rsidR="004B0883" w:rsidRDefault="004B0883">
      <w:pPr>
        <w:pStyle w:val="005"/>
        <w:spacing w:before="120"/>
        <w:ind w:firstLine="480"/>
      </w:pPr>
      <w:r>
        <w:rPr>
          <w:rFonts w:hint="eastAsia"/>
        </w:rPr>
        <w:t>第三十七条</w:t>
      </w:r>
      <w:r>
        <w:t xml:space="preserve"> </w:t>
      </w:r>
      <w:r>
        <w:rPr>
          <w:rFonts w:hint="eastAsia"/>
        </w:rPr>
        <w:t>公司的控股股东、实际控制人员不得利用其关联关系损害公司利益。违反规定的，给公司造成损失的，应当承担赔偿责任。……</w:t>
      </w:r>
    </w:p>
    <w:p w14:paraId="201D6EFD" w14:textId="77777777" w:rsidR="004B0883" w:rsidRDefault="004B0883">
      <w:pPr>
        <w:pStyle w:val="005"/>
        <w:spacing w:before="120"/>
        <w:ind w:firstLine="480"/>
      </w:pPr>
      <w:r>
        <w:rPr>
          <w:rFonts w:hint="eastAsia"/>
        </w:rPr>
        <w:t>第三十九条</w:t>
      </w:r>
      <w:r>
        <w:t xml:space="preserve"> </w:t>
      </w:r>
      <w:r>
        <w:rPr>
          <w:rFonts w:hint="eastAsia"/>
        </w:rPr>
        <w:t>公司下列对外担保行为，须经股东大会审议通过：</w:t>
      </w:r>
    </w:p>
    <w:p w14:paraId="2437B568" w14:textId="77777777" w:rsidR="004B0883" w:rsidRDefault="004B0883">
      <w:pPr>
        <w:pStyle w:val="005"/>
        <w:spacing w:before="120"/>
        <w:ind w:firstLine="480"/>
      </w:pPr>
      <w:r>
        <w:rPr>
          <w:rFonts w:hint="eastAsia"/>
        </w:rPr>
        <w:t>（一）公司及公司控股子公司的对外担保总额，达到或超过最近一期经审计净资产的</w:t>
      </w:r>
      <w:r>
        <w:rPr>
          <w:rFonts w:hint="eastAsia"/>
        </w:rPr>
        <w:t>50%</w:t>
      </w:r>
      <w:r>
        <w:rPr>
          <w:rFonts w:hint="eastAsia"/>
        </w:rPr>
        <w:t>以后提供的任何担保；</w:t>
      </w:r>
    </w:p>
    <w:p w14:paraId="083713ED" w14:textId="77777777" w:rsidR="004B0883" w:rsidRDefault="004B0883">
      <w:pPr>
        <w:pStyle w:val="005"/>
        <w:spacing w:before="120"/>
        <w:ind w:firstLine="480"/>
      </w:pPr>
      <w:r>
        <w:rPr>
          <w:rFonts w:hint="eastAsia"/>
        </w:rPr>
        <w:t>（二）公司的对外担保总额，达到或超过最近一期经审计总资产的</w:t>
      </w:r>
      <w:r>
        <w:rPr>
          <w:rFonts w:hint="eastAsia"/>
        </w:rPr>
        <w:t>30%</w:t>
      </w:r>
      <w:r>
        <w:rPr>
          <w:rFonts w:hint="eastAsia"/>
        </w:rPr>
        <w:t>以后提供的任何担保；</w:t>
      </w:r>
    </w:p>
    <w:p w14:paraId="440426F7" w14:textId="77777777" w:rsidR="004B0883" w:rsidRDefault="004B0883">
      <w:pPr>
        <w:pStyle w:val="005"/>
        <w:spacing w:before="120"/>
        <w:ind w:firstLine="480"/>
      </w:pPr>
      <w:r>
        <w:rPr>
          <w:rFonts w:hint="eastAsia"/>
        </w:rPr>
        <w:t>（三）为资产负债率超过</w:t>
      </w:r>
      <w:r>
        <w:rPr>
          <w:rFonts w:hint="eastAsia"/>
        </w:rPr>
        <w:t>70%</w:t>
      </w:r>
      <w:r>
        <w:rPr>
          <w:rFonts w:hint="eastAsia"/>
        </w:rPr>
        <w:t>的担保对象提供的担保；</w:t>
      </w:r>
    </w:p>
    <w:p w14:paraId="6E57B096" w14:textId="77777777" w:rsidR="004B0883" w:rsidRDefault="004B0883">
      <w:pPr>
        <w:pStyle w:val="005"/>
        <w:spacing w:before="120"/>
        <w:ind w:firstLine="480"/>
      </w:pPr>
      <w:r>
        <w:rPr>
          <w:rFonts w:hint="eastAsia"/>
        </w:rPr>
        <w:t>（四）单笔担保额超过最近一期经审计净资产</w:t>
      </w:r>
      <w:r>
        <w:rPr>
          <w:rFonts w:hint="eastAsia"/>
        </w:rPr>
        <w:t>10%</w:t>
      </w:r>
      <w:r>
        <w:rPr>
          <w:rFonts w:hint="eastAsia"/>
        </w:rPr>
        <w:t>的担保；</w:t>
      </w:r>
    </w:p>
    <w:p w14:paraId="351E690C" w14:textId="77777777" w:rsidR="004B0883" w:rsidRDefault="004B0883">
      <w:pPr>
        <w:pStyle w:val="005"/>
        <w:spacing w:before="120"/>
        <w:ind w:firstLine="480"/>
      </w:pPr>
      <w:r>
        <w:rPr>
          <w:rFonts w:hint="eastAsia"/>
        </w:rPr>
        <w:t>（五）连续十二个月内担保金额超过公司最近一期经审计总资产的</w:t>
      </w:r>
      <w:r>
        <w:rPr>
          <w:rFonts w:hint="eastAsia"/>
        </w:rPr>
        <w:t>30%</w:t>
      </w:r>
      <w:r>
        <w:rPr>
          <w:rFonts w:hint="eastAsia"/>
        </w:rPr>
        <w:t>；</w:t>
      </w:r>
    </w:p>
    <w:p w14:paraId="6AB0C341" w14:textId="77777777" w:rsidR="004B0883" w:rsidRDefault="004B0883">
      <w:pPr>
        <w:pStyle w:val="005"/>
        <w:spacing w:before="120"/>
        <w:ind w:firstLine="480"/>
      </w:pPr>
      <w:r>
        <w:rPr>
          <w:rFonts w:hint="eastAsia"/>
        </w:rPr>
        <w:t>（六）连续十二个月内担保金额超过公司最近一期经审计净资产的</w:t>
      </w:r>
      <w:r>
        <w:rPr>
          <w:rFonts w:hint="eastAsia"/>
        </w:rPr>
        <w:t>50%</w:t>
      </w:r>
      <w:r>
        <w:rPr>
          <w:rFonts w:hint="eastAsia"/>
        </w:rPr>
        <w:t>且绝对金额超过</w:t>
      </w:r>
      <w:r>
        <w:rPr>
          <w:rFonts w:hint="eastAsia"/>
        </w:rPr>
        <w:t>5,000</w:t>
      </w:r>
      <w:r>
        <w:rPr>
          <w:rFonts w:hint="eastAsia"/>
        </w:rPr>
        <w:t>万元；</w:t>
      </w:r>
    </w:p>
    <w:p w14:paraId="1A3F82E9" w14:textId="77777777" w:rsidR="004B0883" w:rsidRDefault="004B0883">
      <w:pPr>
        <w:pStyle w:val="005"/>
        <w:spacing w:before="120"/>
        <w:ind w:firstLine="480"/>
      </w:pPr>
      <w:r>
        <w:rPr>
          <w:rFonts w:hint="eastAsia"/>
        </w:rPr>
        <w:t>（七）对股东、实际控制人及其关联方提供的担保。</w:t>
      </w:r>
    </w:p>
    <w:p w14:paraId="118DE682" w14:textId="77777777" w:rsidR="004B0883" w:rsidRDefault="004B0883">
      <w:pPr>
        <w:pStyle w:val="005"/>
        <w:spacing w:before="120"/>
        <w:ind w:firstLine="480"/>
      </w:pPr>
      <w:r>
        <w:rPr>
          <w:rFonts w:hint="eastAsia"/>
        </w:rPr>
        <w:t>股东大会审议前款第（五）项担保事项时，应经出席会议的股东所持表决权的三分之二以上通过。</w:t>
      </w:r>
    </w:p>
    <w:p w14:paraId="0BD0D61B" w14:textId="77777777" w:rsidR="004B0883" w:rsidRDefault="004B0883">
      <w:pPr>
        <w:pStyle w:val="005"/>
        <w:spacing w:before="120"/>
        <w:ind w:firstLine="480"/>
      </w:pPr>
      <w:r>
        <w:rPr>
          <w:rFonts w:hint="eastAsia"/>
        </w:rPr>
        <w:t>股东大会在审议为股东、实际控制人及其关联人提供的担保议案时，该股东或者受该实际控制人支配的股东，不得参与该项表决，该项表决须经出席股东大会的其他股东所持表决权的半数以上通过。</w:t>
      </w:r>
    </w:p>
    <w:p w14:paraId="65B28B38" w14:textId="77777777" w:rsidR="004B0883" w:rsidRDefault="004B0883">
      <w:pPr>
        <w:pStyle w:val="005"/>
        <w:spacing w:before="120"/>
        <w:ind w:firstLine="480"/>
      </w:pPr>
      <w:r>
        <w:rPr>
          <w:rFonts w:hint="eastAsia"/>
        </w:rPr>
        <w:t>第五十四条</w:t>
      </w:r>
      <w:r>
        <w:t xml:space="preserve"> </w:t>
      </w:r>
      <w:r>
        <w:rPr>
          <w:rFonts w:hint="eastAsia"/>
        </w:rPr>
        <w:t>股东大会拟讨论董事、监事选举事项的，股东大会通知中将充分披露董事、监事候选人的详细资料，至少包括以下内容：……（二）</w:t>
      </w:r>
      <w:r>
        <w:rPr>
          <w:rFonts w:hint="eastAsia"/>
        </w:rPr>
        <w:tab/>
      </w:r>
      <w:r>
        <w:rPr>
          <w:rFonts w:hint="eastAsia"/>
        </w:rPr>
        <w:t>与本公司或本公司的控股股东及实际控制人是否存在关联关系；……</w:t>
      </w:r>
    </w:p>
    <w:p w14:paraId="0D93D324" w14:textId="77777777" w:rsidR="004B0883" w:rsidRDefault="004B0883">
      <w:pPr>
        <w:pStyle w:val="005"/>
        <w:spacing w:before="120"/>
        <w:ind w:firstLine="480"/>
      </w:pPr>
      <w:r>
        <w:rPr>
          <w:rFonts w:hint="eastAsia"/>
        </w:rPr>
        <w:t>第七十四条</w:t>
      </w:r>
      <w:r>
        <w:t xml:space="preserve"> </w:t>
      </w:r>
      <w:r>
        <w:rPr>
          <w:rFonts w:hint="eastAsia"/>
        </w:rPr>
        <w:t>下列事项由股东大会以普通决议通过：</w:t>
      </w:r>
    </w:p>
    <w:p w14:paraId="7B17BFDA" w14:textId="77777777" w:rsidR="004B0883" w:rsidRDefault="004B0883">
      <w:pPr>
        <w:pStyle w:val="005"/>
        <w:spacing w:before="120"/>
        <w:ind w:firstLine="480"/>
      </w:pPr>
      <w:r>
        <w:rPr>
          <w:rFonts w:hint="eastAsia"/>
        </w:rPr>
        <w:t>（一）董事会和监事会的工作报告；</w:t>
      </w:r>
    </w:p>
    <w:p w14:paraId="5927FBBD" w14:textId="77777777" w:rsidR="004B0883" w:rsidRDefault="004B0883">
      <w:pPr>
        <w:pStyle w:val="005"/>
        <w:spacing w:before="120"/>
        <w:ind w:firstLine="480"/>
      </w:pPr>
      <w:r>
        <w:rPr>
          <w:rFonts w:hint="eastAsia"/>
        </w:rPr>
        <w:t>（二）董事会拟定的利润分配方案和弥补亏损方案；</w:t>
      </w:r>
    </w:p>
    <w:p w14:paraId="6DF17113" w14:textId="77777777" w:rsidR="004B0883" w:rsidRDefault="004B0883">
      <w:pPr>
        <w:pStyle w:val="005"/>
        <w:spacing w:before="120"/>
        <w:ind w:firstLine="480"/>
      </w:pPr>
      <w:r>
        <w:rPr>
          <w:rFonts w:hint="eastAsia"/>
        </w:rPr>
        <w:t>（三）董事会和监事会成员的任免及其报酬和支付方法；</w:t>
      </w:r>
    </w:p>
    <w:p w14:paraId="628BE9ED" w14:textId="77777777" w:rsidR="004B0883" w:rsidRDefault="004B0883">
      <w:pPr>
        <w:pStyle w:val="005"/>
        <w:spacing w:before="120"/>
        <w:ind w:firstLine="480"/>
      </w:pPr>
      <w:r>
        <w:rPr>
          <w:rFonts w:hint="eastAsia"/>
        </w:rPr>
        <w:t>（四）公司年度预算方案、决算方案；</w:t>
      </w:r>
    </w:p>
    <w:p w14:paraId="2C9A0509" w14:textId="77777777" w:rsidR="004B0883" w:rsidRDefault="004B0883">
      <w:pPr>
        <w:pStyle w:val="005"/>
        <w:spacing w:before="120"/>
        <w:ind w:firstLine="480"/>
      </w:pPr>
      <w:r>
        <w:rPr>
          <w:rFonts w:hint="eastAsia"/>
        </w:rPr>
        <w:t>（五）公司年度报告；</w:t>
      </w:r>
    </w:p>
    <w:p w14:paraId="2BBFFF3D" w14:textId="77777777" w:rsidR="004B0883" w:rsidRDefault="004B0883">
      <w:pPr>
        <w:pStyle w:val="005"/>
        <w:spacing w:before="120"/>
        <w:ind w:firstLine="480"/>
      </w:pPr>
      <w:r>
        <w:rPr>
          <w:rFonts w:hint="eastAsia"/>
        </w:rPr>
        <w:t>（六）公司发生的交易（公司受赠现金资产除外）达到下列标准之一的，应当提交股东大会审议：</w:t>
      </w:r>
    </w:p>
    <w:p w14:paraId="7FAFA03F" w14:textId="77777777" w:rsidR="004B0883" w:rsidRDefault="004B0883">
      <w:pPr>
        <w:pStyle w:val="005"/>
        <w:spacing w:before="120"/>
        <w:ind w:firstLine="480"/>
      </w:pPr>
      <w:r>
        <w:rPr>
          <w:rFonts w:hint="eastAsia"/>
        </w:rPr>
        <w:t>1</w:t>
      </w:r>
      <w:r>
        <w:rPr>
          <w:rFonts w:hint="eastAsia"/>
        </w:rPr>
        <w:t>、交易涉及的资产总额占公司最近一期经审计总资产的</w:t>
      </w:r>
      <w:r>
        <w:rPr>
          <w:rFonts w:hint="eastAsia"/>
        </w:rPr>
        <w:t>50%</w:t>
      </w:r>
      <w:r>
        <w:rPr>
          <w:rFonts w:hint="eastAsia"/>
        </w:rPr>
        <w:t>以上，该交易涉及的资产总额同时存在账面值和评估值的，以较高者作为计算数据；</w:t>
      </w:r>
    </w:p>
    <w:p w14:paraId="0FA38FF8" w14:textId="77777777" w:rsidR="004B0883" w:rsidRDefault="004B0883">
      <w:pPr>
        <w:pStyle w:val="005"/>
        <w:spacing w:before="120"/>
        <w:ind w:firstLine="480"/>
      </w:pPr>
      <w:r>
        <w:rPr>
          <w:rFonts w:hint="eastAsia"/>
        </w:rPr>
        <w:t>2</w:t>
      </w:r>
      <w:r>
        <w:rPr>
          <w:rFonts w:hint="eastAsia"/>
        </w:rPr>
        <w:t>、交易标的（如股权）在最近一个会计年度相关的营业收入占公司最近一个会计年度经审计营业收入的</w:t>
      </w:r>
      <w:r>
        <w:rPr>
          <w:rFonts w:hint="eastAsia"/>
        </w:rPr>
        <w:t>50%</w:t>
      </w:r>
      <w:r>
        <w:rPr>
          <w:rFonts w:hint="eastAsia"/>
        </w:rPr>
        <w:t>以上，且绝对金额超过</w:t>
      </w:r>
      <w:r>
        <w:rPr>
          <w:rFonts w:hint="eastAsia"/>
        </w:rPr>
        <w:t>5,000</w:t>
      </w:r>
      <w:r>
        <w:rPr>
          <w:rFonts w:hint="eastAsia"/>
        </w:rPr>
        <w:t>万元；</w:t>
      </w:r>
    </w:p>
    <w:p w14:paraId="10D6D2F8" w14:textId="77777777" w:rsidR="004B0883" w:rsidRDefault="004B0883">
      <w:pPr>
        <w:pStyle w:val="005"/>
        <w:spacing w:before="120"/>
        <w:ind w:firstLine="480"/>
      </w:pPr>
      <w:r>
        <w:rPr>
          <w:rFonts w:hint="eastAsia"/>
        </w:rPr>
        <w:t>3</w:t>
      </w:r>
      <w:r>
        <w:rPr>
          <w:rFonts w:hint="eastAsia"/>
        </w:rPr>
        <w:t>、交易标的（如股权）在最近一个会计年度相关的净利润占公司最近一个会计年度经审计净利润的</w:t>
      </w:r>
      <w:r>
        <w:rPr>
          <w:rFonts w:hint="eastAsia"/>
        </w:rPr>
        <w:t>50%</w:t>
      </w:r>
      <w:r>
        <w:rPr>
          <w:rFonts w:hint="eastAsia"/>
        </w:rPr>
        <w:t>以上，且绝对金额超过</w:t>
      </w:r>
      <w:r>
        <w:rPr>
          <w:rFonts w:hint="eastAsia"/>
        </w:rPr>
        <w:t>500</w:t>
      </w:r>
      <w:r>
        <w:rPr>
          <w:rFonts w:hint="eastAsia"/>
        </w:rPr>
        <w:t>万元；</w:t>
      </w:r>
    </w:p>
    <w:p w14:paraId="1C683E93" w14:textId="77777777" w:rsidR="004B0883" w:rsidRDefault="004B0883">
      <w:pPr>
        <w:pStyle w:val="005"/>
        <w:spacing w:before="120"/>
        <w:ind w:firstLine="480"/>
      </w:pPr>
      <w:r>
        <w:rPr>
          <w:rFonts w:hint="eastAsia"/>
        </w:rPr>
        <w:t>4</w:t>
      </w:r>
      <w:r>
        <w:rPr>
          <w:rFonts w:hint="eastAsia"/>
        </w:rPr>
        <w:t>、交易的成交金额（含承担债务和费用）占公司最近一期经审计净资产的</w:t>
      </w:r>
      <w:r>
        <w:rPr>
          <w:rFonts w:hint="eastAsia"/>
        </w:rPr>
        <w:t>50%</w:t>
      </w:r>
      <w:r>
        <w:rPr>
          <w:rFonts w:hint="eastAsia"/>
        </w:rPr>
        <w:t>以上，且绝对金额超过</w:t>
      </w:r>
      <w:r>
        <w:rPr>
          <w:rFonts w:hint="eastAsia"/>
        </w:rPr>
        <w:t>5,000</w:t>
      </w:r>
      <w:r>
        <w:rPr>
          <w:rFonts w:hint="eastAsia"/>
        </w:rPr>
        <w:t>万元；</w:t>
      </w:r>
    </w:p>
    <w:p w14:paraId="66355601" w14:textId="77777777" w:rsidR="004B0883" w:rsidRDefault="004B0883">
      <w:pPr>
        <w:pStyle w:val="005"/>
        <w:spacing w:before="120"/>
        <w:ind w:firstLine="480"/>
      </w:pPr>
      <w:r>
        <w:rPr>
          <w:rFonts w:hint="eastAsia"/>
        </w:rPr>
        <w:t>5</w:t>
      </w:r>
      <w:r>
        <w:rPr>
          <w:rFonts w:hint="eastAsia"/>
        </w:rPr>
        <w:t>、交易产生的利润占公司最近一个会计年度经审计净利润的</w:t>
      </w:r>
      <w:r>
        <w:rPr>
          <w:rFonts w:hint="eastAsia"/>
        </w:rPr>
        <w:t>50%</w:t>
      </w:r>
      <w:r>
        <w:rPr>
          <w:rFonts w:hint="eastAsia"/>
        </w:rPr>
        <w:t>以上，且绝对金额超过</w:t>
      </w:r>
      <w:r>
        <w:rPr>
          <w:rFonts w:hint="eastAsia"/>
        </w:rPr>
        <w:t>500</w:t>
      </w:r>
      <w:r>
        <w:rPr>
          <w:rFonts w:hint="eastAsia"/>
        </w:rPr>
        <w:t>万元。</w:t>
      </w:r>
    </w:p>
    <w:p w14:paraId="273164F1" w14:textId="77777777" w:rsidR="004B0883" w:rsidRDefault="004B0883">
      <w:pPr>
        <w:pStyle w:val="005"/>
        <w:spacing w:before="120"/>
        <w:ind w:firstLine="480"/>
      </w:pPr>
      <w:r>
        <w:rPr>
          <w:rFonts w:hint="eastAsia"/>
        </w:rPr>
        <w:t>上述指标计算中涉及的数据如为负值，取其绝对值计算。</w:t>
      </w:r>
    </w:p>
    <w:p w14:paraId="2CFA3FB4" w14:textId="77777777" w:rsidR="004B0883" w:rsidRDefault="004B0883">
      <w:pPr>
        <w:pStyle w:val="005"/>
        <w:spacing w:before="120"/>
        <w:ind w:firstLine="480"/>
      </w:pPr>
      <w:r>
        <w:rPr>
          <w:rFonts w:hint="eastAsia"/>
        </w:rPr>
        <w:t>（七）公司与关联人发生的交易（上市公司获赠现金资产和提供担保除外）金额在三千万元以上，且占上市公司最近一期经审计净资产绝对值</w:t>
      </w:r>
      <w:r>
        <w:rPr>
          <w:rFonts w:hint="eastAsia"/>
        </w:rPr>
        <w:t>5%</w:t>
      </w:r>
      <w:r>
        <w:rPr>
          <w:rFonts w:hint="eastAsia"/>
        </w:rPr>
        <w:t>以上的关联交易，除应当及时披露外，还应当聘请具有从事证券、期货相关业务资格的中介机构，对交易标的进行评估或者审计，并将该交易提交股东大会审议。</w:t>
      </w:r>
    </w:p>
    <w:p w14:paraId="176AA12D" w14:textId="77777777" w:rsidR="004B0883" w:rsidRDefault="004B0883">
      <w:pPr>
        <w:pStyle w:val="005"/>
        <w:spacing w:before="120"/>
        <w:ind w:firstLine="480"/>
      </w:pPr>
      <w:r>
        <w:rPr>
          <w:rFonts w:hint="eastAsia"/>
        </w:rPr>
        <w:t>（八）除法律、行政法规规定或者本章程规定应当以特别决议通过以外的其他事项。</w:t>
      </w:r>
    </w:p>
    <w:p w14:paraId="70B60B71" w14:textId="77777777" w:rsidR="004B0883" w:rsidRDefault="004B0883">
      <w:pPr>
        <w:pStyle w:val="005"/>
        <w:spacing w:before="120"/>
        <w:ind w:firstLine="480"/>
      </w:pPr>
      <w:r>
        <w:rPr>
          <w:rFonts w:hint="eastAsia"/>
        </w:rPr>
        <w:t>第七十七条</w:t>
      </w:r>
      <w:r>
        <w:t xml:space="preserve"> </w:t>
      </w:r>
      <w:r>
        <w:rPr>
          <w:rFonts w:hint="eastAsia"/>
        </w:rPr>
        <w:t>股东大会审议有关关联交易事项时，关联股东不应当参与投票表决，其所代表的有表决权的股份数不计入有效表决总数；股东大会决议的公告应当充分披露非关联股东的表决情况。</w:t>
      </w:r>
    </w:p>
    <w:p w14:paraId="12E1F4ED" w14:textId="77777777" w:rsidR="004B0883" w:rsidRDefault="004B0883">
      <w:pPr>
        <w:pStyle w:val="005"/>
        <w:spacing w:before="120"/>
        <w:ind w:firstLine="480"/>
      </w:pPr>
      <w:r>
        <w:rPr>
          <w:rFonts w:hint="eastAsia"/>
        </w:rPr>
        <w:t>在股东大会对关联交易事项审议完毕且进行表决前，关联股东应向会议主持人提出回避申请并由会议主持人向大会宣布；出席会议的非关联股东（包括代理人）、出席会议监事也可向会议主持人提出关联股东回避该项表决的要求并说明理由，被要求回避的关联股东对回避要求无异议的，在该项表决时不得进行投票；如被要求回避的股东认为其不是关联股东不需履行回避程序的，应向股东大会说明理由，被要求回避的股东被确定为关联股东的，在该项表决时不得进行投票。如有前述情形的，股东大会会议记录人员应在会议记录中详细记录上述情形。在对关联交易事项进行表决时，关联股东不得就该事项进行投票，并且由出席会议的监事予以监督。</w:t>
      </w:r>
    </w:p>
    <w:p w14:paraId="017DD9C7" w14:textId="77777777" w:rsidR="004B0883" w:rsidRDefault="004B0883">
      <w:pPr>
        <w:pStyle w:val="005"/>
        <w:spacing w:before="120"/>
        <w:ind w:firstLine="480"/>
      </w:pPr>
      <w:r>
        <w:rPr>
          <w:rFonts w:hint="eastAsia"/>
        </w:rPr>
        <w:t>第九十五条</w:t>
      </w:r>
      <w:r>
        <w:t xml:space="preserve"> </w:t>
      </w:r>
      <w:r>
        <w:rPr>
          <w:rFonts w:hint="eastAsia"/>
        </w:rPr>
        <w:t>董事应当遵守法律、行政法规和本章程，对公司负有下列忠实义务：……（九）</w:t>
      </w:r>
      <w:r>
        <w:rPr>
          <w:rFonts w:hint="eastAsia"/>
        </w:rPr>
        <w:tab/>
      </w:r>
      <w:r>
        <w:rPr>
          <w:rFonts w:hint="eastAsia"/>
        </w:rPr>
        <w:t>不得利用其关联关系损害公司利益；……</w:t>
      </w:r>
    </w:p>
    <w:p w14:paraId="54186B2D" w14:textId="77777777" w:rsidR="004B0883" w:rsidRDefault="004B0883">
      <w:pPr>
        <w:pStyle w:val="005"/>
        <w:spacing w:before="120"/>
        <w:ind w:firstLine="480"/>
      </w:pPr>
      <w:r>
        <w:rPr>
          <w:rFonts w:hint="eastAsia"/>
        </w:rPr>
        <w:t>董事违反本条规定所得的收入，应当归公司所有；给公司造成损失的，应当承担赔偿责任。</w:t>
      </w:r>
    </w:p>
    <w:p w14:paraId="47D48CEB" w14:textId="77777777" w:rsidR="004B0883" w:rsidRDefault="004B0883">
      <w:pPr>
        <w:pStyle w:val="005"/>
        <w:spacing w:before="120"/>
        <w:ind w:firstLine="480"/>
      </w:pPr>
      <w:r>
        <w:rPr>
          <w:rFonts w:hint="eastAsia"/>
        </w:rPr>
        <w:t>第一百〇五条</w:t>
      </w:r>
      <w:r>
        <w:rPr>
          <w:rFonts w:hint="eastAsia"/>
        </w:rPr>
        <w:tab/>
      </w:r>
      <w:r>
        <w:rPr>
          <w:rFonts w:hint="eastAsia"/>
        </w:rPr>
        <w:t>董事会行使下列职权：</w:t>
      </w:r>
    </w:p>
    <w:p w14:paraId="402EE412" w14:textId="77777777" w:rsidR="004B0883" w:rsidRDefault="004B0883">
      <w:pPr>
        <w:pStyle w:val="005"/>
        <w:spacing w:before="120"/>
        <w:ind w:firstLine="480"/>
      </w:pPr>
      <w:r>
        <w:rPr>
          <w:rFonts w:hint="eastAsia"/>
        </w:rPr>
        <w:t>……（八）</w:t>
      </w:r>
      <w:r>
        <w:rPr>
          <w:rFonts w:hint="eastAsia"/>
        </w:rPr>
        <w:tab/>
      </w:r>
      <w:r>
        <w:rPr>
          <w:rFonts w:hint="eastAsia"/>
        </w:rPr>
        <w:t>在股东大会授权范围内，决定公司对外投资、收购出售资产、资产抵押、对外担保事项、委托理财、关联交易等事项；……</w:t>
      </w:r>
    </w:p>
    <w:p w14:paraId="61F05211" w14:textId="77777777" w:rsidR="004B0883" w:rsidRDefault="004B0883">
      <w:pPr>
        <w:pStyle w:val="005"/>
        <w:spacing w:before="120"/>
        <w:ind w:firstLine="480"/>
      </w:pPr>
      <w:r>
        <w:rPr>
          <w:rFonts w:hint="eastAsia"/>
        </w:rPr>
        <w:t>第一百〇八条</w:t>
      </w:r>
      <w:r>
        <w:rPr>
          <w:rFonts w:hint="eastAsia"/>
        </w:rPr>
        <w:tab/>
      </w:r>
      <w:r>
        <w:rPr>
          <w:rFonts w:hint="eastAsia"/>
        </w:rPr>
        <w:t>董事会应当确定对外投资、收购出售资产、资产抵押、对外担保事项、委托理财、关联交易的权限，建立严格的审查和决策程序；重大投资项目应当组织有关专家、专业人员进行评审，并报股东大会批准。……</w:t>
      </w:r>
    </w:p>
    <w:p w14:paraId="5B89339C" w14:textId="77777777" w:rsidR="004B0883" w:rsidRDefault="004B0883">
      <w:pPr>
        <w:pStyle w:val="005"/>
        <w:spacing w:before="120"/>
        <w:ind w:firstLine="480"/>
      </w:pPr>
      <w:r>
        <w:rPr>
          <w:rFonts w:hint="eastAsia"/>
        </w:rPr>
        <w:t>第一百一十一条</w:t>
      </w:r>
      <w:r>
        <w:t xml:space="preserve"> </w:t>
      </w:r>
      <w:r>
        <w:rPr>
          <w:rFonts w:hint="eastAsia"/>
        </w:rPr>
        <w:t>公司与关联自然人发生的交易金额在</w:t>
      </w:r>
      <w:r>
        <w:rPr>
          <w:rFonts w:hint="eastAsia"/>
        </w:rPr>
        <w:t>30</w:t>
      </w:r>
      <w:r>
        <w:rPr>
          <w:rFonts w:hint="eastAsia"/>
        </w:rPr>
        <w:t>万元以上的关联交易，以及公司与关联法人发生的交易金额在</w:t>
      </w:r>
      <w:r>
        <w:rPr>
          <w:rFonts w:hint="eastAsia"/>
        </w:rPr>
        <w:t>300</w:t>
      </w:r>
      <w:r>
        <w:rPr>
          <w:rFonts w:hint="eastAsia"/>
        </w:rPr>
        <w:t>万元以上、且占公司最近一期经审计净资产绝对值</w:t>
      </w:r>
      <w:r>
        <w:rPr>
          <w:rFonts w:hint="eastAsia"/>
        </w:rPr>
        <w:t>0.5%</w:t>
      </w:r>
      <w:r>
        <w:rPr>
          <w:rFonts w:hint="eastAsia"/>
        </w:rPr>
        <w:t>以上的关联交易，应由董事会审议批准。</w:t>
      </w:r>
    </w:p>
    <w:p w14:paraId="398DD4EB" w14:textId="77777777" w:rsidR="004B0883" w:rsidRDefault="004B0883">
      <w:pPr>
        <w:pStyle w:val="005"/>
        <w:spacing w:before="120"/>
        <w:ind w:firstLine="480"/>
      </w:pPr>
      <w:r>
        <w:rPr>
          <w:rFonts w:hint="eastAsia"/>
        </w:rPr>
        <w:t>第一百一十五条</w:t>
      </w:r>
      <w:r>
        <w:rPr>
          <w:rFonts w:hint="eastAsia"/>
        </w:rPr>
        <w:tab/>
      </w:r>
      <w:r>
        <w:rPr>
          <w:rFonts w:hint="eastAsia"/>
        </w:rPr>
        <w:t>公司与关联自然人发生的交易金额在</w:t>
      </w:r>
      <w:r>
        <w:rPr>
          <w:rFonts w:hint="eastAsia"/>
        </w:rPr>
        <w:t>30</w:t>
      </w:r>
      <w:r>
        <w:rPr>
          <w:rFonts w:hint="eastAsia"/>
        </w:rPr>
        <w:t>万元以下的关联交易，以及公司与关联法人发生的交易金额在</w:t>
      </w:r>
      <w:r>
        <w:rPr>
          <w:rFonts w:hint="eastAsia"/>
        </w:rPr>
        <w:t>300</w:t>
      </w:r>
      <w:r>
        <w:rPr>
          <w:rFonts w:hint="eastAsia"/>
        </w:rPr>
        <w:t>万元以下、且占公司最近一期经审计净资产绝对值</w:t>
      </w:r>
      <w:r>
        <w:rPr>
          <w:rFonts w:hint="eastAsia"/>
        </w:rPr>
        <w:t>0.5%</w:t>
      </w:r>
      <w:r>
        <w:rPr>
          <w:rFonts w:hint="eastAsia"/>
        </w:rPr>
        <w:t>以下的关联交易，由董事长和总经理办公会共同决定。</w:t>
      </w:r>
    </w:p>
    <w:p w14:paraId="112E0EC5" w14:textId="77777777" w:rsidR="004B0883" w:rsidRDefault="004B0883">
      <w:pPr>
        <w:pStyle w:val="005"/>
        <w:spacing w:before="120"/>
        <w:ind w:firstLine="480"/>
      </w:pPr>
      <w:r>
        <w:rPr>
          <w:rFonts w:hint="eastAsia"/>
        </w:rPr>
        <w:t>相关负责人属于关联人的，应将该关联交易提交董事会审议。</w:t>
      </w:r>
    </w:p>
    <w:p w14:paraId="2EF9556A" w14:textId="77777777" w:rsidR="004B0883" w:rsidRDefault="004B0883">
      <w:pPr>
        <w:pStyle w:val="005"/>
        <w:spacing w:before="120"/>
        <w:ind w:firstLine="480"/>
      </w:pPr>
      <w:r>
        <w:rPr>
          <w:rFonts w:hint="eastAsia"/>
        </w:rPr>
        <w:t>第一百二十一条</w:t>
      </w:r>
      <w:r>
        <w:rPr>
          <w:rFonts w:hint="eastAsia"/>
        </w:rPr>
        <w:tab/>
      </w:r>
      <w:r>
        <w:rPr>
          <w:rFonts w:hint="eastAsia"/>
        </w:rPr>
        <w:t>董事与董事会会议决议事项所涉及的企业有关联关系的</w:t>
      </w:r>
      <w:r>
        <w:rPr>
          <w:rFonts w:hint="eastAsia"/>
        </w:rPr>
        <w:t>,</w:t>
      </w:r>
      <w:r>
        <w:rPr>
          <w:rFonts w:hint="eastAsia"/>
        </w:rPr>
        <w:t>不得对该项决议行使表决权，也不得代理其他董事行使表决权。该董事会会议由过半数的无关联关系董事出席即可举行，董事会会议所作决议须经无关联关系董事过半数通过。出席董事会的无关联董事人数不足</w:t>
      </w:r>
      <w:r>
        <w:rPr>
          <w:rFonts w:hint="eastAsia"/>
        </w:rPr>
        <w:t>3</w:t>
      </w:r>
      <w:r>
        <w:rPr>
          <w:rFonts w:hint="eastAsia"/>
        </w:rPr>
        <w:t>人的，应将该事项提交股东大会审议。</w:t>
      </w:r>
    </w:p>
    <w:p w14:paraId="2E4E7FAD" w14:textId="77777777" w:rsidR="004B0883" w:rsidRDefault="004B0883">
      <w:pPr>
        <w:pStyle w:val="005"/>
        <w:spacing w:before="120"/>
        <w:ind w:firstLine="480"/>
      </w:pPr>
      <w:r>
        <w:rPr>
          <w:rFonts w:hint="eastAsia"/>
        </w:rPr>
        <w:t>第一百四十五条</w:t>
      </w:r>
      <w:r>
        <w:rPr>
          <w:rFonts w:hint="eastAsia"/>
        </w:rPr>
        <w:tab/>
      </w:r>
      <w:r>
        <w:rPr>
          <w:rFonts w:hint="eastAsia"/>
        </w:rPr>
        <w:t>监事不得利用其关联关系损害公司利益，若给公司造成损失的，应当承担赔偿责任。</w:t>
      </w:r>
    </w:p>
    <w:p w14:paraId="1484E438" w14:textId="77777777" w:rsidR="004B0883" w:rsidRDefault="004B0883">
      <w:pPr>
        <w:pStyle w:val="004"/>
        <w:spacing w:before="120" w:after="120"/>
        <w:ind w:firstLine="482"/>
      </w:pPr>
      <w:r>
        <w:rPr>
          <w:rFonts w:hint="eastAsia"/>
        </w:rPr>
        <w:t>2</w:t>
      </w:r>
      <w:r>
        <w:rPr>
          <w:rFonts w:hint="eastAsia"/>
        </w:rPr>
        <w:t>、制度安排</w:t>
      </w:r>
    </w:p>
    <w:p w14:paraId="4934000D" w14:textId="77777777" w:rsidR="004B0883" w:rsidRDefault="004B0883">
      <w:pPr>
        <w:pStyle w:val="005"/>
        <w:spacing w:before="120"/>
        <w:ind w:firstLine="480"/>
      </w:pPr>
      <w:r>
        <w:rPr>
          <w:rFonts w:hint="eastAsia"/>
        </w:rPr>
        <w:t>发行人制定了《关联交易管理制度》及《独立董事工作细则》，就如何保证关联交易公允决策的程序有明确规定：</w:t>
      </w:r>
    </w:p>
    <w:p w14:paraId="6AF2C60A" w14:textId="77777777" w:rsidR="004B0883" w:rsidRDefault="004B0883">
      <w:pPr>
        <w:pStyle w:val="005"/>
        <w:spacing w:before="120"/>
        <w:ind w:firstLine="480"/>
      </w:pPr>
      <w:r>
        <w:rPr>
          <w:rFonts w:hint="eastAsia"/>
        </w:rPr>
        <w:t>（</w:t>
      </w:r>
      <w:r>
        <w:rPr>
          <w:rFonts w:hint="eastAsia"/>
        </w:rPr>
        <w:t>1</w:t>
      </w:r>
      <w:r>
        <w:rPr>
          <w:rFonts w:hint="eastAsia"/>
        </w:rPr>
        <w:t>）发行人《关联交易管理制度》对关联交易原则、关联人和关联交易的范围、</w:t>
      </w:r>
      <w:r>
        <w:rPr>
          <w:rFonts w:ascii="宋体" w:hAnsi="宋体" w:hint="eastAsia"/>
          <w:bCs/>
          <w:szCs w:val="24"/>
        </w:rPr>
        <w:t>关联交易价格的确定和管理、关联交易的公允决策程序、关联交易的信息披露、关联交易的监督管理</w:t>
      </w:r>
      <w:r>
        <w:rPr>
          <w:rFonts w:hint="eastAsia"/>
        </w:rPr>
        <w:t>等内容作了详细规定。</w:t>
      </w:r>
    </w:p>
    <w:p w14:paraId="7EA46D3B" w14:textId="77777777" w:rsidR="004B0883" w:rsidRDefault="004B0883">
      <w:pPr>
        <w:pStyle w:val="005"/>
        <w:spacing w:before="120"/>
        <w:ind w:firstLine="480"/>
      </w:pPr>
      <w:r>
        <w:rPr>
          <w:rFonts w:hint="eastAsia"/>
        </w:rPr>
        <w:t>（</w:t>
      </w:r>
      <w:r>
        <w:rPr>
          <w:rFonts w:hint="eastAsia"/>
        </w:rPr>
        <w:t>2</w:t>
      </w:r>
      <w:r>
        <w:rPr>
          <w:rFonts w:hint="eastAsia"/>
        </w:rPr>
        <w:t>）发行人《独立董事工作细则》第十六条规定，为了充分发挥独立董事的作用，独立董事除具有《公司法》和其他相关法律、行政法规及公司章程赋予的职权外，公司还应当赋予独立董事行使以下职权：（一）公司拟与关联自然人发生的交易总额高于</w:t>
      </w:r>
      <w:r>
        <w:rPr>
          <w:rFonts w:hint="eastAsia"/>
        </w:rPr>
        <w:t>30</w:t>
      </w:r>
      <w:r>
        <w:rPr>
          <w:rFonts w:hint="eastAsia"/>
        </w:rPr>
        <w:t>万元，以及与关联法人发生的交易总额高于</w:t>
      </w:r>
      <w:r>
        <w:rPr>
          <w:rFonts w:hint="eastAsia"/>
        </w:rPr>
        <w:t>300</w:t>
      </w:r>
      <w:r>
        <w:rPr>
          <w:rFonts w:hint="eastAsia"/>
        </w:rPr>
        <w:t>万元且占公司最近经审计净资产绝对值的</w:t>
      </w:r>
      <w:r>
        <w:rPr>
          <w:rFonts w:hint="eastAsia"/>
        </w:rPr>
        <w:t>0.5</w:t>
      </w:r>
      <w:r>
        <w:rPr>
          <w:rFonts w:hint="eastAsia"/>
        </w:rPr>
        <w:t>％的关联交易应由独立董事认可后，提交董事会讨论；独立董事作出判断前，经全体独立董事同意后可以聘请中介机构出具独立财务顾问报告，作为其判断的依据；……</w:t>
      </w:r>
    </w:p>
    <w:p w14:paraId="04FF7D87" w14:textId="77777777" w:rsidR="004B0883" w:rsidRDefault="004B0883">
      <w:pPr>
        <w:pStyle w:val="005"/>
        <w:spacing w:before="120"/>
        <w:ind w:firstLine="480"/>
      </w:pPr>
      <w:r>
        <w:rPr>
          <w:rFonts w:hint="eastAsia"/>
        </w:rPr>
        <w:t>第十九条</w:t>
      </w:r>
      <w:r>
        <w:rPr>
          <w:rFonts w:hint="eastAsia"/>
        </w:rPr>
        <w:t xml:space="preserve"> </w:t>
      </w:r>
      <w:r>
        <w:rPr>
          <w:rFonts w:hint="eastAsia"/>
        </w:rPr>
        <w:t>独立董事除履行上述职责外，还应当对公司以下重大事项向董事会或股东大会发表独立意见：……（六）需要披露的关联交易、对外担保（不含对合并报表范围内子公司提供担保）、委托理财、对外提供财务资助、变更募集资金用途、公司自主变更会计政策、股票及其衍生品种投资等重大事项；</w:t>
      </w:r>
    </w:p>
    <w:p w14:paraId="587F58B7" w14:textId="77777777" w:rsidR="004B0883" w:rsidRDefault="004B0883">
      <w:pPr>
        <w:pStyle w:val="005"/>
        <w:spacing w:before="120"/>
        <w:ind w:firstLine="480"/>
      </w:pPr>
      <w:r>
        <w:rPr>
          <w:rFonts w:hint="eastAsia"/>
        </w:rPr>
        <w:t>（七）公司的关联自然人与公司现有或拟新发生的总额高于</w:t>
      </w:r>
      <w:r>
        <w:rPr>
          <w:rFonts w:hint="eastAsia"/>
        </w:rPr>
        <w:t>30</w:t>
      </w:r>
      <w:r>
        <w:rPr>
          <w:rFonts w:hint="eastAsia"/>
        </w:rPr>
        <w:t>万元，或者关联法人与公司现有或拟新发生的总额高于</w:t>
      </w:r>
      <w:r>
        <w:rPr>
          <w:rFonts w:hint="eastAsia"/>
        </w:rPr>
        <w:t>300</w:t>
      </w:r>
      <w:r>
        <w:rPr>
          <w:rFonts w:hint="eastAsia"/>
        </w:rPr>
        <w:t>万元且占公司最近经审计净资产绝对值的</w:t>
      </w:r>
      <w:r>
        <w:rPr>
          <w:rFonts w:hint="eastAsia"/>
        </w:rPr>
        <w:t>0.5</w:t>
      </w:r>
      <w:r>
        <w:rPr>
          <w:rFonts w:hint="eastAsia"/>
        </w:rPr>
        <w:t>％的借款或其他资金往来，以及公司是否采取有效措施回收欠款；……</w:t>
      </w:r>
    </w:p>
    <w:p w14:paraId="287B58EC" w14:textId="77777777" w:rsidR="004B0883" w:rsidRDefault="004B0883">
      <w:pPr>
        <w:pStyle w:val="005"/>
        <w:spacing w:before="120"/>
        <w:ind w:firstLine="480"/>
      </w:pPr>
      <w:r>
        <w:rPr>
          <w:rFonts w:hint="eastAsia"/>
        </w:rPr>
        <w:t>（九）公司章程规定的对外担保事项，包括：……⑥对股东、实际控制人及其关联方提供的担保；……</w:t>
      </w:r>
    </w:p>
    <w:p w14:paraId="1F0F138D" w14:textId="77777777" w:rsidR="004B0883" w:rsidRDefault="004B0883">
      <w:pPr>
        <w:pStyle w:val="004"/>
        <w:spacing w:before="120" w:after="120"/>
        <w:ind w:firstLine="482"/>
      </w:pPr>
      <w:bookmarkStart w:id="403" w:name="_Hlk43679472"/>
      <w:r>
        <w:rPr>
          <w:rFonts w:hint="eastAsia"/>
        </w:rPr>
        <w:t>3</w:t>
      </w:r>
      <w:r>
        <w:rPr>
          <w:rFonts w:hint="eastAsia"/>
        </w:rPr>
        <w:t>、相关方的承诺</w:t>
      </w:r>
    </w:p>
    <w:p w14:paraId="206DDC72" w14:textId="77777777" w:rsidR="004B0883" w:rsidRDefault="004B0883">
      <w:pPr>
        <w:pStyle w:val="005"/>
        <w:spacing w:before="120"/>
        <w:ind w:firstLine="480"/>
        <w:rPr>
          <w:rFonts w:hint="eastAsia"/>
        </w:rPr>
      </w:pPr>
      <w:r>
        <w:rPr>
          <w:rFonts w:hint="eastAsia"/>
        </w:rPr>
        <w:t>发行人</w:t>
      </w:r>
      <w:bookmarkEnd w:id="403"/>
      <w:r>
        <w:rPr>
          <w:rFonts w:hint="eastAsia"/>
        </w:rPr>
        <w:t>控股股东、实际控制人、持股</w:t>
      </w:r>
      <w:r>
        <w:rPr>
          <w:rFonts w:hint="eastAsia"/>
        </w:rPr>
        <w:t>5%</w:t>
      </w:r>
      <w:r>
        <w:rPr>
          <w:rFonts w:hint="eastAsia"/>
        </w:rPr>
        <w:t>以上股份的股东、董事、监事和高级管理人员作出书面承诺：</w:t>
      </w:r>
    </w:p>
    <w:p w14:paraId="31AEBB2F" w14:textId="77777777" w:rsidR="004B0883" w:rsidRDefault="004B0883">
      <w:pPr>
        <w:pStyle w:val="005"/>
        <w:spacing w:before="120"/>
        <w:ind w:firstLine="480"/>
        <w:rPr>
          <w:rFonts w:hint="eastAsia"/>
        </w:rPr>
      </w:pPr>
      <w:r>
        <w:rPr>
          <w:rFonts w:hint="eastAsia"/>
        </w:rPr>
        <w:t>（</w:t>
      </w:r>
      <w:r>
        <w:rPr>
          <w:rFonts w:hint="eastAsia"/>
        </w:rPr>
        <w:t>1</w:t>
      </w:r>
      <w:r>
        <w:rPr>
          <w:rFonts w:hint="eastAsia"/>
        </w:rPr>
        <w:t>）发行人控股股东、实际控制人作出的《关于规范和减少关联交易的承诺函》：</w:t>
      </w:r>
    </w:p>
    <w:p w14:paraId="174FD5A4" w14:textId="77777777" w:rsidR="004B0883" w:rsidRDefault="004B0883">
      <w:pPr>
        <w:pStyle w:val="005"/>
        <w:spacing w:before="120"/>
        <w:ind w:firstLine="480"/>
        <w:rPr>
          <w:rFonts w:hint="eastAsia"/>
        </w:rPr>
      </w:pPr>
      <w:r>
        <w:rPr>
          <w:rFonts w:hint="eastAsia"/>
        </w:rPr>
        <w:t>1</w:t>
      </w:r>
      <w:r>
        <w:rPr>
          <w:rFonts w:hint="eastAsia"/>
        </w:rPr>
        <w:t>）在本人作为发行人的控股股东、实际控制人期间，将尽量减少与发行人及其下属子公司之间的关联交易；</w:t>
      </w:r>
    </w:p>
    <w:p w14:paraId="6CC3A6B4" w14:textId="77777777" w:rsidR="004B0883" w:rsidRDefault="004B0883">
      <w:pPr>
        <w:pStyle w:val="005"/>
        <w:spacing w:before="120"/>
        <w:ind w:firstLine="480"/>
        <w:rPr>
          <w:rFonts w:hint="eastAsia"/>
        </w:rPr>
      </w:pPr>
      <w:r>
        <w:rPr>
          <w:rFonts w:hint="eastAsia"/>
        </w:rPr>
        <w:t>2</w:t>
      </w:r>
      <w:r>
        <w:rPr>
          <w:rFonts w:hint="eastAsia"/>
        </w:rPr>
        <w:t>）对于不可避免或因合理事由与发行人之间发生的关联交易，本人承诺将遵循公平合理、价格公允的原则，按照相关法律法规、规范性文件以及公司章程等的有关规定履行相关程序和信息披露义务，并办理有关报批事宜；</w:t>
      </w:r>
    </w:p>
    <w:p w14:paraId="28DF3516" w14:textId="77777777" w:rsidR="004B0883" w:rsidRDefault="004B0883">
      <w:pPr>
        <w:pStyle w:val="005"/>
        <w:spacing w:before="120"/>
        <w:ind w:firstLine="480"/>
        <w:rPr>
          <w:rFonts w:hint="eastAsia"/>
        </w:rPr>
      </w:pPr>
      <w:r>
        <w:rPr>
          <w:rFonts w:hint="eastAsia"/>
        </w:rPr>
        <w:t>3</w:t>
      </w:r>
      <w:r>
        <w:rPr>
          <w:rFonts w:hint="eastAsia"/>
        </w:rPr>
        <w:t>）本人保证不通过关联交易损害发行人及其他无关联关系股东的合法权益；</w:t>
      </w:r>
    </w:p>
    <w:p w14:paraId="160463D6" w14:textId="77777777" w:rsidR="004B0883" w:rsidRDefault="004B0883">
      <w:pPr>
        <w:pStyle w:val="005"/>
        <w:spacing w:before="120"/>
        <w:ind w:firstLine="480"/>
        <w:rPr>
          <w:rFonts w:hint="eastAsia"/>
        </w:rPr>
      </w:pPr>
      <w:r>
        <w:rPr>
          <w:rFonts w:hint="eastAsia"/>
        </w:rPr>
        <w:t>4</w:t>
      </w:r>
      <w:r>
        <w:rPr>
          <w:rFonts w:hint="eastAsia"/>
        </w:rPr>
        <w:t>）截至本承诺函出具之日，本人不存在占用发行人资金或资产的情形，并承诺以后不以任何形式占用发行人资金或资产；</w:t>
      </w:r>
    </w:p>
    <w:p w14:paraId="4176D039" w14:textId="77777777" w:rsidR="004B0883" w:rsidRDefault="004B0883">
      <w:pPr>
        <w:pStyle w:val="005"/>
        <w:spacing w:before="120"/>
        <w:ind w:firstLine="480"/>
        <w:rPr>
          <w:rFonts w:hint="eastAsia"/>
        </w:rPr>
      </w:pPr>
      <w:r>
        <w:rPr>
          <w:rFonts w:hint="eastAsia"/>
        </w:rPr>
        <w:t>5</w:t>
      </w:r>
      <w:r>
        <w:rPr>
          <w:rFonts w:hint="eastAsia"/>
        </w:rPr>
        <w:t>）本人将督促本人的配偶、父母、子女及其配偶、兄弟姐妹及其配偶，本人配偶的父母、兄弟姐妹，子女配偶的父母，以及本人投资或控制的除公司以外的其他企业、实体等同受本承诺的约束；</w:t>
      </w:r>
    </w:p>
    <w:p w14:paraId="061EFF7D" w14:textId="77777777" w:rsidR="004B0883" w:rsidRDefault="004B0883">
      <w:pPr>
        <w:pStyle w:val="005"/>
        <w:spacing w:before="120"/>
        <w:ind w:firstLine="480"/>
        <w:rPr>
          <w:rFonts w:hint="eastAsia"/>
        </w:rPr>
      </w:pPr>
      <w:r>
        <w:rPr>
          <w:rFonts w:hint="eastAsia"/>
        </w:rPr>
        <w:t>6</w:t>
      </w:r>
      <w:r>
        <w:rPr>
          <w:rFonts w:hint="eastAsia"/>
        </w:rPr>
        <w:t>）本人承诺本承诺函旨在保证发行人全体股东之利益作出，且本承诺函的每一项承诺为独立可操作的承诺，任何一项承诺无效或被终止将不影响其他承诺的有效性；</w:t>
      </w:r>
    </w:p>
    <w:p w14:paraId="6E3C1DA6" w14:textId="77777777" w:rsidR="004B0883" w:rsidRDefault="004B0883">
      <w:pPr>
        <w:pStyle w:val="005"/>
        <w:spacing w:before="120"/>
        <w:ind w:firstLine="480"/>
        <w:rPr>
          <w:rFonts w:hint="eastAsia"/>
        </w:rPr>
      </w:pPr>
      <w:r>
        <w:rPr>
          <w:rFonts w:hint="eastAsia"/>
        </w:rPr>
        <w:t>7</w:t>
      </w:r>
      <w:r>
        <w:rPr>
          <w:rFonts w:hint="eastAsia"/>
        </w:rPr>
        <w:t>）该承诺自签字之日起生效，该承诺函所载各项承诺事项在本人作为公司控股股东、实际控制人期间，以及自本人不再为公司控股股东、实际控制人之日起十二个月内持续有效，且不可变更或撤销。</w:t>
      </w:r>
    </w:p>
    <w:p w14:paraId="134A4ED6" w14:textId="77777777" w:rsidR="004B0883" w:rsidRDefault="004B0883">
      <w:pPr>
        <w:pStyle w:val="005"/>
        <w:spacing w:before="120"/>
        <w:ind w:firstLine="480"/>
        <w:rPr>
          <w:rFonts w:hint="eastAsia"/>
        </w:rPr>
      </w:pPr>
      <w:r>
        <w:rPr>
          <w:rFonts w:hint="eastAsia"/>
        </w:rPr>
        <w:t>如违反上述任何一项承诺，本人愿意赔偿由此给发行人及其他股东造成的所有直接和间接经济损失，及相关方因此而支出的其他合理费用。</w:t>
      </w:r>
    </w:p>
    <w:p w14:paraId="24BF2004" w14:textId="77777777" w:rsidR="004B0883" w:rsidRDefault="004B0883">
      <w:pPr>
        <w:pStyle w:val="005"/>
        <w:spacing w:before="120"/>
        <w:ind w:firstLine="480"/>
        <w:rPr>
          <w:rFonts w:hint="eastAsia"/>
        </w:rPr>
      </w:pPr>
      <w:r>
        <w:rPr>
          <w:rFonts w:hint="eastAsia"/>
        </w:rPr>
        <w:t>（</w:t>
      </w:r>
      <w:r>
        <w:rPr>
          <w:rFonts w:hint="eastAsia"/>
        </w:rPr>
        <w:t>2</w:t>
      </w:r>
      <w:r>
        <w:rPr>
          <w:rFonts w:hint="eastAsia"/>
        </w:rPr>
        <w:t>）发行人董事、监事和高级管理人员作出的《关于规范和减少关联交易的承诺函》：</w:t>
      </w:r>
    </w:p>
    <w:p w14:paraId="533BFCBD" w14:textId="77777777" w:rsidR="004B0883" w:rsidRDefault="004B0883">
      <w:pPr>
        <w:pStyle w:val="005"/>
        <w:spacing w:before="120"/>
        <w:ind w:firstLine="480"/>
        <w:rPr>
          <w:rFonts w:hint="eastAsia"/>
        </w:rPr>
      </w:pPr>
      <w:r>
        <w:rPr>
          <w:rFonts w:hint="eastAsia"/>
        </w:rPr>
        <w:t>1</w:t>
      </w:r>
      <w:r>
        <w:rPr>
          <w:rFonts w:hint="eastAsia"/>
        </w:rPr>
        <w:t>）在本人作为发行人的董事、监事和高级管理人员期间，将尽量减少与发行人及其下属子公司之间的关联交易；</w:t>
      </w:r>
    </w:p>
    <w:p w14:paraId="3F5BBCD8" w14:textId="77777777" w:rsidR="004B0883" w:rsidRDefault="004B0883">
      <w:pPr>
        <w:pStyle w:val="005"/>
        <w:spacing w:before="120"/>
        <w:ind w:firstLine="480"/>
        <w:rPr>
          <w:rFonts w:hint="eastAsia"/>
        </w:rPr>
      </w:pPr>
      <w:r>
        <w:rPr>
          <w:rFonts w:hint="eastAsia"/>
        </w:rPr>
        <w:t>2</w:t>
      </w:r>
      <w:r>
        <w:rPr>
          <w:rFonts w:hint="eastAsia"/>
        </w:rPr>
        <w:t>）对于不可避免或因合理事由与发行人之间发生的关联交易，本人承诺将遵循公平合理、价格公允的原则，按照相关法律法规、规范性文件以及公司章程等的有关规定履行相关程序和信息披露义务，并办理有关报批事宜；</w:t>
      </w:r>
    </w:p>
    <w:p w14:paraId="3D6890AC" w14:textId="77777777" w:rsidR="004B0883" w:rsidRDefault="004B0883">
      <w:pPr>
        <w:pStyle w:val="005"/>
        <w:spacing w:before="120"/>
        <w:ind w:firstLine="480"/>
        <w:rPr>
          <w:rFonts w:hint="eastAsia"/>
        </w:rPr>
      </w:pPr>
      <w:r>
        <w:rPr>
          <w:rFonts w:hint="eastAsia"/>
        </w:rPr>
        <w:t>3</w:t>
      </w:r>
      <w:r>
        <w:rPr>
          <w:rFonts w:hint="eastAsia"/>
        </w:rPr>
        <w:t>）本人保证不通过关联交易损害发行人及其他无关联关系股东的合法权益；</w:t>
      </w:r>
    </w:p>
    <w:p w14:paraId="6F82E708" w14:textId="77777777" w:rsidR="004B0883" w:rsidRDefault="004B0883">
      <w:pPr>
        <w:pStyle w:val="005"/>
        <w:spacing w:before="120"/>
        <w:ind w:firstLine="480"/>
        <w:rPr>
          <w:rFonts w:hint="eastAsia"/>
        </w:rPr>
      </w:pPr>
      <w:r>
        <w:rPr>
          <w:rFonts w:hint="eastAsia"/>
        </w:rPr>
        <w:t>4</w:t>
      </w:r>
      <w:r>
        <w:rPr>
          <w:rFonts w:hint="eastAsia"/>
        </w:rPr>
        <w:t>）截至本承诺函出具之日，本人不存在占用发行人资金或资产的情形，并承诺以后不以任何形式占用发行人资金或资产；</w:t>
      </w:r>
    </w:p>
    <w:p w14:paraId="0BE601DD" w14:textId="77777777" w:rsidR="004B0883" w:rsidRDefault="004B0883">
      <w:pPr>
        <w:pStyle w:val="005"/>
        <w:spacing w:before="120"/>
        <w:ind w:firstLine="480"/>
        <w:rPr>
          <w:rFonts w:hint="eastAsia"/>
        </w:rPr>
      </w:pPr>
      <w:r>
        <w:rPr>
          <w:rFonts w:hint="eastAsia"/>
        </w:rPr>
        <w:t>5</w:t>
      </w:r>
      <w:r>
        <w:rPr>
          <w:rFonts w:hint="eastAsia"/>
        </w:rPr>
        <w:t>）本人将督促本人的配偶、父母、子女及其配偶、兄弟姐妹及其配偶，本人配偶的父母、兄弟姐妹，子女配偶的父母，以及本人投资或控制的企业、实体等同受本承诺的约束；</w:t>
      </w:r>
    </w:p>
    <w:p w14:paraId="11E23AC1" w14:textId="77777777" w:rsidR="004B0883" w:rsidRDefault="004B0883">
      <w:pPr>
        <w:pStyle w:val="005"/>
        <w:spacing w:before="120"/>
        <w:ind w:firstLine="480"/>
        <w:rPr>
          <w:rFonts w:hint="eastAsia"/>
        </w:rPr>
      </w:pPr>
      <w:r>
        <w:rPr>
          <w:rFonts w:hint="eastAsia"/>
        </w:rPr>
        <w:t>6</w:t>
      </w:r>
      <w:r>
        <w:rPr>
          <w:rFonts w:hint="eastAsia"/>
        </w:rPr>
        <w:t>）本人承诺本承诺函旨在保证发行人全体股东之利益作出，且本承诺函的每一项承诺为独立可操作的承诺，任何一项承诺无效或被终止将不影响其他承诺的有效性；</w:t>
      </w:r>
    </w:p>
    <w:p w14:paraId="2EF4ABD2" w14:textId="77777777" w:rsidR="004B0883" w:rsidRDefault="004B0883">
      <w:pPr>
        <w:pStyle w:val="005"/>
        <w:spacing w:before="120"/>
        <w:ind w:firstLine="480"/>
        <w:rPr>
          <w:rFonts w:hint="eastAsia"/>
        </w:rPr>
      </w:pPr>
      <w:r>
        <w:rPr>
          <w:rFonts w:hint="eastAsia"/>
        </w:rPr>
        <w:t>7</w:t>
      </w:r>
      <w:r>
        <w:rPr>
          <w:rFonts w:hint="eastAsia"/>
        </w:rPr>
        <w:t>）该承诺自签字之日起生效，该承诺函所载各项承诺事项在本人作为公司董事、监事和高级管理人员期间，以及自本人不再为公司董事、监事和高级管理人员之日起十二个月内持续有效，且不可变更或撤销。</w:t>
      </w:r>
    </w:p>
    <w:p w14:paraId="7B70697B" w14:textId="77777777" w:rsidR="004B0883" w:rsidRDefault="004B0883">
      <w:pPr>
        <w:pStyle w:val="005"/>
        <w:spacing w:before="120"/>
        <w:ind w:firstLine="480"/>
        <w:rPr>
          <w:rFonts w:hint="eastAsia"/>
        </w:rPr>
      </w:pPr>
      <w:r>
        <w:rPr>
          <w:rFonts w:hint="eastAsia"/>
        </w:rPr>
        <w:t>如违反上述任何一项承诺，本人愿意赔偿由此给发行人及其股东造成的所有直接和间接经济损失，及相关方因此而支出的其他合理费用。</w:t>
      </w:r>
    </w:p>
    <w:p w14:paraId="228B9DDA" w14:textId="77777777" w:rsidR="004B0883" w:rsidRDefault="004B0883">
      <w:pPr>
        <w:pStyle w:val="003"/>
        <w:spacing w:before="120" w:after="120"/>
      </w:pPr>
      <w:r>
        <w:rPr>
          <w:rFonts w:hint="eastAsia"/>
        </w:rPr>
        <w:t>（四）发行人关联交易制度的执行情况及独立董事意见</w:t>
      </w:r>
    </w:p>
    <w:p w14:paraId="61338BEF" w14:textId="77777777" w:rsidR="004B0883" w:rsidRDefault="004B0883">
      <w:pPr>
        <w:pStyle w:val="005"/>
        <w:spacing w:before="120"/>
        <w:ind w:firstLine="480"/>
      </w:pPr>
      <w:r>
        <w:rPr>
          <w:rFonts w:hint="eastAsia"/>
        </w:rPr>
        <w:t>报告期内，公司发生的关联交易均履行了必要的董事会和股东大会决策程序，全体独立董事对上述关联交易履行的审议程序的合法性和交易价格的公允性发表了独立意见，一致认为：公司关联交易均遵循公平、公正、公开的原则，符合公司正常生产经营的客观需要，不会对公司的财务状况、经营成果产生不利影响。关联交易事项及表决程序符合《深圳证券交易所股票上市规则》和《公司章程》等有关规定，不存在损害公司及非关联股东利益的情形。</w:t>
      </w:r>
    </w:p>
    <w:p w14:paraId="118C4491" w14:textId="77777777" w:rsidR="004B0883" w:rsidRDefault="004B0883">
      <w:pPr>
        <w:pStyle w:val="001"/>
        <w:spacing w:before="120" w:after="120"/>
        <w:rPr>
          <w:rFonts w:hint="eastAsia"/>
        </w:rPr>
      </w:pPr>
      <w:bookmarkStart w:id="404" w:name="_Toc152320821"/>
      <w:r>
        <w:rPr>
          <w:rFonts w:hint="eastAsia"/>
        </w:rPr>
        <w:t>第七节</w:t>
      </w:r>
      <w:r>
        <w:rPr>
          <w:rFonts w:hint="eastAsia"/>
        </w:rPr>
        <w:t xml:space="preserve">  </w:t>
      </w:r>
      <w:r>
        <w:rPr>
          <w:rFonts w:hint="eastAsia"/>
        </w:rPr>
        <w:t>本次募集资金运用</w:t>
      </w:r>
      <w:bookmarkEnd w:id="382"/>
      <w:bookmarkEnd w:id="404"/>
    </w:p>
    <w:p w14:paraId="4D2F2200" w14:textId="77777777" w:rsidR="004B0883" w:rsidRDefault="004B0883">
      <w:pPr>
        <w:pStyle w:val="002"/>
        <w:spacing w:before="120" w:after="120"/>
        <w:rPr>
          <w:rFonts w:hint="eastAsia"/>
        </w:rPr>
      </w:pPr>
      <w:bookmarkStart w:id="405" w:name="_Toc152320822"/>
      <w:bookmarkStart w:id="406" w:name="_Toc42001362"/>
      <w:bookmarkStart w:id="407" w:name="_Toc42001370"/>
      <w:r>
        <w:rPr>
          <w:rFonts w:hint="eastAsia"/>
        </w:rPr>
        <w:t>一、预计募集资金数额</w:t>
      </w:r>
      <w:bookmarkEnd w:id="405"/>
      <w:bookmarkEnd w:id="406"/>
    </w:p>
    <w:p w14:paraId="2438441A"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本次可转换公司债券募集资金总额不超过</w:t>
      </w:r>
      <w:r>
        <w:rPr>
          <w:rFonts w:ascii="楷体" w:eastAsia="楷体" w:hAnsi="楷体"/>
          <w:b/>
          <w:bCs/>
          <w:sz w:val="24"/>
          <w:szCs w:val="22"/>
        </w:rPr>
        <w:t>32,183</w:t>
      </w:r>
      <w:r>
        <w:rPr>
          <w:rFonts w:ascii="楷体" w:eastAsia="楷体" w:hAnsi="楷体" w:hint="eastAsia"/>
          <w:b/>
          <w:bCs/>
          <w:sz w:val="24"/>
          <w:szCs w:val="22"/>
        </w:rPr>
        <w:t>.00万元</w:t>
      </w:r>
      <w:r>
        <w:rPr>
          <w:rFonts w:hint="eastAsia"/>
          <w:sz w:val="24"/>
          <w:szCs w:val="22"/>
        </w:rPr>
        <w:t>人民币（含</w:t>
      </w:r>
      <w:r>
        <w:rPr>
          <w:rFonts w:ascii="楷体" w:eastAsia="楷体" w:hAnsi="楷体"/>
          <w:b/>
          <w:bCs/>
          <w:sz w:val="24"/>
          <w:szCs w:val="22"/>
        </w:rPr>
        <w:t>32,183.00</w:t>
      </w:r>
      <w:r>
        <w:rPr>
          <w:rFonts w:ascii="楷体" w:eastAsia="楷体" w:hAnsi="楷体" w:hint="eastAsia"/>
          <w:b/>
          <w:bCs/>
          <w:sz w:val="24"/>
          <w:szCs w:val="22"/>
        </w:rPr>
        <w:t>万元</w:t>
      </w:r>
      <w:r>
        <w:rPr>
          <w:rFonts w:hint="eastAsia"/>
          <w:sz w:val="24"/>
          <w:szCs w:val="22"/>
        </w:rPr>
        <w:t>），扣除发行费用后的募集资金净额拟全部投入以下项目</w:t>
      </w:r>
      <w:r>
        <w:rPr>
          <w:sz w:val="24"/>
          <w:szCs w:val="22"/>
        </w:rPr>
        <w:t>：</w:t>
      </w:r>
    </w:p>
    <w:p w14:paraId="1D9954B7" w14:textId="77777777" w:rsidR="004B0883" w:rsidRDefault="004B0883">
      <w:pPr>
        <w:keepNext/>
        <w:widowControl w:val="0"/>
        <w:jc w:val="right"/>
        <w:rPr>
          <w:szCs w:val="22"/>
        </w:rPr>
      </w:pPr>
      <w:r>
        <w:rPr>
          <w:szCs w:val="22"/>
        </w:rPr>
        <w:t>单位：万元</w:t>
      </w:r>
    </w:p>
    <w:tbl>
      <w:tblPr>
        <w:tblW w:w="0" w:type="auto"/>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38"/>
        <w:gridCol w:w="2885"/>
        <w:gridCol w:w="1947"/>
        <w:gridCol w:w="2810"/>
      </w:tblGrid>
      <w:tr w:rsidR="004B0883" w14:paraId="76B8A9D5" w14:textId="77777777">
        <w:trPr>
          <w:trHeight w:val="397"/>
          <w:jc w:val="center"/>
        </w:trPr>
        <w:tc>
          <w:tcPr>
            <w:tcW w:w="648" w:type="dxa"/>
            <w:shd w:val="clear" w:color="auto" w:fill="D9D9D9"/>
            <w:tcMar>
              <w:top w:w="0" w:type="dxa"/>
              <w:bottom w:w="0" w:type="dxa"/>
            </w:tcMar>
            <w:vAlign w:val="center"/>
          </w:tcPr>
          <w:p w14:paraId="1E53BDF5" w14:textId="77777777" w:rsidR="004B0883" w:rsidRDefault="004B0883">
            <w:pPr>
              <w:widowControl w:val="0"/>
              <w:adjustRightInd w:val="0"/>
              <w:snapToGrid w:val="0"/>
              <w:jc w:val="center"/>
              <w:rPr>
                <w:b/>
              </w:rPr>
            </w:pPr>
            <w:r>
              <w:rPr>
                <w:rFonts w:hint="eastAsia"/>
                <w:b/>
              </w:rPr>
              <w:t>序号</w:t>
            </w:r>
          </w:p>
        </w:tc>
        <w:tc>
          <w:tcPr>
            <w:tcW w:w="3004" w:type="dxa"/>
            <w:shd w:val="clear" w:color="auto" w:fill="D9D9D9"/>
            <w:tcMar>
              <w:top w:w="0" w:type="dxa"/>
              <w:bottom w:w="0" w:type="dxa"/>
            </w:tcMar>
            <w:vAlign w:val="center"/>
          </w:tcPr>
          <w:p w14:paraId="0DAB32CE" w14:textId="77777777" w:rsidR="004B0883" w:rsidRDefault="004B0883">
            <w:pPr>
              <w:widowControl w:val="0"/>
              <w:adjustRightInd w:val="0"/>
              <w:snapToGrid w:val="0"/>
              <w:jc w:val="center"/>
              <w:rPr>
                <w:b/>
              </w:rPr>
            </w:pPr>
            <w:r>
              <w:rPr>
                <w:b/>
              </w:rPr>
              <w:t>项目名称</w:t>
            </w:r>
          </w:p>
        </w:tc>
        <w:tc>
          <w:tcPr>
            <w:tcW w:w="1985" w:type="dxa"/>
            <w:shd w:val="clear" w:color="auto" w:fill="D9D9D9"/>
            <w:tcMar>
              <w:top w:w="0" w:type="dxa"/>
              <w:bottom w:w="0" w:type="dxa"/>
            </w:tcMar>
            <w:vAlign w:val="center"/>
          </w:tcPr>
          <w:p w14:paraId="7BC8B14B" w14:textId="77777777" w:rsidR="004B0883" w:rsidRDefault="004B0883">
            <w:pPr>
              <w:widowControl w:val="0"/>
              <w:adjustRightInd w:val="0"/>
              <w:snapToGrid w:val="0"/>
              <w:jc w:val="center"/>
              <w:rPr>
                <w:b/>
              </w:rPr>
            </w:pPr>
            <w:r>
              <w:rPr>
                <w:b/>
              </w:rPr>
              <w:t>总投资额</w:t>
            </w:r>
          </w:p>
        </w:tc>
        <w:tc>
          <w:tcPr>
            <w:tcW w:w="2889" w:type="dxa"/>
            <w:shd w:val="clear" w:color="auto" w:fill="D9D9D9"/>
            <w:tcMar>
              <w:top w:w="0" w:type="dxa"/>
              <w:bottom w:w="0" w:type="dxa"/>
            </w:tcMar>
            <w:vAlign w:val="center"/>
          </w:tcPr>
          <w:p w14:paraId="5D468DBE" w14:textId="77777777" w:rsidR="004B0883" w:rsidRDefault="004B0883">
            <w:pPr>
              <w:widowControl w:val="0"/>
              <w:adjustRightInd w:val="0"/>
              <w:snapToGrid w:val="0"/>
              <w:jc w:val="center"/>
              <w:rPr>
                <w:b/>
              </w:rPr>
            </w:pPr>
            <w:r>
              <w:rPr>
                <w:b/>
              </w:rPr>
              <w:t>拟以募集资金投入金额</w:t>
            </w:r>
          </w:p>
        </w:tc>
      </w:tr>
      <w:tr w:rsidR="004B0883" w14:paraId="2082E796" w14:textId="77777777">
        <w:trPr>
          <w:trHeight w:val="397"/>
          <w:jc w:val="center"/>
        </w:trPr>
        <w:tc>
          <w:tcPr>
            <w:tcW w:w="648" w:type="dxa"/>
            <w:shd w:val="clear" w:color="auto" w:fill="auto"/>
            <w:tcMar>
              <w:top w:w="0" w:type="dxa"/>
              <w:bottom w:w="0" w:type="dxa"/>
            </w:tcMar>
            <w:vAlign w:val="center"/>
          </w:tcPr>
          <w:p w14:paraId="25583B3B" w14:textId="77777777" w:rsidR="004B0883" w:rsidRDefault="004B0883">
            <w:pPr>
              <w:widowControl w:val="0"/>
              <w:adjustRightInd w:val="0"/>
              <w:snapToGrid w:val="0"/>
              <w:jc w:val="center"/>
            </w:pPr>
            <w:r>
              <w:rPr>
                <w:rFonts w:hint="eastAsia"/>
              </w:rPr>
              <w:t>1</w:t>
            </w:r>
          </w:p>
        </w:tc>
        <w:tc>
          <w:tcPr>
            <w:tcW w:w="3004" w:type="dxa"/>
            <w:shd w:val="clear" w:color="auto" w:fill="FFFFFF"/>
            <w:tcMar>
              <w:top w:w="0" w:type="dxa"/>
              <w:bottom w:w="0" w:type="dxa"/>
            </w:tcMar>
            <w:vAlign w:val="center"/>
          </w:tcPr>
          <w:p w14:paraId="44E4FACF" w14:textId="77777777" w:rsidR="004B0883" w:rsidRDefault="004B0883">
            <w:pPr>
              <w:widowControl w:val="0"/>
              <w:adjustRightInd w:val="0"/>
              <w:snapToGrid w:val="0"/>
              <w:jc w:val="center"/>
              <w:rPr>
                <w:color w:val="000000"/>
              </w:rPr>
            </w:pPr>
            <w:r>
              <w:rPr>
                <w:rFonts w:hint="eastAsia"/>
              </w:rPr>
              <w:t>智慧节能阀门建设项目</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bottom w:w="0" w:type="dxa"/>
            </w:tcMar>
            <w:vAlign w:val="center"/>
          </w:tcPr>
          <w:p w14:paraId="1F76AFC4" w14:textId="77777777" w:rsidR="004B0883" w:rsidRDefault="004B0883">
            <w:pPr>
              <w:adjustRightInd w:val="0"/>
              <w:snapToGrid w:val="0"/>
              <w:jc w:val="right"/>
              <w:rPr>
                <w:rFonts w:eastAsia="仿宋_GB2312"/>
                <w:color w:val="000000"/>
              </w:rPr>
            </w:pPr>
            <w:r>
              <w:rPr>
                <w:color w:val="333333"/>
              </w:rPr>
              <w:t>29,377.91</w:t>
            </w:r>
          </w:p>
        </w:tc>
        <w:tc>
          <w:tcPr>
            <w:tcW w:w="2889" w:type="dxa"/>
            <w:tcBorders>
              <w:top w:val="single" w:sz="4" w:space="0" w:color="auto"/>
              <w:left w:val="single" w:sz="4" w:space="0" w:color="auto"/>
              <w:bottom w:val="single" w:sz="4" w:space="0" w:color="auto"/>
              <w:right w:val="single" w:sz="12" w:space="0" w:color="auto"/>
            </w:tcBorders>
            <w:shd w:val="clear" w:color="auto" w:fill="FFFFFF"/>
            <w:tcMar>
              <w:top w:w="0" w:type="dxa"/>
              <w:bottom w:w="0" w:type="dxa"/>
            </w:tcMar>
            <w:vAlign w:val="center"/>
          </w:tcPr>
          <w:p w14:paraId="2741C081" w14:textId="77777777" w:rsidR="004B0883" w:rsidRDefault="004B0883">
            <w:pPr>
              <w:widowControl w:val="0"/>
              <w:adjustRightInd w:val="0"/>
              <w:snapToGrid w:val="0"/>
              <w:jc w:val="right"/>
            </w:pPr>
            <w:r>
              <w:rPr>
                <w:color w:val="333333"/>
              </w:rPr>
              <w:t>27,800.00</w:t>
            </w:r>
          </w:p>
        </w:tc>
      </w:tr>
      <w:tr w:rsidR="004B0883" w14:paraId="32444D89" w14:textId="77777777">
        <w:trPr>
          <w:trHeight w:val="397"/>
          <w:jc w:val="center"/>
        </w:trPr>
        <w:tc>
          <w:tcPr>
            <w:tcW w:w="648" w:type="dxa"/>
            <w:shd w:val="clear" w:color="auto" w:fill="auto"/>
            <w:tcMar>
              <w:top w:w="0" w:type="dxa"/>
              <w:bottom w:w="0" w:type="dxa"/>
            </w:tcMar>
            <w:vAlign w:val="center"/>
          </w:tcPr>
          <w:p w14:paraId="58FB2D59" w14:textId="77777777" w:rsidR="004B0883" w:rsidRDefault="004B0883">
            <w:pPr>
              <w:widowControl w:val="0"/>
              <w:adjustRightInd w:val="0"/>
              <w:snapToGrid w:val="0"/>
              <w:jc w:val="center"/>
            </w:pPr>
            <w:r>
              <w:t>2</w:t>
            </w:r>
          </w:p>
        </w:tc>
        <w:tc>
          <w:tcPr>
            <w:tcW w:w="3004" w:type="dxa"/>
            <w:shd w:val="clear" w:color="auto" w:fill="FFFFFF"/>
            <w:tcMar>
              <w:top w:w="0" w:type="dxa"/>
              <w:bottom w:w="0" w:type="dxa"/>
            </w:tcMar>
            <w:vAlign w:val="center"/>
          </w:tcPr>
          <w:p w14:paraId="37079097" w14:textId="77777777" w:rsidR="004B0883" w:rsidRDefault="004B0883">
            <w:pPr>
              <w:adjustRightInd w:val="0"/>
              <w:snapToGrid w:val="0"/>
              <w:jc w:val="center"/>
              <w:rPr>
                <w:color w:val="000000"/>
              </w:rPr>
            </w:pPr>
            <w:r>
              <w:rPr>
                <w:rFonts w:hint="eastAsia"/>
              </w:rPr>
              <w:t>补充流动资金</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bottom w:w="0" w:type="dxa"/>
            </w:tcMar>
            <w:vAlign w:val="center"/>
          </w:tcPr>
          <w:p w14:paraId="3842C1DB" w14:textId="77777777" w:rsidR="004B0883" w:rsidRDefault="004B0883">
            <w:pPr>
              <w:adjustRightInd w:val="0"/>
              <w:snapToGrid w:val="0"/>
              <w:jc w:val="right"/>
              <w:rPr>
                <w:rFonts w:ascii="楷体" w:eastAsia="楷体" w:hAnsi="楷体"/>
                <w:b/>
                <w:bCs/>
                <w:color w:val="000000"/>
              </w:rPr>
            </w:pPr>
            <w:r>
              <w:rPr>
                <w:rFonts w:ascii="楷体" w:eastAsia="楷体" w:hAnsi="楷体"/>
                <w:b/>
                <w:bCs/>
                <w:color w:val="000000"/>
              </w:rPr>
              <w:t xml:space="preserve">4,383.00 </w:t>
            </w:r>
          </w:p>
        </w:tc>
        <w:tc>
          <w:tcPr>
            <w:tcW w:w="2889" w:type="dxa"/>
            <w:tcBorders>
              <w:top w:val="single" w:sz="4" w:space="0" w:color="auto"/>
              <w:left w:val="single" w:sz="4" w:space="0" w:color="auto"/>
              <w:bottom w:val="single" w:sz="4" w:space="0" w:color="auto"/>
              <w:right w:val="single" w:sz="12" w:space="0" w:color="auto"/>
            </w:tcBorders>
            <w:shd w:val="clear" w:color="auto" w:fill="FFFFFF"/>
            <w:tcMar>
              <w:top w:w="0" w:type="dxa"/>
              <w:bottom w:w="0" w:type="dxa"/>
            </w:tcMar>
            <w:vAlign w:val="center"/>
          </w:tcPr>
          <w:p w14:paraId="7413AF98" w14:textId="77777777" w:rsidR="004B0883" w:rsidRDefault="004B0883">
            <w:pPr>
              <w:widowControl w:val="0"/>
              <w:adjustRightInd w:val="0"/>
              <w:snapToGrid w:val="0"/>
              <w:jc w:val="right"/>
              <w:rPr>
                <w:rFonts w:ascii="楷体" w:eastAsia="楷体" w:hAnsi="楷体"/>
                <w:b/>
                <w:bCs/>
              </w:rPr>
            </w:pPr>
            <w:r>
              <w:rPr>
                <w:rFonts w:ascii="楷体" w:eastAsia="楷体" w:hAnsi="楷体"/>
                <w:b/>
                <w:bCs/>
                <w:color w:val="000000"/>
              </w:rPr>
              <w:t xml:space="preserve">4,383.00 </w:t>
            </w:r>
          </w:p>
        </w:tc>
      </w:tr>
      <w:tr w:rsidR="004B0883" w14:paraId="5D3F3D11" w14:textId="77777777">
        <w:trPr>
          <w:trHeight w:val="397"/>
          <w:jc w:val="center"/>
        </w:trPr>
        <w:tc>
          <w:tcPr>
            <w:tcW w:w="3652" w:type="dxa"/>
            <w:gridSpan w:val="2"/>
            <w:shd w:val="clear" w:color="auto" w:fill="auto"/>
            <w:tcMar>
              <w:top w:w="0" w:type="dxa"/>
              <w:bottom w:w="0" w:type="dxa"/>
            </w:tcMar>
            <w:vAlign w:val="center"/>
          </w:tcPr>
          <w:p w14:paraId="015F493B" w14:textId="77777777" w:rsidR="004B0883" w:rsidRDefault="004B0883">
            <w:pPr>
              <w:widowControl w:val="0"/>
              <w:adjustRightInd w:val="0"/>
              <w:snapToGrid w:val="0"/>
              <w:jc w:val="center"/>
              <w:rPr>
                <w:b/>
                <w:bCs/>
              </w:rPr>
            </w:pPr>
            <w:r>
              <w:rPr>
                <w:b/>
                <w:bCs/>
              </w:rPr>
              <w:t>合计</w:t>
            </w:r>
          </w:p>
        </w:tc>
        <w:tc>
          <w:tcPr>
            <w:tcW w:w="1985" w:type="dxa"/>
            <w:tcBorders>
              <w:top w:val="single" w:sz="4" w:space="0" w:color="auto"/>
              <w:left w:val="single" w:sz="4" w:space="0" w:color="auto"/>
              <w:bottom w:val="single" w:sz="12" w:space="0" w:color="auto"/>
              <w:right w:val="single" w:sz="4" w:space="0" w:color="auto"/>
            </w:tcBorders>
            <w:shd w:val="clear" w:color="auto" w:fill="FFFFFF"/>
            <w:tcMar>
              <w:top w:w="0" w:type="dxa"/>
              <w:bottom w:w="0" w:type="dxa"/>
            </w:tcMar>
            <w:vAlign w:val="center"/>
          </w:tcPr>
          <w:p w14:paraId="3F890259" w14:textId="77777777" w:rsidR="004B0883" w:rsidRDefault="004B0883">
            <w:pPr>
              <w:adjustRightInd w:val="0"/>
              <w:snapToGrid w:val="0"/>
              <w:jc w:val="right"/>
              <w:rPr>
                <w:rFonts w:ascii="楷体" w:eastAsia="楷体" w:hAnsi="楷体"/>
                <w:b/>
                <w:bCs/>
                <w:color w:val="000000"/>
              </w:rPr>
            </w:pPr>
            <w:r>
              <w:rPr>
                <w:rFonts w:ascii="楷体" w:eastAsia="楷体" w:hAnsi="楷体"/>
                <w:b/>
                <w:bCs/>
                <w:color w:val="333333"/>
              </w:rPr>
              <w:t>33,760.91</w:t>
            </w:r>
          </w:p>
        </w:tc>
        <w:tc>
          <w:tcPr>
            <w:tcW w:w="2889" w:type="dxa"/>
            <w:tcBorders>
              <w:top w:val="single" w:sz="4" w:space="0" w:color="auto"/>
              <w:left w:val="single" w:sz="4" w:space="0" w:color="auto"/>
              <w:bottom w:val="single" w:sz="12" w:space="0" w:color="auto"/>
              <w:right w:val="single" w:sz="12" w:space="0" w:color="auto"/>
            </w:tcBorders>
            <w:shd w:val="clear" w:color="auto" w:fill="FFFFFF"/>
            <w:tcMar>
              <w:top w:w="0" w:type="dxa"/>
              <w:bottom w:w="0" w:type="dxa"/>
            </w:tcMar>
            <w:vAlign w:val="center"/>
          </w:tcPr>
          <w:p w14:paraId="062BE6BB" w14:textId="77777777" w:rsidR="004B0883" w:rsidRDefault="004B0883">
            <w:pPr>
              <w:widowControl w:val="0"/>
              <w:adjustRightInd w:val="0"/>
              <w:snapToGrid w:val="0"/>
              <w:jc w:val="right"/>
              <w:rPr>
                <w:rFonts w:ascii="楷体" w:eastAsia="楷体" w:hAnsi="楷体"/>
                <w:b/>
                <w:bCs/>
              </w:rPr>
            </w:pPr>
            <w:r>
              <w:rPr>
                <w:rFonts w:ascii="楷体" w:eastAsia="楷体" w:hAnsi="楷体"/>
                <w:b/>
                <w:bCs/>
                <w:color w:val="000000"/>
              </w:rPr>
              <w:t xml:space="preserve">32,183.00 </w:t>
            </w:r>
          </w:p>
        </w:tc>
      </w:tr>
    </w:tbl>
    <w:p w14:paraId="5E16AAA9" w14:textId="77777777" w:rsidR="004B0883" w:rsidRDefault="004B0883">
      <w:pPr>
        <w:widowControl w:val="0"/>
        <w:spacing w:beforeLines="50" w:before="120" w:line="360" w:lineRule="auto"/>
        <w:ind w:firstLineChars="200" w:firstLine="480"/>
        <w:jc w:val="both"/>
        <w:rPr>
          <w:rFonts w:hint="eastAsia"/>
          <w:sz w:val="24"/>
          <w:szCs w:val="22"/>
        </w:rPr>
      </w:pPr>
      <w:r>
        <w:rPr>
          <w:rFonts w:hint="eastAsia"/>
          <w:sz w:val="24"/>
          <w:szCs w:val="22"/>
        </w:rPr>
        <w:t>若实际募集资金净额少于上述项目拟投入募集资金总额，在最终确定的本次募投项目范围内，公司董事会将根据实际募集资金数额，按照项目的轻重缓急等情况，调整并最终决定募集资金的具体投资项目、优先顺序及各项目的具体投资额，募集资金不足部分由公司自筹解决。</w:t>
      </w:r>
    </w:p>
    <w:p w14:paraId="269E0E68" w14:textId="77777777" w:rsidR="004B0883" w:rsidRDefault="004B0883">
      <w:pPr>
        <w:widowControl w:val="0"/>
        <w:spacing w:beforeLines="50" w:before="120" w:line="360" w:lineRule="auto"/>
        <w:ind w:firstLineChars="200" w:firstLine="480"/>
        <w:jc w:val="both"/>
        <w:rPr>
          <w:rFonts w:hint="eastAsia"/>
        </w:rPr>
      </w:pPr>
      <w:r>
        <w:rPr>
          <w:rFonts w:hint="eastAsia"/>
          <w:sz w:val="24"/>
          <w:szCs w:val="22"/>
        </w:rPr>
        <w:t>本次发行可转债募集资金到位之前，如公司以自筹资金先行投入上述项目建设，公司将在募集资金到位后按照相关法律、法规规定的程序予以置换。</w:t>
      </w:r>
    </w:p>
    <w:p w14:paraId="189B6CAC" w14:textId="77777777" w:rsidR="004B0883" w:rsidRDefault="004B0883">
      <w:pPr>
        <w:pStyle w:val="002"/>
        <w:spacing w:before="120" w:after="120"/>
        <w:rPr>
          <w:rFonts w:hint="eastAsia"/>
        </w:rPr>
      </w:pPr>
      <w:bookmarkStart w:id="408" w:name="_Toc42001363"/>
      <w:bookmarkStart w:id="409" w:name="_Toc152320823"/>
      <w:r>
        <w:rPr>
          <w:rFonts w:hint="eastAsia"/>
        </w:rPr>
        <w:t>二、募集资金投资项目的必要性和可行性</w:t>
      </w:r>
      <w:bookmarkEnd w:id="408"/>
      <w:bookmarkEnd w:id="409"/>
    </w:p>
    <w:p w14:paraId="1DA4C180" w14:textId="77777777" w:rsidR="004B0883" w:rsidRDefault="004B0883">
      <w:pPr>
        <w:pStyle w:val="003"/>
        <w:spacing w:before="120" w:after="120"/>
        <w:rPr>
          <w:rFonts w:hint="eastAsia"/>
        </w:rPr>
      </w:pPr>
      <w:bookmarkStart w:id="410" w:name="_Hlk38369578"/>
      <w:bookmarkStart w:id="411" w:name="_Toc39692654"/>
      <w:bookmarkStart w:id="412" w:name="_Toc39692124"/>
      <w:r>
        <w:rPr>
          <w:rFonts w:hint="eastAsia"/>
        </w:rPr>
        <w:t>（一）募集资金投资项目的必要性</w:t>
      </w:r>
      <w:bookmarkEnd w:id="410"/>
      <w:bookmarkEnd w:id="411"/>
      <w:bookmarkEnd w:id="412"/>
    </w:p>
    <w:p w14:paraId="54A01C1F" w14:textId="77777777" w:rsidR="004B0883" w:rsidRDefault="004B0883">
      <w:pPr>
        <w:keepNext/>
        <w:keepLines/>
        <w:widowControl w:val="0"/>
        <w:spacing w:beforeLines="50" w:before="120" w:line="360" w:lineRule="auto"/>
        <w:ind w:firstLineChars="200" w:firstLine="482"/>
        <w:jc w:val="both"/>
        <w:outlineLvl w:val="3"/>
        <w:rPr>
          <w:b/>
          <w:bCs/>
          <w:sz w:val="24"/>
          <w:szCs w:val="28"/>
        </w:rPr>
      </w:pPr>
      <w:bookmarkStart w:id="413" w:name="_Hlk103007039"/>
      <w:bookmarkStart w:id="414" w:name="_Hlk102997781"/>
      <w:r>
        <w:rPr>
          <w:rFonts w:hint="eastAsia"/>
          <w:b/>
          <w:bCs/>
          <w:sz w:val="24"/>
          <w:szCs w:val="28"/>
        </w:rPr>
        <w:t>1</w:t>
      </w:r>
      <w:r>
        <w:rPr>
          <w:rFonts w:hint="eastAsia"/>
          <w:b/>
          <w:bCs/>
          <w:sz w:val="24"/>
          <w:szCs w:val="28"/>
        </w:rPr>
        <w:t>、适应国家智能制造发展的需要</w:t>
      </w:r>
    </w:p>
    <w:p w14:paraId="1D63BC30" w14:textId="77777777" w:rsidR="004B0883" w:rsidRDefault="004B0883">
      <w:pPr>
        <w:widowControl w:val="0"/>
        <w:spacing w:beforeLines="50" w:before="120" w:line="360" w:lineRule="auto"/>
        <w:ind w:firstLineChars="200" w:firstLine="480"/>
        <w:jc w:val="both"/>
        <w:rPr>
          <w:rFonts w:hint="eastAsia"/>
          <w:sz w:val="24"/>
          <w:szCs w:val="22"/>
        </w:rPr>
      </w:pPr>
      <w:r>
        <w:rPr>
          <w:rFonts w:hint="eastAsia"/>
          <w:sz w:val="24"/>
          <w:szCs w:val="22"/>
        </w:rPr>
        <w:t>根据国务院颁布的《中国制造</w:t>
      </w:r>
      <w:r>
        <w:rPr>
          <w:rFonts w:hint="eastAsia"/>
          <w:sz w:val="24"/>
          <w:szCs w:val="22"/>
        </w:rPr>
        <w:t>2025</w:t>
      </w:r>
      <w:r>
        <w:rPr>
          <w:rFonts w:hint="eastAsia"/>
          <w:sz w:val="24"/>
          <w:szCs w:val="22"/>
        </w:rPr>
        <w:t>》、工信部颁布《工业和信息化部关于促进制造业产品和服务质量提升的实施意见》及国家发改委、工信部等八部颁布的《</w:t>
      </w:r>
      <w:r>
        <w:rPr>
          <w:rFonts w:ascii="宋体" w:hAnsi="宋体" w:hint="eastAsia"/>
          <w:sz w:val="24"/>
          <w:szCs w:val="22"/>
        </w:rPr>
        <w:t>“</w:t>
      </w:r>
      <w:r>
        <w:rPr>
          <w:rFonts w:hint="eastAsia"/>
          <w:sz w:val="24"/>
          <w:szCs w:val="22"/>
        </w:rPr>
        <w:t>十四五</w:t>
      </w:r>
      <w:r>
        <w:rPr>
          <w:rFonts w:ascii="宋体" w:hAnsi="宋体" w:hint="eastAsia"/>
          <w:sz w:val="24"/>
          <w:szCs w:val="22"/>
        </w:rPr>
        <w:t>”</w:t>
      </w:r>
      <w:r>
        <w:rPr>
          <w:rFonts w:hint="eastAsia"/>
          <w:sz w:val="24"/>
          <w:szCs w:val="22"/>
        </w:rPr>
        <w:t>智能制造发展规划》等相关产业政策，制造强国的落脚点均放在高端装备制造上，充分体现了国家对高端制造及相关产业的大力扶持。随着智能制造领域政策密集出台，我国的阀门产业呈现向智能制造方向转型的趋势。智能化发展能提高生产效率和产品质量，降低运营成本和资源能源消耗。同时，该行业需要具备较高技术水平和实践能力的研发技术、铸造工艺、生产加工等方面人才，以及相应用于购置国外先进生产设备的资金投入，以提升产品加工精度和加工效率，从而使公司具备绿色、智能化生产等综合运营能力。</w:t>
      </w:r>
    </w:p>
    <w:p w14:paraId="163738A2" w14:textId="77777777" w:rsidR="004B0883" w:rsidRDefault="004B0883">
      <w:pPr>
        <w:widowControl w:val="0"/>
        <w:spacing w:beforeLines="50" w:before="120" w:line="360" w:lineRule="auto"/>
        <w:ind w:firstLineChars="200" w:firstLine="480"/>
        <w:jc w:val="both"/>
        <w:rPr>
          <w:rFonts w:hint="eastAsia"/>
          <w:sz w:val="24"/>
          <w:szCs w:val="22"/>
        </w:rPr>
      </w:pPr>
      <w:r>
        <w:rPr>
          <w:rFonts w:hint="eastAsia"/>
          <w:sz w:val="24"/>
          <w:szCs w:val="22"/>
        </w:rPr>
        <w:t>此外，随着城市建设快速发展和人民生活水平的不断提高，人们对城市供气供水的服务质量提出了越来越高的要求。目前，城市供水供气输配管网中，各调压箱、调压柜地理位置分散，且仍采用人工记录、逐级汇报的方法进行数据读取，所以存在上报数据不及时，监测事故延迟等安全隐患。通过人工智能、物联网等先进技术，使阀门具有自适应、自调节、自诊断、远程监控等功能，取代人工操作方式，不仅可以节约相关维护成本，也可以避免人工操作可能导致的失误。因此，公司进行智能阀门相关产品生产符合阀门行业智能化的发展方向。</w:t>
      </w:r>
    </w:p>
    <w:p w14:paraId="5F84655C" w14:textId="77777777" w:rsidR="004B0883" w:rsidRDefault="004B0883">
      <w:pPr>
        <w:widowControl w:val="0"/>
        <w:spacing w:beforeLines="50" w:before="120" w:line="360" w:lineRule="auto"/>
        <w:ind w:firstLineChars="200" w:firstLine="480"/>
        <w:jc w:val="both"/>
        <w:rPr>
          <w:kern w:val="0"/>
          <w:sz w:val="24"/>
          <w:szCs w:val="22"/>
        </w:rPr>
      </w:pPr>
      <w:r>
        <w:rPr>
          <w:rFonts w:hint="eastAsia"/>
          <w:sz w:val="24"/>
          <w:szCs w:val="22"/>
        </w:rPr>
        <w:t>本项目将以构建智能化、自动化、数字化制造体系为目标，着力提升关键技术装备安全可控能力，集成国际先进的装备，引进各类监测管理系统、搭建智慧园区平台，实现数据采集、实时控制、全生命周期监控、报警和分析、数据库管理等多种功能，进行智慧节能阀门生产，为公司打造竞争新优势奠定坚实的基础。</w:t>
      </w:r>
    </w:p>
    <w:p w14:paraId="75315156" w14:textId="77777777" w:rsidR="004B0883" w:rsidRDefault="004B0883">
      <w:pPr>
        <w:keepNext/>
        <w:keepLines/>
        <w:widowControl w:val="0"/>
        <w:spacing w:beforeLines="50" w:before="120" w:line="360" w:lineRule="auto"/>
        <w:ind w:firstLineChars="200" w:firstLine="482"/>
        <w:jc w:val="both"/>
        <w:outlineLvl w:val="3"/>
        <w:rPr>
          <w:b/>
          <w:bCs/>
          <w:sz w:val="24"/>
          <w:szCs w:val="28"/>
        </w:rPr>
      </w:pPr>
      <w:r>
        <w:rPr>
          <w:rFonts w:hint="eastAsia"/>
          <w:b/>
          <w:bCs/>
          <w:sz w:val="24"/>
          <w:szCs w:val="28"/>
        </w:rPr>
        <w:t>2</w:t>
      </w:r>
      <w:r>
        <w:rPr>
          <w:rFonts w:hint="eastAsia"/>
          <w:b/>
          <w:bCs/>
          <w:sz w:val="24"/>
          <w:szCs w:val="28"/>
        </w:rPr>
        <w:t>、满足市场高需求的发展趋势</w:t>
      </w:r>
    </w:p>
    <w:p w14:paraId="000A450F" w14:textId="77777777" w:rsidR="004B0883" w:rsidRDefault="004B0883">
      <w:pPr>
        <w:pStyle w:val="005"/>
        <w:spacing w:before="120"/>
        <w:ind w:firstLine="480"/>
      </w:pPr>
      <w:r>
        <w:rPr>
          <w:rFonts w:hint="eastAsia"/>
        </w:rPr>
        <w:t>阀门行业发展至今，已广泛应用于社会经济发展的各个领域，包括石油天然气、化工、水利水电、冶金、制药、城镇给排水等领域，下游行业的发展带动了阀门行业的不断发展。</w:t>
      </w:r>
      <w:bookmarkStart w:id="415" w:name="_Hlk124364166"/>
      <w:r>
        <w:rPr>
          <w:rFonts w:hint="eastAsia"/>
        </w:rPr>
        <w:t>公司产品以出口为主导，根据</w:t>
      </w:r>
      <w:r>
        <w:rPr>
          <w:rFonts w:hint="eastAsia"/>
        </w:rPr>
        <w:t>Research and Markets</w:t>
      </w:r>
      <w:r>
        <w:rPr>
          <w:rFonts w:hint="eastAsia"/>
        </w:rPr>
        <w:t>统计数据，</w:t>
      </w:r>
      <w:r>
        <w:rPr>
          <w:rFonts w:hint="eastAsia"/>
        </w:rPr>
        <w:t>2021</w:t>
      </w:r>
      <w:r>
        <w:rPr>
          <w:rFonts w:hint="eastAsia"/>
        </w:rPr>
        <w:t>年全球工业阀门市场的市场规模约</w:t>
      </w:r>
      <w:r>
        <w:rPr>
          <w:rFonts w:hint="eastAsia"/>
        </w:rPr>
        <w:t>730</w:t>
      </w:r>
      <w:r>
        <w:rPr>
          <w:rFonts w:hint="eastAsia"/>
        </w:rPr>
        <w:t>亿美元，</w:t>
      </w:r>
      <w:r>
        <w:rPr>
          <w:rFonts w:hint="eastAsia"/>
        </w:rPr>
        <w:t>2026</w:t>
      </w:r>
      <w:r>
        <w:rPr>
          <w:rFonts w:hint="eastAsia"/>
        </w:rPr>
        <w:t>年市场规模预计达到</w:t>
      </w:r>
      <w:r>
        <w:rPr>
          <w:rFonts w:hint="eastAsia"/>
        </w:rPr>
        <w:t>905</w:t>
      </w:r>
      <w:r>
        <w:rPr>
          <w:rFonts w:hint="eastAsia"/>
        </w:rPr>
        <w:t>亿美元，</w:t>
      </w:r>
      <w:r>
        <w:rPr>
          <w:rFonts w:hint="eastAsia"/>
        </w:rPr>
        <w:t>2021</w:t>
      </w:r>
      <w:r>
        <w:rPr>
          <w:rFonts w:hint="eastAsia"/>
        </w:rPr>
        <w:t>年到</w:t>
      </w:r>
      <w:r>
        <w:rPr>
          <w:rFonts w:hint="eastAsia"/>
        </w:rPr>
        <w:t>2026</w:t>
      </w:r>
      <w:r>
        <w:rPr>
          <w:rFonts w:hint="eastAsia"/>
        </w:rPr>
        <w:t>年复合增长率达到</w:t>
      </w:r>
      <w:r>
        <w:rPr>
          <w:rFonts w:hint="eastAsia"/>
        </w:rPr>
        <w:t>4.4%</w:t>
      </w:r>
      <w:r>
        <w:rPr>
          <w:rFonts w:hint="eastAsia"/>
        </w:rPr>
        <w:t>。未来几年医疗保健和制药行业需求、核电站新建和改造需求、工业设备维护需求以及全球智慧城市发展的需求持续推动阀门市场发展。</w:t>
      </w:r>
    </w:p>
    <w:p w14:paraId="25080AD2" w14:textId="42624813" w:rsidR="004B0883" w:rsidRDefault="0090540C">
      <w:pPr>
        <w:widowControl w:val="0"/>
        <w:spacing w:beforeLines="50" w:before="120" w:line="360" w:lineRule="auto"/>
        <w:jc w:val="center"/>
        <w:rPr>
          <w:b/>
          <w:bCs/>
          <w:sz w:val="24"/>
          <w:szCs w:val="22"/>
        </w:rPr>
      </w:pPr>
      <w:r>
        <w:rPr>
          <w:b/>
          <w:noProof/>
          <w:sz w:val="24"/>
          <w:szCs w:val="22"/>
          <w:lang w:val="en-US" w:eastAsia="zh-CN"/>
        </w:rPr>
        <w:drawing>
          <wp:inline distT="0" distB="0" distL="0" distR="0" wp14:anchorId="08DC82AE" wp14:editId="24F76820">
            <wp:extent cx="5041265" cy="4039235"/>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1265" cy="4039235"/>
                    </a:xfrm>
                    <a:prstGeom prst="rect">
                      <a:avLst/>
                    </a:prstGeom>
                    <a:noFill/>
                    <a:ln>
                      <a:noFill/>
                    </a:ln>
                  </pic:spPr>
                </pic:pic>
              </a:graphicData>
            </a:graphic>
          </wp:inline>
        </w:drawing>
      </w:r>
    </w:p>
    <w:p w14:paraId="4093E0E0" w14:textId="77777777" w:rsidR="004B0883" w:rsidRDefault="004B0883">
      <w:pPr>
        <w:pStyle w:val="006"/>
        <w:ind w:firstLine="420"/>
      </w:pPr>
      <w:r>
        <w:t>数据来源：</w:t>
      </w:r>
      <w:r>
        <w:t>Research and Markets</w:t>
      </w:r>
    </w:p>
    <w:p w14:paraId="0426B68A" w14:textId="77777777" w:rsidR="004B0883" w:rsidRDefault="004B0883">
      <w:pPr>
        <w:widowControl w:val="0"/>
        <w:spacing w:beforeLines="50" w:before="120" w:line="360" w:lineRule="auto"/>
        <w:ind w:firstLineChars="200" w:firstLine="480"/>
        <w:jc w:val="both"/>
        <w:rPr>
          <w:rFonts w:hint="eastAsia"/>
          <w:sz w:val="24"/>
          <w:szCs w:val="28"/>
        </w:rPr>
      </w:pPr>
      <w:r>
        <w:rPr>
          <w:rFonts w:hint="eastAsia"/>
          <w:sz w:val="24"/>
          <w:szCs w:val="28"/>
        </w:rPr>
        <w:t>从下游场景看，本项目产品可应用于天然气和水处理市场。</w:t>
      </w:r>
      <w:r>
        <w:rPr>
          <w:rFonts w:hint="eastAsia"/>
          <w:sz w:val="24"/>
          <w:szCs w:val="28"/>
        </w:rPr>
        <w:t>2021</w:t>
      </w:r>
      <w:r>
        <w:rPr>
          <w:rFonts w:hint="eastAsia"/>
          <w:sz w:val="24"/>
          <w:szCs w:val="28"/>
        </w:rPr>
        <w:t>年世界天然气消费量约</w:t>
      </w:r>
      <w:r>
        <w:rPr>
          <w:rFonts w:hint="eastAsia"/>
          <w:sz w:val="24"/>
          <w:szCs w:val="28"/>
        </w:rPr>
        <w:t>41,670</w:t>
      </w:r>
      <w:r>
        <w:rPr>
          <w:rFonts w:hint="eastAsia"/>
          <w:sz w:val="24"/>
          <w:szCs w:val="28"/>
        </w:rPr>
        <w:t>亿立方米，同比增长</w:t>
      </w:r>
      <w:r>
        <w:rPr>
          <w:rFonts w:hint="eastAsia"/>
          <w:sz w:val="24"/>
          <w:szCs w:val="28"/>
        </w:rPr>
        <w:t>4.80%</w:t>
      </w:r>
      <w:r>
        <w:rPr>
          <w:rFonts w:hint="eastAsia"/>
          <w:sz w:val="24"/>
          <w:szCs w:val="28"/>
        </w:rPr>
        <w:t>；我国天然气消费量约</w:t>
      </w:r>
      <w:r>
        <w:rPr>
          <w:rFonts w:hint="eastAsia"/>
          <w:sz w:val="24"/>
          <w:szCs w:val="28"/>
        </w:rPr>
        <w:t>3,690</w:t>
      </w:r>
      <w:r>
        <w:rPr>
          <w:rFonts w:hint="eastAsia"/>
          <w:sz w:val="24"/>
          <w:szCs w:val="28"/>
        </w:rPr>
        <w:t>亿立方米，同比增长</w:t>
      </w:r>
      <w:r>
        <w:rPr>
          <w:rFonts w:hint="eastAsia"/>
          <w:sz w:val="24"/>
          <w:szCs w:val="28"/>
        </w:rPr>
        <w:t>12.5%</w:t>
      </w:r>
      <w:r>
        <w:rPr>
          <w:rFonts w:hint="eastAsia"/>
          <w:sz w:val="24"/>
          <w:szCs w:val="28"/>
        </w:rPr>
        <w:t>。</w:t>
      </w:r>
      <w:r>
        <w:rPr>
          <w:rFonts w:hint="eastAsia"/>
          <w:sz w:val="24"/>
          <w:szCs w:val="28"/>
        </w:rPr>
        <w:t>2021</w:t>
      </w:r>
      <w:r>
        <w:rPr>
          <w:rFonts w:hint="eastAsia"/>
          <w:sz w:val="24"/>
          <w:szCs w:val="28"/>
        </w:rPr>
        <w:t>年全球水处理市场规模约为</w:t>
      </w:r>
      <w:r>
        <w:rPr>
          <w:rFonts w:hint="eastAsia"/>
          <w:sz w:val="24"/>
          <w:szCs w:val="28"/>
        </w:rPr>
        <w:t>2,814.40</w:t>
      </w:r>
      <w:r>
        <w:rPr>
          <w:rFonts w:hint="eastAsia"/>
          <w:sz w:val="24"/>
          <w:szCs w:val="28"/>
        </w:rPr>
        <w:t>亿美元，增长率约</w:t>
      </w:r>
      <w:r>
        <w:rPr>
          <w:rFonts w:hint="eastAsia"/>
          <w:sz w:val="24"/>
          <w:szCs w:val="28"/>
        </w:rPr>
        <w:t>6.54%</w:t>
      </w:r>
      <w:r>
        <w:rPr>
          <w:rFonts w:hint="eastAsia"/>
          <w:sz w:val="24"/>
          <w:szCs w:val="28"/>
        </w:rPr>
        <w:t>；国内水利工程、城镇给排水、污水处理和数据中心冷却系统市场规模都大幅增加。随着下游市场的扩大，必将带来应用场景设备中阀门需求的增加。</w:t>
      </w:r>
    </w:p>
    <w:p w14:paraId="5C357258" w14:textId="77777777" w:rsidR="004B0883" w:rsidRDefault="004B0883">
      <w:pPr>
        <w:widowControl w:val="0"/>
        <w:spacing w:beforeLines="50" w:before="120" w:line="360" w:lineRule="auto"/>
        <w:ind w:firstLineChars="200" w:firstLine="480"/>
        <w:jc w:val="both"/>
        <w:rPr>
          <w:rFonts w:hint="eastAsia"/>
          <w:sz w:val="24"/>
          <w:szCs w:val="28"/>
        </w:rPr>
      </w:pPr>
      <w:r>
        <w:rPr>
          <w:rFonts w:hint="eastAsia"/>
          <w:sz w:val="24"/>
          <w:szCs w:val="28"/>
        </w:rPr>
        <w:t>而在整个工业市场中，随着物联网、人工智能、大数据、云计算等技术的不断发展以及工业</w:t>
      </w:r>
      <w:r>
        <w:rPr>
          <w:rFonts w:hint="eastAsia"/>
          <w:sz w:val="24"/>
          <w:szCs w:val="28"/>
        </w:rPr>
        <w:t>4.0</w:t>
      </w:r>
      <w:r>
        <w:rPr>
          <w:rFonts w:hint="eastAsia"/>
          <w:sz w:val="24"/>
          <w:szCs w:val="28"/>
        </w:rPr>
        <w:t>的推行与变革，工业自动化水平进一步提升，与之相应的工业自动化设备需求也不断增长。随着工业自动化的不断升级，工业生产对精度、效率、可靠性等方面提出更高的要求，也带来了阀门行业技术更新换代的趋势。同时，近年来随着节能减排、绿色环保问题的日益严峻，阀门行业也开始进行整体转型，向低碳化节能方向进行探索。阀门产品技术升级、低碳化需求的不断增多将为智慧节能阀门带来巨大的市场发展空间，未来在产品智能化方面具有优势的企业有望获得更多的市场份额。</w:t>
      </w:r>
    </w:p>
    <w:p w14:paraId="09708C3D" w14:textId="77777777" w:rsidR="004B0883" w:rsidRDefault="004B0883">
      <w:pPr>
        <w:widowControl w:val="0"/>
        <w:spacing w:beforeLines="50" w:before="120" w:line="360" w:lineRule="auto"/>
        <w:ind w:firstLineChars="200" w:firstLine="480"/>
        <w:jc w:val="both"/>
        <w:rPr>
          <w:b/>
          <w:bCs/>
          <w:sz w:val="24"/>
          <w:szCs w:val="28"/>
        </w:rPr>
      </w:pPr>
      <w:r>
        <w:rPr>
          <w:rFonts w:hint="eastAsia"/>
          <w:sz w:val="24"/>
          <w:szCs w:val="28"/>
        </w:rPr>
        <w:t>本项目将聚焦于有发展前景的应用场景，借助信息化管理、计算机管理和网络技术等先进技术，以期抓住行业技术升级的市场需求，获得更多市场份额。</w:t>
      </w:r>
    </w:p>
    <w:bookmarkEnd w:id="415"/>
    <w:p w14:paraId="3DC0B3B6" w14:textId="77777777" w:rsidR="004B0883" w:rsidRDefault="004B0883">
      <w:pPr>
        <w:keepNext/>
        <w:keepLines/>
        <w:widowControl w:val="0"/>
        <w:spacing w:beforeLines="50" w:before="120" w:line="360" w:lineRule="auto"/>
        <w:ind w:firstLineChars="200" w:firstLine="482"/>
        <w:jc w:val="both"/>
        <w:outlineLvl w:val="3"/>
        <w:rPr>
          <w:b/>
          <w:bCs/>
          <w:sz w:val="24"/>
          <w:szCs w:val="28"/>
        </w:rPr>
      </w:pPr>
      <w:r>
        <w:rPr>
          <w:rFonts w:hint="eastAsia"/>
          <w:b/>
          <w:bCs/>
          <w:sz w:val="24"/>
          <w:szCs w:val="28"/>
        </w:rPr>
        <w:t>3</w:t>
      </w:r>
      <w:r>
        <w:rPr>
          <w:rFonts w:hint="eastAsia"/>
          <w:b/>
          <w:bCs/>
          <w:sz w:val="24"/>
          <w:szCs w:val="28"/>
        </w:rPr>
        <w:t>、提升公司竞争力，把握国产化机遇</w:t>
      </w:r>
    </w:p>
    <w:p w14:paraId="24BB25C2" w14:textId="77777777" w:rsidR="004B0883" w:rsidRDefault="004B0883">
      <w:pPr>
        <w:widowControl w:val="0"/>
        <w:spacing w:beforeLines="50" w:before="120" w:line="360" w:lineRule="auto"/>
        <w:ind w:firstLineChars="200" w:firstLine="480"/>
        <w:jc w:val="both"/>
        <w:rPr>
          <w:rFonts w:hint="eastAsia"/>
          <w:kern w:val="0"/>
          <w:sz w:val="24"/>
          <w:szCs w:val="22"/>
          <w:shd w:val="clear" w:color="auto" w:fill="FFFFFF"/>
        </w:rPr>
      </w:pPr>
      <w:r>
        <w:rPr>
          <w:rFonts w:hint="eastAsia"/>
          <w:kern w:val="0"/>
          <w:sz w:val="24"/>
          <w:szCs w:val="22"/>
          <w:shd w:val="clear" w:color="auto" w:fill="FFFFFF"/>
        </w:rPr>
        <w:t>随着我国经济继续平稳运行，工业化程度越来越高，对于高性能阀门的需求也日益增长。部分油气行业、化工行业和发电行业等工业领域对工业阀门的性能有很高的要求。过去，由于我国阀门的生产技术不足，在高性能阀门方面较多地依赖于进口国外产品。未来，随着我国工业阀门企业研发能力的增强和技术的进步，我国高性能阀门产品的国产化率将会逐渐提高，实现国产替代。</w:t>
      </w:r>
    </w:p>
    <w:p w14:paraId="3AA458BF" w14:textId="77777777" w:rsidR="004B0883" w:rsidRDefault="004B0883">
      <w:pPr>
        <w:widowControl w:val="0"/>
        <w:spacing w:beforeLines="50" w:before="120" w:line="360" w:lineRule="auto"/>
        <w:ind w:firstLineChars="200" w:firstLine="480"/>
        <w:jc w:val="both"/>
        <w:rPr>
          <w:rFonts w:hint="eastAsia"/>
          <w:kern w:val="0"/>
          <w:sz w:val="24"/>
          <w:szCs w:val="22"/>
          <w:shd w:val="clear" w:color="auto" w:fill="FFFFFF"/>
        </w:rPr>
      </w:pPr>
      <w:r>
        <w:rPr>
          <w:rFonts w:hint="eastAsia"/>
          <w:kern w:val="0"/>
          <w:sz w:val="24"/>
          <w:szCs w:val="22"/>
          <w:shd w:val="clear" w:color="auto" w:fill="FFFFFF"/>
        </w:rPr>
        <w:t>智慧节能阀门因其加工制造工艺先进、性能指标优异等特点，广泛应用于各类复杂工况，现市场需求增长迅速，国产替代前景良好。但因其生产技术难度大、产品精度要求高和质量标准严，需要更为现代化、自动化的生产流水线以及更先进、更高效的加工、检测、实验设备。公司现有设备条件难以满足智慧节能阀门的生产要求，影响公司阀门向高端化阀门的升级和转型。</w:t>
      </w:r>
    </w:p>
    <w:p w14:paraId="4DED65FC" w14:textId="77777777" w:rsidR="004B0883" w:rsidRDefault="004B0883">
      <w:pPr>
        <w:widowControl w:val="0"/>
        <w:spacing w:beforeLines="50" w:before="120" w:line="360" w:lineRule="auto"/>
        <w:ind w:firstLineChars="200" w:firstLine="480"/>
        <w:jc w:val="both"/>
        <w:rPr>
          <w:kern w:val="0"/>
          <w:sz w:val="24"/>
          <w:szCs w:val="22"/>
          <w:shd w:val="clear" w:color="auto" w:fill="FFFFFF"/>
        </w:rPr>
      </w:pPr>
      <w:r>
        <w:rPr>
          <w:rFonts w:hint="eastAsia"/>
          <w:kern w:val="0"/>
          <w:sz w:val="24"/>
          <w:szCs w:val="22"/>
          <w:shd w:val="clear" w:color="auto" w:fill="FFFFFF"/>
        </w:rPr>
        <w:t>本项目将购置更先进的生产检测设备，改善生产技术和工艺水平，进一步提高生产效率，确保产品质量的可靠性、稳定性；同时通过产品升级丰富产品结构，增强公司盈利能力；此外提升为客户提供高附加值产品和服务的能力，树立企业技术竞争优势和品牌影响力，增强公司整体核心竞争能力，拓展盈利空间，抢占高性能阀门国产化的市场先机。</w:t>
      </w:r>
    </w:p>
    <w:p w14:paraId="276E6325" w14:textId="77777777" w:rsidR="004B0883" w:rsidRDefault="004B0883">
      <w:pPr>
        <w:pStyle w:val="003"/>
        <w:spacing w:before="120" w:after="120"/>
        <w:rPr>
          <w:rFonts w:hint="eastAsia"/>
        </w:rPr>
      </w:pPr>
      <w:bookmarkStart w:id="416" w:name="_Toc39692125"/>
      <w:bookmarkStart w:id="417" w:name="_Toc39692655"/>
      <w:bookmarkEnd w:id="413"/>
      <w:bookmarkEnd w:id="414"/>
      <w:r>
        <w:rPr>
          <w:rFonts w:hint="eastAsia"/>
        </w:rPr>
        <w:t>（二）募集资金投资项目的可行性</w:t>
      </w:r>
      <w:bookmarkEnd w:id="416"/>
      <w:bookmarkEnd w:id="417"/>
    </w:p>
    <w:p w14:paraId="50DE39D0" w14:textId="77777777" w:rsidR="004B0883" w:rsidRDefault="004B0883">
      <w:pPr>
        <w:pStyle w:val="004"/>
        <w:spacing w:before="120" w:after="120"/>
        <w:ind w:firstLine="482"/>
      </w:pPr>
      <w:r>
        <w:rPr>
          <w:rFonts w:hint="eastAsia"/>
        </w:rPr>
        <w:t>1</w:t>
      </w:r>
      <w:r>
        <w:rPr>
          <w:rFonts w:hint="eastAsia"/>
        </w:rPr>
        <w:t>、国家政策的大力支持</w:t>
      </w:r>
    </w:p>
    <w:p w14:paraId="785CC351" w14:textId="77777777" w:rsidR="004B0883" w:rsidRDefault="004B0883">
      <w:pPr>
        <w:widowControl w:val="0"/>
        <w:spacing w:beforeLines="50" w:before="120" w:line="360" w:lineRule="auto"/>
        <w:ind w:firstLineChars="200" w:firstLine="480"/>
        <w:jc w:val="both"/>
        <w:rPr>
          <w:rFonts w:hint="eastAsia"/>
          <w:sz w:val="24"/>
          <w:szCs w:val="22"/>
        </w:rPr>
      </w:pPr>
      <w:r>
        <w:rPr>
          <w:rFonts w:hint="eastAsia"/>
          <w:sz w:val="24"/>
          <w:szCs w:val="22"/>
        </w:rPr>
        <w:t>根据国务院发布的《中国制造</w:t>
      </w:r>
      <w:r>
        <w:rPr>
          <w:rFonts w:hint="eastAsia"/>
          <w:sz w:val="24"/>
          <w:szCs w:val="22"/>
        </w:rPr>
        <w:t>2025</w:t>
      </w:r>
      <w:r>
        <w:rPr>
          <w:rFonts w:hint="eastAsia"/>
          <w:sz w:val="24"/>
          <w:szCs w:val="22"/>
        </w:rPr>
        <w:t>》《</w:t>
      </w:r>
      <w:r>
        <w:rPr>
          <w:rFonts w:ascii="宋体" w:hAnsi="宋体" w:hint="eastAsia"/>
          <w:sz w:val="24"/>
          <w:szCs w:val="22"/>
        </w:rPr>
        <w:t>“</w:t>
      </w:r>
      <w:r>
        <w:rPr>
          <w:rFonts w:hint="eastAsia"/>
          <w:sz w:val="24"/>
          <w:szCs w:val="22"/>
        </w:rPr>
        <w:t>十四五</w:t>
      </w:r>
      <w:r>
        <w:rPr>
          <w:rFonts w:ascii="宋体" w:hAnsi="宋体" w:hint="eastAsia"/>
          <w:sz w:val="24"/>
          <w:szCs w:val="22"/>
        </w:rPr>
        <w:t>”</w:t>
      </w:r>
      <w:r>
        <w:rPr>
          <w:rFonts w:hint="eastAsia"/>
          <w:sz w:val="24"/>
          <w:szCs w:val="22"/>
        </w:rPr>
        <w:t>智能制造发展规划》等政策，我国正迫切需要从制造业大国向制造业强国转型，制造业的发展方向将重点体现在提升国产化率、提高国产工业产品质量、优化产业结构以及鼓励发展智能制造。在国家相关政策的不断发布以及新一轮科技革命影响下，以智能制造作为主攻方向，大力推进数字化、自动化、智能化已经成为各个行业下一发展阶段的重要任务。</w:t>
      </w:r>
    </w:p>
    <w:p w14:paraId="19BDE3B4"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2022</w:t>
      </w:r>
      <w:r>
        <w:rPr>
          <w:rFonts w:hint="eastAsia"/>
          <w:sz w:val="24"/>
          <w:szCs w:val="22"/>
        </w:rPr>
        <w:t>年</w:t>
      </w:r>
      <w:r>
        <w:rPr>
          <w:rFonts w:hint="eastAsia"/>
          <w:sz w:val="24"/>
          <w:szCs w:val="22"/>
        </w:rPr>
        <w:t>1</w:t>
      </w:r>
      <w:r>
        <w:rPr>
          <w:rFonts w:hint="eastAsia"/>
          <w:sz w:val="24"/>
          <w:szCs w:val="22"/>
        </w:rPr>
        <w:t>月，住房城乡建设部办公厅、发展改革委办公厅联合发布《关于加强公共供水管网漏损控制的通知》，强调在管线建设改造、设备安装及分区计量系统建设中，积极推广采用先进的流量计量设备、阀门、水压水质监测设备和数据采集与传输装置，逐步实现供水管网网格化、精细化管理。</w:t>
      </w:r>
      <w:bookmarkStart w:id="418" w:name="_Hlk144315170"/>
      <w:r>
        <w:rPr>
          <w:rFonts w:hint="eastAsia"/>
          <w:sz w:val="24"/>
          <w:szCs w:val="22"/>
        </w:rPr>
        <w:t>此外，《产业结构调整指导目录（</w:t>
      </w:r>
      <w:r>
        <w:rPr>
          <w:rFonts w:hint="eastAsia"/>
          <w:sz w:val="24"/>
          <w:szCs w:val="22"/>
        </w:rPr>
        <w:t>20</w:t>
      </w:r>
      <w:r>
        <w:rPr>
          <w:sz w:val="24"/>
          <w:szCs w:val="22"/>
        </w:rPr>
        <w:t>23</w:t>
      </w:r>
      <w:r>
        <w:rPr>
          <w:rFonts w:hint="eastAsia"/>
          <w:sz w:val="24"/>
          <w:szCs w:val="22"/>
        </w:rPr>
        <w:t>年本，征求意见稿）》还将</w:t>
      </w:r>
      <w:r>
        <w:rPr>
          <w:rFonts w:ascii="宋体" w:hAnsi="宋体" w:hint="eastAsia"/>
          <w:sz w:val="24"/>
          <w:szCs w:val="22"/>
        </w:rPr>
        <w:t>“</w:t>
      </w:r>
      <w:r>
        <w:rPr>
          <w:rFonts w:hint="eastAsia"/>
          <w:sz w:val="24"/>
          <w:szCs w:val="22"/>
        </w:rPr>
        <w:t>城镇供排水工程及相关设备生产</w:t>
      </w:r>
      <w:r>
        <w:rPr>
          <w:rFonts w:ascii="宋体" w:hAnsi="宋体" w:hint="eastAsia"/>
          <w:sz w:val="24"/>
          <w:szCs w:val="22"/>
        </w:rPr>
        <w:t>”</w:t>
      </w:r>
      <w:r>
        <w:rPr>
          <w:rFonts w:hint="eastAsia"/>
          <w:sz w:val="24"/>
          <w:szCs w:val="22"/>
        </w:rPr>
        <w:t>列入鼓励类产业</w:t>
      </w:r>
      <w:bookmarkEnd w:id="418"/>
      <w:r>
        <w:rPr>
          <w:rFonts w:hint="eastAsia"/>
          <w:sz w:val="24"/>
          <w:szCs w:val="22"/>
        </w:rPr>
        <w:t>。以上政策推动了阀门产品不断向智能化、节能化发展。国家政策对于制造过程智能化以及阀门产品智能化、节能化的大力支持，为本项目的实施提供了良好的政策保障。</w:t>
      </w:r>
    </w:p>
    <w:p w14:paraId="24D52BD0" w14:textId="77777777" w:rsidR="004B0883" w:rsidRDefault="004B0883">
      <w:pPr>
        <w:pStyle w:val="004"/>
        <w:spacing w:before="120" w:after="120"/>
        <w:ind w:firstLine="482"/>
      </w:pPr>
      <w:bookmarkStart w:id="419" w:name="_Hlk106533860"/>
      <w:r>
        <w:rPr>
          <w:rFonts w:hint="eastAsia"/>
        </w:rPr>
        <w:t>2</w:t>
      </w:r>
      <w:r>
        <w:rPr>
          <w:rFonts w:hint="eastAsia"/>
        </w:rPr>
        <w:t>、公司具备项目所需的人员及技术储备</w:t>
      </w:r>
      <w:bookmarkEnd w:id="419"/>
    </w:p>
    <w:p w14:paraId="20FE7F9D" w14:textId="77777777" w:rsidR="004B0883" w:rsidRDefault="004B0883">
      <w:pPr>
        <w:widowControl w:val="0"/>
        <w:spacing w:beforeLines="50" w:before="120" w:line="360" w:lineRule="auto"/>
        <w:ind w:firstLineChars="200" w:firstLine="480"/>
        <w:jc w:val="both"/>
        <w:rPr>
          <w:kern w:val="0"/>
          <w:sz w:val="24"/>
          <w:szCs w:val="22"/>
        </w:rPr>
      </w:pPr>
      <w:bookmarkStart w:id="420" w:name="_Hlk106533905"/>
      <w:bookmarkStart w:id="421" w:name="_Hlk101270418"/>
      <w:r>
        <w:rPr>
          <w:rFonts w:hint="eastAsia"/>
          <w:kern w:val="0"/>
          <w:sz w:val="24"/>
          <w:szCs w:val="22"/>
        </w:rPr>
        <w:t>在人员储备方面，公司坚持内部培养和外部引进相结合，建立人才引进及培养机制，不断壮大技术人才队伍和优化人才结构，保障公司拥有充足的人才储备，是公司实现持续研发及产品规模化生产的必要支撑。在技术储备方面，公司在研发和生产方面积累了</w:t>
      </w:r>
      <w:r>
        <w:rPr>
          <w:rFonts w:hint="eastAsia"/>
          <w:kern w:val="0"/>
          <w:sz w:val="24"/>
          <w:szCs w:val="22"/>
        </w:rPr>
        <w:t>7</w:t>
      </w:r>
      <w:r>
        <w:rPr>
          <w:kern w:val="0"/>
          <w:sz w:val="24"/>
          <w:szCs w:val="22"/>
        </w:rPr>
        <w:t>6</w:t>
      </w:r>
      <w:r>
        <w:rPr>
          <w:rFonts w:hint="eastAsia"/>
          <w:kern w:val="0"/>
          <w:sz w:val="24"/>
          <w:szCs w:val="22"/>
        </w:rPr>
        <w:t>项专利和核心技术，覆盖产品设计、生产工艺等领域，是产品性能提升、工艺改进及新产品开发的重要保障。公司拥有的人员团队及技术力量，为本项目的顺利实施打下了坚实的基础。</w:t>
      </w:r>
      <w:bookmarkEnd w:id="420"/>
    </w:p>
    <w:bookmarkEnd w:id="421"/>
    <w:p w14:paraId="5E727496" w14:textId="77777777" w:rsidR="004B0883" w:rsidRDefault="004B0883">
      <w:pPr>
        <w:pStyle w:val="004"/>
        <w:spacing w:before="120" w:after="120"/>
        <w:ind w:firstLine="482"/>
      </w:pPr>
      <w:r>
        <w:rPr>
          <w:rFonts w:hint="eastAsia"/>
        </w:rPr>
        <w:t>3</w:t>
      </w:r>
      <w:r>
        <w:rPr>
          <w:rFonts w:hint="eastAsia"/>
        </w:rPr>
        <w:t>、公司拥有完善的销售网络布局</w:t>
      </w:r>
    </w:p>
    <w:p w14:paraId="67EF946D" w14:textId="77777777" w:rsidR="004B0883" w:rsidRDefault="004B0883">
      <w:pPr>
        <w:widowControl w:val="0"/>
        <w:spacing w:beforeLines="50" w:before="120" w:line="360" w:lineRule="auto"/>
        <w:ind w:firstLineChars="200" w:firstLine="480"/>
        <w:jc w:val="both"/>
        <w:rPr>
          <w:rFonts w:hint="eastAsia"/>
          <w:sz w:val="24"/>
          <w:szCs w:val="22"/>
        </w:rPr>
      </w:pPr>
      <w:bookmarkStart w:id="422" w:name="_Hlk101021177"/>
      <w:r>
        <w:rPr>
          <w:rFonts w:hint="eastAsia"/>
          <w:sz w:val="24"/>
          <w:szCs w:val="22"/>
        </w:rPr>
        <w:t>公司在英国、美国、香港设有全资子公司作为国际市场销售平台，在亚洲、欧洲、美洲、大洋洲及非洲的多个国家和地区积累了一批优质的品牌客户，并形成了稳定的合作关系。此外，公司在专注国际市场的同时开始逐步开拓国内市场，先后在全国建立了多个销售办事处，服务区域覆盖了除港澳台外的大部分地区，形成了集市场开拓、销售和售后服务、信息反馈</w:t>
      </w:r>
      <w:r>
        <w:rPr>
          <w:rFonts w:ascii="宋体" w:hAnsi="宋体" w:hint="eastAsia"/>
          <w:sz w:val="24"/>
          <w:szCs w:val="22"/>
        </w:rPr>
        <w:t>“</w:t>
      </w:r>
      <w:r>
        <w:rPr>
          <w:rFonts w:hint="eastAsia"/>
          <w:sz w:val="24"/>
          <w:szCs w:val="22"/>
        </w:rPr>
        <w:t>三位一体</w:t>
      </w:r>
      <w:r>
        <w:rPr>
          <w:rFonts w:ascii="宋体" w:hAnsi="宋体" w:hint="eastAsia"/>
          <w:sz w:val="24"/>
          <w:szCs w:val="22"/>
        </w:rPr>
        <w:t>”</w:t>
      </w:r>
      <w:r>
        <w:rPr>
          <w:rFonts w:hint="eastAsia"/>
          <w:sz w:val="24"/>
          <w:szCs w:val="22"/>
        </w:rPr>
        <w:t>的市场营销服务网络。因此，公司拥有的销售网络布局为本项目新增产能的消化提供了保证。</w:t>
      </w:r>
    </w:p>
    <w:p w14:paraId="6D1E160D" w14:textId="77777777" w:rsidR="004B0883" w:rsidRDefault="004B0883">
      <w:pPr>
        <w:widowControl w:val="0"/>
        <w:spacing w:beforeLines="50" w:before="120" w:line="360" w:lineRule="auto"/>
        <w:ind w:firstLineChars="200" w:firstLine="480"/>
        <w:jc w:val="both"/>
        <w:rPr>
          <w:rFonts w:hint="eastAsia"/>
          <w:sz w:val="24"/>
          <w:szCs w:val="22"/>
        </w:rPr>
      </w:pPr>
      <w:r>
        <w:rPr>
          <w:rFonts w:hint="eastAsia"/>
          <w:sz w:val="24"/>
          <w:szCs w:val="22"/>
        </w:rPr>
        <w:t>目前公司已成为阀门市场最主要的参与者之一，获得了众多行业龙头的认可，积累了丰富、优质的客户资源。</w:t>
      </w:r>
    </w:p>
    <w:p w14:paraId="3640E59D"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公司深厚的研发实力、优质的客户资源为本次募投项目实施奠定了良好的技术基础和市场基础。通过本次募投项目，公司将进一步扩大优质产能、强化成本和价格优势、满足客户需求，巩固市场地位，提升盈利能力。</w:t>
      </w:r>
      <w:bookmarkEnd w:id="422"/>
    </w:p>
    <w:p w14:paraId="72B5794C" w14:textId="77777777" w:rsidR="004B0883" w:rsidRDefault="004B0883">
      <w:pPr>
        <w:pStyle w:val="003"/>
        <w:spacing w:before="120" w:after="120"/>
        <w:rPr>
          <w:rFonts w:hint="eastAsia"/>
        </w:rPr>
      </w:pPr>
      <w:bookmarkStart w:id="423" w:name="_Hlk124669963"/>
      <w:r>
        <w:rPr>
          <w:rFonts w:hint="eastAsia"/>
        </w:rPr>
        <w:t>（三）本次募投项目与公司既有业务、前次募投项目的区别和联系</w:t>
      </w:r>
    </w:p>
    <w:p w14:paraId="36FB3A77"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公司主营业务为给排水阀门产品的设计、研发、生产和销售等。本次募集资金投资项目紧密围绕公司主营业务开展，智慧节能阀门建设项目将拟依托公司成熟技术与生产工艺，升级现有产品种类，为客户提供高附加值产品和服务的能力，树立企业技术竞争优势和品牌影响力，拓展盈利空间。此项目的实施不会改变公司现有的主营业务和经营模式。补充流动资金将进一步缓解公司经营资金压力，改善公司财务结构，提升抗风险能力和财务安全水平，有利于公司持续稳健发展</w:t>
      </w:r>
      <w:r>
        <w:rPr>
          <w:sz w:val="24"/>
          <w:szCs w:val="22"/>
        </w:rPr>
        <w:t>。</w:t>
      </w:r>
    </w:p>
    <w:p w14:paraId="5EFEC9C2"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公司最近一次募集资金为</w:t>
      </w:r>
      <w:r>
        <w:rPr>
          <w:rFonts w:hint="eastAsia"/>
          <w:sz w:val="24"/>
          <w:szCs w:val="22"/>
        </w:rPr>
        <w:t>2017</w:t>
      </w:r>
      <w:r>
        <w:rPr>
          <w:rFonts w:hint="eastAsia"/>
          <w:sz w:val="24"/>
          <w:szCs w:val="22"/>
        </w:rPr>
        <w:t>年首次公开发行股票募集资金，募集资金到位距今已满五个会计年度，公司最近五年不存在通过增发、配股、可转换公司债券等方式募集资金的情形</w:t>
      </w:r>
      <w:r>
        <w:rPr>
          <w:sz w:val="24"/>
          <w:szCs w:val="22"/>
        </w:rPr>
        <w:t>。</w:t>
      </w:r>
    </w:p>
    <w:p w14:paraId="6F8F1235" w14:textId="77777777" w:rsidR="004B0883" w:rsidRDefault="004B0883">
      <w:pPr>
        <w:pStyle w:val="003"/>
        <w:spacing w:before="120" w:after="120"/>
        <w:rPr>
          <w:rFonts w:hint="eastAsia"/>
        </w:rPr>
      </w:pPr>
      <w:r>
        <w:rPr>
          <w:rFonts w:hint="eastAsia"/>
        </w:rPr>
        <w:t>（四）本次募投项目效益测算合理性分析</w:t>
      </w:r>
    </w:p>
    <w:p w14:paraId="5EBA6952" w14:textId="77777777" w:rsidR="004B0883" w:rsidRDefault="004B0883">
      <w:pPr>
        <w:widowControl w:val="0"/>
        <w:spacing w:beforeLines="50" w:before="120" w:line="360" w:lineRule="auto"/>
        <w:ind w:firstLineChars="200" w:firstLine="480"/>
        <w:jc w:val="both"/>
        <w:rPr>
          <w:rFonts w:hint="eastAsia"/>
          <w:sz w:val="24"/>
          <w:szCs w:val="22"/>
        </w:rPr>
      </w:pPr>
      <w:r>
        <w:rPr>
          <w:rFonts w:hint="eastAsia"/>
          <w:sz w:val="24"/>
          <w:szCs w:val="22"/>
        </w:rPr>
        <w:t>公司</w:t>
      </w:r>
      <w:r>
        <w:rPr>
          <w:rFonts w:ascii="宋体" w:hAnsi="宋体" w:hint="eastAsia"/>
          <w:sz w:val="24"/>
          <w:szCs w:val="22"/>
        </w:rPr>
        <w:t>“</w:t>
      </w:r>
      <w:r>
        <w:rPr>
          <w:rFonts w:hint="eastAsia"/>
          <w:sz w:val="24"/>
          <w:szCs w:val="22"/>
        </w:rPr>
        <w:t>智慧节能阀门建设项目</w:t>
      </w:r>
      <w:r>
        <w:rPr>
          <w:rFonts w:ascii="宋体" w:hAnsi="宋体" w:hint="eastAsia"/>
          <w:sz w:val="24"/>
          <w:szCs w:val="22"/>
        </w:rPr>
        <w:t>”</w:t>
      </w:r>
      <w:r>
        <w:rPr>
          <w:rFonts w:hint="eastAsia"/>
          <w:sz w:val="24"/>
          <w:szCs w:val="22"/>
        </w:rPr>
        <w:t>建成后，达产年毛利率</w:t>
      </w:r>
      <w:r>
        <w:rPr>
          <w:sz w:val="24"/>
          <w:szCs w:val="22"/>
        </w:rPr>
        <w:t>为</w:t>
      </w:r>
      <w:r>
        <w:rPr>
          <w:sz w:val="24"/>
          <w:szCs w:val="22"/>
        </w:rPr>
        <w:t>36.83%</w:t>
      </w:r>
      <w:r>
        <w:rPr>
          <w:sz w:val="24"/>
          <w:szCs w:val="22"/>
        </w:rPr>
        <w:t>，</w:t>
      </w:r>
      <w:r>
        <w:rPr>
          <w:rFonts w:hint="eastAsia"/>
          <w:sz w:val="24"/>
          <w:szCs w:val="22"/>
        </w:rPr>
        <w:t>已充分考虑到市场环境等多种因素</w:t>
      </w:r>
      <w:r>
        <w:rPr>
          <w:sz w:val="24"/>
          <w:szCs w:val="22"/>
        </w:rPr>
        <w:t>，本次募投项目预计效益测算具有合理性</w:t>
      </w:r>
      <w:r>
        <w:rPr>
          <w:rFonts w:hint="eastAsia"/>
          <w:sz w:val="24"/>
          <w:szCs w:val="22"/>
        </w:rPr>
        <w:t>和谨慎性</w:t>
      </w:r>
      <w:r>
        <w:rPr>
          <w:sz w:val="24"/>
          <w:szCs w:val="22"/>
        </w:rPr>
        <w:t>。</w:t>
      </w:r>
    </w:p>
    <w:p w14:paraId="3067688C" w14:textId="77777777" w:rsidR="004B0883" w:rsidRDefault="004B0883">
      <w:pPr>
        <w:pStyle w:val="002"/>
        <w:spacing w:before="120" w:after="120"/>
        <w:rPr>
          <w:rFonts w:hint="eastAsia"/>
          <w:kern w:val="44"/>
          <w:szCs w:val="44"/>
        </w:rPr>
      </w:pPr>
      <w:bookmarkStart w:id="424" w:name="_Toc152320824"/>
      <w:bookmarkStart w:id="425" w:name="_Toc42001364"/>
      <w:bookmarkEnd w:id="423"/>
      <w:r>
        <w:rPr>
          <w:rFonts w:hint="eastAsia"/>
        </w:rPr>
        <w:t>三、本次募集资金投资项目的基本情况</w:t>
      </w:r>
      <w:bookmarkEnd w:id="424"/>
      <w:bookmarkEnd w:id="425"/>
    </w:p>
    <w:p w14:paraId="0A22A312" w14:textId="77777777" w:rsidR="004B0883" w:rsidRDefault="004B0883">
      <w:pPr>
        <w:pStyle w:val="003"/>
        <w:spacing w:before="120" w:after="120"/>
      </w:pPr>
      <w:bookmarkStart w:id="426" w:name="_Toc214858225"/>
      <w:bookmarkStart w:id="427" w:name="_Toc258978566"/>
      <w:bookmarkStart w:id="428" w:name="_Toc475547264"/>
      <w:bookmarkStart w:id="429" w:name="_Hlk105694983"/>
      <w:r>
        <w:rPr>
          <w:rFonts w:hint="eastAsia"/>
        </w:rPr>
        <w:t>（一）</w:t>
      </w:r>
      <w:bookmarkEnd w:id="429"/>
      <w:r>
        <w:rPr>
          <w:rFonts w:hint="eastAsia"/>
        </w:rPr>
        <w:t>智慧节能阀门建设项目</w:t>
      </w:r>
    </w:p>
    <w:p w14:paraId="6DD6A5B4" w14:textId="77777777" w:rsidR="004B0883" w:rsidRDefault="004B0883">
      <w:pPr>
        <w:pStyle w:val="004"/>
        <w:spacing w:before="120" w:after="120"/>
        <w:ind w:firstLine="482"/>
      </w:pPr>
      <w:r>
        <w:rPr>
          <w:rFonts w:hint="eastAsia"/>
        </w:rPr>
        <w:t>1</w:t>
      </w:r>
      <w:r>
        <w:rPr>
          <w:rFonts w:hint="eastAsia"/>
        </w:rPr>
        <w:t>、项目概况</w:t>
      </w:r>
    </w:p>
    <w:p w14:paraId="5E9FE51F" w14:textId="77777777" w:rsidR="004B0883" w:rsidRDefault="004B0883">
      <w:pPr>
        <w:widowControl w:val="0"/>
        <w:spacing w:beforeLines="50" w:before="120" w:line="360" w:lineRule="auto"/>
        <w:ind w:firstLineChars="200" w:firstLine="480"/>
        <w:jc w:val="both"/>
        <w:rPr>
          <w:rFonts w:hint="eastAsia"/>
          <w:sz w:val="24"/>
          <w:szCs w:val="22"/>
        </w:rPr>
      </w:pPr>
      <w:r>
        <w:rPr>
          <w:rFonts w:hint="eastAsia"/>
          <w:sz w:val="24"/>
          <w:szCs w:val="22"/>
        </w:rPr>
        <w:t>本项目计划总投资</w:t>
      </w:r>
      <w:r>
        <w:rPr>
          <w:rFonts w:hint="eastAsia"/>
          <w:sz w:val="24"/>
          <w:szCs w:val="22"/>
        </w:rPr>
        <w:t>29,377.91</w:t>
      </w:r>
      <w:r>
        <w:rPr>
          <w:rFonts w:hint="eastAsia"/>
          <w:sz w:val="24"/>
          <w:szCs w:val="22"/>
        </w:rPr>
        <w:t>万元，拟使用募集资金投入</w:t>
      </w:r>
      <w:r>
        <w:rPr>
          <w:sz w:val="24"/>
          <w:szCs w:val="22"/>
        </w:rPr>
        <w:t>27,800.00</w:t>
      </w:r>
      <w:r>
        <w:rPr>
          <w:rFonts w:hint="eastAsia"/>
          <w:sz w:val="24"/>
          <w:szCs w:val="22"/>
        </w:rPr>
        <w:t>万元。本项目的建设期为</w:t>
      </w:r>
      <w:r>
        <w:rPr>
          <w:rFonts w:hint="eastAsia"/>
          <w:sz w:val="24"/>
          <w:szCs w:val="22"/>
        </w:rPr>
        <w:t>3</w:t>
      </w:r>
      <w:r>
        <w:rPr>
          <w:rFonts w:hint="eastAsia"/>
          <w:sz w:val="24"/>
          <w:szCs w:val="22"/>
        </w:rPr>
        <w:t>年，运营期</w:t>
      </w:r>
      <w:r>
        <w:rPr>
          <w:rFonts w:hint="eastAsia"/>
          <w:sz w:val="24"/>
          <w:szCs w:val="22"/>
        </w:rPr>
        <w:t>7</w:t>
      </w:r>
      <w:r>
        <w:rPr>
          <w:rFonts w:hint="eastAsia"/>
          <w:sz w:val="24"/>
          <w:szCs w:val="22"/>
        </w:rPr>
        <w:t>年，合计</w:t>
      </w:r>
      <w:r>
        <w:rPr>
          <w:rFonts w:hint="eastAsia"/>
          <w:sz w:val="24"/>
          <w:szCs w:val="22"/>
        </w:rPr>
        <w:t>10</w:t>
      </w:r>
      <w:r>
        <w:rPr>
          <w:rFonts w:hint="eastAsia"/>
          <w:sz w:val="24"/>
          <w:szCs w:val="22"/>
        </w:rPr>
        <w:t>年。公司拟在青岛高新区科韵路东延长线以南、规划华东路以西的土地上建设本项目，并已取得不动产权号为鲁（</w:t>
      </w:r>
      <w:r>
        <w:rPr>
          <w:rFonts w:hint="eastAsia"/>
          <w:sz w:val="24"/>
          <w:szCs w:val="22"/>
        </w:rPr>
        <w:t>2023</w:t>
      </w:r>
      <w:r>
        <w:rPr>
          <w:rFonts w:hint="eastAsia"/>
          <w:sz w:val="24"/>
          <w:szCs w:val="22"/>
        </w:rPr>
        <w:t>）青岛市高新区不动产权第</w:t>
      </w:r>
      <w:r>
        <w:rPr>
          <w:rFonts w:hint="eastAsia"/>
          <w:sz w:val="24"/>
          <w:szCs w:val="22"/>
        </w:rPr>
        <w:t>0044317</w:t>
      </w:r>
      <w:r>
        <w:rPr>
          <w:rFonts w:hint="eastAsia"/>
          <w:sz w:val="24"/>
          <w:szCs w:val="22"/>
        </w:rPr>
        <w:t>号的募投项目用地。项目建成后，公司智慧节能阀门产品达产年新增产能预计将达到</w:t>
      </w:r>
      <w:r>
        <w:rPr>
          <w:rFonts w:hint="eastAsia"/>
          <w:sz w:val="24"/>
          <w:szCs w:val="22"/>
        </w:rPr>
        <w:t>6</w:t>
      </w:r>
      <w:r>
        <w:rPr>
          <w:rFonts w:hint="eastAsia"/>
          <w:sz w:val="24"/>
          <w:szCs w:val="22"/>
        </w:rPr>
        <w:t>万套</w:t>
      </w:r>
      <w:r>
        <w:rPr>
          <w:rFonts w:hint="eastAsia"/>
          <w:sz w:val="24"/>
          <w:szCs w:val="22"/>
        </w:rPr>
        <w:t>/</w:t>
      </w:r>
      <w:r>
        <w:rPr>
          <w:rFonts w:hint="eastAsia"/>
          <w:sz w:val="24"/>
          <w:szCs w:val="22"/>
        </w:rPr>
        <w:t>年。</w:t>
      </w:r>
      <w:bookmarkStart w:id="430" w:name="_Hlk144296054"/>
      <w:r>
        <w:rPr>
          <w:rFonts w:hint="eastAsia"/>
          <w:sz w:val="24"/>
          <w:szCs w:val="22"/>
        </w:rPr>
        <w:t>其中，智能阀门产品将新增产能</w:t>
      </w:r>
      <w:r>
        <w:rPr>
          <w:rFonts w:hint="eastAsia"/>
          <w:sz w:val="24"/>
          <w:szCs w:val="22"/>
        </w:rPr>
        <w:t>2</w:t>
      </w:r>
      <w:r>
        <w:rPr>
          <w:sz w:val="24"/>
          <w:szCs w:val="22"/>
        </w:rPr>
        <w:t>.5</w:t>
      </w:r>
      <w:r>
        <w:rPr>
          <w:rFonts w:hint="eastAsia"/>
          <w:sz w:val="24"/>
          <w:szCs w:val="22"/>
        </w:rPr>
        <w:t>万套</w:t>
      </w:r>
      <w:r>
        <w:rPr>
          <w:rFonts w:hint="eastAsia"/>
          <w:sz w:val="24"/>
          <w:szCs w:val="22"/>
        </w:rPr>
        <w:t>/</w:t>
      </w:r>
      <w:r>
        <w:rPr>
          <w:rFonts w:hint="eastAsia"/>
          <w:sz w:val="24"/>
          <w:szCs w:val="22"/>
        </w:rPr>
        <w:t>年，燃气阀门产品将新增产能</w:t>
      </w:r>
      <w:r>
        <w:rPr>
          <w:sz w:val="24"/>
          <w:szCs w:val="22"/>
        </w:rPr>
        <w:t>3.5</w:t>
      </w:r>
      <w:r>
        <w:rPr>
          <w:rFonts w:hint="eastAsia"/>
          <w:sz w:val="24"/>
          <w:szCs w:val="22"/>
        </w:rPr>
        <w:t>万套</w:t>
      </w:r>
      <w:r>
        <w:rPr>
          <w:rFonts w:hint="eastAsia"/>
          <w:sz w:val="24"/>
          <w:szCs w:val="22"/>
        </w:rPr>
        <w:t>/</w:t>
      </w:r>
      <w:r>
        <w:rPr>
          <w:rFonts w:hint="eastAsia"/>
          <w:sz w:val="24"/>
          <w:szCs w:val="22"/>
        </w:rPr>
        <w:t>年。</w:t>
      </w:r>
      <w:bookmarkEnd w:id="430"/>
    </w:p>
    <w:p w14:paraId="3725C47B" w14:textId="77777777" w:rsidR="004B0883" w:rsidRDefault="004B0883">
      <w:pPr>
        <w:pStyle w:val="004"/>
        <w:spacing w:before="120" w:after="120"/>
        <w:ind w:firstLine="482"/>
      </w:pPr>
      <w:r>
        <w:rPr>
          <w:rFonts w:hint="eastAsia"/>
        </w:rPr>
        <w:t>2</w:t>
      </w:r>
      <w:r>
        <w:rPr>
          <w:rFonts w:hint="eastAsia"/>
        </w:rPr>
        <w:t>、项目投资概算</w:t>
      </w:r>
    </w:p>
    <w:p w14:paraId="3EEF83F1" w14:textId="77777777" w:rsidR="004B0883" w:rsidRDefault="004B0883">
      <w:pPr>
        <w:widowControl w:val="0"/>
        <w:spacing w:beforeLines="50" w:before="120" w:line="360" w:lineRule="auto"/>
        <w:ind w:firstLineChars="200" w:firstLine="480"/>
        <w:jc w:val="both"/>
        <w:rPr>
          <w:sz w:val="24"/>
          <w:szCs w:val="22"/>
        </w:rPr>
      </w:pPr>
      <w:bookmarkStart w:id="431" w:name="_Hlk106221951"/>
      <w:r>
        <w:rPr>
          <w:rFonts w:hint="eastAsia"/>
          <w:sz w:val="24"/>
          <w:szCs w:val="22"/>
        </w:rPr>
        <w:t>本项目计划总投资金额为</w:t>
      </w:r>
      <w:r>
        <w:rPr>
          <w:sz w:val="24"/>
          <w:szCs w:val="22"/>
        </w:rPr>
        <w:t>29,377.91</w:t>
      </w:r>
      <w:r>
        <w:rPr>
          <w:rFonts w:hint="eastAsia"/>
          <w:sz w:val="24"/>
          <w:szCs w:val="22"/>
        </w:rPr>
        <w:t>万元，其中：工程费用</w:t>
      </w:r>
      <w:r>
        <w:rPr>
          <w:sz w:val="24"/>
          <w:szCs w:val="22"/>
        </w:rPr>
        <w:t>26,863.84</w:t>
      </w:r>
      <w:r>
        <w:rPr>
          <w:rFonts w:hint="eastAsia"/>
          <w:sz w:val="24"/>
          <w:szCs w:val="22"/>
        </w:rPr>
        <w:t>万元、工程建设其他费用</w:t>
      </w:r>
      <w:r>
        <w:rPr>
          <w:sz w:val="24"/>
          <w:szCs w:val="22"/>
        </w:rPr>
        <w:t>1,076.71</w:t>
      </w:r>
      <w:r>
        <w:rPr>
          <w:rFonts w:hint="eastAsia"/>
          <w:sz w:val="24"/>
          <w:szCs w:val="22"/>
        </w:rPr>
        <w:t>万元、预备费用</w:t>
      </w:r>
      <w:r>
        <w:rPr>
          <w:sz w:val="24"/>
          <w:szCs w:val="22"/>
        </w:rPr>
        <w:t>279.41</w:t>
      </w:r>
      <w:r>
        <w:rPr>
          <w:rFonts w:hint="eastAsia"/>
          <w:sz w:val="24"/>
          <w:szCs w:val="22"/>
        </w:rPr>
        <w:t>万元，铺底流动资金</w:t>
      </w:r>
      <w:r>
        <w:rPr>
          <w:sz w:val="24"/>
          <w:szCs w:val="22"/>
        </w:rPr>
        <w:t>1,157.95</w:t>
      </w:r>
      <w:r>
        <w:rPr>
          <w:rFonts w:hint="eastAsia"/>
          <w:sz w:val="24"/>
          <w:szCs w:val="22"/>
        </w:rPr>
        <w:t>万元。本项目拟投入募集资金</w:t>
      </w:r>
      <w:r>
        <w:rPr>
          <w:sz w:val="24"/>
          <w:szCs w:val="22"/>
        </w:rPr>
        <w:t>27,800.00</w:t>
      </w:r>
      <w:r>
        <w:rPr>
          <w:rFonts w:hint="eastAsia"/>
          <w:sz w:val="24"/>
          <w:szCs w:val="22"/>
        </w:rPr>
        <w:t>万元，本项目投入主要由建筑工程费、设备购置费、工程建设其他费用构成。</w:t>
      </w:r>
    </w:p>
    <w:p w14:paraId="05A5858D"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本项目的具体投资数额安排明细及拟投入募集资金情况如下表所示：</w:t>
      </w:r>
    </w:p>
    <w:p w14:paraId="3A013343" w14:textId="77777777" w:rsidR="004B0883" w:rsidRDefault="004B0883">
      <w:pPr>
        <w:keepNext/>
        <w:widowControl w:val="0"/>
        <w:jc w:val="right"/>
        <w:rPr>
          <w:color w:val="000000"/>
        </w:rPr>
      </w:pPr>
      <w:r>
        <w:rPr>
          <w:color w:val="000000"/>
        </w:rP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57"/>
        <w:gridCol w:w="3305"/>
        <w:gridCol w:w="2159"/>
        <w:gridCol w:w="2159"/>
      </w:tblGrid>
      <w:tr w:rsidR="004B0883" w14:paraId="2B129DC9" w14:textId="77777777">
        <w:trPr>
          <w:trHeight w:val="397"/>
          <w:tblHeader/>
          <w:jc w:val="center"/>
        </w:trPr>
        <w:tc>
          <w:tcPr>
            <w:tcW w:w="396" w:type="pct"/>
            <w:shd w:val="clear" w:color="auto" w:fill="D9D9D9"/>
            <w:tcMar>
              <w:top w:w="0" w:type="dxa"/>
              <w:bottom w:w="0" w:type="dxa"/>
            </w:tcMar>
            <w:vAlign w:val="center"/>
          </w:tcPr>
          <w:p w14:paraId="5B185E4A" w14:textId="77777777" w:rsidR="004B0883" w:rsidRDefault="004B0883">
            <w:pPr>
              <w:widowControl w:val="0"/>
              <w:adjustRightInd w:val="0"/>
              <w:snapToGrid w:val="0"/>
              <w:jc w:val="center"/>
              <w:rPr>
                <w:b/>
              </w:rPr>
            </w:pPr>
            <w:r>
              <w:rPr>
                <w:rFonts w:hint="eastAsia"/>
                <w:b/>
              </w:rPr>
              <w:t>序号</w:t>
            </w:r>
          </w:p>
        </w:tc>
        <w:tc>
          <w:tcPr>
            <w:tcW w:w="1996" w:type="pct"/>
            <w:shd w:val="clear" w:color="auto" w:fill="D9D9D9"/>
            <w:tcMar>
              <w:top w:w="0" w:type="dxa"/>
              <w:bottom w:w="0" w:type="dxa"/>
            </w:tcMar>
            <w:vAlign w:val="center"/>
          </w:tcPr>
          <w:p w14:paraId="50E62BA0" w14:textId="77777777" w:rsidR="004B0883" w:rsidRDefault="004B0883">
            <w:pPr>
              <w:widowControl w:val="0"/>
              <w:adjustRightInd w:val="0"/>
              <w:snapToGrid w:val="0"/>
              <w:jc w:val="center"/>
              <w:rPr>
                <w:b/>
              </w:rPr>
            </w:pPr>
            <w:r>
              <w:rPr>
                <w:rFonts w:hint="eastAsia"/>
                <w:b/>
              </w:rPr>
              <w:t>投资类别</w:t>
            </w:r>
          </w:p>
        </w:tc>
        <w:tc>
          <w:tcPr>
            <w:tcW w:w="1304" w:type="pct"/>
            <w:shd w:val="clear" w:color="auto" w:fill="D9D9D9"/>
            <w:tcMar>
              <w:top w:w="0" w:type="dxa"/>
              <w:bottom w:w="0" w:type="dxa"/>
            </w:tcMar>
            <w:vAlign w:val="center"/>
          </w:tcPr>
          <w:p w14:paraId="292484CC" w14:textId="77777777" w:rsidR="004B0883" w:rsidRDefault="004B0883">
            <w:pPr>
              <w:widowControl w:val="0"/>
              <w:adjustRightInd w:val="0"/>
              <w:snapToGrid w:val="0"/>
              <w:jc w:val="center"/>
              <w:rPr>
                <w:b/>
              </w:rPr>
            </w:pPr>
            <w:r>
              <w:rPr>
                <w:rFonts w:hint="eastAsia"/>
                <w:b/>
              </w:rPr>
              <w:t>投资金额</w:t>
            </w:r>
          </w:p>
        </w:tc>
        <w:tc>
          <w:tcPr>
            <w:tcW w:w="1304" w:type="pct"/>
            <w:shd w:val="clear" w:color="auto" w:fill="D9D9D9"/>
            <w:tcMar>
              <w:top w:w="0" w:type="dxa"/>
              <w:bottom w:w="0" w:type="dxa"/>
            </w:tcMar>
            <w:vAlign w:val="center"/>
          </w:tcPr>
          <w:p w14:paraId="7907609F" w14:textId="77777777" w:rsidR="004B0883" w:rsidRDefault="004B0883">
            <w:pPr>
              <w:widowControl w:val="0"/>
              <w:adjustRightInd w:val="0"/>
              <w:snapToGrid w:val="0"/>
              <w:jc w:val="center"/>
              <w:rPr>
                <w:b/>
              </w:rPr>
            </w:pPr>
            <w:r>
              <w:rPr>
                <w:rFonts w:hint="eastAsia"/>
                <w:b/>
              </w:rPr>
              <w:t>使用募集资金金额</w:t>
            </w:r>
          </w:p>
        </w:tc>
      </w:tr>
      <w:tr w:rsidR="004B0883" w14:paraId="531B6FBC" w14:textId="77777777">
        <w:trPr>
          <w:trHeight w:val="397"/>
          <w:jc w:val="center"/>
        </w:trPr>
        <w:tc>
          <w:tcPr>
            <w:tcW w:w="396" w:type="pct"/>
            <w:tcMar>
              <w:top w:w="0" w:type="dxa"/>
              <w:bottom w:w="0" w:type="dxa"/>
            </w:tcMar>
            <w:vAlign w:val="center"/>
          </w:tcPr>
          <w:p w14:paraId="043C02C3" w14:textId="77777777" w:rsidR="004B0883" w:rsidRDefault="004B0883">
            <w:pPr>
              <w:widowControl w:val="0"/>
              <w:adjustRightInd w:val="0"/>
              <w:snapToGrid w:val="0"/>
              <w:jc w:val="center"/>
            </w:pPr>
            <w:r>
              <w:t>1</w:t>
            </w:r>
          </w:p>
        </w:tc>
        <w:tc>
          <w:tcPr>
            <w:tcW w:w="1996" w:type="pct"/>
            <w:tcMar>
              <w:top w:w="0" w:type="dxa"/>
              <w:bottom w:w="0" w:type="dxa"/>
            </w:tcMar>
            <w:vAlign w:val="center"/>
          </w:tcPr>
          <w:p w14:paraId="0D42A50C" w14:textId="77777777" w:rsidR="004B0883" w:rsidRDefault="004B0883">
            <w:pPr>
              <w:widowControl w:val="0"/>
              <w:adjustRightInd w:val="0"/>
              <w:snapToGrid w:val="0"/>
            </w:pPr>
            <w:r>
              <w:rPr>
                <w:rFonts w:cs="微软雅黑" w:hint="eastAsia"/>
                <w:kern w:val="0"/>
              </w:rPr>
              <w:t>建设投资</w:t>
            </w:r>
          </w:p>
        </w:tc>
        <w:tc>
          <w:tcPr>
            <w:tcW w:w="1304" w:type="pct"/>
            <w:tcMar>
              <w:top w:w="0" w:type="dxa"/>
              <w:bottom w:w="0" w:type="dxa"/>
            </w:tcMar>
            <w:vAlign w:val="center"/>
          </w:tcPr>
          <w:p w14:paraId="50C2654C" w14:textId="77777777" w:rsidR="004B0883" w:rsidRDefault="004B0883">
            <w:pPr>
              <w:widowControl w:val="0"/>
              <w:adjustRightInd w:val="0"/>
              <w:snapToGrid w:val="0"/>
              <w:jc w:val="right"/>
            </w:pPr>
            <w:r>
              <w:rPr>
                <w:rFonts w:cs="微软雅黑" w:hint="eastAsia"/>
                <w:kern w:val="0"/>
              </w:rPr>
              <w:t>28,219.96</w:t>
            </w:r>
          </w:p>
        </w:tc>
        <w:tc>
          <w:tcPr>
            <w:tcW w:w="1304" w:type="pct"/>
            <w:tcMar>
              <w:top w:w="0" w:type="dxa"/>
              <w:bottom w:w="0" w:type="dxa"/>
            </w:tcMar>
            <w:vAlign w:val="center"/>
          </w:tcPr>
          <w:p w14:paraId="4CB4E754" w14:textId="77777777" w:rsidR="004B0883" w:rsidRDefault="004B0883">
            <w:pPr>
              <w:widowControl w:val="0"/>
              <w:adjustRightInd w:val="0"/>
              <w:snapToGrid w:val="0"/>
              <w:jc w:val="right"/>
            </w:pPr>
            <w:r>
              <w:rPr>
                <w:rFonts w:cs="微软雅黑"/>
                <w:kern w:val="0"/>
              </w:rPr>
              <w:t>27,800.00</w:t>
            </w:r>
          </w:p>
        </w:tc>
      </w:tr>
      <w:tr w:rsidR="004B0883" w14:paraId="044772CE" w14:textId="77777777">
        <w:trPr>
          <w:trHeight w:val="397"/>
          <w:jc w:val="center"/>
        </w:trPr>
        <w:tc>
          <w:tcPr>
            <w:tcW w:w="396" w:type="pct"/>
            <w:tcMar>
              <w:top w:w="0" w:type="dxa"/>
              <w:bottom w:w="0" w:type="dxa"/>
            </w:tcMar>
            <w:vAlign w:val="center"/>
          </w:tcPr>
          <w:p w14:paraId="5E9A608D" w14:textId="77777777" w:rsidR="004B0883" w:rsidRDefault="004B0883">
            <w:pPr>
              <w:widowControl w:val="0"/>
              <w:adjustRightInd w:val="0"/>
              <w:snapToGrid w:val="0"/>
              <w:jc w:val="center"/>
            </w:pPr>
            <w:r>
              <w:t>1.1</w:t>
            </w:r>
          </w:p>
        </w:tc>
        <w:tc>
          <w:tcPr>
            <w:tcW w:w="1996" w:type="pct"/>
            <w:tcMar>
              <w:top w:w="0" w:type="dxa"/>
              <w:bottom w:w="0" w:type="dxa"/>
            </w:tcMar>
            <w:vAlign w:val="center"/>
          </w:tcPr>
          <w:p w14:paraId="6376F895" w14:textId="77777777" w:rsidR="004B0883" w:rsidRDefault="004B0883">
            <w:pPr>
              <w:widowControl w:val="0"/>
              <w:adjustRightInd w:val="0"/>
              <w:snapToGrid w:val="0"/>
            </w:pPr>
            <w:r>
              <w:rPr>
                <w:rFonts w:cs="微软雅黑" w:hint="eastAsia"/>
                <w:kern w:val="0"/>
              </w:rPr>
              <w:t>工程费用</w:t>
            </w:r>
          </w:p>
        </w:tc>
        <w:tc>
          <w:tcPr>
            <w:tcW w:w="1304" w:type="pct"/>
            <w:tcMar>
              <w:top w:w="0" w:type="dxa"/>
              <w:bottom w:w="0" w:type="dxa"/>
            </w:tcMar>
            <w:vAlign w:val="center"/>
          </w:tcPr>
          <w:p w14:paraId="662B5387" w14:textId="77777777" w:rsidR="004B0883" w:rsidRDefault="004B0883">
            <w:pPr>
              <w:widowControl w:val="0"/>
              <w:adjustRightInd w:val="0"/>
              <w:snapToGrid w:val="0"/>
              <w:jc w:val="right"/>
            </w:pPr>
            <w:r>
              <w:rPr>
                <w:rFonts w:cs="微软雅黑" w:hint="eastAsia"/>
                <w:kern w:val="0"/>
              </w:rPr>
              <w:t>26,863.84</w:t>
            </w:r>
          </w:p>
        </w:tc>
        <w:tc>
          <w:tcPr>
            <w:tcW w:w="1304" w:type="pct"/>
            <w:tcMar>
              <w:top w:w="0" w:type="dxa"/>
              <w:bottom w:w="0" w:type="dxa"/>
            </w:tcMar>
            <w:vAlign w:val="center"/>
          </w:tcPr>
          <w:p w14:paraId="2730555C" w14:textId="77777777" w:rsidR="004B0883" w:rsidRDefault="004B0883">
            <w:pPr>
              <w:widowControl w:val="0"/>
              <w:adjustRightInd w:val="0"/>
              <w:snapToGrid w:val="0"/>
              <w:jc w:val="right"/>
            </w:pPr>
            <w:r>
              <w:rPr>
                <w:rFonts w:cs="微软雅黑"/>
                <w:kern w:val="0"/>
              </w:rPr>
              <w:t>26,800.00</w:t>
            </w:r>
          </w:p>
        </w:tc>
      </w:tr>
      <w:tr w:rsidR="004B0883" w14:paraId="5C29B5FB" w14:textId="77777777">
        <w:trPr>
          <w:trHeight w:val="397"/>
          <w:jc w:val="center"/>
        </w:trPr>
        <w:tc>
          <w:tcPr>
            <w:tcW w:w="396" w:type="pct"/>
            <w:tcMar>
              <w:top w:w="0" w:type="dxa"/>
              <w:bottom w:w="0" w:type="dxa"/>
            </w:tcMar>
            <w:vAlign w:val="center"/>
          </w:tcPr>
          <w:p w14:paraId="440C0E25" w14:textId="77777777" w:rsidR="004B0883" w:rsidRDefault="004B0883">
            <w:pPr>
              <w:widowControl w:val="0"/>
              <w:adjustRightInd w:val="0"/>
              <w:snapToGrid w:val="0"/>
              <w:jc w:val="center"/>
            </w:pPr>
            <w:r>
              <w:t>1.1.1</w:t>
            </w:r>
          </w:p>
        </w:tc>
        <w:tc>
          <w:tcPr>
            <w:tcW w:w="1996" w:type="pct"/>
            <w:tcMar>
              <w:top w:w="0" w:type="dxa"/>
              <w:bottom w:w="0" w:type="dxa"/>
            </w:tcMar>
            <w:vAlign w:val="center"/>
          </w:tcPr>
          <w:p w14:paraId="1D877BF5" w14:textId="77777777" w:rsidR="004B0883" w:rsidRDefault="004B0883">
            <w:pPr>
              <w:widowControl w:val="0"/>
              <w:adjustRightInd w:val="0"/>
              <w:snapToGrid w:val="0"/>
              <w:rPr>
                <w:rFonts w:hint="eastAsia"/>
              </w:rPr>
            </w:pPr>
            <w:r>
              <w:rPr>
                <w:rFonts w:hint="eastAsia"/>
              </w:rPr>
              <w:t>建筑工程费</w:t>
            </w:r>
          </w:p>
        </w:tc>
        <w:tc>
          <w:tcPr>
            <w:tcW w:w="1304" w:type="pct"/>
            <w:tcMar>
              <w:top w:w="0" w:type="dxa"/>
              <w:bottom w:w="0" w:type="dxa"/>
            </w:tcMar>
            <w:vAlign w:val="center"/>
          </w:tcPr>
          <w:p w14:paraId="71AB29A9" w14:textId="77777777" w:rsidR="004B0883" w:rsidRDefault="004B0883">
            <w:pPr>
              <w:widowControl w:val="0"/>
              <w:adjustRightInd w:val="0"/>
              <w:snapToGrid w:val="0"/>
              <w:jc w:val="right"/>
            </w:pPr>
            <w:r>
              <w:t>11,849.00</w:t>
            </w:r>
          </w:p>
        </w:tc>
        <w:tc>
          <w:tcPr>
            <w:tcW w:w="1304" w:type="pct"/>
            <w:tcMar>
              <w:top w:w="0" w:type="dxa"/>
              <w:bottom w:w="0" w:type="dxa"/>
            </w:tcMar>
            <w:vAlign w:val="center"/>
          </w:tcPr>
          <w:p w14:paraId="4E6A396C" w14:textId="77777777" w:rsidR="004B0883" w:rsidRDefault="004B0883">
            <w:pPr>
              <w:widowControl w:val="0"/>
              <w:adjustRightInd w:val="0"/>
              <w:snapToGrid w:val="0"/>
              <w:jc w:val="right"/>
            </w:pPr>
            <w:r>
              <w:t>11,800.00</w:t>
            </w:r>
          </w:p>
        </w:tc>
      </w:tr>
      <w:tr w:rsidR="004B0883" w14:paraId="505CA6B3" w14:textId="77777777">
        <w:trPr>
          <w:trHeight w:val="397"/>
          <w:jc w:val="center"/>
        </w:trPr>
        <w:tc>
          <w:tcPr>
            <w:tcW w:w="396" w:type="pct"/>
            <w:tcMar>
              <w:top w:w="0" w:type="dxa"/>
              <w:bottom w:w="0" w:type="dxa"/>
            </w:tcMar>
            <w:vAlign w:val="center"/>
          </w:tcPr>
          <w:p w14:paraId="47373E8B" w14:textId="77777777" w:rsidR="004B0883" w:rsidRDefault="004B0883">
            <w:pPr>
              <w:widowControl w:val="0"/>
              <w:adjustRightInd w:val="0"/>
              <w:snapToGrid w:val="0"/>
              <w:jc w:val="center"/>
            </w:pPr>
            <w:r>
              <w:t>1.1.2</w:t>
            </w:r>
          </w:p>
        </w:tc>
        <w:tc>
          <w:tcPr>
            <w:tcW w:w="1996" w:type="pct"/>
            <w:tcMar>
              <w:top w:w="0" w:type="dxa"/>
              <w:bottom w:w="0" w:type="dxa"/>
            </w:tcMar>
            <w:vAlign w:val="center"/>
          </w:tcPr>
          <w:p w14:paraId="2D67249A" w14:textId="77777777" w:rsidR="004B0883" w:rsidRDefault="004B0883">
            <w:pPr>
              <w:widowControl w:val="0"/>
              <w:adjustRightInd w:val="0"/>
              <w:snapToGrid w:val="0"/>
            </w:pPr>
            <w:r>
              <w:rPr>
                <w:rFonts w:hint="eastAsia"/>
              </w:rPr>
              <w:t>设备购置费</w:t>
            </w:r>
          </w:p>
        </w:tc>
        <w:tc>
          <w:tcPr>
            <w:tcW w:w="1304" w:type="pct"/>
            <w:tcMar>
              <w:top w:w="0" w:type="dxa"/>
              <w:bottom w:w="0" w:type="dxa"/>
            </w:tcMar>
            <w:vAlign w:val="center"/>
          </w:tcPr>
          <w:p w14:paraId="68F3F412" w14:textId="77777777" w:rsidR="004B0883" w:rsidRDefault="004B0883">
            <w:pPr>
              <w:widowControl w:val="0"/>
              <w:adjustRightInd w:val="0"/>
              <w:snapToGrid w:val="0"/>
              <w:jc w:val="right"/>
            </w:pPr>
            <w:r>
              <w:t>15,014.84</w:t>
            </w:r>
          </w:p>
        </w:tc>
        <w:tc>
          <w:tcPr>
            <w:tcW w:w="1304" w:type="pct"/>
            <w:tcMar>
              <w:top w:w="0" w:type="dxa"/>
              <w:bottom w:w="0" w:type="dxa"/>
            </w:tcMar>
            <w:vAlign w:val="center"/>
          </w:tcPr>
          <w:p w14:paraId="71E7455B" w14:textId="77777777" w:rsidR="004B0883" w:rsidRDefault="004B0883">
            <w:pPr>
              <w:widowControl w:val="0"/>
              <w:adjustRightInd w:val="0"/>
              <w:snapToGrid w:val="0"/>
              <w:jc w:val="right"/>
            </w:pPr>
            <w:r>
              <w:t>15,000.00</w:t>
            </w:r>
          </w:p>
        </w:tc>
      </w:tr>
      <w:tr w:rsidR="004B0883" w14:paraId="3D0E6BB4" w14:textId="77777777">
        <w:trPr>
          <w:trHeight w:val="397"/>
          <w:jc w:val="center"/>
        </w:trPr>
        <w:tc>
          <w:tcPr>
            <w:tcW w:w="396" w:type="pct"/>
            <w:tcMar>
              <w:top w:w="0" w:type="dxa"/>
              <w:bottom w:w="0" w:type="dxa"/>
            </w:tcMar>
            <w:vAlign w:val="center"/>
          </w:tcPr>
          <w:p w14:paraId="0D73F793" w14:textId="77777777" w:rsidR="004B0883" w:rsidRDefault="004B0883">
            <w:pPr>
              <w:widowControl w:val="0"/>
              <w:adjustRightInd w:val="0"/>
              <w:snapToGrid w:val="0"/>
              <w:jc w:val="center"/>
            </w:pPr>
            <w:r>
              <w:t>1.2</w:t>
            </w:r>
          </w:p>
        </w:tc>
        <w:tc>
          <w:tcPr>
            <w:tcW w:w="1996" w:type="pct"/>
            <w:tcMar>
              <w:top w:w="0" w:type="dxa"/>
              <w:bottom w:w="0" w:type="dxa"/>
            </w:tcMar>
            <w:vAlign w:val="center"/>
          </w:tcPr>
          <w:p w14:paraId="34ED6E03" w14:textId="77777777" w:rsidR="004B0883" w:rsidRDefault="004B0883">
            <w:pPr>
              <w:widowControl w:val="0"/>
              <w:adjustRightInd w:val="0"/>
              <w:snapToGrid w:val="0"/>
            </w:pPr>
            <w:r>
              <w:rPr>
                <w:rFonts w:hint="eastAsia"/>
              </w:rPr>
              <w:t>工程建设其他费用</w:t>
            </w:r>
          </w:p>
        </w:tc>
        <w:tc>
          <w:tcPr>
            <w:tcW w:w="1304" w:type="pct"/>
            <w:tcMar>
              <w:top w:w="0" w:type="dxa"/>
              <w:bottom w:w="0" w:type="dxa"/>
            </w:tcMar>
            <w:vAlign w:val="center"/>
          </w:tcPr>
          <w:p w14:paraId="13A237FE" w14:textId="77777777" w:rsidR="004B0883" w:rsidRDefault="004B0883">
            <w:pPr>
              <w:widowControl w:val="0"/>
              <w:adjustRightInd w:val="0"/>
              <w:snapToGrid w:val="0"/>
              <w:jc w:val="right"/>
            </w:pPr>
            <w:r>
              <w:t>1,076.71</w:t>
            </w:r>
          </w:p>
        </w:tc>
        <w:tc>
          <w:tcPr>
            <w:tcW w:w="1304" w:type="pct"/>
            <w:tcMar>
              <w:top w:w="0" w:type="dxa"/>
              <w:bottom w:w="0" w:type="dxa"/>
            </w:tcMar>
            <w:vAlign w:val="center"/>
          </w:tcPr>
          <w:p w14:paraId="514AC903" w14:textId="77777777" w:rsidR="004B0883" w:rsidRDefault="004B0883">
            <w:pPr>
              <w:widowControl w:val="0"/>
              <w:adjustRightInd w:val="0"/>
              <w:snapToGrid w:val="0"/>
              <w:jc w:val="right"/>
            </w:pPr>
            <w:r>
              <w:t>1,000.00</w:t>
            </w:r>
          </w:p>
        </w:tc>
      </w:tr>
      <w:tr w:rsidR="004B0883" w14:paraId="3D3CE80C" w14:textId="77777777">
        <w:trPr>
          <w:trHeight w:val="397"/>
          <w:jc w:val="center"/>
        </w:trPr>
        <w:tc>
          <w:tcPr>
            <w:tcW w:w="396" w:type="pct"/>
            <w:tcMar>
              <w:top w:w="0" w:type="dxa"/>
              <w:bottom w:w="0" w:type="dxa"/>
            </w:tcMar>
            <w:vAlign w:val="center"/>
          </w:tcPr>
          <w:p w14:paraId="6D46BCA4" w14:textId="77777777" w:rsidR="004B0883" w:rsidRDefault="004B0883">
            <w:pPr>
              <w:widowControl w:val="0"/>
              <w:adjustRightInd w:val="0"/>
              <w:snapToGrid w:val="0"/>
              <w:jc w:val="center"/>
            </w:pPr>
            <w:r>
              <w:t>1.3</w:t>
            </w:r>
          </w:p>
        </w:tc>
        <w:tc>
          <w:tcPr>
            <w:tcW w:w="1996" w:type="pct"/>
            <w:tcMar>
              <w:top w:w="0" w:type="dxa"/>
              <w:bottom w:w="0" w:type="dxa"/>
            </w:tcMar>
            <w:vAlign w:val="center"/>
          </w:tcPr>
          <w:p w14:paraId="4DBFE121" w14:textId="77777777" w:rsidR="004B0883" w:rsidRDefault="004B0883">
            <w:pPr>
              <w:widowControl w:val="0"/>
              <w:adjustRightInd w:val="0"/>
              <w:snapToGrid w:val="0"/>
            </w:pPr>
            <w:r>
              <w:rPr>
                <w:rFonts w:hint="eastAsia"/>
              </w:rPr>
              <w:t>预备费用</w:t>
            </w:r>
          </w:p>
        </w:tc>
        <w:tc>
          <w:tcPr>
            <w:tcW w:w="1304" w:type="pct"/>
            <w:tcMar>
              <w:top w:w="0" w:type="dxa"/>
              <w:bottom w:w="0" w:type="dxa"/>
            </w:tcMar>
            <w:vAlign w:val="center"/>
          </w:tcPr>
          <w:p w14:paraId="552C8B13" w14:textId="77777777" w:rsidR="004B0883" w:rsidRDefault="004B0883">
            <w:pPr>
              <w:widowControl w:val="0"/>
              <w:adjustRightInd w:val="0"/>
              <w:snapToGrid w:val="0"/>
              <w:jc w:val="right"/>
            </w:pPr>
            <w:r>
              <w:t>279.41</w:t>
            </w:r>
          </w:p>
        </w:tc>
        <w:tc>
          <w:tcPr>
            <w:tcW w:w="1304" w:type="pct"/>
            <w:tcMar>
              <w:top w:w="0" w:type="dxa"/>
              <w:bottom w:w="0" w:type="dxa"/>
            </w:tcMar>
            <w:vAlign w:val="center"/>
          </w:tcPr>
          <w:p w14:paraId="28E03ACF" w14:textId="77777777" w:rsidR="004B0883" w:rsidRDefault="004B0883">
            <w:pPr>
              <w:widowControl w:val="0"/>
              <w:adjustRightInd w:val="0"/>
              <w:snapToGrid w:val="0"/>
              <w:jc w:val="right"/>
            </w:pPr>
            <w:r>
              <w:t>-</w:t>
            </w:r>
          </w:p>
        </w:tc>
      </w:tr>
      <w:tr w:rsidR="004B0883" w14:paraId="3EA7167D" w14:textId="77777777">
        <w:trPr>
          <w:trHeight w:val="397"/>
          <w:jc w:val="center"/>
        </w:trPr>
        <w:tc>
          <w:tcPr>
            <w:tcW w:w="396" w:type="pct"/>
            <w:tcMar>
              <w:top w:w="0" w:type="dxa"/>
              <w:bottom w:w="0" w:type="dxa"/>
            </w:tcMar>
            <w:vAlign w:val="center"/>
          </w:tcPr>
          <w:p w14:paraId="649EEDD2" w14:textId="77777777" w:rsidR="004B0883" w:rsidRDefault="004B0883">
            <w:pPr>
              <w:widowControl w:val="0"/>
              <w:adjustRightInd w:val="0"/>
              <w:snapToGrid w:val="0"/>
              <w:jc w:val="center"/>
            </w:pPr>
            <w:r>
              <w:t>1.3.1</w:t>
            </w:r>
          </w:p>
        </w:tc>
        <w:tc>
          <w:tcPr>
            <w:tcW w:w="1996" w:type="pct"/>
            <w:tcMar>
              <w:top w:w="0" w:type="dxa"/>
              <w:bottom w:w="0" w:type="dxa"/>
            </w:tcMar>
            <w:vAlign w:val="center"/>
          </w:tcPr>
          <w:p w14:paraId="40168CD9" w14:textId="77777777" w:rsidR="004B0883" w:rsidRDefault="004B0883">
            <w:pPr>
              <w:widowControl w:val="0"/>
              <w:adjustRightInd w:val="0"/>
              <w:snapToGrid w:val="0"/>
              <w:rPr>
                <w:rFonts w:hint="eastAsia"/>
              </w:rPr>
            </w:pPr>
            <w:r>
              <w:rPr>
                <w:rFonts w:hint="eastAsia"/>
              </w:rPr>
              <w:t>基本预备费</w:t>
            </w:r>
          </w:p>
        </w:tc>
        <w:tc>
          <w:tcPr>
            <w:tcW w:w="1304" w:type="pct"/>
            <w:tcMar>
              <w:top w:w="0" w:type="dxa"/>
              <w:bottom w:w="0" w:type="dxa"/>
            </w:tcMar>
            <w:vAlign w:val="center"/>
          </w:tcPr>
          <w:p w14:paraId="3C262877" w14:textId="77777777" w:rsidR="004B0883" w:rsidRDefault="004B0883">
            <w:pPr>
              <w:widowControl w:val="0"/>
              <w:adjustRightInd w:val="0"/>
              <w:snapToGrid w:val="0"/>
              <w:jc w:val="right"/>
            </w:pPr>
            <w:r>
              <w:t>279.41</w:t>
            </w:r>
          </w:p>
        </w:tc>
        <w:tc>
          <w:tcPr>
            <w:tcW w:w="1304" w:type="pct"/>
            <w:tcMar>
              <w:top w:w="0" w:type="dxa"/>
              <w:bottom w:w="0" w:type="dxa"/>
            </w:tcMar>
            <w:vAlign w:val="center"/>
          </w:tcPr>
          <w:p w14:paraId="1EEB2996" w14:textId="77777777" w:rsidR="004B0883" w:rsidRDefault="004B0883">
            <w:pPr>
              <w:widowControl w:val="0"/>
              <w:adjustRightInd w:val="0"/>
              <w:snapToGrid w:val="0"/>
              <w:jc w:val="right"/>
            </w:pPr>
            <w:r>
              <w:t>-</w:t>
            </w:r>
          </w:p>
        </w:tc>
      </w:tr>
      <w:tr w:rsidR="004B0883" w14:paraId="374CED5A" w14:textId="77777777">
        <w:trPr>
          <w:trHeight w:val="397"/>
          <w:jc w:val="center"/>
        </w:trPr>
        <w:tc>
          <w:tcPr>
            <w:tcW w:w="396" w:type="pct"/>
            <w:tcMar>
              <w:top w:w="0" w:type="dxa"/>
              <w:bottom w:w="0" w:type="dxa"/>
            </w:tcMar>
            <w:vAlign w:val="center"/>
          </w:tcPr>
          <w:p w14:paraId="2B169FB0" w14:textId="77777777" w:rsidR="004B0883" w:rsidRDefault="004B0883">
            <w:pPr>
              <w:widowControl w:val="0"/>
              <w:adjustRightInd w:val="0"/>
              <w:snapToGrid w:val="0"/>
              <w:jc w:val="center"/>
            </w:pPr>
            <w:r>
              <w:t>1.3.2</w:t>
            </w:r>
          </w:p>
        </w:tc>
        <w:tc>
          <w:tcPr>
            <w:tcW w:w="1996" w:type="pct"/>
            <w:tcMar>
              <w:top w:w="0" w:type="dxa"/>
              <w:bottom w:w="0" w:type="dxa"/>
            </w:tcMar>
            <w:vAlign w:val="center"/>
          </w:tcPr>
          <w:p w14:paraId="1DF8FA75" w14:textId="77777777" w:rsidR="004B0883" w:rsidRDefault="004B0883">
            <w:pPr>
              <w:widowControl w:val="0"/>
              <w:adjustRightInd w:val="0"/>
              <w:snapToGrid w:val="0"/>
              <w:rPr>
                <w:rFonts w:hint="eastAsia"/>
              </w:rPr>
            </w:pPr>
            <w:r>
              <w:rPr>
                <w:rFonts w:hint="eastAsia"/>
              </w:rPr>
              <w:t>涨价预备费</w:t>
            </w:r>
          </w:p>
        </w:tc>
        <w:tc>
          <w:tcPr>
            <w:tcW w:w="1304" w:type="pct"/>
            <w:tcMar>
              <w:top w:w="0" w:type="dxa"/>
              <w:bottom w:w="0" w:type="dxa"/>
            </w:tcMar>
            <w:vAlign w:val="center"/>
          </w:tcPr>
          <w:p w14:paraId="73AD13F9" w14:textId="77777777" w:rsidR="004B0883" w:rsidRDefault="004B0883">
            <w:pPr>
              <w:widowControl w:val="0"/>
              <w:adjustRightInd w:val="0"/>
              <w:snapToGrid w:val="0"/>
              <w:jc w:val="right"/>
            </w:pPr>
            <w:r>
              <w:rPr>
                <w:rFonts w:hint="eastAsia"/>
              </w:rPr>
              <w:t>-</w:t>
            </w:r>
          </w:p>
        </w:tc>
        <w:tc>
          <w:tcPr>
            <w:tcW w:w="1304" w:type="pct"/>
            <w:tcMar>
              <w:top w:w="0" w:type="dxa"/>
              <w:bottom w:w="0" w:type="dxa"/>
            </w:tcMar>
            <w:vAlign w:val="center"/>
          </w:tcPr>
          <w:p w14:paraId="51E41D82" w14:textId="77777777" w:rsidR="004B0883" w:rsidRDefault="004B0883">
            <w:pPr>
              <w:widowControl w:val="0"/>
              <w:adjustRightInd w:val="0"/>
              <w:snapToGrid w:val="0"/>
              <w:jc w:val="right"/>
            </w:pPr>
            <w:r>
              <w:rPr>
                <w:rFonts w:hint="eastAsia"/>
              </w:rPr>
              <w:t>-</w:t>
            </w:r>
          </w:p>
        </w:tc>
      </w:tr>
      <w:tr w:rsidR="004B0883" w14:paraId="74A557BB" w14:textId="77777777">
        <w:trPr>
          <w:trHeight w:val="397"/>
          <w:jc w:val="center"/>
        </w:trPr>
        <w:tc>
          <w:tcPr>
            <w:tcW w:w="396" w:type="pct"/>
            <w:tcMar>
              <w:top w:w="0" w:type="dxa"/>
              <w:bottom w:w="0" w:type="dxa"/>
            </w:tcMar>
            <w:vAlign w:val="center"/>
          </w:tcPr>
          <w:p w14:paraId="1D3A6978" w14:textId="77777777" w:rsidR="004B0883" w:rsidRDefault="004B0883">
            <w:pPr>
              <w:widowControl w:val="0"/>
              <w:adjustRightInd w:val="0"/>
              <w:snapToGrid w:val="0"/>
              <w:jc w:val="center"/>
            </w:pPr>
            <w:r>
              <w:t>2</w:t>
            </w:r>
          </w:p>
        </w:tc>
        <w:tc>
          <w:tcPr>
            <w:tcW w:w="1996" w:type="pct"/>
            <w:tcMar>
              <w:top w:w="0" w:type="dxa"/>
              <w:bottom w:w="0" w:type="dxa"/>
            </w:tcMar>
            <w:vAlign w:val="center"/>
          </w:tcPr>
          <w:p w14:paraId="64ECD6EA" w14:textId="77777777" w:rsidR="004B0883" w:rsidRDefault="004B0883">
            <w:pPr>
              <w:widowControl w:val="0"/>
              <w:adjustRightInd w:val="0"/>
              <w:snapToGrid w:val="0"/>
              <w:rPr>
                <w:rFonts w:hint="eastAsia"/>
              </w:rPr>
            </w:pPr>
            <w:r>
              <w:rPr>
                <w:rFonts w:hint="eastAsia"/>
              </w:rPr>
              <w:t>铺底流动资金</w:t>
            </w:r>
          </w:p>
        </w:tc>
        <w:tc>
          <w:tcPr>
            <w:tcW w:w="1304" w:type="pct"/>
            <w:tcMar>
              <w:top w:w="0" w:type="dxa"/>
              <w:bottom w:w="0" w:type="dxa"/>
            </w:tcMar>
            <w:vAlign w:val="center"/>
          </w:tcPr>
          <w:p w14:paraId="6CFDC34B" w14:textId="77777777" w:rsidR="004B0883" w:rsidRDefault="004B0883">
            <w:pPr>
              <w:widowControl w:val="0"/>
              <w:adjustRightInd w:val="0"/>
              <w:snapToGrid w:val="0"/>
              <w:jc w:val="right"/>
              <w:rPr>
                <w:rFonts w:hint="eastAsia"/>
              </w:rPr>
            </w:pPr>
            <w:r>
              <w:t>1,157.95</w:t>
            </w:r>
          </w:p>
        </w:tc>
        <w:tc>
          <w:tcPr>
            <w:tcW w:w="1304" w:type="pct"/>
            <w:tcMar>
              <w:top w:w="0" w:type="dxa"/>
              <w:bottom w:w="0" w:type="dxa"/>
            </w:tcMar>
            <w:vAlign w:val="center"/>
          </w:tcPr>
          <w:p w14:paraId="5E3A10DA" w14:textId="77777777" w:rsidR="004B0883" w:rsidRDefault="004B0883">
            <w:pPr>
              <w:widowControl w:val="0"/>
              <w:adjustRightInd w:val="0"/>
              <w:snapToGrid w:val="0"/>
              <w:jc w:val="right"/>
              <w:rPr>
                <w:rFonts w:hint="eastAsia"/>
              </w:rPr>
            </w:pPr>
            <w:r>
              <w:t>-</w:t>
            </w:r>
          </w:p>
        </w:tc>
      </w:tr>
      <w:tr w:rsidR="004B0883" w14:paraId="0EF65361" w14:textId="77777777">
        <w:trPr>
          <w:trHeight w:val="397"/>
          <w:jc w:val="center"/>
        </w:trPr>
        <w:tc>
          <w:tcPr>
            <w:tcW w:w="396" w:type="pct"/>
            <w:tcMar>
              <w:top w:w="0" w:type="dxa"/>
              <w:bottom w:w="0" w:type="dxa"/>
            </w:tcMar>
            <w:vAlign w:val="center"/>
          </w:tcPr>
          <w:p w14:paraId="0623874A" w14:textId="77777777" w:rsidR="004B0883" w:rsidRDefault="004B0883">
            <w:pPr>
              <w:widowControl w:val="0"/>
              <w:adjustRightInd w:val="0"/>
              <w:snapToGrid w:val="0"/>
              <w:jc w:val="center"/>
              <w:rPr>
                <w:b/>
                <w:bCs/>
              </w:rPr>
            </w:pPr>
            <w:r>
              <w:rPr>
                <w:rFonts w:hint="eastAsia"/>
                <w:b/>
                <w:bCs/>
              </w:rPr>
              <w:t>3</w:t>
            </w:r>
          </w:p>
        </w:tc>
        <w:tc>
          <w:tcPr>
            <w:tcW w:w="1996" w:type="pct"/>
            <w:vAlign w:val="center"/>
          </w:tcPr>
          <w:p w14:paraId="1C09DA28" w14:textId="77777777" w:rsidR="004B0883" w:rsidRDefault="004B0883">
            <w:pPr>
              <w:widowControl w:val="0"/>
              <w:adjustRightInd w:val="0"/>
              <w:snapToGrid w:val="0"/>
              <w:rPr>
                <w:b/>
                <w:bCs/>
              </w:rPr>
            </w:pPr>
            <w:r>
              <w:rPr>
                <w:rFonts w:hint="eastAsia"/>
                <w:b/>
                <w:bCs/>
              </w:rPr>
              <w:t>项目总投资</w:t>
            </w:r>
          </w:p>
        </w:tc>
        <w:tc>
          <w:tcPr>
            <w:tcW w:w="1304" w:type="pct"/>
            <w:tcMar>
              <w:top w:w="0" w:type="dxa"/>
              <w:bottom w:w="0" w:type="dxa"/>
            </w:tcMar>
            <w:vAlign w:val="center"/>
          </w:tcPr>
          <w:p w14:paraId="4102F3D1" w14:textId="77777777" w:rsidR="004B0883" w:rsidRDefault="004B0883">
            <w:pPr>
              <w:widowControl w:val="0"/>
              <w:adjustRightInd w:val="0"/>
              <w:snapToGrid w:val="0"/>
              <w:jc w:val="right"/>
              <w:rPr>
                <w:b/>
                <w:bCs/>
              </w:rPr>
            </w:pPr>
            <w:r>
              <w:rPr>
                <w:rFonts w:hint="eastAsia"/>
                <w:b/>
                <w:bCs/>
              </w:rPr>
              <w:t>29,377.91</w:t>
            </w:r>
          </w:p>
        </w:tc>
        <w:tc>
          <w:tcPr>
            <w:tcW w:w="1304" w:type="pct"/>
            <w:tcMar>
              <w:top w:w="0" w:type="dxa"/>
              <w:bottom w:w="0" w:type="dxa"/>
            </w:tcMar>
            <w:vAlign w:val="center"/>
          </w:tcPr>
          <w:p w14:paraId="2950771D" w14:textId="77777777" w:rsidR="004B0883" w:rsidRDefault="004B0883">
            <w:pPr>
              <w:widowControl w:val="0"/>
              <w:adjustRightInd w:val="0"/>
              <w:snapToGrid w:val="0"/>
              <w:jc w:val="right"/>
              <w:rPr>
                <w:b/>
                <w:bCs/>
              </w:rPr>
            </w:pPr>
            <w:r>
              <w:rPr>
                <w:b/>
                <w:bCs/>
              </w:rPr>
              <w:t>27,800.00</w:t>
            </w:r>
          </w:p>
        </w:tc>
      </w:tr>
    </w:tbl>
    <w:p w14:paraId="1AE95A6D" w14:textId="77777777" w:rsidR="004B0883" w:rsidRDefault="004B0883">
      <w:pPr>
        <w:widowControl w:val="0"/>
        <w:spacing w:beforeLines="50" w:before="120" w:line="360" w:lineRule="auto"/>
        <w:ind w:firstLineChars="200" w:firstLine="480"/>
        <w:jc w:val="both"/>
        <w:rPr>
          <w:sz w:val="24"/>
          <w:szCs w:val="22"/>
        </w:rPr>
      </w:pPr>
      <w:r>
        <w:rPr>
          <w:rFonts w:ascii="宋体" w:hAnsi="宋体" w:hint="eastAsia"/>
          <w:sz w:val="24"/>
          <w:szCs w:val="22"/>
        </w:rPr>
        <w:t>土建工程及建设工程其它费用依据项目设计要求、已签订的施工合同价格进行估算确定，设备购置及安装费依据询价或参照设备订货价格等进行估算</w:t>
      </w:r>
      <w:r>
        <w:rPr>
          <w:sz w:val="24"/>
          <w:szCs w:val="22"/>
        </w:rPr>
        <w:t>。具体投资项目测算情况如下：</w:t>
      </w:r>
    </w:p>
    <w:p w14:paraId="053EC531" w14:textId="77777777" w:rsidR="004B0883" w:rsidRDefault="004B0883">
      <w:pPr>
        <w:keepNext/>
        <w:keepLines/>
        <w:widowControl w:val="0"/>
        <w:spacing w:beforeLines="50" w:before="120" w:line="360" w:lineRule="auto"/>
        <w:ind w:firstLineChars="200" w:firstLine="480"/>
        <w:jc w:val="both"/>
        <w:outlineLvl w:val="4"/>
        <w:rPr>
          <w:sz w:val="24"/>
          <w:szCs w:val="22"/>
        </w:rPr>
      </w:pPr>
      <w:r>
        <w:rPr>
          <w:rFonts w:hint="eastAsia"/>
          <w:sz w:val="24"/>
          <w:szCs w:val="22"/>
        </w:rPr>
        <w:t>（</w:t>
      </w:r>
      <w:r>
        <w:rPr>
          <w:rFonts w:hint="eastAsia"/>
          <w:sz w:val="24"/>
          <w:szCs w:val="22"/>
        </w:rPr>
        <w:t>1</w:t>
      </w:r>
      <w:r>
        <w:rPr>
          <w:rFonts w:hint="eastAsia"/>
          <w:sz w:val="24"/>
          <w:szCs w:val="22"/>
        </w:rPr>
        <w:t>）建筑工程费</w:t>
      </w:r>
    </w:p>
    <w:p w14:paraId="541FA81D" w14:textId="77777777" w:rsidR="004B0883" w:rsidRDefault="004B0883">
      <w:pPr>
        <w:widowControl w:val="0"/>
        <w:spacing w:beforeLines="50" w:before="120" w:line="360" w:lineRule="auto"/>
        <w:ind w:firstLineChars="200" w:firstLine="480"/>
        <w:jc w:val="both"/>
        <w:rPr>
          <w:sz w:val="24"/>
          <w:szCs w:val="22"/>
        </w:rPr>
      </w:pPr>
      <w:bookmarkStart w:id="432" w:name="_Hlk107568299"/>
      <w:r>
        <w:rPr>
          <w:rFonts w:hint="eastAsia"/>
          <w:sz w:val="24"/>
          <w:szCs w:val="22"/>
        </w:rPr>
        <w:t>本项目对生产厂房进行生产场地及配套设施的建设、装修。参照项目单位所在区域物价水平和生产厂房的建设要求，本项目建筑工程费为</w:t>
      </w:r>
      <w:r>
        <w:rPr>
          <w:sz w:val="24"/>
          <w:szCs w:val="22"/>
        </w:rPr>
        <w:t>11,849.00</w:t>
      </w:r>
      <w:r>
        <w:rPr>
          <w:rFonts w:hint="eastAsia"/>
          <w:sz w:val="24"/>
          <w:szCs w:val="22"/>
        </w:rPr>
        <w:t>万元，具体如下：</w:t>
      </w:r>
    </w:p>
    <w:p w14:paraId="5D814D08" w14:textId="77777777" w:rsidR="004B0883" w:rsidRDefault="004B0883">
      <w:pPr>
        <w:keepNext/>
        <w:widowControl w:val="0"/>
        <w:jc w:val="right"/>
        <w:rPr>
          <w:color w:val="000000"/>
        </w:rPr>
      </w:pPr>
      <w:r>
        <w:rPr>
          <w:color w:val="000000"/>
        </w:rP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482"/>
        <w:gridCol w:w="3996"/>
        <w:gridCol w:w="2802"/>
      </w:tblGrid>
      <w:tr w:rsidR="004B0883" w14:paraId="63C311F3" w14:textId="77777777">
        <w:trPr>
          <w:trHeight w:val="397"/>
          <w:tblHeader/>
          <w:jc w:val="center"/>
        </w:trPr>
        <w:tc>
          <w:tcPr>
            <w:tcW w:w="895" w:type="pct"/>
            <w:shd w:val="clear" w:color="auto" w:fill="D9D9D9"/>
            <w:tcMar>
              <w:top w:w="0" w:type="dxa"/>
              <w:bottom w:w="0" w:type="dxa"/>
            </w:tcMar>
            <w:vAlign w:val="center"/>
          </w:tcPr>
          <w:p w14:paraId="44750658" w14:textId="77777777" w:rsidR="004B0883" w:rsidRDefault="004B0883">
            <w:pPr>
              <w:widowControl w:val="0"/>
              <w:adjustRightInd w:val="0"/>
              <w:snapToGrid w:val="0"/>
              <w:jc w:val="center"/>
              <w:rPr>
                <w:b/>
                <w:bCs/>
                <w:color w:val="000000"/>
              </w:rPr>
            </w:pPr>
            <w:r>
              <w:rPr>
                <w:rFonts w:hint="eastAsia"/>
                <w:b/>
                <w:bCs/>
                <w:color w:val="000000"/>
              </w:rPr>
              <w:t>序号</w:t>
            </w:r>
          </w:p>
        </w:tc>
        <w:tc>
          <w:tcPr>
            <w:tcW w:w="2413" w:type="pct"/>
            <w:shd w:val="clear" w:color="auto" w:fill="D9D9D9"/>
            <w:tcMar>
              <w:top w:w="0" w:type="dxa"/>
              <w:bottom w:w="0" w:type="dxa"/>
            </w:tcMar>
            <w:vAlign w:val="center"/>
          </w:tcPr>
          <w:p w14:paraId="58814106" w14:textId="77777777" w:rsidR="004B0883" w:rsidRDefault="004B0883">
            <w:pPr>
              <w:widowControl w:val="0"/>
              <w:adjustRightInd w:val="0"/>
              <w:snapToGrid w:val="0"/>
              <w:jc w:val="center"/>
              <w:rPr>
                <w:b/>
                <w:bCs/>
                <w:color w:val="000000"/>
              </w:rPr>
            </w:pPr>
            <w:r>
              <w:rPr>
                <w:rFonts w:hint="eastAsia"/>
                <w:b/>
                <w:bCs/>
                <w:color w:val="000000"/>
              </w:rPr>
              <w:t>项目</w:t>
            </w:r>
          </w:p>
        </w:tc>
        <w:tc>
          <w:tcPr>
            <w:tcW w:w="1692" w:type="pct"/>
            <w:shd w:val="clear" w:color="auto" w:fill="D9D9D9"/>
            <w:tcMar>
              <w:top w:w="0" w:type="dxa"/>
              <w:bottom w:w="0" w:type="dxa"/>
            </w:tcMar>
            <w:vAlign w:val="center"/>
          </w:tcPr>
          <w:p w14:paraId="71A861F6" w14:textId="77777777" w:rsidR="004B0883" w:rsidRDefault="004B0883">
            <w:pPr>
              <w:widowControl w:val="0"/>
              <w:adjustRightInd w:val="0"/>
              <w:snapToGrid w:val="0"/>
              <w:jc w:val="center"/>
              <w:rPr>
                <w:b/>
                <w:bCs/>
                <w:color w:val="000000"/>
              </w:rPr>
            </w:pPr>
            <w:r>
              <w:rPr>
                <w:rFonts w:hint="eastAsia"/>
                <w:b/>
              </w:rPr>
              <w:t>使用募集资金金额</w:t>
            </w:r>
          </w:p>
        </w:tc>
      </w:tr>
      <w:tr w:rsidR="004B0883" w14:paraId="634CFE75" w14:textId="77777777">
        <w:trPr>
          <w:trHeight w:val="397"/>
          <w:jc w:val="center"/>
        </w:trPr>
        <w:tc>
          <w:tcPr>
            <w:tcW w:w="895" w:type="pct"/>
            <w:tcMar>
              <w:top w:w="0" w:type="dxa"/>
              <w:bottom w:w="0" w:type="dxa"/>
            </w:tcMar>
            <w:vAlign w:val="center"/>
          </w:tcPr>
          <w:p w14:paraId="4D949395" w14:textId="77777777" w:rsidR="004B0883" w:rsidRDefault="004B0883">
            <w:pPr>
              <w:widowControl w:val="0"/>
              <w:adjustRightInd w:val="0"/>
              <w:snapToGrid w:val="0"/>
              <w:jc w:val="center"/>
              <w:rPr>
                <w:color w:val="000000"/>
              </w:rPr>
            </w:pPr>
            <w:r>
              <w:rPr>
                <w:rFonts w:hint="eastAsia"/>
                <w:color w:val="000000"/>
              </w:rPr>
              <w:t>1</w:t>
            </w:r>
          </w:p>
        </w:tc>
        <w:tc>
          <w:tcPr>
            <w:tcW w:w="2413" w:type="pct"/>
            <w:tcMar>
              <w:top w:w="0" w:type="dxa"/>
              <w:bottom w:w="0" w:type="dxa"/>
            </w:tcMar>
            <w:vAlign w:val="center"/>
          </w:tcPr>
          <w:p w14:paraId="57EEA214" w14:textId="77777777" w:rsidR="004B0883" w:rsidRDefault="004B0883">
            <w:pPr>
              <w:widowControl w:val="0"/>
              <w:adjustRightInd w:val="0"/>
              <w:snapToGrid w:val="0"/>
              <w:rPr>
                <w:color w:val="000000"/>
              </w:rPr>
            </w:pPr>
            <w:r>
              <w:rPr>
                <w:rFonts w:hAnsi="微软雅黑" w:cs="微软雅黑" w:hint="eastAsia"/>
                <w:kern w:val="0"/>
              </w:rPr>
              <w:t>厂房</w:t>
            </w:r>
          </w:p>
        </w:tc>
        <w:tc>
          <w:tcPr>
            <w:tcW w:w="1692" w:type="pct"/>
            <w:tcMar>
              <w:top w:w="0" w:type="dxa"/>
              <w:bottom w:w="0" w:type="dxa"/>
            </w:tcMar>
            <w:vAlign w:val="center"/>
          </w:tcPr>
          <w:p w14:paraId="78CCC921" w14:textId="77777777" w:rsidR="004B0883" w:rsidRDefault="004B0883">
            <w:pPr>
              <w:widowControl w:val="0"/>
              <w:adjustRightInd w:val="0"/>
              <w:snapToGrid w:val="0"/>
              <w:jc w:val="right"/>
              <w:rPr>
                <w:color w:val="000000"/>
              </w:rPr>
            </w:pPr>
            <w:r>
              <w:rPr>
                <w:rFonts w:hAnsi="微软雅黑" w:cs="微软雅黑" w:hint="eastAsia"/>
                <w:kern w:val="0"/>
              </w:rPr>
              <w:t>7,497.00</w:t>
            </w:r>
          </w:p>
        </w:tc>
      </w:tr>
      <w:tr w:rsidR="004B0883" w14:paraId="43306F7F" w14:textId="77777777">
        <w:trPr>
          <w:trHeight w:val="397"/>
          <w:jc w:val="center"/>
        </w:trPr>
        <w:tc>
          <w:tcPr>
            <w:tcW w:w="895" w:type="pct"/>
            <w:tcMar>
              <w:top w:w="0" w:type="dxa"/>
              <w:bottom w:w="0" w:type="dxa"/>
            </w:tcMar>
            <w:vAlign w:val="center"/>
          </w:tcPr>
          <w:p w14:paraId="1BCAB7EE" w14:textId="77777777" w:rsidR="004B0883" w:rsidRDefault="004B0883">
            <w:pPr>
              <w:widowControl w:val="0"/>
              <w:adjustRightInd w:val="0"/>
              <w:snapToGrid w:val="0"/>
              <w:jc w:val="center"/>
              <w:rPr>
                <w:color w:val="000000"/>
              </w:rPr>
            </w:pPr>
            <w:r>
              <w:rPr>
                <w:rFonts w:hint="eastAsia"/>
                <w:color w:val="000000"/>
              </w:rPr>
              <w:t>2</w:t>
            </w:r>
          </w:p>
        </w:tc>
        <w:tc>
          <w:tcPr>
            <w:tcW w:w="2413" w:type="pct"/>
            <w:tcMar>
              <w:top w:w="0" w:type="dxa"/>
              <w:bottom w:w="0" w:type="dxa"/>
            </w:tcMar>
            <w:vAlign w:val="center"/>
          </w:tcPr>
          <w:p w14:paraId="4AFEEEBE" w14:textId="77777777" w:rsidR="004B0883" w:rsidRDefault="004B0883">
            <w:pPr>
              <w:widowControl w:val="0"/>
              <w:adjustRightInd w:val="0"/>
              <w:snapToGrid w:val="0"/>
              <w:rPr>
                <w:color w:val="000000"/>
              </w:rPr>
            </w:pPr>
            <w:r>
              <w:rPr>
                <w:rFonts w:hAnsi="微软雅黑" w:cs="微软雅黑" w:hint="eastAsia"/>
                <w:kern w:val="0"/>
              </w:rPr>
              <w:t>员工休息室</w:t>
            </w:r>
            <w:r>
              <w:rPr>
                <w:rFonts w:hAnsi="微软雅黑" w:cs="微软雅黑" w:hint="eastAsia"/>
                <w:kern w:val="0"/>
              </w:rPr>
              <w:t>+</w:t>
            </w:r>
            <w:r>
              <w:rPr>
                <w:rFonts w:hAnsi="微软雅黑" w:cs="微软雅黑" w:hint="eastAsia"/>
                <w:kern w:val="0"/>
              </w:rPr>
              <w:t>食堂及展厅</w:t>
            </w:r>
            <w:r>
              <w:rPr>
                <w:rFonts w:hAnsi="微软雅黑" w:cs="微软雅黑" w:hint="eastAsia"/>
                <w:kern w:val="0"/>
              </w:rPr>
              <w:t>+</w:t>
            </w:r>
            <w:r>
              <w:rPr>
                <w:rFonts w:hAnsi="微软雅黑" w:cs="微软雅黑" w:hint="eastAsia"/>
                <w:kern w:val="0"/>
              </w:rPr>
              <w:t>办公</w:t>
            </w:r>
          </w:p>
        </w:tc>
        <w:tc>
          <w:tcPr>
            <w:tcW w:w="1692" w:type="pct"/>
            <w:tcMar>
              <w:top w:w="0" w:type="dxa"/>
              <w:bottom w:w="0" w:type="dxa"/>
            </w:tcMar>
            <w:vAlign w:val="center"/>
          </w:tcPr>
          <w:p w14:paraId="3119BB3A" w14:textId="77777777" w:rsidR="004B0883" w:rsidRDefault="004B0883">
            <w:pPr>
              <w:adjustRightInd w:val="0"/>
              <w:snapToGrid w:val="0"/>
              <w:jc w:val="right"/>
              <w:rPr>
                <w:color w:val="000000"/>
              </w:rPr>
            </w:pPr>
            <w:r>
              <w:rPr>
                <w:rFonts w:hAnsi="微软雅黑" w:cs="微软雅黑" w:hint="eastAsia"/>
                <w:kern w:val="0"/>
              </w:rPr>
              <w:t>1,666.00</w:t>
            </w:r>
          </w:p>
        </w:tc>
      </w:tr>
      <w:tr w:rsidR="004B0883" w14:paraId="6C3FA4A1" w14:textId="77777777">
        <w:trPr>
          <w:trHeight w:val="397"/>
          <w:jc w:val="center"/>
        </w:trPr>
        <w:tc>
          <w:tcPr>
            <w:tcW w:w="895" w:type="pct"/>
            <w:tcMar>
              <w:top w:w="0" w:type="dxa"/>
              <w:bottom w:w="0" w:type="dxa"/>
            </w:tcMar>
            <w:vAlign w:val="center"/>
          </w:tcPr>
          <w:p w14:paraId="3432234B" w14:textId="77777777" w:rsidR="004B0883" w:rsidRDefault="004B0883">
            <w:pPr>
              <w:widowControl w:val="0"/>
              <w:adjustRightInd w:val="0"/>
              <w:snapToGrid w:val="0"/>
              <w:jc w:val="center"/>
              <w:rPr>
                <w:color w:val="000000"/>
              </w:rPr>
            </w:pPr>
            <w:r>
              <w:rPr>
                <w:rFonts w:hint="eastAsia"/>
                <w:color w:val="000000"/>
              </w:rPr>
              <w:t>3</w:t>
            </w:r>
          </w:p>
        </w:tc>
        <w:tc>
          <w:tcPr>
            <w:tcW w:w="2413" w:type="pct"/>
            <w:tcMar>
              <w:top w:w="0" w:type="dxa"/>
              <w:bottom w:w="0" w:type="dxa"/>
            </w:tcMar>
            <w:vAlign w:val="center"/>
          </w:tcPr>
          <w:p w14:paraId="0280CB04" w14:textId="77777777" w:rsidR="004B0883" w:rsidRDefault="004B0883">
            <w:pPr>
              <w:widowControl w:val="0"/>
              <w:adjustRightInd w:val="0"/>
              <w:snapToGrid w:val="0"/>
              <w:rPr>
                <w:color w:val="000000"/>
              </w:rPr>
            </w:pPr>
            <w:r>
              <w:rPr>
                <w:rFonts w:hAnsi="微软雅黑" w:cs="微软雅黑" w:hint="eastAsia"/>
                <w:kern w:val="0"/>
              </w:rPr>
              <w:t>仓库</w:t>
            </w:r>
            <w:r>
              <w:rPr>
                <w:rFonts w:hAnsi="微软雅黑" w:cs="微软雅黑" w:hint="eastAsia"/>
                <w:kern w:val="0"/>
              </w:rPr>
              <w:t>+</w:t>
            </w:r>
            <w:r>
              <w:rPr>
                <w:rFonts w:hAnsi="微软雅黑" w:cs="微软雅黑" w:hint="eastAsia"/>
                <w:kern w:val="0"/>
              </w:rPr>
              <w:t>设备用房</w:t>
            </w:r>
          </w:p>
        </w:tc>
        <w:tc>
          <w:tcPr>
            <w:tcW w:w="1692" w:type="pct"/>
            <w:tcMar>
              <w:top w:w="0" w:type="dxa"/>
              <w:bottom w:w="0" w:type="dxa"/>
            </w:tcMar>
            <w:vAlign w:val="center"/>
          </w:tcPr>
          <w:p w14:paraId="21F918F8" w14:textId="77777777" w:rsidR="004B0883" w:rsidRDefault="004B0883">
            <w:pPr>
              <w:widowControl w:val="0"/>
              <w:adjustRightInd w:val="0"/>
              <w:snapToGrid w:val="0"/>
              <w:jc w:val="right"/>
              <w:rPr>
                <w:color w:val="000000"/>
              </w:rPr>
            </w:pPr>
            <w:r>
              <w:rPr>
                <w:rFonts w:hAnsi="微软雅黑" w:cs="微软雅黑" w:hint="eastAsia"/>
                <w:kern w:val="0"/>
              </w:rPr>
              <w:t>272.00</w:t>
            </w:r>
          </w:p>
        </w:tc>
      </w:tr>
      <w:tr w:rsidR="004B0883" w14:paraId="46054418" w14:textId="77777777">
        <w:trPr>
          <w:trHeight w:val="397"/>
          <w:jc w:val="center"/>
        </w:trPr>
        <w:tc>
          <w:tcPr>
            <w:tcW w:w="895" w:type="pct"/>
            <w:tcMar>
              <w:top w:w="0" w:type="dxa"/>
              <w:bottom w:w="0" w:type="dxa"/>
            </w:tcMar>
            <w:vAlign w:val="center"/>
          </w:tcPr>
          <w:p w14:paraId="609BB0B8" w14:textId="77777777" w:rsidR="004B0883" w:rsidRDefault="004B0883">
            <w:pPr>
              <w:widowControl w:val="0"/>
              <w:adjustRightInd w:val="0"/>
              <w:snapToGrid w:val="0"/>
              <w:jc w:val="center"/>
              <w:rPr>
                <w:rFonts w:hint="eastAsia"/>
                <w:color w:val="000000"/>
              </w:rPr>
            </w:pPr>
            <w:r>
              <w:rPr>
                <w:rFonts w:hint="eastAsia"/>
                <w:color w:val="000000"/>
              </w:rPr>
              <w:t>4</w:t>
            </w:r>
          </w:p>
        </w:tc>
        <w:tc>
          <w:tcPr>
            <w:tcW w:w="2413" w:type="pct"/>
            <w:tcMar>
              <w:top w:w="0" w:type="dxa"/>
              <w:bottom w:w="0" w:type="dxa"/>
            </w:tcMar>
            <w:vAlign w:val="center"/>
          </w:tcPr>
          <w:p w14:paraId="4FD762FA" w14:textId="77777777" w:rsidR="004B0883" w:rsidRDefault="004B0883">
            <w:pPr>
              <w:widowControl w:val="0"/>
              <w:adjustRightInd w:val="0"/>
              <w:snapToGrid w:val="0"/>
              <w:rPr>
                <w:rFonts w:hint="eastAsia"/>
                <w:color w:val="000000"/>
              </w:rPr>
            </w:pPr>
            <w:r>
              <w:rPr>
                <w:rFonts w:hAnsi="微软雅黑" w:cs="微软雅黑" w:hint="eastAsia"/>
                <w:kern w:val="0"/>
              </w:rPr>
              <w:t>机动车车棚</w:t>
            </w:r>
          </w:p>
        </w:tc>
        <w:tc>
          <w:tcPr>
            <w:tcW w:w="1692" w:type="pct"/>
            <w:tcMar>
              <w:top w:w="0" w:type="dxa"/>
              <w:bottom w:w="0" w:type="dxa"/>
            </w:tcMar>
            <w:vAlign w:val="center"/>
          </w:tcPr>
          <w:p w14:paraId="14FCEC63" w14:textId="77777777" w:rsidR="004B0883" w:rsidRDefault="004B0883">
            <w:pPr>
              <w:widowControl w:val="0"/>
              <w:adjustRightInd w:val="0"/>
              <w:snapToGrid w:val="0"/>
              <w:jc w:val="right"/>
              <w:rPr>
                <w:color w:val="000000"/>
              </w:rPr>
            </w:pPr>
            <w:r>
              <w:rPr>
                <w:rFonts w:hAnsi="微软雅黑" w:cs="微软雅黑" w:hint="eastAsia"/>
                <w:kern w:val="0"/>
              </w:rPr>
              <w:t>114.00</w:t>
            </w:r>
          </w:p>
        </w:tc>
      </w:tr>
      <w:tr w:rsidR="004B0883" w14:paraId="70E35275" w14:textId="77777777">
        <w:trPr>
          <w:trHeight w:val="397"/>
          <w:jc w:val="center"/>
        </w:trPr>
        <w:tc>
          <w:tcPr>
            <w:tcW w:w="895" w:type="pct"/>
            <w:tcMar>
              <w:top w:w="0" w:type="dxa"/>
              <w:bottom w:w="0" w:type="dxa"/>
            </w:tcMar>
            <w:vAlign w:val="center"/>
          </w:tcPr>
          <w:p w14:paraId="5312140D" w14:textId="77777777" w:rsidR="004B0883" w:rsidRDefault="004B0883">
            <w:pPr>
              <w:widowControl w:val="0"/>
              <w:adjustRightInd w:val="0"/>
              <w:snapToGrid w:val="0"/>
              <w:jc w:val="center"/>
              <w:rPr>
                <w:rFonts w:hint="eastAsia"/>
                <w:color w:val="000000"/>
              </w:rPr>
            </w:pPr>
            <w:r>
              <w:rPr>
                <w:rFonts w:hint="eastAsia"/>
                <w:color w:val="000000"/>
              </w:rPr>
              <w:t>5</w:t>
            </w:r>
          </w:p>
        </w:tc>
        <w:tc>
          <w:tcPr>
            <w:tcW w:w="2413" w:type="pct"/>
            <w:tcMar>
              <w:top w:w="0" w:type="dxa"/>
              <w:bottom w:w="0" w:type="dxa"/>
            </w:tcMar>
            <w:vAlign w:val="center"/>
          </w:tcPr>
          <w:p w14:paraId="77980D90" w14:textId="77777777" w:rsidR="004B0883" w:rsidRDefault="004B0883">
            <w:pPr>
              <w:widowControl w:val="0"/>
              <w:adjustRightInd w:val="0"/>
              <w:snapToGrid w:val="0"/>
              <w:rPr>
                <w:rFonts w:hint="eastAsia"/>
                <w:color w:val="000000"/>
              </w:rPr>
            </w:pPr>
            <w:r>
              <w:rPr>
                <w:rFonts w:hAnsi="微软雅黑" w:cs="微软雅黑" w:hint="eastAsia"/>
                <w:kern w:val="0"/>
              </w:rPr>
              <w:t>地下停车场</w:t>
            </w:r>
          </w:p>
        </w:tc>
        <w:tc>
          <w:tcPr>
            <w:tcW w:w="1692" w:type="pct"/>
            <w:tcMar>
              <w:top w:w="0" w:type="dxa"/>
              <w:bottom w:w="0" w:type="dxa"/>
            </w:tcMar>
            <w:vAlign w:val="center"/>
          </w:tcPr>
          <w:p w14:paraId="1F4D3B29" w14:textId="77777777" w:rsidR="004B0883" w:rsidRDefault="004B0883">
            <w:pPr>
              <w:widowControl w:val="0"/>
              <w:adjustRightInd w:val="0"/>
              <w:snapToGrid w:val="0"/>
              <w:jc w:val="right"/>
              <w:rPr>
                <w:color w:val="000000"/>
              </w:rPr>
            </w:pPr>
            <w:r>
              <w:rPr>
                <w:rFonts w:hAnsi="微软雅黑" w:cs="微软雅黑" w:hint="eastAsia"/>
                <w:kern w:val="0"/>
              </w:rPr>
              <w:t>1,280.00</w:t>
            </w:r>
          </w:p>
        </w:tc>
      </w:tr>
      <w:tr w:rsidR="004B0883" w14:paraId="708222A5" w14:textId="77777777">
        <w:trPr>
          <w:trHeight w:val="397"/>
          <w:jc w:val="center"/>
        </w:trPr>
        <w:tc>
          <w:tcPr>
            <w:tcW w:w="895" w:type="pct"/>
            <w:tcMar>
              <w:top w:w="0" w:type="dxa"/>
              <w:bottom w:w="0" w:type="dxa"/>
            </w:tcMar>
            <w:vAlign w:val="center"/>
          </w:tcPr>
          <w:p w14:paraId="5BDF460B" w14:textId="77777777" w:rsidR="004B0883" w:rsidRDefault="004B0883">
            <w:pPr>
              <w:widowControl w:val="0"/>
              <w:adjustRightInd w:val="0"/>
              <w:snapToGrid w:val="0"/>
              <w:jc w:val="center"/>
              <w:rPr>
                <w:rFonts w:hint="eastAsia"/>
                <w:color w:val="000000"/>
              </w:rPr>
            </w:pPr>
            <w:r>
              <w:rPr>
                <w:rFonts w:hint="eastAsia"/>
                <w:color w:val="000000"/>
              </w:rPr>
              <w:t>6</w:t>
            </w:r>
          </w:p>
        </w:tc>
        <w:tc>
          <w:tcPr>
            <w:tcW w:w="2413" w:type="pct"/>
            <w:tcMar>
              <w:top w:w="0" w:type="dxa"/>
              <w:bottom w:w="0" w:type="dxa"/>
            </w:tcMar>
            <w:vAlign w:val="center"/>
          </w:tcPr>
          <w:p w14:paraId="1F8EF16F" w14:textId="77777777" w:rsidR="004B0883" w:rsidRDefault="004B0883">
            <w:pPr>
              <w:widowControl w:val="0"/>
              <w:adjustRightInd w:val="0"/>
              <w:snapToGrid w:val="0"/>
              <w:rPr>
                <w:rFonts w:hint="eastAsia"/>
                <w:color w:val="000000"/>
              </w:rPr>
            </w:pPr>
            <w:r>
              <w:rPr>
                <w:rFonts w:hAnsi="微软雅黑" w:cs="微软雅黑" w:hint="eastAsia"/>
                <w:kern w:val="0"/>
              </w:rPr>
              <w:t>给排水消防系统</w:t>
            </w:r>
          </w:p>
        </w:tc>
        <w:tc>
          <w:tcPr>
            <w:tcW w:w="1692" w:type="pct"/>
            <w:tcMar>
              <w:top w:w="0" w:type="dxa"/>
              <w:bottom w:w="0" w:type="dxa"/>
            </w:tcMar>
            <w:vAlign w:val="center"/>
          </w:tcPr>
          <w:p w14:paraId="49D0F635" w14:textId="77777777" w:rsidR="004B0883" w:rsidRDefault="004B0883">
            <w:pPr>
              <w:widowControl w:val="0"/>
              <w:adjustRightInd w:val="0"/>
              <w:snapToGrid w:val="0"/>
              <w:jc w:val="right"/>
              <w:rPr>
                <w:color w:val="000000"/>
              </w:rPr>
            </w:pPr>
            <w:r>
              <w:rPr>
                <w:rFonts w:hAnsi="微软雅黑" w:cs="微软雅黑" w:hint="eastAsia"/>
                <w:kern w:val="0"/>
              </w:rPr>
              <w:t>300.00</w:t>
            </w:r>
          </w:p>
        </w:tc>
      </w:tr>
      <w:tr w:rsidR="004B0883" w14:paraId="0E182990" w14:textId="77777777">
        <w:trPr>
          <w:trHeight w:val="397"/>
          <w:jc w:val="center"/>
        </w:trPr>
        <w:tc>
          <w:tcPr>
            <w:tcW w:w="895" w:type="pct"/>
            <w:tcMar>
              <w:top w:w="0" w:type="dxa"/>
              <w:bottom w:w="0" w:type="dxa"/>
            </w:tcMar>
            <w:vAlign w:val="center"/>
          </w:tcPr>
          <w:p w14:paraId="4B781A83" w14:textId="77777777" w:rsidR="004B0883" w:rsidRDefault="004B0883">
            <w:pPr>
              <w:widowControl w:val="0"/>
              <w:adjustRightInd w:val="0"/>
              <w:snapToGrid w:val="0"/>
              <w:jc w:val="center"/>
              <w:rPr>
                <w:rFonts w:hint="eastAsia"/>
                <w:color w:val="000000"/>
              </w:rPr>
            </w:pPr>
            <w:r>
              <w:rPr>
                <w:rFonts w:hint="eastAsia"/>
                <w:color w:val="000000"/>
              </w:rPr>
              <w:t>7</w:t>
            </w:r>
          </w:p>
        </w:tc>
        <w:tc>
          <w:tcPr>
            <w:tcW w:w="2413" w:type="pct"/>
            <w:tcMar>
              <w:top w:w="0" w:type="dxa"/>
              <w:bottom w:w="0" w:type="dxa"/>
            </w:tcMar>
            <w:vAlign w:val="center"/>
          </w:tcPr>
          <w:p w14:paraId="599DF61F" w14:textId="77777777" w:rsidR="004B0883" w:rsidRDefault="004B0883">
            <w:pPr>
              <w:widowControl w:val="0"/>
              <w:adjustRightInd w:val="0"/>
              <w:snapToGrid w:val="0"/>
              <w:rPr>
                <w:rFonts w:hint="eastAsia"/>
                <w:color w:val="000000"/>
              </w:rPr>
            </w:pPr>
            <w:r>
              <w:rPr>
                <w:rFonts w:hAnsi="微软雅黑" w:cs="微软雅黑" w:hint="eastAsia"/>
                <w:kern w:val="0"/>
              </w:rPr>
              <w:t>空调暖通系统</w:t>
            </w:r>
          </w:p>
        </w:tc>
        <w:tc>
          <w:tcPr>
            <w:tcW w:w="1692" w:type="pct"/>
            <w:tcMar>
              <w:top w:w="0" w:type="dxa"/>
              <w:bottom w:w="0" w:type="dxa"/>
            </w:tcMar>
            <w:vAlign w:val="center"/>
          </w:tcPr>
          <w:p w14:paraId="1BF7D7A2" w14:textId="77777777" w:rsidR="004B0883" w:rsidRDefault="004B0883">
            <w:pPr>
              <w:widowControl w:val="0"/>
              <w:adjustRightInd w:val="0"/>
              <w:snapToGrid w:val="0"/>
              <w:jc w:val="right"/>
              <w:rPr>
                <w:color w:val="000000"/>
              </w:rPr>
            </w:pPr>
            <w:r>
              <w:rPr>
                <w:rFonts w:hAnsi="微软雅黑" w:cs="微软雅黑" w:hint="eastAsia"/>
                <w:kern w:val="0"/>
              </w:rPr>
              <w:t>300.00</w:t>
            </w:r>
          </w:p>
        </w:tc>
      </w:tr>
      <w:tr w:rsidR="004B0883" w14:paraId="04B5A9E9" w14:textId="77777777">
        <w:trPr>
          <w:trHeight w:val="397"/>
          <w:jc w:val="center"/>
        </w:trPr>
        <w:tc>
          <w:tcPr>
            <w:tcW w:w="895" w:type="pct"/>
            <w:tcMar>
              <w:top w:w="0" w:type="dxa"/>
              <w:bottom w:w="0" w:type="dxa"/>
            </w:tcMar>
            <w:vAlign w:val="center"/>
          </w:tcPr>
          <w:p w14:paraId="4FFF2645" w14:textId="77777777" w:rsidR="004B0883" w:rsidRDefault="004B0883">
            <w:pPr>
              <w:widowControl w:val="0"/>
              <w:adjustRightInd w:val="0"/>
              <w:snapToGrid w:val="0"/>
              <w:jc w:val="center"/>
              <w:rPr>
                <w:rFonts w:hint="eastAsia"/>
                <w:color w:val="000000"/>
              </w:rPr>
            </w:pPr>
            <w:r>
              <w:rPr>
                <w:rFonts w:hint="eastAsia"/>
                <w:color w:val="000000"/>
              </w:rPr>
              <w:t>8</w:t>
            </w:r>
          </w:p>
        </w:tc>
        <w:tc>
          <w:tcPr>
            <w:tcW w:w="2413" w:type="pct"/>
            <w:tcMar>
              <w:top w:w="0" w:type="dxa"/>
              <w:bottom w:w="0" w:type="dxa"/>
            </w:tcMar>
            <w:vAlign w:val="center"/>
          </w:tcPr>
          <w:p w14:paraId="0A6BFE4F" w14:textId="77777777" w:rsidR="004B0883" w:rsidRDefault="004B0883">
            <w:pPr>
              <w:widowControl w:val="0"/>
              <w:adjustRightInd w:val="0"/>
              <w:snapToGrid w:val="0"/>
              <w:rPr>
                <w:rFonts w:hint="eastAsia"/>
                <w:color w:val="000000"/>
              </w:rPr>
            </w:pPr>
            <w:r>
              <w:rPr>
                <w:rFonts w:hAnsi="微软雅黑" w:cs="微软雅黑" w:hint="eastAsia"/>
                <w:kern w:val="0"/>
              </w:rPr>
              <w:t>电梯；货梯系统</w:t>
            </w:r>
          </w:p>
        </w:tc>
        <w:tc>
          <w:tcPr>
            <w:tcW w:w="1692" w:type="pct"/>
            <w:tcMar>
              <w:top w:w="0" w:type="dxa"/>
              <w:bottom w:w="0" w:type="dxa"/>
            </w:tcMar>
            <w:vAlign w:val="center"/>
          </w:tcPr>
          <w:p w14:paraId="6C07DCFC" w14:textId="77777777" w:rsidR="004B0883" w:rsidRDefault="004B0883">
            <w:pPr>
              <w:widowControl w:val="0"/>
              <w:adjustRightInd w:val="0"/>
              <w:snapToGrid w:val="0"/>
              <w:jc w:val="right"/>
              <w:rPr>
                <w:color w:val="000000"/>
              </w:rPr>
            </w:pPr>
            <w:r>
              <w:rPr>
                <w:rFonts w:hAnsi="微软雅黑" w:cs="微软雅黑" w:hint="eastAsia"/>
                <w:kern w:val="0"/>
              </w:rPr>
              <w:t>120.00</w:t>
            </w:r>
          </w:p>
        </w:tc>
      </w:tr>
      <w:tr w:rsidR="004B0883" w14:paraId="68A9BBF1" w14:textId="77777777">
        <w:trPr>
          <w:trHeight w:val="397"/>
          <w:jc w:val="center"/>
        </w:trPr>
        <w:tc>
          <w:tcPr>
            <w:tcW w:w="895" w:type="pct"/>
            <w:tcMar>
              <w:top w:w="0" w:type="dxa"/>
              <w:bottom w:w="0" w:type="dxa"/>
            </w:tcMar>
            <w:vAlign w:val="center"/>
          </w:tcPr>
          <w:p w14:paraId="4843F496" w14:textId="77777777" w:rsidR="004B0883" w:rsidRDefault="004B0883">
            <w:pPr>
              <w:widowControl w:val="0"/>
              <w:adjustRightInd w:val="0"/>
              <w:snapToGrid w:val="0"/>
              <w:jc w:val="center"/>
              <w:rPr>
                <w:rFonts w:hint="eastAsia"/>
                <w:color w:val="000000"/>
              </w:rPr>
            </w:pPr>
            <w:r>
              <w:rPr>
                <w:rFonts w:hint="eastAsia"/>
                <w:color w:val="000000"/>
              </w:rPr>
              <w:t>9</w:t>
            </w:r>
          </w:p>
        </w:tc>
        <w:tc>
          <w:tcPr>
            <w:tcW w:w="2413" w:type="pct"/>
            <w:tcMar>
              <w:top w:w="0" w:type="dxa"/>
              <w:bottom w:w="0" w:type="dxa"/>
            </w:tcMar>
            <w:vAlign w:val="center"/>
          </w:tcPr>
          <w:p w14:paraId="720AE705" w14:textId="77777777" w:rsidR="004B0883" w:rsidRDefault="004B0883">
            <w:pPr>
              <w:widowControl w:val="0"/>
              <w:adjustRightInd w:val="0"/>
              <w:snapToGrid w:val="0"/>
              <w:rPr>
                <w:rFonts w:hint="eastAsia"/>
                <w:color w:val="000000"/>
              </w:rPr>
            </w:pPr>
            <w:r>
              <w:rPr>
                <w:rFonts w:hAnsi="微软雅黑" w:cs="微软雅黑" w:hint="eastAsia"/>
                <w:kern w:val="0"/>
              </w:rPr>
              <w:t>安防系统</w:t>
            </w:r>
          </w:p>
        </w:tc>
        <w:tc>
          <w:tcPr>
            <w:tcW w:w="1692" w:type="pct"/>
            <w:tcMar>
              <w:top w:w="0" w:type="dxa"/>
              <w:bottom w:w="0" w:type="dxa"/>
            </w:tcMar>
            <w:vAlign w:val="center"/>
          </w:tcPr>
          <w:p w14:paraId="274DA46D" w14:textId="77777777" w:rsidR="004B0883" w:rsidRDefault="004B0883">
            <w:pPr>
              <w:widowControl w:val="0"/>
              <w:adjustRightInd w:val="0"/>
              <w:snapToGrid w:val="0"/>
              <w:jc w:val="right"/>
              <w:rPr>
                <w:color w:val="000000"/>
              </w:rPr>
            </w:pPr>
            <w:r>
              <w:rPr>
                <w:rFonts w:hAnsi="微软雅黑" w:cs="微软雅黑" w:hint="eastAsia"/>
                <w:kern w:val="0"/>
              </w:rPr>
              <w:t>100.00</w:t>
            </w:r>
          </w:p>
        </w:tc>
      </w:tr>
      <w:tr w:rsidR="004B0883" w14:paraId="6FBACC3C" w14:textId="77777777">
        <w:trPr>
          <w:trHeight w:val="397"/>
          <w:jc w:val="center"/>
        </w:trPr>
        <w:tc>
          <w:tcPr>
            <w:tcW w:w="895" w:type="pct"/>
            <w:tcMar>
              <w:top w:w="0" w:type="dxa"/>
              <w:bottom w:w="0" w:type="dxa"/>
            </w:tcMar>
            <w:vAlign w:val="center"/>
          </w:tcPr>
          <w:p w14:paraId="529BFE4B" w14:textId="77777777" w:rsidR="004B0883" w:rsidRDefault="004B0883">
            <w:pPr>
              <w:widowControl w:val="0"/>
              <w:adjustRightInd w:val="0"/>
              <w:snapToGrid w:val="0"/>
              <w:jc w:val="center"/>
              <w:rPr>
                <w:rFonts w:hint="eastAsia"/>
                <w:color w:val="000000"/>
              </w:rPr>
            </w:pPr>
            <w:r>
              <w:rPr>
                <w:rFonts w:hint="eastAsia"/>
                <w:color w:val="000000"/>
              </w:rPr>
              <w:t>1</w:t>
            </w:r>
            <w:r>
              <w:rPr>
                <w:color w:val="000000"/>
              </w:rPr>
              <w:t>0</w:t>
            </w:r>
          </w:p>
        </w:tc>
        <w:tc>
          <w:tcPr>
            <w:tcW w:w="2413" w:type="pct"/>
            <w:tcMar>
              <w:top w:w="0" w:type="dxa"/>
              <w:bottom w:w="0" w:type="dxa"/>
            </w:tcMar>
            <w:vAlign w:val="center"/>
          </w:tcPr>
          <w:p w14:paraId="457752BF" w14:textId="77777777" w:rsidR="004B0883" w:rsidRDefault="004B0883">
            <w:pPr>
              <w:widowControl w:val="0"/>
              <w:adjustRightInd w:val="0"/>
              <w:snapToGrid w:val="0"/>
              <w:rPr>
                <w:rFonts w:hint="eastAsia"/>
                <w:color w:val="000000"/>
              </w:rPr>
            </w:pPr>
            <w:r>
              <w:rPr>
                <w:rFonts w:hAnsi="微软雅黑" w:cs="微软雅黑" w:hint="eastAsia"/>
                <w:kern w:val="0"/>
              </w:rPr>
              <w:t>园区绿化</w:t>
            </w:r>
          </w:p>
        </w:tc>
        <w:tc>
          <w:tcPr>
            <w:tcW w:w="1692" w:type="pct"/>
            <w:tcMar>
              <w:top w:w="0" w:type="dxa"/>
              <w:bottom w:w="0" w:type="dxa"/>
            </w:tcMar>
            <w:vAlign w:val="center"/>
          </w:tcPr>
          <w:p w14:paraId="0DAE3884" w14:textId="77777777" w:rsidR="004B0883" w:rsidRDefault="004B0883">
            <w:pPr>
              <w:widowControl w:val="0"/>
              <w:adjustRightInd w:val="0"/>
              <w:snapToGrid w:val="0"/>
              <w:jc w:val="right"/>
              <w:rPr>
                <w:color w:val="000000"/>
              </w:rPr>
            </w:pPr>
            <w:r>
              <w:rPr>
                <w:rFonts w:hAnsi="微软雅黑" w:cs="微软雅黑" w:hint="eastAsia"/>
                <w:kern w:val="0"/>
              </w:rPr>
              <w:t>200.00</w:t>
            </w:r>
          </w:p>
        </w:tc>
      </w:tr>
      <w:tr w:rsidR="004B0883" w14:paraId="2912F91A" w14:textId="77777777">
        <w:trPr>
          <w:trHeight w:val="397"/>
          <w:jc w:val="center"/>
        </w:trPr>
        <w:tc>
          <w:tcPr>
            <w:tcW w:w="3308" w:type="pct"/>
            <w:gridSpan w:val="2"/>
            <w:tcMar>
              <w:top w:w="0" w:type="dxa"/>
              <w:bottom w:w="0" w:type="dxa"/>
            </w:tcMar>
            <w:vAlign w:val="center"/>
          </w:tcPr>
          <w:p w14:paraId="6C3A010C" w14:textId="77777777" w:rsidR="004B0883" w:rsidRDefault="004B0883">
            <w:pPr>
              <w:widowControl w:val="0"/>
              <w:adjustRightInd w:val="0"/>
              <w:snapToGrid w:val="0"/>
              <w:jc w:val="center"/>
              <w:rPr>
                <w:b/>
                <w:bCs/>
                <w:color w:val="000000"/>
              </w:rPr>
            </w:pPr>
            <w:r>
              <w:rPr>
                <w:rFonts w:hint="eastAsia"/>
                <w:b/>
                <w:bCs/>
                <w:color w:val="000000"/>
              </w:rPr>
              <w:t>合计</w:t>
            </w:r>
          </w:p>
        </w:tc>
        <w:tc>
          <w:tcPr>
            <w:tcW w:w="1692" w:type="pct"/>
            <w:tcMar>
              <w:top w:w="0" w:type="dxa"/>
              <w:bottom w:w="0" w:type="dxa"/>
            </w:tcMar>
            <w:vAlign w:val="center"/>
          </w:tcPr>
          <w:p w14:paraId="08470EE4" w14:textId="77777777" w:rsidR="004B0883" w:rsidRDefault="004B0883">
            <w:pPr>
              <w:widowControl w:val="0"/>
              <w:adjustRightInd w:val="0"/>
              <w:snapToGrid w:val="0"/>
              <w:jc w:val="right"/>
              <w:rPr>
                <w:b/>
                <w:bCs/>
                <w:color w:val="000000"/>
              </w:rPr>
            </w:pPr>
            <w:r>
              <w:rPr>
                <w:b/>
                <w:bCs/>
                <w:color w:val="000000"/>
              </w:rPr>
              <w:t>11,849.00</w:t>
            </w:r>
          </w:p>
        </w:tc>
      </w:tr>
    </w:tbl>
    <w:bookmarkEnd w:id="432"/>
    <w:p w14:paraId="57EB1DBB" w14:textId="77777777" w:rsidR="004B0883" w:rsidRDefault="004B0883">
      <w:pPr>
        <w:keepNext/>
        <w:keepLines/>
        <w:widowControl w:val="0"/>
        <w:spacing w:beforeLines="50" w:before="120" w:line="360" w:lineRule="auto"/>
        <w:ind w:firstLineChars="200" w:firstLine="480"/>
        <w:jc w:val="both"/>
        <w:outlineLvl w:val="4"/>
        <w:rPr>
          <w:sz w:val="24"/>
          <w:szCs w:val="22"/>
        </w:rPr>
      </w:pPr>
      <w:r>
        <w:rPr>
          <w:rFonts w:hint="eastAsia"/>
          <w:sz w:val="24"/>
          <w:szCs w:val="22"/>
        </w:rPr>
        <w:t>（</w:t>
      </w:r>
      <w:r>
        <w:rPr>
          <w:rFonts w:hint="eastAsia"/>
          <w:sz w:val="24"/>
          <w:szCs w:val="22"/>
        </w:rPr>
        <w:t>2</w:t>
      </w:r>
      <w:r>
        <w:rPr>
          <w:rFonts w:hint="eastAsia"/>
          <w:sz w:val="24"/>
          <w:szCs w:val="22"/>
        </w:rPr>
        <w:t>）设备投资</w:t>
      </w:r>
    </w:p>
    <w:p w14:paraId="71E06D1E" w14:textId="77777777" w:rsidR="004B0883" w:rsidRDefault="004B0883">
      <w:pPr>
        <w:widowControl w:val="0"/>
        <w:spacing w:beforeLines="50" w:before="120" w:line="360" w:lineRule="auto"/>
        <w:ind w:firstLineChars="200" w:firstLine="480"/>
        <w:jc w:val="both"/>
        <w:rPr>
          <w:sz w:val="24"/>
          <w:szCs w:val="22"/>
        </w:rPr>
      </w:pPr>
      <w:bookmarkStart w:id="433" w:name="_Hlk107568343"/>
      <w:r>
        <w:rPr>
          <w:rFonts w:hint="eastAsia"/>
          <w:sz w:val="24"/>
          <w:szCs w:val="22"/>
        </w:rPr>
        <w:t>设备费用估算是基于项目各机构需要配备，项目所需的硬件设备型号、单价等由采购部门对相关供应商询价来确认，并根据供应商最新报价计算了运杂费及其他费用等。本项目设备购置及安装费用共计</w:t>
      </w:r>
      <w:r>
        <w:rPr>
          <w:rFonts w:hint="eastAsia"/>
          <w:sz w:val="24"/>
          <w:szCs w:val="22"/>
        </w:rPr>
        <w:t>15,014.84</w:t>
      </w:r>
      <w:r>
        <w:rPr>
          <w:rFonts w:hint="eastAsia"/>
          <w:sz w:val="24"/>
          <w:szCs w:val="22"/>
        </w:rPr>
        <w:t>万元，具体如下：</w:t>
      </w:r>
    </w:p>
    <w:p w14:paraId="49C6FE1A" w14:textId="77777777" w:rsidR="004B0883" w:rsidRDefault="004B0883">
      <w:pPr>
        <w:keepNext/>
        <w:widowControl w:val="0"/>
        <w:jc w:val="right"/>
        <w:rPr>
          <w:color w:val="000000"/>
        </w:rPr>
      </w:pPr>
      <w:r>
        <w:rPr>
          <w:color w:val="000000"/>
        </w:rPr>
        <w:t>单位：万元</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82"/>
        <w:gridCol w:w="3991"/>
        <w:gridCol w:w="2807"/>
      </w:tblGrid>
      <w:tr w:rsidR="004B0883" w14:paraId="7AD3449F" w14:textId="77777777">
        <w:trPr>
          <w:trHeight w:val="397"/>
          <w:tblHeader/>
          <w:jc w:val="center"/>
        </w:trPr>
        <w:tc>
          <w:tcPr>
            <w:tcW w:w="895" w:type="pct"/>
            <w:shd w:val="clear" w:color="auto" w:fill="D9D9D9"/>
            <w:tcMar>
              <w:top w:w="0" w:type="dxa"/>
              <w:bottom w:w="0" w:type="dxa"/>
            </w:tcMar>
            <w:vAlign w:val="center"/>
          </w:tcPr>
          <w:p w14:paraId="720EFBFE" w14:textId="77777777" w:rsidR="004B0883" w:rsidRDefault="004B0883">
            <w:pPr>
              <w:widowControl w:val="0"/>
              <w:adjustRightInd w:val="0"/>
              <w:snapToGrid w:val="0"/>
              <w:jc w:val="center"/>
              <w:rPr>
                <w:b/>
                <w:bCs/>
                <w:kern w:val="0"/>
              </w:rPr>
            </w:pPr>
            <w:r>
              <w:rPr>
                <w:rFonts w:hint="eastAsia"/>
                <w:b/>
                <w:bCs/>
                <w:kern w:val="0"/>
              </w:rPr>
              <w:t>序号</w:t>
            </w:r>
          </w:p>
        </w:tc>
        <w:tc>
          <w:tcPr>
            <w:tcW w:w="2410" w:type="pct"/>
            <w:shd w:val="clear" w:color="auto" w:fill="D9D9D9"/>
            <w:tcMar>
              <w:top w:w="0" w:type="dxa"/>
              <w:bottom w:w="0" w:type="dxa"/>
            </w:tcMar>
            <w:vAlign w:val="center"/>
          </w:tcPr>
          <w:p w14:paraId="43E6233A" w14:textId="77777777" w:rsidR="004B0883" w:rsidRDefault="004B0883">
            <w:pPr>
              <w:widowControl w:val="0"/>
              <w:adjustRightInd w:val="0"/>
              <w:snapToGrid w:val="0"/>
              <w:jc w:val="center"/>
              <w:rPr>
                <w:b/>
                <w:bCs/>
                <w:kern w:val="0"/>
              </w:rPr>
            </w:pPr>
            <w:r>
              <w:rPr>
                <w:rFonts w:hint="eastAsia"/>
                <w:b/>
                <w:bCs/>
                <w:kern w:val="0"/>
              </w:rPr>
              <w:t>项目</w:t>
            </w:r>
          </w:p>
        </w:tc>
        <w:tc>
          <w:tcPr>
            <w:tcW w:w="1695" w:type="pct"/>
            <w:shd w:val="clear" w:color="auto" w:fill="D9D9D9"/>
            <w:tcMar>
              <w:top w:w="0" w:type="dxa"/>
              <w:bottom w:w="0" w:type="dxa"/>
            </w:tcMar>
            <w:vAlign w:val="center"/>
          </w:tcPr>
          <w:p w14:paraId="6EE24DE5" w14:textId="77777777" w:rsidR="004B0883" w:rsidRDefault="004B0883">
            <w:pPr>
              <w:widowControl w:val="0"/>
              <w:adjustRightInd w:val="0"/>
              <w:snapToGrid w:val="0"/>
              <w:jc w:val="center"/>
              <w:rPr>
                <w:b/>
                <w:bCs/>
                <w:kern w:val="0"/>
              </w:rPr>
            </w:pPr>
            <w:r>
              <w:rPr>
                <w:rFonts w:hint="eastAsia"/>
                <w:b/>
              </w:rPr>
              <w:t>使用募集资金金额</w:t>
            </w:r>
          </w:p>
        </w:tc>
      </w:tr>
      <w:tr w:rsidR="004B0883" w14:paraId="5760F10A" w14:textId="77777777">
        <w:trPr>
          <w:trHeight w:val="397"/>
          <w:jc w:val="center"/>
        </w:trPr>
        <w:tc>
          <w:tcPr>
            <w:tcW w:w="895" w:type="pct"/>
            <w:tcMar>
              <w:top w:w="0" w:type="dxa"/>
              <w:bottom w:w="0" w:type="dxa"/>
            </w:tcMar>
            <w:vAlign w:val="center"/>
          </w:tcPr>
          <w:p w14:paraId="15FC8079" w14:textId="77777777" w:rsidR="004B0883" w:rsidRDefault="004B0883">
            <w:pPr>
              <w:widowControl w:val="0"/>
              <w:adjustRightInd w:val="0"/>
              <w:snapToGrid w:val="0"/>
              <w:jc w:val="center"/>
              <w:rPr>
                <w:kern w:val="0"/>
              </w:rPr>
            </w:pPr>
            <w:r>
              <w:rPr>
                <w:rFonts w:hint="eastAsia"/>
                <w:kern w:val="0"/>
              </w:rPr>
              <w:t>1</w:t>
            </w:r>
          </w:p>
        </w:tc>
        <w:tc>
          <w:tcPr>
            <w:tcW w:w="2410" w:type="pct"/>
            <w:tcMar>
              <w:top w:w="0" w:type="dxa"/>
              <w:bottom w:w="0" w:type="dxa"/>
            </w:tcMar>
            <w:vAlign w:val="center"/>
          </w:tcPr>
          <w:p w14:paraId="12D96D6A" w14:textId="77777777" w:rsidR="004B0883" w:rsidRDefault="004B0883">
            <w:pPr>
              <w:widowControl w:val="0"/>
              <w:adjustRightInd w:val="0"/>
              <w:snapToGrid w:val="0"/>
              <w:rPr>
                <w:rFonts w:hint="eastAsia"/>
                <w:kern w:val="0"/>
              </w:rPr>
            </w:pPr>
            <w:r>
              <w:rPr>
                <w:rFonts w:hint="eastAsia"/>
                <w:kern w:val="0"/>
              </w:rPr>
              <w:t>生产设备</w:t>
            </w:r>
          </w:p>
        </w:tc>
        <w:tc>
          <w:tcPr>
            <w:tcW w:w="1695" w:type="pct"/>
            <w:tcMar>
              <w:top w:w="0" w:type="dxa"/>
              <w:bottom w:w="0" w:type="dxa"/>
            </w:tcMar>
            <w:vAlign w:val="center"/>
          </w:tcPr>
          <w:p w14:paraId="3A472B9D" w14:textId="77777777" w:rsidR="004B0883" w:rsidRDefault="004B0883">
            <w:pPr>
              <w:widowControl w:val="0"/>
              <w:adjustRightInd w:val="0"/>
              <w:snapToGrid w:val="0"/>
              <w:jc w:val="right"/>
              <w:rPr>
                <w:kern w:val="0"/>
              </w:rPr>
            </w:pPr>
            <w:r>
              <w:rPr>
                <w:kern w:val="0"/>
              </w:rPr>
              <w:t>13,921.30</w:t>
            </w:r>
          </w:p>
        </w:tc>
      </w:tr>
      <w:tr w:rsidR="004B0883" w14:paraId="4911C183" w14:textId="77777777">
        <w:trPr>
          <w:trHeight w:val="397"/>
          <w:jc w:val="center"/>
        </w:trPr>
        <w:tc>
          <w:tcPr>
            <w:tcW w:w="895" w:type="pct"/>
            <w:tcMar>
              <w:top w:w="0" w:type="dxa"/>
              <w:bottom w:w="0" w:type="dxa"/>
            </w:tcMar>
            <w:vAlign w:val="center"/>
          </w:tcPr>
          <w:p w14:paraId="3D0BDFA7" w14:textId="77777777" w:rsidR="004B0883" w:rsidRDefault="004B0883">
            <w:pPr>
              <w:widowControl w:val="0"/>
              <w:adjustRightInd w:val="0"/>
              <w:snapToGrid w:val="0"/>
              <w:jc w:val="center"/>
              <w:rPr>
                <w:kern w:val="0"/>
              </w:rPr>
            </w:pPr>
            <w:r>
              <w:rPr>
                <w:rFonts w:hint="eastAsia"/>
                <w:kern w:val="0"/>
              </w:rPr>
              <w:t>2</w:t>
            </w:r>
          </w:p>
        </w:tc>
        <w:tc>
          <w:tcPr>
            <w:tcW w:w="2410" w:type="pct"/>
            <w:tcMar>
              <w:top w:w="0" w:type="dxa"/>
              <w:bottom w:w="0" w:type="dxa"/>
            </w:tcMar>
            <w:vAlign w:val="center"/>
          </w:tcPr>
          <w:p w14:paraId="0B8FED67" w14:textId="77777777" w:rsidR="004B0883" w:rsidRDefault="004B0883">
            <w:pPr>
              <w:widowControl w:val="0"/>
              <w:adjustRightInd w:val="0"/>
              <w:snapToGrid w:val="0"/>
              <w:rPr>
                <w:rFonts w:hint="eastAsia"/>
                <w:kern w:val="0"/>
              </w:rPr>
            </w:pPr>
            <w:r>
              <w:rPr>
                <w:rFonts w:hint="eastAsia"/>
                <w:kern w:val="0"/>
              </w:rPr>
              <w:t>软件设备</w:t>
            </w:r>
          </w:p>
        </w:tc>
        <w:tc>
          <w:tcPr>
            <w:tcW w:w="1695" w:type="pct"/>
            <w:tcMar>
              <w:top w:w="0" w:type="dxa"/>
              <w:bottom w:w="0" w:type="dxa"/>
            </w:tcMar>
            <w:vAlign w:val="center"/>
          </w:tcPr>
          <w:p w14:paraId="2B9332D4" w14:textId="77777777" w:rsidR="004B0883" w:rsidRDefault="004B0883">
            <w:pPr>
              <w:widowControl w:val="0"/>
              <w:adjustRightInd w:val="0"/>
              <w:snapToGrid w:val="0"/>
              <w:jc w:val="right"/>
              <w:rPr>
                <w:kern w:val="0"/>
              </w:rPr>
            </w:pPr>
            <w:r>
              <w:rPr>
                <w:kern w:val="0"/>
              </w:rPr>
              <w:t>1,062.00</w:t>
            </w:r>
          </w:p>
        </w:tc>
      </w:tr>
      <w:tr w:rsidR="004B0883" w14:paraId="76F6F454" w14:textId="77777777">
        <w:trPr>
          <w:trHeight w:val="397"/>
          <w:jc w:val="center"/>
        </w:trPr>
        <w:tc>
          <w:tcPr>
            <w:tcW w:w="895" w:type="pct"/>
            <w:tcMar>
              <w:top w:w="0" w:type="dxa"/>
              <w:bottom w:w="0" w:type="dxa"/>
            </w:tcMar>
            <w:vAlign w:val="center"/>
          </w:tcPr>
          <w:p w14:paraId="493997E7" w14:textId="77777777" w:rsidR="004B0883" w:rsidRDefault="004B0883">
            <w:pPr>
              <w:widowControl w:val="0"/>
              <w:adjustRightInd w:val="0"/>
              <w:snapToGrid w:val="0"/>
              <w:jc w:val="center"/>
              <w:rPr>
                <w:rFonts w:hint="eastAsia"/>
                <w:kern w:val="0"/>
              </w:rPr>
            </w:pPr>
            <w:r>
              <w:rPr>
                <w:rFonts w:hint="eastAsia"/>
                <w:kern w:val="0"/>
              </w:rPr>
              <w:t>3</w:t>
            </w:r>
          </w:p>
        </w:tc>
        <w:tc>
          <w:tcPr>
            <w:tcW w:w="2410" w:type="pct"/>
            <w:tcMar>
              <w:top w:w="0" w:type="dxa"/>
              <w:bottom w:w="0" w:type="dxa"/>
            </w:tcMar>
            <w:vAlign w:val="center"/>
          </w:tcPr>
          <w:p w14:paraId="4185668A" w14:textId="77777777" w:rsidR="004B0883" w:rsidRDefault="004B0883">
            <w:pPr>
              <w:widowControl w:val="0"/>
              <w:adjustRightInd w:val="0"/>
              <w:snapToGrid w:val="0"/>
              <w:rPr>
                <w:rFonts w:hint="eastAsia"/>
                <w:kern w:val="0"/>
              </w:rPr>
            </w:pPr>
            <w:r>
              <w:rPr>
                <w:rFonts w:hint="eastAsia"/>
                <w:kern w:val="0"/>
              </w:rPr>
              <w:t>办公设备</w:t>
            </w:r>
          </w:p>
        </w:tc>
        <w:tc>
          <w:tcPr>
            <w:tcW w:w="1695" w:type="pct"/>
            <w:tcMar>
              <w:top w:w="0" w:type="dxa"/>
              <w:bottom w:w="0" w:type="dxa"/>
            </w:tcMar>
            <w:vAlign w:val="center"/>
          </w:tcPr>
          <w:p w14:paraId="35BB8C02" w14:textId="77777777" w:rsidR="004B0883" w:rsidRDefault="004B0883">
            <w:pPr>
              <w:widowControl w:val="0"/>
              <w:adjustRightInd w:val="0"/>
              <w:snapToGrid w:val="0"/>
              <w:jc w:val="right"/>
              <w:rPr>
                <w:kern w:val="0"/>
              </w:rPr>
            </w:pPr>
            <w:r>
              <w:rPr>
                <w:kern w:val="0"/>
              </w:rPr>
              <w:t>31.54</w:t>
            </w:r>
          </w:p>
        </w:tc>
      </w:tr>
      <w:tr w:rsidR="004B0883" w14:paraId="19E109FC" w14:textId="77777777">
        <w:trPr>
          <w:trHeight w:val="397"/>
          <w:jc w:val="center"/>
        </w:trPr>
        <w:tc>
          <w:tcPr>
            <w:tcW w:w="3305" w:type="pct"/>
            <w:gridSpan w:val="2"/>
            <w:tcMar>
              <w:top w:w="0" w:type="dxa"/>
              <w:bottom w:w="0" w:type="dxa"/>
            </w:tcMar>
            <w:vAlign w:val="center"/>
          </w:tcPr>
          <w:p w14:paraId="7B081EEB" w14:textId="77777777" w:rsidR="004B0883" w:rsidRDefault="004B0883">
            <w:pPr>
              <w:widowControl w:val="0"/>
              <w:adjustRightInd w:val="0"/>
              <w:snapToGrid w:val="0"/>
              <w:jc w:val="center"/>
              <w:rPr>
                <w:rFonts w:hint="eastAsia"/>
                <w:b/>
                <w:bCs/>
                <w:kern w:val="0"/>
              </w:rPr>
            </w:pPr>
            <w:r>
              <w:rPr>
                <w:rFonts w:hint="eastAsia"/>
                <w:b/>
                <w:bCs/>
                <w:kern w:val="0"/>
              </w:rPr>
              <w:t>合计</w:t>
            </w:r>
          </w:p>
        </w:tc>
        <w:tc>
          <w:tcPr>
            <w:tcW w:w="1695" w:type="pct"/>
            <w:tcMar>
              <w:top w:w="0" w:type="dxa"/>
              <w:bottom w:w="0" w:type="dxa"/>
            </w:tcMar>
            <w:vAlign w:val="center"/>
          </w:tcPr>
          <w:p w14:paraId="01970680" w14:textId="77777777" w:rsidR="004B0883" w:rsidRDefault="004B0883">
            <w:pPr>
              <w:widowControl w:val="0"/>
              <w:adjustRightInd w:val="0"/>
              <w:snapToGrid w:val="0"/>
              <w:jc w:val="right"/>
              <w:rPr>
                <w:b/>
                <w:bCs/>
              </w:rPr>
            </w:pPr>
            <w:r>
              <w:rPr>
                <w:b/>
                <w:bCs/>
              </w:rPr>
              <w:t>15,014.84</w:t>
            </w:r>
          </w:p>
        </w:tc>
      </w:tr>
    </w:tbl>
    <w:bookmarkEnd w:id="433"/>
    <w:p w14:paraId="6948C5D6" w14:textId="77777777" w:rsidR="004B0883" w:rsidRDefault="004B0883">
      <w:pPr>
        <w:keepNext/>
        <w:keepLines/>
        <w:widowControl w:val="0"/>
        <w:spacing w:beforeLines="50" w:before="120" w:line="360" w:lineRule="auto"/>
        <w:ind w:firstLineChars="200" w:firstLine="480"/>
        <w:jc w:val="both"/>
        <w:outlineLvl w:val="4"/>
        <w:rPr>
          <w:sz w:val="24"/>
          <w:szCs w:val="22"/>
        </w:rPr>
      </w:pPr>
      <w:r>
        <w:rPr>
          <w:rFonts w:hint="eastAsia"/>
          <w:sz w:val="24"/>
          <w:szCs w:val="22"/>
        </w:rPr>
        <w:t>（</w:t>
      </w:r>
      <w:r>
        <w:rPr>
          <w:rFonts w:hint="eastAsia"/>
          <w:sz w:val="24"/>
          <w:szCs w:val="22"/>
        </w:rPr>
        <w:t>3</w:t>
      </w:r>
      <w:r>
        <w:rPr>
          <w:rFonts w:hint="eastAsia"/>
          <w:sz w:val="24"/>
          <w:szCs w:val="22"/>
        </w:rPr>
        <w:t>）工程建设其他费用</w:t>
      </w:r>
    </w:p>
    <w:p w14:paraId="27DA9E6A"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工程建设其他费用中的建设单位管理费，依据项目的实际情况，基于市场现有的相关报价，参照建设项目其他费用有关标准计取。综合预估，本项目工程建设其他费用预计为</w:t>
      </w:r>
      <w:r>
        <w:rPr>
          <w:rFonts w:hint="eastAsia"/>
          <w:sz w:val="24"/>
          <w:szCs w:val="22"/>
        </w:rPr>
        <w:t>1,076.71</w:t>
      </w:r>
      <w:r>
        <w:rPr>
          <w:rFonts w:hint="eastAsia"/>
          <w:sz w:val="24"/>
          <w:szCs w:val="22"/>
        </w:rPr>
        <w:t>万元。</w:t>
      </w:r>
    </w:p>
    <w:p w14:paraId="08FC0774" w14:textId="77777777" w:rsidR="004B0883" w:rsidRDefault="004B0883">
      <w:pPr>
        <w:keepNext/>
        <w:keepLines/>
        <w:widowControl w:val="0"/>
        <w:spacing w:beforeLines="50" w:before="120" w:line="360" w:lineRule="auto"/>
        <w:ind w:firstLineChars="200" w:firstLine="480"/>
        <w:jc w:val="both"/>
        <w:outlineLvl w:val="4"/>
        <w:rPr>
          <w:sz w:val="24"/>
          <w:szCs w:val="22"/>
        </w:rPr>
      </w:pPr>
      <w:r>
        <w:rPr>
          <w:rFonts w:hint="eastAsia"/>
          <w:sz w:val="24"/>
          <w:szCs w:val="22"/>
        </w:rPr>
        <w:t>（</w:t>
      </w:r>
      <w:r>
        <w:rPr>
          <w:rFonts w:hint="eastAsia"/>
          <w:sz w:val="24"/>
          <w:szCs w:val="22"/>
        </w:rPr>
        <w:t>4</w:t>
      </w:r>
      <w:r>
        <w:rPr>
          <w:rFonts w:hint="eastAsia"/>
          <w:sz w:val="24"/>
          <w:szCs w:val="22"/>
        </w:rPr>
        <w:t>）预备费用</w:t>
      </w:r>
    </w:p>
    <w:p w14:paraId="47B6906F"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预备费分为基本预备费和涨价预备费，本项目基本预备费按项目工程费用和工程建设其他费用总和的</w:t>
      </w:r>
      <w:r>
        <w:rPr>
          <w:rFonts w:hint="eastAsia"/>
          <w:sz w:val="24"/>
          <w:szCs w:val="22"/>
        </w:rPr>
        <w:t>1.00%</w:t>
      </w:r>
      <w:r>
        <w:rPr>
          <w:rFonts w:hint="eastAsia"/>
          <w:sz w:val="24"/>
          <w:szCs w:val="22"/>
        </w:rPr>
        <w:t>计算，为</w:t>
      </w:r>
      <w:r>
        <w:rPr>
          <w:rFonts w:hint="eastAsia"/>
          <w:sz w:val="24"/>
          <w:szCs w:val="22"/>
        </w:rPr>
        <w:t>279.41</w:t>
      </w:r>
      <w:r>
        <w:rPr>
          <w:rFonts w:hint="eastAsia"/>
          <w:sz w:val="24"/>
          <w:szCs w:val="22"/>
        </w:rPr>
        <w:t>万元。</w:t>
      </w:r>
      <w:bookmarkEnd w:id="431"/>
      <w:r>
        <w:rPr>
          <w:rFonts w:hint="eastAsia"/>
          <w:sz w:val="24"/>
          <w:szCs w:val="22"/>
        </w:rPr>
        <w:t>涨价预备费是对建设期内可能发生的材料、人工、设备、施工机械等价格上涨，以及费率、利率、汇率等变化而引起项目投资的增加需要事先预留的费用，亦称价差预备费或价格变动不可预见费。本项目建设期较短，不计算涨价预备费。</w:t>
      </w:r>
    </w:p>
    <w:p w14:paraId="41CFBB01" w14:textId="77777777" w:rsidR="004B0883" w:rsidRDefault="004B0883">
      <w:pPr>
        <w:keepNext/>
        <w:keepLines/>
        <w:widowControl w:val="0"/>
        <w:spacing w:beforeLines="50" w:before="120" w:line="360" w:lineRule="auto"/>
        <w:ind w:firstLineChars="200" w:firstLine="480"/>
        <w:jc w:val="both"/>
        <w:outlineLvl w:val="4"/>
        <w:rPr>
          <w:sz w:val="24"/>
          <w:szCs w:val="22"/>
        </w:rPr>
      </w:pPr>
      <w:r>
        <w:rPr>
          <w:rFonts w:hint="eastAsia"/>
          <w:sz w:val="24"/>
          <w:szCs w:val="22"/>
        </w:rPr>
        <w:t>（</w:t>
      </w:r>
      <w:r>
        <w:rPr>
          <w:sz w:val="24"/>
          <w:szCs w:val="22"/>
        </w:rPr>
        <w:t>5</w:t>
      </w:r>
      <w:r>
        <w:rPr>
          <w:rFonts w:hint="eastAsia"/>
          <w:sz w:val="24"/>
          <w:szCs w:val="22"/>
        </w:rPr>
        <w:t>）铺底流动资金</w:t>
      </w:r>
    </w:p>
    <w:p w14:paraId="5945F68B" w14:textId="77777777" w:rsidR="004B0883" w:rsidRDefault="004B0883">
      <w:pPr>
        <w:widowControl w:val="0"/>
        <w:spacing w:beforeLines="50" w:before="120" w:line="360" w:lineRule="auto"/>
        <w:ind w:firstLineChars="200" w:firstLine="480"/>
        <w:jc w:val="both"/>
        <w:rPr>
          <w:rFonts w:hint="eastAsia"/>
          <w:sz w:val="24"/>
          <w:szCs w:val="22"/>
        </w:rPr>
      </w:pPr>
      <w:r>
        <w:rPr>
          <w:rFonts w:hint="eastAsia"/>
          <w:sz w:val="24"/>
          <w:szCs w:val="22"/>
        </w:rPr>
        <w:t>项目铺底流动资金，是指生产性建设工程项目为保证生产和经营正常进行，按规定应列入建设工程项目总投资的铺底流动资金，一般按流动资金的</w:t>
      </w:r>
      <w:r>
        <w:rPr>
          <w:rFonts w:hint="eastAsia"/>
          <w:sz w:val="24"/>
          <w:szCs w:val="22"/>
        </w:rPr>
        <w:t>30%</w:t>
      </w:r>
      <w:r>
        <w:rPr>
          <w:rFonts w:hint="eastAsia"/>
          <w:sz w:val="24"/>
          <w:szCs w:val="22"/>
        </w:rPr>
        <w:t>计算。参考公司现有数据，结合项目所在行业实际情况，本项目所需的铺底流动资金为</w:t>
      </w:r>
      <w:r>
        <w:rPr>
          <w:rFonts w:hint="eastAsia"/>
          <w:sz w:val="24"/>
          <w:szCs w:val="22"/>
        </w:rPr>
        <w:t>1,157.95</w:t>
      </w:r>
      <w:r>
        <w:rPr>
          <w:rFonts w:hint="eastAsia"/>
          <w:sz w:val="24"/>
          <w:szCs w:val="22"/>
        </w:rPr>
        <w:t>万元。</w:t>
      </w:r>
    </w:p>
    <w:p w14:paraId="6C1022E3" w14:textId="77777777" w:rsidR="004B0883" w:rsidRDefault="004B0883">
      <w:pPr>
        <w:pStyle w:val="004"/>
        <w:spacing w:before="120" w:after="120"/>
        <w:ind w:firstLine="482"/>
      </w:pPr>
      <w:r>
        <w:rPr>
          <w:rFonts w:hint="eastAsia"/>
        </w:rPr>
        <w:t>3</w:t>
      </w:r>
      <w:r>
        <w:rPr>
          <w:rFonts w:hint="eastAsia"/>
        </w:rPr>
        <w:t>、项目预计经济效益</w:t>
      </w:r>
    </w:p>
    <w:p w14:paraId="421749FD" w14:textId="77777777" w:rsidR="004B0883" w:rsidRDefault="004B0883">
      <w:pPr>
        <w:widowControl w:val="0"/>
        <w:spacing w:beforeLines="50" w:before="120" w:line="360" w:lineRule="auto"/>
        <w:ind w:firstLineChars="200" w:firstLine="480"/>
        <w:jc w:val="both"/>
        <w:rPr>
          <w:sz w:val="24"/>
          <w:szCs w:val="22"/>
        </w:rPr>
      </w:pPr>
      <w:bookmarkStart w:id="434" w:name="_Hlk106221994"/>
      <w:r>
        <w:rPr>
          <w:sz w:val="24"/>
          <w:szCs w:val="22"/>
        </w:rPr>
        <w:t>本项目内部收益率</w:t>
      </w:r>
      <w:r>
        <w:rPr>
          <w:sz w:val="24"/>
          <w:szCs w:val="22"/>
        </w:rPr>
        <w:t>17.32%</w:t>
      </w:r>
      <w:r>
        <w:rPr>
          <w:sz w:val="24"/>
          <w:szCs w:val="22"/>
        </w:rPr>
        <w:t>（税后），总投资回收期</w:t>
      </w:r>
      <w:r>
        <w:rPr>
          <w:rFonts w:hint="eastAsia"/>
          <w:sz w:val="24"/>
          <w:szCs w:val="22"/>
        </w:rPr>
        <w:t>7.58</w:t>
      </w:r>
      <w:r>
        <w:rPr>
          <w:sz w:val="24"/>
          <w:szCs w:val="22"/>
        </w:rPr>
        <w:t>年（税后），项目经济效益较好。</w:t>
      </w:r>
    </w:p>
    <w:p w14:paraId="127E3B91"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募投项目效益测算的基本假设包括：（</w:t>
      </w:r>
      <w:r>
        <w:rPr>
          <w:sz w:val="24"/>
          <w:szCs w:val="22"/>
        </w:rPr>
        <w:t>1</w:t>
      </w:r>
      <w:r>
        <w:rPr>
          <w:rFonts w:hint="eastAsia"/>
          <w:sz w:val="24"/>
          <w:szCs w:val="22"/>
        </w:rPr>
        <w:t>）本项目所处的宏观经济、政治、法律和社会环境处于正常状态，没有对项目生产经营产生重大影响的不可抗力事件发生；（</w:t>
      </w:r>
      <w:r>
        <w:rPr>
          <w:sz w:val="24"/>
          <w:szCs w:val="22"/>
        </w:rPr>
        <w:t>2</w:t>
      </w:r>
      <w:r>
        <w:rPr>
          <w:rFonts w:hint="eastAsia"/>
          <w:sz w:val="24"/>
          <w:szCs w:val="22"/>
        </w:rPr>
        <w:t>）本项目所遵循的国家及地方现行的法律、法规、财经政策和项目所在地的经济环境无重大变化；（</w:t>
      </w:r>
      <w:r>
        <w:rPr>
          <w:sz w:val="24"/>
          <w:szCs w:val="22"/>
        </w:rPr>
        <w:t>3</w:t>
      </w:r>
      <w:r>
        <w:rPr>
          <w:rFonts w:hint="eastAsia"/>
          <w:sz w:val="24"/>
          <w:szCs w:val="22"/>
        </w:rPr>
        <w:t>）本项目所处的行业领域和上游行业领域产业政策无重大变化，处于正常的发展情况，没有发生重大的市场突变；（</w:t>
      </w:r>
      <w:r>
        <w:rPr>
          <w:sz w:val="24"/>
          <w:szCs w:val="22"/>
        </w:rPr>
        <w:t>4</w:t>
      </w:r>
      <w:r>
        <w:rPr>
          <w:rFonts w:hint="eastAsia"/>
          <w:sz w:val="24"/>
          <w:szCs w:val="22"/>
        </w:rPr>
        <w:t>）本次资金筹集能够顺利完成，资金及时到位；（</w:t>
      </w:r>
      <w:r>
        <w:rPr>
          <w:sz w:val="24"/>
          <w:szCs w:val="22"/>
        </w:rPr>
        <w:t>5</w:t>
      </w:r>
      <w:r>
        <w:rPr>
          <w:rFonts w:hint="eastAsia"/>
          <w:sz w:val="24"/>
          <w:szCs w:val="22"/>
        </w:rPr>
        <w:t>）无其他不可抗拒或不可预见的因素对项目的经营活动造成重大不利影响。</w:t>
      </w:r>
    </w:p>
    <w:p w14:paraId="0FBFD630"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具体效益测算思路如下：</w:t>
      </w:r>
    </w:p>
    <w:p w14:paraId="4D889EDE" w14:textId="77777777" w:rsidR="004B0883" w:rsidRDefault="004B0883">
      <w:pPr>
        <w:pStyle w:val="009"/>
        <w:rPr>
          <w:rFonts w:hint="eastAsia"/>
        </w:rPr>
      </w:pPr>
      <w:bookmarkStart w:id="435" w:name="_Hlk144470225"/>
      <w:r>
        <w:t>单位：万元</w:t>
      </w:r>
    </w:p>
    <w:tbl>
      <w:tblPr>
        <w:tblW w:w="675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ook w:val="0000" w:firstRow="0" w:lastRow="0" w:firstColumn="0" w:lastColumn="0" w:noHBand="0" w:noVBand="0"/>
      </w:tblPr>
      <w:tblGrid>
        <w:gridCol w:w="428"/>
        <w:gridCol w:w="1369"/>
        <w:gridCol w:w="933"/>
        <w:gridCol w:w="938"/>
        <w:gridCol w:w="938"/>
        <w:gridCol w:w="939"/>
        <w:gridCol w:w="938"/>
        <w:gridCol w:w="939"/>
        <w:gridCol w:w="938"/>
        <w:gridCol w:w="939"/>
        <w:gridCol w:w="940"/>
        <w:gridCol w:w="939"/>
      </w:tblGrid>
      <w:tr w:rsidR="004B0883" w14:paraId="721EE280" w14:textId="77777777">
        <w:trPr>
          <w:trHeight w:val="397"/>
          <w:tblHeader/>
          <w:jc w:val="center"/>
        </w:trPr>
        <w:tc>
          <w:tcPr>
            <w:tcW w:w="11300" w:type="dxa"/>
            <w:gridSpan w:val="12"/>
            <w:shd w:val="clear" w:color="auto" w:fill="D9D9D9"/>
            <w:tcMar>
              <w:top w:w="0" w:type="dxa"/>
              <w:left w:w="30" w:type="dxa"/>
              <w:bottom w:w="0" w:type="dxa"/>
              <w:right w:w="30" w:type="dxa"/>
            </w:tcMar>
            <w:vAlign w:val="center"/>
          </w:tcPr>
          <w:bookmarkEnd w:id="435"/>
          <w:p w14:paraId="0D4383AB" w14:textId="77777777" w:rsidR="004B0883" w:rsidRDefault="004B0883">
            <w:pPr>
              <w:widowControl w:val="0"/>
              <w:jc w:val="center"/>
              <w:rPr>
                <w:b/>
                <w:bCs/>
                <w:color w:val="333333"/>
                <w:sz w:val="18"/>
                <w:szCs w:val="18"/>
              </w:rPr>
            </w:pPr>
            <w:r>
              <w:rPr>
                <w:rFonts w:hint="eastAsia"/>
                <w:b/>
                <w:bCs/>
                <w:color w:val="333333"/>
                <w:sz w:val="18"/>
                <w:szCs w:val="18"/>
              </w:rPr>
              <w:t>项目投资现金流量表</w:t>
            </w:r>
          </w:p>
        </w:tc>
      </w:tr>
      <w:tr w:rsidR="004B0883" w14:paraId="44475C8A" w14:textId="77777777">
        <w:trPr>
          <w:trHeight w:val="397"/>
          <w:tblHeader/>
          <w:jc w:val="center"/>
        </w:trPr>
        <w:tc>
          <w:tcPr>
            <w:tcW w:w="430" w:type="dxa"/>
            <w:vMerge w:val="restart"/>
            <w:shd w:val="clear" w:color="auto" w:fill="D9D9D9"/>
            <w:tcMar>
              <w:top w:w="0" w:type="dxa"/>
              <w:left w:w="30" w:type="dxa"/>
              <w:bottom w:w="0" w:type="dxa"/>
              <w:right w:w="30" w:type="dxa"/>
            </w:tcMar>
            <w:vAlign w:val="center"/>
          </w:tcPr>
          <w:p w14:paraId="25E44F39" w14:textId="77777777" w:rsidR="004B0883" w:rsidRDefault="004B0883">
            <w:pPr>
              <w:widowControl w:val="0"/>
              <w:jc w:val="center"/>
              <w:rPr>
                <w:b/>
                <w:bCs/>
                <w:color w:val="333333"/>
                <w:sz w:val="18"/>
                <w:szCs w:val="18"/>
              </w:rPr>
            </w:pPr>
            <w:r>
              <w:rPr>
                <w:rFonts w:hint="eastAsia"/>
                <w:b/>
                <w:bCs/>
                <w:color w:val="333333"/>
                <w:sz w:val="18"/>
                <w:szCs w:val="18"/>
              </w:rPr>
              <w:t>序号</w:t>
            </w:r>
          </w:p>
        </w:tc>
        <w:tc>
          <w:tcPr>
            <w:tcW w:w="1415" w:type="dxa"/>
            <w:vMerge w:val="restart"/>
            <w:shd w:val="clear" w:color="auto" w:fill="D9D9D9"/>
            <w:vAlign w:val="center"/>
          </w:tcPr>
          <w:p w14:paraId="42C007F6" w14:textId="77777777" w:rsidR="004B0883" w:rsidRDefault="004B0883">
            <w:pPr>
              <w:widowControl w:val="0"/>
              <w:jc w:val="center"/>
              <w:rPr>
                <w:b/>
                <w:bCs/>
                <w:color w:val="333333"/>
                <w:sz w:val="18"/>
                <w:szCs w:val="18"/>
              </w:rPr>
            </w:pPr>
            <w:r>
              <w:rPr>
                <w:rFonts w:hint="eastAsia"/>
                <w:b/>
                <w:bCs/>
                <w:color w:val="333333"/>
                <w:sz w:val="18"/>
                <w:szCs w:val="18"/>
              </w:rPr>
              <w:t>项目</w:t>
            </w:r>
          </w:p>
        </w:tc>
        <w:tc>
          <w:tcPr>
            <w:tcW w:w="9455" w:type="dxa"/>
            <w:gridSpan w:val="10"/>
            <w:shd w:val="clear" w:color="auto" w:fill="D9D9D9"/>
            <w:vAlign w:val="center"/>
          </w:tcPr>
          <w:p w14:paraId="5BFE426E" w14:textId="77777777" w:rsidR="004B0883" w:rsidRDefault="004B0883">
            <w:pPr>
              <w:widowControl w:val="0"/>
              <w:jc w:val="center"/>
              <w:rPr>
                <w:b/>
                <w:bCs/>
                <w:color w:val="333333"/>
                <w:sz w:val="18"/>
                <w:szCs w:val="18"/>
              </w:rPr>
            </w:pPr>
            <w:r>
              <w:rPr>
                <w:rFonts w:hint="eastAsia"/>
                <w:b/>
                <w:bCs/>
                <w:color w:val="333333"/>
                <w:sz w:val="18"/>
                <w:szCs w:val="18"/>
              </w:rPr>
              <w:t>计算期</w:t>
            </w:r>
          </w:p>
        </w:tc>
      </w:tr>
      <w:tr w:rsidR="004B0883" w14:paraId="51F19C3F" w14:textId="77777777">
        <w:trPr>
          <w:trHeight w:val="397"/>
          <w:tblHeader/>
          <w:jc w:val="center"/>
        </w:trPr>
        <w:tc>
          <w:tcPr>
            <w:tcW w:w="430" w:type="dxa"/>
            <w:vMerge/>
            <w:shd w:val="clear" w:color="auto" w:fill="D9D9D9"/>
            <w:tcMar>
              <w:top w:w="0" w:type="dxa"/>
              <w:left w:w="30" w:type="dxa"/>
              <w:bottom w:w="0" w:type="dxa"/>
              <w:right w:w="30" w:type="dxa"/>
            </w:tcMar>
            <w:vAlign w:val="center"/>
          </w:tcPr>
          <w:p w14:paraId="00B5E72A" w14:textId="77777777" w:rsidR="004B0883" w:rsidRDefault="004B0883">
            <w:pPr>
              <w:widowControl w:val="0"/>
              <w:jc w:val="center"/>
              <w:rPr>
                <w:b/>
                <w:bCs/>
                <w:color w:val="333333"/>
              </w:rPr>
            </w:pPr>
          </w:p>
        </w:tc>
        <w:tc>
          <w:tcPr>
            <w:tcW w:w="1415" w:type="dxa"/>
            <w:vMerge/>
            <w:shd w:val="clear" w:color="auto" w:fill="D9D9D9"/>
            <w:vAlign w:val="center"/>
          </w:tcPr>
          <w:p w14:paraId="5D71DF3E" w14:textId="77777777" w:rsidR="004B0883" w:rsidRDefault="004B0883">
            <w:pPr>
              <w:widowControl w:val="0"/>
              <w:jc w:val="center"/>
              <w:rPr>
                <w:b/>
                <w:bCs/>
                <w:color w:val="333333"/>
                <w:sz w:val="18"/>
                <w:szCs w:val="18"/>
              </w:rPr>
            </w:pPr>
          </w:p>
        </w:tc>
        <w:tc>
          <w:tcPr>
            <w:tcW w:w="4725" w:type="dxa"/>
            <w:gridSpan w:val="5"/>
            <w:shd w:val="clear" w:color="auto" w:fill="D9D9D9"/>
            <w:vAlign w:val="center"/>
          </w:tcPr>
          <w:p w14:paraId="748E3513" w14:textId="77777777" w:rsidR="004B0883" w:rsidRDefault="004B0883">
            <w:pPr>
              <w:widowControl w:val="0"/>
              <w:jc w:val="center"/>
              <w:rPr>
                <w:b/>
                <w:bCs/>
                <w:color w:val="333333"/>
                <w:sz w:val="18"/>
                <w:szCs w:val="18"/>
              </w:rPr>
            </w:pPr>
            <w:r>
              <w:rPr>
                <w:rFonts w:hint="eastAsia"/>
                <w:b/>
                <w:bCs/>
                <w:color w:val="333333"/>
                <w:sz w:val="18"/>
                <w:szCs w:val="18"/>
              </w:rPr>
              <w:t>建设期</w:t>
            </w:r>
          </w:p>
        </w:tc>
        <w:tc>
          <w:tcPr>
            <w:tcW w:w="4730" w:type="dxa"/>
            <w:gridSpan w:val="5"/>
            <w:shd w:val="clear" w:color="auto" w:fill="D9D9D9"/>
            <w:vAlign w:val="center"/>
          </w:tcPr>
          <w:p w14:paraId="0E970042" w14:textId="77777777" w:rsidR="004B0883" w:rsidRDefault="004B0883">
            <w:pPr>
              <w:widowControl w:val="0"/>
              <w:jc w:val="center"/>
              <w:rPr>
                <w:b/>
                <w:bCs/>
                <w:color w:val="333333"/>
                <w:sz w:val="18"/>
                <w:szCs w:val="18"/>
              </w:rPr>
            </w:pPr>
            <w:r>
              <w:rPr>
                <w:rFonts w:hint="eastAsia"/>
                <w:b/>
                <w:bCs/>
                <w:color w:val="333333"/>
                <w:sz w:val="18"/>
                <w:szCs w:val="18"/>
              </w:rPr>
              <w:t>运营期</w:t>
            </w:r>
          </w:p>
        </w:tc>
      </w:tr>
      <w:tr w:rsidR="004B0883" w14:paraId="3CD56EF6" w14:textId="77777777">
        <w:trPr>
          <w:trHeight w:val="397"/>
          <w:tblHeader/>
          <w:jc w:val="center"/>
        </w:trPr>
        <w:tc>
          <w:tcPr>
            <w:tcW w:w="430" w:type="dxa"/>
            <w:vMerge/>
            <w:shd w:val="clear" w:color="auto" w:fill="D9D9D9"/>
            <w:tcMar>
              <w:top w:w="0" w:type="dxa"/>
              <w:left w:w="30" w:type="dxa"/>
              <w:bottom w:w="0" w:type="dxa"/>
              <w:right w:w="30" w:type="dxa"/>
            </w:tcMar>
            <w:vAlign w:val="center"/>
          </w:tcPr>
          <w:p w14:paraId="3D040689" w14:textId="77777777" w:rsidR="004B0883" w:rsidRDefault="004B0883">
            <w:pPr>
              <w:widowControl w:val="0"/>
              <w:jc w:val="center"/>
              <w:rPr>
                <w:b/>
                <w:bCs/>
                <w:color w:val="333333"/>
              </w:rPr>
            </w:pPr>
          </w:p>
        </w:tc>
        <w:tc>
          <w:tcPr>
            <w:tcW w:w="1415" w:type="dxa"/>
            <w:vMerge/>
            <w:shd w:val="clear" w:color="auto" w:fill="D9D9D9"/>
            <w:vAlign w:val="center"/>
          </w:tcPr>
          <w:p w14:paraId="5E7B93F4" w14:textId="77777777" w:rsidR="004B0883" w:rsidRDefault="004B0883">
            <w:pPr>
              <w:widowControl w:val="0"/>
              <w:jc w:val="center"/>
              <w:rPr>
                <w:b/>
                <w:bCs/>
                <w:color w:val="333333"/>
                <w:sz w:val="18"/>
                <w:szCs w:val="18"/>
              </w:rPr>
            </w:pPr>
          </w:p>
        </w:tc>
        <w:tc>
          <w:tcPr>
            <w:tcW w:w="944" w:type="dxa"/>
            <w:shd w:val="clear" w:color="auto" w:fill="D9D9D9"/>
            <w:vAlign w:val="center"/>
          </w:tcPr>
          <w:p w14:paraId="45E7DDD8" w14:textId="77777777" w:rsidR="004B0883" w:rsidRDefault="004B0883">
            <w:pPr>
              <w:widowControl w:val="0"/>
              <w:jc w:val="center"/>
              <w:rPr>
                <w:b/>
                <w:bCs/>
                <w:color w:val="333333"/>
                <w:sz w:val="18"/>
                <w:szCs w:val="18"/>
              </w:rPr>
            </w:pPr>
            <w:r>
              <w:rPr>
                <w:rFonts w:hint="eastAsia"/>
                <w:b/>
                <w:bCs/>
                <w:color w:val="333333"/>
                <w:sz w:val="18"/>
                <w:szCs w:val="18"/>
              </w:rPr>
              <w:t>第</w:t>
            </w:r>
            <w:r>
              <w:rPr>
                <w:b/>
                <w:bCs/>
                <w:color w:val="333333"/>
                <w:sz w:val="18"/>
                <w:szCs w:val="18"/>
              </w:rPr>
              <w:t>1</w:t>
            </w:r>
            <w:r>
              <w:rPr>
                <w:b/>
                <w:bCs/>
                <w:color w:val="333333"/>
                <w:sz w:val="18"/>
                <w:szCs w:val="18"/>
              </w:rPr>
              <w:t>年</w:t>
            </w:r>
          </w:p>
        </w:tc>
        <w:tc>
          <w:tcPr>
            <w:tcW w:w="945" w:type="dxa"/>
            <w:shd w:val="clear" w:color="auto" w:fill="D9D9D9"/>
            <w:vAlign w:val="center"/>
          </w:tcPr>
          <w:p w14:paraId="6B367804"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2</w:t>
            </w:r>
            <w:r>
              <w:rPr>
                <w:b/>
                <w:bCs/>
                <w:color w:val="333333"/>
                <w:sz w:val="18"/>
                <w:szCs w:val="18"/>
              </w:rPr>
              <w:t>年</w:t>
            </w:r>
          </w:p>
        </w:tc>
        <w:tc>
          <w:tcPr>
            <w:tcW w:w="945" w:type="dxa"/>
            <w:shd w:val="clear" w:color="auto" w:fill="D9D9D9"/>
            <w:vAlign w:val="center"/>
          </w:tcPr>
          <w:p w14:paraId="23A71569"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3</w:t>
            </w:r>
            <w:r>
              <w:rPr>
                <w:b/>
                <w:bCs/>
                <w:color w:val="333333"/>
                <w:sz w:val="18"/>
                <w:szCs w:val="18"/>
              </w:rPr>
              <w:t>年</w:t>
            </w:r>
          </w:p>
        </w:tc>
        <w:tc>
          <w:tcPr>
            <w:tcW w:w="946" w:type="dxa"/>
            <w:shd w:val="clear" w:color="auto" w:fill="D9D9D9"/>
            <w:vAlign w:val="center"/>
          </w:tcPr>
          <w:p w14:paraId="5BED1C9B"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4</w:t>
            </w:r>
            <w:r>
              <w:rPr>
                <w:b/>
                <w:bCs/>
                <w:color w:val="333333"/>
                <w:sz w:val="18"/>
                <w:szCs w:val="18"/>
              </w:rPr>
              <w:t>年</w:t>
            </w:r>
          </w:p>
        </w:tc>
        <w:tc>
          <w:tcPr>
            <w:tcW w:w="945" w:type="dxa"/>
            <w:shd w:val="clear" w:color="auto" w:fill="D9D9D9"/>
            <w:vAlign w:val="center"/>
          </w:tcPr>
          <w:p w14:paraId="326F60BE"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5</w:t>
            </w:r>
            <w:r>
              <w:rPr>
                <w:b/>
                <w:bCs/>
                <w:color w:val="333333"/>
                <w:sz w:val="18"/>
                <w:szCs w:val="18"/>
              </w:rPr>
              <w:t>年</w:t>
            </w:r>
          </w:p>
        </w:tc>
        <w:tc>
          <w:tcPr>
            <w:tcW w:w="946" w:type="dxa"/>
            <w:shd w:val="clear" w:color="auto" w:fill="D9D9D9"/>
            <w:vAlign w:val="center"/>
          </w:tcPr>
          <w:p w14:paraId="75DF2B38"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6</w:t>
            </w:r>
            <w:r>
              <w:rPr>
                <w:b/>
                <w:bCs/>
                <w:color w:val="333333"/>
                <w:sz w:val="18"/>
                <w:szCs w:val="18"/>
              </w:rPr>
              <w:t>年</w:t>
            </w:r>
          </w:p>
        </w:tc>
        <w:tc>
          <w:tcPr>
            <w:tcW w:w="945" w:type="dxa"/>
            <w:shd w:val="clear" w:color="auto" w:fill="D9D9D9"/>
            <w:vAlign w:val="center"/>
          </w:tcPr>
          <w:p w14:paraId="0D89E727"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7</w:t>
            </w:r>
            <w:r>
              <w:rPr>
                <w:b/>
                <w:bCs/>
                <w:color w:val="333333"/>
                <w:sz w:val="18"/>
                <w:szCs w:val="18"/>
              </w:rPr>
              <w:t>年</w:t>
            </w:r>
          </w:p>
        </w:tc>
        <w:tc>
          <w:tcPr>
            <w:tcW w:w="946" w:type="dxa"/>
            <w:shd w:val="clear" w:color="auto" w:fill="D9D9D9"/>
            <w:vAlign w:val="center"/>
          </w:tcPr>
          <w:p w14:paraId="7E75748B"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8</w:t>
            </w:r>
            <w:r>
              <w:rPr>
                <w:b/>
                <w:bCs/>
                <w:color w:val="333333"/>
                <w:sz w:val="18"/>
                <w:szCs w:val="18"/>
              </w:rPr>
              <w:t>年</w:t>
            </w:r>
          </w:p>
        </w:tc>
        <w:tc>
          <w:tcPr>
            <w:tcW w:w="947" w:type="dxa"/>
            <w:shd w:val="clear" w:color="auto" w:fill="D9D9D9"/>
            <w:vAlign w:val="center"/>
          </w:tcPr>
          <w:p w14:paraId="7B04ED3B"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9</w:t>
            </w:r>
            <w:r>
              <w:rPr>
                <w:b/>
                <w:bCs/>
                <w:color w:val="333333"/>
                <w:sz w:val="18"/>
                <w:szCs w:val="18"/>
              </w:rPr>
              <w:t>年</w:t>
            </w:r>
          </w:p>
        </w:tc>
        <w:tc>
          <w:tcPr>
            <w:tcW w:w="946" w:type="dxa"/>
            <w:shd w:val="clear" w:color="auto" w:fill="D9D9D9"/>
            <w:vAlign w:val="center"/>
          </w:tcPr>
          <w:p w14:paraId="070DF0A4"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10</w:t>
            </w:r>
            <w:r>
              <w:rPr>
                <w:b/>
                <w:bCs/>
                <w:color w:val="333333"/>
                <w:sz w:val="18"/>
                <w:szCs w:val="18"/>
              </w:rPr>
              <w:t>年</w:t>
            </w:r>
          </w:p>
        </w:tc>
      </w:tr>
      <w:tr w:rsidR="004B0883" w14:paraId="468DA8FA" w14:textId="77777777">
        <w:trPr>
          <w:trHeight w:val="397"/>
          <w:jc w:val="center"/>
        </w:trPr>
        <w:tc>
          <w:tcPr>
            <w:tcW w:w="430" w:type="dxa"/>
            <w:shd w:val="clear" w:color="auto" w:fill="FFFFFF"/>
            <w:tcMar>
              <w:top w:w="0" w:type="dxa"/>
              <w:left w:w="30" w:type="dxa"/>
              <w:bottom w:w="0" w:type="dxa"/>
              <w:right w:w="30" w:type="dxa"/>
            </w:tcMar>
            <w:vAlign w:val="center"/>
          </w:tcPr>
          <w:p w14:paraId="630EB3B9" w14:textId="77777777" w:rsidR="004B0883" w:rsidRDefault="004B0883">
            <w:pPr>
              <w:snapToGrid w:val="0"/>
              <w:jc w:val="center"/>
              <w:rPr>
                <w:rFonts w:eastAsia="等线"/>
                <w:b/>
                <w:kern w:val="0"/>
                <w:sz w:val="18"/>
                <w:szCs w:val="18"/>
              </w:rPr>
            </w:pPr>
            <w:r>
              <w:rPr>
                <w:rFonts w:eastAsia="等线"/>
                <w:b/>
                <w:kern w:val="0"/>
                <w:sz w:val="18"/>
                <w:szCs w:val="18"/>
              </w:rPr>
              <w:t>1</w:t>
            </w:r>
          </w:p>
        </w:tc>
        <w:tc>
          <w:tcPr>
            <w:tcW w:w="1415" w:type="dxa"/>
            <w:shd w:val="clear" w:color="auto" w:fill="FFFFFF"/>
            <w:vAlign w:val="center"/>
          </w:tcPr>
          <w:p w14:paraId="4611B0AD" w14:textId="77777777" w:rsidR="004B0883" w:rsidRDefault="004B0883">
            <w:pPr>
              <w:snapToGrid w:val="0"/>
              <w:jc w:val="center"/>
              <w:rPr>
                <w:b/>
                <w:kern w:val="0"/>
                <w:sz w:val="18"/>
                <w:szCs w:val="24"/>
              </w:rPr>
            </w:pPr>
            <w:r>
              <w:rPr>
                <w:rFonts w:hint="eastAsia"/>
                <w:b/>
                <w:kern w:val="0"/>
                <w:sz w:val="18"/>
                <w:szCs w:val="24"/>
              </w:rPr>
              <w:t>现金流入</w:t>
            </w:r>
          </w:p>
        </w:tc>
        <w:tc>
          <w:tcPr>
            <w:tcW w:w="944" w:type="dxa"/>
            <w:shd w:val="clear" w:color="auto" w:fill="FFFFFF"/>
            <w:vAlign w:val="center"/>
          </w:tcPr>
          <w:p w14:paraId="2FB3A8FA" w14:textId="77777777" w:rsidR="004B0883" w:rsidRDefault="004B0883">
            <w:pPr>
              <w:snapToGrid w:val="0"/>
              <w:jc w:val="right"/>
              <w:rPr>
                <w:rFonts w:eastAsia="等线"/>
                <w:b/>
                <w:kern w:val="0"/>
                <w:sz w:val="15"/>
                <w:szCs w:val="15"/>
              </w:rPr>
            </w:pPr>
            <w:r>
              <w:rPr>
                <w:rFonts w:eastAsia="等线"/>
                <w:b/>
                <w:kern w:val="0"/>
                <w:sz w:val="15"/>
                <w:szCs w:val="15"/>
              </w:rPr>
              <w:t>-</w:t>
            </w:r>
          </w:p>
        </w:tc>
        <w:tc>
          <w:tcPr>
            <w:tcW w:w="945" w:type="dxa"/>
            <w:shd w:val="clear" w:color="auto" w:fill="FFFFFF"/>
            <w:vAlign w:val="center"/>
          </w:tcPr>
          <w:p w14:paraId="1A664747" w14:textId="77777777" w:rsidR="004B0883" w:rsidRDefault="004B0883">
            <w:pPr>
              <w:snapToGrid w:val="0"/>
              <w:jc w:val="right"/>
              <w:rPr>
                <w:rFonts w:eastAsia="等线"/>
                <w:b/>
                <w:kern w:val="0"/>
                <w:sz w:val="15"/>
                <w:szCs w:val="15"/>
              </w:rPr>
            </w:pPr>
            <w:r>
              <w:rPr>
                <w:rFonts w:eastAsia="等线"/>
                <w:b/>
                <w:kern w:val="0"/>
                <w:sz w:val="15"/>
                <w:szCs w:val="15"/>
              </w:rPr>
              <w:t>-</w:t>
            </w:r>
          </w:p>
        </w:tc>
        <w:tc>
          <w:tcPr>
            <w:tcW w:w="945" w:type="dxa"/>
            <w:shd w:val="clear" w:color="auto" w:fill="FFFFFF"/>
            <w:vAlign w:val="center"/>
          </w:tcPr>
          <w:p w14:paraId="60C93B11" w14:textId="77777777" w:rsidR="004B0883" w:rsidRDefault="004B0883">
            <w:pPr>
              <w:snapToGrid w:val="0"/>
              <w:jc w:val="right"/>
              <w:rPr>
                <w:rFonts w:eastAsia="等线"/>
                <w:b/>
                <w:kern w:val="0"/>
                <w:sz w:val="15"/>
                <w:szCs w:val="15"/>
              </w:rPr>
            </w:pPr>
            <w:r>
              <w:rPr>
                <w:rFonts w:eastAsia="等线"/>
                <w:b/>
                <w:kern w:val="0"/>
                <w:sz w:val="15"/>
                <w:szCs w:val="15"/>
              </w:rPr>
              <w:t>13,695.60</w:t>
            </w:r>
          </w:p>
        </w:tc>
        <w:tc>
          <w:tcPr>
            <w:tcW w:w="946" w:type="dxa"/>
            <w:shd w:val="clear" w:color="auto" w:fill="FFFFFF"/>
            <w:vAlign w:val="center"/>
          </w:tcPr>
          <w:p w14:paraId="22EBF7EF" w14:textId="77777777" w:rsidR="004B0883" w:rsidRDefault="004B0883">
            <w:pPr>
              <w:snapToGrid w:val="0"/>
              <w:jc w:val="right"/>
              <w:rPr>
                <w:rFonts w:eastAsia="等线"/>
                <w:b/>
                <w:kern w:val="0"/>
                <w:sz w:val="15"/>
                <w:szCs w:val="15"/>
              </w:rPr>
            </w:pPr>
            <w:r>
              <w:rPr>
                <w:rFonts w:eastAsia="等线"/>
                <w:b/>
                <w:kern w:val="0"/>
                <w:sz w:val="15"/>
                <w:szCs w:val="15"/>
              </w:rPr>
              <w:t>22,826.00</w:t>
            </w:r>
          </w:p>
        </w:tc>
        <w:tc>
          <w:tcPr>
            <w:tcW w:w="945" w:type="dxa"/>
            <w:shd w:val="clear" w:color="auto" w:fill="FFFFFF"/>
            <w:vAlign w:val="center"/>
          </w:tcPr>
          <w:p w14:paraId="51934FDC" w14:textId="77777777" w:rsidR="004B0883" w:rsidRDefault="004B0883">
            <w:pPr>
              <w:snapToGrid w:val="0"/>
              <w:jc w:val="right"/>
              <w:rPr>
                <w:rFonts w:eastAsia="等线"/>
                <w:b/>
                <w:kern w:val="0"/>
                <w:sz w:val="15"/>
                <w:szCs w:val="15"/>
              </w:rPr>
            </w:pPr>
            <w:r>
              <w:rPr>
                <w:rFonts w:eastAsia="等线"/>
                <w:b/>
                <w:kern w:val="0"/>
                <w:sz w:val="15"/>
                <w:szCs w:val="15"/>
              </w:rPr>
              <w:t>31,956.40</w:t>
            </w:r>
          </w:p>
        </w:tc>
        <w:tc>
          <w:tcPr>
            <w:tcW w:w="946" w:type="dxa"/>
            <w:shd w:val="clear" w:color="auto" w:fill="FFFFFF"/>
            <w:vAlign w:val="center"/>
          </w:tcPr>
          <w:p w14:paraId="1B6B8211" w14:textId="77777777" w:rsidR="004B0883" w:rsidRDefault="004B0883">
            <w:pPr>
              <w:snapToGrid w:val="0"/>
              <w:jc w:val="right"/>
              <w:rPr>
                <w:rFonts w:eastAsia="等线"/>
                <w:b/>
                <w:kern w:val="0"/>
                <w:sz w:val="15"/>
                <w:szCs w:val="15"/>
              </w:rPr>
            </w:pPr>
            <w:r>
              <w:rPr>
                <w:rFonts w:eastAsia="等线"/>
                <w:b/>
                <w:kern w:val="0"/>
                <w:sz w:val="15"/>
                <w:szCs w:val="15"/>
              </w:rPr>
              <w:t>45,652.00</w:t>
            </w:r>
          </w:p>
        </w:tc>
        <w:tc>
          <w:tcPr>
            <w:tcW w:w="945" w:type="dxa"/>
            <w:shd w:val="clear" w:color="auto" w:fill="FFFFFF"/>
            <w:vAlign w:val="center"/>
          </w:tcPr>
          <w:p w14:paraId="0669832C" w14:textId="77777777" w:rsidR="004B0883" w:rsidRDefault="004B0883">
            <w:pPr>
              <w:snapToGrid w:val="0"/>
              <w:jc w:val="right"/>
              <w:rPr>
                <w:rFonts w:eastAsia="等线"/>
                <w:b/>
                <w:kern w:val="0"/>
                <w:sz w:val="15"/>
                <w:szCs w:val="15"/>
              </w:rPr>
            </w:pPr>
            <w:r>
              <w:rPr>
                <w:rFonts w:eastAsia="等线"/>
                <w:b/>
                <w:kern w:val="0"/>
                <w:sz w:val="15"/>
                <w:szCs w:val="15"/>
              </w:rPr>
              <w:t>45,652.00</w:t>
            </w:r>
          </w:p>
        </w:tc>
        <w:tc>
          <w:tcPr>
            <w:tcW w:w="946" w:type="dxa"/>
            <w:shd w:val="clear" w:color="auto" w:fill="FFFFFF"/>
            <w:vAlign w:val="center"/>
          </w:tcPr>
          <w:p w14:paraId="18D9DCEB" w14:textId="77777777" w:rsidR="004B0883" w:rsidRDefault="004B0883">
            <w:pPr>
              <w:snapToGrid w:val="0"/>
              <w:jc w:val="right"/>
              <w:rPr>
                <w:rFonts w:eastAsia="等线"/>
                <w:b/>
                <w:kern w:val="0"/>
                <w:sz w:val="15"/>
                <w:szCs w:val="15"/>
              </w:rPr>
            </w:pPr>
            <w:r>
              <w:rPr>
                <w:rFonts w:eastAsia="等线"/>
                <w:b/>
                <w:kern w:val="0"/>
                <w:sz w:val="15"/>
                <w:szCs w:val="15"/>
              </w:rPr>
              <w:t>45,652.00</w:t>
            </w:r>
          </w:p>
        </w:tc>
        <w:tc>
          <w:tcPr>
            <w:tcW w:w="947" w:type="dxa"/>
            <w:shd w:val="clear" w:color="auto" w:fill="FFFFFF"/>
            <w:vAlign w:val="center"/>
          </w:tcPr>
          <w:p w14:paraId="78FCE41B" w14:textId="77777777" w:rsidR="004B0883" w:rsidRDefault="004B0883">
            <w:pPr>
              <w:snapToGrid w:val="0"/>
              <w:jc w:val="right"/>
              <w:rPr>
                <w:rFonts w:eastAsia="等线"/>
                <w:b/>
                <w:kern w:val="0"/>
                <w:sz w:val="15"/>
                <w:szCs w:val="15"/>
              </w:rPr>
            </w:pPr>
            <w:r>
              <w:rPr>
                <w:rFonts w:eastAsia="等线"/>
                <w:b/>
                <w:kern w:val="0"/>
                <w:sz w:val="15"/>
                <w:szCs w:val="15"/>
              </w:rPr>
              <w:t>45,652.00</w:t>
            </w:r>
          </w:p>
        </w:tc>
        <w:tc>
          <w:tcPr>
            <w:tcW w:w="946" w:type="dxa"/>
            <w:shd w:val="clear" w:color="auto" w:fill="FFFFFF"/>
            <w:vAlign w:val="center"/>
          </w:tcPr>
          <w:p w14:paraId="18C7DD9E" w14:textId="77777777" w:rsidR="004B0883" w:rsidRDefault="004B0883">
            <w:pPr>
              <w:snapToGrid w:val="0"/>
              <w:jc w:val="right"/>
              <w:rPr>
                <w:rFonts w:eastAsia="等线"/>
                <w:b/>
                <w:kern w:val="0"/>
                <w:sz w:val="15"/>
                <w:szCs w:val="15"/>
              </w:rPr>
            </w:pPr>
            <w:r>
              <w:rPr>
                <w:rFonts w:eastAsia="等线"/>
                <w:b/>
                <w:kern w:val="0"/>
                <w:sz w:val="15"/>
                <w:szCs w:val="15"/>
              </w:rPr>
              <w:t>70,640.25</w:t>
            </w:r>
          </w:p>
        </w:tc>
      </w:tr>
      <w:tr w:rsidR="004B0883" w14:paraId="7165BE02" w14:textId="77777777">
        <w:trPr>
          <w:trHeight w:val="397"/>
          <w:jc w:val="center"/>
        </w:trPr>
        <w:tc>
          <w:tcPr>
            <w:tcW w:w="430" w:type="dxa"/>
            <w:shd w:val="clear" w:color="auto" w:fill="FFFFFF"/>
            <w:tcMar>
              <w:top w:w="0" w:type="dxa"/>
              <w:left w:w="30" w:type="dxa"/>
              <w:bottom w:w="0" w:type="dxa"/>
              <w:right w:w="30" w:type="dxa"/>
            </w:tcMar>
            <w:vAlign w:val="center"/>
          </w:tcPr>
          <w:p w14:paraId="43984999" w14:textId="77777777" w:rsidR="004B0883" w:rsidRDefault="004B0883">
            <w:pPr>
              <w:snapToGrid w:val="0"/>
              <w:jc w:val="center"/>
              <w:rPr>
                <w:rFonts w:eastAsia="等线"/>
                <w:bCs/>
                <w:kern w:val="0"/>
                <w:sz w:val="18"/>
                <w:szCs w:val="18"/>
              </w:rPr>
            </w:pPr>
            <w:r>
              <w:rPr>
                <w:rFonts w:eastAsia="等线"/>
                <w:bCs/>
                <w:kern w:val="0"/>
                <w:sz w:val="18"/>
                <w:szCs w:val="18"/>
              </w:rPr>
              <w:t>1.1</w:t>
            </w:r>
          </w:p>
        </w:tc>
        <w:tc>
          <w:tcPr>
            <w:tcW w:w="1415" w:type="dxa"/>
            <w:shd w:val="clear" w:color="auto" w:fill="FFFFFF"/>
            <w:vAlign w:val="center"/>
          </w:tcPr>
          <w:p w14:paraId="444C5710" w14:textId="77777777" w:rsidR="004B0883" w:rsidRDefault="004B0883">
            <w:pPr>
              <w:snapToGrid w:val="0"/>
              <w:jc w:val="center"/>
              <w:rPr>
                <w:bCs/>
                <w:kern w:val="0"/>
                <w:sz w:val="18"/>
                <w:szCs w:val="24"/>
              </w:rPr>
            </w:pPr>
            <w:r>
              <w:rPr>
                <w:rFonts w:hint="eastAsia"/>
                <w:bCs/>
                <w:kern w:val="0"/>
                <w:sz w:val="18"/>
                <w:szCs w:val="24"/>
              </w:rPr>
              <w:t>营业收入</w:t>
            </w:r>
          </w:p>
        </w:tc>
        <w:tc>
          <w:tcPr>
            <w:tcW w:w="944" w:type="dxa"/>
            <w:shd w:val="clear" w:color="auto" w:fill="FFFFFF"/>
            <w:vAlign w:val="center"/>
          </w:tcPr>
          <w:p w14:paraId="3FB4CA8B"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15CB0626"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28B79681" w14:textId="77777777" w:rsidR="004B0883" w:rsidRDefault="004B0883">
            <w:pPr>
              <w:snapToGrid w:val="0"/>
              <w:jc w:val="right"/>
              <w:rPr>
                <w:rFonts w:eastAsia="等线"/>
                <w:bCs/>
                <w:kern w:val="0"/>
                <w:sz w:val="15"/>
                <w:szCs w:val="15"/>
              </w:rPr>
            </w:pPr>
            <w:r>
              <w:rPr>
                <w:rFonts w:eastAsia="等线"/>
                <w:bCs/>
                <w:kern w:val="0"/>
                <w:sz w:val="15"/>
                <w:szCs w:val="15"/>
              </w:rPr>
              <w:t>12,120.00</w:t>
            </w:r>
          </w:p>
        </w:tc>
        <w:tc>
          <w:tcPr>
            <w:tcW w:w="946" w:type="dxa"/>
            <w:shd w:val="clear" w:color="auto" w:fill="FFFFFF"/>
            <w:vAlign w:val="center"/>
          </w:tcPr>
          <w:p w14:paraId="26159D45" w14:textId="77777777" w:rsidR="004B0883" w:rsidRDefault="004B0883">
            <w:pPr>
              <w:snapToGrid w:val="0"/>
              <w:jc w:val="right"/>
              <w:rPr>
                <w:rFonts w:eastAsia="等线"/>
                <w:bCs/>
                <w:kern w:val="0"/>
                <w:sz w:val="15"/>
                <w:szCs w:val="15"/>
              </w:rPr>
            </w:pPr>
            <w:r>
              <w:rPr>
                <w:rFonts w:eastAsia="等线"/>
                <w:bCs/>
                <w:kern w:val="0"/>
                <w:sz w:val="15"/>
                <w:szCs w:val="15"/>
              </w:rPr>
              <w:t>20,200.00</w:t>
            </w:r>
          </w:p>
        </w:tc>
        <w:tc>
          <w:tcPr>
            <w:tcW w:w="945" w:type="dxa"/>
            <w:shd w:val="clear" w:color="auto" w:fill="FFFFFF"/>
            <w:vAlign w:val="center"/>
          </w:tcPr>
          <w:p w14:paraId="263F21B5" w14:textId="77777777" w:rsidR="004B0883" w:rsidRDefault="004B0883">
            <w:pPr>
              <w:snapToGrid w:val="0"/>
              <w:jc w:val="right"/>
              <w:rPr>
                <w:rFonts w:eastAsia="等线"/>
                <w:bCs/>
                <w:kern w:val="0"/>
                <w:sz w:val="15"/>
                <w:szCs w:val="15"/>
              </w:rPr>
            </w:pPr>
            <w:r>
              <w:rPr>
                <w:rFonts w:eastAsia="等线"/>
                <w:bCs/>
                <w:kern w:val="0"/>
                <w:sz w:val="15"/>
                <w:szCs w:val="15"/>
              </w:rPr>
              <w:t>28,280.00</w:t>
            </w:r>
          </w:p>
        </w:tc>
        <w:tc>
          <w:tcPr>
            <w:tcW w:w="946" w:type="dxa"/>
            <w:shd w:val="clear" w:color="auto" w:fill="FFFFFF"/>
            <w:vAlign w:val="center"/>
          </w:tcPr>
          <w:p w14:paraId="5EFCD4B9" w14:textId="77777777" w:rsidR="004B0883" w:rsidRDefault="004B0883">
            <w:pPr>
              <w:snapToGrid w:val="0"/>
              <w:jc w:val="right"/>
              <w:rPr>
                <w:rFonts w:eastAsia="等线"/>
                <w:bCs/>
                <w:kern w:val="0"/>
                <w:sz w:val="15"/>
                <w:szCs w:val="15"/>
              </w:rPr>
            </w:pPr>
            <w:r>
              <w:rPr>
                <w:rFonts w:eastAsia="等线"/>
                <w:bCs/>
                <w:kern w:val="0"/>
                <w:sz w:val="15"/>
                <w:szCs w:val="15"/>
              </w:rPr>
              <w:t>40,400.00</w:t>
            </w:r>
          </w:p>
        </w:tc>
        <w:tc>
          <w:tcPr>
            <w:tcW w:w="945" w:type="dxa"/>
            <w:shd w:val="clear" w:color="auto" w:fill="FFFFFF"/>
            <w:vAlign w:val="center"/>
          </w:tcPr>
          <w:p w14:paraId="2479B159" w14:textId="77777777" w:rsidR="004B0883" w:rsidRDefault="004B0883">
            <w:pPr>
              <w:snapToGrid w:val="0"/>
              <w:jc w:val="right"/>
              <w:rPr>
                <w:rFonts w:eastAsia="等线"/>
                <w:bCs/>
                <w:kern w:val="0"/>
                <w:sz w:val="15"/>
                <w:szCs w:val="15"/>
              </w:rPr>
            </w:pPr>
            <w:r>
              <w:rPr>
                <w:rFonts w:eastAsia="等线"/>
                <w:bCs/>
                <w:kern w:val="0"/>
                <w:sz w:val="15"/>
                <w:szCs w:val="15"/>
              </w:rPr>
              <w:t>40,400.00</w:t>
            </w:r>
          </w:p>
        </w:tc>
        <w:tc>
          <w:tcPr>
            <w:tcW w:w="946" w:type="dxa"/>
            <w:shd w:val="clear" w:color="auto" w:fill="FFFFFF"/>
            <w:vAlign w:val="center"/>
          </w:tcPr>
          <w:p w14:paraId="6B956BA3" w14:textId="77777777" w:rsidR="004B0883" w:rsidRDefault="004B0883">
            <w:pPr>
              <w:snapToGrid w:val="0"/>
              <w:jc w:val="right"/>
              <w:rPr>
                <w:rFonts w:eastAsia="等线"/>
                <w:bCs/>
                <w:kern w:val="0"/>
                <w:sz w:val="15"/>
                <w:szCs w:val="15"/>
              </w:rPr>
            </w:pPr>
            <w:r>
              <w:rPr>
                <w:rFonts w:eastAsia="等线"/>
                <w:bCs/>
                <w:kern w:val="0"/>
                <w:sz w:val="15"/>
                <w:szCs w:val="15"/>
              </w:rPr>
              <w:t>40,400.00</w:t>
            </w:r>
          </w:p>
        </w:tc>
        <w:tc>
          <w:tcPr>
            <w:tcW w:w="947" w:type="dxa"/>
            <w:shd w:val="clear" w:color="auto" w:fill="FFFFFF"/>
            <w:vAlign w:val="center"/>
          </w:tcPr>
          <w:p w14:paraId="5E4F30EB" w14:textId="77777777" w:rsidR="004B0883" w:rsidRDefault="004B0883">
            <w:pPr>
              <w:snapToGrid w:val="0"/>
              <w:jc w:val="right"/>
              <w:rPr>
                <w:rFonts w:eastAsia="等线"/>
                <w:bCs/>
                <w:kern w:val="0"/>
                <w:sz w:val="15"/>
                <w:szCs w:val="15"/>
              </w:rPr>
            </w:pPr>
            <w:r>
              <w:rPr>
                <w:rFonts w:eastAsia="等线"/>
                <w:bCs/>
                <w:kern w:val="0"/>
                <w:sz w:val="15"/>
                <w:szCs w:val="15"/>
              </w:rPr>
              <w:t>40,400.00</w:t>
            </w:r>
          </w:p>
        </w:tc>
        <w:tc>
          <w:tcPr>
            <w:tcW w:w="946" w:type="dxa"/>
            <w:shd w:val="clear" w:color="auto" w:fill="FFFFFF"/>
            <w:vAlign w:val="center"/>
          </w:tcPr>
          <w:p w14:paraId="1F148602" w14:textId="77777777" w:rsidR="004B0883" w:rsidRDefault="004B0883">
            <w:pPr>
              <w:snapToGrid w:val="0"/>
              <w:jc w:val="right"/>
              <w:rPr>
                <w:rFonts w:eastAsia="等线"/>
                <w:bCs/>
                <w:kern w:val="0"/>
                <w:sz w:val="15"/>
                <w:szCs w:val="15"/>
              </w:rPr>
            </w:pPr>
            <w:r>
              <w:rPr>
                <w:rFonts w:eastAsia="等线"/>
                <w:bCs/>
                <w:kern w:val="0"/>
                <w:sz w:val="15"/>
                <w:szCs w:val="15"/>
              </w:rPr>
              <w:t>40,400.00</w:t>
            </w:r>
          </w:p>
        </w:tc>
      </w:tr>
      <w:tr w:rsidR="004B0883" w14:paraId="2AE0EB4A" w14:textId="77777777">
        <w:trPr>
          <w:trHeight w:val="397"/>
          <w:jc w:val="center"/>
        </w:trPr>
        <w:tc>
          <w:tcPr>
            <w:tcW w:w="430" w:type="dxa"/>
            <w:shd w:val="clear" w:color="auto" w:fill="FFFFFF"/>
            <w:tcMar>
              <w:top w:w="0" w:type="dxa"/>
              <w:left w:w="30" w:type="dxa"/>
              <w:bottom w:w="0" w:type="dxa"/>
              <w:right w:w="30" w:type="dxa"/>
            </w:tcMar>
            <w:vAlign w:val="center"/>
          </w:tcPr>
          <w:p w14:paraId="67375746" w14:textId="77777777" w:rsidR="004B0883" w:rsidRDefault="004B0883">
            <w:pPr>
              <w:snapToGrid w:val="0"/>
              <w:jc w:val="center"/>
              <w:rPr>
                <w:rFonts w:eastAsia="等线"/>
                <w:bCs/>
                <w:kern w:val="0"/>
                <w:sz w:val="18"/>
                <w:szCs w:val="18"/>
              </w:rPr>
            </w:pPr>
            <w:r>
              <w:rPr>
                <w:rFonts w:eastAsia="等线"/>
                <w:bCs/>
                <w:kern w:val="0"/>
                <w:sz w:val="18"/>
                <w:szCs w:val="18"/>
              </w:rPr>
              <w:t>1.2</w:t>
            </w:r>
          </w:p>
        </w:tc>
        <w:tc>
          <w:tcPr>
            <w:tcW w:w="1415" w:type="dxa"/>
            <w:shd w:val="clear" w:color="auto" w:fill="FFFFFF"/>
            <w:vAlign w:val="center"/>
          </w:tcPr>
          <w:p w14:paraId="511BFEB5" w14:textId="77777777" w:rsidR="004B0883" w:rsidRDefault="004B0883">
            <w:pPr>
              <w:snapToGrid w:val="0"/>
              <w:jc w:val="center"/>
              <w:rPr>
                <w:bCs/>
                <w:kern w:val="0"/>
                <w:sz w:val="18"/>
                <w:szCs w:val="24"/>
              </w:rPr>
            </w:pPr>
            <w:r>
              <w:rPr>
                <w:rFonts w:hint="eastAsia"/>
                <w:bCs/>
                <w:kern w:val="0"/>
                <w:sz w:val="18"/>
                <w:szCs w:val="24"/>
              </w:rPr>
              <w:t>销项税额</w:t>
            </w:r>
          </w:p>
        </w:tc>
        <w:tc>
          <w:tcPr>
            <w:tcW w:w="944" w:type="dxa"/>
            <w:shd w:val="clear" w:color="auto" w:fill="FFFFFF"/>
            <w:vAlign w:val="center"/>
          </w:tcPr>
          <w:p w14:paraId="3A073D45"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42C65FE6"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4F59E09B" w14:textId="77777777" w:rsidR="004B0883" w:rsidRDefault="004B0883">
            <w:pPr>
              <w:snapToGrid w:val="0"/>
              <w:jc w:val="right"/>
              <w:rPr>
                <w:rFonts w:eastAsia="等线"/>
                <w:bCs/>
                <w:kern w:val="0"/>
                <w:sz w:val="15"/>
                <w:szCs w:val="15"/>
              </w:rPr>
            </w:pPr>
            <w:r>
              <w:rPr>
                <w:rFonts w:eastAsia="等线"/>
                <w:bCs/>
                <w:kern w:val="0"/>
                <w:sz w:val="15"/>
                <w:szCs w:val="15"/>
              </w:rPr>
              <w:t>1,575.60</w:t>
            </w:r>
          </w:p>
        </w:tc>
        <w:tc>
          <w:tcPr>
            <w:tcW w:w="946" w:type="dxa"/>
            <w:shd w:val="clear" w:color="auto" w:fill="FFFFFF"/>
            <w:vAlign w:val="center"/>
          </w:tcPr>
          <w:p w14:paraId="460A8348" w14:textId="77777777" w:rsidR="004B0883" w:rsidRDefault="004B0883">
            <w:pPr>
              <w:snapToGrid w:val="0"/>
              <w:jc w:val="right"/>
              <w:rPr>
                <w:rFonts w:eastAsia="等线"/>
                <w:bCs/>
                <w:kern w:val="0"/>
                <w:sz w:val="15"/>
                <w:szCs w:val="15"/>
              </w:rPr>
            </w:pPr>
            <w:r>
              <w:rPr>
                <w:rFonts w:eastAsia="等线"/>
                <w:bCs/>
                <w:kern w:val="0"/>
                <w:sz w:val="15"/>
                <w:szCs w:val="15"/>
              </w:rPr>
              <w:t>2,626.00</w:t>
            </w:r>
          </w:p>
        </w:tc>
        <w:tc>
          <w:tcPr>
            <w:tcW w:w="945" w:type="dxa"/>
            <w:shd w:val="clear" w:color="auto" w:fill="FFFFFF"/>
            <w:vAlign w:val="center"/>
          </w:tcPr>
          <w:p w14:paraId="1C5B4D5B" w14:textId="77777777" w:rsidR="004B0883" w:rsidRDefault="004B0883">
            <w:pPr>
              <w:snapToGrid w:val="0"/>
              <w:jc w:val="right"/>
              <w:rPr>
                <w:rFonts w:eastAsia="等线"/>
                <w:bCs/>
                <w:kern w:val="0"/>
                <w:sz w:val="15"/>
                <w:szCs w:val="15"/>
              </w:rPr>
            </w:pPr>
            <w:r>
              <w:rPr>
                <w:rFonts w:eastAsia="等线"/>
                <w:bCs/>
                <w:kern w:val="0"/>
                <w:sz w:val="15"/>
                <w:szCs w:val="15"/>
              </w:rPr>
              <w:t>3,676.40</w:t>
            </w:r>
          </w:p>
        </w:tc>
        <w:tc>
          <w:tcPr>
            <w:tcW w:w="946" w:type="dxa"/>
            <w:shd w:val="clear" w:color="auto" w:fill="FFFFFF"/>
            <w:vAlign w:val="center"/>
          </w:tcPr>
          <w:p w14:paraId="75B35A9F" w14:textId="77777777" w:rsidR="004B0883" w:rsidRDefault="004B0883">
            <w:pPr>
              <w:snapToGrid w:val="0"/>
              <w:jc w:val="right"/>
              <w:rPr>
                <w:rFonts w:eastAsia="等线"/>
                <w:bCs/>
                <w:kern w:val="0"/>
                <w:sz w:val="15"/>
                <w:szCs w:val="15"/>
              </w:rPr>
            </w:pPr>
            <w:r>
              <w:rPr>
                <w:rFonts w:eastAsia="等线"/>
                <w:bCs/>
                <w:kern w:val="0"/>
                <w:sz w:val="15"/>
                <w:szCs w:val="15"/>
              </w:rPr>
              <w:t>5,252.00</w:t>
            </w:r>
          </w:p>
        </w:tc>
        <w:tc>
          <w:tcPr>
            <w:tcW w:w="945" w:type="dxa"/>
            <w:shd w:val="clear" w:color="auto" w:fill="FFFFFF"/>
            <w:vAlign w:val="center"/>
          </w:tcPr>
          <w:p w14:paraId="7CA8794C" w14:textId="77777777" w:rsidR="004B0883" w:rsidRDefault="004B0883">
            <w:pPr>
              <w:snapToGrid w:val="0"/>
              <w:jc w:val="right"/>
              <w:rPr>
                <w:rFonts w:eastAsia="等线"/>
                <w:bCs/>
                <w:kern w:val="0"/>
                <w:sz w:val="15"/>
                <w:szCs w:val="15"/>
              </w:rPr>
            </w:pPr>
            <w:r>
              <w:rPr>
                <w:rFonts w:eastAsia="等线"/>
                <w:bCs/>
                <w:kern w:val="0"/>
                <w:sz w:val="15"/>
                <w:szCs w:val="15"/>
              </w:rPr>
              <w:t>5,252.00</w:t>
            </w:r>
          </w:p>
        </w:tc>
        <w:tc>
          <w:tcPr>
            <w:tcW w:w="946" w:type="dxa"/>
            <w:shd w:val="clear" w:color="auto" w:fill="FFFFFF"/>
            <w:vAlign w:val="center"/>
          </w:tcPr>
          <w:p w14:paraId="66425C68" w14:textId="77777777" w:rsidR="004B0883" w:rsidRDefault="004B0883">
            <w:pPr>
              <w:snapToGrid w:val="0"/>
              <w:jc w:val="right"/>
              <w:rPr>
                <w:rFonts w:eastAsia="等线"/>
                <w:bCs/>
                <w:kern w:val="0"/>
                <w:sz w:val="15"/>
                <w:szCs w:val="15"/>
              </w:rPr>
            </w:pPr>
            <w:r>
              <w:rPr>
                <w:rFonts w:eastAsia="等线"/>
                <w:bCs/>
                <w:kern w:val="0"/>
                <w:sz w:val="15"/>
                <w:szCs w:val="15"/>
              </w:rPr>
              <w:t>5,252.00</w:t>
            </w:r>
          </w:p>
        </w:tc>
        <w:tc>
          <w:tcPr>
            <w:tcW w:w="947" w:type="dxa"/>
            <w:shd w:val="clear" w:color="auto" w:fill="FFFFFF"/>
            <w:vAlign w:val="center"/>
          </w:tcPr>
          <w:p w14:paraId="1ADFEF1B" w14:textId="77777777" w:rsidR="004B0883" w:rsidRDefault="004B0883">
            <w:pPr>
              <w:snapToGrid w:val="0"/>
              <w:jc w:val="right"/>
              <w:rPr>
                <w:rFonts w:eastAsia="等线"/>
                <w:bCs/>
                <w:kern w:val="0"/>
                <w:sz w:val="15"/>
                <w:szCs w:val="15"/>
              </w:rPr>
            </w:pPr>
            <w:r>
              <w:rPr>
                <w:rFonts w:eastAsia="等线"/>
                <w:bCs/>
                <w:kern w:val="0"/>
                <w:sz w:val="15"/>
                <w:szCs w:val="15"/>
              </w:rPr>
              <w:t>5,252.00</w:t>
            </w:r>
          </w:p>
        </w:tc>
        <w:tc>
          <w:tcPr>
            <w:tcW w:w="946" w:type="dxa"/>
            <w:shd w:val="clear" w:color="auto" w:fill="FFFFFF"/>
            <w:vAlign w:val="center"/>
          </w:tcPr>
          <w:p w14:paraId="1BE492D0" w14:textId="77777777" w:rsidR="004B0883" w:rsidRDefault="004B0883">
            <w:pPr>
              <w:snapToGrid w:val="0"/>
              <w:jc w:val="right"/>
              <w:rPr>
                <w:rFonts w:eastAsia="等线"/>
                <w:bCs/>
                <w:kern w:val="0"/>
                <w:sz w:val="15"/>
                <w:szCs w:val="15"/>
              </w:rPr>
            </w:pPr>
            <w:r>
              <w:rPr>
                <w:rFonts w:eastAsia="等线"/>
                <w:bCs/>
                <w:kern w:val="0"/>
                <w:sz w:val="15"/>
                <w:szCs w:val="15"/>
              </w:rPr>
              <w:t>5,252.00</w:t>
            </w:r>
          </w:p>
        </w:tc>
      </w:tr>
      <w:tr w:rsidR="004B0883" w14:paraId="263DF278" w14:textId="77777777">
        <w:trPr>
          <w:trHeight w:val="397"/>
          <w:jc w:val="center"/>
        </w:trPr>
        <w:tc>
          <w:tcPr>
            <w:tcW w:w="430" w:type="dxa"/>
            <w:shd w:val="clear" w:color="auto" w:fill="FFFFFF"/>
            <w:tcMar>
              <w:top w:w="0" w:type="dxa"/>
              <w:left w:w="30" w:type="dxa"/>
              <w:bottom w:w="0" w:type="dxa"/>
              <w:right w:w="30" w:type="dxa"/>
            </w:tcMar>
            <w:vAlign w:val="center"/>
          </w:tcPr>
          <w:p w14:paraId="11AF326E" w14:textId="77777777" w:rsidR="004B0883" w:rsidRDefault="004B0883">
            <w:pPr>
              <w:snapToGrid w:val="0"/>
              <w:jc w:val="center"/>
              <w:rPr>
                <w:rFonts w:eastAsia="等线"/>
                <w:bCs/>
                <w:kern w:val="0"/>
                <w:sz w:val="18"/>
                <w:szCs w:val="18"/>
              </w:rPr>
            </w:pPr>
            <w:r>
              <w:rPr>
                <w:rFonts w:eastAsia="等线"/>
                <w:bCs/>
                <w:kern w:val="0"/>
                <w:sz w:val="18"/>
                <w:szCs w:val="18"/>
              </w:rPr>
              <w:t>1.3</w:t>
            </w:r>
          </w:p>
        </w:tc>
        <w:tc>
          <w:tcPr>
            <w:tcW w:w="1415" w:type="dxa"/>
            <w:shd w:val="clear" w:color="auto" w:fill="FFFFFF"/>
            <w:vAlign w:val="center"/>
          </w:tcPr>
          <w:p w14:paraId="092E5073" w14:textId="77777777" w:rsidR="004B0883" w:rsidRDefault="004B0883">
            <w:pPr>
              <w:snapToGrid w:val="0"/>
              <w:jc w:val="center"/>
              <w:rPr>
                <w:bCs/>
                <w:kern w:val="0"/>
                <w:sz w:val="18"/>
                <w:szCs w:val="24"/>
              </w:rPr>
            </w:pPr>
            <w:r>
              <w:rPr>
                <w:rFonts w:hint="eastAsia"/>
                <w:bCs/>
                <w:kern w:val="0"/>
                <w:sz w:val="18"/>
                <w:szCs w:val="24"/>
              </w:rPr>
              <w:t>补贴收入</w:t>
            </w:r>
          </w:p>
        </w:tc>
        <w:tc>
          <w:tcPr>
            <w:tcW w:w="944" w:type="dxa"/>
            <w:shd w:val="clear" w:color="auto" w:fill="FFFFFF"/>
            <w:vAlign w:val="center"/>
          </w:tcPr>
          <w:p w14:paraId="50D0FEE1"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7CCED2EE"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257EE275"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6" w:type="dxa"/>
            <w:shd w:val="clear" w:color="auto" w:fill="FFFFFF"/>
            <w:vAlign w:val="center"/>
          </w:tcPr>
          <w:p w14:paraId="0FC26EDC"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3123A4EC"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6" w:type="dxa"/>
            <w:shd w:val="clear" w:color="auto" w:fill="FFFFFF"/>
            <w:vAlign w:val="center"/>
          </w:tcPr>
          <w:p w14:paraId="3F7AB1A6"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60FE04D2"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6" w:type="dxa"/>
            <w:shd w:val="clear" w:color="auto" w:fill="FFFFFF"/>
            <w:vAlign w:val="center"/>
          </w:tcPr>
          <w:p w14:paraId="0C0BCC20"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7" w:type="dxa"/>
            <w:shd w:val="clear" w:color="auto" w:fill="FFFFFF"/>
            <w:vAlign w:val="center"/>
          </w:tcPr>
          <w:p w14:paraId="3BA2A751"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6" w:type="dxa"/>
            <w:shd w:val="clear" w:color="auto" w:fill="FFFFFF"/>
            <w:vAlign w:val="center"/>
          </w:tcPr>
          <w:p w14:paraId="69F99109" w14:textId="77777777" w:rsidR="004B0883" w:rsidRDefault="004B0883">
            <w:pPr>
              <w:snapToGrid w:val="0"/>
              <w:jc w:val="right"/>
              <w:rPr>
                <w:rFonts w:eastAsia="等线"/>
                <w:bCs/>
                <w:kern w:val="0"/>
                <w:sz w:val="15"/>
                <w:szCs w:val="15"/>
              </w:rPr>
            </w:pPr>
            <w:r>
              <w:rPr>
                <w:rFonts w:eastAsia="等线"/>
                <w:bCs/>
                <w:kern w:val="0"/>
                <w:sz w:val="15"/>
                <w:szCs w:val="15"/>
              </w:rPr>
              <w:t>-</w:t>
            </w:r>
          </w:p>
        </w:tc>
      </w:tr>
      <w:tr w:rsidR="004B0883" w14:paraId="627F7CF3" w14:textId="77777777">
        <w:trPr>
          <w:trHeight w:val="397"/>
          <w:jc w:val="center"/>
        </w:trPr>
        <w:tc>
          <w:tcPr>
            <w:tcW w:w="430" w:type="dxa"/>
            <w:shd w:val="clear" w:color="auto" w:fill="FFFFFF"/>
            <w:tcMar>
              <w:top w:w="0" w:type="dxa"/>
              <w:left w:w="30" w:type="dxa"/>
              <w:bottom w:w="0" w:type="dxa"/>
              <w:right w:w="30" w:type="dxa"/>
            </w:tcMar>
            <w:vAlign w:val="center"/>
          </w:tcPr>
          <w:p w14:paraId="318BA429" w14:textId="77777777" w:rsidR="004B0883" w:rsidRDefault="004B0883">
            <w:pPr>
              <w:snapToGrid w:val="0"/>
              <w:jc w:val="center"/>
              <w:rPr>
                <w:rFonts w:eastAsia="等线"/>
                <w:bCs/>
                <w:kern w:val="0"/>
                <w:sz w:val="18"/>
                <w:szCs w:val="18"/>
              </w:rPr>
            </w:pPr>
            <w:r>
              <w:rPr>
                <w:rFonts w:eastAsia="等线"/>
                <w:bCs/>
                <w:kern w:val="0"/>
                <w:sz w:val="18"/>
                <w:szCs w:val="18"/>
              </w:rPr>
              <w:t>1.4</w:t>
            </w:r>
          </w:p>
        </w:tc>
        <w:tc>
          <w:tcPr>
            <w:tcW w:w="1415" w:type="dxa"/>
            <w:shd w:val="clear" w:color="auto" w:fill="FFFFFF"/>
            <w:vAlign w:val="center"/>
          </w:tcPr>
          <w:p w14:paraId="55258612" w14:textId="77777777" w:rsidR="004B0883" w:rsidRDefault="004B0883">
            <w:pPr>
              <w:snapToGrid w:val="0"/>
              <w:jc w:val="center"/>
              <w:rPr>
                <w:bCs/>
                <w:kern w:val="0"/>
                <w:sz w:val="18"/>
                <w:szCs w:val="24"/>
              </w:rPr>
            </w:pPr>
            <w:r>
              <w:rPr>
                <w:rFonts w:hint="eastAsia"/>
                <w:bCs/>
                <w:kern w:val="0"/>
                <w:sz w:val="18"/>
                <w:szCs w:val="24"/>
              </w:rPr>
              <w:t>收到的税费返还</w:t>
            </w:r>
          </w:p>
        </w:tc>
        <w:tc>
          <w:tcPr>
            <w:tcW w:w="944" w:type="dxa"/>
            <w:shd w:val="clear" w:color="auto" w:fill="FFFFFF"/>
            <w:vAlign w:val="center"/>
          </w:tcPr>
          <w:p w14:paraId="1B953DD4"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4771A6F6"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6E1F0701"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6" w:type="dxa"/>
            <w:shd w:val="clear" w:color="auto" w:fill="FFFFFF"/>
            <w:vAlign w:val="center"/>
          </w:tcPr>
          <w:p w14:paraId="375C90D3"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752CB203"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6" w:type="dxa"/>
            <w:shd w:val="clear" w:color="auto" w:fill="FFFFFF"/>
            <w:vAlign w:val="center"/>
          </w:tcPr>
          <w:p w14:paraId="4EB6023E"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3780E6C1"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6" w:type="dxa"/>
            <w:shd w:val="clear" w:color="auto" w:fill="FFFFFF"/>
            <w:vAlign w:val="center"/>
          </w:tcPr>
          <w:p w14:paraId="672158F8"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7" w:type="dxa"/>
            <w:shd w:val="clear" w:color="auto" w:fill="FFFFFF"/>
            <w:vAlign w:val="center"/>
          </w:tcPr>
          <w:p w14:paraId="055F20A7"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6" w:type="dxa"/>
            <w:shd w:val="clear" w:color="auto" w:fill="FFFFFF"/>
            <w:vAlign w:val="center"/>
          </w:tcPr>
          <w:p w14:paraId="2D745221" w14:textId="77777777" w:rsidR="004B0883" w:rsidRDefault="004B0883">
            <w:pPr>
              <w:snapToGrid w:val="0"/>
              <w:jc w:val="right"/>
              <w:rPr>
                <w:rFonts w:eastAsia="等线"/>
                <w:bCs/>
                <w:kern w:val="0"/>
                <w:sz w:val="15"/>
                <w:szCs w:val="15"/>
              </w:rPr>
            </w:pPr>
            <w:r>
              <w:rPr>
                <w:rFonts w:eastAsia="等线"/>
                <w:bCs/>
                <w:kern w:val="0"/>
                <w:sz w:val="15"/>
                <w:szCs w:val="15"/>
              </w:rPr>
              <w:t>-</w:t>
            </w:r>
          </w:p>
        </w:tc>
      </w:tr>
      <w:tr w:rsidR="004B0883" w14:paraId="0E0092A8" w14:textId="77777777">
        <w:trPr>
          <w:trHeight w:val="397"/>
          <w:jc w:val="center"/>
        </w:trPr>
        <w:tc>
          <w:tcPr>
            <w:tcW w:w="430" w:type="dxa"/>
            <w:shd w:val="clear" w:color="auto" w:fill="FFFFFF"/>
            <w:tcMar>
              <w:top w:w="0" w:type="dxa"/>
              <w:left w:w="30" w:type="dxa"/>
              <w:bottom w:w="0" w:type="dxa"/>
              <w:right w:w="30" w:type="dxa"/>
            </w:tcMar>
            <w:vAlign w:val="center"/>
          </w:tcPr>
          <w:p w14:paraId="4FE9629F" w14:textId="77777777" w:rsidR="004B0883" w:rsidRDefault="004B0883">
            <w:pPr>
              <w:snapToGrid w:val="0"/>
              <w:jc w:val="center"/>
              <w:rPr>
                <w:rFonts w:eastAsia="等线"/>
                <w:bCs/>
                <w:kern w:val="0"/>
                <w:sz w:val="18"/>
                <w:szCs w:val="18"/>
              </w:rPr>
            </w:pPr>
            <w:r>
              <w:rPr>
                <w:rFonts w:eastAsia="等线"/>
                <w:bCs/>
                <w:kern w:val="0"/>
                <w:sz w:val="18"/>
                <w:szCs w:val="18"/>
              </w:rPr>
              <w:t>1.5</w:t>
            </w:r>
          </w:p>
        </w:tc>
        <w:tc>
          <w:tcPr>
            <w:tcW w:w="1415" w:type="dxa"/>
            <w:shd w:val="clear" w:color="auto" w:fill="FFFFFF"/>
            <w:vAlign w:val="center"/>
          </w:tcPr>
          <w:p w14:paraId="477960A0" w14:textId="77777777" w:rsidR="004B0883" w:rsidRDefault="004B0883">
            <w:pPr>
              <w:snapToGrid w:val="0"/>
              <w:jc w:val="center"/>
              <w:rPr>
                <w:bCs/>
                <w:kern w:val="0"/>
                <w:sz w:val="18"/>
                <w:szCs w:val="24"/>
              </w:rPr>
            </w:pPr>
            <w:r>
              <w:rPr>
                <w:rFonts w:hint="eastAsia"/>
                <w:bCs/>
                <w:kern w:val="0"/>
                <w:sz w:val="18"/>
                <w:szCs w:val="24"/>
              </w:rPr>
              <w:t>回收资产余值</w:t>
            </w:r>
          </w:p>
        </w:tc>
        <w:tc>
          <w:tcPr>
            <w:tcW w:w="944" w:type="dxa"/>
            <w:shd w:val="clear" w:color="auto" w:fill="FFFFFF"/>
            <w:vAlign w:val="center"/>
          </w:tcPr>
          <w:p w14:paraId="167CC56D"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4BAE9E45"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04FA9556"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6" w:type="dxa"/>
            <w:shd w:val="clear" w:color="auto" w:fill="FFFFFF"/>
            <w:vAlign w:val="center"/>
          </w:tcPr>
          <w:p w14:paraId="1C3FB6AC"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534FA153"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6" w:type="dxa"/>
            <w:shd w:val="clear" w:color="auto" w:fill="FFFFFF"/>
            <w:vAlign w:val="center"/>
          </w:tcPr>
          <w:p w14:paraId="30ECD9E0"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096F2F5C"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6" w:type="dxa"/>
            <w:shd w:val="clear" w:color="auto" w:fill="FFFFFF"/>
            <w:vAlign w:val="center"/>
          </w:tcPr>
          <w:p w14:paraId="09788CC1"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7" w:type="dxa"/>
            <w:shd w:val="clear" w:color="auto" w:fill="FFFFFF"/>
            <w:vAlign w:val="center"/>
          </w:tcPr>
          <w:p w14:paraId="70BC81A8"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6" w:type="dxa"/>
            <w:shd w:val="clear" w:color="auto" w:fill="FFFFFF"/>
            <w:vAlign w:val="center"/>
          </w:tcPr>
          <w:p w14:paraId="0AC6F70E" w14:textId="77777777" w:rsidR="004B0883" w:rsidRDefault="004B0883">
            <w:pPr>
              <w:snapToGrid w:val="0"/>
              <w:jc w:val="right"/>
              <w:rPr>
                <w:rFonts w:eastAsia="等线"/>
                <w:bCs/>
                <w:kern w:val="0"/>
                <w:sz w:val="15"/>
                <w:szCs w:val="15"/>
              </w:rPr>
            </w:pPr>
            <w:r>
              <w:rPr>
                <w:rFonts w:eastAsia="等线"/>
                <w:bCs/>
                <w:kern w:val="0"/>
                <w:sz w:val="15"/>
                <w:szCs w:val="15"/>
              </w:rPr>
              <w:t>11,395.30</w:t>
            </w:r>
          </w:p>
        </w:tc>
      </w:tr>
      <w:tr w:rsidR="004B0883" w14:paraId="514C8D5D" w14:textId="77777777">
        <w:trPr>
          <w:trHeight w:val="397"/>
          <w:jc w:val="center"/>
        </w:trPr>
        <w:tc>
          <w:tcPr>
            <w:tcW w:w="430" w:type="dxa"/>
            <w:shd w:val="clear" w:color="auto" w:fill="FFFFFF"/>
            <w:tcMar>
              <w:top w:w="0" w:type="dxa"/>
              <w:left w:w="30" w:type="dxa"/>
              <w:bottom w:w="0" w:type="dxa"/>
              <w:right w:w="30" w:type="dxa"/>
            </w:tcMar>
            <w:vAlign w:val="center"/>
          </w:tcPr>
          <w:p w14:paraId="4706DDD8" w14:textId="77777777" w:rsidR="004B0883" w:rsidRDefault="004B0883">
            <w:pPr>
              <w:snapToGrid w:val="0"/>
              <w:jc w:val="center"/>
              <w:rPr>
                <w:rFonts w:eastAsia="等线"/>
                <w:bCs/>
                <w:kern w:val="0"/>
                <w:sz w:val="18"/>
                <w:szCs w:val="18"/>
              </w:rPr>
            </w:pPr>
            <w:r>
              <w:rPr>
                <w:rFonts w:eastAsia="等线"/>
                <w:bCs/>
                <w:kern w:val="0"/>
                <w:sz w:val="18"/>
                <w:szCs w:val="18"/>
              </w:rPr>
              <w:t>1.6</w:t>
            </w:r>
          </w:p>
        </w:tc>
        <w:tc>
          <w:tcPr>
            <w:tcW w:w="1415" w:type="dxa"/>
            <w:shd w:val="clear" w:color="auto" w:fill="FFFFFF"/>
            <w:vAlign w:val="center"/>
          </w:tcPr>
          <w:p w14:paraId="6D7984C1" w14:textId="77777777" w:rsidR="004B0883" w:rsidRDefault="004B0883">
            <w:pPr>
              <w:snapToGrid w:val="0"/>
              <w:jc w:val="center"/>
              <w:rPr>
                <w:bCs/>
                <w:kern w:val="0"/>
                <w:sz w:val="18"/>
                <w:szCs w:val="24"/>
              </w:rPr>
            </w:pPr>
            <w:r>
              <w:rPr>
                <w:rFonts w:hint="eastAsia"/>
                <w:bCs/>
                <w:kern w:val="0"/>
                <w:sz w:val="18"/>
                <w:szCs w:val="24"/>
              </w:rPr>
              <w:t>回收流动资金</w:t>
            </w:r>
          </w:p>
        </w:tc>
        <w:tc>
          <w:tcPr>
            <w:tcW w:w="944" w:type="dxa"/>
            <w:shd w:val="clear" w:color="auto" w:fill="FFFFFF"/>
            <w:vAlign w:val="center"/>
          </w:tcPr>
          <w:p w14:paraId="69E6BF6B"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544A6DDF"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4665E378"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6" w:type="dxa"/>
            <w:shd w:val="clear" w:color="auto" w:fill="FFFFFF"/>
            <w:vAlign w:val="center"/>
          </w:tcPr>
          <w:p w14:paraId="4DD45C2B"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66E0B4D6"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6" w:type="dxa"/>
            <w:shd w:val="clear" w:color="auto" w:fill="FFFFFF"/>
            <w:vAlign w:val="center"/>
          </w:tcPr>
          <w:p w14:paraId="55866010"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1F203C5A"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6" w:type="dxa"/>
            <w:shd w:val="clear" w:color="auto" w:fill="FFFFFF"/>
            <w:vAlign w:val="center"/>
          </w:tcPr>
          <w:p w14:paraId="32B809CF"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7" w:type="dxa"/>
            <w:shd w:val="clear" w:color="auto" w:fill="FFFFFF"/>
            <w:vAlign w:val="center"/>
          </w:tcPr>
          <w:p w14:paraId="595D1E1E"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6" w:type="dxa"/>
            <w:shd w:val="clear" w:color="auto" w:fill="FFFFFF"/>
            <w:vAlign w:val="center"/>
          </w:tcPr>
          <w:p w14:paraId="64594F85" w14:textId="77777777" w:rsidR="004B0883" w:rsidRDefault="004B0883">
            <w:pPr>
              <w:snapToGrid w:val="0"/>
              <w:jc w:val="right"/>
              <w:rPr>
                <w:rFonts w:eastAsia="等线"/>
                <w:bCs/>
                <w:kern w:val="0"/>
                <w:sz w:val="15"/>
                <w:szCs w:val="15"/>
              </w:rPr>
            </w:pPr>
            <w:r>
              <w:rPr>
                <w:rFonts w:eastAsia="等线"/>
                <w:bCs/>
                <w:kern w:val="0"/>
                <w:sz w:val="15"/>
                <w:szCs w:val="15"/>
              </w:rPr>
              <w:t>13,592.96</w:t>
            </w:r>
          </w:p>
        </w:tc>
      </w:tr>
      <w:tr w:rsidR="004B0883" w14:paraId="6407F93C" w14:textId="77777777">
        <w:trPr>
          <w:trHeight w:val="397"/>
          <w:jc w:val="center"/>
        </w:trPr>
        <w:tc>
          <w:tcPr>
            <w:tcW w:w="430" w:type="dxa"/>
            <w:shd w:val="clear" w:color="auto" w:fill="FFFFFF"/>
            <w:tcMar>
              <w:top w:w="0" w:type="dxa"/>
              <w:left w:w="30" w:type="dxa"/>
              <w:bottom w:w="0" w:type="dxa"/>
              <w:right w:w="30" w:type="dxa"/>
            </w:tcMar>
            <w:vAlign w:val="center"/>
          </w:tcPr>
          <w:p w14:paraId="00D7FFC8" w14:textId="77777777" w:rsidR="004B0883" w:rsidRDefault="004B0883">
            <w:pPr>
              <w:snapToGrid w:val="0"/>
              <w:jc w:val="center"/>
              <w:rPr>
                <w:rFonts w:eastAsia="等线"/>
                <w:b/>
                <w:kern w:val="0"/>
                <w:sz w:val="18"/>
                <w:szCs w:val="18"/>
              </w:rPr>
            </w:pPr>
            <w:r>
              <w:rPr>
                <w:rFonts w:eastAsia="等线"/>
                <w:b/>
                <w:kern w:val="0"/>
                <w:sz w:val="18"/>
                <w:szCs w:val="18"/>
              </w:rPr>
              <w:t>2</w:t>
            </w:r>
          </w:p>
        </w:tc>
        <w:tc>
          <w:tcPr>
            <w:tcW w:w="1415" w:type="dxa"/>
            <w:shd w:val="clear" w:color="auto" w:fill="FFFFFF"/>
            <w:vAlign w:val="center"/>
          </w:tcPr>
          <w:p w14:paraId="797C4AB5" w14:textId="77777777" w:rsidR="004B0883" w:rsidRDefault="004B0883">
            <w:pPr>
              <w:snapToGrid w:val="0"/>
              <w:jc w:val="center"/>
              <w:rPr>
                <w:b/>
                <w:kern w:val="0"/>
                <w:sz w:val="18"/>
                <w:szCs w:val="24"/>
              </w:rPr>
            </w:pPr>
            <w:r>
              <w:rPr>
                <w:rFonts w:hint="eastAsia"/>
                <w:b/>
                <w:kern w:val="0"/>
                <w:sz w:val="18"/>
                <w:szCs w:val="24"/>
              </w:rPr>
              <w:t>现金流出</w:t>
            </w:r>
          </w:p>
        </w:tc>
        <w:tc>
          <w:tcPr>
            <w:tcW w:w="944" w:type="dxa"/>
            <w:shd w:val="clear" w:color="auto" w:fill="FFFFFF"/>
            <w:vAlign w:val="center"/>
          </w:tcPr>
          <w:p w14:paraId="304B04A8" w14:textId="77777777" w:rsidR="004B0883" w:rsidRDefault="004B0883">
            <w:pPr>
              <w:snapToGrid w:val="0"/>
              <w:jc w:val="right"/>
              <w:rPr>
                <w:rFonts w:eastAsia="等线"/>
                <w:b/>
                <w:kern w:val="0"/>
                <w:sz w:val="15"/>
                <w:szCs w:val="15"/>
              </w:rPr>
            </w:pPr>
            <w:r>
              <w:rPr>
                <w:rFonts w:eastAsia="等线"/>
                <w:b/>
                <w:kern w:val="0"/>
                <w:sz w:val="15"/>
                <w:szCs w:val="15"/>
              </w:rPr>
              <w:t>7,898.07</w:t>
            </w:r>
          </w:p>
        </w:tc>
        <w:tc>
          <w:tcPr>
            <w:tcW w:w="945" w:type="dxa"/>
            <w:shd w:val="clear" w:color="auto" w:fill="FFFFFF"/>
            <w:vAlign w:val="center"/>
          </w:tcPr>
          <w:p w14:paraId="48FE6CA2" w14:textId="77777777" w:rsidR="004B0883" w:rsidRDefault="004B0883">
            <w:pPr>
              <w:snapToGrid w:val="0"/>
              <w:jc w:val="right"/>
              <w:rPr>
                <w:rFonts w:eastAsia="等线"/>
                <w:b/>
                <w:kern w:val="0"/>
                <w:sz w:val="15"/>
                <w:szCs w:val="15"/>
              </w:rPr>
            </w:pPr>
            <w:r>
              <w:rPr>
                <w:rFonts w:eastAsia="等线"/>
                <w:b/>
                <w:kern w:val="0"/>
                <w:sz w:val="15"/>
                <w:szCs w:val="15"/>
              </w:rPr>
              <w:t>13,899.55</w:t>
            </w:r>
          </w:p>
        </w:tc>
        <w:tc>
          <w:tcPr>
            <w:tcW w:w="945" w:type="dxa"/>
            <w:shd w:val="clear" w:color="auto" w:fill="FFFFFF"/>
            <w:vAlign w:val="center"/>
          </w:tcPr>
          <w:p w14:paraId="639A6741" w14:textId="77777777" w:rsidR="004B0883" w:rsidRDefault="004B0883">
            <w:pPr>
              <w:snapToGrid w:val="0"/>
              <w:jc w:val="right"/>
              <w:rPr>
                <w:rFonts w:eastAsia="等线"/>
                <w:b/>
                <w:kern w:val="0"/>
                <w:sz w:val="15"/>
                <w:szCs w:val="15"/>
              </w:rPr>
            </w:pPr>
            <w:r>
              <w:rPr>
                <w:rFonts w:eastAsia="等线"/>
                <w:b/>
                <w:kern w:val="0"/>
                <w:sz w:val="15"/>
                <w:szCs w:val="15"/>
              </w:rPr>
              <w:t>19,716.30</w:t>
            </w:r>
          </w:p>
        </w:tc>
        <w:tc>
          <w:tcPr>
            <w:tcW w:w="946" w:type="dxa"/>
            <w:shd w:val="clear" w:color="auto" w:fill="FFFFFF"/>
            <w:vAlign w:val="center"/>
          </w:tcPr>
          <w:p w14:paraId="357811BD" w14:textId="77777777" w:rsidR="004B0883" w:rsidRDefault="004B0883">
            <w:pPr>
              <w:snapToGrid w:val="0"/>
              <w:jc w:val="right"/>
              <w:rPr>
                <w:rFonts w:eastAsia="等线"/>
                <w:b/>
                <w:kern w:val="0"/>
                <w:sz w:val="15"/>
                <w:szCs w:val="15"/>
              </w:rPr>
            </w:pPr>
            <w:r>
              <w:rPr>
                <w:rFonts w:eastAsia="等线"/>
                <w:b/>
                <w:kern w:val="0"/>
                <w:sz w:val="15"/>
                <w:szCs w:val="15"/>
              </w:rPr>
              <w:t>18,227.67</w:t>
            </w:r>
          </w:p>
        </w:tc>
        <w:tc>
          <w:tcPr>
            <w:tcW w:w="945" w:type="dxa"/>
            <w:shd w:val="clear" w:color="auto" w:fill="FFFFFF"/>
            <w:vAlign w:val="center"/>
          </w:tcPr>
          <w:p w14:paraId="5A4D536E" w14:textId="77777777" w:rsidR="004B0883" w:rsidRDefault="004B0883">
            <w:pPr>
              <w:snapToGrid w:val="0"/>
              <w:jc w:val="right"/>
              <w:rPr>
                <w:rFonts w:eastAsia="等线"/>
                <w:b/>
                <w:kern w:val="0"/>
                <w:sz w:val="15"/>
                <w:szCs w:val="15"/>
              </w:rPr>
            </w:pPr>
            <w:r>
              <w:rPr>
                <w:rFonts w:eastAsia="等线"/>
                <w:b/>
                <w:kern w:val="0"/>
                <w:sz w:val="15"/>
                <w:szCs w:val="15"/>
              </w:rPr>
              <w:t>26,134.20</w:t>
            </w:r>
          </w:p>
        </w:tc>
        <w:tc>
          <w:tcPr>
            <w:tcW w:w="946" w:type="dxa"/>
            <w:shd w:val="clear" w:color="auto" w:fill="FFFFFF"/>
            <w:vAlign w:val="center"/>
          </w:tcPr>
          <w:p w14:paraId="63867FA5" w14:textId="77777777" w:rsidR="004B0883" w:rsidRDefault="004B0883">
            <w:pPr>
              <w:snapToGrid w:val="0"/>
              <w:jc w:val="right"/>
              <w:rPr>
                <w:rFonts w:eastAsia="等线"/>
                <w:b/>
                <w:kern w:val="0"/>
                <w:sz w:val="15"/>
                <w:szCs w:val="15"/>
              </w:rPr>
            </w:pPr>
            <w:r>
              <w:rPr>
                <w:rFonts w:eastAsia="等线"/>
                <w:b/>
                <w:kern w:val="0"/>
                <w:sz w:val="15"/>
                <w:szCs w:val="15"/>
              </w:rPr>
              <w:t>39,593.93</w:t>
            </w:r>
          </w:p>
        </w:tc>
        <w:tc>
          <w:tcPr>
            <w:tcW w:w="945" w:type="dxa"/>
            <w:shd w:val="clear" w:color="auto" w:fill="FFFFFF"/>
            <w:vAlign w:val="center"/>
          </w:tcPr>
          <w:p w14:paraId="39DBD13B" w14:textId="77777777" w:rsidR="004B0883" w:rsidRDefault="004B0883">
            <w:pPr>
              <w:snapToGrid w:val="0"/>
              <w:jc w:val="right"/>
              <w:rPr>
                <w:rFonts w:eastAsia="等线"/>
                <w:b/>
                <w:kern w:val="0"/>
                <w:sz w:val="15"/>
                <w:szCs w:val="15"/>
              </w:rPr>
            </w:pPr>
            <w:r>
              <w:rPr>
                <w:rFonts w:eastAsia="等线"/>
                <w:b/>
                <w:kern w:val="0"/>
                <w:sz w:val="15"/>
                <w:szCs w:val="15"/>
              </w:rPr>
              <w:t>35,184.52</w:t>
            </w:r>
          </w:p>
        </w:tc>
        <w:tc>
          <w:tcPr>
            <w:tcW w:w="946" w:type="dxa"/>
            <w:shd w:val="clear" w:color="auto" w:fill="FFFFFF"/>
            <w:vAlign w:val="center"/>
          </w:tcPr>
          <w:p w14:paraId="40F69AAD" w14:textId="77777777" w:rsidR="004B0883" w:rsidRDefault="004B0883">
            <w:pPr>
              <w:snapToGrid w:val="0"/>
              <w:jc w:val="right"/>
              <w:rPr>
                <w:rFonts w:eastAsia="等线"/>
                <w:b/>
                <w:kern w:val="0"/>
                <w:sz w:val="15"/>
                <w:szCs w:val="15"/>
              </w:rPr>
            </w:pPr>
            <w:r>
              <w:rPr>
                <w:rFonts w:eastAsia="等线"/>
                <w:b/>
                <w:kern w:val="0"/>
                <w:sz w:val="15"/>
                <w:szCs w:val="15"/>
              </w:rPr>
              <w:t>35,188.68</w:t>
            </w:r>
          </w:p>
        </w:tc>
        <w:tc>
          <w:tcPr>
            <w:tcW w:w="947" w:type="dxa"/>
            <w:shd w:val="clear" w:color="auto" w:fill="FFFFFF"/>
            <w:vAlign w:val="center"/>
          </w:tcPr>
          <w:p w14:paraId="4F98BB4F" w14:textId="77777777" w:rsidR="004B0883" w:rsidRDefault="004B0883">
            <w:pPr>
              <w:snapToGrid w:val="0"/>
              <w:jc w:val="right"/>
              <w:rPr>
                <w:rFonts w:eastAsia="等线"/>
                <w:b/>
                <w:kern w:val="0"/>
                <w:sz w:val="15"/>
                <w:szCs w:val="15"/>
              </w:rPr>
            </w:pPr>
            <w:r>
              <w:rPr>
                <w:rFonts w:eastAsia="等线"/>
                <w:b/>
                <w:kern w:val="0"/>
                <w:sz w:val="15"/>
                <w:szCs w:val="15"/>
              </w:rPr>
              <w:t>35,191.34</w:t>
            </w:r>
          </w:p>
        </w:tc>
        <w:tc>
          <w:tcPr>
            <w:tcW w:w="946" w:type="dxa"/>
            <w:shd w:val="clear" w:color="auto" w:fill="FFFFFF"/>
            <w:vAlign w:val="center"/>
          </w:tcPr>
          <w:p w14:paraId="3156A516" w14:textId="77777777" w:rsidR="004B0883" w:rsidRDefault="004B0883">
            <w:pPr>
              <w:snapToGrid w:val="0"/>
              <w:jc w:val="right"/>
              <w:rPr>
                <w:rFonts w:eastAsia="等线"/>
                <w:b/>
                <w:kern w:val="0"/>
                <w:sz w:val="15"/>
                <w:szCs w:val="15"/>
              </w:rPr>
            </w:pPr>
            <w:r>
              <w:rPr>
                <w:rFonts w:eastAsia="等线"/>
                <w:b/>
                <w:kern w:val="0"/>
                <w:sz w:val="15"/>
                <w:szCs w:val="15"/>
              </w:rPr>
              <w:t>35,189.87</w:t>
            </w:r>
          </w:p>
        </w:tc>
      </w:tr>
      <w:tr w:rsidR="004B0883" w14:paraId="22EFE0A6" w14:textId="77777777">
        <w:trPr>
          <w:trHeight w:val="397"/>
          <w:jc w:val="center"/>
        </w:trPr>
        <w:tc>
          <w:tcPr>
            <w:tcW w:w="430" w:type="dxa"/>
            <w:shd w:val="clear" w:color="auto" w:fill="FFFFFF"/>
            <w:tcMar>
              <w:top w:w="0" w:type="dxa"/>
              <w:left w:w="30" w:type="dxa"/>
              <w:bottom w:w="0" w:type="dxa"/>
              <w:right w:w="30" w:type="dxa"/>
            </w:tcMar>
            <w:vAlign w:val="center"/>
          </w:tcPr>
          <w:p w14:paraId="20F14E23" w14:textId="77777777" w:rsidR="004B0883" w:rsidRDefault="004B0883">
            <w:pPr>
              <w:snapToGrid w:val="0"/>
              <w:jc w:val="center"/>
              <w:rPr>
                <w:rFonts w:eastAsia="等线"/>
                <w:bCs/>
                <w:kern w:val="0"/>
                <w:sz w:val="18"/>
                <w:szCs w:val="18"/>
              </w:rPr>
            </w:pPr>
            <w:r>
              <w:rPr>
                <w:rFonts w:eastAsia="等线"/>
                <w:bCs/>
                <w:kern w:val="0"/>
                <w:sz w:val="18"/>
                <w:szCs w:val="18"/>
              </w:rPr>
              <w:t>2.1</w:t>
            </w:r>
          </w:p>
        </w:tc>
        <w:tc>
          <w:tcPr>
            <w:tcW w:w="1415" w:type="dxa"/>
            <w:shd w:val="clear" w:color="auto" w:fill="FFFFFF"/>
            <w:vAlign w:val="center"/>
          </w:tcPr>
          <w:p w14:paraId="644F584C" w14:textId="77777777" w:rsidR="004B0883" w:rsidRDefault="004B0883">
            <w:pPr>
              <w:snapToGrid w:val="0"/>
              <w:jc w:val="center"/>
              <w:rPr>
                <w:bCs/>
                <w:kern w:val="0"/>
                <w:sz w:val="18"/>
                <w:szCs w:val="24"/>
              </w:rPr>
            </w:pPr>
            <w:r>
              <w:rPr>
                <w:rFonts w:hint="eastAsia"/>
                <w:bCs/>
                <w:kern w:val="0"/>
                <w:sz w:val="18"/>
                <w:szCs w:val="24"/>
              </w:rPr>
              <w:t>建设投资</w:t>
            </w:r>
          </w:p>
        </w:tc>
        <w:tc>
          <w:tcPr>
            <w:tcW w:w="944" w:type="dxa"/>
            <w:shd w:val="clear" w:color="auto" w:fill="FFFFFF"/>
            <w:vAlign w:val="center"/>
          </w:tcPr>
          <w:p w14:paraId="52FB55AB" w14:textId="77777777" w:rsidR="004B0883" w:rsidRDefault="004B0883">
            <w:pPr>
              <w:snapToGrid w:val="0"/>
              <w:jc w:val="right"/>
              <w:rPr>
                <w:rFonts w:eastAsia="等线"/>
                <w:bCs/>
                <w:kern w:val="0"/>
                <w:sz w:val="15"/>
                <w:szCs w:val="15"/>
              </w:rPr>
            </w:pPr>
            <w:r>
              <w:rPr>
                <w:rFonts w:eastAsia="等线"/>
                <w:bCs/>
                <w:kern w:val="0"/>
                <w:sz w:val="15"/>
                <w:szCs w:val="15"/>
              </w:rPr>
              <w:t>7,898.07</w:t>
            </w:r>
          </w:p>
        </w:tc>
        <w:tc>
          <w:tcPr>
            <w:tcW w:w="945" w:type="dxa"/>
            <w:shd w:val="clear" w:color="auto" w:fill="FFFFFF"/>
            <w:vAlign w:val="center"/>
          </w:tcPr>
          <w:p w14:paraId="0F1256D8" w14:textId="77777777" w:rsidR="004B0883" w:rsidRDefault="004B0883">
            <w:pPr>
              <w:snapToGrid w:val="0"/>
              <w:jc w:val="right"/>
              <w:rPr>
                <w:rFonts w:eastAsia="等线"/>
                <w:bCs/>
                <w:kern w:val="0"/>
                <w:sz w:val="15"/>
                <w:szCs w:val="15"/>
              </w:rPr>
            </w:pPr>
            <w:r>
              <w:rPr>
                <w:rFonts w:eastAsia="等线"/>
                <w:bCs/>
                <w:kern w:val="0"/>
                <w:sz w:val="15"/>
                <w:szCs w:val="15"/>
              </w:rPr>
              <w:t>13,899.55</w:t>
            </w:r>
          </w:p>
        </w:tc>
        <w:tc>
          <w:tcPr>
            <w:tcW w:w="945" w:type="dxa"/>
            <w:shd w:val="clear" w:color="auto" w:fill="FFFFFF"/>
            <w:vAlign w:val="center"/>
          </w:tcPr>
          <w:p w14:paraId="4D9A4827" w14:textId="77777777" w:rsidR="004B0883" w:rsidRDefault="004B0883">
            <w:pPr>
              <w:snapToGrid w:val="0"/>
              <w:jc w:val="right"/>
              <w:rPr>
                <w:rFonts w:eastAsia="等线"/>
                <w:bCs/>
                <w:kern w:val="0"/>
                <w:sz w:val="15"/>
                <w:szCs w:val="15"/>
              </w:rPr>
            </w:pPr>
            <w:r>
              <w:rPr>
                <w:rFonts w:eastAsia="等线"/>
                <w:bCs/>
                <w:kern w:val="0"/>
                <w:sz w:val="15"/>
                <w:szCs w:val="15"/>
              </w:rPr>
              <w:t>6,422.34</w:t>
            </w:r>
          </w:p>
        </w:tc>
        <w:tc>
          <w:tcPr>
            <w:tcW w:w="946" w:type="dxa"/>
            <w:shd w:val="clear" w:color="auto" w:fill="FFFFFF"/>
            <w:vAlign w:val="center"/>
          </w:tcPr>
          <w:p w14:paraId="32CED609"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43F5F741"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6" w:type="dxa"/>
            <w:shd w:val="clear" w:color="auto" w:fill="FFFFFF"/>
            <w:vAlign w:val="center"/>
          </w:tcPr>
          <w:p w14:paraId="4E1B463D"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076272E5"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6" w:type="dxa"/>
            <w:shd w:val="clear" w:color="auto" w:fill="FFFFFF"/>
            <w:vAlign w:val="center"/>
          </w:tcPr>
          <w:p w14:paraId="66DE81C6"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7" w:type="dxa"/>
            <w:shd w:val="clear" w:color="auto" w:fill="FFFFFF"/>
            <w:vAlign w:val="center"/>
          </w:tcPr>
          <w:p w14:paraId="012566D2"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6" w:type="dxa"/>
            <w:shd w:val="clear" w:color="auto" w:fill="FFFFFF"/>
            <w:vAlign w:val="center"/>
          </w:tcPr>
          <w:p w14:paraId="12E62A42" w14:textId="77777777" w:rsidR="004B0883" w:rsidRDefault="004B0883">
            <w:pPr>
              <w:snapToGrid w:val="0"/>
              <w:jc w:val="right"/>
              <w:rPr>
                <w:rFonts w:eastAsia="等线"/>
                <w:bCs/>
                <w:kern w:val="0"/>
                <w:sz w:val="15"/>
                <w:szCs w:val="15"/>
              </w:rPr>
            </w:pPr>
            <w:r>
              <w:rPr>
                <w:rFonts w:eastAsia="等线"/>
                <w:bCs/>
                <w:kern w:val="0"/>
                <w:sz w:val="15"/>
                <w:szCs w:val="15"/>
              </w:rPr>
              <w:t>-</w:t>
            </w:r>
          </w:p>
        </w:tc>
      </w:tr>
      <w:tr w:rsidR="004B0883" w14:paraId="7BE7AD1F" w14:textId="77777777">
        <w:trPr>
          <w:trHeight w:val="397"/>
          <w:jc w:val="center"/>
        </w:trPr>
        <w:tc>
          <w:tcPr>
            <w:tcW w:w="430" w:type="dxa"/>
            <w:shd w:val="clear" w:color="auto" w:fill="FFFFFF"/>
            <w:tcMar>
              <w:top w:w="0" w:type="dxa"/>
              <w:left w:w="30" w:type="dxa"/>
              <w:bottom w:w="0" w:type="dxa"/>
              <w:right w:w="30" w:type="dxa"/>
            </w:tcMar>
            <w:vAlign w:val="center"/>
          </w:tcPr>
          <w:p w14:paraId="678A07E6" w14:textId="77777777" w:rsidR="004B0883" w:rsidRDefault="004B0883">
            <w:pPr>
              <w:snapToGrid w:val="0"/>
              <w:jc w:val="center"/>
              <w:rPr>
                <w:rFonts w:eastAsia="等线"/>
                <w:bCs/>
                <w:kern w:val="0"/>
                <w:sz w:val="18"/>
                <w:szCs w:val="18"/>
              </w:rPr>
            </w:pPr>
            <w:r>
              <w:rPr>
                <w:rFonts w:eastAsia="等线"/>
                <w:bCs/>
                <w:kern w:val="0"/>
                <w:sz w:val="18"/>
                <w:szCs w:val="18"/>
              </w:rPr>
              <w:t>2.2</w:t>
            </w:r>
          </w:p>
        </w:tc>
        <w:tc>
          <w:tcPr>
            <w:tcW w:w="1415" w:type="dxa"/>
            <w:shd w:val="clear" w:color="auto" w:fill="FFFFFF"/>
            <w:vAlign w:val="center"/>
          </w:tcPr>
          <w:p w14:paraId="355DDE9B" w14:textId="77777777" w:rsidR="004B0883" w:rsidRDefault="004B0883">
            <w:pPr>
              <w:snapToGrid w:val="0"/>
              <w:jc w:val="center"/>
              <w:rPr>
                <w:bCs/>
                <w:kern w:val="0"/>
                <w:sz w:val="18"/>
                <w:szCs w:val="24"/>
              </w:rPr>
            </w:pPr>
            <w:r>
              <w:rPr>
                <w:rFonts w:hint="eastAsia"/>
                <w:bCs/>
                <w:kern w:val="0"/>
                <w:sz w:val="18"/>
                <w:szCs w:val="24"/>
              </w:rPr>
              <w:t>流动资金</w:t>
            </w:r>
          </w:p>
        </w:tc>
        <w:tc>
          <w:tcPr>
            <w:tcW w:w="944" w:type="dxa"/>
            <w:shd w:val="clear" w:color="auto" w:fill="FFFFFF"/>
            <w:vAlign w:val="center"/>
          </w:tcPr>
          <w:p w14:paraId="6D31AC95"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25B6CCE3"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70DEE492" w14:textId="77777777" w:rsidR="004B0883" w:rsidRDefault="004B0883">
            <w:pPr>
              <w:snapToGrid w:val="0"/>
              <w:jc w:val="right"/>
              <w:rPr>
                <w:rFonts w:eastAsia="等线"/>
                <w:bCs/>
                <w:kern w:val="0"/>
                <w:sz w:val="15"/>
                <w:szCs w:val="15"/>
              </w:rPr>
            </w:pPr>
            <w:r>
              <w:rPr>
                <w:rFonts w:eastAsia="等线"/>
                <w:bCs/>
                <w:kern w:val="0"/>
                <w:sz w:val="15"/>
                <w:szCs w:val="15"/>
              </w:rPr>
              <w:t>3,859.81</w:t>
            </w:r>
          </w:p>
        </w:tc>
        <w:tc>
          <w:tcPr>
            <w:tcW w:w="946" w:type="dxa"/>
            <w:shd w:val="clear" w:color="auto" w:fill="FFFFFF"/>
            <w:vAlign w:val="center"/>
          </w:tcPr>
          <w:p w14:paraId="31F3B983" w14:textId="77777777" w:rsidR="004B0883" w:rsidRDefault="004B0883">
            <w:pPr>
              <w:snapToGrid w:val="0"/>
              <w:jc w:val="right"/>
              <w:rPr>
                <w:rFonts w:eastAsia="等线"/>
                <w:bCs/>
                <w:kern w:val="0"/>
                <w:sz w:val="15"/>
                <w:szCs w:val="15"/>
              </w:rPr>
            </w:pPr>
            <w:r>
              <w:rPr>
                <w:rFonts w:eastAsia="等线"/>
                <w:bCs/>
                <w:kern w:val="0"/>
                <w:sz w:val="15"/>
                <w:szCs w:val="15"/>
              </w:rPr>
              <w:t>2,571.43</w:t>
            </w:r>
          </w:p>
        </w:tc>
        <w:tc>
          <w:tcPr>
            <w:tcW w:w="945" w:type="dxa"/>
            <w:shd w:val="clear" w:color="auto" w:fill="FFFFFF"/>
            <w:vAlign w:val="center"/>
          </w:tcPr>
          <w:p w14:paraId="6E20B5D2" w14:textId="77777777" w:rsidR="004B0883" w:rsidRDefault="004B0883">
            <w:pPr>
              <w:snapToGrid w:val="0"/>
              <w:jc w:val="right"/>
              <w:rPr>
                <w:rFonts w:eastAsia="等线"/>
                <w:bCs/>
                <w:kern w:val="0"/>
                <w:sz w:val="15"/>
                <w:szCs w:val="15"/>
              </w:rPr>
            </w:pPr>
            <w:r>
              <w:rPr>
                <w:rFonts w:eastAsia="等线"/>
                <w:bCs/>
                <w:kern w:val="0"/>
                <w:sz w:val="15"/>
                <w:szCs w:val="15"/>
              </w:rPr>
              <w:t>2,747.93</w:t>
            </w:r>
          </w:p>
        </w:tc>
        <w:tc>
          <w:tcPr>
            <w:tcW w:w="946" w:type="dxa"/>
            <w:shd w:val="clear" w:color="auto" w:fill="FFFFFF"/>
            <w:vAlign w:val="center"/>
          </w:tcPr>
          <w:p w14:paraId="77EC3451" w14:textId="77777777" w:rsidR="004B0883" w:rsidRDefault="004B0883">
            <w:pPr>
              <w:snapToGrid w:val="0"/>
              <w:jc w:val="right"/>
              <w:rPr>
                <w:rFonts w:eastAsia="等线"/>
                <w:bCs/>
                <w:kern w:val="0"/>
                <w:sz w:val="15"/>
                <w:szCs w:val="15"/>
              </w:rPr>
            </w:pPr>
            <w:r>
              <w:rPr>
                <w:rFonts w:eastAsia="等线"/>
                <w:bCs/>
                <w:kern w:val="0"/>
                <w:sz w:val="15"/>
                <w:szCs w:val="15"/>
              </w:rPr>
              <w:t>4,409.67</w:t>
            </w:r>
          </w:p>
        </w:tc>
        <w:tc>
          <w:tcPr>
            <w:tcW w:w="945" w:type="dxa"/>
            <w:shd w:val="clear" w:color="auto" w:fill="FFFFFF"/>
            <w:vAlign w:val="center"/>
          </w:tcPr>
          <w:p w14:paraId="3BA01185" w14:textId="77777777" w:rsidR="004B0883" w:rsidRDefault="004B0883">
            <w:pPr>
              <w:snapToGrid w:val="0"/>
              <w:jc w:val="right"/>
              <w:rPr>
                <w:rFonts w:eastAsia="等线"/>
                <w:bCs/>
                <w:kern w:val="0"/>
                <w:sz w:val="15"/>
                <w:szCs w:val="15"/>
              </w:rPr>
            </w:pPr>
            <w:r>
              <w:rPr>
                <w:rFonts w:eastAsia="等线"/>
                <w:bCs/>
                <w:kern w:val="0"/>
                <w:sz w:val="15"/>
                <w:szCs w:val="15"/>
              </w:rPr>
              <w:t>0.26</w:t>
            </w:r>
          </w:p>
        </w:tc>
        <w:tc>
          <w:tcPr>
            <w:tcW w:w="946" w:type="dxa"/>
            <w:shd w:val="clear" w:color="auto" w:fill="FFFFFF"/>
            <w:vAlign w:val="center"/>
          </w:tcPr>
          <w:p w14:paraId="06CCEC2B" w14:textId="77777777" w:rsidR="004B0883" w:rsidRDefault="004B0883">
            <w:pPr>
              <w:snapToGrid w:val="0"/>
              <w:jc w:val="right"/>
              <w:rPr>
                <w:rFonts w:eastAsia="等线"/>
                <w:bCs/>
                <w:kern w:val="0"/>
                <w:sz w:val="15"/>
                <w:szCs w:val="15"/>
              </w:rPr>
            </w:pPr>
            <w:r>
              <w:rPr>
                <w:rFonts w:eastAsia="等线"/>
                <w:bCs/>
                <w:kern w:val="0"/>
                <w:sz w:val="15"/>
                <w:szCs w:val="15"/>
              </w:rPr>
              <w:t>1.77</w:t>
            </w:r>
          </w:p>
        </w:tc>
        <w:tc>
          <w:tcPr>
            <w:tcW w:w="947" w:type="dxa"/>
            <w:shd w:val="clear" w:color="auto" w:fill="FFFFFF"/>
            <w:vAlign w:val="center"/>
          </w:tcPr>
          <w:p w14:paraId="7E8CE0B8" w14:textId="77777777" w:rsidR="004B0883" w:rsidRDefault="004B0883">
            <w:pPr>
              <w:snapToGrid w:val="0"/>
              <w:jc w:val="right"/>
              <w:rPr>
                <w:rFonts w:eastAsia="等线"/>
                <w:bCs/>
                <w:kern w:val="0"/>
                <w:sz w:val="15"/>
                <w:szCs w:val="15"/>
              </w:rPr>
            </w:pPr>
            <w:r>
              <w:rPr>
                <w:rFonts w:eastAsia="等线"/>
                <w:bCs/>
                <w:kern w:val="0"/>
                <w:sz w:val="15"/>
                <w:szCs w:val="15"/>
              </w:rPr>
              <w:t>1.78</w:t>
            </w:r>
          </w:p>
        </w:tc>
        <w:tc>
          <w:tcPr>
            <w:tcW w:w="946" w:type="dxa"/>
            <w:shd w:val="clear" w:color="auto" w:fill="FFFFFF"/>
            <w:vAlign w:val="center"/>
          </w:tcPr>
          <w:p w14:paraId="7D95EE66" w14:textId="77777777" w:rsidR="004B0883" w:rsidRDefault="004B0883">
            <w:pPr>
              <w:snapToGrid w:val="0"/>
              <w:jc w:val="right"/>
              <w:rPr>
                <w:rFonts w:eastAsia="等线"/>
                <w:bCs/>
                <w:kern w:val="0"/>
                <w:sz w:val="15"/>
                <w:szCs w:val="15"/>
              </w:rPr>
            </w:pPr>
            <w:r>
              <w:rPr>
                <w:rFonts w:eastAsia="等线"/>
                <w:bCs/>
                <w:kern w:val="0"/>
                <w:sz w:val="15"/>
                <w:szCs w:val="15"/>
              </w:rPr>
              <w:t>0.31</w:t>
            </w:r>
          </w:p>
        </w:tc>
      </w:tr>
      <w:tr w:rsidR="004B0883" w14:paraId="46F5656A" w14:textId="77777777">
        <w:trPr>
          <w:trHeight w:val="397"/>
          <w:jc w:val="center"/>
        </w:trPr>
        <w:tc>
          <w:tcPr>
            <w:tcW w:w="430" w:type="dxa"/>
            <w:shd w:val="clear" w:color="auto" w:fill="FFFFFF"/>
            <w:tcMar>
              <w:top w:w="0" w:type="dxa"/>
              <w:left w:w="30" w:type="dxa"/>
              <w:bottom w:w="0" w:type="dxa"/>
              <w:right w:w="30" w:type="dxa"/>
            </w:tcMar>
            <w:vAlign w:val="center"/>
          </w:tcPr>
          <w:p w14:paraId="01E97806" w14:textId="77777777" w:rsidR="004B0883" w:rsidRDefault="004B0883">
            <w:pPr>
              <w:snapToGrid w:val="0"/>
              <w:jc w:val="center"/>
              <w:rPr>
                <w:rFonts w:eastAsia="等线"/>
                <w:bCs/>
                <w:kern w:val="0"/>
                <w:sz w:val="18"/>
                <w:szCs w:val="18"/>
              </w:rPr>
            </w:pPr>
            <w:r>
              <w:rPr>
                <w:rFonts w:eastAsia="等线"/>
                <w:bCs/>
                <w:kern w:val="0"/>
                <w:sz w:val="18"/>
                <w:szCs w:val="18"/>
              </w:rPr>
              <w:t>2.3</w:t>
            </w:r>
          </w:p>
        </w:tc>
        <w:tc>
          <w:tcPr>
            <w:tcW w:w="1415" w:type="dxa"/>
            <w:shd w:val="clear" w:color="auto" w:fill="FFFFFF"/>
            <w:vAlign w:val="center"/>
          </w:tcPr>
          <w:p w14:paraId="74AE3819" w14:textId="77777777" w:rsidR="004B0883" w:rsidRDefault="004B0883">
            <w:pPr>
              <w:snapToGrid w:val="0"/>
              <w:jc w:val="center"/>
              <w:rPr>
                <w:bCs/>
                <w:kern w:val="0"/>
                <w:sz w:val="18"/>
                <w:szCs w:val="24"/>
              </w:rPr>
            </w:pPr>
            <w:r>
              <w:rPr>
                <w:rFonts w:hint="eastAsia"/>
                <w:bCs/>
                <w:kern w:val="0"/>
                <w:sz w:val="18"/>
                <w:szCs w:val="24"/>
              </w:rPr>
              <w:t>经营成本</w:t>
            </w:r>
          </w:p>
        </w:tc>
        <w:tc>
          <w:tcPr>
            <w:tcW w:w="944" w:type="dxa"/>
            <w:shd w:val="clear" w:color="auto" w:fill="FFFFFF"/>
            <w:vAlign w:val="center"/>
          </w:tcPr>
          <w:p w14:paraId="5AAB0095"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6D423B74"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20EFBD7D" w14:textId="77777777" w:rsidR="004B0883" w:rsidRDefault="004B0883">
            <w:pPr>
              <w:snapToGrid w:val="0"/>
              <w:jc w:val="right"/>
              <w:rPr>
                <w:rFonts w:eastAsia="等线"/>
                <w:bCs/>
                <w:kern w:val="0"/>
                <w:sz w:val="15"/>
                <w:szCs w:val="15"/>
              </w:rPr>
            </w:pPr>
            <w:r>
              <w:rPr>
                <w:rFonts w:eastAsia="等线"/>
                <w:bCs/>
                <w:kern w:val="0"/>
                <w:sz w:val="15"/>
                <w:szCs w:val="15"/>
              </w:rPr>
              <w:t>8,490.50</w:t>
            </w:r>
          </w:p>
        </w:tc>
        <w:tc>
          <w:tcPr>
            <w:tcW w:w="946" w:type="dxa"/>
            <w:shd w:val="clear" w:color="auto" w:fill="FFFFFF"/>
            <w:vAlign w:val="center"/>
          </w:tcPr>
          <w:p w14:paraId="28453110" w14:textId="77777777" w:rsidR="004B0883" w:rsidRDefault="004B0883">
            <w:pPr>
              <w:snapToGrid w:val="0"/>
              <w:jc w:val="right"/>
              <w:rPr>
                <w:rFonts w:eastAsia="等线"/>
                <w:bCs/>
                <w:kern w:val="0"/>
                <w:sz w:val="15"/>
                <w:szCs w:val="15"/>
              </w:rPr>
            </w:pPr>
            <w:r>
              <w:rPr>
                <w:rFonts w:eastAsia="等线"/>
                <w:bCs/>
                <w:kern w:val="0"/>
                <w:sz w:val="15"/>
                <w:szCs w:val="15"/>
              </w:rPr>
              <w:t>14,147.96</w:t>
            </w:r>
          </w:p>
        </w:tc>
        <w:tc>
          <w:tcPr>
            <w:tcW w:w="945" w:type="dxa"/>
            <w:shd w:val="clear" w:color="auto" w:fill="FFFFFF"/>
            <w:vAlign w:val="center"/>
          </w:tcPr>
          <w:p w14:paraId="017805B0" w14:textId="77777777" w:rsidR="004B0883" w:rsidRDefault="004B0883">
            <w:pPr>
              <w:snapToGrid w:val="0"/>
              <w:jc w:val="right"/>
              <w:rPr>
                <w:rFonts w:eastAsia="等线"/>
                <w:bCs/>
                <w:kern w:val="0"/>
                <w:sz w:val="15"/>
                <w:szCs w:val="15"/>
              </w:rPr>
            </w:pPr>
            <w:r>
              <w:rPr>
                <w:rFonts w:eastAsia="等线"/>
                <w:bCs/>
                <w:kern w:val="0"/>
                <w:sz w:val="15"/>
                <w:szCs w:val="15"/>
              </w:rPr>
              <w:t>20,106.06</w:t>
            </w:r>
          </w:p>
        </w:tc>
        <w:tc>
          <w:tcPr>
            <w:tcW w:w="946" w:type="dxa"/>
            <w:shd w:val="clear" w:color="auto" w:fill="FFFFFF"/>
            <w:vAlign w:val="center"/>
          </w:tcPr>
          <w:p w14:paraId="747EE05D" w14:textId="77777777" w:rsidR="004B0883" w:rsidRDefault="004B0883">
            <w:pPr>
              <w:snapToGrid w:val="0"/>
              <w:jc w:val="right"/>
              <w:rPr>
                <w:rFonts w:eastAsia="等线"/>
                <w:bCs/>
                <w:kern w:val="0"/>
                <w:sz w:val="15"/>
                <w:szCs w:val="15"/>
              </w:rPr>
            </w:pPr>
            <w:r>
              <w:rPr>
                <w:rFonts w:eastAsia="等线"/>
                <w:bCs/>
                <w:kern w:val="0"/>
                <w:sz w:val="15"/>
                <w:szCs w:val="15"/>
              </w:rPr>
              <w:t>29,530.50</w:t>
            </w:r>
          </w:p>
        </w:tc>
        <w:tc>
          <w:tcPr>
            <w:tcW w:w="945" w:type="dxa"/>
            <w:shd w:val="clear" w:color="auto" w:fill="FFFFFF"/>
            <w:vAlign w:val="center"/>
          </w:tcPr>
          <w:p w14:paraId="42724F2A" w14:textId="77777777" w:rsidR="004B0883" w:rsidRDefault="004B0883">
            <w:pPr>
              <w:snapToGrid w:val="0"/>
              <w:jc w:val="right"/>
              <w:rPr>
                <w:rFonts w:eastAsia="等线"/>
                <w:bCs/>
                <w:kern w:val="0"/>
                <w:sz w:val="15"/>
                <w:szCs w:val="15"/>
              </w:rPr>
            </w:pPr>
            <w:r>
              <w:rPr>
                <w:rFonts w:eastAsia="等线"/>
                <w:bCs/>
                <w:kern w:val="0"/>
                <w:sz w:val="15"/>
                <w:szCs w:val="15"/>
              </w:rPr>
              <w:t>29,530.50</w:t>
            </w:r>
          </w:p>
        </w:tc>
        <w:tc>
          <w:tcPr>
            <w:tcW w:w="946" w:type="dxa"/>
            <w:shd w:val="clear" w:color="auto" w:fill="FFFFFF"/>
            <w:vAlign w:val="center"/>
          </w:tcPr>
          <w:p w14:paraId="3653DB8B" w14:textId="77777777" w:rsidR="004B0883" w:rsidRDefault="004B0883">
            <w:pPr>
              <w:snapToGrid w:val="0"/>
              <w:jc w:val="right"/>
              <w:rPr>
                <w:rFonts w:eastAsia="等线"/>
                <w:bCs/>
                <w:kern w:val="0"/>
                <w:sz w:val="15"/>
                <w:szCs w:val="15"/>
              </w:rPr>
            </w:pPr>
            <w:r>
              <w:rPr>
                <w:rFonts w:eastAsia="等线"/>
                <w:bCs/>
                <w:kern w:val="0"/>
                <w:sz w:val="15"/>
                <w:szCs w:val="15"/>
              </w:rPr>
              <w:t>29,533.15</w:t>
            </w:r>
          </w:p>
        </w:tc>
        <w:tc>
          <w:tcPr>
            <w:tcW w:w="947" w:type="dxa"/>
            <w:shd w:val="clear" w:color="auto" w:fill="FFFFFF"/>
            <w:vAlign w:val="center"/>
          </w:tcPr>
          <w:p w14:paraId="4A1A42CE" w14:textId="77777777" w:rsidR="004B0883" w:rsidRDefault="004B0883">
            <w:pPr>
              <w:snapToGrid w:val="0"/>
              <w:jc w:val="right"/>
              <w:rPr>
                <w:rFonts w:eastAsia="等线"/>
                <w:bCs/>
                <w:kern w:val="0"/>
                <w:sz w:val="15"/>
                <w:szCs w:val="15"/>
              </w:rPr>
            </w:pPr>
            <w:r>
              <w:rPr>
                <w:rFonts w:eastAsia="等线"/>
                <w:bCs/>
                <w:kern w:val="0"/>
                <w:sz w:val="15"/>
                <w:szCs w:val="15"/>
              </w:rPr>
              <w:t>29,535.80</w:t>
            </w:r>
          </w:p>
        </w:tc>
        <w:tc>
          <w:tcPr>
            <w:tcW w:w="946" w:type="dxa"/>
            <w:shd w:val="clear" w:color="auto" w:fill="FFFFFF"/>
            <w:vAlign w:val="center"/>
          </w:tcPr>
          <w:p w14:paraId="6C81B479" w14:textId="77777777" w:rsidR="004B0883" w:rsidRDefault="004B0883">
            <w:pPr>
              <w:snapToGrid w:val="0"/>
              <w:jc w:val="right"/>
              <w:rPr>
                <w:rFonts w:eastAsia="等线"/>
                <w:bCs/>
                <w:kern w:val="0"/>
                <w:sz w:val="15"/>
                <w:szCs w:val="15"/>
              </w:rPr>
            </w:pPr>
            <w:r>
              <w:rPr>
                <w:rFonts w:eastAsia="等线"/>
                <w:bCs/>
                <w:kern w:val="0"/>
                <w:sz w:val="15"/>
                <w:szCs w:val="15"/>
              </w:rPr>
              <w:t>29,535.80</w:t>
            </w:r>
          </w:p>
        </w:tc>
      </w:tr>
      <w:tr w:rsidR="004B0883" w14:paraId="28D163BF" w14:textId="77777777">
        <w:trPr>
          <w:trHeight w:val="397"/>
          <w:jc w:val="center"/>
        </w:trPr>
        <w:tc>
          <w:tcPr>
            <w:tcW w:w="430" w:type="dxa"/>
            <w:shd w:val="clear" w:color="auto" w:fill="FFFFFF"/>
            <w:tcMar>
              <w:top w:w="0" w:type="dxa"/>
              <w:left w:w="30" w:type="dxa"/>
              <w:bottom w:w="0" w:type="dxa"/>
              <w:right w:w="30" w:type="dxa"/>
            </w:tcMar>
            <w:vAlign w:val="center"/>
          </w:tcPr>
          <w:p w14:paraId="4F407D3B" w14:textId="77777777" w:rsidR="004B0883" w:rsidRDefault="004B0883">
            <w:pPr>
              <w:snapToGrid w:val="0"/>
              <w:jc w:val="center"/>
              <w:rPr>
                <w:rFonts w:eastAsia="等线"/>
                <w:bCs/>
                <w:kern w:val="0"/>
                <w:sz w:val="18"/>
                <w:szCs w:val="18"/>
              </w:rPr>
            </w:pPr>
            <w:r>
              <w:rPr>
                <w:rFonts w:eastAsia="等线"/>
                <w:bCs/>
                <w:kern w:val="0"/>
                <w:sz w:val="18"/>
                <w:szCs w:val="18"/>
              </w:rPr>
              <w:t>2.4</w:t>
            </w:r>
          </w:p>
        </w:tc>
        <w:tc>
          <w:tcPr>
            <w:tcW w:w="1415" w:type="dxa"/>
            <w:shd w:val="clear" w:color="auto" w:fill="FFFFFF"/>
            <w:vAlign w:val="center"/>
          </w:tcPr>
          <w:p w14:paraId="78112595" w14:textId="77777777" w:rsidR="004B0883" w:rsidRDefault="004B0883">
            <w:pPr>
              <w:snapToGrid w:val="0"/>
              <w:jc w:val="center"/>
              <w:rPr>
                <w:bCs/>
                <w:kern w:val="0"/>
                <w:sz w:val="18"/>
                <w:szCs w:val="24"/>
              </w:rPr>
            </w:pPr>
            <w:r>
              <w:rPr>
                <w:rFonts w:hint="eastAsia"/>
                <w:bCs/>
                <w:kern w:val="0"/>
                <w:sz w:val="18"/>
                <w:szCs w:val="24"/>
              </w:rPr>
              <w:t>进项税额</w:t>
            </w:r>
          </w:p>
        </w:tc>
        <w:tc>
          <w:tcPr>
            <w:tcW w:w="944" w:type="dxa"/>
            <w:shd w:val="clear" w:color="auto" w:fill="FFFFFF"/>
            <w:vAlign w:val="center"/>
          </w:tcPr>
          <w:p w14:paraId="44DBCD93"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3F6A5166"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6CC19D74" w14:textId="77777777" w:rsidR="004B0883" w:rsidRDefault="004B0883">
            <w:pPr>
              <w:snapToGrid w:val="0"/>
              <w:jc w:val="right"/>
              <w:rPr>
                <w:rFonts w:eastAsia="等线"/>
                <w:bCs/>
                <w:kern w:val="0"/>
                <w:sz w:val="15"/>
                <w:szCs w:val="15"/>
              </w:rPr>
            </w:pPr>
            <w:r>
              <w:rPr>
                <w:rFonts w:eastAsia="等线"/>
                <w:bCs/>
                <w:kern w:val="0"/>
                <w:sz w:val="15"/>
                <w:szCs w:val="15"/>
              </w:rPr>
              <w:t>843.30</w:t>
            </w:r>
          </w:p>
        </w:tc>
        <w:tc>
          <w:tcPr>
            <w:tcW w:w="946" w:type="dxa"/>
            <w:shd w:val="clear" w:color="auto" w:fill="FFFFFF"/>
            <w:vAlign w:val="center"/>
          </w:tcPr>
          <w:p w14:paraId="5AC25E74" w14:textId="77777777" w:rsidR="004B0883" w:rsidRDefault="004B0883">
            <w:pPr>
              <w:snapToGrid w:val="0"/>
              <w:jc w:val="right"/>
              <w:rPr>
                <w:rFonts w:eastAsia="等线"/>
                <w:bCs/>
                <w:kern w:val="0"/>
                <w:sz w:val="15"/>
                <w:szCs w:val="15"/>
              </w:rPr>
            </w:pPr>
            <w:r>
              <w:rPr>
                <w:rFonts w:eastAsia="等线"/>
                <w:bCs/>
                <w:kern w:val="0"/>
                <w:sz w:val="15"/>
                <w:szCs w:val="15"/>
              </w:rPr>
              <w:t>1,405.50</w:t>
            </w:r>
          </w:p>
        </w:tc>
        <w:tc>
          <w:tcPr>
            <w:tcW w:w="945" w:type="dxa"/>
            <w:shd w:val="clear" w:color="auto" w:fill="FFFFFF"/>
            <w:vAlign w:val="center"/>
          </w:tcPr>
          <w:p w14:paraId="6DAE76F5" w14:textId="77777777" w:rsidR="004B0883" w:rsidRDefault="004B0883">
            <w:pPr>
              <w:snapToGrid w:val="0"/>
              <w:jc w:val="right"/>
              <w:rPr>
                <w:rFonts w:eastAsia="等线"/>
                <w:bCs/>
                <w:kern w:val="0"/>
                <w:sz w:val="15"/>
                <w:szCs w:val="15"/>
              </w:rPr>
            </w:pPr>
            <w:r>
              <w:rPr>
                <w:rFonts w:eastAsia="等线"/>
                <w:bCs/>
                <w:kern w:val="0"/>
                <w:sz w:val="15"/>
                <w:szCs w:val="15"/>
              </w:rPr>
              <w:t>1,967.70</w:t>
            </w:r>
          </w:p>
        </w:tc>
        <w:tc>
          <w:tcPr>
            <w:tcW w:w="946" w:type="dxa"/>
            <w:shd w:val="clear" w:color="auto" w:fill="FFFFFF"/>
            <w:vAlign w:val="center"/>
          </w:tcPr>
          <w:p w14:paraId="591687A5" w14:textId="77777777" w:rsidR="004B0883" w:rsidRDefault="004B0883">
            <w:pPr>
              <w:snapToGrid w:val="0"/>
              <w:jc w:val="right"/>
              <w:rPr>
                <w:rFonts w:eastAsia="等线"/>
                <w:bCs/>
                <w:kern w:val="0"/>
                <w:sz w:val="15"/>
                <w:szCs w:val="15"/>
              </w:rPr>
            </w:pPr>
            <w:r>
              <w:rPr>
                <w:rFonts w:eastAsia="等线"/>
                <w:bCs/>
                <w:kern w:val="0"/>
                <w:sz w:val="15"/>
                <w:szCs w:val="15"/>
              </w:rPr>
              <w:t>2,811.00</w:t>
            </w:r>
          </w:p>
        </w:tc>
        <w:tc>
          <w:tcPr>
            <w:tcW w:w="945" w:type="dxa"/>
            <w:shd w:val="clear" w:color="auto" w:fill="FFFFFF"/>
            <w:vAlign w:val="center"/>
          </w:tcPr>
          <w:p w14:paraId="505E9B7C" w14:textId="77777777" w:rsidR="004B0883" w:rsidRDefault="004B0883">
            <w:pPr>
              <w:snapToGrid w:val="0"/>
              <w:jc w:val="right"/>
              <w:rPr>
                <w:rFonts w:eastAsia="等线"/>
                <w:bCs/>
                <w:kern w:val="0"/>
                <w:sz w:val="15"/>
                <w:szCs w:val="15"/>
              </w:rPr>
            </w:pPr>
            <w:r>
              <w:rPr>
                <w:rFonts w:eastAsia="等线"/>
                <w:bCs/>
                <w:kern w:val="0"/>
                <w:sz w:val="15"/>
                <w:szCs w:val="15"/>
              </w:rPr>
              <w:t>2,811.00</w:t>
            </w:r>
          </w:p>
        </w:tc>
        <w:tc>
          <w:tcPr>
            <w:tcW w:w="946" w:type="dxa"/>
            <w:shd w:val="clear" w:color="auto" w:fill="FFFFFF"/>
            <w:vAlign w:val="center"/>
          </w:tcPr>
          <w:p w14:paraId="587FB604" w14:textId="77777777" w:rsidR="004B0883" w:rsidRDefault="004B0883">
            <w:pPr>
              <w:snapToGrid w:val="0"/>
              <w:jc w:val="right"/>
              <w:rPr>
                <w:rFonts w:eastAsia="等线"/>
                <w:bCs/>
                <w:kern w:val="0"/>
                <w:sz w:val="15"/>
                <w:szCs w:val="15"/>
              </w:rPr>
            </w:pPr>
            <w:r>
              <w:rPr>
                <w:rFonts w:eastAsia="等线"/>
                <w:bCs/>
                <w:kern w:val="0"/>
                <w:sz w:val="15"/>
                <w:szCs w:val="15"/>
              </w:rPr>
              <w:t>2,811.00</w:t>
            </w:r>
          </w:p>
        </w:tc>
        <w:tc>
          <w:tcPr>
            <w:tcW w:w="947" w:type="dxa"/>
            <w:shd w:val="clear" w:color="auto" w:fill="FFFFFF"/>
            <w:vAlign w:val="center"/>
          </w:tcPr>
          <w:p w14:paraId="3676ACB8" w14:textId="77777777" w:rsidR="004B0883" w:rsidRDefault="004B0883">
            <w:pPr>
              <w:snapToGrid w:val="0"/>
              <w:jc w:val="right"/>
              <w:rPr>
                <w:rFonts w:eastAsia="等线"/>
                <w:bCs/>
                <w:kern w:val="0"/>
                <w:sz w:val="15"/>
                <w:szCs w:val="15"/>
              </w:rPr>
            </w:pPr>
            <w:r>
              <w:rPr>
                <w:rFonts w:eastAsia="等线"/>
                <w:bCs/>
                <w:kern w:val="0"/>
                <w:sz w:val="15"/>
                <w:szCs w:val="15"/>
              </w:rPr>
              <w:t>2,811.00</w:t>
            </w:r>
          </w:p>
        </w:tc>
        <w:tc>
          <w:tcPr>
            <w:tcW w:w="946" w:type="dxa"/>
            <w:shd w:val="clear" w:color="auto" w:fill="FFFFFF"/>
            <w:vAlign w:val="center"/>
          </w:tcPr>
          <w:p w14:paraId="01CCCC97" w14:textId="77777777" w:rsidR="004B0883" w:rsidRDefault="004B0883">
            <w:pPr>
              <w:snapToGrid w:val="0"/>
              <w:jc w:val="right"/>
              <w:rPr>
                <w:rFonts w:eastAsia="等线"/>
                <w:bCs/>
                <w:kern w:val="0"/>
                <w:sz w:val="15"/>
                <w:szCs w:val="15"/>
              </w:rPr>
            </w:pPr>
            <w:r>
              <w:rPr>
                <w:rFonts w:eastAsia="等线"/>
                <w:bCs/>
                <w:kern w:val="0"/>
                <w:sz w:val="15"/>
                <w:szCs w:val="15"/>
              </w:rPr>
              <w:t>2,811.00</w:t>
            </w:r>
          </w:p>
        </w:tc>
      </w:tr>
      <w:tr w:rsidR="004B0883" w14:paraId="6CBF71E0" w14:textId="77777777">
        <w:trPr>
          <w:trHeight w:val="397"/>
          <w:jc w:val="center"/>
        </w:trPr>
        <w:tc>
          <w:tcPr>
            <w:tcW w:w="430" w:type="dxa"/>
            <w:shd w:val="clear" w:color="auto" w:fill="FFFFFF"/>
            <w:tcMar>
              <w:top w:w="0" w:type="dxa"/>
              <w:left w:w="30" w:type="dxa"/>
              <w:bottom w:w="0" w:type="dxa"/>
              <w:right w:w="30" w:type="dxa"/>
            </w:tcMar>
            <w:vAlign w:val="center"/>
          </w:tcPr>
          <w:p w14:paraId="03EC5449" w14:textId="77777777" w:rsidR="004B0883" w:rsidRDefault="004B0883">
            <w:pPr>
              <w:snapToGrid w:val="0"/>
              <w:jc w:val="center"/>
              <w:rPr>
                <w:rFonts w:eastAsia="等线"/>
                <w:bCs/>
                <w:kern w:val="0"/>
                <w:sz w:val="18"/>
                <w:szCs w:val="18"/>
              </w:rPr>
            </w:pPr>
            <w:r>
              <w:rPr>
                <w:rFonts w:eastAsia="等线"/>
                <w:bCs/>
                <w:kern w:val="0"/>
                <w:sz w:val="18"/>
                <w:szCs w:val="18"/>
              </w:rPr>
              <w:t>2.5</w:t>
            </w:r>
          </w:p>
        </w:tc>
        <w:tc>
          <w:tcPr>
            <w:tcW w:w="1415" w:type="dxa"/>
            <w:shd w:val="clear" w:color="auto" w:fill="FFFFFF"/>
            <w:vAlign w:val="center"/>
          </w:tcPr>
          <w:p w14:paraId="1C6A19FC" w14:textId="77777777" w:rsidR="004B0883" w:rsidRDefault="004B0883">
            <w:pPr>
              <w:snapToGrid w:val="0"/>
              <w:jc w:val="center"/>
              <w:rPr>
                <w:bCs/>
                <w:kern w:val="0"/>
                <w:sz w:val="18"/>
                <w:szCs w:val="24"/>
              </w:rPr>
            </w:pPr>
            <w:r>
              <w:rPr>
                <w:rFonts w:hint="eastAsia"/>
                <w:bCs/>
                <w:kern w:val="0"/>
                <w:sz w:val="18"/>
                <w:szCs w:val="24"/>
              </w:rPr>
              <w:t>应纳增值税</w:t>
            </w:r>
          </w:p>
        </w:tc>
        <w:tc>
          <w:tcPr>
            <w:tcW w:w="944" w:type="dxa"/>
            <w:shd w:val="clear" w:color="auto" w:fill="FFFFFF"/>
            <w:vAlign w:val="center"/>
          </w:tcPr>
          <w:p w14:paraId="2D73AB7E"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4986DD89"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55EDA5AA"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6" w:type="dxa"/>
            <w:shd w:val="clear" w:color="auto" w:fill="FFFFFF"/>
            <w:vAlign w:val="center"/>
          </w:tcPr>
          <w:p w14:paraId="18F93CE2"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2CA16093" w14:textId="77777777" w:rsidR="004B0883" w:rsidRDefault="004B0883">
            <w:pPr>
              <w:snapToGrid w:val="0"/>
              <w:jc w:val="right"/>
              <w:rPr>
                <w:rFonts w:eastAsia="等线"/>
                <w:bCs/>
                <w:kern w:val="0"/>
                <w:sz w:val="15"/>
                <w:szCs w:val="15"/>
              </w:rPr>
            </w:pPr>
            <w:r>
              <w:rPr>
                <w:rFonts w:eastAsia="等线"/>
                <w:bCs/>
                <w:kern w:val="0"/>
                <w:sz w:val="15"/>
                <w:szCs w:val="15"/>
              </w:rPr>
              <w:t>1,077.95</w:t>
            </w:r>
          </w:p>
        </w:tc>
        <w:tc>
          <w:tcPr>
            <w:tcW w:w="946" w:type="dxa"/>
            <w:shd w:val="clear" w:color="auto" w:fill="FFFFFF"/>
            <w:vAlign w:val="center"/>
          </w:tcPr>
          <w:p w14:paraId="4602C344" w14:textId="77777777" w:rsidR="004B0883" w:rsidRDefault="004B0883">
            <w:pPr>
              <w:snapToGrid w:val="0"/>
              <w:jc w:val="right"/>
              <w:rPr>
                <w:rFonts w:eastAsia="等线"/>
                <w:bCs/>
                <w:kern w:val="0"/>
                <w:sz w:val="15"/>
                <w:szCs w:val="15"/>
              </w:rPr>
            </w:pPr>
            <w:r>
              <w:rPr>
                <w:rFonts w:eastAsia="等线"/>
                <w:bCs/>
                <w:kern w:val="0"/>
                <w:sz w:val="15"/>
                <w:szCs w:val="15"/>
              </w:rPr>
              <w:t>2,441.00</w:t>
            </w:r>
          </w:p>
        </w:tc>
        <w:tc>
          <w:tcPr>
            <w:tcW w:w="945" w:type="dxa"/>
            <w:shd w:val="clear" w:color="auto" w:fill="FFFFFF"/>
            <w:vAlign w:val="center"/>
          </w:tcPr>
          <w:p w14:paraId="7309D5B3" w14:textId="77777777" w:rsidR="004B0883" w:rsidRDefault="004B0883">
            <w:pPr>
              <w:snapToGrid w:val="0"/>
              <w:jc w:val="right"/>
              <w:rPr>
                <w:rFonts w:eastAsia="等线"/>
                <w:bCs/>
                <w:kern w:val="0"/>
                <w:sz w:val="15"/>
                <w:szCs w:val="15"/>
              </w:rPr>
            </w:pPr>
            <w:r>
              <w:rPr>
                <w:rFonts w:eastAsia="等线"/>
                <w:bCs/>
                <w:kern w:val="0"/>
                <w:sz w:val="15"/>
                <w:szCs w:val="15"/>
              </w:rPr>
              <w:t>2,441.00</w:t>
            </w:r>
          </w:p>
        </w:tc>
        <w:tc>
          <w:tcPr>
            <w:tcW w:w="946" w:type="dxa"/>
            <w:shd w:val="clear" w:color="auto" w:fill="FFFFFF"/>
            <w:vAlign w:val="center"/>
          </w:tcPr>
          <w:p w14:paraId="5B58379A" w14:textId="77777777" w:rsidR="004B0883" w:rsidRDefault="004B0883">
            <w:pPr>
              <w:snapToGrid w:val="0"/>
              <w:jc w:val="right"/>
              <w:rPr>
                <w:rFonts w:eastAsia="等线"/>
                <w:bCs/>
                <w:kern w:val="0"/>
                <w:sz w:val="15"/>
                <w:szCs w:val="15"/>
              </w:rPr>
            </w:pPr>
            <w:r>
              <w:rPr>
                <w:rFonts w:eastAsia="等线"/>
                <w:bCs/>
                <w:kern w:val="0"/>
                <w:sz w:val="15"/>
                <w:szCs w:val="15"/>
              </w:rPr>
              <w:t>2,441.00</w:t>
            </w:r>
          </w:p>
        </w:tc>
        <w:tc>
          <w:tcPr>
            <w:tcW w:w="947" w:type="dxa"/>
            <w:shd w:val="clear" w:color="auto" w:fill="FFFFFF"/>
            <w:vAlign w:val="center"/>
          </w:tcPr>
          <w:p w14:paraId="6259E749" w14:textId="77777777" w:rsidR="004B0883" w:rsidRDefault="004B0883">
            <w:pPr>
              <w:snapToGrid w:val="0"/>
              <w:jc w:val="right"/>
              <w:rPr>
                <w:rFonts w:eastAsia="等线"/>
                <w:bCs/>
                <w:kern w:val="0"/>
                <w:sz w:val="15"/>
                <w:szCs w:val="15"/>
              </w:rPr>
            </w:pPr>
            <w:r>
              <w:rPr>
                <w:rFonts w:eastAsia="等线"/>
                <w:bCs/>
                <w:kern w:val="0"/>
                <w:sz w:val="15"/>
                <w:szCs w:val="15"/>
              </w:rPr>
              <w:t>2,441.00</w:t>
            </w:r>
          </w:p>
        </w:tc>
        <w:tc>
          <w:tcPr>
            <w:tcW w:w="946" w:type="dxa"/>
            <w:shd w:val="clear" w:color="auto" w:fill="FFFFFF"/>
            <w:vAlign w:val="center"/>
          </w:tcPr>
          <w:p w14:paraId="2E0ABB48" w14:textId="77777777" w:rsidR="004B0883" w:rsidRDefault="004B0883">
            <w:pPr>
              <w:snapToGrid w:val="0"/>
              <w:jc w:val="right"/>
              <w:rPr>
                <w:rFonts w:eastAsia="等线"/>
                <w:bCs/>
                <w:kern w:val="0"/>
                <w:sz w:val="15"/>
                <w:szCs w:val="15"/>
              </w:rPr>
            </w:pPr>
            <w:r>
              <w:rPr>
                <w:rFonts w:eastAsia="等线"/>
                <w:bCs/>
                <w:kern w:val="0"/>
                <w:sz w:val="15"/>
                <w:szCs w:val="15"/>
              </w:rPr>
              <w:t>2,441.00</w:t>
            </w:r>
          </w:p>
        </w:tc>
      </w:tr>
      <w:tr w:rsidR="004B0883" w14:paraId="6578AA99" w14:textId="77777777">
        <w:trPr>
          <w:trHeight w:val="397"/>
          <w:jc w:val="center"/>
        </w:trPr>
        <w:tc>
          <w:tcPr>
            <w:tcW w:w="430" w:type="dxa"/>
            <w:shd w:val="clear" w:color="auto" w:fill="FFFFFF"/>
            <w:tcMar>
              <w:top w:w="0" w:type="dxa"/>
              <w:left w:w="30" w:type="dxa"/>
              <w:bottom w:w="0" w:type="dxa"/>
              <w:right w:w="30" w:type="dxa"/>
            </w:tcMar>
            <w:vAlign w:val="center"/>
          </w:tcPr>
          <w:p w14:paraId="07808B79" w14:textId="77777777" w:rsidR="004B0883" w:rsidRDefault="004B0883">
            <w:pPr>
              <w:snapToGrid w:val="0"/>
              <w:jc w:val="center"/>
              <w:rPr>
                <w:rFonts w:eastAsia="等线"/>
                <w:bCs/>
                <w:kern w:val="0"/>
                <w:sz w:val="18"/>
                <w:szCs w:val="18"/>
              </w:rPr>
            </w:pPr>
            <w:r>
              <w:rPr>
                <w:rFonts w:eastAsia="等线"/>
                <w:bCs/>
                <w:kern w:val="0"/>
                <w:sz w:val="18"/>
                <w:szCs w:val="18"/>
              </w:rPr>
              <w:t>2.6</w:t>
            </w:r>
          </w:p>
        </w:tc>
        <w:tc>
          <w:tcPr>
            <w:tcW w:w="1415" w:type="dxa"/>
            <w:shd w:val="clear" w:color="auto" w:fill="FFFFFF"/>
            <w:vAlign w:val="center"/>
          </w:tcPr>
          <w:p w14:paraId="6973666A" w14:textId="77777777" w:rsidR="004B0883" w:rsidRDefault="004B0883">
            <w:pPr>
              <w:snapToGrid w:val="0"/>
              <w:jc w:val="center"/>
              <w:rPr>
                <w:bCs/>
                <w:kern w:val="0"/>
                <w:sz w:val="18"/>
                <w:szCs w:val="24"/>
              </w:rPr>
            </w:pPr>
            <w:r>
              <w:rPr>
                <w:rFonts w:hint="eastAsia"/>
                <w:bCs/>
                <w:kern w:val="0"/>
                <w:sz w:val="18"/>
                <w:szCs w:val="24"/>
              </w:rPr>
              <w:t>税金及附加</w:t>
            </w:r>
          </w:p>
        </w:tc>
        <w:tc>
          <w:tcPr>
            <w:tcW w:w="944" w:type="dxa"/>
            <w:shd w:val="clear" w:color="auto" w:fill="FFFFFF"/>
            <w:vAlign w:val="center"/>
          </w:tcPr>
          <w:p w14:paraId="0B2CD8F6"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528C10C9"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626CCA6E" w14:textId="77777777" w:rsidR="004B0883" w:rsidRDefault="004B0883">
            <w:pPr>
              <w:snapToGrid w:val="0"/>
              <w:jc w:val="right"/>
              <w:rPr>
                <w:rFonts w:eastAsia="等线"/>
                <w:bCs/>
                <w:kern w:val="0"/>
                <w:sz w:val="15"/>
                <w:szCs w:val="15"/>
              </w:rPr>
            </w:pPr>
            <w:r>
              <w:rPr>
                <w:rFonts w:eastAsia="等线"/>
                <w:bCs/>
                <w:kern w:val="0"/>
                <w:sz w:val="15"/>
                <w:szCs w:val="15"/>
              </w:rPr>
              <w:t>100.35</w:t>
            </w:r>
          </w:p>
        </w:tc>
        <w:tc>
          <w:tcPr>
            <w:tcW w:w="946" w:type="dxa"/>
            <w:shd w:val="clear" w:color="auto" w:fill="FFFFFF"/>
            <w:vAlign w:val="center"/>
          </w:tcPr>
          <w:p w14:paraId="029ECEE2" w14:textId="77777777" w:rsidR="004B0883" w:rsidRDefault="004B0883">
            <w:pPr>
              <w:snapToGrid w:val="0"/>
              <w:jc w:val="right"/>
              <w:rPr>
                <w:rFonts w:eastAsia="等线"/>
                <w:bCs/>
                <w:kern w:val="0"/>
                <w:sz w:val="15"/>
                <w:szCs w:val="15"/>
              </w:rPr>
            </w:pPr>
            <w:r>
              <w:rPr>
                <w:rFonts w:eastAsia="等线"/>
                <w:bCs/>
                <w:kern w:val="0"/>
                <w:sz w:val="15"/>
                <w:szCs w:val="15"/>
              </w:rPr>
              <w:t>102.78</w:t>
            </w:r>
          </w:p>
        </w:tc>
        <w:tc>
          <w:tcPr>
            <w:tcW w:w="945" w:type="dxa"/>
            <w:shd w:val="clear" w:color="auto" w:fill="FFFFFF"/>
            <w:vAlign w:val="center"/>
          </w:tcPr>
          <w:p w14:paraId="21735D50" w14:textId="77777777" w:rsidR="004B0883" w:rsidRDefault="004B0883">
            <w:pPr>
              <w:snapToGrid w:val="0"/>
              <w:jc w:val="right"/>
              <w:rPr>
                <w:rFonts w:eastAsia="等线"/>
                <w:bCs/>
                <w:kern w:val="0"/>
                <w:sz w:val="15"/>
                <w:szCs w:val="15"/>
              </w:rPr>
            </w:pPr>
            <w:r>
              <w:rPr>
                <w:rFonts w:eastAsia="等线"/>
                <w:bCs/>
                <w:kern w:val="0"/>
                <w:sz w:val="15"/>
                <w:szCs w:val="15"/>
              </w:rPr>
              <w:t>234.56</w:t>
            </w:r>
          </w:p>
        </w:tc>
        <w:tc>
          <w:tcPr>
            <w:tcW w:w="946" w:type="dxa"/>
            <w:shd w:val="clear" w:color="auto" w:fill="FFFFFF"/>
            <w:vAlign w:val="center"/>
          </w:tcPr>
          <w:p w14:paraId="61CF9C28" w14:textId="77777777" w:rsidR="004B0883" w:rsidRDefault="004B0883">
            <w:pPr>
              <w:snapToGrid w:val="0"/>
              <w:jc w:val="right"/>
              <w:rPr>
                <w:rFonts w:eastAsia="等线"/>
                <w:bCs/>
                <w:kern w:val="0"/>
                <w:sz w:val="15"/>
                <w:szCs w:val="15"/>
              </w:rPr>
            </w:pPr>
            <w:r>
              <w:rPr>
                <w:rFonts w:eastAsia="等线"/>
                <w:bCs/>
                <w:kern w:val="0"/>
                <w:sz w:val="15"/>
                <w:szCs w:val="15"/>
              </w:rPr>
              <w:t>401.76</w:t>
            </w:r>
          </w:p>
        </w:tc>
        <w:tc>
          <w:tcPr>
            <w:tcW w:w="945" w:type="dxa"/>
            <w:shd w:val="clear" w:color="auto" w:fill="FFFFFF"/>
            <w:vAlign w:val="center"/>
          </w:tcPr>
          <w:p w14:paraId="74A6900E" w14:textId="77777777" w:rsidR="004B0883" w:rsidRDefault="004B0883">
            <w:pPr>
              <w:snapToGrid w:val="0"/>
              <w:jc w:val="right"/>
              <w:rPr>
                <w:rFonts w:eastAsia="等线"/>
                <w:bCs/>
                <w:kern w:val="0"/>
                <w:sz w:val="15"/>
                <w:szCs w:val="15"/>
              </w:rPr>
            </w:pPr>
            <w:r>
              <w:rPr>
                <w:rFonts w:eastAsia="等线"/>
                <w:bCs/>
                <w:kern w:val="0"/>
                <w:sz w:val="15"/>
                <w:szCs w:val="15"/>
              </w:rPr>
              <w:t>401.76</w:t>
            </w:r>
          </w:p>
        </w:tc>
        <w:tc>
          <w:tcPr>
            <w:tcW w:w="946" w:type="dxa"/>
            <w:shd w:val="clear" w:color="auto" w:fill="FFFFFF"/>
            <w:vAlign w:val="center"/>
          </w:tcPr>
          <w:p w14:paraId="34F16E02" w14:textId="77777777" w:rsidR="004B0883" w:rsidRDefault="004B0883">
            <w:pPr>
              <w:snapToGrid w:val="0"/>
              <w:jc w:val="right"/>
              <w:rPr>
                <w:rFonts w:eastAsia="等线"/>
                <w:bCs/>
                <w:kern w:val="0"/>
                <w:sz w:val="15"/>
                <w:szCs w:val="15"/>
              </w:rPr>
            </w:pPr>
            <w:r>
              <w:rPr>
                <w:rFonts w:eastAsia="等线"/>
                <w:bCs/>
                <w:kern w:val="0"/>
                <w:sz w:val="15"/>
                <w:szCs w:val="15"/>
              </w:rPr>
              <w:t>401.76</w:t>
            </w:r>
          </w:p>
        </w:tc>
        <w:tc>
          <w:tcPr>
            <w:tcW w:w="947" w:type="dxa"/>
            <w:shd w:val="clear" w:color="auto" w:fill="FFFFFF"/>
            <w:vAlign w:val="center"/>
          </w:tcPr>
          <w:p w14:paraId="2D16258F" w14:textId="77777777" w:rsidR="004B0883" w:rsidRDefault="004B0883">
            <w:pPr>
              <w:snapToGrid w:val="0"/>
              <w:jc w:val="right"/>
              <w:rPr>
                <w:rFonts w:eastAsia="等线"/>
                <w:bCs/>
                <w:kern w:val="0"/>
                <w:sz w:val="15"/>
                <w:szCs w:val="15"/>
              </w:rPr>
            </w:pPr>
            <w:r>
              <w:rPr>
                <w:rFonts w:eastAsia="等线"/>
                <w:bCs/>
                <w:kern w:val="0"/>
                <w:sz w:val="15"/>
                <w:szCs w:val="15"/>
              </w:rPr>
              <w:t>401.76</w:t>
            </w:r>
          </w:p>
        </w:tc>
        <w:tc>
          <w:tcPr>
            <w:tcW w:w="946" w:type="dxa"/>
            <w:shd w:val="clear" w:color="auto" w:fill="FFFFFF"/>
            <w:vAlign w:val="center"/>
          </w:tcPr>
          <w:p w14:paraId="45ABA8D4" w14:textId="77777777" w:rsidR="004B0883" w:rsidRDefault="004B0883">
            <w:pPr>
              <w:snapToGrid w:val="0"/>
              <w:jc w:val="right"/>
              <w:rPr>
                <w:rFonts w:eastAsia="等线"/>
                <w:bCs/>
                <w:kern w:val="0"/>
                <w:sz w:val="15"/>
                <w:szCs w:val="15"/>
              </w:rPr>
            </w:pPr>
            <w:r>
              <w:rPr>
                <w:rFonts w:eastAsia="等线"/>
                <w:bCs/>
                <w:kern w:val="0"/>
                <w:sz w:val="15"/>
                <w:szCs w:val="15"/>
              </w:rPr>
              <w:t>401.76</w:t>
            </w:r>
          </w:p>
        </w:tc>
      </w:tr>
      <w:tr w:rsidR="004B0883" w14:paraId="53535A26" w14:textId="77777777">
        <w:trPr>
          <w:trHeight w:val="397"/>
          <w:jc w:val="center"/>
        </w:trPr>
        <w:tc>
          <w:tcPr>
            <w:tcW w:w="430" w:type="dxa"/>
            <w:shd w:val="clear" w:color="auto" w:fill="FFFFFF"/>
            <w:tcMar>
              <w:top w:w="0" w:type="dxa"/>
              <w:left w:w="30" w:type="dxa"/>
              <w:bottom w:w="0" w:type="dxa"/>
              <w:right w:w="30" w:type="dxa"/>
            </w:tcMar>
            <w:vAlign w:val="center"/>
          </w:tcPr>
          <w:p w14:paraId="6135AAC3" w14:textId="77777777" w:rsidR="004B0883" w:rsidRDefault="004B0883">
            <w:pPr>
              <w:snapToGrid w:val="0"/>
              <w:jc w:val="center"/>
              <w:rPr>
                <w:rFonts w:eastAsia="等线"/>
                <w:bCs/>
                <w:kern w:val="0"/>
                <w:sz w:val="18"/>
                <w:szCs w:val="18"/>
              </w:rPr>
            </w:pPr>
            <w:r>
              <w:rPr>
                <w:rFonts w:eastAsia="等线"/>
                <w:bCs/>
                <w:kern w:val="0"/>
                <w:sz w:val="18"/>
                <w:szCs w:val="18"/>
              </w:rPr>
              <w:t>2.7</w:t>
            </w:r>
          </w:p>
        </w:tc>
        <w:tc>
          <w:tcPr>
            <w:tcW w:w="1415" w:type="dxa"/>
            <w:shd w:val="clear" w:color="auto" w:fill="FFFFFF"/>
            <w:vAlign w:val="center"/>
          </w:tcPr>
          <w:p w14:paraId="62E4EC5B" w14:textId="77777777" w:rsidR="004B0883" w:rsidRDefault="004B0883">
            <w:pPr>
              <w:snapToGrid w:val="0"/>
              <w:jc w:val="center"/>
              <w:rPr>
                <w:bCs/>
                <w:kern w:val="0"/>
                <w:sz w:val="18"/>
                <w:szCs w:val="24"/>
              </w:rPr>
            </w:pPr>
            <w:r>
              <w:rPr>
                <w:rFonts w:hint="eastAsia"/>
                <w:bCs/>
                <w:kern w:val="0"/>
                <w:sz w:val="18"/>
                <w:szCs w:val="24"/>
              </w:rPr>
              <w:t>维持运营投资</w:t>
            </w:r>
          </w:p>
        </w:tc>
        <w:tc>
          <w:tcPr>
            <w:tcW w:w="944" w:type="dxa"/>
            <w:shd w:val="clear" w:color="auto" w:fill="FFFFFF"/>
            <w:vAlign w:val="center"/>
          </w:tcPr>
          <w:p w14:paraId="034C4005"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1F40B4F1"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106A5314"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6" w:type="dxa"/>
            <w:shd w:val="clear" w:color="auto" w:fill="FFFFFF"/>
            <w:vAlign w:val="center"/>
          </w:tcPr>
          <w:p w14:paraId="5A01E25B"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1555B0D3"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6" w:type="dxa"/>
            <w:shd w:val="clear" w:color="auto" w:fill="FFFFFF"/>
            <w:vAlign w:val="center"/>
          </w:tcPr>
          <w:p w14:paraId="136D5A7C"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5" w:type="dxa"/>
            <w:shd w:val="clear" w:color="auto" w:fill="FFFFFF"/>
            <w:vAlign w:val="center"/>
          </w:tcPr>
          <w:p w14:paraId="6534F3A1"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6" w:type="dxa"/>
            <w:shd w:val="clear" w:color="auto" w:fill="FFFFFF"/>
            <w:vAlign w:val="center"/>
          </w:tcPr>
          <w:p w14:paraId="3B734440"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7" w:type="dxa"/>
            <w:shd w:val="clear" w:color="auto" w:fill="FFFFFF"/>
            <w:vAlign w:val="center"/>
          </w:tcPr>
          <w:p w14:paraId="500E2025" w14:textId="77777777" w:rsidR="004B0883" w:rsidRDefault="004B0883">
            <w:pPr>
              <w:snapToGrid w:val="0"/>
              <w:jc w:val="right"/>
              <w:rPr>
                <w:rFonts w:eastAsia="等线"/>
                <w:bCs/>
                <w:kern w:val="0"/>
                <w:sz w:val="15"/>
                <w:szCs w:val="15"/>
              </w:rPr>
            </w:pPr>
            <w:r>
              <w:rPr>
                <w:rFonts w:eastAsia="等线"/>
                <w:bCs/>
                <w:kern w:val="0"/>
                <w:sz w:val="15"/>
                <w:szCs w:val="15"/>
              </w:rPr>
              <w:t>-</w:t>
            </w:r>
          </w:p>
        </w:tc>
        <w:tc>
          <w:tcPr>
            <w:tcW w:w="946" w:type="dxa"/>
            <w:shd w:val="clear" w:color="auto" w:fill="FFFFFF"/>
            <w:vAlign w:val="center"/>
          </w:tcPr>
          <w:p w14:paraId="48F3FD90" w14:textId="77777777" w:rsidR="004B0883" w:rsidRDefault="004B0883">
            <w:pPr>
              <w:snapToGrid w:val="0"/>
              <w:jc w:val="right"/>
              <w:rPr>
                <w:rFonts w:eastAsia="等线"/>
                <w:bCs/>
                <w:kern w:val="0"/>
                <w:sz w:val="15"/>
                <w:szCs w:val="15"/>
              </w:rPr>
            </w:pPr>
            <w:r>
              <w:rPr>
                <w:rFonts w:eastAsia="等线"/>
                <w:bCs/>
                <w:kern w:val="0"/>
                <w:sz w:val="15"/>
                <w:szCs w:val="15"/>
              </w:rPr>
              <w:t>-</w:t>
            </w:r>
          </w:p>
        </w:tc>
      </w:tr>
      <w:tr w:rsidR="004B0883" w14:paraId="3B019C59" w14:textId="77777777">
        <w:trPr>
          <w:trHeight w:val="397"/>
          <w:jc w:val="center"/>
        </w:trPr>
        <w:tc>
          <w:tcPr>
            <w:tcW w:w="430" w:type="dxa"/>
            <w:shd w:val="clear" w:color="auto" w:fill="FFFFFF"/>
            <w:tcMar>
              <w:top w:w="0" w:type="dxa"/>
              <w:left w:w="30" w:type="dxa"/>
              <w:bottom w:w="0" w:type="dxa"/>
              <w:right w:w="30" w:type="dxa"/>
            </w:tcMar>
            <w:vAlign w:val="center"/>
          </w:tcPr>
          <w:p w14:paraId="3FB63FAB" w14:textId="77777777" w:rsidR="004B0883" w:rsidRDefault="004B0883">
            <w:pPr>
              <w:snapToGrid w:val="0"/>
              <w:jc w:val="center"/>
              <w:rPr>
                <w:rFonts w:eastAsia="等线"/>
                <w:b/>
                <w:kern w:val="0"/>
                <w:sz w:val="18"/>
                <w:szCs w:val="18"/>
              </w:rPr>
            </w:pPr>
            <w:r>
              <w:rPr>
                <w:rFonts w:eastAsia="等线"/>
                <w:b/>
                <w:kern w:val="0"/>
                <w:sz w:val="18"/>
                <w:szCs w:val="18"/>
              </w:rPr>
              <w:t>3</w:t>
            </w:r>
          </w:p>
        </w:tc>
        <w:tc>
          <w:tcPr>
            <w:tcW w:w="1415" w:type="dxa"/>
            <w:shd w:val="clear" w:color="auto" w:fill="FFFFFF"/>
            <w:vAlign w:val="center"/>
          </w:tcPr>
          <w:p w14:paraId="4DB5511F" w14:textId="77777777" w:rsidR="004B0883" w:rsidRDefault="004B0883">
            <w:pPr>
              <w:snapToGrid w:val="0"/>
              <w:jc w:val="center"/>
              <w:rPr>
                <w:b/>
                <w:kern w:val="0"/>
                <w:sz w:val="18"/>
                <w:szCs w:val="24"/>
              </w:rPr>
            </w:pPr>
            <w:r>
              <w:rPr>
                <w:rFonts w:hint="eastAsia"/>
                <w:b/>
                <w:kern w:val="0"/>
                <w:sz w:val="18"/>
                <w:szCs w:val="24"/>
              </w:rPr>
              <w:t>所得税前净现金流量</w:t>
            </w:r>
          </w:p>
        </w:tc>
        <w:tc>
          <w:tcPr>
            <w:tcW w:w="944" w:type="dxa"/>
            <w:shd w:val="clear" w:color="auto" w:fill="FFFFFF"/>
            <w:vAlign w:val="center"/>
          </w:tcPr>
          <w:p w14:paraId="3FF5EF79" w14:textId="77777777" w:rsidR="004B0883" w:rsidRDefault="004B0883">
            <w:pPr>
              <w:snapToGrid w:val="0"/>
              <w:jc w:val="right"/>
              <w:rPr>
                <w:rFonts w:eastAsia="等线"/>
                <w:b/>
                <w:kern w:val="0"/>
                <w:sz w:val="15"/>
                <w:szCs w:val="15"/>
              </w:rPr>
            </w:pPr>
            <w:r>
              <w:rPr>
                <w:rFonts w:eastAsia="等线"/>
                <w:b/>
                <w:kern w:val="0"/>
                <w:sz w:val="15"/>
                <w:szCs w:val="15"/>
              </w:rPr>
              <w:t>-7,898.07</w:t>
            </w:r>
          </w:p>
        </w:tc>
        <w:tc>
          <w:tcPr>
            <w:tcW w:w="945" w:type="dxa"/>
            <w:shd w:val="clear" w:color="auto" w:fill="FFFFFF"/>
            <w:vAlign w:val="center"/>
          </w:tcPr>
          <w:p w14:paraId="58F0CD4C" w14:textId="77777777" w:rsidR="004B0883" w:rsidRDefault="004B0883">
            <w:pPr>
              <w:snapToGrid w:val="0"/>
              <w:jc w:val="right"/>
              <w:rPr>
                <w:rFonts w:eastAsia="等线"/>
                <w:b/>
                <w:kern w:val="0"/>
                <w:sz w:val="15"/>
                <w:szCs w:val="15"/>
              </w:rPr>
            </w:pPr>
            <w:r>
              <w:rPr>
                <w:rFonts w:eastAsia="等线"/>
                <w:b/>
                <w:kern w:val="0"/>
                <w:sz w:val="15"/>
                <w:szCs w:val="15"/>
              </w:rPr>
              <w:t>-13,899.55</w:t>
            </w:r>
          </w:p>
        </w:tc>
        <w:tc>
          <w:tcPr>
            <w:tcW w:w="945" w:type="dxa"/>
            <w:shd w:val="clear" w:color="auto" w:fill="FFFFFF"/>
            <w:vAlign w:val="center"/>
          </w:tcPr>
          <w:p w14:paraId="2900BC5F" w14:textId="77777777" w:rsidR="004B0883" w:rsidRDefault="004B0883">
            <w:pPr>
              <w:snapToGrid w:val="0"/>
              <w:jc w:val="right"/>
              <w:rPr>
                <w:rFonts w:eastAsia="等线"/>
                <w:b/>
                <w:kern w:val="0"/>
                <w:sz w:val="15"/>
                <w:szCs w:val="15"/>
              </w:rPr>
            </w:pPr>
            <w:r>
              <w:rPr>
                <w:rFonts w:eastAsia="等线"/>
                <w:b/>
                <w:kern w:val="0"/>
                <w:sz w:val="15"/>
                <w:szCs w:val="15"/>
              </w:rPr>
              <w:t>-6,020.70</w:t>
            </w:r>
          </w:p>
        </w:tc>
        <w:tc>
          <w:tcPr>
            <w:tcW w:w="946" w:type="dxa"/>
            <w:shd w:val="clear" w:color="auto" w:fill="FFFFFF"/>
            <w:vAlign w:val="center"/>
          </w:tcPr>
          <w:p w14:paraId="1C47413C" w14:textId="77777777" w:rsidR="004B0883" w:rsidRDefault="004B0883">
            <w:pPr>
              <w:snapToGrid w:val="0"/>
              <w:jc w:val="right"/>
              <w:rPr>
                <w:rFonts w:eastAsia="等线"/>
                <w:b/>
                <w:kern w:val="0"/>
                <w:sz w:val="15"/>
                <w:szCs w:val="15"/>
              </w:rPr>
            </w:pPr>
            <w:r>
              <w:rPr>
                <w:rFonts w:eastAsia="等线"/>
                <w:b/>
                <w:kern w:val="0"/>
                <w:sz w:val="15"/>
                <w:szCs w:val="15"/>
              </w:rPr>
              <w:t>4,598.33</w:t>
            </w:r>
          </w:p>
        </w:tc>
        <w:tc>
          <w:tcPr>
            <w:tcW w:w="945" w:type="dxa"/>
            <w:shd w:val="clear" w:color="auto" w:fill="FFFFFF"/>
            <w:vAlign w:val="center"/>
          </w:tcPr>
          <w:p w14:paraId="749E6187" w14:textId="77777777" w:rsidR="004B0883" w:rsidRDefault="004B0883">
            <w:pPr>
              <w:snapToGrid w:val="0"/>
              <w:jc w:val="right"/>
              <w:rPr>
                <w:rFonts w:eastAsia="等线"/>
                <w:b/>
                <w:kern w:val="0"/>
                <w:sz w:val="15"/>
                <w:szCs w:val="15"/>
              </w:rPr>
            </w:pPr>
            <w:r>
              <w:rPr>
                <w:rFonts w:eastAsia="等线"/>
                <w:b/>
                <w:kern w:val="0"/>
                <w:sz w:val="15"/>
                <w:szCs w:val="15"/>
              </w:rPr>
              <w:t>5,822.20</w:t>
            </w:r>
          </w:p>
        </w:tc>
        <w:tc>
          <w:tcPr>
            <w:tcW w:w="946" w:type="dxa"/>
            <w:shd w:val="clear" w:color="auto" w:fill="FFFFFF"/>
            <w:vAlign w:val="center"/>
          </w:tcPr>
          <w:p w14:paraId="7B1063DD" w14:textId="77777777" w:rsidR="004B0883" w:rsidRDefault="004B0883">
            <w:pPr>
              <w:snapToGrid w:val="0"/>
              <w:jc w:val="right"/>
              <w:rPr>
                <w:rFonts w:eastAsia="等线"/>
                <w:b/>
                <w:kern w:val="0"/>
                <w:sz w:val="15"/>
                <w:szCs w:val="15"/>
              </w:rPr>
            </w:pPr>
            <w:r>
              <w:rPr>
                <w:rFonts w:eastAsia="等线"/>
                <w:b/>
                <w:kern w:val="0"/>
                <w:sz w:val="15"/>
                <w:szCs w:val="15"/>
              </w:rPr>
              <w:t>6,058.07</w:t>
            </w:r>
          </w:p>
        </w:tc>
        <w:tc>
          <w:tcPr>
            <w:tcW w:w="945" w:type="dxa"/>
            <w:shd w:val="clear" w:color="auto" w:fill="FFFFFF"/>
            <w:vAlign w:val="center"/>
          </w:tcPr>
          <w:p w14:paraId="3ED3FDCF" w14:textId="77777777" w:rsidR="004B0883" w:rsidRDefault="004B0883">
            <w:pPr>
              <w:snapToGrid w:val="0"/>
              <w:jc w:val="right"/>
              <w:rPr>
                <w:rFonts w:eastAsia="等线"/>
                <w:b/>
                <w:kern w:val="0"/>
                <w:sz w:val="15"/>
                <w:szCs w:val="15"/>
              </w:rPr>
            </w:pPr>
            <w:r>
              <w:rPr>
                <w:rFonts w:eastAsia="等线"/>
                <w:b/>
                <w:kern w:val="0"/>
                <w:sz w:val="15"/>
                <w:szCs w:val="15"/>
              </w:rPr>
              <w:t>10,467.48</w:t>
            </w:r>
          </w:p>
        </w:tc>
        <w:tc>
          <w:tcPr>
            <w:tcW w:w="946" w:type="dxa"/>
            <w:shd w:val="clear" w:color="auto" w:fill="FFFFFF"/>
            <w:vAlign w:val="center"/>
          </w:tcPr>
          <w:p w14:paraId="65BCD706" w14:textId="77777777" w:rsidR="004B0883" w:rsidRDefault="004B0883">
            <w:pPr>
              <w:snapToGrid w:val="0"/>
              <w:jc w:val="right"/>
              <w:rPr>
                <w:rFonts w:eastAsia="等线"/>
                <w:b/>
                <w:kern w:val="0"/>
                <w:sz w:val="15"/>
                <w:szCs w:val="15"/>
              </w:rPr>
            </w:pPr>
            <w:r>
              <w:rPr>
                <w:rFonts w:eastAsia="等线"/>
                <w:b/>
                <w:kern w:val="0"/>
                <w:sz w:val="15"/>
                <w:szCs w:val="15"/>
              </w:rPr>
              <w:t>10,463.32</w:t>
            </w:r>
          </w:p>
        </w:tc>
        <w:tc>
          <w:tcPr>
            <w:tcW w:w="947" w:type="dxa"/>
            <w:shd w:val="clear" w:color="auto" w:fill="FFFFFF"/>
            <w:vAlign w:val="center"/>
          </w:tcPr>
          <w:p w14:paraId="1891DF71" w14:textId="77777777" w:rsidR="004B0883" w:rsidRDefault="004B0883">
            <w:pPr>
              <w:snapToGrid w:val="0"/>
              <w:jc w:val="right"/>
              <w:rPr>
                <w:rFonts w:eastAsia="等线"/>
                <w:b/>
                <w:kern w:val="0"/>
                <w:sz w:val="15"/>
                <w:szCs w:val="15"/>
              </w:rPr>
            </w:pPr>
            <w:r>
              <w:rPr>
                <w:rFonts w:eastAsia="等线"/>
                <w:b/>
                <w:kern w:val="0"/>
                <w:sz w:val="15"/>
                <w:szCs w:val="15"/>
              </w:rPr>
              <w:t>10,460.66</w:t>
            </w:r>
          </w:p>
        </w:tc>
        <w:tc>
          <w:tcPr>
            <w:tcW w:w="946" w:type="dxa"/>
            <w:shd w:val="clear" w:color="auto" w:fill="FFFFFF"/>
            <w:vAlign w:val="center"/>
          </w:tcPr>
          <w:p w14:paraId="2F35B8DC" w14:textId="77777777" w:rsidR="004B0883" w:rsidRDefault="004B0883">
            <w:pPr>
              <w:snapToGrid w:val="0"/>
              <w:jc w:val="right"/>
              <w:rPr>
                <w:rFonts w:eastAsia="等线"/>
                <w:b/>
                <w:kern w:val="0"/>
                <w:sz w:val="15"/>
                <w:szCs w:val="15"/>
              </w:rPr>
            </w:pPr>
            <w:r>
              <w:rPr>
                <w:rFonts w:eastAsia="等线"/>
                <w:b/>
                <w:kern w:val="0"/>
                <w:sz w:val="15"/>
                <w:szCs w:val="15"/>
              </w:rPr>
              <w:t>35,450.39</w:t>
            </w:r>
          </w:p>
        </w:tc>
      </w:tr>
      <w:tr w:rsidR="004B0883" w14:paraId="5655F96B" w14:textId="77777777">
        <w:trPr>
          <w:trHeight w:val="397"/>
          <w:jc w:val="center"/>
        </w:trPr>
        <w:tc>
          <w:tcPr>
            <w:tcW w:w="430" w:type="dxa"/>
            <w:shd w:val="clear" w:color="auto" w:fill="FFFFFF"/>
            <w:tcMar>
              <w:top w:w="0" w:type="dxa"/>
              <w:left w:w="30" w:type="dxa"/>
              <w:bottom w:w="0" w:type="dxa"/>
              <w:right w:w="30" w:type="dxa"/>
            </w:tcMar>
            <w:vAlign w:val="center"/>
          </w:tcPr>
          <w:p w14:paraId="47D7E6A9" w14:textId="77777777" w:rsidR="004B0883" w:rsidRDefault="004B0883">
            <w:pPr>
              <w:snapToGrid w:val="0"/>
              <w:jc w:val="center"/>
              <w:rPr>
                <w:rFonts w:eastAsia="等线"/>
                <w:b/>
                <w:kern w:val="0"/>
                <w:sz w:val="18"/>
                <w:szCs w:val="18"/>
              </w:rPr>
            </w:pPr>
            <w:r>
              <w:rPr>
                <w:rFonts w:eastAsia="等线"/>
                <w:b/>
                <w:kern w:val="0"/>
                <w:sz w:val="18"/>
                <w:szCs w:val="18"/>
              </w:rPr>
              <w:t>4</w:t>
            </w:r>
          </w:p>
        </w:tc>
        <w:tc>
          <w:tcPr>
            <w:tcW w:w="1415" w:type="dxa"/>
            <w:shd w:val="clear" w:color="auto" w:fill="FFFFFF"/>
            <w:vAlign w:val="center"/>
          </w:tcPr>
          <w:p w14:paraId="40B8C38D" w14:textId="77777777" w:rsidR="004B0883" w:rsidRDefault="004B0883">
            <w:pPr>
              <w:snapToGrid w:val="0"/>
              <w:jc w:val="center"/>
              <w:rPr>
                <w:b/>
                <w:kern w:val="0"/>
                <w:sz w:val="18"/>
                <w:szCs w:val="24"/>
              </w:rPr>
            </w:pPr>
            <w:r>
              <w:rPr>
                <w:rFonts w:hint="eastAsia"/>
                <w:b/>
                <w:kern w:val="0"/>
                <w:sz w:val="18"/>
                <w:szCs w:val="24"/>
              </w:rPr>
              <w:t>累计所得税前净现金流量</w:t>
            </w:r>
          </w:p>
        </w:tc>
        <w:tc>
          <w:tcPr>
            <w:tcW w:w="944" w:type="dxa"/>
            <w:shd w:val="clear" w:color="auto" w:fill="FFFFFF"/>
            <w:vAlign w:val="center"/>
          </w:tcPr>
          <w:p w14:paraId="0B32D01E" w14:textId="77777777" w:rsidR="004B0883" w:rsidRDefault="004B0883">
            <w:pPr>
              <w:snapToGrid w:val="0"/>
              <w:jc w:val="right"/>
              <w:rPr>
                <w:rFonts w:eastAsia="等线"/>
                <w:b/>
                <w:kern w:val="0"/>
                <w:sz w:val="15"/>
                <w:szCs w:val="15"/>
              </w:rPr>
            </w:pPr>
            <w:r>
              <w:rPr>
                <w:rFonts w:eastAsia="等线"/>
                <w:b/>
                <w:kern w:val="0"/>
                <w:sz w:val="15"/>
                <w:szCs w:val="15"/>
              </w:rPr>
              <w:t>-7,898.07</w:t>
            </w:r>
          </w:p>
        </w:tc>
        <w:tc>
          <w:tcPr>
            <w:tcW w:w="945" w:type="dxa"/>
            <w:shd w:val="clear" w:color="auto" w:fill="FFFFFF"/>
            <w:vAlign w:val="center"/>
          </w:tcPr>
          <w:p w14:paraId="3766C4D9" w14:textId="77777777" w:rsidR="004B0883" w:rsidRDefault="004B0883">
            <w:pPr>
              <w:snapToGrid w:val="0"/>
              <w:jc w:val="right"/>
              <w:rPr>
                <w:rFonts w:eastAsia="等线"/>
                <w:b/>
                <w:kern w:val="0"/>
                <w:sz w:val="15"/>
                <w:szCs w:val="15"/>
              </w:rPr>
            </w:pPr>
            <w:r>
              <w:rPr>
                <w:rFonts w:eastAsia="等线"/>
                <w:b/>
                <w:kern w:val="0"/>
                <w:sz w:val="15"/>
                <w:szCs w:val="15"/>
              </w:rPr>
              <w:t>-21,797.62</w:t>
            </w:r>
          </w:p>
        </w:tc>
        <w:tc>
          <w:tcPr>
            <w:tcW w:w="945" w:type="dxa"/>
            <w:shd w:val="clear" w:color="auto" w:fill="FFFFFF"/>
            <w:vAlign w:val="center"/>
          </w:tcPr>
          <w:p w14:paraId="7C9A8A47" w14:textId="77777777" w:rsidR="004B0883" w:rsidRDefault="004B0883">
            <w:pPr>
              <w:snapToGrid w:val="0"/>
              <w:jc w:val="right"/>
              <w:rPr>
                <w:rFonts w:eastAsia="等线"/>
                <w:b/>
                <w:kern w:val="0"/>
                <w:sz w:val="15"/>
                <w:szCs w:val="15"/>
              </w:rPr>
            </w:pPr>
            <w:r>
              <w:rPr>
                <w:rFonts w:eastAsia="等线"/>
                <w:b/>
                <w:kern w:val="0"/>
                <w:sz w:val="15"/>
                <w:szCs w:val="15"/>
              </w:rPr>
              <w:t>-27,818.32</w:t>
            </w:r>
          </w:p>
        </w:tc>
        <w:tc>
          <w:tcPr>
            <w:tcW w:w="946" w:type="dxa"/>
            <w:shd w:val="clear" w:color="auto" w:fill="FFFFFF"/>
            <w:vAlign w:val="center"/>
          </w:tcPr>
          <w:p w14:paraId="4FB7B0A4" w14:textId="77777777" w:rsidR="004B0883" w:rsidRDefault="004B0883">
            <w:pPr>
              <w:snapToGrid w:val="0"/>
              <w:jc w:val="right"/>
              <w:rPr>
                <w:rFonts w:eastAsia="等线"/>
                <w:b/>
                <w:kern w:val="0"/>
                <w:sz w:val="15"/>
                <w:szCs w:val="15"/>
              </w:rPr>
            </w:pPr>
            <w:r>
              <w:rPr>
                <w:rFonts w:eastAsia="等线"/>
                <w:b/>
                <w:kern w:val="0"/>
                <w:sz w:val="15"/>
                <w:szCs w:val="15"/>
              </w:rPr>
              <w:t>-23,219.99</w:t>
            </w:r>
          </w:p>
        </w:tc>
        <w:tc>
          <w:tcPr>
            <w:tcW w:w="945" w:type="dxa"/>
            <w:shd w:val="clear" w:color="auto" w:fill="FFFFFF"/>
            <w:vAlign w:val="center"/>
          </w:tcPr>
          <w:p w14:paraId="55005E51" w14:textId="77777777" w:rsidR="004B0883" w:rsidRDefault="004B0883">
            <w:pPr>
              <w:snapToGrid w:val="0"/>
              <w:jc w:val="right"/>
              <w:rPr>
                <w:rFonts w:eastAsia="等线"/>
                <w:b/>
                <w:kern w:val="0"/>
                <w:sz w:val="15"/>
                <w:szCs w:val="15"/>
              </w:rPr>
            </w:pPr>
            <w:r>
              <w:rPr>
                <w:rFonts w:eastAsia="等线"/>
                <w:b/>
                <w:kern w:val="0"/>
                <w:sz w:val="15"/>
                <w:szCs w:val="15"/>
              </w:rPr>
              <w:t>-17,397.79</w:t>
            </w:r>
          </w:p>
        </w:tc>
        <w:tc>
          <w:tcPr>
            <w:tcW w:w="946" w:type="dxa"/>
            <w:shd w:val="clear" w:color="auto" w:fill="FFFFFF"/>
            <w:vAlign w:val="center"/>
          </w:tcPr>
          <w:p w14:paraId="0A2F21FF" w14:textId="77777777" w:rsidR="004B0883" w:rsidRDefault="004B0883">
            <w:pPr>
              <w:snapToGrid w:val="0"/>
              <w:jc w:val="right"/>
              <w:rPr>
                <w:rFonts w:eastAsia="等线"/>
                <w:b/>
                <w:kern w:val="0"/>
                <w:sz w:val="15"/>
                <w:szCs w:val="15"/>
              </w:rPr>
            </w:pPr>
            <w:r>
              <w:rPr>
                <w:rFonts w:eastAsia="等线"/>
                <w:b/>
                <w:kern w:val="0"/>
                <w:sz w:val="15"/>
                <w:szCs w:val="15"/>
              </w:rPr>
              <w:t>-11,339.72</w:t>
            </w:r>
          </w:p>
        </w:tc>
        <w:tc>
          <w:tcPr>
            <w:tcW w:w="945" w:type="dxa"/>
            <w:shd w:val="clear" w:color="auto" w:fill="FFFFFF"/>
            <w:vAlign w:val="center"/>
          </w:tcPr>
          <w:p w14:paraId="4D37DB93" w14:textId="77777777" w:rsidR="004B0883" w:rsidRDefault="004B0883">
            <w:pPr>
              <w:snapToGrid w:val="0"/>
              <w:jc w:val="right"/>
              <w:rPr>
                <w:rFonts w:eastAsia="等线"/>
                <w:b/>
                <w:kern w:val="0"/>
                <w:sz w:val="15"/>
                <w:szCs w:val="15"/>
              </w:rPr>
            </w:pPr>
            <w:r>
              <w:rPr>
                <w:rFonts w:eastAsia="等线"/>
                <w:b/>
                <w:kern w:val="0"/>
                <w:sz w:val="15"/>
                <w:szCs w:val="15"/>
              </w:rPr>
              <w:t>-872.23</w:t>
            </w:r>
          </w:p>
        </w:tc>
        <w:tc>
          <w:tcPr>
            <w:tcW w:w="946" w:type="dxa"/>
            <w:shd w:val="clear" w:color="auto" w:fill="FFFFFF"/>
            <w:vAlign w:val="center"/>
          </w:tcPr>
          <w:p w14:paraId="72EF691F" w14:textId="77777777" w:rsidR="004B0883" w:rsidRDefault="004B0883">
            <w:pPr>
              <w:snapToGrid w:val="0"/>
              <w:jc w:val="right"/>
              <w:rPr>
                <w:rFonts w:eastAsia="等线"/>
                <w:b/>
                <w:kern w:val="0"/>
                <w:sz w:val="15"/>
                <w:szCs w:val="15"/>
              </w:rPr>
            </w:pPr>
            <w:r>
              <w:rPr>
                <w:rFonts w:eastAsia="等线"/>
                <w:b/>
                <w:kern w:val="0"/>
                <w:sz w:val="15"/>
                <w:szCs w:val="15"/>
              </w:rPr>
              <w:t>9,591.09</w:t>
            </w:r>
          </w:p>
        </w:tc>
        <w:tc>
          <w:tcPr>
            <w:tcW w:w="947" w:type="dxa"/>
            <w:shd w:val="clear" w:color="auto" w:fill="FFFFFF"/>
            <w:vAlign w:val="center"/>
          </w:tcPr>
          <w:p w14:paraId="65A0B87B" w14:textId="77777777" w:rsidR="004B0883" w:rsidRDefault="004B0883">
            <w:pPr>
              <w:snapToGrid w:val="0"/>
              <w:jc w:val="right"/>
              <w:rPr>
                <w:rFonts w:eastAsia="等线"/>
                <w:b/>
                <w:kern w:val="0"/>
                <w:sz w:val="15"/>
                <w:szCs w:val="15"/>
              </w:rPr>
            </w:pPr>
            <w:r>
              <w:rPr>
                <w:rFonts w:eastAsia="等线"/>
                <w:b/>
                <w:kern w:val="0"/>
                <w:sz w:val="15"/>
                <w:szCs w:val="15"/>
              </w:rPr>
              <w:t>20,051.74</w:t>
            </w:r>
          </w:p>
        </w:tc>
        <w:tc>
          <w:tcPr>
            <w:tcW w:w="946" w:type="dxa"/>
            <w:shd w:val="clear" w:color="auto" w:fill="FFFFFF"/>
            <w:vAlign w:val="center"/>
          </w:tcPr>
          <w:p w14:paraId="61D22804" w14:textId="77777777" w:rsidR="004B0883" w:rsidRDefault="004B0883">
            <w:pPr>
              <w:snapToGrid w:val="0"/>
              <w:jc w:val="right"/>
              <w:rPr>
                <w:rFonts w:eastAsia="等线"/>
                <w:b/>
                <w:kern w:val="0"/>
                <w:sz w:val="15"/>
                <w:szCs w:val="15"/>
              </w:rPr>
            </w:pPr>
            <w:r>
              <w:rPr>
                <w:rFonts w:eastAsia="等线"/>
                <w:b/>
                <w:kern w:val="0"/>
                <w:sz w:val="15"/>
                <w:szCs w:val="15"/>
              </w:rPr>
              <w:t>55,502.13</w:t>
            </w:r>
          </w:p>
        </w:tc>
      </w:tr>
      <w:tr w:rsidR="004B0883" w14:paraId="4AE5F80C" w14:textId="77777777">
        <w:trPr>
          <w:trHeight w:val="397"/>
          <w:jc w:val="center"/>
        </w:trPr>
        <w:tc>
          <w:tcPr>
            <w:tcW w:w="430" w:type="dxa"/>
            <w:shd w:val="clear" w:color="auto" w:fill="FFFFFF"/>
            <w:tcMar>
              <w:top w:w="0" w:type="dxa"/>
              <w:left w:w="30" w:type="dxa"/>
              <w:bottom w:w="0" w:type="dxa"/>
              <w:right w:w="30" w:type="dxa"/>
            </w:tcMar>
            <w:vAlign w:val="center"/>
          </w:tcPr>
          <w:p w14:paraId="3B4E6127" w14:textId="77777777" w:rsidR="004B0883" w:rsidRDefault="004B0883">
            <w:pPr>
              <w:snapToGrid w:val="0"/>
              <w:jc w:val="center"/>
              <w:rPr>
                <w:rFonts w:eastAsia="等线"/>
                <w:b/>
                <w:kern w:val="0"/>
                <w:sz w:val="18"/>
                <w:szCs w:val="18"/>
              </w:rPr>
            </w:pPr>
            <w:r>
              <w:rPr>
                <w:rFonts w:eastAsia="等线"/>
                <w:b/>
                <w:kern w:val="0"/>
                <w:sz w:val="18"/>
                <w:szCs w:val="18"/>
              </w:rPr>
              <w:t>5</w:t>
            </w:r>
          </w:p>
        </w:tc>
        <w:tc>
          <w:tcPr>
            <w:tcW w:w="1415" w:type="dxa"/>
            <w:shd w:val="clear" w:color="auto" w:fill="FFFFFF"/>
            <w:vAlign w:val="center"/>
          </w:tcPr>
          <w:p w14:paraId="48F1E27E" w14:textId="77777777" w:rsidR="004B0883" w:rsidRDefault="004B0883">
            <w:pPr>
              <w:snapToGrid w:val="0"/>
              <w:jc w:val="center"/>
              <w:rPr>
                <w:b/>
                <w:kern w:val="0"/>
                <w:sz w:val="18"/>
                <w:szCs w:val="24"/>
              </w:rPr>
            </w:pPr>
            <w:r>
              <w:rPr>
                <w:rFonts w:hint="eastAsia"/>
                <w:b/>
                <w:kern w:val="0"/>
                <w:sz w:val="18"/>
                <w:szCs w:val="24"/>
              </w:rPr>
              <w:t>调整所得税</w:t>
            </w:r>
          </w:p>
        </w:tc>
        <w:tc>
          <w:tcPr>
            <w:tcW w:w="944" w:type="dxa"/>
            <w:shd w:val="clear" w:color="auto" w:fill="FFFFFF"/>
            <w:vAlign w:val="center"/>
          </w:tcPr>
          <w:p w14:paraId="028AE700" w14:textId="77777777" w:rsidR="004B0883" w:rsidRDefault="004B0883">
            <w:pPr>
              <w:snapToGrid w:val="0"/>
              <w:jc w:val="right"/>
              <w:rPr>
                <w:rFonts w:eastAsia="等线"/>
                <w:b/>
                <w:kern w:val="0"/>
                <w:sz w:val="15"/>
                <w:szCs w:val="15"/>
              </w:rPr>
            </w:pPr>
            <w:r>
              <w:rPr>
                <w:rFonts w:eastAsia="等线"/>
                <w:b/>
                <w:kern w:val="0"/>
                <w:sz w:val="15"/>
                <w:szCs w:val="15"/>
              </w:rPr>
              <w:t>-</w:t>
            </w:r>
          </w:p>
        </w:tc>
        <w:tc>
          <w:tcPr>
            <w:tcW w:w="945" w:type="dxa"/>
            <w:shd w:val="clear" w:color="auto" w:fill="FFFFFF"/>
            <w:vAlign w:val="center"/>
          </w:tcPr>
          <w:p w14:paraId="25CC9BB5" w14:textId="77777777" w:rsidR="004B0883" w:rsidRDefault="004B0883">
            <w:pPr>
              <w:snapToGrid w:val="0"/>
              <w:jc w:val="right"/>
              <w:rPr>
                <w:rFonts w:eastAsia="等线"/>
                <w:b/>
                <w:kern w:val="0"/>
                <w:sz w:val="15"/>
                <w:szCs w:val="15"/>
              </w:rPr>
            </w:pPr>
            <w:r>
              <w:rPr>
                <w:rFonts w:eastAsia="等线"/>
                <w:b/>
                <w:kern w:val="0"/>
                <w:sz w:val="15"/>
                <w:szCs w:val="15"/>
              </w:rPr>
              <w:t>-</w:t>
            </w:r>
          </w:p>
        </w:tc>
        <w:tc>
          <w:tcPr>
            <w:tcW w:w="945" w:type="dxa"/>
            <w:shd w:val="clear" w:color="auto" w:fill="FFFFFF"/>
            <w:vAlign w:val="center"/>
          </w:tcPr>
          <w:p w14:paraId="357E24C8" w14:textId="77777777" w:rsidR="004B0883" w:rsidRDefault="004B0883">
            <w:pPr>
              <w:snapToGrid w:val="0"/>
              <w:jc w:val="right"/>
              <w:rPr>
                <w:rFonts w:eastAsia="等线"/>
                <w:b/>
                <w:kern w:val="0"/>
                <w:sz w:val="15"/>
                <w:szCs w:val="15"/>
              </w:rPr>
            </w:pPr>
            <w:r>
              <w:rPr>
                <w:rFonts w:eastAsia="等线"/>
                <w:b/>
                <w:kern w:val="0"/>
                <w:sz w:val="15"/>
                <w:szCs w:val="15"/>
              </w:rPr>
              <w:t>388.05</w:t>
            </w:r>
          </w:p>
        </w:tc>
        <w:tc>
          <w:tcPr>
            <w:tcW w:w="946" w:type="dxa"/>
            <w:shd w:val="clear" w:color="auto" w:fill="FFFFFF"/>
            <w:vAlign w:val="center"/>
          </w:tcPr>
          <w:p w14:paraId="4355D5B6" w14:textId="77777777" w:rsidR="004B0883" w:rsidRDefault="004B0883">
            <w:pPr>
              <w:snapToGrid w:val="0"/>
              <w:jc w:val="right"/>
              <w:rPr>
                <w:rFonts w:eastAsia="等线"/>
                <w:b/>
                <w:kern w:val="0"/>
                <w:sz w:val="15"/>
                <w:szCs w:val="15"/>
              </w:rPr>
            </w:pPr>
            <w:r>
              <w:rPr>
                <w:rFonts w:eastAsia="等线"/>
                <w:b/>
                <w:kern w:val="0"/>
                <w:sz w:val="15"/>
                <w:szCs w:val="15"/>
              </w:rPr>
              <w:t>609.75</w:t>
            </w:r>
          </w:p>
        </w:tc>
        <w:tc>
          <w:tcPr>
            <w:tcW w:w="945" w:type="dxa"/>
            <w:shd w:val="clear" w:color="auto" w:fill="FFFFFF"/>
            <w:vAlign w:val="center"/>
          </w:tcPr>
          <w:p w14:paraId="4EF484C7" w14:textId="77777777" w:rsidR="004B0883" w:rsidRDefault="004B0883">
            <w:pPr>
              <w:snapToGrid w:val="0"/>
              <w:jc w:val="right"/>
              <w:rPr>
                <w:rFonts w:eastAsia="等线"/>
                <w:b/>
                <w:kern w:val="0"/>
                <w:sz w:val="15"/>
                <w:szCs w:val="15"/>
              </w:rPr>
            </w:pPr>
            <w:r>
              <w:rPr>
                <w:rFonts w:eastAsia="等线"/>
                <w:b/>
                <w:kern w:val="0"/>
                <w:sz w:val="15"/>
                <w:szCs w:val="15"/>
              </w:rPr>
              <w:t>908.26</w:t>
            </w:r>
          </w:p>
        </w:tc>
        <w:tc>
          <w:tcPr>
            <w:tcW w:w="946" w:type="dxa"/>
            <w:shd w:val="clear" w:color="auto" w:fill="FFFFFF"/>
            <w:vAlign w:val="center"/>
          </w:tcPr>
          <w:p w14:paraId="1596A215" w14:textId="77777777" w:rsidR="004B0883" w:rsidRDefault="004B0883">
            <w:pPr>
              <w:snapToGrid w:val="0"/>
              <w:jc w:val="right"/>
              <w:rPr>
                <w:rFonts w:eastAsia="等线"/>
                <w:b/>
                <w:kern w:val="0"/>
                <w:sz w:val="15"/>
                <w:szCs w:val="15"/>
              </w:rPr>
            </w:pPr>
            <w:r>
              <w:rPr>
                <w:rFonts w:eastAsia="等线"/>
                <w:b/>
                <w:kern w:val="0"/>
                <w:sz w:val="15"/>
                <w:szCs w:val="15"/>
              </w:rPr>
              <w:t>1,287.52</w:t>
            </w:r>
          </w:p>
        </w:tc>
        <w:tc>
          <w:tcPr>
            <w:tcW w:w="945" w:type="dxa"/>
            <w:shd w:val="clear" w:color="auto" w:fill="FFFFFF"/>
            <w:vAlign w:val="center"/>
          </w:tcPr>
          <w:p w14:paraId="4ED4C6A9" w14:textId="77777777" w:rsidR="004B0883" w:rsidRDefault="004B0883">
            <w:pPr>
              <w:snapToGrid w:val="0"/>
              <w:jc w:val="right"/>
              <w:rPr>
                <w:rFonts w:eastAsia="等线"/>
                <w:b/>
                <w:kern w:val="0"/>
                <w:sz w:val="15"/>
                <w:szCs w:val="15"/>
              </w:rPr>
            </w:pPr>
            <w:r>
              <w:rPr>
                <w:rFonts w:eastAsia="等线"/>
                <w:b/>
                <w:kern w:val="0"/>
                <w:sz w:val="15"/>
                <w:szCs w:val="15"/>
              </w:rPr>
              <w:t>1,287.52</w:t>
            </w:r>
          </w:p>
        </w:tc>
        <w:tc>
          <w:tcPr>
            <w:tcW w:w="946" w:type="dxa"/>
            <w:shd w:val="clear" w:color="auto" w:fill="FFFFFF"/>
            <w:vAlign w:val="center"/>
          </w:tcPr>
          <w:p w14:paraId="53D622BA" w14:textId="77777777" w:rsidR="004B0883" w:rsidRDefault="004B0883">
            <w:pPr>
              <w:snapToGrid w:val="0"/>
              <w:jc w:val="right"/>
              <w:rPr>
                <w:rFonts w:eastAsia="等线"/>
                <w:b/>
                <w:kern w:val="0"/>
                <w:sz w:val="15"/>
                <w:szCs w:val="15"/>
              </w:rPr>
            </w:pPr>
            <w:r>
              <w:rPr>
                <w:rFonts w:eastAsia="等线"/>
                <w:b/>
                <w:kern w:val="0"/>
                <w:sz w:val="15"/>
                <w:szCs w:val="15"/>
              </w:rPr>
              <w:t>1,287.52</w:t>
            </w:r>
          </w:p>
        </w:tc>
        <w:tc>
          <w:tcPr>
            <w:tcW w:w="947" w:type="dxa"/>
            <w:shd w:val="clear" w:color="auto" w:fill="FFFFFF"/>
            <w:vAlign w:val="center"/>
          </w:tcPr>
          <w:p w14:paraId="58FF1189" w14:textId="77777777" w:rsidR="004B0883" w:rsidRDefault="004B0883">
            <w:pPr>
              <w:snapToGrid w:val="0"/>
              <w:jc w:val="right"/>
              <w:rPr>
                <w:rFonts w:eastAsia="等线"/>
                <w:b/>
                <w:kern w:val="0"/>
                <w:sz w:val="15"/>
                <w:szCs w:val="15"/>
              </w:rPr>
            </w:pPr>
            <w:r>
              <w:rPr>
                <w:rFonts w:eastAsia="等线"/>
                <w:b/>
                <w:kern w:val="0"/>
                <w:sz w:val="15"/>
                <w:szCs w:val="15"/>
              </w:rPr>
              <w:t>1,287.52</w:t>
            </w:r>
          </w:p>
        </w:tc>
        <w:tc>
          <w:tcPr>
            <w:tcW w:w="946" w:type="dxa"/>
            <w:shd w:val="clear" w:color="auto" w:fill="FFFFFF"/>
            <w:vAlign w:val="center"/>
          </w:tcPr>
          <w:p w14:paraId="4C50980D" w14:textId="77777777" w:rsidR="004B0883" w:rsidRDefault="004B0883">
            <w:pPr>
              <w:snapToGrid w:val="0"/>
              <w:jc w:val="right"/>
              <w:rPr>
                <w:rFonts w:eastAsia="等线"/>
                <w:b/>
                <w:kern w:val="0"/>
                <w:sz w:val="15"/>
                <w:szCs w:val="15"/>
              </w:rPr>
            </w:pPr>
            <w:r>
              <w:rPr>
                <w:rFonts w:eastAsia="等线"/>
                <w:b/>
                <w:kern w:val="0"/>
                <w:sz w:val="15"/>
                <w:szCs w:val="15"/>
              </w:rPr>
              <w:t>1,287.52</w:t>
            </w:r>
          </w:p>
        </w:tc>
      </w:tr>
      <w:tr w:rsidR="004B0883" w14:paraId="629D7077" w14:textId="77777777">
        <w:trPr>
          <w:trHeight w:val="397"/>
          <w:jc w:val="center"/>
        </w:trPr>
        <w:tc>
          <w:tcPr>
            <w:tcW w:w="430" w:type="dxa"/>
            <w:shd w:val="clear" w:color="auto" w:fill="FFFFFF"/>
            <w:tcMar>
              <w:top w:w="0" w:type="dxa"/>
              <w:left w:w="30" w:type="dxa"/>
              <w:bottom w:w="0" w:type="dxa"/>
              <w:right w:w="30" w:type="dxa"/>
            </w:tcMar>
            <w:vAlign w:val="center"/>
          </w:tcPr>
          <w:p w14:paraId="7369CF94" w14:textId="77777777" w:rsidR="004B0883" w:rsidRDefault="004B0883">
            <w:pPr>
              <w:snapToGrid w:val="0"/>
              <w:jc w:val="center"/>
              <w:rPr>
                <w:rFonts w:eastAsia="等线"/>
                <w:b/>
                <w:kern w:val="0"/>
                <w:sz w:val="18"/>
                <w:szCs w:val="18"/>
              </w:rPr>
            </w:pPr>
            <w:r>
              <w:rPr>
                <w:rFonts w:eastAsia="等线"/>
                <w:b/>
                <w:kern w:val="0"/>
                <w:sz w:val="18"/>
                <w:szCs w:val="18"/>
              </w:rPr>
              <w:t>6</w:t>
            </w:r>
          </w:p>
        </w:tc>
        <w:tc>
          <w:tcPr>
            <w:tcW w:w="1415" w:type="dxa"/>
            <w:shd w:val="clear" w:color="auto" w:fill="FFFFFF"/>
            <w:vAlign w:val="center"/>
          </w:tcPr>
          <w:p w14:paraId="3D4D5E32" w14:textId="77777777" w:rsidR="004B0883" w:rsidRDefault="004B0883">
            <w:pPr>
              <w:snapToGrid w:val="0"/>
              <w:jc w:val="center"/>
              <w:rPr>
                <w:b/>
                <w:kern w:val="0"/>
                <w:sz w:val="18"/>
                <w:szCs w:val="24"/>
              </w:rPr>
            </w:pPr>
            <w:r>
              <w:rPr>
                <w:rFonts w:hint="eastAsia"/>
                <w:b/>
                <w:kern w:val="0"/>
                <w:sz w:val="18"/>
                <w:szCs w:val="24"/>
              </w:rPr>
              <w:t>所得税后净现金流量</w:t>
            </w:r>
          </w:p>
        </w:tc>
        <w:tc>
          <w:tcPr>
            <w:tcW w:w="944" w:type="dxa"/>
            <w:shd w:val="clear" w:color="auto" w:fill="FFFFFF"/>
            <w:vAlign w:val="center"/>
          </w:tcPr>
          <w:p w14:paraId="5C2380B3" w14:textId="77777777" w:rsidR="004B0883" w:rsidRDefault="004B0883">
            <w:pPr>
              <w:snapToGrid w:val="0"/>
              <w:jc w:val="right"/>
              <w:rPr>
                <w:rFonts w:eastAsia="等线"/>
                <w:b/>
                <w:kern w:val="0"/>
                <w:sz w:val="15"/>
                <w:szCs w:val="15"/>
              </w:rPr>
            </w:pPr>
            <w:r>
              <w:rPr>
                <w:rFonts w:eastAsia="等线"/>
                <w:b/>
                <w:kern w:val="0"/>
                <w:sz w:val="15"/>
                <w:szCs w:val="15"/>
              </w:rPr>
              <w:t>-7,898.07</w:t>
            </w:r>
          </w:p>
        </w:tc>
        <w:tc>
          <w:tcPr>
            <w:tcW w:w="945" w:type="dxa"/>
            <w:shd w:val="clear" w:color="auto" w:fill="FFFFFF"/>
            <w:vAlign w:val="center"/>
          </w:tcPr>
          <w:p w14:paraId="590D3961" w14:textId="77777777" w:rsidR="004B0883" w:rsidRDefault="004B0883">
            <w:pPr>
              <w:snapToGrid w:val="0"/>
              <w:jc w:val="right"/>
              <w:rPr>
                <w:rFonts w:eastAsia="等线"/>
                <w:b/>
                <w:kern w:val="0"/>
                <w:sz w:val="15"/>
                <w:szCs w:val="15"/>
              </w:rPr>
            </w:pPr>
            <w:r>
              <w:rPr>
                <w:rFonts w:eastAsia="等线"/>
                <w:b/>
                <w:kern w:val="0"/>
                <w:sz w:val="15"/>
                <w:szCs w:val="15"/>
              </w:rPr>
              <w:t>-13,899.55</w:t>
            </w:r>
          </w:p>
        </w:tc>
        <w:tc>
          <w:tcPr>
            <w:tcW w:w="945" w:type="dxa"/>
            <w:shd w:val="clear" w:color="auto" w:fill="FFFFFF"/>
            <w:vAlign w:val="center"/>
          </w:tcPr>
          <w:p w14:paraId="6B5F1CB8" w14:textId="77777777" w:rsidR="004B0883" w:rsidRDefault="004B0883">
            <w:pPr>
              <w:snapToGrid w:val="0"/>
              <w:jc w:val="right"/>
              <w:rPr>
                <w:rFonts w:eastAsia="等线"/>
                <w:b/>
                <w:kern w:val="0"/>
                <w:sz w:val="15"/>
                <w:szCs w:val="15"/>
              </w:rPr>
            </w:pPr>
            <w:r>
              <w:rPr>
                <w:rFonts w:eastAsia="等线"/>
                <w:b/>
                <w:kern w:val="0"/>
                <w:sz w:val="15"/>
                <w:szCs w:val="15"/>
              </w:rPr>
              <w:t>-6,408.75</w:t>
            </w:r>
          </w:p>
        </w:tc>
        <w:tc>
          <w:tcPr>
            <w:tcW w:w="946" w:type="dxa"/>
            <w:shd w:val="clear" w:color="auto" w:fill="FFFFFF"/>
            <w:vAlign w:val="center"/>
          </w:tcPr>
          <w:p w14:paraId="3ADDC0EB" w14:textId="77777777" w:rsidR="004B0883" w:rsidRDefault="004B0883">
            <w:pPr>
              <w:snapToGrid w:val="0"/>
              <w:jc w:val="right"/>
              <w:rPr>
                <w:rFonts w:eastAsia="等线"/>
                <w:b/>
                <w:kern w:val="0"/>
                <w:sz w:val="15"/>
                <w:szCs w:val="15"/>
              </w:rPr>
            </w:pPr>
            <w:r>
              <w:rPr>
                <w:rFonts w:eastAsia="等线"/>
                <w:b/>
                <w:kern w:val="0"/>
                <w:sz w:val="15"/>
                <w:szCs w:val="15"/>
              </w:rPr>
              <w:t>3,988.59</w:t>
            </w:r>
          </w:p>
        </w:tc>
        <w:tc>
          <w:tcPr>
            <w:tcW w:w="945" w:type="dxa"/>
            <w:shd w:val="clear" w:color="auto" w:fill="FFFFFF"/>
            <w:vAlign w:val="center"/>
          </w:tcPr>
          <w:p w14:paraId="683EDDCC" w14:textId="77777777" w:rsidR="004B0883" w:rsidRDefault="004B0883">
            <w:pPr>
              <w:snapToGrid w:val="0"/>
              <w:jc w:val="right"/>
              <w:rPr>
                <w:rFonts w:eastAsia="等线"/>
                <w:b/>
                <w:kern w:val="0"/>
                <w:sz w:val="15"/>
                <w:szCs w:val="15"/>
              </w:rPr>
            </w:pPr>
            <w:r>
              <w:rPr>
                <w:rFonts w:eastAsia="等线"/>
                <w:b/>
                <w:kern w:val="0"/>
                <w:sz w:val="15"/>
                <w:szCs w:val="15"/>
              </w:rPr>
              <w:t>4,913.94</w:t>
            </w:r>
          </w:p>
        </w:tc>
        <w:tc>
          <w:tcPr>
            <w:tcW w:w="946" w:type="dxa"/>
            <w:shd w:val="clear" w:color="auto" w:fill="FFFFFF"/>
            <w:vAlign w:val="center"/>
          </w:tcPr>
          <w:p w14:paraId="4ECFC090" w14:textId="77777777" w:rsidR="004B0883" w:rsidRDefault="004B0883">
            <w:pPr>
              <w:snapToGrid w:val="0"/>
              <w:jc w:val="right"/>
              <w:rPr>
                <w:rFonts w:eastAsia="等线"/>
                <w:b/>
                <w:kern w:val="0"/>
                <w:sz w:val="15"/>
                <w:szCs w:val="15"/>
              </w:rPr>
            </w:pPr>
            <w:r>
              <w:rPr>
                <w:rFonts w:eastAsia="等线"/>
                <w:b/>
                <w:kern w:val="0"/>
                <w:sz w:val="15"/>
                <w:szCs w:val="15"/>
              </w:rPr>
              <w:t>4,770.55</w:t>
            </w:r>
          </w:p>
        </w:tc>
        <w:tc>
          <w:tcPr>
            <w:tcW w:w="945" w:type="dxa"/>
            <w:shd w:val="clear" w:color="auto" w:fill="FFFFFF"/>
            <w:vAlign w:val="center"/>
          </w:tcPr>
          <w:p w14:paraId="131B2BE8" w14:textId="77777777" w:rsidR="004B0883" w:rsidRDefault="004B0883">
            <w:pPr>
              <w:snapToGrid w:val="0"/>
              <w:jc w:val="right"/>
              <w:rPr>
                <w:rFonts w:eastAsia="等线"/>
                <w:b/>
                <w:kern w:val="0"/>
                <w:sz w:val="15"/>
                <w:szCs w:val="15"/>
              </w:rPr>
            </w:pPr>
            <w:r>
              <w:rPr>
                <w:rFonts w:eastAsia="等线"/>
                <w:b/>
                <w:kern w:val="0"/>
                <w:sz w:val="15"/>
                <w:szCs w:val="15"/>
              </w:rPr>
              <w:t>9,179.97</w:t>
            </w:r>
          </w:p>
        </w:tc>
        <w:tc>
          <w:tcPr>
            <w:tcW w:w="946" w:type="dxa"/>
            <w:shd w:val="clear" w:color="auto" w:fill="FFFFFF"/>
            <w:vAlign w:val="center"/>
          </w:tcPr>
          <w:p w14:paraId="147023B9" w14:textId="77777777" w:rsidR="004B0883" w:rsidRDefault="004B0883">
            <w:pPr>
              <w:snapToGrid w:val="0"/>
              <w:jc w:val="right"/>
              <w:rPr>
                <w:rFonts w:eastAsia="等线"/>
                <w:b/>
                <w:kern w:val="0"/>
                <w:sz w:val="15"/>
                <w:szCs w:val="15"/>
              </w:rPr>
            </w:pPr>
            <w:r>
              <w:rPr>
                <w:rFonts w:eastAsia="等线"/>
                <w:b/>
                <w:kern w:val="0"/>
                <w:sz w:val="15"/>
                <w:szCs w:val="15"/>
              </w:rPr>
              <w:t>9,175.81</w:t>
            </w:r>
          </w:p>
        </w:tc>
        <w:tc>
          <w:tcPr>
            <w:tcW w:w="947" w:type="dxa"/>
            <w:shd w:val="clear" w:color="auto" w:fill="FFFFFF"/>
            <w:vAlign w:val="center"/>
          </w:tcPr>
          <w:p w14:paraId="2D172BC7" w14:textId="77777777" w:rsidR="004B0883" w:rsidRDefault="004B0883">
            <w:pPr>
              <w:snapToGrid w:val="0"/>
              <w:jc w:val="right"/>
              <w:rPr>
                <w:rFonts w:eastAsia="等线"/>
                <w:b/>
                <w:kern w:val="0"/>
                <w:sz w:val="15"/>
                <w:szCs w:val="15"/>
              </w:rPr>
            </w:pPr>
            <w:r>
              <w:rPr>
                <w:rFonts w:eastAsia="等线"/>
                <w:b/>
                <w:kern w:val="0"/>
                <w:sz w:val="15"/>
                <w:szCs w:val="15"/>
              </w:rPr>
              <w:t>9,173.14</w:t>
            </w:r>
          </w:p>
        </w:tc>
        <w:tc>
          <w:tcPr>
            <w:tcW w:w="946" w:type="dxa"/>
            <w:shd w:val="clear" w:color="auto" w:fill="FFFFFF"/>
            <w:vAlign w:val="center"/>
          </w:tcPr>
          <w:p w14:paraId="6CF73447" w14:textId="77777777" w:rsidR="004B0883" w:rsidRDefault="004B0883">
            <w:pPr>
              <w:snapToGrid w:val="0"/>
              <w:jc w:val="right"/>
              <w:rPr>
                <w:rFonts w:eastAsia="等线"/>
                <w:b/>
                <w:kern w:val="0"/>
                <w:sz w:val="15"/>
                <w:szCs w:val="15"/>
              </w:rPr>
            </w:pPr>
            <w:r>
              <w:rPr>
                <w:rFonts w:eastAsia="等线"/>
                <w:b/>
                <w:kern w:val="0"/>
                <w:sz w:val="15"/>
                <w:szCs w:val="15"/>
              </w:rPr>
              <w:t>34,162.87</w:t>
            </w:r>
          </w:p>
        </w:tc>
      </w:tr>
      <w:tr w:rsidR="004B0883" w14:paraId="25963BAD" w14:textId="77777777">
        <w:trPr>
          <w:trHeight w:val="397"/>
          <w:jc w:val="center"/>
        </w:trPr>
        <w:tc>
          <w:tcPr>
            <w:tcW w:w="430" w:type="dxa"/>
            <w:shd w:val="clear" w:color="auto" w:fill="FFFFFF"/>
            <w:tcMar>
              <w:top w:w="0" w:type="dxa"/>
              <w:left w:w="30" w:type="dxa"/>
              <w:bottom w:w="0" w:type="dxa"/>
              <w:right w:w="30" w:type="dxa"/>
            </w:tcMar>
            <w:vAlign w:val="center"/>
          </w:tcPr>
          <w:p w14:paraId="4CF07BFE" w14:textId="77777777" w:rsidR="004B0883" w:rsidRDefault="004B0883">
            <w:pPr>
              <w:snapToGrid w:val="0"/>
              <w:jc w:val="center"/>
              <w:rPr>
                <w:rFonts w:eastAsia="等线"/>
                <w:b/>
                <w:kern w:val="0"/>
                <w:sz w:val="18"/>
                <w:szCs w:val="18"/>
              </w:rPr>
            </w:pPr>
            <w:r>
              <w:rPr>
                <w:rFonts w:eastAsia="等线"/>
                <w:b/>
                <w:kern w:val="0"/>
                <w:sz w:val="18"/>
                <w:szCs w:val="18"/>
              </w:rPr>
              <w:t>7</w:t>
            </w:r>
          </w:p>
        </w:tc>
        <w:tc>
          <w:tcPr>
            <w:tcW w:w="1415" w:type="dxa"/>
            <w:shd w:val="clear" w:color="auto" w:fill="FFFFFF"/>
            <w:vAlign w:val="center"/>
          </w:tcPr>
          <w:p w14:paraId="40D1954B" w14:textId="77777777" w:rsidR="004B0883" w:rsidRDefault="004B0883">
            <w:pPr>
              <w:snapToGrid w:val="0"/>
              <w:jc w:val="center"/>
              <w:rPr>
                <w:b/>
                <w:kern w:val="0"/>
                <w:sz w:val="18"/>
                <w:szCs w:val="24"/>
              </w:rPr>
            </w:pPr>
            <w:r>
              <w:rPr>
                <w:rFonts w:hint="eastAsia"/>
                <w:b/>
                <w:kern w:val="0"/>
                <w:sz w:val="18"/>
                <w:szCs w:val="24"/>
              </w:rPr>
              <w:t>累计所得税后净现金流量</w:t>
            </w:r>
          </w:p>
        </w:tc>
        <w:tc>
          <w:tcPr>
            <w:tcW w:w="944" w:type="dxa"/>
            <w:shd w:val="clear" w:color="auto" w:fill="FFFFFF"/>
            <w:vAlign w:val="center"/>
          </w:tcPr>
          <w:p w14:paraId="435925CE" w14:textId="77777777" w:rsidR="004B0883" w:rsidRDefault="004B0883">
            <w:pPr>
              <w:snapToGrid w:val="0"/>
              <w:jc w:val="right"/>
              <w:rPr>
                <w:rFonts w:eastAsia="等线"/>
                <w:b/>
                <w:kern w:val="0"/>
                <w:sz w:val="15"/>
                <w:szCs w:val="15"/>
              </w:rPr>
            </w:pPr>
            <w:r>
              <w:rPr>
                <w:rFonts w:eastAsia="等线"/>
                <w:b/>
                <w:kern w:val="0"/>
                <w:sz w:val="15"/>
                <w:szCs w:val="15"/>
              </w:rPr>
              <w:t>-7,898.07</w:t>
            </w:r>
          </w:p>
        </w:tc>
        <w:tc>
          <w:tcPr>
            <w:tcW w:w="945" w:type="dxa"/>
            <w:shd w:val="clear" w:color="auto" w:fill="FFFFFF"/>
            <w:vAlign w:val="center"/>
          </w:tcPr>
          <w:p w14:paraId="4E0C1538" w14:textId="77777777" w:rsidR="004B0883" w:rsidRDefault="004B0883">
            <w:pPr>
              <w:snapToGrid w:val="0"/>
              <w:jc w:val="right"/>
              <w:rPr>
                <w:rFonts w:eastAsia="等线"/>
                <w:b/>
                <w:kern w:val="0"/>
                <w:sz w:val="15"/>
                <w:szCs w:val="15"/>
              </w:rPr>
            </w:pPr>
            <w:r>
              <w:rPr>
                <w:rFonts w:eastAsia="等线"/>
                <w:b/>
                <w:kern w:val="0"/>
                <w:sz w:val="15"/>
                <w:szCs w:val="15"/>
              </w:rPr>
              <w:t>-21,797.62</w:t>
            </w:r>
          </w:p>
        </w:tc>
        <w:tc>
          <w:tcPr>
            <w:tcW w:w="945" w:type="dxa"/>
            <w:shd w:val="clear" w:color="auto" w:fill="FFFFFF"/>
            <w:vAlign w:val="center"/>
          </w:tcPr>
          <w:p w14:paraId="4096E6D3" w14:textId="77777777" w:rsidR="004B0883" w:rsidRDefault="004B0883">
            <w:pPr>
              <w:snapToGrid w:val="0"/>
              <w:jc w:val="right"/>
              <w:rPr>
                <w:rFonts w:eastAsia="等线"/>
                <w:b/>
                <w:kern w:val="0"/>
                <w:sz w:val="15"/>
                <w:szCs w:val="15"/>
              </w:rPr>
            </w:pPr>
            <w:r>
              <w:rPr>
                <w:rFonts w:eastAsia="等线"/>
                <w:b/>
                <w:kern w:val="0"/>
                <w:sz w:val="15"/>
                <w:szCs w:val="15"/>
              </w:rPr>
              <w:t>-28,206.37</w:t>
            </w:r>
          </w:p>
        </w:tc>
        <w:tc>
          <w:tcPr>
            <w:tcW w:w="946" w:type="dxa"/>
            <w:shd w:val="clear" w:color="auto" w:fill="FFFFFF"/>
            <w:vAlign w:val="center"/>
          </w:tcPr>
          <w:p w14:paraId="7822128D" w14:textId="77777777" w:rsidR="004B0883" w:rsidRDefault="004B0883">
            <w:pPr>
              <w:snapToGrid w:val="0"/>
              <w:jc w:val="right"/>
              <w:rPr>
                <w:rFonts w:eastAsia="等线"/>
                <w:b/>
                <w:kern w:val="0"/>
                <w:sz w:val="15"/>
                <w:szCs w:val="15"/>
              </w:rPr>
            </w:pPr>
            <w:r>
              <w:rPr>
                <w:rFonts w:eastAsia="等线"/>
                <w:b/>
                <w:kern w:val="0"/>
                <w:sz w:val="15"/>
                <w:szCs w:val="15"/>
              </w:rPr>
              <w:t>-24,217.78</w:t>
            </w:r>
          </w:p>
        </w:tc>
        <w:tc>
          <w:tcPr>
            <w:tcW w:w="945" w:type="dxa"/>
            <w:shd w:val="clear" w:color="auto" w:fill="FFFFFF"/>
            <w:vAlign w:val="center"/>
          </w:tcPr>
          <w:p w14:paraId="4E2EACA0" w14:textId="77777777" w:rsidR="004B0883" w:rsidRDefault="004B0883">
            <w:pPr>
              <w:snapToGrid w:val="0"/>
              <w:jc w:val="right"/>
              <w:rPr>
                <w:rFonts w:eastAsia="等线"/>
                <w:b/>
                <w:kern w:val="0"/>
                <w:sz w:val="15"/>
                <w:szCs w:val="15"/>
              </w:rPr>
            </w:pPr>
            <w:r>
              <w:rPr>
                <w:rFonts w:eastAsia="等线"/>
                <w:b/>
                <w:kern w:val="0"/>
                <w:sz w:val="15"/>
                <w:szCs w:val="15"/>
              </w:rPr>
              <w:t>-19,303.85</w:t>
            </w:r>
          </w:p>
        </w:tc>
        <w:tc>
          <w:tcPr>
            <w:tcW w:w="946" w:type="dxa"/>
            <w:shd w:val="clear" w:color="auto" w:fill="FFFFFF"/>
            <w:vAlign w:val="center"/>
          </w:tcPr>
          <w:p w14:paraId="6FA14446" w14:textId="77777777" w:rsidR="004B0883" w:rsidRDefault="004B0883">
            <w:pPr>
              <w:snapToGrid w:val="0"/>
              <w:jc w:val="right"/>
              <w:rPr>
                <w:rFonts w:eastAsia="等线"/>
                <w:b/>
                <w:kern w:val="0"/>
                <w:sz w:val="15"/>
                <w:szCs w:val="15"/>
              </w:rPr>
            </w:pPr>
            <w:r>
              <w:rPr>
                <w:rFonts w:eastAsia="等线"/>
                <w:b/>
                <w:kern w:val="0"/>
                <w:sz w:val="15"/>
                <w:szCs w:val="15"/>
              </w:rPr>
              <w:t>-14,533.29</w:t>
            </w:r>
          </w:p>
        </w:tc>
        <w:tc>
          <w:tcPr>
            <w:tcW w:w="945" w:type="dxa"/>
            <w:shd w:val="clear" w:color="auto" w:fill="FFFFFF"/>
            <w:vAlign w:val="center"/>
          </w:tcPr>
          <w:p w14:paraId="18C51C94" w14:textId="77777777" w:rsidR="004B0883" w:rsidRDefault="004B0883">
            <w:pPr>
              <w:snapToGrid w:val="0"/>
              <w:jc w:val="right"/>
              <w:rPr>
                <w:rFonts w:eastAsia="等线"/>
                <w:b/>
                <w:kern w:val="0"/>
                <w:sz w:val="15"/>
                <w:szCs w:val="15"/>
              </w:rPr>
            </w:pPr>
            <w:r>
              <w:rPr>
                <w:rFonts w:eastAsia="等线"/>
                <w:b/>
                <w:kern w:val="0"/>
                <w:sz w:val="15"/>
                <w:szCs w:val="15"/>
              </w:rPr>
              <w:t>-5,353.33</w:t>
            </w:r>
          </w:p>
        </w:tc>
        <w:tc>
          <w:tcPr>
            <w:tcW w:w="946" w:type="dxa"/>
            <w:shd w:val="clear" w:color="auto" w:fill="FFFFFF"/>
            <w:vAlign w:val="center"/>
          </w:tcPr>
          <w:p w14:paraId="5CE62A03" w14:textId="77777777" w:rsidR="004B0883" w:rsidRDefault="004B0883">
            <w:pPr>
              <w:snapToGrid w:val="0"/>
              <w:jc w:val="right"/>
              <w:rPr>
                <w:rFonts w:eastAsia="等线"/>
                <w:b/>
                <w:kern w:val="0"/>
                <w:sz w:val="15"/>
                <w:szCs w:val="15"/>
              </w:rPr>
            </w:pPr>
            <w:r>
              <w:rPr>
                <w:rFonts w:eastAsia="等线"/>
                <w:b/>
                <w:kern w:val="0"/>
                <w:sz w:val="15"/>
                <w:szCs w:val="15"/>
              </w:rPr>
              <w:t>3,822.48</w:t>
            </w:r>
          </w:p>
        </w:tc>
        <w:tc>
          <w:tcPr>
            <w:tcW w:w="947" w:type="dxa"/>
            <w:shd w:val="clear" w:color="auto" w:fill="FFFFFF"/>
            <w:vAlign w:val="center"/>
          </w:tcPr>
          <w:p w14:paraId="04E6A38A" w14:textId="77777777" w:rsidR="004B0883" w:rsidRDefault="004B0883">
            <w:pPr>
              <w:snapToGrid w:val="0"/>
              <w:jc w:val="right"/>
              <w:rPr>
                <w:rFonts w:eastAsia="等线"/>
                <w:b/>
                <w:kern w:val="0"/>
                <w:sz w:val="15"/>
                <w:szCs w:val="15"/>
              </w:rPr>
            </w:pPr>
            <w:r>
              <w:rPr>
                <w:rFonts w:eastAsia="等线"/>
                <w:b/>
                <w:kern w:val="0"/>
                <w:sz w:val="15"/>
                <w:szCs w:val="15"/>
              </w:rPr>
              <w:t>12,995.62</w:t>
            </w:r>
          </w:p>
        </w:tc>
        <w:tc>
          <w:tcPr>
            <w:tcW w:w="946" w:type="dxa"/>
            <w:shd w:val="clear" w:color="auto" w:fill="FFFFFF"/>
            <w:vAlign w:val="center"/>
          </w:tcPr>
          <w:p w14:paraId="1F1C8E92" w14:textId="77777777" w:rsidR="004B0883" w:rsidRDefault="004B0883">
            <w:pPr>
              <w:snapToGrid w:val="0"/>
              <w:jc w:val="right"/>
              <w:rPr>
                <w:rFonts w:eastAsia="等线"/>
                <w:b/>
                <w:kern w:val="0"/>
                <w:sz w:val="15"/>
                <w:szCs w:val="15"/>
              </w:rPr>
            </w:pPr>
            <w:r>
              <w:rPr>
                <w:rFonts w:eastAsia="等线"/>
                <w:b/>
                <w:kern w:val="0"/>
                <w:sz w:val="15"/>
                <w:szCs w:val="15"/>
              </w:rPr>
              <w:t>47,158.48</w:t>
            </w:r>
          </w:p>
        </w:tc>
      </w:tr>
      <w:tr w:rsidR="004B0883" w14:paraId="1DCC1AC9" w14:textId="77777777">
        <w:trPr>
          <w:trHeight w:val="397"/>
          <w:jc w:val="center"/>
        </w:trPr>
        <w:tc>
          <w:tcPr>
            <w:tcW w:w="1845" w:type="dxa"/>
            <w:gridSpan w:val="2"/>
            <w:shd w:val="clear" w:color="auto" w:fill="D9D9D9"/>
            <w:tcMar>
              <w:top w:w="0" w:type="dxa"/>
              <w:left w:w="30" w:type="dxa"/>
              <w:bottom w:w="0" w:type="dxa"/>
              <w:right w:w="30" w:type="dxa"/>
            </w:tcMar>
            <w:vAlign w:val="center"/>
          </w:tcPr>
          <w:p w14:paraId="0F7C1E03" w14:textId="77777777" w:rsidR="004B0883" w:rsidRDefault="004B0883">
            <w:pPr>
              <w:snapToGrid w:val="0"/>
              <w:jc w:val="center"/>
              <w:rPr>
                <w:bCs/>
                <w:kern w:val="0"/>
                <w:sz w:val="18"/>
                <w:szCs w:val="24"/>
              </w:rPr>
            </w:pPr>
            <w:r>
              <w:rPr>
                <w:rFonts w:hint="eastAsia"/>
                <w:bCs/>
                <w:kern w:val="0"/>
                <w:sz w:val="18"/>
                <w:szCs w:val="24"/>
              </w:rPr>
              <w:t>计算指标</w:t>
            </w:r>
          </w:p>
        </w:tc>
        <w:tc>
          <w:tcPr>
            <w:tcW w:w="1889" w:type="dxa"/>
            <w:gridSpan w:val="2"/>
            <w:shd w:val="clear" w:color="auto" w:fill="D9D9D9"/>
            <w:vAlign w:val="center"/>
          </w:tcPr>
          <w:p w14:paraId="27981B7A" w14:textId="77777777" w:rsidR="004B0883" w:rsidRDefault="004B0883">
            <w:pPr>
              <w:snapToGrid w:val="0"/>
              <w:jc w:val="center"/>
              <w:rPr>
                <w:bCs/>
                <w:kern w:val="0"/>
                <w:sz w:val="18"/>
                <w:szCs w:val="24"/>
              </w:rPr>
            </w:pPr>
            <w:r>
              <w:rPr>
                <w:rFonts w:hint="eastAsia"/>
                <w:bCs/>
                <w:kern w:val="0"/>
                <w:sz w:val="18"/>
                <w:szCs w:val="24"/>
              </w:rPr>
              <w:t>所得税前</w:t>
            </w:r>
          </w:p>
        </w:tc>
        <w:tc>
          <w:tcPr>
            <w:tcW w:w="1891" w:type="dxa"/>
            <w:gridSpan w:val="2"/>
            <w:shd w:val="clear" w:color="auto" w:fill="D9D9D9"/>
            <w:vAlign w:val="center"/>
          </w:tcPr>
          <w:p w14:paraId="1162EE9D" w14:textId="77777777" w:rsidR="004B0883" w:rsidRDefault="004B0883">
            <w:pPr>
              <w:snapToGrid w:val="0"/>
              <w:jc w:val="center"/>
              <w:rPr>
                <w:bCs/>
                <w:kern w:val="0"/>
                <w:sz w:val="18"/>
                <w:szCs w:val="24"/>
              </w:rPr>
            </w:pPr>
            <w:r>
              <w:rPr>
                <w:rFonts w:hint="eastAsia"/>
                <w:bCs/>
                <w:kern w:val="0"/>
                <w:sz w:val="18"/>
                <w:szCs w:val="24"/>
              </w:rPr>
              <w:t>所得税后</w:t>
            </w:r>
          </w:p>
        </w:tc>
        <w:tc>
          <w:tcPr>
            <w:tcW w:w="5675" w:type="dxa"/>
            <w:gridSpan w:val="6"/>
            <w:shd w:val="clear" w:color="auto" w:fill="D9D9D9"/>
            <w:vAlign w:val="center"/>
          </w:tcPr>
          <w:p w14:paraId="1B68C7F7" w14:textId="77777777" w:rsidR="004B0883" w:rsidRDefault="004B0883">
            <w:pPr>
              <w:snapToGrid w:val="0"/>
              <w:jc w:val="center"/>
              <w:rPr>
                <w:bCs/>
                <w:kern w:val="0"/>
                <w:sz w:val="18"/>
                <w:szCs w:val="24"/>
              </w:rPr>
            </w:pPr>
            <w:r>
              <w:rPr>
                <w:rFonts w:hint="eastAsia"/>
                <w:bCs/>
                <w:kern w:val="0"/>
                <w:sz w:val="18"/>
                <w:szCs w:val="24"/>
              </w:rPr>
              <w:t>基准折现率</w:t>
            </w:r>
          </w:p>
        </w:tc>
      </w:tr>
      <w:tr w:rsidR="004B0883" w14:paraId="7CE4A561" w14:textId="77777777">
        <w:trPr>
          <w:trHeight w:val="397"/>
          <w:jc w:val="center"/>
        </w:trPr>
        <w:tc>
          <w:tcPr>
            <w:tcW w:w="1845" w:type="dxa"/>
            <w:gridSpan w:val="2"/>
            <w:shd w:val="clear" w:color="auto" w:fill="FFFFFF"/>
            <w:tcMar>
              <w:top w:w="0" w:type="dxa"/>
              <w:left w:w="30" w:type="dxa"/>
              <w:bottom w:w="0" w:type="dxa"/>
              <w:right w:w="30" w:type="dxa"/>
            </w:tcMar>
          </w:tcPr>
          <w:p w14:paraId="3A2C5282" w14:textId="77777777" w:rsidR="004B0883" w:rsidRDefault="004B0883">
            <w:pPr>
              <w:snapToGrid w:val="0"/>
              <w:jc w:val="center"/>
              <w:rPr>
                <w:bCs/>
                <w:kern w:val="0"/>
                <w:sz w:val="18"/>
                <w:szCs w:val="18"/>
              </w:rPr>
            </w:pPr>
            <w:r>
              <w:rPr>
                <w:rFonts w:hint="eastAsia"/>
                <w:bCs/>
                <w:kern w:val="0"/>
                <w:sz w:val="18"/>
                <w:szCs w:val="18"/>
              </w:rPr>
              <w:t>项目投资财务净现值</w:t>
            </w:r>
            <w:r>
              <w:rPr>
                <w:bCs/>
                <w:kern w:val="0"/>
                <w:sz w:val="18"/>
                <w:szCs w:val="18"/>
              </w:rPr>
              <w:t>FNPV</w:t>
            </w:r>
            <w:r>
              <w:rPr>
                <w:bCs/>
                <w:kern w:val="0"/>
                <w:sz w:val="18"/>
                <w:szCs w:val="18"/>
              </w:rPr>
              <w:t>（</w:t>
            </w:r>
            <w:r>
              <w:rPr>
                <w:bCs/>
                <w:kern w:val="0"/>
                <w:sz w:val="18"/>
                <w:szCs w:val="18"/>
              </w:rPr>
              <w:t>ic=12 %</w:t>
            </w:r>
            <w:r>
              <w:rPr>
                <w:bCs/>
                <w:kern w:val="0"/>
                <w:sz w:val="18"/>
                <w:szCs w:val="18"/>
              </w:rPr>
              <w:t>）</w:t>
            </w:r>
          </w:p>
        </w:tc>
        <w:tc>
          <w:tcPr>
            <w:tcW w:w="1889" w:type="dxa"/>
            <w:gridSpan w:val="2"/>
            <w:shd w:val="clear" w:color="auto" w:fill="FFFFFF"/>
            <w:vAlign w:val="center"/>
          </w:tcPr>
          <w:p w14:paraId="516615A0" w14:textId="77777777" w:rsidR="004B0883" w:rsidRDefault="004B0883">
            <w:pPr>
              <w:snapToGrid w:val="0"/>
              <w:jc w:val="center"/>
              <w:rPr>
                <w:rFonts w:eastAsia="等线"/>
                <w:bCs/>
                <w:kern w:val="0"/>
                <w:sz w:val="18"/>
                <w:szCs w:val="18"/>
              </w:rPr>
            </w:pPr>
            <w:r>
              <w:rPr>
                <w:rFonts w:eastAsia="等线"/>
                <w:bCs/>
                <w:kern w:val="0"/>
                <w:sz w:val="18"/>
                <w:szCs w:val="18"/>
              </w:rPr>
              <w:t>11,024.51</w:t>
            </w:r>
          </w:p>
        </w:tc>
        <w:tc>
          <w:tcPr>
            <w:tcW w:w="1891" w:type="dxa"/>
            <w:gridSpan w:val="2"/>
            <w:shd w:val="clear" w:color="auto" w:fill="FFFFFF"/>
            <w:vAlign w:val="center"/>
          </w:tcPr>
          <w:p w14:paraId="54587124" w14:textId="77777777" w:rsidR="004B0883" w:rsidRDefault="004B0883">
            <w:pPr>
              <w:snapToGrid w:val="0"/>
              <w:jc w:val="center"/>
              <w:rPr>
                <w:rFonts w:eastAsia="等线"/>
                <w:bCs/>
                <w:kern w:val="0"/>
                <w:sz w:val="18"/>
                <w:szCs w:val="18"/>
              </w:rPr>
            </w:pPr>
            <w:r>
              <w:rPr>
                <w:rFonts w:eastAsia="等线"/>
                <w:bCs/>
                <w:kern w:val="0"/>
                <w:sz w:val="18"/>
                <w:szCs w:val="18"/>
              </w:rPr>
              <w:t>7,211.88</w:t>
            </w:r>
          </w:p>
        </w:tc>
        <w:tc>
          <w:tcPr>
            <w:tcW w:w="5675" w:type="dxa"/>
            <w:gridSpan w:val="6"/>
            <w:vMerge w:val="restart"/>
            <w:shd w:val="clear" w:color="auto" w:fill="FFFFFF"/>
            <w:vAlign w:val="center"/>
          </w:tcPr>
          <w:p w14:paraId="5FF95FFF" w14:textId="77777777" w:rsidR="004B0883" w:rsidRDefault="004B0883">
            <w:pPr>
              <w:snapToGrid w:val="0"/>
              <w:jc w:val="center"/>
              <w:rPr>
                <w:rFonts w:eastAsia="等线"/>
                <w:bCs/>
                <w:kern w:val="0"/>
                <w:sz w:val="18"/>
                <w:szCs w:val="18"/>
              </w:rPr>
            </w:pPr>
            <w:r>
              <w:rPr>
                <w:rFonts w:eastAsia="等线"/>
                <w:bCs/>
                <w:kern w:val="0"/>
                <w:sz w:val="18"/>
                <w:szCs w:val="18"/>
              </w:rPr>
              <w:t>ic=12%</w:t>
            </w:r>
          </w:p>
        </w:tc>
      </w:tr>
      <w:tr w:rsidR="004B0883" w14:paraId="2AF6DBCB" w14:textId="77777777">
        <w:trPr>
          <w:trHeight w:val="397"/>
          <w:jc w:val="center"/>
        </w:trPr>
        <w:tc>
          <w:tcPr>
            <w:tcW w:w="1845" w:type="dxa"/>
            <w:gridSpan w:val="2"/>
            <w:shd w:val="clear" w:color="auto" w:fill="FFFFFF"/>
            <w:tcMar>
              <w:top w:w="0" w:type="dxa"/>
              <w:left w:w="30" w:type="dxa"/>
              <w:bottom w:w="0" w:type="dxa"/>
              <w:right w:w="30" w:type="dxa"/>
            </w:tcMar>
          </w:tcPr>
          <w:p w14:paraId="6AA98215" w14:textId="77777777" w:rsidR="004B0883" w:rsidRDefault="004B0883">
            <w:pPr>
              <w:snapToGrid w:val="0"/>
              <w:jc w:val="center"/>
              <w:rPr>
                <w:rFonts w:hint="eastAsia"/>
                <w:bCs/>
                <w:kern w:val="0"/>
                <w:sz w:val="18"/>
                <w:szCs w:val="18"/>
              </w:rPr>
            </w:pPr>
            <w:r>
              <w:rPr>
                <w:rFonts w:hint="eastAsia"/>
                <w:bCs/>
                <w:kern w:val="0"/>
                <w:sz w:val="18"/>
                <w:szCs w:val="18"/>
              </w:rPr>
              <w:t>项目投资财务内部收益率</w:t>
            </w:r>
            <w:r>
              <w:rPr>
                <w:bCs/>
                <w:kern w:val="0"/>
                <w:sz w:val="18"/>
                <w:szCs w:val="18"/>
              </w:rPr>
              <w:t>FIRR</w:t>
            </w:r>
          </w:p>
        </w:tc>
        <w:tc>
          <w:tcPr>
            <w:tcW w:w="1889" w:type="dxa"/>
            <w:gridSpan w:val="2"/>
            <w:shd w:val="clear" w:color="auto" w:fill="FFFFFF"/>
            <w:vAlign w:val="center"/>
          </w:tcPr>
          <w:p w14:paraId="03F0459C" w14:textId="77777777" w:rsidR="004B0883" w:rsidRDefault="004B0883">
            <w:pPr>
              <w:snapToGrid w:val="0"/>
              <w:jc w:val="center"/>
              <w:rPr>
                <w:rFonts w:eastAsia="等线"/>
                <w:bCs/>
                <w:kern w:val="0"/>
                <w:sz w:val="18"/>
                <w:szCs w:val="18"/>
              </w:rPr>
            </w:pPr>
            <w:r>
              <w:rPr>
                <w:rFonts w:eastAsia="等线"/>
                <w:bCs/>
                <w:kern w:val="0"/>
                <w:sz w:val="18"/>
                <w:szCs w:val="18"/>
              </w:rPr>
              <w:t>19.97%</w:t>
            </w:r>
          </w:p>
        </w:tc>
        <w:tc>
          <w:tcPr>
            <w:tcW w:w="1891" w:type="dxa"/>
            <w:gridSpan w:val="2"/>
            <w:shd w:val="clear" w:color="auto" w:fill="FFFFFF"/>
            <w:vAlign w:val="center"/>
          </w:tcPr>
          <w:p w14:paraId="33AB2D51" w14:textId="77777777" w:rsidR="004B0883" w:rsidRDefault="004B0883">
            <w:pPr>
              <w:snapToGrid w:val="0"/>
              <w:jc w:val="center"/>
              <w:rPr>
                <w:rFonts w:eastAsia="等线"/>
                <w:bCs/>
                <w:kern w:val="0"/>
                <w:sz w:val="18"/>
                <w:szCs w:val="18"/>
              </w:rPr>
            </w:pPr>
            <w:r>
              <w:rPr>
                <w:rFonts w:eastAsia="等线"/>
                <w:bCs/>
                <w:kern w:val="0"/>
                <w:sz w:val="18"/>
                <w:szCs w:val="18"/>
              </w:rPr>
              <w:t>17.32%</w:t>
            </w:r>
          </w:p>
        </w:tc>
        <w:tc>
          <w:tcPr>
            <w:tcW w:w="5675" w:type="dxa"/>
            <w:gridSpan w:val="6"/>
            <w:vMerge/>
            <w:shd w:val="clear" w:color="auto" w:fill="FFFFFF"/>
            <w:vAlign w:val="center"/>
          </w:tcPr>
          <w:p w14:paraId="48F64661" w14:textId="77777777" w:rsidR="004B0883" w:rsidRDefault="004B0883">
            <w:pPr>
              <w:snapToGrid w:val="0"/>
              <w:jc w:val="right"/>
              <w:rPr>
                <w:rFonts w:eastAsia="等线"/>
                <w:bCs/>
                <w:kern w:val="0"/>
                <w:sz w:val="15"/>
                <w:szCs w:val="15"/>
              </w:rPr>
            </w:pPr>
          </w:p>
        </w:tc>
      </w:tr>
      <w:tr w:rsidR="004B0883" w14:paraId="061D9425" w14:textId="77777777">
        <w:trPr>
          <w:trHeight w:val="397"/>
          <w:jc w:val="center"/>
        </w:trPr>
        <w:tc>
          <w:tcPr>
            <w:tcW w:w="1845" w:type="dxa"/>
            <w:gridSpan w:val="2"/>
            <w:shd w:val="clear" w:color="auto" w:fill="FFFFFF"/>
            <w:tcMar>
              <w:top w:w="0" w:type="dxa"/>
              <w:left w:w="30" w:type="dxa"/>
              <w:bottom w:w="0" w:type="dxa"/>
              <w:right w:w="30" w:type="dxa"/>
            </w:tcMar>
          </w:tcPr>
          <w:p w14:paraId="5B5ACB71" w14:textId="77777777" w:rsidR="004B0883" w:rsidRDefault="004B0883">
            <w:pPr>
              <w:snapToGrid w:val="0"/>
              <w:jc w:val="center"/>
              <w:rPr>
                <w:bCs/>
                <w:kern w:val="0"/>
                <w:sz w:val="18"/>
                <w:szCs w:val="18"/>
              </w:rPr>
            </w:pPr>
            <w:r>
              <w:rPr>
                <w:rFonts w:hint="eastAsia"/>
                <w:bCs/>
                <w:kern w:val="0"/>
                <w:sz w:val="18"/>
                <w:szCs w:val="18"/>
              </w:rPr>
              <w:t>项目静态投资回收期</w:t>
            </w:r>
            <w:r>
              <w:rPr>
                <w:bCs/>
                <w:kern w:val="0"/>
                <w:sz w:val="18"/>
                <w:szCs w:val="18"/>
              </w:rPr>
              <w:t>Pt</w:t>
            </w:r>
            <w:r>
              <w:rPr>
                <w:bCs/>
                <w:kern w:val="0"/>
                <w:sz w:val="18"/>
                <w:szCs w:val="18"/>
              </w:rPr>
              <w:t>（年）</w:t>
            </w:r>
          </w:p>
        </w:tc>
        <w:tc>
          <w:tcPr>
            <w:tcW w:w="1889" w:type="dxa"/>
            <w:gridSpan w:val="2"/>
            <w:shd w:val="clear" w:color="auto" w:fill="FFFFFF"/>
            <w:vAlign w:val="center"/>
          </w:tcPr>
          <w:p w14:paraId="453B9FF1" w14:textId="77777777" w:rsidR="004B0883" w:rsidRDefault="004B0883">
            <w:pPr>
              <w:snapToGrid w:val="0"/>
              <w:jc w:val="center"/>
              <w:rPr>
                <w:rFonts w:eastAsia="等线"/>
                <w:bCs/>
                <w:kern w:val="0"/>
                <w:sz w:val="18"/>
                <w:szCs w:val="18"/>
              </w:rPr>
            </w:pPr>
            <w:r>
              <w:rPr>
                <w:rFonts w:eastAsia="等线"/>
                <w:bCs/>
                <w:kern w:val="0"/>
                <w:sz w:val="18"/>
                <w:szCs w:val="18"/>
              </w:rPr>
              <w:t>7.08</w:t>
            </w:r>
          </w:p>
        </w:tc>
        <w:tc>
          <w:tcPr>
            <w:tcW w:w="1891" w:type="dxa"/>
            <w:gridSpan w:val="2"/>
            <w:shd w:val="clear" w:color="auto" w:fill="FFFFFF"/>
            <w:vAlign w:val="center"/>
          </w:tcPr>
          <w:p w14:paraId="1B73BDFD" w14:textId="77777777" w:rsidR="004B0883" w:rsidRDefault="004B0883">
            <w:pPr>
              <w:snapToGrid w:val="0"/>
              <w:jc w:val="center"/>
              <w:rPr>
                <w:rFonts w:eastAsia="等线"/>
                <w:bCs/>
                <w:kern w:val="0"/>
                <w:sz w:val="18"/>
                <w:szCs w:val="18"/>
              </w:rPr>
            </w:pPr>
            <w:r>
              <w:rPr>
                <w:rFonts w:eastAsia="等线"/>
                <w:bCs/>
                <w:kern w:val="0"/>
                <w:sz w:val="18"/>
                <w:szCs w:val="18"/>
              </w:rPr>
              <w:t>7.58</w:t>
            </w:r>
          </w:p>
        </w:tc>
        <w:tc>
          <w:tcPr>
            <w:tcW w:w="5675" w:type="dxa"/>
            <w:gridSpan w:val="6"/>
            <w:vMerge/>
            <w:shd w:val="clear" w:color="auto" w:fill="FFFFFF"/>
            <w:vAlign w:val="center"/>
          </w:tcPr>
          <w:p w14:paraId="424C59CB" w14:textId="77777777" w:rsidR="004B0883" w:rsidRDefault="004B0883">
            <w:pPr>
              <w:snapToGrid w:val="0"/>
              <w:jc w:val="right"/>
              <w:rPr>
                <w:rFonts w:eastAsia="等线"/>
                <w:bCs/>
                <w:kern w:val="0"/>
                <w:sz w:val="15"/>
                <w:szCs w:val="15"/>
              </w:rPr>
            </w:pPr>
          </w:p>
        </w:tc>
      </w:tr>
    </w:tbl>
    <w:p w14:paraId="37C90949" w14:textId="77777777" w:rsidR="004B0883" w:rsidRDefault="004B0883">
      <w:pPr>
        <w:keepNext/>
        <w:keepLines/>
        <w:widowControl w:val="0"/>
        <w:spacing w:beforeLines="50" w:before="120" w:line="360" w:lineRule="auto"/>
        <w:ind w:firstLineChars="200" w:firstLine="480"/>
        <w:jc w:val="both"/>
        <w:outlineLvl w:val="4"/>
        <w:rPr>
          <w:sz w:val="24"/>
          <w:szCs w:val="22"/>
        </w:rPr>
      </w:pPr>
      <w:r>
        <w:rPr>
          <w:rFonts w:hint="eastAsia"/>
          <w:sz w:val="24"/>
          <w:szCs w:val="22"/>
        </w:rPr>
        <w:t>（</w:t>
      </w:r>
      <w:r>
        <w:rPr>
          <w:rFonts w:hint="eastAsia"/>
          <w:sz w:val="24"/>
          <w:szCs w:val="22"/>
        </w:rPr>
        <w:t>1</w:t>
      </w:r>
      <w:r>
        <w:rPr>
          <w:rFonts w:hint="eastAsia"/>
          <w:sz w:val="24"/>
          <w:szCs w:val="22"/>
        </w:rPr>
        <w:t>）营业收入</w:t>
      </w:r>
    </w:p>
    <w:p w14:paraId="3676180D" w14:textId="77777777" w:rsidR="004B0883" w:rsidRDefault="004B0883">
      <w:pPr>
        <w:pStyle w:val="009"/>
        <w:rPr>
          <w:rFonts w:hint="eastAsia"/>
        </w:rPr>
      </w:pPr>
      <w:r>
        <w:t>单位：万元</w:t>
      </w:r>
    </w:p>
    <w:tbl>
      <w:tblPr>
        <w:tblW w:w="675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ook w:val="0000" w:firstRow="0" w:lastRow="0" w:firstColumn="0" w:lastColumn="0" w:noHBand="0" w:noVBand="0"/>
      </w:tblPr>
      <w:tblGrid>
        <w:gridCol w:w="421"/>
        <w:gridCol w:w="1369"/>
        <w:gridCol w:w="910"/>
        <w:gridCol w:w="910"/>
        <w:gridCol w:w="946"/>
        <w:gridCol w:w="946"/>
        <w:gridCol w:w="946"/>
        <w:gridCol w:w="946"/>
        <w:gridCol w:w="946"/>
        <w:gridCol w:w="946"/>
        <w:gridCol w:w="946"/>
        <w:gridCol w:w="946"/>
      </w:tblGrid>
      <w:tr w:rsidR="004B0883" w14:paraId="7B69836C" w14:textId="77777777">
        <w:trPr>
          <w:trHeight w:val="397"/>
          <w:tblHeader/>
          <w:jc w:val="center"/>
        </w:trPr>
        <w:tc>
          <w:tcPr>
            <w:tcW w:w="11300" w:type="dxa"/>
            <w:gridSpan w:val="12"/>
            <w:shd w:val="clear" w:color="auto" w:fill="D9D9D9"/>
            <w:tcMar>
              <w:top w:w="0" w:type="dxa"/>
              <w:left w:w="30" w:type="dxa"/>
              <w:bottom w:w="0" w:type="dxa"/>
              <w:right w:w="30" w:type="dxa"/>
            </w:tcMar>
            <w:vAlign w:val="center"/>
          </w:tcPr>
          <w:p w14:paraId="6B857F17" w14:textId="77777777" w:rsidR="004B0883" w:rsidRDefault="004B0883">
            <w:pPr>
              <w:widowControl w:val="0"/>
              <w:jc w:val="center"/>
              <w:rPr>
                <w:b/>
                <w:bCs/>
                <w:color w:val="333333"/>
                <w:sz w:val="18"/>
                <w:szCs w:val="18"/>
              </w:rPr>
            </w:pPr>
            <w:r>
              <w:rPr>
                <w:rFonts w:hint="eastAsia"/>
                <w:b/>
                <w:bCs/>
                <w:color w:val="333333"/>
                <w:sz w:val="18"/>
                <w:szCs w:val="18"/>
              </w:rPr>
              <w:t>营业收入、税金及附加和增值税估算表</w:t>
            </w:r>
          </w:p>
        </w:tc>
      </w:tr>
      <w:tr w:rsidR="004B0883" w14:paraId="3764569B" w14:textId="77777777">
        <w:trPr>
          <w:trHeight w:val="397"/>
          <w:tblHeader/>
          <w:jc w:val="center"/>
        </w:trPr>
        <w:tc>
          <w:tcPr>
            <w:tcW w:w="430" w:type="dxa"/>
            <w:vMerge w:val="restart"/>
            <w:shd w:val="clear" w:color="auto" w:fill="D9D9D9"/>
            <w:tcMar>
              <w:top w:w="0" w:type="dxa"/>
              <w:left w:w="30" w:type="dxa"/>
              <w:bottom w:w="0" w:type="dxa"/>
              <w:right w:w="30" w:type="dxa"/>
            </w:tcMar>
            <w:vAlign w:val="center"/>
          </w:tcPr>
          <w:p w14:paraId="19E3BFFF" w14:textId="77777777" w:rsidR="004B0883" w:rsidRDefault="004B0883">
            <w:pPr>
              <w:widowControl w:val="0"/>
              <w:jc w:val="center"/>
              <w:rPr>
                <w:b/>
                <w:bCs/>
                <w:color w:val="333333"/>
              </w:rPr>
            </w:pPr>
            <w:r>
              <w:rPr>
                <w:rFonts w:hint="eastAsia"/>
                <w:b/>
                <w:bCs/>
                <w:color w:val="333333"/>
                <w:sz w:val="18"/>
                <w:szCs w:val="18"/>
              </w:rPr>
              <w:t>序号</w:t>
            </w:r>
          </w:p>
        </w:tc>
        <w:tc>
          <w:tcPr>
            <w:tcW w:w="1411" w:type="dxa"/>
            <w:vMerge w:val="restart"/>
            <w:shd w:val="clear" w:color="auto" w:fill="D9D9D9"/>
            <w:vAlign w:val="center"/>
          </w:tcPr>
          <w:p w14:paraId="5149538E" w14:textId="77777777" w:rsidR="004B0883" w:rsidRDefault="004B0883">
            <w:pPr>
              <w:widowControl w:val="0"/>
              <w:jc w:val="center"/>
              <w:rPr>
                <w:b/>
                <w:bCs/>
                <w:color w:val="333333"/>
                <w:sz w:val="18"/>
                <w:szCs w:val="18"/>
              </w:rPr>
            </w:pPr>
            <w:r>
              <w:rPr>
                <w:rFonts w:hint="eastAsia"/>
                <w:b/>
                <w:bCs/>
                <w:color w:val="333333"/>
                <w:sz w:val="18"/>
                <w:szCs w:val="18"/>
              </w:rPr>
              <w:t>项目</w:t>
            </w:r>
          </w:p>
        </w:tc>
        <w:tc>
          <w:tcPr>
            <w:tcW w:w="4724" w:type="dxa"/>
            <w:gridSpan w:val="5"/>
            <w:shd w:val="clear" w:color="auto" w:fill="D9D9D9"/>
            <w:vAlign w:val="center"/>
          </w:tcPr>
          <w:p w14:paraId="05175817" w14:textId="77777777" w:rsidR="004B0883" w:rsidRDefault="004B0883">
            <w:pPr>
              <w:widowControl w:val="0"/>
              <w:jc w:val="center"/>
              <w:rPr>
                <w:b/>
                <w:bCs/>
                <w:color w:val="333333"/>
                <w:sz w:val="18"/>
                <w:szCs w:val="18"/>
              </w:rPr>
            </w:pPr>
            <w:r>
              <w:rPr>
                <w:rFonts w:hint="eastAsia"/>
                <w:b/>
                <w:bCs/>
                <w:color w:val="333333"/>
                <w:sz w:val="18"/>
                <w:szCs w:val="18"/>
              </w:rPr>
              <w:t>建设期</w:t>
            </w:r>
          </w:p>
        </w:tc>
        <w:tc>
          <w:tcPr>
            <w:tcW w:w="4735" w:type="dxa"/>
            <w:gridSpan w:val="5"/>
            <w:shd w:val="clear" w:color="auto" w:fill="D9D9D9"/>
            <w:vAlign w:val="center"/>
          </w:tcPr>
          <w:p w14:paraId="6B9B143D" w14:textId="77777777" w:rsidR="004B0883" w:rsidRDefault="004B0883">
            <w:pPr>
              <w:widowControl w:val="0"/>
              <w:jc w:val="center"/>
              <w:rPr>
                <w:b/>
                <w:bCs/>
                <w:color w:val="333333"/>
                <w:sz w:val="18"/>
                <w:szCs w:val="18"/>
              </w:rPr>
            </w:pPr>
            <w:r>
              <w:rPr>
                <w:rFonts w:hint="eastAsia"/>
                <w:b/>
                <w:bCs/>
                <w:color w:val="333333"/>
                <w:sz w:val="18"/>
                <w:szCs w:val="18"/>
              </w:rPr>
              <w:t>运营期</w:t>
            </w:r>
          </w:p>
        </w:tc>
      </w:tr>
      <w:tr w:rsidR="004B0883" w14:paraId="6DA19CD4" w14:textId="77777777">
        <w:trPr>
          <w:trHeight w:val="397"/>
          <w:tblHeader/>
          <w:jc w:val="center"/>
        </w:trPr>
        <w:tc>
          <w:tcPr>
            <w:tcW w:w="430" w:type="dxa"/>
            <w:vMerge/>
            <w:shd w:val="clear" w:color="auto" w:fill="D9D9D9"/>
            <w:tcMar>
              <w:top w:w="0" w:type="dxa"/>
              <w:left w:w="30" w:type="dxa"/>
              <w:bottom w:w="0" w:type="dxa"/>
              <w:right w:w="30" w:type="dxa"/>
            </w:tcMar>
            <w:vAlign w:val="center"/>
          </w:tcPr>
          <w:p w14:paraId="1F5B4842" w14:textId="77777777" w:rsidR="004B0883" w:rsidRDefault="004B0883">
            <w:pPr>
              <w:widowControl w:val="0"/>
              <w:jc w:val="center"/>
              <w:rPr>
                <w:b/>
                <w:bCs/>
                <w:color w:val="333333"/>
              </w:rPr>
            </w:pPr>
          </w:p>
        </w:tc>
        <w:tc>
          <w:tcPr>
            <w:tcW w:w="1411" w:type="dxa"/>
            <w:vMerge/>
            <w:shd w:val="clear" w:color="auto" w:fill="D9D9D9"/>
            <w:vAlign w:val="center"/>
          </w:tcPr>
          <w:p w14:paraId="0BEFDE8D" w14:textId="77777777" w:rsidR="004B0883" w:rsidRDefault="004B0883">
            <w:pPr>
              <w:widowControl w:val="0"/>
              <w:jc w:val="center"/>
              <w:rPr>
                <w:b/>
                <w:bCs/>
                <w:color w:val="333333"/>
                <w:sz w:val="18"/>
                <w:szCs w:val="18"/>
              </w:rPr>
            </w:pPr>
          </w:p>
        </w:tc>
        <w:tc>
          <w:tcPr>
            <w:tcW w:w="941" w:type="dxa"/>
            <w:shd w:val="clear" w:color="auto" w:fill="D9D9D9"/>
            <w:vAlign w:val="center"/>
          </w:tcPr>
          <w:p w14:paraId="0C398125" w14:textId="77777777" w:rsidR="004B0883" w:rsidRDefault="004B0883">
            <w:pPr>
              <w:widowControl w:val="0"/>
              <w:jc w:val="center"/>
              <w:rPr>
                <w:b/>
                <w:bCs/>
                <w:color w:val="333333"/>
                <w:sz w:val="18"/>
                <w:szCs w:val="18"/>
              </w:rPr>
            </w:pPr>
            <w:r>
              <w:rPr>
                <w:rFonts w:hint="eastAsia"/>
                <w:b/>
                <w:bCs/>
                <w:color w:val="333333"/>
                <w:sz w:val="18"/>
                <w:szCs w:val="18"/>
              </w:rPr>
              <w:t>第</w:t>
            </w:r>
            <w:r>
              <w:rPr>
                <w:b/>
                <w:bCs/>
                <w:color w:val="333333"/>
                <w:sz w:val="18"/>
                <w:szCs w:val="18"/>
              </w:rPr>
              <w:t>1</w:t>
            </w:r>
            <w:r>
              <w:rPr>
                <w:b/>
                <w:bCs/>
                <w:color w:val="333333"/>
                <w:sz w:val="18"/>
                <w:szCs w:val="18"/>
              </w:rPr>
              <w:t>年</w:t>
            </w:r>
          </w:p>
        </w:tc>
        <w:tc>
          <w:tcPr>
            <w:tcW w:w="942" w:type="dxa"/>
            <w:shd w:val="clear" w:color="auto" w:fill="D9D9D9"/>
            <w:vAlign w:val="center"/>
          </w:tcPr>
          <w:p w14:paraId="151C2B95"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2</w:t>
            </w:r>
            <w:r>
              <w:rPr>
                <w:b/>
                <w:bCs/>
                <w:color w:val="333333"/>
                <w:sz w:val="18"/>
                <w:szCs w:val="18"/>
              </w:rPr>
              <w:t>年</w:t>
            </w:r>
          </w:p>
        </w:tc>
        <w:tc>
          <w:tcPr>
            <w:tcW w:w="947" w:type="dxa"/>
            <w:shd w:val="clear" w:color="auto" w:fill="D9D9D9"/>
            <w:vAlign w:val="center"/>
          </w:tcPr>
          <w:p w14:paraId="74C09D03"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3</w:t>
            </w:r>
            <w:r>
              <w:rPr>
                <w:b/>
                <w:bCs/>
                <w:color w:val="333333"/>
                <w:sz w:val="18"/>
                <w:szCs w:val="18"/>
              </w:rPr>
              <w:t>年</w:t>
            </w:r>
          </w:p>
        </w:tc>
        <w:tc>
          <w:tcPr>
            <w:tcW w:w="947" w:type="dxa"/>
            <w:shd w:val="clear" w:color="auto" w:fill="D9D9D9"/>
            <w:vAlign w:val="center"/>
          </w:tcPr>
          <w:p w14:paraId="1C546A89"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4</w:t>
            </w:r>
            <w:r>
              <w:rPr>
                <w:b/>
                <w:bCs/>
                <w:color w:val="333333"/>
                <w:sz w:val="18"/>
                <w:szCs w:val="18"/>
              </w:rPr>
              <w:t>年</w:t>
            </w:r>
          </w:p>
        </w:tc>
        <w:tc>
          <w:tcPr>
            <w:tcW w:w="947" w:type="dxa"/>
            <w:shd w:val="clear" w:color="auto" w:fill="D9D9D9"/>
            <w:vAlign w:val="center"/>
          </w:tcPr>
          <w:p w14:paraId="6D87D9B7"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5</w:t>
            </w:r>
            <w:r>
              <w:rPr>
                <w:b/>
                <w:bCs/>
                <w:color w:val="333333"/>
                <w:sz w:val="18"/>
                <w:szCs w:val="18"/>
              </w:rPr>
              <w:t>年</w:t>
            </w:r>
          </w:p>
        </w:tc>
        <w:tc>
          <w:tcPr>
            <w:tcW w:w="947" w:type="dxa"/>
            <w:shd w:val="clear" w:color="auto" w:fill="D9D9D9"/>
            <w:vAlign w:val="center"/>
          </w:tcPr>
          <w:p w14:paraId="0FB83A6B"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6</w:t>
            </w:r>
            <w:r>
              <w:rPr>
                <w:b/>
                <w:bCs/>
                <w:color w:val="333333"/>
                <w:sz w:val="18"/>
                <w:szCs w:val="18"/>
              </w:rPr>
              <w:t>年</w:t>
            </w:r>
          </w:p>
        </w:tc>
        <w:tc>
          <w:tcPr>
            <w:tcW w:w="947" w:type="dxa"/>
            <w:shd w:val="clear" w:color="auto" w:fill="D9D9D9"/>
            <w:vAlign w:val="center"/>
          </w:tcPr>
          <w:p w14:paraId="29A5D4F1"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7</w:t>
            </w:r>
            <w:r>
              <w:rPr>
                <w:b/>
                <w:bCs/>
                <w:color w:val="333333"/>
                <w:sz w:val="18"/>
                <w:szCs w:val="18"/>
              </w:rPr>
              <w:t>年</w:t>
            </w:r>
          </w:p>
        </w:tc>
        <w:tc>
          <w:tcPr>
            <w:tcW w:w="947" w:type="dxa"/>
            <w:shd w:val="clear" w:color="auto" w:fill="D9D9D9"/>
            <w:vAlign w:val="center"/>
          </w:tcPr>
          <w:p w14:paraId="59E6F29F"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8</w:t>
            </w:r>
            <w:r>
              <w:rPr>
                <w:b/>
                <w:bCs/>
                <w:color w:val="333333"/>
                <w:sz w:val="18"/>
                <w:szCs w:val="18"/>
              </w:rPr>
              <w:t>年</w:t>
            </w:r>
          </w:p>
        </w:tc>
        <w:tc>
          <w:tcPr>
            <w:tcW w:w="947" w:type="dxa"/>
            <w:shd w:val="clear" w:color="auto" w:fill="D9D9D9"/>
            <w:vAlign w:val="center"/>
          </w:tcPr>
          <w:p w14:paraId="0BF6AC22"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9</w:t>
            </w:r>
            <w:r>
              <w:rPr>
                <w:b/>
                <w:bCs/>
                <w:color w:val="333333"/>
                <w:sz w:val="18"/>
                <w:szCs w:val="18"/>
              </w:rPr>
              <w:t>年</w:t>
            </w:r>
          </w:p>
        </w:tc>
        <w:tc>
          <w:tcPr>
            <w:tcW w:w="947" w:type="dxa"/>
            <w:shd w:val="clear" w:color="auto" w:fill="D9D9D9"/>
            <w:vAlign w:val="center"/>
          </w:tcPr>
          <w:p w14:paraId="11365D2F"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10</w:t>
            </w:r>
            <w:r>
              <w:rPr>
                <w:b/>
                <w:bCs/>
                <w:color w:val="333333"/>
                <w:sz w:val="18"/>
                <w:szCs w:val="18"/>
              </w:rPr>
              <w:t>年</w:t>
            </w:r>
          </w:p>
        </w:tc>
      </w:tr>
      <w:tr w:rsidR="004B0883" w14:paraId="03AE29F0" w14:textId="77777777">
        <w:trPr>
          <w:trHeight w:val="397"/>
          <w:jc w:val="center"/>
        </w:trPr>
        <w:tc>
          <w:tcPr>
            <w:tcW w:w="430" w:type="dxa"/>
            <w:shd w:val="clear" w:color="auto" w:fill="FFFFFF"/>
            <w:tcMar>
              <w:top w:w="0" w:type="dxa"/>
              <w:left w:w="30" w:type="dxa"/>
              <w:bottom w:w="0" w:type="dxa"/>
              <w:right w:w="30" w:type="dxa"/>
            </w:tcMar>
            <w:vAlign w:val="center"/>
          </w:tcPr>
          <w:p w14:paraId="6C0A592A" w14:textId="77777777" w:rsidR="004B0883" w:rsidRDefault="004B0883">
            <w:pPr>
              <w:snapToGrid w:val="0"/>
              <w:jc w:val="center"/>
              <w:rPr>
                <w:rFonts w:eastAsia="等线"/>
                <w:bCs/>
                <w:kern w:val="0"/>
                <w:sz w:val="18"/>
                <w:szCs w:val="18"/>
              </w:rPr>
            </w:pPr>
          </w:p>
        </w:tc>
        <w:tc>
          <w:tcPr>
            <w:tcW w:w="1411" w:type="dxa"/>
            <w:shd w:val="clear" w:color="auto" w:fill="FFFFFF"/>
            <w:vAlign w:val="center"/>
          </w:tcPr>
          <w:p w14:paraId="640B8CAD" w14:textId="77777777" w:rsidR="004B0883" w:rsidRDefault="004B0883">
            <w:pPr>
              <w:snapToGrid w:val="0"/>
              <w:jc w:val="center"/>
              <w:rPr>
                <w:bCs/>
                <w:kern w:val="0"/>
                <w:sz w:val="18"/>
                <w:szCs w:val="24"/>
              </w:rPr>
            </w:pPr>
            <w:r>
              <w:rPr>
                <w:rFonts w:hint="eastAsia"/>
                <w:bCs/>
                <w:kern w:val="0"/>
                <w:sz w:val="18"/>
                <w:szCs w:val="24"/>
              </w:rPr>
              <w:t>生产负荷</w:t>
            </w:r>
          </w:p>
        </w:tc>
        <w:tc>
          <w:tcPr>
            <w:tcW w:w="941" w:type="dxa"/>
            <w:shd w:val="clear" w:color="auto" w:fill="FFFFFF"/>
            <w:vAlign w:val="center"/>
          </w:tcPr>
          <w:p w14:paraId="2A20C2C2" w14:textId="77777777" w:rsidR="004B0883" w:rsidRDefault="004B0883">
            <w:pPr>
              <w:snapToGrid w:val="0"/>
              <w:jc w:val="right"/>
              <w:rPr>
                <w:rFonts w:eastAsia="等线"/>
                <w:bCs/>
                <w:kern w:val="0"/>
                <w:sz w:val="18"/>
                <w:szCs w:val="18"/>
              </w:rPr>
            </w:pPr>
            <w:r>
              <w:rPr>
                <w:rFonts w:eastAsia="等线"/>
                <w:bCs/>
                <w:kern w:val="0"/>
                <w:sz w:val="18"/>
                <w:szCs w:val="18"/>
              </w:rPr>
              <w:t>0%</w:t>
            </w:r>
          </w:p>
        </w:tc>
        <w:tc>
          <w:tcPr>
            <w:tcW w:w="942" w:type="dxa"/>
            <w:shd w:val="clear" w:color="auto" w:fill="FFFFFF"/>
            <w:vAlign w:val="center"/>
          </w:tcPr>
          <w:p w14:paraId="45DC5442" w14:textId="77777777" w:rsidR="004B0883" w:rsidRDefault="004B0883">
            <w:pPr>
              <w:snapToGrid w:val="0"/>
              <w:jc w:val="right"/>
              <w:rPr>
                <w:rFonts w:eastAsia="等线"/>
                <w:bCs/>
                <w:kern w:val="0"/>
                <w:sz w:val="18"/>
                <w:szCs w:val="18"/>
              </w:rPr>
            </w:pPr>
            <w:r>
              <w:rPr>
                <w:rFonts w:eastAsia="等线"/>
                <w:bCs/>
                <w:kern w:val="0"/>
                <w:sz w:val="18"/>
                <w:szCs w:val="18"/>
              </w:rPr>
              <w:t>0%</w:t>
            </w:r>
          </w:p>
        </w:tc>
        <w:tc>
          <w:tcPr>
            <w:tcW w:w="947" w:type="dxa"/>
            <w:shd w:val="clear" w:color="auto" w:fill="FFFFFF"/>
            <w:vAlign w:val="center"/>
          </w:tcPr>
          <w:p w14:paraId="30994244" w14:textId="77777777" w:rsidR="004B0883" w:rsidRDefault="004B0883">
            <w:pPr>
              <w:snapToGrid w:val="0"/>
              <w:jc w:val="right"/>
              <w:rPr>
                <w:rFonts w:eastAsia="等线"/>
                <w:bCs/>
                <w:kern w:val="0"/>
                <w:sz w:val="18"/>
                <w:szCs w:val="18"/>
              </w:rPr>
            </w:pPr>
            <w:r>
              <w:rPr>
                <w:rFonts w:eastAsia="等线"/>
                <w:bCs/>
                <w:kern w:val="0"/>
                <w:sz w:val="18"/>
                <w:szCs w:val="18"/>
              </w:rPr>
              <w:t>30%</w:t>
            </w:r>
          </w:p>
        </w:tc>
        <w:tc>
          <w:tcPr>
            <w:tcW w:w="947" w:type="dxa"/>
            <w:shd w:val="clear" w:color="auto" w:fill="FFFFFF"/>
            <w:vAlign w:val="center"/>
          </w:tcPr>
          <w:p w14:paraId="028FFFD3" w14:textId="77777777" w:rsidR="004B0883" w:rsidRDefault="004B0883">
            <w:pPr>
              <w:snapToGrid w:val="0"/>
              <w:jc w:val="right"/>
              <w:rPr>
                <w:rFonts w:eastAsia="等线"/>
                <w:bCs/>
                <w:kern w:val="0"/>
                <w:sz w:val="18"/>
                <w:szCs w:val="18"/>
              </w:rPr>
            </w:pPr>
            <w:r>
              <w:rPr>
                <w:rFonts w:eastAsia="等线"/>
                <w:bCs/>
                <w:kern w:val="0"/>
                <w:sz w:val="18"/>
                <w:szCs w:val="18"/>
              </w:rPr>
              <w:t>50%</w:t>
            </w:r>
          </w:p>
        </w:tc>
        <w:tc>
          <w:tcPr>
            <w:tcW w:w="947" w:type="dxa"/>
            <w:shd w:val="clear" w:color="auto" w:fill="FFFFFF"/>
            <w:vAlign w:val="center"/>
          </w:tcPr>
          <w:p w14:paraId="69560250" w14:textId="77777777" w:rsidR="004B0883" w:rsidRDefault="004B0883">
            <w:pPr>
              <w:snapToGrid w:val="0"/>
              <w:jc w:val="right"/>
              <w:rPr>
                <w:rFonts w:eastAsia="等线"/>
                <w:bCs/>
                <w:kern w:val="0"/>
                <w:sz w:val="18"/>
                <w:szCs w:val="18"/>
              </w:rPr>
            </w:pPr>
            <w:r>
              <w:rPr>
                <w:rFonts w:eastAsia="等线"/>
                <w:bCs/>
                <w:kern w:val="0"/>
                <w:sz w:val="18"/>
                <w:szCs w:val="18"/>
              </w:rPr>
              <w:t>70%</w:t>
            </w:r>
          </w:p>
        </w:tc>
        <w:tc>
          <w:tcPr>
            <w:tcW w:w="947" w:type="dxa"/>
            <w:shd w:val="clear" w:color="auto" w:fill="FFFFFF"/>
            <w:vAlign w:val="center"/>
          </w:tcPr>
          <w:p w14:paraId="23A3ADE7" w14:textId="77777777" w:rsidR="004B0883" w:rsidRDefault="004B0883">
            <w:pPr>
              <w:snapToGrid w:val="0"/>
              <w:jc w:val="right"/>
              <w:rPr>
                <w:rFonts w:eastAsia="等线"/>
                <w:bCs/>
                <w:kern w:val="0"/>
                <w:sz w:val="18"/>
                <w:szCs w:val="18"/>
              </w:rPr>
            </w:pPr>
            <w:r>
              <w:rPr>
                <w:rFonts w:eastAsia="等线"/>
                <w:bCs/>
                <w:kern w:val="0"/>
                <w:sz w:val="18"/>
                <w:szCs w:val="18"/>
              </w:rPr>
              <w:t>100%</w:t>
            </w:r>
          </w:p>
        </w:tc>
        <w:tc>
          <w:tcPr>
            <w:tcW w:w="947" w:type="dxa"/>
            <w:shd w:val="clear" w:color="auto" w:fill="FFFFFF"/>
            <w:vAlign w:val="center"/>
          </w:tcPr>
          <w:p w14:paraId="5953448B" w14:textId="77777777" w:rsidR="004B0883" w:rsidRDefault="004B0883">
            <w:pPr>
              <w:snapToGrid w:val="0"/>
              <w:jc w:val="right"/>
              <w:rPr>
                <w:rFonts w:eastAsia="等线"/>
                <w:bCs/>
                <w:kern w:val="0"/>
                <w:sz w:val="18"/>
                <w:szCs w:val="18"/>
              </w:rPr>
            </w:pPr>
            <w:r>
              <w:rPr>
                <w:rFonts w:eastAsia="等线"/>
                <w:bCs/>
                <w:kern w:val="0"/>
                <w:sz w:val="18"/>
                <w:szCs w:val="18"/>
              </w:rPr>
              <w:t>100%</w:t>
            </w:r>
          </w:p>
        </w:tc>
        <w:tc>
          <w:tcPr>
            <w:tcW w:w="947" w:type="dxa"/>
            <w:shd w:val="clear" w:color="auto" w:fill="FFFFFF"/>
            <w:vAlign w:val="center"/>
          </w:tcPr>
          <w:p w14:paraId="6A79693A" w14:textId="77777777" w:rsidR="004B0883" w:rsidRDefault="004B0883">
            <w:pPr>
              <w:snapToGrid w:val="0"/>
              <w:jc w:val="right"/>
              <w:rPr>
                <w:rFonts w:eastAsia="等线"/>
                <w:bCs/>
                <w:kern w:val="0"/>
                <w:sz w:val="18"/>
                <w:szCs w:val="18"/>
              </w:rPr>
            </w:pPr>
            <w:r>
              <w:rPr>
                <w:rFonts w:eastAsia="等线"/>
                <w:bCs/>
                <w:kern w:val="0"/>
                <w:sz w:val="18"/>
                <w:szCs w:val="18"/>
              </w:rPr>
              <w:t>100%</w:t>
            </w:r>
          </w:p>
        </w:tc>
        <w:tc>
          <w:tcPr>
            <w:tcW w:w="947" w:type="dxa"/>
            <w:shd w:val="clear" w:color="auto" w:fill="FFFFFF"/>
            <w:vAlign w:val="center"/>
          </w:tcPr>
          <w:p w14:paraId="4EC6C304" w14:textId="77777777" w:rsidR="004B0883" w:rsidRDefault="004B0883">
            <w:pPr>
              <w:snapToGrid w:val="0"/>
              <w:jc w:val="right"/>
              <w:rPr>
                <w:rFonts w:eastAsia="等线"/>
                <w:bCs/>
                <w:kern w:val="0"/>
                <w:sz w:val="18"/>
                <w:szCs w:val="18"/>
              </w:rPr>
            </w:pPr>
            <w:r>
              <w:rPr>
                <w:rFonts w:eastAsia="等线"/>
                <w:bCs/>
                <w:kern w:val="0"/>
                <w:sz w:val="18"/>
                <w:szCs w:val="18"/>
              </w:rPr>
              <w:t>100%</w:t>
            </w:r>
          </w:p>
        </w:tc>
        <w:tc>
          <w:tcPr>
            <w:tcW w:w="947" w:type="dxa"/>
            <w:shd w:val="clear" w:color="auto" w:fill="FFFFFF"/>
            <w:vAlign w:val="center"/>
          </w:tcPr>
          <w:p w14:paraId="3A344E57" w14:textId="77777777" w:rsidR="004B0883" w:rsidRDefault="004B0883">
            <w:pPr>
              <w:snapToGrid w:val="0"/>
              <w:jc w:val="right"/>
              <w:rPr>
                <w:rFonts w:eastAsia="等线"/>
                <w:bCs/>
                <w:kern w:val="0"/>
                <w:sz w:val="18"/>
                <w:szCs w:val="18"/>
              </w:rPr>
            </w:pPr>
            <w:r>
              <w:rPr>
                <w:rFonts w:eastAsia="等线"/>
                <w:bCs/>
                <w:kern w:val="0"/>
                <w:sz w:val="18"/>
                <w:szCs w:val="18"/>
              </w:rPr>
              <w:t>100%</w:t>
            </w:r>
          </w:p>
        </w:tc>
      </w:tr>
      <w:tr w:rsidR="004B0883" w14:paraId="6323F580" w14:textId="77777777">
        <w:trPr>
          <w:trHeight w:val="397"/>
          <w:jc w:val="center"/>
        </w:trPr>
        <w:tc>
          <w:tcPr>
            <w:tcW w:w="430" w:type="dxa"/>
            <w:shd w:val="clear" w:color="auto" w:fill="FFFFFF"/>
            <w:tcMar>
              <w:top w:w="0" w:type="dxa"/>
              <w:left w:w="30" w:type="dxa"/>
              <w:bottom w:w="0" w:type="dxa"/>
              <w:right w:w="30" w:type="dxa"/>
            </w:tcMar>
            <w:vAlign w:val="center"/>
          </w:tcPr>
          <w:p w14:paraId="4B8B96DB" w14:textId="77777777" w:rsidR="004B0883" w:rsidRDefault="004B0883">
            <w:pPr>
              <w:snapToGrid w:val="0"/>
              <w:jc w:val="center"/>
              <w:rPr>
                <w:rFonts w:eastAsia="等线"/>
                <w:b/>
                <w:kern w:val="0"/>
                <w:sz w:val="18"/>
                <w:szCs w:val="18"/>
              </w:rPr>
            </w:pPr>
            <w:r>
              <w:rPr>
                <w:rFonts w:eastAsia="等线"/>
                <w:b/>
                <w:kern w:val="0"/>
                <w:sz w:val="18"/>
                <w:szCs w:val="18"/>
              </w:rPr>
              <w:t>1</w:t>
            </w:r>
          </w:p>
        </w:tc>
        <w:tc>
          <w:tcPr>
            <w:tcW w:w="1411" w:type="dxa"/>
            <w:shd w:val="clear" w:color="auto" w:fill="FFFFFF"/>
            <w:vAlign w:val="center"/>
          </w:tcPr>
          <w:p w14:paraId="45273204" w14:textId="77777777" w:rsidR="004B0883" w:rsidRDefault="004B0883">
            <w:pPr>
              <w:snapToGrid w:val="0"/>
              <w:jc w:val="center"/>
              <w:rPr>
                <w:b/>
                <w:kern w:val="0"/>
                <w:sz w:val="18"/>
                <w:szCs w:val="24"/>
              </w:rPr>
            </w:pPr>
            <w:r>
              <w:rPr>
                <w:rFonts w:hint="eastAsia"/>
                <w:b/>
                <w:kern w:val="0"/>
                <w:sz w:val="18"/>
                <w:szCs w:val="24"/>
              </w:rPr>
              <w:t>营业收入</w:t>
            </w:r>
          </w:p>
        </w:tc>
        <w:tc>
          <w:tcPr>
            <w:tcW w:w="941" w:type="dxa"/>
            <w:shd w:val="clear" w:color="auto" w:fill="FFFFFF"/>
            <w:vAlign w:val="center"/>
          </w:tcPr>
          <w:p w14:paraId="0BB690DC" w14:textId="77777777" w:rsidR="004B0883" w:rsidRDefault="004B0883">
            <w:pPr>
              <w:snapToGrid w:val="0"/>
              <w:jc w:val="right"/>
              <w:rPr>
                <w:rFonts w:eastAsia="等线"/>
                <w:b/>
                <w:kern w:val="0"/>
                <w:sz w:val="18"/>
                <w:szCs w:val="18"/>
              </w:rPr>
            </w:pPr>
            <w:r>
              <w:rPr>
                <w:rFonts w:eastAsia="等线"/>
                <w:b/>
                <w:kern w:val="0"/>
                <w:sz w:val="18"/>
                <w:szCs w:val="18"/>
              </w:rPr>
              <w:t>-</w:t>
            </w:r>
          </w:p>
        </w:tc>
        <w:tc>
          <w:tcPr>
            <w:tcW w:w="942" w:type="dxa"/>
            <w:shd w:val="clear" w:color="auto" w:fill="FFFFFF"/>
            <w:vAlign w:val="center"/>
          </w:tcPr>
          <w:p w14:paraId="75DFED62" w14:textId="77777777" w:rsidR="004B0883" w:rsidRDefault="004B0883">
            <w:pPr>
              <w:snapToGrid w:val="0"/>
              <w:jc w:val="right"/>
              <w:rPr>
                <w:rFonts w:eastAsia="等线"/>
                <w:b/>
                <w:kern w:val="0"/>
                <w:sz w:val="18"/>
                <w:szCs w:val="18"/>
              </w:rPr>
            </w:pPr>
            <w:r>
              <w:rPr>
                <w:rFonts w:eastAsia="等线"/>
                <w:b/>
                <w:kern w:val="0"/>
                <w:sz w:val="18"/>
                <w:szCs w:val="18"/>
              </w:rPr>
              <w:t>-</w:t>
            </w:r>
          </w:p>
        </w:tc>
        <w:tc>
          <w:tcPr>
            <w:tcW w:w="947" w:type="dxa"/>
            <w:shd w:val="clear" w:color="auto" w:fill="FFFFFF"/>
            <w:vAlign w:val="center"/>
          </w:tcPr>
          <w:p w14:paraId="2AA2C1E9" w14:textId="77777777" w:rsidR="004B0883" w:rsidRDefault="004B0883">
            <w:pPr>
              <w:snapToGrid w:val="0"/>
              <w:jc w:val="right"/>
              <w:rPr>
                <w:rFonts w:eastAsia="等线"/>
                <w:b/>
                <w:kern w:val="0"/>
                <w:sz w:val="18"/>
                <w:szCs w:val="18"/>
              </w:rPr>
            </w:pPr>
            <w:r>
              <w:rPr>
                <w:rFonts w:eastAsia="等线"/>
                <w:b/>
                <w:kern w:val="0"/>
                <w:sz w:val="18"/>
                <w:szCs w:val="18"/>
              </w:rPr>
              <w:t>12,120.00</w:t>
            </w:r>
          </w:p>
        </w:tc>
        <w:tc>
          <w:tcPr>
            <w:tcW w:w="947" w:type="dxa"/>
            <w:shd w:val="clear" w:color="auto" w:fill="FFFFFF"/>
            <w:vAlign w:val="center"/>
          </w:tcPr>
          <w:p w14:paraId="40F5E47B" w14:textId="77777777" w:rsidR="004B0883" w:rsidRDefault="004B0883">
            <w:pPr>
              <w:snapToGrid w:val="0"/>
              <w:jc w:val="right"/>
              <w:rPr>
                <w:rFonts w:eastAsia="等线"/>
                <w:b/>
                <w:kern w:val="0"/>
                <w:sz w:val="18"/>
                <w:szCs w:val="18"/>
              </w:rPr>
            </w:pPr>
            <w:r>
              <w:rPr>
                <w:rFonts w:eastAsia="等线"/>
                <w:b/>
                <w:kern w:val="0"/>
                <w:sz w:val="18"/>
                <w:szCs w:val="18"/>
              </w:rPr>
              <w:t>20,200.00</w:t>
            </w:r>
          </w:p>
        </w:tc>
        <w:tc>
          <w:tcPr>
            <w:tcW w:w="947" w:type="dxa"/>
            <w:shd w:val="clear" w:color="auto" w:fill="FFFFFF"/>
            <w:vAlign w:val="center"/>
          </w:tcPr>
          <w:p w14:paraId="344B1E8C" w14:textId="77777777" w:rsidR="004B0883" w:rsidRDefault="004B0883">
            <w:pPr>
              <w:snapToGrid w:val="0"/>
              <w:jc w:val="right"/>
              <w:rPr>
                <w:rFonts w:eastAsia="等线"/>
                <w:b/>
                <w:kern w:val="0"/>
                <w:sz w:val="18"/>
                <w:szCs w:val="18"/>
              </w:rPr>
            </w:pPr>
            <w:r>
              <w:rPr>
                <w:rFonts w:eastAsia="等线"/>
                <w:b/>
                <w:kern w:val="0"/>
                <w:sz w:val="18"/>
                <w:szCs w:val="18"/>
              </w:rPr>
              <w:t>28,280.00</w:t>
            </w:r>
          </w:p>
        </w:tc>
        <w:tc>
          <w:tcPr>
            <w:tcW w:w="947" w:type="dxa"/>
            <w:shd w:val="clear" w:color="auto" w:fill="FFFFFF"/>
            <w:vAlign w:val="center"/>
          </w:tcPr>
          <w:p w14:paraId="40DFAEDC" w14:textId="77777777" w:rsidR="004B0883" w:rsidRDefault="004B0883">
            <w:pPr>
              <w:snapToGrid w:val="0"/>
              <w:jc w:val="right"/>
              <w:rPr>
                <w:rFonts w:eastAsia="等线"/>
                <w:b/>
                <w:kern w:val="0"/>
                <w:sz w:val="18"/>
                <w:szCs w:val="18"/>
              </w:rPr>
            </w:pPr>
            <w:r>
              <w:rPr>
                <w:rFonts w:eastAsia="等线"/>
                <w:b/>
                <w:kern w:val="0"/>
                <w:sz w:val="18"/>
                <w:szCs w:val="18"/>
              </w:rPr>
              <w:t>40,400.00</w:t>
            </w:r>
          </w:p>
        </w:tc>
        <w:tc>
          <w:tcPr>
            <w:tcW w:w="947" w:type="dxa"/>
            <w:shd w:val="clear" w:color="auto" w:fill="FFFFFF"/>
            <w:vAlign w:val="center"/>
          </w:tcPr>
          <w:p w14:paraId="60440B22" w14:textId="77777777" w:rsidR="004B0883" w:rsidRDefault="004B0883">
            <w:pPr>
              <w:snapToGrid w:val="0"/>
              <w:jc w:val="right"/>
              <w:rPr>
                <w:rFonts w:eastAsia="等线"/>
                <w:b/>
                <w:kern w:val="0"/>
                <w:sz w:val="18"/>
                <w:szCs w:val="18"/>
              </w:rPr>
            </w:pPr>
            <w:r>
              <w:rPr>
                <w:rFonts w:eastAsia="等线"/>
                <w:b/>
                <w:kern w:val="0"/>
                <w:sz w:val="18"/>
                <w:szCs w:val="18"/>
              </w:rPr>
              <w:t>40,400.00</w:t>
            </w:r>
          </w:p>
        </w:tc>
        <w:tc>
          <w:tcPr>
            <w:tcW w:w="947" w:type="dxa"/>
            <w:shd w:val="clear" w:color="auto" w:fill="FFFFFF"/>
            <w:vAlign w:val="center"/>
          </w:tcPr>
          <w:p w14:paraId="2D6BEFB2" w14:textId="77777777" w:rsidR="004B0883" w:rsidRDefault="004B0883">
            <w:pPr>
              <w:snapToGrid w:val="0"/>
              <w:jc w:val="right"/>
              <w:rPr>
                <w:rFonts w:eastAsia="等线"/>
                <w:b/>
                <w:kern w:val="0"/>
                <w:sz w:val="18"/>
                <w:szCs w:val="18"/>
              </w:rPr>
            </w:pPr>
            <w:r>
              <w:rPr>
                <w:rFonts w:eastAsia="等线"/>
                <w:b/>
                <w:kern w:val="0"/>
                <w:sz w:val="18"/>
                <w:szCs w:val="18"/>
              </w:rPr>
              <w:t>40,400.00</w:t>
            </w:r>
          </w:p>
        </w:tc>
        <w:tc>
          <w:tcPr>
            <w:tcW w:w="947" w:type="dxa"/>
            <w:shd w:val="clear" w:color="auto" w:fill="FFFFFF"/>
            <w:vAlign w:val="center"/>
          </w:tcPr>
          <w:p w14:paraId="20D73910" w14:textId="77777777" w:rsidR="004B0883" w:rsidRDefault="004B0883">
            <w:pPr>
              <w:snapToGrid w:val="0"/>
              <w:jc w:val="right"/>
              <w:rPr>
                <w:rFonts w:eastAsia="等线"/>
                <w:b/>
                <w:kern w:val="0"/>
                <w:sz w:val="18"/>
                <w:szCs w:val="18"/>
              </w:rPr>
            </w:pPr>
            <w:r>
              <w:rPr>
                <w:rFonts w:eastAsia="等线"/>
                <w:b/>
                <w:kern w:val="0"/>
                <w:sz w:val="18"/>
                <w:szCs w:val="18"/>
              </w:rPr>
              <w:t>40,400.00</w:t>
            </w:r>
          </w:p>
        </w:tc>
        <w:tc>
          <w:tcPr>
            <w:tcW w:w="947" w:type="dxa"/>
            <w:shd w:val="clear" w:color="auto" w:fill="FFFFFF"/>
            <w:vAlign w:val="center"/>
          </w:tcPr>
          <w:p w14:paraId="7BB4D388" w14:textId="77777777" w:rsidR="004B0883" w:rsidRDefault="004B0883">
            <w:pPr>
              <w:snapToGrid w:val="0"/>
              <w:jc w:val="right"/>
              <w:rPr>
                <w:rFonts w:eastAsia="等线"/>
                <w:b/>
                <w:kern w:val="0"/>
                <w:sz w:val="18"/>
                <w:szCs w:val="18"/>
              </w:rPr>
            </w:pPr>
            <w:r>
              <w:rPr>
                <w:rFonts w:eastAsia="等线"/>
                <w:b/>
                <w:kern w:val="0"/>
                <w:sz w:val="18"/>
                <w:szCs w:val="18"/>
              </w:rPr>
              <w:t>40,400.00</w:t>
            </w:r>
          </w:p>
        </w:tc>
      </w:tr>
      <w:tr w:rsidR="004B0883" w14:paraId="5E85D76C" w14:textId="77777777">
        <w:trPr>
          <w:trHeight w:val="397"/>
          <w:jc w:val="center"/>
        </w:trPr>
        <w:tc>
          <w:tcPr>
            <w:tcW w:w="430" w:type="dxa"/>
            <w:shd w:val="clear" w:color="auto" w:fill="FFFFFF"/>
            <w:tcMar>
              <w:top w:w="0" w:type="dxa"/>
              <w:left w:w="30" w:type="dxa"/>
              <w:bottom w:w="0" w:type="dxa"/>
              <w:right w:w="30" w:type="dxa"/>
            </w:tcMar>
            <w:vAlign w:val="center"/>
          </w:tcPr>
          <w:p w14:paraId="758E1B52" w14:textId="77777777" w:rsidR="004B0883" w:rsidRDefault="004B0883">
            <w:pPr>
              <w:snapToGrid w:val="0"/>
              <w:jc w:val="center"/>
              <w:rPr>
                <w:rFonts w:eastAsia="等线"/>
                <w:b/>
                <w:kern w:val="0"/>
                <w:sz w:val="18"/>
                <w:szCs w:val="18"/>
              </w:rPr>
            </w:pPr>
            <w:r>
              <w:rPr>
                <w:rFonts w:eastAsia="等线"/>
                <w:b/>
                <w:kern w:val="0"/>
                <w:sz w:val="18"/>
                <w:szCs w:val="18"/>
              </w:rPr>
              <w:t>1.1</w:t>
            </w:r>
          </w:p>
        </w:tc>
        <w:tc>
          <w:tcPr>
            <w:tcW w:w="1411" w:type="dxa"/>
            <w:shd w:val="clear" w:color="auto" w:fill="FFFFFF"/>
            <w:vAlign w:val="center"/>
          </w:tcPr>
          <w:p w14:paraId="67BB013D" w14:textId="77777777" w:rsidR="004B0883" w:rsidRDefault="004B0883">
            <w:pPr>
              <w:snapToGrid w:val="0"/>
              <w:jc w:val="center"/>
              <w:rPr>
                <w:b/>
                <w:kern w:val="0"/>
                <w:sz w:val="18"/>
                <w:szCs w:val="24"/>
              </w:rPr>
            </w:pPr>
            <w:r>
              <w:rPr>
                <w:rFonts w:hint="eastAsia"/>
                <w:b/>
                <w:kern w:val="0"/>
                <w:sz w:val="18"/>
                <w:szCs w:val="24"/>
              </w:rPr>
              <w:t>智能阀门</w:t>
            </w:r>
          </w:p>
        </w:tc>
        <w:tc>
          <w:tcPr>
            <w:tcW w:w="941" w:type="dxa"/>
            <w:shd w:val="clear" w:color="auto" w:fill="FFFFFF"/>
            <w:vAlign w:val="center"/>
          </w:tcPr>
          <w:p w14:paraId="0C2B6318" w14:textId="77777777" w:rsidR="004B0883" w:rsidRDefault="004B0883">
            <w:pPr>
              <w:snapToGrid w:val="0"/>
              <w:jc w:val="right"/>
              <w:rPr>
                <w:rFonts w:eastAsia="等线"/>
                <w:b/>
                <w:kern w:val="0"/>
                <w:sz w:val="18"/>
                <w:szCs w:val="18"/>
              </w:rPr>
            </w:pPr>
            <w:r>
              <w:rPr>
                <w:rFonts w:eastAsia="等线"/>
                <w:b/>
                <w:kern w:val="0"/>
                <w:sz w:val="18"/>
                <w:szCs w:val="18"/>
              </w:rPr>
              <w:t>-</w:t>
            </w:r>
          </w:p>
        </w:tc>
        <w:tc>
          <w:tcPr>
            <w:tcW w:w="942" w:type="dxa"/>
            <w:shd w:val="clear" w:color="auto" w:fill="FFFFFF"/>
            <w:vAlign w:val="center"/>
          </w:tcPr>
          <w:p w14:paraId="778552B4" w14:textId="77777777" w:rsidR="004B0883" w:rsidRDefault="004B0883">
            <w:pPr>
              <w:snapToGrid w:val="0"/>
              <w:jc w:val="right"/>
              <w:rPr>
                <w:rFonts w:eastAsia="等线"/>
                <w:b/>
                <w:kern w:val="0"/>
                <w:sz w:val="18"/>
                <w:szCs w:val="18"/>
              </w:rPr>
            </w:pPr>
            <w:r>
              <w:rPr>
                <w:rFonts w:eastAsia="等线"/>
                <w:b/>
                <w:kern w:val="0"/>
                <w:sz w:val="18"/>
                <w:szCs w:val="18"/>
              </w:rPr>
              <w:t>-</w:t>
            </w:r>
          </w:p>
        </w:tc>
        <w:tc>
          <w:tcPr>
            <w:tcW w:w="947" w:type="dxa"/>
            <w:shd w:val="clear" w:color="auto" w:fill="FFFFFF"/>
            <w:vAlign w:val="center"/>
          </w:tcPr>
          <w:p w14:paraId="50C2AC11" w14:textId="77777777" w:rsidR="004B0883" w:rsidRDefault="004B0883">
            <w:pPr>
              <w:snapToGrid w:val="0"/>
              <w:jc w:val="right"/>
              <w:rPr>
                <w:rFonts w:eastAsia="等线"/>
                <w:b/>
                <w:kern w:val="0"/>
                <w:sz w:val="18"/>
                <w:szCs w:val="18"/>
              </w:rPr>
            </w:pPr>
            <w:r>
              <w:rPr>
                <w:rFonts w:eastAsia="等线"/>
                <w:b/>
                <w:kern w:val="0"/>
                <w:sz w:val="18"/>
                <w:szCs w:val="18"/>
              </w:rPr>
              <w:t>10,650.00</w:t>
            </w:r>
          </w:p>
        </w:tc>
        <w:tc>
          <w:tcPr>
            <w:tcW w:w="947" w:type="dxa"/>
            <w:shd w:val="clear" w:color="auto" w:fill="FFFFFF"/>
            <w:vAlign w:val="center"/>
          </w:tcPr>
          <w:p w14:paraId="574FD893" w14:textId="77777777" w:rsidR="004B0883" w:rsidRDefault="004B0883">
            <w:pPr>
              <w:snapToGrid w:val="0"/>
              <w:jc w:val="right"/>
              <w:rPr>
                <w:rFonts w:eastAsia="等线"/>
                <w:b/>
                <w:kern w:val="0"/>
                <w:sz w:val="18"/>
                <w:szCs w:val="18"/>
              </w:rPr>
            </w:pPr>
            <w:r>
              <w:rPr>
                <w:rFonts w:eastAsia="等线"/>
                <w:b/>
                <w:kern w:val="0"/>
                <w:sz w:val="18"/>
                <w:szCs w:val="18"/>
              </w:rPr>
              <w:t>17,750.00</w:t>
            </w:r>
          </w:p>
        </w:tc>
        <w:tc>
          <w:tcPr>
            <w:tcW w:w="947" w:type="dxa"/>
            <w:shd w:val="clear" w:color="auto" w:fill="FFFFFF"/>
            <w:vAlign w:val="center"/>
          </w:tcPr>
          <w:p w14:paraId="2D34556C" w14:textId="77777777" w:rsidR="004B0883" w:rsidRDefault="004B0883">
            <w:pPr>
              <w:snapToGrid w:val="0"/>
              <w:jc w:val="right"/>
              <w:rPr>
                <w:rFonts w:eastAsia="等线"/>
                <w:b/>
                <w:kern w:val="0"/>
                <w:sz w:val="18"/>
                <w:szCs w:val="18"/>
              </w:rPr>
            </w:pPr>
            <w:r>
              <w:rPr>
                <w:rFonts w:eastAsia="等线"/>
                <w:b/>
                <w:kern w:val="0"/>
                <w:sz w:val="18"/>
                <w:szCs w:val="18"/>
              </w:rPr>
              <w:t>24,850.00</w:t>
            </w:r>
          </w:p>
        </w:tc>
        <w:tc>
          <w:tcPr>
            <w:tcW w:w="947" w:type="dxa"/>
            <w:shd w:val="clear" w:color="auto" w:fill="FFFFFF"/>
            <w:vAlign w:val="center"/>
          </w:tcPr>
          <w:p w14:paraId="4BBDD7CA" w14:textId="77777777" w:rsidR="004B0883" w:rsidRDefault="004B0883">
            <w:pPr>
              <w:snapToGrid w:val="0"/>
              <w:jc w:val="right"/>
              <w:rPr>
                <w:rFonts w:eastAsia="等线"/>
                <w:b/>
                <w:kern w:val="0"/>
                <w:sz w:val="18"/>
                <w:szCs w:val="18"/>
              </w:rPr>
            </w:pPr>
            <w:r>
              <w:rPr>
                <w:rFonts w:eastAsia="等线"/>
                <w:b/>
                <w:kern w:val="0"/>
                <w:sz w:val="18"/>
                <w:szCs w:val="18"/>
              </w:rPr>
              <w:t>35,500.00</w:t>
            </w:r>
          </w:p>
        </w:tc>
        <w:tc>
          <w:tcPr>
            <w:tcW w:w="947" w:type="dxa"/>
            <w:shd w:val="clear" w:color="auto" w:fill="FFFFFF"/>
            <w:vAlign w:val="center"/>
          </w:tcPr>
          <w:p w14:paraId="4D0C4C21" w14:textId="77777777" w:rsidR="004B0883" w:rsidRDefault="004B0883">
            <w:pPr>
              <w:snapToGrid w:val="0"/>
              <w:jc w:val="right"/>
              <w:rPr>
                <w:rFonts w:eastAsia="等线"/>
                <w:b/>
                <w:kern w:val="0"/>
                <w:sz w:val="18"/>
                <w:szCs w:val="18"/>
              </w:rPr>
            </w:pPr>
            <w:r>
              <w:rPr>
                <w:rFonts w:eastAsia="等线"/>
                <w:b/>
                <w:kern w:val="0"/>
                <w:sz w:val="18"/>
                <w:szCs w:val="18"/>
              </w:rPr>
              <w:t>35,500.00</w:t>
            </w:r>
          </w:p>
        </w:tc>
        <w:tc>
          <w:tcPr>
            <w:tcW w:w="947" w:type="dxa"/>
            <w:shd w:val="clear" w:color="auto" w:fill="FFFFFF"/>
            <w:vAlign w:val="center"/>
          </w:tcPr>
          <w:p w14:paraId="6BD16F78" w14:textId="77777777" w:rsidR="004B0883" w:rsidRDefault="004B0883">
            <w:pPr>
              <w:snapToGrid w:val="0"/>
              <w:jc w:val="right"/>
              <w:rPr>
                <w:rFonts w:eastAsia="等线"/>
                <w:b/>
                <w:kern w:val="0"/>
                <w:sz w:val="18"/>
                <w:szCs w:val="18"/>
              </w:rPr>
            </w:pPr>
            <w:r>
              <w:rPr>
                <w:rFonts w:eastAsia="等线"/>
                <w:b/>
                <w:kern w:val="0"/>
                <w:sz w:val="18"/>
                <w:szCs w:val="18"/>
              </w:rPr>
              <w:t>35,500.00</w:t>
            </w:r>
          </w:p>
        </w:tc>
        <w:tc>
          <w:tcPr>
            <w:tcW w:w="947" w:type="dxa"/>
            <w:shd w:val="clear" w:color="auto" w:fill="FFFFFF"/>
            <w:vAlign w:val="center"/>
          </w:tcPr>
          <w:p w14:paraId="5CAE347F" w14:textId="77777777" w:rsidR="004B0883" w:rsidRDefault="004B0883">
            <w:pPr>
              <w:snapToGrid w:val="0"/>
              <w:jc w:val="right"/>
              <w:rPr>
                <w:rFonts w:eastAsia="等线"/>
                <w:b/>
                <w:kern w:val="0"/>
                <w:sz w:val="18"/>
                <w:szCs w:val="18"/>
              </w:rPr>
            </w:pPr>
            <w:r>
              <w:rPr>
                <w:rFonts w:eastAsia="等线"/>
                <w:b/>
                <w:kern w:val="0"/>
                <w:sz w:val="18"/>
                <w:szCs w:val="18"/>
              </w:rPr>
              <w:t>35,500.00</w:t>
            </w:r>
          </w:p>
        </w:tc>
        <w:tc>
          <w:tcPr>
            <w:tcW w:w="947" w:type="dxa"/>
            <w:shd w:val="clear" w:color="auto" w:fill="FFFFFF"/>
            <w:vAlign w:val="center"/>
          </w:tcPr>
          <w:p w14:paraId="2220C72D" w14:textId="77777777" w:rsidR="004B0883" w:rsidRDefault="004B0883">
            <w:pPr>
              <w:snapToGrid w:val="0"/>
              <w:jc w:val="right"/>
              <w:rPr>
                <w:rFonts w:eastAsia="等线"/>
                <w:b/>
                <w:kern w:val="0"/>
                <w:sz w:val="18"/>
                <w:szCs w:val="18"/>
              </w:rPr>
            </w:pPr>
            <w:r>
              <w:rPr>
                <w:rFonts w:eastAsia="等线"/>
                <w:b/>
                <w:kern w:val="0"/>
                <w:sz w:val="18"/>
                <w:szCs w:val="18"/>
              </w:rPr>
              <w:t>35,500.00</w:t>
            </w:r>
          </w:p>
        </w:tc>
      </w:tr>
      <w:tr w:rsidR="004B0883" w14:paraId="2DAC1554" w14:textId="77777777">
        <w:trPr>
          <w:trHeight w:val="397"/>
          <w:jc w:val="center"/>
        </w:trPr>
        <w:tc>
          <w:tcPr>
            <w:tcW w:w="430" w:type="dxa"/>
            <w:shd w:val="clear" w:color="auto" w:fill="FFFFFF"/>
            <w:tcMar>
              <w:top w:w="0" w:type="dxa"/>
              <w:left w:w="30" w:type="dxa"/>
              <w:bottom w:w="0" w:type="dxa"/>
              <w:right w:w="30" w:type="dxa"/>
            </w:tcMar>
            <w:vAlign w:val="center"/>
          </w:tcPr>
          <w:p w14:paraId="4FA62E6A" w14:textId="77777777" w:rsidR="004B0883" w:rsidRDefault="004B0883">
            <w:pPr>
              <w:snapToGrid w:val="0"/>
              <w:jc w:val="center"/>
              <w:rPr>
                <w:rFonts w:eastAsia="等线"/>
                <w:bCs/>
                <w:kern w:val="0"/>
                <w:sz w:val="18"/>
                <w:szCs w:val="18"/>
              </w:rPr>
            </w:pPr>
          </w:p>
        </w:tc>
        <w:tc>
          <w:tcPr>
            <w:tcW w:w="1411" w:type="dxa"/>
            <w:shd w:val="clear" w:color="auto" w:fill="FFFFFF"/>
            <w:vAlign w:val="center"/>
          </w:tcPr>
          <w:p w14:paraId="354F6CBA" w14:textId="77777777" w:rsidR="004B0883" w:rsidRDefault="004B0883">
            <w:pPr>
              <w:snapToGrid w:val="0"/>
              <w:jc w:val="center"/>
              <w:rPr>
                <w:bCs/>
                <w:kern w:val="0"/>
                <w:sz w:val="18"/>
                <w:szCs w:val="24"/>
              </w:rPr>
            </w:pPr>
            <w:r>
              <w:rPr>
                <w:rFonts w:hint="eastAsia"/>
                <w:bCs/>
                <w:kern w:val="0"/>
                <w:sz w:val="18"/>
                <w:szCs w:val="24"/>
              </w:rPr>
              <w:t>单价（元）</w:t>
            </w:r>
          </w:p>
        </w:tc>
        <w:tc>
          <w:tcPr>
            <w:tcW w:w="941" w:type="dxa"/>
            <w:shd w:val="clear" w:color="auto" w:fill="FFFFFF"/>
            <w:vAlign w:val="center"/>
          </w:tcPr>
          <w:p w14:paraId="430AFBB4" w14:textId="77777777" w:rsidR="004B0883" w:rsidRDefault="004B0883">
            <w:pPr>
              <w:snapToGrid w:val="0"/>
              <w:jc w:val="right"/>
              <w:rPr>
                <w:rFonts w:eastAsia="等线"/>
                <w:bCs/>
                <w:kern w:val="0"/>
                <w:sz w:val="18"/>
                <w:szCs w:val="18"/>
              </w:rPr>
            </w:pPr>
          </w:p>
        </w:tc>
        <w:tc>
          <w:tcPr>
            <w:tcW w:w="942" w:type="dxa"/>
            <w:shd w:val="clear" w:color="auto" w:fill="FFFFFF"/>
            <w:vAlign w:val="center"/>
          </w:tcPr>
          <w:p w14:paraId="176703F5" w14:textId="77777777" w:rsidR="004B0883" w:rsidRDefault="004B0883">
            <w:pPr>
              <w:snapToGrid w:val="0"/>
              <w:jc w:val="right"/>
              <w:rPr>
                <w:rFonts w:eastAsia="等线"/>
                <w:bCs/>
                <w:kern w:val="0"/>
                <w:sz w:val="18"/>
                <w:szCs w:val="18"/>
              </w:rPr>
            </w:pPr>
          </w:p>
        </w:tc>
        <w:tc>
          <w:tcPr>
            <w:tcW w:w="947" w:type="dxa"/>
            <w:shd w:val="clear" w:color="auto" w:fill="FFFFFF"/>
            <w:vAlign w:val="center"/>
          </w:tcPr>
          <w:p w14:paraId="660F8021" w14:textId="77777777" w:rsidR="004B0883" w:rsidRDefault="004B0883">
            <w:pPr>
              <w:snapToGrid w:val="0"/>
              <w:jc w:val="right"/>
              <w:rPr>
                <w:rFonts w:eastAsia="等线"/>
                <w:bCs/>
                <w:kern w:val="0"/>
                <w:sz w:val="18"/>
                <w:szCs w:val="18"/>
              </w:rPr>
            </w:pPr>
            <w:r>
              <w:rPr>
                <w:rFonts w:eastAsia="等线"/>
                <w:bCs/>
                <w:kern w:val="0"/>
                <w:sz w:val="18"/>
                <w:szCs w:val="18"/>
              </w:rPr>
              <w:t>14,200.00</w:t>
            </w:r>
          </w:p>
        </w:tc>
        <w:tc>
          <w:tcPr>
            <w:tcW w:w="947" w:type="dxa"/>
            <w:shd w:val="clear" w:color="auto" w:fill="FFFFFF"/>
            <w:vAlign w:val="center"/>
          </w:tcPr>
          <w:p w14:paraId="7BB35FAE" w14:textId="77777777" w:rsidR="004B0883" w:rsidRDefault="004B0883">
            <w:pPr>
              <w:snapToGrid w:val="0"/>
              <w:jc w:val="right"/>
              <w:rPr>
                <w:rFonts w:eastAsia="等线"/>
                <w:bCs/>
                <w:kern w:val="0"/>
                <w:sz w:val="18"/>
                <w:szCs w:val="18"/>
              </w:rPr>
            </w:pPr>
            <w:r>
              <w:rPr>
                <w:rFonts w:eastAsia="等线"/>
                <w:bCs/>
                <w:kern w:val="0"/>
                <w:sz w:val="18"/>
                <w:szCs w:val="18"/>
              </w:rPr>
              <w:t>14,200.00</w:t>
            </w:r>
          </w:p>
        </w:tc>
        <w:tc>
          <w:tcPr>
            <w:tcW w:w="947" w:type="dxa"/>
            <w:shd w:val="clear" w:color="auto" w:fill="FFFFFF"/>
            <w:vAlign w:val="center"/>
          </w:tcPr>
          <w:p w14:paraId="2B6A936B" w14:textId="77777777" w:rsidR="004B0883" w:rsidRDefault="004B0883">
            <w:pPr>
              <w:snapToGrid w:val="0"/>
              <w:jc w:val="right"/>
              <w:rPr>
                <w:rFonts w:eastAsia="等线"/>
                <w:bCs/>
                <w:kern w:val="0"/>
                <w:sz w:val="18"/>
                <w:szCs w:val="18"/>
              </w:rPr>
            </w:pPr>
            <w:r>
              <w:rPr>
                <w:rFonts w:eastAsia="等线"/>
                <w:bCs/>
                <w:kern w:val="0"/>
                <w:sz w:val="18"/>
                <w:szCs w:val="18"/>
              </w:rPr>
              <w:t>14,200.00</w:t>
            </w:r>
          </w:p>
        </w:tc>
        <w:tc>
          <w:tcPr>
            <w:tcW w:w="947" w:type="dxa"/>
            <w:shd w:val="clear" w:color="auto" w:fill="FFFFFF"/>
            <w:vAlign w:val="center"/>
          </w:tcPr>
          <w:p w14:paraId="32A6376E" w14:textId="77777777" w:rsidR="004B0883" w:rsidRDefault="004B0883">
            <w:pPr>
              <w:snapToGrid w:val="0"/>
              <w:jc w:val="right"/>
              <w:rPr>
                <w:rFonts w:eastAsia="等线"/>
                <w:bCs/>
                <w:kern w:val="0"/>
                <w:sz w:val="18"/>
                <w:szCs w:val="18"/>
              </w:rPr>
            </w:pPr>
            <w:r>
              <w:rPr>
                <w:rFonts w:eastAsia="等线"/>
                <w:bCs/>
                <w:kern w:val="0"/>
                <w:sz w:val="18"/>
                <w:szCs w:val="18"/>
              </w:rPr>
              <w:t>14,200.00</w:t>
            </w:r>
          </w:p>
        </w:tc>
        <w:tc>
          <w:tcPr>
            <w:tcW w:w="947" w:type="dxa"/>
            <w:shd w:val="clear" w:color="auto" w:fill="FFFFFF"/>
            <w:vAlign w:val="center"/>
          </w:tcPr>
          <w:p w14:paraId="2DA93C59" w14:textId="77777777" w:rsidR="004B0883" w:rsidRDefault="004B0883">
            <w:pPr>
              <w:snapToGrid w:val="0"/>
              <w:jc w:val="right"/>
              <w:rPr>
                <w:rFonts w:eastAsia="等线"/>
                <w:bCs/>
                <w:kern w:val="0"/>
                <w:sz w:val="18"/>
                <w:szCs w:val="18"/>
              </w:rPr>
            </w:pPr>
            <w:r>
              <w:rPr>
                <w:rFonts w:eastAsia="等线"/>
                <w:bCs/>
                <w:kern w:val="0"/>
                <w:sz w:val="18"/>
                <w:szCs w:val="18"/>
              </w:rPr>
              <w:t>14,200.00</w:t>
            </w:r>
          </w:p>
        </w:tc>
        <w:tc>
          <w:tcPr>
            <w:tcW w:w="947" w:type="dxa"/>
            <w:shd w:val="clear" w:color="auto" w:fill="FFFFFF"/>
            <w:vAlign w:val="center"/>
          </w:tcPr>
          <w:p w14:paraId="507CDD73" w14:textId="77777777" w:rsidR="004B0883" w:rsidRDefault="004B0883">
            <w:pPr>
              <w:snapToGrid w:val="0"/>
              <w:jc w:val="right"/>
              <w:rPr>
                <w:rFonts w:eastAsia="等线"/>
                <w:bCs/>
                <w:kern w:val="0"/>
                <w:sz w:val="18"/>
                <w:szCs w:val="18"/>
              </w:rPr>
            </w:pPr>
            <w:r>
              <w:rPr>
                <w:rFonts w:eastAsia="等线"/>
                <w:bCs/>
                <w:kern w:val="0"/>
                <w:sz w:val="18"/>
                <w:szCs w:val="18"/>
              </w:rPr>
              <w:t>14,200.00</w:t>
            </w:r>
          </w:p>
        </w:tc>
        <w:tc>
          <w:tcPr>
            <w:tcW w:w="947" w:type="dxa"/>
            <w:shd w:val="clear" w:color="auto" w:fill="FFFFFF"/>
            <w:vAlign w:val="center"/>
          </w:tcPr>
          <w:p w14:paraId="61486AAE" w14:textId="77777777" w:rsidR="004B0883" w:rsidRDefault="004B0883">
            <w:pPr>
              <w:snapToGrid w:val="0"/>
              <w:jc w:val="right"/>
              <w:rPr>
                <w:rFonts w:eastAsia="等线"/>
                <w:bCs/>
                <w:kern w:val="0"/>
                <w:sz w:val="18"/>
                <w:szCs w:val="18"/>
              </w:rPr>
            </w:pPr>
            <w:r>
              <w:rPr>
                <w:rFonts w:eastAsia="等线"/>
                <w:bCs/>
                <w:kern w:val="0"/>
                <w:sz w:val="18"/>
                <w:szCs w:val="18"/>
              </w:rPr>
              <w:t>14,200.00</w:t>
            </w:r>
          </w:p>
        </w:tc>
        <w:tc>
          <w:tcPr>
            <w:tcW w:w="947" w:type="dxa"/>
            <w:shd w:val="clear" w:color="auto" w:fill="FFFFFF"/>
            <w:vAlign w:val="center"/>
          </w:tcPr>
          <w:p w14:paraId="32317040" w14:textId="77777777" w:rsidR="004B0883" w:rsidRDefault="004B0883">
            <w:pPr>
              <w:snapToGrid w:val="0"/>
              <w:jc w:val="right"/>
              <w:rPr>
                <w:rFonts w:eastAsia="等线"/>
                <w:bCs/>
                <w:kern w:val="0"/>
                <w:sz w:val="18"/>
                <w:szCs w:val="18"/>
              </w:rPr>
            </w:pPr>
            <w:r>
              <w:rPr>
                <w:rFonts w:eastAsia="等线"/>
                <w:bCs/>
                <w:kern w:val="0"/>
                <w:sz w:val="18"/>
                <w:szCs w:val="18"/>
              </w:rPr>
              <w:t>14,200.00</w:t>
            </w:r>
          </w:p>
        </w:tc>
      </w:tr>
      <w:tr w:rsidR="004B0883" w14:paraId="59399702" w14:textId="77777777">
        <w:trPr>
          <w:trHeight w:val="397"/>
          <w:jc w:val="center"/>
        </w:trPr>
        <w:tc>
          <w:tcPr>
            <w:tcW w:w="430" w:type="dxa"/>
            <w:shd w:val="clear" w:color="auto" w:fill="FFFFFF"/>
            <w:tcMar>
              <w:top w:w="0" w:type="dxa"/>
              <w:left w:w="30" w:type="dxa"/>
              <w:bottom w:w="0" w:type="dxa"/>
              <w:right w:w="30" w:type="dxa"/>
            </w:tcMar>
            <w:vAlign w:val="center"/>
          </w:tcPr>
          <w:p w14:paraId="3DBAF555" w14:textId="77777777" w:rsidR="004B0883" w:rsidRDefault="004B0883">
            <w:pPr>
              <w:snapToGrid w:val="0"/>
              <w:jc w:val="center"/>
              <w:rPr>
                <w:rFonts w:eastAsia="等线"/>
                <w:bCs/>
                <w:kern w:val="0"/>
                <w:sz w:val="18"/>
                <w:szCs w:val="18"/>
              </w:rPr>
            </w:pPr>
          </w:p>
        </w:tc>
        <w:tc>
          <w:tcPr>
            <w:tcW w:w="1411" w:type="dxa"/>
            <w:shd w:val="clear" w:color="auto" w:fill="FFFFFF"/>
            <w:vAlign w:val="center"/>
          </w:tcPr>
          <w:p w14:paraId="48629219" w14:textId="77777777" w:rsidR="004B0883" w:rsidRDefault="004B0883">
            <w:pPr>
              <w:snapToGrid w:val="0"/>
              <w:jc w:val="center"/>
              <w:rPr>
                <w:bCs/>
                <w:kern w:val="0"/>
                <w:sz w:val="18"/>
                <w:szCs w:val="24"/>
              </w:rPr>
            </w:pPr>
            <w:r>
              <w:rPr>
                <w:rFonts w:hint="eastAsia"/>
                <w:bCs/>
                <w:kern w:val="0"/>
                <w:sz w:val="18"/>
                <w:szCs w:val="24"/>
              </w:rPr>
              <w:t>数量（万套）</w:t>
            </w:r>
          </w:p>
        </w:tc>
        <w:tc>
          <w:tcPr>
            <w:tcW w:w="941" w:type="dxa"/>
            <w:shd w:val="clear" w:color="auto" w:fill="FFFFFF"/>
            <w:vAlign w:val="center"/>
          </w:tcPr>
          <w:p w14:paraId="088BA938"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42" w:type="dxa"/>
            <w:shd w:val="clear" w:color="auto" w:fill="FFFFFF"/>
            <w:vAlign w:val="center"/>
          </w:tcPr>
          <w:p w14:paraId="70E77E8A"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47" w:type="dxa"/>
            <w:shd w:val="clear" w:color="auto" w:fill="FFFFFF"/>
            <w:vAlign w:val="center"/>
          </w:tcPr>
          <w:p w14:paraId="7BEE72FC" w14:textId="77777777" w:rsidR="004B0883" w:rsidRDefault="004B0883">
            <w:pPr>
              <w:snapToGrid w:val="0"/>
              <w:jc w:val="right"/>
              <w:rPr>
                <w:rFonts w:eastAsia="等线"/>
                <w:bCs/>
                <w:kern w:val="0"/>
                <w:sz w:val="18"/>
                <w:szCs w:val="18"/>
              </w:rPr>
            </w:pPr>
            <w:r>
              <w:rPr>
                <w:rFonts w:eastAsia="等线"/>
                <w:bCs/>
                <w:kern w:val="0"/>
                <w:sz w:val="18"/>
                <w:szCs w:val="18"/>
              </w:rPr>
              <w:t>0.75</w:t>
            </w:r>
          </w:p>
        </w:tc>
        <w:tc>
          <w:tcPr>
            <w:tcW w:w="947" w:type="dxa"/>
            <w:shd w:val="clear" w:color="auto" w:fill="FFFFFF"/>
            <w:vAlign w:val="center"/>
          </w:tcPr>
          <w:p w14:paraId="05BE1B52" w14:textId="77777777" w:rsidR="004B0883" w:rsidRDefault="004B0883">
            <w:pPr>
              <w:snapToGrid w:val="0"/>
              <w:jc w:val="right"/>
              <w:rPr>
                <w:rFonts w:eastAsia="等线"/>
                <w:bCs/>
                <w:kern w:val="0"/>
                <w:sz w:val="18"/>
                <w:szCs w:val="18"/>
              </w:rPr>
            </w:pPr>
            <w:r>
              <w:rPr>
                <w:rFonts w:eastAsia="等线"/>
                <w:bCs/>
                <w:kern w:val="0"/>
                <w:sz w:val="18"/>
                <w:szCs w:val="18"/>
              </w:rPr>
              <w:t>1.25</w:t>
            </w:r>
          </w:p>
        </w:tc>
        <w:tc>
          <w:tcPr>
            <w:tcW w:w="947" w:type="dxa"/>
            <w:shd w:val="clear" w:color="auto" w:fill="FFFFFF"/>
            <w:vAlign w:val="center"/>
          </w:tcPr>
          <w:p w14:paraId="692AD04F" w14:textId="77777777" w:rsidR="004B0883" w:rsidRDefault="004B0883">
            <w:pPr>
              <w:snapToGrid w:val="0"/>
              <w:jc w:val="right"/>
              <w:rPr>
                <w:rFonts w:eastAsia="等线"/>
                <w:bCs/>
                <w:kern w:val="0"/>
                <w:sz w:val="18"/>
                <w:szCs w:val="18"/>
              </w:rPr>
            </w:pPr>
            <w:r>
              <w:rPr>
                <w:rFonts w:eastAsia="等线"/>
                <w:bCs/>
                <w:kern w:val="0"/>
                <w:sz w:val="18"/>
                <w:szCs w:val="18"/>
              </w:rPr>
              <w:t>1.75</w:t>
            </w:r>
          </w:p>
        </w:tc>
        <w:tc>
          <w:tcPr>
            <w:tcW w:w="947" w:type="dxa"/>
            <w:shd w:val="clear" w:color="auto" w:fill="FFFFFF"/>
            <w:vAlign w:val="center"/>
          </w:tcPr>
          <w:p w14:paraId="2A865765" w14:textId="77777777" w:rsidR="004B0883" w:rsidRDefault="004B0883">
            <w:pPr>
              <w:snapToGrid w:val="0"/>
              <w:jc w:val="right"/>
              <w:rPr>
                <w:rFonts w:eastAsia="等线"/>
                <w:bCs/>
                <w:kern w:val="0"/>
                <w:sz w:val="18"/>
                <w:szCs w:val="18"/>
              </w:rPr>
            </w:pPr>
            <w:r>
              <w:rPr>
                <w:rFonts w:eastAsia="等线"/>
                <w:bCs/>
                <w:kern w:val="0"/>
                <w:sz w:val="18"/>
                <w:szCs w:val="18"/>
              </w:rPr>
              <w:t>2.50</w:t>
            </w:r>
          </w:p>
        </w:tc>
        <w:tc>
          <w:tcPr>
            <w:tcW w:w="947" w:type="dxa"/>
            <w:shd w:val="clear" w:color="auto" w:fill="FFFFFF"/>
            <w:vAlign w:val="center"/>
          </w:tcPr>
          <w:p w14:paraId="7ED3785B" w14:textId="77777777" w:rsidR="004B0883" w:rsidRDefault="004B0883">
            <w:pPr>
              <w:snapToGrid w:val="0"/>
              <w:jc w:val="right"/>
              <w:rPr>
                <w:rFonts w:eastAsia="等线"/>
                <w:bCs/>
                <w:kern w:val="0"/>
                <w:sz w:val="18"/>
                <w:szCs w:val="18"/>
              </w:rPr>
            </w:pPr>
            <w:r>
              <w:rPr>
                <w:rFonts w:eastAsia="等线"/>
                <w:bCs/>
                <w:kern w:val="0"/>
                <w:sz w:val="18"/>
                <w:szCs w:val="18"/>
              </w:rPr>
              <w:t>2.50</w:t>
            </w:r>
          </w:p>
        </w:tc>
        <w:tc>
          <w:tcPr>
            <w:tcW w:w="947" w:type="dxa"/>
            <w:shd w:val="clear" w:color="auto" w:fill="FFFFFF"/>
            <w:vAlign w:val="center"/>
          </w:tcPr>
          <w:p w14:paraId="11BD43E1" w14:textId="77777777" w:rsidR="004B0883" w:rsidRDefault="004B0883">
            <w:pPr>
              <w:snapToGrid w:val="0"/>
              <w:jc w:val="right"/>
              <w:rPr>
                <w:rFonts w:eastAsia="等线"/>
                <w:bCs/>
                <w:kern w:val="0"/>
                <w:sz w:val="18"/>
                <w:szCs w:val="18"/>
              </w:rPr>
            </w:pPr>
            <w:r>
              <w:rPr>
                <w:rFonts w:eastAsia="等线"/>
                <w:bCs/>
                <w:kern w:val="0"/>
                <w:sz w:val="18"/>
                <w:szCs w:val="18"/>
              </w:rPr>
              <w:t>2.50</w:t>
            </w:r>
          </w:p>
        </w:tc>
        <w:tc>
          <w:tcPr>
            <w:tcW w:w="947" w:type="dxa"/>
            <w:shd w:val="clear" w:color="auto" w:fill="FFFFFF"/>
            <w:vAlign w:val="center"/>
          </w:tcPr>
          <w:p w14:paraId="24E1DC4B" w14:textId="77777777" w:rsidR="004B0883" w:rsidRDefault="004B0883">
            <w:pPr>
              <w:snapToGrid w:val="0"/>
              <w:jc w:val="right"/>
              <w:rPr>
                <w:rFonts w:eastAsia="等线"/>
                <w:bCs/>
                <w:kern w:val="0"/>
                <w:sz w:val="18"/>
                <w:szCs w:val="18"/>
              </w:rPr>
            </w:pPr>
            <w:r>
              <w:rPr>
                <w:rFonts w:eastAsia="等线"/>
                <w:bCs/>
                <w:kern w:val="0"/>
                <w:sz w:val="18"/>
                <w:szCs w:val="18"/>
              </w:rPr>
              <w:t>2.50</w:t>
            </w:r>
          </w:p>
        </w:tc>
        <w:tc>
          <w:tcPr>
            <w:tcW w:w="947" w:type="dxa"/>
            <w:shd w:val="clear" w:color="auto" w:fill="FFFFFF"/>
            <w:vAlign w:val="center"/>
          </w:tcPr>
          <w:p w14:paraId="07CCDCA7" w14:textId="77777777" w:rsidR="004B0883" w:rsidRDefault="004B0883">
            <w:pPr>
              <w:snapToGrid w:val="0"/>
              <w:jc w:val="right"/>
              <w:rPr>
                <w:rFonts w:eastAsia="等线"/>
                <w:bCs/>
                <w:kern w:val="0"/>
                <w:sz w:val="18"/>
                <w:szCs w:val="18"/>
              </w:rPr>
            </w:pPr>
            <w:r>
              <w:rPr>
                <w:rFonts w:eastAsia="等线"/>
                <w:bCs/>
                <w:kern w:val="0"/>
                <w:sz w:val="18"/>
                <w:szCs w:val="18"/>
              </w:rPr>
              <w:t>2.50</w:t>
            </w:r>
          </w:p>
        </w:tc>
      </w:tr>
      <w:tr w:rsidR="004B0883" w14:paraId="381BABBE" w14:textId="77777777">
        <w:trPr>
          <w:trHeight w:val="397"/>
          <w:jc w:val="center"/>
        </w:trPr>
        <w:tc>
          <w:tcPr>
            <w:tcW w:w="430" w:type="dxa"/>
            <w:shd w:val="clear" w:color="auto" w:fill="FFFFFF"/>
            <w:tcMar>
              <w:top w:w="0" w:type="dxa"/>
              <w:left w:w="30" w:type="dxa"/>
              <w:bottom w:w="0" w:type="dxa"/>
              <w:right w:w="30" w:type="dxa"/>
            </w:tcMar>
            <w:vAlign w:val="center"/>
          </w:tcPr>
          <w:p w14:paraId="1163053E" w14:textId="77777777" w:rsidR="004B0883" w:rsidRDefault="004B0883">
            <w:pPr>
              <w:snapToGrid w:val="0"/>
              <w:jc w:val="center"/>
              <w:rPr>
                <w:rFonts w:eastAsia="等线"/>
                <w:b/>
                <w:kern w:val="0"/>
                <w:sz w:val="18"/>
                <w:szCs w:val="18"/>
              </w:rPr>
            </w:pPr>
            <w:r>
              <w:rPr>
                <w:rFonts w:eastAsia="等线"/>
                <w:b/>
                <w:kern w:val="0"/>
                <w:sz w:val="18"/>
                <w:szCs w:val="18"/>
              </w:rPr>
              <w:t>1.2</w:t>
            </w:r>
          </w:p>
        </w:tc>
        <w:tc>
          <w:tcPr>
            <w:tcW w:w="1411" w:type="dxa"/>
            <w:shd w:val="clear" w:color="auto" w:fill="FFFFFF"/>
            <w:vAlign w:val="center"/>
          </w:tcPr>
          <w:p w14:paraId="1ECCC303" w14:textId="77777777" w:rsidR="004B0883" w:rsidRDefault="004B0883">
            <w:pPr>
              <w:snapToGrid w:val="0"/>
              <w:jc w:val="center"/>
              <w:rPr>
                <w:b/>
                <w:kern w:val="0"/>
                <w:sz w:val="18"/>
                <w:szCs w:val="24"/>
              </w:rPr>
            </w:pPr>
            <w:r>
              <w:rPr>
                <w:rFonts w:hint="eastAsia"/>
                <w:b/>
                <w:kern w:val="0"/>
                <w:sz w:val="18"/>
                <w:szCs w:val="24"/>
              </w:rPr>
              <w:t>燃气阀门</w:t>
            </w:r>
          </w:p>
        </w:tc>
        <w:tc>
          <w:tcPr>
            <w:tcW w:w="941" w:type="dxa"/>
            <w:shd w:val="clear" w:color="auto" w:fill="FFFFFF"/>
            <w:vAlign w:val="center"/>
          </w:tcPr>
          <w:p w14:paraId="3062195E" w14:textId="77777777" w:rsidR="004B0883" w:rsidRDefault="004B0883">
            <w:pPr>
              <w:snapToGrid w:val="0"/>
              <w:jc w:val="right"/>
              <w:rPr>
                <w:rFonts w:eastAsia="等线"/>
                <w:b/>
                <w:kern w:val="0"/>
                <w:sz w:val="18"/>
                <w:szCs w:val="18"/>
              </w:rPr>
            </w:pPr>
            <w:r>
              <w:rPr>
                <w:rFonts w:eastAsia="等线"/>
                <w:b/>
                <w:kern w:val="0"/>
                <w:sz w:val="18"/>
                <w:szCs w:val="18"/>
              </w:rPr>
              <w:t>-</w:t>
            </w:r>
          </w:p>
        </w:tc>
        <w:tc>
          <w:tcPr>
            <w:tcW w:w="942" w:type="dxa"/>
            <w:shd w:val="clear" w:color="auto" w:fill="FFFFFF"/>
            <w:vAlign w:val="center"/>
          </w:tcPr>
          <w:p w14:paraId="3E73E55E" w14:textId="77777777" w:rsidR="004B0883" w:rsidRDefault="004B0883">
            <w:pPr>
              <w:snapToGrid w:val="0"/>
              <w:jc w:val="right"/>
              <w:rPr>
                <w:rFonts w:eastAsia="等线"/>
                <w:b/>
                <w:kern w:val="0"/>
                <w:sz w:val="18"/>
                <w:szCs w:val="18"/>
              </w:rPr>
            </w:pPr>
            <w:r>
              <w:rPr>
                <w:rFonts w:eastAsia="等线"/>
                <w:b/>
                <w:kern w:val="0"/>
                <w:sz w:val="18"/>
                <w:szCs w:val="18"/>
              </w:rPr>
              <w:t>-</w:t>
            </w:r>
          </w:p>
        </w:tc>
        <w:tc>
          <w:tcPr>
            <w:tcW w:w="947" w:type="dxa"/>
            <w:shd w:val="clear" w:color="auto" w:fill="FFFFFF"/>
            <w:vAlign w:val="center"/>
          </w:tcPr>
          <w:p w14:paraId="7F332627" w14:textId="77777777" w:rsidR="004B0883" w:rsidRDefault="004B0883">
            <w:pPr>
              <w:snapToGrid w:val="0"/>
              <w:jc w:val="right"/>
              <w:rPr>
                <w:rFonts w:eastAsia="等线"/>
                <w:b/>
                <w:kern w:val="0"/>
                <w:sz w:val="18"/>
                <w:szCs w:val="18"/>
              </w:rPr>
            </w:pPr>
            <w:r>
              <w:rPr>
                <w:rFonts w:eastAsia="等线"/>
                <w:b/>
                <w:kern w:val="0"/>
                <w:sz w:val="18"/>
                <w:szCs w:val="18"/>
              </w:rPr>
              <w:t>1,470.00</w:t>
            </w:r>
          </w:p>
        </w:tc>
        <w:tc>
          <w:tcPr>
            <w:tcW w:w="947" w:type="dxa"/>
            <w:shd w:val="clear" w:color="auto" w:fill="FFFFFF"/>
            <w:vAlign w:val="center"/>
          </w:tcPr>
          <w:p w14:paraId="684BB2A8" w14:textId="77777777" w:rsidR="004B0883" w:rsidRDefault="004B0883">
            <w:pPr>
              <w:snapToGrid w:val="0"/>
              <w:jc w:val="right"/>
              <w:rPr>
                <w:rFonts w:eastAsia="等线"/>
                <w:b/>
                <w:kern w:val="0"/>
                <w:sz w:val="18"/>
                <w:szCs w:val="18"/>
              </w:rPr>
            </w:pPr>
            <w:r>
              <w:rPr>
                <w:rFonts w:eastAsia="等线"/>
                <w:b/>
                <w:kern w:val="0"/>
                <w:sz w:val="18"/>
                <w:szCs w:val="18"/>
              </w:rPr>
              <w:t>2,450.00</w:t>
            </w:r>
          </w:p>
        </w:tc>
        <w:tc>
          <w:tcPr>
            <w:tcW w:w="947" w:type="dxa"/>
            <w:shd w:val="clear" w:color="auto" w:fill="FFFFFF"/>
            <w:vAlign w:val="center"/>
          </w:tcPr>
          <w:p w14:paraId="3B11C70D" w14:textId="77777777" w:rsidR="004B0883" w:rsidRDefault="004B0883">
            <w:pPr>
              <w:snapToGrid w:val="0"/>
              <w:jc w:val="right"/>
              <w:rPr>
                <w:rFonts w:eastAsia="等线"/>
                <w:b/>
                <w:kern w:val="0"/>
                <w:sz w:val="18"/>
                <w:szCs w:val="18"/>
              </w:rPr>
            </w:pPr>
            <w:r>
              <w:rPr>
                <w:rFonts w:eastAsia="等线"/>
                <w:b/>
                <w:kern w:val="0"/>
                <w:sz w:val="18"/>
                <w:szCs w:val="18"/>
              </w:rPr>
              <w:t>3,430.00</w:t>
            </w:r>
          </w:p>
        </w:tc>
        <w:tc>
          <w:tcPr>
            <w:tcW w:w="947" w:type="dxa"/>
            <w:shd w:val="clear" w:color="auto" w:fill="FFFFFF"/>
            <w:vAlign w:val="center"/>
          </w:tcPr>
          <w:p w14:paraId="340E0667" w14:textId="77777777" w:rsidR="004B0883" w:rsidRDefault="004B0883">
            <w:pPr>
              <w:snapToGrid w:val="0"/>
              <w:jc w:val="right"/>
              <w:rPr>
                <w:rFonts w:eastAsia="等线"/>
                <w:b/>
                <w:kern w:val="0"/>
                <w:sz w:val="18"/>
                <w:szCs w:val="18"/>
              </w:rPr>
            </w:pPr>
            <w:r>
              <w:rPr>
                <w:rFonts w:eastAsia="等线"/>
                <w:b/>
                <w:kern w:val="0"/>
                <w:sz w:val="18"/>
                <w:szCs w:val="18"/>
              </w:rPr>
              <w:t>4,900.00</w:t>
            </w:r>
          </w:p>
        </w:tc>
        <w:tc>
          <w:tcPr>
            <w:tcW w:w="947" w:type="dxa"/>
            <w:shd w:val="clear" w:color="auto" w:fill="FFFFFF"/>
            <w:vAlign w:val="center"/>
          </w:tcPr>
          <w:p w14:paraId="19187E9A" w14:textId="77777777" w:rsidR="004B0883" w:rsidRDefault="004B0883">
            <w:pPr>
              <w:snapToGrid w:val="0"/>
              <w:jc w:val="right"/>
              <w:rPr>
                <w:rFonts w:eastAsia="等线"/>
                <w:b/>
                <w:kern w:val="0"/>
                <w:sz w:val="18"/>
                <w:szCs w:val="18"/>
              </w:rPr>
            </w:pPr>
            <w:r>
              <w:rPr>
                <w:rFonts w:eastAsia="等线"/>
                <w:b/>
                <w:kern w:val="0"/>
                <w:sz w:val="18"/>
                <w:szCs w:val="18"/>
              </w:rPr>
              <w:t>4,900.00</w:t>
            </w:r>
          </w:p>
        </w:tc>
        <w:tc>
          <w:tcPr>
            <w:tcW w:w="947" w:type="dxa"/>
            <w:shd w:val="clear" w:color="auto" w:fill="FFFFFF"/>
            <w:vAlign w:val="center"/>
          </w:tcPr>
          <w:p w14:paraId="5BBDA3F9" w14:textId="77777777" w:rsidR="004B0883" w:rsidRDefault="004B0883">
            <w:pPr>
              <w:snapToGrid w:val="0"/>
              <w:jc w:val="right"/>
              <w:rPr>
                <w:rFonts w:eastAsia="等线"/>
                <w:b/>
                <w:kern w:val="0"/>
                <w:sz w:val="18"/>
                <w:szCs w:val="18"/>
              </w:rPr>
            </w:pPr>
            <w:r>
              <w:rPr>
                <w:rFonts w:eastAsia="等线"/>
                <w:b/>
                <w:kern w:val="0"/>
                <w:sz w:val="18"/>
                <w:szCs w:val="18"/>
              </w:rPr>
              <w:t>4,900.00</w:t>
            </w:r>
          </w:p>
        </w:tc>
        <w:tc>
          <w:tcPr>
            <w:tcW w:w="947" w:type="dxa"/>
            <w:shd w:val="clear" w:color="auto" w:fill="FFFFFF"/>
            <w:vAlign w:val="center"/>
          </w:tcPr>
          <w:p w14:paraId="154872FB" w14:textId="77777777" w:rsidR="004B0883" w:rsidRDefault="004B0883">
            <w:pPr>
              <w:snapToGrid w:val="0"/>
              <w:jc w:val="right"/>
              <w:rPr>
                <w:rFonts w:eastAsia="等线"/>
                <w:b/>
                <w:kern w:val="0"/>
                <w:sz w:val="18"/>
                <w:szCs w:val="18"/>
              </w:rPr>
            </w:pPr>
            <w:r>
              <w:rPr>
                <w:rFonts w:eastAsia="等线"/>
                <w:b/>
                <w:kern w:val="0"/>
                <w:sz w:val="18"/>
                <w:szCs w:val="18"/>
              </w:rPr>
              <w:t>4,900.00</w:t>
            </w:r>
          </w:p>
        </w:tc>
        <w:tc>
          <w:tcPr>
            <w:tcW w:w="947" w:type="dxa"/>
            <w:shd w:val="clear" w:color="auto" w:fill="FFFFFF"/>
            <w:vAlign w:val="center"/>
          </w:tcPr>
          <w:p w14:paraId="176FD3C3" w14:textId="77777777" w:rsidR="004B0883" w:rsidRDefault="004B0883">
            <w:pPr>
              <w:snapToGrid w:val="0"/>
              <w:jc w:val="right"/>
              <w:rPr>
                <w:rFonts w:eastAsia="等线"/>
                <w:b/>
                <w:kern w:val="0"/>
                <w:sz w:val="18"/>
                <w:szCs w:val="18"/>
              </w:rPr>
            </w:pPr>
            <w:r>
              <w:rPr>
                <w:rFonts w:eastAsia="等线"/>
                <w:b/>
                <w:kern w:val="0"/>
                <w:sz w:val="18"/>
                <w:szCs w:val="18"/>
              </w:rPr>
              <w:t>4,900.00</w:t>
            </w:r>
          </w:p>
        </w:tc>
      </w:tr>
      <w:tr w:rsidR="004B0883" w14:paraId="22E1AA98" w14:textId="77777777">
        <w:trPr>
          <w:trHeight w:val="397"/>
          <w:jc w:val="center"/>
        </w:trPr>
        <w:tc>
          <w:tcPr>
            <w:tcW w:w="430" w:type="dxa"/>
            <w:shd w:val="clear" w:color="auto" w:fill="FFFFFF"/>
            <w:tcMar>
              <w:top w:w="0" w:type="dxa"/>
              <w:left w:w="30" w:type="dxa"/>
              <w:bottom w:w="0" w:type="dxa"/>
              <w:right w:w="30" w:type="dxa"/>
            </w:tcMar>
            <w:vAlign w:val="center"/>
          </w:tcPr>
          <w:p w14:paraId="189871F1" w14:textId="77777777" w:rsidR="004B0883" w:rsidRDefault="004B0883">
            <w:pPr>
              <w:snapToGrid w:val="0"/>
              <w:jc w:val="center"/>
              <w:rPr>
                <w:rFonts w:eastAsia="等线"/>
                <w:bCs/>
                <w:kern w:val="0"/>
                <w:sz w:val="18"/>
                <w:szCs w:val="18"/>
              </w:rPr>
            </w:pPr>
          </w:p>
        </w:tc>
        <w:tc>
          <w:tcPr>
            <w:tcW w:w="1411" w:type="dxa"/>
            <w:shd w:val="clear" w:color="auto" w:fill="FFFFFF"/>
            <w:vAlign w:val="center"/>
          </w:tcPr>
          <w:p w14:paraId="2B57DCD4" w14:textId="77777777" w:rsidR="004B0883" w:rsidRDefault="004B0883">
            <w:pPr>
              <w:snapToGrid w:val="0"/>
              <w:jc w:val="center"/>
              <w:rPr>
                <w:bCs/>
                <w:kern w:val="0"/>
                <w:sz w:val="18"/>
                <w:szCs w:val="24"/>
              </w:rPr>
            </w:pPr>
            <w:r>
              <w:rPr>
                <w:rFonts w:hint="eastAsia"/>
                <w:bCs/>
                <w:kern w:val="0"/>
                <w:sz w:val="18"/>
                <w:szCs w:val="24"/>
              </w:rPr>
              <w:t>单价（元）</w:t>
            </w:r>
          </w:p>
        </w:tc>
        <w:tc>
          <w:tcPr>
            <w:tcW w:w="941" w:type="dxa"/>
            <w:shd w:val="clear" w:color="auto" w:fill="FFFFFF"/>
            <w:vAlign w:val="center"/>
          </w:tcPr>
          <w:p w14:paraId="64BF8648" w14:textId="77777777" w:rsidR="004B0883" w:rsidRDefault="004B0883">
            <w:pPr>
              <w:snapToGrid w:val="0"/>
              <w:jc w:val="right"/>
              <w:rPr>
                <w:rFonts w:eastAsia="等线"/>
                <w:bCs/>
                <w:kern w:val="0"/>
                <w:sz w:val="18"/>
                <w:szCs w:val="18"/>
              </w:rPr>
            </w:pPr>
            <w:r>
              <w:rPr>
                <w:rFonts w:eastAsia="等线"/>
                <w:bCs/>
                <w:kern w:val="0"/>
                <w:sz w:val="15"/>
                <w:szCs w:val="15"/>
              </w:rPr>
              <w:t>-</w:t>
            </w:r>
          </w:p>
        </w:tc>
        <w:tc>
          <w:tcPr>
            <w:tcW w:w="942" w:type="dxa"/>
            <w:shd w:val="clear" w:color="auto" w:fill="FFFFFF"/>
            <w:vAlign w:val="center"/>
          </w:tcPr>
          <w:p w14:paraId="228F6D1F" w14:textId="77777777" w:rsidR="004B0883" w:rsidRDefault="004B0883">
            <w:pPr>
              <w:snapToGrid w:val="0"/>
              <w:jc w:val="right"/>
              <w:rPr>
                <w:rFonts w:eastAsia="等线"/>
                <w:bCs/>
                <w:kern w:val="0"/>
                <w:sz w:val="18"/>
                <w:szCs w:val="18"/>
              </w:rPr>
            </w:pPr>
            <w:r>
              <w:rPr>
                <w:rFonts w:eastAsia="等线"/>
                <w:bCs/>
                <w:kern w:val="0"/>
                <w:sz w:val="15"/>
                <w:szCs w:val="15"/>
              </w:rPr>
              <w:t>-</w:t>
            </w:r>
          </w:p>
        </w:tc>
        <w:tc>
          <w:tcPr>
            <w:tcW w:w="947" w:type="dxa"/>
            <w:shd w:val="clear" w:color="auto" w:fill="FFFFFF"/>
            <w:vAlign w:val="center"/>
          </w:tcPr>
          <w:p w14:paraId="735A067D" w14:textId="77777777" w:rsidR="004B0883" w:rsidRDefault="004B0883">
            <w:pPr>
              <w:snapToGrid w:val="0"/>
              <w:jc w:val="right"/>
              <w:rPr>
                <w:rFonts w:eastAsia="等线"/>
                <w:bCs/>
                <w:kern w:val="0"/>
                <w:sz w:val="18"/>
                <w:szCs w:val="18"/>
              </w:rPr>
            </w:pPr>
            <w:r>
              <w:rPr>
                <w:rFonts w:eastAsia="等线"/>
                <w:bCs/>
                <w:kern w:val="0"/>
                <w:sz w:val="18"/>
                <w:szCs w:val="18"/>
              </w:rPr>
              <w:t>1,400.00</w:t>
            </w:r>
          </w:p>
        </w:tc>
        <w:tc>
          <w:tcPr>
            <w:tcW w:w="947" w:type="dxa"/>
            <w:shd w:val="clear" w:color="auto" w:fill="FFFFFF"/>
            <w:vAlign w:val="center"/>
          </w:tcPr>
          <w:p w14:paraId="5FB7ED82" w14:textId="77777777" w:rsidR="004B0883" w:rsidRDefault="004B0883">
            <w:pPr>
              <w:snapToGrid w:val="0"/>
              <w:jc w:val="right"/>
              <w:rPr>
                <w:rFonts w:eastAsia="等线"/>
                <w:bCs/>
                <w:kern w:val="0"/>
                <w:sz w:val="18"/>
                <w:szCs w:val="18"/>
              </w:rPr>
            </w:pPr>
            <w:r>
              <w:rPr>
                <w:rFonts w:eastAsia="等线"/>
                <w:bCs/>
                <w:kern w:val="0"/>
                <w:sz w:val="18"/>
                <w:szCs w:val="18"/>
              </w:rPr>
              <w:t>1,400.00</w:t>
            </w:r>
          </w:p>
        </w:tc>
        <w:tc>
          <w:tcPr>
            <w:tcW w:w="947" w:type="dxa"/>
            <w:shd w:val="clear" w:color="auto" w:fill="FFFFFF"/>
            <w:vAlign w:val="center"/>
          </w:tcPr>
          <w:p w14:paraId="2E1F770F" w14:textId="77777777" w:rsidR="004B0883" w:rsidRDefault="004B0883">
            <w:pPr>
              <w:snapToGrid w:val="0"/>
              <w:jc w:val="right"/>
              <w:rPr>
                <w:rFonts w:eastAsia="等线"/>
                <w:bCs/>
                <w:kern w:val="0"/>
                <w:sz w:val="18"/>
                <w:szCs w:val="18"/>
              </w:rPr>
            </w:pPr>
            <w:r>
              <w:rPr>
                <w:rFonts w:eastAsia="等线"/>
                <w:bCs/>
                <w:kern w:val="0"/>
                <w:sz w:val="18"/>
                <w:szCs w:val="18"/>
              </w:rPr>
              <w:t>1,400.00</w:t>
            </w:r>
          </w:p>
        </w:tc>
        <w:tc>
          <w:tcPr>
            <w:tcW w:w="947" w:type="dxa"/>
            <w:shd w:val="clear" w:color="auto" w:fill="FFFFFF"/>
            <w:vAlign w:val="center"/>
          </w:tcPr>
          <w:p w14:paraId="08274455" w14:textId="77777777" w:rsidR="004B0883" w:rsidRDefault="004B0883">
            <w:pPr>
              <w:snapToGrid w:val="0"/>
              <w:jc w:val="right"/>
              <w:rPr>
                <w:rFonts w:eastAsia="等线"/>
                <w:bCs/>
                <w:kern w:val="0"/>
                <w:sz w:val="18"/>
                <w:szCs w:val="18"/>
              </w:rPr>
            </w:pPr>
            <w:r>
              <w:rPr>
                <w:rFonts w:eastAsia="等线"/>
                <w:bCs/>
                <w:kern w:val="0"/>
                <w:sz w:val="18"/>
                <w:szCs w:val="18"/>
              </w:rPr>
              <w:t>1,400.00</w:t>
            </w:r>
          </w:p>
        </w:tc>
        <w:tc>
          <w:tcPr>
            <w:tcW w:w="947" w:type="dxa"/>
            <w:shd w:val="clear" w:color="auto" w:fill="FFFFFF"/>
            <w:vAlign w:val="center"/>
          </w:tcPr>
          <w:p w14:paraId="65752819" w14:textId="77777777" w:rsidR="004B0883" w:rsidRDefault="004B0883">
            <w:pPr>
              <w:snapToGrid w:val="0"/>
              <w:jc w:val="right"/>
              <w:rPr>
                <w:rFonts w:eastAsia="等线"/>
                <w:bCs/>
                <w:kern w:val="0"/>
                <w:sz w:val="18"/>
                <w:szCs w:val="18"/>
              </w:rPr>
            </w:pPr>
            <w:r>
              <w:rPr>
                <w:rFonts w:eastAsia="等线"/>
                <w:bCs/>
                <w:kern w:val="0"/>
                <w:sz w:val="18"/>
                <w:szCs w:val="18"/>
              </w:rPr>
              <w:t>1,400.00</w:t>
            </w:r>
          </w:p>
        </w:tc>
        <w:tc>
          <w:tcPr>
            <w:tcW w:w="947" w:type="dxa"/>
            <w:shd w:val="clear" w:color="auto" w:fill="FFFFFF"/>
            <w:vAlign w:val="center"/>
          </w:tcPr>
          <w:p w14:paraId="5A904243" w14:textId="77777777" w:rsidR="004B0883" w:rsidRDefault="004B0883">
            <w:pPr>
              <w:snapToGrid w:val="0"/>
              <w:jc w:val="right"/>
              <w:rPr>
                <w:rFonts w:eastAsia="等线"/>
                <w:bCs/>
                <w:kern w:val="0"/>
                <w:sz w:val="18"/>
                <w:szCs w:val="18"/>
              </w:rPr>
            </w:pPr>
            <w:r>
              <w:rPr>
                <w:rFonts w:eastAsia="等线"/>
                <w:bCs/>
                <w:kern w:val="0"/>
                <w:sz w:val="18"/>
                <w:szCs w:val="18"/>
              </w:rPr>
              <w:t>1,400.00</w:t>
            </w:r>
          </w:p>
        </w:tc>
        <w:tc>
          <w:tcPr>
            <w:tcW w:w="947" w:type="dxa"/>
            <w:shd w:val="clear" w:color="auto" w:fill="FFFFFF"/>
            <w:vAlign w:val="center"/>
          </w:tcPr>
          <w:p w14:paraId="6B4AF5DB" w14:textId="77777777" w:rsidR="004B0883" w:rsidRDefault="004B0883">
            <w:pPr>
              <w:snapToGrid w:val="0"/>
              <w:jc w:val="right"/>
              <w:rPr>
                <w:rFonts w:eastAsia="等线"/>
                <w:bCs/>
                <w:kern w:val="0"/>
                <w:sz w:val="18"/>
                <w:szCs w:val="18"/>
              </w:rPr>
            </w:pPr>
            <w:r>
              <w:rPr>
                <w:rFonts w:eastAsia="等线"/>
                <w:bCs/>
                <w:kern w:val="0"/>
                <w:sz w:val="18"/>
                <w:szCs w:val="18"/>
              </w:rPr>
              <w:t>1,400.00</w:t>
            </w:r>
          </w:p>
        </w:tc>
        <w:tc>
          <w:tcPr>
            <w:tcW w:w="947" w:type="dxa"/>
            <w:shd w:val="clear" w:color="auto" w:fill="FFFFFF"/>
            <w:vAlign w:val="center"/>
          </w:tcPr>
          <w:p w14:paraId="35C6B384" w14:textId="77777777" w:rsidR="004B0883" w:rsidRDefault="004B0883">
            <w:pPr>
              <w:snapToGrid w:val="0"/>
              <w:jc w:val="right"/>
              <w:rPr>
                <w:rFonts w:eastAsia="等线"/>
                <w:bCs/>
                <w:kern w:val="0"/>
                <w:sz w:val="18"/>
                <w:szCs w:val="18"/>
              </w:rPr>
            </w:pPr>
            <w:r>
              <w:rPr>
                <w:rFonts w:eastAsia="等线"/>
                <w:bCs/>
                <w:kern w:val="0"/>
                <w:sz w:val="18"/>
                <w:szCs w:val="18"/>
              </w:rPr>
              <w:t>1,400.00</w:t>
            </w:r>
          </w:p>
        </w:tc>
      </w:tr>
      <w:tr w:rsidR="004B0883" w14:paraId="0C0BF16E" w14:textId="77777777">
        <w:trPr>
          <w:trHeight w:val="397"/>
          <w:jc w:val="center"/>
        </w:trPr>
        <w:tc>
          <w:tcPr>
            <w:tcW w:w="430" w:type="dxa"/>
            <w:shd w:val="clear" w:color="auto" w:fill="FFFFFF"/>
            <w:tcMar>
              <w:top w:w="0" w:type="dxa"/>
              <w:left w:w="30" w:type="dxa"/>
              <w:bottom w:w="0" w:type="dxa"/>
              <w:right w:w="30" w:type="dxa"/>
            </w:tcMar>
            <w:vAlign w:val="center"/>
          </w:tcPr>
          <w:p w14:paraId="465A4250" w14:textId="77777777" w:rsidR="004B0883" w:rsidRDefault="004B0883">
            <w:pPr>
              <w:snapToGrid w:val="0"/>
              <w:jc w:val="center"/>
              <w:rPr>
                <w:rFonts w:eastAsia="等线"/>
                <w:bCs/>
                <w:kern w:val="0"/>
                <w:sz w:val="18"/>
                <w:szCs w:val="18"/>
              </w:rPr>
            </w:pPr>
          </w:p>
        </w:tc>
        <w:tc>
          <w:tcPr>
            <w:tcW w:w="1411" w:type="dxa"/>
            <w:shd w:val="clear" w:color="auto" w:fill="FFFFFF"/>
            <w:vAlign w:val="center"/>
          </w:tcPr>
          <w:p w14:paraId="0FAEE0A4" w14:textId="77777777" w:rsidR="004B0883" w:rsidRDefault="004B0883">
            <w:pPr>
              <w:snapToGrid w:val="0"/>
              <w:jc w:val="center"/>
              <w:rPr>
                <w:bCs/>
                <w:kern w:val="0"/>
                <w:sz w:val="18"/>
                <w:szCs w:val="24"/>
              </w:rPr>
            </w:pPr>
            <w:r>
              <w:rPr>
                <w:rFonts w:hint="eastAsia"/>
                <w:bCs/>
                <w:kern w:val="0"/>
                <w:sz w:val="18"/>
                <w:szCs w:val="24"/>
              </w:rPr>
              <w:t>数量（万套）</w:t>
            </w:r>
          </w:p>
        </w:tc>
        <w:tc>
          <w:tcPr>
            <w:tcW w:w="941" w:type="dxa"/>
            <w:shd w:val="clear" w:color="auto" w:fill="FFFFFF"/>
            <w:vAlign w:val="center"/>
          </w:tcPr>
          <w:p w14:paraId="42ECA46E"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42" w:type="dxa"/>
            <w:shd w:val="clear" w:color="auto" w:fill="FFFFFF"/>
            <w:vAlign w:val="center"/>
          </w:tcPr>
          <w:p w14:paraId="0B6CFA4A"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47" w:type="dxa"/>
            <w:shd w:val="clear" w:color="auto" w:fill="FFFFFF"/>
            <w:vAlign w:val="center"/>
          </w:tcPr>
          <w:p w14:paraId="6ECA92B1" w14:textId="77777777" w:rsidR="004B0883" w:rsidRDefault="004B0883">
            <w:pPr>
              <w:snapToGrid w:val="0"/>
              <w:jc w:val="right"/>
              <w:rPr>
                <w:rFonts w:eastAsia="等线"/>
                <w:bCs/>
                <w:kern w:val="0"/>
                <w:sz w:val="18"/>
                <w:szCs w:val="18"/>
              </w:rPr>
            </w:pPr>
            <w:r>
              <w:rPr>
                <w:rFonts w:eastAsia="等线"/>
                <w:bCs/>
                <w:kern w:val="0"/>
                <w:sz w:val="18"/>
                <w:szCs w:val="18"/>
              </w:rPr>
              <w:t>1.05</w:t>
            </w:r>
          </w:p>
        </w:tc>
        <w:tc>
          <w:tcPr>
            <w:tcW w:w="947" w:type="dxa"/>
            <w:shd w:val="clear" w:color="auto" w:fill="FFFFFF"/>
            <w:vAlign w:val="center"/>
          </w:tcPr>
          <w:p w14:paraId="6C6A77C6" w14:textId="77777777" w:rsidR="004B0883" w:rsidRDefault="004B0883">
            <w:pPr>
              <w:snapToGrid w:val="0"/>
              <w:jc w:val="right"/>
              <w:rPr>
                <w:rFonts w:eastAsia="等线"/>
                <w:bCs/>
                <w:kern w:val="0"/>
                <w:sz w:val="18"/>
                <w:szCs w:val="18"/>
              </w:rPr>
            </w:pPr>
            <w:r>
              <w:rPr>
                <w:rFonts w:eastAsia="等线"/>
                <w:bCs/>
                <w:kern w:val="0"/>
                <w:sz w:val="18"/>
                <w:szCs w:val="18"/>
              </w:rPr>
              <w:t>1.75</w:t>
            </w:r>
          </w:p>
        </w:tc>
        <w:tc>
          <w:tcPr>
            <w:tcW w:w="947" w:type="dxa"/>
            <w:shd w:val="clear" w:color="auto" w:fill="FFFFFF"/>
            <w:vAlign w:val="center"/>
          </w:tcPr>
          <w:p w14:paraId="4B81E14A" w14:textId="77777777" w:rsidR="004B0883" w:rsidRDefault="004B0883">
            <w:pPr>
              <w:snapToGrid w:val="0"/>
              <w:jc w:val="right"/>
              <w:rPr>
                <w:rFonts w:eastAsia="等线"/>
                <w:bCs/>
                <w:kern w:val="0"/>
                <w:sz w:val="18"/>
                <w:szCs w:val="18"/>
              </w:rPr>
            </w:pPr>
            <w:r>
              <w:rPr>
                <w:rFonts w:eastAsia="等线"/>
                <w:bCs/>
                <w:kern w:val="0"/>
                <w:sz w:val="18"/>
                <w:szCs w:val="18"/>
              </w:rPr>
              <w:t>2.45</w:t>
            </w:r>
          </w:p>
        </w:tc>
        <w:tc>
          <w:tcPr>
            <w:tcW w:w="947" w:type="dxa"/>
            <w:shd w:val="clear" w:color="auto" w:fill="FFFFFF"/>
            <w:vAlign w:val="center"/>
          </w:tcPr>
          <w:p w14:paraId="50AC9F2F" w14:textId="77777777" w:rsidR="004B0883" w:rsidRDefault="004B0883">
            <w:pPr>
              <w:snapToGrid w:val="0"/>
              <w:jc w:val="right"/>
              <w:rPr>
                <w:rFonts w:eastAsia="等线"/>
                <w:bCs/>
                <w:kern w:val="0"/>
                <w:sz w:val="18"/>
                <w:szCs w:val="18"/>
              </w:rPr>
            </w:pPr>
            <w:r>
              <w:rPr>
                <w:rFonts w:eastAsia="等线"/>
                <w:bCs/>
                <w:kern w:val="0"/>
                <w:sz w:val="18"/>
                <w:szCs w:val="18"/>
              </w:rPr>
              <w:t>3.50</w:t>
            </w:r>
          </w:p>
        </w:tc>
        <w:tc>
          <w:tcPr>
            <w:tcW w:w="947" w:type="dxa"/>
            <w:shd w:val="clear" w:color="auto" w:fill="FFFFFF"/>
            <w:vAlign w:val="center"/>
          </w:tcPr>
          <w:p w14:paraId="0963BCF9" w14:textId="77777777" w:rsidR="004B0883" w:rsidRDefault="004B0883">
            <w:pPr>
              <w:snapToGrid w:val="0"/>
              <w:jc w:val="right"/>
              <w:rPr>
                <w:rFonts w:eastAsia="等线"/>
                <w:bCs/>
                <w:kern w:val="0"/>
                <w:sz w:val="18"/>
                <w:szCs w:val="18"/>
              </w:rPr>
            </w:pPr>
            <w:r>
              <w:rPr>
                <w:rFonts w:eastAsia="等线"/>
                <w:bCs/>
                <w:kern w:val="0"/>
                <w:sz w:val="18"/>
                <w:szCs w:val="18"/>
              </w:rPr>
              <w:t>3.50</w:t>
            </w:r>
          </w:p>
        </w:tc>
        <w:tc>
          <w:tcPr>
            <w:tcW w:w="947" w:type="dxa"/>
            <w:shd w:val="clear" w:color="auto" w:fill="FFFFFF"/>
            <w:vAlign w:val="center"/>
          </w:tcPr>
          <w:p w14:paraId="52554957" w14:textId="77777777" w:rsidR="004B0883" w:rsidRDefault="004B0883">
            <w:pPr>
              <w:snapToGrid w:val="0"/>
              <w:jc w:val="right"/>
              <w:rPr>
                <w:rFonts w:eastAsia="等线"/>
                <w:bCs/>
                <w:kern w:val="0"/>
                <w:sz w:val="18"/>
                <w:szCs w:val="18"/>
              </w:rPr>
            </w:pPr>
            <w:r>
              <w:rPr>
                <w:rFonts w:eastAsia="等线"/>
                <w:bCs/>
                <w:kern w:val="0"/>
                <w:sz w:val="18"/>
                <w:szCs w:val="18"/>
              </w:rPr>
              <w:t>3.50</w:t>
            </w:r>
          </w:p>
        </w:tc>
        <w:tc>
          <w:tcPr>
            <w:tcW w:w="947" w:type="dxa"/>
            <w:shd w:val="clear" w:color="auto" w:fill="FFFFFF"/>
            <w:vAlign w:val="center"/>
          </w:tcPr>
          <w:p w14:paraId="2CEB60E1" w14:textId="77777777" w:rsidR="004B0883" w:rsidRDefault="004B0883">
            <w:pPr>
              <w:snapToGrid w:val="0"/>
              <w:jc w:val="right"/>
              <w:rPr>
                <w:rFonts w:eastAsia="等线"/>
                <w:bCs/>
                <w:kern w:val="0"/>
                <w:sz w:val="18"/>
                <w:szCs w:val="18"/>
              </w:rPr>
            </w:pPr>
            <w:r>
              <w:rPr>
                <w:rFonts w:eastAsia="等线"/>
                <w:bCs/>
                <w:kern w:val="0"/>
                <w:sz w:val="18"/>
                <w:szCs w:val="18"/>
              </w:rPr>
              <w:t>3.50</w:t>
            </w:r>
          </w:p>
        </w:tc>
        <w:tc>
          <w:tcPr>
            <w:tcW w:w="947" w:type="dxa"/>
            <w:shd w:val="clear" w:color="auto" w:fill="FFFFFF"/>
            <w:vAlign w:val="center"/>
          </w:tcPr>
          <w:p w14:paraId="5CF05C25" w14:textId="77777777" w:rsidR="004B0883" w:rsidRDefault="004B0883">
            <w:pPr>
              <w:snapToGrid w:val="0"/>
              <w:jc w:val="right"/>
              <w:rPr>
                <w:rFonts w:eastAsia="等线"/>
                <w:bCs/>
                <w:kern w:val="0"/>
                <w:sz w:val="18"/>
                <w:szCs w:val="18"/>
              </w:rPr>
            </w:pPr>
            <w:r>
              <w:rPr>
                <w:rFonts w:eastAsia="等线"/>
                <w:bCs/>
                <w:kern w:val="0"/>
                <w:sz w:val="18"/>
                <w:szCs w:val="18"/>
              </w:rPr>
              <w:t>3.50</w:t>
            </w:r>
          </w:p>
        </w:tc>
      </w:tr>
      <w:tr w:rsidR="004B0883" w14:paraId="477F7E09" w14:textId="77777777">
        <w:trPr>
          <w:trHeight w:val="397"/>
          <w:jc w:val="center"/>
        </w:trPr>
        <w:tc>
          <w:tcPr>
            <w:tcW w:w="430" w:type="dxa"/>
            <w:shd w:val="clear" w:color="auto" w:fill="FFFFFF"/>
            <w:tcMar>
              <w:top w:w="0" w:type="dxa"/>
              <w:left w:w="30" w:type="dxa"/>
              <w:bottom w:w="0" w:type="dxa"/>
              <w:right w:w="30" w:type="dxa"/>
            </w:tcMar>
            <w:vAlign w:val="center"/>
          </w:tcPr>
          <w:p w14:paraId="4139B159" w14:textId="77777777" w:rsidR="004B0883" w:rsidRDefault="004B0883">
            <w:pPr>
              <w:snapToGrid w:val="0"/>
              <w:jc w:val="center"/>
              <w:rPr>
                <w:rFonts w:eastAsia="等线"/>
                <w:b/>
                <w:kern w:val="0"/>
                <w:sz w:val="18"/>
                <w:szCs w:val="18"/>
              </w:rPr>
            </w:pPr>
            <w:r>
              <w:rPr>
                <w:rFonts w:eastAsia="等线"/>
                <w:b/>
                <w:kern w:val="0"/>
                <w:sz w:val="18"/>
                <w:szCs w:val="18"/>
              </w:rPr>
              <w:t>2</w:t>
            </w:r>
          </w:p>
        </w:tc>
        <w:tc>
          <w:tcPr>
            <w:tcW w:w="1411" w:type="dxa"/>
            <w:shd w:val="clear" w:color="auto" w:fill="FFFFFF"/>
            <w:vAlign w:val="center"/>
          </w:tcPr>
          <w:p w14:paraId="5D557980" w14:textId="77777777" w:rsidR="004B0883" w:rsidRDefault="004B0883">
            <w:pPr>
              <w:snapToGrid w:val="0"/>
              <w:jc w:val="center"/>
              <w:rPr>
                <w:b/>
                <w:kern w:val="0"/>
                <w:sz w:val="18"/>
                <w:szCs w:val="24"/>
              </w:rPr>
            </w:pPr>
            <w:r>
              <w:rPr>
                <w:rFonts w:hint="eastAsia"/>
                <w:b/>
                <w:kern w:val="0"/>
                <w:sz w:val="18"/>
                <w:szCs w:val="24"/>
              </w:rPr>
              <w:t>税金及附加</w:t>
            </w:r>
          </w:p>
        </w:tc>
        <w:tc>
          <w:tcPr>
            <w:tcW w:w="941" w:type="dxa"/>
            <w:shd w:val="clear" w:color="auto" w:fill="FFFFFF"/>
            <w:vAlign w:val="center"/>
          </w:tcPr>
          <w:p w14:paraId="3322F8FF" w14:textId="77777777" w:rsidR="004B0883" w:rsidRDefault="004B0883">
            <w:pPr>
              <w:snapToGrid w:val="0"/>
              <w:jc w:val="right"/>
              <w:rPr>
                <w:rFonts w:eastAsia="等线"/>
                <w:b/>
                <w:kern w:val="0"/>
                <w:sz w:val="18"/>
                <w:szCs w:val="18"/>
              </w:rPr>
            </w:pPr>
            <w:r>
              <w:rPr>
                <w:rFonts w:eastAsia="等线"/>
                <w:b/>
                <w:kern w:val="0"/>
                <w:sz w:val="18"/>
                <w:szCs w:val="18"/>
              </w:rPr>
              <w:t>-</w:t>
            </w:r>
          </w:p>
        </w:tc>
        <w:tc>
          <w:tcPr>
            <w:tcW w:w="942" w:type="dxa"/>
            <w:shd w:val="clear" w:color="auto" w:fill="FFFFFF"/>
            <w:vAlign w:val="center"/>
          </w:tcPr>
          <w:p w14:paraId="5FB70BC7" w14:textId="77777777" w:rsidR="004B0883" w:rsidRDefault="004B0883">
            <w:pPr>
              <w:snapToGrid w:val="0"/>
              <w:jc w:val="right"/>
              <w:rPr>
                <w:rFonts w:eastAsia="等线"/>
                <w:b/>
                <w:kern w:val="0"/>
                <w:sz w:val="18"/>
                <w:szCs w:val="18"/>
              </w:rPr>
            </w:pPr>
            <w:r>
              <w:rPr>
                <w:rFonts w:eastAsia="等线"/>
                <w:b/>
                <w:kern w:val="0"/>
                <w:sz w:val="18"/>
                <w:szCs w:val="18"/>
              </w:rPr>
              <w:t>-</w:t>
            </w:r>
          </w:p>
        </w:tc>
        <w:tc>
          <w:tcPr>
            <w:tcW w:w="947" w:type="dxa"/>
            <w:shd w:val="clear" w:color="auto" w:fill="FFFFFF"/>
            <w:vAlign w:val="center"/>
          </w:tcPr>
          <w:p w14:paraId="0C4BB387" w14:textId="77777777" w:rsidR="004B0883" w:rsidRDefault="004B0883">
            <w:pPr>
              <w:snapToGrid w:val="0"/>
              <w:jc w:val="right"/>
              <w:rPr>
                <w:rFonts w:eastAsia="等线"/>
                <w:b/>
                <w:kern w:val="0"/>
                <w:sz w:val="18"/>
                <w:szCs w:val="18"/>
              </w:rPr>
            </w:pPr>
            <w:r>
              <w:rPr>
                <w:rFonts w:eastAsia="等线"/>
                <w:b/>
                <w:kern w:val="0"/>
                <w:sz w:val="18"/>
                <w:szCs w:val="18"/>
              </w:rPr>
              <w:t>100.35</w:t>
            </w:r>
          </w:p>
        </w:tc>
        <w:tc>
          <w:tcPr>
            <w:tcW w:w="947" w:type="dxa"/>
            <w:shd w:val="clear" w:color="auto" w:fill="FFFFFF"/>
            <w:vAlign w:val="center"/>
          </w:tcPr>
          <w:p w14:paraId="4F32FA8A" w14:textId="77777777" w:rsidR="004B0883" w:rsidRDefault="004B0883">
            <w:pPr>
              <w:snapToGrid w:val="0"/>
              <w:jc w:val="right"/>
              <w:rPr>
                <w:rFonts w:eastAsia="等线"/>
                <w:b/>
                <w:kern w:val="0"/>
                <w:sz w:val="18"/>
                <w:szCs w:val="18"/>
              </w:rPr>
            </w:pPr>
            <w:r>
              <w:rPr>
                <w:rFonts w:eastAsia="等线"/>
                <w:b/>
                <w:kern w:val="0"/>
                <w:sz w:val="18"/>
                <w:szCs w:val="18"/>
              </w:rPr>
              <w:t>102.78</w:t>
            </w:r>
          </w:p>
        </w:tc>
        <w:tc>
          <w:tcPr>
            <w:tcW w:w="947" w:type="dxa"/>
            <w:shd w:val="clear" w:color="auto" w:fill="FFFFFF"/>
            <w:vAlign w:val="center"/>
          </w:tcPr>
          <w:p w14:paraId="71C25852" w14:textId="77777777" w:rsidR="004B0883" w:rsidRDefault="004B0883">
            <w:pPr>
              <w:snapToGrid w:val="0"/>
              <w:jc w:val="right"/>
              <w:rPr>
                <w:rFonts w:eastAsia="等线"/>
                <w:b/>
                <w:kern w:val="0"/>
                <w:sz w:val="18"/>
                <w:szCs w:val="18"/>
              </w:rPr>
            </w:pPr>
            <w:r>
              <w:rPr>
                <w:rFonts w:eastAsia="等线"/>
                <w:b/>
                <w:kern w:val="0"/>
                <w:sz w:val="18"/>
                <w:szCs w:val="18"/>
              </w:rPr>
              <w:t>234.56</w:t>
            </w:r>
          </w:p>
        </w:tc>
        <w:tc>
          <w:tcPr>
            <w:tcW w:w="947" w:type="dxa"/>
            <w:shd w:val="clear" w:color="auto" w:fill="FFFFFF"/>
            <w:vAlign w:val="center"/>
          </w:tcPr>
          <w:p w14:paraId="47C339F9" w14:textId="77777777" w:rsidR="004B0883" w:rsidRDefault="004B0883">
            <w:pPr>
              <w:snapToGrid w:val="0"/>
              <w:jc w:val="right"/>
              <w:rPr>
                <w:rFonts w:eastAsia="等线"/>
                <w:b/>
                <w:kern w:val="0"/>
                <w:sz w:val="18"/>
                <w:szCs w:val="18"/>
              </w:rPr>
            </w:pPr>
            <w:r>
              <w:rPr>
                <w:rFonts w:eastAsia="等线"/>
                <w:b/>
                <w:kern w:val="0"/>
                <w:sz w:val="18"/>
                <w:szCs w:val="18"/>
              </w:rPr>
              <w:t>401.76</w:t>
            </w:r>
          </w:p>
        </w:tc>
        <w:tc>
          <w:tcPr>
            <w:tcW w:w="947" w:type="dxa"/>
            <w:shd w:val="clear" w:color="auto" w:fill="FFFFFF"/>
            <w:vAlign w:val="center"/>
          </w:tcPr>
          <w:p w14:paraId="2793ECC9" w14:textId="77777777" w:rsidR="004B0883" w:rsidRDefault="004B0883">
            <w:pPr>
              <w:snapToGrid w:val="0"/>
              <w:jc w:val="right"/>
              <w:rPr>
                <w:rFonts w:eastAsia="等线"/>
                <w:b/>
                <w:kern w:val="0"/>
                <w:sz w:val="18"/>
                <w:szCs w:val="18"/>
              </w:rPr>
            </w:pPr>
            <w:r>
              <w:rPr>
                <w:rFonts w:eastAsia="等线"/>
                <w:b/>
                <w:kern w:val="0"/>
                <w:sz w:val="18"/>
                <w:szCs w:val="18"/>
              </w:rPr>
              <w:t>401.76</w:t>
            </w:r>
          </w:p>
        </w:tc>
        <w:tc>
          <w:tcPr>
            <w:tcW w:w="947" w:type="dxa"/>
            <w:shd w:val="clear" w:color="auto" w:fill="FFFFFF"/>
            <w:vAlign w:val="center"/>
          </w:tcPr>
          <w:p w14:paraId="70EFA100" w14:textId="77777777" w:rsidR="004B0883" w:rsidRDefault="004B0883">
            <w:pPr>
              <w:snapToGrid w:val="0"/>
              <w:jc w:val="right"/>
              <w:rPr>
                <w:rFonts w:eastAsia="等线"/>
                <w:b/>
                <w:kern w:val="0"/>
                <w:sz w:val="18"/>
                <w:szCs w:val="18"/>
              </w:rPr>
            </w:pPr>
            <w:r>
              <w:rPr>
                <w:rFonts w:eastAsia="等线"/>
                <w:b/>
                <w:kern w:val="0"/>
                <w:sz w:val="18"/>
                <w:szCs w:val="18"/>
              </w:rPr>
              <w:t>401.76</w:t>
            </w:r>
          </w:p>
        </w:tc>
        <w:tc>
          <w:tcPr>
            <w:tcW w:w="947" w:type="dxa"/>
            <w:shd w:val="clear" w:color="auto" w:fill="FFFFFF"/>
            <w:vAlign w:val="center"/>
          </w:tcPr>
          <w:p w14:paraId="34006FDE" w14:textId="77777777" w:rsidR="004B0883" w:rsidRDefault="004B0883">
            <w:pPr>
              <w:snapToGrid w:val="0"/>
              <w:jc w:val="right"/>
              <w:rPr>
                <w:rFonts w:eastAsia="等线"/>
                <w:b/>
                <w:kern w:val="0"/>
                <w:sz w:val="18"/>
                <w:szCs w:val="18"/>
              </w:rPr>
            </w:pPr>
            <w:r>
              <w:rPr>
                <w:rFonts w:eastAsia="等线"/>
                <w:b/>
                <w:kern w:val="0"/>
                <w:sz w:val="18"/>
                <w:szCs w:val="18"/>
              </w:rPr>
              <w:t>401.76</w:t>
            </w:r>
          </w:p>
        </w:tc>
        <w:tc>
          <w:tcPr>
            <w:tcW w:w="947" w:type="dxa"/>
            <w:shd w:val="clear" w:color="auto" w:fill="FFFFFF"/>
            <w:vAlign w:val="center"/>
          </w:tcPr>
          <w:p w14:paraId="0FD05CA9" w14:textId="77777777" w:rsidR="004B0883" w:rsidRDefault="004B0883">
            <w:pPr>
              <w:snapToGrid w:val="0"/>
              <w:jc w:val="right"/>
              <w:rPr>
                <w:rFonts w:eastAsia="等线"/>
                <w:b/>
                <w:kern w:val="0"/>
                <w:sz w:val="18"/>
                <w:szCs w:val="18"/>
              </w:rPr>
            </w:pPr>
            <w:r>
              <w:rPr>
                <w:rFonts w:eastAsia="等线"/>
                <w:b/>
                <w:kern w:val="0"/>
                <w:sz w:val="18"/>
                <w:szCs w:val="18"/>
              </w:rPr>
              <w:t>401.76</w:t>
            </w:r>
          </w:p>
        </w:tc>
      </w:tr>
      <w:tr w:rsidR="004B0883" w14:paraId="4DF52FC2" w14:textId="77777777">
        <w:trPr>
          <w:trHeight w:val="397"/>
          <w:jc w:val="center"/>
        </w:trPr>
        <w:tc>
          <w:tcPr>
            <w:tcW w:w="430" w:type="dxa"/>
            <w:shd w:val="clear" w:color="auto" w:fill="FFFFFF"/>
            <w:tcMar>
              <w:top w:w="0" w:type="dxa"/>
              <w:left w:w="30" w:type="dxa"/>
              <w:bottom w:w="0" w:type="dxa"/>
              <w:right w:w="30" w:type="dxa"/>
            </w:tcMar>
            <w:vAlign w:val="center"/>
          </w:tcPr>
          <w:p w14:paraId="0112F36B" w14:textId="77777777" w:rsidR="004B0883" w:rsidRDefault="004B0883">
            <w:pPr>
              <w:snapToGrid w:val="0"/>
              <w:jc w:val="center"/>
              <w:rPr>
                <w:rFonts w:eastAsia="等线"/>
                <w:bCs/>
                <w:kern w:val="0"/>
                <w:sz w:val="18"/>
                <w:szCs w:val="18"/>
              </w:rPr>
            </w:pPr>
            <w:r>
              <w:rPr>
                <w:rFonts w:eastAsia="等线"/>
                <w:bCs/>
                <w:kern w:val="0"/>
                <w:sz w:val="18"/>
                <w:szCs w:val="18"/>
              </w:rPr>
              <w:t>2.1</w:t>
            </w:r>
          </w:p>
        </w:tc>
        <w:tc>
          <w:tcPr>
            <w:tcW w:w="1411" w:type="dxa"/>
            <w:shd w:val="clear" w:color="auto" w:fill="FFFFFF"/>
            <w:vAlign w:val="center"/>
          </w:tcPr>
          <w:p w14:paraId="4F1102AC" w14:textId="77777777" w:rsidR="004B0883" w:rsidRDefault="004B0883">
            <w:pPr>
              <w:snapToGrid w:val="0"/>
              <w:jc w:val="center"/>
              <w:rPr>
                <w:bCs/>
                <w:kern w:val="0"/>
                <w:sz w:val="18"/>
                <w:szCs w:val="24"/>
              </w:rPr>
            </w:pPr>
            <w:r>
              <w:rPr>
                <w:rFonts w:hint="eastAsia"/>
                <w:bCs/>
                <w:kern w:val="0"/>
                <w:sz w:val="18"/>
                <w:szCs w:val="24"/>
              </w:rPr>
              <w:t>城市维护建设税</w:t>
            </w:r>
          </w:p>
        </w:tc>
        <w:tc>
          <w:tcPr>
            <w:tcW w:w="941" w:type="dxa"/>
            <w:shd w:val="clear" w:color="auto" w:fill="FFFFFF"/>
            <w:vAlign w:val="center"/>
          </w:tcPr>
          <w:p w14:paraId="5AA0602B"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42" w:type="dxa"/>
            <w:shd w:val="clear" w:color="auto" w:fill="FFFFFF"/>
            <w:vAlign w:val="center"/>
          </w:tcPr>
          <w:p w14:paraId="55963533"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47" w:type="dxa"/>
            <w:shd w:val="clear" w:color="auto" w:fill="FFFFFF"/>
            <w:vAlign w:val="center"/>
          </w:tcPr>
          <w:p w14:paraId="7E83CEB9"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47" w:type="dxa"/>
            <w:shd w:val="clear" w:color="auto" w:fill="FFFFFF"/>
            <w:vAlign w:val="center"/>
          </w:tcPr>
          <w:p w14:paraId="219E9050"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47" w:type="dxa"/>
            <w:shd w:val="clear" w:color="auto" w:fill="FFFFFF"/>
            <w:vAlign w:val="center"/>
          </w:tcPr>
          <w:p w14:paraId="5B12FF57" w14:textId="77777777" w:rsidR="004B0883" w:rsidRDefault="004B0883">
            <w:pPr>
              <w:snapToGrid w:val="0"/>
              <w:jc w:val="right"/>
              <w:rPr>
                <w:rFonts w:eastAsia="等线"/>
                <w:bCs/>
                <w:kern w:val="0"/>
                <w:sz w:val="18"/>
                <w:szCs w:val="18"/>
              </w:rPr>
            </w:pPr>
            <w:r>
              <w:rPr>
                <w:rFonts w:eastAsia="等线"/>
                <w:bCs/>
                <w:kern w:val="0"/>
                <w:sz w:val="18"/>
                <w:szCs w:val="18"/>
              </w:rPr>
              <w:t>75.46</w:t>
            </w:r>
          </w:p>
        </w:tc>
        <w:tc>
          <w:tcPr>
            <w:tcW w:w="947" w:type="dxa"/>
            <w:shd w:val="clear" w:color="auto" w:fill="FFFFFF"/>
            <w:vAlign w:val="center"/>
          </w:tcPr>
          <w:p w14:paraId="02DA81E1" w14:textId="77777777" w:rsidR="004B0883" w:rsidRDefault="004B0883">
            <w:pPr>
              <w:snapToGrid w:val="0"/>
              <w:jc w:val="right"/>
              <w:rPr>
                <w:rFonts w:eastAsia="等线"/>
                <w:bCs/>
                <w:kern w:val="0"/>
                <w:sz w:val="18"/>
                <w:szCs w:val="18"/>
              </w:rPr>
            </w:pPr>
            <w:r>
              <w:rPr>
                <w:rFonts w:eastAsia="等线"/>
                <w:bCs/>
                <w:kern w:val="0"/>
                <w:sz w:val="18"/>
                <w:szCs w:val="18"/>
              </w:rPr>
              <w:t>170.87</w:t>
            </w:r>
          </w:p>
        </w:tc>
        <w:tc>
          <w:tcPr>
            <w:tcW w:w="947" w:type="dxa"/>
            <w:shd w:val="clear" w:color="auto" w:fill="FFFFFF"/>
            <w:vAlign w:val="center"/>
          </w:tcPr>
          <w:p w14:paraId="13B53CFA" w14:textId="77777777" w:rsidR="004B0883" w:rsidRDefault="004B0883">
            <w:pPr>
              <w:snapToGrid w:val="0"/>
              <w:jc w:val="right"/>
              <w:rPr>
                <w:rFonts w:eastAsia="等线"/>
                <w:bCs/>
                <w:kern w:val="0"/>
                <w:sz w:val="18"/>
                <w:szCs w:val="18"/>
              </w:rPr>
            </w:pPr>
            <w:r>
              <w:rPr>
                <w:rFonts w:eastAsia="等线"/>
                <w:bCs/>
                <w:kern w:val="0"/>
                <w:sz w:val="18"/>
                <w:szCs w:val="18"/>
              </w:rPr>
              <w:t>170.87</w:t>
            </w:r>
          </w:p>
        </w:tc>
        <w:tc>
          <w:tcPr>
            <w:tcW w:w="947" w:type="dxa"/>
            <w:shd w:val="clear" w:color="auto" w:fill="FFFFFF"/>
            <w:vAlign w:val="center"/>
          </w:tcPr>
          <w:p w14:paraId="2AF10B0E" w14:textId="77777777" w:rsidR="004B0883" w:rsidRDefault="004B0883">
            <w:pPr>
              <w:snapToGrid w:val="0"/>
              <w:jc w:val="right"/>
              <w:rPr>
                <w:rFonts w:eastAsia="等线"/>
                <w:bCs/>
                <w:kern w:val="0"/>
                <w:sz w:val="18"/>
                <w:szCs w:val="18"/>
              </w:rPr>
            </w:pPr>
            <w:r>
              <w:rPr>
                <w:rFonts w:eastAsia="等线"/>
                <w:bCs/>
                <w:kern w:val="0"/>
                <w:sz w:val="18"/>
                <w:szCs w:val="18"/>
              </w:rPr>
              <w:t>170.87</w:t>
            </w:r>
          </w:p>
        </w:tc>
        <w:tc>
          <w:tcPr>
            <w:tcW w:w="947" w:type="dxa"/>
            <w:shd w:val="clear" w:color="auto" w:fill="FFFFFF"/>
            <w:vAlign w:val="center"/>
          </w:tcPr>
          <w:p w14:paraId="7C41E675" w14:textId="77777777" w:rsidR="004B0883" w:rsidRDefault="004B0883">
            <w:pPr>
              <w:snapToGrid w:val="0"/>
              <w:jc w:val="right"/>
              <w:rPr>
                <w:rFonts w:eastAsia="等线"/>
                <w:bCs/>
                <w:kern w:val="0"/>
                <w:sz w:val="18"/>
                <w:szCs w:val="18"/>
              </w:rPr>
            </w:pPr>
            <w:r>
              <w:rPr>
                <w:rFonts w:eastAsia="等线"/>
                <w:bCs/>
                <w:kern w:val="0"/>
                <w:sz w:val="18"/>
                <w:szCs w:val="18"/>
              </w:rPr>
              <w:t>170.87</w:t>
            </w:r>
          </w:p>
        </w:tc>
        <w:tc>
          <w:tcPr>
            <w:tcW w:w="947" w:type="dxa"/>
            <w:shd w:val="clear" w:color="auto" w:fill="FFFFFF"/>
            <w:vAlign w:val="center"/>
          </w:tcPr>
          <w:p w14:paraId="0733168F" w14:textId="77777777" w:rsidR="004B0883" w:rsidRDefault="004B0883">
            <w:pPr>
              <w:snapToGrid w:val="0"/>
              <w:jc w:val="right"/>
              <w:rPr>
                <w:rFonts w:eastAsia="等线"/>
                <w:bCs/>
                <w:kern w:val="0"/>
                <w:sz w:val="18"/>
                <w:szCs w:val="18"/>
              </w:rPr>
            </w:pPr>
            <w:r>
              <w:rPr>
                <w:rFonts w:eastAsia="等线"/>
                <w:bCs/>
                <w:kern w:val="0"/>
                <w:sz w:val="18"/>
                <w:szCs w:val="18"/>
              </w:rPr>
              <w:t>170.87</w:t>
            </w:r>
          </w:p>
        </w:tc>
      </w:tr>
      <w:tr w:rsidR="004B0883" w14:paraId="5D60F177" w14:textId="77777777">
        <w:trPr>
          <w:trHeight w:val="397"/>
          <w:jc w:val="center"/>
        </w:trPr>
        <w:tc>
          <w:tcPr>
            <w:tcW w:w="430" w:type="dxa"/>
            <w:shd w:val="clear" w:color="auto" w:fill="FFFFFF"/>
            <w:tcMar>
              <w:top w:w="0" w:type="dxa"/>
              <w:left w:w="30" w:type="dxa"/>
              <w:bottom w:w="0" w:type="dxa"/>
              <w:right w:w="30" w:type="dxa"/>
            </w:tcMar>
            <w:vAlign w:val="center"/>
          </w:tcPr>
          <w:p w14:paraId="52360E13" w14:textId="77777777" w:rsidR="004B0883" w:rsidRDefault="004B0883">
            <w:pPr>
              <w:snapToGrid w:val="0"/>
              <w:jc w:val="center"/>
              <w:rPr>
                <w:rFonts w:eastAsia="等线"/>
                <w:bCs/>
                <w:kern w:val="0"/>
                <w:sz w:val="18"/>
                <w:szCs w:val="18"/>
              </w:rPr>
            </w:pPr>
            <w:r>
              <w:rPr>
                <w:rFonts w:eastAsia="等线"/>
                <w:bCs/>
                <w:kern w:val="0"/>
                <w:sz w:val="18"/>
                <w:szCs w:val="18"/>
              </w:rPr>
              <w:t>2.2</w:t>
            </w:r>
          </w:p>
        </w:tc>
        <w:tc>
          <w:tcPr>
            <w:tcW w:w="1411" w:type="dxa"/>
            <w:shd w:val="clear" w:color="auto" w:fill="FFFFFF"/>
            <w:vAlign w:val="center"/>
          </w:tcPr>
          <w:p w14:paraId="7EC6DE9E" w14:textId="77777777" w:rsidR="004B0883" w:rsidRDefault="004B0883">
            <w:pPr>
              <w:snapToGrid w:val="0"/>
              <w:jc w:val="center"/>
              <w:rPr>
                <w:bCs/>
                <w:kern w:val="0"/>
                <w:sz w:val="18"/>
                <w:szCs w:val="24"/>
              </w:rPr>
            </w:pPr>
            <w:r>
              <w:rPr>
                <w:rFonts w:hint="eastAsia"/>
                <w:bCs/>
                <w:kern w:val="0"/>
                <w:sz w:val="18"/>
                <w:szCs w:val="24"/>
              </w:rPr>
              <w:t>教育费附加</w:t>
            </w:r>
          </w:p>
        </w:tc>
        <w:tc>
          <w:tcPr>
            <w:tcW w:w="941" w:type="dxa"/>
            <w:shd w:val="clear" w:color="auto" w:fill="FFFFFF"/>
            <w:vAlign w:val="center"/>
          </w:tcPr>
          <w:p w14:paraId="2E574CEF"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42" w:type="dxa"/>
            <w:shd w:val="clear" w:color="auto" w:fill="FFFFFF"/>
            <w:vAlign w:val="center"/>
          </w:tcPr>
          <w:p w14:paraId="662F3846"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47" w:type="dxa"/>
            <w:shd w:val="clear" w:color="auto" w:fill="FFFFFF"/>
            <w:vAlign w:val="center"/>
          </w:tcPr>
          <w:p w14:paraId="3C8ED243"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47" w:type="dxa"/>
            <w:shd w:val="clear" w:color="auto" w:fill="FFFFFF"/>
            <w:vAlign w:val="center"/>
          </w:tcPr>
          <w:p w14:paraId="4E251F58"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47" w:type="dxa"/>
            <w:shd w:val="clear" w:color="auto" w:fill="FFFFFF"/>
            <w:vAlign w:val="center"/>
          </w:tcPr>
          <w:p w14:paraId="013045FE" w14:textId="77777777" w:rsidR="004B0883" w:rsidRDefault="004B0883">
            <w:pPr>
              <w:snapToGrid w:val="0"/>
              <w:jc w:val="right"/>
              <w:rPr>
                <w:rFonts w:eastAsia="等线"/>
                <w:bCs/>
                <w:kern w:val="0"/>
                <w:sz w:val="18"/>
                <w:szCs w:val="18"/>
              </w:rPr>
            </w:pPr>
            <w:r>
              <w:rPr>
                <w:rFonts w:eastAsia="等线"/>
                <w:bCs/>
                <w:kern w:val="0"/>
                <w:sz w:val="18"/>
                <w:szCs w:val="18"/>
              </w:rPr>
              <w:t>32.34</w:t>
            </w:r>
          </w:p>
        </w:tc>
        <w:tc>
          <w:tcPr>
            <w:tcW w:w="947" w:type="dxa"/>
            <w:shd w:val="clear" w:color="auto" w:fill="FFFFFF"/>
            <w:vAlign w:val="center"/>
          </w:tcPr>
          <w:p w14:paraId="33F9DEA4" w14:textId="77777777" w:rsidR="004B0883" w:rsidRDefault="004B0883">
            <w:pPr>
              <w:snapToGrid w:val="0"/>
              <w:jc w:val="right"/>
              <w:rPr>
                <w:rFonts w:eastAsia="等线"/>
                <w:bCs/>
                <w:kern w:val="0"/>
                <w:sz w:val="18"/>
                <w:szCs w:val="18"/>
              </w:rPr>
            </w:pPr>
            <w:r>
              <w:rPr>
                <w:rFonts w:eastAsia="等线"/>
                <w:bCs/>
                <w:kern w:val="0"/>
                <w:sz w:val="18"/>
                <w:szCs w:val="18"/>
              </w:rPr>
              <w:t>73.23</w:t>
            </w:r>
          </w:p>
        </w:tc>
        <w:tc>
          <w:tcPr>
            <w:tcW w:w="947" w:type="dxa"/>
            <w:shd w:val="clear" w:color="auto" w:fill="FFFFFF"/>
            <w:vAlign w:val="center"/>
          </w:tcPr>
          <w:p w14:paraId="13DF0A5B" w14:textId="77777777" w:rsidR="004B0883" w:rsidRDefault="004B0883">
            <w:pPr>
              <w:snapToGrid w:val="0"/>
              <w:jc w:val="right"/>
              <w:rPr>
                <w:rFonts w:eastAsia="等线"/>
                <w:bCs/>
                <w:kern w:val="0"/>
                <w:sz w:val="18"/>
                <w:szCs w:val="18"/>
              </w:rPr>
            </w:pPr>
            <w:r>
              <w:rPr>
                <w:rFonts w:eastAsia="等线"/>
                <w:bCs/>
                <w:kern w:val="0"/>
                <w:sz w:val="18"/>
                <w:szCs w:val="18"/>
              </w:rPr>
              <w:t>73.23</w:t>
            </w:r>
          </w:p>
        </w:tc>
        <w:tc>
          <w:tcPr>
            <w:tcW w:w="947" w:type="dxa"/>
            <w:shd w:val="clear" w:color="auto" w:fill="FFFFFF"/>
            <w:vAlign w:val="center"/>
          </w:tcPr>
          <w:p w14:paraId="6E9CFCB1" w14:textId="77777777" w:rsidR="004B0883" w:rsidRDefault="004B0883">
            <w:pPr>
              <w:snapToGrid w:val="0"/>
              <w:jc w:val="right"/>
              <w:rPr>
                <w:rFonts w:eastAsia="等线"/>
                <w:bCs/>
                <w:kern w:val="0"/>
                <w:sz w:val="18"/>
                <w:szCs w:val="18"/>
              </w:rPr>
            </w:pPr>
            <w:r>
              <w:rPr>
                <w:rFonts w:eastAsia="等线"/>
                <w:bCs/>
                <w:kern w:val="0"/>
                <w:sz w:val="18"/>
                <w:szCs w:val="18"/>
              </w:rPr>
              <w:t>73.23</w:t>
            </w:r>
          </w:p>
        </w:tc>
        <w:tc>
          <w:tcPr>
            <w:tcW w:w="947" w:type="dxa"/>
            <w:shd w:val="clear" w:color="auto" w:fill="FFFFFF"/>
            <w:vAlign w:val="center"/>
          </w:tcPr>
          <w:p w14:paraId="1796FA44" w14:textId="77777777" w:rsidR="004B0883" w:rsidRDefault="004B0883">
            <w:pPr>
              <w:snapToGrid w:val="0"/>
              <w:jc w:val="right"/>
              <w:rPr>
                <w:rFonts w:eastAsia="等线"/>
                <w:bCs/>
                <w:kern w:val="0"/>
                <w:sz w:val="18"/>
                <w:szCs w:val="18"/>
              </w:rPr>
            </w:pPr>
            <w:r>
              <w:rPr>
                <w:rFonts w:eastAsia="等线"/>
                <w:bCs/>
                <w:kern w:val="0"/>
                <w:sz w:val="18"/>
                <w:szCs w:val="18"/>
              </w:rPr>
              <w:t>73.23</w:t>
            </w:r>
          </w:p>
        </w:tc>
        <w:tc>
          <w:tcPr>
            <w:tcW w:w="947" w:type="dxa"/>
            <w:shd w:val="clear" w:color="auto" w:fill="FFFFFF"/>
            <w:vAlign w:val="center"/>
          </w:tcPr>
          <w:p w14:paraId="160BCA6A" w14:textId="77777777" w:rsidR="004B0883" w:rsidRDefault="004B0883">
            <w:pPr>
              <w:snapToGrid w:val="0"/>
              <w:jc w:val="right"/>
              <w:rPr>
                <w:rFonts w:eastAsia="等线"/>
                <w:bCs/>
                <w:kern w:val="0"/>
                <w:sz w:val="18"/>
                <w:szCs w:val="18"/>
              </w:rPr>
            </w:pPr>
            <w:r>
              <w:rPr>
                <w:rFonts w:eastAsia="等线"/>
                <w:bCs/>
                <w:kern w:val="0"/>
                <w:sz w:val="18"/>
                <w:szCs w:val="18"/>
              </w:rPr>
              <w:t>73.23</w:t>
            </w:r>
          </w:p>
        </w:tc>
      </w:tr>
      <w:tr w:rsidR="004B0883" w14:paraId="162F20E6" w14:textId="77777777">
        <w:trPr>
          <w:trHeight w:val="397"/>
          <w:jc w:val="center"/>
        </w:trPr>
        <w:tc>
          <w:tcPr>
            <w:tcW w:w="430" w:type="dxa"/>
            <w:shd w:val="clear" w:color="auto" w:fill="FFFFFF"/>
            <w:tcMar>
              <w:top w:w="0" w:type="dxa"/>
              <w:left w:w="30" w:type="dxa"/>
              <w:bottom w:w="0" w:type="dxa"/>
              <w:right w:w="30" w:type="dxa"/>
            </w:tcMar>
            <w:vAlign w:val="center"/>
          </w:tcPr>
          <w:p w14:paraId="6B1C3B78" w14:textId="77777777" w:rsidR="004B0883" w:rsidRDefault="004B0883">
            <w:pPr>
              <w:snapToGrid w:val="0"/>
              <w:jc w:val="center"/>
              <w:rPr>
                <w:rFonts w:eastAsia="等线"/>
                <w:bCs/>
                <w:kern w:val="0"/>
                <w:sz w:val="18"/>
                <w:szCs w:val="18"/>
              </w:rPr>
            </w:pPr>
            <w:r>
              <w:rPr>
                <w:rFonts w:eastAsia="等线"/>
                <w:bCs/>
                <w:kern w:val="0"/>
                <w:sz w:val="18"/>
                <w:szCs w:val="18"/>
              </w:rPr>
              <w:t>2.3</w:t>
            </w:r>
          </w:p>
        </w:tc>
        <w:tc>
          <w:tcPr>
            <w:tcW w:w="1411" w:type="dxa"/>
            <w:shd w:val="clear" w:color="auto" w:fill="FFFFFF"/>
            <w:vAlign w:val="center"/>
          </w:tcPr>
          <w:p w14:paraId="3522513F" w14:textId="77777777" w:rsidR="004B0883" w:rsidRDefault="004B0883">
            <w:pPr>
              <w:snapToGrid w:val="0"/>
              <w:jc w:val="center"/>
              <w:rPr>
                <w:bCs/>
                <w:kern w:val="0"/>
                <w:sz w:val="18"/>
                <w:szCs w:val="24"/>
              </w:rPr>
            </w:pPr>
            <w:r>
              <w:rPr>
                <w:rFonts w:hint="eastAsia"/>
                <w:bCs/>
                <w:kern w:val="0"/>
                <w:sz w:val="18"/>
                <w:szCs w:val="24"/>
              </w:rPr>
              <w:t>地方教育附加费</w:t>
            </w:r>
          </w:p>
        </w:tc>
        <w:tc>
          <w:tcPr>
            <w:tcW w:w="941" w:type="dxa"/>
            <w:shd w:val="clear" w:color="auto" w:fill="FFFFFF"/>
            <w:vAlign w:val="center"/>
          </w:tcPr>
          <w:p w14:paraId="0093B209"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42" w:type="dxa"/>
            <w:shd w:val="clear" w:color="auto" w:fill="FFFFFF"/>
            <w:vAlign w:val="center"/>
          </w:tcPr>
          <w:p w14:paraId="3D21B612"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47" w:type="dxa"/>
            <w:shd w:val="clear" w:color="auto" w:fill="FFFFFF"/>
            <w:vAlign w:val="center"/>
          </w:tcPr>
          <w:p w14:paraId="5152B039"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47" w:type="dxa"/>
            <w:shd w:val="clear" w:color="auto" w:fill="FFFFFF"/>
            <w:vAlign w:val="center"/>
          </w:tcPr>
          <w:p w14:paraId="6C3F5E49"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47" w:type="dxa"/>
            <w:shd w:val="clear" w:color="auto" w:fill="FFFFFF"/>
            <w:vAlign w:val="center"/>
          </w:tcPr>
          <w:p w14:paraId="5610FFB8" w14:textId="77777777" w:rsidR="004B0883" w:rsidRDefault="004B0883">
            <w:pPr>
              <w:snapToGrid w:val="0"/>
              <w:jc w:val="right"/>
              <w:rPr>
                <w:rFonts w:eastAsia="等线"/>
                <w:bCs/>
                <w:kern w:val="0"/>
                <w:sz w:val="18"/>
                <w:szCs w:val="18"/>
              </w:rPr>
            </w:pPr>
            <w:r>
              <w:rPr>
                <w:rFonts w:eastAsia="等线"/>
                <w:bCs/>
                <w:kern w:val="0"/>
                <w:sz w:val="18"/>
                <w:szCs w:val="18"/>
              </w:rPr>
              <w:t>21.56</w:t>
            </w:r>
          </w:p>
        </w:tc>
        <w:tc>
          <w:tcPr>
            <w:tcW w:w="947" w:type="dxa"/>
            <w:shd w:val="clear" w:color="auto" w:fill="FFFFFF"/>
            <w:vAlign w:val="center"/>
          </w:tcPr>
          <w:p w14:paraId="652F1094" w14:textId="77777777" w:rsidR="004B0883" w:rsidRDefault="004B0883">
            <w:pPr>
              <w:snapToGrid w:val="0"/>
              <w:jc w:val="right"/>
              <w:rPr>
                <w:rFonts w:eastAsia="等线"/>
                <w:bCs/>
                <w:kern w:val="0"/>
                <w:sz w:val="18"/>
                <w:szCs w:val="18"/>
              </w:rPr>
            </w:pPr>
            <w:r>
              <w:rPr>
                <w:rFonts w:eastAsia="等线"/>
                <w:bCs/>
                <w:kern w:val="0"/>
                <w:sz w:val="18"/>
                <w:szCs w:val="18"/>
              </w:rPr>
              <w:t>48.82</w:t>
            </w:r>
          </w:p>
        </w:tc>
        <w:tc>
          <w:tcPr>
            <w:tcW w:w="947" w:type="dxa"/>
            <w:shd w:val="clear" w:color="auto" w:fill="FFFFFF"/>
            <w:vAlign w:val="center"/>
          </w:tcPr>
          <w:p w14:paraId="599BFCB1" w14:textId="77777777" w:rsidR="004B0883" w:rsidRDefault="004B0883">
            <w:pPr>
              <w:snapToGrid w:val="0"/>
              <w:jc w:val="right"/>
              <w:rPr>
                <w:rFonts w:eastAsia="等线"/>
                <w:bCs/>
                <w:kern w:val="0"/>
                <w:sz w:val="18"/>
                <w:szCs w:val="18"/>
              </w:rPr>
            </w:pPr>
            <w:r>
              <w:rPr>
                <w:rFonts w:eastAsia="等线"/>
                <w:bCs/>
                <w:kern w:val="0"/>
                <w:sz w:val="18"/>
                <w:szCs w:val="18"/>
              </w:rPr>
              <w:t>48.82</w:t>
            </w:r>
          </w:p>
        </w:tc>
        <w:tc>
          <w:tcPr>
            <w:tcW w:w="947" w:type="dxa"/>
            <w:shd w:val="clear" w:color="auto" w:fill="FFFFFF"/>
            <w:vAlign w:val="center"/>
          </w:tcPr>
          <w:p w14:paraId="503A06F7" w14:textId="77777777" w:rsidR="004B0883" w:rsidRDefault="004B0883">
            <w:pPr>
              <w:snapToGrid w:val="0"/>
              <w:jc w:val="right"/>
              <w:rPr>
                <w:rFonts w:eastAsia="等线"/>
                <w:bCs/>
                <w:kern w:val="0"/>
                <w:sz w:val="18"/>
                <w:szCs w:val="18"/>
              </w:rPr>
            </w:pPr>
            <w:r>
              <w:rPr>
                <w:rFonts w:eastAsia="等线"/>
                <w:bCs/>
                <w:kern w:val="0"/>
                <w:sz w:val="18"/>
                <w:szCs w:val="18"/>
              </w:rPr>
              <w:t>48.82</w:t>
            </w:r>
          </w:p>
        </w:tc>
        <w:tc>
          <w:tcPr>
            <w:tcW w:w="947" w:type="dxa"/>
            <w:shd w:val="clear" w:color="auto" w:fill="FFFFFF"/>
            <w:vAlign w:val="center"/>
          </w:tcPr>
          <w:p w14:paraId="5D2A0473" w14:textId="77777777" w:rsidR="004B0883" w:rsidRDefault="004B0883">
            <w:pPr>
              <w:snapToGrid w:val="0"/>
              <w:jc w:val="right"/>
              <w:rPr>
                <w:rFonts w:eastAsia="等线"/>
                <w:bCs/>
                <w:kern w:val="0"/>
                <w:sz w:val="18"/>
                <w:szCs w:val="18"/>
              </w:rPr>
            </w:pPr>
            <w:r>
              <w:rPr>
                <w:rFonts w:eastAsia="等线"/>
                <w:bCs/>
                <w:kern w:val="0"/>
                <w:sz w:val="18"/>
                <w:szCs w:val="18"/>
              </w:rPr>
              <w:t>48.82</w:t>
            </w:r>
          </w:p>
        </w:tc>
        <w:tc>
          <w:tcPr>
            <w:tcW w:w="947" w:type="dxa"/>
            <w:shd w:val="clear" w:color="auto" w:fill="FFFFFF"/>
            <w:vAlign w:val="center"/>
          </w:tcPr>
          <w:p w14:paraId="2FF99E00" w14:textId="77777777" w:rsidR="004B0883" w:rsidRDefault="004B0883">
            <w:pPr>
              <w:snapToGrid w:val="0"/>
              <w:jc w:val="right"/>
              <w:rPr>
                <w:rFonts w:eastAsia="等线"/>
                <w:bCs/>
                <w:kern w:val="0"/>
                <w:sz w:val="18"/>
                <w:szCs w:val="18"/>
              </w:rPr>
            </w:pPr>
            <w:r>
              <w:rPr>
                <w:rFonts w:eastAsia="等线"/>
                <w:bCs/>
                <w:kern w:val="0"/>
                <w:sz w:val="18"/>
                <w:szCs w:val="18"/>
              </w:rPr>
              <w:t>48.82</w:t>
            </w:r>
          </w:p>
        </w:tc>
      </w:tr>
      <w:tr w:rsidR="004B0883" w14:paraId="7BE2D849" w14:textId="77777777">
        <w:trPr>
          <w:trHeight w:val="397"/>
          <w:jc w:val="center"/>
        </w:trPr>
        <w:tc>
          <w:tcPr>
            <w:tcW w:w="430" w:type="dxa"/>
            <w:shd w:val="clear" w:color="auto" w:fill="FFFFFF"/>
            <w:tcMar>
              <w:top w:w="0" w:type="dxa"/>
              <w:left w:w="30" w:type="dxa"/>
              <w:bottom w:w="0" w:type="dxa"/>
              <w:right w:w="30" w:type="dxa"/>
            </w:tcMar>
            <w:vAlign w:val="center"/>
          </w:tcPr>
          <w:p w14:paraId="290DC231" w14:textId="77777777" w:rsidR="004B0883" w:rsidRDefault="004B0883">
            <w:pPr>
              <w:snapToGrid w:val="0"/>
              <w:jc w:val="center"/>
              <w:rPr>
                <w:rFonts w:eastAsia="等线"/>
                <w:bCs/>
                <w:kern w:val="0"/>
                <w:sz w:val="18"/>
                <w:szCs w:val="18"/>
              </w:rPr>
            </w:pPr>
            <w:r>
              <w:rPr>
                <w:rFonts w:eastAsia="等线"/>
                <w:bCs/>
                <w:kern w:val="0"/>
                <w:sz w:val="18"/>
                <w:szCs w:val="18"/>
              </w:rPr>
              <w:t>2.4</w:t>
            </w:r>
          </w:p>
        </w:tc>
        <w:tc>
          <w:tcPr>
            <w:tcW w:w="1411" w:type="dxa"/>
            <w:shd w:val="clear" w:color="auto" w:fill="FFFFFF"/>
            <w:vAlign w:val="center"/>
          </w:tcPr>
          <w:p w14:paraId="0FDF92D8" w14:textId="77777777" w:rsidR="004B0883" w:rsidRDefault="004B0883">
            <w:pPr>
              <w:snapToGrid w:val="0"/>
              <w:jc w:val="center"/>
              <w:rPr>
                <w:bCs/>
                <w:kern w:val="0"/>
                <w:sz w:val="18"/>
                <w:szCs w:val="24"/>
              </w:rPr>
            </w:pPr>
            <w:r>
              <w:rPr>
                <w:rFonts w:hint="eastAsia"/>
                <w:bCs/>
                <w:kern w:val="0"/>
                <w:sz w:val="18"/>
                <w:szCs w:val="24"/>
              </w:rPr>
              <w:t>印花税</w:t>
            </w:r>
          </w:p>
        </w:tc>
        <w:tc>
          <w:tcPr>
            <w:tcW w:w="941" w:type="dxa"/>
            <w:shd w:val="clear" w:color="auto" w:fill="FFFFFF"/>
            <w:vAlign w:val="center"/>
          </w:tcPr>
          <w:p w14:paraId="0F110F0F"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42" w:type="dxa"/>
            <w:shd w:val="clear" w:color="auto" w:fill="FFFFFF"/>
            <w:vAlign w:val="center"/>
          </w:tcPr>
          <w:p w14:paraId="1C7B7AD5"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47" w:type="dxa"/>
            <w:shd w:val="clear" w:color="auto" w:fill="FFFFFF"/>
            <w:vAlign w:val="center"/>
          </w:tcPr>
          <w:p w14:paraId="482402B0" w14:textId="77777777" w:rsidR="004B0883" w:rsidRDefault="004B0883">
            <w:pPr>
              <w:snapToGrid w:val="0"/>
              <w:jc w:val="right"/>
              <w:rPr>
                <w:rFonts w:eastAsia="等线"/>
                <w:bCs/>
                <w:kern w:val="0"/>
                <w:sz w:val="18"/>
                <w:szCs w:val="18"/>
              </w:rPr>
            </w:pPr>
            <w:r>
              <w:rPr>
                <w:rFonts w:eastAsia="等线"/>
                <w:bCs/>
                <w:kern w:val="0"/>
                <w:sz w:val="18"/>
                <w:szCs w:val="18"/>
              </w:rPr>
              <w:t>3.64</w:t>
            </w:r>
          </w:p>
        </w:tc>
        <w:tc>
          <w:tcPr>
            <w:tcW w:w="947" w:type="dxa"/>
            <w:shd w:val="clear" w:color="auto" w:fill="FFFFFF"/>
            <w:vAlign w:val="center"/>
          </w:tcPr>
          <w:p w14:paraId="2887F474" w14:textId="77777777" w:rsidR="004B0883" w:rsidRDefault="004B0883">
            <w:pPr>
              <w:snapToGrid w:val="0"/>
              <w:jc w:val="right"/>
              <w:rPr>
                <w:rFonts w:eastAsia="等线"/>
                <w:bCs/>
                <w:kern w:val="0"/>
                <w:sz w:val="18"/>
                <w:szCs w:val="18"/>
              </w:rPr>
            </w:pPr>
            <w:r>
              <w:rPr>
                <w:rFonts w:eastAsia="等线"/>
                <w:bCs/>
                <w:kern w:val="0"/>
                <w:sz w:val="18"/>
                <w:szCs w:val="18"/>
              </w:rPr>
              <w:t>6.06</w:t>
            </w:r>
          </w:p>
        </w:tc>
        <w:tc>
          <w:tcPr>
            <w:tcW w:w="947" w:type="dxa"/>
            <w:shd w:val="clear" w:color="auto" w:fill="FFFFFF"/>
            <w:vAlign w:val="center"/>
          </w:tcPr>
          <w:p w14:paraId="02B9C9CE" w14:textId="77777777" w:rsidR="004B0883" w:rsidRDefault="004B0883">
            <w:pPr>
              <w:snapToGrid w:val="0"/>
              <w:jc w:val="right"/>
              <w:rPr>
                <w:rFonts w:eastAsia="等线"/>
                <w:bCs/>
                <w:kern w:val="0"/>
                <w:sz w:val="18"/>
                <w:szCs w:val="18"/>
              </w:rPr>
            </w:pPr>
            <w:r>
              <w:rPr>
                <w:rFonts w:eastAsia="等线"/>
                <w:bCs/>
                <w:kern w:val="0"/>
                <w:sz w:val="18"/>
                <w:szCs w:val="18"/>
              </w:rPr>
              <w:t>8.48</w:t>
            </w:r>
          </w:p>
        </w:tc>
        <w:tc>
          <w:tcPr>
            <w:tcW w:w="947" w:type="dxa"/>
            <w:shd w:val="clear" w:color="auto" w:fill="FFFFFF"/>
            <w:vAlign w:val="center"/>
          </w:tcPr>
          <w:p w14:paraId="2C7F9823" w14:textId="77777777" w:rsidR="004B0883" w:rsidRDefault="004B0883">
            <w:pPr>
              <w:snapToGrid w:val="0"/>
              <w:jc w:val="right"/>
              <w:rPr>
                <w:rFonts w:eastAsia="等线"/>
                <w:bCs/>
                <w:kern w:val="0"/>
                <w:sz w:val="18"/>
                <w:szCs w:val="18"/>
              </w:rPr>
            </w:pPr>
            <w:r>
              <w:rPr>
                <w:rFonts w:eastAsia="等线"/>
                <w:bCs/>
                <w:kern w:val="0"/>
                <w:sz w:val="18"/>
                <w:szCs w:val="18"/>
              </w:rPr>
              <w:t>12.12</w:t>
            </w:r>
          </w:p>
        </w:tc>
        <w:tc>
          <w:tcPr>
            <w:tcW w:w="947" w:type="dxa"/>
            <w:shd w:val="clear" w:color="auto" w:fill="FFFFFF"/>
            <w:vAlign w:val="center"/>
          </w:tcPr>
          <w:p w14:paraId="35FC4851" w14:textId="77777777" w:rsidR="004B0883" w:rsidRDefault="004B0883">
            <w:pPr>
              <w:snapToGrid w:val="0"/>
              <w:jc w:val="right"/>
              <w:rPr>
                <w:rFonts w:eastAsia="等线"/>
                <w:bCs/>
                <w:kern w:val="0"/>
                <w:sz w:val="18"/>
                <w:szCs w:val="18"/>
              </w:rPr>
            </w:pPr>
            <w:r>
              <w:rPr>
                <w:rFonts w:eastAsia="等线"/>
                <w:bCs/>
                <w:kern w:val="0"/>
                <w:sz w:val="18"/>
                <w:szCs w:val="18"/>
              </w:rPr>
              <w:t>12.12</w:t>
            </w:r>
          </w:p>
        </w:tc>
        <w:tc>
          <w:tcPr>
            <w:tcW w:w="947" w:type="dxa"/>
            <w:shd w:val="clear" w:color="auto" w:fill="FFFFFF"/>
            <w:vAlign w:val="center"/>
          </w:tcPr>
          <w:p w14:paraId="2A6F0E7D" w14:textId="77777777" w:rsidR="004B0883" w:rsidRDefault="004B0883">
            <w:pPr>
              <w:snapToGrid w:val="0"/>
              <w:jc w:val="right"/>
              <w:rPr>
                <w:rFonts w:eastAsia="等线"/>
                <w:bCs/>
                <w:kern w:val="0"/>
                <w:sz w:val="18"/>
                <w:szCs w:val="18"/>
              </w:rPr>
            </w:pPr>
            <w:r>
              <w:rPr>
                <w:rFonts w:eastAsia="等线"/>
                <w:bCs/>
                <w:kern w:val="0"/>
                <w:sz w:val="18"/>
                <w:szCs w:val="18"/>
              </w:rPr>
              <w:t>12.12</w:t>
            </w:r>
          </w:p>
        </w:tc>
        <w:tc>
          <w:tcPr>
            <w:tcW w:w="947" w:type="dxa"/>
            <w:shd w:val="clear" w:color="auto" w:fill="FFFFFF"/>
            <w:vAlign w:val="center"/>
          </w:tcPr>
          <w:p w14:paraId="018B9AB2" w14:textId="77777777" w:rsidR="004B0883" w:rsidRDefault="004B0883">
            <w:pPr>
              <w:snapToGrid w:val="0"/>
              <w:jc w:val="right"/>
              <w:rPr>
                <w:rFonts w:eastAsia="等线"/>
                <w:bCs/>
                <w:kern w:val="0"/>
                <w:sz w:val="18"/>
                <w:szCs w:val="18"/>
              </w:rPr>
            </w:pPr>
            <w:r>
              <w:rPr>
                <w:rFonts w:eastAsia="等线"/>
                <w:bCs/>
                <w:kern w:val="0"/>
                <w:sz w:val="18"/>
                <w:szCs w:val="18"/>
              </w:rPr>
              <w:t>12.12</w:t>
            </w:r>
          </w:p>
        </w:tc>
        <w:tc>
          <w:tcPr>
            <w:tcW w:w="947" w:type="dxa"/>
            <w:shd w:val="clear" w:color="auto" w:fill="FFFFFF"/>
            <w:vAlign w:val="center"/>
          </w:tcPr>
          <w:p w14:paraId="63BA4480" w14:textId="77777777" w:rsidR="004B0883" w:rsidRDefault="004B0883">
            <w:pPr>
              <w:snapToGrid w:val="0"/>
              <w:jc w:val="right"/>
              <w:rPr>
                <w:rFonts w:eastAsia="等线"/>
                <w:bCs/>
                <w:kern w:val="0"/>
                <w:sz w:val="18"/>
                <w:szCs w:val="18"/>
              </w:rPr>
            </w:pPr>
            <w:r>
              <w:rPr>
                <w:rFonts w:eastAsia="等线"/>
                <w:bCs/>
                <w:kern w:val="0"/>
                <w:sz w:val="18"/>
                <w:szCs w:val="18"/>
              </w:rPr>
              <w:t>12.12</w:t>
            </w:r>
          </w:p>
        </w:tc>
      </w:tr>
      <w:tr w:rsidR="004B0883" w14:paraId="3682AE27" w14:textId="77777777">
        <w:trPr>
          <w:trHeight w:val="397"/>
          <w:jc w:val="center"/>
        </w:trPr>
        <w:tc>
          <w:tcPr>
            <w:tcW w:w="430" w:type="dxa"/>
            <w:shd w:val="clear" w:color="auto" w:fill="FFFFFF"/>
            <w:tcMar>
              <w:top w:w="0" w:type="dxa"/>
              <w:left w:w="30" w:type="dxa"/>
              <w:bottom w:w="0" w:type="dxa"/>
              <w:right w:w="30" w:type="dxa"/>
            </w:tcMar>
            <w:vAlign w:val="center"/>
          </w:tcPr>
          <w:p w14:paraId="48906281" w14:textId="77777777" w:rsidR="004B0883" w:rsidRDefault="004B0883">
            <w:pPr>
              <w:snapToGrid w:val="0"/>
              <w:jc w:val="center"/>
              <w:rPr>
                <w:rFonts w:eastAsia="等线"/>
                <w:bCs/>
                <w:kern w:val="0"/>
                <w:sz w:val="18"/>
                <w:szCs w:val="18"/>
              </w:rPr>
            </w:pPr>
            <w:r>
              <w:rPr>
                <w:rFonts w:eastAsia="等线"/>
                <w:bCs/>
                <w:kern w:val="0"/>
                <w:sz w:val="18"/>
                <w:szCs w:val="18"/>
              </w:rPr>
              <w:t>2.5</w:t>
            </w:r>
          </w:p>
        </w:tc>
        <w:tc>
          <w:tcPr>
            <w:tcW w:w="1411" w:type="dxa"/>
            <w:shd w:val="clear" w:color="auto" w:fill="FFFFFF"/>
            <w:vAlign w:val="center"/>
          </w:tcPr>
          <w:p w14:paraId="661FBD9C" w14:textId="77777777" w:rsidR="004B0883" w:rsidRDefault="004B0883">
            <w:pPr>
              <w:snapToGrid w:val="0"/>
              <w:jc w:val="center"/>
              <w:rPr>
                <w:bCs/>
                <w:kern w:val="0"/>
                <w:sz w:val="18"/>
                <w:szCs w:val="24"/>
              </w:rPr>
            </w:pPr>
            <w:r>
              <w:rPr>
                <w:rFonts w:hint="eastAsia"/>
                <w:bCs/>
                <w:kern w:val="0"/>
                <w:sz w:val="18"/>
                <w:szCs w:val="24"/>
              </w:rPr>
              <w:t>房产税</w:t>
            </w:r>
          </w:p>
        </w:tc>
        <w:tc>
          <w:tcPr>
            <w:tcW w:w="941" w:type="dxa"/>
            <w:shd w:val="clear" w:color="auto" w:fill="FFFFFF"/>
            <w:vAlign w:val="center"/>
          </w:tcPr>
          <w:p w14:paraId="6ABA0633" w14:textId="77777777" w:rsidR="004B0883" w:rsidRDefault="004B0883">
            <w:pPr>
              <w:snapToGrid w:val="0"/>
              <w:jc w:val="right"/>
              <w:rPr>
                <w:rFonts w:eastAsia="等线"/>
                <w:bCs/>
                <w:kern w:val="0"/>
                <w:sz w:val="18"/>
                <w:szCs w:val="18"/>
              </w:rPr>
            </w:pPr>
          </w:p>
        </w:tc>
        <w:tc>
          <w:tcPr>
            <w:tcW w:w="942" w:type="dxa"/>
            <w:shd w:val="clear" w:color="auto" w:fill="FFFFFF"/>
            <w:vAlign w:val="center"/>
          </w:tcPr>
          <w:p w14:paraId="7D8CCE61" w14:textId="77777777" w:rsidR="004B0883" w:rsidRDefault="004B0883">
            <w:pPr>
              <w:snapToGrid w:val="0"/>
              <w:jc w:val="right"/>
              <w:rPr>
                <w:rFonts w:eastAsia="等线"/>
                <w:bCs/>
                <w:kern w:val="0"/>
                <w:sz w:val="18"/>
                <w:szCs w:val="18"/>
              </w:rPr>
            </w:pPr>
          </w:p>
        </w:tc>
        <w:tc>
          <w:tcPr>
            <w:tcW w:w="947" w:type="dxa"/>
            <w:shd w:val="clear" w:color="auto" w:fill="FFFFFF"/>
            <w:vAlign w:val="center"/>
          </w:tcPr>
          <w:p w14:paraId="1DD6691C" w14:textId="77777777" w:rsidR="004B0883" w:rsidRDefault="004B0883">
            <w:pPr>
              <w:snapToGrid w:val="0"/>
              <w:jc w:val="right"/>
              <w:rPr>
                <w:rFonts w:eastAsia="等线"/>
                <w:bCs/>
                <w:kern w:val="0"/>
                <w:sz w:val="18"/>
                <w:szCs w:val="18"/>
              </w:rPr>
            </w:pPr>
            <w:r>
              <w:rPr>
                <w:rFonts w:eastAsia="等线"/>
                <w:bCs/>
                <w:kern w:val="0"/>
                <w:sz w:val="18"/>
                <w:szCs w:val="18"/>
              </w:rPr>
              <w:t>96.72</w:t>
            </w:r>
          </w:p>
        </w:tc>
        <w:tc>
          <w:tcPr>
            <w:tcW w:w="947" w:type="dxa"/>
            <w:shd w:val="clear" w:color="auto" w:fill="FFFFFF"/>
            <w:vAlign w:val="center"/>
          </w:tcPr>
          <w:p w14:paraId="458B130A" w14:textId="77777777" w:rsidR="004B0883" w:rsidRDefault="004B0883">
            <w:pPr>
              <w:snapToGrid w:val="0"/>
              <w:jc w:val="right"/>
              <w:rPr>
                <w:rFonts w:eastAsia="等线"/>
                <w:bCs/>
                <w:kern w:val="0"/>
                <w:sz w:val="18"/>
                <w:szCs w:val="18"/>
              </w:rPr>
            </w:pPr>
            <w:r>
              <w:rPr>
                <w:rFonts w:eastAsia="等线"/>
                <w:bCs/>
                <w:kern w:val="0"/>
                <w:sz w:val="18"/>
                <w:szCs w:val="18"/>
              </w:rPr>
              <w:t>96.72</w:t>
            </w:r>
          </w:p>
        </w:tc>
        <w:tc>
          <w:tcPr>
            <w:tcW w:w="947" w:type="dxa"/>
            <w:shd w:val="clear" w:color="auto" w:fill="FFFFFF"/>
            <w:vAlign w:val="center"/>
          </w:tcPr>
          <w:p w14:paraId="0366457F" w14:textId="77777777" w:rsidR="004B0883" w:rsidRDefault="004B0883">
            <w:pPr>
              <w:snapToGrid w:val="0"/>
              <w:jc w:val="right"/>
              <w:rPr>
                <w:rFonts w:eastAsia="等线"/>
                <w:bCs/>
                <w:kern w:val="0"/>
                <w:sz w:val="18"/>
                <w:szCs w:val="18"/>
              </w:rPr>
            </w:pPr>
            <w:r>
              <w:rPr>
                <w:rFonts w:eastAsia="等线"/>
                <w:bCs/>
                <w:kern w:val="0"/>
                <w:sz w:val="18"/>
                <w:szCs w:val="18"/>
              </w:rPr>
              <w:t>96.72</w:t>
            </w:r>
          </w:p>
        </w:tc>
        <w:tc>
          <w:tcPr>
            <w:tcW w:w="947" w:type="dxa"/>
            <w:shd w:val="clear" w:color="auto" w:fill="FFFFFF"/>
            <w:vAlign w:val="center"/>
          </w:tcPr>
          <w:p w14:paraId="0584CAF8" w14:textId="77777777" w:rsidR="004B0883" w:rsidRDefault="004B0883">
            <w:pPr>
              <w:snapToGrid w:val="0"/>
              <w:jc w:val="right"/>
              <w:rPr>
                <w:rFonts w:eastAsia="等线"/>
                <w:bCs/>
                <w:kern w:val="0"/>
                <w:sz w:val="18"/>
                <w:szCs w:val="18"/>
              </w:rPr>
            </w:pPr>
            <w:r>
              <w:rPr>
                <w:rFonts w:eastAsia="等线"/>
                <w:bCs/>
                <w:kern w:val="0"/>
                <w:sz w:val="18"/>
                <w:szCs w:val="18"/>
              </w:rPr>
              <w:t>96.72</w:t>
            </w:r>
          </w:p>
        </w:tc>
        <w:tc>
          <w:tcPr>
            <w:tcW w:w="947" w:type="dxa"/>
            <w:shd w:val="clear" w:color="auto" w:fill="FFFFFF"/>
            <w:vAlign w:val="center"/>
          </w:tcPr>
          <w:p w14:paraId="526B378D" w14:textId="77777777" w:rsidR="004B0883" w:rsidRDefault="004B0883">
            <w:pPr>
              <w:snapToGrid w:val="0"/>
              <w:jc w:val="right"/>
              <w:rPr>
                <w:rFonts w:eastAsia="等线"/>
                <w:bCs/>
                <w:kern w:val="0"/>
                <w:sz w:val="18"/>
                <w:szCs w:val="18"/>
              </w:rPr>
            </w:pPr>
            <w:r>
              <w:rPr>
                <w:rFonts w:eastAsia="等线"/>
                <w:bCs/>
                <w:kern w:val="0"/>
                <w:sz w:val="18"/>
                <w:szCs w:val="18"/>
              </w:rPr>
              <w:t>96.72</w:t>
            </w:r>
          </w:p>
        </w:tc>
        <w:tc>
          <w:tcPr>
            <w:tcW w:w="947" w:type="dxa"/>
            <w:shd w:val="clear" w:color="auto" w:fill="FFFFFF"/>
            <w:vAlign w:val="center"/>
          </w:tcPr>
          <w:p w14:paraId="763F038C" w14:textId="77777777" w:rsidR="004B0883" w:rsidRDefault="004B0883">
            <w:pPr>
              <w:snapToGrid w:val="0"/>
              <w:jc w:val="right"/>
              <w:rPr>
                <w:rFonts w:eastAsia="等线"/>
                <w:bCs/>
                <w:kern w:val="0"/>
                <w:sz w:val="18"/>
                <w:szCs w:val="18"/>
              </w:rPr>
            </w:pPr>
            <w:r>
              <w:rPr>
                <w:rFonts w:eastAsia="等线"/>
                <w:bCs/>
                <w:kern w:val="0"/>
                <w:sz w:val="18"/>
                <w:szCs w:val="18"/>
              </w:rPr>
              <w:t>96.72</w:t>
            </w:r>
          </w:p>
        </w:tc>
        <w:tc>
          <w:tcPr>
            <w:tcW w:w="947" w:type="dxa"/>
            <w:shd w:val="clear" w:color="auto" w:fill="FFFFFF"/>
            <w:vAlign w:val="center"/>
          </w:tcPr>
          <w:p w14:paraId="6A77FE34" w14:textId="77777777" w:rsidR="004B0883" w:rsidRDefault="004B0883">
            <w:pPr>
              <w:snapToGrid w:val="0"/>
              <w:jc w:val="right"/>
              <w:rPr>
                <w:rFonts w:eastAsia="等线"/>
                <w:bCs/>
                <w:kern w:val="0"/>
                <w:sz w:val="18"/>
                <w:szCs w:val="18"/>
              </w:rPr>
            </w:pPr>
            <w:r>
              <w:rPr>
                <w:rFonts w:eastAsia="等线"/>
                <w:bCs/>
                <w:kern w:val="0"/>
                <w:sz w:val="18"/>
                <w:szCs w:val="18"/>
              </w:rPr>
              <w:t>96.72</w:t>
            </w:r>
          </w:p>
        </w:tc>
        <w:tc>
          <w:tcPr>
            <w:tcW w:w="947" w:type="dxa"/>
            <w:shd w:val="clear" w:color="auto" w:fill="FFFFFF"/>
            <w:vAlign w:val="center"/>
          </w:tcPr>
          <w:p w14:paraId="186003E9" w14:textId="77777777" w:rsidR="004B0883" w:rsidRDefault="004B0883">
            <w:pPr>
              <w:snapToGrid w:val="0"/>
              <w:jc w:val="right"/>
              <w:rPr>
                <w:rFonts w:eastAsia="等线"/>
                <w:bCs/>
                <w:kern w:val="0"/>
                <w:sz w:val="18"/>
                <w:szCs w:val="18"/>
              </w:rPr>
            </w:pPr>
            <w:r>
              <w:rPr>
                <w:rFonts w:eastAsia="等线"/>
                <w:bCs/>
                <w:kern w:val="0"/>
                <w:sz w:val="18"/>
                <w:szCs w:val="18"/>
              </w:rPr>
              <w:t>96.72</w:t>
            </w:r>
          </w:p>
        </w:tc>
      </w:tr>
      <w:tr w:rsidR="004B0883" w14:paraId="38424E99" w14:textId="77777777">
        <w:trPr>
          <w:trHeight w:val="397"/>
          <w:jc w:val="center"/>
        </w:trPr>
        <w:tc>
          <w:tcPr>
            <w:tcW w:w="430" w:type="dxa"/>
            <w:shd w:val="clear" w:color="auto" w:fill="FFFFFF"/>
            <w:tcMar>
              <w:top w:w="0" w:type="dxa"/>
              <w:left w:w="30" w:type="dxa"/>
              <w:bottom w:w="0" w:type="dxa"/>
              <w:right w:w="30" w:type="dxa"/>
            </w:tcMar>
            <w:vAlign w:val="center"/>
          </w:tcPr>
          <w:p w14:paraId="4E5FE3F6" w14:textId="77777777" w:rsidR="004B0883" w:rsidRDefault="004B0883">
            <w:pPr>
              <w:snapToGrid w:val="0"/>
              <w:jc w:val="center"/>
              <w:rPr>
                <w:rFonts w:eastAsia="等线"/>
                <w:b/>
                <w:kern w:val="0"/>
                <w:sz w:val="18"/>
                <w:szCs w:val="18"/>
              </w:rPr>
            </w:pPr>
            <w:r>
              <w:rPr>
                <w:rFonts w:eastAsia="等线"/>
                <w:b/>
                <w:kern w:val="0"/>
                <w:sz w:val="18"/>
                <w:szCs w:val="18"/>
              </w:rPr>
              <w:t>3</w:t>
            </w:r>
          </w:p>
        </w:tc>
        <w:tc>
          <w:tcPr>
            <w:tcW w:w="1411" w:type="dxa"/>
            <w:shd w:val="clear" w:color="auto" w:fill="FFFFFF"/>
            <w:vAlign w:val="center"/>
          </w:tcPr>
          <w:p w14:paraId="4FB92D62" w14:textId="77777777" w:rsidR="004B0883" w:rsidRDefault="004B0883">
            <w:pPr>
              <w:snapToGrid w:val="0"/>
              <w:jc w:val="center"/>
              <w:rPr>
                <w:b/>
                <w:kern w:val="0"/>
                <w:sz w:val="18"/>
                <w:szCs w:val="24"/>
              </w:rPr>
            </w:pPr>
            <w:r>
              <w:rPr>
                <w:rFonts w:hint="eastAsia"/>
                <w:b/>
                <w:kern w:val="0"/>
                <w:sz w:val="18"/>
                <w:szCs w:val="24"/>
              </w:rPr>
              <w:t>增值税</w:t>
            </w:r>
          </w:p>
        </w:tc>
        <w:tc>
          <w:tcPr>
            <w:tcW w:w="941" w:type="dxa"/>
            <w:shd w:val="clear" w:color="auto" w:fill="FFFFFF"/>
            <w:vAlign w:val="center"/>
          </w:tcPr>
          <w:p w14:paraId="0E0EDA5A" w14:textId="77777777" w:rsidR="004B0883" w:rsidRDefault="004B0883">
            <w:pPr>
              <w:snapToGrid w:val="0"/>
              <w:jc w:val="right"/>
              <w:rPr>
                <w:rFonts w:eastAsia="等线"/>
                <w:b/>
                <w:kern w:val="0"/>
                <w:sz w:val="18"/>
                <w:szCs w:val="18"/>
              </w:rPr>
            </w:pPr>
            <w:r>
              <w:rPr>
                <w:rFonts w:eastAsia="等线"/>
                <w:b/>
                <w:kern w:val="0"/>
                <w:sz w:val="18"/>
                <w:szCs w:val="18"/>
              </w:rPr>
              <w:t>-</w:t>
            </w:r>
          </w:p>
        </w:tc>
        <w:tc>
          <w:tcPr>
            <w:tcW w:w="942" w:type="dxa"/>
            <w:shd w:val="clear" w:color="auto" w:fill="FFFFFF"/>
            <w:vAlign w:val="center"/>
          </w:tcPr>
          <w:p w14:paraId="6ADB68B0" w14:textId="77777777" w:rsidR="004B0883" w:rsidRDefault="004B0883">
            <w:pPr>
              <w:snapToGrid w:val="0"/>
              <w:jc w:val="right"/>
              <w:rPr>
                <w:rFonts w:eastAsia="等线"/>
                <w:b/>
                <w:kern w:val="0"/>
                <w:sz w:val="18"/>
                <w:szCs w:val="18"/>
              </w:rPr>
            </w:pPr>
            <w:r>
              <w:rPr>
                <w:rFonts w:eastAsia="等线"/>
                <w:b/>
                <w:kern w:val="0"/>
                <w:sz w:val="18"/>
                <w:szCs w:val="18"/>
              </w:rPr>
              <w:t>-</w:t>
            </w:r>
          </w:p>
        </w:tc>
        <w:tc>
          <w:tcPr>
            <w:tcW w:w="947" w:type="dxa"/>
            <w:shd w:val="clear" w:color="auto" w:fill="FFFFFF"/>
            <w:vAlign w:val="center"/>
          </w:tcPr>
          <w:p w14:paraId="7E4C1867" w14:textId="77777777" w:rsidR="004B0883" w:rsidRDefault="004B0883">
            <w:pPr>
              <w:snapToGrid w:val="0"/>
              <w:jc w:val="right"/>
              <w:rPr>
                <w:rFonts w:eastAsia="等线"/>
                <w:b/>
                <w:kern w:val="0"/>
                <w:sz w:val="18"/>
                <w:szCs w:val="18"/>
              </w:rPr>
            </w:pPr>
            <w:r>
              <w:rPr>
                <w:rFonts w:eastAsia="等线"/>
                <w:b/>
                <w:kern w:val="0"/>
                <w:sz w:val="18"/>
                <w:szCs w:val="18"/>
              </w:rPr>
              <w:t>-</w:t>
            </w:r>
          </w:p>
        </w:tc>
        <w:tc>
          <w:tcPr>
            <w:tcW w:w="947" w:type="dxa"/>
            <w:shd w:val="clear" w:color="auto" w:fill="FFFFFF"/>
            <w:vAlign w:val="center"/>
          </w:tcPr>
          <w:p w14:paraId="485119FC" w14:textId="77777777" w:rsidR="004B0883" w:rsidRDefault="004B0883">
            <w:pPr>
              <w:snapToGrid w:val="0"/>
              <w:jc w:val="right"/>
              <w:rPr>
                <w:rFonts w:eastAsia="等线"/>
                <w:b/>
                <w:kern w:val="0"/>
                <w:sz w:val="18"/>
                <w:szCs w:val="18"/>
              </w:rPr>
            </w:pPr>
            <w:r>
              <w:rPr>
                <w:rFonts w:eastAsia="等线"/>
                <w:b/>
                <w:kern w:val="0"/>
                <w:sz w:val="18"/>
                <w:szCs w:val="18"/>
              </w:rPr>
              <w:t>-</w:t>
            </w:r>
          </w:p>
        </w:tc>
        <w:tc>
          <w:tcPr>
            <w:tcW w:w="947" w:type="dxa"/>
            <w:shd w:val="clear" w:color="auto" w:fill="FFFFFF"/>
            <w:vAlign w:val="center"/>
          </w:tcPr>
          <w:p w14:paraId="6A5EA80B" w14:textId="77777777" w:rsidR="004B0883" w:rsidRDefault="004B0883">
            <w:pPr>
              <w:snapToGrid w:val="0"/>
              <w:jc w:val="right"/>
              <w:rPr>
                <w:rFonts w:eastAsia="等线"/>
                <w:b/>
                <w:kern w:val="0"/>
                <w:sz w:val="18"/>
                <w:szCs w:val="18"/>
              </w:rPr>
            </w:pPr>
            <w:r>
              <w:rPr>
                <w:rFonts w:eastAsia="等线"/>
                <w:b/>
                <w:kern w:val="0"/>
                <w:sz w:val="18"/>
                <w:szCs w:val="18"/>
              </w:rPr>
              <w:t>1,077.95</w:t>
            </w:r>
          </w:p>
        </w:tc>
        <w:tc>
          <w:tcPr>
            <w:tcW w:w="947" w:type="dxa"/>
            <w:shd w:val="clear" w:color="auto" w:fill="FFFFFF"/>
            <w:vAlign w:val="center"/>
          </w:tcPr>
          <w:p w14:paraId="4C61A37C" w14:textId="77777777" w:rsidR="004B0883" w:rsidRDefault="004B0883">
            <w:pPr>
              <w:snapToGrid w:val="0"/>
              <w:jc w:val="right"/>
              <w:rPr>
                <w:rFonts w:eastAsia="等线"/>
                <w:b/>
                <w:kern w:val="0"/>
                <w:sz w:val="18"/>
                <w:szCs w:val="18"/>
              </w:rPr>
            </w:pPr>
            <w:r>
              <w:rPr>
                <w:rFonts w:eastAsia="等线"/>
                <w:b/>
                <w:kern w:val="0"/>
                <w:sz w:val="18"/>
                <w:szCs w:val="18"/>
              </w:rPr>
              <w:t>2,441.00</w:t>
            </w:r>
          </w:p>
        </w:tc>
        <w:tc>
          <w:tcPr>
            <w:tcW w:w="947" w:type="dxa"/>
            <w:shd w:val="clear" w:color="auto" w:fill="FFFFFF"/>
            <w:vAlign w:val="center"/>
          </w:tcPr>
          <w:p w14:paraId="58C99EB1" w14:textId="77777777" w:rsidR="004B0883" w:rsidRDefault="004B0883">
            <w:pPr>
              <w:snapToGrid w:val="0"/>
              <w:jc w:val="right"/>
              <w:rPr>
                <w:rFonts w:eastAsia="等线"/>
                <w:b/>
                <w:kern w:val="0"/>
                <w:sz w:val="18"/>
                <w:szCs w:val="18"/>
              </w:rPr>
            </w:pPr>
            <w:r>
              <w:rPr>
                <w:rFonts w:eastAsia="等线"/>
                <w:b/>
                <w:kern w:val="0"/>
                <w:sz w:val="18"/>
                <w:szCs w:val="18"/>
              </w:rPr>
              <w:t>2,441.00</w:t>
            </w:r>
          </w:p>
        </w:tc>
        <w:tc>
          <w:tcPr>
            <w:tcW w:w="947" w:type="dxa"/>
            <w:shd w:val="clear" w:color="auto" w:fill="FFFFFF"/>
            <w:vAlign w:val="center"/>
          </w:tcPr>
          <w:p w14:paraId="49D9D38D" w14:textId="77777777" w:rsidR="004B0883" w:rsidRDefault="004B0883">
            <w:pPr>
              <w:snapToGrid w:val="0"/>
              <w:jc w:val="right"/>
              <w:rPr>
                <w:rFonts w:eastAsia="等线"/>
                <w:b/>
                <w:kern w:val="0"/>
                <w:sz w:val="18"/>
                <w:szCs w:val="18"/>
              </w:rPr>
            </w:pPr>
            <w:r>
              <w:rPr>
                <w:rFonts w:eastAsia="等线"/>
                <w:b/>
                <w:kern w:val="0"/>
                <w:sz w:val="18"/>
                <w:szCs w:val="18"/>
              </w:rPr>
              <w:t>2,441.00</w:t>
            </w:r>
          </w:p>
        </w:tc>
        <w:tc>
          <w:tcPr>
            <w:tcW w:w="947" w:type="dxa"/>
            <w:shd w:val="clear" w:color="auto" w:fill="FFFFFF"/>
            <w:vAlign w:val="center"/>
          </w:tcPr>
          <w:p w14:paraId="4495AD9A" w14:textId="77777777" w:rsidR="004B0883" w:rsidRDefault="004B0883">
            <w:pPr>
              <w:snapToGrid w:val="0"/>
              <w:jc w:val="right"/>
              <w:rPr>
                <w:rFonts w:eastAsia="等线"/>
                <w:b/>
                <w:kern w:val="0"/>
                <w:sz w:val="18"/>
                <w:szCs w:val="18"/>
              </w:rPr>
            </w:pPr>
            <w:r>
              <w:rPr>
                <w:rFonts w:eastAsia="等线"/>
                <w:b/>
                <w:kern w:val="0"/>
                <w:sz w:val="18"/>
                <w:szCs w:val="18"/>
              </w:rPr>
              <w:t>2,441.00</w:t>
            </w:r>
          </w:p>
        </w:tc>
        <w:tc>
          <w:tcPr>
            <w:tcW w:w="947" w:type="dxa"/>
            <w:shd w:val="clear" w:color="auto" w:fill="FFFFFF"/>
            <w:vAlign w:val="center"/>
          </w:tcPr>
          <w:p w14:paraId="3D31BD92" w14:textId="77777777" w:rsidR="004B0883" w:rsidRDefault="004B0883">
            <w:pPr>
              <w:snapToGrid w:val="0"/>
              <w:jc w:val="right"/>
              <w:rPr>
                <w:rFonts w:eastAsia="等线"/>
                <w:b/>
                <w:kern w:val="0"/>
                <w:sz w:val="18"/>
                <w:szCs w:val="18"/>
              </w:rPr>
            </w:pPr>
            <w:r>
              <w:rPr>
                <w:rFonts w:eastAsia="等线"/>
                <w:b/>
                <w:kern w:val="0"/>
                <w:sz w:val="18"/>
                <w:szCs w:val="18"/>
              </w:rPr>
              <w:t>2,441.00</w:t>
            </w:r>
          </w:p>
        </w:tc>
      </w:tr>
      <w:tr w:rsidR="004B0883" w14:paraId="39D13A2F" w14:textId="77777777">
        <w:trPr>
          <w:trHeight w:val="397"/>
          <w:jc w:val="center"/>
        </w:trPr>
        <w:tc>
          <w:tcPr>
            <w:tcW w:w="430" w:type="dxa"/>
            <w:shd w:val="clear" w:color="auto" w:fill="FFFFFF"/>
            <w:tcMar>
              <w:top w:w="0" w:type="dxa"/>
              <w:left w:w="30" w:type="dxa"/>
              <w:bottom w:w="0" w:type="dxa"/>
              <w:right w:w="30" w:type="dxa"/>
            </w:tcMar>
            <w:vAlign w:val="center"/>
          </w:tcPr>
          <w:p w14:paraId="62CE2523" w14:textId="77777777" w:rsidR="004B0883" w:rsidRDefault="004B0883">
            <w:pPr>
              <w:snapToGrid w:val="0"/>
              <w:jc w:val="center"/>
              <w:rPr>
                <w:rFonts w:eastAsia="等线"/>
                <w:b/>
                <w:kern w:val="0"/>
                <w:sz w:val="18"/>
                <w:szCs w:val="18"/>
              </w:rPr>
            </w:pPr>
            <w:r>
              <w:rPr>
                <w:rFonts w:eastAsia="等线"/>
                <w:b/>
                <w:kern w:val="0"/>
                <w:sz w:val="18"/>
                <w:szCs w:val="18"/>
              </w:rPr>
              <w:t>3.1</w:t>
            </w:r>
          </w:p>
        </w:tc>
        <w:tc>
          <w:tcPr>
            <w:tcW w:w="1411" w:type="dxa"/>
            <w:shd w:val="clear" w:color="auto" w:fill="FFFFFF"/>
            <w:vAlign w:val="center"/>
          </w:tcPr>
          <w:p w14:paraId="19739C97" w14:textId="77777777" w:rsidR="004B0883" w:rsidRDefault="004B0883">
            <w:pPr>
              <w:snapToGrid w:val="0"/>
              <w:jc w:val="center"/>
              <w:rPr>
                <w:b/>
                <w:kern w:val="0"/>
                <w:sz w:val="18"/>
                <w:szCs w:val="24"/>
              </w:rPr>
            </w:pPr>
            <w:r>
              <w:rPr>
                <w:rFonts w:hint="eastAsia"/>
                <w:b/>
                <w:kern w:val="0"/>
                <w:sz w:val="18"/>
                <w:szCs w:val="24"/>
              </w:rPr>
              <w:t>产出销项税额</w:t>
            </w:r>
          </w:p>
        </w:tc>
        <w:tc>
          <w:tcPr>
            <w:tcW w:w="941" w:type="dxa"/>
            <w:shd w:val="clear" w:color="auto" w:fill="FFFFFF"/>
            <w:vAlign w:val="center"/>
          </w:tcPr>
          <w:p w14:paraId="034AFD6A" w14:textId="77777777" w:rsidR="004B0883" w:rsidRDefault="004B0883">
            <w:pPr>
              <w:snapToGrid w:val="0"/>
              <w:jc w:val="right"/>
              <w:rPr>
                <w:rFonts w:eastAsia="等线"/>
                <w:b/>
                <w:kern w:val="0"/>
                <w:sz w:val="18"/>
                <w:szCs w:val="18"/>
              </w:rPr>
            </w:pPr>
            <w:r>
              <w:rPr>
                <w:rFonts w:eastAsia="等线"/>
                <w:b/>
                <w:kern w:val="0"/>
                <w:sz w:val="18"/>
                <w:szCs w:val="18"/>
              </w:rPr>
              <w:t>-</w:t>
            </w:r>
          </w:p>
        </w:tc>
        <w:tc>
          <w:tcPr>
            <w:tcW w:w="942" w:type="dxa"/>
            <w:shd w:val="clear" w:color="auto" w:fill="FFFFFF"/>
            <w:vAlign w:val="center"/>
          </w:tcPr>
          <w:p w14:paraId="6EE87398" w14:textId="77777777" w:rsidR="004B0883" w:rsidRDefault="004B0883">
            <w:pPr>
              <w:snapToGrid w:val="0"/>
              <w:jc w:val="right"/>
              <w:rPr>
                <w:rFonts w:eastAsia="等线"/>
                <w:b/>
                <w:kern w:val="0"/>
                <w:sz w:val="18"/>
                <w:szCs w:val="18"/>
              </w:rPr>
            </w:pPr>
            <w:r>
              <w:rPr>
                <w:rFonts w:eastAsia="等线"/>
                <w:b/>
                <w:kern w:val="0"/>
                <w:sz w:val="18"/>
                <w:szCs w:val="18"/>
              </w:rPr>
              <w:t>-</w:t>
            </w:r>
          </w:p>
        </w:tc>
        <w:tc>
          <w:tcPr>
            <w:tcW w:w="947" w:type="dxa"/>
            <w:shd w:val="clear" w:color="auto" w:fill="FFFFFF"/>
            <w:vAlign w:val="center"/>
          </w:tcPr>
          <w:p w14:paraId="66A76EE0" w14:textId="77777777" w:rsidR="004B0883" w:rsidRDefault="004B0883">
            <w:pPr>
              <w:snapToGrid w:val="0"/>
              <w:jc w:val="right"/>
              <w:rPr>
                <w:rFonts w:eastAsia="等线"/>
                <w:b/>
                <w:kern w:val="0"/>
                <w:sz w:val="18"/>
                <w:szCs w:val="18"/>
              </w:rPr>
            </w:pPr>
            <w:r>
              <w:rPr>
                <w:rFonts w:eastAsia="等线"/>
                <w:b/>
                <w:kern w:val="0"/>
                <w:sz w:val="18"/>
                <w:szCs w:val="18"/>
              </w:rPr>
              <w:t>1,575.60</w:t>
            </w:r>
          </w:p>
        </w:tc>
        <w:tc>
          <w:tcPr>
            <w:tcW w:w="947" w:type="dxa"/>
            <w:shd w:val="clear" w:color="auto" w:fill="FFFFFF"/>
            <w:vAlign w:val="center"/>
          </w:tcPr>
          <w:p w14:paraId="4055846E" w14:textId="77777777" w:rsidR="004B0883" w:rsidRDefault="004B0883">
            <w:pPr>
              <w:snapToGrid w:val="0"/>
              <w:jc w:val="right"/>
              <w:rPr>
                <w:rFonts w:eastAsia="等线"/>
                <w:b/>
                <w:kern w:val="0"/>
                <w:sz w:val="18"/>
                <w:szCs w:val="18"/>
              </w:rPr>
            </w:pPr>
            <w:r>
              <w:rPr>
                <w:rFonts w:eastAsia="等线"/>
                <w:b/>
                <w:kern w:val="0"/>
                <w:sz w:val="18"/>
                <w:szCs w:val="18"/>
              </w:rPr>
              <w:t>2,626.00</w:t>
            </w:r>
          </w:p>
        </w:tc>
        <w:tc>
          <w:tcPr>
            <w:tcW w:w="947" w:type="dxa"/>
            <w:shd w:val="clear" w:color="auto" w:fill="FFFFFF"/>
            <w:vAlign w:val="center"/>
          </w:tcPr>
          <w:p w14:paraId="2BC64FDF" w14:textId="77777777" w:rsidR="004B0883" w:rsidRDefault="004B0883">
            <w:pPr>
              <w:snapToGrid w:val="0"/>
              <w:jc w:val="right"/>
              <w:rPr>
                <w:rFonts w:eastAsia="等线"/>
                <w:b/>
                <w:kern w:val="0"/>
                <w:sz w:val="18"/>
                <w:szCs w:val="18"/>
              </w:rPr>
            </w:pPr>
            <w:r>
              <w:rPr>
                <w:rFonts w:eastAsia="等线"/>
                <w:b/>
                <w:kern w:val="0"/>
                <w:sz w:val="18"/>
                <w:szCs w:val="18"/>
              </w:rPr>
              <w:t>3,676.40</w:t>
            </w:r>
          </w:p>
        </w:tc>
        <w:tc>
          <w:tcPr>
            <w:tcW w:w="947" w:type="dxa"/>
            <w:shd w:val="clear" w:color="auto" w:fill="FFFFFF"/>
            <w:vAlign w:val="center"/>
          </w:tcPr>
          <w:p w14:paraId="71F2E4AB" w14:textId="77777777" w:rsidR="004B0883" w:rsidRDefault="004B0883">
            <w:pPr>
              <w:snapToGrid w:val="0"/>
              <w:jc w:val="right"/>
              <w:rPr>
                <w:rFonts w:eastAsia="等线"/>
                <w:b/>
                <w:kern w:val="0"/>
                <w:sz w:val="18"/>
                <w:szCs w:val="18"/>
              </w:rPr>
            </w:pPr>
            <w:r>
              <w:rPr>
                <w:rFonts w:eastAsia="等线"/>
                <w:b/>
                <w:kern w:val="0"/>
                <w:sz w:val="18"/>
                <w:szCs w:val="18"/>
              </w:rPr>
              <w:t>5,252.00</w:t>
            </w:r>
          </w:p>
        </w:tc>
        <w:tc>
          <w:tcPr>
            <w:tcW w:w="947" w:type="dxa"/>
            <w:shd w:val="clear" w:color="auto" w:fill="FFFFFF"/>
            <w:vAlign w:val="center"/>
          </w:tcPr>
          <w:p w14:paraId="0E3B58FA" w14:textId="77777777" w:rsidR="004B0883" w:rsidRDefault="004B0883">
            <w:pPr>
              <w:snapToGrid w:val="0"/>
              <w:jc w:val="right"/>
              <w:rPr>
                <w:rFonts w:eastAsia="等线"/>
                <w:b/>
                <w:kern w:val="0"/>
                <w:sz w:val="18"/>
                <w:szCs w:val="18"/>
              </w:rPr>
            </w:pPr>
            <w:r>
              <w:rPr>
                <w:rFonts w:eastAsia="等线"/>
                <w:b/>
                <w:kern w:val="0"/>
                <w:sz w:val="18"/>
                <w:szCs w:val="18"/>
              </w:rPr>
              <w:t>5,252.00</w:t>
            </w:r>
          </w:p>
        </w:tc>
        <w:tc>
          <w:tcPr>
            <w:tcW w:w="947" w:type="dxa"/>
            <w:shd w:val="clear" w:color="auto" w:fill="FFFFFF"/>
            <w:vAlign w:val="center"/>
          </w:tcPr>
          <w:p w14:paraId="15D1352E" w14:textId="77777777" w:rsidR="004B0883" w:rsidRDefault="004B0883">
            <w:pPr>
              <w:snapToGrid w:val="0"/>
              <w:jc w:val="right"/>
              <w:rPr>
                <w:rFonts w:eastAsia="等线"/>
                <w:b/>
                <w:kern w:val="0"/>
                <w:sz w:val="18"/>
                <w:szCs w:val="18"/>
              </w:rPr>
            </w:pPr>
            <w:r>
              <w:rPr>
                <w:rFonts w:eastAsia="等线"/>
                <w:b/>
                <w:kern w:val="0"/>
                <w:sz w:val="18"/>
                <w:szCs w:val="18"/>
              </w:rPr>
              <w:t>5,252.00</w:t>
            </w:r>
          </w:p>
        </w:tc>
        <w:tc>
          <w:tcPr>
            <w:tcW w:w="947" w:type="dxa"/>
            <w:shd w:val="clear" w:color="auto" w:fill="FFFFFF"/>
            <w:vAlign w:val="center"/>
          </w:tcPr>
          <w:p w14:paraId="15F1EEB2" w14:textId="77777777" w:rsidR="004B0883" w:rsidRDefault="004B0883">
            <w:pPr>
              <w:snapToGrid w:val="0"/>
              <w:jc w:val="right"/>
              <w:rPr>
                <w:rFonts w:eastAsia="等线"/>
                <w:b/>
                <w:kern w:val="0"/>
                <w:sz w:val="18"/>
                <w:szCs w:val="18"/>
              </w:rPr>
            </w:pPr>
            <w:r>
              <w:rPr>
                <w:rFonts w:eastAsia="等线"/>
                <w:b/>
                <w:kern w:val="0"/>
                <w:sz w:val="18"/>
                <w:szCs w:val="18"/>
              </w:rPr>
              <w:t>5,252.00</w:t>
            </w:r>
          </w:p>
        </w:tc>
        <w:tc>
          <w:tcPr>
            <w:tcW w:w="947" w:type="dxa"/>
            <w:shd w:val="clear" w:color="auto" w:fill="FFFFFF"/>
            <w:vAlign w:val="center"/>
          </w:tcPr>
          <w:p w14:paraId="7D5ED2FD" w14:textId="77777777" w:rsidR="004B0883" w:rsidRDefault="004B0883">
            <w:pPr>
              <w:snapToGrid w:val="0"/>
              <w:jc w:val="right"/>
              <w:rPr>
                <w:rFonts w:eastAsia="等线"/>
                <w:b/>
                <w:kern w:val="0"/>
                <w:sz w:val="18"/>
                <w:szCs w:val="18"/>
              </w:rPr>
            </w:pPr>
            <w:r>
              <w:rPr>
                <w:rFonts w:eastAsia="等线"/>
                <w:b/>
                <w:kern w:val="0"/>
                <w:sz w:val="18"/>
                <w:szCs w:val="18"/>
              </w:rPr>
              <w:t>5,252.00</w:t>
            </w:r>
          </w:p>
        </w:tc>
      </w:tr>
      <w:tr w:rsidR="004B0883" w14:paraId="0E7A6497" w14:textId="77777777">
        <w:trPr>
          <w:trHeight w:val="397"/>
          <w:jc w:val="center"/>
        </w:trPr>
        <w:tc>
          <w:tcPr>
            <w:tcW w:w="430" w:type="dxa"/>
            <w:shd w:val="clear" w:color="auto" w:fill="FFFFFF"/>
            <w:tcMar>
              <w:top w:w="0" w:type="dxa"/>
              <w:left w:w="30" w:type="dxa"/>
              <w:bottom w:w="0" w:type="dxa"/>
              <w:right w:w="30" w:type="dxa"/>
            </w:tcMar>
            <w:vAlign w:val="center"/>
          </w:tcPr>
          <w:p w14:paraId="2AB1E3BC" w14:textId="77777777" w:rsidR="004B0883" w:rsidRDefault="004B0883">
            <w:pPr>
              <w:snapToGrid w:val="0"/>
              <w:jc w:val="center"/>
              <w:rPr>
                <w:rFonts w:eastAsia="等线"/>
                <w:b/>
                <w:kern w:val="0"/>
                <w:sz w:val="18"/>
                <w:szCs w:val="18"/>
              </w:rPr>
            </w:pPr>
            <w:r>
              <w:rPr>
                <w:rFonts w:eastAsia="等线"/>
                <w:b/>
                <w:kern w:val="0"/>
                <w:sz w:val="18"/>
                <w:szCs w:val="18"/>
              </w:rPr>
              <w:t>3.2</w:t>
            </w:r>
          </w:p>
        </w:tc>
        <w:tc>
          <w:tcPr>
            <w:tcW w:w="1411" w:type="dxa"/>
            <w:shd w:val="clear" w:color="auto" w:fill="FFFFFF"/>
            <w:vAlign w:val="center"/>
          </w:tcPr>
          <w:p w14:paraId="057A61CA" w14:textId="77777777" w:rsidR="004B0883" w:rsidRDefault="004B0883">
            <w:pPr>
              <w:snapToGrid w:val="0"/>
              <w:jc w:val="center"/>
              <w:rPr>
                <w:b/>
                <w:kern w:val="0"/>
                <w:sz w:val="18"/>
                <w:szCs w:val="24"/>
              </w:rPr>
            </w:pPr>
            <w:r>
              <w:rPr>
                <w:rFonts w:hint="eastAsia"/>
                <w:b/>
                <w:kern w:val="0"/>
                <w:sz w:val="18"/>
                <w:szCs w:val="24"/>
              </w:rPr>
              <w:t>运营投入进项税额</w:t>
            </w:r>
          </w:p>
        </w:tc>
        <w:tc>
          <w:tcPr>
            <w:tcW w:w="941" w:type="dxa"/>
            <w:shd w:val="clear" w:color="auto" w:fill="FFFFFF"/>
            <w:vAlign w:val="center"/>
          </w:tcPr>
          <w:p w14:paraId="43064897" w14:textId="77777777" w:rsidR="004B0883" w:rsidRDefault="004B0883">
            <w:pPr>
              <w:snapToGrid w:val="0"/>
              <w:jc w:val="right"/>
              <w:rPr>
                <w:rFonts w:eastAsia="等线"/>
                <w:b/>
                <w:kern w:val="0"/>
                <w:sz w:val="18"/>
                <w:szCs w:val="18"/>
              </w:rPr>
            </w:pPr>
            <w:r>
              <w:rPr>
                <w:rFonts w:eastAsia="等线"/>
                <w:b/>
                <w:kern w:val="0"/>
                <w:sz w:val="18"/>
                <w:szCs w:val="18"/>
              </w:rPr>
              <w:t>-</w:t>
            </w:r>
          </w:p>
        </w:tc>
        <w:tc>
          <w:tcPr>
            <w:tcW w:w="942" w:type="dxa"/>
            <w:shd w:val="clear" w:color="auto" w:fill="FFFFFF"/>
            <w:vAlign w:val="center"/>
          </w:tcPr>
          <w:p w14:paraId="631BAA43" w14:textId="77777777" w:rsidR="004B0883" w:rsidRDefault="004B0883">
            <w:pPr>
              <w:snapToGrid w:val="0"/>
              <w:jc w:val="right"/>
              <w:rPr>
                <w:rFonts w:eastAsia="等线"/>
                <w:b/>
                <w:kern w:val="0"/>
                <w:sz w:val="18"/>
                <w:szCs w:val="18"/>
              </w:rPr>
            </w:pPr>
            <w:r>
              <w:rPr>
                <w:rFonts w:eastAsia="等线"/>
                <w:b/>
                <w:kern w:val="0"/>
                <w:sz w:val="18"/>
                <w:szCs w:val="18"/>
              </w:rPr>
              <w:t>-</w:t>
            </w:r>
          </w:p>
        </w:tc>
        <w:tc>
          <w:tcPr>
            <w:tcW w:w="947" w:type="dxa"/>
            <w:shd w:val="clear" w:color="auto" w:fill="FFFFFF"/>
            <w:vAlign w:val="center"/>
          </w:tcPr>
          <w:p w14:paraId="375FAB46" w14:textId="77777777" w:rsidR="004B0883" w:rsidRDefault="004B0883">
            <w:pPr>
              <w:snapToGrid w:val="0"/>
              <w:jc w:val="right"/>
              <w:rPr>
                <w:rFonts w:eastAsia="等线"/>
                <w:b/>
                <w:kern w:val="0"/>
                <w:sz w:val="18"/>
                <w:szCs w:val="18"/>
              </w:rPr>
            </w:pPr>
            <w:r>
              <w:rPr>
                <w:rFonts w:eastAsia="等线"/>
                <w:b/>
                <w:kern w:val="0"/>
                <w:sz w:val="18"/>
                <w:szCs w:val="18"/>
              </w:rPr>
              <w:t>843.30</w:t>
            </w:r>
          </w:p>
        </w:tc>
        <w:tc>
          <w:tcPr>
            <w:tcW w:w="947" w:type="dxa"/>
            <w:shd w:val="clear" w:color="auto" w:fill="FFFFFF"/>
            <w:vAlign w:val="center"/>
          </w:tcPr>
          <w:p w14:paraId="6C3A7B96" w14:textId="77777777" w:rsidR="004B0883" w:rsidRDefault="004B0883">
            <w:pPr>
              <w:snapToGrid w:val="0"/>
              <w:jc w:val="right"/>
              <w:rPr>
                <w:rFonts w:eastAsia="等线"/>
                <w:b/>
                <w:kern w:val="0"/>
                <w:sz w:val="18"/>
                <w:szCs w:val="18"/>
              </w:rPr>
            </w:pPr>
            <w:r>
              <w:rPr>
                <w:rFonts w:eastAsia="等线"/>
                <w:b/>
                <w:kern w:val="0"/>
                <w:sz w:val="18"/>
                <w:szCs w:val="18"/>
              </w:rPr>
              <w:t>1,405.50</w:t>
            </w:r>
          </w:p>
        </w:tc>
        <w:tc>
          <w:tcPr>
            <w:tcW w:w="947" w:type="dxa"/>
            <w:shd w:val="clear" w:color="auto" w:fill="FFFFFF"/>
            <w:vAlign w:val="center"/>
          </w:tcPr>
          <w:p w14:paraId="1AA41D8F" w14:textId="77777777" w:rsidR="004B0883" w:rsidRDefault="004B0883">
            <w:pPr>
              <w:snapToGrid w:val="0"/>
              <w:jc w:val="right"/>
              <w:rPr>
                <w:rFonts w:eastAsia="等线"/>
                <w:b/>
                <w:kern w:val="0"/>
                <w:sz w:val="18"/>
                <w:szCs w:val="18"/>
              </w:rPr>
            </w:pPr>
            <w:r>
              <w:rPr>
                <w:rFonts w:eastAsia="等线"/>
                <w:b/>
                <w:kern w:val="0"/>
                <w:sz w:val="18"/>
                <w:szCs w:val="18"/>
              </w:rPr>
              <w:t>1,967.70</w:t>
            </w:r>
          </w:p>
        </w:tc>
        <w:tc>
          <w:tcPr>
            <w:tcW w:w="947" w:type="dxa"/>
            <w:shd w:val="clear" w:color="auto" w:fill="FFFFFF"/>
            <w:vAlign w:val="center"/>
          </w:tcPr>
          <w:p w14:paraId="250EB85D" w14:textId="77777777" w:rsidR="004B0883" w:rsidRDefault="004B0883">
            <w:pPr>
              <w:snapToGrid w:val="0"/>
              <w:jc w:val="right"/>
              <w:rPr>
                <w:rFonts w:eastAsia="等线"/>
                <w:b/>
                <w:kern w:val="0"/>
                <w:sz w:val="18"/>
                <w:szCs w:val="18"/>
              </w:rPr>
            </w:pPr>
            <w:r>
              <w:rPr>
                <w:rFonts w:eastAsia="等线"/>
                <w:b/>
                <w:kern w:val="0"/>
                <w:sz w:val="18"/>
                <w:szCs w:val="18"/>
              </w:rPr>
              <w:t>2,811.00</w:t>
            </w:r>
          </w:p>
        </w:tc>
        <w:tc>
          <w:tcPr>
            <w:tcW w:w="947" w:type="dxa"/>
            <w:shd w:val="clear" w:color="auto" w:fill="FFFFFF"/>
            <w:vAlign w:val="center"/>
          </w:tcPr>
          <w:p w14:paraId="40C39137" w14:textId="77777777" w:rsidR="004B0883" w:rsidRDefault="004B0883">
            <w:pPr>
              <w:snapToGrid w:val="0"/>
              <w:jc w:val="right"/>
              <w:rPr>
                <w:rFonts w:eastAsia="等线"/>
                <w:b/>
                <w:kern w:val="0"/>
                <w:sz w:val="18"/>
                <w:szCs w:val="18"/>
              </w:rPr>
            </w:pPr>
            <w:r>
              <w:rPr>
                <w:rFonts w:eastAsia="等线"/>
                <w:b/>
                <w:kern w:val="0"/>
                <w:sz w:val="18"/>
                <w:szCs w:val="18"/>
              </w:rPr>
              <w:t>2,811.00</w:t>
            </w:r>
          </w:p>
        </w:tc>
        <w:tc>
          <w:tcPr>
            <w:tcW w:w="947" w:type="dxa"/>
            <w:shd w:val="clear" w:color="auto" w:fill="FFFFFF"/>
            <w:vAlign w:val="center"/>
          </w:tcPr>
          <w:p w14:paraId="29A6C51F" w14:textId="77777777" w:rsidR="004B0883" w:rsidRDefault="004B0883">
            <w:pPr>
              <w:snapToGrid w:val="0"/>
              <w:jc w:val="right"/>
              <w:rPr>
                <w:rFonts w:eastAsia="等线"/>
                <w:b/>
                <w:kern w:val="0"/>
                <w:sz w:val="18"/>
                <w:szCs w:val="18"/>
              </w:rPr>
            </w:pPr>
            <w:r>
              <w:rPr>
                <w:rFonts w:eastAsia="等线"/>
                <w:b/>
                <w:kern w:val="0"/>
                <w:sz w:val="18"/>
                <w:szCs w:val="18"/>
              </w:rPr>
              <w:t>2,811.00</w:t>
            </w:r>
          </w:p>
        </w:tc>
        <w:tc>
          <w:tcPr>
            <w:tcW w:w="947" w:type="dxa"/>
            <w:shd w:val="clear" w:color="auto" w:fill="FFFFFF"/>
            <w:vAlign w:val="center"/>
          </w:tcPr>
          <w:p w14:paraId="7DE4FD71" w14:textId="77777777" w:rsidR="004B0883" w:rsidRDefault="004B0883">
            <w:pPr>
              <w:snapToGrid w:val="0"/>
              <w:jc w:val="right"/>
              <w:rPr>
                <w:rFonts w:eastAsia="等线"/>
                <w:b/>
                <w:kern w:val="0"/>
                <w:sz w:val="18"/>
                <w:szCs w:val="18"/>
              </w:rPr>
            </w:pPr>
            <w:r>
              <w:rPr>
                <w:rFonts w:eastAsia="等线"/>
                <w:b/>
                <w:kern w:val="0"/>
                <w:sz w:val="18"/>
                <w:szCs w:val="18"/>
              </w:rPr>
              <w:t>2,811.00</w:t>
            </w:r>
          </w:p>
        </w:tc>
        <w:tc>
          <w:tcPr>
            <w:tcW w:w="947" w:type="dxa"/>
            <w:shd w:val="clear" w:color="auto" w:fill="FFFFFF"/>
            <w:vAlign w:val="center"/>
          </w:tcPr>
          <w:p w14:paraId="54DBC751" w14:textId="77777777" w:rsidR="004B0883" w:rsidRDefault="004B0883">
            <w:pPr>
              <w:snapToGrid w:val="0"/>
              <w:jc w:val="right"/>
              <w:rPr>
                <w:rFonts w:eastAsia="等线"/>
                <w:b/>
                <w:kern w:val="0"/>
                <w:sz w:val="18"/>
                <w:szCs w:val="18"/>
              </w:rPr>
            </w:pPr>
            <w:r>
              <w:rPr>
                <w:rFonts w:eastAsia="等线"/>
                <w:b/>
                <w:kern w:val="0"/>
                <w:sz w:val="18"/>
                <w:szCs w:val="18"/>
              </w:rPr>
              <w:t>2,811.00</w:t>
            </w:r>
          </w:p>
        </w:tc>
      </w:tr>
      <w:tr w:rsidR="004B0883" w14:paraId="6D3310DC" w14:textId="77777777">
        <w:trPr>
          <w:trHeight w:val="397"/>
          <w:jc w:val="center"/>
        </w:trPr>
        <w:tc>
          <w:tcPr>
            <w:tcW w:w="430" w:type="dxa"/>
            <w:shd w:val="clear" w:color="auto" w:fill="FFFFFF"/>
            <w:tcMar>
              <w:top w:w="0" w:type="dxa"/>
              <w:left w:w="30" w:type="dxa"/>
              <w:bottom w:w="0" w:type="dxa"/>
              <w:right w:w="30" w:type="dxa"/>
            </w:tcMar>
            <w:vAlign w:val="center"/>
          </w:tcPr>
          <w:p w14:paraId="0871B97E" w14:textId="77777777" w:rsidR="004B0883" w:rsidRDefault="004B0883">
            <w:pPr>
              <w:snapToGrid w:val="0"/>
              <w:jc w:val="center"/>
              <w:rPr>
                <w:rFonts w:eastAsia="等线"/>
                <w:bCs/>
                <w:kern w:val="0"/>
                <w:sz w:val="18"/>
                <w:szCs w:val="18"/>
              </w:rPr>
            </w:pPr>
          </w:p>
        </w:tc>
        <w:tc>
          <w:tcPr>
            <w:tcW w:w="1411" w:type="dxa"/>
            <w:shd w:val="clear" w:color="auto" w:fill="FFFFFF"/>
            <w:vAlign w:val="center"/>
          </w:tcPr>
          <w:p w14:paraId="0DE5D8F0" w14:textId="77777777" w:rsidR="004B0883" w:rsidRDefault="004B0883">
            <w:pPr>
              <w:snapToGrid w:val="0"/>
              <w:jc w:val="center"/>
              <w:rPr>
                <w:bCs/>
                <w:kern w:val="0"/>
                <w:sz w:val="18"/>
                <w:szCs w:val="24"/>
              </w:rPr>
            </w:pPr>
            <w:r>
              <w:rPr>
                <w:rFonts w:hint="eastAsia"/>
                <w:bCs/>
                <w:kern w:val="0"/>
                <w:sz w:val="18"/>
                <w:szCs w:val="24"/>
              </w:rPr>
              <w:t>外购原辅材料</w:t>
            </w:r>
          </w:p>
        </w:tc>
        <w:tc>
          <w:tcPr>
            <w:tcW w:w="941" w:type="dxa"/>
            <w:shd w:val="clear" w:color="auto" w:fill="FFFFFF"/>
            <w:vAlign w:val="center"/>
          </w:tcPr>
          <w:p w14:paraId="45C03193"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42" w:type="dxa"/>
            <w:shd w:val="clear" w:color="auto" w:fill="FFFFFF"/>
            <w:vAlign w:val="center"/>
          </w:tcPr>
          <w:p w14:paraId="793AABB1"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47" w:type="dxa"/>
            <w:shd w:val="clear" w:color="auto" w:fill="FFFFFF"/>
            <w:vAlign w:val="center"/>
          </w:tcPr>
          <w:p w14:paraId="5AD99697" w14:textId="77777777" w:rsidR="004B0883" w:rsidRDefault="004B0883">
            <w:pPr>
              <w:snapToGrid w:val="0"/>
              <w:jc w:val="right"/>
              <w:rPr>
                <w:rFonts w:eastAsia="等线"/>
                <w:bCs/>
                <w:kern w:val="0"/>
                <w:sz w:val="18"/>
                <w:szCs w:val="18"/>
              </w:rPr>
            </w:pPr>
            <w:r>
              <w:rPr>
                <w:rFonts w:eastAsia="等线"/>
                <w:bCs/>
                <w:kern w:val="0"/>
                <w:sz w:val="18"/>
                <w:szCs w:val="18"/>
              </w:rPr>
              <w:t>836.36</w:t>
            </w:r>
          </w:p>
        </w:tc>
        <w:tc>
          <w:tcPr>
            <w:tcW w:w="947" w:type="dxa"/>
            <w:shd w:val="clear" w:color="auto" w:fill="FFFFFF"/>
            <w:vAlign w:val="center"/>
          </w:tcPr>
          <w:p w14:paraId="68731145" w14:textId="77777777" w:rsidR="004B0883" w:rsidRDefault="004B0883">
            <w:pPr>
              <w:snapToGrid w:val="0"/>
              <w:jc w:val="right"/>
              <w:rPr>
                <w:rFonts w:eastAsia="等线"/>
                <w:bCs/>
                <w:kern w:val="0"/>
                <w:sz w:val="18"/>
                <w:szCs w:val="18"/>
              </w:rPr>
            </w:pPr>
            <w:r>
              <w:rPr>
                <w:rFonts w:eastAsia="等线"/>
                <w:bCs/>
                <w:kern w:val="0"/>
                <w:sz w:val="18"/>
                <w:szCs w:val="18"/>
              </w:rPr>
              <w:t>1,393.93</w:t>
            </w:r>
          </w:p>
        </w:tc>
        <w:tc>
          <w:tcPr>
            <w:tcW w:w="947" w:type="dxa"/>
            <w:shd w:val="clear" w:color="auto" w:fill="FFFFFF"/>
            <w:vAlign w:val="center"/>
          </w:tcPr>
          <w:p w14:paraId="216A6BEB" w14:textId="77777777" w:rsidR="004B0883" w:rsidRDefault="004B0883">
            <w:pPr>
              <w:snapToGrid w:val="0"/>
              <w:jc w:val="right"/>
              <w:rPr>
                <w:rFonts w:eastAsia="等线"/>
                <w:bCs/>
                <w:kern w:val="0"/>
                <w:sz w:val="18"/>
                <w:szCs w:val="18"/>
              </w:rPr>
            </w:pPr>
            <w:r>
              <w:rPr>
                <w:rFonts w:eastAsia="等线"/>
                <w:bCs/>
                <w:kern w:val="0"/>
                <w:sz w:val="18"/>
                <w:szCs w:val="18"/>
              </w:rPr>
              <w:t>1,951.50</w:t>
            </w:r>
          </w:p>
        </w:tc>
        <w:tc>
          <w:tcPr>
            <w:tcW w:w="947" w:type="dxa"/>
            <w:shd w:val="clear" w:color="auto" w:fill="FFFFFF"/>
            <w:vAlign w:val="center"/>
          </w:tcPr>
          <w:p w14:paraId="0ABAE6C6" w14:textId="77777777" w:rsidR="004B0883" w:rsidRDefault="004B0883">
            <w:pPr>
              <w:snapToGrid w:val="0"/>
              <w:jc w:val="right"/>
              <w:rPr>
                <w:rFonts w:eastAsia="等线"/>
                <w:bCs/>
                <w:kern w:val="0"/>
                <w:sz w:val="18"/>
                <w:szCs w:val="18"/>
              </w:rPr>
            </w:pPr>
            <w:r>
              <w:rPr>
                <w:rFonts w:eastAsia="等线"/>
                <w:bCs/>
                <w:kern w:val="0"/>
                <w:sz w:val="18"/>
                <w:szCs w:val="18"/>
              </w:rPr>
              <w:t>2,787.85</w:t>
            </w:r>
          </w:p>
        </w:tc>
        <w:tc>
          <w:tcPr>
            <w:tcW w:w="947" w:type="dxa"/>
            <w:shd w:val="clear" w:color="auto" w:fill="FFFFFF"/>
            <w:vAlign w:val="center"/>
          </w:tcPr>
          <w:p w14:paraId="3F33E996" w14:textId="77777777" w:rsidR="004B0883" w:rsidRDefault="004B0883">
            <w:pPr>
              <w:snapToGrid w:val="0"/>
              <w:jc w:val="right"/>
              <w:rPr>
                <w:rFonts w:eastAsia="等线"/>
                <w:bCs/>
                <w:kern w:val="0"/>
                <w:sz w:val="18"/>
                <w:szCs w:val="18"/>
              </w:rPr>
            </w:pPr>
            <w:r>
              <w:rPr>
                <w:rFonts w:eastAsia="等线"/>
                <w:bCs/>
                <w:kern w:val="0"/>
                <w:sz w:val="18"/>
                <w:szCs w:val="18"/>
              </w:rPr>
              <w:t>2,787.85</w:t>
            </w:r>
          </w:p>
        </w:tc>
        <w:tc>
          <w:tcPr>
            <w:tcW w:w="947" w:type="dxa"/>
            <w:shd w:val="clear" w:color="auto" w:fill="FFFFFF"/>
            <w:vAlign w:val="center"/>
          </w:tcPr>
          <w:p w14:paraId="4594E70C" w14:textId="77777777" w:rsidR="004B0883" w:rsidRDefault="004B0883">
            <w:pPr>
              <w:snapToGrid w:val="0"/>
              <w:jc w:val="right"/>
              <w:rPr>
                <w:rFonts w:eastAsia="等线"/>
                <w:bCs/>
                <w:kern w:val="0"/>
                <w:sz w:val="18"/>
                <w:szCs w:val="18"/>
              </w:rPr>
            </w:pPr>
            <w:r>
              <w:rPr>
                <w:rFonts w:eastAsia="等线"/>
                <w:bCs/>
                <w:kern w:val="0"/>
                <w:sz w:val="18"/>
                <w:szCs w:val="18"/>
              </w:rPr>
              <w:t>2,787.85</w:t>
            </w:r>
          </w:p>
        </w:tc>
        <w:tc>
          <w:tcPr>
            <w:tcW w:w="947" w:type="dxa"/>
            <w:shd w:val="clear" w:color="auto" w:fill="FFFFFF"/>
            <w:vAlign w:val="center"/>
          </w:tcPr>
          <w:p w14:paraId="7C70A31A" w14:textId="77777777" w:rsidR="004B0883" w:rsidRDefault="004B0883">
            <w:pPr>
              <w:snapToGrid w:val="0"/>
              <w:jc w:val="right"/>
              <w:rPr>
                <w:rFonts w:eastAsia="等线"/>
                <w:bCs/>
                <w:kern w:val="0"/>
                <w:sz w:val="18"/>
                <w:szCs w:val="18"/>
              </w:rPr>
            </w:pPr>
            <w:r>
              <w:rPr>
                <w:rFonts w:eastAsia="等线"/>
                <w:bCs/>
                <w:kern w:val="0"/>
                <w:sz w:val="18"/>
                <w:szCs w:val="18"/>
              </w:rPr>
              <w:t>2,787.85</w:t>
            </w:r>
          </w:p>
        </w:tc>
        <w:tc>
          <w:tcPr>
            <w:tcW w:w="947" w:type="dxa"/>
            <w:shd w:val="clear" w:color="auto" w:fill="FFFFFF"/>
            <w:vAlign w:val="center"/>
          </w:tcPr>
          <w:p w14:paraId="082E244B" w14:textId="77777777" w:rsidR="004B0883" w:rsidRDefault="004B0883">
            <w:pPr>
              <w:snapToGrid w:val="0"/>
              <w:jc w:val="right"/>
              <w:rPr>
                <w:rFonts w:eastAsia="等线"/>
                <w:bCs/>
                <w:kern w:val="0"/>
                <w:sz w:val="18"/>
                <w:szCs w:val="18"/>
              </w:rPr>
            </w:pPr>
            <w:r>
              <w:rPr>
                <w:rFonts w:eastAsia="等线"/>
                <w:bCs/>
                <w:kern w:val="0"/>
                <w:sz w:val="18"/>
                <w:szCs w:val="18"/>
              </w:rPr>
              <w:t>2,787.85</w:t>
            </w:r>
          </w:p>
        </w:tc>
      </w:tr>
      <w:tr w:rsidR="004B0883" w14:paraId="4CFA83AF" w14:textId="77777777">
        <w:trPr>
          <w:trHeight w:val="397"/>
          <w:jc w:val="center"/>
        </w:trPr>
        <w:tc>
          <w:tcPr>
            <w:tcW w:w="430" w:type="dxa"/>
            <w:shd w:val="clear" w:color="auto" w:fill="FFFFFF"/>
            <w:tcMar>
              <w:top w:w="0" w:type="dxa"/>
              <w:left w:w="30" w:type="dxa"/>
              <w:bottom w:w="0" w:type="dxa"/>
              <w:right w:w="30" w:type="dxa"/>
            </w:tcMar>
            <w:vAlign w:val="center"/>
          </w:tcPr>
          <w:p w14:paraId="5B1AA9ED" w14:textId="77777777" w:rsidR="004B0883" w:rsidRDefault="004B0883">
            <w:pPr>
              <w:snapToGrid w:val="0"/>
              <w:jc w:val="center"/>
              <w:rPr>
                <w:rFonts w:eastAsia="等线"/>
                <w:bCs/>
                <w:kern w:val="0"/>
                <w:sz w:val="18"/>
                <w:szCs w:val="18"/>
              </w:rPr>
            </w:pPr>
          </w:p>
        </w:tc>
        <w:tc>
          <w:tcPr>
            <w:tcW w:w="1411" w:type="dxa"/>
            <w:shd w:val="clear" w:color="auto" w:fill="FFFFFF"/>
            <w:vAlign w:val="center"/>
          </w:tcPr>
          <w:p w14:paraId="28F5D96B" w14:textId="77777777" w:rsidR="004B0883" w:rsidRDefault="004B0883">
            <w:pPr>
              <w:snapToGrid w:val="0"/>
              <w:jc w:val="center"/>
              <w:rPr>
                <w:bCs/>
                <w:kern w:val="0"/>
                <w:sz w:val="18"/>
                <w:szCs w:val="24"/>
              </w:rPr>
            </w:pPr>
            <w:r>
              <w:rPr>
                <w:rFonts w:hint="eastAsia"/>
                <w:bCs/>
                <w:kern w:val="0"/>
                <w:sz w:val="18"/>
                <w:szCs w:val="24"/>
              </w:rPr>
              <w:t>外购燃料动力</w:t>
            </w:r>
          </w:p>
        </w:tc>
        <w:tc>
          <w:tcPr>
            <w:tcW w:w="941" w:type="dxa"/>
            <w:shd w:val="clear" w:color="auto" w:fill="FFFFFF"/>
            <w:vAlign w:val="center"/>
          </w:tcPr>
          <w:p w14:paraId="7AA29C0F"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42" w:type="dxa"/>
            <w:shd w:val="clear" w:color="auto" w:fill="FFFFFF"/>
            <w:vAlign w:val="center"/>
          </w:tcPr>
          <w:p w14:paraId="4B49E283"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47" w:type="dxa"/>
            <w:shd w:val="clear" w:color="auto" w:fill="FFFFFF"/>
            <w:vAlign w:val="center"/>
          </w:tcPr>
          <w:p w14:paraId="6C838731" w14:textId="77777777" w:rsidR="004B0883" w:rsidRDefault="004B0883">
            <w:pPr>
              <w:snapToGrid w:val="0"/>
              <w:jc w:val="right"/>
              <w:rPr>
                <w:rFonts w:eastAsia="等线"/>
                <w:bCs/>
                <w:kern w:val="0"/>
                <w:sz w:val="18"/>
                <w:szCs w:val="18"/>
              </w:rPr>
            </w:pPr>
            <w:r>
              <w:rPr>
                <w:rFonts w:eastAsia="等线"/>
                <w:bCs/>
                <w:kern w:val="0"/>
                <w:sz w:val="18"/>
                <w:szCs w:val="18"/>
              </w:rPr>
              <w:t>6.94</w:t>
            </w:r>
          </w:p>
        </w:tc>
        <w:tc>
          <w:tcPr>
            <w:tcW w:w="947" w:type="dxa"/>
            <w:shd w:val="clear" w:color="auto" w:fill="FFFFFF"/>
            <w:vAlign w:val="center"/>
          </w:tcPr>
          <w:p w14:paraId="0CE64735" w14:textId="77777777" w:rsidR="004B0883" w:rsidRDefault="004B0883">
            <w:pPr>
              <w:snapToGrid w:val="0"/>
              <w:jc w:val="right"/>
              <w:rPr>
                <w:rFonts w:eastAsia="等线"/>
                <w:bCs/>
                <w:kern w:val="0"/>
                <w:sz w:val="18"/>
                <w:szCs w:val="18"/>
              </w:rPr>
            </w:pPr>
            <w:r>
              <w:rPr>
                <w:rFonts w:eastAsia="等线"/>
                <w:bCs/>
                <w:kern w:val="0"/>
                <w:sz w:val="18"/>
                <w:szCs w:val="18"/>
              </w:rPr>
              <w:t>11.57</w:t>
            </w:r>
          </w:p>
        </w:tc>
        <w:tc>
          <w:tcPr>
            <w:tcW w:w="947" w:type="dxa"/>
            <w:shd w:val="clear" w:color="auto" w:fill="FFFFFF"/>
            <w:vAlign w:val="center"/>
          </w:tcPr>
          <w:p w14:paraId="79467F03" w14:textId="77777777" w:rsidR="004B0883" w:rsidRDefault="004B0883">
            <w:pPr>
              <w:snapToGrid w:val="0"/>
              <w:jc w:val="right"/>
              <w:rPr>
                <w:rFonts w:eastAsia="等线"/>
                <w:bCs/>
                <w:kern w:val="0"/>
                <w:sz w:val="18"/>
                <w:szCs w:val="18"/>
              </w:rPr>
            </w:pPr>
            <w:r>
              <w:rPr>
                <w:rFonts w:eastAsia="等线"/>
                <w:bCs/>
                <w:kern w:val="0"/>
                <w:sz w:val="18"/>
                <w:szCs w:val="18"/>
              </w:rPr>
              <w:t>16.20</w:t>
            </w:r>
          </w:p>
        </w:tc>
        <w:tc>
          <w:tcPr>
            <w:tcW w:w="947" w:type="dxa"/>
            <w:shd w:val="clear" w:color="auto" w:fill="FFFFFF"/>
            <w:vAlign w:val="center"/>
          </w:tcPr>
          <w:p w14:paraId="2083903A" w14:textId="77777777" w:rsidR="004B0883" w:rsidRDefault="004B0883">
            <w:pPr>
              <w:snapToGrid w:val="0"/>
              <w:jc w:val="right"/>
              <w:rPr>
                <w:rFonts w:eastAsia="等线"/>
                <w:bCs/>
                <w:kern w:val="0"/>
                <w:sz w:val="18"/>
                <w:szCs w:val="18"/>
              </w:rPr>
            </w:pPr>
            <w:r>
              <w:rPr>
                <w:rFonts w:eastAsia="等线"/>
                <w:bCs/>
                <w:kern w:val="0"/>
                <w:sz w:val="18"/>
                <w:szCs w:val="18"/>
              </w:rPr>
              <w:t>23.15</w:t>
            </w:r>
          </w:p>
        </w:tc>
        <w:tc>
          <w:tcPr>
            <w:tcW w:w="947" w:type="dxa"/>
            <w:shd w:val="clear" w:color="auto" w:fill="FFFFFF"/>
            <w:vAlign w:val="center"/>
          </w:tcPr>
          <w:p w14:paraId="7240B78A" w14:textId="77777777" w:rsidR="004B0883" w:rsidRDefault="004B0883">
            <w:pPr>
              <w:snapToGrid w:val="0"/>
              <w:jc w:val="right"/>
              <w:rPr>
                <w:rFonts w:eastAsia="等线"/>
                <w:bCs/>
                <w:kern w:val="0"/>
                <w:sz w:val="18"/>
                <w:szCs w:val="18"/>
              </w:rPr>
            </w:pPr>
            <w:r>
              <w:rPr>
                <w:rFonts w:eastAsia="等线"/>
                <w:bCs/>
                <w:kern w:val="0"/>
                <w:sz w:val="18"/>
                <w:szCs w:val="18"/>
              </w:rPr>
              <w:t>23.15</w:t>
            </w:r>
          </w:p>
        </w:tc>
        <w:tc>
          <w:tcPr>
            <w:tcW w:w="947" w:type="dxa"/>
            <w:shd w:val="clear" w:color="auto" w:fill="FFFFFF"/>
            <w:vAlign w:val="center"/>
          </w:tcPr>
          <w:p w14:paraId="37CE2B5C" w14:textId="77777777" w:rsidR="004B0883" w:rsidRDefault="004B0883">
            <w:pPr>
              <w:snapToGrid w:val="0"/>
              <w:jc w:val="right"/>
              <w:rPr>
                <w:rFonts w:eastAsia="等线"/>
                <w:bCs/>
                <w:kern w:val="0"/>
                <w:sz w:val="18"/>
                <w:szCs w:val="18"/>
              </w:rPr>
            </w:pPr>
            <w:r>
              <w:rPr>
                <w:rFonts w:eastAsia="等线"/>
                <w:bCs/>
                <w:kern w:val="0"/>
                <w:sz w:val="18"/>
                <w:szCs w:val="18"/>
              </w:rPr>
              <w:t>23.15</w:t>
            </w:r>
          </w:p>
        </w:tc>
        <w:tc>
          <w:tcPr>
            <w:tcW w:w="947" w:type="dxa"/>
            <w:shd w:val="clear" w:color="auto" w:fill="FFFFFF"/>
            <w:vAlign w:val="center"/>
          </w:tcPr>
          <w:p w14:paraId="7B623692" w14:textId="77777777" w:rsidR="004B0883" w:rsidRDefault="004B0883">
            <w:pPr>
              <w:snapToGrid w:val="0"/>
              <w:jc w:val="right"/>
              <w:rPr>
                <w:rFonts w:eastAsia="等线"/>
                <w:bCs/>
                <w:kern w:val="0"/>
                <w:sz w:val="18"/>
                <w:szCs w:val="18"/>
              </w:rPr>
            </w:pPr>
            <w:r>
              <w:rPr>
                <w:rFonts w:eastAsia="等线"/>
                <w:bCs/>
                <w:kern w:val="0"/>
                <w:sz w:val="18"/>
                <w:szCs w:val="18"/>
              </w:rPr>
              <w:t>23.15</w:t>
            </w:r>
          </w:p>
        </w:tc>
        <w:tc>
          <w:tcPr>
            <w:tcW w:w="947" w:type="dxa"/>
            <w:shd w:val="clear" w:color="auto" w:fill="FFFFFF"/>
            <w:vAlign w:val="center"/>
          </w:tcPr>
          <w:p w14:paraId="01D46A31" w14:textId="77777777" w:rsidR="004B0883" w:rsidRDefault="004B0883">
            <w:pPr>
              <w:snapToGrid w:val="0"/>
              <w:jc w:val="right"/>
              <w:rPr>
                <w:rFonts w:eastAsia="等线"/>
                <w:bCs/>
                <w:kern w:val="0"/>
                <w:sz w:val="18"/>
                <w:szCs w:val="18"/>
              </w:rPr>
            </w:pPr>
            <w:r>
              <w:rPr>
                <w:rFonts w:eastAsia="等线"/>
                <w:bCs/>
                <w:kern w:val="0"/>
                <w:sz w:val="18"/>
                <w:szCs w:val="18"/>
              </w:rPr>
              <w:t>23.15</w:t>
            </w:r>
          </w:p>
        </w:tc>
      </w:tr>
      <w:tr w:rsidR="004B0883" w14:paraId="59F68385" w14:textId="77777777">
        <w:trPr>
          <w:trHeight w:val="397"/>
          <w:jc w:val="center"/>
        </w:trPr>
        <w:tc>
          <w:tcPr>
            <w:tcW w:w="430" w:type="dxa"/>
            <w:shd w:val="clear" w:color="auto" w:fill="FFFFFF"/>
            <w:tcMar>
              <w:top w:w="0" w:type="dxa"/>
              <w:left w:w="30" w:type="dxa"/>
              <w:bottom w:w="0" w:type="dxa"/>
              <w:right w:w="30" w:type="dxa"/>
            </w:tcMar>
            <w:vAlign w:val="center"/>
          </w:tcPr>
          <w:p w14:paraId="419ABF05" w14:textId="77777777" w:rsidR="004B0883" w:rsidRDefault="004B0883">
            <w:pPr>
              <w:snapToGrid w:val="0"/>
              <w:jc w:val="center"/>
              <w:rPr>
                <w:rFonts w:eastAsia="等线"/>
                <w:b/>
                <w:kern w:val="0"/>
                <w:sz w:val="18"/>
                <w:szCs w:val="18"/>
              </w:rPr>
            </w:pPr>
            <w:r>
              <w:rPr>
                <w:rFonts w:eastAsia="等线"/>
                <w:b/>
                <w:kern w:val="0"/>
                <w:sz w:val="18"/>
                <w:szCs w:val="18"/>
              </w:rPr>
              <w:t>3.3</w:t>
            </w:r>
          </w:p>
        </w:tc>
        <w:tc>
          <w:tcPr>
            <w:tcW w:w="1411" w:type="dxa"/>
            <w:shd w:val="clear" w:color="auto" w:fill="FFFFFF"/>
            <w:vAlign w:val="center"/>
          </w:tcPr>
          <w:p w14:paraId="689F099E" w14:textId="77777777" w:rsidR="004B0883" w:rsidRDefault="004B0883">
            <w:pPr>
              <w:snapToGrid w:val="0"/>
              <w:jc w:val="center"/>
              <w:rPr>
                <w:b/>
                <w:kern w:val="0"/>
                <w:sz w:val="18"/>
                <w:szCs w:val="24"/>
              </w:rPr>
            </w:pPr>
            <w:r>
              <w:rPr>
                <w:rFonts w:hint="eastAsia"/>
                <w:b/>
                <w:kern w:val="0"/>
                <w:sz w:val="18"/>
                <w:szCs w:val="24"/>
              </w:rPr>
              <w:t>抵扣固定资产进项税额</w:t>
            </w:r>
          </w:p>
        </w:tc>
        <w:tc>
          <w:tcPr>
            <w:tcW w:w="941" w:type="dxa"/>
            <w:shd w:val="clear" w:color="auto" w:fill="FFFFFF"/>
            <w:vAlign w:val="center"/>
          </w:tcPr>
          <w:p w14:paraId="3840D455" w14:textId="77777777" w:rsidR="004B0883" w:rsidRDefault="004B0883">
            <w:pPr>
              <w:snapToGrid w:val="0"/>
              <w:jc w:val="right"/>
              <w:rPr>
                <w:rFonts w:eastAsia="等线"/>
                <w:b/>
                <w:kern w:val="0"/>
                <w:sz w:val="18"/>
                <w:szCs w:val="18"/>
              </w:rPr>
            </w:pPr>
            <w:r>
              <w:rPr>
                <w:rFonts w:eastAsia="等线"/>
                <w:b/>
                <w:kern w:val="0"/>
                <w:sz w:val="18"/>
                <w:szCs w:val="18"/>
              </w:rPr>
              <w:t>-</w:t>
            </w:r>
          </w:p>
        </w:tc>
        <w:tc>
          <w:tcPr>
            <w:tcW w:w="942" w:type="dxa"/>
            <w:shd w:val="clear" w:color="auto" w:fill="FFFFFF"/>
            <w:vAlign w:val="center"/>
          </w:tcPr>
          <w:p w14:paraId="2A1E83DE" w14:textId="77777777" w:rsidR="004B0883" w:rsidRDefault="004B0883">
            <w:pPr>
              <w:snapToGrid w:val="0"/>
              <w:jc w:val="right"/>
              <w:rPr>
                <w:rFonts w:eastAsia="等线"/>
                <w:b/>
                <w:kern w:val="0"/>
                <w:sz w:val="18"/>
                <w:szCs w:val="18"/>
              </w:rPr>
            </w:pPr>
            <w:r>
              <w:rPr>
                <w:rFonts w:eastAsia="等线"/>
                <w:b/>
                <w:kern w:val="0"/>
                <w:sz w:val="18"/>
                <w:szCs w:val="18"/>
              </w:rPr>
              <w:t>-</w:t>
            </w:r>
          </w:p>
        </w:tc>
        <w:tc>
          <w:tcPr>
            <w:tcW w:w="947" w:type="dxa"/>
            <w:shd w:val="clear" w:color="auto" w:fill="FFFFFF"/>
            <w:vAlign w:val="center"/>
          </w:tcPr>
          <w:p w14:paraId="6FB59DF5" w14:textId="77777777" w:rsidR="004B0883" w:rsidRDefault="004B0883">
            <w:pPr>
              <w:snapToGrid w:val="0"/>
              <w:jc w:val="right"/>
              <w:rPr>
                <w:rFonts w:eastAsia="等线"/>
                <w:b/>
                <w:kern w:val="0"/>
                <w:sz w:val="18"/>
                <w:szCs w:val="18"/>
              </w:rPr>
            </w:pPr>
            <w:r>
              <w:rPr>
                <w:rFonts w:eastAsia="等线"/>
                <w:b/>
                <w:kern w:val="0"/>
                <w:sz w:val="18"/>
                <w:szCs w:val="18"/>
              </w:rPr>
              <w:t>732.30</w:t>
            </w:r>
          </w:p>
        </w:tc>
        <w:tc>
          <w:tcPr>
            <w:tcW w:w="947" w:type="dxa"/>
            <w:shd w:val="clear" w:color="auto" w:fill="FFFFFF"/>
            <w:vAlign w:val="center"/>
          </w:tcPr>
          <w:p w14:paraId="2579B6B1" w14:textId="77777777" w:rsidR="004B0883" w:rsidRDefault="004B0883">
            <w:pPr>
              <w:snapToGrid w:val="0"/>
              <w:jc w:val="right"/>
              <w:rPr>
                <w:rFonts w:eastAsia="等线"/>
                <w:b/>
                <w:kern w:val="0"/>
                <w:sz w:val="18"/>
                <w:szCs w:val="18"/>
              </w:rPr>
            </w:pPr>
            <w:r>
              <w:rPr>
                <w:rFonts w:eastAsia="等线"/>
                <w:b/>
                <w:kern w:val="0"/>
                <w:sz w:val="18"/>
                <w:szCs w:val="18"/>
              </w:rPr>
              <w:t>1,220.50</w:t>
            </w:r>
          </w:p>
        </w:tc>
        <w:tc>
          <w:tcPr>
            <w:tcW w:w="947" w:type="dxa"/>
            <w:shd w:val="clear" w:color="auto" w:fill="FFFFFF"/>
            <w:vAlign w:val="center"/>
          </w:tcPr>
          <w:p w14:paraId="4962735A" w14:textId="77777777" w:rsidR="004B0883" w:rsidRDefault="004B0883">
            <w:pPr>
              <w:snapToGrid w:val="0"/>
              <w:jc w:val="right"/>
              <w:rPr>
                <w:rFonts w:eastAsia="等线"/>
                <w:b/>
                <w:kern w:val="0"/>
                <w:sz w:val="18"/>
                <w:szCs w:val="18"/>
              </w:rPr>
            </w:pPr>
            <w:r>
              <w:rPr>
                <w:rFonts w:eastAsia="等线"/>
                <w:b/>
                <w:kern w:val="0"/>
                <w:sz w:val="18"/>
                <w:szCs w:val="18"/>
              </w:rPr>
              <w:t>630.75</w:t>
            </w:r>
          </w:p>
        </w:tc>
        <w:tc>
          <w:tcPr>
            <w:tcW w:w="947" w:type="dxa"/>
            <w:shd w:val="clear" w:color="auto" w:fill="FFFFFF"/>
            <w:vAlign w:val="center"/>
          </w:tcPr>
          <w:p w14:paraId="60F00F5F" w14:textId="77777777" w:rsidR="004B0883" w:rsidRDefault="004B0883">
            <w:pPr>
              <w:snapToGrid w:val="0"/>
              <w:jc w:val="right"/>
              <w:rPr>
                <w:rFonts w:eastAsia="等线"/>
                <w:b/>
                <w:kern w:val="0"/>
                <w:sz w:val="18"/>
                <w:szCs w:val="18"/>
              </w:rPr>
            </w:pPr>
            <w:r>
              <w:rPr>
                <w:rFonts w:eastAsia="等线"/>
                <w:b/>
                <w:kern w:val="0"/>
                <w:sz w:val="18"/>
                <w:szCs w:val="18"/>
              </w:rPr>
              <w:t>-</w:t>
            </w:r>
          </w:p>
        </w:tc>
        <w:tc>
          <w:tcPr>
            <w:tcW w:w="947" w:type="dxa"/>
            <w:shd w:val="clear" w:color="auto" w:fill="FFFFFF"/>
            <w:vAlign w:val="center"/>
          </w:tcPr>
          <w:p w14:paraId="748A9AE2" w14:textId="77777777" w:rsidR="004B0883" w:rsidRDefault="004B0883">
            <w:pPr>
              <w:snapToGrid w:val="0"/>
              <w:jc w:val="right"/>
              <w:rPr>
                <w:rFonts w:eastAsia="等线"/>
                <w:b/>
                <w:kern w:val="0"/>
                <w:sz w:val="18"/>
                <w:szCs w:val="18"/>
              </w:rPr>
            </w:pPr>
            <w:r>
              <w:rPr>
                <w:rFonts w:eastAsia="等线"/>
                <w:b/>
                <w:kern w:val="0"/>
                <w:sz w:val="18"/>
                <w:szCs w:val="18"/>
              </w:rPr>
              <w:t>-</w:t>
            </w:r>
          </w:p>
        </w:tc>
        <w:tc>
          <w:tcPr>
            <w:tcW w:w="947" w:type="dxa"/>
            <w:shd w:val="clear" w:color="auto" w:fill="FFFFFF"/>
            <w:vAlign w:val="center"/>
          </w:tcPr>
          <w:p w14:paraId="0464B51C" w14:textId="77777777" w:rsidR="004B0883" w:rsidRDefault="004B0883">
            <w:pPr>
              <w:snapToGrid w:val="0"/>
              <w:jc w:val="right"/>
              <w:rPr>
                <w:rFonts w:eastAsia="等线"/>
                <w:b/>
                <w:kern w:val="0"/>
                <w:sz w:val="18"/>
                <w:szCs w:val="18"/>
              </w:rPr>
            </w:pPr>
            <w:r>
              <w:rPr>
                <w:rFonts w:eastAsia="等线"/>
                <w:b/>
                <w:kern w:val="0"/>
                <w:sz w:val="18"/>
                <w:szCs w:val="18"/>
              </w:rPr>
              <w:t>-</w:t>
            </w:r>
          </w:p>
        </w:tc>
        <w:tc>
          <w:tcPr>
            <w:tcW w:w="947" w:type="dxa"/>
            <w:shd w:val="clear" w:color="auto" w:fill="FFFFFF"/>
            <w:vAlign w:val="center"/>
          </w:tcPr>
          <w:p w14:paraId="2684A0F4" w14:textId="77777777" w:rsidR="004B0883" w:rsidRDefault="004B0883">
            <w:pPr>
              <w:snapToGrid w:val="0"/>
              <w:jc w:val="right"/>
              <w:rPr>
                <w:rFonts w:eastAsia="等线"/>
                <w:b/>
                <w:kern w:val="0"/>
                <w:sz w:val="18"/>
                <w:szCs w:val="18"/>
              </w:rPr>
            </w:pPr>
            <w:r>
              <w:rPr>
                <w:rFonts w:eastAsia="等线"/>
                <w:b/>
                <w:kern w:val="0"/>
                <w:sz w:val="18"/>
                <w:szCs w:val="18"/>
              </w:rPr>
              <w:t>-</w:t>
            </w:r>
          </w:p>
        </w:tc>
        <w:tc>
          <w:tcPr>
            <w:tcW w:w="947" w:type="dxa"/>
            <w:shd w:val="clear" w:color="auto" w:fill="FFFFFF"/>
            <w:vAlign w:val="center"/>
          </w:tcPr>
          <w:p w14:paraId="491F89CE" w14:textId="77777777" w:rsidR="004B0883" w:rsidRDefault="004B0883">
            <w:pPr>
              <w:snapToGrid w:val="0"/>
              <w:jc w:val="right"/>
              <w:rPr>
                <w:rFonts w:eastAsia="等线"/>
                <w:b/>
                <w:kern w:val="0"/>
                <w:sz w:val="18"/>
                <w:szCs w:val="18"/>
              </w:rPr>
            </w:pPr>
            <w:r>
              <w:rPr>
                <w:rFonts w:eastAsia="等线"/>
                <w:b/>
                <w:kern w:val="0"/>
                <w:sz w:val="18"/>
                <w:szCs w:val="18"/>
              </w:rPr>
              <w:t>-</w:t>
            </w:r>
          </w:p>
        </w:tc>
      </w:tr>
      <w:tr w:rsidR="004B0883" w14:paraId="7B7588C8" w14:textId="77777777">
        <w:trPr>
          <w:trHeight w:val="397"/>
          <w:jc w:val="center"/>
        </w:trPr>
        <w:tc>
          <w:tcPr>
            <w:tcW w:w="430" w:type="dxa"/>
            <w:shd w:val="clear" w:color="auto" w:fill="FFFFFF"/>
            <w:tcMar>
              <w:top w:w="0" w:type="dxa"/>
              <w:left w:w="30" w:type="dxa"/>
              <w:bottom w:w="0" w:type="dxa"/>
              <w:right w:w="30" w:type="dxa"/>
            </w:tcMar>
            <w:vAlign w:val="center"/>
          </w:tcPr>
          <w:p w14:paraId="61205D6E" w14:textId="77777777" w:rsidR="004B0883" w:rsidRDefault="004B0883">
            <w:pPr>
              <w:snapToGrid w:val="0"/>
              <w:jc w:val="center"/>
              <w:rPr>
                <w:rFonts w:eastAsia="等线"/>
                <w:b/>
                <w:kern w:val="0"/>
                <w:sz w:val="18"/>
                <w:szCs w:val="18"/>
              </w:rPr>
            </w:pPr>
            <w:r>
              <w:rPr>
                <w:rFonts w:eastAsia="等线"/>
                <w:b/>
                <w:kern w:val="0"/>
                <w:sz w:val="18"/>
                <w:szCs w:val="18"/>
              </w:rPr>
              <w:t>3.4</w:t>
            </w:r>
          </w:p>
        </w:tc>
        <w:tc>
          <w:tcPr>
            <w:tcW w:w="1411" w:type="dxa"/>
            <w:shd w:val="clear" w:color="auto" w:fill="FFFFFF"/>
            <w:vAlign w:val="center"/>
          </w:tcPr>
          <w:p w14:paraId="31AD362E" w14:textId="77777777" w:rsidR="004B0883" w:rsidRDefault="004B0883">
            <w:pPr>
              <w:snapToGrid w:val="0"/>
              <w:jc w:val="center"/>
              <w:rPr>
                <w:b/>
                <w:kern w:val="0"/>
                <w:sz w:val="18"/>
                <w:szCs w:val="24"/>
              </w:rPr>
            </w:pPr>
            <w:r>
              <w:rPr>
                <w:rFonts w:hint="eastAsia"/>
                <w:b/>
                <w:kern w:val="0"/>
                <w:sz w:val="18"/>
                <w:szCs w:val="24"/>
              </w:rPr>
              <w:t>应纳增值税</w:t>
            </w:r>
          </w:p>
        </w:tc>
        <w:tc>
          <w:tcPr>
            <w:tcW w:w="941" w:type="dxa"/>
            <w:shd w:val="clear" w:color="auto" w:fill="FFFFFF"/>
            <w:vAlign w:val="center"/>
          </w:tcPr>
          <w:p w14:paraId="5D0447CB" w14:textId="77777777" w:rsidR="004B0883" w:rsidRDefault="004B0883">
            <w:pPr>
              <w:snapToGrid w:val="0"/>
              <w:jc w:val="right"/>
              <w:rPr>
                <w:rFonts w:eastAsia="等线"/>
                <w:b/>
                <w:kern w:val="0"/>
                <w:sz w:val="18"/>
                <w:szCs w:val="18"/>
              </w:rPr>
            </w:pPr>
            <w:r>
              <w:rPr>
                <w:rFonts w:eastAsia="等线"/>
                <w:b/>
                <w:kern w:val="0"/>
                <w:sz w:val="18"/>
                <w:szCs w:val="18"/>
              </w:rPr>
              <w:t>-</w:t>
            </w:r>
          </w:p>
        </w:tc>
        <w:tc>
          <w:tcPr>
            <w:tcW w:w="942" w:type="dxa"/>
            <w:shd w:val="clear" w:color="auto" w:fill="FFFFFF"/>
            <w:vAlign w:val="center"/>
          </w:tcPr>
          <w:p w14:paraId="084322B9" w14:textId="77777777" w:rsidR="004B0883" w:rsidRDefault="004B0883">
            <w:pPr>
              <w:snapToGrid w:val="0"/>
              <w:jc w:val="right"/>
              <w:rPr>
                <w:rFonts w:eastAsia="等线"/>
                <w:b/>
                <w:kern w:val="0"/>
                <w:sz w:val="18"/>
                <w:szCs w:val="18"/>
              </w:rPr>
            </w:pPr>
            <w:r>
              <w:rPr>
                <w:rFonts w:eastAsia="等线"/>
                <w:b/>
                <w:kern w:val="0"/>
                <w:sz w:val="18"/>
                <w:szCs w:val="18"/>
              </w:rPr>
              <w:t>-</w:t>
            </w:r>
          </w:p>
        </w:tc>
        <w:tc>
          <w:tcPr>
            <w:tcW w:w="947" w:type="dxa"/>
            <w:shd w:val="clear" w:color="auto" w:fill="FFFFFF"/>
            <w:vAlign w:val="center"/>
          </w:tcPr>
          <w:p w14:paraId="1297BCDF" w14:textId="77777777" w:rsidR="004B0883" w:rsidRDefault="004B0883">
            <w:pPr>
              <w:snapToGrid w:val="0"/>
              <w:jc w:val="right"/>
              <w:rPr>
                <w:rFonts w:eastAsia="等线"/>
                <w:b/>
                <w:kern w:val="0"/>
                <w:sz w:val="18"/>
                <w:szCs w:val="18"/>
              </w:rPr>
            </w:pPr>
            <w:r>
              <w:rPr>
                <w:rFonts w:eastAsia="等线"/>
                <w:b/>
                <w:kern w:val="0"/>
                <w:sz w:val="18"/>
                <w:szCs w:val="18"/>
              </w:rPr>
              <w:t>-</w:t>
            </w:r>
          </w:p>
        </w:tc>
        <w:tc>
          <w:tcPr>
            <w:tcW w:w="947" w:type="dxa"/>
            <w:shd w:val="clear" w:color="auto" w:fill="FFFFFF"/>
            <w:vAlign w:val="center"/>
          </w:tcPr>
          <w:p w14:paraId="62356A30" w14:textId="77777777" w:rsidR="004B0883" w:rsidRDefault="004B0883">
            <w:pPr>
              <w:snapToGrid w:val="0"/>
              <w:jc w:val="right"/>
              <w:rPr>
                <w:rFonts w:eastAsia="等线"/>
                <w:b/>
                <w:kern w:val="0"/>
                <w:sz w:val="18"/>
                <w:szCs w:val="18"/>
              </w:rPr>
            </w:pPr>
            <w:r>
              <w:rPr>
                <w:rFonts w:eastAsia="等线"/>
                <w:b/>
                <w:kern w:val="0"/>
                <w:sz w:val="18"/>
                <w:szCs w:val="18"/>
              </w:rPr>
              <w:t>-</w:t>
            </w:r>
          </w:p>
        </w:tc>
        <w:tc>
          <w:tcPr>
            <w:tcW w:w="947" w:type="dxa"/>
            <w:shd w:val="clear" w:color="auto" w:fill="FFFFFF"/>
            <w:vAlign w:val="center"/>
          </w:tcPr>
          <w:p w14:paraId="36378F9A" w14:textId="77777777" w:rsidR="004B0883" w:rsidRDefault="004B0883">
            <w:pPr>
              <w:snapToGrid w:val="0"/>
              <w:jc w:val="right"/>
              <w:rPr>
                <w:rFonts w:eastAsia="等线"/>
                <w:b/>
                <w:kern w:val="0"/>
                <w:sz w:val="18"/>
                <w:szCs w:val="18"/>
              </w:rPr>
            </w:pPr>
            <w:r>
              <w:rPr>
                <w:rFonts w:eastAsia="等线"/>
                <w:b/>
                <w:kern w:val="0"/>
                <w:sz w:val="18"/>
                <w:szCs w:val="18"/>
              </w:rPr>
              <w:t>1,077.95</w:t>
            </w:r>
          </w:p>
        </w:tc>
        <w:tc>
          <w:tcPr>
            <w:tcW w:w="947" w:type="dxa"/>
            <w:shd w:val="clear" w:color="auto" w:fill="FFFFFF"/>
            <w:vAlign w:val="center"/>
          </w:tcPr>
          <w:p w14:paraId="0C8CCA76" w14:textId="77777777" w:rsidR="004B0883" w:rsidRDefault="004B0883">
            <w:pPr>
              <w:snapToGrid w:val="0"/>
              <w:jc w:val="right"/>
              <w:rPr>
                <w:rFonts w:eastAsia="等线"/>
                <w:b/>
                <w:kern w:val="0"/>
                <w:sz w:val="18"/>
                <w:szCs w:val="18"/>
              </w:rPr>
            </w:pPr>
            <w:r>
              <w:rPr>
                <w:rFonts w:eastAsia="等线"/>
                <w:b/>
                <w:kern w:val="0"/>
                <w:sz w:val="18"/>
                <w:szCs w:val="18"/>
              </w:rPr>
              <w:t>2,441.00</w:t>
            </w:r>
          </w:p>
        </w:tc>
        <w:tc>
          <w:tcPr>
            <w:tcW w:w="947" w:type="dxa"/>
            <w:shd w:val="clear" w:color="auto" w:fill="FFFFFF"/>
            <w:vAlign w:val="center"/>
          </w:tcPr>
          <w:p w14:paraId="103FB73C" w14:textId="77777777" w:rsidR="004B0883" w:rsidRDefault="004B0883">
            <w:pPr>
              <w:snapToGrid w:val="0"/>
              <w:jc w:val="right"/>
              <w:rPr>
                <w:rFonts w:eastAsia="等线"/>
                <w:b/>
                <w:kern w:val="0"/>
                <w:sz w:val="18"/>
                <w:szCs w:val="18"/>
              </w:rPr>
            </w:pPr>
            <w:r>
              <w:rPr>
                <w:rFonts w:eastAsia="等线"/>
                <w:b/>
                <w:kern w:val="0"/>
                <w:sz w:val="18"/>
                <w:szCs w:val="18"/>
              </w:rPr>
              <w:t>2,441.00</w:t>
            </w:r>
          </w:p>
        </w:tc>
        <w:tc>
          <w:tcPr>
            <w:tcW w:w="947" w:type="dxa"/>
            <w:shd w:val="clear" w:color="auto" w:fill="FFFFFF"/>
            <w:vAlign w:val="center"/>
          </w:tcPr>
          <w:p w14:paraId="77652C45" w14:textId="77777777" w:rsidR="004B0883" w:rsidRDefault="004B0883">
            <w:pPr>
              <w:snapToGrid w:val="0"/>
              <w:jc w:val="right"/>
              <w:rPr>
                <w:rFonts w:eastAsia="等线"/>
                <w:b/>
                <w:kern w:val="0"/>
                <w:sz w:val="18"/>
                <w:szCs w:val="18"/>
              </w:rPr>
            </w:pPr>
            <w:r>
              <w:rPr>
                <w:rFonts w:eastAsia="等线"/>
                <w:b/>
                <w:kern w:val="0"/>
                <w:sz w:val="18"/>
                <w:szCs w:val="18"/>
              </w:rPr>
              <w:t>2,441.00</w:t>
            </w:r>
          </w:p>
        </w:tc>
        <w:tc>
          <w:tcPr>
            <w:tcW w:w="947" w:type="dxa"/>
            <w:shd w:val="clear" w:color="auto" w:fill="FFFFFF"/>
            <w:vAlign w:val="center"/>
          </w:tcPr>
          <w:p w14:paraId="7F604B19" w14:textId="77777777" w:rsidR="004B0883" w:rsidRDefault="004B0883">
            <w:pPr>
              <w:snapToGrid w:val="0"/>
              <w:jc w:val="right"/>
              <w:rPr>
                <w:rFonts w:eastAsia="等线"/>
                <w:b/>
                <w:kern w:val="0"/>
                <w:sz w:val="18"/>
                <w:szCs w:val="18"/>
              </w:rPr>
            </w:pPr>
            <w:r>
              <w:rPr>
                <w:rFonts w:eastAsia="等线"/>
                <w:b/>
                <w:kern w:val="0"/>
                <w:sz w:val="18"/>
                <w:szCs w:val="18"/>
              </w:rPr>
              <w:t>2,441.00</w:t>
            </w:r>
          </w:p>
        </w:tc>
        <w:tc>
          <w:tcPr>
            <w:tcW w:w="947" w:type="dxa"/>
            <w:shd w:val="clear" w:color="auto" w:fill="FFFFFF"/>
            <w:vAlign w:val="center"/>
          </w:tcPr>
          <w:p w14:paraId="2C2DFDFC" w14:textId="77777777" w:rsidR="004B0883" w:rsidRDefault="004B0883">
            <w:pPr>
              <w:snapToGrid w:val="0"/>
              <w:jc w:val="right"/>
              <w:rPr>
                <w:rFonts w:eastAsia="等线"/>
                <w:b/>
                <w:kern w:val="0"/>
                <w:sz w:val="18"/>
                <w:szCs w:val="18"/>
              </w:rPr>
            </w:pPr>
            <w:r>
              <w:rPr>
                <w:rFonts w:eastAsia="等线"/>
                <w:b/>
                <w:kern w:val="0"/>
                <w:sz w:val="18"/>
                <w:szCs w:val="18"/>
              </w:rPr>
              <w:t>2,441.00</w:t>
            </w:r>
          </w:p>
        </w:tc>
      </w:tr>
    </w:tbl>
    <w:p w14:paraId="670D517F"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取得资金后项目建设正式启动，本项目的建设期为</w:t>
      </w:r>
      <w:r>
        <w:rPr>
          <w:rFonts w:hint="eastAsia"/>
          <w:sz w:val="24"/>
          <w:szCs w:val="22"/>
        </w:rPr>
        <w:t>3</w:t>
      </w:r>
      <w:r>
        <w:rPr>
          <w:rFonts w:hint="eastAsia"/>
          <w:sz w:val="24"/>
          <w:szCs w:val="22"/>
        </w:rPr>
        <w:t>年，运营期</w:t>
      </w:r>
      <w:r>
        <w:rPr>
          <w:rFonts w:hint="eastAsia"/>
          <w:sz w:val="24"/>
          <w:szCs w:val="22"/>
        </w:rPr>
        <w:t>7</w:t>
      </w:r>
      <w:r>
        <w:rPr>
          <w:rFonts w:hint="eastAsia"/>
          <w:sz w:val="24"/>
          <w:szCs w:val="22"/>
        </w:rPr>
        <w:t>年，合计</w:t>
      </w:r>
      <w:r>
        <w:rPr>
          <w:rFonts w:hint="eastAsia"/>
          <w:sz w:val="24"/>
          <w:szCs w:val="22"/>
        </w:rPr>
        <w:t>10</w:t>
      </w:r>
      <w:r>
        <w:rPr>
          <w:rFonts w:hint="eastAsia"/>
          <w:sz w:val="24"/>
          <w:szCs w:val="22"/>
        </w:rPr>
        <w:t>年，项目在运营期第</w:t>
      </w:r>
      <w:r>
        <w:rPr>
          <w:rFonts w:hint="eastAsia"/>
          <w:sz w:val="24"/>
          <w:szCs w:val="22"/>
        </w:rPr>
        <w:t>3</w:t>
      </w:r>
      <w:r>
        <w:rPr>
          <w:rFonts w:hint="eastAsia"/>
          <w:sz w:val="24"/>
          <w:szCs w:val="22"/>
        </w:rPr>
        <w:t>年达产。项目收入情况将随着服务市场容量的增长而逐步增长。公司根据报告期内公司历史收入、服务供应经验，结合公司对行业市场发展及市场需求，谨慎预估项目投入运营后每年实现的收入。具体的建设与服务计划按战略发展要求和市场发展情况进行相应调整。</w:t>
      </w:r>
    </w:p>
    <w:p w14:paraId="04FC6442" w14:textId="77777777" w:rsidR="004B0883" w:rsidRDefault="004B0883">
      <w:pPr>
        <w:keepNext/>
        <w:keepLines/>
        <w:widowControl w:val="0"/>
        <w:spacing w:beforeLines="50" w:before="120" w:line="360" w:lineRule="auto"/>
        <w:ind w:firstLineChars="200" w:firstLine="480"/>
        <w:jc w:val="both"/>
        <w:outlineLvl w:val="4"/>
        <w:rPr>
          <w:sz w:val="24"/>
          <w:szCs w:val="22"/>
        </w:rPr>
      </w:pPr>
      <w:r>
        <w:rPr>
          <w:rFonts w:hint="eastAsia"/>
          <w:sz w:val="24"/>
          <w:szCs w:val="22"/>
        </w:rPr>
        <w:t>（</w:t>
      </w:r>
      <w:r>
        <w:rPr>
          <w:rFonts w:hint="eastAsia"/>
          <w:sz w:val="24"/>
          <w:szCs w:val="22"/>
        </w:rPr>
        <w:t>2</w:t>
      </w:r>
      <w:r>
        <w:rPr>
          <w:rFonts w:hint="eastAsia"/>
          <w:sz w:val="24"/>
          <w:szCs w:val="22"/>
        </w:rPr>
        <w:t>）总成本费用</w:t>
      </w:r>
    </w:p>
    <w:p w14:paraId="619EF9C3" w14:textId="77777777" w:rsidR="004B0883" w:rsidRDefault="004B0883">
      <w:pPr>
        <w:widowControl w:val="0"/>
        <w:spacing w:beforeLines="50" w:before="120" w:line="360" w:lineRule="auto"/>
        <w:ind w:firstLineChars="200" w:firstLine="480"/>
        <w:jc w:val="both"/>
        <w:rPr>
          <w:sz w:val="24"/>
          <w:szCs w:val="22"/>
        </w:rPr>
      </w:pPr>
      <w:r>
        <w:rPr>
          <w:sz w:val="24"/>
          <w:szCs w:val="22"/>
        </w:rPr>
        <w:t>本项目总成本费用</w:t>
      </w:r>
      <w:r>
        <w:rPr>
          <w:rFonts w:hint="eastAsia"/>
          <w:sz w:val="24"/>
          <w:szCs w:val="22"/>
        </w:rPr>
        <w:t>测算</w:t>
      </w:r>
      <w:r>
        <w:rPr>
          <w:sz w:val="24"/>
          <w:szCs w:val="22"/>
        </w:rPr>
        <w:t>情况如下：</w:t>
      </w:r>
    </w:p>
    <w:p w14:paraId="2AE09A1D" w14:textId="77777777" w:rsidR="004B0883" w:rsidRDefault="004B0883">
      <w:pPr>
        <w:keepNext/>
        <w:widowControl w:val="0"/>
        <w:jc w:val="right"/>
        <w:rPr>
          <w:rFonts w:hint="eastAsia"/>
          <w:color w:val="000000"/>
        </w:rPr>
      </w:pPr>
      <w:r>
        <w:rPr>
          <w:color w:val="000000"/>
        </w:rPr>
        <w:t>单位：万元</w:t>
      </w:r>
    </w:p>
    <w:tbl>
      <w:tblPr>
        <w:tblW w:w="675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ook w:val="0000" w:firstRow="0" w:lastRow="0" w:firstColumn="0" w:lastColumn="0" w:noHBand="0" w:noVBand="0"/>
      </w:tblPr>
      <w:tblGrid>
        <w:gridCol w:w="427"/>
        <w:gridCol w:w="1546"/>
        <w:gridCol w:w="851"/>
        <w:gridCol w:w="866"/>
        <w:gridCol w:w="936"/>
        <w:gridCol w:w="936"/>
        <w:gridCol w:w="936"/>
        <w:gridCol w:w="936"/>
        <w:gridCol w:w="936"/>
        <w:gridCol w:w="936"/>
        <w:gridCol w:w="936"/>
        <w:gridCol w:w="936"/>
      </w:tblGrid>
      <w:tr w:rsidR="004B0883" w14:paraId="5CC64B98" w14:textId="77777777">
        <w:trPr>
          <w:trHeight w:val="397"/>
          <w:tblHeader/>
          <w:jc w:val="center"/>
        </w:trPr>
        <w:tc>
          <w:tcPr>
            <w:tcW w:w="11173" w:type="dxa"/>
            <w:gridSpan w:val="12"/>
            <w:shd w:val="clear" w:color="auto" w:fill="D9D9D9"/>
            <w:tcMar>
              <w:top w:w="0" w:type="dxa"/>
              <w:left w:w="30" w:type="dxa"/>
              <w:bottom w:w="0" w:type="dxa"/>
              <w:right w:w="30" w:type="dxa"/>
            </w:tcMar>
            <w:vAlign w:val="center"/>
          </w:tcPr>
          <w:p w14:paraId="05851013" w14:textId="77777777" w:rsidR="004B0883" w:rsidRDefault="004B0883">
            <w:pPr>
              <w:widowControl w:val="0"/>
              <w:jc w:val="center"/>
              <w:rPr>
                <w:b/>
                <w:bCs/>
                <w:color w:val="333333"/>
                <w:sz w:val="18"/>
                <w:szCs w:val="18"/>
              </w:rPr>
            </w:pPr>
            <w:r>
              <w:rPr>
                <w:rFonts w:hint="eastAsia"/>
                <w:b/>
                <w:bCs/>
                <w:color w:val="333333"/>
                <w:sz w:val="18"/>
                <w:szCs w:val="18"/>
              </w:rPr>
              <w:t>总成本费用估算表</w:t>
            </w:r>
          </w:p>
        </w:tc>
      </w:tr>
      <w:tr w:rsidR="004B0883" w14:paraId="7E4A2BD6" w14:textId="77777777">
        <w:trPr>
          <w:trHeight w:val="397"/>
          <w:tblHeader/>
          <w:jc w:val="center"/>
        </w:trPr>
        <w:tc>
          <w:tcPr>
            <w:tcW w:w="426" w:type="dxa"/>
            <w:vMerge w:val="restart"/>
            <w:shd w:val="clear" w:color="auto" w:fill="D9D9D9"/>
            <w:tcMar>
              <w:top w:w="0" w:type="dxa"/>
              <w:left w:w="30" w:type="dxa"/>
              <w:bottom w:w="0" w:type="dxa"/>
              <w:right w:w="30" w:type="dxa"/>
            </w:tcMar>
            <w:vAlign w:val="center"/>
          </w:tcPr>
          <w:p w14:paraId="3E4EE3E1" w14:textId="77777777" w:rsidR="004B0883" w:rsidRDefault="004B0883">
            <w:pPr>
              <w:widowControl w:val="0"/>
              <w:jc w:val="center"/>
              <w:rPr>
                <w:b/>
                <w:bCs/>
                <w:color w:val="333333"/>
              </w:rPr>
            </w:pPr>
            <w:r>
              <w:rPr>
                <w:rFonts w:hint="eastAsia"/>
                <w:b/>
                <w:bCs/>
                <w:color w:val="333333"/>
                <w:sz w:val="18"/>
                <w:szCs w:val="18"/>
              </w:rPr>
              <w:t>序号</w:t>
            </w:r>
          </w:p>
        </w:tc>
        <w:tc>
          <w:tcPr>
            <w:tcW w:w="1544" w:type="dxa"/>
            <w:vMerge w:val="restart"/>
            <w:shd w:val="clear" w:color="auto" w:fill="D9D9D9"/>
            <w:vAlign w:val="center"/>
          </w:tcPr>
          <w:p w14:paraId="73890A86" w14:textId="77777777" w:rsidR="004B0883" w:rsidRDefault="004B0883">
            <w:pPr>
              <w:widowControl w:val="0"/>
              <w:jc w:val="center"/>
              <w:rPr>
                <w:b/>
                <w:bCs/>
                <w:color w:val="333333"/>
                <w:sz w:val="18"/>
                <w:szCs w:val="18"/>
              </w:rPr>
            </w:pPr>
            <w:r>
              <w:rPr>
                <w:rFonts w:hint="eastAsia"/>
                <w:b/>
                <w:bCs/>
                <w:color w:val="333333"/>
                <w:sz w:val="18"/>
                <w:szCs w:val="18"/>
              </w:rPr>
              <w:t>项目</w:t>
            </w:r>
          </w:p>
        </w:tc>
        <w:tc>
          <w:tcPr>
            <w:tcW w:w="4523" w:type="dxa"/>
            <w:gridSpan w:val="5"/>
            <w:shd w:val="clear" w:color="auto" w:fill="D9D9D9"/>
            <w:vAlign w:val="center"/>
          </w:tcPr>
          <w:p w14:paraId="6B65A413" w14:textId="77777777" w:rsidR="004B0883" w:rsidRDefault="004B0883">
            <w:pPr>
              <w:widowControl w:val="0"/>
              <w:jc w:val="center"/>
              <w:rPr>
                <w:b/>
                <w:bCs/>
                <w:color w:val="333333"/>
                <w:sz w:val="18"/>
                <w:szCs w:val="18"/>
              </w:rPr>
            </w:pPr>
            <w:r>
              <w:rPr>
                <w:rFonts w:hint="eastAsia"/>
                <w:b/>
                <w:bCs/>
                <w:color w:val="333333"/>
                <w:sz w:val="18"/>
                <w:szCs w:val="18"/>
              </w:rPr>
              <w:t>建设期</w:t>
            </w:r>
          </w:p>
        </w:tc>
        <w:tc>
          <w:tcPr>
            <w:tcW w:w="4680" w:type="dxa"/>
            <w:gridSpan w:val="5"/>
            <w:shd w:val="clear" w:color="auto" w:fill="D9D9D9"/>
            <w:vAlign w:val="center"/>
          </w:tcPr>
          <w:p w14:paraId="35544E3C" w14:textId="77777777" w:rsidR="004B0883" w:rsidRDefault="004B0883">
            <w:pPr>
              <w:widowControl w:val="0"/>
              <w:jc w:val="center"/>
              <w:rPr>
                <w:b/>
                <w:bCs/>
                <w:color w:val="333333"/>
                <w:sz w:val="18"/>
                <w:szCs w:val="18"/>
              </w:rPr>
            </w:pPr>
            <w:r>
              <w:rPr>
                <w:rFonts w:hint="eastAsia"/>
                <w:b/>
                <w:bCs/>
                <w:color w:val="333333"/>
                <w:sz w:val="18"/>
                <w:szCs w:val="18"/>
              </w:rPr>
              <w:t>运营期</w:t>
            </w:r>
          </w:p>
        </w:tc>
      </w:tr>
      <w:tr w:rsidR="004B0883" w14:paraId="20382E00" w14:textId="77777777">
        <w:trPr>
          <w:trHeight w:val="397"/>
          <w:tblHeader/>
          <w:jc w:val="center"/>
        </w:trPr>
        <w:tc>
          <w:tcPr>
            <w:tcW w:w="426" w:type="dxa"/>
            <w:vMerge/>
            <w:shd w:val="clear" w:color="auto" w:fill="D9D9D9"/>
            <w:tcMar>
              <w:top w:w="0" w:type="dxa"/>
              <w:left w:w="30" w:type="dxa"/>
              <w:bottom w:w="0" w:type="dxa"/>
              <w:right w:w="30" w:type="dxa"/>
            </w:tcMar>
            <w:vAlign w:val="center"/>
          </w:tcPr>
          <w:p w14:paraId="7E809AFD" w14:textId="77777777" w:rsidR="004B0883" w:rsidRDefault="004B0883">
            <w:pPr>
              <w:widowControl w:val="0"/>
              <w:jc w:val="center"/>
              <w:rPr>
                <w:b/>
                <w:bCs/>
                <w:color w:val="333333"/>
              </w:rPr>
            </w:pPr>
          </w:p>
        </w:tc>
        <w:tc>
          <w:tcPr>
            <w:tcW w:w="1544" w:type="dxa"/>
            <w:vMerge/>
            <w:shd w:val="clear" w:color="auto" w:fill="D9D9D9"/>
            <w:vAlign w:val="center"/>
          </w:tcPr>
          <w:p w14:paraId="26C6CBA1" w14:textId="77777777" w:rsidR="004B0883" w:rsidRDefault="004B0883">
            <w:pPr>
              <w:widowControl w:val="0"/>
              <w:jc w:val="center"/>
              <w:rPr>
                <w:b/>
                <w:bCs/>
                <w:color w:val="333333"/>
                <w:sz w:val="18"/>
                <w:szCs w:val="18"/>
              </w:rPr>
            </w:pPr>
          </w:p>
        </w:tc>
        <w:tc>
          <w:tcPr>
            <w:tcW w:w="850" w:type="dxa"/>
            <w:shd w:val="clear" w:color="auto" w:fill="D9D9D9"/>
            <w:vAlign w:val="center"/>
          </w:tcPr>
          <w:p w14:paraId="337EB2BC" w14:textId="77777777" w:rsidR="004B0883" w:rsidRDefault="004B0883">
            <w:pPr>
              <w:widowControl w:val="0"/>
              <w:jc w:val="center"/>
              <w:rPr>
                <w:b/>
                <w:bCs/>
                <w:color w:val="333333"/>
                <w:sz w:val="18"/>
                <w:szCs w:val="18"/>
              </w:rPr>
            </w:pPr>
            <w:r>
              <w:rPr>
                <w:rFonts w:hint="eastAsia"/>
                <w:b/>
                <w:bCs/>
                <w:color w:val="333333"/>
                <w:sz w:val="18"/>
                <w:szCs w:val="18"/>
              </w:rPr>
              <w:t>第</w:t>
            </w:r>
            <w:r>
              <w:rPr>
                <w:b/>
                <w:bCs/>
                <w:color w:val="333333"/>
                <w:sz w:val="18"/>
                <w:szCs w:val="18"/>
              </w:rPr>
              <w:t>1</w:t>
            </w:r>
            <w:r>
              <w:rPr>
                <w:b/>
                <w:bCs/>
                <w:color w:val="333333"/>
                <w:sz w:val="18"/>
                <w:szCs w:val="18"/>
              </w:rPr>
              <w:t>年</w:t>
            </w:r>
          </w:p>
        </w:tc>
        <w:tc>
          <w:tcPr>
            <w:tcW w:w="865" w:type="dxa"/>
            <w:shd w:val="clear" w:color="auto" w:fill="D9D9D9"/>
            <w:vAlign w:val="center"/>
          </w:tcPr>
          <w:p w14:paraId="1E9BA892"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2</w:t>
            </w:r>
            <w:r>
              <w:rPr>
                <w:b/>
                <w:bCs/>
                <w:color w:val="333333"/>
                <w:sz w:val="18"/>
                <w:szCs w:val="18"/>
              </w:rPr>
              <w:t>年</w:t>
            </w:r>
          </w:p>
        </w:tc>
        <w:tc>
          <w:tcPr>
            <w:tcW w:w="936" w:type="dxa"/>
            <w:shd w:val="clear" w:color="auto" w:fill="D9D9D9"/>
            <w:vAlign w:val="center"/>
          </w:tcPr>
          <w:p w14:paraId="549EAD73"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3</w:t>
            </w:r>
            <w:r>
              <w:rPr>
                <w:b/>
                <w:bCs/>
                <w:color w:val="333333"/>
                <w:sz w:val="18"/>
                <w:szCs w:val="18"/>
              </w:rPr>
              <w:t>年</w:t>
            </w:r>
          </w:p>
        </w:tc>
        <w:tc>
          <w:tcPr>
            <w:tcW w:w="936" w:type="dxa"/>
            <w:shd w:val="clear" w:color="auto" w:fill="D9D9D9"/>
            <w:vAlign w:val="center"/>
          </w:tcPr>
          <w:p w14:paraId="6670E865"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4</w:t>
            </w:r>
            <w:r>
              <w:rPr>
                <w:b/>
                <w:bCs/>
                <w:color w:val="333333"/>
                <w:sz w:val="18"/>
                <w:szCs w:val="18"/>
              </w:rPr>
              <w:t>年</w:t>
            </w:r>
          </w:p>
        </w:tc>
        <w:tc>
          <w:tcPr>
            <w:tcW w:w="936" w:type="dxa"/>
            <w:shd w:val="clear" w:color="auto" w:fill="D9D9D9"/>
            <w:vAlign w:val="center"/>
          </w:tcPr>
          <w:p w14:paraId="14905FCF"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5</w:t>
            </w:r>
            <w:r>
              <w:rPr>
                <w:b/>
                <w:bCs/>
                <w:color w:val="333333"/>
                <w:sz w:val="18"/>
                <w:szCs w:val="18"/>
              </w:rPr>
              <w:t>年</w:t>
            </w:r>
          </w:p>
        </w:tc>
        <w:tc>
          <w:tcPr>
            <w:tcW w:w="936" w:type="dxa"/>
            <w:shd w:val="clear" w:color="auto" w:fill="D9D9D9"/>
            <w:vAlign w:val="center"/>
          </w:tcPr>
          <w:p w14:paraId="01B83802"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6</w:t>
            </w:r>
            <w:r>
              <w:rPr>
                <w:b/>
                <w:bCs/>
                <w:color w:val="333333"/>
                <w:sz w:val="18"/>
                <w:szCs w:val="18"/>
              </w:rPr>
              <w:t>年</w:t>
            </w:r>
          </w:p>
        </w:tc>
        <w:tc>
          <w:tcPr>
            <w:tcW w:w="936" w:type="dxa"/>
            <w:shd w:val="clear" w:color="auto" w:fill="D9D9D9"/>
            <w:vAlign w:val="center"/>
          </w:tcPr>
          <w:p w14:paraId="134953DC"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7</w:t>
            </w:r>
            <w:r>
              <w:rPr>
                <w:b/>
                <w:bCs/>
                <w:color w:val="333333"/>
                <w:sz w:val="18"/>
                <w:szCs w:val="18"/>
              </w:rPr>
              <w:t>年</w:t>
            </w:r>
          </w:p>
        </w:tc>
        <w:tc>
          <w:tcPr>
            <w:tcW w:w="936" w:type="dxa"/>
            <w:shd w:val="clear" w:color="auto" w:fill="D9D9D9"/>
            <w:vAlign w:val="center"/>
          </w:tcPr>
          <w:p w14:paraId="7F22DC10"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8</w:t>
            </w:r>
            <w:r>
              <w:rPr>
                <w:b/>
                <w:bCs/>
                <w:color w:val="333333"/>
                <w:sz w:val="18"/>
                <w:szCs w:val="18"/>
              </w:rPr>
              <w:t>年</w:t>
            </w:r>
          </w:p>
        </w:tc>
        <w:tc>
          <w:tcPr>
            <w:tcW w:w="936" w:type="dxa"/>
            <w:shd w:val="clear" w:color="auto" w:fill="D9D9D9"/>
            <w:vAlign w:val="center"/>
          </w:tcPr>
          <w:p w14:paraId="77614B0B"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9</w:t>
            </w:r>
            <w:r>
              <w:rPr>
                <w:b/>
                <w:bCs/>
                <w:color w:val="333333"/>
                <w:sz w:val="18"/>
                <w:szCs w:val="18"/>
              </w:rPr>
              <w:t>年</w:t>
            </w:r>
          </w:p>
        </w:tc>
        <w:tc>
          <w:tcPr>
            <w:tcW w:w="936" w:type="dxa"/>
            <w:shd w:val="clear" w:color="auto" w:fill="D9D9D9"/>
            <w:vAlign w:val="center"/>
          </w:tcPr>
          <w:p w14:paraId="6A88E14D"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10</w:t>
            </w:r>
            <w:r>
              <w:rPr>
                <w:b/>
                <w:bCs/>
                <w:color w:val="333333"/>
                <w:sz w:val="18"/>
                <w:szCs w:val="18"/>
              </w:rPr>
              <w:t>年</w:t>
            </w:r>
          </w:p>
        </w:tc>
      </w:tr>
      <w:tr w:rsidR="004B0883" w14:paraId="195A992A" w14:textId="77777777">
        <w:trPr>
          <w:trHeight w:val="397"/>
          <w:jc w:val="center"/>
        </w:trPr>
        <w:tc>
          <w:tcPr>
            <w:tcW w:w="426" w:type="dxa"/>
            <w:shd w:val="clear" w:color="auto" w:fill="FFFFFF"/>
            <w:tcMar>
              <w:top w:w="0" w:type="dxa"/>
              <w:left w:w="30" w:type="dxa"/>
              <w:bottom w:w="0" w:type="dxa"/>
              <w:right w:w="30" w:type="dxa"/>
            </w:tcMar>
            <w:vAlign w:val="center"/>
          </w:tcPr>
          <w:p w14:paraId="2649867A" w14:textId="77777777" w:rsidR="004B0883" w:rsidRDefault="004B0883">
            <w:pPr>
              <w:snapToGrid w:val="0"/>
              <w:jc w:val="center"/>
              <w:rPr>
                <w:rFonts w:eastAsia="等线"/>
                <w:bCs/>
                <w:kern w:val="0"/>
                <w:sz w:val="18"/>
                <w:szCs w:val="18"/>
              </w:rPr>
            </w:pPr>
            <w:r>
              <w:rPr>
                <w:rFonts w:eastAsia="等线"/>
                <w:bCs/>
                <w:kern w:val="0"/>
                <w:sz w:val="18"/>
                <w:szCs w:val="18"/>
              </w:rPr>
              <w:t>1</w:t>
            </w:r>
          </w:p>
        </w:tc>
        <w:tc>
          <w:tcPr>
            <w:tcW w:w="1544" w:type="dxa"/>
            <w:shd w:val="clear" w:color="auto" w:fill="FFFFFF"/>
            <w:vAlign w:val="center"/>
          </w:tcPr>
          <w:p w14:paraId="6DB8ACF1" w14:textId="77777777" w:rsidR="004B0883" w:rsidRDefault="004B0883">
            <w:pPr>
              <w:snapToGrid w:val="0"/>
              <w:jc w:val="center"/>
              <w:rPr>
                <w:bCs/>
                <w:kern w:val="0"/>
                <w:sz w:val="18"/>
                <w:szCs w:val="24"/>
              </w:rPr>
            </w:pPr>
            <w:r>
              <w:rPr>
                <w:bCs/>
                <w:kern w:val="0"/>
                <w:sz w:val="18"/>
                <w:szCs w:val="24"/>
              </w:rPr>
              <w:t>外购原材料</w:t>
            </w:r>
          </w:p>
        </w:tc>
        <w:tc>
          <w:tcPr>
            <w:tcW w:w="850" w:type="dxa"/>
            <w:shd w:val="clear" w:color="auto" w:fill="FFFFFF"/>
            <w:vAlign w:val="center"/>
          </w:tcPr>
          <w:p w14:paraId="60CF8359"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865" w:type="dxa"/>
            <w:shd w:val="clear" w:color="auto" w:fill="FFFFFF"/>
            <w:vAlign w:val="center"/>
          </w:tcPr>
          <w:p w14:paraId="13EED975"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36" w:type="dxa"/>
            <w:shd w:val="clear" w:color="auto" w:fill="FFFFFF"/>
            <w:vAlign w:val="center"/>
          </w:tcPr>
          <w:p w14:paraId="4D19151A" w14:textId="77777777" w:rsidR="004B0883" w:rsidRDefault="004B0883">
            <w:pPr>
              <w:snapToGrid w:val="0"/>
              <w:jc w:val="right"/>
              <w:rPr>
                <w:rFonts w:eastAsia="等线"/>
                <w:bCs/>
                <w:kern w:val="0"/>
                <w:sz w:val="18"/>
                <w:szCs w:val="18"/>
              </w:rPr>
            </w:pPr>
            <w:r>
              <w:rPr>
                <w:rFonts w:eastAsia="等线"/>
                <w:bCs/>
                <w:kern w:val="0"/>
                <w:sz w:val="18"/>
                <w:szCs w:val="18"/>
              </w:rPr>
              <w:t>6,433.50</w:t>
            </w:r>
          </w:p>
        </w:tc>
        <w:tc>
          <w:tcPr>
            <w:tcW w:w="936" w:type="dxa"/>
            <w:shd w:val="clear" w:color="auto" w:fill="FFFFFF"/>
            <w:vAlign w:val="center"/>
          </w:tcPr>
          <w:p w14:paraId="564B57BE" w14:textId="77777777" w:rsidR="004B0883" w:rsidRDefault="004B0883">
            <w:pPr>
              <w:snapToGrid w:val="0"/>
              <w:jc w:val="right"/>
              <w:rPr>
                <w:rFonts w:eastAsia="等线"/>
                <w:bCs/>
                <w:kern w:val="0"/>
                <w:sz w:val="18"/>
                <w:szCs w:val="18"/>
              </w:rPr>
            </w:pPr>
            <w:r>
              <w:rPr>
                <w:rFonts w:eastAsia="等线"/>
                <w:bCs/>
                <w:kern w:val="0"/>
                <w:sz w:val="18"/>
                <w:szCs w:val="18"/>
              </w:rPr>
              <w:t>10,722.50</w:t>
            </w:r>
          </w:p>
        </w:tc>
        <w:tc>
          <w:tcPr>
            <w:tcW w:w="936" w:type="dxa"/>
            <w:shd w:val="clear" w:color="auto" w:fill="FFFFFF"/>
            <w:vAlign w:val="center"/>
          </w:tcPr>
          <w:p w14:paraId="2371F0F0" w14:textId="77777777" w:rsidR="004B0883" w:rsidRDefault="004B0883">
            <w:pPr>
              <w:snapToGrid w:val="0"/>
              <w:jc w:val="right"/>
              <w:rPr>
                <w:rFonts w:eastAsia="等线"/>
                <w:bCs/>
                <w:kern w:val="0"/>
                <w:sz w:val="18"/>
                <w:szCs w:val="18"/>
              </w:rPr>
            </w:pPr>
            <w:r>
              <w:rPr>
                <w:rFonts w:eastAsia="等线"/>
                <w:bCs/>
                <w:kern w:val="0"/>
                <w:sz w:val="18"/>
                <w:szCs w:val="18"/>
              </w:rPr>
              <w:t>15,011.50</w:t>
            </w:r>
          </w:p>
        </w:tc>
        <w:tc>
          <w:tcPr>
            <w:tcW w:w="936" w:type="dxa"/>
            <w:shd w:val="clear" w:color="auto" w:fill="FFFFFF"/>
            <w:vAlign w:val="center"/>
          </w:tcPr>
          <w:p w14:paraId="6534E3A7" w14:textId="77777777" w:rsidR="004B0883" w:rsidRDefault="004B0883">
            <w:pPr>
              <w:snapToGrid w:val="0"/>
              <w:jc w:val="right"/>
              <w:rPr>
                <w:rFonts w:eastAsia="等线"/>
                <w:bCs/>
                <w:kern w:val="0"/>
                <w:sz w:val="18"/>
                <w:szCs w:val="18"/>
              </w:rPr>
            </w:pPr>
            <w:r>
              <w:rPr>
                <w:rFonts w:eastAsia="等线"/>
                <w:bCs/>
                <w:kern w:val="0"/>
                <w:sz w:val="18"/>
                <w:szCs w:val="18"/>
              </w:rPr>
              <w:t>21,445.00</w:t>
            </w:r>
          </w:p>
        </w:tc>
        <w:tc>
          <w:tcPr>
            <w:tcW w:w="936" w:type="dxa"/>
            <w:shd w:val="clear" w:color="auto" w:fill="FFFFFF"/>
            <w:vAlign w:val="center"/>
          </w:tcPr>
          <w:p w14:paraId="390E6DE9" w14:textId="77777777" w:rsidR="004B0883" w:rsidRDefault="004B0883">
            <w:pPr>
              <w:snapToGrid w:val="0"/>
              <w:jc w:val="right"/>
              <w:rPr>
                <w:rFonts w:eastAsia="等线"/>
                <w:bCs/>
                <w:kern w:val="0"/>
                <w:sz w:val="18"/>
                <w:szCs w:val="18"/>
              </w:rPr>
            </w:pPr>
            <w:r>
              <w:rPr>
                <w:rFonts w:eastAsia="等线"/>
                <w:bCs/>
                <w:kern w:val="0"/>
                <w:sz w:val="18"/>
                <w:szCs w:val="18"/>
              </w:rPr>
              <w:t>21,445.00</w:t>
            </w:r>
          </w:p>
        </w:tc>
        <w:tc>
          <w:tcPr>
            <w:tcW w:w="936" w:type="dxa"/>
            <w:shd w:val="clear" w:color="auto" w:fill="FFFFFF"/>
            <w:vAlign w:val="center"/>
          </w:tcPr>
          <w:p w14:paraId="799B613A" w14:textId="77777777" w:rsidR="004B0883" w:rsidRDefault="004B0883">
            <w:pPr>
              <w:snapToGrid w:val="0"/>
              <w:jc w:val="right"/>
              <w:rPr>
                <w:rFonts w:eastAsia="等线"/>
                <w:bCs/>
                <w:kern w:val="0"/>
                <w:sz w:val="18"/>
                <w:szCs w:val="18"/>
              </w:rPr>
            </w:pPr>
            <w:r>
              <w:rPr>
                <w:rFonts w:eastAsia="等线"/>
                <w:bCs/>
                <w:kern w:val="0"/>
                <w:sz w:val="18"/>
                <w:szCs w:val="18"/>
              </w:rPr>
              <w:t>21,445.00</w:t>
            </w:r>
          </w:p>
        </w:tc>
        <w:tc>
          <w:tcPr>
            <w:tcW w:w="936" w:type="dxa"/>
            <w:shd w:val="clear" w:color="auto" w:fill="FFFFFF"/>
            <w:vAlign w:val="center"/>
          </w:tcPr>
          <w:p w14:paraId="58EDE940" w14:textId="77777777" w:rsidR="004B0883" w:rsidRDefault="004B0883">
            <w:pPr>
              <w:snapToGrid w:val="0"/>
              <w:jc w:val="right"/>
              <w:rPr>
                <w:rFonts w:eastAsia="等线"/>
                <w:bCs/>
                <w:kern w:val="0"/>
                <w:sz w:val="18"/>
                <w:szCs w:val="18"/>
              </w:rPr>
            </w:pPr>
            <w:r>
              <w:rPr>
                <w:rFonts w:eastAsia="等线"/>
                <w:bCs/>
                <w:kern w:val="0"/>
                <w:sz w:val="18"/>
                <w:szCs w:val="18"/>
              </w:rPr>
              <w:t>21,445.00</w:t>
            </w:r>
          </w:p>
        </w:tc>
        <w:tc>
          <w:tcPr>
            <w:tcW w:w="936" w:type="dxa"/>
            <w:shd w:val="clear" w:color="auto" w:fill="FFFFFF"/>
            <w:vAlign w:val="center"/>
          </w:tcPr>
          <w:p w14:paraId="3A1A2DC4" w14:textId="77777777" w:rsidR="004B0883" w:rsidRDefault="004B0883">
            <w:pPr>
              <w:snapToGrid w:val="0"/>
              <w:jc w:val="right"/>
              <w:rPr>
                <w:rFonts w:eastAsia="等线"/>
                <w:bCs/>
                <w:kern w:val="0"/>
                <w:sz w:val="18"/>
                <w:szCs w:val="18"/>
              </w:rPr>
            </w:pPr>
            <w:r>
              <w:rPr>
                <w:rFonts w:eastAsia="等线"/>
                <w:bCs/>
                <w:kern w:val="0"/>
                <w:sz w:val="18"/>
                <w:szCs w:val="18"/>
              </w:rPr>
              <w:t>21,445.00</w:t>
            </w:r>
          </w:p>
        </w:tc>
      </w:tr>
      <w:tr w:rsidR="004B0883" w14:paraId="40FC16AB" w14:textId="77777777">
        <w:trPr>
          <w:trHeight w:val="397"/>
          <w:jc w:val="center"/>
        </w:trPr>
        <w:tc>
          <w:tcPr>
            <w:tcW w:w="426" w:type="dxa"/>
            <w:shd w:val="clear" w:color="auto" w:fill="FFFFFF"/>
            <w:tcMar>
              <w:top w:w="0" w:type="dxa"/>
              <w:left w:w="30" w:type="dxa"/>
              <w:bottom w:w="0" w:type="dxa"/>
              <w:right w:w="30" w:type="dxa"/>
            </w:tcMar>
            <w:vAlign w:val="center"/>
          </w:tcPr>
          <w:p w14:paraId="43B29562" w14:textId="77777777" w:rsidR="004B0883" w:rsidRDefault="004B0883">
            <w:pPr>
              <w:snapToGrid w:val="0"/>
              <w:jc w:val="center"/>
              <w:rPr>
                <w:rFonts w:eastAsia="等线"/>
                <w:bCs/>
                <w:kern w:val="0"/>
                <w:sz w:val="18"/>
                <w:szCs w:val="18"/>
              </w:rPr>
            </w:pPr>
            <w:r>
              <w:rPr>
                <w:rFonts w:eastAsia="等线"/>
                <w:bCs/>
                <w:kern w:val="0"/>
                <w:sz w:val="18"/>
                <w:szCs w:val="18"/>
              </w:rPr>
              <w:t>2</w:t>
            </w:r>
          </w:p>
        </w:tc>
        <w:tc>
          <w:tcPr>
            <w:tcW w:w="1544" w:type="dxa"/>
            <w:shd w:val="clear" w:color="auto" w:fill="FFFFFF"/>
            <w:vAlign w:val="center"/>
          </w:tcPr>
          <w:p w14:paraId="3519A220" w14:textId="77777777" w:rsidR="004B0883" w:rsidRDefault="004B0883">
            <w:pPr>
              <w:snapToGrid w:val="0"/>
              <w:jc w:val="center"/>
              <w:rPr>
                <w:bCs/>
                <w:kern w:val="0"/>
                <w:sz w:val="18"/>
                <w:szCs w:val="24"/>
              </w:rPr>
            </w:pPr>
            <w:r>
              <w:rPr>
                <w:bCs/>
                <w:kern w:val="0"/>
                <w:sz w:val="18"/>
                <w:szCs w:val="24"/>
              </w:rPr>
              <w:t>外购燃料、动力费</w:t>
            </w:r>
          </w:p>
        </w:tc>
        <w:tc>
          <w:tcPr>
            <w:tcW w:w="850" w:type="dxa"/>
            <w:shd w:val="clear" w:color="auto" w:fill="FFFFFF"/>
            <w:vAlign w:val="center"/>
          </w:tcPr>
          <w:p w14:paraId="336D7114"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865" w:type="dxa"/>
            <w:shd w:val="clear" w:color="auto" w:fill="FFFFFF"/>
            <w:vAlign w:val="center"/>
          </w:tcPr>
          <w:p w14:paraId="0897E2BD"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36" w:type="dxa"/>
            <w:shd w:val="clear" w:color="auto" w:fill="FFFFFF"/>
            <w:vAlign w:val="center"/>
          </w:tcPr>
          <w:p w14:paraId="45E2114D" w14:textId="77777777" w:rsidR="004B0883" w:rsidRDefault="004B0883">
            <w:pPr>
              <w:snapToGrid w:val="0"/>
              <w:jc w:val="right"/>
              <w:rPr>
                <w:rFonts w:eastAsia="等线"/>
                <w:bCs/>
                <w:kern w:val="0"/>
                <w:sz w:val="18"/>
                <w:szCs w:val="18"/>
              </w:rPr>
            </w:pPr>
            <w:r>
              <w:rPr>
                <w:rFonts w:eastAsia="等线"/>
                <w:bCs/>
                <w:kern w:val="0"/>
                <w:sz w:val="18"/>
                <w:szCs w:val="18"/>
              </w:rPr>
              <w:t>72.40</w:t>
            </w:r>
          </w:p>
        </w:tc>
        <w:tc>
          <w:tcPr>
            <w:tcW w:w="936" w:type="dxa"/>
            <w:shd w:val="clear" w:color="auto" w:fill="FFFFFF"/>
            <w:vAlign w:val="center"/>
          </w:tcPr>
          <w:p w14:paraId="0CBE89FF" w14:textId="77777777" w:rsidR="004B0883" w:rsidRDefault="004B0883">
            <w:pPr>
              <w:snapToGrid w:val="0"/>
              <w:jc w:val="right"/>
              <w:rPr>
                <w:rFonts w:eastAsia="等线"/>
                <w:bCs/>
                <w:kern w:val="0"/>
                <w:sz w:val="18"/>
                <w:szCs w:val="18"/>
              </w:rPr>
            </w:pPr>
            <w:r>
              <w:rPr>
                <w:rFonts w:eastAsia="等线"/>
                <w:bCs/>
                <w:kern w:val="0"/>
                <w:sz w:val="18"/>
                <w:szCs w:val="18"/>
              </w:rPr>
              <w:t>120.67</w:t>
            </w:r>
          </w:p>
        </w:tc>
        <w:tc>
          <w:tcPr>
            <w:tcW w:w="936" w:type="dxa"/>
            <w:shd w:val="clear" w:color="auto" w:fill="FFFFFF"/>
            <w:vAlign w:val="center"/>
          </w:tcPr>
          <w:p w14:paraId="04C0B902" w14:textId="77777777" w:rsidR="004B0883" w:rsidRDefault="004B0883">
            <w:pPr>
              <w:snapToGrid w:val="0"/>
              <w:jc w:val="right"/>
              <w:rPr>
                <w:rFonts w:eastAsia="等线"/>
                <w:bCs/>
                <w:kern w:val="0"/>
                <w:sz w:val="18"/>
                <w:szCs w:val="18"/>
              </w:rPr>
            </w:pPr>
            <w:r>
              <w:rPr>
                <w:rFonts w:eastAsia="等线"/>
                <w:bCs/>
                <w:kern w:val="0"/>
                <w:sz w:val="18"/>
                <w:szCs w:val="18"/>
              </w:rPr>
              <w:t>168.94</w:t>
            </w:r>
          </w:p>
        </w:tc>
        <w:tc>
          <w:tcPr>
            <w:tcW w:w="936" w:type="dxa"/>
            <w:shd w:val="clear" w:color="auto" w:fill="FFFFFF"/>
            <w:vAlign w:val="center"/>
          </w:tcPr>
          <w:p w14:paraId="70862C22" w14:textId="77777777" w:rsidR="004B0883" w:rsidRDefault="004B0883">
            <w:pPr>
              <w:snapToGrid w:val="0"/>
              <w:jc w:val="right"/>
              <w:rPr>
                <w:rFonts w:eastAsia="等线"/>
                <w:bCs/>
                <w:kern w:val="0"/>
                <w:sz w:val="18"/>
                <w:szCs w:val="18"/>
              </w:rPr>
            </w:pPr>
            <w:r>
              <w:rPr>
                <w:rFonts w:eastAsia="等线"/>
                <w:bCs/>
                <w:kern w:val="0"/>
                <w:sz w:val="18"/>
                <w:szCs w:val="18"/>
              </w:rPr>
              <w:t>241.34</w:t>
            </w:r>
          </w:p>
        </w:tc>
        <w:tc>
          <w:tcPr>
            <w:tcW w:w="936" w:type="dxa"/>
            <w:shd w:val="clear" w:color="auto" w:fill="FFFFFF"/>
            <w:vAlign w:val="center"/>
          </w:tcPr>
          <w:p w14:paraId="66580D35" w14:textId="77777777" w:rsidR="004B0883" w:rsidRDefault="004B0883">
            <w:pPr>
              <w:snapToGrid w:val="0"/>
              <w:jc w:val="right"/>
              <w:rPr>
                <w:rFonts w:eastAsia="等线"/>
                <w:bCs/>
                <w:kern w:val="0"/>
                <w:sz w:val="18"/>
                <w:szCs w:val="18"/>
              </w:rPr>
            </w:pPr>
            <w:r>
              <w:rPr>
                <w:rFonts w:eastAsia="等线"/>
                <w:bCs/>
                <w:kern w:val="0"/>
                <w:sz w:val="18"/>
                <w:szCs w:val="18"/>
              </w:rPr>
              <w:t>241.34</w:t>
            </w:r>
          </w:p>
        </w:tc>
        <w:tc>
          <w:tcPr>
            <w:tcW w:w="936" w:type="dxa"/>
            <w:shd w:val="clear" w:color="auto" w:fill="FFFFFF"/>
            <w:vAlign w:val="center"/>
          </w:tcPr>
          <w:p w14:paraId="5AFFAA01" w14:textId="77777777" w:rsidR="004B0883" w:rsidRDefault="004B0883">
            <w:pPr>
              <w:snapToGrid w:val="0"/>
              <w:jc w:val="right"/>
              <w:rPr>
                <w:rFonts w:eastAsia="等线"/>
                <w:bCs/>
                <w:kern w:val="0"/>
                <w:sz w:val="18"/>
                <w:szCs w:val="18"/>
              </w:rPr>
            </w:pPr>
            <w:r>
              <w:rPr>
                <w:rFonts w:eastAsia="等线"/>
                <w:bCs/>
                <w:kern w:val="0"/>
                <w:sz w:val="18"/>
                <w:szCs w:val="18"/>
              </w:rPr>
              <w:t>241.34</w:t>
            </w:r>
          </w:p>
        </w:tc>
        <w:tc>
          <w:tcPr>
            <w:tcW w:w="936" w:type="dxa"/>
            <w:shd w:val="clear" w:color="auto" w:fill="FFFFFF"/>
            <w:vAlign w:val="center"/>
          </w:tcPr>
          <w:p w14:paraId="1D29DCF4" w14:textId="77777777" w:rsidR="004B0883" w:rsidRDefault="004B0883">
            <w:pPr>
              <w:snapToGrid w:val="0"/>
              <w:jc w:val="right"/>
              <w:rPr>
                <w:rFonts w:eastAsia="等线"/>
                <w:bCs/>
                <w:kern w:val="0"/>
                <w:sz w:val="18"/>
                <w:szCs w:val="18"/>
              </w:rPr>
            </w:pPr>
            <w:r>
              <w:rPr>
                <w:rFonts w:eastAsia="等线"/>
                <w:bCs/>
                <w:kern w:val="0"/>
                <w:sz w:val="18"/>
                <w:szCs w:val="18"/>
              </w:rPr>
              <w:t>241.34</w:t>
            </w:r>
          </w:p>
        </w:tc>
        <w:tc>
          <w:tcPr>
            <w:tcW w:w="936" w:type="dxa"/>
            <w:shd w:val="clear" w:color="auto" w:fill="FFFFFF"/>
            <w:vAlign w:val="center"/>
          </w:tcPr>
          <w:p w14:paraId="6A0E4864" w14:textId="77777777" w:rsidR="004B0883" w:rsidRDefault="004B0883">
            <w:pPr>
              <w:snapToGrid w:val="0"/>
              <w:jc w:val="right"/>
              <w:rPr>
                <w:rFonts w:eastAsia="等线"/>
                <w:bCs/>
                <w:kern w:val="0"/>
                <w:sz w:val="18"/>
                <w:szCs w:val="18"/>
              </w:rPr>
            </w:pPr>
            <w:r>
              <w:rPr>
                <w:rFonts w:eastAsia="等线"/>
                <w:bCs/>
                <w:kern w:val="0"/>
                <w:sz w:val="18"/>
                <w:szCs w:val="18"/>
              </w:rPr>
              <w:t>241.34</w:t>
            </w:r>
          </w:p>
        </w:tc>
      </w:tr>
      <w:tr w:rsidR="004B0883" w14:paraId="4F1E2F06" w14:textId="77777777">
        <w:trPr>
          <w:trHeight w:val="397"/>
          <w:jc w:val="center"/>
        </w:trPr>
        <w:tc>
          <w:tcPr>
            <w:tcW w:w="426" w:type="dxa"/>
            <w:shd w:val="clear" w:color="auto" w:fill="FFFFFF"/>
            <w:tcMar>
              <w:top w:w="0" w:type="dxa"/>
              <w:left w:w="30" w:type="dxa"/>
              <w:bottom w:w="0" w:type="dxa"/>
              <w:right w:w="30" w:type="dxa"/>
            </w:tcMar>
            <w:vAlign w:val="center"/>
          </w:tcPr>
          <w:p w14:paraId="21FE7F01" w14:textId="77777777" w:rsidR="004B0883" w:rsidRDefault="004B0883">
            <w:pPr>
              <w:snapToGrid w:val="0"/>
              <w:jc w:val="center"/>
              <w:rPr>
                <w:rFonts w:eastAsia="等线"/>
                <w:bCs/>
                <w:kern w:val="0"/>
                <w:sz w:val="18"/>
                <w:szCs w:val="18"/>
              </w:rPr>
            </w:pPr>
            <w:r>
              <w:rPr>
                <w:rFonts w:eastAsia="等线"/>
                <w:bCs/>
                <w:kern w:val="0"/>
                <w:sz w:val="18"/>
                <w:szCs w:val="18"/>
              </w:rPr>
              <w:t>3</w:t>
            </w:r>
          </w:p>
        </w:tc>
        <w:tc>
          <w:tcPr>
            <w:tcW w:w="1544" w:type="dxa"/>
            <w:shd w:val="clear" w:color="auto" w:fill="FFFFFF"/>
            <w:vAlign w:val="center"/>
          </w:tcPr>
          <w:p w14:paraId="3B5B1DE2" w14:textId="77777777" w:rsidR="004B0883" w:rsidRDefault="004B0883">
            <w:pPr>
              <w:snapToGrid w:val="0"/>
              <w:jc w:val="center"/>
              <w:rPr>
                <w:bCs/>
                <w:kern w:val="0"/>
                <w:sz w:val="18"/>
                <w:szCs w:val="24"/>
              </w:rPr>
            </w:pPr>
            <w:r>
              <w:rPr>
                <w:bCs/>
                <w:kern w:val="0"/>
                <w:sz w:val="18"/>
                <w:szCs w:val="24"/>
              </w:rPr>
              <w:t>职工薪酬</w:t>
            </w:r>
          </w:p>
        </w:tc>
        <w:tc>
          <w:tcPr>
            <w:tcW w:w="850" w:type="dxa"/>
            <w:shd w:val="clear" w:color="auto" w:fill="FFFFFF"/>
            <w:vAlign w:val="center"/>
          </w:tcPr>
          <w:p w14:paraId="31963CBF"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865" w:type="dxa"/>
            <w:shd w:val="clear" w:color="auto" w:fill="FFFFFF"/>
            <w:vAlign w:val="center"/>
          </w:tcPr>
          <w:p w14:paraId="6BA53676"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36" w:type="dxa"/>
            <w:shd w:val="clear" w:color="auto" w:fill="FFFFFF"/>
            <w:vAlign w:val="center"/>
          </w:tcPr>
          <w:p w14:paraId="3C274D38" w14:textId="77777777" w:rsidR="004B0883" w:rsidRDefault="004B0883">
            <w:pPr>
              <w:snapToGrid w:val="0"/>
              <w:jc w:val="right"/>
              <w:rPr>
                <w:rFonts w:eastAsia="等线"/>
                <w:bCs/>
                <w:kern w:val="0"/>
                <w:sz w:val="18"/>
                <w:szCs w:val="18"/>
              </w:rPr>
            </w:pPr>
            <w:r>
              <w:rPr>
                <w:rFonts w:eastAsia="等线"/>
                <w:bCs/>
                <w:kern w:val="0"/>
                <w:sz w:val="18"/>
                <w:szCs w:val="18"/>
              </w:rPr>
              <w:t>420.84</w:t>
            </w:r>
          </w:p>
        </w:tc>
        <w:tc>
          <w:tcPr>
            <w:tcW w:w="936" w:type="dxa"/>
            <w:shd w:val="clear" w:color="auto" w:fill="FFFFFF"/>
            <w:vAlign w:val="center"/>
          </w:tcPr>
          <w:p w14:paraId="4ACA3D07" w14:textId="77777777" w:rsidR="004B0883" w:rsidRDefault="004B0883">
            <w:pPr>
              <w:snapToGrid w:val="0"/>
              <w:jc w:val="right"/>
              <w:rPr>
                <w:rFonts w:eastAsia="等线"/>
                <w:bCs/>
                <w:kern w:val="0"/>
                <w:sz w:val="18"/>
                <w:szCs w:val="18"/>
              </w:rPr>
            </w:pPr>
            <w:r>
              <w:rPr>
                <w:rFonts w:eastAsia="等线"/>
                <w:bCs/>
                <w:kern w:val="0"/>
                <w:sz w:val="18"/>
                <w:szCs w:val="18"/>
              </w:rPr>
              <w:t>697.20</w:t>
            </w:r>
          </w:p>
        </w:tc>
        <w:tc>
          <w:tcPr>
            <w:tcW w:w="936" w:type="dxa"/>
            <w:shd w:val="clear" w:color="auto" w:fill="FFFFFF"/>
            <w:vAlign w:val="center"/>
          </w:tcPr>
          <w:p w14:paraId="4B940DA9" w14:textId="77777777" w:rsidR="004B0883" w:rsidRDefault="004B0883">
            <w:pPr>
              <w:snapToGrid w:val="0"/>
              <w:jc w:val="right"/>
              <w:rPr>
                <w:rFonts w:eastAsia="等线"/>
                <w:bCs/>
                <w:kern w:val="0"/>
                <w:sz w:val="18"/>
                <w:szCs w:val="18"/>
              </w:rPr>
            </w:pPr>
            <w:r>
              <w:rPr>
                <w:rFonts w:eastAsia="等线"/>
                <w:bCs/>
                <w:kern w:val="0"/>
                <w:sz w:val="18"/>
                <w:szCs w:val="18"/>
              </w:rPr>
              <w:t>964.56</w:t>
            </w:r>
          </w:p>
        </w:tc>
        <w:tc>
          <w:tcPr>
            <w:tcW w:w="936" w:type="dxa"/>
            <w:shd w:val="clear" w:color="auto" w:fill="FFFFFF"/>
            <w:vAlign w:val="center"/>
          </w:tcPr>
          <w:p w14:paraId="09DCD740" w14:textId="77777777" w:rsidR="004B0883" w:rsidRDefault="004B0883">
            <w:pPr>
              <w:snapToGrid w:val="0"/>
              <w:jc w:val="right"/>
              <w:rPr>
                <w:rFonts w:eastAsia="等线"/>
                <w:bCs/>
                <w:kern w:val="0"/>
                <w:sz w:val="18"/>
                <w:szCs w:val="18"/>
              </w:rPr>
            </w:pPr>
            <w:r>
              <w:rPr>
                <w:rFonts w:eastAsia="等线"/>
                <w:bCs/>
                <w:kern w:val="0"/>
                <w:sz w:val="18"/>
                <w:szCs w:val="18"/>
              </w:rPr>
              <w:t>1,373.40</w:t>
            </w:r>
          </w:p>
        </w:tc>
        <w:tc>
          <w:tcPr>
            <w:tcW w:w="936" w:type="dxa"/>
            <w:shd w:val="clear" w:color="auto" w:fill="FFFFFF"/>
            <w:vAlign w:val="center"/>
          </w:tcPr>
          <w:p w14:paraId="783A7755" w14:textId="77777777" w:rsidR="004B0883" w:rsidRDefault="004B0883">
            <w:pPr>
              <w:snapToGrid w:val="0"/>
              <w:jc w:val="right"/>
              <w:rPr>
                <w:rFonts w:eastAsia="等线"/>
                <w:bCs/>
                <w:kern w:val="0"/>
                <w:sz w:val="18"/>
                <w:szCs w:val="18"/>
              </w:rPr>
            </w:pPr>
            <w:r>
              <w:rPr>
                <w:rFonts w:eastAsia="等线"/>
                <w:bCs/>
                <w:kern w:val="0"/>
                <w:sz w:val="18"/>
                <w:szCs w:val="18"/>
              </w:rPr>
              <w:t>1,382.62</w:t>
            </w:r>
          </w:p>
        </w:tc>
        <w:tc>
          <w:tcPr>
            <w:tcW w:w="936" w:type="dxa"/>
            <w:shd w:val="clear" w:color="auto" w:fill="FFFFFF"/>
            <w:vAlign w:val="center"/>
          </w:tcPr>
          <w:p w14:paraId="7600E3D9" w14:textId="77777777" w:rsidR="004B0883" w:rsidRDefault="004B0883">
            <w:pPr>
              <w:snapToGrid w:val="0"/>
              <w:jc w:val="right"/>
              <w:rPr>
                <w:rFonts w:eastAsia="等线"/>
                <w:bCs/>
                <w:kern w:val="0"/>
                <w:sz w:val="18"/>
                <w:szCs w:val="18"/>
              </w:rPr>
            </w:pPr>
            <w:r>
              <w:rPr>
                <w:rFonts w:eastAsia="等线"/>
                <w:bCs/>
                <w:kern w:val="0"/>
                <w:sz w:val="18"/>
                <w:szCs w:val="18"/>
              </w:rPr>
              <w:t>1,392.38</w:t>
            </w:r>
          </w:p>
        </w:tc>
        <w:tc>
          <w:tcPr>
            <w:tcW w:w="936" w:type="dxa"/>
            <w:shd w:val="clear" w:color="auto" w:fill="FFFFFF"/>
            <w:vAlign w:val="center"/>
          </w:tcPr>
          <w:p w14:paraId="1B31F24C" w14:textId="77777777" w:rsidR="004B0883" w:rsidRDefault="004B0883">
            <w:pPr>
              <w:snapToGrid w:val="0"/>
              <w:jc w:val="right"/>
              <w:rPr>
                <w:rFonts w:eastAsia="等线"/>
                <w:bCs/>
                <w:kern w:val="0"/>
                <w:sz w:val="18"/>
                <w:szCs w:val="18"/>
              </w:rPr>
            </w:pPr>
            <w:r>
              <w:rPr>
                <w:rFonts w:eastAsia="等线"/>
                <w:bCs/>
                <w:kern w:val="0"/>
                <w:sz w:val="18"/>
                <w:szCs w:val="18"/>
              </w:rPr>
              <w:t>1,402.74</w:t>
            </w:r>
          </w:p>
        </w:tc>
        <w:tc>
          <w:tcPr>
            <w:tcW w:w="936" w:type="dxa"/>
            <w:shd w:val="clear" w:color="auto" w:fill="FFFFFF"/>
            <w:vAlign w:val="center"/>
          </w:tcPr>
          <w:p w14:paraId="662907D4" w14:textId="77777777" w:rsidR="004B0883" w:rsidRDefault="004B0883">
            <w:pPr>
              <w:snapToGrid w:val="0"/>
              <w:jc w:val="right"/>
              <w:rPr>
                <w:rFonts w:eastAsia="等线"/>
                <w:bCs/>
                <w:kern w:val="0"/>
                <w:sz w:val="18"/>
                <w:szCs w:val="18"/>
              </w:rPr>
            </w:pPr>
            <w:r>
              <w:rPr>
                <w:rFonts w:eastAsia="等线"/>
                <w:bCs/>
                <w:kern w:val="0"/>
                <w:sz w:val="18"/>
                <w:szCs w:val="18"/>
              </w:rPr>
              <w:t>1,413.72</w:t>
            </w:r>
          </w:p>
        </w:tc>
      </w:tr>
      <w:tr w:rsidR="004B0883" w14:paraId="56BC0300" w14:textId="77777777">
        <w:trPr>
          <w:trHeight w:val="397"/>
          <w:jc w:val="center"/>
        </w:trPr>
        <w:tc>
          <w:tcPr>
            <w:tcW w:w="426" w:type="dxa"/>
            <w:shd w:val="clear" w:color="auto" w:fill="FFFFFF"/>
            <w:tcMar>
              <w:top w:w="0" w:type="dxa"/>
              <w:left w:w="30" w:type="dxa"/>
              <w:bottom w:w="0" w:type="dxa"/>
              <w:right w:w="30" w:type="dxa"/>
            </w:tcMar>
            <w:vAlign w:val="center"/>
          </w:tcPr>
          <w:p w14:paraId="53FEDF4E" w14:textId="77777777" w:rsidR="004B0883" w:rsidRDefault="004B0883">
            <w:pPr>
              <w:snapToGrid w:val="0"/>
              <w:jc w:val="center"/>
              <w:rPr>
                <w:rFonts w:eastAsia="等线"/>
                <w:bCs/>
                <w:kern w:val="0"/>
                <w:sz w:val="18"/>
                <w:szCs w:val="18"/>
              </w:rPr>
            </w:pPr>
            <w:r>
              <w:rPr>
                <w:rFonts w:eastAsia="等线"/>
                <w:bCs/>
                <w:kern w:val="0"/>
                <w:sz w:val="18"/>
                <w:szCs w:val="18"/>
              </w:rPr>
              <w:t>4</w:t>
            </w:r>
          </w:p>
        </w:tc>
        <w:tc>
          <w:tcPr>
            <w:tcW w:w="1544" w:type="dxa"/>
            <w:shd w:val="clear" w:color="auto" w:fill="FFFFFF"/>
            <w:vAlign w:val="center"/>
          </w:tcPr>
          <w:p w14:paraId="73C9A347" w14:textId="77777777" w:rsidR="004B0883" w:rsidRDefault="004B0883">
            <w:pPr>
              <w:snapToGrid w:val="0"/>
              <w:jc w:val="center"/>
              <w:rPr>
                <w:bCs/>
                <w:kern w:val="0"/>
                <w:sz w:val="18"/>
                <w:szCs w:val="24"/>
              </w:rPr>
            </w:pPr>
            <w:r>
              <w:rPr>
                <w:bCs/>
                <w:kern w:val="0"/>
                <w:sz w:val="18"/>
                <w:szCs w:val="24"/>
              </w:rPr>
              <w:t>其他费用</w:t>
            </w:r>
          </w:p>
        </w:tc>
        <w:tc>
          <w:tcPr>
            <w:tcW w:w="850" w:type="dxa"/>
            <w:shd w:val="clear" w:color="auto" w:fill="FFFFFF"/>
            <w:vAlign w:val="center"/>
          </w:tcPr>
          <w:p w14:paraId="1989C2DF" w14:textId="77777777" w:rsidR="004B0883" w:rsidRDefault="004B0883">
            <w:pPr>
              <w:snapToGrid w:val="0"/>
              <w:jc w:val="right"/>
              <w:rPr>
                <w:rFonts w:eastAsia="等线"/>
                <w:bCs/>
                <w:kern w:val="0"/>
                <w:sz w:val="18"/>
                <w:szCs w:val="18"/>
              </w:rPr>
            </w:pPr>
          </w:p>
        </w:tc>
        <w:tc>
          <w:tcPr>
            <w:tcW w:w="865" w:type="dxa"/>
            <w:shd w:val="clear" w:color="auto" w:fill="FFFFFF"/>
            <w:vAlign w:val="center"/>
          </w:tcPr>
          <w:p w14:paraId="5505A407" w14:textId="77777777" w:rsidR="004B0883" w:rsidRDefault="004B0883">
            <w:pPr>
              <w:snapToGrid w:val="0"/>
              <w:jc w:val="right"/>
              <w:rPr>
                <w:rFonts w:eastAsia="等线"/>
                <w:bCs/>
                <w:kern w:val="0"/>
                <w:sz w:val="18"/>
                <w:szCs w:val="18"/>
              </w:rPr>
            </w:pPr>
          </w:p>
        </w:tc>
        <w:tc>
          <w:tcPr>
            <w:tcW w:w="936" w:type="dxa"/>
            <w:shd w:val="clear" w:color="auto" w:fill="FFFFFF"/>
            <w:vAlign w:val="center"/>
          </w:tcPr>
          <w:p w14:paraId="5472712A" w14:textId="77777777" w:rsidR="004B0883" w:rsidRDefault="004B0883">
            <w:pPr>
              <w:snapToGrid w:val="0"/>
              <w:jc w:val="right"/>
              <w:rPr>
                <w:rFonts w:eastAsia="等线"/>
                <w:bCs/>
                <w:kern w:val="0"/>
                <w:sz w:val="18"/>
                <w:szCs w:val="18"/>
              </w:rPr>
            </w:pPr>
            <w:r>
              <w:rPr>
                <w:rFonts w:eastAsia="等线"/>
                <w:bCs/>
                <w:kern w:val="0"/>
                <w:sz w:val="18"/>
                <w:szCs w:val="18"/>
              </w:rPr>
              <w:t>1,563.76</w:t>
            </w:r>
          </w:p>
        </w:tc>
        <w:tc>
          <w:tcPr>
            <w:tcW w:w="936" w:type="dxa"/>
            <w:shd w:val="clear" w:color="auto" w:fill="FFFFFF"/>
            <w:vAlign w:val="center"/>
          </w:tcPr>
          <w:p w14:paraId="456C432E" w14:textId="77777777" w:rsidR="004B0883" w:rsidRDefault="004B0883">
            <w:pPr>
              <w:snapToGrid w:val="0"/>
              <w:jc w:val="right"/>
              <w:rPr>
                <w:rFonts w:eastAsia="等线"/>
                <w:bCs/>
                <w:kern w:val="0"/>
                <w:sz w:val="18"/>
                <w:szCs w:val="18"/>
              </w:rPr>
            </w:pPr>
            <w:r>
              <w:rPr>
                <w:rFonts w:eastAsia="等线"/>
                <w:bCs/>
                <w:kern w:val="0"/>
                <w:sz w:val="18"/>
                <w:szCs w:val="18"/>
              </w:rPr>
              <w:t>2,607.59</w:t>
            </w:r>
          </w:p>
        </w:tc>
        <w:tc>
          <w:tcPr>
            <w:tcW w:w="936" w:type="dxa"/>
            <w:shd w:val="clear" w:color="auto" w:fill="FFFFFF"/>
            <w:vAlign w:val="center"/>
          </w:tcPr>
          <w:p w14:paraId="655A1D44" w14:textId="77777777" w:rsidR="004B0883" w:rsidRDefault="004B0883">
            <w:pPr>
              <w:snapToGrid w:val="0"/>
              <w:jc w:val="right"/>
              <w:rPr>
                <w:rFonts w:eastAsia="等线"/>
                <w:bCs/>
                <w:kern w:val="0"/>
                <w:sz w:val="18"/>
                <w:szCs w:val="18"/>
              </w:rPr>
            </w:pPr>
            <w:r>
              <w:rPr>
                <w:rFonts w:eastAsia="等线"/>
                <w:bCs/>
                <w:kern w:val="0"/>
                <w:sz w:val="18"/>
                <w:szCs w:val="18"/>
              </w:rPr>
              <w:t>3,961.07</w:t>
            </w:r>
          </w:p>
        </w:tc>
        <w:tc>
          <w:tcPr>
            <w:tcW w:w="936" w:type="dxa"/>
            <w:shd w:val="clear" w:color="auto" w:fill="FFFFFF"/>
            <w:vAlign w:val="center"/>
          </w:tcPr>
          <w:p w14:paraId="4D21A693" w14:textId="77777777" w:rsidR="004B0883" w:rsidRDefault="004B0883">
            <w:pPr>
              <w:snapToGrid w:val="0"/>
              <w:jc w:val="right"/>
              <w:rPr>
                <w:rFonts w:eastAsia="等线"/>
                <w:bCs/>
                <w:kern w:val="0"/>
                <w:sz w:val="18"/>
                <w:szCs w:val="18"/>
              </w:rPr>
            </w:pPr>
            <w:r>
              <w:rPr>
                <w:rFonts w:eastAsia="等线"/>
                <w:bCs/>
                <w:kern w:val="0"/>
                <w:sz w:val="18"/>
                <w:szCs w:val="18"/>
              </w:rPr>
              <w:t>6,470.76</w:t>
            </w:r>
          </w:p>
        </w:tc>
        <w:tc>
          <w:tcPr>
            <w:tcW w:w="936" w:type="dxa"/>
            <w:shd w:val="clear" w:color="auto" w:fill="FFFFFF"/>
            <w:vAlign w:val="center"/>
          </w:tcPr>
          <w:p w14:paraId="1F002C52" w14:textId="77777777" w:rsidR="004B0883" w:rsidRDefault="004B0883">
            <w:pPr>
              <w:snapToGrid w:val="0"/>
              <w:jc w:val="right"/>
              <w:rPr>
                <w:rFonts w:eastAsia="等线"/>
                <w:bCs/>
                <w:kern w:val="0"/>
                <w:sz w:val="18"/>
                <w:szCs w:val="18"/>
              </w:rPr>
            </w:pPr>
            <w:r>
              <w:rPr>
                <w:rFonts w:eastAsia="等线"/>
                <w:bCs/>
                <w:kern w:val="0"/>
                <w:sz w:val="18"/>
                <w:szCs w:val="18"/>
              </w:rPr>
              <w:t>6,461.55</w:t>
            </w:r>
          </w:p>
        </w:tc>
        <w:tc>
          <w:tcPr>
            <w:tcW w:w="936" w:type="dxa"/>
            <w:shd w:val="clear" w:color="auto" w:fill="FFFFFF"/>
            <w:vAlign w:val="center"/>
          </w:tcPr>
          <w:p w14:paraId="64B1143D" w14:textId="77777777" w:rsidR="004B0883" w:rsidRDefault="004B0883">
            <w:pPr>
              <w:snapToGrid w:val="0"/>
              <w:jc w:val="right"/>
              <w:rPr>
                <w:rFonts w:eastAsia="等线"/>
                <w:bCs/>
                <w:kern w:val="0"/>
                <w:sz w:val="18"/>
                <w:szCs w:val="18"/>
              </w:rPr>
            </w:pPr>
            <w:r>
              <w:rPr>
                <w:rFonts w:eastAsia="等线"/>
                <w:bCs/>
                <w:kern w:val="0"/>
                <w:sz w:val="18"/>
                <w:szCs w:val="18"/>
              </w:rPr>
              <w:t>6,454.43</w:t>
            </w:r>
          </w:p>
        </w:tc>
        <w:tc>
          <w:tcPr>
            <w:tcW w:w="936" w:type="dxa"/>
            <w:shd w:val="clear" w:color="auto" w:fill="FFFFFF"/>
            <w:vAlign w:val="center"/>
          </w:tcPr>
          <w:p w14:paraId="786248D1" w14:textId="77777777" w:rsidR="004B0883" w:rsidRDefault="004B0883">
            <w:pPr>
              <w:snapToGrid w:val="0"/>
              <w:jc w:val="right"/>
              <w:rPr>
                <w:rFonts w:eastAsia="等线"/>
                <w:bCs/>
                <w:kern w:val="0"/>
                <w:sz w:val="18"/>
                <w:szCs w:val="18"/>
              </w:rPr>
            </w:pPr>
            <w:r>
              <w:rPr>
                <w:rFonts w:eastAsia="等线"/>
                <w:bCs/>
                <w:kern w:val="0"/>
                <w:sz w:val="18"/>
                <w:szCs w:val="18"/>
              </w:rPr>
              <w:t>6,446.73</w:t>
            </w:r>
          </w:p>
        </w:tc>
        <w:tc>
          <w:tcPr>
            <w:tcW w:w="936" w:type="dxa"/>
            <w:shd w:val="clear" w:color="auto" w:fill="FFFFFF"/>
            <w:vAlign w:val="center"/>
          </w:tcPr>
          <w:p w14:paraId="6D905FE7" w14:textId="77777777" w:rsidR="004B0883" w:rsidRDefault="004B0883">
            <w:pPr>
              <w:snapToGrid w:val="0"/>
              <w:jc w:val="right"/>
              <w:rPr>
                <w:rFonts w:eastAsia="等线"/>
                <w:bCs/>
                <w:kern w:val="0"/>
                <w:sz w:val="18"/>
                <w:szCs w:val="18"/>
              </w:rPr>
            </w:pPr>
            <w:r>
              <w:rPr>
                <w:rFonts w:eastAsia="等线"/>
                <w:bCs/>
                <w:kern w:val="0"/>
                <w:sz w:val="18"/>
                <w:szCs w:val="18"/>
              </w:rPr>
              <w:t>6,435.75</w:t>
            </w:r>
          </w:p>
        </w:tc>
      </w:tr>
      <w:tr w:rsidR="004B0883" w14:paraId="2D608447" w14:textId="77777777">
        <w:trPr>
          <w:trHeight w:val="397"/>
          <w:jc w:val="center"/>
        </w:trPr>
        <w:tc>
          <w:tcPr>
            <w:tcW w:w="426" w:type="dxa"/>
            <w:shd w:val="clear" w:color="auto" w:fill="FFFFFF"/>
            <w:tcMar>
              <w:top w:w="0" w:type="dxa"/>
              <w:left w:w="30" w:type="dxa"/>
              <w:bottom w:w="0" w:type="dxa"/>
              <w:right w:w="30" w:type="dxa"/>
            </w:tcMar>
            <w:vAlign w:val="center"/>
          </w:tcPr>
          <w:p w14:paraId="05CBE800" w14:textId="77777777" w:rsidR="004B0883" w:rsidRDefault="004B0883">
            <w:pPr>
              <w:snapToGrid w:val="0"/>
              <w:jc w:val="center"/>
              <w:rPr>
                <w:rFonts w:eastAsia="等线"/>
                <w:bCs/>
                <w:kern w:val="0"/>
                <w:sz w:val="18"/>
                <w:szCs w:val="18"/>
              </w:rPr>
            </w:pPr>
            <w:r>
              <w:rPr>
                <w:rFonts w:eastAsia="等线"/>
                <w:bCs/>
                <w:kern w:val="0"/>
                <w:sz w:val="18"/>
                <w:szCs w:val="18"/>
              </w:rPr>
              <w:t>4.1</w:t>
            </w:r>
          </w:p>
        </w:tc>
        <w:tc>
          <w:tcPr>
            <w:tcW w:w="1544" w:type="dxa"/>
            <w:shd w:val="clear" w:color="auto" w:fill="FFFFFF"/>
            <w:vAlign w:val="center"/>
          </w:tcPr>
          <w:p w14:paraId="7A900909" w14:textId="77777777" w:rsidR="004B0883" w:rsidRDefault="004B0883">
            <w:pPr>
              <w:snapToGrid w:val="0"/>
              <w:jc w:val="center"/>
              <w:rPr>
                <w:bCs/>
                <w:kern w:val="0"/>
                <w:sz w:val="18"/>
                <w:szCs w:val="24"/>
              </w:rPr>
            </w:pPr>
            <w:r>
              <w:rPr>
                <w:bCs/>
                <w:kern w:val="0"/>
                <w:sz w:val="18"/>
                <w:szCs w:val="24"/>
              </w:rPr>
              <w:t>其他制造费用</w:t>
            </w:r>
          </w:p>
        </w:tc>
        <w:tc>
          <w:tcPr>
            <w:tcW w:w="850" w:type="dxa"/>
            <w:shd w:val="clear" w:color="auto" w:fill="FFFFFF"/>
            <w:vAlign w:val="center"/>
          </w:tcPr>
          <w:p w14:paraId="02B79197"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865" w:type="dxa"/>
            <w:shd w:val="clear" w:color="auto" w:fill="FFFFFF"/>
            <w:vAlign w:val="center"/>
          </w:tcPr>
          <w:p w14:paraId="5758EFF2"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36" w:type="dxa"/>
            <w:shd w:val="clear" w:color="auto" w:fill="FFFFFF"/>
            <w:vAlign w:val="center"/>
          </w:tcPr>
          <w:p w14:paraId="09FA098F" w14:textId="77777777" w:rsidR="004B0883" w:rsidRDefault="004B0883">
            <w:pPr>
              <w:snapToGrid w:val="0"/>
              <w:jc w:val="right"/>
              <w:rPr>
                <w:rFonts w:eastAsia="等线"/>
                <w:bCs/>
                <w:kern w:val="0"/>
                <w:sz w:val="18"/>
                <w:szCs w:val="18"/>
              </w:rPr>
            </w:pPr>
            <w:r>
              <w:rPr>
                <w:rFonts w:eastAsia="等线"/>
                <w:bCs/>
                <w:kern w:val="0"/>
                <w:sz w:val="18"/>
                <w:szCs w:val="18"/>
              </w:rPr>
              <w:t>32.04</w:t>
            </w:r>
          </w:p>
        </w:tc>
        <w:tc>
          <w:tcPr>
            <w:tcW w:w="936" w:type="dxa"/>
            <w:shd w:val="clear" w:color="auto" w:fill="FFFFFF"/>
            <w:vAlign w:val="center"/>
          </w:tcPr>
          <w:p w14:paraId="584D79FB" w14:textId="77777777" w:rsidR="004B0883" w:rsidRDefault="004B0883">
            <w:pPr>
              <w:snapToGrid w:val="0"/>
              <w:jc w:val="right"/>
              <w:rPr>
                <w:rFonts w:eastAsia="等线"/>
                <w:bCs/>
                <w:kern w:val="0"/>
                <w:sz w:val="18"/>
                <w:szCs w:val="18"/>
              </w:rPr>
            </w:pPr>
            <w:r>
              <w:rPr>
                <w:rFonts w:eastAsia="等线"/>
                <w:bCs/>
                <w:kern w:val="0"/>
                <w:sz w:val="18"/>
                <w:szCs w:val="18"/>
              </w:rPr>
              <w:t>64.08</w:t>
            </w:r>
          </w:p>
        </w:tc>
        <w:tc>
          <w:tcPr>
            <w:tcW w:w="936" w:type="dxa"/>
            <w:shd w:val="clear" w:color="auto" w:fill="FFFFFF"/>
            <w:vAlign w:val="center"/>
          </w:tcPr>
          <w:p w14:paraId="2F4D7384" w14:textId="77777777" w:rsidR="004B0883" w:rsidRDefault="004B0883">
            <w:pPr>
              <w:snapToGrid w:val="0"/>
              <w:jc w:val="right"/>
              <w:rPr>
                <w:rFonts w:eastAsia="等线"/>
                <w:bCs/>
                <w:kern w:val="0"/>
                <w:sz w:val="18"/>
                <w:szCs w:val="18"/>
              </w:rPr>
            </w:pPr>
            <w:r>
              <w:rPr>
                <w:rFonts w:eastAsia="等线"/>
                <w:bCs/>
                <w:kern w:val="0"/>
                <w:sz w:val="18"/>
                <w:szCs w:val="18"/>
              </w:rPr>
              <w:t>356.11</w:t>
            </w:r>
          </w:p>
        </w:tc>
        <w:tc>
          <w:tcPr>
            <w:tcW w:w="936" w:type="dxa"/>
            <w:shd w:val="clear" w:color="auto" w:fill="FFFFFF"/>
            <w:vAlign w:val="center"/>
          </w:tcPr>
          <w:p w14:paraId="495566EB" w14:textId="77777777" w:rsidR="004B0883" w:rsidRDefault="004B0883">
            <w:pPr>
              <w:snapToGrid w:val="0"/>
              <w:jc w:val="right"/>
              <w:rPr>
                <w:rFonts w:eastAsia="等线"/>
                <w:bCs/>
                <w:kern w:val="0"/>
                <w:sz w:val="18"/>
                <w:szCs w:val="18"/>
              </w:rPr>
            </w:pPr>
            <w:r>
              <w:rPr>
                <w:rFonts w:eastAsia="等线"/>
                <w:bCs/>
                <w:kern w:val="0"/>
                <w:sz w:val="18"/>
                <w:szCs w:val="18"/>
              </w:rPr>
              <w:t>1,272.45</w:t>
            </w:r>
          </w:p>
        </w:tc>
        <w:tc>
          <w:tcPr>
            <w:tcW w:w="936" w:type="dxa"/>
            <w:shd w:val="clear" w:color="auto" w:fill="FFFFFF"/>
            <w:vAlign w:val="center"/>
          </w:tcPr>
          <w:p w14:paraId="6C5A28A6" w14:textId="77777777" w:rsidR="004B0883" w:rsidRDefault="004B0883">
            <w:pPr>
              <w:snapToGrid w:val="0"/>
              <w:jc w:val="right"/>
              <w:rPr>
                <w:rFonts w:eastAsia="等线"/>
                <w:bCs/>
                <w:kern w:val="0"/>
                <w:sz w:val="18"/>
                <w:szCs w:val="18"/>
              </w:rPr>
            </w:pPr>
            <w:r>
              <w:rPr>
                <w:rFonts w:eastAsia="等线"/>
                <w:bCs/>
                <w:kern w:val="0"/>
                <w:sz w:val="18"/>
                <w:szCs w:val="18"/>
              </w:rPr>
              <w:t>1,272.45</w:t>
            </w:r>
          </w:p>
        </w:tc>
        <w:tc>
          <w:tcPr>
            <w:tcW w:w="936" w:type="dxa"/>
            <w:shd w:val="clear" w:color="auto" w:fill="FFFFFF"/>
            <w:vAlign w:val="center"/>
          </w:tcPr>
          <w:p w14:paraId="59D65BFE" w14:textId="77777777" w:rsidR="004B0883" w:rsidRDefault="004B0883">
            <w:pPr>
              <w:snapToGrid w:val="0"/>
              <w:jc w:val="right"/>
              <w:rPr>
                <w:rFonts w:eastAsia="等线"/>
                <w:bCs/>
                <w:kern w:val="0"/>
                <w:sz w:val="18"/>
                <w:szCs w:val="18"/>
              </w:rPr>
            </w:pPr>
            <w:r>
              <w:rPr>
                <w:rFonts w:eastAsia="等线"/>
                <w:bCs/>
                <w:kern w:val="0"/>
                <w:sz w:val="18"/>
                <w:szCs w:val="18"/>
              </w:rPr>
              <w:t>1,272.45</w:t>
            </w:r>
          </w:p>
        </w:tc>
        <w:tc>
          <w:tcPr>
            <w:tcW w:w="936" w:type="dxa"/>
            <w:shd w:val="clear" w:color="auto" w:fill="FFFFFF"/>
            <w:vAlign w:val="center"/>
          </w:tcPr>
          <w:p w14:paraId="0F940A80" w14:textId="77777777" w:rsidR="004B0883" w:rsidRDefault="004B0883">
            <w:pPr>
              <w:snapToGrid w:val="0"/>
              <w:jc w:val="right"/>
              <w:rPr>
                <w:rFonts w:eastAsia="等线"/>
                <w:bCs/>
                <w:kern w:val="0"/>
                <w:sz w:val="18"/>
                <w:szCs w:val="18"/>
              </w:rPr>
            </w:pPr>
            <w:r>
              <w:rPr>
                <w:rFonts w:eastAsia="等线"/>
                <w:bCs/>
                <w:kern w:val="0"/>
                <w:sz w:val="18"/>
                <w:szCs w:val="18"/>
              </w:rPr>
              <w:t>1,272.45</w:t>
            </w:r>
          </w:p>
        </w:tc>
        <w:tc>
          <w:tcPr>
            <w:tcW w:w="936" w:type="dxa"/>
            <w:shd w:val="clear" w:color="auto" w:fill="FFFFFF"/>
            <w:vAlign w:val="center"/>
          </w:tcPr>
          <w:p w14:paraId="3D638134" w14:textId="77777777" w:rsidR="004B0883" w:rsidRDefault="004B0883">
            <w:pPr>
              <w:snapToGrid w:val="0"/>
              <w:jc w:val="right"/>
              <w:rPr>
                <w:rFonts w:eastAsia="等线"/>
                <w:bCs/>
                <w:kern w:val="0"/>
                <w:sz w:val="18"/>
                <w:szCs w:val="18"/>
              </w:rPr>
            </w:pPr>
            <w:r>
              <w:rPr>
                <w:rFonts w:eastAsia="等线"/>
                <w:bCs/>
                <w:kern w:val="0"/>
                <w:sz w:val="18"/>
                <w:szCs w:val="18"/>
              </w:rPr>
              <w:t>1,272.45</w:t>
            </w:r>
          </w:p>
        </w:tc>
      </w:tr>
      <w:tr w:rsidR="004B0883" w14:paraId="76D14821" w14:textId="77777777">
        <w:trPr>
          <w:trHeight w:val="397"/>
          <w:jc w:val="center"/>
        </w:trPr>
        <w:tc>
          <w:tcPr>
            <w:tcW w:w="426" w:type="dxa"/>
            <w:shd w:val="clear" w:color="auto" w:fill="FFFFFF"/>
            <w:tcMar>
              <w:top w:w="0" w:type="dxa"/>
              <w:left w:w="30" w:type="dxa"/>
              <w:bottom w:w="0" w:type="dxa"/>
              <w:right w:w="30" w:type="dxa"/>
            </w:tcMar>
            <w:vAlign w:val="center"/>
          </w:tcPr>
          <w:p w14:paraId="6ABF7035" w14:textId="77777777" w:rsidR="004B0883" w:rsidRDefault="004B0883">
            <w:pPr>
              <w:snapToGrid w:val="0"/>
              <w:jc w:val="center"/>
              <w:rPr>
                <w:rFonts w:eastAsia="等线"/>
                <w:bCs/>
                <w:kern w:val="0"/>
                <w:sz w:val="18"/>
                <w:szCs w:val="18"/>
              </w:rPr>
            </w:pPr>
            <w:r>
              <w:rPr>
                <w:rFonts w:eastAsia="等线"/>
                <w:bCs/>
                <w:kern w:val="0"/>
                <w:sz w:val="18"/>
                <w:szCs w:val="18"/>
              </w:rPr>
              <w:t>4.2</w:t>
            </w:r>
          </w:p>
        </w:tc>
        <w:tc>
          <w:tcPr>
            <w:tcW w:w="1544" w:type="dxa"/>
            <w:shd w:val="clear" w:color="auto" w:fill="FFFFFF"/>
            <w:vAlign w:val="center"/>
          </w:tcPr>
          <w:p w14:paraId="4D4087FB" w14:textId="77777777" w:rsidR="004B0883" w:rsidRDefault="004B0883">
            <w:pPr>
              <w:snapToGrid w:val="0"/>
              <w:jc w:val="center"/>
              <w:rPr>
                <w:bCs/>
                <w:kern w:val="0"/>
                <w:sz w:val="18"/>
                <w:szCs w:val="24"/>
              </w:rPr>
            </w:pPr>
            <w:r>
              <w:rPr>
                <w:bCs/>
                <w:kern w:val="0"/>
                <w:sz w:val="18"/>
                <w:szCs w:val="24"/>
              </w:rPr>
              <w:t>其他管理费用</w:t>
            </w:r>
          </w:p>
        </w:tc>
        <w:tc>
          <w:tcPr>
            <w:tcW w:w="850" w:type="dxa"/>
            <w:shd w:val="clear" w:color="auto" w:fill="FFFFFF"/>
            <w:vAlign w:val="center"/>
          </w:tcPr>
          <w:p w14:paraId="3FAD8326"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865" w:type="dxa"/>
            <w:shd w:val="clear" w:color="auto" w:fill="FFFFFF"/>
            <w:vAlign w:val="center"/>
          </w:tcPr>
          <w:p w14:paraId="7E8D0FE8"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36" w:type="dxa"/>
            <w:shd w:val="clear" w:color="auto" w:fill="FFFFFF"/>
            <w:vAlign w:val="center"/>
          </w:tcPr>
          <w:p w14:paraId="04A845F3" w14:textId="77777777" w:rsidR="004B0883" w:rsidRDefault="004B0883">
            <w:pPr>
              <w:snapToGrid w:val="0"/>
              <w:jc w:val="right"/>
              <w:rPr>
                <w:rFonts w:eastAsia="等线"/>
                <w:bCs/>
                <w:kern w:val="0"/>
                <w:sz w:val="18"/>
                <w:szCs w:val="18"/>
              </w:rPr>
            </w:pPr>
            <w:r>
              <w:rPr>
                <w:rFonts w:eastAsia="等线"/>
                <w:bCs/>
                <w:kern w:val="0"/>
                <w:sz w:val="18"/>
                <w:szCs w:val="18"/>
              </w:rPr>
              <w:t>344.46</w:t>
            </w:r>
          </w:p>
        </w:tc>
        <w:tc>
          <w:tcPr>
            <w:tcW w:w="936" w:type="dxa"/>
            <w:shd w:val="clear" w:color="auto" w:fill="FFFFFF"/>
            <w:vAlign w:val="center"/>
          </w:tcPr>
          <w:p w14:paraId="469028C2" w14:textId="77777777" w:rsidR="004B0883" w:rsidRDefault="004B0883">
            <w:pPr>
              <w:snapToGrid w:val="0"/>
              <w:jc w:val="right"/>
              <w:rPr>
                <w:rFonts w:eastAsia="等线"/>
                <w:bCs/>
                <w:kern w:val="0"/>
                <w:sz w:val="18"/>
                <w:szCs w:val="18"/>
              </w:rPr>
            </w:pPr>
            <w:r>
              <w:rPr>
                <w:rFonts w:eastAsia="等线"/>
                <w:bCs/>
                <w:kern w:val="0"/>
                <w:sz w:val="18"/>
                <w:szCs w:val="18"/>
              </w:rPr>
              <w:t>560.75</w:t>
            </w:r>
          </w:p>
        </w:tc>
        <w:tc>
          <w:tcPr>
            <w:tcW w:w="936" w:type="dxa"/>
            <w:shd w:val="clear" w:color="auto" w:fill="FFFFFF"/>
            <w:vAlign w:val="center"/>
          </w:tcPr>
          <w:p w14:paraId="23787E22" w14:textId="77777777" w:rsidR="004B0883" w:rsidRDefault="004B0883">
            <w:pPr>
              <w:snapToGrid w:val="0"/>
              <w:jc w:val="right"/>
              <w:rPr>
                <w:rFonts w:eastAsia="等线"/>
                <w:bCs/>
                <w:kern w:val="0"/>
                <w:sz w:val="18"/>
                <w:szCs w:val="18"/>
              </w:rPr>
            </w:pPr>
            <w:r>
              <w:rPr>
                <w:rFonts w:eastAsia="等线"/>
                <w:bCs/>
                <w:kern w:val="0"/>
                <w:sz w:val="18"/>
                <w:szCs w:val="18"/>
              </w:rPr>
              <w:t>826.68</w:t>
            </w:r>
          </w:p>
        </w:tc>
        <w:tc>
          <w:tcPr>
            <w:tcW w:w="936" w:type="dxa"/>
            <w:shd w:val="clear" w:color="auto" w:fill="FFFFFF"/>
            <w:vAlign w:val="center"/>
          </w:tcPr>
          <w:p w14:paraId="608BA827" w14:textId="77777777" w:rsidR="004B0883" w:rsidRDefault="004B0883">
            <w:pPr>
              <w:snapToGrid w:val="0"/>
              <w:jc w:val="right"/>
              <w:rPr>
                <w:rFonts w:eastAsia="等线"/>
                <w:bCs/>
                <w:kern w:val="0"/>
                <w:sz w:val="18"/>
                <w:szCs w:val="18"/>
              </w:rPr>
            </w:pPr>
            <w:r>
              <w:rPr>
                <w:rFonts w:eastAsia="等线"/>
                <w:bCs/>
                <w:kern w:val="0"/>
                <w:sz w:val="18"/>
                <w:szCs w:val="18"/>
              </w:rPr>
              <w:t>1,220.78</w:t>
            </w:r>
          </w:p>
        </w:tc>
        <w:tc>
          <w:tcPr>
            <w:tcW w:w="936" w:type="dxa"/>
            <w:shd w:val="clear" w:color="auto" w:fill="FFFFFF"/>
            <w:vAlign w:val="center"/>
          </w:tcPr>
          <w:p w14:paraId="68BEDD25" w14:textId="77777777" w:rsidR="004B0883" w:rsidRDefault="004B0883">
            <w:pPr>
              <w:snapToGrid w:val="0"/>
              <w:jc w:val="right"/>
              <w:rPr>
                <w:rFonts w:eastAsia="等线"/>
                <w:bCs/>
                <w:kern w:val="0"/>
                <w:sz w:val="18"/>
                <w:szCs w:val="18"/>
              </w:rPr>
            </w:pPr>
            <w:r>
              <w:rPr>
                <w:rFonts w:eastAsia="等线"/>
                <w:bCs/>
                <w:kern w:val="0"/>
                <w:sz w:val="18"/>
                <w:szCs w:val="18"/>
              </w:rPr>
              <w:t>1,211.57</w:t>
            </w:r>
          </w:p>
        </w:tc>
        <w:tc>
          <w:tcPr>
            <w:tcW w:w="936" w:type="dxa"/>
            <w:shd w:val="clear" w:color="auto" w:fill="FFFFFF"/>
            <w:vAlign w:val="center"/>
          </w:tcPr>
          <w:p w14:paraId="7D36D3BE" w14:textId="77777777" w:rsidR="004B0883" w:rsidRDefault="004B0883">
            <w:pPr>
              <w:snapToGrid w:val="0"/>
              <w:jc w:val="right"/>
              <w:rPr>
                <w:rFonts w:eastAsia="等线"/>
                <w:bCs/>
                <w:kern w:val="0"/>
                <w:sz w:val="18"/>
                <w:szCs w:val="18"/>
              </w:rPr>
            </w:pPr>
            <w:r>
              <w:rPr>
                <w:rFonts w:eastAsia="等线"/>
                <w:bCs/>
                <w:kern w:val="0"/>
                <w:sz w:val="18"/>
                <w:szCs w:val="18"/>
              </w:rPr>
              <w:t>1,204.45</w:t>
            </w:r>
          </w:p>
        </w:tc>
        <w:tc>
          <w:tcPr>
            <w:tcW w:w="936" w:type="dxa"/>
            <w:shd w:val="clear" w:color="auto" w:fill="FFFFFF"/>
            <w:vAlign w:val="center"/>
          </w:tcPr>
          <w:p w14:paraId="3B66112A" w14:textId="77777777" w:rsidR="004B0883" w:rsidRDefault="004B0883">
            <w:pPr>
              <w:snapToGrid w:val="0"/>
              <w:jc w:val="right"/>
              <w:rPr>
                <w:rFonts w:eastAsia="等线"/>
                <w:bCs/>
                <w:kern w:val="0"/>
                <w:sz w:val="18"/>
                <w:szCs w:val="18"/>
              </w:rPr>
            </w:pPr>
            <w:r>
              <w:rPr>
                <w:rFonts w:eastAsia="等线"/>
                <w:bCs/>
                <w:kern w:val="0"/>
                <w:sz w:val="18"/>
                <w:szCs w:val="18"/>
              </w:rPr>
              <w:t>1,196.75</w:t>
            </w:r>
          </w:p>
        </w:tc>
        <w:tc>
          <w:tcPr>
            <w:tcW w:w="936" w:type="dxa"/>
            <w:shd w:val="clear" w:color="auto" w:fill="FFFFFF"/>
            <w:vAlign w:val="center"/>
          </w:tcPr>
          <w:p w14:paraId="55AD5CE3" w14:textId="77777777" w:rsidR="004B0883" w:rsidRDefault="004B0883">
            <w:pPr>
              <w:snapToGrid w:val="0"/>
              <w:jc w:val="right"/>
              <w:rPr>
                <w:rFonts w:eastAsia="等线"/>
                <w:bCs/>
                <w:kern w:val="0"/>
                <w:sz w:val="18"/>
                <w:szCs w:val="18"/>
              </w:rPr>
            </w:pPr>
            <w:r>
              <w:rPr>
                <w:rFonts w:eastAsia="等线"/>
                <w:bCs/>
                <w:kern w:val="0"/>
                <w:sz w:val="18"/>
                <w:szCs w:val="18"/>
              </w:rPr>
              <w:t>1,185.77</w:t>
            </w:r>
          </w:p>
        </w:tc>
      </w:tr>
      <w:tr w:rsidR="004B0883" w14:paraId="07CE1616" w14:textId="77777777">
        <w:trPr>
          <w:trHeight w:val="397"/>
          <w:jc w:val="center"/>
        </w:trPr>
        <w:tc>
          <w:tcPr>
            <w:tcW w:w="426" w:type="dxa"/>
            <w:shd w:val="clear" w:color="auto" w:fill="FFFFFF"/>
            <w:tcMar>
              <w:top w:w="0" w:type="dxa"/>
              <w:left w:w="30" w:type="dxa"/>
              <w:bottom w:w="0" w:type="dxa"/>
              <w:right w:w="30" w:type="dxa"/>
            </w:tcMar>
            <w:vAlign w:val="center"/>
          </w:tcPr>
          <w:p w14:paraId="55C907C2" w14:textId="77777777" w:rsidR="004B0883" w:rsidRDefault="004B0883">
            <w:pPr>
              <w:snapToGrid w:val="0"/>
              <w:jc w:val="center"/>
              <w:rPr>
                <w:rFonts w:eastAsia="等线"/>
                <w:bCs/>
                <w:kern w:val="0"/>
                <w:sz w:val="18"/>
                <w:szCs w:val="18"/>
              </w:rPr>
            </w:pPr>
            <w:r>
              <w:rPr>
                <w:rFonts w:eastAsia="等线"/>
                <w:bCs/>
                <w:kern w:val="0"/>
                <w:sz w:val="18"/>
                <w:szCs w:val="18"/>
              </w:rPr>
              <w:t>4.3</w:t>
            </w:r>
          </w:p>
        </w:tc>
        <w:tc>
          <w:tcPr>
            <w:tcW w:w="1544" w:type="dxa"/>
            <w:shd w:val="clear" w:color="auto" w:fill="FFFFFF"/>
            <w:vAlign w:val="center"/>
          </w:tcPr>
          <w:p w14:paraId="1C3B7B5D" w14:textId="77777777" w:rsidR="004B0883" w:rsidRDefault="004B0883">
            <w:pPr>
              <w:snapToGrid w:val="0"/>
              <w:jc w:val="center"/>
              <w:rPr>
                <w:bCs/>
                <w:kern w:val="0"/>
                <w:sz w:val="18"/>
                <w:szCs w:val="24"/>
              </w:rPr>
            </w:pPr>
            <w:r>
              <w:rPr>
                <w:bCs/>
                <w:kern w:val="0"/>
                <w:sz w:val="18"/>
                <w:szCs w:val="24"/>
              </w:rPr>
              <w:t>其他研发费用</w:t>
            </w:r>
          </w:p>
        </w:tc>
        <w:tc>
          <w:tcPr>
            <w:tcW w:w="850" w:type="dxa"/>
            <w:shd w:val="clear" w:color="auto" w:fill="FFFFFF"/>
            <w:vAlign w:val="center"/>
          </w:tcPr>
          <w:p w14:paraId="30F8691E"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865" w:type="dxa"/>
            <w:shd w:val="clear" w:color="auto" w:fill="FFFFFF"/>
            <w:vAlign w:val="center"/>
          </w:tcPr>
          <w:p w14:paraId="44E55E91"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36" w:type="dxa"/>
            <w:shd w:val="clear" w:color="auto" w:fill="FFFFFF"/>
            <w:vAlign w:val="center"/>
          </w:tcPr>
          <w:p w14:paraId="2E69C322" w14:textId="77777777" w:rsidR="004B0883" w:rsidRDefault="004B0883">
            <w:pPr>
              <w:snapToGrid w:val="0"/>
              <w:jc w:val="right"/>
              <w:rPr>
                <w:rFonts w:eastAsia="等线"/>
                <w:bCs/>
                <w:kern w:val="0"/>
                <w:sz w:val="18"/>
                <w:szCs w:val="18"/>
              </w:rPr>
            </w:pPr>
            <w:r>
              <w:rPr>
                <w:rFonts w:eastAsia="等线"/>
                <w:bCs/>
                <w:kern w:val="0"/>
                <w:sz w:val="18"/>
                <w:szCs w:val="18"/>
              </w:rPr>
              <w:t>433.89</w:t>
            </w:r>
          </w:p>
        </w:tc>
        <w:tc>
          <w:tcPr>
            <w:tcW w:w="936" w:type="dxa"/>
            <w:shd w:val="clear" w:color="auto" w:fill="FFFFFF"/>
            <w:vAlign w:val="center"/>
          </w:tcPr>
          <w:p w14:paraId="2A6FBCC1" w14:textId="77777777" w:rsidR="004B0883" w:rsidRDefault="004B0883">
            <w:pPr>
              <w:snapToGrid w:val="0"/>
              <w:jc w:val="right"/>
              <w:rPr>
                <w:rFonts w:eastAsia="等线"/>
                <w:bCs/>
                <w:kern w:val="0"/>
                <w:sz w:val="18"/>
                <w:szCs w:val="18"/>
              </w:rPr>
            </w:pPr>
            <w:r>
              <w:rPr>
                <w:rFonts w:eastAsia="等线"/>
                <w:bCs/>
                <w:kern w:val="0"/>
                <w:sz w:val="18"/>
                <w:szCs w:val="18"/>
              </w:rPr>
              <w:t>723.15</w:t>
            </w:r>
          </w:p>
        </w:tc>
        <w:tc>
          <w:tcPr>
            <w:tcW w:w="936" w:type="dxa"/>
            <w:shd w:val="clear" w:color="auto" w:fill="FFFFFF"/>
            <w:vAlign w:val="center"/>
          </w:tcPr>
          <w:p w14:paraId="1BA903F1" w14:textId="77777777" w:rsidR="004B0883" w:rsidRDefault="004B0883">
            <w:pPr>
              <w:snapToGrid w:val="0"/>
              <w:jc w:val="right"/>
              <w:rPr>
                <w:rFonts w:eastAsia="等线"/>
                <w:bCs/>
                <w:kern w:val="0"/>
                <w:sz w:val="18"/>
                <w:szCs w:val="18"/>
              </w:rPr>
            </w:pPr>
            <w:r>
              <w:rPr>
                <w:rFonts w:eastAsia="等线"/>
                <w:bCs/>
                <w:kern w:val="0"/>
                <w:sz w:val="18"/>
                <w:szCs w:val="18"/>
              </w:rPr>
              <w:t>1,012.41</w:t>
            </w:r>
          </w:p>
        </w:tc>
        <w:tc>
          <w:tcPr>
            <w:tcW w:w="936" w:type="dxa"/>
            <w:shd w:val="clear" w:color="auto" w:fill="FFFFFF"/>
            <w:vAlign w:val="center"/>
          </w:tcPr>
          <w:p w14:paraId="3E09077F" w14:textId="77777777" w:rsidR="004B0883" w:rsidRDefault="004B0883">
            <w:pPr>
              <w:snapToGrid w:val="0"/>
              <w:jc w:val="right"/>
              <w:rPr>
                <w:rFonts w:eastAsia="等线"/>
                <w:bCs/>
                <w:kern w:val="0"/>
                <w:sz w:val="18"/>
                <w:szCs w:val="18"/>
              </w:rPr>
            </w:pPr>
            <w:r>
              <w:rPr>
                <w:rFonts w:eastAsia="等线"/>
                <w:bCs/>
                <w:kern w:val="0"/>
                <w:sz w:val="18"/>
                <w:szCs w:val="18"/>
              </w:rPr>
              <w:t>1,446.30</w:t>
            </w:r>
          </w:p>
        </w:tc>
        <w:tc>
          <w:tcPr>
            <w:tcW w:w="936" w:type="dxa"/>
            <w:shd w:val="clear" w:color="auto" w:fill="FFFFFF"/>
            <w:vAlign w:val="center"/>
          </w:tcPr>
          <w:p w14:paraId="7B716FE5" w14:textId="77777777" w:rsidR="004B0883" w:rsidRDefault="004B0883">
            <w:pPr>
              <w:snapToGrid w:val="0"/>
              <w:jc w:val="right"/>
              <w:rPr>
                <w:rFonts w:eastAsia="等线"/>
                <w:bCs/>
                <w:kern w:val="0"/>
                <w:sz w:val="18"/>
                <w:szCs w:val="18"/>
              </w:rPr>
            </w:pPr>
            <w:r>
              <w:rPr>
                <w:rFonts w:eastAsia="等线"/>
                <w:bCs/>
                <w:kern w:val="0"/>
                <w:sz w:val="18"/>
                <w:szCs w:val="18"/>
              </w:rPr>
              <w:t>1,446.30</w:t>
            </w:r>
          </w:p>
        </w:tc>
        <w:tc>
          <w:tcPr>
            <w:tcW w:w="936" w:type="dxa"/>
            <w:shd w:val="clear" w:color="auto" w:fill="FFFFFF"/>
            <w:vAlign w:val="center"/>
          </w:tcPr>
          <w:p w14:paraId="49DE9F73" w14:textId="77777777" w:rsidR="004B0883" w:rsidRDefault="004B0883">
            <w:pPr>
              <w:snapToGrid w:val="0"/>
              <w:jc w:val="right"/>
              <w:rPr>
                <w:rFonts w:eastAsia="等线"/>
                <w:bCs/>
                <w:kern w:val="0"/>
                <w:sz w:val="18"/>
                <w:szCs w:val="18"/>
              </w:rPr>
            </w:pPr>
            <w:r>
              <w:rPr>
                <w:rFonts w:eastAsia="等线"/>
                <w:bCs/>
                <w:kern w:val="0"/>
                <w:sz w:val="18"/>
                <w:szCs w:val="18"/>
              </w:rPr>
              <w:t>1,446.30</w:t>
            </w:r>
          </w:p>
        </w:tc>
        <w:tc>
          <w:tcPr>
            <w:tcW w:w="936" w:type="dxa"/>
            <w:shd w:val="clear" w:color="auto" w:fill="FFFFFF"/>
            <w:vAlign w:val="center"/>
          </w:tcPr>
          <w:p w14:paraId="7C97D0F8" w14:textId="77777777" w:rsidR="004B0883" w:rsidRDefault="004B0883">
            <w:pPr>
              <w:snapToGrid w:val="0"/>
              <w:jc w:val="right"/>
              <w:rPr>
                <w:rFonts w:eastAsia="等线"/>
                <w:bCs/>
                <w:kern w:val="0"/>
                <w:sz w:val="18"/>
                <w:szCs w:val="18"/>
              </w:rPr>
            </w:pPr>
            <w:r>
              <w:rPr>
                <w:rFonts w:eastAsia="等线"/>
                <w:bCs/>
                <w:kern w:val="0"/>
                <w:sz w:val="18"/>
                <w:szCs w:val="18"/>
              </w:rPr>
              <w:t>1,446.30</w:t>
            </w:r>
          </w:p>
        </w:tc>
        <w:tc>
          <w:tcPr>
            <w:tcW w:w="936" w:type="dxa"/>
            <w:shd w:val="clear" w:color="auto" w:fill="FFFFFF"/>
            <w:vAlign w:val="center"/>
          </w:tcPr>
          <w:p w14:paraId="6738C442" w14:textId="77777777" w:rsidR="004B0883" w:rsidRDefault="004B0883">
            <w:pPr>
              <w:snapToGrid w:val="0"/>
              <w:jc w:val="right"/>
              <w:rPr>
                <w:rFonts w:eastAsia="等线"/>
                <w:bCs/>
                <w:kern w:val="0"/>
                <w:sz w:val="18"/>
                <w:szCs w:val="18"/>
              </w:rPr>
            </w:pPr>
            <w:r>
              <w:rPr>
                <w:rFonts w:eastAsia="等线"/>
                <w:bCs/>
                <w:kern w:val="0"/>
                <w:sz w:val="18"/>
                <w:szCs w:val="18"/>
              </w:rPr>
              <w:t>1,446.30</w:t>
            </w:r>
          </w:p>
        </w:tc>
      </w:tr>
      <w:tr w:rsidR="004B0883" w14:paraId="0EF9263C" w14:textId="77777777">
        <w:trPr>
          <w:trHeight w:val="397"/>
          <w:jc w:val="center"/>
        </w:trPr>
        <w:tc>
          <w:tcPr>
            <w:tcW w:w="426" w:type="dxa"/>
            <w:shd w:val="clear" w:color="auto" w:fill="FFFFFF"/>
            <w:tcMar>
              <w:top w:w="0" w:type="dxa"/>
              <w:left w:w="30" w:type="dxa"/>
              <w:bottom w:w="0" w:type="dxa"/>
              <w:right w:w="30" w:type="dxa"/>
            </w:tcMar>
            <w:vAlign w:val="center"/>
          </w:tcPr>
          <w:p w14:paraId="0831F202" w14:textId="77777777" w:rsidR="004B0883" w:rsidRDefault="004B0883">
            <w:pPr>
              <w:snapToGrid w:val="0"/>
              <w:jc w:val="center"/>
              <w:rPr>
                <w:rFonts w:eastAsia="等线"/>
                <w:bCs/>
                <w:kern w:val="0"/>
                <w:sz w:val="18"/>
                <w:szCs w:val="18"/>
              </w:rPr>
            </w:pPr>
            <w:r>
              <w:rPr>
                <w:rFonts w:eastAsia="等线"/>
                <w:bCs/>
                <w:kern w:val="0"/>
                <w:sz w:val="18"/>
                <w:szCs w:val="18"/>
              </w:rPr>
              <w:t>4.4</w:t>
            </w:r>
          </w:p>
        </w:tc>
        <w:tc>
          <w:tcPr>
            <w:tcW w:w="1544" w:type="dxa"/>
            <w:shd w:val="clear" w:color="auto" w:fill="FFFFFF"/>
            <w:vAlign w:val="center"/>
          </w:tcPr>
          <w:p w14:paraId="7F1DEA0D" w14:textId="77777777" w:rsidR="004B0883" w:rsidRDefault="004B0883">
            <w:pPr>
              <w:snapToGrid w:val="0"/>
              <w:jc w:val="center"/>
              <w:rPr>
                <w:bCs/>
                <w:kern w:val="0"/>
                <w:sz w:val="18"/>
                <w:szCs w:val="24"/>
              </w:rPr>
            </w:pPr>
            <w:r>
              <w:rPr>
                <w:bCs/>
                <w:kern w:val="0"/>
                <w:sz w:val="18"/>
                <w:szCs w:val="24"/>
              </w:rPr>
              <w:t>其他销售费用</w:t>
            </w:r>
          </w:p>
        </w:tc>
        <w:tc>
          <w:tcPr>
            <w:tcW w:w="850" w:type="dxa"/>
            <w:shd w:val="clear" w:color="auto" w:fill="FFFFFF"/>
            <w:vAlign w:val="center"/>
          </w:tcPr>
          <w:p w14:paraId="39A8DED2"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865" w:type="dxa"/>
            <w:shd w:val="clear" w:color="auto" w:fill="FFFFFF"/>
            <w:vAlign w:val="center"/>
          </w:tcPr>
          <w:p w14:paraId="1E78FFEC"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36" w:type="dxa"/>
            <w:shd w:val="clear" w:color="auto" w:fill="FFFFFF"/>
            <w:vAlign w:val="center"/>
          </w:tcPr>
          <w:p w14:paraId="22FECE36" w14:textId="77777777" w:rsidR="004B0883" w:rsidRDefault="004B0883">
            <w:pPr>
              <w:snapToGrid w:val="0"/>
              <w:jc w:val="right"/>
              <w:rPr>
                <w:rFonts w:eastAsia="等线"/>
                <w:bCs/>
                <w:kern w:val="0"/>
                <w:sz w:val="18"/>
                <w:szCs w:val="18"/>
              </w:rPr>
            </w:pPr>
            <w:r>
              <w:rPr>
                <w:rFonts w:eastAsia="等线"/>
                <w:bCs/>
                <w:kern w:val="0"/>
                <w:sz w:val="18"/>
                <w:szCs w:val="18"/>
              </w:rPr>
              <w:t>753.37</w:t>
            </w:r>
          </w:p>
        </w:tc>
        <w:tc>
          <w:tcPr>
            <w:tcW w:w="936" w:type="dxa"/>
            <w:shd w:val="clear" w:color="auto" w:fill="FFFFFF"/>
            <w:vAlign w:val="center"/>
          </w:tcPr>
          <w:p w14:paraId="2439C06A" w14:textId="77777777" w:rsidR="004B0883" w:rsidRDefault="004B0883">
            <w:pPr>
              <w:snapToGrid w:val="0"/>
              <w:jc w:val="right"/>
              <w:rPr>
                <w:rFonts w:eastAsia="等线"/>
                <w:bCs/>
                <w:kern w:val="0"/>
                <w:sz w:val="18"/>
                <w:szCs w:val="18"/>
              </w:rPr>
            </w:pPr>
            <w:r>
              <w:rPr>
                <w:rFonts w:eastAsia="等线"/>
                <w:bCs/>
                <w:kern w:val="0"/>
                <w:sz w:val="18"/>
                <w:szCs w:val="18"/>
              </w:rPr>
              <w:t>1,259.61</w:t>
            </w:r>
          </w:p>
        </w:tc>
        <w:tc>
          <w:tcPr>
            <w:tcW w:w="936" w:type="dxa"/>
            <w:shd w:val="clear" w:color="auto" w:fill="FFFFFF"/>
            <w:vAlign w:val="center"/>
          </w:tcPr>
          <w:p w14:paraId="56977155" w14:textId="77777777" w:rsidR="004B0883" w:rsidRDefault="004B0883">
            <w:pPr>
              <w:snapToGrid w:val="0"/>
              <w:jc w:val="right"/>
              <w:rPr>
                <w:rFonts w:eastAsia="等线"/>
                <w:bCs/>
                <w:kern w:val="0"/>
                <w:sz w:val="18"/>
                <w:szCs w:val="18"/>
              </w:rPr>
            </w:pPr>
            <w:r>
              <w:rPr>
                <w:rFonts w:eastAsia="等线"/>
                <w:bCs/>
                <w:kern w:val="0"/>
                <w:sz w:val="18"/>
                <w:szCs w:val="18"/>
              </w:rPr>
              <w:t>1,765.86</w:t>
            </w:r>
          </w:p>
        </w:tc>
        <w:tc>
          <w:tcPr>
            <w:tcW w:w="936" w:type="dxa"/>
            <w:shd w:val="clear" w:color="auto" w:fill="FFFFFF"/>
            <w:vAlign w:val="center"/>
          </w:tcPr>
          <w:p w14:paraId="0AE3A705" w14:textId="77777777" w:rsidR="004B0883" w:rsidRDefault="004B0883">
            <w:pPr>
              <w:snapToGrid w:val="0"/>
              <w:jc w:val="right"/>
              <w:rPr>
                <w:rFonts w:eastAsia="等线"/>
                <w:bCs/>
                <w:kern w:val="0"/>
                <w:sz w:val="18"/>
                <w:szCs w:val="18"/>
              </w:rPr>
            </w:pPr>
            <w:r>
              <w:rPr>
                <w:rFonts w:eastAsia="等线"/>
                <w:bCs/>
                <w:kern w:val="0"/>
                <w:sz w:val="18"/>
                <w:szCs w:val="18"/>
              </w:rPr>
              <w:t>2,531.23</w:t>
            </w:r>
          </w:p>
        </w:tc>
        <w:tc>
          <w:tcPr>
            <w:tcW w:w="936" w:type="dxa"/>
            <w:shd w:val="clear" w:color="auto" w:fill="FFFFFF"/>
            <w:vAlign w:val="center"/>
          </w:tcPr>
          <w:p w14:paraId="5A8B15D3" w14:textId="77777777" w:rsidR="004B0883" w:rsidRDefault="004B0883">
            <w:pPr>
              <w:snapToGrid w:val="0"/>
              <w:jc w:val="right"/>
              <w:rPr>
                <w:rFonts w:eastAsia="等线"/>
                <w:bCs/>
                <w:kern w:val="0"/>
                <w:sz w:val="18"/>
                <w:szCs w:val="18"/>
              </w:rPr>
            </w:pPr>
            <w:r>
              <w:rPr>
                <w:rFonts w:eastAsia="等线"/>
                <w:bCs/>
                <w:kern w:val="0"/>
                <w:sz w:val="18"/>
                <w:szCs w:val="18"/>
              </w:rPr>
              <w:t>2,531.23</w:t>
            </w:r>
          </w:p>
        </w:tc>
        <w:tc>
          <w:tcPr>
            <w:tcW w:w="936" w:type="dxa"/>
            <w:shd w:val="clear" w:color="auto" w:fill="FFFFFF"/>
            <w:vAlign w:val="center"/>
          </w:tcPr>
          <w:p w14:paraId="24D12389" w14:textId="77777777" w:rsidR="004B0883" w:rsidRDefault="004B0883">
            <w:pPr>
              <w:snapToGrid w:val="0"/>
              <w:jc w:val="right"/>
              <w:rPr>
                <w:rFonts w:eastAsia="等线"/>
                <w:bCs/>
                <w:kern w:val="0"/>
                <w:sz w:val="18"/>
                <w:szCs w:val="18"/>
              </w:rPr>
            </w:pPr>
            <w:r>
              <w:rPr>
                <w:rFonts w:eastAsia="等线"/>
                <w:bCs/>
                <w:kern w:val="0"/>
                <w:sz w:val="18"/>
                <w:szCs w:val="18"/>
              </w:rPr>
              <w:t>2,531.23</w:t>
            </w:r>
          </w:p>
        </w:tc>
        <w:tc>
          <w:tcPr>
            <w:tcW w:w="936" w:type="dxa"/>
            <w:shd w:val="clear" w:color="auto" w:fill="FFFFFF"/>
            <w:vAlign w:val="center"/>
          </w:tcPr>
          <w:p w14:paraId="064CF71F" w14:textId="77777777" w:rsidR="004B0883" w:rsidRDefault="004B0883">
            <w:pPr>
              <w:snapToGrid w:val="0"/>
              <w:jc w:val="right"/>
              <w:rPr>
                <w:rFonts w:eastAsia="等线"/>
                <w:bCs/>
                <w:kern w:val="0"/>
                <w:sz w:val="18"/>
                <w:szCs w:val="18"/>
              </w:rPr>
            </w:pPr>
            <w:r>
              <w:rPr>
                <w:rFonts w:eastAsia="等线"/>
                <w:bCs/>
                <w:kern w:val="0"/>
                <w:sz w:val="18"/>
                <w:szCs w:val="18"/>
              </w:rPr>
              <w:t>2,531.23</w:t>
            </w:r>
          </w:p>
        </w:tc>
        <w:tc>
          <w:tcPr>
            <w:tcW w:w="936" w:type="dxa"/>
            <w:shd w:val="clear" w:color="auto" w:fill="FFFFFF"/>
            <w:vAlign w:val="center"/>
          </w:tcPr>
          <w:p w14:paraId="51B10427" w14:textId="77777777" w:rsidR="004B0883" w:rsidRDefault="004B0883">
            <w:pPr>
              <w:snapToGrid w:val="0"/>
              <w:jc w:val="right"/>
              <w:rPr>
                <w:rFonts w:eastAsia="等线"/>
                <w:bCs/>
                <w:kern w:val="0"/>
                <w:sz w:val="18"/>
                <w:szCs w:val="18"/>
              </w:rPr>
            </w:pPr>
            <w:r>
              <w:rPr>
                <w:rFonts w:eastAsia="等线"/>
                <w:bCs/>
                <w:kern w:val="0"/>
                <w:sz w:val="18"/>
                <w:szCs w:val="18"/>
              </w:rPr>
              <w:t>2,531.23</w:t>
            </w:r>
          </w:p>
        </w:tc>
      </w:tr>
      <w:tr w:rsidR="004B0883" w14:paraId="741E565D" w14:textId="77777777">
        <w:trPr>
          <w:trHeight w:val="397"/>
          <w:jc w:val="center"/>
        </w:trPr>
        <w:tc>
          <w:tcPr>
            <w:tcW w:w="426" w:type="dxa"/>
            <w:shd w:val="clear" w:color="auto" w:fill="FFFFFF"/>
            <w:tcMar>
              <w:top w:w="0" w:type="dxa"/>
              <w:left w:w="30" w:type="dxa"/>
              <w:bottom w:w="0" w:type="dxa"/>
              <w:right w:w="30" w:type="dxa"/>
            </w:tcMar>
            <w:vAlign w:val="center"/>
          </w:tcPr>
          <w:p w14:paraId="073C8C04" w14:textId="77777777" w:rsidR="004B0883" w:rsidRDefault="004B0883">
            <w:pPr>
              <w:snapToGrid w:val="0"/>
              <w:jc w:val="center"/>
              <w:rPr>
                <w:rFonts w:eastAsia="等线"/>
                <w:b/>
                <w:kern w:val="0"/>
                <w:sz w:val="18"/>
                <w:szCs w:val="18"/>
              </w:rPr>
            </w:pPr>
            <w:r>
              <w:rPr>
                <w:rFonts w:eastAsia="等线"/>
                <w:b/>
                <w:kern w:val="0"/>
                <w:sz w:val="18"/>
                <w:szCs w:val="18"/>
              </w:rPr>
              <w:t>5</w:t>
            </w:r>
          </w:p>
        </w:tc>
        <w:tc>
          <w:tcPr>
            <w:tcW w:w="1544" w:type="dxa"/>
            <w:shd w:val="clear" w:color="auto" w:fill="FFFFFF"/>
            <w:vAlign w:val="center"/>
          </w:tcPr>
          <w:p w14:paraId="38D41C1E" w14:textId="77777777" w:rsidR="004B0883" w:rsidRDefault="004B0883">
            <w:pPr>
              <w:snapToGrid w:val="0"/>
              <w:jc w:val="center"/>
              <w:rPr>
                <w:b/>
                <w:kern w:val="0"/>
                <w:sz w:val="18"/>
                <w:szCs w:val="24"/>
              </w:rPr>
            </w:pPr>
            <w:r>
              <w:rPr>
                <w:b/>
                <w:kern w:val="0"/>
                <w:sz w:val="18"/>
                <w:szCs w:val="24"/>
              </w:rPr>
              <w:t>经营成本</w:t>
            </w:r>
          </w:p>
        </w:tc>
        <w:tc>
          <w:tcPr>
            <w:tcW w:w="850" w:type="dxa"/>
            <w:shd w:val="clear" w:color="auto" w:fill="FFFFFF"/>
            <w:vAlign w:val="center"/>
          </w:tcPr>
          <w:p w14:paraId="3C477A40" w14:textId="77777777" w:rsidR="004B0883" w:rsidRDefault="004B0883">
            <w:pPr>
              <w:snapToGrid w:val="0"/>
              <w:jc w:val="right"/>
              <w:rPr>
                <w:rFonts w:eastAsia="等线"/>
                <w:b/>
                <w:kern w:val="0"/>
                <w:sz w:val="18"/>
                <w:szCs w:val="18"/>
              </w:rPr>
            </w:pPr>
          </w:p>
        </w:tc>
        <w:tc>
          <w:tcPr>
            <w:tcW w:w="865" w:type="dxa"/>
            <w:shd w:val="clear" w:color="auto" w:fill="FFFFFF"/>
            <w:vAlign w:val="center"/>
          </w:tcPr>
          <w:p w14:paraId="1D29AA71" w14:textId="77777777" w:rsidR="004B0883" w:rsidRDefault="004B0883">
            <w:pPr>
              <w:snapToGrid w:val="0"/>
              <w:jc w:val="right"/>
              <w:rPr>
                <w:rFonts w:eastAsia="等线"/>
                <w:b/>
                <w:kern w:val="0"/>
                <w:sz w:val="18"/>
                <w:szCs w:val="18"/>
              </w:rPr>
            </w:pPr>
            <w:r>
              <w:rPr>
                <w:rFonts w:eastAsia="等线"/>
                <w:b/>
                <w:kern w:val="0"/>
                <w:sz w:val="18"/>
                <w:szCs w:val="18"/>
              </w:rPr>
              <w:t>-</w:t>
            </w:r>
          </w:p>
        </w:tc>
        <w:tc>
          <w:tcPr>
            <w:tcW w:w="936" w:type="dxa"/>
            <w:shd w:val="clear" w:color="auto" w:fill="FFFFFF"/>
            <w:vAlign w:val="center"/>
          </w:tcPr>
          <w:p w14:paraId="627C6593" w14:textId="77777777" w:rsidR="004B0883" w:rsidRDefault="004B0883">
            <w:pPr>
              <w:snapToGrid w:val="0"/>
              <w:jc w:val="right"/>
              <w:rPr>
                <w:rFonts w:eastAsia="等线"/>
                <w:b/>
                <w:kern w:val="0"/>
                <w:sz w:val="18"/>
                <w:szCs w:val="18"/>
              </w:rPr>
            </w:pPr>
            <w:r>
              <w:rPr>
                <w:rFonts w:eastAsia="等线"/>
                <w:b/>
                <w:kern w:val="0"/>
                <w:sz w:val="18"/>
                <w:szCs w:val="18"/>
              </w:rPr>
              <w:t>8,490.50</w:t>
            </w:r>
          </w:p>
        </w:tc>
        <w:tc>
          <w:tcPr>
            <w:tcW w:w="936" w:type="dxa"/>
            <w:shd w:val="clear" w:color="auto" w:fill="FFFFFF"/>
            <w:vAlign w:val="center"/>
          </w:tcPr>
          <w:p w14:paraId="59519EE7" w14:textId="77777777" w:rsidR="004B0883" w:rsidRDefault="004B0883">
            <w:pPr>
              <w:snapToGrid w:val="0"/>
              <w:jc w:val="right"/>
              <w:rPr>
                <w:rFonts w:eastAsia="等线"/>
                <w:b/>
                <w:kern w:val="0"/>
                <w:sz w:val="18"/>
                <w:szCs w:val="18"/>
              </w:rPr>
            </w:pPr>
            <w:r>
              <w:rPr>
                <w:rFonts w:eastAsia="等线"/>
                <w:b/>
                <w:kern w:val="0"/>
                <w:sz w:val="18"/>
                <w:szCs w:val="18"/>
              </w:rPr>
              <w:t>14,147.96</w:t>
            </w:r>
          </w:p>
        </w:tc>
        <w:tc>
          <w:tcPr>
            <w:tcW w:w="936" w:type="dxa"/>
            <w:shd w:val="clear" w:color="auto" w:fill="FFFFFF"/>
            <w:vAlign w:val="center"/>
          </w:tcPr>
          <w:p w14:paraId="2B49F057" w14:textId="77777777" w:rsidR="004B0883" w:rsidRDefault="004B0883">
            <w:pPr>
              <w:snapToGrid w:val="0"/>
              <w:jc w:val="right"/>
              <w:rPr>
                <w:rFonts w:eastAsia="等线"/>
                <w:b/>
                <w:kern w:val="0"/>
                <w:sz w:val="18"/>
                <w:szCs w:val="18"/>
              </w:rPr>
            </w:pPr>
            <w:r>
              <w:rPr>
                <w:rFonts w:eastAsia="等线"/>
                <w:b/>
                <w:kern w:val="0"/>
                <w:sz w:val="18"/>
                <w:szCs w:val="18"/>
              </w:rPr>
              <w:t>20,106.06</w:t>
            </w:r>
          </w:p>
        </w:tc>
        <w:tc>
          <w:tcPr>
            <w:tcW w:w="936" w:type="dxa"/>
            <w:shd w:val="clear" w:color="auto" w:fill="FFFFFF"/>
            <w:vAlign w:val="center"/>
          </w:tcPr>
          <w:p w14:paraId="4E960D13" w14:textId="77777777" w:rsidR="004B0883" w:rsidRDefault="004B0883">
            <w:pPr>
              <w:snapToGrid w:val="0"/>
              <w:jc w:val="right"/>
              <w:rPr>
                <w:rFonts w:eastAsia="等线"/>
                <w:b/>
                <w:kern w:val="0"/>
                <w:sz w:val="18"/>
                <w:szCs w:val="18"/>
              </w:rPr>
            </w:pPr>
            <w:r>
              <w:rPr>
                <w:rFonts w:eastAsia="等线"/>
                <w:b/>
                <w:kern w:val="0"/>
                <w:sz w:val="18"/>
                <w:szCs w:val="18"/>
              </w:rPr>
              <w:t>29,530.50</w:t>
            </w:r>
          </w:p>
        </w:tc>
        <w:tc>
          <w:tcPr>
            <w:tcW w:w="936" w:type="dxa"/>
            <w:shd w:val="clear" w:color="auto" w:fill="FFFFFF"/>
            <w:vAlign w:val="center"/>
          </w:tcPr>
          <w:p w14:paraId="6D807913" w14:textId="77777777" w:rsidR="004B0883" w:rsidRDefault="004B0883">
            <w:pPr>
              <w:snapToGrid w:val="0"/>
              <w:jc w:val="right"/>
              <w:rPr>
                <w:rFonts w:eastAsia="等线"/>
                <w:b/>
                <w:kern w:val="0"/>
                <w:sz w:val="18"/>
                <w:szCs w:val="18"/>
              </w:rPr>
            </w:pPr>
            <w:r>
              <w:rPr>
                <w:rFonts w:eastAsia="等线"/>
                <w:b/>
                <w:kern w:val="0"/>
                <w:sz w:val="18"/>
                <w:szCs w:val="18"/>
              </w:rPr>
              <w:t>29,530.50</w:t>
            </w:r>
          </w:p>
        </w:tc>
        <w:tc>
          <w:tcPr>
            <w:tcW w:w="936" w:type="dxa"/>
            <w:shd w:val="clear" w:color="auto" w:fill="FFFFFF"/>
            <w:vAlign w:val="center"/>
          </w:tcPr>
          <w:p w14:paraId="74B1D2AC" w14:textId="77777777" w:rsidR="004B0883" w:rsidRDefault="004B0883">
            <w:pPr>
              <w:snapToGrid w:val="0"/>
              <w:jc w:val="right"/>
              <w:rPr>
                <w:rFonts w:eastAsia="等线"/>
                <w:b/>
                <w:kern w:val="0"/>
                <w:sz w:val="18"/>
                <w:szCs w:val="18"/>
              </w:rPr>
            </w:pPr>
            <w:r>
              <w:rPr>
                <w:rFonts w:eastAsia="等线"/>
                <w:b/>
                <w:kern w:val="0"/>
                <w:sz w:val="18"/>
                <w:szCs w:val="18"/>
              </w:rPr>
              <w:t>29,533.15</w:t>
            </w:r>
          </w:p>
        </w:tc>
        <w:tc>
          <w:tcPr>
            <w:tcW w:w="936" w:type="dxa"/>
            <w:shd w:val="clear" w:color="auto" w:fill="FFFFFF"/>
            <w:vAlign w:val="center"/>
          </w:tcPr>
          <w:p w14:paraId="64EC0B97" w14:textId="77777777" w:rsidR="004B0883" w:rsidRDefault="004B0883">
            <w:pPr>
              <w:snapToGrid w:val="0"/>
              <w:jc w:val="right"/>
              <w:rPr>
                <w:rFonts w:eastAsia="等线"/>
                <w:b/>
                <w:kern w:val="0"/>
                <w:sz w:val="18"/>
                <w:szCs w:val="18"/>
              </w:rPr>
            </w:pPr>
            <w:r>
              <w:rPr>
                <w:rFonts w:eastAsia="等线"/>
                <w:b/>
                <w:kern w:val="0"/>
                <w:sz w:val="18"/>
                <w:szCs w:val="18"/>
              </w:rPr>
              <w:t>29,535.80</w:t>
            </w:r>
          </w:p>
        </w:tc>
        <w:tc>
          <w:tcPr>
            <w:tcW w:w="936" w:type="dxa"/>
            <w:shd w:val="clear" w:color="auto" w:fill="FFFFFF"/>
            <w:vAlign w:val="center"/>
          </w:tcPr>
          <w:p w14:paraId="4E858A7A" w14:textId="77777777" w:rsidR="004B0883" w:rsidRDefault="004B0883">
            <w:pPr>
              <w:snapToGrid w:val="0"/>
              <w:jc w:val="right"/>
              <w:rPr>
                <w:rFonts w:eastAsia="等线"/>
                <w:b/>
                <w:kern w:val="0"/>
                <w:sz w:val="18"/>
                <w:szCs w:val="18"/>
              </w:rPr>
            </w:pPr>
            <w:r>
              <w:rPr>
                <w:rFonts w:eastAsia="等线"/>
                <w:b/>
                <w:kern w:val="0"/>
                <w:sz w:val="18"/>
                <w:szCs w:val="18"/>
              </w:rPr>
              <w:t>29,535.80</w:t>
            </w:r>
          </w:p>
        </w:tc>
      </w:tr>
      <w:tr w:rsidR="004B0883" w14:paraId="3757A0B6" w14:textId="77777777">
        <w:trPr>
          <w:trHeight w:val="397"/>
          <w:jc w:val="center"/>
        </w:trPr>
        <w:tc>
          <w:tcPr>
            <w:tcW w:w="426" w:type="dxa"/>
            <w:shd w:val="clear" w:color="auto" w:fill="FFFFFF"/>
            <w:tcMar>
              <w:top w:w="0" w:type="dxa"/>
              <w:left w:w="30" w:type="dxa"/>
              <w:bottom w:w="0" w:type="dxa"/>
              <w:right w:w="30" w:type="dxa"/>
            </w:tcMar>
            <w:vAlign w:val="center"/>
          </w:tcPr>
          <w:p w14:paraId="4AE42B24" w14:textId="77777777" w:rsidR="004B0883" w:rsidRDefault="004B0883">
            <w:pPr>
              <w:snapToGrid w:val="0"/>
              <w:jc w:val="center"/>
              <w:rPr>
                <w:rFonts w:eastAsia="等线"/>
                <w:bCs/>
                <w:kern w:val="0"/>
                <w:sz w:val="18"/>
                <w:szCs w:val="18"/>
              </w:rPr>
            </w:pPr>
            <w:r>
              <w:rPr>
                <w:rFonts w:eastAsia="等线"/>
                <w:bCs/>
                <w:kern w:val="0"/>
                <w:sz w:val="18"/>
                <w:szCs w:val="18"/>
              </w:rPr>
              <w:t>6</w:t>
            </w:r>
          </w:p>
        </w:tc>
        <w:tc>
          <w:tcPr>
            <w:tcW w:w="1544" w:type="dxa"/>
            <w:shd w:val="clear" w:color="auto" w:fill="FFFFFF"/>
            <w:vAlign w:val="center"/>
          </w:tcPr>
          <w:p w14:paraId="2E57D993" w14:textId="77777777" w:rsidR="004B0883" w:rsidRDefault="004B0883">
            <w:pPr>
              <w:snapToGrid w:val="0"/>
              <w:jc w:val="center"/>
              <w:rPr>
                <w:bCs/>
                <w:kern w:val="0"/>
                <w:sz w:val="18"/>
                <w:szCs w:val="24"/>
              </w:rPr>
            </w:pPr>
            <w:r>
              <w:rPr>
                <w:bCs/>
                <w:kern w:val="0"/>
                <w:sz w:val="18"/>
                <w:szCs w:val="24"/>
              </w:rPr>
              <w:t>折旧费</w:t>
            </w:r>
          </w:p>
        </w:tc>
        <w:tc>
          <w:tcPr>
            <w:tcW w:w="850" w:type="dxa"/>
            <w:shd w:val="clear" w:color="auto" w:fill="FFFFFF"/>
            <w:vAlign w:val="center"/>
          </w:tcPr>
          <w:p w14:paraId="7B42998A" w14:textId="77777777" w:rsidR="004B0883" w:rsidRDefault="004B0883">
            <w:pPr>
              <w:snapToGrid w:val="0"/>
              <w:jc w:val="right"/>
              <w:rPr>
                <w:rFonts w:eastAsia="等线"/>
                <w:bCs/>
                <w:kern w:val="0"/>
                <w:sz w:val="18"/>
                <w:szCs w:val="18"/>
              </w:rPr>
            </w:pPr>
            <w:r>
              <w:rPr>
                <w:rFonts w:eastAsia="等线" w:hint="eastAsia"/>
                <w:bCs/>
                <w:kern w:val="0"/>
                <w:sz w:val="18"/>
                <w:szCs w:val="18"/>
              </w:rPr>
              <w:t>-</w:t>
            </w:r>
          </w:p>
        </w:tc>
        <w:tc>
          <w:tcPr>
            <w:tcW w:w="865" w:type="dxa"/>
            <w:shd w:val="clear" w:color="auto" w:fill="FFFFFF"/>
            <w:vAlign w:val="center"/>
          </w:tcPr>
          <w:p w14:paraId="45094BBA"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36" w:type="dxa"/>
            <w:shd w:val="clear" w:color="auto" w:fill="FFFFFF"/>
            <w:vAlign w:val="center"/>
          </w:tcPr>
          <w:p w14:paraId="10AAFD82" w14:textId="77777777" w:rsidR="004B0883" w:rsidRDefault="004B0883">
            <w:pPr>
              <w:snapToGrid w:val="0"/>
              <w:jc w:val="right"/>
              <w:rPr>
                <w:rFonts w:eastAsia="等线"/>
                <w:bCs/>
                <w:kern w:val="0"/>
                <w:sz w:val="18"/>
                <w:szCs w:val="18"/>
              </w:rPr>
            </w:pPr>
            <w:r>
              <w:rPr>
                <w:rFonts w:eastAsia="等线"/>
                <w:bCs/>
                <w:kern w:val="0"/>
                <w:sz w:val="18"/>
                <w:szCs w:val="18"/>
              </w:rPr>
              <w:t>895.16</w:t>
            </w:r>
          </w:p>
        </w:tc>
        <w:tc>
          <w:tcPr>
            <w:tcW w:w="936" w:type="dxa"/>
            <w:shd w:val="clear" w:color="auto" w:fill="FFFFFF"/>
            <w:vAlign w:val="center"/>
          </w:tcPr>
          <w:p w14:paraId="0ACC1D07" w14:textId="77777777" w:rsidR="004B0883" w:rsidRDefault="004B0883">
            <w:pPr>
              <w:snapToGrid w:val="0"/>
              <w:jc w:val="right"/>
              <w:rPr>
                <w:rFonts w:eastAsia="等线"/>
                <w:bCs/>
                <w:kern w:val="0"/>
                <w:sz w:val="18"/>
                <w:szCs w:val="18"/>
              </w:rPr>
            </w:pPr>
            <w:r>
              <w:rPr>
                <w:rFonts w:eastAsia="等线"/>
                <w:bCs/>
                <w:kern w:val="0"/>
                <w:sz w:val="18"/>
                <w:szCs w:val="18"/>
              </w:rPr>
              <w:t>1,790.31</w:t>
            </w:r>
          </w:p>
        </w:tc>
        <w:tc>
          <w:tcPr>
            <w:tcW w:w="936" w:type="dxa"/>
            <w:shd w:val="clear" w:color="auto" w:fill="FFFFFF"/>
            <w:vAlign w:val="center"/>
          </w:tcPr>
          <w:p w14:paraId="53823CE1" w14:textId="77777777" w:rsidR="004B0883" w:rsidRDefault="004B0883">
            <w:pPr>
              <w:snapToGrid w:val="0"/>
              <w:jc w:val="right"/>
              <w:rPr>
                <w:rFonts w:eastAsia="等线"/>
                <w:bCs/>
                <w:kern w:val="0"/>
                <w:sz w:val="18"/>
                <w:szCs w:val="18"/>
              </w:rPr>
            </w:pPr>
            <w:r>
              <w:rPr>
                <w:rFonts w:eastAsia="等线"/>
                <w:bCs/>
                <w:kern w:val="0"/>
                <w:sz w:val="18"/>
                <w:szCs w:val="18"/>
              </w:rPr>
              <w:t>1,790.31</w:t>
            </w:r>
          </w:p>
        </w:tc>
        <w:tc>
          <w:tcPr>
            <w:tcW w:w="936" w:type="dxa"/>
            <w:shd w:val="clear" w:color="auto" w:fill="FFFFFF"/>
            <w:vAlign w:val="center"/>
          </w:tcPr>
          <w:p w14:paraId="46666B70" w14:textId="77777777" w:rsidR="004B0883" w:rsidRDefault="004B0883">
            <w:pPr>
              <w:snapToGrid w:val="0"/>
              <w:jc w:val="right"/>
              <w:rPr>
                <w:rFonts w:eastAsia="等线"/>
                <w:bCs/>
                <w:kern w:val="0"/>
                <w:sz w:val="18"/>
                <w:szCs w:val="18"/>
              </w:rPr>
            </w:pPr>
            <w:r>
              <w:rPr>
                <w:rFonts w:eastAsia="等线"/>
                <w:bCs/>
                <w:kern w:val="0"/>
                <w:sz w:val="18"/>
                <w:szCs w:val="18"/>
              </w:rPr>
              <w:t>1,790.31</w:t>
            </w:r>
          </w:p>
        </w:tc>
        <w:tc>
          <w:tcPr>
            <w:tcW w:w="936" w:type="dxa"/>
            <w:shd w:val="clear" w:color="auto" w:fill="FFFFFF"/>
            <w:vAlign w:val="center"/>
          </w:tcPr>
          <w:p w14:paraId="62349083" w14:textId="77777777" w:rsidR="004B0883" w:rsidRDefault="004B0883">
            <w:pPr>
              <w:snapToGrid w:val="0"/>
              <w:jc w:val="right"/>
              <w:rPr>
                <w:rFonts w:eastAsia="等线"/>
                <w:bCs/>
                <w:kern w:val="0"/>
                <w:sz w:val="18"/>
                <w:szCs w:val="18"/>
              </w:rPr>
            </w:pPr>
            <w:r>
              <w:rPr>
                <w:rFonts w:eastAsia="等线"/>
                <w:bCs/>
                <w:kern w:val="0"/>
                <w:sz w:val="18"/>
                <w:szCs w:val="18"/>
              </w:rPr>
              <w:t>1,790.31</w:t>
            </w:r>
          </w:p>
        </w:tc>
        <w:tc>
          <w:tcPr>
            <w:tcW w:w="936" w:type="dxa"/>
            <w:shd w:val="clear" w:color="auto" w:fill="FFFFFF"/>
            <w:vAlign w:val="center"/>
          </w:tcPr>
          <w:p w14:paraId="1598CFDA" w14:textId="77777777" w:rsidR="004B0883" w:rsidRDefault="004B0883">
            <w:pPr>
              <w:snapToGrid w:val="0"/>
              <w:jc w:val="right"/>
              <w:rPr>
                <w:rFonts w:eastAsia="等线"/>
                <w:bCs/>
                <w:kern w:val="0"/>
                <w:sz w:val="18"/>
                <w:szCs w:val="18"/>
              </w:rPr>
            </w:pPr>
            <w:r>
              <w:rPr>
                <w:rFonts w:eastAsia="等线"/>
                <w:bCs/>
                <w:kern w:val="0"/>
                <w:sz w:val="18"/>
                <w:szCs w:val="18"/>
              </w:rPr>
              <w:t>1,787.66</w:t>
            </w:r>
          </w:p>
        </w:tc>
        <w:tc>
          <w:tcPr>
            <w:tcW w:w="936" w:type="dxa"/>
            <w:shd w:val="clear" w:color="auto" w:fill="FFFFFF"/>
            <w:vAlign w:val="center"/>
          </w:tcPr>
          <w:p w14:paraId="226AA501" w14:textId="77777777" w:rsidR="004B0883" w:rsidRDefault="004B0883">
            <w:pPr>
              <w:snapToGrid w:val="0"/>
              <w:jc w:val="right"/>
              <w:rPr>
                <w:rFonts w:eastAsia="等线"/>
                <w:bCs/>
                <w:kern w:val="0"/>
                <w:sz w:val="18"/>
                <w:szCs w:val="18"/>
              </w:rPr>
            </w:pPr>
            <w:r>
              <w:rPr>
                <w:rFonts w:eastAsia="等线"/>
                <w:bCs/>
                <w:kern w:val="0"/>
                <w:sz w:val="18"/>
                <w:szCs w:val="18"/>
              </w:rPr>
              <w:t>1,785.01</w:t>
            </w:r>
          </w:p>
        </w:tc>
        <w:tc>
          <w:tcPr>
            <w:tcW w:w="936" w:type="dxa"/>
            <w:shd w:val="clear" w:color="auto" w:fill="FFFFFF"/>
            <w:vAlign w:val="center"/>
          </w:tcPr>
          <w:p w14:paraId="7048E3CA" w14:textId="77777777" w:rsidR="004B0883" w:rsidRDefault="004B0883">
            <w:pPr>
              <w:snapToGrid w:val="0"/>
              <w:jc w:val="right"/>
              <w:rPr>
                <w:rFonts w:eastAsia="等线"/>
                <w:bCs/>
                <w:kern w:val="0"/>
                <w:sz w:val="18"/>
                <w:szCs w:val="18"/>
              </w:rPr>
            </w:pPr>
            <w:r>
              <w:rPr>
                <w:rFonts w:eastAsia="等线"/>
                <w:bCs/>
                <w:kern w:val="0"/>
                <w:sz w:val="18"/>
                <w:szCs w:val="18"/>
              </w:rPr>
              <w:t>1,785.01</w:t>
            </w:r>
          </w:p>
        </w:tc>
      </w:tr>
      <w:tr w:rsidR="004B0883" w14:paraId="26D462BE" w14:textId="77777777">
        <w:trPr>
          <w:trHeight w:val="397"/>
          <w:jc w:val="center"/>
        </w:trPr>
        <w:tc>
          <w:tcPr>
            <w:tcW w:w="426" w:type="dxa"/>
            <w:shd w:val="clear" w:color="auto" w:fill="FFFFFF"/>
            <w:tcMar>
              <w:top w:w="0" w:type="dxa"/>
              <w:left w:w="30" w:type="dxa"/>
              <w:bottom w:w="0" w:type="dxa"/>
              <w:right w:w="30" w:type="dxa"/>
            </w:tcMar>
            <w:vAlign w:val="center"/>
          </w:tcPr>
          <w:p w14:paraId="37BD4859" w14:textId="77777777" w:rsidR="004B0883" w:rsidRDefault="004B0883">
            <w:pPr>
              <w:snapToGrid w:val="0"/>
              <w:jc w:val="center"/>
              <w:rPr>
                <w:rFonts w:eastAsia="等线"/>
                <w:bCs/>
                <w:kern w:val="0"/>
                <w:sz w:val="18"/>
                <w:szCs w:val="18"/>
              </w:rPr>
            </w:pPr>
            <w:r>
              <w:rPr>
                <w:rFonts w:eastAsia="等线"/>
                <w:bCs/>
                <w:kern w:val="0"/>
                <w:sz w:val="18"/>
                <w:szCs w:val="18"/>
              </w:rPr>
              <w:t>7</w:t>
            </w:r>
          </w:p>
        </w:tc>
        <w:tc>
          <w:tcPr>
            <w:tcW w:w="1544" w:type="dxa"/>
            <w:shd w:val="clear" w:color="auto" w:fill="FFFFFF"/>
            <w:vAlign w:val="center"/>
          </w:tcPr>
          <w:p w14:paraId="738D5D30" w14:textId="77777777" w:rsidR="004B0883" w:rsidRDefault="004B0883">
            <w:pPr>
              <w:snapToGrid w:val="0"/>
              <w:jc w:val="center"/>
              <w:rPr>
                <w:bCs/>
                <w:kern w:val="0"/>
                <w:sz w:val="18"/>
                <w:szCs w:val="24"/>
              </w:rPr>
            </w:pPr>
            <w:r>
              <w:rPr>
                <w:bCs/>
                <w:kern w:val="0"/>
                <w:sz w:val="18"/>
                <w:szCs w:val="24"/>
              </w:rPr>
              <w:t>摊销费</w:t>
            </w:r>
          </w:p>
        </w:tc>
        <w:tc>
          <w:tcPr>
            <w:tcW w:w="850" w:type="dxa"/>
            <w:shd w:val="clear" w:color="auto" w:fill="FFFFFF"/>
            <w:vAlign w:val="center"/>
          </w:tcPr>
          <w:p w14:paraId="113CF8FF" w14:textId="77777777" w:rsidR="004B0883" w:rsidRDefault="004B0883">
            <w:pPr>
              <w:snapToGrid w:val="0"/>
              <w:jc w:val="right"/>
              <w:rPr>
                <w:rFonts w:eastAsia="等线"/>
                <w:bCs/>
                <w:kern w:val="0"/>
                <w:sz w:val="18"/>
                <w:szCs w:val="18"/>
              </w:rPr>
            </w:pPr>
            <w:r>
              <w:rPr>
                <w:rFonts w:eastAsia="等线" w:hint="eastAsia"/>
                <w:bCs/>
                <w:kern w:val="0"/>
                <w:sz w:val="18"/>
                <w:szCs w:val="18"/>
              </w:rPr>
              <w:t>-</w:t>
            </w:r>
          </w:p>
        </w:tc>
        <w:tc>
          <w:tcPr>
            <w:tcW w:w="865" w:type="dxa"/>
            <w:shd w:val="clear" w:color="auto" w:fill="FFFFFF"/>
            <w:vAlign w:val="center"/>
          </w:tcPr>
          <w:p w14:paraId="6B28FA2B"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36" w:type="dxa"/>
            <w:shd w:val="clear" w:color="auto" w:fill="FFFFFF"/>
            <w:vAlign w:val="center"/>
          </w:tcPr>
          <w:p w14:paraId="1E1231EB" w14:textId="77777777" w:rsidR="004B0883" w:rsidRDefault="004B0883">
            <w:pPr>
              <w:snapToGrid w:val="0"/>
              <w:jc w:val="right"/>
              <w:rPr>
                <w:rFonts w:eastAsia="等线"/>
                <w:bCs/>
                <w:kern w:val="0"/>
                <w:sz w:val="18"/>
                <w:szCs w:val="18"/>
              </w:rPr>
            </w:pPr>
            <w:r>
              <w:rPr>
                <w:rFonts w:eastAsia="等线"/>
                <w:bCs/>
                <w:kern w:val="0"/>
                <w:sz w:val="18"/>
                <w:szCs w:val="18"/>
              </w:rPr>
              <w:t>46.99</w:t>
            </w:r>
          </w:p>
        </w:tc>
        <w:tc>
          <w:tcPr>
            <w:tcW w:w="936" w:type="dxa"/>
            <w:shd w:val="clear" w:color="auto" w:fill="FFFFFF"/>
            <w:vAlign w:val="center"/>
          </w:tcPr>
          <w:p w14:paraId="3B11C63C" w14:textId="77777777" w:rsidR="004B0883" w:rsidRDefault="004B0883">
            <w:pPr>
              <w:snapToGrid w:val="0"/>
              <w:jc w:val="right"/>
              <w:rPr>
                <w:rFonts w:eastAsia="等线"/>
                <w:bCs/>
                <w:kern w:val="0"/>
                <w:sz w:val="18"/>
                <w:szCs w:val="18"/>
              </w:rPr>
            </w:pPr>
            <w:r>
              <w:rPr>
                <w:rFonts w:eastAsia="等线"/>
                <w:bCs/>
                <w:kern w:val="0"/>
                <w:sz w:val="18"/>
                <w:szCs w:val="18"/>
              </w:rPr>
              <w:t>93.98</w:t>
            </w:r>
          </w:p>
        </w:tc>
        <w:tc>
          <w:tcPr>
            <w:tcW w:w="936" w:type="dxa"/>
            <w:shd w:val="clear" w:color="auto" w:fill="FFFFFF"/>
            <w:vAlign w:val="center"/>
          </w:tcPr>
          <w:p w14:paraId="33EEB8AD" w14:textId="77777777" w:rsidR="004B0883" w:rsidRDefault="004B0883">
            <w:pPr>
              <w:snapToGrid w:val="0"/>
              <w:jc w:val="right"/>
              <w:rPr>
                <w:rFonts w:eastAsia="等线"/>
                <w:bCs/>
                <w:kern w:val="0"/>
                <w:sz w:val="18"/>
                <w:szCs w:val="18"/>
              </w:rPr>
            </w:pPr>
            <w:r>
              <w:rPr>
                <w:rFonts w:eastAsia="等线"/>
                <w:bCs/>
                <w:kern w:val="0"/>
                <w:sz w:val="18"/>
                <w:szCs w:val="18"/>
              </w:rPr>
              <w:t>93.98</w:t>
            </w:r>
          </w:p>
        </w:tc>
        <w:tc>
          <w:tcPr>
            <w:tcW w:w="936" w:type="dxa"/>
            <w:shd w:val="clear" w:color="auto" w:fill="FFFFFF"/>
            <w:vAlign w:val="center"/>
          </w:tcPr>
          <w:p w14:paraId="682F8642" w14:textId="77777777" w:rsidR="004B0883" w:rsidRDefault="004B0883">
            <w:pPr>
              <w:snapToGrid w:val="0"/>
              <w:jc w:val="right"/>
              <w:rPr>
                <w:rFonts w:eastAsia="等线"/>
                <w:bCs/>
                <w:kern w:val="0"/>
                <w:sz w:val="18"/>
                <w:szCs w:val="18"/>
              </w:rPr>
            </w:pPr>
            <w:r>
              <w:rPr>
                <w:rFonts w:eastAsia="等线"/>
                <w:bCs/>
                <w:kern w:val="0"/>
                <w:sz w:val="18"/>
                <w:szCs w:val="18"/>
              </w:rPr>
              <w:t>93.98</w:t>
            </w:r>
          </w:p>
        </w:tc>
        <w:tc>
          <w:tcPr>
            <w:tcW w:w="936" w:type="dxa"/>
            <w:shd w:val="clear" w:color="auto" w:fill="FFFFFF"/>
            <w:vAlign w:val="center"/>
          </w:tcPr>
          <w:p w14:paraId="023E81C6" w14:textId="77777777" w:rsidR="004B0883" w:rsidRDefault="004B0883">
            <w:pPr>
              <w:snapToGrid w:val="0"/>
              <w:jc w:val="right"/>
              <w:rPr>
                <w:rFonts w:eastAsia="等线"/>
                <w:bCs/>
                <w:kern w:val="0"/>
                <w:sz w:val="18"/>
                <w:szCs w:val="18"/>
              </w:rPr>
            </w:pPr>
            <w:r>
              <w:rPr>
                <w:rFonts w:eastAsia="等线"/>
                <w:bCs/>
                <w:kern w:val="0"/>
                <w:sz w:val="18"/>
                <w:szCs w:val="18"/>
              </w:rPr>
              <w:t>93.98</w:t>
            </w:r>
          </w:p>
        </w:tc>
        <w:tc>
          <w:tcPr>
            <w:tcW w:w="936" w:type="dxa"/>
            <w:shd w:val="clear" w:color="auto" w:fill="FFFFFF"/>
            <w:vAlign w:val="center"/>
          </w:tcPr>
          <w:p w14:paraId="33053CB5" w14:textId="77777777" w:rsidR="004B0883" w:rsidRDefault="004B0883">
            <w:pPr>
              <w:snapToGrid w:val="0"/>
              <w:jc w:val="right"/>
              <w:rPr>
                <w:rFonts w:eastAsia="等线"/>
                <w:bCs/>
                <w:kern w:val="0"/>
                <w:sz w:val="18"/>
                <w:szCs w:val="18"/>
              </w:rPr>
            </w:pPr>
            <w:r>
              <w:rPr>
                <w:rFonts w:eastAsia="等线"/>
                <w:bCs/>
                <w:kern w:val="0"/>
                <w:sz w:val="18"/>
                <w:szCs w:val="18"/>
              </w:rPr>
              <w:t>93.98</w:t>
            </w:r>
          </w:p>
        </w:tc>
        <w:tc>
          <w:tcPr>
            <w:tcW w:w="936" w:type="dxa"/>
            <w:shd w:val="clear" w:color="auto" w:fill="FFFFFF"/>
            <w:vAlign w:val="center"/>
          </w:tcPr>
          <w:p w14:paraId="6AF6B2F0" w14:textId="77777777" w:rsidR="004B0883" w:rsidRDefault="004B0883">
            <w:pPr>
              <w:snapToGrid w:val="0"/>
              <w:jc w:val="right"/>
              <w:rPr>
                <w:rFonts w:eastAsia="等线"/>
                <w:bCs/>
                <w:kern w:val="0"/>
                <w:sz w:val="18"/>
                <w:szCs w:val="18"/>
              </w:rPr>
            </w:pPr>
            <w:r>
              <w:rPr>
                <w:rFonts w:eastAsia="等线"/>
                <w:bCs/>
                <w:kern w:val="0"/>
                <w:sz w:val="18"/>
                <w:szCs w:val="18"/>
              </w:rPr>
              <w:t>93.98</w:t>
            </w:r>
          </w:p>
        </w:tc>
        <w:tc>
          <w:tcPr>
            <w:tcW w:w="936" w:type="dxa"/>
            <w:shd w:val="clear" w:color="auto" w:fill="FFFFFF"/>
            <w:vAlign w:val="center"/>
          </w:tcPr>
          <w:p w14:paraId="153B8119" w14:textId="77777777" w:rsidR="004B0883" w:rsidRDefault="004B0883">
            <w:pPr>
              <w:snapToGrid w:val="0"/>
              <w:jc w:val="right"/>
              <w:rPr>
                <w:rFonts w:eastAsia="等线"/>
                <w:bCs/>
                <w:kern w:val="0"/>
                <w:sz w:val="18"/>
                <w:szCs w:val="18"/>
              </w:rPr>
            </w:pPr>
            <w:r>
              <w:rPr>
                <w:rFonts w:eastAsia="等线"/>
                <w:bCs/>
                <w:kern w:val="0"/>
                <w:sz w:val="18"/>
                <w:szCs w:val="18"/>
              </w:rPr>
              <w:t>93.98</w:t>
            </w:r>
          </w:p>
        </w:tc>
      </w:tr>
      <w:tr w:rsidR="004B0883" w14:paraId="73D5F54C" w14:textId="77777777">
        <w:trPr>
          <w:trHeight w:val="397"/>
          <w:jc w:val="center"/>
        </w:trPr>
        <w:tc>
          <w:tcPr>
            <w:tcW w:w="426" w:type="dxa"/>
            <w:shd w:val="clear" w:color="auto" w:fill="FFFFFF"/>
            <w:tcMar>
              <w:top w:w="0" w:type="dxa"/>
              <w:left w:w="30" w:type="dxa"/>
              <w:bottom w:w="0" w:type="dxa"/>
              <w:right w:w="30" w:type="dxa"/>
            </w:tcMar>
            <w:vAlign w:val="center"/>
          </w:tcPr>
          <w:p w14:paraId="3CDCD184" w14:textId="77777777" w:rsidR="004B0883" w:rsidRDefault="004B0883">
            <w:pPr>
              <w:snapToGrid w:val="0"/>
              <w:jc w:val="center"/>
              <w:rPr>
                <w:rFonts w:eastAsia="等线"/>
                <w:b/>
                <w:kern w:val="0"/>
                <w:sz w:val="18"/>
                <w:szCs w:val="18"/>
              </w:rPr>
            </w:pPr>
            <w:r>
              <w:rPr>
                <w:rFonts w:eastAsia="等线"/>
                <w:b/>
                <w:kern w:val="0"/>
                <w:sz w:val="18"/>
                <w:szCs w:val="18"/>
              </w:rPr>
              <w:t>8</w:t>
            </w:r>
          </w:p>
        </w:tc>
        <w:tc>
          <w:tcPr>
            <w:tcW w:w="1544" w:type="dxa"/>
            <w:shd w:val="clear" w:color="auto" w:fill="FFFFFF"/>
            <w:vAlign w:val="center"/>
          </w:tcPr>
          <w:p w14:paraId="7E5E7B28" w14:textId="77777777" w:rsidR="004B0883" w:rsidRDefault="004B0883">
            <w:pPr>
              <w:snapToGrid w:val="0"/>
              <w:jc w:val="center"/>
              <w:rPr>
                <w:b/>
                <w:kern w:val="0"/>
                <w:sz w:val="18"/>
                <w:szCs w:val="24"/>
              </w:rPr>
            </w:pPr>
            <w:r>
              <w:rPr>
                <w:b/>
                <w:kern w:val="0"/>
                <w:sz w:val="18"/>
                <w:szCs w:val="24"/>
              </w:rPr>
              <w:t>总成本费用合计</w:t>
            </w:r>
          </w:p>
        </w:tc>
        <w:tc>
          <w:tcPr>
            <w:tcW w:w="850" w:type="dxa"/>
            <w:shd w:val="clear" w:color="auto" w:fill="FFFFFF"/>
            <w:vAlign w:val="center"/>
          </w:tcPr>
          <w:p w14:paraId="09A7B54E" w14:textId="77777777" w:rsidR="004B0883" w:rsidRDefault="004B0883">
            <w:pPr>
              <w:snapToGrid w:val="0"/>
              <w:jc w:val="right"/>
              <w:rPr>
                <w:rFonts w:eastAsia="等线"/>
                <w:b/>
                <w:kern w:val="0"/>
                <w:sz w:val="18"/>
                <w:szCs w:val="18"/>
              </w:rPr>
            </w:pPr>
            <w:r>
              <w:rPr>
                <w:rFonts w:eastAsia="等线"/>
                <w:b/>
                <w:kern w:val="0"/>
                <w:sz w:val="18"/>
                <w:szCs w:val="18"/>
              </w:rPr>
              <w:t>-</w:t>
            </w:r>
          </w:p>
        </w:tc>
        <w:tc>
          <w:tcPr>
            <w:tcW w:w="865" w:type="dxa"/>
            <w:shd w:val="clear" w:color="auto" w:fill="FFFFFF"/>
            <w:vAlign w:val="center"/>
          </w:tcPr>
          <w:p w14:paraId="01E329E9" w14:textId="77777777" w:rsidR="004B0883" w:rsidRDefault="004B0883">
            <w:pPr>
              <w:snapToGrid w:val="0"/>
              <w:jc w:val="right"/>
              <w:rPr>
                <w:rFonts w:eastAsia="等线"/>
                <w:b/>
                <w:kern w:val="0"/>
                <w:sz w:val="18"/>
                <w:szCs w:val="18"/>
              </w:rPr>
            </w:pPr>
            <w:r>
              <w:rPr>
                <w:rFonts w:eastAsia="等线"/>
                <w:b/>
                <w:kern w:val="0"/>
                <w:sz w:val="18"/>
                <w:szCs w:val="18"/>
              </w:rPr>
              <w:t>-</w:t>
            </w:r>
          </w:p>
        </w:tc>
        <w:tc>
          <w:tcPr>
            <w:tcW w:w="936" w:type="dxa"/>
            <w:shd w:val="clear" w:color="auto" w:fill="FFFFFF"/>
            <w:vAlign w:val="center"/>
          </w:tcPr>
          <w:p w14:paraId="02CB8872" w14:textId="77777777" w:rsidR="004B0883" w:rsidRDefault="004B0883">
            <w:pPr>
              <w:snapToGrid w:val="0"/>
              <w:jc w:val="right"/>
              <w:rPr>
                <w:rFonts w:eastAsia="等线"/>
                <w:b/>
                <w:kern w:val="0"/>
                <w:sz w:val="18"/>
                <w:szCs w:val="18"/>
              </w:rPr>
            </w:pPr>
            <w:r>
              <w:rPr>
                <w:rFonts w:eastAsia="等线"/>
                <w:b/>
                <w:kern w:val="0"/>
                <w:sz w:val="18"/>
                <w:szCs w:val="18"/>
              </w:rPr>
              <w:t>9,432.64</w:t>
            </w:r>
          </w:p>
        </w:tc>
        <w:tc>
          <w:tcPr>
            <w:tcW w:w="936" w:type="dxa"/>
            <w:shd w:val="clear" w:color="auto" w:fill="FFFFFF"/>
            <w:vAlign w:val="center"/>
          </w:tcPr>
          <w:p w14:paraId="553E24C1" w14:textId="77777777" w:rsidR="004B0883" w:rsidRDefault="004B0883">
            <w:pPr>
              <w:snapToGrid w:val="0"/>
              <w:jc w:val="right"/>
              <w:rPr>
                <w:rFonts w:eastAsia="等线"/>
                <w:b/>
                <w:kern w:val="0"/>
                <w:sz w:val="18"/>
                <w:szCs w:val="18"/>
              </w:rPr>
            </w:pPr>
            <w:r>
              <w:rPr>
                <w:rFonts w:eastAsia="等线"/>
                <w:b/>
                <w:kern w:val="0"/>
                <w:sz w:val="18"/>
                <w:szCs w:val="18"/>
              </w:rPr>
              <w:t>16,032.26</w:t>
            </w:r>
          </w:p>
        </w:tc>
        <w:tc>
          <w:tcPr>
            <w:tcW w:w="936" w:type="dxa"/>
            <w:shd w:val="clear" w:color="auto" w:fill="FFFFFF"/>
            <w:vAlign w:val="center"/>
          </w:tcPr>
          <w:p w14:paraId="4C14D873" w14:textId="77777777" w:rsidR="004B0883" w:rsidRDefault="004B0883">
            <w:pPr>
              <w:snapToGrid w:val="0"/>
              <w:jc w:val="right"/>
              <w:rPr>
                <w:rFonts w:eastAsia="等线"/>
                <w:b/>
                <w:kern w:val="0"/>
                <w:sz w:val="18"/>
                <w:szCs w:val="18"/>
              </w:rPr>
            </w:pPr>
            <w:r>
              <w:rPr>
                <w:rFonts w:eastAsia="等线"/>
                <w:b/>
                <w:kern w:val="0"/>
                <w:sz w:val="18"/>
                <w:szCs w:val="18"/>
              </w:rPr>
              <w:t>21,990.36</w:t>
            </w:r>
          </w:p>
        </w:tc>
        <w:tc>
          <w:tcPr>
            <w:tcW w:w="936" w:type="dxa"/>
            <w:shd w:val="clear" w:color="auto" w:fill="FFFFFF"/>
            <w:vAlign w:val="center"/>
          </w:tcPr>
          <w:p w14:paraId="56C08BE4" w14:textId="77777777" w:rsidR="004B0883" w:rsidRDefault="004B0883">
            <w:pPr>
              <w:snapToGrid w:val="0"/>
              <w:jc w:val="right"/>
              <w:rPr>
                <w:rFonts w:eastAsia="等线"/>
                <w:b/>
                <w:kern w:val="0"/>
                <w:sz w:val="18"/>
                <w:szCs w:val="18"/>
              </w:rPr>
            </w:pPr>
            <w:r>
              <w:rPr>
                <w:rFonts w:eastAsia="等线"/>
                <w:b/>
                <w:kern w:val="0"/>
                <w:sz w:val="18"/>
                <w:szCs w:val="18"/>
              </w:rPr>
              <w:t>31,414.79</w:t>
            </w:r>
          </w:p>
        </w:tc>
        <w:tc>
          <w:tcPr>
            <w:tcW w:w="936" w:type="dxa"/>
            <w:shd w:val="clear" w:color="auto" w:fill="FFFFFF"/>
            <w:vAlign w:val="center"/>
          </w:tcPr>
          <w:p w14:paraId="33C39B0C" w14:textId="77777777" w:rsidR="004B0883" w:rsidRDefault="004B0883">
            <w:pPr>
              <w:snapToGrid w:val="0"/>
              <w:jc w:val="right"/>
              <w:rPr>
                <w:rFonts w:eastAsia="等线"/>
                <w:b/>
                <w:kern w:val="0"/>
                <w:sz w:val="18"/>
                <w:szCs w:val="18"/>
              </w:rPr>
            </w:pPr>
            <w:r>
              <w:rPr>
                <w:rFonts w:eastAsia="等线"/>
                <w:b/>
                <w:kern w:val="0"/>
                <w:sz w:val="18"/>
                <w:szCs w:val="18"/>
              </w:rPr>
              <w:t>31,414.79</w:t>
            </w:r>
          </w:p>
        </w:tc>
        <w:tc>
          <w:tcPr>
            <w:tcW w:w="936" w:type="dxa"/>
            <w:shd w:val="clear" w:color="auto" w:fill="FFFFFF"/>
            <w:vAlign w:val="center"/>
          </w:tcPr>
          <w:p w14:paraId="721FE071" w14:textId="77777777" w:rsidR="004B0883" w:rsidRDefault="004B0883">
            <w:pPr>
              <w:snapToGrid w:val="0"/>
              <w:jc w:val="right"/>
              <w:rPr>
                <w:rFonts w:eastAsia="等线"/>
                <w:b/>
                <w:kern w:val="0"/>
                <w:sz w:val="18"/>
                <w:szCs w:val="18"/>
              </w:rPr>
            </w:pPr>
            <w:r>
              <w:rPr>
                <w:rFonts w:eastAsia="等线"/>
                <w:b/>
                <w:kern w:val="0"/>
                <w:sz w:val="18"/>
                <w:szCs w:val="18"/>
              </w:rPr>
              <w:t>31,414.79</w:t>
            </w:r>
          </w:p>
        </w:tc>
        <w:tc>
          <w:tcPr>
            <w:tcW w:w="936" w:type="dxa"/>
            <w:shd w:val="clear" w:color="auto" w:fill="FFFFFF"/>
            <w:vAlign w:val="center"/>
          </w:tcPr>
          <w:p w14:paraId="4BF23B06" w14:textId="77777777" w:rsidR="004B0883" w:rsidRDefault="004B0883">
            <w:pPr>
              <w:snapToGrid w:val="0"/>
              <w:jc w:val="right"/>
              <w:rPr>
                <w:rFonts w:eastAsia="等线"/>
                <w:b/>
                <w:kern w:val="0"/>
                <w:sz w:val="18"/>
                <w:szCs w:val="18"/>
              </w:rPr>
            </w:pPr>
            <w:r>
              <w:rPr>
                <w:rFonts w:eastAsia="等线"/>
                <w:b/>
                <w:kern w:val="0"/>
                <w:sz w:val="18"/>
                <w:szCs w:val="18"/>
              </w:rPr>
              <w:t>31,414.79</w:t>
            </w:r>
          </w:p>
        </w:tc>
        <w:tc>
          <w:tcPr>
            <w:tcW w:w="936" w:type="dxa"/>
            <w:shd w:val="clear" w:color="auto" w:fill="FFFFFF"/>
            <w:vAlign w:val="center"/>
          </w:tcPr>
          <w:p w14:paraId="26CF2548" w14:textId="77777777" w:rsidR="004B0883" w:rsidRDefault="004B0883">
            <w:pPr>
              <w:snapToGrid w:val="0"/>
              <w:jc w:val="right"/>
              <w:rPr>
                <w:rFonts w:eastAsia="等线"/>
                <w:b/>
                <w:kern w:val="0"/>
                <w:sz w:val="18"/>
                <w:szCs w:val="18"/>
              </w:rPr>
            </w:pPr>
            <w:r>
              <w:rPr>
                <w:rFonts w:eastAsia="等线"/>
                <w:b/>
                <w:kern w:val="0"/>
                <w:sz w:val="18"/>
                <w:szCs w:val="18"/>
              </w:rPr>
              <w:t>31,414.79</w:t>
            </w:r>
          </w:p>
        </w:tc>
      </w:tr>
    </w:tbl>
    <w:p w14:paraId="72306303" w14:textId="77777777" w:rsidR="004B0883" w:rsidRDefault="004B0883">
      <w:pPr>
        <w:widowControl w:val="0"/>
        <w:spacing w:beforeLines="50" w:before="120" w:line="360" w:lineRule="auto"/>
        <w:ind w:firstLineChars="200" w:firstLine="480"/>
        <w:jc w:val="both"/>
        <w:rPr>
          <w:sz w:val="24"/>
          <w:szCs w:val="22"/>
        </w:rPr>
      </w:pPr>
      <w:r>
        <w:rPr>
          <w:rFonts w:ascii="宋体" w:hAnsi="宋体" w:hint="eastAsia"/>
          <w:sz w:val="24"/>
          <w:szCs w:val="22"/>
        </w:rPr>
        <w:t>①</w:t>
      </w:r>
      <w:r>
        <w:rPr>
          <w:rFonts w:hint="eastAsia"/>
          <w:sz w:val="24"/>
          <w:szCs w:val="22"/>
        </w:rPr>
        <w:t>直接</w:t>
      </w:r>
      <w:r>
        <w:rPr>
          <w:sz w:val="24"/>
          <w:szCs w:val="22"/>
        </w:rPr>
        <w:t>材料</w:t>
      </w:r>
    </w:p>
    <w:p w14:paraId="4553546A" w14:textId="77777777" w:rsidR="004B0883" w:rsidRDefault="004B0883">
      <w:pPr>
        <w:widowControl w:val="0"/>
        <w:spacing w:beforeLines="50" w:before="120" w:line="360" w:lineRule="auto"/>
        <w:ind w:firstLineChars="200" w:firstLine="480"/>
        <w:jc w:val="both"/>
        <w:rPr>
          <w:sz w:val="24"/>
          <w:szCs w:val="22"/>
        </w:rPr>
      </w:pPr>
      <w:r>
        <w:rPr>
          <w:sz w:val="24"/>
          <w:szCs w:val="22"/>
        </w:rPr>
        <w:t>直接材料费根据</w:t>
      </w:r>
      <w:r>
        <w:rPr>
          <w:rFonts w:hint="eastAsia"/>
          <w:sz w:val="24"/>
          <w:szCs w:val="22"/>
        </w:rPr>
        <w:t>公司历史直接材料费用占比，结合原材料价格情况、募投项目产品具体情况等因素综合测算。</w:t>
      </w:r>
    </w:p>
    <w:p w14:paraId="28DA36C2" w14:textId="77777777" w:rsidR="004B0883" w:rsidRDefault="004B0883">
      <w:pPr>
        <w:widowControl w:val="0"/>
        <w:spacing w:beforeLines="50" w:before="120" w:line="360" w:lineRule="auto"/>
        <w:ind w:firstLineChars="200" w:firstLine="480"/>
        <w:jc w:val="both"/>
        <w:rPr>
          <w:sz w:val="24"/>
          <w:szCs w:val="22"/>
        </w:rPr>
      </w:pPr>
      <w:r>
        <w:rPr>
          <w:rFonts w:ascii="宋体" w:hAnsi="宋体" w:cs="宋体" w:hint="eastAsia"/>
          <w:sz w:val="24"/>
          <w:szCs w:val="22"/>
        </w:rPr>
        <w:t>②</w:t>
      </w:r>
      <w:r>
        <w:rPr>
          <w:sz w:val="24"/>
          <w:szCs w:val="22"/>
        </w:rPr>
        <w:t>人工成本</w:t>
      </w:r>
    </w:p>
    <w:p w14:paraId="5673788E"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工资和福利费是成本费用中反应劳动者报酬的科目，是指企业为获得职工提供的服务而给予各种的形式的报酬及福利费，通常包括职工工资、奖金、津贴、补助及职工福利费</w:t>
      </w:r>
      <w:r>
        <w:rPr>
          <w:sz w:val="24"/>
          <w:szCs w:val="22"/>
        </w:rPr>
        <w:t>。</w:t>
      </w:r>
    </w:p>
    <w:p w14:paraId="26E4D5C0" w14:textId="77777777" w:rsidR="004B0883" w:rsidRDefault="004B0883">
      <w:pPr>
        <w:widowControl w:val="0"/>
        <w:spacing w:beforeLines="50" w:before="120" w:line="360" w:lineRule="auto"/>
        <w:ind w:firstLineChars="200" w:firstLine="480"/>
        <w:jc w:val="both"/>
        <w:rPr>
          <w:sz w:val="24"/>
          <w:szCs w:val="22"/>
        </w:rPr>
      </w:pPr>
      <w:r>
        <w:rPr>
          <w:rFonts w:ascii="宋体" w:hAnsi="宋体" w:cs="宋体" w:hint="eastAsia"/>
          <w:sz w:val="24"/>
          <w:szCs w:val="22"/>
        </w:rPr>
        <w:t>③</w:t>
      </w:r>
      <w:r>
        <w:rPr>
          <w:sz w:val="24"/>
          <w:szCs w:val="22"/>
        </w:rPr>
        <w:t>折旧与摊销</w:t>
      </w:r>
    </w:p>
    <w:p w14:paraId="33E8EB63"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项目的实施，将使公司固定资产生产设备投资大幅增加。按照公司财务制度，固定资产按年限平均法直线折旧：房屋建筑物按</w:t>
      </w:r>
      <w:r>
        <w:rPr>
          <w:rFonts w:hint="eastAsia"/>
          <w:sz w:val="24"/>
          <w:szCs w:val="22"/>
        </w:rPr>
        <w:t>20</w:t>
      </w:r>
      <w:r>
        <w:rPr>
          <w:rFonts w:hint="eastAsia"/>
          <w:sz w:val="24"/>
          <w:szCs w:val="22"/>
        </w:rPr>
        <w:t>年计算，残值率为</w:t>
      </w:r>
      <w:r>
        <w:rPr>
          <w:rFonts w:hint="eastAsia"/>
          <w:sz w:val="24"/>
          <w:szCs w:val="22"/>
        </w:rPr>
        <w:t>5%</w:t>
      </w:r>
      <w:r>
        <w:rPr>
          <w:rFonts w:hint="eastAsia"/>
          <w:sz w:val="24"/>
          <w:szCs w:val="22"/>
        </w:rPr>
        <w:t>；生产设备按</w:t>
      </w:r>
      <w:r>
        <w:rPr>
          <w:rFonts w:hint="eastAsia"/>
          <w:sz w:val="24"/>
          <w:szCs w:val="22"/>
        </w:rPr>
        <w:t>10</w:t>
      </w:r>
      <w:r>
        <w:rPr>
          <w:rFonts w:hint="eastAsia"/>
          <w:sz w:val="24"/>
          <w:szCs w:val="22"/>
        </w:rPr>
        <w:t>年计算，残值率为</w:t>
      </w:r>
      <w:r>
        <w:rPr>
          <w:rFonts w:hint="eastAsia"/>
          <w:sz w:val="24"/>
          <w:szCs w:val="22"/>
        </w:rPr>
        <w:t>5%</w:t>
      </w:r>
      <w:r>
        <w:rPr>
          <w:rFonts w:hint="eastAsia"/>
          <w:sz w:val="24"/>
          <w:szCs w:val="22"/>
        </w:rPr>
        <w:t>；办公设备按</w:t>
      </w:r>
      <w:r>
        <w:rPr>
          <w:rFonts w:hint="eastAsia"/>
          <w:sz w:val="24"/>
          <w:szCs w:val="22"/>
        </w:rPr>
        <w:t>5</w:t>
      </w:r>
      <w:r>
        <w:rPr>
          <w:rFonts w:hint="eastAsia"/>
          <w:sz w:val="24"/>
          <w:szCs w:val="22"/>
        </w:rPr>
        <w:t>年计算，残值率为</w:t>
      </w:r>
      <w:r>
        <w:rPr>
          <w:rFonts w:hint="eastAsia"/>
          <w:sz w:val="24"/>
          <w:szCs w:val="22"/>
        </w:rPr>
        <w:t>5%</w:t>
      </w:r>
      <w:r>
        <w:rPr>
          <w:rFonts w:hint="eastAsia"/>
          <w:sz w:val="24"/>
          <w:szCs w:val="22"/>
        </w:rPr>
        <w:t>。无形资产（软件）按</w:t>
      </w:r>
      <w:r>
        <w:rPr>
          <w:rFonts w:hint="eastAsia"/>
          <w:sz w:val="24"/>
          <w:szCs w:val="22"/>
        </w:rPr>
        <w:t>10</w:t>
      </w:r>
      <w:r>
        <w:rPr>
          <w:rFonts w:hint="eastAsia"/>
          <w:sz w:val="24"/>
          <w:szCs w:val="22"/>
        </w:rPr>
        <w:t>年摊销。</w:t>
      </w:r>
    </w:p>
    <w:p w14:paraId="099AF721" w14:textId="77777777" w:rsidR="004B0883" w:rsidRDefault="004B0883">
      <w:pPr>
        <w:widowControl w:val="0"/>
        <w:spacing w:beforeLines="50" w:before="120" w:line="360" w:lineRule="auto"/>
        <w:ind w:firstLineChars="200" w:firstLine="480"/>
        <w:jc w:val="both"/>
        <w:rPr>
          <w:sz w:val="24"/>
          <w:szCs w:val="22"/>
        </w:rPr>
      </w:pPr>
      <w:r>
        <w:rPr>
          <w:rFonts w:ascii="宋体" w:hAnsi="宋体" w:cs="宋体" w:hint="eastAsia"/>
          <w:sz w:val="24"/>
          <w:szCs w:val="22"/>
        </w:rPr>
        <w:t>④</w:t>
      </w:r>
      <w:r>
        <w:rPr>
          <w:sz w:val="24"/>
          <w:szCs w:val="22"/>
        </w:rPr>
        <w:t>项目的费用测算</w:t>
      </w:r>
    </w:p>
    <w:p w14:paraId="19076F61" w14:textId="77777777" w:rsidR="004B0883" w:rsidRDefault="004B0883">
      <w:pPr>
        <w:widowControl w:val="0"/>
        <w:spacing w:beforeLines="50" w:before="120" w:line="360" w:lineRule="auto"/>
        <w:ind w:firstLineChars="200" w:firstLine="480"/>
        <w:jc w:val="both"/>
        <w:rPr>
          <w:sz w:val="24"/>
          <w:szCs w:val="22"/>
        </w:rPr>
      </w:pPr>
      <w:r>
        <w:rPr>
          <w:sz w:val="24"/>
          <w:szCs w:val="22"/>
        </w:rPr>
        <w:t>本</w:t>
      </w:r>
      <w:r>
        <w:rPr>
          <w:rFonts w:hint="eastAsia"/>
          <w:sz w:val="24"/>
          <w:szCs w:val="22"/>
        </w:rPr>
        <w:t>项目销售增值税按</w:t>
      </w:r>
      <w:r>
        <w:rPr>
          <w:rFonts w:hint="eastAsia"/>
          <w:sz w:val="24"/>
          <w:szCs w:val="22"/>
        </w:rPr>
        <w:t>13%</w:t>
      </w:r>
      <w:r>
        <w:rPr>
          <w:rFonts w:hint="eastAsia"/>
          <w:sz w:val="24"/>
          <w:szCs w:val="22"/>
        </w:rPr>
        <w:t>计提；城市维护建设税、教育费附加税、地方教育附加分别按照增值税的</w:t>
      </w:r>
      <w:r>
        <w:rPr>
          <w:rFonts w:hint="eastAsia"/>
          <w:sz w:val="24"/>
          <w:szCs w:val="22"/>
        </w:rPr>
        <w:t>7%</w:t>
      </w:r>
      <w:r>
        <w:rPr>
          <w:rFonts w:hint="eastAsia"/>
          <w:sz w:val="24"/>
          <w:szCs w:val="22"/>
        </w:rPr>
        <w:t>、</w:t>
      </w:r>
      <w:r>
        <w:rPr>
          <w:rFonts w:hint="eastAsia"/>
          <w:sz w:val="24"/>
          <w:szCs w:val="22"/>
        </w:rPr>
        <w:t>3%</w:t>
      </w:r>
      <w:r>
        <w:rPr>
          <w:rFonts w:hint="eastAsia"/>
          <w:sz w:val="24"/>
          <w:szCs w:val="22"/>
        </w:rPr>
        <w:t>、</w:t>
      </w:r>
      <w:r>
        <w:rPr>
          <w:rFonts w:hint="eastAsia"/>
          <w:sz w:val="24"/>
          <w:szCs w:val="22"/>
        </w:rPr>
        <w:t>2%</w:t>
      </w:r>
      <w:r>
        <w:rPr>
          <w:rFonts w:hint="eastAsia"/>
          <w:sz w:val="24"/>
          <w:szCs w:val="22"/>
        </w:rPr>
        <w:t>进行计提。印花税按相关规定计提，并与企业一致。本项目期间费用主要包括管理费用、销售费用、研发费用。本项目管理费用、销售费用、研发费用参考发行人历史管理费用、销售费用、研发费用率等，并结合项目实际情况进行预估测算</w:t>
      </w:r>
      <w:r>
        <w:rPr>
          <w:sz w:val="24"/>
          <w:szCs w:val="22"/>
        </w:rPr>
        <w:t>。</w:t>
      </w:r>
    </w:p>
    <w:p w14:paraId="4D488D2A" w14:textId="77777777" w:rsidR="004B0883" w:rsidRDefault="004B0883">
      <w:pPr>
        <w:keepNext/>
        <w:keepLines/>
        <w:widowControl w:val="0"/>
        <w:spacing w:beforeLines="50" w:before="120" w:line="360" w:lineRule="auto"/>
        <w:ind w:firstLineChars="200" w:firstLine="480"/>
        <w:jc w:val="both"/>
        <w:outlineLvl w:val="4"/>
        <w:rPr>
          <w:sz w:val="24"/>
          <w:szCs w:val="22"/>
        </w:rPr>
      </w:pPr>
      <w:r>
        <w:rPr>
          <w:rFonts w:hint="eastAsia"/>
          <w:sz w:val="24"/>
          <w:szCs w:val="22"/>
        </w:rPr>
        <w:t>（</w:t>
      </w:r>
      <w:r>
        <w:rPr>
          <w:rFonts w:hint="eastAsia"/>
          <w:sz w:val="24"/>
          <w:szCs w:val="22"/>
        </w:rPr>
        <w:t>3</w:t>
      </w:r>
      <w:r>
        <w:rPr>
          <w:rFonts w:hint="eastAsia"/>
          <w:sz w:val="24"/>
          <w:szCs w:val="22"/>
        </w:rPr>
        <w:t>）项目利润率和内部收益率测算</w:t>
      </w:r>
    </w:p>
    <w:p w14:paraId="735C758C" w14:textId="77777777" w:rsidR="004B0883" w:rsidRDefault="004B0883">
      <w:pPr>
        <w:keepNext/>
        <w:widowControl w:val="0"/>
        <w:jc w:val="right"/>
        <w:rPr>
          <w:rFonts w:hint="eastAsia"/>
          <w:color w:val="000000"/>
        </w:rPr>
      </w:pPr>
      <w:r>
        <w:rPr>
          <w:color w:val="000000"/>
        </w:rPr>
        <w:t>单位：万元</w:t>
      </w:r>
    </w:p>
    <w:tbl>
      <w:tblPr>
        <w:tblW w:w="675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ook w:val="0000" w:firstRow="0" w:lastRow="0" w:firstColumn="0" w:lastColumn="0" w:noHBand="0" w:noVBand="0"/>
      </w:tblPr>
      <w:tblGrid>
        <w:gridCol w:w="421"/>
        <w:gridCol w:w="1502"/>
        <w:gridCol w:w="836"/>
        <w:gridCol w:w="851"/>
        <w:gridCol w:w="946"/>
        <w:gridCol w:w="946"/>
        <w:gridCol w:w="946"/>
        <w:gridCol w:w="946"/>
        <w:gridCol w:w="946"/>
        <w:gridCol w:w="946"/>
        <w:gridCol w:w="946"/>
        <w:gridCol w:w="946"/>
      </w:tblGrid>
      <w:tr w:rsidR="004B0883" w14:paraId="20915B5C" w14:textId="77777777">
        <w:trPr>
          <w:trHeight w:val="397"/>
          <w:tblHeader/>
          <w:jc w:val="center"/>
        </w:trPr>
        <w:tc>
          <w:tcPr>
            <w:tcW w:w="11300" w:type="dxa"/>
            <w:gridSpan w:val="12"/>
            <w:shd w:val="clear" w:color="auto" w:fill="D9D9D9"/>
            <w:tcMar>
              <w:top w:w="0" w:type="dxa"/>
              <w:left w:w="30" w:type="dxa"/>
              <w:bottom w:w="0" w:type="dxa"/>
              <w:right w:w="30" w:type="dxa"/>
            </w:tcMar>
            <w:vAlign w:val="center"/>
          </w:tcPr>
          <w:p w14:paraId="3D166E46" w14:textId="77777777" w:rsidR="004B0883" w:rsidRDefault="004B0883">
            <w:pPr>
              <w:keepNext/>
              <w:widowControl w:val="0"/>
              <w:jc w:val="center"/>
              <w:rPr>
                <w:b/>
                <w:bCs/>
                <w:color w:val="333333"/>
                <w:sz w:val="18"/>
                <w:szCs w:val="18"/>
              </w:rPr>
            </w:pPr>
            <w:r>
              <w:rPr>
                <w:rFonts w:hint="eastAsia"/>
                <w:b/>
                <w:bCs/>
                <w:color w:val="333333"/>
                <w:sz w:val="18"/>
                <w:szCs w:val="18"/>
              </w:rPr>
              <w:t>项目毛利率、利润率、净利率</w:t>
            </w:r>
          </w:p>
        </w:tc>
      </w:tr>
      <w:tr w:rsidR="004B0883" w14:paraId="6D9E4C4B" w14:textId="77777777">
        <w:trPr>
          <w:trHeight w:val="397"/>
          <w:tblHeader/>
          <w:jc w:val="center"/>
        </w:trPr>
        <w:tc>
          <w:tcPr>
            <w:tcW w:w="430" w:type="dxa"/>
            <w:vMerge w:val="restart"/>
            <w:shd w:val="clear" w:color="auto" w:fill="D9D9D9"/>
            <w:tcMar>
              <w:top w:w="0" w:type="dxa"/>
              <w:left w:w="30" w:type="dxa"/>
              <w:bottom w:w="0" w:type="dxa"/>
              <w:right w:w="30" w:type="dxa"/>
            </w:tcMar>
            <w:vAlign w:val="center"/>
          </w:tcPr>
          <w:p w14:paraId="036A896E" w14:textId="77777777" w:rsidR="004B0883" w:rsidRDefault="004B0883">
            <w:pPr>
              <w:keepNext/>
              <w:widowControl w:val="0"/>
              <w:jc w:val="center"/>
              <w:rPr>
                <w:b/>
                <w:bCs/>
                <w:color w:val="333333"/>
              </w:rPr>
            </w:pPr>
            <w:r>
              <w:rPr>
                <w:rFonts w:hint="eastAsia"/>
                <w:b/>
                <w:bCs/>
                <w:color w:val="333333"/>
                <w:sz w:val="18"/>
                <w:szCs w:val="18"/>
              </w:rPr>
              <w:t>序号</w:t>
            </w:r>
          </w:p>
        </w:tc>
        <w:tc>
          <w:tcPr>
            <w:tcW w:w="1561" w:type="dxa"/>
            <w:vMerge w:val="restart"/>
            <w:shd w:val="clear" w:color="auto" w:fill="D9D9D9"/>
            <w:vAlign w:val="center"/>
          </w:tcPr>
          <w:p w14:paraId="2926EC7F" w14:textId="77777777" w:rsidR="004B0883" w:rsidRDefault="004B0883">
            <w:pPr>
              <w:keepNext/>
              <w:widowControl w:val="0"/>
              <w:jc w:val="center"/>
              <w:rPr>
                <w:b/>
                <w:bCs/>
                <w:color w:val="333333"/>
                <w:sz w:val="18"/>
                <w:szCs w:val="18"/>
              </w:rPr>
            </w:pPr>
            <w:r>
              <w:rPr>
                <w:rFonts w:hint="eastAsia"/>
                <w:b/>
                <w:bCs/>
                <w:color w:val="333333"/>
                <w:sz w:val="18"/>
                <w:szCs w:val="18"/>
              </w:rPr>
              <w:t>项目</w:t>
            </w:r>
          </w:p>
        </w:tc>
        <w:tc>
          <w:tcPr>
            <w:tcW w:w="4574" w:type="dxa"/>
            <w:gridSpan w:val="5"/>
            <w:shd w:val="clear" w:color="auto" w:fill="D9D9D9"/>
            <w:vAlign w:val="center"/>
          </w:tcPr>
          <w:p w14:paraId="554B8C11" w14:textId="77777777" w:rsidR="004B0883" w:rsidRDefault="004B0883">
            <w:pPr>
              <w:keepNext/>
              <w:widowControl w:val="0"/>
              <w:jc w:val="center"/>
              <w:rPr>
                <w:b/>
                <w:bCs/>
                <w:color w:val="333333"/>
                <w:sz w:val="18"/>
                <w:szCs w:val="18"/>
              </w:rPr>
            </w:pPr>
            <w:r>
              <w:rPr>
                <w:rFonts w:hint="eastAsia"/>
                <w:b/>
                <w:bCs/>
                <w:color w:val="333333"/>
                <w:sz w:val="18"/>
                <w:szCs w:val="18"/>
              </w:rPr>
              <w:t>建设期</w:t>
            </w:r>
          </w:p>
        </w:tc>
        <w:tc>
          <w:tcPr>
            <w:tcW w:w="4735" w:type="dxa"/>
            <w:gridSpan w:val="5"/>
            <w:shd w:val="clear" w:color="auto" w:fill="D9D9D9"/>
            <w:vAlign w:val="center"/>
          </w:tcPr>
          <w:p w14:paraId="4E495067" w14:textId="77777777" w:rsidR="004B0883" w:rsidRDefault="004B0883">
            <w:pPr>
              <w:keepNext/>
              <w:widowControl w:val="0"/>
              <w:jc w:val="center"/>
              <w:rPr>
                <w:b/>
                <w:bCs/>
                <w:color w:val="333333"/>
                <w:sz w:val="18"/>
                <w:szCs w:val="18"/>
              </w:rPr>
            </w:pPr>
            <w:r>
              <w:rPr>
                <w:rFonts w:hint="eastAsia"/>
                <w:b/>
                <w:bCs/>
                <w:color w:val="333333"/>
                <w:sz w:val="18"/>
                <w:szCs w:val="18"/>
              </w:rPr>
              <w:t>运营期</w:t>
            </w:r>
          </w:p>
        </w:tc>
      </w:tr>
      <w:tr w:rsidR="004B0883" w14:paraId="337F6DEB" w14:textId="77777777">
        <w:trPr>
          <w:trHeight w:val="397"/>
          <w:tblHeader/>
          <w:jc w:val="center"/>
        </w:trPr>
        <w:tc>
          <w:tcPr>
            <w:tcW w:w="430" w:type="dxa"/>
            <w:vMerge/>
            <w:shd w:val="clear" w:color="auto" w:fill="D9D9D9"/>
            <w:tcMar>
              <w:top w:w="0" w:type="dxa"/>
              <w:left w:w="30" w:type="dxa"/>
              <w:bottom w:w="0" w:type="dxa"/>
              <w:right w:w="30" w:type="dxa"/>
            </w:tcMar>
            <w:vAlign w:val="center"/>
          </w:tcPr>
          <w:p w14:paraId="6CE1C105" w14:textId="77777777" w:rsidR="004B0883" w:rsidRDefault="004B0883">
            <w:pPr>
              <w:widowControl w:val="0"/>
              <w:jc w:val="center"/>
              <w:rPr>
                <w:b/>
                <w:bCs/>
                <w:color w:val="333333"/>
              </w:rPr>
            </w:pPr>
          </w:p>
        </w:tc>
        <w:tc>
          <w:tcPr>
            <w:tcW w:w="1561" w:type="dxa"/>
            <w:vMerge/>
            <w:shd w:val="clear" w:color="auto" w:fill="D9D9D9"/>
            <w:vAlign w:val="center"/>
          </w:tcPr>
          <w:p w14:paraId="2BB6CCB0" w14:textId="77777777" w:rsidR="004B0883" w:rsidRDefault="004B0883">
            <w:pPr>
              <w:widowControl w:val="0"/>
              <w:jc w:val="center"/>
              <w:rPr>
                <w:b/>
                <w:bCs/>
                <w:color w:val="333333"/>
                <w:sz w:val="18"/>
                <w:szCs w:val="18"/>
              </w:rPr>
            </w:pPr>
          </w:p>
        </w:tc>
        <w:tc>
          <w:tcPr>
            <w:tcW w:w="859" w:type="dxa"/>
            <w:shd w:val="clear" w:color="auto" w:fill="D9D9D9"/>
            <w:vAlign w:val="center"/>
          </w:tcPr>
          <w:p w14:paraId="1ED736C2" w14:textId="77777777" w:rsidR="004B0883" w:rsidRDefault="004B0883">
            <w:pPr>
              <w:widowControl w:val="0"/>
              <w:jc w:val="center"/>
              <w:rPr>
                <w:b/>
                <w:bCs/>
                <w:color w:val="333333"/>
                <w:sz w:val="18"/>
                <w:szCs w:val="18"/>
              </w:rPr>
            </w:pPr>
            <w:r>
              <w:rPr>
                <w:rFonts w:hint="eastAsia"/>
                <w:b/>
                <w:bCs/>
                <w:color w:val="333333"/>
                <w:sz w:val="18"/>
                <w:szCs w:val="18"/>
              </w:rPr>
              <w:t>第</w:t>
            </w:r>
            <w:r>
              <w:rPr>
                <w:b/>
                <w:bCs/>
                <w:color w:val="333333"/>
                <w:sz w:val="18"/>
                <w:szCs w:val="18"/>
              </w:rPr>
              <w:t>1</w:t>
            </w:r>
            <w:r>
              <w:rPr>
                <w:b/>
                <w:bCs/>
                <w:color w:val="333333"/>
                <w:sz w:val="18"/>
                <w:szCs w:val="18"/>
              </w:rPr>
              <w:t>年</w:t>
            </w:r>
          </w:p>
        </w:tc>
        <w:tc>
          <w:tcPr>
            <w:tcW w:w="874" w:type="dxa"/>
            <w:shd w:val="clear" w:color="auto" w:fill="D9D9D9"/>
            <w:vAlign w:val="center"/>
          </w:tcPr>
          <w:p w14:paraId="415C7A82"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2</w:t>
            </w:r>
            <w:r>
              <w:rPr>
                <w:b/>
                <w:bCs/>
                <w:color w:val="333333"/>
                <w:sz w:val="18"/>
                <w:szCs w:val="18"/>
              </w:rPr>
              <w:t>年</w:t>
            </w:r>
          </w:p>
        </w:tc>
        <w:tc>
          <w:tcPr>
            <w:tcW w:w="947" w:type="dxa"/>
            <w:shd w:val="clear" w:color="auto" w:fill="D9D9D9"/>
            <w:vAlign w:val="center"/>
          </w:tcPr>
          <w:p w14:paraId="13D49263"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3</w:t>
            </w:r>
            <w:r>
              <w:rPr>
                <w:b/>
                <w:bCs/>
                <w:color w:val="333333"/>
                <w:sz w:val="18"/>
                <w:szCs w:val="18"/>
              </w:rPr>
              <w:t>年</w:t>
            </w:r>
          </w:p>
        </w:tc>
        <w:tc>
          <w:tcPr>
            <w:tcW w:w="947" w:type="dxa"/>
            <w:shd w:val="clear" w:color="auto" w:fill="D9D9D9"/>
            <w:vAlign w:val="center"/>
          </w:tcPr>
          <w:p w14:paraId="5D00AC8A"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4</w:t>
            </w:r>
            <w:r>
              <w:rPr>
                <w:b/>
                <w:bCs/>
                <w:color w:val="333333"/>
                <w:sz w:val="18"/>
                <w:szCs w:val="18"/>
              </w:rPr>
              <w:t>年</w:t>
            </w:r>
          </w:p>
        </w:tc>
        <w:tc>
          <w:tcPr>
            <w:tcW w:w="947" w:type="dxa"/>
            <w:shd w:val="clear" w:color="auto" w:fill="D9D9D9"/>
            <w:vAlign w:val="center"/>
          </w:tcPr>
          <w:p w14:paraId="7DE81C65"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5</w:t>
            </w:r>
            <w:r>
              <w:rPr>
                <w:b/>
                <w:bCs/>
                <w:color w:val="333333"/>
                <w:sz w:val="18"/>
                <w:szCs w:val="18"/>
              </w:rPr>
              <w:t>年</w:t>
            </w:r>
          </w:p>
        </w:tc>
        <w:tc>
          <w:tcPr>
            <w:tcW w:w="947" w:type="dxa"/>
            <w:shd w:val="clear" w:color="auto" w:fill="D9D9D9"/>
            <w:vAlign w:val="center"/>
          </w:tcPr>
          <w:p w14:paraId="4C964EF8"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6</w:t>
            </w:r>
            <w:r>
              <w:rPr>
                <w:b/>
                <w:bCs/>
                <w:color w:val="333333"/>
                <w:sz w:val="18"/>
                <w:szCs w:val="18"/>
              </w:rPr>
              <w:t>年</w:t>
            </w:r>
          </w:p>
        </w:tc>
        <w:tc>
          <w:tcPr>
            <w:tcW w:w="947" w:type="dxa"/>
            <w:shd w:val="clear" w:color="auto" w:fill="D9D9D9"/>
            <w:vAlign w:val="center"/>
          </w:tcPr>
          <w:p w14:paraId="3D6058BC"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7</w:t>
            </w:r>
            <w:r>
              <w:rPr>
                <w:b/>
                <w:bCs/>
                <w:color w:val="333333"/>
                <w:sz w:val="18"/>
                <w:szCs w:val="18"/>
              </w:rPr>
              <w:t>年</w:t>
            </w:r>
          </w:p>
        </w:tc>
        <w:tc>
          <w:tcPr>
            <w:tcW w:w="947" w:type="dxa"/>
            <w:shd w:val="clear" w:color="auto" w:fill="D9D9D9"/>
            <w:vAlign w:val="center"/>
          </w:tcPr>
          <w:p w14:paraId="3438F991"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8</w:t>
            </w:r>
            <w:r>
              <w:rPr>
                <w:b/>
                <w:bCs/>
                <w:color w:val="333333"/>
                <w:sz w:val="18"/>
                <w:szCs w:val="18"/>
              </w:rPr>
              <w:t>年</w:t>
            </w:r>
          </w:p>
        </w:tc>
        <w:tc>
          <w:tcPr>
            <w:tcW w:w="947" w:type="dxa"/>
            <w:shd w:val="clear" w:color="auto" w:fill="D9D9D9"/>
            <w:vAlign w:val="center"/>
          </w:tcPr>
          <w:p w14:paraId="08CAFE47"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9</w:t>
            </w:r>
            <w:r>
              <w:rPr>
                <w:b/>
                <w:bCs/>
                <w:color w:val="333333"/>
                <w:sz w:val="18"/>
                <w:szCs w:val="18"/>
              </w:rPr>
              <w:t>年</w:t>
            </w:r>
          </w:p>
        </w:tc>
        <w:tc>
          <w:tcPr>
            <w:tcW w:w="947" w:type="dxa"/>
            <w:shd w:val="clear" w:color="auto" w:fill="D9D9D9"/>
            <w:vAlign w:val="center"/>
          </w:tcPr>
          <w:p w14:paraId="6E89B205" w14:textId="77777777" w:rsidR="004B0883" w:rsidRDefault="004B0883">
            <w:pPr>
              <w:widowControl w:val="0"/>
              <w:jc w:val="center"/>
              <w:rPr>
                <w:b/>
                <w:bCs/>
                <w:color w:val="333333"/>
                <w:sz w:val="18"/>
                <w:szCs w:val="18"/>
              </w:rPr>
            </w:pPr>
            <w:r>
              <w:rPr>
                <w:b/>
                <w:bCs/>
                <w:color w:val="333333"/>
                <w:sz w:val="18"/>
                <w:szCs w:val="18"/>
              </w:rPr>
              <w:t>第</w:t>
            </w:r>
            <w:r>
              <w:rPr>
                <w:b/>
                <w:bCs/>
                <w:color w:val="333333"/>
                <w:sz w:val="18"/>
                <w:szCs w:val="18"/>
              </w:rPr>
              <w:t>10</w:t>
            </w:r>
            <w:r>
              <w:rPr>
                <w:b/>
                <w:bCs/>
                <w:color w:val="333333"/>
                <w:sz w:val="18"/>
                <w:szCs w:val="18"/>
              </w:rPr>
              <w:t>年</w:t>
            </w:r>
          </w:p>
        </w:tc>
      </w:tr>
      <w:tr w:rsidR="004B0883" w14:paraId="625A576B" w14:textId="77777777">
        <w:trPr>
          <w:trHeight w:val="397"/>
          <w:jc w:val="center"/>
        </w:trPr>
        <w:tc>
          <w:tcPr>
            <w:tcW w:w="430" w:type="dxa"/>
            <w:shd w:val="clear" w:color="auto" w:fill="FFFFFF"/>
            <w:tcMar>
              <w:top w:w="0" w:type="dxa"/>
              <w:left w:w="30" w:type="dxa"/>
              <w:bottom w:w="0" w:type="dxa"/>
              <w:right w:w="30" w:type="dxa"/>
            </w:tcMar>
            <w:vAlign w:val="center"/>
          </w:tcPr>
          <w:p w14:paraId="3AA88CD7" w14:textId="77777777" w:rsidR="004B0883" w:rsidRDefault="004B0883">
            <w:pPr>
              <w:snapToGrid w:val="0"/>
              <w:jc w:val="center"/>
              <w:rPr>
                <w:rFonts w:eastAsia="等线"/>
                <w:bCs/>
                <w:kern w:val="0"/>
                <w:sz w:val="18"/>
                <w:szCs w:val="18"/>
              </w:rPr>
            </w:pPr>
            <w:r>
              <w:rPr>
                <w:rFonts w:eastAsia="等线"/>
                <w:bCs/>
                <w:kern w:val="0"/>
                <w:sz w:val="18"/>
                <w:szCs w:val="18"/>
              </w:rPr>
              <w:t>1</w:t>
            </w:r>
          </w:p>
        </w:tc>
        <w:tc>
          <w:tcPr>
            <w:tcW w:w="1561" w:type="dxa"/>
            <w:shd w:val="clear" w:color="auto" w:fill="FFFFFF"/>
            <w:vAlign w:val="center"/>
          </w:tcPr>
          <w:p w14:paraId="6F2FDDFB" w14:textId="77777777" w:rsidR="004B0883" w:rsidRDefault="004B0883">
            <w:pPr>
              <w:snapToGrid w:val="0"/>
              <w:jc w:val="center"/>
              <w:rPr>
                <w:bCs/>
                <w:kern w:val="0"/>
                <w:sz w:val="18"/>
                <w:szCs w:val="24"/>
              </w:rPr>
            </w:pPr>
            <w:r>
              <w:rPr>
                <w:bCs/>
                <w:kern w:val="0"/>
                <w:sz w:val="18"/>
                <w:szCs w:val="24"/>
              </w:rPr>
              <w:t>收入</w:t>
            </w:r>
          </w:p>
        </w:tc>
        <w:tc>
          <w:tcPr>
            <w:tcW w:w="859" w:type="dxa"/>
            <w:shd w:val="clear" w:color="auto" w:fill="FFFFFF"/>
            <w:vAlign w:val="center"/>
          </w:tcPr>
          <w:p w14:paraId="1A63EA23"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874" w:type="dxa"/>
            <w:shd w:val="clear" w:color="auto" w:fill="FFFFFF"/>
            <w:vAlign w:val="center"/>
          </w:tcPr>
          <w:p w14:paraId="0619EF40"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47" w:type="dxa"/>
            <w:shd w:val="clear" w:color="auto" w:fill="FFFFFF"/>
            <w:vAlign w:val="center"/>
          </w:tcPr>
          <w:p w14:paraId="2BFC1602" w14:textId="77777777" w:rsidR="004B0883" w:rsidRDefault="004B0883">
            <w:pPr>
              <w:snapToGrid w:val="0"/>
              <w:jc w:val="right"/>
              <w:rPr>
                <w:rFonts w:eastAsia="等线"/>
                <w:bCs/>
                <w:kern w:val="0"/>
                <w:sz w:val="18"/>
                <w:szCs w:val="18"/>
              </w:rPr>
            </w:pPr>
            <w:r>
              <w:rPr>
                <w:rFonts w:eastAsia="等线"/>
                <w:bCs/>
                <w:kern w:val="0"/>
                <w:sz w:val="18"/>
                <w:szCs w:val="18"/>
              </w:rPr>
              <w:t>12,120.00</w:t>
            </w:r>
          </w:p>
        </w:tc>
        <w:tc>
          <w:tcPr>
            <w:tcW w:w="947" w:type="dxa"/>
            <w:shd w:val="clear" w:color="auto" w:fill="FFFFFF"/>
            <w:vAlign w:val="center"/>
          </w:tcPr>
          <w:p w14:paraId="00E52791" w14:textId="77777777" w:rsidR="004B0883" w:rsidRDefault="004B0883">
            <w:pPr>
              <w:snapToGrid w:val="0"/>
              <w:jc w:val="right"/>
              <w:rPr>
                <w:rFonts w:eastAsia="等线"/>
                <w:bCs/>
                <w:kern w:val="0"/>
                <w:sz w:val="18"/>
                <w:szCs w:val="18"/>
              </w:rPr>
            </w:pPr>
            <w:r>
              <w:rPr>
                <w:rFonts w:eastAsia="等线"/>
                <w:bCs/>
                <w:kern w:val="0"/>
                <w:sz w:val="18"/>
                <w:szCs w:val="18"/>
              </w:rPr>
              <w:t>20,200.00</w:t>
            </w:r>
          </w:p>
        </w:tc>
        <w:tc>
          <w:tcPr>
            <w:tcW w:w="947" w:type="dxa"/>
            <w:shd w:val="clear" w:color="auto" w:fill="FFFFFF"/>
            <w:vAlign w:val="center"/>
          </w:tcPr>
          <w:p w14:paraId="722B9B2C" w14:textId="77777777" w:rsidR="004B0883" w:rsidRDefault="004B0883">
            <w:pPr>
              <w:snapToGrid w:val="0"/>
              <w:jc w:val="right"/>
              <w:rPr>
                <w:rFonts w:eastAsia="等线"/>
                <w:bCs/>
                <w:kern w:val="0"/>
                <w:sz w:val="18"/>
                <w:szCs w:val="18"/>
              </w:rPr>
            </w:pPr>
            <w:r>
              <w:rPr>
                <w:rFonts w:eastAsia="等线"/>
                <w:bCs/>
                <w:kern w:val="0"/>
                <w:sz w:val="18"/>
                <w:szCs w:val="18"/>
              </w:rPr>
              <w:t>28,280.00</w:t>
            </w:r>
          </w:p>
        </w:tc>
        <w:tc>
          <w:tcPr>
            <w:tcW w:w="947" w:type="dxa"/>
            <w:shd w:val="clear" w:color="auto" w:fill="FFFFFF"/>
            <w:vAlign w:val="center"/>
          </w:tcPr>
          <w:p w14:paraId="0DECDB5A" w14:textId="77777777" w:rsidR="004B0883" w:rsidRDefault="004B0883">
            <w:pPr>
              <w:snapToGrid w:val="0"/>
              <w:jc w:val="right"/>
              <w:rPr>
                <w:rFonts w:eastAsia="等线"/>
                <w:bCs/>
                <w:kern w:val="0"/>
                <w:sz w:val="18"/>
                <w:szCs w:val="18"/>
              </w:rPr>
            </w:pPr>
            <w:r>
              <w:rPr>
                <w:rFonts w:eastAsia="等线"/>
                <w:bCs/>
                <w:kern w:val="0"/>
                <w:sz w:val="18"/>
                <w:szCs w:val="18"/>
              </w:rPr>
              <w:t>40,400.00</w:t>
            </w:r>
          </w:p>
        </w:tc>
        <w:tc>
          <w:tcPr>
            <w:tcW w:w="947" w:type="dxa"/>
            <w:shd w:val="clear" w:color="auto" w:fill="FFFFFF"/>
            <w:vAlign w:val="center"/>
          </w:tcPr>
          <w:p w14:paraId="52A7CE28" w14:textId="77777777" w:rsidR="004B0883" w:rsidRDefault="004B0883">
            <w:pPr>
              <w:snapToGrid w:val="0"/>
              <w:jc w:val="right"/>
              <w:rPr>
                <w:rFonts w:eastAsia="等线"/>
                <w:bCs/>
                <w:kern w:val="0"/>
                <w:sz w:val="18"/>
                <w:szCs w:val="18"/>
              </w:rPr>
            </w:pPr>
            <w:r>
              <w:rPr>
                <w:rFonts w:eastAsia="等线"/>
                <w:bCs/>
                <w:kern w:val="0"/>
                <w:sz w:val="18"/>
                <w:szCs w:val="18"/>
              </w:rPr>
              <w:t>40,400.00</w:t>
            </w:r>
          </w:p>
        </w:tc>
        <w:tc>
          <w:tcPr>
            <w:tcW w:w="947" w:type="dxa"/>
            <w:shd w:val="clear" w:color="auto" w:fill="FFFFFF"/>
            <w:vAlign w:val="center"/>
          </w:tcPr>
          <w:p w14:paraId="0A9CB2CB" w14:textId="77777777" w:rsidR="004B0883" w:rsidRDefault="004B0883">
            <w:pPr>
              <w:snapToGrid w:val="0"/>
              <w:jc w:val="right"/>
              <w:rPr>
                <w:rFonts w:eastAsia="等线"/>
                <w:bCs/>
                <w:kern w:val="0"/>
                <w:sz w:val="18"/>
                <w:szCs w:val="18"/>
              </w:rPr>
            </w:pPr>
            <w:r>
              <w:rPr>
                <w:rFonts w:eastAsia="等线"/>
                <w:bCs/>
                <w:kern w:val="0"/>
                <w:sz w:val="18"/>
                <w:szCs w:val="18"/>
              </w:rPr>
              <w:t>40,400.00</w:t>
            </w:r>
          </w:p>
        </w:tc>
        <w:tc>
          <w:tcPr>
            <w:tcW w:w="947" w:type="dxa"/>
            <w:shd w:val="clear" w:color="auto" w:fill="FFFFFF"/>
            <w:vAlign w:val="center"/>
          </w:tcPr>
          <w:p w14:paraId="3883DC8E" w14:textId="77777777" w:rsidR="004B0883" w:rsidRDefault="004B0883">
            <w:pPr>
              <w:snapToGrid w:val="0"/>
              <w:jc w:val="right"/>
              <w:rPr>
                <w:rFonts w:eastAsia="等线"/>
                <w:bCs/>
                <w:kern w:val="0"/>
                <w:sz w:val="18"/>
                <w:szCs w:val="18"/>
              </w:rPr>
            </w:pPr>
            <w:r>
              <w:rPr>
                <w:rFonts w:eastAsia="等线"/>
                <w:bCs/>
                <w:kern w:val="0"/>
                <w:sz w:val="18"/>
                <w:szCs w:val="18"/>
              </w:rPr>
              <w:t>40,400.00</w:t>
            </w:r>
          </w:p>
        </w:tc>
        <w:tc>
          <w:tcPr>
            <w:tcW w:w="947" w:type="dxa"/>
            <w:shd w:val="clear" w:color="auto" w:fill="FFFFFF"/>
            <w:vAlign w:val="center"/>
          </w:tcPr>
          <w:p w14:paraId="35B10004" w14:textId="77777777" w:rsidR="004B0883" w:rsidRDefault="004B0883">
            <w:pPr>
              <w:snapToGrid w:val="0"/>
              <w:jc w:val="right"/>
              <w:rPr>
                <w:rFonts w:eastAsia="等线"/>
                <w:bCs/>
                <w:kern w:val="0"/>
                <w:sz w:val="18"/>
                <w:szCs w:val="18"/>
              </w:rPr>
            </w:pPr>
            <w:r>
              <w:rPr>
                <w:rFonts w:eastAsia="等线"/>
                <w:bCs/>
                <w:kern w:val="0"/>
                <w:sz w:val="18"/>
                <w:szCs w:val="18"/>
              </w:rPr>
              <w:t>40,400.00</w:t>
            </w:r>
          </w:p>
        </w:tc>
      </w:tr>
      <w:tr w:rsidR="004B0883" w14:paraId="5C791328" w14:textId="77777777">
        <w:trPr>
          <w:trHeight w:val="397"/>
          <w:jc w:val="center"/>
        </w:trPr>
        <w:tc>
          <w:tcPr>
            <w:tcW w:w="430" w:type="dxa"/>
            <w:shd w:val="clear" w:color="auto" w:fill="FFFFFF"/>
            <w:tcMar>
              <w:top w:w="0" w:type="dxa"/>
              <w:left w:w="30" w:type="dxa"/>
              <w:bottom w:w="0" w:type="dxa"/>
              <w:right w:w="30" w:type="dxa"/>
            </w:tcMar>
            <w:vAlign w:val="center"/>
          </w:tcPr>
          <w:p w14:paraId="3ED88607" w14:textId="77777777" w:rsidR="004B0883" w:rsidRDefault="004B0883">
            <w:pPr>
              <w:snapToGrid w:val="0"/>
              <w:jc w:val="center"/>
              <w:rPr>
                <w:rFonts w:eastAsia="等线"/>
                <w:bCs/>
                <w:kern w:val="0"/>
                <w:sz w:val="18"/>
                <w:szCs w:val="18"/>
              </w:rPr>
            </w:pPr>
            <w:r>
              <w:rPr>
                <w:rFonts w:eastAsia="等线"/>
                <w:bCs/>
                <w:kern w:val="0"/>
                <w:sz w:val="18"/>
                <w:szCs w:val="18"/>
              </w:rPr>
              <w:t>2</w:t>
            </w:r>
          </w:p>
        </w:tc>
        <w:tc>
          <w:tcPr>
            <w:tcW w:w="1561" w:type="dxa"/>
            <w:shd w:val="clear" w:color="auto" w:fill="FFFFFF"/>
            <w:vAlign w:val="center"/>
          </w:tcPr>
          <w:p w14:paraId="139A9270" w14:textId="77777777" w:rsidR="004B0883" w:rsidRDefault="004B0883">
            <w:pPr>
              <w:snapToGrid w:val="0"/>
              <w:jc w:val="center"/>
              <w:rPr>
                <w:bCs/>
                <w:kern w:val="0"/>
                <w:sz w:val="18"/>
                <w:szCs w:val="24"/>
              </w:rPr>
            </w:pPr>
            <w:r>
              <w:rPr>
                <w:bCs/>
                <w:kern w:val="0"/>
                <w:sz w:val="18"/>
                <w:szCs w:val="24"/>
              </w:rPr>
              <w:t>成本</w:t>
            </w:r>
          </w:p>
        </w:tc>
        <w:tc>
          <w:tcPr>
            <w:tcW w:w="859" w:type="dxa"/>
            <w:shd w:val="clear" w:color="auto" w:fill="FFFFFF"/>
            <w:vAlign w:val="center"/>
          </w:tcPr>
          <w:p w14:paraId="2BF088A3"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874" w:type="dxa"/>
            <w:shd w:val="clear" w:color="auto" w:fill="FFFFFF"/>
            <w:vAlign w:val="center"/>
          </w:tcPr>
          <w:p w14:paraId="45B6A6A9"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47" w:type="dxa"/>
            <w:shd w:val="clear" w:color="auto" w:fill="FFFFFF"/>
            <w:vAlign w:val="center"/>
          </w:tcPr>
          <w:p w14:paraId="0B248C3F" w14:textId="77777777" w:rsidR="004B0883" w:rsidRDefault="004B0883">
            <w:pPr>
              <w:snapToGrid w:val="0"/>
              <w:jc w:val="right"/>
              <w:rPr>
                <w:rFonts w:eastAsia="等线"/>
                <w:bCs/>
                <w:kern w:val="0"/>
                <w:sz w:val="18"/>
                <w:szCs w:val="18"/>
              </w:rPr>
            </w:pPr>
            <w:r>
              <w:rPr>
                <w:rFonts w:eastAsia="等线"/>
                <w:bCs/>
                <w:kern w:val="0"/>
                <w:sz w:val="18"/>
                <w:szCs w:val="18"/>
              </w:rPr>
              <w:t>7,664.08</w:t>
            </w:r>
          </w:p>
        </w:tc>
        <w:tc>
          <w:tcPr>
            <w:tcW w:w="947" w:type="dxa"/>
            <w:shd w:val="clear" w:color="auto" w:fill="FFFFFF"/>
            <w:vAlign w:val="center"/>
          </w:tcPr>
          <w:p w14:paraId="1425011D" w14:textId="77777777" w:rsidR="004B0883" w:rsidRDefault="004B0883">
            <w:pPr>
              <w:snapToGrid w:val="0"/>
              <w:jc w:val="right"/>
              <w:rPr>
                <w:rFonts w:eastAsia="等线"/>
                <w:bCs/>
                <w:kern w:val="0"/>
                <w:sz w:val="18"/>
                <w:szCs w:val="18"/>
              </w:rPr>
            </w:pPr>
            <w:r>
              <w:rPr>
                <w:rFonts w:eastAsia="等线"/>
                <w:bCs/>
                <w:kern w:val="0"/>
                <w:sz w:val="18"/>
                <w:szCs w:val="18"/>
              </w:rPr>
              <w:t>13,084.66</w:t>
            </w:r>
          </w:p>
        </w:tc>
        <w:tc>
          <w:tcPr>
            <w:tcW w:w="947" w:type="dxa"/>
            <w:shd w:val="clear" w:color="auto" w:fill="FFFFFF"/>
            <w:vAlign w:val="center"/>
          </w:tcPr>
          <w:p w14:paraId="6AA88029" w14:textId="77777777" w:rsidR="004B0883" w:rsidRDefault="004B0883">
            <w:pPr>
              <w:snapToGrid w:val="0"/>
              <w:jc w:val="right"/>
              <w:rPr>
                <w:rFonts w:eastAsia="等线"/>
                <w:bCs/>
                <w:kern w:val="0"/>
                <w:sz w:val="18"/>
                <w:szCs w:val="18"/>
              </w:rPr>
            </w:pPr>
            <w:r>
              <w:rPr>
                <w:rFonts w:eastAsia="等线"/>
                <w:bCs/>
                <w:kern w:val="0"/>
                <w:sz w:val="18"/>
                <w:szCs w:val="18"/>
              </w:rPr>
              <w:t>17,863.72</w:t>
            </w:r>
          </w:p>
        </w:tc>
        <w:tc>
          <w:tcPr>
            <w:tcW w:w="947" w:type="dxa"/>
            <w:shd w:val="clear" w:color="auto" w:fill="FFFFFF"/>
            <w:vAlign w:val="center"/>
          </w:tcPr>
          <w:p w14:paraId="5D49A1CC" w14:textId="77777777" w:rsidR="004B0883" w:rsidRDefault="004B0883">
            <w:pPr>
              <w:snapToGrid w:val="0"/>
              <w:jc w:val="right"/>
              <w:rPr>
                <w:rFonts w:eastAsia="等线"/>
                <w:bCs/>
                <w:kern w:val="0"/>
                <w:sz w:val="18"/>
                <w:szCs w:val="18"/>
              </w:rPr>
            </w:pPr>
            <w:r>
              <w:rPr>
                <w:rFonts w:eastAsia="等线"/>
                <w:bCs/>
                <w:kern w:val="0"/>
                <w:sz w:val="18"/>
                <w:szCs w:val="18"/>
              </w:rPr>
              <w:t>25,519.59</w:t>
            </w:r>
          </w:p>
        </w:tc>
        <w:tc>
          <w:tcPr>
            <w:tcW w:w="947" w:type="dxa"/>
            <w:shd w:val="clear" w:color="auto" w:fill="FFFFFF"/>
            <w:vAlign w:val="center"/>
          </w:tcPr>
          <w:p w14:paraId="6CD10771" w14:textId="77777777" w:rsidR="004B0883" w:rsidRDefault="004B0883">
            <w:pPr>
              <w:snapToGrid w:val="0"/>
              <w:jc w:val="right"/>
              <w:rPr>
                <w:rFonts w:eastAsia="等线"/>
                <w:bCs/>
                <w:kern w:val="0"/>
                <w:sz w:val="18"/>
                <w:szCs w:val="18"/>
              </w:rPr>
            </w:pPr>
            <w:r>
              <w:rPr>
                <w:rFonts w:eastAsia="等线"/>
                <w:bCs/>
                <w:kern w:val="0"/>
                <w:sz w:val="18"/>
                <w:szCs w:val="18"/>
              </w:rPr>
              <w:t>25,519.59</w:t>
            </w:r>
          </w:p>
        </w:tc>
        <w:tc>
          <w:tcPr>
            <w:tcW w:w="947" w:type="dxa"/>
            <w:shd w:val="clear" w:color="auto" w:fill="FFFFFF"/>
            <w:vAlign w:val="center"/>
          </w:tcPr>
          <w:p w14:paraId="2A176F51" w14:textId="77777777" w:rsidR="004B0883" w:rsidRDefault="004B0883">
            <w:pPr>
              <w:snapToGrid w:val="0"/>
              <w:jc w:val="right"/>
              <w:rPr>
                <w:rFonts w:eastAsia="等线"/>
                <w:bCs/>
                <w:kern w:val="0"/>
                <w:sz w:val="18"/>
                <w:szCs w:val="18"/>
              </w:rPr>
            </w:pPr>
            <w:r>
              <w:rPr>
                <w:rFonts w:eastAsia="等线"/>
                <w:bCs/>
                <w:kern w:val="0"/>
                <w:sz w:val="18"/>
                <w:szCs w:val="18"/>
              </w:rPr>
              <w:t>25,519.59</w:t>
            </w:r>
          </w:p>
        </w:tc>
        <w:tc>
          <w:tcPr>
            <w:tcW w:w="947" w:type="dxa"/>
            <w:shd w:val="clear" w:color="auto" w:fill="FFFFFF"/>
            <w:vAlign w:val="center"/>
          </w:tcPr>
          <w:p w14:paraId="6016343D" w14:textId="77777777" w:rsidR="004B0883" w:rsidRDefault="004B0883">
            <w:pPr>
              <w:snapToGrid w:val="0"/>
              <w:jc w:val="right"/>
              <w:rPr>
                <w:rFonts w:eastAsia="等线"/>
                <w:bCs/>
                <w:kern w:val="0"/>
                <w:sz w:val="18"/>
                <w:szCs w:val="18"/>
              </w:rPr>
            </w:pPr>
            <w:r>
              <w:rPr>
                <w:rFonts w:eastAsia="等线"/>
                <w:bCs/>
                <w:kern w:val="0"/>
                <w:sz w:val="18"/>
                <w:szCs w:val="18"/>
              </w:rPr>
              <w:t>25,519.59</w:t>
            </w:r>
          </w:p>
        </w:tc>
        <w:tc>
          <w:tcPr>
            <w:tcW w:w="947" w:type="dxa"/>
            <w:shd w:val="clear" w:color="auto" w:fill="FFFFFF"/>
            <w:vAlign w:val="center"/>
          </w:tcPr>
          <w:p w14:paraId="4EDF02BE" w14:textId="77777777" w:rsidR="004B0883" w:rsidRDefault="004B0883">
            <w:pPr>
              <w:snapToGrid w:val="0"/>
              <w:jc w:val="right"/>
              <w:rPr>
                <w:rFonts w:eastAsia="等线"/>
                <w:bCs/>
                <w:kern w:val="0"/>
                <w:sz w:val="18"/>
                <w:szCs w:val="18"/>
              </w:rPr>
            </w:pPr>
            <w:r>
              <w:rPr>
                <w:rFonts w:eastAsia="等线"/>
                <w:bCs/>
                <w:kern w:val="0"/>
                <w:sz w:val="18"/>
                <w:szCs w:val="18"/>
              </w:rPr>
              <w:t>25,519.59</w:t>
            </w:r>
          </w:p>
        </w:tc>
      </w:tr>
      <w:tr w:rsidR="004B0883" w14:paraId="6CC518AA" w14:textId="77777777">
        <w:trPr>
          <w:trHeight w:val="397"/>
          <w:jc w:val="center"/>
        </w:trPr>
        <w:tc>
          <w:tcPr>
            <w:tcW w:w="430" w:type="dxa"/>
            <w:shd w:val="clear" w:color="auto" w:fill="FFFFFF"/>
            <w:tcMar>
              <w:top w:w="0" w:type="dxa"/>
              <w:left w:w="30" w:type="dxa"/>
              <w:bottom w:w="0" w:type="dxa"/>
              <w:right w:w="30" w:type="dxa"/>
            </w:tcMar>
            <w:vAlign w:val="center"/>
          </w:tcPr>
          <w:p w14:paraId="2BE0C118" w14:textId="77777777" w:rsidR="004B0883" w:rsidRDefault="004B0883">
            <w:pPr>
              <w:snapToGrid w:val="0"/>
              <w:jc w:val="center"/>
              <w:rPr>
                <w:rFonts w:eastAsia="等线"/>
                <w:bCs/>
                <w:kern w:val="0"/>
                <w:sz w:val="18"/>
                <w:szCs w:val="18"/>
              </w:rPr>
            </w:pPr>
            <w:r>
              <w:rPr>
                <w:rFonts w:eastAsia="等线"/>
                <w:bCs/>
                <w:kern w:val="0"/>
                <w:sz w:val="18"/>
                <w:szCs w:val="18"/>
              </w:rPr>
              <w:t>3</w:t>
            </w:r>
          </w:p>
        </w:tc>
        <w:tc>
          <w:tcPr>
            <w:tcW w:w="1561" w:type="dxa"/>
            <w:shd w:val="clear" w:color="auto" w:fill="FFFFFF"/>
            <w:vAlign w:val="center"/>
          </w:tcPr>
          <w:p w14:paraId="685C8E35" w14:textId="77777777" w:rsidR="004B0883" w:rsidRDefault="004B0883">
            <w:pPr>
              <w:snapToGrid w:val="0"/>
              <w:jc w:val="center"/>
              <w:rPr>
                <w:bCs/>
                <w:kern w:val="0"/>
                <w:sz w:val="18"/>
                <w:szCs w:val="24"/>
              </w:rPr>
            </w:pPr>
            <w:r>
              <w:rPr>
                <w:bCs/>
                <w:kern w:val="0"/>
                <w:sz w:val="18"/>
                <w:szCs w:val="24"/>
              </w:rPr>
              <w:t>综合毛利率</w:t>
            </w:r>
          </w:p>
        </w:tc>
        <w:tc>
          <w:tcPr>
            <w:tcW w:w="859" w:type="dxa"/>
            <w:shd w:val="clear" w:color="auto" w:fill="FFFFFF"/>
            <w:vAlign w:val="center"/>
          </w:tcPr>
          <w:p w14:paraId="41C874F3"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874" w:type="dxa"/>
            <w:shd w:val="clear" w:color="auto" w:fill="FFFFFF"/>
            <w:vAlign w:val="center"/>
          </w:tcPr>
          <w:p w14:paraId="423B651F"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47" w:type="dxa"/>
            <w:shd w:val="clear" w:color="auto" w:fill="FFFFFF"/>
            <w:vAlign w:val="center"/>
          </w:tcPr>
          <w:p w14:paraId="7BA31DBD" w14:textId="77777777" w:rsidR="004B0883" w:rsidRDefault="004B0883">
            <w:pPr>
              <w:snapToGrid w:val="0"/>
              <w:jc w:val="right"/>
              <w:rPr>
                <w:rFonts w:eastAsia="等线"/>
                <w:bCs/>
                <w:kern w:val="0"/>
                <w:sz w:val="18"/>
                <w:szCs w:val="18"/>
              </w:rPr>
            </w:pPr>
            <w:r>
              <w:rPr>
                <w:rFonts w:eastAsia="等线"/>
                <w:bCs/>
                <w:kern w:val="0"/>
                <w:sz w:val="18"/>
                <w:szCs w:val="18"/>
              </w:rPr>
              <w:t>36.76%</w:t>
            </w:r>
          </w:p>
        </w:tc>
        <w:tc>
          <w:tcPr>
            <w:tcW w:w="947" w:type="dxa"/>
            <w:shd w:val="clear" w:color="auto" w:fill="FFFFFF"/>
            <w:vAlign w:val="center"/>
          </w:tcPr>
          <w:p w14:paraId="3BB8E6CD" w14:textId="77777777" w:rsidR="004B0883" w:rsidRDefault="004B0883">
            <w:pPr>
              <w:snapToGrid w:val="0"/>
              <w:jc w:val="right"/>
              <w:rPr>
                <w:rFonts w:eastAsia="等线"/>
                <w:bCs/>
                <w:kern w:val="0"/>
                <w:sz w:val="18"/>
                <w:szCs w:val="18"/>
              </w:rPr>
            </w:pPr>
            <w:r>
              <w:rPr>
                <w:rFonts w:eastAsia="等线"/>
                <w:bCs/>
                <w:kern w:val="0"/>
                <w:sz w:val="18"/>
                <w:szCs w:val="18"/>
              </w:rPr>
              <w:t>35.22%</w:t>
            </w:r>
          </w:p>
        </w:tc>
        <w:tc>
          <w:tcPr>
            <w:tcW w:w="947" w:type="dxa"/>
            <w:shd w:val="clear" w:color="auto" w:fill="FFFFFF"/>
            <w:vAlign w:val="center"/>
          </w:tcPr>
          <w:p w14:paraId="3F7B2C27" w14:textId="77777777" w:rsidR="004B0883" w:rsidRDefault="004B0883">
            <w:pPr>
              <w:snapToGrid w:val="0"/>
              <w:jc w:val="right"/>
              <w:rPr>
                <w:rFonts w:eastAsia="等线"/>
                <w:bCs/>
                <w:kern w:val="0"/>
                <w:sz w:val="18"/>
                <w:szCs w:val="18"/>
              </w:rPr>
            </w:pPr>
            <w:r>
              <w:rPr>
                <w:rFonts w:eastAsia="等线"/>
                <w:bCs/>
                <w:kern w:val="0"/>
                <w:sz w:val="18"/>
                <w:szCs w:val="18"/>
              </w:rPr>
              <w:t>36.83%</w:t>
            </w:r>
          </w:p>
        </w:tc>
        <w:tc>
          <w:tcPr>
            <w:tcW w:w="947" w:type="dxa"/>
            <w:shd w:val="clear" w:color="auto" w:fill="FFFFFF"/>
            <w:vAlign w:val="center"/>
          </w:tcPr>
          <w:p w14:paraId="73599A4C" w14:textId="77777777" w:rsidR="004B0883" w:rsidRDefault="004B0883">
            <w:pPr>
              <w:snapToGrid w:val="0"/>
              <w:jc w:val="right"/>
              <w:rPr>
                <w:rFonts w:eastAsia="等线"/>
                <w:bCs/>
                <w:kern w:val="0"/>
                <w:sz w:val="18"/>
                <w:szCs w:val="18"/>
              </w:rPr>
            </w:pPr>
            <w:r>
              <w:rPr>
                <w:rFonts w:eastAsia="等线"/>
                <w:bCs/>
                <w:kern w:val="0"/>
                <w:sz w:val="18"/>
                <w:szCs w:val="18"/>
              </w:rPr>
              <w:t>36.83%</w:t>
            </w:r>
          </w:p>
        </w:tc>
        <w:tc>
          <w:tcPr>
            <w:tcW w:w="947" w:type="dxa"/>
            <w:shd w:val="clear" w:color="auto" w:fill="FFFFFF"/>
            <w:vAlign w:val="center"/>
          </w:tcPr>
          <w:p w14:paraId="4F815669" w14:textId="77777777" w:rsidR="004B0883" w:rsidRDefault="004B0883">
            <w:pPr>
              <w:snapToGrid w:val="0"/>
              <w:jc w:val="right"/>
              <w:rPr>
                <w:rFonts w:eastAsia="等线"/>
                <w:bCs/>
                <w:kern w:val="0"/>
                <w:sz w:val="18"/>
                <w:szCs w:val="18"/>
              </w:rPr>
            </w:pPr>
            <w:r>
              <w:rPr>
                <w:rFonts w:eastAsia="等线"/>
                <w:bCs/>
                <w:kern w:val="0"/>
                <w:sz w:val="18"/>
                <w:szCs w:val="18"/>
              </w:rPr>
              <w:t>36.83%</w:t>
            </w:r>
          </w:p>
        </w:tc>
        <w:tc>
          <w:tcPr>
            <w:tcW w:w="947" w:type="dxa"/>
            <w:shd w:val="clear" w:color="auto" w:fill="FFFFFF"/>
            <w:vAlign w:val="center"/>
          </w:tcPr>
          <w:p w14:paraId="2FDCDD47" w14:textId="77777777" w:rsidR="004B0883" w:rsidRDefault="004B0883">
            <w:pPr>
              <w:snapToGrid w:val="0"/>
              <w:jc w:val="right"/>
              <w:rPr>
                <w:rFonts w:eastAsia="等线"/>
                <w:bCs/>
                <w:kern w:val="0"/>
                <w:sz w:val="18"/>
                <w:szCs w:val="18"/>
              </w:rPr>
            </w:pPr>
            <w:r>
              <w:rPr>
                <w:rFonts w:eastAsia="等线"/>
                <w:bCs/>
                <w:kern w:val="0"/>
                <w:sz w:val="18"/>
                <w:szCs w:val="18"/>
              </w:rPr>
              <w:t>36.83%</w:t>
            </w:r>
          </w:p>
        </w:tc>
        <w:tc>
          <w:tcPr>
            <w:tcW w:w="947" w:type="dxa"/>
            <w:shd w:val="clear" w:color="auto" w:fill="FFFFFF"/>
            <w:vAlign w:val="center"/>
          </w:tcPr>
          <w:p w14:paraId="4721AC2F" w14:textId="77777777" w:rsidR="004B0883" w:rsidRDefault="004B0883">
            <w:pPr>
              <w:snapToGrid w:val="0"/>
              <w:jc w:val="right"/>
              <w:rPr>
                <w:rFonts w:eastAsia="等线"/>
                <w:bCs/>
                <w:kern w:val="0"/>
                <w:sz w:val="18"/>
                <w:szCs w:val="18"/>
              </w:rPr>
            </w:pPr>
            <w:r>
              <w:rPr>
                <w:rFonts w:eastAsia="等线"/>
                <w:bCs/>
                <w:kern w:val="0"/>
                <w:sz w:val="18"/>
                <w:szCs w:val="18"/>
              </w:rPr>
              <w:t>36.83%</w:t>
            </w:r>
          </w:p>
        </w:tc>
        <w:tc>
          <w:tcPr>
            <w:tcW w:w="947" w:type="dxa"/>
            <w:shd w:val="clear" w:color="auto" w:fill="FFFFFF"/>
            <w:vAlign w:val="center"/>
          </w:tcPr>
          <w:p w14:paraId="71D7542C" w14:textId="77777777" w:rsidR="004B0883" w:rsidRDefault="004B0883">
            <w:pPr>
              <w:snapToGrid w:val="0"/>
              <w:jc w:val="right"/>
              <w:rPr>
                <w:rFonts w:eastAsia="等线"/>
                <w:bCs/>
                <w:kern w:val="0"/>
                <w:sz w:val="18"/>
                <w:szCs w:val="18"/>
              </w:rPr>
            </w:pPr>
            <w:r>
              <w:rPr>
                <w:rFonts w:eastAsia="等线"/>
                <w:bCs/>
                <w:kern w:val="0"/>
                <w:sz w:val="18"/>
                <w:szCs w:val="18"/>
              </w:rPr>
              <w:t>36.83%</w:t>
            </w:r>
          </w:p>
        </w:tc>
      </w:tr>
      <w:tr w:rsidR="004B0883" w14:paraId="4A8A81FC" w14:textId="77777777">
        <w:trPr>
          <w:trHeight w:val="397"/>
          <w:jc w:val="center"/>
        </w:trPr>
        <w:tc>
          <w:tcPr>
            <w:tcW w:w="430" w:type="dxa"/>
            <w:shd w:val="clear" w:color="auto" w:fill="FFFFFF"/>
            <w:tcMar>
              <w:top w:w="0" w:type="dxa"/>
              <w:left w:w="30" w:type="dxa"/>
              <w:bottom w:w="0" w:type="dxa"/>
              <w:right w:w="30" w:type="dxa"/>
            </w:tcMar>
            <w:vAlign w:val="center"/>
          </w:tcPr>
          <w:p w14:paraId="60501530" w14:textId="77777777" w:rsidR="004B0883" w:rsidRDefault="004B0883">
            <w:pPr>
              <w:snapToGrid w:val="0"/>
              <w:jc w:val="center"/>
              <w:rPr>
                <w:rFonts w:eastAsia="等线"/>
                <w:bCs/>
                <w:kern w:val="0"/>
                <w:sz w:val="18"/>
                <w:szCs w:val="18"/>
              </w:rPr>
            </w:pPr>
            <w:r>
              <w:rPr>
                <w:rFonts w:eastAsia="等线"/>
                <w:bCs/>
                <w:kern w:val="0"/>
                <w:sz w:val="18"/>
                <w:szCs w:val="18"/>
              </w:rPr>
              <w:t>4</w:t>
            </w:r>
          </w:p>
        </w:tc>
        <w:tc>
          <w:tcPr>
            <w:tcW w:w="1561" w:type="dxa"/>
            <w:shd w:val="clear" w:color="auto" w:fill="FFFFFF"/>
            <w:vAlign w:val="center"/>
          </w:tcPr>
          <w:p w14:paraId="7B49ADC6" w14:textId="77777777" w:rsidR="004B0883" w:rsidRDefault="004B0883">
            <w:pPr>
              <w:snapToGrid w:val="0"/>
              <w:jc w:val="center"/>
              <w:rPr>
                <w:bCs/>
                <w:kern w:val="0"/>
                <w:sz w:val="18"/>
                <w:szCs w:val="24"/>
              </w:rPr>
            </w:pPr>
            <w:r>
              <w:rPr>
                <w:bCs/>
                <w:kern w:val="0"/>
                <w:sz w:val="18"/>
                <w:szCs w:val="24"/>
              </w:rPr>
              <w:t>利润率</w:t>
            </w:r>
          </w:p>
        </w:tc>
        <w:tc>
          <w:tcPr>
            <w:tcW w:w="859" w:type="dxa"/>
            <w:shd w:val="clear" w:color="auto" w:fill="FFFFFF"/>
            <w:vAlign w:val="center"/>
          </w:tcPr>
          <w:p w14:paraId="549C6EE1"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874" w:type="dxa"/>
            <w:shd w:val="clear" w:color="auto" w:fill="FFFFFF"/>
            <w:vAlign w:val="center"/>
          </w:tcPr>
          <w:p w14:paraId="10568196"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47" w:type="dxa"/>
            <w:shd w:val="clear" w:color="auto" w:fill="FFFFFF"/>
            <w:vAlign w:val="center"/>
          </w:tcPr>
          <w:p w14:paraId="61B614C8" w14:textId="77777777" w:rsidR="004B0883" w:rsidRDefault="004B0883">
            <w:pPr>
              <w:snapToGrid w:val="0"/>
              <w:jc w:val="right"/>
              <w:rPr>
                <w:rFonts w:eastAsia="等线"/>
                <w:bCs/>
                <w:kern w:val="0"/>
                <w:sz w:val="18"/>
                <w:szCs w:val="18"/>
              </w:rPr>
            </w:pPr>
            <w:r>
              <w:rPr>
                <w:rFonts w:eastAsia="等线"/>
                <w:bCs/>
                <w:kern w:val="0"/>
                <w:sz w:val="18"/>
                <w:szCs w:val="18"/>
              </w:rPr>
              <w:t>21.34%</w:t>
            </w:r>
          </w:p>
        </w:tc>
        <w:tc>
          <w:tcPr>
            <w:tcW w:w="947" w:type="dxa"/>
            <w:shd w:val="clear" w:color="auto" w:fill="FFFFFF"/>
            <w:vAlign w:val="center"/>
          </w:tcPr>
          <w:p w14:paraId="21482CD3" w14:textId="77777777" w:rsidR="004B0883" w:rsidRDefault="004B0883">
            <w:pPr>
              <w:snapToGrid w:val="0"/>
              <w:jc w:val="right"/>
              <w:rPr>
                <w:rFonts w:eastAsia="等线"/>
                <w:bCs/>
                <w:kern w:val="0"/>
                <w:sz w:val="18"/>
                <w:szCs w:val="18"/>
              </w:rPr>
            </w:pPr>
            <w:r>
              <w:rPr>
                <w:rFonts w:eastAsia="等线"/>
                <w:bCs/>
                <w:kern w:val="0"/>
                <w:sz w:val="18"/>
                <w:szCs w:val="18"/>
              </w:rPr>
              <w:t>20.12%</w:t>
            </w:r>
          </w:p>
        </w:tc>
        <w:tc>
          <w:tcPr>
            <w:tcW w:w="947" w:type="dxa"/>
            <w:shd w:val="clear" w:color="auto" w:fill="FFFFFF"/>
            <w:vAlign w:val="center"/>
          </w:tcPr>
          <w:p w14:paraId="68EC7144" w14:textId="77777777" w:rsidR="004B0883" w:rsidRDefault="004B0883">
            <w:pPr>
              <w:snapToGrid w:val="0"/>
              <w:jc w:val="right"/>
              <w:rPr>
                <w:rFonts w:eastAsia="等线"/>
                <w:bCs/>
                <w:kern w:val="0"/>
                <w:sz w:val="18"/>
                <w:szCs w:val="18"/>
              </w:rPr>
            </w:pPr>
            <w:r>
              <w:rPr>
                <w:rFonts w:eastAsia="等线"/>
                <w:bCs/>
                <w:kern w:val="0"/>
                <w:sz w:val="18"/>
                <w:szCs w:val="18"/>
              </w:rPr>
              <w:t>21.41%</w:t>
            </w:r>
          </w:p>
        </w:tc>
        <w:tc>
          <w:tcPr>
            <w:tcW w:w="947" w:type="dxa"/>
            <w:shd w:val="clear" w:color="auto" w:fill="FFFFFF"/>
            <w:vAlign w:val="center"/>
          </w:tcPr>
          <w:p w14:paraId="51C23D01" w14:textId="77777777" w:rsidR="004B0883" w:rsidRDefault="004B0883">
            <w:pPr>
              <w:snapToGrid w:val="0"/>
              <w:jc w:val="right"/>
              <w:rPr>
                <w:rFonts w:eastAsia="等线"/>
                <w:bCs/>
                <w:kern w:val="0"/>
                <w:sz w:val="18"/>
                <w:szCs w:val="18"/>
              </w:rPr>
            </w:pPr>
            <w:r>
              <w:rPr>
                <w:rFonts w:eastAsia="等线"/>
                <w:bCs/>
                <w:kern w:val="0"/>
                <w:sz w:val="18"/>
                <w:szCs w:val="18"/>
              </w:rPr>
              <w:t>21.25%</w:t>
            </w:r>
          </w:p>
        </w:tc>
        <w:tc>
          <w:tcPr>
            <w:tcW w:w="947" w:type="dxa"/>
            <w:shd w:val="clear" w:color="auto" w:fill="FFFFFF"/>
            <w:vAlign w:val="center"/>
          </w:tcPr>
          <w:p w14:paraId="23AB4082" w14:textId="77777777" w:rsidR="004B0883" w:rsidRDefault="004B0883">
            <w:pPr>
              <w:snapToGrid w:val="0"/>
              <w:jc w:val="right"/>
              <w:rPr>
                <w:rFonts w:eastAsia="等线"/>
                <w:bCs/>
                <w:kern w:val="0"/>
                <w:sz w:val="18"/>
                <w:szCs w:val="18"/>
              </w:rPr>
            </w:pPr>
            <w:r>
              <w:rPr>
                <w:rFonts w:eastAsia="等线"/>
                <w:bCs/>
                <w:kern w:val="0"/>
                <w:sz w:val="18"/>
                <w:szCs w:val="18"/>
              </w:rPr>
              <w:t>21.25%</w:t>
            </w:r>
          </w:p>
        </w:tc>
        <w:tc>
          <w:tcPr>
            <w:tcW w:w="947" w:type="dxa"/>
            <w:shd w:val="clear" w:color="auto" w:fill="FFFFFF"/>
            <w:vAlign w:val="center"/>
          </w:tcPr>
          <w:p w14:paraId="7BD67957" w14:textId="77777777" w:rsidR="004B0883" w:rsidRDefault="004B0883">
            <w:pPr>
              <w:snapToGrid w:val="0"/>
              <w:jc w:val="right"/>
              <w:rPr>
                <w:rFonts w:eastAsia="等线"/>
                <w:bCs/>
                <w:kern w:val="0"/>
                <w:sz w:val="18"/>
                <w:szCs w:val="18"/>
              </w:rPr>
            </w:pPr>
            <w:r>
              <w:rPr>
                <w:rFonts w:eastAsia="等线"/>
                <w:bCs/>
                <w:kern w:val="0"/>
                <w:sz w:val="18"/>
                <w:szCs w:val="18"/>
              </w:rPr>
              <w:t>21.25%</w:t>
            </w:r>
          </w:p>
        </w:tc>
        <w:tc>
          <w:tcPr>
            <w:tcW w:w="947" w:type="dxa"/>
            <w:shd w:val="clear" w:color="auto" w:fill="FFFFFF"/>
            <w:vAlign w:val="center"/>
          </w:tcPr>
          <w:p w14:paraId="6DF9EEB2" w14:textId="77777777" w:rsidR="004B0883" w:rsidRDefault="004B0883">
            <w:pPr>
              <w:snapToGrid w:val="0"/>
              <w:jc w:val="right"/>
              <w:rPr>
                <w:rFonts w:eastAsia="等线"/>
                <w:bCs/>
                <w:kern w:val="0"/>
                <w:sz w:val="18"/>
                <w:szCs w:val="18"/>
              </w:rPr>
            </w:pPr>
            <w:r>
              <w:rPr>
                <w:rFonts w:eastAsia="等线"/>
                <w:bCs/>
                <w:kern w:val="0"/>
                <w:sz w:val="18"/>
                <w:szCs w:val="18"/>
              </w:rPr>
              <w:t>21.25%</w:t>
            </w:r>
          </w:p>
        </w:tc>
        <w:tc>
          <w:tcPr>
            <w:tcW w:w="947" w:type="dxa"/>
            <w:shd w:val="clear" w:color="auto" w:fill="FFFFFF"/>
            <w:vAlign w:val="center"/>
          </w:tcPr>
          <w:p w14:paraId="284718AE" w14:textId="77777777" w:rsidR="004B0883" w:rsidRDefault="004B0883">
            <w:pPr>
              <w:snapToGrid w:val="0"/>
              <w:jc w:val="right"/>
              <w:rPr>
                <w:rFonts w:eastAsia="等线"/>
                <w:bCs/>
                <w:kern w:val="0"/>
                <w:sz w:val="18"/>
                <w:szCs w:val="18"/>
              </w:rPr>
            </w:pPr>
            <w:r>
              <w:rPr>
                <w:rFonts w:eastAsia="等线"/>
                <w:bCs/>
                <w:kern w:val="0"/>
                <w:sz w:val="18"/>
                <w:szCs w:val="18"/>
              </w:rPr>
              <w:t>21.25%</w:t>
            </w:r>
          </w:p>
        </w:tc>
      </w:tr>
      <w:tr w:rsidR="004B0883" w14:paraId="7973E3AB" w14:textId="77777777">
        <w:trPr>
          <w:trHeight w:val="397"/>
          <w:jc w:val="center"/>
        </w:trPr>
        <w:tc>
          <w:tcPr>
            <w:tcW w:w="430" w:type="dxa"/>
            <w:shd w:val="clear" w:color="auto" w:fill="FFFFFF"/>
            <w:tcMar>
              <w:top w:w="0" w:type="dxa"/>
              <w:left w:w="30" w:type="dxa"/>
              <w:bottom w:w="0" w:type="dxa"/>
              <w:right w:w="30" w:type="dxa"/>
            </w:tcMar>
            <w:vAlign w:val="center"/>
          </w:tcPr>
          <w:p w14:paraId="3EA971EB" w14:textId="77777777" w:rsidR="004B0883" w:rsidRDefault="004B0883">
            <w:pPr>
              <w:snapToGrid w:val="0"/>
              <w:jc w:val="center"/>
              <w:rPr>
                <w:rFonts w:eastAsia="等线"/>
                <w:bCs/>
                <w:kern w:val="0"/>
                <w:sz w:val="18"/>
                <w:szCs w:val="18"/>
              </w:rPr>
            </w:pPr>
            <w:r>
              <w:rPr>
                <w:rFonts w:eastAsia="等线"/>
                <w:bCs/>
                <w:kern w:val="0"/>
                <w:sz w:val="18"/>
                <w:szCs w:val="18"/>
              </w:rPr>
              <w:t>5</w:t>
            </w:r>
          </w:p>
        </w:tc>
        <w:tc>
          <w:tcPr>
            <w:tcW w:w="1561" w:type="dxa"/>
            <w:shd w:val="clear" w:color="auto" w:fill="FFFFFF"/>
            <w:vAlign w:val="center"/>
          </w:tcPr>
          <w:p w14:paraId="05842841" w14:textId="77777777" w:rsidR="004B0883" w:rsidRDefault="004B0883">
            <w:pPr>
              <w:snapToGrid w:val="0"/>
              <w:jc w:val="center"/>
              <w:rPr>
                <w:bCs/>
                <w:kern w:val="0"/>
                <w:sz w:val="18"/>
                <w:szCs w:val="24"/>
              </w:rPr>
            </w:pPr>
            <w:r>
              <w:rPr>
                <w:bCs/>
                <w:kern w:val="0"/>
                <w:sz w:val="18"/>
                <w:szCs w:val="24"/>
              </w:rPr>
              <w:t>净利率</w:t>
            </w:r>
          </w:p>
        </w:tc>
        <w:tc>
          <w:tcPr>
            <w:tcW w:w="859" w:type="dxa"/>
            <w:shd w:val="clear" w:color="auto" w:fill="FFFFFF"/>
            <w:vAlign w:val="center"/>
          </w:tcPr>
          <w:p w14:paraId="3A08FDF6"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874" w:type="dxa"/>
            <w:shd w:val="clear" w:color="auto" w:fill="FFFFFF"/>
            <w:vAlign w:val="center"/>
          </w:tcPr>
          <w:p w14:paraId="060390A0" w14:textId="77777777" w:rsidR="004B0883" w:rsidRDefault="004B0883">
            <w:pPr>
              <w:snapToGrid w:val="0"/>
              <w:jc w:val="right"/>
              <w:rPr>
                <w:rFonts w:eastAsia="等线"/>
                <w:bCs/>
                <w:kern w:val="0"/>
                <w:sz w:val="18"/>
                <w:szCs w:val="18"/>
              </w:rPr>
            </w:pPr>
            <w:r>
              <w:rPr>
                <w:rFonts w:eastAsia="等线"/>
                <w:bCs/>
                <w:kern w:val="0"/>
                <w:sz w:val="18"/>
                <w:szCs w:val="18"/>
              </w:rPr>
              <w:t>-</w:t>
            </w:r>
          </w:p>
        </w:tc>
        <w:tc>
          <w:tcPr>
            <w:tcW w:w="947" w:type="dxa"/>
            <w:shd w:val="clear" w:color="auto" w:fill="FFFFFF"/>
            <w:vAlign w:val="center"/>
          </w:tcPr>
          <w:p w14:paraId="51CFFDD3" w14:textId="77777777" w:rsidR="004B0883" w:rsidRDefault="004B0883">
            <w:pPr>
              <w:snapToGrid w:val="0"/>
              <w:jc w:val="right"/>
              <w:rPr>
                <w:rFonts w:eastAsia="等线"/>
                <w:bCs/>
                <w:kern w:val="0"/>
                <w:sz w:val="18"/>
                <w:szCs w:val="18"/>
              </w:rPr>
            </w:pPr>
            <w:r>
              <w:rPr>
                <w:rFonts w:eastAsia="等线"/>
                <w:bCs/>
                <w:kern w:val="0"/>
                <w:sz w:val="18"/>
                <w:szCs w:val="18"/>
              </w:rPr>
              <w:t>18.14%</w:t>
            </w:r>
          </w:p>
        </w:tc>
        <w:tc>
          <w:tcPr>
            <w:tcW w:w="947" w:type="dxa"/>
            <w:shd w:val="clear" w:color="auto" w:fill="FFFFFF"/>
            <w:vAlign w:val="center"/>
          </w:tcPr>
          <w:p w14:paraId="33496E3B" w14:textId="77777777" w:rsidR="004B0883" w:rsidRDefault="004B0883">
            <w:pPr>
              <w:snapToGrid w:val="0"/>
              <w:jc w:val="right"/>
              <w:rPr>
                <w:rFonts w:eastAsia="等线"/>
                <w:bCs/>
                <w:kern w:val="0"/>
                <w:sz w:val="18"/>
                <w:szCs w:val="18"/>
              </w:rPr>
            </w:pPr>
            <w:r>
              <w:rPr>
                <w:rFonts w:eastAsia="等线"/>
                <w:bCs/>
                <w:kern w:val="0"/>
                <w:sz w:val="18"/>
                <w:szCs w:val="18"/>
              </w:rPr>
              <w:t>17.11%</w:t>
            </w:r>
          </w:p>
        </w:tc>
        <w:tc>
          <w:tcPr>
            <w:tcW w:w="947" w:type="dxa"/>
            <w:shd w:val="clear" w:color="auto" w:fill="FFFFFF"/>
            <w:vAlign w:val="center"/>
          </w:tcPr>
          <w:p w14:paraId="23169A76" w14:textId="77777777" w:rsidR="004B0883" w:rsidRDefault="004B0883">
            <w:pPr>
              <w:snapToGrid w:val="0"/>
              <w:jc w:val="right"/>
              <w:rPr>
                <w:rFonts w:eastAsia="等线"/>
                <w:bCs/>
                <w:kern w:val="0"/>
                <w:sz w:val="18"/>
                <w:szCs w:val="18"/>
              </w:rPr>
            </w:pPr>
            <w:r>
              <w:rPr>
                <w:rFonts w:eastAsia="等线"/>
                <w:bCs/>
                <w:kern w:val="0"/>
                <w:sz w:val="18"/>
                <w:szCs w:val="18"/>
              </w:rPr>
              <w:t>18.20%</w:t>
            </w:r>
          </w:p>
        </w:tc>
        <w:tc>
          <w:tcPr>
            <w:tcW w:w="947" w:type="dxa"/>
            <w:shd w:val="clear" w:color="auto" w:fill="FFFFFF"/>
            <w:vAlign w:val="center"/>
          </w:tcPr>
          <w:p w14:paraId="35307038" w14:textId="77777777" w:rsidR="004B0883" w:rsidRDefault="004B0883">
            <w:pPr>
              <w:snapToGrid w:val="0"/>
              <w:jc w:val="right"/>
              <w:rPr>
                <w:rFonts w:eastAsia="等线"/>
                <w:bCs/>
                <w:kern w:val="0"/>
                <w:sz w:val="18"/>
                <w:szCs w:val="18"/>
              </w:rPr>
            </w:pPr>
            <w:r>
              <w:rPr>
                <w:rFonts w:eastAsia="等线"/>
                <w:bCs/>
                <w:kern w:val="0"/>
                <w:sz w:val="18"/>
                <w:szCs w:val="18"/>
              </w:rPr>
              <w:t>18.06%</w:t>
            </w:r>
          </w:p>
        </w:tc>
        <w:tc>
          <w:tcPr>
            <w:tcW w:w="947" w:type="dxa"/>
            <w:shd w:val="clear" w:color="auto" w:fill="FFFFFF"/>
            <w:vAlign w:val="center"/>
          </w:tcPr>
          <w:p w14:paraId="1E4DD589" w14:textId="77777777" w:rsidR="004B0883" w:rsidRDefault="004B0883">
            <w:pPr>
              <w:snapToGrid w:val="0"/>
              <w:jc w:val="right"/>
              <w:rPr>
                <w:rFonts w:eastAsia="等线"/>
                <w:bCs/>
                <w:kern w:val="0"/>
                <w:sz w:val="18"/>
                <w:szCs w:val="18"/>
              </w:rPr>
            </w:pPr>
            <w:r>
              <w:rPr>
                <w:rFonts w:eastAsia="等线"/>
                <w:bCs/>
                <w:kern w:val="0"/>
                <w:sz w:val="18"/>
                <w:szCs w:val="18"/>
              </w:rPr>
              <w:t>18.06%</w:t>
            </w:r>
          </w:p>
        </w:tc>
        <w:tc>
          <w:tcPr>
            <w:tcW w:w="947" w:type="dxa"/>
            <w:shd w:val="clear" w:color="auto" w:fill="FFFFFF"/>
            <w:vAlign w:val="center"/>
          </w:tcPr>
          <w:p w14:paraId="2B059D4C" w14:textId="77777777" w:rsidR="004B0883" w:rsidRDefault="004B0883">
            <w:pPr>
              <w:snapToGrid w:val="0"/>
              <w:jc w:val="right"/>
              <w:rPr>
                <w:rFonts w:eastAsia="等线"/>
                <w:bCs/>
                <w:kern w:val="0"/>
                <w:sz w:val="18"/>
                <w:szCs w:val="18"/>
              </w:rPr>
            </w:pPr>
            <w:r>
              <w:rPr>
                <w:rFonts w:eastAsia="等线"/>
                <w:bCs/>
                <w:kern w:val="0"/>
                <w:sz w:val="18"/>
                <w:szCs w:val="18"/>
              </w:rPr>
              <w:t>18.06%</w:t>
            </w:r>
          </w:p>
        </w:tc>
        <w:tc>
          <w:tcPr>
            <w:tcW w:w="947" w:type="dxa"/>
            <w:shd w:val="clear" w:color="auto" w:fill="FFFFFF"/>
            <w:vAlign w:val="center"/>
          </w:tcPr>
          <w:p w14:paraId="11702CC0" w14:textId="77777777" w:rsidR="004B0883" w:rsidRDefault="004B0883">
            <w:pPr>
              <w:snapToGrid w:val="0"/>
              <w:jc w:val="right"/>
              <w:rPr>
                <w:rFonts w:eastAsia="等线"/>
                <w:bCs/>
                <w:kern w:val="0"/>
                <w:sz w:val="18"/>
                <w:szCs w:val="18"/>
              </w:rPr>
            </w:pPr>
            <w:r>
              <w:rPr>
                <w:rFonts w:eastAsia="等线"/>
                <w:bCs/>
                <w:kern w:val="0"/>
                <w:sz w:val="18"/>
                <w:szCs w:val="18"/>
              </w:rPr>
              <w:t>18.06%</w:t>
            </w:r>
          </w:p>
        </w:tc>
        <w:tc>
          <w:tcPr>
            <w:tcW w:w="947" w:type="dxa"/>
            <w:shd w:val="clear" w:color="auto" w:fill="FFFFFF"/>
            <w:vAlign w:val="center"/>
          </w:tcPr>
          <w:p w14:paraId="177187D0" w14:textId="77777777" w:rsidR="004B0883" w:rsidRDefault="004B0883">
            <w:pPr>
              <w:snapToGrid w:val="0"/>
              <w:jc w:val="right"/>
              <w:rPr>
                <w:rFonts w:eastAsia="等线"/>
                <w:bCs/>
                <w:kern w:val="0"/>
                <w:sz w:val="18"/>
                <w:szCs w:val="18"/>
              </w:rPr>
            </w:pPr>
            <w:r>
              <w:rPr>
                <w:rFonts w:eastAsia="等线"/>
                <w:bCs/>
                <w:kern w:val="0"/>
                <w:sz w:val="18"/>
                <w:szCs w:val="18"/>
              </w:rPr>
              <w:t>18.06%</w:t>
            </w:r>
          </w:p>
        </w:tc>
      </w:tr>
    </w:tbl>
    <w:p w14:paraId="6DF1FE4B"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公司阀门产品报告期内各期的毛利率分别为</w:t>
      </w:r>
      <w:r>
        <w:rPr>
          <w:rFonts w:hint="eastAsia"/>
          <w:sz w:val="24"/>
          <w:szCs w:val="22"/>
        </w:rPr>
        <w:t>37.56%</w:t>
      </w:r>
      <w:r>
        <w:rPr>
          <w:rFonts w:hint="eastAsia"/>
          <w:sz w:val="24"/>
          <w:szCs w:val="22"/>
        </w:rPr>
        <w:t>、</w:t>
      </w:r>
      <w:r>
        <w:rPr>
          <w:rFonts w:hint="eastAsia"/>
          <w:sz w:val="24"/>
          <w:szCs w:val="22"/>
        </w:rPr>
        <w:t>36.12%</w:t>
      </w:r>
      <w:r>
        <w:rPr>
          <w:rFonts w:hint="eastAsia"/>
          <w:sz w:val="24"/>
          <w:szCs w:val="22"/>
        </w:rPr>
        <w:t>、</w:t>
      </w:r>
      <w:r>
        <w:rPr>
          <w:rFonts w:hint="eastAsia"/>
          <w:sz w:val="24"/>
          <w:szCs w:val="22"/>
        </w:rPr>
        <w:t>39.09%</w:t>
      </w:r>
      <w:r>
        <w:rPr>
          <w:rFonts w:hint="eastAsia"/>
          <w:sz w:val="24"/>
          <w:szCs w:val="22"/>
        </w:rPr>
        <w:t>和</w:t>
      </w:r>
      <w:r>
        <w:rPr>
          <w:sz w:val="24"/>
          <w:szCs w:val="22"/>
        </w:rPr>
        <w:t>41.61%</w:t>
      </w:r>
      <w:r>
        <w:rPr>
          <w:rFonts w:hint="eastAsia"/>
          <w:sz w:val="24"/>
          <w:szCs w:val="22"/>
        </w:rPr>
        <w:t>。募投项目测算的达产年毛利率为</w:t>
      </w:r>
      <w:r>
        <w:rPr>
          <w:rFonts w:hint="eastAsia"/>
          <w:sz w:val="24"/>
          <w:szCs w:val="22"/>
        </w:rPr>
        <w:t>36.83%</w:t>
      </w:r>
      <w:r>
        <w:rPr>
          <w:rFonts w:hint="eastAsia"/>
          <w:sz w:val="24"/>
          <w:szCs w:val="22"/>
        </w:rPr>
        <w:t>，与报告期阀门产品毛利率总体一致，测算合理，具有谨慎性。</w:t>
      </w:r>
    </w:p>
    <w:p w14:paraId="77B58817" w14:textId="77777777" w:rsidR="004B0883" w:rsidRDefault="004B0883">
      <w:pPr>
        <w:widowControl w:val="0"/>
        <w:spacing w:beforeLines="50" w:before="120" w:line="360" w:lineRule="auto"/>
        <w:ind w:firstLineChars="200" w:firstLine="480"/>
        <w:jc w:val="both"/>
        <w:rPr>
          <w:rFonts w:hint="eastAsia"/>
          <w:sz w:val="24"/>
          <w:szCs w:val="22"/>
        </w:rPr>
      </w:pPr>
      <w:r>
        <w:rPr>
          <w:rFonts w:hint="eastAsia"/>
          <w:sz w:val="24"/>
          <w:szCs w:val="22"/>
        </w:rPr>
        <w:t>项目内部收益率是指项目现金流入现值总额与现金流出现值总额相等、净现值等于零时的折现率，是项目投资可望达到的报酬率。</w:t>
      </w:r>
    </w:p>
    <w:p w14:paraId="0A32DC82"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根据计算，本项目所得税前的内部收益率为</w:t>
      </w:r>
      <w:r>
        <w:rPr>
          <w:rFonts w:hint="eastAsia"/>
          <w:sz w:val="24"/>
          <w:szCs w:val="22"/>
        </w:rPr>
        <w:t>19.97%</w:t>
      </w:r>
      <w:r>
        <w:rPr>
          <w:rFonts w:hint="eastAsia"/>
          <w:sz w:val="24"/>
          <w:szCs w:val="22"/>
        </w:rPr>
        <w:t>，所得税后的内部收益率为</w:t>
      </w:r>
      <w:r>
        <w:rPr>
          <w:rFonts w:hint="eastAsia"/>
          <w:sz w:val="24"/>
          <w:szCs w:val="22"/>
        </w:rPr>
        <w:t>17.32%</w:t>
      </w:r>
      <w:r>
        <w:rPr>
          <w:rFonts w:hint="eastAsia"/>
          <w:sz w:val="24"/>
          <w:szCs w:val="22"/>
        </w:rPr>
        <w:t>。二者数值均远远大于基准收益率</w:t>
      </w:r>
      <w:r>
        <w:rPr>
          <w:rFonts w:hint="eastAsia"/>
          <w:sz w:val="24"/>
          <w:szCs w:val="22"/>
        </w:rPr>
        <w:t>12%</w:t>
      </w:r>
      <w:r>
        <w:rPr>
          <w:rFonts w:hint="eastAsia"/>
          <w:sz w:val="24"/>
          <w:szCs w:val="22"/>
        </w:rPr>
        <w:t>，这说明该项目是可行的。</w:t>
      </w:r>
    </w:p>
    <w:bookmarkEnd w:id="434"/>
    <w:p w14:paraId="5C422E55" w14:textId="77777777" w:rsidR="004B0883" w:rsidRDefault="004B0883">
      <w:pPr>
        <w:pStyle w:val="004"/>
        <w:spacing w:before="120" w:after="120"/>
        <w:ind w:firstLine="482"/>
      </w:pPr>
      <w:r>
        <w:rPr>
          <w:rFonts w:hint="eastAsia"/>
        </w:rPr>
        <w:t>4</w:t>
      </w:r>
      <w:r>
        <w:rPr>
          <w:rFonts w:hint="eastAsia"/>
        </w:rPr>
        <w:t>、项目的实施准备及整体进度安排</w:t>
      </w:r>
    </w:p>
    <w:p w14:paraId="71F85B2D" w14:textId="77777777" w:rsidR="004B0883" w:rsidRDefault="004B0883">
      <w:pPr>
        <w:widowControl w:val="0"/>
        <w:spacing w:beforeLines="50" w:before="120" w:line="360" w:lineRule="auto"/>
        <w:ind w:firstLineChars="200" w:firstLine="480"/>
        <w:jc w:val="both"/>
        <w:rPr>
          <w:sz w:val="24"/>
          <w:szCs w:val="22"/>
        </w:rPr>
      </w:pPr>
      <w:bookmarkStart w:id="436" w:name="_Hlk85545087"/>
      <w:r>
        <w:rPr>
          <w:rFonts w:hint="eastAsia"/>
          <w:sz w:val="24"/>
          <w:szCs w:val="22"/>
        </w:rPr>
        <w:t>本项目建设期为</w:t>
      </w:r>
      <w:r>
        <w:rPr>
          <w:rFonts w:hint="eastAsia"/>
          <w:sz w:val="24"/>
          <w:szCs w:val="22"/>
        </w:rPr>
        <w:t>36</w:t>
      </w:r>
      <w:r>
        <w:rPr>
          <w:rFonts w:hint="eastAsia"/>
          <w:sz w:val="24"/>
          <w:szCs w:val="22"/>
        </w:rPr>
        <w:t>个月，预计总投资为</w:t>
      </w:r>
      <w:r>
        <w:rPr>
          <w:sz w:val="24"/>
          <w:szCs w:val="22"/>
        </w:rPr>
        <w:t>29,377.91</w:t>
      </w:r>
      <w:r>
        <w:rPr>
          <w:rFonts w:hint="eastAsia"/>
          <w:sz w:val="24"/>
          <w:szCs w:val="22"/>
        </w:rPr>
        <w:t>万元，拟使用募集资金</w:t>
      </w:r>
      <w:r>
        <w:rPr>
          <w:sz w:val="24"/>
          <w:szCs w:val="22"/>
        </w:rPr>
        <w:t>27,800.00</w:t>
      </w:r>
      <w:r>
        <w:rPr>
          <w:rFonts w:hint="eastAsia"/>
          <w:sz w:val="24"/>
          <w:szCs w:val="22"/>
        </w:rPr>
        <w:t>万元。在本次发行可转债募集资金到位之前，如公司以自筹资金先行投入上述项目建设，公司将在募集资金到位后按照相关法律、法规规定的程序予以置换。</w:t>
      </w:r>
      <w:bookmarkEnd w:id="436"/>
    </w:p>
    <w:p w14:paraId="5FCEC78E" w14:textId="77777777" w:rsidR="004B0883" w:rsidRDefault="004B0883">
      <w:pPr>
        <w:pStyle w:val="004"/>
        <w:spacing w:before="120" w:after="120"/>
        <w:ind w:firstLine="482"/>
      </w:pPr>
      <w:r>
        <w:rPr>
          <w:rFonts w:hint="eastAsia"/>
        </w:rPr>
        <w:t>5</w:t>
      </w:r>
      <w:r>
        <w:rPr>
          <w:rFonts w:hint="eastAsia"/>
        </w:rPr>
        <w:t>、本次募集资金投资项目的审批、核准或备案的情况</w:t>
      </w:r>
    </w:p>
    <w:p w14:paraId="1ACA7651"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截至本募集说明书签署日</w:t>
      </w:r>
      <w:r>
        <w:rPr>
          <w:sz w:val="24"/>
          <w:szCs w:val="22"/>
        </w:rPr>
        <w:t>，</w:t>
      </w:r>
      <w:bookmarkStart w:id="437" w:name="_Hlk106222299"/>
      <w:r>
        <w:rPr>
          <w:sz w:val="24"/>
          <w:szCs w:val="22"/>
        </w:rPr>
        <w:t>本项目已取得</w:t>
      </w:r>
      <w:r>
        <w:rPr>
          <w:rFonts w:hint="eastAsia"/>
          <w:sz w:val="24"/>
          <w:szCs w:val="22"/>
        </w:rPr>
        <w:t>项目</w:t>
      </w:r>
      <w:r>
        <w:rPr>
          <w:sz w:val="24"/>
          <w:szCs w:val="22"/>
        </w:rPr>
        <w:t>备案文件</w:t>
      </w:r>
      <w:r>
        <w:rPr>
          <w:rFonts w:hint="eastAsia"/>
          <w:sz w:val="24"/>
          <w:szCs w:val="22"/>
        </w:rPr>
        <w:t>（备案证号：</w:t>
      </w:r>
      <w:r>
        <w:rPr>
          <w:sz w:val="24"/>
          <w:szCs w:val="22"/>
        </w:rPr>
        <w:t>2302-370271-89-01-271613</w:t>
      </w:r>
      <w:r>
        <w:rPr>
          <w:rFonts w:hint="eastAsia"/>
          <w:sz w:val="24"/>
          <w:szCs w:val="22"/>
        </w:rPr>
        <w:t>）</w:t>
      </w:r>
      <w:bookmarkEnd w:id="437"/>
      <w:r>
        <w:rPr>
          <w:rFonts w:hint="eastAsia"/>
          <w:sz w:val="24"/>
          <w:szCs w:val="22"/>
        </w:rPr>
        <w:t>，并取得青岛市生态环境局出具的审批意见（青环承诺审（高新）【</w:t>
      </w:r>
      <w:r>
        <w:rPr>
          <w:rFonts w:hint="eastAsia"/>
          <w:sz w:val="24"/>
          <w:szCs w:val="22"/>
        </w:rPr>
        <w:t>2023</w:t>
      </w:r>
      <w:r>
        <w:rPr>
          <w:rFonts w:hint="eastAsia"/>
          <w:sz w:val="24"/>
          <w:szCs w:val="22"/>
        </w:rPr>
        <w:t>】</w:t>
      </w:r>
      <w:r>
        <w:rPr>
          <w:rFonts w:hint="eastAsia"/>
          <w:sz w:val="24"/>
          <w:szCs w:val="22"/>
        </w:rPr>
        <w:t>4</w:t>
      </w:r>
      <w:r>
        <w:rPr>
          <w:rFonts w:hint="eastAsia"/>
          <w:sz w:val="24"/>
          <w:szCs w:val="22"/>
        </w:rPr>
        <w:t>号）。</w:t>
      </w:r>
    </w:p>
    <w:p w14:paraId="6429D232" w14:textId="77777777" w:rsidR="004B0883" w:rsidRDefault="004B0883">
      <w:pPr>
        <w:pStyle w:val="003"/>
        <w:spacing w:before="120" w:after="120"/>
      </w:pPr>
      <w:r>
        <w:rPr>
          <w:rFonts w:hint="eastAsia"/>
        </w:rPr>
        <w:t>（二）补充流动资金</w:t>
      </w:r>
    </w:p>
    <w:p w14:paraId="3371C106" w14:textId="77777777" w:rsidR="004B0883" w:rsidRDefault="004B0883">
      <w:pPr>
        <w:pStyle w:val="004"/>
        <w:spacing w:before="120" w:after="120"/>
        <w:ind w:firstLine="482"/>
      </w:pPr>
      <w:r>
        <w:t>1</w:t>
      </w:r>
      <w:r>
        <w:rPr>
          <w:rFonts w:hint="eastAsia"/>
        </w:rPr>
        <w:t>、项目概况</w:t>
      </w:r>
    </w:p>
    <w:p w14:paraId="2E06DC7F"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公司本次向不特定对象发行可转换债券募集资金除用于智慧节能阀门建设项目外，拟投入</w:t>
      </w:r>
      <w:r>
        <w:rPr>
          <w:rFonts w:ascii="楷体" w:eastAsia="楷体" w:hAnsi="楷体"/>
          <w:b/>
          <w:sz w:val="24"/>
          <w:szCs w:val="22"/>
        </w:rPr>
        <w:t>4,383.00</w:t>
      </w:r>
      <w:r>
        <w:rPr>
          <w:rFonts w:ascii="楷体" w:eastAsia="楷体" w:hAnsi="楷体" w:hint="eastAsia"/>
          <w:b/>
          <w:bCs/>
          <w:sz w:val="24"/>
          <w:szCs w:val="22"/>
        </w:rPr>
        <w:t>万元</w:t>
      </w:r>
      <w:r>
        <w:rPr>
          <w:rFonts w:hint="eastAsia"/>
          <w:sz w:val="24"/>
          <w:szCs w:val="22"/>
        </w:rPr>
        <w:t>用于补充流动资金，满足经营规模日益扩大带来的资金需求，提升短期偿债能力。</w:t>
      </w:r>
    </w:p>
    <w:p w14:paraId="5845BB64" w14:textId="77777777" w:rsidR="004B0883" w:rsidRDefault="004B0883">
      <w:pPr>
        <w:pStyle w:val="004"/>
        <w:spacing w:before="120" w:after="120"/>
        <w:ind w:firstLine="482"/>
      </w:pPr>
      <w:r>
        <w:t>2</w:t>
      </w:r>
      <w:r>
        <w:rPr>
          <w:rFonts w:hint="eastAsia"/>
        </w:rPr>
        <w:t>、补充流动资金的必要性和可行性</w:t>
      </w:r>
    </w:p>
    <w:p w14:paraId="0632E192" w14:textId="77777777" w:rsidR="004B0883" w:rsidRDefault="004B0883">
      <w:pPr>
        <w:keepNext/>
        <w:keepLines/>
        <w:widowControl w:val="0"/>
        <w:spacing w:beforeLines="50" w:before="120" w:line="360" w:lineRule="auto"/>
        <w:ind w:firstLineChars="200" w:firstLine="482"/>
        <w:jc w:val="both"/>
        <w:outlineLvl w:val="4"/>
        <w:rPr>
          <w:b/>
          <w:bCs/>
          <w:sz w:val="24"/>
          <w:szCs w:val="28"/>
          <w:lang w:val="zh-CN"/>
        </w:rPr>
      </w:pPr>
      <w:bookmarkStart w:id="438" w:name="_Hlk140426531"/>
      <w:r>
        <w:rPr>
          <w:rFonts w:hint="eastAsia"/>
          <w:b/>
          <w:bCs/>
          <w:sz w:val="24"/>
          <w:szCs w:val="28"/>
          <w:lang w:val="zh-CN"/>
        </w:rPr>
        <w:t>（</w:t>
      </w:r>
      <w:r>
        <w:rPr>
          <w:rFonts w:hint="eastAsia"/>
          <w:b/>
          <w:bCs/>
          <w:sz w:val="24"/>
          <w:szCs w:val="28"/>
          <w:lang w:val="zh-CN"/>
        </w:rPr>
        <w:t>1</w:t>
      </w:r>
      <w:r>
        <w:rPr>
          <w:rFonts w:hint="eastAsia"/>
          <w:b/>
          <w:bCs/>
          <w:sz w:val="24"/>
          <w:szCs w:val="28"/>
          <w:lang w:val="zh-CN"/>
        </w:rPr>
        <w:t>）项目实施的必要性</w:t>
      </w:r>
    </w:p>
    <w:p w14:paraId="69044347"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1</w:t>
      </w:r>
      <w:r>
        <w:rPr>
          <w:rFonts w:hint="eastAsia"/>
          <w:sz w:val="24"/>
          <w:szCs w:val="22"/>
        </w:rPr>
        <w:t>）满足营运资金需求，助力公司经营发展</w:t>
      </w:r>
    </w:p>
    <w:p w14:paraId="6395DF32"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近年来，公司经营业绩整体呈现快速增长趋势，随着公司经营规模的扩大，市场开拓、日常经营等环节对营运资金的需求也将进一步扩大，且随着本次募集资金投资项目的推进实施，公司生产经营的流动资金需求也随之上升。使用本次部分募集资金用于补充流动资金，将有效满足公司经营规模扩大所带来的新增营运资金需求，缓解公司资金需求压力，从而集中更多的资源为优势业务的发展提供资金保障。</w:t>
      </w:r>
    </w:p>
    <w:p w14:paraId="07A06A4B"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2</w:t>
      </w:r>
      <w:r>
        <w:rPr>
          <w:rFonts w:hint="eastAsia"/>
          <w:sz w:val="24"/>
          <w:szCs w:val="22"/>
        </w:rPr>
        <w:t>）拓宽融资渠道，优化财务结构，增强公司抗风险能力</w:t>
      </w:r>
    </w:p>
    <w:p w14:paraId="301A6CA7"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近年来，公司为了满足业务发展的资金需求，除通过经营活动补充流动资金外，主要通过银行借款等外部融资方式筹集资金以满足日常经营之需，致使公司资产负债率整体有所上涨。使用本次部分募集资金用于补充流动资金，将有助于公司拓宽融资渠道，优化财务结构，控制经营风险，增强抗风险能力。</w:t>
      </w:r>
    </w:p>
    <w:p w14:paraId="00C71F5C" w14:textId="77777777" w:rsidR="004B0883" w:rsidRDefault="004B0883">
      <w:pPr>
        <w:keepNext/>
        <w:keepLines/>
        <w:widowControl w:val="0"/>
        <w:spacing w:beforeLines="50" w:before="120" w:line="360" w:lineRule="auto"/>
        <w:ind w:firstLineChars="200" w:firstLine="482"/>
        <w:jc w:val="both"/>
        <w:outlineLvl w:val="4"/>
        <w:rPr>
          <w:b/>
          <w:bCs/>
          <w:sz w:val="24"/>
          <w:szCs w:val="28"/>
          <w:lang w:val="zh-CN"/>
        </w:rPr>
      </w:pPr>
      <w:r>
        <w:rPr>
          <w:rFonts w:hint="eastAsia"/>
          <w:b/>
          <w:bCs/>
          <w:sz w:val="24"/>
          <w:szCs w:val="28"/>
          <w:lang w:val="zh-CN"/>
        </w:rPr>
        <w:t>（</w:t>
      </w:r>
      <w:r>
        <w:rPr>
          <w:b/>
          <w:bCs/>
          <w:sz w:val="24"/>
          <w:szCs w:val="28"/>
          <w:lang w:val="zh-CN"/>
        </w:rPr>
        <w:t>2</w:t>
      </w:r>
      <w:r>
        <w:rPr>
          <w:rFonts w:hint="eastAsia"/>
          <w:b/>
          <w:bCs/>
          <w:sz w:val="24"/>
          <w:szCs w:val="28"/>
          <w:lang w:val="zh-CN"/>
        </w:rPr>
        <w:t>）项目实施的可行性</w:t>
      </w:r>
    </w:p>
    <w:p w14:paraId="720AB3FB"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1</w:t>
      </w:r>
      <w:r>
        <w:rPr>
          <w:rFonts w:hint="eastAsia"/>
          <w:sz w:val="24"/>
          <w:szCs w:val="22"/>
        </w:rPr>
        <w:t>）本次募集资金数额及使用符合相关法律法规和规范性文件规定的条件</w:t>
      </w:r>
    </w:p>
    <w:p w14:paraId="1FA7A0CB"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本项目募集资金用于补充流动资金符合相关法律法规的规定，具备可行性。募集资金到位后，可进一步改善资本结构，提高公司抗风险能力，有效缓解公司经营活动扩展的资金需求压力，确保公司业务持续、健康、快速发展，符合公司及全体股东利益。</w:t>
      </w:r>
    </w:p>
    <w:p w14:paraId="7CD04D74"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2</w:t>
      </w:r>
      <w:r>
        <w:rPr>
          <w:rFonts w:hint="eastAsia"/>
          <w:sz w:val="24"/>
          <w:szCs w:val="22"/>
        </w:rPr>
        <w:t>）本次发行的发行人治理规范、内控完善</w:t>
      </w:r>
    </w:p>
    <w:p w14:paraId="5E3866CE" w14:textId="77777777" w:rsidR="004B0883" w:rsidRDefault="004B0883">
      <w:pPr>
        <w:widowControl w:val="0"/>
        <w:spacing w:beforeLines="50" w:before="120" w:line="360" w:lineRule="auto"/>
        <w:ind w:firstLineChars="200" w:firstLine="480"/>
        <w:jc w:val="both"/>
        <w:rPr>
          <w:sz w:val="24"/>
          <w:szCs w:val="22"/>
        </w:rPr>
      </w:pPr>
      <w:r>
        <w:rPr>
          <w:rFonts w:hint="eastAsia"/>
          <w:sz w:val="24"/>
          <w:szCs w:val="22"/>
        </w:rPr>
        <w:t>公司已按照上市公司的治理标准建立了以法人治理结构为核心的现代企业制度，并通过不断改进和完善，形成了较为规范的公司治理体系和完善的内部控制环境。在募集资金管理方面，公司按照监管要求建立了《募集资金管理制度》，对募集资金的存储、使用、投向变更、检查与监督等进行了明确规定。本次发行募集资金到位后，公司董事会将持续监督公司对募集资金的存储及使用，以保证募集资金合理规范使用，防范募集资金使用风险。</w:t>
      </w:r>
    </w:p>
    <w:p w14:paraId="34CCDCDB" w14:textId="77777777" w:rsidR="004B0883" w:rsidRDefault="004B0883">
      <w:pPr>
        <w:pStyle w:val="002"/>
        <w:spacing w:before="120" w:after="120"/>
        <w:rPr>
          <w:rFonts w:hint="eastAsia"/>
        </w:rPr>
      </w:pPr>
      <w:bookmarkStart w:id="439" w:name="_Toc42001365"/>
      <w:bookmarkStart w:id="440" w:name="_Toc152320825"/>
      <w:bookmarkEnd w:id="426"/>
      <w:bookmarkEnd w:id="427"/>
      <w:bookmarkEnd w:id="428"/>
      <w:bookmarkEnd w:id="438"/>
      <w:r>
        <w:rPr>
          <w:rFonts w:hint="eastAsia"/>
        </w:rPr>
        <w:t>四、本次向不特定对象发行可转换公司债券对公司经营管理和财务状况的影响</w:t>
      </w:r>
      <w:bookmarkEnd w:id="439"/>
      <w:bookmarkEnd w:id="440"/>
    </w:p>
    <w:p w14:paraId="3241863D" w14:textId="77777777" w:rsidR="004B0883" w:rsidRDefault="004B0883">
      <w:pPr>
        <w:pStyle w:val="003"/>
        <w:spacing w:before="120" w:after="120"/>
        <w:rPr>
          <w:rFonts w:hint="eastAsia"/>
        </w:rPr>
      </w:pPr>
      <w:r>
        <w:rPr>
          <w:rFonts w:hint="eastAsia"/>
        </w:rPr>
        <w:t>（一）本次向不特定对象发行可转换公司债券对公司经营管理的影响</w:t>
      </w:r>
    </w:p>
    <w:p w14:paraId="16C7B358" w14:textId="77777777" w:rsidR="004B0883" w:rsidRDefault="004B0883">
      <w:pPr>
        <w:pStyle w:val="005"/>
        <w:spacing w:before="120"/>
        <w:ind w:firstLine="480"/>
        <w:rPr>
          <w:rFonts w:hint="eastAsia"/>
        </w:rPr>
      </w:pPr>
      <w:r>
        <w:rPr>
          <w:rFonts w:hint="eastAsia"/>
        </w:rPr>
        <w:t>本次募集资金投资项目与公司主营业务紧密相关，相关项目的顺利实施将进一步增进公司科技创新性、成本和质量控制力，以及增强公司的核心竞争力，对公司长期可持续发展产生积极的作用与影响，符合公司发展需求及公司全体股东的利益。</w:t>
      </w:r>
    </w:p>
    <w:p w14:paraId="06380100" w14:textId="77777777" w:rsidR="004B0883" w:rsidRDefault="004B0883">
      <w:pPr>
        <w:pStyle w:val="003"/>
        <w:spacing w:before="120" w:after="120"/>
        <w:rPr>
          <w:rFonts w:hint="eastAsia"/>
        </w:rPr>
      </w:pPr>
      <w:r>
        <w:rPr>
          <w:rFonts w:hint="eastAsia"/>
        </w:rPr>
        <w:t>（二）本次向不特定对象发行可转换公司债券对公司财务状况的影响</w:t>
      </w:r>
    </w:p>
    <w:p w14:paraId="2D8B2229" w14:textId="77777777" w:rsidR="004B0883" w:rsidRDefault="004B0883">
      <w:pPr>
        <w:pStyle w:val="005"/>
        <w:spacing w:before="120"/>
        <w:ind w:firstLine="480"/>
        <w:rPr>
          <w:rFonts w:hint="eastAsia"/>
        </w:rPr>
      </w:pPr>
      <w:r>
        <w:rPr>
          <w:rFonts w:hint="eastAsia"/>
        </w:rPr>
        <w:t>本次可转换公司债券发行后公司总股本将增加，募集资金到位后公司净资产规模也将提高，但募集资金从投入到产生经济效益需要一定的时间。因此，短期内公司的每股收益和净资产收益率可能会出现一定幅度下降。</w:t>
      </w:r>
    </w:p>
    <w:p w14:paraId="4DAA4B79" w14:textId="77777777" w:rsidR="004B0883" w:rsidRDefault="004B0883">
      <w:pPr>
        <w:pStyle w:val="005"/>
        <w:spacing w:before="120"/>
        <w:ind w:firstLine="480"/>
      </w:pPr>
      <w:r>
        <w:rPr>
          <w:rFonts w:hint="eastAsia"/>
        </w:rPr>
        <w:t>本次募集资金到位后，由于募集资金投资项目的建成、投产并产生效益需要一定时间，同时新增固定资产将带来折旧的增长，短期内公司净资产收益率及每股收益水平或将有所下降。但随着募投项目的达产，公司产品的产能、供应效率以及业务规模将得到进一步提升，有利于公司未来整体盈利水平的提高。</w:t>
      </w:r>
    </w:p>
    <w:p w14:paraId="191E2CDD" w14:textId="77777777" w:rsidR="004B0883" w:rsidRDefault="004B0883">
      <w:pPr>
        <w:pStyle w:val="002"/>
        <w:spacing w:before="120" w:after="120"/>
      </w:pPr>
      <w:bookmarkStart w:id="441" w:name="_Toc105002436"/>
      <w:bookmarkStart w:id="442" w:name="_Hlk98958745"/>
      <w:bookmarkStart w:id="443" w:name="_Toc152320826"/>
      <w:bookmarkStart w:id="444" w:name="_Toc101432048"/>
      <w:r>
        <w:rPr>
          <w:rFonts w:hint="eastAsia"/>
        </w:rPr>
        <w:t>五、关于主营业务与募集资金投向的合规性</w:t>
      </w:r>
      <w:bookmarkEnd w:id="441"/>
      <w:bookmarkEnd w:id="442"/>
      <w:bookmarkEnd w:id="443"/>
      <w:bookmarkEnd w:id="444"/>
    </w:p>
    <w:p w14:paraId="35ABCDD6" w14:textId="77777777" w:rsidR="004B0883" w:rsidRDefault="004B0883">
      <w:pPr>
        <w:pStyle w:val="005"/>
        <w:spacing w:before="120"/>
        <w:ind w:firstLine="480"/>
      </w:pPr>
      <w:r>
        <w:rPr>
          <w:rFonts w:hint="eastAsia"/>
        </w:rPr>
        <w:t>本次发行满足《上市公司证券发行注册管理办法》第三十条关于符合国家产业政策和板块定位（募集资金主要投向主业）的规定。</w:t>
      </w:r>
    </w:p>
    <w:p w14:paraId="1B046363" w14:textId="77777777" w:rsidR="004B0883" w:rsidRDefault="004B0883">
      <w:pPr>
        <w:pStyle w:val="005"/>
        <w:spacing w:before="120"/>
        <w:ind w:firstLine="480"/>
      </w:pPr>
      <w:r>
        <w:rPr>
          <w:rFonts w:hint="eastAsia"/>
        </w:rPr>
        <w:t>发行人主营业务</w:t>
      </w:r>
      <w:r>
        <w:t>为</w:t>
      </w:r>
      <w:r>
        <w:rPr>
          <w:rFonts w:hint="eastAsia"/>
        </w:rPr>
        <w:t>工业阀门产品的设计、研发、生产和销售</w:t>
      </w:r>
      <w:r>
        <w:t>，本次募集资金投向</w:t>
      </w:r>
      <w:r>
        <w:rPr>
          <w:rFonts w:hint="eastAsia"/>
        </w:rPr>
        <w:t>阀门产能建设项目，属于《产业结构调整指导目录（</w:t>
      </w:r>
      <w:r>
        <w:rPr>
          <w:rFonts w:hint="eastAsia"/>
        </w:rPr>
        <w:t>20</w:t>
      </w:r>
      <w:r>
        <w:t>23</w:t>
      </w:r>
      <w:r>
        <w:rPr>
          <w:rFonts w:hint="eastAsia"/>
        </w:rPr>
        <w:t>年本，征求意见稿）》所规定的鼓励类产业。</w:t>
      </w:r>
    </w:p>
    <w:p w14:paraId="12657BE0" w14:textId="77777777" w:rsidR="004B0883" w:rsidRDefault="004B0883">
      <w:pPr>
        <w:pStyle w:val="005"/>
        <w:spacing w:before="120"/>
        <w:ind w:firstLine="480"/>
        <w:rPr>
          <w:rFonts w:hint="eastAsia"/>
        </w:rPr>
      </w:pPr>
      <w:r>
        <w:rPr>
          <w:rFonts w:hint="eastAsia"/>
        </w:rPr>
        <w:t>近年来，物联网、人工智能、大数据、云计算等技术的不断发展以及工业</w:t>
      </w:r>
      <w:r>
        <w:rPr>
          <w:rFonts w:hint="eastAsia"/>
        </w:rPr>
        <w:t>4.0</w:t>
      </w:r>
      <w:r>
        <w:rPr>
          <w:rFonts w:hint="eastAsia"/>
        </w:rPr>
        <w:t>的推行与变革，使得工业自动化水平进一步提升，与之相应的工业自动化设备需求也不断增长。同时，随着节能减排、绿色环保问题的日益严峻，阀门行业也开始进行整体转型，向低碳化节能方向进行探索。国家从产业发展规划、税收优惠、财政补贴等方面颁布各项政策鼓励支持、引导阀门产业发展。社会经济各个领域的发展带动阀门市场需求显著提升。本次募投项目使公司具备绿色、智能化生产等综合运营能力，并在生产实践中进一步提升技术实力。在阀门行业智能化发展及节能减排的双重目标下，国家产业政策的大力支持为本次募投项目的实施提供了良好的政策基础。</w:t>
      </w:r>
    </w:p>
    <w:p w14:paraId="5A4DE89C" w14:textId="77777777" w:rsidR="004B0883" w:rsidRDefault="004B0883">
      <w:pPr>
        <w:pStyle w:val="005"/>
        <w:spacing w:before="120"/>
        <w:ind w:firstLine="480"/>
      </w:pPr>
      <w:r>
        <w:rPr>
          <w:rFonts w:hint="eastAsia"/>
        </w:rPr>
        <w:t>公司本次发行募集资金投资项目不涉及《国务院关于化解产能严重过剩矛盾的指导意见》（国发〔</w:t>
      </w:r>
      <w:r>
        <w:rPr>
          <w:rFonts w:hint="eastAsia"/>
        </w:rPr>
        <w:t>2013</w:t>
      </w:r>
      <w:r>
        <w:rPr>
          <w:rFonts w:hint="eastAsia"/>
        </w:rPr>
        <w:t>〕</w:t>
      </w:r>
      <w:r>
        <w:rPr>
          <w:rFonts w:hint="eastAsia"/>
        </w:rPr>
        <w:t>41</w:t>
      </w:r>
      <w:r>
        <w:rPr>
          <w:rFonts w:hint="eastAsia"/>
        </w:rPr>
        <w:t>号）及《政府核准的投资项目目录（</w:t>
      </w:r>
      <w:r>
        <w:rPr>
          <w:rFonts w:hint="eastAsia"/>
        </w:rPr>
        <w:t>2016</w:t>
      </w:r>
      <w:r>
        <w:rPr>
          <w:rFonts w:hint="eastAsia"/>
        </w:rPr>
        <w:t>年本）》（国发〔</w:t>
      </w:r>
      <w:r>
        <w:rPr>
          <w:rFonts w:hint="eastAsia"/>
        </w:rPr>
        <w:t>2016</w:t>
      </w:r>
      <w:r>
        <w:rPr>
          <w:rFonts w:hint="eastAsia"/>
        </w:rPr>
        <w:t>〕</w:t>
      </w:r>
      <w:r>
        <w:rPr>
          <w:rFonts w:hint="eastAsia"/>
        </w:rPr>
        <w:t>72</w:t>
      </w:r>
      <w:r>
        <w:rPr>
          <w:rFonts w:hint="eastAsia"/>
        </w:rPr>
        <w:t>号）中列示的产能过剩行业，亦不涉及《产业结构调整指导目录（</w:t>
      </w:r>
      <w:r>
        <w:rPr>
          <w:rFonts w:hint="eastAsia"/>
        </w:rPr>
        <w:t>20</w:t>
      </w:r>
      <w:r>
        <w:t>23</w:t>
      </w:r>
      <w:r>
        <w:rPr>
          <w:rFonts w:hint="eastAsia"/>
        </w:rPr>
        <w:t>年本，征求意见稿）》所规定的限制类及淘汰类产业，符合国家产业政策。</w:t>
      </w:r>
    </w:p>
    <w:p w14:paraId="79E19743" w14:textId="77777777" w:rsidR="004B0883" w:rsidRDefault="004B0883">
      <w:pPr>
        <w:pStyle w:val="005"/>
        <w:spacing w:before="120"/>
        <w:ind w:firstLine="480"/>
      </w:pPr>
      <w:r>
        <w:rPr>
          <w:rFonts w:hint="eastAsia"/>
        </w:rPr>
        <w:t>综上所述，发行人本次募投项目符合国家政策要求，不存在需要取得主管部门意见的情形。</w:t>
      </w:r>
    </w:p>
    <w:p w14:paraId="5E74E970" w14:textId="77777777" w:rsidR="004B0883" w:rsidRDefault="004B0883">
      <w:pPr>
        <w:pStyle w:val="005"/>
        <w:spacing w:before="120"/>
        <w:ind w:firstLine="480"/>
      </w:pPr>
      <w:r>
        <w:t>关于募集资金投向与主业的关系如下：</w:t>
      </w:r>
    </w:p>
    <w:tbl>
      <w:tblPr>
        <w:tblW w:w="5000"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900"/>
        <w:gridCol w:w="5380"/>
      </w:tblGrid>
      <w:tr w:rsidR="004B0883" w14:paraId="512203C0" w14:textId="77777777">
        <w:trPr>
          <w:trHeight w:val="397"/>
          <w:jc w:val="center"/>
        </w:trPr>
        <w:tc>
          <w:tcPr>
            <w:tcW w:w="1751" w:type="pct"/>
            <w:shd w:val="clear" w:color="auto" w:fill="D9D9D9"/>
            <w:tcMar>
              <w:top w:w="0" w:type="dxa"/>
              <w:bottom w:w="0" w:type="dxa"/>
            </w:tcMar>
            <w:vAlign w:val="center"/>
          </w:tcPr>
          <w:p w14:paraId="462C5085" w14:textId="77777777" w:rsidR="004B0883" w:rsidRDefault="004B0883">
            <w:pPr>
              <w:tabs>
                <w:tab w:val="left" w:pos="720"/>
                <w:tab w:val="left" w:pos="1287"/>
              </w:tabs>
              <w:adjustRightInd w:val="0"/>
              <w:snapToGrid w:val="0"/>
              <w:jc w:val="center"/>
              <w:rPr>
                <w:b/>
                <w:color w:val="000000"/>
                <w:kern w:val="0"/>
              </w:rPr>
            </w:pPr>
            <w:r>
              <w:rPr>
                <w:b/>
                <w:color w:val="000000"/>
                <w:kern w:val="0"/>
              </w:rPr>
              <w:t>项目</w:t>
            </w:r>
          </w:p>
        </w:tc>
        <w:tc>
          <w:tcPr>
            <w:tcW w:w="3249" w:type="pct"/>
            <w:shd w:val="clear" w:color="auto" w:fill="D9D9D9"/>
            <w:tcMar>
              <w:top w:w="0" w:type="dxa"/>
              <w:bottom w:w="0" w:type="dxa"/>
            </w:tcMar>
            <w:vAlign w:val="center"/>
          </w:tcPr>
          <w:p w14:paraId="2D19C832" w14:textId="77777777" w:rsidR="004B0883" w:rsidRDefault="004B0883">
            <w:pPr>
              <w:tabs>
                <w:tab w:val="left" w:pos="720"/>
                <w:tab w:val="left" w:pos="1287"/>
              </w:tabs>
              <w:adjustRightInd w:val="0"/>
              <w:snapToGrid w:val="0"/>
              <w:jc w:val="center"/>
              <w:rPr>
                <w:b/>
                <w:color w:val="000000"/>
                <w:kern w:val="0"/>
              </w:rPr>
            </w:pPr>
            <w:r>
              <w:rPr>
                <w:rFonts w:hint="eastAsia"/>
                <w:b/>
                <w:color w:val="000000"/>
                <w:kern w:val="0"/>
              </w:rPr>
              <w:t>智慧节能阀门建设项目</w:t>
            </w:r>
          </w:p>
        </w:tc>
      </w:tr>
      <w:tr w:rsidR="004B0883" w14:paraId="2D92ADC2" w14:textId="77777777">
        <w:trPr>
          <w:trHeight w:val="397"/>
          <w:jc w:val="center"/>
        </w:trPr>
        <w:tc>
          <w:tcPr>
            <w:tcW w:w="1751" w:type="pct"/>
            <w:tcMar>
              <w:top w:w="0" w:type="dxa"/>
              <w:bottom w:w="0" w:type="dxa"/>
            </w:tcMar>
            <w:vAlign w:val="center"/>
          </w:tcPr>
          <w:p w14:paraId="20F6B192" w14:textId="77777777" w:rsidR="004B0883" w:rsidRDefault="004B0883">
            <w:pPr>
              <w:tabs>
                <w:tab w:val="left" w:pos="720"/>
                <w:tab w:val="left" w:pos="1287"/>
              </w:tabs>
              <w:adjustRightInd w:val="0"/>
              <w:snapToGrid w:val="0"/>
              <w:jc w:val="both"/>
              <w:rPr>
                <w:color w:val="000000"/>
                <w:kern w:val="0"/>
              </w:rPr>
            </w:pPr>
            <w:r>
              <w:rPr>
                <w:color w:val="000000"/>
                <w:kern w:val="0"/>
              </w:rPr>
              <w:t>1</w:t>
            </w:r>
            <w:r>
              <w:rPr>
                <w:rFonts w:hint="eastAsia"/>
                <w:color w:val="000000"/>
                <w:kern w:val="0"/>
              </w:rPr>
              <w:t>、</w:t>
            </w:r>
            <w:r>
              <w:rPr>
                <w:color w:val="000000"/>
                <w:kern w:val="0"/>
              </w:rPr>
              <w:t>是否属于对现有业务（包括产品、服务、技术等，下同）的扩产</w:t>
            </w:r>
          </w:p>
        </w:tc>
        <w:tc>
          <w:tcPr>
            <w:tcW w:w="3249" w:type="pct"/>
            <w:tcMar>
              <w:top w:w="0" w:type="dxa"/>
              <w:bottom w:w="0" w:type="dxa"/>
            </w:tcMar>
            <w:vAlign w:val="center"/>
          </w:tcPr>
          <w:p w14:paraId="3306F931" w14:textId="77777777" w:rsidR="004B0883" w:rsidRDefault="004B0883">
            <w:pPr>
              <w:widowControl w:val="0"/>
              <w:tabs>
                <w:tab w:val="left" w:pos="720"/>
                <w:tab w:val="left" w:pos="1287"/>
              </w:tabs>
              <w:adjustRightInd w:val="0"/>
              <w:snapToGrid w:val="0"/>
            </w:pPr>
            <w:r>
              <w:t>是；本次募投项目围绕公司主营业务展开，系公司多年来的技术和产品研发积累在阀门生产制造项目的具体体现，项目旨在进一步扩大主营产品产能规模，满足不断增长的下游市场需求</w:t>
            </w:r>
          </w:p>
        </w:tc>
      </w:tr>
      <w:tr w:rsidR="004B0883" w14:paraId="0EB86012" w14:textId="77777777">
        <w:trPr>
          <w:trHeight w:val="397"/>
          <w:jc w:val="center"/>
        </w:trPr>
        <w:tc>
          <w:tcPr>
            <w:tcW w:w="1751" w:type="pct"/>
            <w:tcMar>
              <w:top w:w="0" w:type="dxa"/>
              <w:bottom w:w="0" w:type="dxa"/>
            </w:tcMar>
            <w:vAlign w:val="center"/>
          </w:tcPr>
          <w:p w14:paraId="6F20C6F6" w14:textId="77777777" w:rsidR="004B0883" w:rsidRDefault="004B0883">
            <w:pPr>
              <w:widowControl w:val="0"/>
              <w:tabs>
                <w:tab w:val="left" w:pos="720"/>
                <w:tab w:val="left" w:pos="1287"/>
              </w:tabs>
              <w:adjustRightInd w:val="0"/>
              <w:snapToGrid w:val="0"/>
              <w:jc w:val="both"/>
            </w:pPr>
            <w:r>
              <w:rPr>
                <w:color w:val="000000"/>
                <w:kern w:val="0"/>
              </w:rPr>
              <w:t>2</w:t>
            </w:r>
            <w:r>
              <w:rPr>
                <w:rFonts w:hint="eastAsia"/>
                <w:color w:val="000000"/>
                <w:kern w:val="0"/>
              </w:rPr>
              <w:t>、</w:t>
            </w:r>
            <w:r>
              <w:rPr>
                <w:color w:val="000000"/>
                <w:kern w:val="0"/>
              </w:rPr>
              <w:t>是否属于对现有业务的升级</w:t>
            </w:r>
          </w:p>
        </w:tc>
        <w:tc>
          <w:tcPr>
            <w:tcW w:w="3249" w:type="pct"/>
            <w:tcMar>
              <w:top w:w="0" w:type="dxa"/>
              <w:bottom w:w="0" w:type="dxa"/>
            </w:tcMar>
            <w:vAlign w:val="center"/>
          </w:tcPr>
          <w:p w14:paraId="577DC340" w14:textId="77777777" w:rsidR="004B0883" w:rsidRDefault="004B0883">
            <w:pPr>
              <w:widowControl w:val="0"/>
              <w:tabs>
                <w:tab w:val="left" w:pos="720"/>
                <w:tab w:val="left" w:pos="1287"/>
              </w:tabs>
              <w:adjustRightInd w:val="0"/>
              <w:snapToGrid w:val="0"/>
            </w:pPr>
            <w:r>
              <w:rPr>
                <w:rFonts w:hint="eastAsia"/>
              </w:rPr>
              <w:t>是</w:t>
            </w:r>
            <w:r>
              <w:t>；本次募投项目</w:t>
            </w:r>
            <w:r>
              <w:rPr>
                <w:rFonts w:hint="eastAsia"/>
              </w:rPr>
              <w:t>产品项目在客户、技术等方面与现有产品具有一致性。同时，募投项目是对现有业务和产品的升级</w:t>
            </w:r>
          </w:p>
        </w:tc>
      </w:tr>
      <w:tr w:rsidR="004B0883" w14:paraId="3671DCEF" w14:textId="77777777">
        <w:trPr>
          <w:trHeight w:val="397"/>
          <w:jc w:val="center"/>
        </w:trPr>
        <w:tc>
          <w:tcPr>
            <w:tcW w:w="1751" w:type="pct"/>
            <w:tcMar>
              <w:top w:w="0" w:type="dxa"/>
              <w:bottom w:w="0" w:type="dxa"/>
            </w:tcMar>
            <w:vAlign w:val="center"/>
          </w:tcPr>
          <w:p w14:paraId="524A42A4" w14:textId="77777777" w:rsidR="004B0883" w:rsidRDefault="004B0883">
            <w:pPr>
              <w:widowControl w:val="0"/>
              <w:tabs>
                <w:tab w:val="left" w:pos="720"/>
                <w:tab w:val="left" w:pos="1287"/>
              </w:tabs>
              <w:adjustRightInd w:val="0"/>
              <w:snapToGrid w:val="0"/>
              <w:jc w:val="both"/>
            </w:pPr>
            <w:r>
              <w:rPr>
                <w:color w:val="000000"/>
                <w:kern w:val="0"/>
              </w:rPr>
              <w:t>3</w:t>
            </w:r>
            <w:r>
              <w:rPr>
                <w:rFonts w:hint="eastAsia"/>
                <w:color w:val="000000"/>
                <w:kern w:val="0"/>
              </w:rPr>
              <w:t>、</w:t>
            </w:r>
            <w:r>
              <w:rPr>
                <w:color w:val="000000"/>
                <w:kern w:val="0"/>
              </w:rPr>
              <w:t>是否属于基于现有业务在其他应用领域的拓展</w:t>
            </w:r>
          </w:p>
        </w:tc>
        <w:tc>
          <w:tcPr>
            <w:tcW w:w="3249" w:type="pct"/>
            <w:tcMar>
              <w:top w:w="0" w:type="dxa"/>
              <w:bottom w:w="0" w:type="dxa"/>
            </w:tcMar>
            <w:vAlign w:val="center"/>
          </w:tcPr>
          <w:p w14:paraId="05EB7EF3" w14:textId="77777777" w:rsidR="004B0883" w:rsidRDefault="004B0883">
            <w:pPr>
              <w:widowControl w:val="0"/>
              <w:tabs>
                <w:tab w:val="left" w:pos="720"/>
                <w:tab w:val="left" w:pos="1287"/>
              </w:tabs>
              <w:adjustRightInd w:val="0"/>
              <w:snapToGrid w:val="0"/>
              <w:jc w:val="center"/>
            </w:pPr>
            <w:r>
              <w:t>否</w:t>
            </w:r>
          </w:p>
        </w:tc>
      </w:tr>
      <w:tr w:rsidR="004B0883" w14:paraId="7847F3EA" w14:textId="77777777">
        <w:trPr>
          <w:trHeight w:val="397"/>
          <w:jc w:val="center"/>
        </w:trPr>
        <w:tc>
          <w:tcPr>
            <w:tcW w:w="1751" w:type="pct"/>
            <w:tcMar>
              <w:top w:w="0" w:type="dxa"/>
              <w:bottom w:w="0" w:type="dxa"/>
            </w:tcMar>
            <w:vAlign w:val="center"/>
          </w:tcPr>
          <w:p w14:paraId="4935A08E" w14:textId="77777777" w:rsidR="004B0883" w:rsidRDefault="004B0883">
            <w:pPr>
              <w:widowControl w:val="0"/>
              <w:tabs>
                <w:tab w:val="left" w:pos="720"/>
                <w:tab w:val="left" w:pos="1287"/>
              </w:tabs>
              <w:adjustRightInd w:val="0"/>
              <w:snapToGrid w:val="0"/>
              <w:jc w:val="both"/>
            </w:pPr>
            <w:r>
              <w:rPr>
                <w:color w:val="000000"/>
                <w:kern w:val="0"/>
              </w:rPr>
              <w:t>4</w:t>
            </w:r>
            <w:r>
              <w:rPr>
                <w:rFonts w:hint="eastAsia"/>
                <w:color w:val="000000"/>
                <w:kern w:val="0"/>
              </w:rPr>
              <w:t>、</w:t>
            </w:r>
            <w:r>
              <w:rPr>
                <w:color w:val="000000"/>
                <w:kern w:val="0"/>
              </w:rPr>
              <w:t>是否属于对产业链上下游的（横向</w:t>
            </w:r>
            <w:r>
              <w:rPr>
                <w:color w:val="000000"/>
                <w:kern w:val="0"/>
              </w:rPr>
              <w:t>/</w:t>
            </w:r>
            <w:r>
              <w:rPr>
                <w:color w:val="000000"/>
                <w:kern w:val="0"/>
              </w:rPr>
              <w:t>纵向）延伸</w:t>
            </w:r>
          </w:p>
        </w:tc>
        <w:tc>
          <w:tcPr>
            <w:tcW w:w="3249" w:type="pct"/>
            <w:tcMar>
              <w:top w:w="0" w:type="dxa"/>
              <w:bottom w:w="0" w:type="dxa"/>
            </w:tcMar>
            <w:vAlign w:val="center"/>
          </w:tcPr>
          <w:p w14:paraId="295D385C" w14:textId="77777777" w:rsidR="004B0883" w:rsidRDefault="004B0883">
            <w:pPr>
              <w:widowControl w:val="0"/>
              <w:tabs>
                <w:tab w:val="left" w:pos="720"/>
                <w:tab w:val="left" w:pos="1287"/>
              </w:tabs>
              <w:adjustRightInd w:val="0"/>
              <w:snapToGrid w:val="0"/>
              <w:jc w:val="center"/>
            </w:pPr>
            <w:r>
              <w:t>否</w:t>
            </w:r>
          </w:p>
        </w:tc>
      </w:tr>
      <w:tr w:rsidR="004B0883" w14:paraId="64E3C81C" w14:textId="77777777">
        <w:trPr>
          <w:trHeight w:val="397"/>
          <w:jc w:val="center"/>
        </w:trPr>
        <w:tc>
          <w:tcPr>
            <w:tcW w:w="1751" w:type="pct"/>
            <w:tcMar>
              <w:top w:w="0" w:type="dxa"/>
              <w:bottom w:w="0" w:type="dxa"/>
            </w:tcMar>
            <w:vAlign w:val="center"/>
          </w:tcPr>
          <w:p w14:paraId="7B6557AF" w14:textId="77777777" w:rsidR="004B0883" w:rsidRDefault="004B0883">
            <w:pPr>
              <w:widowControl w:val="0"/>
              <w:tabs>
                <w:tab w:val="left" w:pos="720"/>
                <w:tab w:val="left" w:pos="1287"/>
              </w:tabs>
              <w:adjustRightInd w:val="0"/>
              <w:snapToGrid w:val="0"/>
              <w:jc w:val="both"/>
            </w:pPr>
            <w:r>
              <w:t>5</w:t>
            </w:r>
            <w:r>
              <w:rPr>
                <w:rFonts w:hint="eastAsia"/>
              </w:rPr>
              <w:t>、</w:t>
            </w:r>
            <w:r>
              <w:t>是否属于跨主业投资</w:t>
            </w:r>
          </w:p>
        </w:tc>
        <w:tc>
          <w:tcPr>
            <w:tcW w:w="3249" w:type="pct"/>
            <w:tcMar>
              <w:top w:w="0" w:type="dxa"/>
              <w:bottom w:w="0" w:type="dxa"/>
            </w:tcMar>
            <w:vAlign w:val="center"/>
          </w:tcPr>
          <w:p w14:paraId="79E1C231" w14:textId="77777777" w:rsidR="004B0883" w:rsidRDefault="004B0883">
            <w:pPr>
              <w:widowControl w:val="0"/>
              <w:tabs>
                <w:tab w:val="left" w:pos="720"/>
                <w:tab w:val="left" w:pos="1287"/>
              </w:tabs>
              <w:adjustRightInd w:val="0"/>
              <w:snapToGrid w:val="0"/>
              <w:jc w:val="center"/>
            </w:pPr>
            <w:r>
              <w:t>否</w:t>
            </w:r>
          </w:p>
        </w:tc>
      </w:tr>
      <w:tr w:rsidR="004B0883" w14:paraId="28712CBF" w14:textId="77777777">
        <w:trPr>
          <w:trHeight w:val="397"/>
          <w:jc w:val="center"/>
        </w:trPr>
        <w:tc>
          <w:tcPr>
            <w:tcW w:w="1751" w:type="pct"/>
            <w:tcMar>
              <w:top w:w="0" w:type="dxa"/>
              <w:bottom w:w="0" w:type="dxa"/>
            </w:tcMar>
            <w:vAlign w:val="center"/>
          </w:tcPr>
          <w:p w14:paraId="1180D32F" w14:textId="77777777" w:rsidR="004B0883" w:rsidRDefault="004B0883">
            <w:pPr>
              <w:widowControl w:val="0"/>
              <w:tabs>
                <w:tab w:val="left" w:pos="720"/>
                <w:tab w:val="left" w:pos="1287"/>
              </w:tabs>
              <w:adjustRightInd w:val="0"/>
              <w:snapToGrid w:val="0"/>
              <w:jc w:val="both"/>
            </w:pPr>
            <w:r>
              <w:t>6</w:t>
            </w:r>
            <w:r>
              <w:rPr>
                <w:rFonts w:hint="eastAsia"/>
              </w:rPr>
              <w:t>、</w:t>
            </w:r>
            <w:r>
              <w:t>其他</w:t>
            </w:r>
          </w:p>
        </w:tc>
        <w:tc>
          <w:tcPr>
            <w:tcW w:w="3249" w:type="pct"/>
            <w:tcMar>
              <w:top w:w="0" w:type="dxa"/>
              <w:bottom w:w="0" w:type="dxa"/>
            </w:tcMar>
            <w:vAlign w:val="center"/>
          </w:tcPr>
          <w:p w14:paraId="163272F7" w14:textId="77777777" w:rsidR="004B0883" w:rsidRDefault="004B0883">
            <w:pPr>
              <w:widowControl w:val="0"/>
              <w:tabs>
                <w:tab w:val="left" w:pos="720"/>
                <w:tab w:val="left" w:pos="1287"/>
              </w:tabs>
              <w:adjustRightInd w:val="0"/>
              <w:snapToGrid w:val="0"/>
              <w:jc w:val="center"/>
            </w:pPr>
            <w:r>
              <w:t>-</w:t>
            </w:r>
          </w:p>
        </w:tc>
      </w:tr>
    </w:tbl>
    <w:p w14:paraId="18CE6C03" w14:textId="77777777" w:rsidR="004B0883" w:rsidRDefault="004B0883">
      <w:pPr>
        <w:pStyle w:val="001"/>
        <w:spacing w:before="120" w:after="120"/>
        <w:rPr>
          <w:rFonts w:hint="eastAsia"/>
        </w:rPr>
      </w:pPr>
      <w:bookmarkStart w:id="445" w:name="_Toc42001366"/>
      <w:bookmarkStart w:id="446" w:name="_Toc152320827"/>
      <w:r>
        <w:rPr>
          <w:rFonts w:hint="eastAsia"/>
        </w:rPr>
        <w:t>第八节</w:t>
      </w:r>
      <w:r>
        <w:rPr>
          <w:rFonts w:hint="eastAsia"/>
        </w:rPr>
        <w:t xml:space="preserve">  </w:t>
      </w:r>
      <w:r>
        <w:rPr>
          <w:rFonts w:hint="eastAsia"/>
        </w:rPr>
        <w:t>历次募集资金运用</w:t>
      </w:r>
      <w:bookmarkEnd w:id="445"/>
      <w:bookmarkEnd w:id="446"/>
    </w:p>
    <w:p w14:paraId="421273A6" w14:textId="77777777" w:rsidR="004B0883" w:rsidRDefault="004B0883">
      <w:pPr>
        <w:pStyle w:val="005"/>
        <w:spacing w:before="120"/>
        <w:ind w:firstLine="480"/>
      </w:pPr>
      <w:r>
        <w:rPr>
          <w:rFonts w:hint="eastAsia"/>
        </w:rPr>
        <w:t>公司最近一次募集资金为</w:t>
      </w:r>
      <w:r>
        <w:rPr>
          <w:rFonts w:hint="eastAsia"/>
        </w:rPr>
        <w:t>2017</w:t>
      </w:r>
      <w:r>
        <w:rPr>
          <w:rFonts w:hint="eastAsia"/>
        </w:rPr>
        <w:t>年首次公开发行股票募集资金，募集资金到位距今已满五个会计年度，公司最近五年不存在通过增发、配股、可转换公司债券等方式募集资金的情形。</w:t>
      </w:r>
    </w:p>
    <w:p w14:paraId="58EB88DC" w14:textId="773072A3" w:rsidR="004B0883" w:rsidRDefault="0090540C">
      <w:pPr>
        <w:pStyle w:val="001"/>
        <w:spacing w:before="120" w:after="120"/>
        <w:rPr>
          <w:rFonts w:hint="eastAsia"/>
        </w:rPr>
      </w:pPr>
      <w:bookmarkStart w:id="447" w:name="_Toc152320828"/>
      <w:bookmarkStart w:id="448" w:name="_Hlk135835105"/>
      <w:r>
        <w:rPr>
          <w:noProof/>
        </w:rPr>
        <w:drawing>
          <wp:anchor distT="0" distB="0" distL="114300" distR="114300" simplePos="0" relativeHeight="251653632" behindDoc="0" locked="0" layoutInCell="0" allowOverlap="1" wp14:anchorId="6886210F" wp14:editId="2EB46A2B">
            <wp:simplePos x="0" y="0"/>
            <wp:positionH relativeFrom="page">
              <wp:posOffset>2540</wp:posOffset>
            </wp:positionH>
            <wp:positionV relativeFrom="page">
              <wp:posOffset>800100</wp:posOffset>
            </wp:positionV>
            <wp:extent cx="7553960" cy="8534400"/>
            <wp:effectExtent l="0" t="0" r="0" b="0"/>
            <wp:wrapNone/>
            <wp:docPr id="103202134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cstate="print">
                      <a:lum contrast="20000"/>
                      <a:extLst>
                        <a:ext uri="{28A0092B-C50C-407E-A947-70E740481C1C}">
                          <a14:useLocalDpi xmlns:a14="http://schemas.microsoft.com/office/drawing/2010/main" val="0"/>
                        </a:ext>
                      </a:extLst>
                    </a:blip>
                    <a:srcRect t="10515" b="9647"/>
                    <a:stretch>
                      <a:fillRect/>
                    </a:stretch>
                  </pic:blipFill>
                  <pic:spPr bwMode="auto">
                    <a:xfrm>
                      <a:off x="0" y="0"/>
                      <a:ext cx="7553960" cy="853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0883">
        <w:rPr>
          <w:rStyle w:val="001Char"/>
          <w:rFonts w:hint="eastAsia"/>
        </w:rPr>
        <w:t>第九节</w:t>
      </w:r>
      <w:r w:rsidR="004B0883">
        <w:rPr>
          <w:rStyle w:val="001Char"/>
          <w:rFonts w:hint="eastAsia"/>
        </w:rPr>
        <w:t xml:space="preserve">  </w:t>
      </w:r>
      <w:r w:rsidR="004B0883">
        <w:rPr>
          <w:rFonts w:hint="eastAsia"/>
        </w:rPr>
        <w:t>声明</w:t>
      </w:r>
      <w:bookmarkEnd w:id="407"/>
      <w:bookmarkEnd w:id="447"/>
    </w:p>
    <w:p w14:paraId="5EEE4CCB" w14:textId="77777777" w:rsidR="004B0883" w:rsidRDefault="004B0883">
      <w:pPr>
        <w:pStyle w:val="002"/>
        <w:spacing w:before="120" w:after="120"/>
        <w:rPr>
          <w:rFonts w:hint="eastAsia"/>
        </w:rPr>
      </w:pPr>
      <w:bookmarkStart w:id="449" w:name="_Toc42001371"/>
      <w:bookmarkStart w:id="450" w:name="_Toc152320829"/>
      <w:r>
        <w:rPr>
          <w:rFonts w:hint="eastAsia"/>
        </w:rPr>
        <w:t>一、本公司董事、监事、高级管理人员声明</w:t>
      </w:r>
      <w:bookmarkEnd w:id="450"/>
    </w:p>
    <w:p w14:paraId="7704DEA9" w14:textId="77777777" w:rsidR="004B0883" w:rsidRDefault="004B0883">
      <w:pPr>
        <w:pStyle w:val="005"/>
        <w:spacing w:before="120" w:after="120"/>
        <w:ind w:firstLine="480"/>
        <w:rPr>
          <w:rFonts w:hint="eastAsia"/>
        </w:rPr>
      </w:pPr>
      <w:r>
        <w:rPr>
          <w:rFonts w:hint="eastAsia"/>
        </w:rPr>
        <w:t>本公司及全体董事、监事、高级管理人员承诺本募集说明书内容真实、准确、完整，不存在虚假记载、误导性陈述或重大遗漏，按照诚信原则履行承诺，并承担相应的法律责任。</w:t>
      </w:r>
    </w:p>
    <w:p w14:paraId="10DEEE36" w14:textId="77777777" w:rsidR="004B0883" w:rsidRDefault="004B0883">
      <w:pPr>
        <w:spacing w:before="120" w:line="360" w:lineRule="auto"/>
        <w:rPr>
          <w:rFonts w:hint="eastAsia"/>
        </w:rPr>
      </w:pPr>
    </w:p>
    <w:p w14:paraId="536547FC" w14:textId="77777777" w:rsidR="004B0883" w:rsidRDefault="004B0883">
      <w:pPr>
        <w:pStyle w:val="005"/>
        <w:spacing w:before="120" w:after="120"/>
        <w:ind w:firstLine="480"/>
        <w:rPr>
          <w:rFonts w:hint="eastAsia"/>
        </w:rPr>
      </w:pPr>
      <w:bookmarkStart w:id="451" w:name="_Hlk135836324"/>
      <w:r>
        <w:rPr>
          <w:rFonts w:hint="eastAsia"/>
        </w:rPr>
        <w:t>公司全体董事签名：</w:t>
      </w:r>
    </w:p>
    <w:tbl>
      <w:tblPr>
        <w:tblW w:w="5000" w:type="pct"/>
        <w:jc w:val="center"/>
        <w:tblInd w:w="0" w:type="dxa"/>
        <w:tblLook w:val="0000" w:firstRow="0" w:lastRow="0" w:firstColumn="0" w:lastColumn="0" w:noHBand="0" w:noVBand="0"/>
      </w:tblPr>
      <w:tblGrid>
        <w:gridCol w:w="2294"/>
        <w:gridCol w:w="696"/>
        <w:gridCol w:w="2305"/>
        <w:gridCol w:w="703"/>
        <w:gridCol w:w="2312"/>
      </w:tblGrid>
      <w:tr w:rsidR="004B0883" w14:paraId="45D34201" w14:textId="77777777">
        <w:trPr>
          <w:trHeight w:val="680"/>
          <w:jc w:val="center"/>
        </w:trPr>
        <w:tc>
          <w:tcPr>
            <w:tcW w:w="1380" w:type="pct"/>
            <w:tcBorders>
              <w:bottom w:val="single" w:sz="4" w:space="0" w:color="auto"/>
            </w:tcBorders>
            <w:vAlign w:val="center"/>
          </w:tcPr>
          <w:p w14:paraId="6F877B7D" w14:textId="77777777" w:rsidR="004B0883" w:rsidRDefault="004B0883">
            <w:pPr>
              <w:widowControl w:val="0"/>
              <w:spacing w:line="360" w:lineRule="auto"/>
              <w:jc w:val="center"/>
              <w:rPr>
                <w:rFonts w:ascii="Calibri" w:hAnsi="Calibri"/>
                <w:sz w:val="24"/>
                <w:szCs w:val="24"/>
              </w:rPr>
            </w:pPr>
          </w:p>
        </w:tc>
        <w:tc>
          <w:tcPr>
            <w:tcW w:w="419" w:type="pct"/>
            <w:vAlign w:val="center"/>
          </w:tcPr>
          <w:p w14:paraId="3B996EA9" w14:textId="77777777" w:rsidR="004B0883" w:rsidRDefault="004B0883">
            <w:pPr>
              <w:widowControl w:val="0"/>
              <w:spacing w:line="360" w:lineRule="auto"/>
              <w:jc w:val="center"/>
              <w:rPr>
                <w:rFonts w:ascii="Calibri" w:hAnsi="Calibri"/>
                <w:sz w:val="24"/>
                <w:szCs w:val="24"/>
              </w:rPr>
            </w:pPr>
          </w:p>
        </w:tc>
        <w:tc>
          <w:tcPr>
            <w:tcW w:w="1387" w:type="pct"/>
            <w:tcBorders>
              <w:bottom w:val="single" w:sz="4" w:space="0" w:color="auto"/>
            </w:tcBorders>
            <w:vAlign w:val="center"/>
          </w:tcPr>
          <w:p w14:paraId="083713CD" w14:textId="77777777" w:rsidR="004B0883" w:rsidRDefault="004B0883">
            <w:pPr>
              <w:widowControl w:val="0"/>
              <w:spacing w:line="360" w:lineRule="auto"/>
              <w:jc w:val="center"/>
              <w:rPr>
                <w:rFonts w:ascii="Calibri" w:hAnsi="Calibri"/>
                <w:sz w:val="24"/>
                <w:szCs w:val="24"/>
              </w:rPr>
            </w:pPr>
          </w:p>
        </w:tc>
        <w:tc>
          <w:tcPr>
            <w:tcW w:w="423" w:type="pct"/>
            <w:vAlign w:val="center"/>
          </w:tcPr>
          <w:p w14:paraId="43FF611C" w14:textId="77777777" w:rsidR="004B0883" w:rsidRDefault="004B0883">
            <w:pPr>
              <w:widowControl w:val="0"/>
              <w:spacing w:line="360" w:lineRule="auto"/>
              <w:jc w:val="center"/>
              <w:rPr>
                <w:rFonts w:ascii="Calibri" w:hAnsi="Calibri"/>
                <w:sz w:val="24"/>
                <w:szCs w:val="24"/>
              </w:rPr>
            </w:pPr>
          </w:p>
        </w:tc>
        <w:tc>
          <w:tcPr>
            <w:tcW w:w="1391" w:type="pct"/>
            <w:tcBorders>
              <w:bottom w:val="single" w:sz="4" w:space="0" w:color="auto"/>
            </w:tcBorders>
            <w:vAlign w:val="center"/>
          </w:tcPr>
          <w:p w14:paraId="373D4D82" w14:textId="77777777" w:rsidR="004B0883" w:rsidRDefault="004B0883">
            <w:pPr>
              <w:widowControl w:val="0"/>
              <w:spacing w:line="360" w:lineRule="auto"/>
              <w:jc w:val="center"/>
              <w:rPr>
                <w:rFonts w:ascii="Calibri" w:hAnsi="Calibri"/>
                <w:sz w:val="24"/>
                <w:szCs w:val="24"/>
              </w:rPr>
            </w:pPr>
          </w:p>
        </w:tc>
      </w:tr>
      <w:tr w:rsidR="004B0883" w14:paraId="5FAB9F09" w14:textId="77777777">
        <w:trPr>
          <w:jc w:val="center"/>
        </w:trPr>
        <w:tc>
          <w:tcPr>
            <w:tcW w:w="1380" w:type="pct"/>
            <w:tcBorders>
              <w:top w:val="single" w:sz="4" w:space="0" w:color="auto"/>
            </w:tcBorders>
            <w:vAlign w:val="center"/>
          </w:tcPr>
          <w:p w14:paraId="5497E8AB" w14:textId="77777777" w:rsidR="004B0883" w:rsidRDefault="004B0883">
            <w:pPr>
              <w:widowControl w:val="0"/>
              <w:spacing w:line="360" w:lineRule="auto"/>
              <w:jc w:val="center"/>
              <w:rPr>
                <w:rFonts w:ascii="Calibri" w:hAnsi="Calibri"/>
                <w:sz w:val="24"/>
                <w:szCs w:val="24"/>
              </w:rPr>
            </w:pPr>
            <w:r>
              <w:rPr>
                <w:rFonts w:ascii="Calibri" w:hAnsi="Calibri" w:hint="eastAsia"/>
                <w:sz w:val="24"/>
                <w:szCs w:val="24"/>
              </w:rPr>
              <w:t>范庆伟</w:t>
            </w:r>
          </w:p>
        </w:tc>
        <w:tc>
          <w:tcPr>
            <w:tcW w:w="419" w:type="pct"/>
            <w:vAlign w:val="center"/>
          </w:tcPr>
          <w:p w14:paraId="62C5CCD3" w14:textId="77777777" w:rsidR="004B0883" w:rsidRDefault="004B0883">
            <w:pPr>
              <w:widowControl w:val="0"/>
              <w:spacing w:line="360" w:lineRule="auto"/>
              <w:jc w:val="center"/>
              <w:rPr>
                <w:rFonts w:ascii="Calibri" w:hAnsi="Calibri"/>
                <w:sz w:val="24"/>
                <w:szCs w:val="24"/>
              </w:rPr>
            </w:pPr>
          </w:p>
        </w:tc>
        <w:tc>
          <w:tcPr>
            <w:tcW w:w="1387" w:type="pct"/>
            <w:tcBorders>
              <w:top w:val="single" w:sz="4" w:space="0" w:color="auto"/>
            </w:tcBorders>
            <w:vAlign w:val="center"/>
          </w:tcPr>
          <w:p w14:paraId="594F9949" w14:textId="77777777" w:rsidR="004B0883" w:rsidRDefault="004B0883">
            <w:pPr>
              <w:widowControl w:val="0"/>
              <w:spacing w:line="360" w:lineRule="auto"/>
              <w:jc w:val="center"/>
              <w:rPr>
                <w:rFonts w:ascii="Calibri" w:hAnsi="Calibri"/>
                <w:sz w:val="24"/>
                <w:szCs w:val="24"/>
              </w:rPr>
            </w:pPr>
            <w:r>
              <w:rPr>
                <w:rFonts w:ascii="Calibri" w:hAnsi="Calibri" w:hint="eastAsia"/>
                <w:sz w:val="24"/>
                <w:szCs w:val="24"/>
              </w:rPr>
              <w:t>李会君</w:t>
            </w:r>
          </w:p>
        </w:tc>
        <w:tc>
          <w:tcPr>
            <w:tcW w:w="423" w:type="pct"/>
            <w:vAlign w:val="center"/>
          </w:tcPr>
          <w:p w14:paraId="5DB86F2B" w14:textId="77777777" w:rsidR="004B0883" w:rsidRDefault="004B0883">
            <w:pPr>
              <w:widowControl w:val="0"/>
              <w:spacing w:line="360" w:lineRule="auto"/>
              <w:jc w:val="center"/>
              <w:rPr>
                <w:rFonts w:ascii="Calibri" w:hAnsi="Calibri"/>
                <w:sz w:val="24"/>
                <w:szCs w:val="24"/>
              </w:rPr>
            </w:pPr>
          </w:p>
        </w:tc>
        <w:tc>
          <w:tcPr>
            <w:tcW w:w="1391" w:type="pct"/>
            <w:tcBorders>
              <w:top w:val="single" w:sz="4" w:space="0" w:color="auto"/>
            </w:tcBorders>
            <w:vAlign w:val="center"/>
          </w:tcPr>
          <w:p w14:paraId="078DA2CF" w14:textId="77777777" w:rsidR="004B0883" w:rsidRDefault="004B0883">
            <w:pPr>
              <w:widowControl w:val="0"/>
              <w:spacing w:line="360" w:lineRule="auto"/>
              <w:jc w:val="center"/>
              <w:rPr>
                <w:rFonts w:ascii="Calibri" w:hAnsi="Calibri" w:hint="eastAsia"/>
                <w:sz w:val="24"/>
                <w:szCs w:val="24"/>
              </w:rPr>
            </w:pPr>
            <w:r>
              <w:rPr>
                <w:rFonts w:ascii="Calibri" w:hAnsi="Calibri" w:hint="eastAsia"/>
                <w:sz w:val="24"/>
                <w:szCs w:val="24"/>
              </w:rPr>
              <w:t>迟娜娜</w:t>
            </w:r>
          </w:p>
        </w:tc>
      </w:tr>
      <w:tr w:rsidR="004B0883" w14:paraId="52743D12" w14:textId="77777777">
        <w:trPr>
          <w:trHeight w:val="680"/>
          <w:jc w:val="center"/>
        </w:trPr>
        <w:tc>
          <w:tcPr>
            <w:tcW w:w="1380" w:type="pct"/>
            <w:tcBorders>
              <w:bottom w:val="single" w:sz="4" w:space="0" w:color="auto"/>
            </w:tcBorders>
            <w:vAlign w:val="center"/>
          </w:tcPr>
          <w:p w14:paraId="5601132E" w14:textId="77777777" w:rsidR="004B0883" w:rsidRDefault="004B0883">
            <w:pPr>
              <w:widowControl w:val="0"/>
              <w:spacing w:line="360" w:lineRule="auto"/>
              <w:jc w:val="center"/>
              <w:rPr>
                <w:rFonts w:ascii="Calibri" w:hAnsi="Calibri"/>
                <w:sz w:val="24"/>
                <w:szCs w:val="24"/>
              </w:rPr>
            </w:pPr>
          </w:p>
        </w:tc>
        <w:tc>
          <w:tcPr>
            <w:tcW w:w="419" w:type="pct"/>
            <w:vAlign w:val="center"/>
          </w:tcPr>
          <w:p w14:paraId="0249AFAB" w14:textId="77777777" w:rsidR="004B0883" w:rsidRDefault="004B0883">
            <w:pPr>
              <w:widowControl w:val="0"/>
              <w:spacing w:line="360" w:lineRule="auto"/>
              <w:jc w:val="center"/>
              <w:rPr>
                <w:rFonts w:ascii="Calibri" w:hAnsi="Calibri"/>
                <w:sz w:val="24"/>
                <w:szCs w:val="24"/>
              </w:rPr>
            </w:pPr>
          </w:p>
        </w:tc>
        <w:tc>
          <w:tcPr>
            <w:tcW w:w="1387" w:type="pct"/>
            <w:tcBorders>
              <w:bottom w:val="single" w:sz="4" w:space="0" w:color="auto"/>
            </w:tcBorders>
            <w:vAlign w:val="center"/>
          </w:tcPr>
          <w:p w14:paraId="5FE4F26F" w14:textId="77777777" w:rsidR="004B0883" w:rsidRDefault="004B0883">
            <w:pPr>
              <w:widowControl w:val="0"/>
              <w:spacing w:line="360" w:lineRule="auto"/>
              <w:jc w:val="center"/>
              <w:rPr>
                <w:rFonts w:ascii="Calibri" w:hAnsi="Calibri"/>
                <w:sz w:val="24"/>
                <w:szCs w:val="24"/>
              </w:rPr>
            </w:pPr>
          </w:p>
        </w:tc>
        <w:tc>
          <w:tcPr>
            <w:tcW w:w="423" w:type="pct"/>
            <w:vAlign w:val="center"/>
          </w:tcPr>
          <w:p w14:paraId="6D3578D2" w14:textId="77777777" w:rsidR="004B0883" w:rsidRDefault="004B0883">
            <w:pPr>
              <w:widowControl w:val="0"/>
              <w:spacing w:line="360" w:lineRule="auto"/>
              <w:jc w:val="center"/>
              <w:rPr>
                <w:rFonts w:ascii="Calibri" w:hAnsi="Calibri"/>
                <w:sz w:val="24"/>
                <w:szCs w:val="24"/>
              </w:rPr>
            </w:pPr>
          </w:p>
        </w:tc>
        <w:tc>
          <w:tcPr>
            <w:tcW w:w="1391" w:type="pct"/>
            <w:tcBorders>
              <w:bottom w:val="single" w:sz="4" w:space="0" w:color="auto"/>
            </w:tcBorders>
            <w:vAlign w:val="center"/>
          </w:tcPr>
          <w:p w14:paraId="376901BB" w14:textId="77777777" w:rsidR="004B0883" w:rsidRDefault="004B0883">
            <w:pPr>
              <w:widowControl w:val="0"/>
              <w:spacing w:line="360" w:lineRule="auto"/>
              <w:jc w:val="center"/>
              <w:rPr>
                <w:rFonts w:ascii="Calibri" w:hAnsi="Calibri"/>
                <w:sz w:val="24"/>
                <w:szCs w:val="24"/>
              </w:rPr>
            </w:pPr>
          </w:p>
        </w:tc>
      </w:tr>
      <w:tr w:rsidR="004B0883" w14:paraId="71BED832" w14:textId="77777777">
        <w:trPr>
          <w:jc w:val="center"/>
        </w:trPr>
        <w:tc>
          <w:tcPr>
            <w:tcW w:w="1380" w:type="pct"/>
            <w:tcBorders>
              <w:top w:val="single" w:sz="4" w:space="0" w:color="auto"/>
            </w:tcBorders>
            <w:vAlign w:val="center"/>
          </w:tcPr>
          <w:p w14:paraId="5057C915" w14:textId="77777777" w:rsidR="004B0883" w:rsidRDefault="004B0883">
            <w:pPr>
              <w:widowControl w:val="0"/>
              <w:spacing w:line="360" w:lineRule="auto"/>
              <w:jc w:val="center"/>
              <w:rPr>
                <w:rFonts w:ascii="Calibri" w:hAnsi="Calibri"/>
                <w:sz w:val="24"/>
                <w:szCs w:val="24"/>
              </w:rPr>
            </w:pPr>
            <w:r>
              <w:rPr>
                <w:rFonts w:ascii="Calibri" w:hAnsi="Calibri" w:hint="eastAsia"/>
                <w:sz w:val="24"/>
                <w:szCs w:val="24"/>
              </w:rPr>
              <w:t>范玉隆</w:t>
            </w:r>
          </w:p>
        </w:tc>
        <w:tc>
          <w:tcPr>
            <w:tcW w:w="419" w:type="pct"/>
            <w:vAlign w:val="center"/>
          </w:tcPr>
          <w:p w14:paraId="52CA19E6" w14:textId="77777777" w:rsidR="004B0883" w:rsidRDefault="004B0883">
            <w:pPr>
              <w:widowControl w:val="0"/>
              <w:spacing w:line="360" w:lineRule="auto"/>
              <w:jc w:val="center"/>
              <w:rPr>
                <w:rFonts w:ascii="Calibri" w:hAnsi="Calibri"/>
                <w:sz w:val="24"/>
                <w:szCs w:val="24"/>
              </w:rPr>
            </w:pPr>
          </w:p>
        </w:tc>
        <w:tc>
          <w:tcPr>
            <w:tcW w:w="1387" w:type="pct"/>
            <w:tcBorders>
              <w:top w:val="single" w:sz="4" w:space="0" w:color="auto"/>
            </w:tcBorders>
            <w:vAlign w:val="center"/>
          </w:tcPr>
          <w:p w14:paraId="2E505C48" w14:textId="77777777" w:rsidR="004B0883" w:rsidRDefault="004B0883">
            <w:pPr>
              <w:widowControl w:val="0"/>
              <w:spacing w:line="360" w:lineRule="auto"/>
              <w:jc w:val="center"/>
              <w:rPr>
                <w:rFonts w:ascii="Calibri" w:hAnsi="Calibri"/>
                <w:sz w:val="24"/>
                <w:szCs w:val="24"/>
              </w:rPr>
            </w:pPr>
            <w:r>
              <w:rPr>
                <w:rFonts w:ascii="Calibri" w:hAnsi="Calibri" w:hint="eastAsia"/>
                <w:sz w:val="24"/>
                <w:szCs w:val="24"/>
              </w:rPr>
              <w:t>宋银立</w:t>
            </w:r>
          </w:p>
        </w:tc>
        <w:tc>
          <w:tcPr>
            <w:tcW w:w="423" w:type="pct"/>
            <w:vAlign w:val="center"/>
          </w:tcPr>
          <w:p w14:paraId="5BF0F3D2" w14:textId="77777777" w:rsidR="004B0883" w:rsidRDefault="004B0883">
            <w:pPr>
              <w:widowControl w:val="0"/>
              <w:spacing w:line="360" w:lineRule="auto"/>
              <w:jc w:val="center"/>
              <w:rPr>
                <w:rFonts w:ascii="Calibri" w:hAnsi="Calibri"/>
                <w:sz w:val="24"/>
                <w:szCs w:val="24"/>
              </w:rPr>
            </w:pPr>
          </w:p>
        </w:tc>
        <w:tc>
          <w:tcPr>
            <w:tcW w:w="1391" w:type="pct"/>
            <w:tcBorders>
              <w:top w:val="single" w:sz="4" w:space="0" w:color="auto"/>
            </w:tcBorders>
            <w:vAlign w:val="center"/>
          </w:tcPr>
          <w:p w14:paraId="45C6ABEF" w14:textId="77777777" w:rsidR="004B0883" w:rsidRDefault="004B0883">
            <w:pPr>
              <w:widowControl w:val="0"/>
              <w:spacing w:line="360" w:lineRule="auto"/>
              <w:jc w:val="center"/>
              <w:rPr>
                <w:rFonts w:ascii="Calibri" w:hAnsi="Calibri"/>
                <w:sz w:val="24"/>
                <w:szCs w:val="24"/>
              </w:rPr>
            </w:pPr>
            <w:r>
              <w:rPr>
                <w:rFonts w:ascii="Calibri" w:hAnsi="Calibri" w:hint="eastAsia"/>
                <w:sz w:val="24"/>
                <w:szCs w:val="24"/>
              </w:rPr>
              <w:t>樊培银</w:t>
            </w:r>
          </w:p>
        </w:tc>
      </w:tr>
      <w:tr w:rsidR="004B0883" w14:paraId="4E5A77D0" w14:textId="77777777">
        <w:trPr>
          <w:trHeight w:val="680"/>
          <w:jc w:val="center"/>
        </w:trPr>
        <w:tc>
          <w:tcPr>
            <w:tcW w:w="1380" w:type="pct"/>
            <w:tcBorders>
              <w:bottom w:val="single" w:sz="4" w:space="0" w:color="auto"/>
            </w:tcBorders>
            <w:vAlign w:val="center"/>
          </w:tcPr>
          <w:p w14:paraId="4178F757" w14:textId="77777777" w:rsidR="004B0883" w:rsidRDefault="004B0883">
            <w:pPr>
              <w:widowControl w:val="0"/>
              <w:spacing w:line="360" w:lineRule="auto"/>
              <w:jc w:val="center"/>
              <w:rPr>
                <w:rFonts w:ascii="Calibri" w:hAnsi="Calibri"/>
                <w:sz w:val="24"/>
                <w:szCs w:val="24"/>
              </w:rPr>
            </w:pPr>
          </w:p>
        </w:tc>
        <w:tc>
          <w:tcPr>
            <w:tcW w:w="419" w:type="pct"/>
            <w:vAlign w:val="center"/>
          </w:tcPr>
          <w:p w14:paraId="58B5A423" w14:textId="77777777" w:rsidR="004B0883" w:rsidRDefault="004B0883">
            <w:pPr>
              <w:widowControl w:val="0"/>
              <w:spacing w:line="360" w:lineRule="auto"/>
              <w:jc w:val="center"/>
              <w:rPr>
                <w:rFonts w:ascii="Calibri" w:hAnsi="Calibri"/>
                <w:sz w:val="24"/>
                <w:szCs w:val="24"/>
              </w:rPr>
            </w:pPr>
          </w:p>
        </w:tc>
        <w:tc>
          <w:tcPr>
            <w:tcW w:w="1387" w:type="pct"/>
            <w:vAlign w:val="center"/>
          </w:tcPr>
          <w:p w14:paraId="4B66C342" w14:textId="77777777" w:rsidR="004B0883" w:rsidRDefault="004B0883">
            <w:pPr>
              <w:widowControl w:val="0"/>
              <w:spacing w:line="360" w:lineRule="auto"/>
              <w:jc w:val="center"/>
              <w:rPr>
                <w:rFonts w:ascii="Calibri" w:hAnsi="Calibri"/>
                <w:sz w:val="24"/>
                <w:szCs w:val="24"/>
              </w:rPr>
            </w:pPr>
          </w:p>
        </w:tc>
        <w:tc>
          <w:tcPr>
            <w:tcW w:w="423" w:type="pct"/>
            <w:vAlign w:val="center"/>
          </w:tcPr>
          <w:p w14:paraId="405D8E13" w14:textId="77777777" w:rsidR="004B0883" w:rsidRDefault="004B0883">
            <w:pPr>
              <w:widowControl w:val="0"/>
              <w:spacing w:line="360" w:lineRule="auto"/>
              <w:jc w:val="center"/>
              <w:rPr>
                <w:rFonts w:ascii="Calibri" w:hAnsi="Calibri"/>
                <w:sz w:val="24"/>
                <w:szCs w:val="24"/>
              </w:rPr>
            </w:pPr>
          </w:p>
        </w:tc>
        <w:tc>
          <w:tcPr>
            <w:tcW w:w="1391" w:type="pct"/>
            <w:vAlign w:val="center"/>
          </w:tcPr>
          <w:p w14:paraId="6020333C" w14:textId="77777777" w:rsidR="004B0883" w:rsidRDefault="004B0883">
            <w:pPr>
              <w:widowControl w:val="0"/>
              <w:spacing w:line="360" w:lineRule="auto"/>
              <w:jc w:val="center"/>
              <w:rPr>
                <w:rFonts w:ascii="Calibri" w:hAnsi="Calibri"/>
                <w:sz w:val="24"/>
                <w:szCs w:val="24"/>
              </w:rPr>
            </w:pPr>
          </w:p>
        </w:tc>
      </w:tr>
      <w:tr w:rsidR="004B0883" w14:paraId="5CC23A43" w14:textId="77777777">
        <w:trPr>
          <w:jc w:val="center"/>
        </w:trPr>
        <w:tc>
          <w:tcPr>
            <w:tcW w:w="1380" w:type="pct"/>
            <w:tcBorders>
              <w:top w:val="single" w:sz="4" w:space="0" w:color="auto"/>
            </w:tcBorders>
            <w:vAlign w:val="center"/>
          </w:tcPr>
          <w:p w14:paraId="7FB3396E" w14:textId="77777777" w:rsidR="004B0883" w:rsidRDefault="004B0883">
            <w:pPr>
              <w:widowControl w:val="0"/>
              <w:spacing w:line="360" w:lineRule="auto"/>
              <w:jc w:val="center"/>
              <w:rPr>
                <w:rFonts w:ascii="Calibri" w:hAnsi="Calibri"/>
                <w:sz w:val="24"/>
                <w:szCs w:val="24"/>
              </w:rPr>
            </w:pPr>
            <w:r>
              <w:rPr>
                <w:rFonts w:ascii="Calibri" w:hAnsi="Calibri" w:hint="eastAsia"/>
                <w:sz w:val="24"/>
                <w:szCs w:val="24"/>
              </w:rPr>
              <w:t>高</w:t>
            </w:r>
            <w:r>
              <w:rPr>
                <w:rFonts w:ascii="Calibri" w:hAnsi="Calibri" w:hint="eastAsia"/>
                <w:sz w:val="24"/>
                <w:szCs w:val="24"/>
              </w:rPr>
              <w:t xml:space="preserve"> </w:t>
            </w:r>
            <w:r>
              <w:rPr>
                <w:rFonts w:ascii="Calibri" w:hAnsi="Calibri"/>
                <w:sz w:val="24"/>
                <w:szCs w:val="24"/>
              </w:rPr>
              <w:t xml:space="preserve">   </w:t>
            </w:r>
            <w:r>
              <w:rPr>
                <w:rFonts w:ascii="Calibri" w:hAnsi="Calibri" w:hint="eastAsia"/>
                <w:sz w:val="24"/>
                <w:szCs w:val="24"/>
              </w:rPr>
              <w:t>科</w:t>
            </w:r>
          </w:p>
        </w:tc>
        <w:tc>
          <w:tcPr>
            <w:tcW w:w="419" w:type="pct"/>
            <w:vAlign w:val="center"/>
          </w:tcPr>
          <w:p w14:paraId="19AF2D1F" w14:textId="77777777" w:rsidR="004B0883" w:rsidRDefault="004B0883">
            <w:pPr>
              <w:widowControl w:val="0"/>
              <w:spacing w:line="360" w:lineRule="auto"/>
              <w:jc w:val="center"/>
              <w:rPr>
                <w:rFonts w:ascii="Calibri" w:hAnsi="Calibri"/>
                <w:sz w:val="24"/>
                <w:szCs w:val="24"/>
              </w:rPr>
            </w:pPr>
          </w:p>
        </w:tc>
        <w:tc>
          <w:tcPr>
            <w:tcW w:w="1387" w:type="pct"/>
            <w:vAlign w:val="center"/>
          </w:tcPr>
          <w:p w14:paraId="7062B0FC" w14:textId="77777777" w:rsidR="004B0883" w:rsidRDefault="004B0883">
            <w:pPr>
              <w:widowControl w:val="0"/>
              <w:spacing w:line="360" w:lineRule="auto"/>
              <w:jc w:val="center"/>
              <w:rPr>
                <w:rFonts w:ascii="Calibri" w:hAnsi="Calibri"/>
                <w:sz w:val="24"/>
                <w:szCs w:val="24"/>
              </w:rPr>
            </w:pPr>
          </w:p>
        </w:tc>
        <w:tc>
          <w:tcPr>
            <w:tcW w:w="423" w:type="pct"/>
            <w:vAlign w:val="center"/>
          </w:tcPr>
          <w:p w14:paraId="152CB2A1" w14:textId="77777777" w:rsidR="004B0883" w:rsidRDefault="004B0883">
            <w:pPr>
              <w:widowControl w:val="0"/>
              <w:spacing w:line="360" w:lineRule="auto"/>
              <w:jc w:val="center"/>
              <w:rPr>
                <w:rFonts w:ascii="Calibri" w:hAnsi="Calibri"/>
                <w:sz w:val="24"/>
                <w:szCs w:val="24"/>
              </w:rPr>
            </w:pPr>
          </w:p>
        </w:tc>
        <w:tc>
          <w:tcPr>
            <w:tcW w:w="1391" w:type="pct"/>
            <w:vAlign w:val="center"/>
          </w:tcPr>
          <w:p w14:paraId="6ECD805C" w14:textId="77777777" w:rsidR="004B0883" w:rsidRDefault="004B0883">
            <w:pPr>
              <w:widowControl w:val="0"/>
              <w:spacing w:line="360" w:lineRule="auto"/>
              <w:jc w:val="center"/>
              <w:rPr>
                <w:rFonts w:ascii="Calibri" w:hAnsi="Calibri"/>
                <w:sz w:val="24"/>
                <w:szCs w:val="24"/>
              </w:rPr>
            </w:pPr>
          </w:p>
        </w:tc>
      </w:tr>
      <w:bookmarkEnd w:id="451"/>
    </w:tbl>
    <w:p w14:paraId="22420B76" w14:textId="77777777" w:rsidR="004B0883" w:rsidRDefault="004B0883">
      <w:pPr>
        <w:spacing w:beforeLines="50" w:before="120" w:afterLines="50" w:after="120" w:line="360" w:lineRule="auto"/>
        <w:ind w:firstLineChars="200" w:firstLine="420"/>
        <w:rPr>
          <w:rFonts w:hint="eastAsia"/>
        </w:rPr>
      </w:pPr>
    </w:p>
    <w:p w14:paraId="5ABE6FA7" w14:textId="77777777" w:rsidR="004B0883" w:rsidRDefault="004B0883">
      <w:pPr>
        <w:spacing w:beforeLines="50" w:before="120" w:afterLines="50" w:after="120" w:line="360" w:lineRule="auto"/>
        <w:ind w:firstLineChars="200" w:firstLine="420"/>
        <w:rPr>
          <w:rFonts w:hint="eastAsia"/>
        </w:rPr>
      </w:pPr>
    </w:p>
    <w:p w14:paraId="56CE45F0" w14:textId="77777777" w:rsidR="004B0883" w:rsidRDefault="004B0883">
      <w:pPr>
        <w:spacing w:beforeLines="50" w:before="120" w:afterLines="50" w:after="120" w:line="360" w:lineRule="auto"/>
        <w:ind w:firstLineChars="200" w:firstLine="480"/>
        <w:jc w:val="right"/>
        <w:rPr>
          <w:rFonts w:hint="eastAsia"/>
          <w:sz w:val="24"/>
        </w:rPr>
      </w:pPr>
      <w:r>
        <w:rPr>
          <w:rFonts w:hint="eastAsia"/>
          <w:sz w:val="24"/>
          <w:szCs w:val="20"/>
        </w:rPr>
        <w:t>青岛伟隆阀门股份有限公司</w:t>
      </w:r>
    </w:p>
    <w:p w14:paraId="425DF416" w14:textId="77777777" w:rsidR="004B0883" w:rsidRDefault="004B0883">
      <w:pPr>
        <w:spacing w:beforeLines="50" w:before="120" w:afterLines="50" w:after="120" w:line="360" w:lineRule="auto"/>
        <w:ind w:firstLineChars="200" w:firstLine="480"/>
        <w:jc w:val="right"/>
        <w:rPr>
          <w:rFonts w:hint="eastAsia"/>
          <w:sz w:val="24"/>
        </w:rPr>
      </w:pPr>
      <w:r>
        <w:rPr>
          <w:rFonts w:hint="eastAsia"/>
          <w:sz w:val="24"/>
        </w:rPr>
        <w:t xml:space="preserve">                                                 </w:t>
      </w: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p w14:paraId="2969B90D" w14:textId="36D7B470" w:rsidR="004B0883" w:rsidRDefault="004B0883">
      <w:pPr>
        <w:pStyle w:val="002"/>
        <w:spacing w:before="120" w:after="120"/>
        <w:outlineLvl w:val="9"/>
        <w:rPr>
          <w:rFonts w:hint="eastAsia"/>
        </w:rPr>
      </w:pPr>
      <w:r>
        <w:rPr>
          <w:rFonts w:hint="eastAsia"/>
        </w:rPr>
        <w:br w:type="page"/>
      </w:r>
      <w:bookmarkStart w:id="452" w:name="_Toc152320830"/>
      <w:r w:rsidR="0090540C">
        <w:rPr>
          <w:noProof/>
        </w:rPr>
        <w:drawing>
          <wp:anchor distT="0" distB="0" distL="114300" distR="114300" simplePos="0" relativeHeight="251654656" behindDoc="0" locked="0" layoutInCell="0" allowOverlap="1" wp14:anchorId="7CAF1D7A" wp14:editId="5E3B9448">
            <wp:simplePos x="0" y="0"/>
            <wp:positionH relativeFrom="page">
              <wp:posOffset>2540</wp:posOffset>
            </wp:positionH>
            <wp:positionV relativeFrom="page">
              <wp:posOffset>781050</wp:posOffset>
            </wp:positionV>
            <wp:extent cx="7553960" cy="8001000"/>
            <wp:effectExtent l="0" t="0" r="0" b="0"/>
            <wp:wrapNone/>
            <wp:docPr id="47606398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cstate="print">
                      <a:lum contrast="20000"/>
                      <a:extLst>
                        <a:ext uri="{28A0092B-C50C-407E-A947-70E740481C1C}">
                          <a14:useLocalDpi xmlns:a14="http://schemas.microsoft.com/office/drawing/2010/main" val="0"/>
                        </a:ext>
                      </a:extLst>
                    </a:blip>
                    <a:srcRect t="10158" b="14993"/>
                    <a:stretch>
                      <a:fillRect/>
                    </a:stretch>
                  </pic:blipFill>
                  <pic:spPr bwMode="auto">
                    <a:xfrm>
                      <a:off x="0" y="0"/>
                      <a:ext cx="7553960" cy="80010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Pr>
          <w:rFonts w:hint="eastAsia"/>
        </w:rPr>
        <w:t>一、本公司董事、监事、高级管理人员声明</w:t>
      </w:r>
      <w:bookmarkEnd w:id="452"/>
    </w:p>
    <w:p w14:paraId="57ECDF05" w14:textId="26606BC4" w:rsidR="004B0883" w:rsidRDefault="0090540C">
      <w:pPr>
        <w:pStyle w:val="005"/>
        <w:spacing w:before="120" w:after="120"/>
        <w:ind w:firstLine="480"/>
        <w:rPr>
          <w:rFonts w:hint="eastAsia"/>
        </w:rPr>
      </w:pPr>
      <w:r>
        <w:rPr>
          <w:noProof/>
        </w:rPr>
        <w:drawing>
          <wp:anchor distT="0" distB="0" distL="114300" distR="114300" simplePos="0" relativeHeight="251655680" behindDoc="0" locked="0" layoutInCell="0" allowOverlap="1" wp14:anchorId="650ADA23" wp14:editId="1798DBF9">
            <wp:simplePos x="0" y="0"/>
            <wp:positionH relativeFrom="page">
              <wp:posOffset>2540</wp:posOffset>
            </wp:positionH>
            <wp:positionV relativeFrom="page">
              <wp:posOffset>857250</wp:posOffset>
            </wp:positionV>
            <wp:extent cx="7553960" cy="8191500"/>
            <wp:effectExtent l="0" t="0" r="0" b="0"/>
            <wp:wrapNone/>
            <wp:docPr id="181660779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lum contrast="20000"/>
                      <a:extLst>
                        <a:ext uri="{28A0092B-C50C-407E-A947-70E740481C1C}">
                          <a14:useLocalDpi xmlns:a14="http://schemas.microsoft.com/office/drawing/2010/main" val="0"/>
                        </a:ext>
                      </a:extLst>
                    </a:blip>
                    <a:srcRect t="10336" b="13033"/>
                    <a:stretch>
                      <a:fillRect/>
                    </a:stretch>
                  </pic:blipFill>
                  <pic:spPr bwMode="auto">
                    <a:xfrm>
                      <a:off x="0" y="0"/>
                      <a:ext cx="7553960" cy="819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0883">
        <w:rPr>
          <w:rFonts w:hint="eastAsia"/>
        </w:rPr>
        <w:t>本公司及全体董事、监事、高级管理人员承诺本募集说明书内容真实、准确、完整，不存在虚假记载、误导性陈述或重大遗漏，按照诚信原则履行承诺，并承担相应的法律责任。</w:t>
      </w:r>
    </w:p>
    <w:p w14:paraId="35349E9B" w14:textId="77777777" w:rsidR="004B0883" w:rsidRDefault="004B0883">
      <w:pPr>
        <w:spacing w:beforeLines="50" w:before="120" w:after="120" w:line="360" w:lineRule="auto"/>
        <w:rPr>
          <w:rFonts w:hint="eastAsia"/>
        </w:rPr>
      </w:pPr>
    </w:p>
    <w:p w14:paraId="3EB56757" w14:textId="77777777" w:rsidR="004B0883" w:rsidRDefault="004B0883">
      <w:pPr>
        <w:spacing w:before="50" w:after="120" w:line="360" w:lineRule="auto"/>
        <w:ind w:right="278" w:firstLineChars="200" w:firstLine="480"/>
        <w:rPr>
          <w:rFonts w:hint="eastAsia"/>
          <w:sz w:val="24"/>
        </w:rPr>
      </w:pPr>
      <w:bookmarkStart w:id="453" w:name="_Hlk135836699"/>
      <w:bookmarkStart w:id="454" w:name="_Hlk135836337"/>
      <w:r>
        <w:rPr>
          <w:rFonts w:hint="eastAsia"/>
          <w:sz w:val="24"/>
        </w:rPr>
        <w:t>公司全体监事签名：</w:t>
      </w:r>
    </w:p>
    <w:tbl>
      <w:tblPr>
        <w:tblW w:w="5000" w:type="pct"/>
        <w:jc w:val="center"/>
        <w:tblInd w:w="0" w:type="dxa"/>
        <w:tblLook w:val="0000" w:firstRow="0" w:lastRow="0" w:firstColumn="0" w:lastColumn="0" w:noHBand="0" w:noVBand="0"/>
      </w:tblPr>
      <w:tblGrid>
        <w:gridCol w:w="2288"/>
        <w:gridCol w:w="700"/>
        <w:gridCol w:w="2304"/>
        <w:gridCol w:w="708"/>
        <w:gridCol w:w="2310"/>
      </w:tblGrid>
      <w:tr w:rsidR="004B0883" w14:paraId="4F306F30" w14:textId="77777777">
        <w:trPr>
          <w:trHeight w:val="680"/>
          <w:jc w:val="center"/>
        </w:trPr>
        <w:tc>
          <w:tcPr>
            <w:tcW w:w="1377" w:type="pct"/>
            <w:tcBorders>
              <w:bottom w:val="single" w:sz="4" w:space="0" w:color="auto"/>
            </w:tcBorders>
            <w:vAlign w:val="center"/>
          </w:tcPr>
          <w:p w14:paraId="504A55F0" w14:textId="77777777" w:rsidR="004B0883" w:rsidRDefault="004B0883">
            <w:pPr>
              <w:widowControl w:val="0"/>
              <w:spacing w:line="360" w:lineRule="auto"/>
              <w:jc w:val="center"/>
              <w:rPr>
                <w:rFonts w:ascii="Calibri" w:hAnsi="Calibri"/>
                <w:sz w:val="24"/>
                <w:szCs w:val="24"/>
              </w:rPr>
            </w:pPr>
          </w:p>
        </w:tc>
        <w:tc>
          <w:tcPr>
            <w:tcW w:w="421" w:type="pct"/>
            <w:vAlign w:val="center"/>
          </w:tcPr>
          <w:p w14:paraId="4ECFB027" w14:textId="77777777" w:rsidR="004B0883" w:rsidRDefault="004B0883">
            <w:pPr>
              <w:widowControl w:val="0"/>
              <w:spacing w:line="360" w:lineRule="auto"/>
              <w:jc w:val="center"/>
              <w:rPr>
                <w:rFonts w:ascii="Calibri" w:hAnsi="Calibri"/>
                <w:sz w:val="24"/>
                <w:szCs w:val="24"/>
              </w:rPr>
            </w:pPr>
          </w:p>
        </w:tc>
        <w:tc>
          <w:tcPr>
            <w:tcW w:w="1386" w:type="pct"/>
            <w:tcBorders>
              <w:bottom w:val="single" w:sz="4" w:space="0" w:color="auto"/>
            </w:tcBorders>
            <w:vAlign w:val="center"/>
          </w:tcPr>
          <w:p w14:paraId="10A5AB73" w14:textId="77777777" w:rsidR="004B0883" w:rsidRDefault="004B0883">
            <w:pPr>
              <w:widowControl w:val="0"/>
              <w:spacing w:line="360" w:lineRule="auto"/>
              <w:jc w:val="center"/>
              <w:rPr>
                <w:rFonts w:ascii="Calibri" w:hAnsi="Calibri"/>
                <w:sz w:val="24"/>
                <w:szCs w:val="24"/>
              </w:rPr>
            </w:pPr>
          </w:p>
        </w:tc>
        <w:tc>
          <w:tcPr>
            <w:tcW w:w="426" w:type="pct"/>
            <w:vAlign w:val="center"/>
          </w:tcPr>
          <w:p w14:paraId="3EAF281B" w14:textId="77777777" w:rsidR="004B0883" w:rsidRDefault="004B0883">
            <w:pPr>
              <w:widowControl w:val="0"/>
              <w:spacing w:line="360" w:lineRule="auto"/>
              <w:jc w:val="center"/>
              <w:rPr>
                <w:rFonts w:ascii="Calibri" w:hAnsi="Calibri"/>
                <w:sz w:val="24"/>
                <w:szCs w:val="24"/>
              </w:rPr>
            </w:pPr>
          </w:p>
        </w:tc>
        <w:tc>
          <w:tcPr>
            <w:tcW w:w="1390" w:type="pct"/>
            <w:tcBorders>
              <w:bottom w:val="single" w:sz="4" w:space="0" w:color="auto"/>
            </w:tcBorders>
            <w:vAlign w:val="center"/>
          </w:tcPr>
          <w:p w14:paraId="60A258AB" w14:textId="77777777" w:rsidR="004B0883" w:rsidRDefault="004B0883">
            <w:pPr>
              <w:widowControl w:val="0"/>
              <w:spacing w:line="360" w:lineRule="auto"/>
              <w:jc w:val="center"/>
              <w:rPr>
                <w:rFonts w:ascii="Calibri" w:hAnsi="Calibri"/>
                <w:sz w:val="24"/>
                <w:szCs w:val="24"/>
              </w:rPr>
            </w:pPr>
          </w:p>
        </w:tc>
      </w:tr>
      <w:tr w:rsidR="004B0883" w14:paraId="36F4438E" w14:textId="77777777">
        <w:trPr>
          <w:jc w:val="center"/>
        </w:trPr>
        <w:tc>
          <w:tcPr>
            <w:tcW w:w="1377" w:type="pct"/>
            <w:tcBorders>
              <w:top w:val="single" w:sz="4" w:space="0" w:color="auto"/>
            </w:tcBorders>
            <w:vAlign w:val="center"/>
          </w:tcPr>
          <w:p w14:paraId="102660D4" w14:textId="77777777" w:rsidR="004B0883" w:rsidRDefault="004B0883">
            <w:pPr>
              <w:widowControl w:val="0"/>
              <w:spacing w:line="360" w:lineRule="auto"/>
              <w:jc w:val="center"/>
              <w:rPr>
                <w:rFonts w:ascii="Calibri" w:hAnsi="Calibri"/>
                <w:sz w:val="24"/>
                <w:szCs w:val="24"/>
              </w:rPr>
            </w:pPr>
            <w:r>
              <w:rPr>
                <w:rFonts w:ascii="Calibri" w:hAnsi="Calibri" w:hint="eastAsia"/>
                <w:sz w:val="24"/>
                <w:szCs w:val="24"/>
              </w:rPr>
              <w:t>于春红</w:t>
            </w:r>
          </w:p>
        </w:tc>
        <w:tc>
          <w:tcPr>
            <w:tcW w:w="421" w:type="pct"/>
            <w:vAlign w:val="center"/>
          </w:tcPr>
          <w:p w14:paraId="2B5D5712" w14:textId="77777777" w:rsidR="004B0883" w:rsidRDefault="004B0883">
            <w:pPr>
              <w:widowControl w:val="0"/>
              <w:spacing w:line="360" w:lineRule="auto"/>
              <w:jc w:val="center"/>
              <w:rPr>
                <w:rFonts w:ascii="Calibri" w:hAnsi="Calibri"/>
                <w:sz w:val="24"/>
                <w:szCs w:val="24"/>
              </w:rPr>
            </w:pPr>
          </w:p>
        </w:tc>
        <w:tc>
          <w:tcPr>
            <w:tcW w:w="1386" w:type="pct"/>
            <w:tcBorders>
              <w:top w:val="single" w:sz="4" w:space="0" w:color="auto"/>
            </w:tcBorders>
            <w:vAlign w:val="center"/>
          </w:tcPr>
          <w:p w14:paraId="36E20DE7" w14:textId="77777777" w:rsidR="004B0883" w:rsidRDefault="004B0883">
            <w:pPr>
              <w:widowControl w:val="0"/>
              <w:spacing w:line="360" w:lineRule="auto"/>
              <w:jc w:val="center"/>
              <w:rPr>
                <w:rFonts w:ascii="Calibri" w:hAnsi="Calibri"/>
                <w:sz w:val="24"/>
                <w:szCs w:val="24"/>
              </w:rPr>
            </w:pPr>
            <w:r>
              <w:rPr>
                <w:rFonts w:ascii="Calibri" w:hAnsi="Calibri" w:hint="eastAsia"/>
                <w:sz w:val="24"/>
                <w:szCs w:val="24"/>
              </w:rPr>
              <w:t>王凤春</w:t>
            </w:r>
          </w:p>
        </w:tc>
        <w:tc>
          <w:tcPr>
            <w:tcW w:w="426" w:type="pct"/>
            <w:vAlign w:val="center"/>
          </w:tcPr>
          <w:p w14:paraId="193C31E2" w14:textId="77777777" w:rsidR="004B0883" w:rsidRDefault="004B0883">
            <w:pPr>
              <w:widowControl w:val="0"/>
              <w:spacing w:line="360" w:lineRule="auto"/>
              <w:jc w:val="center"/>
              <w:rPr>
                <w:rFonts w:ascii="Calibri" w:hAnsi="Calibri"/>
                <w:sz w:val="24"/>
                <w:szCs w:val="24"/>
              </w:rPr>
            </w:pPr>
          </w:p>
        </w:tc>
        <w:tc>
          <w:tcPr>
            <w:tcW w:w="1390" w:type="pct"/>
            <w:tcBorders>
              <w:top w:val="single" w:sz="4" w:space="0" w:color="auto"/>
            </w:tcBorders>
            <w:vAlign w:val="center"/>
          </w:tcPr>
          <w:p w14:paraId="35527236" w14:textId="77777777" w:rsidR="004B0883" w:rsidRDefault="004B0883">
            <w:pPr>
              <w:widowControl w:val="0"/>
              <w:spacing w:line="360" w:lineRule="auto"/>
              <w:jc w:val="center"/>
              <w:rPr>
                <w:rFonts w:ascii="Calibri" w:hAnsi="Calibri"/>
                <w:sz w:val="24"/>
                <w:szCs w:val="24"/>
              </w:rPr>
            </w:pPr>
            <w:r>
              <w:rPr>
                <w:rFonts w:ascii="Calibri" w:hAnsi="Calibri" w:hint="eastAsia"/>
                <w:sz w:val="24"/>
                <w:szCs w:val="24"/>
              </w:rPr>
              <w:t>张</w:t>
            </w:r>
            <w:r>
              <w:rPr>
                <w:rFonts w:ascii="Calibri" w:hAnsi="Calibri" w:hint="eastAsia"/>
                <w:sz w:val="24"/>
                <w:szCs w:val="24"/>
              </w:rPr>
              <w:t xml:space="preserve"> </w:t>
            </w:r>
            <w:r>
              <w:rPr>
                <w:rFonts w:ascii="Calibri" w:hAnsi="Calibri"/>
                <w:sz w:val="24"/>
                <w:szCs w:val="24"/>
              </w:rPr>
              <w:t xml:space="preserve">   </w:t>
            </w:r>
            <w:r>
              <w:rPr>
                <w:rFonts w:ascii="Calibri" w:hAnsi="Calibri" w:hint="eastAsia"/>
                <w:sz w:val="24"/>
                <w:szCs w:val="24"/>
              </w:rPr>
              <w:t>涛</w:t>
            </w:r>
          </w:p>
        </w:tc>
      </w:tr>
      <w:bookmarkEnd w:id="453"/>
    </w:tbl>
    <w:p w14:paraId="53D0726E" w14:textId="77777777" w:rsidR="004B0883" w:rsidRDefault="004B0883">
      <w:pPr>
        <w:spacing w:line="288" w:lineRule="auto"/>
        <w:ind w:right="280"/>
        <w:rPr>
          <w:rFonts w:hint="eastAsia"/>
          <w:sz w:val="24"/>
        </w:rPr>
      </w:pPr>
    </w:p>
    <w:bookmarkEnd w:id="454"/>
    <w:p w14:paraId="7EC2C99D" w14:textId="77777777" w:rsidR="004B0883" w:rsidRDefault="004B0883">
      <w:pPr>
        <w:spacing w:line="288" w:lineRule="auto"/>
        <w:ind w:right="280"/>
        <w:rPr>
          <w:rFonts w:hint="eastAsia"/>
          <w:sz w:val="24"/>
        </w:rPr>
      </w:pPr>
    </w:p>
    <w:p w14:paraId="11BD7C35" w14:textId="77777777" w:rsidR="004B0883" w:rsidRDefault="004B0883">
      <w:pPr>
        <w:spacing w:beforeLines="50" w:before="120" w:afterLines="50" w:after="120" w:line="360" w:lineRule="auto"/>
        <w:rPr>
          <w:rFonts w:hint="eastAsia"/>
          <w:sz w:val="24"/>
        </w:rPr>
      </w:pPr>
    </w:p>
    <w:p w14:paraId="2D52AD96" w14:textId="77777777" w:rsidR="004B0883" w:rsidRDefault="004B0883">
      <w:pPr>
        <w:spacing w:beforeLines="50" w:before="120" w:afterLines="50" w:after="120" w:line="360" w:lineRule="auto"/>
        <w:ind w:firstLineChars="200" w:firstLine="480"/>
        <w:jc w:val="right"/>
        <w:rPr>
          <w:rFonts w:hint="eastAsia"/>
          <w:sz w:val="24"/>
        </w:rPr>
      </w:pPr>
      <w:r>
        <w:rPr>
          <w:rFonts w:hint="eastAsia"/>
          <w:sz w:val="24"/>
        </w:rPr>
        <w:t xml:space="preserve"> </w:t>
      </w:r>
      <w:r>
        <w:rPr>
          <w:rFonts w:hint="eastAsia"/>
          <w:sz w:val="32"/>
        </w:rPr>
        <w:t xml:space="preserve"> </w:t>
      </w:r>
      <w:r>
        <w:rPr>
          <w:rFonts w:hint="eastAsia"/>
          <w:sz w:val="24"/>
          <w:szCs w:val="20"/>
        </w:rPr>
        <w:t>青岛伟隆阀门股份有限公司</w:t>
      </w:r>
    </w:p>
    <w:p w14:paraId="57DA0D09" w14:textId="77777777" w:rsidR="004B0883" w:rsidRDefault="004B0883">
      <w:pPr>
        <w:spacing w:beforeLines="50" w:before="120" w:afterLines="50" w:after="120" w:line="360" w:lineRule="auto"/>
        <w:ind w:firstLineChars="200" w:firstLine="480"/>
        <w:jc w:val="right"/>
        <w:rPr>
          <w:rFonts w:hint="eastAsia"/>
          <w:sz w:val="24"/>
        </w:rPr>
      </w:pPr>
      <w:r>
        <w:rPr>
          <w:rFonts w:hint="eastAsia"/>
          <w:sz w:val="24"/>
        </w:rPr>
        <w:t xml:space="preserve">                                                 </w:t>
      </w:r>
      <w:r>
        <w:rPr>
          <w:rFonts w:hint="eastAsia"/>
          <w:sz w:val="24"/>
        </w:rPr>
        <w:t>年</w:t>
      </w:r>
      <w:r>
        <w:rPr>
          <w:rFonts w:hint="eastAsia"/>
          <w:sz w:val="24"/>
        </w:rPr>
        <w:t xml:space="preserve">      </w:t>
      </w:r>
      <w:r>
        <w:rPr>
          <w:rFonts w:hint="eastAsia"/>
          <w:sz w:val="24"/>
        </w:rPr>
        <w:t>月</w:t>
      </w:r>
      <w:r>
        <w:rPr>
          <w:rFonts w:hint="eastAsia"/>
          <w:sz w:val="24"/>
        </w:rPr>
        <w:t xml:space="preserve"> </w:t>
      </w:r>
      <w:r>
        <w:rPr>
          <w:sz w:val="24"/>
        </w:rPr>
        <w:t xml:space="preserve"> </w:t>
      </w:r>
      <w:r>
        <w:rPr>
          <w:rFonts w:hint="eastAsia"/>
          <w:sz w:val="24"/>
        </w:rPr>
        <w:t xml:space="preserve">    </w:t>
      </w:r>
      <w:r>
        <w:rPr>
          <w:rFonts w:hint="eastAsia"/>
          <w:sz w:val="24"/>
        </w:rPr>
        <w:t>日</w:t>
      </w:r>
    </w:p>
    <w:p w14:paraId="6332FF4A" w14:textId="77777777" w:rsidR="004B0883" w:rsidRDefault="004B0883">
      <w:pPr>
        <w:pStyle w:val="002"/>
        <w:spacing w:before="120" w:after="120"/>
        <w:outlineLvl w:val="9"/>
        <w:rPr>
          <w:rFonts w:hint="eastAsia"/>
        </w:rPr>
      </w:pPr>
      <w:r>
        <w:rPr>
          <w:rFonts w:hint="eastAsia"/>
        </w:rPr>
        <w:br w:type="page"/>
      </w:r>
      <w:bookmarkStart w:id="455" w:name="_Toc152320831"/>
      <w:r>
        <w:rPr>
          <w:rFonts w:hint="eastAsia"/>
        </w:rPr>
        <w:t>一、本公司董事、监事、高级管理人员声明</w:t>
      </w:r>
      <w:bookmarkEnd w:id="455"/>
    </w:p>
    <w:p w14:paraId="36789EBD" w14:textId="4EDE1109" w:rsidR="004B0883" w:rsidRDefault="0090540C">
      <w:pPr>
        <w:pStyle w:val="005"/>
        <w:spacing w:before="120" w:after="120"/>
        <w:ind w:firstLine="480"/>
        <w:rPr>
          <w:rFonts w:hint="eastAsia"/>
        </w:rPr>
      </w:pPr>
      <w:r>
        <w:rPr>
          <w:noProof/>
        </w:rPr>
        <w:drawing>
          <wp:anchor distT="0" distB="0" distL="114300" distR="114300" simplePos="0" relativeHeight="251656704" behindDoc="0" locked="0" layoutInCell="0" allowOverlap="1" wp14:anchorId="6C5F64A0" wp14:editId="707A1C34">
            <wp:simplePos x="0" y="0"/>
            <wp:positionH relativeFrom="page">
              <wp:posOffset>38100</wp:posOffset>
            </wp:positionH>
            <wp:positionV relativeFrom="page">
              <wp:posOffset>876300</wp:posOffset>
            </wp:positionV>
            <wp:extent cx="7553960" cy="8534400"/>
            <wp:effectExtent l="0" t="0" r="0" b="0"/>
            <wp:wrapNone/>
            <wp:docPr id="88818892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3" cstate="print">
                      <a:lum contrast="20000"/>
                      <a:extLst>
                        <a:ext uri="{28A0092B-C50C-407E-A947-70E740481C1C}">
                          <a14:useLocalDpi xmlns:a14="http://schemas.microsoft.com/office/drawing/2010/main" val="0"/>
                        </a:ext>
                      </a:extLst>
                    </a:blip>
                    <a:srcRect t="8020" b="12141"/>
                    <a:stretch>
                      <a:fillRect/>
                    </a:stretch>
                  </pic:blipFill>
                  <pic:spPr bwMode="auto">
                    <a:xfrm>
                      <a:off x="0" y="0"/>
                      <a:ext cx="7553960" cy="853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0883">
        <w:rPr>
          <w:rFonts w:hint="eastAsia"/>
        </w:rPr>
        <w:t>本公司及全体董事、监事、高级管理人员承诺本募集说明书内容真实、准确、完整，不存在虚假记载、误导性陈述或重大遗漏，按照诚信原则履行承诺，并承担相应的法律责任。</w:t>
      </w:r>
    </w:p>
    <w:p w14:paraId="4C6E7EDE" w14:textId="77777777" w:rsidR="004B0883" w:rsidRDefault="004B0883">
      <w:pPr>
        <w:spacing w:beforeLines="50" w:before="120" w:after="120" w:line="360" w:lineRule="auto"/>
        <w:ind w:firstLineChars="200" w:firstLine="420"/>
        <w:rPr>
          <w:rFonts w:hint="eastAsia"/>
        </w:rPr>
      </w:pPr>
      <w:bookmarkStart w:id="456" w:name="_Hlk135836358"/>
    </w:p>
    <w:p w14:paraId="4605EC0E" w14:textId="77777777" w:rsidR="004B0883" w:rsidRDefault="004B0883">
      <w:pPr>
        <w:spacing w:before="50" w:after="120" w:line="360" w:lineRule="auto"/>
        <w:ind w:right="278" w:firstLineChars="200" w:firstLine="480"/>
        <w:rPr>
          <w:rFonts w:hint="eastAsia"/>
          <w:sz w:val="24"/>
        </w:rPr>
      </w:pPr>
      <w:r>
        <w:rPr>
          <w:rFonts w:hint="eastAsia"/>
          <w:sz w:val="24"/>
        </w:rPr>
        <w:t>除董事以外的全体高级管理人员签名：</w:t>
      </w:r>
    </w:p>
    <w:tbl>
      <w:tblPr>
        <w:tblW w:w="5000" w:type="pct"/>
        <w:jc w:val="center"/>
        <w:tblInd w:w="0" w:type="dxa"/>
        <w:tblLook w:val="0000" w:firstRow="0" w:lastRow="0" w:firstColumn="0" w:lastColumn="0" w:noHBand="0" w:noVBand="0"/>
      </w:tblPr>
      <w:tblGrid>
        <w:gridCol w:w="2294"/>
        <w:gridCol w:w="696"/>
        <w:gridCol w:w="2305"/>
        <w:gridCol w:w="703"/>
        <w:gridCol w:w="2312"/>
      </w:tblGrid>
      <w:tr w:rsidR="004B0883" w14:paraId="32C55876" w14:textId="77777777">
        <w:trPr>
          <w:trHeight w:val="680"/>
          <w:jc w:val="center"/>
        </w:trPr>
        <w:tc>
          <w:tcPr>
            <w:tcW w:w="1380" w:type="pct"/>
            <w:tcBorders>
              <w:bottom w:val="single" w:sz="4" w:space="0" w:color="auto"/>
            </w:tcBorders>
            <w:vAlign w:val="center"/>
          </w:tcPr>
          <w:p w14:paraId="6C3DB405" w14:textId="77777777" w:rsidR="004B0883" w:rsidRDefault="004B0883">
            <w:pPr>
              <w:widowControl w:val="0"/>
              <w:spacing w:line="360" w:lineRule="auto"/>
              <w:jc w:val="center"/>
              <w:rPr>
                <w:rFonts w:ascii="Calibri" w:hAnsi="Calibri"/>
                <w:sz w:val="24"/>
                <w:szCs w:val="24"/>
              </w:rPr>
            </w:pPr>
          </w:p>
        </w:tc>
        <w:tc>
          <w:tcPr>
            <w:tcW w:w="419" w:type="pct"/>
            <w:vAlign w:val="center"/>
          </w:tcPr>
          <w:p w14:paraId="163002FA" w14:textId="77777777" w:rsidR="004B0883" w:rsidRDefault="004B0883">
            <w:pPr>
              <w:widowControl w:val="0"/>
              <w:spacing w:line="360" w:lineRule="auto"/>
              <w:jc w:val="center"/>
              <w:rPr>
                <w:rFonts w:ascii="Calibri" w:hAnsi="Calibri"/>
                <w:sz w:val="24"/>
                <w:szCs w:val="24"/>
              </w:rPr>
            </w:pPr>
          </w:p>
        </w:tc>
        <w:tc>
          <w:tcPr>
            <w:tcW w:w="1387" w:type="pct"/>
            <w:tcBorders>
              <w:bottom w:val="single" w:sz="4" w:space="0" w:color="auto"/>
            </w:tcBorders>
            <w:vAlign w:val="center"/>
          </w:tcPr>
          <w:p w14:paraId="4AEEFEAC" w14:textId="77777777" w:rsidR="004B0883" w:rsidRDefault="004B0883">
            <w:pPr>
              <w:widowControl w:val="0"/>
              <w:spacing w:line="360" w:lineRule="auto"/>
              <w:jc w:val="center"/>
              <w:rPr>
                <w:rFonts w:ascii="Calibri" w:hAnsi="Calibri"/>
                <w:sz w:val="24"/>
                <w:szCs w:val="24"/>
              </w:rPr>
            </w:pPr>
          </w:p>
        </w:tc>
        <w:tc>
          <w:tcPr>
            <w:tcW w:w="423" w:type="pct"/>
            <w:vAlign w:val="center"/>
          </w:tcPr>
          <w:p w14:paraId="4DACDBC2" w14:textId="77777777" w:rsidR="004B0883" w:rsidRDefault="004B0883">
            <w:pPr>
              <w:widowControl w:val="0"/>
              <w:spacing w:line="360" w:lineRule="auto"/>
              <w:jc w:val="center"/>
              <w:rPr>
                <w:rFonts w:ascii="Calibri" w:hAnsi="Calibri"/>
                <w:sz w:val="24"/>
                <w:szCs w:val="24"/>
              </w:rPr>
            </w:pPr>
          </w:p>
        </w:tc>
        <w:tc>
          <w:tcPr>
            <w:tcW w:w="1391" w:type="pct"/>
            <w:tcBorders>
              <w:bottom w:val="single" w:sz="4" w:space="0" w:color="auto"/>
            </w:tcBorders>
            <w:vAlign w:val="center"/>
          </w:tcPr>
          <w:p w14:paraId="7B77820E" w14:textId="77777777" w:rsidR="004B0883" w:rsidRDefault="004B0883">
            <w:pPr>
              <w:widowControl w:val="0"/>
              <w:spacing w:line="360" w:lineRule="auto"/>
              <w:jc w:val="center"/>
              <w:rPr>
                <w:rFonts w:ascii="Calibri" w:hAnsi="Calibri"/>
                <w:sz w:val="24"/>
                <w:szCs w:val="24"/>
              </w:rPr>
            </w:pPr>
          </w:p>
        </w:tc>
      </w:tr>
      <w:tr w:rsidR="004B0883" w14:paraId="5ECE1521" w14:textId="77777777">
        <w:trPr>
          <w:jc w:val="center"/>
        </w:trPr>
        <w:tc>
          <w:tcPr>
            <w:tcW w:w="1380" w:type="pct"/>
            <w:tcBorders>
              <w:top w:val="single" w:sz="4" w:space="0" w:color="auto"/>
            </w:tcBorders>
            <w:vAlign w:val="center"/>
          </w:tcPr>
          <w:p w14:paraId="57DF66A1" w14:textId="77777777" w:rsidR="004B0883" w:rsidRDefault="004B0883">
            <w:pPr>
              <w:widowControl w:val="0"/>
              <w:spacing w:line="360" w:lineRule="auto"/>
              <w:jc w:val="center"/>
              <w:rPr>
                <w:rFonts w:ascii="Calibri" w:hAnsi="Calibri"/>
                <w:sz w:val="24"/>
                <w:szCs w:val="24"/>
              </w:rPr>
            </w:pPr>
            <w:r>
              <w:rPr>
                <w:rFonts w:ascii="Calibri" w:hAnsi="Calibri" w:hint="eastAsia"/>
                <w:sz w:val="24"/>
                <w:szCs w:val="24"/>
              </w:rPr>
              <w:t>郭成尼</w:t>
            </w:r>
          </w:p>
        </w:tc>
        <w:tc>
          <w:tcPr>
            <w:tcW w:w="419" w:type="pct"/>
            <w:vAlign w:val="center"/>
          </w:tcPr>
          <w:p w14:paraId="30711E6F" w14:textId="77777777" w:rsidR="004B0883" w:rsidRDefault="004B0883">
            <w:pPr>
              <w:widowControl w:val="0"/>
              <w:spacing w:line="360" w:lineRule="auto"/>
              <w:jc w:val="center"/>
              <w:rPr>
                <w:rFonts w:ascii="Calibri" w:hAnsi="Calibri"/>
                <w:sz w:val="24"/>
                <w:szCs w:val="24"/>
              </w:rPr>
            </w:pPr>
          </w:p>
        </w:tc>
        <w:tc>
          <w:tcPr>
            <w:tcW w:w="1387" w:type="pct"/>
            <w:tcBorders>
              <w:top w:val="single" w:sz="4" w:space="0" w:color="auto"/>
            </w:tcBorders>
            <w:vAlign w:val="center"/>
          </w:tcPr>
          <w:p w14:paraId="7EA94A08" w14:textId="77777777" w:rsidR="004B0883" w:rsidRDefault="004B0883">
            <w:pPr>
              <w:widowControl w:val="0"/>
              <w:spacing w:line="360" w:lineRule="auto"/>
              <w:jc w:val="center"/>
              <w:rPr>
                <w:rFonts w:ascii="Calibri" w:hAnsi="Calibri"/>
                <w:sz w:val="24"/>
                <w:szCs w:val="24"/>
              </w:rPr>
            </w:pPr>
            <w:r>
              <w:rPr>
                <w:rFonts w:ascii="Calibri" w:hAnsi="Calibri" w:hint="eastAsia"/>
                <w:sz w:val="24"/>
                <w:szCs w:val="24"/>
              </w:rPr>
              <w:t>张会亭</w:t>
            </w:r>
          </w:p>
        </w:tc>
        <w:tc>
          <w:tcPr>
            <w:tcW w:w="423" w:type="pct"/>
            <w:vAlign w:val="center"/>
          </w:tcPr>
          <w:p w14:paraId="3F8A2093" w14:textId="77777777" w:rsidR="004B0883" w:rsidRDefault="004B0883">
            <w:pPr>
              <w:widowControl w:val="0"/>
              <w:spacing w:line="360" w:lineRule="auto"/>
              <w:jc w:val="center"/>
              <w:rPr>
                <w:rFonts w:ascii="Calibri" w:hAnsi="Calibri"/>
                <w:sz w:val="24"/>
                <w:szCs w:val="24"/>
              </w:rPr>
            </w:pPr>
          </w:p>
        </w:tc>
        <w:tc>
          <w:tcPr>
            <w:tcW w:w="1391" w:type="pct"/>
            <w:tcBorders>
              <w:top w:val="single" w:sz="4" w:space="0" w:color="auto"/>
            </w:tcBorders>
            <w:vAlign w:val="center"/>
          </w:tcPr>
          <w:p w14:paraId="3110710F" w14:textId="77777777" w:rsidR="004B0883" w:rsidRDefault="004B0883">
            <w:pPr>
              <w:widowControl w:val="0"/>
              <w:spacing w:line="360" w:lineRule="auto"/>
              <w:jc w:val="center"/>
              <w:rPr>
                <w:rFonts w:ascii="Calibri" w:hAnsi="Calibri" w:hint="eastAsia"/>
                <w:sz w:val="24"/>
                <w:szCs w:val="24"/>
              </w:rPr>
            </w:pPr>
            <w:r>
              <w:rPr>
                <w:rFonts w:ascii="Calibri" w:hAnsi="Calibri" w:hint="eastAsia"/>
                <w:sz w:val="24"/>
                <w:szCs w:val="24"/>
              </w:rPr>
              <w:t>渠汇成</w:t>
            </w:r>
          </w:p>
        </w:tc>
      </w:tr>
      <w:tr w:rsidR="004B0883" w14:paraId="2FF3021A" w14:textId="77777777">
        <w:trPr>
          <w:trHeight w:val="680"/>
          <w:jc w:val="center"/>
        </w:trPr>
        <w:tc>
          <w:tcPr>
            <w:tcW w:w="1380" w:type="pct"/>
            <w:tcBorders>
              <w:bottom w:val="single" w:sz="4" w:space="0" w:color="auto"/>
            </w:tcBorders>
            <w:vAlign w:val="center"/>
          </w:tcPr>
          <w:p w14:paraId="230D742C" w14:textId="77777777" w:rsidR="004B0883" w:rsidRDefault="004B0883">
            <w:pPr>
              <w:widowControl w:val="0"/>
              <w:spacing w:line="360" w:lineRule="auto"/>
              <w:jc w:val="center"/>
              <w:rPr>
                <w:rFonts w:ascii="Calibri" w:hAnsi="Calibri"/>
                <w:sz w:val="24"/>
                <w:szCs w:val="24"/>
              </w:rPr>
            </w:pPr>
          </w:p>
        </w:tc>
        <w:tc>
          <w:tcPr>
            <w:tcW w:w="419" w:type="pct"/>
            <w:vAlign w:val="center"/>
          </w:tcPr>
          <w:p w14:paraId="562E8603" w14:textId="77777777" w:rsidR="004B0883" w:rsidRDefault="004B0883">
            <w:pPr>
              <w:widowControl w:val="0"/>
              <w:spacing w:line="360" w:lineRule="auto"/>
              <w:jc w:val="center"/>
              <w:rPr>
                <w:rFonts w:ascii="Calibri" w:hAnsi="Calibri"/>
                <w:sz w:val="24"/>
                <w:szCs w:val="24"/>
              </w:rPr>
            </w:pPr>
          </w:p>
        </w:tc>
        <w:tc>
          <w:tcPr>
            <w:tcW w:w="1387" w:type="pct"/>
            <w:tcBorders>
              <w:bottom w:val="single" w:sz="4" w:space="0" w:color="auto"/>
            </w:tcBorders>
            <w:vAlign w:val="center"/>
          </w:tcPr>
          <w:p w14:paraId="51D80C9C" w14:textId="77777777" w:rsidR="004B0883" w:rsidRDefault="004B0883">
            <w:pPr>
              <w:widowControl w:val="0"/>
              <w:spacing w:line="360" w:lineRule="auto"/>
              <w:jc w:val="center"/>
              <w:rPr>
                <w:rFonts w:ascii="Calibri" w:hAnsi="Calibri"/>
                <w:sz w:val="24"/>
                <w:szCs w:val="24"/>
              </w:rPr>
            </w:pPr>
          </w:p>
        </w:tc>
        <w:tc>
          <w:tcPr>
            <w:tcW w:w="423" w:type="pct"/>
            <w:vAlign w:val="center"/>
          </w:tcPr>
          <w:p w14:paraId="6868AF9C" w14:textId="77777777" w:rsidR="004B0883" w:rsidRDefault="004B0883">
            <w:pPr>
              <w:widowControl w:val="0"/>
              <w:spacing w:line="360" w:lineRule="auto"/>
              <w:jc w:val="center"/>
              <w:rPr>
                <w:rFonts w:ascii="Calibri" w:hAnsi="Calibri"/>
                <w:sz w:val="24"/>
                <w:szCs w:val="24"/>
              </w:rPr>
            </w:pPr>
          </w:p>
        </w:tc>
        <w:tc>
          <w:tcPr>
            <w:tcW w:w="1391" w:type="pct"/>
            <w:tcBorders>
              <w:bottom w:val="single" w:sz="4" w:space="0" w:color="auto"/>
            </w:tcBorders>
            <w:vAlign w:val="center"/>
          </w:tcPr>
          <w:p w14:paraId="1325E5F1" w14:textId="77777777" w:rsidR="004B0883" w:rsidRDefault="004B0883">
            <w:pPr>
              <w:widowControl w:val="0"/>
              <w:spacing w:line="360" w:lineRule="auto"/>
              <w:jc w:val="center"/>
              <w:rPr>
                <w:rFonts w:ascii="Calibri" w:hAnsi="Calibri"/>
                <w:sz w:val="24"/>
                <w:szCs w:val="24"/>
              </w:rPr>
            </w:pPr>
          </w:p>
        </w:tc>
      </w:tr>
      <w:tr w:rsidR="004B0883" w14:paraId="573214F9" w14:textId="77777777">
        <w:trPr>
          <w:jc w:val="center"/>
        </w:trPr>
        <w:tc>
          <w:tcPr>
            <w:tcW w:w="1380" w:type="pct"/>
            <w:tcBorders>
              <w:top w:val="single" w:sz="4" w:space="0" w:color="auto"/>
              <w:bottom w:val="nil"/>
            </w:tcBorders>
            <w:vAlign w:val="center"/>
          </w:tcPr>
          <w:p w14:paraId="18A47817" w14:textId="77777777" w:rsidR="004B0883" w:rsidRDefault="004B0883">
            <w:pPr>
              <w:widowControl w:val="0"/>
              <w:spacing w:line="360" w:lineRule="auto"/>
              <w:jc w:val="center"/>
              <w:rPr>
                <w:rFonts w:ascii="Calibri" w:hAnsi="Calibri"/>
                <w:sz w:val="24"/>
                <w:szCs w:val="24"/>
              </w:rPr>
            </w:pPr>
            <w:r>
              <w:rPr>
                <w:rFonts w:ascii="Calibri" w:hAnsi="Calibri" w:hint="eastAsia"/>
                <w:sz w:val="24"/>
                <w:szCs w:val="24"/>
              </w:rPr>
              <w:t>王兆健</w:t>
            </w:r>
          </w:p>
        </w:tc>
        <w:tc>
          <w:tcPr>
            <w:tcW w:w="419" w:type="pct"/>
            <w:vAlign w:val="center"/>
          </w:tcPr>
          <w:p w14:paraId="789FB942" w14:textId="77777777" w:rsidR="004B0883" w:rsidRDefault="004B0883">
            <w:pPr>
              <w:widowControl w:val="0"/>
              <w:spacing w:line="360" w:lineRule="auto"/>
              <w:jc w:val="center"/>
              <w:rPr>
                <w:rFonts w:ascii="Calibri" w:hAnsi="Calibri"/>
                <w:sz w:val="24"/>
                <w:szCs w:val="24"/>
              </w:rPr>
            </w:pPr>
          </w:p>
        </w:tc>
        <w:tc>
          <w:tcPr>
            <w:tcW w:w="1387" w:type="pct"/>
            <w:tcBorders>
              <w:top w:val="single" w:sz="4" w:space="0" w:color="auto"/>
            </w:tcBorders>
            <w:vAlign w:val="center"/>
          </w:tcPr>
          <w:p w14:paraId="22930DF1" w14:textId="77777777" w:rsidR="004B0883" w:rsidRDefault="004B0883">
            <w:pPr>
              <w:widowControl w:val="0"/>
              <w:spacing w:line="360" w:lineRule="auto"/>
              <w:jc w:val="center"/>
              <w:rPr>
                <w:rFonts w:ascii="Calibri" w:hAnsi="Calibri"/>
                <w:sz w:val="24"/>
                <w:szCs w:val="24"/>
              </w:rPr>
            </w:pPr>
            <w:r>
              <w:rPr>
                <w:rFonts w:ascii="Calibri" w:hAnsi="Calibri" w:hint="eastAsia"/>
                <w:sz w:val="24"/>
                <w:szCs w:val="24"/>
              </w:rPr>
              <w:t>陈存明</w:t>
            </w:r>
          </w:p>
        </w:tc>
        <w:tc>
          <w:tcPr>
            <w:tcW w:w="423" w:type="pct"/>
            <w:vAlign w:val="center"/>
          </w:tcPr>
          <w:p w14:paraId="7E8A9EDA" w14:textId="77777777" w:rsidR="004B0883" w:rsidRDefault="004B0883">
            <w:pPr>
              <w:widowControl w:val="0"/>
              <w:spacing w:line="360" w:lineRule="auto"/>
              <w:jc w:val="center"/>
              <w:rPr>
                <w:rFonts w:ascii="Calibri" w:hAnsi="Calibri"/>
                <w:sz w:val="24"/>
                <w:szCs w:val="24"/>
              </w:rPr>
            </w:pPr>
          </w:p>
        </w:tc>
        <w:tc>
          <w:tcPr>
            <w:tcW w:w="1391" w:type="pct"/>
            <w:tcBorders>
              <w:top w:val="single" w:sz="4" w:space="0" w:color="auto"/>
            </w:tcBorders>
            <w:vAlign w:val="center"/>
          </w:tcPr>
          <w:p w14:paraId="26FD1C44" w14:textId="77777777" w:rsidR="004B0883" w:rsidRDefault="004B0883">
            <w:pPr>
              <w:widowControl w:val="0"/>
              <w:spacing w:line="360" w:lineRule="auto"/>
              <w:jc w:val="center"/>
              <w:rPr>
                <w:rFonts w:ascii="Calibri" w:hAnsi="Calibri"/>
                <w:sz w:val="24"/>
                <w:szCs w:val="24"/>
              </w:rPr>
            </w:pPr>
            <w:r>
              <w:rPr>
                <w:rFonts w:ascii="Calibri" w:hAnsi="Calibri" w:hint="eastAsia"/>
                <w:sz w:val="24"/>
                <w:szCs w:val="24"/>
              </w:rPr>
              <w:t>李鹏飞</w:t>
            </w:r>
          </w:p>
        </w:tc>
      </w:tr>
      <w:tr w:rsidR="004B0883" w14:paraId="31F4E67F" w14:textId="77777777">
        <w:trPr>
          <w:trHeight w:val="680"/>
          <w:jc w:val="center"/>
        </w:trPr>
        <w:tc>
          <w:tcPr>
            <w:tcW w:w="2353" w:type="dxa"/>
            <w:tcBorders>
              <w:top w:val="nil"/>
              <w:left w:val="nil"/>
              <w:bottom w:val="nil"/>
              <w:right w:val="nil"/>
            </w:tcBorders>
            <w:vAlign w:val="center"/>
          </w:tcPr>
          <w:p w14:paraId="375B7E1B" w14:textId="77777777" w:rsidR="004B0883" w:rsidRDefault="004B0883">
            <w:pPr>
              <w:widowControl w:val="0"/>
              <w:spacing w:line="360" w:lineRule="auto"/>
              <w:jc w:val="center"/>
              <w:rPr>
                <w:rFonts w:ascii="Calibri" w:hAnsi="Calibri"/>
                <w:sz w:val="24"/>
                <w:szCs w:val="24"/>
              </w:rPr>
            </w:pPr>
          </w:p>
        </w:tc>
        <w:tc>
          <w:tcPr>
            <w:tcW w:w="419" w:type="pct"/>
            <w:tcBorders>
              <w:left w:val="nil"/>
            </w:tcBorders>
            <w:vAlign w:val="center"/>
          </w:tcPr>
          <w:p w14:paraId="4C01AFFE" w14:textId="77777777" w:rsidR="004B0883" w:rsidRDefault="004B0883">
            <w:pPr>
              <w:widowControl w:val="0"/>
              <w:spacing w:line="360" w:lineRule="auto"/>
              <w:jc w:val="center"/>
              <w:rPr>
                <w:rFonts w:ascii="Calibri" w:hAnsi="Calibri"/>
                <w:sz w:val="24"/>
                <w:szCs w:val="24"/>
              </w:rPr>
            </w:pPr>
          </w:p>
        </w:tc>
        <w:tc>
          <w:tcPr>
            <w:tcW w:w="1387" w:type="pct"/>
            <w:vAlign w:val="center"/>
          </w:tcPr>
          <w:p w14:paraId="77C98979" w14:textId="77777777" w:rsidR="004B0883" w:rsidRDefault="004B0883">
            <w:pPr>
              <w:widowControl w:val="0"/>
              <w:spacing w:line="360" w:lineRule="auto"/>
              <w:jc w:val="center"/>
              <w:rPr>
                <w:rFonts w:ascii="Calibri" w:hAnsi="Calibri"/>
                <w:sz w:val="24"/>
                <w:szCs w:val="24"/>
              </w:rPr>
            </w:pPr>
          </w:p>
        </w:tc>
        <w:tc>
          <w:tcPr>
            <w:tcW w:w="423" w:type="pct"/>
            <w:vAlign w:val="center"/>
          </w:tcPr>
          <w:p w14:paraId="09ABDDDF" w14:textId="77777777" w:rsidR="004B0883" w:rsidRDefault="004B0883">
            <w:pPr>
              <w:widowControl w:val="0"/>
              <w:spacing w:line="360" w:lineRule="auto"/>
              <w:jc w:val="center"/>
              <w:rPr>
                <w:rFonts w:ascii="Calibri" w:hAnsi="Calibri"/>
                <w:sz w:val="24"/>
                <w:szCs w:val="24"/>
              </w:rPr>
            </w:pPr>
          </w:p>
        </w:tc>
        <w:tc>
          <w:tcPr>
            <w:tcW w:w="1391" w:type="pct"/>
            <w:vAlign w:val="center"/>
          </w:tcPr>
          <w:p w14:paraId="216B71AE" w14:textId="77777777" w:rsidR="004B0883" w:rsidRDefault="004B0883">
            <w:pPr>
              <w:widowControl w:val="0"/>
              <w:spacing w:line="360" w:lineRule="auto"/>
              <w:jc w:val="center"/>
              <w:rPr>
                <w:rFonts w:ascii="Calibri" w:hAnsi="Calibri"/>
                <w:sz w:val="24"/>
                <w:szCs w:val="24"/>
              </w:rPr>
            </w:pPr>
          </w:p>
        </w:tc>
      </w:tr>
      <w:tr w:rsidR="004B0883" w14:paraId="60831B33" w14:textId="77777777">
        <w:trPr>
          <w:jc w:val="center"/>
        </w:trPr>
        <w:tc>
          <w:tcPr>
            <w:tcW w:w="2353" w:type="dxa"/>
            <w:tcBorders>
              <w:top w:val="nil"/>
              <w:left w:val="nil"/>
              <w:bottom w:val="nil"/>
              <w:right w:val="nil"/>
            </w:tcBorders>
            <w:vAlign w:val="center"/>
          </w:tcPr>
          <w:p w14:paraId="1B3B5827" w14:textId="77777777" w:rsidR="004B0883" w:rsidRDefault="004B0883">
            <w:pPr>
              <w:widowControl w:val="0"/>
              <w:spacing w:line="360" w:lineRule="auto"/>
              <w:jc w:val="center"/>
              <w:rPr>
                <w:rFonts w:ascii="Calibri" w:hAnsi="Calibri"/>
                <w:sz w:val="24"/>
                <w:szCs w:val="24"/>
              </w:rPr>
            </w:pPr>
          </w:p>
        </w:tc>
        <w:tc>
          <w:tcPr>
            <w:tcW w:w="419" w:type="pct"/>
            <w:tcBorders>
              <w:left w:val="nil"/>
            </w:tcBorders>
            <w:vAlign w:val="center"/>
          </w:tcPr>
          <w:p w14:paraId="4EB1849E" w14:textId="77777777" w:rsidR="004B0883" w:rsidRDefault="004B0883">
            <w:pPr>
              <w:widowControl w:val="0"/>
              <w:spacing w:line="360" w:lineRule="auto"/>
              <w:jc w:val="center"/>
              <w:rPr>
                <w:rFonts w:ascii="Calibri" w:hAnsi="Calibri"/>
                <w:sz w:val="24"/>
                <w:szCs w:val="24"/>
              </w:rPr>
            </w:pPr>
          </w:p>
        </w:tc>
        <w:tc>
          <w:tcPr>
            <w:tcW w:w="1387" w:type="pct"/>
            <w:vAlign w:val="center"/>
          </w:tcPr>
          <w:p w14:paraId="0B3980F0" w14:textId="77777777" w:rsidR="004B0883" w:rsidRDefault="004B0883">
            <w:pPr>
              <w:widowControl w:val="0"/>
              <w:spacing w:line="360" w:lineRule="auto"/>
              <w:jc w:val="center"/>
              <w:rPr>
                <w:rFonts w:ascii="Calibri" w:hAnsi="Calibri"/>
                <w:sz w:val="24"/>
                <w:szCs w:val="24"/>
              </w:rPr>
            </w:pPr>
          </w:p>
        </w:tc>
        <w:tc>
          <w:tcPr>
            <w:tcW w:w="423" w:type="pct"/>
            <w:vAlign w:val="center"/>
          </w:tcPr>
          <w:p w14:paraId="38141B01" w14:textId="77777777" w:rsidR="004B0883" w:rsidRDefault="004B0883">
            <w:pPr>
              <w:widowControl w:val="0"/>
              <w:spacing w:line="360" w:lineRule="auto"/>
              <w:jc w:val="center"/>
              <w:rPr>
                <w:rFonts w:ascii="Calibri" w:hAnsi="Calibri"/>
                <w:sz w:val="24"/>
                <w:szCs w:val="24"/>
              </w:rPr>
            </w:pPr>
          </w:p>
        </w:tc>
        <w:tc>
          <w:tcPr>
            <w:tcW w:w="1391" w:type="pct"/>
            <w:vAlign w:val="center"/>
          </w:tcPr>
          <w:p w14:paraId="765CC875" w14:textId="77777777" w:rsidR="004B0883" w:rsidRDefault="004B0883">
            <w:pPr>
              <w:widowControl w:val="0"/>
              <w:spacing w:line="360" w:lineRule="auto"/>
              <w:jc w:val="center"/>
              <w:rPr>
                <w:rFonts w:ascii="Calibri" w:hAnsi="Calibri"/>
                <w:sz w:val="24"/>
                <w:szCs w:val="24"/>
              </w:rPr>
            </w:pPr>
          </w:p>
        </w:tc>
      </w:tr>
      <w:bookmarkEnd w:id="456"/>
    </w:tbl>
    <w:p w14:paraId="20B7668B" w14:textId="77777777" w:rsidR="004B0883" w:rsidRDefault="004B0883">
      <w:pPr>
        <w:spacing w:beforeLines="50" w:before="120" w:afterLines="50" w:after="120" w:line="360" w:lineRule="auto"/>
        <w:ind w:firstLineChars="200" w:firstLine="480"/>
        <w:rPr>
          <w:rFonts w:hint="eastAsia"/>
          <w:sz w:val="24"/>
        </w:rPr>
      </w:pPr>
    </w:p>
    <w:p w14:paraId="36E5B55E" w14:textId="77777777" w:rsidR="004B0883" w:rsidRDefault="004B0883">
      <w:pPr>
        <w:spacing w:beforeLines="50" w:before="120" w:afterLines="50" w:after="120" w:line="360" w:lineRule="auto"/>
        <w:ind w:firstLineChars="200" w:firstLine="480"/>
        <w:rPr>
          <w:rFonts w:hint="eastAsia"/>
          <w:sz w:val="24"/>
        </w:rPr>
      </w:pPr>
    </w:p>
    <w:p w14:paraId="256BACF1" w14:textId="77777777" w:rsidR="004B0883" w:rsidRDefault="004B0883">
      <w:pPr>
        <w:spacing w:beforeLines="50" w:before="120" w:afterLines="50" w:after="120" w:line="360" w:lineRule="auto"/>
        <w:ind w:firstLineChars="200" w:firstLine="420"/>
        <w:rPr>
          <w:rFonts w:hint="eastAsia"/>
        </w:rPr>
      </w:pPr>
    </w:p>
    <w:p w14:paraId="2ED67291" w14:textId="77777777" w:rsidR="004B0883" w:rsidRDefault="004B0883">
      <w:pPr>
        <w:spacing w:beforeLines="50" w:before="120" w:afterLines="50" w:after="120" w:line="360" w:lineRule="auto"/>
        <w:ind w:firstLineChars="200" w:firstLine="480"/>
        <w:jc w:val="right"/>
        <w:rPr>
          <w:rFonts w:hint="eastAsia"/>
          <w:sz w:val="24"/>
        </w:rPr>
      </w:pPr>
      <w:r>
        <w:rPr>
          <w:rFonts w:hint="eastAsia"/>
          <w:sz w:val="24"/>
          <w:szCs w:val="20"/>
        </w:rPr>
        <w:t>青岛伟隆阀门股份有限公司</w:t>
      </w:r>
    </w:p>
    <w:p w14:paraId="73F5F66B" w14:textId="77777777" w:rsidR="004B0883" w:rsidRDefault="004B0883">
      <w:pPr>
        <w:spacing w:beforeLines="50" w:before="120" w:afterLines="50" w:after="120" w:line="360" w:lineRule="auto"/>
        <w:ind w:firstLineChars="200" w:firstLine="480"/>
        <w:jc w:val="right"/>
        <w:rPr>
          <w:rFonts w:hint="eastAsia"/>
          <w:sz w:val="24"/>
        </w:rPr>
      </w:pPr>
      <w:r>
        <w:rPr>
          <w:rFonts w:hint="eastAsia"/>
          <w:sz w:val="24"/>
        </w:rPr>
        <w:t xml:space="preserve">                                                 </w:t>
      </w:r>
      <w:r>
        <w:rPr>
          <w:rFonts w:hint="eastAsia"/>
          <w:sz w:val="24"/>
        </w:rPr>
        <w:t>年</w:t>
      </w:r>
      <w:r>
        <w:rPr>
          <w:rFonts w:hint="eastAsia"/>
          <w:sz w:val="24"/>
        </w:rPr>
        <w:t xml:space="preserve">  </w:t>
      </w:r>
      <w:r>
        <w:rPr>
          <w:sz w:val="24"/>
        </w:rPr>
        <w:t xml:space="preserve"> </w:t>
      </w:r>
      <w:r>
        <w:rPr>
          <w:rFonts w:hint="eastAsia"/>
          <w:sz w:val="24"/>
        </w:rPr>
        <w:t xml:space="preserve">   </w:t>
      </w:r>
      <w:r>
        <w:rPr>
          <w:rFonts w:hint="eastAsia"/>
          <w:sz w:val="24"/>
        </w:rPr>
        <w:t>月</w:t>
      </w:r>
      <w:r>
        <w:rPr>
          <w:rFonts w:hint="eastAsia"/>
          <w:sz w:val="24"/>
        </w:rPr>
        <w:t xml:space="preserve">   </w:t>
      </w:r>
      <w:r>
        <w:rPr>
          <w:sz w:val="24"/>
        </w:rPr>
        <w:t xml:space="preserve"> </w:t>
      </w:r>
      <w:r>
        <w:rPr>
          <w:rFonts w:hint="eastAsia"/>
          <w:sz w:val="24"/>
        </w:rPr>
        <w:t xml:space="preserve">  </w:t>
      </w:r>
      <w:r>
        <w:rPr>
          <w:rFonts w:hint="eastAsia"/>
          <w:sz w:val="24"/>
        </w:rPr>
        <w:t>日</w:t>
      </w:r>
    </w:p>
    <w:p w14:paraId="3DFB6D98" w14:textId="77777777" w:rsidR="004B0883" w:rsidRDefault="004B0883">
      <w:pPr>
        <w:pStyle w:val="002"/>
        <w:spacing w:before="120" w:after="120"/>
        <w:rPr>
          <w:rFonts w:hint="eastAsia"/>
        </w:rPr>
      </w:pPr>
      <w:r>
        <w:rPr>
          <w:rFonts w:hint="eastAsia"/>
        </w:rPr>
        <w:br w:type="page"/>
      </w:r>
      <w:bookmarkStart w:id="457" w:name="_Toc152320832"/>
      <w:r>
        <w:rPr>
          <w:rFonts w:hint="eastAsia"/>
        </w:rPr>
        <w:t>二、发行人控股股东、实际控制人声明</w:t>
      </w:r>
      <w:bookmarkEnd w:id="457"/>
    </w:p>
    <w:p w14:paraId="71A82A78" w14:textId="23385B4C" w:rsidR="004B0883" w:rsidRDefault="0090540C" w:rsidP="00FB1E80">
      <w:pPr>
        <w:spacing w:beforeLines="50" w:before="120" w:afterLines="50" w:after="120" w:line="360" w:lineRule="auto"/>
        <w:ind w:firstLineChars="200" w:firstLine="420"/>
        <w:rPr>
          <w:rFonts w:hint="eastAsia"/>
          <w:sz w:val="24"/>
        </w:rPr>
      </w:pPr>
      <w:r>
        <w:rPr>
          <w:noProof/>
        </w:rPr>
        <w:drawing>
          <wp:anchor distT="0" distB="0" distL="114300" distR="114300" simplePos="0" relativeHeight="251657728" behindDoc="0" locked="0" layoutInCell="0" allowOverlap="1" wp14:anchorId="22A44E41" wp14:editId="22068DC9">
            <wp:simplePos x="0" y="0"/>
            <wp:positionH relativeFrom="page">
              <wp:posOffset>0</wp:posOffset>
            </wp:positionH>
            <wp:positionV relativeFrom="page">
              <wp:posOffset>857250</wp:posOffset>
            </wp:positionV>
            <wp:extent cx="7559040" cy="8286750"/>
            <wp:effectExtent l="0" t="0" r="0" b="0"/>
            <wp:wrapNone/>
            <wp:docPr id="504957390"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4" cstate="print">
                      <a:lum contrast="20000"/>
                      <a:extLst>
                        <a:ext uri="{28A0092B-C50C-407E-A947-70E740481C1C}">
                          <a14:useLocalDpi xmlns:a14="http://schemas.microsoft.com/office/drawing/2010/main" val="0"/>
                        </a:ext>
                      </a:extLst>
                    </a:blip>
                    <a:srcRect t="10980" b="11356"/>
                    <a:stretch>
                      <a:fillRect/>
                    </a:stretch>
                  </pic:blipFill>
                  <pic:spPr bwMode="auto">
                    <a:xfrm>
                      <a:off x="0" y="0"/>
                      <a:ext cx="7559040" cy="828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0883">
        <w:rPr>
          <w:rFonts w:hint="eastAsia"/>
          <w:sz w:val="24"/>
        </w:rPr>
        <w:t>本人承诺本募集说明书内容真实、准确、完整，不存在虚假记载、误导性陈述或重大遗漏，按照诚信原则履行承诺，并承担相应的法律责任。</w:t>
      </w:r>
    </w:p>
    <w:p w14:paraId="5B723E05" w14:textId="77777777" w:rsidR="004B0883" w:rsidRDefault="004B0883">
      <w:pPr>
        <w:spacing w:beforeLines="50" w:before="120" w:afterLines="50" w:after="120" w:line="360" w:lineRule="auto"/>
        <w:rPr>
          <w:rFonts w:hint="eastAsia"/>
        </w:rPr>
      </w:pPr>
    </w:p>
    <w:p w14:paraId="48C22C8B" w14:textId="77777777" w:rsidR="004B0883" w:rsidRDefault="004B0883">
      <w:pPr>
        <w:spacing w:beforeLines="50" w:before="120" w:afterLines="50" w:after="120" w:line="360" w:lineRule="auto"/>
        <w:rPr>
          <w:rFonts w:hint="eastAsia"/>
        </w:rPr>
      </w:pPr>
    </w:p>
    <w:p w14:paraId="5C33AB75" w14:textId="77777777" w:rsidR="004B0883" w:rsidRDefault="004B0883">
      <w:pPr>
        <w:spacing w:beforeLines="50" w:before="120" w:afterLines="50" w:after="120" w:line="360" w:lineRule="auto"/>
        <w:rPr>
          <w:rFonts w:hint="eastAsia"/>
          <w:sz w:val="24"/>
        </w:rPr>
      </w:pPr>
      <w:r>
        <w:rPr>
          <w:rFonts w:hint="eastAsia"/>
          <w:sz w:val="24"/>
        </w:rPr>
        <w:t>控股股东签名：</w:t>
      </w:r>
    </w:p>
    <w:tbl>
      <w:tblPr>
        <w:tblW w:w="1516" w:type="pct"/>
        <w:jc w:val="center"/>
        <w:tblInd w:w="0" w:type="dxa"/>
        <w:tblLook w:val="0000" w:firstRow="0" w:lastRow="0" w:firstColumn="0" w:lastColumn="0" w:noHBand="0" w:noVBand="0"/>
      </w:tblPr>
      <w:tblGrid>
        <w:gridCol w:w="2520"/>
      </w:tblGrid>
      <w:tr w:rsidR="004B0883" w14:paraId="1970FCC3" w14:textId="77777777">
        <w:trPr>
          <w:trHeight w:val="680"/>
          <w:jc w:val="center"/>
        </w:trPr>
        <w:tc>
          <w:tcPr>
            <w:tcW w:w="5000" w:type="pct"/>
            <w:tcBorders>
              <w:bottom w:val="single" w:sz="4" w:space="0" w:color="auto"/>
            </w:tcBorders>
            <w:vAlign w:val="center"/>
          </w:tcPr>
          <w:p w14:paraId="454594F9" w14:textId="77777777" w:rsidR="004B0883" w:rsidRDefault="004B0883">
            <w:pPr>
              <w:widowControl w:val="0"/>
              <w:spacing w:line="360" w:lineRule="auto"/>
              <w:jc w:val="center"/>
              <w:rPr>
                <w:rFonts w:ascii="Calibri" w:hAnsi="Calibri"/>
                <w:sz w:val="24"/>
                <w:szCs w:val="24"/>
              </w:rPr>
            </w:pPr>
          </w:p>
        </w:tc>
      </w:tr>
      <w:tr w:rsidR="004B0883" w14:paraId="19379772" w14:textId="77777777">
        <w:trPr>
          <w:jc w:val="center"/>
        </w:trPr>
        <w:tc>
          <w:tcPr>
            <w:tcW w:w="5000" w:type="pct"/>
            <w:tcBorders>
              <w:top w:val="single" w:sz="4" w:space="0" w:color="auto"/>
            </w:tcBorders>
            <w:vAlign w:val="center"/>
          </w:tcPr>
          <w:p w14:paraId="1E9D7253" w14:textId="77777777" w:rsidR="004B0883" w:rsidRDefault="004B0883">
            <w:pPr>
              <w:widowControl w:val="0"/>
              <w:spacing w:line="360" w:lineRule="auto"/>
              <w:jc w:val="center"/>
              <w:rPr>
                <w:rFonts w:ascii="Calibri" w:hAnsi="Calibri" w:hint="eastAsia"/>
                <w:sz w:val="24"/>
                <w:szCs w:val="24"/>
              </w:rPr>
            </w:pPr>
            <w:r>
              <w:rPr>
                <w:rFonts w:ascii="Calibri" w:hAnsi="Calibri" w:hint="eastAsia"/>
                <w:sz w:val="24"/>
                <w:szCs w:val="24"/>
              </w:rPr>
              <w:t>范庆伟</w:t>
            </w:r>
          </w:p>
        </w:tc>
      </w:tr>
    </w:tbl>
    <w:p w14:paraId="04B9BA39" w14:textId="77777777" w:rsidR="004B0883" w:rsidRDefault="004B0883">
      <w:pPr>
        <w:spacing w:beforeLines="50" w:before="120" w:afterLines="50" w:after="120" w:line="360" w:lineRule="auto"/>
        <w:rPr>
          <w:sz w:val="24"/>
        </w:rPr>
      </w:pPr>
      <w:r>
        <w:rPr>
          <w:rFonts w:hint="eastAsia"/>
          <w:sz w:val="24"/>
        </w:rPr>
        <w:t>实际控制人签名：</w:t>
      </w:r>
    </w:p>
    <w:p w14:paraId="6429CCF5" w14:textId="77777777" w:rsidR="004B0883" w:rsidRDefault="004B0883">
      <w:pPr>
        <w:spacing w:beforeLines="50" w:before="120" w:afterLines="50" w:after="120" w:line="360" w:lineRule="auto"/>
        <w:rPr>
          <w:rFonts w:hint="eastAsia"/>
          <w:sz w:val="24"/>
        </w:rPr>
      </w:pPr>
    </w:p>
    <w:tbl>
      <w:tblPr>
        <w:tblW w:w="4548" w:type="pct"/>
        <w:jc w:val="center"/>
        <w:tblInd w:w="0" w:type="dxa"/>
        <w:tblLook w:val="0000" w:firstRow="0" w:lastRow="0" w:firstColumn="0" w:lastColumn="0" w:noHBand="0" w:noVBand="0"/>
      </w:tblPr>
      <w:tblGrid>
        <w:gridCol w:w="2520"/>
        <w:gridCol w:w="2520"/>
        <w:gridCol w:w="2519"/>
      </w:tblGrid>
      <w:tr w:rsidR="004B0883" w14:paraId="21960134" w14:textId="77777777">
        <w:trPr>
          <w:trHeight w:val="680"/>
          <w:jc w:val="center"/>
        </w:trPr>
        <w:tc>
          <w:tcPr>
            <w:tcW w:w="1667" w:type="pct"/>
            <w:tcBorders>
              <w:bottom w:val="single" w:sz="4" w:space="0" w:color="auto"/>
            </w:tcBorders>
            <w:vAlign w:val="center"/>
          </w:tcPr>
          <w:p w14:paraId="32A8D24F" w14:textId="77777777" w:rsidR="004B0883" w:rsidRDefault="004B0883">
            <w:pPr>
              <w:widowControl w:val="0"/>
              <w:spacing w:line="360" w:lineRule="auto"/>
              <w:jc w:val="center"/>
              <w:rPr>
                <w:rFonts w:ascii="Calibri" w:hAnsi="Calibri"/>
                <w:sz w:val="24"/>
                <w:szCs w:val="24"/>
              </w:rPr>
            </w:pPr>
          </w:p>
        </w:tc>
        <w:tc>
          <w:tcPr>
            <w:tcW w:w="1667" w:type="pct"/>
            <w:vAlign w:val="center"/>
          </w:tcPr>
          <w:p w14:paraId="1198EB7B" w14:textId="77777777" w:rsidR="004B0883" w:rsidRDefault="004B0883">
            <w:pPr>
              <w:widowControl w:val="0"/>
              <w:spacing w:line="360" w:lineRule="auto"/>
              <w:jc w:val="center"/>
              <w:rPr>
                <w:rFonts w:ascii="Calibri" w:hAnsi="Calibri"/>
                <w:sz w:val="24"/>
                <w:szCs w:val="24"/>
              </w:rPr>
            </w:pPr>
          </w:p>
        </w:tc>
        <w:tc>
          <w:tcPr>
            <w:tcW w:w="1667" w:type="pct"/>
            <w:tcBorders>
              <w:bottom w:val="single" w:sz="4" w:space="0" w:color="auto"/>
            </w:tcBorders>
            <w:vAlign w:val="center"/>
          </w:tcPr>
          <w:p w14:paraId="328E8BCD" w14:textId="77777777" w:rsidR="004B0883" w:rsidRDefault="004B0883">
            <w:pPr>
              <w:widowControl w:val="0"/>
              <w:spacing w:line="360" w:lineRule="auto"/>
              <w:jc w:val="center"/>
              <w:rPr>
                <w:rFonts w:ascii="Calibri" w:hAnsi="Calibri"/>
                <w:sz w:val="24"/>
                <w:szCs w:val="24"/>
              </w:rPr>
            </w:pPr>
          </w:p>
        </w:tc>
      </w:tr>
      <w:tr w:rsidR="004B0883" w14:paraId="2DBAC0AD" w14:textId="77777777">
        <w:trPr>
          <w:jc w:val="center"/>
        </w:trPr>
        <w:tc>
          <w:tcPr>
            <w:tcW w:w="1667" w:type="pct"/>
            <w:tcBorders>
              <w:top w:val="single" w:sz="4" w:space="0" w:color="auto"/>
            </w:tcBorders>
            <w:vAlign w:val="center"/>
          </w:tcPr>
          <w:p w14:paraId="12B8F78B" w14:textId="77777777" w:rsidR="004B0883" w:rsidRDefault="004B0883">
            <w:pPr>
              <w:widowControl w:val="0"/>
              <w:spacing w:line="360" w:lineRule="auto"/>
              <w:jc w:val="center"/>
              <w:rPr>
                <w:rFonts w:ascii="Calibri" w:hAnsi="Calibri" w:hint="eastAsia"/>
                <w:sz w:val="24"/>
                <w:szCs w:val="24"/>
              </w:rPr>
            </w:pPr>
            <w:r>
              <w:rPr>
                <w:rFonts w:ascii="Calibri" w:hAnsi="Calibri" w:hint="eastAsia"/>
                <w:sz w:val="24"/>
                <w:szCs w:val="24"/>
              </w:rPr>
              <w:t>范庆伟</w:t>
            </w:r>
          </w:p>
        </w:tc>
        <w:tc>
          <w:tcPr>
            <w:tcW w:w="1667" w:type="pct"/>
            <w:vAlign w:val="center"/>
          </w:tcPr>
          <w:p w14:paraId="5CFD4631" w14:textId="77777777" w:rsidR="004B0883" w:rsidRDefault="004B0883">
            <w:pPr>
              <w:widowControl w:val="0"/>
              <w:spacing w:line="360" w:lineRule="auto"/>
              <w:jc w:val="center"/>
              <w:rPr>
                <w:rFonts w:ascii="Calibri" w:hAnsi="Calibri" w:hint="eastAsia"/>
                <w:sz w:val="24"/>
                <w:szCs w:val="24"/>
              </w:rPr>
            </w:pPr>
          </w:p>
        </w:tc>
        <w:tc>
          <w:tcPr>
            <w:tcW w:w="1667" w:type="pct"/>
            <w:tcBorders>
              <w:top w:val="single" w:sz="4" w:space="0" w:color="auto"/>
            </w:tcBorders>
            <w:vAlign w:val="center"/>
          </w:tcPr>
          <w:p w14:paraId="7B7AB691" w14:textId="77777777" w:rsidR="004B0883" w:rsidRDefault="004B0883">
            <w:pPr>
              <w:widowControl w:val="0"/>
              <w:spacing w:line="360" w:lineRule="auto"/>
              <w:jc w:val="center"/>
              <w:rPr>
                <w:rFonts w:ascii="Calibri" w:hAnsi="Calibri" w:hint="eastAsia"/>
                <w:sz w:val="24"/>
                <w:szCs w:val="24"/>
              </w:rPr>
            </w:pPr>
            <w:r>
              <w:rPr>
                <w:rFonts w:ascii="Calibri" w:hAnsi="Calibri" w:hint="eastAsia"/>
                <w:sz w:val="24"/>
                <w:szCs w:val="24"/>
              </w:rPr>
              <w:t>范玉隆</w:t>
            </w:r>
          </w:p>
        </w:tc>
      </w:tr>
    </w:tbl>
    <w:p w14:paraId="707E8B2E" w14:textId="77777777" w:rsidR="004B0883" w:rsidRDefault="004B0883">
      <w:pPr>
        <w:spacing w:beforeLines="50" w:before="120" w:afterLines="50" w:after="120" w:line="360" w:lineRule="auto"/>
        <w:rPr>
          <w:rFonts w:hint="eastAsia"/>
          <w:sz w:val="24"/>
        </w:rPr>
      </w:pPr>
    </w:p>
    <w:p w14:paraId="41AE57DA" w14:textId="77777777" w:rsidR="004B0883" w:rsidRDefault="004B0883">
      <w:pPr>
        <w:spacing w:beforeLines="50" w:before="120" w:afterLines="50" w:after="120" w:line="360" w:lineRule="auto"/>
        <w:ind w:firstLineChars="300" w:firstLine="720"/>
        <w:rPr>
          <w:rFonts w:hint="eastAsia"/>
          <w:sz w:val="24"/>
        </w:rPr>
      </w:pPr>
    </w:p>
    <w:p w14:paraId="586D0EA6" w14:textId="77777777" w:rsidR="004B0883" w:rsidRDefault="004B0883">
      <w:pPr>
        <w:spacing w:beforeLines="50" w:before="120" w:afterLines="50" w:after="120" w:line="360" w:lineRule="auto"/>
        <w:ind w:firstLineChars="300" w:firstLine="720"/>
        <w:rPr>
          <w:rFonts w:hint="eastAsia"/>
          <w:sz w:val="24"/>
        </w:rPr>
      </w:pPr>
    </w:p>
    <w:p w14:paraId="6AD7E8F1" w14:textId="77777777" w:rsidR="004B0883" w:rsidRDefault="004B0883">
      <w:pPr>
        <w:wordWrap w:val="0"/>
        <w:spacing w:beforeLines="50" w:before="120" w:afterLines="50" w:after="120" w:line="360" w:lineRule="auto"/>
        <w:ind w:firstLineChars="300" w:firstLine="720"/>
        <w:jc w:val="right"/>
        <w:rPr>
          <w:rFonts w:hint="eastAsia"/>
          <w:sz w:val="24"/>
        </w:rPr>
      </w:pPr>
      <w:r>
        <w:rPr>
          <w:rFonts w:hint="eastAsia"/>
          <w:sz w:val="24"/>
        </w:rPr>
        <w:t>年</w:t>
      </w:r>
      <w:r>
        <w:rPr>
          <w:rFonts w:hint="eastAsia"/>
          <w:sz w:val="24"/>
        </w:rPr>
        <w:t xml:space="preserve">    </w:t>
      </w:r>
      <w:r>
        <w:rPr>
          <w:sz w:val="24"/>
        </w:rPr>
        <w:t xml:space="preserve"> </w:t>
      </w:r>
      <w:r>
        <w:rPr>
          <w:rFonts w:hint="eastAsia"/>
          <w:sz w:val="24"/>
        </w:rPr>
        <w:t>月</w:t>
      </w:r>
      <w:r>
        <w:rPr>
          <w:rFonts w:hint="eastAsia"/>
          <w:sz w:val="24"/>
        </w:rPr>
        <w:t xml:space="preserve">   </w:t>
      </w:r>
      <w:r>
        <w:rPr>
          <w:sz w:val="24"/>
        </w:rPr>
        <w:t xml:space="preserve"> </w:t>
      </w:r>
      <w:r>
        <w:rPr>
          <w:rFonts w:hint="eastAsia"/>
          <w:sz w:val="24"/>
        </w:rPr>
        <w:t xml:space="preserve"> </w:t>
      </w:r>
      <w:r>
        <w:rPr>
          <w:rFonts w:hint="eastAsia"/>
          <w:sz w:val="24"/>
        </w:rPr>
        <w:t>日</w:t>
      </w:r>
    </w:p>
    <w:p w14:paraId="7810624E" w14:textId="77777777" w:rsidR="004B0883" w:rsidRDefault="004B0883">
      <w:pPr>
        <w:pStyle w:val="002"/>
        <w:spacing w:before="120" w:after="120"/>
        <w:rPr>
          <w:rFonts w:hint="eastAsia"/>
        </w:rPr>
      </w:pPr>
      <w:r>
        <w:rPr>
          <w:rFonts w:hint="eastAsia"/>
        </w:rPr>
        <w:br w:type="page"/>
      </w:r>
      <w:bookmarkStart w:id="458" w:name="_Toc152320833"/>
      <w:r>
        <w:rPr>
          <w:rFonts w:hint="eastAsia"/>
        </w:rPr>
        <w:t>三、保荐机构（主承销商）声明</w:t>
      </w:r>
      <w:bookmarkEnd w:id="458"/>
    </w:p>
    <w:p w14:paraId="279834D0" w14:textId="460B31B9" w:rsidR="004B0883" w:rsidRDefault="0090540C">
      <w:pPr>
        <w:pStyle w:val="005"/>
        <w:spacing w:before="120" w:after="120"/>
        <w:ind w:firstLine="480"/>
        <w:rPr>
          <w:rFonts w:hint="eastAsia"/>
        </w:rPr>
      </w:pPr>
      <w:r>
        <w:rPr>
          <w:noProof/>
        </w:rPr>
        <w:drawing>
          <wp:anchor distT="0" distB="0" distL="114300" distR="114300" simplePos="0" relativeHeight="251662848" behindDoc="0" locked="0" layoutInCell="0" allowOverlap="1" wp14:anchorId="145ADE78" wp14:editId="2185B892">
            <wp:simplePos x="0" y="0"/>
            <wp:positionH relativeFrom="page">
              <wp:posOffset>5080</wp:posOffset>
            </wp:positionH>
            <wp:positionV relativeFrom="page">
              <wp:posOffset>930275</wp:posOffset>
            </wp:positionV>
            <wp:extent cx="7548245" cy="8544560"/>
            <wp:effectExtent l="0" t="0" r="0" b="0"/>
            <wp:wrapNone/>
            <wp:docPr id="2093672180"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lum contrast="20000"/>
                      <a:extLst>
                        <a:ext uri="{28A0092B-C50C-407E-A947-70E740481C1C}">
                          <a14:useLocalDpi xmlns:a14="http://schemas.microsoft.com/office/drawing/2010/main" val="0"/>
                        </a:ext>
                      </a:extLst>
                    </a:blip>
                    <a:srcRect t="8702" b="11363"/>
                    <a:stretch>
                      <a:fillRect/>
                    </a:stretch>
                  </pic:blipFill>
                  <pic:spPr bwMode="auto">
                    <a:xfrm>
                      <a:off x="0" y="0"/>
                      <a:ext cx="7548245" cy="854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0883">
        <w:rPr>
          <w:rFonts w:hint="eastAsia"/>
        </w:rPr>
        <w:t>本公司已对募集说明书进行了核查，确认本募集说明书内容真实、准确、完整，不存在虚假记载、误导性陈述或重大遗漏，并承担相应的法律责任。</w:t>
      </w:r>
    </w:p>
    <w:p w14:paraId="152EC763" w14:textId="77777777" w:rsidR="004B0883" w:rsidRDefault="004B0883">
      <w:pPr>
        <w:spacing w:beforeLines="50" w:before="120" w:afterLines="50" w:after="120" w:line="360" w:lineRule="auto"/>
        <w:rPr>
          <w:rFonts w:hint="eastAsia"/>
        </w:rPr>
      </w:pPr>
    </w:p>
    <w:p w14:paraId="3EA3E0CE" w14:textId="77777777" w:rsidR="004B0883" w:rsidRDefault="004B0883">
      <w:pPr>
        <w:spacing w:beforeLines="50" w:before="120" w:afterLines="50" w:after="120" w:line="360" w:lineRule="auto"/>
        <w:rPr>
          <w:rFonts w:hint="eastAsia"/>
          <w:sz w:val="24"/>
          <w:szCs w:val="24"/>
        </w:rPr>
      </w:pPr>
      <w:r>
        <w:rPr>
          <w:rFonts w:hint="eastAsia"/>
          <w:sz w:val="24"/>
          <w:szCs w:val="24"/>
        </w:rPr>
        <w:t>保荐代表人：</w:t>
      </w:r>
    </w:p>
    <w:tbl>
      <w:tblPr>
        <w:tblW w:w="0" w:type="auto"/>
        <w:tblInd w:w="0" w:type="dxa"/>
        <w:tblLayout w:type="fixed"/>
        <w:tblLook w:val="0000" w:firstRow="0" w:lastRow="0" w:firstColumn="0" w:lastColumn="0" w:noHBand="0" w:noVBand="0"/>
      </w:tblPr>
      <w:tblGrid>
        <w:gridCol w:w="829"/>
        <w:gridCol w:w="829"/>
        <w:gridCol w:w="829"/>
        <w:gridCol w:w="829"/>
        <w:gridCol w:w="830"/>
        <w:gridCol w:w="830"/>
        <w:gridCol w:w="830"/>
        <w:gridCol w:w="830"/>
        <w:gridCol w:w="830"/>
        <w:gridCol w:w="830"/>
      </w:tblGrid>
      <w:tr w:rsidR="004B0883" w14:paraId="10068409" w14:textId="77777777">
        <w:tc>
          <w:tcPr>
            <w:tcW w:w="829" w:type="dxa"/>
            <w:shd w:val="clear" w:color="auto" w:fill="FFFFFF"/>
            <w:vAlign w:val="center"/>
          </w:tcPr>
          <w:p w14:paraId="2FF40F63" w14:textId="77777777" w:rsidR="004B0883" w:rsidRDefault="004B0883">
            <w:pPr>
              <w:spacing w:beforeLines="50" w:before="120" w:afterLines="50" w:after="120" w:line="360" w:lineRule="auto"/>
              <w:rPr>
                <w:rFonts w:hint="eastAsia"/>
                <w:sz w:val="24"/>
                <w:szCs w:val="24"/>
              </w:rPr>
            </w:pPr>
          </w:p>
        </w:tc>
        <w:tc>
          <w:tcPr>
            <w:tcW w:w="829" w:type="dxa"/>
            <w:shd w:val="clear" w:color="auto" w:fill="FFFFFF"/>
            <w:vAlign w:val="center"/>
          </w:tcPr>
          <w:p w14:paraId="40FF068E" w14:textId="77777777" w:rsidR="004B0883" w:rsidRDefault="004B0883">
            <w:pPr>
              <w:spacing w:beforeLines="50" w:before="120" w:afterLines="50" w:after="120" w:line="360" w:lineRule="auto"/>
              <w:rPr>
                <w:rFonts w:hint="eastAsia"/>
                <w:sz w:val="24"/>
                <w:szCs w:val="24"/>
              </w:rPr>
            </w:pPr>
          </w:p>
        </w:tc>
        <w:tc>
          <w:tcPr>
            <w:tcW w:w="829" w:type="dxa"/>
            <w:shd w:val="clear" w:color="auto" w:fill="FFFFFF"/>
            <w:vAlign w:val="center"/>
          </w:tcPr>
          <w:p w14:paraId="12AB5B44" w14:textId="77777777" w:rsidR="004B0883" w:rsidRDefault="004B0883">
            <w:pPr>
              <w:spacing w:beforeLines="50" w:before="120" w:afterLines="50" w:after="120" w:line="360" w:lineRule="auto"/>
              <w:rPr>
                <w:rFonts w:hint="eastAsia"/>
                <w:sz w:val="24"/>
                <w:szCs w:val="24"/>
              </w:rPr>
            </w:pPr>
          </w:p>
        </w:tc>
        <w:tc>
          <w:tcPr>
            <w:tcW w:w="829" w:type="dxa"/>
            <w:tcBorders>
              <w:bottom w:val="single" w:sz="4" w:space="0" w:color="auto"/>
            </w:tcBorders>
            <w:shd w:val="clear" w:color="auto" w:fill="FFFFFF"/>
            <w:vAlign w:val="center"/>
          </w:tcPr>
          <w:p w14:paraId="52D905D6" w14:textId="77777777" w:rsidR="004B0883" w:rsidRDefault="004B0883">
            <w:pPr>
              <w:spacing w:beforeLines="50" w:before="120" w:afterLines="50" w:after="120" w:line="360" w:lineRule="auto"/>
              <w:rPr>
                <w:rFonts w:hint="eastAsia"/>
                <w:sz w:val="24"/>
                <w:szCs w:val="24"/>
              </w:rPr>
            </w:pPr>
          </w:p>
        </w:tc>
        <w:tc>
          <w:tcPr>
            <w:tcW w:w="830" w:type="dxa"/>
            <w:tcBorders>
              <w:bottom w:val="single" w:sz="4" w:space="0" w:color="auto"/>
            </w:tcBorders>
            <w:shd w:val="clear" w:color="auto" w:fill="FFFFFF"/>
            <w:vAlign w:val="center"/>
          </w:tcPr>
          <w:p w14:paraId="6AC1BD2E" w14:textId="77777777" w:rsidR="004B0883" w:rsidRDefault="004B0883">
            <w:pPr>
              <w:spacing w:beforeLines="50" w:before="120" w:afterLines="50" w:after="120" w:line="360" w:lineRule="auto"/>
              <w:rPr>
                <w:rFonts w:hint="eastAsia"/>
                <w:sz w:val="24"/>
                <w:szCs w:val="24"/>
              </w:rPr>
            </w:pPr>
          </w:p>
        </w:tc>
        <w:tc>
          <w:tcPr>
            <w:tcW w:w="830" w:type="dxa"/>
            <w:tcBorders>
              <w:bottom w:val="single" w:sz="4" w:space="0" w:color="auto"/>
            </w:tcBorders>
            <w:shd w:val="clear" w:color="auto" w:fill="FFFFFF"/>
            <w:vAlign w:val="center"/>
          </w:tcPr>
          <w:p w14:paraId="258370C5" w14:textId="77777777" w:rsidR="004B0883" w:rsidRDefault="004B0883">
            <w:pPr>
              <w:spacing w:beforeLines="50" w:before="120" w:afterLines="50" w:after="120" w:line="360" w:lineRule="auto"/>
              <w:rPr>
                <w:rFonts w:hint="eastAsia"/>
                <w:sz w:val="24"/>
                <w:szCs w:val="24"/>
              </w:rPr>
            </w:pPr>
          </w:p>
        </w:tc>
        <w:tc>
          <w:tcPr>
            <w:tcW w:w="830" w:type="dxa"/>
            <w:shd w:val="clear" w:color="auto" w:fill="FFFFFF"/>
            <w:vAlign w:val="center"/>
          </w:tcPr>
          <w:p w14:paraId="3E89EDFD" w14:textId="77777777" w:rsidR="004B0883" w:rsidRDefault="004B0883">
            <w:pPr>
              <w:spacing w:beforeLines="50" w:before="120" w:afterLines="50" w:after="120" w:line="360" w:lineRule="auto"/>
              <w:rPr>
                <w:rFonts w:hint="eastAsia"/>
                <w:sz w:val="24"/>
                <w:szCs w:val="24"/>
              </w:rPr>
            </w:pPr>
          </w:p>
        </w:tc>
        <w:tc>
          <w:tcPr>
            <w:tcW w:w="830" w:type="dxa"/>
            <w:tcBorders>
              <w:bottom w:val="single" w:sz="4" w:space="0" w:color="auto"/>
            </w:tcBorders>
            <w:shd w:val="clear" w:color="auto" w:fill="FFFFFF"/>
            <w:vAlign w:val="center"/>
          </w:tcPr>
          <w:p w14:paraId="4C7BD422" w14:textId="77777777" w:rsidR="004B0883" w:rsidRDefault="004B0883">
            <w:pPr>
              <w:spacing w:beforeLines="50" w:before="120" w:afterLines="50" w:after="120" w:line="360" w:lineRule="auto"/>
              <w:rPr>
                <w:rFonts w:hint="eastAsia"/>
                <w:sz w:val="24"/>
                <w:szCs w:val="24"/>
              </w:rPr>
            </w:pPr>
          </w:p>
        </w:tc>
        <w:tc>
          <w:tcPr>
            <w:tcW w:w="830" w:type="dxa"/>
            <w:tcBorders>
              <w:bottom w:val="single" w:sz="4" w:space="0" w:color="auto"/>
            </w:tcBorders>
            <w:shd w:val="clear" w:color="auto" w:fill="FFFFFF"/>
            <w:vAlign w:val="center"/>
          </w:tcPr>
          <w:p w14:paraId="4585F24B" w14:textId="77777777" w:rsidR="004B0883" w:rsidRDefault="004B0883">
            <w:pPr>
              <w:spacing w:beforeLines="50" w:before="120" w:afterLines="50" w:after="120" w:line="360" w:lineRule="auto"/>
              <w:rPr>
                <w:rFonts w:hint="eastAsia"/>
                <w:sz w:val="24"/>
                <w:szCs w:val="24"/>
              </w:rPr>
            </w:pPr>
          </w:p>
        </w:tc>
        <w:tc>
          <w:tcPr>
            <w:tcW w:w="830" w:type="dxa"/>
            <w:tcBorders>
              <w:bottom w:val="single" w:sz="4" w:space="0" w:color="auto"/>
            </w:tcBorders>
            <w:shd w:val="clear" w:color="auto" w:fill="FFFFFF"/>
            <w:vAlign w:val="center"/>
          </w:tcPr>
          <w:p w14:paraId="3EAD0E33" w14:textId="77777777" w:rsidR="004B0883" w:rsidRDefault="004B0883">
            <w:pPr>
              <w:spacing w:beforeLines="50" w:before="120" w:afterLines="50" w:after="120" w:line="360" w:lineRule="auto"/>
              <w:rPr>
                <w:rFonts w:hint="eastAsia"/>
                <w:sz w:val="24"/>
                <w:szCs w:val="24"/>
              </w:rPr>
            </w:pPr>
          </w:p>
        </w:tc>
      </w:tr>
      <w:tr w:rsidR="004B0883" w14:paraId="03EA19E2" w14:textId="77777777">
        <w:tc>
          <w:tcPr>
            <w:tcW w:w="829" w:type="dxa"/>
            <w:shd w:val="clear" w:color="auto" w:fill="FFFFFF"/>
            <w:vAlign w:val="center"/>
          </w:tcPr>
          <w:p w14:paraId="65040803" w14:textId="77777777" w:rsidR="004B0883" w:rsidRDefault="004B0883">
            <w:pPr>
              <w:spacing w:beforeLines="50" w:before="120" w:afterLines="50" w:after="120" w:line="360" w:lineRule="auto"/>
              <w:rPr>
                <w:rFonts w:hint="eastAsia"/>
                <w:sz w:val="24"/>
                <w:szCs w:val="24"/>
              </w:rPr>
            </w:pPr>
          </w:p>
        </w:tc>
        <w:tc>
          <w:tcPr>
            <w:tcW w:w="829" w:type="dxa"/>
            <w:shd w:val="clear" w:color="auto" w:fill="FFFFFF"/>
            <w:vAlign w:val="center"/>
          </w:tcPr>
          <w:p w14:paraId="66B44483" w14:textId="77777777" w:rsidR="004B0883" w:rsidRDefault="004B0883">
            <w:pPr>
              <w:spacing w:beforeLines="50" w:before="120" w:afterLines="50" w:after="120" w:line="360" w:lineRule="auto"/>
              <w:rPr>
                <w:rFonts w:hint="eastAsia"/>
                <w:sz w:val="24"/>
                <w:szCs w:val="24"/>
              </w:rPr>
            </w:pPr>
          </w:p>
        </w:tc>
        <w:tc>
          <w:tcPr>
            <w:tcW w:w="829" w:type="dxa"/>
            <w:shd w:val="clear" w:color="auto" w:fill="FFFFFF"/>
            <w:vAlign w:val="center"/>
          </w:tcPr>
          <w:p w14:paraId="2CB5453C" w14:textId="77777777" w:rsidR="004B0883" w:rsidRDefault="004B0883">
            <w:pPr>
              <w:spacing w:beforeLines="50" w:before="120" w:afterLines="50" w:after="120" w:line="360" w:lineRule="auto"/>
              <w:rPr>
                <w:rFonts w:hint="eastAsia"/>
                <w:sz w:val="24"/>
                <w:szCs w:val="24"/>
              </w:rPr>
            </w:pPr>
          </w:p>
        </w:tc>
        <w:tc>
          <w:tcPr>
            <w:tcW w:w="2489" w:type="dxa"/>
            <w:gridSpan w:val="3"/>
            <w:tcBorders>
              <w:top w:val="single" w:sz="4" w:space="0" w:color="auto"/>
            </w:tcBorders>
            <w:shd w:val="clear" w:color="auto" w:fill="FFFFFF"/>
            <w:vAlign w:val="center"/>
          </w:tcPr>
          <w:p w14:paraId="412DDB00" w14:textId="77777777" w:rsidR="004B0883" w:rsidRDefault="004B0883">
            <w:pPr>
              <w:spacing w:beforeLines="50" w:before="120" w:afterLines="50" w:after="120" w:line="360" w:lineRule="auto"/>
              <w:jc w:val="center"/>
              <w:rPr>
                <w:sz w:val="24"/>
                <w:szCs w:val="24"/>
              </w:rPr>
            </w:pPr>
            <w:r>
              <w:rPr>
                <w:rFonts w:hint="eastAsia"/>
                <w:sz w:val="24"/>
                <w:szCs w:val="24"/>
              </w:rPr>
              <w:t>王冠男</w:t>
            </w:r>
          </w:p>
        </w:tc>
        <w:tc>
          <w:tcPr>
            <w:tcW w:w="830" w:type="dxa"/>
            <w:shd w:val="clear" w:color="auto" w:fill="FFFFFF"/>
            <w:vAlign w:val="center"/>
          </w:tcPr>
          <w:p w14:paraId="17375E6D" w14:textId="77777777" w:rsidR="004B0883" w:rsidRDefault="004B0883">
            <w:pPr>
              <w:spacing w:beforeLines="50" w:before="120" w:afterLines="50" w:after="120" w:line="360" w:lineRule="auto"/>
              <w:rPr>
                <w:rFonts w:hint="eastAsia"/>
                <w:sz w:val="24"/>
                <w:szCs w:val="24"/>
              </w:rPr>
            </w:pPr>
          </w:p>
        </w:tc>
        <w:tc>
          <w:tcPr>
            <w:tcW w:w="2490" w:type="dxa"/>
            <w:gridSpan w:val="3"/>
            <w:tcBorders>
              <w:top w:val="single" w:sz="4" w:space="0" w:color="auto"/>
            </w:tcBorders>
            <w:shd w:val="clear" w:color="auto" w:fill="FFFFFF"/>
            <w:vAlign w:val="center"/>
          </w:tcPr>
          <w:p w14:paraId="422E43C1" w14:textId="77777777" w:rsidR="004B0883" w:rsidRDefault="004B0883">
            <w:pPr>
              <w:spacing w:beforeLines="50" w:before="120" w:afterLines="50" w:after="120" w:line="360" w:lineRule="auto"/>
              <w:jc w:val="center"/>
              <w:rPr>
                <w:rFonts w:hint="eastAsia"/>
                <w:sz w:val="24"/>
                <w:szCs w:val="24"/>
              </w:rPr>
            </w:pPr>
            <w:r>
              <w:rPr>
                <w:rFonts w:hint="eastAsia"/>
                <w:sz w:val="24"/>
                <w:szCs w:val="24"/>
              </w:rPr>
              <w:t>李</w:t>
            </w:r>
            <w:r>
              <w:rPr>
                <w:rFonts w:hint="eastAsia"/>
                <w:sz w:val="24"/>
                <w:szCs w:val="24"/>
              </w:rPr>
              <w:t xml:space="preserve">    </w:t>
            </w:r>
            <w:r>
              <w:rPr>
                <w:rFonts w:hint="eastAsia"/>
                <w:sz w:val="24"/>
                <w:szCs w:val="24"/>
              </w:rPr>
              <w:t>良</w:t>
            </w:r>
          </w:p>
        </w:tc>
      </w:tr>
    </w:tbl>
    <w:p w14:paraId="46EFB39D" w14:textId="77777777" w:rsidR="004B0883" w:rsidRDefault="004B0883">
      <w:pPr>
        <w:spacing w:beforeLines="50" w:before="120" w:afterLines="50" w:after="120" w:line="360" w:lineRule="auto"/>
        <w:rPr>
          <w:rFonts w:hint="eastAsia"/>
          <w:sz w:val="24"/>
          <w:szCs w:val="24"/>
        </w:rPr>
      </w:pPr>
      <w:r>
        <w:rPr>
          <w:rFonts w:hint="eastAsia"/>
          <w:sz w:val="24"/>
          <w:szCs w:val="24"/>
        </w:rPr>
        <w:t>项目协办人：</w:t>
      </w:r>
    </w:p>
    <w:tbl>
      <w:tblPr>
        <w:tblW w:w="0" w:type="auto"/>
        <w:tblInd w:w="0" w:type="dxa"/>
        <w:tblLayout w:type="fixed"/>
        <w:tblLook w:val="0000" w:firstRow="0" w:lastRow="0" w:firstColumn="0" w:lastColumn="0" w:noHBand="0" w:noVBand="0"/>
      </w:tblPr>
      <w:tblGrid>
        <w:gridCol w:w="829"/>
        <w:gridCol w:w="829"/>
        <w:gridCol w:w="829"/>
        <w:gridCol w:w="829"/>
        <w:gridCol w:w="830"/>
        <w:gridCol w:w="830"/>
        <w:gridCol w:w="830"/>
        <w:gridCol w:w="830"/>
        <w:gridCol w:w="830"/>
        <w:gridCol w:w="830"/>
      </w:tblGrid>
      <w:tr w:rsidR="004B0883" w14:paraId="596C3888" w14:textId="77777777">
        <w:tc>
          <w:tcPr>
            <w:tcW w:w="829" w:type="dxa"/>
            <w:shd w:val="clear" w:color="auto" w:fill="FFFFFF"/>
            <w:vAlign w:val="center"/>
          </w:tcPr>
          <w:p w14:paraId="74CA76EF" w14:textId="77777777" w:rsidR="004B0883" w:rsidRDefault="004B0883">
            <w:pPr>
              <w:spacing w:beforeLines="50" w:before="120" w:afterLines="50" w:after="120" w:line="360" w:lineRule="auto"/>
              <w:rPr>
                <w:rFonts w:hint="eastAsia"/>
                <w:sz w:val="24"/>
                <w:szCs w:val="24"/>
              </w:rPr>
            </w:pPr>
          </w:p>
        </w:tc>
        <w:tc>
          <w:tcPr>
            <w:tcW w:w="829" w:type="dxa"/>
            <w:shd w:val="clear" w:color="auto" w:fill="FFFFFF"/>
            <w:vAlign w:val="center"/>
          </w:tcPr>
          <w:p w14:paraId="1641940E" w14:textId="77777777" w:rsidR="004B0883" w:rsidRDefault="004B0883">
            <w:pPr>
              <w:spacing w:beforeLines="50" w:before="120" w:afterLines="50" w:after="120" w:line="360" w:lineRule="auto"/>
              <w:rPr>
                <w:rFonts w:hint="eastAsia"/>
                <w:sz w:val="24"/>
                <w:szCs w:val="24"/>
              </w:rPr>
            </w:pPr>
          </w:p>
        </w:tc>
        <w:tc>
          <w:tcPr>
            <w:tcW w:w="829" w:type="dxa"/>
            <w:shd w:val="clear" w:color="auto" w:fill="FFFFFF"/>
            <w:vAlign w:val="center"/>
          </w:tcPr>
          <w:p w14:paraId="6CD99FD8" w14:textId="77777777" w:rsidR="004B0883" w:rsidRDefault="004B0883">
            <w:pPr>
              <w:spacing w:beforeLines="50" w:before="120" w:afterLines="50" w:after="120" w:line="360" w:lineRule="auto"/>
              <w:rPr>
                <w:rFonts w:hint="eastAsia"/>
                <w:sz w:val="24"/>
                <w:szCs w:val="24"/>
              </w:rPr>
            </w:pPr>
          </w:p>
        </w:tc>
        <w:tc>
          <w:tcPr>
            <w:tcW w:w="829" w:type="dxa"/>
            <w:tcBorders>
              <w:bottom w:val="single" w:sz="4" w:space="0" w:color="auto"/>
            </w:tcBorders>
            <w:shd w:val="clear" w:color="auto" w:fill="FFFFFF"/>
            <w:vAlign w:val="center"/>
          </w:tcPr>
          <w:p w14:paraId="73D61B99" w14:textId="77777777" w:rsidR="004B0883" w:rsidRDefault="004B0883">
            <w:pPr>
              <w:spacing w:beforeLines="50" w:before="120" w:afterLines="50" w:after="120" w:line="360" w:lineRule="auto"/>
              <w:rPr>
                <w:rFonts w:hint="eastAsia"/>
                <w:sz w:val="24"/>
                <w:szCs w:val="24"/>
              </w:rPr>
            </w:pPr>
          </w:p>
        </w:tc>
        <w:tc>
          <w:tcPr>
            <w:tcW w:w="830" w:type="dxa"/>
            <w:tcBorders>
              <w:bottom w:val="single" w:sz="4" w:space="0" w:color="auto"/>
            </w:tcBorders>
            <w:shd w:val="clear" w:color="auto" w:fill="FFFFFF"/>
            <w:vAlign w:val="center"/>
          </w:tcPr>
          <w:p w14:paraId="77EDBFC7" w14:textId="77777777" w:rsidR="004B0883" w:rsidRDefault="004B0883">
            <w:pPr>
              <w:spacing w:beforeLines="50" w:before="120" w:afterLines="50" w:after="120" w:line="360" w:lineRule="auto"/>
              <w:rPr>
                <w:rFonts w:hint="eastAsia"/>
                <w:sz w:val="24"/>
                <w:szCs w:val="24"/>
              </w:rPr>
            </w:pPr>
          </w:p>
        </w:tc>
        <w:tc>
          <w:tcPr>
            <w:tcW w:w="830" w:type="dxa"/>
            <w:tcBorders>
              <w:bottom w:val="single" w:sz="4" w:space="0" w:color="auto"/>
            </w:tcBorders>
            <w:shd w:val="clear" w:color="auto" w:fill="FFFFFF"/>
            <w:vAlign w:val="center"/>
          </w:tcPr>
          <w:p w14:paraId="76E33797" w14:textId="77777777" w:rsidR="004B0883" w:rsidRDefault="004B0883">
            <w:pPr>
              <w:spacing w:beforeLines="50" w:before="120" w:afterLines="50" w:after="120" w:line="360" w:lineRule="auto"/>
              <w:rPr>
                <w:rFonts w:hint="eastAsia"/>
                <w:sz w:val="24"/>
                <w:szCs w:val="24"/>
              </w:rPr>
            </w:pPr>
          </w:p>
        </w:tc>
        <w:tc>
          <w:tcPr>
            <w:tcW w:w="830" w:type="dxa"/>
            <w:shd w:val="clear" w:color="auto" w:fill="FFFFFF"/>
            <w:vAlign w:val="center"/>
          </w:tcPr>
          <w:p w14:paraId="05D89744" w14:textId="77777777" w:rsidR="004B0883" w:rsidRDefault="004B0883">
            <w:pPr>
              <w:spacing w:beforeLines="50" w:before="120" w:afterLines="50" w:after="120" w:line="360" w:lineRule="auto"/>
              <w:rPr>
                <w:rFonts w:hint="eastAsia"/>
                <w:sz w:val="24"/>
                <w:szCs w:val="24"/>
              </w:rPr>
            </w:pPr>
          </w:p>
        </w:tc>
        <w:tc>
          <w:tcPr>
            <w:tcW w:w="830" w:type="dxa"/>
            <w:shd w:val="clear" w:color="auto" w:fill="FFFFFF"/>
            <w:vAlign w:val="center"/>
          </w:tcPr>
          <w:p w14:paraId="612FC579" w14:textId="77777777" w:rsidR="004B0883" w:rsidRDefault="004B0883">
            <w:pPr>
              <w:spacing w:beforeLines="50" w:before="120" w:afterLines="50" w:after="120" w:line="360" w:lineRule="auto"/>
              <w:rPr>
                <w:rFonts w:hint="eastAsia"/>
                <w:sz w:val="24"/>
                <w:szCs w:val="24"/>
              </w:rPr>
            </w:pPr>
          </w:p>
        </w:tc>
        <w:tc>
          <w:tcPr>
            <w:tcW w:w="830" w:type="dxa"/>
            <w:shd w:val="clear" w:color="auto" w:fill="FFFFFF"/>
            <w:vAlign w:val="center"/>
          </w:tcPr>
          <w:p w14:paraId="00B78E86" w14:textId="77777777" w:rsidR="004B0883" w:rsidRDefault="004B0883">
            <w:pPr>
              <w:spacing w:beforeLines="50" w:before="120" w:afterLines="50" w:after="120" w:line="360" w:lineRule="auto"/>
              <w:rPr>
                <w:rFonts w:hint="eastAsia"/>
                <w:sz w:val="24"/>
                <w:szCs w:val="24"/>
              </w:rPr>
            </w:pPr>
          </w:p>
        </w:tc>
        <w:tc>
          <w:tcPr>
            <w:tcW w:w="830" w:type="dxa"/>
            <w:shd w:val="clear" w:color="auto" w:fill="FFFFFF"/>
            <w:vAlign w:val="center"/>
          </w:tcPr>
          <w:p w14:paraId="1CE35CCF" w14:textId="77777777" w:rsidR="004B0883" w:rsidRDefault="004B0883">
            <w:pPr>
              <w:spacing w:beforeLines="50" w:before="120" w:afterLines="50" w:after="120" w:line="360" w:lineRule="auto"/>
              <w:rPr>
                <w:rFonts w:hint="eastAsia"/>
                <w:sz w:val="24"/>
                <w:szCs w:val="24"/>
              </w:rPr>
            </w:pPr>
          </w:p>
        </w:tc>
      </w:tr>
      <w:tr w:rsidR="004B0883" w14:paraId="47A43F8F" w14:textId="77777777">
        <w:tc>
          <w:tcPr>
            <w:tcW w:w="829" w:type="dxa"/>
            <w:shd w:val="clear" w:color="auto" w:fill="FFFFFF"/>
            <w:vAlign w:val="center"/>
          </w:tcPr>
          <w:p w14:paraId="27C19BC0" w14:textId="77777777" w:rsidR="004B0883" w:rsidRDefault="004B0883">
            <w:pPr>
              <w:spacing w:beforeLines="50" w:before="120" w:afterLines="50" w:after="120" w:line="360" w:lineRule="auto"/>
              <w:rPr>
                <w:rFonts w:hint="eastAsia"/>
                <w:sz w:val="24"/>
                <w:szCs w:val="24"/>
              </w:rPr>
            </w:pPr>
          </w:p>
        </w:tc>
        <w:tc>
          <w:tcPr>
            <w:tcW w:w="829" w:type="dxa"/>
            <w:shd w:val="clear" w:color="auto" w:fill="FFFFFF"/>
            <w:vAlign w:val="center"/>
          </w:tcPr>
          <w:p w14:paraId="4980EAEB" w14:textId="77777777" w:rsidR="004B0883" w:rsidRDefault="004B0883">
            <w:pPr>
              <w:spacing w:beforeLines="50" w:before="120" w:afterLines="50" w:after="120" w:line="360" w:lineRule="auto"/>
              <w:rPr>
                <w:rFonts w:hint="eastAsia"/>
                <w:sz w:val="24"/>
                <w:szCs w:val="24"/>
              </w:rPr>
            </w:pPr>
          </w:p>
        </w:tc>
        <w:tc>
          <w:tcPr>
            <w:tcW w:w="829" w:type="dxa"/>
            <w:shd w:val="clear" w:color="auto" w:fill="FFFFFF"/>
            <w:vAlign w:val="center"/>
          </w:tcPr>
          <w:p w14:paraId="71C10EDD" w14:textId="77777777" w:rsidR="004B0883" w:rsidRDefault="004B0883">
            <w:pPr>
              <w:spacing w:beforeLines="50" w:before="120" w:afterLines="50" w:after="120" w:line="360" w:lineRule="auto"/>
              <w:rPr>
                <w:rFonts w:hint="eastAsia"/>
                <w:sz w:val="24"/>
                <w:szCs w:val="24"/>
              </w:rPr>
            </w:pPr>
          </w:p>
        </w:tc>
        <w:tc>
          <w:tcPr>
            <w:tcW w:w="2489" w:type="dxa"/>
            <w:gridSpan w:val="3"/>
            <w:tcBorders>
              <w:top w:val="single" w:sz="4" w:space="0" w:color="auto"/>
            </w:tcBorders>
            <w:shd w:val="clear" w:color="auto" w:fill="FFFFFF"/>
            <w:vAlign w:val="center"/>
          </w:tcPr>
          <w:p w14:paraId="166417CB" w14:textId="77777777" w:rsidR="004B0883" w:rsidRDefault="004B0883">
            <w:pPr>
              <w:spacing w:beforeLines="50" w:before="120" w:afterLines="50" w:after="120" w:line="360" w:lineRule="auto"/>
              <w:jc w:val="center"/>
              <w:rPr>
                <w:rFonts w:hint="eastAsia"/>
                <w:sz w:val="24"/>
                <w:szCs w:val="24"/>
              </w:rPr>
            </w:pPr>
            <w:r>
              <w:rPr>
                <w:rFonts w:hint="eastAsia"/>
                <w:sz w:val="24"/>
                <w:szCs w:val="24"/>
              </w:rPr>
              <w:t>何</w:t>
            </w:r>
            <w:r>
              <w:rPr>
                <w:rFonts w:hint="eastAsia"/>
                <w:sz w:val="24"/>
                <w:szCs w:val="24"/>
              </w:rPr>
              <w:t xml:space="preserve"> </w:t>
            </w:r>
            <w:r>
              <w:rPr>
                <w:sz w:val="24"/>
                <w:szCs w:val="24"/>
              </w:rPr>
              <w:t xml:space="preserve">   </w:t>
            </w:r>
            <w:r>
              <w:rPr>
                <w:rFonts w:hint="eastAsia"/>
                <w:sz w:val="24"/>
                <w:szCs w:val="24"/>
              </w:rPr>
              <w:t>帅</w:t>
            </w:r>
          </w:p>
        </w:tc>
        <w:tc>
          <w:tcPr>
            <w:tcW w:w="830" w:type="dxa"/>
            <w:shd w:val="clear" w:color="auto" w:fill="FFFFFF"/>
            <w:vAlign w:val="center"/>
          </w:tcPr>
          <w:p w14:paraId="18F1829E" w14:textId="77777777" w:rsidR="004B0883" w:rsidRDefault="004B0883">
            <w:pPr>
              <w:spacing w:beforeLines="50" w:before="120" w:afterLines="50" w:after="120" w:line="360" w:lineRule="auto"/>
              <w:rPr>
                <w:rFonts w:hint="eastAsia"/>
                <w:sz w:val="24"/>
                <w:szCs w:val="24"/>
              </w:rPr>
            </w:pPr>
          </w:p>
        </w:tc>
        <w:tc>
          <w:tcPr>
            <w:tcW w:w="830" w:type="dxa"/>
            <w:shd w:val="clear" w:color="auto" w:fill="FFFFFF"/>
            <w:vAlign w:val="center"/>
          </w:tcPr>
          <w:p w14:paraId="042C9FE6" w14:textId="77777777" w:rsidR="004B0883" w:rsidRDefault="004B0883">
            <w:pPr>
              <w:spacing w:beforeLines="50" w:before="120" w:afterLines="50" w:after="120" w:line="360" w:lineRule="auto"/>
              <w:rPr>
                <w:rFonts w:hint="eastAsia"/>
                <w:sz w:val="24"/>
                <w:szCs w:val="24"/>
              </w:rPr>
            </w:pPr>
          </w:p>
        </w:tc>
        <w:tc>
          <w:tcPr>
            <w:tcW w:w="830" w:type="dxa"/>
            <w:shd w:val="clear" w:color="auto" w:fill="FFFFFF"/>
            <w:vAlign w:val="center"/>
          </w:tcPr>
          <w:p w14:paraId="3EFEEC62" w14:textId="77777777" w:rsidR="004B0883" w:rsidRDefault="004B0883">
            <w:pPr>
              <w:spacing w:beforeLines="50" w:before="120" w:afterLines="50" w:after="120" w:line="360" w:lineRule="auto"/>
              <w:rPr>
                <w:rFonts w:hint="eastAsia"/>
                <w:sz w:val="24"/>
                <w:szCs w:val="24"/>
              </w:rPr>
            </w:pPr>
          </w:p>
        </w:tc>
        <w:tc>
          <w:tcPr>
            <w:tcW w:w="830" w:type="dxa"/>
            <w:shd w:val="clear" w:color="auto" w:fill="FFFFFF"/>
            <w:vAlign w:val="center"/>
          </w:tcPr>
          <w:p w14:paraId="54BF3D6C" w14:textId="77777777" w:rsidR="004B0883" w:rsidRDefault="004B0883">
            <w:pPr>
              <w:spacing w:beforeLines="50" w:before="120" w:afterLines="50" w:after="120" w:line="360" w:lineRule="auto"/>
              <w:rPr>
                <w:rFonts w:hint="eastAsia"/>
                <w:sz w:val="24"/>
                <w:szCs w:val="24"/>
              </w:rPr>
            </w:pPr>
          </w:p>
        </w:tc>
      </w:tr>
    </w:tbl>
    <w:p w14:paraId="03273D4D" w14:textId="77777777" w:rsidR="004B0883" w:rsidRDefault="004B0883">
      <w:pPr>
        <w:spacing w:beforeLines="50" w:before="120" w:afterLines="50" w:after="120" w:line="360" w:lineRule="auto"/>
        <w:rPr>
          <w:rFonts w:hint="eastAsia"/>
          <w:sz w:val="24"/>
          <w:szCs w:val="24"/>
        </w:rPr>
      </w:pPr>
      <w:r>
        <w:rPr>
          <w:rFonts w:hint="eastAsia"/>
          <w:sz w:val="24"/>
          <w:szCs w:val="24"/>
        </w:rPr>
        <w:t>法定代表人：</w:t>
      </w:r>
    </w:p>
    <w:tbl>
      <w:tblPr>
        <w:tblW w:w="0" w:type="auto"/>
        <w:tblInd w:w="0" w:type="dxa"/>
        <w:tblLayout w:type="fixed"/>
        <w:tblLook w:val="0000" w:firstRow="0" w:lastRow="0" w:firstColumn="0" w:lastColumn="0" w:noHBand="0" w:noVBand="0"/>
      </w:tblPr>
      <w:tblGrid>
        <w:gridCol w:w="829"/>
        <w:gridCol w:w="829"/>
        <w:gridCol w:w="829"/>
        <w:gridCol w:w="829"/>
        <w:gridCol w:w="830"/>
        <w:gridCol w:w="830"/>
        <w:gridCol w:w="830"/>
        <w:gridCol w:w="830"/>
        <w:gridCol w:w="830"/>
        <w:gridCol w:w="830"/>
      </w:tblGrid>
      <w:tr w:rsidR="004B0883" w14:paraId="0D6683B2" w14:textId="77777777">
        <w:tc>
          <w:tcPr>
            <w:tcW w:w="829" w:type="dxa"/>
            <w:shd w:val="clear" w:color="auto" w:fill="FFFFFF"/>
            <w:vAlign w:val="center"/>
          </w:tcPr>
          <w:p w14:paraId="1367591D" w14:textId="77777777" w:rsidR="004B0883" w:rsidRDefault="004B0883">
            <w:pPr>
              <w:spacing w:beforeLines="50" w:before="120" w:afterLines="50" w:after="120" w:line="360" w:lineRule="auto"/>
              <w:rPr>
                <w:rFonts w:hint="eastAsia"/>
                <w:sz w:val="24"/>
                <w:szCs w:val="24"/>
              </w:rPr>
            </w:pPr>
          </w:p>
        </w:tc>
        <w:tc>
          <w:tcPr>
            <w:tcW w:w="829" w:type="dxa"/>
            <w:shd w:val="clear" w:color="auto" w:fill="FFFFFF"/>
            <w:vAlign w:val="center"/>
          </w:tcPr>
          <w:p w14:paraId="7ED27278" w14:textId="77777777" w:rsidR="004B0883" w:rsidRDefault="004B0883">
            <w:pPr>
              <w:spacing w:beforeLines="50" w:before="120" w:afterLines="50" w:after="120" w:line="360" w:lineRule="auto"/>
              <w:rPr>
                <w:rFonts w:hint="eastAsia"/>
                <w:sz w:val="24"/>
                <w:szCs w:val="24"/>
              </w:rPr>
            </w:pPr>
          </w:p>
        </w:tc>
        <w:tc>
          <w:tcPr>
            <w:tcW w:w="829" w:type="dxa"/>
            <w:shd w:val="clear" w:color="auto" w:fill="FFFFFF"/>
            <w:vAlign w:val="center"/>
          </w:tcPr>
          <w:p w14:paraId="6A7E5AA1" w14:textId="77777777" w:rsidR="004B0883" w:rsidRDefault="004B0883">
            <w:pPr>
              <w:spacing w:beforeLines="50" w:before="120" w:afterLines="50" w:after="120" w:line="360" w:lineRule="auto"/>
              <w:rPr>
                <w:rFonts w:hint="eastAsia"/>
                <w:sz w:val="24"/>
                <w:szCs w:val="24"/>
              </w:rPr>
            </w:pPr>
          </w:p>
        </w:tc>
        <w:tc>
          <w:tcPr>
            <w:tcW w:w="829" w:type="dxa"/>
            <w:tcBorders>
              <w:bottom w:val="single" w:sz="4" w:space="0" w:color="auto"/>
            </w:tcBorders>
            <w:shd w:val="clear" w:color="auto" w:fill="FFFFFF"/>
            <w:vAlign w:val="center"/>
          </w:tcPr>
          <w:p w14:paraId="0C67C834" w14:textId="77777777" w:rsidR="004B0883" w:rsidRDefault="004B0883">
            <w:pPr>
              <w:spacing w:beforeLines="50" w:before="120" w:afterLines="50" w:after="120" w:line="360" w:lineRule="auto"/>
              <w:rPr>
                <w:rFonts w:hint="eastAsia"/>
                <w:sz w:val="24"/>
                <w:szCs w:val="24"/>
              </w:rPr>
            </w:pPr>
          </w:p>
        </w:tc>
        <w:tc>
          <w:tcPr>
            <w:tcW w:w="830" w:type="dxa"/>
            <w:tcBorders>
              <w:bottom w:val="single" w:sz="4" w:space="0" w:color="auto"/>
            </w:tcBorders>
            <w:shd w:val="clear" w:color="auto" w:fill="FFFFFF"/>
            <w:vAlign w:val="center"/>
          </w:tcPr>
          <w:p w14:paraId="04783415" w14:textId="77777777" w:rsidR="004B0883" w:rsidRDefault="004B0883">
            <w:pPr>
              <w:spacing w:beforeLines="50" w:before="120" w:afterLines="50" w:after="120" w:line="360" w:lineRule="auto"/>
              <w:rPr>
                <w:rFonts w:hint="eastAsia"/>
                <w:sz w:val="24"/>
                <w:szCs w:val="24"/>
              </w:rPr>
            </w:pPr>
          </w:p>
        </w:tc>
        <w:tc>
          <w:tcPr>
            <w:tcW w:w="830" w:type="dxa"/>
            <w:tcBorders>
              <w:bottom w:val="single" w:sz="4" w:space="0" w:color="auto"/>
            </w:tcBorders>
            <w:shd w:val="clear" w:color="auto" w:fill="FFFFFF"/>
            <w:vAlign w:val="center"/>
          </w:tcPr>
          <w:p w14:paraId="1272BE28" w14:textId="77777777" w:rsidR="004B0883" w:rsidRDefault="004B0883">
            <w:pPr>
              <w:spacing w:beforeLines="50" w:before="120" w:afterLines="50" w:after="120" w:line="360" w:lineRule="auto"/>
              <w:rPr>
                <w:rFonts w:hint="eastAsia"/>
                <w:sz w:val="24"/>
                <w:szCs w:val="24"/>
              </w:rPr>
            </w:pPr>
          </w:p>
        </w:tc>
        <w:tc>
          <w:tcPr>
            <w:tcW w:w="830" w:type="dxa"/>
            <w:shd w:val="clear" w:color="auto" w:fill="FFFFFF"/>
            <w:vAlign w:val="center"/>
          </w:tcPr>
          <w:p w14:paraId="56F5C4AB" w14:textId="77777777" w:rsidR="004B0883" w:rsidRDefault="004B0883">
            <w:pPr>
              <w:spacing w:beforeLines="50" w:before="120" w:afterLines="50" w:after="120" w:line="360" w:lineRule="auto"/>
              <w:rPr>
                <w:rFonts w:hint="eastAsia"/>
                <w:sz w:val="24"/>
                <w:szCs w:val="24"/>
              </w:rPr>
            </w:pPr>
          </w:p>
        </w:tc>
        <w:tc>
          <w:tcPr>
            <w:tcW w:w="830" w:type="dxa"/>
            <w:shd w:val="clear" w:color="auto" w:fill="FFFFFF"/>
            <w:vAlign w:val="center"/>
          </w:tcPr>
          <w:p w14:paraId="2D86C08B" w14:textId="77777777" w:rsidR="004B0883" w:rsidRDefault="004B0883">
            <w:pPr>
              <w:spacing w:beforeLines="50" w:before="120" w:afterLines="50" w:after="120" w:line="360" w:lineRule="auto"/>
              <w:rPr>
                <w:rFonts w:hint="eastAsia"/>
                <w:sz w:val="24"/>
                <w:szCs w:val="24"/>
              </w:rPr>
            </w:pPr>
          </w:p>
        </w:tc>
        <w:tc>
          <w:tcPr>
            <w:tcW w:w="830" w:type="dxa"/>
            <w:shd w:val="clear" w:color="auto" w:fill="FFFFFF"/>
            <w:vAlign w:val="center"/>
          </w:tcPr>
          <w:p w14:paraId="259567F8" w14:textId="77777777" w:rsidR="004B0883" w:rsidRDefault="004B0883">
            <w:pPr>
              <w:spacing w:beforeLines="50" w:before="120" w:afterLines="50" w:after="120" w:line="360" w:lineRule="auto"/>
              <w:rPr>
                <w:rFonts w:hint="eastAsia"/>
                <w:sz w:val="24"/>
                <w:szCs w:val="24"/>
              </w:rPr>
            </w:pPr>
          </w:p>
        </w:tc>
        <w:tc>
          <w:tcPr>
            <w:tcW w:w="830" w:type="dxa"/>
            <w:shd w:val="clear" w:color="auto" w:fill="FFFFFF"/>
            <w:vAlign w:val="center"/>
          </w:tcPr>
          <w:p w14:paraId="6FC255E7" w14:textId="77777777" w:rsidR="004B0883" w:rsidRDefault="004B0883">
            <w:pPr>
              <w:spacing w:beforeLines="50" w:before="120" w:afterLines="50" w:after="120" w:line="360" w:lineRule="auto"/>
              <w:rPr>
                <w:rFonts w:hint="eastAsia"/>
                <w:sz w:val="24"/>
                <w:szCs w:val="24"/>
              </w:rPr>
            </w:pPr>
          </w:p>
        </w:tc>
      </w:tr>
      <w:tr w:rsidR="004B0883" w14:paraId="549987D0" w14:textId="77777777">
        <w:tc>
          <w:tcPr>
            <w:tcW w:w="829" w:type="dxa"/>
            <w:shd w:val="clear" w:color="auto" w:fill="FFFFFF"/>
            <w:vAlign w:val="center"/>
          </w:tcPr>
          <w:p w14:paraId="30D6F20C" w14:textId="77777777" w:rsidR="004B0883" w:rsidRDefault="004B0883">
            <w:pPr>
              <w:spacing w:beforeLines="50" w:before="120" w:afterLines="50" w:after="120" w:line="360" w:lineRule="auto"/>
              <w:rPr>
                <w:rFonts w:hint="eastAsia"/>
                <w:sz w:val="24"/>
                <w:szCs w:val="24"/>
              </w:rPr>
            </w:pPr>
          </w:p>
        </w:tc>
        <w:tc>
          <w:tcPr>
            <w:tcW w:w="829" w:type="dxa"/>
            <w:shd w:val="clear" w:color="auto" w:fill="FFFFFF"/>
            <w:vAlign w:val="center"/>
          </w:tcPr>
          <w:p w14:paraId="41107A8B" w14:textId="77777777" w:rsidR="004B0883" w:rsidRDefault="004B0883">
            <w:pPr>
              <w:spacing w:beforeLines="50" w:before="120" w:afterLines="50" w:after="120" w:line="360" w:lineRule="auto"/>
              <w:rPr>
                <w:rFonts w:hint="eastAsia"/>
                <w:sz w:val="24"/>
                <w:szCs w:val="24"/>
              </w:rPr>
            </w:pPr>
          </w:p>
        </w:tc>
        <w:tc>
          <w:tcPr>
            <w:tcW w:w="829" w:type="dxa"/>
            <w:shd w:val="clear" w:color="auto" w:fill="FFFFFF"/>
            <w:vAlign w:val="center"/>
          </w:tcPr>
          <w:p w14:paraId="303A0B93" w14:textId="77777777" w:rsidR="004B0883" w:rsidRDefault="004B0883">
            <w:pPr>
              <w:spacing w:beforeLines="50" w:before="120" w:afterLines="50" w:after="120" w:line="360" w:lineRule="auto"/>
              <w:rPr>
                <w:rFonts w:hint="eastAsia"/>
                <w:sz w:val="24"/>
                <w:szCs w:val="24"/>
              </w:rPr>
            </w:pPr>
          </w:p>
        </w:tc>
        <w:tc>
          <w:tcPr>
            <w:tcW w:w="2489" w:type="dxa"/>
            <w:gridSpan w:val="3"/>
            <w:tcBorders>
              <w:top w:val="single" w:sz="4" w:space="0" w:color="auto"/>
            </w:tcBorders>
            <w:shd w:val="clear" w:color="auto" w:fill="FFFFFF"/>
            <w:vAlign w:val="center"/>
          </w:tcPr>
          <w:p w14:paraId="3DDAE184" w14:textId="77777777" w:rsidR="004B0883" w:rsidRDefault="004B0883">
            <w:pPr>
              <w:spacing w:beforeLines="50" w:before="120" w:afterLines="50" w:after="120" w:line="360" w:lineRule="auto"/>
              <w:jc w:val="center"/>
              <w:rPr>
                <w:rFonts w:hint="eastAsia"/>
                <w:sz w:val="24"/>
                <w:szCs w:val="24"/>
              </w:rPr>
            </w:pPr>
            <w:r>
              <w:rPr>
                <w:rFonts w:hint="eastAsia"/>
                <w:sz w:val="24"/>
                <w:szCs w:val="24"/>
              </w:rPr>
              <w:t>张佑君</w:t>
            </w:r>
          </w:p>
        </w:tc>
        <w:tc>
          <w:tcPr>
            <w:tcW w:w="830" w:type="dxa"/>
            <w:shd w:val="clear" w:color="auto" w:fill="FFFFFF"/>
            <w:vAlign w:val="center"/>
          </w:tcPr>
          <w:p w14:paraId="110A5A00" w14:textId="77777777" w:rsidR="004B0883" w:rsidRDefault="004B0883">
            <w:pPr>
              <w:spacing w:beforeLines="50" w:before="120" w:afterLines="50" w:after="120" w:line="360" w:lineRule="auto"/>
              <w:rPr>
                <w:rFonts w:hint="eastAsia"/>
                <w:sz w:val="24"/>
                <w:szCs w:val="24"/>
              </w:rPr>
            </w:pPr>
          </w:p>
        </w:tc>
        <w:tc>
          <w:tcPr>
            <w:tcW w:w="830" w:type="dxa"/>
            <w:shd w:val="clear" w:color="auto" w:fill="FFFFFF"/>
            <w:vAlign w:val="center"/>
          </w:tcPr>
          <w:p w14:paraId="552B6BB2" w14:textId="77777777" w:rsidR="004B0883" w:rsidRDefault="004B0883">
            <w:pPr>
              <w:spacing w:beforeLines="50" w:before="120" w:afterLines="50" w:after="120" w:line="360" w:lineRule="auto"/>
              <w:rPr>
                <w:rFonts w:hint="eastAsia"/>
                <w:sz w:val="24"/>
                <w:szCs w:val="24"/>
              </w:rPr>
            </w:pPr>
          </w:p>
        </w:tc>
        <w:tc>
          <w:tcPr>
            <w:tcW w:w="830" w:type="dxa"/>
            <w:shd w:val="clear" w:color="auto" w:fill="FFFFFF"/>
            <w:vAlign w:val="center"/>
          </w:tcPr>
          <w:p w14:paraId="7DCF6041" w14:textId="77777777" w:rsidR="004B0883" w:rsidRDefault="004B0883">
            <w:pPr>
              <w:spacing w:beforeLines="50" w:before="120" w:afterLines="50" w:after="120" w:line="360" w:lineRule="auto"/>
              <w:rPr>
                <w:rFonts w:hint="eastAsia"/>
                <w:sz w:val="24"/>
                <w:szCs w:val="24"/>
              </w:rPr>
            </w:pPr>
          </w:p>
        </w:tc>
        <w:tc>
          <w:tcPr>
            <w:tcW w:w="830" w:type="dxa"/>
            <w:shd w:val="clear" w:color="auto" w:fill="FFFFFF"/>
            <w:vAlign w:val="center"/>
          </w:tcPr>
          <w:p w14:paraId="17ACA097" w14:textId="77777777" w:rsidR="004B0883" w:rsidRDefault="004B0883">
            <w:pPr>
              <w:spacing w:beforeLines="50" w:before="120" w:afterLines="50" w:after="120" w:line="360" w:lineRule="auto"/>
              <w:rPr>
                <w:rFonts w:hint="eastAsia"/>
                <w:sz w:val="24"/>
                <w:szCs w:val="24"/>
              </w:rPr>
            </w:pPr>
          </w:p>
        </w:tc>
      </w:tr>
    </w:tbl>
    <w:p w14:paraId="20FC10EE" w14:textId="77777777" w:rsidR="004B0883" w:rsidRDefault="004B0883">
      <w:pPr>
        <w:spacing w:beforeLines="50" w:before="120" w:afterLines="50" w:after="120" w:line="360" w:lineRule="auto"/>
        <w:rPr>
          <w:rFonts w:hint="eastAsia"/>
          <w:sz w:val="24"/>
          <w:szCs w:val="24"/>
        </w:rPr>
      </w:pPr>
    </w:p>
    <w:p w14:paraId="01223030" w14:textId="77777777" w:rsidR="004B0883" w:rsidRDefault="004B0883">
      <w:pPr>
        <w:spacing w:beforeLines="50" w:before="120" w:afterLines="50" w:after="120" w:line="360" w:lineRule="auto"/>
        <w:jc w:val="right"/>
        <w:rPr>
          <w:rFonts w:hint="eastAsia"/>
          <w:sz w:val="24"/>
          <w:szCs w:val="24"/>
        </w:rPr>
      </w:pPr>
      <w:r>
        <w:rPr>
          <w:rFonts w:hint="eastAsia"/>
          <w:sz w:val="24"/>
          <w:szCs w:val="24"/>
        </w:rPr>
        <w:t>中信证券股份有限公司</w:t>
      </w:r>
    </w:p>
    <w:p w14:paraId="179F5DFB" w14:textId="77777777" w:rsidR="004B0883" w:rsidRDefault="004B0883">
      <w:pPr>
        <w:spacing w:beforeLines="50" w:before="120" w:afterLines="50" w:after="120" w:line="360" w:lineRule="auto"/>
        <w:jc w:val="right"/>
        <w:rPr>
          <w:rFonts w:hint="eastAsia"/>
          <w:sz w:val="24"/>
          <w:szCs w:val="24"/>
        </w:rPr>
      </w:pPr>
      <w:r>
        <w:rPr>
          <w:rFonts w:hint="eastAsia"/>
          <w:sz w:val="24"/>
          <w:szCs w:val="24"/>
        </w:rPr>
        <w:t>年</w:t>
      </w:r>
      <w:r>
        <w:rPr>
          <w:rFonts w:hint="eastAsia"/>
          <w:sz w:val="24"/>
          <w:szCs w:val="24"/>
        </w:rPr>
        <w:t xml:space="preserve"> </w:t>
      </w:r>
      <w:r>
        <w:rPr>
          <w:sz w:val="24"/>
          <w:szCs w:val="24"/>
        </w:rPr>
        <w:t xml:space="preserve"> </w:t>
      </w:r>
      <w:r>
        <w:rPr>
          <w:rFonts w:hint="eastAsia"/>
          <w:sz w:val="24"/>
          <w:szCs w:val="24"/>
        </w:rPr>
        <w:t xml:space="preserve">   </w:t>
      </w:r>
      <w:r>
        <w:rPr>
          <w:rFonts w:hint="eastAsia"/>
          <w:sz w:val="24"/>
          <w:szCs w:val="24"/>
        </w:rPr>
        <w:t>月</w:t>
      </w:r>
      <w:r>
        <w:rPr>
          <w:rFonts w:hint="eastAsia"/>
          <w:sz w:val="24"/>
          <w:szCs w:val="24"/>
        </w:rPr>
        <w:t xml:space="preserve">    </w:t>
      </w:r>
      <w:r>
        <w:rPr>
          <w:sz w:val="24"/>
          <w:szCs w:val="24"/>
        </w:rPr>
        <w:t xml:space="preserve"> </w:t>
      </w:r>
      <w:r>
        <w:rPr>
          <w:rFonts w:hint="eastAsia"/>
          <w:sz w:val="24"/>
          <w:szCs w:val="24"/>
        </w:rPr>
        <w:t>日</w:t>
      </w:r>
    </w:p>
    <w:p w14:paraId="57E53708" w14:textId="77777777" w:rsidR="004B0883" w:rsidRDefault="004B0883">
      <w:pPr>
        <w:snapToGrid w:val="0"/>
        <w:spacing w:beforeLines="50" w:before="120" w:line="360" w:lineRule="auto"/>
        <w:rPr>
          <w:rFonts w:hint="eastAsia"/>
        </w:rPr>
      </w:pPr>
    </w:p>
    <w:p w14:paraId="0F7D12E0" w14:textId="77777777" w:rsidR="004B0883" w:rsidRDefault="004B0883">
      <w:pPr>
        <w:pStyle w:val="002"/>
        <w:spacing w:before="120" w:after="120"/>
        <w:jc w:val="center"/>
        <w:outlineLvl w:val="9"/>
        <w:rPr>
          <w:rFonts w:hint="eastAsia"/>
        </w:rPr>
      </w:pPr>
      <w:r>
        <w:rPr>
          <w:rFonts w:hint="eastAsia"/>
        </w:rPr>
        <w:br w:type="page"/>
      </w:r>
      <w:bookmarkStart w:id="459" w:name="_Toc152320834"/>
      <w:r>
        <w:rPr>
          <w:rFonts w:hint="eastAsia"/>
        </w:rPr>
        <w:t>保荐机构董事长声明</w:t>
      </w:r>
      <w:bookmarkEnd w:id="459"/>
    </w:p>
    <w:p w14:paraId="4C49D8D1" w14:textId="4A28CE2B" w:rsidR="004B0883" w:rsidRDefault="0090540C">
      <w:pPr>
        <w:pStyle w:val="005"/>
        <w:spacing w:before="120" w:after="120"/>
        <w:ind w:firstLine="480"/>
        <w:rPr>
          <w:rFonts w:hint="eastAsia"/>
        </w:rPr>
      </w:pPr>
      <w:r>
        <w:rPr>
          <w:noProof/>
        </w:rPr>
        <w:drawing>
          <wp:anchor distT="0" distB="0" distL="114300" distR="114300" simplePos="0" relativeHeight="251660800" behindDoc="0" locked="0" layoutInCell="0" allowOverlap="1" wp14:anchorId="7D1566AD" wp14:editId="6BDD3D4E">
            <wp:simplePos x="0" y="0"/>
            <wp:positionH relativeFrom="page">
              <wp:posOffset>635</wp:posOffset>
            </wp:positionH>
            <wp:positionV relativeFrom="page">
              <wp:posOffset>831850</wp:posOffset>
            </wp:positionV>
            <wp:extent cx="7557135" cy="8394065"/>
            <wp:effectExtent l="0" t="0" r="0" b="0"/>
            <wp:wrapNone/>
            <wp:docPr id="184503032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 cstate="print">
                      <a:lum contrast="20000"/>
                      <a:extLst>
                        <a:ext uri="{28A0092B-C50C-407E-A947-70E740481C1C}">
                          <a14:useLocalDpi xmlns:a14="http://schemas.microsoft.com/office/drawing/2010/main" val="0"/>
                        </a:ext>
                      </a:extLst>
                    </a:blip>
                    <a:srcRect t="9190" b="12285"/>
                    <a:stretch>
                      <a:fillRect/>
                    </a:stretch>
                  </pic:blipFill>
                  <pic:spPr bwMode="auto">
                    <a:xfrm>
                      <a:off x="0" y="0"/>
                      <a:ext cx="7557135" cy="839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B0883">
        <w:rPr>
          <w:rFonts w:hint="eastAsia"/>
        </w:rPr>
        <w:t>本人已认真阅读《青岛伟隆阀门股份有限公司向不特定对象发行可转换公司债券募集说明书》的全部内容，确认募集说明书不存在虚假记载、误导性陈述或重大遗漏，并对募集说明书真实性、准确性、完整性、及时性承担相应的法律责任。</w:t>
      </w:r>
    </w:p>
    <w:p w14:paraId="480FA1AB" w14:textId="77777777" w:rsidR="004B0883" w:rsidRDefault="004B0883">
      <w:pPr>
        <w:rPr>
          <w:rFonts w:hint="eastAsia"/>
        </w:rPr>
      </w:pPr>
    </w:p>
    <w:p w14:paraId="1AB9EB80" w14:textId="77777777" w:rsidR="004B0883" w:rsidRDefault="004B0883">
      <w:pPr>
        <w:rPr>
          <w:rFonts w:hint="eastAsia"/>
        </w:rPr>
      </w:pPr>
    </w:p>
    <w:tbl>
      <w:tblPr>
        <w:tblpPr w:leftFromText="180" w:rightFromText="180" w:vertAnchor="text" w:tblpY="1"/>
        <w:tblOverlap w:val="never"/>
        <w:tblW w:w="10942" w:type="dxa"/>
        <w:tblInd w:w="0" w:type="dxa"/>
        <w:tblLayout w:type="fixed"/>
        <w:tblCellMar>
          <w:top w:w="170" w:type="dxa"/>
          <w:bottom w:w="170" w:type="dxa"/>
        </w:tblCellMar>
        <w:tblLook w:val="0000" w:firstRow="0" w:lastRow="0" w:firstColumn="0" w:lastColumn="0" w:noHBand="0" w:noVBand="0"/>
      </w:tblPr>
      <w:tblGrid>
        <w:gridCol w:w="3100"/>
        <w:gridCol w:w="281"/>
        <w:gridCol w:w="2424"/>
        <w:gridCol w:w="297"/>
        <w:gridCol w:w="2420"/>
        <w:gridCol w:w="2420"/>
      </w:tblGrid>
      <w:tr w:rsidR="004B0883" w14:paraId="73090059" w14:textId="77777777">
        <w:trPr>
          <w:trHeight w:val="454"/>
        </w:trPr>
        <w:tc>
          <w:tcPr>
            <w:tcW w:w="3100" w:type="dxa"/>
            <w:shd w:val="clear" w:color="auto" w:fill="FFFFFF"/>
            <w:vAlign w:val="center"/>
          </w:tcPr>
          <w:p w14:paraId="698C40D3" w14:textId="77777777" w:rsidR="004B0883" w:rsidRDefault="004B0883">
            <w:pPr>
              <w:spacing w:beforeLines="50" w:before="120" w:afterLines="50" w:after="120"/>
              <w:rPr>
                <w:rFonts w:hint="eastAsia"/>
                <w:sz w:val="24"/>
              </w:rPr>
            </w:pPr>
            <w:r>
              <w:rPr>
                <w:rFonts w:hint="eastAsia"/>
                <w:sz w:val="24"/>
              </w:rPr>
              <w:t>董事长：</w:t>
            </w:r>
          </w:p>
        </w:tc>
        <w:tc>
          <w:tcPr>
            <w:tcW w:w="281" w:type="dxa"/>
            <w:shd w:val="clear" w:color="auto" w:fill="FFFFFF"/>
            <w:vAlign w:val="center"/>
          </w:tcPr>
          <w:p w14:paraId="449FC8C0" w14:textId="77777777" w:rsidR="004B0883" w:rsidRDefault="004B0883">
            <w:pPr>
              <w:spacing w:beforeLines="50" w:before="120" w:afterLines="50" w:after="120"/>
              <w:jc w:val="center"/>
              <w:rPr>
                <w:rFonts w:hint="eastAsia"/>
                <w:sz w:val="24"/>
              </w:rPr>
            </w:pPr>
          </w:p>
        </w:tc>
        <w:tc>
          <w:tcPr>
            <w:tcW w:w="2424" w:type="dxa"/>
            <w:tcBorders>
              <w:bottom w:val="single" w:sz="4" w:space="0" w:color="auto"/>
            </w:tcBorders>
            <w:shd w:val="clear" w:color="auto" w:fill="FFFFFF"/>
            <w:vAlign w:val="center"/>
          </w:tcPr>
          <w:p w14:paraId="40E54F62" w14:textId="77777777" w:rsidR="004B0883" w:rsidRDefault="004B0883">
            <w:pPr>
              <w:spacing w:beforeLines="50" w:before="120" w:afterLines="50" w:after="120"/>
              <w:jc w:val="center"/>
              <w:rPr>
                <w:rFonts w:hint="eastAsia"/>
                <w:sz w:val="24"/>
              </w:rPr>
            </w:pPr>
          </w:p>
        </w:tc>
        <w:tc>
          <w:tcPr>
            <w:tcW w:w="297" w:type="dxa"/>
            <w:shd w:val="clear" w:color="auto" w:fill="FFFFFF"/>
            <w:vAlign w:val="center"/>
          </w:tcPr>
          <w:p w14:paraId="38233014" w14:textId="77777777" w:rsidR="004B0883" w:rsidRDefault="004B0883">
            <w:pPr>
              <w:spacing w:beforeLines="50" w:before="120" w:afterLines="50" w:after="120"/>
              <w:rPr>
                <w:rFonts w:hint="eastAsia"/>
                <w:b/>
                <w:bCs/>
                <w:sz w:val="24"/>
              </w:rPr>
            </w:pPr>
          </w:p>
        </w:tc>
        <w:tc>
          <w:tcPr>
            <w:tcW w:w="2420" w:type="dxa"/>
            <w:shd w:val="clear" w:color="auto" w:fill="FFFFFF"/>
            <w:vAlign w:val="center"/>
          </w:tcPr>
          <w:p w14:paraId="38F84210" w14:textId="77777777" w:rsidR="004B0883" w:rsidRDefault="004B0883">
            <w:pPr>
              <w:spacing w:beforeLines="50" w:before="120" w:afterLines="50" w:after="120"/>
              <w:rPr>
                <w:rFonts w:hint="eastAsia"/>
                <w:b/>
                <w:bCs/>
                <w:sz w:val="24"/>
              </w:rPr>
            </w:pPr>
          </w:p>
        </w:tc>
        <w:tc>
          <w:tcPr>
            <w:tcW w:w="2420" w:type="dxa"/>
            <w:shd w:val="clear" w:color="auto" w:fill="FFFFFF"/>
          </w:tcPr>
          <w:p w14:paraId="270B2EA4" w14:textId="77777777" w:rsidR="004B0883" w:rsidRDefault="004B0883">
            <w:pPr>
              <w:spacing w:beforeLines="50" w:before="120" w:afterLines="50" w:after="120"/>
              <w:rPr>
                <w:rFonts w:hint="eastAsia"/>
                <w:b/>
                <w:bCs/>
                <w:sz w:val="24"/>
              </w:rPr>
            </w:pPr>
          </w:p>
        </w:tc>
      </w:tr>
      <w:tr w:rsidR="004B0883" w14:paraId="4C42800F" w14:textId="77777777">
        <w:trPr>
          <w:trHeight w:val="454"/>
        </w:trPr>
        <w:tc>
          <w:tcPr>
            <w:tcW w:w="3100" w:type="dxa"/>
            <w:shd w:val="clear" w:color="auto" w:fill="FFFFFF"/>
            <w:vAlign w:val="center"/>
          </w:tcPr>
          <w:p w14:paraId="3B5F4E11" w14:textId="77777777" w:rsidR="004B0883" w:rsidRDefault="004B0883">
            <w:pPr>
              <w:spacing w:beforeLines="50" w:before="120" w:afterLines="50" w:after="120"/>
              <w:jc w:val="center"/>
              <w:rPr>
                <w:rFonts w:hint="eastAsia"/>
                <w:sz w:val="24"/>
              </w:rPr>
            </w:pPr>
          </w:p>
        </w:tc>
        <w:tc>
          <w:tcPr>
            <w:tcW w:w="281" w:type="dxa"/>
            <w:shd w:val="clear" w:color="auto" w:fill="FFFFFF"/>
            <w:vAlign w:val="center"/>
          </w:tcPr>
          <w:p w14:paraId="5242C634" w14:textId="77777777" w:rsidR="004B0883" w:rsidRDefault="004B0883">
            <w:pPr>
              <w:spacing w:beforeLines="50" w:before="120" w:afterLines="50" w:after="120"/>
              <w:jc w:val="center"/>
              <w:rPr>
                <w:rFonts w:hint="eastAsia"/>
                <w:sz w:val="24"/>
              </w:rPr>
            </w:pPr>
          </w:p>
        </w:tc>
        <w:tc>
          <w:tcPr>
            <w:tcW w:w="2424" w:type="dxa"/>
            <w:tcBorders>
              <w:top w:val="single" w:sz="4" w:space="0" w:color="auto"/>
            </w:tcBorders>
            <w:shd w:val="clear" w:color="auto" w:fill="FFFFFF"/>
            <w:vAlign w:val="center"/>
          </w:tcPr>
          <w:p w14:paraId="66BAA589" w14:textId="77777777" w:rsidR="004B0883" w:rsidRDefault="004B0883">
            <w:pPr>
              <w:spacing w:beforeLines="50" w:before="120" w:afterLines="50" w:after="120"/>
              <w:jc w:val="center"/>
              <w:rPr>
                <w:rFonts w:hint="eastAsia"/>
                <w:sz w:val="24"/>
              </w:rPr>
            </w:pPr>
            <w:r>
              <w:rPr>
                <w:rFonts w:hint="eastAsia"/>
                <w:sz w:val="24"/>
              </w:rPr>
              <w:t>张佑君</w:t>
            </w:r>
          </w:p>
        </w:tc>
        <w:tc>
          <w:tcPr>
            <w:tcW w:w="297" w:type="dxa"/>
            <w:shd w:val="clear" w:color="auto" w:fill="FFFFFF"/>
            <w:vAlign w:val="center"/>
          </w:tcPr>
          <w:p w14:paraId="216D6126" w14:textId="77777777" w:rsidR="004B0883" w:rsidRDefault="004B0883">
            <w:pPr>
              <w:spacing w:beforeLines="50" w:before="120" w:afterLines="50" w:after="120"/>
              <w:jc w:val="center"/>
              <w:rPr>
                <w:rFonts w:hint="eastAsia"/>
                <w:b/>
                <w:bCs/>
                <w:sz w:val="24"/>
              </w:rPr>
            </w:pPr>
          </w:p>
        </w:tc>
        <w:tc>
          <w:tcPr>
            <w:tcW w:w="2420" w:type="dxa"/>
            <w:shd w:val="clear" w:color="auto" w:fill="FFFFFF"/>
            <w:vAlign w:val="center"/>
          </w:tcPr>
          <w:p w14:paraId="7C34A340" w14:textId="77777777" w:rsidR="004B0883" w:rsidRDefault="004B0883">
            <w:pPr>
              <w:spacing w:beforeLines="50" w:before="120" w:afterLines="50" w:after="120"/>
              <w:jc w:val="center"/>
              <w:rPr>
                <w:rFonts w:hint="eastAsia"/>
                <w:b/>
                <w:bCs/>
                <w:sz w:val="24"/>
              </w:rPr>
            </w:pPr>
          </w:p>
        </w:tc>
        <w:tc>
          <w:tcPr>
            <w:tcW w:w="2420" w:type="dxa"/>
            <w:shd w:val="clear" w:color="auto" w:fill="FFFFFF"/>
          </w:tcPr>
          <w:p w14:paraId="0A67D427" w14:textId="77777777" w:rsidR="004B0883" w:rsidRDefault="004B0883">
            <w:pPr>
              <w:spacing w:beforeLines="50" w:before="120" w:afterLines="50" w:after="120"/>
              <w:jc w:val="center"/>
              <w:rPr>
                <w:rFonts w:hint="eastAsia"/>
                <w:b/>
                <w:bCs/>
                <w:sz w:val="24"/>
              </w:rPr>
            </w:pPr>
          </w:p>
        </w:tc>
      </w:tr>
      <w:tr w:rsidR="004B0883" w14:paraId="687D60EF" w14:textId="77777777">
        <w:trPr>
          <w:trHeight w:val="454"/>
        </w:trPr>
        <w:tc>
          <w:tcPr>
            <w:tcW w:w="3100" w:type="dxa"/>
            <w:shd w:val="clear" w:color="auto" w:fill="FFFFFF"/>
            <w:vAlign w:val="center"/>
          </w:tcPr>
          <w:p w14:paraId="2E379984" w14:textId="77777777" w:rsidR="004B0883" w:rsidRDefault="004B0883">
            <w:pPr>
              <w:spacing w:beforeLines="50" w:before="120" w:afterLines="50" w:after="120"/>
              <w:rPr>
                <w:rFonts w:hint="eastAsia"/>
                <w:sz w:val="24"/>
              </w:rPr>
            </w:pPr>
          </w:p>
        </w:tc>
        <w:tc>
          <w:tcPr>
            <w:tcW w:w="281" w:type="dxa"/>
            <w:shd w:val="clear" w:color="auto" w:fill="FFFFFF"/>
            <w:vAlign w:val="center"/>
          </w:tcPr>
          <w:p w14:paraId="26091D2B" w14:textId="77777777" w:rsidR="004B0883" w:rsidRDefault="004B0883">
            <w:pPr>
              <w:spacing w:beforeLines="50" w:before="120" w:afterLines="50" w:after="120"/>
              <w:jc w:val="center"/>
              <w:rPr>
                <w:rFonts w:hint="eastAsia"/>
                <w:sz w:val="24"/>
              </w:rPr>
            </w:pPr>
          </w:p>
        </w:tc>
        <w:tc>
          <w:tcPr>
            <w:tcW w:w="2424" w:type="dxa"/>
            <w:shd w:val="clear" w:color="auto" w:fill="FFFFFF"/>
            <w:vAlign w:val="center"/>
          </w:tcPr>
          <w:p w14:paraId="46B0C7A6" w14:textId="77777777" w:rsidR="004B0883" w:rsidRDefault="004B0883">
            <w:pPr>
              <w:spacing w:beforeLines="50" w:before="120" w:afterLines="50" w:after="120"/>
              <w:jc w:val="center"/>
              <w:rPr>
                <w:rFonts w:hint="eastAsia"/>
                <w:sz w:val="24"/>
              </w:rPr>
            </w:pPr>
          </w:p>
        </w:tc>
        <w:tc>
          <w:tcPr>
            <w:tcW w:w="297" w:type="dxa"/>
            <w:shd w:val="clear" w:color="auto" w:fill="FFFFFF"/>
            <w:vAlign w:val="center"/>
          </w:tcPr>
          <w:p w14:paraId="06E7FAA8" w14:textId="77777777" w:rsidR="004B0883" w:rsidRDefault="004B0883">
            <w:pPr>
              <w:spacing w:beforeLines="50" w:before="120" w:afterLines="50" w:after="120"/>
              <w:jc w:val="center"/>
              <w:rPr>
                <w:rFonts w:hint="eastAsia"/>
                <w:b/>
                <w:bCs/>
                <w:sz w:val="24"/>
              </w:rPr>
            </w:pPr>
          </w:p>
        </w:tc>
        <w:tc>
          <w:tcPr>
            <w:tcW w:w="2420" w:type="dxa"/>
            <w:shd w:val="clear" w:color="auto" w:fill="FFFFFF"/>
            <w:vAlign w:val="center"/>
          </w:tcPr>
          <w:p w14:paraId="0C87C039" w14:textId="77777777" w:rsidR="004B0883" w:rsidRDefault="004B0883">
            <w:pPr>
              <w:spacing w:beforeLines="50" w:before="120" w:afterLines="50" w:after="120"/>
              <w:jc w:val="center"/>
              <w:rPr>
                <w:rFonts w:hint="eastAsia"/>
                <w:b/>
                <w:bCs/>
                <w:sz w:val="24"/>
              </w:rPr>
            </w:pPr>
          </w:p>
        </w:tc>
        <w:tc>
          <w:tcPr>
            <w:tcW w:w="2420" w:type="dxa"/>
            <w:shd w:val="clear" w:color="auto" w:fill="FFFFFF"/>
          </w:tcPr>
          <w:p w14:paraId="4EE5FF3B" w14:textId="77777777" w:rsidR="004B0883" w:rsidRDefault="004B0883">
            <w:pPr>
              <w:spacing w:beforeLines="50" w:before="120" w:afterLines="50" w:after="120"/>
              <w:jc w:val="center"/>
              <w:rPr>
                <w:rFonts w:hint="eastAsia"/>
                <w:b/>
                <w:bCs/>
                <w:sz w:val="24"/>
              </w:rPr>
            </w:pPr>
          </w:p>
        </w:tc>
      </w:tr>
      <w:tr w:rsidR="004B0883" w14:paraId="02DF296F" w14:textId="77777777">
        <w:trPr>
          <w:trHeight w:val="454"/>
        </w:trPr>
        <w:tc>
          <w:tcPr>
            <w:tcW w:w="3100" w:type="dxa"/>
            <w:shd w:val="clear" w:color="auto" w:fill="FFFFFF"/>
            <w:vAlign w:val="center"/>
          </w:tcPr>
          <w:p w14:paraId="2CFC9D3F" w14:textId="77777777" w:rsidR="004B0883" w:rsidRDefault="004B0883">
            <w:pPr>
              <w:spacing w:beforeLines="50" w:before="120" w:afterLines="50" w:after="120"/>
              <w:jc w:val="center"/>
              <w:rPr>
                <w:rFonts w:hint="eastAsia"/>
                <w:sz w:val="24"/>
              </w:rPr>
            </w:pPr>
          </w:p>
        </w:tc>
        <w:tc>
          <w:tcPr>
            <w:tcW w:w="281" w:type="dxa"/>
            <w:shd w:val="clear" w:color="auto" w:fill="FFFFFF"/>
            <w:vAlign w:val="center"/>
          </w:tcPr>
          <w:p w14:paraId="72294D5B" w14:textId="77777777" w:rsidR="004B0883" w:rsidRDefault="004B0883">
            <w:pPr>
              <w:spacing w:beforeLines="50" w:before="120" w:afterLines="50" w:after="120"/>
              <w:jc w:val="center"/>
              <w:rPr>
                <w:rFonts w:hint="eastAsia"/>
                <w:sz w:val="24"/>
              </w:rPr>
            </w:pPr>
          </w:p>
        </w:tc>
        <w:tc>
          <w:tcPr>
            <w:tcW w:w="2424" w:type="dxa"/>
            <w:shd w:val="clear" w:color="auto" w:fill="FFFFFF"/>
            <w:vAlign w:val="center"/>
          </w:tcPr>
          <w:p w14:paraId="3589833C" w14:textId="77777777" w:rsidR="004B0883" w:rsidRDefault="004B0883">
            <w:pPr>
              <w:spacing w:beforeLines="50" w:before="120" w:afterLines="50" w:after="120"/>
              <w:jc w:val="center"/>
              <w:rPr>
                <w:rFonts w:hint="eastAsia"/>
                <w:sz w:val="24"/>
              </w:rPr>
            </w:pPr>
          </w:p>
        </w:tc>
        <w:tc>
          <w:tcPr>
            <w:tcW w:w="297" w:type="dxa"/>
            <w:shd w:val="clear" w:color="auto" w:fill="FFFFFF"/>
            <w:vAlign w:val="center"/>
          </w:tcPr>
          <w:p w14:paraId="777C7347" w14:textId="77777777" w:rsidR="004B0883" w:rsidRDefault="004B0883">
            <w:pPr>
              <w:spacing w:beforeLines="50" w:before="120" w:afterLines="50" w:after="120"/>
              <w:jc w:val="center"/>
              <w:rPr>
                <w:rFonts w:hint="eastAsia"/>
                <w:b/>
                <w:bCs/>
                <w:sz w:val="24"/>
              </w:rPr>
            </w:pPr>
          </w:p>
        </w:tc>
        <w:tc>
          <w:tcPr>
            <w:tcW w:w="2420" w:type="dxa"/>
            <w:shd w:val="clear" w:color="auto" w:fill="FFFFFF"/>
            <w:vAlign w:val="center"/>
          </w:tcPr>
          <w:p w14:paraId="7C5F6CDD" w14:textId="77777777" w:rsidR="004B0883" w:rsidRDefault="004B0883">
            <w:pPr>
              <w:spacing w:beforeLines="50" w:before="120" w:afterLines="50" w:after="120"/>
              <w:jc w:val="center"/>
              <w:rPr>
                <w:rFonts w:hint="eastAsia"/>
                <w:b/>
                <w:bCs/>
                <w:sz w:val="24"/>
              </w:rPr>
            </w:pPr>
          </w:p>
        </w:tc>
        <w:tc>
          <w:tcPr>
            <w:tcW w:w="2420" w:type="dxa"/>
            <w:shd w:val="clear" w:color="auto" w:fill="FFFFFF"/>
          </w:tcPr>
          <w:p w14:paraId="73E06713" w14:textId="77777777" w:rsidR="004B0883" w:rsidRDefault="004B0883">
            <w:pPr>
              <w:spacing w:beforeLines="50" w:before="120" w:afterLines="50" w:after="120"/>
              <w:jc w:val="center"/>
              <w:rPr>
                <w:rFonts w:hint="eastAsia"/>
                <w:b/>
                <w:bCs/>
                <w:sz w:val="24"/>
              </w:rPr>
            </w:pPr>
          </w:p>
        </w:tc>
      </w:tr>
    </w:tbl>
    <w:p w14:paraId="46453F98" w14:textId="77777777" w:rsidR="004B0883" w:rsidRDefault="004B0883">
      <w:pPr>
        <w:tabs>
          <w:tab w:val="left" w:pos="10198"/>
        </w:tabs>
        <w:autoSpaceDE w:val="0"/>
        <w:autoSpaceDN w:val="0"/>
        <w:adjustRightInd w:val="0"/>
        <w:snapToGrid w:val="0"/>
        <w:spacing w:beforeLines="50" w:before="120" w:afterLines="50" w:after="120" w:line="360" w:lineRule="auto"/>
        <w:ind w:firstLineChars="200" w:firstLine="480"/>
        <w:jc w:val="right"/>
        <w:rPr>
          <w:rFonts w:hint="eastAsia"/>
          <w:color w:val="000000"/>
          <w:sz w:val="24"/>
        </w:rPr>
      </w:pPr>
    </w:p>
    <w:p w14:paraId="69A593DE" w14:textId="77777777" w:rsidR="004B0883" w:rsidRDefault="004B0883">
      <w:pPr>
        <w:tabs>
          <w:tab w:val="left" w:pos="10198"/>
        </w:tabs>
        <w:autoSpaceDE w:val="0"/>
        <w:autoSpaceDN w:val="0"/>
        <w:adjustRightInd w:val="0"/>
        <w:snapToGrid w:val="0"/>
        <w:spacing w:beforeLines="50" w:before="120" w:afterLines="50" w:after="120" w:line="360" w:lineRule="auto"/>
        <w:ind w:firstLineChars="200" w:firstLine="480"/>
        <w:jc w:val="right"/>
        <w:rPr>
          <w:rFonts w:hint="eastAsia"/>
          <w:color w:val="000000"/>
          <w:sz w:val="24"/>
        </w:rPr>
      </w:pPr>
    </w:p>
    <w:p w14:paraId="1026A0D7" w14:textId="77777777" w:rsidR="004B0883" w:rsidRDefault="004B0883">
      <w:pPr>
        <w:tabs>
          <w:tab w:val="left" w:pos="10198"/>
        </w:tabs>
        <w:autoSpaceDE w:val="0"/>
        <w:autoSpaceDN w:val="0"/>
        <w:adjustRightInd w:val="0"/>
        <w:snapToGrid w:val="0"/>
        <w:spacing w:beforeLines="50" w:before="120" w:afterLines="50" w:after="120" w:line="360" w:lineRule="auto"/>
        <w:ind w:firstLineChars="200" w:firstLine="480"/>
        <w:jc w:val="right"/>
        <w:rPr>
          <w:rFonts w:hint="eastAsia"/>
          <w:color w:val="000000"/>
          <w:sz w:val="24"/>
        </w:rPr>
      </w:pPr>
      <w:r>
        <w:rPr>
          <w:rFonts w:hint="eastAsia"/>
          <w:color w:val="000000"/>
          <w:sz w:val="24"/>
        </w:rPr>
        <w:t>中信证券股份有限公司</w:t>
      </w:r>
    </w:p>
    <w:p w14:paraId="34F50EE1" w14:textId="77777777" w:rsidR="004B0883" w:rsidRDefault="004B0883">
      <w:pPr>
        <w:tabs>
          <w:tab w:val="left" w:pos="10198"/>
        </w:tabs>
        <w:wordWrap w:val="0"/>
        <w:autoSpaceDE w:val="0"/>
        <w:autoSpaceDN w:val="0"/>
        <w:adjustRightInd w:val="0"/>
        <w:snapToGrid w:val="0"/>
        <w:spacing w:beforeLines="50" w:before="120" w:afterLines="50" w:after="120" w:line="360" w:lineRule="auto"/>
        <w:jc w:val="right"/>
        <w:rPr>
          <w:rFonts w:hint="eastAsia"/>
          <w:color w:val="000000"/>
          <w:sz w:val="24"/>
        </w:rPr>
      </w:pPr>
      <w:r>
        <w:rPr>
          <w:rFonts w:hint="eastAsia"/>
          <w:color w:val="000000"/>
          <w:sz w:val="24"/>
        </w:rPr>
        <w:t>年</w:t>
      </w:r>
      <w:r>
        <w:rPr>
          <w:rFonts w:hint="eastAsia"/>
          <w:color w:val="000000"/>
          <w:sz w:val="24"/>
        </w:rPr>
        <w:t xml:space="preserve">  </w:t>
      </w:r>
      <w:r>
        <w:rPr>
          <w:color w:val="000000"/>
          <w:sz w:val="24"/>
        </w:rPr>
        <w:t xml:space="preserve"> </w:t>
      </w:r>
      <w:r>
        <w:rPr>
          <w:rFonts w:hint="eastAsia"/>
          <w:color w:val="000000"/>
          <w:sz w:val="24"/>
        </w:rPr>
        <w:t xml:space="preserve">  </w:t>
      </w:r>
      <w:r>
        <w:rPr>
          <w:rFonts w:hint="eastAsia"/>
          <w:color w:val="000000"/>
          <w:sz w:val="24"/>
        </w:rPr>
        <w:t>月</w:t>
      </w:r>
      <w:r>
        <w:rPr>
          <w:rFonts w:hint="eastAsia"/>
          <w:color w:val="000000"/>
          <w:sz w:val="24"/>
        </w:rPr>
        <w:t xml:space="preserve"> </w:t>
      </w:r>
      <w:r>
        <w:rPr>
          <w:color w:val="000000"/>
          <w:sz w:val="24"/>
        </w:rPr>
        <w:t xml:space="preserve"> </w:t>
      </w:r>
      <w:r>
        <w:rPr>
          <w:rFonts w:hint="eastAsia"/>
          <w:color w:val="000000"/>
          <w:sz w:val="24"/>
        </w:rPr>
        <w:t xml:space="preserve">   </w:t>
      </w:r>
      <w:r>
        <w:rPr>
          <w:rFonts w:hint="eastAsia"/>
          <w:color w:val="000000"/>
          <w:sz w:val="24"/>
        </w:rPr>
        <w:t>日</w:t>
      </w:r>
    </w:p>
    <w:p w14:paraId="38489F1C" w14:textId="77777777" w:rsidR="004B0883" w:rsidRDefault="004B0883">
      <w:pPr>
        <w:pStyle w:val="002"/>
        <w:spacing w:before="120" w:after="120"/>
        <w:jc w:val="center"/>
        <w:outlineLvl w:val="9"/>
        <w:rPr>
          <w:rFonts w:hint="eastAsia"/>
          <w:szCs w:val="30"/>
        </w:rPr>
      </w:pPr>
      <w:r>
        <w:rPr>
          <w:rFonts w:hint="eastAsia"/>
          <w:color w:val="000000"/>
        </w:rPr>
        <w:br w:type="page"/>
      </w:r>
      <w:bookmarkStart w:id="460" w:name="_Toc152320835"/>
      <w:r>
        <w:rPr>
          <w:rFonts w:hint="eastAsia"/>
          <w:szCs w:val="30"/>
        </w:rPr>
        <w:t>保荐机构总经理声明</w:t>
      </w:r>
      <w:bookmarkEnd w:id="460"/>
    </w:p>
    <w:p w14:paraId="550CD90D" w14:textId="2389B723" w:rsidR="004B0883" w:rsidRDefault="0090540C">
      <w:pPr>
        <w:pStyle w:val="005"/>
        <w:spacing w:before="120" w:after="120"/>
        <w:ind w:firstLine="480"/>
        <w:rPr>
          <w:rFonts w:hint="eastAsia"/>
        </w:rPr>
      </w:pPr>
      <w:r>
        <w:rPr>
          <w:noProof/>
        </w:rPr>
        <w:drawing>
          <wp:anchor distT="0" distB="0" distL="114300" distR="114300" simplePos="0" relativeHeight="251661824" behindDoc="0" locked="0" layoutInCell="0" allowOverlap="1" wp14:anchorId="3910E6D2" wp14:editId="776153EA">
            <wp:simplePos x="0" y="0"/>
            <wp:positionH relativeFrom="page">
              <wp:posOffset>14605</wp:posOffset>
            </wp:positionH>
            <wp:positionV relativeFrom="page">
              <wp:posOffset>914400</wp:posOffset>
            </wp:positionV>
            <wp:extent cx="7529195" cy="8256905"/>
            <wp:effectExtent l="0" t="0" r="0" b="0"/>
            <wp:wrapNone/>
            <wp:docPr id="1832015170"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 cstate="print">
                      <a:lum contrast="20000"/>
                      <a:extLst>
                        <a:ext uri="{28A0092B-C50C-407E-A947-70E740481C1C}">
                          <a14:useLocalDpi xmlns:a14="http://schemas.microsoft.com/office/drawing/2010/main" val="0"/>
                        </a:ext>
                      </a:extLst>
                    </a:blip>
                    <a:srcRect t="8554" b="14203"/>
                    <a:stretch>
                      <a:fillRect/>
                    </a:stretch>
                  </pic:blipFill>
                  <pic:spPr bwMode="auto">
                    <a:xfrm>
                      <a:off x="0" y="0"/>
                      <a:ext cx="7529195" cy="825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4B0883">
        <w:rPr>
          <w:rFonts w:hint="eastAsia"/>
        </w:rPr>
        <w:t>本人已认真阅读《青岛伟隆阀门股份有限公司向不特定对象发行可转换公司债券募集说明书》的全部内容，确认募集说明书不存在虚假记载、误导性陈述或重大遗漏，并对募集说明书真实性、准确性、完整性、及时性承担相应的法律责任。</w:t>
      </w:r>
    </w:p>
    <w:p w14:paraId="68EFA66E" w14:textId="77777777" w:rsidR="004B0883" w:rsidRDefault="004B0883">
      <w:pPr>
        <w:rPr>
          <w:rFonts w:hint="eastAsia"/>
        </w:rPr>
      </w:pPr>
    </w:p>
    <w:p w14:paraId="4CD0BA94" w14:textId="77777777" w:rsidR="004B0883" w:rsidRDefault="004B0883">
      <w:pPr>
        <w:rPr>
          <w:rFonts w:hint="eastAsia"/>
        </w:rPr>
      </w:pPr>
    </w:p>
    <w:p w14:paraId="7E9299D3" w14:textId="77777777" w:rsidR="004B0883" w:rsidRDefault="004B0883">
      <w:pPr>
        <w:rPr>
          <w:rFonts w:hint="eastAsia"/>
        </w:rPr>
      </w:pPr>
    </w:p>
    <w:tbl>
      <w:tblPr>
        <w:tblpPr w:leftFromText="180" w:rightFromText="180" w:vertAnchor="text" w:tblpY="1"/>
        <w:tblOverlap w:val="never"/>
        <w:tblW w:w="10942" w:type="dxa"/>
        <w:tblInd w:w="0" w:type="dxa"/>
        <w:tblLayout w:type="fixed"/>
        <w:tblCellMar>
          <w:top w:w="170" w:type="dxa"/>
          <w:bottom w:w="170" w:type="dxa"/>
        </w:tblCellMar>
        <w:tblLook w:val="0000" w:firstRow="0" w:lastRow="0" w:firstColumn="0" w:lastColumn="0" w:noHBand="0" w:noVBand="0"/>
      </w:tblPr>
      <w:tblGrid>
        <w:gridCol w:w="3100"/>
        <w:gridCol w:w="281"/>
        <w:gridCol w:w="2424"/>
        <w:gridCol w:w="297"/>
        <w:gridCol w:w="2420"/>
        <w:gridCol w:w="2420"/>
      </w:tblGrid>
      <w:tr w:rsidR="004B0883" w14:paraId="4378A58A" w14:textId="77777777">
        <w:trPr>
          <w:trHeight w:val="454"/>
        </w:trPr>
        <w:tc>
          <w:tcPr>
            <w:tcW w:w="3100" w:type="dxa"/>
            <w:shd w:val="clear" w:color="auto" w:fill="FFFFFF"/>
            <w:vAlign w:val="center"/>
          </w:tcPr>
          <w:p w14:paraId="59244097" w14:textId="77777777" w:rsidR="004B0883" w:rsidRDefault="004B0883">
            <w:pPr>
              <w:spacing w:beforeLines="50" w:before="120" w:afterLines="50" w:after="120"/>
              <w:rPr>
                <w:rFonts w:hint="eastAsia"/>
                <w:sz w:val="24"/>
              </w:rPr>
            </w:pPr>
            <w:r>
              <w:rPr>
                <w:rFonts w:hint="eastAsia"/>
                <w:sz w:val="24"/>
              </w:rPr>
              <w:t>总经理：</w:t>
            </w:r>
          </w:p>
        </w:tc>
        <w:tc>
          <w:tcPr>
            <w:tcW w:w="281" w:type="dxa"/>
            <w:shd w:val="clear" w:color="auto" w:fill="FFFFFF"/>
            <w:vAlign w:val="center"/>
          </w:tcPr>
          <w:p w14:paraId="5ECED452" w14:textId="77777777" w:rsidR="004B0883" w:rsidRDefault="004B0883">
            <w:pPr>
              <w:spacing w:beforeLines="50" w:before="120" w:afterLines="50" w:after="120"/>
              <w:jc w:val="center"/>
              <w:rPr>
                <w:rFonts w:hint="eastAsia"/>
                <w:sz w:val="24"/>
              </w:rPr>
            </w:pPr>
          </w:p>
        </w:tc>
        <w:tc>
          <w:tcPr>
            <w:tcW w:w="2424" w:type="dxa"/>
            <w:tcBorders>
              <w:bottom w:val="single" w:sz="4" w:space="0" w:color="auto"/>
            </w:tcBorders>
            <w:shd w:val="clear" w:color="auto" w:fill="FFFFFF"/>
            <w:vAlign w:val="center"/>
          </w:tcPr>
          <w:p w14:paraId="3FB4241B" w14:textId="77777777" w:rsidR="004B0883" w:rsidRDefault="004B0883">
            <w:pPr>
              <w:spacing w:beforeLines="50" w:before="120" w:afterLines="50" w:after="120"/>
              <w:jc w:val="center"/>
              <w:rPr>
                <w:rFonts w:hint="eastAsia"/>
                <w:sz w:val="24"/>
              </w:rPr>
            </w:pPr>
          </w:p>
        </w:tc>
        <w:tc>
          <w:tcPr>
            <w:tcW w:w="297" w:type="dxa"/>
            <w:shd w:val="clear" w:color="auto" w:fill="FFFFFF"/>
            <w:vAlign w:val="center"/>
          </w:tcPr>
          <w:p w14:paraId="7CDA033C" w14:textId="77777777" w:rsidR="004B0883" w:rsidRDefault="004B0883">
            <w:pPr>
              <w:spacing w:beforeLines="50" w:before="120" w:afterLines="50" w:after="120"/>
              <w:rPr>
                <w:rFonts w:hint="eastAsia"/>
                <w:b/>
                <w:bCs/>
                <w:sz w:val="24"/>
              </w:rPr>
            </w:pPr>
          </w:p>
        </w:tc>
        <w:tc>
          <w:tcPr>
            <w:tcW w:w="2420" w:type="dxa"/>
            <w:shd w:val="clear" w:color="auto" w:fill="FFFFFF"/>
            <w:vAlign w:val="center"/>
          </w:tcPr>
          <w:p w14:paraId="52BB166C" w14:textId="77777777" w:rsidR="004B0883" w:rsidRDefault="004B0883">
            <w:pPr>
              <w:spacing w:beforeLines="50" w:before="120" w:afterLines="50" w:after="120"/>
              <w:rPr>
                <w:rFonts w:hint="eastAsia"/>
                <w:b/>
                <w:bCs/>
                <w:sz w:val="24"/>
              </w:rPr>
            </w:pPr>
          </w:p>
        </w:tc>
        <w:tc>
          <w:tcPr>
            <w:tcW w:w="2420" w:type="dxa"/>
            <w:shd w:val="clear" w:color="auto" w:fill="FFFFFF"/>
          </w:tcPr>
          <w:p w14:paraId="6E58105D" w14:textId="77777777" w:rsidR="004B0883" w:rsidRDefault="004B0883">
            <w:pPr>
              <w:spacing w:beforeLines="50" w:before="120" w:afterLines="50" w:after="120"/>
              <w:rPr>
                <w:rFonts w:hint="eastAsia"/>
                <w:b/>
                <w:bCs/>
                <w:sz w:val="24"/>
              </w:rPr>
            </w:pPr>
          </w:p>
        </w:tc>
      </w:tr>
      <w:tr w:rsidR="004B0883" w14:paraId="1F230EC4" w14:textId="77777777">
        <w:trPr>
          <w:trHeight w:val="454"/>
        </w:trPr>
        <w:tc>
          <w:tcPr>
            <w:tcW w:w="3100" w:type="dxa"/>
            <w:shd w:val="clear" w:color="auto" w:fill="FFFFFF"/>
            <w:vAlign w:val="center"/>
          </w:tcPr>
          <w:p w14:paraId="06736C63" w14:textId="77777777" w:rsidR="004B0883" w:rsidRDefault="004B0883">
            <w:pPr>
              <w:spacing w:beforeLines="50" w:before="120" w:afterLines="50" w:after="120"/>
              <w:jc w:val="center"/>
              <w:rPr>
                <w:rFonts w:hint="eastAsia"/>
                <w:sz w:val="24"/>
              </w:rPr>
            </w:pPr>
          </w:p>
        </w:tc>
        <w:tc>
          <w:tcPr>
            <w:tcW w:w="281" w:type="dxa"/>
            <w:shd w:val="clear" w:color="auto" w:fill="FFFFFF"/>
            <w:vAlign w:val="center"/>
          </w:tcPr>
          <w:p w14:paraId="1511CFDC" w14:textId="77777777" w:rsidR="004B0883" w:rsidRDefault="004B0883">
            <w:pPr>
              <w:spacing w:beforeLines="50" w:before="120" w:afterLines="50" w:after="120"/>
              <w:jc w:val="center"/>
              <w:rPr>
                <w:rFonts w:hint="eastAsia"/>
                <w:sz w:val="24"/>
              </w:rPr>
            </w:pPr>
          </w:p>
        </w:tc>
        <w:tc>
          <w:tcPr>
            <w:tcW w:w="2424" w:type="dxa"/>
            <w:tcBorders>
              <w:top w:val="single" w:sz="4" w:space="0" w:color="auto"/>
            </w:tcBorders>
            <w:shd w:val="clear" w:color="auto" w:fill="FFFFFF"/>
            <w:vAlign w:val="center"/>
          </w:tcPr>
          <w:p w14:paraId="675FDFBF" w14:textId="77777777" w:rsidR="004B0883" w:rsidRDefault="004B0883">
            <w:pPr>
              <w:spacing w:beforeLines="50" w:before="120" w:afterLines="50" w:after="120"/>
              <w:jc w:val="center"/>
              <w:rPr>
                <w:rFonts w:hint="eastAsia"/>
                <w:sz w:val="24"/>
              </w:rPr>
            </w:pPr>
            <w:r>
              <w:rPr>
                <w:rFonts w:hint="eastAsia"/>
                <w:sz w:val="24"/>
              </w:rPr>
              <w:t>杨明辉</w:t>
            </w:r>
          </w:p>
        </w:tc>
        <w:tc>
          <w:tcPr>
            <w:tcW w:w="297" w:type="dxa"/>
            <w:shd w:val="clear" w:color="auto" w:fill="FFFFFF"/>
            <w:vAlign w:val="center"/>
          </w:tcPr>
          <w:p w14:paraId="64177E66" w14:textId="77777777" w:rsidR="004B0883" w:rsidRDefault="004B0883">
            <w:pPr>
              <w:spacing w:beforeLines="50" w:before="120" w:afterLines="50" w:after="120"/>
              <w:jc w:val="center"/>
              <w:rPr>
                <w:rFonts w:hint="eastAsia"/>
                <w:b/>
                <w:bCs/>
                <w:sz w:val="24"/>
              </w:rPr>
            </w:pPr>
          </w:p>
        </w:tc>
        <w:tc>
          <w:tcPr>
            <w:tcW w:w="2420" w:type="dxa"/>
            <w:shd w:val="clear" w:color="auto" w:fill="FFFFFF"/>
            <w:vAlign w:val="center"/>
          </w:tcPr>
          <w:p w14:paraId="7458EAFD" w14:textId="77777777" w:rsidR="004B0883" w:rsidRDefault="004B0883">
            <w:pPr>
              <w:spacing w:beforeLines="50" w:before="120" w:afterLines="50" w:after="120"/>
              <w:jc w:val="center"/>
              <w:rPr>
                <w:rFonts w:hint="eastAsia"/>
                <w:b/>
                <w:bCs/>
                <w:sz w:val="24"/>
              </w:rPr>
            </w:pPr>
          </w:p>
        </w:tc>
        <w:tc>
          <w:tcPr>
            <w:tcW w:w="2420" w:type="dxa"/>
            <w:shd w:val="clear" w:color="auto" w:fill="FFFFFF"/>
          </w:tcPr>
          <w:p w14:paraId="123BE73F" w14:textId="77777777" w:rsidR="004B0883" w:rsidRDefault="004B0883">
            <w:pPr>
              <w:spacing w:beforeLines="50" w:before="120" w:afterLines="50" w:after="120"/>
              <w:jc w:val="center"/>
              <w:rPr>
                <w:rFonts w:hint="eastAsia"/>
                <w:b/>
                <w:bCs/>
                <w:sz w:val="24"/>
              </w:rPr>
            </w:pPr>
          </w:p>
        </w:tc>
      </w:tr>
      <w:tr w:rsidR="004B0883" w14:paraId="7490BBA6" w14:textId="77777777">
        <w:trPr>
          <w:trHeight w:val="454"/>
        </w:trPr>
        <w:tc>
          <w:tcPr>
            <w:tcW w:w="3100" w:type="dxa"/>
            <w:shd w:val="clear" w:color="auto" w:fill="FFFFFF"/>
            <w:vAlign w:val="center"/>
          </w:tcPr>
          <w:p w14:paraId="1EFA357E" w14:textId="77777777" w:rsidR="004B0883" w:rsidRDefault="004B0883">
            <w:pPr>
              <w:spacing w:beforeLines="50" w:before="120" w:afterLines="50" w:after="120"/>
              <w:rPr>
                <w:rFonts w:hint="eastAsia"/>
                <w:sz w:val="24"/>
              </w:rPr>
            </w:pPr>
          </w:p>
        </w:tc>
        <w:tc>
          <w:tcPr>
            <w:tcW w:w="281" w:type="dxa"/>
            <w:shd w:val="clear" w:color="auto" w:fill="FFFFFF"/>
            <w:vAlign w:val="center"/>
          </w:tcPr>
          <w:p w14:paraId="7FE2F6C4" w14:textId="77777777" w:rsidR="004B0883" w:rsidRDefault="004B0883">
            <w:pPr>
              <w:spacing w:beforeLines="50" w:before="120" w:afterLines="50" w:after="120"/>
              <w:jc w:val="center"/>
              <w:rPr>
                <w:rFonts w:hint="eastAsia"/>
                <w:sz w:val="24"/>
              </w:rPr>
            </w:pPr>
          </w:p>
        </w:tc>
        <w:tc>
          <w:tcPr>
            <w:tcW w:w="2424" w:type="dxa"/>
            <w:shd w:val="clear" w:color="auto" w:fill="FFFFFF"/>
            <w:vAlign w:val="center"/>
          </w:tcPr>
          <w:p w14:paraId="4121AECB" w14:textId="77777777" w:rsidR="004B0883" w:rsidRDefault="004B0883">
            <w:pPr>
              <w:spacing w:beforeLines="50" w:before="120" w:afterLines="50" w:after="120"/>
              <w:jc w:val="center"/>
              <w:rPr>
                <w:rFonts w:hint="eastAsia"/>
                <w:sz w:val="24"/>
              </w:rPr>
            </w:pPr>
          </w:p>
        </w:tc>
        <w:tc>
          <w:tcPr>
            <w:tcW w:w="297" w:type="dxa"/>
            <w:shd w:val="clear" w:color="auto" w:fill="FFFFFF"/>
            <w:vAlign w:val="center"/>
          </w:tcPr>
          <w:p w14:paraId="443B89AC" w14:textId="77777777" w:rsidR="004B0883" w:rsidRDefault="004B0883">
            <w:pPr>
              <w:spacing w:beforeLines="50" w:before="120" w:afterLines="50" w:after="120"/>
              <w:jc w:val="center"/>
              <w:rPr>
                <w:rFonts w:hint="eastAsia"/>
                <w:b/>
                <w:bCs/>
                <w:sz w:val="24"/>
              </w:rPr>
            </w:pPr>
          </w:p>
        </w:tc>
        <w:tc>
          <w:tcPr>
            <w:tcW w:w="2420" w:type="dxa"/>
            <w:shd w:val="clear" w:color="auto" w:fill="FFFFFF"/>
            <w:vAlign w:val="center"/>
          </w:tcPr>
          <w:p w14:paraId="3B1D62DA" w14:textId="77777777" w:rsidR="004B0883" w:rsidRDefault="004B0883">
            <w:pPr>
              <w:spacing w:beforeLines="50" w:before="120" w:afterLines="50" w:after="120"/>
              <w:jc w:val="center"/>
              <w:rPr>
                <w:rFonts w:hint="eastAsia"/>
                <w:b/>
                <w:bCs/>
                <w:sz w:val="24"/>
              </w:rPr>
            </w:pPr>
          </w:p>
        </w:tc>
        <w:tc>
          <w:tcPr>
            <w:tcW w:w="2420" w:type="dxa"/>
            <w:shd w:val="clear" w:color="auto" w:fill="FFFFFF"/>
          </w:tcPr>
          <w:p w14:paraId="71661717" w14:textId="77777777" w:rsidR="004B0883" w:rsidRDefault="004B0883">
            <w:pPr>
              <w:spacing w:beforeLines="50" w:before="120" w:afterLines="50" w:after="120"/>
              <w:jc w:val="center"/>
              <w:rPr>
                <w:rFonts w:hint="eastAsia"/>
                <w:b/>
                <w:bCs/>
                <w:sz w:val="24"/>
              </w:rPr>
            </w:pPr>
          </w:p>
        </w:tc>
      </w:tr>
      <w:tr w:rsidR="004B0883" w14:paraId="06712512" w14:textId="77777777">
        <w:trPr>
          <w:trHeight w:val="454"/>
        </w:trPr>
        <w:tc>
          <w:tcPr>
            <w:tcW w:w="3100" w:type="dxa"/>
            <w:shd w:val="clear" w:color="auto" w:fill="FFFFFF"/>
            <w:vAlign w:val="center"/>
          </w:tcPr>
          <w:p w14:paraId="6F7BB787" w14:textId="77777777" w:rsidR="004B0883" w:rsidRDefault="004B0883">
            <w:pPr>
              <w:spacing w:beforeLines="50" w:before="120" w:afterLines="50" w:after="120"/>
              <w:jc w:val="center"/>
              <w:rPr>
                <w:rFonts w:hint="eastAsia"/>
                <w:sz w:val="24"/>
              </w:rPr>
            </w:pPr>
          </w:p>
        </w:tc>
        <w:tc>
          <w:tcPr>
            <w:tcW w:w="281" w:type="dxa"/>
            <w:shd w:val="clear" w:color="auto" w:fill="FFFFFF"/>
            <w:vAlign w:val="center"/>
          </w:tcPr>
          <w:p w14:paraId="783CA95B" w14:textId="77777777" w:rsidR="004B0883" w:rsidRDefault="004B0883">
            <w:pPr>
              <w:spacing w:beforeLines="50" w:before="120" w:afterLines="50" w:after="120"/>
              <w:jc w:val="center"/>
              <w:rPr>
                <w:rFonts w:hint="eastAsia"/>
                <w:sz w:val="24"/>
              </w:rPr>
            </w:pPr>
          </w:p>
        </w:tc>
        <w:tc>
          <w:tcPr>
            <w:tcW w:w="2424" w:type="dxa"/>
            <w:shd w:val="clear" w:color="auto" w:fill="FFFFFF"/>
            <w:vAlign w:val="center"/>
          </w:tcPr>
          <w:p w14:paraId="4A39F6E1" w14:textId="77777777" w:rsidR="004B0883" w:rsidRDefault="004B0883">
            <w:pPr>
              <w:spacing w:beforeLines="50" w:before="120" w:afterLines="50" w:after="120"/>
              <w:jc w:val="center"/>
              <w:rPr>
                <w:rFonts w:hint="eastAsia"/>
                <w:sz w:val="24"/>
              </w:rPr>
            </w:pPr>
          </w:p>
        </w:tc>
        <w:tc>
          <w:tcPr>
            <w:tcW w:w="297" w:type="dxa"/>
            <w:shd w:val="clear" w:color="auto" w:fill="FFFFFF"/>
            <w:vAlign w:val="center"/>
          </w:tcPr>
          <w:p w14:paraId="2CC0E217" w14:textId="77777777" w:rsidR="004B0883" w:rsidRDefault="004B0883">
            <w:pPr>
              <w:spacing w:beforeLines="50" w:before="120" w:afterLines="50" w:after="120"/>
              <w:jc w:val="center"/>
              <w:rPr>
                <w:rFonts w:hint="eastAsia"/>
                <w:b/>
                <w:bCs/>
                <w:sz w:val="24"/>
              </w:rPr>
            </w:pPr>
          </w:p>
        </w:tc>
        <w:tc>
          <w:tcPr>
            <w:tcW w:w="2420" w:type="dxa"/>
            <w:shd w:val="clear" w:color="auto" w:fill="FFFFFF"/>
            <w:vAlign w:val="center"/>
          </w:tcPr>
          <w:p w14:paraId="7EAE69B6" w14:textId="77777777" w:rsidR="004B0883" w:rsidRDefault="004B0883">
            <w:pPr>
              <w:spacing w:beforeLines="50" w:before="120" w:afterLines="50" w:after="120"/>
              <w:jc w:val="center"/>
              <w:rPr>
                <w:rFonts w:hint="eastAsia"/>
                <w:b/>
                <w:bCs/>
                <w:sz w:val="24"/>
              </w:rPr>
            </w:pPr>
          </w:p>
        </w:tc>
        <w:tc>
          <w:tcPr>
            <w:tcW w:w="2420" w:type="dxa"/>
            <w:shd w:val="clear" w:color="auto" w:fill="FFFFFF"/>
          </w:tcPr>
          <w:p w14:paraId="041A77C3" w14:textId="77777777" w:rsidR="004B0883" w:rsidRDefault="004B0883">
            <w:pPr>
              <w:spacing w:beforeLines="50" w:before="120" w:afterLines="50" w:after="120"/>
              <w:jc w:val="center"/>
              <w:rPr>
                <w:rFonts w:hint="eastAsia"/>
                <w:b/>
                <w:bCs/>
                <w:sz w:val="24"/>
              </w:rPr>
            </w:pPr>
          </w:p>
        </w:tc>
      </w:tr>
    </w:tbl>
    <w:p w14:paraId="3DA7E3FA" w14:textId="77777777" w:rsidR="004B0883" w:rsidRDefault="004B0883">
      <w:pPr>
        <w:tabs>
          <w:tab w:val="left" w:pos="10198"/>
        </w:tabs>
        <w:autoSpaceDE w:val="0"/>
        <w:autoSpaceDN w:val="0"/>
        <w:adjustRightInd w:val="0"/>
        <w:snapToGrid w:val="0"/>
        <w:spacing w:beforeLines="50" w:before="120" w:afterLines="50" w:after="120" w:line="360" w:lineRule="auto"/>
        <w:ind w:firstLineChars="200" w:firstLine="480"/>
        <w:jc w:val="right"/>
        <w:rPr>
          <w:rFonts w:hint="eastAsia"/>
          <w:color w:val="000000"/>
          <w:sz w:val="24"/>
        </w:rPr>
      </w:pPr>
    </w:p>
    <w:p w14:paraId="6CE1CFC0" w14:textId="77777777" w:rsidR="004B0883" w:rsidRDefault="004B0883">
      <w:pPr>
        <w:tabs>
          <w:tab w:val="left" w:pos="10198"/>
        </w:tabs>
        <w:autoSpaceDE w:val="0"/>
        <w:autoSpaceDN w:val="0"/>
        <w:adjustRightInd w:val="0"/>
        <w:snapToGrid w:val="0"/>
        <w:spacing w:beforeLines="50" w:before="120" w:afterLines="50" w:after="120" w:line="360" w:lineRule="auto"/>
        <w:ind w:firstLineChars="200" w:firstLine="480"/>
        <w:jc w:val="right"/>
        <w:rPr>
          <w:rFonts w:hint="eastAsia"/>
          <w:color w:val="000000"/>
          <w:sz w:val="24"/>
        </w:rPr>
      </w:pPr>
    </w:p>
    <w:p w14:paraId="2DEBE21A" w14:textId="77777777" w:rsidR="004B0883" w:rsidRDefault="004B0883">
      <w:pPr>
        <w:tabs>
          <w:tab w:val="left" w:pos="10198"/>
        </w:tabs>
        <w:autoSpaceDE w:val="0"/>
        <w:autoSpaceDN w:val="0"/>
        <w:adjustRightInd w:val="0"/>
        <w:snapToGrid w:val="0"/>
        <w:spacing w:beforeLines="50" w:before="120" w:afterLines="50" w:after="120" w:line="360" w:lineRule="auto"/>
        <w:ind w:firstLineChars="200" w:firstLine="480"/>
        <w:jc w:val="right"/>
        <w:rPr>
          <w:rFonts w:hint="eastAsia"/>
          <w:color w:val="000000"/>
          <w:sz w:val="24"/>
        </w:rPr>
      </w:pPr>
      <w:r>
        <w:rPr>
          <w:rFonts w:hint="eastAsia"/>
          <w:color w:val="000000"/>
          <w:sz w:val="24"/>
        </w:rPr>
        <w:t>中信证券股份有限公司</w:t>
      </w:r>
    </w:p>
    <w:p w14:paraId="4D4DC1E8" w14:textId="77777777" w:rsidR="004B0883" w:rsidRDefault="004B0883">
      <w:pPr>
        <w:tabs>
          <w:tab w:val="left" w:pos="10198"/>
        </w:tabs>
        <w:wordWrap w:val="0"/>
        <w:autoSpaceDE w:val="0"/>
        <w:autoSpaceDN w:val="0"/>
        <w:adjustRightInd w:val="0"/>
        <w:snapToGrid w:val="0"/>
        <w:spacing w:beforeLines="50" w:before="120" w:afterLines="50" w:after="120" w:line="360" w:lineRule="auto"/>
        <w:jc w:val="right"/>
        <w:rPr>
          <w:rFonts w:hint="eastAsia"/>
          <w:color w:val="000000"/>
        </w:rPr>
      </w:pPr>
      <w:r>
        <w:rPr>
          <w:rFonts w:hint="eastAsia"/>
          <w:color w:val="000000"/>
          <w:sz w:val="24"/>
        </w:rPr>
        <w:t>年</w:t>
      </w:r>
      <w:r>
        <w:rPr>
          <w:rFonts w:hint="eastAsia"/>
          <w:color w:val="000000"/>
          <w:sz w:val="24"/>
        </w:rPr>
        <w:t xml:space="preserve">  </w:t>
      </w:r>
      <w:r>
        <w:rPr>
          <w:color w:val="000000"/>
          <w:sz w:val="24"/>
        </w:rPr>
        <w:t xml:space="preserve"> </w:t>
      </w:r>
      <w:r>
        <w:rPr>
          <w:rFonts w:hint="eastAsia"/>
          <w:color w:val="000000"/>
          <w:sz w:val="24"/>
        </w:rPr>
        <w:t xml:space="preserve">  </w:t>
      </w:r>
      <w:r>
        <w:rPr>
          <w:rFonts w:hint="eastAsia"/>
          <w:color w:val="000000"/>
          <w:sz w:val="24"/>
        </w:rPr>
        <w:t>月</w:t>
      </w:r>
      <w:r>
        <w:rPr>
          <w:rFonts w:hint="eastAsia"/>
          <w:color w:val="000000"/>
          <w:sz w:val="24"/>
        </w:rPr>
        <w:t xml:space="preserve"> </w:t>
      </w:r>
      <w:r>
        <w:rPr>
          <w:color w:val="000000"/>
          <w:sz w:val="24"/>
        </w:rPr>
        <w:t xml:space="preserve"> </w:t>
      </w:r>
      <w:r>
        <w:rPr>
          <w:rFonts w:hint="eastAsia"/>
          <w:color w:val="000000"/>
          <w:sz w:val="24"/>
        </w:rPr>
        <w:t xml:space="preserve">   </w:t>
      </w:r>
      <w:r>
        <w:rPr>
          <w:rFonts w:hint="eastAsia"/>
          <w:color w:val="000000"/>
          <w:sz w:val="24"/>
        </w:rPr>
        <w:t>日</w:t>
      </w:r>
    </w:p>
    <w:p w14:paraId="3B14BF8B" w14:textId="77777777" w:rsidR="004B0883" w:rsidRDefault="004B0883">
      <w:pPr>
        <w:tabs>
          <w:tab w:val="left" w:pos="10198"/>
        </w:tabs>
        <w:autoSpaceDE w:val="0"/>
        <w:autoSpaceDN w:val="0"/>
        <w:adjustRightInd w:val="0"/>
        <w:snapToGrid w:val="0"/>
        <w:spacing w:beforeLines="50" w:before="120" w:afterLines="50" w:after="120" w:line="360" w:lineRule="auto"/>
        <w:jc w:val="right"/>
        <w:rPr>
          <w:rFonts w:hint="eastAsia"/>
          <w:color w:val="000000"/>
        </w:rPr>
      </w:pPr>
    </w:p>
    <w:p w14:paraId="2604FE4E" w14:textId="77777777" w:rsidR="004B0883" w:rsidRDefault="004B0883">
      <w:pPr>
        <w:pStyle w:val="002"/>
        <w:spacing w:before="120" w:after="120"/>
        <w:rPr>
          <w:rFonts w:hint="eastAsia"/>
        </w:rPr>
      </w:pPr>
      <w:r>
        <w:rPr>
          <w:rFonts w:hint="eastAsia"/>
        </w:rPr>
        <w:br w:type="page"/>
      </w:r>
      <w:bookmarkStart w:id="461" w:name="_Toc152320836"/>
      <w:r>
        <w:rPr>
          <w:rFonts w:hint="eastAsia"/>
        </w:rPr>
        <w:t>四、发行人律师声明</w:t>
      </w:r>
      <w:bookmarkEnd w:id="461"/>
    </w:p>
    <w:p w14:paraId="289CC2C4" w14:textId="139B1A2A" w:rsidR="004B0883" w:rsidRDefault="0090540C" w:rsidP="007A7993">
      <w:pPr>
        <w:widowControl w:val="0"/>
        <w:spacing w:beforeLines="50" w:before="120" w:line="360" w:lineRule="auto"/>
        <w:ind w:firstLineChars="200" w:firstLine="420"/>
        <w:jc w:val="both"/>
        <w:rPr>
          <w:sz w:val="24"/>
          <w:szCs w:val="22"/>
        </w:rPr>
      </w:pPr>
      <w:r>
        <w:rPr>
          <w:noProof/>
        </w:rPr>
        <w:drawing>
          <wp:anchor distT="0" distB="0" distL="114300" distR="114300" simplePos="0" relativeHeight="251664896" behindDoc="0" locked="0" layoutInCell="0" allowOverlap="1" wp14:anchorId="5873D663" wp14:editId="5DE775B2">
            <wp:simplePos x="0" y="0"/>
            <wp:positionH relativeFrom="page">
              <wp:posOffset>5080</wp:posOffset>
            </wp:positionH>
            <wp:positionV relativeFrom="page">
              <wp:posOffset>788035</wp:posOffset>
            </wp:positionV>
            <wp:extent cx="7548245" cy="8702675"/>
            <wp:effectExtent l="0" t="0" r="0" b="0"/>
            <wp:wrapNone/>
            <wp:docPr id="776716494"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
                      <a:extLst>
                        <a:ext uri="{28A0092B-C50C-407E-A947-70E740481C1C}">
                          <a14:useLocalDpi xmlns:a14="http://schemas.microsoft.com/office/drawing/2010/main" val="0"/>
                        </a:ext>
                      </a:extLst>
                    </a:blip>
                    <a:srcRect t="11946" b="6641"/>
                    <a:stretch>
                      <a:fillRect/>
                    </a:stretch>
                  </pic:blipFill>
                  <pic:spPr bwMode="auto">
                    <a:xfrm>
                      <a:off x="0" y="0"/>
                      <a:ext cx="7548245" cy="870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B0883">
        <w:rPr>
          <w:rFonts w:hint="eastAsia"/>
          <w:sz w:val="24"/>
          <w:szCs w:val="22"/>
        </w:rPr>
        <w:t>本所及经办律师已阅读募集说明书，确认募集说明书与本所出具的法律意见书不存在矛盾。本所及经办律师对发行人在募集说明书中引用的法律意见书的内容无异议，确认募集说明书不因引用上述内容而出现虚假记载、误导性陈述或重大遗漏，并承担相应的法律责任。</w:t>
      </w:r>
    </w:p>
    <w:p w14:paraId="20E8972C" w14:textId="77777777" w:rsidR="004B0883" w:rsidRDefault="004B0883">
      <w:pPr>
        <w:widowControl w:val="0"/>
        <w:spacing w:beforeLines="50" w:before="120" w:line="360" w:lineRule="auto"/>
        <w:ind w:firstLineChars="200" w:firstLine="480"/>
        <w:jc w:val="both"/>
        <w:rPr>
          <w:rFonts w:hint="eastAsia"/>
          <w:sz w:val="24"/>
          <w:szCs w:val="22"/>
        </w:rPr>
      </w:pPr>
    </w:p>
    <w:p w14:paraId="15FC2EC8" w14:textId="77777777" w:rsidR="004B0883" w:rsidRDefault="004B0883">
      <w:pPr>
        <w:widowControl w:val="0"/>
        <w:spacing w:beforeLines="50" w:before="120" w:line="360" w:lineRule="auto"/>
        <w:ind w:firstLineChars="200" w:firstLine="482"/>
        <w:jc w:val="both"/>
        <w:rPr>
          <w:rFonts w:ascii="宋体" w:hAnsi="宋体"/>
          <w:b/>
          <w:bCs/>
          <w:kern w:val="0"/>
          <w:sz w:val="24"/>
          <w:szCs w:val="24"/>
        </w:rPr>
      </w:pPr>
      <w:r>
        <w:rPr>
          <w:rFonts w:ascii="宋体" w:hAnsi="宋体"/>
          <w:b/>
          <w:bCs/>
          <w:kern w:val="0"/>
          <w:sz w:val="24"/>
          <w:szCs w:val="24"/>
        </w:rPr>
        <w:t>经办律师：</w:t>
      </w:r>
    </w:p>
    <w:tbl>
      <w:tblPr>
        <w:tblW w:w="5670" w:type="dxa"/>
        <w:jc w:val="center"/>
        <w:tblInd w:w="0" w:type="dxa"/>
        <w:tblLayout w:type="fixed"/>
        <w:tblLook w:val="0000" w:firstRow="0" w:lastRow="0" w:firstColumn="0" w:lastColumn="0" w:noHBand="0" w:noVBand="0"/>
      </w:tblPr>
      <w:tblGrid>
        <w:gridCol w:w="2268"/>
        <w:gridCol w:w="567"/>
        <w:gridCol w:w="2268"/>
        <w:gridCol w:w="567"/>
      </w:tblGrid>
      <w:tr w:rsidR="004B0883" w14:paraId="62953B03" w14:textId="77777777">
        <w:trPr>
          <w:jc w:val="center"/>
        </w:trPr>
        <w:tc>
          <w:tcPr>
            <w:tcW w:w="2268" w:type="dxa"/>
            <w:vAlign w:val="center"/>
          </w:tcPr>
          <w:p w14:paraId="069B6030" w14:textId="77777777" w:rsidR="004B0883" w:rsidRDefault="004B0883">
            <w:pPr>
              <w:widowControl w:val="0"/>
              <w:spacing w:beforeLines="30" w:before="72" w:afterLines="30" w:after="72"/>
              <w:jc w:val="both"/>
              <w:rPr>
                <w:kern w:val="0"/>
                <w:sz w:val="24"/>
                <w:szCs w:val="24"/>
                <w:u w:val="single"/>
              </w:rPr>
            </w:pPr>
          </w:p>
        </w:tc>
        <w:tc>
          <w:tcPr>
            <w:tcW w:w="567" w:type="dxa"/>
            <w:vAlign w:val="center"/>
          </w:tcPr>
          <w:p w14:paraId="11C5C764" w14:textId="77777777" w:rsidR="004B0883" w:rsidRDefault="004B0883">
            <w:pPr>
              <w:widowControl w:val="0"/>
              <w:spacing w:beforeLines="30" w:before="72" w:afterLines="30" w:after="72"/>
              <w:jc w:val="both"/>
              <w:rPr>
                <w:kern w:val="0"/>
                <w:sz w:val="24"/>
                <w:szCs w:val="24"/>
                <w:u w:val="single"/>
              </w:rPr>
            </w:pPr>
          </w:p>
        </w:tc>
        <w:tc>
          <w:tcPr>
            <w:tcW w:w="2268" w:type="dxa"/>
            <w:vAlign w:val="center"/>
          </w:tcPr>
          <w:p w14:paraId="6B7EF269" w14:textId="77777777" w:rsidR="004B0883" w:rsidRDefault="004B0883">
            <w:pPr>
              <w:widowControl w:val="0"/>
              <w:spacing w:beforeLines="30" w:before="72" w:afterLines="30" w:after="72"/>
              <w:jc w:val="both"/>
              <w:rPr>
                <w:kern w:val="0"/>
                <w:sz w:val="24"/>
                <w:szCs w:val="24"/>
                <w:u w:val="single"/>
              </w:rPr>
            </w:pPr>
          </w:p>
        </w:tc>
        <w:tc>
          <w:tcPr>
            <w:tcW w:w="567" w:type="dxa"/>
            <w:vAlign w:val="center"/>
          </w:tcPr>
          <w:p w14:paraId="002690FF" w14:textId="77777777" w:rsidR="004B0883" w:rsidRDefault="004B0883">
            <w:pPr>
              <w:widowControl w:val="0"/>
              <w:spacing w:beforeLines="30" w:before="72" w:afterLines="30" w:after="72"/>
              <w:jc w:val="both"/>
              <w:rPr>
                <w:kern w:val="0"/>
                <w:sz w:val="24"/>
                <w:szCs w:val="24"/>
                <w:u w:val="single"/>
              </w:rPr>
            </w:pPr>
          </w:p>
        </w:tc>
      </w:tr>
      <w:tr w:rsidR="004B0883" w14:paraId="72ED631F" w14:textId="77777777">
        <w:trPr>
          <w:jc w:val="center"/>
        </w:trPr>
        <w:tc>
          <w:tcPr>
            <w:tcW w:w="2268" w:type="dxa"/>
            <w:tcBorders>
              <w:bottom w:val="single" w:sz="4" w:space="0" w:color="auto"/>
            </w:tcBorders>
            <w:vAlign w:val="center"/>
          </w:tcPr>
          <w:p w14:paraId="1205BAA9" w14:textId="77777777" w:rsidR="004B0883" w:rsidRDefault="004B0883">
            <w:pPr>
              <w:widowControl w:val="0"/>
              <w:spacing w:beforeLines="30" w:before="72" w:afterLines="30" w:after="72"/>
              <w:jc w:val="both"/>
              <w:rPr>
                <w:kern w:val="0"/>
                <w:sz w:val="24"/>
                <w:szCs w:val="24"/>
              </w:rPr>
            </w:pPr>
          </w:p>
        </w:tc>
        <w:tc>
          <w:tcPr>
            <w:tcW w:w="567" w:type="dxa"/>
            <w:vAlign w:val="center"/>
          </w:tcPr>
          <w:p w14:paraId="00D69BB9" w14:textId="77777777" w:rsidR="004B0883" w:rsidRDefault="004B0883">
            <w:pPr>
              <w:widowControl w:val="0"/>
              <w:spacing w:beforeLines="30" w:before="72" w:afterLines="30" w:after="72"/>
              <w:jc w:val="both"/>
              <w:rPr>
                <w:kern w:val="0"/>
                <w:sz w:val="24"/>
                <w:szCs w:val="24"/>
              </w:rPr>
            </w:pPr>
          </w:p>
        </w:tc>
        <w:tc>
          <w:tcPr>
            <w:tcW w:w="2268" w:type="dxa"/>
            <w:tcBorders>
              <w:bottom w:val="single" w:sz="4" w:space="0" w:color="auto"/>
            </w:tcBorders>
            <w:vAlign w:val="center"/>
          </w:tcPr>
          <w:p w14:paraId="4420AFC5" w14:textId="77777777" w:rsidR="004B0883" w:rsidRDefault="004B0883">
            <w:pPr>
              <w:widowControl w:val="0"/>
              <w:spacing w:beforeLines="30" w:before="72" w:afterLines="30" w:after="72"/>
              <w:jc w:val="both"/>
              <w:rPr>
                <w:kern w:val="0"/>
                <w:sz w:val="24"/>
                <w:szCs w:val="24"/>
              </w:rPr>
            </w:pPr>
          </w:p>
        </w:tc>
        <w:tc>
          <w:tcPr>
            <w:tcW w:w="567" w:type="dxa"/>
            <w:vAlign w:val="center"/>
          </w:tcPr>
          <w:p w14:paraId="3503EED0" w14:textId="77777777" w:rsidR="004B0883" w:rsidRDefault="004B0883">
            <w:pPr>
              <w:widowControl w:val="0"/>
              <w:spacing w:beforeLines="30" w:before="72" w:afterLines="30" w:after="72"/>
              <w:jc w:val="both"/>
              <w:rPr>
                <w:kern w:val="0"/>
                <w:sz w:val="24"/>
                <w:szCs w:val="24"/>
              </w:rPr>
            </w:pPr>
          </w:p>
        </w:tc>
      </w:tr>
      <w:tr w:rsidR="004B0883" w14:paraId="1604CA28" w14:textId="77777777">
        <w:trPr>
          <w:jc w:val="center"/>
        </w:trPr>
        <w:tc>
          <w:tcPr>
            <w:tcW w:w="2268" w:type="dxa"/>
            <w:tcBorders>
              <w:top w:val="single" w:sz="4" w:space="0" w:color="auto"/>
            </w:tcBorders>
            <w:vAlign w:val="center"/>
          </w:tcPr>
          <w:p w14:paraId="180099FF" w14:textId="77777777" w:rsidR="004B0883" w:rsidRDefault="004B0883">
            <w:pPr>
              <w:widowControl w:val="0"/>
              <w:jc w:val="center"/>
              <w:rPr>
                <w:kern w:val="0"/>
                <w:sz w:val="24"/>
                <w:szCs w:val="24"/>
              </w:rPr>
            </w:pPr>
            <w:r>
              <w:rPr>
                <w:rFonts w:hint="eastAsia"/>
                <w:kern w:val="0"/>
                <w:sz w:val="24"/>
                <w:szCs w:val="24"/>
              </w:rPr>
              <w:t>张明波</w:t>
            </w:r>
          </w:p>
        </w:tc>
        <w:tc>
          <w:tcPr>
            <w:tcW w:w="567" w:type="dxa"/>
            <w:vAlign w:val="center"/>
          </w:tcPr>
          <w:p w14:paraId="6A207751" w14:textId="77777777" w:rsidR="004B0883" w:rsidRDefault="004B0883">
            <w:pPr>
              <w:widowControl w:val="0"/>
              <w:jc w:val="both"/>
              <w:rPr>
                <w:kern w:val="0"/>
                <w:sz w:val="24"/>
                <w:szCs w:val="24"/>
              </w:rPr>
            </w:pPr>
          </w:p>
        </w:tc>
        <w:tc>
          <w:tcPr>
            <w:tcW w:w="2268" w:type="dxa"/>
            <w:tcBorders>
              <w:top w:val="single" w:sz="4" w:space="0" w:color="auto"/>
            </w:tcBorders>
            <w:vAlign w:val="center"/>
          </w:tcPr>
          <w:p w14:paraId="7A8E5AA7" w14:textId="77777777" w:rsidR="004B0883" w:rsidRDefault="004B0883">
            <w:pPr>
              <w:widowControl w:val="0"/>
              <w:jc w:val="center"/>
              <w:rPr>
                <w:kern w:val="0"/>
                <w:sz w:val="24"/>
                <w:szCs w:val="24"/>
              </w:rPr>
            </w:pPr>
            <w:r>
              <w:rPr>
                <w:rFonts w:hint="eastAsia"/>
                <w:kern w:val="0"/>
                <w:sz w:val="24"/>
                <w:szCs w:val="24"/>
              </w:rPr>
              <w:t>马龙飞</w:t>
            </w:r>
          </w:p>
        </w:tc>
        <w:tc>
          <w:tcPr>
            <w:tcW w:w="567" w:type="dxa"/>
            <w:vAlign w:val="center"/>
          </w:tcPr>
          <w:p w14:paraId="4238BF04" w14:textId="77777777" w:rsidR="004B0883" w:rsidRDefault="004B0883">
            <w:pPr>
              <w:widowControl w:val="0"/>
              <w:spacing w:beforeLines="30" w:before="72" w:afterLines="30" w:after="72"/>
              <w:jc w:val="both"/>
              <w:rPr>
                <w:kern w:val="0"/>
                <w:sz w:val="24"/>
                <w:szCs w:val="24"/>
              </w:rPr>
            </w:pPr>
          </w:p>
        </w:tc>
      </w:tr>
      <w:tr w:rsidR="004B0883" w14:paraId="2E791599" w14:textId="77777777">
        <w:trPr>
          <w:jc w:val="center"/>
        </w:trPr>
        <w:tc>
          <w:tcPr>
            <w:tcW w:w="2268" w:type="dxa"/>
            <w:vAlign w:val="center"/>
          </w:tcPr>
          <w:p w14:paraId="50CC21DE" w14:textId="77777777" w:rsidR="004B0883" w:rsidRDefault="004B0883">
            <w:pPr>
              <w:widowControl w:val="0"/>
              <w:jc w:val="center"/>
              <w:rPr>
                <w:kern w:val="0"/>
                <w:sz w:val="24"/>
                <w:szCs w:val="24"/>
              </w:rPr>
            </w:pPr>
          </w:p>
        </w:tc>
        <w:tc>
          <w:tcPr>
            <w:tcW w:w="567" w:type="dxa"/>
            <w:vAlign w:val="center"/>
          </w:tcPr>
          <w:p w14:paraId="423C2A79" w14:textId="77777777" w:rsidR="004B0883" w:rsidRDefault="004B0883">
            <w:pPr>
              <w:widowControl w:val="0"/>
              <w:jc w:val="both"/>
              <w:rPr>
                <w:kern w:val="0"/>
                <w:sz w:val="24"/>
                <w:szCs w:val="24"/>
              </w:rPr>
            </w:pPr>
          </w:p>
        </w:tc>
        <w:tc>
          <w:tcPr>
            <w:tcW w:w="2268" w:type="dxa"/>
            <w:vAlign w:val="center"/>
          </w:tcPr>
          <w:p w14:paraId="19364238" w14:textId="77777777" w:rsidR="004B0883" w:rsidRDefault="004B0883">
            <w:pPr>
              <w:widowControl w:val="0"/>
              <w:jc w:val="center"/>
              <w:rPr>
                <w:kern w:val="0"/>
                <w:sz w:val="24"/>
                <w:szCs w:val="24"/>
              </w:rPr>
            </w:pPr>
          </w:p>
        </w:tc>
        <w:tc>
          <w:tcPr>
            <w:tcW w:w="567" w:type="dxa"/>
            <w:vAlign w:val="center"/>
          </w:tcPr>
          <w:p w14:paraId="51972526" w14:textId="77777777" w:rsidR="004B0883" w:rsidRDefault="004B0883">
            <w:pPr>
              <w:widowControl w:val="0"/>
              <w:spacing w:beforeLines="30" w:before="72" w:afterLines="30" w:after="72"/>
              <w:jc w:val="both"/>
              <w:rPr>
                <w:kern w:val="0"/>
                <w:sz w:val="24"/>
                <w:szCs w:val="24"/>
              </w:rPr>
            </w:pPr>
          </w:p>
        </w:tc>
      </w:tr>
      <w:tr w:rsidR="004B0883" w14:paraId="639EE162" w14:textId="77777777">
        <w:trPr>
          <w:jc w:val="center"/>
        </w:trPr>
        <w:tc>
          <w:tcPr>
            <w:tcW w:w="2268" w:type="dxa"/>
            <w:vAlign w:val="center"/>
          </w:tcPr>
          <w:p w14:paraId="763E4C8B" w14:textId="77777777" w:rsidR="004B0883" w:rsidRDefault="004B0883">
            <w:pPr>
              <w:widowControl w:val="0"/>
              <w:jc w:val="center"/>
              <w:rPr>
                <w:kern w:val="0"/>
                <w:sz w:val="24"/>
                <w:szCs w:val="24"/>
              </w:rPr>
            </w:pPr>
          </w:p>
        </w:tc>
        <w:tc>
          <w:tcPr>
            <w:tcW w:w="567" w:type="dxa"/>
            <w:vAlign w:val="center"/>
          </w:tcPr>
          <w:p w14:paraId="4F0B7904" w14:textId="77777777" w:rsidR="004B0883" w:rsidRDefault="004B0883">
            <w:pPr>
              <w:widowControl w:val="0"/>
              <w:jc w:val="both"/>
              <w:rPr>
                <w:kern w:val="0"/>
                <w:sz w:val="24"/>
                <w:szCs w:val="24"/>
              </w:rPr>
            </w:pPr>
          </w:p>
        </w:tc>
        <w:tc>
          <w:tcPr>
            <w:tcW w:w="2268" w:type="dxa"/>
            <w:vAlign w:val="center"/>
          </w:tcPr>
          <w:p w14:paraId="062E667F" w14:textId="77777777" w:rsidR="004B0883" w:rsidRDefault="004B0883">
            <w:pPr>
              <w:widowControl w:val="0"/>
              <w:jc w:val="center"/>
              <w:rPr>
                <w:kern w:val="0"/>
                <w:sz w:val="24"/>
                <w:szCs w:val="24"/>
              </w:rPr>
            </w:pPr>
          </w:p>
        </w:tc>
        <w:tc>
          <w:tcPr>
            <w:tcW w:w="567" w:type="dxa"/>
            <w:vAlign w:val="center"/>
          </w:tcPr>
          <w:p w14:paraId="3D1EDA06" w14:textId="77777777" w:rsidR="004B0883" w:rsidRDefault="004B0883">
            <w:pPr>
              <w:widowControl w:val="0"/>
              <w:spacing w:beforeLines="30" w:before="72" w:afterLines="30" w:after="72"/>
              <w:jc w:val="both"/>
              <w:rPr>
                <w:kern w:val="0"/>
                <w:sz w:val="24"/>
                <w:szCs w:val="24"/>
              </w:rPr>
            </w:pPr>
          </w:p>
        </w:tc>
      </w:tr>
      <w:tr w:rsidR="004B0883" w14:paraId="4CFB6A25" w14:textId="77777777">
        <w:trPr>
          <w:jc w:val="center"/>
        </w:trPr>
        <w:tc>
          <w:tcPr>
            <w:tcW w:w="2268" w:type="dxa"/>
            <w:vAlign w:val="center"/>
          </w:tcPr>
          <w:p w14:paraId="61395832" w14:textId="77777777" w:rsidR="004B0883" w:rsidRDefault="004B0883">
            <w:pPr>
              <w:widowControl w:val="0"/>
              <w:jc w:val="center"/>
              <w:rPr>
                <w:kern w:val="0"/>
                <w:sz w:val="24"/>
                <w:szCs w:val="24"/>
              </w:rPr>
            </w:pPr>
          </w:p>
        </w:tc>
        <w:tc>
          <w:tcPr>
            <w:tcW w:w="567" w:type="dxa"/>
            <w:vAlign w:val="center"/>
          </w:tcPr>
          <w:p w14:paraId="6FF97012" w14:textId="77777777" w:rsidR="004B0883" w:rsidRDefault="004B0883">
            <w:pPr>
              <w:widowControl w:val="0"/>
              <w:jc w:val="both"/>
              <w:rPr>
                <w:kern w:val="0"/>
                <w:sz w:val="24"/>
                <w:szCs w:val="24"/>
              </w:rPr>
            </w:pPr>
          </w:p>
        </w:tc>
        <w:tc>
          <w:tcPr>
            <w:tcW w:w="2268" w:type="dxa"/>
            <w:vAlign w:val="center"/>
          </w:tcPr>
          <w:p w14:paraId="4F4D50AF" w14:textId="77777777" w:rsidR="004B0883" w:rsidRDefault="004B0883">
            <w:pPr>
              <w:widowControl w:val="0"/>
              <w:jc w:val="center"/>
              <w:rPr>
                <w:kern w:val="0"/>
                <w:sz w:val="24"/>
                <w:szCs w:val="24"/>
              </w:rPr>
            </w:pPr>
          </w:p>
        </w:tc>
        <w:tc>
          <w:tcPr>
            <w:tcW w:w="567" w:type="dxa"/>
            <w:vAlign w:val="center"/>
          </w:tcPr>
          <w:p w14:paraId="641D2403" w14:textId="77777777" w:rsidR="004B0883" w:rsidRDefault="004B0883">
            <w:pPr>
              <w:widowControl w:val="0"/>
              <w:spacing w:beforeLines="30" w:before="72" w:afterLines="30" w:after="72"/>
              <w:jc w:val="both"/>
              <w:rPr>
                <w:kern w:val="0"/>
                <w:sz w:val="24"/>
                <w:szCs w:val="24"/>
              </w:rPr>
            </w:pPr>
          </w:p>
        </w:tc>
      </w:tr>
    </w:tbl>
    <w:p w14:paraId="6423EC39" w14:textId="77777777" w:rsidR="004B0883" w:rsidRDefault="004B0883">
      <w:pPr>
        <w:widowControl w:val="0"/>
        <w:spacing w:beforeLines="50" w:before="120" w:line="360" w:lineRule="auto"/>
        <w:ind w:firstLineChars="200" w:firstLine="480"/>
        <w:jc w:val="both"/>
        <w:rPr>
          <w:rFonts w:ascii="宋体" w:hAnsi="宋体"/>
          <w:kern w:val="0"/>
          <w:sz w:val="24"/>
          <w:szCs w:val="24"/>
        </w:rPr>
      </w:pPr>
    </w:p>
    <w:p w14:paraId="512A3E4B" w14:textId="77777777" w:rsidR="004B0883" w:rsidRDefault="004B0883">
      <w:pPr>
        <w:widowControl w:val="0"/>
        <w:spacing w:beforeLines="50" w:before="120" w:line="360" w:lineRule="auto"/>
        <w:ind w:firstLineChars="200" w:firstLine="482"/>
        <w:jc w:val="both"/>
        <w:rPr>
          <w:rFonts w:ascii="宋体" w:hAnsi="宋体"/>
          <w:b/>
          <w:bCs/>
          <w:kern w:val="0"/>
          <w:sz w:val="24"/>
          <w:szCs w:val="24"/>
        </w:rPr>
      </w:pPr>
      <w:r>
        <w:rPr>
          <w:rFonts w:ascii="宋体" w:hAnsi="宋体"/>
          <w:b/>
          <w:bCs/>
          <w:kern w:val="0"/>
          <w:sz w:val="24"/>
          <w:szCs w:val="24"/>
        </w:rPr>
        <w:t>律师事务所负责人：</w:t>
      </w:r>
    </w:p>
    <w:tbl>
      <w:tblPr>
        <w:tblW w:w="5670" w:type="dxa"/>
        <w:jc w:val="center"/>
        <w:tblInd w:w="0" w:type="dxa"/>
        <w:tblLayout w:type="fixed"/>
        <w:tblLook w:val="0000" w:firstRow="0" w:lastRow="0" w:firstColumn="0" w:lastColumn="0" w:noHBand="0" w:noVBand="0"/>
      </w:tblPr>
      <w:tblGrid>
        <w:gridCol w:w="2268"/>
        <w:gridCol w:w="1134"/>
        <w:gridCol w:w="2268"/>
      </w:tblGrid>
      <w:tr w:rsidR="004B0883" w14:paraId="15BF327D" w14:textId="77777777">
        <w:trPr>
          <w:jc w:val="center"/>
        </w:trPr>
        <w:tc>
          <w:tcPr>
            <w:tcW w:w="2268" w:type="dxa"/>
            <w:vAlign w:val="center"/>
          </w:tcPr>
          <w:p w14:paraId="5CA49930" w14:textId="77777777" w:rsidR="004B0883" w:rsidRDefault="004B0883">
            <w:pPr>
              <w:widowControl w:val="0"/>
              <w:spacing w:beforeLines="30" w:before="72" w:afterLines="30" w:after="72"/>
              <w:jc w:val="both"/>
              <w:rPr>
                <w:kern w:val="0"/>
                <w:sz w:val="24"/>
                <w:szCs w:val="24"/>
                <w:u w:val="single"/>
              </w:rPr>
            </w:pPr>
          </w:p>
        </w:tc>
        <w:tc>
          <w:tcPr>
            <w:tcW w:w="1134" w:type="dxa"/>
            <w:vAlign w:val="center"/>
          </w:tcPr>
          <w:p w14:paraId="3195AD64" w14:textId="77777777" w:rsidR="004B0883" w:rsidRDefault="004B0883">
            <w:pPr>
              <w:widowControl w:val="0"/>
              <w:spacing w:beforeLines="30" w:before="72" w:afterLines="30" w:after="72"/>
              <w:jc w:val="both"/>
              <w:rPr>
                <w:kern w:val="0"/>
                <w:sz w:val="24"/>
                <w:szCs w:val="24"/>
                <w:u w:val="single"/>
              </w:rPr>
            </w:pPr>
          </w:p>
        </w:tc>
        <w:tc>
          <w:tcPr>
            <w:tcW w:w="2268" w:type="dxa"/>
            <w:vAlign w:val="center"/>
          </w:tcPr>
          <w:p w14:paraId="56299ED5" w14:textId="77777777" w:rsidR="004B0883" w:rsidRDefault="004B0883">
            <w:pPr>
              <w:widowControl w:val="0"/>
              <w:spacing w:beforeLines="30" w:before="72" w:afterLines="30" w:after="72"/>
              <w:jc w:val="both"/>
              <w:rPr>
                <w:kern w:val="0"/>
                <w:sz w:val="24"/>
                <w:szCs w:val="24"/>
                <w:u w:val="single"/>
              </w:rPr>
            </w:pPr>
          </w:p>
        </w:tc>
      </w:tr>
      <w:tr w:rsidR="004B0883" w14:paraId="11BBBA36" w14:textId="77777777">
        <w:trPr>
          <w:jc w:val="center"/>
        </w:trPr>
        <w:tc>
          <w:tcPr>
            <w:tcW w:w="2268" w:type="dxa"/>
            <w:tcBorders>
              <w:bottom w:val="single" w:sz="4" w:space="0" w:color="auto"/>
            </w:tcBorders>
            <w:vAlign w:val="center"/>
          </w:tcPr>
          <w:p w14:paraId="6300A878" w14:textId="77777777" w:rsidR="004B0883" w:rsidRDefault="004B0883">
            <w:pPr>
              <w:widowControl w:val="0"/>
              <w:spacing w:beforeLines="30" w:before="72" w:afterLines="30" w:after="72"/>
              <w:jc w:val="both"/>
              <w:rPr>
                <w:kern w:val="0"/>
                <w:sz w:val="24"/>
                <w:szCs w:val="24"/>
                <w:u w:val="single"/>
              </w:rPr>
            </w:pPr>
          </w:p>
        </w:tc>
        <w:tc>
          <w:tcPr>
            <w:tcW w:w="1134" w:type="dxa"/>
            <w:vAlign w:val="center"/>
          </w:tcPr>
          <w:p w14:paraId="2B4BF33D" w14:textId="77777777" w:rsidR="004B0883" w:rsidRDefault="004B0883">
            <w:pPr>
              <w:widowControl w:val="0"/>
              <w:spacing w:beforeLines="30" w:before="72" w:afterLines="30" w:after="72"/>
              <w:jc w:val="both"/>
              <w:rPr>
                <w:kern w:val="0"/>
                <w:sz w:val="24"/>
                <w:szCs w:val="24"/>
                <w:u w:val="single"/>
              </w:rPr>
            </w:pPr>
          </w:p>
        </w:tc>
        <w:tc>
          <w:tcPr>
            <w:tcW w:w="2268" w:type="dxa"/>
            <w:vAlign w:val="center"/>
          </w:tcPr>
          <w:p w14:paraId="1BBF375D" w14:textId="77777777" w:rsidR="004B0883" w:rsidRDefault="004B0883">
            <w:pPr>
              <w:widowControl w:val="0"/>
              <w:spacing w:beforeLines="30" w:before="72" w:afterLines="30" w:after="72"/>
              <w:jc w:val="both"/>
              <w:rPr>
                <w:kern w:val="0"/>
                <w:sz w:val="24"/>
                <w:szCs w:val="24"/>
                <w:u w:val="single"/>
              </w:rPr>
            </w:pPr>
          </w:p>
        </w:tc>
      </w:tr>
      <w:tr w:rsidR="004B0883" w14:paraId="71674508" w14:textId="77777777">
        <w:trPr>
          <w:jc w:val="center"/>
        </w:trPr>
        <w:tc>
          <w:tcPr>
            <w:tcW w:w="2268" w:type="dxa"/>
            <w:tcBorders>
              <w:top w:val="single" w:sz="4" w:space="0" w:color="auto"/>
            </w:tcBorders>
            <w:vAlign w:val="center"/>
          </w:tcPr>
          <w:p w14:paraId="69E371C5" w14:textId="77777777" w:rsidR="004B0883" w:rsidRDefault="004B0883">
            <w:pPr>
              <w:widowControl w:val="0"/>
              <w:jc w:val="center"/>
              <w:rPr>
                <w:kern w:val="0"/>
                <w:sz w:val="24"/>
                <w:szCs w:val="24"/>
              </w:rPr>
            </w:pPr>
            <w:r>
              <w:rPr>
                <w:rFonts w:ascii="宋体" w:hAnsi="宋体" w:cs="宋体" w:hint="eastAsia"/>
                <w:sz w:val="24"/>
              </w:rPr>
              <w:t>刘克江</w:t>
            </w:r>
          </w:p>
        </w:tc>
        <w:tc>
          <w:tcPr>
            <w:tcW w:w="1134" w:type="dxa"/>
            <w:vAlign w:val="center"/>
          </w:tcPr>
          <w:p w14:paraId="55908FB2" w14:textId="77777777" w:rsidR="004B0883" w:rsidRDefault="004B0883">
            <w:pPr>
              <w:widowControl w:val="0"/>
              <w:spacing w:beforeLines="30" w:before="72" w:afterLines="30" w:after="72"/>
              <w:jc w:val="both"/>
              <w:rPr>
                <w:kern w:val="0"/>
                <w:sz w:val="24"/>
                <w:szCs w:val="24"/>
                <w:u w:val="single"/>
              </w:rPr>
            </w:pPr>
          </w:p>
        </w:tc>
        <w:tc>
          <w:tcPr>
            <w:tcW w:w="2268" w:type="dxa"/>
            <w:vAlign w:val="center"/>
          </w:tcPr>
          <w:p w14:paraId="25E5868B" w14:textId="77777777" w:rsidR="004B0883" w:rsidRDefault="004B0883">
            <w:pPr>
              <w:widowControl w:val="0"/>
              <w:spacing w:beforeLines="30" w:before="72" w:afterLines="30" w:after="72"/>
              <w:jc w:val="both"/>
              <w:rPr>
                <w:kern w:val="0"/>
                <w:sz w:val="24"/>
                <w:szCs w:val="24"/>
                <w:u w:val="single"/>
              </w:rPr>
            </w:pPr>
          </w:p>
        </w:tc>
      </w:tr>
    </w:tbl>
    <w:p w14:paraId="21D02923" w14:textId="77777777" w:rsidR="004B0883" w:rsidRDefault="004B0883">
      <w:pPr>
        <w:widowControl w:val="0"/>
        <w:spacing w:before="156"/>
        <w:ind w:firstLine="480"/>
        <w:jc w:val="both"/>
      </w:pPr>
    </w:p>
    <w:p w14:paraId="49C6E67A" w14:textId="77777777" w:rsidR="004B0883" w:rsidRDefault="004B0883">
      <w:pPr>
        <w:widowControl w:val="0"/>
        <w:spacing w:before="156"/>
        <w:ind w:firstLine="480"/>
        <w:jc w:val="both"/>
      </w:pPr>
    </w:p>
    <w:p w14:paraId="6E84AA16" w14:textId="77777777" w:rsidR="004B0883" w:rsidRDefault="004B0883">
      <w:pPr>
        <w:widowControl w:val="0"/>
        <w:spacing w:before="156"/>
        <w:ind w:firstLine="480"/>
        <w:jc w:val="both"/>
      </w:pPr>
    </w:p>
    <w:p w14:paraId="727E110A" w14:textId="77777777" w:rsidR="004B0883" w:rsidRDefault="004B0883">
      <w:pPr>
        <w:spacing w:beforeLines="50" w:before="120" w:afterLines="50" w:after="120" w:line="360" w:lineRule="auto"/>
        <w:ind w:firstLineChars="200" w:firstLine="480"/>
        <w:jc w:val="right"/>
        <w:rPr>
          <w:sz w:val="24"/>
          <w:szCs w:val="22"/>
        </w:rPr>
      </w:pPr>
      <w:r>
        <w:rPr>
          <w:rFonts w:hint="eastAsia"/>
          <w:sz w:val="24"/>
          <w:szCs w:val="22"/>
        </w:rPr>
        <w:t>北京德和衡律师事务所</w:t>
      </w:r>
    </w:p>
    <w:p w14:paraId="6960A0FF" w14:textId="77777777" w:rsidR="004B0883" w:rsidRDefault="004B0883">
      <w:pPr>
        <w:spacing w:beforeLines="50" w:before="120" w:afterLines="50" w:after="120" w:line="360" w:lineRule="auto"/>
        <w:ind w:firstLineChars="200" w:firstLine="480"/>
        <w:jc w:val="right"/>
        <w:rPr>
          <w:rFonts w:hint="eastAsia"/>
          <w:szCs w:val="20"/>
        </w:rPr>
      </w:pPr>
      <w:r>
        <w:rPr>
          <w:rFonts w:hint="eastAsia"/>
          <w:sz w:val="24"/>
          <w:szCs w:val="22"/>
        </w:rPr>
        <w:t>年</w:t>
      </w:r>
      <w:r>
        <w:rPr>
          <w:rFonts w:hint="eastAsia"/>
          <w:sz w:val="24"/>
          <w:szCs w:val="22"/>
        </w:rPr>
        <w:t xml:space="preserve">     </w:t>
      </w:r>
      <w:r>
        <w:rPr>
          <w:rFonts w:hint="eastAsia"/>
          <w:sz w:val="24"/>
          <w:szCs w:val="22"/>
        </w:rPr>
        <w:t>月</w:t>
      </w:r>
      <w:r>
        <w:rPr>
          <w:rFonts w:hint="eastAsia"/>
          <w:sz w:val="24"/>
          <w:szCs w:val="22"/>
        </w:rPr>
        <w:t xml:space="preserve">     </w:t>
      </w:r>
      <w:r>
        <w:rPr>
          <w:rFonts w:hint="eastAsia"/>
          <w:sz w:val="24"/>
          <w:szCs w:val="22"/>
        </w:rPr>
        <w:t>日</w:t>
      </w:r>
    </w:p>
    <w:p w14:paraId="3B0D33EC" w14:textId="77777777" w:rsidR="004B0883" w:rsidRDefault="004B0883">
      <w:pPr>
        <w:rPr>
          <w:rFonts w:hint="eastAsia"/>
        </w:rPr>
      </w:pPr>
    </w:p>
    <w:p w14:paraId="048DC40C" w14:textId="77777777" w:rsidR="004B0883" w:rsidRDefault="004B0883">
      <w:pPr>
        <w:pStyle w:val="002"/>
        <w:spacing w:before="120" w:after="120"/>
        <w:rPr>
          <w:rFonts w:hint="eastAsia"/>
        </w:rPr>
      </w:pPr>
      <w:r>
        <w:rPr>
          <w:rFonts w:hint="eastAsia"/>
        </w:rPr>
        <w:br w:type="page"/>
      </w:r>
      <w:bookmarkStart w:id="462" w:name="_Toc152320837"/>
      <w:r>
        <w:rPr>
          <w:rFonts w:hint="eastAsia"/>
        </w:rPr>
        <w:t>五、审计机构声明</w:t>
      </w:r>
      <w:bookmarkEnd w:id="462"/>
    </w:p>
    <w:p w14:paraId="4DA6B5A2" w14:textId="780613C3" w:rsidR="004B0883" w:rsidRDefault="0090540C">
      <w:pPr>
        <w:pStyle w:val="005"/>
        <w:spacing w:before="120" w:after="120"/>
        <w:ind w:firstLine="480"/>
        <w:rPr>
          <w:rFonts w:hint="eastAsia"/>
          <w:szCs w:val="24"/>
        </w:rPr>
      </w:pPr>
      <w:r>
        <w:rPr>
          <w:noProof/>
        </w:rPr>
        <w:drawing>
          <wp:anchor distT="0" distB="0" distL="114300" distR="114300" simplePos="0" relativeHeight="251663872" behindDoc="0" locked="0" layoutInCell="0" allowOverlap="1" wp14:anchorId="6EF47478" wp14:editId="366FBF2E">
            <wp:simplePos x="0" y="0"/>
            <wp:positionH relativeFrom="page">
              <wp:posOffset>1270</wp:posOffset>
            </wp:positionH>
            <wp:positionV relativeFrom="page">
              <wp:posOffset>835660</wp:posOffset>
            </wp:positionV>
            <wp:extent cx="7555230" cy="8718550"/>
            <wp:effectExtent l="0" t="0" r="0" b="0"/>
            <wp:wrapNone/>
            <wp:docPr id="1826773787"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a:extLst>
                        <a:ext uri="{28A0092B-C50C-407E-A947-70E740481C1C}">
                          <a14:useLocalDpi xmlns:a14="http://schemas.microsoft.com/office/drawing/2010/main" val="0"/>
                        </a:ext>
                      </a:extLst>
                    </a:blip>
                    <a:srcRect t="7817" b="10622"/>
                    <a:stretch>
                      <a:fillRect/>
                    </a:stretch>
                  </pic:blipFill>
                  <pic:spPr bwMode="auto">
                    <a:xfrm>
                      <a:off x="0" y="0"/>
                      <a:ext cx="7555230" cy="871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0883">
        <w:rPr>
          <w:rFonts w:hint="eastAsia"/>
          <w:szCs w:val="24"/>
        </w:rPr>
        <w:t>本所及签字注册会计师已阅读募集说明书，确认募集说明书与本所出具的审计报告等文件不存在矛盾。本所及签字注册会计师对发行人在募集说明书中引用的审计报告等文件的内容无异议，确认募集说明书不因引用上述内容而出现虚假记载、误导性陈述或重大遗漏，并承担相应的法律责任。</w:t>
      </w:r>
    </w:p>
    <w:p w14:paraId="0F92E750" w14:textId="77777777" w:rsidR="004B0883" w:rsidRDefault="004B0883">
      <w:pPr>
        <w:spacing w:beforeLines="50" w:before="120" w:afterLines="50" w:after="120" w:line="360" w:lineRule="auto"/>
        <w:ind w:firstLineChars="200" w:firstLine="480"/>
        <w:rPr>
          <w:rFonts w:hint="eastAsia"/>
          <w:sz w:val="24"/>
          <w:szCs w:val="24"/>
        </w:rPr>
      </w:pPr>
    </w:p>
    <w:p w14:paraId="11C0AB47" w14:textId="77777777" w:rsidR="004B0883" w:rsidRDefault="004B0883">
      <w:pPr>
        <w:spacing w:beforeLines="50" w:before="120" w:afterLines="50" w:after="120" w:line="360" w:lineRule="auto"/>
        <w:rPr>
          <w:rFonts w:hint="eastAsia"/>
          <w:sz w:val="24"/>
          <w:szCs w:val="24"/>
        </w:rPr>
      </w:pPr>
    </w:p>
    <w:tbl>
      <w:tblPr>
        <w:tblW w:w="5000" w:type="pct"/>
        <w:tblInd w:w="0" w:type="dxa"/>
        <w:tblLook w:val="0000" w:firstRow="0" w:lastRow="0" w:firstColumn="0" w:lastColumn="0" w:noHBand="0" w:noVBand="0"/>
      </w:tblPr>
      <w:tblGrid>
        <w:gridCol w:w="2335"/>
        <w:gridCol w:w="1102"/>
        <w:gridCol w:w="1288"/>
        <w:gridCol w:w="65"/>
        <w:gridCol w:w="242"/>
        <w:gridCol w:w="133"/>
        <w:gridCol w:w="1158"/>
        <w:gridCol w:w="191"/>
        <w:gridCol w:w="109"/>
        <w:gridCol w:w="190"/>
        <w:gridCol w:w="161"/>
        <w:gridCol w:w="939"/>
        <w:gridCol w:w="107"/>
        <w:gridCol w:w="189"/>
        <w:gridCol w:w="101"/>
      </w:tblGrid>
      <w:tr w:rsidR="004B0883" w14:paraId="30985F94" w14:textId="77777777">
        <w:trPr>
          <w:gridAfter w:val="4"/>
          <w:wAfter w:w="1369" w:type="dxa"/>
          <w:trHeight w:val="389"/>
        </w:trPr>
        <w:tc>
          <w:tcPr>
            <w:tcW w:w="2403" w:type="dxa"/>
            <w:shd w:val="clear" w:color="auto" w:fill="FFFFFF"/>
            <w:vAlign w:val="center"/>
          </w:tcPr>
          <w:p w14:paraId="277773A6" w14:textId="77777777" w:rsidR="004B0883" w:rsidRDefault="004B0883">
            <w:pPr>
              <w:spacing w:beforeLines="50" w:before="120"/>
              <w:rPr>
                <w:rFonts w:hint="eastAsia"/>
                <w:sz w:val="24"/>
                <w:szCs w:val="24"/>
              </w:rPr>
            </w:pPr>
          </w:p>
        </w:tc>
        <w:tc>
          <w:tcPr>
            <w:tcW w:w="1138" w:type="dxa"/>
            <w:shd w:val="clear" w:color="auto" w:fill="FFFFFF"/>
            <w:vAlign w:val="center"/>
          </w:tcPr>
          <w:p w14:paraId="2C9C6B44" w14:textId="77777777" w:rsidR="004B0883" w:rsidRDefault="004B0883">
            <w:pPr>
              <w:spacing w:beforeLines="50" w:before="120"/>
              <w:rPr>
                <w:rFonts w:hint="eastAsia"/>
                <w:sz w:val="24"/>
                <w:szCs w:val="24"/>
              </w:rPr>
            </w:pPr>
          </w:p>
        </w:tc>
        <w:tc>
          <w:tcPr>
            <w:tcW w:w="1322" w:type="dxa"/>
            <w:shd w:val="clear" w:color="auto" w:fill="FFFFFF"/>
          </w:tcPr>
          <w:p w14:paraId="07CBDFE1" w14:textId="77777777" w:rsidR="004B0883" w:rsidRDefault="004B0883">
            <w:pPr>
              <w:spacing w:beforeLines="50" w:before="120"/>
              <w:jc w:val="center"/>
              <w:rPr>
                <w:rFonts w:hint="eastAsia"/>
                <w:sz w:val="24"/>
                <w:szCs w:val="24"/>
              </w:rPr>
            </w:pPr>
          </w:p>
        </w:tc>
        <w:tc>
          <w:tcPr>
            <w:tcW w:w="311" w:type="dxa"/>
            <w:gridSpan w:val="2"/>
            <w:shd w:val="clear" w:color="auto" w:fill="FFFFFF"/>
          </w:tcPr>
          <w:p w14:paraId="33587BDA" w14:textId="77777777" w:rsidR="004B0883" w:rsidRDefault="004B0883">
            <w:pPr>
              <w:spacing w:beforeLines="50" w:before="120"/>
              <w:jc w:val="center"/>
              <w:rPr>
                <w:rFonts w:hint="eastAsia"/>
                <w:sz w:val="24"/>
                <w:szCs w:val="24"/>
              </w:rPr>
            </w:pPr>
          </w:p>
        </w:tc>
        <w:tc>
          <w:tcPr>
            <w:tcW w:w="1325" w:type="dxa"/>
            <w:gridSpan w:val="2"/>
            <w:shd w:val="clear" w:color="auto" w:fill="FFFFFF"/>
            <w:vAlign w:val="center"/>
          </w:tcPr>
          <w:p w14:paraId="64942E1D" w14:textId="77777777" w:rsidR="004B0883" w:rsidRDefault="004B0883">
            <w:pPr>
              <w:spacing w:beforeLines="50" w:before="120"/>
              <w:jc w:val="center"/>
              <w:rPr>
                <w:rFonts w:hint="eastAsia"/>
                <w:sz w:val="24"/>
                <w:szCs w:val="24"/>
              </w:rPr>
            </w:pPr>
          </w:p>
        </w:tc>
        <w:tc>
          <w:tcPr>
            <w:tcW w:w="658" w:type="dxa"/>
            <w:gridSpan w:val="4"/>
            <w:shd w:val="clear" w:color="auto" w:fill="FFFFFF"/>
            <w:vAlign w:val="center"/>
          </w:tcPr>
          <w:p w14:paraId="23B9F929" w14:textId="77777777" w:rsidR="004B0883" w:rsidRDefault="004B0883">
            <w:pPr>
              <w:spacing w:beforeLines="50" w:before="120"/>
              <w:rPr>
                <w:rFonts w:hint="eastAsia"/>
                <w:sz w:val="24"/>
                <w:szCs w:val="24"/>
              </w:rPr>
            </w:pPr>
          </w:p>
        </w:tc>
      </w:tr>
      <w:tr w:rsidR="004B0883" w14:paraId="61649BBC" w14:textId="77777777">
        <w:trPr>
          <w:gridAfter w:val="1"/>
          <w:wAfter w:w="104" w:type="dxa"/>
          <w:trHeight w:val="331"/>
        </w:trPr>
        <w:tc>
          <w:tcPr>
            <w:tcW w:w="2403" w:type="dxa"/>
            <w:shd w:val="clear" w:color="auto" w:fill="FFFFFF"/>
            <w:vAlign w:val="center"/>
          </w:tcPr>
          <w:p w14:paraId="609787C1" w14:textId="77777777" w:rsidR="004B0883" w:rsidRDefault="004B0883">
            <w:pPr>
              <w:spacing w:beforeLines="50" w:before="120"/>
              <w:rPr>
                <w:rFonts w:hint="eastAsia"/>
                <w:sz w:val="24"/>
                <w:szCs w:val="24"/>
              </w:rPr>
            </w:pPr>
            <w:r>
              <w:rPr>
                <w:rFonts w:hint="eastAsia"/>
                <w:sz w:val="24"/>
                <w:szCs w:val="24"/>
              </w:rPr>
              <w:t>签字注册会计师：</w:t>
            </w:r>
          </w:p>
        </w:tc>
        <w:tc>
          <w:tcPr>
            <w:tcW w:w="1138" w:type="dxa"/>
            <w:shd w:val="clear" w:color="auto" w:fill="FFFFFF"/>
            <w:vAlign w:val="center"/>
          </w:tcPr>
          <w:p w14:paraId="303FF2E5" w14:textId="77777777" w:rsidR="004B0883" w:rsidRDefault="004B0883">
            <w:pPr>
              <w:spacing w:beforeLines="50" w:before="120"/>
              <w:rPr>
                <w:rFonts w:hint="eastAsia"/>
                <w:sz w:val="24"/>
                <w:szCs w:val="24"/>
              </w:rPr>
            </w:pPr>
          </w:p>
        </w:tc>
        <w:tc>
          <w:tcPr>
            <w:tcW w:w="1322" w:type="dxa"/>
            <w:tcBorders>
              <w:bottom w:val="single" w:sz="4" w:space="0" w:color="auto"/>
            </w:tcBorders>
            <w:shd w:val="clear" w:color="auto" w:fill="FFFFFF"/>
            <w:vAlign w:val="center"/>
          </w:tcPr>
          <w:p w14:paraId="205617BB" w14:textId="77777777" w:rsidR="004B0883" w:rsidRDefault="004B0883">
            <w:pPr>
              <w:spacing w:beforeLines="50" w:before="120"/>
              <w:rPr>
                <w:rFonts w:hint="eastAsia"/>
                <w:sz w:val="24"/>
                <w:szCs w:val="24"/>
              </w:rPr>
            </w:pPr>
          </w:p>
        </w:tc>
        <w:tc>
          <w:tcPr>
            <w:tcW w:w="311" w:type="dxa"/>
            <w:gridSpan w:val="2"/>
            <w:shd w:val="clear" w:color="auto" w:fill="FFFFFF"/>
          </w:tcPr>
          <w:p w14:paraId="21D920ED" w14:textId="77777777" w:rsidR="004B0883" w:rsidRDefault="004B0883">
            <w:pPr>
              <w:spacing w:beforeLines="50" w:before="120"/>
              <w:rPr>
                <w:rFonts w:hint="eastAsia"/>
                <w:sz w:val="24"/>
                <w:szCs w:val="24"/>
              </w:rPr>
            </w:pPr>
          </w:p>
        </w:tc>
        <w:tc>
          <w:tcPr>
            <w:tcW w:w="1325" w:type="dxa"/>
            <w:gridSpan w:val="2"/>
            <w:tcBorders>
              <w:bottom w:val="single" w:sz="4" w:space="0" w:color="auto"/>
            </w:tcBorders>
            <w:shd w:val="clear" w:color="auto" w:fill="FFFFFF"/>
            <w:vAlign w:val="center"/>
          </w:tcPr>
          <w:p w14:paraId="21D0DC39" w14:textId="77777777" w:rsidR="004B0883" w:rsidRDefault="004B0883">
            <w:pPr>
              <w:spacing w:beforeLines="50" w:before="120"/>
              <w:rPr>
                <w:rFonts w:hint="eastAsia"/>
                <w:sz w:val="24"/>
                <w:szCs w:val="24"/>
              </w:rPr>
            </w:pPr>
          </w:p>
        </w:tc>
        <w:tc>
          <w:tcPr>
            <w:tcW w:w="303" w:type="dxa"/>
            <w:gridSpan w:val="2"/>
            <w:shd w:val="clear" w:color="auto" w:fill="FFFFFF"/>
            <w:vAlign w:val="center"/>
          </w:tcPr>
          <w:p w14:paraId="649D2C0E" w14:textId="77777777" w:rsidR="004B0883" w:rsidRDefault="004B0883">
            <w:pPr>
              <w:spacing w:beforeLines="50" w:before="120"/>
              <w:rPr>
                <w:rFonts w:hint="eastAsia"/>
                <w:sz w:val="24"/>
                <w:szCs w:val="24"/>
              </w:rPr>
            </w:pPr>
          </w:p>
        </w:tc>
        <w:tc>
          <w:tcPr>
            <w:tcW w:w="1324" w:type="dxa"/>
            <w:gridSpan w:val="3"/>
            <w:tcBorders>
              <w:bottom w:val="single" w:sz="4" w:space="0" w:color="auto"/>
            </w:tcBorders>
            <w:shd w:val="clear" w:color="auto" w:fill="FFFFFF"/>
            <w:vAlign w:val="center"/>
          </w:tcPr>
          <w:p w14:paraId="7CAFFB82" w14:textId="77777777" w:rsidR="004B0883" w:rsidRDefault="004B0883">
            <w:pPr>
              <w:spacing w:beforeLines="50" w:before="120"/>
              <w:rPr>
                <w:rFonts w:hint="eastAsia"/>
                <w:sz w:val="24"/>
                <w:szCs w:val="24"/>
              </w:rPr>
            </w:pPr>
          </w:p>
        </w:tc>
        <w:tc>
          <w:tcPr>
            <w:tcW w:w="296" w:type="dxa"/>
            <w:gridSpan w:val="2"/>
            <w:shd w:val="clear" w:color="auto" w:fill="FFFFFF"/>
            <w:vAlign w:val="center"/>
          </w:tcPr>
          <w:p w14:paraId="0650B60C" w14:textId="77777777" w:rsidR="004B0883" w:rsidRDefault="004B0883">
            <w:pPr>
              <w:spacing w:beforeLines="50" w:before="120"/>
              <w:rPr>
                <w:rFonts w:hint="eastAsia"/>
                <w:sz w:val="24"/>
                <w:szCs w:val="24"/>
              </w:rPr>
            </w:pPr>
          </w:p>
        </w:tc>
      </w:tr>
      <w:tr w:rsidR="004B0883" w14:paraId="201EDBA9" w14:textId="77777777">
        <w:trPr>
          <w:gridAfter w:val="1"/>
          <w:wAfter w:w="104" w:type="dxa"/>
          <w:trHeight w:val="331"/>
        </w:trPr>
        <w:tc>
          <w:tcPr>
            <w:tcW w:w="2403" w:type="dxa"/>
            <w:shd w:val="clear" w:color="auto" w:fill="FFFFFF"/>
            <w:vAlign w:val="center"/>
          </w:tcPr>
          <w:p w14:paraId="6BB77008" w14:textId="77777777" w:rsidR="004B0883" w:rsidRDefault="004B0883">
            <w:pPr>
              <w:spacing w:beforeLines="50" w:before="120"/>
              <w:rPr>
                <w:rFonts w:hint="eastAsia"/>
                <w:sz w:val="24"/>
                <w:szCs w:val="24"/>
              </w:rPr>
            </w:pPr>
          </w:p>
        </w:tc>
        <w:tc>
          <w:tcPr>
            <w:tcW w:w="1138" w:type="dxa"/>
            <w:shd w:val="clear" w:color="auto" w:fill="FFFFFF"/>
            <w:vAlign w:val="center"/>
          </w:tcPr>
          <w:p w14:paraId="7751E2F5" w14:textId="77777777" w:rsidR="004B0883" w:rsidRDefault="004B0883">
            <w:pPr>
              <w:spacing w:beforeLines="50" w:before="120"/>
              <w:rPr>
                <w:rFonts w:hint="eastAsia"/>
                <w:sz w:val="24"/>
                <w:szCs w:val="24"/>
              </w:rPr>
            </w:pPr>
          </w:p>
        </w:tc>
        <w:tc>
          <w:tcPr>
            <w:tcW w:w="1322" w:type="dxa"/>
            <w:tcBorders>
              <w:top w:val="single" w:sz="4" w:space="0" w:color="auto"/>
            </w:tcBorders>
            <w:shd w:val="clear" w:color="auto" w:fill="FFFFFF"/>
            <w:vAlign w:val="center"/>
          </w:tcPr>
          <w:p w14:paraId="1B7CBB2E" w14:textId="77777777" w:rsidR="004B0883" w:rsidRDefault="004B0883">
            <w:pPr>
              <w:spacing w:beforeLines="50" w:before="120"/>
              <w:jc w:val="center"/>
              <w:rPr>
                <w:sz w:val="24"/>
                <w:szCs w:val="24"/>
              </w:rPr>
            </w:pPr>
            <w:r>
              <w:rPr>
                <w:rFonts w:hint="eastAsia"/>
                <w:sz w:val="24"/>
                <w:szCs w:val="24"/>
              </w:rPr>
              <w:t>刘学伟</w:t>
            </w:r>
          </w:p>
        </w:tc>
        <w:tc>
          <w:tcPr>
            <w:tcW w:w="311" w:type="dxa"/>
            <w:gridSpan w:val="2"/>
            <w:shd w:val="clear" w:color="auto" w:fill="FFFFFF"/>
          </w:tcPr>
          <w:p w14:paraId="1B259606" w14:textId="77777777" w:rsidR="004B0883" w:rsidRDefault="004B0883">
            <w:pPr>
              <w:spacing w:beforeLines="50" w:before="120"/>
              <w:jc w:val="center"/>
              <w:rPr>
                <w:sz w:val="24"/>
                <w:szCs w:val="24"/>
              </w:rPr>
            </w:pPr>
          </w:p>
        </w:tc>
        <w:tc>
          <w:tcPr>
            <w:tcW w:w="1325" w:type="dxa"/>
            <w:gridSpan w:val="2"/>
            <w:tcBorders>
              <w:top w:val="single" w:sz="4" w:space="0" w:color="auto"/>
            </w:tcBorders>
            <w:shd w:val="clear" w:color="auto" w:fill="FFFFFF"/>
            <w:vAlign w:val="center"/>
          </w:tcPr>
          <w:p w14:paraId="0BF93482" w14:textId="77777777" w:rsidR="004B0883" w:rsidRDefault="004B0883">
            <w:pPr>
              <w:spacing w:beforeLines="50" w:before="120"/>
              <w:jc w:val="center"/>
              <w:rPr>
                <w:sz w:val="24"/>
                <w:szCs w:val="24"/>
              </w:rPr>
            </w:pPr>
            <w:r>
              <w:rPr>
                <w:rFonts w:hint="eastAsia"/>
                <w:sz w:val="24"/>
                <w:szCs w:val="24"/>
              </w:rPr>
              <w:t>迟</w:t>
            </w:r>
            <w:r>
              <w:rPr>
                <w:rFonts w:hint="eastAsia"/>
                <w:sz w:val="24"/>
                <w:szCs w:val="24"/>
              </w:rPr>
              <w:t xml:space="preserve"> </w:t>
            </w:r>
            <w:r>
              <w:rPr>
                <w:sz w:val="24"/>
                <w:szCs w:val="24"/>
              </w:rPr>
              <w:t xml:space="preserve">   </w:t>
            </w:r>
            <w:r>
              <w:rPr>
                <w:rFonts w:hint="eastAsia"/>
                <w:sz w:val="24"/>
                <w:szCs w:val="24"/>
              </w:rPr>
              <w:t>慰</w:t>
            </w:r>
          </w:p>
        </w:tc>
        <w:tc>
          <w:tcPr>
            <w:tcW w:w="303" w:type="dxa"/>
            <w:gridSpan w:val="2"/>
            <w:shd w:val="clear" w:color="auto" w:fill="FFFFFF"/>
            <w:vAlign w:val="center"/>
          </w:tcPr>
          <w:p w14:paraId="726007E9" w14:textId="77777777" w:rsidR="004B0883" w:rsidRDefault="004B0883">
            <w:pPr>
              <w:spacing w:beforeLines="50" w:before="120"/>
              <w:rPr>
                <w:sz w:val="24"/>
                <w:szCs w:val="24"/>
              </w:rPr>
            </w:pPr>
          </w:p>
        </w:tc>
        <w:tc>
          <w:tcPr>
            <w:tcW w:w="1324" w:type="dxa"/>
            <w:gridSpan w:val="3"/>
            <w:shd w:val="clear" w:color="auto" w:fill="FFFFFF"/>
            <w:vAlign w:val="center"/>
          </w:tcPr>
          <w:p w14:paraId="691C67AF" w14:textId="77777777" w:rsidR="004B0883" w:rsidRDefault="004B0883">
            <w:pPr>
              <w:spacing w:beforeLines="50" w:before="120"/>
              <w:jc w:val="center"/>
              <w:rPr>
                <w:sz w:val="24"/>
                <w:szCs w:val="24"/>
              </w:rPr>
            </w:pPr>
            <w:r>
              <w:rPr>
                <w:rFonts w:hint="eastAsia"/>
                <w:sz w:val="24"/>
                <w:szCs w:val="24"/>
              </w:rPr>
              <w:t>李胜</w:t>
            </w:r>
          </w:p>
        </w:tc>
        <w:tc>
          <w:tcPr>
            <w:tcW w:w="296" w:type="dxa"/>
            <w:gridSpan w:val="2"/>
            <w:shd w:val="clear" w:color="auto" w:fill="FFFFFF"/>
            <w:vAlign w:val="center"/>
          </w:tcPr>
          <w:p w14:paraId="01C2901A" w14:textId="77777777" w:rsidR="004B0883" w:rsidRDefault="004B0883">
            <w:pPr>
              <w:spacing w:beforeLines="50" w:before="120"/>
              <w:jc w:val="center"/>
              <w:rPr>
                <w:rFonts w:hint="eastAsia"/>
                <w:sz w:val="24"/>
                <w:szCs w:val="24"/>
              </w:rPr>
            </w:pPr>
          </w:p>
        </w:tc>
      </w:tr>
      <w:tr w:rsidR="004B0883" w14:paraId="4ECAD59F" w14:textId="77777777">
        <w:trPr>
          <w:gridAfter w:val="1"/>
          <w:wAfter w:w="104" w:type="dxa"/>
          <w:trHeight w:val="389"/>
        </w:trPr>
        <w:tc>
          <w:tcPr>
            <w:tcW w:w="2403" w:type="dxa"/>
            <w:shd w:val="clear" w:color="auto" w:fill="FFFFFF"/>
            <w:vAlign w:val="center"/>
          </w:tcPr>
          <w:p w14:paraId="5ADDAE4C" w14:textId="77777777" w:rsidR="004B0883" w:rsidRDefault="004B0883">
            <w:pPr>
              <w:spacing w:beforeLines="50" w:before="120"/>
              <w:rPr>
                <w:rFonts w:hint="eastAsia"/>
                <w:sz w:val="24"/>
                <w:szCs w:val="24"/>
              </w:rPr>
            </w:pPr>
          </w:p>
          <w:p w14:paraId="05748A88" w14:textId="77777777" w:rsidR="004B0883" w:rsidRDefault="004B0883">
            <w:pPr>
              <w:spacing w:beforeLines="50" w:before="120"/>
              <w:rPr>
                <w:rFonts w:hint="eastAsia"/>
                <w:sz w:val="24"/>
                <w:szCs w:val="24"/>
              </w:rPr>
            </w:pPr>
          </w:p>
          <w:p w14:paraId="62F32C9D" w14:textId="77777777" w:rsidR="004B0883" w:rsidRDefault="004B0883">
            <w:pPr>
              <w:spacing w:beforeLines="50" w:before="120"/>
              <w:rPr>
                <w:rFonts w:hint="eastAsia"/>
                <w:sz w:val="24"/>
                <w:szCs w:val="24"/>
              </w:rPr>
            </w:pPr>
          </w:p>
        </w:tc>
        <w:tc>
          <w:tcPr>
            <w:tcW w:w="1138" w:type="dxa"/>
            <w:shd w:val="clear" w:color="auto" w:fill="FFFFFF"/>
            <w:vAlign w:val="center"/>
          </w:tcPr>
          <w:p w14:paraId="26037F7E" w14:textId="77777777" w:rsidR="004B0883" w:rsidRDefault="004B0883">
            <w:pPr>
              <w:spacing w:beforeLines="50" w:before="120"/>
              <w:rPr>
                <w:rFonts w:hint="eastAsia"/>
                <w:sz w:val="24"/>
                <w:szCs w:val="24"/>
              </w:rPr>
            </w:pPr>
          </w:p>
        </w:tc>
        <w:tc>
          <w:tcPr>
            <w:tcW w:w="1322" w:type="dxa"/>
            <w:shd w:val="clear" w:color="auto" w:fill="FFFFFF"/>
          </w:tcPr>
          <w:p w14:paraId="6F3ED34C" w14:textId="77777777" w:rsidR="004B0883" w:rsidRDefault="004B0883">
            <w:pPr>
              <w:spacing w:beforeLines="50" w:before="120"/>
              <w:jc w:val="center"/>
              <w:rPr>
                <w:rFonts w:hint="eastAsia"/>
                <w:sz w:val="24"/>
                <w:szCs w:val="24"/>
              </w:rPr>
            </w:pPr>
          </w:p>
        </w:tc>
        <w:tc>
          <w:tcPr>
            <w:tcW w:w="311" w:type="dxa"/>
            <w:gridSpan w:val="2"/>
            <w:shd w:val="clear" w:color="auto" w:fill="FFFFFF"/>
          </w:tcPr>
          <w:p w14:paraId="583CF23C" w14:textId="77777777" w:rsidR="004B0883" w:rsidRDefault="004B0883">
            <w:pPr>
              <w:spacing w:beforeLines="50" w:before="120"/>
              <w:jc w:val="center"/>
              <w:rPr>
                <w:rFonts w:hint="eastAsia"/>
                <w:sz w:val="24"/>
                <w:szCs w:val="24"/>
              </w:rPr>
            </w:pPr>
          </w:p>
        </w:tc>
        <w:tc>
          <w:tcPr>
            <w:tcW w:w="1325" w:type="dxa"/>
            <w:gridSpan w:val="2"/>
            <w:shd w:val="clear" w:color="auto" w:fill="FFFFFF"/>
            <w:vAlign w:val="center"/>
          </w:tcPr>
          <w:p w14:paraId="3525C9BB" w14:textId="77777777" w:rsidR="004B0883" w:rsidRDefault="004B0883">
            <w:pPr>
              <w:spacing w:beforeLines="50" w:before="120"/>
              <w:jc w:val="center"/>
              <w:rPr>
                <w:rFonts w:hint="eastAsia"/>
                <w:sz w:val="24"/>
                <w:szCs w:val="24"/>
              </w:rPr>
            </w:pPr>
          </w:p>
        </w:tc>
        <w:tc>
          <w:tcPr>
            <w:tcW w:w="303" w:type="dxa"/>
            <w:gridSpan w:val="2"/>
            <w:shd w:val="clear" w:color="auto" w:fill="FFFFFF"/>
            <w:vAlign w:val="center"/>
          </w:tcPr>
          <w:p w14:paraId="05B8CDEC" w14:textId="77777777" w:rsidR="004B0883" w:rsidRDefault="004B0883">
            <w:pPr>
              <w:spacing w:beforeLines="50" w:before="120"/>
              <w:rPr>
                <w:rFonts w:hint="eastAsia"/>
                <w:sz w:val="24"/>
                <w:szCs w:val="24"/>
              </w:rPr>
            </w:pPr>
          </w:p>
        </w:tc>
        <w:tc>
          <w:tcPr>
            <w:tcW w:w="1324" w:type="dxa"/>
            <w:gridSpan w:val="3"/>
            <w:shd w:val="clear" w:color="auto" w:fill="FFFFFF"/>
            <w:vAlign w:val="center"/>
          </w:tcPr>
          <w:p w14:paraId="1DC0990C" w14:textId="77777777" w:rsidR="004B0883" w:rsidRDefault="004B0883">
            <w:pPr>
              <w:spacing w:beforeLines="50" w:before="120"/>
              <w:jc w:val="center"/>
              <w:rPr>
                <w:rFonts w:hint="eastAsia"/>
                <w:sz w:val="18"/>
                <w:szCs w:val="18"/>
              </w:rPr>
            </w:pPr>
          </w:p>
        </w:tc>
        <w:tc>
          <w:tcPr>
            <w:tcW w:w="296" w:type="dxa"/>
            <w:gridSpan w:val="2"/>
            <w:shd w:val="clear" w:color="auto" w:fill="FFFFFF"/>
            <w:vAlign w:val="center"/>
          </w:tcPr>
          <w:p w14:paraId="00BC31B0" w14:textId="77777777" w:rsidR="004B0883" w:rsidRDefault="004B0883">
            <w:pPr>
              <w:spacing w:beforeLines="50" w:before="120"/>
              <w:jc w:val="center"/>
              <w:rPr>
                <w:rFonts w:hint="eastAsia"/>
                <w:sz w:val="24"/>
                <w:szCs w:val="24"/>
              </w:rPr>
            </w:pPr>
          </w:p>
        </w:tc>
      </w:tr>
      <w:tr w:rsidR="004B0883" w14:paraId="1BD2E174" w14:textId="77777777">
        <w:trPr>
          <w:trHeight w:val="609"/>
        </w:trPr>
        <w:tc>
          <w:tcPr>
            <w:tcW w:w="2403" w:type="dxa"/>
            <w:shd w:val="clear" w:color="auto" w:fill="FFFFFF"/>
            <w:vAlign w:val="center"/>
          </w:tcPr>
          <w:p w14:paraId="567226CD" w14:textId="77777777" w:rsidR="004B0883" w:rsidRDefault="004B0883">
            <w:pPr>
              <w:spacing w:beforeLines="50" w:before="120"/>
              <w:rPr>
                <w:rFonts w:hint="eastAsia"/>
                <w:sz w:val="24"/>
                <w:szCs w:val="24"/>
              </w:rPr>
            </w:pPr>
            <w:r>
              <w:rPr>
                <w:rFonts w:hint="eastAsia"/>
                <w:sz w:val="24"/>
                <w:szCs w:val="24"/>
              </w:rPr>
              <w:t>会计师事务所负责人：</w:t>
            </w:r>
          </w:p>
        </w:tc>
        <w:tc>
          <w:tcPr>
            <w:tcW w:w="1138" w:type="dxa"/>
            <w:shd w:val="clear" w:color="auto" w:fill="FFFFFF"/>
            <w:vAlign w:val="center"/>
          </w:tcPr>
          <w:p w14:paraId="74477D4E" w14:textId="77777777" w:rsidR="004B0883" w:rsidRDefault="004B0883">
            <w:pPr>
              <w:spacing w:beforeLines="50" w:before="120"/>
              <w:rPr>
                <w:rFonts w:hint="eastAsia"/>
                <w:sz w:val="24"/>
                <w:szCs w:val="24"/>
              </w:rPr>
            </w:pPr>
          </w:p>
        </w:tc>
        <w:tc>
          <w:tcPr>
            <w:tcW w:w="1387" w:type="dxa"/>
            <w:gridSpan w:val="2"/>
            <w:shd w:val="clear" w:color="auto" w:fill="FFFFFF"/>
          </w:tcPr>
          <w:p w14:paraId="759F1CAF" w14:textId="77777777" w:rsidR="004B0883" w:rsidRDefault="004B0883">
            <w:pPr>
              <w:spacing w:beforeLines="50" w:before="120"/>
              <w:jc w:val="center"/>
              <w:rPr>
                <w:rFonts w:hint="eastAsia"/>
                <w:sz w:val="24"/>
                <w:szCs w:val="24"/>
              </w:rPr>
            </w:pPr>
          </w:p>
        </w:tc>
        <w:tc>
          <w:tcPr>
            <w:tcW w:w="381" w:type="dxa"/>
            <w:gridSpan w:val="2"/>
            <w:shd w:val="clear" w:color="auto" w:fill="FFFFFF"/>
          </w:tcPr>
          <w:p w14:paraId="741C4F72" w14:textId="77777777" w:rsidR="004B0883" w:rsidRDefault="004B0883">
            <w:pPr>
              <w:spacing w:beforeLines="50" w:before="120"/>
              <w:jc w:val="center"/>
              <w:rPr>
                <w:rFonts w:hint="eastAsia"/>
                <w:sz w:val="24"/>
                <w:szCs w:val="24"/>
              </w:rPr>
            </w:pPr>
          </w:p>
        </w:tc>
        <w:tc>
          <w:tcPr>
            <w:tcW w:w="1383" w:type="dxa"/>
            <w:gridSpan w:val="2"/>
            <w:tcBorders>
              <w:bottom w:val="single" w:sz="4" w:space="0" w:color="auto"/>
            </w:tcBorders>
            <w:shd w:val="clear" w:color="auto" w:fill="FFFFFF"/>
            <w:vAlign w:val="center"/>
          </w:tcPr>
          <w:p w14:paraId="7D20BB93" w14:textId="77777777" w:rsidR="004B0883" w:rsidRDefault="004B0883">
            <w:pPr>
              <w:spacing w:beforeLines="50" w:before="120"/>
              <w:jc w:val="center"/>
              <w:rPr>
                <w:rFonts w:hint="eastAsia"/>
                <w:sz w:val="24"/>
                <w:szCs w:val="24"/>
              </w:rPr>
            </w:pPr>
          </w:p>
        </w:tc>
        <w:tc>
          <w:tcPr>
            <w:tcW w:w="302" w:type="dxa"/>
            <w:gridSpan w:val="2"/>
            <w:shd w:val="clear" w:color="auto" w:fill="FFFFFF"/>
            <w:vAlign w:val="center"/>
          </w:tcPr>
          <w:p w14:paraId="6BC8FDA5" w14:textId="77777777" w:rsidR="004B0883" w:rsidRDefault="004B0883">
            <w:pPr>
              <w:spacing w:beforeLines="50" w:before="120"/>
              <w:rPr>
                <w:rFonts w:hint="eastAsia"/>
                <w:sz w:val="24"/>
                <w:szCs w:val="24"/>
              </w:rPr>
            </w:pPr>
          </w:p>
        </w:tc>
        <w:tc>
          <w:tcPr>
            <w:tcW w:w="1239" w:type="dxa"/>
            <w:gridSpan w:val="3"/>
            <w:shd w:val="clear" w:color="auto" w:fill="FFFFFF"/>
            <w:vAlign w:val="center"/>
          </w:tcPr>
          <w:p w14:paraId="18B79DE7" w14:textId="77777777" w:rsidR="004B0883" w:rsidRDefault="004B0883">
            <w:pPr>
              <w:spacing w:beforeLines="50" w:before="120"/>
              <w:jc w:val="center"/>
              <w:rPr>
                <w:rFonts w:hint="eastAsia"/>
                <w:sz w:val="24"/>
                <w:szCs w:val="24"/>
              </w:rPr>
            </w:pPr>
          </w:p>
        </w:tc>
        <w:tc>
          <w:tcPr>
            <w:tcW w:w="293" w:type="dxa"/>
            <w:gridSpan w:val="2"/>
            <w:shd w:val="clear" w:color="auto" w:fill="FFFFFF"/>
            <w:vAlign w:val="center"/>
          </w:tcPr>
          <w:p w14:paraId="57315D3D" w14:textId="77777777" w:rsidR="004B0883" w:rsidRDefault="004B0883">
            <w:pPr>
              <w:spacing w:beforeLines="50" w:before="120"/>
              <w:jc w:val="center"/>
              <w:rPr>
                <w:rFonts w:hint="eastAsia"/>
                <w:sz w:val="24"/>
                <w:szCs w:val="24"/>
              </w:rPr>
            </w:pPr>
          </w:p>
        </w:tc>
      </w:tr>
      <w:tr w:rsidR="004B0883" w14:paraId="2AFE3FB6" w14:textId="77777777">
        <w:trPr>
          <w:trHeight w:val="609"/>
        </w:trPr>
        <w:tc>
          <w:tcPr>
            <w:tcW w:w="2403" w:type="dxa"/>
            <w:shd w:val="clear" w:color="auto" w:fill="FFFFFF"/>
            <w:vAlign w:val="center"/>
          </w:tcPr>
          <w:p w14:paraId="041FCF06" w14:textId="77777777" w:rsidR="004B0883" w:rsidRDefault="004B0883">
            <w:pPr>
              <w:spacing w:beforeLines="50" w:before="120"/>
              <w:rPr>
                <w:rFonts w:hint="eastAsia"/>
                <w:sz w:val="24"/>
                <w:szCs w:val="24"/>
              </w:rPr>
            </w:pPr>
          </w:p>
        </w:tc>
        <w:tc>
          <w:tcPr>
            <w:tcW w:w="1138" w:type="dxa"/>
            <w:shd w:val="clear" w:color="auto" w:fill="FFFFFF"/>
            <w:vAlign w:val="center"/>
          </w:tcPr>
          <w:p w14:paraId="5355CF47" w14:textId="77777777" w:rsidR="004B0883" w:rsidRDefault="004B0883">
            <w:pPr>
              <w:spacing w:beforeLines="50" w:before="120"/>
              <w:rPr>
                <w:rFonts w:hint="eastAsia"/>
                <w:sz w:val="24"/>
                <w:szCs w:val="24"/>
              </w:rPr>
            </w:pPr>
          </w:p>
        </w:tc>
        <w:tc>
          <w:tcPr>
            <w:tcW w:w="1387" w:type="dxa"/>
            <w:gridSpan w:val="2"/>
            <w:shd w:val="clear" w:color="auto" w:fill="FFFFFF"/>
          </w:tcPr>
          <w:p w14:paraId="1DFDB62E" w14:textId="77777777" w:rsidR="004B0883" w:rsidRDefault="004B0883">
            <w:pPr>
              <w:spacing w:beforeLines="50" w:before="120"/>
              <w:jc w:val="center"/>
              <w:rPr>
                <w:rFonts w:hint="eastAsia"/>
                <w:sz w:val="24"/>
                <w:szCs w:val="24"/>
              </w:rPr>
            </w:pPr>
          </w:p>
        </w:tc>
        <w:tc>
          <w:tcPr>
            <w:tcW w:w="381" w:type="dxa"/>
            <w:gridSpan w:val="2"/>
            <w:shd w:val="clear" w:color="auto" w:fill="FFFFFF"/>
          </w:tcPr>
          <w:p w14:paraId="2942BEF4" w14:textId="77777777" w:rsidR="004B0883" w:rsidRDefault="004B0883">
            <w:pPr>
              <w:spacing w:beforeLines="50" w:before="120"/>
              <w:jc w:val="center"/>
              <w:rPr>
                <w:rFonts w:hint="eastAsia"/>
                <w:sz w:val="24"/>
                <w:szCs w:val="24"/>
              </w:rPr>
            </w:pPr>
          </w:p>
        </w:tc>
        <w:tc>
          <w:tcPr>
            <w:tcW w:w="1383" w:type="dxa"/>
            <w:gridSpan w:val="2"/>
            <w:shd w:val="clear" w:color="auto" w:fill="FFFFFF"/>
            <w:vAlign w:val="center"/>
          </w:tcPr>
          <w:p w14:paraId="00A471FB" w14:textId="77777777" w:rsidR="004B0883" w:rsidRDefault="004B0883">
            <w:pPr>
              <w:spacing w:beforeLines="50" w:before="120"/>
              <w:jc w:val="center"/>
              <w:rPr>
                <w:rFonts w:hint="eastAsia"/>
                <w:sz w:val="24"/>
                <w:szCs w:val="24"/>
              </w:rPr>
            </w:pPr>
            <w:r>
              <w:rPr>
                <w:rFonts w:hint="eastAsia"/>
                <w:sz w:val="24"/>
                <w:szCs w:val="24"/>
              </w:rPr>
              <w:t>王</w:t>
            </w:r>
            <w:r>
              <w:rPr>
                <w:rFonts w:hint="eastAsia"/>
                <w:sz w:val="24"/>
                <w:szCs w:val="24"/>
              </w:rPr>
              <w:t xml:space="preserve"> </w:t>
            </w:r>
            <w:r>
              <w:rPr>
                <w:sz w:val="24"/>
                <w:szCs w:val="24"/>
              </w:rPr>
              <w:t xml:space="preserve">   </w:t>
            </w:r>
            <w:r>
              <w:rPr>
                <w:rFonts w:hint="eastAsia"/>
                <w:sz w:val="24"/>
                <w:szCs w:val="24"/>
              </w:rPr>
              <w:t>晖</w:t>
            </w:r>
          </w:p>
        </w:tc>
        <w:tc>
          <w:tcPr>
            <w:tcW w:w="302" w:type="dxa"/>
            <w:gridSpan w:val="2"/>
            <w:shd w:val="clear" w:color="auto" w:fill="FFFFFF"/>
            <w:vAlign w:val="center"/>
          </w:tcPr>
          <w:p w14:paraId="3FB56DC5" w14:textId="77777777" w:rsidR="004B0883" w:rsidRDefault="004B0883">
            <w:pPr>
              <w:spacing w:beforeLines="50" w:before="120"/>
              <w:rPr>
                <w:rFonts w:hint="eastAsia"/>
                <w:sz w:val="24"/>
                <w:szCs w:val="24"/>
              </w:rPr>
            </w:pPr>
          </w:p>
        </w:tc>
        <w:tc>
          <w:tcPr>
            <w:tcW w:w="1239" w:type="dxa"/>
            <w:gridSpan w:val="3"/>
            <w:shd w:val="clear" w:color="auto" w:fill="FFFFFF"/>
            <w:vAlign w:val="center"/>
          </w:tcPr>
          <w:p w14:paraId="2E40F244" w14:textId="77777777" w:rsidR="004B0883" w:rsidRDefault="004B0883">
            <w:pPr>
              <w:spacing w:beforeLines="50" w:before="120"/>
              <w:jc w:val="center"/>
              <w:rPr>
                <w:rFonts w:hint="eastAsia"/>
                <w:sz w:val="24"/>
                <w:szCs w:val="24"/>
              </w:rPr>
            </w:pPr>
          </w:p>
        </w:tc>
        <w:tc>
          <w:tcPr>
            <w:tcW w:w="293" w:type="dxa"/>
            <w:gridSpan w:val="2"/>
            <w:shd w:val="clear" w:color="auto" w:fill="FFFFFF"/>
            <w:vAlign w:val="center"/>
          </w:tcPr>
          <w:p w14:paraId="0C9AD586" w14:textId="77777777" w:rsidR="004B0883" w:rsidRDefault="004B0883">
            <w:pPr>
              <w:spacing w:beforeLines="50" w:before="120"/>
              <w:jc w:val="center"/>
              <w:rPr>
                <w:rFonts w:hint="eastAsia"/>
                <w:sz w:val="24"/>
                <w:szCs w:val="24"/>
              </w:rPr>
            </w:pPr>
          </w:p>
        </w:tc>
      </w:tr>
      <w:tr w:rsidR="004B0883" w14:paraId="3EF9189D" w14:textId="77777777">
        <w:trPr>
          <w:trHeight w:val="609"/>
        </w:trPr>
        <w:tc>
          <w:tcPr>
            <w:tcW w:w="2403" w:type="dxa"/>
            <w:shd w:val="clear" w:color="auto" w:fill="FFFFFF"/>
            <w:vAlign w:val="center"/>
          </w:tcPr>
          <w:p w14:paraId="76DEEE46" w14:textId="77777777" w:rsidR="004B0883" w:rsidRDefault="004B0883">
            <w:pPr>
              <w:spacing w:beforeLines="50" w:before="120"/>
              <w:rPr>
                <w:rFonts w:hint="eastAsia"/>
                <w:sz w:val="24"/>
                <w:szCs w:val="24"/>
              </w:rPr>
            </w:pPr>
          </w:p>
        </w:tc>
        <w:tc>
          <w:tcPr>
            <w:tcW w:w="1138" w:type="dxa"/>
            <w:shd w:val="clear" w:color="auto" w:fill="FFFFFF"/>
            <w:vAlign w:val="center"/>
          </w:tcPr>
          <w:p w14:paraId="6167E65E" w14:textId="77777777" w:rsidR="004B0883" w:rsidRDefault="004B0883">
            <w:pPr>
              <w:spacing w:beforeLines="50" w:before="120"/>
              <w:rPr>
                <w:rFonts w:hint="eastAsia"/>
                <w:sz w:val="24"/>
                <w:szCs w:val="24"/>
              </w:rPr>
            </w:pPr>
          </w:p>
        </w:tc>
        <w:tc>
          <w:tcPr>
            <w:tcW w:w="1387" w:type="dxa"/>
            <w:gridSpan w:val="2"/>
            <w:shd w:val="clear" w:color="auto" w:fill="FFFFFF"/>
          </w:tcPr>
          <w:p w14:paraId="69FD9690" w14:textId="77777777" w:rsidR="004B0883" w:rsidRDefault="004B0883">
            <w:pPr>
              <w:spacing w:beforeLines="50" w:before="120"/>
              <w:jc w:val="center"/>
              <w:rPr>
                <w:rFonts w:hint="eastAsia"/>
                <w:sz w:val="24"/>
                <w:szCs w:val="24"/>
              </w:rPr>
            </w:pPr>
          </w:p>
        </w:tc>
        <w:tc>
          <w:tcPr>
            <w:tcW w:w="381" w:type="dxa"/>
            <w:gridSpan w:val="2"/>
            <w:shd w:val="clear" w:color="auto" w:fill="FFFFFF"/>
          </w:tcPr>
          <w:p w14:paraId="4085FA2A" w14:textId="77777777" w:rsidR="004B0883" w:rsidRDefault="004B0883">
            <w:pPr>
              <w:spacing w:beforeLines="50" w:before="120"/>
              <w:jc w:val="center"/>
              <w:rPr>
                <w:rFonts w:hint="eastAsia"/>
                <w:sz w:val="24"/>
                <w:szCs w:val="24"/>
              </w:rPr>
            </w:pPr>
          </w:p>
        </w:tc>
        <w:tc>
          <w:tcPr>
            <w:tcW w:w="1383" w:type="dxa"/>
            <w:gridSpan w:val="2"/>
            <w:shd w:val="clear" w:color="auto" w:fill="FFFFFF"/>
            <w:vAlign w:val="center"/>
          </w:tcPr>
          <w:p w14:paraId="6EDAEDA7" w14:textId="77777777" w:rsidR="004B0883" w:rsidRDefault="004B0883">
            <w:pPr>
              <w:spacing w:beforeLines="50" w:before="120"/>
              <w:jc w:val="center"/>
              <w:rPr>
                <w:rFonts w:hint="eastAsia"/>
                <w:sz w:val="24"/>
                <w:szCs w:val="24"/>
              </w:rPr>
            </w:pPr>
          </w:p>
        </w:tc>
        <w:tc>
          <w:tcPr>
            <w:tcW w:w="302" w:type="dxa"/>
            <w:gridSpan w:val="2"/>
            <w:shd w:val="clear" w:color="auto" w:fill="FFFFFF"/>
            <w:vAlign w:val="center"/>
          </w:tcPr>
          <w:p w14:paraId="5FDC1C0C" w14:textId="77777777" w:rsidR="004B0883" w:rsidRDefault="004B0883">
            <w:pPr>
              <w:spacing w:beforeLines="50" w:before="120"/>
              <w:rPr>
                <w:rFonts w:hint="eastAsia"/>
                <w:sz w:val="24"/>
                <w:szCs w:val="24"/>
              </w:rPr>
            </w:pPr>
          </w:p>
        </w:tc>
        <w:tc>
          <w:tcPr>
            <w:tcW w:w="1239" w:type="dxa"/>
            <w:gridSpan w:val="3"/>
            <w:shd w:val="clear" w:color="auto" w:fill="FFFFFF"/>
            <w:vAlign w:val="center"/>
          </w:tcPr>
          <w:p w14:paraId="1A2CE648" w14:textId="77777777" w:rsidR="004B0883" w:rsidRDefault="004B0883">
            <w:pPr>
              <w:spacing w:beforeLines="50" w:before="120"/>
              <w:jc w:val="center"/>
              <w:rPr>
                <w:rFonts w:hint="eastAsia"/>
                <w:sz w:val="24"/>
                <w:szCs w:val="24"/>
              </w:rPr>
            </w:pPr>
          </w:p>
        </w:tc>
        <w:tc>
          <w:tcPr>
            <w:tcW w:w="293" w:type="dxa"/>
            <w:gridSpan w:val="2"/>
            <w:shd w:val="clear" w:color="auto" w:fill="FFFFFF"/>
            <w:vAlign w:val="center"/>
          </w:tcPr>
          <w:p w14:paraId="478B1D8A" w14:textId="77777777" w:rsidR="004B0883" w:rsidRDefault="004B0883">
            <w:pPr>
              <w:spacing w:beforeLines="50" w:before="120"/>
              <w:jc w:val="center"/>
              <w:rPr>
                <w:rFonts w:hint="eastAsia"/>
                <w:sz w:val="24"/>
                <w:szCs w:val="24"/>
              </w:rPr>
            </w:pPr>
          </w:p>
        </w:tc>
      </w:tr>
    </w:tbl>
    <w:p w14:paraId="753224EF" w14:textId="77777777" w:rsidR="004B0883" w:rsidRDefault="004B0883">
      <w:pPr>
        <w:spacing w:beforeLines="50" w:before="120" w:afterLines="50" w:after="120" w:line="360" w:lineRule="auto"/>
        <w:rPr>
          <w:rFonts w:hint="eastAsia"/>
          <w:sz w:val="24"/>
          <w:szCs w:val="24"/>
        </w:rPr>
      </w:pPr>
    </w:p>
    <w:p w14:paraId="1FBFE63A" w14:textId="77777777" w:rsidR="004B0883" w:rsidRDefault="004B0883">
      <w:pPr>
        <w:spacing w:beforeLines="50" w:before="120" w:afterLines="50" w:after="120" w:line="360" w:lineRule="auto"/>
        <w:ind w:firstLineChars="200" w:firstLine="480"/>
        <w:rPr>
          <w:rFonts w:hint="eastAsia"/>
          <w:sz w:val="24"/>
          <w:szCs w:val="24"/>
        </w:rPr>
      </w:pPr>
    </w:p>
    <w:p w14:paraId="1FF00D39" w14:textId="77777777" w:rsidR="004B0883" w:rsidRDefault="004B0883">
      <w:pPr>
        <w:spacing w:beforeLines="50" w:before="120" w:afterLines="50" w:after="120" w:line="360" w:lineRule="auto"/>
        <w:ind w:firstLineChars="200" w:firstLine="480"/>
        <w:rPr>
          <w:rFonts w:hint="eastAsia"/>
          <w:sz w:val="24"/>
          <w:szCs w:val="24"/>
        </w:rPr>
      </w:pPr>
    </w:p>
    <w:p w14:paraId="5738087D" w14:textId="77777777" w:rsidR="004B0883" w:rsidRDefault="004B0883">
      <w:pPr>
        <w:spacing w:beforeLines="50" w:before="120" w:afterLines="50" w:after="120" w:line="360" w:lineRule="auto"/>
        <w:ind w:firstLineChars="200" w:firstLine="480"/>
        <w:jc w:val="right"/>
        <w:rPr>
          <w:rFonts w:hint="eastAsia"/>
          <w:sz w:val="24"/>
          <w:szCs w:val="24"/>
        </w:rPr>
      </w:pPr>
      <w:r>
        <w:rPr>
          <w:rFonts w:hint="eastAsia"/>
          <w:sz w:val="24"/>
          <w:szCs w:val="24"/>
        </w:rPr>
        <w:t>和信会计师事务所（特殊普通合伙）</w:t>
      </w:r>
    </w:p>
    <w:p w14:paraId="1BAA99E0" w14:textId="77777777" w:rsidR="004B0883" w:rsidRDefault="004B0883">
      <w:pPr>
        <w:spacing w:beforeLines="50" w:before="120" w:afterLines="50" w:after="120" w:line="360" w:lineRule="auto"/>
        <w:ind w:firstLineChars="200" w:firstLine="480"/>
        <w:jc w:val="right"/>
        <w:rPr>
          <w:rFonts w:hint="eastAsia"/>
          <w:sz w:val="24"/>
          <w:szCs w:val="24"/>
        </w:rPr>
      </w:pPr>
      <w:r>
        <w:rPr>
          <w:rFonts w:hint="eastAsia"/>
          <w:sz w:val="24"/>
          <w:szCs w:val="24"/>
        </w:rPr>
        <w:t>年</w:t>
      </w:r>
      <w:r>
        <w:rPr>
          <w:rFonts w:hint="eastAsia"/>
          <w:sz w:val="24"/>
          <w:szCs w:val="24"/>
        </w:rPr>
        <w:t xml:space="preserve">   </w:t>
      </w:r>
      <w:r>
        <w:rPr>
          <w:sz w:val="24"/>
          <w:szCs w:val="24"/>
        </w:rPr>
        <w:t xml:space="preserve"> </w:t>
      </w:r>
      <w:r>
        <w:rPr>
          <w:rFonts w:hint="eastAsia"/>
          <w:sz w:val="24"/>
          <w:szCs w:val="24"/>
        </w:rPr>
        <w:t xml:space="preserve"> </w:t>
      </w:r>
      <w:r>
        <w:rPr>
          <w:rFonts w:hint="eastAsia"/>
          <w:sz w:val="24"/>
          <w:szCs w:val="24"/>
        </w:rPr>
        <w:t>月</w:t>
      </w:r>
      <w:r>
        <w:rPr>
          <w:rFonts w:hint="eastAsia"/>
          <w:sz w:val="24"/>
          <w:szCs w:val="24"/>
        </w:rPr>
        <w:t xml:space="preserve">   </w:t>
      </w:r>
      <w:r>
        <w:rPr>
          <w:sz w:val="24"/>
          <w:szCs w:val="24"/>
        </w:rPr>
        <w:t xml:space="preserve"> </w:t>
      </w:r>
      <w:r>
        <w:rPr>
          <w:rFonts w:hint="eastAsia"/>
          <w:sz w:val="24"/>
          <w:szCs w:val="24"/>
        </w:rPr>
        <w:t xml:space="preserve"> </w:t>
      </w:r>
      <w:r>
        <w:rPr>
          <w:rFonts w:hint="eastAsia"/>
          <w:sz w:val="24"/>
          <w:szCs w:val="24"/>
        </w:rPr>
        <w:t>日</w:t>
      </w:r>
    </w:p>
    <w:p w14:paraId="7ADDE084" w14:textId="77777777" w:rsidR="004B0883" w:rsidRDefault="004B0883">
      <w:pPr>
        <w:pStyle w:val="002"/>
        <w:spacing w:before="120" w:after="120"/>
        <w:rPr>
          <w:rFonts w:hint="eastAsia"/>
        </w:rPr>
      </w:pPr>
      <w:bookmarkStart w:id="463" w:name="_Toc42001376"/>
      <w:bookmarkEnd w:id="449"/>
      <w:r>
        <w:br w:type="page"/>
      </w:r>
      <w:bookmarkStart w:id="464" w:name="_Toc152320838"/>
      <w:r>
        <w:rPr>
          <w:rFonts w:hint="eastAsia"/>
        </w:rPr>
        <w:t>六、资信评级机构声明</w:t>
      </w:r>
      <w:bookmarkEnd w:id="463"/>
      <w:bookmarkEnd w:id="464"/>
    </w:p>
    <w:p w14:paraId="2CFB265C" w14:textId="0A6566BE" w:rsidR="004B0883" w:rsidRDefault="0090540C">
      <w:pPr>
        <w:pStyle w:val="005"/>
        <w:spacing w:before="120" w:after="120"/>
        <w:ind w:firstLine="480"/>
        <w:rPr>
          <w:rFonts w:hint="eastAsia"/>
        </w:rPr>
      </w:pPr>
      <w:r>
        <w:rPr>
          <w:noProof/>
        </w:rPr>
        <w:drawing>
          <wp:anchor distT="0" distB="0" distL="114300" distR="114300" simplePos="0" relativeHeight="251652608" behindDoc="0" locked="0" layoutInCell="0" allowOverlap="1" wp14:anchorId="33251E00" wp14:editId="61CFAE5F">
            <wp:simplePos x="0" y="0"/>
            <wp:positionH relativeFrom="page">
              <wp:posOffset>0</wp:posOffset>
            </wp:positionH>
            <wp:positionV relativeFrom="page">
              <wp:posOffset>859155</wp:posOffset>
            </wp:positionV>
            <wp:extent cx="7559040" cy="7837805"/>
            <wp:effectExtent l="0" t="0" r="0" b="0"/>
            <wp:wrapNone/>
            <wp:docPr id="252211730"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0" cstate="print">
                      <a:extLst>
                        <a:ext uri="{28A0092B-C50C-407E-A947-70E740481C1C}">
                          <a14:useLocalDpi xmlns:a14="http://schemas.microsoft.com/office/drawing/2010/main" val="0"/>
                        </a:ext>
                      </a:extLst>
                    </a:blip>
                    <a:srcRect t="9117" b="17426"/>
                    <a:stretch>
                      <a:fillRect/>
                    </a:stretch>
                  </pic:blipFill>
                  <pic:spPr bwMode="auto">
                    <a:xfrm>
                      <a:off x="0" y="0"/>
                      <a:ext cx="7559040" cy="783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4B0883">
        <w:rPr>
          <w:rFonts w:hint="eastAsia"/>
        </w:rPr>
        <w:t>本机构及签字的评级人员已阅读募集说明书，确认募集说明书与本机构出具的资信评级报告不存在矛盾。本机构及签字的评级人员对发行人在募集说明书中引用的资信评级报告的内容无异议，确认募集说明书不致因所引用内容出现虚假记载、误导性陈述或重大遗漏，并对真实性、准确性和完整性承担相应的法律责任。</w:t>
      </w:r>
    </w:p>
    <w:p w14:paraId="39FB5B62" w14:textId="77777777" w:rsidR="004B0883" w:rsidRDefault="004B0883">
      <w:pPr>
        <w:spacing w:beforeLines="50" w:before="120" w:afterLines="50" w:after="120" w:line="360" w:lineRule="auto"/>
        <w:ind w:firstLineChars="200" w:firstLine="420"/>
        <w:rPr>
          <w:rFonts w:hint="eastAsia"/>
          <w:szCs w:val="20"/>
        </w:rPr>
      </w:pPr>
    </w:p>
    <w:tbl>
      <w:tblPr>
        <w:tblW w:w="5000" w:type="pct"/>
        <w:tblInd w:w="0" w:type="dxa"/>
        <w:tblLook w:val="0000" w:firstRow="0" w:lastRow="0" w:firstColumn="0" w:lastColumn="0" w:noHBand="0" w:noVBand="0"/>
      </w:tblPr>
      <w:tblGrid>
        <w:gridCol w:w="3698"/>
        <w:gridCol w:w="273"/>
        <w:gridCol w:w="1945"/>
        <w:gridCol w:w="345"/>
        <w:gridCol w:w="484"/>
        <w:gridCol w:w="1238"/>
        <w:gridCol w:w="327"/>
      </w:tblGrid>
      <w:tr w:rsidR="004B0883" w14:paraId="0A7D1D3F" w14:textId="77777777">
        <w:trPr>
          <w:gridAfter w:val="2"/>
          <w:wAfter w:w="1604" w:type="dxa"/>
          <w:trHeight w:val="389"/>
        </w:trPr>
        <w:tc>
          <w:tcPr>
            <w:tcW w:w="3806" w:type="dxa"/>
            <w:shd w:val="clear" w:color="auto" w:fill="FFFFFF"/>
            <w:vAlign w:val="center"/>
          </w:tcPr>
          <w:p w14:paraId="7AED8EC6" w14:textId="77777777" w:rsidR="004B0883" w:rsidRDefault="004B0883">
            <w:pPr>
              <w:spacing w:beforeLines="50" w:before="120"/>
              <w:rPr>
                <w:rFonts w:hint="eastAsia"/>
              </w:rPr>
            </w:pPr>
          </w:p>
        </w:tc>
        <w:tc>
          <w:tcPr>
            <w:tcW w:w="275" w:type="dxa"/>
            <w:shd w:val="clear" w:color="auto" w:fill="FFFFFF"/>
            <w:vAlign w:val="center"/>
          </w:tcPr>
          <w:p w14:paraId="068B2969" w14:textId="77777777" w:rsidR="004B0883" w:rsidRDefault="004B0883">
            <w:pPr>
              <w:spacing w:beforeLines="50" w:before="120"/>
              <w:rPr>
                <w:rFonts w:hint="eastAsia"/>
              </w:rPr>
            </w:pPr>
          </w:p>
        </w:tc>
        <w:tc>
          <w:tcPr>
            <w:tcW w:w="1999" w:type="dxa"/>
            <w:shd w:val="clear" w:color="auto" w:fill="FFFFFF"/>
            <w:vAlign w:val="center"/>
          </w:tcPr>
          <w:p w14:paraId="23C04EC7" w14:textId="77777777" w:rsidR="004B0883" w:rsidRDefault="004B0883">
            <w:pPr>
              <w:spacing w:beforeLines="50" w:before="120"/>
              <w:jc w:val="center"/>
              <w:rPr>
                <w:rFonts w:hint="eastAsia"/>
              </w:rPr>
            </w:pPr>
          </w:p>
        </w:tc>
        <w:tc>
          <w:tcPr>
            <w:tcW w:w="844" w:type="dxa"/>
            <w:gridSpan w:val="2"/>
            <w:shd w:val="clear" w:color="auto" w:fill="FFFFFF"/>
            <w:vAlign w:val="center"/>
          </w:tcPr>
          <w:p w14:paraId="239AF386" w14:textId="77777777" w:rsidR="004B0883" w:rsidRDefault="004B0883">
            <w:pPr>
              <w:spacing w:beforeLines="50" w:before="120"/>
              <w:rPr>
                <w:rFonts w:hint="eastAsia"/>
              </w:rPr>
            </w:pPr>
          </w:p>
        </w:tc>
      </w:tr>
      <w:tr w:rsidR="004B0883" w14:paraId="734FE8E0" w14:textId="77777777">
        <w:trPr>
          <w:trHeight w:val="331"/>
        </w:trPr>
        <w:tc>
          <w:tcPr>
            <w:tcW w:w="3806" w:type="dxa"/>
            <w:shd w:val="clear" w:color="auto" w:fill="FFFFFF"/>
            <w:vAlign w:val="center"/>
          </w:tcPr>
          <w:p w14:paraId="7CD7AAE3" w14:textId="77777777" w:rsidR="004B0883" w:rsidRDefault="004B0883">
            <w:pPr>
              <w:spacing w:beforeLines="50" w:before="120"/>
              <w:rPr>
                <w:rFonts w:hint="eastAsia"/>
                <w:sz w:val="24"/>
              </w:rPr>
            </w:pPr>
            <w:r>
              <w:rPr>
                <w:rFonts w:hint="eastAsia"/>
                <w:sz w:val="24"/>
              </w:rPr>
              <w:t>签字资信评级人员：</w:t>
            </w:r>
          </w:p>
        </w:tc>
        <w:tc>
          <w:tcPr>
            <w:tcW w:w="275" w:type="dxa"/>
            <w:shd w:val="clear" w:color="auto" w:fill="FFFFFF"/>
            <w:vAlign w:val="center"/>
          </w:tcPr>
          <w:p w14:paraId="78C3BEB9" w14:textId="77777777" w:rsidR="004B0883" w:rsidRDefault="004B0883">
            <w:pPr>
              <w:spacing w:beforeLines="50" w:before="120"/>
              <w:rPr>
                <w:rFonts w:hint="eastAsia"/>
                <w:sz w:val="24"/>
              </w:rPr>
            </w:pPr>
          </w:p>
        </w:tc>
        <w:tc>
          <w:tcPr>
            <w:tcW w:w="1999" w:type="dxa"/>
            <w:tcBorders>
              <w:bottom w:val="single" w:sz="4" w:space="0" w:color="auto"/>
            </w:tcBorders>
            <w:shd w:val="clear" w:color="auto" w:fill="FFFFFF"/>
            <w:vAlign w:val="center"/>
          </w:tcPr>
          <w:p w14:paraId="0878AD95" w14:textId="77777777" w:rsidR="004B0883" w:rsidRDefault="004B0883">
            <w:pPr>
              <w:spacing w:beforeLines="50" w:before="120"/>
              <w:rPr>
                <w:rFonts w:hint="eastAsia"/>
                <w:sz w:val="24"/>
              </w:rPr>
            </w:pPr>
          </w:p>
        </w:tc>
        <w:tc>
          <w:tcPr>
            <w:tcW w:w="349" w:type="dxa"/>
            <w:shd w:val="clear" w:color="auto" w:fill="FFFFFF"/>
            <w:vAlign w:val="center"/>
          </w:tcPr>
          <w:p w14:paraId="18A7CFAC" w14:textId="77777777" w:rsidR="004B0883" w:rsidRDefault="004B0883">
            <w:pPr>
              <w:spacing w:beforeLines="50" w:before="120"/>
              <w:rPr>
                <w:rFonts w:hint="eastAsia"/>
                <w:sz w:val="24"/>
              </w:rPr>
            </w:pPr>
          </w:p>
        </w:tc>
        <w:tc>
          <w:tcPr>
            <w:tcW w:w="1768" w:type="dxa"/>
            <w:gridSpan w:val="2"/>
            <w:tcBorders>
              <w:bottom w:val="single" w:sz="4" w:space="0" w:color="auto"/>
            </w:tcBorders>
            <w:shd w:val="clear" w:color="auto" w:fill="FFFFFF"/>
            <w:vAlign w:val="center"/>
          </w:tcPr>
          <w:p w14:paraId="78D6C934" w14:textId="77777777" w:rsidR="004B0883" w:rsidRDefault="004B0883">
            <w:pPr>
              <w:spacing w:beforeLines="50" w:before="120"/>
              <w:rPr>
                <w:rFonts w:hint="eastAsia"/>
                <w:sz w:val="24"/>
              </w:rPr>
            </w:pPr>
          </w:p>
        </w:tc>
        <w:tc>
          <w:tcPr>
            <w:tcW w:w="331" w:type="dxa"/>
            <w:shd w:val="clear" w:color="auto" w:fill="FFFFFF"/>
            <w:vAlign w:val="center"/>
          </w:tcPr>
          <w:p w14:paraId="62F1DA48" w14:textId="77777777" w:rsidR="004B0883" w:rsidRDefault="004B0883">
            <w:pPr>
              <w:spacing w:beforeLines="50" w:before="120"/>
              <w:rPr>
                <w:rFonts w:hint="eastAsia"/>
                <w:sz w:val="24"/>
              </w:rPr>
            </w:pPr>
          </w:p>
        </w:tc>
      </w:tr>
      <w:tr w:rsidR="004B0883" w14:paraId="6DEB25DF" w14:textId="77777777">
        <w:trPr>
          <w:trHeight w:val="331"/>
        </w:trPr>
        <w:tc>
          <w:tcPr>
            <w:tcW w:w="3806" w:type="dxa"/>
            <w:shd w:val="clear" w:color="auto" w:fill="FFFFFF"/>
            <w:vAlign w:val="center"/>
          </w:tcPr>
          <w:p w14:paraId="5BA5C8B8" w14:textId="77777777" w:rsidR="004B0883" w:rsidRDefault="004B0883">
            <w:pPr>
              <w:spacing w:beforeLines="50" w:before="120"/>
              <w:rPr>
                <w:rFonts w:hint="eastAsia"/>
                <w:sz w:val="24"/>
              </w:rPr>
            </w:pPr>
          </w:p>
        </w:tc>
        <w:tc>
          <w:tcPr>
            <w:tcW w:w="275" w:type="dxa"/>
            <w:shd w:val="clear" w:color="auto" w:fill="FFFFFF"/>
            <w:vAlign w:val="center"/>
          </w:tcPr>
          <w:p w14:paraId="021211B1" w14:textId="77777777" w:rsidR="004B0883" w:rsidRDefault="004B0883">
            <w:pPr>
              <w:spacing w:beforeLines="50" w:before="120"/>
              <w:rPr>
                <w:rFonts w:hint="eastAsia"/>
                <w:sz w:val="24"/>
              </w:rPr>
            </w:pPr>
          </w:p>
        </w:tc>
        <w:tc>
          <w:tcPr>
            <w:tcW w:w="1999" w:type="dxa"/>
            <w:tcBorders>
              <w:top w:val="single" w:sz="4" w:space="0" w:color="auto"/>
            </w:tcBorders>
            <w:shd w:val="clear" w:color="auto" w:fill="FFFFFF"/>
            <w:vAlign w:val="center"/>
          </w:tcPr>
          <w:p w14:paraId="0A3D546C" w14:textId="77777777" w:rsidR="004B0883" w:rsidRDefault="004B0883">
            <w:pPr>
              <w:spacing w:beforeLines="50" w:before="120"/>
              <w:jc w:val="center"/>
              <w:rPr>
                <w:rFonts w:hint="eastAsia"/>
                <w:sz w:val="24"/>
              </w:rPr>
            </w:pPr>
            <w:r>
              <w:rPr>
                <w:rFonts w:hint="eastAsia"/>
                <w:sz w:val="24"/>
              </w:rPr>
              <w:t>游云星</w:t>
            </w:r>
          </w:p>
        </w:tc>
        <w:tc>
          <w:tcPr>
            <w:tcW w:w="349" w:type="dxa"/>
            <w:shd w:val="clear" w:color="auto" w:fill="FFFFFF"/>
            <w:vAlign w:val="center"/>
          </w:tcPr>
          <w:p w14:paraId="6DDC71A6" w14:textId="77777777" w:rsidR="004B0883" w:rsidRDefault="004B0883">
            <w:pPr>
              <w:spacing w:beforeLines="50" w:before="120"/>
              <w:rPr>
                <w:sz w:val="24"/>
              </w:rPr>
            </w:pPr>
          </w:p>
        </w:tc>
        <w:tc>
          <w:tcPr>
            <w:tcW w:w="1768" w:type="dxa"/>
            <w:gridSpan w:val="2"/>
            <w:shd w:val="clear" w:color="auto" w:fill="FFFFFF"/>
            <w:vAlign w:val="center"/>
          </w:tcPr>
          <w:p w14:paraId="3D00E9E7" w14:textId="77777777" w:rsidR="004B0883" w:rsidRDefault="004B0883">
            <w:pPr>
              <w:spacing w:beforeLines="50" w:before="120"/>
              <w:jc w:val="center"/>
              <w:rPr>
                <w:sz w:val="24"/>
              </w:rPr>
            </w:pPr>
            <w:r>
              <w:rPr>
                <w:rFonts w:hint="eastAsia"/>
                <w:sz w:val="24"/>
              </w:rPr>
              <w:t>王皓立</w:t>
            </w:r>
          </w:p>
        </w:tc>
        <w:tc>
          <w:tcPr>
            <w:tcW w:w="331" w:type="dxa"/>
            <w:shd w:val="clear" w:color="auto" w:fill="FFFFFF"/>
            <w:vAlign w:val="center"/>
          </w:tcPr>
          <w:p w14:paraId="671A102B" w14:textId="77777777" w:rsidR="004B0883" w:rsidRDefault="004B0883">
            <w:pPr>
              <w:spacing w:beforeLines="50" w:before="120"/>
              <w:jc w:val="center"/>
              <w:rPr>
                <w:rFonts w:hint="eastAsia"/>
                <w:sz w:val="24"/>
              </w:rPr>
            </w:pPr>
          </w:p>
        </w:tc>
      </w:tr>
      <w:tr w:rsidR="004B0883" w14:paraId="3D474074" w14:textId="77777777">
        <w:trPr>
          <w:trHeight w:val="389"/>
        </w:trPr>
        <w:tc>
          <w:tcPr>
            <w:tcW w:w="3806" w:type="dxa"/>
            <w:shd w:val="clear" w:color="auto" w:fill="FFFFFF"/>
            <w:vAlign w:val="center"/>
          </w:tcPr>
          <w:p w14:paraId="7118DD8F" w14:textId="77777777" w:rsidR="004B0883" w:rsidRDefault="004B0883">
            <w:pPr>
              <w:spacing w:beforeLines="50" w:before="120"/>
              <w:rPr>
                <w:rFonts w:hint="eastAsia"/>
                <w:sz w:val="24"/>
              </w:rPr>
            </w:pPr>
          </w:p>
          <w:p w14:paraId="61F8B966" w14:textId="77777777" w:rsidR="004B0883" w:rsidRDefault="004B0883">
            <w:pPr>
              <w:spacing w:beforeLines="50" w:before="120"/>
              <w:rPr>
                <w:rFonts w:hint="eastAsia"/>
                <w:sz w:val="24"/>
              </w:rPr>
            </w:pPr>
          </w:p>
          <w:p w14:paraId="1DED610A" w14:textId="77777777" w:rsidR="004B0883" w:rsidRDefault="004B0883">
            <w:pPr>
              <w:spacing w:beforeLines="50" w:before="120"/>
              <w:rPr>
                <w:rFonts w:hint="eastAsia"/>
                <w:sz w:val="24"/>
              </w:rPr>
            </w:pPr>
          </w:p>
        </w:tc>
        <w:tc>
          <w:tcPr>
            <w:tcW w:w="275" w:type="dxa"/>
            <w:shd w:val="clear" w:color="auto" w:fill="FFFFFF"/>
            <w:vAlign w:val="center"/>
          </w:tcPr>
          <w:p w14:paraId="36B06E16" w14:textId="77777777" w:rsidR="004B0883" w:rsidRDefault="004B0883">
            <w:pPr>
              <w:spacing w:beforeLines="50" w:before="120"/>
              <w:rPr>
                <w:rFonts w:hint="eastAsia"/>
                <w:sz w:val="24"/>
              </w:rPr>
            </w:pPr>
          </w:p>
        </w:tc>
        <w:tc>
          <w:tcPr>
            <w:tcW w:w="1999" w:type="dxa"/>
            <w:shd w:val="clear" w:color="auto" w:fill="FFFFFF"/>
            <w:vAlign w:val="center"/>
          </w:tcPr>
          <w:p w14:paraId="297C1756" w14:textId="77777777" w:rsidR="004B0883" w:rsidRDefault="004B0883">
            <w:pPr>
              <w:spacing w:beforeLines="50" w:before="120"/>
              <w:jc w:val="center"/>
              <w:rPr>
                <w:rFonts w:hint="eastAsia"/>
                <w:sz w:val="24"/>
              </w:rPr>
            </w:pPr>
          </w:p>
        </w:tc>
        <w:tc>
          <w:tcPr>
            <w:tcW w:w="349" w:type="dxa"/>
            <w:shd w:val="clear" w:color="auto" w:fill="FFFFFF"/>
            <w:vAlign w:val="center"/>
          </w:tcPr>
          <w:p w14:paraId="189813D0" w14:textId="77777777" w:rsidR="004B0883" w:rsidRDefault="004B0883">
            <w:pPr>
              <w:spacing w:beforeLines="50" w:before="120"/>
              <w:rPr>
                <w:rFonts w:hint="eastAsia"/>
                <w:sz w:val="24"/>
              </w:rPr>
            </w:pPr>
          </w:p>
        </w:tc>
        <w:tc>
          <w:tcPr>
            <w:tcW w:w="1768" w:type="dxa"/>
            <w:gridSpan w:val="2"/>
            <w:shd w:val="clear" w:color="auto" w:fill="FFFFFF"/>
            <w:vAlign w:val="center"/>
          </w:tcPr>
          <w:p w14:paraId="1D3CD6AD" w14:textId="77777777" w:rsidR="004B0883" w:rsidRDefault="004B0883">
            <w:pPr>
              <w:spacing w:beforeLines="50" w:before="120"/>
              <w:jc w:val="center"/>
              <w:rPr>
                <w:rFonts w:hint="eastAsia"/>
                <w:sz w:val="24"/>
              </w:rPr>
            </w:pPr>
          </w:p>
        </w:tc>
        <w:tc>
          <w:tcPr>
            <w:tcW w:w="331" w:type="dxa"/>
            <w:shd w:val="clear" w:color="auto" w:fill="FFFFFF"/>
            <w:vAlign w:val="center"/>
          </w:tcPr>
          <w:p w14:paraId="42046298" w14:textId="77777777" w:rsidR="004B0883" w:rsidRDefault="004B0883">
            <w:pPr>
              <w:spacing w:beforeLines="50" w:before="120"/>
              <w:jc w:val="center"/>
              <w:rPr>
                <w:rFonts w:hint="eastAsia"/>
                <w:sz w:val="24"/>
              </w:rPr>
            </w:pPr>
          </w:p>
        </w:tc>
      </w:tr>
      <w:tr w:rsidR="004B0883" w14:paraId="6D8E0056" w14:textId="77777777">
        <w:trPr>
          <w:trHeight w:val="609"/>
        </w:trPr>
        <w:tc>
          <w:tcPr>
            <w:tcW w:w="3806" w:type="dxa"/>
            <w:shd w:val="clear" w:color="auto" w:fill="FFFFFF"/>
            <w:vAlign w:val="center"/>
          </w:tcPr>
          <w:p w14:paraId="718076CF" w14:textId="77777777" w:rsidR="004B0883" w:rsidRDefault="004B0883">
            <w:pPr>
              <w:spacing w:beforeLines="50" w:before="120"/>
              <w:rPr>
                <w:rFonts w:hint="eastAsia"/>
                <w:sz w:val="24"/>
              </w:rPr>
            </w:pPr>
            <w:r>
              <w:rPr>
                <w:rFonts w:hint="eastAsia"/>
                <w:sz w:val="24"/>
              </w:rPr>
              <w:t>资信评级机构负责人：</w:t>
            </w:r>
          </w:p>
        </w:tc>
        <w:tc>
          <w:tcPr>
            <w:tcW w:w="275" w:type="dxa"/>
            <w:shd w:val="clear" w:color="auto" w:fill="FFFFFF"/>
            <w:vAlign w:val="center"/>
          </w:tcPr>
          <w:p w14:paraId="685AC6C7" w14:textId="77777777" w:rsidR="004B0883" w:rsidRDefault="004B0883">
            <w:pPr>
              <w:spacing w:beforeLines="50" w:before="120"/>
              <w:rPr>
                <w:rFonts w:hint="eastAsia"/>
                <w:sz w:val="24"/>
              </w:rPr>
            </w:pPr>
          </w:p>
        </w:tc>
        <w:tc>
          <w:tcPr>
            <w:tcW w:w="1999" w:type="dxa"/>
            <w:tcBorders>
              <w:bottom w:val="single" w:sz="4" w:space="0" w:color="auto"/>
            </w:tcBorders>
            <w:shd w:val="clear" w:color="auto" w:fill="FFFFFF"/>
            <w:vAlign w:val="center"/>
          </w:tcPr>
          <w:p w14:paraId="7D88A990" w14:textId="77777777" w:rsidR="004B0883" w:rsidRDefault="004B0883">
            <w:pPr>
              <w:spacing w:beforeLines="50" w:before="120"/>
              <w:jc w:val="center"/>
              <w:rPr>
                <w:rFonts w:hint="eastAsia"/>
                <w:sz w:val="24"/>
              </w:rPr>
            </w:pPr>
          </w:p>
        </w:tc>
        <w:tc>
          <w:tcPr>
            <w:tcW w:w="349" w:type="dxa"/>
            <w:shd w:val="clear" w:color="auto" w:fill="FFFFFF"/>
            <w:vAlign w:val="center"/>
          </w:tcPr>
          <w:p w14:paraId="7EDE0161" w14:textId="77777777" w:rsidR="004B0883" w:rsidRDefault="004B0883">
            <w:pPr>
              <w:spacing w:beforeLines="50" w:before="120"/>
              <w:rPr>
                <w:rFonts w:hint="eastAsia"/>
                <w:sz w:val="24"/>
              </w:rPr>
            </w:pPr>
          </w:p>
        </w:tc>
        <w:tc>
          <w:tcPr>
            <w:tcW w:w="1768" w:type="dxa"/>
            <w:gridSpan w:val="2"/>
            <w:shd w:val="clear" w:color="auto" w:fill="FFFFFF"/>
            <w:vAlign w:val="center"/>
          </w:tcPr>
          <w:p w14:paraId="25E7E10C" w14:textId="77777777" w:rsidR="004B0883" w:rsidRDefault="004B0883">
            <w:pPr>
              <w:spacing w:beforeLines="50" w:before="120"/>
              <w:jc w:val="center"/>
              <w:rPr>
                <w:rFonts w:hint="eastAsia"/>
                <w:sz w:val="24"/>
              </w:rPr>
            </w:pPr>
          </w:p>
        </w:tc>
        <w:tc>
          <w:tcPr>
            <w:tcW w:w="331" w:type="dxa"/>
            <w:shd w:val="clear" w:color="auto" w:fill="FFFFFF"/>
            <w:vAlign w:val="center"/>
          </w:tcPr>
          <w:p w14:paraId="4BB1581C" w14:textId="77777777" w:rsidR="004B0883" w:rsidRDefault="004B0883">
            <w:pPr>
              <w:spacing w:beforeLines="50" w:before="120"/>
              <w:jc w:val="center"/>
              <w:rPr>
                <w:rFonts w:hint="eastAsia"/>
                <w:sz w:val="24"/>
              </w:rPr>
            </w:pPr>
          </w:p>
        </w:tc>
      </w:tr>
      <w:tr w:rsidR="004B0883" w14:paraId="175A6FB3" w14:textId="77777777">
        <w:trPr>
          <w:trHeight w:val="609"/>
        </w:trPr>
        <w:tc>
          <w:tcPr>
            <w:tcW w:w="3806" w:type="dxa"/>
            <w:shd w:val="clear" w:color="auto" w:fill="FFFFFF"/>
            <w:vAlign w:val="center"/>
          </w:tcPr>
          <w:p w14:paraId="7BAFDF18" w14:textId="77777777" w:rsidR="004B0883" w:rsidRDefault="004B0883">
            <w:pPr>
              <w:spacing w:beforeLines="50" w:before="120"/>
              <w:rPr>
                <w:rFonts w:hint="eastAsia"/>
                <w:sz w:val="24"/>
              </w:rPr>
            </w:pPr>
          </w:p>
        </w:tc>
        <w:tc>
          <w:tcPr>
            <w:tcW w:w="275" w:type="dxa"/>
            <w:shd w:val="clear" w:color="auto" w:fill="FFFFFF"/>
            <w:vAlign w:val="center"/>
          </w:tcPr>
          <w:p w14:paraId="250EA5AA" w14:textId="77777777" w:rsidR="004B0883" w:rsidRDefault="004B0883">
            <w:pPr>
              <w:spacing w:beforeLines="50" w:before="120"/>
              <w:rPr>
                <w:rFonts w:hint="eastAsia"/>
                <w:sz w:val="24"/>
              </w:rPr>
            </w:pPr>
          </w:p>
        </w:tc>
        <w:tc>
          <w:tcPr>
            <w:tcW w:w="1999" w:type="dxa"/>
            <w:tcBorders>
              <w:top w:val="single" w:sz="4" w:space="0" w:color="auto"/>
            </w:tcBorders>
            <w:shd w:val="clear" w:color="auto" w:fill="FFFFFF"/>
            <w:vAlign w:val="center"/>
          </w:tcPr>
          <w:p w14:paraId="3DF62DAB" w14:textId="77777777" w:rsidR="004B0883" w:rsidRDefault="004B0883">
            <w:pPr>
              <w:spacing w:beforeLines="50" w:before="120"/>
              <w:jc w:val="center"/>
              <w:rPr>
                <w:rFonts w:hint="eastAsia"/>
                <w:sz w:val="24"/>
              </w:rPr>
            </w:pPr>
            <w:r>
              <w:rPr>
                <w:rFonts w:hint="eastAsia"/>
                <w:sz w:val="24"/>
              </w:rPr>
              <w:t>张剑文</w:t>
            </w:r>
          </w:p>
        </w:tc>
        <w:tc>
          <w:tcPr>
            <w:tcW w:w="349" w:type="dxa"/>
            <w:shd w:val="clear" w:color="auto" w:fill="FFFFFF"/>
            <w:vAlign w:val="center"/>
          </w:tcPr>
          <w:p w14:paraId="2842DAD4" w14:textId="77777777" w:rsidR="004B0883" w:rsidRDefault="004B0883">
            <w:pPr>
              <w:spacing w:beforeLines="50" w:before="120"/>
              <w:rPr>
                <w:rFonts w:hint="eastAsia"/>
                <w:sz w:val="24"/>
              </w:rPr>
            </w:pPr>
          </w:p>
        </w:tc>
        <w:tc>
          <w:tcPr>
            <w:tcW w:w="1768" w:type="dxa"/>
            <w:gridSpan w:val="2"/>
            <w:shd w:val="clear" w:color="auto" w:fill="FFFFFF"/>
            <w:vAlign w:val="center"/>
          </w:tcPr>
          <w:p w14:paraId="27D1CB76" w14:textId="77777777" w:rsidR="004B0883" w:rsidRDefault="004B0883">
            <w:pPr>
              <w:spacing w:beforeLines="50" w:before="120"/>
              <w:jc w:val="center"/>
              <w:rPr>
                <w:rFonts w:hint="eastAsia"/>
                <w:sz w:val="24"/>
              </w:rPr>
            </w:pPr>
          </w:p>
        </w:tc>
        <w:tc>
          <w:tcPr>
            <w:tcW w:w="331" w:type="dxa"/>
            <w:shd w:val="clear" w:color="auto" w:fill="FFFFFF"/>
            <w:vAlign w:val="center"/>
          </w:tcPr>
          <w:p w14:paraId="36773C8B" w14:textId="77777777" w:rsidR="004B0883" w:rsidRDefault="004B0883">
            <w:pPr>
              <w:spacing w:beforeLines="50" w:before="120"/>
              <w:jc w:val="center"/>
              <w:rPr>
                <w:rFonts w:hint="eastAsia"/>
                <w:sz w:val="24"/>
              </w:rPr>
            </w:pPr>
          </w:p>
        </w:tc>
      </w:tr>
      <w:tr w:rsidR="004B0883" w14:paraId="01E02D8D" w14:textId="77777777">
        <w:trPr>
          <w:trHeight w:val="609"/>
        </w:trPr>
        <w:tc>
          <w:tcPr>
            <w:tcW w:w="3806" w:type="dxa"/>
            <w:shd w:val="clear" w:color="auto" w:fill="FFFFFF"/>
            <w:vAlign w:val="center"/>
          </w:tcPr>
          <w:p w14:paraId="037BD948" w14:textId="77777777" w:rsidR="004B0883" w:rsidRDefault="004B0883">
            <w:pPr>
              <w:spacing w:beforeLines="50" w:before="120"/>
              <w:rPr>
                <w:rFonts w:hint="eastAsia"/>
                <w:sz w:val="24"/>
              </w:rPr>
            </w:pPr>
          </w:p>
        </w:tc>
        <w:tc>
          <w:tcPr>
            <w:tcW w:w="275" w:type="dxa"/>
            <w:shd w:val="clear" w:color="auto" w:fill="FFFFFF"/>
            <w:vAlign w:val="center"/>
          </w:tcPr>
          <w:p w14:paraId="414B5BEC" w14:textId="77777777" w:rsidR="004B0883" w:rsidRDefault="004B0883">
            <w:pPr>
              <w:spacing w:beforeLines="50" w:before="120"/>
              <w:rPr>
                <w:rFonts w:hint="eastAsia"/>
                <w:sz w:val="24"/>
              </w:rPr>
            </w:pPr>
          </w:p>
        </w:tc>
        <w:tc>
          <w:tcPr>
            <w:tcW w:w="1999" w:type="dxa"/>
            <w:shd w:val="clear" w:color="auto" w:fill="FFFFFF"/>
            <w:vAlign w:val="center"/>
          </w:tcPr>
          <w:p w14:paraId="0312527E" w14:textId="77777777" w:rsidR="004B0883" w:rsidRDefault="004B0883">
            <w:pPr>
              <w:spacing w:beforeLines="50" w:before="120"/>
              <w:jc w:val="center"/>
              <w:rPr>
                <w:rFonts w:hint="eastAsia"/>
                <w:sz w:val="24"/>
              </w:rPr>
            </w:pPr>
          </w:p>
        </w:tc>
        <w:tc>
          <w:tcPr>
            <w:tcW w:w="349" w:type="dxa"/>
            <w:shd w:val="clear" w:color="auto" w:fill="FFFFFF"/>
            <w:vAlign w:val="center"/>
          </w:tcPr>
          <w:p w14:paraId="70F35282" w14:textId="77777777" w:rsidR="004B0883" w:rsidRDefault="004B0883">
            <w:pPr>
              <w:spacing w:beforeLines="50" w:before="120"/>
              <w:rPr>
                <w:rFonts w:hint="eastAsia"/>
                <w:sz w:val="24"/>
              </w:rPr>
            </w:pPr>
          </w:p>
        </w:tc>
        <w:tc>
          <w:tcPr>
            <w:tcW w:w="1768" w:type="dxa"/>
            <w:gridSpan w:val="2"/>
            <w:shd w:val="clear" w:color="auto" w:fill="FFFFFF"/>
            <w:vAlign w:val="center"/>
          </w:tcPr>
          <w:p w14:paraId="41B141E9" w14:textId="77777777" w:rsidR="004B0883" w:rsidRDefault="004B0883">
            <w:pPr>
              <w:spacing w:beforeLines="50" w:before="120"/>
              <w:jc w:val="center"/>
              <w:rPr>
                <w:rFonts w:hint="eastAsia"/>
                <w:sz w:val="24"/>
              </w:rPr>
            </w:pPr>
          </w:p>
        </w:tc>
        <w:tc>
          <w:tcPr>
            <w:tcW w:w="331" w:type="dxa"/>
            <w:shd w:val="clear" w:color="auto" w:fill="FFFFFF"/>
            <w:vAlign w:val="center"/>
          </w:tcPr>
          <w:p w14:paraId="483A5BCA" w14:textId="77777777" w:rsidR="004B0883" w:rsidRDefault="004B0883">
            <w:pPr>
              <w:spacing w:beforeLines="50" w:before="120"/>
              <w:jc w:val="center"/>
              <w:rPr>
                <w:rFonts w:hint="eastAsia"/>
                <w:sz w:val="24"/>
              </w:rPr>
            </w:pPr>
          </w:p>
        </w:tc>
      </w:tr>
    </w:tbl>
    <w:p w14:paraId="1040338C" w14:textId="77777777" w:rsidR="004B0883" w:rsidRDefault="004B0883">
      <w:pPr>
        <w:spacing w:beforeLines="50" w:before="120" w:afterLines="50" w:after="120" w:line="360" w:lineRule="auto"/>
        <w:ind w:firstLineChars="200" w:firstLine="480"/>
        <w:rPr>
          <w:rFonts w:hint="eastAsia"/>
          <w:sz w:val="24"/>
          <w:szCs w:val="20"/>
        </w:rPr>
      </w:pPr>
    </w:p>
    <w:p w14:paraId="0A06339E" w14:textId="77777777" w:rsidR="004B0883" w:rsidRDefault="004B0883">
      <w:pPr>
        <w:spacing w:beforeLines="50" w:before="120" w:afterLines="50" w:after="120" w:line="360" w:lineRule="auto"/>
        <w:rPr>
          <w:rFonts w:hint="eastAsia"/>
          <w:sz w:val="24"/>
          <w:szCs w:val="20"/>
        </w:rPr>
      </w:pPr>
    </w:p>
    <w:p w14:paraId="2AF6EFE5" w14:textId="77777777" w:rsidR="004B0883" w:rsidRDefault="004B0883">
      <w:pPr>
        <w:spacing w:beforeLines="50" w:before="120" w:afterLines="50" w:after="120" w:line="360" w:lineRule="auto"/>
        <w:ind w:firstLineChars="200" w:firstLine="480"/>
        <w:jc w:val="right"/>
        <w:rPr>
          <w:sz w:val="24"/>
          <w:szCs w:val="24"/>
        </w:rPr>
      </w:pPr>
      <w:r>
        <w:rPr>
          <w:rFonts w:hint="eastAsia"/>
          <w:sz w:val="24"/>
          <w:szCs w:val="24"/>
        </w:rPr>
        <w:t>中证鹏元资信评估股份有限公司</w:t>
      </w:r>
    </w:p>
    <w:p w14:paraId="5E5DE035" w14:textId="77777777" w:rsidR="004B0883" w:rsidRDefault="004B0883">
      <w:pPr>
        <w:spacing w:beforeLines="50" w:before="120" w:afterLines="50" w:after="120" w:line="360" w:lineRule="auto"/>
        <w:ind w:firstLineChars="200" w:firstLine="480"/>
        <w:jc w:val="right"/>
        <w:rPr>
          <w:rFonts w:hint="eastAsia"/>
          <w:sz w:val="24"/>
          <w:szCs w:val="24"/>
        </w:rPr>
      </w:pPr>
      <w:r>
        <w:rPr>
          <w:rFonts w:hint="eastAsia"/>
          <w:sz w:val="24"/>
          <w:szCs w:val="24"/>
        </w:rPr>
        <w:t>年</w:t>
      </w:r>
      <w:r>
        <w:rPr>
          <w:rFonts w:hint="eastAsia"/>
          <w:sz w:val="24"/>
          <w:szCs w:val="24"/>
        </w:rPr>
        <w:t xml:space="preserve"> </w:t>
      </w:r>
      <w:r>
        <w:rPr>
          <w:sz w:val="24"/>
          <w:szCs w:val="24"/>
        </w:rPr>
        <w:t xml:space="preserve"> </w:t>
      </w:r>
      <w:r>
        <w:rPr>
          <w:rFonts w:hint="eastAsia"/>
          <w:sz w:val="24"/>
          <w:szCs w:val="24"/>
        </w:rPr>
        <w:t xml:space="preserve">   </w:t>
      </w:r>
      <w:r>
        <w:rPr>
          <w:rFonts w:hint="eastAsia"/>
          <w:sz w:val="24"/>
          <w:szCs w:val="24"/>
        </w:rPr>
        <w:t>月</w:t>
      </w:r>
      <w:r>
        <w:rPr>
          <w:rFonts w:hint="eastAsia"/>
          <w:sz w:val="24"/>
          <w:szCs w:val="24"/>
        </w:rPr>
        <w:t xml:space="preserve">  </w:t>
      </w:r>
      <w:r>
        <w:rPr>
          <w:sz w:val="24"/>
          <w:szCs w:val="24"/>
        </w:rPr>
        <w:t xml:space="preserve"> </w:t>
      </w:r>
      <w:r>
        <w:rPr>
          <w:rFonts w:hint="eastAsia"/>
          <w:sz w:val="24"/>
          <w:szCs w:val="24"/>
        </w:rPr>
        <w:t xml:space="preserve"> </w:t>
      </w:r>
      <w:r>
        <w:rPr>
          <w:rFonts w:hint="eastAsia"/>
          <w:sz w:val="24"/>
          <w:szCs w:val="24"/>
        </w:rPr>
        <w:t>日</w:t>
      </w:r>
    </w:p>
    <w:p w14:paraId="526F3E0D" w14:textId="77777777" w:rsidR="004B0883" w:rsidRDefault="004B0883">
      <w:pPr>
        <w:pStyle w:val="002"/>
        <w:spacing w:before="120" w:after="120"/>
        <w:rPr>
          <w:rFonts w:hint="eastAsia"/>
        </w:rPr>
      </w:pPr>
      <w:r>
        <w:rPr>
          <w:rFonts w:hint="eastAsia"/>
        </w:rPr>
        <w:br w:type="page"/>
      </w:r>
      <w:bookmarkStart w:id="465" w:name="_Toc152320839"/>
      <w:r>
        <w:rPr>
          <w:rFonts w:hint="eastAsia"/>
          <w:szCs w:val="20"/>
        </w:rPr>
        <w:t>七</w:t>
      </w:r>
      <w:r>
        <w:rPr>
          <w:rFonts w:hint="eastAsia"/>
        </w:rPr>
        <w:t>、董事会关于本次发行的相关声明</w:t>
      </w:r>
      <w:bookmarkEnd w:id="465"/>
    </w:p>
    <w:p w14:paraId="10AC48AD" w14:textId="77777777" w:rsidR="004B0883" w:rsidRDefault="004B0883">
      <w:pPr>
        <w:pStyle w:val="003"/>
        <w:spacing w:before="120" w:after="120"/>
        <w:rPr>
          <w:rFonts w:hint="eastAsia"/>
        </w:rPr>
      </w:pPr>
      <w:r>
        <w:rPr>
          <w:rFonts w:hint="eastAsia"/>
        </w:rPr>
        <w:t>（一）关于应对本次发行可转债摊薄即期回报采取的措施</w:t>
      </w:r>
    </w:p>
    <w:p w14:paraId="3C6CC10E" w14:textId="77777777" w:rsidR="004B0883" w:rsidRDefault="004B0883">
      <w:pPr>
        <w:pStyle w:val="005"/>
        <w:spacing w:before="120" w:after="120"/>
        <w:ind w:firstLine="480"/>
      </w:pPr>
      <w:r>
        <w:rPr>
          <w:rFonts w:hint="eastAsia"/>
        </w:rPr>
        <w:t>为降低本次发行可能导致的对公司即期回报摊薄的风险，保护广大投资者的合法权益，公司拟通过多种措施防范即期回报被摊薄的风险，实现公司业务的可持续发展，以增厚未来收益、填补股东回报并充分保护中小股东的利益。但需要提醒投资者特别注意的是，公司制定上述填补回报措施不等于对公司未来利润做出保证。具体措施如下：</w:t>
      </w:r>
    </w:p>
    <w:p w14:paraId="3337165F" w14:textId="77777777" w:rsidR="004B0883" w:rsidRDefault="004B0883">
      <w:pPr>
        <w:pStyle w:val="004"/>
        <w:spacing w:before="120" w:after="120"/>
        <w:ind w:firstLine="482"/>
        <w:rPr>
          <w:rFonts w:hint="eastAsia"/>
        </w:rPr>
      </w:pPr>
      <w:r>
        <w:rPr>
          <w:rFonts w:hint="eastAsia"/>
        </w:rPr>
        <w:t>1</w:t>
      </w:r>
      <w:r>
        <w:rPr>
          <w:rFonts w:hint="eastAsia"/>
        </w:rPr>
        <w:t>、强化募集资金管理，保证募集资金合理规范使用</w:t>
      </w:r>
    </w:p>
    <w:p w14:paraId="6361FDA5" w14:textId="77777777" w:rsidR="004B0883" w:rsidRDefault="004B0883">
      <w:pPr>
        <w:spacing w:beforeLines="50" w:before="120" w:after="120" w:line="360" w:lineRule="auto"/>
        <w:ind w:firstLineChars="200" w:firstLine="480"/>
        <w:textAlignment w:val="baseline"/>
        <w:rPr>
          <w:rFonts w:hint="eastAsia"/>
          <w:sz w:val="24"/>
          <w:szCs w:val="22"/>
        </w:rPr>
      </w:pPr>
      <w:r>
        <w:rPr>
          <w:rFonts w:hint="eastAsia"/>
          <w:sz w:val="24"/>
          <w:szCs w:val="22"/>
        </w:rPr>
        <w:t>公司将严格按照《证券法》《上市公司监管指引第</w:t>
      </w:r>
      <w:r>
        <w:rPr>
          <w:rFonts w:hint="eastAsia"/>
          <w:sz w:val="24"/>
          <w:szCs w:val="22"/>
        </w:rPr>
        <w:t>2</w:t>
      </w:r>
      <w:r>
        <w:rPr>
          <w:rFonts w:hint="eastAsia"/>
          <w:sz w:val="24"/>
          <w:szCs w:val="22"/>
        </w:rPr>
        <w:t>号—上市公司募集资金管理和使用的监管要求》和《深圳证券交易所上市公司自律监管指引第</w:t>
      </w:r>
      <w:r>
        <w:rPr>
          <w:rFonts w:hint="eastAsia"/>
          <w:sz w:val="24"/>
          <w:szCs w:val="22"/>
        </w:rPr>
        <w:t>1</w:t>
      </w:r>
      <w:r>
        <w:rPr>
          <w:rFonts w:hint="eastAsia"/>
          <w:sz w:val="24"/>
          <w:szCs w:val="22"/>
        </w:rPr>
        <w:t>号——主板上市公司规范运作》等法律法规、规范性文件以及公司《募集资金管理制度》的规定，加强募集资金管理，对募集资金进行专户存储，并依相关规定使用募集资金，以保证募集资金合理规范使用，防范募集资金使用风险，提高募集资金使用效率。</w:t>
      </w:r>
    </w:p>
    <w:p w14:paraId="414C998E" w14:textId="77777777" w:rsidR="004B0883" w:rsidRDefault="004B0883">
      <w:pPr>
        <w:pStyle w:val="004"/>
        <w:spacing w:before="120" w:after="120"/>
        <w:ind w:firstLine="482"/>
        <w:rPr>
          <w:rFonts w:hint="eastAsia"/>
        </w:rPr>
      </w:pPr>
      <w:r>
        <w:rPr>
          <w:rFonts w:hint="eastAsia"/>
        </w:rPr>
        <w:t>2</w:t>
      </w:r>
      <w:r>
        <w:rPr>
          <w:rFonts w:hint="eastAsia"/>
        </w:rPr>
        <w:t>、加快募投项目建设进度，增强公司核心竞争力</w:t>
      </w:r>
    </w:p>
    <w:p w14:paraId="32ABA4AB" w14:textId="77777777" w:rsidR="004B0883" w:rsidRDefault="004B0883">
      <w:pPr>
        <w:spacing w:beforeLines="50" w:before="120" w:after="120" w:line="360" w:lineRule="auto"/>
        <w:ind w:firstLineChars="200" w:firstLine="480"/>
        <w:textAlignment w:val="baseline"/>
        <w:rPr>
          <w:rFonts w:hint="eastAsia"/>
          <w:sz w:val="24"/>
          <w:szCs w:val="22"/>
        </w:rPr>
      </w:pPr>
      <w:r>
        <w:rPr>
          <w:rFonts w:hint="eastAsia"/>
          <w:sz w:val="24"/>
          <w:szCs w:val="22"/>
        </w:rPr>
        <w:t>公司董事会已对本次募投项目的可行性进行了充分论证，认为本次募投项目符合未来公司整体战略发展方向，具有良好的市场发展前景和经济效益，有利于巩固公司的行业地位，增强公司综合实力及核心竞争力。本次发行的募集资金到位后，公司将加快募投项目的投资进度，推进募投项目的顺利建设，尽快产生效益回报股东。</w:t>
      </w:r>
    </w:p>
    <w:p w14:paraId="7DD903EB" w14:textId="77777777" w:rsidR="004B0883" w:rsidRDefault="004B0883">
      <w:pPr>
        <w:pStyle w:val="004"/>
        <w:spacing w:before="120" w:after="120"/>
        <w:ind w:firstLine="482"/>
        <w:rPr>
          <w:rFonts w:hint="eastAsia"/>
        </w:rPr>
      </w:pPr>
      <w:r>
        <w:rPr>
          <w:rFonts w:hint="eastAsia"/>
        </w:rPr>
        <w:t>3</w:t>
      </w:r>
      <w:r>
        <w:rPr>
          <w:rFonts w:hint="eastAsia"/>
        </w:rPr>
        <w:t>、严格执行公司利润分配政策，强化投资者回报机制</w:t>
      </w:r>
    </w:p>
    <w:p w14:paraId="0978395F" w14:textId="77777777" w:rsidR="004B0883" w:rsidRDefault="004B0883">
      <w:pPr>
        <w:spacing w:beforeLines="50" w:before="120" w:after="120" w:line="360" w:lineRule="auto"/>
        <w:ind w:firstLineChars="200" w:firstLine="480"/>
        <w:textAlignment w:val="baseline"/>
        <w:rPr>
          <w:rFonts w:hint="eastAsia"/>
          <w:sz w:val="24"/>
          <w:szCs w:val="22"/>
        </w:rPr>
      </w:pPr>
      <w:r>
        <w:rPr>
          <w:rFonts w:hint="eastAsia"/>
          <w:sz w:val="24"/>
          <w:szCs w:val="22"/>
        </w:rPr>
        <w:t>根据《关于进一步落实上市公司现金分红有关事项的通知》《上市公司监管指引第</w:t>
      </w:r>
      <w:r>
        <w:rPr>
          <w:rFonts w:hint="eastAsia"/>
          <w:sz w:val="24"/>
          <w:szCs w:val="22"/>
        </w:rPr>
        <w:t>3</w:t>
      </w:r>
      <w:r>
        <w:rPr>
          <w:rFonts w:hint="eastAsia"/>
          <w:sz w:val="24"/>
          <w:szCs w:val="22"/>
        </w:rPr>
        <w:t>号—上市公司现金分红》等法律法规、规范性文件的规定，公司已制定了《公司章程》中有关利润分配的相关条款，并制定了《青岛伟隆阀门股份有限公司未来三年（</w:t>
      </w:r>
      <w:r>
        <w:rPr>
          <w:rFonts w:hint="eastAsia"/>
          <w:sz w:val="24"/>
          <w:szCs w:val="22"/>
        </w:rPr>
        <w:t>2023</w:t>
      </w:r>
      <w:r>
        <w:rPr>
          <w:rFonts w:hint="eastAsia"/>
          <w:sz w:val="24"/>
          <w:szCs w:val="22"/>
        </w:rPr>
        <w:t>年</w:t>
      </w:r>
      <w:r>
        <w:rPr>
          <w:rFonts w:hint="eastAsia"/>
          <w:sz w:val="24"/>
          <w:szCs w:val="22"/>
        </w:rPr>
        <w:t>-2025</w:t>
      </w:r>
      <w:r>
        <w:rPr>
          <w:rFonts w:hint="eastAsia"/>
          <w:sz w:val="24"/>
          <w:szCs w:val="22"/>
        </w:rPr>
        <w:t>年）股东分红回报规划（修订稿）》，明确了股东的具体回报计划，建立了股东回报规划的决策、实施和调整机制。本次发行后，公司将严格执行分红政策，在符合利润分配条件的情况下，积极推动对股东的利润分配，加大落实对投资者持续、稳定、科学的回报，从而切实保护公众投资者的合法权益。</w:t>
      </w:r>
    </w:p>
    <w:p w14:paraId="643DB3AC" w14:textId="77777777" w:rsidR="004B0883" w:rsidRDefault="004B0883">
      <w:pPr>
        <w:pStyle w:val="004"/>
        <w:spacing w:before="120" w:after="120"/>
        <w:ind w:firstLine="482"/>
        <w:rPr>
          <w:rFonts w:hint="eastAsia"/>
        </w:rPr>
      </w:pPr>
      <w:r>
        <w:rPr>
          <w:rFonts w:hint="eastAsia"/>
        </w:rPr>
        <w:t>4</w:t>
      </w:r>
      <w:r>
        <w:rPr>
          <w:rFonts w:hint="eastAsia"/>
        </w:rPr>
        <w:t>、不断完善公司治理，为公司发展提供制度保障</w:t>
      </w:r>
    </w:p>
    <w:p w14:paraId="2E22B63C" w14:textId="77777777" w:rsidR="004B0883" w:rsidRDefault="004B0883">
      <w:pPr>
        <w:spacing w:beforeLines="50" w:before="120" w:after="120" w:line="360" w:lineRule="auto"/>
        <w:ind w:firstLineChars="200" w:firstLine="480"/>
        <w:jc w:val="both"/>
        <w:textAlignment w:val="baseline"/>
        <w:rPr>
          <w:rFonts w:hint="eastAsia"/>
          <w:sz w:val="24"/>
          <w:szCs w:val="22"/>
        </w:rPr>
      </w:pPr>
      <w:r>
        <w:rPr>
          <w:rFonts w:hint="eastAsia"/>
          <w:sz w:val="24"/>
          <w:szCs w:val="22"/>
        </w:rPr>
        <w:t>公司将严格遵循《公司法》《证券法》等法律法规和规范性文件的要求，不断完善公司治理结构，确保股东权利能够得以充分行使，确保董事会能够按照法律法规和公司章程的规定行使职权，做出科学、迅速和谨慎的决策，确保独立董事能够认真履行职责，维护公司整体利益，尤其是中小股东的合法权益，为公司发展提供制度保障。确保监事会能够独立有效地行使对董事、经理和其他高级管理人员及公司财务的监督权和检查权，为公司发展提供制度保障。</w:t>
      </w:r>
    </w:p>
    <w:p w14:paraId="04B5F318" w14:textId="77777777" w:rsidR="004B0883" w:rsidRDefault="004B0883">
      <w:pPr>
        <w:spacing w:beforeLines="50" w:before="120" w:after="120" w:line="360" w:lineRule="auto"/>
        <w:textAlignment w:val="baseline"/>
        <w:rPr>
          <w:sz w:val="24"/>
          <w:szCs w:val="22"/>
        </w:rPr>
      </w:pPr>
    </w:p>
    <w:p w14:paraId="533B8448" w14:textId="77777777" w:rsidR="004B0883" w:rsidRDefault="004B0883">
      <w:pPr>
        <w:spacing w:beforeLines="50" w:before="120" w:after="120" w:line="360" w:lineRule="auto"/>
        <w:ind w:firstLineChars="200" w:firstLine="480"/>
        <w:textAlignment w:val="baseline"/>
        <w:rPr>
          <w:rFonts w:hint="eastAsia"/>
          <w:sz w:val="24"/>
          <w:szCs w:val="24"/>
        </w:rPr>
      </w:pPr>
      <w:r>
        <w:rPr>
          <w:rFonts w:hint="eastAsia"/>
          <w:sz w:val="24"/>
          <w:szCs w:val="24"/>
        </w:rPr>
        <w:br w:type="page"/>
      </w:r>
      <w:bookmarkStart w:id="466" w:name="_Hlk122942922"/>
      <w:r>
        <w:rPr>
          <w:rFonts w:hint="eastAsia"/>
          <w:sz w:val="24"/>
          <w:szCs w:val="24"/>
        </w:rPr>
        <w:t>（本页无正文，为《青岛伟隆阀门股份有限公司向不特定对象发行可转换公司债券募集说明书》之发行人董事会声明盖章页）</w:t>
      </w:r>
    </w:p>
    <w:p w14:paraId="2D4EB093" w14:textId="119C9253" w:rsidR="004B0883" w:rsidRDefault="0090540C" w:rsidP="00FB1E80">
      <w:pPr>
        <w:spacing w:before="156" w:after="156" w:line="360" w:lineRule="auto"/>
        <w:ind w:firstLineChars="200" w:firstLine="420"/>
        <w:textAlignment w:val="baseline"/>
        <w:rPr>
          <w:rFonts w:hint="eastAsia"/>
          <w:sz w:val="24"/>
          <w:szCs w:val="24"/>
        </w:rPr>
      </w:pPr>
      <w:r>
        <w:rPr>
          <w:noProof/>
        </w:rPr>
        <w:drawing>
          <wp:anchor distT="0" distB="0" distL="114300" distR="114300" simplePos="0" relativeHeight="251658752" behindDoc="0" locked="0" layoutInCell="0" allowOverlap="1" wp14:anchorId="31FCA9F6" wp14:editId="25DE7232">
            <wp:simplePos x="0" y="0"/>
            <wp:positionH relativeFrom="page">
              <wp:posOffset>0</wp:posOffset>
            </wp:positionH>
            <wp:positionV relativeFrom="page">
              <wp:posOffset>847725</wp:posOffset>
            </wp:positionV>
            <wp:extent cx="7559040" cy="8686800"/>
            <wp:effectExtent l="0" t="0" r="0" b="0"/>
            <wp:wrapNone/>
            <wp:docPr id="1103260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 cstate="print">
                      <a:lum contrast="20000"/>
                      <a:extLst>
                        <a:ext uri="{28A0092B-C50C-407E-A947-70E740481C1C}">
                          <a14:useLocalDpi xmlns:a14="http://schemas.microsoft.com/office/drawing/2010/main" val="0"/>
                        </a:ext>
                      </a:extLst>
                    </a:blip>
                    <a:srcRect t="6758" b="11929"/>
                    <a:stretch>
                      <a:fillRect/>
                    </a:stretch>
                  </pic:blipFill>
                  <pic:spPr bwMode="auto">
                    <a:xfrm>
                      <a:off x="0" y="0"/>
                      <a:ext cx="7559040" cy="868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D8B8E4" w14:textId="77777777" w:rsidR="004B0883" w:rsidRDefault="004B0883">
      <w:pPr>
        <w:spacing w:before="156" w:after="156" w:line="360" w:lineRule="auto"/>
        <w:ind w:firstLineChars="200" w:firstLine="480"/>
        <w:textAlignment w:val="baseline"/>
        <w:rPr>
          <w:rFonts w:hint="eastAsia"/>
          <w:sz w:val="24"/>
          <w:szCs w:val="24"/>
        </w:rPr>
      </w:pPr>
    </w:p>
    <w:p w14:paraId="1B39D33B" w14:textId="77777777" w:rsidR="004B0883" w:rsidRDefault="004B0883">
      <w:pPr>
        <w:spacing w:before="156" w:after="156" w:line="360" w:lineRule="auto"/>
        <w:ind w:firstLineChars="200" w:firstLine="480"/>
        <w:textAlignment w:val="baseline"/>
        <w:rPr>
          <w:rFonts w:hint="eastAsia"/>
          <w:sz w:val="24"/>
          <w:szCs w:val="24"/>
        </w:rPr>
      </w:pPr>
    </w:p>
    <w:p w14:paraId="14692E17" w14:textId="77777777" w:rsidR="004B0883" w:rsidRDefault="004B0883">
      <w:pPr>
        <w:spacing w:before="156" w:after="156" w:line="360" w:lineRule="auto"/>
        <w:ind w:firstLineChars="200" w:firstLine="480"/>
        <w:textAlignment w:val="baseline"/>
        <w:rPr>
          <w:rFonts w:hint="eastAsia"/>
          <w:sz w:val="24"/>
          <w:szCs w:val="24"/>
        </w:rPr>
      </w:pPr>
    </w:p>
    <w:p w14:paraId="2219EFEA" w14:textId="77777777" w:rsidR="004B0883" w:rsidRDefault="004B0883">
      <w:pPr>
        <w:spacing w:before="156" w:after="156" w:line="360" w:lineRule="auto"/>
        <w:ind w:firstLineChars="200" w:firstLine="480"/>
        <w:textAlignment w:val="baseline"/>
        <w:rPr>
          <w:rFonts w:hint="eastAsia"/>
          <w:sz w:val="24"/>
          <w:szCs w:val="24"/>
        </w:rPr>
      </w:pPr>
    </w:p>
    <w:p w14:paraId="5815A964" w14:textId="77777777" w:rsidR="004B0883" w:rsidRDefault="004B0883">
      <w:pPr>
        <w:spacing w:before="156" w:after="156" w:line="360" w:lineRule="auto"/>
        <w:ind w:firstLineChars="200" w:firstLine="480"/>
        <w:jc w:val="right"/>
        <w:textAlignment w:val="baseline"/>
        <w:rPr>
          <w:rFonts w:hint="eastAsia"/>
          <w:sz w:val="24"/>
          <w:szCs w:val="24"/>
        </w:rPr>
      </w:pPr>
      <w:r>
        <w:rPr>
          <w:rFonts w:hint="eastAsia"/>
          <w:sz w:val="24"/>
          <w:szCs w:val="24"/>
        </w:rPr>
        <w:t>青岛伟隆阀门股份有限公司董事会</w:t>
      </w:r>
    </w:p>
    <w:p w14:paraId="521042CF" w14:textId="77777777" w:rsidR="004B0883" w:rsidRDefault="004B0883">
      <w:pPr>
        <w:wordWrap w:val="0"/>
        <w:spacing w:before="156" w:after="156" w:line="360" w:lineRule="auto"/>
        <w:ind w:firstLineChars="200" w:firstLine="480"/>
        <w:jc w:val="right"/>
        <w:textAlignment w:val="baseline"/>
        <w:rPr>
          <w:rFonts w:hint="eastAsia"/>
          <w:sz w:val="24"/>
          <w:szCs w:val="24"/>
        </w:rPr>
      </w:pPr>
      <w:r>
        <w:rPr>
          <w:rFonts w:hint="eastAsia"/>
          <w:sz w:val="24"/>
          <w:szCs w:val="24"/>
        </w:rPr>
        <w:t>年</w:t>
      </w:r>
      <w:r>
        <w:rPr>
          <w:rFonts w:hint="eastAsia"/>
          <w:sz w:val="24"/>
          <w:szCs w:val="24"/>
        </w:rPr>
        <w:t xml:space="preserve">    </w:t>
      </w:r>
      <w:r>
        <w:rPr>
          <w:rFonts w:hint="eastAsia"/>
          <w:sz w:val="24"/>
          <w:szCs w:val="24"/>
        </w:rPr>
        <w:t>月</w:t>
      </w:r>
      <w:r>
        <w:rPr>
          <w:rFonts w:hint="eastAsia"/>
          <w:sz w:val="24"/>
          <w:szCs w:val="24"/>
        </w:rPr>
        <w:t xml:space="preserve">    </w:t>
      </w:r>
      <w:r>
        <w:rPr>
          <w:rFonts w:hint="eastAsia"/>
          <w:sz w:val="24"/>
          <w:szCs w:val="24"/>
        </w:rPr>
        <w:t>日</w:t>
      </w:r>
    </w:p>
    <w:p w14:paraId="54DFE51A" w14:textId="77777777" w:rsidR="004B0883" w:rsidRDefault="004B0883">
      <w:pPr>
        <w:pStyle w:val="001"/>
        <w:spacing w:before="120" w:after="120"/>
        <w:rPr>
          <w:rFonts w:hint="eastAsia"/>
        </w:rPr>
      </w:pPr>
      <w:bookmarkStart w:id="467" w:name="_Toc42001377"/>
      <w:bookmarkStart w:id="468" w:name="_Toc152320840"/>
      <w:bookmarkEnd w:id="448"/>
      <w:bookmarkEnd w:id="466"/>
      <w:r>
        <w:rPr>
          <w:rFonts w:hint="eastAsia"/>
        </w:rPr>
        <w:t>第十节</w:t>
      </w:r>
      <w:r>
        <w:rPr>
          <w:rFonts w:hint="eastAsia"/>
        </w:rPr>
        <w:t xml:space="preserve">  </w:t>
      </w:r>
      <w:r>
        <w:rPr>
          <w:rFonts w:hint="eastAsia"/>
        </w:rPr>
        <w:t>备查文件</w:t>
      </w:r>
      <w:bookmarkEnd w:id="467"/>
      <w:bookmarkEnd w:id="468"/>
    </w:p>
    <w:p w14:paraId="2C64F17C" w14:textId="77777777" w:rsidR="004B0883" w:rsidRDefault="004B0883">
      <w:pPr>
        <w:pStyle w:val="002"/>
        <w:spacing w:before="120" w:after="120"/>
        <w:rPr>
          <w:rFonts w:hint="eastAsia"/>
        </w:rPr>
      </w:pPr>
      <w:bookmarkStart w:id="469" w:name="_Toc152320841"/>
      <w:bookmarkStart w:id="470" w:name="_Toc42001378"/>
      <w:bookmarkEnd w:id="110"/>
      <w:bookmarkEnd w:id="114"/>
      <w:bookmarkEnd w:id="115"/>
      <w:bookmarkEnd w:id="116"/>
      <w:bookmarkEnd w:id="117"/>
      <w:bookmarkEnd w:id="118"/>
      <w:bookmarkEnd w:id="119"/>
      <w:bookmarkEnd w:id="120"/>
      <w:bookmarkEnd w:id="121"/>
      <w:r>
        <w:rPr>
          <w:rFonts w:hint="eastAsia"/>
        </w:rPr>
        <w:t>一、备查文件</w:t>
      </w:r>
      <w:bookmarkEnd w:id="469"/>
      <w:bookmarkEnd w:id="470"/>
    </w:p>
    <w:p w14:paraId="3790F01F" w14:textId="77777777" w:rsidR="004B0883" w:rsidRDefault="004B0883">
      <w:pPr>
        <w:pStyle w:val="005"/>
        <w:spacing w:before="120"/>
        <w:ind w:firstLine="480"/>
        <w:rPr>
          <w:rFonts w:hint="eastAsia"/>
        </w:rPr>
      </w:pPr>
      <w:r>
        <w:rPr>
          <w:rFonts w:hint="eastAsia"/>
        </w:rPr>
        <w:t>（一）本公司最近三年的财务报告、审计报告及</w:t>
      </w:r>
      <w:r>
        <w:rPr>
          <w:rFonts w:hint="eastAsia"/>
        </w:rPr>
        <w:t>202</w:t>
      </w:r>
      <w:r>
        <w:t>3</w:t>
      </w:r>
      <w:r>
        <w:rPr>
          <w:rFonts w:hint="eastAsia"/>
        </w:rPr>
        <w:t>年</w:t>
      </w:r>
      <w:r>
        <w:rPr>
          <w:rFonts w:hint="eastAsia"/>
        </w:rPr>
        <w:t>1-</w:t>
      </w:r>
      <w:r>
        <w:t>9</w:t>
      </w:r>
      <w:r>
        <w:rPr>
          <w:rFonts w:hint="eastAsia"/>
        </w:rPr>
        <w:t>月财务报告；</w:t>
      </w:r>
    </w:p>
    <w:p w14:paraId="4E58B971" w14:textId="77777777" w:rsidR="004B0883" w:rsidRDefault="004B0883">
      <w:pPr>
        <w:pStyle w:val="005"/>
        <w:spacing w:before="120"/>
        <w:ind w:firstLine="480"/>
        <w:rPr>
          <w:rFonts w:hint="eastAsia"/>
        </w:rPr>
      </w:pPr>
      <w:r>
        <w:rPr>
          <w:rFonts w:hint="eastAsia"/>
        </w:rPr>
        <w:t>（二）保荐机构出具的发行保荐书、发行保荐工作报告和尽职调查报告；</w:t>
      </w:r>
    </w:p>
    <w:p w14:paraId="3CCEF845" w14:textId="77777777" w:rsidR="004B0883" w:rsidRDefault="004B0883">
      <w:pPr>
        <w:pStyle w:val="005"/>
        <w:spacing w:before="120"/>
        <w:ind w:firstLine="480"/>
        <w:rPr>
          <w:rFonts w:hint="eastAsia"/>
        </w:rPr>
      </w:pPr>
      <w:r>
        <w:rPr>
          <w:rFonts w:hint="eastAsia"/>
        </w:rPr>
        <w:t>（三）律师出具的法律意见书和律师工作报告；</w:t>
      </w:r>
    </w:p>
    <w:p w14:paraId="6B174F32" w14:textId="77777777" w:rsidR="004B0883" w:rsidRDefault="004B0883">
      <w:pPr>
        <w:pStyle w:val="005"/>
        <w:spacing w:before="120"/>
        <w:ind w:firstLine="480"/>
        <w:rPr>
          <w:rFonts w:hint="eastAsia"/>
        </w:rPr>
      </w:pPr>
      <w:r>
        <w:rPr>
          <w:rFonts w:hint="eastAsia"/>
        </w:rPr>
        <w:t>（四）资信评级机构出具的资信评级报告；</w:t>
      </w:r>
    </w:p>
    <w:p w14:paraId="78463316" w14:textId="77777777" w:rsidR="004B0883" w:rsidRDefault="004B0883">
      <w:pPr>
        <w:pStyle w:val="005"/>
        <w:spacing w:before="120"/>
        <w:ind w:firstLine="480"/>
        <w:rPr>
          <w:rFonts w:hint="eastAsia"/>
        </w:rPr>
      </w:pPr>
      <w:r>
        <w:rPr>
          <w:rFonts w:ascii="宋体" w:cs="宋体" w:hint="eastAsia"/>
          <w:kern w:val="0"/>
          <w:szCs w:val="24"/>
        </w:rPr>
        <w:t>（五）中国证监会对本次发行予以注册的文件；</w:t>
      </w:r>
    </w:p>
    <w:p w14:paraId="3822D1FF" w14:textId="77777777" w:rsidR="004B0883" w:rsidRDefault="004B0883">
      <w:pPr>
        <w:pStyle w:val="005"/>
        <w:spacing w:before="120"/>
        <w:ind w:firstLine="480"/>
        <w:rPr>
          <w:rFonts w:hint="eastAsia"/>
        </w:rPr>
      </w:pPr>
      <w:r>
        <w:rPr>
          <w:rFonts w:hint="eastAsia"/>
        </w:rPr>
        <w:t>（六）其他与本次发行有关的重要文件。</w:t>
      </w:r>
    </w:p>
    <w:p w14:paraId="2ADEF8FB" w14:textId="18044A7F" w:rsidR="004B0883" w:rsidRDefault="004B0883">
      <w:pPr>
        <w:pStyle w:val="002"/>
        <w:spacing w:before="120" w:after="120"/>
        <w:rPr>
          <w:rFonts w:hint="eastAsia"/>
        </w:rPr>
      </w:pPr>
      <w:bookmarkStart w:id="471" w:name="_Toc42001379"/>
      <w:bookmarkStart w:id="472" w:name="_Toc152320842"/>
      <w:r>
        <w:rPr>
          <w:rFonts w:hint="eastAsia"/>
        </w:rPr>
        <w:t>二、查阅地点和查阅时间</w:t>
      </w:r>
      <w:r w:rsidR="0090540C">
        <w:rPr>
          <w:noProof/>
          <w:lang w:val="en-US" w:eastAsia="zh-CN"/>
        </w:rPr>
        <mc:AlternateContent>
          <mc:Choice Requires="wps">
            <w:drawing>
              <wp:anchor distT="0" distB="0" distL="114300" distR="114300" simplePos="0" relativeHeight="251651584" behindDoc="0" locked="0" layoutInCell="1" allowOverlap="1" wp14:anchorId="4511128A" wp14:editId="6BD65192">
                <wp:simplePos x="0" y="0"/>
                <wp:positionH relativeFrom="column">
                  <wp:posOffset>-1141095</wp:posOffset>
                </wp:positionH>
                <wp:positionV relativeFrom="paragraph">
                  <wp:posOffset>-9097010</wp:posOffset>
                </wp:positionV>
                <wp:extent cx="915035" cy="915035"/>
                <wp:effectExtent l="0" t="0" r="0" b="0"/>
                <wp:wrapNone/>
                <wp:docPr id="950682214" name="矩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915035"/>
                        </a:xfrm>
                        <a:prstGeom prst="rect">
                          <a:avLst/>
                        </a:prstGeom>
                        <a:solidFill>
                          <a:srgbClr val="FFFFFF"/>
                        </a:solidFill>
                        <a:ln w="9525">
                          <a:solidFill>
                            <a:srgbClr val="000000"/>
                          </a:solidFill>
                          <a:miter lim="800000"/>
                        </a:ln>
                        <a:effectLst/>
                      </wps:spPr>
                      <wps:txbx>
                        <w:txbxContent>
                          <w:p w14:paraId="7A756825" w14:textId="77777777" w:rsidR="004B0883" w:rsidRDefault="004B0883">
                            <w:pPr>
                              <w:spacing w:before="120" w:after="120"/>
                              <w:ind w:firstLine="4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1128A" id="矩形 97" o:spid="_x0000_s1026" style="position:absolute;left:0;text-align:left;margin-left:-89.85pt;margin-top:-716.3pt;width:72.05pt;height:72.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">
                <v:textbox>
                  <w:txbxContent>
                    <w:p w14:paraId="7A756825" w14:textId="77777777" w:rsidR="004B0883" w:rsidRDefault="004B0883">
                      <w:pPr>
                        <w:spacing w:before="120" w:after="120"/>
                        <w:ind w:firstLine="480"/>
                      </w:pPr>
                    </w:p>
                  </w:txbxContent>
                </v:textbox>
              </v:rect>
            </w:pict>
          </mc:Fallback>
        </mc:AlternateContent>
      </w:r>
      <w:bookmarkEnd w:id="471"/>
      <w:bookmarkEnd w:id="472"/>
    </w:p>
    <w:p w14:paraId="47028AC0" w14:textId="77777777" w:rsidR="004B0883" w:rsidRDefault="004B0883">
      <w:pPr>
        <w:pStyle w:val="005"/>
        <w:spacing w:before="120"/>
        <w:ind w:firstLine="480"/>
        <w:rPr>
          <w:rFonts w:hint="eastAsia"/>
        </w:rPr>
      </w:pPr>
      <w:r>
        <w:rPr>
          <w:rFonts w:hint="eastAsia"/>
        </w:rPr>
        <w:t>自本募集说明书公告之日起，除法定节假日以外的每日</w:t>
      </w:r>
      <w:r>
        <w:rPr>
          <w:rFonts w:hint="eastAsia"/>
        </w:rPr>
        <w:t>9:30-11:30</w:t>
      </w:r>
      <w:r>
        <w:rPr>
          <w:rFonts w:hint="eastAsia"/>
        </w:rPr>
        <w:t>，</w:t>
      </w:r>
      <w:r>
        <w:rPr>
          <w:rFonts w:hint="eastAsia"/>
        </w:rPr>
        <w:t>13:30-16:30</w:t>
      </w:r>
      <w:r>
        <w:rPr>
          <w:rFonts w:hint="eastAsia"/>
        </w:rPr>
        <w:t>，投资者可至本公司、保荐机构住所查阅相关备查文件。</w:t>
      </w:r>
    </w:p>
    <w:p w14:paraId="4791D239" w14:textId="77777777" w:rsidR="004B0883" w:rsidRDefault="004B0883">
      <w:pPr>
        <w:pStyle w:val="005"/>
        <w:spacing w:before="120"/>
        <w:ind w:firstLine="480"/>
        <w:rPr>
          <w:rFonts w:hint="eastAsia"/>
        </w:rPr>
      </w:pPr>
      <w:r>
        <w:rPr>
          <w:rFonts w:hint="eastAsia"/>
        </w:rPr>
        <w:t>投资者亦可在本公司的指定信息披露网站（</w:t>
      </w:r>
      <w:r>
        <w:rPr>
          <w:rFonts w:hint="eastAsia"/>
        </w:rPr>
        <w:t>http</w:t>
      </w:r>
      <w:r>
        <w:rPr>
          <w:rFonts w:hint="eastAsia"/>
        </w:rPr>
        <w:t>：</w:t>
      </w:r>
      <w:r>
        <w:rPr>
          <w:rFonts w:hint="eastAsia"/>
        </w:rPr>
        <w:t>www.sse.com.cn</w:t>
      </w:r>
      <w:r>
        <w:rPr>
          <w:rFonts w:hint="eastAsia"/>
        </w:rPr>
        <w:t>）查阅募集说明书全文。</w:t>
      </w:r>
    </w:p>
    <w:p w14:paraId="403AB2D1" w14:textId="77777777" w:rsidR="004B0883" w:rsidRDefault="004B0883">
      <w:pPr>
        <w:pStyle w:val="002"/>
        <w:spacing w:before="120" w:after="120"/>
        <w:jc w:val="center"/>
        <w:outlineLvl w:val="0"/>
      </w:pPr>
      <w:r>
        <w:br w:type="page"/>
      </w:r>
      <w:bookmarkStart w:id="473" w:name="_Toc152320843"/>
      <w:r>
        <w:rPr>
          <w:rFonts w:hint="eastAsia"/>
          <w:sz w:val="36"/>
          <w:szCs w:val="36"/>
        </w:rPr>
        <w:t>附件</w:t>
      </w:r>
      <w:bookmarkEnd w:id="473"/>
    </w:p>
    <w:p w14:paraId="26EADB29" w14:textId="77777777" w:rsidR="004B0883" w:rsidRDefault="004B0883">
      <w:pPr>
        <w:pStyle w:val="002"/>
        <w:spacing w:before="120" w:after="120"/>
      </w:pPr>
      <w:bookmarkStart w:id="474" w:name="_Toc152320844"/>
      <w:r>
        <w:rPr>
          <w:rFonts w:hint="eastAsia"/>
        </w:rPr>
        <w:t>附件一</w:t>
      </w:r>
      <w:r>
        <w:rPr>
          <w:rFonts w:hint="eastAsia"/>
        </w:rPr>
        <w:t xml:space="preserve"> </w:t>
      </w:r>
      <w:r>
        <w:rPr>
          <w:rFonts w:hint="eastAsia"/>
        </w:rPr>
        <w:t>注册商标</w:t>
      </w:r>
      <w:bookmarkEnd w:id="474"/>
    </w:p>
    <w:p w14:paraId="1AE68891" w14:textId="77777777" w:rsidR="004B0883" w:rsidRDefault="004B0883">
      <w:pPr>
        <w:pStyle w:val="003"/>
        <w:spacing w:before="120" w:after="120"/>
      </w:pPr>
      <w:r>
        <w:rPr>
          <w:rFonts w:hint="eastAsia"/>
        </w:rPr>
        <w:t>（一）境内商标</w:t>
      </w:r>
    </w:p>
    <w:tbl>
      <w:tblPr>
        <w:tblW w:w="5000" w:type="pct"/>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75"/>
        <w:gridCol w:w="1823"/>
        <w:gridCol w:w="1012"/>
        <w:gridCol w:w="1418"/>
        <w:gridCol w:w="992"/>
        <w:gridCol w:w="1157"/>
        <w:gridCol w:w="1203"/>
      </w:tblGrid>
      <w:tr w:rsidR="004B0883" w14:paraId="59F2979B" w14:textId="77777777">
        <w:trPr>
          <w:trHeight w:val="397"/>
        </w:trPr>
        <w:tc>
          <w:tcPr>
            <w:tcW w:w="675" w:type="dxa"/>
            <w:shd w:val="clear" w:color="auto" w:fill="D9D9D9"/>
            <w:noWrap/>
            <w:vAlign w:val="center"/>
          </w:tcPr>
          <w:p w14:paraId="1911DFE5" w14:textId="77777777" w:rsidR="004B0883" w:rsidRDefault="004B0883">
            <w:pPr>
              <w:widowControl w:val="0"/>
              <w:jc w:val="center"/>
              <w:rPr>
                <w:b/>
                <w:bCs/>
                <w:sz w:val="18"/>
                <w:szCs w:val="22"/>
              </w:rPr>
            </w:pPr>
            <w:bookmarkStart w:id="475" w:name="_Hlk136118640"/>
            <w:r>
              <w:rPr>
                <w:rFonts w:hint="eastAsia"/>
                <w:b/>
                <w:bCs/>
                <w:sz w:val="18"/>
                <w:szCs w:val="22"/>
              </w:rPr>
              <w:t>序号</w:t>
            </w:r>
          </w:p>
        </w:tc>
        <w:tc>
          <w:tcPr>
            <w:tcW w:w="1823" w:type="dxa"/>
            <w:shd w:val="clear" w:color="auto" w:fill="D9D9D9"/>
            <w:noWrap/>
            <w:vAlign w:val="center"/>
          </w:tcPr>
          <w:p w14:paraId="5DC71707" w14:textId="77777777" w:rsidR="004B0883" w:rsidRDefault="004B0883">
            <w:pPr>
              <w:widowControl w:val="0"/>
              <w:jc w:val="center"/>
              <w:rPr>
                <w:b/>
                <w:bCs/>
                <w:sz w:val="18"/>
                <w:szCs w:val="22"/>
              </w:rPr>
            </w:pPr>
            <w:r>
              <w:rPr>
                <w:rFonts w:hint="eastAsia"/>
                <w:b/>
                <w:bCs/>
                <w:sz w:val="18"/>
                <w:szCs w:val="22"/>
              </w:rPr>
              <w:t>商标</w:t>
            </w:r>
          </w:p>
        </w:tc>
        <w:tc>
          <w:tcPr>
            <w:tcW w:w="1012" w:type="dxa"/>
            <w:shd w:val="clear" w:color="auto" w:fill="D9D9D9"/>
            <w:noWrap/>
            <w:vAlign w:val="center"/>
          </w:tcPr>
          <w:p w14:paraId="39CB4248" w14:textId="77777777" w:rsidR="004B0883" w:rsidRDefault="004B0883">
            <w:pPr>
              <w:widowControl w:val="0"/>
              <w:jc w:val="center"/>
              <w:rPr>
                <w:b/>
                <w:bCs/>
                <w:sz w:val="18"/>
                <w:szCs w:val="22"/>
              </w:rPr>
            </w:pPr>
            <w:r>
              <w:rPr>
                <w:rFonts w:hint="eastAsia"/>
                <w:b/>
                <w:bCs/>
                <w:sz w:val="18"/>
                <w:szCs w:val="22"/>
              </w:rPr>
              <w:t>注册号</w:t>
            </w:r>
          </w:p>
        </w:tc>
        <w:tc>
          <w:tcPr>
            <w:tcW w:w="1418" w:type="dxa"/>
            <w:shd w:val="clear" w:color="auto" w:fill="D9D9D9"/>
            <w:noWrap/>
            <w:vAlign w:val="center"/>
          </w:tcPr>
          <w:p w14:paraId="45BA9CB9" w14:textId="77777777" w:rsidR="004B0883" w:rsidRDefault="004B0883">
            <w:pPr>
              <w:widowControl w:val="0"/>
              <w:jc w:val="center"/>
              <w:rPr>
                <w:b/>
                <w:bCs/>
                <w:sz w:val="18"/>
                <w:szCs w:val="22"/>
              </w:rPr>
            </w:pPr>
            <w:r>
              <w:rPr>
                <w:rFonts w:hint="eastAsia"/>
                <w:b/>
                <w:bCs/>
                <w:sz w:val="18"/>
                <w:szCs w:val="22"/>
              </w:rPr>
              <w:t>专用权期限</w:t>
            </w:r>
          </w:p>
        </w:tc>
        <w:tc>
          <w:tcPr>
            <w:tcW w:w="992" w:type="dxa"/>
            <w:shd w:val="clear" w:color="auto" w:fill="D9D9D9"/>
            <w:noWrap/>
            <w:vAlign w:val="center"/>
          </w:tcPr>
          <w:p w14:paraId="231B3382" w14:textId="77777777" w:rsidR="004B0883" w:rsidRDefault="004B0883">
            <w:pPr>
              <w:widowControl w:val="0"/>
              <w:jc w:val="center"/>
              <w:rPr>
                <w:b/>
                <w:bCs/>
                <w:sz w:val="18"/>
                <w:szCs w:val="22"/>
              </w:rPr>
            </w:pPr>
            <w:r>
              <w:rPr>
                <w:rFonts w:hint="eastAsia"/>
                <w:b/>
                <w:bCs/>
                <w:sz w:val="18"/>
                <w:szCs w:val="22"/>
              </w:rPr>
              <w:t>国际分类</w:t>
            </w:r>
          </w:p>
        </w:tc>
        <w:tc>
          <w:tcPr>
            <w:tcW w:w="1276" w:type="dxa"/>
            <w:shd w:val="clear" w:color="auto" w:fill="D9D9D9"/>
            <w:vAlign w:val="center"/>
          </w:tcPr>
          <w:p w14:paraId="6593D4F2" w14:textId="77777777" w:rsidR="004B0883" w:rsidRDefault="004B0883">
            <w:pPr>
              <w:widowControl w:val="0"/>
              <w:jc w:val="center"/>
              <w:rPr>
                <w:b/>
                <w:bCs/>
                <w:sz w:val="18"/>
                <w:szCs w:val="22"/>
              </w:rPr>
            </w:pPr>
            <w:r>
              <w:rPr>
                <w:rFonts w:hint="eastAsia"/>
                <w:b/>
                <w:bCs/>
                <w:sz w:val="18"/>
                <w:szCs w:val="22"/>
              </w:rPr>
              <w:t>权利人</w:t>
            </w:r>
          </w:p>
        </w:tc>
        <w:tc>
          <w:tcPr>
            <w:tcW w:w="1330" w:type="dxa"/>
            <w:shd w:val="clear" w:color="auto" w:fill="D9D9D9"/>
            <w:vAlign w:val="center"/>
          </w:tcPr>
          <w:p w14:paraId="735D3621" w14:textId="77777777" w:rsidR="004B0883" w:rsidRDefault="004B0883">
            <w:pPr>
              <w:widowControl w:val="0"/>
              <w:jc w:val="center"/>
              <w:rPr>
                <w:b/>
                <w:bCs/>
                <w:sz w:val="18"/>
                <w:szCs w:val="22"/>
              </w:rPr>
            </w:pPr>
            <w:r>
              <w:rPr>
                <w:rFonts w:hint="eastAsia"/>
                <w:b/>
                <w:bCs/>
                <w:sz w:val="18"/>
                <w:szCs w:val="22"/>
              </w:rPr>
              <w:t>取得方式</w:t>
            </w:r>
          </w:p>
        </w:tc>
      </w:tr>
      <w:tr w:rsidR="004B0883" w14:paraId="710D0377" w14:textId="77777777">
        <w:trPr>
          <w:trHeight w:val="397"/>
        </w:trPr>
        <w:tc>
          <w:tcPr>
            <w:tcW w:w="675" w:type="dxa"/>
            <w:noWrap/>
            <w:vAlign w:val="center"/>
          </w:tcPr>
          <w:p w14:paraId="4AAF0CD2" w14:textId="77777777" w:rsidR="004B0883" w:rsidRDefault="004B0883">
            <w:pPr>
              <w:widowControl w:val="0"/>
              <w:numPr>
                <w:ilvl w:val="0"/>
                <w:numId w:val="25"/>
              </w:numPr>
              <w:spacing w:before="120" w:after="120"/>
              <w:ind w:left="0" w:firstLine="0"/>
              <w:jc w:val="center"/>
              <w:rPr>
                <w:sz w:val="18"/>
                <w:szCs w:val="22"/>
              </w:rPr>
            </w:pPr>
          </w:p>
        </w:tc>
        <w:tc>
          <w:tcPr>
            <w:tcW w:w="1823" w:type="dxa"/>
            <w:noWrap/>
            <w:vAlign w:val="center"/>
          </w:tcPr>
          <w:p w14:paraId="388BA344" w14:textId="7EC16122" w:rsidR="004B0883" w:rsidRDefault="0090540C">
            <w:pPr>
              <w:jc w:val="center"/>
              <w:rPr>
                <w:sz w:val="18"/>
                <w:szCs w:val="18"/>
              </w:rPr>
            </w:pPr>
            <w:r>
              <w:rPr>
                <w:rFonts w:eastAsia="等线"/>
                <w:noProof/>
                <w:sz w:val="18"/>
                <w:szCs w:val="18"/>
              </w:rPr>
              <w:drawing>
                <wp:inline distT="0" distB="0" distL="0" distR="0" wp14:anchorId="0E8E0F4D" wp14:editId="7C9517DD">
                  <wp:extent cx="659765" cy="238760"/>
                  <wp:effectExtent l="0" t="0" r="0" b="0"/>
                  <wp:docPr id="17"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9765" cy="238760"/>
                          </a:xfrm>
                          <a:prstGeom prst="rect">
                            <a:avLst/>
                          </a:prstGeom>
                          <a:noFill/>
                          <a:ln>
                            <a:noFill/>
                          </a:ln>
                          <a:effectLst/>
                        </pic:spPr>
                      </pic:pic>
                    </a:graphicData>
                  </a:graphic>
                </wp:inline>
              </w:drawing>
            </w:r>
          </w:p>
        </w:tc>
        <w:tc>
          <w:tcPr>
            <w:tcW w:w="1012" w:type="dxa"/>
            <w:noWrap/>
            <w:vAlign w:val="center"/>
          </w:tcPr>
          <w:p w14:paraId="60032C69" w14:textId="77777777" w:rsidR="004B0883" w:rsidRDefault="004B0883">
            <w:pPr>
              <w:jc w:val="center"/>
              <w:rPr>
                <w:sz w:val="18"/>
                <w:szCs w:val="18"/>
              </w:rPr>
            </w:pPr>
            <w:r>
              <w:rPr>
                <w:rFonts w:eastAsia="等线" w:hint="eastAsia"/>
                <w:sz w:val="18"/>
                <w:szCs w:val="18"/>
              </w:rPr>
              <w:t>6</w:t>
            </w:r>
            <w:r>
              <w:rPr>
                <w:rFonts w:eastAsia="等线"/>
                <w:sz w:val="18"/>
                <w:szCs w:val="18"/>
              </w:rPr>
              <w:t>7074815</w:t>
            </w:r>
          </w:p>
        </w:tc>
        <w:tc>
          <w:tcPr>
            <w:tcW w:w="1418" w:type="dxa"/>
            <w:noWrap/>
            <w:vAlign w:val="center"/>
          </w:tcPr>
          <w:p w14:paraId="74CBA7A3" w14:textId="77777777" w:rsidR="004B0883" w:rsidRDefault="004B0883">
            <w:pPr>
              <w:jc w:val="center"/>
              <w:rPr>
                <w:rFonts w:eastAsia="等线"/>
                <w:sz w:val="18"/>
                <w:szCs w:val="18"/>
              </w:rPr>
            </w:pPr>
            <w:r>
              <w:rPr>
                <w:rFonts w:eastAsia="等线" w:hint="eastAsia"/>
                <w:sz w:val="18"/>
                <w:szCs w:val="18"/>
              </w:rPr>
              <w:t>2</w:t>
            </w:r>
            <w:r>
              <w:rPr>
                <w:rFonts w:eastAsia="等线"/>
                <w:sz w:val="18"/>
                <w:szCs w:val="18"/>
              </w:rPr>
              <w:t>023.04.13</w:t>
            </w:r>
            <w:r>
              <w:rPr>
                <w:rFonts w:eastAsia="等线" w:hint="eastAsia"/>
                <w:sz w:val="18"/>
                <w:szCs w:val="18"/>
              </w:rPr>
              <w:t>-</w:t>
            </w:r>
          </w:p>
          <w:p w14:paraId="43EAFCD8" w14:textId="77777777" w:rsidR="004B0883" w:rsidRDefault="004B0883">
            <w:pPr>
              <w:jc w:val="center"/>
              <w:rPr>
                <w:sz w:val="18"/>
                <w:szCs w:val="18"/>
              </w:rPr>
            </w:pPr>
            <w:r>
              <w:rPr>
                <w:rFonts w:eastAsia="等线" w:hint="eastAsia"/>
                <w:sz w:val="18"/>
                <w:szCs w:val="18"/>
              </w:rPr>
              <w:t>2</w:t>
            </w:r>
            <w:r>
              <w:rPr>
                <w:rFonts w:eastAsia="等线"/>
                <w:sz w:val="18"/>
                <w:szCs w:val="18"/>
              </w:rPr>
              <w:t>033.04.12</w:t>
            </w:r>
          </w:p>
        </w:tc>
        <w:tc>
          <w:tcPr>
            <w:tcW w:w="992" w:type="dxa"/>
            <w:noWrap/>
            <w:vAlign w:val="center"/>
          </w:tcPr>
          <w:p w14:paraId="28F2C236" w14:textId="77777777" w:rsidR="004B0883" w:rsidRDefault="004B0883">
            <w:pPr>
              <w:jc w:val="center"/>
              <w:rPr>
                <w:sz w:val="18"/>
                <w:szCs w:val="18"/>
              </w:rPr>
            </w:pPr>
            <w:r>
              <w:rPr>
                <w:rFonts w:eastAsia="等线" w:hint="eastAsia"/>
                <w:sz w:val="18"/>
                <w:szCs w:val="18"/>
              </w:rPr>
              <w:t>9</w:t>
            </w:r>
          </w:p>
        </w:tc>
        <w:tc>
          <w:tcPr>
            <w:tcW w:w="1276" w:type="dxa"/>
            <w:vAlign w:val="center"/>
          </w:tcPr>
          <w:p w14:paraId="04115FFF" w14:textId="77777777" w:rsidR="004B0883" w:rsidRDefault="004B0883">
            <w:pPr>
              <w:jc w:val="center"/>
              <w:rPr>
                <w:sz w:val="18"/>
                <w:szCs w:val="18"/>
              </w:rPr>
            </w:pPr>
            <w:r>
              <w:rPr>
                <w:rFonts w:ascii="宋体" w:hAnsi="宋体" w:hint="eastAsia"/>
                <w:sz w:val="18"/>
                <w:szCs w:val="18"/>
              </w:rPr>
              <w:t>发行人</w:t>
            </w:r>
          </w:p>
        </w:tc>
        <w:tc>
          <w:tcPr>
            <w:tcW w:w="1330" w:type="dxa"/>
            <w:vAlign w:val="center"/>
          </w:tcPr>
          <w:p w14:paraId="299C6CF7" w14:textId="77777777" w:rsidR="004B0883" w:rsidRDefault="004B0883">
            <w:pPr>
              <w:jc w:val="center"/>
              <w:rPr>
                <w:sz w:val="18"/>
                <w:szCs w:val="18"/>
              </w:rPr>
            </w:pPr>
            <w:r>
              <w:rPr>
                <w:rFonts w:ascii="宋体" w:hAnsi="宋体" w:hint="eastAsia"/>
                <w:sz w:val="18"/>
                <w:szCs w:val="18"/>
              </w:rPr>
              <w:t>原始取得</w:t>
            </w:r>
          </w:p>
        </w:tc>
      </w:tr>
      <w:tr w:rsidR="004B0883" w14:paraId="6A3F8DA4" w14:textId="77777777">
        <w:trPr>
          <w:trHeight w:val="397"/>
        </w:trPr>
        <w:tc>
          <w:tcPr>
            <w:tcW w:w="675" w:type="dxa"/>
            <w:noWrap/>
            <w:vAlign w:val="center"/>
          </w:tcPr>
          <w:p w14:paraId="1B4ACDDD" w14:textId="77777777" w:rsidR="004B0883" w:rsidRDefault="004B0883">
            <w:pPr>
              <w:widowControl w:val="0"/>
              <w:numPr>
                <w:ilvl w:val="0"/>
                <w:numId w:val="25"/>
              </w:numPr>
              <w:ind w:left="0" w:firstLine="0"/>
              <w:jc w:val="center"/>
              <w:rPr>
                <w:sz w:val="18"/>
                <w:szCs w:val="22"/>
              </w:rPr>
            </w:pPr>
          </w:p>
        </w:tc>
        <w:tc>
          <w:tcPr>
            <w:tcW w:w="1823" w:type="dxa"/>
            <w:noWrap/>
            <w:vAlign w:val="center"/>
          </w:tcPr>
          <w:p w14:paraId="1FC864D7" w14:textId="58473407" w:rsidR="004B0883" w:rsidRDefault="0090540C">
            <w:pPr>
              <w:jc w:val="center"/>
              <w:rPr>
                <w:sz w:val="18"/>
                <w:szCs w:val="18"/>
              </w:rPr>
            </w:pPr>
            <w:r>
              <w:rPr>
                <w:rFonts w:ascii="宋体" w:eastAsia="等线" w:hAnsi="宋体"/>
                <w:noProof/>
                <w:sz w:val="18"/>
                <w:szCs w:val="18"/>
              </w:rPr>
              <w:drawing>
                <wp:inline distT="0" distB="0" distL="0" distR="0" wp14:anchorId="7AEDB863" wp14:editId="5092AC07">
                  <wp:extent cx="501015" cy="389890"/>
                  <wp:effectExtent l="0" t="0" r="0" b="0"/>
                  <wp:docPr id="18"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1015" cy="389890"/>
                          </a:xfrm>
                          <a:prstGeom prst="rect">
                            <a:avLst/>
                          </a:prstGeom>
                          <a:noFill/>
                          <a:ln>
                            <a:noFill/>
                          </a:ln>
                          <a:effectLst/>
                        </pic:spPr>
                      </pic:pic>
                    </a:graphicData>
                  </a:graphic>
                </wp:inline>
              </w:drawing>
            </w:r>
          </w:p>
        </w:tc>
        <w:tc>
          <w:tcPr>
            <w:tcW w:w="1012" w:type="dxa"/>
            <w:noWrap/>
            <w:vAlign w:val="center"/>
          </w:tcPr>
          <w:p w14:paraId="65D13F81" w14:textId="77777777" w:rsidR="004B0883" w:rsidRDefault="004B0883">
            <w:pPr>
              <w:jc w:val="center"/>
              <w:rPr>
                <w:sz w:val="18"/>
                <w:szCs w:val="18"/>
              </w:rPr>
            </w:pPr>
            <w:r>
              <w:rPr>
                <w:rFonts w:eastAsia="等线"/>
                <w:sz w:val="18"/>
                <w:szCs w:val="18"/>
              </w:rPr>
              <w:t>62819622</w:t>
            </w:r>
          </w:p>
        </w:tc>
        <w:tc>
          <w:tcPr>
            <w:tcW w:w="1418" w:type="dxa"/>
            <w:noWrap/>
            <w:vAlign w:val="center"/>
          </w:tcPr>
          <w:p w14:paraId="277E28EF" w14:textId="77777777" w:rsidR="004B0883" w:rsidRDefault="004B0883">
            <w:pPr>
              <w:jc w:val="center"/>
              <w:rPr>
                <w:rFonts w:eastAsia="等线"/>
                <w:sz w:val="18"/>
                <w:szCs w:val="18"/>
              </w:rPr>
            </w:pPr>
            <w:r>
              <w:rPr>
                <w:rFonts w:eastAsia="等线"/>
                <w:sz w:val="18"/>
                <w:szCs w:val="18"/>
              </w:rPr>
              <w:t>2022.08.21</w:t>
            </w:r>
            <w:r>
              <w:rPr>
                <w:rFonts w:eastAsia="等线" w:hint="eastAsia"/>
                <w:sz w:val="18"/>
                <w:szCs w:val="18"/>
              </w:rPr>
              <w:t>-</w:t>
            </w:r>
          </w:p>
          <w:p w14:paraId="2DF50FF9" w14:textId="77777777" w:rsidR="004B0883" w:rsidRDefault="004B0883">
            <w:pPr>
              <w:jc w:val="center"/>
              <w:rPr>
                <w:sz w:val="18"/>
                <w:szCs w:val="18"/>
              </w:rPr>
            </w:pPr>
            <w:r>
              <w:rPr>
                <w:rFonts w:eastAsia="等线"/>
                <w:sz w:val="18"/>
                <w:szCs w:val="18"/>
              </w:rPr>
              <w:t>2032.08.20</w:t>
            </w:r>
          </w:p>
        </w:tc>
        <w:tc>
          <w:tcPr>
            <w:tcW w:w="992" w:type="dxa"/>
            <w:noWrap/>
            <w:vAlign w:val="center"/>
          </w:tcPr>
          <w:p w14:paraId="2D72914F" w14:textId="77777777" w:rsidR="004B0883" w:rsidRDefault="004B0883">
            <w:pPr>
              <w:jc w:val="center"/>
              <w:rPr>
                <w:sz w:val="18"/>
                <w:szCs w:val="18"/>
              </w:rPr>
            </w:pPr>
            <w:r>
              <w:rPr>
                <w:rFonts w:eastAsia="等线"/>
                <w:sz w:val="18"/>
                <w:szCs w:val="18"/>
              </w:rPr>
              <w:t>9</w:t>
            </w:r>
          </w:p>
        </w:tc>
        <w:tc>
          <w:tcPr>
            <w:tcW w:w="1276" w:type="dxa"/>
            <w:vAlign w:val="center"/>
          </w:tcPr>
          <w:p w14:paraId="1F3D52FA" w14:textId="77777777" w:rsidR="004B0883" w:rsidRDefault="004B0883">
            <w:pPr>
              <w:jc w:val="center"/>
              <w:rPr>
                <w:sz w:val="18"/>
                <w:szCs w:val="18"/>
              </w:rPr>
            </w:pPr>
            <w:r>
              <w:rPr>
                <w:rFonts w:ascii="宋体" w:hAnsi="宋体" w:hint="eastAsia"/>
                <w:sz w:val="18"/>
                <w:szCs w:val="18"/>
              </w:rPr>
              <w:t>发行人</w:t>
            </w:r>
          </w:p>
        </w:tc>
        <w:tc>
          <w:tcPr>
            <w:tcW w:w="1330" w:type="dxa"/>
            <w:vAlign w:val="center"/>
          </w:tcPr>
          <w:p w14:paraId="0EA4FB0B" w14:textId="77777777" w:rsidR="004B0883" w:rsidRDefault="004B0883">
            <w:pPr>
              <w:jc w:val="center"/>
              <w:rPr>
                <w:sz w:val="18"/>
                <w:szCs w:val="18"/>
              </w:rPr>
            </w:pPr>
            <w:r>
              <w:rPr>
                <w:rFonts w:ascii="宋体" w:hAnsi="宋体" w:hint="eastAsia"/>
                <w:sz w:val="18"/>
                <w:szCs w:val="18"/>
              </w:rPr>
              <w:t>原始取得</w:t>
            </w:r>
          </w:p>
        </w:tc>
      </w:tr>
      <w:tr w:rsidR="004B0883" w14:paraId="1B5CEC90" w14:textId="77777777">
        <w:trPr>
          <w:trHeight w:val="397"/>
        </w:trPr>
        <w:tc>
          <w:tcPr>
            <w:tcW w:w="675" w:type="dxa"/>
            <w:noWrap/>
            <w:vAlign w:val="center"/>
          </w:tcPr>
          <w:p w14:paraId="2329B2B5" w14:textId="77777777" w:rsidR="004B0883" w:rsidRDefault="004B0883">
            <w:pPr>
              <w:widowControl w:val="0"/>
              <w:numPr>
                <w:ilvl w:val="0"/>
                <w:numId w:val="25"/>
              </w:numPr>
              <w:ind w:left="0" w:firstLine="0"/>
              <w:jc w:val="center"/>
              <w:rPr>
                <w:sz w:val="18"/>
                <w:szCs w:val="22"/>
              </w:rPr>
            </w:pPr>
          </w:p>
        </w:tc>
        <w:tc>
          <w:tcPr>
            <w:tcW w:w="1823" w:type="dxa"/>
            <w:noWrap/>
            <w:vAlign w:val="center"/>
          </w:tcPr>
          <w:p w14:paraId="11B99356" w14:textId="6A18CF0C" w:rsidR="004B0883" w:rsidRDefault="0090540C">
            <w:pPr>
              <w:jc w:val="center"/>
              <w:rPr>
                <w:sz w:val="18"/>
                <w:szCs w:val="18"/>
              </w:rPr>
            </w:pPr>
            <w:r>
              <w:rPr>
                <w:rFonts w:ascii="宋体" w:eastAsia="等线" w:hAnsi="宋体"/>
                <w:noProof/>
                <w:sz w:val="18"/>
                <w:szCs w:val="18"/>
              </w:rPr>
              <w:drawing>
                <wp:inline distT="0" distB="0" distL="0" distR="0" wp14:anchorId="0CC7AFBE" wp14:editId="0022C2AA">
                  <wp:extent cx="604520" cy="381635"/>
                  <wp:effectExtent l="0" t="0" r="0" b="0"/>
                  <wp:docPr id="19"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4520" cy="381635"/>
                          </a:xfrm>
                          <a:prstGeom prst="rect">
                            <a:avLst/>
                          </a:prstGeom>
                          <a:noFill/>
                          <a:ln>
                            <a:noFill/>
                          </a:ln>
                          <a:effectLst/>
                        </pic:spPr>
                      </pic:pic>
                    </a:graphicData>
                  </a:graphic>
                </wp:inline>
              </w:drawing>
            </w:r>
          </w:p>
        </w:tc>
        <w:tc>
          <w:tcPr>
            <w:tcW w:w="1012" w:type="dxa"/>
            <w:noWrap/>
            <w:vAlign w:val="center"/>
          </w:tcPr>
          <w:p w14:paraId="17560BF5" w14:textId="77777777" w:rsidR="004B0883" w:rsidRDefault="004B0883">
            <w:pPr>
              <w:jc w:val="center"/>
              <w:rPr>
                <w:sz w:val="18"/>
                <w:szCs w:val="18"/>
              </w:rPr>
            </w:pPr>
            <w:r>
              <w:rPr>
                <w:rFonts w:eastAsia="等线"/>
                <w:sz w:val="18"/>
                <w:szCs w:val="18"/>
              </w:rPr>
              <w:t>61070847</w:t>
            </w:r>
          </w:p>
        </w:tc>
        <w:tc>
          <w:tcPr>
            <w:tcW w:w="1418" w:type="dxa"/>
            <w:noWrap/>
            <w:vAlign w:val="center"/>
          </w:tcPr>
          <w:p w14:paraId="5B1574F1" w14:textId="77777777" w:rsidR="004B0883" w:rsidRDefault="004B0883">
            <w:pPr>
              <w:jc w:val="center"/>
              <w:rPr>
                <w:rFonts w:eastAsia="等线"/>
                <w:sz w:val="18"/>
                <w:szCs w:val="18"/>
              </w:rPr>
            </w:pPr>
            <w:r>
              <w:rPr>
                <w:rFonts w:eastAsia="等线"/>
                <w:sz w:val="18"/>
                <w:szCs w:val="18"/>
              </w:rPr>
              <w:t>2022.05.28</w:t>
            </w:r>
            <w:r>
              <w:rPr>
                <w:rFonts w:eastAsia="等线" w:hint="eastAsia"/>
                <w:sz w:val="18"/>
                <w:szCs w:val="18"/>
              </w:rPr>
              <w:t>-</w:t>
            </w:r>
          </w:p>
          <w:p w14:paraId="61343191" w14:textId="77777777" w:rsidR="004B0883" w:rsidRDefault="004B0883">
            <w:pPr>
              <w:jc w:val="center"/>
              <w:rPr>
                <w:sz w:val="18"/>
                <w:szCs w:val="18"/>
              </w:rPr>
            </w:pPr>
            <w:r>
              <w:rPr>
                <w:rFonts w:eastAsia="等线"/>
                <w:sz w:val="18"/>
                <w:szCs w:val="18"/>
              </w:rPr>
              <w:t>2032.05.27</w:t>
            </w:r>
          </w:p>
        </w:tc>
        <w:tc>
          <w:tcPr>
            <w:tcW w:w="992" w:type="dxa"/>
            <w:noWrap/>
            <w:vAlign w:val="center"/>
          </w:tcPr>
          <w:p w14:paraId="2A5E76B9" w14:textId="77777777" w:rsidR="004B0883" w:rsidRDefault="004B0883">
            <w:pPr>
              <w:jc w:val="center"/>
              <w:rPr>
                <w:sz w:val="18"/>
                <w:szCs w:val="18"/>
              </w:rPr>
            </w:pPr>
            <w:r>
              <w:rPr>
                <w:rFonts w:eastAsia="等线"/>
                <w:sz w:val="18"/>
                <w:szCs w:val="18"/>
              </w:rPr>
              <w:t>17</w:t>
            </w:r>
          </w:p>
        </w:tc>
        <w:tc>
          <w:tcPr>
            <w:tcW w:w="1276" w:type="dxa"/>
            <w:vAlign w:val="center"/>
          </w:tcPr>
          <w:p w14:paraId="04FD5208" w14:textId="77777777" w:rsidR="004B0883" w:rsidRDefault="004B0883">
            <w:pPr>
              <w:jc w:val="center"/>
              <w:rPr>
                <w:sz w:val="18"/>
                <w:szCs w:val="18"/>
              </w:rPr>
            </w:pPr>
            <w:r>
              <w:rPr>
                <w:rFonts w:ascii="宋体" w:hAnsi="宋体" w:hint="eastAsia"/>
                <w:sz w:val="18"/>
                <w:szCs w:val="18"/>
              </w:rPr>
              <w:t>发行人</w:t>
            </w:r>
          </w:p>
        </w:tc>
        <w:tc>
          <w:tcPr>
            <w:tcW w:w="1330" w:type="dxa"/>
            <w:vAlign w:val="center"/>
          </w:tcPr>
          <w:p w14:paraId="0540A093" w14:textId="77777777" w:rsidR="004B0883" w:rsidRDefault="004B0883">
            <w:pPr>
              <w:jc w:val="center"/>
              <w:rPr>
                <w:sz w:val="18"/>
                <w:szCs w:val="18"/>
              </w:rPr>
            </w:pPr>
            <w:r>
              <w:rPr>
                <w:rFonts w:ascii="宋体" w:hAnsi="宋体" w:hint="eastAsia"/>
                <w:sz w:val="18"/>
                <w:szCs w:val="18"/>
              </w:rPr>
              <w:t>原始取得</w:t>
            </w:r>
          </w:p>
        </w:tc>
      </w:tr>
      <w:tr w:rsidR="004B0883" w14:paraId="64764CCF" w14:textId="77777777">
        <w:trPr>
          <w:trHeight w:val="397"/>
        </w:trPr>
        <w:tc>
          <w:tcPr>
            <w:tcW w:w="675" w:type="dxa"/>
            <w:noWrap/>
            <w:vAlign w:val="center"/>
          </w:tcPr>
          <w:p w14:paraId="56EC1CE3" w14:textId="77777777" w:rsidR="004B0883" w:rsidRDefault="004B0883">
            <w:pPr>
              <w:widowControl w:val="0"/>
              <w:numPr>
                <w:ilvl w:val="0"/>
                <w:numId w:val="25"/>
              </w:numPr>
              <w:ind w:left="0" w:firstLine="0"/>
              <w:jc w:val="center"/>
              <w:rPr>
                <w:sz w:val="18"/>
                <w:szCs w:val="22"/>
              </w:rPr>
            </w:pPr>
          </w:p>
        </w:tc>
        <w:tc>
          <w:tcPr>
            <w:tcW w:w="1823" w:type="dxa"/>
            <w:noWrap/>
            <w:vAlign w:val="center"/>
          </w:tcPr>
          <w:p w14:paraId="3B1D22BB" w14:textId="731A3158" w:rsidR="004B0883" w:rsidRDefault="0090540C">
            <w:pPr>
              <w:jc w:val="center"/>
              <w:rPr>
                <w:sz w:val="18"/>
                <w:szCs w:val="18"/>
              </w:rPr>
            </w:pPr>
            <w:r>
              <w:rPr>
                <w:rFonts w:ascii="宋体" w:eastAsia="等线" w:hAnsi="宋体"/>
                <w:noProof/>
                <w:sz w:val="18"/>
                <w:szCs w:val="18"/>
              </w:rPr>
              <w:drawing>
                <wp:inline distT="0" distB="0" distL="0" distR="0" wp14:anchorId="63ADD693" wp14:editId="7EB4FB89">
                  <wp:extent cx="588645" cy="381635"/>
                  <wp:effectExtent l="0" t="0" r="0" b="0"/>
                  <wp:docPr id="20"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8645" cy="381635"/>
                          </a:xfrm>
                          <a:prstGeom prst="rect">
                            <a:avLst/>
                          </a:prstGeom>
                          <a:noFill/>
                          <a:ln>
                            <a:noFill/>
                          </a:ln>
                          <a:effectLst/>
                        </pic:spPr>
                      </pic:pic>
                    </a:graphicData>
                  </a:graphic>
                </wp:inline>
              </w:drawing>
            </w:r>
          </w:p>
        </w:tc>
        <w:tc>
          <w:tcPr>
            <w:tcW w:w="1012" w:type="dxa"/>
            <w:noWrap/>
            <w:vAlign w:val="center"/>
          </w:tcPr>
          <w:p w14:paraId="67CA39D8" w14:textId="77777777" w:rsidR="004B0883" w:rsidRDefault="004B0883">
            <w:pPr>
              <w:jc w:val="center"/>
              <w:rPr>
                <w:sz w:val="18"/>
                <w:szCs w:val="18"/>
              </w:rPr>
            </w:pPr>
            <w:r>
              <w:rPr>
                <w:rFonts w:eastAsia="等线"/>
                <w:sz w:val="18"/>
                <w:szCs w:val="18"/>
              </w:rPr>
              <w:t>22377129</w:t>
            </w:r>
          </w:p>
        </w:tc>
        <w:tc>
          <w:tcPr>
            <w:tcW w:w="1418" w:type="dxa"/>
            <w:noWrap/>
            <w:vAlign w:val="center"/>
          </w:tcPr>
          <w:p w14:paraId="541A1279" w14:textId="77777777" w:rsidR="004B0883" w:rsidRDefault="004B0883">
            <w:pPr>
              <w:jc w:val="center"/>
              <w:rPr>
                <w:rFonts w:eastAsia="等线"/>
                <w:sz w:val="18"/>
                <w:szCs w:val="18"/>
              </w:rPr>
            </w:pPr>
            <w:r>
              <w:rPr>
                <w:rFonts w:eastAsia="等线"/>
                <w:sz w:val="18"/>
                <w:szCs w:val="18"/>
              </w:rPr>
              <w:t>2018.02.07</w:t>
            </w:r>
            <w:r>
              <w:rPr>
                <w:rFonts w:eastAsia="等线" w:hint="eastAsia"/>
                <w:sz w:val="18"/>
                <w:szCs w:val="18"/>
              </w:rPr>
              <w:t>-</w:t>
            </w:r>
          </w:p>
          <w:p w14:paraId="0743813B" w14:textId="77777777" w:rsidR="004B0883" w:rsidRDefault="004B0883">
            <w:pPr>
              <w:jc w:val="center"/>
              <w:rPr>
                <w:sz w:val="18"/>
                <w:szCs w:val="18"/>
              </w:rPr>
            </w:pPr>
            <w:r>
              <w:rPr>
                <w:rFonts w:eastAsia="等线"/>
                <w:sz w:val="18"/>
                <w:szCs w:val="18"/>
              </w:rPr>
              <w:t>2028.02.06</w:t>
            </w:r>
          </w:p>
        </w:tc>
        <w:tc>
          <w:tcPr>
            <w:tcW w:w="992" w:type="dxa"/>
            <w:noWrap/>
            <w:vAlign w:val="center"/>
          </w:tcPr>
          <w:p w14:paraId="43C15CAC" w14:textId="77777777" w:rsidR="004B0883" w:rsidRDefault="004B0883">
            <w:pPr>
              <w:jc w:val="center"/>
              <w:rPr>
                <w:sz w:val="18"/>
                <w:szCs w:val="18"/>
              </w:rPr>
            </w:pPr>
            <w:r>
              <w:rPr>
                <w:rFonts w:eastAsia="等线"/>
                <w:sz w:val="18"/>
                <w:szCs w:val="18"/>
              </w:rPr>
              <w:t>9</w:t>
            </w:r>
          </w:p>
        </w:tc>
        <w:tc>
          <w:tcPr>
            <w:tcW w:w="1276" w:type="dxa"/>
            <w:vAlign w:val="center"/>
          </w:tcPr>
          <w:p w14:paraId="6C0CFAB6" w14:textId="77777777" w:rsidR="004B0883" w:rsidRDefault="004B0883">
            <w:pPr>
              <w:jc w:val="center"/>
              <w:rPr>
                <w:sz w:val="18"/>
                <w:szCs w:val="18"/>
              </w:rPr>
            </w:pPr>
            <w:r>
              <w:rPr>
                <w:rFonts w:ascii="宋体" w:hAnsi="宋体" w:hint="eastAsia"/>
                <w:sz w:val="18"/>
                <w:szCs w:val="18"/>
              </w:rPr>
              <w:t>发行人</w:t>
            </w:r>
          </w:p>
        </w:tc>
        <w:tc>
          <w:tcPr>
            <w:tcW w:w="1330" w:type="dxa"/>
            <w:vAlign w:val="center"/>
          </w:tcPr>
          <w:p w14:paraId="48FB1C37" w14:textId="77777777" w:rsidR="004B0883" w:rsidRDefault="004B0883">
            <w:pPr>
              <w:jc w:val="center"/>
              <w:rPr>
                <w:sz w:val="18"/>
                <w:szCs w:val="18"/>
              </w:rPr>
            </w:pPr>
            <w:r>
              <w:rPr>
                <w:rFonts w:ascii="宋体" w:hAnsi="宋体" w:hint="eastAsia"/>
                <w:sz w:val="18"/>
                <w:szCs w:val="18"/>
              </w:rPr>
              <w:t>原始取得</w:t>
            </w:r>
          </w:p>
        </w:tc>
      </w:tr>
      <w:tr w:rsidR="004B0883" w14:paraId="5350D2A2" w14:textId="77777777">
        <w:trPr>
          <w:trHeight w:val="397"/>
        </w:trPr>
        <w:tc>
          <w:tcPr>
            <w:tcW w:w="675" w:type="dxa"/>
            <w:noWrap/>
            <w:vAlign w:val="center"/>
          </w:tcPr>
          <w:p w14:paraId="296D9172" w14:textId="77777777" w:rsidR="004B0883" w:rsidRDefault="004B0883">
            <w:pPr>
              <w:widowControl w:val="0"/>
              <w:numPr>
                <w:ilvl w:val="0"/>
                <w:numId w:val="25"/>
              </w:numPr>
              <w:ind w:left="0" w:firstLine="0"/>
              <w:jc w:val="center"/>
              <w:rPr>
                <w:sz w:val="18"/>
                <w:szCs w:val="22"/>
              </w:rPr>
            </w:pPr>
          </w:p>
        </w:tc>
        <w:tc>
          <w:tcPr>
            <w:tcW w:w="1823" w:type="dxa"/>
            <w:noWrap/>
            <w:vAlign w:val="center"/>
          </w:tcPr>
          <w:p w14:paraId="6B7179A2" w14:textId="05DF5F9B" w:rsidR="004B0883" w:rsidRDefault="0090540C">
            <w:pPr>
              <w:jc w:val="center"/>
              <w:rPr>
                <w:sz w:val="18"/>
                <w:szCs w:val="18"/>
              </w:rPr>
            </w:pPr>
            <w:r>
              <w:rPr>
                <w:rFonts w:ascii="宋体" w:eastAsia="等线" w:hAnsi="宋体"/>
                <w:noProof/>
                <w:sz w:val="18"/>
                <w:szCs w:val="18"/>
              </w:rPr>
              <w:drawing>
                <wp:inline distT="0" distB="0" distL="0" distR="0" wp14:anchorId="1F0DBB58" wp14:editId="6F933DC1">
                  <wp:extent cx="588645" cy="309880"/>
                  <wp:effectExtent l="0" t="0" r="0" b="0"/>
                  <wp:docPr id="21"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8645" cy="309880"/>
                          </a:xfrm>
                          <a:prstGeom prst="rect">
                            <a:avLst/>
                          </a:prstGeom>
                          <a:noFill/>
                          <a:ln>
                            <a:noFill/>
                          </a:ln>
                          <a:effectLst/>
                        </pic:spPr>
                      </pic:pic>
                    </a:graphicData>
                  </a:graphic>
                </wp:inline>
              </w:drawing>
            </w:r>
          </w:p>
        </w:tc>
        <w:tc>
          <w:tcPr>
            <w:tcW w:w="1012" w:type="dxa"/>
            <w:noWrap/>
            <w:vAlign w:val="center"/>
          </w:tcPr>
          <w:p w14:paraId="7B543708" w14:textId="77777777" w:rsidR="004B0883" w:rsidRDefault="004B0883">
            <w:pPr>
              <w:jc w:val="center"/>
              <w:rPr>
                <w:sz w:val="18"/>
                <w:szCs w:val="18"/>
              </w:rPr>
            </w:pPr>
            <w:r>
              <w:rPr>
                <w:rFonts w:eastAsia="等线"/>
                <w:sz w:val="18"/>
                <w:szCs w:val="18"/>
              </w:rPr>
              <w:t>9734052</w:t>
            </w:r>
          </w:p>
        </w:tc>
        <w:tc>
          <w:tcPr>
            <w:tcW w:w="1418" w:type="dxa"/>
            <w:noWrap/>
            <w:vAlign w:val="center"/>
          </w:tcPr>
          <w:p w14:paraId="68D01F6C" w14:textId="77777777" w:rsidR="004B0883" w:rsidRDefault="004B0883">
            <w:pPr>
              <w:jc w:val="center"/>
              <w:rPr>
                <w:rFonts w:eastAsia="等线"/>
                <w:sz w:val="18"/>
                <w:szCs w:val="18"/>
              </w:rPr>
            </w:pPr>
            <w:r>
              <w:rPr>
                <w:rFonts w:eastAsia="等线"/>
                <w:sz w:val="18"/>
                <w:szCs w:val="18"/>
              </w:rPr>
              <w:t>2022.08.28</w:t>
            </w:r>
            <w:r>
              <w:rPr>
                <w:rFonts w:eastAsia="等线" w:hint="eastAsia"/>
                <w:sz w:val="18"/>
                <w:szCs w:val="18"/>
              </w:rPr>
              <w:t>-</w:t>
            </w:r>
          </w:p>
          <w:p w14:paraId="13525345" w14:textId="77777777" w:rsidR="004B0883" w:rsidRDefault="004B0883">
            <w:pPr>
              <w:jc w:val="center"/>
              <w:rPr>
                <w:sz w:val="18"/>
                <w:szCs w:val="18"/>
              </w:rPr>
            </w:pPr>
            <w:r>
              <w:rPr>
                <w:rFonts w:eastAsia="等线"/>
                <w:sz w:val="18"/>
                <w:szCs w:val="18"/>
              </w:rPr>
              <w:t>2032.08.27</w:t>
            </w:r>
          </w:p>
        </w:tc>
        <w:tc>
          <w:tcPr>
            <w:tcW w:w="992" w:type="dxa"/>
            <w:noWrap/>
            <w:vAlign w:val="center"/>
          </w:tcPr>
          <w:p w14:paraId="58513A28" w14:textId="77777777" w:rsidR="004B0883" w:rsidRDefault="004B0883">
            <w:pPr>
              <w:jc w:val="center"/>
              <w:rPr>
                <w:sz w:val="18"/>
                <w:szCs w:val="18"/>
              </w:rPr>
            </w:pPr>
            <w:r>
              <w:rPr>
                <w:rFonts w:eastAsia="等线"/>
                <w:sz w:val="18"/>
                <w:szCs w:val="18"/>
              </w:rPr>
              <w:t>9</w:t>
            </w:r>
          </w:p>
        </w:tc>
        <w:tc>
          <w:tcPr>
            <w:tcW w:w="1276" w:type="dxa"/>
            <w:vAlign w:val="center"/>
          </w:tcPr>
          <w:p w14:paraId="3F31044C" w14:textId="77777777" w:rsidR="004B0883" w:rsidRDefault="004B0883">
            <w:pPr>
              <w:jc w:val="center"/>
              <w:rPr>
                <w:sz w:val="18"/>
                <w:szCs w:val="18"/>
              </w:rPr>
            </w:pPr>
            <w:r>
              <w:rPr>
                <w:rFonts w:ascii="宋体" w:hAnsi="宋体" w:hint="eastAsia"/>
                <w:sz w:val="18"/>
                <w:szCs w:val="18"/>
              </w:rPr>
              <w:t>发行人</w:t>
            </w:r>
          </w:p>
        </w:tc>
        <w:tc>
          <w:tcPr>
            <w:tcW w:w="1330" w:type="dxa"/>
            <w:vAlign w:val="center"/>
          </w:tcPr>
          <w:p w14:paraId="567EA370" w14:textId="77777777" w:rsidR="004B0883" w:rsidRDefault="004B0883">
            <w:pPr>
              <w:jc w:val="center"/>
              <w:rPr>
                <w:sz w:val="18"/>
                <w:szCs w:val="18"/>
              </w:rPr>
            </w:pPr>
            <w:r>
              <w:rPr>
                <w:rFonts w:ascii="宋体" w:hAnsi="宋体" w:hint="eastAsia"/>
                <w:sz w:val="18"/>
                <w:szCs w:val="18"/>
              </w:rPr>
              <w:t>原始取得</w:t>
            </w:r>
          </w:p>
        </w:tc>
      </w:tr>
      <w:tr w:rsidR="004B0883" w14:paraId="7616A1BE" w14:textId="77777777">
        <w:trPr>
          <w:trHeight w:val="397"/>
        </w:trPr>
        <w:tc>
          <w:tcPr>
            <w:tcW w:w="675" w:type="dxa"/>
            <w:noWrap/>
            <w:vAlign w:val="center"/>
          </w:tcPr>
          <w:p w14:paraId="5EAD6D9C" w14:textId="77777777" w:rsidR="004B0883" w:rsidRDefault="004B0883">
            <w:pPr>
              <w:widowControl w:val="0"/>
              <w:numPr>
                <w:ilvl w:val="0"/>
                <w:numId w:val="25"/>
              </w:numPr>
              <w:ind w:left="0" w:firstLine="0"/>
              <w:jc w:val="center"/>
              <w:rPr>
                <w:sz w:val="18"/>
                <w:szCs w:val="22"/>
              </w:rPr>
            </w:pPr>
          </w:p>
        </w:tc>
        <w:tc>
          <w:tcPr>
            <w:tcW w:w="1823" w:type="dxa"/>
            <w:noWrap/>
            <w:vAlign w:val="center"/>
          </w:tcPr>
          <w:p w14:paraId="3E52F4EE" w14:textId="4AB551BA" w:rsidR="004B0883" w:rsidRDefault="0090540C">
            <w:pPr>
              <w:jc w:val="center"/>
              <w:rPr>
                <w:sz w:val="18"/>
                <w:szCs w:val="18"/>
              </w:rPr>
            </w:pPr>
            <w:r>
              <w:rPr>
                <w:rFonts w:ascii="宋体" w:eastAsia="等线" w:hAnsi="宋体"/>
                <w:noProof/>
                <w:sz w:val="18"/>
                <w:szCs w:val="18"/>
              </w:rPr>
              <w:drawing>
                <wp:inline distT="0" distB="0" distL="0" distR="0" wp14:anchorId="6CD8CEB2" wp14:editId="23EA5388">
                  <wp:extent cx="492760" cy="270510"/>
                  <wp:effectExtent l="0" t="0" r="0" b="0"/>
                  <wp:docPr id="22"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2760" cy="270510"/>
                          </a:xfrm>
                          <a:prstGeom prst="rect">
                            <a:avLst/>
                          </a:prstGeom>
                          <a:noFill/>
                          <a:ln>
                            <a:noFill/>
                          </a:ln>
                          <a:effectLst/>
                        </pic:spPr>
                      </pic:pic>
                    </a:graphicData>
                  </a:graphic>
                </wp:inline>
              </w:drawing>
            </w:r>
          </w:p>
        </w:tc>
        <w:tc>
          <w:tcPr>
            <w:tcW w:w="1012" w:type="dxa"/>
            <w:noWrap/>
            <w:vAlign w:val="center"/>
          </w:tcPr>
          <w:p w14:paraId="0F8B2096" w14:textId="77777777" w:rsidR="004B0883" w:rsidRDefault="004B0883">
            <w:pPr>
              <w:jc w:val="center"/>
              <w:rPr>
                <w:sz w:val="18"/>
                <w:szCs w:val="18"/>
              </w:rPr>
            </w:pPr>
            <w:r>
              <w:rPr>
                <w:rFonts w:eastAsia="等线"/>
                <w:sz w:val="18"/>
                <w:szCs w:val="18"/>
              </w:rPr>
              <w:t>9733878</w:t>
            </w:r>
          </w:p>
        </w:tc>
        <w:tc>
          <w:tcPr>
            <w:tcW w:w="1418" w:type="dxa"/>
            <w:noWrap/>
            <w:vAlign w:val="center"/>
          </w:tcPr>
          <w:p w14:paraId="676DD0F7" w14:textId="77777777" w:rsidR="004B0883" w:rsidRDefault="004B0883">
            <w:pPr>
              <w:jc w:val="center"/>
              <w:rPr>
                <w:rFonts w:eastAsia="等线"/>
                <w:sz w:val="18"/>
                <w:szCs w:val="18"/>
              </w:rPr>
            </w:pPr>
            <w:r>
              <w:rPr>
                <w:rFonts w:eastAsia="等线"/>
                <w:sz w:val="18"/>
                <w:szCs w:val="18"/>
              </w:rPr>
              <w:t>2022.09.07</w:t>
            </w:r>
            <w:r>
              <w:rPr>
                <w:rFonts w:eastAsia="等线" w:hint="eastAsia"/>
                <w:sz w:val="18"/>
                <w:szCs w:val="18"/>
              </w:rPr>
              <w:t>-</w:t>
            </w:r>
          </w:p>
          <w:p w14:paraId="7AF66F97" w14:textId="77777777" w:rsidR="004B0883" w:rsidRDefault="004B0883">
            <w:pPr>
              <w:jc w:val="center"/>
              <w:rPr>
                <w:sz w:val="18"/>
                <w:szCs w:val="18"/>
              </w:rPr>
            </w:pPr>
            <w:r>
              <w:rPr>
                <w:rFonts w:eastAsia="等线"/>
                <w:sz w:val="18"/>
                <w:szCs w:val="18"/>
              </w:rPr>
              <w:t>2032.09.06</w:t>
            </w:r>
          </w:p>
        </w:tc>
        <w:tc>
          <w:tcPr>
            <w:tcW w:w="992" w:type="dxa"/>
            <w:noWrap/>
            <w:vAlign w:val="center"/>
          </w:tcPr>
          <w:p w14:paraId="5B23E838" w14:textId="77777777" w:rsidR="004B0883" w:rsidRDefault="004B0883">
            <w:pPr>
              <w:jc w:val="center"/>
              <w:rPr>
                <w:sz w:val="18"/>
                <w:szCs w:val="18"/>
              </w:rPr>
            </w:pPr>
            <w:r>
              <w:rPr>
                <w:rFonts w:eastAsia="等线"/>
                <w:sz w:val="18"/>
                <w:szCs w:val="18"/>
              </w:rPr>
              <w:t>9</w:t>
            </w:r>
          </w:p>
        </w:tc>
        <w:tc>
          <w:tcPr>
            <w:tcW w:w="1276" w:type="dxa"/>
            <w:vAlign w:val="center"/>
          </w:tcPr>
          <w:p w14:paraId="0B9089A2" w14:textId="77777777" w:rsidR="004B0883" w:rsidRDefault="004B0883">
            <w:pPr>
              <w:jc w:val="center"/>
              <w:rPr>
                <w:sz w:val="18"/>
                <w:szCs w:val="18"/>
              </w:rPr>
            </w:pPr>
            <w:r>
              <w:rPr>
                <w:rFonts w:ascii="宋体" w:hAnsi="宋体" w:hint="eastAsia"/>
                <w:sz w:val="18"/>
                <w:szCs w:val="18"/>
              </w:rPr>
              <w:t>发行人</w:t>
            </w:r>
          </w:p>
        </w:tc>
        <w:tc>
          <w:tcPr>
            <w:tcW w:w="1330" w:type="dxa"/>
            <w:vAlign w:val="center"/>
          </w:tcPr>
          <w:p w14:paraId="42FCC4CC" w14:textId="77777777" w:rsidR="004B0883" w:rsidRDefault="004B0883">
            <w:pPr>
              <w:jc w:val="center"/>
              <w:rPr>
                <w:sz w:val="18"/>
                <w:szCs w:val="18"/>
              </w:rPr>
            </w:pPr>
            <w:r>
              <w:rPr>
                <w:rFonts w:ascii="宋体" w:hAnsi="宋体" w:hint="eastAsia"/>
                <w:sz w:val="18"/>
                <w:szCs w:val="18"/>
              </w:rPr>
              <w:t>原始取得</w:t>
            </w:r>
          </w:p>
        </w:tc>
      </w:tr>
      <w:tr w:rsidR="004B0883" w14:paraId="298E3B96" w14:textId="77777777">
        <w:trPr>
          <w:trHeight w:val="397"/>
        </w:trPr>
        <w:tc>
          <w:tcPr>
            <w:tcW w:w="675" w:type="dxa"/>
            <w:noWrap/>
            <w:vAlign w:val="center"/>
          </w:tcPr>
          <w:p w14:paraId="5D47FBD8" w14:textId="77777777" w:rsidR="004B0883" w:rsidRDefault="004B0883">
            <w:pPr>
              <w:widowControl w:val="0"/>
              <w:numPr>
                <w:ilvl w:val="0"/>
                <w:numId w:val="25"/>
              </w:numPr>
              <w:ind w:left="0" w:firstLine="0"/>
              <w:jc w:val="center"/>
              <w:rPr>
                <w:sz w:val="18"/>
                <w:szCs w:val="22"/>
              </w:rPr>
            </w:pPr>
          </w:p>
        </w:tc>
        <w:tc>
          <w:tcPr>
            <w:tcW w:w="1823" w:type="dxa"/>
            <w:noWrap/>
            <w:vAlign w:val="center"/>
          </w:tcPr>
          <w:p w14:paraId="2D957732" w14:textId="6E071036" w:rsidR="004B0883" w:rsidRDefault="0090540C">
            <w:pPr>
              <w:jc w:val="center"/>
              <w:rPr>
                <w:sz w:val="18"/>
                <w:szCs w:val="18"/>
              </w:rPr>
            </w:pPr>
            <w:r>
              <w:rPr>
                <w:rFonts w:ascii="宋体" w:eastAsia="等线" w:hAnsi="宋体"/>
                <w:noProof/>
                <w:sz w:val="18"/>
                <w:szCs w:val="18"/>
              </w:rPr>
              <w:drawing>
                <wp:inline distT="0" distB="0" distL="0" distR="0" wp14:anchorId="547E778D" wp14:editId="19A68288">
                  <wp:extent cx="532765" cy="302260"/>
                  <wp:effectExtent l="0" t="0" r="0" b="0"/>
                  <wp:docPr id="23"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2765" cy="302260"/>
                          </a:xfrm>
                          <a:prstGeom prst="rect">
                            <a:avLst/>
                          </a:prstGeom>
                          <a:noFill/>
                          <a:ln>
                            <a:noFill/>
                          </a:ln>
                          <a:effectLst/>
                        </pic:spPr>
                      </pic:pic>
                    </a:graphicData>
                  </a:graphic>
                </wp:inline>
              </w:drawing>
            </w:r>
          </w:p>
        </w:tc>
        <w:tc>
          <w:tcPr>
            <w:tcW w:w="1012" w:type="dxa"/>
            <w:noWrap/>
            <w:vAlign w:val="center"/>
          </w:tcPr>
          <w:p w14:paraId="5A0A77F4" w14:textId="77777777" w:rsidR="004B0883" w:rsidRDefault="004B0883">
            <w:pPr>
              <w:jc w:val="center"/>
              <w:rPr>
                <w:sz w:val="18"/>
                <w:szCs w:val="18"/>
              </w:rPr>
            </w:pPr>
            <w:r>
              <w:rPr>
                <w:rFonts w:eastAsia="等线"/>
                <w:sz w:val="18"/>
                <w:szCs w:val="18"/>
              </w:rPr>
              <w:t>9422571</w:t>
            </w:r>
          </w:p>
        </w:tc>
        <w:tc>
          <w:tcPr>
            <w:tcW w:w="1418" w:type="dxa"/>
            <w:noWrap/>
            <w:vAlign w:val="center"/>
          </w:tcPr>
          <w:p w14:paraId="5EA8ADB8" w14:textId="77777777" w:rsidR="004B0883" w:rsidRDefault="004B0883">
            <w:pPr>
              <w:jc w:val="center"/>
              <w:rPr>
                <w:rFonts w:eastAsia="等线"/>
                <w:sz w:val="18"/>
                <w:szCs w:val="18"/>
              </w:rPr>
            </w:pPr>
            <w:r>
              <w:rPr>
                <w:rFonts w:eastAsia="等线"/>
                <w:sz w:val="18"/>
                <w:szCs w:val="18"/>
              </w:rPr>
              <w:t>2022.05.21</w:t>
            </w:r>
            <w:r>
              <w:rPr>
                <w:rFonts w:eastAsia="等线" w:hint="eastAsia"/>
                <w:sz w:val="18"/>
                <w:szCs w:val="18"/>
              </w:rPr>
              <w:t>-</w:t>
            </w:r>
          </w:p>
          <w:p w14:paraId="081D6322" w14:textId="77777777" w:rsidR="004B0883" w:rsidRDefault="004B0883">
            <w:pPr>
              <w:jc w:val="center"/>
              <w:rPr>
                <w:sz w:val="18"/>
                <w:szCs w:val="18"/>
              </w:rPr>
            </w:pPr>
            <w:r>
              <w:rPr>
                <w:rFonts w:eastAsia="等线"/>
                <w:sz w:val="18"/>
                <w:szCs w:val="18"/>
              </w:rPr>
              <w:t>2032.05.20</w:t>
            </w:r>
          </w:p>
        </w:tc>
        <w:tc>
          <w:tcPr>
            <w:tcW w:w="992" w:type="dxa"/>
            <w:noWrap/>
            <w:vAlign w:val="center"/>
          </w:tcPr>
          <w:p w14:paraId="6A70C96B" w14:textId="77777777" w:rsidR="004B0883" w:rsidRDefault="004B0883">
            <w:pPr>
              <w:jc w:val="center"/>
              <w:rPr>
                <w:sz w:val="18"/>
                <w:szCs w:val="18"/>
              </w:rPr>
            </w:pPr>
            <w:r>
              <w:rPr>
                <w:rFonts w:eastAsia="等线"/>
                <w:sz w:val="18"/>
                <w:szCs w:val="18"/>
              </w:rPr>
              <w:t>7</w:t>
            </w:r>
          </w:p>
        </w:tc>
        <w:tc>
          <w:tcPr>
            <w:tcW w:w="1276" w:type="dxa"/>
            <w:vAlign w:val="center"/>
          </w:tcPr>
          <w:p w14:paraId="03EC0550" w14:textId="77777777" w:rsidR="004B0883" w:rsidRDefault="004B0883">
            <w:pPr>
              <w:jc w:val="center"/>
              <w:rPr>
                <w:sz w:val="18"/>
                <w:szCs w:val="18"/>
              </w:rPr>
            </w:pPr>
            <w:r>
              <w:rPr>
                <w:rFonts w:ascii="宋体" w:hAnsi="宋体" w:hint="eastAsia"/>
                <w:sz w:val="18"/>
                <w:szCs w:val="18"/>
              </w:rPr>
              <w:t>发行人</w:t>
            </w:r>
          </w:p>
        </w:tc>
        <w:tc>
          <w:tcPr>
            <w:tcW w:w="1330" w:type="dxa"/>
            <w:vAlign w:val="center"/>
          </w:tcPr>
          <w:p w14:paraId="10946FB5" w14:textId="77777777" w:rsidR="004B0883" w:rsidRDefault="004B0883">
            <w:pPr>
              <w:jc w:val="center"/>
              <w:rPr>
                <w:sz w:val="18"/>
                <w:szCs w:val="18"/>
              </w:rPr>
            </w:pPr>
            <w:r>
              <w:rPr>
                <w:rFonts w:ascii="宋体" w:hAnsi="宋体" w:hint="eastAsia"/>
                <w:sz w:val="18"/>
                <w:szCs w:val="18"/>
              </w:rPr>
              <w:t>原始取得</w:t>
            </w:r>
          </w:p>
        </w:tc>
      </w:tr>
      <w:tr w:rsidR="004B0883" w14:paraId="3EB5AAFA" w14:textId="77777777">
        <w:trPr>
          <w:trHeight w:val="397"/>
        </w:trPr>
        <w:tc>
          <w:tcPr>
            <w:tcW w:w="675" w:type="dxa"/>
            <w:noWrap/>
            <w:vAlign w:val="center"/>
          </w:tcPr>
          <w:p w14:paraId="5090B23F" w14:textId="77777777" w:rsidR="004B0883" w:rsidRDefault="004B0883">
            <w:pPr>
              <w:widowControl w:val="0"/>
              <w:numPr>
                <w:ilvl w:val="0"/>
                <w:numId w:val="25"/>
              </w:numPr>
              <w:ind w:left="0" w:firstLine="0"/>
              <w:jc w:val="center"/>
              <w:rPr>
                <w:sz w:val="18"/>
                <w:szCs w:val="22"/>
              </w:rPr>
            </w:pPr>
          </w:p>
        </w:tc>
        <w:tc>
          <w:tcPr>
            <w:tcW w:w="1823" w:type="dxa"/>
            <w:noWrap/>
            <w:vAlign w:val="center"/>
          </w:tcPr>
          <w:p w14:paraId="5A130309" w14:textId="5801FB78" w:rsidR="004B0883" w:rsidRDefault="0090540C">
            <w:pPr>
              <w:jc w:val="center"/>
              <w:rPr>
                <w:sz w:val="18"/>
                <w:szCs w:val="18"/>
              </w:rPr>
            </w:pPr>
            <w:r>
              <w:rPr>
                <w:rFonts w:ascii="宋体" w:eastAsia="等线" w:hAnsi="宋体"/>
                <w:noProof/>
                <w:sz w:val="18"/>
                <w:szCs w:val="18"/>
              </w:rPr>
              <w:drawing>
                <wp:inline distT="0" distB="0" distL="0" distR="0" wp14:anchorId="12BD43DA" wp14:editId="1F625012">
                  <wp:extent cx="532765" cy="270510"/>
                  <wp:effectExtent l="0" t="0" r="0" b="0"/>
                  <wp:docPr id="24"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2765" cy="270510"/>
                          </a:xfrm>
                          <a:prstGeom prst="rect">
                            <a:avLst/>
                          </a:prstGeom>
                          <a:noFill/>
                          <a:ln>
                            <a:noFill/>
                          </a:ln>
                          <a:effectLst/>
                        </pic:spPr>
                      </pic:pic>
                    </a:graphicData>
                  </a:graphic>
                </wp:inline>
              </w:drawing>
            </w:r>
          </w:p>
        </w:tc>
        <w:tc>
          <w:tcPr>
            <w:tcW w:w="1012" w:type="dxa"/>
            <w:noWrap/>
            <w:vAlign w:val="center"/>
          </w:tcPr>
          <w:p w14:paraId="26685C8B" w14:textId="77777777" w:rsidR="004B0883" w:rsidRDefault="004B0883">
            <w:pPr>
              <w:jc w:val="center"/>
              <w:rPr>
                <w:sz w:val="18"/>
                <w:szCs w:val="18"/>
              </w:rPr>
            </w:pPr>
            <w:r>
              <w:rPr>
                <w:rFonts w:eastAsia="等线"/>
                <w:sz w:val="18"/>
                <w:szCs w:val="18"/>
              </w:rPr>
              <w:t>9422473</w:t>
            </w:r>
          </w:p>
        </w:tc>
        <w:tc>
          <w:tcPr>
            <w:tcW w:w="1418" w:type="dxa"/>
            <w:noWrap/>
            <w:vAlign w:val="center"/>
          </w:tcPr>
          <w:p w14:paraId="0CB30608" w14:textId="77777777" w:rsidR="004B0883" w:rsidRDefault="004B0883">
            <w:pPr>
              <w:jc w:val="center"/>
              <w:rPr>
                <w:rFonts w:eastAsia="等线"/>
                <w:sz w:val="18"/>
                <w:szCs w:val="18"/>
              </w:rPr>
            </w:pPr>
            <w:r>
              <w:rPr>
                <w:rFonts w:eastAsia="等线"/>
                <w:sz w:val="18"/>
                <w:szCs w:val="18"/>
              </w:rPr>
              <w:t>2022.05.21</w:t>
            </w:r>
            <w:r>
              <w:rPr>
                <w:rFonts w:eastAsia="等线" w:hint="eastAsia"/>
                <w:sz w:val="18"/>
                <w:szCs w:val="18"/>
              </w:rPr>
              <w:t>-</w:t>
            </w:r>
          </w:p>
          <w:p w14:paraId="4AFB29F6" w14:textId="77777777" w:rsidR="004B0883" w:rsidRDefault="004B0883">
            <w:pPr>
              <w:jc w:val="center"/>
              <w:rPr>
                <w:sz w:val="18"/>
                <w:szCs w:val="18"/>
              </w:rPr>
            </w:pPr>
            <w:r>
              <w:rPr>
                <w:rFonts w:eastAsia="等线"/>
                <w:sz w:val="18"/>
                <w:szCs w:val="18"/>
              </w:rPr>
              <w:t>2032.05.20</w:t>
            </w:r>
          </w:p>
        </w:tc>
        <w:tc>
          <w:tcPr>
            <w:tcW w:w="992" w:type="dxa"/>
            <w:noWrap/>
            <w:vAlign w:val="center"/>
          </w:tcPr>
          <w:p w14:paraId="2085A008" w14:textId="77777777" w:rsidR="004B0883" w:rsidRDefault="004B0883">
            <w:pPr>
              <w:jc w:val="center"/>
              <w:rPr>
                <w:sz w:val="18"/>
                <w:szCs w:val="18"/>
              </w:rPr>
            </w:pPr>
            <w:r>
              <w:rPr>
                <w:rFonts w:eastAsia="等线"/>
                <w:sz w:val="18"/>
                <w:szCs w:val="18"/>
              </w:rPr>
              <w:t>6</w:t>
            </w:r>
          </w:p>
        </w:tc>
        <w:tc>
          <w:tcPr>
            <w:tcW w:w="1276" w:type="dxa"/>
            <w:vAlign w:val="center"/>
          </w:tcPr>
          <w:p w14:paraId="41590855" w14:textId="77777777" w:rsidR="004B0883" w:rsidRDefault="004B0883">
            <w:pPr>
              <w:jc w:val="center"/>
              <w:rPr>
                <w:sz w:val="18"/>
                <w:szCs w:val="18"/>
              </w:rPr>
            </w:pPr>
            <w:r>
              <w:rPr>
                <w:rFonts w:ascii="宋体" w:hAnsi="宋体" w:hint="eastAsia"/>
                <w:sz w:val="18"/>
                <w:szCs w:val="18"/>
              </w:rPr>
              <w:t>发行人</w:t>
            </w:r>
          </w:p>
        </w:tc>
        <w:tc>
          <w:tcPr>
            <w:tcW w:w="1330" w:type="dxa"/>
            <w:vAlign w:val="center"/>
          </w:tcPr>
          <w:p w14:paraId="0FA16BEA" w14:textId="77777777" w:rsidR="004B0883" w:rsidRDefault="004B0883">
            <w:pPr>
              <w:jc w:val="center"/>
              <w:rPr>
                <w:sz w:val="18"/>
                <w:szCs w:val="18"/>
              </w:rPr>
            </w:pPr>
            <w:r>
              <w:rPr>
                <w:rFonts w:ascii="宋体" w:hAnsi="宋体" w:hint="eastAsia"/>
                <w:sz w:val="18"/>
                <w:szCs w:val="18"/>
              </w:rPr>
              <w:t>原始取得</w:t>
            </w:r>
          </w:p>
        </w:tc>
      </w:tr>
      <w:tr w:rsidR="004B0883" w14:paraId="6710A7D6" w14:textId="77777777">
        <w:trPr>
          <w:trHeight w:val="397"/>
        </w:trPr>
        <w:tc>
          <w:tcPr>
            <w:tcW w:w="675" w:type="dxa"/>
            <w:noWrap/>
            <w:vAlign w:val="center"/>
          </w:tcPr>
          <w:p w14:paraId="5A6D10C9" w14:textId="77777777" w:rsidR="004B0883" w:rsidRDefault="004B0883">
            <w:pPr>
              <w:widowControl w:val="0"/>
              <w:numPr>
                <w:ilvl w:val="0"/>
                <w:numId w:val="25"/>
              </w:numPr>
              <w:ind w:left="0" w:firstLine="0"/>
              <w:jc w:val="center"/>
              <w:rPr>
                <w:sz w:val="18"/>
                <w:szCs w:val="22"/>
              </w:rPr>
            </w:pPr>
          </w:p>
        </w:tc>
        <w:tc>
          <w:tcPr>
            <w:tcW w:w="1823" w:type="dxa"/>
            <w:noWrap/>
            <w:vAlign w:val="center"/>
          </w:tcPr>
          <w:p w14:paraId="2529D24D" w14:textId="5BACADC7" w:rsidR="004B0883" w:rsidRDefault="0090540C">
            <w:pPr>
              <w:jc w:val="center"/>
              <w:rPr>
                <w:sz w:val="18"/>
                <w:szCs w:val="18"/>
              </w:rPr>
            </w:pPr>
            <w:r>
              <w:rPr>
                <w:rFonts w:ascii="宋体" w:eastAsia="等线" w:hAnsi="宋体"/>
                <w:noProof/>
                <w:sz w:val="18"/>
                <w:szCs w:val="18"/>
              </w:rPr>
              <w:drawing>
                <wp:inline distT="0" distB="0" distL="0" distR="0" wp14:anchorId="01E0BDB1" wp14:editId="0D0BF929">
                  <wp:extent cx="532765" cy="334010"/>
                  <wp:effectExtent l="0" t="0" r="0" b="0"/>
                  <wp:docPr id="25"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2765" cy="334010"/>
                          </a:xfrm>
                          <a:prstGeom prst="rect">
                            <a:avLst/>
                          </a:prstGeom>
                          <a:noFill/>
                          <a:ln>
                            <a:noFill/>
                          </a:ln>
                          <a:effectLst/>
                        </pic:spPr>
                      </pic:pic>
                    </a:graphicData>
                  </a:graphic>
                </wp:inline>
              </w:drawing>
            </w:r>
          </w:p>
        </w:tc>
        <w:tc>
          <w:tcPr>
            <w:tcW w:w="1012" w:type="dxa"/>
            <w:noWrap/>
            <w:vAlign w:val="center"/>
          </w:tcPr>
          <w:p w14:paraId="5075A14C" w14:textId="77777777" w:rsidR="004B0883" w:rsidRDefault="004B0883">
            <w:pPr>
              <w:jc w:val="center"/>
              <w:rPr>
                <w:sz w:val="18"/>
                <w:szCs w:val="18"/>
              </w:rPr>
            </w:pPr>
            <w:r>
              <w:rPr>
                <w:rFonts w:eastAsia="等线"/>
                <w:sz w:val="18"/>
                <w:szCs w:val="18"/>
              </w:rPr>
              <w:t>9422832</w:t>
            </w:r>
          </w:p>
        </w:tc>
        <w:tc>
          <w:tcPr>
            <w:tcW w:w="1418" w:type="dxa"/>
            <w:noWrap/>
            <w:vAlign w:val="center"/>
          </w:tcPr>
          <w:p w14:paraId="4BB9CBD5" w14:textId="77777777" w:rsidR="004B0883" w:rsidRDefault="004B0883">
            <w:pPr>
              <w:jc w:val="center"/>
              <w:rPr>
                <w:rFonts w:eastAsia="等线"/>
                <w:sz w:val="18"/>
                <w:szCs w:val="18"/>
              </w:rPr>
            </w:pPr>
            <w:r>
              <w:rPr>
                <w:rFonts w:eastAsia="等线"/>
                <w:sz w:val="18"/>
                <w:szCs w:val="18"/>
              </w:rPr>
              <w:t>2022.05.21</w:t>
            </w:r>
            <w:r>
              <w:rPr>
                <w:rFonts w:eastAsia="等线" w:hint="eastAsia"/>
                <w:sz w:val="18"/>
                <w:szCs w:val="18"/>
              </w:rPr>
              <w:t>-</w:t>
            </w:r>
          </w:p>
          <w:p w14:paraId="31CD8172" w14:textId="77777777" w:rsidR="004B0883" w:rsidRDefault="004B0883">
            <w:pPr>
              <w:jc w:val="center"/>
              <w:rPr>
                <w:sz w:val="18"/>
                <w:szCs w:val="18"/>
              </w:rPr>
            </w:pPr>
            <w:r>
              <w:rPr>
                <w:rFonts w:eastAsia="等线"/>
                <w:sz w:val="18"/>
                <w:szCs w:val="18"/>
              </w:rPr>
              <w:t>2032.05.20</w:t>
            </w:r>
          </w:p>
        </w:tc>
        <w:tc>
          <w:tcPr>
            <w:tcW w:w="992" w:type="dxa"/>
            <w:noWrap/>
            <w:vAlign w:val="center"/>
          </w:tcPr>
          <w:p w14:paraId="33EBCECD" w14:textId="77777777" w:rsidR="004B0883" w:rsidRDefault="004B0883">
            <w:pPr>
              <w:jc w:val="center"/>
              <w:rPr>
                <w:sz w:val="18"/>
                <w:szCs w:val="18"/>
              </w:rPr>
            </w:pPr>
            <w:r>
              <w:rPr>
                <w:rFonts w:eastAsia="等线"/>
                <w:sz w:val="18"/>
                <w:szCs w:val="18"/>
              </w:rPr>
              <w:t>11</w:t>
            </w:r>
          </w:p>
        </w:tc>
        <w:tc>
          <w:tcPr>
            <w:tcW w:w="1276" w:type="dxa"/>
            <w:vAlign w:val="center"/>
          </w:tcPr>
          <w:p w14:paraId="786966E3" w14:textId="77777777" w:rsidR="004B0883" w:rsidRDefault="004B0883">
            <w:pPr>
              <w:jc w:val="center"/>
              <w:rPr>
                <w:sz w:val="18"/>
                <w:szCs w:val="18"/>
              </w:rPr>
            </w:pPr>
            <w:r>
              <w:rPr>
                <w:rFonts w:ascii="宋体" w:hAnsi="宋体" w:hint="eastAsia"/>
                <w:sz w:val="18"/>
                <w:szCs w:val="18"/>
              </w:rPr>
              <w:t>发行人</w:t>
            </w:r>
          </w:p>
        </w:tc>
        <w:tc>
          <w:tcPr>
            <w:tcW w:w="1330" w:type="dxa"/>
            <w:vAlign w:val="center"/>
          </w:tcPr>
          <w:p w14:paraId="7E9CF930" w14:textId="77777777" w:rsidR="004B0883" w:rsidRDefault="004B0883">
            <w:pPr>
              <w:jc w:val="center"/>
              <w:rPr>
                <w:sz w:val="18"/>
                <w:szCs w:val="18"/>
              </w:rPr>
            </w:pPr>
            <w:r>
              <w:rPr>
                <w:rFonts w:ascii="宋体" w:hAnsi="宋体" w:hint="eastAsia"/>
                <w:sz w:val="18"/>
                <w:szCs w:val="18"/>
              </w:rPr>
              <w:t>原始取得</w:t>
            </w:r>
          </w:p>
        </w:tc>
      </w:tr>
      <w:tr w:rsidR="004B0883" w14:paraId="19064CD4" w14:textId="77777777">
        <w:trPr>
          <w:trHeight w:val="397"/>
        </w:trPr>
        <w:tc>
          <w:tcPr>
            <w:tcW w:w="675" w:type="dxa"/>
            <w:noWrap/>
            <w:vAlign w:val="center"/>
          </w:tcPr>
          <w:p w14:paraId="0503B142" w14:textId="77777777" w:rsidR="004B0883" w:rsidRDefault="004B0883">
            <w:pPr>
              <w:widowControl w:val="0"/>
              <w:numPr>
                <w:ilvl w:val="0"/>
                <w:numId w:val="25"/>
              </w:numPr>
              <w:ind w:left="0" w:firstLine="0"/>
              <w:jc w:val="center"/>
              <w:rPr>
                <w:sz w:val="18"/>
                <w:szCs w:val="22"/>
              </w:rPr>
            </w:pPr>
          </w:p>
        </w:tc>
        <w:tc>
          <w:tcPr>
            <w:tcW w:w="1823" w:type="dxa"/>
            <w:noWrap/>
            <w:vAlign w:val="center"/>
          </w:tcPr>
          <w:p w14:paraId="79B3F5C2" w14:textId="0C65E151" w:rsidR="004B0883" w:rsidRDefault="0090540C">
            <w:pPr>
              <w:jc w:val="center"/>
              <w:rPr>
                <w:sz w:val="18"/>
                <w:szCs w:val="18"/>
              </w:rPr>
            </w:pPr>
            <w:r>
              <w:rPr>
                <w:rFonts w:ascii="宋体" w:eastAsia="等线" w:hAnsi="宋体"/>
                <w:noProof/>
                <w:sz w:val="18"/>
                <w:szCs w:val="18"/>
              </w:rPr>
              <w:drawing>
                <wp:inline distT="0" distB="0" distL="0" distR="0" wp14:anchorId="25D9EB52" wp14:editId="0B245CE2">
                  <wp:extent cx="850900" cy="421640"/>
                  <wp:effectExtent l="0" t="0" r="0" b="0"/>
                  <wp:docPr id="26"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50900" cy="421640"/>
                          </a:xfrm>
                          <a:prstGeom prst="rect">
                            <a:avLst/>
                          </a:prstGeom>
                          <a:noFill/>
                          <a:ln>
                            <a:noFill/>
                          </a:ln>
                          <a:effectLst/>
                        </pic:spPr>
                      </pic:pic>
                    </a:graphicData>
                  </a:graphic>
                </wp:inline>
              </w:drawing>
            </w:r>
          </w:p>
        </w:tc>
        <w:tc>
          <w:tcPr>
            <w:tcW w:w="1012" w:type="dxa"/>
            <w:noWrap/>
            <w:vAlign w:val="center"/>
          </w:tcPr>
          <w:p w14:paraId="07E809F1" w14:textId="77777777" w:rsidR="004B0883" w:rsidRDefault="004B0883">
            <w:pPr>
              <w:jc w:val="center"/>
              <w:rPr>
                <w:sz w:val="18"/>
                <w:szCs w:val="18"/>
              </w:rPr>
            </w:pPr>
            <w:r>
              <w:rPr>
                <w:rFonts w:eastAsia="等线"/>
                <w:sz w:val="18"/>
                <w:szCs w:val="18"/>
              </w:rPr>
              <w:t>8643736</w:t>
            </w:r>
          </w:p>
        </w:tc>
        <w:tc>
          <w:tcPr>
            <w:tcW w:w="1418" w:type="dxa"/>
            <w:noWrap/>
            <w:vAlign w:val="center"/>
          </w:tcPr>
          <w:p w14:paraId="6BD21CC5" w14:textId="77777777" w:rsidR="004B0883" w:rsidRDefault="004B0883">
            <w:pPr>
              <w:jc w:val="center"/>
              <w:rPr>
                <w:rFonts w:eastAsia="等线"/>
                <w:sz w:val="18"/>
                <w:szCs w:val="18"/>
              </w:rPr>
            </w:pPr>
            <w:r>
              <w:rPr>
                <w:rFonts w:eastAsia="等线"/>
                <w:sz w:val="18"/>
                <w:szCs w:val="18"/>
              </w:rPr>
              <w:t>2021.09.21</w:t>
            </w:r>
            <w:r>
              <w:rPr>
                <w:rFonts w:eastAsia="等线" w:hint="eastAsia"/>
                <w:sz w:val="18"/>
                <w:szCs w:val="18"/>
              </w:rPr>
              <w:t>-</w:t>
            </w:r>
          </w:p>
          <w:p w14:paraId="76A69093" w14:textId="77777777" w:rsidR="004B0883" w:rsidRDefault="004B0883">
            <w:pPr>
              <w:jc w:val="center"/>
              <w:rPr>
                <w:sz w:val="18"/>
                <w:szCs w:val="18"/>
              </w:rPr>
            </w:pPr>
            <w:r>
              <w:rPr>
                <w:rFonts w:eastAsia="等线"/>
                <w:sz w:val="18"/>
                <w:szCs w:val="18"/>
              </w:rPr>
              <w:t>2031.09.20</w:t>
            </w:r>
          </w:p>
        </w:tc>
        <w:tc>
          <w:tcPr>
            <w:tcW w:w="992" w:type="dxa"/>
            <w:noWrap/>
            <w:vAlign w:val="center"/>
          </w:tcPr>
          <w:p w14:paraId="6F053D87" w14:textId="77777777" w:rsidR="004B0883" w:rsidRDefault="004B0883">
            <w:pPr>
              <w:jc w:val="center"/>
              <w:rPr>
                <w:sz w:val="18"/>
                <w:szCs w:val="18"/>
              </w:rPr>
            </w:pPr>
            <w:r>
              <w:rPr>
                <w:rFonts w:eastAsia="等线"/>
                <w:sz w:val="18"/>
                <w:szCs w:val="18"/>
              </w:rPr>
              <w:t>9</w:t>
            </w:r>
          </w:p>
        </w:tc>
        <w:tc>
          <w:tcPr>
            <w:tcW w:w="1276" w:type="dxa"/>
            <w:vAlign w:val="center"/>
          </w:tcPr>
          <w:p w14:paraId="37165410" w14:textId="77777777" w:rsidR="004B0883" w:rsidRDefault="004B0883">
            <w:pPr>
              <w:jc w:val="center"/>
              <w:rPr>
                <w:sz w:val="18"/>
                <w:szCs w:val="18"/>
              </w:rPr>
            </w:pPr>
            <w:r>
              <w:rPr>
                <w:rFonts w:ascii="宋体" w:hAnsi="宋体" w:hint="eastAsia"/>
                <w:sz w:val="18"/>
                <w:szCs w:val="18"/>
              </w:rPr>
              <w:t>发行人</w:t>
            </w:r>
          </w:p>
        </w:tc>
        <w:tc>
          <w:tcPr>
            <w:tcW w:w="1330" w:type="dxa"/>
            <w:vAlign w:val="center"/>
          </w:tcPr>
          <w:p w14:paraId="6EA3B291" w14:textId="77777777" w:rsidR="004B0883" w:rsidRDefault="004B0883">
            <w:pPr>
              <w:jc w:val="center"/>
              <w:rPr>
                <w:sz w:val="18"/>
                <w:szCs w:val="18"/>
              </w:rPr>
            </w:pPr>
            <w:r>
              <w:rPr>
                <w:rFonts w:ascii="宋体" w:hAnsi="宋体" w:hint="eastAsia"/>
                <w:sz w:val="18"/>
                <w:szCs w:val="18"/>
              </w:rPr>
              <w:t>原始取得</w:t>
            </w:r>
          </w:p>
        </w:tc>
      </w:tr>
      <w:tr w:rsidR="004B0883" w14:paraId="06F8E5BC" w14:textId="77777777">
        <w:trPr>
          <w:trHeight w:val="397"/>
        </w:trPr>
        <w:tc>
          <w:tcPr>
            <w:tcW w:w="675" w:type="dxa"/>
            <w:noWrap/>
            <w:vAlign w:val="center"/>
          </w:tcPr>
          <w:p w14:paraId="21BE2713" w14:textId="77777777" w:rsidR="004B0883" w:rsidRDefault="004B0883">
            <w:pPr>
              <w:widowControl w:val="0"/>
              <w:numPr>
                <w:ilvl w:val="0"/>
                <w:numId w:val="25"/>
              </w:numPr>
              <w:ind w:left="0" w:firstLine="0"/>
              <w:jc w:val="center"/>
              <w:rPr>
                <w:sz w:val="18"/>
                <w:szCs w:val="22"/>
              </w:rPr>
            </w:pPr>
          </w:p>
        </w:tc>
        <w:tc>
          <w:tcPr>
            <w:tcW w:w="1823" w:type="dxa"/>
            <w:noWrap/>
            <w:vAlign w:val="center"/>
          </w:tcPr>
          <w:p w14:paraId="16EDD760" w14:textId="5A73A6E5" w:rsidR="004B0883" w:rsidRDefault="0090540C">
            <w:pPr>
              <w:jc w:val="center"/>
              <w:rPr>
                <w:sz w:val="18"/>
                <w:szCs w:val="18"/>
              </w:rPr>
            </w:pPr>
            <w:r>
              <w:rPr>
                <w:rFonts w:ascii="宋体" w:eastAsia="等线" w:hAnsi="宋体"/>
                <w:noProof/>
                <w:sz w:val="18"/>
                <w:szCs w:val="18"/>
              </w:rPr>
              <w:drawing>
                <wp:inline distT="0" distB="0" distL="0" distR="0" wp14:anchorId="34256F3A" wp14:editId="5A9B193F">
                  <wp:extent cx="588645" cy="397510"/>
                  <wp:effectExtent l="0" t="0" r="0" b="0"/>
                  <wp:docPr id="27"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8645" cy="397510"/>
                          </a:xfrm>
                          <a:prstGeom prst="rect">
                            <a:avLst/>
                          </a:prstGeom>
                          <a:noFill/>
                          <a:ln>
                            <a:noFill/>
                          </a:ln>
                          <a:effectLst/>
                        </pic:spPr>
                      </pic:pic>
                    </a:graphicData>
                  </a:graphic>
                </wp:inline>
              </w:drawing>
            </w:r>
          </w:p>
        </w:tc>
        <w:tc>
          <w:tcPr>
            <w:tcW w:w="1012" w:type="dxa"/>
            <w:noWrap/>
            <w:vAlign w:val="center"/>
          </w:tcPr>
          <w:p w14:paraId="3D6C3EB0" w14:textId="77777777" w:rsidR="004B0883" w:rsidRDefault="004B0883">
            <w:pPr>
              <w:jc w:val="center"/>
              <w:rPr>
                <w:sz w:val="18"/>
                <w:szCs w:val="18"/>
              </w:rPr>
            </w:pPr>
            <w:r>
              <w:rPr>
                <w:rFonts w:eastAsia="等线"/>
                <w:sz w:val="18"/>
                <w:szCs w:val="18"/>
              </w:rPr>
              <w:t>8376822</w:t>
            </w:r>
          </w:p>
        </w:tc>
        <w:tc>
          <w:tcPr>
            <w:tcW w:w="1418" w:type="dxa"/>
            <w:noWrap/>
            <w:vAlign w:val="center"/>
          </w:tcPr>
          <w:p w14:paraId="7CADC458" w14:textId="77777777" w:rsidR="004B0883" w:rsidRDefault="004B0883">
            <w:pPr>
              <w:jc w:val="center"/>
              <w:rPr>
                <w:rFonts w:eastAsia="等线"/>
                <w:sz w:val="18"/>
                <w:szCs w:val="18"/>
              </w:rPr>
            </w:pPr>
            <w:r>
              <w:rPr>
                <w:rFonts w:eastAsia="等线"/>
                <w:sz w:val="18"/>
                <w:szCs w:val="18"/>
              </w:rPr>
              <w:t>2021.07.07</w:t>
            </w:r>
            <w:r>
              <w:rPr>
                <w:rFonts w:eastAsia="等线" w:hint="eastAsia"/>
                <w:sz w:val="18"/>
                <w:szCs w:val="18"/>
              </w:rPr>
              <w:t>-</w:t>
            </w:r>
          </w:p>
          <w:p w14:paraId="31525F14" w14:textId="77777777" w:rsidR="004B0883" w:rsidRDefault="004B0883">
            <w:pPr>
              <w:jc w:val="center"/>
              <w:rPr>
                <w:sz w:val="18"/>
                <w:szCs w:val="18"/>
              </w:rPr>
            </w:pPr>
            <w:r>
              <w:rPr>
                <w:rFonts w:eastAsia="等线"/>
                <w:sz w:val="18"/>
                <w:szCs w:val="18"/>
              </w:rPr>
              <w:t>2031.07.06</w:t>
            </w:r>
          </w:p>
        </w:tc>
        <w:tc>
          <w:tcPr>
            <w:tcW w:w="992" w:type="dxa"/>
            <w:noWrap/>
            <w:vAlign w:val="center"/>
          </w:tcPr>
          <w:p w14:paraId="40164687" w14:textId="77777777" w:rsidR="004B0883" w:rsidRDefault="004B0883">
            <w:pPr>
              <w:jc w:val="center"/>
              <w:rPr>
                <w:sz w:val="18"/>
                <w:szCs w:val="18"/>
              </w:rPr>
            </w:pPr>
            <w:r>
              <w:rPr>
                <w:rFonts w:eastAsia="等线"/>
                <w:sz w:val="18"/>
                <w:szCs w:val="18"/>
              </w:rPr>
              <w:t>11</w:t>
            </w:r>
          </w:p>
        </w:tc>
        <w:tc>
          <w:tcPr>
            <w:tcW w:w="1276" w:type="dxa"/>
            <w:vAlign w:val="center"/>
          </w:tcPr>
          <w:p w14:paraId="319C6EBA" w14:textId="77777777" w:rsidR="004B0883" w:rsidRDefault="004B0883">
            <w:pPr>
              <w:jc w:val="center"/>
              <w:rPr>
                <w:sz w:val="18"/>
                <w:szCs w:val="18"/>
              </w:rPr>
            </w:pPr>
            <w:r>
              <w:rPr>
                <w:rFonts w:ascii="宋体" w:hAnsi="宋体" w:hint="eastAsia"/>
                <w:sz w:val="18"/>
                <w:szCs w:val="18"/>
              </w:rPr>
              <w:t>发行人</w:t>
            </w:r>
          </w:p>
        </w:tc>
        <w:tc>
          <w:tcPr>
            <w:tcW w:w="1330" w:type="dxa"/>
            <w:vAlign w:val="center"/>
          </w:tcPr>
          <w:p w14:paraId="5950AC90" w14:textId="77777777" w:rsidR="004B0883" w:rsidRDefault="004B0883">
            <w:pPr>
              <w:jc w:val="center"/>
              <w:rPr>
                <w:sz w:val="18"/>
                <w:szCs w:val="18"/>
              </w:rPr>
            </w:pPr>
            <w:r>
              <w:rPr>
                <w:rFonts w:ascii="宋体" w:hAnsi="宋体" w:hint="eastAsia"/>
                <w:sz w:val="18"/>
                <w:szCs w:val="18"/>
              </w:rPr>
              <w:t>原始取得</w:t>
            </w:r>
          </w:p>
        </w:tc>
      </w:tr>
      <w:tr w:rsidR="004B0883" w14:paraId="6A8A4BA2" w14:textId="77777777">
        <w:trPr>
          <w:trHeight w:val="397"/>
        </w:trPr>
        <w:tc>
          <w:tcPr>
            <w:tcW w:w="675" w:type="dxa"/>
            <w:noWrap/>
            <w:vAlign w:val="center"/>
          </w:tcPr>
          <w:p w14:paraId="15921379" w14:textId="77777777" w:rsidR="004B0883" w:rsidRDefault="004B0883">
            <w:pPr>
              <w:widowControl w:val="0"/>
              <w:numPr>
                <w:ilvl w:val="0"/>
                <w:numId w:val="25"/>
              </w:numPr>
              <w:ind w:left="0" w:firstLine="0"/>
              <w:jc w:val="center"/>
              <w:rPr>
                <w:sz w:val="18"/>
                <w:szCs w:val="22"/>
              </w:rPr>
            </w:pPr>
          </w:p>
        </w:tc>
        <w:tc>
          <w:tcPr>
            <w:tcW w:w="1823" w:type="dxa"/>
            <w:noWrap/>
            <w:vAlign w:val="center"/>
          </w:tcPr>
          <w:p w14:paraId="2001C8F3" w14:textId="6389B433" w:rsidR="004B0883" w:rsidRDefault="0090540C">
            <w:pPr>
              <w:jc w:val="center"/>
              <w:rPr>
                <w:sz w:val="18"/>
                <w:szCs w:val="18"/>
              </w:rPr>
            </w:pPr>
            <w:r>
              <w:rPr>
                <w:rFonts w:ascii="宋体" w:eastAsia="等线" w:hAnsi="宋体"/>
                <w:noProof/>
                <w:sz w:val="18"/>
                <w:szCs w:val="18"/>
              </w:rPr>
              <w:drawing>
                <wp:inline distT="0" distB="0" distL="0" distR="0" wp14:anchorId="1B28C4A9" wp14:editId="52E948CF">
                  <wp:extent cx="588645" cy="334010"/>
                  <wp:effectExtent l="0" t="0" r="0" b="0"/>
                  <wp:docPr id="28"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8645" cy="334010"/>
                          </a:xfrm>
                          <a:prstGeom prst="rect">
                            <a:avLst/>
                          </a:prstGeom>
                          <a:noFill/>
                          <a:ln>
                            <a:noFill/>
                          </a:ln>
                          <a:effectLst/>
                        </pic:spPr>
                      </pic:pic>
                    </a:graphicData>
                  </a:graphic>
                </wp:inline>
              </w:drawing>
            </w:r>
          </w:p>
        </w:tc>
        <w:tc>
          <w:tcPr>
            <w:tcW w:w="1012" w:type="dxa"/>
            <w:noWrap/>
            <w:vAlign w:val="center"/>
          </w:tcPr>
          <w:p w14:paraId="7F86CA65" w14:textId="77777777" w:rsidR="004B0883" w:rsidRDefault="004B0883">
            <w:pPr>
              <w:jc w:val="center"/>
              <w:rPr>
                <w:sz w:val="18"/>
                <w:szCs w:val="18"/>
              </w:rPr>
            </w:pPr>
            <w:r>
              <w:rPr>
                <w:rFonts w:eastAsia="等线"/>
                <w:sz w:val="18"/>
                <w:szCs w:val="18"/>
              </w:rPr>
              <w:t>8374900</w:t>
            </w:r>
          </w:p>
        </w:tc>
        <w:tc>
          <w:tcPr>
            <w:tcW w:w="1418" w:type="dxa"/>
            <w:noWrap/>
            <w:vAlign w:val="center"/>
          </w:tcPr>
          <w:p w14:paraId="710F86C4" w14:textId="77777777" w:rsidR="004B0883" w:rsidRDefault="004B0883">
            <w:pPr>
              <w:jc w:val="center"/>
              <w:rPr>
                <w:rFonts w:eastAsia="等线"/>
                <w:sz w:val="18"/>
                <w:szCs w:val="18"/>
              </w:rPr>
            </w:pPr>
            <w:r>
              <w:rPr>
                <w:rFonts w:eastAsia="等线"/>
                <w:sz w:val="18"/>
                <w:szCs w:val="18"/>
              </w:rPr>
              <w:t>2021.06.21</w:t>
            </w:r>
            <w:r>
              <w:rPr>
                <w:rFonts w:eastAsia="等线" w:hint="eastAsia"/>
                <w:sz w:val="18"/>
                <w:szCs w:val="18"/>
              </w:rPr>
              <w:t>-</w:t>
            </w:r>
          </w:p>
          <w:p w14:paraId="7BB1F3A0" w14:textId="77777777" w:rsidR="004B0883" w:rsidRDefault="004B0883">
            <w:pPr>
              <w:jc w:val="center"/>
              <w:rPr>
                <w:sz w:val="18"/>
                <w:szCs w:val="18"/>
              </w:rPr>
            </w:pPr>
            <w:r>
              <w:rPr>
                <w:rFonts w:eastAsia="等线"/>
                <w:sz w:val="18"/>
                <w:szCs w:val="18"/>
              </w:rPr>
              <w:t>2031.06.20</w:t>
            </w:r>
          </w:p>
        </w:tc>
        <w:tc>
          <w:tcPr>
            <w:tcW w:w="992" w:type="dxa"/>
            <w:noWrap/>
            <w:vAlign w:val="center"/>
          </w:tcPr>
          <w:p w14:paraId="74DC4D03" w14:textId="77777777" w:rsidR="004B0883" w:rsidRDefault="004B0883">
            <w:pPr>
              <w:jc w:val="center"/>
              <w:rPr>
                <w:sz w:val="18"/>
                <w:szCs w:val="18"/>
              </w:rPr>
            </w:pPr>
            <w:r>
              <w:rPr>
                <w:rFonts w:eastAsia="等线"/>
                <w:sz w:val="18"/>
                <w:szCs w:val="18"/>
              </w:rPr>
              <w:t>7</w:t>
            </w:r>
          </w:p>
        </w:tc>
        <w:tc>
          <w:tcPr>
            <w:tcW w:w="1276" w:type="dxa"/>
            <w:vAlign w:val="center"/>
          </w:tcPr>
          <w:p w14:paraId="42837116" w14:textId="77777777" w:rsidR="004B0883" w:rsidRDefault="004B0883">
            <w:pPr>
              <w:jc w:val="center"/>
              <w:rPr>
                <w:sz w:val="18"/>
                <w:szCs w:val="18"/>
              </w:rPr>
            </w:pPr>
            <w:r>
              <w:rPr>
                <w:rFonts w:ascii="宋体" w:hAnsi="宋体" w:hint="eastAsia"/>
                <w:sz w:val="18"/>
                <w:szCs w:val="18"/>
              </w:rPr>
              <w:t>发行人</w:t>
            </w:r>
          </w:p>
        </w:tc>
        <w:tc>
          <w:tcPr>
            <w:tcW w:w="1330" w:type="dxa"/>
            <w:vAlign w:val="center"/>
          </w:tcPr>
          <w:p w14:paraId="479642B7" w14:textId="77777777" w:rsidR="004B0883" w:rsidRDefault="004B0883">
            <w:pPr>
              <w:jc w:val="center"/>
              <w:rPr>
                <w:sz w:val="18"/>
                <w:szCs w:val="18"/>
              </w:rPr>
            </w:pPr>
            <w:r>
              <w:rPr>
                <w:rFonts w:ascii="宋体" w:hAnsi="宋体" w:hint="eastAsia"/>
                <w:sz w:val="18"/>
                <w:szCs w:val="18"/>
              </w:rPr>
              <w:t>原始取得</w:t>
            </w:r>
          </w:p>
        </w:tc>
      </w:tr>
      <w:tr w:rsidR="004B0883" w14:paraId="337C0881" w14:textId="77777777">
        <w:trPr>
          <w:trHeight w:val="397"/>
        </w:trPr>
        <w:tc>
          <w:tcPr>
            <w:tcW w:w="675" w:type="dxa"/>
            <w:noWrap/>
            <w:vAlign w:val="center"/>
          </w:tcPr>
          <w:p w14:paraId="568467EF" w14:textId="77777777" w:rsidR="004B0883" w:rsidRDefault="004B0883">
            <w:pPr>
              <w:widowControl w:val="0"/>
              <w:numPr>
                <w:ilvl w:val="0"/>
                <w:numId w:val="25"/>
              </w:numPr>
              <w:ind w:left="0" w:firstLine="0"/>
              <w:jc w:val="center"/>
              <w:rPr>
                <w:sz w:val="18"/>
                <w:szCs w:val="22"/>
              </w:rPr>
            </w:pPr>
          </w:p>
        </w:tc>
        <w:tc>
          <w:tcPr>
            <w:tcW w:w="1823" w:type="dxa"/>
            <w:noWrap/>
            <w:vAlign w:val="center"/>
          </w:tcPr>
          <w:p w14:paraId="30940CBF" w14:textId="125DD355" w:rsidR="004B0883" w:rsidRDefault="0090540C">
            <w:pPr>
              <w:jc w:val="center"/>
              <w:rPr>
                <w:sz w:val="18"/>
                <w:szCs w:val="18"/>
              </w:rPr>
            </w:pPr>
            <w:r>
              <w:rPr>
                <w:rFonts w:ascii="宋体" w:eastAsia="等线" w:hAnsi="宋体"/>
                <w:noProof/>
                <w:sz w:val="18"/>
                <w:szCs w:val="18"/>
              </w:rPr>
              <w:drawing>
                <wp:inline distT="0" distB="0" distL="0" distR="0" wp14:anchorId="060D50E7" wp14:editId="0B6593F1">
                  <wp:extent cx="588645" cy="357505"/>
                  <wp:effectExtent l="0" t="0" r="0" b="0"/>
                  <wp:docPr id="29"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8645" cy="357505"/>
                          </a:xfrm>
                          <a:prstGeom prst="rect">
                            <a:avLst/>
                          </a:prstGeom>
                          <a:noFill/>
                          <a:ln>
                            <a:noFill/>
                          </a:ln>
                          <a:effectLst/>
                        </pic:spPr>
                      </pic:pic>
                    </a:graphicData>
                  </a:graphic>
                </wp:inline>
              </w:drawing>
            </w:r>
          </w:p>
        </w:tc>
        <w:tc>
          <w:tcPr>
            <w:tcW w:w="1012" w:type="dxa"/>
            <w:noWrap/>
            <w:vAlign w:val="center"/>
          </w:tcPr>
          <w:p w14:paraId="3AB9DBD2" w14:textId="77777777" w:rsidR="004B0883" w:rsidRDefault="004B0883">
            <w:pPr>
              <w:jc w:val="center"/>
              <w:rPr>
                <w:sz w:val="18"/>
                <w:szCs w:val="18"/>
              </w:rPr>
            </w:pPr>
            <w:r>
              <w:rPr>
                <w:rFonts w:eastAsia="等线"/>
                <w:sz w:val="18"/>
                <w:szCs w:val="18"/>
              </w:rPr>
              <w:t>8374818</w:t>
            </w:r>
          </w:p>
        </w:tc>
        <w:tc>
          <w:tcPr>
            <w:tcW w:w="1418" w:type="dxa"/>
            <w:noWrap/>
            <w:vAlign w:val="center"/>
          </w:tcPr>
          <w:p w14:paraId="0732D85E" w14:textId="77777777" w:rsidR="004B0883" w:rsidRDefault="004B0883">
            <w:pPr>
              <w:jc w:val="center"/>
              <w:rPr>
                <w:rFonts w:eastAsia="等线"/>
                <w:sz w:val="18"/>
                <w:szCs w:val="18"/>
              </w:rPr>
            </w:pPr>
            <w:r>
              <w:rPr>
                <w:rFonts w:eastAsia="等线"/>
                <w:sz w:val="18"/>
                <w:szCs w:val="18"/>
              </w:rPr>
              <w:t>2021.06.21</w:t>
            </w:r>
            <w:r>
              <w:rPr>
                <w:rFonts w:eastAsia="等线" w:hint="eastAsia"/>
                <w:sz w:val="18"/>
                <w:szCs w:val="18"/>
              </w:rPr>
              <w:t>-</w:t>
            </w:r>
          </w:p>
          <w:p w14:paraId="44A32FCB" w14:textId="77777777" w:rsidR="004B0883" w:rsidRDefault="004B0883">
            <w:pPr>
              <w:jc w:val="center"/>
              <w:rPr>
                <w:sz w:val="18"/>
                <w:szCs w:val="18"/>
              </w:rPr>
            </w:pPr>
            <w:r>
              <w:rPr>
                <w:rFonts w:eastAsia="等线"/>
                <w:sz w:val="18"/>
                <w:szCs w:val="18"/>
              </w:rPr>
              <w:t>2031.06.20</w:t>
            </w:r>
          </w:p>
        </w:tc>
        <w:tc>
          <w:tcPr>
            <w:tcW w:w="992" w:type="dxa"/>
            <w:noWrap/>
            <w:vAlign w:val="center"/>
          </w:tcPr>
          <w:p w14:paraId="436D4794" w14:textId="77777777" w:rsidR="004B0883" w:rsidRDefault="004B0883">
            <w:pPr>
              <w:jc w:val="center"/>
              <w:rPr>
                <w:sz w:val="18"/>
                <w:szCs w:val="18"/>
              </w:rPr>
            </w:pPr>
            <w:r>
              <w:rPr>
                <w:rFonts w:eastAsia="等线"/>
                <w:sz w:val="18"/>
                <w:szCs w:val="18"/>
              </w:rPr>
              <w:t>6</w:t>
            </w:r>
          </w:p>
        </w:tc>
        <w:tc>
          <w:tcPr>
            <w:tcW w:w="1276" w:type="dxa"/>
            <w:vAlign w:val="center"/>
          </w:tcPr>
          <w:p w14:paraId="525FC185" w14:textId="77777777" w:rsidR="004B0883" w:rsidRDefault="004B0883">
            <w:pPr>
              <w:jc w:val="center"/>
              <w:rPr>
                <w:sz w:val="18"/>
                <w:szCs w:val="18"/>
              </w:rPr>
            </w:pPr>
            <w:r>
              <w:rPr>
                <w:rFonts w:ascii="宋体" w:hAnsi="宋体" w:hint="eastAsia"/>
                <w:sz w:val="18"/>
                <w:szCs w:val="18"/>
              </w:rPr>
              <w:t>发行人</w:t>
            </w:r>
          </w:p>
        </w:tc>
        <w:tc>
          <w:tcPr>
            <w:tcW w:w="1330" w:type="dxa"/>
            <w:vAlign w:val="center"/>
          </w:tcPr>
          <w:p w14:paraId="3E8FF378" w14:textId="77777777" w:rsidR="004B0883" w:rsidRDefault="004B0883">
            <w:pPr>
              <w:jc w:val="center"/>
              <w:rPr>
                <w:sz w:val="18"/>
                <w:szCs w:val="18"/>
              </w:rPr>
            </w:pPr>
            <w:r>
              <w:rPr>
                <w:rFonts w:ascii="宋体" w:hAnsi="宋体" w:hint="eastAsia"/>
                <w:sz w:val="18"/>
                <w:szCs w:val="18"/>
              </w:rPr>
              <w:t>原始取得</w:t>
            </w:r>
          </w:p>
        </w:tc>
      </w:tr>
      <w:tr w:rsidR="004B0883" w14:paraId="7183124E" w14:textId="77777777">
        <w:trPr>
          <w:trHeight w:val="397"/>
        </w:trPr>
        <w:tc>
          <w:tcPr>
            <w:tcW w:w="675" w:type="dxa"/>
            <w:noWrap/>
            <w:vAlign w:val="center"/>
          </w:tcPr>
          <w:p w14:paraId="385F0266" w14:textId="77777777" w:rsidR="004B0883" w:rsidRDefault="004B0883">
            <w:pPr>
              <w:widowControl w:val="0"/>
              <w:numPr>
                <w:ilvl w:val="0"/>
                <w:numId w:val="25"/>
              </w:numPr>
              <w:ind w:left="0" w:firstLine="0"/>
              <w:jc w:val="center"/>
              <w:rPr>
                <w:sz w:val="18"/>
                <w:szCs w:val="22"/>
              </w:rPr>
            </w:pPr>
          </w:p>
        </w:tc>
        <w:tc>
          <w:tcPr>
            <w:tcW w:w="1823" w:type="dxa"/>
            <w:noWrap/>
            <w:vAlign w:val="center"/>
          </w:tcPr>
          <w:p w14:paraId="2FEBCC1C" w14:textId="5612363D" w:rsidR="004B0883" w:rsidRDefault="0090540C">
            <w:pPr>
              <w:jc w:val="center"/>
              <w:rPr>
                <w:sz w:val="18"/>
                <w:szCs w:val="18"/>
              </w:rPr>
            </w:pPr>
            <w:r>
              <w:rPr>
                <w:rFonts w:ascii="宋体" w:eastAsia="等线" w:hAnsi="宋体"/>
                <w:noProof/>
                <w:sz w:val="18"/>
                <w:szCs w:val="18"/>
              </w:rPr>
              <w:drawing>
                <wp:inline distT="0" distB="0" distL="0" distR="0" wp14:anchorId="47E568A9" wp14:editId="061915CA">
                  <wp:extent cx="620395" cy="341630"/>
                  <wp:effectExtent l="0" t="0" r="0" b="0"/>
                  <wp:docPr id="30"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0395" cy="341630"/>
                          </a:xfrm>
                          <a:prstGeom prst="rect">
                            <a:avLst/>
                          </a:prstGeom>
                          <a:noFill/>
                          <a:ln>
                            <a:noFill/>
                          </a:ln>
                          <a:effectLst/>
                        </pic:spPr>
                      </pic:pic>
                    </a:graphicData>
                  </a:graphic>
                </wp:inline>
              </w:drawing>
            </w:r>
          </w:p>
        </w:tc>
        <w:tc>
          <w:tcPr>
            <w:tcW w:w="1012" w:type="dxa"/>
            <w:noWrap/>
            <w:vAlign w:val="center"/>
          </w:tcPr>
          <w:p w14:paraId="04022BD6" w14:textId="77777777" w:rsidR="004B0883" w:rsidRDefault="004B0883">
            <w:pPr>
              <w:jc w:val="center"/>
              <w:rPr>
                <w:sz w:val="18"/>
                <w:szCs w:val="18"/>
              </w:rPr>
            </w:pPr>
            <w:r>
              <w:rPr>
                <w:rFonts w:eastAsia="等线"/>
                <w:sz w:val="18"/>
                <w:szCs w:val="18"/>
              </w:rPr>
              <w:t>8374861</w:t>
            </w:r>
          </w:p>
        </w:tc>
        <w:tc>
          <w:tcPr>
            <w:tcW w:w="1418" w:type="dxa"/>
            <w:noWrap/>
            <w:vAlign w:val="center"/>
          </w:tcPr>
          <w:p w14:paraId="6258662A" w14:textId="77777777" w:rsidR="004B0883" w:rsidRDefault="004B0883">
            <w:pPr>
              <w:jc w:val="center"/>
              <w:rPr>
                <w:rFonts w:eastAsia="等线"/>
                <w:sz w:val="18"/>
                <w:szCs w:val="18"/>
              </w:rPr>
            </w:pPr>
            <w:r>
              <w:rPr>
                <w:rFonts w:eastAsia="等线"/>
                <w:sz w:val="18"/>
                <w:szCs w:val="18"/>
              </w:rPr>
              <w:t>2021.09.14</w:t>
            </w:r>
            <w:r>
              <w:rPr>
                <w:rFonts w:eastAsia="等线" w:hint="eastAsia"/>
                <w:sz w:val="18"/>
                <w:szCs w:val="18"/>
              </w:rPr>
              <w:t>-</w:t>
            </w:r>
          </w:p>
          <w:p w14:paraId="745446A6" w14:textId="77777777" w:rsidR="004B0883" w:rsidRDefault="004B0883">
            <w:pPr>
              <w:jc w:val="center"/>
              <w:rPr>
                <w:sz w:val="18"/>
                <w:szCs w:val="18"/>
              </w:rPr>
            </w:pPr>
            <w:r>
              <w:rPr>
                <w:rFonts w:eastAsia="等线"/>
                <w:sz w:val="18"/>
                <w:szCs w:val="18"/>
              </w:rPr>
              <w:t>2031.09.13</w:t>
            </w:r>
          </w:p>
        </w:tc>
        <w:tc>
          <w:tcPr>
            <w:tcW w:w="992" w:type="dxa"/>
            <w:noWrap/>
            <w:vAlign w:val="center"/>
          </w:tcPr>
          <w:p w14:paraId="60275600" w14:textId="77777777" w:rsidR="004B0883" w:rsidRDefault="004B0883">
            <w:pPr>
              <w:jc w:val="center"/>
              <w:rPr>
                <w:sz w:val="18"/>
                <w:szCs w:val="18"/>
              </w:rPr>
            </w:pPr>
            <w:r>
              <w:rPr>
                <w:rFonts w:eastAsia="等线"/>
                <w:sz w:val="18"/>
                <w:szCs w:val="18"/>
              </w:rPr>
              <w:t>6</w:t>
            </w:r>
          </w:p>
        </w:tc>
        <w:tc>
          <w:tcPr>
            <w:tcW w:w="1276" w:type="dxa"/>
            <w:vAlign w:val="center"/>
          </w:tcPr>
          <w:p w14:paraId="601B160A" w14:textId="77777777" w:rsidR="004B0883" w:rsidRDefault="004B0883">
            <w:pPr>
              <w:jc w:val="center"/>
              <w:rPr>
                <w:sz w:val="18"/>
                <w:szCs w:val="18"/>
              </w:rPr>
            </w:pPr>
            <w:r>
              <w:rPr>
                <w:rFonts w:ascii="宋体" w:hAnsi="宋体" w:hint="eastAsia"/>
                <w:sz w:val="18"/>
                <w:szCs w:val="18"/>
              </w:rPr>
              <w:t>发行人</w:t>
            </w:r>
          </w:p>
        </w:tc>
        <w:tc>
          <w:tcPr>
            <w:tcW w:w="1330" w:type="dxa"/>
            <w:vAlign w:val="center"/>
          </w:tcPr>
          <w:p w14:paraId="0A2967E2" w14:textId="77777777" w:rsidR="004B0883" w:rsidRDefault="004B0883">
            <w:pPr>
              <w:jc w:val="center"/>
              <w:rPr>
                <w:sz w:val="18"/>
                <w:szCs w:val="18"/>
              </w:rPr>
            </w:pPr>
            <w:r>
              <w:rPr>
                <w:rFonts w:ascii="宋体" w:hAnsi="宋体" w:hint="eastAsia"/>
                <w:sz w:val="18"/>
                <w:szCs w:val="18"/>
              </w:rPr>
              <w:t>原始取得</w:t>
            </w:r>
          </w:p>
        </w:tc>
      </w:tr>
      <w:tr w:rsidR="004B0883" w14:paraId="4E31B09F" w14:textId="77777777">
        <w:trPr>
          <w:trHeight w:val="397"/>
        </w:trPr>
        <w:tc>
          <w:tcPr>
            <w:tcW w:w="675" w:type="dxa"/>
            <w:noWrap/>
            <w:vAlign w:val="center"/>
          </w:tcPr>
          <w:p w14:paraId="4C6225EF" w14:textId="77777777" w:rsidR="004B0883" w:rsidRDefault="004B0883">
            <w:pPr>
              <w:widowControl w:val="0"/>
              <w:numPr>
                <w:ilvl w:val="0"/>
                <w:numId w:val="25"/>
              </w:numPr>
              <w:ind w:left="0" w:firstLine="0"/>
              <w:jc w:val="center"/>
              <w:rPr>
                <w:sz w:val="18"/>
                <w:szCs w:val="22"/>
              </w:rPr>
            </w:pPr>
          </w:p>
        </w:tc>
        <w:tc>
          <w:tcPr>
            <w:tcW w:w="1823" w:type="dxa"/>
            <w:noWrap/>
            <w:vAlign w:val="center"/>
          </w:tcPr>
          <w:p w14:paraId="6C56155E" w14:textId="7DB833D2" w:rsidR="004B0883" w:rsidRDefault="0090540C">
            <w:pPr>
              <w:jc w:val="center"/>
              <w:rPr>
                <w:sz w:val="18"/>
                <w:szCs w:val="18"/>
              </w:rPr>
            </w:pPr>
            <w:r>
              <w:rPr>
                <w:rFonts w:ascii="宋体" w:eastAsia="等线" w:hAnsi="宋体"/>
                <w:noProof/>
                <w:sz w:val="18"/>
                <w:szCs w:val="18"/>
              </w:rPr>
              <w:drawing>
                <wp:inline distT="0" distB="0" distL="0" distR="0" wp14:anchorId="46ED04D2" wp14:editId="4711849B">
                  <wp:extent cx="675640" cy="341630"/>
                  <wp:effectExtent l="0" t="0" r="0" b="0"/>
                  <wp:docPr id="31"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75640" cy="341630"/>
                          </a:xfrm>
                          <a:prstGeom prst="rect">
                            <a:avLst/>
                          </a:prstGeom>
                          <a:noFill/>
                          <a:ln>
                            <a:noFill/>
                          </a:ln>
                          <a:effectLst/>
                        </pic:spPr>
                      </pic:pic>
                    </a:graphicData>
                  </a:graphic>
                </wp:inline>
              </w:drawing>
            </w:r>
          </w:p>
        </w:tc>
        <w:tc>
          <w:tcPr>
            <w:tcW w:w="1012" w:type="dxa"/>
            <w:noWrap/>
            <w:vAlign w:val="center"/>
          </w:tcPr>
          <w:p w14:paraId="3D7EA54B" w14:textId="77777777" w:rsidR="004B0883" w:rsidRDefault="004B0883">
            <w:pPr>
              <w:jc w:val="center"/>
              <w:rPr>
                <w:sz w:val="18"/>
                <w:szCs w:val="18"/>
              </w:rPr>
            </w:pPr>
            <w:r>
              <w:rPr>
                <w:rFonts w:eastAsia="等线"/>
                <w:sz w:val="18"/>
                <w:szCs w:val="18"/>
              </w:rPr>
              <w:t>8374915</w:t>
            </w:r>
          </w:p>
        </w:tc>
        <w:tc>
          <w:tcPr>
            <w:tcW w:w="1418" w:type="dxa"/>
            <w:noWrap/>
            <w:vAlign w:val="center"/>
          </w:tcPr>
          <w:p w14:paraId="3E9808AF" w14:textId="77777777" w:rsidR="004B0883" w:rsidRDefault="004B0883">
            <w:pPr>
              <w:jc w:val="center"/>
              <w:rPr>
                <w:rFonts w:eastAsia="等线"/>
                <w:sz w:val="18"/>
                <w:szCs w:val="18"/>
              </w:rPr>
            </w:pPr>
            <w:r>
              <w:rPr>
                <w:rFonts w:eastAsia="等线"/>
                <w:sz w:val="18"/>
                <w:szCs w:val="18"/>
              </w:rPr>
              <w:t>2021.09.14</w:t>
            </w:r>
            <w:r>
              <w:rPr>
                <w:rFonts w:eastAsia="等线" w:hint="eastAsia"/>
                <w:sz w:val="18"/>
                <w:szCs w:val="18"/>
              </w:rPr>
              <w:t>-</w:t>
            </w:r>
          </w:p>
          <w:p w14:paraId="699204A1" w14:textId="77777777" w:rsidR="004B0883" w:rsidRDefault="004B0883">
            <w:pPr>
              <w:jc w:val="center"/>
              <w:rPr>
                <w:sz w:val="18"/>
                <w:szCs w:val="18"/>
              </w:rPr>
            </w:pPr>
            <w:r>
              <w:rPr>
                <w:rFonts w:eastAsia="等线"/>
                <w:sz w:val="18"/>
                <w:szCs w:val="18"/>
              </w:rPr>
              <w:t>2031.09.13</w:t>
            </w:r>
          </w:p>
        </w:tc>
        <w:tc>
          <w:tcPr>
            <w:tcW w:w="992" w:type="dxa"/>
            <w:noWrap/>
            <w:vAlign w:val="center"/>
          </w:tcPr>
          <w:p w14:paraId="21C87346" w14:textId="77777777" w:rsidR="004B0883" w:rsidRDefault="004B0883">
            <w:pPr>
              <w:jc w:val="center"/>
              <w:rPr>
                <w:sz w:val="18"/>
                <w:szCs w:val="18"/>
              </w:rPr>
            </w:pPr>
            <w:r>
              <w:rPr>
                <w:rFonts w:eastAsia="等线"/>
                <w:sz w:val="18"/>
                <w:szCs w:val="18"/>
              </w:rPr>
              <w:t>7</w:t>
            </w:r>
          </w:p>
        </w:tc>
        <w:tc>
          <w:tcPr>
            <w:tcW w:w="1276" w:type="dxa"/>
            <w:vAlign w:val="center"/>
          </w:tcPr>
          <w:p w14:paraId="21FB15A7" w14:textId="77777777" w:rsidR="004B0883" w:rsidRDefault="004B0883">
            <w:pPr>
              <w:jc w:val="center"/>
              <w:rPr>
                <w:sz w:val="18"/>
                <w:szCs w:val="18"/>
              </w:rPr>
            </w:pPr>
            <w:r>
              <w:rPr>
                <w:rFonts w:ascii="宋体" w:hAnsi="宋体" w:hint="eastAsia"/>
                <w:sz w:val="18"/>
                <w:szCs w:val="18"/>
              </w:rPr>
              <w:t>发行人</w:t>
            </w:r>
          </w:p>
        </w:tc>
        <w:tc>
          <w:tcPr>
            <w:tcW w:w="1330" w:type="dxa"/>
            <w:vAlign w:val="center"/>
          </w:tcPr>
          <w:p w14:paraId="387A7D9D" w14:textId="77777777" w:rsidR="004B0883" w:rsidRDefault="004B0883">
            <w:pPr>
              <w:jc w:val="center"/>
              <w:rPr>
                <w:sz w:val="18"/>
                <w:szCs w:val="18"/>
              </w:rPr>
            </w:pPr>
            <w:r>
              <w:rPr>
                <w:rFonts w:ascii="宋体" w:hAnsi="宋体" w:hint="eastAsia"/>
                <w:sz w:val="18"/>
                <w:szCs w:val="18"/>
              </w:rPr>
              <w:t>原始取得</w:t>
            </w:r>
          </w:p>
        </w:tc>
      </w:tr>
      <w:tr w:rsidR="004B0883" w14:paraId="2FDF0B0B" w14:textId="77777777">
        <w:trPr>
          <w:trHeight w:val="397"/>
        </w:trPr>
        <w:tc>
          <w:tcPr>
            <w:tcW w:w="675" w:type="dxa"/>
            <w:noWrap/>
            <w:vAlign w:val="center"/>
          </w:tcPr>
          <w:p w14:paraId="6351B3A1" w14:textId="77777777" w:rsidR="004B0883" w:rsidRDefault="004B0883">
            <w:pPr>
              <w:widowControl w:val="0"/>
              <w:numPr>
                <w:ilvl w:val="0"/>
                <w:numId w:val="25"/>
              </w:numPr>
              <w:ind w:left="0" w:firstLine="0"/>
              <w:jc w:val="center"/>
              <w:rPr>
                <w:sz w:val="18"/>
                <w:szCs w:val="22"/>
              </w:rPr>
            </w:pPr>
          </w:p>
        </w:tc>
        <w:tc>
          <w:tcPr>
            <w:tcW w:w="1823" w:type="dxa"/>
            <w:noWrap/>
            <w:vAlign w:val="center"/>
          </w:tcPr>
          <w:p w14:paraId="50650898" w14:textId="537BA678" w:rsidR="004B0883" w:rsidRDefault="0090540C">
            <w:pPr>
              <w:jc w:val="center"/>
              <w:rPr>
                <w:sz w:val="18"/>
                <w:szCs w:val="18"/>
              </w:rPr>
            </w:pPr>
            <w:r>
              <w:rPr>
                <w:rFonts w:ascii="宋体" w:eastAsia="等线" w:hAnsi="宋体"/>
                <w:noProof/>
                <w:sz w:val="18"/>
                <w:szCs w:val="18"/>
              </w:rPr>
              <w:drawing>
                <wp:inline distT="0" distB="0" distL="0" distR="0" wp14:anchorId="0DDEB593" wp14:editId="42D3813B">
                  <wp:extent cx="588645" cy="341630"/>
                  <wp:effectExtent l="0" t="0" r="0" b="0"/>
                  <wp:docPr id="32"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8645" cy="341630"/>
                          </a:xfrm>
                          <a:prstGeom prst="rect">
                            <a:avLst/>
                          </a:prstGeom>
                          <a:noFill/>
                          <a:ln>
                            <a:noFill/>
                          </a:ln>
                          <a:effectLst/>
                        </pic:spPr>
                      </pic:pic>
                    </a:graphicData>
                  </a:graphic>
                </wp:inline>
              </w:drawing>
            </w:r>
          </w:p>
        </w:tc>
        <w:tc>
          <w:tcPr>
            <w:tcW w:w="1012" w:type="dxa"/>
            <w:noWrap/>
            <w:vAlign w:val="center"/>
          </w:tcPr>
          <w:p w14:paraId="4F0798A4" w14:textId="77777777" w:rsidR="004B0883" w:rsidRDefault="004B0883">
            <w:pPr>
              <w:jc w:val="center"/>
              <w:rPr>
                <w:sz w:val="18"/>
                <w:szCs w:val="18"/>
              </w:rPr>
            </w:pPr>
            <w:r>
              <w:rPr>
                <w:rFonts w:eastAsia="等线"/>
                <w:sz w:val="18"/>
                <w:szCs w:val="18"/>
              </w:rPr>
              <w:t>7327382</w:t>
            </w:r>
          </w:p>
        </w:tc>
        <w:tc>
          <w:tcPr>
            <w:tcW w:w="1418" w:type="dxa"/>
            <w:noWrap/>
            <w:vAlign w:val="center"/>
          </w:tcPr>
          <w:p w14:paraId="7177BB38" w14:textId="77777777" w:rsidR="004B0883" w:rsidRDefault="004B0883">
            <w:pPr>
              <w:jc w:val="center"/>
              <w:rPr>
                <w:rFonts w:eastAsia="等线"/>
                <w:sz w:val="18"/>
                <w:szCs w:val="18"/>
              </w:rPr>
            </w:pPr>
            <w:r>
              <w:rPr>
                <w:rFonts w:eastAsia="等线"/>
                <w:sz w:val="18"/>
                <w:szCs w:val="18"/>
              </w:rPr>
              <w:t>2020.08.14</w:t>
            </w:r>
            <w:r>
              <w:rPr>
                <w:rFonts w:eastAsia="等线" w:hint="eastAsia"/>
                <w:sz w:val="18"/>
                <w:szCs w:val="18"/>
              </w:rPr>
              <w:t>-</w:t>
            </w:r>
          </w:p>
          <w:p w14:paraId="195645E9" w14:textId="77777777" w:rsidR="004B0883" w:rsidRDefault="004B0883">
            <w:pPr>
              <w:jc w:val="center"/>
              <w:rPr>
                <w:sz w:val="18"/>
                <w:szCs w:val="18"/>
              </w:rPr>
            </w:pPr>
            <w:r>
              <w:rPr>
                <w:rFonts w:eastAsia="等线"/>
                <w:sz w:val="18"/>
                <w:szCs w:val="18"/>
              </w:rPr>
              <w:t>2030.08.13</w:t>
            </w:r>
          </w:p>
        </w:tc>
        <w:tc>
          <w:tcPr>
            <w:tcW w:w="992" w:type="dxa"/>
            <w:noWrap/>
            <w:vAlign w:val="center"/>
          </w:tcPr>
          <w:p w14:paraId="1DC4CB25" w14:textId="77777777" w:rsidR="004B0883" w:rsidRDefault="004B0883">
            <w:pPr>
              <w:jc w:val="center"/>
              <w:rPr>
                <w:sz w:val="18"/>
                <w:szCs w:val="18"/>
              </w:rPr>
            </w:pPr>
            <w:r>
              <w:rPr>
                <w:rFonts w:eastAsia="等线"/>
                <w:sz w:val="18"/>
                <w:szCs w:val="18"/>
              </w:rPr>
              <w:t>6</w:t>
            </w:r>
          </w:p>
        </w:tc>
        <w:tc>
          <w:tcPr>
            <w:tcW w:w="1276" w:type="dxa"/>
            <w:vAlign w:val="center"/>
          </w:tcPr>
          <w:p w14:paraId="21B21991" w14:textId="77777777" w:rsidR="004B0883" w:rsidRDefault="004B0883">
            <w:pPr>
              <w:jc w:val="center"/>
              <w:rPr>
                <w:sz w:val="18"/>
                <w:szCs w:val="18"/>
              </w:rPr>
            </w:pPr>
            <w:r>
              <w:rPr>
                <w:rFonts w:ascii="宋体" w:hAnsi="宋体" w:hint="eastAsia"/>
                <w:sz w:val="18"/>
                <w:szCs w:val="18"/>
              </w:rPr>
              <w:t>发行人</w:t>
            </w:r>
          </w:p>
        </w:tc>
        <w:tc>
          <w:tcPr>
            <w:tcW w:w="1330" w:type="dxa"/>
            <w:vAlign w:val="center"/>
          </w:tcPr>
          <w:p w14:paraId="488BA252" w14:textId="77777777" w:rsidR="004B0883" w:rsidRDefault="004B0883">
            <w:pPr>
              <w:jc w:val="center"/>
              <w:rPr>
                <w:sz w:val="18"/>
                <w:szCs w:val="18"/>
              </w:rPr>
            </w:pPr>
            <w:r>
              <w:rPr>
                <w:rFonts w:ascii="宋体" w:hAnsi="宋体" w:hint="eastAsia"/>
                <w:sz w:val="18"/>
                <w:szCs w:val="18"/>
              </w:rPr>
              <w:t>原始取得</w:t>
            </w:r>
          </w:p>
        </w:tc>
      </w:tr>
      <w:tr w:rsidR="004B0883" w14:paraId="7EF2BD62" w14:textId="77777777">
        <w:trPr>
          <w:trHeight w:val="397"/>
        </w:trPr>
        <w:tc>
          <w:tcPr>
            <w:tcW w:w="675" w:type="dxa"/>
            <w:noWrap/>
            <w:vAlign w:val="center"/>
          </w:tcPr>
          <w:p w14:paraId="1AB76403" w14:textId="77777777" w:rsidR="004B0883" w:rsidRDefault="004B0883">
            <w:pPr>
              <w:widowControl w:val="0"/>
              <w:numPr>
                <w:ilvl w:val="0"/>
                <w:numId w:val="25"/>
              </w:numPr>
              <w:ind w:left="0" w:firstLine="0"/>
              <w:jc w:val="center"/>
              <w:rPr>
                <w:sz w:val="18"/>
                <w:szCs w:val="22"/>
              </w:rPr>
            </w:pPr>
          </w:p>
        </w:tc>
        <w:tc>
          <w:tcPr>
            <w:tcW w:w="1823" w:type="dxa"/>
            <w:noWrap/>
            <w:vAlign w:val="center"/>
          </w:tcPr>
          <w:p w14:paraId="088497B7" w14:textId="356221FB" w:rsidR="004B0883" w:rsidRDefault="0090540C">
            <w:pPr>
              <w:jc w:val="center"/>
              <w:rPr>
                <w:sz w:val="18"/>
                <w:szCs w:val="18"/>
                <w:lang w:val="en-US" w:eastAsia="zh-CN"/>
              </w:rPr>
            </w:pPr>
            <w:r>
              <w:rPr>
                <w:rFonts w:ascii="宋体" w:eastAsia="等线" w:hAnsi="宋体"/>
                <w:noProof/>
                <w:sz w:val="18"/>
                <w:szCs w:val="18"/>
              </w:rPr>
              <w:drawing>
                <wp:inline distT="0" distB="0" distL="0" distR="0" wp14:anchorId="33E86E3E" wp14:editId="5B3CB408">
                  <wp:extent cx="1017905" cy="222885"/>
                  <wp:effectExtent l="0" t="0" r="0" b="0"/>
                  <wp:docPr id="33"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7905" cy="222885"/>
                          </a:xfrm>
                          <a:prstGeom prst="rect">
                            <a:avLst/>
                          </a:prstGeom>
                          <a:noFill/>
                          <a:ln>
                            <a:noFill/>
                          </a:ln>
                          <a:effectLst/>
                        </pic:spPr>
                      </pic:pic>
                    </a:graphicData>
                  </a:graphic>
                </wp:inline>
              </w:drawing>
            </w:r>
          </w:p>
        </w:tc>
        <w:tc>
          <w:tcPr>
            <w:tcW w:w="1012" w:type="dxa"/>
            <w:noWrap/>
            <w:vAlign w:val="center"/>
          </w:tcPr>
          <w:p w14:paraId="61BD0C0A" w14:textId="77777777" w:rsidR="004B0883" w:rsidRDefault="004B0883">
            <w:pPr>
              <w:jc w:val="center"/>
              <w:rPr>
                <w:sz w:val="18"/>
                <w:szCs w:val="18"/>
              </w:rPr>
            </w:pPr>
            <w:r>
              <w:rPr>
                <w:rFonts w:eastAsia="等线"/>
                <w:sz w:val="18"/>
                <w:szCs w:val="18"/>
              </w:rPr>
              <w:t>3272430</w:t>
            </w:r>
          </w:p>
        </w:tc>
        <w:tc>
          <w:tcPr>
            <w:tcW w:w="1418" w:type="dxa"/>
            <w:noWrap/>
            <w:vAlign w:val="center"/>
          </w:tcPr>
          <w:p w14:paraId="2C83BD31" w14:textId="77777777" w:rsidR="004B0883" w:rsidRDefault="004B0883">
            <w:pPr>
              <w:jc w:val="center"/>
              <w:rPr>
                <w:rFonts w:eastAsia="等线"/>
                <w:sz w:val="18"/>
                <w:szCs w:val="18"/>
              </w:rPr>
            </w:pPr>
            <w:r>
              <w:rPr>
                <w:rFonts w:eastAsia="等线"/>
                <w:sz w:val="18"/>
                <w:szCs w:val="18"/>
              </w:rPr>
              <w:t>2014.01.21</w:t>
            </w:r>
            <w:r>
              <w:rPr>
                <w:rFonts w:eastAsia="等线" w:hint="eastAsia"/>
                <w:sz w:val="18"/>
                <w:szCs w:val="18"/>
              </w:rPr>
              <w:t>-</w:t>
            </w:r>
          </w:p>
          <w:p w14:paraId="54FDC74F" w14:textId="77777777" w:rsidR="004B0883" w:rsidRDefault="004B0883">
            <w:pPr>
              <w:jc w:val="center"/>
              <w:rPr>
                <w:sz w:val="18"/>
                <w:szCs w:val="18"/>
              </w:rPr>
            </w:pPr>
            <w:r>
              <w:rPr>
                <w:rFonts w:eastAsia="等线"/>
                <w:sz w:val="18"/>
                <w:szCs w:val="18"/>
              </w:rPr>
              <w:t>2024.01.20</w:t>
            </w:r>
          </w:p>
        </w:tc>
        <w:tc>
          <w:tcPr>
            <w:tcW w:w="992" w:type="dxa"/>
            <w:noWrap/>
            <w:vAlign w:val="center"/>
          </w:tcPr>
          <w:p w14:paraId="26D3F89E" w14:textId="77777777" w:rsidR="004B0883" w:rsidRDefault="004B0883">
            <w:pPr>
              <w:jc w:val="center"/>
              <w:rPr>
                <w:sz w:val="18"/>
                <w:szCs w:val="18"/>
              </w:rPr>
            </w:pPr>
            <w:r>
              <w:rPr>
                <w:rFonts w:eastAsia="等线"/>
                <w:sz w:val="18"/>
                <w:szCs w:val="18"/>
              </w:rPr>
              <w:t>6</w:t>
            </w:r>
          </w:p>
        </w:tc>
        <w:tc>
          <w:tcPr>
            <w:tcW w:w="1276" w:type="dxa"/>
            <w:vAlign w:val="center"/>
          </w:tcPr>
          <w:p w14:paraId="2CF593DA" w14:textId="77777777" w:rsidR="004B0883" w:rsidRDefault="004B0883">
            <w:pPr>
              <w:jc w:val="center"/>
              <w:rPr>
                <w:sz w:val="18"/>
                <w:szCs w:val="18"/>
              </w:rPr>
            </w:pPr>
            <w:r>
              <w:rPr>
                <w:rFonts w:ascii="宋体" w:hAnsi="宋体" w:hint="eastAsia"/>
                <w:sz w:val="18"/>
                <w:szCs w:val="18"/>
              </w:rPr>
              <w:t>发行人</w:t>
            </w:r>
          </w:p>
        </w:tc>
        <w:tc>
          <w:tcPr>
            <w:tcW w:w="1330" w:type="dxa"/>
            <w:vAlign w:val="center"/>
          </w:tcPr>
          <w:p w14:paraId="6435CC7D" w14:textId="77777777" w:rsidR="004B0883" w:rsidRDefault="004B0883">
            <w:pPr>
              <w:jc w:val="center"/>
              <w:rPr>
                <w:sz w:val="18"/>
                <w:szCs w:val="18"/>
              </w:rPr>
            </w:pPr>
            <w:r>
              <w:rPr>
                <w:rFonts w:ascii="宋体" w:hAnsi="宋体" w:hint="eastAsia"/>
                <w:sz w:val="18"/>
                <w:szCs w:val="18"/>
              </w:rPr>
              <w:t>原始取得</w:t>
            </w:r>
          </w:p>
        </w:tc>
      </w:tr>
      <w:tr w:rsidR="004B0883" w14:paraId="5380CBC1" w14:textId="77777777">
        <w:trPr>
          <w:trHeight w:val="397"/>
        </w:trPr>
        <w:tc>
          <w:tcPr>
            <w:tcW w:w="675" w:type="dxa"/>
            <w:noWrap/>
            <w:vAlign w:val="center"/>
          </w:tcPr>
          <w:p w14:paraId="415860F9" w14:textId="77777777" w:rsidR="004B0883" w:rsidRDefault="004B0883">
            <w:pPr>
              <w:widowControl w:val="0"/>
              <w:numPr>
                <w:ilvl w:val="0"/>
                <w:numId w:val="25"/>
              </w:numPr>
              <w:ind w:left="0" w:firstLine="0"/>
              <w:jc w:val="center"/>
              <w:rPr>
                <w:sz w:val="18"/>
                <w:szCs w:val="22"/>
              </w:rPr>
            </w:pPr>
          </w:p>
        </w:tc>
        <w:tc>
          <w:tcPr>
            <w:tcW w:w="1823" w:type="dxa"/>
            <w:noWrap/>
            <w:vAlign w:val="center"/>
          </w:tcPr>
          <w:p w14:paraId="768CFA69" w14:textId="065B3124" w:rsidR="004B0883" w:rsidRDefault="0090540C">
            <w:pPr>
              <w:jc w:val="center"/>
              <w:rPr>
                <w:sz w:val="18"/>
                <w:szCs w:val="18"/>
                <w:lang w:val="en-US" w:eastAsia="zh-CN"/>
              </w:rPr>
            </w:pPr>
            <w:r>
              <w:rPr>
                <w:rFonts w:ascii="宋体" w:eastAsia="等线" w:hAnsi="宋体"/>
                <w:noProof/>
                <w:sz w:val="18"/>
                <w:szCs w:val="18"/>
              </w:rPr>
              <w:drawing>
                <wp:inline distT="0" distB="0" distL="0" distR="0" wp14:anchorId="76DA0FF2" wp14:editId="72F5D015">
                  <wp:extent cx="691515" cy="421640"/>
                  <wp:effectExtent l="0" t="0" r="0" b="0"/>
                  <wp:docPr id="34"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91515" cy="421640"/>
                          </a:xfrm>
                          <a:prstGeom prst="rect">
                            <a:avLst/>
                          </a:prstGeom>
                          <a:noFill/>
                          <a:ln>
                            <a:noFill/>
                          </a:ln>
                          <a:effectLst/>
                        </pic:spPr>
                      </pic:pic>
                    </a:graphicData>
                  </a:graphic>
                </wp:inline>
              </w:drawing>
            </w:r>
          </w:p>
        </w:tc>
        <w:tc>
          <w:tcPr>
            <w:tcW w:w="1012" w:type="dxa"/>
            <w:noWrap/>
            <w:vAlign w:val="center"/>
          </w:tcPr>
          <w:p w14:paraId="196F72B3" w14:textId="77777777" w:rsidR="004B0883" w:rsidRDefault="004B0883">
            <w:pPr>
              <w:jc w:val="center"/>
              <w:rPr>
                <w:sz w:val="18"/>
                <w:szCs w:val="18"/>
              </w:rPr>
            </w:pPr>
            <w:r>
              <w:rPr>
                <w:rFonts w:eastAsia="等线"/>
                <w:sz w:val="18"/>
                <w:szCs w:val="18"/>
              </w:rPr>
              <w:t>51538850</w:t>
            </w:r>
          </w:p>
        </w:tc>
        <w:tc>
          <w:tcPr>
            <w:tcW w:w="1418" w:type="dxa"/>
            <w:noWrap/>
            <w:vAlign w:val="center"/>
          </w:tcPr>
          <w:p w14:paraId="63900DE0" w14:textId="77777777" w:rsidR="004B0883" w:rsidRDefault="004B0883">
            <w:pPr>
              <w:jc w:val="center"/>
              <w:rPr>
                <w:rFonts w:eastAsia="等线"/>
                <w:sz w:val="18"/>
                <w:szCs w:val="18"/>
              </w:rPr>
            </w:pPr>
            <w:r>
              <w:rPr>
                <w:rFonts w:eastAsia="等线"/>
                <w:sz w:val="18"/>
                <w:szCs w:val="18"/>
              </w:rPr>
              <w:t>2021.08.14</w:t>
            </w:r>
            <w:r>
              <w:rPr>
                <w:rFonts w:eastAsia="等线" w:hint="eastAsia"/>
                <w:sz w:val="18"/>
                <w:szCs w:val="18"/>
              </w:rPr>
              <w:t>-</w:t>
            </w:r>
          </w:p>
          <w:p w14:paraId="287123D7" w14:textId="77777777" w:rsidR="004B0883" w:rsidRDefault="004B0883">
            <w:pPr>
              <w:jc w:val="center"/>
              <w:rPr>
                <w:sz w:val="18"/>
                <w:szCs w:val="18"/>
              </w:rPr>
            </w:pPr>
            <w:r>
              <w:rPr>
                <w:rFonts w:eastAsia="等线"/>
                <w:sz w:val="18"/>
                <w:szCs w:val="18"/>
              </w:rPr>
              <w:t>2031.08.13</w:t>
            </w:r>
          </w:p>
        </w:tc>
        <w:tc>
          <w:tcPr>
            <w:tcW w:w="992" w:type="dxa"/>
            <w:noWrap/>
            <w:vAlign w:val="center"/>
          </w:tcPr>
          <w:p w14:paraId="1778C44D" w14:textId="77777777" w:rsidR="004B0883" w:rsidRDefault="004B0883">
            <w:pPr>
              <w:jc w:val="center"/>
              <w:rPr>
                <w:sz w:val="18"/>
                <w:szCs w:val="18"/>
              </w:rPr>
            </w:pPr>
            <w:r>
              <w:rPr>
                <w:rFonts w:eastAsia="等线"/>
                <w:sz w:val="18"/>
                <w:szCs w:val="18"/>
              </w:rPr>
              <w:t>42</w:t>
            </w:r>
          </w:p>
        </w:tc>
        <w:tc>
          <w:tcPr>
            <w:tcW w:w="1276" w:type="dxa"/>
            <w:vAlign w:val="center"/>
          </w:tcPr>
          <w:p w14:paraId="0F0F859B" w14:textId="77777777" w:rsidR="004B0883" w:rsidRDefault="004B0883">
            <w:pPr>
              <w:jc w:val="center"/>
              <w:rPr>
                <w:sz w:val="18"/>
                <w:szCs w:val="18"/>
              </w:rPr>
            </w:pPr>
            <w:r>
              <w:rPr>
                <w:rFonts w:ascii="宋体" w:hAnsi="宋体" w:hint="eastAsia"/>
                <w:sz w:val="18"/>
                <w:szCs w:val="18"/>
              </w:rPr>
              <w:t>卓信检测</w:t>
            </w:r>
          </w:p>
        </w:tc>
        <w:tc>
          <w:tcPr>
            <w:tcW w:w="1330" w:type="dxa"/>
            <w:vAlign w:val="center"/>
          </w:tcPr>
          <w:p w14:paraId="618557A9" w14:textId="77777777" w:rsidR="004B0883" w:rsidRDefault="004B0883">
            <w:pPr>
              <w:jc w:val="center"/>
              <w:rPr>
                <w:sz w:val="18"/>
                <w:szCs w:val="18"/>
              </w:rPr>
            </w:pPr>
            <w:r>
              <w:rPr>
                <w:rFonts w:ascii="宋体" w:hAnsi="宋体" w:hint="eastAsia"/>
                <w:sz w:val="18"/>
                <w:szCs w:val="18"/>
              </w:rPr>
              <w:t>原始取得</w:t>
            </w:r>
          </w:p>
        </w:tc>
      </w:tr>
    </w:tbl>
    <w:bookmarkEnd w:id="475"/>
    <w:p w14:paraId="0F159165" w14:textId="77777777" w:rsidR="004B0883" w:rsidRDefault="004B0883">
      <w:pPr>
        <w:pStyle w:val="003"/>
        <w:spacing w:before="120" w:after="120"/>
      </w:pPr>
      <w:r>
        <w:rPr>
          <w:rFonts w:hint="eastAsia"/>
        </w:rPr>
        <w:t>（二）境外商标</w:t>
      </w:r>
    </w:p>
    <w:tbl>
      <w:tblPr>
        <w:tblW w:w="5000" w:type="pct"/>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83"/>
        <w:gridCol w:w="1711"/>
        <w:gridCol w:w="1492"/>
        <w:gridCol w:w="1006"/>
        <w:gridCol w:w="995"/>
        <w:gridCol w:w="1395"/>
        <w:gridCol w:w="1098"/>
      </w:tblGrid>
      <w:tr w:rsidR="004B0883" w14:paraId="1E65D997" w14:textId="77777777">
        <w:trPr>
          <w:trHeight w:val="397"/>
          <w:tblHeader/>
        </w:trPr>
        <w:tc>
          <w:tcPr>
            <w:tcW w:w="713" w:type="dxa"/>
            <w:shd w:val="clear" w:color="auto" w:fill="D9D9D9"/>
            <w:vAlign w:val="center"/>
          </w:tcPr>
          <w:p w14:paraId="497780D8" w14:textId="77777777" w:rsidR="004B0883" w:rsidRDefault="004B0883">
            <w:pPr>
              <w:keepNext/>
              <w:widowControl w:val="0"/>
              <w:jc w:val="center"/>
              <w:rPr>
                <w:rFonts w:cs="宋体"/>
                <w:b/>
                <w:bCs/>
                <w:sz w:val="18"/>
              </w:rPr>
            </w:pPr>
            <w:bookmarkStart w:id="476" w:name="_Hlk136118695"/>
            <w:r>
              <w:rPr>
                <w:rFonts w:cs="宋体" w:hint="eastAsia"/>
                <w:b/>
                <w:bCs/>
                <w:sz w:val="18"/>
              </w:rPr>
              <w:t>序号</w:t>
            </w:r>
          </w:p>
        </w:tc>
        <w:tc>
          <w:tcPr>
            <w:tcW w:w="1880" w:type="dxa"/>
            <w:shd w:val="clear" w:color="auto" w:fill="D9D9D9"/>
            <w:vAlign w:val="center"/>
          </w:tcPr>
          <w:p w14:paraId="0896BE4E" w14:textId="77777777" w:rsidR="004B0883" w:rsidRDefault="004B0883">
            <w:pPr>
              <w:keepNext/>
              <w:widowControl w:val="0"/>
              <w:jc w:val="center"/>
              <w:rPr>
                <w:rFonts w:cs="宋体"/>
                <w:b/>
                <w:bCs/>
                <w:sz w:val="18"/>
              </w:rPr>
            </w:pPr>
            <w:r>
              <w:rPr>
                <w:rFonts w:cs="宋体" w:hint="eastAsia"/>
                <w:b/>
                <w:bCs/>
                <w:sz w:val="18"/>
              </w:rPr>
              <w:t>商标</w:t>
            </w:r>
          </w:p>
        </w:tc>
        <w:tc>
          <w:tcPr>
            <w:tcW w:w="1592" w:type="dxa"/>
            <w:shd w:val="clear" w:color="auto" w:fill="D9D9D9"/>
            <w:vAlign w:val="center"/>
          </w:tcPr>
          <w:p w14:paraId="1A0F7607" w14:textId="77777777" w:rsidR="004B0883" w:rsidRDefault="004B0883">
            <w:pPr>
              <w:keepNext/>
              <w:widowControl w:val="0"/>
              <w:jc w:val="center"/>
              <w:rPr>
                <w:rFonts w:cs="宋体"/>
                <w:b/>
                <w:bCs/>
                <w:sz w:val="18"/>
              </w:rPr>
            </w:pPr>
            <w:r>
              <w:rPr>
                <w:rFonts w:cs="宋体" w:hint="eastAsia"/>
                <w:b/>
                <w:bCs/>
                <w:sz w:val="18"/>
              </w:rPr>
              <w:t>注册号</w:t>
            </w:r>
          </w:p>
        </w:tc>
        <w:tc>
          <w:tcPr>
            <w:tcW w:w="1366" w:type="dxa"/>
            <w:shd w:val="clear" w:color="auto" w:fill="D9D9D9"/>
            <w:vAlign w:val="center"/>
          </w:tcPr>
          <w:p w14:paraId="5E2FAD27" w14:textId="77777777" w:rsidR="004B0883" w:rsidRDefault="004B0883">
            <w:pPr>
              <w:keepNext/>
              <w:widowControl w:val="0"/>
              <w:jc w:val="center"/>
              <w:rPr>
                <w:rFonts w:cs="宋体"/>
                <w:b/>
                <w:bCs/>
                <w:sz w:val="18"/>
              </w:rPr>
            </w:pPr>
            <w:r>
              <w:rPr>
                <w:rFonts w:cs="宋体" w:hint="eastAsia"/>
                <w:b/>
                <w:bCs/>
                <w:sz w:val="18"/>
              </w:rPr>
              <w:t>商标</w:t>
            </w:r>
          </w:p>
          <w:p w14:paraId="66129D5D" w14:textId="77777777" w:rsidR="004B0883" w:rsidRDefault="004B0883">
            <w:pPr>
              <w:keepNext/>
              <w:widowControl w:val="0"/>
              <w:jc w:val="center"/>
              <w:rPr>
                <w:rFonts w:cs="宋体"/>
                <w:b/>
                <w:bCs/>
                <w:sz w:val="18"/>
              </w:rPr>
            </w:pPr>
            <w:r>
              <w:rPr>
                <w:rFonts w:cs="宋体" w:hint="eastAsia"/>
                <w:b/>
                <w:bCs/>
                <w:sz w:val="18"/>
              </w:rPr>
              <w:t>类别</w:t>
            </w:r>
          </w:p>
        </w:tc>
        <w:tc>
          <w:tcPr>
            <w:tcW w:w="1409" w:type="dxa"/>
            <w:shd w:val="clear" w:color="auto" w:fill="D9D9D9"/>
            <w:vAlign w:val="center"/>
          </w:tcPr>
          <w:p w14:paraId="732BDDB6" w14:textId="77777777" w:rsidR="004B0883" w:rsidRDefault="004B0883">
            <w:pPr>
              <w:keepNext/>
              <w:widowControl w:val="0"/>
              <w:jc w:val="center"/>
              <w:rPr>
                <w:rFonts w:cs="宋体"/>
                <w:b/>
                <w:bCs/>
                <w:sz w:val="18"/>
              </w:rPr>
            </w:pPr>
            <w:r>
              <w:rPr>
                <w:rFonts w:cs="宋体" w:hint="eastAsia"/>
                <w:b/>
                <w:bCs/>
                <w:sz w:val="18"/>
              </w:rPr>
              <w:t>权利人</w:t>
            </w:r>
          </w:p>
        </w:tc>
        <w:tc>
          <w:tcPr>
            <w:tcW w:w="1651" w:type="dxa"/>
            <w:shd w:val="clear" w:color="auto" w:fill="D9D9D9"/>
            <w:vAlign w:val="center"/>
          </w:tcPr>
          <w:p w14:paraId="74E582A7" w14:textId="77777777" w:rsidR="004B0883" w:rsidRDefault="004B0883">
            <w:pPr>
              <w:keepNext/>
              <w:widowControl w:val="0"/>
              <w:jc w:val="center"/>
              <w:rPr>
                <w:rFonts w:cs="宋体"/>
                <w:b/>
                <w:bCs/>
                <w:sz w:val="18"/>
              </w:rPr>
            </w:pPr>
            <w:r>
              <w:rPr>
                <w:rFonts w:cs="宋体" w:hint="eastAsia"/>
                <w:b/>
                <w:bCs/>
                <w:sz w:val="18"/>
              </w:rPr>
              <w:t>有效期至</w:t>
            </w:r>
          </w:p>
        </w:tc>
        <w:tc>
          <w:tcPr>
            <w:tcW w:w="1583" w:type="dxa"/>
            <w:shd w:val="clear" w:color="auto" w:fill="D9D9D9"/>
            <w:vAlign w:val="center"/>
          </w:tcPr>
          <w:p w14:paraId="23D24478" w14:textId="77777777" w:rsidR="004B0883" w:rsidRDefault="004B0883">
            <w:pPr>
              <w:keepNext/>
              <w:widowControl w:val="0"/>
              <w:jc w:val="center"/>
              <w:rPr>
                <w:rFonts w:cs="宋体"/>
                <w:b/>
                <w:bCs/>
                <w:sz w:val="18"/>
              </w:rPr>
            </w:pPr>
            <w:r>
              <w:rPr>
                <w:rFonts w:cs="宋体" w:hint="eastAsia"/>
                <w:b/>
                <w:bCs/>
                <w:sz w:val="18"/>
              </w:rPr>
              <w:t>注册国家</w:t>
            </w:r>
          </w:p>
          <w:p w14:paraId="5499768D" w14:textId="77777777" w:rsidR="004B0883" w:rsidRDefault="004B0883">
            <w:pPr>
              <w:keepNext/>
              <w:widowControl w:val="0"/>
              <w:jc w:val="center"/>
              <w:rPr>
                <w:rFonts w:cs="宋体"/>
                <w:b/>
                <w:bCs/>
                <w:sz w:val="18"/>
              </w:rPr>
            </w:pPr>
            <w:r>
              <w:rPr>
                <w:rFonts w:cs="宋体" w:hint="eastAsia"/>
                <w:b/>
                <w:bCs/>
                <w:sz w:val="18"/>
              </w:rPr>
              <w:t>或地区</w:t>
            </w:r>
          </w:p>
        </w:tc>
      </w:tr>
      <w:tr w:rsidR="004B0883" w14:paraId="0C581013" w14:textId="77777777">
        <w:trPr>
          <w:trHeight w:val="397"/>
        </w:trPr>
        <w:tc>
          <w:tcPr>
            <w:tcW w:w="713" w:type="dxa"/>
            <w:vAlign w:val="center"/>
          </w:tcPr>
          <w:p w14:paraId="44592B94" w14:textId="77777777" w:rsidR="004B0883" w:rsidRDefault="004B0883">
            <w:pPr>
              <w:widowControl w:val="0"/>
              <w:numPr>
                <w:ilvl w:val="0"/>
                <w:numId w:val="26"/>
              </w:numPr>
              <w:ind w:left="0" w:firstLine="0"/>
              <w:jc w:val="center"/>
              <w:rPr>
                <w:rFonts w:cs="宋体"/>
                <w:sz w:val="18"/>
              </w:rPr>
            </w:pPr>
          </w:p>
        </w:tc>
        <w:tc>
          <w:tcPr>
            <w:tcW w:w="1880" w:type="dxa"/>
            <w:vAlign w:val="center"/>
          </w:tcPr>
          <w:p w14:paraId="2BE9AFAC" w14:textId="2BE5F5A1" w:rsidR="004B0883" w:rsidRDefault="0090540C">
            <w:pPr>
              <w:jc w:val="center"/>
              <w:rPr>
                <w:rFonts w:cs="宋体"/>
                <w:sz w:val="18"/>
                <w:szCs w:val="18"/>
              </w:rPr>
            </w:pPr>
            <w:r>
              <w:rPr>
                <w:noProof/>
                <w:sz w:val="18"/>
                <w:szCs w:val="18"/>
              </w:rPr>
              <w:drawing>
                <wp:inline distT="0" distB="0" distL="0" distR="0" wp14:anchorId="26A2A56F" wp14:editId="45D40CA4">
                  <wp:extent cx="691515" cy="334010"/>
                  <wp:effectExtent l="0" t="0" r="0" b="0"/>
                  <wp:docPr id="35"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91515" cy="334010"/>
                          </a:xfrm>
                          <a:prstGeom prst="rect">
                            <a:avLst/>
                          </a:prstGeom>
                          <a:noFill/>
                          <a:ln>
                            <a:noFill/>
                          </a:ln>
                          <a:effectLst/>
                        </pic:spPr>
                      </pic:pic>
                    </a:graphicData>
                  </a:graphic>
                </wp:inline>
              </w:drawing>
            </w:r>
          </w:p>
        </w:tc>
        <w:tc>
          <w:tcPr>
            <w:tcW w:w="1592" w:type="dxa"/>
            <w:vAlign w:val="center"/>
          </w:tcPr>
          <w:p w14:paraId="3F052A55" w14:textId="77777777" w:rsidR="004B0883" w:rsidRDefault="004B0883">
            <w:pPr>
              <w:jc w:val="center"/>
              <w:rPr>
                <w:sz w:val="18"/>
                <w:szCs w:val="18"/>
              </w:rPr>
            </w:pPr>
            <w:r>
              <w:rPr>
                <w:rFonts w:eastAsia="等线"/>
                <w:color w:val="000000"/>
                <w:sz w:val="18"/>
                <w:szCs w:val="18"/>
              </w:rPr>
              <w:t>301475767</w:t>
            </w:r>
          </w:p>
        </w:tc>
        <w:tc>
          <w:tcPr>
            <w:tcW w:w="1366" w:type="dxa"/>
            <w:vAlign w:val="center"/>
          </w:tcPr>
          <w:p w14:paraId="4435D858" w14:textId="77777777" w:rsidR="004B0883" w:rsidRDefault="004B0883">
            <w:pPr>
              <w:jc w:val="center"/>
              <w:rPr>
                <w:sz w:val="18"/>
                <w:szCs w:val="18"/>
              </w:rPr>
            </w:pPr>
            <w:r>
              <w:rPr>
                <w:sz w:val="18"/>
                <w:szCs w:val="18"/>
              </w:rPr>
              <w:t>6</w:t>
            </w:r>
          </w:p>
        </w:tc>
        <w:tc>
          <w:tcPr>
            <w:tcW w:w="1409" w:type="dxa"/>
            <w:vAlign w:val="center"/>
          </w:tcPr>
          <w:p w14:paraId="60B97D29"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47037BE4" w14:textId="77777777" w:rsidR="004B0883" w:rsidRDefault="004B0883">
            <w:pPr>
              <w:jc w:val="center"/>
              <w:rPr>
                <w:sz w:val="18"/>
                <w:szCs w:val="18"/>
              </w:rPr>
            </w:pPr>
            <w:r>
              <w:rPr>
                <w:sz w:val="18"/>
                <w:szCs w:val="18"/>
              </w:rPr>
              <w:t>2029.11.12</w:t>
            </w:r>
          </w:p>
        </w:tc>
        <w:tc>
          <w:tcPr>
            <w:tcW w:w="1583" w:type="dxa"/>
            <w:vAlign w:val="center"/>
          </w:tcPr>
          <w:p w14:paraId="6BB4A62D" w14:textId="77777777" w:rsidR="004B0883" w:rsidRDefault="004B0883">
            <w:pPr>
              <w:jc w:val="center"/>
              <w:rPr>
                <w:rFonts w:cs="宋体"/>
                <w:sz w:val="18"/>
                <w:szCs w:val="18"/>
              </w:rPr>
            </w:pPr>
            <w:r>
              <w:rPr>
                <w:rFonts w:ascii="宋体" w:hAnsi="宋体" w:cs="宋体" w:hint="eastAsia"/>
                <w:sz w:val="18"/>
                <w:szCs w:val="18"/>
              </w:rPr>
              <w:t>中国香港</w:t>
            </w:r>
          </w:p>
        </w:tc>
      </w:tr>
      <w:tr w:rsidR="004B0883" w14:paraId="697A957C" w14:textId="77777777">
        <w:trPr>
          <w:trHeight w:val="397"/>
        </w:trPr>
        <w:tc>
          <w:tcPr>
            <w:tcW w:w="713" w:type="dxa"/>
            <w:vAlign w:val="center"/>
          </w:tcPr>
          <w:p w14:paraId="296D68F8" w14:textId="77777777" w:rsidR="004B0883" w:rsidRDefault="004B0883">
            <w:pPr>
              <w:widowControl w:val="0"/>
              <w:numPr>
                <w:ilvl w:val="0"/>
                <w:numId w:val="26"/>
              </w:numPr>
              <w:ind w:left="0" w:firstLine="0"/>
              <w:jc w:val="center"/>
              <w:rPr>
                <w:rFonts w:cs="宋体"/>
                <w:sz w:val="18"/>
              </w:rPr>
            </w:pPr>
          </w:p>
        </w:tc>
        <w:tc>
          <w:tcPr>
            <w:tcW w:w="1880" w:type="dxa"/>
            <w:vAlign w:val="center"/>
          </w:tcPr>
          <w:p w14:paraId="6560B12E" w14:textId="2752CE75" w:rsidR="004B0883" w:rsidRDefault="0090540C">
            <w:pPr>
              <w:jc w:val="center"/>
              <w:rPr>
                <w:rFonts w:cs="宋体"/>
                <w:sz w:val="18"/>
                <w:szCs w:val="18"/>
              </w:rPr>
            </w:pPr>
            <w:r>
              <w:rPr>
                <w:noProof/>
                <w:sz w:val="18"/>
                <w:szCs w:val="18"/>
              </w:rPr>
              <w:drawing>
                <wp:inline distT="0" distB="0" distL="0" distR="0" wp14:anchorId="48B16A2A" wp14:editId="371BF007">
                  <wp:extent cx="723265" cy="278130"/>
                  <wp:effectExtent l="0" t="0" r="0" b="0"/>
                  <wp:docPr id="36"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23265" cy="278130"/>
                          </a:xfrm>
                          <a:prstGeom prst="rect">
                            <a:avLst/>
                          </a:prstGeom>
                          <a:noFill/>
                          <a:ln>
                            <a:noFill/>
                          </a:ln>
                          <a:effectLst/>
                        </pic:spPr>
                      </pic:pic>
                    </a:graphicData>
                  </a:graphic>
                </wp:inline>
              </w:drawing>
            </w:r>
          </w:p>
        </w:tc>
        <w:tc>
          <w:tcPr>
            <w:tcW w:w="1592" w:type="dxa"/>
            <w:vAlign w:val="center"/>
          </w:tcPr>
          <w:p w14:paraId="497A2FAA" w14:textId="77777777" w:rsidR="004B0883" w:rsidRDefault="004B0883">
            <w:pPr>
              <w:jc w:val="center"/>
              <w:rPr>
                <w:sz w:val="18"/>
                <w:szCs w:val="18"/>
              </w:rPr>
            </w:pPr>
            <w:r>
              <w:rPr>
                <w:color w:val="000000"/>
                <w:sz w:val="18"/>
                <w:szCs w:val="18"/>
              </w:rPr>
              <w:t>301475776</w:t>
            </w:r>
          </w:p>
        </w:tc>
        <w:tc>
          <w:tcPr>
            <w:tcW w:w="1366" w:type="dxa"/>
            <w:vAlign w:val="center"/>
          </w:tcPr>
          <w:p w14:paraId="6F83738F" w14:textId="77777777" w:rsidR="004B0883" w:rsidRDefault="004B0883">
            <w:pPr>
              <w:jc w:val="center"/>
              <w:rPr>
                <w:sz w:val="18"/>
                <w:szCs w:val="18"/>
              </w:rPr>
            </w:pPr>
            <w:r>
              <w:rPr>
                <w:sz w:val="18"/>
                <w:szCs w:val="18"/>
              </w:rPr>
              <w:t>6</w:t>
            </w:r>
          </w:p>
        </w:tc>
        <w:tc>
          <w:tcPr>
            <w:tcW w:w="1409" w:type="dxa"/>
            <w:vAlign w:val="center"/>
          </w:tcPr>
          <w:p w14:paraId="20F516E2"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757B9F29" w14:textId="77777777" w:rsidR="004B0883" w:rsidRDefault="004B0883">
            <w:pPr>
              <w:jc w:val="center"/>
              <w:rPr>
                <w:sz w:val="18"/>
                <w:szCs w:val="18"/>
              </w:rPr>
            </w:pPr>
            <w:r>
              <w:rPr>
                <w:sz w:val="18"/>
                <w:szCs w:val="18"/>
              </w:rPr>
              <w:t>2029.11.12</w:t>
            </w:r>
          </w:p>
        </w:tc>
        <w:tc>
          <w:tcPr>
            <w:tcW w:w="1583" w:type="dxa"/>
            <w:vAlign w:val="center"/>
          </w:tcPr>
          <w:p w14:paraId="2295D78A" w14:textId="77777777" w:rsidR="004B0883" w:rsidRDefault="004B0883">
            <w:pPr>
              <w:jc w:val="center"/>
              <w:rPr>
                <w:rFonts w:cs="宋体"/>
                <w:sz w:val="18"/>
                <w:szCs w:val="18"/>
              </w:rPr>
            </w:pPr>
            <w:r>
              <w:rPr>
                <w:rFonts w:ascii="宋体" w:hAnsi="宋体" w:cs="宋体" w:hint="eastAsia"/>
                <w:sz w:val="18"/>
                <w:szCs w:val="18"/>
              </w:rPr>
              <w:t>中国香港</w:t>
            </w:r>
          </w:p>
        </w:tc>
      </w:tr>
      <w:tr w:rsidR="004B0883" w14:paraId="6BECC769" w14:textId="77777777">
        <w:trPr>
          <w:trHeight w:val="397"/>
        </w:trPr>
        <w:tc>
          <w:tcPr>
            <w:tcW w:w="713" w:type="dxa"/>
            <w:vAlign w:val="center"/>
          </w:tcPr>
          <w:p w14:paraId="1EC59369" w14:textId="77777777" w:rsidR="004B0883" w:rsidRDefault="004B0883">
            <w:pPr>
              <w:widowControl w:val="0"/>
              <w:numPr>
                <w:ilvl w:val="0"/>
                <w:numId w:val="26"/>
              </w:numPr>
              <w:ind w:left="0" w:firstLine="0"/>
              <w:jc w:val="center"/>
              <w:rPr>
                <w:rFonts w:cs="宋体"/>
                <w:sz w:val="18"/>
              </w:rPr>
            </w:pPr>
          </w:p>
        </w:tc>
        <w:tc>
          <w:tcPr>
            <w:tcW w:w="1880" w:type="dxa"/>
            <w:vAlign w:val="center"/>
          </w:tcPr>
          <w:p w14:paraId="1CB4E310" w14:textId="4F840CEC" w:rsidR="004B0883" w:rsidRDefault="0090540C">
            <w:pPr>
              <w:jc w:val="center"/>
              <w:rPr>
                <w:rFonts w:cs="宋体"/>
                <w:sz w:val="18"/>
                <w:szCs w:val="18"/>
              </w:rPr>
            </w:pPr>
            <w:r>
              <w:rPr>
                <w:noProof/>
                <w:sz w:val="18"/>
                <w:szCs w:val="18"/>
              </w:rPr>
              <w:drawing>
                <wp:inline distT="0" distB="0" distL="0" distR="0" wp14:anchorId="5942BB1A" wp14:editId="5CC0121F">
                  <wp:extent cx="691515" cy="325755"/>
                  <wp:effectExtent l="0" t="0" r="0" b="0"/>
                  <wp:docPr id="37"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1515" cy="325755"/>
                          </a:xfrm>
                          <a:prstGeom prst="rect">
                            <a:avLst/>
                          </a:prstGeom>
                          <a:noFill/>
                          <a:ln>
                            <a:noFill/>
                          </a:ln>
                          <a:effectLst/>
                        </pic:spPr>
                      </pic:pic>
                    </a:graphicData>
                  </a:graphic>
                </wp:inline>
              </w:drawing>
            </w:r>
          </w:p>
        </w:tc>
        <w:tc>
          <w:tcPr>
            <w:tcW w:w="1592" w:type="dxa"/>
            <w:vAlign w:val="center"/>
          </w:tcPr>
          <w:p w14:paraId="62778DF7" w14:textId="77777777" w:rsidR="004B0883" w:rsidRDefault="004B0883">
            <w:pPr>
              <w:jc w:val="center"/>
              <w:rPr>
                <w:sz w:val="18"/>
                <w:szCs w:val="18"/>
              </w:rPr>
            </w:pPr>
            <w:r>
              <w:rPr>
                <w:color w:val="000000"/>
                <w:sz w:val="18"/>
                <w:szCs w:val="18"/>
              </w:rPr>
              <w:t>304011614</w:t>
            </w:r>
          </w:p>
        </w:tc>
        <w:tc>
          <w:tcPr>
            <w:tcW w:w="1366" w:type="dxa"/>
            <w:vAlign w:val="center"/>
          </w:tcPr>
          <w:p w14:paraId="1F8E1C91" w14:textId="77777777" w:rsidR="004B0883" w:rsidRDefault="004B0883">
            <w:pPr>
              <w:jc w:val="center"/>
              <w:rPr>
                <w:sz w:val="18"/>
                <w:szCs w:val="18"/>
              </w:rPr>
            </w:pPr>
            <w:r>
              <w:rPr>
                <w:sz w:val="18"/>
                <w:szCs w:val="18"/>
              </w:rPr>
              <w:t>9</w:t>
            </w:r>
            <w:r>
              <w:rPr>
                <w:sz w:val="18"/>
                <w:szCs w:val="18"/>
              </w:rPr>
              <w:t>、</w:t>
            </w:r>
            <w:r>
              <w:rPr>
                <w:sz w:val="18"/>
                <w:szCs w:val="18"/>
              </w:rPr>
              <w:t>11</w:t>
            </w:r>
          </w:p>
        </w:tc>
        <w:tc>
          <w:tcPr>
            <w:tcW w:w="1409" w:type="dxa"/>
            <w:vAlign w:val="center"/>
          </w:tcPr>
          <w:p w14:paraId="29EAA65E"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29FD26C3" w14:textId="77777777" w:rsidR="004B0883" w:rsidRDefault="004B0883">
            <w:pPr>
              <w:jc w:val="center"/>
              <w:rPr>
                <w:sz w:val="18"/>
                <w:szCs w:val="18"/>
              </w:rPr>
            </w:pPr>
            <w:r>
              <w:rPr>
                <w:sz w:val="18"/>
                <w:szCs w:val="18"/>
              </w:rPr>
              <w:t>2027.01.04</w:t>
            </w:r>
          </w:p>
        </w:tc>
        <w:tc>
          <w:tcPr>
            <w:tcW w:w="1583" w:type="dxa"/>
            <w:vAlign w:val="center"/>
          </w:tcPr>
          <w:p w14:paraId="6FC4CCAC" w14:textId="77777777" w:rsidR="004B0883" w:rsidRDefault="004B0883">
            <w:pPr>
              <w:jc w:val="center"/>
              <w:rPr>
                <w:rFonts w:cs="宋体"/>
                <w:sz w:val="18"/>
                <w:szCs w:val="18"/>
              </w:rPr>
            </w:pPr>
            <w:r>
              <w:rPr>
                <w:rFonts w:ascii="宋体" w:hAnsi="宋体" w:cs="宋体" w:hint="eastAsia"/>
                <w:sz w:val="18"/>
                <w:szCs w:val="18"/>
              </w:rPr>
              <w:t>中国香港</w:t>
            </w:r>
          </w:p>
        </w:tc>
      </w:tr>
      <w:tr w:rsidR="004B0883" w14:paraId="36EDC6B0" w14:textId="77777777">
        <w:trPr>
          <w:trHeight w:val="397"/>
        </w:trPr>
        <w:tc>
          <w:tcPr>
            <w:tcW w:w="713" w:type="dxa"/>
            <w:vAlign w:val="center"/>
          </w:tcPr>
          <w:p w14:paraId="75AAFAC2" w14:textId="77777777" w:rsidR="004B0883" w:rsidRDefault="004B0883">
            <w:pPr>
              <w:widowControl w:val="0"/>
              <w:numPr>
                <w:ilvl w:val="0"/>
                <w:numId w:val="26"/>
              </w:numPr>
              <w:ind w:left="0" w:firstLine="0"/>
              <w:jc w:val="center"/>
              <w:rPr>
                <w:rFonts w:cs="宋体"/>
                <w:sz w:val="18"/>
              </w:rPr>
            </w:pPr>
          </w:p>
        </w:tc>
        <w:tc>
          <w:tcPr>
            <w:tcW w:w="1880" w:type="dxa"/>
            <w:vAlign w:val="center"/>
          </w:tcPr>
          <w:p w14:paraId="3B62C8CE" w14:textId="66311B18" w:rsidR="004B0883" w:rsidRDefault="0090540C">
            <w:pPr>
              <w:jc w:val="center"/>
              <w:rPr>
                <w:rFonts w:cs="宋体"/>
                <w:sz w:val="18"/>
                <w:szCs w:val="18"/>
              </w:rPr>
            </w:pPr>
            <w:r>
              <w:rPr>
                <w:noProof/>
                <w:sz w:val="18"/>
                <w:szCs w:val="18"/>
              </w:rPr>
              <w:drawing>
                <wp:inline distT="0" distB="0" distL="0" distR="0" wp14:anchorId="7010B939" wp14:editId="0E56E856">
                  <wp:extent cx="580390" cy="270510"/>
                  <wp:effectExtent l="0" t="0" r="0" b="0"/>
                  <wp:docPr id="38"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0390" cy="270510"/>
                          </a:xfrm>
                          <a:prstGeom prst="rect">
                            <a:avLst/>
                          </a:prstGeom>
                          <a:noFill/>
                          <a:ln>
                            <a:noFill/>
                          </a:ln>
                          <a:effectLst/>
                        </pic:spPr>
                      </pic:pic>
                    </a:graphicData>
                  </a:graphic>
                </wp:inline>
              </w:drawing>
            </w:r>
          </w:p>
        </w:tc>
        <w:tc>
          <w:tcPr>
            <w:tcW w:w="1592" w:type="dxa"/>
            <w:vAlign w:val="center"/>
          </w:tcPr>
          <w:p w14:paraId="57BE6911" w14:textId="77777777" w:rsidR="004B0883" w:rsidRDefault="004B0883">
            <w:pPr>
              <w:jc w:val="center"/>
              <w:rPr>
                <w:sz w:val="18"/>
                <w:szCs w:val="18"/>
              </w:rPr>
            </w:pPr>
            <w:r>
              <w:rPr>
                <w:sz w:val="18"/>
                <w:szCs w:val="18"/>
              </w:rPr>
              <w:t>01436543</w:t>
            </w:r>
          </w:p>
        </w:tc>
        <w:tc>
          <w:tcPr>
            <w:tcW w:w="1366" w:type="dxa"/>
            <w:vAlign w:val="center"/>
          </w:tcPr>
          <w:p w14:paraId="3ED19009" w14:textId="77777777" w:rsidR="004B0883" w:rsidRDefault="004B0883">
            <w:pPr>
              <w:jc w:val="center"/>
              <w:rPr>
                <w:sz w:val="18"/>
                <w:szCs w:val="18"/>
              </w:rPr>
            </w:pPr>
            <w:r>
              <w:rPr>
                <w:sz w:val="18"/>
                <w:szCs w:val="18"/>
              </w:rPr>
              <w:t>6</w:t>
            </w:r>
          </w:p>
        </w:tc>
        <w:tc>
          <w:tcPr>
            <w:tcW w:w="1409" w:type="dxa"/>
            <w:vAlign w:val="center"/>
          </w:tcPr>
          <w:p w14:paraId="088F8177"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04665DB1" w14:textId="77777777" w:rsidR="004B0883" w:rsidRDefault="004B0883">
            <w:pPr>
              <w:jc w:val="center"/>
              <w:rPr>
                <w:sz w:val="18"/>
                <w:szCs w:val="18"/>
              </w:rPr>
            </w:pPr>
            <w:r>
              <w:rPr>
                <w:sz w:val="18"/>
                <w:szCs w:val="18"/>
              </w:rPr>
              <w:t>2030.10.31</w:t>
            </w:r>
          </w:p>
        </w:tc>
        <w:tc>
          <w:tcPr>
            <w:tcW w:w="1583" w:type="dxa"/>
            <w:vAlign w:val="center"/>
          </w:tcPr>
          <w:p w14:paraId="66251043" w14:textId="77777777" w:rsidR="004B0883" w:rsidRDefault="004B0883">
            <w:pPr>
              <w:jc w:val="center"/>
              <w:rPr>
                <w:rFonts w:cs="宋体"/>
                <w:sz w:val="18"/>
                <w:szCs w:val="18"/>
              </w:rPr>
            </w:pPr>
            <w:r>
              <w:rPr>
                <w:rFonts w:ascii="宋体" w:hAnsi="宋体" w:cs="宋体" w:hint="eastAsia"/>
                <w:sz w:val="18"/>
                <w:szCs w:val="18"/>
              </w:rPr>
              <w:t>中国台湾</w:t>
            </w:r>
          </w:p>
        </w:tc>
      </w:tr>
      <w:tr w:rsidR="004B0883" w14:paraId="360EA7B7" w14:textId="77777777">
        <w:trPr>
          <w:trHeight w:val="397"/>
        </w:trPr>
        <w:tc>
          <w:tcPr>
            <w:tcW w:w="713" w:type="dxa"/>
            <w:vAlign w:val="center"/>
          </w:tcPr>
          <w:p w14:paraId="5AEC1A70" w14:textId="77777777" w:rsidR="004B0883" w:rsidRDefault="004B0883">
            <w:pPr>
              <w:widowControl w:val="0"/>
              <w:numPr>
                <w:ilvl w:val="0"/>
                <w:numId w:val="26"/>
              </w:numPr>
              <w:ind w:left="0" w:firstLine="0"/>
              <w:jc w:val="center"/>
              <w:rPr>
                <w:rFonts w:cs="宋体"/>
                <w:b/>
                <w:bCs/>
                <w:sz w:val="18"/>
              </w:rPr>
            </w:pPr>
          </w:p>
        </w:tc>
        <w:tc>
          <w:tcPr>
            <w:tcW w:w="1880" w:type="dxa"/>
          </w:tcPr>
          <w:p w14:paraId="2EBF25FC" w14:textId="24A82D3F" w:rsidR="004B0883" w:rsidRDefault="0090540C">
            <w:pPr>
              <w:jc w:val="center"/>
              <w:rPr>
                <w:rFonts w:cs="宋体"/>
                <w:b/>
                <w:bCs/>
                <w:sz w:val="18"/>
                <w:szCs w:val="18"/>
              </w:rPr>
            </w:pPr>
            <w:r>
              <w:rPr>
                <w:noProof/>
                <w:sz w:val="18"/>
                <w:szCs w:val="18"/>
              </w:rPr>
              <w:drawing>
                <wp:inline distT="0" distB="0" distL="0" distR="0" wp14:anchorId="4C9EA54F" wp14:editId="0A74247B">
                  <wp:extent cx="795020" cy="357505"/>
                  <wp:effectExtent l="0" t="0" r="0" b="0"/>
                  <wp:docPr id="39"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95020" cy="357505"/>
                          </a:xfrm>
                          <a:prstGeom prst="rect">
                            <a:avLst/>
                          </a:prstGeom>
                          <a:noFill/>
                          <a:ln>
                            <a:noFill/>
                          </a:ln>
                          <a:effectLst/>
                        </pic:spPr>
                      </pic:pic>
                    </a:graphicData>
                  </a:graphic>
                </wp:inline>
              </w:drawing>
            </w:r>
          </w:p>
        </w:tc>
        <w:tc>
          <w:tcPr>
            <w:tcW w:w="1592" w:type="dxa"/>
            <w:vAlign w:val="center"/>
          </w:tcPr>
          <w:p w14:paraId="76211294" w14:textId="77777777" w:rsidR="004B0883" w:rsidRDefault="004B0883">
            <w:pPr>
              <w:jc w:val="center"/>
              <w:rPr>
                <w:sz w:val="18"/>
                <w:szCs w:val="18"/>
              </w:rPr>
            </w:pPr>
            <w:r>
              <w:rPr>
                <w:sz w:val="18"/>
                <w:szCs w:val="18"/>
              </w:rPr>
              <w:t>01860519</w:t>
            </w:r>
          </w:p>
        </w:tc>
        <w:tc>
          <w:tcPr>
            <w:tcW w:w="1366" w:type="dxa"/>
            <w:vAlign w:val="center"/>
          </w:tcPr>
          <w:p w14:paraId="6DD2B664" w14:textId="77777777" w:rsidR="004B0883" w:rsidRDefault="004B0883">
            <w:pPr>
              <w:jc w:val="center"/>
              <w:rPr>
                <w:sz w:val="18"/>
                <w:szCs w:val="18"/>
              </w:rPr>
            </w:pPr>
            <w:r>
              <w:rPr>
                <w:sz w:val="18"/>
                <w:szCs w:val="18"/>
              </w:rPr>
              <w:t>11</w:t>
            </w:r>
          </w:p>
        </w:tc>
        <w:tc>
          <w:tcPr>
            <w:tcW w:w="1409" w:type="dxa"/>
            <w:vAlign w:val="center"/>
          </w:tcPr>
          <w:p w14:paraId="47AC19A2" w14:textId="77777777" w:rsidR="004B0883" w:rsidRDefault="004B0883">
            <w:pPr>
              <w:jc w:val="center"/>
              <w:rPr>
                <w:sz w:val="18"/>
                <w:szCs w:val="18"/>
              </w:rPr>
            </w:pPr>
            <w:r>
              <w:rPr>
                <w:sz w:val="18"/>
                <w:szCs w:val="18"/>
              </w:rPr>
              <w:t>发行人</w:t>
            </w:r>
          </w:p>
        </w:tc>
        <w:tc>
          <w:tcPr>
            <w:tcW w:w="1651" w:type="dxa"/>
            <w:vAlign w:val="center"/>
          </w:tcPr>
          <w:p w14:paraId="306026B5" w14:textId="77777777" w:rsidR="004B0883" w:rsidRDefault="004B0883">
            <w:pPr>
              <w:jc w:val="center"/>
              <w:rPr>
                <w:sz w:val="18"/>
                <w:szCs w:val="18"/>
              </w:rPr>
            </w:pPr>
            <w:r>
              <w:rPr>
                <w:sz w:val="18"/>
                <w:szCs w:val="18"/>
              </w:rPr>
              <w:t>2027.08.15</w:t>
            </w:r>
          </w:p>
        </w:tc>
        <w:tc>
          <w:tcPr>
            <w:tcW w:w="1583" w:type="dxa"/>
            <w:vAlign w:val="center"/>
          </w:tcPr>
          <w:p w14:paraId="73B9B2D6" w14:textId="77777777" w:rsidR="004B0883" w:rsidRDefault="004B0883">
            <w:pPr>
              <w:jc w:val="center"/>
              <w:rPr>
                <w:rFonts w:cs="宋体"/>
                <w:sz w:val="18"/>
                <w:szCs w:val="18"/>
              </w:rPr>
            </w:pPr>
            <w:r>
              <w:rPr>
                <w:rFonts w:ascii="宋体" w:hAnsi="宋体" w:cs="宋体" w:hint="eastAsia"/>
                <w:sz w:val="18"/>
                <w:szCs w:val="18"/>
              </w:rPr>
              <w:t>中国台湾</w:t>
            </w:r>
          </w:p>
        </w:tc>
      </w:tr>
      <w:tr w:rsidR="004B0883" w14:paraId="1A1A7722" w14:textId="77777777">
        <w:trPr>
          <w:trHeight w:val="397"/>
        </w:trPr>
        <w:tc>
          <w:tcPr>
            <w:tcW w:w="713" w:type="dxa"/>
            <w:vAlign w:val="center"/>
          </w:tcPr>
          <w:p w14:paraId="6B44E794" w14:textId="77777777" w:rsidR="004B0883" w:rsidRDefault="004B0883">
            <w:pPr>
              <w:widowControl w:val="0"/>
              <w:numPr>
                <w:ilvl w:val="0"/>
                <w:numId w:val="26"/>
              </w:numPr>
              <w:ind w:left="0" w:firstLine="0"/>
              <w:jc w:val="center"/>
              <w:rPr>
                <w:rFonts w:cs="宋体"/>
                <w:b/>
                <w:bCs/>
                <w:sz w:val="18"/>
              </w:rPr>
            </w:pPr>
          </w:p>
        </w:tc>
        <w:tc>
          <w:tcPr>
            <w:tcW w:w="1880" w:type="dxa"/>
          </w:tcPr>
          <w:p w14:paraId="4D74F946" w14:textId="24324F8F" w:rsidR="004B0883" w:rsidRDefault="0090540C">
            <w:pPr>
              <w:jc w:val="center"/>
              <w:rPr>
                <w:rFonts w:cs="宋体"/>
                <w:b/>
                <w:bCs/>
                <w:sz w:val="18"/>
                <w:szCs w:val="18"/>
              </w:rPr>
            </w:pPr>
            <w:r>
              <w:rPr>
                <w:noProof/>
                <w:sz w:val="18"/>
                <w:szCs w:val="18"/>
              </w:rPr>
              <w:drawing>
                <wp:inline distT="0" distB="0" distL="0" distR="0" wp14:anchorId="7D38AD39" wp14:editId="22DA1A5E">
                  <wp:extent cx="795020" cy="357505"/>
                  <wp:effectExtent l="0" t="0" r="0" b="0"/>
                  <wp:docPr id="40"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95020" cy="357505"/>
                          </a:xfrm>
                          <a:prstGeom prst="rect">
                            <a:avLst/>
                          </a:prstGeom>
                          <a:noFill/>
                          <a:ln>
                            <a:noFill/>
                          </a:ln>
                          <a:effectLst/>
                        </pic:spPr>
                      </pic:pic>
                    </a:graphicData>
                  </a:graphic>
                </wp:inline>
              </w:drawing>
            </w:r>
          </w:p>
        </w:tc>
        <w:tc>
          <w:tcPr>
            <w:tcW w:w="1592" w:type="dxa"/>
            <w:vAlign w:val="center"/>
          </w:tcPr>
          <w:p w14:paraId="1B8BCA79" w14:textId="77777777" w:rsidR="004B0883" w:rsidRDefault="004B0883">
            <w:pPr>
              <w:jc w:val="center"/>
              <w:rPr>
                <w:sz w:val="18"/>
                <w:szCs w:val="18"/>
              </w:rPr>
            </w:pPr>
            <w:r>
              <w:rPr>
                <w:sz w:val="18"/>
                <w:szCs w:val="18"/>
              </w:rPr>
              <w:t>01860685</w:t>
            </w:r>
          </w:p>
        </w:tc>
        <w:tc>
          <w:tcPr>
            <w:tcW w:w="1366" w:type="dxa"/>
            <w:vAlign w:val="center"/>
          </w:tcPr>
          <w:p w14:paraId="5CE347D7" w14:textId="77777777" w:rsidR="004B0883" w:rsidRDefault="004B0883">
            <w:pPr>
              <w:jc w:val="center"/>
              <w:rPr>
                <w:sz w:val="18"/>
                <w:szCs w:val="18"/>
              </w:rPr>
            </w:pPr>
            <w:r>
              <w:rPr>
                <w:sz w:val="18"/>
                <w:szCs w:val="18"/>
              </w:rPr>
              <w:t>9</w:t>
            </w:r>
          </w:p>
        </w:tc>
        <w:tc>
          <w:tcPr>
            <w:tcW w:w="1409" w:type="dxa"/>
            <w:vAlign w:val="center"/>
          </w:tcPr>
          <w:p w14:paraId="1647F2AD" w14:textId="77777777" w:rsidR="004B0883" w:rsidRDefault="004B0883">
            <w:pPr>
              <w:jc w:val="center"/>
              <w:rPr>
                <w:sz w:val="18"/>
                <w:szCs w:val="18"/>
              </w:rPr>
            </w:pPr>
            <w:r>
              <w:rPr>
                <w:sz w:val="18"/>
                <w:szCs w:val="18"/>
              </w:rPr>
              <w:t>发行人</w:t>
            </w:r>
          </w:p>
        </w:tc>
        <w:tc>
          <w:tcPr>
            <w:tcW w:w="1651" w:type="dxa"/>
            <w:vAlign w:val="center"/>
          </w:tcPr>
          <w:p w14:paraId="61359C14" w14:textId="77777777" w:rsidR="004B0883" w:rsidRDefault="004B0883">
            <w:pPr>
              <w:jc w:val="center"/>
              <w:rPr>
                <w:sz w:val="18"/>
                <w:szCs w:val="18"/>
              </w:rPr>
            </w:pPr>
            <w:r>
              <w:rPr>
                <w:sz w:val="18"/>
                <w:szCs w:val="18"/>
              </w:rPr>
              <w:t>2027.08.15</w:t>
            </w:r>
          </w:p>
        </w:tc>
        <w:tc>
          <w:tcPr>
            <w:tcW w:w="1583" w:type="dxa"/>
            <w:vAlign w:val="center"/>
          </w:tcPr>
          <w:p w14:paraId="60B1A52C" w14:textId="77777777" w:rsidR="004B0883" w:rsidRDefault="004B0883">
            <w:pPr>
              <w:jc w:val="center"/>
              <w:rPr>
                <w:rFonts w:cs="宋体"/>
                <w:sz w:val="18"/>
                <w:szCs w:val="18"/>
              </w:rPr>
            </w:pPr>
            <w:r>
              <w:rPr>
                <w:rFonts w:ascii="宋体" w:hAnsi="宋体" w:cs="宋体" w:hint="eastAsia"/>
                <w:sz w:val="18"/>
                <w:szCs w:val="18"/>
              </w:rPr>
              <w:t>中国台湾</w:t>
            </w:r>
          </w:p>
        </w:tc>
      </w:tr>
      <w:tr w:rsidR="004B0883" w14:paraId="4EB73669" w14:textId="77777777">
        <w:trPr>
          <w:trHeight w:val="397"/>
        </w:trPr>
        <w:tc>
          <w:tcPr>
            <w:tcW w:w="713" w:type="dxa"/>
            <w:vAlign w:val="center"/>
          </w:tcPr>
          <w:p w14:paraId="04590748" w14:textId="77777777" w:rsidR="004B0883" w:rsidRDefault="004B0883">
            <w:pPr>
              <w:widowControl w:val="0"/>
              <w:numPr>
                <w:ilvl w:val="0"/>
                <w:numId w:val="26"/>
              </w:numPr>
              <w:ind w:left="0" w:firstLine="0"/>
              <w:jc w:val="center"/>
              <w:rPr>
                <w:rFonts w:cs="宋体"/>
                <w:b/>
                <w:bCs/>
                <w:sz w:val="18"/>
              </w:rPr>
            </w:pPr>
          </w:p>
        </w:tc>
        <w:tc>
          <w:tcPr>
            <w:tcW w:w="1880" w:type="dxa"/>
          </w:tcPr>
          <w:p w14:paraId="667903E9" w14:textId="046F318F" w:rsidR="004B0883" w:rsidRDefault="0090540C">
            <w:pPr>
              <w:jc w:val="center"/>
              <w:rPr>
                <w:rFonts w:cs="宋体"/>
                <w:b/>
                <w:bCs/>
                <w:sz w:val="18"/>
                <w:szCs w:val="18"/>
              </w:rPr>
            </w:pPr>
            <w:r>
              <w:rPr>
                <w:noProof/>
                <w:sz w:val="18"/>
                <w:szCs w:val="18"/>
              </w:rPr>
              <w:drawing>
                <wp:inline distT="0" distB="0" distL="0" distR="0" wp14:anchorId="025A68A2" wp14:editId="3E37F999">
                  <wp:extent cx="795020" cy="357505"/>
                  <wp:effectExtent l="0" t="0" r="0" b="0"/>
                  <wp:docPr id="41"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95020" cy="357505"/>
                          </a:xfrm>
                          <a:prstGeom prst="rect">
                            <a:avLst/>
                          </a:prstGeom>
                          <a:noFill/>
                          <a:ln>
                            <a:noFill/>
                          </a:ln>
                          <a:effectLst/>
                        </pic:spPr>
                      </pic:pic>
                    </a:graphicData>
                  </a:graphic>
                </wp:inline>
              </w:drawing>
            </w:r>
          </w:p>
        </w:tc>
        <w:tc>
          <w:tcPr>
            <w:tcW w:w="1592" w:type="dxa"/>
            <w:vAlign w:val="center"/>
          </w:tcPr>
          <w:p w14:paraId="4B97E8AC" w14:textId="77777777" w:rsidR="004B0883" w:rsidRDefault="004B0883">
            <w:pPr>
              <w:jc w:val="center"/>
              <w:rPr>
                <w:sz w:val="18"/>
                <w:szCs w:val="18"/>
              </w:rPr>
            </w:pPr>
            <w:r>
              <w:rPr>
                <w:sz w:val="18"/>
                <w:szCs w:val="18"/>
              </w:rPr>
              <w:t>N/119473</w:t>
            </w:r>
          </w:p>
        </w:tc>
        <w:tc>
          <w:tcPr>
            <w:tcW w:w="1366" w:type="dxa"/>
            <w:vAlign w:val="center"/>
          </w:tcPr>
          <w:p w14:paraId="1DC5DEF6" w14:textId="77777777" w:rsidR="004B0883" w:rsidRDefault="004B0883">
            <w:pPr>
              <w:jc w:val="center"/>
              <w:rPr>
                <w:sz w:val="18"/>
                <w:szCs w:val="18"/>
              </w:rPr>
            </w:pPr>
            <w:r>
              <w:rPr>
                <w:sz w:val="18"/>
                <w:szCs w:val="18"/>
              </w:rPr>
              <w:t>11</w:t>
            </w:r>
          </w:p>
        </w:tc>
        <w:tc>
          <w:tcPr>
            <w:tcW w:w="1409" w:type="dxa"/>
            <w:vAlign w:val="center"/>
          </w:tcPr>
          <w:p w14:paraId="4B0739FD" w14:textId="77777777" w:rsidR="004B0883" w:rsidRDefault="004B0883">
            <w:pPr>
              <w:jc w:val="center"/>
              <w:rPr>
                <w:sz w:val="18"/>
                <w:szCs w:val="18"/>
              </w:rPr>
            </w:pPr>
            <w:r>
              <w:rPr>
                <w:sz w:val="18"/>
                <w:szCs w:val="18"/>
              </w:rPr>
              <w:t>发行人</w:t>
            </w:r>
          </w:p>
        </w:tc>
        <w:tc>
          <w:tcPr>
            <w:tcW w:w="1651" w:type="dxa"/>
            <w:vAlign w:val="center"/>
          </w:tcPr>
          <w:p w14:paraId="6F4888B5" w14:textId="77777777" w:rsidR="004B0883" w:rsidRDefault="004B0883">
            <w:pPr>
              <w:jc w:val="center"/>
              <w:rPr>
                <w:sz w:val="18"/>
                <w:szCs w:val="18"/>
              </w:rPr>
            </w:pPr>
            <w:r>
              <w:rPr>
                <w:sz w:val="18"/>
                <w:szCs w:val="18"/>
              </w:rPr>
              <w:t>2024.08.10</w:t>
            </w:r>
          </w:p>
        </w:tc>
        <w:tc>
          <w:tcPr>
            <w:tcW w:w="1583" w:type="dxa"/>
            <w:vAlign w:val="center"/>
          </w:tcPr>
          <w:p w14:paraId="4CB173E0" w14:textId="77777777" w:rsidR="004B0883" w:rsidRDefault="004B0883">
            <w:pPr>
              <w:jc w:val="center"/>
              <w:rPr>
                <w:sz w:val="18"/>
                <w:szCs w:val="18"/>
              </w:rPr>
            </w:pPr>
            <w:r>
              <w:rPr>
                <w:sz w:val="18"/>
                <w:szCs w:val="18"/>
              </w:rPr>
              <w:t>中国澳门</w:t>
            </w:r>
          </w:p>
        </w:tc>
      </w:tr>
      <w:tr w:rsidR="004B0883" w14:paraId="741105B1" w14:textId="77777777">
        <w:trPr>
          <w:trHeight w:val="397"/>
        </w:trPr>
        <w:tc>
          <w:tcPr>
            <w:tcW w:w="713" w:type="dxa"/>
            <w:vAlign w:val="center"/>
          </w:tcPr>
          <w:p w14:paraId="65AF3268" w14:textId="77777777" w:rsidR="004B0883" w:rsidRDefault="004B0883">
            <w:pPr>
              <w:widowControl w:val="0"/>
              <w:numPr>
                <w:ilvl w:val="0"/>
                <w:numId w:val="26"/>
              </w:numPr>
              <w:ind w:left="0" w:firstLine="0"/>
              <w:jc w:val="center"/>
              <w:rPr>
                <w:rFonts w:cs="宋体"/>
                <w:b/>
                <w:bCs/>
                <w:sz w:val="18"/>
              </w:rPr>
            </w:pPr>
          </w:p>
        </w:tc>
        <w:tc>
          <w:tcPr>
            <w:tcW w:w="1880" w:type="dxa"/>
          </w:tcPr>
          <w:p w14:paraId="0D2DBEF0" w14:textId="7942CD6E" w:rsidR="004B0883" w:rsidRDefault="0090540C">
            <w:pPr>
              <w:jc w:val="center"/>
              <w:rPr>
                <w:rFonts w:cs="宋体"/>
                <w:b/>
                <w:bCs/>
                <w:sz w:val="18"/>
                <w:szCs w:val="18"/>
              </w:rPr>
            </w:pPr>
            <w:r>
              <w:rPr>
                <w:noProof/>
                <w:sz w:val="18"/>
                <w:szCs w:val="18"/>
              </w:rPr>
              <w:drawing>
                <wp:inline distT="0" distB="0" distL="0" distR="0" wp14:anchorId="616CCB51" wp14:editId="09E6E098">
                  <wp:extent cx="795020" cy="357505"/>
                  <wp:effectExtent l="0" t="0" r="0" b="0"/>
                  <wp:docPr id="42"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95020" cy="357505"/>
                          </a:xfrm>
                          <a:prstGeom prst="rect">
                            <a:avLst/>
                          </a:prstGeom>
                          <a:noFill/>
                          <a:ln>
                            <a:noFill/>
                          </a:ln>
                          <a:effectLst/>
                        </pic:spPr>
                      </pic:pic>
                    </a:graphicData>
                  </a:graphic>
                </wp:inline>
              </w:drawing>
            </w:r>
          </w:p>
        </w:tc>
        <w:tc>
          <w:tcPr>
            <w:tcW w:w="1592" w:type="dxa"/>
            <w:vAlign w:val="center"/>
          </w:tcPr>
          <w:p w14:paraId="2F02BA08" w14:textId="77777777" w:rsidR="004B0883" w:rsidRDefault="004B0883">
            <w:pPr>
              <w:jc w:val="center"/>
              <w:rPr>
                <w:sz w:val="18"/>
                <w:szCs w:val="18"/>
              </w:rPr>
            </w:pPr>
            <w:r>
              <w:rPr>
                <w:sz w:val="18"/>
                <w:szCs w:val="18"/>
              </w:rPr>
              <w:t>N/119472</w:t>
            </w:r>
          </w:p>
        </w:tc>
        <w:tc>
          <w:tcPr>
            <w:tcW w:w="1366" w:type="dxa"/>
            <w:vAlign w:val="center"/>
          </w:tcPr>
          <w:p w14:paraId="16A78B44" w14:textId="77777777" w:rsidR="004B0883" w:rsidRDefault="004B0883">
            <w:pPr>
              <w:jc w:val="center"/>
              <w:rPr>
                <w:sz w:val="18"/>
                <w:szCs w:val="18"/>
              </w:rPr>
            </w:pPr>
            <w:r>
              <w:rPr>
                <w:sz w:val="18"/>
                <w:szCs w:val="18"/>
              </w:rPr>
              <w:t>9</w:t>
            </w:r>
          </w:p>
        </w:tc>
        <w:tc>
          <w:tcPr>
            <w:tcW w:w="1409" w:type="dxa"/>
            <w:vAlign w:val="center"/>
          </w:tcPr>
          <w:p w14:paraId="349678AF" w14:textId="77777777" w:rsidR="004B0883" w:rsidRDefault="004B0883">
            <w:pPr>
              <w:jc w:val="center"/>
              <w:rPr>
                <w:sz w:val="18"/>
                <w:szCs w:val="18"/>
              </w:rPr>
            </w:pPr>
            <w:r>
              <w:rPr>
                <w:sz w:val="18"/>
                <w:szCs w:val="18"/>
              </w:rPr>
              <w:t>发行人</w:t>
            </w:r>
          </w:p>
        </w:tc>
        <w:tc>
          <w:tcPr>
            <w:tcW w:w="1651" w:type="dxa"/>
            <w:vAlign w:val="center"/>
          </w:tcPr>
          <w:p w14:paraId="0BA0A845" w14:textId="77777777" w:rsidR="004B0883" w:rsidRDefault="004B0883">
            <w:pPr>
              <w:jc w:val="center"/>
              <w:rPr>
                <w:sz w:val="18"/>
                <w:szCs w:val="18"/>
              </w:rPr>
            </w:pPr>
            <w:r>
              <w:rPr>
                <w:sz w:val="18"/>
                <w:szCs w:val="18"/>
              </w:rPr>
              <w:t>2024.08.10</w:t>
            </w:r>
          </w:p>
        </w:tc>
        <w:tc>
          <w:tcPr>
            <w:tcW w:w="1583" w:type="dxa"/>
            <w:vAlign w:val="center"/>
          </w:tcPr>
          <w:p w14:paraId="2D64189D" w14:textId="77777777" w:rsidR="004B0883" w:rsidRDefault="004B0883">
            <w:pPr>
              <w:jc w:val="center"/>
              <w:rPr>
                <w:sz w:val="18"/>
                <w:szCs w:val="18"/>
              </w:rPr>
            </w:pPr>
            <w:r>
              <w:rPr>
                <w:sz w:val="18"/>
                <w:szCs w:val="18"/>
              </w:rPr>
              <w:t>中国澳门</w:t>
            </w:r>
          </w:p>
        </w:tc>
      </w:tr>
      <w:tr w:rsidR="004B0883" w14:paraId="38EC1D5D" w14:textId="77777777">
        <w:trPr>
          <w:trHeight w:val="397"/>
        </w:trPr>
        <w:tc>
          <w:tcPr>
            <w:tcW w:w="713" w:type="dxa"/>
            <w:vAlign w:val="center"/>
          </w:tcPr>
          <w:p w14:paraId="4C143C27" w14:textId="77777777" w:rsidR="004B0883" w:rsidRDefault="004B0883">
            <w:pPr>
              <w:widowControl w:val="0"/>
              <w:numPr>
                <w:ilvl w:val="0"/>
                <w:numId w:val="26"/>
              </w:numPr>
              <w:ind w:left="0" w:firstLine="0"/>
              <w:jc w:val="center"/>
              <w:rPr>
                <w:rFonts w:cs="宋体"/>
                <w:b/>
                <w:bCs/>
                <w:sz w:val="18"/>
              </w:rPr>
            </w:pPr>
          </w:p>
        </w:tc>
        <w:tc>
          <w:tcPr>
            <w:tcW w:w="1880" w:type="dxa"/>
          </w:tcPr>
          <w:p w14:paraId="3F5490E4" w14:textId="6FBD2CF9" w:rsidR="004B0883" w:rsidRDefault="0090540C">
            <w:pPr>
              <w:jc w:val="center"/>
              <w:rPr>
                <w:rFonts w:cs="宋体"/>
                <w:b/>
                <w:bCs/>
                <w:sz w:val="18"/>
                <w:szCs w:val="18"/>
              </w:rPr>
            </w:pPr>
            <w:r>
              <w:rPr>
                <w:noProof/>
                <w:sz w:val="18"/>
                <w:szCs w:val="18"/>
              </w:rPr>
              <w:drawing>
                <wp:inline distT="0" distB="0" distL="0" distR="0" wp14:anchorId="25C0D2AC" wp14:editId="0ED4A1FC">
                  <wp:extent cx="668020" cy="270510"/>
                  <wp:effectExtent l="0" t="0" r="0" b="0"/>
                  <wp:docPr id="43"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68020" cy="270510"/>
                          </a:xfrm>
                          <a:prstGeom prst="rect">
                            <a:avLst/>
                          </a:prstGeom>
                          <a:noFill/>
                          <a:ln>
                            <a:noFill/>
                          </a:ln>
                          <a:effectLst/>
                        </pic:spPr>
                      </pic:pic>
                    </a:graphicData>
                  </a:graphic>
                </wp:inline>
              </w:drawing>
            </w:r>
          </w:p>
        </w:tc>
        <w:tc>
          <w:tcPr>
            <w:tcW w:w="1592" w:type="dxa"/>
            <w:vAlign w:val="center"/>
          </w:tcPr>
          <w:p w14:paraId="2A4743CF" w14:textId="77777777" w:rsidR="004B0883" w:rsidRDefault="004B0883">
            <w:pPr>
              <w:jc w:val="center"/>
              <w:rPr>
                <w:sz w:val="18"/>
                <w:szCs w:val="18"/>
              </w:rPr>
            </w:pPr>
            <w:r>
              <w:rPr>
                <w:sz w:val="18"/>
                <w:szCs w:val="18"/>
              </w:rPr>
              <w:t>182924</w:t>
            </w:r>
          </w:p>
        </w:tc>
        <w:tc>
          <w:tcPr>
            <w:tcW w:w="1366" w:type="dxa"/>
            <w:vAlign w:val="center"/>
          </w:tcPr>
          <w:p w14:paraId="0B0132E5" w14:textId="77777777" w:rsidR="004B0883" w:rsidRDefault="004B0883">
            <w:pPr>
              <w:jc w:val="center"/>
              <w:rPr>
                <w:sz w:val="18"/>
                <w:szCs w:val="18"/>
              </w:rPr>
            </w:pPr>
            <w:r>
              <w:rPr>
                <w:sz w:val="18"/>
                <w:szCs w:val="18"/>
              </w:rPr>
              <w:t>7</w:t>
            </w:r>
          </w:p>
        </w:tc>
        <w:tc>
          <w:tcPr>
            <w:tcW w:w="1409" w:type="dxa"/>
            <w:vAlign w:val="center"/>
          </w:tcPr>
          <w:p w14:paraId="480A34BC" w14:textId="77777777" w:rsidR="004B0883" w:rsidRDefault="004B0883">
            <w:pPr>
              <w:jc w:val="center"/>
              <w:rPr>
                <w:sz w:val="18"/>
                <w:szCs w:val="18"/>
              </w:rPr>
            </w:pPr>
            <w:r>
              <w:rPr>
                <w:sz w:val="18"/>
                <w:szCs w:val="18"/>
              </w:rPr>
              <w:t>发行人</w:t>
            </w:r>
          </w:p>
        </w:tc>
        <w:tc>
          <w:tcPr>
            <w:tcW w:w="1651" w:type="dxa"/>
            <w:vAlign w:val="center"/>
          </w:tcPr>
          <w:p w14:paraId="4A95FD51" w14:textId="77777777" w:rsidR="004B0883" w:rsidRDefault="004B0883">
            <w:pPr>
              <w:jc w:val="center"/>
              <w:rPr>
                <w:sz w:val="18"/>
                <w:szCs w:val="18"/>
              </w:rPr>
            </w:pPr>
            <w:r>
              <w:rPr>
                <w:sz w:val="18"/>
                <w:szCs w:val="18"/>
              </w:rPr>
              <w:t>2030.08.12</w:t>
            </w:r>
          </w:p>
        </w:tc>
        <w:tc>
          <w:tcPr>
            <w:tcW w:w="1583" w:type="dxa"/>
            <w:vAlign w:val="center"/>
          </w:tcPr>
          <w:p w14:paraId="7723F147" w14:textId="77777777" w:rsidR="004B0883" w:rsidRDefault="004B0883">
            <w:pPr>
              <w:jc w:val="center"/>
              <w:rPr>
                <w:sz w:val="18"/>
                <w:szCs w:val="18"/>
              </w:rPr>
            </w:pPr>
            <w:r>
              <w:rPr>
                <w:sz w:val="18"/>
                <w:szCs w:val="18"/>
              </w:rPr>
              <w:t>越南</w:t>
            </w:r>
          </w:p>
        </w:tc>
      </w:tr>
      <w:tr w:rsidR="004B0883" w14:paraId="49903AB0" w14:textId="77777777">
        <w:trPr>
          <w:trHeight w:val="397"/>
        </w:trPr>
        <w:tc>
          <w:tcPr>
            <w:tcW w:w="713" w:type="dxa"/>
            <w:vAlign w:val="center"/>
          </w:tcPr>
          <w:p w14:paraId="552F5A44" w14:textId="77777777" w:rsidR="004B0883" w:rsidRDefault="004B0883">
            <w:pPr>
              <w:widowControl w:val="0"/>
              <w:numPr>
                <w:ilvl w:val="0"/>
                <w:numId w:val="26"/>
              </w:numPr>
              <w:ind w:left="0" w:firstLine="0"/>
              <w:jc w:val="center"/>
              <w:rPr>
                <w:rFonts w:cs="宋体"/>
                <w:b/>
                <w:bCs/>
                <w:sz w:val="18"/>
              </w:rPr>
            </w:pPr>
          </w:p>
        </w:tc>
        <w:tc>
          <w:tcPr>
            <w:tcW w:w="1880" w:type="dxa"/>
          </w:tcPr>
          <w:p w14:paraId="14A6C89C" w14:textId="6F165442" w:rsidR="004B0883" w:rsidRDefault="0090540C">
            <w:pPr>
              <w:jc w:val="center"/>
              <w:rPr>
                <w:rFonts w:cs="宋体"/>
                <w:b/>
                <w:bCs/>
                <w:sz w:val="18"/>
                <w:szCs w:val="18"/>
              </w:rPr>
            </w:pPr>
            <w:r>
              <w:rPr>
                <w:noProof/>
                <w:sz w:val="18"/>
                <w:szCs w:val="18"/>
              </w:rPr>
              <w:drawing>
                <wp:inline distT="0" distB="0" distL="0" distR="0" wp14:anchorId="715EDEB5" wp14:editId="64EA6294">
                  <wp:extent cx="787400" cy="262255"/>
                  <wp:effectExtent l="0" t="0" r="0" b="0"/>
                  <wp:docPr id="44"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87400" cy="262255"/>
                          </a:xfrm>
                          <a:prstGeom prst="rect">
                            <a:avLst/>
                          </a:prstGeom>
                          <a:noFill/>
                          <a:ln>
                            <a:noFill/>
                          </a:ln>
                          <a:effectLst/>
                        </pic:spPr>
                      </pic:pic>
                    </a:graphicData>
                  </a:graphic>
                </wp:inline>
              </w:drawing>
            </w:r>
          </w:p>
        </w:tc>
        <w:tc>
          <w:tcPr>
            <w:tcW w:w="1592" w:type="dxa"/>
            <w:vAlign w:val="center"/>
          </w:tcPr>
          <w:p w14:paraId="5D6ABD58" w14:textId="77777777" w:rsidR="004B0883" w:rsidRDefault="004B0883">
            <w:pPr>
              <w:jc w:val="center"/>
              <w:rPr>
                <w:sz w:val="18"/>
                <w:szCs w:val="18"/>
              </w:rPr>
            </w:pPr>
            <w:r>
              <w:rPr>
                <w:sz w:val="18"/>
                <w:szCs w:val="18"/>
              </w:rPr>
              <w:t>008375561</w:t>
            </w:r>
          </w:p>
        </w:tc>
        <w:tc>
          <w:tcPr>
            <w:tcW w:w="1366" w:type="dxa"/>
            <w:vAlign w:val="center"/>
          </w:tcPr>
          <w:p w14:paraId="62EECD68" w14:textId="77777777" w:rsidR="004B0883" w:rsidRDefault="004B0883">
            <w:pPr>
              <w:jc w:val="center"/>
              <w:rPr>
                <w:sz w:val="18"/>
                <w:szCs w:val="18"/>
              </w:rPr>
            </w:pPr>
            <w:r>
              <w:rPr>
                <w:sz w:val="18"/>
                <w:szCs w:val="18"/>
              </w:rPr>
              <w:t>6</w:t>
            </w:r>
            <w:r>
              <w:rPr>
                <w:rFonts w:hint="eastAsia"/>
                <w:sz w:val="18"/>
                <w:szCs w:val="18"/>
              </w:rPr>
              <w:t>、</w:t>
            </w:r>
            <w:r>
              <w:rPr>
                <w:sz w:val="18"/>
                <w:szCs w:val="18"/>
              </w:rPr>
              <w:t>11</w:t>
            </w:r>
          </w:p>
        </w:tc>
        <w:tc>
          <w:tcPr>
            <w:tcW w:w="1409" w:type="dxa"/>
            <w:vAlign w:val="center"/>
          </w:tcPr>
          <w:p w14:paraId="7E4AF2F5" w14:textId="77777777" w:rsidR="004B0883" w:rsidRDefault="004B0883">
            <w:pPr>
              <w:jc w:val="center"/>
              <w:rPr>
                <w:sz w:val="18"/>
                <w:szCs w:val="18"/>
              </w:rPr>
            </w:pPr>
            <w:r>
              <w:rPr>
                <w:sz w:val="18"/>
                <w:szCs w:val="18"/>
              </w:rPr>
              <w:t>发行人</w:t>
            </w:r>
          </w:p>
        </w:tc>
        <w:tc>
          <w:tcPr>
            <w:tcW w:w="1651" w:type="dxa"/>
            <w:vAlign w:val="center"/>
          </w:tcPr>
          <w:p w14:paraId="1C579B97" w14:textId="77777777" w:rsidR="004B0883" w:rsidRDefault="004B0883">
            <w:pPr>
              <w:jc w:val="center"/>
              <w:rPr>
                <w:sz w:val="18"/>
                <w:szCs w:val="18"/>
              </w:rPr>
            </w:pPr>
            <w:r>
              <w:rPr>
                <w:sz w:val="18"/>
                <w:szCs w:val="18"/>
              </w:rPr>
              <w:t>2029.06.19</w:t>
            </w:r>
          </w:p>
        </w:tc>
        <w:tc>
          <w:tcPr>
            <w:tcW w:w="1583" w:type="dxa"/>
            <w:vAlign w:val="center"/>
          </w:tcPr>
          <w:p w14:paraId="67F8A9A0" w14:textId="77777777" w:rsidR="004B0883" w:rsidRDefault="004B0883">
            <w:pPr>
              <w:jc w:val="center"/>
              <w:rPr>
                <w:rFonts w:cs="宋体"/>
                <w:sz w:val="18"/>
                <w:szCs w:val="18"/>
              </w:rPr>
            </w:pPr>
            <w:r>
              <w:rPr>
                <w:rFonts w:ascii="宋体" w:hAnsi="宋体" w:cs="宋体" w:hint="eastAsia"/>
                <w:sz w:val="18"/>
                <w:szCs w:val="18"/>
              </w:rPr>
              <w:t>欧盟</w:t>
            </w:r>
          </w:p>
        </w:tc>
      </w:tr>
      <w:tr w:rsidR="004B0883" w14:paraId="4906A51D" w14:textId="77777777">
        <w:trPr>
          <w:trHeight w:val="397"/>
        </w:trPr>
        <w:tc>
          <w:tcPr>
            <w:tcW w:w="713" w:type="dxa"/>
            <w:vAlign w:val="center"/>
          </w:tcPr>
          <w:p w14:paraId="3D284A6E" w14:textId="77777777" w:rsidR="004B0883" w:rsidRDefault="004B0883">
            <w:pPr>
              <w:widowControl w:val="0"/>
              <w:numPr>
                <w:ilvl w:val="0"/>
                <w:numId w:val="26"/>
              </w:numPr>
              <w:ind w:left="0" w:firstLine="0"/>
              <w:jc w:val="center"/>
              <w:rPr>
                <w:rFonts w:cs="宋体"/>
                <w:b/>
                <w:bCs/>
                <w:sz w:val="18"/>
              </w:rPr>
            </w:pPr>
          </w:p>
        </w:tc>
        <w:tc>
          <w:tcPr>
            <w:tcW w:w="1880" w:type="dxa"/>
          </w:tcPr>
          <w:p w14:paraId="4DBC254B" w14:textId="65E2D936" w:rsidR="004B0883" w:rsidRDefault="0090540C">
            <w:pPr>
              <w:jc w:val="center"/>
              <w:rPr>
                <w:rFonts w:cs="宋体"/>
                <w:b/>
                <w:bCs/>
                <w:sz w:val="18"/>
                <w:szCs w:val="18"/>
              </w:rPr>
            </w:pPr>
            <w:r>
              <w:rPr>
                <w:noProof/>
                <w:sz w:val="18"/>
                <w:szCs w:val="18"/>
              </w:rPr>
              <w:drawing>
                <wp:inline distT="0" distB="0" distL="0" distR="0" wp14:anchorId="5F92B7DE" wp14:editId="0DD9504D">
                  <wp:extent cx="620395" cy="294005"/>
                  <wp:effectExtent l="0" t="0" r="0" b="0"/>
                  <wp:docPr id="45"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0395" cy="294005"/>
                          </a:xfrm>
                          <a:prstGeom prst="rect">
                            <a:avLst/>
                          </a:prstGeom>
                          <a:noFill/>
                          <a:ln>
                            <a:noFill/>
                          </a:ln>
                          <a:effectLst/>
                        </pic:spPr>
                      </pic:pic>
                    </a:graphicData>
                  </a:graphic>
                </wp:inline>
              </w:drawing>
            </w:r>
          </w:p>
        </w:tc>
        <w:tc>
          <w:tcPr>
            <w:tcW w:w="1592" w:type="dxa"/>
            <w:vAlign w:val="center"/>
          </w:tcPr>
          <w:p w14:paraId="45EF8517" w14:textId="77777777" w:rsidR="004B0883" w:rsidRDefault="004B0883">
            <w:pPr>
              <w:jc w:val="center"/>
              <w:rPr>
                <w:sz w:val="18"/>
                <w:szCs w:val="18"/>
              </w:rPr>
            </w:pPr>
            <w:r>
              <w:rPr>
                <w:sz w:val="18"/>
                <w:szCs w:val="18"/>
              </w:rPr>
              <w:t>016223381</w:t>
            </w:r>
          </w:p>
        </w:tc>
        <w:tc>
          <w:tcPr>
            <w:tcW w:w="1366" w:type="dxa"/>
            <w:vAlign w:val="center"/>
          </w:tcPr>
          <w:p w14:paraId="10D18AD7" w14:textId="77777777" w:rsidR="004B0883" w:rsidRDefault="004B0883">
            <w:pPr>
              <w:jc w:val="center"/>
              <w:rPr>
                <w:sz w:val="18"/>
                <w:szCs w:val="18"/>
              </w:rPr>
            </w:pPr>
            <w:r>
              <w:rPr>
                <w:sz w:val="18"/>
                <w:szCs w:val="18"/>
              </w:rPr>
              <w:t>9</w:t>
            </w:r>
            <w:r>
              <w:rPr>
                <w:rFonts w:hint="eastAsia"/>
                <w:sz w:val="18"/>
                <w:szCs w:val="18"/>
              </w:rPr>
              <w:t>、</w:t>
            </w:r>
            <w:r>
              <w:rPr>
                <w:sz w:val="18"/>
                <w:szCs w:val="18"/>
              </w:rPr>
              <w:t>11</w:t>
            </w:r>
          </w:p>
        </w:tc>
        <w:tc>
          <w:tcPr>
            <w:tcW w:w="1409" w:type="dxa"/>
            <w:vAlign w:val="center"/>
          </w:tcPr>
          <w:p w14:paraId="51C81885" w14:textId="77777777" w:rsidR="004B0883" w:rsidRDefault="004B0883">
            <w:pPr>
              <w:jc w:val="center"/>
              <w:rPr>
                <w:sz w:val="18"/>
                <w:szCs w:val="18"/>
              </w:rPr>
            </w:pPr>
            <w:r>
              <w:rPr>
                <w:sz w:val="18"/>
                <w:szCs w:val="18"/>
              </w:rPr>
              <w:t>发行人</w:t>
            </w:r>
          </w:p>
        </w:tc>
        <w:tc>
          <w:tcPr>
            <w:tcW w:w="1651" w:type="dxa"/>
            <w:vAlign w:val="center"/>
          </w:tcPr>
          <w:p w14:paraId="04618BEC" w14:textId="77777777" w:rsidR="004B0883" w:rsidRDefault="004B0883">
            <w:pPr>
              <w:jc w:val="center"/>
              <w:rPr>
                <w:sz w:val="18"/>
                <w:szCs w:val="18"/>
              </w:rPr>
            </w:pPr>
            <w:r>
              <w:rPr>
                <w:sz w:val="18"/>
                <w:szCs w:val="18"/>
              </w:rPr>
              <w:t>2027.01.04</w:t>
            </w:r>
          </w:p>
        </w:tc>
        <w:tc>
          <w:tcPr>
            <w:tcW w:w="1583" w:type="dxa"/>
            <w:vAlign w:val="center"/>
          </w:tcPr>
          <w:p w14:paraId="2D419BE7" w14:textId="77777777" w:rsidR="004B0883" w:rsidRDefault="004B0883">
            <w:pPr>
              <w:jc w:val="center"/>
              <w:rPr>
                <w:rFonts w:cs="宋体"/>
                <w:sz w:val="18"/>
                <w:szCs w:val="18"/>
              </w:rPr>
            </w:pPr>
            <w:r>
              <w:rPr>
                <w:rFonts w:ascii="宋体" w:hAnsi="宋体" w:cs="宋体" w:hint="eastAsia"/>
                <w:sz w:val="18"/>
                <w:szCs w:val="18"/>
              </w:rPr>
              <w:t>欧盟</w:t>
            </w:r>
          </w:p>
        </w:tc>
      </w:tr>
      <w:tr w:rsidR="004B0883" w14:paraId="6F846934" w14:textId="77777777">
        <w:trPr>
          <w:trHeight w:val="397"/>
        </w:trPr>
        <w:tc>
          <w:tcPr>
            <w:tcW w:w="713" w:type="dxa"/>
            <w:vAlign w:val="center"/>
          </w:tcPr>
          <w:p w14:paraId="1EF92C38" w14:textId="77777777" w:rsidR="004B0883" w:rsidRDefault="004B0883">
            <w:pPr>
              <w:widowControl w:val="0"/>
              <w:numPr>
                <w:ilvl w:val="0"/>
                <w:numId w:val="26"/>
              </w:numPr>
              <w:ind w:left="0" w:firstLine="0"/>
              <w:jc w:val="center"/>
              <w:rPr>
                <w:rFonts w:cs="宋体"/>
                <w:b/>
                <w:bCs/>
                <w:sz w:val="18"/>
              </w:rPr>
            </w:pPr>
          </w:p>
        </w:tc>
        <w:tc>
          <w:tcPr>
            <w:tcW w:w="1880" w:type="dxa"/>
          </w:tcPr>
          <w:p w14:paraId="58221C49" w14:textId="00250BAE" w:rsidR="004B0883" w:rsidRDefault="0090540C">
            <w:pPr>
              <w:jc w:val="center"/>
              <w:rPr>
                <w:rFonts w:cs="宋体"/>
                <w:b/>
                <w:bCs/>
                <w:sz w:val="18"/>
                <w:szCs w:val="18"/>
              </w:rPr>
            </w:pPr>
            <w:r>
              <w:rPr>
                <w:noProof/>
                <w:sz w:val="18"/>
                <w:szCs w:val="18"/>
              </w:rPr>
              <w:drawing>
                <wp:inline distT="0" distB="0" distL="0" distR="0" wp14:anchorId="1AA4B211" wp14:editId="20D45BFA">
                  <wp:extent cx="620395" cy="294005"/>
                  <wp:effectExtent l="0" t="0" r="0" b="0"/>
                  <wp:docPr id="46"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0395" cy="294005"/>
                          </a:xfrm>
                          <a:prstGeom prst="rect">
                            <a:avLst/>
                          </a:prstGeom>
                          <a:noFill/>
                          <a:ln>
                            <a:noFill/>
                          </a:ln>
                          <a:effectLst/>
                        </pic:spPr>
                      </pic:pic>
                    </a:graphicData>
                  </a:graphic>
                </wp:inline>
              </w:drawing>
            </w:r>
          </w:p>
        </w:tc>
        <w:tc>
          <w:tcPr>
            <w:tcW w:w="1592" w:type="dxa"/>
            <w:vAlign w:val="center"/>
          </w:tcPr>
          <w:p w14:paraId="2FA40259" w14:textId="77777777" w:rsidR="004B0883" w:rsidRDefault="004B0883">
            <w:pPr>
              <w:jc w:val="center"/>
              <w:rPr>
                <w:sz w:val="18"/>
                <w:szCs w:val="18"/>
              </w:rPr>
            </w:pPr>
            <w:r>
              <w:rPr>
                <w:sz w:val="18"/>
                <w:szCs w:val="18"/>
              </w:rPr>
              <w:t>3907543</w:t>
            </w:r>
          </w:p>
        </w:tc>
        <w:tc>
          <w:tcPr>
            <w:tcW w:w="1366" w:type="dxa"/>
            <w:vAlign w:val="center"/>
          </w:tcPr>
          <w:p w14:paraId="41FAE467" w14:textId="77777777" w:rsidR="004B0883" w:rsidRDefault="004B0883">
            <w:pPr>
              <w:jc w:val="center"/>
              <w:rPr>
                <w:sz w:val="18"/>
                <w:szCs w:val="18"/>
              </w:rPr>
            </w:pPr>
            <w:r>
              <w:rPr>
                <w:sz w:val="18"/>
                <w:szCs w:val="18"/>
              </w:rPr>
              <w:t>6</w:t>
            </w:r>
          </w:p>
        </w:tc>
        <w:tc>
          <w:tcPr>
            <w:tcW w:w="1409" w:type="dxa"/>
            <w:vAlign w:val="center"/>
          </w:tcPr>
          <w:p w14:paraId="5119159D" w14:textId="77777777" w:rsidR="004B0883" w:rsidRDefault="004B0883">
            <w:pPr>
              <w:jc w:val="center"/>
              <w:rPr>
                <w:sz w:val="18"/>
                <w:szCs w:val="18"/>
              </w:rPr>
            </w:pPr>
            <w:r>
              <w:rPr>
                <w:sz w:val="18"/>
                <w:szCs w:val="18"/>
              </w:rPr>
              <w:t>发行人</w:t>
            </w:r>
          </w:p>
        </w:tc>
        <w:tc>
          <w:tcPr>
            <w:tcW w:w="1651" w:type="dxa"/>
            <w:vAlign w:val="center"/>
          </w:tcPr>
          <w:p w14:paraId="4A5F0BD7" w14:textId="77777777" w:rsidR="004B0883" w:rsidRDefault="004B0883">
            <w:pPr>
              <w:jc w:val="center"/>
              <w:rPr>
                <w:sz w:val="18"/>
                <w:szCs w:val="18"/>
              </w:rPr>
            </w:pPr>
            <w:r>
              <w:rPr>
                <w:sz w:val="18"/>
                <w:szCs w:val="18"/>
              </w:rPr>
              <w:t>2031.01.18</w:t>
            </w:r>
          </w:p>
        </w:tc>
        <w:tc>
          <w:tcPr>
            <w:tcW w:w="1583" w:type="dxa"/>
            <w:vAlign w:val="center"/>
          </w:tcPr>
          <w:p w14:paraId="3B560ED9" w14:textId="77777777" w:rsidR="004B0883" w:rsidRDefault="004B0883">
            <w:pPr>
              <w:jc w:val="center"/>
              <w:rPr>
                <w:sz w:val="18"/>
                <w:szCs w:val="18"/>
              </w:rPr>
            </w:pPr>
            <w:r>
              <w:rPr>
                <w:sz w:val="18"/>
                <w:szCs w:val="18"/>
              </w:rPr>
              <w:t>美国</w:t>
            </w:r>
          </w:p>
        </w:tc>
      </w:tr>
      <w:tr w:rsidR="004B0883" w14:paraId="7EB18176" w14:textId="77777777">
        <w:trPr>
          <w:trHeight w:val="397"/>
        </w:trPr>
        <w:tc>
          <w:tcPr>
            <w:tcW w:w="713" w:type="dxa"/>
            <w:vAlign w:val="center"/>
          </w:tcPr>
          <w:p w14:paraId="45C4EFF1" w14:textId="77777777" w:rsidR="004B0883" w:rsidRDefault="004B0883">
            <w:pPr>
              <w:widowControl w:val="0"/>
              <w:numPr>
                <w:ilvl w:val="0"/>
                <w:numId w:val="26"/>
              </w:numPr>
              <w:ind w:left="0" w:firstLine="0"/>
              <w:jc w:val="center"/>
              <w:rPr>
                <w:rFonts w:cs="宋体"/>
                <w:b/>
                <w:bCs/>
                <w:sz w:val="18"/>
              </w:rPr>
            </w:pPr>
          </w:p>
        </w:tc>
        <w:tc>
          <w:tcPr>
            <w:tcW w:w="1880" w:type="dxa"/>
          </w:tcPr>
          <w:p w14:paraId="2F35DABA" w14:textId="5D69A920" w:rsidR="004B0883" w:rsidRDefault="0090540C">
            <w:pPr>
              <w:jc w:val="center"/>
              <w:rPr>
                <w:rFonts w:cs="宋体"/>
                <w:b/>
                <w:bCs/>
                <w:sz w:val="18"/>
                <w:szCs w:val="18"/>
              </w:rPr>
            </w:pPr>
            <w:r>
              <w:rPr>
                <w:noProof/>
                <w:sz w:val="18"/>
                <w:szCs w:val="18"/>
              </w:rPr>
              <w:drawing>
                <wp:inline distT="0" distB="0" distL="0" distR="0" wp14:anchorId="3B4FF7AA" wp14:editId="4D5068E1">
                  <wp:extent cx="652145" cy="365760"/>
                  <wp:effectExtent l="0" t="0" r="0" b="0"/>
                  <wp:docPr id="47"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52145" cy="365760"/>
                          </a:xfrm>
                          <a:prstGeom prst="rect">
                            <a:avLst/>
                          </a:prstGeom>
                          <a:noFill/>
                          <a:ln>
                            <a:noFill/>
                          </a:ln>
                          <a:effectLst/>
                        </pic:spPr>
                      </pic:pic>
                    </a:graphicData>
                  </a:graphic>
                </wp:inline>
              </w:drawing>
            </w:r>
          </w:p>
        </w:tc>
        <w:tc>
          <w:tcPr>
            <w:tcW w:w="1592" w:type="dxa"/>
            <w:vAlign w:val="center"/>
          </w:tcPr>
          <w:p w14:paraId="4014D3CF" w14:textId="77777777" w:rsidR="004B0883" w:rsidRDefault="004B0883">
            <w:pPr>
              <w:jc w:val="center"/>
              <w:rPr>
                <w:sz w:val="18"/>
                <w:szCs w:val="18"/>
              </w:rPr>
            </w:pPr>
            <w:r>
              <w:rPr>
                <w:sz w:val="18"/>
                <w:szCs w:val="18"/>
              </w:rPr>
              <w:t>5592921</w:t>
            </w:r>
          </w:p>
        </w:tc>
        <w:tc>
          <w:tcPr>
            <w:tcW w:w="1366" w:type="dxa"/>
            <w:vAlign w:val="center"/>
          </w:tcPr>
          <w:p w14:paraId="7A0E758D" w14:textId="77777777" w:rsidR="004B0883" w:rsidRDefault="004B0883">
            <w:pPr>
              <w:jc w:val="center"/>
              <w:rPr>
                <w:sz w:val="18"/>
                <w:szCs w:val="18"/>
              </w:rPr>
            </w:pPr>
            <w:r>
              <w:rPr>
                <w:sz w:val="18"/>
                <w:szCs w:val="18"/>
              </w:rPr>
              <w:t>9</w:t>
            </w:r>
            <w:r>
              <w:rPr>
                <w:rFonts w:hint="eastAsia"/>
                <w:sz w:val="18"/>
                <w:szCs w:val="18"/>
              </w:rPr>
              <w:t>、</w:t>
            </w:r>
            <w:r>
              <w:rPr>
                <w:sz w:val="18"/>
                <w:szCs w:val="18"/>
              </w:rPr>
              <w:t>11</w:t>
            </w:r>
          </w:p>
        </w:tc>
        <w:tc>
          <w:tcPr>
            <w:tcW w:w="1409" w:type="dxa"/>
            <w:vAlign w:val="center"/>
          </w:tcPr>
          <w:p w14:paraId="17C09BC2" w14:textId="77777777" w:rsidR="004B0883" w:rsidRDefault="004B0883">
            <w:pPr>
              <w:jc w:val="center"/>
              <w:rPr>
                <w:sz w:val="18"/>
                <w:szCs w:val="18"/>
              </w:rPr>
            </w:pPr>
            <w:r>
              <w:rPr>
                <w:sz w:val="18"/>
                <w:szCs w:val="18"/>
              </w:rPr>
              <w:t>发行人</w:t>
            </w:r>
          </w:p>
        </w:tc>
        <w:tc>
          <w:tcPr>
            <w:tcW w:w="1651" w:type="dxa"/>
            <w:vAlign w:val="center"/>
          </w:tcPr>
          <w:p w14:paraId="53242CEE" w14:textId="77777777" w:rsidR="004B0883" w:rsidRDefault="004B0883">
            <w:pPr>
              <w:jc w:val="center"/>
              <w:rPr>
                <w:sz w:val="18"/>
                <w:szCs w:val="18"/>
              </w:rPr>
            </w:pPr>
            <w:r>
              <w:rPr>
                <w:sz w:val="18"/>
                <w:szCs w:val="18"/>
              </w:rPr>
              <w:t>2027.07.06</w:t>
            </w:r>
          </w:p>
        </w:tc>
        <w:tc>
          <w:tcPr>
            <w:tcW w:w="1583" w:type="dxa"/>
            <w:vAlign w:val="center"/>
          </w:tcPr>
          <w:p w14:paraId="2DDC7CEE" w14:textId="77777777" w:rsidR="004B0883" w:rsidRDefault="004B0883">
            <w:pPr>
              <w:jc w:val="center"/>
              <w:rPr>
                <w:sz w:val="18"/>
                <w:szCs w:val="18"/>
              </w:rPr>
            </w:pPr>
            <w:r>
              <w:rPr>
                <w:sz w:val="18"/>
                <w:szCs w:val="18"/>
              </w:rPr>
              <w:t>美国</w:t>
            </w:r>
          </w:p>
        </w:tc>
      </w:tr>
      <w:tr w:rsidR="004B0883" w14:paraId="5BC903DC" w14:textId="77777777">
        <w:trPr>
          <w:trHeight w:val="397"/>
        </w:trPr>
        <w:tc>
          <w:tcPr>
            <w:tcW w:w="713" w:type="dxa"/>
            <w:vAlign w:val="center"/>
          </w:tcPr>
          <w:p w14:paraId="7AC0853F" w14:textId="77777777" w:rsidR="004B0883" w:rsidRDefault="004B0883">
            <w:pPr>
              <w:widowControl w:val="0"/>
              <w:numPr>
                <w:ilvl w:val="0"/>
                <w:numId w:val="26"/>
              </w:numPr>
              <w:ind w:left="0" w:firstLine="0"/>
              <w:jc w:val="center"/>
              <w:rPr>
                <w:rFonts w:cs="宋体"/>
                <w:b/>
                <w:bCs/>
                <w:sz w:val="18"/>
              </w:rPr>
            </w:pPr>
          </w:p>
        </w:tc>
        <w:tc>
          <w:tcPr>
            <w:tcW w:w="1880" w:type="dxa"/>
          </w:tcPr>
          <w:p w14:paraId="46C4CBFB" w14:textId="1656E71A" w:rsidR="004B0883" w:rsidRDefault="0090540C">
            <w:pPr>
              <w:jc w:val="center"/>
              <w:rPr>
                <w:rFonts w:cs="宋体"/>
                <w:b/>
                <w:bCs/>
                <w:sz w:val="18"/>
                <w:szCs w:val="18"/>
              </w:rPr>
            </w:pPr>
            <w:r>
              <w:rPr>
                <w:noProof/>
                <w:sz w:val="18"/>
                <w:szCs w:val="18"/>
              </w:rPr>
              <w:drawing>
                <wp:inline distT="0" distB="0" distL="0" distR="0" wp14:anchorId="05DD0529" wp14:editId="61D07CF6">
                  <wp:extent cx="572770" cy="294005"/>
                  <wp:effectExtent l="0" t="0" r="0" b="0"/>
                  <wp:docPr id="48"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06D22D09" w14:textId="77777777" w:rsidR="004B0883" w:rsidRDefault="004B0883">
            <w:pPr>
              <w:jc w:val="center"/>
              <w:rPr>
                <w:sz w:val="18"/>
                <w:szCs w:val="18"/>
              </w:rPr>
            </w:pPr>
            <w:r>
              <w:rPr>
                <w:sz w:val="18"/>
                <w:szCs w:val="18"/>
              </w:rPr>
              <w:t>1380644</w:t>
            </w:r>
          </w:p>
        </w:tc>
        <w:tc>
          <w:tcPr>
            <w:tcW w:w="1366" w:type="dxa"/>
            <w:vAlign w:val="center"/>
          </w:tcPr>
          <w:p w14:paraId="4816655F" w14:textId="77777777" w:rsidR="004B0883" w:rsidRDefault="004B0883">
            <w:pPr>
              <w:jc w:val="center"/>
              <w:rPr>
                <w:sz w:val="18"/>
                <w:szCs w:val="18"/>
              </w:rPr>
            </w:pPr>
            <w:r>
              <w:rPr>
                <w:sz w:val="18"/>
                <w:szCs w:val="18"/>
              </w:rPr>
              <w:t>9</w:t>
            </w:r>
            <w:r>
              <w:rPr>
                <w:sz w:val="18"/>
                <w:szCs w:val="18"/>
              </w:rPr>
              <w:t>、</w:t>
            </w:r>
            <w:r>
              <w:rPr>
                <w:sz w:val="18"/>
                <w:szCs w:val="18"/>
              </w:rPr>
              <w:t>11</w:t>
            </w:r>
          </w:p>
        </w:tc>
        <w:tc>
          <w:tcPr>
            <w:tcW w:w="1409" w:type="dxa"/>
            <w:vAlign w:val="center"/>
          </w:tcPr>
          <w:p w14:paraId="1E3BC2B5"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75A96162" w14:textId="77777777" w:rsidR="004B0883" w:rsidRDefault="004B0883">
            <w:pPr>
              <w:jc w:val="center"/>
              <w:rPr>
                <w:rFonts w:cs="宋体"/>
                <w:sz w:val="18"/>
                <w:szCs w:val="18"/>
              </w:rPr>
            </w:pPr>
            <w:r>
              <w:rPr>
                <w:sz w:val="18"/>
                <w:szCs w:val="18"/>
              </w:rPr>
              <w:t>2027.07.06</w:t>
            </w:r>
          </w:p>
        </w:tc>
        <w:tc>
          <w:tcPr>
            <w:tcW w:w="1583" w:type="dxa"/>
            <w:vAlign w:val="center"/>
          </w:tcPr>
          <w:p w14:paraId="7E09DF50" w14:textId="77777777" w:rsidR="004B0883" w:rsidRDefault="004B0883">
            <w:pPr>
              <w:jc w:val="center"/>
              <w:rPr>
                <w:rFonts w:cs="宋体"/>
                <w:sz w:val="18"/>
                <w:szCs w:val="18"/>
              </w:rPr>
            </w:pPr>
            <w:r>
              <w:rPr>
                <w:rFonts w:ascii="宋体" w:hAnsi="宋体" w:cs="宋体" w:hint="eastAsia"/>
                <w:sz w:val="18"/>
                <w:szCs w:val="18"/>
              </w:rPr>
              <w:t>马德里</w:t>
            </w:r>
          </w:p>
        </w:tc>
      </w:tr>
      <w:tr w:rsidR="004B0883" w14:paraId="766FC9A5" w14:textId="77777777">
        <w:trPr>
          <w:trHeight w:val="397"/>
        </w:trPr>
        <w:tc>
          <w:tcPr>
            <w:tcW w:w="713" w:type="dxa"/>
            <w:vAlign w:val="center"/>
          </w:tcPr>
          <w:p w14:paraId="49A5FC3E" w14:textId="77777777" w:rsidR="004B0883" w:rsidRDefault="004B0883">
            <w:pPr>
              <w:widowControl w:val="0"/>
              <w:numPr>
                <w:ilvl w:val="0"/>
                <w:numId w:val="26"/>
              </w:numPr>
              <w:ind w:left="0" w:firstLine="0"/>
              <w:jc w:val="center"/>
              <w:rPr>
                <w:rFonts w:cs="宋体"/>
                <w:b/>
                <w:bCs/>
                <w:sz w:val="18"/>
              </w:rPr>
            </w:pPr>
          </w:p>
        </w:tc>
        <w:tc>
          <w:tcPr>
            <w:tcW w:w="1880" w:type="dxa"/>
          </w:tcPr>
          <w:p w14:paraId="7FCAB0E2" w14:textId="6B576A2F" w:rsidR="004B0883" w:rsidRDefault="0090540C">
            <w:pPr>
              <w:jc w:val="center"/>
              <w:rPr>
                <w:rFonts w:cs="宋体"/>
                <w:b/>
                <w:bCs/>
                <w:sz w:val="18"/>
                <w:szCs w:val="18"/>
              </w:rPr>
            </w:pPr>
            <w:r>
              <w:rPr>
                <w:noProof/>
                <w:sz w:val="18"/>
                <w:szCs w:val="18"/>
              </w:rPr>
              <w:drawing>
                <wp:inline distT="0" distB="0" distL="0" distR="0" wp14:anchorId="0B1BA58D" wp14:editId="70D30AEF">
                  <wp:extent cx="572770" cy="294005"/>
                  <wp:effectExtent l="0" t="0" r="0" b="0"/>
                  <wp:docPr id="49"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1DF0D08E" w14:textId="77777777" w:rsidR="004B0883" w:rsidRDefault="004B0883">
            <w:pPr>
              <w:jc w:val="center"/>
              <w:rPr>
                <w:sz w:val="18"/>
                <w:szCs w:val="18"/>
              </w:rPr>
            </w:pPr>
            <w:r>
              <w:rPr>
                <w:sz w:val="18"/>
                <w:szCs w:val="18"/>
              </w:rPr>
              <w:t>1052510</w:t>
            </w:r>
          </w:p>
        </w:tc>
        <w:tc>
          <w:tcPr>
            <w:tcW w:w="1366" w:type="dxa"/>
            <w:vAlign w:val="center"/>
          </w:tcPr>
          <w:p w14:paraId="3A7D9434" w14:textId="77777777" w:rsidR="004B0883" w:rsidRDefault="004B0883">
            <w:pPr>
              <w:jc w:val="center"/>
              <w:rPr>
                <w:sz w:val="18"/>
                <w:szCs w:val="18"/>
              </w:rPr>
            </w:pPr>
            <w:r>
              <w:rPr>
                <w:sz w:val="18"/>
                <w:szCs w:val="18"/>
              </w:rPr>
              <w:t>6</w:t>
            </w:r>
          </w:p>
        </w:tc>
        <w:tc>
          <w:tcPr>
            <w:tcW w:w="1409" w:type="dxa"/>
            <w:vAlign w:val="center"/>
          </w:tcPr>
          <w:p w14:paraId="7EAB66B4"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1090031A" w14:textId="77777777" w:rsidR="004B0883" w:rsidRDefault="004B0883">
            <w:pPr>
              <w:jc w:val="center"/>
              <w:rPr>
                <w:rFonts w:cs="宋体"/>
                <w:b/>
                <w:bCs/>
                <w:sz w:val="18"/>
                <w:szCs w:val="18"/>
              </w:rPr>
            </w:pPr>
            <w:r>
              <w:rPr>
                <w:sz w:val="18"/>
                <w:szCs w:val="18"/>
              </w:rPr>
              <w:t>2030.09.23</w:t>
            </w:r>
          </w:p>
        </w:tc>
        <w:tc>
          <w:tcPr>
            <w:tcW w:w="1583" w:type="dxa"/>
            <w:vAlign w:val="center"/>
          </w:tcPr>
          <w:p w14:paraId="7FD3ABB9" w14:textId="77777777" w:rsidR="004B0883" w:rsidRDefault="004B0883">
            <w:pPr>
              <w:jc w:val="center"/>
              <w:rPr>
                <w:rFonts w:cs="宋体"/>
                <w:sz w:val="18"/>
                <w:szCs w:val="18"/>
              </w:rPr>
            </w:pPr>
            <w:r>
              <w:rPr>
                <w:rFonts w:ascii="宋体" w:hAnsi="宋体" w:cs="宋体" w:hint="eastAsia"/>
                <w:sz w:val="18"/>
                <w:szCs w:val="18"/>
              </w:rPr>
              <w:t>马德里</w:t>
            </w:r>
          </w:p>
        </w:tc>
      </w:tr>
      <w:tr w:rsidR="004B0883" w14:paraId="0E32BA4B" w14:textId="77777777">
        <w:trPr>
          <w:trHeight w:val="397"/>
        </w:trPr>
        <w:tc>
          <w:tcPr>
            <w:tcW w:w="713" w:type="dxa"/>
            <w:vAlign w:val="center"/>
          </w:tcPr>
          <w:p w14:paraId="3997BF72" w14:textId="77777777" w:rsidR="004B0883" w:rsidRDefault="004B0883">
            <w:pPr>
              <w:widowControl w:val="0"/>
              <w:numPr>
                <w:ilvl w:val="0"/>
                <w:numId w:val="26"/>
              </w:numPr>
              <w:ind w:left="0" w:firstLine="0"/>
              <w:jc w:val="center"/>
              <w:rPr>
                <w:rFonts w:cs="宋体"/>
                <w:b/>
                <w:bCs/>
                <w:sz w:val="18"/>
              </w:rPr>
            </w:pPr>
          </w:p>
        </w:tc>
        <w:tc>
          <w:tcPr>
            <w:tcW w:w="1880" w:type="dxa"/>
          </w:tcPr>
          <w:p w14:paraId="0D983FAD" w14:textId="286328E1" w:rsidR="004B0883" w:rsidRDefault="0090540C">
            <w:pPr>
              <w:jc w:val="center"/>
              <w:rPr>
                <w:rFonts w:cs="宋体"/>
                <w:b/>
                <w:bCs/>
                <w:sz w:val="18"/>
                <w:szCs w:val="18"/>
              </w:rPr>
            </w:pPr>
            <w:r>
              <w:rPr>
                <w:noProof/>
                <w:sz w:val="18"/>
                <w:szCs w:val="18"/>
              </w:rPr>
              <w:drawing>
                <wp:inline distT="0" distB="0" distL="0" distR="0" wp14:anchorId="3EAAD9C8" wp14:editId="0F9A2AA8">
                  <wp:extent cx="572770" cy="294005"/>
                  <wp:effectExtent l="0" t="0" r="0" b="0"/>
                  <wp:docPr id="50"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24CF795C" w14:textId="77777777" w:rsidR="004B0883" w:rsidRDefault="004B0883">
            <w:pPr>
              <w:jc w:val="center"/>
              <w:rPr>
                <w:sz w:val="18"/>
                <w:szCs w:val="18"/>
              </w:rPr>
            </w:pPr>
            <w:r>
              <w:rPr>
                <w:sz w:val="18"/>
                <w:szCs w:val="18"/>
              </w:rPr>
              <w:t>143708</w:t>
            </w:r>
          </w:p>
        </w:tc>
        <w:tc>
          <w:tcPr>
            <w:tcW w:w="1366" w:type="dxa"/>
            <w:vAlign w:val="center"/>
          </w:tcPr>
          <w:p w14:paraId="466F8A06" w14:textId="77777777" w:rsidR="004B0883" w:rsidRDefault="004B0883">
            <w:pPr>
              <w:jc w:val="center"/>
              <w:rPr>
                <w:sz w:val="18"/>
                <w:szCs w:val="18"/>
              </w:rPr>
            </w:pPr>
            <w:r>
              <w:rPr>
                <w:sz w:val="18"/>
                <w:szCs w:val="18"/>
              </w:rPr>
              <w:t>6</w:t>
            </w:r>
          </w:p>
        </w:tc>
        <w:tc>
          <w:tcPr>
            <w:tcW w:w="1409" w:type="dxa"/>
            <w:vAlign w:val="center"/>
          </w:tcPr>
          <w:p w14:paraId="400EEC95"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1796F942" w14:textId="77777777" w:rsidR="004B0883" w:rsidRDefault="004B0883">
            <w:pPr>
              <w:jc w:val="center"/>
              <w:rPr>
                <w:sz w:val="18"/>
                <w:szCs w:val="18"/>
              </w:rPr>
            </w:pPr>
            <w:r>
              <w:rPr>
                <w:sz w:val="18"/>
                <w:szCs w:val="18"/>
              </w:rPr>
              <w:t>2030.06.16</w:t>
            </w:r>
          </w:p>
        </w:tc>
        <w:tc>
          <w:tcPr>
            <w:tcW w:w="1583" w:type="dxa"/>
            <w:vAlign w:val="center"/>
          </w:tcPr>
          <w:p w14:paraId="15E50663" w14:textId="77777777" w:rsidR="004B0883" w:rsidRDefault="004B0883">
            <w:pPr>
              <w:jc w:val="center"/>
              <w:rPr>
                <w:rFonts w:cs="宋体"/>
                <w:sz w:val="18"/>
                <w:szCs w:val="18"/>
              </w:rPr>
            </w:pPr>
            <w:r>
              <w:rPr>
                <w:rFonts w:ascii="宋体" w:hAnsi="宋体" w:cs="宋体" w:hint="eastAsia"/>
                <w:sz w:val="18"/>
                <w:szCs w:val="18"/>
              </w:rPr>
              <w:t>阿联酋</w:t>
            </w:r>
          </w:p>
        </w:tc>
      </w:tr>
      <w:tr w:rsidR="004B0883" w14:paraId="39CA96CF" w14:textId="77777777">
        <w:trPr>
          <w:trHeight w:val="397"/>
        </w:trPr>
        <w:tc>
          <w:tcPr>
            <w:tcW w:w="713" w:type="dxa"/>
            <w:vAlign w:val="center"/>
          </w:tcPr>
          <w:p w14:paraId="4B2176CF" w14:textId="77777777" w:rsidR="004B0883" w:rsidRDefault="004B0883">
            <w:pPr>
              <w:widowControl w:val="0"/>
              <w:numPr>
                <w:ilvl w:val="0"/>
                <w:numId w:val="26"/>
              </w:numPr>
              <w:ind w:left="0" w:firstLine="0"/>
              <w:jc w:val="center"/>
              <w:rPr>
                <w:rFonts w:cs="宋体"/>
                <w:b/>
                <w:bCs/>
                <w:sz w:val="18"/>
              </w:rPr>
            </w:pPr>
          </w:p>
        </w:tc>
        <w:tc>
          <w:tcPr>
            <w:tcW w:w="1880" w:type="dxa"/>
          </w:tcPr>
          <w:p w14:paraId="5DD7B971" w14:textId="5E5C0D84" w:rsidR="004B0883" w:rsidRDefault="0090540C">
            <w:pPr>
              <w:jc w:val="center"/>
              <w:rPr>
                <w:rFonts w:cs="宋体"/>
                <w:b/>
                <w:bCs/>
                <w:sz w:val="18"/>
                <w:szCs w:val="18"/>
              </w:rPr>
            </w:pPr>
            <w:r>
              <w:rPr>
                <w:noProof/>
                <w:sz w:val="18"/>
                <w:szCs w:val="18"/>
              </w:rPr>
              <w:drawing>
                <wp:inline distT="0" distB="0" distL="0" distR="0" wp14:anchorId="3B71930A" wp14:editId="5CE87EF9">
                  <wp:extent cx="572770" cy="294005"/>
                  <wp:effectExtent l="0" t="0" r="0" b="0"/>
                  <wp:docPr id="51"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37F20083" w14:textId="77777777" w:rsidR="004B0883" w:rsidRDefault="004B0883">
            <w:pPr>
              <w:jc w:val="center"/>
              <w:rPr>
                <w:sz w:val="18"/>
                <w:szCs w:val="18"/>
              </w:rPr>
            </w:pPr>
            <w:r>
              <w:rPr>
                <w:sz w:val="18"/>
                <w:szCs w:val="18"/>
              </w:rPr>
              <w:t>271327</w:t>
            </w:r>
          </w:p>
        </w:tc>
        <w:tc>
          <w:tcPr>
            <w:tcW w:w="1366" w:type="dxa"/>
            <w:vAlign w:val="center"/>
          </w:tcPr>
          <w:p w14:paraId="5A0A80F9" w14:textId="77777777" w:rsidR="004B0883" w:rsidRDefault="004B0883">
            <w:pPr>
              <w:jc w:val="center"/>
              <w:rPr>
                <w:sz w:val="18"/>
                <w:szCs w:val="18"/>
              </w:rPr>
            </w:pPr>
            <w:r>
              <w:rPr>
                <w:sz w:val="18"/>
                <w:szCs w:val="18"/>
              </w:rPr>
              <w:t>11</w:t>
            </w:r>
          </w:p>
        </w:tc>
        <w:tc>
          <w:tcPr>
            <w:tcW w:w="1409" w:type="dxa"/>
            <w:vAlign w:val="center"/>
          </w:tcPr>
          <w:p w14:paraId="6002B310"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629C4826" w14:textId="77777777" w:rsidR="004B0883" w:rsidRDefault="004B0883">
            <w:pPr>
              <w:jc w:val="center"/>
              <w:rPr>
                <w:sz w:val="18"/>
                <w:szCs w:val="18"/>
              </w:rPr>
            </w:pPr>
            <w:r>
              <w:rPr>
                <w:sz w:val="18"/>
                <w:szCs w:val="18"/>
              </w:rPr>
              <w:t>2027.04.11</w:t>
            </w:r>
          </w:p>
        </w:tc>
        <w:tc>
          <w:tcPr>
            <w:tcW w:w="1583" w:type="dxa"/>
            <w:vAlign w:val="center"/>
          </w:tcPr>
          <w:p w14:paraId="2088C3C1" w14:textId="77777777" w:rsidR="004B0883" w:rsidRDefault="004B0883">
            <w:pPr>
              <w:jc w:val="center"/>
              <w:rPr>
                <w:rFonts w:cs="宋体"/>
                <w:sz w:val="18"/>
                <w:szCs w:val="18"/>
              </w:rPr>
            </w:pPr>
            <w:r>
              <w:rPr>
                <w:rFonts w:ascii="宋体" w:hAnsi="宋体" w:cs="宋体" w:hint="eastAsia"/>
                <w:sz w:val="18"/>
                <w:szCs w:val="18"/>
              </w:rPr>
              <w:t>阿联酋</w:t>
            </w:r>
          </w:p>
        </w:tc>
      </w:tr>
      <w:tr w:rsidR="004B0883" w14:paraId="29303CB6" w14:textId="77777777">
        <w:trPr>
          <w:trHeight w:val="397"/>
        </w:trPr>
        <w:tc>
          <w:tcPr>
            <w:tcW w:w="713" w:type="dxa"/>
            <w:vAlign w:val="center"/>
          </w:tcPr>
          <w:p w14:paraId="2C0858EB" w14:textId="77777777" w:rsidR="004B0883" w:rsidRDefault="004B0883">
            <w:pPr>
              <w:widowControl w:val="0"/>
              <w:numPr>
                <w:ilvl w:val="0"/>
                <w:numId w:val="26"/>
              </w:numPr>
              <w:ind w:left="0" w:firstLine="0"/>
              <w:jc w:val="center"/>
              <w:rPr>
                <w:rFonts w:cs="宋体"/>
                <w:b/>
                <w:bCs/>
                <w:sz w:val="18"/>
              </w:rPr>
            </w:pPr>
          </w:p>
        </w:tc>
        <w:tc>
          <w:tcPr>
            <w:tcW w:w="1880" w:type="dxa"/>
          </w:tcPr>
          <w:p w14:paraId="5748016B" w14:textId="07189D15" w:rsidR="004B0883" w:rsidRDefault="0090540C">
            <w:pPr>
              <w:jc w:val="center"/>
              <w:rPr>
                <w:rFonts w:cs="宋体"/>
                <w:b/>
                <w:bCs/>
                <w:sz w:val="18"/>
                <w:szCs w:val="18"/>
              </w:rPr>
            </w:pPr>
            <w:r>
              <w:rPr>
                <w:noProof/>
                <w:sz w:val="18"/>
                <w:szCs w:val="18"/>
              </w:rPr>
              <w:drawing>
                <wp:inline distT="0" distB="0" distL="0" distR="0" wp14:anchorId="0F22C81E" wp14:editId="27D08F5D">
                  <wp:extent cx="572770" cy="294005"/>
                  <wp:effectExtent l="0" t="0" r="0" b="0"/>
                  <wp:docPr id="52"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006B3BBE" w14:textId="77777777" w:rsidR="004B0883" w:rsidRDefault="004B0883">
            <w:pPr>
              <w:jc w:val="center"/>
              <w:rPr>
                <w:sz w:val="18"/>
                <w:szCs w:val="18"/>
              </w:rPr>
            </w:pPr>
            <w:r>
              <w:rPr>
                <w:sz w:val="18"/>
                <w:szCs w:val="18"/>
              </w:rPr>
              <w:t>271326</w:t>
            </w:r>
          </w:p>
        </w:tc>
        <w:tc>
          <w:tcPr>
            <w:tcW w:w="1366" w:type="dxa"/>
            <w:vAlign w:val="center"/>
          </w:tcPr>
          <w:p w14:paraId="2CDFA1A5" w14:textId="77777777" w:rsidR="004B0883" w:rsidRDefault="004B0883">
            <w:pPr>
              <w:jc w:val="center"/>
              <w:rPr>
                <w:sz w:val="18"/>
                <w:szCs w:val="18"/>
              </w:rPr>
            </w:pPr>
            <w:r>
              <w:rPr>
                <w:sz w:val="18"/>
                <w:szCs w:val="18"/>
              </w:rPr>
              <w:t>9</w:t>
            </w:r>
          </w:p>
        </w:tc>
        <w:tc>
          <w:tcPr>
            <w:tcW w:w="1409" w:type="dxa"/>
            <w:vAlign w:val="center"/>
          </w:tcPr>
          <w:p w14:paraId="1A490492"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7E411AE8" w14:textId="77777777" w:rsidR="004B0883" w:rsidRDefault="004B0883">
            <w:pPr>
              <w:jc w:val="center"/>
              <w:rPr>
                <w:sz w:val="18"/>
                <w:szCs w:val="18"/>
              </w:rPr>
            </w:pPr>
            <w:r>
              <w:rPr>
                <w:sz w:val="18"/>
                <w:szCs w:val="18"/>
              </w:rPr>
              <w:t>2027.04.11</w:t>
            </w:r>
          </w:p>
        </w:tc>
        <w:tc>
          <w:tcPr>
            <w:tcW w:w="1583" w:type="dxa"/>
            <w:vAlign w:val="center"/>
          </w:tcPr>
          <w:p w14:paraId="22B231E1" w14:textId="77777777" w:rsidR="004B0883" w:rsidRDefault="004B0883">
            <w:pPr>
              <w:jc w:val="center"/>
              <w:rPr>
                <w:rFonts w:cs="宋体"/>
                <w:sz w:val="18"/>
                <w:szCs w:val="18"/>
              </w:rPr>
            </w:pPr>
            <w:r>
              <w:rPr>
                <w:rFonts w:ascii="宋体" w:hAnsi="宋体" w:cs="宋体" w:hint="eastAsia"/>
                <w:sz w:val="18"/>
                <w:szCs w:val="18"/>
              </w:rPr>
              <w:t>阿联酋</w:t>
            </w:r>
          </w:p>
        </w:tc>
      </w:tr>
      <w:tr w:rsidR="004B0883" w14:paraId="301883A1" w14:textId="77777777">
        <w:trPr>
          <w:trHeight w:val="397"/>
        </w:trPr>
        <w:tc>
          <w:tcPr>
            <w:tcW w:w="713" w:type="dxa"/>
            <w:vAlign w:val="center"/>
          </w:tcPr>
          <w:p w14:paraId="3A95DFE5" w14:textId="77777777" w:rsidR="004B0883" w:rsidRDefault="004B0883">
            <w:pPr>
              <w:widowControl w:val="0"/>
              <w:numPr>
                <w:ilvl w:val="0"/>
                <w:numId w:val="26"/>
              </w:numPr>
              <w:ind w:left="0" w:firstLine="0"/>
              <w:jc w:val="center"/>
              <w:rPr>
                <w:rFonts w:cs="宋体"/>
                <w:b/>
                <w:bCs/>
                <w:sz w:val="18"/>
              </w:rPr>
            </w:pPr>
          </w:p>
        </w:tc>
        <w:tc>
          <w:tcPr>
            <w:tcW w:w="1880" w:type="dxa"/>
          </w:tcPr>
          <w:p w14:paraId="22BB1C80" w14:textId="24C4A31E" w:rsidR="004B0883" w:rsidRDefault="0090540C">
            <w:pPr>
              <w:jc w:val="center"/>
              <w:rPr>
                <w:rFonts w:cs="宋体"/>
                <w:b/>
                <w:bCs/>
                <w:sz w:val="18"/>
                <w:szCs w:val="18"/>
              </w:rPr>
            </w:pPr>
            <w:r>
              <w:rPr>
                <w:noProof/>
                <w:sz w:val="18"/>
                <w:szCs w:val="18"/>
              </w:rPr>
              <w:drawing>
                <wp:inline distT="0" distB="0" distL="0" distR="0" wp14:anchorId="4463E670" wp14:editId="41073A32">
                  <wp:extent cx="699770" cy="246380"/>
                  <wp:effectExtent l="0" t="0" r="0" b="0"/>
                  <wp:docPr id="53"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99770" cy="246380"/>
                          </a:xfrm>
                          <a:prstGeom prst="rect">
                            <a:avLst/>
                          </a:prstGeom>
                          <a:noFill/>
                          <a:ln>
                            <a:noFill/>
                          </a:ln>
                          <a:effectLst/>
                        </pic:spPr>
                      </pic:pic>
                    </a:graphicData>
                  </a:graphic>
                </wp:inline>
              </w:drawing>
            </w:r>
          </w:p>
        </w:tc>
        <w:tc>
          <w:tcPr>
            <w:tcW w:w="1592" w:type="dxa"/>
            <w:vAlign w:val="center"/>
          </w:tcPr>
          <w:p w14:paraId="7F4118D6" w14:textId="77777777" w:rsidR="004B0883" w:rsidRDefault="004B0883">
            <w:pPr>
              <w:jc w:val="center"/>
              <w:rPr>
                <w:sz w:val="18"/>
                <w:szCs w:val="18"/>
              </w:rPr>
            </w:pPr>
            <w:r>
              <w:rPr>
                <w:sz w:val="18"/>
                <w:szCs w:val="18"/>
              </w:rPr>
              <w:t>156085/</w:t>
            </w:r>
          </w:p>
          <w:p w14:paraId="7F62CEBD" w14:textId="77777777" w:rsidR="004B0883" w:rsidRDefault="004B0883">
            <w:pPr>
              <w:jc w:val="center"/>
              <w:rPr>
                <w:sz w:val="18"/>
                <w:szCs w:val="18"/>
              </w:rPr>
            </w:pPr>
            <w:r>
              <w:rPr>
                <w:sz w:val="18"/>
                <w:szCs w:val="18"/>
              </w:rPr>
              <w:t>143106646</w:t>
            </w:r>
          </w:p>
        </w:tc>
        <w:tc>
          <w:tcPr>
            <w:tcW w:w="1366" w:type="dxa"/>
            <w:vAlign w:val="center"/>
          </w:tcPr>
          <w:p w14:paraId="0CA21263" w14:textId="77777777" w:rsidR="004B0883" w:rsidRDefault="004B0883">
            <w:pPr>
              <w:jc w:val="center"/>
              <w:rPr>
                <w:sz w:val="18"/>
                <w:szCs w:val="18"/>
              </w:rPr>
            </w:pPr>
            <w:r>
              <w:rPr>
                <w:sz w:val="18"/>
                <w:szCs w:val="18"/>
              </w:rPr>
              <w:t>6</w:t>
            </w:r>
          </w:p>
        </w:tc>
        <w:tc>
          <w:tcPr>
            <w:tcW w:w="1409" w:type="dxa"/>
            <w:vAlign w:val="center"/>
          </w:tcPr>
          <w:p w14:paraId="40A81ED4"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0CB39412" w14:textId="77777777" w:rsidR="004B0883" w:rsidRDefault="004B0883">
            <w:pPr>
              <w:jc w:val="center"/>
              <w:rPr>
                <w:sz w:val="18"/>
                <w:szCs w:val="18"/>
              </w:rPr>
            </w:pPr>
            <w:r>
              <w:rPr>
                <w:sz w:val="18"/>
                <w:szCs w:val="18"/>
              </w:rPr>
              <w:t>2029.11.09</w:t>
            </w:r>
          </w:p>
        </w:tc>
        <w:tc>
          <w:tcPr>
            <w:tcW w:w="1583" w:type="dxa"/>
            <w:vAlign w:val="center"/>
          </w:tcPr>
          <w:p w14:paraId="60441CFA" w14:textId="77777777" w:rsidR="004B0883" w:rsidRDefault="004B0883">
            <w:pPr>
              <w:jc w:val="center"/>
              <w:rPr>
                <w:rFonts w:cs="宋体"/>
                <w:sz w:val="18"/>
                <w:szCs w:val="18"/>
              </w:rPr>
            </w:pPr>
            <w:r>
              <w:rPr>
                <w:rFonts w:ascii="宋体" w:hAnsi="宋体" w:cs="宋体" w:hint="eastAsia"/>
                <w:sz w:val="18"/>
                <w:szCs w:val="18"/>
              </w:rPr>
              <w:t>沙特阿拉伯</w:t>
            </w:r>
          </w:p>
        </w:tc>
      </w:tr>
      <w:tr w:rsidR="004B0883" w14:paraId="7E203DE7" w14:textId="77777777">
        <w:trPr>
          <w:trHeight w:val="397"/>
        </w:trPr>
        <w:tc>
          <w:tcPr>
            <w:tcW w:w="713" w:type="dxa"/>
            <w:vAlign w:val="center"/>
          </w:tcPr>
          <w:p w14:paraId="377E850A" w14:textId="77777777" w:rsidR="004B0883" w:rsidRDefault="004B0883">
            <w:pPr>
              <w:widowControl w:val="0"/>
              <w:numPr>
                <w:ilvl w:val="0"/>
                <w:numId w:val="26"/>
              </w:numPr>
              <w:ind w:left="0" w:firstLine="0"/>
              <w:jc w:val="center"/>
              <w:rPr>
                <w:rFonts w:cs="宋体"/>
                <w:b/>
                <w:bCs/>
                <w:sz w:val="18"/>
              </w:rPr>
            </w:pPr>
          </w:p>
        </w:tc>
        <w:tc>
          <w:tcPr>
            <w:tcW w:w="1880" w:type="dxa"/>
          </w:tcPr>
          <w:p w14:paraId="0BC2AA67" w14:textId="3CCB3D90" w:rsidR="004B0883" w:rsidRDefault="0090540C">
            <w:pPr>
              <w:jc w:val="center"/>
              <w:rPr>
                <w:rFonts w:cs="宋体"/>
                <w:b/>
                <w:bCs/>
                <w:sz w:val="18"/>
                <w:szCs w:val="18"/>
              </w:rPr>
            </w:pPr>
            <w:r>
              <w:rPr>
                <w:noProof/>
                <w:sz w:val="18"/>
                <w:szCs w:val="18"/>
              </w:rPr>
              <w:drawing>
                <wp:inline distT="0" distB="0" distL="0" distR="0" wp14:anchorId="478C31BA" wp14:editId="6DDC7040">
                  <wp:extent cx="572770" cy="294005"/>
                  <wp:effectExtent l="0" t="0" r="0" b="0"/>
                  <wp:docPr id="54"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460FD5C2" w14:textId="77777777" w:rsidR="004B0883" w:rsidRDefault="004B0883">
            <w:pPr>
              <w:jc w:val="center"/>
              <w:rPr>
                <w:sz w:val="18"/>
                <w:szCs w:val="18"/>
              </w:rPr>
            </w:pPr>
            <w:r>
              <w:rPr>
                <w:sz w:val="18"/>
                <w:szCs w:val="18"/>
              </w:rPr>
              <w:t>1438018866</w:t>
            </w:r>
          </w:p>
        </w:tc>
        <w:tc>
          <w:tcPr>
            <w:tcW w:w="1366" w:type="dxa"/>
            <w:vAlign w:val="center"/>
          </w:tcPr>
          <w:p w14:paraId="688850FC" w14:textId="77777777" w:rsidR="004B0883" w:rsidRDefault="004B0883">
            <w:pPr>
              <w:jc w:val="center"/>
              <w:rPr>
                <w:sz w:val="18"/>
                <w:szCs w:val="18"/>
              </w:rPr>
            </w:pPr>
            <w:r>
              <w:rPr>
                <w:sz w:val="18"/>
                <w:szCs w:val="18"/>
              </w:rPr>
              <w:t>11</w:t>
            </w:r>
          </w:p>
        </w:tc>
        <w:tc>
          <w:tcPr>
            <w:tcW w:w="1409" w:type="dxa"/>
            <w:vAlign w:val="center"/>
          </w:tcPr>
          <w:p w14:paraId="5097C7C3"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69D7531D" w14:textId="77777777" w:rsidR="004B0883" w:rsidRDefault="004B0883">
            <w:pPr>
              <w:jc w:val="center"/>
              <w:rPr>
                <w:sz w:val="18"/>
                <w:szCs w:val="18"/>
              </w:rPr>
            </w:pPr>
            <w:r>
              <w:rPr>
                <w:sz w:val="18"/>
                <w:szCs w:val="18"/>
              </w:rPr>
              <w:t>2027.01.22</w:t>
            </w:r>
          </w:p>
        </w:tc>
        <w:tc>
          <w:tcPr>
            <w:tcW w:w="1583" w:type="dxa"/>
            <w:vAlign w:val="center"/>
          </w:tcPr>
          <w:p w14:paraId="049C601F" w14:textId="77777777" w:rsidR="004B0883" w:rsidRDefault="004B0883">
            <w:pPr>
              <w:jc w:val="center"/>
              <w:rPr>
                <w:rFonts w:cs="宋体"/>
                <w:sz w:val="18"/>
                <w:szCs w:val="18"/>
              </w:rPr>
            </w:pPr>
            <w:r>
              <w:rPr>
                <w:rFonts w:ascii="宋体" w:hAnsi="宋体" w:cs="宋体" w:hint="eastAsia"/>
                <w:sz w:val="18"/>
                <w:szCs w:val="18"/>
              </w:rPr>
              <w:t>沙特阿拉伯</w:t>
            </w:r>
          </w:p>
        </w:tc>
      </w:tr>
      <w:tr w:rsidR="004B0883" w14:paraId="0A945597" w14:textId="77777777">
        <w:trPr>
          <w:trHeight w:val="397"/>
        </w:trPr>
        <w:tc>
          <w:tcPr>
            <w:tcW w:w="713" w:type="dxa"/>
            <w:vAlign w:val="center"/>
          </w:tcPr>
          <w:p w14:paraId="35F3D369" w14:textId="77777777" w:rsidR="004B0883" w:rsidRDefault="004B0883">
            <w:pPr>
              <w:widowControl w:val="0"/>
              <w:numPr>
                <w:ilvl w:val="0"/>
                <w:numId w:val="26"/>
              </w:numPr>
              <w:ind w:left="0" w:firstLine="0"/>
              <w:jc w:val="center"/>
              <w:rPr>
                <w:rFonts w:cs="宋体"/>
                <w:b/>
                <w:bCs/>
                <w:sz w:val="18"/>
              </w:rPr>
            </w:pPr>
          </w:p>
        </w:tc>
        <w:tc>
          <w:tcPr>
            <w:tcW w:w="1880" w:type="dxa"/>
          </w:tcPr>
          <w:p w14:paraId="66022CCC" w14:textId="52F13215" w:rsidR="004B0883" w:rsidRDefault="0090540C">
            <w:pPr>
              <w:jc w:val="center"/>
              <w:rPr>
                <w:rFonts w:cs="宋体"/>
                <w:b/>
                <w:bCs/>
                <w:sz w:val="18"/>
                <w:szCs w:val="18"/>
              </w:rPr>
            </w:pPr>
            <w:r>
              <w:rPr>
                <w:noProof/>
                <w:sz w:val="18"/>
                <w:szCs w:val="18"/>
              </w:rPr>
              <w:drawing>
                <wp:inline distT="0" distB="0" distL="0" distR="0" wp14:anchorId="685C7AA5" wp14:editId="0534BADC">
                  <wp:extent cx="572770" cy="294005"/>
                  <wp:effectExtent l="0" t="0" r="0" b="0"/>
                  <wp:docPr id="55"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7C7D7D26" w14:textId="77777777" w:rsidR="004B0883" w:rsidRDefault="004B0883">
            <w:pPr>
              <w:jc w:val="center"/>
              <w:rPr>
                <w:sz w:val="18"/>
                <w:szCs w:val="18"/>
              </w:rPr>
            </w:pPr>
            <w:r>
              <w:rPr>
                <w:sz w:val="18"/>
                <w:szCs w:val="18"/>
              </w:rPr>
              <w:t>1438018865</w:t>
            </w:r>
          </w:p>
        </w:tc>
        <w:tc>
          <w:tcPr>
            <w:tcW w:w="1366" w:type="dxa"/>
            <w:vAlign w:val="center"/>
          </w:tcPr>
          <w:p w14:paraId="75372259" w14:textId="77777777" w:rsidR="004B0883" w:rsidRDefault="004B0883">
            <w:pPr>
              <w:jc w:val="center"/>
              <w:rPr>
                <w:sz w:val="18"/>
                <w:szCs w:val="18"/>
              </w:rPr>
            </w:pPr>
            <w:r>
              <w:rPr>
                <w:sz w:val="18"/>
                <w:szCs w:val="18"/>
              </w:rPr>
              <w:t>9</w:t>
            </w:r>
          </w:p>
        </w:tc>
        <w:tc>
          <w:tcPr>
            <w:tcW w:w="1409" w:type="dxa"/>
            <w:vAlign w:val="center"/>
          </w:tcPr>
          <w:p w14:paraId="5F2DA0CC"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747EA4AC" w14:textId="77777777" w:rsidR="004B0883" w:rsidRDefault="004B0883">
            <w:pPr>
              <w:jc w:val="center"/>
              <w:rPr>
                <w:sz w:val="18"/>
                <w:szCs w:val="18"/>
              </w:rPr>
            </w:pPr>
            <w:r>
              <w:rPr>
                <w:sz w:val="18"/>
                <w:szCs w:val="18"/>
              </w:rPr>
              <w:t>2027.01.22</w:t>
            </w:r>
          </w:p>
        </w:tc>
        <w:tc>
          <w:tcPr>
            <w:tcW w:w="1583" w:type="dxa"/>
            <w:vAlign w:val="center"/>
          </w:tcPr>
          <w:p w14:paraId="39805046" w14:textId="77777777" w:rsidR="004B0883" w:rsidRDefault="004B0883">
            <w:pPr>
              <w:jc w:val="center"/>
              <w:rPr>
                <w:rFonts w:cs="宋体"/>
                <w:sz w:val="18"/>
                <w:szCs w:val="18"/>
              </w:rPr>
            </w:pPr>
            <w:r>
              <w:rPr>
                <w:rFonts w:ascii="宋体" w:hAnsi="宋体" w:cs="宋体" w:hint="eastAsia"/>
                <w:sz w:val="18"/>
                <w:szCs w:val="18"/>
              </w:rPr>
              <w:t>沙特阿拉伯</w:t>
            </w:r>
          </w:p>
        </w:tc>
      </w:tr>
      <w:tr w:rsidR="004B0883" w14:paraId="6B773C3B" w14:textId="77777777">
        <w:trPr>
          <w:trHeight w:val="397"/>
        </w:trPr>
        <w:tc>
          <w:tcPr>
            <w:tcW w:w="713" w:type="dxa"/>
            <w:vAlign w:val="center"/>
          </w:tcPr>
          <w:p w14:paraId="77A43242" w14:textId="77777777" w:rsidR="004B0883" w:rsidRDefault="004B0883">
            <w:pPr>
              <w:widowControl w:val="0"/>
              <w:numPr>
                <w:ilvl w:val="0"/>
                <w:numId w:val="26"/>
              </w:numPr>
              <w:ind w:left="0" w:firstLine="0"/>
              <w:jc w:val="center"/>
              <w:rPr>
                <w:rFonts w:cs="宋体"/>
                <w:b/>
                <w:bCs/>
                <w:sz w:val="18"/>
              </w:rPr>
            </w:pPr>
          </w:p>
        </w:tc>
        <w:tc>
          <w:tcPr>
            <w:tcW w:w="1880" w:type="dxa"/>
          </w:tcPr>
          <w:p w14:paraId="7128F4DA" w14:textId="26B6940D" w:rsidR="004B0883" w:rsidRDefault="0090540C">
            <w:pPr>
              <w:jc w:val="center"/>
              <w:rPr>
                <w:rFonts w:cs="宋体"/>
                <w:b/>
                <w:bCs/>
                <w:sz w:val="18"/>
                <w:szCs w:val="18"/>
              </w:rPr>
            </w:pPr>
            <w:r>
              <w:rPr>
                <w:noProof/>
                <w:sz w:val="18"/>
                <w:szCs w:val="18"/>
              </w:rPr>
              <w:drawing>
                <wp:inline distT="0" distB="0" distL="0" distR="0" wp14:anchorId="3ED9F01F" wp14:editId="62104F14">
                  <wp:extent cx="572770" cy="294005"/>
                  <wp:effectExtent l="0" t="0" r="0" b="0"/>
                  <wp:docPr id="56"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4B46382B" w14:textId="77777777" w:rsidR="004B0883" w:rsidRDefault="004B0883">
            <w:pPr>
              <w:jc w:val="center"/>
              <w:rPr>
                <w:sz w:val="18"/>
                <w:szCs w:val="18"/>
              </w:rPr>
            </w:pPr>
            <w:r>
              <w:rPr>
                <w:sz w:val="18"/>
                <w:szCs w:val="18"/>
              </w:rPr>
              <w:t>04-2010-</w:t>
            </w:r>
          </w:p>
          <w:p w14:paraId="5FE5B5E4" w14:textId="77777777" w:rsidR="004B0883" w:rsidRDefault="004B0883">
            <w:pPr>
              <w:jc w:val="center"/>
              <w:rPr>
                <w:sz w:val="18"/>
                <w:szCs w:val="18"/>
              </w:rPr>
            </w:pPr>
            <w:r>
              <w:rPr>
                <w:sz w:val="18"/>
                <w:szCs w:val="18"/>
              </w:rPr>
              <w:t>009996</w:t>
            </w:r>
          </w:p>
        </w:tc>
        <w:tc>
          <w:tcPr>
            <w:tcW w:w="1366" w:type="dxa"/>
            <w:vAlign w:val="center"/>
          </w:tcPr>
          <w:p w14:paraId="0A7FD7BA" w14:textId="77777777" w:rsidR="004B0883" w:rsidRDefault="004B0883">
            <w:pPr>
              <w:jc w:val="center"/>
              <w:rPr>
                <w:sz w:val="18"/>
                <w:szCs w:val="18"/>
              </w:rPr>
            </w:pPr>
            <w:r>
              <w:rPr>
                <w:sz w:val="18"/>
                <w:szCs w:val="18"/>
              </w:rPr>
              <w:t>6</w:t>
            </w:r>
          </w:p>
        </w:tc>
        <w:tc>
          <w:tcPr>
            <w:tcW w:w="1409" w:type="dxa"/>
            <w:vAlign w:val="center"/>
          </w:tcPr>
          <w:p w14:paraId="6583C3A0"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0AF4AECA" w14:textId="77777777" w:rsidR="004B0883" w:rsidRDefault="004B0883">
            <w:pPr>
              <w:jc w:val="center"/>
              <w:rPr>
                <w:sz w:val="18"/>
                <w:szCs w:val="18"/>
              </w:rPr>
            </w:pPr>
            <w:r>
              <w:rPr>
                <w:sz w:val="18"/>
                <w:szCs w:val="18"/>
              </w:rPr>
              <w:t>2031.01.28</w:t>
            </w:r>
          </w:p>
        </w:tc>
        <w:tc>
          <w:tcPr>
            <w:tcW w:w="1583" w:type="dxa"/>
            <w:vAlign w:val="center"/>
          </w:tcPr>
          <w:p w14:paraId="67E230CE" w14:textId="77777777" w:rsidR="004B0883" w:rsidRDefault="004B0883">
            <w:pPr>
              <w:jc w:val="center"/>
              <w:rPr>
                <w:rFonts w:cs="宋体"/>
                <w:sz w:val="18"/>
                <w:szCs w:val="18"/>
              </w:rPr>
            </w:pPr>
            <w:r>
              <w:rPr>
                <w:rFonts w:ascii="宋体" w:hAnsi="宋体" w:cs="宋体" w:hint="eastAsia"/>
                <w:sz w:val="18"/>
                <w:szCs w:val="18"/>
              </w:rPr>
              <w:t>菲律宾</w:t>
            </w:r>
          </w:p>
        </w:tc>
      </w:tr>
      <w:tr w:rsidR="004B0883" w14:paraId="07CFCDE6" w14:textId="77777777">
        <w:trPr>
          <w:trHeight w:val="397"/>
        </w:trPr>
        <w:tc>
          <w:tcPr>
            <w:tcW w:w="713" w:type="dxa"/>
            <w:vAlign w:val="center"/>
          </w:tcPr>
          <w:p w14:paraId="584E84C4" w14:textId="77777777" w:rsidR="004B0883" w:rsidRDefault="004B0883">
            <w:pPr>
              <w:widowControl w:val="0"/>
              <w:numPr>
                <w:ilvl w:val="0"/>
                <w:numId w:val="26"/>
              </w:numPr>
              <w:ind w:left="0" w:firstLine="0"/>
              <w:jc w:val="center"/>
              <w:rPr>
                <w:rFonts w:cs="宋体"/>
                <w:b/>
                <w:bCs/>
                <w:sz w:val="18"/>
              </w:rPr>
            </w:pPr>
          </w:p>
        </w:tc>
        <w:tc>
          <w:tcPr>
            <w:tcW w:w="1880" w:type="dxa"/>
          </w:tcPr>
          <w:p w14:paraId="57482B3E" w14:textId="49512636" w:rsidR="004B0883" w:rsidRDefault="0090540C">
            <w:pPr>
              <w:jc w:val="center"/>
              <w:rPr>
                <w:rFonts w:cs="宋体"/>
                <w:b/>
                <w:bCs/>
                <w:sz w:val="18"/>
                <w:szCs w:val="18"/>
              </w:rPr>
            </w:pPr>
            <w:r>
              <w:rPr>
                <w:noProof/>
                <w:sz w:val="18"/>
                <w:szCs w:val="18"/>
              </w:rPr>
              <w:drawing>
                <wp:inline distT="0" distB="0" distL="0" distR="0" wp14:anchorId="49DDA97B" wp14:editId="401D9104">
                  <wp:extent cx="572770" cy="294005"/>
                  <wp:effectExtent l="0" t="0" r="0" b="0"/>
                  <wp:docPr id="57"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tcPr>
          <w:p w14:paraId="06AFD3C7" w14:textId="77777777" w:rsidR="004B0883" w:rsidRDefault="004B0883">
            <w:pPr>
              <w:jc w:val="center"/>
              <w:rPr>
                <w:sz w:val="18"/>
                <w:szCs w:val="18"/>
              </w:rPr>
            </w:pPr>
            <w:r>
              <w:rPr>
                <w:sz w:val="18"/>
                <w:szCs w:val="18"/>
              </w:rPr>
              <w:t>IDM</w:t>
            </w:r>
          </w:p>
          <w:p w14:paraId="225C1C23" w14:textId="77777777" w:rsidR="004B0883" w:rsidRDefault="004B0883">
            <w:pPr>
              <w:jc w:val="center"/>
              <w:rPr>
                <w:sz w:val="18"/>
                <w:szCs w:val="18"/>
              </w:rPr>
            </w:pPr>
            <w:r>
              <w:rPr>
                <w:sz w:val="18"/>
                <w:szCs w:val="18"/>
              </w:rPr>
              <w:t>000355155</w:t>
            </w:r>
          </w:p>
        </w:tc>
        <w:tc>
          <w:tcPr>
            <w:tcW w:w="1366" w:type="dxa"/>
            <w:vAlign w:val="center"/>
          </w:tcPr>
          <w:p w14:paraId="42B02FF3" w14:textId="77777777" w:rsidR="004B0883" w:rsidRDefault="004B0883">
            <w:pPr>
              <w:jc w:val="center"/>
              <w:rPr>
                <w:sz w:val="18"/>
                <w:szCs w:val="18"/>
              </w:rPr>
            </w:pPr>
            <w:r>
              <w:rPr>
                <w:sz w:val="18"/>
                <w:szCs w:val="18"/>
              </w:rPr>
              <w:t>6</w:t>
            </w:r>
          </w:p>
        </w:tc>
        <w:tc>
          <w:tcPr>
            <w:tcW w:w="1409" w:type="dxa"/>
            <w:vAlign w:val="center"/>
          </w:tcPr>
          <w:p w14:paraId="7C2C50D2"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4B25766F" w14:textId="77777777" w:rsidR="004B0883" w:rsidRDefault="004B0883">
            <w:pPr>
              <w:jc w:val="center"/>
              <w:rPr>
                <w:sz w:val="18"/>
                <w:szCs w:val="18"/>
              </w:rPr>
            </w:pPr>
            <w:r>
              <w:rPr>
                <w:sz w:val="18"/>
                <w:szCs w:val="18"/>
              </w:rPr>
              <w:t>2031.01.07</w:t>
            </w:r>
          </w:p>
        </w:tc>
        <w:tc>
          <w:tcPr>
            <w:tcW w:w="1583" w:type="dxa"/>
            <w:vAlign w:val="center"/>
          </w:tcPr>
          <w:p w14:paraId="773D5AC2" w14:textId="77777777" w:rsidR="004B0883" w:rsidRDefault="004B0883">
            <w:pPr>
              <w:jc w:val="center"/>
              <w:rPr>
                <w:rFonts w:cs="宋体"/>
                <w:sz w:val="18"/>
                <w:szCs w:val="18"/>
              </w:rPr>
            </w:pPr>
            <w:r>
              <w:rPr>
                <w:rFonts w:ascii="宋体" w:hAnsi="宋体" w:cs="宋体" w:hint="eastAsia"/>
                <w:sz w:val="18"/>
                <w:szCs w:val="18"/>
              </w:rPr>
              <w:t>印度尼西亚</w:t>
            </w:r>
          </w:p>
        </w:tc>
      </w:tr>
      <w:tr w:rsidR="004B0883" w14:paraId="430DFA9D" w14:textId="77777777">
        <w:trPr>
          <w:trHeight w:val="397"/>
        </w:trPr>
        <w:tc>
          <w:tcPr>
            <w:tcW w:w="713" w:type="dxa"/>
            <w:vAlign w:val="center"/>
          </w:tcPr>
          <w:p w14:paraId="4A1AA920" w14:textId="77777777" w:rsidR="004B0883" w:rsidRDefault="004B0883">
            <w:pPr>
              <w:widowControl w:val="0"/>
              <w:numPr>
                <w:ilvl w:val="0"/>
                <w:numId w:val="26"/>
              </w:numPr>
              <w:ind w:left="0" w:firstLine="0"/>
              <w:jc w:val="center"/>
              <w:rPr>
                <w:rFonts w:cs="宋体"/>
                <w:b/>
                <w:bCs/>
                <w:sz w:val="18"/>
              </w:rPr>
            </w:pPr>
          </w:p>
        </w:tc>
        <w:tc>
          <w:tcPr>
            <w:tcW w:w="1880" w:type="dxa"/>
          </w:tcPr>
          <w:p w14:paraId="7BD70FC8" w14:textId="441DC699" w:rsidR="004B0883" w:rsidRDefault="0090540C">
            <w:pPr>
              <w:jc w:val="center"/>
              <w:rPr>
                <w:rFonts w:cs="宋体"/>
                <w:b/>
                <w:bCs/>
                <w:sz w:val="18"/>
                <w:szCs w:val="18"/>
              </w:rPr>
            </w:pPr>
            <w:r>
              <w:rPr>
                <w:noProof/>
                <w:sz w:val="18"/>
                <w:szCs w:val="18"/>
              </w:rPr>
              <w:drawing>
                <wp:inline distT="0" distB="0" distL="0" distR="0" wp14:anchorId="57BBB3D1" wp14:editId="17160DD8">
                  <wp:extent cx="572770" cy="294005"/>
                  <wp:effectExtent l="0" t="0" r="0" b="0"/>
                  <wp:docPr id="58"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tcPr>
          <w:p w14:paraId="04855FB9" w14:textId="77777777" w:rsidR="004B0883" w:rsidRDefault="004B0883">
            <w:pPr>
              <w:jc w:val="center"/>
              <w:rPr>
                <w:sz w:val="18"/>
                <w:szCs w:val="18"/>
              </w:rPr>
            </w:pPr>
            <w:r>
              <w:rPr>
                <w:sz w:val="18"/>
                <w:szCs w:val="18"/>
              </w:rPr>
              <w:t>IDM</w:t>
            </w:r>
          </w:p>
          <w:p w14:paraId="0BB5FD9F" w14:textId="77777777" w:rsidR="004B0883" w:rsidRDefault="004B0883">
            <w:pPr>
              <w:jc w:val="center"/>
              <w:rPr>
                <w:sz w:val="18"/>
                <w:szCs w:val="18"/>
              </w:rPr>
            </w:pPr>
            <w:r>
              <w:rPr>
                <w:sz w:val="18"/>
                <w:szCs w:val="18"/>
              </w:rPr>
              <w:t>000813161</w:t>
            </w:r>
          </w:p>
        </w:tc>
        <w:tc>
          <w:tcPr>
            <w:tcW w:w="1366" w:type="dxa"/>
            <w:vAlign w:val="center"/>
          </w:tcPr>
          <w:p w14:paraId="5FCF8631" w14:textId="77777777" w:rsidR="004B0883" w:rsidRDefault="004B0883">
            <w:pPr>
              <w:jc w:val="center"/>
              <w:rPr>
                <w:sz w:val="18"/>
                <w:szCs w:val="18"/>
              </w:rPr>
            </w:pPr>
            <w:r>
              <w:rPr>
                <w:sz w:val="18"/>
                <w:szCs w:val="18"/>
              </w:rPr>
              <w:t>9</w:t>
            </w:r>
          </w:p>
        </w:tc>
        <w:tc>
          <w:tcPr>
            <w:tcW w:w="1409" w:type="dxa"/>
            <w:vAlign w:val="center"/>
          </w:tcPr>
          <w:p w14:paraId="375BDFF1"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5AAAE7BB" w14:textId="77777777" w:rsidR="004B0883" w:rsidRDefault="004B0883">
            <w:pPr>
              <w:jc w:val="center"/>
              <w:rPr>
                <w:sz w:val="18"/>
                <w:szCs w:val="18"/>
              </w:rPr>
            </w:pPr>
            <w:r>
              <w:rPr>
                <w:sz w:val="18"/>
                <w:szCs w:val="18"/>
              </w:rPr>
              <w:t>2027.01.07</w:t>
            </w:r>
          </w:p>
        </w:tc>
        <w:tc>
          <w:tcPr>
            <w:tcW w:w="1583" w:type="dxa"/>
            <w:vAlign w:val="center"/>
          </w:tcPr>
          <w:p w14:paraId="6988E033" w14:textId="77777777" w:rsidR="004B0883" w:rsidRDefault="004B0883">
            <w:pPr>
              <w:jc w:val="center"/>
              <w:rPr>
                <w:rFonts w:cs="宋体"/>
                <w:sz w:val="18"/>
                <w:szCs w:val="18"/>
              </w:rPr>
            </w:pPr>
            <w:r>
              <w:rPr>
                <w:rFonts w:ascii="宋体" w:hAnsi="宋体" w:cs="宋体" w:hint="eastAsia"/>
                <w:sz w:val="18"/>
                <w:szCs w:val="18"/>
              </w:rPr>
              <w:t>印度尼西亚</w:t>
            </w:r>
          </w:p>
        </w:tc>
      </w:tr>
      <w:tr w:rsidR="004B0883" w14:paraId="213B2114" w14:textId="77777777">
        <w:trPr>
          <w:trHeight w:val="397"/>
        </w:trPr>
        <w:tc>
          <w:tcPr>
            <w:tcW w:w="713" w:type="dxa"/>
            <w:vAlign w:val="center"/>
          </w:tcPr>
          <w:p w14:paraId="0A543D11" w14:textId="77777777" w:rsidR="004B0883" w:rsidRDefault="004B0883">
            <w:pPr>
              <w:widowControl w:val="0"/>
              <w:numPr>
                <w:ilvl w:val="0"/>
                <w:numId w:val="26"/>
              </w:numPr>
              <w:ind w:left="0" w:firstLine="0"/>
              <w:jc w:val="center"/>
              <w:rPr>
                <w:rFonts w:cs="宋体"/>
                <w:b/>
                <w:bCs/>
                <w:sz w:val="18"/>
              </w:rPr>
            </w:pPr>
          </w:p>
        </w:tc>
        <w:tc>
          <w:tcPr>
            <w:tcW w:w="1880" w:type="dxa"/>
          </w:tcPr>
          <w:p w14:paraId="5CB77B75" w14:textId="3DBC4C88" w:rsidR="004B0883" w:rsidRDefault="0090540C">
            <w:pPr>
              <w:jc w:val="center"/>
              <w:rPr>
                <w:rFonts w:cs="宋体"/>
                <w:b/>
                <w:bCs/>
                <w:sz w:val="18"/>
                <w:szCs w:val="18"/>
              </w:rPr>
            </w:pPr>
            <w:r>
              <w:rPr>
                <w:noProof/>
                <w:sz w:val="18"/>
                <w:szCs w:val="18"/>
              </w:rPr>
              <w:drawing>
                <wp:inline distT="0" distB="0" distL="0" distR="0" wp14:anchorId="56EE347D" wp14:editId="087CFB2B">
                  <wp:extent cx="572770" cy="294005"/>
                  <wp:effectExtent l="0" t="0" r="0" b="0"/>
                  <wp:docPr id="59"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tcPr>
          <w:p w14:paraId="06081FE2" w14:textId="77777777" w:rsidR="004B0883" w:rsidRDefault="004B0883">
            <w:pPr>
              <w:jc w:val="center"/>
              <w:rPr>
                <w:sz w:val="18"/>
                <w:szCs w:val="18"/>
              </w:rPr>
            </w:pPr>
            <w:r>
              <w:rPr>
                <w:sz w:val="18"/>
                <w:szCs w:val="18"/>
              </w:rPr>
              <w:t>IDM</w:t>
            </w:r>
          </w:p>
          <w:p w14:paraId="00BBD58E" w14:textId="77777777" w:rsidR="004B0883" w:rsidRDefault="004B0883">
            <w:pPr>
              <w:jc w:val="center"/>
              <w:rPr>
                <w:sz w:val="18"/>
                <w:szCs w:val="18"/>
              </w:rPr>
            </w:pPr>
            <w:r>
              <w:rPr>
                <w:sz w:val="18"/>
                <w:szCs w:val="18"/>
              </w:rPr>
              <w:t>000619484</w:t>
            </w:r>
          </w:p>
        </w:tc>
        <w:tc>
          <w:tcPr>
            <w:tcW w:w="1366" w:type="dxa"/>
            <w:vAlign w:val="center"/>
          </w:tcPr>
          <w:p w14:paraId="40FC61C2" w14:textId="77777777" w:rsidR="004B0883" w:rsidRDefault="004B0883">
            <w:pPr>
              <w:jc w:val="center"/>
              <w:rPr>
                <w:sz w:val="18"/>
                <w:szCs w:val="18"/>
              </w:rPr>
            </w:pPr>
            <w:r>
              <w:rPr>
                <w:sz w:val="18"/>
                <w:szCs w:val="18"/>
              </w:rPr>
              <w:t>11</w:t>
            </w:r>
          </w:p>
        </w:tc>
        <w:tc>
          <w:tcPr>
            <w:tcW w:w="1409" w:type="dxa"/>
            <w:vAlign w:val="center"/>
          </w:tcPr>
          <w:p w14:paraId="2D3F19A9"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68C82097" w14:textId="77777777" w:rsidR="004B0883" w:rsidRDefault="004B0883">
            <w:pPr>
              <w:jc w:val="center"/>
              <w:rPr>
                <w:sz w:val="18"/>
                <w:szCs w:val="18"/>
              </w:rPr>
            </w:pPr>
            <w:r>
              <w:rPr>
                <w:sz w:val="18"/>
                <w:szCs w:val="18"/>
              </w:rPr>
              <w:t>2027.03.17</w:t>
            </w:r>
          </w:p>
        </w:tc>
        <w:tc>
          <w:tcPr>
            <w:tcW w:w="1583" w:type="dxa"/>
            <w:vAlign w:val="center"/>
          </w:tcPr>
          <w:p w14:paraId="60972389" w14:textId="77777777" w:rsidR="004B0883" w:rsidRDefault="004B0883">
            <w:pPr>
              <w:jc w:val="center"/>
              <w:rPr>
                <w:rFonts w:cs="宋体"/>
                <w:sz w:val="18"/>
                <w:szCs w:val="18"/>
              </w:rPr>
            </w:pPr>
            <w:r>
              <w:rPr>
                <w:rFonts w:ascii="宋体" w:hAnsi="宋体" w:cs="宋体" w:hint="eastAsia"/>
                <w:sz w:val="18"/>
                <w:szCs w:val="18"/>
              </w:rPr>
              <w:t>印度尼西亚</w:t>
            </w:r>
          </w:p>
        </w:tc>
      </w:tr>
      <w:tr w:rsidR="004B0883" w14:paraId="63493D64" w14:textId="77777777">
        <w:trPr>
          <w:trHeight w:val="397"/>
        </w:trPr>
        <w:tc>
          <w:tcPr>
            <w:tcW w:w="713" w:type="dxa"/>
            <w:vAlign w:val="center"/>
          </w:tcPr>
          <w:p w14:paraId="7470BBBA" w14:textId="77777777" w:rsidR="004B0883" w:rsidRDefault="004B0883">
            <w:pPr>
              <w:widowControl w:val="0"/>
              <w:numPr>
                <w:ilvl w:val="0"/>
                <w:numId w:val="26"/>
              </w:numPr>
              <w:ind w:left="0" w:firstLine="0"/>
              <w:jc w:val="center"/>
              <w:rPr>
                <w:rFonts w:cs="宋体"/>
                <w:b/>
                <w:bCs/>
                <w:sz w:val="18"/>
              </w:rPr>
            </w:pPr>
          </w:p>
        </w:tc>
        <w:tc>
          <w:tcPr>
            <w:tcW w:w="1880" w:type="dxa"/>
          </w:tcPr>
          <w:p w14:paraId="23DEC901" w14:textId="64EA3518" w:rsidR="004B0883" w:rsidRDefault="0090540C">
            <w:pPr>
              <w:jc w:val="center"/>
              <w:rPr>
                <w:rFonts w:cs="宋体"/>
                <w:b/>
                <w:bCs/>
                <w:sz w:val="18"/>
                <w:szCs w:val="18"/>
              </w:rPr>
            </w:pPr>
            <w:r>
              <w:rPr>
                <w:noProof/>
                <w:sz w:val="18"/>
                <w:szCs w:val="18"/>
              </w:rPr>
              <w:drawing>
                <wp:inline distT="0" distB="0" distL="0" distR="0" wp14:anchorId="0B6077E7" wp14:editId="22E922D6">
                  <wp:extent cx="572770" cy="294005"/>
                  <wp:effectExtent l="0" t="0" r="0" b="0"/>
                  <wp:docPr id="60"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34D1FDB6" w14:textId="77777777" w:rsidR="004B0883" w:rsidRDefault="004B0883">
            <w:pPr>
              <w:jc w:val="center"/>
              <w:rPr>
                <w:sz w:val="18"/>
                <w:szCs w:val="18"/>
              </w:rPr>
            </w:pPr>
            <w:r>
              <w:rPr>
                <w:sz w:val="18"/>
                <w:szCs w:val="18"/>
              </w:rPr>
              <w:t>1492039</w:t>
            </w:r>
          </w:p>
        </w:tc>
        <w:tc>
          <w:tcPr>
            <w:tcW w:w="1366" w:type="dxa"/>
            <w:vAlign w:val="center"/>
          </w:tcPr>
          <w:p w14:paraId="76FEFA7E" w14:textId="77777777" w:rsidR="004B0883" w:rsidRDefault="004B0883">
            <w:pPr>
              <w:jc w:val="center"/>
              <w:rPr>
                <w:sz w:val="18"/>
                <w:szCs w:val="18"/>
              </w:rPr>
            </w:pPr>
            <w:r>
              <w:rPr>
                <w:sz w:val="18"/>
                <w:szCs w:val="18"/>
              </w:rPr>
              <w:t>6</w:t>
            </w:r>
          </w:p>
        </w:tc>
        <w:tc>
          <w:tcPr>
            <w:tcW w:w="1409" w:type="dxa"/>
            <w:vAlign w:val="center"/>
          </w:tcPr>
          <w:p w14:paraId="2EDCA9A3"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6264A16A" w14:textId="77777777" w:rsidR="004B0883" w:rsidRDefault="004B0883">
            <w:pPr>
              <w:jc w:val="center"/>
              <w:rPr>
                <w:sz w:val="18"/>
                <w:szCs w:val="18"/>
              </w:rPr>
            </w:pPr>
            <w:r>
              <w:rPr>
                <w:sz w:val="18"/>
                <w:szCs w:val="18"/>
              </w:rPr>
              <w:t>2028.04.23</w:t>
            </w:r>
          </w:p>
        </w:tc>
        <w:tc>
          <w:tcPr>
            <w:tcW w:w="1583" w:type="dxa"/>
            <w:vAlign w:val="center"/>
          </w:tcPr>
          <w:p w14:paraId="4991391F" w14:textId="77777777" w:rsidR="004B0883" w:rsidRDefault="004B0883">
            <w:pPr>
              <w:jc w:val="center"/>
              <w:rPr>
                <w:rFonts w:cs="宋体"/>
                <w:sz w:val="18"/>
                <w:szCs w:val="18"/>
              </w:rPr>
            </w:pPr>
            <w:r>
              <w:rPr>
                <w:rFonts w:ascii="宋体" w:hAnsi="宋体" w:cs="宋体" w:hint="eastAsia"/>
                <w:sz w:val="18"/>
                <w:szCs w:val="18"/>
              </w:rPr>
              <w:t>加拿大</w:t>
            </w:r>
          </w:p>
        </w:tc>
      </w:tr>
      <w:tr w:rsidR="004B0883" w14:paraId="3313C7B5" w14:textId="77777777">
        <w:trPr>
          <w:trHeight w:val="397"/>
        </w:trPr>
        <w:tc>
          <w:tcPr>
            <w:tcW w:w="713" w:type="dxa"/>
            <w:vAlign w:val="center"/>
          </w:tcPr>
          <w:p w14:paraId="0BC50B16" w14:textId="77777777" w:rsidR="004B0883" w:rsidRDefault="004B0883">
            <w:pPr>
              <w:widowControl w:val="0"/>
              <w:numPr>
                <w:ilvl w:val="0"/>
                <w:numId w:val="26"/>
              </w:numPr>
              <w:ind w:left="0" w:firstLine="0"/>
              <w:jc w:val="center"/>
              <w:rPr>
                <w:rFonts w:cs="宋体"/>
                <w:b/>
                <w:bCs/>
                <w:sz w:val="18"/>
              </w:rPr>
            </w:pPr>
          </w:p>
        </w:tc>
        <w:tc>
          <w:tcPr>
            <w:tcW w:w="1880" w:type="dxa"/>
          </w:tcPr>
          <w:p w14:paraId="2146F1BB" w14:textId="5F72F3A6" w:rsidR="004B0883" w:rsidRDefault="0090540C">
            <w:pPr>
              <w:jc w:val="center"/>
              <w:rPr>
                <w:rFonts w:cs="宋体"/>
                <w:b/>
                <w:bCs/>
                <w:sz w:val="18"/>
                <w:szCs w:val="18"/>
              </w:rPr>
            </w:pPr>
            <w:r>
              <w:rPr>
                <w:noProof/>
                <w:sz w:val="18"/>
                <w:szCs w:val="18"/>
              </w:rPr>
              <w:drawing>
                <wp:inline distT="0" distB="0" distL="0" distR="0" wp14:anchorId="0EE4A041" wp14:editId="798ADDFC">
                  <wp:extent cx="572770" cy="294005"/>
                  <wp:effectExtent l="0" t="0" r="0" b="0"/>
                  <wp:docPr id="61"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39B46940" w14:textId="77777777" w:rsidR="004B0883" w:rsidRDefault="004B0883">
            <w:pPr>
              <w:jc w:val="center"/>
              <w:rPr>
                <w:sz w:val="18"/>
                <w:szCs w:val="18"/>
              </w:rPr>
            </w:pPr>
            <w:r>
              <w:rPr>
                <w:sz w:val="18"/>
                <w:szCs w:val="18"/>
              </w:rPr>
              <w:t>1816797</w:t>
            </w:r>
          </w:p>
        </w:tc>
        <w:tc>
          <w:tcPr>
            <w:tcW w:w="1366" w:type="dxa"/>
            <w:vAlign w:val="center"/>
          </w:tcPr>
          <w:p w14:paraId="59369FAE" w14:textId="77777777" w:rsidR="004B0883" w:rsidRDefault="004B0883">
            <w:pPr>
              <w:jc w:val="center"/>
              <w:rPr>
                <w:sz w:val="18"/>
                <w:szCs w:val="18"/>
              </w:rPr>
            </w:pPr>
            <w:r>
              <w:rPr>
                <w:sz w:val="18"/>
                <w:szCs w:val="18"/>
              </w:rPr>
              <w:t>9</w:t>
            </w:r>
            <w:r>
              <w:rPr>
                <w:rFonts w:hint="eastAsia"/>
                <w:sz w:val="18"/>
                <w:szCs w:val="18"/>
              </w:rPr>
              <w:t>、</w:t>
            </w:r>
            <w:r>
              <w:rPr>
                <w:sz w:val="18"/>
                <w:szCs w:val="18"/>
              </w:rPr>
              <w:t>11</w:t>
            </w:r>
          </w:p>
        </w:tc>
        <w:tc>
          <w:tcPr>
            <w:tcW w:w="1409" w:type="dxa"/>
            <w:vAlign w:val="center"/>
          </w:tcPr>
          <w:p w14:paraId="1F98B17A"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3FDD51F0" w14:textId="77777777" w:rsidR="004B0883" w:rsidRDefault="004B0883">
            <w:pPr>
              <w:jc w:val="center"/>
              <w:rPr>
                <w:sz w:val="18"/>
                <w:szCs w:val="18"/>
              </w:rPr>
            </w:pPr>
            <w:r>
              <w:rPr>
                <w:sz w:val="18"/>
                <w:szCs w:val="18"/>
              </w:rPr>
              <w:t>2033.10.10</w:t>
            </w:r>
          </w:p>
        </w:tc>
        <w:tc>
          <w:tcPr>
            <w:tcW w:w="1583" w:type="dxa"/>
            <w:vAlign w:val="center"/>
          </w:tcPr>
          <w:p w14:paraId="289D3C01" w14:textId="77777777" w:rsidR="004B0883" w:rsidRDefault="004B0883">
            <w:pPr>
              <w:jc w:val="center"/>
              <w:rPr>
                <w:rFonts w:cs="宋体"/>
                <w:sz w:val="18"/>
                <w:szCs w:val="18"/>
              </w:rPr>
            </w:pPr>
            <w:r>
              <w:rPr>
                <w:rFonts w:ascii="宋体" w:hAnsi="宋体" w:cs="宋体" w:hint="eastAsia"/>
                <w:sz w:val="18"/>
                <w:szCs w:val="18"/>
              </w:rPr>
              <w:t>加拿大</w:t>
            </w:r>
          </w:p>
        </w:tc>
      </w:tr>
      <w:tr w:rsidR="004B0883" w14:paraId="56183542" w14:textId="77777777">
        <w:trPr>
          <w:trHeight w:val="397"/>
        </w:trPr>
        <w:tc>
          <w:tcPr>
            <w:tcW w:w="713" w:type="dxa"/>
            <w:vAlign w:val="center"/>
          </w:tcPr>
          <w:p w14:paraId="18E14053" w14:textId="77777777" w:rsidR="004B0883" w:rsidRDefault="004B0883">
            <w:pPr>
              <w:widowControl w:val="0"/>
              <w:numPr>
                <w:ilvl w:val="0"/>
                <w:numId w:val="26"/>
              </w:numPr>
              <w:ind w:left="0" w:firstLine="0"/>
              <w:jc w:val="center"/>
              <w:rPr>
                <w:rFonts w:cs="宋体"/>
                <w:b/>
                <w:bCs/>
                <w:sz w:val="18"/>
              </w:rPr>
            </w:pPr>
          </w:p>
        </w:tc>
        <w:tc>
          <w:tcPr>
            <w:tcW w:w="1880" w:type="dxa"/>
          </w:tcPr>
          <w:p w14:paraId="146D7444" w14:textId="3D6BBD7E" w:rsidR="004B0883" w:rsidRDefault="0090540C">
            <w:pPr>
              <w:jc w:val="center"/>
              <w:rPr>
                <w:rFonts w:cs="宋体"/>
                <w:b/>
                <w:bCs/>
                <w:sz w:val="18"/>
                <w:szCs w:val="18"/>
              </w:rPr>
            </w:pPr>
            <w:r>
              <w:rPr>
                <w:noProof/>
                <w:sz w:val="18"/>
                <w:szCs w:val="18"/>
              </w:rPr>
              <w:drawing>
                <wp:inline distT="0" distB="0" distL="0" distR="0" wp14:anchorId="73E48E17" wp14:editId="3598AE84">
                  <wp:extent cx="572770" cy="294005"/>
                  <wp:effectExtent l="0" t="0" r="0" b="0"/>
                  <wp:docPr id="62"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46120C73" w14:textId="77777777" w:rsidR="004B0883" w:rsidRDefault="004B0883">
            <w:pPr>
              <w:jc w:val="center"/>
              <w:rPr>
                <w:sz w:val="18"/>
                <w:szCs w:val="18"/>
              </w:rPr>
            </w:pPr>
            <w:r>
              <w:rPr>
                <w:sz w:val="18"/>
                <w:szCs w:val="18"/>
              </w:rPr>
              <w:t>827038</w:t>
            </w:r>
          </w:p>
        </w:tc>
        <w:tc>
          <w:tcPr>
            <w:tcW w:w="1366" w:type="dxa"/>
            <w:vAlign w:val="center"/>
          </w:tcPr>
          <w:p w14:paraId="3D747703" w14:textId="77777777" w:rsidR="004B0883" w:rsidRDefault="004B0883">
            <w:pPr>
              <w:jc w:val="center"/>
              <w:rPr>
                <w:sz w:val="18"/>
                <w:szCs w:val="18"/>
              </w:rPr>
            </w:pPr>
            <w:r>
              <w:rPr>
                <w:sz w:val="18"/>
                <w:szCs w:val="18"/>
              </w:rPr>
              <w:t>6</w:t>
            </w:r>
          </w:p>
        </w:tc>
        <w:tc>
          <w:tcPr>
            <w:tcW w:w="1409" w:type="dxa"/>
            <w:vAlign w:val="center"/>
          </w:tcPr>
          <w:p w14:paraId="380682C2"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6CD3300E" w14:textId="77777777" w:rsidR="004B0883" w:rsidRDefault="004B0883">
            <w:pPr>
              <w:jc w:val="center"/>
              <w:rPr>
                <w:sz w:val="18"/>
                <w:szCs w:val="18"/>
              </w:rPr>
            </w:pPr>
            <w:r>
              <w:rPr>
                <w:sz w:val="18"/>
                <w:szCs w:val="18"/>
              </w:rPr>
              <w:t>2029.07.12</w:t>
            </w:r>
          </w:p>
        </w:tc>
        <w:tc>
          <w:tcPr>
            <w:tcW w:w="1583" w:type="dxa"/>
            <w:vAlign w:val="center"/>
          </w:tcPr>
          <w:p w14:paraId="7CE77248" w14:textId="77777777" w:rsidR="004B0883" w:rsidRDefault="004B0883">
            <w:pPr>
              <w:jc w:val="center"/>
              <w:rPr>
                <w:rFonts w:cs="宋体"/>
                <w:sz w:val="18"/>
                <w:szCs w:val="18"/>
              </w:rPr>
            </w:pPr>
            <w:r>
              <w:rPr>
                <w:rFonts w:ascii="宋体" w:hAnsi="宋体" w:cs="宋体" w:hint="eastAsia"/>
                <w:sz w:val="18"/>
                <w:szCs w:val="18"/>
              </w:rPr>
              <w:t>新西兰</w:t>
            </w:r>
          </w:p>
        </w:tc>
      </w:tr>
      <w:tr w:rsidR="004B0883" w14:paraId="5E3CEAFF" w14:textId="77777777">
        <w:trPr>
          <w:trHeight w:val="397"/>
        </w:trPr>
        <w:tc>
          <w:tcPr>
            <w:tcW w:w="713" w:type="dxa"/>
            <w:vAlign w:val="center"/>
          </w:tcPr>
          <w:p w14:paraId="79BFFD9D" w14:textId="77777777" w:rsidR="004B0883" w:rsidRDefault="004B0883">
            <w:pPr>
              <w:widowControl w:val="0"/>
              <w:numPr>
                <w:ilvl w:val="0"/>
                <w:numId w:val="26"/>
              </w:numPr>
              <w:ind w:left="0" w:firstLine="0"/>
              <w:jc w:val="center"/>
              <w:rPr>
                <w:rFonts w:cs="宋体"/>
                <w:b/>
                <w:bCs/>
                <w:sz w:val="18"/>
              </w:rPr>
            </w:pPr>
          </w:p>
        </w:tc>
        <w:tc>
          <w:tcPr>
            <w:tcW w:w="1880" w:type="dxa"/>
          </w:tcPr>
          <w:p w14:paraId="55716BAA" w14:textId="498664AE" w:rsidR="004B0883" w:rsidRDefault="0090540C">
            <w:pPr>
              <w:jc w:val="center"/>
              <w:rPr>
                <w:rFonts w:cs="宋体"/>
                <w:b/>
                <w:bCs/>
                <w:sz w:val="18"/>
                <w:szCs w:val="18"/>
              </w:rPr>
            </w:pPr>
            <w:r>
              <w:rPr>
                <w:noProof/>
                <w:sz w:val="18"/>
                <w:szCs w:val="18"/>
              </w:rPr>
              <w:drawing>
                <wp:inline distT="0" distB="0" distL="0" distR="0" wp14:anchorId="222BF634" wp14:editId="51DA94AC">
                  <wp:extent cx="572770" cy="294005"/>
                  <wp:effectExtent l="0" t="0" r="0" b="0"/>
                  <wp:docPr id="63"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7B3C4DDE" w14:textId="77777777" w:rsidR="004B0883" w:rsidRDefault="004B0883">
            <w:pPr>
              <w:jc w:val="center"/>
              <w:rPr>
                <w:sz w:val="18"/>
                <w:szCs w:val="18"/>
              </w:rPr>
            </w:pPr>
            <w:r>
              <w:rPr>
                <w:sz w:val="18"/>
                <w:szCs w:val="18"/>
              </w:rPr>
              <w:t>113520</w:t>
            </w:r>
          </w:p>
        </w:tc>
        <w:tc>
          <w:tcPr>
            <w:tcW w:w="1366" w:type="dxa"/>
            <w:vAlign w:val="center"/>
          </w:tcPr>
          <w:p w14:paraId="53843A2E" w14:textId="77777777" w:rsidR="004B0883" w:rsidRDefault="004B0883">
            <w:pPr>
              <w:jc w:val="center"/>
              <w:rPr>
                <w:sz w:val="18"/>
                <w:szCs w:val="18"/>
              </w:rPr>
            </w:pPr>
            <w:r>
              <w:rPr>
                <w:sz w:val="18"/>
                <w:szCs w:val="18"/>
              </w:rPr>
              <w:t>11</w:t>
            </w:r>
          </w:p>
        </w:tc>
        <w:tc>
          <w:tcPr>
            <w:tcW w:w="1409" w:type="dxa"/>
            <w:vAlign w:val="center"/>
          </w:tcPr>
          <w:p w14:paraId="12B8CC5B"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56848A23" w14:textId="77777777" w:rsidR="004B0883" w:rsidRDefault="004B0883">
            <w:pPr>
              <w:jc w:val="center"/>
              <w:rPr>
                <w:sz w:val="18"/>
                <w:szCs w:val="18"/>
              </w:rPr>
            </w:pPr>
            <w:r>
              <w:rPr>
                <w:sz w:val="18"/>
                <w:szCs w:val="18"/>
              </w:rPr>
              <w:t>2027.04.03</w:t>
            </w:r>
          </w:p>
        </w:tc>
        <w:tc>
          <w:tcPr>
            <w:tcW w:w="1583" w:type="dxa"/>
            <w:vAlign w:val="center"/>
          </w:tcPr>
          <w:p w14:paraId="35B43AB4" w14:textId="77777777" w:rsidR="004B0883" w:rsidRDefault="004B0883">
            <w:pPr>
              <w:jc w:val="center"/>
              <w:rPr>
                <w:rFonts w:cs="宋体"/>
                <w:sz w:val="18"/>
                <w:szCs w:val="18"/>
              </w:rPr>
            </w:pPr>
            <w:r>
              <w:rPr>
                <w:rFonts w:ascii="宋体" w:hAnsi="宋体" w:cs="宋体" w:hint="eastAsia"/>
                <w:sz w:val="18"/>
                <w:szCs w:val="18"/>
              </w:rPr>
              <w:t>卡塔尔</w:t>
            </w:r>
          </w:p>
        </w:tc>
      </w:tr>
      <w:tr w:rsidR="004B0883" w14:paraId="3E34D50A" w14:textId="77777777">
        <w:trPr>
          <w:trHeight w:val="397"/>
        </w:trPr>
        <w:tc>
          <w:tcPr>
            <w:tcW w:w="713" w:type="dxa"/>
            <w:vAlign w:val="center"/>
          </w:tcPr>
          <w:p w14:paraId="62103025" w14:textId="77777777" w:rsidR="004B0883" w:rsidRDefault="004B0883">
            <w:pPr>
              <w:widowControl w:val="0"/>
              <w:numPr>
                <w:ilvl w:val="0"/>
                <w:numId w:val="26"/>
              </w:numPr>
              <w:ind w:left="0" w:firstLine="0"/>
              <w:jc w:val="center"/>
              <w:rPr>
                <w:rFonts w:cs="宋体"/>
                <w:b/>
                <w:bCs/>
                <w:sz w:val="18"/>
              </w:rPr>
            </w:pPr>
          </w:p>
        </w:tc>
        <w:tc>
          <w:tcPr>
            <w:tcW w:w="1880" w:type="dxa"/>
          </w:tcPr>
          <w:p w14:paraId="2213F0C8" w14:textId="68C12A57" w:rsidR="004B0883" w:rsidRDefault="0090540C">
            <w:pPr>
              <w:jc w:val="center"/>
              <w:rPr>
                <w:rFonts w:cs="宋体"/>
                <w:b/>
                <w:bCs/>
                <w:sz w:val="18"/>
                <w:szCs w:val="18"/>
              </w:rPr>
            </w:pPr>
            <w:r>
              <w:rPr>
                <w:noProof/>
                <w:sz w:val="18"/>
                <w:szCs w:val="18"/>
              </w:rPr>
              <w:drawing>
                <wp:inline distT="0" distB="0" distL="0" distR="0" wp14:anchorId="0B90E776" wp14:editId="25632CFA">
                  <wp:extent cx="572770" cy="294005"/>
                  <wp:effectExtent l="0" t="0" r="0" b="0"/>
                  <wp:docPr id="64"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7208ED5D" w14:textId="77777777" w:rsidR="004B0883" w:rsidRDefault="004B0883">
            <w:pPr>
              <w:jc w:val="center"/>
              <w:rPr>
                <w:sz w:val="18"/>
                <w:szCs w:val="18"/>
              </w:rPr>
            </w:pPr>
            <w:r>
              <w:rPr>
                <w:sz w:val="18"/>
                <w:szCs w:val="18"/>
              </w:rPr>
              <w:t>113521</w:t>
            </w:r>
          </w:p>
        </w:tc>
        <w:tc>
          <w:tcPr>
            <w:tcW w:w="1366" w:type="dxa"/>
            <w:vAlign w:val="center"/>
          </w:tcPr>
          <w:p w14:paraId="5B86F847" w14:textId="77777777" w:rsidR="004B0883" w:rsidRDefault="004B0883">
            <w:pPr>
              <w:jc w:val="center"/>
              <w:rPr>
                <w:sz w:val="18"/>
                <w:szCs w:val="18"/>
              </w:rPr>
            </w:pPr>
            <w:r>
              <w:rPr>
                <w:sz w:val="18"/>
                <w:szCs w:val="18"/>
              </w:rPr>
              <w:t>9</w:t>
            </w:r>
          </w:p>
        </w:tc>
        <w:tc>
          <w:tcPr>
            <w:tcW w:w="1409" w:type="dxa"/>
            <w:vAlign w:val="center"/>
          </w:tcPr>
          <w:p w14:paraId="63EFA06B"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7AEA26E6" w14:textId="77777777" w:rsidR="004B0883" w:rsidRDefault="004B0883">
            <w:pPr>
              <w:jc w:val="center"/>
              <w:rPr>
                <w:sz w:val="18"/>
                <w:szCs w:val="18"/>
              </w:rPr>
            </w:pPr>
            <w:r>
              <w:rPr>
                <w:sz w:val="18"/>
                <w:szCs w:val="18"/>
              </w:rPr>
              <w:t>2027.04.03</w:t>
            </w:r>
          </w:p>
        </w:tc>
        <w:tc>
          <w:tcPr>
            <w:tcW w:w="1583" w:type="dxa"/>
            <w:vAlign w:val="center"/>
          </w:tcPr>
          <w:p w14:paraId="03E33354" w14:textId="77777777" w:rsidR="004B0883" w:rsidRDefault="004B0883">
            <w:pPr>
              <w:jc w:val="center"/>
              <w:rPr>
                <w:rFonts w:cs="宋体"/>
                <w:sz w:val="18"/>
                <w:szCs w:val="18"/>
              </w:rPr>
            </w:pPr>
            <w:r>
              <w:rPr>
                <w:rFonts w:ascii="宋体" w:hAnsi="宋体" w:cs="宋体" w:hint="eastAsia"/>
                <w:sz w:val="18"/>
                <w:szCs w:val="18"/>
              </w:rPr>
              <w:t>卡塔尔</w:t>
            </w:r>
          </w:p>
        </w:tc>
      </w:tr>
      <w:tr w:rsidR="004B0883" w14:paraId="2B7EFD40" w14:textId="77777777">
        <w:trPr>
          <w:trHeight w:val="397"/>
        </w:trPr>
        <w:tc>
          <w:tcPr>
            <w:tcW w:w="713" w:type="dxa"/>
            <w:vAlign w:val="center"/>
          </w:tcPr>
          <w:p w14:paraId="0BDDAAF7" w14:textId="77777777" w:rsidR="004B0883" w:rsidRDefault="004B0883">
            <w:pPr>
              <w:widowControl w:val="0"/>
              <w:numPr>
                <w:ilvl w:val="0"/>
                <w:numId w:val="26"/>
              </w:numPr>
              <w:ind w:left="0" w:firstLine="0"/>
              <w:jc w:val="center"/>
              <w:rPr>
                <w:rFonts w:cs="宋体"/>
                <w:b/>
                <w:bCs/>
                <w:sz w:val="18"/>
              </w:rPr>
            </w:pPr>
          </w:p>
        </w:tc>
        <w:tc>
          <w:tcPr>
            <w:tcW w:w="1880" w:type="dxa"/>
          </w:tcPr>
          <w:p w14:paraId="51F48066" w14:textId="58F7BDCC" w:rsidR="004B0883" w:rsidRDefault="0090540C">
            <w:pPr>
              <w:jc w:val="center"/>
              <w:rPr>
                <w:rFonts w:cs="宋体"/>
                <w:b/>
                <w:bCs/>
                <w:sz w:val="18"/>
                <w:szCs w:val="18"/>
              </w:rPr>
            </w:pPr>
            <w:r>
              <w:rPr>
                <w:noProof/>
                <w:sz w:val="18"/>
                <w:szCs w:val="18"/>
              </w:rPr>
              <w:drawing>
                <wp:inline distT="0" distB="0" distL="0" distR="0" wp14:anchorId="510C40AE" wp14:editId="6B0C7BD6">
                  <wp:extent cx="572770" cy="294005"/>
                  <wp:effectExtent l="0" t="0" r="0" b="0"/>
                  <wp:docPr id="65"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2BEEAB83" w14:textId="77777777" w:rsidR="004B0883" w:rsidRDefault="004B0883">
            <w:pPr>
              <w:jc w:val="center"/>
              <w:rPr>
                <w:sz w:val="18"/>
                <w:szCs w:val="18"/>
              </w:rPr>
            </w:pPr>
            <w:r>
              <w:rPr>
                <w:sz w:val="18"/>
                <w:szCs w:val="18"/>
              </w:rPr>
              <w:t>65656</w:t>
            </w:r>
          </w:p>
        </w:tc>
        <w:tc>
          <w:tcPr>
            <w:tcW w:w="1366" w:type="dxa"/>
            <w:vAlign w:val="center"/>
          </w:tcPr>
          <w:p w14:paraId="7E368DFD" w14:textId="77777777" w:rsidR="004B0883" w:rsidRDefault="004B0883">
            <w:pPr>
              <w:jc w:val="center"/>
              <w:rPr>
                <w:sz w:val="18"/>
                <w:szCs w:val="18"/>
              </w:rPr>
            </w:pPr>
            <w:r>
              <w:rPr>
                <w:sz w:val="18"/>
                <w:szCs w:val="18"/>
              </w:rPr>
              <w:t>6</w:t>
            </w:r>
          </w:p>
        </w:tc>
        <w:tc>
          <w:tcPr>
            <w:tcW w:w="1409" w:type="dxa"/>
            <w:vAlign w:val="center"/>
          </w:tcPr>
          <w:p w14:paraId="0DF2151B"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1B205965" w14:textId="77777777" w:rsidR="004B0883" w:rsidRDefault="004B0883">
            <w:pPr>
              <w:jc w:val="center"/>
              <w:rPr>
                <w:sz w:val="18"/>
                <w:szCs w:val="18"/>
              </w:rPr>
            </w:pPr>
            <w:r>
              <w:rPr>
                <w:sz w:val="18"/>
                <w:szCs w:val="18"/>
              </w:rPr>
              <w:t>2029.12.26</w:t>
            </w:r>
          </w:p>
        </w:tc>
        <w:tc>
          <w:tcPr>
            <w:tcW w:w="1583" w:type="dxa"/>
            <w:vAlign w:val="center"/>
          </w:tcPr>
          <w:p w14:paraId="43122E17" w14:textId="77777777" w:rsidR="004B0883" w:rsidRDefault="004B0883">
            <w:pPr>
              <w:jc w:val="center"/>
              <w:rPr>
                <w:rFonts w:cs="宋体"/>
                <w:sz w:val="18"/>
                <w:szCs w:val="18"/>
              </w:rPr>
            </w:pPr>
            <w:r>
              <w:rPr>
                <w:rFonts w:ascii="宋体" w:hAnsi="宋体" w:cs="宋体" w:hint="eastAsia"/>
                <w:sz w:val="18"/>
                <w:szCs w:val="18"/>
              </w:rPr>
              <w:t>卡塔尔</w:t>
            </w:r>
          </w:p>
        </w:tc>
      </w:tr>
      <w:tr w:rsidR="004B0883" w14:paraId="0978A5D3" w14:textId="77777777">
        <w:trPr>
          <w:trHeight w:val="397"/>
        </w:trPr>
        <w:tc>
          <w:tcPr>
            <w:tcW w:w="713" w:type="dxa"/>
            <w:vAlign w:val="center"/>
          </w:tcPr>
          <w:p w14:paraId="41C6525F" w14:textId="77777777" w:rsidR="004B0883" w:rsidRDefault="004B0883">
            <w:pPr>
              <w:widowControl w:val="0"/>
              <w:numPr>
                <w:ilvl w:val="0"/>
                <w:numId w:val="26"/>
              </w:numPr>
              <w:ind w:left="0" w:firstLine="0"/>
              <w:jc w:val="center"/>
              <w:rPr>
                <w:rFonts w:cs="宋体"/>
                <w:b/>
                <w:bCs/>
                <w:sz w:val="18"/>
              </w:rPr>
            </w:pPr>
          </w:p>
        </w:tc>
        <w:tc>
          <w:tcPr>
            <w:tcW w:w="1880" w:type="dxa"/>
          </w:tcPr>
          <w:p w14:paraId="7052E358" w14:textId="5ABD7511" w:rsidR="004B0883" w:rsidRDefault="0090540C">
            <w:pPr>
              <w:jc w:val="center"/>
              <w:rPr>
                <w:rFonts w:cs="宋体"/>
                <w:b/>
                <w:bCs/>
                <w:sz w:val="18"/>
                <w:szCs w:val="18"/>
              </w:rPr>
            </w:pPr>
            <w:r>
              <w:rPr>
                <w:noProof/>
                <w:sz w:val="18"/>
                <w:szCs w:val="18"/>
              </w:rPr>
              <w:drawing>
                <wp:inline distT="0" distB="0" distL="0" distR="0" wp14:anchorId="5E1A307F" wp14:editId="32900931">
                  <wp:extent cx="572770" cy="294005"/>
                  <wp:effectExtent l="0" t="0" r="0" b="0"/>
                  <wp:docPr id="66"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36E8A932" w14:textId="77777777" w:rsidR="004B0883" w:rsidRDefault="004B0883">
            <w:pPr>
              <w:jc w:val="center"/>
              <w:rPr>
                <w:sz w:val="18"/>
                <w:szCs w:val="18"/>
              </w:rPr>
            </w:pPr>
            <w:r>
              <w:rPr>
                <w:sz w:val="18"/>
                <w:szCs w:val="18"/>
              </w:rPr>
              <w:t>73946</w:t>
            </w:r>
          </w:p>
        </w:tc>
        <w:tc>
          <w:tcPr>
            <w:tcW w:w="1366" w:type="dxa"/>
            <w:vAlign w:val="center"/>
          </w:tcPr>
          <w:p w14:paraId="16AFB151" w14:textId="77777777" w:rsidR="004B0883" w:rsidRDefault="004B0883">
            <w:pPr>
              <w:jc w:val="center"/>
              <w:rPr>
                <w:sz w:val="18"/>
                <w:szCs w:val="18"/>
              </w:rPr>
            </w:pPr>
            <w:r>
              <w:rPr>
                <w:sz w:val="18"/>
                <w:szCs w:val="18"/>
              </w:rPr>
              <w:t>9</w:t>
            </w:r>
            <w:r>
              <w:rPr>
                <w:rFonts w:hint="eastAsia"/>
                <w:sz w:val="18"/>
                <w:szCs w:val="18"/>
              </w:rPr>
              <w:t>、</w:t>
            </w:r>
            <w:r>
              <w:rPr>
                <w:sz w:val="18"/>
                <w:szCs w:val="18"/>
              </w:rPr>
              <w:t>11</w:t>
            </w:r>
          </w:p>
        </w:tc>
        <w:tc>
          <w:tcPr>
            <w:tcW w:w="1409" w:type="dxa"/>
            <w:vAlign w:val="center"/>
          </w:tcPr>
          <w:p w14:paraId="6D323535"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3A3028B7" w14:textId="77777777" w:rsidR="004B0883" w:rsidRDefault="004B0883">
            <w:pPr>
              <w:jc w:val="center"/>
              <w:rPr>
                <w:sz w:val="18"/>
                <w:szCs w:val="18"/>
              </w:rPr>
            </w:pPr>
            <w:r>
              <w:rPr>
                <w:sz w:val="18"/>
                <w:szCs w:val="18"/>
              </w:rPr>
              <w:t>2027.04.06</w:t>
            </w:r>
          </w:p>
        </w:tc>
        <w:tc>
          <w:tcPr>
            <w:tcW w:w="1583" w:type="dxa"/>
            <w:vAlign w:val="center"/>
          </w:tcPr>
          <w:p w14:paraId="6496D510" w14:textId="77777777" w:rsidR="004B0883" w:rsidRDefault="004B0883">
            <w:pPr>
              <w:jc w:val="center"/>
              <w:rPr>
                <w:rFonts w:cs="宋体"/>
                <w:sz w:val="18"/>
                <w:szCs w:val="18"/>
              </w:rPr>
            </w:pPr>
            <w:r>
              <w:rPr>
                <w:rFonts w:ascii="宋体" w:hAnsi="宋体" w:cs="宋体" w:hint="eastAsia"/>
                <w:sz w:val="18"/>
                <w:szCs w:val="18"/>
              </w:rPr>
              <w:t>伊拉克</w:t>
            </w:r>
          </w:p>
        </w:tc>
      </w:tr>
      <w:tr w:rsidR="004B0883" w14:paraId="213C8B55" w14:textId="77777777">
        <w:trPr>
          <w:trHeight w:val="397"/>
        </w:trPr>
        <w:tc>
          <w:tcPr>
            <w:tcW w:w="713" w:type="dxa"/>
            <w:vAlign w:val="center"/>
          </w:tcPr>
          <w:p w14:paraId="747E4F6A" w14:textId="77777777" w:rsidR="004B0883" w:rsidRDefault="004B0883">
            <w:pPr>
              <w:widowControl w:val="0"/>
              <w:numPr>
                <w:ilvl w:val="0"/>
                <w:numId w:val="26"/>
              </w:numPr>
              <w:ind w:left="0" w:firstLine="0"/>
              <w:jc w:val="center"/>
              <w:rPr>
                <w:rFonts w:cs="宋体"/>
                <w:b/>
                <w:bCs/>
                <w:sz w:val="18"/>
              </w:rPr>
            </w:pPr>
          </w:p>
        </w:tc>
        <w:tc>
          <w:tcPr>
            <w:tcW w:w="1880" w:type="dxa"/>
          </w:tcPr>
          <w:p w14:paraId="2CB98574" w14:textId="133DA020" w:rsidR="004B0883" w:rsidRDefault="0090540C">
            <w:pPr>
              <w:jc w:val="center"/>
              <w:rPr>
                <w:rFonts w:cs="宋体"/>
                <w:b/>
                <w:bCs/>
                <w:sz w:val="18"/>
                <w:szCs w:val="18"/>
              </w:rPr>
            </w:pPr>
            <w:r>
              <w:rPr>
                <w:noProof/>
                <w:sz w:val="18"/>
                <w:szCs w:val="18"/>
              </w:rPr>
              <w:drawing>
                <wp:inline distT="0" distB="0" distL="0" distR="0" wp14:anchorId="2DC35772" wp14:editId="2574F73D">
                  <wp:extent cx="572770" cy="294005"/>
                  <wp:effectExtent l="0" t="0" r="0" b="0"/>
                  <wp:docPr id="67"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64417500" w14:textId="77777777" w:rsidR="004B0883" w:rsidRDefault="004B0883">
            <w:pPr>
              <w:jc w:val="center"/>
              <w:rPr>
                <w:sz w:val="18"/>
                <w:szCs w:val="18"/>
              </w:rPr>
            </w:pPr>
            <w:r>
              <w:rPr>
                <w:sz w:val="18"/>
                <w:szCs w:val="18"/>
              </w:rPr>
              <w:t>114541541</w:t>
            </w:r>
          </w:p>
          <w:p w14:paraId="3E32743D" w14:textId="77777777" w:rsidR="004B0883" w:rsidRDefault="004B0883">
            <w:pPr>
              <w:jc w:val="center"/>
              <w:rPr>
                <w:sz w:val="18"/>
                <w:szCs w:val="18"/>
              </w:rPr>
            </w:pPr>
            <w:r>
              <w:rPr>
                <w:sz w:val="18"/>
                <w:szCs w:val="18"/>
              </w:rPr>
              <w:t>/93552</w:t>
            </w:r>
          </w:p>
        </w:tc>
        <w:tc>
          <w:tcPr>
            <w:tcW w:w="1366" w:type="dxa"/>
            <w:vAlign w:val="center"/>
          </w:tcPr>
          <w:p w14:paraId="30A22FF0" w14:textId="77777777" w:rsidR="004B0883" w:rsidRDefault="004B0883">
            <w:pPr>
              <w:jc w:val="center"/>
              <w:rPr>
                <w:sz w:val="18"/>
                <w:szCs w:val="18"/>
              </w:rPr>
            </w:pPr>
            <w:r>
              <w:rPr>
                <w:sz w:val="18"/>
                <w:szCs w:val="18"/>
              </w:rPr>
              <w:t>9</w:t>
            </w:r>
          </w:p>
        </w:tc>
        <w:tc>
          <w:tcPr>
            <w:tcW w:w="1409" w:type="dxa"/>
            <w:vAlign w:val="center"/>
          </w:tcPr>
          <w:p w14:paraId="5915D39E"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35642E8A" w14:textId="77777777" w:rsidR="004B0883" w:rsidRDefault="004B0883">
            <w:pPr>
              <w:jc w:val="center"/>
              <w:rPr>
                <w:sz w:val="18"/>
                <w:szCs w:val="18"/>
              </w:rPr>
            </w:pPr>
            <w:r>
              <w:rPr>
                <w:sz w:val="18"/>
                <w:szCs w:val="18"/>
              </w:rPr>
              <w:t>2030.09.15</w:t>
            </w:r>
          </w:p>
        </w:tc>
        <w:tc>
          <w:tcPr>
            <w:tcW w:w="1583" w:type="dxa"/>
            <w:vAlign w:val="center"/>
          </w:tcPr>
          <w:p w14:paraId="5F5A2B50" w14:textId="77777777" w:rsidR="004B0883" w:rsidRDefault="004B0883">
            <w:pPr>
              <w:jc w:val="center"/>
              <w:rPr>
                <w:rFonts w:cs="宋体"/>
                <w:sz w:val="18"/>
                <w:szCs w:val="18"/>
              </w:rPr>
            </w:pPr>
            <w:r>
              <w:rPr>
                <w:rFonts w:ascii="宋体" w:hAnsi="宋体" w:cs="宋体" w:hint="eastAsia"/>
                <w:sz w:val="18"/>
                <w:szCs w:val="18"/>
              </w:rPr>
              <w:t>科威特</w:t>
            </w:r>
          </w:p>
        </w:tc>
      </w:tr>
      <w:tr w:rsidR="004B0883" w14:paraId="4B607E70" w14:textId="77777777">
        <w:trPr>
          <w:trHeight w:val="397"/>
        </w:trPr>
        <w:tc>
          <w:tcPr>
            <w:tcW w:w="713" w:type="dxa"/>
            <w:vAlign w:val="center"/>
          </w:tcPr>
          <w:p w14:paraId="2ABA0B9B" w14:textId="77777777" w:rsidR="004B0883" w:rsidRDefault="004B0883">
            <w:pPr>
              <w:widowControl w:val="0"/>
              <w:numPr>
                <w:ilvl w:val="0"/>
                <w:numId w:val="26"/>
              </w:numPr>
              <w:ind w:left="0" w:firstLine="0"/>
              <w:jc w:val="center"/>
              <w:rPr>
                <w:rFonts w:cs="宋体"/>
                <w:b/>
                <w:bCs/>
                <w:sz w:val="18"/>
              </w:rPr>
            </w:pPr>
          </w:p>
        </w:tc>
        <w:tc>
          <w:tcPr>
            <w:tcW w:w="1880" w:type="dxa"/>
          </w:tcPr>
          <w:p w14:paraId="3E5BF6FA" w14:textId="76BD0602" w:rsidR="004B0883" w:rsidRDefault="0090540C">
            <w:pPr>
              <w:jc w:val="center"/>
              <w:rPr>
                <w:rFonts w:cs="宋体"/>
                <w:b/>
                <w:bCs/>
                <w:sz w:val="18"/>
                <w:szCs w:val="18"/>
              </w:rPr>
            </w:pPr>
            <w:r>
              <w:rPr>
                <w:noProof/>
                <w:sz w:val="18"/>
                <w:szCs w:val="18"/>
              </w:rPr>
              <w:drawing>
                <wp:inline distT="0" distB="0" distL="0" distR="0" wp14:anchorId="39FE8C0D" wp14:editId="65728DF6">
                  <wp:extent cx="572770" cy="294005"/>
                  <wp:effectExtent l="0" t="0" r="0" b="0"/>
                  <wp:docPr id="68"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691E9B1A" w14:textId="77777777" w:rsidR="004B0883" w:rsidRDefault="004B0883">
            <w:pPr>
              <w:jc w:val="center"/>
              <w:rPr>
                <w:sz w:val="18"/>
                <w:szCs w:val="18"/>
              </w:rPr>
            </w:pPr>
            <w:r>
              <w:rPr>
                <w:sz w:val="18"/>
                <w:szCs w:val="18"/>
              </w:rPr>
              <w:t>188465</w:t>
            </w:r>
          </w:p>
          <w:p w14:paraId="56311CD2" w14:textId="77777777" w:rsidR="004B0883" w:rsidRDefault="004B0883">
            <w:pPr>
              <w:jc w:val="center"/>
              <w:rPr>
                <w:sz w:val="18"/>
                <w:szCs w:val="18"/>
              </w:rPr>
            </w:pPr>
            <w:r>
              <w:rPr>
                <w:sz w:val="18"/>
                <w:szCs w:val="18"/>
              </w:rPr>
              <w:t>/193755</w:t>
            </w:r>
          </w:p>
        </w:tc>
        <w:tc>
          <w:tcPr>
            <w:tcW w:w="1366" w:type="dxa"/>
            <w:vAlign w:val="center"/>
          </w:tcPr>
          <w:p w14:paraId="352B7F1A" w14:textId="77777777" w:rsidR="004B0883" w:rsidRDefault="004B0883">
            <w:pPr>
              <w:jc w:val="center"/>
              <w:rPr>
                <w:sz w:val="18"/>
                <w:szCs w:val="18"/>
              </w:rPr>
            </w:pPr>
            <w:r>
              <w:rPr>
                <w:sz w:val="18"/>
                <w:szCs w:val="18"/>
              </w:rPr>
              <w:t>9</w:t>
            </w:r>
          </w:p>
        </w:tc>
        <w:tc>
          <w:tcPr>
            <w:tcW w:w="1409" w:type="dxa"/>
            <w:vAlign w:val="center"/>
          </w:tcPr>
          <w:p w14:paraId="60B7E7FA"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0A4B525E" w14:textId="77777777" w:rsidR="004B0883" w:rsidRDefault="004B0883">
            <w:pPr>
              <w:jc w:val="center"/>
              <w:rPr>
                <w:sz w:val="18"/>
                <w:szCs w:val="18"/>
              </w:rPr>
            </w:pPr>
            <w:r>
              <w:rPr>
                <w:sz w:val="18"/>
                <w:szCs w:val="18"/>
              </w:rPr>
              <w:t>2027.03.13</w:t>
            </w:r>
          </w:p>
        </w:tc>
        <w:tc>
          <w:tcPr>
            <w:tcW w:w="1583" w:type="dxa"/>
            <w:vAlign w:val="center"/>
          </w:tcPr>
          <w:p w14:paraId="06A38CE2" w14:textId="77777777" w:rsidR="004B0883" w:rsidRDefault="004B0883">
            <w:pPr>
              <w:jc w:val="center"/>
              <w:rPr>
                <w:rFonts w:cs="宋体"/>
                <w:sz w:val="18"/>
                <w:szCs w:val="18"/>
              </w:rPr>
            </w:pPr>
            <w:r>
              <w:rPr>
                <w:rFonts w:ascii="宋体" w:hAnsi="宋体" w:cs="宋体" w:hint="eastAsia"/>
                <w:sz w:val="18"/>
                <w:szCs w:val="18"/>
              </w:rPr>
              <w:t>科威特</w:t>
            </w:r>
          </w:p>
        </w:tc>
      </w:tr>
      <w:tr w:rsidR="004B0883" w14:paraId="203E8717" w14:textId="77777777">
        <w:trPr>
          <w:trHeight w:val="397"/>
        </w:trPr>
        <w:tc>
          <w:tcPr>
            <w:tcW w:w="713" w:type="dxa"/>
            <w:vAlign w:val="center"/>
          </w:tcPr>
          <w:p w14:paraId="4FDF5B57" w14:textId="77777777" w:rsidR="004B0883" w:rsidRDefault="004B0883">
            <w:pPr>
              <w:widowControl w:val="0"/>
              <w:numPr>
                <w:ilvl w:val="0"/>
                <w:numId w:val="26"/>
              </w:numPr>
              <w:ind w:left="0" w:firstLine="0"/>
              <w:jc w:val="center"/>
              <w:rPr>
                <w:rFonts w:cs="宋体"/>
                <w:b/>
                <w:bCs/>
                <w:sz w:val="18"/>
              </w:rPr>
            </w:pPr>
          </w:p>
        </w:tc>
        <w:tc>
          <w:tcPr>
            <w:tcW w:w="1880" w:type="dxa"/>
          </w:tcPr>
          <w:p w14:paraId="46BFEB7A" w14:textId="6D82319A" w:rsidR="004B0883" w:rsidRDefault="0090540C">
            <w:pPr>
              <w:jc w:val="center"/>
              <w:rPr>
                <w:rFonts w:cs="宋体"/>
                <w:b/>
                <w:bCs/>
                <w:sz w:val="18"/>
                <w:szCs w:val="18"/>
              </w:rPr>
            </w:pPr>
            <w:r>
              <w:rPr>
                <w:noProof/>
                <w:sz w:val="18"/>
                <w:szCs w:val="18"/>
              </w:rPr>
              <w:drawing>
                <wp:inline distT="0" distB="0" distL="0" distR="0" wp14:anchorId="754FAE2E" wp14:editId="1A7DF73A">
                  <wp:extent cx="572770" cy="294005"/>
                  <wp:effectExtent l="0" t="0" r="0" b="0"/>
                  <wp:docPr id="69"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4BB97D1D" w14:textId="77777777" w:rsidR="004B0883" w:rsidRDefault="004B0883">
            <w:pPr>
              <w:jc w:val="center"/>
              <w:rPr>
                <w:sz w:val="18"/>
                <w:szCs w:val="18"/>
              </w:rPr>
            </w:pPr>
            <w:r>
              <w:rPr>
                <w:sz w:val="18"/>
                <w:szCs w:val="18"/>
              </w:rPr>
              <w:t>2769707</w:t>
            </w:r>
          </w:p>
        </w:tc>
        <w:tc>
          <w:tcPr>
            <w:tcW w:w="1366" w:type="dxa"/>
            <w:vAlign w:val="center"/>
          </w:tcPr>
          <w:p w14:paraId="26019A8D" w14:textId="77777777" w:rsidR="004B0883" w:rsidRDefault="004B0883">
            <w:pPr>
              <w:jc w:val="center"/>
              <w:rPr>
                <w:sz w:val="18"/>
                <w:szCs w:val="18"/>
              </w:rPr>
            </w:pPr>
            <w:r>
              <w:rPr>
                <w:sz w:val="18"/>
                <w:szCs w:val="18"/>
              </w:rPr>
              <w:t>6</w:t>
            </w:r>
          </w:p>
        </w:tc>
        <w:tc>
          <w:tcPr>
            <w:tcW w:w="1409" w:type="dxa"/>
            <w:vAlign w:val="center"/>
          </w:tcPr>
          <w:p w14:paraId="2692E4F9"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6C66DE73" w14:textId="77777777" w:rsidR="004B0883" w:rsidRDefault="004B0883">
            <w:pPr>
              <w:jc w:val="center"/>
              <w:rPr>
                <w:sz w:val="18"/>
                <w:szCs w:val="18"/>
              </w:rPr>
            </w:pPr>
            <w:r>
              <w:rPr>
                <w:sz w:val="18"/>
                <w:szCs w:val="18"/>
              </w:rPr>
              <w:t>2025.11.20</w:t>
            </w:r>
          </w:p>
        </w:tc>
        <w:tc>
          <w:tcPr>
            <w:tcW w:w="1583" w:type="dxa"/>
            <w:vAlign w:val="center"/>
          </w:tcPr>
          <w:p w14:paraId="4170D23F" w14:textId="77777777" w:rsidR="004B0883" w:rsidRDefault="004B0883">
            <w:pPr>
              <w:jc w:val="center"/>
              <w:rPr>
                <w:rFonts w:cs="宋体"/>
                <w:sz w:val="18"/>
                <w:szCs w:val="18"/>
              </w:rPr>
            </w:pPr>
            <w:r>
              <w:rPr>
                <w:rFonts w:ascii="宋体" w:hAnsi="宋体" w:cs="宋体" w:hint="eastAsia"/>
                <w:sz w:val="18"/>
                <w:szCs w:val="18"/>
              </w:rPr>
              <w:t>阿根廷</w:t>
            </w:r>
          </w:p>
        </w:tc>
      </w:tr>
      <w:tr w:rsidR="004B0883" w14:paraId="703604F8" w14:textId="77777777">
        <w:trPr>
          <w:trHeight w:val="397"/>
        </w:trPr>
        <w:tc>
          <w:tcPr>
            <w:tcW w:w="713" w:type="dxa"/>
            <w:vAlign w:val="center"/>
          </w:tcPr>
          <w:p w14:paraId="19D14CC8" w14:textId="77777777" w:rsidR="004B0883" w:rsidRDefault="004B0883">
            <w:pPr>
              <w:widowControl w:val="0"/>
              <w:numPr>
                <w:ilvl w:val="0"/>
                <w:numId w:val="26"/>
              </w:numPr>
              <w:ind w:left="0" w:firstLine="0"/>
              <w:jc w:val="center"/>
              <w:rPr>
                <w:rFonts w:cs="宋体"/>
                <w:b/>
                <w:bCs/>
                <w:sz w:val="18"/>
              </w:rPr>
            </w:pPr>
          </w:p>
        </w:tc>
        <w:tc>
          <w:tcPr>
            <w:tcW w:w="1880" w:type="dxa"/>
          </w:tcPr>
          <w:p w14:paraId="0D7B5CD1" w14:textId="1DB56A34" w:rsidR="004B0883" w:rsidRDefault="0090540C">
            <w:pPr>
              <w:jc w:val="center"/>
              <w:rPr>
                <w:rFonts w:cs="宋体"/>
                <w:b/>
                <w:bCs/>
                <w:sz w:val="18"/>
                <w:szCs w:val="18"/>
              </w:rPr>
            </w:pPr>
            <w:r>
              <w:rPr>
                <w:noProof/>
                <w:sz w:val="18"/>
                <w:szCs w:val="18"/>
              </w:rPr>
              <w:drawing>
                <wp:inline distT="0" distB="0" distL="0" distR="0" wp14:anchorId="0CDA044A" wp14:editId="635A63D9">
                  <wp:extent cx="572770" cy="294005"/>
                  <wp:effectExtent l="0" t="0" r="0" b="0"/>
                  <wp:docPr id="70"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50A46E54" w14:textId="77777777" w:rsidR="004B0883" w:rsidRDefault="004B0883">
            <w:pPr>
              <w:jc w:val="center"/>
              <w:rPr>
                <w:sz w:val="18"/>
                <w:szCs w:val="18"/>
              </w:rPr>
            </w:pPr>
            <w:r>
              <w:rPr>
                <w:sz w:val="18"/>
                <w:szCs w:val="18"/>
              </w:rPr>
              <w:t>3587995</w:t>
            </w:r>
          </w:p>
          <w:p w14:paraId="4F297364" w14:textId="77777777" w:rsidR="004B0883" w:rsidRDefault="004B0883">
            <w:pPr>
              <w:jc w:val="center"/>
              <w:rPr>
                <w:sz w:val="18"/>
                <w:szCs w:val="18"/>
              </w:rPr>
            </w:pPr>
            <w:r>
              <w:rPr>
                <w:sz w:val="18"/>
                <w:szCs w:val="18"/>
              </w:rPr>
              <w:t>/2948005</w:t>
            </w:r>
          </w:p>
        </w:tc>
        <w:tc>
          <w:tcPr>
            <w:tcW w:w="1366" w:type="dxa"/>
            <w:vAlign w:val="center"/>
          </w:tcPr>
          <w:p w14:paraId="043CAC3B" w14:textId="77777777" w:rsidR="004B0883" w:rsidRDefault="004B0883">
            <w:pPr>
              <w:jc w:val="center"/>
              <w:rPr>
                <w:sz w:val="18"/>
                <w:szCs w:val="18"/>
              </w:rPr>
            </w:pPr>
            <w:r>
              <w:rPr>
                <w:sz w:val="18"/>
                <w:szCs w:val="18"/>
              </w:rPr>
              <w:t>9</w:t>
            </w:r>
          </w:p>
        </w:tc>
        <w:tc>
          <w:tcPr>
            <w:tcW w:w="1409" w:type="dxa"/>
            <w:vAlign w:val="center"/>
          </w:tcPr>
          <w:p w14:paraId="26A8124D"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18D2D6A9" w14:textId="77777777" w:rsidR="004B0883" w:rsidRDefault="004B0883">
            <w:pPr>
              <w:jc w:val="center"/>
              <w:rPr>
                <w:sz w:val="18"/>
                <w:szCs w:val="18"/>
              </w:rPr>
            </w:pPr>
            <w:r>
              <w:rPr>
                <w:sz w:val="18"/>
                <w:szCs w:val="18"/>
              </w:rPr>
              <w:t>2028.08.07</w:t>
            </w:r>
          </w:p>
        </w:tc>
        <w:tc>
          <w:tcPr>
            <w:tcW w:w="1583" w:type="dxa"/>
            <w:vAlign w:val="center"/>
          </w:tcPr>
          <w:p w14:paraId="6B81DE32" w14:textId="77777777" w:rsidR="004B0883" w:rsidRDefault="004B0883">
            <w:pPr>
              <w:jc w:val="center"/>
              <w:rPr>
                <w:rFonts w:cs="宋体"/>
                <w:sz w:val="18"/>
                <w:szCs w:val="18"/>
              </w:rPr>
            </w:pPr>
            <w:r>
              <w:rPr>
                <w:rFonts w:ascii="宋体" w:hAnsi="宋体" w:cs="宋体" w:hint="eastAsia"/>
                <w:sz w:val="18"/>
                <w:szCs w:val="18"/>
              </w:rPr>
              <w:t>阿根廷</w:t>
            </w:r>
          </w:p>
        </w:tc>
      </w:tr>
      <w:tr w:rsidR="004B0883" w14:paraId="7D05A81D" w14:textId="77777777">
        <w:trPr>
          <w:trHeight w:val="397"/>
        </w:trPr>
        <w:tc>
          <w:tcPr>
            <w:tcW w:w="713" w:type="dxa"/>
            <w:vAlign w:val="center"/>
          </w:tcPr>
          <w:p w14:paraId="63699202" w14:textId="77777777" w:rsidR="004B0883" w:rsidRDefault="004B0883">
            <w:pPr>
              <w:widowControl w:val="0"/>
              <w:numPr>
                <w:ilvl w:val="0"/>
                <w:numId w:val="26"/>
              </w:numPr>
              <w:ind w:left="0" w:firstLine="0"/>
              <w:jc w:val="center"/>
              <w:rPr>
                <w:rFonts w:cs="宋体"/>
                <w:b/>
                <w:bCs/>
                <w:sz w:val="18"/>
              </w:rPr>
            </w:pPr>
          </w:p>
        </w:tc>
        <w:tc>
          <w:tcPr>
            <w:tcW w:w="1880" w:type="dxa"/>
          </w:tcPr>
          <w:p w14:paraId="64133090" w14:textId="424A8407" w:rsidR="004B0883" w:rsidRDefault="0090540C">
            <w:pPr>
              <w:jc w:val="center"/>
              <w:rPr>
                <w:rFonts w:cs="宋体"/>
                <w:b/>
                <w:bCs/>
                <w:sz w:val="18"/>
                <w:szCs w:val="18"/>
              </w:rPr>
            </w:pPr>
            <w:r>
              <w:rPr>
                <w:noProof/>
                <w:sz w:val="18"/>
                <w:szCs w:val="18"/>
              </w:rPr>
              <w:drawing>
                <wp:inline distT="0" distB="0" distL="0" distR="0" wp14:anchorId="22E33BD0" wp14:editId="17A8D044">
                  <wp:extent cx="572770" cy="294005"/>
                  <wp:effectExtent l="0" t="0" r="0" b="0"/>
                  <wp:docPr id="71"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4F3AFC59" w14:textId="77777777" w:rsidR="004B0883" w:rsidRDefault="004B0883">
            <w:pPr>
              <w:jc w:val="center"/>
              <w:rPr>
                <w:sz w:val="18"/>
                <w:szCs w:val="18"/>
              </w:rPr>
            </w:pPr>
            <w:r>
              <w:rPr>
                <w:sz w:val="18"/>
                <w:szCs w:val="18"/>
              </w:rPr>
              <w:t>781587</w:t>
            </w:r>
          </w:p>
          <w:p w14:paraId="24EFBBB9" w14:textId="77777777" w:rsidR="004B0883" w:rsidRDefault="004B0883">
            <w:pPr>
              <w:jc w:val="center"/>
              <w:rPr>
                <w:sz w:val="18"/>
                <w:szCs w:val="18"/>
              </w:rPr>
            </w:pPr>
            <w:r>
              <w:rPr>
                <w:sz w:val="18"/>
                <w:szCs w:val="18"/>
              </w:rPr>
              <w:t>/342486</w:t>
            </w:r>
          </w:p>
        </w:tc>
        <w:tc>
          <w:tcPr>
            <w:tcW w:w="1366" w:type="dxa"/>
            <w:vAlign w:val="center"/>
          </w:tcPr>
          <w:p w14:paraId="1C01766F" w14:textId="77777777" w:rsidR="004B0883" w:rsidRDefault="004B0883">
            <w:pPr>
              <w:jc w:val="center"/>
              <w:rPr>
                <w:sz w:val="18"/>
                <w:szCs w:val="18"/>
              </w:rPr>
            </w:pPr>
            <w:r>
              <w:rPr>
                <w:sz w:val="18"/>
                <w:szCs w:val="18"/>
              </w:rPr>
              <w:t>6</w:t>
            </w:r>
          </w:p>
        </w:tc>
        <w:tc>
          <w:tcPr>
            <w:tcW w:w="1409" w:type="dxa"/>
            <w:vAlign w:val="center"/>
          </w:tcPr>
          <w:p w14:paraId="7F294C13"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6E58673E" w14:textId="77777777" w:rsidR="004B0883" w:rsidRDefault="004B0883">
            <w:pPr>
              <w:jc w:val="center"/>
              <w:rPr>
                <w:sz w:val="18"/>
                <w:szCs w:val="18"/>
              </w:rPr>
            </w:pPr>
            <w:r>
              <w:rPr>
                <w:sz w:val="18"/>
                <w:szCs w:val="18"/>
              </w:rPr>
              <w:t>2030.09.24</w:t>
            </w:r>
          </w:p>
        </w:tc>
        <w:tc>
          <w:tcPr>
            <w:tcW w:w="1583" w:type="dxa"/>
            <w:vAlign w:val="center"/>
          </w:tcPr>
          <w:p w14:paraId="507D968E" w14:textId="77777777" w:rsidR="004B0883" w:rsidRDefault="004B0883">
            <w:pPr>
              <w:jc w:val="center"/>
              <w:rPr>
                <w:rFonts w:cs="宋体"/>
                <w:sz w:val="18"/>
                <w:szCs w:val="18"/>
              </w:rPr>
            </w:pPr>
            <w:r>
              <w:rPr>
                <w:rFonts w:ascii="宋体" w:hAnsi="宋体" w:cs="宋体" w:hint="eastAsia"/>
                <w:sz w:val="18"/>
                <w:szCs w:val="18"/>
              </w:rPr>
              <w:t>泰国</w:t>
            </w:r>
          </w:p>
        </w:tc>
      </w:tr>
      <w:tr w:rsidR="004B0883" w14:paraId="6D3EA0FB" w14:textId="77777777">
        <w:trPr>
          <w:trHeight w:val="397"/>
        </w:trPr>
        <w:tc>
          <w:tcPr>
            <w:tcW w:w="713" w:type="dxa"/>
            <w:vAlign w:val="center"/>
          </w:tcPr>
          <w:p w14:paraId="5D0F5B44" w14:textId="77777777" w:rsidR="004B0883" w:rsidRDefault="004B0883">
            <w:pPr>
              <w:widowControl w:val="0"/>
              <w:numPr>
                <w:ilvl w:val="0"/>
                <w:numId w:val="26"/>
              </w:numPr>
              <w:ind w:left="0" w:firstLine="0"/>
              <w:jc w:val="center"/>
              <w:rPr>
                <w:rFonts w:cs="宋体"/>
                <w:b/>
                <w:bCs/>
                <w:sz w:val="18"/>
              </w:rPr>
            </w:pPr>
          </w:p>
        </w:tc>
        <w:tc>
          <w:tcPr>
            <w:tcW w:w="1880" w:type="dxa"/>
          </w:tcPr>
          <w:p w14:paraId="312D2DED" w14:textId="01ED2029" w:rsidR="004B0883" w:rsidRDefault="0090540C">
            <w:pPr>
              <w:jc w:val="center"/>
              <w:rPr>
                <w:rFonts w:cs="宋体"/>
                <w:b/>
                <w:bCs/>
                <w:sz w:val="18"/>
                <w:szCs w:val="18"/>
              </w:rPr>
            </w:pPr>
            <w:r>
              <w:rPr>
                <w:noProof/>
                <w:sz w:val="18"/>
                <w:szCs w:val="18"/>
              </w:rPr>
              <w:drawing>
                <wp:inline distT="0" distB="0" distL="0" distR="0" wp14:anchorId="027A657F" wp14:editId="25C7ED73">
                  <wp:extent cx="572770" cy="294005"/>
                  <wp:effectExtent l="0" t="0" r="0" b="0"/>
                  <wp:docPr id="72"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2D4797FE" w14:textId="77777777" w:rsidR="004B0883" w:rsidRDefault="004B0883">
            <w:pPr>
              <w:jc w:val="center"/>
              <w:rPr>
                <w:sz w:val="18"/>
                <w:szCs w:val="18"/>
              </w:rPr>
            </w:pPr>
            <w:r>
              <w:rPr>
                <w:sz w:val="18"/>
                <w:szCs w:val="18"/>
              </w:rPr>
              <w:t>181126885</w:t>
            </w:r>
          </w:p>
        </w:tc>
        <w:tc>
          <w:tcPr>
            <w:tcW w:w="1366" w:type="dxa"/>
            <w:vAlign w:val="center"/>
          </w:tcPr>
          <w:p w14:paraId="2E9EBC46" w14:textId="77777777" w:rsidR="004B0883" w:rsidRDefault="004B0883">
            <w:pPr>
              <w:jc w:val="center"/>
              <w:rPr>
                <w:sz w:val="18"/>
                <w:szCs w:val="18"/>
              </w:rPr>
            </w:pPr>
            <w:r>
              <w:rPr>
                <w:sz w:val="18"/>
                <w:szCs w:val="18"/>
              </w:rPr>
              <w:t>11</w:t>
            </w:r>
          </w:p>
        </w:tc>
        <w:tc>
          <w:tcPr>
            <w:tcW w:w="1409" w:type="dxa"/>
            <w:vAlign w:val="center"/>
          </w:tcPr>
          <w:p w14:paraId="1AA98A78"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7531EA8B" w14:textId="77777777" w:rsidR="004B0883" w:rsidRDefault="004B0883">
            <w:pPr>
              <w:jc w:val="center"/>
              <w:rPr>
                <w:sz w:val="18"/>
                <w:szCs w:val="18"/>
              </w:rPr>
            </w:pPr>
            <w:r>
              <w:rPr>
                <w:sz w:val="18"/>
                <w:szCs w:val="18"/>
              </w:rPr>
              <w:t>2027.02.20</w:t>
            </w:r>
          </w:p>
        </w:tc>
        <w:tc>
          <w:tcPr>
            <w:tcW w:w="1583" w:type="dxa"/>
            <w:vAlign w:val="center"/>
          </w:tcPr>
          <w:p w14:paraId="16FFC53E" w14:textId="77777777" w:rsidR="004B0883" w:rsidRDefault="004B0883">
            <w:pPr>
              <w:jc w:val="center"/>
              <w:rPr>
                <w:rFonts w:cs="宋体"/>
                <w:sz w:val="18"/>
                <w:szCs w:val="18"/>
              </w:rPr>
            </w:pPr>
            <w:r>
              <w:rPr>
                <w:rFonts w:ascii="宋体" w:hAnsi="宋体" w:cs="宋体" w:hint="eastAsia"/>
                <w:sz w:val="18"/>
                <w:szCs w:val="18"/>
              </w:rPr>
              <w:t>泰国</w:t>
            </w:r>
          </w:p>
        </w:tc>
      </w:tr>
      <w:tr w:rsidR="004B0883" w14:paraId="6F4BA336" w14:textId="77777777">
        <w:trPr>
          <w:trHeight w:val="397"/>
        </w:trPr>
        <w:tc>
          <w:tcPr>
            <w:tcW w:w="713" w:type="dxa"/>
            <w:vAlign w:val="center"/>
          </w:tcPr>
          <w:p w14:paraId="16B2A5A3" w14:textId="77777777" w:rsidR="004B0883" w:rsidRDefault="004B0883">
            <w:pPr>
              <w:widowControl w:val="0"/>
              <w:numPr>
                <w:ilvl w:val="0"/>
                <w:numId w:val="26"/>
              </w:numPr>
              <w:ind w:left="0" w:firstLine="0"/>
              <w:jc w:val="center"/>
              <w:rPr>
                <w:rFonts w:cs="宋体"/>
                <w:b/>
                <w:bCs/>
                <w:sz w:val="18"/>
              </w:rPr>
            </w:pPr>
          </w:p>
        </w:tc>
        <w:tc>
          <w:tcPr>
            <w:tcW w:w="1880" w:type="dxa"/>
          </w:tcPr>
          <w:p w14:paraId="5E8919C8" w14:textId="02E3C259" w:rsidR="004B0883" w:rsidRDefault="0090540C">
            <w:pPr>
              <w:jc w:val="center"/>
              <w:rPr>
                <w:rFonts w:cs="宋体"/>
                <w:b/>
                <w:bCs/>
                <w:sz w:val="18"/>
                <w:szCs w:val="18"/>
              </w:rPr>
            </w:pPr>
            <w:r>
              <w:rPr>
                <w:noProof/>
                <w:sz w:val="18"/>
                <w:szCs w:val="18"/>
              </w:rPr>
              <w:drawing>
                <wp:inline distT="0" distB="0" distL="0" distR="0" wp14:anchorId="2C945ED4" wp14:editId="3C8985EE">
                  <wp:extent cx="572770" cy="294005"/>
                  <wp:effectExtent l="0" t="0" r="0" b="0"/>
                  <wp:docPr id="73"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4CAEF701" w14:textId="77777777" w:rsidR="004B0883" w:rsidRDefault="004B0883">
            <w:pPr>
              <w:jc w:val="center"/>
              <w:rPr>
                <w:sz w:val="18"/>
                <w:szCs w:val="18"/>
              </w:rPr>
            </w:pPr>
            <w:r>
              <w:rPr>
                <w:sz w:val="18"/>
                <w:szCs w:val="18"/>
              </w:rPr>
              <w:t>201109230</w:t>
            </w:r>
          </w:p>
        </w:tc>
        <w:tc>
          <w:tcPr>
            <w:tcW w:w="1366" w:type="dxa"/>
            <w:vAlign w:val="center"/>
          </w:tcPr>
          <w:p w14:paraId="6F46CA09" w14:textId="77777777" w:rsidR="004B0883" w:rsidRDefault="004B0883">
            <w:pPr>
              <w:jc w:val="center"/>
              <w:rPr>
                <w:sz w:val="18"/>
                <w:szCs w:val="18"/>
              </w:rPr>
            </w:pPr>
            <w:r>
              <w:rPr>
                <w:sz w:val="18"/>
                <w:szCs w:val="18"/>
              </w:rPr>
              <w:t>9</w:t>
            </w:r>
          </w:p>
        </w:tc>
        <w:tc>
          <w:tcPr>
            <w:tcW w:w="1409" w:type="dxa"/>
            <w:vAlign w:val="center"/>
          </w:tcPr>
          <w:p w14:paraId="09C1B1F6"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66D4D30D" w14:textId="77777777" w:rsidR="004B0883" w:rsidRDefault="004B0883">
            <w:pPr>
              <w:jc w:val="center"/>
              <w:rPr>
                <w:sz w:val="18"/>
                <w:szCs w:val="18"/>
              </w:rPr>
            </w:pPr>
            <w:r>
              <w:rPr>
                <w:sz w:val="18"/>
                <w:szCs w:val="18"/>
              </w:rPr>
              <w:t>2027.02.20</w:t>
            </w:r>
          </w:p>
        </w:tc>
        <w:tc>
          <w:tcPr>
            <w:tcW w:w="1583" w:type="dxa"/>
            <w:vAlign w:val="center"/>
          </w:tcPr>
          <w:p w14:paraId="0DB18BC4" w14:textId="77777777" w:rsidR="004B0883" w:rsidRDefault="004B0883">
            <w:pPr>
              <w:jc w:val="center"/>
              <w:rPr>
                <w:rFonts w:cs="宋体"/>
                <w:sz w:val="18"/>
                <w:szCs w:val="18"/>
              </w:rPr>
            </w:pPr>
            <w:r>
              <w:rPr>
                <w:rFonts w:ascii="宋体" w:hAnsi="宋体" w:cs="宋体" w:hint="eastAsia"/>
                <w:sz w:val="18"/>
                <w:szCs w:val="18"/>
              </w:rPr>
              <w:t>泰国</w:t>
            </w:r>
          </w:p>
        </w:tc>
      </w:tr>
      <w:tr w:rsidR="004B0883" w14:paraId="2BE43F8C" w14:textId="77777777">
        <w:trPr>
          <w:trHeight w:val="397"/>
        </w:trPr>
        <w:tc>
          <w:tcPr>
            <w:tcW w:w="713" w:type="dxa"/>
            <w:vAlign w:val="center"/>
          </w:tcPr>
          <w:p w14:paraId="43C1339F" w14:textId="77777777" w:rsidR="004B0883" w:rsidRDefault="004B0883">
            <w:pPr>
              <w:widowControl w:val="0"/>
              <w:numPr>
                <w:ilvl w:val="0"/>
                <w:numId w:val="26"/>
              </w:numPr>
              <w:ind w:left="0" w:firstLine="0"/>
              <w:jc w:val="center"/>
              <w:rPr>
                <w:rFonts w:cs="宋体"/>
                <w:b/>
                <w:bCs/>
                <w:sz w:val="18"/>
              </w:rPr>
            </w:pPr>
          </w:p>
        </w:tc>
        <w:tc>
          <w:tcPr>
            <w:tcW w:w="1880" w:type="dxa"/>
          </w:tcPr>
          <w:p w14:paraId="65E62EE7" w14:textId="4F5B8ABD" w:rsidR="004B0883" w:rsidRDefault="0090540C">
            <w:pPr>
              <w:jc w:val="center"/>
              <w:rPr>
                <w:rFonts w:cs="宋体"/>
                <w:b/>
                <w:bCs/>
                <w:sz w:val="18"/>
                <w:szCs w:val="18"/>
              </w:rPr>
            </w:pPr>
            <w:r>
              <w:rPr>
                <w:noProof/>
                <w:sz w:val="18"/>
                <w:szCs w:val="18"/>
              </w:rPr>
              <w:drawing>
                <wp:inline distT="0" distB="0" distL="0" distR="0" wp14:anchorId="5306AC81" wp14:editId="2A2B0495">
                  <wp:extent cx="572770" cy="294005"/>
                  <wp:effectExtent l="0" t="0" r="0" b="0"/>
                  <wp:docPr id="74"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4AA25372" w14:textId="77777777" w:rsidR="004B0883" w:rsidRDefault="004B0883">
            <w:pPr>
              <w:jc w:val="center"/>
              <w:rPr>
                <w:sz w:val="18"/>
                <w:szCs w:val="18"/>
              </w:rPr>
            </w:pPr>
            <w:r>
              <w:rPr>
                <w:sz w:val="18"/>
                <w:szCs w:val="18"/>
              </w:rPr>
              <w:t>2014057053</w:t>
            </w:r>
          </w:p>
        </w:tc>
        <w:tc>
          <w:tcPr>
            <w:tcW w:w="1366" w:type="dxa"/>
            <w:vAlign w:val="center"/>
          </w:tcPr>
          <w:p w14:paraId="50681C19" w14:textId="77777777" w:rsidR="004B0883" w:rsidRDefault="004B0883">
            <w:pPr>
              <w:jc w:val="center"/>
              <w:rPr>
                <w:sz w:val="18"/>
                <w:szCs w:val="18"/>
              </w:rPr>
            </w:pPr>
            <w:r>
              <w:rPr>
                <w:sz w:val="18"/>
                <w:szCs w:val="18"/>
              </w:rPr>
              <w:t>6</w:t>
            </w:r>
          </w:p>
        </w:tc>
        <w:tc>
          <w:tcPr>
            <w:tcW w:w="1409" w:type="dxa"/>
            <w:vAlign w:val="center"/>
          </w:tcPr>
          <w:p w14:paraId="450AC333"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48EF4661" w14:textId="77777777" w:rsidR="004B0883" w:rsidRDefault="004B0883">
            <w:pPr>
              <w:jc w:val="center"/>
              <w:rPr>
                <w:sz w:val="18"/>
                <w:szCs w:val="18"/>
              </w:rPr>
            </w:pPr>
            <w:r>
              <w:rPr>
                <w:sz w:val="18"/>
                <w:szCs w:val="18"/>
              </w:rPr>
              <w:t>2024.05.19</w:t>
            </w:r>
          </w:p>
        </w:tc>
        <w:tc>
          <w:tcPr>
            <w:tcW w:w="1583" w:type="dxa"/>
            <w:vAlign w:val="center"/>
          </w:tcPr>
          <w:p w14:paraId="1E6BE2B0" w14:textId="77777777" w:rsidR="004B0883" w:rsidRDefault="004B0883">
            <w:pPr>
              <w:jc w:val="center"/>
              <w:rPr>
                <w:rFonts w:cs="宋体"/>
                <w:sz w:val="18"/>
                <w:szCs w:val="18"/>
              </w:rPr>
            </w:pPr>
            <w:r>
              <w:rPr>
                <w:rFonts w:ascii="宋体" w:hAnsi="宋体" w:cs="宋体" w:hint="eastAsia"/>
                <w:sz w:val="18"/>
                <w:szCs w:val="18"/>
              </w:rPr>
              <w:t>马来西亚</w:t>
            </w:r>
          </w:p>
        </w:tc>
      </w:tr>
      <w:tr w:rsidR="004B0883" w14:paraId="08DB69A5" w14:textId="77777777">
        <w:trPr>
          <w:trHeight w:val="397"/>
        </w:trPr>
        <w:tc>
          <w:tcPr>
            <w:tcW w:w="713" w:type="dxa"/>
            <w:vAlign w:val="center"/>
          </w:tcPr>
          <w:p w14:paraId="6E66ADE1" w14:textId="77777777" w:rsidR="004B0883" w:rsidRDefault="004B0883">
            <w:pPr>
              <w:widowControl w:val="0"/>
              <w:numPr>
                <w:ilvl w:val="0"/>
                <w:numId w:val="26"/>
              </w:numPr>
              <w:ind w:left="0" w:firstLine="0"/>
              <w:jc w:val="center"/>
              <w:rPr>
                <w:rFonts w:cs="宋体"/>
                <w:b/>
                <w:bCs/>
                <w:sz w:val="18"/>
              </w:rPr>
            </w:pPr>
          </w:p>
        </w:tc>
        <w:tc>
          <w:tcPr>
            <w:tcW w:w="1880" w:type="dxa"/>
          </w:tcPr>
          <w:p w14:paraId="742990A3" w14:textId="02C5D0B0" w:rsidR="004B0883" w:rsidRDefault="0090540C">
            <w:pPr>
              <w:jc w:val="center"/>
              <w:rPr>
                <w:rFonts w:cs="宋体"/>
                <w:b/>
                <w:bCs/>
                <w:sz w:val="18"/>
                <w:szCs w:val="18"/>
              </w:rPr>
            </w:pPr>
            <w:r>
              <w:rPr>
                <w:noProof/>
                <w:sz w:val="18"/>
                <w:szCs w:val="18"/>
              </w:rPr>
              <w:drawing>
                <wp:inline distT="0" distB="0" distL="0" distR="0" wp14:anchorId="4214B844" wp14:editId="34D24C4C">
                  <wp:extent cx="572770" cy="294005"/>
                  <wp:effectExtent l="0" t="0" r="0" b="0"/>
                  <wp:docPr id="75"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799EBFD0" w14:textId="77777777" w:rsidR="004B0883" w:rsidRDefault="004B0883">
            <w:pPr>
              <w:jc w:val="center"/>
              <w:rPr>
                <w:sz w:val="18"/>
                <w:szCs w:val="18"/>
              </w:rPr>
            </w:pPr>
            <w:r>
              <w:rPr>
                <w:sz w:val="18"/>
                <w:szCs w:val="18"/>
              </w:rPr>
              <w:t>2017052754</w:t>
            </w:r>
          </w:p>
        </w:tc>
        <w:tc>
          <w:tcPr>
            <w:tcW w:w="1366" w:type="dxa"/>
            <w:vAlign w:val="center"/>
          </w:tcPr>
          <w:p w14:paraId="5A317F7A" w14:textId="77777777" w:rsidR="004B0883" w:rsidRDefault="004B0883">
            <w:pPr>
              <w:jc w:val="center"/>
              <w:rPr>
                <w:sz w:val="18"/>
                <w:szCs w:val="18"/>
              </w:rPr>
            </w:pPr>
            <w:r>
              <w:rPr>
                <w:sz w:val="18"/>
                <w:szCs w:val="18"/>
              </w:rPr>
              <w:t>11</w:t>
            </w:r>
          </w:p>
        </w:tc>
        <w:tc>
          <w:tcPr>
            <w:tcW w:w="1409" w:type="dxa"/>
            <w:vAlign w:val="center"/>
          </w:tcPr>
          <w:p w14:paraId="37F46155"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3546D6F1" w14:textId="77777777" w:rsidR="004B0883" w:rsidRDefault="004B0883">
            <w:pPr>
              <w:jc w:val="center"/>
              <w:rPr>
                <w:sz w:val="18"/>
                <w:szCs w:val="18"/>
              </w:rPr>
            </w:pPr>
            <w:r>
              <w:rPr>
                <w:sz w:val="18"/>
                <w:szCs w:val="18"/>
              </w:rPr>
              <w:t>2027.02.20</w:t>
            </w:r>
          </w:p>
        </w:tc>
        <w:tc>
          <w:tcPr>
            <w:tcW w:w="1583" w:type="dxa"/>
            <w:vAlign w:val="center"/>
          </w:tcPr>
          <w:p w14:paraId="79B0A5F4" w14:textId="77777777" w:rsidR="004B0883" w:rsidRDefault="004B0883">
            <w:pPr>
              <w:jc w:val="center"/>
              <w:rPr>
                <w:rFonts w:cs="宋体"/>
                <w:sz w:val="18"/>
                <w:szCs w:val="18"/>
              </w:rPr>
            </w:pPr>
            <w:r>
              <w:rPr>
                <w:rFonts w:ascii="宋体" w:hAnsi="宋体" w:cs="宋体" w:hint="eastAsia"/>
                <w:sz w:val="18"/>
                <w:szCs w:val="18"/>
              </w:rPr>
              <w:t>马来西亚</w:t>
            </w:r>
          </w:p>
        </w:tc>
      </w:tr>
      <w:tr w:rsidR="004B0883" w14:paraId="4487BC92" w14:textId="77777777">
        <w:trPr>
          <w:trHeight w:val="397"/>
        </w:trPr>
        <w:tc>
          <w:tcPr>
            <w:tcW w:w="713" w:type="dxa"/>
            <w:vAlign w:val="center"/>
          </w:tcPr>
          <w:p w14:paraId="647096E9" w14:textId="77777777" w:rsidR="004B0883" w:rsidRDefault="004B0883">
            <w:pPr>
              <w:widowControl w:val="0"/>
              <w:numPr>
                <w:ilvl w:val="0"/>
                <w:numId w:val="26"/>
              </w:numPr>
              <w:ind w:left="0" w:firstLine="0"/>
              <w:jc w:val="center"/>
              <w:rPr>
                <w:rFonts w:cs="宋体"/>
                <w:b/>
                <w:bCs/>
                <w:sz w:val="18"/>
              </w:rPr>
            </w:pPr>
          </w:p>
        </w:tc>
        <w:tc>
          <w:tcPr>
            <w:tcW w:w="1880" w:type="dxa"/>
          </w:tcPr>
          <w:p w14:paraId="4E5A5CC8" w14:textId="2D486412" w:rsidR="004B0883" w:rsidRDefault="0090540C">
            <w:pPr>
              <w:jc w:val="center"/>
              <w:rPr>
                <w:rFonts w:cs="宋体"/>
                <w:b/>
                <w:bCs/>
                <w:sz w:val="18"/>
                <w:szCs w:val="18"/>
              </w:rPr>
            </w:pPr>
            <w:r>
              <w:rPr>
                <w:noProof/>
                <w:sz w:val="18"/>
                <w:szCs w:val="18"/>
              </w:rPr>
              <w:drawing>
                <wp:inline distT="0" distB="0" distL="0" distR="0" wp14:anchorId="2FEDD5A8" wp14:editId="5AE20E38">
                  <wp:extent cx="572770" cy="294005"/>
                  <wp:effectExtent l="0" t="0" r="0" b="0"/>
                  <wp:docPr id="76"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7BA65352" w14:textId="77777777" w:rsidR="004B0883" w:rsidRDefault="004B0883">
            <w:pPr>
              <w:jc w:val="center"/>
              <w:rPr>
                <w:sz w:val="18"/>
                <w:szCs w:val="18"/>
              </w:rPr>
            </w:pPr>
            <w:r>
              <w:rPr>
                <w:sz w:val="18"/>
                <w:szCs w:val="18"/>
              </w:rPr>
              <w:t>2017052750</w:t>
            </w:r>
          </w:p>
        </w:tc>
        <w:tc>
          <w:tcPr>
            <w:tcW w:w="1366" w:type="dxa"/>
            <w:vAlign w:val="center"/>
          </w:tcPr>
          <w:p w14:paraId="36D77BDB" w14:textId="77777777" w:rsidR="004B0883" w:rsidRDefault="004B0883">
            <w:pPr>
              <w:jc w:val="center"/>
              <w:rPr>
                <w:sz w:val="18"/>
                <w:szCs w:val="18"/>
              </w:rPr>
            </w:pPr>
            <w:r>
              <w:rPr>
                <w:sz w:val="18"/>
                <w:szCs w:val="18"/>
              </w:rPr>
              <w:t>9</w:t>
            </w:r>
          </w:p>
        </w:tc>
        <w:tc>
          <w:tcPr>
            <w:tcW w:w="1409" w:type="dxa"/>
            <w:vAlign w:val="center"/>
          </w:tcPr>
          <w:p w14:paraId="03B75F32"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2CCBC473" w14:textId="77777777" w:rsidR="004B0883" w:rsidRDefault="004B0883">
            <w:pPr>
              <w:jc w:val="center"/>
              <w:rPr>
                <w:sz w:val="18"/>
                <w:szCs w:val="18"/>
              </w:rPr>
            </w:pPr>
            <w:r>
              <w:rPr>
                <w:sz w:val="18"/>
                <w:szCs w:val="18"/>
              </w:rPr>
              <w:t>2027.02.20</w:t>
            </w:r>
          </w:p>
        </w:tc>
        <w:tc>
          <w:tcPr>
            <w:tcW w:w="1583" w:type="dxa"/>
            <w:vAlign w:val="center"/>
          </w:tcPr>
          <w:p w14:paraId="203C4DF7" w14:textId="77777777" w:rsidR="004B0883" w:rsidRDefault="004B0883">
            <w:pPr>
              <w:jc w:val="center"/>
              <w:rPr>
                <w:rFonts w:cs="宋体"/>
                <w:sz w:val="18"/>
                <w:szCs w:val="18"/>
              </w:rPr>
            </w:pPr>
            <w:r>
              <w:rPr>
                <w:rFonts w:ascii="宋体" w:hAnsi="宋体" w:cs="宋体" w:hint="eastAsia"/>
                <w:sz w:val="18"/>
                <w:szCs w:val="18"/>
              </w:rPr>
              <w:t>马来西亚</w:t>
            </w:r>
          </w:p>
        </w:tc>
      </w:tr>
      <w:tr w:rsidR="004B0883" w14:paraId="655A6A65" w14:textId="77777777">
        <w:trPr>
          <w:trHeight w:val="397"/>
        </w:trPr>
        <w:tc>
          <w:tcPr>
            <w:tcW w:w="713" w:type="dxa"/>
            <w:vAlign w:val="center"/>
          </w:tcPr>
          <w:p w14:paraId="2659FD97" w14:textId="77777777" w:rsidR="004B0883" w:rsidRDefault="004B0883">
            <w:pPr>
              <w:widowControl w:val="0"/>
              <w:numPr>
                <w:ilvl w:val="0"/>
                <w:numId w:val="26"/>
              </w:numPr>
              <w:ind w:left="0" w:firstLine="0"/>
              <w:jc w:val="center"/>
              <w:rPr>
                <w:rFonts w:cs="宋体"/>
                <w:b/>
                <w:bCs/>
                <w:sz w:val="18"/>
              </w:rPr>
            </w:pPr>
          </w:p>
        </w:tc>
        <w:tc>
          <w:tcPr>
            <w:tcW w:w="1880" w:type="dxa"/>
          </w:tcPr>
          <w:p w14:paraId="65624772" w14:textId="3C91CC98" w:rsidR="004B0883" w:rsidRDefault="0090540C">
            <w:pPr>
              <w:jc w:val="center"/>
              <w:rPr>
                <w:rFonts w:cs="宋体"/>
                <w:b/>
                <w:bCs/>
                <w:sz w:val="18"/>
                <w:szCs w:val="18"/>
              </w:rPr>
            </w:pPr>
            <w:r>
              <w:rPr>
                <w:noProof/>
                <w:sz w:val="18"/>
                <w:szCs w:val="18"/>
              </w:rPr>
              <w:drawing>
                <wp:inline distT="0" distB="0" distL="0" distR="0" wp14:anchorId="522A5669" wp14:editId="6FA8DF77">
                  <wp:extent cx="572770" cy="294005"/>
                  <wp:effectExtent l="0" t="0" r="0" b="0"/>
                  <wp:docPr id="77"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065BC618" w14:textId="77777777" w:rsidR="004B0883" w:rsidRDefault="004B0883">
            <w:pPr>
              <w:jc w:val="center"/>
              <w:rPr>
                <w:sz w:val="18"/>
                <w:szCs w:val="18"/>
              </w:rPr>
            </w:pPr>
            <w:r>
              <w:rPr>
                <w:sz w:val="18"/>
                <w:szCs w:val="18"/>
              </w:rPr>
              <w:t>232351-01-2014</w:t>
            </w:r>
          </w:p>
        </w:tc>
        <w:tc>
          <w:tcPr>
            <w:tcW w:w="1366" w:type="dxa"/>
            <w:vAlign w:val="center"/>
          </w:tcPr>
          <w:p w14:paraId="09CB4CDB" w14:textId="77777777" w:rsidR="004B0883" w:rsidRDefault="004B0883">
            <w:pPr>
              <w:jc w:val="center"/>
              <w:rPr>
                <w:sz w:val="18"/>
                <w:szCs w:val="18"/>
              </w:rPr>
            </w:pPr>
            <w:r>
              <w:rPr>
                <w:sz w:val="18"/>
                <w:szCs w:val="18"/>
              </w:rPr>
              <w:t>6</w:t>
            </w:r>
          </w:p>
        </w:tc>
        <w:tc>
          <w:tcPr>
            <w:tcW w:w="1409" w:type="dxa"/>
            <w:vAlign w:val="center"/>
          </w:tcPr>
          <w:p w14:paraId="575021A2"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382726E8" w14:textId="77777777" w:rsidR="004B0883" w:rsidRDefault="004B0883">
            <w:pPr>
              <w:jc w:val="center"/>
              <w:rPr>
                <w:sz w:val="18"/>
                <w:szCs w:val="18"/>
              </w:rPr>
            </w:pPr>
            <w:r>
              <w:rPr>
                <w:sz w:val="18"/>
                <w:szCs w:val="18"/>
              </w:rPr>
              <w:t>2027.01.18</w:t>
            </w:r>
          </w:p>
        </w:tc>
        <w:tc>
          <w:tcPr>
            <w:tcW w:w="1583" w:type="dxa"/>
            <w:vAlign w:val="center"/>
          </w:tcPr>
          <w:p w14:paraId="510C7111" w14:textId="77777777" w:rsidR="004B0883" w:rsidRDefault="004B0883">
            <w:pPr>
              <w:jc w:val="center"/>
              <w:rPr>
                <w:rFonts w:cs="宋体"/>
                <w:sz w:val="18"/>
                <w:szCs w:val="18"/>
              </w:rPr>
            </w:pPr>
            <w:r>
              <w:rPr>
                <w:rFonts w:ascii="宋体" w:hAnsi="宋体" w:cs="宋体" w:hint="eastAsia"/>
                <w:sz w:val="18"/>
                <w:szCs w:val="18"/>
              </w:rPr>
              <w:t>巴拿马</w:t>
            </w:r>
          </w:p>
        </w:tc>
      </w:tr>
      <w:tr w:rsidR="004B0883" w14:paraId="03A13F32" w14:textId="77777777">
        <w:trPr>
          <w:trHeight w:val="397"/>
        </w:trPr>
        <w:tc>
          <w:tcPr>
            <w:tcW w:w="713" w:type="dxa"/>
            <w:vAlign w:val="center"/>
          </w:tcPr>
          <w:p w14:paraId="58B0A0FF" w14:textId="77777777" w:rsidR="004B0883" w:rsidRDefault="004B0883">
            <w:pPr>
              <w:widowControl w:val="0"/>
              <w:numPr>
                <w:ilvl w:val="0"/>
                <w:numId w:val="26"/>
              </w:numPr>
              <w:ind w:left="0" w:firstLine="0"/>
              <w:jc w:val="center"/>
              <w:rPr>
                <w:rFonts w:cs="宋体"/>
                <w:b/>
                <w:bCs/>
                <w:sz w:val="18"/>
              </w:rPr>
            </w:pPr>
          </w:p>
        </w:tc>
        <w:tc>
          <w:tcPr>
            <w:tcW w:w="1880" w:type="dxa"/>
          </w:tcPr>
          <w:p w14:paraId="0B1D3D97" w14:textId="6D5A35D4" w:rsidR="004B0883" w:rsidRDefault="0090540C">
            <w:pPr>
              <w:jc w:val="center"/>
              <w:rPr>
                <w:rFonts w:cs="宋体"/>
                <w:b/>
                <w:bCs/>
                <w:sz w:val="18"/>
                <w:szCs w:val="18"/>
              </w:rPr>
            </w:pPr>
            <w:r>
              <w:rPr>
                <w:noProof/>
                <w:sz w:val="18"/>
                <w:szCs w:val="18"/>
              </w:rPr>
              <w:drawing>
                <wp:inline distT="0" distB="0" distL="0" distR="0" wp14:anchorId="3D41E5D1" wp14:editId="43C4BB82">
                  <wp:extent cx="572770" cy="294005"/>
                  <wp:effectExtent l="0" t="0" r="0" b="0"/>
                  <wp:docPr id="78"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7BD0935B" w14:textId="77777777" w:rsidR="004B0883" w:rsidRDefault="004B0883">
            <w:pPr>
              <w:jc w:val="center"/>
              <w:rPr>
                <w:sz w:val="18"/>
                <w:szCs w:val="18"/>
              </w:rPr>
            </w:pPr>
            <w:r>
              <w:rPr>
                <w:sz w:val="18"/>
                <w:szCs w:val="18"/>
              </w:rPr>
              <w:t>255744</w:t>
            </w:r>
          </w:p>
        </w:tc>
        <w:tc>
          <w:tcPr>
            <w:tcW w:w="1366" w:type="dxa"/>
            <w:vAlign w:val="center"/>
          </w:tcPr>
          <w:p w14:paraId="0BB21188" w14:textId="77777777" w:rsidR="004B0883" w:rsidRDefault="004B0883">
            <w:pPr>
              <w:jc w:val="center"/>
              <w:rPr>
                <w:sz w:val="18"/>
                <w:szCs w:val="18"/>
              </w:rPr>
            </w:pPr>
            <w:r>
              <w:rPr>
                <w:sz w:val="18"/>
                <w:szCs w:val="18"/>
              </w:rPr>
              <w:t>9</w:t>
            </w:r>
          </w:p>
        </w:tc>
        <w:tc>
          <w:tcPr>
            <w:tcW w:w="1409" w:type="dxa"/>
            <w:vAlign w:val="center"/>
          </w:tcPr>
          <w:p w14:paraId="49575178"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35DD31E0" w14:textId="77777777" w:rsidR="004B0883" w:rsidRDefault="004B0883">
            <w:pPr>
              <w:jc w:val="center"/>
              <w:rPr>
                <w:sz w:val="18"/>
                <w:szCs w:val="18"/>
              </w:rPr>
            </w:pPr>
            <w:r>
              <w:rPr>
                <w:sz w:val="18"/>
                <w:szCs w:val="18"/>
              </w:rPr>
              <w:t>2027.01.18</w:t>
            </w:r>
          </w:p>
        </w:tc>
        <w:tc>
          <w:tcPr>
            <w:tcW w:w="1583" w:type="dxa"/>
            <w:vAlign w:val="center"/>
          </w:tcPr>
          <w:p w14:paraId="01CF2A95" w14:textId="77777777" w:rsidR="004B0883" w:rsidRDefault="004B0883">
            <w:pPr>
              <w:jc w:val="center"/>
              <w:rPr>
                <w:rFonts w:cs="宋体"/>
                <w:sz w:val="18"/>
                <w:szCs w:val="18"/>
              </w:rPr>
            </w:pPr>
            <w:r>
              <w:rPr>
                <w:rFonts w:ascii="宋体" w:hAnsi="宋体" w:cs="宋体" w:hint="eastAsia"/>
                <w:sz w:val="18"/>
                <w:szCs w:val="18"/>
              </w:rPr>
              <w:t>巴拿马</w:t>
            </w:r>
          </w:p>
        </w:tc>
      </w:tr>
      <w:tr w:rsidR="004B0883" w14:paraId="3D608F51" w14:textId="77777777">
        <w:trPr>
          <w:trHeight w:val="397"/>
        </w:trPr>
        <w:tc>
          <w:tcPr>
            <w:tcW w:w="713" w:type="dxa"/>
            <w:vAlign w:val="center"/>
          </w:tcPr>
          <w:p w14:paraId="5C0202F5" w14:textId="77777777" w:rsidR="004B0883" w:rsidRDefault="004B0883">
            <w:pPr>
              <w:widowControl w:val="0"/>
              <w:numPr>
                <w:ilvl w:val="0"/>
                <w:numId w:val="26"/>
              </w:numPr>
              <w:ind w:left="0" w:firstLine="0"/>
              <w:jc w:val="center"/>
              <w:rPr>
                <w:rFonts w:cs="宋体"/>
                <w:b/>
                <w:bCs/>
                <w:sz w:val="18"/>
              </w:rPr>
            </w:pPr>
          </w:p>
        </w:tc>
        <w:tc>
          <w:tcPr>
            <w:tcW w:w="1880" w:type="dxa"/>
          </w:tcPr>
          <w:p w14:paraId="54385EC3" w14:textId="73255AFF" w:rsidR="004B0883" w:rsidRDefault="0090540C">
            <w:pPr>
              <w:jc w:val="center"/>
              <w:rPr>
                <w:rFonts w:cs="宋体"/>
                <w:b/>
                <w:bCs/>
                <w:sz w:val="18"/>
                <w:szCs w:val="18"/>
              </w:rPr>
            </w:pPr>
            <w:r>
              <w:rPr>
                <w:noProof/>
                <w:sz w:val="18"/>
                <w:szCs w:val="18"/>
              </w:rPr>
              <w:drawing>
                <wp:inline distT="0" distB="0" distL="0" distR="0" wp14:anchorId="241A5D71" wp14:editId="30922F17">
                  <wp:extent cx="572770" cy="294005"/>
                  <wp:effectExtent l="0" t="0" r="0" b="0"/>
                  <wp:docPr id="79"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119853BB" w14:textId="77777777" w:rsidR="004B0883" w:rsidRDefault="004B0883">
            <w:pPr>
              <w:jc w:val="center"/>
              <w:rPr>
                <w:sz w:val="18"/>
                <w:szCs w:val="18"/>
              </w:rPr>
            </w:pPr>
            <w:r>
              <w:rPr>
                <w:sz w:val="18"/>
                <w:szCs w:val="18"/>
              </w:rPr>
              <w:t>912157380</w:t>
            </w:r>
          </w:p>
        </w:tc>
        <w:tc>
          <w:tcPr>
            <w:tcW w:w="1366" w:type="dxa"/>
            <w:vAlign w:val="center"/>
          </w:tcPr>
          <w:p w14:paraId="1BD0EE33" w14:textId="77777777" w:rsidR="004B0883" w:rsidRDefault="004B0883">
            <w:pPr>
              <w:jc w:val="center"/>
              <w:rPr>
                <w:sz w:val="18"/>
                <w:szCs w:val="18"/>
              </w:rPr>
            </w:pPr>
            <w:r>
              <w:rPr>
                <w:sz w:val="18"/>
                <w:szCs w:val="18"/>
              </w:rPr>
              <w:t>11</w:t>
            </w:r>
          </w:p>
        </w:tc>
        <w:tc>
          <w:tcPr>
            <w:tcW w:w="1409" w:type="dxa"/>
            <w:vAlign w:val="center"/>
          </w:tcPr>
          <w:p w14:paraId="394ED605"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20756033" w14:textId="77777777" w:rsidR="004B0883" w:rsidRDefault="004B0883">
            <w:pPr>
              <w:jc w:val="center"/>
              <w:rPr>
                <w:sz w:val="18"/>
                <w:szCs w:val="18"/>
              </w:rPr>
            </w:pPr>
            <w:r>
              <w:rPr>
                <w:sz w:val="18"/>
                <w:szCs w:val="18"/>
              </w:rPr>
              <w:t>2028.08.07</w:t>
            </w:r>
          </w:p>
        </w:tc>
        <w:tc>
          <w:tcPr>
            <w:tcW w:w="1583" w:type="dxa"/>
            <w:vAlign w:val="center"/>
          </w:tcPr>
          <w:p w14:paraId="51F84AF6" w14:textId="77777777" w:rsidR="004B0883" w:rsidRDefault="004B0883">
            <w:pPr>
              <w:jc w:val="center"/>
              <w:rPr>
                <w:rFonts w:cs="宋体"/>
                <w:sz w:val="18"/>
                <w:szCs w:val="18"/>
              </w:rPr>
            </w:pPr>
            <w:r>
              <w:rPr>
                <w:rFonts w:ascii="宋体" w:hAnsi="宋体" w:cs="宋体" w:hint="eastAsia"/>
                <w:sz w:val="18"/>
                <w:szCs w:val="18"/>
              </w:rPr>
              <w:t>巴西</w:t>
            </w:r>
          </w:p>
        </w:tc>
      </w:tr>
      <w:tr w:rsidR="004B0883" w14:paraId="27965972" w14:textId="77777777">
        <w:trPr>
          <w:trHeight w:val="397"/>
        </w:trPr>
        <w:tc>
          <w:tcPr>
            <w:tcW w:w="713" w:type="dxa"/>
            <w:vAlign w:val="center"/>
          </w:tcPr>
          <w:p w14:paraId="3C66E8FF" w14:textId="77777777" w:rsidR="004B0883" w:rsidRDefault="004B0883">
            <w:pPr>
              <w:widowControl w:val="0"/>
              <w:numPr>
                <w:ilvl w:val="0"/>
                <w:numId w:val="26"/>
              </w:numPr>
              <w:ind w:left="0" w:firstLine="0"/>
              <w:jc w:val="center"/>
              <w:rPr>
                <w:rFonts w:cs="宋体"/>
                <w:b/>
                <w:bCs/>
                <w:sz w:val="18"/>
              </w:rPr>
            </w:pPr>
          </w:p>
        </w:tc>
        <w:tc>
          <w:tcPr>
            <w:tcW w:w="1880" w:type="dxa"/>
          </w:tcPr>
          <w:p w14:paraId="53055EEB" w14:textId="61C4ED18" w:rsidR="004B0883" w:rsidRDefault="0090540C">
            <w:pPr>
              <w:jc w:val="center"/>
              <w:rPr>
                <w:rFonts w:cs="宋体"/>
                <w:b/>
                <w:bCs/>
                <w:sz w:val="18"/>
                <w:szCs w:val="18"/>
              </w:rPr>
            </w:pPr>
            <w:r>
              <w:rPr>
                <w:noProof/>
                <w:sz w:val="18"/>
                <w:szCs w:val="18"/>
              </w:rPr>
              <w:drawing>
                <wp:inline distT="0" distB="0" distL="0" distR="0" wp14:anchorId="227F7BB7" wp14:editId="0FDB0E6C">
                  <wp:extent cx="572770" cy="294005"/>
                  <wp:effectExtent l="0" t="0" r="0" b="0"/>
                  <wp:docPr id="80"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101746E0" w14:textId="77777777" w:rsidR="004B0883" w:rsidRDefault="004B0883">
            <w:pPr>
              <w:jc w:val="center"/>
              <w:rPr>
                <w:sz w:val="18"/>
                <w:szCs w:val="18"/>
              </w:rPr>
            </w:pPr>
            <w:r>
              <w:rPr>
                <w:sz w:val="18"/>
                <w:szCs w:val="18"/>
              </w:rPr>
              <w:t>912157143</w:t>
            </w:r>
          </w:p>
        </w:tc>
        <w:tc>
          <w:tcPr>
            <w:tcW w:w="1366" w:type="dxa"/>
            <w:vAlign w:val="center"/>
          </w:tcPr>
          <w:p w14:paraId="6806A942" w14:textId="77777777" w:rsidR="004B0883" w:rsidRDefault="004B0883">
            <w:pPr>
              <w:jc w:val="center"/>
              <w:rPr>
                <w:sz w:val="18"/>
                <w:szCs w:val="18"/>
              </w:rPr>
            </w:pPr>
            <w:r>
              <w:rPr>
                <w:sz w:val="18"/>
                <w:szCs w:val="18"/>
              </w:rPr>
              <w:t>9</w:t>
            </w:r>
          </w:p>
        </w:tc>
        <w:tc>
          <w:tcPr>
            <w:tcW w:w="1409" w:type="dxa"/>
            <w:vAlign w:val="center"/>
          </w:tcPr>
          <w:p w14:paraId="6298376B"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0492FA09" w14:textId="77777777" w:rsidR="004B0883" w:rsidRDefault="004B0883">
            <w:pPr>
              <w:jc w:val="center"/>
              <w:rPr>
                <w:sz w:val="18"/>
                <w:szCs w:val="18"/>
              </w:rPr>
            </w:pPr>
            <w:r>
              <w:rPr>
                <w:sz w:val="18"/>
                <w:szCs w:val="18"/>
              </w:rPr>
              <w:t>2028.08.07</w:t>
            </w:r>
          </w:p>
        </w:tc>
        <w:tc>
          <w:tcPr>
            <w:tcW w:w="1583" w:type="dxa"/>
            <w:vAlign w:val="center"/>
          </w:tcPr>
          <w:p w14:paraId="158EEFE8" w14:textId="77777777" w:rsidR="004B0883" w:rsidRDefault="004B0883">
            <w:pPr>
              <w:jc w:val="center"/>
              <w:rPr>
                <w:rFonts w:cs="宋体"/>
                <w:sz w:val="18"/>
                <w:szCs w:val="18"/>
              </w:rPr>
            </w:pPr>
            <w:r>
              <w:rPr>
                <w:rFonts w:ascii="宋体" w:hAnsi="宋体" w:cs="宋体" w:hint="eastAsia"/>
                <w:sz w:val="18"/>
                <w:szCs w:val="18"/>
              </w:rPr>
              <w:t>巴西</w:t>
            </w:r>
          </w:p>
        </w:tc>
      </w:tr>
      <w:tr w:rsidR="004B0883" w14:paraId="453568CE" w14:textId="77777777">
        <w:trPr>
          <w:trHeight w:val="397"/>
        </w:trPr>
        <w:tc>
          <w:tcPr>
            <w:tcW w:w="713" w:type="dxa"/>
            <w:vAlign w:val="center"/>
          </w:tcPr>
          <w:p w14:paraId="4DF22CCD" w14:textId="77777777" w:rsidR="004B0883" w:rsidRDefault="004B0883">
            <w:pPr>
              <w:widowControl w:val="0"/>
              <w:numPr>
                <w:ilvl w:val="0"/>
                <w:numId w:val="26"/>
              </w:numPr>
              <w:ind w:left="0" w:firstLine="0"/>
              <w:jc w:val="center"/>
              <w:rPr>
                <w:rFonts w:cs="宋体"/>
                <w:b/>
                <w:bCs/>
                <w:sz w:val="18"/>
              </w:rPr>
            </w:pPr>
          </w:p>
        </w:tc>
        <w:tc>
          <w:tcPr>
            <w:tcW w:w="1880" w:type="dxa"/>
          </w:tcPr>
          <w:p w14:paraId="5EAD8BC3" w14:textId="2BBCFB18" w:rsidR="004B0883" w:rsidRDefault="0090540C">
            <w:pPr>
              <w:jc w:val="center"/>
              <w:rPr>
                <w:rFonts w:cs="宋体"/>
                <w:b/>
                <w:bCs/>
                <w:sz w:val="18"/>
                <w:szCs w:val="18"/>
              </w:rPr>
            </w:pPr>
            <w:r>
              <w:rPr>
                <w:noProof/>
                <w:sz w:val="18"/>
                <w:szCs w:val="18"/>
              </w:rPr>
              <w:drawing>
                <wp:inline distT="0" distB="0" distL="0" distR="0" wp14:anchorId="0FB9CFC9" wp14:editId="75D5F24A">
                  <wp:extent cx="572770" cy="294005"/>
                  <wp:effectExtent l="0" t="0" r="0" b="0"/>
                  <wp:docPr id="81"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42D7A922" w14:textId="77777777" w:rsidR="004B0883" w:rsidRDefault="004B0883">
            <w:pPr>
              <w:jc w:val="center"/>
              <w:rPr>
                <w:sz w:val="18"/>
                <w:szCs w:val="18"/>
              </w:rPr>
            </w:pPr>
            <w:r>
              <w:rPr>
                <w:sz w:val="18"/>
                <w:szCs w:val="18"/>
              </w:rPr>
              <w:t>907619290</w:t>
            </w:r>
          </w:p>
        </w:tc>
        <w:tc>
          <w:tcPr>
            <w:tcW w:w="1366" w:type="dxa"/>
            <w:vAlign w:val="center"/>
          </w:tcPr>
          <w:p w14:paraId="66804967" w14:textId="77777777" w:rsidR="004B0883" w:rsidRDefault="004B0883">
            <w:pPr>
              <w:jc w:val="center"/>
              <w:rPr>
                <w:sz w:val="18"/>
                <w:szCs w:val="18"/>
              </w:rPr>
            </w:pPr>
            <w:r>
              <w:rPr>
                <w:sz w:val="18"/>
                <w:szCs w:val="18"/>
              </w:rPr>
              <w:t>6</w:t>
            </w:r>
          </w:p>
        </w:tc>
        <w:tc>
          <w:tcPr>
            <w:tcW w:w="1409" w:type="dxa"/>
            <w:vAlign w:val="center"/>
          </w:tcPr>
          <w:p w14:paraId="628CDC44"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50EB1377" w14:textId="77777777" w:rsidR="004B0883" w:rsidRDefault="004B0883">
            <w:pPr>
              <w:jc w:val="center"/>
              <w:rPr>
                <w:sz w:val="18"/>
                <w:szCs w:val="18"/>
              </w:rPr>
            </w:pPr>
            <w:r>
              <w:rPr>
                <w:sz w:val="18"/>
                <w:szCs w:val="18"/>
              </w:rPr>
              <w:t>2026.12.20</w:t>
            </w:r>
          </w:p>
        </w:tc>
        <w:tc>
          <w:tcPr>
            <w:tcW w:w="1583" w:type="dxa"/>
            <w:vAlign w:val="center"/>
          </w:tcPr>
          <w:p w14:paraId="6556923F" w14:textId="77777777" w:rsidR="004B0883" w:rsidRDefault="004B0883">
            <w:pPr>
              <w:jc w:val="center"/>
              <w:rPr>
                <w:rFonts w:cs="宋体"/>
                <w:sz w:val="18"/>
                <w:szCs w:val="18"/>
              </w:rPr>
            </w:pPr>
            <w:r>
              <w:rPr>
                <w:rFonts w:ascii="宋体" w:hAnsi="宋体" w:cs="宋体" w:hint="eastAsia"/>
                <w:sz w:val="18"/>
                <w:szCs w:val="18"/>
              </w:rPr>
              <w:t>巴西</w:t>
            </w:r>
          </w:p>
        </w:tc>
      </w:tr>
      <w:tr w:rsidR="004B0883" w14:paraId="6FFC8F37" w14:textId="77777777">
        <w:trPr>
          <w:trHeight w:val="397"/>
        </w:trPr>
        <w:tc>
          <w:tcPr>
            <w:tcW w:w="713" w:type="dxa"/>
            <w:vAlign w:val="center"/>
          </w:tcPr>
          <w:p w14:paraId="2D029296" w14:textId="77777777" w:rsidR="004B0883" w:rsidRDefault="004B0883">
            <w:pPr>
              <w:widowControl w:val="0"/>
              <w:numPr>
                <w:ilvl w:val="0"/>
                <w:numId w:val="26"/>
              </w:numPr>
              <w:ind w:left="0" w:firstLine="0"/>
              <w:jc w:val="center"/>
              <w:rPr>
                <w:rFonts w:cs="宋体"/>
                <w:b/>
                <w:bCs/>
                <w:sz w:val="18"/>
              </w:rPr>
            </w:pPr>
          </w:p>
        </w:tc>
        <w:tc>
          <w:tcPr>
            <w:tcW w:w="1880" w:type="dxa"/>
          </w:tcPr>
          <w:p w14:paraId="56BE3F9C" w14:textId="6610963E" w:rsidR="004B0883" w:rsidRDefault="0090540C">
            <w:pPr>
              <w:jc w:val="center"/>
              <w:rPr>
                <w:sz w:val="18"/>
                <w:szCs w:val="18"/>
                <w:lang w:val="en-US" w:eastAsia="zh-CN"/>
              </w:rPr>
            </w:pPr>
            <w:r>
              <w:rPr>
                <w:noProof/>
                <w:sz w:val="18"/>
                <w:szCs w:val="18"/>
              </w:rPr>
              <w:drawing>
                <wp:inline distT="0" distB="0" distL="0" distR="0" wp14:anchorId="6664FD40" wp14:editId="18C8AFE5">
                  <wp:extent cx="572770" cy="294005"/>
                  <wp:effectExtent l="0" t="0" r="0" b="0"/>
                  <wp:docPr id="82"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5B9B2993" w14:textId="77777777" w:rsidR="004B0883" w:rsidRDefault="004B0883">
            <w:pPr>
              <w:jc w:val="center"/>
              <w:rPr>
                <w:sz w:val="18"/>
                <w:szCs w:val="18"/>
              </w:rPr>
            </w:pPr>
            <w:r>
              <w:rPr>
                <w:sz w:val="18"/>
                <w:szCs w:val="18"/>
              </w:rPr>
              <w:t>1148697</w:t>
            </w:r>
          </w:p>
        </w:tc>
        <w:tc>
          <w:tcPr>
            <w:tcW w:w="1366" w:type="dxa"/>
            <w:vAlign w:val="center"/>
          </w:tcPr>
          <w:p w14:paraId="6A96C770" w14:textId="77777777" w:rsidR="004B0883" w:rsidRDefault="004B0883">
            <w:pPr>
              <w:jc w:val="center"/>
              <w:rPr>
                <w:sz w:val="18"/>
                <w:szCs w:val="18"/>
              </w:rPr>
            </w:pPr>
            <w:r>
              <w:rPr>
                <w:sz w:val="18"/>
                <w:szCs w:val="18"/>
              </w:rPr>
              <w:t>6</w:t>
            </w:r>
          </w:p>
        </w:tc>
        <w:tc>
          <w:tcPr>
            <w:tcW w:w="1409" w:type="dxa"/>
            <w:vAlign w:val="center"/>
          </w:tcPr>
          <w:p w14:paraId="356E0821"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593A97CE" w14:textId="77777777" w:rsidR="004B0883" w:rsidRDefault="004B0883">
            <w:pPr>
              <w:jc w:val="center"/>
              <w:rPr>
                <w:sz w:val="18"/>
                <w:szCs w:val="18"/>
              </w:rPr>
            </w:pPr>
            <w:r>
              <w:rPr>
                <w:sz w:val="18"/>
                <w:szCs w:val="18"/>
              </w:rPr>
              <w:t>2024.01.04</w:t>
            </w:r>
          </w:p>
        </w:tc>
        <w:tc>
          <w:tcPr>
            <w:tcW w:w="1583" w:type="dxa"/>
            <w:vAlign w:val="center"/>
          </w:tcPr>
          <w:p w14:paraId="37DE8E0E" w14:textId="77777777" w:rsidR="004B0883" w:rsidRDefault="004B0883">
            <w:pPr>
              <w:jc w:val="center"/>
              <w:rPr>
                <w:rFonts w:cs="宋体"/>
                <w:sz w:val="18"/>
                <w:szCs w:val="18"/>
              </w:rPr>
            </w:pPr>
            <w:r>
              <w:rPr>
                <w:rFonts w:ascii="宋体" w:hAnsi="宋体" w:cs="宋体" w:hint="eastAsia"/>
                <w:sz w:val="18"/>
                <w:szCs w:val="18"/>
              </w:rPr>
              <w:t>智利</w:t>
            </w:r>
          </w:p>
        </w:tc>
      </w:tr>
      <w:tr w:rsidR="004B0883" w14:paraId="00E75A2F" w14:textId="77777777">
        <w:trPr>
          <w:trHeight w:val="397"/>
        </w:trPr>
        <w:tc>
          <w:tcPr>
            <w:tcW w:w="713" w:type="dxa"/>
            <w:vAlign w:val="center"/>
          </w:tcPr>
          <w:p w14:paraId="470F32E8" w14:textId="77777777" w:rsidR="004B0883" w:rsidRDefault="004B0883">
            <w:pPr>
              <w:widowControl w:val="0"/>
              <w:numPr>
                <w:ilvl w:val="0"/>
                <w:numId w:val="26"/>
              </w:numPr>
              <w:ind w:left="0" w:firstLine="0"/>
              <w:jc w:val="center"/>
              <w:rPr>
                <w:rFonts w:cs="宋体"/>
                <w:b/>
                <w:bCs/>
                <w:sz w:val="18"/>
              </w:rPr>
            </w:pPr>
          </w:p>
        </w:tc>
        <w:tc>
          <w:tcPr>
            <w:tcW w:w="1880" w:type="dxa"/>
          </w:tcPr>
          <w:p w14:paraId="2D20C6EC" w14:textId="6DC43DC4" w:rsidR="004B0883" w:rsidRDefault="0090540C">
            <w:pPr>
              <w:jc w:val="center"/>
              <w:rPr>
                <w:sz w:val="18"/>
                <w:szCs w:val="18"/>
                <w:lang w:val="en-US" w:eastAsia="zh-CN"/>
              </w:rPr>
            </w:pPr>
            <w:r>
              <w:rPr>
                <w:noProof/>
                <w:sz w:val="18"/>
                <w:szCs w:val="18"/>
              </w:rPr>
              <w:drawing>
                <wp:inline distT="0" distB="0" distL="0" distR="0" wp14:anchorId="4B547909" wp14:editId="0441DCE7">
                  <wp:extent cx="572770" cy="294005"/>
                  <wp:effectExtent l="0" t="0" r="0" b="0"/>
                  <wp:docPr id="83"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5D7C2100" w14:textId="77777777" w:rsidR="004B0883" w:rsidRDefault="004B0883">
            <w:pPr>
              <w:jc w:val="center"/>
              <w:rPr>
                <w:sz w:val="18"/>
                <w:szCs w:val="18"/>
              </w:rPr>
            </w:pPr>
            <w:r>
              <w:rPr>
                <w:sz w:val="18"/>
                <w:szCs w:val="18"/>
              </w:rPr>
              <w:t>1236559</w:t>
            </w:r>
          </w:p>
          <w:p w14:paraId="7E0AF1F6" w14:textId="77777777" w:rsidR="004B0883" w:rsidRDefault="004B0883">
            <w:pPr>
              <w:jc w:val="center"/>
              <w:rPr>
                <w:sz w:val="18"/>
                <w:szCs w:val="18"/>
              </w:rPr>
            </w:pPr>
            <w:r>
              <w:rPr>
                <w:sz w:val="18"/>
                <w:szCs w:val="18"/>
              </w:rPr>
              <w:t>/1244134</w:t>
            </w:r>
          </w:p>
        </w:tc>
        <w:tc>
          <w:tcPr>
            <w:tcW w:w="1366" w:type="dxa"/>
            <w:vAlign w:val="center"/>
          </w:tcPr>
          <w:p w14:paraId="04F158F7" w14:textId="77777777" w:rsidR="004B0883" w:rsidRDefault="004B0883">
            <w:pPr>
              <w:jc w:val="center"/>
              <w:rPr>
                <w:sz w:val="18"/>
                <w:szCs w:val="18"/>
              </w:rPr>
            </w:pPr>
            <w:r>
              <w:rPr>
                <w:sz w:val="18"/>
                <w:szCs w:val="18"/>
              </w:rPr>
              <w:t>11</w:t>
            </w:r>
          </w:p>
        </w:tc>
        <w:tc>
          <w:tcPr>
            <w:tcW w:w="1409" w:type="dxa"/>
            <w:vAlign w:val="center"/>
          </w:tcPr>
          <w:p w14:paraId="39EEB31A"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1559CF34" w14:textId="77777777" w:rsidR="004B0883" w:rsidRDefault="004B0883">
            <w:pPr>
              <w:jc w:val="center"/>
              <w:rPr>
                <w:sz w:val="18"/>
                <w:szCs w:val="18"/>
              </w:rPr>
            </w:pPr>
            <w:r>
              <w:rPr>
                <w:sz w:val="18"/>
                <w:szCs w:val="18"/>
              </w:rPr>
              <w:t>2027.04.12</w:t>
            </w:r>
          </w:p>
        </w:tc>
        <w:tc>
          <w:tcPr>
            <w:tcW w:w="1583" w:type="dxa"/>
            <w:vAlign w:val="center"/>
          </w:tcPr>
          <w:p w14:paraId="316EC0CE" w14:textId="77777777" w:rsidR="004B0883" w:rsidRDefault="004B0883">
            <w:pPr>
              <w:jc w:val="center"/>
              <w:rPr>
                <w:rFonts w:cs="宋体"/>
                <w:sz w:val="18"/>
                <w:szCs w:val="18"/>
              </w:rPr>
            </w:pPr>
            <w:r>
              <w:rPr>
                <w:rFonts w:ascii="宋体" w:hAnsi="宋体" w:cs="宋体" w:hint="eastAsia"/>
                <w:sz w:val="18"/>
                <w:szCs w:val="18"/>
              </w:rPr>
              <w:t>智利</w:t>
            </w:r>
          </w:p>
        </w:tc>
      </w:tr>
      <w:tr w:rsidR="004B0883" w14:paraId="4035252E" w14:textId="77777777">
        <w:trPr>
          <w:trHeight w:val="397"/>
        </w:trPr>
        <w:tc>
          <w:tcPr>
            <w:tcW w:w="713" w:type="dxa"/>
            <w:vAlign w:val="center"/>
          </w:tcPr>
          <w:p w14:paraId="467B6B28" w14:textId="77777777" w:rsidR="004B0883" w:rsidRDefault="004B0883">
            <w:pPr>
              <w:widowControl w:val="0"/>
              <w:numPr>
                <w:ilvl w:val="0"/>
                <w:numId w:val="26"/>
              </w:numPr>
              <w:ind w:left="0" w:firstLine="0"/>
              <w:jc w:val="center"/>
              <w:rPr>
                <w:rFonts w:cs="宋体"/>
                <w:b/>
                <w:bCs/>
                <w:sz w:val="18"/>
              </w:rPr>
            </w:pPr>
          </w:p>
        </w:tc>
        <w:tc>
          <w:tcPr>
            <w:tcW w:w="1880" w:type="dxa"/>
          </w:tcPr>
          <w:p w14:paraId="07CAAC36" w14:textId="2F6F95E4" w:rsidR="004B0883" w:rsidRDefault="0090540C">
            <w:pPr>
              <w:jc w:val="center"/>
              <w:rPr>
                <w:sz w:val="18"/>
                <w:szCs w:val="18"/>
                <w:lang w:val="en-US" w:eastAsia="zh-CN"/>
              </w:rPr>
            </w:pPr>
            <w:r>
              <w:rPr>
                <w:noProof/>
                <w:sz w:val="18"/>
                <w:szCs w:val="18"/>
              </w:rPr>
              <w:drawing>
                <wp:inline distT="0" distB="0" distL="0" distR="0" wp14:anchorId="02B4209F" wp14:editId="26A8A931">
                  <wp:extent cx="572770" cy="294005"/>
                  <wp:effectExtent l="0" t="0" r="0" b="0"/>
                  <wp:docPr id="84"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053D47EC" w14:textId="77777777" w:rsidR="004B0883" w:rsidRDefault="004B0883">
            <w:pPr>
              <w:jc w:val="center"/>
              <w:rPr>
                <w:sz w:val="18"/>
                <w:szCs w:val="18"/>
              </w:rPr>
            </w:pPr>
            <w:r>
              <w:rPr>
                <w:sz w:val="18"/>
                <w:szCs w:val="18"/>
              </w:rPr>
              <w:t>1236556</w:t>
            </w:r>
          </w:p>
          <w:p w14:paraId="1AFCD3F8" w14:textId="77777777" w:rsidR="004B0883" w:rsidRDefault="004B0883">
            <w:pPr>
              <w:jc w:val="center"/>
              <w:rPr>
                <w:sz w:val="18"/>
                <w:szCs w:val="18"/>
              </w:rPr>
            </w:pPr>
            <w:r>
              <w:rPr>
                <w:sz w:val="18"/>
                <w:szCs w:val="18"/>
              </w:rPr>
              <w:t>/1244133</w:t>
            </w:r>
          </w:p>
        </w:tc>
        <w:tc>
          <w:tcPr>
            <w:tcW w:w="1366" w:type="dxa"/>
            <w:vAlign w:val="center"/>
          </w:tcPr>
          <w:p w14:paraId="705CA383" w14:textId="77777777" w:rsidR="004B0883" w:rsidRDefault="004B0883">
            <w:pPr>
              <w:jc w:val="center"/>
              <w:rPr>
                <w:sz w:val="18"/>
                <w:szCs w:val="18"/>
              </w:rPr>
            </w:pPr>
            <w:r>
              <w:rPr>
                <w:sz w:val="18"/>
                <w:szCs w:val="18"/>
              </w:rPr>
              <w:t>9</w:t>
            </w:r>
          </w:p>
        </w:tc>
        <w:tc>
          <w:tcPr>
            <w:tcW w:w="1409" w:type="dxa"/>
            <w:vAlign w:val="center"/>
          </w:tcPr>
          <w:p w14:paraId="2CF9D14D"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06DF426E" w14:textId="77777777" w:rsidR="004B0883" w:rsidRDefault="004B0883">
            <w:pPr>
              <w:jc w:val="center"/>
              <w:rPr>
                <w:sz w:val="18"/>
                <w:szCs w:val="18"/>
              </w:rPr>
            </w:pPr>
            <w:r>
              <w:rPr>
                <w:sz w:val="18"/>
                <w:szCs w:val="18"/>
              </w:rPr>
              <w:t>2027.04.12</w:t>
            </w:r>
          </w:p>
        </w:tc>
        <w:tc>
          <w:tcPr>
            <w:tcW w:w="1583" w:type="dxa"/>
            <w:vAlign w:val="center"/>
          </w:tcPr>
          <w:p w14:paraId="3E042611" w14:textId="77777777" w:rsidR="004B0883" w:rsidRDefault="004B0883">
            <w:pPr>
              <w:jc w:val="center"/>
              <w:rPr>
                <w:rFonts w:cs="宋体"/>
                <w:sz w:val="18"/>
                <w:szCs w:val="18"/>
              </w:rPr>
            </w:pPr>
            <w:r>
              <w:rPr>
                <w:rFonts w:ascii="宋体" w:hAnsi="宋体" w:cs="宋体" w:hint="eastAsia"/>
                <w:sz w:val="18"/>
                <w:szCs w:val="18"/>
              </w:rPr>
              <w:t>智利</w:t>
            </w:r>
          </w:p>
        </w:tc>
      </w:tr>
      <w:tr w:rsidR="004B0883" w14:paraId="0626F480" w14:textId="77777777">
        <w:trPr>
          <w:trHeight w:val="397"/>
        </w:trPr>
        <w:tc>
          <w:tcPr>
            <w:tcW w:w="713" w:type="dxa"/>
            <w:vAlign w:val="center"/>
          </w:tcPr>
          <w:p w14:paraId="51E028BB" w14:textId="77777777" w:rsidR="004B0883" w:rsidRDefault="004B0883">
            <w:pPr>
              <w:widowControl w:val="0"/>
              <w:numPr>
                <w:ilvl w:val="0"/>
                <w:numId w:val="26"/>
              </w:numPr>
              <w:ind w:left="0" w:firstLine="0"/>
              <w:jc w:val="center"/>
              <w:rPr>
                <w:rFonts w:cs="宋体"/>
                <w:b/>
                <w:bCs/>
                <w:sz w:val="18"/>
              </w:rPr>
            </w:pPr>
          </w:p>
        </w:tc>
        <w:tc>
          <w:tcPr>
            <w:tcW w:w="1880" w:type="dxa"/>
          </w:tcPr>
          <w:p w14:paraId="1F8771AA" w14:textId="07B644E9" w:rsidR="004B0883" w:rsidRDefault="0090540C">
            <w:pPr>
              <w:jc w:val="center"/>
              <w:rPr>
                <w:sz w:val="18"/>
                <w:szCs w:val="18"/>
                <w:lang w:val="en-US" w:eastAsia="zh-CN"/>
              </w:rPr>
            </w:pPr>
            <w:r>
              <w:rPr>
                <w:noProof/>
                <w:sz w:val="18"/>
                <w:szCs w:val="18"/>
              </w:rPr>
              <w:drawing>
                <wp:inline distT="0" distB="0" distL="0" distR="0" wp14:anchorId="535418C7" wp14:editId="2F7DC9DF">
                  <wp:extent cx="572770" cy="294005"/>
                  <wp:effectExtent l="0" t="0" r="0" b="0"/>
                  <wp:docPr id="85"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2A205788" w14:textId="77777777" w:rsidR="004B0883" w:rsidRDefault="004B0883">
            <w:pPr>
              <w:jc w:val="center"/>
              <w:rPr>
                <w:sz w:val="18"/>
                <w:szCs w:val="18"/>
              </w:rPr>
            </w:pPr>
            <w:r>
              <w:rPr>
                <w:sz w:val="18"/>
                <w:szCs w:val="18"/>
              </w:rPr>
              <w:t>573557-</w:t>
            </w:r>
          </w:p>
          <w:p w14:paraId="35CACEE7" w14:textId="77777777" w:rsidR="004B0883" w:rsidRDefault="004B0883">
            <w:pPr>
              <w:jc w:val="center"/>
              <w:rPr>
                <w:sz w:val="18"/>
                <w:szCs w:val="18"/>
              </w:rPr>
            </w:pPr>
            <w:r>
              <w:rPr>
                <w:sz w:val="18"/>
                <w:szCs w:val="18"/>
              </w:rPr>
              <w:t>2014/216579</w:t>
            </w:r>
          </w:p>
        </w:tc>
        <w:tc>
          <w:tcPr>
            <w:tcW w:w="1366" w:type="dxa"/>
            <w:vAlign w:val="center"/>
          </w:tcPr>
          <w:p w14:paraId="40704D3C" w14:textId="77777777" w:rsidR="004B0883" w:rsidRDefault="004B0883">
            <w:pPr>
              <w:jc w:val="center"/>
              <w:rPr>
                <w:sz w:val="18"/>
                <w:szCs w:val="18"/>
              </w:rPr>
            </w:pPr>
            <w:r>
              <w:rPr>
                <w:sz w:val="18"/>
                <w:szCs w:val="18"/>
              </w:rPr>
              <w:t>6</w:t>
            </w:r>
          </w:p>
        </w:tc>
        <w:tc>
          <w:tcPr>
            <w:tcW w:w="1409" w:type="dxa"/>
            <w:vAlign w:val="center"/>
          </w:tcPr>
          <w:p w14:paraId="2F4FBE0E"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213AEEF6" w14:textId="77777777" w:rsidR="004B0883" w:rsidRDefault="004B0883">
            <w:pPr>
              <w:jc w:val="center"/>
              <w:rPr>
                <w:sz w:val="18"/>
                <w:szCs w:val="18"/>
              </w:rPr>
            </w:pPr>
            <w:r>
              <w:rPr>
                <w:sz w:val="18"/>
                <w:szCs w:val="18"/>
              </w:rPr>
              <w:t>2024.10.08</w:t>
            </w:r>
          </w:p>
        </w:tc>
        <w:tc>
          <w:tcPr>
            <w:tcW w:w="1583" w:type="dxa"/>
            <w:vAlign w:val="center"/>
          </w:tcPr>
          <w:p w14:paraId="6CEE1EF8" w14:textId="77777777" w:rsidR="004B0883" w:rsidRDefault="004B0883">
            <w:pPr>
              <w:jc w:val="center"/>
              <w:rPr>
                <w:rFonts w:cs="宋体"/>
                <w:sz w:val="18"/>
                <w:szCs w:val="18"/>
              </w:rPr>
            </w:pPr>
            <w:r>
              <w:rPr>
                <w:rFonts w:ascii="宋体" w:hAnsi="宋体" w:cs="宋体" w:hint="eastAsia"/>
                <w:sz w:val="18"/>
                <w:szCs w:val="18"/>
              </w:rPr>
              <w:t>秘鲁</w:t>
            </w:r>
          </w:p>
        </w:tc>
      </w:tr>
      <w:tr w:rsidR="004B0883" w14:paraId="41991568" w14:textId="77777777">
        <w:trPr>
          <w:trHeight w:val="397"/>
        </w:trPr>
        <w:tc>
          <w:tcPr>
            <w:tcW w:w="713" w:type="dxa"/>
            <w:vAlign w:val="center"/>
          </w:tcPr>
          <w:p w14:paraId="1F7E9543" w14:textId="77777777" w:rsidR="004B0883" w:rsidRDefault="004B0883">
            <w:pPr>
              <w:widowControl w:val="0"/>
              <w:numPr>
                <w:ilvl w:val="0"/>
                <w:numId w:val="26"/>
              </w:numPr>
              <w:ind w:left="0" w:firstLine="0"/>
              <w:jc w:val="center"/>
              <w:rPr>
                <w:rFonts w:cs="宋体"/>
                <w:b/>
                <w:bCs/>
                <w:sz w:val="18"/>
              </w:rPr>
            </w:pPr>
          </w:p>
        </w:tc>
        <w:tc>
          <w:tcPr>
            <w:tcW w:w="1880" w:type="dxa"/>
          </w:tcPr>
          <w:p w14:paraId="5630FF1C" w14:textId="1429C4CB" w:rsidR="004B0883" w:rsidRDefault="0090540C">
            <w:pPr>
              <w:jc w:val="center"/>
              <w:rPr>
                <w:sz w:val="18"/>
                <w:szCs w:val="18"/>
                <w:lang w:val="en-US" w:eastAsia="zh-CN"/>
              </w:rPr>
            </w:pPr>
            <w:r>
              <w:rPr>
                <w:noProof/>
                <w:sz w:val="18"/>
                <w:szCs w:val="18"/>
              </w:rPr>
              <w:drawing>
                <wp:inline distT="0" distB="0" distL="0" distR="0" wp14:anchorId="5C4759CB" wp14:editId="279EDA4F">
                  <wp:extent cx="572770" cy="294005"/>
                  <wp:effectExtent l="0" t="0" r="0" b="0"/>
                  <wp:docPr id="86"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30B7B1DC" w14:textId="77777777" w:rsidR="004B0883" w:rsidRDefault="004B0883">
            <w:pPr>
              <w:jc w:val="center"/>
              <w:rPr>
                <w:sz w:val="18"/>
                <w:szCs w:val="18"/>
              </w:rPr>
            </w:pPr>
            <w:r>
              <w:rPr>
                <w:sz w:val="18"/>
                <w:szCs w:val="18"/>
              </w:rPr>
              <w:t>689642-</w:t>
            </w:r>
          </w:p>
          <w:p w14:paraId="122F12DA" w14:textId="77777777" w:rsidR="004B0883" w:rsidRDefault="004B0883">
            <w:pPr>
              <w:jc w:val="center"/>
              <w:rPr>
                <w:sz w:val="18"/>
                <w:szCs w:val="18"/>
              </w:rPr>
            </w:pPr>
            <w:r>
              <w:rPr>
                <w:sz w:val="18"/>
                <w:szCs w:val="18"/>
              </w:rPr>
              <w:t>2017/249044</w:t>
            </w:r>
          </w:p>
        </w:tc>
        <w:tc>
          <w:tcPr>
            <w:tcW w:w="1366" w:type="dxa"/>
            <w:vAlign w:val="center"/>
          </w:tcPr>
          <w:p w14:paraId="32F2E513" w14:textId="77777777" w:rsidR="004B0883" w:rsidRDefault="004B0883">
            <w:pPr>
              <w:jc w:val="center"/>
              <w:rPr>
                <w:sz w:val="18"/>
                <w:szCs w:val="18"/>
              </w:rPr>
            </w:pPr>
            <w:r>
              <w:rPr>
                <w:sz w:val="18"/>
                <w:szCs w:val="18"/>
              </w:rPr>
              <w:t>11</w:t>
            </w:r>
          </w:p>
        </w:tc>
        <w:tc>
          <w:tcPr>
            <w:tcW w:w="1409" w:type="dxa"/>
            <w:vAlign w:val="center"/>
          </w:tcPr>
          <w:p w14:paraId="2B4AE65E"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73745D2B" w14:textId="77777777" w:rsidR="004B0883" w:rsidRDefault="004B0883">
            <w:pPr>
              <w:jc w:val="center"/>
              <w:rPr>
                <w:sz w:val="18"/>
                <w:szCs w:val="18"/>
              </w:rPr>
            </w:pPr>
            <w:r>
              <w:rPr>
                <w:sz w:val="18"/>
                <w:szCs w:val="18"/>
              </w:rPr>
              <w:t>2027.04.10</w:t>
            </w:r>
          </w:p>
        </w:tc>
        <w:tc>
          <w:tcPr>
            <w:tcW w:w="1583" w:type="dxa"/>
            <w:vAlign w:val="center"/>
          </w:tcPr>
          <w:p w14:paraId="52271D3A" w14:textId="77777777" w:rsidR="004B0883" w:rsidRDefault="004B0883">
            <w:pPr>
              <w:jc w:val="center"/>
              <w:rPr>
                <w:rFonts w:cs="宋体"/>
                <w:sz w:val="18"/>
                <w:szCs w:val="18"/>
              </w:rPr>
            </w:pPr>
            <w:r>
              <w:rPr>
                <w:rFonts w:ascii="宋体" w:hAnsi="宋体" w:cs="宋体" w:hint="eastAsia"/>
                <w:sz w:val="18"/>
                <w:szCs w:val="18"/>
              </w:rPr>
              <w:t>秘鲁</w:t>
            </w:r>
          </w:p>
        </w:tc>
      </w:tr>
      <w:tr w:rsidR="004B0883" w14:paraId="119E5EF5" w14:textId="77777777">
        <w:trPr>
          <w:trHeight w:val="397"/>
        </w:trPr>
        <w:tc>
          <w:tcPr>
            <w:tcW w:w="713" w:type="dxa"/>
            <w:vAlign w:val="center"/>
          </w:tcPr>
          <w:p w14:paraId="28D720BB" w14:textId="77777777" w:rsidR="004B0883" w:rsidRDefault="004B0883">
            <w:pPr>
              <w:widowControl w:val="0"/>
              <w:numPr>
                <w:ilvl w:val="0"/>
                <w:numId w:val="26"/>
              </w:numPr>
              <w:ind w:left="0" w:firstLine="0"/>
              <w:jc w:val="center"/>
              <w:rPr>
                <w:rFonts w:cs="宋体"/>
                <w:b/>
                <w:bCs/>
                <w:sz w:val="18"/>
              </w:rPr>
            </w:pPr>
          </w:p>
        </w:tc>
        <w:tc>
          <w:tcPr>
            <w:tcW w:w="1880" w:type="dxa"/>
          </w:tcPr>
          <w:p w14:paraId="600F79A0" w14:textId="5FD9B53D" w:rsidR="004B0883" w:rsidRDefault="0090540C">
            <w:pPr>
              <w:jc w:val="center"/>
              <w:rPr>
                <w:sz w:val="18"/>
                <w:szCs w:val="18"/>
                <w:lang w:val="en-US" w:eastAsia="zh-CN"/>
              </w:rPr>
            </w:pPr>
            <w:r>
              <w:rPr>
                <w:noProof/>
                <w:sz w:val="18"/>
                <w:szCs w:val="18"/>
              </w:rPr>
              <w:drawing>
                <wp:inline distT="0" distB="0" distL="0" distR="0" wp14:anchorId="384CA6E0" wp14:editId="17BD9A6B">
                  <wp:extent cx="572770" cy="294005"/>
                  <wp:effectExtent l="0" t="0" r="0" b="0"/>
                  <wp:docPr id="87"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4CB9EB35" w14:textId="77777777" w:rsidR="004B0883" w:rsidRDefault="004B0883">
            <w:pPr>
              <w:jc w:val="center"/>
              <w:rPr>
                <w:sz w:val="18"/>
                <w:szCs w:val="18"/>
              </w:rPr>
            </w:pPr>
            <w:r>
              <w:rPr>
                <w:sz w:val="18"/>
                <w:szCs w:val="18"/>
              </w:rPr>
              <w:t>689641-</w:t>
            </w:r>
          </w:p>
          <w:p w14:paraId="1381224E" w14:textId="77777777" w:rsidR="004B0883" w:rsidRDefault="004B0883">
            <w:pPr>
              <w:jc w:val="center"/>
              <w:rPr>
                <w:sz w:val="18"/>
                <w:szCs w:val="18"/>
              </w:rPr>
            </w:pPr>
            <w:r>
              <w:rPr>
                <w:sz w:val="18"/>
                <w:szCs w:val="18"/>
              </w:rPr>
              <w:t>2017/248808</w:t>
            </w:r>
          </w:p>
        </w:tc>
        <w:tc>
          <w:tcPr>
            <w:tcW w:w="1366" w:type="dxa"/>
            <w:vAlign w:val="center"/>
          </w:tcPr>
          <w:p w14:paraId="5C0DB9D7" w14:textId="77777777" w:rsidR="004B0883" w:rsidRDefault="004B0883">
            <w:pPr>
              <w:jc w:val="center"/>
              <w:rPr>
                <w:sz w:val="18"/>
                <w:szCs w:val="18"/>
              </w:rPr>
            </w:pPr>
            <w:r>
              <w:rPr>
                <w:sz w:val="18"/>
                <w:szCs w:val="18"/>
              </w:rPr>
              <w:t>9</w:t>
            </w:r>
          </w:p>
        </w:tc>
        <w:tc>
          <w:tcPr>
            <w:tcW w:w="1409" w:type="dxa"/>
            <w:vAlign w:val="center"/>
          </w:tcPr>
          <w:p w14:paraId="159F4D17"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1B5D38FC" w14:textId="77777777" w:rsidR="004B0883" w:rsidRDefault="004B0883">
            <w:pPr>
              <w:jc w:val="center"/>
              <w:rPr>
                <w:sz w:val="18"/>
                <w:szCs w:val="18"/>
              </w:rPr>
            </w:pPr>
            <w:r>
              <w:rPr>
                <w:sz w:val="18"/>
                <w:szCs w:val="18"/>
              </w:rPr>
              <w:t>2027.03.31</w:t>
            </w:r>
          </w:p>
        </w:tc>
        <w:tc>
          <w:tcPr>
            <w:tcW w:w="1583" w:type="dxa"/>
            <w:vAlign w:val="center"/>
          </w:tcPr>
          <w:p w14:paraId="625FD5EA" w14:textId="77777777" w:rsidR="004B0883" w:rsidRDefault="004B0883">
            <w:pPr>
              <w:jc w:val="center"/>
              <w:rPr>
                <w:rFonts w:cs="宋体"/>
                <w:sz w:val="18"/>
                <w:szCs w:val="18"/>
              </w:rPr>
            </w:pPr>
            <w:r>
              <w:rPr>
                <w:rFonts w:ascii="宋体" w:hAnsi="宋体" w:cs="宋体" w:hint="eastAsia"/>
                <w:sz w:val="18"/>
                <w:szCs w:val="18"/>
              </w:rPr>
              <w:t>秘鲁</w:t>
            </w:r>
          </w:p>
        </w:tc>
      </w:tr>
      <w:tr w:rsidR="004B0883" w14:paraId="7C91766A" w14:textId="77777777">
        <w:trPr>
          <w:trHeight w:val="397"/>
        </w:trPr>
        <w:tc>
          <w:tcPr>
            <w:tcW w:w="713" w:type="dxa"/>
            <w:vAlign w:val="center"/>
          </w:tcPr>
          <w:p w14:paraId="03AD9488" w14:textId="77777777" w:rsidR="004B0883" w:rsidRDefault="004B0883">
            <w:pPr>
              <w:widowControl w:val="0"/>
              <w:numPr>
                <w:ilvl w:val="0"/>
                <w:numId w:val="26"/>
              </w:numPr>
              <w:ind w:left="0" w:firstLine="0"/>
              <w:jc w:val="center"/>
              <w:rPr>
                <w:rFonts w:cs="宋体"/>
                <w:b/>
                <w:bCs/>
                <w:sz w:val="18"/>
              </w:rPr>
            </w:pPr>
          </w:p>
        </w:tc>
        <w:tc>
          <w:tcPr>
            <w:tcW w:w="1880" w:type="dxa"/>
          </w:tcPr>
          <w:p w14:paraId="3527C95F" w14:textId="016A9754" w:rsidR="004B0883" w:rsidRDefault="0090540C">
            <w:pPr>
              <w:jc w:val="center"/>
              <w:rPr>
                <w:sz w:val="18"/>
                <w:szCs w:val="18"/>
                <w:lang w:val="en-US" w:eastAsia="zh-CN"/>
              </w:rPr>
            </w:pPr>
            <w:r>
              <w:rPr>
                <w:noProof/>
                <w:sz w:val="18"/>
                <w:szCs w:val="18"/>
              </w:rPr>
              <w:drawing>
                <wp:inline distT="0" distB="0" distL="0" distR="0" wp14:anchorId="6FAAA8F4" wp14:editId="66E1D9BA">
                  <wp:extent cx="572770" cy="294005"/>
                  <wp:effectExtent l="0" t="0" r="0" b="0"/>
                  <wp:docPr id="88"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5265228B" w14:textId="77777777" w:rsidR="004B0883" w:rsidRDefault="004B0883">
            <w:pPr>
              <w:jc w:val="center"/>
              <w:rPr>
                <w:sz w:val="18"/>
                <w:szCs w:val="18"/>
              </w:rPr>
            </w:pPr>
            <w:r>
              <w:rPr>
                <w:sz w:val="18"/>
                <w:szCs w:val="18"/>
              </w:rPr>
              <w:t>2017/00372</w:t>
            </w:r>
          </w:p>
        </w:tc>
        <w:tc>
          <w:tcPr>
            <w:tcW w:w="1366" w:type="dxa"/>
            <w:vAlign w:val="center"/>
          </w:tcPr>
          <w:p w14:paraId="0CEB10F5" w14:textId="77777777" w:rsidR="004B0883" w:rsidRDefault="004B0883">
            <w:pPr>
              <w:jc w:val="center"/>
              <w:rPr>
                <w:sz w:val="18"/>
                <w:szCs w:val="18"/>
              </w:rPr>
            </w:pPr>
            <w:r>
              <w:rPr>
                <w:sz w:val="18"/>
                <w:szCs w:val="18"/>
              </w:rPr>
              <w:t>9</w:t>
            </w:r>
          </w:p>
        </w:tc>
        <w:tc>
          <w:tcPr>
            <w:tcW w:w="1409" w:type="dxa"/>
            <w:vAlign w:val="center"/>
          </w:tcPr>
          <w:p w14:paraId="30F62E0B"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6F5127D2" w14:textId="77777777" w:rsidR="004B0883" w:rsidRDefault="004B0883">
            <w:pPr>
              <w:jc w:val="center"/>
              <w:rPr>
                <w:sz w:val="18"/>
                <w:szCs w:val="18"/>
              </w:rPr>
            </w:pPr>
            <w:r>
              <w:rPr>
                <w:sz w:val="18"/>
                <w:szCs w:val="18"/>
              </w:rPr>
              <w:t>2027.01.04</w:t>
            </w:r>
          </w:p>
        </w:tc>
        <w:tc>
          <w:tcPr>
            <w:tcW w:w="1583" w:type="dxa"/>
            <w:vAlign w:val="center"/>
          </w:tcPr>
          <w:p w14:paraId="17719C9A" w14:textId="77777777" w:rsidR="004B0883" w:rsidRDefault="004B0883">
            <w:pPr>
              <w:jc w:val="center"/>
              <w:rPr>
                <w:rFonts w:cs="宋体"/>
                <w:sz w:val="18"/>
                <w:szCs w:val="18"/>
              </w:rPr>
            </w:pPr>
            <w:r>
              <w:rPr>
                <w:rFonts w:ascii="宋体" w:hAnsi="宋体" w:cs="宋体" w:hint="eastAsia"/>
                <w:sz w:val="18"/>
                <w:szCs w:val="18"/>
              </w:rPr>
              <w:t>南非</w:t>
            </w:r>
          </w:p>
        </w:tc>
      </w:tr>
      <w:tr w:rsidR="004B0883" w14:paraId="22B31CC5" w14:textId="77777777">
        <w:trPr>
          <w:trHeight w:val="397"/>
        </w:trPr>
        <w:tc>
          <w:tcPr>
            <w:tcW w:w="713" w:type="dxa"/>
            <w:vAlign w:val="center"/>
          </w:tcPr>
          <w:p w14:paraId="7378C2BB" w14:textId="77777777" w:rsidR="004B0883" w:rsidRDefault="004B0883">
            <w:pPr>
              <w:widowControl w:val="0"/>
              <w:numPr>
                <w:ilvl w:val="0"/>
                <w:numId w:val="26"/>
              </w:numPr>
              <w:ind w:left="0" w:firstLine="0"/>
              <w:jc w:val="center"/>
              <w:rPr>
                <w:rFonts w:cs="宋体"/>
                <w:b/>
                <w:bCs/>
                <w:sz w:val="18"/>
              </w:rPr>
            </w:pPr>
          </w:p>
        </w:tc>
        <w:tc>
          <w:tcPr>
            <w:tcW w:w="1880" w:type="dxa"/>
          </w:tcPr>
          <w:p w14:paraId="7AD37472" w14:textId="4AC3CB8C" w:rsidR="004B0883" w:rsidRDefault="0090540C">
            <w:pPr>
              <w:jc w:val="center"/>
              <w:rPr>
                <w:sz w:val="18"/>
                <w:szCs w:val="18"/>
                <w:lang w:val="en-US" w:eastAsia="zh-CN"/>
              </w:rPr>
            </w:pPr>
            <w:r>
              <w:rPr>
                <w:noProof/>
                <w:sz w:val="18"/>
                <w:szCs w:val="18"/>
              </w:rPr>
              <w:drawing>
                <wp:inline distT="0" distB="0" distL="0" distR="0" wp14:anchorId="012080B8" wp14:editId="4FB0C008">
                  <wp:extent cx="572770" cy="294005"/>
                  <wp:effectExtent l="0" t="0" r="0" b="0"/>
                  <wp:docPr id="89"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1D2724A4" w14:textId="77777777" w:rsidR="004B0883" w:rsidRDefault="004B0883">
            <w:pPr>
              <w:jc w:val="center"/>
              <w:rPr>
                <w:sz w:val="18"/>
                <w:szCs w:val="18"/>
              </w:rPr>
            </w:pPr>
            <w:r>
              <w:rPr>
                <w:sz w:val="18"/>
                <w:szCs w:val="18"/>
              </w:rPr>
              <w:t>2014-</w:t>
            </w:r>
          </w:p>
          <w:p w14:paraId="01B5585C" w14:textId="77777777" w:rsidR="004B0883" w:rsidRDefault="004B0883">
            <w:pPr>
              <w:jc w:val="center"/>
              <w:rPr>
                <w:sz w:val="18"/>
                <w:szCs w:val="18"/>
              </w:rPr>
            </w:pPr>
            <w:r>
              <w:rPr>
                <w:sz w:val="18"/>
                <w:szCs w:val="18"/>
              </w:rPr>
              <w:t>004675/240039</w:t>
            </w:r>
          </w:p>
        </w:tc>
        <w:tc>
          <w:tcPr>
            <w:tcW w:w="1366" w:type="dxa"/>
            <w:vAlign w:val="center"/>
          </w:tcPr>
          <w:p w14:paraId="250B7E6A" w14:textId="77777777" w:rsidR="004B0883" w:rsidRDefault="004B0883">
            <w:pPr>
              <w:jc w:val="center"/>
              <w:rPr>
                <w:sz w:val="18"/>
                <w:szCs w:val="18"/>
              </w:rPr>
            </w:pPr>
            <w:r>
              <w:rPr>
                <w:sz w:val="18"/>
                <w:szCs w:val="18"/>
              </w:rPr>
              <w:t>6</w:t>
            </w:r>
          </w:p>
        </w:tc>
        <w:tc>
          <w:tcPr>
            <w:tcW w:w="1409" w:type="dxa"/>
            <w:vAlign w:val="center"/>
          </w:tcPr>
          <w:p w14:paraId="44FD7CCE"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4BA9C294" w14:textId="77777777" w:rsidR="004B0883" w:rsidRDefault="004B0883">
            <w:pPr>
              <w:jc w:val="center"/>
              <w:rPr>
                <w:sz w:val="18"/>
                <w:szCs w:val="18"/>
              </w:rPr>
            </w:pPr>
            <w:r>
              <w:rPr>
                <w:sz w:val="18"/>
                <w:szCs w:val="18"/>
              </w:rPr>
              <w:t>2024.11.26</w:t>
            </w:r>
          </w:p>
        </w:tc>
        <w:tc>
          <w:tcPr>
            <w:tcW w:w="1583" w:type="dxa"/>
            <w:vAlign w:val="center"/>
          </w:tcPr>
          <w:p w14:paraId="4A9A7624" w14:textId="77777777" w:rsidR="004B0883" w:rsidRDefault="004B0883">
            <w:pPr>
              <w:jc w:val="center"/>
              <w:rPr>
                <w:rFonts w:cs="宋体"/>
                <w:sz w:val="18"/>
                <w:szCs w:val="18"/>
              </w:rPr>
            </w:pPr>
            <w:r>
              <w:rPr>
                <w:rFonts w:ascii="宋体" w:hAnsi="宋体" w:cs="宋体" w:hint="eastAsia"/>
                <w:sz w:val="18"/>
                <w:szCs w:val="18"/>
              </w:rPr>
              <w:t>哥斯达黎加</w:t>
            </w:r>
          </w:p>
        </w:tc>
      </w:tr>
      <w:tr w:rsidR="004B0883" w14:paraId="7260628B" w14:textId="77777777">
        <w:trPr>
          <w:trHeight w:val="397"/>
        </w:trPr>
        <w:tc>
          <w:tcPr>
            <w:tcW w:w="713" w:type="dxa"/>
            <w:vAlign w:val="center"/>
          </w:tcPr>
          <w:p w14:paraId="4C63754D" w14:textId="77777777" w:rsidR="004B0883" w:rsidRDefault="004B0883">
            <w:pPr>
              <w:widowControl w:val="0"/>
              <w:numPr>
                <w:ilvl w:val="0"/>
                <w:numId w:val="26"/>
              </w:numPr>
              <w:ind w:left="0" w:firstLine="0"/>
              <w:jc w:val="center"/>
              <w:rPr>
                <w:rFonts w:cs="宋体"/>
                <w:b/>
                <w:bCs/>
                <w:sz w:val="18"/>
              </w:rPr>
            </w:pPr>
          </w:p>
        </w:tc>
        <w:tc>
          <w:tcPr>
            <w:tcW w:w="1880" w:type="dxa"/>
          </w:tcPr>
          <w:p w14:paraId="1E97EC9B" w14:textId="1A622E92" w:rsidR="004B0883" w:rsidRDefault="0090540C">
            <w:pPr>
              <w:jc w:val="center"/>
              <w:rPr>
                <w:sz w:val="18"/>
                <w:szCs w:val="18"/>
                <w:lang w:val="en-US" w:eastAsia="zh-CN"/>
              </w:rPr>
            </w:pPr>
            <w:r>
              <w:rPr>
                <w:noProof/>
                <w:sz w:val="18"/>
                <w:szCs w:val="18"/>
              </w:rPr>
              <w:drawing>
                <wp:inline distT="0" distB="0" distL="0" distR="0" wp14:anchorId="56F6D1DB" wp14:editId="2FCE5A12">
                  <wp:extent cx="572770" cy="294005"/>
                  <wp:effectExtent l="0" t="0" r="0" b="0"/>
                  <wp:docPr id="90"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455CC3C9" w14:textId="77777777" w:rsidR="004B0883" w:rsidRDefault="004B0883">
            <w:pPr>
              <w:jc w:val="center"/>
              <w:rPr>
                <w:sz w:val="18"/>
                <w:szCs w:val="18"/>
              </w:rPr>
            </w:pPr>
            <w:r>
              <w:rPr>
                <w:sz w:val="18"/>
                <w:szCs w:val="18"/>
              </w:rPr>
              <w:t>2017-</w:t>
            </w:r>
          </w:p>
          <w:p w14:paraId="12CFC8D2" w14:textId="77777777" w:rsidR="004B0883" w:rsidRDefault="004B0883">
            <w:pPr>
              <w:jc w:val="center"/>
              <w:rPr>
                <w:sz w:val="18"/>
                <w:szCs w:val="18"/>
              </w:rPr>
            </w:pPr>
            <w:r>
              <w:rPr>
                <w:sz w:val="18"/>
                <w:szCs w:val="18"/>
              </w:rPr>
              <w:t>236/267147</w:t>
            </w:r>
          </w:p>
        </w:tc>
        <w:tc>
          <w:tcPr>
            <w:tcW w:w="1366" w:type="dxa"/>
            <w:vAlign w:val="center"/>
          </w:tcPr>
          <w:p w14:paraId="4857C8C0" w14:textId="77777777" w:rsidR="004B0883" w:rsidRDefault="004B0883">
            <w:pPr>
              <w:jc w:val="center"/>
              <w:rPr>
                <w:sz w:val="18"/>
                <w:szCs w:val="18"/>
              </w:rPr>
            </w:pPr>
            <w:r>
              <w:rPr>
                <w:sz w:val="18"/>
                <w:szCs w:val="18"/>
              </w:rPr>
              <w:t>9</w:t>
            </w:r>
          </w:p>
        </w:tc>
        <w:tc>
          <w:tcPr>
            <w:tcW w:w="1409" w:type="dxa"/>
            <w:vAlign w:val="center"/>
          </w:tcPr>
          <w:p w14:paraId="6ABD4AE2"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7AEEB7D5" w14:textId="77777777" w:rsidR="004B0883" w:rsidRDefault="004B0883">
            <w:pPr>
              <w:jc w:val="center"/>
              <w:rPr>
                <w:sz w:val="18"/>
                <w:szCs w:val="18"/>
              </w:rPr>
            </w:pPr>
            <w:r>
              <w:rPr>
                <w:sz w:val="18"/>
                <w:szCs w:val="18"/>
              </w:rPr>
              <w:t>2027.11.22</w:t>
            </w:r>
          </w:p>
        </w:tc>
        <w:tc>
          <w:tcPr>
            <w:tcW w:w="1583" w:type="dxa"/>
            <w:vAlign w:val="center"/>
          </w:tcPr>
          <w:p w14:paraId="330F709F" w14:textId="77777777" w:rsidR="004B0883" w:rsidRDefault="004B0883">
            <w:pPr>
              <w:jc w:val="center"/>
              <w:rPr>
                <w:rFonts w:cs="宋体"/>
                <w:sz w:val="18"/>
                <w:szCs w:val="18"/>
              </w:rPr>
            </w:pPr>
            <w:r>
              <w:rPr>
                <w:rFonts w:ascii="宋体" w:hAnsi="宋体" w:cs="宋体" w:hint="eastAsia"/>
                <w:sz w:val="18"/>
                <w:szCs w:val="18"/>
              </w:rPr>
              <w:t>哥斯达黎加</w:t>
            </w:r>
          </w:p>
        </w:tc>
      </w:tr>
      <w:tr w:rsidR="004B0883" w14:paraId="5AC97DBA" w14:textId="77777777">
        <w:trPr>
          <w:trHeight w:val="397"/>
        </w:trPr>
        <w:tc>
          <w:tcPr>
            <w:tcW w:w="713" w:type="dxa"/>
            <w:vAlign w:val="center"/>
          </w:tcPr>
          <w:p w14:paraId="76B16614" w14:textId="77777777" w:rsidR="004B0883" w:rsidRDefault="004B0883">
            <w:pPr>
              <w:widowControl w:val="0"/>
              <w:numPr>
                <w:ilvl w:val="0"/>
                <w:numId w:val="26"/>
              </w:numPr>
              <w:ind w:left="0" w:firstLine="0"/>
              <w:jc w:val="center"/>
              <w:rPr>
                <w:rFonts w:cs="宋体"/>
                <w:b/>
                <w:bCs/>
                <w:sz w:val="18"/>
              </w:rPr>
            </w:pPr>
          </w:p>
        </w:tc>
        <w:tc>
          <w:tcPr>
            <w:tcW w:w="1880" w:type="dxa"/>
          </w:tcPr>
          <w:p w14:paraId="0EA60993" w14:textId="6CDB2020" w:rsidR="004B0883" w:rsidRDefault="0090540C">
            <w:pPr>
              <w:jc w:val="center"/>
              <w:rPr>
                <w:sz w:val="18"/>
                <w:szCs w:val="18"/>
                <w:lang w:val="en-US" w:eastAsia="zh-CN"/>
              </w:rPr>
            </w:pPr>
            <w:r>
              <w:rPr>
                <w:noProof/>
                <w:sz w:val="18"/>
                <w:szCs w:val="18"/>
              </w:rPr>
              <w:drawing>
                <wp:inline distT="0" distB="0" distL="0" distR="0" wp14:anchorId="55DDB58B" wp14:editId="4DF937B6">
                  <wp:extent cx="572770" cy="294005"/>
                  <wp:effectExtent l="0" t="0" r="0" b="0"/>
                  <wp:docPr id="91"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 cy="294005"/>
                          </a:xfrm>
                          <a:prstGeom prst="rect">
                            <a:avLst/>
                          </a:prstGeom>
                          <a:noFill/>
                          <a:ln>
                            <a:noFill/>
                          </a:ln>
                          <a:effectLst/>
                        </pic:spPr>
                      </pic:pic>
                    </a:graphicData>
                  </a:graphic>
                </wp:inline>
              </w:drawing>
            </w:r>
          </w:p>
        </w:tc>
        <w:tc>
          <w:tcPr>
            <w:tcW w:w="1592" w:type="dxa"/>
            <w:vAlign w:val="center"/>
          </w:tcPr>
          <w:p w14:paraId="12CA0D12" w14:textId="77777777" w:rsidR="004B0883" w:rsidRDefault="004B0883">
            <w:pPr>
              <w:jc w:val="center"/>
              <w:rPr>
                <w:sz w:val="18"/>
                <w:szCs w:val="18"/>
              </w:rPr>
            </w:pPr>
            <w:r>
              <w:rPr>
                <w:sz w:val="18"/>
                <w:szCs w:val="18"/>
              </w:rPr>
              <w:t>21955532</w:t>
            </w:r>
          </w:p>
        </w:tc>
        <w:tc>
          <w:tcPr>
            <w:tcW w:w="1366" w:type="dxa"/>
            <w:vAlign w:val="center"/>
          </w:tcPr>
          <w:p w14:paraId="6C6415A5" w14:textId="77777777" w:rsidR="004B0883" w:rsidRDefault="004B0883">
            <w:pPr>
              <w:jc w:val="center"/>
              <w:rPr>
                <w:sz w:val="18"/>
                <w:szCs w:val="18"/>
              </w:rPr>
            </w:pPr>
            <w:r>
              <w:rPr>
                <w:sz w:val="18"/>
                <w:szCs w:val="18"/>
              </w:rPr>
              <w:t>6</w:t>
            </w:r>
          </w:p>
        </w:tc>
        <w:tc>
          <w:tcPr>
            <w:tcW w:w="1409" w:type="dxa"/>
            <w:vAlign w:val="center"/>
          </w:tcPr>
          <w:p w14:paraId="569F5E4A" w14:textId="77777777" w:rsidR="004B0883" w:rsidRDefault="004B0883">
            <w:pPr>
              <w:jc w:val="center"/>
              <w:rPr>
                <w:rFonts w:cs="宋体"/>
                <w:sz w:val="18"/>
                <w:szCs w:val="18"/>
              </w:rPr>
            </w:pPr>
            <w:r>
              <w:rPr>
                <w:rFonts w:ascii="宋体" w:hAnsi="宋体" w:cs="宋体" w:hint="eastAsia"/>
                <w:sz w:val="18"/>
                <w:szCs w:val="18"/>
              </w:rPr>
              <w:t>发行人</w:t>
            </w:r>
          </w:p>
        </w:tc>
        <w:tc>
          <w:tcPr>
            <w:tcW w:w="1651" w:type="dxa"/>
            <w:vAlign w:val="center"/>
          </w:tcPr>
          <w:p w14:paraId="3AF126C2" w14:textId="77777777" w:rsidR="004B0883" w:rsidRDefault="004B0883">
            <w:pPr>
              <w:jc w:val="center"/>
              <w:rPr>
                <w:sz w:val="18"/>
                <w:szCs w:val="18"/>
              </w:rPr>
            </w:pPr>
            <w:r>
              <w:rPr>
                <w:sz w:val="18"/>
                <w:szCs w:val="18"/>
              </w:rPr>
              <w:t>2031.08.25</w:t>
            </w:r>
          </w:p>
        </w:tc>
        <w:tc>
          <w:tcPr>
            <w:tcW w:w="1583" w:type="dxa"/>
            <w:vAlign w:val="center"/>
          </w:tcPr>
          <w:p w14:paraId="5068AD34" w14:textId="77777777" w:rsidR="004B0883" w:rsidRDefault="004B0883">
            <w:pPr>
              <w:jc w:val="center"/>
              <w:rPr>
                <w:rFonts w:cs="宋体"/>
                <w:sz w:val="18"/>
                <w:szCs w:val="18"/>
              </w:rPr>
            </w:pPr>
            <w:r>
              <w:rPr>
                <w:rFonts w:ascii="宋体" w:hAnsi="宋体" w:cs="宋体" w:hint="eastAsia"/>
                <w:sz w:val="18"/>
                <w:szCs w:val="18"/>
              </w:rPr>
              <w:t>印度</w:t>
            </w:r>
          </w:p>
        </w:tc>
      </w:tr>
      <w:tr w:rsidR="004B0883" w14:paraId="1A884BD4" w14:textId="77777777">
        <w:trPr>
          <w:trHeight w:val="397"/>
        </w:trPr>
        <w:tc>
          <w:tcPr>
            <w:tcW w:w="713" w:type="dxa"/>
            <w:vAlign w:val="center"/>
          </w:tcPr>
          <w:p w14:paraId="7EE9409A" w14:textId="77777777" w:rsidR="004B0883" w:rsidRDefault="004B0883">
            <w:pPr>
              <w:widowControl w:val="0"/>
              <w:numPr>
                <w:ilvl w:val="0"/>
                <w:numId w:val="26"/>
              </w:numPr>
              <w:ind w:left="0" w:firstLine="0"/>
              <w:jc w:val="center"/>
              <w:rPr>
                <w:rFonts w:cs="宋体"/>
                <w:b/>
                <w:bCs/>
                <w:sz w:val="18"/>
              </w:rPr>
            </w:pPr>
          </w:p>
        </w:tc>
        <w:tc>
          <w:tcPr>
            <w:tcW w:w="1880" w:type="dxa"/>
            <w:vAlign w:val="center"/>
          </w:tcPr>
          <w:p w14:paraId="556053B2" w14:textId="5AF0A2D8" w:rsidR="004B0883" w:rsidRDefault="0090540C">
            <w:pPr>
              <w:jc w:val="center"/>
              <w:rPr>
                <w:sz w:val="18"/>
                <w:szCs w:val="18"/>
                <w:lang w:val="en-US" w:eastAsia="zh-CN"/>
              </w:rPr>
            </w:pPr>
            <w:r>
              <w:rPr>
                <w:noProof/>
                <w:sz w:val="18"/>
                <w:szCs w:val="18"/>
              </w:rPr>
              <w:drawing>
                <wp:inline distT="0" distB="0" distL="0" distR="0" wp14:anchorId="358A8BE2" wp14:editId="182E3DD8">
                  <wp:extent cx="453390" cy="158750"/>
                  <wp:effectExtent l="0" t="0" r="0" b="0"/>
                  <wp:docPr id="92"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3390" cy="158750"/>
                          </a:xfrm>
                          <a:prstGeom prst="rect">
                            <a:avLst/>
                          </a:prstGeom>
                          <a:noFill/>
                          <a:ln>
                            <a:noFill/>
                          </a:ln>
                          <a:effectLst/>
                        </pic:spPr>
                      </pic:pic>
                    </a:graphicData>
                  </a:graphic>
                </wp:inline>
              </w:drawing>
            </w:r>
          </w:p>
        </w:tc>
        <w:tc>
          <w:tcPr>
            <w:tcW w:w="1592" w:type="dxa"/>
            <w:vAlign w:val="center"/>
          </w:tcPr>
          <w:p w14:paraId="6B77C853" w14:textId="77777777" w:rsidR="004B0883" w:rsidRDefault="004B0883">
            <w:pPr>
              <w:jc w:val="center"/>
              <w:rPr>
                <w:sz w:val="18"/>
                <w:szCs w:val="18"/>
              </w:rPr>
            </w:pPr>
            <w:r>
              <w:rPr>
                <w:rFonts w:hint="eastAsia"/>
                <w:sz w:val="18"/>
                <w:szCs w:val="18"/>
              </w:rPr>
              <w:t>0</w:t>
            </w:r>
            <w:r>
              <w:rPr>
                <w:sz w:val="18"/>
                <w:szCs w:val="18"/>
              </w:rPr>
              <w:t>1863744</w:t>
            </w:r>
          </w:p>
        </w:tc>
        <w:tc>
          <w:tcPr>
            <w:tcW w:w="1366" w:type="dxa"/>
            <w:vAlign w:val="center"/>
          </w:tcPr>
          <w:p w14:paraId="6D4D113C" w14:textId="77777777" w:rsidR="004B0883" w:rsidRDefault="004B0883">
            <w:pPr>
              <w:jc w:val="center"/>
              <w:rPr>
                <w:sz w:val="18"/>
                <w:szCs w:val="18"/>
              </w:rPr>
            </w:pPr>
            <w:r>
              <w:rPr>
                <w:rFonts w:hint="eastAsia"/>
                <w:sz w:val="18"/>
                <w:szCs w:val="18"/>
              </w:rPr>
              <w:t>9</w:t>
            </w:r>
          </w:p>
        </w:tc>
        <w:tc>
          <w:tcPr>
            <w:tcW w:w="1409" w:type="dxa"/>
            <w:vAlign w:val="center"/>
          </w:tcPr>
          <w:p w14:paraId="409B1904" w14:textId="77777777" w:rsidR="004B0883" w:rsidRDefault="004B0883">
            <w:pPr>
              <w:jc w:val="center"/>
              <w:rPr>
                <w:rFonts w:cs="宋体" w:hint="eastAsia"/>
                <w:sz w:val="18"/>
                <w:szCs w:val="18"/>
              </w:rPr>
            </w:pPr>
            <w:r>
              <w:rPr>
                <w:rFonts w:ascii="宋体" w:hAnsi="宋体" w:cs="宋体" w:hint="eastAsia"/>
                <w:sz w:val="18"/>
                <w:szCs w:val="18"/>
              </w:rPr>
              <w:t>发行人</w:t>
            </w:r>
          </w:p>
        </w:tc>
        <w:tc>
          <w:tcPr>
            <w:tcW w:w="1651" w:type="dxa"/>
            <w:vAlign w:val="center"/>
          </w:tcPr>
          <w:p w14:paraId="191B8FCA" w14:textId="77777777" w:rsidR="004B0883" w:rsidRDefault="004B0883">
            <w:pPr>
              <w:jc w:val="center"/>
              <w:rPr>
                <w:sz w:val="18"/>
                <w:szCs w:val="18"/>
              </w:rPr>
            </w:pPr>
            <w:r>
              <w:rPr>
                <w:rFonts w:hint="eastAsia"/>
                <w:sz w:val="18"/>
                <w:szCs w:val="18"/>
              </w:rPr>
              <w:t>2</w:t>
            </w:r>
            <w:r>
              <w:rPr>
                <w:sz w:val="18"/>
                <w:szCs w:val="18"/>
              </w:rPr>
              <w:t>032.09.20</w:t>
            </w:r>
          </w:p>
        </w:tc>
        <w:tc>
          <w:tcPr>
            <w:tcW w:w="1583" w:type="dxa"/>
            <w:vAlign w:val="center"/>
          </w:tcPr>
          <w:p w14:paraId="5167E9FC" w14:textId="77777777" w:rsidR="004B0883" w:rsidRDefault="004B0883">
            <w:pPr>
              <w:jc w:val="center"/>
              <w:rPr>
                <w:rFonts w:cs="宋体" w:hint="eastAsia"/>
                <w:sz w:val="18"/>
                <w:szCs w:val="18"/>
              </w:rPr>
            </w:pPr>
            <w:r>
              <w:rPr>
                <w:rFonts w:ascii="宋体" w:hAnsi="宋体" w:cs="宋体" w:hint="eastAsia"/>
                <w:sz w:val="18"/>
                <w:szCs w:val="18"/>
              </w:rPr>
              <w:t>欧盟</w:t>
            </w:r>
          </w:p>
        </w:tc>
      </w:tr>
    </w:tbl>
    <w:p w14:paraId="79D1D157" w14:textId="77777777" w:rsidR="004B0883" w:rsidRDefault="004B0883">
      <w:pPr>
        <w:pStyle w:val="002"/>
        <w:pageBreakBefore/>
        <w:spacing w:before="120" w:after="120"/>
        <w:rPr>
          <w:rFonts w:hint="eastAsia"/>
        </w:rPr>
      </w:pPr>
      <w:bookmarkStart w:id="477" w:name="_Toc152320845"/>
      <w:bookmarkEnd w:id="476"/>
      <w:r>
        <w:rPr>
          <w:rFonts w:hint="eastAsia"/>
        </w:rPr>
        <w:t>附件二</w:t>
      </w:r>
      <w:r>
        <w:rPr>
          <w:rFonts w:hint="eastAsia"/>
        </w:rPr>
        <w:t xml:space="preserve"> </w:t>
      </w:r>
      <w:r>
        <w:rPr>
          <w:rFonts w:hint="eastAsia"/>
        </w:rPr>
        <w:t>专利清单</w:t>
      </w:r>
      <w:bookmarkEnd w:id="477"/>
    </w:p>
    <w:tbl>
      <w:tblPr>
        <w:tblW w:w="5405" w:type="pct"/>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15"/>
        <w:gridCol w:w="2027"/>
        <w:gridCol w:w="1197"/>
        <w:gridCol w:w="1628"/>
        <w:gridCol w:w="1265"/>
        <w:gridCol w:w="1037"/>
        <w:gridCol w:w="1182"/>
      </w:tblGrid>
      <w:tr w:rsidR="004B0883" w14:paraId="50F6A287" w14:textId="77777777">
        <w:trPr>
          <w:trHeight w:val="397"/>
          <w:tblHeader/>
          <w:jc w:val="center"/>
        </w:trPr>
        <w:tc>
          <w:tcPr>
            <w:tcW w:w="348" w:type="pct"/>
            <w:shd w:val="clear" w:color="auto" w:fill="D9D9D9"/>
            <w:tcMar>
              <w:top w:w="0" w:type="dxa"/>
              <w:left w:w="108" w:type="dxa"/>
              <w:bottom w:w="0" w:type="dxa"/>
              <w:right w:w="108" w:type="dxa"/>
            </w:tcMar>
            <w:vAlign w:val="center"/>
          </w:tcPr>
          <w:p w14:paraId="0158E1D5" w14:textId="77777777" w:rsidR="004B0883" w:rsidRDefault="004B0883">
            <w:pPr>
              <w:widowControl w:val="0"/>
              <w:adjustRightInd w:val="0"/>
              <w:snapToGrid w:val="0"/>
              <w:jc w:val="center"/>
              <w:rPr>
                <w:b/>
                <w:bCs/>
                <w:color w:val="000000"/>
                <w:kern w:val="0"/>
              </w:rPr>
            </w:pPr>
            <w:r>
              <w:rPr>
                <w:b/>
                <w:bCs/>
                <w:color w:val="000000"/>
                <w:kern w:val="0"/>
              </w:rPr>
              <w:t>序号</w:t>
            </w:r>
          </w:p>
        </w:tc>
        <w:tc>
          <w:tcPr>
            <w:tcW w:w="1137" w:type="pct"/>
            <w:shd w:val="clear" w:color="auto" w:fill="D9D9D9"/>
            <w:tcMar>
              <w:top w:w="0" w:type="dxa"/>
              <w:left w:w="108" w:type="dxa"/>
              <w:bottom w:w="0" w:type="dxa"/>
              <w:right w:w="108" w:type="dxa"/>
            </w:tcMar>
            <w:vAlign w:val="center"/>
          </w:tcPr>
          <w:p w14:paraId="49DC5928" w14:textId="77777777" w:rsidR="004B0883" w:rsidRDefault="004B0883">
            <w:pPr>
              <w:widowControl w:val="0"/>
              <w:adjustRightInd w:val="0"/>
              <w:snapToGrid w:val="0"/>
              <w:jc w:val="center"/>
              <w:rPr>
                <w:b/>
                <w:bCs/>
                <w:color w:val="000000"/>
                <w:kern w:val="0"/>
              </w:rPr>
            </w:pPr>
            <w:r>
              <w:rPr>
                <w:b/>
                <w:bCs/>
              </w:rPr>
              <w:t>专利名称</w:t>
            </w:r>
          </w:p>
        </w:tc>
        <w:tc>
          <w:tcPr>
            <w:tcW w:w="673" w:type="pct"/>
            <w:shd w:val="clear" w:color="auto" w:fill="D9D9D9"/>
            <w:tcMar>
              <w:top w:w="0" w:type="dxa"/>
              <w:left w:w="108" w:type="dxa"/>
              <w:bottom w:w="0" w:type="dxa"/>
              <w:right w:w="108" w:type="dxa"/>
            </w:tcMar>
            <w:vAlign w:val="center"/>
          </w:tcPr>
          <w:p w14:paraId="255536E4" w14:textId="77777777" w:rsidR="004B0883" w:rsidRDefault="004B0883">
            <w:pPr>
              <w:widowControl w:val="0"/>
              <w:adjustRightInd w:val="0"/>
              <w:snapToGrid w:val="0"/>
              <w:jc w:val="center"/>
              <w:rPr>
                <w:b/>
                <w:bCs/>
                <w:color w:val="000000"/>
                <w:kern w:val="0"/>
              </w:rPr>
            </w:pPr>
            <w:r>
              <w:rPr>
                <w:b/>
                <w:bCs/>
              </w:rPr>
              <w:t>专利类型</w:t>
            </w:r>
          </w:p>
        </w:tc>
        <w:tc>
          <w:tcPr>
            <w:tcW w:w="883" w:type="pct"/>
            <w:shd w:val="clear" w:color="auto" w:fill="D9D9D9"/>
            <w:tcMar>
              <w:top w:w="0" w:type="dxa"/>
              <w:left w:w="108" w:type="dxa"/>
              <w:bottom w:w="0" w:type="dxa"/>
              <w:right w:w="108" w:type="dxa"/>
            </w:tcMar>
            <w:vAlign w:val="center"/>
          </w:tcPr>
          <w:p w14:paraId="51278239" w14:textId="77777777" w:rsidR="004B0883" w:rsidRDefault="004B0883">
            <w:pPr>
              <w:widowControl w:val="0"/>
              <w:adjustRightInd w:val="0"/>
              <w:snapToGrid w:val="0"/>
              <w:jc w:val="center"/>
              <w:rPr>
                <w:b/>
                <w:bCs/>
                <w:color w:val="000000"/>
                <w:kern w:val="0"/>
              </w:rPr>
            </w:pPr>
            <w:r>
              <w:rPr>
                <w:b/>
                <w:bCs/>
              </w:rPr>
              <w:t>申请号</w:t>
            </w:r>
          </w:p>
        </w:tc>
        <w:tc>
          <w:tcPr>
            <w:tcW w:w="711" w:type="pct"/>
            <w:shd w:val="clear" w:color="auto" w:fill="D9D9D9"/>
            <w:tcMar>
              <w:top w:w="0" w:type="dxa"/>
              <w:left w:w="108" w:type="dxa"/>
              <w:bottom w:w="0" w:type="dxa"/>
              <w:right w:w="108" w:type="dxa"/>
            </w:tcMar>
            <w:vAlign w:val="center"/>
          </w:tcPr>
          <w:p w14:paraId="73BBA3CA" w14:textId="77777777" w:rsidR="004B0883" w:rsidRDefault="004B0883">
            <w:pPr>
              <w:widowControl w:val="0"/>
              <w:adjustRightInd w:val="0"/>
              <w:snapToGrid w:val="0"/>
              <w:jc w:val="center"/>
              <w:rPr>
                <w:b/>
                <w:bCs/>
                <w:color w:val="000000"/>
                <w:kern w:val="0"/>
              </w:rPr>
            </w:pPr>
            <w:r>
              <w:rPr>
                <w:b/>
                <w:bCs/>
              </w:rPr>
              <w:t>申请日</w:t>
            </w:r>
          </w:p>
        </w:tc>
        <w:tc>
          <w:tcPr>
            <w:tcW w:w="584" w:type="pct"/>
            <w:shd w:val="clear" w:color="auto" w:fill="D9D9D9"/>
            <w:tcMar>
              <w:top w:w="0" w:type="dxa"/>
              <w:left w:w="108" w:type="dxa"/>
              <w:bottom w:w="0" w:type="dxa"/>
              <w:right w:w="108" w:type="dxa"/>
            </w:tcMar>
            <w:vAlign w:val="center"/>
          </w:tcPr>
          <w:p w14:paraId="0087697C" w14:textId="77777777" w:rsidR="004B0883" w:rsidRDefault="004B0883">
            <w:pPr>
              <w:widowControl w:val="0"/>
              <w:adjustRightInd w:val="0"/>
              <w:snapToGrid w:val="0"/>
              <w:jc w:val="center"/>
              <w:rPr>
                <w:b/>
                <w:bCs/>
                <w:color w:val="000000"/>
                <w:kern w:val="0"/>
              </w:rPr>
            </w:pPr>
            <w:r>
              <w:rPr>
                <w:b/>
                <w:bCs/>
              </w:rPr>
              <w:t>权利人</w:t>
            </w:r>
          </w:p>
        </w:tc>
        <w:tc>
          <w:tcPr>
            <w:tcW w:w="664" w:type="pct"/>
            <w:shd w:val="clear" w:color="auto" w:fill="D9D9D9"/>
            <w:tcMar>
              <w:top w:w="0" w:type="dxa"/>
              <w:left w:w="108" w:type="dxa"/>
              <w:bottom w:w="0" w:type="dxa"/>
              <w:right w:w="108" w:type="dxa"/>
            </w:tcMar>
            <w:vAlign w:val="center"/>
          </w:tcPr>
          <w:p w14:paraId="65E65924" w14:textId="77777777" w:rsidR="004B0883" w:rsidRDefault="004B0883">
            <w:pPr>
              <w:widowControl w:val="0"/>
              <w:adjustRightInd w:val="0"/>
              <w:snapToGrid w:val="0"/>
              <w:jc w:val="center"/>
              <w:rPr>
                <w:b/>
                <w:bCs/>
                <w:color w:val="000000"/>
                <w:kern w:val="0"/>
              </w:rPr>
            </w:pPr>
            <w:r>
              <w:rPr>
                <w:b/>
                <w:bCs/>
              </w:rPr>
              <w:t>取得方式</w:t>
            </w:r>
          </w:p>
        </w:tc>
      </w:tr>
      <w:tr w:rsidR="004B0883" w14:paraId="0F4D4AD0" w14:textId="77777777">
        <w:trPr>
          <w:trHeight w:val="397"/>
          <w:jc w:val="center"/>
        </w:trPr>
        <w:tc>
          <w:tcPr>
            <w:tcW w:w="348" w:type="pct"/>
            <w:tcMar>
              <w:top w:w="0" w:type="dxa"/>
              <w:left w:w="108" w:type="dxa"/>
              <w:bottom w:w="0" w:type="dxa"/>
              <w:right w:w="108" w:type="dxa"/>
            </w:tcMar>
            <w:vAlign w:val="center"/>
          </w:tcPr>
          <w:p w14:paraId="20C6024A" w14:textId="77777777" w:rsidR="004B0883" w:rsidRDefault="004B0883">
            <w:pPr>
              <w:widowControl w:val="0"/>
              <w:adjustRightInd w:val="0"/>
              <w:snapToGrid w:val="0"/>
              <w:jc w:val="center"/>
              <w:rPr>
                <w:color w:val="000000"/>
                <w:kern w:val="0"/>
              </w:rPr>
            </w:pPr>
            <w:r>
              <w:rPr>
                <w:color w:val="000000"/>
              </w:rPr>
              <w:t>1</w:t>
            </w:r>
          </w:p>
        </w:tc>
        <w:tc>
          <w:tcPr>
            <w:tcW w:w="2096" w:type="dxa"/>
            <w:tcMar>
              <w:top w:w="0" w:type="dxa"/>
              <w:left w:w="108" w:type="dxa"/>
              <w:bottom w:w="0" w:type="dxa"/>
              <w:right w:w="108" w:type="dxa"/>
            </w:tcMar>
            <w:vAlign w:val="center"/>
          </w:tcPr>
          <w:p w14:paraId="6752A447" w14:textId="77777777" w:rsidR="004B0883" w:rsidRDefault="004B0883">
            <w:pPr>
              <w:widowControl w:val="0"/>
              <w:jc w:val="center"/>
              <w:rPr>
                <w:color w:val="000000"/>
                <w:kern w:val="0"/>
              </w:rPr>
            </w:pPr>
            <w:r>
              <w:rPr>
                <w:rFonts w:ascii="宋体" w:hAnsi="宋体" w:hint="eastAsia"/>
              </w:rPr>
              <w:t>一种通用小件限位平台</w:t>
            </w:r>
          </w:p>
        </w:tc>
        <w:tc>
          <w:tcPr>
            <w:tcW w:w="1241" w:type="dxa"/>
            <w:tcMar>
              <w:top w:w="0" w:type="dxa"/>
              <w:left w:w="108" w:type="dxa"/>
              <w:bottom w:w="0" w:type="dxa"/>
              <w:right w:w="108" w:type="dxa"/>
            </w:tcMar>
            <w:vAlign w:val="center"/>
          </w:tcPr>
          <w:p w14:paraId="68751800" w14:textId="77777777" w:rsidR="004B0883" w:rsidRDefault="004B0883">
            <w:pPr>
              <w:widowControl w:val="0"/>
              <w:jc w:val="center"/>
              <w:rPr>
                <w:color w:val="000000"/>
                <w:kern w:val="0"/>
              </w:rPr>
            </w:pPr>
            <w:r>
              <w:rPr>
                <w:rFonts w:ascii="宋体" w:hAnsi="宋体" w:hint="eastAsia"/>
              </w:rPr>
              <w:t>实用新型</w:t>
            </w:r>
          </w:p>
        </w:tc>
        <w:tc>
          <w:tcPr>
            <w:tcW w:w="1628" w:type="dxa"/>
            <w:tcMar>
              <w:top w:w="0" w:type="dxa"/>
              <w:left w:w="108" w:type="dxa"/>
              <w:bottom w:w="0" w:type="dxa"/>
              <w:right w:w="108" w:type="dxa"/>
            </w:tcMar>
            <w:vAlign w:val="center"/>
          </w:tcPr>
          <w:p w14:paraId="6F269A87" w14:textId="77777777" w:rsidR="004B0883" w:rsidRDefault="004B0883">
            <w:pPr>
              <w:widowControl w:val="0"/>
              <w:jc w:val="center"/>
              <w:rPr>
                <w:color w:val="000000"/>
                <w:kern w:val="0"/>
              </w:rPr>
            </w:pPr>
            <w:r>
              <w:rPr>
                <w:rFonts w:eastAsia="等线"/>
              </w:rPr>
              <w:t>202321153469X</w:t>
            </w:r>
          </w:p>
        </w:tc>
        <w:tc>
          <w:tcPr>
            <w:tcW w:w="1311" w:type="dxa"/>
            <w:tcMar>
              <w:top w:w="0" w:type="dxa"/>
              <w:left w:w="108" w:type="dxa"/>
              <w:bottom w:w="0" w:type="dxa"/>
              <w:right w:w="108" w:type="dxa"/>
            </w:tcMar>
            <w:vAlign w:val="center"/>
          </w:tcPr>
          <w:p w14:paraId="370327C7" w14:textId="77777777" w:rsidR="004B0883" w:rsidRDefault="004B0883">
            <w:pPr>
              <w:widowControl w:val="0"/>
              <w:jc w:val="center"/>
              <w:rPr>
                <w:color w:val="000000"/>
                <w:kern w:val="0"/>
              </w:rPr>
            </w:pPr>
            <w:r>
              <w:rPr>
                <w:rFonts w:eastAsia="等线"/>
                <w:szCs w:val="24"/>
              </w:rPr>
              <w:t>2023-05-12</w:t>
            </w:r>
          </w:p>
        </w:tc>
        <w:tc>
          <w:tcPr>
            <w:tcW w:w="1077" w:type="dxa"/>
            <w:tcMar>
              <w:top w:w="0" w:type="dxa"/>
              <w:left w:w="108" w:type="dxa"/>
              <w:bottom w:w="0" w:type="dxa"/>
              <w:right w:w="108" w:type="dxa"/>
            </w:tcMar>
            <w:vAlign w:val="center"/>
          </w:tcPr>
          <w:p w14:paraId="0F19C527" w14:textId="77777777" w:rsidR="004B0883" w:rsidRDefault="004B0883">
            <w:pPr>
              <w:widowControl w:val="0"/>
              <w:jc w:val="center"/>
              <w:rPr>
                <w:color w:val="000000"/>
                <w:kern w:val="0"/>
              </w:rPr>
            </w:pPr>
            <w:r>
              <w:rPr>
                <w:rFonts w:ascii="宋体" w:hAnsi="宋体" w:hint="eastAsia"/>
              </w:rPr>
              <w:t>发行人</w:t>
            </w:r>
          </w:p>
        </w:tc>
        <w:tc>
          <w:tcPr>
            <w:tcW w:w="1224" w:type="dxa"/>
            <w:tcMar>
              <w:top w:w="0" w:type="dxa"/>
              <w:left w:w="108" w:type="dxa"/>
              <w:bottom w:w="0" w:type="dxa"/>
              <w:right w:w="108" w:type="dxa"/>
            </w:tcMar>
            <w:vAlign w:val="center"/>
          </w:tcPr>
          <w:p w14:paraId="6AAD240F" w14:textId="77777777" w:rsidR="004B0883" w:rsidRDefault="004B0883">
            <w:pPr>
              <w:widowControl w:val="0"/>
              <w:jc w:val="center"/>
              <w:rPr>
                <w:color w:val="000000"/>
              </w:rPr>
            </w:pPr>
            <w:r>
              <w:rPr>
                <w:rFonts w:ascii="宋体" w:hAnsi="宋体" w:hint="eastAsia"/>
              </w:rPr>
              <w:t>原始取得</w:t>
            </w:r>
          </w:p>
        </w:tc>
      </w:tr>
      <w:tr w:rsidR="004B0883" w14:paraId="5F7E5C4E" w14:textId="77777777">
        <w:trPr>
          <w:trHeight w:val="397"/>
          <w:jc w:val="center"/>
        </w:trPr>
        <w:tc>
          <w:tcPr>
            <w:tcW w:w="348" w:type="pct"/>
            <w:tcMar>
              <w:top w:w="0" w:type="dxa"/>
              <w:left w:w="108" w:type="dxa"/>
              <w:bottom w:w="0" w:type="dxa"/>
              <w:right w:w="108" w:type="dxa"/>
            </w:tcMar>
            <w:vAlign w:val="center"/>
          </w:tcPr>
          <w:p w14:paraId="233BCE9A" w14:textId="77777777" w:rsidR="004B0883" w:rsidRDefault="004B0883">
            <w:pPr>
              <w:widowControl w:val="0"/>
              <w:adjustRightInd w:val="0"/>
              <w:snapToGrid w:val="0"/>
              <w:jc w:val="center"/>
              <w:rPr>
                <w:color w:val="000000"/>
              </w:rPr>
            </w:pPr>
            <w:r>
              <w:rPr>
                <w:color w:val="000000"/>
              </w:rPr>
              <w:t>2</w:t>
            </w:r>
          </w:p>
        </w:tc>
        <w:tc>
          <w:tcPr>
            <w:tcW w:w="2096" w:type="dxa"/>
            <w:tcMar>
              <w:top w:w="0" w:type="dxa"/>
              <w:left w:w="108" w:type="dxa"/>
              <w:bottom w:w="0" w:type="dxa"/>
              <w:right w:w="108" w:type="dxa"/>
            </w:tcMar>
            <w:vAlign w:val="center"/>
          </w:tcPr>
          <w:p w14:paraId="4871B6E5" w14:textId="77777777" w:rsidR="004B0883" w:rsidRDefault="004B0883">
            <w:pPr>
              <w:widowControl w:val="0"/>
              <w:jc w:val="center"/>
              <w:rPr>
                <w:color w:val="000000"/>
              </w:rPr>
            </w:pPr>
            <w:r>
              <w:rPr>
                <w:rFonts w:ascii="宋体" w:hAnsi="宋体" w:hint="eastAsia"/>
              </w:rPr>
              <w:t>一种角行程波纹式弹簧</w:t>
            </w:r>
          </w:p>
        </w:tc>
        <w:tc>
          <w:tcPr>
            <w:tcW w:w="1241" w:type="dxa"/>
            <w:tcMar>
              <w:top w:w="0" w:type="dxa"/>
              <w:left w:w="108" w:type="dxa"/>
              <w:bottom w:w="0" w:type="dxa"/>
              <w:right w:w="108" w:type="dxa"/>
            </w:tcMar>
            <w:vAlign w:val="center"/>
          </w:tcPr>
          <w:p w14:paraId="4D825DEF" w14:textId="77777777" w:rsidR="004B0883" w:rsidRDefault="004B0883">
            <w:pPr>
              <w:widowControl w:val="0"/>
              <w:jc w:val="center"/>
              <w:rPr>
                <w:color w:val="000000"/>
              </w:rPr>
            </w:pPr>
            <w:r>
              <w:rPr>
                <w:rFonts w:ascii="宋体" w:hAnsi="宋体" w:hint="eastAsia"/>
              </w:rPr>
              <w:t>实用新型</w:t>
            </w:r>
          </w:p>
        </w:tc>
        <w:tc>
          <w:tcPr>
            <w:tcW w:w="1628" w:type="dxa"/>
            <w:tcMar>
              <w:top w:w="0" w:type="dxa"/>
              <w:left w:w="108" w:type="dxa"/>
              <w:bottom w:w="0" w:type="dxa"/>
              <w:right w:w="108" w:type="dxa"/>
            </w:tcMar>
            <w:vAlign w:val="center"/>
          </w:tcPr>
          <w:p w14:paraId="1D5A8580" w14:textId="77777777" w:rsidR="004B0883" w:rsidRDefault="004B0883">
            <w:pPr>
              <w:widowControl w:val="0"/>
              <w:jc w:val="center"/>
              <w:rPr>
                <w:color w:val="000000"/>
              </w:rPr>
            </w:pPr>
            <w:r>
              <w:rPr>
                <w:rFonts w:eastAsia="等线" w:hint="eastAsia"/>
                <w:szCs w:val="24"/>
              </w:rPr>
              <w:t>2</w:t>
            </w:r>
            <w:r>
              <w:rPr>
                <w:rFonts w:eastAsia="等线"/>
                <w:szCs w:val="24"/>
              </w:rPr>
              <w:t>022235946199</w:t>
            </w:r>
          </w:p>
        </w:tc>
        <w:tc>
          <w:tcPr>
            <w:tcW w:w="1311" w:type="dxa"/>
            <w:tcMar>
              <w:top w:w="0" w:type="dxa"/>
              <w:left w:w="108" w:type="dxa"/>
              <w:bottom w:w="0" w:type="dxa"/>
              <w:right w:w="108" w:type="dxa"/>
            </w:tcMar>
            <w:vAlign w:val="center"/>
          </w:tcPr>
          <w:p w14:paraId="34C033A7" w14:textId="77777777" w:rsidR="004B0883" w:rsidRDefault="004B0883">
            <w:pPr>
              <w:widowControl w:val="0"/>
              <w:jc w:val="center"/>
              <w:rPr>
                <w:color w:val="000000"/>
              </w:rPr>
            </w:pPr>
            <w:r>
              <w:rPr>
                <w:rFonts w:eastAsia="等线" w:hint="eastAsia"/>
                <w:szCs w:val="24"/>
              </w:rPr>
              <w:t>2</w:t>
            </w:r>
            <w:r>
              <w:rPr>
                <w:rFonts w:eastAsia="等线"/>
                <w:szCs w:val="24"/>
              </w:rPr>
              <w:t>022</w:t>
            </w:r>
            <w:r>
              <w:rPr>
                <w:rFonts w:eastAsia="等线" w:hint="eastAsia"/>
                <w:szCs w:val="24"/>
              </w:rPr>
              <w:t>-</w:t>
            </w:r>
            <w:r>
              <w:rPr>
                <w:rFonts w:eastAsia="等线"/>
                <w:szCs w:val="24"/>
              </w:rPr>
              <w:t>12</w:t>
            </w:r>
            <w:r>
              <w:rPr>
                <w:rFonts w:eastAsia="等线" w:hint="eastAsia"/>
                <w:szCs w:val="24"/>
              </w:rPr>
              <w:t>-</w:t>
            </w:r>
            <w:r>
              <w:rPr>
                <w:rFonts w:eastAsia="等线"/>
                <w:szCs w:val="24"/>
              </w:rPr>
              <w:t>31</w:t>
            </w:r>
          </w:p>
        </w:tc>
        <w:tc>
          <w:tcPr>
            <w:tcW w:w="1077" w:type="dxa"/>
            <w:tcMar>
              <w:top w:w="0" w:type="dxa"/>
              <w:left w:w="108" w:type="dxa"/>
              <w:bottom w:w="0" w:type="dxa"/>
              <w:right w:w="108" w:type="dxa"/>
            </w:tcMar>
            <w:vAlign w:val="center"/>
          </w:tcPr>
          <w:p w14:paraId="4C8A5154" w14:textId="77777777" w:rsidR="004B0883" w:rsidRDefault="004B0883">
            <w:pPr>
              <w:widowControl w:val="0"/>
              <w:jc w:val="center"/>
              <w:rPr>
                <w:color w:val="000000"/>
              </w:rPr>
            </w:pPr>
            <w:r>
              <w:rPr>
                <w:rFonts w:ascii="宋体" w:hAnsi="宋体" w:hint="eastAsia"/>
              </w:rPr>
              <w:t>发行人</w:t>
            </w:r>
          </w:p>
        </w:tc>
        <w:tc>
          <w:tcPr>
            <w:tcW w:w="1224" w:type="dxa"/>
            <w:tcMar>
              <w:top w:w="0" w:type="dxa"/>
              <w:left w:w="108" w:type="dxa"/>
              <w:bottom w:w="0" w:type="dxa"/>
              <w:right w:w="108" w:type="dxa"/>
            </w:tcMar>
            <w:vAlign w:val="center"/>
          </w:tcPr>
          <w:p w14:paraId="715EDE2D" w14:textId="77777777" w:rsidR="004B0883" w:rsidRDefault="004B0883">
            <w:pPr>
              <w:widowControl w:val="0"/>
              <w:jc w:val="center"/>
              <w:rPr>
                <w:color w:val="000000"/>
              </w:rPr>
            </w:pPr>
            <w:r>
              <w:rPr>
                <w:rFonts w:ascii="宋体" w:hAnsi="宋体" w:hint="eastAsia"/>
              </w:rPr>
              <w:t>原始取得</w:t>
            </w:r>
          </w:p>
        </w:tc>
      </w:tr>
      <w:tr w:rsidR="004B0883" w14:paraId="032188AC" w14:textId="77777777">
        <w:trPr>
          <w:trHeight w:val="397"/>
          <w:jc w:val="center"/>
        </w:trPr>
        <w:tc>
          <w:tcPr>
            <w:tcW w:w="348" w:type="pct"/>
            <w:tcMar>
              <w:top w:w="0" w:type="dxa"/>
              <w:left w:w="108" w:type="dxa"/>
              <w:bottom w:w="0" w:type="dxa"/>
              <w:right w:w="108" w:type="dxa"/>
            </w:tcMar>
            <w:vAlign w:val="center"/>
          </w:tcPr>
          <w:p w14:paraId="0DA81533" w14:textId="77777777" w:rsidR="004B0883" w:rsidRDefault="004B0883">
            <w:pPr>
              <w:widowControl w:val="0"/>
              <w:adjustRightInd w:val="0"/>
              <w:snapToGrid w:val="0"/>
              <w:jc w:val="center"/>
              <w:rPr>
                <w:color w:val="000000"/>
              </w:rPr>
            </w:pPr>
            <w:r>
              <w:rPr>
                <w:color w:val="000000"/>
              </w:rPr>
              <w:t>3</w:t>
            </w:r>
          </w:p>
        </w:tc>
        <w:tc>
          <w:tcPr>
            <w:tcW w:w="2096" w:type="dxa"/>
            <w:tcMar>
              <w:top w:w="0" w:type="dxa"/>
              <w:left w:w="108" w:type="dxa"/>
              <w:bottom w:w="0" w:type="dxa"/>
              <w:right w:w="108" w:type="dxa"/>
            </w:tcMar>
            <w:vAlign w:val="center"/>
          </w:tcPr>
          <w:p w14:paraId="0441F87C" w14:textId="77777777" w:rsidR="004B0883" w:rsidRDefault="004B0883">
            <w:pPr>
              <w:widowControl w:val="0"/>
              <w:jc w:val="center"/>
              <w:rPr>
                <w:color w:val="000000"/>
              </w:rPr>
            </w:pPr>
            <w:r>
              <w:rPr>
                <w:rFonts w:ascii="宋体" w:hAnsi="宋体" w:hint="eastAsia"/>
              </w:rPr>
              <w:t>多角度端面车削工装</w:t>
            </w:r>
          </w:p>
        </w:tc>
        <w:tc>
          <w:tcPr>
            <w:tcW w:w="1241" w:type="dxa"/>
            <w:tcMar>
              <w:top w:w="0" w:type="dxa"/>
              <w:left w:w="108" w:type="dxa"/>
              <w:bottom w:w="0" w:type="dxa"/>
              <w:right w:w="108" w:type="dxa"/>
            </w:tcMar>
            <w:vAlign w:val="center"/>
          </w:tcPr>
          <w:p w14:paraId="71E64DF0" w14:textId="77777777" w:rsidR="004B0883" w:rsidRDefault="004B0883">
            <w:pPr>
              <w:widowControl w:val="0"/>
              <w:jc w:val="center"/>
              <w:rPr>
                <w:color w:val="000000"/>
              </w:rPr>
            </w:pPr>
            <w:r>
              <w:rPr>
                <w:rFonts w:ascii="宋体" w:hAnsi="宋体" w:hint="eastAsia"/>
              </w:rPr>
              <w:t>实用新型</w:t>
            </w:r>
          </w:p>
        </w:tc>
        <w:tc>
          <w:tcPr>
            <w:tcW w:w="1628" w:type="dxa"/>
            <w:tcMar>
              <w:top w:w="0" w:type="dxa"/>
              <w:left w:w="108" w:type="dxa"/>
              <w:bottom w:w="0" w:type="dxa"/>
              <w:right w:w="108" w:type="dxa"/>
            </w:tcMar>
            <w:vAlign w:val="center"/>
          </w:tcPr>
          <w:p w14:paraId="2B48E66D" w14:textId="77777777" w:rsidR="004B0883" w:rsidRDefault="004B0883">
            <w:pPr>
              <w:widowControl w:val="0"/>
              <w:jc w:val="center"/>
              <w:rPr>
                <w:color w:val="000000"/>
              </w:rPr>
            </w:pPr>
            <w:r>
              <w:rPr>
                <w:rFonts w:eastAsia="等线" w:hint="eastAsia"/>
                <w:szCs w:val="24"/>
              </w:rPr>
              <w:t>2</w:t>
            </w:r>
            <w:r>
              <w:rPr>
                <w:rFonts w:eastAsia="等线"/>
                <w:szCs w:val="24"/>
              </w:rPr>
              <w:t>022234594169</w:t>
            </w:r>
          </w:p>
        </w:tc>
        <w:tc>
          <w:tcPr>
            <w:tcW w:w="1311" w:type="dxa"/>
            <w:tcMar>
              <w:top w:w="0" w:type="dxa"/>
              <w:left w:w="108" w:type="dxa"/>
              <w:bottom w:w="0" w:type="dxa"/>
              <w:right w:w="108" w:type="dxa"/>
            </w:tcMar>
            <w:vAlign w:val="center"/>
          </w:tcPr>
          <w:p w14:paraId="26BCAF5A" w14:textId="77777777" w:rsidR="004B0883" w:rsidRDefault="004B0883">
            <w:pPr>
              <w:widowControl w:val="0"/>
              <w:jc w:val="center"/>
              <w:rPr>
                <w:color w:val="000000"/>
              </w:rPr>
            </w:pPr>
            <w:r>
              <w:rPr>
                <w:rFonts w:eastAsia="等线" w:hint="eastAsia"/>
                <w:szCs w:val="24"/>
              </w:rPr>
              <w:t>2</w:t>
            </w:r>
            <w:r>
              <w:rPr>
                <w:rFonts w:eastAsia="等线"/>
                <w:szCs w:val="24"/>
              </w:rPr>
              <w:t>022</w:t>
            </w:r>
            <w:r>
              <w:rPr>
                <w:rFonts w:eastAsia="等线" w:hint="eastAsia"/>
                <w:szCs w:val="24"/>
              </w:rPr>
              <w:t>-</w:t>
            </w:r>
            <w:r>
              <w:rPr>
                <w:rFonts w:eastAsia="等线"/>
                <w:szCs w:val="24"/>
              </w:rPr>
              <w:t>12</w:t>
            </w:r>
            <w:r>
              <w:rPr>
                <w:rFonts w:eastAsia="等线" w:hint="eastAsia"/>
                <w:szCs w:val="24"/>
              </w:rPr>
              <w:t>-</w:t>
            </w:r>
            <w:r>
              <w:rPr>
                <w:rFonts w:eastAsia="等线"/>
                <w:szCs w:val="24"/>
              </w:rPr>
              <w:t>22</w:t>
            </w:r>
          </w:p>
        </w:tc>
        <w:tc>
          <w:tcPr>
            <w:tcW w:w="1077" w:type="dxa"/>
            <w:tcMar>
              <w:top w:w="0" w:type="dxa"/>
              <w:left w:w="108" w:type="dxa"/>
              <w:bottom w:w="0" w:type="dxa"/>
              <w:right w:w="108" w:type="dxa"/>
            </w:tcMar>
            <w:vAlign w:val="center"/>
          </w:tcPr>
          <w:p w14:paraId="2F9FDBAD" w14:textId="77777777" w:rsidR="004B0883" w:rsidRDefault="004B0883">
            <w:pPr>
              <w:widowControl w:val="0"/>
              <w:jc w:val="center"/>
              <w:rPr>
                <w:color w:val="000000"/>
              </w:rPr>
            </w:pPr>
            <w:r>
              <w:rPr>
                <w:rFonts w:ascii="宋体" w:hAnsi="宋体" w:hint="eastAsia"/>
              </w:rPr>
              <w:t>发行人</w:t>
            </w:r>
          </w:p>
        </w:tc>
        <w:tc>
          <w:tcPr>
            <w:tcW w:w="1224" w:type="dxa"/>
            <w:tcMar>
              <w:top w:w="0" w:type="dxa"/>
              <w:left w:w="108" w:type="dxa"/>
              <w:bottom w:w="0" w:type="dxa"/>
              <w:right w:w="108" w:type="dxa"/>
            </w:tcMar>
            <w:vAlign w:val="center"/>
          </w:tcPr>
          <w:p w14:paraId="22BB365E" w14:textId="77777777" w:rsidR="004B0883" w:rsidRDefault="004B0883">
            <w:pPr>
              <w:widowControl w:val="0"/>
              <w:jc w:val="center"/>
              <w:rPr>
                <w:color w:val="000000"/>
              </w:rPr>
            </w:pPr>
            <w:r>
              <w:rPr>
                <w:rFonts w:ascii="宋体" w:hAnsi="宋体" w:hint="eastAsia"/>
              </w:rPr>
              <w:t>原始取得</w:t>
            </w:r>
          </w:p>
        </w:tc>
      </w:tr>
      <w:tr w:rsidR="004B0883" w14:paraId="46C6092B" w14:textId="77777777">
        <w:trPr>
          <w:trHeight w:val="397"/>
          <w:jc w:val="center"/>
        </w:trPr>
        <w:tc>
          <w:tcPr>
            <w:tcW w:w="348" w:type="pct"/>
            <w:tcMar>
              <w:top w:w="0" w:type="dxa"/>
              <w:left w:w="108" w:type="dxa"/>
              <w:bottom w:w="0" w:type="dxa"/>
              <w:right w:w="108" w:type="dxa"/>
            </w:tcMar>
            <w:vAlign w:val="center"/>
          </w:tcPr>
          <w:p w14:paraId="3884DDC4" w14:textId="77777777" w:rsidR="004B0883" w:rsidRDefault="004B0883">
            <w:pPr>
              <w:widowControl w:val="0"/>
              <w:adjustRightInd w:val="0"/>
              <w:snapToGrid w:val="0"/>
              <w:jc w:val="center"/>
              <w:rPr>
                <w:color w:val="000000"/>
              </w:rPr>
            </w:pPr>
            <w:r>
              <w:rPr>
                <w:color w:val="000000"/>
              </w:rPr>
              <w:t>4</w:t>
            </w:r>
          </w:p>
        </w:tc>
        <w:tc>
          <w:tcPr>
            <w:tcW w:w="2096" w:type="dxa"/>
            <w:tcMar>
              <w:top w:w="0" w:type="dxa"/>
              <w:left w:w="108" w:type="dxa"/>
              <w:bottom w:w="0" w:type="dxa"/>
              <w:right w:w="108" w:type="dxa"/>
            </w:tcMar>
            <w:vAlign w:val="center"/>
          </w:tcPr>
          <w:p w14:paraId="5C3C7348" w14:textId="77777777" w:rsidR="004B0883" w:rsidRDefault="004B0883">
            <w:pPr>
              <w:widowControl w:val="0"/>
              <w:jc w:val="center"/>
              <w:rPr>
                <w:color w:val="000000"/>
              </w:rPr>
            </w:pPr>
            <w:r>
              <w:rPr>
                <w:rFonts w:ascii="宋体" w:hAnsi="宋体" w:hint="eastAsia"/>
              </w:rPr>
              <w:t>一种消防栓管道连接防脱装置</w:t>
            </w:r>
          </w:p>
        </w:tc>
        <w:tc>
          <w:tcPr>
            <w:tcW w:w="1241" w:type="dxa"/>
            <w:tcMar>
              <w:top w:w="0" w:type="dxa"/>
              <w:left w:w="108" w:type="dxa"/>
              <w:bottom w:w="0" w:type="dxa"/>
              <w:right w:w="108" w:type="dxa"/>
            </w:tcMar>
            <w:vAlign w:val="center"/>
          </w:tcPr>
          <w:p w14:paraId="161F8227" w14:textId="77777777" w:rsidR="004B0883" w:rsidRDefault="004B0883">
            <w:pPr>
              <w:widowControl w:val="0"/>
              <w:jc w:val="center"/>
              <w:rPr>
                <w:color w:val="000000"/>
              </w:rPr>
            </w:pPr>
            <w:r>
              <w:rPr>
                <w:rFonts w:ascii="宋体" w:hAnsi="宋体" w:hint="eastAsia"/>
              </w:rPr>
              <w:t>实用新型</w:t>
            </w:r>
          </w:p>
        </w:tc>
        <w:tc>
          <w:tcPr>
            <w:tcW w:w="1628" w:type="dxa"/>
            <w:tcMar>
              <w:top w:w="0" w:type="dxa"/>
              <w:left w:w="108" w:type="dxa"/>
              <w:bottom w:w="0" w:type="dxa"/>
              <w:right w:w="108" w:type="dxa"/>
            </w:tcMar>
            <w:vAlign w:val="center"/>
          </w:tcPr>
          <w:p w14:paraId="51D0C259" w14:textId="77777777" w:rsidR="004B0883" w:rsidRDefault="004B0883">
            <w:pPr>
              <w:widowControl w:val="0"/>
              <w:jc w:val="center"/>
              <w:rPr>
                <w:color w:val="000000"/>
              </w:rPr>
            </w:pPr>
            <w:r>
              <w:rPr>
                <w:rFonts w:eastAsia="等线" w:hint="eastAsia"/>
                <w:szCs w:val="24"/>
              </w:rPr>
              <w:t>2</w:t>
            </w:r>
            <w:r>
              <w:rPr>
                <w:rFonts w:eastAsia="等线"/>
                <w:szCs w:val="24"/>
              </w:rPr>
              <w:t>022231776235</w:t>
            </w:r>
          </w:p>
        </w:tc>
        <w:tc>
          <w:tcPr>
            <w:tcW w:w="1311" w:type="dxa"/>
            <w:tcMar>
              <w:top w:w="0" w:type="dxa"/>
              <w:left w:w="108" w:type="dxa"/>
              <w:bottom w:w="0" w:type="dxa"/>
              <w:right w:w="108" w:type="dxa"/>
            </w:tcMar>
            <w:vAlign w:val="center"/>
          </w:tcPr>
          <w:p w14:paraId="50BCA24E" w14:textId="77777777" w:rsidR="004B0883" w:rsidRDefault="004B0883">
            <w:pPr>
              <w:widowControl w:val="0"/>
              <w:jc w:val="center"/>
              <w:rPr>
                <w:color w:val="000000"/>
              </w:rPr>
            </w:pPr>
            <w:r>
              <w:rPr>
                <w:rFonts w:eastAsia="等线" w:hint="eastAsia"/>
                <w:szCs w:val="24"/>
              </w:rPr>
              <w:t>2</w:t>
            </w:r>
            <w:r>
              <w:rPr>
                <w:rFonts w:eastAsia="等线"/>
                <w:szCs w:val="24"/>
              </w:rPr>
              <w:t>022</w:t>
            </w:r>
            <w:r>
              <w:rPr>
                <w:rFonts w:eastAsia="等线" w:hint="eastAsia"/>
                <w:szCs w:val="24"/>
              </w:rPr>
              <w:t>-</w:t>
            </w:r>
            <w:r>
              <w:rPr>
                <w:rFonts w:eastAsia="等线"/>
                <w:szCs w:val="24"/>
              </w:rPr>
              <w:t>11</w:t>
            </w:r>
            <w:r>
              <w:rPr>
                <w:rFonts w:eastAsia="等线" w:hint="eastAsia"/>
                <w:szCs w:val="24"/>
              </w:rPr>
              <w:t>-</w:t>
            </w:r>
            <w:r>
              <w:rPr>
                <w:rFonts w:eastAsia="等线"/>
                <w:szCs w:val="24"/>
              </w:rPr>
              <w:t>28</w:t>
            </w:r>
          </w:p>
        </w:tc>
        <w:tc>
          <w:tcPr>
            <w:tcW w:w="1077" w:type="dxa"/>
            <w:tcMar>
              <w:top w:w="0" w:type="dxa"/>
              <w:left w:w="108" w:type="dxa"/>
              <w:bottom w:w="0" w:type="dxa"/>
              <w:right w:w="108" w:type="dxa"/>
            </w:tcMar>
            <w:vAlign w:val="center"/>
          </w:tcPr>
          <w:p w14:paraId="6FAB593C" w14:textId="77777777" w:rsidR="004B0883" w:rsidRDefault="004B0883">
            <w:pPr>
              <w:widowControl w:val="0"/>
              <w:jc w:val="center"/>
              <w:rPr>
                <w:color w:val="000000"/>
              </w:rPr>
            </w:pPr>
            <w:r>
              <w:rPr>
                <w:rFonts w:ascii="宋体" w:hAnsi="宋体" w:hint="eastAsia"/>
              </w:rPr>
              <w:t>发行人</w:t>
            </w:r>
          </w:p>
        </w:tc>
        <w:tc>
          <w:tcPr>
            <w:tcW w:w="1224" w:type="dxa"/>
            <w:tcMar>
              <w:top w:w="0" w:type="dxa"/>
              <w:left w:w="108" w:type="dxa"/>
              <w:bottom w:w="0" w:type="dxa"/>
              <w:right w:w="108" w:type="dxa"/>
            </w:tcMar>
            <w:vAlign w:val="center"/>
          </w:tcPr>
          <w:p w14:paraId="1B8B36E7" w14:textId="77777777" w:rsidR="004B0883" w:rsidRDefault="004B0883">
            <w:pPr>
              <w:widowControl w:val="0"/>
              <w:jc w:val="center"/>
              <w:rPr>
                <w:color w:val="000000"/>
              </w:rPr>
            </w:pPr>
            <w:r>
              <w:rPr>
                <w:rFonts w:ascii="宋体" w:hAnsi="宋体" w:hint="eastAsia"/>
              </w:rPr>
              <w:t>原始取得</w:t>
            </w:r>
          </w:p>
        </w:tc>
      </w:tr>
      <w:tr w:rsidR="004B0883" w14:paraId="24755566" w14:textId="77777777">
        <w:trPr>
          <w:trHeight w:val="397"/>
          <w:jc w:val="center"/>
        </w:trPr>
        <w:tc>
          <w:tcPr>
            <w:tcW w:w="348" w:type="pct"/>
            <w:tcMar>
              <w:top w:w="0" w:type="dxa"/>
              <w:left w:w="108" w:type="dxa"/>
              <w:bottom w:w="0" w:type="dxa"/>
              <w:right w:w="108" w:type="dxa"/>
            </w:tcMar>
            <w:vAlign w:val="center"/>
          </w:tcPr>
          <w:p w14:paraId="365A9AE0" w14:textId="77777777" w:rsidR="004B0883" w:rsidRDefault="004B0883">
            <w:pPr>
              <w:widowControl w:val="0"/>
              <w:adjustRightInd w:val="0"/>
              <w:snapToGrid w:val="0"/>
              <w:jc w:val="center"/>
              <w:rPr>
                <w:color w:val="000000"/>
              </w:rPr>
            </w:pPr>
            <w:r>
              <w:rPr>
                <w:color w:val="000000"/>
              </w:rPr>
              <w:t>5</w:t>
            </w:r>
          </w:p>
        </w:tc>
        <w:tc>
          <w:tcPr>
            <w:tcW w:w="2096" w:type="dxa"/>
            <w:tcMar>
              <w:top w:w="0" w:type="dxa"/>
              <w:left w:w="108" w:type="dxa"/>
              <w:bottom w:w="0" w:type="dxa"/>
              <w:right w:w="108" w:type="dxa"/>
            </w:tcMar>
            <w:vAlign w:val="center"/>
          </w:tcPr>
          <w:p w14:paraId="4CF45E90" w14:textId="77777777" w:rsidR="004B0883" w:rsidRDefault="004B0883">
            <w:pPr>
              <w:widowControl w:val="0"/>
              <w:jc w:val="center"/>
              <w:rPr>
                <w:color w:val="000000"/>
              </w:rPr>
            </w:pPr>
            <w:r>
              <w:rPr>
                <w:rFonts w:ascii="宋体" w:hAnsi="宋体" w:hint="eastAsia"/>
              </w:rPr>
              <w:t>一种除渣闸板阀</w:t>
            </w:r>
          </w:p>
        </w:tc>
        <w:tc>
          <w:tcPr>
            <w:tcW w:w="1241" w:type="dxa"/>
            <w:tcMar>
              <w:top w:w="0" w:type="dxa"/>
              <w:left w:w="108" w:type="dxa"/>
              <w:bottom w:w="0" w:type="dxa"/>
              <w:right w:w="108" w:type="dxa"/>
            </w:tcMar>
          </w:tcPr>
          <w:p w14:paraId="55DC9653" w14:textId="77777777" w:rsidR="004B0883" w:rsidRDefault="004B0883">
            <w:pPr>
              <w:widowControl w:val="0"/>
              <w:jc w:val="center"/>
              <w:rPr>
                <w:color w:val="000000"/>
              </w:rPr>
            </w:pPr>
            <w:r>
              <w:rPr>
                <w:rFonts w:ascii="宋体" w:hAnsi="宋体" w:hint="eastAsia"/>
              </w:rPr>
              <w:t>实用新型</w:t>
            </w:r>
          </w:p>
        </w:tc>
        <w:tc>
          <w:tcPr>
            <w:tcW w:w="1628" w:type="dxa"/>
            <w:tcMar>
              <w:top w:w="0" w:type="dxa"/>
              <w:left w:w="108" w:type="dxa"/>
              <w:bottom w:w="0" w:type="dxa"/>
              <w:right w:w="108" w:type="dxa"/>
            </w:tcMar>
            <w:vAlign w:val="center"/>
          </w:tcPr>
          <w:p w14:paraId="0A7FCA18" w14:textId="77777777" w:rsidR="004B0883" w:rsidRDefault="004B0883">
            <w:pPr>
              <w:widowControl w:val="0"/>
              <w:jc w:val="center"/>
              <w:rPr>
                <w:color w:val="000000"/>
              </w:rPr>
            </w:pPr>
            <w:r>
              <w:rPr>
                <w:rFonts w:eastAsia="等线" w:hint="eastAsia"/>
                <w:szCs w:val="24"/>
              </w:rPr>
              <w:t>2</w:t>
            </w:r>
            <w:r>
              <w:rPr>
                <w:rFonts w:eastAsia="等线"/>
                <w:szCs w:val="24"/>
              </w:rPr>
              <w:t>022231084516</w:t>
            </w:r>
          </w:p>
        </w:tc>
        <w:tc>
          <w:tcPr>
            <w:tcW w:w="1311" w:type="dxa"/>
            <w:tcMar>
              <w:top w:w="0" w:type="dxa"/>
              <w:left w:w="108" w:type="dxa"/>
              <w:bottom w:w="0" w:type="dxa"/>
              <w:right w:w="108" w:type="dxa"/>
            </w:tcMar>
            <w:vAlign w:val="center"/>
          </w:tcPr>
          <w:p w14:paraId="6378A953" w14:textId="77777777" w:rsidR="004B0883" w:rsidRDefault="004B0883">
            <w:pPr>
              <w:widowControl w:val="0"/>
              <w:jc w:val="center"/>
              <w:rPr>
                <w:color w:val="000000"/>
              </w:rPr>
            </w:pPr>
            <w:r>
              <w:rPr>
                <w:rFonts w:eastAsia="等线" w:hint="eastAsia"/>
                <w:szCs w:val="24"/>
              </w:rPr>
              <w:t>2</w:t>
            </w:r>
            <w:r>
              <w:rPr>
                <w:rFonts w:eastAsia="等线"/>
                <w:szCs w:val="24"/>
              </w:rPr>
              <w:t>022</w:t>
            </w:r>
            <w:r>
              <w:rPr>
                <w:rFonts w:eastAsia="等线" w:hint="eastAsia"/>
                <w:szCs w:val="24"/>
              </w:rPr>
              <w:t>-</w:t>
            </w:r>
            <w:r>
              <w:rPr>
                <w:rFonts w:eastAsia="等线"/>
                <w:szCs w:val="24"/>
              </w:rPr>
              <w:t>11</w:t>
            </w:r>
            <w:r>
              <w:rPr>
                <w:rFonts w:eastAsia="等线" w:hint="eastAsia"/>
                <w:szCs w:val="24"/>
              </w:rPr>
              <w:t>-</w:t>
            </w:r>
            <w:r>
              <w:rPr>
                <w:rFonts w:eastAsia="等线"/>
                <w:szCs w:val="24"/>
              </w:rPr>
              <w:t>23</w:t>
            </w:r>
          </w:p>
        </w:tc>
        <w:tc>
          <w:tcPr>
            <w:tcW w:w="1077" w:type="dxa"/>
            <w:tcMar>
              <w:top w:w="0" w:type="dxa"/>
              <w:left w:w="108" w:type="dxa"/>
              <w:bottom w:w="0" w:type="dxa"/>
              <w:right w:w="108" w:type="dxa"/>
            </w:tcMar>
            <w:vAlign w:val="center"/>
          </w:tcPr>
          <w:p w14:paraId="2704AE3E" w14:textId="77777777" w:rsidR="004B0883" w:rsidRDefault="004B0883">
            <w:pPr>
              <w:widowControl w:val="0"/>
              <w:jc w:val="center"/>
              <w:rPr>
                <w:color w:val="000000"/>
              </w:rPr>
            </w:pPr>
            <w:r>
              <w:rPr>
                <w:rFonts w:ascii="宋体" w:hAnsi="宋体" w:hint="eastAsia"/>
              </w:rPr>
              <w:t>发行人</w:t>
            </w:r>
          </w:p>
        </w:tc>
        <w:tc>
          <w:tcPr>
            <w:tcW w:w="1224" w:type="dxa"/>
            <w:tcMar>
              <w:top w:w="0" w:type="dxa"/>
              <w:left w:w="108" w:type="dxa"/>
              <w:bottom w:w="0" w:type="dxa"/>
              <w:right w:w="108" w:type="dxa"/>
            </w:tcMar>
            <w:vAlign w:val="center"/>
          </w:tcPr>
          <w:p w14:paraId="799D593C" w14:textId="77777777" w:rsidR="004B0883" w:rsidRDefault="004B0883">
            <w:pPr>
              <w:widowControl w:val="0"/>
              <w:jc w:val="center"/>
              <w:rPr>
                <w:color w:val="000000"/>
              </w:rPr>
            </w:pPr>
            <w:r>
              <w:rPr>
                <w:rFonts w:ascii="宋体" w:hAnsi="宋体" w:hint="eastAsia"/>
              </w:rPr>
              <w:t>原始取得</w:t>
            </w:r>
          </w:p>
        </w:tc>
      </w:tr>
      <w:tr w:rsidR="004B0883" w14:paraId="0B885DE2" w14:textId="77777777">
        <w:trPr>
          <w:trHeight w:val="397"/>
          <w:jc w:val="center"/>
        </w:trPr>
        <w:tc>
          <w:tcPr>
            <w:tcW w:w="348" w:type="pct"/>
            <w:tcMar>
              <w:top w:w="0" w:type="dxa"/>
              <w:left w:w="108" w:type="dxa"/>
              <w:bottom w:w="0" w:type="dxa"/>
              <w:right w:w="108" w:type="dxa"/>
            </w:tcMar>
            <w:vAlign w:val="center"/>
          </w:tcPr>
          <w:p w14:paraId="4459F49C" w14:textId="77777777" w:rsidR="004B0883" w:rsidRDefault="004B0883">
            <w:pPr>
              <w:widowControl w:val="0"/>
              <w:adjustRightInd w:val="0"/>
              <w:snapToGrid w:val="0"/>
              <w:jc w:val="center"/>
              <w:rPr>
                <w:color w:val="000000"/>
              </w:rPr>
            </w:pPr>
            <w:r>
              <w:rPr>
                <w:color w:val="000000"/>
              </w:rPr>
              <w:t>6</w:t>
            </w:r>
          </w:p>
        </w:tc>
        <w:tc>
          <w:tcPr>
            <w:tcW w:w="2096" w:type="dxa"/>
            <w:tcMar>
              <w:top w:w="0" w:type="dxa"/>
              <w:left w:w="108" w:type="dxa"/>
              <w:bottom w:w="0" w:type="dxa"/>
              <w:right w:w="108" w:type="dxa"/>
            </w:tcMar>
            <w:vAlign w:val="center"/>
          </w:tcPr>
          <w:p w14:paraId="4A09D43F" w14:textId="77777777" w:rsidR="004B0883" w:rsidRDefault="004B0883">
            <w:pPr>
              <w:widowControl w:val="0"/>
              <w:jc w:val="center"/>
              <w:rPr>
                <w:color w:val="000000"/>
              </w:rPr>
            </w:pPr>
            <w:r>
              <w:rPr>
                <w:rFonts w:ascii="宋体" w:hAnsi="宋体" w:hint="eastAsia"/>
              </w:rPr>
              <w:t>一种管道流体控制阀</w:t>
            </w:r>
          </w:p>
        </w:tc>
        <w:tc>
          <w:tcPr>
            <w:tcW w:w="1241" w:type="dxa"/>
            <w:tcMar>
              <w:top w:w="0" w:type="dxa"/>
              <w:left w:w="108" w:type="dxa"/>
              <w:bottom w:w="0" w:type="dxa"/>
              <w:right w:w="108" w:type="dxa"/>
            </w:tcMar>
            <w:vAlign w:val="center"/>
          </w:tcPr>
          <w:p w14:paraId="76204AFA" w14:textId="77777777" w:rsidR="004B0883" w:rsidRDefault="004B0883">
            <w:pPr>
              <w:widowControl w:val="0"/>
              <w:jc w:val="center"/>
              <w:rPr>
                <w:color w:val="000000"/>
              </w:rPr>
            </w:pPr>
            <w:r>
              <w:rPr>
                <w:rFonts w:ascii="宋体" w:hAnsi="宋体" w:hint="eastAsia"/>
              </w:rPr>
              <w:t>实用新型</w:t>
            </w:r>
          </w:p>
        </w:tc>
        <w:tc>
          <w:tcPr>
            <w:tcW w:w="1628" w:type="dxa"/>
            <w:tcMar>
              <w:top w:w="0" w:type="dxa"/>
              <w:left w:w="108" w:type="dxa"/>
              <w:bottom w:w="0" w:type="dxa"/>
              <w:right w:w="108" w:type="dxa"/>
            </w:tcMar>
            <w:vAlign w:val="center"/>
          </w:tcPr>
          <w:p w14:paraId="4FE94DB5" w14:textId="77777777" w:rsidR="004B0883" w:rsidRDefault="004B0883">
            <w:pPr>
              <w:widowControl w:val="0"/>
              <w:jc w:val="center"/>
              <w:rPr>
                <w:color w:val="000000"/>
              </w:rPr>
            </w:pPr>
            <w:r>
              <w:rPr>
                <w:rFonts w:eastAsia="等线"/>
                <w:szCs w:val="24"/>
              </w:rPr>
              <w:t>202223058814X</w:t>
            </w:r>
          </w:p>
        </w:tc>
        <w:tc>
          <w:tcPr>
            <w:tcW w:w="1311" w:type="dxa"/>
            <w:tcMar>
              <w:top w:w="0" w:type="dxa"/>
              <w:left w:w="108" w:type="dxa"/>
              <w:bottom w:w="0" w:type="dxa"/>
              <w:right w:w="108" w:type="dxa"/>
            </w:tcMar>
            <w:vAlign w:val="center"/>
          </w:tcPr>
          <w:p w14:paraId="44570061" w14:textId="77777777" w:rsidR="004B0883" w:rsidRDefault="004B0883">
            <w:pPr>
              <w:widowControl w:val="0"/>
              <w:jc w:val="center"/>
              <w:rPr>
                <w:color w:val="000000"/>
              </w:rPr>
            </w:pPr>
            <w:r>
              <w:rPr>
                <w:rFonts w:eastAsia="等线"/>
                <w:szCs w:val="24"/>
              </w:rPr>
              <w:t>2022-11-17</w:t>
            </w:r>
          </w:p>
        </w:tc>
        <w:tc>
          <w:tcPr>
            <w:tcW w:w="1077" w:type="dxa"/>
            <w:tcMar>
              <w:top w:w="0" w:type="dxa"/>
              <w:left w:w="108" w:type="dxa"/>
              <w:bottom w:w="0" w:type="dxa"/>
              <w:right w:w="108" w:type="dxa"/>
            </w:tcMar>
            <w:vAlign w:val="center"/>
          </w:tcPr>
          <w:p w14:paraId="58B66B18" w14:textId="77777777" w:rsidR="004B0883" w:rsidRDefault="004B0883">
            <w:pPr>
              <w:widowControl w:val="0"/>
              <w:jc w:val="center"/>
              <w:rPr>
                <w:color w:val="000000"/>
              </w:rPr>
            </w:pPr>
            <w:r>
              <w:rPr>
                <w:rFonts w:ascii="宋体" w:hAnsi="宋体" w:hint="eastAsia"/>
              </w:rPr>
              <w:t>发行人</w:t>
            </w:r>
          </w:p>
        </w:tc>
        <w:tc>
          <w:tcPr>
            <w:tcW w:w="1224" w:type="dxa"/>
            <w:tcMar>
              <w:top w:w="0" w:type="dxa"/>
              <w:left w:w="108" w:type="dxa"/>
              <w:bottom w:w="0" w:type="dxa"/>
              <w:right w:w="108" w:type="dxa"/>
            </w:tcMar>
            <w:vAlign w:val="center"/>
          </w:tcPr>
          <w:p w14:paraId="69375A19" w14:textId="77777777" w:rsidR="004B0883" w:rsidRDefault="004B0883">
            <w:pPr>
              <w:widowControl w:val="0"/>
              <w:jc w:val="center"/>
              <w:rPr>
                <w:color w:val="000000"/>
              </w:rPr>
            </w:pPr>
            <w:r>
              <w:rPr>
                <w:rFonts w:ascii="宋体" w:hAnsi="宋体" w:hint="eastAsia"/>
              </w:rPr>
              <w:t>原始取得</w:t>
            </w:r>
          </w:p>
        </w:tc>
      </w:tr>
      <w:tr w:rsidR="004B0883" w14:paraId="533969C4" w14:textId="77777777">
        <w:trPr>
          <w:trHeight w:val="397"/>
          <w:jc w:val="center"/>
        </w:trPr>
        <w:tc>
          <w:tcPr>
            <w:tcW w:w="348" w:type="pct"/>
            <w:tcMar>
              <w:top w:w="0" w:type="dxa"/>
              <w:left w:w="108" w:type="dxa"/>
              <w:bottom w:w="0" w:type="dxa"/>
              <w:right w:w="108" w:type="dxa"/>
            </w:tcMar>
            <w:vAlign w:val="center"/>
          </w:tcPr>
          <w:p w14:paraId="098650B1" w14:textId="77777777" w:rsidR="004B0883" w:rsidRDefault="004B0883">
            <w:pPr>
              <w:widowControl w:val="0"/>
              <w:adjustRightInd w:val="0"/>
              <w:snapToGrid w:val="0"/>
              <w:jc w:val="center"/>
              <w:rPr>
                <w:color w:val="000000"/>
              </w:rPr>
            </w:pPr>
            <w:r>
              <w:rPr>
                <w:color w:val="000000"/>
              </w:rPr>
              <w:t>7</w:t>
            </w:r>
          </w:p>
        </w:tc>
        <w:tc>
          <w:tcPr>
            <w:tcW w:w="2096" w:type="dxa"/>
            <w:tcMar>
              <w:top w:w="0" w:type="dxa"/>
              <w:left w:w="108" w:type="dxa"/>
              <w:bottom w:w="0" w:type="dxa"/>
              <w:right w:w="108" w:type="dxa"/>
            </w:tcMar>
            <w:vAlign w:val="center"/>
          </w:tcPr>
          <w:p w14:paraId="00D24283" w14:textId="77777777" w:rsidR="004B0883" w:rsidRDefault="004B0883">
            <w:pPr>
              <w:widowControl w:val="0"/>
              <w:jc w:val="center"/>
              <w:rPr>
                <w:color w:val="000000"/>
              </w:rPr>
            </w:pPr>
            <w:r>
              <w:rPr>
                <w:rFonts w:ascii="宋体" w:hAnsi="宋体" w:hint="eastAsia"/>
              </w:rPr>
              <w:t>一种单偏心双密封蝶阀</w:t>
            </w:r>
          </w:p>
        </w:tc>
        <w:tc>
          <w:tcPr>
            <w:tcW w:w="1241" w:type="dxa"/>
            <w:tcMar>
              <w:top w:w="0" w:type="dxa"/>
              <w:left w:w="108" w:type="dxa"/>
              <w:bottom w:w="0" w:type="dxa"/>
              <w:right w:w="108" w:type="dxa"/>
            </w:tcMar>
            <w:vAlign w:val="center"/>
          </w:tcPr>
          <w:p w14:paraId="1D4E5583" w14:textId="77777777" w:rsidR="004B0883" w:rsidRDefault="004B0883">
            <w:pPr>
              <w:widowControl w:val="0"/>
              <w:jc w:val="center"/>
              <w:rPr>
                <w:color w:val="000000"/>
              </w:rPr>
            </w:pPr>
            <w:r>
              <w:rPr>
                <w:rFonts w:ascii="宋体" w:hAnsi="宋体" w:hint="eastAsia"/>
              </w:rPr>
              <w:t>实用新型</w:t>
            </w:r>
          </w:p>
        </w:tc>
        <w:tc>
          <w:tcPr>
            <w:tcW w:w="1628" w:type="dxa"/>
            <w:tcMar>
              <w:top w:w="0" w:type="dxa"/>
              <w:left w:w="108" w:type="dxa"/>
              <w:bottom w:w="0" w:type="dxa"/>
              <w:right w:w="108" w:type="dxa"/>
            </w:tcMar>
            <w:vAlign w:val="center"/>
          </w:tcPr>
          <w:p w14:paraId="613345BA" w14:textId="77777777" w:rsidR="004B0883" w:rsidRDefault="004B0883">
            <w:pPr>
              <w:widowControl w:val="0"/>
              <w:jc w:val="center"/>
              <w:rPr>
                <w:color w:val="000000"/>
              </w:rPr>
            </w:pPr>
            <w:r>
              <w:rPr>
                <w:rFonts w:eastAsia="等线"/>
                <w:szCs w:val="24"/>
              </w:rPr>
              <w:t>2022230485266</w:t>
            </w:r>
          </w:p>
        </w:tc>
        <w:tc>
          <w:tcPr>
            <w:tcW w:w="1311" w:type="dxa"/>
            <w:tcMar>
              <w:top w:w="0" w:type="dxa"/>
              <w:left w:w="108" w:type="dxa"/>
              <w:bottom w:w="0" w:type="dxa"/>
              <w:right w:w="108" w:type="dxa"/>
            </w:tcMar>
            <w:vAlign w:val="center"/>
          </w:tcPr>
          <w:p w14:paraId="0706CC53" w14:textId="77777777" w:rsidR="004B0883" w:rsidRDefault="004B0883">
            <w:pPr>
              <w:widowControl w:val="0"/>
              <w:jc w:val="center"/>
              <w:rPr>
                <w:color w:val="000000"/>
              </w:rPr>
            </w:pPr>
            <w:r>
              <w:rPr>
                <w:rFonts w:eastAsia="等线"/>
                <w:szCs w:val="24"/>
              </w:rPr>
              <w:t>2022-11-16</w:t>
            </w:r>
          </w:p>
        </w:tc>
        <w:tc>
          <w:tcPr>
            <w:tcW w:w="1077" w:type="dxa"/>
            <w:tcMar>
              <w:top w:w="0" w:type="dxa"/>
              <w:left w:w="108" w:type="dxa"/>
              <w:bottom w:w="0" w:type="dxa"/>
              <w:right w:w="108" w:type="dxa"/>
            </w:tcMar>
            <w:vAlign w:val="center"/>
          </w:tcPr>
          <w:p w14:paraId="2AD93C8F" w14:textId="77777777" w:rsidR="004B0883" w:rsidRDefault="004B0883">
            <w:pPr>
              <w:widowControl w:val="0"/>
              <w:jc w:val="center"/>
              <w:rPr>
                <w:color w:val="000000"/>
              </w:rPr>
            </w:pPr>
            <w:r>
              <w:rPr>
                <w:rFonts w:ascii="宋体" w:hAnsi="宋体" w:hint="eastAsia"/>
              </w:rPr>
              <w:t>发行人</w:t>
            </w:r>
          </w:p>
        </w:tc>
        <w:tc>
          <w:tcPr>
            <w:tcW w:w="1224" w:type="dxa"/>
            <w:tcMar>
              <w:top w:w="0" w:type="dxa"/>
              <w:left w:w="108" w:type="dxa"/>
              <w:bottom w:w="0" w:type="dxa"/>
              <w:right w:w="108" w:type="dxa"/>
            </w:tcMar>
            <w:vAlign w:val="center"/>
          </w:tcPr>
          <w:p w14:paraId="6AF4FA76" w14:textId="77777777" w:rsidR="004B0883" w:rsidRDefault="004B0883">
            <w:pPr>
              <w:widowControl w:val="0"/>
              <w:jc w:val="center"/>
              <w:rPr>
                <w:color w:val="000000"/>
              </w:rPr>
            </w:pPr>
            <w:r>
              <w:rPr>
                <w:rFonts w:ascii="宋体" w:hAnsi="宋体" w:hint="eastAsia"/>
              </w:rPr>
              <w:t>原始取得</w:t>
            </w:r>
          </w:p>
        </w:tc>
      </w:tr>
      <w:tr w:rsidR="004B0883" w14:paraId="41F84DCA" w14:textId="77777777">
        <w:trPr>
          <w:trHeight w:val="397"/>
          <w:jc w:val="center"/>
        </w:trPr>
        <w:tc>
          <w:tcPr>
            <w:tcW w:w="348" w:type="pct"/>
            <w:tcMar>
              <w:top w:w="0" w:type="dxa"/>
              <w:left w:w="108" w:type="dxa"/>
              <w:bottom w:w="0" w:type="dxa"/>
              <w:right w:w="108" w:type="dxa"/>
            </w:tcMar>
            <w:vAlign w:val="center"/>
          </w:tcPr>
          <w:p w14:paraId="5C9B696E" w14:textId="77777777" w:rsidR="004B0883" w:rsidRDefault="004B0883">
            <w:pPr>
              <w:widowControl w:val="0"/>
              <w:adjustRightInd w:val="0"/>
              <w:snapToGrid w:val="0"/>
              <w:jc w:val="center"/>
              <w:rPr>
                <w:color w:val="000000"/>
              </w:rPr>
            </w:pPr>
            <w:r>
              <w:rPr>
                <w:color w:val="000000"/>
              </w:rPr>
              <w:t>8</w:t>
            </w:r>
          </w:p>
        </w:tc>
        <w:tc>
          <w:tcPr>
            <w:tcW w:w="2096" w:type="dxa"/>
            <w:tcMar>
              <w:top w:w="0" w:type="dxa"/>
              <w:left w:w="108" w:type="dxa"/>
              <w:bottom w:w="0" w:type="dxa"/>
              <w:right w:w="108" w:type="dxa"/>
            </w:tcMar>
            <w:vAlign w:val="center"/>
          </w:tcPr>
          <w:p w14:paraId="51288A02" w14:textId="77777777" w:rsidR="004B0883" w:rsidRDefault="004B0883">
            <w:pPr>
              <w:widowControl w:val="0"/>
              <w:jc w:val="center"/>
              <w:rPr>
                <w:color w:val="000000"/>
              </w:rPr>
            </w:pPr>
            <w:r>
              <w:rPr>
                <w:rFonts w:ascii="宋体" w:hAnsi="宋体" w:hint="eastAsia"/>
              </w:rPr>
              <w:t>一种硬密封偏心半球阀</w:t>
            </w:r>
          </w:p>
        </w:tc>
        <w:tc>
          <w:tcPr>
            <w:tcW w:w="1241" w:type="dxa"/>
            <w:tcMar>
              <w:top w:w="0" w:type="dxa"/>
              <w:left w:w="108" w:type="dxa"/>
              <w:bottom w:w="0" w:type="dxa"/>
              <w:right w:w="108" w:type="dxa"/>
            </w:tcMar>
            <w:vAlign w:val="center"/>
          </w:tcPr>
          <w:p w14:paraId="1B4361E5" w14:textId="77777777" w:rsidR="004B0883" w:rsidRDefault="004B0883">
            <w:pPr>
              <w:widowControl w:val="0"/>
              <w:jc w:val="center"/>
              <w:rPr>
                <w:color w:val="000000"/>
              </w:rPr>
            </w:pPr>
            <w:r>
              <w:rPr>
                <w:rFonts w:ascii="宋体" w:hAnsi="宋体" w:hint="eastAsia"/>
              </w:rPr>
              <w:t>实用新型</w:t>
            </w:r>
          </w:p>
        </w:tc>
        <w:tc>
          <w:tcPr>
            <w:tcW w:w="1628" w:type="dxa"/>
            <w:tcMar>
              <w:top w:w="0" w:type="dxa"/>
              <w:left w:w="108" w:type="dxa"/>
              <w:bottom w:w="0" w:type="dxa"/>
              <w:right w:w="108" w:type="dxa"/>
            </w:tcMar>
            <w:vAlign w:val="center"/>
          </w:tcPr>
          <w:p w14:paraId="030F48A4" w14:textId="77777777" w:rsidR="004B0883" w:rsidRDefault="004B0883">
            <w:pPr>
              <w:widowControl w:val="0"/>
              <w:jc w:val="center"/>
              <w:rPr>
                <w:color w:val="000000"/>
              </w:rPr>
            </w:pPr>
            <w:r>
              <w:rPr>
                <w:rFonts w:eastAsia="等线"/>
                <w:szCs w:val="24"/>
              </w:rPr>
              <w:t>2022230528030</w:t>
            </w:r>
          </w:p>
        </w:tc>
        <w:tc>
          <w:tcPr>
            <w:tcW w:w="1311" w:type="dxa"/>
            <w:tcMar>
              <w:top w:w="0" w:type="dxa"/>
              <w:left w:w="108" w:type="dxa"/>
              <w:bottom w:w="0" w:type="dxa"/>
              <w:right w:w="108" w:type="dxa"/>
            </w:tcMar>
            <w:vAlign w:val="center"/>
          </w:tcPr>
          <w:p w14:paraId="7C6262C3" w14:textId="77777777" w:rsidR="004B0883" w:rsidRDefault="004B0883">
            <w:pPr>
              <w:widowControl w:val="0"/>
              <w:jc w:val="center"/>
              <w:rPr>
                <w:color w:val="000000"/>
              </w:rPr>
            </w:pPr>
            <w:r>
              <w:rPr>
                <w:rFonts w:eastAsia="等线"/>
                <w:szCs w:val="24"/>
              </w:rPr>
              <w:t>2022-11-16</w:t>
            </w:r>
          </w:p>
        </w:tc>
        <w:tc>
          <w:tcPr>
            <w:tcW w:w="1077" w:type="dxa"/>
            <w:tcMar>
              <w:top w:w="0" w:type="dxa"/>
              <w:left w:w="108" w:type="dxa"/>
              <w:bottom w:w="0" w:type="dxa"/>
              <w:right w:w="108" w:type="dxa"/>
            </w:tcMar>
            <w:vAlign w:val="center"/>
          </w:tcPr>
          <w:p w14:paraId="6573D2F8" w14:textId="77777777" w:rsidR="004B0883" w:rsidRDefault="004B0883">
            <w:pPr>
              <w:widowControl w:val="0"/>
              <w:jc w:val="center"/>
              <w:rPr>
                <w:color w:val="000000"/>
              </w:rPr>
            </w:pPr>
            <w:r>
              <w:rPr>
                <w:rFonts w:ascii="宋体" w:hAnsi="宋体" w:hint="eastAsia"/>
              </w:rPr>
              <w:t>发行人</w:t>
            </w:r>
          </w:p>
        </w:tc>
        <w:tc>
          <w:tcPr>
            <w:tcW w:w="1224" w:type="dxa"/>
            <w:tcMar>
              <w:top w:w="0" w:type="dxa"/>
              <w:left w:w="108" w:type="dxa"/>
              <w:bottom w:w="0" w:type="dxa"/>
              <w:right w:w="108" w:type="dxa"/>
            </w:tcMar>
            <w:vAlign w:val="center"/>
          </w:tcPr>
          <w:p w14:paraId="277155E1" w14:textId="77777777" w:rsidR="004B0883" w:rsidRDefault="004B0883">
            <w:pPr>
              <w:widowControl w:val="0"/>
              <w:jc w:val="center"/>
              <w:rPr>
                <w:color w:val="000000"/>
              </w:rPr>
            </w:pPr>
            <w:r>
              <w:rPr>
                <w:rFonts w:ascii="宋体" w:hAnsi="宋体" w:hint="eastAsia"/>
              </w:rPr>
              <w:t>原始取得</w:t>
            </w:r>
          </w:p>
        </w:tc>
      </w:tr>
      <w:tr w:rsidR="004B0883" w14:paraId="2AAC51F4" w14:textId="77777777">
        <w:trPr>
          <w:trHeight w:val="397"/>
          <w:jc w:val="center"/>
        </w:trPr>
        <w:tc>
          <w:tcPr>
            <w:tcW w:w="348" w:type="pct"/>
            <w:tcMar>
              <w:top w:w="0" w:type="dxa"/>
              <w:left w:w="108" w:type="dxa"/>
              <w:bottom w:w="0" w:type="dxa"/>
              <w:right w:w="108" w:type="dxa"/>
            </w:tcMar>
            <w:vAlign w:val="center"/>
          </w:tcPr>
          <w:p w14:paraId="6DCD08EF" w14:textId="77777777" w:rsidR="004B0883" w:rsidRDefault="004B0883">
            <w:pPr>
              <w:widowControl w:val="0"/>
              <w:adjustRightInd w:val="0"/>
              <w:snapToGrid w:val="0"/>
              <w:jc w:val="center"/>
              <w:rPr>
                <w:color w:val="000000"/>
              </w:rPr>
            </w:pPr>
            <w:r>
              <w:rPr>
                <w:color w:val="000000"/>
              </w:rPr>
              <w:t>9</w:t>
            </w:r>
          </w:p>
        </w:tc>
        <w:tc>
          <w:tcPr>
            <w:tcW w:w="2096" w:type="dxa"/>
            <w:tcMar>
              <w:top w:w="0" w:type="dxa"/>
              <w:left w:w="108" w:type="dxa"/>
              <w:bottom w:w="0" w:type="dxa"/>
              <w:right w:w="108" w:type="dxa"/>
            </w:tcMar>
            <w:vAlign w:val="center"/>
          </w:tcPr>
          <w:p w14:paraId="6DDCAEC2" w14:textId="77777777" w:rsidR="004B0883" w:rsidRDefault="004B0883">
            <w:pPr>
              <w:widowControl w:val="0"/>
              <w:jc w:val="center"/>
              <w:rPr>
                <w:color w:val="000000"/>
              </w:rPr>
            </w:pPr>
            <w:r>
              <w:rPr>
                <w:rFonts w:ascii="宋体" w:hAnsi="宋体" w:hint="eastAsia"/>
              </w:rPr>
              <w:t>一种法兰式软密封球阀密封副</w:t>
            </w:r>
          </w:p>
        </w:tc>
        <w:tc>
          <w:tcPr>
            <w:tcW w:w="1241" w:type="dxa"/>
            <w:tcMar>
              <w:top w:w="0" w:type="dxa"/>
              <w:left w:w="108" w:type="dxa"/>
              <w:bottom w:w="0" w:type="dxa"/>
              <w:right w:w="108" w:type="dxa"/>
            </w:tcMar>
            <w:vAlign w:val="center"/>
          </w:tcPr>
          <w:p w14:paraId="46294515" w14:textId="77777777" w:rsidR="004B0883" w:rsidRDefault="004B0883">
            <w:pPr>
              <w:widowControl w:val="0"/>
              <w:jc w:val="center"/>
              <w:rPr>
                <w:color w:val="000000"/>
              </w:rPr>
            </w:pPr>
            <w:r>
              <w:rPr>
                <w:rFonts w:ascii="宋体" w:hAnsi="宋体" w:hint="eastAsia"/>
              </w:rPr>
              <w:t>实用新型</w:t>
            </w:r>
          </w:p>
        </w:tc>
        <w:tc>
          <w:tcPr>
            <w:tcW w:w="1628" w:type="dxa"/>
            <w:tcMar>
              <w:top w:w="0" w:type="dxa"/>
              <w:left w:w="108" w:type="dxa"/>
              <w:bottom w:w="0" w:type="dxa"/>
              <w:right w:w="108" w:type="dxa"/>
            </w:tcMar>
            <w:vAlign w:val="center"/>
          </w:tcPr>
          <w:p w14:paraId="384C132B" w14:textId="77777777" w:rsidR="004B0883" w:rsidRDefault="004B0883">
            <w:pPr>
              <w:widowControl w:val="0"/>
              <w:jc w:val="center"/>
              <w:rPr>
                <w:color w:val="000000"/>
              </w:rPr>
            </w:pPr>
            <w:r>
              <w:rPr>
                <w:rFonts w:eastAsia="等线"/>
                <w:szCs w:val="24"/>
              </w:rPr>
              <w:t>2022230530026</w:t>
            </w:r>
          </w:p>
        </w:tc>
        <w:tc>
          <w:tcPr>
            <w:tcW w:w="1311" w:type="dxa"/>
            <w:tcMar>
              <w:top w:w="0" w:type="dxa"/>
              <w:left w:w="108" w:type="dxa"/>
              <w:bottom w:w="0" w:type="dxa"/>
              <w:right w:w="108" w:type="dxa"/>
            </w:tcMar>
            <w:vAlign w:val="center"/>
          </w:tcPr>
          <w:p w14:paraId="5988189C" w14:textId="77777777" w:rsidR="004B0883" w:rsidRDefault="004B0883">
            <w:pPr>
              <w:widowControl w:val="0"/>
              <w:jc w:val="center"/>
              <w:rPr>
                <w:color w:val="000000"/>
              </w:rPr>
            </w:pPr>
            <w:r>
              <w:rPr>
                <w:rFonts w:eastAsia="等线"/>
                <w:szCs w:val="24"/>
              </w:rPr>
              <w:t>2022-11-16</w:t>
            </w:r>
          </w:p>
        </w:tc>
        <w:tc>
          <w:tcPr>
            <w:tcW w:w="1077" w:type="dxa"/>
            <w:tcMar>
              <w:top w:w="0" w:type="dxa"/>
              <w:left w:w="108" w:type="dxa"/>
              <w:bottom w:w="0" w:type="dxa"/>
              <w:right w:w="108" w:type="dxa"/>
            </w:tcMar>
            <w:vAlign w:val="center"/>
          </w:tcPr>
          <w:p w14:paraId="5524F728" w14:textId="77777777" w:rsidR="004B0883" w:rsidRDefault="004B0883">
            <w:pPr>
              <w:widowControl w:val="0"/>
              <w:jc w:val="center"/>
              <w:rPr>
                <w:color w:val="000000"/>
              </w:rPr>
            </w:pPr>
            <w:r>
              <w:rPr>
                <w:rFonts w:ascii="宋体" w:hAnsi="宋体" w:hint="eastAsia"/>
              </w:rPr>
              <w:t>发行人</w:t>
            </w:r>
          </w:p>
        </w:tc>
        <w:tc>
          <w:tcPr>
            <w:tcW w:w="1224" w:type="dxa"/>
            <w:tcMar>
              <w:top w:w="0" w:type="dxa"/>
              <w:left w:w="108" w:type="dxa"/>
              <w:bottom w:w="0" w:type="dxa"/>
              <w:right w:w="108" w:type="dxa"/>
            </w:tcMar>
            <w:vAlign w:val="center"/>
          </w:tcPr>
          <w:p w14:paraId="062A953F" w14:textId="77777777" w:rsidR="004B0883" w:rsidRDefault="004B0883">
            <w:pPr>
              <w:widowControl w:val="0"/>
              <w:jc w:val="center"/>
              <w:rPr>
                <w:color w:val="000000"/>
              </w:rPr>
            </w:pPr>
            <w:r>
              <w:rPr>
                <w:rFonts w:ascii="宋体" w:hAnsi="宋体" w:hint="eastAsia"/>
              </w:rPr>
              <w:t>原始取得</w:t>
            </w:r>
          </w:p>
        </w:tc>
      </w:tr>
      <w:tr w:rsidR="004B0883" w14:paraId="7F80FA26" w14:textId="77777777">
        <w:trPr>
          <w:trHeight w:val="397"/>
          <w:jc w:val="center"/>
        </w:trPr>
        <w:tc>
          <w:tcPr>
            <w:tcW w:w="348" w:type="pct"/>
            <w:tcMar>
              <w:top w:w="0" w:type="dxa"/>
              <w:left w:w="108" w:type="dxa"/>
              <w:bottom w:w="0" w:type="dxa"/>
              <w:right w:w="108" w:type="dxa"/>
            </w:tcMar>
            <w:vAlign w:val="center"/>
          </w:tcPr>
          <w:p w14:paraId="2FD0BCBB" w14:textId="77777777" w:rsidR="004B0883" w:rsidRDefault="004B0883">
            <w:pPr>
              <w:widowControl w:val="0"/>
              <w:adjustRightInd w:val="0"/>
              <w:snapToGrid w:val="0"/>
              <w:jc w:val="center"/>
              <w:rPr>
                <w:color w:val="000000"/>
              </w:rPr>
            </w:pPr>
            <w:r>
              <w:rPr>
                <w:color w:val="000000"/>
              </w:rPr>
              <w:t>10</w:t>
            </w:r>
          </w:p>
        </w:tc>
        <w:tc>
          <w:tcPr>
            <w:tcW w:w="2096" w:type="dxa"/>
            <w:tcMar>
              <w:top w:w="0" w:type="dxa"/>
              <w:left w:w="108" w:type="dxa"/>
              <w:bottom w:w="0" w:type="dxa"/>
              <w:right w:w="108" w:type="dxa"/>
            </w:tcMar>
            <w:vAlign w:val="center"/>
          </w:tcPr>
          <w:p w14:paraId="75E52986" w14:textId="77777777" w:rsidR="004B0883" w:rsidRDefault="004B0883">
            <w:pPr>
              <w:widowControl w:val="0"/>
              <w:jc w:val="center"/>
              <w:rPr>
                <w:color w:val="000000"/>
              </w:rPr>
            </w:pPr>
            <w:r>
              <w:rPr>
                <w:rFonts w:ascii="宋体" w:hAnsi="宋体" w:hint="eastAsia"/>
              </w:rPr>
              <w:t>定位销</w:t>
            </w:r>
          </w:p>
        </w:tc>
        <w:tc>
          <w:tcPr>
            <w:tcW w:w="1241" w:type="dxa"/>
            <w:tcMar>
              <w:top w:w="0" w:type="dxa"/>
              <w:left w:w="108" w:type="dxa"/>
              <w:bottom w:w="0" w:type="dxa"/>
              <w:right w:w="108" w:type="dxa"/>
            </w:tcMar>
            <w:vAlign w:val="center"/>
          </w:tcPr>
          <w:p w14:paraId="7376E07A" w14:textId="77777777" w:rsidR="004B0883" w:rsidRDefault="004B0883">
            <w:pPr>
              <w:widowControl w:val="0"/>
              <w:jc w:val="center"/>
              <w:rPr>
                <w:color w:val="000000"/>
              </w:rPr>
            </w:pPr>
            <w:r>
              <w:rPr>
                <w:rFonts w:ascii="宋体" w:hAnsi="宋体" w:hint="eastAsia"/>
              </w:rPr>
              <w:t>实用新型</w:t>
            </w:r>
          </w:p>
        </w:tc>
        <w:tc>
          <w:tcPr>
            <w:tcW w:w="1628" w:type="dxa"/>
            <w:tcMar>
              <w:top w:w="0" w:type="dxa"/>
              <w:left w:w="108" w:type="dxa"/>
              <w:bottom w:w="0" w:type="dxa"/>
              <w:right w:w="108" w:type="dxa"/>
            </w:tcMar>
            <w:vAlign w:val="center"/>
          </w:tcPr>
          <w:p w14:paraId="328EB09E" w14:textId="77777777" w:rsidR="004B0883" w:rsidRDefault="004B0883">
            <w:pPr>
              <w:widowControl w:val="0"/>
              <w:jc w:val="center"/>
              <w:rPr>
                <w:color w:val="000000"/>
              </w:rPr>
            </w:pPr>
            <w:r>
              <w:rPr>
                <w:rFonts w:eastAsia="等线"/>
                <w:szCs w:val="24"/>
              </w:rPr>
              <w:t>2022230171682</w:t>
            </w:r>
          </w:p>
        </w:tc>
        <w:tc>
          <w:tcPr>
            <w:tcW w:w="1311" w:type="dxa"/>
            <w:tcMar>
              <w:top w:w="0" w:type="dxa"/>
              <w:left w:w="108" w:type="dxa"/>
              <w:bottom w:w="0" w:type="dxa"/>
              <w:right w:w="108" w:type="dxa"/>
            </w:tcMar>
            <w:vAlign w:val="center"/>
          </w:tcPr>
          <w:p w14:paraId="271A6076" w14:textId="77777777" w:rsidR="004B0883" w:rsidRDefault="004B0883">
            <w:pPr>
              <w:widowControl w:val="0"/>
              <w:jc w:val="center"/>
              <w:rPr>
                <w:color w:val="000000"/>
              </w:rPr>
            </w:pPr>
            <w:r>
              <w:rPr>
                <w:rFonts w:eastAsia="等线"/>
                <w:szCs w:val="24"/>
              </w:rPr>
              <w:t>2022-11-14</w:t>
            </w:r>
          </w:p>
        </w:tc>
        <w:tc>
          <w:tcPr>
            <w:tcW w:w="1077" w:type="dxa"/>
            <w:tcMar>
              <w:top w:w="0" w:type="dxa"/>
              <w:left w:w="108" w:type="dxa"/>
              <w:bottom w:w="0" w:type="dxa"/>
              <w:right w:w="108" w:type="dxa"/>
            </w:tcMar>
            <w:vAlign w:val="center"/>
          </w:tcPr>
          <w:p w14:paraId="39F35826" w14:textId="77777777" w:rsidR="004B0883" w:rsidRDefault="004B0883">
            <w:pPr>
              <w:widowControl w:val="0"/>
              <w:jc w:val="center"/>
              <w:rPr>
                <w:color w:val="000000"/>
              </w:rPr>
            </w:pPr>
            <w:r>
              <w:rPr>
                <w:rFonts w:ascii="宋体" w:hAnsi="宋体" w:hint="eastAsia"/>
              </w:rPr>
              <w:t>发行人</w:t>
            </w:r>
          </w:p>
        </w:tc>
        <w:tc>
          <w:tcPr>
            <w:tcW w:w="1224" w:type="dxa"/>
            <w:tcMar>
              <w:top w:w="0" w:type="dxa"/>
              <w:left w:w="108" w:type="dxa"/>
              <w:bottom w:w="0" w:type="dxa"/>
              <w:right w:w="108" w:type="dxa"/>
            </w:tcMar>
            <w:vAlign w:val="center"/>
          </w:tcPr>
          <w:p w14:paraId="47897602" w14:textId="77777777" w:rsidR="004B0883" w:rsidRDefault="004B0883">
            <w:pPr>
              <w:widowControl w:val="0"/>
              <w:jc w:val="center"/>
              <w:rPr>
                <w:color w:val="000000"/>
              </w:rPr>
            </w:pPr>
            <w:r>
              <w:rPr>
                <w:rFonts w:ascii="宋体" w:hAnsi="宋体" w:hint="eastAsia"/>
              </w:rPr>
              <w:t>原始取得</w:t>
            </w:r>
          </w:p>
        </w:tc>
      </w:tr>
      <w:tr w:rsidR="004B0883" w14:paraId="6015F5DF" w14:textId="77777777">
        <w:trPr>
          <w:trHeight w:val="397"/>
          <w:jc w:val="center"/>
        </w:trPr>
        <w:tc>
          <w:tcPr>
            <w:tcW w:w="348" w:type="pct"/>
            <w:tcMar>
              <w:top w:w="0" w:type="dxa"/>
              <w:left w:w="108" w:type="dxa"/>
              <w:bottom w:w="0" w:type="dxa"/>
              <w:right w:w="108" w:type="dxa"/>
            </w:tcMar>
            <w:vAlign w:val="center"/>
          </w:tcPr>
          <w:p w14:paraId="12097254" w14:textId="77777777" w:rsidR="004B0883" w:rsidRDefault="004B0883">
            <w:pPr>
              <w:widowControl w:val="0"/>
              <w:adjustRightInd w:val="0"/>
              <w:snapToGrid w:val="0"/>
              <w:jc w:val="center"/>
              <w:rPr>
                <w:color w:val="000000"/>
              </w:rPr>
            </w:pPr>
            <w:r>
              <w:rPr>
                <w:color w:val="000000"/>
              </w:rPr>
              <w:t>11</w:t>
            </w:r>
          </w:p>
        </w:tc>
        <w:tc>
          <w:tcPr>
            <w:tcW w:w="2096" w:type="dxa"/>
            <w:tcMar>
              <w:top w:w="0" w:type="dxa"/>
              <w:left w:w="108" w:type="dxa"/>
              <w:bottom w:w="0" w:type="dxa"/>
              <w:right w:w="108" w:type="dxa"/>
            </w:tcMar>
            <w:vAlign w:val="center"/>
          </w:tcPr>
          <w:p w14:paraId="0F73B0FF" w14:textId="77777777" w:rsidR="004B0883" w:rsidRDefault="004B0883">
            <w:pPr>
              <w:widowControl w:val="0"/>
              <w:jc w:val="center"/>
              <w:rPr>
                <w:color w:val="000000"/>
              </w:rPr>
            </w:pPr>
            <w:r>
              <w:rPr>
                <w:rFonts w:ascii="宋体" w:hAnsi="宋体" w:hint="eastAsia"/>
              </w:rPr>
              <w:t>明杆闸阀</w:t>
            </w:r>
          </w:p>
        </w:tc>
        <w:tc>
          <w:tcPr>
            <w:tcW w:w="1241" w:type="dxa"/>
            <w:tcMar>
              <w:top w:w="0" w:type="dxa"/>
              <w:left w:w="108" w:type="dxa"/>
              <w:bottom w:w="0" w:type="dxa"/>
              <w:right w:w="108" w:type="dxa"/>
            </w:tcMar>
            <w:vAlign w:val="center"/>
          </w:tcPr>
          <w:p w14:paraId="6459EE1E" w14:textId="77777777" w:rsidR="004B0883" w:rsidRDefault="004B0883">
            <w:pPr>
              <w:widowControl w:val="0"/>
              <w:jc w:val="center"/>
              <w:rPr>
                <w:color w:val="000000"/>
              </w:rPr>
            </w:pPr>
            <w:r>
              <w:rPr>
                <w:rFonts w:ascii="宋体" w:hAnsi="宋体" w:hint="eastAsia"/>
              </w:rPr>
              <w:t>实用新型</w:t>
            </w:r>
          </w:p>
        </w:tc>
        <w:tc>
          <w:tcPr>
            <w:tcW w:w="1628" w:type="dxa"/>
            <w:tcMar>
              <w:top w:w="0" w:type="dxa"/>
              <w:left w:w="108" w:type="dxa"/>
              <w:bottom w:w="0" w:type="dxa"/>
              <w:right w:w="108" w:type="dxa"/>
            </w:tcMar>
            <w:vAlign w:val="center"/>
          </w:tcPr>
          <w:p w14:paraId="6910D9AD" w14:textId="77777777" w:rsidR="004B0883" w:rsidRDefault="004B0883">
            <w:pPr>
              <w:widowControl w:val="0"/>
              <w:jc w:val="center"/>
              <w:rPr>
                <w:color w:val="000000"/>
              </w:rPr>
            </w:pPr>
            <w:r>
              <w:rPr>
                <w:rFonts w:eastAsia="等线"/>
                <w:szCs w:val="24"/>
              </w:rPr>
              <w:t>2022230171714</w:t>
            </w:r>
          </w:p>
        </w:tc>
        <w:tc>
          <w:tcPr>
            <w:tcW w:w="1311" w:type="dxa"/>
            <w:tcMar>
              <w:top w:w="0" w:type="dxa"/>
              <w:left w:w="108" w:type="dxa"/>
              <w:bottom w:w="0" w:type="dxa"/>
              <w:right w:w="108" w:type="dxa"/>
            </w:tcMar>
            <w:vAlign w:val="center"/>
          </w:tcPr>
          <w:p w14:paraId="467BA773" w14:textId="77777777" w:rsidR="004B0883" w:rsidRDefault="004B0883">
            <w:pPr>
              <w:widowControl w:val="0"/>
              <w:jc w:val="center"/>
              <w:rPr>
                <w:color w:val="000000"/>
              </w:rPr>
            </w:pPr>
            <w:r>
              <w:rPr>
                <w:rFonts w:eastAsia="等线"/>
                <w:szCs w:val="24"/>
              </w:rPr>
              <w:t>2022-11-14</w:t>
            </w:r>
          </w:p>
        </w:tc>
        <w:tc>
          <w:tcPr>
            <w:tcW w:w="1077" w:type="dxa"/>
            <w:tcMar>
              <w:top w:w="0" w:type="dxa"/>
              <w:left w:w="108" w:type="dxa"/>
              <w:bottom w:w="0" w:type="dxa"/>
              <w:right w:w="108" w:type="dxa"/>
            </w:tcMar>
            <w:vAlign w:val="center"/>
          </w:tcPr>
          <w:p w14:paraId="10D3CC4F" w14:textId="77777777" w:rsidR="004B0883" w:rsidRDefault="004B0883">
            <w:pPr>
              <w:widowControl w:val="0"/>
              <w:jc w:val="center"/>
              <w:rPr>
                <w:color w:val="000000"/>
              </w:rPr>
            </w:pPr>
            <w:r>
              <w:rPr>
                <w:rFonts w:ascii="宋体" w:hAnsi="宋体" w:hint="eastAsia"/>
              </w:rPr>
              <w:t>发行人</w:t>
            </w:r>
          </w:p>
        </w:tc>
        <w:tc>
          <w:tcPr>
            <w:tcW w:w="1224" w:type="dxa"/>
            <w:tcMar>
              <w:top w:w="0" w:type="dxa"/>
              <w:left w:w="108" w:type="dxa"/>
              <w:bottom w:w="0" w:type="dxa"/>
              <w:right w:w="108" w:type="dxa"/>
            </w:tcMar>
            <w:vAlign w:val="center"/>
          </w:tcPr>
          <w:p w14:paraId="2851AAE6" w14:textId="77777777" w:rsidR="004B0883" w:rsidRDefault="004B0883">
            <w:pPr>
              <w:widowControl w:val="0"/>
              <w:jc w:val="center"/>
              <w:rPr>
                <w:color w:val="000000"/>
              </w:rPr>
            </w:pPr>
            <w:r>
              <w:rPr>
                <w:rFonts w:ascii="宋体" w:hAnsi="宋体" w:hint="eastAsia"/>
              </w:rPr>
              <w:t>原始取得</w:t>
            </w:r>
          </w:p>
        </w:tc>
      </w:tr>
      <w:tr w:rsidR="004B0883" w14:paraId="76706278" w14:textId="77777777">
        <w:trPr>
          <w:trHeight w:val="397"/>
          <w:jc w:val="center"/>
        </w:trPr>
        <w:tc>
          <w:tcPr>
            <w:tcW w:w="348" w:type="pct"/>
            <w:tcMar>
              <w:top w:w="0" w:type="dxa"/>
              <w:left w:w="108" w:type="dxa"/>
              <w:bottom w:w="0" w:type="dxa"/>
              <w:right w:w="108" w:type="dxa"/>
            </w:tcMar>
            <w:vAlign w:val="center"/>
          </w:tcPr>
          <w:p w14:paraId="45864E51" w14:textId="77777777" w:rsidR="004B0883" w:rsidRDefault="004B0883">
            <w:pPr>
              <w:widowControl w:val="0"/>
              <w:adjustRightInd w:val="0"/>
              <w:snapToGrid w:val="0"/>
              <w:jc w:val="center"/>
              <w:rPr>
                <w:color w:val="000000"/>
              </w:rPr>
            </w:pPr>
            <w:r>
              <w:rPr>
                <w:color w:val="000000"/>
              </w:rPr>
              <w:t>12</w:t>
            </w:r>
          </w:p>
        </w:tc>
        <w:tc>
          <w:tcPr>
            <w:tcW w:w="2096" w:type="dxa"/>
            <w:tcMar>
              <w:top w:w="0" w:type="dxa"/>
              <w:left w:w="108" w:type="dxa"/>
              <w:bottom w:w="0" w:type="dxa"/>
              <w:right w:w="108" w:type="dxa"/>
            </w:tcMar>
            <w:vAlign w:val="center"/>
          </w:tcPr>
          <w:p w14:paraId="4C775F41" w14:textId="77777777" w:rsidR="004B0883" w:rsidRDefault="004B0883">
            <w:pPr>
              <w:widowControl w:val="0"/>
              <w:jc w:val="center"/>
              <w:rPr>
                <w:color w:val="000000"/>
              </w:rPr>
            </w:pPr>
            <w:r>
              <w:rPr>
                <w:rFonts w:ascii="宋体" w:hAnsi="宋体" w:hint="eastAsia"/>
              </w:rPr>
              <w:t>开度可调节调节阀</w:t>
            </w:r>
          </w:p>
        </w:tc>
        <w:tc>
          <w:tcPr>
            <w:tcW w:w="1241" w:type="dxa"/>
            <w:tcMar>
              <w:top w:w="0" w:type="dxa"/>
              <w:left w:w="108" w:type="dxa"/>
              <w:bottom w:w="0" w:type="dxa"/>
              <w:right w:w="108" w:type="dxa"/>
            </w:tcMar>
            <w:vAlign w:val="center"/>
          </w:tcPr>
          <w:p w14:paraId="1A8E14AF" w14:textId="77777777" w:rsidR="004B0883" w:rsidRDefault="004B0883">
            <w:pPr>
              <w:widowControl w:val="0"/>
              <w:jc w:val="center"/>
              <w:rPr>
                <w:color w:val="000000"/>
              </w:rPr>
            </w:pPr>
            <w:r>
              <w:rPr>
                <w:rFonts w:ascii="宋体" w:hAnsi="宋体" w:hint="eastAsia"/>
              </w:rPr>
              <w:t>实用新型</w:t>
            </w:r>
          </w:p>
        </w:tc>
        <w:tc>
          <w:tcPr>
            <w:tcW w:w="1628" w:type="dxa"/>
            <w:tcMar>
              <w:top w:w="0" w:type="dxa"/>
              <w:left w:w="108" w:type="dxa"/>
              <w:bottom w:w="0" w:type="dxa"/>
              <w:right w:w="108" w:type="dxa"/>
            </w:tcMar>
            <w:vAlign w:val="center"/>
          </w:tcPr>
          <w:p w14:paraId="57BC4FC5" w14:textId="77777777" w:rsidR="004B0883" w:rsidRDefault="004B0883">
            <w:pPr>
              <w:widowControl w:val="0"/>
              <w:jc w:val="center"/>
              <w:rPr>
                <w:color w:val="000000"/>
              </w:rPr>
            </w:pPr>
            <w:r>
              <w:rPr>
                <w:rFonts w:eastAsia="等线"/>
                <w:szCs w:val="24"/>
              </w:rPr>
              <w:t>2022228517610</w:t>
            </w:r>
          </w:p>
        </w:tc>
        <w:tc>
          <w:tcPr>
            <w:tcW w:w="1311" w:type="dxa"/>
            <w:tcMar>
              <w:top w:w="0" w:type="dxa"/>
              <w:left w:w="108" w:type="dxa"/>
              <w:bottom w:w="0" w:type="dxa"/>
              <w:right w:w="108" w:type="dxa"/>
            </w:tcMar>
            <w:vAlign w:val="center"/>
          </w:tcPr>
          <w:p w14:paraId="6E4D1C5E" w14:textId="77777777" w:rsidR="004B0883" w:rsidRDefault="004B0883">
            <w:pPr>
              <w:widowControl w:val="0"/>
              <w:jc w:val="center"/>
              <w:rPr>
                <w:color w:val="000000"/>
              </w:rPr>
            </w:pPr>
            <w:r>
              <w:rPr>
                <w:rFonts w:eastAsia="等线"/>
                <w:szCs w:val="24"/>
              </w:rPr>
              <w:t>2022-10-28</w:t>
            </w:r>
          </w:p>
        </w:tc>
        <w:tc>
          <w:tcPr>
            <w:tcW w:w="1077" w:type="dxa"/>
            <w:tcMar>
              <w:top w:w="0" w:type="dxa"/>
              <w:left w:w="108" w:type="dxa"/>
              <w:bottom w:w="0" w:type="dxa"/>
              <w:right w:w="108" w:type="dxa"/>
            </w:tcMar>
            <w:vAlign w:val="center"/>
          </w:tcPr>
          <w:p w14:paraId="1F464041" w14:textId="77777777" w:rsidR="004B0883" w:rsidRDefault="004B0883">
            <w:pPr>
              <w:widowControl w:val="0"/>
              <w:jc w:val="center"/>
              <w:rPr>
                <w:color w:val="000000"/>
              </w:rPr>
            </w:pPr>
            <w:r>
              <w:rPr>
                <w:rFonts w:ascii="宋体" w:hAnsi="宋体" w:hint="eastAsia"/>
              </w:rPr>
              <w:t>发行人</w:t>
            </w:r>
          </w:p>
        </w:tc>
        <w:tc>
          <w:tcPr>
            <w:tcW w:w="1224" w:type="dxa"/>
            <w:tcMar>
              <w:top w:w="0" w:type="dxa"/>
              <w:left w:w="108" w:type="dxa"/>
              <w:bottom w:w="0" w:type="dxa"/>
              <w:right w:w="108" w:type="dxa"/>
            </w:tcMar>
            <w:vAlign w:val="center"/>
          </w:tcPr>
          <w:p w14:paraId="651BCC10" w14:textId="77777777" w:rsidR="004B0883" w:rsidRDefault="004B0883">
            <w:pPr>
              <w:widowControl w:val="0"/>
              <w:jc w:val="center"/>
              <w:rPr>
                <w:color w:val="000000"/>
              </w:rPr>
            </w:pPr>
            <w:r>
              <w:rPr>
                <w:rFonts w:ascii="宋体" w:hAnsi="宋体" w:hint="eastAsia"/>
              </w:rPr>
              <w:t>原始取得</w:t>
            </w:r>
          </w:p>
        </w:tc>
      </w:tr>
      <w:tr w:rsidR="004B0883" w14:paraId="7584D027" w14:textId="77777777">
        <w:trPr>
          <w:trHeight w:val="397"/>
          <w:jc w:val="center"/>
        </w:trPr>
        <w:tc>
          <w:tcPr>
            <w:tcW w:w="348" w:type="pct"/>
            <w:tcMar>
              <w:top w:w="0" w:type="dxa"/>
              <w:left w:w="108" w:type="dxa"/>
              <w:bottom w:w="0" w:type="dxa"/>
              <w:right w:w="108" w:type="dxa"/>
            </w:tcMar>
            <w:vAlign w:val="center"/>
          </w:tcPr>
          <w:p w14:paraId="507E7B92" w14:textId="77777777" w:rsidR="004B0883" w:rsidRDefault="004B0883">
            <w:pPr>
              <w:widowControl w:val="0"/>
              <w:adjustRightInd w:val="0"/>
              <w:snapToGrid w:val="0"/>
              <w:jc w:val="center"/>
              <w:rPr>
                <w:color w:val="000000"/>
              </w:rPr>
            </w:pPr>
            <w:r>
              <w:rPr>
                <w:color w:val="000000"/>
              </w:rPr>
              <w:t>13</w:t>
            </w:r>
          </w:p>
        </w:tc>
        <w:tc>
          <w:tcPr>
            <w:tcW w:w="2096" w:type="dxa"/>
            <w:tcMar>
              <w:top w:w="0" w:type="dxa"/>
              <w:left w:w="108" w:type="dxa"/>
              <w:bottom w:w="0" w:type="dxa"/>
              <w:right w:w="108" w:type="dxa"/>
            </w:tcMar>
            <w:vAlign w:val="center"/>
          </w:tcPr>
          <w:p w14:paraId="1F57721F" w14:textId="77777777" w:rsidR="004B0883" w:rsidRDefault="004B0883">
            <w:pPr>
              <w:widowControl w:val="0"/>
              <w:jc w:val="center"/>
              <w:rPr>
                <w:color w:val="000000"/>
              </w:rPr>
            </w:pPr>
            <w:r>
              <w:rPr>
                <w:rFonts w:ascii="宋体" w:hAnsi="宋体" w:hint="eastAsia"/>
              </w:rPr>
              <w:t>一种阀门上密封结构及调节阀</w:t>
            </w:r>
          </w:p>
        </w:tc>
        <w:tc>
          <w:tcPr>
            <w:tcW w:w="1241" w:type="dxa"/>
            <w:tcMar>
              <w:top w:w="0" w:type="dxa"/>
              <w:left w:w="108" w:type="dxa"/>
              <w:bottom w:w="0" w:type="dxa"/>
              <w:right w:w="108" w:type="dxa"/>
            </w:tcMar>
            <w:vAlign w:val="center"/>
          </w:tcPr>
          <w:p w14:paraId="78C1E02E" w14:textId="77777777" w:rsidR="004B0883" w:rsidRDefault="004B0883">
            <w:pPr>
              <w:widowControl w:val="0"/>
              <w:jc w:val="center"/>
              <w:rPr>
                <w:color w:val="000000"/>
              </w:rPr>
            </w:pPr>
            <w:r>
              <w:rPr>
                <w:rFonts w:ascii="宋体" w:hAnsi="宋体" w:hint="eastAsia"/>
              </w:rPr>
              <w:t>实用新型</w:t>
            </w:r>
          </w:p>
        </w:tc>
        <w:tc>
          <w:tcPr>
            <w:tcW w:w="1628" w:type="dxa"/>
            <w:tcMar>
              <w:top w:w="0" w:type="dxa"/>
              <w:left w:w="108" w:type="dxa"/>
              <w:bottom w:w="0" w:type="dxa"/>
              <w:right w:w="108" w:type="dxa"/>
            </w:tcMar>
            <w:vAlign w:val="center"/>
          </w:tcPr>
          <w:p w14:paraId="40C24B82" w14:textId="77777777" w:rsidR="004B0883" w:rsidRDefault="004B0883">
            <w:pPr>
              <w:widowControl w:val="0"/>
              <w:jc w:val="center"/>
              <w:rPr>
                <w:color w:val="000000"/>
              </w:rPr>
            </w:pPr>
            <w:r>
              <w:rPr>
                <w:rFonts w:eastAsia="等线"/>
                <w:szCs w:val="24"/>
              </w:rPr>
              <w:t>2022228058520</w:t>
            </w:r>
          </w:p>
        </w:tc>
        <w:tc>
          <w:tcPr>
            <w:tcW w:w="1311" w:type="dxa"/>
            <w:tcMar>
              <w:top w:w="0" w:type="dxa"/>
              <w:left w:w="108" w:type="dxa"/>
              <w:bottom w:w="0" w:type="dxa"/>
              <w:right w:w="108" w:type="dxa"/>
            </w:tcMar>
            <w:vAlign w:val="center"/>
          </w:tcPr>
          <w:p w14:paraId="78D78B5F" w14:textId="77777777" w:rsidR="004B0883" w:rsidRDefault="004B0883">
            <w:pPr>
              <w:widowControl w:val="0"/>
              <w:jc w:val="center"/>
              <w:rPr>
                <w:color w:val="000000"/>
              </w:rPr>
            </w:pPr>
            <w:r>
              <w:rPr>
                <w:rFonts w:eastAsia="等线"/>
                <w:szCs w:val="24"/>
              </w:rPr>
              <w:t>2022-10-24</w:t>
            </w:r>
          </w:p>
        </w:tc>
        <w:tc>
          <w:tcPr>
            <w:tcW w:w="1077" w:type="dxa"/>
            <w:tcMar>
              <w:top w:w="0" w:type="dxa"/>
              <w:left w:w="108" w:type="dxa"/>
              <w:bottom w:w="0" w:type="dxa"/>
              <w:right w:w="108" w:type="dxa"/>
            </w:tcMar>
            <w:vAlign w:val="center"/>
          </w:tcPr>
          <w:p w14:paraId="000AB0DB" w14:textId="77777777" w:rsidR="004B0883" w:rsidRDefault="004B0883">
            <w:pPr>
              <w:widowControl w:val="0"/>
              <w:jc w:val="center"/>
            </w:pPr>
            <w:r>
              <w:rPr>
                <w:rFonts w:ascii="宋体" w:hAnsi="宋体" w:hint="eastAsia"/>
              </w:rPr>
              <w:t>发行人</w:t>
            </w:r>
          </w:p>
        </w:tc>
        <w:tc>
          <w:tcPr>
            <w:tcW w:w="1224" w:type="dxa"/>
            <w:tcMar>
              <w:top w:w="0" w:type="dxa"/>
              <w:left w:w="108" w:type="dxa"/>
              <w:bottom w:w="0" w:type="dxa"/>
              <w:right w:w="108" w:type="dxa"/>
            </w:tcMar>
            <w:vAlign w:val="center"/>
          </w:tcPr>
          <w:p w14:paraId="352F600E" w14:textId="77777777" w:rsidR="004B0883" w:rsidRDefault="004B0883">
            <w:pPr>
              <w:widowControl w:val="0"/>
              <w:jc w:val="center"/>
              <w:rPr>
                <w:color w:val="000000"/>
              </w:rPr>
            </w:pPr>
            <w:r>
              <w:rPr>
                <w:rFonts w:ascii="宋体" w:hAnsi="宋体" w:hint="eastAsia"/>
              </w:rPr>
              <w:t>原始取得</w:t>
            </w:r>
          </w:p>
        </w:tc>
      </w:tr>
      <w:tr w:rsidR="004B0883" w14:paraId="359F2379" w14:textId="77777777">
        <w:trPr>
          <w:trHeight w:val="397"/>
          <w:jc w:val="center"/>
        </w:trPr>
        <w:tc>
          <w:tcPr>
            <w:tcW w:w="348" w:type="pct"/>
            <w:tcMar>
              <w:top w:w="0" w:type="dxa"/>
              <w:left w:w="108" w:type="dxa"/>
              <w:bottom w:w="0" w:type="dxa"/>
              <w:right w:w="108" w:type="dxa"/>
            </w:tcMar>
            <w:vAlign w:val="center"/>
          </w:tcPr>
          <w:p w14:paraId="03325232" w14:textId="77777777" w:rsidR="004B0883" w:rsidRDefault="004B0883">
            <w:pPr>
              <w:widowControl w:val="0"/>
              <w:adjustRightInd w:val="0"/>
              <w:snapToGrid w:val="0"/>
              <w:jc w:val="center"/>
              <w:rPr>
                <w:color w:val="000000"/>
              </w:rPr>
            </w:pPr>
            <w:r>
              <w:rPr>
                <w:color w:val="000000"/>
              </w:rPr>
              <w:t>14</w:t>
            </w:r>
          </w:p>
        </w:tc>
        <w:tc>
          <w:tcPr>
            <w:tcW w:w="2096" w:type="dxa"/>
            <w:tcMar>
              <w:top w:w="0" w:type="dxa"/>
              <w:left w:w="108" w:type="dxa"/>
              <w:bottom w:w="0" w:type="dxa"/>
              <w:right w:w="108" w:type="dxa"/>
            </w:tcMar>
            <w:vAlign w:val="center"/>
          </w:tcPr>
          <w:p w14:paraId="3C87FC8A" w14:textId="77777777" w:rsidR="004B0883" w:rsidRDefault="004B0883">
            <w:pPr>
              <w:widowControl w:val="0"/>
              <w:jc w:val="center"/>
              <w:rPr>
                <w:color w:val="000000"/>
              </w:rPr>
            </w:pPr>
            <w:r>
              <w:rPr>
                <w:rFonts w:ascii="宋体" w:hAnsi="宋体" w:hint="eastAsia"/>
              </w:rPr>
              <w:t>一种新型有自定心功能的蝶阀阀体轴孔加工工装</w:t>
            </w:r>
          </w:p>
        </w:tc>
        <w:tc>
          <w:tcPr>
            <w:tcW w:w="1241" w:type="dxa"/>
            <w:tcMar>
              <w:top w:w="0" w:type="dxa"/>
              <w:left w:w="108" w:type="dxa"/>
              <w:bottom w:w="0" w:type="dxa"/>
              <w:right w:w="108" w:type="dxa"/>
            </w:tcMar>
            <w:vAlign w:val="center"/>
          </w:tcPr>
          <w:p w14:paraId="47F012B3" w14:textId="77777777" w:rsidR="004B0883" w:rsidRDefault="004B0883">
            <w:pPr>
              <w:widowControl w:val="0"/>
              <w:jc w:val="center"/>
              <w:rPr>
                <w:color w:val="000000"/>
              </w:rPr>
            </w:pPr>
            <w:r>
              <w:rPr>
                <w:rFonts w:ascii="宋体" w:hAnsi="宋体" w:hint="eastAsia"/>
              </w:rPr>
              <w:t>实用新型</w:t>
            </w:r>
          </w:p>
        </w:tc>
        <w:tc>
          <w:tcPr>
            <w:tcW w:w="1628" w:type="dxa"/>
            <w:tcMar>
              <w:top w:w="0" w:type="dxa"/>
              <w:left w:w="108" w:type="dxa"/>
              <w:bottom w:w="0" w:type="dxa"/>
              <w:right w:w="108" w:type="dxa"/>
            </w:tcMar>
            <w:vAlign w:val="center"/>
          </w:tcPr>
          <w:p w14:paraId="600A4254" w14:textId="77777777" w:rsidR="004B0883" w:rsidRDefault="004B0883">
            <w:pPr>
              <w:widowControl w:val="0"/>
              <w:jc w:val="center"/>
              <w:rPr>
                <w:color w:val="000000"/>
              </w:rPr>
            </w:pPr>
            <w:r>
              <w:rPr>
                <w:rFonts w:eastAsia="等线"/>
                <w:szCs w:val="24"/>
              </w:rPr>
              <w:t>2022227593941</w:t>
            </w:r>
          </w:p>
        </w:tc>
        <w:tc>
          <w:tcPr>
            <w:tcW w:w="1311" w:type="dxa"/>
            <w:tcMar>
              <w:top w:w="0" w:type="dxa"/>
              <w:left w:w="108" w:type="dxa"/>
              <w:bottom w:w="0" w:type="dxa"/>
              <w:right w:w="108" w:type="dxa"/>
            </w:tcMar>
            <w:vAlign w:val="center"/>
          </w:tcPr>
          <w:p w14:paraId="049F808A" w14:textId="77777777" w:rsidR="004B0883" w:rsidRDefault="004B0883">
            <w:pPr>
              <w:widowControl w:val="0"/>
              <w:jc w:val="center"/>
              <w:rPr>
                <w:color w:val="000000"/>
              </w:rPr>
            </w:pPr>
            <w:r>
              <w:rPr>
                <w:rFonts w:eastAsia="等线"/>
                <w:szCs w:val="24"/>
              </w:rPr>
              <w:t>2022-10-19</w:t>
            </w:r>
          </w:p>
        </w:tc>
        <w:tc>
          <w:tcPr>
            <w:tcW w:w="1077" w:type="dxa"/>
            <w:tcMar>
              <w:top w:w="0" w:type="dxa"/>
              <w:left w:w="108" w:type="dxa"/>
              <w:bottom w:w="0" w:type="dxa"/>
              <w:right w:w="108" w:type="dxa"/>
            </w:tcMar>
            <w:vAlign w:val="center"/>
          </w:tcPr>
          <w:p w14:paraId="7612D072" w14:textId="77777777" w:rsidR="004B0883" w:rsidRDefault="004B0883">
            <w:pPr>
              <w:widowControl w:val="0"/>
              <w:jc w:val="center"/>
            </w:pPr>
            <w:r>
              <w:rPr>
                <w:rFonts w:ascii="宋体" w:hAnsi="宋体" w:hint="eastAsia"/>
              </w:rPr>
              <w:t>发行人</w:t>
            </w:r>
          </w:p>
        </w:tc>
        <w:tc>
          <w:tcPr>
            <w:tcW w:w="1224" w:type="dxa"/>
            <w:tcMar>
              <w:top w:w="0" w:type="dxa"/>
              <w:left w:w="108" w:type="dxa"/>
              <w:bottom w:w="0" w:type="dxa"/>
              <w:right w:w="108" w:type="dxa"/>
            </w:tcMar>
            <w:vAlign w:val="center"/>
          </w:tcPr>
          <w:p w14:paraId="4AD3ACF6" w14:textId="77777777" w:rsidR="004B0883" w:rsidRDefault="004B0883">
            <w:pPr>
              <w:widowControl w:val="0"/>
              <w:jc w:val="center"/>
              <w:rPr>
                <w:color w:val="000000"/>
              </w:rPr>
            </w:pPr>
            <w:r>
              <w:rPr>
                <w:rFonts w:ascii="宋体" w:hAnsi="宋体" w:hint="eastAsia"/>
              </w:rPr>
              <w:t>原始取得</w:t>
            </w:r>
          </w:p>
        </w:tc>
      </w:tr>
      <w:tr w:rsidR="004B0883" w14:paraId="36972F37" w14:textId="77777777">
        <w:trPr>
          <w:trHeight w:val="397"/>
          <w:jc w:val="center"/>
        </w:trPr>
        <w:tc>
          <w:tcPr>
            <w:tcW w:w="348" w:type="pct"/>
            <w:tcMar>
              <w:top w:w="0" w:type="dxa"/>
              <w:left w:w="108" w:type="dxa"/>
              <w:bottom w:w="0" w:type="dxa"/>
              <w:right w:w="108" w:type="dxa"/>
            </w:tcMar>
            <w:vAlign w:val="center"/>
          </w:tcPr>
          <w:p w14:paraId="3520A516" w14:textId="77777777" w:rsidR="004B0883" w:rsidRDefault="004B0883">
            <w:pPr>
              <w:widowControl w:val="0"/>
              <w:adjustRightInd w:val="0"/>
              <w:snapToGrid w:val="0"/>
              <w:jc w:val="center"/>
              <w:rPr>
                <w:color w:val="000000"/>
              </w:rPr>
            </w:pPr>
            <w:r>
              <w:rPr>
                <w:color w:val="000000"/>
              </w:rPr>
              <w:t>15</w:t>
            </w:r>
          </w:p>
        </w:tc>
        <w:tc>
          <w:tcPr>
            <w:tcW w:w="2096" w:type="dxa"/>
            <w:tcMar>
              <w:top w:w="0" w:type="dxa"/>
              <w:left w:w="108" w:type="dxa"/>
              <w:bottom w:w="0" w:type="dxa"/>
              <w:right w:w="108" w:type="dxa"/>
            </w:tcMar>
            <w:vAlign w:val="center"/>
          </w:tcPr>
          <w:p w14:paraId="406A0573" w14:textId="77777777" w:rsidR="004B0883" w:rsidRDefault="004B0883">
            <w:pPr>
              <w:widowControl w:val="0"/>
              <w:jc w:val="center"/>
              <w:rPr>
                <w:color w:val="000000"/>
              </w:rPr>
            </w:pPr>
            <w:r>
              <w:rPr>
                <w:rFonts w:ascii="宋体" w:hAnsi="宋体" w:hint="eastAsia"/>
              </w:rPr>
              <w:t>一种自动喷水灭火系统用试水装置</w:t>
            </w:r>
          </w:p>
        </w:tc>
        <w:tc>
          <w:tcPr>
            <w:tcW w:w="1241" w:type="dxa"/>
            <w:tcMar>
              <w:top w:w="0" w:type="dxa"/>
              <w:left w:w="108" w:type="dxa"/>
              <w:bottom w:w="0" w:type="dxa"/>
              <w:right w:w="108" w:type="dxa"/>
            </w:tcMar>
            <w:vAlign w:val="center"/>
          </w:tcPr>
          <w:p w14:paraId="3E5FD90E" w14:textId="77777777" w:rsidR="004B0883" w:rsidRDefault="004B0883">
            <w:pPr>
              <w:widowControl w:val="0"/>
              <w:jc w:val="center"/>
              <w:rPr>
                <w:color w:val="000000"/>
              </w:rPr>
            </w:pPr>
            <w:r>
              <w:rPr>
                <w:rFonts w:ascii="宋体" w:hAnsi="宋体" w:hint="eastAsia"/>
              </w:rPr>
              <w:t>实用新型</w:t>
            </w:r>
          </w:p>
        </w:tc>
        <w:tc>
          <w:tcPr>
            <w:tcW w:w="1628" w:type="dxa"/>
            <w:tcMar>
              <w:top w:w="0" w:type="dxa"/>
              <w:left w:w="108" w:type="dxa"/>
              <w:bottom w:w="0" w:type="dxa"/>
              <w:right w:w="108" w:type="dxa"/>
            </w:tcMar>
            <w:vAlign w:val="center"/>
          </w:tcPr>
          <w:p w14:paraId="7E16C47A" w14:textId="77777777" w:rsidR="004B0883" w:rsidRDefault="004B0883">
            <w:pPr>
              <w:widowControl w:val="0"/>
              <w:jc w:val="center"/>
              <w:rPr>
                <w:color w:val="000000"/>
              </w:rPr>
            </w:pPr>
            <w:r>
              <w:rPr>
                <w:rFonts w:eastAsia="等线"/>
                <w:szCs w:val="24"/>
              </w:rPr>
              <w:t>2022225569134</w:t>
            </w:r>
          </w:p>
        </w:tc>
        <w:tc>
          <w:tcPr>
            <w:tcW w:w="1311" w:type="dxa"/>
            <w:tcMar>
              <w:top w:w="0" w:type="dxa"/>
              <w:left w:w="108" w:type="dxa"/>
              <w:bottom w:w="0" w:type="dxa"/>
              <w:right w:w="108" w:type="dxa"/>
            </w:tcMar>
            <w:vAlign w:val="center"/>
          </w:tcPr>
          <w:p w14:paraId="4A7C66B8" w14:textId="77777777" w:rsidR="004B0883" w:rsidRDefault="004B0883">
            <w:pPr>
              <w:widowControl w:val="0"/>
              <w:jc w:val="center"/>
              <w:rPr>
                <w:color w:val="000000"/>
              </w:rPr>
            </w:pPr>
            <w:r>
              <w:rPr>
                <w:rFonts w:eastAsia="等线"/>
                <w:szCs w:val="24"/>
              </w:rPr>
              <w:t>2022-09-26</w:t>
            </w:r>
          </w:p>
        </w:tc>
        <w:tc>
          <w:tcPr>
            <w:tcW w:w="1077" w:type="dxa"/>
            <w:tcMar>
              <w:top w:w="0" w:type="dxa"/>
              <w:left w:w="108" w:type="dxa"/>
              <w:bottom w:w="0" w:type="dxa"/>
              <w:right w:w="108" w:type="dxa"/>
            </w:tcMar>
            <w:vAlign w:val="center"/>
          </w:tcPr>
          <w:p w14:paraId="217D77FD" w14:textId="77777777" w:rsidR="004B0883" w:rsidRDefault="004B0883">
            <w:pPr>
              <w:widowControl w:val="0"/>
              <w:jc w:val="center"/>
            </w:pPr>
            <w:r>
              <w:rPr>
                <w:rFonts w:ascii="宋体" w:hAnsi="宋体" w:hint="eastAsia"/>
              </w:rPr>
              <w:t>发行人</w:t>
            </w:r>
          </w:p>
        </w:tc>
        <w:tc>
          <w:tcPr>
            <w:tcW w:w="1224" w:type="dxa"/>
            <w:tcMar>
              <w:top w:w="0" w:type="dxa"/>
              <w:left w:w="108" w:type="dxa"/>
              <w:bottom w:w="0" w:type="dxa"/>
              <w:right w:w="108" w:type="dxa"/>
            </w:tcMar>
            <w:vAlign w:val="center"/>
          </w:tcPr>
          <w:p w14:paraId="6570E1E6" w14:textId="77777777" w:rsidR="004B0883" w:rsidRDefault="004B0883">
            <w:pPr>
              <w:widowControl w:val="0"/>
              <w:jc w:val="center"/>
              <w:rPr>
                <w:color w:val="000000"/>
              </w:rPr>
            </w:pPr>
            <w:r>
              <w:rPr>
                <w:rFonts w:ascii="宋体" w:hAnsi="宋体" w:hint="eastAsia"/>
              </w:rPr>
              <w:t>原始取得</w:t>
            </w:r>
          </w:p>
        </w:tc>
      </w:tr>
      <w:tr w:rsidR="004B0883" w14:paraId="223E3565" w14:textId="77777777">
        <w:trPr>
          <w:trHeight w:val="397"/>
          <w:jc w:val="center"/>
        </w:trPr>
        <w:tc>
          <w:tcPr>
            <w:tcW w:w="348" w:type="pct"/>
            <w:tcMar>
              <w:top w:w="0" w:type="dxa"/>
              <w:left w:w="108" w:type="dxa"/>
              <w:bottom w:w="0" w:type="dxa"/>
              <w:right w:w="108" w:type="dxa"/>
            </w:tcMar>
            <w:vAlign w:val="center"/>
          </w:tcPr>
          <w:p w14:paraId="60FB11B8" w14:textId="77777777" w:rsidR="004B0883" w:rsidRDefault="004B0883">
            <w:pPr>
              <w:widowControl w:val="0"/>
              <w:adjustRightInd w:val="0"/>
              <w:snapToGrid w:val="0"/>
              <w:jc w:val="center"/>
              <w:rPr>
                <w:color w:val="000000"/>
              </w:rPr>
            </w:pPr>
            <w:r>
              <w:rPr>
                <w:color w:val="000000"/>
              </w:rPr>
              <w:t>16</w:t>
            </w:r>
          </w:p>
        </w:tc>
        <w:tc>
          <w:tcPr>
            <w:tcW w:w="2096" w:type="dxa"/>
            <w:tcMar>
              <w:top w:w="0" w:type="dxa"/>
              <w:left w:w="108" w:type="dxa"/>
              <w:bottom w:w="0" w:type="dxa"/>
              <w:right w:w="108" w:type="dxa"/>
            </w:tcMar>
            <w:vAlign w:val="center"/>
          </w:tcPr>
          <w:p w14:paraId="1AE3974A" w14:textId="77777777" w:rsidR="004B0883" w:rsidRDefault="004B0883">
            <w:pPr>
              <w:widowControl w:val="0"/>
              <w:jc w:val="center"/>
              <w:rPr>
                <w:color w:val="000000"/>
              </w:rPr>
            </w:pPr>
            <w:r>
              <w:rPr>
                <w:rFonts w:ascii="宋体" w:hAnsi="宋体" w:hint="eastAsia"/>
              </w:rPr>
              <w:t>一种短行程逆止阀</w:t>
            </w:r>
          </w:p>
        </w:tc>
        <w:tc>
          <w:tcPr>
            <w:tcW w:w="1241" w:type="dxa"/>
            <w:tcMar>
              <w:top w:w="0" w:type="dxa"/>
              <w:left w:w="108" w:type="dxa"/>
              <w:bottom w:w="0" w:type="dxa"/>
              <w:right w:w="108" w:type="dxa"/>
            </w:tcMar>
            <w:vAlign w:val="center"/>
          </w:tcPr>
          <w:p w14:paraId="282FA463" w14:textId="77777777" w:rsidR="004B0883" w:rsidRDefault="004B0883">
            <w:pPr>
              <w:widowControl w:val="0"/>
              <w:jc w:val="center"/>
              <w:rPr>
                <w:color w:val="000000"/>
              </w:rPr>
            </w:pPr>
            <w:r>
              <w:rPr>
                <w:rFonts w:ascii="宋体" w:hAnsi="宋体" w:hint="eastAsia"/>
              </w:rPr>
              <w:t>实用新型</w:t>
            </w:r>
          </w:p>
        </w:tc>
        <w:tc>
          <w:tcPr>
            <w:tcW w:w="1628" w:type="dxa"/>
            <w:tcMar>
              <w:top w:w="0" w:type="dxa"/>
              <w:left w:w="108" w:type="dxa"/>
              <w:bottom w:w="0" w:type="dxa"/>
              <w:right w:w="108" w:type="dxa"/>
            </w:tcMar>
            <w:vAlign w:val="center"/>
          </w:tcPr>
          <w:p w14:paraId="46C22DC6" w14:textId="77777777" w:rsidR="004B0883" w:rsidRDefault="004B0883">
            <w:pPr>
              <w:widowControl w:val="0"/>
              <w:jc w:val="center"/>
              <w:rPr>
                <w:color w:val="000000"/>
              </w:rPr>
            </w:pPr>
            <w:r>
              <w:rPr>
                <w:rFonts w:eastAsia="等线"/>
                <w:szCs w:val="24"/>
              </w:rPr>
              <w:t>2022224390907</w:t>
            </w:r>
          </w:p>
        </w:tc>
        <w:tc>
          <w:tcPr>
            <w:tcW w:w="1311" w:type="dxa"/>
            <w:tcMar>
              <w:top w:w="0" w:type="dxa"/>
              <w:left w:w="108" w:type="dxa"/>
              <w:bottom w:w="0" w:type="dxa"/>
              <w:right w:w="108" w:type="dxa"/>
            </w:tcMar>
            <w:vAlign w:val="center"/>
          </w:tcPr>
          <w:p w14:paraId="2262ED88" w14:textId="77777777" w:rsidR="004B0883" w:rsidRDefault="004B0883">
            <w:pPr>
              <w:widowControl w:val="0"/>
              <w:jc w:val="center"/>
              <w:rPr>
                <w:color w:val="000000"/>
              </w:rPr>
            </w:pPr>
            <w:r>
              <w:rPr>
                <w:rFonts w:eastAsia="等线"/>
                <w:szCs w:val="24"/>
              </w:rPr>
              <w:t>2022-09-15</w:t>
            </w:r>
          </w:p>
        </w:tc>
        <w:tc>
          <w:tcPr>
            <w:tcW w:w="1077" w:type="dxa"/>
            <w:tcMar>
              <w:top w:w="0" w:type="dxa"/>
              <w:left w:w="108" w:type="dxa"/>
              <w:bottom w:w="0" w:type="dxa"/>
              <w:right w:w="108" w:type="dxa"/>
            </w:tcMar>
            <w:vAlign w:val="center"/>
          </w:tcPr>
          <w:p w14:paraId="483F43C3" w14:textId="77777777" w:rsidR="004B0883" w:rsidRDefault="004B0883">
            <w:pPr>
              <w:widowControl w:val="0"/>
              <w:jc w:val="center"/>
            </w:pPr>
            <w:r>
              <w:rPr>
                <w:rFonts w:ascii="宋体" w:hAnsi="宋体" w:hint="eastAsia"/>
              </w:rPr>
              <w:t>发行人</w:t>
            </w:r>
          </w:p>
        </w:tc>
        <w:tc>
          <w:tcPr>
            <w:tcW w:w="1224" w:type="dxa"/>
            <w:tcMar>
              <w:top w:w="0" w:type="dxa"/>
              <w:left w:w="108" w:type="dxa"/>
              <w:bottom w:w="0" w:type="dxa"/>
              <w:right w:w="108" w:type="dxa"/>
            </w:tcMar>
            <w:vAlign w:val="center"/>
          </w:tcPr>
          <w:p w14:paraId="3E176303" w14:textId="77777777" w:rsidR="004B0883" w:rsidRDefault="004B0883">
            <w:pPr>
              <w:widowControl w:val="0"/>
              <w:jc w:val="center"/>
              <w:rPr>
                <w:color w:val="000000"/>
              </w:rPr>
            </w:pPr>
            <w:r>
              <w:rPr>
                <w:rFonts w:ascii="宋体" w:hAnsi="宋体" w:hint="eastAsia"/>
              </w:rPr>
              <w:t>原始取得</w:t>
            </w:r>
          </w:p>
        </w:tc>
      </w:tr>
      <w:tr w:rsidR="004B0883" w14:paraId="071DD711" w14:textId="77777777">
        <w:trPr>
          <w:trHeight w:val="397"/>
          <w:jc w:val="center"/>
        </w:trPr>
        <w:tc>
          <w:tcPr>
            <w:tcW w:w="348" w:type="pct"/>
            <w:tcMar>
              <w:top w:w="0" w:type="dxa"/>
              <w:left w:w="108" w:type="dxa"/>
              <w:bottom w:w="0" w:type="dxa"/>
              <w:right w:w="108" w:type="dxa"/>
            </w:tcMar>
            <w:vAlign w:val="center"/>
          </w:tcPr>
          <w:p w14:paraId="47932C39" w14:textId="77777777" w:rsidR="004B0883" w:rsidRDefault="004B0883">
            <w:pPr>
              <w:widowControl w:val="0"/>
              <w:adjustRightInd w:val="0"/>
              <w:snapToGrid w:val="0"/>
              <w:jc w:val="center"/>
              <w:rPr>
                <w:color w:val="000000"/>
              </w:rPr>
            </w:pPr>
            <w:r>
              <w:rPr>
                <w:color w:val="000000"/>
              </w:rPr>
              <w:t>17</w:t>
            </w:r>
          </w:p>
        </w:tc>
        <w:tc>
          <w:tcPr>
            <w:tcW w:w="2096" w:type="dxa"/>
            <w:tcMar>
              <w:top w:w="0" w:type="dxa"/>
              <w:left w:w="108" w:type="dxa"/>
              <w:bottom w:w="0" w:type="dxa"/>
              <w:right w:w="108" w:type="dxa"/>
            </w:tcMar>
            <w:vAlign w:val="center"/>
          </w:tcPr>
          <w:p w14:paraId="741459F3" w14:textId="77777777" w:rsidR="004B0883" w:rsidRDefault="004B0883">
            <w:pPr>
              <w:widowControl w:val="0"/>
              <w:jc w:val="center"/>
              <w:rPr>
                <w:color w:val="000000"/>
              </w:rPr>
            </w:pPr>
            <w:r>
              <w:rPr>
                <w:rFonts w:ascii="宋体" w:hAnsi="宋体" w:hint="eastAsia"/>
              </w:rPr>
              <w:t>一种卡槽式过滤器</w:t>
            </w:r>
          </w:p>
        </w:tc>
        <w:tc>
          <w:tcPr>
            <w:tcW w:w="1241" w:type="dxa"/>
            <w:tcMar>
              <w:top w:w="0" w:type="dxa"/>
              <w:left w:w="108" w:type="dxa"/>
              <w:bottom w:w="0" w:type="dxa"/>
              <w:right w:w="108" w:type="dxa"/>
            </w:tcMar>
            <w:vAlign w:val="center"/>
          </w:tcPr>
          <w:p w14:paraId="4BCBB7E9" w14:textId="77777777" w:rsidR="004B0883" w:rsidRDefault="004B0883">
            <w:pPr>
              <w:widowControl w:val="0"/>
              <w:jc w:val="center"/>
              <w:rPr>
                <w:color w:val="000000"/>
              </w:rPr>
            </w:pPr>
            <w:r>
              <w:rPr>
                <w:rFonts w:ascii="宋体" w:hAnsi="宋体" w:hint="eastAsia"/>
              </w:rPr>
              <w:t>实用新型</w:t>
            </w:r>
          </w:p>
        </w:tc>
        <w:tc>
          <w:tcPr>
            <w:tcW w:w="1628" w:type="dxa"/>
            <w:tcMar>
              <w:top w:w="0" w:type="dxa"/>
              <w:left w:w="108" w:type="dxa"/>
              <w:bottom w:w="0" w:type="dxa"/>
              <w:right w:w="108" w:type="dxa"/>
            </w:tcMar>
            <w:vAlign w:val="center"/>
          </w:tcPr>
          <w:p w14:paraId="615B5091" w14:textId="77777777" w:rsidR="004B0883" w:rsidRDefault="004B0883">
            <w:pPr>
              <w:widowControl w:val="0"/>
              <w:jc w:val="center"/>
              <w:rPr>
                <w:color w:val="000000"/>
              </w:rPr>
            </w:pPr>
            <w:r>
              <w:rPr>
                <w:rFonts w:eastAsia="等线"/>
                <w:szCs w:val="24"/>
              </w:rPr>
              <w:t>2022222527233</w:t>
            </w:r>
          </w:p>
        </w:tc>
        <w:tc>
          <w:tcPr>
            <w:tcW w:w="1311" w:type="dxa"/>
            <w:tcMar>
              <w:top w:w="0" w:type="dxa"/>
              <w:left w:w="108" w:type="dxa"/>
              <w:bottom w:w="0" w:type="dxa"/>
              <w:right w:w="108" w:type="dxa"/>
            </w:tcMar>
            <w:vAlign w:val="center"/>
          </w:tcPr>
          <w:p w14:paraId="072EAC3C" w14:textId="77777777" w:rsidR="004B0883" w:rsidRDefault="004B0883">
            <w:pPr>
              <w:widowControl w:val="0"/>
              <w:jc w:val="center"/>
              <w:rPr>
                <w:color w:val="000000"/>
              </w:rPr>
            </w:pPr>
            <w:r>
              <w:rPr>
                <w:rFonts w:eastAsia="等线"/>
                <w:szCs w:val="24"/>
              </w:rPr>
              <w:t>2022-08-25</w:t>
            </w:r>
          </w:p>
        </w:tc>
        <w:tc>
          <w:tcPr>
            <w:tcW w:w="1077" w:type="dxa"/>
            <w:tcMar>
              <w:top w:w="0" w:type="dxa"/>
              <w:left w:w="108" w:type="dxa"/>
              <w:bottom w:w="0" w:type="dxa"/>
              <w:right w:w="108" w:type="dxa"/>
            </w:tcMar>
            <w:vAlign w:val="center"/>
          </w:tcPr>
          <w:p w14:paraId="2492404E" w14:textId="77777777" w:rsidR="004B0883" w:rsidRDefault="004B0883">
            <w:pPr>
              <w:widowControl w:val="0"/>
              <w:jc w:val="center"/>
              <w:rPr>
                <w:color w:val="000000"/>
              </w:rPr>
            </w:pPr>
            <w:r>
              <w:rPr>
                <w:rFonts w:ascii="宋体" w:hAnsi="宋体" w:hint="eastAsia"/>
              </w:rPr>
              <w:t>发行人</w:t>
            </w:r>
          </w:p>
        </w:tc>
        <w:tc>
          <w:tcPr>
            <w:tcW w:w="1224" w:type="dxa"/>
            <w:tcMar>
              <w:top w:w="0" w:type="dxa"/>
              <w:left w:w="108" w:type="dxa"/>
              <w:bottom w:w="0" w:type="dxa"/>
              <w:right w:w="108" w:type="dxa"/>
            </w:tcMar>
            <w:vAlign w:val="center"/>
          </w:tcPr>
          <w:p w14:paraId="19B9C741" w14:textId="77777777" w:rsidR="004B0883" w:rsidRDefault="004B0883">
            <w:pPr>
              <w:widowControl w:val="0"/>
              <w:jc w:val="center"/>
              <w:rPr>
                <w:color w:val="000000"/>
              </w:rPr>
            </w:pPr>
            <w:r>
              <w:rPr>
                <w:rFonts w:ascii="宋体" w:hAnsi="宋体" w:hint="eastAsia"/>
              </w:rPr>
              <w:t>原始取得</w:t>
            </w:r>
          </w:p>
        </w:tc>
      </w:tr>
      <w:tr w:rsidR="004B0883" w14:paraId="0B9286A1" w14:textId="77777777">
        <w:trPr>
          <w:trHeight w:val="397"/>
          <w:jc w:val="center"/>
        </w:trPr>
        <w:tc>
          <w:tcPr>
            <w:tcW w:w="348" w:type="pct"/>
            <w:tcMar>
              <w:top w:w="0" w:type="dxa"/>
              <w:left w:w="108" w:type="dxa"/>
              <w:bottom w:w="0" w:type="dxa"/>
              <w:right w:w="108" w:type="dxa"/>
            </w:tcMar>
            <w:vAlign w:val="center"/>
          </w:tcPr>
          <w:p w14:paraId="1ED06179" w14:textId="77777777" w:rsidR="004B0883" w:rsidRDefault="004B0883">
            <w:pPr>
              <w:widowControl w:val="0"/>
              <w:adjustRightInd w:val="0"/>
              <w:snapToGrid w:val="0"/>
              <w:jc w:val="center"/>
              <w:rPr>
                <w:color w:val="000000"/>
              </w:rPr>
            </w:pPr>
            <w:r>
              <w:rPr>
                <w:color w:val="000000"/>
              </w:rPr>
              <w:t>18</w:t>
            </w:r>
          </w:p>
        </w:tc>
        <w:tc>
          <w:tcPr>
            <w:tcW w:w="2096" w:type="dxa"/>
            <w:tcMar>
              <w:top w:w="0" w:type="dxa"/>
              <w:left w:w="108" w:type="dxa"/>
              <w:bottom w:w="0" w:type="dxa"/>
              <w:right w:w="108" w:type="dxa"/>
            </w:tcMar>
            <w:vAlign w:val="center"/>
          </w:tcPr>
          <w:p w14:paraId="3B381E92" w14:textId="77777777" w:rsidR="004B0883" w:rsidRDefault="004B0883">
            <w:pPr>
              <w:widowControl w:val="0"/>
              <w:jc w:val="center"/>
              <w:rPr>
                <w:color w:val="000000"/>
              </w:rPr>
            </w:pPr>
            <w:r>
              <w:rPr>
                <w:rFonts w:ascii="宋体" w:hAnsi="宋体"/>
              </w:rPr>
              <w:t>快开式密封无</w:t>
            </w:r>
            <w:r>
              <w:rPr>
                <w:rFonts w:ascii="宋体" w:hAnsi="宋体" w:hint="eastAsia"/>
              </w:rPr>
              <w:t>磨</w:t>
            </w:r>
            <w:r>
              <w:rPr>
                <w:rFonts w:ascii="宋体" w:hAnsi="宋体"/>
              </w:rPr>
              <w:t>损旋塞阀</w:t>
            </w:r>
          </w:p>
        </w:tc>
        <w:tc>
          <w:tcPr>
            <w:tcW w:w="1241" w:type="dxa"/>
            <w:tcMar>
              <w:top w:w="0" w:type="dxa"/>
              <w:left w:w="108" w:type="dxa"/>
              <w:bottom w:w="0" w:type="dxa"/>
              <w:right w:w="108" w:type="dxa"/>
            </w:tcMar>
            <w:vAlign w:val="center"/>
          </w:tcPr>
          <w:p w14:paraId="72F9A90B"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6ED6FB50" w14:textId="77777777" w:rsidR="004B0883" w:rsidRDefault="004B0883">
            <w:pPr>
              <w:widowControl w:val="0"/>
              <w:jc w:val="center"/>
              <w:rPr>
                <w:color w:val="000000"/>
              </w:rPr>
            </w:pPr>
            <w:r>
              <w:rPr>
                <w:rFonts w:eastAsia="等线"/>
              </w:rPr>
              <w:t>2022202472308</w:t>
            </w:r>
          </w:p>
        </w:tc>
        <w:tc>
          <w:tcPr>
            <w:tcW w:w="1311" w:type="dxa"/>
            <w:tcMar>
              <w:top w:w="0" w:type="dxa"/>
              <w:left w:w="108" w:type="dxa"/>
              <w:bottom w:w="0" w:type="dxa"/>
              <w:right w:w="108" w:type="dxa"/>
            </w:tcMar>
            <w:vAlign w:val="center"/>
          </w:tcPr>
          <w:p w14:paraId="487410B1" w14:textId="77777777" w:rsidR="004B0883" w:rsidRDefault="004B0883">
            <w:pPr>
              <w:widowControl w:val="0"/>
              <w:jc w:val="center"/>
              <w:rPr>
                <w:color w:val="000000"/>
              </w:rPr>
            </w:pPr>
            <w:r>
              <w:rPr>
                <w:rFonts w:eastAsia="等线"/>
              </w:rPr>
              <w:t>2022-01-30</w:t>
            </w:r>
          </w:p>
        </w:tc>
        <w:tc>
          <w:tcPr>
            <w:tcW w:w="1077" w:type="dxa"/>
            <w:tcMar>
              <w:top w:w="0" w:type="dxa"/>
              <w:left w:w="108" w:type="dxa"/>
              <w:bottom w:w="0" w:type="dxa"/>
              <w:right w:w="108" w:type="dxa"/>
            </w:tcMar>
            <w:vAlign w:val="center"/>
          </w:tcPr>
          <w:p w14:paraId="27B12E0B" w14:textId="77777777" w:rsidR="004B0883" w:rsidRDefault="004B0883">
            <w:pPr>
              <w:widowControl w:val="0"/>
              <w:jc w:val="center"/>
              <w:rPr>
                <w:rFonts w:ascii="宋体" w:hAnsi="宋体"/>
              </w:rPr>
            </w:pPr>
            <w:r>
              <w:rPr>
                <w:rFonts w:ascii="宋体" w:hAnsi="宋体" w:hint="eastAsia"/>
              </w:rPr>
              <w:t>发行人、</w:t>
            </w:r>
            <w:r>
              <w:rPr>
                <w:rFonts w:ascii="宋体" w:hAnsi="宋体"/>
              </w:rPr>
              <w:t>莱州伟隆</w:t>
            </w:r>
            <w:r>
              <w:rPr>
                <w:rFonts w:ascii="宋体" w:hAnsi="宋体" w:hint="eastAsia"/>
              </w:rPr>
              <w:t>、</w:t>
            </w:r>
          </w:p>
          <w:p w14:paraId="53402A5F" w14:textId="77777777" w:rsidR="004B0883" w:rsidRDefault="004B0883">
            <w:pPr>
              <w:widowControl w:val="0"/>
              <w:jc w:val="center"/>
              <w:rPr>
                <w:color w:val="000000"/>
              </w:rPr>
            </w:pPr>
            <w:r>
              <w:rPr>
                <w:rFonts w:ascii="宋体" w:hAnsi="宋体"/>
              </w:rPr>
              <w:t>伟隆</w:t>
            </w:r>
            <w:r>
              <w:rPr>
                <w:rFonts w:ascii="宋体" w:hAnsi="宋体" w:hint="eastAsia"/>
              </w:rPr>
              <w:t>流体</w:t>
            </w:r>
          </w:p>
        </w:tc>
        <w:tc>
          <w:tcPr>
            <w:tcW w:w="1224" w:type="dxa"/>
            <w:tcMar>
              <w:top w:w="0" w:type="dxa"/>
              <w:left w:w="108" w:type="dxa"/>
              <w:bottom w:w="0" w:type="dxa"/>
              <w:right w:w="108" w:type="dxa"/>
            </w:tcMar>
            <w:vAlign w:val="center"/>
          </w:tcPr>
          <w:p w14:paraId="5FA65833" w14:textId="77777777" w:rsidR="004B0883" w:rsidRDefault="004B0883">
            <w:pPr>
              <w:widowControl w:val="0"/>
              <w:jc w:val="center"/>
              <w:rPr>
                <w:color w:val="000000"/>
              </w:rPr>
            </w:pPr>
            <w:r>
              <w:rPr>
                <w:rFonts w:ascii="宋体" w:hAnsi="宋体" w:hint="eastAsia"/>
              </w:rPr>
              <w:t>原始取得</w:t>
            </w:r>
          </w:p>
        </w:tc>
      </w:tr>
      <w:tr w:rsidR="004B0883" w14:paraId="7AC443BC" w14:textId="77777777">
        <w:trPr>
          <w:trHeight w:val="397"/>
          <w:jc w:val="center"/>
        </w:trPr>
        <w:tc>
          <w:tcPr>
            <w:tcW w:w="348" w:type="pct"/>
            <w:tcMar>
              <w:top w:w="0" w:type="dxa"/>
              <w:left w:w="108" w:type="dxa"/>
              <w:bottom w:w="0" w:type="dxa"/>
              <w:right w:w="108" w:type="dxa"/>
            </w:tcMar>
            <w:vAlign w:val="center"/>
          </w:tcPr>
          <w:p w14:paraId="0F4389C3" w14:textId="77777777" w:rsidR="004B0883" w:rsidRDefault="004B0883">
            <w:pPr>
              <w:widowControl w:val="0"/>
              <w:adjustRightInd w:val="0"/>
              <w:snapToGrid w:val="0"/>
              <w:jc w:val="center"/>
              <w:rPr>
                <w:color w:val="000000"/>
              </w:rPr>
            </w:pPr>
            <w:r>
              <w:rPr>
                <w:color w:val="000000"/>
              </w:rPr>
              <w:t>19</w:t>
            </w:r>
          </w:p>
        </w:tc>
        <w:tc>
          <w:tcPr>
            <w:tcW w:w="2096" w:type="dxa"/>
            <w:tcMar>
              <w:top w:w="0" w:type="dxa"/>
              <w:left w:w="108" w:type="dxa"/>
              <w:bottom w:w="0" w:type="dxa"/>
              <w:right w:w="108" w:type="dxa"/>
            </w:tcMar>
            <w:vAlign w:val="center"/>
          </w:tcPr>
          <w:p w14:paraId="2D08A4F4" w14:textId="77777777" w:rsidR="004B0883" w:rsidRDefault="004B0883">
            <w:pPr>
              <w:widowControl w:val="0"/>
              <w:jc w:val="center"/>
              <w:rPr>
                <w:color w:val="000000"/>
              </w:rPr>
            </w:pPr>
            <w:r>
              <w:rPr>
                <w:rFonts w:ascii="宋体" w:hAnsi="宋体"/>
              </w:rPr>
              <w:t>一种防爆水流指示器</w:t>
            </w:r>
          </w:p>
        </w:tc>
        <w:tc>
          <w:tcPr>
            <w:tcW w:w="1241" w:type="dxa"/>
            <w:tcMar>
              <w:top w:w="0" w:type="dxa"/>
              <w:left w:w="108" w:type="dxa"/>
              <w:bottom w:w="0" w:type="dxa"/>
              <w:right w:w="108" w:type="dxa"/>
            </w:tcMar>
            <w:vAlign w:val="center"/>
          </w:tcPr>
          <w:p w14:paraId="3FACF770"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699D5283" w14:textId="77777777" w:rsidR="004B0883" w:rsidRDefault="004B0883">
            <w:pPr>
              <w:widowControl w:val="0"/>
              <w:jc w:val="center"/>
              <w:rPr>
                <w:color w:val="000000"/>
              </w:rPr>
            </w:pPr>
            <w:r>
              <w:rPr>
                <w:rFonts w:eastAsia="等线"/>
              </w:rPr>
              <w:t>2022202472435</w:t>
            </w:r>
          </w:p>
        </w:tc>
        <w:tc>
          <w:tcPr>
            <w:tcW w:w="1311" w:type="dxa"/>
            <w:tcMar>
              <w:top w:w="0" w:type="dxa"/>
              <w:left w:w="108" w:type="dxa"/>
              <w:bottom w:w="0" w:type="dxa"/>
              <w:right w:w="108" w:type="dxa"/>
            </w:tcMar>
            <w:vAlign w:val="center"/>
          </w:tcPr>
          <w:p w14:paraId="537348BA" w14:textId="77777777" w:rsidR="004B0883" w:rsidRDefault="004B0883">
            <w:pPr>
              <w:widowControl w:val="0"/>
              <w:jc w:val="center"/>
              <w:rPr>
                <w:color w:val="000000"/>
              </w:rPr>
            </w:pPr>
            <w:r>
              <w:rPr>
                <w:rFonts w:eastAsia="等线"/>
              </w:rPr>
              <w:t>2022-01-30</w:t>
            </w:r>
          </w:p>
        </w:tc>
        <w:tc>
          <w:tcPr>
            <w:tcW w:w="1077" w:type="dxa"/>
            <w:tcMar>
              <w:top w:w="0" w:type="dxa"/>
              <w:left w:w="108" w:type="dxa"/>
              <w:bottom w:w="0" w:type="dxa"/>
              <w:right w:w="108" w:type="dxa"/>
            </w:tcMar>
            <w:vAlign w:val="center"/>
          </w:tcPr>
          <w:p w14:paraId="08B9D8F2" w14:textId="77777777" w:rsidR="004B0883" w:rsidRDefault="004B0883">
            <w:pPr>
              <w:widowControl w:val="0"/>
              <w:jc w:val="center"/>
              <w:rPr>
                <w:rFonts w:ascii="宋体" w:hAnsi="宋体"/>
              </w:rPr>
            </w:pPr>
            <w:r>
              <w:rPr>
                <w:rFonts w:ascii="宋体" w:hAnsi="宋体" w:hint="eastAsia"/>
              </w:rPr>
              <w:t>发行人、</w:t>
            </w:r>
            <w:r>
              <w:rPr>
                <w:rFonts w:ascii="宋体" w:hAnsi="宋体"/>
              </w:rPr>
              <w:t>莱州伟隆</w:t>
            </w:r>
            <w:r>
              <w:rPr>
                <w:rFonts w:ascii="宋体" w:hAnsi="宋体" w:hint="eastAsia"/>
              </w:rPr>
              <w:t>、</w:t>
            </w:r>
          </w:p>
          <w:p w14:paraId="5CC4796E" w14:textId="77777777" w:rsidR="004B0883" w:rsidRDefault="004B0883">
            <w:pPr>
              <w:widowControl w:val="0"/>
              <w:jc w:val="center"/>
              <w:rPr>
                <w:color w:val="000000"/>
              </w:rPr>
            </w:pPr>
            <w:r>
              <w:rPr>
                <w:rFonts w:ascii="宋体" w:hAnsi="宋体"/>
              </w:rPr>
              <w:t>伟隆</w:t>
            </w:r>
            <w:r>
              <w:rPr>
                <w:rFonts w:ascii="宋体" w:hAnsi="宋体" w:hint="eastAsia"/>
              </w:rPr>
              <w:t>流体</w:t>
            </w:r>
          </w:p>
        </w:tc>
        <w:tc>
          <w:tcPr>
            <w:tcW w:w="1224" w:type="dxa"/>
            <w:tcMar>
              <w:top w:w="0" w:type="dxa"/>
              <w:left w:w="108" w:type="dxa"/>
              <w:bottom w:w="0" w:type="dxa"/>
              <w:right w:w="108" w:type="dxa"/>
            </w:tcMar>
            <w:vAlign w:val="center"/>
          </w:tcPr>
          <w:p w14:paraId="78734FAB" w14:textId="77777777" w:rsidR="004B0883" w:rsidRDefault="004B0883">
            <w:pPr>
              <w:widowControl w:val="0"/>
              <w:jc w:val="center"/>
              <w:rPr>
                <w:color w:val="000000"/>
              </w:rPr>
            </w:pPr>
            <w:r>
              <w:rPr>
                <w:rFonts w:ascii="宋体" w:hAnsi="宋体" w:hint="eastAsia"/>
              </w:rPr>
              <w:t>原始取得</w:t>
            </w:r>
          </w:p>
        </w:tc>
      </w:tr>
      <w:tr w:rsidR="004B0883" w14:paraId="06BC9369" w14:textId="77777777">
        <w:trPr>
          <w:trHeight w:val="397"/>
          <w:jc w:val="center"/>
        </w:trPr>
        <w:tc>
          <w:tcPr>
            <w:tcW w:w="348" w:type="pct"/>
            <w:tcMar>
              <w:top w:w="0" w:type="dxa"/>
              <w:left w:w="108" w:type="dxa"/>
              <w:bottom w:w="0" w:type="dxa"/>
              <w:right w:w="108" w:type="dxa"/>
            </w:tcMar>
            <w:vAlign w:val="center"/>
          </w:tcPr>
          <w:p w14:paraId="566783CC" w14:textId="77777777" w:rsidR="004B0883" w:rsidRDefault="004B0883">
            <w:pPr>
              <w:widowControl w:val="0"/>
              <w:adjustRightInd w:val="0"/>
              <w:snapToGrid w:val="0"/>
              <w:jc w:val="center"/>
              <w:rPr>
                <w:color w:val="000000"/>
              </w:rPr>
            </w:pPr>
            <w:r>
              <w:rPr>
                <w:color w:val="000000"/>
              </w:rPr>
              <w:t>20</w:t>
            </w:r>
          </w:p>
        </w:tc>
        <w:tc>
          <w:tcPr>
            <w:tcW w:w="2096" w:type="dxa"/>
            <w:tcMar>
              <w:top w:w="0" w:type="dxa"/>
              <w:left w:w="108" w:type="dxa"/>
              <w:bottom w:w="0" w:type="dxa"/>
              <w:right w:w="108" w:type="dxa"/>
            </w:tcMar>
            <w:vAlign w:val="center"/>
          </w:tcPr>
          <w:p w14:paraId="5C3816BA" w14:textId="77777777" w:rsidR="004B0883" w:rsidRDefault="004B0883">
            <w:pPr>
              <w:widowControl w:val="0"/>
              <w:jc w:val="center"/>
              <w:rPr>
                <w:color w:val="000000"/>
              </w:rPr>
            </w:pPr>
            <w:r>
              <w:rPr>
                <w:rFonts w:ascii="宋体" w:hAnsi="宋体"/>
              </w:rPr>
              <w:t>一种数字指示与阀杆锁定一体的多用阀</w:t>
            </w:r>
          </w:p>
        </w:tc>
        <w:tc>
          <w:tcPr>
            <w:tcW w:w="1241" w:type="dxa"/>
            <w:tcMar>
              <w:top w:w="0" w:type="dxa"/>
              <w:left w:w="108" w:type="dxa"/>
              <w:bottom w:w="0" w:type="dxa"/>
              <w:right w:w="108" w:type="dxa"/>
            </w:tcMar>
            <w:vAlign w:val="center"/>
          </w:tcPr>
          <w:p w14:paraId="6ECCD3CE"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42E677CD" w14:textId="77777777" w:rsidR="004B0883" w:rsidRDefault="004B0883">
            <w:pPr>
              <w:widowControl w:val="0"/>
              <w:jc w:val="center"/>
              <w:rPr>
                <w:color w:val="000000"/>
              </w:rPr>
            </w:pPr>
            <w:r>
              <w:rPr>
                <w:rFonts w:eastAsia="等线"/>
              </w:rPr>
              <w:t>2021223081884</w:t>
            </w:r>
          </w:p>
        </w:tc>
        <w:tc>
          <w:tcPr>
            <w:tcW w:w="1311" w:type="dxa"/>
            <w:tcMar>
              <w:top w:w="0" w:type="dxa"/>
              <w:left w:w="108" w:type="dxa"/>
              <w:bottom w:w="0" w:type="dxa"/>
              <w:right w:w="108" w:type="dxa"/>
            </w:tcMar>
            <w:vAlign w:val="center"/>
          </w:tcPr>
          <w:p w14:paraId="1E8ED7F4" w14:textId="77777777" w:rsidR="004B0883" w:rsidRDefault="004B0883">
            <w:pPr>
              <w:widowControl w:val="0"/>
              <w:jc w:val="center"/>
              <w:rPr>
                <w:color w:val="000000"/>
              </w:rPr>
            </w:pPr>
            <w:r>
              <w:rPr>
                <w:rFonts w:eastAsia="等线"/>
              </w:rPr>
              <w:t>2021-09-23</w:t>
            </w:r>
          </w:p>
        </w:tc>
        <w:tc>
          <w:tcPr>
            <w:tcW w:w="1077" w:type="dxa"/>
            <w:tcMar>
              <w:top w:w="0" w:type="dxa"/>
              <w:left w:w="108" w:type="dxa"/>
              <w:bottom w:w="0" w:type="dxa"/>
              <w:right w:w="108" w:type="dxa"/>
            </w:tcMar>
            <w:vAlign w:val="center"/>
          </w:tcPr>
          <w:p w14:paraId="68FF755E" w14:textId="77777777" w:rsidR="004B0883" w:rsidRDefault="004B0883">
            <w:pPr>
              <w:widowControl w:val="0"/>
              <w:jc w:val="center"/>
              <w:rPr>
                <w:rFonts w:ascii="宋体" w:hAnsi="宋体"/>
              </w:rPr>
            </w:pPr>
            <w:r>
              <w:rPr>
                <w:rFonts w:ascii="宋体" w:hAnsi="宋体" w:hint="eastAsia"/>
              </w:rPr>
              <w:t>发行人、</w:t>
            </w:r>
            <w:r>
              <w:rPr>
                <w:rFonts w:ascii="宋体" w:hAnsi="宋体"/>
              </w:rPr>
              <w:t>莱州伟隆</w:t>
            </w:r>
            <w:r>
              <w:rPr>
                <w:rFonts w:ascii="宋体" w:hAnsi="宋体" w:hint="eastAsia"/>
              </w:rPr>
              <w:t>、</w:t>
            </w:r>
          </w:p>
          <w:p w14:paraId="2B468D29" w14:textId="77777777" w:rsidR="004B0883" w:rsidRDefault="004B0883">
            <w:pPr>
              <w:widowControl w:val="0"/>
              <w:jc w:val="center"/>
              <w:rPr>
                <w:color w:val="000000"/>
              </w:rPr>
            </w:pPr>
            <w:r>
              <w:rPr>
                <w:rFonts w:ascii="宋体" w:hAnsi="宋体"/>
              </w:rPr>
              <w:t>伟隆</w:t>
            </w:r>
            <w:r>
              <w:rPr>
                <w:rFonts w:ascii="宋体" w:hAnsi="宋体" w:hint="eastAsia"/>
              </w:rPr>
              <w:t>流体</w:t>
            </w:r>
          </w:p>
        </w:tc>
        <w:tc>
          <w:tcPr>
            <w:tcW w:w="1224" w:type="dxa"/>
            <w:tcMar>
              <w:top w:w="0" w:type="dxa"/>
              <w:left w:w="108" w:type="dxa"/>
              <w:bottom w:w="0" w:type="dxa"/>
              <w:right w:w="108" w:type="dxa"/>
            </w:tcMar>
            <w:vAlign w:val="center"/>
          </w:tcPr>
          <w:p w14:paraId="4CA23AF4" w14:textId="77777777" w:rsidR="004B0883" w:rsidRDefault="004B0883">
            <w:pPr>
              <w:widowControl w:val="0"/>
              <w:jc w:val="center"/>
              <w:rPr>
                <w:color w:val="000000"/>
              </w:rPr>
            </w:pPr>
            <w:r>
              <w:rPr>
                <w:rFonts w:ascii="宋体" w:hAnsi="宋体" w:hint="eastAsia"/>
              </w:rPr>
              <w:t>原始取得</w:t>
            </w:r>
          </w:p>
        </w:tc>
      </w:tr>
      <w:tr w:rsidR="004B0883" w14:paraId="57538E35" w14:textId="77777777">
        <w:trPr>
          <w:trHeight w:val="397"/>
          <w:jc w:val="center"/>
        </w:trPr>
        <w:tc>
          <w:tcPr>
            <w:tcW w:w="348" w:type="pct"/>
            <w:tcMar>
              <w:top w:w="0" w:type="dxa"/>
              <w:left w:w="108" w:type="dxa"/>
              <w:bottom w:w="0" w:type="dxa"/>
              <w:right w:w="108" w:type="dxa"/>
            </w:tcMar>
            <w:vAlign w:val="center"/>
          </w:tcPr>
          <w:p w14:paraId="0B6FE4C9" w14:textId="77777777" w:rsidR="004B0883" w:rsidRDefault="004B0883">
            <w:pPr>
              <w:widowControl w:val="0"/>
              <w:adjustRightInd w:val="0"/>
              <w:snapToGrid w:val="0"/>
              <w:jc w:val="center"/>
              <w:rPr>
                <w:color w:val="000000"/>
              </w:rPr>
            </w:pPr>
            <w:r>
              <w:rPr>
                <w:color w:val="000000"/>
              </w:rPr>
              <w:t>21</w:t>
            </w:r>
          </w:p>
        </w:tc>
        <w:tc>
          <w:tcPr>
            <w:tcW w:w="2096" w:type="dxa"/>
            <w:tcMar>
              <w:top w:w="0" w:type="dxa"/>
              <w:left w:w="108" w:type="dxa"/>
              <w:bottom w:w="0" w:type="dxa"/>
              <w:right w:w="108" w:type="dxa"/>
            </w:tcMar>
            <w:vAlign w:val="center"/>
          </w:tcPr>
          <w:p w14:paraId="5EA8AAFD" w14:textId="77777777" w:rsidR="004B0883" w:rsidRDefault="004B0883">
            <w:pPr>
              <w:widowControl w:val="0"/>
              <w:jc w:val="center"/>
              <w:rPr>
                <w:color w:val="000000"/>
              </w:rPr>
            </w:pPr>
            <w:r>
              <w:rPr>
                <w:rFonts w:ascii="宋体" w:hAnsi="宋体"/>
              </w:rPr>
              <w:t>供水管路带有监视信号的防回流装置</w:t>
            </w:r>
          </w:p>
        </w:tc>
        <w:tc>
          <w:tcPr>
            <w:tcW w:w="1241" w:type="dxa"/>
            <w:tcMar>
              <w:top w:w="0" w:type="dxa"/>
              <w:left w:w="108" w:type="dxa"/>
              <w:bottom w:w="0" w:type="dxa"/>
              <w:right w:w="108" w:type="dxa"/>
            </w:tcMar>
            <w:vAlign w:val="center"/>
          </w:tcPr>
          <w:p w14:paraId="07B4A00E"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376CDB08" w14:textId="77777777" w:rsidR="004B0883" w:rsidRDefault="004B0883">
            <w:pPr>
              <w:widowControl w:val="0"/>
              <w:jc w:val="center"/>
              <w:rPr>
                <w:color w:val="000000"/>
              </w:rPr>
            </w:pPr>
            <w:r>
              <w:rPr>
                <w:rFonts w:eastAsia="等线"/>
              </w:rPr>
              <w:t>2021222931275</w:t>
            </w:r>
          </w:p>
        </w:tc>
        <w:tc>
          <w:tcPr>
            <w:tcW w:w="1311" w:type="dxa"/>
            <w:tcMar>
              <w:top w:w="0" w:type="dxa"/>
              <w:left w:w="108" w:type="dxa"/>
              <w:bottom w:w="0" w:type="dxa"/>
              <w:right w:w="108" w:type="dxa"/>
            </w:tcMar>
            <w:vAlign w:val="center"/>
          </w:tcPr>
          <w:p w14:paraId="661B803F" w14:textId="77777777" w:rsidR="004B0883" w:rsidRDefault="004B0883">
            <w:pPr>
              <w:widowControl w:val="0"/>
              <w:jc w:val="center"/>
              <w:rPr>
                <w:color w:val="000000"/>
              </w:rPr>
            </w:pPr>
            <w:r>
              <w:rPr>
                <w:rFonts w:eastAsia="等线"/>
              </w:rPr>
              <w:t>2021-09-22</w:t>
            </w:r>
          </w:p>
        </w:tc>
        <w:tc>
          <w:tcPr>
            <w:tcW w:w="1077" w:type="dxa"/>
            <w:tcMar>
              <w:top w:w="0" w:type="dxa"/>
              <w:left w:w="108" w:type="dxa"/>
              <w:bottom w:w="0" w:type="dxa"/>
              <w:right w:w="108" w:type="dxa"/>
            </w:tcMar>
            <w:vAlign w:val="center"/>
          </w:tcPr>
          <w:p w14:paraId="4813CF85" w14:textId="77777777" w:rsidR="004B0883" w:rsidRDefault="004B0883">
            <w:pPr>
              <w:widowControl w:val="0"/>
              <w:jc w:val="center"/>
              <w:rPr>
                <w:rFonts w:ascii="宋体" w:hAnsi="宋体"/>
              </w:rPr>
            </w:pPr>
            <w:r>
              <w:rPr>
                <w:rFonts w:ascii="宋体" w:hAnsi="宋体" w:hint="eastAsia"/>
              </w:rPr>
              <w:t>发行人、</w:t>
            </w:r>
            <w:r>
              <w:rPr>
                <w:rFonts w:ascii="宋体" w:hAnsi="宋体"/>
              </w:rPr>
              <w:t>莱州伟隆</w:t>
            </w:r>
            <w:r>
              <w:rPr>
                <w:rFonts w:ascii="宋体" w:hAnsi="宋体" w:hint="eastAsia"/>
              </w:rPr>
              <w:t>、</w:t>
            </w:r>
          </w:p>
          <w:p w14:paraId="3B0D0AF7" w14:textId="77777777" w:rsidR="004B0883" w:rsidRDefault="004B0883">
            <w:pPr>
              <w:widowControl w:val="0"/>
              <w:jc w:val="center"/>
              <w:rPr>
                <w:color w:val="000000"/>
              </w:rPr>
            </w:pPr>
            <w:r>
              <w:rPr>
                <w:rFonts w:ascii="宋体" w:hAnsi="宋体"/>
              </w:rPr>
              <w:t>伟隆</w:t>
            </w:r>
            <w:r>
              <w:rPr>
                <w:rFonts w:ascii="宋体" w:hAnsi="宋体" w:hint="eastAsia"/>
              </w:rPr>
              <w:t>流体</w:t>
            </w:r>
          </w:p>
        </w:tc>
        <w:tc>
          <w:tcPr>
            <w:tcW w:w="1224" w:type="dxa"/>
            <w:tcMar>
              <w:top w:w="0" w:type="dxa"/>
              <w:left w:w="108" w:type="dxa"/>
              <w:bottom w:w="0" w:type="dxa"/>
              <w:right w:w="108" w:type="dxa"/>
            </w:tcMar>
            <w:vAlign w:val="center"/>
          </w:tcPr>
          <w:p w14:paraId="7E6A83E9" w14:textId="77777777" w:rsidR="004B0883" w:rsidRDefault="004B0883">
            <w:pPr>
              <w:widowControl w:val="0"/>
              <w:jc w:val="center"/>
              <w:rPr>
                <w:color w:val="000000"/>
              </w:rPr>
            </w:pPr>
            <w:r>
              <w:rPr>
                <w:rFonts w:ascii="宋体" w:hAnsi="宋体" w:hint="eastAsia"/>
              </w:rPr>
              <w:t>原始取得</w:t>
            </w:r>
          </w:p>
        </w:tc>
      </w:tr>
      <w:tr w:rsidR="004B0883" w14:paraId="6E6FA289" w14:textId="77777777">
        <w:trPr>
          <w:trHeight w:val="397"/>
          <w:jc w:val="center"/>
        </w:trPr>
        <w:tc>
          <w:tcPr>
            <w:tcW w:w="348" w:type="pct"/>
            <w:tcMar>
              <w:top w:w="0" w:type="dxa"/>
              <w:left w:w="108" w:type="dxa"/>
              <w:bottom w:w="0" w:type="dxa"/>
              <w:right w:w="108" w:type="dxa"/>
            </w:tcMar>
            <w:vAlign w:val="center"/>
          </w:tcPr>
          <w:p w14:paraId="3B837E2A" w14:textId="77777777" w:rsidR="004B0883" w:rsidRDefault="004B0883">
            <w:pPr>
              <w:widowControl w:val="0"/>
              <w:adjustRightInd w:val="0"/>
              <w:snapToGrid w:val="0"/>
              <w:jc w:val="center"/>
              <w:rPr>
                <w:color w:val="000000"/>
              </w:rPr>
            </w:pPr>
            <w:r>
              <w:rPr>
                <w:color w:val="000000"/>
              </w:rPr>
              <w:t>22</w:t>
            </w:r>
          </w:p>
        </w:tc>
        <w:tc>
          <w:tcPr>
            <w:tcW w:w="2096" w:type="dxa"/>
            <w:tcMar>
              <w:top w:w="0" w:type="dxa"/>
              <w:left w:w="108" w:type="dxa"/>
              <w:bottom w:w="0" w:type="dxa"/>
              <w:right w:w="108" w:type="dxa"/>
            </w:tcMar>
            <w:vAlign w:val="center"/>
          </w:tcPr>
          <w:p w14:paraId="3E8BF536" w14:textId="77777777" w:rsidR="004B0883" w:rsidRDefault="004B0883">
            <w:pPr>
              <w:widowControl w:val="0"/>
              <w:jc w:val="center"/>
              <w:rPr>
                <w:color w:val="000000"/>
              </w:rPr>
            </w:pPr>
            <w:r>
              <w:rPr>
                <w:rFonts w:ascii="宋体" w:hAnsi="宋体"/>
              </w:rPr>
              <w:t>减力平衡控制阀</w:t>
            </w:r>
          </w:p>
        </w:tc>
        <w:tc>
          <w:tcPr>
            <w:tcW w:w="1241" w:type="dxa"/>
            <w:tcMar>
              <w:top w:w="0" w:type="dxa"/>
              <w:left w:w="108" w:type="dxa"/>
              <w:bottom w:w="0" w:type="dxa"/>
              <w:right w:w="108" w:type="dxa"/>
            </w:tcMar>
            <w:vAlign w:val="center"/>
          </w:tcPr>
          <w:p w14:paraId="1A4AFE4C"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4A0A6FBE" w14:textId="77777777" w:rsidR="004B0883" w:rsidRDefault="004B0883">
            <w:pPr>
              <w:widowControl w:val="0"/>
              <w:jc w:val="center"/>
              <w:rPr>
                <w:color w:val="000000"/>
              </w:rPr>
            </w:pPr>
            <w:r>
              <w:rPr>
                <w:rFonts w:eastAsia="等线"/>
              </w:rPr>
              <w:t>2021222931260</w:t>
            </w:r>
          </w:p>
        </w:tc>
        <w:tc>
          <w:tcPr>
            <w:tcW w:w="1311" w:type="dxa"/>
            <w:tcMar>
              <w:top w:w="0" w:type="dxa"/>
              <w:left w:w="108" w:type="dxa"/>
              <w:bottom w:w="0" w:type="dxa"/>
              <w:right w:w="108" w:type="dxa"/>
            </w:tcMar>
            <w:vAlign w:val="center"/>
          </w:tcPr>
          <w:p w14:paraId="0D6DA677" w14:textId="77777777" w:rsidR="004B0883" w:rsidRDefault="004B0883">
            <w:pPr>
              <w:widowControl w:val="0"/>
              <w:jc w:val="center"/>
              <w:rPr>
                <w:color w:val="000000"/>
              </w:rPr>
            </w:pPr>
            <w:r>
              <w:rPr>
                <w:rFonts w:eastAsia="等线"/>
              </w:rPr>
              <w:t>2021-09-22</w:t>
            </w:r>
          </w:p>
        </w:tc>
        <w:tc>
          <w:tcPr>
            <w:tcW w:w="1077" w:type="dxa"/>
            <w:tcMar>
              <w:top w:w="0" w:type="dxa"/>
              <w:left w:w="108" w:type="dxa"/>
              <w:bottom w:w="0" w:type="dxa"/>
              <w:right w:w="108" w:type="dxa"/>
            </w:tcMar>
            <w:vAlign w:val="center"/>
          </w:tcPr>
          <w:p w14:paraId="4297DFEC" w14:textId="77777777" w:rsidR="004B0883" w:rsidRDefault="004B0883">
            <w:pPr>
              <w:widowControl w:val="0"/>
              <w:jc w:val="center"/>
              <w:rPr>
                <w:color w:val="000000"/>
              </w:rPr>
            </w:pPr>
            <w:r>
              <w:rPr>
                <w:rFonts w:ascii="宋体" w:hAnsi="宋体" w:hint="eastAsia"/>
              </w:rPr>
              <w:t>发行人、</w:t>
            </w:r>
            <w:r>
              <w:rPr>
                <w:rFonts w:ascii="宋体" w:hAnsi="宋体"/>
              </w:rPr>
              <w:t>莱州伟隆</w:t>
            </w:r>
            <w:r>
              <w:rPr>
                <w:rFonts w:ascii="宋体" w:hAnsi="宋体" w:hint="eastAsia"/>
              </w:rPr>
              <w:t>、</w:t>
            </w:r>
            <w:r>
              <w:rPr>
                <w:rFonts w:ascii="宋体" w:hAnsi="宋体"/>
              </w:rPr>
              <w:t>伟隆</w:t>
            </w:r>
            <w:r>
              <w:rPr>
                <w:rFonts w:ascii="宋体" w:hAnsi="宋体" w:hint="eastAsia"/>
              </w:rPr>
              <w:t>流体</w:t>
            </w:r>
          </w:p>
        </w:tc>
        <w:tc>
          <w:tcPr>
            <w:tcW w:w="1224" w:type="dxa"/>
            <w:tcMar>
              <w:top w:w="0" w:type="dxa"/>
              <w:left w:w="108" w:type="dxa"/>
              <w:bottom w:w="0" w:type="dxa"/>
              <w:right w:w="108" w:type="dxa"/>
            </w:tcMar>
            <w:vAlign w:val="center"/>
          </w:tcPr>
          <w:p w14:paraId="57763F84" w14:textId="77777777" w:rsidR="004B0883" w:rsidRDefault="004B0883">
            <w:pPr>
              <w:widowControl w:val="0"/>
              <w:jc w:val="center"/>
              <w:rPr>
                <w:color w:val="000000"/>
              </w:rPr>
            </w:pPr>
            <w:r>
              <w:rPr>
                <w:rFonts w:ascii="宋体" w:hAnsi="宋体" w:hint="eastAsia"/>
              </w:rPr>
              <w:t>原始取得</w:t>
            </w:r>
          </w:p>
        </w:tc>
      </w:tr>
      <w:tr w:rsidR="004B0883" w14:paraId="0A325CBA" w14:textId="77777777">
        <w:trPr>
          <w:trHeight w:val="397"/>
          <w:jc w:val="center"/>
        </w:trPr>
        <w:tc>
          <w:tcPr>
            <w:tcW w:w="348" w:type="pct"/>
            <w:tcMar>
              <w:top w:w="0" w:type="dxa"/>
              <w:left w:w="108" w:type="dxa"/>
              <w:bottom w:w="0" w:type="dxa"/>
              <w:right w:w="108" w:type="dxa"/>
            </w:tcMar>
            <w:vAlign w:val="center"/>
          </w:tcPr>
          <w:p w14:paraId="4BBB5E13" w14:textId="77777777" w:rsidR="004B0883" w:rsidRDefault="004B0883">
            <w:pPr>
              <w:widowControl w:val="0"/>
              <w:adjustRightInd w:val="0"/>
              <w:snapToGrid w:val="0"/>
              <w:jc w:val="center"/>
              <w:rPr>
                <w:color w:val="000000"/>
              </w:rPr>
            </w:pPr>
            <w:r>
              <w:rPr>
                <w:color w:val="000000"/>
              </w:rPr>
              <w:t>23</w:t>
            </w:r>
          </w:p>
        </w:tc>
        <w:tc>
          <w:tcPr>
            <w:tcW w:w="2096" w:type="dxa"/>
            <w:tcMar>
              <w:top w:w="0" w:type="dxa"/>
              <w:left w:w="108" w:type="dxa"/>
              <w:bottom w:w="0" w:type="dxa"/>
              <w:right w:w="108" w:type="dxa"/>
            </w:tcMar>
            <w:vAlign w:val="center"/>
          </w:tcPr>
          <w:p w14:paraId="6E14E5ED" w14:textId="77777777" w:rsidR="004B0883" w:rsidRDefault="004B0883">
            <w:pPr>
              <w:widowControl w:val="0"/>
              <w:jc w:val="center"/>
              <w:rPr>
                <w:color w:val="000000"/>
              </w:rPr>
            </w:pPr>
            <w:r>
              <w:rPr>
                <w:rFonts w:ascii="宋体" w:hAnsi="宋体"/>
              </w:rPr>
              <w:t>一种干式消防喷水灭火系统的气源配套装置</w:t>
            </w:r>
          </w:p>
        </w:tc>
        <w:tc>
          <w:tcPr>
            <w:tcW w:w="1241" w:type="dxa"/>
            <w:tcMar>
              <w:top w:w="0" w:type="dxa"/>
              <w:left w:w="108" w:type="dxa"/>
              <w:bottom w:w="0" w:type="dxa"/>
              <w:right w:w="108" w:type="dxa"/>
            </w:tcMar>
            <w:vAlign w:val="center"/>
          </w:tcPr>
          <w:p w14:paraId="32C5ABEF"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6461CCF5" w14:textId="77777777" w:rsidR="004B0883" w:rsidRDefault="004B0883">
            <w:pPr>
              <w:widowControl w:val="0"/>
              <w:jc w:val="center"/>
              <w:rPr>
                <w:color w:val="000000"/>
              </w:rPr>
            </w:pPr>
            <w:r>
              <w:rPr>
                <w:rFonts w:eastAsia="等线"/>
              </w:rPr>
              <w:t>2021222805450</w:t>
            </w:r>
          </w:p>
        </w:tc>
        <w:tc>
          <w:tcPr>
            <w:tcW w:w="1311" w:type="dxa"/>
            <w:tcMar>
              <w:top w:w="0" w:type="dxa"/>
              <w:left w:w="108" w:type="dxa"/>
              <w:bottom w:w="0" w:type="dxa"/>
              <w:right w:w="108" w:type="dxa"/>
            </w:tcMar>
            <w:vAlign w:val="center"/>
          </w:tcPr>
          <w:p w14:paraId="1700CABE" w14:textId="77777777" w:rsidR="004B0883" w:rsidRDefault="004B0883">
            <w:pPr>
              <w:widowControl w:val="0"/>
              <w:jc w:val="center"/>
              <w:rPr>
                <w:color w:val="000000"/>
              </w:rPr>
            </w:pPr>
            <w:r>
              <w:rPr>
                <w:rFonts w:eastAsia="等线"/>
              </w:rPr>
              <w:t>2021-09-18</w:t>
            </w:r>
          </w:p>
        </w:tc>
        <w:tc>
          <w:tcPr>
            <w:tcW w:w="1077" w:type="dxa"/>
            <w:tcMar>
              <w:top w:w="0" w:type="dxa"/>
              <w:left w:w="108" w:type="dxa"/>
              <w:bottom w:w="0" w:type="dxa"/>
              <w:right w:w="108" w:type="dxa"/>
            </w:tcMar>
            <w:vAlign w:val="center"/>
          </w:tcPr>
          <w:p w14:paraId="146E988B" w14:textId="77777777" w:rsidR="004B0883" w:rsidRDefault="004B0883">
            <w:pPr>
              <w:widowControl w:val="0"/>
              <w:jc w:val="center"/>
              <w:rPr>
                <w:color w:val="000000"/>
              </w:rPr>
            </w:pPr>
            <w:r>
              <w:rPr>
                <w:rFonts w:ascii="宋体" w:hAnsi="宋体" w:hint="eastAsia"/>
              </w:rPr>
              <w:t>发行人、</w:t>
            </w:r>
            <w:r>
              <w:rPr>
                <w:rFonts w:ascii="宋体" w:hAnsi="宋体"/>
              </w:rPr>
              <w:t>莱州伟隆</w:t>
            </w:r>
            <w:r>
              <w:rPr>
                <w:rFonts w:ascii="宋体" w:hAnsi="宋体" w:hint="eastAsia"/>
              </w:rPr>
              <w:t>、</w:t>
            </w:r>
            <w:r>
              <w:rPr>
                <w:rFonts w:ascii="宋体" w:hAnsi="宋体"/>
              </w:rPr>
              <w:t>伟隆</w:t>
            </w:r>
            <w:r>
              <w:rPr>
                <w:rFonts w:ascii="宋体" w:hAnsi="宋体" w:hint="eastAsia"/>
              </w:rPr>
              <w:t>流体</w:t>
            </w:r>
          </w:p>
        </w:tc>
        <w:tc>
          <w:tcPr>
            <w:tcW w:w="1224" w:type="dxa"/>
            <w:tcMar>
              <w:top w:w="0" w:type="dxa"/>
              <w:left w:w="108" w:type="dxa"/>
              <w:bottom w:w="0" w:type="dxa"/>
              <w:right w:w="108" w:type="dxa"/>
            </w:tcMar>
            <w:vAlign w:val="center"/>
          </w:tcPr>
          <w:p w14:paraId="71DEC4D7" w14:textId="77777777" w:rsidR="004B0883" w:rsidRDefault="004B0883">
            <w:pPr>
              <w:widowControl w:val="0"/>
              <w:jc w:val="center"/>
              <w:rPr>
                <w:color w:val="000000"/>
              </w:rPr>
            </w:pPr>
            <w:r>
              <w:rPr>
                <w:rFonts w:ascii="宋体" w:hAnsi="宋体" w:hint="eastAsia"/>
              </w:rPr>
              <w:t>原始取得</w:t>
            </w:r>
          </w:p>
        </w:tc>
      </w:tr>
      <w:tr w:rsidR="004B0883" w14:paraId="0975EAFA" w14:textId="77777777">
        <w:trPr>
          <w:trHeight w:val="397"/>
          <w:jc w:val="center"/>
        </w:trPr>
        <w:tc>
          <w:tcPr>
            <w:tcW w:w="348" w:type="pct"/>
            <w:tcMar>
              <w:top w:w="0" w:type="dxa"/>
              <w:left w:w="108" w:type="dxa"/>
              <w:bottom w:w="0" w:type="dxa"/>
              <w:right w:w="108" w:type="dxa"/>
            </w:tcMar>
            <w:vAlign w:val="center"/>
          </w:tcPr>
          <w:p w14:paraId="491BFF58" w14:textId="77777777" w:rsidR="004B0883" w:rsidRDefault="004B0883">
            <w:pPr>
              <w:widowControl w:val="0"/>
              <w:adjustRightInd w:val="0"/>
              <w:snapToGrid w:val="0"/>
              <w:jc w:val="center"/>
              <w:rPr>
                <w:color w:val="000000"/>
              </w:rPr>
            </w:pPr>
            <w:r>
              <w:rPr>
                <w:color w:val="000000"/>
              </w:rPr>
              <w:t>24</w:t>
            </w:r>
          </w:p>
        </w:tc>
        <w:tc>
          <w:tcPr>
            <w:tcW w:w="2096" w:type="dxa"/>
            <w:tcMar>
              <w:top w:w="0" w:type="dxa"/>
              <w:left w:w="108" w:type="dxa"/>
              <w:bottom w:w="0" w:type="dxa"/>
              <w:right w:w="108" w:type="dxa"/>
            </w:tcMar>
            <w:vAlign w:val="center"/>
          </w:tcPr>
          <w:p w14:paraId="521FC083" w14:textId="77777777" w:rsidR="004B0883" w:rsidRDefault="004B0883">
            <w:pPr>
              <w:widowControl w:val="0"/>
              <w:jc w:val="center"/>
              <w:rPr>
                <w:color w:val="000000"/>
              </w:rPr>
            </w:pPr>
            <w:r>
              <w:rPr>
                <w:rFonts w:ascii="宋体" w:hAnsi="宋体"/>
              </w:rPr>
              <w:t>一种管道流体控制阀</w:t>
            </w:r>
          </w:p>
        </w:tc>
        <w:tc>
          <w:tcPr>
            <w:tcW w:w="1241" w:type="dxa"/>
            <w:tcMar>
              <w:top w:w="0" w:type="dxa"/>
              <w:left w:w="108" w:type="dxa"/>
              <w:bottom w:w="0" w:type="dxa"/>
              <w:right w:w="108" w:type="dxa"/>
            </w:tcMar>
            <w:vAlign w:val="center"/>
          </w:tcPr>
          <w:p w14:paraId="272950DC"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770FD7A4" w14:textId="77777777" w:rsidR="004B0883" w:rsidRDefault="004B0883">
            <w:pPr>
              <w:widowControl w:val="0"/>
              <w:jc w:val="center"/>
              <w:rPr>
                <w:color w:val="000000"/>
              </w:rPr>
            </w:pPr>
            <w:r>
              <w:rPr>
                <w:rFonts w:eastAsia="等线"/>
              </w:rPr>
              <w:t>2021222647531</w:t>
            </w:r>
          </w:p>
        </w:tc>
        <w:tc>
          <w:tcPr>
            <w:tcW w:w="1311" w:type="dxa"/>
            <w:tcMar>
              <w:top w:w="0" w:type="dxa"/>
              <w:left w:w="108" w:type="dxa"/>
              <w:bottom w:w="0" w:type="dxa"/>
              <w:right w:w="108" w:type="dxa"/>
            </w:tcMar>
            <w:vAlign w:val="center"/>
          </w:tcPr>
          <w:p w14:paraId="35D0B8F9" w14:textId="77777777" w:rsidR="004B0883" w:rsidRDefault="004B0883">
            <w:pPr>
              <w:widowControl w:val="0"/>
              <w:jc w:val="center"/>
              <w:rPr>
                <w:color w:val="000000"/>
              </w:rPr>
            </w:pPr>
            <w:r>
              <w:rPr>
                <w:rFonts w:eastAsia="等线"/>
              </w:rPr>
              <w:t>2021-09-17</w:t>
            </w:r>
          </w:p>
        </w:tc>
        <w:tc>
          <w:tcPr>
            <w:tcW w:w="1077" w:type="dxa"/>
            <w:tcMar>
              <w:top w:w="0" w:type="dxa"/>
              <w:left w:w="108" w:type="dxa"/>
              <w:bottom w:w="0" w:type="dxa"/>
              <w:right w:w="108" w:type="dxa"/>
            </w:tcMar>
            <w:vAlign w:val="center"/>
          </w:tcPr>
          <w:p w14:paraId="2354EED1" w14:textId="77777777" w:rsidR="004B0883" w:rsidRDefault="004B0883">
            <w:pPr>
              <w:widowControl w:val="0"/>
              <w:jc w:val="center"/>
              <w:rPr>
                <w:color w:val="000000"/>
              </w:rPr>
            </w:pPr>
            <w:r>
              <w:rPr>
                <w:rFonts w:ascii="宋体" w:hAnsi="宋体" w:hint="eastAsia"/>
              </w:rPr>
              <w:t>发行人、</w:t>
            </w:r>
            <w:r>
              <w:rPr>
                <w:rFonts w:ascii="宋体" w:hAnsi="宋体"/>
              </w:rPr>
              <w:t>莱州伟隆</w:t>
            </w:r>
            <w:r>
              <w:rPr>
                <w:rFonts w:ascii="宋体" w:hAnsi="宋体" w:hint="eastAsia"/>
              </w:rPr>
              <w:t>、</w:t>
            </w:r>
            <w:r>
              <w:rPr>
                <w:rFonts w:ascii="宋体" w:hAnsi="宋体"/>
              </w:rPr>
              <w:t>伟隆</w:t>
            </w:r>
            <w:r>
              <w:rPr>
                <w:rFonts w:ascii="宋体" w:hAnsi="宋体" w:hint="eastAsia"/>
              </w:rPr>
              <w:t>流体</w:t>
            </w:r>
          </w:p>
        </w:tc>
        <w:tc>
          <w:tcPr>
            <w:tcW w:w="1224" w:type="dxa"/>
            <w:tcMar>
              <w:top w:w="0" w:type="dxa"/>
              <w:left w:w="108" w:type="dxa"/>
              <w:bottom w:w="0" w:type="dxa"/>
              <w:right w:w="108" w:type="dxa"/>
            </w:tcMar>
            <w:vAlign w:val="center"/>
          </w:tcPr>
          <w:p w14:paraId="0C5A90E9" w14:textId="77777777" w:rsidR="004B0883" w:rsidRDefault="004B0883">
            <w:pPr>
              <w:widowControl w:val="0"/>
              <w:jc w:val="center"/>
              <w:rPr>
                <w:color w:val="000000"/>
              </w:rPr>
            </w:pPr>
            <w:r>
              <w:rPr>
                <w:rFonts w:ascii="宋体" w:hAnsi="宋体" w:hint="eastAsia"/>
              </w:rPr>
              <w:t>原始取得</w:t>
            </w:r>
          </w:p>
        </w:tc>
      </w:tr>
      <w:tr w:rsidR="004B0883" w14:paraId="538B5353" w14:textId="77777777">
        <w:trPr>
          <w:trHeight w:val="397"/>
          <w:jc w:val="center"/>
        </w:trPr>
        <w:tc>
          <w:tcPr>
            <w:tcW w:w="348" w:type="pct"/>
            <w:tcMar>
              <w:top w:w="0" w:type="dxa"/>
              <w:left w:w="108" w:type="dxa"/>
              <w:bottom w:w="0" w:type="dxa"/>
              <w:right w:w="108" w:type="dxa"/>
            </w:tcMar>
            <w:vAlign w:val="center"/>
          </w:tcPr>
          <w:p w14:paraId="0BC4325E" w14:textId="77777777" w:rsidR="004B0883" w:rsidRDefault="004B0883">
            <w:pPr>
              <w:widowControl w:val="0"/>
              <w:adjustRightInd w:val="0"/>
              <w:snapToGrid w:val="0"/>
              <w:jc w:val="center"/>
              <w:rPr>
                <w:color w:val="000000"/>
              </w:rPr>
            </w:pPr>
            <w:r>
              <w:rPr>
                <w:color w:val="000000"/>
              </w:rPr>
              <w:t>25</w:t>
            </w:r>
          </w:p>
        </w:tc>
        <w:tc>
          <w:tcPr>
            <w:tcW w:w="2096" w:type="dxa"/>
            <w:tcMar>
              <w:top w:w="0" w:type="dxa"/>
              <w:left w:w="108" w:type="dxa"/>
              <w:bottom w:w="0" w:type="dxa"/>
              <w:right w:w="108" w:type="dxa"/>
            </w:tcMar>
            <w:vAlign w:val="center"/>
          </w:tcPr>
          <w:p w14:paraId="00CD06CF" w14:textId="77777777" w:rsidR="004B0883" w:rsidRDefault="004B0883">
            <w:pPr>
              <w:widowControl w:val="0"/>
              <w:jc w:val="center"/>
              <w:rPr>
                <w:color w:val="000000"/>
              </w:rPr>
            </w:pPr>
            <w:r>
              <w:rPr>
                <w:rFonts w:ascii="宋体" w:hAnsi="宋体"/>
              </w:rPr>
              <w:t>一种复合功能单向节流阀</w:t>
            </w:r>
          </w:p>
        </w:tc>
        <w:tc>
          <w:tcPr>
            <w:tcW w:w="1241" w:type="dxa"/>
            <w:tcMar>
              <w:top w:w="0" w:type="dxa"/>
              <w:left w:w="108" w:type="dxa"/>
              <w:bottom w:w="0" w:type="dxa"/>
              <w:right w:w="108" w:type="dxa"/>
            </w:tcMar>
            <w:vAlign w:val="center"/>
          </w:tcPr>
          <w:p w14:paraId="548AF1B0"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7166D982" w14:textId="77777777" w:rsidR="004B0883" w:rsidRDefault="004B0883">
            <w:pPr>
              <w:widowControl w:val="0"/>
              <w:jc w:val="center"/>
              <w:rPr>
                <w:color w:val="000000"/>
              </w:rPr>
            </w:pPr>
            <w:r>
              <w:rPr>
                <w:rFonts w:eastAsia="等线"/>
              </w:rPr>
              <w:t>2021219174424</w:t>
            </w:r>
          </w:p>
        </w:tc>
        <w:tc>
          <w:tcPr>
            <w:tcW w:w="1311" w:type="dxa"/>
            <w:tcMar>
              <w:top w:w="0" w:type="dxa"/>
              <w:left w:w="108" w:type="dxa"/>
              <w:bottom w:w="0" w:type="dxa"/>
              <w:right w:w="108" w:type="dxa"/>
            </w:tcMar>
            <w:vAlign w:val="center"/>
          </w:tcPr>
          <w:p w14:paraId="11B33D1A" w14:textId="77777777" w:rsidR="004B0883" w:rsidRDefault="004B0883">
            <w:pPr>
              <w:widowControl w:val="0"/>
              <w:jc w:val="center"/>
              <w:rPr>
                <w:color w:val="000000"/>
              </w:rPr>
            </w:pPr>
            <w:r>
              <w:rPr>
                <w:rFonts w:eastAsia="等线"/>
              </w:rPr>
              <w:t>2021-08-16</w:t>
            </w:r>
          </w:p>
        </w:tc>
        <w:tc>
          <w:tcPr>
            <w:tcW w:w="1077" w:type="dxa"/>
            <w:tcMar>
              <w:top w:w="0" w:type="dxa"/>
              <w:left w:w="108" w:type="dxa"/>
              <w:bottom w:w="0" w:type="dxa"/>
              <w:right w:w="108" w:type="dxa"/>
            </w:tcMar>
            <w:vAlign w:val="center"/>
          </w:tcPr>
          <w:p w14:paraId="243BBF13" w14:textId="77777777" w:rsidR="004B0883" w:rsidRDefault="004B0883">
            <w:pPr>
              <w:widowControl w:val="0"/>
              <w:jc w:val="center"/>
              <w:rPr>
                <w:color w:val="000000"/>
              </w:rPr>
            </w:pPr>
            <w:r>
              <w:rPr>
                <w:rFonts w:ascii="宋体" w:hAnsi="宋体" w:hint="eastAsia"/>
              </w:rPr>
              <w:t>发行人、</w:t>
            </w:r>
            <w:r>
              <w:rPr>
                <w:rFonts w:ascii="宋体" w:hAnsi="宋体"/>
              </w:rPr>
              <w:t>莱州伟隆</w:t>
            </w:r>
            <w:r>
              <w:rPr>
                <w:rFonts w:ascii="宋体" w:hAnsi="宋体" w:hint="eastAsia"/>
              </w:rPr>
              <w:t>、</w:t>
            </w:r>
            <w:r>
              <w:rPr>
                <w:rFonts w:ascii="宋体" w:hAnsi="宋体"/>
              </w:rPr>
              <w:t>伟隆</w:t>
            </w:r>
            <w:r>
              <w:rPr>
                <w:rFonts w:ascii="宋体" w:hAnsi="宋体" w:hint="eastAsia"/>
              </w:rPr>
              <w:t>流体</w:t>
            </w:r>
          </w:p>
        </w:tc>
        <w:tc>
          <w:tcPr>
            <w:tcW w:w="1224" w:type="dxa"/>
            <w:tcMar>
              <w:top w:w="0" w:type="dxa"/>
              <w:left w:w="108" w:type="dxa"/>
              <w:bottom w:w="0" w:type="dxa"/>
              <w:right w:w="108" w:type="dxa"/>
            </w:tcMar>
            <w:vAlign w:val="center"/>
          </w:tcPr>
          <w:p w14:paraId="231E1153" w14:textId="77777777" w:rsidR="004B0883" w:rsidRDefault="004B0883">
            <w:pPr>
              <w:widowControl w:val="0"/>
              <w:jc w:val="center"/>
              <w:rPr>
                <w:color w:val="000000"/>
              </w:rPr>
            </w:pPr>
            <w:r>
              <w:rPr>
                <w:rFonts w:ascii="宋体" w:hAnsi="宋体" w:hint="eastAsia"/>
              </w:rPr>
              <w:t>原始取得</w:t>
            </w:r>
          </w:p>
        </w:tc>
      </w:tr>
      <w:tr w:rsidR="004B0883" w14:paraId="78B9A266" w14:textId="77777777">
        <w:trPr>
          <w:trHeight w:val="397"/>
          <w:jc w:val="center"/>
        </w:trPr>
        <w:tc>
          <w:tcPr>
            <w:tcW w:w="348" w:type="pct"/>
            <w:tcMar>
              <w:top w:w="0" w:type="dxa"/>
              <w:left w:w="108" w:type="dxa"/>
              <w:bottom w:w="0" w:type="dxa"/>
              <w:right w:w="108" w:type="dxa"/>
            </w:tcMar>
            <w:vAlign w:val="center"/>
          </w:tcPr>
          <w:p w14:paraId="23087D82" w14:textId="77777777" w:rsidR="004B0883" w:rsidRDefault="004B0883">
            <w:pPr>
              <w:widowControl w:val="0"/>
              <w:adjustRightInd w:val="0"/>
              <w:snapToGrid w:val="0"/>
              <w:jc w:val="center"/>
              <w:rPr>
                <w:color w:val="000000"/>
              </w:rPr>
            </w:pPr>
            <w:r>
              <w:rPr>
                <w:color w:val="000000"/>
              </w:rPr>
              <w:t>26</w:t>
            </w:r>
          </w:p>
        </w:tc>
        <w:tc>
          <w:tcPr>
            <w:tcW w:w="2096" w:type="dxa"/>
            <w:tcMar>
              <w:top w:w="0" w:type="dxa"/>
              <w:left w:w="108" w:type="dxa"/>
              <w:bottom w:w="0" w:type="dxa"/>
              <w:right w:w="108" w:type="dxa"/>
            </w:tcMar>
            <w:vAlign w:val="center"/>
          </w:tcPr>
          <w:p w14:paraId="17C39C5A" w14:textId="77777777" w:rsidR="004B0883" w:rsidRDefault="004B0883">
            <w:pPr>
              <w:widowControl w:val="0"/>
              <w:jc w:val="center"/>
              <w:rPr>
                <w:color w:val="000000"/>
              </w:rPr>
            </w:pPr>
            <w:r>
              <w:rPr>
                <w:rFonts w:ascii="宋体" w:hAnsi="宋体"/>
              </w:rPr>
              <w:t>压板插槽式快装蝶阀</w:t>
            </w:r>
          </w:p>
        </w:tc>
        <w:tc>
          <w:tcPr>
            <w:tcW w:w="1241" w:type="dxa"/>
            <w:tcMar>
              <w:top w:w="0" w:type="dxa"/>
              <w:left w:w="108" w:type="dxa"/>
              <w:bottom w:w="0" w:type="dxa"/>
              <w:right w:w="108" w:type="dxa"/>
            </w:tcMar>
            <w:vAlign w:val="center"/>
          </w:tcPr>
          <w:p w14:paraId="4651DE0B"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4DC0326C" w14:textId="77777777" w:rsidR="004B0883" w:rsidRDefault="004B0883">
            <w:pPr>
              <w:widowControl w:val="0"/>
              <w:jc w:val="center"/>
              <w:rPr>
                <w:color w:val="000000"/>
              </w:rPr>
            </w:pPr>
            <w:r>
              <w:rPr>
                <w:rFonts w:eastAsia="等线"/>
              </w:rPr>
              <w:t>2021218513572</w:t>
            </w:r>
          </w:p>
        </w:tc>
        <w:tc>
          <w:tcPr>
            <w:tcW w:w="1311" w:type="dxa"/>
            <w:tcMar>
              <w:top w:w="0" w:type="dxa"/>
              <w:left w:w="108" w:type="dxa"/>
              <w:bottom w:w="0" w:type="dxa"/>
              <w:right w:w="108" w:type="dxa"/>
            </w:tcMar>
            <w:vAlign w:val="center"/>
          </w:tcPr>
          <w:p w14:paraId="615B3EB0" w14:textId="77777777" w:rsidR="004B0883" w:rsidRDefault="004B0883">
            <w:pPr>
              <w:widowControl w:val="0"/>
              <w:jc w:val="center"/>
              <w:rPr>
                <w:color w:val="000000"/>
              </w:rPr>
            </w:pPr>
            <w:r>
              <w:rPr>
                <w:rFonts w:eastAsia="等线"/>
              </w:rPr>
              <w:t>2021-08-09</w:t>
            </w:r>
          </w:p>
        </w:tc>
        <w:tc>
          <w:tcPr>
            <w:tcW w:w="1077" w:type="dxa"/>
            <w:tcMar>
              <w:top w:w="0" w:type="dxa"/>
              <w:left w:w="108" w:type="dxa"/>
              <w:bottom w:w="0" w:type="dxa"/>
              <w:right w:w="108" w:type="dxa"/>
            </w:tcMar>
            <w:vAlign w:val="center"/>
          </w:tcPr>
          <w:p w14:paraId="0480BD88" w14:textId="77777777" w:rsidR="004B0883" w:rsidRDefault="004B0883">
            <w:pPr>
              <w:widowControl w:val="0"/>
              <w:jc w:val="center"/>
              <w:rPr>
                <w:color w:val="000000"/>
              </w:rPr>
            </w:pPr>
            <w:r>
              <w:rPr>
                <w:rFonts w:ascii="宋体" w:hAnsi="宋体" w:hint="eastAsia"/>
              </w:rPr>
              <w:t>发行人、</w:t>
            </w:r>
            <w:r>
              <w:rPr>
                <w:rFonts w:ascii="宋体" w:hAnsi="宋体"/>
              </w:rPr>
              <w:t>莱州伟隆</w:t>
            </w:r>
            <w:r>
              <w:rPr>
                <w:rFonts w:ascii="宋体" w:hAnsi="宋体" w:hint="eastAsia"/>
              </w:rPr>
              <w:t>、</w:t>
            </w:r>
            <w:r>
              <w:rPr>
                <w:rFonts w:ascii="宋体" w:hAnsi="宋体"/>
              </w:rPr>
              <w:t>伟隆</w:t>
            </w:r>
            <w:r>
              <w:rPr>
                <w:rFonts w:ascii="宋体" w:hAnsi="宋体" w:hint="eastAsia"/>
              </w:rPr>
              <w:t>流体</w:t>
            </w:r>
          </w:p>
        </w:tc>
        <w:tc>
          <w:tcPr>
            <w:tcW w:w="1224" w:type="dxa"/>
            <w:tcMar>
              <w:top w:w="0" w:type="dxa"/>
              <w:left w:w="108" w:type="dxa"/>
              <w:bottom w:w="0" w:type="dxa"/>
              <w:right w:w="108" w:type="dxa"/>
            </w:tcMar>
            <w:vAlign w:val="center"/>
          </w:tcPr>
          <w:p w14:paraId="59F3CAD8" w14:textId="77777777" w:rsidR="004B0883" w:rsidRDefault="004B0883">
            <w:pPr>
              <w:widowControl w:val="0"/>
              <w:jc w:val="center"/>
              <w:rPr>
                <w:color w:val="000000"/>
              </w:rPr>
            </w:pPr>
            <w:r>
              <w:rPr>
                <w:rFonts w:ascii="宋体" w:hAnsi="宋体" w:hint="eastAsia"/>
              </w:rPr>
              <w:t>原始取得</w:t>
            </w:r>
          </w:p>
        </w:tc>
      </w:tr>
      <w:tr w:rsidR="004B0883" w14:paraId="6C153AC8" w14:textId="77777777">
        <w:trPr>
          <w:trHeight w:val="397"/>
          <w:jc w:val="center"/>
        </w:trPr>
        <w:tc>
          <w:tcPr>
            <w:tcW w:w="348" w:type="pct"/>
            <w:tcMar>
              <w:top w:w="0" w:type="dxa"/>
              <w:left w:w="108" w:type="dxa"/>
              <w:bottom w:w="0" w:type="dxa"/>
              <w:right w:w="108" w:type="dxa"/>
            </w:tcMar>
            <w:vAlign w:val="center"/>
          </w:tcPr>
          <w:p w14:paraId="04980C68" w14:textId="77777777" w:rsidR="004B0883" w:rsidRDefault="004B0883">
            <w:pPr>
              <w:widowControl w:val="0"/>
              <w:adjustRightInd w:val="0"/>
              <w:snapToGrid w:val="0"/>
              <w:jc w:val="center"/>
              <w:rPr>
                <w:color w:val="000000"/>
              </w:rPr>
            </w:pPr>
            <w:r>
              <w:rPr>
                <w:color w:val="000000"/>
              </w:rPr>
              <w:t>27</w:t>
            </w:r>
          </w:p>
        </w:tc>
        <w:tc>
          <w:tcPr>
            <w:tcW w:w="2096" w:type="dxa"/>
            <w:tcMar>
              <w:top w:w="0" w:type="dxa"/>
              <w:left w:w="108" w:type="dxa"/>
              <w:bottom w:w="0" w:type="dxa"/>
              <w:right w:w="108" w:type="dxa"/>
            </w:tcMar>
            <w:vAlign w:val="center"/>
          </w:tcPr>
          <w:p w14:paraId="5820B43E" w14:textId="77777777" w:rsidR="004B0883" w:rsidRDefault="004B0883">
            <w:pPr>
              <w:widowControl w:val="0"/>
              <w:jc w:val="center"/>
              <w:rPr>
                <w:color w:val="000000"/>
              </w:rPr>
            </w:pPr>
            <w:r>
              <w:rPr>
                <w:rFonts w:ascii="宋体" w:hAnsi="宋体"/>
              </w:rPr>
              <w:t>一种消防用防爆压力开关</w:t>
            </w:r>
          </w:p>
        </w:tc>
        <w:tc>
          <w:tcPr>
            <w:tcW w:w="1241" w:type="dxa"/>
            <w:tcMar>
              <w:top w:w="0" w:type="dxa"/>
              <w:left w:w="108" w:type="dxa"/>
              <w:bottom w:w="0" w:type="dxa"/>
              <w:right w:w="108" w:type="dxa"/>
            </w:tcMar>
            <w:vAlign w:val="center"/>
          </w:tcPr>
          <w:p w14:paraId="79AF8CC8"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5EB8C1D3" w14:textId="77777777" w:rsidR="004B0883" w:rsidRDefault="004B0883">
            <w:pPr>
              <w:widowControl w:val="0"/>
              <w:jc w:val="center"/>
              <w:rPr>
                <w:color w:val="000000"/>
              </w:rPr>
            </w:pPr>
            <w:r>
              <w:rPr>
                <w:rFonts w:eastAsia="等线"/>
              </w:rPr>
              <w:t>2021215400816</w:t>
            </w:r>
          </w:p>
        </w:tc>
        <w:tc>
          <w:tcPr>
            <w:tcW w:w="1311" w:type="dxa"/>
            <w:tcMar>
              <w:top w:w="0" w:type="dxa"/>
              <w:left w:w="108" w:type="dxa"/>
              <w:bottom w:w="0" w:type="dxa"/>
              <w:right w:w="108" w:type="dxa"/>
            </w:tcMar>
            <w:vAlign w:val="center"/>
          </w:tcPr>
          <w:p w14:paraId="70F0AE84" w14:textId="77777777" w:rsidR="004B0883" w:rsidRDefault="004B0883">
            <w:pPr>
              <w:widowControl w:val="0"/>
              <w:jc w:val="center"/>
              <w:rPr>
                <w:color w:val="000000"/>
              </w:rPr>
            </w:pPr>
            <w:r>
              <w:rPr>
                <w:rFonts w:eastAsia="等线"/>
              </w:rPr>
              <w:t>2021-07-07</w:t>
            </w:r>
          </w:p>
        </w:tc>
        <w:tc>
          <w:tcPr>
            <w:tcW w:w="1077" w:type="dxa"/>
            <w:tcMar>
              <w:top w:w="0" w:type="dxa"/>
              <w:left w:w="108" w:type="dxa"/>
              <w:bottom w:w="0" w:type="dxa"/>
              <w:right w:w="108" w:type="dxa"/>
            </w:tcMar>
            <w:vAlign w:val="center"/>
          </w:tcPr>
          <w:p w14:paraId="5C63E940" w14:textId="77777777" w:rsidR="004B0883" w:rsidRDefault="004B0883">
            <w:pPr>
              <w:widowControl w:val="0"/>
              <w:jc w:val="center"/>
              <w:rPr>
                <w:color w:val="000000"/>
              </w:rPr>
            </w:pPr>
            <w:r>
              <w:rPr>
                <w:rFonts w:ascii="宋体" w:hAnsi="宋体" w:hint="eastAsia"/>
              </w:rPr>
              <w:t>发行人、</w:t>
            </w:r>
            <w:r>
              <w:rPr>
                <w:rFonts w:ascii="宋体" w:hAnsi="宋体"/>
              </w:rPr>
              <w:t>莱州伟隆</w:t>
            </w:r>
            <w:r>
              <w:rPr>
                <w:rFonts w:ascii="宋体" w:hAnsi="宋体" w:hint="eastAsia"/>
              </w:rPr>
              <w:t>、</w:t>
            </w:r>
            <w:r>
              <w:rPr>
                <w:rFonts w:ascii="宋体" w:hAnsi="宋体"/>
              </w:rPr>
              <w:t>伟隆</w:t>
            </w:r>
            <w:r>
              <w:rPr>
                <w:rFonts w:ascii="宋体" w:hAnsi="宋体" w:hint="eastAsia"/>
              </w:rPr>
              <w:t>流体</w:t>
            </w:r>
          </w:p>
        </w:tc>
        <w:tc>
          <w:tcPr>
            <w:tcW w:w="1224" w:type="dxa"/>
            <w:tcMar>
              <w:top w:w="0" w:type="dxa"/>
              <w:left w:w="108" w:type="dxa"/>
              <w:bottom w:w="0" w:type="dxa"/>
              <w:right w:w="108" w:type="dxa"/>
            </w:tcMar>
            <w:vAlign w:val="center"/>
          </w:tcPr>
          <w:p w14:paraId="7FF81A48" w14:textId="77777777" w:rsidR="004B0883" w:rsidRDefault="004B0883">
            <w:pPr>
              <w:widowControl w:val="0"/>
              <w:jc w:val="center"/>
              <w:rPr>
                <w:color w:val="000000"/>
              </w:rPr>
            </w:pPr>
            <w:r>
              <w:rPr>
                <w:rFonts w:ascii="宋体" w:hAnsi="宋体" w:hint="eastAsia"/>
              </w:rPr>
              <w:t>原始取得</w:t>
            </w:r>
          </w:p>
        </w:tc>
      </w:tr>
      <w:tr w:rsidR="004B0883" w14:paraId="03E49A89" w14:textId="77777777">
        <w:trPr>
          <w:trHeight w:val="397"/>
          <w:jc w:val="center"/>
        </w:trPr>
        <w:tc>
          <w:tcPr>
            <w:tcW w:w="348" w:type="pct"/>
            <w:tcMar>
              <w:top w:w="0" w:type="dxa"/>
              <w:left w:w="108" w:type="dxa"/>
              <w:bottom w:w="0" w:type="dxa"/>
              <w:right w:w="108" w:type="dxa"/>
            </w:tcMar>
            <w:vAlign w:val="center"/>
          </w:tcPr>
          <w:p w14:paraId="057D09F7" w14:textId="77777777" w:rsidR="004B0883" w:rsidRDefault="004B0883">
            <w:pPr>
              <w:widowControl w:val="0"/>
              <w:adjustRightInd w:val="0"/>
              <w:snapToGrid w:val="0"/>
              <w:jc w:val="center"/>
              <w:rPr>
                <w:color w:val="000000"/>
              </w:rPr>
            </w:pPr>
            <w:r>
              <w:rPr>
                <w:color w:val="000000"/>
              </w:rPr>
              <w:t>28</w:t>
            </w:r>
          </w:p>
        </w:tc>
        <w:tc>
          <w:tcPr>
            <w:tcW w:w="2096" w:type="dxa"/>
            <w:tcMar>
              <w:top w:w="0" w:type="dxa"/>
              <w:left w:w="108" w:type="dxa"/>
              <w:bottom w:w="0" w:type="dxa"/>
              <w:right w:w="108" w:type="dxa"/>
            </w:tcMar>
            <w:vAlign w:val="center"/>
          </w:tcPr>
          <w:p w14:paraId="28F3ED39" w14:textId="77777777" w:rsidR="004B0883" w:rsidRDefault="004B0883">
            <w:pPr>
              <w:widowControl w:val="0"/>
              <w:jc w:val="center"/>
              <w:rPr>
                <w:color w:val="000000"/>
              </w:rPr>
            </w:pPr>
            <w:r>
              <w:rPr>
                <w:rFonts w:ascii="宋体" w:hAnsi="宋体"/>
              </w:rPr>
              <w:t>一种旋启止回阀摇臂的加工装置</w:t>
            </w:r>
          </w:p>
        </w:tc>
        <w:tc>
          <w:tcPr>
            <w:tcW w:w="1241" w:type="dxa"/>
            <w:tcMar>
              <w:top w:w="0" w:type="dxa"/>
              <w:left w:w="108" w:type="dxa"/>
              <w:bottom w:w="0" w:type="dxa"/>
              <w:right w:w="108" w:type="dxa"/>
            </w:tcMar>
            <w:vAlign w:val="center"/>
          </w:tcPr>
          <w:p w14:paraId="30E068CB"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2C20F95B" w14:textId="77777777" w:rsidR="004B0883" w:rsidRDefault="004B0883">
            <w:pPr>
              <w:widowControl w:val="0"/>
              <w:jc w:val="center"/>
              <w:rPr>
                <w:color w:val="000000"/>
              </w:rPr>
            </w:pPr>
            <w:r>
              <w:rPr>
                <w:rFonts w:eastAsia="等线"/>
              </w:rPr>
              <w:t>2020230647755</w:t>
            </w:r>
          </w:p>
        </w:tc>
        <w:tc>
          <w:tcPr>
            <w:tcW w:w="1311" w:type="dxa"/>
            <w:tcMar>
              <w:top w:w="0" w:type="dxa"/>
              <w:left w:w="108" w:type="dxa"/>
              <w:bottom w:w="0" w:type="dxa"/>
              <w:right w:w="108" w:type="dxa"/>
            </w:tcMar>
            <w:vAlign w:val="center"/>
          </w:tcPr>
          <w:p w14:paraId="080AE816" w14:textId="77777777" w:rsidR="004B0883" w:rsidRDefault="004B0883">
            <w:pPr>
              <w:widowControl w:val="0"/>
              <w:jc w:val="center"/>
              <w:rPr>
                <w:color w:val="000000"/>
              </w:rPr>
            </w:pPr>
            <w:r>
              <w:rPr>
                <w:rFonts w:eastAsia="等线"/>
              </w:rPr>
              <w:t>2020-12-17</w:t>
            </w:r>
          </w:p>
        </w:tc>
        <w:tc>
          <w:tcPr>
            <w:tcW w:w="1077" w:type="dxa"/>
            <w:tcMar>
              <w:top w:w="0" w:type="dxa"/>
              <w:left w:w="108" w:type="dxa"/>
              <w:bottom w:w="0" w:type="dxa"/>
              <w:right w:w="108" w:type="dxa"/>
            </w:tcMar>
            <w:vAlign w:val="center"/>
          </w:tcPr>
          <w:p w14:paraId="2576472C" w14:textId="77777777" w:rsidR="004B0883" w:rsidRDefault="004B0883">
            <w:pPr>
              <w:widowControl w:val="0"/>
              <w:jc w:val="center"/>
              <w:rPr>
                <w:color w:val="000000"/>
              </w:rPr>
            </w:pPr>
            <w:r>
              <w:rPr>
                <w:rFonts w:ascii="宋体" w:hAnsi="宋体" w:hint="eastAsia"/>
              </w:rPr>
              <w:t>发行人、</w:t>
            </w:r>
            <w:r>
              <w:rPr>
                <w:rFonts w:ascii="宋体" w:hAnsi="宋体"/>
              </w:rPr>
              <w:t>莱州伟隆</w:t>
            </w:r>
            <w:r>
              <w:rPr>
                <w:rFonts w:ascii="宋体" w:hAnsi="宋体" w:hint="eastAsia"/>
              </w:rPr>
              <w:t>、</w:t>
            </w:r>
            <w:r>
              <w:rPr>
                <w:rFonts w:ascii="宋体" w:hAnsi="宋体"/>
              </w:rPr>
              <w:t>伟隆</w:t>
            </w:r>
            <w:r>
              <w:rPr>
                <w:rFonts w:ascii="宋体" w:hAnsi="宋体" w:hint="eastAsia"/>
              </w:rPr>
              <w:t>流体</w:t>
            </w:r>
          </w:p>
        </w:tc>
        <w:tc>
          <w:tcPr>
            <w:tcW w:w="1224" w:type="dxa"/>
            <w:tcMar>
              <w:top w:w="0" w:type="dxa"/>
              <w:left w:w="108" w:type="dxa"/>
              <w:bottom w:w="0" w:type="dxa"/>
              <w:right w:w="108" w:type="dxa"/>
            </w:tcMar>
            <w:vAlign w:val="center"/>
          </w:tcPr>
          <w:p w14:paraId="459518C8" w14:textId="77777777" w:rsidR="004B0883" w:rsidRDefault="004B0883">
            <w:pPr>
              <w:widowControl w:val="0"/>
              <w:jc w:val="center"/>
              <w:rPr>
                <w:color w:val="000000"/>
              </w:rPr>
            </w:pPr>
            <w:r>
              <w:rPr>
                <w:rFonts w:ascii="宋体" w:hAnsi="宋体" w:hint="eastAsia"/>
              </w:rPr>
              <w:t>原始取得</w:t>
            </w:r>
          </w:p>
        </w:tc>
      </w:tr>
      <w:tr w:rsidR="004B0883" w14:paraId="62D661EF" w14:textId="77777777">
        <w:trPr>
          <w:trHeight w:val="397"/>
          <w:jc w:val="center"/>
        </w:trPr>
        <w:tc>
          <w:tcPr>
            <w:tcW w:w="348" w:type="pct"/>
            <w:tcMar>
              <w:top w:w="0" w:type="dxa"/>
              <w:left w:w="108" w:type="dxa"/>
              <w:bottom w:w="0" w:type="dxa"/>
              <w:right w:w="108" w:type="dxa"/>
            </w:tcMar>
            <w:vAlign w:val="center"/>
          </w:tcPr>
          <w:p w14:paraId="74092021" w14:textId="77777777" w:rsidR="004B0883" w:rsidRDefault="004B0883">
            <w:pPr>
              <w:widowControl w:val="0"/>
              <w:adjustRightInd w:val="0"/>
              <w:snapToGrid w:val="0"/>
              <w:jc w:val="center"/>
              <w:rPr>
                <w:color w:val="000000"/>
              </w:rPr>
            </w:pPr>
            <w:r>
              <w:rPr>
                <w:color w:val="000000"/>
              </w:rPr>
              <w:t>29</w:t>
            </w:r>
          </w:p>
        </w:tc>
        <w:tc>
          <w:tcPr>
            <w:tcW w:w="2096" w:type="dxa"/>
            <w:tcMar>
              <w:top w:w="0" w:type="dxa"/>
              <w:left w:w="108" w:type="dxa"/>
              <w:bottom w:w="0" w:type="dxa"/>
              <w:right w:w="108" w:type="dxa"/>
            </w:tcMar>
            <w:vAlign w:val="center"/>
          </w:tcPr>
          <w:p w14:paraId="1D229231" w14:textId="77777777" w:rsidR="004B0883" w:rsidRDefault="004B0883">
            <w:pPr>
              <w:widowControl w:val="0"/>
              <w:jc w:val="center"/>
              <w:rPr>
                <w:color w:val="000000"/>
              </w:rPr>
            </w:pPr>
            <w:r>
              <w:rPr>
                <w:rFonts w:ascii="宋体" w:hAnsi="宋体"/>
              </w:rPr>
              <w:t>一种可输出开关信号的齿轮驱动装置</w:t>
            </w:r>
          </w:p>
        </w:tc>
        <w:tc>
          <w:tcPr>
            <w:tcW w:w="1241" w:type="dxa"/>
            <w:tcMar>
              <w:top w:w="0" w:type="dxa"/>
              <w:left w:w="108" w:type="dxa"/>
              <w:bottom w:w="0" w:type="dxa"/>
              <w:right w:w="108" w:type="dxa"/>
            </w:tcMar>
            <w:vAlign w:val="center"/>
          </w:tcPr>
          <w:p w14:paraId="524F338C"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43796238" w14:textId="77777777" w:rsidR="004B0883" w:rsidRDefault="004B0883">
            <w:pPr>
              <w:widowControl w:val="0"/>
              <w:jc w:val="center"/>
              <w:rPr>
                <w:color w:val="000000"/>
              </w:rPr>
            </w:pPr>
            <w:r>
              <w:rPr>
                <w:rFonts w:eastAsia="等线"/>
              </w:rPr>
              <w:t>2020230072118</w:t>
            </w:r>
          </w:p>
        </w:tc>
        <w:tc>
          <w:tcPr>
            <w:tcW w:w="1311" w:type="dxa"/>
            <w:tcMar>
              <w:top w:w="0" w:type="dxa"/>
              <w:left w:w="108" w:type="dxa"/>
              <w:bottom w:w="0" w:type="dxa"/>
              <w:right w:w="108" w:type="dxa"/>
            </w:tcMar>
            <w:vAlign w:val="center"/>
          </w:tcPr>
          <w:p w14:paraId="22B9C873" w14:textId="77777777" w:rsidR="004B0883" w:rsidRDefault="004B0883">
            <w:pPr>
              <w:widowControl w:val="0"/>
              <w:jc w:val="center"/>
              <w:rPr>
                <w:color w:val="000000"/>
              </w:rPr>
            </w:pPr>
            <w:r>
              <w:rPr>
                <w:rFonts w:eastAsia="等线"/>
              </w:rPr>
              <w:t>2020-12-15</w:t>
            </w:r>
          </w:p>
        </w:tc>
        <w:tc>
          <w:tcPr>
            <w:tcW w:w="1077" w:type="dxa"/>
            <w:tcMar>
              <w:top w:w="0" w:type="dxa"/>
              <w:left w:w="108" w:type="dxa"/>
              <w:bottom w:w="0" w:type="dxa"/>
              <w:right w:w="108" w:type="dxa"/>
            </w:tcMar>
            <w:vAlign w:val="center"/>
          </w:tcPr>
          <w:p w14:paraId="4C4BAFE7" w14:textId="77777777" w:rsidR="004B0883" w:rsidRDefault="004B0883">
            <w:pPr>
              <w:widowControl w:val="0"/>
              <w:jc w:val="center"/>
              <w:rPr>
                <w:color w:val="000000"/>
              </w:rPr>
            </w:pPr>
            <w:r>
              <w:rPr>
                <w:rFonts w:ascii="宋体" w:hAnsi="宋体" w:hint="eastAsia"/>
              </w:rPr>
              <w:t>发行人、</w:t>
            </w:r>
            <w:r>
              <w:rPr>
                <w:rFonts w:ascii="宋体" w:hAnsi="宋体"/>
              </w:rPr>
              <w:t>莱州伟隆</w:t>
            </w:r>
            <w:r>
              <w:rPr>
                <w:rFonts w:ascii="宋体" w:hAnsi="宋体" w:hint="eastAsia"/>
              </w:rPr>
              <w:t>、</w:t>
            </w:r>
            <w:r>
              <w:rPr>
                <w:rFonts w:ascii="宋体" w:hAnsi="宋体"/>
              </w:rPr>
              <w:t>伟隆</w:t>
            </w:r>
            <w:r>
              <w:rPr>
                <w:rFonts w:ascii="宋体" w:hAnsi="宋体" w:hint="eastAsia"/>
              </w:rPr>
              <w:t>流体</w:t>
            </w:r>
          </w:p>
        </w:tc>
        <w:tc>
          <w:tcPr>
            <w:tcW w:w="1224" w:type="dxa"/>
            <w:tcMar>
              <w:top w:w="0" w:type="dxa"/>
              <w:left w:w="108" w:type="dxa"/>
              <w:bottom w:w="0" w:type="dxa"/>
              <w:right w:w="108" w:type="dxa"/>
            </w:tcMar>
            <w:vAlign w:val="center"/>
          </w:tcPr>
          <w:p w14:paraId="0EA81FBE" w14:textId="77777777" w:rsidR="004B0883" w:rsidRDefault="004B0883">
            <w:pPr>
              <w:widowControl w:val="0"/>
              <w:jc w:val="center"/>
              <w:rPr>
                <w:color w:val="000000"/>
              </w:rPr>
            </w:pPr>
            <w:r>
              <w:rPr>
                <w:rFonts w:ascii="宋体" w:hAnsi="宋体" w:hint="eastAsia"/>
              </w:rPr>
              <w:t>原始取得</w:t>
            </w:r>
          </w:p>
        </w:tc>
      </w:tr>
      <w:tr w:rsidR="004B0883" w14:paraId="157021C3" w14:textId="77777777">
        <w:trPr>
          <w:trHeight w:val="397"/>
          <w:jc w:val="center"/>
        </w:trPr>
        <w:tc>
          <w:tcPr>
            <w:tcW w:w="348" w:type="pct"/>
            <w:tcMar>
              <w:top w:w="0" w:type="dxa"/>
              <w:left w:w="108" w:type="dxa"/>
              <w:bottom w:w="0" w:type="dxa"/>
              <w:right w:w="108" w:type="dxa"/>
            </w:tcMar>
            <w:vAlign w:val="center"/>
          </w:tcPr>
          <w:p w14:paraId="55780A94" w14:textId="77777777" w:rsidR="004B0883" w:rsidRDefault="004B0883">
            <w:pPr>
              <w:widowControl w:val="0"/>
              <w:adjustRightInd w:val="0"/>
              <w:snapToGrid w:val="0"/>
              <w:jc w:val="center"/>
              <w:rPr>
                <w:color w:val="000000"/>
              </w:rPr>
            </w:pPr>
            <w:r>
              <w:rPr>
                <w:color w:val="000000"/>
              </w:rPr>
              <w:t>30</w:t>
            </w:r>
          </w:p>
        </w:tc>
        <w:tc>
          <w:tcPr>
            <w:tcW w:w="2096" w:type="dxa"/>
            <w:tcMar>
              <w:top w:w="0" w:type="dxa"/>
              <w:left w:w="108" w:type="dxa"/>
              <w:bottom w:w="0" w:type="dxa"/>
              <w:right w:w="108" w:type="dxa"/>
            </w:tcMar>
            <w:vAlign w:val="center"/>
          </w:tcPr>
          <w:p w14:paraId="793ABA29" w14:textId="77777777" w:rsidR="004B0883" w:rsidRDefault="004B0883">
            <w:pPr>
              <w:widowControl w:val="0"/>
              <w:jc w:val="center"/>
              <w:rPr>
                <w:color w:val="000000"/>
              </w:rPr>
            </w:pPr>
            <w:r>
              <w:rPr>
                <w:rFonts w:ascii="宋体" w:hAnsi="宋体"/>
              </w:rPr>
              <w:t>一种延时时间可调节的水流指示装置</w:t>
            </w:r>
          </w:p>
        </w:tc>
        <w:tc>
          <w:tcPr>
            <w:tcW w:w="1241" w:type="dxa"/>
            <w:tcMar>
              <w:top w:w="0" w:type="dxa"/>
              <w:left w:w="108" w:type="dxa"/>
              <w:bottom w:w="0" w:type="dxa"/>
              <w:right w:w="108" w:type="dxa"/>
            </w:tcMar>
            <w:vAlign w:val="center"/>
          </w:tcPr>
          <w:p w14:paraId="5D04B466"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1889907D" w14:textId="77777777" w:rsidR="004B0883" w:rsidRDefault="004B0883">
            <w:pPr>
              <w:widowControl w:val="0"/>
              <w:jc w:val="center"/>
              <w:rPr>
                <w:color w:val="000000"/>
              </w:rPr>
            </w:pPr>
            <w:r>
              <w:rPr>
                <w:rFonts w:eastAsia="等线"/>
              </w:rPr>
              <w:t>2020230234080</w:t>
            </w:r>
          </w:p>
        </w:tc>
        <w:tc>
          <w:tcPr>
            <w:tcW w:w="1311" w:type="dxa"/>
            <w:tcMar>
              <w:top w:w="0" w:type="dxa"/>
              <w:left w:w="108" w:type="dxa"/>
              <w:bottom w:w="0" w:type="dxa"/>
              <w:right w:w="108" w:type="dxa"/>
            </w:tcMar>
            <w:vAlign w:val="center"/>
          </w:tcPr>
          <w:p w14:paraId="7078C04F" w14:textId="77777777" w:rsidR="004B0883" w:rsidRDefault="004B0883">
            <w:pPr>
              <w:widowControl w:val="0"/>
              <w:jc w:val="center"/>
              <w:rPr>
                <w:color w:val="000000"/>
              </w:rPr>
            </w:pPr>
            <w:r>
              <w:rPr>
                <w:rFonts w:eastAsia="等线"/>
              </w:rPr>
              <w:t>2020-12-15</w:t>
            </w:r>
          </w:p>
        </w:tc>
        <w:tc>
          <w:tcPr>
            <w:tcW w:w="1077" w:type="dxa"/>
            <w:tcMar>
              <w:top w:w="0" w:type="dxa"/>
              <w:left w:w="108" w:type="dxa"/>
              <w:bottom w:w="0" w:type="dxa"/>
              <w:right w:w="108" w:type="dxa"/>
            </w:tcMar>
            <w:vAlign w:val="center"/>
          </w:tcPr>
          <w:p w14:paraId="637679AD" w14:textId="77777777" w:rsidR="004B0883" w:rsidRDefault="004B0883">
            <w:pPr>
              <w:widowControl w:val="0"/>
              <w:jc w:val="center"/>
              <w:rPr>
                <w:color w:val="000000"/>
              </w:rPr>
            </w:pPr>
            <w:r>
              <w:rPr>
                <w:rFonts w:ascii="宋体" w:hAnsi="宋体" w:hint="eastAsia"/>
              </w:rPr>
              <w:t>发行人、</w:t>
            </w:r>
            <w:r>
              <w:rPr>
                <w:rFonts w:ascii="宋体" w:hAnsi="宋体"/>
              </w:rPr>
              <w:t>莱州伟隆</w:t>
            </w:r>
            <w:r>
              <w:rPr>
                <w:rFonts w:ascii="宋体" w:hAnsi="宋体" w:hint="eastAsia"/>
              </w:rPr>
              <w:t>、</w:t>
            </w:r>
            <w:r>
              <w:rPr>
                <w:rFonts w:ascii="宋体" w:hAnsi="宋体"/>
              </w:rPr>
              <w:t>伟隆</w:t>
            </w:r>
            <w:r>
              <w:rPr>
                <w:rFonts w:ascii="宋体" w:hAnsi="宋体" w:hint="eastAsia"/>
              </w:rPr>
              <w:t>流体</w:t>
            </w:r>
          </w:p>
        </w:tc>
        <w:tc>
          <w:tcPr>
            <w:tcW w:w="1224" w:type="dxa"/>
            <w:tcMar>
              <w:top w:w="0" w:type="dxa"/>
              <w:left w:w="108" w:type="dxa"/>
              <w:bottom w:w="0" w:type="dxa"/>
              <w:right w:w="108" w:type="dxa"/>
            </w:tcMar>
            <w:vAlign w:val="center"/>
          </w:tcPr>
          <w:p w14:paraId="5326E01A" w14:textId="77777777" w:rsidR="004B0883" w:rsidRDefault="004B0883">
            <w:pPr>
              <w:widowControl w:val="0"/>
              <w:jc w:val="center"/>
              <w:rPr>
                <w:color w:val="000000"/>
              </w:rPr>
            </w:pPr>
            <w:r>
              <w:rPr>
                <w:rFonts w:ascii="宋体" w:hAnsi="宋体" w:hint="eastAsia"/>
              </w:rPr>
              <w:t>原始取得</w:t>
            </w:r>
          </w:p>
        </w:tc>
      </w:tr>
      <w:tr w:rsidR="004B0883" w14:paraId="57823A20" w14:textId="77777777">
        <w:trPr>
          <w:trHeight w:val="397"/>
          <w:jc w:val="center"/>
        </w:trPr>
        <w:tc>
          <w:tcPr>
            <w:tcW w:w="348" w:type="pct"/>
            <w:tcMar>
              <w:top w:w="0" w:type="dxa"/>
              <w:left w:w="108" w:type="dxa"/>
              <w:bottom w:w="0" w:type="dxa"/>
              <w:right w:w="108" w:type="dxa"/>
            </w:tcMar>
            <w:vAlign w:val="center"/>
          </w:tcPr>
          <w:p w14:paraId="09CBE0ED" w14:textId="77777777" w:rsidR="004B0883" w:rsidRDefault="004B0883">
            <w:pPr>
              <w:widowControl w:val="0"/>
              <w:adjustRightInd w:val="0"/>
              <w:snapToGrid w:val="0"/>
              <w:jc w:val="center"/>
              <w:rPr>
                <w:color w:val="000000"/>
              </w:rPr>
            </w:pPr>
            <w:r>
              <w:rPr>
                <w:color w:val="000000"/>
              </w:rPr>
              <w:t>31</w:t>
            </w:r>
          </w:p>
        </w:tc>
        <w:tc>
          <w:tcPr>
            <w:tcW w:w="2096" w:type="dxa"/>
            <w:tcMar>
              <w:top w:w="0" w:type="dxa"/>
              <w:left w:w="108" w:type="dxa"/>
              <w:bottom w:w="0" w:type="dxa"/>
              <w:right w:w="108" w:type="dxa"/>
            </w:tcMar>
            <w:vAlign w:val="center"/>
          </w:tcPr>
          <w:p w14:paraId="6D80A894" w14:textId="77777777" w:rsidR="004B0883" w:rsidRDefault="004B0883">
            <w:pPr>
              <w:widowControl w:val="0"/>
              <w:jc w:val="center"/>
              <w:rPr>
                <w:color w:val="000000"/>
              </w:rPr>
            </w:pPr>
            <w:r>
              <w:rPr>
                <w:rFonts w:ascii="宋体" w:hAnsi="宋体"/>
              </w:rPr>
              <w:t>一种远程监视阀门开关的报警装置及阀门开关</w:t>
            </w:r>
          </w:p>
        </w:tc>
        <w:tc>
          <w:tcPr>
            <w:tcW w:w="1241" w:type="dxa"/>
            <w:tcMar>
              <w:top w:w="0" w:type="dxa"/>
              <w:left w:w="108" w:type="dxa"/>
              <w:bottom w:w="0" w:type="dxa"/>
              <w:right w:w="108" w:type="dxa"/>
            </w:tcMar>
            <w:vAlign w:val="center"/>
          </w:tcPr>
          <w:p w14:paraId="7BD036B7"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7DCFFB8B" w14:textId="77777777" w:rsidR="004B0883" w:rsidRDefault="004B0883">
            <w:pPr>
              <w:widowControl w:val="0"/>
              <w:jc w:val="center"/>
              <w:rPr>
                <w:color w:val="000000"/>
              </w:rPr>
            </w:pPr>
            <w:r>
              <w:rPr>
                <w:rFonts w:eastAsia="等线"/>
              </w:rPr>
              <w:t>2020229229768</w:t>
            </w:r>
          </w:p>
        </w:tc>
        <w:tc>
          <w:tcPr>
            <w:tcW w:w="1311" w:type="dxa"/>
            <w:tcMar>
              <w:top w:w="0" w:type="dxa"/>
              <w:left w:w="108" w:type="dxa"/>
              <w:bottom w:w="0" w:type="dxa"/>
              <w:right w:w="108" w:type="dxa"/>
            </w:tcMar>
            <w:vAlign w:val="center"/>
          </w:tcPr>
          <w:p w14:paraId="2EF20772" w14:textId="77777777" w:rsidR="004B0883" w:rsidRDefault="004B0883">
            <w:pPr>
              <w:widowControl w:val="0"/>
              <w:jc w:val="center"/>
              <w:rPr>
                <w:color w:val="000000"/>
              </w:rPr>
            </w:pPr>
            <w:r>
              <w:rPr>
                <w:rFonts w:eastAsia="等线"/>
              </w:rPr>
              <w:t>2020-12-08</w:t>
            </w:r>
          </w:p>
        </w:tc>
        <w:tc>
          <w:tcPr>
            <w:tcW w:w="1077" w:type="dxa"/>
            <w:tcMar>
              <w:top w:w="0" w:type="dxa"/>
              <w:left w:w="108" w:type="dxa"/>
              <w:bottom w:w="0" w:type="dxa"/>
              <w:right w:w="108" w:type="dxa"/>
            </w:tcMar>
            <w:vAlign w:val="center"/>
          </w:tcPr>
          <w:p w14:paraId="16147550" w14:textId="77777777" w:rsidR="004B0883" w:rsidRDefault="004B0883">
            <w:pPr>
              <w:widowControl w:val="0"/>
              <w:jc w:val="center"/>
              <w:rPr>
                <w:color w:val="000000"/>
              </w:rPr>
            </w:pPr>
            <w:r>
              <w:rPr>
                <w:rFonts w:ascii="宋体" w:hAnsi="宋体" w:hint="eastAsia"/>
              </w:rPr>
              <w:t>发行人、</w:t>
            </w:r>
            <w:r>
              <w:rPr>
                <w:rFonts w:ascii="宋体" w:hAnsi="宋体"/>
              </w:rPr>
              <w:t>莱州伟隆</w:t>
            </w:r>
            <w:r>
              <w:rPr>
                <w:rFonts w:ascii="宋体" w:hAnsi="宋体" w:hint="eastAsia"/>
              </w:rPr>
              <w:t>、</w:t>
            </w:r>
            <w:r>
              <w:rPr>
                <w:rFonts w:ascii="宋体" w:hAnsi="宋体"/>
              </w:rPr>
              <w:t>伟隆</w:t>
            </w:r>
            <w:r>
              <w:rPr>
                <w:rFonts w:ascii="宋体" w:hAnsi="宋体" w:hint="eastAsia"/>
              </w:rPr>
              <w:t>流体</w:t>
            </w:r>
          </w:p>
        </w:tc>
        <w:tc>
          <w:tcPr>
            <w:tcW w:w="1224" w:type="dxa"/>
            <w:tcMar>
              <w:top w:w="0" w:type="dxa"/>
              <w:left w:w="108" w:type="dxa"/>
              <w:bottom w:w="0" w:type="dxa"/>
              <w:right w:w="108" w:type="dxa"/>
            </w:tcMar>
            <w:vAlign w:val="center"/>
          </w:tcPr>
          <w:p w14:paraId="29E529D3" w14:textId="77777777" w:rsidR="004B0883" w:rsidRDefault="004B0883">
            <w:pPr>
              <w:widowControl w:val="0"/>
              <w:jc w:val="center"/>
              <w:rPr>
                <w:color w:val="000000"/>
              </w:rPr>
            </w:pPr>
            <w:r>
              <w:rPr>
                <w:rFonts w:ascii="宋体" w:hAnsi="宋体" w:hint="eastAsia"/>
              </w:rPr>
              <w:t>原始取得</w:t>
            </w:r>
          </w:p>
        </w:tc>
      </w:tr>
      <w:tr w:rsidR="004B0883" w14:paraId="4D703017" w14:textId="77777777">
        <w:trPr>
          <w:trHeight w:val="397"/>
          <w:jc w:val="center"/>
        </w:trPr>
        <w:tc>
          <w:tcPr>
            <w:tcW w:w="348" w:type="pct"/>
            <w:tcMar>
              <w:top w:w="0" w:type="dxa"/>
              <w:left w:w="108" w:type="dxa"/>
              <w:bottom w:w="0" w:type="dxa"/>
              <w:right w:w="108" w:type="dxa"/>
            </w:tcMar>
            <w:vAlign w:val="center"/>
          </w:tcPr>
          <w:p w14:paraId="39FCB97D" w14:textId="77777777" w:rsidR="004B0883" w:rsidRDefault="004B0883">
            <w:pPr>
              <w:widowControl w:val="0"/>
              <w:adjustRightInd w:val="0"/>
              <w:snapToGrid w:val="0"/>
              <w:jc w:val="center"/>
              <w:rPr>
                <w:color w:val="000000"/>
              </w:rPr>
            </w:pPr>
            <w:r>
              <w:rPr>
                <w:color w:val="000000"/>
              </w:rPr>
              <w:t>32</w:t>
            </w:r>
          </w:p>
        </w:tc>
        <w:tc>
          <w:tcPr>
            <w:tcW w:w="2096" w:type="dxa"/>
            <w:tcMar>
              <w:top w:w="0" w:type="dxa"/>
              <w:left w:w="108" w:type="dxa"/>
              <w:bottom w:w="0" w:type="dxa"/>
              <w:right w:w="108" w:type="dxa"/>
            </w:tcMar>
            <w:vAlign w:val="center"/>
          </w:tcPr>
          <w:p w14:paraId="2F64BE69" w14:textId="77777777" w:rsidR="004B0883" w:rsidRDefault="004B0883">
            <w:pPr>
              <w:widowControl w:val="0"/>
              <w:jc w:val="center"/>
              <w:rPr>
                <w:color w:val="000000"/>
              </w:rPr>
            </w:pPr>
            <w:r>
              <w:rPr>
                <w:rFonts w:ascii="宋体" w:hAnsi="宋体"/>
              </w:rPr>
              <w:t>一种可延时型压力开关</w:t>
            </w:r>
          </w:p>
        </w:tc>
        <w:tc>
          <w:tcPr>
            <w:tcW w:w="1241" w:type="dxa"/>
            <w:tcMar>
              <w:top w:w="0" w:type="dxa"/>
              <w:left w:w="108" w:type="dxa"/>
              <w:bottom w:w="0" w:type="dxa"/>
              <w:right w:w="108" w:type="dxa"/>
            </w:tcMar>
            <w:vAlign w:val="center"/>
          </w:tcPr>
          <w:p w14:paraId="46E99F5B"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0B933E67" w14:textId="77777777" w:rsidR="004B0883" w:rsidRDefault="004B0883">
            <w:pPr>
              <w:widowControl w:val="0"/>
              <w:jc w:val="center"/>
              <w:rPr>
                <w:color w:val="000000"/>
              </w:rPr>
            </w:pPr>
            <w:r>
              <w:rPr>
                <w:rFonts w:eastAsia="等线"/>
              </w:rPr>
              <w:t>2020229042713</w:t>
            </w:r>
          </w:p>
        </w:tc>
        <w:tc>
          <w:tcPr>
            <w:tcW w:w="1311" w:type="dxa"/>
            <w:tcMar>
              <w:top w:w="0" w:type="dxa"/>
              <w:left w:w="108" w:type="dxa"/>
              <w:bottom w:w="0" w:type="dxa"/>
              <w:right w:w="108" w:type="dxa"/>
            </w:tcMar>
            <w:vAlign w:val="center"/>
          </w:tcPr>
          <w:p w14:paraId="2ACDAED1" w14:textId="77777777" w:rsidR="004B0883" w:rsidRDefault="004B0883">
            <w:pPr>
              <w:widowControl w:val="0"/>
              <w:jc w:val="center"/>
              <w:rPr>
                <w:color w:val="000000"/>
              </w:rPr>
            </w:pPr>
            <w:r>
              <w:rPr>
                <w:rFonts w:eastAsia="等线"/>
              </w:rPr>
              <w:t>2020-12-07</w:t>
            </w:r>
          </w:p>
        </w:tc>
        <w:tc>
          <w:tcPr>
            <w:tcW w:w="1077" w:type="dxa"/>
            <w:tcMar>
              <w:top w:w="0" w:type="dxa"/>
              <w:left w:w="108" w:type="dxa"/>
              <w:bottom w:w="0" w:type="dxa"/>
              <w:right w:w="108" w:type="dxa"/>
            </w:tcMar>
            <w:vAlign w:val="center"/>
          </w:tcPr>
          <w:p w14:paraId="2FB840A6" w14:textId="77777777" w:rsidR="004B0883" w:rsidRDefault="004B0883">
            <w:pPr>
              <w:widowControl w:val="0"/>
              <w:jc w:val="center"/>
              <w:rPr>
                <w:color w:val="000000"/>
              </w:rPr>
            </w:pPr>
            <w:r>
              <w:rPr>
                <w:rFonts w:ascii="宋体" w:hAnsi="宋体" w:hint="eastAsia"/>
              </w:rPr>
              <w:t>发行人、</w:t>
            </w:r>
            <w:r>
              <w:rPr>
                <w:rFonts w:ascii="宋体" w:hAnsi="宋体"/>
              </w:rPr>
              <w:t>莱州伟隆</w:t>
            </w:r>
            <w:r>
              <w:rPr>
                <w:rFonts w:ascii="宋体" w:hAnsi="宋体" w:hint="eastAsia"/>
              </w:rPr>
              <w:t>、</w:t>
            </w:r>
            <w:r>
              <w:rPr>
                <w:rFonts w:ascii="宋体" w:hAnsi="宋体"/>
              </w:rPr>
              <w:t>伟隆</w:t>
            </w:r>
            <w:r>
              <w:rPr>
                <w:rFonts w:ascii="宋体" w:hAnsi="宋体" w:hint="eastAsia"/>
              </w:rPr>
              <w:t>流体</w:t>
            </w:r>
          </w:p>
        </w:tc>
        <w:tc>
          <w:tcPr>
            <w:tcW w:w="1224" w:type="dxa"/>
            <w:tcMar>
              <w:top w:w="0" w:type="dxa"/>
              <w:left w:w="108" w:type="dxa"/>
              <w:bottom w:w="0" w:type="dxa"/>
              <w:right w:w="108" w:type="dxa"/>
            </w:tcMar>
            <w:vAlign w:val="center"/>
          </w:tcPr>
          <w:p w14:paraId="4A94E709" w14:textId="77777777" w:rsidR="004B0883" w:rsidRDefault="004B0883">
            <w:pPr>
              <w:widowControl w:val="0"/>
              <w:jc w:val="center"/>
              <w:rPr>
                <w:color w:val="000000"/>
              </w:rPr>
            </w:pPr>
            <w:r>
              <w:rPr>
                <w:rFonts w:ascii="宋体" w:hAnsi="宋体" w:hint="eastAsia"/>
              </w:rPr>
              <w:t>原始取得</w:t>
            </w:r>
          </w:p>
        </w:tc>
      </w:tr>
      <w:tr w:rsidR="004B0883" w14:paraId="6DC8C383" w14:textId="77777777">
        <w:trPr>
          <w:trHeight w:val="397"/>
          <w:jc w:val="center"/>
        </w:trPr>
        <w:tc>
          <w:tcPr>
            <w:tcW w:w="348" w:type="pct"/>
            <w:tcMar>
              <w:top w:w="0" w:type="dxa"/>
              <w:left w:w="108" w:type="dxa"/>
              <w:bottom w:w="0" w:type="dxa"/>
              <w:right w:w="108" w:type="dxa"/>
            </w:tcMar>
            <w:vAlign w:val="center"/>
          </w:tcPr>
          <w:p w14:paraId="63F1CACE" w14:textId="77777777" w:rsidR="004B0883" w:rsidRDefault="004B0883">
            <w:pPr>
              <w:widowControl w:val="0"/>
              <w:adjustRightInd w:val="0"/>
              <w:snapToGrid w:val="0"/>
              <w:jc w:val="center"/>
              <w:rPr>
                <w:color w:val="000000"/>
              </w:rPr>
            </w:pPr>
            <w:r>
              <w:rPr>
                <w:color w:val="000000"/>
              </w:rPr>
              <w:t>33</w:t>
            </w:r>
          </w:p>
        </w:tc>
        <w:tc>
          <w:tcPr>
            <w:tcW w:w="2096" w:type="dxa"/>
            <w:tcMar>
              <w:top w:w="0" w:type="dxa"/>
              <w:left w:w="108" w:type="dxa"/>
              <w:bottom w:w="0" w:type="dxa"/>
              <w:right w:w="108" w:type="dxa"/>
            </w:tcMar>
            <w:vAlign w:val="center"/>
          </w:tcPr>
          <w:p w14:paraId="4DFE229E" w14:textId="77777777" w:rsidR="004B0883" w:rsidRDefault="004B0883">
            <w:pPr>
              <w:widowControl w:val="0"/>
              <w:jc w:val="center"/>
              <w:rPr>
                <w:color w:val="000000"/>
              </w:rPr>
            </w:pPr>
            <w:r>
              <w:rPr>
                <w:rFonts w:ascii="宋体" w:hAnsi="宋体"/>
              </w:rPr>
              <w:t>一种肩槽直槽专用阀门试压工装</w:t>
            </w:r>
          </w:p>
        </w:tc>
        <w:tc>
          <w:tcPr>
            <w:tcW w:w="1241" w:type="dxa"/>
            <w:tcMar>
              <w:top w:w="0" w:type="dxa"/>
              <w:left w:w="108" w:type="dxa"/>
              <w:bottom w:w="0" w:type="dxa"/>
              <w:right w:w="108" w:type="dxa"/>
            </w:tcMar>
            <w:vAlign w:val="center"/>
          </w:tcPr>
          <w:p w14:paraId="2982E2D0"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1D44101E" w14:textId="77777777" w:rsidR="004B0883" w:rsidRDefault="004B0883">
            <w:pPr>
              <w:widowControl w:val="0"/>
              <w:jc w:val="center"/>
              <w:rPr>
                <w:color w:val="000000"/>
              </w:rPr>
            </w:pPr>
            <w:r>
              <w:rPr>
                <w:rFonts w:eastAsia="等线"/>
              </w:rPr>
              <w:t>2020227393043</w:t>
            </w:r>
          </w:p>
        </w:tc>
        <w:tc>
          <w:tcPr>
            <w:tcW w:w="1311" w:type="dxa"/>
            <w:tcMar>
              <w:top w:w="0" w:type="dxa"/>
              <w:left w:w="108" w:type="dxa"/>
              <w:bottom w:w="0" w:type="dxa"/>
              <w:right w:w="108" w:type="dxa"/>
            </w:tcMar>
            <w:vAlign w:val="center"/>
          </w:tcPr>
          <w:p w14:paraId="572B1E79" w14:textId="77777777" w:rsidR="004B0883" w:rsidRDefault="004B0883">
            <w:pPr>
              <w:widowControl w:val="0"/>
              <w:jc w:val="center"/>
              <w:rPr>
                <w:color w:val="000000"/>
              </w:rPr>
            </w:pPr>
            <w:r>
              <w:rPr>
                <w:rFonts w:eastAsia="等线"/>
              </w:rPr>
              <w:t>2020-11-24</w:t>
            </w:r>
          </w:p>
        </w:tc>
        <w:tc>
          <w:tcPr>
            <w:tcW w:w="1077" w:type="dxa"/>
            <w:tcMar>
              <w:top w:w="0" w:type="dxa"/>
              <w:left w:w="108" w:type="dxa"/>
              <w:bottom w:w="0" w:type="dxa"/>
              <w:right w:w="108" w:type="dxa"/>
            </w:tcMar>
            <w:vAlign w:val="center"/>
          </w:tcPr>
          <w:p w14:paraId="2C3CDE0D" w14:textId="77777777" w:rsidR="004B0883" w:rsidRDefault="004B0883">
            <w:pPr>
              <w:widowControl w:val="0"/>
              <w:jc w:val="center"/>
              <w:rPr>
                <w:color w:val="000000"/>
              </w:rPr>
            </w:pPr>
            <w:r>
              <w:rPr>
                <w:rFonts w:ascii="宋体" w:hAnsi="宋体" w:hint="eastAsia"/>
              </w:rPr>
              <w:t>发行人、</w:t>
            </w:r>
            <w:r>
              <w:rPr>
                <w:rFonts w:ascii="宋体" w:hAnsi="宋体"/>
              </w:rPr>
              <w:t>莱州伟隆</w:t>
            </w:r>
            <w:r>
              <w:rPr>
                <w:rFonts w:ascii="宋体" w:hAnsi="宋体" w:hint="eastAsia"/>
              </w:rPr>
              <w:t>、</w:t>
            </w:r>
            <w:r>
              <w:rPr>
                <w:rFonts w:ascii="宋体" w:hAnsi="宋体"/>
              </w:rPr>
              <w:t>伟隆</w:t>
            </w:r>
            <w:r>
              <w:rPr>
                <w:rFonts w:ascii="宋体" w:hAnsi="宋体" w:hint="eastAsia"/>
              </w:rPr>
              <w:t>流体</w:t>
            </w:r>
          </w:p>
        </w:tc>
        <w:tc>
          <w:tcPr>
            <w:tcW w:w="1224" w:type="dxa"/>
            <w:tcMar>
              <w:top w:w="0" w:type="dxa"/>
              <w:left w:w="108" w:type="dxa"/>
              <w:bottom w:w="0" w:type="dxa"/>
              <w:right w:w="108" w:type="dxa"/>
            </w:tcMar>
            <w:vAlign w:val="center"/>
          </w:tcPr>
          <w:p w14:paraId="361F6740" w14:textId="77777777" w:rsidR="004B0883" w:rsidRDefault="004B0883">
            <w:pPr>
              <w:widowControl w:val="0"/>
              <w:jc w:val="center"/>
              <w:rPr>
                <w:color w:val="000000"/>
              </w:rPr>
            </w:pPr>
            <w:r>
              <w:rPr>
                <w:rFonts w:ascii="宋体" w:hAnsi="宋体" w:hint="eastAsia"/>
              </w:rPr>
              <w:t>原始取得</w:t>
            </w:r>
          </w:p>
        </w:tc>
      </w:tr>
      <w:tr w:rsidR="004B0883" w14:paraId="7F32A982" w14:textId="77777777">
        <w:trPr>
          <w:trHeight w:val="397"/>
          <w:jc w:val="center"/>
        </w:trPr>
        <w:tc>
          <w:tcPr>
            <w:tcW w:w="348" w:type="pct"/>
            <w:tcMar>
              <w:top w:w="0" w:type="dxa"/>
              <w:left w:w="108" w:type="dxa"/>
              <w:bottom w:w="0" w:type="dxa"/>
              <w:right w:w="108" w:type="dxa"/>
            </w:tcMar>
            <w:vAlign w:val="center"/>
          </w:tcPr>
          <w:p w14:paraId="4A015A72" w14:textId="77777777" w:rsidR="004B0883" w:rsidRDefault="004B0883">
            <w:pPr>
              <w:widowControl w:val="0"/>
              <w:adjustRightInd w:val="0"/>
              <w:snapToGrid w:val="0"/>
              <w:jc w:val="center"/>
              <w:rPr>
                <w:color w:val="000000"/>
              </w:rPr>
            </w:pPr>
            <w:r>
              <w:rPr>
                <w:color w:val="000000"/>
              </w:rPr>
              <w:t>34</w:t>
            </w:r>
          </w:p>
        </w:tc>
        <w:tc>
          <w:tcPr>
            <w:tcW w:w="2096" w:type="dxa"/>
            <w:tcMar>
              <w:top w:w="0" w:type="dxa"/>
              <w:left w:w="108" w:type="dxa"/>
              <w:bottom w:w="0" w:type="dxa"/>
              <w:right w:w="108" w:type="dxa"/>
            </w:tcMar>
            <w:vAlign w:val="center"/>
          </w:tcPr>
          <w:p w14:paraId="30F7A9F2" w14:textId="77777777" w:rsidR="004B0883" w:rsidRDefault="004B0883">
            <w:pPr>
              <w:widowControl w:val="0"/>
              <w:jc w:val="center"/>
              <w:rPr>
                <w:color w:val="000000"/>
              </w:rPr>
            </w:pPr>
            <w:r>
              <w:rPr>
                <w:rFonts w:ascii="宋体" w:hAnsi="宋体"/>
              </w:rPr>
              <w:t>家庭水管遇险自动关闭阀组</w:t>
            </w:r>
          </w:p>
        </w:tc>
        <w:tc>
          <w:tcPr>
            <w:tcW w:w="1241" w:type="dxa"/>
            <w:tcMar>
              <w:top w:w="0" w:type="dxa"/>
              <w:left w:w="108" w:type="dxa"/>
              <w:bottom w:w="0" w:type="dxa"/>
              <w:right w:w="108" w:type="dxa"/>
            </w:tcMar>
            <w:vAlign w:val="center"/>
          </w:tcPr>
          <w:p w14:paraId="283F7D49"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26B6213A" w14:textId="77777777" w:rsidR="004B0883" w:rsidRDefault="004B0883">
            <w:pPr>
              <w:widowControl w:val="0"/>
              <w:jc w:val="center"/>
              <w:rPr>
                <w:color w:val="000000"/>
              </w:rPr>
            </w:pPr>
            <w:r>
              <w:rPr>
                <w:rFonts w:eastAsia="等线"/>
              </w:rPr>
              <w:t>202022484083X</w:t>
            </w:r>
          </w:p>
        </w:tc>
        <w:tc>
          <w:tcPr>
            <w:tcW w:w="1311" w:type="dxa"/>
            <w:tcMar>
              <w:top w:w="0" w:type="dxa"/>
              <w:left w:w="108" w:type="dxa"/>
              <w:bottom w:w="0" w:type="dxa"/>
              <w:right w:w="108" w:type="dxa"/>
            </w:tcMar>
            <w:vAlign w:val="center"/>
          </w:tcPr>
          <w:p w14:paraId="34258164" w14:textId="77777777" w:rsidR="004B0883" w:rsidRDefault="004B0883">
            <w:pPr>
              <w:widowControl w:val="0"/>
              <w:jc w:val="center"/>
              <w:rPr>
                <w:color w:val="000000"/>
              </w:rPr>
            </w:pPr>
            <w:r>
              <w:rPr>
                <w:rFonts w:eastAsia="等线"/>
              </w:rPr>
              <w:t>2020-10-30</w:t>
            </w:r>
          </w:p>
        </w:tc>
        <w:tc>
          <w:tcPr>
            <w:tcW w:w="1077" w:type="dxa"/>
            <w:tcMar>
              <w:top w:w="0" w:type="dxa"/>
              <w:left w:w="108" w:type="dxa"/>
              <w:bottom w:w="0" w:type="dxa"/>
              <w:right w:w="108" w:type="dxa"/>
            </w:tcMar>
            <w:vAlign w:val="center"/>
          </w:tcPr>
          <w:p w14:paraId="1DE1B292" w14:textId="77777777" w:rsidR="004B0883" w:rsidRDefault="004B0883">
            <w:pPr>
              <w:widowControl w:val="0"/>
              <w:jc w:val="center"/>
              <w:rPr>
                <w:color w:val="000000"/>
              </w:rPr>
            </w:pPr>
            <w:r>
              <w:rPr>
                <w:rFonts w:ascii="宋体" w:hAnsi="宋体" w:hint="eastAsia"/>
              </w:rPr>
              <w:t>发行人、</w:t>
            </w:r>
            <w:r>
              <w:rPr>
                <w:rFonts w:ascii="宋体" w:hAnsi="宋体"/>
              </w:rPr>
              <w:t>莱州伟隆</w:t>
            </w:r>
            <w:r>
              <w:rPr>
                <w:rFonts w:ascii="宋体" w:hAnsi="宋体" w:hint="eastAsia"/>
              </w:rPr>
              <w:t>、</w:t>
            </w:r>
            <w:r>
              <w:rPr>
                <w:rFonts w:ascii="宋体" w:hAnsi="宋体"/>
              </w:rPr>
              <w:t>伟隆</w:t>
            </w:r>
            <w:r>
              <w:rPr>
                <w:rFonts w:ascii="宋体" w:hAnsi="宋体" w:hint="eastAsia"/>
              </w:rPr>
              <w:t>流体</w:t>
            </w:r>
          </w:p>
        </w:tc>
        <w:tc>
          <w:tcPr>
            <w:tcW w:w="1224" w:type="dxa"/>
            <w:tcMar>
              <w:top w:w="0" w:type="dxa"/>
              <w:left w:w="108" w:type="dxa"/>
              <w:bottom w:w="0" w:type="dxa"/>
              <w:right w:w="108" w:type="dxa"/>
            </w:tcMar>
            <w:vAlign w:val="center"/>
          </w:tcPr>
          <w:p w14:paraId="768C4B53" w14:textId="77777777" w:rsidR="004B0883" w:rsidRDefault="004B0883">
            <w:pPr>
              <w:widowControl w:val="0"/>
              <w:jc w:val="center"/>
              <w:rPr>
                <w:color w:val="000000"/>
              </w:rPr>
            </w:pPr>
            <w:r>
              <w:rPr>
                <w:rFonts w:ascii="宋体" w:hAnsi="宋体" w:hint="eastAsia"/>
              </w:rPr>
              <w:t>原始取得</w:t>
            </w:r>
          </w:p>
        </w:tc>
      </w:tr>
      <w:tr w:rsidR="004B0883" w14:paraId="06593D81" w14:textId="77777777">
        <w:trPr>
          <w:trHeight w:val="397"/>
          <w:jc w:val="center"/>
        </w:trPr>
        <w:tc>
          <w:tcPr>
            <w:tcW w:w="348" w:type="pct"/>
            <w:tcMar>
              <w:top w:w="0" w:type="dxa"/>
              <w:left w:w="108" w:type="dxa"/>
              <w:bottom w:w="0" w:type="dxa"/>
              <w:right w:w="108" w:type="dxa"/>
            </w:tcMar>
            <w:vAlign w:val="center"/>
          </w:tcPr>
          <w:p w14:paraId="559DD1E4" w14:textId="77777777" w:rsidR="004B0883" w:rsidRDefault="004B0883">
            <w:pPr>
              <w:widowControl w:val="0"/>
              <w:adjustRightInd w:val="0"/>
              <w:snapToGrid w:val="0"/>
              <w:jc w:val="center"/>
              <w:rPr>
                <w:color w:val="000000"/>
              </w:rPr>
            </w:pPr>
            <w:r>
              <w:rPr>
                <w:color w:val="000000"/>
              </w:rPr>
              <w:t>35</w:t>
            </w:r>
          </w:p>
        </w:tc>
        <w:tc>
          <w:tcPr>
            <w:tcW w:w="2096" w:type="dxa"/>
            <w:tcMar>
              <w:top w:w="0" w:type="dxa"/>
              <w:left w:w="108" w:type="dxa"/>
              <w:bottom w:w="0" w:type="dxa"/>
              <w:right w:w="108" w:type="dxa"/>
            </w:tcMar>
            <w:vAlign w:val="center"/>
          </w:tcPr>
          <w:p w14:paraId="228A06CD" w14:textId="77777777" w:rsidR="004B0883" w:rsidRDefault="004B0883">
            <w:pPr>
              <w:widowControl w:val="0"/>
              <w:jc w:val="center"/>
              <w:rPr>
                <w:color w:val="000000"/>
              </w:rPr>
            </w:pPr>
            <w:r>
              <w:rPr>
                <w:rFonts w:ascii="宋体" w:hAnsi="宋体"/>
              </w:rPr>
              <w:t>一种防脱阀座密封结构</w:t>
            </w:r>
          </w:p>
        </w:tc>
        <w:tc>
          <w:tcPr>
            <w:tcW w:w="1241" w:type="dxa"/>
            <w:tcMar>
              <w:top w:w="0" w:type="dxa"/>
              <w:left w:w="108" w:type="dxa"/>
              <w:bottom w:w="0" w:type="dxa"/>
              <w:right w:w="108" w:type="dxa"/>
            </w:tcMar>
            <w:vAlign w:val="center"/>
          </w:tcPr>
          <w:p w14:paraId="24339A53"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6AB4304D" w14:textId="77777777" w:rsidR="004B0883" w:rsidRDefault="004B0883">
            <w:pPr>
              <w:widowControl w:val="0"/>
              <w:jc w:val="center"/>
              <w:rPr>
                <w:color w:val="000000"/>
              </w:rPr>
            </w:pPr>
            <w:r>
              <w:rPr>
                <w:rFonts w:eastAsia="等线"/>
              </w:rPr>
              <w:t>2020224767514</w:t>
            </w:r>
          </w:p>
        </w:tc>
        <w:tc>
          <w:tcPr>
            <w:tcW w:w="1311" w:type="dxa"/>
            <w:tcMar>
              <w:top w:w="0" w:type="dxa"/>
              <w:left w:w="108" w:type="dxa"/>
              <w:bottom w:w="0" w:type="dxa"/>
              <w:right w:w="108" w:type="dxa"/>
            </w:tcMar>
            <w:vAlign w:val="center"/>
          </w:tcPr>
          <w:p w14:paraId="1DADE51F" w14:textId="77777777" w:rsidR="004B0883" w:rsidRDefault="004B0883">
            <w:pPr>
              <w:widowControl w:val="0"/>
              <w:jc w:val="center"/>
              <w:rPr>
                <w:color w:val="000000"/>
              </w:rPr>
            </w:pPr>
            <w:r>
              <w:rPr>
                <w:rFonts w:eastAsia="等线"/>
              </w:rPr>
              <w:t>2020-10-30</w:t>
            </w:r>
          </w:p>
        </w:tc>
        <w:tc>
          <w:tcPr>
            <w:tcW w:w="1077" w:type="dxa"/>
            <w:tcMar>
              <w:top w:w="0" w:type="dxa"/>
              <w:left w:w="108" w:type="dxa"/>
              <w:bottom w:w="0" w:type="dxa"/>
              <w:right w:w="108" w:type="dxa"/>
            </w:tcMar>
            <w:vAlign w:val="center"/>
          </w:tcPr>
          <w:p w14:paraId="333BA65C" w14:textId="77777777" w:rsidR="004B0883" w:rsidRDefault="004B0883">
            <w:pPr>
              <w:widowControl w:val="0"/>
              <w:jc w:val="center"/>
              <w:rPr>
                <w:color w:val="000000"/>
              </w:rPr>
            </w:pPr>
            <w:r>
              <w:rPr>
                <w:rFonts w:ascii="宋体" w:hAnsi="宋体" w:hint="eastAsia"/>
              </w:rPr>
              <w:t>发行人、</w:t>
            </w:r>
            <w:r>
              <w:rPr>
                <w:rFonts w:ascii="宋体" w:hAnsi="宋体"/>
              </w:rPr>
              <w:t>莱州伟隆</w:t>
            </w:r>
            <w:r>
              <w:rPr>
                <w:rFonts w:ascii="宋体" w:hAnsi="宋体" w:hint="eastAsia"/>
              </w:rPr>
              <w:t>、</w:t>
            </w:r>
            <w:r>
              <w:rPr>
                <w:rFonts w:ascii="宋体" w:hAnsi="宋体"/>
              </w:rPr>
              <w:t>伟隆</w:t>
            </w:r>
            <w:r>
              <w:rPr>
                <w:rFonts w:ascii="宋体" w:hAnsi="宋体" w:hint="eastAsia"/>
              </w:rPr>
              <w:t>流体</w:t>
            </w:r>
          </w:p>
        </w:tc>
        <w:tc>
          <w:tcPr>
            <w:tcW w:w="1224" w:type="dxa"/>
            <w:tcMar>
              <w:top w:w="0" w:type="dxa"/>
              <w:left w:w="108" w:type="dxa"/>
              <w:bottom w:w="0" w:type="dxa"/>
              <w:right w:w="108" w:type="dxa"/>
            </w:tcMar>
            <w:vAlign w:val="center"/>
          </w:tcPr>
          <w:p w14:paraId="1269F7EF" w14:textId="77777777" w:rsidR="004B0883" w:rsidRDefault="004B0883">
            <w:pPr>
              <w:widowControl w:val="0"/>
              <w:jc w:val="center"/>
              <w:rPr>
                <w:color w:val="000000"/>
              </w:rPr>
            </w:pPr>
            <w:r>
              <w:rPr>
                <w:rFonts w:ascii="宋体" w:hAnsi="宋体" w:hint="eastAsia"/>
              </w:rPr>
              <w:t>原始取得</w:t>
            </w:r>
          </w:p>
        </w:tc>
      </w:tr>
      <w:tr w:rsidR="004B0883" w14:paraId="45A400B4" w14:textId="77777777">
        <w:trPr>
          <w:trHeight w:val="397"/>
          <w:jc w:val="center"/>
        </w:trPr>
        <w:tc>
          <w:tcPr>
            <w:tcW w:w="348" w:type="pct"/>
            <w:tcMar>
              <w:top w:w="0" w:type="dxa"/>
              <w:left w:w="108" w:type="dxa"/>
              <w:bottom w:w="0" w:type="dxa"/>
              <w:right w:w="108" w:type="dxa"/>
            </w:tcMar>
            <w:vAlign w:val="center"/>
          </w:tcPr>
          <w:p w14:paraId="289941C0" w14:textId="77777777" w:rsidR="004B0883" w:rsidRDefault="004B0883">
            <w:pPr>
              <w:widowControl w:val="0"/>
              <w:adjustRightInd w:val="0"/>
              <w:snapToGrid w:val="0"/>
              <w:jc w:val="center"/>
              <w:rPr>
                <w:color w:val="000000"/>
              </w:rPr>
            </w:pPr>
            <w:r>
              <w:rPr>
                <w:color w:val="000000"/>
              </w:rPr>
              <w:t>36</w:t>
            </w:r>
          </w:p>
        </w:tc>
        <w:tc>
          <w:tcPr>
            <w:tcW w:w="2096" w:type="dxa"/>
            <w:tcMar>
              <w:top w:w="0" w:type="dxa"/>
              <w:left w:w="108" w:type="dxa"/>
              <w:bottom w:w="0" w:type="dxa"/>
              <w:right w:w="108" w:type="dxa"/>
            </w:tcMar>
            <w:vAlign w:val="center"/>
          </w:tcPr>
          <w:p w14:paraId="1A7C2BF5" w14:textId="77777777" w:rsidR="004B0883" w:rsidRDefault="004B0883">
            <w:pPr>
              <w:widowControl w:val="0"/>
              <w:jc w:val="center"/>
              <w:rPr>
                <w:color w:val="000000"/>
              </w:rPr>
            </w:pPr>
            <w:r>
              <w:rPr>
                <w:rFonts w:ascii="宋体" w:hAnsi="宋体"/>
              </w:rPr>
              <w:t>一种软硬密封消防止回阀</w:t>
            </w:r>
          </w:p>
        </w:tc>
        <w:tc>
          <w:tcPr>
            <w:tcW w:w="1241" w:type="dxa"/>
            <w:tcMar>
              <w:top w:w="0" w:type="dxa"/>
              <w:left w:w="108" w:type="dxa"/>
              <w:bottom w:w="0" w:type="dxa"/>
              <w:right w:w="108" w:type="dxa"/>
            </w:tcMar>
            <w:vAlign w:val="center"/>
          </w:tcPr>
          <w:p w14:paraId="28AF1B3D"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60B4C6B4" w14:textId="77777777" w:rsidR="004B0883" w:rsidRDefault="004B0883">
            <w:pPr>
              <w:widowControl w:val="0"/>
              <w:jc w:val="center"/>
              <w:rPr>
                <w:color w:val="000000"/>
              </w:rPr>
            </w:pPr>
            <w:r>
              <w:rPr>
                <w:rFonts w:eastAsia="等线"/>
              </w:rPr>
              <w:t>2020224258336</w:t>
            </w:r>
          </w:p>
        </w:tc>
        <w:tc>
          <w:tcPr>
            <w:tcW w:w="1311" w:type="dxa"/>
            <w:tcMar>
              <w:top w:w="0" w:type="dxa"/>
              <w:left w:w="108" w:type="dxa"/>
              <w:bottom w:w="0" w:type="dxa"/>
              <w:right w:w="108" w:type="dxa"/>
            </w:tcMar>
            <w:vAlign w:val="center"/>
          </w:tcPr>
          <w:p w14:paraId="1237D58A" w14:textId="77777777" w:rsidR="004B0883" w:rsidRDefault="004B0883">
            <w:pPr>
              <w:widowControl w:val="0"/>
              <w:jc w:val="center"/>
              <w:rPr>
                <w:color w:val="000000"/>
              </w:rPr>
            </w:pPr>
            <w:r>
              <w:rPr>
                <w:rFonts w:eastAsia="等线"/>
              </w:rPr>
              <w:t>2020-10-27</w:t>
            </w:r>
          </w:p>
        </w:tc>
        <w:tc>
          <w:tcPr>
            <w:tcW w:w="1077" w:type="dxa"/>
            <w:tcMar>
              <w:top w:w="0" w:type="dxa"/>
              <w:left w:w="108" w:type="dxa"/>
              <w:bottom w:w="0" w:type="dxa"/>
              <w:right w:w="108" w:type="dxa"/>
            </w:tcMar>
            <w:vAlign w:val="center"/>
          </w:tcPr>
          <w:p w14:paraId="0307C310" w14:textId="77777777" w:rsidR="004B0883" w:rsidRDefault="004B0883">
            <w:pPr>
              <w:widowControl w:val="0"/>
              <w:jc w:val="center"/>
              <w:rPr>
                <w:color w:val="000000"/>
              </w:rPr>
            </w:pPr>
            <w:r>
              <w:rPr>
                <w:rFonts w:ascii="宋体" w:hAnsi="宋体" w:hint="eastAsia"/>
              </w:rPr>
              <w:t>发行人、</w:t>
            </w:r>
            <w:r>
              <w:rPr>
                <w:rFonts w:ascii="宋体" w:hAnsi="宋体"/>
              </w:rPr>
              <w:t>莱州伟隆</w:t>
            </w:r>
            <w:r>
              <w:rPr>
                <w:rFonts w:ascii="宋体" w:hAnsi="宋体" w:hint="eastAsia"/>
              </w:rPr>
              <w:t>、</w:t>
            </w:r>
            <w:r>
              <w:rPr>
                <w:rFonts w:ascii="宋体" w:hAnsi="宋体"/>
              </w:rPr>
              <w:t>伟隆</w:t>
            </w:r>
            <w:r>
              <w:rPr>
                <w:rFonts w:ascii="宋体" w:hAnsi="宋体" w:hint="eastAsia"/>
              </w:rPr>
              <w:t>流体</w:t>
            </w:r>
          </w:p>
        </w:tc>
        <w:tc>
          <w:tcPr>
            <w:tcW w:w="1224" w:type="dxa"/>
            <w:tcMar>
              <w:top w:w="0" w:type="dxa"/>
              <w:left w:w="108" w:type="dxa"/>
              <w:bottom w:w="0" w:type="dxa"/>
              <w:right w:w="108" w:type="dxa"/>
            </w:tcMar>
            <w:vAlign w:val="center"/>
          </w:tcPr>
          <w:p w14:paraId="5BD2EB91" w14:textId="77777777" w:rsidR="004B0883" w:rsidRDefault="004B0883">
            <w:pPr>
              <w:widowControl w:val="0"/>
              <w:jc w:val="center"/>
              <w:rPr>
                <w:color w:val="000000"/>
              </w:rPr>
            </w:pPr>
            <w:r>
              <w:rPr>
                <w:rFonts w:ascii="宋体" w:hAnsi="宋体" w:hint="eastAsia"/>
              </w:rPr>
              <w:t>原始取得</w:t>
            </w:r>
          </w:p>
        </w:tc>
      </w:tr>
      <w:tr w:rsidR="004B0883" w14:paraId="782CA63F" w14:textId="77777777">
        <w:trPr>
          <w:trHeight w:val="397"/>
          <w:jc w:val="center"/>
        </w:trPr>
        <w:tc>
          <w:tcPr>
            <w:tcW w:w="348" w:type="pct"/>
            <w:tcMar>
              <w:top w:w="0" w:type="dxa"/>
              <w:left w:w="108" w:type="dxa"/>
              <w:bottom w:w="0" w:type="dxa"/>
              <w:right w:w="108" w:type="dxa"/>
            </w:tcMar>
            <w:vAlign w:val="center"/>
          </w:tcPr>
          <w:p w14:paraId="3FBBE0DE" w14:textId="77777777" w:rsidR="004B0883" w:rsidRDefault="004B0883">
            <w:pPr>
              <w:widowControl w:val="0"/>
              <w:adjustRightInd w:val="0"/>
              <w:snapToGrid w:val="0"/>
              <w:jc w:val="center"/>
              <w:rPr>
                <w:color w:val="000000"/>
              </w:rPr>
            </w:pPr>
            <w:r>
              <w:rPr>
                <w:color w:val="000000"/>
              </w:rPr>
              <w:t>37</w:t>
            </w:r>
          </w:p>
        </w:tc>
        <w:tc>
          <w:tcPr>
            <w:tcW w:w="2096" w:type="dxa"/>
            <w:tcMar>
              <w:top w:w="0" w:type="dxa"/>
              <w:left w:w="108" w:type="dxa"/>
              <w:bottom w:w="0" w:type="dxa"/>
              <w:right w:w="108" w:type="dxa"/>
            </w:tcMar>
            <w:vAlign w:val="center"/>
          </w:tcPr>
          <w:p w14:paraId="25AE7892" w14:textId="77777777" w:rsidR="004B0883" w:rsidRDefault="004B0883">
            <w:pPr>
              <w:widowControl w:val="0"/>
              <w:jc w:val="center"/>
              <w:rPr>
                <w:color w:val="000000"/>
              </w:rPr>
            </w:pPr>
            <w:r>
              <w:rPr>
                <w:rFonts w:ascii="宋体" w:hAnsi="宋体"/>
              </w:rPr>
              <w:t>一种柱塞旋塞阀提升装置</w:t>
            </w:r>
          </w:p>
        </w:tc>
        <w:tc>
          <w:tcPr>
            <w:tcW w:w="1241" w:type="dxa"/>
            <w:tcMar>
              <w:top w:w="0" w:type="dxa"/>
              <w:left w:w="108" w:type="dxa"/>
              <w:bottom w:w="0" w:type="dxa"/>
              <w:right w:w="108" w:type="dxa"/>
            </w:tcMar>
            <w:vAlign w:val="center"/>
          </w:tcPr>
          <w:p w14:paraId="31543D4D"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07C078A9" w14:textId="77777777" w:rsidR="004B0883" w:rsidRDefault="004B0883">
            <w:pPr>
              <w:widowControl w:val="0"/>
              <w:jc w:val="center"/>
              <w:rPr>
                <w:color w:val="000000"/>
              </w:rPr>
            </w:pPr>
            <w:r>
              <w:rPr>
                <w:rFonts w:eastAsia="等线"/>
              </w:rPr>
              <w:t>2019219488852</w:t>
            </w:r>
          </w:p>
        </w:tc>
        <w:tc>
          <w:tcPr>
            <w:tcW w:w="1311" w:type="dxa"/>
            <w:tcMar>
              <w:top w:w="0" w:type="dxa"/>
              <w:left w:w="108" w:type="dxa"/>
              <w:bottom w:w="0" w:type="dxa"/>
              <w:right w:w="108" w:type="dxa"/>
            </w:tcMar>
            <w:vAlign w:val="center"/>
          </w:tcPr>
          <w:p w14:paraId="7DE19C05" w14:textId="77777777" w:rsidR="004B0883" w:rsidRDefault="004B0883">
            <w:pPr>
              <w:widowControl w:val="0"/>
              <w:jc w:val="center"/>
              <w:rPr>
                <w:color w:val="000000"/>
              </w:rPr>
            </w:pPr>
            <w:r>
              <w:rPr>
                <w:rFonts w:eastAsia="等线"/>
              </w:rPr>
              <w:t>2019-11-12</w:t>
            </w:r>
          </w:p>
        </w:tc>
        <w:tc>
          <w:tcPr>
            <w:tcW w:w="1077" w:type="dxa"/>
            <w:tcMar>
              <w:top w:w="0" w:type="dxa"/>
              <w:left w:w="108" w:type="dxa"/>
              <w:bottom w:w="0" w:type="dxa"/>
              <w:right w:w="108" w:type="dxa"/>
            </w:tcMar>
            <w:vAlign w:val="center"/>
          </w:tcPr>
          <w:p w14:paraId="532B6799" w14:textId="77777777" w:rsidR="004B0883" w:rsidRDefault="004B0883">
            <w:pPr>
              <w:widowControl w:val="0"/>
              <w:jc w:val="center"/>
              <w:rPr>
                <w:color w:val="000000"/>
              </w:rPr>
            </w:pPr>
            <w:r>
              <w:rPr>
                <w:rFonts w:ascii="宋体" w:hAnsi="宋体" w:hint="eastAsia"/>
              </w:rPr>
              <w:t>发行人、</w:t>
            </w:r>
            <w:r>
              <w:rPr>
                <w:rFonts w:ascii="宋体" w:hAnsi="宋体"/>
              </w:rPr>
              <w:t>莱州伟隆</w:t>
            </w:r>
            <w:r>
              <w:rPr>
                <w:rFonts w:ascii="宋体" w:hAnsi="宋体" w:hint="eastAsia"/>
              </w:rPr>
              <w:t>、</w:t>
            </w:r>
            <w:r>
              <w:rPr>
                <w:rFonts w:ascii="宋体" w:hAnsi="宋体"/>
              </w:rPr>
              <w:t>伟隆</w:t>
            </w:r>
            <w:r>
              <w:rPr>
                <w:rFonts w:ascii="宋体" w:hAnsi="宋体" w:hint="eastAsia"/>
              </w:rPr>
              <w:t>流体</w:t>
            </w:r>
          </w:p>
        </w:tc>
        <w:tc>
          <w:tcPr>
            <w:tcW w:w="1224" w:type="dxa"/>
            <w:tcMar>
              <w:top w:w="0" w:type="dxa"/>
              <w:left w:w="108" w:type="dxa"/>
              <w:bottom w:w="0" w:type="dxa"/>
              <w:right w:w="108" w:type="dxa"/>
            </w:tcMar>
            <w:vAlign w:val="center"/>
          </w:tcPr>
          <w:p w14:paraId="4332351E" w14:textId="77777777" w:rsidR="004B0883" w:rsidRDefault="004B0883">
            <w:pPr>
              <w:widowControl w:val="0"/>
              <w:jc w:val="center"/>
              <w:rPr>
                <w:color w:val="000000"/>
              </w:rPr>
            </w:pPr>
            <w:r>
              <w:rPr>
                <w:rFonts w:ascii="宋体" w:hAnsi="宋体" w:hint="eastAsia"/>
              </w:rPr>
              <w:t>原始取得</w:t>
            </w:r>
          </w:p>
        </w:tc>
      </w:tr>
      <w:tr w:rsidR="004B0883" w14:paraId="593294AE" w14:textId="77777777">
        <w:trPr>
          <w:trHeight w:val="397"/>
          <w:jc w:val="center"/>
        </w:trPr>
        <w:tc>
          <w:tcPr>
            <w:tcW w:w="348" w:type="pct"/>
            <w:tcMar>
              <w:top w:w="0" w:type="dxa"/>
              <w:left w:w="108" w:type="dxa"/>
              <w:bottom w:w="0" w:type="dxa"/>
              <w:right w:w="108" w:type="dxa"/>
            </w:tcMar>
            <w:vAlign w:val="center"/>
          </w:tcPr>
          <w:p w14:paraId="63F2C3BC" w14:textId="77777777" w:rsidR="004B0883" w:rsidRDefault="004B0883">
            <w:pPr>
              <w:widowControl w:val="0"/>
              <w:adjustRightInd w:val="0"/>
              <w:snapToGrid w:val="0"/>
              <w:jc w:val="center"/>
              <w:rPr>
                <w:color w:val="000000"/>
              </w:rPr>
            </w:pPr>
            <w:r>
              <w:rPr>
                <w:color w:val="000000"/>
              </w:rPr>
              <w:t>38</w:t>
            </w:r>
          </w:p>
        </w:tc>
        <w:tc>
          <w:tcPr>
            <w:tcW w:w="2096" w:type="dxa"/>
            <w:tcMar>
              <w:top w:w="0" w:type="dxa"/>
              <w:left w:w="108" w:type="dxa"/>
              <w:bottom w:w="0" w:type="dxa"/>
              <w:right w:w="108" w:type="dxa"/>
            </w:tcMar>
            <w:vAlign w:val="center"/>
          </w:tcPr>
          <w:p w14:paraId="734BDF15" w14:textId="77777777" w:rsidR="004B0883" w:rsidRDefault="004B0883">
            <w:pPr>
              <w:widowControl w:val="0"/>
              <w:jc w:val="center"/>
              <w:rPr>
                <w:color w:val="000000"/>
              </w:rPr>
            </w:pPr>
            <w:r>
              <w:rPr>
                <w:rFonts w:ascii="宋体" w:hAnsi="宋体"/>
              </w:rPr>
              <w:t>一种滚动式双闸板闸阀</w:t>
            </w:r>
          </w:p>
        </w:tc>
        <w:tc>
          <w:tcPr>
            <w:tcW w:w="1241" w:type="dxa"/>
            <w:tcMar>
              <w:top w:w="0" w:type="dxa"/>
              <w:left w:w="108" w:type="dxa"/>
              <w:bottom w:w="0" w:type="dxa"/>
              <w:right w:w="108" w:type="dxa"/>
            </w:tcMar>
            <w:vAlign w:val="center"/>
          </w:tcPr>
          <w:p w14:paraId="40BA1606"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3DEBC583" w14:textId="77777777" w:rsidR="004B0883" w:rsidRDefault="004B0883">
            <w:pPr>
              <w:widowControl w:val="0"/>
              <w:jc w:val="center"/>
              <w:rPr>
                <w:color w:val="000000"/>
              </w:rPr>
            </w:pPr>
            <w:r>
              <w:rPr>
                <w:rFonts w:eastAsia="等线"/>
              </w:rPr>
              <w:t>2019218566799</w:t>
            </w:r>
          </w:p>
        </w:tc>
        <w:tc>
          <w:tcPr>
            <w:tcW w:w="1311" w:type="dxa"/>
            <w:tcMar>
              <w:top w:w="0" w:type="dxa"/>
              <w:left w:w="108" w:type="dxa"/>
              <w:bottom w:w="0" w:type="dxa"/>
              <w:right w:w="108" w:type="dxa"/>
            </w:tcMar>
            <w:vAlign w:val="center"/>
          </w:tcPr>
          <w:p w14:paraId="19050A8F" w14:textId="77777777" w:rsidR="004B0883" w:rsidRDefault="004B0883">
            <w:pPr>
              <w:widowControl w:val="0"/>
              <w:jc w:val="center"/>
              <w:rPr>
                <w:color w:val="000000"/>
              </w:rPr>
            </w:pPr>
            <w:r>
              <w:rPr>
                <w:rFonts w:eastAsia="等线"/>
              </w:rPr>
              <w:t>2019-10-30</w:t>
            </w:r>
          </w:p>
        </w:tc>
        <w:tc>
          <w:tcPr>
            <w:tcW w:w="1077" w:type="dxa"/>
            <w:tcMar>
              <w:top w:w="0" w:type="dxa"/>
              <w:left w:w="108" w:type="dxa"/>
              <w:bottom w:w="0" w:type="dxa"/>
              <w:right w:w="108" w:type="dxa"/>
            </w:tcMar>
            <w:vAlign w:val="center"/>
          </w:tcPr>
          <w:p w14:paraId="7172CCDD" w14:textId="77777777" w:rsidR="004B0883" w:rsidRDefault="004B0883">
            <w:pPr>
              <w:widowControl w:val="0"/>
              <w:jc w:val="center"/>
              <w:rPr>
                <w:color w:val="000000"/>
              </w:rPr>
            </w:pPr>
            <w:r>
              <w:rPr>
                <w:rFonts w:ascii="宋体" w:hAnsi="宋体" w:hint="eastAsia"/>
              </w:rPr>
              <w:t>发行人、</w:t>
            </w:r>
            <w:r>
              <w:rPr>
                <w:rFonts w:ascii="宋体" w:hAnsi="宋体"/>
              </w:rPr>
              <w:t>莱州伟隆</w:t>
            </w:r>
            <w:r>
              <w:rPr>
                <w:rFonts w:ascii="宋体" w:hAnsi="宋体" w:hint="eastAsia"/>
              </w:rPr>
              <w:t>、</w:t>
            </w:r>
            <w:r>
              <w:rPr>
                <w:rFonts w:ascii="宋体" w:hAnsi="宋体"/>
              </w:rPr>
              <w:t>伟隆</w:t>
            </w:r>
            <w:r>
              <w:rPr>
                <w:rFonts w:ascii="宋体" w:hAnsi="宋体" w:hint="eastAsia"/>
              </w:rPr>
              <w:t>流体</w:t>
            </w:r>
          </w:p>
        </w:tc>
        <w:tc>
          <w:tcPr>
            <w:tcW w:w="1224" w:type="dxa"/>
            <w:tcMar>
              <w:top w:w="0" w:type="dxa"/>
              <w:left w:w="108" w:type="dxa"/>
              <w:bottom w:w="0" w:type="dxa"/>
              <w:right w:w="108" w:type="dxa"/>
            </w:tcMar>
            <w:vAlign w:val="center"/>
          </w:tcPr>
          <w:p w14:paraId="5C2A2DF9" w14:textId="77777777" w:rsidR="004B0883" w:rsidRDefault="004B0883">
            <w:pPr>
              <w:widowControl w:val="0"/>
              <w:jc w:val="center"/>
              <w:rPr>
                <w:color w:val="000000"/>
              </w:rPr>
            </w:pPr>
            <w:r>
              <w:rPr>
                <w:rFonts w:ascii="宋体" w:hAnsi="宋体" w:hint="eastAsia"/>
              </w:rPr>
              <w:t>原始取得</w:t>
            </w:r>
          </w:p>
        </w:tc>
      </w:tr>
      <w:tr w:rsidR="004B0883" w14:paraId="6FC08C19" w14:textId="77777777">
        <w:trPr>
          <w:trHeight w:val="397"/>
          <w:jc w:val="center"/>
        </w:trPr>
        <w:tc>
          <w:tcPr>
            <w:tcW w:w="348" w:type="pct"/>
            <w:tcMar>
              <w:top w:w="0" w:type="dxa"/>
              <w:left w:w="108" w:type="dxa"/>
              <w:bottom w:w="0" w:type="dxa"/>
              <w:right w:w="108" w:type="dxa"/>
            </w:tcMar>
            <w:vAlign w:val="center"/>
          </w:tcPr>
          <w:p w14:paraId="047EAE48" w14:textId="77777777" w:rsidR="004B0883" w:rsidRDefault="004B0883">
            <w:pPr>
              <w:widowControl w:val="0"/>
              <w:adjustRightInd w:val="0"/>
              <w:snapToGrid w:val="0"/>
              <w:jc w:val="center"/>
              <w:rPr>
                <w:color w:val="000000"/>
              </w:rPr>
            </w:pPr>
            <w:r>
              <w:rPr>
                <w:color w:val="000000"/>
              </w:rPr>
              <w:t>39</w:t>
            </w:r>
          </w:p>
        </w:tc>
        <w:tc>
          <w:tcPr>
            <w:tcW w:w="2096" w:type="dxa"/>
            <w:tcMar>
              <w:top w:w="0" w:type="dxa"/>
              <w:left w:w="108" w:type="dxa"/>
              <w:bottom w:w="0" w:type="dxa"/>
              <w:right w:w="108" w:type="dxa"/>
            </w:tcMar>
            <w:vAlign w:val="center"/>
          </w:tcPr>
          <w:p w14:paraId="0AF0B62F" w14:textId="77777777" w:rsidR="004B0883" w:rsidRDefault="004B0883">
            <w:pPr>
              <w:widowControl w:val="0"/>
              <w:jc w:val="center"/>
              <w:rPr>
                <w:color w:val="000000"/>
              </w:rPr>
            </w:pPr>
            <w:r>
              <w:rPr>
                <w:rFonts w:ascii="宋体" w:hAnsi="宋体"/>
              </w:rPr>
              <w:t>一种弹簧旋起止回阀开、关寿命测试装置</w:t>
            </w:r>
          </w:p>
        </w:tc>
        <w:tc>
          <w:tcPr>
            <w:tcW w:w="1241" w:type="dxa"/>
            <w:tcMar>
              <w:top w:w="0" w:type="dxa"/>
              <w:left w:w="108" w:type="dxa"/>
              <w:bottom w:w="0" w:type="dxa"/>
              <w:right w:w="108" w:type="dxa"/>
            </w:tcMar>
            <w:vAlign w:val="center"/>
          </w:tcPr>
          <w:p w14:paraId="4F89DB20"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76A84159" w14:textId="77777777" w:rsidR="004B0883" w:rsidRDefault="004B0883">
            <w:pPr>
              <w:widowControl w:val="0"/>
              <w:jc w:val="center"/>
              <w:rPr>
                <w:color w:val="000000"/>
              </w:rPr>
            </w:pPr>
            <w:r>
              <w:rPr>
                <w:rFonts w:eastAsia="等线"/>
              </w:rPr>
              <w:t>2019216909667</w:t>
            </w:r>
          </w:p>
        </w:tc>
        <w:tc>
          <w:tcPr>
            <w:tcW w:w="1311" w:type="dxa"/>
            <w:tcMar>
              <w:top w:w="0" w:type="dxa"/>
              <w:left w:w="108" w:type="dxa"/>
              <w:bottom w:w="0" w:type="dxa"/>
              <w:right w:w="108" w:type="dxa"/>
            </w:tcMar>
            <w:vAlign w:val="center"/>
          </w:tcPr>
          <w:p w14:paraId="2FDFF4A9" w14:textId="77777777" w:rsidR="004B0883" w:rsidRDefault="004B0883">
            <w:pPr>
              <w:widowControl w:val="0"/>
              <w:jc w:val="center"/>
              <w:rPr>
                <w:color w:val="000000"/>
              </w:rPr>
            </w:pPr>
            <w:r>
              <w:rPr>
                <w:rFonts w:eastAsia="等线"/>
              </w:rPr>
              <w:t>2019-10-10</w:t>
            </w:r>
          </w:p>
        </w:tc>
        <w:tc>
          <w:tcPr>
            <w:tcW w:w="1077" w:type="dxa"/>
            <w:tcMar>
              <w:top w:w="0" w:type="dxa"/>
              <w:left w:w="108" w:type="dxa"/>
              <w:bottom w:w="0" w:type="dxa"/>
              <w:right w:w="108" w:type="dxa"/>
            </w:tcMar>
            <w:vAlign w:val="center"/>
          </w:tcPr>
          <w:p w14:paraId="3DB9BEA7" w14:textId="77777777" w:rsidR="004B0883" w:rsidRDefault="004B0883">
            <w:pPr>
              <w:widowControl w:val="0"/>
              <w:jc w:val="center"/>
              <w:rPr>
                <w:color w:val="000000"/>
              </w:rPr>
            </w:pPr>
            <w:r>
              <w:rPr>
                <w:rFonts w:ascii="宋体" w:hAnsi="宋体" w:hint="eastAsia"/>
              </w:rPr>
              <w:t>发行人、</w:t>
            </w:r>
            <w:r>
              <w:rPr>
                <w:rFonts w:ascii="宋体" w:hAnsi="宋体"/>
              </w:rPr>
              <w:t>莱州伟隆</w:t>
            </w:r>
            <w:r>
              <w:rPr>
                <w:rFonts w:ascii="宋体" w:hAnsi="宋体" w:hint="eastAsia"/>
              </w:rPr>
              <w:t>、</w:t>
            </w:r>
            <w:r>
              <w:rPr>
                <w:rFonts w:ascii="宋体" w:hAnsi="宋体"/>
              </w:rPr>
              <w:t>伟隆</w:t>
            </w:r>
            <w:r>
              <w:rPr>
                <w:rFonts w:ascii="宋体" w:hAnsi="宋体" w:hint="eastAsia"/>
              </w:rPr>
              <w:t>流体</w:t>
            </w:r>
          </w:p>
        </w:tc>
        <w:tc>
          <w:tcPr>
            <w:tcW w:w="1224" w:type="dxa"/>
            <w:tcMar>
              <w:top w:w="0" w:type="dxa"/>
              <w:left w:w="108" w:type="dxa"/>
              <w:bottom w:w="0" w:type="dxa"/>
              <w:right w:w="108" w:type="dxa"/>
            </w:tcMar>
            <w:vAlign w:val="center"/>
          </w:tcPr>
          <w:p w14:paraId="19D3DC8B" w14:textId="77777777" w:rsidR="004B0883" w:rsidRDefault="004B0883">
            <w:pPr>
              <w:widowControl w:val="0"/>
              <w:jc w:val="center"/>
              <w:rPr>
                <w:color w:val="000000"/>
              </w:rPr>
            </w:pPr>
            <w:r>
              <w:rPr>
                <w:rFonts w:ascii="宋体" w:hAnsi="宋体" w:hint="eastAsia"/>
              </w:rPr>
              <w:t>原始取得</w:t>
            </w:r>
          </w:p>
        </w:tc>
      </w:tr>
      <w:tr w:rsidR="004B0883" w14:paraId="3557D713" w14:textId="77777777">
        <w:trPr>
          <w:trHeight w:val="397"/>
          <w:jc w:val="center"/>
        </w:trPr>
        <w:tc>
          <w:tcPr>
            <w:tcW w:w="348" w:type="pct"/>
            <w:tcMar>
              <w:top w:w="0" w:type="dxa"/>
              <w:left w:w="108" w:type="dxa"/>
              <w:bottom w:w="0" w:type="dxa"/>
              <w:right w:w="108" w:type="dxa"/>
            </w:tcMar>
            <w:vAlign w:val="center"/>
          </w:tcPr>
          <w:p w14:paraId="48CB7F7C" w14:textId="77777777" w:rsidR="004B0883" w:rsidRDefault="004B0883">
            <w:pPr>
              <w:widowControl w:val="0"/>
              <w:adjustRightInd w:val="0"/>
              <w:snapToGrid w:val="0"/>
              <w:jc w:val="center"/>
              <w:rPr>
                <w:color w:val="000000"/>
              </w:rPr>
            </w:pPr>
            <w:r>
              <w:rPr>
                <w:color w:val="000000"/>
              </w:rPr>
              <w:t>40</w:t>
            </w:r>
          </w:p>
        </w:tc>
        <w:tc>
          <w:tcPr>
            <w:tcW w:w="2096" w:type="dxa"/>
            <w:tcMar>
              <w:top w:w="0" w:type="dxa"/>
              <w:left w:w="108" w:type="dxa"/>
              <w:bottom w:w="0" w:type="dxa"/>
              <w:right w:w="108" w:type="dxa"/>
            </w:tcMar>
            <w:vAlign w:val="center"/>
          </w:tcPr>
          <w:p w14:paraId="41E6A12C" w14:textId="77777777" w:rsidR="004B0883" w:rsidRDefault="004B0883">
            <w:pPr>
              <w:widowControl w:val="0"/>
              <w:jc w:val="center"/>
              <w:rPr>
                <w:color w:val="000000"/>
              </w:rPr>
            </w:pPr>
            <w:r>
              <w:rPr>
                <w:rFonts w:ascii="宋体" w:hAnsi="宋体"/>
              </w:rPr>
              <w:t>一种防撞式室外地上消火栓</w:t>
            </w:r>
          </w:p>
        </w:tc>
        <w:tc>
          <w:tcPr>
            <w:tcW w:w="1241" w:type="dxa"/>
            <w:tcMar>
              <w:top w:w="0" w:type="dxa"/>
              <w:left w:w="108" w:type="dxa"/>
              <w:bottom w:w="0" w:type="dxa"/>
              <w:right w:w="108" w:type="dxa"/>
            </w:tcMar>
            <w:vAlign w:val="center"/>
          </w:tcPr>
          <w:p w14:paraId="47C1E8C1"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750B10CC" w14:textId="77777777" w:rsidR="004B0883" w:rsidRDefault="004B0883">
            <w:pPr>
              <w:widowControl w:val="0"/>
              <w:jc w:val="center"/>
              <w:rPr>
                <w:color w:val="000000"/>
              </w:rPr>
            </w:pPr>
            <w:r>
              <w:rPr>
                <w:rFonts w:eastAsia="等线"/>
              </w:rPr>
              <w:t>201921663049X</w:t>
            </w:r>
          </w:p>
        </w:tc>
        <w:tc>
          <w:tcPr>
            <w:tcW w:w="1311" w:type="dxa"/>
            <w:tcMar>
              <w:top w:w="0" w:type="dxa"/>
              <w:left w:w="108" w:type="dxa"/>
              <w:bottom w:w="0" w:type="dxa"/>
              <w:right w:w="108" w:type="dxa"/>
            </w:tcMar>
            <w:vAlign w:val="center"/>
          </w:tcPr>
          <w:p w14:paraId="44905666" w14:textId="77777777" w:rsidR="004B0883" w:rsidRDefault="004B0883">
            <w:pPr>
              <w:widowControl w:val="0"/>
              <w:jc w:val="center"/>
              <w:rPr>
                <w:color w:val="000000"/>
              </w:rPr>
            </w:pPr>
            <w:r>
              <w:rPr>
                <w:rFonts w:eastAsia="等线"/>
              </w:rPr>
              <w:t>2019-09-30</w:t>
            </w:r>
          </w:p>
        </w:tc>
        <w:tc>
          <w:tcPr>
            <w:tcW w:w="1077" w:type="dxa"/>
            <w:tcMar>
              <w:top w:w="0" w:type="dxa"/>
              <w:left w:w="108" w:type="dxa"/>
              <w:bottom w:w="0" w:type="dxa"/>
              <w:right w:w="108" w:type="dxa"/>
            </w:tcMar>
            <w:vAlign w:val="center"/>
          </w:tcPr>
          <w:p w14:paraId="704F5D4B" w14:textId="77777777" w:rsidR="004B0883" w:rsidRDefault="004B0883">
            <w:pPr>
              <w:widowControl w:val="0"/>
              <w:jc w:val="center"/>
              <w:rPr>
                <w:color w:val="000000"/>
              </w:rPr>
            </w:pPr>
            <w:r>
              <w:rPr>
                <w:rFonts w:ascii="宋体" w:hAnsi="宋体" w:hint="eastAsia"/>
              </w:rPr>
              <w:t>发行人、</w:t>
            </w:r>
            <w:r>
              <w:rPr>
                <w:rFonts w:ascii="宋体" w:hAnsi="宋体"/>
              </w:rPr>
              <w:t>莱州伟隆</w:t>
            </w:r>
            <w:r>
              <w:rPr>
                <w:rFonts w:ascii="宋体" w:hAnsi="宋体" w:hint="eastAsia"/>
              </w:rPr>
              <w:t>、</w:t>
            </w:r>
            <w:r>
              <w:rPr>
                <w:rFonts w:ascii="宋体" w:hAnsi="宋体"/>
              </w:rPr>
              <w:t>伟隆</w:t>
            </w:r>
            <w:r>
              <w:rPr>
                <w:rFonts w:ascii="宋体" w:hAnsi="宋体" w:hint="eastAsia"/>
              </w:rPr>
              <w:t>流体</w:t>
            </w:r>
          </w:p>
        </w:tc>
        <w:tc>
          <w:tcPr>
            <w:tcW w:w="1224" w:type="dxa"/>
            <w:tcMar>
              <w:top w:w="0" w:type="dxa"/>
              <w:left w:w="108" w:type="dxa"/>
              <w:bottom w:w="0" w:type="dxa"/>
              <w:right w:w="108" w:type="dxa"/>
            </w:tcMar>
            <w:vAlign w:val="center"/>
          </w:tcPr>
          <w:p w14:paraId="2FBB0912" w14:textId="77777777" w:rsidR="004B0883" w:rsidRDefault="004B0883">
            <w:pPr>
              <w:widowControl w:val="0"/>
              <w:jc w:val="center"/>
              <w:rPr>
                <w:color w:val="000000"/>
              </w:rPr>
            </w:pPr>
            <w:r>
              <w:rPr>
                <w:rFonts w:ascii="宋体" w:hAnsi="宋体" w:hint="eastAsia"/>
              </w:rPr>
              <w:t>原始取得</w:t>
            </w:r>
          </w:p>
        </w:tc>
      </w:tr>
      <w:tr w:rsidR="004B0883" w14:paraId="34C956D8" w14:textId="77777777">
        <w:trPr>
          <w:trHeight w:val="397"/>
          <w:jc w:val="center"/>
        </w:trPr>
        <w:tc>
          <w:tcPr>
            <w:tcW w:w="348" w:type="pct"/>
            <w:tcMar>
              <w:top w:w="0" w:type="dxa"/>
              <w:left w:w="108" w:type="dxa"/>
              <w:bottom w:w="0" w:type="dxa"/>
              <w:right w:w="108" w:type="dxa"/>
            </w:tcMar>
            <w:vAlign w:val="center"/>
          </w:tcPr>
          <w:p w14:paraId="05E2BE16" w14:textId="77777777" w:rsidR="004B0883" w:rsidRDefault="004B0883">
            <w:pPr>
              <w:widowControl w:val="0"/>
              <w:adjustRightInd w:val="0"/>
              <w:snapToGrid w:val="0"/>
              <w:jc w:val="center"/>
              <w:rPr>
                <w:color w:val="000000"/>
              </w:rPr>
            </w:pPr>
            <w:r>
              <w:rPr>
                <w:color w:val="000000"/>
              </w:rPr>
              <w:t>41</w:t>
            </w:r>
          </w:p>
        </w:tc>
        <w:tc>
          <w:tcPr>
            <w:tcW w:w="2096" w:type="dxa"/>
            <w:tcMar>
              <w:top w:w="0" w:type="dxa"/>
              <w:left w:w="108" w:type="dxa"/>
              <w:bottom w:w="0" w:type="dxa"/>
              <w:right w:w="108" w:type="dxa"/>
            </w:tcMar>
            <w:vAlign w:val="center"/>
          </w:tcPr>
          <w:p w14:paraId="66A2FEB9" w14:textId="77777777" w:rsidR="004B0883" w:rsidRDefault="004B0883">
            <w:pPr>
              <w:widowControl w:val="0"/>
              <w:jc w:val="center"/>
              <w:rPr>
                <w:color w:val="000000"/>
              </w:rPr>
            </w:pPr>
            <w:r>
              <w:rPr>
                <w:rFonts w:ascii="宋体" w:hAnsi="宋体"/>
              </w:rPr>
              <w:t>一种水流指示器测试用管路集成装置</w:t>
            </w:r>
          </w:p>
        </w:tc>
        <w:tc>
          <w:tcPr>
            <w:tcW w:w="1241" w:type="dxa"/>
            <w:tcMar>
              <w:top w:w="0" w:type="dxa"/>
              <w:left w:w="108" w:type="dxa"/>
              <w:bottom w:w="0" w:type="dxa"/>
              <w:right w:w="108" w:type="dxa"/>
            </w:tcMar>
            <w:vAlign w:val="center"/>
          </w:tcPr>
          <w:p w14:paraId="1612E9E8"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6EA435EE" w14:textId="77777777" w:rsidR="004B0883" w:rsidRDefault="004B0883">
            <w:pPr>
              <w:widowControl w:val="0"/>
              <w:jc w:val="center"/>
              <w:rPr>
                <w:color w:val="000000"/>
              </w:rPr>
            </w:pPr>
            <w:r>
              <w:rPr>
                <w:rFonts w:eastAsia="等线"/>
              </w:rPr>
              <w:t>2019216669288</w:t>
            </w:r>
          </w:p>
        </w:tc>
        <w:tc>
          <w:tcPr>
            <w:tcW w:w="1311" w:type="dxa"/>
            <w:tcMar>
              <w:top w:w="0" w:type="dxa"/>
              <w:left w:w="108" w:type="dxa"/>
              <w:bottom w:w="0" w:type="dxa"/>
              <w:right w:w="108" w:type="dxa"/>
            </w:tcMar>
            <w:vAlign w:val="center"/>
          </w:tcPr>
          <w:p w14:paraId="2CB5E4B2" w14:textId="77777777" w:rsidR="004B0883" w:rsidRDefault="004B0883">
            <w:pPr>
              <w:widowControl w:val="0"/>
              <w:jc w:val="center"/>
              <w:rPr>
                <w:color w:val="000000"/>
              </w:rPr>
            </w:pPr>
            <w:r>
              <w:rPr>
                <w:rFonts w:eastAsia="等线"/>
              </w:rPr>
              <w:t>2019-09-30</w:t>
            </w:r>
          </w:p>
        </w:tc>
        <w:tc>
          <w:tcPr>
            <w:tcW w:w="1077" w:type="dxa"/>
            <w:tcMar>
              <w:top w:w="0" w:type="dxa"/>
              <w:left w:w="108" w:type="dxa"/>
              <w:bottom w:w="0" w:type="dxa"/>
              <w:right w:w="108" w:type="dxa"/>
            </w:tcMar>
            <w:vAlign w:val="center"/>
          </w:tcPr>
          <w:p w14:paraId="5913569B" w14:textId="77777777" w:rsidR="004B0883" w:rsidRDefault="004B0883">
            <w:pPr>
              <w:widowControl w:val="0"/>
              <w:jc w:val="center"/>
              <w:rPr>
                <w:color w:val="000000"/>
              </w:rPr>
            </w:pPr>
            <w:r>
              <w:rPr>
                <w:rFonts w:ascii="宋体" w:hAnsi="宋体" w:hint="eastAsia"/>
              </w:rPr>
              <w:t>发行人、</w:t>
            </w:r>
            <w:r>
              <w:rPr>
                <w:rFonts w:ascii="宋体" w:hAnsi="宋体"/>
              </w:rPr>
              <w:t>莱州伟隆</w:t>
            </w:r>
            <w:r>
              <w:rPr>
                <w:rFonts w:ascii="宋体" w:hAnsi="宋体" w:hint="eastAsia"/>
              </w:rPr>
              <w:t>、</w:t>
            </w:r>
            <w:r>
              <w:rPr>
                <w:rFonts w:ascii="宋体" w:hAnsi="宋体"/>
              </w:rPr>
              <w:t>伟隆</w:t>
            </w:r>
            <w:r>
              <w:rPr>
                <w:rFonts w:ascii="宋体" w:hAnsi="宋体" w:hint="eastAsia"/>
              </w:rPr>
              <w:t>流体</w:t>
            </w:r>
          </w:p>
        </w:tc>
        <w:tc>
          <w:tcPr>
            <w:tcW w:w="1224" w:type="dxa"/>
            <w:tcMar>
              <w:top w:w="0" w:type="dxa"/>
              <w:left w:w="108" w:type="dxa"/>
              <w:bottom w:w="0" w:type="dxa"/>
              <w:right w:w="108" w:type="dxa"/>
            </w:tcMar>
            <w:vAlign w:val="center"/>
          </w:tcPr>
          <w:p w14:paraId="55EE5F42" w14:textId="77777777" w:rsidR="004B0883" w:rsidRDefault="004B0883">
            <w:pPr>
              <w:widowControl w:val="0"/>
              <w:jc w:val="center"/>
              <w:rPr>
                <w:color w:val="000000"/>
              </w:rPr>
            </w:pPr>
            <w:r>
              <w:rPr>
                <w:rFonts w:ascii="宋体" w:hAnsi="宋体" w:hint="eastAsia"/>
              </w:rPr>
              <w:t>原始取得</w:t>
            </w:r>
          </w:p>
        </w:tc>
      </w:tr>
      <w:tr w:rsidR="004B0883" w14:paraId="4EE7772A" w14:textId="77777777">
        <w:trPr>
          <w:trHeight w:val="397"/>
          <w:jc w:val="center"/>
        </w:trPr>
        <w:tc>
          <w:tcPr>
            <w:tcW w:w="348" w:type="pct"/>
            <w:tcMar>
              <w:top w:w="0" w:type="dxa"/>
              <w:left w:w="108" w:type="dxa"/>
              <w:bottom w:w="0" w:type="dxa"/>
              <w:right w:w="108" w:type="dxa"/>
            </w:tcMar>
            <w:vAlign w:val="center"/>
          </w:tcPr>
          <w:p w14:paraId="2B157D94" w14:textId="77777777" w:rsidR="004B0883" w:rsidRDefault="004B0883">
            <w:pPr>
              <w:widowControl w:val="0"/>
              <w:adjustRightInd w:val="0"/>
              <w:snapToGrid w:val="0"/>
              <w:jc w:val="center"/>
              <w:rPr>
                <w:color w:val="000000"/>
                <w:kern w:val="0"/>
              </w:rPr>
            </w:pPr>
            <w:r>
              <w:rPr>
                <w:color w:val="000000"/>
              </w:rPr>
              <w:t>42</w:t>
            </w:r>
          </w:p>
        </w:tc>
        <w:tc>
          <w:tcPr>
            <w:tcW w:w="2096" w:type="dxa"/>
            <w:tcMar>
              <w:top w:w="0" w:type="dxa"/>
              <w:left w:w="108" w:type="dxa"/>
              <w:bottom w:w="0" w:type="dxa"/>
              <w:right w:w="108" w:type="dxa"/>
            </w:tcMar>
            <w:vAlign w:val="center"/>
          </w:tcPr>
          <w:p w14:paraId="727F59D3" w14:textId="77777777" w:rsidR="004B0883" w:rsidRDefault="004B0883">
            <w:pPr>
              <w:widowControl w:val="0"/>
              <w:jc w:val="center"/>
              <w:rPr>
                <w:color w:val="000000"/>
                <w:kern w:val="0"/>
              </w:rPr>
            </w:pPr>
            <w:r>
              <w:rPr>
                <w:rFonts w:ascii="宋体" w:hAnsi="宋体"/>
              </w:rPr>
              <w:t>干式喷淋灭火系统加速器</w:t>
            </w:r>
          </w:p>
        </w:tc>
        <w:tc>
          <w:tcPr>
            <w:tcW w:w="1241" w:type="dxa"/>
            <w:tcMar>
              <w:top w:w="0" w:type="dxa"/>
              <w:left w:w="108" w:type="dxa"/>
              <w:bottom w:w="0" w:type="dxa"/>
              <w:right w:w="108" w:type="dxa"/>
            </w:tcMar>
            <w:vAlign w:val="center"/>
          </w:tcPr>
          <w:p w14:paraId="1AA5E34C" w14:textId="77777777" w:rsidR="004B0883" w:rsidRDefault="004B0883">
            <w:pPr>
              <w:widowControl w:val="0"/>
              <w:jc w:val="center"/>
              <w:rPr>
                <w:color w:val="000000"/>
                <w:kern w:val="0"/>
              </w:rPr>
            </w:pPr>
            <w:r>
              <w:rPr>
                <w:rFonts w:ascii="宋体" w:hAnsi="宋体"/>
              </w:rPr>
              <w:t>实用新型</w:t>
            </w:r>
          </w:p>
        </w:tc>
        <w:tc>
          <w:tcPr>
            <w:tcW w:w="1628" w:type="dxa"/>
            <w:tcMar>
              <w:top w:w="0" w:type="dxa"/>
              <w:left w:w="108" w:type="dxa"/>
              <w:bottom w:w="0" w:type="dxa"/>
              <w:right w:w="108" w:type="dxa"/>
            </w:tcMar>
            <w:vAlign w:val="center"/>
          </w:tcPr>
          <w:p w14:paraId="690DA6F6" w14:textId="77777777" w:rsidR="004B0883" w:rsidRDefault="004B0883">
            <w:pPr>
              <w:widowControl w:val="0"/>
              <w:jc w:val="center"/>
              <w:rPr>
                <w:color w:val="000000"/>
                <w:kern w:val="0"/>
              </w:rPr>
            </w:pPr>
            <w:r>
              <w:rPr>
                <w:rFonts w:eastAsia="等线"/>
              </w:rPr>
              <w:t>2018216244029</w:t>
            </w:r>
          </w:p>
        </w:tc>
        <w:tc>
          <w:tcPr>
            <w:tcW w:w="1311" w:type="dxa"/>
            <w:tcMar>
              <w:top w:w="0" w:type="dxa"/>
              <w:left w:w="108" w:type="dxa"/>
              <w:bottom w:w="0" w:type="dxa"/>
              <w:right w:w="108" w:type="dxa"/>
            </w:tcMar>
            <w:vAlign w:val="center"/>
          </w:tcPr>
          <w:p w14:paraId="4BCB08BA" w14:textId="77777777" w:rsidR="004B0883" w:rsidRDefault="004B0883">
            <w:pPr>
              <w:widowControl w:val="0"/>
              <w:jc w:val="center"/>
              <w:rPr>
                <w:color w:val="000000"/>
                <w:kern w:val="0"/>
              </w:rPr>
            </w:pPr>
            <w:r>
              <w:rPr>
                <w:rFonts w:eastAsia="等线"/>
              </w:rPr>
              <w:t>2018-09-30</w:t>
            </w:r>
          </w:p>
        </w:tc>
        <w:tc>
          <w:tcPr>
            <w:tcW w:w="1077" w:type="dxa"/>
            <w:tcMar>
              <w:top w:w="0" w:type="dxa"/>
              <w:left w:w="108" w:type="dxa"/>
              <w:bottom w:w="0" w:type="dxa"/>
              <w:right w:w="108" w:type="dxa"/>
            </w:tcMar>
            <w:vAlign w:val="center"/>
          </w:tcPr>
          <w:p w14:paraId="471AADD9" w14:textId="77777777" w:rsidR="004B0883" w:rsidRDefault="004B0883">
            <w:pPr>
              <w:widowControl w:val="0"/>
              <w:jc w:val="center"/>
              <w:rPr>
                <w:color w:val="000000"/>
                <w:kern w:val="0"/>
              </w:rPr>
            </w:pPr>
            <w:r>
              <w:rPr>
                <w:rFonts w:ascii="宋体" w:hAnsi="宋体" w:hint="eastAsia"/>
              </w:rPr>
              <w:t>发行人、</w:t>
            </w:r>
            <w:r>
              <w:rPr>
                <w:rFonts w:ascii="宋体" w:hAnsi="宋体"/>
              </w:rPr>
              <w:t>莱州伟隆</w:t>
            </w:r>
            <w:r>
              <w:rPr>
                <w:rFonts w:ascii="宋体" w:hAnsi="宋体" w:hint="eastAsia"/>
              </w:rPr>
              <w:t>、</w:t>
            </w:r>
            <w:r>
              <w:rPr>
                <w:rFonts w:ascii="宋体" w:hAnsi="宋体"/>
              </w:rPr>
              <w:t>伟隆</w:t>
            </w:r>
            <w:r>
              <w:rPr>
                <w:rFonts w:ascii="宋体" w:hAnsi="宋体" w:hint="eastAsia"/>
              </w:rPr>
              <w:t>流体</w:t>
            </w:r>
          </w:p>
        </w:tc>
        <w:tc>
          <w:tcPr>
            <w:tcW w:w="1224" w:type="dxa"/>
            <w:tcMar>
              <w:top w:w="0" w:type="dxa"/>
              <w:left w:w="108" w:type="dxa"/>
              <w:bottom w:w="0" w:type="dxa"/>
              <w:right w:w="108" w:type="dxa"/>
            </w:tcMar>
            <w:vAlign w:val="center"/>
          </w:tcPr>
          <w:p w14:paraId="658C3559" w14:textId="77777777" w:rsidR="004B0883" w:rsidRDefault="004B0883">
            <w:pPr>
              <w:widowControl w:val="0"/>
              <w:jc w:val="center"/>
              <w:rPr>
                <w:color w:val="000000"/>
              </w:rPr>
            </w:pPr>
            <w:r>
              <w:rPr>
                <w:rFonts w:ascii="宋体" w:hAnsi="宋体" w:hint="eastAsia"/>
              </w:rPr>
              <w:t>原始取得</w:t>
            </w:r>
          </w:p>
        </w:tc>
      </w:tr>
      <w:tr w:rsidR="004B0883" w14:paraId="1E69E0ED" w14:textId="77777777">
        <w:trPr>
          <w:trHeight w:val="397"/>
          <w:jc w:val="center"/>
        </w:trPr>
        <w:tc>
          <w:tcPr>
            <w:tcW w:w="348" w:type="pct"/>
            <w:tcMar>
              <w:top w:w="0" w:type="dxa"/>
              <w:left w:w="108" w:type="dxa"/>
              <w:bottom w:w="0" w:type="dxa"/>
              <w:right w:w="108" w:type="dxa"/>
            </w:tcMar>
            <w:vAlign w:val="center"/>
          </w:tcPr>
          <w:p w14:paraId="20D36C50" w14:textId="77777777" w:rsidR="004B0883" w:rsidRDefault="004B0883">
            <w:pPr>
              <w:widowControl w:val="0"/>
              <w:adjustRightInd w:val="0"/>
              <w:snapToGrid w:val="0"/>
              <w:jc w:val="center"/>
              <w:rPr>
                <w:color w:val="000000"/>
              </w:rPr>
            </w:pPr>
            <w:r>
              <w:rPr>
                <w:color w:val="000000"/>
              </w:rPr>
              <w:t>43</w:t>
            </w:r>
          </w:p>
        </w:tc>
        <w:tc>
          <w:tcPr>
            <w:tcW w:w="2096" w:type="dxa"/>
            <w:tcMar>
              <w:top w:w="0" w:type="dxa"/>
              <w:left w:w="108" w:type="dxa"/>
              <w:bottom w:w="0" w:type="dxa"/>
              <w:right w:w="108" w:type="dxa"/>
            </w:tcMar>
            <w:vAlign w:val="center"/>
          </w:tcPr>
          <w:p w14:paraId="69EEFBAC" w14:textId="77777777" w:rsidR="004B0883" w:rsidRDefault="004B0883">
            <w:pPr>
              <w:widowControl w:val="0"/>
              <w:jc w:val="center"/>
              <w:rPr>
                <w:color w:val="000000"/>
              </w:rPr>
            </w:pPr>
            <w:r>
              <w:rPr>
                <w:rFonts w:ascii="宋体" w:hAnsi="宋体"/>
              </w:rPr>
              <w:t>干式消防喷水灭火系统报警阀膜片试验测试装置</w:t>
            </w:r>
          </w:p>
        </w:tc>
        <w:tc>
          <w:tcPr>
            <w:tcW w:w="1241" w:type="dxa"/>
            <w:tcMar>
              <w:top w:w="0" w:type="dxa"/>
              <w:left w:w="108" w:type="dxa"/>
              <w:bottom w:w="0" w:type="dxa"/>
              <w:right w:w="108" w:type="dxa"/>
            </w:tcMar>
            <w:vAlign w:val="center"/>
          </w:tcPr>
          <w:p w14:paraId="1039E1AF"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1793B524" w14:textId="77777777" w:rsidR="004B0883" w:rsidRDefault="004B0883">
            <w:pPr>
              <w:widowControl w:val="0"/>
              <w:jc w:val="center"/>
              <w:rPr>
                <w:color w:val="000000"/>
              </w:rPr>
            </w:pPr>
            <w:r>
              <w:rPr>
                <w:rFonts w:eastAsia="等线"/>
              </w:rPr>
              <w:t>2018216232290</w:t>
            </w:r>
          </w:p>
        </w:tc>
        <w:tc>
          <w:tcPr>
            <w:tcW w:w="1311" w:type="dxa"/>
            <w:tcMar>
              <w:top w:w="0" w:type="dxa"/>
              <w:left w:w="108" w:type="dxa"/>
              <w:bottom w:w="0" w:type="dxa"/>
              <w:right w:w="108" w:type="dxa"/>
            </w:tcMar>
            <w:vAlign w:val="center"/>
          </w:tcPr>
          <w:p w14:paraId="1898F342" w14:textId="77777777" w:rsidR="004B0883" w:rsidRDefault="004B0883">
            <w:pPr>
              <w:widowControl w:val="0"/>
              <w:jc w:val="center"/>
              <w:rPr>
                <w:color w:val="000000"/>
              </w:rPr>
            </w:pPr>
            <w:r>
              <w:rPr>
                <w:rFonts w:eastAsia="等线"/>
              </w:rPr>
              <w:t>2018-09-30</w:t>
            </w:r>
          </w:p>
        </w:tc>
        <w:tc>
          <w:tcPr>
            <w:tcW w:w="1077" w:type="dxa"/>
            <w:tcMar>
              <w:top w:w="0" w:type="dxa"/>
              <w:left w:w="108" w:type="dxa"/>
              <w:bottom w:w="0" w:type="dxa"/>
              <w:right w:w="108" w:type="dxa"/>
            </w:tcMar>
            <w:vAlign w:val="center"/>
          </w:tcPr>
          <w:p w14:paraId="3EB8E1E6" w14:textId="77777777" w:rsidR="004B0883" w:rsidRDefault="004B0883">
            <w:pPr>
              <w:widowControl w:val="0"/>
              <w:jc w:val="center"/>
              <w:rPr>
                <w:color w:val="000000"/>
              </w:rPr>
            </w:pPr>
            <w:r>
              <w:rPr>
                <w:rFonts w:ascii="宋体" w:hAnsi="宋体" w:hint="eastAsia"/>
              </w:rPr>
              <w:t>发行人、</w:t>
            </w:r>
            <w:r>
              <w:rPr>
                <w:rFonts w:ascii="宋体" w:hAnsi="宋体"/>
              </w:rPr>
              <w:t>莱州伟隆</w:t>
            </w:r>
            <w:r>
              <w:rPr>
                <w:rFonts w:ascii="宋体" w:hAnsi="宋体" w:hint="eastAsia"/>
              </w:rPr>
              <w:t>、</w:t>
            </w:r>
            <w:r>
              <w:rPr>
                <w:rFonts w:ascii="宋体" w:hAnsi="宋体"/>
              </w:rPr>
              <w:t>伟隆</w:t>
            </w:r>
            <w:r>
              <w:rPr>
                <w:rFonts w:ascii="宋体" w:hAnsi="宋体" w:hint="eastAsia"/>
              </w:rPr>
              <w:t>流体</w:t>
            </w:r>
          </w:p>
        </w:tc>
        <w:tc>
          <w:tcPr>
            <w:tcW w:w="1224" w:type="dxa"/>
            <w:tcMar>
              <w:top w:w="0" w:type="dxa"/>
              <w:left w:w="108" w:type="dxa"/>
              <w:bottom w:w="0" w:type="dxa"/>
              <w:right w:w="108" w:type="dxa"/>
            </w:tcMar>
            <w:vAlign w:val="center"/>
          </w:tcPr>
          <w:p w14:paraId="55BF13DD" w14:textId="77777777" w:rsidR="004B0883" w:rsidRDefault="004B0883">
            <w:pPr>
              <w:widowControl w:val="0"/>
              <w:jc w:val="center"/>
              <w:rPr>
                <w:color w:val="000000"/>
              </w:rPr>
            </w:pPr>
            <w:r>
              <w:rPr>
                <w:rFonts w:ascii="宋体" w:hAnsi="宋体" w:hint="eastAsia"/>
              </w:rPr>
              <w:t>原始取得</w:t>
            </w:r>
          </w:p>
        </w:tc>
      </w:tr>
      <w:tr w:rsidR="004B0883" w14:paraId="1DB8A2B3" w14:textId="77777777">
        <w:trPr>
          <w:trHeight w:val="397"/>
          <w:jc w:val="center"/>
        </w:trPr>
        <w:tc>
          <w:tcPr>
            <w:tcW w:w="348" w:type="pct"/>
            <w:tcMar>
              <w:top w:w="0" w:type="dxa"/>
              <w:left w:w="108" w:type="dxa"/>
              <w:bottom w:w="0" w:type="dxa"/>
              <w:right w:w="108" w:type="dxa"/>
            </w:tcMar>
            <w:vAlign w:val="center"/>
          </w:tcPr>
          <w:p w14:paraId="5EE69D31" w14:textId="77777777" w:rsidR="004B0883" w:rsidRDefault="004B0883">
            <w:pPr>
              <w:widowControl w:val="0"/>
              <w:adjustRightInd w:val="0"/>
              <w:snapToGrid w:val="0"/>
              <w:jc w:val="center"/>
              <w:rPr>
                <w:color w:val="000000"/>
              </w:rPr>
            </w:pPr>
            <w:r>
              <w:rPr>
                <w:color w:val="000000"/>
              </w:rPr>
              <w:t>44</w:t>
            </w:r>
          </w:p>
        </w:tc>
        <w:tc>
          <w:tcPr>
            <w:tcW w:w="2096" w:type="dxa"/>
            <w:tcMar>
              <w:top w:w="0" w:type="dxa"/>
              <w:left w:w="108" w:type="dxa"/>
              <w:bottom w:w="0" w:type="dxa"/>
              <w:right w:w="108" w:type="dxa"/>
            </w:tcMar>
            <w:vAlign w:val="center"/>
          </w:tcPr>
          <w:p w14:paraId="50294A60" w14:textId="77777777" w:rsidR="004B0883" w:rsidRDefault="004B0883">
            <w:pPr>
              <w:widowControl w:val="0"/>
              <w:jc w:val="center"/>
              <w:rPr>
                <w:color w:val="000000"/>
              </w:rPr>
            </w:pPr>
            <w:r>
              <w:rPr>
                <w:rFonts w:ascii="宋体" w:hAnsi="宋体"/>
              </w:rPr>
              <w:t>一种高灵敏度减压阀弹簧测试装置</w:t>
            </w:r>
          </w:p>
        </w:tc>
        <w:tc>
          <w:tcPr>
            <w:tcW w:w="1241" w:type="dxa"/>
            <w:tcMar>
              <w:top w:w="0" w:type="dxa"/>
              <w:left w:w="108" w:type="dxa"/>
              <w:bottom w:w="0" w:type="dxa"/>
              <w:right w:w="108" w:type="dxa"/>
            </w:tcMar>
            <w:vAlign w:val="center"/>
          </w:tcPr>
          <w:p w14:paraId="5B171C17"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209D88AE" w14:textId="77777777" w:rsidR="004B0883" w:rsidRDefault="004B0883">
            <w:pPr>
              <w:widowControl w:val="0"/>
              <w:jc w:val="center"/>
              <w:rPr>
                <w:color w:val="000000"/>
              </w:rPr>
            </w:pPr>
            <w:r>
              <w:rPr>
                <w:rFonts w:eastAsia="等线"/>
              </w:rPr>
              <w:t>2018216235551</w:t>
            </w:r>
          </w:p>
        </w:tc>
        <w:tc>
          <w:tcPr>
            <w:tcW w:w="1311" w:type="dxa"/>
            <w:tcMar>
              <w:top w:w="0" w:type="dxa"/>
              <w:left w:w="108" w:type="dxa"/>
              <w:bottom w:w="0" w:type="dxa"/>
              <w:right w:w="108" w:type="dxa"/>
            </w:tcMar>
            <w:vAlign w:val="center"/>
          </w:tcPr>
          <w:p w14:paraId="56914B62" w14:textId="77777777" w:rsidR="004B0883" w:rsidRDefault="004B0883">
            <w:pPr>
              <w:widowControl w:val="0"/>
              <w:jc w:val="center"/>
              <w:rPr>
                <w:color w:val="000000"/>
              </w:rPr>
            </w:pPr>
            <w:r>
              <w:rPr>
                <w:rFonts w:eastAsia="等线"/>
              </w:rPr>
              <w:t>2018-09-30</w:t>
            </w:r>
          </w:p>
        </w:tc>
        <w:tc>
          <w:tcPr>
            <w:tcW w:w="1077" w:type="dxa"/>
            <w:tcMar>
              <w:top w:w="0" w:type="dxa"/>
              <w:left w:w="108" w:type="dxa"/>
              <w:bottom w:w="0" w:type="dxa"/>
              <w:right w:w="108" w:type="dxa"/>
            </w:tcMar>
            <w:vAlign w:val="center"/>
          </w:tcPr>
          <w:p w14:paraId="1F05D614" w14:textId="77777777" w:rsidR="004B0883" w:rsidRDefault="004B0883">
            <w:pPr>
              <w:widowControl w:val="0"/>
              <w:jc w:val="center"/>
              <w:rPr>
                <w:color w:val="000000"/>
              </w:rPr>
            </w:pPr>
            <w:r>
              <w:rPr>
                <w:rFonts w:ascii="宋体" w:hAnsi="宋体" w:hint="eastAsia"/>
              </w:rPr>
              <w:t>发行人、</w:t>
            </w:r>
            <w:r>
              <w:rPr>
                <w:rFonts w:ascii="宋体" w:hAnsi="宋体"/>
              </w:rPr>
              <w:t>莱州伟隆</w:t>
            </w:r>
            <w:r>
              <w:rPr>
                <w:rFonts w:ascii="宋体" w:hAnsi="宋体" w:hint="eastAsia"/>
              </w:rPr>
              <w:t>、</w:t>
            </w:r>
            <w:r>
              <w:rPr>
                <w:rFonts w:ascii="宋体" w:hAnsi="宋体"/>
              </w:rPr>
              <w:t>伟隆</w:t>
            </w:r>
            <w:r>
              <w:rPr>
                <w:rFonts w:ascii="宋体" w:hAnsi="宋体" w:hint="eastAsia"/>
              </w:rPr>
              <w:t>流体</w:t>
            </w:r>
          </w:p>
        </w:tc>
        <w:tc>
          <w:tcPr>
            <w:tcW w:w="1224" w:type="dxa"/>
            <w:tcMar>
              <w:top w:w="0" w:type="dxa"/>
              <w:left w:w="108" w:type="dxa"/>
              <w:bottom w:w="0" w:type="dxa"/>
              <w:right w:w="108" w:type="dxa"/>
            </w:tcMar>
            <w:vAlign w:val="center"/>
          </w:tcPr>
          <w:p w14:paraId="3DF29130" w14:textId="77777777" w:rsidR="004B0883" w:rsidRDefault="004B0883">
            <w:pPr>
              <w:widowControl w:val="0"/>
              <w:jc w:val="center"/>
              <w:rPr>
                <w:color w:val="000000"/>
              </w:rPr>
            </w:pPr>
            <w:r>
              <w:rPr>
                <w:rFonts w:ascii="宋体" w:hAnsi="宋体" w:hint="eastAsia"/>
              </w:rPr>
              <w:t>原始取得</w:t>
            </w:r>
          </w:p>
        </w:tc>
      </w:tr>
      <w:tr w:rsidR="004B0883" w14:paraId="3BDF0B4E" w14:textId="77777777">
        <w:trPr>
          <w:trHeight w:val="397"/>
          <w:jc w:val="center"/>
        </w:trPr>
        <w:tc>
          <w:tcPr>
            <w:tcW w:w="348" w:type="pct"/>
            <w:tcMar>
              <w:top w:w="0" w:type="dxa"/>
              <w:left w:w="108" w:type="dxa"/>
              <w:bottom w:w="0" w:type="dxa"/>
              <w:right w:w="108" w:type="dxa"/>
            </w:tcMar>
            <w:vAlign w:val="center"/>
          </w:tcPr>
          <w:p w14:paraId="4F4672B6" w14:textId="77777777" w:rsidR="004B0883" w:rsidRDefault="004B0883">
            <w:pPr>
              <w:widowControl w:val="0"/>
              <w:adjustRightInd w:val="0"/>
              <w:snapToGrid w:val="0"/>
              <w:jc w:val="center"/>
              <w:rPr>
                <w:color w:val="000000"/>
              </w:rPr>
            </w:pPr>
            <w:r>
              <w:rPr>
                <w:color w:val="000000"/>
              </w:rPr>
              <w:t>45</w:t>
            </w:r>
          </w:p>
        </w:tc>
        <w:tc>
          <w:tcPr>
            <w:tcW w:w="2096" w:type="dxa"/>
            <w:tcMar>
              <w:top w:w="0" w:type="dxa"/>
              <w:left w:w="108" w:type="dxa"/>
              <w:bottom w:w="0" w:type="dxa"/>
              <w:right w:w="108" w:type="dxa"/>
            </w:tcMar>
            <w:vAlign w:val="center"/>
          </w:tcPr>
          <w:p w14:paraId="5CAB871C" w14:textId="77777777" w:rsidR="004B0883" w:rsidRDefault="004B0883">
            <w:pPr>
              <w:widowControl w:val="0"/>
              <w:jc w:val="center"/>
              <w:rPr>
                <w:color w:val="000000"/>
              </w:rPr>
            </w:pPr>
            <w:r>
              <w:rPr>
                <w:rFonts w:ascii="宋体" w:hAnsi="宋体"/>
              </w:rPr>
              <w:t>一种干式消防喷水灭火系统报警阀手动复位装置</w:t>
            </w:r>
          </w:p>
        </w:tc>
        <w:tc>
          <w:tcPr>
            <w:tcW w:w="1241" w:type="dxa"/>
            <w:tcMar>
              <w:top w:w="0" w:type="dxa"/>
              <w:left w:w="108" w:type="dxa"/>
              <w:bottom w:w="0" w:type="dxa"/>
              <w:right w:w="108" w:type="dxa"/>
            </w:tcMar>
            <w:vAlign w:val="center"/>
          </w:tcPr>
          <w:p w14:paraId="3B6B1297"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15B50765" w14:textId="77777777" w:rsidR="004B0883" w:rsidRDefault="004B0883">
            <w:pPr>
              <w:widowControl w:val="0"/>
              <w:jc w:val="center"/>
              <w:rPr>
                <w:color w:val="000000"/>
              </w:rPr>
            </w:pPr>
            <w:r>
              <w:rPr>
                <w:rFonts w:eastAsia="等线"/>
              </w:rPr>
              <w:t>2018216244033</w:t>
            </w:r>
          </w:p>
        </w:tc>
        <w:tc>
          <w:tcPr>
            <w:tcW w:w="1311" w:type="dxa"/>
            <w:tcMar>
              <w:top w:w="0" w:type="dxa"/>
              <w:left w:w="108" w:type="dxa"/>
              <w:bottom w:w="0" w:type="dxa"/>
              <w:right w:w="108" w:type="dxa"/>
            </w:tcMar>
            <w:vAlign w:val="center"/>
          </w:tcPr>
          <w:p w14:paraId="5CE96DAE" w14:textId="77777777" w:rsidR="004B0883" w:rsidRDefault="004B0883">
            <w:pPr>
              <w:widowControl w:val="0"/>
              <w:jc w:val="center"/>
              <w:rPr>
                <w:color w:val="000000"/>
              </w:rPr>
            </w:pPr>
            <w:r>
              <w:rPr>
                <w:rFonts w:eastAsia="等线"/>
              </w:rPr>
              <w:t>2018-09-30</w:t>
            </w:r>
          </w:p>
        </w:tc>
        <w:tc>
          <w:tcPr>
            <w:tcW w:w="1077" w:type="dxa"/>
            <w:tcMar>
              <w:top w:w="0" w:type="dxa"/>
              <w:left w:w="108" w:type="dxa"/>
              <w:bottom w:w="0" w:type="dxa"/>
              <w:right w:w="108" w:type="dxa"/>
            </w:tcMar>
            <w:vAlign w:val="center"/>
          </w:tcPr>
          <w:p w14:paraId="02218AB3" w14:textId="77777777" w:rsidR="004B0883" w:rsidRDefault="004B0883">
            <w:pPr>
              <w:widowControl w:val="0"/>
              <w:jc w:val="center"/>
              <w:rPr>
                <w:color w:val="000000"/>
              </w:rPr>
            </w:pPr>
            <w:r>
              <w:rPr>
                <w:rFonts w:ascii="宋体" w:hAnsi="宋体" w:hint="eastAsia"/>
              </w:rPr>
              <w:t>发行人、</w:t>
            </w:r>
            <w:r>
              <w:rPr>
                <w:rFonts w:ascii="宋体" w:hAnsi="宋体"/>
              </w:rPr>
              <w:t>莱州伟隆</w:t>
            </w:r>
            <w:r>
              <w:rPr>
                <w:rFonts w:ascii="宋体" w:hAnsi="宋体" w:hint="eastAsia"/>
              </w:rPr>
              <w:t>、</w:t>
            </w:r>
            <w:r>
              <w:rPr>
                <w:rFonts w:ascii="宋体" w:hAnsi="宋体"/>
              </w:rPr>
              <w:t>伟隆</w:t>
            </w:r>
            <w:r>
              <w:rPr>
                <w:rFonts w:ascii="宋体" w:hAnsi="宋体" w:hint="eastAsia"/>
              </w:rPr>
              <w:t>流体</w:t>
            </w:r>
          </w:p>
        </w:tc>
        <w:tc>
          <w:tcPr>
            <w:tcW w:w="1224" w:type="dxa"/>
            <w:tcMar>
              <w:top w:w="0" w:type="dxa"/>
              <w:left w:w="108" w:type="dxa"/>
              <w:bottom w:w="0" w:type="dxa"/>
              <w:right w:w="108" w:type="dxa"/>
            </w:tcMar>
            <w:vAlign w:val="center"/>
          </w:tcPr>
          <w:p w14:paraId="5BD2AA60" w14:textId="77777777" w:rsidR="004B0883" w:rsidRDefault="004B0883">
            <w:pPr>
              <w:widowControl w:val="0"/>
              <w:jc w:val="center"/>
              <w:rPr>
                <w:color w:val="000000"/>
              </w:rPr>
            </w:pPr>
            <w:r>
              <w:rPr>
                <w:rFonts w:ascii="宋体" w:hAnsi="宋体" w:hint="eastAsia"/>
              </w:rPr>
              <w:t>原始取得</w:t>
            </w:r>
          </w:p>
        </w:tc>
      </w:tr>
      <w:tr w:rsidR="004B0883" w14:paraId="7A36624F" w14:textId="77777777">
        <w:trPr>
          <w:trHeight w:val="397"/>
          <w:jc w:val="center"/>
        </w:trPr>
        <w:tc>
          <w:tcPr>
            <w:tcW w:w="348" w:type="pct"/>
            <w:tcMar>
              <w:top w:w="0" w:type="dxa"/>
              <w:left w:w="108" w:type="dxa"/>
              <w:bottom w:w="0" w:type="dxa"/>
              <w:right w:w="108" w:type="dxa"/>
            </w:tcMar>
            <w:vAlign w:val="center"/>
          </w:tcPr>
          <w:p w14:paraId="76C1856D" w14:textId="77777777" w:rsidR="004B0883" w:rsidRDefault="004B0883">
            <w:pPr>
              <w:widowControl w:val="0"/>
              <w:adjustRightInd w:val="0"/>
              <w:snapToGrid w:val="0"/>
              <w:jc w:val="center"/>
              <w:rPr>
                <w:color w:val="000000"/>
              </w:rPr>
            </w:pPr>
            <w:r>
              <w:rPr>
                <w:color w:val="000000"/>
              </w:rPr>
              <w:t>46</w:t>
            </w:r>
          </w:p>
        </w:tc>
        <w:tc>
          <w:tcPr>
            <w:tcW w:w="2096" w:type="dxa"/>
            <w:tcMar>
              <w:top w:w="0" w:type="dxa"/>
              <w:left w:w="108" w:type="dxa"/>
              <w:bottom w:w="0" w:type="dxa"/>
              <w:right w:w="108" w:type="dxa"/>
            </w:tcMar>
            <w:vAlign w:val="center"/>
          </w:tcPr>
          <w:p w14:paraId="79289B7C" w14:textId="77777777" w:rsidR="004B0883" w:rsidRDefault="004B0883">
            <w:pPr>
              <w:widowControl w:val="0"/>
              <w:jc w:val="center"/>
              <w:rPr>
                <w:color w:val="000000"/>
              </w:rPr>
            </w:pPr>
            <w:r>
              <w:rPr>
                <w:rFonts w:ascii="宋体" w:hAnsi="宋体"/>
              </w:rPr>
              <w:t>一种移动螺母式阀门驱动装置</w:t>
            </w:r>
          </w:p>
        </w:tc>
        <w:tc>
          <w:tcPr>
            <w:tcW w:w="1241" w:type="dxa"/>
            <w:tcMar>
              <w:top w:w="0" w:type="dxa"/>
              <w:left w:w="108" w:type="dxa"/>
              <w:bottom w:w="0" w:type="dxa"/>
              <w:right w:w="108" w:type="dxa"/>
            </w:tcMar>
            <w:vAlign w:val="center"/>
          </w:tcPr>
          <w:p w14:paraId="25E1CBAD"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624F676A" w14:textId="77777777" w:rsidR="004B0883" w:rsidRDefault="004B0883">
            <w:pPr>
              <w:widowControl w:val="0"/>
              <w:jc w:val="center"/>
              <w:rPr>
                <w:color w:val="000000"/>
              </w:rPr>
            </w:pPr>
            <w:r>
              <w:rPr>
                <w:rFonts w:eastAsia="等线"/>
              </w:rPr>
              <w:t>2018216116552</w:t>
            </w:r>
          </w:p>
        </w:tc>
        <w:tc>
          <w:tcPr>
            <w:tcW w:w="1311" w:type="dxa"/>
            <w:tcMar>
              <w:top w:w="0" w:type="dxa"/>
              <w:left w:w="108" w:type="dxa"/>
              <w:bottom w:w="0" w:type="dxa"/>
              <w:right w:w="108" w:type="dxa"/>
            </w:tcMar>
            <w:vAlign w:val="center"/>
          </w:tcPr>
          <w:p w14:paraId="1B3F36DC" w14:textId="77777777" w:rsidR="004B0883" w:rsidRDefault="004B0883">
            <w:pPr>
              <w:widowControl w:val="0"/>
              <w:jc w:val="center"/>
              <w:rPr>
                <w:color w:val="000000"/>
              </w:rPr>
            </w:pPr>
            <w:r>
              <w:rPr>
                <w:rFonts w:eastAsia="等线"/>
              </w:rPr>
              <w:t>2018-09-29</w:t>
            </w:r>
          </w:p>
        </w:tc>
        <w:tc>
          <w:tcPr>
            <w:tcW w:w="1077" w:type="dxa"/>
            <w:tcMar>
              <w:top w:w="0" w:type="dxa"/>
              <w:left w:w="108" w:type="dxa"/>
              <w:bottom w:w="0" w:type="dxa"/>
              <w:right w:w="108" w:type="dxa"/>
            </w:tcMar>
            <w:vAlign w:val="center"/>
          </w:tcPr>
          <w:p w14:paraId="6328583B" w14:textId="77777777" w:rsidR="004B0883" w:rsidRDefault="004B0883">
            <w:pPr>
              <w:widowControl w:val="0"/>
              <w:jc w:val="center"/>
              <w:rPr>
                <w:color w:val="000000"/>
              </w:rPr>
            </w:pPr>
            <w:r>
              <w:rPr>
                <w:rFonts w:ascii="宋体" w:hAnsi="宋体" w:hint="eastAsia"/>
              </w:rPr>
              <w:t>发行人、</w:t>
            </w:r>
            <w:r>
              <w:rPr>
                <w:rFonts w:ascii="宋体" w:hAnsi="宋体"/>
              </w:rPr>
              <w:t>莱州伟隆</w:t>
            </w:r>
            <w:r>
              <w:rPr>
                <w:rFonts w:ascii="宋体" w:hAnsi="宋体" w:hint="eastAsia"/>
              </w:rPr>
              <w:t>、</w:t>
            </w:r>
            <w:r>
              <w:rPr>
                <w:rFonts w:ascii="宋体" w:hAnsi="宋体"/>
              </w:rPr>
              <w:t>伟隆</w:t>
            </w:r>
            <w:r>
              <w:rPr>
                <w:rFonts w:ascii="宋体" w:hAnsi="宋体" w:hint="eastAsia"/>
              </w:rPr>
              <w:t>流体</w:t>
            </w:r>
          </w:p>
        </w:tc>
        <w:tc>
          <w:tcPr>
            <w:tcW w:w="1224" w:type="dxa"/>
            <w:tcMar>
              <w:top w:w="0" w:type="dxa"/>
              <w:left w:w="108" w:type="dxa"/>
              <w:bottom w:w="0" w:type="dxa"/>
              <w:right w:w="108" w:type="dxa"/>
            </w:tcMar>
            <w:vAlign w:val="center"/>
          </w:tcPr>
          <w:p w14:paraId="1DCDC61F" w14:textId="77777777" w:rsidR="004B0883" w:rsidRDefault="004B0883">
            <w:pPr>
              <w:widowControl w:val="0"/>
              <w:jc w:val="center"/>
              <w:rPr>
                <w:color w:val="000000"/>
              </w:rPr>
            </w:pPr>
            <w:r>
              <w:rPr>
                <w:rFonts w:ascii="宋体" w:hAnsi="宋体" w:hint="eastAsia"/>
              </w:rPr>
              <w:t>原始取得</w:t>
            </w:r>
          </w:p>
        </w:tc>
      </w:tr>
      <w:tr w:rsidR="004B0883" w14:paraId="0C458F33" w14:textId="77777777">
        <w:trPr>
          <w:trHeight w:val="397"/>
          <w:jc w:val="center"/>
        </w:trPr>
        <w:tc>
          <w:tcPr>
            <w:tcW w:w="348" w:type="pct"/>
            <w:tcMar>
              <w:top w:w="0" w:type="dxa"/>
              <w:left w:w="108" w:type="dxa"/>
              <w:bottom w:w="0" w:type="dxa"/>
              <w:right w:w="108" w:type="dxa"/>
            </w:tcMar>
            <w:vAlign w:val="center"/>
          </w:tcPr>
          <w:p w14:paraId="136662BE" w14:textId="77777777" w:rsidR="004B0883" w:rsidRDefault="004B0883">
            <w:pPr>
              <w:widowControl w:val="0"/>
              <w:adjustRightInd w:val="0"/>
              <w:snapToGrid w:val="0"/>
              <w:jc w:val="center"/>
              <w:rPr>
                <w:color w:val="000000"/>
              </w:rPr>
            </w:pPr>
            <w:r>
              <w:rPr>
                <w:color w:val="000000"/>
              </w:rPr>
              <w:t>47</w:t>
            </w:r>
          </w:p>
        </w:tc>
        <w:tc>
          <w:tcPr>
            <w:tcW w:w="2096" w:type="dxa"/>
            <w:tcMar>
              <w:top w:w="0" w:type="dxa"/>
              <w:left w:w="108" w:type="dxa"/>
              <w:bottom w:w="0" w:type="dxa"/>
              <w:right w:w="108" w:type="dxa"/>
            </w:tcMar>
            <w:vAlign w:val="center"/>
          </w:tcPr>
          <w:p w14:paraId="59E6D82E" w14:textId="77777777" w:rsidR="004B0883" w:rsidRDefault="004B0883">
            <w:pPr>
              <w:widowControl w:val="0"/>
              <w:jc w:val="center"/>
              <w:rPr>
                <w:color w:val="000000"/>
              </w:rPr>
            </w:pPr>
            <w:r>
              <w:rPr>
                <w:rFonts w:ascii="宋体" w:hAnsi="宋体"/>
              </w:rPr>
              <w:t>一种压力开关寿命试验测试装置</w:t>
            </w:r>
          </w:p>
        </w:tc>
        <w:tc>
          <w:tcPr>
            <w:tcW w:w="1241" w:type="dxa"/>
            <w:tcMar>
              <w:top w:w="0" w:type="dxa"/>
              <w:left w:w="108" w:type="dxa"/>
              <w:bottom w:w="0" w:type="dxa"/>
              <w:right w:w="108" w:type="dxa"/>
            </w:tcMar>
            <w:vAlign w:val="center"/>
          </w:tcPr>
          <w:p w14:paraId="08004FA8"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0EFC8593" w14:textId="77777777" w:rsidR="004B0883" w:rsidRDefault="004B0883">
            <w:pPr>
              <w:widowControl w:val="0"/>
              <w:jc w:val="center"/>
              <w:rPr>
                <w:color w:val="000000"/>
              </w:rPr>
            </w:pPr>
            <w:r>
              <w:rPr>
                <w:rFonts w:eastAsia="等线"/>
              </w:rPr>
              <w:t>2017214772726</w:t>
            </w:r>
          </w:p>
        </w:tc>
        <w:tc>
          <w:tcPr>
            <w:tcW w:w="1311" w:type="dxa"/>
            <w:tcMar>
              <w:top w:w="0" w:type="dxa"/>
              <w:left w:w="108" w:type="dxa"/>
              <w:bottom w:w="0" w:type="dxa"/>
              <w:right w:w="108" w:type="dxa"/>
            </w:tcMar>
            <w:vAlign w:val="center"/>
          </w:tcPr>
          <w:p w14:paraId="089D0BF5" w14:textId="77777777" w:rsidR="004B0883" w:rsidRDefault="004B0883">
            <w:pPr>
              <w:widowControl w:val="0"/>
              <w:jc w:val="center"/>
              <w:rPr>
                <w:color w:val="000000"/>
              </w:rPr>
            </w:pPr>
            <w:r>
              <w:rPr>
                <w:rFonts w:eastAsia="等线"/>
              </w:rPr>
              <w:t>2017-11-08</w:t>
            </w:r>
          </w:p>
        </w:tc>
        <w:tc>
          <w:tcPr>
            <w:tcW w:w="1077" w:type="dxa"/>
            <w:tcMar>
              <w:top w:w="0" w:type="dxa"/>
              <w:left w:w="108" w:type="dxa"/>
              <w:bottom w:w="0" w:type="dxa"/>
              <w:right w:w="108" w:type="dxa"/>
            </w:tcMar>
            <w:vAlign w:val="center"/>
          </w:tcPr>
          <w:p w14:paraId="0BE06849" w14:textId="77777777" w:rsidR="004B0883" w:rsidRDefault="004B0883">
            <w:pPr>
              <w:widowControl w:val="0"/>
              <w:jc w:val="center"/>
              <w:rPr>
                <w:color w:val="000000"/>
              </w:rPr>
            </w:pPr>
            <w:r>
              <w:rPr>
                <w:rFonts w:ascii="宋体" w:hAnsi="宋体" w:hint="eastAsia"/>
              </w:rPr>
              <w:t>发行人、</w:t>
            </w:r>
            <w:r>
              <w:rPr>
                <w:rFonts w:ascii="宋体" w:hAnsi="宋体"/>
              </w:rPr>
              <w:t>伟隆流体</w:t>
            </w:r>
          </w:p>
        </w:tc>
        <w:tc>
          <w:tcPr>
            <w:tcW w:w="1224" w:type="dxa"/>
            <w:tcMar>
              <w:top w:w="0" w:type="dxa"/>
              <w:left w:w="108" w:type="dxa"/>
              <w:bottom w:w="0" w:type="dxa"/>
              <w:right w:w="108" w:type="dxa"/>
            </w:tcMar>
            <w:vAlign w:val="center"/>
          </w:tcPr>
          <w:p w14:paraId="3B0D676D" w14:textId="77777777" w:rsidR="004B0883" w:rsidRDefault="004B0883">
            <w:pPr>
              <w:widowControl w:val="0"/>
              <w:jc w:val="center"/>
              <w:rPr>
                <w:color w:val="000000"/>
              </w:rPr>
            </w:pPr>
            <w:r>
              <w:rPr>
                <w:rFonts w:ascii="宋体" w:hAnsi="宋体" w:hint="eastAsia"/>
              </w:rPr>
              <w:t>原始取得</w:t>
            </w:r>
          </w:p>
        </w:tc>
      </w:tr>
      <w:tr w:rsidR="004B0883" w14:paraId="5AA0BF30" w14:textId="77777777">
        <w:trPr>
          <w:trHeight w:val="397"/>
          <w:jc w:val="center"/>
        </w:trPr>
        <w:tc>
          <w:tcPr>
            <w:tcW w:w="348" w:type="pct"/>
            <w:tcMar>
              <w:top w:w="0" w:type="dxa"/>
              <w:left w:w="108" w:type="dxa"/>
              <w:bottom w:w="0" w:type="dxa"/>
              <w:right w:w="108" w:type="dxa"/>
            </w:tcMar>
            <w:vAlign w:val="center"/>
          </w:tcPr>
          <w:p w14:paraId="63935FC2" w14:textId="77777777" w:rsidR="004B0883" w:rsidRDefault="004B0883">
            <w:pPr>
              <w:widowControl w:val="0"/>
              <w:adjustRightInd w:val="0"/>
              <w:snapToGrid w:val="0"/>
              <w:jc w:val="center"/>
              <w:rPr>
                <w:color w:val="000000"/>
              </w:rPr>
            </w:pPr>
            <w:r>
              <w:rPr>
                <w:color w:val="000000"/>
              </w:rPr>
              <w:t>48</w:t>
            </w:r>
          </w:p>
        </w:tc>
        <w:tc>
          <w:tcPr>
            <w:tcW w:w="2096" w:type="dxa"/>
            <w:tcMar>
              <w:top w:w="0" w:type="dxa"/>
              <w:left w:w="108" w:type="dxa"/>
              <w:bottom w:w="0" w:type="dxa"/>
              <w:right w:w="108" w:type="dxa"/>
            </w:tcMar>
            <w:vAlign w:val="center"/>
          </w:tcPr>
          <w:p w14:paraId="27CD7337" w14:textId="77777777" w:rsidR="004B0883" w:rsidRDefault="004B0883">
            <w:pPr>
              <w:widowControl w:val="0"/>
              <w:jc w:val="center"/>
              <w:rPr>
                <w:color w:val="000000"/>
              </w:rPr>
            </w:pPr>
            <w:r>
              <w:rPr>
                <w:rFonts w:ascii="宋体" w:hAnsi="宋体"/>
              </w:rPr>
              <w:t>水流指示器测试装置</w:t>
            </w:r>
          </w:p>
        </w:tc>
        <w:tc>
          <w:tcPr>
            <w:tcW w:w="1241" w:type="dxa"/>
            <w:tcMar>
              <w:top w:w="0" w:type="dxa"/>
              <w:left w:w="108" w:type="dxa"/>
              <w:bottom w:w="0" w:type="dxa"/>
              <w:right w:w="108" w:type="dxa"/>
            </w:tcMar>
            <w:vAlign w:val="center"/>
          </w:tcPr>
          <w:p w14:paraId="0FC9C160"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4A0C42C9" w14:textId="77777777" w:rsidR="004B0883" w:rsidRDefault="004B0883">
            <w:pPr>
              <w:widowControl w:val="0"/>
              <w:jc w:val="center"/>
              <w:rPr>
                <w:color w:val="000000"/>
              </w:rPr>
            </w:pPr>
            <w:r>
              <w:rPr>
                <w:rFonts w:eastAsia="等线"/>
              </w:rPr>
              <w:t>2017214778099</w:t>
            </w:r>
          </w:p>
        </w:tc>
        <w:tc>
          <w:tcPr>
            <w:tcW w:w="1311" w:type="dxa"/>
            <w:tcMar>
              <w:top w:w="0" w:type="dxa"/>
              <w:left w:w="108" w:type="dxa"/>
              <w:bottom w:w="0" w:type="dxa"/>
              <w:right w:w="108" w:type="dxa"/>
            </w:tcMar>
            <w:vAlign w:val="center"/>
          </w:tcPr>
          <w:p w14:paraId="536AFABA" w14:textId="77777777" w:rsidR="004B0883" w:rsidRDefault="004B0883">
            <w:pPr>
              <w:widowControl w:val="0"/>
              <w:jc w:val="center"/>
              <w:rPr>
                <w:color w:val="000000"/>
              </w:rPr>
            </w:pPr>
            <w:r>
              <w:rPr>
                <w:rFonts w:eastAsia="等线"/>
              </w:rPr>
              <w:t>2017-11-08</w:t>
            </w:r>
          </w:p>
        </w:tc>
        <w:tc>
          <w:tcPr>
            <w:tcW w:w="1077" w:type="dxa"/>
            <w:tcMar>
              <w:top w:w="0" w:type="dxa"/>
              <w:left w:w="108" w:type="dxa"/>
              <w:bottom w:w="0" w:type="dxa"/>
              <w:right w:w="108" w:type="dxa"/>
            </w:tcMar>
            <w:vAlign w:val="center"/>
          </w:tcPr>
          <w:p w14:paraId="4A218604" w14:textId="77777777" w:rsidR="004B0883" w:rsidRDefault="004B0883">
            <w:pPr>
              <w:widowControl w:val="0"/>
              <w:jc w:val="center"/>
              <w:rPr>
                <w:color w:val="000000"/>
              </w:rPr>
            </w:pPr>
            <w:r>
              <w:rPr>
                <w:rFonts w:ascii="宋体" w:hAnsi="宋体" w:hint="eastAsia"/>
              </w:rPr>
              <w:t>发行人、</w:t>
            </w:r>
            <w:r>
              <w:rPr>
                <w:rFonts w:ascii="宋体" w:hAnsi="宋体"/>
              </w:rPr>
              <w:t>伟隆流体</w:t>
            </w:r>
          </w:p>
        </w:tc>
        <w:tc>
          <w:tcPr>
            <w:tcW w:w="1224" w:type="dxa"/>
            <w:tcMar>
              <w:top w:w="0" w:type="dxa"/>
              <w:left w:w="108" w:type="dxa"/>
              <w:bottom w:w="0" w:type="dxa"/>
              <w:right w:w="108" w:type="dxa"/>
            </w:tcMar>
            <w:vAlign w:val="center"/>
          </w:tcPr>
          <w:p w14:paraId="031F1622" w14:textId="77777777" w:rsidR="004B0883" w:rsidRDefault="004B0883">
            <w:pPr>
              <w:widowControl w:val="0"/>
              <w:jc w:val="center"/>
              <w:rPr>
                <w:color w:val="000000"/>
              </w:rPr>
            </w:pPr>
            <w:r>
              <w:rPr>
                <w:rFonts w:ascii="宋体" w:hAnsi="宋体" w:hint="eastAsia"/>
              </w:rPr>
              <w:t>原始取得</w:t>
            </w:r>
          </w:p>
        </w:tc>
      </w:tr>
      <w:tr w:rsidR="004B0883" w14:paraId="04838AE2" w14:textId="77777777">
        <w:trPr>
          <w:trHeight w:val="397"/>
          <w:jc w:val="center"/>
        </w:trPr>
        <w:tc>
          <w:tcPr>
            <w:tcW w:w="348" w:type="pct"/>
            <w:tcMar>
              <w:top w:w="0" w:type="dxa"/>
              <w:left w:w="108" w:type="dxa"/>
              <w:bottom w:w="0" w:type="dxa"/>
              <w:right w:w="108" w:type="dxa"/>
            </w:tcMar>
            <w:vAlign w:val="center"/>
          </w:tcPr>
          <w:p w14:paraId="63D36E0D" w14:textId="77777777" w:rsidR="004B0883" w:rsidRDefault="004B0883">
            <w:pPr>
              <w:widowControl w:val="0"/>
              <w:adjustRightInd w:val="0"/>
              <w:snapToGrid w:val="0"/>
              <w:jc w:val="center"/>
              <w:rPr>
                <w:color w:val="000000"/>
              </w:rPr>
            </w:pPr>
            <w:r>
              <w:rPr>
                <w:color w:val="000000"/>
              </w:rPr>
              <w:t>49</w:t>
            </w:r>
          </w:p>
        </w:tc>
        <w:tc>
          <w:tcPr>
            <w:tcW w:w="2096" w:type="dxa"/>
            <w:tcMar>
              <w:top w:w="0" w:type="dxa"/>
              <w:left w:w="108" w:type="dxa"/>
              <w:bottom w:w="0" w:type="dxa"/>
              <w:right w:w="108" w:type="dxa"/>
            </w:tcMar>
            <w:vAlign w:val="center"/>
          </w:tcPr>
          <w:p w14:paraId="4131E2DB" w14:textId="77777777" w:rsidR="004B0883" w:rsidRDefault="004B0883">
            <w:pPr>
              <w:widowControl w:val="0"/>
              <w:jc w:val="center"/>
              <w:rPr>
                <w:color w:val="000000"/>
              </w:rPr>
            </w:pPr>
            <w:r>
              <w:rPr>
                <w:rFonts w:ascii="宋体" w:hAnsi="宋体"/>
              </w:rPr>
              <w:t>可调节式压力开关</w:t>
            </w:r>
          </w:p>
        </w:tc>
        <w:tc>
          <w:tcPr>
            <w:tcW w:w="1241" w:type="dxa"/>
            <w:tcMar>
              <w:top w:w="0" w:type="dxa"/>
              <w:left w:w="108" w:type="dxa"/>
              <w:bottom w:w="0" w:type="dxa"/>
              <w:right w:w="108" w:type="dxa"/>
            </w:tcMar>
            <w:vAlign w:val="center"/>
          </w:tcPr>
          <w:p w14:paraId="31D8C83F"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6486E6CF" w14:textId="77777777" w:rsidR="004B0883" w:rsidRDefault="004B0883">
            <w:pPr>
              <w:widowControl w:val="0"/>
              <w:jc w:val="center"/>
              <w:rPr>
                <w:color w:val="000000"/>
              </w:rPr>
            </w:pPr>
            <w:r>
              <w:rPr>
                <w:rFonts w:eastAsia="等线"/>
              </w:rPr>
              <w:t>2017213507649</w:t>
            </w:r>
          </w:p>
        </w:tc>
        <w:tc>
          <w:tcPr>
            <w:tcW w:w="1311" w:type="dxa"/>
            <w:tcMar>
              <w:top w:w="0" w:type="dxa"/>
              <w:left w:w="108" w:type="dxa"/>
              <w:bottom w:w="0" w:type="dxa"/>
              <w:right w:w="108" w:type="dxa"/>
            </w:tcMar>
            <w:vAlign w:val="center"/>
          </w:tcPr>
          <w:p w14:paraId="26518FCF" w14:textId="77777777" w:rsidR="004B0883" w:rsidRDefault="004B0883">
            <w:pPr>
              <w:widowControl w:val="0"/>
              <w:jc w:val="center"/>
              <w:rPr>
                <w:color w:val="000000"/>
              </w:rPr>
            </w:pPr>
            <w:r>
              <w:rPr>
                <w:rFonts w:eastAsia="等线"/>
              </w:rPr>
              <w:t>2017-10-19</w:t>
            </w:r>
          </w:p>
        </w:tc>
        <w:tc>
          <w:tcPr>
            <w:tcW w:w="1077" w:type="dxa"/>
            <w:tcMar>
              <w:top w:w="0" w:type="dxa"/>
              <w:left w:w="108" w:type="dxa"/>
              <w:bottom w:w="0" w:type="dxa"/>
              <w:right w:w="108" w:type="dxa"/>
            </w:tcMar>
            <w:vAlign w:val="center"/>
          </w:tcPr>
          <w:p w14:paraId="2206AE4D" w14:textId="77777777" w:rsidR="004B0883" w:rsidRDefault="004B0883">
            <w:pPr>
              <w:widowControl w:val="0"/>
              <w:jc w:val="center"/>
              <w:rPr>
                <w:color w:val="000000"/>
              </w:rPr>
            </w:pPr>
            <w:r>
              <w:rPr>
                <w:rFonts w:ascii="宋体" w:hAnsi="宋体" w:hint="eastAsia"/>
              </w:rPr>
              <w:t>发行人、</w:t>
            </w:r>
            <w:r>
              <w:rPr>
                <w:rFonts w:ascii="宋体" w:hAnsi="宋体"/>
              </w:rPr>
              <w:t>伟隆流体</w:t>
            </w:r>
          </w:p>
        </w:tc>
        <w:tc>
          <w:tcPr>
            <w:tcW w:w="1224" w:type="dxa"/>
            <w:tcMar>
              <w:top w:w="0" w:type="dxa"/>
              <w:left w:w="108" w:type="dxa"/>
              <w:bottom w:w="0" w:type="dxa"/>
              <w:right w:w="108" w:type="dxa"/>
            </w:tcMar>
            <w:vAlign w:val="center"/>
          </w:tcPr>
          <w:p w14:paraId="755978FD" w14:textId="77777777" w:rsidR="004B0883" w:rsidRDefault="004B0883">
            <w:pPr>
              <w:widowControl w:val="0"/>
              <w:jc w:val="center"/>
              <w:rPr>
                <w:color w:val="000000"/>
              </w:rPr>
            </w:pPr>
            <w:r>
              <w:rPr>
                <w:rFonts w:ascii="宋体" w:hAnsi="宋体" w:hint="eastAsia"/>
              </w:rPr>
              <w:t>原始取得</w:t>
            </w:r>
          </w:p>
        </w:tc>
      </w:tr>
      <w:tr w:rsidR="004B0883" w14:paraId="10965C57" w14:textId="77777777">
        <w:trPr>
          <w:trHeight w:val="397"/>
          <w:jc w:val="center"/>
        </w:trPr>
        <w:tc>
          <w:tcPr>
            <w:tcW w:w="348" w:type="pct"/>
            <w:tcMar>
              <w:top w:w="0" w:type="dxa"/>
              <w:left w:w="108" w:type="dxa"/>
              <w:bottom w:w="0" w:type="dxa"/>
              <w:right w:w="108" w:type="dxa"/>
            </w:tcMar>
            <w:vAlign w:val="center"/>
          </w:tcPr>
          <w:p w14:paraId="4573B513" w14:textId="77777777" w:rsidR="004B0883" w:rsidRDefault="004B0883">
            <w:pPr>
              <w:widowControl w:val="0"/>
              <w:adjustRightInd w:val="0"/>
              <w:snapToGrid w:val="0"/>
              <w:jc w:val="center"/>
              <w:rPr>
                <w:color w:val="000000"/>
              </w:rPr>
            </w:pPr>
            <w:r>
              <w:rPr>
                <w:color w:val="000000"/>
              </w:rPr>
              <w:t>50</w:t>
            </w:r>
          </w:p>
        </w:tc>
        <w:tc>
          <w:tcPr>
            <w:tcW w:w="2096" w:type="dxa"/>
            <w:tcMar>
              <w:top w:w="0" w:type="dxa"/>
              <w:left w:w="108" w:type="dxa"/>
              <w:bottom w:w="0" w:type="dxa"/>
              <w:right w:w="108" w:type="dxa"/>
            </w:tcMar>
            <w:vAlign w:val="center"/>
          </w:tcPr>
          <w:p w14:paraId="02F683DB" w14:textId="77777777" w:rsidR="004B0883" w:rsidRDefault="004B0883">
            <w:pPr>
              <w:widowControl w:val="0"/>
              <w:jc w:val="center"/>
              <w:rPr>
                <w:color w:val="000000"/>
              </w:rPr>
            </w:pPr>
            <w:r>
              <w:rPr>
                <w:rFonts w:ascii="宋体" w:hAnsi="宋体"/>
              </w:rPr>
              <w:t>一种带开度指示的橡胶瓣止回阀</w:t>
            </w:r>
          </w:p>
        </w:tc>
        <w:tc>
          <w:tcPr>
            <w:tcW w:w="1241" w:type="dxa"/>
            <w:tcMar>
              <w:top w:w="0" w:type="dxa"/>
              <w:left w:w="108" w:type="dxa"/>
              <w:bottom w:w="0" w:type="dxa"/>
              <w:right w:w="108" w:type="dxa"/>
            </w:tcMar>
            <w:vAlign w:val="center"/>
          </w:tcPr>
          <w:p w14:paraId="462D15E4"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4AADA18C" w14:textId="77777777" w:rsidR="004B0883" w:rsidRDefault="004B0883">
            <w:pPr>
              <w:widowControl w:val="0"/>
              <w:jc w:val="center"/>
              <w:rPr>
                <w:color w:val="000000"/>
              </w:rPr>
            </w:pPr>
            <w:r>
              <w:rPr>
                <w:rFonts w:eastAsia="等线"/>
              </w:rPr>
              <w:t>2017212231684</w:t>
            </w:r>
          </w:p>
        </w:tc>
        <w:tc>
          <w:tcPr>
            <w:tcW w:w="1311" w:type="dxa"/>
            <w:tcMar>
              <w:top w:w="0" w:type="dxa"/>
              <w:left w:w="108" w:type="dxa"/>
              <w:bottom w:w="0" w:type="dxa"/>
              <w:right w:w="108" w:type="dxa"/>
            </w:tcMar>
            <w:vAlign w:val="center"/>
          </w:tcPr>
          <w:p w14:paraId="021B60EA" w14:textId="77777777" w:rsidR="004B0883" w:rsidRDefault="004B0883">
            <w:pPr>
              <w:widowControl w:val="0"/>
              <w:jc w:val="center"/>
              <w:rPr>
                <w:color w:val="000000"/>
              </w:rPr>
            </w:pPr>
            <w:r>
              <w:rPr>
                <w:rFonts w:eastAsia="等线"/>
              </w:rPr>
              <w:t>2017-09-22</w:t>
            </w:r>
          </w:p>
        </w:tc>
        <w:tc>
          <w:tcPr>
            <w:tcW w:w="1077" w:type="dxa"/>
            <w:tcMar>
              <w:top w:w="0" w:type="dxa"/>
              <w:left w:w="108" w:type="dxa"/>
              <w:bottom w:w="0" w:type="dxa"/>
              <w:right w:w="108" w:type="dxa"/>
            </w:tcMar>
            <w:vAlign w:val="center"/>
          </w:tcPr>
          <w:p w14:paraId="6F619772" w14:textId="77777777" w:rsidR="004B0883" w:rsidRDefault="004B0883">
            <w:pPr>
              <w:widowControl w:val="0"/>
              <w:jc w:val="center"/>
              <w:rPr>
                <w:color w:val="000000"/>
              </w:rPr>
            </w:pPr>
            <w:r>
              <w:rPr>
                <w:rFonts w:ascii="宋体" w:hAnsi="宋体" w:hint="eastAsia"/>
              </w:rPr>
              <w:t>发行人、</w:t>
            </w:r>
            <w:r>
              <w:rPr>
                <w:rFonts w:ascii="宋体" w:hAnsi="宋体"/>
              </w:rPr>
              <w:t>伟隆流体</w:t>
            </w:r>
          </w:p>
        </w:tc>
        <w:tc>
          <w:tcPr>
            <w:tcW w:w="1224" w:type="dxa"/>
            <w:tcMar>
              <w:top w:w="0" w:type="dxa"/>
              <w:left w:w="108" w:type="dxa"/>
              <w:bottom w:w="0" w:type="dxa"/>
              <w:right w:w="108" w:type="dxa"/>
            </w:tcMar>
            <w:vAlign w:val="center"/>
          </w:tcPr>
          <w:p w14:paraId="0DFBD13A" w14:textId="77777777" w:rsidR="004B0883" w:rsidRDefault="004B0883">
            <w:pPr>
              <w:widowControl w:val="0"/>
              <w:jc w:val="center"/>
              <w:rPr>
                <w:color w:val="000000"/>
              </w:rPr>
            </w:pPr>
            <w:r>
              <w:rPr>
                <w:rFonts w:ascii="宋体" w:hAnsi="宋体" w:hint="eastAsia"/>
              </w:rPr>
              <w:t>原始取得</w:t>
            </w:r>
          </w:p>
        </w:tc>
      </w:tr>
      <w:tr w:rsidR="004B0883" w14:paraId="02568AA3" w14:textId="77777777">
        <w:trPr>
          <w:trHeight w:val="397"/>
          <w:jc w:val="center"/>
        </w:trPr>
        <w:tc>
          <w:tcPr>
            <w:tcW w:w="348" w:type="pct"/>
            <w:tcMar>
              <w:top w:w="0" w:type="dxa"/>
              <w:left w:w="108" w:type="dxa"/>
              <w:bottom w:w="0" w:type="dxa"/>
              <w:right w:w="108" w:type="dxa"/>
            </w:tcMar>
            <w:vAlign w:val="center"/>
          </w:tcPr>
          <w:p w14:paraId="736126E8" w14:textId="77777777" w:rsidR="004B0883" w:rsidRDefault="004B0883">
            <w:pPr>
              <w:widowControl w:val="0"/>
              <w:adjustRightInd w:val="0"/>
              <w:snapToGrid w:val="0"/>
              <w:jc w:val="center"/>
              <w:rPr>
                <w:color w:val="000000"/>
              </w:rPr>
            </w:pPr>
            <w:r>
              <w:rPr>
                <w:color w:val="000000"/>
              </w:rPr>
              <w:t>51</w:t>
            </w:r>
          </w:p>
        </w:tc>
        <w:tc>
          <w:tcPr>
            <w:tcW w:w="2096" w:type="dxa"/>
            <w:tcMar>
              <w:top w:w="0" w:type="dxa"/>
              <w:left w:w="108" w:type="dxa"/>
              <w:bottom w:w="0" w:type="dxa"/>
              <w:right w:w="108" w:type="dxa"/>
            </w:tcMar>
            <w:vAlign w:val="center"/>
          </w:tcPr>
          <w:p w14:paraId="711E800C" w14:textId="77777777" w:rsidR="004B0883" w:rsidRDefault="004B0883">
            <w:pPr>
              <w:widowControl w:val="0"/>
              <w:jc w:val="center"/>
              <w:rPr>
                <w:color w:val="000000"/>
              </w:rPr>
            </w:pPr>
            <w:r>
              <w:rPr>
                <w:rFonts w:ascii="宋体" w:hAnsi="宋体"/>
              </w:rPr>
              <w:t>一种自动滴水阀</w:t>
            </w:r>
          </w:p>
        </w:tc>
        <w:tc>
          <w:tcPr>
            <w:tcW w:w="1241" w:type="dxa"/>
            <w:tcMar>
              <w:top w:w="0" w:type="dxa"/>
              <w:left w:w="108" w:type="dxa"/>
              <w:bottom w:w="0" w:type="dxa"/>
              <w:right w:w="108" w:type="dxa"/>
            </w:tcMar>
            <w:vAlign w:val="center"/>
          </w:tcPr>
          <w:p w14:paraId="3A23509C"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77D83B13" w14:textId="77777777" w:rsidR="004B0883" w:rsidRDefault="004B0883">
            <w:pPr>
              <w:widowControl w:val="0"/>
              <w:jc w:val="center"/>
              <w:rPr>
                <w:color w:val="000000"/>
              </w:rPr>
            </w:pPr>
            <w:r>
              <w:rPr>
                <w:rFonts w:eastAsia="等线"/>
              </w:rPr>
              <w:t>2017212147468</w:t>
            </w:r>
          </w:p>
        </w:tc>
        <w:tc>
          <w:tcPr>
            <w:tcW w:w="1311" w:type="dxa"/>
            <w:tcMar>
              <w:top w:w="0" w:type="dxa"/>
              <w:left w:w="108" w:type="dxa"/>
              <w:bottom w:w="0" w:type="dxa"/>
              <w:right w:w="108" w:type="dxa"/>
            </w:tcMar>
            <w:vAlign w:val="center"/>
          </w:tcPr>
          <w:p w14:paraId="3D5F2FE7" w14:textId="77777777" w:rsidR="004B0883" w:rsidRDefault="004B0883">
            <w:pPr>
              <w:widowControl w:val="0"/>
              <w:jc w:val="center"/>
              <w:rPr>
                <w:color w:val="000000"/>
              </w:rPr>
            </w:pPr>
            <w:r>
              <w:rPr>
                <w:rFonts w:eastAsia="等线"/>
              </w:rPr>
              <w:t>2017-09-21</w:t>
            </w:r>
          </w:p>
        </w:tc>
        <w:tc>
          <w:tcPr>
            <w:tcW w:w="1077" w:type="dxa"/>
            <w:tcMar>
              <w:top w:w="0" w:type="dxa"/>
              <w:left w:w="108" w:type="dxa"/>
              <w:bottom w:w="0" w:type="dxa"/>
              <w:right w:w="108" w:type="dxa"/>
            </w:tcMar>
            <w:vAlign w:val="center"/>
          </w:tcPr>
          <w:p w14:paraId="07BD8F42" w14:textId="77777777" w:rsidR="004B0883" w:rsidRDefault="004B0883">
            <w:pPr>
              <w:widowControl w:val="0"/>
              <w:jc w:val="center"/>
              <w:rPr>
                <w:color w:val="000000"/>
              </w:rPr>
            </w:pPr>
            <w:r>
              <w:rPr>
                <w:rFonts w:ascii="宋体" w:hAnsi="宋体" w:hint="eastAsia"/>
              </w:rPr>
              <w:t>发行人、</w:t>
            </w:r>
            <w:r>
              <w:rPr>
                <w:rFonts w:ascii="宋体" w:hAnsi="宋体"/>
              </w:rPr>
              <w:t>伟隆流体</w:t>
            </w:r>
          </w:p>
        </w:tc>
        <w:tc>
          <w:tcPr>
            <w:tcW w:w="1224" w:type="dxa"/>
            <w:tcMar>
              <w:top w:w="0" w:type="dxa"/>
              <w:left w:w="108" w:type="dxa"/>
              <w:bottom w:w="0" w:type="dxa"/>
              <w:right w:w="108" w:type="dxa"/>
            </w:tcMar>
            <w:vAlign w:val="center"/>
          </w:tcPr>
          <w:p w14:paraId="0E2D7E64" w14:textId="77777777" w:rsidR="004B0883" w:rsidRDefault="004B0883">
            <w:pPr>
              <w:widowControl w:val="0"/>
              <w:jc w:val="center"/>
              <w:rPr>
                <w:color w:val="000000"/>
              </w:rPr>
            </w:pPr>
            <w:r>
              <w:rPr>
                <w:rFonts w:ascii="宋体" w:hAnsi="宋体" w:hint="eastAsia"/>
              </w:rPr>
              <w:t>原始取得</w:t>
            </w:r>
          </w:p>
        </w:tc>
      </w:tr>
      <w:tr w:rsidR="004B0883" w14:paraId="7638DCF1" w14:textId="77777777">
        <w:trPr>
          <w:trHeight w:val="397"/>
          <w:jc w:val="center"/>
        </w:trPr>
        <w:tc>
          <w:tcPr>
            <w:tcW w:w="348" w:type="pct"/>
            <w:tcMar>
              <w:top w:w="0" w:type="dxa"/>
              <w:left w:w="108" w:type="dxa"/>
              <w:bottom w:w="0" w:type="dxa"/>
              <w:right w:w="108" w:type="dxa"/>
            </w:tcMar>
            <w:vAlign w:val="center"/>
          </w:tcPr>
          <w:p w14:paraId="4D114D8E" w14:textId="77777777" w:rsidR="004B0883" w:rsidRDefault="004B0883">
            <w:pPr>
              <w:widowControl w:val="0"/>
              <w:adjustRightInd w:val="0"/>
              <w:snapToGrid w:val="0"/>
              <w:jc w:val="center"/>
              <w:rPr>
                <w:color w:val="000000"/>
              </w:rPr>
            </w:pPr>
            <w:r>
              <w:rPr>
                <w:color w:val="000000"/>
              </w:rPr>
              <w:t>52</w:t>
            </w:r>
          </w:p>
        </w:tc>
        <w:tc>
          <w:tcPr>
            <w:tcW w:w="2096" w:type="dxa"/>
            <w:tcMar>
              <w:top w:w="0" w:type="dxa"/>
              <w:left w:w="108" w:type="dxa"/>
              <w:bottom w:w="0" w:type="dxa"/>
              <w:right w:w="108" w:type="dxa"/>
            </w:tcMar>
            <w:vAlign w:val="center"/>
          </w:tcPr>
          <w:p w14:paraId="2BD91F39" w14:textId="77777777" w:rsidR="004B0883" w:rsidRDefault="004B0883">
            <w:pPr>
              <w:widowControl w:val="0"/>
              <w:jc w:val="center"/>
              <w:rPr>
                <w:color w:val="000000"/>
              </w:rPr>
            </w:pPr>
            <w:r>
              <w:rPr>
                <w:rFonts w:ascii="宋体" w:hAnsi="宋体"/>
              </w:rPr>
              <w:t>一种雨淋报警阀手动复位装置</w:t>
            </w:r>
          </w:p>
        </w:tc>
        <w:tc>
          <w:tcPr>
            <w:tcW w:w="1241" w:type="dxa"/>
            <w:tcMar>
              <w:top w:w="0" w:type="dxa"/>
              <w:left w:w="108" w:type="dxa"/>
              <w:bottom w:w="0" w:type="dxa"/>
              <w:right w:w="108" w:type="dxa"/>
            </w:tcMar>
            <w:vAlign w:val="center"/>
          </w:tcPr>
          <w:p w14:paraId="438FA7FF"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792CB6C1" w14:textId="77777777" w:rsidR="004B0883" w:rsidRDefault="004B0883">
            <w:pPr>
              <w:widowControl w:val="0"/>
              <w:jc w:val="center"/>
              <w:rPr>
                <w:color w:val="000000"/>
              </w:rPr>
            </w:pPr>
            <w:r>
              <w:rPr>
                <w:rFonts w:eastAsia="等线"/>
              </w:rPr>
              <w:t>2017212060233</w:t>
            </w:r>
          </w:p>
        </w:tc>
        <w:tc>
          <w:tcPr>
            <w:tcW w:w="1311" w:type="dxa"/>
            <w:tcMar>
              <w:top w:w="0" w:type="dxa"/>
              <w:left w:w="108" w:type="dxa"/>
              <w:bottom w:w="0" w:type="dxa"/>
              <w:right w:w="108" w:type="dxa"/>
            </w:tcMar>
            <w:vAlign w:val="center"/>
          </w:tcPr>
          <w:p w14:paraId="436BF124" w14:textId="77777777" w:rsidR="004B0883" w:rsidRDefault="004B0883">
            <w:pPr>
              <w:widowControl w:val="0"/>
              <w:jc w:val="center"/>
              <w:rPr>
                <w:color w:val="000000"/>
              </w:rPr>
            </w:pPr>
            <w:r>
              <w:rPr>
                <w:rFonts w:eastAsia="等线"/>
              </w:rPr>
              <w:t>2017-09-20</w:t>
            </w:r>
          </w:p>
        </w:tc>
        <w:tc>
          <w:tcPr>
            <w:tcW w:w="1077" w:type="dxa"/>
            <w:tcMar>
              <w:top w:w="0" w:type="dxa"/>
              <w:left w:w="108" w:type="dxa"/>
              <w:bottom w:w="0" w:type="dxa"/>
              <w:right w:w="108" w:type="dxa"/>
            </w:tcMar>
            <w:vAlign w:val="center"/>
          </w:tcPr>
          <w:p w14:paraId="1F0EC2A1" w14:textId="77777777" w:rsidR="004B0883" w:rsidRDefault="004B0883">
            <w:pPr>
              <w:widowControl w:val="0"/>
              <w:jc w:val="center"/>
              <w:rPr>
                <w:color w:val="000000"/>
              </w:rPr>
            </w:pPr>
            <w:r>
              <w:rPr>
                <w:rFonts w:ascii="宋体" w:hAnsi="宋体" w:hint="eastAsia"/>
              </w:rPr>
              <w:t>发行人、</w:t>
            </w:r>
            <w:r>
              <w:rPr>
                <w:rFonts w:ascii="宋体" w:hAnsi="宋体"/>
              </w:rPr>
              <w:t>伟隆流体</w:t>
            </w:r>
          </w:p>
        </w:tc>
        <w:tc>
          <w:tcPr>
            <w:tcW w:w="1224" w:type="dxa"/>
            <w:tcMar>
              <w:top w:w="0" w:type="dxa"/>
              <w:left w:w="108" w:type="dxa"/>
              <w:bottom w:w="0" w:type="dxa"/>
              <w:right w:w="108" w:type="dxa"/>
            </w:tcMar>
            <w:vAlign w:val="center"/>
          </w:tcPr>
          <w:p w14:paraId="144D5815" w14:textId="77777777" w:rsidR="004B0883" w:rsidRDefault="004B0883">
            <w:pPr>
              <w:widowControl w:val="0"/>
              <w:jc w:val="center"/>
              <w:rPr>
                <w:color w:val="000000"/>
              </w:rPr>
            </w:pPr>
            <w:r>
              <w:rPr>
                <w:rFonts w:ascii="宋体" w:hAnsi="宋体" w:hint="eastAsia"/>
              </w:rPr>
              <w:t>原始取得</w:t>
            </w:r>
          </w:p>
        </w:tc>
      </w:tr>
      <w:tr w:rsidR="004B0883" w14:paraId="01542560" w14:textId="77777777">
        <w:trPr>
          <w:trHeight w:val="397"/>
          <w:jc w:val="center"/>
        </w:trPr>
        <w:tc>
          <w:tcPr>
            <w:tcW w:w="348" w:type="pct"/>
            <w:tcMar>
              <w:top w:w="0" w:type="dxa"/>
              <w:left w:w="108" w:type="dxa"/>
              <w:bottom w:w="0" w:type="dxa"/>
              <w:right w:w="108" w:type="dxa"/>
            </w:tcMar>
            <w:vAlign w:val="center"/>
          </w:tcPr>
          <w:p w14:paraId="7E80F60B" w14:textId="77777777" w:rsidR="004B0883" w:rsidRDefault="004B0883">
            <w:pPr>
              <w:widowControl w:val="0"/>
              <w:adjustRightInd w:val="0"/>
              <w:snapToGrid w:val="0"/>
              <w:jc w:val="center"/>
              <w:rPr>
                <w:color w:val="000000"/>
              </w:rPr>
            </w:pPr>
            <w:r>
              <w:rPr>
                <w:color w:val="000000"/>
              </w:rPr>
              <w:t>53</w:t>
            </w:r>
          </w:p>
        </w:tc>
        <w:tc>
          <w:tcPr>
            <w:tcW w:w="2096" w:type="dxa"/>
            <w:tcMar>
              <w:top w:w="0" w:type="dxa"/>
              <w:left w:w="108" w:type="dxa"/>
              <w:bottom w:w="0" w:type="dxa"/>
              <w:right w:w="108" w:type="dxa"/>
            </w:tcMar>
            <w:vAlign w:val="center"/>
          </w:tcPr>
          <w:p w14:paraId="346C04CD" w14:textId="77777777" w:rsidR="004B0883" w:rsidRDefault="004B0883">
            <w:pPr>
              <w:widowControl w:val="0"/>
              <w:jc w:val="center"/>
              <w:rPr>
                <w:color w:val="000000"/>
              </w:rPr>
            </w:pPr>
            <w:r>
              <w:rPr>
                <w:rFonts w:ascii="宋体" w:hAnsi="宋体"/>
              </w:rPr>
              <w:t>低扭矩截止阀</w:t>
            </w:r>
          </w:p>
        </w:tc>
        <w:tc>
          <w:tcPr>
            <w:tcW w:w="1241" w:type="dxa"/>
            <w:tcMar>
              <w:top w:w="0" w:type="dxa"/>
              <w:left w:w="108" w:type="dxa"/>
              <w:bottom w:w="0" w:type="dxa"/>
              <w:right w:w="108" w:type="dxa"/>
            </w:tcMar>
            <w:vAlign w:val="center"/>
          </w:tcPr>
          <w:p w14:paraId="2F00E93E"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5100AEE9" w14:textId="77777777" w:rsidR="004B0883" w:rsidRDefault="004B0883">
            <w:pPr>
              <w:widowControl w:val="0"/>
              <w:jc w:val="center"/>
              <w:rPr>
                <w:color w:val="000000"/>
              </w:rPr>
            </w:pPr>
            <w:r>
              <w:rPr>
                <w:rFonts w:eastAsia="等线"/>
              </w:rPr>
              <w:t>2017212084153</w:t>
            </w:r>
          </w:p>
        </w:tc>
        <w:tc>
          <w:tcPr>
            <w:tcW w:w="1311" w:type="dxa"/>
            <w:tcMar>
              <w:top w:w="0" w:type="dxa"/>
              <w:left w:w="108" w:type="dxa"/>
              <w:bottom w:w="0" w:type="dxa"/>
              <w:right w:w="108" w:type="dxa"/>
            </w:tcMar>
            <w:vAlign w:val="center"/>
          </w:tcPr>
          <w:p w14:paraId="2243141C" w14:textId="77777777" w:rsidR="004B0883" w:rsidRDefault="004B0883">
            <w:pPr>
              <w:widowControl w:val="0"/>
              <w:jc w:val="center"/>
              <w:rPr>
                <w:color w:val="000000"/>
              </w:rPr>
            </w:pPr>
            <w:r>
              <w:rPr>
                <w:rFonts w:eastAsia="等线"/>
              </w:rPr>
              <w:t>2017-09-20</w:t>
            </w:r>
          </w:p>
        </w:tc>
        <w:tc>
          <w:tcPr>
            <w:tcW w:w="1077" w:type="dxa"/>
            <w:tcMar>
              <w:top w:w="0" w:type="dxa"/>
              <w:left w:w="108" w:type="dxa"/>
              <w:bottom w:w="0" w:type="dxa"/>
              <w:right w:w="108" w:type="dxa"/>
            </w:tcMar>
            <w:vAlign w:val="center"/>
          </w:tcPr>
          <w:p w14:paraId="02674C7E" w14:textId="77777777" w:rsidR="004B0883" w:rsidRDefault="004B0883">
            <w:pPr>
              <w:widowControl w:val="0"/>
              <w:jc w:val="center"/>
              <w:rPr>
                <w:color w:val="000000"/>
              </w:rPr>
            </w:pPr>
            <w:r>
              <w:rPr>
                <w:rFonts w:ascii="宋体" w:hAnsi="宋体" w:hint="eastAsia"/>
              </w:rPr>
              <w:t>发行人、</w:t>
            </w:r>
            <w:r>
              <w:rPr>
                <w:rFonts w:ascii="宋体" w:hAnsi="宋体"/>
              </w:rPr>
              <w:t>伟隆流体</w:t>
            </w:r>
          </w:p>
        </w:tc>
        <w:tc>
          <w:tcPr>
            <w:tcW w:w="1224" w:type="dxa"/>
            <w:tcMar>
              <w:top w:w="0" w:type="dxa"/>
              <w:left w:w="108" w:type="dxa"/>
              <w:bottom w:w="0" w:type="dxa"/>
              <w:right w:w="108" w:type="dxa"/>
            </w:tcMar>
            <w:vAlign w:val="center"/>
          </w:tcPr>
          <w:p w14:paraId="4FEE3AD7" w14:textId="77777777" w:rsidR="004B0883" w:rsidRDefault="004B0883">
            <w:pPr>
              <w:widowControl w:val="0"/>
              <w:jc w:val="center"/>
              <w:rPr>
                <w:color w:val="000000"/>
              </w:rPr>
            </w:pPr>
            <w:r>
              <w:rPr>
                <w:rFonts w:ascii="宋体" w:hAnsi="宋体" w:hint="eastAsia"/>
              </w:rPr>
              <w:t>原始取得</w:t>
            </w:r>
          </w:p>
        </w:tc>
      </w:tr>
      <w:tr w:rsidR="004B0883" w14:paraId="481DAFA0" w14:textId="77777777">
        <w:trPr>
          <w:trHeight w:val="397"/>
          <w:jc w:val="center"/>
        </w:trPr>
        <w:tc>
          <w:tcPr>
            <w:tcW w:w="348" w:type="pct"/>
            <w:tcMar>
              <w:top w:w="0" w:type="dxa"/>
              <w:left w:w="108" w:type="dxa"/>
              <w:bottom w:w="0" w:type="dxa"/>
              <w:right w:w="108" w:type="dxa"/>
            </w:tcMar>
            <w:vAlign w:val="center"/>
          </w:tcPr>
          <w:p w14:paraId="142A8122" w14:textId="77777777" w:rsidR="004B0883" w:rsidRDefault="004B0883">
            <w:pPr>
              <w:widowControl w:val="0"/>
              <w:adjustRightInd w:val="0"/>
              <w:snapToGrid w:val="0"/>
              <w:jc w:val="center"/>
              <w:rPr>
                <w:color w:val="000000"/>
              </w:rPr>
            </w:pPr>
            <w:r>
              <w:rPr>
                <w:color w:val="000000"/>
              </w:rPr>
              <w:t>54</w:t>
            </w:r>
          </w:p>
        </w:tc>
        <w:tc>
          <w:tcPr>
            <w:tcW w:w="2096" w:type="dxa"/>
            <w:tcMar>
              <w:top w:w="0" w:type="dxa"/>
              <w:left w:w="108" w:type="dxa"/>
              <w:bottom w:w="0" w:type="dxa"/>
              <w:right w:w="108" w:type="dxa"/>
            </w:tcMar>
            <w:vAlign w:val="center"/>
          </w:tcPr>
          <w:p w14:paraId="3DA8C41A" w14:textId="77777777" w:rsidR="004B0883" w:rsidRDefault="004B0883">
            <w:pPr>
              <w:widowControl w:val="0"/>
              <w:jc w:val="center"/>
              <w:rPr>
                <w:color w:val="000000"/>
              </w:rPr>
            </w:pPr>
            <w:r>
              <w:rPr>
                <w:rFonts w:ascii="宋体" w:hAnsi="宋体"/>
              </w:rPr>
              <w:t>新型密封结构闸阀</w:t>
            </w:r>
          </w:p>
        </w:tc>
        <w:tc>
          <w:tcPr>
            <w:tcW w:w="1241" w:type="dxa"/>
            <w:tcMar>
              <w:top w:w="0" w:type="dxa"/>
              <w:left w:w="108" w:type="dxa"/>
              <w:bottom w:w="0" w:type="dxa"/>
              <w:right w:w="108" w:type="dxa"/>
            </w:tcMar>
            <w:vAlign w:val="center"/>
          </w:tcPr>
          <w:p w14:paraId="0E77FB1E"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2BE96BA4" w14:textId="77777777" w:rsidR="004B0883" w:rsidRDefault="004B0883">
            <w:pPr>
              <w:widowControl w:val="0"/>
              <w:jc w:val="center"/>
              <w:rPr>
                <w:color w:val="000000"/>
              </w:rPr>
            </w:pPr>
            <w:r>
              <w:rPr>
                <w:rFonts w:eastAsia="等线"/>
              </w:rPr>
              <w:t>2014203783189</w:t>
            </w:r>
          </w:p>
        </w:tc>
        <w:tc>
          <w:tcPr>
            <w:tcW w:w="1311" w:type="dxa"/>
            <w:tcMar>
              <w:top w:w="0" w:type="dxa"/>
              <w:left w:w="108" w:type="dxa"/>
              <w:bottom w:w="0" w:type="dxa"/>
              <w:right w:w="108" w:type="dxa"/>
            </w:tcMar>
            <w:vAlign w:val="center"/>
          </w:tcPr>
          <w:p w14:paraId="34D33FD5" w14:textId="77777777" w:rsidR="004B0883" w:rsidRDefault="004B0883">
            <w:pPr>
              <w:widowControl w:val="0"/>
              <w:jc w:val="center"/>
              <w:rPr>
                <w:color w:val="000000"/>
              </w:rPr>
            </w:pPr>
            <w:r>
              <w:rPr>
                <w:rFonts w:eastAsia="等线"/>
              </w:rPr>
              <w:t>2014-07-10</w:t>
            </w:r>
          </w:p>
        </w:tc>
        <w:tc>
          <w:tcPr>
            <w:tcW w:w="1077" w:type="dxa"/>
            <w:tcMar>
              <w:top w:w="0" w:type="dxa"/>
              <w:left w:w="108" w:type="dxa"/>
              <w:bottom w:w="0" w:type="dxa"/>
              <w:right w:w="108" w:type="dxa"/>
            </w:tcMar>
            <w:vAlign w:val="center"/>
          </w:tcPr>
          <w:p w14:paraId="27448C46" w14:textId="77777777" w:rsidR="004B0883" w:rsidRDefault="004B0883">
            <w:pPr>
              <w:widowControl w:val="0"/>
              <w:jc w:val="center"/>
              <w:rPr>
                <w:color w:val="000000"/>
              </w:rPr>
            </w:pPr>
            <w:r>
              <w:rPr>
                <w:rFonts w:ascii="宋体" w:hAnsi="宋体" w:hint="eastAsia"/>
              </w:rPr>
              <w:t>发行人、</w:t>
            </w:r>
            <w:r>
              <w:rPr>
                <w:rFonts w:ascii="宋体" w:hAnsi="宋体"/>
              </w:rPr>
              <w:t>伟隆流体</w:t>
            </w:r>
          </w:p>
        </w:tc>
        <w:tc>
          <w:tcPr>
            <w:tcW w:w="1224" w:type="dxa"/>
            <w:tcMar>
              <w:top w:w="0" w:type="dxa"/>
              <w:left w:w="108" w:type="dxa"/>
              <w:bottom w:w="0" w:type="dxa"/>
              <w:right w:w="108" w:type="dxa"/>
            </w:tcMar>
            <w:vAlign w:val="center"/>
          </w:tcPr>
          <w:p w14:paraId="0BC60E42" w14:textId="77777777" w:rsidR="004B0883" w:rsidRDefault="004B0883">
            <w:pPr>
              <w:widowControl w:val="0"/>
              <w:jc w:val="center"/>
              <w:rPr>
                <w:color w:val="000000"/>
              </w:rPr>
            </w:pPr>
            <w:r>
              <w:rPr>
                <w:rFonts w:ascii="宋体" w:hAnsi="宋体" w:hint="eastAsia"/>
              </w:rPr>
              <w:t>原始取得</w:t>
            </w:r>
          </w:p>
        </w:tc>
      </w:tr>
      <w:tr w:rsidR="004B0883" w14:paraId="5D320C46" w14:textId="77777777">
        <w:trPr>
          <w:trHeight w:val="397"/>
          <w:jc w:val="center"/>
        </w:trPr>
        <w:tc>
          <w:tcPr>
            <w:tcW w:w="348" w:type="pct"/>
            <w:tcMar>
              <w:top w:w="0" w:type="dxa"/>
              <w:left w:w="108" w:type="dxa"/>
              <w:bottom w:w="0" w:type="dxa"/>
              <w:right w:w="108" w:type="dxa"/>
            </w:tcMar>
            <w:vAlign w:val="center"/>
          </w:tcPr>
          <w:p w14:paraId="35E76910" w14:textId="77777777" w:rsidR="004B0883" w:rsidRDefault="004B0883">
            <w:pPr>
              <w:widowControl w:val="0"/>
              <w:adjustRightInd w:val="0"/>
              <w:snapToGrid w:val="0"/>
              <w:jc w:val="center"/>
              <w:rPr>
                <w:color w:val="000000"/>
              </w:rPr>
            </w:pPr>
            <w:r>
              <w:rPr>
                <w:color w:val="000000"/>
              </w:rPr>
              <w:t>55</w:t>
            </w:r>
          </w:p>
        </w:tc>
        <w:tc>
          <w:tcPr>
            <w:tcW w:w="2096" w:type="dxa"/>
            <w:tcMar>
              <w:top w:w="0" w:type="dxa"/>
              <w:left w:w="108" w:type="dxa"/>
              <w:bottom w:w="0" w:type="dxa"/>
              <w:right w:w="108" w:type="dxa"/>
            </w:tcMar>
            <w:vAlign w:val="center"/>
          </w:tcPr>
          <w:p w14:paraId="09B65FC9" w14:textId="77777777" w:rsidR="004B0883" w:rsidRDefault="004B0883">
            <w:pPr>
              <w:widowControl w:val="0"/>
              <w:jc w:val="center"/>
              <w:rPr>
                <w:color w:val="000000"/>
              </w:rPr>
            </w:pPr>
            <w:r>
              <w:rPr>
                <w:rFonts w:ascii="宋体" w:hAnsi="宋体"/>
              </w:rPr>
              <w:t>防水锤空气阀</w:t>
            </w:r>
          </w:p>
        </w:tc>
        <w:tc>
          <w:tcPr>
            <w:tcW w:w="1241" w:type="dxa"/>
            <w:tcMar>
              <w:top w:w="0" w:type="dxa"/>
              <w:left w:w="108" w:type="dxa"/>
              <w:bottom w:w="0" w:type="dxa"/>
              <w:right w:w="108" w:type="dxa"/>
            </w:tcMar>
            <w:vAlign w:val="center"/>
          </w:tcPr>
          <w:p w14:paraId="348554BF"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7A10FC19" w14:textId="77777777" w:rsidR="004B0883" w:rsidRDefault="004B0883">
            <w:pPr>
              <w:widowControl w:val="0"/>
              <w:jc w:val="center"/>
              <w:rPr>
                <w:color w:val="000000"/>
              </w:rPr>
            </w:pPr>
            <w:r>
              <w:rPr>
                <w:rFonts w:eastAsia="等线"/>
              </w:rPr>
              <w:t>2014203783174</w:t>
            </w:r>
          </w:p>
        </w:tc>
        <w:tc>
          <w:tcPr>
            <w:tcW w:w="1311" w:type="dxa"/>
            <w:tcMar>
              <w:top w:w="0" w:type="dxa"/>
              <w:left w:w="108" w:type="dxa"/>
              <w:bottom w:w="0" w:type="dxa"/>
              <w:right w:w="108" w:type="dxa"/>
            </w:tcMar>
            <w:vAlign w:val="center"/>
          </w:tcPr>
          <w:p w14:paraId="78A44DAE" w14:textId="77777777" w:rsidR="004B0883" w:rsidRDefault="004B0883">
            <w:pPr>
              <w:widowControl w:val="0"/>
              <w:jc w:val="center"/>
              <w:rPr>
                <w:color w:val="000000"/>
              </w:rPr>
            </w:pPr>
            <w:r>
              <w:rPr>
                <w:rFonts w:eastAsia="等线"/>
              </w:rPr>
              <w:t>2014-07-10</w:t>
            </w:r>
          </w:p>
        </w:tc>
        <w:tc>
          <w:tcPr>
            <w:tcW w:w="1077" w:type="dxa"/>
            <w:tcMar>
              <w:top w:w="0" w:type="dxa"/>
              <w:left w:w="108" w:type="dxa"/>
              <w:bottom w:w="0" w:type="dxa"/>
              <w:right w:w="108" w:type="dxa"/>
            </w:tcMar>
            <w:vAlign w:val="center"/>
          </w:tcPr>
          <w:p w14:paraId="5244FD21" w14:textId="77777777" w:rsidR="004B0883" w:rsidRDefault="004B0883">
            <w:pPr>
              <w:widowControl w:val="0"/>
              <w:jc w:val="center"/>
              <w:rPr>
                <w:color w:val="000000"/>
              </w:rPr>
            </w:pPr>
            <w:r>
              <w:rPr>
                <w:rFonts w:ascii="宋体" w:hAnsi="宋体" w:hint="eastAsia"/>
              </w:rPr>
              <w:t>发行人、</w:t>
            </w:r>
            <w:r>
              <w:rPr>
                <w:rFonts w:ascii="宋体" w:hAnsi="宋体"/>
              </w:rPr>
              <w:t>伟隆流体</w:t>
            </w:r>
          </w:p>
        </w:tc>
        <w:tc>
          <w:tcPr>
            <w:tcW w:w="1224" w:type="dxa"/>
            <w:tcMar>
              <w:top w:w="0" w:type="dxa"/>
              <w:left w:w="108" w:type="dxa"/>
              <w:bottom w:w="0" w:type="dxa"/>
              <w:right w:w="108" w:type="dxa"/>
            </w:tcMar>
            <w:vAlign w:val="center"/>
          </w:tcPr>
          <w:p w14:paraId="3BAFAAA3" w14:textId="77777777" w:rsidR="004B0883" w:rsidRDefault="004B0883">
            <w:pPr>
              <w:widowControl w:val="0"/>
              <w:jc w:val="center"/>
              <w:rPr>
                <w:color w:val="000000"/>
              </w:rPr>
            </w:pPr>
            <w:r>
              <w:rPr>
                <w:rFonts w:ascii="宋体" w:hAnsi="宋体" w:hint="eastAsia"/>
              </w:rPr>
              <w:t>原始取得</w:t>
            </w:r>
          </w:p>
        </w:tc>
      </w:tr>
      <w:tr w:rsidR="004B0883" w14:paraId="7EBEEEBB" w14:textId="77777777">
        <w:trPr>
          <w:trHeight w:val="397"/>
          <w:jc w:val="center"/>
        </w:trPr>
        <w:tc>
          <w:tcPr>
            <w:tcW w:w="348" w:type="pct"/>
            <w:tcMar>
              <w:top w:w="0" w:type="dxa"/>
              <w:left w:w="108" w:type="dxa"/>
              <w:bottom w:w="0" w:type="dxa"/>
              <w:right w:w="108" w:type="dxa"/>
            </w:tcMar>
            <w:vAlign w:val="center"/>
          </w:tcPr>
          <w:p w14:paraId="640DCA32" w14:textId="77777777" w:rsidR="004B0883" w:rsidRDefault="004B0883">
            <w:pPr>
              <w:widowControl w:val="0"/>
              <w:adjustRightInd w:val="0"/>
              <w:snapToGrid w:val="0"/>
              <w:jc w:val="center"/>
              <w:rPr>
                <w:color w:val="000000"/>
              </w:rPr>
            </w:pPr>
            <w:r>
              <w:rPr>
                <w:color w:val="000000"/>
              </w:rPr>
              <w:t>56</w:t>
            </w:r>
          </w:p>
        </w:tc>
        <w:tc>
          <w:tcPr>
            <w:tcW w:w="2096" w:type="dxa"/>
            <w:tcMar>
              <w:top w:w="0" w:type="dxa"/>
              <w:left w:w="108" w:type="dxa"/>
              <w:bottom w:w="0" w:type="dxa"/>
              <w:right w:w="108" w:type="dxa"/>
            </w:tcMar>
            <w:vAlign w:val="center"/>
          </w:tcPr>
          <w:p w14:paraId="0012C82B" w14:textId="77777777" w:rsidR="004B0883" w:rsidRDefault="004B0883">
            <w:pPr>
              <w:widowControl w:val="0"/>
              <w:jc w:val="center"/>
              <w:rPr>
                <w:color w:val="000000"/>
              </w:rPr>
            </w:pPr>
            <w:r>
              <w:rPr>
                <w:rFonts w:ascii="宋体" w:hAnsi="宋体"/>
              </w:rPr>
              <w:t>一种带冲洗装置闸阀</w:t>
            </w:r>
          </w:p>
        </w:tc>
        <w:tc>
          <w:tcPr>
            <w:tcW w:w="1241" w:type="dxa"/>
            <w:tcMar>
              <w:top w:w="0" w:type="dxa"/>
              <w:left w:w="108" w:type="dxa"/>
              <w:bottom w:w="0" w:type="dxa"/>
              <w:right w:w="108" w:type="dxa"/>
            </w:tcMar>
            <w:vAlign w:val="center"/>
          </w:tcPr>
          <w:p w14:paraId="6B95D197"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6D9681FE" w14:textId="77777777" w:rsidR="004B0883" w:rsidRDefault="004B0883">
            <w:pPr>
              <w:widowControl w:val="0"/>
              <w:jc w:val="center"/>
              <w:rPr>
                <w:color w:val="000000"/>
              </w:rPr>
            </w:pPr>
            <w:r>
              <w:rPr>
                <w:rFonts w:eastAsia="等线"/>
              </w:rPr>
              <w:t>2014203783460</w:t>
            </w:r>
          </w:p>
        </w:tc>
        <w:tc>
          <w:tcPr>
            <w:tcW w:w="1311" w:type="dxa"/>
            <w:tcMar>
              <w:top w:w="0" w:type="dxa"/>
              <w:left w:w="108" w:type="dxa"/>
              <w:bottom w:w="0" w:type="dxa"/>
              <w:right w:w="108" w:type="dxa"/>
            </w:tcMar>
            <w:vAlign w:val="center"/>
          </w:tcPr>
          <w:p w14:paraId="4205E9BB" w14:textId="77777777" w:rsidR="004B0883" w:rsidRDefault="004B0883">
            <w:pPr>
              <w:widowControl w:val="0"/>
              <w:jc w:val="center"/>
              <w:rPr>
                <w:color w:val="000000"/>
              </w:rPr>
            </w:pPr>
            <w:r>
              <w:rPr>
                <w:rFonts w:eastAsia="等线"/>
              </w:rPr>
              <w:t>2014-07-10</w:t>
            </w:r>
          </w:p>
        </w:tc>
        <w:tc>
          <w:tcPr>
            <w:tcW w:w="1077" w:type="dxa"/>
            <w:tcMar>
              <w:top w:w="0" w:type="dxa"/>
              <w:left w:w="108" w:type="dxa"/>
              <w:bottom w:w="0" w:type="dxa"/>
              <w:right w:w="108" w:type="dxa"/>
            </w:tcMar>
            <w:vAlign w:val="center"/>
          </w:tcPr>
          <w:p w14:paraId="77E47988" w14:textId="77777777" w:rsidR="004B0883" w:rsidRDefault="004B0883">
            <w:pPr>
              <w:widowControl w:val="0"/>
              <w:jc w:val="center"/>
              <w:rPr>
                <w:color w:val="000000"/>
              </w:rPr>
            </w:pPr>
            <w:r>
              <w:rPr>
                <w:rFonts w:ascii="宋体" w:hAnsi="宋体" w:hint="eastAsia"/>
              </w:rPr>
              <w:t>发行人、</w:t>
            </w:r>
            <w:r>
              <w:rPr>
                <w:rFonts w:ascii="宋体" w:hAnsi="宋体"/>
              </w:rPr>
              <w:t>伟隆流体</w:t>
            </w:r>
          </w:p>
        </w:tc>
        <w:tc>
          <w:tcPr>
            <w:tcW w:w="1224" w:type="dxa"/>
            <w:tcMar>
              <w:top w:w="0" w:type="dxa"/>
              <w:left w:w="108" w:type="dxa"/>
              <w:bottom w:w="0" w:type="dxa"/>
              <w:right w:w="108" w:type="dxa"/>
            </w:tcMar>
            <w:vAlign w:val="center"/>
          </w:tcPr>
          <w:p w14:paraId="13174501" w14:textId="77777777" w:rsidR="004B0883" w:rsidRDefault="004B0883">
            <w:pPr>
              <w:widowControl w:val="0"/>
              <w:jc w:val="center"/>
              <w:rPr>
                <w:color w:val="000000"/>
              </w:rPr>
            </w:pPr>
            <w:r>
              <w:rPr>
                <w:rFonts w:ascii="宋体" w:hAnsi="宋体" w:hint="eastAsia"/>
              </w:rPr>
              <w:t>原始取得</w:t>
            </w:r>
          </w:p>
        </w:tc>
      </w:tr>
      <w:tr w:rsidR="004B0883" w14:paraId="196F4E58" w14:textId="77777777">
        <w:trPr>
          <w:trHeight w:val="397"/>
          <w:jc w:val="center"/>
        </w:trPr>
        <w:tc>
          <w:tcPr>
            <w:tcW w:w="348" w:type="pct"/>
            <w:tcMar>
              <w:top w:w="0" w:type="dxa"/>
              <w:left w:w="108" w:type="dxa"/>
              <w:bottom w:w="0" w:type="dxa"/>
              <w:right w:w="108" w:type="dxa"/>
            </w:tcMar>
            <w:vAlign w:val="center"/>
          </w:tcPr>
          <w:p w14:paraId="7DD9850D" w14:textId="77777777" w:rsidR="004B0883" w:rsidRDefault="004B0883">
            <w:pPr>
              <w:widowControl w:val="0"/>
              <w:adjustRightInd w:val="0"/>
              <w:snapToGrid w:val="0"/>
              <w:jc w:val="center"/>
              <w:rPr>
                <w:color w:val="000000"/>
              </w:rPr>
            </w:pPr>
            <w:r>
              <w:rPr>
                <w:color w:val="000000"/>
              </w:rPr>
              <w:t>57</w:t>
            </w:r>
          </w:p>
        </w:tc>
        <w:tc>
          <w:tcPr>
            <w:tcW w:w="2096" w:type="dxa"/>
            <w:tcMar>
              <w:top w:w="0" w:type="dxa"/>
              <w:left w:w="108" w:type="dxa"/>
              <w:bottom w:w="0" w:type="dxa"/>
              <w:right w:w="108" w:type="dxa"/>
            </w:tcMar>
            <w:vAlign w:val="center"/>
          </w:tcPr>
          <w:p w14:paraId="1CD22D26" w14:textId="77777777" w:rsidR="004B0883" w:rsidRDefault="004B0883">
            <w:pPr>
              <w:widowControl w:val="0"/>
              <w:jc w:val="center"/>
              <w:rPr>
                <w:color w:val="000000"/>
              </w:rPr>
            </w:pPr>
            <w:r>
              <w:rPr>
                <w:rFonts w:ascii="宋体" w:hAnsi="宋体"/>
              </w:rPr>
              <w:t>埋地阀门内置减力操作指示装置</w:t>
            </w:r>
          </w:p>
        </w:tc>
        <w:tc>
          <w:tcPr>
            <w:tcW w:w="1241" w:type="dxa"/>
            <w:tcMar>
              <w:top w:w="0" w:type="dxa"/>
              <w:left w:w="108" w:type="dxa"/>
              <w:bottom w:w="0" w:type="dxa"/>
              <w:right w:w="108" w:type="dxa"/>
            </w:tcMar>
            <w:vAlign w:val="center"/>
          </w:tcPr>
          <w:p w14:paraId="461AD429"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0E49FC11" w14:textId="77777777" w:rsidR="004B0883" w:rsidRDefault="004B0883">
            <w:pPr>
              <w:widowControl w:val="0"/>
              <w:jc w:val="center"/>
              <w:rPr>
                <w:color w:val="000000"/>
              </w:rPr>
            </w:pPr>
            <w:r>
              <w:rPr>
                <w:rFonts w:eastAsia="等线"/>
              </w:rPr>
              <w:t>2014201312025</w:t>
            </w:r>
          </w:p>
        </w:tc>
        <w:tc>
          <w:tcPr>
            <w:tcW w:w="1311" w:type="dxa"/>
            <w:tcMar>
              <w:top w:w="0" w:type="dxa"/>
              <w:left w:w="108" w:type="dxa"/>
              <w:bottom w:w="0" w:type="dxa"/>
              <w:right w:w="108" w:type="dxa"/>
            </w:tcMar>
            <w:vAlign w:val="center"/>
          </w:tcPr>
          <w:p w14:paraId="4757E37B" w14:textId="77777777" w:rsidR="004B0883" w:rsidRDefault="004B0883">
            <w:pPr>
              <w:widowControl w:val="0"/>
              <w:jc w:val="center"/>
              <w:rPr>
                <w:color w:val="000000"/>
              </w:rPr>
            </w:pPr>
            <w:r>
              <w:rPr>
                <w:rFonts w:eastAsia="等线"/>
              </w:rPr>
              <w:t>2014-03-24</w:t>
            </w:r>
          </w:p>
        </w:tc>
        <w:tc>
          <w:tcPr>
            <w:tcW w:w="1077" w:type="dxa"/>
            <w:tcMar>
              <w:top w:w="0" w:type="dxa"/>
              <w:left w:w="108" w:type="dxa"/>
              <w:bottom w:w="0" w:type="dxa"/>
              <w:right w:w="108" w:type="dxa"/>
            </w:tcMar>
            <w:vAlign w:val="center"/>
          </w:tcPr>
          <w:p w14:paraId="11BEAE38" w14:textId="77777777" w:rsidR="004B0883" w:rsidRDefault="004B0883">
            <w:pPr>
              <w:widowControl w:val="0"/>
              <w:jc w:val="center"/>
              <w:rPr>
                <w:color w:val="000000"/>
              </w:rPr>
            </w:pPr>
            <w:r>
              <w:rPr>
                <w:rFonts w:ascii="宋体" w:hAnsi="宋体" w:hint="eastAsia"/>
              </w:rPr>
              <w:t>发行人</w:t>
            </w:r>
          </w:p>
        </w:tc>
        <w:tc>
          <w:tcPr>
            <w:tcW w:w="1224" w:type="dxa"/>
            <w:tcMar>
              <w:top w:w="0" w:type="dxa"/>
              <w:left w:w="108" w:type="dxa"/>
              <w:bottom w:w="0" w:type="dxa"/>
              <w:right w:w="108" w:type="dxa"/>
            </w:tcMar>
            <w:vAlign w:val="center"/>
          </w:tcPr>
          <w:p w14:paraId="5B2E4739" w14:textId="77777777" w:rsidR="004B0883" w:rsidRDefault="004B0883">
            <w:pPr>
              <w:widowControl w:val="0"/>
              <w:jc w:val="center"/>
              <w:rPr>
                <w:color w:val="000000"/>
              </w:rPr>
            </w:pPr>
            <w:r>
              <w:rPr>
                <w:rFonts w:ascii="宋体" w:hAnsi="宋体" w:hint="eastAsia"/>
              </w:rPr>
              <w:t>原始取得</w:t>
            </w:r>
          </w:p>
        </w:tc>
      </w:tr>
      <w:tr w:rsidR="004B0883" w14:paraId="55E6BA61" w14:textId="77777777">
        <w:trPr>
          <w:trHeight w:val="397"/>
          <w:jc w:val="center"/>
        </w:trPr>
        <w:tc>
          <w:tcPr>
            <w:tcW w:w="348" w:type="pct"/>
            <w:tcMar>
              <w:top w:w="0" w:type="dxa"/>
              <w:left w:w="108" w:type="dxa"/>
              <w:bottom w:w="0" w:type="dxa"/>
              <w:right w:w="108" w:type="dxa"/>
            </w:tcMar>
            <w:vAlign w:val="center"/>
          </w:tcPr>
          <w:p w14:paraId="5E1D4A60" w14:textId="77777777" w:rsidR="004B0883" w:rsidRDefault="004B0883">
            <w:pPr>
              <w:widowControl w:val="0"/>
              <w:adjustRightInd w:val="0"/>
              <w:snapToGrid w:val="0"/>
              <w:jc w:val="center"/>
              <w:rPr>
                <w:color w:val="000000"/>
              </w:rPr>
            </w:pPr>
            <w:r>
              <w:rPr>
                <w:color w:val="000000"/>
              </w:rPr>
              <w:t>58</w:t>
            </w:r>
          </w:p>
        </w:tc>
        <w:tc>
          <w:tcPr>
            <w:tcW w:w="2096" w:type="dxa"/>
            <w:tcMar>
              <w:top w:w="0" w:type="dxa"/>
              <w:left w:w="108" w:type="dxa"/>
              <w:bottom w:w="0" w:type="dxa"/>
              <w:right w:w="108" w:type="dxa"/>
            </w:tcMar>
            <w:vAlign w:val="center"/>
          </w:tcPr>
          <w:p w14:paraId="24BB3EDC" w14:textId="77777777" w:rsidR="004B0883" w:rsidRDefault="004B0883">
            <w:pPr>
              <w:widowControl w:val="0"/>
              <w:jc w:val="center"/>
              <w:rPr>
                <w:color w:val="000000"/>
              </w:rPr>
            </w:pPr>
            <w:r>
              <w:rPr>
                <w:rFonts w:ascii="宋体" w:hAnsi="宋体"/>
              </w:rPr>
              <w:t>一种管路快速维护方法</w:t>
            </w:r>
          </w:p>
        </w:tc>
        <w:tc>
          <w:tcPr>
            <w:tcW w:w="1241" w:type="dxa"/>
            <w:tcMar>
              <w:top w:w="0" w:type="dxa"/>
              <w:left w:w="108" w:type="dxa"/>
              <w:bottom w:w="0" w:type="dxa"/>
              <w:right w:w="108" w:type="dxa"/>
            </w:tcMar>
            <w:vAlign w:val="center"/>
          </w:tcPr>
          <w:p w14:paraId="3E674CAC" w14:textId="77777777" w:rsidR="004B0883" w:rsidRDefault="004B0883">
            <w:pPr>
              <w:widowControl w:val="0"/>
              <w:jc w:val="center"/>
              <w:rPr>
                <w:color w:val="000000"/>
              </w:rPr>
            </w:pPr>
            <w:r>
              <w:rPr>
                <w:rFonts w:ascii="宋体" w:hAnsi="宋体"/>
              </w:rPr>
              <w:t>发明授权</w:t>
            </w:r>
          </w:p>
        </w:tc>
        <w:tc>
          <w:tcPr>
            <w:tcW w:w="1628" w:type="dxa"/>
            <w:tcMar>
              <w:top w:w="0" w:type="dxa"/>
              <w:left w:w="108" w:type="dxa"/>
              <w:bottom w:w="0" w:type="dxa"/>
              <w:right w:w="108" w:type="dxa"/>
            </w:tcMar>
            <w:vAlign w:val="center"/>
          </w:tcPr>
          <w:p w14:paraId="1BF538A8" w14:textId="77777777" w:rsidR="004B0883" w:rsidRDefault="004B0883">
            <w:pPr>
              <w:widowControl w:val="0"/>
              <w:jc w:val="center"/>
              <w:rPr>
                <w:color w:val="000000"/>
              </w:rPr>
            </w:pPr>
            <w:r>
              <w:rPr>
                <w:rFonts w:eastAsia="等线"/>
              </w:rPr>
              <w:t>2011101045985</w:t>
            </w:r>
          </w:p>
        </w:tc>
        <w:tc>
          <w:tcPr>
            <w:tcW w:w="1311" w:type="dxa"/>
            <w:tcMar>
              <w:top w:w="0" w:type="dxa"/>
              <w:left w:w="108" w:type="dxa"/>
              <w:bottom w:w="0" w:type="dxa"/>
              <w:right w:w="108" w:type="dxa"/>
            </w:tcMar>
            <w:vAlign w:val="center"/>
          </w:tcPr>
          <w:p w14:paraId="298B342A" w14:textId="77777777" w:rsidR="004B0883" w:rsidRDefault="004B0883">
            <w:pPr>
              <w:widowControl w:val="0"/>
              <w:jc w:val="center"/>
              <w:rPr>
                <w:color w:val="000000"/>
              </w:rPr>
            </w:pPr>
            <w:r>
              <w:rPr>
                <w:rFonts w:eastAsia="等线"/>
              </w:rPr>
              <w:t>2011-04-26</w:t>
            </w:r>
          </w:p>
        </w:tc>
        <w:tc>
          <w:tcPr>
            <w:tcW w:w="1077" w:type="dxa"/>
            <w:tcMar>
              <w:top w:w="0" w:type="dxa"/>
              <w:left w:w="108" w:type="dxa"/>
              <w:bottom w:w="0" w:type="dxa"/>
              <w:right w:w="108" w:type="dxa"/>
            </w:tcMar>
            <w:vAlign w:val="center"/>
          </w:tcPr>
          <w:p w14:paraId="5C5CEC66" w14:textId="77777777" w:rsidR="004B0883" w:rsidRDefault="004B0883">
            <w:pPr>
              <w:widowControl w:val="0"/>
              <w:jc w:val="center"/>
              <w:rPr>
                <w:color w:val="000000"/>
              </w:rPr>
            </w:pPr>
            <w:r>
              <w:rPr>
                <w:rFonts w:ascii="宋体" w:hAnsi="宋体" w:hint="eastAsia"/>
              </w:rPr>
              <w:t>发行人</w:t>
            </w:r>
          </w:p>
        </w:tc>
        <w:tc>
          <w:tcPr>
            <w:tcW w:w="1224" w:type="dxa"/>
            <w:tcMar>
              <w:top w:w="0" w:type="dxa"/>
              <w:left w:w="108" w:type="dxa"/>
              <w:bottom w:w="0" w:type="dxa"/>
              <w:right w:w="108" w:type="dxa"/>
            </w:tcMar>
            <w:vAlign w:val="center"/>
          </w:tcPr>
          <w:p w14:paraId="73E5E748" w14:textId="77777777" w:rsidR="004B0883" w:rsidRDefault="004B0883">
            <w:pPr>
              <w:widowControl w:val="0"/>
              <w:jc w:val="center"/>
              <w:rPr>
                <w:color w:val="000000"/>
              </w:rPr>
            </w:pPr>
            <w:r>
              <w:rPr>
                <w:rFonts w:ascii="宋体" w:hAnsi="宋体" w:hint="eastAsia"/>
              </w:rPr>
              <w:t>原始取得</w:t>
            </w:r>
          </w:p>
        </w:tc>
      </w:tr>
      <w:tr w:rsidR="004B0883" w14:paraId="4499B153" w14:textId="77777777">
        <w:trPr>
          <w:trHeight w:val="397"/>
          <w:jc w:val="center"/>
        </w:trPr>
        <w:tc>
          <w:tcPr>
            <w:tcW w:w="348" w:type="pct"/>
            <w:tcMar>
              <w:top w:w="0" w:type="dxa"/>
              <w:left w:w="108" w:type="dxa"/>
              <w:bottom w:w="0" w:type="dxa"/>
              <w:right w:w="108" w:type="dxa"/>
            </w:tcMar>
            <w:vAlign w:val="center"/>
          </w:tcPr>
          <w:p w14:paraId="0F88F395" w14:textId="77777777" w:rsidR="004B0883" w:rsidRDefault="004B0883">
            <w:pPr>
              <w:widowControl w:val="0"/>
              <w:adjustRightInd w:val="0"/>
              <w:snapToGrid w:val="0"/>
              <w:jc w:val="center"/>
              <w:rPr>
                <w:color w:val="000000"/>
              </w:rPr>
            </w:pPr>
            <w:r>
              <w:rPr>
                <w:color w:val="000000"/>
              </w:rPr>
              <w:t>59</w:t>
            </w:r>
          </w:p>
        </w:tc>
        <w:tc>
          <w:tcPr>
            <w:tcW w:w="2096" w:type="dxa"/>
            <w:tcMar>
              <w:top w:w="0" w:type="dxa"/>
              <w:left w:w="108" w:type="dxa"/>
              <w:bottom w:w="0" w:type="dxa"/>
              <w:right w:w="108" w:type="dxa"/>
            </w:tcMar>
            <w:vAlign w:val="center"/>
          </w:tcPr>
          <w:p w14:paraId="13F55487" w14:textId="77777777" w:rsidR="004B0883" w:rsidRDefault="004B0883">
            <w:pPr>
              <w:widowControl w:val="0"/>
              <w:jc w:val="center"/>
              <w:rPr>
                <w:color w:val="000000"/>
              </w:rPr>
            </w:pPr>
            <w:r>
              <w:rPr>
                <w:rFonts w:ascii="宋体" w:hAnsi="宋体"/>
              </w:rPr>
              <w:t>一种管路快速维护专用工具</w:t>
            </w:r>
          </w:p>
        </w:tc>
        <w:tc>
          <w:tcPr>
            <w:tcW w:w="1241" w:type="dxa"/>
            <w:tcMar>
              <w:top w:w="0" w:type="dxa"/>
              <w:left w:w="108" w:type="dxa"/>
              <w:bottom w:w="0" w:type="dxa"/>
              <w:right w:w="108" w:type="dxa"/>
            </w:tcMar>
            <w:vAlign w:val="center"/>
          </w:tcPr>
          <w:p w14:paraId="45B877C3" w14:textId="77777777" w:rsidR="004B0883" w:rsidRDefault="004B0883">
            <w:pPr>
              <w:widowControl w:val="0"/>
              <w:jc w:val="center"/>
              <w:rPr>
                <w:color w:val="000000"/>
              </w:rPr>
            </w:pPr>
            <w:r>
              <w:rPr>
                <w:rFonts w:ascii="宋体" w:hAnsi="宋体"/>
              </w:rPr>
              <w:t>发明授权</w:t>
            </w:r>
          </w:p>
        </w:tc>
        <w:tc>
          <w:tcPr>
            <w:tcW w:w="1628" w:type="dxa"/>
            <w:tcMar>
              <w:top w:w="0" w:type="dxa"/>
              <w:left w:w="108" w:type="dxa"/>
              <w:bottom w:w="0" w:type="dxa"/>
              <w:right w:w="108" w:type="dxa"/>
            </w:tcMar>
            <w:vAlign w:val="center"/>
          </w:tcPr>
          <w:p w14:paraId="50D760EF" w14:textId="77777777" w:rsidR="004B0883" w:rsidRDefault="004B0883">
            <w:pPr>
              <w:widowControl w:val="0"/>
              <w:jc w:val="center"/>
              <w:rPr>
                <w:color w:val="000000"/>
              </w:rPr>
            </w:pPr>
            <w:r>
              <w:rPr>
                <w:rFonts w:eastAsia="等线"/>
              </w:rPr>
              <w:t>2011101046085</w:t>
            </w:r>
          </w:p>
        </w:tc>
        <w:tc>
          <w:tcPr>
            <w:tcW w:w="1311" w:type="dxa"/>
            <w:tcMar>
              <w:top w:w="0" w:type="dxa"/>
              <w:left w:w="108" w:type="dxa"/>
              <w:bottom w:w="0" w:type="dxa"/>
              <w:right w:w="108" w:type="dxa"/>
            </w:tcMar>
            <w:vAlign w:val="center"/>
          </w:tcPr>
          <w:p w14:paraId="71AE9CA5" w14:textId="77777777" w:rsidR="004B0883" w:rsidRDefault="004B0883">
            <w:pPr>
              <w:widowControl w:val="0"/>
              <w:jc w:val="center"/>
              <w:rPr>
                <w:color w:val="000000"/>
              </w:rPr>
            </w:pPr>
            <w:r>
              <w:rPr>
                <w:rFonts w:eastAsia="等线"/>
              </w:rPr>
              <w:t>2011-04-26</w:t>
            </w:r>
          </w:p>
        </w:tc>
        <w:tc>
          <w:tcPr>
            <w:tcW w:w="1077" w:type="dxa"/>
            <w:tcMar>
              <w:top w:w="0" w:type="dxa"/>
              <w:left w:w="108" w:type="dxa"/>
              <w:bottom w:w="0" w:type="dxa"/>
              <w:right w:w="108" w:type="dxa"/>
            </w:tcMar>
            <w:vAlign w:val="center"/>
          </w:tcPr>
          <w:p w14:paraId="52BC4E64" w14:textId="77777777" w:rsidR="004B0883" w:rsidRDefault="004B0883">
            <w:pPr>
              <w:widowControl w:val="0"/>
              <w:jc w:val="center"/>
              <w:rPr>
                <w:color w:val="000000"/>
              </w:rPr>
            </w:pPr>
            <w:r>
              <w:rPr>
                <w:rFonts w:ascii="宋体" w:hAnsi="宋体" w:hint="eastAsia"/>
              </w:rPr>
              <w:t>发行人</w:t>
            </w:r>
          </w:p>
        </w:tc>
        <w:tc>
          <w:tcPr>
            <w:tcW w:w="1224" w:type="dxa"/>
            <w:tcMar>
              <w:top w:w="0" w:type="dxa"/>
              <w:left w:w="108" w:type="dxa"/>
              <w:bottom w:w="0" w:type="dxa"/>
              <w:right w:w="108" w:type="dxa"/>
            </w:tcMar>
            <w:vAlign w:val="center"/>
          </w:tcPr>
          <w:p w14:paraId="1D183443" w14:textId="77777777" w:rsidR="004B0883" w:rsidRDefault="004B0883">
            <w:pPr>
              <w:widowControl w:val="0"/>
              <w:jc w:val="center"/>
              <w:rPr>
                <w:color w:val="000000"/>
              </w:rPr>
            </w:pPr>
            <w:r>
              <w:rPr>
                <w:rFonts w:ascii="宋体" w:hAnsi="宋体" w:hint="eastAsia"/>
              </w:rPr>
              <w:t>原始取得</w:t>
            </w:r>
          </w:p>
        </w:tc>
      </w:tr>
      <w:tr w:rsidR="004B0883" w14:paraId="76F8B103" w14:textId="77777777">
        <w:trPr>
          <w:trHeight w:val="397"/>
          <w:jc w:val="center"/>
        </w:trPr>
        <w:tc>
          <w:tcPr>
            <w:tcW w:w="348" w:type="pct"/>
            <w:tcMar>
              <w:top w:w="0" w:type="dxa"/>
              <w:left w:w="108" w:type="dxa"/>
              <w:bottom w:w="0" w:type="dxa"/>
              <w:right w:w="108" w:type="dxa"/>
            </w:tcMar>
            <w:vAlign w:val="center"/>
          </w:tcPr>
          <w:p w14:paraId="5734A5D3" w14:textId="77777777" w:rsidR="004B0883" w:rsidRDefault="004B0883">
            <w:pPr>
              <w:widowControl w:val="0"/>
              <w:adjustRightInd w:val="0"/>
              <w:snapToGrid w:val="0"/>
              <w:jc w:val="center"/>
              <w:rPr>
                <w:color w:val="000000"/>
              </w:rPr>
            </w:pPr>
            <w:r>
              <w:rPr>
                <w:color w:val="000000"/>
              </w:rPr>
              <w:t>60</w:t>
            </w:r>
          </w:p>
        </w:tc>
        <w:tc>
          <w:tcPr>
            <w:tcW w:w="2096" w:type="dxa"/>
            <w:tcMar>
              <w:top w:w="0" w:type="dxa"/>
              <w:left w:w="108" w:type="dxa"/>
              <w:bottom w:w="0" w:type="dxa"/>
              <w:right w:w="108" w:type="dxa"/>
            </w:tcMar>
            <w:vAlign w:val="center"/>
          </w:tcPr>
          <w:p w14:paraId="19CA8657" w14:textId="77777777" w:rsidR="004B0883" w:rsidRDefault="004B0883">
            <w:pPr>
              <w:widowControl w:val="0"/>
              <w:jc w:val="center"/>
              <w:rPr>
                <w:color w:val="000000"/>
              </w:rPr>
            </w:pPr>
            <w:r>
              <w:t>一种新型的调节阀内部结构</w:t>
            </w:r>
          </w:p>
        </w:tc>
        <w:tc>
          <w:tcPr>
            <w:tcW w:w="1241" w:type="dxa"/>
            <w:tcMar>
              <w:top w:w="0" w:type="dxa"/>
              <w:left w:w="108" w:type="dxa"/>
              <w:bottom w:w="0" w:type="dxa"/>
              <w:right w:w="108" w:type="dxa"/>
            </w:tcMar>
            <w:vAlign w:val="center"/>
          </w:tcPr>
          <w:p w14:paraId="099086A9" w14:textId="77777777" w:rsidR="004B0883" w:rsidRDefault="004B0883">
            <w:pPr>
              <w:widowControl w:val="0"/>
              <w:jc w:val="center"/>
              <w:rPr>
                <w:color w:val="000000"/>
              </w:rPr>
            </w:pPr>
            <w:r>
              <w:t>实用新型</w:t>
            </w:r>
          </w:p>
        </w:tc>
        <w:tc>
          <w:tcPr>
            <w:tcW w:w="1628" w:type="dxa"/>
            <w:tcMar>
              <w:top w:w="0" w:type="dxa"/>
              <w:left w:w="108" w:type="dxa"/>
              <w:bottom w:w="0" w:type="dxa"/>
              <w:right w:w="108" w:type="dxa"/>
            </w:tcMar>
            <w:vAlign w:val="center"/>
          </w:tcPr>
          <w:p w14:paraId="088AA6B6" w14:textId="77777777" w:rsidR="004B0883" w:rsidRDefault="004B0883">
            <w:pPr>
              <w:widowControl w:val="0"/>
              <w:jc w:val="center"/>
              <w:rPr>
                <w:color w:val="000000"/>
              </w:rPr>
            </w:pPr>
            <w:r>
              <w:rPr>
                <w:rFonts w:eastAsia="等线"/>
              </w:rPr>
              <w:t>202321200703X</w:t>
            </w:r>
          </w:p>
        </w:tc>
        <w:tc>
          <w:tcPr>
            <w:tcW w:w="1311" w:type="dxa"/>
            <w:tcMar>
              <w:top w:w="0" w:type="dxa"/>
              <w:left w:w="108" w:type="dxa"/>
              <w:bottom w:w="0" w:type="dxa"/>
              <w:right w:w="108" w:type="dxa"/>
            </w:tcMar>
            <w:vAlign w:val="center"/>
          </w:tcPr>
          <w:p w14:paraId="4A2A5920" w14:textId="77777777" w:rsidR="004B0883" w:rsidRDefault="004B0883">
            <w:pPr>
              <w:widowControl w:val="0"/>
              <w:jc w:val="center"/>
              <w:rPr>
                <w:color w:val="000000"/>
              </w:rPr>
            </w:pPr>
            <w:r>
              <w:rPr>
                <w:rFonts w:eastAsia="等线"/>
              </w:rPr>
              <w:t>2023.05.18</w:t>
            </w:r>
          </w:p>
        </w:tc>
        <w:tc>
          <w:tcPr>
            <w:tcW w:w="1077" w:type="dxa"/>
            <w:tcMar>
              <w:top w:w="0" w:type="dxa"/>
              <w:left w:w="108" w:type="dxa"/>
              <w:bottom w:w="0" w:type="dxa"/>
              <w:right w:w="108" w:type="dxa"/>
            </w:tcMar>
            <w:vAlign w:val="center"/>
          </w:tcPr>
          <w:p w14:paraId="55AA05A1" w14:textId="77777777" w:rsidR="004B0883" w:rsidRDefault="004B0883">
            <w:pPr>
              <w:widowControl w:val="0"/>
              <w:jc w:val="center"/>
              <w:rPr>
                <w:color w:val="000000"/>
              </w:rPr>
            </w:pPr>
            <w:r>
              <w:t>莱州伟隆</w:t>
            </w:r>
          </w:p>
        </w:tc>
        <w:tc>
          <w:tcPr>
            <w:tcW w:w="1224" w:type="dxa"/>
            <w:tcMar>
              <w:top w:w="0" w:type="dxa"/>
              <w:left w:w="108" w:type="dxa"/>
              <w:bottom w:w="0" w:type="dxa"/>
              <w:right w:w="108" w:type="dxa"/>
            </w:tcMar>
            <w:vAlign w:val="center"/>
          </w:tcPr>
          <w:p w14:paraId="76A6C5A1" w14:textId="77777777" w:rsidR="004B0883" w:rsidRDefault="004B0883">
            <w:pPr>
              <w:widowControl w:val="0"/>
              <w:jc w:val="center"/>
              <w:rPr>
                <w:color w:val="000000"/>
              </w:rPr>
            </w:pPr>
            <w:r>
              <w:t>原始取得</w:t>
            </w:r>
          </w:p>
        </w:tc>
      </w:tr>
      <w:tr w:rsidR="004B0883" w14:paraId="765D10E2" w14:textId="77777777">
        <w:trPr>
          <w:trHeight w:val="397"/>
          <w:jc w:val="center"/>
        </w:trPr>
        <w:tc>
          <w:tcPr>
            <w:tcW w:w="348" w:type="pct"/>
            <w:tcMar>
              <w:top w:w="0" w:type="dxa"/>
              <w:left w:w="108" w:type="dxa"/>
              <w:bottom w:w="0" w:type="dxa"/>
              <w:right w:w="108" w:type="dxa"/>
            </w:tcMar>
            <w:vAlign w:val="center"/>
          </w:tcPr>
          <w:p w14:paraId="3DABC649" w14:textId="77777777" w:rsidR="004B0883" w:rsidRDefault="004B0883">
            <w:pPr>
              <w:widowControl w:val="0"/>
              <w:adjustRightInd w:val="0"/>
              <w:snapToGrid w:val="0"/>
              <w:jc w:val="center"/>
              <w:rPr>
                <w:color w:val="000000"/>
              </w:rPr>
            </w:pPr>
            <w:r>
              <w:rPr>
                <w:color w:val="000000"/>
              </w:rPr>
              <w:t>61</w:t>
            </w:r>
          </w:p>
        </w:tc>
        <w:tc>
          <w:tcPr>
            <w:tcW w:w="2096" w:type="dxa"/>
            <w:tcMar>
              <w:top w:w="0" w:type="dxa"/>
              <w:left w:w="108" w:type="dxa"/>
              <w:bottom w:w="0" w:type="dxa"/>
              <w:right w:w="108" w:type="dxa"/>
            </w:tcMar>
            <w:vAlign w:val="center"/>
          </w:tcPr>
          <w:p w14:paraId="01E2C4A7" w14:textId="77777777" w:rsidR="004B0883" w:rsidRDefault="004B0883">
            <w:pPr>
              <w:widowControl w:val="0"/>
              <w:jc w:val="center"/>
              <w:rPr>
                <w:color w:val="000000"/>
              </w:rPr>
            </w:pPr>
            <w:r>
              <w:rPr>
                <w:rFonts w:ascii="宋体" w:hAnsi="宋体" w:hint="eastAsia"/>
              </w:rPr>
              <w:t>一种新型密封排气阀</w:t>
            </w:r>
          </w:p>
        </w:tc>
        <w:tc>
          <w:tcPr>
            <w:tcW w:w="1241" w:type="dxa"/>
            <w:tcMar>
              <w:top w:w="0" w:type="dxa"/>
              <w:left w:w="108" w:type="dxa"/>
              <w:bottom w:w="0" w:type="dxa"/>
              <w:right w:w="108" w:type="dxa"/>
            </w:tcMar>
            <w:vAlign w:val="center"/>
          </w:tcPr>
          <w:p w14:paraId="739EDDE2"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30B30F2E" w14:textId="77777777" w:rsidR="004B0883" w:rsidRDefault="004B0883">
            <w:pPr>
              <w:widowControl w:val="0"/>
              <w:jc w:val="center"/>
              <w:rPr>
                <w:color w:val="000000"/>
              </w:rPr>
            </w:pPr>
            <w:r>
              <w:rPr>
                <w:rFonts w:eastAsia="等线"/>
              </w:rPr>
              <w:t>2021219621678</w:t>
            </w:r>
          </w:p>
        </w:tc>
        <w:tc>
          <w:tcPr>
            <w:tcW w:w="1311" w:type="dxa"/>
            <w:tcMar>
              <w:top w:w="0" w:type="dxa"/>
              <w:left w:w="108" w:type="dxa"/>
              <w:bottom w:w="0" w:type="dxa"/>
              <w:right w:w="108" w:type="dxa"/>
            </w:tcMar>
            <w:vAlign w:val="center"/>
          </w:tcPr>
          <w:p w14:paraId="605A2DA7" w14:textId="77777777" w:rsidR="004B0883" w:rsidRDefault="004B0883">
            <w:pPr>
              <w:widowControl w:val="0"/>
              <w:jc w:val="center"/>
              <w:rPr>
                <w:color w:val="000000"/>
              </w:rPr>
            </w:pPr>
            <w:r>
              <w:rPr>
                <w:rFonts w:eastAsia="等线"/>
              </w:rPr>
              <w:t>2021-08-20</w:t>
            </w:r>
          </w:p>
        </w:tc>
        <w:tc>
          <w:tcPr>
            <w:tcW w:w="1077" w:type="dxa"/>
            <w:tcMar>
              <w:top w:w="0" w:type="dxa"/>
              <w:left w:w="108" w:type="dxa"/>
              <w:bottom w:w="0" w:type="dxa"/>
              <w:right w:w="108" w:type="dxa"/>
            </w:tcMar>
            <w:vAlign w:val="center"/>
          </w:tcPr>
          <w:p w14:paraId="7E96469E" w14:textId="77777777" w:rsidR="004B0883" w:rsidRDefault="004B0883">
            <w:pPr>
              <w:widowControl w:val="0"/>
              <w:jc w:val="center"/>
              <w:rPr>
                <w:color w:val="000000"/>
              </w:rPr>
            </w:pPr>
            <w:r>
              <w:rPr>
                <w:rFonts w:ascii="宋体" w:hAnsi="宋体"/>
              </w:rPr>
              <w:t>莱州伟隆</w:t>
            </w:r>
          </w:p>
        </w:tc>
        <w:tc>
          <w:tcPr>
            <w:tcW w:w="1224" w:type="dxa"/>
            <w:tcMar>
              <w:top w:w="0" w:type="dxa"/>
              <w:left w:w="108" w:type="dxa"/>
              <w:bottom w:w="0" w:type="dxa"/>
              <w:right w:w="108" w:type="dxa"/>
            </w:tcMar>
            <w:vAlign w:val="center"/>
          </w:tcPr>
          <w:p w14:paraId="66200B44" w14:textId="77777777" w:rsidR="004B0883" w:rsidRDefault="004B0883">
            <w:pPr>
              <w:widowControl w:val="0"/>
              <w:jc w:val="center"/>
              <w:rPr>
                <w:color w:val="000000"/>
              </w:rPr>
            </w:pPr>
            <w:r>
              <w:rPr>
                <w:rFonts w:ascii="宋体" w:hAnsi="宋体" w:hint="eastAsia"/>
              </w:rPr>
              <w:t>原始取得</w:t>
            </w:r>
          </w:p>
        </w:tc>
      </w:tr>
      <w:tr w:rsidR="004B0883" w14:paraId="1CCC872A" w14:textId="77777777">
        <w:trPr>
          <w:trHeight w:val="397"/>
          <w:jc w:val="center"/>
        </w:trPr>
        <w:tc>
          <w:tcPr>
            <w:tcW w:w="348" w:type="pct"/>
            <w:tcMar>
              <w:top w:w="0" w:type="dxa"/>
              <w:left w:w="108" w:type="dxa"/>
              <w:bottom w:w="0" w:type="dxa"/>
              <w:right w:w="108" w:type="dxa"/>
            </w:tcMar>
            <w:vAlign w:val="center"/>
          </w:tcPr>
          <w:p w14:paraId="6B5D9E7E" w14:textId="77777777" w:rsidR="004B0883" w:rsidRDefault="004B0883">
            <w:pPr>
              <w:widowControl w:val="0"/>
              <w:adjustRightInd w:val="0"/>
              <w:snapToGrid w:val="0"/>
              <w:jc w:val="center"/>
              <w:rPr>
                <w:color w:val="000000"/>
              </w:rPr>
            </w:pPr>
            <w:r>
              <w:rPr>
                <w:color w:val="000000"/>
              </w:rPr>
              <w:t>62</w:t>
            </w:r>
          </w:p>
        </w:tc>
        <w:tc>
          <w:tcPr>
            <w:tcW w:w="2096" w:type="dxa"/>
            <w:tcMar>
              <w:top w:w="0" w:type="dxa"/>
              <w:left w:w="108" w:type="dxa"/>
              <w:bottom w:w="0" w:type="dxa"/>
              <w:right w:w="108" w:type="dxa"/>
            </w:tcMar>
            <w:vAlign w:val="center"/>
          </w:tcPr>
          <w:p w14:paraId="0196334D" w14:textId="77777777" w:rsidR="004B0883" w:rsidRDefault="004B0883">
            <w:pPr>
              <w:widowControl w:val="0"/>
              <w:jc w:val="center"/>
              <w:rPr>
                <w:color w:val="000000"/>
              </w:rPr>
            </w:pPr>
            <w:r>
              <w:rPr>
                <w:rFonts w:ascii="宋体" w:hAnsi="宋体" w:hint="eastAsia"/>
              </w:rPr>
              <w:t>一种给排水管路快速维护过滤装置</w:t>
            </w:r>
          </w:p>
        </w:tc>
        <w:tc>
          <w:tcPr>
            <w:tcW w:w="1241" w:type="dxa"/>
            <w:tcMar>
              <w:top w:w="0" w:type="dxa"/>
              <w:left w:w="108" w:type="dxa"/>
              <w:bottom w:w="0" w:type="dxa"/>
              <w:right w:w="108" w:type="dxa"/>
            </w:tcMar>
            <w:vAlign w:val="center"/>
          </w:tcPr>
          <w:p w14:paraId="7A3AB742"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39955836" w14:textId="77777777" w:rsidR="004B0883" w:rsidRDefault="004B0883">
            <w:pPr>
              <w:widowControl w:val="0"/>
              <w:jc w:val="center"/>
              <w:rPr>
                <w:color w:val="000000"/>
              </w:rPr>
            </w:pPr>
            <w:r>
              <w:rPr>
                <w:rFonts w:eastAsia="等线"/>
              </w:rPr>
              <w:t>2021219621697</w:t>
            </w:r>
          </w:p>
        </w:tc>
        <w:tc>
          <w:tcPr>
            <w:tcW w:w="1311" w:type="dxa"/>
            <w:tcMar>
              <w:top w:w="0" w:type="dxa"/>
              <w:left w:w="108" w:type="dxa"/>
              <w:bottom w:w="0" w:type="dxa"/>
              <w:right w:w="108" w:type="dxa"/>
            </w:tcMar>
            <w:vAlign w:val="center"/>
          </w:tcPr>
          <w:p w14:paraId="3165F0F3" w14:textId="77777777" w:rsidR="004B0883" w:rsidRDefault="004B0883">
            <w:pPr>
              <w:widowControl w:val="0"/>
              <w:jc w:val="center"/>
              <w:rPr>
                <w:color w:val="000000"/>
              </w:rPr>
            </w:pPr>
            <w:r>
              <w:rPr>
                <w:rFonts w:eastAsia="等线"/>
              </w:rPr>
              <w:t>2021-08-20</w:t>
            </w:r>
          </w:p>
        </w:tc>
        <w:tc>
          <w:tcPr>
            <w:tcW w:w="1077" w:type="dxa"/>
            <w:tcMar>
              <w:top w:w="0" w:type="dxa"/>
              <w:left w:w="108" w:type="dxa"/>
              <w:bottom w:w="0" w:type="dxa"/>
              <w:right w:w="108" w:type="dxa"/>
            </w:tcMar>
            <w:vAlign w:val="center"/>
          </w:tcPr>
          <w:p w14:paraId="2ED9723F" w14:textId="77777777" w:rsidR="004B0883" w:rsidRDefault="004B0883">
            <w:pPr>
              <w:widowControl w:val="0"/>
              <w:jc w:val="center"/>
              <w:rPr>
                <w:color w:val="000000"/>
              </w:rPr>
            </w:pPr>
            <w:r>
              <w:rPr>
                <w:rFonts w:ascii="宋体" w:hAnsi="宋体"/>
              </w:rPr>
              <w:t>莱州伟隆</w:t>
            </w:r>
          </w:p>
        </w:tc>
        <w:tc>
          <w:tcPr>
            <w:tcW w:w="1224" w:type="dxa"/>
            <w:tcMar>
              <w:top w:w="0" w:type="dxa"/>
              <w:left w:w="108" w:type="dxa"/>
              <w:bottom w:w="0" w:type="dxa"/>
              <w:right w:w="108" w:type="dxa"/>
            </w:tcMar>
            <w:vAlign w:val="center"/>
          </w:tcPr>
          <w:p w14:paraId="670097CD" w14:textId="77777777" w:rsidR="004B0883" w:rsidRDefault="004B0883">
            <w:pPr>
              <w:widowControl w:val="0"/>
              <w:jc w:val="center"/>
              <w:rPr>
                <w:color w:val="000000"/>
              </w:rPr>
            </w:pPr>
            <w:r>
              <w:rPr>
                <w:rFonts w:ascii="宋体" w:hAnsi="宋体" w:hint="eastAsia"/>
              </w:rPr>
              <w:t>原始取得</w:t>
            </w:r>
          </w:p>
        </w:tc>
      </w:tr>
      <w:tr w:rsidR="004B0883" w14:paraId="1DA539CE" w14:textId="77777777">
        <w:trPr>
          <w:trHeight w:val="397"/>
          <w:jc w:val="center"/>
        </w:trPr>
        <w:tc>
          <w:tcPr>
            <w:tcW w:w="348" w:type="pct"/>
            <w:tcMar>
              <w:top w:w="0" w:type="dxa"/>
              <w:left w:w="108" w:type="dxa"/>
              <w:bottom w:w="0" w:type="dxa"/>
              <w:right w:w="108" w:type="dxa"/>
            </w:tcMar>
            <w:vAlign w:val="center"/>
          </w:tcPr>
          <w:p w14:paraId="6D6A1B1D" w14:textId="77777777" w:rsidR="004B0883" w:rsidRDefault="004B0883">
            <w:pPr>
              <w:widowControl w:val="0"/>
              <w:adjustRightInd w:val="0"/>
              <w:snapToGrid w:val="0"/>
              <w:jc w:val="center"/>
              <w:rPr>
                <w:color w:val="000000"/>
              </w:rPr>
            </w:pPr>
            <w:r>
              <w:rPr>
                <w:color w:val="000000"/>
              </w:rPr>
              <w:t>63</w:t>
            </w:r>
          </w:p>
        </w:tc>
        <w:tc>
          <w:tcPr>
            <w:tcW w:w="2096" w:type="dxa"/>
            <w:tcMar>
              <w:top w:w="0" w:type="dxa"/>
              <w:left w:w="108" w:type="dxa"/>
              <w:bottom w:w="0" w:type="dxa"/>
              <w:right w:w="108" w:type="dxa"/>
            </w:tcMar>
            <w:vAlign w:val="center"/>
          </w:tcPr>
          <w:p w14:paraId="1A9F24F8" w14:textId="77777777" w:rsidR="004B0883" w:rsidRDefault="004B0883">
            <w:pPr>
              <w:widowControl w:val="0"/>
              <w:jc w:val="center"/>
              <w:rPr>
                <w:color w:val="000000"/>
              </w:rPr>
            </w:pPr>
            <w:r>
              <w:rPr>
                <w:rFonts w:ascii="宋体" w:hAnsi="宋体" w:hint="eastAsia"/>
              </w:rPr>
              <w:t>一种铸造砂模成型用砂箱</w:t>
            </w:r>
          </w:p>
        </w:tc>
        <w:tc>
          <w:tcPr>
            <w:tcW w:w="1241" w:type="dxa"/>
            <w:tcMar>
              <w:top w:w="0" w:type="dxa"/>
              <w:left w:w="108" w:type="dxa"/>
              <w:bottom w:w="0" w:type="dxa"/>
              <w:right w:w="108" w:type="dxa"/>
            </w:tcMar>
            <w:vAlign w:val="center"/>
          </w:tcPr>
          <w:p w14:paraId="6659F444"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23FCBB0F" w14:textId="77777777" w:rsidR="004B0883" w:rsidRDefault="004B0883">
            <w:pPr>
              <w:widowControl w:val="0"/>
              <w:jc w:val="center"/>
              <w:rPr>
                <w:color w:val="000000"/>
              </w:rPr>
            </w:pPr>
            <w:r>
              <w:rPr>
                <w:rFonts w:eastAsia="等线"/>
              </w:rPr>
              <w:t>2021219588716</w:t>
            </w:r>
          </w:p>
        </w:tc>
        <w:tc>
          <w:tcPr>
            <w:tcW w:w="1311" w:type="dxa"/>
            <w:tcMar>
              <w:top w:w="0" w:type="dxa"/>
              <w:left w:w="108" w:type="dxa"/>
              <w:bottom w:w="0" w:type="dxa"/>
              <w:right w:w="108" w:type="dxa"/>
            </w:tcMar>
            <w:vAlign w:val="center"/>
          </w:tcPr>
          <w:p w14:paraId="31A0E692" w14:textId="77777777" w:rsidR="004B0883" w:rsidRDefault="004B0883">
            <w:pPr>
              <w:widowControl w:val="0"/>
              <w:jc w:val="center"/>
              <w:rPr>
                <w:color w:val="000000"/>
              </w:rPr>
            </w:pPr>
            <w:r>
              <w:rPr>
                <w:rFonts w:eastAsia="等线"/>
              </w:rPr>
              <w:t>2021-08-19</w:t>
            </w:r>
          </w:p>
        </w:tc>
        <w:tc>
          <w:tcPr>
            <w:tcW w:w="1077" w:type="dxa"/>
            <w:tcMar>
              <w:top w:w="0" w:type="dxa"/>
              <w:left w:w="108" w:type="dxa"/>
              <w:bottom w:w="0" w:type="dxa"/>
              <w:right w:w="108" w:type="dxa"/>
            </w:tcMar>
            <w:vAlign w:val="center"/>
          </w:tcPr>
          <w:p w14:paraId="04BA4AC1" w14:textId="77777777" w:rsidR="004B0883" w:rsidRDefault="004B0883">
            <w:pPr>
              <w:widowControl w:val="0"/>
              <w:jc w:val="center"/>
              <w:rPr>
                <w:color w:val="000000"/>
              </w:rPr>
            </w:pPr>
            <w:r>
              <w:rPr>
                <w:rFonts w:ascii="宋体" w:hAnsi="宋体"/>
              </w:rPr>
              <w:t>莱州伟隆</w:t>
            </w:r>
          </w:p>
        </w:tc>
        <w:tc>
          <w:tcPr>
            <w:tcW w:w="1224" w:type="dxa"/>
            <w:tcMar>
              <w:top w:w="0" w:type="dxa"/>
              <w:left w:w="108" w:type="dxa"/>
              <w:bottom w:w="0" w:type="dxa"/>
              <w:right w:w="108" w:type="dxa"/>
            </w:tcMar>
            <w:vAlign w:val="center"/>
          </w:tcPr>
          <w:p w14:paraId="79D28E2C" w14:textId="77777777" w:rsidR="004B0883" w:rsidRDefault="004B0883">
            <w:pPr>
              <w:widowControl w:val="0"/>
              <w:jc w:val="center"/>
              <w:rPr>
                <w:color w:val="000000"/>
              </w:rPr>
            </w:pPr>
            <w:r>
              <w:rPr>
                <w:rFonts w:ascii="宋体" w:hAnsi="宋体" w:hint="eastAsia"/>
              </w:rPr>
              <w:t>原始取得</w:t>
            </w:r>
          </w:p>
        </w:tc>
      </w:tr>
      <w:tr w:rsidR="004B0883" w14:paraId="26F3CD20" w14:textId="77777777">
        <w:trPr>
          <w:trHeight w:val="397"/>
          <w:jc w:val="center"/>
        </w:trPr>
        <w:tc>
          <w:tcPr>
            <w:tcW w:w="348" w:type="pct"/>
            <w:tcMar>
              <w:top w:w="0" w:type="dxa"/>
              <w:left w:w="108" w:type="dxa"/>
              <w:bottom w:w="0" w:type="dxa"/>
              <w:right w:w="108" w:type="dxa"/>
            </w:tcMar>
            <w:vAlign w:val="center"/>
          </w:tcPr>
          <w:p w14:paraId="66A74536" w14:textId="77777777" w:rsidR="004B0883" w:rsidRDefault="004B0883">
            <w:pPr>
              <w:widowControl w:val="0"/>
              <w:adjustRightInd w:val="0"/>
              <w:snapToGrid w:val="0"/>
              <w:jc w:val="center"/>
              <w:rPr>
                <w:color w:val="000000"/>
              </w:rPr>
            </w:pPr>
            <w:r>
              <w:rPr>
                <w:color w:val="000000"/>
              </w:rPr>
              <w:t>64</w:t>
            </w:r>
          </w:p>
        </w:tc>
        <w:tc>
          <w:tcPr>
            <w:tcW w:w="2096" w:type="dxa"/>
            <w:tcMar>
              <w:top w:w="0" w:type="dxa"/>
              <w:left w:w="108" w:type="dxa"/>
              <w:bottom w:w="0" w:type="dxa"/>
              <w:right w:w="108" w:type="dxa"/>
            </w:tcMar>
            <w:vAlign w:val="center"/>
          </w:tcPr>
          <w:p w14:paraId="3A171D5B" w14:textId="77777777" w:rsidR="004B0883" w:rsidRDefault="004B0883">
            <w:pPr>
              <w:widowControl w:val="0"/>
              <w:jc w:val="center"/>
              <w:rPr>
                <w:color w:val="000000"/>
              </w:rPr>
            </w:pPr>
            <w:r>
              <w:rPr>
                <w:rFonts w:ascii="宋体" w:hAnsi="宋体" w:hint="eastAsia"/>
              </w:rPr>
              <w:t>一种阀体铸造砂模用合模装置</w:t>
            </w:r>
          </w:p>
        </w:tc>
        <w:tc>
          <w:tcPr>
            <w:tcW w:w="1241" w:type="dxa"/>
            <w:tcMar>
              <w:top w:w="0" w:type="dxa"/>
              <w:left w:w="108" w:type="dxa"/>
              <w:bottom w:w="0" w:type="dxa"/>
              <w:right w:w="108" w:type="dxa"/>
            </w:tcMar>
            <w:vAlign w:val="center"/>
          </w:tcPr>
          <w:p w14:paraId="23CE05C0"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31BF5A7D" w14:textId="77777777" w:rsidR="004B0883" w:rsidRDefault="004B0883">
            <w:pPr>
              <w:widowControl w:val="0"/>
              <w:jc w:val="center"/>
              <w:rPr>
                <w:color w:val="000000"/>
              </w:rPr>
            </w:pPr>
            <w:r>
              <w:rPr>
                <w:rFonts w:eastAsia="等线"/>
              </w:rPr>
              <w:t>2021219588330</w:t>
            </w:r>
          </w:p>
        </w:tc>
        <w:tc>
          <w:tcPr>
            <w:tcW w:w="1311" w:type="dxa"/>
            <w:tcMar>
              <w:top w:w="0" w:type="dxa"/>
              <w:left w:w="108" w:type="dxa"/>
              <w:bottom w:w="0" w:type="dxa"/>
              <w:right w:w="108" w:type="dxa"/>
            </w:tcMar>
            <w:vAlign w:val="center"/>
          </w:tcPr>
          <w:p w14:paraId="14FF28AE" w14:textId="77777777" w:rsidR="004B0883" w:rsidRDefault="004B0883">
            <w:pPr>
              <w:widowControl w:val="0"/>
              <w:jc w:val="center"/>
              <w:rPr>
                <w:color w:val="000000"/>
              </w:rPr>
            </w:pPr>
            <w:r>
              <w:rPr>
                <w:rFonts w:eastAsia="等线"/>
              </w:rPr>
              <w:t>2021-08-19</w:t>
            </w:r>
          </w:p>
        </w:tc>
        <w:tc>
          <w:tcPr>
            <w:tcW w:w="1077" w:type="dxa"/>
            <w:tcMar>
              <w:top w:w="0" w:type="dxa"/>
              <w:left w:w="108" w:type="dxa"/>
              <w:bottom w:w="0" w:type="dxa"/>
              <w:right w:w="108" w:type="dxa"/>
            </w:tcMar>
            <w:vAlign w:val="center"/>
          </w:tcPr>
          <w:p w14:paraId="1BC868B0" w14:textId="77777777" w:rsidR="004B0883" w:rsidRDefault="004B0883">
            <w:pPr>
              <w:widowControl w:val="0"/>
              <w:jc w:val="center"/>
              <w:rPr>
                <w:color w:val="000000"/>
              </w:rPr>
            </w:pPr>
            <w:r>
              <w:rPr>
                <w:rFonts w:ascii="宋体" w:hAnsi="宋体"/>
              </w:rPr>
              <w:t>莱州伟隆</w:t>
            </w:r>
          </w:p>
        </w:tc>
        <w:tc>
          <w:tcPr>
            <w:tcW w:w="1224" w:type="dxa"/>
            <w:tcMar>
              <w:top w:w="0" w:type="dxa"/>
              <w:left w:w="108" w:type="dxa"/>
              <w:bottom w:w="0" w:type="dxa"/>
              <w:right w:w="108" w:type="dxa"/>
            </w:tcMar>
            <w:vAlign w:val="center"/>
          </w:tcPr>
          <w:p w14:paraId="7264FABB" w14:textId="77777777" w:rsidR="004B0883" w:rsidRDefault="004B0883">
            <w:pPr>
              <w:widowControl w:val="0"/>
              <w:jc w:val="center"/>
              <w:rPr>
                <w:color w:val="000000"/>
              </w:rPr>
            </w:pPr>
            <w:r>
              <w:rPr>
                <w:rFonts w:ascii="宋体" w:hAnsi="宋体" w:hint="eastAsia"/>
              </w:rPr>
              <w:t>原始取得</w:t>
            </w:r>
          </w:p>
        </w:tc>
      </w:tr>
      <w:tr w:rsidR="004B0883" w14:paraId="26FB6C60" w14:textId="77777777">
        <w:trPr>
          <w:trHeight w:val="397"/>
          <w:jc w:val="center"/>
        </w:trPr>
        <w:tc>
          <w:tcPr>
            <w:tcW w:w="348" w:type="pct"/>
            <w:tcMar>
              <w:top w:w="0" w:type="dxa"/>
              <w:left w:w="108" w:type="dxa"/>
              <w:bottom w:w="0" w:type="dxa"/>
              <w:right w:w="108" w:type="dxa"/>
            </w:tcMar>
            <w:vAlign w:val="center"/>
          </w:tcPr>
          <w:p w14:paraId="7210FB65" w14:textId="77777777" w:rsidR="004B0883" w:rsidRDefault="004B0883">
            <w:pPr>
              <w:widowControl w:val="0"/>
              <w:adjustRightInd w:val="0"/>
              <w:snapToGrid w:val="0"/>
              <w:jc w:val="center"/>
              <w:rPr>
                <w:color w:val="000000"/>
              </w:rPr>
            </w:pPr>
            <w:r>
              <w:rPr>
                <w:color w:val="000000"/>
              </w:rPr>
              <w:t>65</w:t>
            </w:r>
          </w:p>
        </w:tc>
        <w:tc>
          <w:tcPr>
            <w:tcW w:w="2096" w:type="dxa"/>
            <w:tcMar>
              <w:top w:w="0" w:type="dxa"/>
              <w:left w:w="108" w:type="dxa"/>
              <w:bottom w:w="0" w:type="dxa"/>
              <w:right w:w="108" w:type="dxa"/>
            </w:tcMar>
            <w:vAlign w:val="center"/>
          </w:tcPr>
          <w:p w14:paraId="1089496E" w14:textId="77777777" w:rsidR="004B0883" w:rsidRDefault="004B0883">
            <w:pPr>
              <w:widowControl w:val="0"/>
              <w:jc w:val="center"/>
              <w:rPr>
                <w:color w:val="000000"/>
              </w:rPr>
            </w:pPr>
            <w:r>
              <w:rPr>
                <w:rFonts w:ascii="宋体" w:hAnsi="宋体" w:hint="eastAsia"/>
              </w:rPr>
              <w:t>一种带有矩形过滤网的新型过滤器</w:t>
            </w:r>
          </w:p>
        </w:tc>
        <w:tc>
          <w:tcPr>
            <w:tcW w:w="1241" w:type="dxa"/>
            <w:tcMar>
              <w:top w:w="0" w:type="dxa"/>
              <w:left w:w="108" w:type="dxa"/>
              <w:bottom w:w="0" w:type="dxa"/>
              <w:right w:w="108" w:type="dxa"/>
            </w:tcMar>
            <w:vAlign w:val="center"/>
          </w:tcPr>
          <w:p w14:paraId="7DD2BEA0"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18E7ECC6" w14:textId="77777777" w:rsidR="004B0883" w:rsidRDefault="004B0883">
            <w:pPr>
              <w:widowControl w:val="0"/>
              <w:jc w:val="center"/>
              <w:rPr>
                <w:color w:val="000000"/>
              </w:rPr>
            </w:pPr>
            <w:r>
              <w:rPr>
                <w:rFonts w:eastAsia="等线"/>
              </w:rPr>
              <w:t>2021219038241</w:t>
            </w:r>
          </w:p>
        </w:tc>
        <w:tc>
          <w:tcPr>
            <w:tcW w:w="1311" w:type="dxa"/>
            <w:tcMar>
              <w:top w:w="0" w:type="dxa"/>
              <w:left w:w="108" w:type="dxa"/>
              <w:bottom w:w="0" w:type="dxa"/>
              <w:right w:w="108" w:type="dxa"/>
            </w:tcMar>
            <w:vAlign w:val="center"/>
          </w:tcPr>
          <w:p w14:paraId="14732A18" w14:textId="77777777" w:rsidR="004B0883" w:rsidRDefault="004B0883">
            <w:pPr>
              <w:widowControl w:val="0"/>
              <w:jc w:val="center"/>
              <w:rPr>
                <w:color w:val="000000"/>
              </w:rPr>
            </w:pPr>
            <w:r>
              <w:rPr>
                <w:rFonts w:eastAsia="等线"/>
              </w:rPr>
              <w:t>2021-08-13</w:t>
            </w:r>
          </w:p>
        </w:tc>
        <w:tc>
          <w:tcPr>
            <w:tcW w:w="1077" w:type="dxa"/>
            <w:tcMar>
              <w:top w:w="0" w:type="dxa"/>
              <w:left w:w="108" w:type="dxa"/>
              <w:bottom w:w="0" w:type="dxa"/>
              <w:right w:w="108" w:type="dxa"/>
            </w:tcMar>
            <w:vAlign w:val="center"/>
          </w:tcPr>
          <w:p w14:paraId="21229D1C" w14:textId="77777777" w:rsidR="004B0883" w:rsidRDefault="004B0883">
            <w:pPr>
              <w:widowControl w:val="0"/>
              <w:jc w:val="center"/>
              <w:rPr>
                <w:color w:val="000000"/>
              </w:rPr>
            </w:pPr>
            <w:r>
              <w:rPr>
                <w:rFonts w:ascii="宋体" w:hAnsi="宋体"/>
              </w:rPr>
              <w:t>莱州伟隆</w:t>
            </w:r>
          </w:p>
        </w:tc>
        <w:tc>
          <w:tcPr>
            <w:tcW w:w="1224" w:type="dxa"/>
            <w:tcMar>
              <w:top w:w="0" w:type="dxa"/>
              <w:left w:w="108" w:type="dxa"/>
              <w:bottom w:w="0" w:type="dxa"/>
              <w:right w:w="108" w:type="dxa"/>
            </w:tcMar>
            <w:vAlign w:val="center"/>
          </w:tcPr>
          <w:p w14:paraId="47F1EC1A" w14:textId="77777777" w:rsidR="004B0883" w:rsidRDefault="004B0883">
            <w:pPr>
              <w:widowControl w:val="0"/>
              <w:jc w:val="center"/>
              <w:rPr>
                <w:color w:val="000000"/>
              </w:rPr>
            </w:pPr>
            <w:r>
              <w:rPr>
                <w:rFonts w:ascii="宋体" w:hAnsi="宋体" w:hint="eastAsia"/>
              </w:rPr>
              <w:t>原始取得</w:t>
            </w:r>
          </w:p>
        </w:tc>
      </w:tr>
      <w:tr w:rsidR="004B0883" w14:paraId="65634391" w14:textId="77777777">
        <w:trPr>
          <w:trHeight w:val="397"/>
          <w:jc w:val="center"/>
        </w:trPr>
        <w:tc>
          <w:tcPr>
            <w:tcW w:w="348" w:type="pct"/>
            <w:tcMar>
              <w:top w:w="0" w:type="dxa"/>
              <w:left w:w="108" w:type="dxa"/>
              <w:bottom w:w="0" w:type="dxa"/>
              <w:right w:w="108" w:type="dxa"/>
            </w:tcMar>
            <w:vAlign w:val="center"/>
          </w:tcPr>
          <w:p w14:paraId="16796AEE" w14:textId="77777777" w:rsidR="004B0883" w:rsidRDefault="004B0883">
            <w:pPr>
              <w:widowControl w:val="0"/>
              <w:adjustRightInd w:val="0"/>
              <w:snapToGrid w:val="0"/>
              <w:jc w:val="center"/>
              <w:rPr>
                <w:color w:val="000000"/>
              </w:rPr>
            </w:pPr>
            <w:r>
              <w:rPr>
                <w:color w:val="000000"/>
              </w:rPr>
              <w:t>66</w:t>
            </w:r>
          </w:p>
        </w:tc>
        <w:tc>
          <w:tcPr>
            <w:tcW w:w="2096" w:type="dxa"/>
            <w:tcMar>
              <w:top w:w="0" w:type="dxa"/>
              <w:left w:w="108" w:type="dxa"/>
              <w:bottom w:w="0" w:type="dxa"/>
              <w:right w:w="108" w:type="dxa"/>
            </w:tcMar>
            <w:vAlign w:val="center"/>
          </w:tcPr>
          <w:p w14:paraId="4B07EDF3" w14:textId="77777777" w:rsidR="004B0883" w:rsidRDefault="004B0883">
            <w:pPr>
              <w:widowControl w:val="0"/>
              <w:jc w:val="center"/>
              <w:rPr>
                <w:color w:val="000000"/>
              </w:rPr>
            </w:pPr>
            <w:r>
              <w:rPr>
                <w:rFonts w:ascii="宋体" w:hAnsi="宋体" w:hint="eastAsia"/>
              </w:rPr>
              <w:t>一种管道用</w:t>
            </w:r>
            <w:r>
              <w:rPr>
                <w:rFonts w:ascii="宋体" w:hAnsi="宋体"/>
              </w:rPr>
              <w:t>Y型过滤器</w:t>
            </w:r>
          </w:p>
        </w:tc>
        <w:tc>
          <w:tcPr>
            <w:tcW w:w="1241" w:type="dxa"/>
            <w:tcMar>
              <w:top w:w="0" w:type="dxa"/>
              <w:left w:w="108" w:type="dxa"/>
              <w:bottom w:w="0" w:type="dxa"/>
              <w:right w:w="108" w:type="dxa"/>
            </w:tcMar>
            <w:vAlign w:val="center"/>
          </w:tcPr>
          <w:p w14:paraId="0A4053AE"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60D6E9DD" w14:textId="77777777" w:rsidR="004B0883" w:rsidRDefault="004B0883">
            <w:pPr>
              <w:widowControl w:val="0"/>
              <w:jc w:val="center"/>
              <w:rPr>
                <w:color w:val="000000"/>
              </w:rPr>
            </w:pPr>
            <w:r>
              <w:rPr>
                <w:rFonts w:eastAsia="等线"/>
              </w:rPr>
              <w:t>2021218638741</w:t>
            </w:r>
          </w:p>
        </w:tc>
        <w:tc>
          <w:tcPr>
            <w:tcW w:w="1311" w:type="dxa"/>
            <w:tcMar>
              <w:top w:w="0" w:type="dxa"/>
              <w:left w:w="108" w:type="dxa"/>
              <w:bottom w:w="0" w:type="dxa"/>
              <w:right w:w="108" w:type="dxa"/>
            </w:tcMar>
            <w:vAlign w:val="center"/>
          </w:tcPr>
          <w:p w14:paraId="2FD6B135" w14:textId="77777777" w:rsidR="004B0883" w:rsidRDefault="004B0883">
            <w:pPr>
              <w:widowControl w:val="0"/>
              <w:jc w:val="center"/>
              <w:rPr>
                <w:color w:val="000000"/>
              </w:rPr>
            </w:pPr>
            <w:r>
              <w:rPr>
                <w:rFonts w:eastAsia="等线"/>
              </w:rPr>
              <w:t>2021-08-10</w:t>
            </w:r>
          </w:p>
        </w:tc>
        <w:tc>
          <w:tcPr>
            <w:tcW w:w="1077" w:type="dxa"/>
            <w:tcMar>
              <w:top w:w="0" w:type="dxa"/>
              <w:left w:w="108" w:type="dxa"/>
              <w:bottom w:w="0" w:type="dxa"/>
              <w:right w:w="108" w:type="dxa"/>
            </w:tcMar>
            <w:vAlign w:val="center"/>
          </w:tcPr>
          <w:p w14:paraId="5A5903A3" w14:textId="77777777" w:rsidR="004B0883" w:rsidRDefault="004B0883">
            <w:pPr>
              <w:widowControl w:val="0"/>
              <w:jc w:val="center"/>
              <w:rPr>
                <w:color w:val="000000"/>
              </w:rPr>
            </w:pPr>
            <w:r>
              <w:rPr>
                <w:rFonts w:ascii="宋体" w:hAnsi="宋体"/>
              </w:rPr>
              <w:t>莱州伟隆</w:t>
            </w:r>
          </w:p>
        </w:tc>
        <w:tc>
          <w:tcPr>
            <w:tcW w:w="1224" w:type="dxa"/>
            <w:tcMar>
              <w:top w:w="0" w:type="dxa"/>
              <w:left w:w="108" w:type="dxa"/>
              <w:bottom w:w="0" w:type="dxa"/>
              <w:right w:w="108" w:type="dxa"/>
            </w:tcMar>
            <w:vAlign w:val="center"/>
          </w:tcPr>
          <w:p w14:paraId="23ED65B3" w14:textId="77777777" w:rsidR="004B0883" w:rsidRDefault="004B0883">
            <w:pPr>
              <w:widowControl w:val="0"/>
              <w:jc w:val="center"/>
              <w:rPr>
                <w:color w:val="000000"/>
              </w:rPr>
            </w:pPr>
            <w:r>
              <w:rPr>
                <w:rFonts w:ascii="宋体" w:hAnsi="宋体" w:hint="eastAsia"/>
              </w:rPr>
              <w:t>原始取得</w:t>
            </w:r>
          </w:p>
        </w:tc>
      </w:tr>
      <w:tr w:rsidR="004B0883" w14:paraId="2C2BE160" w14:textId="77777777">
        <w:trPr>
          <w:trHeight w:val="397"/>
          <w:jc w:val="center"/>
        </w:trPr>
        <w:tc>
          <w:tcPr>
            <w:tcW w:w="348" w:type="pct"/>
            <w:tcMar>
              <w:top w:w="0" w:type="dxa"/>
              <w:left w:w="108" w:type="dxa"/>
              <w:bottom w:w="0" w:type="dxa"/>
              <w:right w:w="108" w:type="dxa"/>
            </w:tcMar>
            <w:vAlign w:val="center"/>
          </w:tcPr>
          <w:p w14:paraId="2C23ECB7" w14:textId="77777777" w:rsidR="004B0883" w:rsidRDefault="004B0883">
            <w:pPr>
              <w:widowControl w:val="0"/>
              <w:adjustRightInd w:val="0"/>
              <w:snapToGrid w:val="0"/>
              <w:jc w:val="center"/>
              <w:rPr>
                <w:color w:val="000000"/>
              </w:rPr>
            </w:pPr>
            <w:r>
              <w:rPr>
                <w:color w:val="000000"/>
              </w:rPr>
              <w:t>67</w:t>
            </w:r>
          </w:p>
        </w:tc>
        <w:tc>
          <w:tcPr>
            <w:tcW w:w="2096" w:type="dxa"/>
            <w:tcMar>
              <w:top w:w="0" w:type="dxa"/>
              <w:left w:w="108" w:type="dxa"/>
              <w:bottom w:w="0" w:type="dxa"/>
              <w:right w:w="108" w:type="dxa"/>
            </w:tcMar>
            <w:vAlign w:val="center"/>
          </w:tcPr>
          <w:p w14:paraId="793CF68D" w14:textId="77777777" w:rsidR="004B0883" w:rsidRDefault="004B0883">
            <w:pPr>
              <w:widowControl w:val="0"/>
              <w:jc w:val="center"/>
              <w:rPr>
                <w:color w:val="000000"/>
              </w:rPr>
            </w:pPr>
            <w:r>
              <w:rPr>
                <w:rFonts w:ascii="宋体" w:hAnsi="宋体" w:hint="eastAsia"/>
              </w:rPr>
              <w:t>一种便于更换滤芯的框式过滤器</w:t>
            </w:r>
          </w:p>
        </w:tc>
        <w:tc>
          <w:tcPr>
            <w:tcW w:w="1241" w:type="dxa"/>
            <w:tcMar>
              <w:top w:w="0" w:type="dxa"/>
              <w:left w:w="108" w:type="dxa"/>
              <w:bottom w:w="0" w:type="dxa"/>
              <w:right w:w="108" w:type="dxa"/>
            </w:tcMar>
            <w:vAlign w:val="center"/>
          </w:tcPr>
          <w:p w14:paraId="32CB89C4"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4570F87F" w14:textId="77777777" w:rsidR="004B0883" w:rsidRDefault="004B0883">
            <w:pPr>
              <w:widowControl w:val="0"/>
              <w:jc w:val="center"/>
              <w:rPr>
                <w:color w:val="000000"/>
              </w:rPr>
            </w:pPr>
            <w:r>
              <w:rPr>
                <w:rFonts w:eastAsia="等线"/>
              </w:rPr>
              <w:t>2019209195785</w:t>
            </w:r>
          </w:p>
        </w:tc>
        <w:tc>
          <w:tcPr>
            <w:tcW w:w="1311" w:type="dxa"/>
            <w:tcMar>
              <w:top w:w="0" w:type="dxa"/>
              <w:left w:w="108" w:type="dxa"/>
              <w:bottom w:w="0" w:type="dxa"/>
              <w:right w:w="108" w:type="dxa"/>
            </w:tcMar>
            <w:vAlign w:val="center"/>
          </w:tcPr>
          <w:p w14:paraId="19FA073E" w14:textId="77777777" w:rsidR="004B0883" w:rsidRDefault="004B0883">
            <w:pPr>
              <w:widowControl w:val="0"/>
              <w:jc w:val="center"/>
              <w:rPr>
                <w:color w:val="000000"/>
              </w:rPr>
            </w:pPr>
            <w:r>
              <w:rPr>
                <w:rFonts w:eastAsia="等线"/>
              </w:rPr>
              <w:t>2019-06-19</w:t>
            </w:r>
          </w:p>
        </w:tc>
        <w:tc>
          <w:tcPr>
            <w:tcW w:w="1077" w:type="dxa"/>
            <w:tcMar>
              <w:top w:w="0" w:type="dxa"/>
              <w:left w:w="108" w:type="dxa"/>
              <w:bottom w:w="0" w:type="dxa"/>
              <w:right w:w="108" w:type="dxa"/>
            </w:tcMar>
            <w:vAlign w:val="center"/>
          </w:tcPr>
          <w:p w14:paraId="27F4869A" w14:textId="77777777" w:rsidR="004B0883" w:rsidRDefault="004B0883">
            <w:pPr>
              <w:widowControl w:val="0"/>
              <w:jc w:val="center"/>
              <w:rPr>
                <w:color w:val="000000"/>
              </w:rPr>
            </w:pPr>
            <w:r>
              <w:rPr>
                <w:rFonts w:ascii="宋体" w:hAnsi="宋体"/>
              </w:rPr>
              <w:t>莱州伟隆</w:t>
            </w:r>
          </w:p>
        </w:tc>
        <w:tc>
          <w:tcPr>
            <w:tcW w:w="1224" w:type="dxa"/>
            <w:tcMar>
              <w:top w:w="0" w:type="dxa"/>
              <w:left w:w="108" w:type="dxa"/>
              <w:bottom w:w="0" w:type="dxa"/>
              <w:right w:w="108" w:type="dxa"/>
            </w:tcMar>
            <w:vAlign w:val="center"/>
          </w:tcPr>
          <w:p w14:paraId="6ADC9ACF" w14:textId="77777777" w:rsidR="004B0883" w:rsidRDefault="004B0883">
            <w:pPr>
              <w:widowControl w:val="0"/>
              <w:jc w:val="center"/>
              <w:rPr>
                <w:color w:val="000000"/>
              </w:rPr>
            </w:pPr>
            <w:r>
              <w:rPr>
                <w:rFonts w:ascii="宋体" w:hAnsi="宋体" w:hint="eastAsia"/>
              </w:rPr>
              <w:t>原始取得</w:t>
            </w:r>
          </w:p>
        </w:tc>
      </w:tr>
      <w:tr w:rsidR="004B0883" w14:paraId="248C3023" w14:textId="77777777">
        <w:trPr>
          <w:trHeight w:val="397"/>
          <w:jc w:val="center"/>
        </w:trPr>
        <w:tc>
          <w:tcPr>
            <w:tcW w:w="348" w:type="pct"/>
            <w:tcMar>
              <w:top w:w="0" w:type="dxa"/>
              <w:left w:w="108" w:type="dxa"/>
              <w:bottom w:w="0" w:type="dxa"/>
              <w:right w:w="108" w:type="dxa"/>
            </w:tcMar>
            <w:vAlign w:val="center"/>
          </w:tcPr>
          <w:p w14:paraId="2A71E230" w14:textId="77777777" w:rsidR="004B0883" w:rsidRDefault="004B0883">
            <w:pPr>
              <w:widowControl w:val="0"/>
              <w:adjustRightInd w:val="0"/>
              <w:snapToGrid w:val="0"/>
              <w:jc w:val="center"/>
              <w:rPr>
                <w:color w:val="000000"/>
              </w:rPr>
            </w:pPr>
            <w:r>
              <w:rPr>
                <w:color w:val="000000"/>
              </w:rPr>
              <w:t>68</w:t>
            </w:r>
          </w:p>
        </w:tc>
        <w:tc>
          <w:tcPr>
            <w:tcW w:w="2096" w:type="dxa"/>
            <w:tcMar>
              <w:top w:w="0" w:type="dxa"/>
              <w:left w:w="108" w:type="dxa"/>
              <w:bottom w:w="0" w:type="dxa"/>
              <w:right w:w="108" w:type="dxa"/>
            </w:tcMar>
            <w:vAlign w:val="center"/>
          </w:tcPr>
          <w:p w14:paraId="6DFF1BC2" w14:textId="77777777" w:rsidR="004B0883" w:rsidRDefault="004B0883">
            <w:pPr>
              <w:widowControl w:val="0"/>
              <w:jc w:val="center"/>
              <w:rPr>
                <w:color w:val="000000"/>
              </w:rPr>
            </w:pPr>
            <w:r>
              <w:rPr>
                <w:rFonts w:ascii="宋体" w:hAnsi="宋体" w:hint="eastAsia"/>
              </w:rPr>
              <w:t>一种便于安装的框式过滤器</w:t>
            </w:r>
          </w:p>
        </w:tc>
        <w:tc>
          <w:tcPr>
            <w:tcW w:w="1241" w:type="dxa"/>
            <w:tcMar>
              <w:top w:w="0" w:type="dxa"/>
              <w:left w:w="108" w:type="dxa"/>
              <w:bottom w:w="0" w:type="dxa"/>
              <w:right w:w="108" w:type="dxa"/>
            </w:tcMar>
            <w:vAlign w:val="center"/>
          </w:tcPr>
          <w:p w14:paraId="6ED8D6E3"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0FB8B495" w14:textId="77777777" w:rsidR="004B0883" w:rsidRDefault="004B0883">
            <w:pPr>
              <w:widowControl w:val="0"/>
              <w:jc w:val="center"/>
              <w:rPr>
                <w:color w:val="000000"/>
              </w:rPr>
            </w:pPr>
            <w:r>
              <w:rPr>
                <w:rFonts w:eastAsia="等线"/>
              </w:rPr>
              <w:t>201920912816X</w:t>
            </w:r>
          </w:p>
        </w:tc>
        <w:tc>
          <w:tcPr>
            <w:tcW w:w="1311" w:type="dxa"/>
            <w:tcMar>
              <w:top w:w="0" w:type="dxa"/>
              <w:left w:w="108" w:type="dxa"/>
              <w:bottom w:w="0" w:type="dxa"/>
              <w:right w:w="108" w:type="dxa"/>
            </w:tcMar>
            <w:vAlign w:val="center"/>
          </w:tcPr>
          <w:p w14:paraId="3BF4842F" w14:textId="77777777" w:rsidR="004B0883" w:rsidRDefault="004B0883">
            <w:pPr>
              <w:widowControl w:val="0"/>
              <w:jc w:val="center"/>
              <w:rPr>
                <w:color w:val="000000"/>
              </w:rPr>
            </w:pPr>
            <w:r>
              <w:rPr>
                <w:rFonts w:eastAsia="等线"/>
              </w:rPr>
              <w:t>2019-06-18</w:t>
            </w:r>
          </w:p>
        </w:tc>
        <w:tc>
          <w:tcPr>
            <w:tcW w:w="1077" w:type="dxa"/>
            <w:tcMar>
              <w:top w:w="0" w:type="dxa"/>
              <w:left w:w="108" w:type="dxa"/>
              <w:bottom w:w="0" w:type="dxa"/>
              <w:right w:w="108" w:type="dxa"/>
            </w:tcMar>
            <w:vAlign w:val="center"/>
          </w:tcPr>
          <w:p w14:paraId="2E7FC090" w14:textId="77777777" w:rsidR="004B0883" w:rsidRDefault="004B0883">
            <w:pPr>
              <w:widowControl w:val="0"/>
              <w:jc w:val="center"/>
              <w:rPr>
                <w:color w:val="000000"/>
              </w:rPr>
            </w:pPr>
            <w:r>
              <w:rPr>
                <w:rFonts w:ascii="宋体" w:hAnsi="宋体"/>
              </w:rPr>
              <w:t>莱州伟隆</w:t>
            </w:r>
          </w:p>
        </w:tc>
        <w:tc>
          <w:tcPr>
            <w:tcW w:w="1224" w:type="dxa"/>
            <w:tcMar>
              <w:top w:w="0" w:type="dxa"/>
              <w:left w:w="108" w:type="dxa"/>
              <w:bottom w:w="0" w:type="dxa"/>
              <w:right w:w="108" w:type="dxa"/>
            </w:tcMar>
            <w:vAlign w:val="center"/>
          </w:tcPr>
          <w:p w14:paraId="760B24B5" w14:textId="77777777" w:rsidR="004B0883" w:rsidRDefault="004B0883">
            <w:pPr>
              <w:widowControl w:val="0"/>
              <w:jc w:val="center"/>
              <w:rPr>
                <w:color w:val="000000"/>
              </w:rPr>
            </w:pPr>
            <w:r>
              <w:rPr>
                <w:rFonts w:ascii="宋体" w:hAnsi="宋体" w:hint="eastAsia"/>
              </w:rPr>
              <w:t>原始取得</w:t>
            </w:r>
          </w:p>
        </w:tc>
      </w:tr>
      <w:tr w:rsidR="004B0883" w14:paraId="04FFCBB6" w14:textId="77777777">
        <w:trPr>
          <w:trHeight w:val="397"/>
          <w:jc w:val="center"/>
        </w:trPr>
        <w:tc>
          <w:tcPr>
            <w:tcW w:w="348" w:type="pct"/>
            <w:tcMar>
              <w:top w:w="0" w:type="dxa"/>
              <w:left w:w="108" w:type="dxa"/>
              <w:bottom w:w="0" w:type="dxa"/>
              <w:right w:w="108" w:type="dxa"/>
            </w:tcMar>
            <w:vAlign w:val="center"/>
          </w:tcPr>
          <w:p w14:paraId="311F7646" w14:textId="77777777" w:rsidR="004B0883" w:rsidRDefault="004B0883">
            <w:pPr>
              <w:widowControl w:val="0"/>
              <w:adjustRightInd w:val="0"/>
              <w:snapToGrid w:val="0"/>
              <w:jc w:val="center"/>
              <w:rPr>
                <w:color w:val="000000"/>
              </w:rPr>
            </w:pPr>
            <w:r>
              <w:rPr>
                <w:color w:val="000000"/>
              </w:rPr>
              <w:t>69</w:t>
            </w:r>
          </w:p>
        </w:tc>
        <w:tc>
          <w:tcPr>
            <w:tcW w:w="2096" w:type="dxa"/>
            <w:tcMar>
              <w:top w:w="0" w:type="dxa"/>
              <w:left w:w="108" w:type="dxa"/>
              <w:bottom w:w="0" w:type="dxa"/>
              <w:right w:w="108" w:type="dxa"/>
            </w:tcMar>
            <w:vAlign w:val="center"/>
          </w:tcPr>
          <w:p w14:paraId="1F0920D1" w14:textId="77777777" w:rsidR="004B0883" w:rsidRDefault="004B0883">
            <w:pPr>
              <w:widowControl w:val="0"/>
              <w:jc w:val="center"/>
              <w:rPr>
                <w:color w:val="000000"/>
              </w:rPr>
            </w:pPr>
            <w:r>
              <w:rPr>
                <w:rFonts w:ascii="宋体" w:hAnsi="宋体" w:hint="eastAsia"/>
              </w:rPr>
              <w:t>一种具有分流缓冲的闸阀</w:t>
            </w:r>
          </w:p>
        </w:tc>
        <w:tc>
          <w:tcPr>
            <w:tcW w:w="1241" w:type="dxa"/>
            <w:tcMar>
              <w:top w:w="0" w:type="dxa"/>
              <w:left w:w="108" w:type="dxa"/>
              <w:bottom w:w="0" w:type="dxa"/>
              <w:right w:w="108" w:type="dxa"/>
            </w:tcMar>
            <w:vAlign w:val="center"/>
          </w:tcPr>
          <w:p w14:paraId="3C3CAD0B"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7EC764E5" w14:textId="77777777" w:rsidR="004B0883" w:rsidRDefault="004B0883">
            <w:pPr>
              <w:widowControl w:val="0"/>
              <w:jc w:val="center"/>
              <w:rPr>
                <w:color w:val="000000"/>
              </w:rPr>
            </w:pPr>
            <w:r>
              <w:rPr>
                <w:rFonts w:eastAsia="等线"/>
              </w:rPr>
              <w:t>2019208009568</w:t>
            </w:r>
          </w:p>
        </w:tc>
        <w:tc>
          <w:tcPr>
            <w:tcW w:w="1311" w:type="dxa"/>
            <w:tcMar>
              <w:top w:w="0" w:type="dxa"/>
              <w:left w:w="108" w:type="dxa"/>
              <w:bottom w:w="0" w:type="dxa"/>
              <w:right w:w="108" w:type="dxa"/>
            </w:tcMar>
            <w:vAlign w:val="center"/>
          </w:tcPr>
          <w:p w14:paraId="4276A698" w14:textId="77777777" w:rsidR="004B0883" w:rsidRDefault="004B0883">
            <w:pPr>
              <w:widowControl w:val="0"/>
              <w:jc w:val="center"/>
              <w:rPr>
                <w:color w:val="000000"/>
              </w:rPr>
            </w:pPr>
            <w:r>
              <w:rPr>
                <w:rFonts w:eastAsia="等线"/>
              </w:rPr>
              <w:t>2019-05-30</w:t>
            </w:r>
          </w:p>
        </w:tc>
        <w:tc>
          <w:tcPr>
            <w:tcW w:w="1077" w:type="dxa"/>
            <w:tcMar>
              <w:top w:w="0" w:type="dxa"/>
              <w:left w:w="108" w:type="dxa"/>
              <w:bottom w:w="0" w:type="dxa"/>
              <w:right w:w="108" w:type="dxa"/>
            </w:tcMar>
            <w:vAlign w:val="center"/>
          </w:tcPr>
          <w:p w14:paraId="5CE1E35E" w14:textId="77777777" w:rsidR="004B0883" w:rsidRDefault="004B0883">
            <w:pPr>
              <w:widowControl w:val="0"/>
              <w:jc w:val="center"/>
              <w:rPr>
                <w:color w:val="000000"/>
              </w:rPr>
            </w:pPr>
            <w:r>
              <w:rPr>
                <w:rFonts w:ascii="宋体" w:hAnsi="宋体"/>
              </w:rPr>
              <w:t>莱州伟隆</w:t>
            </w:r>
          </w:p>
        </w:tc>
        <w:tc>
          <w:tcPr>
            <w:tcW w:w="1224" w:type="dxa"/>
            <w:tcMar>
              <w:top w:w="0" w:type="dxa"/>
              <w:left w:w="108" w:type="dxa"/>
              <w:bottom w:w="0" w:type="dxa"/>
              <w:right w:w="108" w:type="dxa"/>
            </w:tcMar>
            <w:vAlign w:val="center"/>
          </w:tcPr>
          <w:p w14:paraId="60DC784B" w14:textId="77777777" w:rsidR="004B0883" w:rsidRDefault="004B0883">
            <w:pPr>
              <w:widowControl w:val="0"/>
              <w:jc w:val="center"/>
              <w:rPr>
                <w:color w:val="000000"/>
              </w:rPr>
            </w:pPr>
            <w:r>
              <w:rPr>
                <w:rFonts w:ascii="宋体" w:hAnsi="宋体" w:hint="eastAsia"/>
              </w:rPr>
              <w:t>原始取得</w:t>
            </w:r>
          </w:p>
        </w:tc>
      </w:tr>
      <w:tr w:rsidR="004B0883" w14:paraId="236A1220" w14:textId="77777777">
        <w:trPr>
          <w:trHeight w:val="397"/>
          <w:jc w:val="center"/>
        </w:trPr>
        <w:tc>
          <w:tcPr>
            <w:tcW w:w="348" w:type="pct"/>
            <w:tcMar>
              <w:top w:w="0" w:type="dxa"/>
              <w:left w:w="108" w:type="dxa"/>
              <w:bottom w:w="0" w:type="dxa"/>
              <w:right w:w="108" w:type="dxa"/>
            </w:tcMar>
            <w:vAlign w:val="center"/>
          </w:tcPr>
          <w:p w14:paraId="6436BF42" w14:textId="77777777" w:rsidR="004B0883" w:rsidRDefault="004B0883">
            <w:pPr>
              <w:widowControl w:val="0"/>
              <w:adjustRightInd w:val="0"/>
              <w:snapToGrid w:val="0"/>
              <w:jc w:val="center"/>
              <w:rPr>
                <w:color w:val="000000"/>
              </w:rPr>
            </w:pPr>
            <w:r>
              <w:rPr>
                <w:color w:val="000000"/>
              </w:rPr>
              <w:t>70</w:t>
            </w:r>
          </w:p>
        </w:tc>
        <w:tc>
          <w:tcPr>
            <w:tcW w:w="2096" w:type="dxa"/>
            <w:tcMar>
              <w:top w:w="0" w:type="dxa"/>
              <w:left w:w="108" w:type="dxa"/>
              <w:bottom w:w="0" w:type="dxa"/>
              <w:right w:w="108" w:type="dxa"/>
            </w:tcMar>
            <w:vAlign w:val="center"/>
          </w:tcPr>
          <w:p w14:paraId="23544562" w14:textId="77777777" w:rsidR="004B0883" w:rsidRDefault="004B0883">
            <w:pPr>
              <w:widowControl w:val="0"/>
              <w:jc w:val="center"/>
              <w:rPr>
                <w:color w:val="000000"/>
              </w:rPr>
            </w:pPr>
            <w:r>
              <w:rPr>
                <w:rFonts w:ascii="宋体" w:hAnsi="宋体" w:hint="eastAsia"/>
              </w:rPr>
              <w:t>一种多端控制的闸阀</w:t>
            </w:r>
          </w:p>
        </w:tc>
        <w:tc>
          <w:tcPr>
            <w:tcW w:w="1241" w:type="dxa"/>
            <w:tcMar>
              <w:top w:w="0" w:type="dxa"/>
              <w:left w:w="108" w:type="dxa"/>
              <w:bottom w:w="0" w:type="dxa"/>
              <w:right w:w="108" w:type="dxa"/>
            </w:tcMar>
            <w:vAlign w:val="center"/>
          </w:tcPr>
          <w:p w14:paraId="72F6847C"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7645789D" w14:textId="77777777" w:rsidR="004B0883" w:rsidRDefault="004B0883">
            <w:pPr>
              <w:widowControl w:val="0"/>
              <w:jc w:val="center"/>
              <w:rPr>
                <w:color w:val="000000"/>
              </w:rPr>
            </w:pPr>
            <w:r>
              <w:rPr>
                <w:rFonts w:eastAsia="等线"/>
              </w:rPr>
              <w:t>2019208004225</w:t>
            </w:r>
          </w:p>
        </w:tc>
        <w:tc>
          <w:tcPr>
            <w:tcW w:w="1311" w:type="dxa"/>
            <w:tcMar>
              <w:top w:w="0" w:type="dxa"/>
              <w:left w:w="108" w:type="dxa"/>
              <w:bottom w:w="0" w:type="dxa"/>
              <w:right w:w="108" w:type="dxa"/>
            </w:tcMar>
            <w:vAlign w:val="center"/>
          </w:tcPr>
          <w:p w14:paraId="62310AB5" w14:textId="77777777" w:rsidR="004B0883" w:rsidRDefault="004B0883">
            <w:pPr>
              <w:widowControl w:val="0"/>
              <w:jc w:val="center"/>
              <w:rPr>
                <w:color w:val="000000"/>
              </w:rPr>
            </w:pPr>
            <w:r>
              <w:rPr>
                <w:rFonts w:eastAsia="等线"/>
              </w:rPr>
              <w:t>2019-05-30</w:t>
            </w:r>
          </w:p>
        </w:tc>
        <w:tc>
          <w:tcPr>
            <w:tcW w:w="1077" w:type="dxa"/>
            <w:tcMar>
              <w:top w:w="0" w:type="dxa"/>
              <w:left w:w="108" w:type="dxa"/>
              <w:bottom w:w="0" w:type="dxa"/>
              <w:right w:w="108" w:type="dxa"/>
            </w:tcMar>
            <w:vAlign w:val="center"/>
          </w:tcPr>
          <w:p w14:paraId="0E749C58" w14:textId="77777777" w:rsidR="004B0883" w:rsidRDefault="004B0883">
            <w:pPr>
              <w:widowControl w:val="0"/>
              <w:jc w:val="center"/>
              <w:rPr>
                <w:color w:val="000000"/>
              </w:rPr>
            </w:pPr>
            <w:r>
              <w:rPr>
                <w:rFonts w:ascii="宋体" w:hAnsi="宋体"/>
              </w:rPr>
              <w:t>莱州伟隆</w:t>
            </w:r>
          </w:p>
        </w:tc>
        <w:tc>
          <w:tcPr>
            <w:tcW w:w="1224" w:type="dxa"/>
            <w:tcMar>
              <w:top w:w="0" w:type="dxa"/>
              <w:left w:w="108" w:type="dxa"/>
              <w:bottom w:w="0" w:type="dxa"/>
              <w:right w:w="108" w:type="dxa"/>
            </w:tcMar>
            <w:vAlign w:val="center"/>
          </w:tcPr>
          <w:p w14:paraId="2A9EA699" w14:textId="77777777" w:rsidR="004B0883" w:rsidRDefault="004B0883">
            <w:pPr>
              <w:widowControl w:val="0"/>
              <w:jc w:val="center"/>
              <w:rPr>
                <w:color w:val="000000"/>
              </w:rPr>
            </w:pPr>
            <w:r>
              <w:rPr>
                <w:rFonts w:ascii="宋体" w:hAnsi="宋体" w:hint="eastAsia"/>
              </w:rPr>
              <w:t>原始取得</w:t>
            </w:r>
          </w:p>
        </w:tc>
      </w:tr>
      <w:tr w:rsidR="004B0883" w14:paraId="0C69DE3F" w14:textId="77777777">
        <w:trPr>
          <w:trHeight w:val="397"/>
          <w:jc w:val="center"/>
        </w:trPr>
        <w:tc>
          <w:tcPr>
            <w:tcW w:w="348" w:type="pct"/>
            <w:tcMar>
              <w:top w:w="0" w:type="dxa"/>
              <w:left w:w="108" w:type="dxa"/>
              <w:bottom w:w="0" w:type="dxa"/>
              <w:right w:w="108" w:type="dxa"/>
            </w:tcMar>
            <w:vAlign w:val="center"/>
          </w:tcPr>
          <w:p w14:paraId="37462799" w14:textId="77777777" w:rsidR="004B0883" w:rsidRDefault="004B0883">
            <w:pPr>
              <w:widowControl w:val="0"/>
              <w:adjustRightInd w:val="0"/>
              <w:snapToGrid w:val="0"/>
              <w:jc w:val="center"/>
              <w:rPr>
                <w:color w:val="000000"/>
              </w:rPr>
            </w:pPr>
            <w:r>
              <w:rPr>
                <w:color w:val="000000"/>
              </w:rPr>
              <w:t>71</w:t>
            </w:r>
          </w:p>
        </w:tc>
        <w:tc>
          <w:tcPr>
            <w:tcW w:w="2096" w:type="dxa"/>
            <w:tcMar>
              <w:top w:w="0" w:type="dxa"/>
              <w:left w:w="108" w:type="dxa"/>
              <w:bottom w:w="0" w:type="dxa"/>
              <w:right w:w="108" w:type="dxa"/>
            </w:tcMar>
            <w:vAlign w:val="center"/>
          </w:tcPr>
          <w:p w14:paraId="1969E77C" w14:textId="77777777" w:rsidR="004B0883" w:rsidRDefault="004B0883">
            <w:pPr>
              <w:widowControl w:val="0"/>
              <w:jc w:val="center"/>
              <w:rPr>
                <w:color w:val="000000"/>
              </w:rPr>
            </w:pPr>
            <w:r>
              <w:rPr>
                <w:rFonts w:ascii="宋体" w:hAnsi="宋体" w:hint="eastAsia"/>
              </w:rPr>
              <w:t>一种便于安装的阀门</w:t>
            </w:r>
          </w:p>
        </w:tc>
        <w:tc>
          <w:tcPr>
            <w:tcW w:w="1241" w:type="dxa"/>
            <w:tcMar>
              <w:top w:w="0" w:type="dxa"/>
              <w:left w:w="108" w:type="dxa"/>
              <w:bottom w:w="0" w:type="dxa"/>
              <w:right w:w="108" w:type="dxa"/>
            </w:tcMar>
            <w:vAlign w:val="center"/>
          </w:tcPr>
          <w:p w14:paraId="0EE23DCB" w14:textId="77777777" w:rsidR="004B0883" w:rsidRDefault="004B0883">
            <w:pPr>
              <w:widowControl w:val="0"/>
              <w:jc w:val="center"/>
              <w:rPr>
                <w:color w:val="000000"/>
              </w:rPr>
            </w:pPr>
            <w:r>
              <w:rPr>
                <w:rFonts w:ascii="宋体" w:hAnsi="宋体"/>
              </w:rPr>
              <w:t>实用新型</w:t>
            </w:r>
          </w:p>
        </w:tc>
        <w:tc>
          <w:tcPr>
            <w:tcW w:w="1628" w:type="dxa"/>
            <w:tcMar>
              <w:top w:w="0" w:type="dxa"/>
              <w:left w:w="108" w:type="dxa"/>
              <w:bottom w:w="0" w:type="dxa"/>
              <w:right w:w="108" w:type="dxa"/>
            </w:tcMar>
            <w:vAlign w:val="center"/>
          </w:tcPr>
          <w:p w14:paraId="18693BA3" w14:textId="77777777" w:rsidR="004B0883" w:rsidRDefault="004B0883">
            <w:pPr>
              <w:widowControl w:val="0"/>
              <w:jc w:val="center"/>
              <w:rPr>
                <w:color w:val="000000"/>
              </w:rPr>
            </w:pPr>
            <w:r>
              <w:rPr>
                <w:rFonts w:eastAsia="等线"/>
              </w:rPr>
              <w:t>2019201343365</w:t>
            </w:r>
          </w:p>
        </w:tc>
        <w:tc>
          <w:tcPr>
            <w:tcW w:w="1311" w:type="dxa"/>
            <w:tcMar>
              <w:top w:w="0" w:type="dxa"/>
              <w:left w:w="108" w:type="dxa"/>
              <w:bottom w:w="0" w:type="dxa"/>
              <w:right w:w="108" w:type="dxa"/>
            </w:tcMar>
            <w:vAlign w:val="center"/>
          </w:tcPr>
          <w:p w14:paraId="18219A1C" w14:textId="77777777" w:rsidR="004B0883" w:rsidRDefault="004B0883">
            <w:pPr>
              <w:widowControl w:val="0"/>
              <w:jc w:val="center"/>
              <w:rPr>
                <w:color w:val="000000"/>
              </w:rPr>
            </w:pPr>
            <w:r>
              <w:rPr>
                <w:rFonts w:eastAsia="等线"/>
              </w:rPr>
              <w:t>2019-01-26</w:t>
            </w:r>
          </w:p>
        </w:tc>
        <w:tc>
          <w:tcPr>
            <w:tcW w:w="1077" w:type="dxa"/>
            <w:tcMar>
              <w:top w:w="0" w:type="dxa"/>
              <w:left w:w="108" w:type="dxa"/>
              <w:bottom w:w="0" w:type="dxa"/>
              <w:right w:w="108" w:type="dxa"/>
            </w:tcMar>
            <w:vAlign w:val="center"/>
          </w:tcPr>
          <w:p w14:paraId="5C21D8FF" w14:textId="77777777" w:rsidR="004B0883" w:rsidRDefault="004B0883">
            <w:pPr>
              <w:widowControl w:val="0"/>
              <w:jc w:val="center"/>
              <w:rPr>
                <w:color w:val="000000"/>
              </w:rPr>
            </w:pPr>
            <w:r>
              <w:rPr>
                <w:rFonts w:ascii="宋体" w:hAnsi="宋体"/>
              </w:rPr>
              <w:t>莱州伟隆</w:t>
            </w:r>
          </w:p>
        </w:tc>
        <w:tc>
          <w:tcPr>
            <w:tcW w:w="1224" w:type="dxa"/>
            <w:tcMar>
              <w:top w:w="0" w:type="dxa"/>
              <w:left w:w="108" w:type="dxa"/>
              <w:bottom w:w="0" w:type="dxa"/>
              <w:right w:w="108" w:type="dxa"/>
            </w:tcMar>
            <w:vAlign w:val="center"/>
          </w:tcPr>
          <w:p w14:paraId="198E8AA7" w14:textId="77777777" w:rsidR="004B0883" w:rsidRDefault="004B0883">
            <w:pPr>
              <w:widowControl w:val="0"/>
              <w:jc w:val="center"/>
              <w:rPr>
                <w:color w:val="000000"/>
              </w:rPr>
            </w:pPr>
            <w:r>
              <w:rPr>
                <w:rFonts w:ascii="宋体" w:hAnsi="宋体" w:hint="eastAsia"/>
              </w:rPr>
              <w:t>原始取得</w:t>
            </w:r>
          </w:p>
        </w:tc>
      </w:tr>
      <w:tr w:rsidR="004B0883" w14:paraId="3C639209" w14:textId="77777777">
        <w:trPr>
          <w:trHeight w:val="397"/>
          <w:jc w:val="center"/>
        </w:trPr>
        <w:tc>
          <w:tcPr>
            <w:tcW w:w="348" w:type="pct"/>
            <w:tcMar>
              <w:top w:w="0" w:type="dxa"/>
              <w:left w:w="108" w:type="dxa"/>
              <w:bottom w:w="0" w:type="dxa"/>
              <w:right w:w="108" w:type="dxa"/>
            </w:tcMar>
            <w:vAlign w:val="center"/>
          </w:tcPr>
          <w:p w14:paraId="547FC57E" w14:textId="77777777" w:rsidR="004B0883" w:rsidRDefault="004B0883">
            <w:pPr>
              <w:widowControl w:val="0"/>
              <w:adjustRightInd w:val="0"/>
              <w:snapToGrid w:val="0"/>
              <w:jc w:val="center"/>
              <w:rPr>
                <w:color w:val="000000"/>
              </w:rPr>
            </w:pPr>
            <w:r>
              <w:rPr>
                <w:color w:val="000000"/>
              </w:rPr>
              <w:t>72</w:t>
            </w:r>
          </w:p>
        </w:tc>
        <w:tc>
          <w:tcPr>
            <w:tcW w:w="2096" w:type="dxa"/>
            <w:tcMar>
              <w:top w:w="0" w:type="dxa"/>
              <w:left w:w="108" w:type="dxa"/>
              <w:bottom w:w="0" w:type="dxa"/>
              <w:right w:w="108" w:type="dxa"/>
            </w:tcMar>
            <w:vAlign w:val="center"/>
          </w:tcPr>
          <w:p w14:paraId="44C84BDD" w14:textId="77777777" w:rsidR="004B0883" w:rsidRDefault="004B0883">
            <w:pPr>
              <w:widowControl w:val="0"/>
              <w:jc w:val="center"/>
            </w:pPr>
            <w:r>
              <w:rPr>
                <w:rFonts w:ascii="宋体" w:hAnsi="宋体" w:hint="eastAsia"/>
              </w:rPr>
              <w:t>一种便于安装的摆动止回阀</w:t>
            </w:r>
          </w:p>
        </w:tc>
        <w:tc>
          <w:tcPr>
            <w:tcW w:w="1241" w:type="dxa"/>
            <w:tcMar>
              <w:top w:w="0" w:type="dxa"/>
              <w:left w:w="108" w:type="dxa"/>
              <w:bottom w:w="0" w:type="dxa"/>
              <w:right w:w="108" w:type="dxa"/>
            </w:tcMar>
            <w:vAlign w:val="center"/>
          </w:tcPr>
          <w:p w14:paraId="53133600" w14:textId="77777777" w:rsidR="004B0883" w:rsidRDefault="004B0883">
            <w:pPr>
              <w:widowControl w:val="0"/>
              <w:jc w:val="center"/>
            </w:pPr>
            <w:r>
              <w:rPr>
                <w:rFonts w:ascii="宋体" w:hAnsi="宋体"/>
              </w:rPr>
              <w:t>实用新型</w:t>
            </w:r>
          </w:p>
        </w:tc>
        <w:tc>
          <w:tcPr>
            <w:tcW w:w="1628" w:type="dxa"/>
            <w:tcMar>
              <w:top w:w="0" w:type="dxa"/>
              <w:left w:w="108" w:type="dxa"/>
              <w:bottom w:w="0" w:type="dxa"/>
              <w:right w:w="108" w:type="dxa"/>
            </w:tcMar>
            <w:vAlign w:val="center"/>
          </w:tcPr>
          <w:p w14:paraId="230B7A3D" w14:textId="77777777" w:rsidR="004B0883" w:rsidRDefault="004B0883">
            <w:pPr>
              <w:widowControl w:val="0"/>
              <w:jc w:val="center"/>
            </w:pPr>
            <w:r>
              <w:rPr>
                <w:rFonts w:eastAsia="等线"/>
              </w:rPr>
              <w:t>2019201343399</w:t>
            </w:r>
          </w:p>
        </w:tc>
        <w:tc>
          <w:tcPr>
            <w:tcW w:w="1311" w:type="dxa"/>
            <w:tcMar>
              <w:top w:w="0" w:type="dxa"/>
              <w:left w:w="108" w:type="dxa"/>
              <w:bottom w:w="0" w:type="dxa"/>
              <w:right w:w="108" w:type="dxa"/>
            </w:tcMar>
            <w:vAlign w:val="center"/>
          </w:tcPr>
          <w:p w14:paraId="0A5D40A4" w14:textId="77777777" w:rsidR="004B0883" w:rsidRDefault="004B0883">
            <w:pPr>
              <w:widowControl w:val="0"/>
              <w:jc w:val="center"/>
            </w:pPr>
            <w:r>
              <w:rPr>
                <w:rFonts w:eastAsia="等线"/>
              </w:rPr>
              <w:t>2019-01-26</w:t>
            </w:r>
          </w:p>
        </w:tc>
        <w:tc>
          <w:tcPr>
            <w:tcW w:w="1077" w:type="dxa"/>
            <w:tcMar>
              <w:top w:w="0" w:type="dxa"/>
              <w:left w:w="108" w:type="dxa"/>
              <w:bottom w:w="0" w:type="dxa"/>
              <w:right w:w="108" w:type="dxa"/>
            </w:tcMar>
            <w:vAlign w:val="center"/>
          </w:tcPr>
          <w:p w14:paraId="36859C2F" w14:textId="77777777" w:rsidR="004B0883" w:rsidRDefault="004B0883">
            <w:pPr>
              <w:widowControl w:val="0"/>
              <w:jc w:val="center"/>
            </w:pPr>
            <w:r>
              <w:rPr>
                <w:rFonts w:ascii="宋体" w:hAnsi="宋体"/>
              </w:rPr>
              <w:t>莱州伟隆</w:t>
            </w:r>
          </w:p>
        </w:tc>
        <w:tc>
          <w:tcPr>
            <w:tcW w:w="1224" w:type="dxa"/>
            <w:tcMar>
              <w:top w:w="0" w:type="dxa"/>
              <w:left w:w="108" w:type="dxa"/>
              <w:bottom w:w="0" w:type="dxa"/>
              <w:right w:w="108" w:type="dxa"/>
            </w:tcMar>
            <w:vAlign w:val="center"/>
          </w:tcPr>
          <w:p w14:paraId="3EC5914A" w14:textId="77777777" w:rsidR="004B0883" w:rsidRDefault="004B0883">
            <w:pPr>
              <w:widowControl w:val="0"/>
              <w:jc w:val="center"/>
            </w:pPr>
            <w:r>
              <w:rPr>
                <w:rFonts w:ascii="宋体" w:hAnsi="宋体" w:hint="eastAsia"/>
              </w:rPr>
              <w:t>原始取得</w:t>
            </w:r>
          </w:p>
        </w:tc>
      </w:tr>
      <w:tr w:rsidR="004B0883" w14:paraId="0E4C5031" w14:textId="77777777">
        <w:trPr>
          <w:trHeight w:val="397"/>
          <w:jc w:val="center"/>
        </w:trPr>
        <w:tc>
          <w:tcPr>
            <w:tcW w:w="348" w:type="pct"/>
            <w:tcMar>
              <w:top w:w="0" w:type="dxa"/>
              <w:left w:w="108" w:type="dxa"/>
              <w:bottom w:w="0" w:type="dxa"/>
              <w:right w:w="108" w:type="dxa"/>
            </w:tcMar>
            <w:vAlign w:val="center"/>
          </w:tcPr>
          <w:p w14:paraId="52E6280E" w14:textId="77777777" w:rsidR="004B0883" w:rsidRDefault="004B0883">
            <w:pPr>
              <w:widowControl w:val="0"/>
              <w:adjustRightInd w:val="0"/>
              <w:snapToGrid w:val="0"/>
              <w:jc w:val="center"/>
              <w:rPr>
                <w:color w:val="000000"/>
              </w:rPr>
            </w:pPr>
            <w:r>
              <w:rPr>
                <w:color w:val="000000"/>
              </w:rPr>
              <w:t>73</w:t>
            </w:r>
          </w:p>
        </w:tc>
        <w:tc>
          <w:tcPr>
            <w:tcW w:w="2096" w:type="dxa"/>
            <w:tcMar>
              <w:top w:w="0" w:type="dxa"/>
              <w:left w:w="108" w:type="dxa"/>
              <w:bottom w:w="0" w:type="dxa"/>
              <w:right w:w="108" w:type="dxa"/>
            </w:tcMar>
            <w:vAlign w:val="center"/>
          </w:tcPr>
          <w:p w14:paraId="629B712F" w14:textId="77777777" w:rsidR="004B0883" w:rsidRDefault="004B0883">
            <w:pPr>
              <w:widowControl w:val="0"/>
              <w:jc w:val="center"/>
            </w:pPr>
            <w:r>
              <w:rPr>
                <w:rFonts w:ascii="宋体" w:hAnsi="宋体" w:hint="eastAsia"/>
              </w:rPr>
              <w:t>一种阀门用漏水监测装置</w:t>
            </w:r>
          </w:p>
        </w:tc>
        <w:tc>
          <w:tcPr>
            <w:tcW w:w="1241" w:type="dxa"/>
            <w:tcMar>
              <w:top w:w="0" w:type="dxa"/>
              <w:left w:w="108" w:type="dxa"/>
              <w:bottom w:w="0" w:type="dxa"/>
              <w:right w:w="108" w:type="dxa"/>
            </w:tcMar>
            <w:vAlign w:val="center"/>
          </w:tcPr>
          <w:p w14:paraId="0051F896" w14:textId="77777777" w:rsidR="004B0883" w:rsidRDefault="004B0883">
            <w:pPr>
              <w:widowControl w:val="0"/>
              <w:jc w:val="center"/>
            </w:pPr>
            <w:r>
              <w:rPr>
                <w:rFonts w:ascii="宋体" w:hAnsi="宋体"/>
              </w:rPr>
              <w:t>实用新型</w:t>
            </w:r>
          </w:p>
        </w:tc>
        <w:tc>
          <w:tcPr>
            <w:tcW w:w="1628" w:type="dxa"/>
            <w:tcMar>
              <w:top w:w="0" w:type="dxa"/>
              <w:left w:w="108" w:type="dxa"/>
              <w:bottom w:w="0" w:type="dxa"/>
              <w:right w:w="108" w:type="dxa"/>
            </w:tcMar>
            <w:vAlign w:val="center"/>
          </w:tcPr>
          <w:p w14:paraId="63BA442B" w14:textId="77777777" w:rsidR="004B0883" w:rsidRDefault="004B0883">
            <w:pPr>
              <w:widowControl w:val="0"/>
              <w:jc w:val="center"/>
            </w:pPr>
            <w:r>
              <w:rPr>
                <w:rFonts w:eastAsia="等线"/>
              </w:rPr>
              <w:t>2019201343401</w:t>
            </w:r>
          </w:p>
        </w:tc>
        <w:tc>
          <w:tcPr>
            <w:tcW w:w="1311" w:type="dxa"/>
            <w:tcMar>
              <w:top w:w="0" w:type="dxa"/>
              <w:left w:w="108" w:type="dxa"/>
              <w:bottom w:w="0" w:type="dxa"/>
              <w:right w:w="108" w:type="dxa"/>
            </w:tcMar>
            <w:vAlign w:val="center"/>
          </w:tcPr>
          <w:p w14:paraId="7BD60FDE" w14:textId="77777777" w:rsidR="004B0883" w:rsidRDefault="004B0883">
            <w:pPr>
              <w:widowControl w:val="0"/>
              <w:jc w:val="center"/>
            </w:pPr>
            <w:r>
              <w:rPr>
                <w:rFonts w:eastAsia="等线"/>
              </w:rPr>
              <w:t>2019-01-26</w:t>
            </w:r>
          </w:p>
        </w:tc>
        <w:tc>
          <w:tcPr>
            <w:tcW w:w="1077" w:type="dxa"/>
            <w:tcMar>
              <w:top w:w="0" w:type="dxa"/>
              <w:left w:w="108" w:type="dxa"/>
              <w:bottom w:w="0" w:type="dxa"/>
              <w:right w:w="108" w:type="dxa"/>
            </w:tcMar>
            <w:vAlign w:val="center"/>
          </w:tcPr>
          <w:p w14:paraId="5E2BB59A" w14:textId="77777777" w:rsidR="004B0883" w:rsidRDefault="004B0883">
            <w:pPr>
              <w:widowControl w:val="0"/>
              <w:jc w:val="center"/>
            </w:pPr>
            <w:r>
              <w:rPr>
                <w:rFonts w:ascii="宋体" w:hAnsi="宋体"/>
              </w:rPr>
              <w:t>莱州伟隆</w:t>
            </w:r>
          </w:p>
        </w:tc>
        <w:tc>
          <w:tcPr>
            <w:tcW w:w="1224" w:type="dxa"/>
            <w:tcMar>
              <w:top w:w="0" w:type="dxa"/>
              <w:left w:w="108" w:type="dxa"/>
              <w:bottom w:w="0" w:type="dxa"/>
              <w:right w:w="108" w:type="dxa"/>
            </w:tcMar>
            <w:vAlign w:val="center"/>
          </w:tcPr>
          <w:p w14:paraId="4DE2BBD2" w14:textId="77777777" w:rsidR="004B0883" w:rsidRDefault="004B0883">
            <w:pPr>
              <w:widowControl w:val="0"/>
              <w:jc w:val="center"/>
            </w:pPr>
            <w:r>
              <w:rPr>
                <w:rFonts w:ascii="宋体" w:hAnsi="宋体" w:hint="eastAsia"/>
              </w:rPr>
              <w:t>原始取得</w:t>
            </w:r>
          </w:p>
        </w:tc>
      </w:tr>
      <w:tr w:rsidR="004B0883" w14:paraId="4BFF1C98" w14:textId="77777777">
        <w:trPr>
          <w:trHeight w:val="397"/>
          <w:jc w:val="center"/>
        </w:trPr>
        <w:tc>
          <w:tcPr>
            <w:tcW w:w="348" w:type="pct"/>
            <w:tcMar>
              <w:top w:w="0" w:type="dxa"/>
              <w:left w:w="108" w:type="dxa"/>
              <w:bottom w:w="0" w:type="dxa"/>
              <w:right w:w="108" w:type="dxa"/>
            </w:tcMar>
            <w:vAlign w:val="center"/>
          </w:tcPr>
          <w:p w14:paraId="20AD26AB" w14:textId="77777777" w:rsidR="004B0883" w:rsidRDefault="004B0883">
            <w:pPr>
              <w:widowControl w:val="0"/>
              <w:adjustRightInd w:val="0"/>
              <w:snapToGrid w:val="0"/>
              <w:jc w:val="center"/>
              <w:rPr>
                <w:color w:val="000000"/>
              </w:rPr>
            </w:pPr>
            <w:r>
              <w:rPr>
                <w:color w:val="000000"/>
              </w:rPr>
              <w:t>74</w:t>
            </w:r>
          </w:p>
        </w:tc>
        <w:tc>
          <w:tcPr>
            <w:tcW w:w="2096" w:type="dxa"/>
            <w:tcMar>
              <w:top w:w="0" w:type="dxa"/>
              <w:left w:w="108" w:type="dxa"/>
              <w:bottom w:w="0" w:type="dxa"/>
              <w:right w:w="108" w:type="dxa"/>
            </w:tcMar>
            <w:vAlign w:val="center"/>
          </w:tcPr>
          <w:p w14:paraId="2DB130CF" w14:textId="77777777" w:rsidR="004B0883" w:rsidRDefault="004B0883">
            <w:pPr>
              <w:widowControl w:val="0"/>
              <w:jc w:val="center"/>
            </w:pPr>
            <w:r>
              <w:rPr>
                <w:rFonts w:ascii="宋体" w:hAnsi="宋体" w:hint="eastAsia"/>
              </w:rPr>
              <w:t>一种框式过滤器安装结构</w:t>
            </w:r>
          </w:p>
        </w:tc>
        <w:tc>
          <w:tcPr>
            <w:tcW w:w="1241" w:type="dxa"/>
            <w:tcMar>
              <w:top w:w="0" w:type="dxa"/>
              <w:left w:w="108" w:type="dxa"/>
              <w:bottom w:w="0" w:type="dxa"/>
              <w:right w:w="108" w:type="dxa"/>
            </w:tcMar>
            <w:vAlign w:val="center"/>
          </w:tcPr>
          <w:p w14:paraId="01AA4201" w14:textId="77777777" w:rsidR="004B0883" w:rsidRDefault="004B0883">
            <w:pPr>
              <w:widowControl w:val="0"/>
              <w:jc w:val="center"/>
            </w:pPr>
            <w:r>
              <w:rPr>
                <w:rFonts w:ascii="宋体" w:hAnsi="宋体"/>
              </w:rPr>
              <w:t>实用新型</w:t>
            </w:r>
          </w:p>
        </w:tc>
        <w:tc>
          <w:tcPr>
            <w:tcW w:w="1628" w:type="dxa"/>
            <w:tcMar>
              <w:top w:w="0" w:type="dxa"/>
              <w:left w:w="108" w:type="dxa"/>
              <w:bottom w:w="0" w:type="dxa"/>
              <w:right w:w="108" w:type="dxa"/>
            </w:tcMar>
            <w:vAlign w:val="center"/>
          </w:tcPr>
          <w:p w14:paraId="7BB2DACE" w14:textId="77777777" w:rsidR="004B0883" w:rsidRDefault="004B0883">
            <w:pPr>
              <w:widowControl w:val="0"/>
              <w:jc w:val="center"/>
            </w:pPr>
            <w:r>
              <w:rPr>
                <w:rFonts w:eastAsia="等线"/>
              </w:rPr>
              <w:t>2019201293703</w:t>
            </w:r>
          </w:p>
        </w:tc>
        <w:tc>
          <w:tcPr>
            <w:tcW w:w="1311" w:type="dxa"/>
            <w:tcMar>
              <w:top w:w="0" w:type="dxa"/>
              <w:left w:w="108" w:type="dxa"/>
              <w:bottom w:w="0" w:type="dxa"/>
              <w:right w:w="108" w:type="dxa"/>
            </w:tcMar>
            <w:vAlign w:val="center"/>
          </w:tcPr>
          <w:p w14:paraId="178104C1" w14:textId="77777777" w:rsidR="004B0883" w:rsidRDefault="004B0883">
            <w:pPr>
              <w:widowControl w:val="0"/>
              <w:jc w:val="center"/>
            </w:pPr>
            <w:r>
              <w:rPr>
                <w:rFonts w:eastAsia="等线"/>
              </w:rPr>
              <w:t>2019-01-25</w:t>
            </w:r>
          </w:p>
        </w:tc>
        <w:tc>
          <w:tcPr>
            <w:tcW w:w="1077" w:type="dxa"/>
            <w:tcMar>
              <w:top w:w="0" w:type="dxa"/>
              <w:left w:w="108" w:type="dxa"/>
              <w:bottom w:w="0" w:type="dxa"/>
              <w:right w:w="108" w:type="dxa"/>
            </w:tcMar>
            <w:vAlign w:val="center"/>
          </w:tcPr>
          <w:p w14:paraId="4BA01F21" w14:textId="77777777" w:rsidR="004B0883" w:rsidRDefault="004B0883">
            <w:pPr>
              <w:widowControl w:val="0"/>
              <w:jc w:val="center"/>
            </w:pPr>
            <w:r>
              <w:rPr>
                <w:rFonts w:ascii="宋体" w:hAnsi="宋体"/>
              </w:rPr>
              <w:t>莱州伟隆</w:t>
            </w:r>
          </w:p>
        </w:tc>
        <w:tc>
          <w:tcPr>
            <w:tcW w:w="1224" w:type="dxa"/>
            <w:tcMar>
              <w:top w:w="0" w:type="dxa"/>
              <w:left w:w="108" w:type="dxa"/>
              <w:bottom w:w="0" w:type="dxa"/>
              <w:right w:w="108" w:type="dxa"/>
            </w:tcMar>
            <w:vAlign w:val="center"/>
          </w:tcPr>
          <w:p w14:paraId="58D7059C" w14:textId="77777777" w:rsidR="004B0883" w:rsidRDefault="004B0883">
            <w:pPr>
              <w:widowControl w:val="0"/>
              <w:jc w:val="center"/>
            </w:pPr>
            <w:r>
              <w:rPr>
                <w:rFonts w:ascii="宋体" w:hAnsi="宋体" w:hint="eastAsia"/>
              </w:rPr>
              <w:t>原始取得</w:t>
            </w:r>
          </w:p>
        </w:tc>
      </w:tr>
      <w:tr w:rsidR="004B0883" w14:paraId="7B6F33B6" w14:textId="77777777">
        <w:trPr>
          <w:trHeight w:val="397"/>
          <w:jc w:val="center"/>
        </w:trPr>
        <w:tc>
          <w:tcPr>
            <w:tcW w:w="348" w:type="pct"/>
            <w:tcMar>
              <w:top w:w="0" w:type="dxa"/>
              <w:left w:w="108" w:type="dxa"/>
              <w:bottom w:w="0" w:type="dxa"/>
              <w:right w:w="108" w:type="dxa"/>
            </w:tcMar>
            <w:vAlign w:val="center"/>
          </w:tcPr>
          <w:p w14:paraId="14F8D4C7" w14:textId="77777777" w:rsidR="004B0883" w:rsidRDefault="004B0883">
            <w:pPr>
              <w:widowControl w:val="0"/>
              <w:adjustRightInd w:val="0"/>
              <w:snapToGrid w:val="0"/>
              <w:jc w:val="center"/>
              <w:rPr>
                <w:color w:val="000000"/>
              </w:rPr>
            </w:pPr>
            <w:r>
              <w:rPr>
                <w:rFonts w:hint="eastAsia"/>
                <w:color w:val="000000"/>
              </w:rPr>
              <w:t>75</w:t>
            </w:r>
          </w:p>
        </w:tc>
        <w:tc>
          <w:tcPr>
            <w:tcW w:w="2096" w:type="dxa"/>
            <w:tcMar>
              <w:top w:w="0" w:type="dxa"/>
              <w:left w:w="108" w:type="dxa"/>
              <w:bottom w:w="0" w:type="dxa"/>
              <w:right w:w="108" w:type="dxa"/>
            </w:tcMar>
            <w:vAlign w:val="center"/>
          </w:tcPr>
          <w:p w14:paraId="29079CCD" w14:textId="77777777" w:rsidR="004B0883" w:rsidRDefault="004B0883">
            <w:pPr>
              <w:widowControl w:val="0"/>
              <w:jc w:val="center"/>
            </w:pPr>
            <w:r>
              <w:rPr>
                <w:rFonts w:ascii="宋体" w:hAnsi="宋体" w:hint="eastAsia"/>
              </w:rPr>
              <w:t>一种密封性好的圆片蝶阀</w:t>
            </w:r>
          </w:p>
        </w:tc>
        <w:tc>
          <w:tcPr>
            <w:tcW w:w="1241" w:type="dxa"/>
            <w:tcMar>
              <w:top w:w="0" w:type="dxa"/>
              <w:left w:w="108" w:type="dxa"/>
              <w:bottom w:w="0" w:type="dxa"/>
              <w:right w:w="108" w:type="dxa"/>
            </w:tcMar>
            <w:vAlign w:val="center"/>
          </w:tcPr>
          <w:p w14:paraId="24173B64" w14:textId="77777777" w:rsidR="004B0883" w:rsidRDefault="004B0883">
            <w:pPr>
              <w:widowControl w:val="0"/>
              <w:jc w:val="center"/>
            </w:pPr>
            <w:r>
              <w:rPr>
                <w:rFonts w:ascii="宋体" w:hAnsi="宋体"/>
              </w:rPr>
              <w:t>实用新型</w:t>
            </w:r>
          </w:p>
        </w:tc>
        <w:tc>
          <w:tcPr>
            <w:tcW w:w="1628" w:type="dxa"/>
            <w:tcMar>
              <w:top w:w="0" w:type="dxa"/>
              <w:left w:w="108" w:type="dxa"/>
              <w:bottom w:w="0" w:type="dxa"/>
              <w:right w:w="108" w:type="dxa"/>
            </w:tcMar>
            <w:vAlign w:val="center"/>
          </w:tcPr>
          <w:p w14:paraId="2A4E39C8" w14:textId="77777777" w:rsidR="004B0883" w:rsidRDefault="004B0883">
            <w:pPr>
              <w:widowControl w:val="0"/>
              <w:jc w:val="center"/>
              <w:rPr>
                <w:rFonts w:eastAsia="等线"/>
              </w:rPr>
            </w:pPr>
            <w:r>
              <w:rPr>
                <w:rFonts w:eastAsia="等线"/>
              </w:rPr>
              <w:t>201920128864X</w:t>
            </w:r>
          </w:p>
        </w:tc>
        <w:tc>
          <w:tcPr>
            <w:tcW w:w="1311" w:type="dxa"/>
            <w:tcMar>
              <w:top w:w="0" w:type="dxa"/>
              <w:left w:w="108" w:type="dxa"/>
              <w:bottom w:w="0" w:type="dxa"/>
              <w:right w:w="108" w:type="dxa"/>
            </w:tcMar>
            <w:vAlign w:val="center"/>
          </w:tcPr>
          <w:p w14:paraId="160B67F4" w14:textId="77777777" w:rsidR="004B0883" w:rsidRDefault="004B0883">
            <w:pPr>
              <w:widowControl w:val="0"/>
              <w:jc w:val="center"/>
              <w:rPr>
                <w:rFonts w:eastAsia="等线"/>
              </w:rPr>
            </w:pPr>
            <w:r>
              <w:rPr>
                <w:rFonts w:eastAsia="等线"/>
              </w:rPr>
              <w:t>2019-01-25</w:t>
            </w:r>
          </w:p>
        </w:tc>
        <w:tc>
          <w:tcPr>
            <w:tcW w:w="1077" w:type="dxa"/>
            <w:tcMar>
              <w:top w:w="0" w:type="dxa"/>
              <w:left w:w="108" w:type="dxa"/>
              <w:bottom w:w="0" w:type="dxa"/>
              <w:right w:w="108" w:type="dxa"/>
            </w:tcMar>
            <w:vAlign w:val="center"/>
          </w:tcPr>
          <w:p w14:paraId="4E9FBB41" w14:textId="77777777" w:rsidR="004B0883" w:rsidRDefault="004B0883">
            <w:pPr>
              <w:widowControl w:val="0"/>
              <w:jc w:val="center"/>
            </w:pPr>
            <w:r>
              <w:rPr>
                <w:rFonts w:ascii="宋体" w:hAnsi="宋体"/>
              </w:rPr>
              <w:t>莱州伟隆</w:t>
            </w:r>
          </w:p>
        </w:tc>
        <w:tc>
          <w:tcPr>
            <w:tcW w:w="1224" w:type="dxa"/>
            <w:tcMar>
              <w:top w:w="0" w:type="dxa"/>
              <w:left w:w="108" w:type="dxa"/>
              <w:bottom w:w="0" w:type="dxa"/>
              <w:right w:w="108" w:type="dxa"/>
            </w:tcMar>
            <w:vAlign w:val="center"/>
          </w:tcPr>
          <w:p w14:paraId="60DF8E9E" w14:textId="77777777" w:rsidR="004B0883" w:rsidRDefault="004B0883">
            <w:pPr>
              <w:widowControl w:val="0"/>
              <w:jc w:val="center"/>
            </w:pPr>
            <w:r>
              <w:rPr>
                <w:rFonts w:ascii="宋体" w:hAnsi="宋体" w:hint="eastAsia"/>
              </w:rPr>
              <w:t>原始取得</w:t>
            </w:r>
          </w:p>
        </w:tc>
      </w:tr>
      <w:tr w:rsidR="004B0883" w14:paraId="2839AE5A" w14:textId="77777777">
        <w:trPr>
          <w:trHeight w:val="397"/>
          <w:jc w:val="center"/>
        </w:trPr>
        <w:tc>
          <w:tcPr>
            <w:tcW w:w="348" w:type="pct"/>
            <w:tcMar>
              <w:top w:w="0" w:type="dxa"/>
              <w:left w:w="108" w:type="dxa"/>
              <w:bottom w:w="0" w:type="dxa"/>
              <w:right w:w="108" w:type="dxa"/>
            </w:tcMar>
            <w:vAlign w:val="center"/>
          </w:tcPr>
          <w:p w14:paraId="741FD808" w14:textId="77777777" w:rsidR="004B0883" w:rsidRDefault="004B0883">
            <w:pPr>
              <w:widowControl w:val="0"/>
              <w:adjustRightInd w:val="0"/>
              <w:snapToGrid w:val="0"/>
              <w:jc w:val="center"/>
              <w:rPr>
                <w:color w:val="000000"/>
              </w:rPr>
            </w:pPr>
            <w:r>
              <w:rPr>
                <w:rFonts w:hint="eastAsia"/>
                <w:color w:val="000000"/>
              </w:rPr>
              <w:t>76</w:t>
            </w:r>
          </w:p>
        </w:tc>
        <w:tc>
          <w:tcPr>
            <w:tcW w:w="2096" w:type="dxa"/>
            <w:tcMar>
              <w:top w:w="0" w:type="dxa"/>
              <w:left w:w="108" w:type="dxa"/>
              <w:bottom w:w="0" w:type="dxa"/>
              <w:right w:w="108" w:type="dxa"/>
            </w:tcMar>
            <w:vAlign w:val="center"/>
          </w:tcPr>
          <w:p w14:paraId="04AFA21F" w14:textId="77777777" w:rsidR="004B0883" w:rsidRDefault="004B0883">
            <w:pPr>
              <w:widowControl w:val="0"/>
              <w:jc w:val="center"/>
            </w:pPr>
            <w:r>
              <w:rPr>
                <w:rFonts w:ascii="宋体" w:hAnsi="宋体" w:hint="eastAsia"/>
              </w:rPr>
              <w:t>一种密封性好的圆片蝶阀</w:t>
            </w:r>
          </w:p>
        </w:tc>
        <w:tc>
          <w:tcPr>
            <w:tcW w:w="1241" w:type="dxa"/>
            <w:tcMar>
              <w:top w:w="0" w:type="dxa"/>
              <w:left w:w="108" w:type="dxa"/>
              <w:bottom w:w="0" w:type="dxa"/>
              <w:right w:w="108" w:type="dxa"/>
            </w:tcMar>
            <w:vAlign w:val="center"/>
          </w:tcPr>
          <w:p w14:paraId="60EB3270" w14:textId="77777777" w:rsidR="004B0883" w:rsidRDefault="004B0883">
            <w:pPr>
              <w:widowControl w:val="0"/>
              <w:jc w:val="center"/>
            </w:pPr>
            <w:r>
              <w:rPr>
                <w:rFonts w:ascii="宋体" w:hAnsi="宋体"/>
              </w:rPr>
              <w:t>实用新型</w:t>
            </w:r>
          </w:p>
        </w:tc>
        <w:tc>
          <w:tcPr>
            <w:tcW w:w="1628" w:type="dxa"/>
            <w:tcMar>
              <w:top w:w="0" w:type="dxa"/>
              <w:left w:w="108" w:type="dxa"/>
              <w:bottom w:w="0" w:type="dxa"/>
              <w:right w:w="108" w:type="dxa"/>
            </w:tcMar>
            <w:vAlign w:val="center"/>
          </w:tcPr>
          <w:p w14:paraId="39FACEDA" w14:textId="77777777" w:rsidR="004B0883" w:rsidRDefault="004B0883">
            <w:pPr>
              <w:widowControl w:val="0"/>
              <w:jc w:val="center"/>
              <w:rPr>
                <w:rFonts w:eastAsia="等线"/>
              </w:rPr>
            </w:pPr>
            <w:r>
              <w:rPr>
                <w:rFonts w:eastAsia="等线"/>
              </w:rPr>
              <w:t>2019201289021</w:t>
            </w:r>
          </w:p>
        </w:tc>
        <w:tc>
          <w:tcPr>
            <w:tcW w:w="1311" w:type="dxa"/>
            <w:tcMar>
              <w:top w:w="0" w:type="dxa"/>
              <w:left w:w="108" w:type="dxa"/>
              <w:bottom w:w="0" w:type="dxa"/>
              <w:right w:w="108" w:type="dxa"/>
            </w:tcMar>
            <w:vAlign w:val="center"/>
          </w:tcPr>
          <w:p w14:paraId="65DE44B4" w14:textId="77777777" w:rsidR="004B0883" w:rsidRDefault="004B0883">
            <w:pPr>
              <w:widowControl w:val="0"/>
              <w:jc w:val="center"/>
              <w:rPr>
                <w:rFonts w:eastAsia="等线"/>
              </w:rPr>
            </w:pPr>
            <w:r>
              <w:rPr>
                <w:rFonts w:eastAsia="等线"/>
              </w:rPr>
              <w:t>2019-01-25</w:t>
            </w:r>
          </w:p>
        </w:tc>
        <w:tc>
          <w:tcPr>
            <w:tcW w:w="1077" w:type="dxa"/>
            <w:tcMar>
              <w:top w:w="0" w:type="dxa"/>
              <w:left w:w="108" w:type="dxa"/>
              <w:bottom w:w="0" w:type="dxa"/>
              <w:right w:w="108" w:type="dxa"/>
            </w:tcMar>
            <w:vAlign w:val="center"/>
          </w:tcPr>
          <w:p w14:paraId="1AFEA07C" w14:textId="77777777" w:rsidR="004B0883" w:rsidRDefault="004B0883">
            <w:pPr>
              <w:widowControl w:val="0"/>
              <w:jc w:val="center"/>
            </w:pPr>
            <w:r>
              <w:rPr>
                <w:rFonts w:ascii="宋体" w:hAnsi="宋体"/>
              </w:rPr>
              <w:t>莱州伟隆</w:t>
            </w:r>
          </w:p>
        </w:tc>
        <w:tc>
          <w:tcPr>
            <w:tcW w:w="1224" w:type="dxa"/>
            <w:tcMar>
              <w:top w:w="0" w:type="dxa"/>
              <w:left w:w="108" w:type="dxa"/>
              <w:bottom w:w="0" w:type="dxa"/>
              <w:right w:w="108" w:type="dxa"/>
            </w:tcMar>
            <w:vAlign w:val="center"/>
          </w:tcPr>
          <w:p w14:paraId="355F6886" w14:textId="77777777" w:rsidR="004B0883" w:rsidRDefault="004B0883">
            <w:pPr>
              <w:widowControl w:val="0"/>
              <w:jc w:val="center"/>
            </w:pPr>
            <w:r>
              <w:rPr>
                <w:rFonts w:ascii="宋体" w:hAnsi="宋体" w:hint="eastAsia"/>
              </w:rPr>
              <w:t>原始取得</w:t>
            </w:r>
          </w:p>
        </w:tc>
      </w:tr>
    </w:tbl>
    <w:p w14:paraId="47E28C16" w14:textId="77777777" w:rsidR="004B0883" w:rsidRDefault="004B0883">
      <w:pPr>
        <w:pStyle w:val="006"/>
        <w:ind w:firstLine="420"/>
        <w:rPr>
          <w:rFonts w:hint="eastAsia"/>
        </w:rPr>
      </w:pPr>
    </w:p>
    <w:sectPr w:rsidR="004B0883">
      <w:headerReference w:type="default" r:id="rId72"/>
      <w:pgSz w:w="11904" w:h="16834"/>
      <w:pgMar w:top="1440" w:right="1797" w:bottom="1440" w:left="1797"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695ED" w14:textId="77777777" w:rsidR="003828DC" w:rsidRDefault="003828DC">
      <w:r>
        <w:separator/>
      </w:r>
    </w:p>
  </w:endnote>
  <w:endnote w:type="continuationSeparator" w:id="0">
    <w:p w14:paraId="7B7B19B8" w14:textId="77777777" w:rsidR="003828DC" w:rsidRDefault="00382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ˎ̥">
    <w:altName w:val="等线"/>
    <w:charset w:val="00"/>
    <w:family w:val="roman"/>
    <w:pitch w:val="default"/>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
    <w:altName w:val="Times New Roman"/>
    <w:charset w:val="00"/>
    <w:family w:val="roman"/>
    <w:pitch w:val="default"/>
    <w:sig w:usb0="00000000" w:usb1="00000000" w:usb2="00000010" w:usb3="00000000" w:csb0="00040001" w:csb1="00000000"/>
  </w:font>
  <w:font w:name="Microsoft YaHei UI">
    <w:panose1 w:val="020B0503020204020204"/>
    <w:charset w:val="86"/>
    <w:family w:val="swiss"/>
    <w:pitch w:val="variable"/>
    <w:sig w:usb0="80000287" w:usb1="2ACF3C50" w:usb2="00000016" w:usb3="00000000" w:csb0="0004001F" w:csb1="00000000"/>
  </w:font>
  <w:font w:name="华文楷体">
    <w:panose1 w:val="02010600040101010101"/>
    <w:charset w:val="86"/>
    <w:family w:val="auto"/>
    <w:pitch w:val="variable"/>
    <w:sig w:usb0="00000287" w:usb1="080F0000" w:usb2="00000010" w:usb3="00000000" w:csb0="0004009F" w:csb1="00000000"/>
  </w:font>
  <w:font w:name="DFPKaiShu-GB5">
    <w:altName w:val="MS Gothic"/>
    <w:charset w:val="80"/>
    <w:family w:val="script"/>
    <w:pitch w:val="default"/>
    <w:sig w:usb0="00002A87" w:usb1="082F0000" w:usb2="00000016" w:usb3="00000000" w:csb0="001601FF" w:csb1="00000000"/>
  </w:font>
  <w:font w:name="隶书">
    <w:panose1 w:val="02010509060101010101"/>
    <w:charset w:val="86"/>
    <w:family w:val="modern"/>
    <w:pitch w:val="fixed"/>
    <w:sig w:usb0="00000001" w:usb1="080E0000" w:usb2="00000010" w:usb3="00000000" w:csb0="00040000" w:csb1="00000000"/>
  </w:font>
  <w:font w:name="SC STKaiti">
    <w:altName w:val="Times New Roman"/>
    <w:charset w:val="86"/>
    <w:family w:val="auto"/>
    <w:pitch w:val="variable"/>
    <w:sig w:usb0="00000287" w:usb1="080F0000" w:usb2="00000010" w:usb3="00000000" w:csb0="0004009F" w:csb1="00000000"/>
  </w:font>
  <w:font w:name="Times LT Std">
    <w:altName w:val="Times New Roman"/>
    <w:panose1 w:val="00000000000000000000"/>
    <w:charset w:val="00"/>
    <w:family w:val="roman"/>
    <w:notTrueType/>
    <w:pitch w:val="variable"/>
    <w:sig w:usb0="800000AF" w:usb1="5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幼圆">
    <w:panose1 w:val="02010509060101010101"/>
    <w:charset w:val="86"/>
    <w:family w:val="modern"/>
    <w:pitch w:val="fixed"/>
    <w:sig w:usb0="00000001" w:usb1="080E0000" w:usb2="00000010" w:usb3="00000000" w:csb0="00040000" w:csb1="00000000"/>
  </w:font>
  <w:font w:name="MingLiU">
    <w:altName w:val="細明體"/>
    <w:panose1 w:val="02010609000101010101"/>
    <w:charset w:val="88"/>
    <w:family w:val="modern"/>
    <w:pitch w:val="fixed"/>
    <w:sig w:usb0="A00002FF" w:usb1="28CFFCFA" w:usb2="00000016" w:usb3="00000000" w:csb0="00100001" w:csb1="00000000"/>
  </w:font>
  <w:font w:name="Tms Rmn">
    <w:panose1 w:val="02020603040505020304"/>
    <w:charset w:val="00"/>
    <w:family w:val="roman"/>
    <w:pitch w:val="variable"/>
    <w:sig w:usb0="00000003" w:usb1="00000000" w:usb2="00000000" w:usb3="00000000" w:csb0="00000001" w:csb1="00000000"/>
  </w:font>
  <w:font w:name="华文细黑">
    <w:panose1 w:val="02010600040101010101"/>
    <w:charset w:val="86"/>
    <w:family w:val="auto"/>
    <w:pitch w:val="variable"/>
    <w:sig w:usb0="00000287" w:usb1="080F0000" w:usb2="00000010" w:usb3="00000000" w:csb0="0004009F" w:csb1="00000000"/>
  </w:font>
  <w:font w:name="Frutiger 45 Light">
    <w:altName w:val="Arial"/>
    <w:charset w:val="00"/>
    <w:family w:val="swiss"/>
    <w:pitch w:val="default"/>
    <w:sig w:usb0="00000000" w:usb1="00000000" w:usb2="00000000" w:usb3="00000000" w:csb0="00000193" w:csb1="00000000"/>
  </w:font>
  <w:font w:name="华文中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Vrinda">
    <w:panose1 w:val="00000400000000000000"/>
    <w:charset w:val="00"/>
    <w:family w:val="swiss"/>
    <w:pitch w:val="variable"/>
    <w:sig w:usb0="00010003" w:usb1="00000000" w:usb2="00000000" w:usb3="00000000" w:csb0="00000001" w:csb1="00000000"/>
  </w:font>
  <w:font w:name="方正仿宋简体">
    <w:charset w:val="86"/>
    <w:family w:val="auto"/>
    <w:pitch w:val="variable"/>
    <w:sig w:usb0="00000001" w:usb1="080E0000" w:usb2="00000010" w:usb3="00000000" w:csb0="00040000" w:csb1="00000000"/>
  </w:font>
  <w:font w:name="PCJODE+MSung-Light">
    <w:altName w:val="宋体"/>
    <w:charset w:val="86"/>
    <w:family w:val="roman"/>
    <w:pitch w:val="default"/>
    <w:sig w:usb0="00000000" w:usb1="00000000" w:usb2="00000000" w:usb3="00000000" w:csb0="00040001" w:csb1="00000000"/>
  </w:font>
  <w:font w:name=".a...D..">
    <w:altName w:val="宋体"/>
    <w:charset w:val="86"/>
    <w:family w:val="swiss"/>
    <w:pitch w:val="default"/>
    <w:sig w:usb0="00000001" w:usb1="080E0000" w:usb2="00000010" w:usb3="00000000" w:csb0="00040000" w:csb1="00000000"/>
  </w:font>
  <w:font w:name="宋体-18030">
    <w:altName w:val="微软雅黑"/>
    <w:charset w:val="00"/>
    <w:family w:val="roman"/>
    <w:pitch w:val="default"/>
    <w:sig w:usb0="00000000" w:usb1="00000000" w:usb2="00000000" w:usb3="00000000" w:csb0="00040001" w:csb1="00000000"/>
  </w:font>
  <w:font w:name="昆仑仿宋">
    <w:altName w:val="宋体"/>
    <w:charset w:val="86"/>
    <w:family w:val="modern"/>
    <w:pitch w:val="default"/>
    <w:sig w:usb0="00000001" w:usb1="080E0000" w:usb2="00000010" w:usb3="00000000" w:csb0="00040000" w:csb1="00000000"/>
  </w:font>
  <w:font w:name="CG Times (WN)">
    <w:altName w:val="Times New Roman"/>
    <w:charset w:val="00"/>
    <w:family w:val="roman"/>
    <w:pitch w:val="default"/>
    <w:sig w:usb0="00000003" w:usb1="080E0000" w:usb2="00000010" w:usb3="00000000" w:csb0="00040001" w:csb1="00000000"/>
  </w:font>
  <w:font w:name="FZHei-B01S">
    <w:altName w:val="宋体"/>
    <w:charset w:val="86"/>
    <w:family w:val="swiss"/>
    <w:pitch w:val="default"/>
    <w:sig w:usb0="00000001" w:usb1="080E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宋体">
    <w:altName w:val="@宋体"/>
    <w:charset w:val="86"/>
    <w:family w:val="auto"/>
    <w:pitch w:val="default"/>
    <w:sig w:usb0="00000001" w:usb1="080E0000" w:usb2="00000010" w:usb3="00000000" w:csb0="00040000" w:csb1="00000000"/>
  </w:font>
  <w:font w:name="ヒラギノ角ゴ Pro W3">
    <w:altName w:val="Yu Gothic"/>
    <w:charset w:val="80"/>
    <w:family w:val="auto"/>
    <w:pitch w:val="default"/>
    <w:sig w:usb0="00000000" w:usb1="00000000" w:usb2="00000012" w:usb3="00000000" w:csb0="0002000D" w:csb1="00000000"/>
  </w:font>
  <w:font w:name="汉仪大宋简">
    <w:charset w:val="86"/>
    <w:family w:val="modern"/>
    <w:pitch w:val="fixed"/>
    <w:sig w:usb0="00000001" w:usb1="080E0800" w:usb2="00000012" w:usb3="00000000" w:csb0="00040000" w:csb1="00000000"/>
  </w:font>
  <w:font w:name="方正楷体_GBK">
    <w:charset w:val="86"/>
    <w:family w:val="script"/>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文鼎CS中宋">
    <w:altName w:val="宋体"/>
    <w:charset w:val="86"/>
    <w:family w:val="modern"/>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
    <w:altName w:val="黑体"/>
    <w:charset w:val="00"/>
    <w:family w:val="roman"/>
    <w:pitch w:val="default"/>
    <w:sig w:usb0="00000000" w:usb1="00000000" w:usb2="00000000" w:usb3="00000000" w:csb0="00040001" w:csb1="00000000"/>
  </w:font>
  <w:font w:name="五">
    <w:altName w:val="宋体"/>
    <w:charset w:val="86"/>
    <w:family w:val="auto"/>
    <w:pitch w:val="default"/>
    <w:sig w:usb0="00000000" w:usb1="00000000" w:usb2="00000010" w:usb3="00000000" w:csb0="00040000" w:csb1="00000000"/>
  </w:font>
  <w:font w:name="Wingdings-Regular">
    <w:altName w:val="微软雅黑"/>
    <w:charset w:val="00"/>
    <w:family w:val="roman"/>
    <w:pitch w:val="default"/>
    <w:sig w:usb0="00000000" w:usb1="00000000" w:usb2="00000000" w:usb3="00000000" w:csb0="00040001" w:csb1="00000000"/>
  </w:font>
  <w:font w:name="Helvetica-Narrow">
    <w:panose1 w:val="00000000000000000000"/>
    <w:charset w:val="00"/>
    <w:family w:val="swiss"/>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微软雅黑">
    <w:panose1 w:val="020B0503020204020204"/>
    <w:charset w:val="86"/>
    <w:family w:val="swiss"/>
    <w:pitch w:val="variable"/>
    <w:sig w:usb0="80000287" w:usb1="2ACF3C50" w:usb2="00000016" w:usb3="00000000" w:csb0="0004001F" w:csb1="00000000"/>
  </w:font>
  <w:font w:name="Sylfaen">
    <w:panose1 w:val="010A0502050306030303"/>
    <w:charset w:val="00"/>
    <w:family w:val="roman"/>
    <w:pitch w:val="variable"/>
    <w:sig w:usb0="040006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pitch w:val="default"/>
    <w:sig w:usb0="00000000" w:usb1="00000000" w:usb2="00000000" w:usb3="00000000" w:csb0="00040001" w:csb1="00000000"/>
  </w:font>
  <w:font w:name="Times">
    <w:panose1 w:val="02020603050405020304"/>
    <w:charset w:val="00"/>
    <w:family w:val="roman"/>
    <w:pitch w:val="variable"/>
    <w:sig w:usb0="E0002EFF" w:usb1="C000785B" w:usb2="00000009" w:usb3="00000000" w:csb0="000001FF" w:csb1="00000000"/>
  </w:font>
  <w:font w:name="open_sansregular">
    <w:altName w:val="Times New Roman"/>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FA715" w14:textId="77777777" w:rsidR="004B0883" w:rsidRDefault="004B0883">
    <w:pPr>
      <w:pStyle w:val="afa"/>
      <w:jc w:val="center"/>
      <w:rPr>
        <w:sz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978CB" w14:textId="77777777" w:rsidR="004B0883" w:rsidRDefault="004B0883">
    <w:pPr>
      <w:adjustRightInd w:val="0"/>
      <w:snapToGrid w:val="0"/>
      <w:jc w:val="center"/>
    </w:pPr>
    <w:r>
      <w:t>1-1-</w:t>
    </w:r>
    <w:r>
      <w:fldChar w:fldCharType="begin"/>
    </w:r>
    <w:r>
      <w:instrText>PAGE   \* MERGEFORMAT</w:instrText>
    </w:r>
    <w:r>
      <w:fldChar w:fldCharType="separate"/>
    </w:r>
    <w:r w:rsidR="00DF1733" w:rsidRPr="00DF1733">
      <w:rPr>
        <w:noProof/>
        <w:lang w:val="en-US" w:eastAsia="zh-CN"/>
      </w:rPr>
      <w:t>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A239E" w14:textId="77777777" w:rsidR="003828DC" w:rsidRDefault="003828DC">
      <w:r>
        <w:separator/>
      </w:r>
    </w:p>
  </w:footnote>
  <w:footnote w:type="continuationSeparator" w:id="0">
    <w:p w14:paraId="139C7EF0" w14:textId="77777777" w:rsidR="003828DC" w:rsidRDefault="003828DC">
      <w:r>
        <w:continuationSeparator/>
      </w:r>
    </w:p>
  </w:footnote>
  <w:footnote w:id="1">
    <w:p w14:paraId="566445A9" w14:textId="77777777" w:rsidR="004B0883" w:rsidRDefault="004B0883">
      <w:pPr>
        <w:pStyle w:val="aff3"/>
        <w:rPr>
          <w:rFonts w:hint="eastAsia"/>
        </w:rPr>
      </w:pPr>
      <w:bookmarkStart w:id="200" w:name="_Hlk124071493"/>
      <w:r>
        <w:rPr>
          <w:rStyle w:val="afffa"/>
        </w:rPr>
        <w:footnoteRef/>
      </w:r>
      <w:r>
        <w:t xml:space="preserve"> </w:t>
      </w:r>
      <w:r>
        <w:rPr>
          <w:rFonts w:hint="eastAsia"/>
        </w:rPr>
        <w:t>本处重要子公司指最近一年经审计的财务数据，对公司营业收入或净利润影响达</w:t>
      </w:r>
      <w:r>
        <w:rPr>
          <w:rFonts w:hint="eastAsia"/>
        </w:rPr>
        <w:t>10%</w:t>
      </w:r>
      <w:r>
        <w:rPr>
          <w:rFonts w:hint="eastAsia"/>
        </w:rPr>
        <w:t>以上的控股或参股子公司。</w:t>
      </w:r>
      <w:bookmarkEnd w:id="200"/>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651C8" w14:textId="77777777" w:rsidR="004B0883" w:rsidRDefault="004B0883">
    <w:pPr>
      <w:pStyle w:val="afd"/>
      <w:pBdr>
        <w:bottom w:val="none" w:sz="0" w:space="0" w:color="auto"/>
      </w:pBdr>
      <w:adjustRightInd w:val="0"/>
      <w:jc w:val="left"/>
      <w:rPr>
        <w:rFonts w:hAnsi="宋体"/>
        <w:b/>
        <w:w w:val="90"/>
        <w:kern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75325" w14:textId="77777777" w:rsidR="004B0883" w:rsidRDefault="004B0883">
    <w:pPr>
      <w:pStyle w:val="afd"/>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1E9EF" w14:textId="77777777" w:rsidR="004B0883" w:rsidRDefault="004B0883">
    <w:pPr>
      <w:pStyle w:val="afd"/>
      <w:pBdr>
        <w:bottom w:val="single" w:sz="4" w:space="1" w:color="auto"/>
      </w:pBdr>
      <w:jc w:val="left"/>
      <w:rPr>
        <w:sz w:val="21"/>
      </w:rPr>
    </w:pPr>
    <w:r>
      <w:rPr>
        <w:rFonts w:hint="eastAsia"/>
        <w:sz w:val="21"/>
      </w:rPr>
      <w:t>青岛伟隆阀门股份有限公司</w:t>
    </w:r>
    <w:r>
      <w:rPr>
        <w:rFonts w:hint="eastAsia"/>
        <w:sz w:val="21"/>
      </w:rPr>
      <w:t xml:space="preserve">                                                                                                   </w:t>
    </w:r>
    <w:r>
      <w:rPr>
        <w:rFonts w:hint="eastAsia"/>
        <w:sz w:val="21"/>
      </w:rPr>
      <w:t>募集说明书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3A4CD" w14:textId="77777777" w:rsidR="004B0883" w:rsidRDefault="004B0883">
    <w:pPr>
      <w:pStyle w:val="afd"/>
      <w:pBdr>
        <w:bottom w:val="single" w:sz="4" w:space="1" w:color="auto"/>
      </w:pBdr>
      <w:jc w:val="left"/>
      <w:rPr>
        <w:sz w:val="21"/>
      </w:rPr>
    </w:pPr>
    <w:r>
      <w:rPr>
        <w:rFonts w:hint="eastAsia"/>
        <w:sz w:val="21"/>
      </w:rPr>
      <w:t>青岛伟隆阀门股份有限公司</w:t>
    </w:r>
    <w:r>
      <w:rPr>
        <w:rFonts w:hint="eastAsia"/>
        <w:sz w:val="21"/>
      </w:rPr>
      <w:t xml:space="preserve">                                                                                                                                                                                                                          </w:t>
    </w:r>
    <w:r>
      <w:rPr>
        <w:rFonts w:hint="eastAsia"/>
        <w:sz w:val="21"/>
      </w:rPr>
      <w:t>募集说明书</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4EB5D" w14:textId="77777777" w:rsidR="004B0883" w:rsidRDefault="004B0883">
    <w:pPr>
      <w:pStyle w:val="afd"/>
      <w:pBdr>
        <w:bottom w:val="single" w:sz="4" w:space="1" w:color="auto"/>
      </w:pBdr>
      <w:jc w:val="left"/>
      <w:rPr>
        <w:sz w:val="21"/>
      </w:rPr>
    </w:pPr>
    <w:r>
      <w:rPr>
        <w:rFonts w:hint="eastAsia"/>
        <w:sz w:val="21"/>
      </w:rPr>
      <w:t>青岛伟隆阀门股份有限公司</w:t>
    </w:r>
    <w:r>
      <w:rPr>
        <w:rFonts w:hint="eastAsia"/>
        <w:sz w:val="21"/>
      </w:rPr>
      <w:t xml:space="preserve">                                                                                                   </w:t>
    </w:r>
    <w:r>
      <w:rPr>
        <w:rFonts w:hint="eastAsia"/>
        <w:sz w:val="21"/>
      </w:rPr>
      <w:t>募集说明书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A0364FB"/>
    <w:multiLevelType w:val="singleLevel"/>
    <w:tmpl w:val="FA0364FB"/>
    <w:lvl w:ilvl="0">
      <w:start w:val="3"/>
      <w:numFmt w:val="decimal"/>
      <w:suff w:val="nothing"/>
      <w:lvlText w:val="（%1）"/>
      <w:lvlJc w:val="left"/>
    </w:lvl>
  </w:abstractNum>
  <w:abstractNum w:abstractNumId="1" w15:restartNumberingAfterBreak="0">
    <w:nsid w:val="FFFFFF7C"/>
    <w:multiLevelType w:val="singleLevel"/>
    <w:tmpl w:val="FFFFFF7C"/>
    <w:lvl w:ilvl="0">
      <w:start w:val="1"/>
      <w:numFmt w:val="decimal"/>
      <w:lvlText w:val="%1."/>
      <w:lvlJc w:val="left"/>
      <w:pPr>
        <w:tabs>
          <w:tab w:val="num" w:pos="1634"/>
        </w:tabs>
        <w:ind w:left="1634" w:hanging="360"/>
      </w:pPr>
    </w:lvl>
  </w:abstractNum>
  <w:abstractNum w:abstractNumId="2" w15:restartNumberingAfterBreak="0">
    <w:nsid w:val="FFFFFF7D"/>
    <w:multiLevelType w:val="singleLevel"/>
    <w:tmpl w:val="FFFFFF7D"/>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FFFFF7E"/>
    <w:lvl w:ilvl="0">
      <w:start w:val="1"/>
      <w:numFmt w:val="decimal"/>
      <w:lvlText w:val="%1."/>
      <w:lvlJc w:val="left"/>
      <w:pPr>
        <w:tabs>
          <w:tab w:val="num" w:pos="926"/>
        </w:tabs>
        <w:ind w:left="926" w:hanging="360"/>
      </w:pPr>
    </w:lvl>
  </w:abstractNum>
  <w:abstractNum w:abstractNumId="4" w15:restartNumberingAfterBreak="0">
    <w:nsid w:val="FFFFFF80"/>
    <w:multiLevelType w:val="singleLevel"/>
    <w:tmpl w:val="FFFFFF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FFFF81"/>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FFFF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021A52CD"/>
    <w:multiLevelType w:val="multilevel"/>
    <w:tmpl w:val="021A52CD"/>
    <w:lvl w:ilvl="0">
      <w:start w:val="1"/>
      <w:numFmt w:val="decimal"/>
      <w:lvlText w:val="%1、"/>
      <w:lvlJc w:val="left"/>
      <w:pPr>
        <w:tabs>
          <w:tab w:val="num" w:pos="902"/>
        </w:tabs>
        <w:ind w:left="1262" w:hanging="360"/>
      </w:pPr>
      <w:rPr>
        <w:rFonts w:ascii="Times New Roman" w:hAnsi="Times New Roman" w:cs="Times New Roman" w:hint="default"/>
      </w:rPr>
    </w:lvl>
    <w:lvl w:ilvl="1">
      <w:start w:val="1"/>
      <w:numFmt w:val="lowerLetter"/>
      <w:lvlText w:val="%2)"/>
      <w:lvlJc w:val="left"/>
      <w:pPr>
        <w:tabs>
          <w:tab w:val="num" w:pos="1322"/>
        </w:tabs>
        <w:ind w:left="1322" w:hanging="420"/>
      </w:pPr>
    </w:lvl>
    <w:lvl w:ilvl="2">
      <w:start w:val="1"/>
      <w:numFmt w:val="decimal"/>
      <w:lvlText w:val="%3、"/>
      <w:lvlJc w:val="left"/>
      <w:pPr>
        <w:tabs>
          <w:tab w:val="num" w:pos="1322"/>
        </w:tabs>
        <w:ind w:left="1682" w:hanging="360"/>
      </w:pPr>
      <w:rPr>
        <w:rFonts w:ascii="Times New Roman" w:hAnsi="Times New Roman" w:cs="Times New Roman" w:hint="default"/>
      </w:rPr>
    </w:lvl>
    <w:lvl w:ilvl="3">
      <w:start w:val="1"/>
      <w:numFmt w:val="decimal"/>
      <w:lvlText w:val="%4."/>
      <w:lvlJc w:val="left"/>
      <w:pPr>
        <w:tabs>
          <w:tab w:val="num" w:pos="2162"/>
        </w:tabs>
        <w:ind w:left="2162" w:hanging="420"/>
      </w:pPr>
    </w:lvl>
    <w:lvl w:ilvl="4">
      <w:start w:val="1"/>
      <w:numFmt w:val="lowerLetter"/>
      <w:lvlText w:val="%5)"/>
      <w:lvlJc w:val="left"/>
      <w:pPr>
        <w:tabs>
          <w:tab w:val="num" w:pos="2582"/>
        </w:tabs>
        <w:ind w:left="2582" w:hanging="420"/>
      </w:pPr>
    </w:lvl>
    <w:lvl w:ilvl="5">
      <w:start w:val="1"/>
      <w:numFmt w:val="lowerRoman"/>
      <w:lvlText w:val="%6."/>
      <w:lvlJc w:val="right"/>
      <w:pPr>
        <w:tabs>
          <w:tab w:val="num" w:pos="3002"/>
        </w:tabs>
        <w:ind w:left="3002" w:hanging="420"/>
      </w:pPr>
    </w:lvl>
    <w:lvl w:ilvl="6">
      <w:start w:val="1"/>
      <w:numFmt w:val="decimal"/>
      <w:lvlText w:val="%7."/>
      <w:lvlJc w:val="left"/>
      <w:pPr>
        <w:tabs>
          <w:tab w:val="num" w:pos="3422"/>
        </w:tabs>
        <w:ind w:left="3422" w:hanging="420"/>
      </w:pPr>
    </w:lvl>
    <w:lvl w:ilvl="7">
      <w:start w:val="1"/>
      <w:numFmt w:val="lowerLetter"/>
      <w:lvlText w:val="%8)"/>
      <w:lvlJc w:val="left"/>
      <w:pPr>
        <w:tabs>
          <w:tab w:val="num" w:pos="3842"/>
        </w:tabs>
        <w:ind w:left="3842" w:hanging="420"/>
      </w:pPr>
    </w:lvl>
    <w:lvl w:ilvl="8">
      <w:start w:val="1"/>
      <w:numFmt w:val="lowerRoman"/>
      <w:lvlText w:val="%9."/>
      <w:lvlJc w:val="right"/>
      <w:pPr>
        <w:tabs>
          <w:tab w:val="num" w:pos="4262"/>
        </w:tabs>
        <w:ind w:left="4262" w:hanging="420"/>
      </w:pPr>
    </w:lvl>
  </w:abstractNum>
  <w:abstractNum w:abstractNumId="8" w15:restartNumberingAfterBreak="0">
    <w:nsid w:val="08E2797C"/>
    <w:multiLevelType w:val="multilevel"/>
    <w:tmpl w:val="08E2797C"/>
    <w:lvl w:ilvl="0">
      <w:start w:val="1"/>
      <w:numFmt w:val="decimal"/>
      <w:lvlText w:val="%1"/>
      <w:lvlJc w:val="left"/>
      <w:pPr>
        <w:tabs>
          <w:tab w:val="num" w:pos="1134"/>
        </w:tabs>
        <w:ind w:left="1134" w:hanging="567"/>
      </w:pPr>
      <w:rPr>
        <w:rFonts w:ascii="Arial" w:eastAsia="楷体_GB2312" w:hAnsi="Arial" w:hint="default"/>
        <w:sz w:val="20"/>
      </w:rPr>
    </w:lvl>
    <w:lvl w:ilvl="1">
      <w:start w:val="1"/>
      <w:numFmt w:val="lowerLetter"/>
      <w:lvlText w:val="%2)"/>
      <w:lvlJc w:val="left"/>
      <w:pPr>
        <w:tabs>
          <w:tab w:val="num" w:pos="1701"/>
        </w:tabs>
        <w:ind w:left="1701" w:hanging="567"/>
      </w:pPr>
      <w:rPr>
        <w:rFonts w:ascii="Arial" w:hAnsi="Arial" w:hint="default"/>
        <w:sz w:val="20"/>
      </w:rPr>
    </w:lvl>
    <w:lvl w:ilvl="2">
      <w:start w:val="1"/>
      <w:numFmt w:val="lowerRoman"/>
      <w:lvlText w:val="%3."/>
      <w:lvlJc w:val="left"/>
      <w:pPr>
        <w:tabs>
          <w:tab w:val="num" w:pos="2268"/>
        </w:tabs>
        <w:ind w:left="2268" w:hanging="567"/>
      </w:pPr>
      <w:rPr>
        <w:rFonts w:ascii="Arial" w:hAnsi="Arial" w:hint="default"/>
        <w:sz w:val="20"/>
      </w:rPr>
    </w:lvl>
    <w:lvl w:ilvl="3">
      <w:start w:val="1"/>
      <w:numFmt w:val="none"/>
      <w:lvlText w:val=""/>
      <w:lvlJc w:val="left"/>
      <w:pPr>
        <w:tabs>
          <w:tab w:val="num" w:pos="2268"/>
        </w:tabs>
        <w:ind w:left="2268" w:hanging="567"/>
      </w:pPr>
      <w:rPr>
        <w:rFonts w:hint="eastAsia"/>
      </w:rPr>
    </w:lvl>
    <w:lvl w:ilvl="4">
      <w:start w:val="1"/>
      <w:numFmt w:val="none"/>
      <w:lvlText w:val=""/>
      <w:lvlJc w:val="left"/>
      <w:pPr>
        <w:tabs>
          <w:tab w:val="num" w:pos="2268"/>
        </w:tabs>
        <w:ind w:left="2268" w:hanging="567"/>
      </w:pPr>
      <w:rPr>
        <w:rFonts w:hint="eastAsia"/>
      </w:rPr>
    </w:lvl>
    <w:lvl w:ilvl="5">
      <w:start w:val="1"/>
      <w:numFmt w:val="none"/>
      <w:lvlText w:val=""/>
      <w:lvlJc w:val="left"/>
      <w:pPr>
        <w:tabs>
          <w:tab w:val="num" w:pos="2268"/>
        </w:tabs>
        <w:ind w:left="2268" w:hanging="567"/>
      </w:pPr>
      <w:rPr>
        <w:rFonts w:hint="eastAsia"/>
      </w:rPr>
    </w:lvl>
    <w:lvl w:ilvl="6">
      <w:start w:val="1"/>
      <w:numFmt w:val="none"/>
      <w:lvlText w:val=""/>
      <w:lvlJc w:val="left"/>
      <w:pPr>
        <w:tabs>
          <w:tab w:val="num" w:pos="2268"/>
        </w:tabs>
        <w:ind w:left="2268" w:hanging="567"/>
      </w:pPr>
      <w:rPr>
        <w:rFonts w:hint="eastAsia"/>
      </w:rPr>
    </w:lvl>
    <w:lvl w:ilvl="7">
      <w:start w:val="1"/>
      <w:numFmt w:val="none"/>
      <w:lvlText w:val=""/>
      <w:lvlJc w:val="left"/>
      <w:pPr>
        <w:tabs>
          <w:tab w:val="num" w:pos="2268"/>
        </w:tabs>
        <w:ind w:left="2268" w:hanging="567"/>
      </w:pPr>
      <w:rPr>
        <w:rFonts w:hint="eastAsia"/>
      </w:rPr>
    </w:lvl>
    <w:lvl w:ilvl="8">
      <w:start w:val="1"/>
      <w:numFmt w:val="none"/>
      <w:lvlText w:val=""/>
      <w:lvlJc w:val="left"/>
      <w:pPr>
        <w:tabs>
          <w:tab w:val="num" w:pos="2268"/>
        </w:tabs>
        <w:ind w:left="2268" w:hanging="567"/>
      </w:pPr>
      <w:rPr>
        <w:rFonts w:hint="eastAsia"/>
      </w:rPr>
    </w:lvl>
  </w:abstractNum>
  <w:abstractNum w:abstractNumId="9" w15:restartNumberingAfterBreak="0">
    <w:nsid w:val="0B3E73A3"/>
    <w:multiLevelType w:val="multilevel"/>
    <w:tmpl w:val="0B3E73A3"/>
    <w:lvl w:ilvl="0">
      <w:start w:val="1"/>
      <w:numFmt w:val="decimal"/>
      <w:lvlText w:val="%1"/>
      <w:lvlJc w:val="left"/>
      <w:pPr>
        <w:tabs>
          <w:tab w:val="num" w:pos="567"/>
        </w:tabs>
        <w:ind w:left="567" w:hanging="567"/>
      </w:pPr>
      <w:rPr>
        <w:rFonts w:hint="eastAsia"/>
      </w:rPr>
    </w:lvl>
    <w:lvl w:ilvl="1">
      <w:start w:val="1"/>
      <w:numFmt w:val="decimal"/>
      <w:lvlText w:val="7.%2"/>
      <w:lvlJc w:val="left"/>
      <w:pPr>
        <w:tabs>
          <w:tab w:val="num" w:pos="567"/>
        </w:tabs>
        <w:ind w:left="567" w:hanging="567"/>
      </w:pPr>
      <w:rPr>
        <w:rFonts w:ascii="Arial" w:hAnsi="Arial" w:hint="default"/>
        <w:sz w:val="20"/>
      </w:rPr>
    </w:lvl>
    <w:lvl w:ilvl="2">
      <w:start w:val="1"/>
      <w:numFmt w:val="lowerLetter"/>
      <w:lvlText w:val="(%3)"/>
      <w:lvlJc w:val="left"/>
      <w:pPr>
        <w:tabs>
          <w:tab w:val="num" w:pos="567"/>
        </w:tabs>
        <w:ind w:left="567" w:hanging="567"/>
      </w:pPr>
      <w:rPr>
        <w:rFonts w:ascii="Arial" w:hAnsi="Arial" w:hint="default"/>
        <w:sz w:val="16"/>
      </w:rPr>
    </w:lvl>
    <w:lvl w:ilvl="3">
      <w:start w:val="1"/>
      <w:numFmt w:val="lowerRoman"/>
      <w:lvlText w:val="(%4)"/>
      <w:lvlJc w:val="left"/>
      <w:pPr>
        <w:tabs>
          <w:tab w:val="num" w:pos="1134"/>
        </w:tabs>
        <w:ind w:left="1134" w:hanging="567"/>
      </w:pPr>
      <w:rPr>
        <w:rFonts w:ascii="Arial" w:hAnsi="Arial" w:hint="default"/>
        <w:b w:val="0"/>
        <w:i w:val="0"/>
        <w:sz w:val="16"/>
      </w:rPr>
    </w:lvl>
    <w:lvl w:ilvl="4">
      <w:start w:val="1"/>
      <w:numFmt w:val="upperLetter"/>
      <w:lvlText w:val="(%5)"/>
      <w:lvlJc w:val="left"/>
      <w:pPr>
        <w:tabs>
          <w:tab w:val="num" w:pos="1701"/>
        </w:tabs>
        <w:ind w:left="1701" w:hanging="567"/>
      </w:pPr>
      <w:rPr>
        <w:rFonts w:ascii="Arial" w:hAnsi="Arial" w:hint="default"/>
        <w:sz w:val="16"/>
      </w:rPr>
    </w:lvl>
    <w:lvl w:ilvl="5">
      <w:start w:val="1"/>
      <w:numFmt w:val="none"/>
      <w:lvlText w:val=""/>
      <w:lvlJc w:val="left"/>
      <w:pPr>
        <w:tabs>
          <w:tab w:val="num" w:pos="2268"/>
        </w:tabs>
        <w:ind w:left="2268" w:hanging="2268"/>
      </w:pPr>
      <w:rPr>
        <w:rFonts w:hint="eastAsia"/>
      </w:rPr>
    </w:lvl>
    <w:lvl w:ilvl="6">
      <w:start w:val="1"/>
      <w:numFmt w:val="none"/>
      <w:lvlText w:val=""/>
      <w:lvlJc w:val="left"/>
      <w:pPr>
        <w:tabs>
          <w:tab w:val="num" w:pos="2268"/>
        </w:tabs>
        <w:ind w:left="2268" w:hanging="2268"/>
      </w:pPr>
      <w:rPr>
        <w:rFonts w:hint="eastAsia"/>
      </w:rPr>
    </w:lvl>
    <w:lvl w:ilvl="7">
      <w:start w:val="1"/>
      <w:numFmt w:val="none"/>
      <w:lvlText w:val=""/>
      <w:lvlJc w:val="left"/>
      <w:pPr>
        <w:tabs>
          <w:tab w:val="num" w:pos="2268"/>
        </w:tabs>
        <w:ind w:left="2268" w:hanging="2268"/>
      </w:pPr>
      <w:rPr>
        <w:rFonts w:hint="eastAsia"/>
      </w:rPr>
    </w:lvl>
    <w:lvl w:ilvl="8">
      <w:start w:val="1"/>
      <w:numFmt w:val="none"/>
      <w:lvlText w:val=""/>
      <w:lvlJc w:val="left"/>
      <w:pPr>
        <w:tabs>
          <w:tab w:val="num" w:pos="2268"/>
        </w:tabs>
        <w:ind w:left="2268" w:hanging="2268"/>
      </w:pPr>
      <w:rPr>
        <w:rFonts w:hint="eastAsia"/>
      </w:rPr>
    </w:lvl>
  </w:abstractNum>
  <w:abstractNum w:abstractNumId="10" w15:restartNumberingAfterBreak="0">
    <w:nsid w:val="0D7A21AD"/>
    <w:multiLevelType w:val="multilevel"/>
    <w:tmpl w:val="0D7A21AD"/>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660"/>
        </w:tabs>
        <w:ind w:left="660" w:hanging="360"/>
      </w:pPr>
      <w:rPr>
        <w:rFonts w:cs="Times New Roman" w:hint="default"/>
      </w:rPr>
    </w:lvl>
    <w:lvl w:ilvl="2">
      <w:start w:val="1"/>
      <w:numFmt w:val="lowerRoman"/>
      <w:lvlText w:val="(%3)"/>
      <w:lvlJc w:val="left"/>
      <w:pPr>
        <w:tabs>
          <w:tab w:val="num" w:pos="1320"/>
        </w:tabs>
        <w:ind w:left="1320" w:hanging="720"/>
      </w:pPr>
      <w:rPr>
        <w:rFonts w:ascii="Times New Roman" w:hAnsi="Times New Roman" w:cs="Times New Roman" w:hint="default"/>
      </w:rPr>
    </w:lvl>
    <w:lvl w:ilvl="3">
      <w:start w:val="1"/>
      <w:numFmt w:val="decimal"/>
      <w:lvlText w:val="%1.%2.%3.%4"/>
      <w:lvlJc w:val="left"/>
      <w:pPr>
        <w:tabs>
          <w:tab w:val="num" w:pos="1620"/>
        </w:tabs>
        <w:ind w:left="1620" w:hanging="720"/>
      </w:pPr>
      <w:rPr>
        <w:rFonts w:cs="Times New Roman" w:hint="default"/>
      </w:rPr>
    </w:lvl>
    <w:lvl w:ilvl="4">
      <w:start w:val="1"/>
      <w:numFmt w:val="decimal"/>
      <w:lvlText w:val="%1.%2.%3.%4.%5"/>
      <w:lvlJc w:val="left"/>
      <w:pPr>
        <w:tabs>
          <w:tab w:val="num" w:pos="2280"/>
        </w:tabs>
        <w:ind w:left="2280" w:hanging="1080"/>
      </w:pPr>
      <w:rPr>
        <w:rFonts w:cs="Times New Roman" w:hint="default"/>
      </w:rPr>
    </w:lvl>
    <w:lvl w:ilvl="5">
      <w:start w:val="1"/>
      <w:numFmt w:val="decimal"/>
      <w:lvlText w:val="%1.%2.%3.%4.%5.%6"/>
      <w:lvlJc w:val="left"/>
      <w:pPr>
        <w:tabs>
          <w:tab w:val="num" w:pos="2580"/>
        </w:tabs>
        <w:ind w:left="2580" w:hanging="1080"/>
      </w:pPr>
      <w:rPr>
        <w:rFonts w:cs="Times New Roman" w:hint="default"/>
      </w:rPr>
    </w:lvl>
    <w:lvl w:ilvl="6">
      <w:start w:val="1"/>
      <w:numFmt w:val="decimal"/>
      <w:lvlText w:val="%1.%2.%3.%4.%5.%6.%7"/>
      <w:lvlJc w:val="left"/>
      <w:pPr>
        <w:tabs>
          <w:tab w:val="num" w:pos="3240"/>
        </w:tabs>
        <w:ind w:left="3240" w:hanging="1440"/>
      </w:pPr>
      <w:rPr>
        <w:rFonts w:cs="Times New Roman" w:hint="default"/>
      </w:rPr>
    </w:lvl>
    <w:lvl w:ilvl="7">
      <w:start w:val="1"/>
      <w:numFmt w:val="decimal"/>
      <w:lvlText w:val="%1.%2.%3.%4.%5.%6.%7.%8"/>
      <w:lvlJc w:val="left"/>
      <w:pPr>
        <w:tabs>
          <w:tab w:val="num" w:pos="3540"/>
        </w:tabs>
        <w:ind w:left="3540" w:hanging="1440"/>
      </w:pPr>
      <w:rPr>
        <w:rFonts w:cs="Times New Roman" w:hint="default"/>
      </w:rPr>
    </w:lvl>
    <w:lvl w:ilvl="8">
      <w:start w:val="1"/>
      <w:numFmt w:val="decimal"/>
      <w:lvlText w:val="%1.%2.%3.%4.%5.%6.%7.%8.%9"/>
      <w:lvlJc w:val="left"/>
      <w:pPr>
        <w:tabs>
          <w:tab w:val="num" w:pos="4200"/>
        </w:tabs>
        <w:ind w:left="4200" w:hanging="1800"/>
      </w:pPr>
      <w:rPr>
        <w:rFonts w:cs="Times New Roman" w:hint="default"/>
      </w:rPr>
    </w:lvl>
  </w:abstractNum>
  <w:abstractNum w:abstractNumId="11" w15:restartNumberingAfterBreak="0">
    <w:nsid w:val="125D22B6"/>
    <w:multiLevelType w:val="multilevel"/>
    <w:tmpl w:val="125D22B6"/>
    <w:lvl w:ilvl="0">
      <w:start w:val="1"/>
      <w:numFmt w:val="decimal"/>
      <w:lvlText w:val="%1、"/>
      <w:lvlJc w:val="left"/>
      <w:pPr>
        <w:tabs>
          <w:tab w:val="num" w:pos="780"/>
        </w:tabs>
        <w:ind w:left="780" w:hanging="360"/>
      </w:pPr>
      <w:rPr>
        <w:rFonts w:hint="default"/>
      </w:rPr>
    </w:lvl>
    <w:lvl w:ilvl="1">
      <w:start w:val="1"/>
      <w:numFmt w:val="decimal"/>
      <w:lvlText w:val="%2、"/>
      <w:lvlJc w:val="left"/>
      <w:pPr>
        <w:tabs>
          <w:tab w:val="num" w:pos="1200"/>
        </w:tabs>
        <w:ind w:left="1200" w:hanging="360"/>
      </w:pPr>
      <w:rPr>
        <w:rFonts w:hint="default"/>
      </w:r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2" w15:restartNumberingAfterBreak="0">
    <w:nsid w:val="189B288B"/>
    <w:multiLevelType w:val="singleLevel"/>
    <w:tmpl w:val="189B288B"/>
    <w:lvl w:ilvl="0">
      <w:start w:val="1"/>
      <w:numFmt w:val="decimal"/>
      <w:lvlText w:val="%1、"/>
      <w:lvlJc w:val="left"/>
      <w:pPr>
        <w:tabs>
          <w:tab w:val="num" w:pos="907"/>
        </w:tabs>
        <w:ind w:left="907" w:hanging="487"/>
      </w:pPr>
      <w:rPr>
        <w:rFonts w:ascii="宋体" w:eastAsia="Times New Roman" w:cs="Times New Roman" w:hint="eastAsia"/>
        <w:sz w:val="24"/>
      </w:rPr>
    </w:lvl>
  </w:abstractNum>
  <w:abstractNum w:abstractNumId="13" w15:restartNumberingAfterBreak="0">
    <w:nsid w:val="1F2C182A"/>
    <w:multiLevelType w:val="multilevel"/>
    <w:tmpl w:val="1F2C182A"/>
    <w:lvl w:ilvl="0">
      <w:start w:val="1"/>
      <w:numFmt w:val="decimal"/>
      <w:suff w:val="space"/>
      <w:lvlText w:val="%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24840B28"/>
    <w:multiLevelType w:val="multilevel"/>
    <w:tmpl w:val="24840B28"/>
    <w:lvl w:ilvl="0">
      <w:start w:val="1"/>
      <w:numFmt w:val="bullet"/>
      <w:lvlText w:val=""/>
      <w:lvlJc w:val="left"/>
      <w:pPr>
        <w:tabs>
          <w:tab w:val="num" w:pos="567"/>
        </w:tabs>
        <w:ind w:left="567" w:hanging="567"/>
      </w:pPr>
      <w:rPr>
        <w:rFonts w:ascii="Wingdings 2" w:hAnsi="Wingdings 2" w:hint="default"/>
      </w:rPr>
    </w:lvl>
    <w:lvl w:ilvl="1">
      <w:start w:val="1"/>
      <w:numFmt w:val="bullet"/>
      <w:lvlText w:val=""/>
      <w:lvlJc w:val="left"/>
      <w:pPr>
        <w:tabs>
          <w:tab w:val="num" w:pos="1134"/>
        </w:tabs>
        <w:ind w:left="1134" w:hanging="567"/>
      </w:pPr>
      <w:rPr>
        <w:rFonts w:ascii="Symbol" w:hAnsi="Symbol" w:hint="default"/>
      </w:rPr>
    </w:lvl>
    <w:lvl w:ilvl="2">
      <w:start w:val="1"/>
      <w:numFmt w:val="none"/>
      <w:lvlText w:val=""/>
      <w:lvlJc w:val="left"/>
      <w:pPr>
        <w:tabs>
          <w:tab w:val="num" w:pos="1701"/>
        </w:tabs>
        <w:ind w:left="1701" w:hanging="567"/>
      </w:pPr>
      <w:rPr>
        <w:rFonts w:hint="default"/>
      </w:rPr>
    </w:lvl>
    <w:lvl w:ilvl="3">
      <w:start w:val="1"/>
      <w:numFmt w:val="none"/>
      <w:lvlText w:val=""/>
      <w:lvlJc w:val="left"/>
      <w:pPr>
        <w:tabs>
          <w:tab w:val="num" w:pos="2268"/>
        </w:tabs>
        <w:ind w:left="2268" w:hanging="567"/>
      </w:pPr>
      <w:rPr>
        <w:rFonts w:hint="default"/>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402"/>
        </w:tabs>
        <w:ind w:left="3402" w:hanging="567"/>
      </w:pPr>
      <w:rPr>
        <w:rFonts w:hint="default"/>
      </w:rPr>
    </w:lvl>
    <w:lvl w:ilvl="7">
      <w:start w:val="1"/>
      <w:numFmt w:val="none"/>
      <w:lvlText w:val=""/>
      <w:lvlJc w:val="left"/>
      <w:pPr>
        <w:tabs>
          <w:tab w:val="num" w:pos="3969"/>
        </w:tabs>
        <w:ind w:left="3969" w:hanging="567"/>
      </w:pPr>
      <w:rPr>
        <w:rFonts w:hint="default"/>
      </w:rPr>
    </w:lvl>
    <w:lvl w:ilvl="8">
      <w:start w:val="1"/>
      <w:numFmt w:val="none"/>
      <w:lvlText w:val=""/>
      <w:lvlJc w:val="left"/>
      <w:pPr>
        <w:tabs>
          <w:tab w:val="num" w:pos="5103"/>
        </w:tabs>
        <w:ind w:left="5103" w:hanging="567"/>
      </w:pPr>
      <w:rPr>
        <w:rFonts w:hint="default"/>
      </w:rPr>
    </w:lvl>
  </w:abstractNum>
  <w:abstractNum w:abstractNumId="15" w15:restartNumberingAfterBreak="0">
    <w:nsid w:val="2F9A7347"/>
    <w:multiLevelType w:val="multilevel"/>
    <w:tmpl w:val="2F9A7347"/>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none"/>
      <w:lvlText w:val="%3"/>
      <w:lvlJc w:val="left"/>
      <w:pPr>
        <w:tabs>
          <w:tab w:val="num" w:pos="1701"/>
        </w:tabs>
        <w:ind w:left="1701" w:hanging="567"/>
      </w:pPr>
      <w:rPr>
        <w:rFonts w:hint="default"/>
      </w:rPr>
    </w:lvl>
    <w:lvl w:ilvl="3">
      <w:start w:val="1"/>
      <w:numFmt w:val="none"/>
      <w:lvlText w:val=""/>
      <w:lvlJc w:val="left"/>
      <w:pPr>
        <w:tabs>
          <w:tab w:val="num" w:pos="2268"/>
        </w:tabs>
        <w:ind w:left="2268" w:hanging="567"/>
      </w:pPr>
      <w:rPr>
        <w:rFonts w:hint="default"/>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3402"/>
        </w:tabs>
        <w:ind w:left="3402" w:hanging="567"/>
      </w:pPr>
      <w:rPr>
        <w:rFonts w:hint="default"/>
      </w:rPr>
    </w:lvl>
    <w:lvl w:ilvl="6">
      <w:start w:val="1"/>
      <w:numFmt w:val="none"/>
      <w:lvlText w:val="%7"/>
      <w:lvlJc w:val="left"/>
      <w:pPr>
        <w:tabs>
          <w:tab w:val="num" w:pos="3969"/>
        </w:tabs>
        <w:ind w:left="3969" w:hanging="567"/>
      </w:pPr>
      <w:rPr>
        <w:rFonts w:hint="default"/>
      </w:rPr>
    </w:lvl>
    <w:lvl w:ilvl="7">
      <w:start w:val="1"/>
      <w:numFmt w:val="none"/>
      <w:lvlText w:val="%8"/>
      <w:lvlJc w:val="left"/>
      <w:pPr>
        <w:tabs>
          <w:tab w:val="num" w:pos="4896"/>
        </w:tabs>
        <w:ind w:left="4896" w:hanging="567"/>
      </w:pPr>
      <w:rPr>
        <w:rFonts w:hint="default"/>
      </w:rPr>
    </w:lvl>
    <w:lvl w:ilvl="8">
      <w:start w:val="1"/>
      <w:numFmt w:val="none"/>
      <w:lvlText w:val="%9"/>
      <w:lvlJc w:val="left"/>
      <w:pPr>
        <w:tabs>
          <w:tab w:val="num" w:pos="4536"/>
        </w:tabs>
        <w:ind w:left="4536" w:hanging="567"/>
      </w:pPr>
      <w:rPr>
        <w:rFonts w:hint="default"/>
      </w:rPr>
    </w:lvl>
  </w:abstractNum>
  <w:abstractNum w:abstractNumId="16" w15:restartNumberingAfterBreak="0">
    <w:nsid w:val="3B07465D"/>
    <w:multiLevelType w:val="multilevel"/>
    <w:tmpl w:val="3B07465D"/>
    <w:lvl w:ilvl="0">
      <w:start w:val="1"/>
      <w:numFmt w:val="chineseCountingThousand"/>
      <w:lvlText w:val="（%1）"/>
      <w:lvlJc w:val="left"/>
      <w:pPr>
        <w:tabs>
          <w:tab w:val="num" w:pos="840"/>
        </w:tabs>
        <w:ind w:left="840" w:hanging="360"/>
      </w:pPr>
      <w:rPr>
        <w:rFonts w:eastAsia="黑体" w:hint="eastAsia"/>
        <w:sz w:val="24"/>
        <w:szCs w:val="24"/>
      </w:rPr>
    </w:lvl>
    <w:lvl w:ilvl="1">
      <w:start w:val="1"/>
      <w:numFmt w:val="decimal"/>
      <w:lvlText w:val="%2、"/>
      <w:lvlJc w:val="left"/>
      <w:pPr>
        <w:tabs>
          <w:tab w:val="num" w:pos="780"/>
        </w:tabs>
        <w:ind w:left="780" w:hanging="360"/>
      </w:pPr>
      <w:rPr>
        <w:rFonts w:ascii="Times New Roman" w:hAnsi="Times New Roman" w:cs="Times New Roman" w:hint="default"/>
        <w:sz w:val="24"/>
        <w:szCs w:val="24"/>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15:restartNumberingAfterBreak="0">
    <w:nsid w:val="3C3F01FB"/>
    <w:multiLevelType w:val="multilevel"/>
    <w:tmpl w:val="3C3F01FB"/>
    <w:lvl w:ilvl="0">
      <w:start w:val="1"/>
      <w:numFmt w:val="upperLetter"/>
      <w:lvlText w:val="%1."/>
      <w:lvlJc w:val="left"/>
      <w:pPr>
        <w:tabs>
          <w:tab w:val="num" w:pos="1440"/>
        </w:tabs>
        <w:ind w:left="1440" w:hanging="720"/>
      </w:pPr>
      <w:rPr>
        <w:rFonts w:hint="default"/>
      </w:rPr>
    </w:lvl>
    <w:lvl w:ilvl="1">
      <w:start w:val="1"/>
      <w:numFmt w:val="lowerLetter"/>
      <w:lvlText w:val="（%2）"/>
      <w:lvlJc w:val="left"/>
      <w:pPr>
        <w:tabs>
          <w:tab w:val="num" w:pos="1800"/>
        </w:tabs>
        <w:ind w:left="1800" w:hanging="720"/>
      </w:pPr>
      <w:rPr>
        <w:rFonts w:hint="eastAsia"/>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38B6108"/>
    <w:multiLevelType w:val="multilevel"/>
    <w:tmpl w:val="438B6108"/>
    <w:lvl w:ilvl="0">
      <w:start w:val="1"/>
      <w:numFmt w:val="decimal"/>
      <w:lvlText w:val="%1、"/>
      <w:lvlJc w:val="left"/>
      <w:pPr>
        <w:tabs>
          <w:tab w:val="num" w:pos="0"/>
        </w:tabs>
        <w:ind w:left="0" w:firstLine="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15:restartNumberingAfterBreak="0">
    <w:nsid w:val="482E533D"/>
    <w:multiLevelType w:val="multilevel"/>
    <w:tmpl w:val="482E533D"/>
    <w:lvl w:ilvl="0">
      <w:start w:val="1"/>
      <w:numFmt w:val="bullet"/>
      <w:lvlText w:val=""/>
      <w:lvlJc w:val="left"/>
      <w:pPr>
        <w:tabs>
          <w:tab w:val="num" w:pos="1134"/>
        </w:tabs>
        <w:ind w:left="1134" w:hanging="567"/>
      </w:pPr>
      <w:rPr>
        <w:rFonts w:ascii="Wingdings 2" w:hAnsi="Wingdings 2" w:hint="default"/>
      </w:rPr>
    </w:lvl>
    <w:lvl w:ilvl="1">
      <w:start w:val="1"/>
      <w:numFmt w:val="bullet"/>
      <w:lvlText w:val=""/>
      <w:lvlJc w:val="left"/>
      <w:pPr>
        <w:tabs>
          <w:tab w:val="num" w:pos="1701"/>
        </w:tabs>
        <w:ind w:left="1701" w:hanging="567"/>
      </w:pPr>
      <w:rPr>
        <w:rFonts w:ascii="Symbol" w:hAnsi="Symbol" w:hint="default"/>
      </w:rPr>
    </w:lvl>
    <w:lvl w:ilvl="2">
      <w:start w:val="1"/>
      <w:numFmt w:val="none"/>
      <w:lvlText w:val=""/>
      <w:lvlJc w:val="left"/>
      <w:pPr>
        <w:tabs>
          <w:tab w:val="num" w:pos="2268"/>
        </w:tabs>
        <w:ind w:left="2268" w:hanging="567"/>
      </w:pPr>
      <w:rPr>
        <w:rFonts w:hint="eastAsia"/>
      </w:rPr>
    </w:lvl>
    <w:lvl w:ilvl="3">
      <w:start w:val="1"/>
      <w:numFmt w:val="none"/>
      <w:lvlText w:val=""/>
      <w:lvlJc w:val="left"/>
      <w:pPr>
        <w:tabs>
          <w:tab w:val="num" w:pos="2268"/>
        </w:tabs>
        <w:ind w:left="2268" w:hanging="567"/>
      </w:pPr>
      <w:rPr>
        <w:rFonts w:hint="eastAsia"/>
      </w:rPr>
    </w:lvl>
    <w:lvl w:ilvl="4">
      <w:start w:val="1"/>
      <w:numFmt w:val="none"/>
      <w:lvlText w:val=""/>
      <w:lvlJc w:val="left"/>
      <w:pPr>
        <w:tabs>
          <w:tab w:val="num" w:pos="2268"/>
        </w:tabs>
        <w:ind w:left="2268" w:hanging="567"/>
      </w:pPr>
      <w:rPr>
        <w:rFonts w:hint="eastAsia"/>
      </w:rPr>
    </w:lvl>
    <w:lvl w:ilvl="5">
      <w:start w:val="1"/>
      <w:numFmt w:val="none"/>
      <w:lvlText w:val=""/>
      <w:lvlJc w:val="left"/>
      <w:pPr>
        <w:tabs>
          <w:tab w:val="num" w:pos="2268"/>
        </w:tabs>
        <w:ind w:left="2268" w:hanging="567"/>
      </w:pPr>
      <w:rPr>
        <w:rFonts w:hint="eastAsia"/>
      </w:rPr>
    </w:lvl>
    <w:lvl w:ilvl="6">
      <w:start w:val="1"/>
      <w:numFmt w:val="none"/>
      <w:lvlText w:val=""/>
      <w:lvlJc w:val="left"/>
      <w:pPr>
        <w:tabs>
          <w:tab w:val="num" w:pos="2268"/>
        </w:tabs>
        <w:ind w:left="2268" w:hanging="567"/>
      </w:pPr>
      <w:rPr>
        <w:rFonts w:hint="eastAsia"/>
      </w:rPr>
    </w:lvl>
    <w:lvl w:ilvl="7">
      <w:start w:val="1"/>
      <w:numFmt w:val="none"/>
      <w:lvlText w:val=""/>
      <w:lvlJc w:val="left"/>
      <w:pPr>
        <w:tabs>
          <w:tab w:val="num" w:pos="2268"/>
        </w:tabs>
        <w:ind w:left="2268" w:hanging="567"/>
      </w:pPr>
      <w:rPr>
        <w:rFonts w:hint="eastAsia"/>
      </w:rPr>
    </w:lvl>
    <w:lvl w:ilvl="8">
      <w:start w:val="1"/>
      <w:numFmt w:val="none"/>
      <w:lvlText w:val=""/>
      <w:lvlJc w:val="left"/>
      <w:pPr>
        <w:tabs>
          <w:tab w:val="num" w:pos="2268"/>
        </w:tabs>
        <w:ind w:left="2268" w:hanging="567"/>
      </w:pPr>
      <w:rPr>
        <w:rFonts w:hint="eastAsia"/>
      </w:rPr>
    </w:lvl>
  </w:abstractNum>
  <w:abstractNum w:abstractNumId="20" w15:restartNumberingAfterBreak="0">
    <w:nsid w:val="4B000881"/>
    <w:multiLevelType w:val="multilevel"/>
    <w:tmpl w:val="4B000881"/>
    <w:lvl w:ilvl="0">
      <w:start w:val="1"/>
      <w:numFmt w:val="chineseCountingThousand"/>
      <w:lvlText w:val="（%1）"/>
      <w:lvlJc w:val="left"/>
      <w:pPr>
        <w:tabs>
          <w:tab w:val="num" w:pos="720"/>
        </w:tabs>
        <w:ind w:left="720" w:hanging="360"/>
      </w:pPr>
      <w:rPr>
        <w:rFonts w:cs="Times New Roman" w:hint="default"/>
      </w:rPr>
    </w:lvl>
    <w:lvl w:ilvl="1">
      <w:start w:val="1"/>
      <w:numFmt w:val="decimal"/>
      <w:lvlText w:val="%2、"/>
      <w:lvlJc w:val="left"/>
      <w:pPr>
        <w:tabs>
          <w:tab w:val="num" w:pos="1140"/>
        </w:tabs>
        <w:ind w:left="1140" w:hanging="720"/>
      </w:pPr>
      <w:rPr>
        <w:rFonts w:cs="Times New Roman" w:hint="default"/>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21" w15:restartNumberingAfterBreak="0">
    <w:nsid w:val="50644A15"/>
    <w:multiLevelType w:val="multilevel"/>
    <w:tmpl w:val="50644A15"/>
    <w:lvl w:ilvl="0">
      <w:start w:val="1"/>
      <w:numFmt w:val="decimal"/>
      <w:lvlText w:val="%1．"/>
      <w:lvlJc w:val="left"/>
      <w:pPr>
        <w:tabs>
          <w:tab w:val="num" w:pos="720"/>
        </w:tabs>
        <w:ind w:left="0" w:firstLine="0"/>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2" w15:restartNumberingAfterBreak="0">
    <w:nsid w:val="6212B59E"/>
    <w:multiLevelType w:val="singleLevel"/>
    <w:tmpl w:val="6212B59E"/>
    <w:lvl w:ilvl="0">
      <w:start w:val="4"/>
      <w:numFmt w:val="chineseCounting"/>
      <w:suff w:val="nothing"/>
      <w:lvlText w:val="（%1）"/>
      <w:lvlJc w:val="left"/>
      <w:rPr>
        <w:rFonts w:hint="eastAsia"/>
      </w:rPr>
    </w:lvl>
  </w:abstractNum>
  <w:abstractNum w:abstractNumId="23" w15:restartNumberingAfterBreak="0">
    <w:nsid w:val="6F0D2794"/>
    <w:multiLevelType w:val="multilevel"/>
    <w:tmpl w:val="6F0D2794"/>
    <w:lvl w:ilvl="0">
      <w:start w:val="1"/>
      <w:numFmt w:val="bullet"/>
      <w:lvlText w:val=""/>
      <w:lvlJc w:val="left"/>
      <w:pPr>
        <w:ind w:left="84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76933334"/>
    <w:multiLevelType w:val="multilevel"/>
    <w:tmpl w:val="76933334"/>
    <w:lvl w:ilvl="0">
      <w:start w:val="1"/>
      <w:numFmt w:val="none"/>
      <w:lvlText w:val="%1——"/>
      <w:lvlJc w:val="left"/>
      <w:pPr>
        <w:tabs>
          <w:tab w:val="num" w:pos="1140"/>
        </w:tabs>
        <w:ind w:left="84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5" w15:restartNumberingAfterBreak="0">
    <w:nsid w:val="7F84417F"/>
    <w:multiLevelType w:val="multilevel"/>
    <w:tmpl w:val="7F84417F"/>
    <w:lvl w:ilvl="0">
      <w:start w:val="1"/>
      <w:numFmt w:val="decimal"/>
      <w:suff w:val="space"/>
      <w:lvlText w:val="%1"/>
      <w:lvlJc w:val="center"/>
      <w:pPr>
        <w:ind w:left="728" w:hanging="440"/>
      </w:pPr>
      <w:rPr>
        <w:rFonts w:ascii="Times New Roman" w:eastAsia="宋体" w:hAnsi="Times New Roman" w:hint="default"/>
        <w:b w:val="0"/>
        <w:i w:val="0"/>
        <w:sz w:val="18"/>
        <w:szCs w:val="18"/>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436753047">
    <w:abstractNumId w:val="19"/>
  </w:num>
  <w:num w:numId="2" w16cid:durableId="534776359">
    <w:abstractNumId w:val="5"/>
  </w:num>
  <w:num w:numId="3" w16cid:durableId="914897720">
    <w:abstractNumId w:val="15"/>
  </w:num>
  <w:num w:numId="4" w16cid:durableId="10841276">
    <w:abstractNumId w:val="14"/>
  </w:num>
  <w:num w:numId="5" w16cid:durableId="744451371">
    <w:abstractNumId w:val="6"/>
  </w:num>
  <w:num w:numId="6" w16cid:durableId="1422264355">
    <w:abstractNumId w:val="3"/>
  </w:num>
  <w:num w:numId="7" w16cid:durableId="1383556991">
    <w:abstractNumId w:val="4"/>
  </w:num>
  <w:num w:numId="8" w16cid:durableId="928924611">
    <w:abstractNumId w:val="2"/>
  </w:num>
  <w:num w:numId="9" w16cid:durableId="1353528089">
    <w:abstractNumId w:val="1"/>
  </w:num>
  <w:num w:numId="10" w16cid:durableId="1926496798">
    <w:abstractNumId w:val="18"/>
  </w:num>
  <w:num w:numId="11" w16cid:durableId="1863517129">
    <w:abstractNumId w:val="17"/>
  </w:num>
  <w:num w:numId="12" w16cid:durableId="17233640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72929990">
    <w:abstractNumId w:val="9"/>
  </w:num>
  <w:num w:numId="14" w16cid:durableId="1447233145">
    <w:abstractNumId w:val="24"/>
  </w:num>
  <w:num w:numId="15" w16cid:durableId="157382154">
    <w:abstractNumId w:val="21"/>
  </w:num>
  <w:num w:numId="16" w16cid:durableId="714234289">
    <w:abstractNumId w:val="12"/>
  </w:num>
  <w:num w:numId="17" w16cid:durableId="681398077">
    <w:abstractNumId w:val="8"/>
  </w:num>
  <w:num w:numId="18" w16cid:durableId="209194759">
    <w:abstractNumId w:val="7"/>
  </w:num>
  <w:num w:numId="19" w16cid:durableId="1134980244">
    <w:abstractNumId w:val="16"/>
  </w:num>
  <w:num w:numId="20" w16cid:durableId="1269511766">
    <w:abstractNumId w:val="23"/>
  </w:num>
  <w:num w:numId="21" w16cid:durableId="1232696289">
    <w:abstractNumId w:val="10"/>
  </w:num>
  <w:num w:numId="22" w16cid:durableId="1483040312">
    <w:abstractNumId w:val="20"/>
  </w:num>
  <w:num w:numId="23" w16cid:durableId="1370105304">
    <w:abstractNumId w:val="0"/>
  </w:num>
  <w:num w:numId="24" w16cid:durableId="2042199522">
    <w:abstractNumId w:val="22"/>
  </w:num>
  <w:num w:numId="25" w16cid:durableId="172650168">
    <w:abstractNumId w:val="13"/>
  </w:num>
  <w:num w:numId="26" w16cid:durableId="176452210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0"/>
  <w:defaultTabStop w:val="4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TczMDk0NGNiYTAzMzJiY2IzNjYyZDU0Y2MzYzFhYWIifQ=="/>
  </w:docVars>
  <w:rsids>
    <w:rsidRoot w:val="00326341"/>
    <w:rsid w:val="000003C7"/>
    <w:rsid w:val="000004D2"/>
    <w:rsid w:val="00002E51"/>
    <w:rsid w:val="00003093"/>
    <w:rsid w:val="0000360C"/>
    <w:rsid w:val="00004CF8"/>
    <w:rsid w:val="00004FE2"/>
    <w:rsid w:val="000058B6"/>
    <w:rsid w:val="000062A9"/>
    <w:rsid w:val="000064E3"/>
    <w:rsid w:val="00006617"/>
    <w:rsid w:val="00006C89"/>
    <w:rsid w:val="00007481"/>
    <w:rsid w:val="00007522"/>
    <w:rsid w:val="000106BB"/>
    <w:rsid w:val="0001419D"/>
    <w:rsid w:val="0001480E"/>
    <w:rsid w:val="000150CD"/>
    <w:rsid w:val="00015E53"/>
    <w:rsid w:val="00015F32"/>
    <w:rsid w:val="00017638"/>
    <w:rsid w:val="00017C42"/>
    <w:rsid w:val="0002095D"/>
    <w:rsid w:val="0002106C"/>
    <w:rsid w:val="0002140B"/>
    <w:rsid w:val="0002174A"/>
    <w:rsid w:val="0002197F"/>
    <w:rsid w:val="00021D88"/>
    <w:rsid w:val="000220C3"/>
    <w:rsid w:val="00024615"/>
    <w:rsid w:val="00024A3E"/>
    <w:rsid w:val="00024A83"/>
    <w:rsid w:val="00024AC5"/>
    <w:rsid w:val="00024E43"/>
    <w:rsid w:val="00024F0D"/>
    <w:rsid w:val="00026F5F"/>
    <w:rsid w:val="0002770E"/>
    <w:rsid w:val="00027B9E"/>
    <w:rsid w:val="00030993"/>
    <w:rsid w:val="00030EFC"/>
    <w:rsid w:val="00030FBF"/>
    <w:rsid w:val="000314B3"/>
    <w:rsid w:val="0003163B"/>
    <w:rsid w:val="00031AC6"/>
    <w:rsid w:val="00031E4E"/>
    <w:rsid w:val="000328BC"/>
    <w:rsid w:val="00032C04"/>
    <w:rsid w:val="0003302D"/>
    <w:rsid w:val="000342EC"/>
    <w:rsid w:val="00034A97"/>
    <w:rsid w:val="00034C20"/>
    <w:rsid w:val="00035406"/>
    <w:rsid w:val="000355CD"/>
    <w:rsid w:val="00035CA8"/>
    <w:rsid w:val="00036A70"/>
    <w:rsid w:val="00036BBE"/>
    <w:rsid w:val="00037329"/>
    <w:rsid w:val="00037C19"/>
    <w:rsid w:val="00037C2C"/>
    <w:rsid w:val="00041380"/>
    <w:rsid w:val="00041A3A"/>
    <w:rsid w:val="00041B69"/>
    <w:rsid w:val="000430F7"/>
    <w:rsid w:val="00044797"/>
    <w:rsid w:val="00044FD5"/>
    <w:rsid w:val="00045212"/>
    <w:rsid w:val="00045CE0"/>
    <w:rsid w:val="00046607"/>
    <w:rsid w:val="000467F2"/>
    <w:rsid w:val="00051671"/>
    <w:rsid w:val="00052AAF"/>
    <w:rsid w:val="00053350"/>
    <w:rsid w:val="00053ACA"/>
    <w:rsid w:val="00054997"/>
    <w:rsid w:val="000552E1"/>
    <w:rsid w:val="0005541F"/>
    <w:rsid w:val="00056BAA"/>
    <w:rsid w:val="00057B6A"/>
    <w:rsid w:val="00057F00"/>
    <w:rsid w:val="00060184"/>
    <w:rsid w:val="0006045D"/>
    <w:rsid w:val="00061132"/>
    <w:rsid w:val="00063754"/>
    <w:rsid w:val="00063A1B"/>
    <w:rsid w:val="000647EE"/>
    <w:rsid w:val="00064A71"/>
    <w:rsid w:val="000651D7"/>
    <w:rsid w:val="00065CC3"/>
    <w:rsid w:val="00066BD8"/>
    <w:rsid w:val="00067767"/>
    <w:rsid w:val="00067A5F"/>
    <w:rsid w:val="00070F28"/>
    <w:rsid w:val="000718DF"/>
    <w:rsid w:val="00072246"/>
    <w:rsid w:val="000732BB"/>
    <w:rsid w:val="00073704"/>
    <w:rsid w:val="00073B10"/>
    <w:rsid w:val="000748AA"/>
    <w:rsid w:val="00074F1D"/>
    <w:rsid w:val="00074F32"/>
    <w:rsid w:val="00075C37"/>
    <w:rsid w:val="00075E5B"/>
    <w:rsid w:val="000766A1"/>
    <w:rsid w:val="000766AD"/>
    <w:rsid w:val="00076BA8"/>
    <w:rsid w:val="00076E7A"/>
    <w:rsid w:val="000775E9"/>
    <w:rsid w:val="00080186"/>
    <w:rsid w:val="000801C2"/>
    <w:rsid w:val="000803C5"/>
    <w:rsid w:val="000815B4"/>
    <w:rsid w:val="0008269C"/>
    <w:rsid w:val="00083019"/>
    <w:rsid w:val="00083117"/>
    <w:rsid w:val="0008372A"/>
    <w:rsid w:val="000839FB"/>
    <w:rsid w:val="00084CF2"/>
    <w:rsid w:val="0008609F"/>
    <w:rsid w:val="00086964"/>
    <w:rsid w:val="00086CA0"/>
    <w:rsid w:val="00086E40"/>
    <w:rsid w:val="00086F19"/>
    <w:rsid w:val="00087676"/>
    <w:rsid w:val="00090872"/>
    <w:rsid w:val="00090BB7"/>
    <w:rsid w:val="00090DA0"/>
    <w:rsid w:val="00091900"/>
    <w:rsid w:val="00091B04"/>
    <w:rsid w:val="00092D9A"/>
    <w:rsid w:val="00093597"/>
    <w:rsid w:val="00093671"/>
    <w:rsid w:val="000937C2"/>
    <w:rsid w:val="000940B2"/>
    <w:rsid w:val="00094DBD"/>
    <w:rsid w:val="00096296"/>
    <w:rsid w:val="00096AFC"/>
    <w:rsid w:val="00096F65"/>
    <w:rsid w:val="000970AD"/>
    <w:rsid w:val="000A000A"/>
    <w:rsid w:val="000A05FE"/>
    <w:rsid w:val="000A0677"/>
    <w:rsid w:val="000A115D"/>
    <w:rsid w:val="000A2A02"/>
    <w:rsid w:val="000A3EF8"/>
    <w:rsid w:val="000A3F7B"/>
    <w:rsid w:val="000A44F7"/>
    <w:rsid w:val="000A48A4"/>
    <w:rsid w:val="000A4F2B"/>
    <w:rsid w:val="000A57EA"/>
    <w:rsid w:val="000A609E"/>
    <w:rsid w:val="000A62B6"/>
    <w:rsid w:val="000B18DD"/>
    <w:rsid w:val="000B212F"/>
    <w:rsid w:val="000B2BB4"/>
    <w:rsid w:val="000B3BD9"/>
    <w:rsid w:val="000B3DBA"/>
    <w:rsid w:val="000B4213"/>
    <w:rsid w:val="000B44DA"/>
    <w:rsid w:val="000B51EC"/>
    <w:rsid w:val="000B53B8"/>
    <w:rsid w:val="000B551B"/>
    <w:rsid w:val="000B56DA"/>
    <w:rsid w:val="000B5E56"/>
    <w:rsid w:val="000B64B8"/>
    <w:rsid w:val="000B6699"/>
    <w:rsid w:val="000B68B4"/>
    <w:rsid w:val="000B76B2"/>
    <w:rsid w:val="000C0634"/>
    <w:rsid w:val="000C298B"/>
    <w:rsid w:val="000C2C04"/>
    <w:rsid w:val="000C3609"/>
    <w:rsid w:val="000C3712"/>
    <w:rsid w:val="000C3D21"/>
    <w:rsid w:val="000C3DAB"/>
    <w:rsid w:val="000C6252"/>
    <w:rsid w:val="000C66D9"/>
    <w:rsid w:val="000C71BF"/>
    <w:rsid w:val="000C7336"/>
    <w:rsid w:val="000D08EB"/>
    <w:rsid w:val="000D246F"/>
    <w:rsid w:val="000D2EC9"/>
    <w:rsid w:val="000D3B6C"/>
    <w:rsid w:val="000D4BF2"/>
    <w:rsid w:val="000D520C"/>
    <w:rsid w:val="000D5714"/>
    <w:rsid w:val="000D5DA6"/>
    <w:rsid w:val="000D6301"/>
    <w:rsid w:val="000D7B0C"/>
    <w:rsid w:val="000E0A94"/>
    <w:rsid w:val="000E153C"/>
    <w:rsid w:val="000E26D6"/>
    <w:rsid w:val="000E2825"/>
    <w:rsid w:val="000E3C3D"/>
    <w:rsid w:val="000E5360"/>
    <w:rsid w:val="000E6146"/>
    <w:rsid w:val="000E7AD7"/>
    <w:rsid w:val="000F0239"/>
    <w:rsid w:val="000F04F2"/>
    <w:rsid w:val="000F0A08"/>
    <w:rsid w:val="000F0E6E"/>
    <w:rsid w:val="000F1AC7"/>
    <w:rsid w:val="000F2743"/>
    <w:rsid w:val="000F2C3A"/>
    <w:rsid w:val="000F302A"/>
    <w:rsid w:val="000F4C8E"/>
    <w:rsid w:val="000F5928"/>
    <w:rsid w:val="000F672D"/>
    <w:rsid w:val="000F6D72"/>
    <w:rsid w:val="000F7F3B"/>
    <w:rsid w:val="00100014"/>
    <w:rsid w:val="0010028F"/>
    <w:rsid w:val="0010052E"/>
    <w:rsid w:val="001008A2"/>
    <w:rsid w:val="001009D7"/>
    <w:rsid w:val="00100F6F"/>
    <w:rsid w:val="001019EB"/>
    <w:rsid w:val="0010290A"/>
    <w:rsid w:val="001058D4"/>
    <w:rsid w:val="00105CF2"/>
    <w:rsid w:val="00105EAD"/>
    <w:rsid w:val="001071A8"/>
    <w:rsid w:val="00107426"/>
    <w:rsid w:val="00111578"/>
    <w:rsid w:val="001116BB"/>
    <w:rsid w:val="00111F35"/>
    <w:rsid w:val="001121B9"/>
    <w:rsid w:val="001127E2"/>
    <w:rsid w:val="001127EC"/>
    <w:rsid w:val="00112BE5"/>
    <w:rsid w:val="00112D28"/>
    <w:rsid w:val="00113220"/>
    <w:rsid w:val="001163F2"/>
    <w:rsid w:val="0011644C"/>
    <w:rsid w:val="00120212"/>
    <w:rsid w:val="00121B1C"/>
    <w:rsid w:val="00121D40"/>
    <w:rsid w:val="00122CD8"/>
    <w:rsid w:val="0012344C"/>
    <w:rsid w:val="00123744"/>
    <w:rsid w:val="00124334"/>
    <w:rsid w:val="00125CA0"/>
    <w:rsid w:val="00126040"/>
    <w:rsid w:val="00126129"/>
    <w:rsid w:val="0012664D"/>
    <w:rsid w:val="0012665B"/>
    <w:rsid w:val="001267C6"/>
    <w:rsid w:val="00130FD0"/>
    <w:rsid w:val="001321E8"/>
    <w:rsid w:val="0013258A"/>
    <w:rsid w:val="00132646"/>
    <w:rsid w:val="001326B0"/>
    <w:rsid w:val="0013287E"/>
    <w:rsid w:val="00133674"/>
    <w:rsid w:val="00133E1C"/>
    <w:rsid w:val="00133FE4"/>
    <w:rsid w:val="0013419B"/>
    <w:rsid w:val="0013440E"/>
    <w:rsid w:val="0013487E"/>
    <w:rsid w:val="0013489D"/>
    <w:rsid w:val="0013498C"/>
    <w:rsid w:val="00134B03"/>
    <w:rsid w:val="00134F5B"/>
    <w:rsid w:val="00135167"/>
    <w:rsid w:val="00135181"/>
    <w:rsid w:val="00135229"/>
    <w:rsid w:val="001357E6"/>
    <w:rsid w:val="0013607C"/>
    <w:rsid w:val="00136399"/>
    <w:rsid w:val="001363B5"/>
    <w:rsid w:val="0013655C"/>
    <w:rsid w:val="00137C76"/>
    <w:rsid w:val="00137E8F"/>
    <w:rsid w:val="00137F77"/>
    <w:rsid w:val="001404F1"/>
    <w:rsid w:val="001408DB"/>
    <w:rsid w:val="00140EE2"/>
    <w:rsid w:val="0014186F"/>
    <w:rsid w:val="00141E04"/>
    <w:rsid w:val="00142D57"/>
    <w:rsid w:val="00143886"/>
    <w:rsid w:val="00143E6B"/>
    <w:rsid w:val="00144EA0"/>
    <w:rsid w:val="00145120"/>
    <w:rsid w:val="00145677"/>
    <w:rsid w:val="001458B6"/>
    <w:rsid w:val="001468E3"/>
    <w:rsid w:val="0015046F"/>
    <w:rsid w:val="0015102F"/>
    <w:rsid w:val="0015107E"/>
    <w:rsid w:val="00151A58"/>
    <w:rsid w:val="00151CAD"/>
    <w:rsid w:val="0015215D"/>
    <w:rsid w:val="00152685"/>
    <w:rsid w:val="00152CB6"/>
    <w:rsid w:val="001538DD"/>
    <w:rsid w:val="001542D5"/>
    <w:rsid w:val="001542E2"/>
    <w:rsid w:val="00154F74"/>
    <w:rsid w:val="0015551B"/>
    <w:rsid w:val="001556FC"/>
    <w:rsid w:val="001564D1"/>
    <w:rsid w:val="00156D3C"/>
    <w:rsid w:val="001613EA"/>
    <w:rsid w:val="001617FE"/>
    <w:rsid w:val="00161A8D"/>
    <w:rsid w:val="0016209E"/>
    <w:rsid w:val="001621D8"/>
    <w:rsid w:val="00162A4E"/>
    <w:rsid w:val="00162C21"/>
    <w:rsid w:val="00162C74"/>
    <w:rsid w:val="00163B8E"/>
    <w:rsid w:val="001646BC"/>
    <w:rsid w:val="00164C67"/>
    <w:rsid w:val="00165628"/>
    <w:rsid w:val="00165CD2"/>
    <w:rsid w:val="00167C14"/>
    <w:rsid w:val="001705B9"/>
    <w:rsid w:val="00172B16"/>
    <w:rsid w:val="001758BB"/>
    <w:rsid w:val="0017682F"/>
    <w:rsid w:val="00176975"/>
    <w:rsid w:val="00176DFF"/>
    <w:rsid w:val="001779BF"/>
    <w:rsid w:val="00177A5F"/>
    <w:rsid w:val="00180923"/>
    <w:rsid w:val="00181878"/>
    <w:rsid w:val="00181DE9"/>
    <w:rsid w:val="0018218A"/>
    <w:rsid w:val="00182CAD"/>
    <w:rsid w:val="00182E0F"/>
    <w:rsid w:val="00183BA2"/>
    <w:rsid w:val="001842F9"/>
    <w:rsid w:val="00186479"/>
    <w:rsid w:val="001902F1"/>
    <w:rsid w:val="00190B2B"/>
    <w:rsid w:val="00190DB3"/>
    <w:rsid w:val="001927D6"/>
    <w:rsid w:val="0019338F"/>
    <w:rsid w:val="00193593"/>
    <w:rsid w:val="001938B4"/>
    <w:rsid w:val="00193F72"/>
    <w:rsid w:val="001960B3"/>
    <w:rsid w:val="00196D8A"/>
    <w:rsid w:val="001973D2"/>
    <w:rsid w:val="001978EA"/>
    <w:rsid w:val="001A1468"/>
    <w:rsid w:val="001A1B3B"/>
    <w:rsid w:val="001A1E75"/>
    <w:rsid w:val="001A24A0"/>
    <w:rsid w:val="001A3636"/>
    <w:rsid w:val="001A3645"/>
    <w:rsid w:val="001A3EC5"/>
    <w:rsid w:val="001A44D2"/>
    <w:rsid w:val="001A48F3"/>
    <w:rsid w:val="001A5361"/>
    <w:rsid w:val="001A5382"/>
    <w:rsid w:val="001A5C7E"/>
    <w:rsid w:val="001A798C"/>
    <w:rsid w:val="001B09D4"/>
    <w:rsid w:val="001B0D22"/>
    <w:rsid w:val="001B1292"/>
    <w:rsid w:val="001B2283"/>
    <w:rsid w:val="001B2645"/>
    <w:rsid w:val="001B37E1"/>
    <w:rsid w:val="001B42CD"/>
    <w:rsid w:val="001B509D"/>
    <w:rsid w:val="001B5E84"/>
    <w:rsid w:val="001B6416"/>
    <w:rsid w:val="001B6AFE"/>
    <w:rsid w:val="001B7548"/>
    <w:rsid w:val="001B763D"/>
    <w:rsid w:val="001C18A6"/>
    <w:rsid w:val="001C21BD"/>
    <w:rsid w:val="001C2442"/>
    <w:rsid w:val="001C279B"/>
    <w:rsid w:val="001C3463"/>
    <w:rsid w:val="001C4106"/>
    <w:rsid w:val="001C4B61"/>
    <w:rsid w:val="001C524C"/>
    <w:rsid w:val="001C74D9"/>
    <w:rsid w:val="001C75ED"/>
    <w:rsid w:val="001C7A29"/>
    <w:rsid w:val="001D0FEF"/>
    <w:rsid w:val="001D2018"/>
    <w:rsid w:val="001D30AC"/>
    <w:rsid w:val="001D37C1"/>
    <w:rsid w:val="001D4CB9"/>
    <w:rsid w:val="001D570A"/>
    <w:rsid w:val="001D718D"/>
    <w:rsid w:val="001D7A2E"/>
    <w:rsid w:val="001E02DE"/>
    <w:rsid w:val="001E0975"/>
    <w:rsid w:val="001E0BDB"/>
    <w:rsid w:val="001E257A"/>
    <w:rsid w:val="001E2C58"/>
    <w:rsid w:val="001E3313"/>
    <w:rsid w:val="001E3812"/>
    <w:rsid w:val="001E385B"/>
    <w:rsid w:val="001E40B5"/>
    <w:rsid w:val="001E4851"/>
    <w:rsid w:val="001E4C87"/>
    <w:rsid w:val="001E4E23"/>
    <w:rsid w:val="001E5C44"/>
    <w:rsid w:val="001E71E7"/>
    <w:rsid w:val="001E755C"/>
    <w:rsid w:val="001E774B"/>
    <w:rsid w:val="001E7902"/>
    <w:rsid w:val="001F13C7"/>
    <w:rsid w:val="001F2ADF"/>
    <w:rsid w:val="001F2D33"/>
    <w:rsid w:val="001F3588"/>
    <w:rsid w:val="001F3868"/>
    <w:rsid w:val="001F3D16"/>
    <w:rsid w:val="001F417F"/>
    <w:rsid w:val="001F41F3"/>
    <w:rsid w:val="001F4618"/>
    <w:rsid w:val="001F46E4"/>
    <w:rsid w:val="001F529D"/>
    <w:rsid w:val="001F5545"/>
    <w:rsid w:val="001F579E"/>
    <w:rsid w:val="001F5E3E"/>
    <w:rsid w:val="001F6288"/>
    <w:rsid w:val="001F673C"/>
    <w:rsid w:val="002010AC"/>
    <w:rsid w:val="00201365"/>
    <w:rsid w:val="00201A8E"/>
    <w:rsid w:val="00201BE0"/>
    <w:rsid w:val="00201F6A"/>
    <w:rsid w:val="002025B6"/>
    <w:rsid w:val="00202AE9"/>
    <w:rsid w:val="00202D38"/>
    <w:rsid w:val="002032E3"/>
    <w:rsid w:val="00205244"/>
    <w:rsid w:val="0020545E"/>
    <w:rsid w:val="00205AB1"/>
    <w:rsid w:val="00207CBB"/>
    <w:rsid w:val="00207D89"/>
    <w:rsid w:val="00210B55"/>
    <w:rsid w:val="00210FD3"/>
    <w:rsid w:val="00211308"/>
    <w:rsid w:val="00211884"/>
    <w:rsid w:val="00211CEB"/>
    <w:rsid w:val="00212FA0"/>
    <w:rsid w:val="002135D3"/>
    <w:rsid w:val="00215D5A"/>
    <w:rsid w:val="00215DDF"/>
    <w:rsid w:val="00216348"/>
    <w:rsid w:val="00216741"/>
    <w:rsid w:val="002167CB"/>
    <w:rsid w:val="00216AEE"/>
    <w:rsid w:val="0021798C"/>
    <w:rsid w:val="0022041F"/>
    <w:rsid w:val="002205EA"/>
    <w:rsid w:val="0022139A"/>
    <w:rsid w:val="00221933"/>
    <w:rsid w:val="00222C88"/>
    <w:rsid w:val="0022317E"/>
    <w:rsid w:val="0022444C"/>
    <w:rsid w:val="002247DB"/>
    <w:rsid w:val="002248AD"/>
    <w:rsid w:val="00224FAA"/>
    <w:rsid w:val="00225415"/>
    <w:rsid w:val="00225C1A"/>
    <w:rsid w:val="0022635A"/>
    <w:rsid w:val="002278D6"/>
    <w:rsid w:val="00227F7D"/>
    <w:rsid w:val="0023114F"/>
    <w:rsid w:val="00231752"/>
    <w:rsid w:val="00232278"/>
    <w:rsid w:val="002327AA"/>
    <w:rsid w:val="00232B46"/>
    <w:rsid w:val="00232B4F"/>
    <w:rsid w:val="00232C99"/>
    <w:rsid w:val="00232FB3"/>
    <w:rsid w:val="00233247"/>
    <w:rsid w:val="00233B4B"/>
    <w:rsid w:val="00235530"/>
    <w:rsid w:val="0023599A"/>
    <w:rsid w:val="00235E9E"/>
    <w:rsid w:val="002403FC"/>
    <w:rsid w:val="002408BA"/>
    <w:rsid w:val="00240C11"/>
    <w:rsid w:val="00240D89"/>
    <w:rsid w:val="00241F28"/>
    <w:rsid w:val="00242080"/>
    <w:rsid w:val="002430C1"/>
    <w:rsid w:val="002431BA"/>
    <w:rsid w:val="002443E0"/>
    <w:rsid w:val="00245324"/>
    <w:rsid w:val="002455BF"/>
    <w:rsid w:val="00246C20"/>
    <w:rsid w:val="0025041E"/>
    <w:rsid w:val="0025061B"/>
    <w:rsid w:val="002510E7"/>
    <w:rsid w:val="00251631"/>
    <w:rsid w:val="00251891"/>
    <w:rsid w:val="0025330F"/>
    <w:rsid w:val="0025331F"/>
    <w:rsid w:val="00253B7F"/>
    <w:rsid w:val="00255390"/>
    <w:rsid w:val="00255A2C"/>
    <w:rsid w:val="00255E5E"/>
    <w:rsid w:val="00256D15"/>
    <w:rsid w:val="002575FD"/>
    <w:rsid w:val="00257727"/>
    <w:rsid w:val="002613F6"/>
    <w:rsid w:val="00261464"/>
    <w:rsid w:val="00261DC0"/>
    <w:rsid w:val="00262F98"/>
    <w:rsid w:val="00263A8F"/>
    <w:rsid w:val="0026462F"/>
    <w:rsid w:val="00264751"/>
    <w:rsid w:val="00264C83"/>
    <w:rsid w:val="00265106"/>
    <w:rsid w:val="00265619"/>
    <w:rsid w:val="00266768"/>
    <w:rsid w:val="00266B29"/>
    <w:rsid w:val="00267E57"/>
    <w:rsid w:val="0027004D"/>
    <w:rsid w:val="00271554"/>
    <w:rsid w:val="00271770"/>
    <w:rsid w:val="002738AC"/>
    <w:rsid w:val="0027498D"/>
    <w:rsid w:val="00275673"/>
    <w:rsid w:val="00275D50"/>
    <w:rsid w:val="00277648"/>
    <w:rsid w:val="00277B68"/>
    <w:rsid w:val="002800BA"/>
    <w:rsid w:val="002802B3"/>
    <w:rsid w:val="002805E7"/>
    <w:rsid w:val="0028116E"/>
    <w:rsid w:val="002818F6"/>
    <w:rsid w:val="00281B37"/>
    <w:rsid w:val="00281C78"/>
    <w:rsid w:val="00281D03"/>
    <w:rsid w:val="00281F5D"/>
    <w:rsid w:val="002824E1"/>
    <w:rsid w:val="00284310"/>
    <w:rsid w:val="00284A2E"/>
    <w:rsid w:val="002856F8"/>
    <w:rsid w:val="002859AB"/>
    <w:rsid w:val="0028694C"/>
    <w:rsid w:val="002870B8"/>
    <w:rsid w:val="002873B3"/>
    <w:rsid w:val="002907E1"/>
    <w:rsid w:val="00290D66"/>
    <w:rsid w:val="002913FA"/>
    <w:rsid w:val="00291458"/>
    <w:rsid w:val="00291930"/>
    <w:rsid w:val="00291D96"/>
    <w:rsid w:val="00292323"/>
    <w:rsid w:val="00292CE7"/>
    <w:rsid w:val="00292F24"/>
    <w:rsid w:val="00295FAE"/>
    <w:rsid w:val="00297114"/>
    <w:rsid w:val="002A01A3"/>
    <w:rsid w:val="002A0233"/>
    <w:rsid w:val="002A12D2"/>
    <w:rsid w:val="002A1440"/>
    <w:rsid w:val="002A14C9"/>
    <w:rsid w:val="002A1C85"/>
    <w:rsid w:val="002A2A64"/>
    <w:rsid w:val="002A3A73"/>
    <w:rsid w:val="002A3B60"/>
    <w:rsid w:val="002A4193"/>
    <w:rsid w:val="002A43FE"/>
    <w:rsid w:val="002A4632"/>
    <w:rsid w:val="002A4F85"/>
    <w:rsid w:val="002A5069"/>
    <w:rsid w:val="002A5334"/>
    <w:rsid w:val="002A69BA"/>
    <w:rsid w:val="002A69FB"/>
    <w:rsid w:val="002A6A3E"/>
    <w:rsid w:val="002A77D4"/>
    <w:rsid w:val="002A7FFD"/>
    <w:rsid w:val="002B0EB6"/>
    <w:rsid w:val="002B1D6B"/>
    <w:rsid w:val="002B2AC3"/>
    <w:rsid w:val="002B31DA"/>
    <w:rsid w:val="002B32AC"/>
    <w:rsid w:val="002B3FA6"/>
    <w:rsid w:val="002B3FBD"/>
    <w:rsid w:val="002B41AB"/>
    <w:rsid w:val="002B4C0A"/>
    <w:rsid w:val="002B4D76"/>
    <w:rsid w:val="002B522B"/>
    <w:rsid w:val="002B662D"/>
    <w:rsid w:val="002B6A63"/>
    <w:rsid w:val="002B6E1E"/>
    <w:rsid w:val="002B721A"/>
    <w:rsid w:val="002B7C44"/>
    <w:rsid w:val="002C02D3"/>
    <w:rsid w:val="002C09C4"/>
    <w:rsid w:val="002C14D2"/>
    <w:rsid w:val="002C1D29"/>
    <w:rsid w:val="002C2193"/>
    <w:rsid w:val="002C27EA"/>
    <w:rsid w:val="002C2C4F"/>
    <w:rsid w:val="002C364D"/>
    <w:rsid w:val="002C3EAA"/>
    <w:rsid w:val="002C3F4E"/>
    <w:rsid w:val="002C4636"/>
    <w:rsid w:val="002C4D8E"/>
    <w:rsid w:val="002C4E25"/>
    <w:rsid w:val="002C6B5F"/>
    <w:rsid w:val="002C6FFB"/>
    <w:rsid w:val="002C707F"/>
    <w:rsid w:val="002C7413"/>
    <w:rsid w:val="002C7CB2"/>
    <w:rsid w:val="002D0DDB"/>
    <w:rsid w:val="002D24ED"/>
    <w:rsid w:val="002D27D4"/>
    <w:rsid w:val="002D2F84"/>
    <w:rsid w:val="002D32DD"/>
    <w:rsid w:val="002D33B8"/>
    <w:rsid w:val="002D41C2"/>
    <w:rsid w:val="002D482F"/>
    <w:rsid w:val="002D66CD"/>
    <w:rsid w:val="002D7035"/>
    <w:rsid w:val="002E124B"/>
    <w:rsid w:val="002E1911"/>
    <w:rsid w:val="002E1F50"/>
    <w:rsid w:val="002E29C2"/>
    <w:rsid w:val="002E2D60"/>
    <w:rsid w:val="002E2F24"/>
    <w:rsid w:val="002E3763"/>
    <w:rsid w:val="002E3898"/>
    <w:rsid w:val="002E3C22"/>
    <w:rsid w:val="002E496E"/>
    <w:rsid w:val="002E4DDA"/>
    <w:rsid w:val="002E5F1F"/>
    <w:rsid w:val="002E6491"/>
    <w:rsid w:val="002E78EC"/>
    <w:rsid w:val="002E7CC4"/>
    <w:rsid w:val="002F094A"/>
    <w:rsid w:val="002F1BCE"/>
    <w:rsid w:val="002F1EEA"/>
    <w:rsid w:val="002F217F"/>
    <w:rsid w:val="002F31B5"/>
    <w:rsid w:val="002F3DF3"/>
    <w:rsid w:val="002F3E1D"/>
    <w:rsid w:val="002F48AF"/>
    <w:rsid w:val="002F5C39"/>
    <w:rsid w:val="002F6C38"/>
    <w:rsid w:val="002F6D5E"/>
    <w:rsid w:val="002F7354"/>
    <w:rsid w:val="002F78BE"/>
    <w:rsid w:val="002F7EFD"/>
    <w:rsid w:val="00300A03"/>
    <w:rsid w:val="00301490"/>
    <w:rsid w:val="00301996"/>
    <w:rsid w:val="00302C26"/>
    <w:rsid w:val="003041BD"/>
    <w:rsid w:val="003057DD"/>
    <w:rsid w:val="00305B66"/>
    <w:rsid w:val="00306CB0"/>
    <w:rsid w:val="00306EA9"/>
    <w:rsid w:val="003079FD"/>
    <w:rsid w:val="00307C38"/>
    <w:rsid w:val="003104B9"/>
    <w:rsid w:val="0031148B"/>
    <w:rsid w:val="00311719"/>
    <w:rsid w:val="00312373"/>
    <w:rsid w:val="00312D22"/>
    <w:rsid w:val="00312FEA"/>
    <w:rsid w:val="00313801"/>
    <w:rsid w:val="003146F2"/>
    <w:rsid w:val="00314751"/>
    <w:rsid w:val="00315A4A"/>
    <w:rsid w:val="00315F42"/>
    <w:rsid w:val="00317E53"/>
    <w:rsid w:val="00317F92"/>
    <w:rsid w:val="00320526"/>
    <w:rsid w:val="0032101A"/>
    <w:rsid w:val="00321BB6"/>
    <w:rsid w:val="003222C9"/>
    <w:rsid w:val="00322EA1"/>
    <w:rsid w:val="00323005"/>
    <w:rsid w:val="003230F4"/>
    <w:rsid w:val="00323509"/>
    <w:rsid w:val="0032466C"/>
    <w:rsid w:val="00324BCF"/>
    <w:rsid w:val="0032595A"/>
    <w:rsid w:val="00325A4F"/>
    <w:rsid w:val="00325AD0"/>
    <w:rsid w:val="00326341"/>
    <w:rsid w:val="00327173"/>
    <w:rsid w:val="003273DC"/>
    <w:rsid w:val="00330C7E"/>
    <w:rsid w:val="00330C86"/>
    <w:rsid w:val="00331325"/>
    <w:rsid w:val="00331574"/>
    <w:rsid w:val="00331D38"/>
    <w:rsid w:val="0033214A"/>
    <w:rsid w:val="00333071"/>
    <w:rsid w:val="00333FEE"/>
    <w:rsid w:val="003345D9"/>
    <w:rsid w:val="00334E1D"/>
    <w:rsid w:val="00335235"/>
    <w:rsid w:val="00335802"/>
    <w:rsid w:val="00337197"/>
    <w:rsid w:val="00337A8C"/>
    <w:rsid w:val="00341678"/>
    <w:rsid w:val="00342C5A"/>
    <w:rsid w:val="0034380D"/>
    <w:rsid w:val="00343F7E"/>
    <w:rsid w:val="0034478E"/>
    <w:rsid w:val="003449BC"/>
    <w:rsid w:val="00344A38"/>
    <w:rsid w:val="0034520A"/>
    <w:rsid w:val="0034553C"/>
    <w:rsid w:val="00345D27"/>
    <w:rsid w:val="003467D5"/>
    <w:rsid w:val="0034734D"/>
    <w:rsid w:val="00347A09"/>
    <w:rsid w:val="00347A68"/>
    <w:rsid w:val="00347B7F"/>
    <w:rsid w:val="00350DDE"/>
    <w:rsid w:val="00351EE8"/>
    <w:rsid w:val="00352D5D"/>
    <w:rsid w:val="0035374A"/>
    <w:rsid w:val="00353C7D"/>
    <w:rsid w:val="003543ED"/>
    <w:rsid w:val="00354BC1"/>
    <w:rsid w:val="003567B5"/>
    <w:rsid w:val="0035785C"/>
    <w:rsid w:val="00360152"/>
    <w:rsid w:val="003602AB"/>
    <w:rsid w:val="0036109F"/>
    <w:rsid w:val="00361250"/>
    <w:rsid w:val="00361400"/>
    <w:rsid w:val="00361A5C"/>
    <w:rsid w:val="00361ABA"/>
    <w:rsid w:val="00361B4B"/>
    <w:rsid w:val="00361C97"/>
    <w:rsid w:val="003623F4"/>
    <w:rsid w:val="00363157"/>
    <w:rsid w:val="003639F6"/>
    <w:rsid w:val="003650C9"/>
    <w:rsid w:val="003657DD"/>
    <w:rsid w:val="00365853"/>
    <w:rsid w:val="00365967"/>
    <w:rsid w:val="00365BDB"/>
    <w:rsid w:val="003672B8"/>
    <w:rsid w:val="003700A7"/>
    <w:rsid w:val="003702E8"/>
    <w:rsid w:val="00370D16"/>
    <w:rsid w:val="00370F6F"/>
    <w:rsid w:val="003716D7"/>
    <w:rsid w:val="00371B36"/>
    <w:rsid w:val="003732D2"/>
    <w:rsid w:val="003733E2"/>
    <w:rsid w:val="0037372E"/>
    <w:rsid w:val="00373D53"/>
    <w:rsid w:val="003743D4"/>
    <w:rsid w:val="003754C3"/>
    <w:rsid w:val="003754F1"/>
    <w:rsid w:val="003756C9"/>
    <w:rsid w:val="00375766"/>
    <w:rsid w:val="00375929"/>
    <w:rsid w:val="003759D1"/>
    <w:rsid w:val="00381143"/>
    <w:rsid w:val="003811C5"/>
    <w:rsid w:val="0038139D"/>
    <w:rsid w:val="00381B70"/>
    <w:rsid w:val="003828DC"/>
    <w:rsid w:val="00382E9E"/>
    <w:rsid w:val="0038335D"/>
    <w:rsid w:val="0038374F"/>
    <w:rsid w:val="00383E4E"/>
    <w:rsid w:val="003844C0"/>
    <w:rsid w:val="003845ED"/>
    <w:rsid w:val="0038482A"/>
    <w:rsid w:val="00384B78"/>
    <w:rsid w:val="0038500E"/>
    <w:rsid w:val="0038510D"/>
    <w:rsid w:val="003859EC"/>
    <w:rsid w:val="0038644A"/>
    <w:rsid w:val="00386E09"/>
    <w:rsid w:val="00387D6A"/>
    <w:rsid w:val="0039052B"/>
    <w:rsid w:val="00390834"/>
    <w:rsid w:val="00391E9C"/>
    <w:rsid w:val="00392133"/>
    <w:rsid w:val="00392825"/>
    <w:rsid w:val="0039291A"/>
    <w:rsid w:val="00393300"/>
    <w:rsid w:val="003939B0"/>
    <w:rsid w:val="00393F69"/>
    <w:rsid w:val="003955BD"/>
    <w:rsid w:val="00396AC2"/>
    <w:rsid w:val="003A1422"/>
    <w:rsid w:val="003A1B2E"/>
    <w:rsid w:val="003A3E7D"/>
    <w:rsid w:val="003A462D"/>
    <w:rsid w:val="003A4AEE"/>
    <w:rsid w:val="003A53B5"/>
    <w:rsid w:val="003A58D8"/>
    <w:rsid w:val="003B10FA"/>
    <w:rsid w:val="003B1182"/>
    <w:rsid w:val="003B1EB9"/>
    <w:rsid w:val="003B2399"/>
    <w:rsid w:val="003B2FE3"/>
    <w:rsid w:val="003B3921"/>
    <w:rsid w:val="003B5809"/>
    <w:rsid w:val="003B582D"/>
    <w:rsid w:val="003B699D"/>
    <w:rsid w:val="003B6CFD"/>
    <w:rsid w:val="003B76EF"/>
    <w:rsid w:val="003B7AE9"/>
    <w:rsid w:val="003B7C16"/>
    <w:rsid w:val="003C0372"/>
    <w:rsid w:val="003C0471"/>
    <w:rsid w:val="003C1011"/>
    <w:rsid w:val="003C1621"/>
    <w:rsid w:val="003C1D32"/>
    <w:rsid w:val="003C1E5F"/>
    <w:rsid w:val="003C59E5"/>
    <w:rsid w:val="003C616B"/>
    <w:rsid w:val="003C6E95"/>
    <w:rsid w:val="003C7187"/>
    <w:rsid w:val="003C78AB"/>
    <w:rsid w:val="003D0894"/>
    <w:rsid w:val="003D0F4C"/>
    <w:rsid w:val="003D1049"/>
    <w:rsid w:val="003D11D7"/>
    <w:rsid w:val="003D2631"/>
    <w:rsid w:val="003D2CBE"/>
    <w:rsid w:val="003D2DBA"/>
    <w:rsid w:val="003D4625"/>
    <w:rsid w:val="003D4971"/>
    <w:rsid w:val="003D555D"/>
    <w:rsid w:val="003D6C93"/>
    <w:rsid w:val="003D7629"/>
    <w:rsid w:val="003D773E"/>
    <w:rsid w:val="003E08A3"/>
    <w:rsid w:val="003E1369"/>
    <w:rsid w:val="003E17D4"/>
    <w:rsid w:val="003E330A"/>
    <w:rsid w:val="003E4487"/>
    <w:rsid w:val="003E4ED5"/>
    <w:rsid w:val="003E54F9"/>
    <w:rsid w:val="003E6C04"/>
    <w:rsid w:val="003E6E23"/>
    <w:rsid w:val="003E7032"/>
    <w:rsid w:val="003E7C2D"/>
    <w:rsid w:val="003F012A"/>
    <w:rsid w:val="003F030E"/>
    <w:rsid w:val="003F0392"/>
    <w:rsid w:val="003F0F92"/>
    <w:rsid w:val="003F24A9"/>
    <w:rsid w:val="003F274F"/>
    <w:rsid w:val="003F4592"/>
    <w:rsid w:val="003F4C70"/>
    <w:rsid w:val="003F4DD1"/>
    <w:rsid w:val="003F5FC5"/>
    <w:rsid w:val="003F6C92"/>
    <w:rsid w:val="00401100"/>
    <w:rsid w:val="004023B3"/>
    <w:rsid w:val="00403052"/>
    <w:rsid w:val="00403DEE"/>
    <w:rsid w:val="00404B66"/>
    <w:rsid w:val="00406735"/>
    <w:rsid w:val="00406D0B"/>
    <w:rsid w:val="00410337"/>
    <w:rsid w:val="004104C5"/>
    <w:rsid w:val="004127C5"/>
    <w:rsid w:val="0041300F"/>
    <w:rsid w:val="0041469A"/>
    <w:rsid w:val="0041471B"/>
    <w:rsid w:val="0041478C"/>
    <w:rsid w:val="00414A19"/>
    <w:rsid w:val="00414E47"/>
    <w:rsid w:val="00416427"/>
    <w:rsid w:val="004174CC"/>
    <w:rsid w:val="00417689"/>
    <w:rsid w:val="00417919"/>
    <w:rsid w:val="00420E6B"/>
    <w:rsid w:val="004218D3"/>
    <w:rsid w:val="004218F7"/>
    <w:rsid w:val="00421C2D"/>
    <w:rsid w:val="00422FB4"/>
    <w:rsid w:val="00423030"/>
    <w:rsid w:val="00424152"/>
    <w:rsid w:val="0042463C"/>
    <w:rsid w:val="00424B67"/>
    <w:rsid w:val="00424FD4"/>
    <w:rsid w:val="00425F23"/>
    <w:rsid w:val="00426053"/>
    <w:rsid w:val="004261C7"/>
    <w:rsid w:val="004263A8"/>
    <w:rsid w:val="00426762"/>
    <w:rsid w:val="004275E8"/>
    <w:rsid w:val="00430B51"/>
    <w:rsid w:val="00430E2D"/>
    <w:rsid w:val="0043129A"/>
    <w:rsid w:val="00431752"/>
    <w:rsid w:val="0043202F"/>
    <w:rsid w:val="00432698"/>
    <w:rsid w:val="00432AEF"/>
    <w:rsid w:val="004339E3"/>
    <w:rsid w:val="004346DC"/>
    <w:rsid w:val="00434B5D"/>
    <w:rsid w:val="00434D3C"/>
    <w:rsid w:val="00434DE5"/>
    <w:rsid w:val="00435AB4"/>
    <w:rsid w:val="004368D2"/>
    <w:rsid w:val="0043772D"/>
    <w:rsid w:val="00440259"/>
    <w:rsid w:val="0044046C"/>
    <w:rsid w:val="00441375"/>
    <w:rsid w:val="00441A3B"/>
    <w:rsid w:val="004430C1"/>
    <w:rsid w:val="00443908"/>
    <w:rsid w:val="00443AB8"/>
    <w:rsid w:val="00444862"/>
    <w:rsid w:val="00446FA4"/>
    <w:rsid w:val="00447B29"/>
    <w:rsid w:val="00447CB9"/>
    <w:rsid w:val="00450845"/>
    <w:rsid w:val="00450ACD"/>
    <w:rsid w:val="00450BB0"/>
    <w:rsid w:val="00450DA9"/>
    <w:rsid w:val="00451CF0"/>
    <w:rsid w:val="00452924"/>
    <w:rsid w:val="00452FA4"/>
    <w:rsid w:val="00453454"/>
    <w:rsid w:val="00453925"/>
    <w:rsid w:val="0045464F"/>
    <w:rsid w:val="00454A20"/>
    <w:rsid w:val="00454C1B"/>
    <w:rsid w:val="00455C1A"/>
    <w:rsid w:val="00455E27"/>
    <w:rsid w:val="004567BC"/>
    <w:rsid w:val="00457487"/>
    <w:rsid w:val="004577CE"/>
    <w:rsid w:val="004578E8"/>
    <w:rsid w:val="00460C1F"/>
    <w:rsid w:val="00460D67"/>
    <w:rsid w:val="004635CD"/>
    <w:rsid w:val="00463C89"/>
    <w:rsid w:val="004644F6"/>
    <w:rsid w:val="00465999"/>
    <w:rsid w:val="004660CF"/>
    <w:rsid w:val="00466440"/>
    <w:rsid w:val="0046658E"/>
    <w:rsid w:val="00466932"/>
    <w:rsid w:val="00467DE9"/>
    <w:rsid w:val="004701D6"/>
    <w:rsid w:val="00470642"/>
    <w:rsid w:val="00470649"/>
    <w:rsid w:val="0047072A"/>
    <w:rsid w:val="00472237"/>
    <w:rsid w:val="00472377"/>
    <w:rsid w:val="0047263D"/>
    <w:rsid w:val="00473DA9"/>
    <w:rsid w:val="00473F13"/>
    <w:rsid w:val="004754AA"/>
    <w:rsid w:val="00475B05"/>
    <w:rsid w:val="00475F46"/>
    <w:rsid w:val="00475F9D"/>
    <w:rsid w:val="00476A06"/>
    <w:rsid w:val="00476A95"/>
    <w:rsid w:val="00476C4B"/>
    <w:rsid w:val="004818CB"/>
    <w:rsid w:val="00482804"/>
    <w:rsid w:val="00483216"/>
    <w:rsid w:val="00483C5F"/>
    <w:rsid w:val="004866BB"/>
    <w:rsid w:val="004874B3"/>
    <w:rsid w:val="00490123"/>
    <w:rsid w:val="004903E8"/>
    <w:rsid w:val="00490E7F"/>
    <w:rsid w:val="00491311"/>
    <w:rsid w:val="00491695"/>
    <w:rsid w:val="004918A2"/>
    <w:rsid w:val="004921C2"/>
    <w:rsid w:val="004925D4"/>
    <w:rsid w:val="004926B2"/>
    <w:rsid w:val="00492E1D"/>
    <w:rsid w:val="004930DD"/>
    <w:rsid w:val="004933B3"/>
    <w:rsid w:val="00493891"/>
    <w:rsid w:val="00493D99"/>
    <w:rsid w:val="00495364"/>
    <w:rsid w:val="004955EA"/>
    <w:rsid w:val="004961DE"/>
    <w:rsid w:val="00496508"/>
    <w:rsid w:val="004965D2"/>
    <w:rsid w:val="004965DC"/>
    <w:rsid w:val="00496D15"/>
    <w:rsid w:val="004A04F1"/>
    <w:rsid w:val="004A08D8"/>
    <w:rsid w:val="004A0F6C"/>
    <w:rsid w:val="004A108C"/>
    <w:rsid w:val="004A1EFE"/>
    <w:rsid w:val="004A280E"/>
    <w:rsid w:val="004A2D92"/>
    <w:rsid w:val="004A2FB6"/>
    <w:rsid w:val="004A3684"/>
    <w:rsid w:val="004A423E"/>
    <w:rsid w:val="004A42DB"/>
    <w:rsid w:val="004A4B73"/>
    <w:rsid w:val="004A4EB6"/>
    <w:rsid w:val="004A5024"/>
    <w:rsid w:val="004A56DC"/>
    <w:rsid w:val="004A5C63"/>
    <w:rsid w:val="004A5F7E"/>
    <w:rsid w:val="004A602B"/>
    <w:rsid w:val="004A643E"/>
    <w:rsid w:val="004A6969"/>
    <w:rsid w:val="004A740D"/>
    <w:rsid w:val="004B0045"/>
    <w:rsid w:val="004B01ED"/>
    <w:rsid w:val="004B03B8"/>
    <w:rsid w:val="004B0883"/>
    <w:rsid w:val="004B0928"/>
    <w:rsid w:val="004B1136"/>
    <w:rsid w:val="004B1A69"/>
    <w:rsid w:val="004B21A7"/>
    <w:rsid w:val="004B30A7"/>
    <w:rsid w:val="004B4191"/>
    <w:rsid w:val="004B4F82"/>
    <w:rsid w:val="004B5087"/>
    <w:rsid w:val="004B538D"/>
    <w:rsid w:val="004B56B1"/>
    <w:rsid w:val="004B63CD"/>
    <w:rsid w:val="004B6B57"/>
    <w:rsid w:val="004B72A2"/>
    <w:rsid w:val="004B72C9"/>
    <w:rsid w:val="004C0B64"/>
    <w:rsid w:val="004C0C2C"/>
    <w:rsid w:val="004C12B3"/>
    <w:rsid w:val="004C2A33"/>
    <w:rsid w:val="004C2FFB"/>
    <w:rsid w:val="004C334E"/>
    <w:rsid w:val="004C3DD4"/>
    <w:rsid w:val="004C3F15"/>
    <w:rsid w:val="004C46CE"/>
    <w:rsid w:val="004C4D27"/>
    <w:rsid w:val="004C5105"/>
    <w:rsid w:val="004C5964"/>
    <w:rsid w:val="004C6676"/>
    <w:rsid w:val="004C6B7D"/>
    <w:rsid w:val="004C72AC"/>
    <w:rsid w:val="004C72CF"/>
    <w:rsid w:val="004C74D5"/>
    <w:rsid w:val="004C7A99"/>
    <w:rsid w:val="004C7AEE"/>
    <w:rsid w:val="004C7CFA"/>
    <w:rsid w:val="004D0B12"/>
    <w:rsid w:val="004D0DD9"/>
    <w:rsid w:val="004D1601"/>
    <w:rsid w:val="004D197B"/>
    <w:rsid w:val="004D1BBC"/>
    <w:rsid w:val="004D20E2"/>
    <w:rsid w:val="004D2ACB"/>
    <w:rsid w:val="004D2D17"/>
    <w:rsid w:val="004D379D"/>
    <w:rsid w:val="004D382C"/>
    <w:rsid w:val="004D38AA"/>
    <w:rsid w:val="004D43F3"/>
    <w:rsid w:val="004D51C5"/>
    <w:rsid w:val="004D5844"/>
    <w:rsid w:val="004D5B13"/>
    <w:rsid w:val="004D6413"/>
    <w:rsid w:val="004E161F"/>
    <w:rsid w:val="004E1FC3"/>
    <w:rsid w:val="004E2E08"/>
    <w:rsid w:val="004E38BA"/>
    <w:rsid w:val="004E4B46"/>
    <w:rsid w:val="004E4F55"/>
    <w:rsid w:val="004E50FF"/>
    <w:rsid w:val="004E51FF"/>
    <w:rsid w:val="004E7411"/>
    <w:rsid w:val="004E78C9"/>
    <w:rsid w:val="004E7E47"/>
    <w:rsid w:val="004F0524"/>
    <w:rsid w:val="004F0664"/>
    <w:rsid w:val="004F1A12"/>
    <w:rsid w:val="004F3524"/>
    <w:rsid w:val="004F3C35"/>
    <w:rsid w:val="004F562E"/>
    <w:rsid w:val="004F6931"/>
    <w:rsid w:val="004F79B6"/>
    <w:rsid w:val="004F7BF5"/>
    <w:rsid w:val="004F7EDE"/>
    <w:rsid w:val="00501535"/>
    <w:rsid w:val="0050174C"/>
    <w:rsid w:val="00501D56"/>
    <w:rsid w:val="00502241"/>
    <w:rsid w:val="005026B2"/>
    <w:rsid w:val="005038AE"/>
    <w:rsid w:val="00504615"/>
    <w:rsid w:val="00504CB9"/>
    <w:rsid w:val="005059BF"/>
    <w:rsid w:val="00507063"/>
    <w:rsid w:val="005077A3"/>
    <w:rsid w:val="0050780F"/>
    <w:rsid w:val="00507A26"/>
    <w:rsid w:val="00507EF5"/>
    <w:rsid w:val="00511A4C"/>
    <w:rsid w:val="00511A6D"/>
    <w:rsid w:val="00511F5C"/>
    <w:rsid w:val="00513246"/>
    <w:rsid w:val="005133F1"/>
    <w:rsid w:val="005136CC"/>
    <w:rsid w:val="00514AAB"/>
    <w:rsid w:val="0051530B"/>
    <w:rsid w:val="00515559"/>
    <w:rsid w:val="005179CD"/>
    <w:rsid w:val="00517B88"/>
    <w:rsid w:val="00520A4C"/>
    <w:rsid w:val="00520AFF"/>
    <w:rsid w:val="00522BFA"/>
    <w:rsid w:val="00522D33"/>
    <w:rsid w:val="00522FCA"/>
    <w:rsid w:val="005230FD"/>
    <w:rsid w:val="00523130"/>
    <w:rsid w:val="0052372E"/>
    <w:rsid w:val="00523B1C"/>
    <w:rsid w:val="00524280"/>
    <w:rsid w:val="00525B04"/>
    <w:rsid w:val="005262EB"/>
    <w:rsid w:val="00533AA8"/>
    <w:rsid w:val="0053490B"/>
    <w:rsid w:val="00535636"/>
    <w:rsid w:val="00536CAB"/>
    <w:rsid w:val="00536E21"/>
    <w:rsid w:val="0054024D"/>
    <w:rsid w:val="00541D93"/>
    <w:rsid w:val="00542180"/>
    <w:rsid w:val="005426FD"/>
    <w:rsid w:val="0054284B"/>
    <w:rsid w:val="00543960"/>
    <w:rsid w:val="00543F2E"/>
    <w:rsid w:val="00544057"/>
    <w:rsid w:val="00544D5B"/>
    <w:rsid w:val="00545441"/>
    <w:rsid w:val="00546993"/>
    <w:rsid w:val="00546D69"/>
    <w:rsid w:val="00547000"/>
    <w:rsid w:val="00547CCA"/>
    <w:rsid w:val="00551BD1"/>
    <w:rsid w:val="005523FA"/>
    <w:rsid w:val="005540FF"/>
    <w:rsid w:val="005541CF"/>
    <w:rsid w:val="00554FB4"/>
    <w:rsid w:val="005555E7"/>
    <w:rsid w:val="00555E28"/>
    <w:rsid w:val="00555F78"/>
    <w:rsid w:val="00556D70"/>
    <w:rsid w:val="00556D87"/>
    <w:rsid w:val="00557147"/>
    <w:rsid w:val="00557DBF"/>
    <w:rsid w:val="005605BA"/>
    <w:rsid w:val="005607BF"/>
    <w:rsid w:val="00560CB8"/>
    <w:rsid w:val="00562284"/>
    <w:rsid w:val="00562766"/>
    <w:rsid w:val="00562C34"/>
    <w:rsid w:val="0056502D"/>
    <w:rsid w:val="00565DA5"/>
    <w:rsid w:val="005662B6"/>
    <w:rsid w:val="005669A9"/>
    <w:rsid w:val="005704D4"/>
    <w:rsid w:val="00570A33"/>
    <w:rsid w:val="00570FC8"/>
    <w:rsid w:val="005717E2"/>
    <w:rsid w:val="00572222"/>
    <w:rsid w:val="005724AD"/>
    <w:rsid w:val="005726A7"/>
    <w:rsid w:val="00573920"/>
    <w:rsid w:val="00573D00"/>
    <w:rsid w:val="00573EEE"/>
    <w:rsid w:val="005741F1"/>
    <w:rsid w:val="005774A4"/>
    <w:rsid w:val="005776FB"/>
    <w:rsid w:val="00577980"/>
    <w:rsid w:val="00577E2C"/>
    <w:rsid w:val="00581277"/>
    <w:rsid w:val="00581D5E"/>
    <w:rsid w:val="005820AF"/>
    <w:rsid w:val="00582443"/>
    <w:rsid w:val="005827D5"/>
    <w:rsid w:val="00582986"/>
    <w:rsid w:val="00582B68"/>
    <w:rsid w:val="00582B71"/>
    <w:rsid w:val="00583546"/>
    <w:rsid w:val="00583705"/>
    <w:rsid w:val="005844E8"/>
    <w:rsid w:val="005850EC"/>
    <w:rsid w:val="00585411"/>
    <w:rsid w:val="0058670E"/>
    <w:rsid w:val="0058702A"/>
    <w:rsid w:val="005875F2"/>
    <w:rsid w:val="0058765D"/>
    <w:rsid w:val="0058789D"/>
    <w:rsid w:val="00587950"/>
    <w:rsid w:val="00587A94"/>
    <w:rsid w:val="005902C5"/>
    <w:rsid w:val="00590C7D"/>
    <w:rsid w:val="00592030"/>
    <w:rsid w:val="00592208"/>
    <w:rsid w:val="00592672"/>
    <w:rsid w:val="005942D9"/>
    <w:rsid w:val="00594467"/>
    <w:rsid w:val="0059470A"/>
    <w:rsid w:val="0059486E"/>
    <w:rsid w:val="00594BA3"/>
    <w:rsid w:val="005963A2"/>
    <w:rsid w:val="00596F66"/>
    <w:rsid w:val="005972DF"/>
    <w:rsid w:val="005976BF"/>
    <w:rsid w:val="005978BD"/>
    <w:rsid w:val="00597FCE"/>
    <w:rsid w:val="005A0078"/>
    <w:rsid w:val="005A07F7"/>
    <w:rsid w:val="005A1AC1"/>
    <w:rsid w:val="005A233F"/>
    <w:rsid w:val="005A34DE"/>
    <w:rsid w:val="005A3995"/>
    <w:rsid w:val="005A3AA0"/>
    <w:rsid w:val="005A456C"/>
    <w:rsid w:val="005A5153"/>
    <w:rsid w:val="005A6B5A"/>
    <w:rsid w:val="005A7208"/>
    <w:rsid w:val="005A7341"/>
    <w:rsid w:val="005A7642"/>
    <w:rsid w:val="005B17FE"/>
    <w:rsid w:val="005B1A5A"/>
    <w:rsid w:val="005B1D6B"/>
    <w:rsid w:val="005B1DA3"/>
    <w:rsid w:val="005B32B7"/>
    <w:rsid w:val="005B32C4"/>
    <w:rsid w:val="005B4164"/>
    <w:rsid w:val="005B48A0"/>
    <w:rsid w:val="005B6CC2"/>
    <w:rsid w:val="005B6D2F"/>
    <w:rsid w:val="005B6FA7"/>
    <w:rsid w:val="005B7447"/>
    <w:rsid w:val="005B7482"/>
    <w:rsid w:val="005B7516"/>
    <w:rsid w:val="005B7C70"/>
    <w:rsid w:val="005C3F6F"/>
    <w:rsid w:val="005C4303"/>
    <w:rsid w:val="005C51F9"/>
    <w:rsid w:val="005C5B8E"/>
    <w:rsid w:val="005C5B98"/>
    <w:rsid w:val="005C60D5"/>
    <w:rsid w:val="005C7E85"/>
    <w:rsid w:val="005D0C62"/>
    <w:rsid w:val="005D1AA1"/>
    <w:rsid w:val="005D3DAB"/>
    <w:rsid w:val="005D3F6A"/>
    <w:rsid w:val="005D45DE"/>
    <w:rsid w:val="005D45EC"/>
    <w:rsid w:val="005D4BCD"/>
    <w:rsid w:val="005D5516"/>
    <w:rsid w:val="005D562B"/>
    <w:rsid w:val="005D7C43"/>
    <w:rsid w:val="005D7E7B"/>
    <w:rsid w:val="005D7FD1"/>
    <w:rsid w:val="005E057D"/>
    <w:rsid w:val="005E0749"/>
    <w:rsid w:val="005E13FA"/>
    <w:rsid w:val="005E147D"/>
    <w:rsid w:val="005E1BA9"/>
    <w:rsid w:val="005E2A9D"/>
    <w:rsid w:val="005E38D5"/>
    <w:rsid w:val="005E38DA"/>
    <w:rsid w:val="005E4484"/>
    <w:rsid w:val="005E5E5C"/>
    <w:rsid w:val="005E5ECB"/>
    <w:rsid w:val="005E6654"/>
    <w:rsid w:val="005E6D63"/>
    <w:rsid w:val="005E76DB"/>
    <w:rsid w:val="005E7DD7"/>
    <w:rsid w:val="005F064B"/>
    <w:rsid w:val="005F1583"/>
    <w:rsid w:val="005F18E6"/>
    <w:rsid w:val="005F1C39"/>
    <w:rsid w:val="005F2C39"/>
    <w:rsid w:val="005F2DC2"/>
    <w:rsid w:val="005F397A"/>
    <w:rsid w:val="005F4552"/>
    <w:rsid w:val="005F46C2"/>
    <w:rsid w:val="005F5002"/>
    <w:rsid w:val="005F522C"/>
    <w:rsid w:val="005F56B2"/>
    <w:rsid w:val="005F6AA8"/>
    <w:rsid w:val="005F6BCE"/>
    <w:rsid w:val="00601DE1"/>
    <w:rsid w:val="006022C0"/>
    <w:rsid w:val="00602B0E"/>
    <w:rsid w:val="00602D7E"/>
    <w:rsid w:val="0060337A"/>
    <w:rsid w:val="00603B97"/>
    <w:rsid w:val="00603CED"/>
    <w:rsid w:val="006046FF"/>
    <w:rsid w:val="00604776"/>
    <w:rsid w:val="00604C93"/>
    <w:rsid w:val="0060537B"/>
    <w:rsid w:val="00605967"/>
    <w:rsid w:val="00606065"/>
    <w:rsid w:val="006067AA"/>
    <w:rsid w:val="006072A6"/>
    <w:rsid w:val="00611EEF"/>
    <w:rsid w:val="00612CC2"/>
    <w:rsid w:val="00612FAC"/>
    <w:rsid w:val="0061385A"/>
    <w:rsid w:val="006142A6"/>
    <w:rsid w:val="00615264"/>
    <w:rsid w:val="00615FE3"/>
    <w:rsid w:val="00622213"/>
    <w:rsid w:val="00622E9E"/>
    <w:rsid w:val="0062353A"/>
    <w:rsid w:val="00623D4C"/>
    <w:rsid w:val="0062564C"/>
    <w:rsid w:val="00625E7E"/>
    <w:rsid w:val="006279E3"/>
    <w:rsid w:val="00630F33"/>
    <w:rsid w:val="006315AA"/>
    <w:rsid w:val="00631E2F"/>
    <w:rsid w:val="00631EB8"/>
    <w:rsid w:val="006329AE"/>
    <w:rsid w:val="00633945"/>
    <w:rsid w:val="00634B9E"/>
    <w:rsid w:val="00634FE5"/>
    <w:rsid w:val="006353FA"/>
    <w:rsid w:val="00635856"/>
    <w:rsid w:val="006360E1"/>
    <w:rsid w:val="0063749E"/>
    <w:rsid w:val="00640074"/>
    <w:rsid w:val="006402B9"/>
    <w:rsid w:val="006414C4"/>
    <w:rsid w:val="006416FB"/>
    <w:rsid w:val="00641A7D"/>
    <w:rsid w:val="00642A48"/>
    <w:rsid w:val="00642E69"/>
    <w:rsid w:val="006439F6"/>
    <w:rsid w:val="00643D10"/>
    <w:rsid w:val="00643D69"/>
    <w:rsid w:val="00644803"/>
    <w:rsid w:val="00645946"/>
    <w:rsid w:val="00645EA2"/>
    <w:rsid w:val="00646313"/>
    <w:rsid w:val="0064632B"/>
    <w:rsid w:val="006464FB"/>
    <w:rsid w:val="00646A4D"/>
    <w:rsid w:val="006473E0"/>
    <w:rsid w:val="00647A0B"/>
    <w:rsid w:val="006508A2"/>
    <w:rsid w:val="00650954"/>
    <w:rsid w:val="00650BB3"/>
    <w:rsid w:val="00650F5D"/>
    <w:rsid w:val="006513D0"/>
    <w:rsid w:val="006516F5"/>
    <w:rsid w:val="00651797"/>
    <w:rsid w:val="00651E8C"/>
    <w:rsid w:val="00651EB0"/>
    <w:rsid w:val="00652226"/>
    <w:rsid w:val="00652D36"/>
    <w:rsid w:val="00653157"/>
    <w:rsid w:val="00653282"/>
    <w:rsid w:val="00653B13"/>
    <w:rsid w:val="006546CC"/>
    <w:rsid w:val="00655757"/>
    <w:rsid w:val="00655AEF"/>
    <w:rsid w:val="00655D91"/>
    <w:rsid w:val="006561E1"/>
    <w:rsid w:val="00656500"/>
    <w:rsid w:val="00656891"/>
    <w:rsid w:val="00656E07"/>
    <w:rsid w:val="00656E32"/>
    <w:rsid w:val="0065742D"/>
    <w:rsid w:val="006579EC"/>
    <w:rsid w:val="00660F9D"/>
    <w:rsid w:val="00661074"/>
    <w:rsid w:val="0066113E"/>
    <w:rsid w:val="00661344"/>
    <w:rsid w:val="00661F97"/>
    <w:rsid w:val="0066217E"/>
    <w:rsid w:val="006622CC"/>
    <w:rsid w:val="00663685"/>
    <w:rsid w:val="00664135"/>
    <w:rsid w:val="0066509D"/>
    <w:rsid w:val="0066540E"/>
    <w:rsid w:val="006669E6"/>
    <w:rsid w:val="00666C23"/>
    <w:rsid w:val="00666D9C"/>
    <w:rsid w:val="00666ECE"/>
    <w:rsid w:val="00667C01"/>
    <w:rsid w:val="00667CD2"/>
    <w:rsid w:val="006708A4"/>
    <w:rsid w:val="00671FBF"/>
    <w:rsid w:val="006723D8"/>
    <w:rsid w:val="00672DED"/>
    <w:rsid w:val="00673CFC"/>
    <w:rsid w:val="006746EB"/>
    <w:rsid w:val="0067490F"/>
    <w:rsid w:val="00674E42"/>
    <w:rsid w:val="00675F8C"/>
    <w:rsid w:val="006761F9"/>
    <w:rsid w:val="0067620A"/>
    <w:rsid w:val="00676905"/>
    <w:rsid w:val="006769D9"/>
    <w:rsid w:val="00677193"/>
    <w:rsid w:val="006778D2"/>
    <w:rsid w:val="00677A01"/>
    <w:rsid w:val="0068041F"/>
    <w:rsid w:val="0068051E"/>
    <w:rsid w:val="00680D40"/>
    <w:rsid w:val="00681294"/>
    <w:rsid w:val="00681FAC"/>
    <w:rsid w:val="0068239F"/>
    <w:rsid w:val="006823EA"/>
    <w:rsid w:val="006829FF"/>
    <w:rsid w:val="00682E9E"/>
    <w:rsid w:val="00683039"/>
    <w:rsid w:val="006833DC"/>
    <w:rsid w:val="00686BB0"/>
    <w:rsid w:val="006873D5"/>
    <w:rsid w:val="006874CD"/>
    <w:rsid w:val="00690649"/>
    <w:rsid w:val="00691AE1"/>
    <w:rsid w:val="00693860"/>
    <w:rsid w:val="00693AF0"/>
    <w:rsid w:val="0069480A"/>
    <w:rsid w:val="00694F51"/>
    <w:rsid w:val="006953C3"/>
    <w:rsid w:val="00695481"/>
    <w:rsid w:val="0069587D"/>
    <w:rsid w:val="006965E7"/>
    <w:rsid w:val="006967A0"/>
    <w:rsid w:val="006969A7"/>
    <w:rsid w:val="00697263"/>
    <w:rsid w:val="006974B2"/>
    <w:rsid w:val="006A0D2A"/>
    <w:rsid w:val="006A1723"/>
    <w:rsid w:val="006A1A09"/>
    <w:rsid w:val="006A1C00"/>
    <w:rsid w:val="006A1C63"/>
    <w:rsid w:val="006A246C"/>
    <w:rsid w:val="006A26E7"/>
    <w:rsid w:val="006A309C"/>
    <w:rsid w:val="006A36C7"/>
    <w:rsid w:val="006A3D52"/>
    <w:rsid w:val="006A7385"/>
    <w:rsid w:val="006B0222"/>
    <w:rsid w:val="006B0AE0"/>
    <w:rsid w:val="006B0D1E"/>
    <w:rsid w:val="006B0D7F"/>
    <w:rsid w:val="006B0ED6"/>
    <w:rsid w:val="006B1B50"/>
    <w:rsid w:val="006B1F9B"/>
    <w:rsid w:val="006B250D"/>
    <w:rsid w:val="006B25F6"/>
    <w:rsid w:val="006B29E4"/>
    <w:rsid w:val="006B34DD"/>
    <w:rsid w:val="006B3DAF"/>
    <w:rsid w:val="006B3EB6"/>
    <w:rsid w:val="006B491B"/>
    <w:rsid w:val="006B4A59"/>
    <w:rsid w:val="006B764A"/>
    <w:rsid w:val="006B77BA"/>
    <w:rsid w:val="006B7DC3"/>
    <w:rsid w:val="006C04C3"/>
    <w:rsid w:val="006C193D"/>
    <w:rsid w:val="006C20FB"/>
    <w:rsid w:val="006C253E"/>
    <w:rsid w:val="006C52C7"/>
    <w:rsid w:val="006C5FA3"/>
    <w:rsid w:val="006C635F"/>
    <w:rsid w:val="006C6511"/>
    <w:rsid w:val="006C6FB3"/>
    <w:rsid w:val="006C7254"/>
    <w:rsid w:val="006C7C88"/>
    <w:rsid w:val="006C7DE9"/>
    <w:rsid w:val="006D0631"/>
    <w:rsid w:val="006D0881"/>
    <w:rsid w:val="006D0BF2"/>
    <w:rsid w:val="006D1266"/>
    <w:rsid w:val="006D3AAB"/>
    <w:rsid w:val="006D4824"/>
    <w:rsid w:val="006D5E25"/>
    <w:rsid w:val="006D66F3"/>
    <w:rsid w:val="006D73BC"/>
    <w:rsid w:val="006E0C5E"/>
    <w:rsid w:val="006E1302"/>
    <w:rsid w:val="006E1402"/>
    <w:rsid w:val="006E1856"/>
    <w:rsid w:val="006E2B19"/>
    <w:rsid w:val="006E309C"/>
    <w:rsid w:val="006E33D6"/>
    <w:rsid w:val="006E3F57"/>
    <w:rsid w:val="006E4598"/>
    <w:rsid w:val="006E4C21"/>
    <w:rsid w:val="006E58A9"/>
    <w:rsid w:val="006E6A24"/>
    <w:rsid w:val="006E6AB7"/>
    <w:rsid w:val="006E6DCC"/>
    <w:rsid w:val="006F06DE"/>
    <w:rsid w:val="006F0966"/>
    <w:rsid w:val="006F1272"/>
    <w:rsid w:val="006F1D91"/>
    <w:rsid w:val="006F2DBF"/>
    <w:rsid w:val="006F374A"/>
    <w:rsid w:val="006F4182"/>
    <w:rsid w:val="006F4437"/>
    <w:rsid w:val="006F5E08"/>
    <w:rsid w:val="006F6BEA"/>
    <w:rsid w:val="006F7F9E"/>
    <w:rsid w:val="007002DB"/>
    <w:rsid w:val="00700C21"/>
    <w:rsid w:val="00701611"/>
    <w:rsid w:val="0070284B"/>
    <w:rsid w:val="00702CEA"/>
    <w:rsid w:val="00702DDE"/>
    <w:rsid w:val="00703750"/>
    <w:rsid w:val="00703B40"/>
    <w:rsid w:val="00705012"/>
    <w:rsid w:val="007051C0"/>
    <w:rsid w:val="007051D9"/>
    <w:rsid w:val="00705982"/>
    <w:rsid w:val="00705989"/>
    <w:rsid w:val="00705ADF"/>
    <w:rsid w:val="00705C0B"/>
    <w:rsid w:val="0070673D"/>
    <w:rsid w:val="0070697F"/>
    <w:rsid w:val="00706CA6"/>
    <w:rsid w:val="007075E3"/>
    <w:rsid w:val="00711C4F"/>
    <w:rsid w:val="0071233A"/>
    <w:rsid w:val="00713252"/>
    <w:rsid w:val="0071415D"/>
    <w:rsid w:val="007153FF"/>
    <w:rsid w:val="00715A16"/>
    <w:rsid w:val="0071784D"/>
    <w:rsid w:val="00720391"/>
    <w:rsid w:val="00720BE6"/>
    <w:rsid w:val="00720E37"/>
    <w:rsid w:val="00721CBE"/>
    <w:rsid w:val="007225F3"/>
    <w:rsid w:val="00722A20"/>
    <w:rsid w:val="00724022"/>
    <w:rsid w:val="00724927"/>
    <w:rsid w:val="00724DC8"/>
    <w:rsid w:val="00724E48"/>
    <w:rsid w:val="00724EBF"/>
    <w:rsid w:val="00725FC0"/>
    <w:rsid w:val="00726FC5"/>
    <w:rsid w:val="007273A9"/>
    <w:rsid w:val="007276F2"/>
    <w:rsid w:val="00727C82"/>
    <w:rsid w:val="00730196"/>
    <w:rsid w:val="00730492"/>
    <w:rsid w:val="0073245A"/>
    <w:rsid w:val="00732D02"/>
    <w:rsid w:val="00733806"/>
    <w:rsid w:val="00734035"/>
    <w:rsid w:val="00734154"/>
    <w:rsid w:val="00734F58"/>
    <w:rsid w:val="00734F78"/>
    <w:rsid w:val="007350B4"/>
    <w:rsid w:val="00736C18"/>
    <w:rsid w:val="00740815"/>
    <w:rsid w:val="00740E80"/>
    <w:rsid w:val="00740FF1"/>
    <w:rsid w:val="007417DF"/>
    <w:rsid w:val="00742110"/>
    <w:rsid w:val="0074216F"/>
    <w:rsid w:val="00742A06"/>
    <w:rsid w:val="00743B54"/>
    <w:rsid w:val="007461DF"/>
    <w:rsid w:val="007467CB"/>
    <w:rsid w:val="00746813"/>
    <w:rsid w:val="00746A26"/>
    <w:rsid w:val="00746A2C"/>
    <w:rsid w:val="00747209"/>
    <w:rsid w:val="00747414"/>
    <w:rsid w:val="00747AB3"/>
    <w:rsid w:val="00747BFD"/>
    <w:rsid w:val="00747CB6"/>
    <w:rsid w:val="00750388"/>
    <w:rsid w:val="00750659"/>
    <w:rsid w:val="00750D8B"/>
    <w:rsid w:val="00751612"/>
    <w:rsid w:val="007519B8"/>
    <w:rsid w:val="00751A03"/>
    <w:rsid w:val="00751F43"/>
    <w:rsid w:val="007528D0"/>
    <w:rsid w:val="007548C9"/>
    <w:rsid w:val="00755094"/>
    <w:rsid w:val="007561FA"/>
    <w:rsid w:val="007576B9"/>
    <w:rsid w:val="00757A64"/>
    <w:rsid w:val="00760533"/>
    <w:rsid w:val="00760839"/>
    <w:rsid w:val="00760FDC"/>
    <w:rsid w:val="007616AC"/>
    <w:rsid w:val="007617B3"/>
    <w:rsid w:val="00761F92"/>
    <w:rsid w:val="00762426"/>
    <w:rsid w:val="00763491"/>
    <w:rsid w:val="0076372B"/>
    <w:rsid w:val="007637EF"/>
    <w:rsid w:val="00763CC5"/>
    <w:rsid w:val="00764869"/>
    <w:rsid w:val="007648A0"/>
    <w:rsid w:val="00766A70"/>
    <w:rsid w:val="00770631"/>
    <w:rsid w:val="007707E2"/>
    <w:rsid w:val="00770F6D"/>
    <w:rsid w:val="00770FF5"/>
    <w:rsid w:val="00771D71"/>
    <w:rsid w:val="0077219E"/>
    <w:rsid w:val="00772CFC"/>
    <w:rsid w:val="0077311C"/>
    <w:rsid w:val="007739D2"/>
    <w:rsid w:val="00774104"/>
    <w:rsid w:val="00775369"/>
    <w:rsid w:val="007756A4"/>
    <w:rsid w:val="00775B55"/>
    <w:rsid w:val="0077619F"/>
    <w:rsid w:val="00776504"/>
    <w:rsid w:val="00780982"/>
    <w:rsid w:val="00780B27"/>
    <w:rsid w:val="00780CCF"/>
    <w:rsid w:val="00780D1E"/>
    <w:rsid w:val="00781222"/>
    <w:rsid w:val="00781342"/>
    <w:rsid w:val="00781BA5"/>
    <w:rsid w:val="007821E1"/>
    <w:rsid w:val="00782967"/>
    <w:rsid w:val="007843CA"/>
    <w:rsid w:val="007844A3"/>
    <w:rsid w:val="00786AB6"/>
    <w:rsid w:val="007873AF"/>
    <w:rsid w:val="00787406"/>
    <w:rsid w:val="00790E43"/>
    <w:rsid w:val="00791179"/>
    <w:rsid w:val="00791908"/>
    <w:rsid w:val="00792379"/>
    <w:rsid w:val="00793083"/>
    <w:rsid w:val="007948B3"/>
    <w:rsid w:val="0079499D"/>
    <w:rsid w:val="007955F8"/>
    <w:rsid w:val="00795AE9"/>
    <w:rsid w:val="00795F21"/>
    <w:rsid w:val="0079785D"/>
    <w:rsid w:val="00797993"/>
    <w:rsid w:val="007A098E"/>
    <w:rsid w:val="007A3BAF"/>
    <w:rsid w:val="007A4054"/>
    <w:rsid w:val="007A40A9"/>
    <w:rsid w:val="007A47DE"/>
    <w:rsid w:val="007A51D6"/>
    <w:rsid w:val="007A54F9"/>
    <w:rsid w:val="007A5BB6"/>
    <w:rsid w:val="007A5E42"/>
    <w:rsid w:val="007A7967"/>
    <w:rsid w:val="007A7993"/>
    <w:rsid w:val="007B0AD7"/>
    <w:rsid w:val="007B0D6A"/>
    <w:rsid w:val="007B2196"/>
    <w:rsid w:val="007B28F1"/>
    <w:rsid w:val="007B2CF0"/>
    <w:rsid w:val="007B3C59"/>
    <w:rsid w:val="007B3ED6"/>
    <w:rsid w:val="007B4275"/>
    <w:rsid w:val="007B46FB"/>
    <w:rsid w:val="007B4C1F"/>
    <w:rsid w:val="007B5857"/>
    <w:rsid w:val="007B6483"/>
    <w:rsid w:val="007B71C6"/>
    <w:rsid w:val="007B77DF"/>
    <w:rsid w:val="007C02C3"/>
    <w:rsid w:val="007C0312"/>
    <w:rsid w:val="007C0997"/>
    <w:rsid w:val="007C0D97"/>
    <w:rsid w:val="007C0E06"/>
    <w:rsid w:val="007C2245"/>
    <w:rsid w:val="007C3CBE"/>
    <w:rsid w:val="007C54B1"/>
    <w:rsid w:val="007C5E56"/>
    <w:rsid w:val="007C5FAB"/>
    <w:rsid w:val="007C646E"/>
    <w:rsid w:val="007C6DA9"/>
    <w:rsid w:val="007C743C"/>
    <w:rsid w:val="007C758A"/>
    <w:rsid w:val="007D01DE"/>
    <w:rsid w:val="007D2112"/>
    <w:rsid w:val="007D294B"/>
    <w:rsid w:val="007D3379"/>
    <w:rsid w:val="007D4669"/>
    <w:rsid w:val="007D48FA"/>
    <w:rsid w:val="007D5ECF"/>
    <w:rsid w:val="007D7018"/>
    <w:rsid w:val="007D74B7"/>
    <w:rsid w:val="007D7C31"/>
    <w:rsid w:val="007E05CE"/>
    <w:rsid w:val="007E09B0"/>
    <w:rsid w:val="007E0B6C"/>
    <w:rsid w:val="007E0C43"/>
    <w:rsid w:val="007E140D"/>
    <w:rsid w:val="007E14D1"/>
    <w:rsid w:val="007E1B3D"/>
    <w:rsid w:val="007E2CFF"/>
    <w:rsid w:val="007E2EF2"/>
    <w:rsid w:val="007E35BE"/>
    <w:rsid w:val="007E379E"/>
    <w:rsid w:val="007E38F7"/>
    <w:rsid w:val="007E3E6F"/>
    <w:rsid w:val="007E4C49"/>
    <w:rsid w:val="007E55D7"/>
    <w:rsid w:val="007E5E01"/>
    <w:rsid w:val="007E6BA5"/>
    <w:rsid w:val="007F0093"/>
    <w:rsid w:val="007F08AE"/>
    <w:rsid w:val="007F0D53"/>
    <w:rsid w:val="007F129F"/>
    <w:rsid w:val="007F1703"/>
    <w:rsid w:val="007F227F"/>
    <w:rsid w:val="007F22A3"/>
    <w:rsid w:val="007F2E6D"/>
    <w:rsid w:val="007F377B"/>
    <w:rsid w:val="007F38EC"/>
    <w:rsid w:val="007F3D37"/>
    <w:rsid w:val="007F4300"/>
    <w:rsid w:val="007F4CDA"/>
    <w:rsid w:val="007F51D1"/>
    <w:rsid w:val="007F5B30"/>
    <w:rsid w:val="007F5F09"/>
    <w:rsid w:val="007F605F"/>
    <w:rsid w:val="007F6BC7"/>
    <w:rsid w:val="00800BAD"/>
    <w:rsid w:val="00801499"/>
    <w:rsid w:val="00801DF8"/>
    <w:rsid w:val="00802317"/>
    <w:rsid w:val="00803829"/>
    <w:rsid w:val="008045F9"/>
    <w:rsid w:val="008046C6"/>
    <w:rsid w:val="00804897"/>
    <w:rsid w:val="00804AD9"/>
    <w:rsid w:val="00805080"/>
    <w:rsid w:val="00805CC9"/>
    <w:rsid w:val="0080611E"/>
    <w:rsid w:val="00806779"/>
    <w:rsid w:val="0080685B"/>
    <w:rsid w:val="00807655"/>
    <w:rsid w:val="00807984"/>
    <w:rsid w:val="00807B78"/>
    <w:rsid w:val="008104DE"/>
    <w:rsid w:val="008107B4"/>
    <w:rsid w:val="00811477"/>
    <w:rsid w:val="00811CF1"/>
    <w:rsid w:val="00813F2C"/>
    <w:rsid w:val="008141B9"/>
    <w:rsid w:val="00814C7E"/>
    <w:rsid w:val="008153D7"/>
    <w:rsid w:val="00816F9E"/>
    <w:rsid w:val="0081727F"/>
    <w:rsid w:val="0081759A"/>
    <w:rsid w:val="00817B01"/>
    <w:rsid w:val="00817F4A"/>
    <w:rsid w:val="00821351"/>
    <w:rsid w:val="0082251C"/>
    <w:rsid w:val="00822542"/>
    <w:rsid w:val="00822E20"/>
    <w:rsid w:val="00823159"/>
    <w:rsid w:val="00824996"/>
    <w:rsid w:val="008264BE"/>
    <w:rsid w:val="0082661D"/>
    <w:rsid w:val="008268C4"/>
    <w:rsid w:val="008278D2"/>
    <w:rsid w:val="0083070D"/>
    <w:rsid w:val="00831328"/>
    <w:rsid w:val="00831F5D"/>
    <w:rsid w:val="0083326F"/>
    <w:rsid w:val="00833594"/>
    <w:rsid w:val="0083383B"/>
    <w:rsid w:val="00833869"/>
    <w:rsid w:val="00833E5A"/>
    <w:rsid w:val="008353CB"/>
    <w:rsid w:val="0083587D"/>
    <w:rsid w:val="00835C61"/>
    <w:rsid w:val="00835C8A"/>
    <w:rsid w:val="00835EFD"/>
    <w:rsid w:val="0083665D"/>
    <w:rsid w:val="00837F76"/>
    <w:rsid w:val="00840701"/>
    <w:rsid w:val="0084087A"/>
    <w:rsid w:val="00840994"/>
    <w:rsid w:val="00840F18"/>
    <w:rsid w:val="008415AD"/>
    <w:rsid w:val="00843914"/>
    <w:rsid w:val="00843C80"/>
    <w:rsid w:val="008441E3"/>
    <w:rsid w:val="00844A67"/>
    <w:rsid w:val="00845838"/>
    <w:rsid w:val="00845A37"/>
    <w:rsid w:val="00845DF9"/>
    <w:rsid w:val="00846B62"/>
    <w:rsid w:val="008471BE"/>
    <w:rsid w:val="008476BE"/>
    <w:rsid w:val="00847F88"/>
    <w:rsid w:val="008504C6"/>
    <w:rsid w:val="00851211"/>
    <w:rsid w:val="008542FA"/>
    <w:rsid w:val="008547F6"/>
    <w:rsid w:val="00854BC5"/>
    <w:rsid w:val="00855012"/>
    <w:rsid w:val="008553DD"/>
    <w:rsid w:val="00855BD6"/>
    <w:rsid w:val="008560AC"/>
    <w:rsid w:val="008564CA"/>
    <w:rsid w:val="0085673B"/>
    <w:rsid w:val="00856D03"/>
    <w:rsid w:val="008614DE"/>
    <w:rsid w:val="008617DF"/>
    <w:rsid w:val="00861CF3"/>
    <w:rsid w:val="0086208A"/>
    <w:rsid w:val="00862552"/>
    <w:rsid w:val="00862788"/>
    <w:rsid w:val="008627C6"/>
    <w:rsid w:val="00862AE7"/>
    <w:rsid w:val="0086379F"/>
    <w:rsid w:val="00863BBB"/>
    <w:rsid w:val="00863DB4"/>
    <w:rsid w:val="00864FAE"/>
    <w:rsid w:val="008653B6"/>
    <w:rsid w:val="00865970"/>
    <w:rsid w:val="00865B90"/>
    <w:rsid w:val="008663D1"/>
    <w:rsid w:val="00867086"/>
    <w:rsid w:val="008713C9"/>
    <w:rsid w:val="00872386"/>
    <w:rsid w:val="0087253F"/>
    <w:rsid w:val="00872880"/>
    <w:rsid w:val="00872A43"/>
    <w:rsid w:val="00874587"/>
    <w:rsid w:val="00874687"/>
    <w:rsid w:val="00876A1E"/>
    <w:rsid w:val="00877357"/>
    <w:rsid w:val="008774F8"/>
    <w:rsid w:val="0087789D"/>
    <w:rsid w:val="0088045F"/>
    <w:rsid w:val="00880A59"/>
    <w:rsid w:val="008827D5"/>
    <w:rsid w:val="00882BF7"/>
    <w:rsid w:val="00883883"/>
    <w:rsid w:val="00883C8D"/>
    <w:rsid w:val="0088538C"/>
    <w:rsid w:val="00886748"/>
    <w:rsid w:val="0088690C"/>
    <w:rsid w:val="00887971"/>
    <w:rsid w:val="008901A9"/>
    <w:rsid w:val="00890E2C"/>
    <w:rsid w:val="00890F2A"/>
    <w:rsid w:val="008912CA"/>
    <w:rsid w:val="00891AD4"/>
    <w:rsid w:val="00893FA1"/>
    <w:rsid w:val="00894A84"/>
    <w:rsid w:val="00894CA4"/>
    <w:rsid w:val="00895DF6"/>
    <w:rsid w:val="008971CA"/>
    <w:rsid w:val="008A18E5"/>
    <w:rsid w:val="008A202D"/>
    <w:rsid w:val="008A2FE5"/>
    <w:rsid w:val="008A3D94"/>
    <w:rsid w:val="008A4A1B"/>
    <w:rsid w:val="008A4A92"/>
    <w:rsid w:val="008A4E05"/>
    <w:rsid w:val="008A6A49"/>
    <w:rsid w:val="008A733C"/>
    <w:rsid w:val="008A7555"/>
    <w:rsid w:val="008B0FDB"/>
    <w:rsid w:val="008B183C"/>
    <w:rsid w:val="008B1F9A"/>
    <w:rsid w:val="008B22A1"/>
    <w:rsid w:val="008B339A"/>
    <w:rsid w:val="008B3581"/>
    <w:rsid w:val="008B385F"/>
    <w:rsid w:val="008B4406"/>
    <w:rsid w:val="008B4448"/>
    <w:rsid w:val="008B47EC"/>
    <w:rsid w:val="008B4A31"/>
    <w:rsid w:val="008B4B69"/>
    <w:rsid w:val="008B54DF"/>
    <w:rsid w:val="008B6065"/>
    <w:rsid w:val="008B6413"/>
    <w:rsid w:val="008B690B"/>
    <w:rsid w:val="008B7CDF"/>
    <w:rsid w:val="008C06EF"/>
    <w:rsid w:val="008C0F22"/>
    <w:rsid w:val="008C10FF"/>
    <w:rsid w:val="008C1170"/>
    <w:rsid w:val="008C1D96"/>
    <w:rsid w:val="008C21D5"/>
    <w:rsid w:val="008C2770"/>
    <w:rsid w:val="008C2A39"/>
    <w:rsid w:val="008C31D8"/>
    <w:rsid w:val="008C373C"/>
    <w:rsid w:val="008C49B6"/>
    <w:rsid w:val="008C4ADF"/>
    <w:rsid w:val="008C60D1"/>
    <w:rsid w:val="008C6465"/>
    <w:rsid w:val="008C69A9"/>
    <w:rsid w:val="008C75FA"/>
    <w:rsid w:val="008D1D6F"/>
    <w:rsid w:val="008D28AE"/>
    <w:rsid w:val="008D29EC"/>
    <w:rsid w:val="008D3881"/>
    <w:rsid w:val="008D4A6D"/>
    <w:rsid w:val="008D4BAE"/>
    <w:rsid w:val="008D4C0F"/>
    <w:rsid w:val="008D5E1B"/>
    <w:rsid w:val="008D6361"/>
    <w:rsid w:val="008D6D7C"/>
    <w:rsid w:val="008D73BA"/>
    <w:rsid w:val="008D7460"/>
    <w:rsid w:val="008E00DF"/>
    <w:rsid w:val="008E03B4"/>
    <w:rsid w:val="008E0574"/>
    <w:rsid w:val="008E1884"/>
    <w:rsid w:val="008E2EF4"/>
    <w:rsid w:val="008E3AE8"/>
    <w:rsid w:val="008E4C88"/>
    <w:rsid w:val="008E4DEC"/>
    <w:rsid w:val="008E5C26"/>
    <w:rsid w:val="008E61DA"/>
    <w:rsid w:val="008E6DCB"/>
    <w:rsid w:val="008E7CFA"/>
    <w:rsid w:val="008F07D9"/>
    <w:rsid w:val="008F08EF"/>
    <w:rsid w:val="008F153F"/>
    <w:rsid w:val="008F1890"/>
    <w:rsid w:val="008F18BB"/>
    <w:rsid w:val="008F24B5"/>
    <w:rsid w:val="008F2B45"/>
    <w:rsid w:val="008F2E9B"/>
    <w:rsid w:val="008F41F2"/>
    <w:rsid w:val="008F4411"/>
    <w:rsid w:val="008F47F3"/>
    <w:rsid w:val="008F75C6"/>
    <w:rsid w:val="00900124"/>
    <w:rsid w:val="00901299"/>
    <w:rsid w:val="00902571"/>
    <w:rsid w:val="009032AE"/>
    <w:rsid w:val="009034F1"/>
    <w:rsid w:val="0090532F"/>
    <w:rsid w:val="0090540C"/>
    <w:rsid w:val="00905628"/>
    <w:rsid w:val="0090577E"/>
    <w:rsid w:val="009064C4"/>
    <w:rsid w:val="0090705A"/>
    <w:rsid w:val="00907490"/>
    <w:rsid w:val="009076D6"/>
    <w:rsid w:val="009077D3"/>
    <w:rsid w:val="00907E05"/>
    <w:rsid w:val="00910B69"/>
    <w:rsid w:val="00911126"/>
    <w:rsid w:val="0091222F"/>
    <w:rsid w:val="00912B51"/>
    <w:rsid w:val="00912FF9"/>
    <w:rsid w:val="009137C6"/>
    <w:rsid w:val="00913AFD"/>
    <w:rsid w:val="00915731"/>
    <w:rsid w:val="00915D92"/>
    <w:rsid w:val="00915E36"/>
    <w:rsid w:val="009164B2"/>
    <w:rsid w:val="009167D5"/>
    <w:rsid w:val="009171C9"/>
    <w:rsid w:val="0091751D"/>
    <w:rsid w:val="00917CA6"/>
    <w:rsid w:val="0092053C"/>
    <w:rsid w:val="009209B1"/>
    <w:rsid w:val="00920CDF"/>
    <w:rsid w:val="00921302"/>
    <w:rsid w:val="00921805"/>
    <w:rsid w:val="009219E4"/>
    <w:rsid w:val="009221C8"/>
    <w:rsid w:val="00922954"/>
    <w:rsid w:val="00924245"/>
    <w:rsid w:val="009243DD"/>
    <w:rsid w:val="00924CA9"/>
    <w:rsid w:val="00924D5F"/>
    <w:rsid w:val="0092567B"/>
    <w:rsid w:val="00925D16"/>
    <w:rsid w:val="00925E84"/>
    <w:rsid w:val="00926B23"/>
    <w:rsid w:val="0092723F"/>
    <w:rsid w:val="00930570"/>
    <w:rsid w:val="00930835"/>
    <w:rsid w:val="00930AC5"/>
    <w:rsid w:val="00931B3C"/>
    <w:rsid w:val="00931EA1"/>
    <w:rsid w:val="009325CC"/>
    <w:rsid w:val="00932C59"/>
    <w:rsid w:val="00933684"/>
    <w:rsid w:val="00933BC5"/>
    <w:rsid w:val="00933F01"/>
    <w:rsid w:val="009342BC"/>
    <w:rsid w:val="009348AF"/>
    <w:rsid w:val="009358E9"/>
    <w:rsid w:val="0093596C"/>
    <w:rsid w:val="00937240"/>
    <w:rsid w:val="009373F6"/>
    <w:rsid w:val="009407B6"/>
    <w:rsid w:val="00940980"/>
    <w:rsid w:val="00940F42"/>
    <w:rsid w:val="00941922"/>
    <w:rsid w:val="00942088"/>
    <w:rsid w:val="00942B81"/>
    <w:rsid w:val="0094360C"/>
    <w:rsid w:val="0094408B"/>
    <w:rsid w:val="00944610"/>
    <w:rsid w:val="0094480E"/>
    <w:rsid w:val="009450AF"/>
    <w:rsid w:val="00945165"/>
    <w:rsid w:val="009454FA"/>
    <w:rsid w:val="00945588"/>
    <w:rsid w:val="00945F2C"/>
    <w:rsid w:val="009460B2"/>
    <w:rsid w:val="0094657F"/>
    <w:rsid w:val="009466AC"/>
    <w:rsid w:val="00946F62"/>
    <w:rsid w:val="009471D9"/>
    <w:rsid w:val="009500C5"/>
    <w:rsid w:val="00950260"/>
    <w:rsid w:val="0095203F"/>
    <w:rsid w:val="009520AE"/>
    <w:rsid w:val="00952299"/>
    <w:rsid w:val="0095231C"/>
    <w:rsid w:val="0095323C"/>
    <w:rsid w:val="009543BF"/>
    <w:rsid w:val="009548AC"/>
    <w:rsid w:val="00954E85"/>
    <w:rsid w:val="00954EC2"/>
    <w:rsid w:val="00954FAC"/>
    <w:rsid w:val="00955440"/>
    <w:rsid w:val="00955870"/>
    <w:rsid w:val="009569DB"/>
    <w:rsid w:val="0095721D"/>
    <w:rsid w:val="00957B99"/>
    <w:rsid w:val="00957E80"/>
    <w:rsid w:val="00957E84"/>
    <w:rsid w:val="009618AD"/>
    <w:rsid w:val="00961AE4"/>
    <w:rsid w:val="009624FE"/>
    <w:rsid w:val="00962537"/>
    <w:rsid w:val="00962F3A"/>
    <w:rsid w:val="009638FA"/>
    <w:rsid w:val="00963F5C"/>
    <w:rsid w:val="00964B37"/>
    <w:rsid w:val="009652F1"/>
    <w:rsid w:val="00965348"/>
    <w:rsid w:val="00965598"/>
    <w:rsid w:val="00966472"/>
    <w:rsid w:val="00966D21"/>
    <w:rsid w:val="009671C7"/>
    <w:rsid w:val="00970F7B"/>
    <w:rsid w:val="009727F3"/>
    <w:rsid w:val="00972A7A"/>
    <w:rsid w:val="0097300E"/>
    <w:rsid w:val="009732BE"/>
    <w:rsid w:val="00974985"/>
    <w:rsid w:val="00976042"/>
    <w:rsid w:val="0098099E"/>
    <w:rsid w:val="00981498"/>
    <w:rsid w:val="009825D8"/>
    <w:rsid w:val="00982BBC"/>
    <w:rsid w:val="00983160"/>
    <w:rsid w:val="0098351F"/>
    <w:rsid w:val="00983688"/>
    <w:rsid w:val="009842A7"/>
    <w:rsid w:val="009844C3"/>
    <w:rsid w:val="00984765"/>
    <w:rsid w:val="009854D3"/>
    <w:rsid w:val="009856B3"/>
    <w:rsid w:val="00985D45"/>
    <w:rsid w:val="00986546"/>
    <w:rsid w:val="009866A4"/>
    <w:rsid w:val="009877A5"/>
    <w:rsid w:val="00987988"/>
    <w:rsid w:val="00987B6A"/>
    <w:rsid w:val="00990919"/>
    <w:rsid w:val="0099145D"/>
    <w:rsid w:val="0099159B"/>
    <w:rsid w:val="009919C1"/>
    <w:rsid w:val="009920A4"/>
    <w:rsid w:val="00992186"/>
    <w:rsid w:val="00993042"/>
    <w:rsid w:val="00994800"/>
    <w:rsid w:val="00994BA7"/>
    <w:rsid w:val="009959E5"/>
    <w:rsid w:val="0099614F"/>
    <w:rsid w:val="00996D87"/>
    <w:rsid w:val="00997240"/>
    <w:rsid w:val="009A0205"/>
    <w:rsid w:val="009A05BA"/>
    <w:rsid w:val="009A19F9"/>
    <w:rsid w:val="009A224A"/>
    <w:rsid w:val="009A33AA"/>
    <w:rsid w:val="009A3580"/>
    <w:rsid w:val="009A395F"/>
    <w:rsid w:val="009A3D1A"/>
    <w:rsid w:val="009A4709"/>
    <w:rsid w:val="009A52AA"/>
    <w:rsid w:val="009A5877"/>
    <w:rsid w:val="009A60AA"/>
    <w:rsid w:val="009A62B1"/>
    <w:rsid w:val="009A6470"/>
    <w:rsid w:val="009B0413"/>
    <w:rsid w:val="009B1767"/>
    <w:rsid w:val="009B1CD5"/>
    <w:rsid w:val="009B2CBA"/>
    <w:rsid w:val="009B3602"/>
    <w:rsid w:val="009B3F6B"/>
    <w:rsid w:val="009B42D1"/>
    <w:rsid w:val="009B4552"/>
    <w:rsid w:val="009B56D6"/>
    <w:rsid w:val="009B7618"/>
    <w:rsid w:val="009C0D0A"/>
    <w:rsid w:val="009C1A20"/>
    <w:rsid w:val="009C2296"/>
    <w:rsid w:val="009C27B8"/>
    <w:rsid w:val="009C2D07"/>
    <w:rsid w:val="009C3529"/>
    <w:rsid w:val="009C3EF1"/>
    <w:rsid w:val="009C46A0"/>
    <w:rsid w:val="009C50F4"/>
    <w:rsid w:val="009C59E7"/>
    <w:rsid w:val="009C5B7B"/>
    <w:rsid w:val="009C684A"/>
    <w:rsid w:val="009C69C5"/>
    <w:rsid w:val="009C6BEC"/>
    <w:rsid w:val="009D0B33"/>
    <w:rsid w:val="009D2156"/>
    <w:rsid w:val="009D2AD6"/>
    <w:rsid w:val="009D3258"/>
    <w:rsid w:val="009D3563"/>
    <w:rsid w:val="009D3F6D"/>
    <w:rsid w:val="009D4C19"/>
    <w:rsid w:val="009D5112"/>
    <w:rsid w:val="009D51A0"/>
    <w:rsid w:val="009D53E4"/>
    <w:rsid w:val="009D5DF2"/>
    <w:rsid w:val="009D6CE3"/>
    <w:rsid w:val="009D73DE"/>
    <w:rsid w:val="009D767D"/>
    <w:rsid w:val="009D76E7"/>
    <w:rsid w:val="009D78AF"/>
    <w:rsid w:val="009E0A82"/>
    <w:rsid w:val="009E0BCC"/>
    <w:rsid w:val="009E0C0F"/>
    <w:rsid w:val="009E1C6F"/>
    <w:rsid w:val="009E2DB8"/>
    <w:rsid w:val="009E3842"/>
    <w:rsid w:val="009E404C"/>
    <w:rsid w:val="009E4138"/>
    <w:rsid w:val="009E51D9"/>
    <w:rsid w:val="009E53A1"/>
    <w:rsid w:val="009E5ACA"/>
    <w:rsid w:val="009E5E8D"/>
    <w:rsid w:val="009E690F"/>
    <w:rsid w:val="009E6DB5"/>
    <w:rsid w:val="009E7A4B"/>
    <w:rsid w:val="009F038D"/>
    <w:rsid w:val="009F0513"/>
    <w:rsid w:val="009F05AB"/>
    <w:rsid w:val="009F089E"/>
    <w:rsid w:val="009F1325"/>
    <w:rsid w:val="009F1BC7"/>
    <w:rsid w:val="009F1E25"/>
    <w:rsid w:val="009F1F28"/>
    <w:rsid w:val="009F25A4"/>
    <w:rsid w:val="009F37BC"/>
    <w:rsid w:val="009F40D8"/>
    <w:rsid w:val="009F435E"/>
    <w:rsid w:val="009F4A80"/>
    <w:rsid w:val="009F6025"/>
    <w:rsid w:val="009F624A"/>
    <w:rsid w:val="009F6447"/>
    <w:rsid w:val="009F6687"/>
    <w:rsid w:val="009F67B5"/>
    <w:rsid w:val="009F67F4"/>
    <w:rsid w:val="009F6C0E"/>
    <w:rsid w:val="009F6CC2"/>
    <w:rsid w:val="009F6E00"/>
    <w:rsid w:val="009F7907"/>
    <w:rsid w:val="009F7B6B"/>
    <w:rsid w:val="00A007C1"/>
    <w:rsid w:val="00A02672"/>
    <w:rsid w:val="00A02E98"/>
    <w:rsid w:val="00A02F12"/>
    <w:rsid w:val="00A03BD7"/>
    <w:rsid w:val="00A04AF9"/>
    <w:rsid w:val="00A052C0"/>
    <w:rsid w:val="00A06113"/>
    <w:rsid w:val="00A07FEB"/>
    <w:rsid w:val="00A10262"/>
    <w:rsid w:val="00A1051E"/>
    <w:rsid w:val="00A10D88"/>
    <w:rsid w:val="00A113A4"/>
    <w:rsid w:val="00A12B9B"/>
    <w:rsid w:val="00A132DE"/>
    <w:rsid w:val="00A1357F"/>
    <w:rsid w:val="00A142A5"/>
    <w:rsid w:val="00A14845"/>
    <w:rsid w:val="00A16105"/>
    <w:rsid w:val="00A17EA0"/>
    <w:rsid w:val="00A20122"/>
    <w:rsid w:val="00A201A5"/>
    <w:rsid w:val="00A20B4C"/>
    <w:rsid w:val="00A20F33"/>
    <w:rsid w:val="00A213F0"/>
    <w:rsid w:val="00A2242E"/>
    <w:rsid w:val="00A228FA"/>
    <w:rsid w:val="00A22A90"/>
    <w:rsid w:val="00A2317B"/>
    <w:rsid w:val="00A23813"/>
    <w:rsid w:val="00A23F12"/>
    <w:rsid w:val="00A23F9D"/>
    <w:rsid w:val="00A263E4"/>
    <w:rsid w:val="00A270AF"/>
    <w:rsid w:val="00A3096B"/>
    <w:rsid w:val="00A30D0F"/>
    <w:rsid w:val="00A31507"/>
    <w:rsid w:val="00A320C9"/>
    <w:rsid w:val="00A34C8F"/>
    <w:rsid w:val="00A352A5"/>
    <w:rsid w:val="00A35D8E"/>
    <w:rsid w:val="00A37BAE"/>
    <w:rsid w:val="00A406F8"/>
    <w:rsid w:val="00A41018"/>
    <w:rsid w:val="00A411A4"/>
    <w:rsid w:val="00A419AD"/>
    <w:rsid w:val="00A42A85"/>
    <w:rsid w:val="00A433B8"/>
    <w:rsid w:val="00A43F22"/>
    <w:rsid w:val="00A43F58"/>
    <w:rsid w:val="00A4429C"/>
    <w:rsid w:val="00A44673"/>
    <w:rsid w:val="00A44FD6"/>
    <w:rsid w:val="00A4546B"/>
    <w:rsid w:val="00A46499"/>
    <w:rsid w:val="00A46E1C"/>
    <w:rsid w:val="00A4753D"/>
    <w:rsid w:val="00A50698"/>
    <w:rsid w:val="00A50B37"/>
    <w:rsid w:val="00A52A78"/>
    <w:rsid w:val="00A52AB9"/>
    <w:rsid w:val="00A52E06"/>
    <w:rsid w:val="00A5304C"/>
    <w:rsid w:val="00A536F7"/>
    <w:rsid w:val="00A53C5B"/>
    <w:rsid w:val="00A552A2"/>
    <w:rsid w:val="00A55A39"/>
    <w:rsid w:val="00A55E66"/>
    <w:rsid w:val="00A56676"/>
    <w:rsid w:val="00A620E4"/>
    <w:rsid w:val="00A62231"/>
    <w:rsid w:val="00A63DD8"/>
    <w:rsid w:val="00A643B2"/>
    <w:rsid w:val="00A64BE4"/>
    <w:rsid w:val="00A65B8E"/>
    <w:rsid w:val="00A66643"/>
    <w:rsid w:val="00A67E2F"/>
    <w:rsid w:val="00A70877"/>
    <w:rsid w:val="00A708CB"/>
    <w:rsid w:val="00A70961"/>
    <w:rsid w:val="00A70CC9"/>
    <w:rsid w:val="00A70D74"/>
    <w:rsid w:val="00A710D6"/>
    <w:rsid w:val="00A73BAA"/>
    <w:rsid w:val="00A766F7"/>
    <w:rsid w:val="00A76D64"/>
    <w:rsid w:val="00A76E26"/>
    <w:rsid w:val="00A77606"/>
    <w:rsid w:val="00A80008"/>
    <w:rsid w:val="00A803C5"/>
    <w:rsid w:val="00A810AD"/>
    <w:rsid w:val="00A81C4B"/>
    <w:rsid w:val="00A83E81"/>
    <w:rsid w:val="00A83EE2"/>
    <w:rsid w:val="00A86E53"/>
    <w:rsid w:val="00A871AC"/>
    <w:rsid w:val="00A90901"/>
    <w:rsid w:val="00A90C13"/>
    <w:rsid w:val="00A918E4"/>
    <w:rsid w:val="00A91A02"/>
    <w:rsid w:val="00A91A05"/>
    <w:rsid w:val="00A92F6C"/>
    <w:rsid w:val="00A94085"/>
    <w:rsid w:val="00A944E3"/>
    <w:rsid w:val="00A94980"/>
    <w:rsid w:val="00A94DBF"/>
    <w:rsid w:val="00A953A2"/>
    <w:rsid w:val="00A95BBA"/>
    <w:rsid w:val="00A96584"/>
    <w:rsid w:val="00A967E2"/>
    <w:rsid w:val="00A97522"/>
    <w:rsid w:val="00A97F69"/>
    <w:rsid w:val="00AA042F"/>
    <w:rsid w:val="00AA1E42"/>
    <w:rsid w:val="00AA23E8"/>
    <w:rsid w:val="00AA308C"/>
    <w:rsid w:val="00AA3338"/>
    <w:rsid w:val="00AA4972"/>
    <w:rsid w:val="00AA52E6"/>
    <w:rsid w:val="00AA5F95"/>
    <w:rsid w:val="00AA60FA"/>
    <w:rsid w:val="00AA61CD"/>
    <w:rsid w:val="00AA7613"/>
    <w:rsid w:val="00AB079E"/>
    <w:rsid w:val="00AB0891"/>
    <w:rsid w:val="00AB1A8C"/>
    <w:rsid w:val="00AB1ED1"/>
    <w:rsid w:val="00AB36F5"/>
    <w:rsid w:val="00AB3780"/>
    <w:rsid w:val="00AB3B3E"/>
    <w:rsid w:val="00AB3D6C"/>
    <w:rsid w:val="00AB3DD6"/>
    <w:rsid w:val="00AB3DFA"/>
    <w:rsid w:val="00AB3F73"/>
    <w:rsid w:val="00AB5683"/>
    <w:rsid w:val="00AB6446"/>
    <w:rsid w:val="00AC0E36"/>
    <w:rsid w:val="00AC0F7C"/>
    <w:rsid w:val="00AC0F96"/>
    <w:rsid w:val="00AC3BB7"/>
    <w:rsid w:val="00AC48B7"/>
    <w:rsid w:val="00AC6910"/>
    <w:rsid w:val="00AC6C17"/>
    <w:rsid w:val="00AC70C4"/>
    <w:rsid w:val="00AD0B20"/>
    <w:rsid w:val="00AD19B3"/>
    <w:rsid w:val="00AD2D2F"/>
    <w:rsid w:val="00AD33B0"/>
    <w:rsid w:val="00AD3890"/>
    <w:rsid w:val="00AD39EF"/>
    <w:rsid w:val="00AD3B94"/>
    <w:rsid w:val="00AD3DBA"/>
    <w:rsid w:val="00AD4D5E"/>
    <w:rsid w:val="00AD6EF7"/>
    <w:rsid w:val="00AD7581"/>
    <w:rsid w:val="00AD7ED9"/>
    <w:rsid w:val="00AE05ED"/>
    <w:rsid w:val="00AE1917"/>
    <w:rsid w:val="00AE2115"/>
    <w:rsid w:val="00AE3075"/>
    <w:rsid w:val="00AE3601"/>
    <w:rsid w:val="00AE3BF1"/>
    <w:rsid w:val="00AE430E"/>
    <w:rsid w:val="00AE6E44"/>
    <w:rsid w:val="00AE7366"/>
    <w:rsid w:val="00AF1170"/>
    <w:rsid w:val="00AF1825"/>
    <w:rsid w:val="00AF221F"/>
    <w:rsid w:val="00AF25F3"/>
    <w:rsid w:val="00AF3058"/>
    <w:rsid w:val="00AF3859"/>
    <w:rsid w:val="00AF3EBC"/>
    <w:rsid w:val="00AF40A6"/>
    <w:rsid w:val="00AF4F2A"/>
    <w:rsid w:val="00AF5F4F"/>
    <w:rsid w:val="00AF6F1D"/>
    <w:rsid w:val="00AF78A9"/>
    <w:rsid w:val="00B00C46"/>
    <w:rsid w:val="00B00CC5"/>
    <w:rsid w:val="00B00EE4"/>
    <w:rsid w:val="00B01D3F"/>
    <w:rsid w:val="00B022D4"/>
    <w:rsid w:val="00B03009"/>
    <w:rsid w:val="00B03392"/>
    <w:rsid w:val="00B046B3"/>
    <w:rsid w:val="00B060AE"/>
    <w:rsid w:val="00B06424"/>
    <w:rsid w:val="00B06544"/>
    <w:rsid w:val="00B0691E"/>
    <w:rsid w:val="00B070D6"/>
    <w:rsid w:val="00B07538"/>
    <w:rsid w:val="00B07856"/>
    <w:rsid w:val="00B07A9A"/>
    <w:rsid w:val="00B10E15"/>
    <w:rsid w:val="00B11DFB"/>
    <w:rsid w:val="00B11FEC"/>
    <w:rsid w:val="00B130F3"/>
    <w:rsid w:val="00B132B4"/>
    <w:rsid w:val="00B13D80"/>
    <w:rsid w:val="00B14260"/>
    <w:rsid w:val="00B1465F"/>
    <w:rsid w:val="00B14FC9"/>
    <w:rsid w:val="00B151F9"/>
    <w:rsid w:val="00B16C87"/>
    <w:rsid w:val="00B17165"/>
    <w:rsid w:val="00B203F7"/>
    <w:rsid w:val="00B2163B"/>
    <w:rsid w:val="00B21CF6"/>
    <w:rsid w:val="00B21F94"/>
    <w:rsid w:val="00B22584"/>
    <w:rsid w:val="00B22771"/>
    <w:rsid w:val="00B2322E"/>
    <w:rsid w:val="00B238C0"/>
    <w:rsid w:val="00B24082"/>
    <w:rsid w:val="00B248AB"/>
    <w:rsid w:val="00B25BB8"/>
    <w:rsid w:val="00B25C79"/>
    <w:rsid w:val="00B2714E"/>
    <w:rsid w:val="00B27298"/>
    <w:rsid w:val="00B27447"/>
    <w:rsid w:val="00B304C0"/>
    <w:rsid w:val="00B30735"/>
    <w:rsid w:val="00B311AD"/>
    <w:rsid w:val="00B320AC"/>
    <w:rsid w:val="00B322B5"/>
    <w:rsid w:val="00B334F0"/>
    <w:rsid w:val="00B336A2"/>
    <w:rsid w:val="00B33B80"/>
    <w:rsid w:val="00B346A8"/>
    <w:rsid w:val="00B34CDE"/>
    <w:rsid w:val="00B35EAB"/>
    <w:rsid w:val="00B36057"/>
    <w:rsid w:val="00B36497"/>
    <w:rsid w:val="00B366E1"/>
    <w:rsid w:val="00B3675E"/>
    <w:rsid w:val="00B36E1B"/>
    <w:rsid w:val="00B3726A"/>
    <w:rsid w:val="00B377F6"/>
    <w:rsid w:val="00B37A84"/>
    <w:rsid w:val="00B37BE0"/>
    <w:rsid w:val="00B37DFF"/>
    <w:rsid w:val="00B406CD"/>
    <w:rsid w:val="00B40DB2"/>
    <w:rsid w:val="00B412F4"/>
    <w:rsid w:val="00B4150A"/>
    <w:rsid w:val="00B43960"/>
    <w:rsid w:val="00B439D1"/>
    <w:rsid w:val="00B44C45"/>
    <w:rsid w:val="00B45096"/>
    <w:rsid w:val="00B45C23"/>
    <w:rsid w:val="00B45FE0"/>
    <w:rsid w:val="00B4665F"/>
    <w:rsid w:val="00B47208"/>
    <w:rsid w:val="00B479B1"/>
    <w:rsid w:val="00B50627"/>
    <w:rsid w:val="00B510B7"/>
    <w:rsid w:val="00B513D7"/>
    <w:rsid w:val="00B51C1D"/>
    <w:rsid w:val="00B51DEC"/>
    <w:rsid w:val="00B51F68"/>
    <w:rsid w:val="00B5208E"/>
    <w:rsid w:val="00B52AE3"/>
    <w:rsid w:val="00B54081"/>
    <w:rsid w:val="00B549BC"/>
    <w:rsid w:val="00B55D3F"/>
    <w:rsid w:val="00B5633C"/>
    <w:rsid w:val="00B57B07"/>
    <w:rsid w:val="00B60BD9"/>
    <w:rsid w:val="00B6148C"/>
    <w:rsid w:val="00B623D2"/>
    <w:rsid w:val="00B6305F"/>
    <w:rsid w:val="00B634E7"/>
    <w:rsid w:val="00B6368E"/>
    <w:rsid w:val="00B640E3"/>
    <w:rsid w:val="00B64468"/>
    <w:rsid w:val="00B64BAC"/>
    <w:rsid w:val="00B64E8A"/>
    <w:rsid w:val="00B65F88"/>
    <w:rsid w:val="00B661CC"/>
    <w:rsid w:val="00B6667E"/>
    <w:rsid w:val="00B66D73"/>
    <w:rsid w:val="00B6713E"/>
    <w:rsid w:val="00B67724"/>
    <w:rsid w:val="00B67CE3"/>
    <w:rsid w:val="00B7035C"/>
    <w:rsid w:val="00B70371"/>
    <w:rsid w:val="00B70A71"/>
    <w:rsid w:val="00B70B07"/>
    <w:rsid w:val="00B71248"/>
    <w:rsid w:val="00B719D5"/>
    <w:rsid w:val="00B71A29"/>
    <w:rsid w:val="00B7278E"/>
    <w:rsid w:val="00B72D87"/>
    <w:rsid w:val="00B73A00"/>
    <w:rsid w:val="00B742E7"/>
    <w:rsid w:val="00B76B66"/>
    <w:rsid w:val="00B76BD2"/>
    <w:rsid w:val="00B77349"/>
    <w:rsid w:val="00B7799F"/>
    <w:rsid w:val="00B77A00"/>
    <w:rsid w:val="00B77AAE"/>
    <w:rsid w:val="00B81E5E"/>
    <w:rsid w:val="00B82618"/>
    <w:rsid w:val="00B82917"/>
    <w:rsid w:val="00B83768"/>
    <w:rsid w:val="00B84457"/>
    <w:rsid w:val="00B84920"/>
    <w:rsid w:val="00B84A05"/>
    <w:rsid w:val="00B8596C"/>
    <w:rsid w:val="00B868BE"/>
    <w:rsid w:val="00B876E2"/>
    <w:rsid w:val="00B87897"/>
    <w:rsid w:val="00B90DBF"/>
    <w:rsid w:val="00B90E1E"/>
    <w:rsid w:val="00B918DD"/>
    <w:rsid w:val="00B919DB"/>
    <w:rsid w:val="00B91B64"/>
    <w:rsid w:val="00B9236B"/>
    <w:rsid w:val="00B933A5"/>
    <w:rsid w:val="00B936AA"/>
    <w:rsid w:val="00B9381F"/>
    <w:rsid w:val="00B940CA"/>
    <w:rsid w:val="00B948E3"/>
    <w:rsid w:val="00B95062"/>
    <w:rsid w:val="00B952B1"/>
    <w:rsid w:val="00B95EAC"/>
    <w:rsid w:val="00B960DC"/>
    <w:rsid w:val="00B961DB"/>
    <w:rsid w:val="00B9624C"/>
    <w:rsid w:val="00B96C7D"/>
    <w:rsid w:val="00B9759D"/>
    <w:rsid w:val="00BA0C89"/>
    <w:rsid w:val="00BA1912"/>
    <w:rsid w:val="00BA21DB"/>
    <w:rsid w:val="00BA2F57"/>
    <w:rsid w:val="00BA3BBE"/>
    <w:rsid w:val="00BA52E7"/>
    <w:rsid w:val="00BA591B"/>
    <w:rsid w:val="00BA5A5D"/>
    <w:rsid w:val="00BA66D9"/>
    <w:rsid w:val="00BA6EE3"/>
    <w:rsid w:val="00BA70F6"/>
    <w:rsid w:val="00BA7D59"/>
    <w:rsid w:val="00BB07CF"/>
    <w:rsid w:val="00BB0D8D"/>
    <w:rsid w:val="00BB146E"/>
    <w:rsid w:val="00BB1DAD"/>
    <w:rsid w:val="00BB24B0"/>
    <w:rsid w:val="00BB29A7"/>
    <w:rsid w:val="00BB64A7"/>
    <w:rsid w:val="00BB74AF"/>
    <w:rsid w:val="00BB7C97"/>
    <w:rsid w:val="00BC04CE"/>
    <w:rsid w:val="00BC0CDD"/>
    <w:rsid w:val="00BC0E33"/>
    <w:rsid w:val="00BC1609"/>
    <w:rsid w:val="00BC21CA"/>
    <w:rsid w:val="00BC2DFE"/>
    <w:rsid w:val="00BC5B70"/>
    <w:rsid w:val="00BC6663"/>
    <w:rsid w:val="00BC6B56"/>
    <w:rsid w:val="00BC741B"/>
    <w:rsid w:val="00BC77BC"/>
    <w:rsid w:val="00BC77C3"/>
    <w:rsid w:val="00BD0141"/>
    <w:rsid w:val="00BD0228"/>
    <w:rsid w:val="00BD024A"/>
    <w:rsid w:val="00BD06EB"/>
    <w:rsid w:val="00BD0C5D"/>
    <w:rsid w:val="00BD1C91"/>
    <w:rsid w:val="00BD2B8C"/>
    <w:rsid w:val="00BD2D9A"/>
    <w:rsid w:val="00BD2F0C"/>
    <w:rsid w:val="00BD303F"/>
    <w:rsid w:val="00BD442F"/>
    <w:rsid w:val="00BD44DA"/>
    <w:rsid w:val="00BD4809"/>
    <w:rsid w:val="00BD50BD"/>
    <w:rsid w:val="00BD5229"/>
    <w:rsid w:val="00BD5EBE"/>
    <w:rsid w:val="00BD6886"/>
    <w:rsid w:val="00BD6B00"/>
    <w:rsid w:val="00BD6F12"/>
    <w:rsid w:val="00BD752C"/>
    <w:rsid w:val="00BD75F4"/>
    <w:rsid w:val="00BE038C"/>
    <w:rsid w:val="00BE175C"/>
    <w:rsid w:val="00BE1761"/>
    <w:rsid w:val="00BE1BE1"/>
    <w:rsid w:val="00BE1C3C"/>
    <w:rsid w:val="00BE32C3"/>
    <w:rsid w:val="00BE363A"/>
    <w:rsid w:val="00BE3B82"/>
    <w:rsid w:val="00BE3BB3"/>
    <w:rsid w:val="00BE4487"/>
    <w:rsid w:val="00BE5077"/>
    <w:rsid w:val="00BE601D"/>
    <w:rsid w:val="00BE73CD"/>
    <w:rsid w:val="00BE7B75"/>
    <w:rsid w:val="00BE7BC2"/>
    <w:rsid w:val="00BE7EFD"/>
    <w:rsid w:val="00BF0411"/>
    <w:rsid w:val="00BF05CF"/>
    <w:rsid w:val="00BF06BD"/>
    <w:rsid w:val="00BF0B0F"/>
    <w:rsid w:val="00BF0E9D"/>
    <w:rsid w:val="00BF0FAB"/>
    <w:rsid w:val="00BF1F2A"/>
    <w:rsid w:val="00BF25BA"/>
    <w:rsid w:val="00BF3023"/>
    <w:rsid w:val="00BF4D39"/>
    <w:rsid w:val="00BF52F4"/>
    <w:rsid w:val="00BF7434"/>
    <w:rsid w:val="00C012E6"/>
    <w:rsid w:val="00C026E0"/>
    <w:rsid w:val="00C026E9"/>
    <w:rsid w:val="00C0294E"/>
    <w:rsid w:val="00C0568D"/>
    <w:rsid w:val="00C06F32"/>
    <w:rsid w:val="00C07243"/>
    <w:rsid w:val="00C07881"/>
    <w:rsid w:val="00C101A3"/>
    <w:rsid w:val="00C117C8"/>
    <w:rsid w:val="00C11DB5"/>
    <w:rsid w:val="00C127C4"/>
    <w:rsid w:val="00C1316D"/>
    <w:rsid w:val="00C13D56"/>
    <w:rsid w:val="00C13F9C"/>
    <w:rsid w:val="00C13FFD"/>
    <w:rsid w:val="00C14657"/>
    <w:rsid w:val="00C14AF3"/>
    <w:rsid w:val="00C14B43"/>
    <w:rsid w:val="00C14F8A"/>
    <w:rsid w:val="00C155E9"/>
    <w:rsid w:val="00C16551"/>
    <w:rsid w:val="00C17732"/>
    <w:rsid w:val="00C2083D"/>
    <w:rsid w:val="00C20AD4"/>
    <w:rsid w:val="00C228E3"/>
    <w:rsid w:val="00C2290E"/>
    <w:rsid w:val="00C2323E"/>
    <w:rsid w:val="00C237AF"/>
    <w:rsid w:val="00C2452F"/>
    <w:rsid w:val="00C24AD8"/>
    <w:rsid w:val="00C251A2"/>
    <w:rsid w:val="00C25267"/>
    <w:rsid w:val="00C25364"/>
    <w:rsid w:val="00C25412"/>
    <w:rsid w:val="00C269AD"/>
    <w:rsid w:val="00C26E10"/>
    <w:rsid w:val="00C26F55"/>
    <w:rsid w:val="00C3102C"/>
    <w:rsid w:val="00C313D3"/>
    <w:rsid w:val="00C3159F"/>
    <w:rsid w:val="00C322A2"/>
    <w:rsid w:val="00C32318"/>
    <w:rsid w:val="00C3232F"/>
    <w:rsid w:val="00C324C8"/>
    <w:rsid w:val="00C325C6"/>
    <w:rsid w:val="00C34C83"/>
    <w:rsid w:val="00C35875"/>
    <w:rsid w:val="00C35A58"/>
    <w:rsid w:val="00C3631C"/>
    <w:rsid w:val="00C3663F"/>
    <w:rsid w:val="00C36D2B"/>
    <w:rsid w:val="00C36FEC"/>
    <w:rsid w:val="00C407C1"/>
    <w:rsid w:val="00C40877"/>
    <w:rsid w:val="00C4324D"/>
    <w:rsid w:val="00C43736"/>
    <w:rsid w:val="00C43783"/>
    <w:rsid w:val="00C44371"/>
    <w:rsid w:val="00C45239"/>
    <w:rsid w:val="00C457DF"/>
    <w:rsid w:val="00C4622B"/>
    <w:rsid w:val="00C462AF"/>
    <w:rsid w:val="00C4643E"/>
    <w:rsid w:val="00C47343"/>
    <w:rsid w:val="00C47964"/>
    <w:rsid w:val="00C47D26"/>
    <w:rsid w:val="00C5209C"/>
    <w:rsid w:val="00C5380F"/>
    <w:rsid w:val="00C54BD4"/>
    <w:rsid w:val="00C54DC1"/>
    <w:rsid w:val="00C560D4"/>
    <w:rsid w:val="00C564B9"/>
    <w:rsid w:val="00C56F40"/>
    <w:rsid w:val="00C5710D"/>
    <w:rsid w:val="00C5748D"/>
    <w:rsid w:val="00C57502"/>
    <w:rsid w:val="00C576A2"/>
    <w:rsid w:val="00C60C9E"/>
    <w:rsid w:val="00C61A61"/>
    <w:rsid w:val="00C62E10"/>
    <w:rsid w:val="00C64A27"/>
    <w:rsid w:val="00C66DAA"/>
    <w:rsid w:val="00C6703F"/>
    <w:rsid w:val="00C673B6"/>
    <w:rsid w:val="00C67FF4"/>
    <w:rsid w:val="00C70067"/>
    <w:rsid w:val="00C702B2"/>
    <w:rsid w:val="00C70AAB"/>
    <w:rsid w:val="00C711B6"/>
    <w:rsid w:val="00C711F1"/>
    <w:rsid w:val="00C71996"/>
    <w:rsid w:val="00C729A3"/>
    <w:rsid w:val="00C72A34"/>
    <w:rsid w:val="00C72D4C"/>
    <w:rsid w:val="00C72DCF"/>
    <w:rsid w:val="00C734A1"/>
    <w:rsid w:val="00C75068"/>
    <w:rsid w:val="00C762B7"/>
    <w:rsid w:val="00C7716D"/>
    <w:rsid w:val="00C77B54"/>
    <w:rsid w:val="00C82D42"/>
    <w:rsid w:val="00C8305A"/>
    <w:rsid w:val="00C8325D"/>
    <w:rsid w:val="00C848F3"/>
    <w:rsid w:val="00C851D4"/>
    <w:rsid w:val="00C85B72"/>
    <w:rsid w:val="00C87436"/>
    <w:rsid w:val="00C87A03"/>
    <w:rsid w:val="00C9046A"/>
    <w:rsid w:val="00C90702"/>
    <w:rsid w:val="00C927E4"/>
    <w:rsid w:val="00C92BB7"/>
    <w:rsid w:val="00C92E6F"/>
    <w:rsid w:val="00C92F37"/>
    <w:rsid w:val="00C9346D"/>
    <w:rsid w:val="00C93891"/>
    <w:rsid w:val="00C93BD4"/>
    <w:rsid w:val="00C94B91"/>
    <w:rsid w:val="00C94D53"/>
    <w:rsid w:val="00C94F85"/>
    <w:rsid w:val="00C9565A"/>
    <w:rsid w:val="00C9671C"/>
    <w:rsid w:val="00C96B84"/>
    <w:rsid w:val="00C97180"/>
    <w:rsid w:val="00C971B0"/>
    <w:rsid w:val="00C97223"/>
    <w:rsid w:val="00C9740E"/>
    <w:rsid w:val="00CA0625"/>
    <w:rsid w:val="00CA07CB"/>
    <w:rsid w:val="00CA1118"/>
    <w:rsid w:val="00CA2379"/>
    <w:rsid w:val="00CA27FC"/>
    <w:rsid w:val="00CA2CCA"/>
    <w:rsid w:val="00CA3469"/>
    <w:rsid w:val="00CA34D1"/>
    <w:rsid w:val="00CA513C"/>
    <w:rsid w:val="00CA6561"/>
    <w:rsid w:val="00CA705A"/>
    <w:rsid w:val="00CB3B71"/>
    <w:rsid w:val="00CB46EF"/>
    <w:rsid w:val="00CB504B"/>
    <w:rsid w:val="00CB6C78"/>
    <w:rsid w:val="00CB6FAC"/>
    <w:rsid w:val="00CB72A2"/>
    <w:rsid w:val="00CB7D24"/>
    <w:rsid w:val="00CC1A72"/>
    <w:rsid w:val="00CC2B21"/>
    <w:rsid w:val="00CC3753"/>
    <w:rsid w:val="00CC3985"/>
    <w:rsid w:val="00CC3E5E"/>
    <w:rsid w:val="00CC429D"/>
    <w:rsid w:val="00CC4D5B"/>
    <w:rsid w:val="00CC5CDB"/>
    <w:rsid w:val="00CC601D"/>
    <w:rsid w:val="00CC640E"/>
    <w:rsid w:val="00CC6E96"/>
    <w:rsid w:val="00CC79CC"/>
    <w:rsid w:val="00CC7BE7"/>
    <w:rsid w:val="00CC7D5C"/>
    <w:rsid w:val="00CD0ED6"/>
    <w:rsid w:val="00CD18C2"/>
    <w:rsid w:val="00CD2086"/>
    <w:rsid w:val="00CD2C0C"/>
    <w:rsid w:val="00CD3011"/>
    <w:rsid w:val="00CD312E"/>
    <w:rsid w:val="00CD39B3"/>
    <w:rsid w:val="00CD3FD7"/>
    <w:rsid w:val="00CD44D9"/>
    <w:rsid w:val="00CD49EB"/>
    <w:rsid w:val="00CD5BA9"/>
    <w:rsid w:val="00CD676B"/>
    <w:rsid w:val="00CD6B6E"/>
    <w:rsid w:val="00CD6D47"/>
    <w:rsid w:val="00CD73EB"/>
    <w:rsid w:val="00CD78E0"/>
    <w:rsid w:val="00CD79D7"/>
    <w:rsid w:val="00CD7AB2"/>
    <w:rsid w:val="00CD7D63"/>
    <w:rsid w:val="00CE0069"/>
    <w:rsid w:val="00CE04BE"/>
    <w:rsid w:val="00CE0C0D"/>
    <w:rsid w:val="00CE0E35"/>
    <w:rsid w:val="00CE19DE"/>
    <w:rsid w:val="00CE27A1"/>
    <w:rsid w:val="00CE2CE5"/>
    <w:rsid w:val="00CE3435"/>
    <w:rsid w:val="00CE3F50"/>
    <w:rsid w:val="00CE40B0"/>
    <w:rsid w:val="00CE4BF1"/>
    <w:rsid w:val="00CE5329"/>
    <w:rsid w:val="00CE5912"/>
    <w:rsid w:val="00CE678C"/>
    <w:rsid w:val="00CE68BA"/>
    <w:rsid w:val="00CE76EE"/>
    <w:rsid w:val="00CE7AA8"/>
    <w:rsid w:val="00CF069D"/>
    <w:rsid w:val="00CF0A5E"/>
    <w:rsid w:val="00CF0F7B"/>
    <w:rsid w:val="00CF1437"/>
    <w:rsid w:val="00CF4290"/>
    <w:rsid w:val="00CF46BC"/>
    <w:rsid w:val="00CF46E9"/>
    <w:rsid w:val="00CF53A7"/>
    <w:rsid w:val="00CF58D0"/>
    <w:rsid w:val="00CF58EA"/>
    <w:rsid w:val="00CF59E4"/>
    <w:rsid w:val="00CF63AC"/>
    <w:rsid w:val="00CF768B"/>
    <w:rsid w:val="00CF7936"/>
    <w:rsid w:val="00D01214"/>
    <w:rsid w:val="00D01AB5"/>
    <w:rsid w:val="00D02078"/>
    <w:rsid w:val="00D027C6"/>
    <w:rsid w:val="00D042DF"/>
    <w:rsid w:val="00D059E3"/>
    <w:rsid w:val="00D05ADC"/>
    <w:rsid w:val="00D05CA6"/>
    <w:rsid w:val="00D05FFF"/>
    <w:rsid w:val="00D0641A"/>
    <w:rsid w:val="00D066BF"/>
    <w:rsid w:val="00D06911"/>
    <w:rsid w:val="00D069B4"/>
    <w:rsid w:val="00D06D9C"/>
    <w:rsid w:val="00D06DC5"/>
    <w:rsid w:val="00D06F52"/>
    <w:rsid w:val="00D06FC0"/>
    <w:rsid w:val="00D10CE9"/>
    <w:rsid w:val="00D11219"/>
    <w:rsid w:val="00D11B89"/>
    <w:rsid w:val="00D128B3"/>
    <w:rsid w:val="00D12D13"/>
    <w:rsid w:val="00D130DA"/>
    <w:rsid w:val="00D132F2"/>
    <w:rsid w:val="00D13CB1"/>
    <w:rsid w:val="00D13EA2"/>
    <w:rsid w:val="00D13F80"/>
    <w:rsid w:val="00D144D9"/>
    <w:rsid w:val="00D144E4"/>
    <w:rsid w:val="00D14654"/>
    <w:rsid w:val="00D146FF"/>
    <w:rsid w:val="00D15FDA"/>
    <w:rsid w:val="00D16211"/>
    <w:rsid w:val="00D166C5"/>
    <w:rsid w:val="00D1674A"/>
    <w:rsid w:val="00D1677F"/>
    <w:rsid w:val="00D16EEF"/>
    <w:rsid w:val="00D16FC3"/>
    <w:rsid w:val="00D17E5E"/>
    <w:rsid w:val="00D17F78"/>
    <w:rsid w:val="00D20197"/>
    <w:rsid w:val="00D20903"/>
    <w:rsid w:val="00D20AF1"/>
    <w:rsid w:val="00D2105F"/>
    <w:rsid w:val="00D21AC5"/>
    <w:rsid w:val="00D21CDD"/>
    <w:rsid w:val="00D21F85"/>
    <w:rsid w:val="00D22471"/>
    <w:rsid w:val="00D23077"/>
    <w:rsid w:val="00D23245"/>
    <w:rsid w:val="00D2389C"/>
    <w:rsid w:val="00D24138"/>
    <w:rsid w:val="00D24945"/>
    <w:rsid w:val="00D2577A"/>
    <w:rsid w:val="00D2680A"/>
    <w:rsid w:val="00D26FC6"/>
    <w:rsid w:val="00D31D5C"/>
    <w:rsid w:val="00D324B4"/>
    <w:rsid w:val="00D32C85"/>
    <w:rsid w:val="00D33915"/>
    <w:rsid w:val="00D33BCE"/>
    <w:rsid w:val="00D348FE"/>
    <w:rsid w:val="00D3543B"/>
    <w:rsid w:val="00D363B5"/>
    <w:rsid w:val="00D368A9"/>
    <w:rsid w:val="00D3696D"/>
    <w:rsid w:val="00D41A77"/>
    <w:rsid w:val="00D42CC5"/>
    <w:rsid w:val="00D44826"/>
    <w:rsid w:val="00D450A1"/>
    <w:rsid w:val="00D455E5"/>
    <w:rsid w:val="00D45807"/>
    <w:rsid w:val="00D45DD5"/>
    <w:rsid w:val="00D45DF2"/>
    <w:rsid w:val="00D45E01"/>
    <w:rsid w:val="00D4613A"/>
    <w:rsid w:val="00D469A5"/>
    <w:rsid w:val="00D50E10"/>
    <w:rsid w:val="00D51D51"/>
    <w:rsid w:val="00D51F61"/>
    <w:rsid w:val="00D523D8"/>
    <w:rsid w:val="00D5246C"/>
    <w:rsid w:val="00D53207"/>
    <w:rsid w:val="00D5594D"/>
    <w:rsid w:val="00D55CE4"/>
    <w:rsid w:val="00D56898"/>
    <w:rsid w:val="00D57C16"/>
    <w:rsid w:val="00D611B2"/>
    <w:rsid w:val="00D61AC0"/>
    <w:rsid w:val="00D62EA0"/>
    <w:rsid w:val="00D63119"/>
    <w:rsid w:val="00D638E8"/>
    <w:rsid w:val="00D63C2B"/>
    <w:rsid w:val="00D658CB"/>
    <w:rsid w:val="00D65E77"/>
    <w:rsid w:val="00D67A02"/>
    <w:rsid w:val="00D70CC1"/>
    <w:rsid w:val="00D710E7"/>
    <w:rsid w:val="00D71A9D"/>
    <w:rsid w:val="00D72166"/>
    <w:rsid w:val="00D7219C"/>
    <w:rsid w:val="00D7245F"/>
    <w:rsid w:val="00D7383D"/>
    <w:rsid w:val="00D73C19"/>
    <w:rsid w:val="00D74F15"/>
    <w:rsid w:val="00D75B50"/>
    <w:rsid w:val="00D75C7F"/>
    <w:rsid w:val="00D772A8"/>
    <w:rsid w:val="00D77980"/>
    <w:rsid w:val="00D8032C"/>
    <w:rsid w:val="00D8151D"/>
    <w:rsid w:val="00D81FD3"/>
    <w:rsid w:val="00D8269B"/>
    <w:rsid w:val="00D82A8A"/>
    <w:rsid w:val="00D82E34"/>
    <w:rsid w:val="00D83521"/>
    <w:rsid w:val="00D83674"/>
    <w:rsid w:val="00D849B3"/>
    <w:rsid w:val="00D84AAE"/>
    <w:rsid w:val="00D84B7B"/>
    <w:rsid w:val="00D854B4"/>
    <w:rsid w:val="00D86620"/>
    <w:rsid w:val="00D86621"/>
    <w:rsid w:val="00D86997"/>
    <w:rsid w:val="00D86B66"/>
    <w:rsid w:val="00D86BBB"/>
    <w:rsid w:val="00D87226"/>
    <w:rsid w:val="00D8779D"/>
    <w:rsid w:val="00D87D0E"/>
    <w:rsid w:val="00D912F6"/>
    <w:rsid w:val="00D92C28"/>
    <w:rsid w:val="00D9395F"/>
    <w:rsid w:val="00D93C7A"/>
    <w:rsid w:val="00D945FD"/>
    <w:rsid w:val="00D94E51"/>
    <w:rsid w:val="00D9639E"/>
    <w:rsid w:val="00D96468"/>
    <w:rsid w:val="00D96E11"/>
    <w:rsid w:val="00D971DA"/>
    <w:rsid w:val="00D97C80"/>
    <w:rsid w:val="00DA0B59"/>
    <w:rsid w:val="00DA1588"/>
    <w:rsid w:val="00DA2611"/>
    <w:rsid w:val="00DA4533"/>
    <w:rsid w:val="00DA4E08"/>
    <w:rsid w:val="00DA5644"/>
    <w:rsid w:val="00DA5BF9"/>
    <w:rsid w:val="00DA5DC4"/>
    <w:rsid w:val="00DA6E8C"/>
    <w:rsid w:val="00DA7551"/>
    <w:rsid w:val="00DA7AA2"/>
    <w:rsid w:val="00DB0546"/>
    <w:rsid w:val="00DB0BB6"/>
    <w:rsid w:val="00DB0E21"/>
    <w:rsid w:val="00DB102F"/>
    <w:rsid w:val="00DB315A"/>
    <w:rsid w:val="00DB32BB"/>
    <w:rsid w:val="00DB3485"/>
    <w:rsid w:val="00DB3789"/>
    <w:rsid w:val="00DB3804"/>
    <w:rsid w:val="00DB4AA8"/>
    <w:rsid w:val="00DB4FE5"/>
    <w:rsid w:val="00DB5424"/>
    <w:rsid w:val="00DB5C1B"/>
    <w:rsid w:val="00DB709C"/>
    <w:rsid w:val="00DB7317"/>
    <w:rsid w:val="00DB74FF"/>
    <w:rsid w:val="00DB7932"/>
    <w:rsid w:val="00DC0615"/>
    <w:rsid w:val="00DC0B5D"/>
    <w:rsid w:val="00DC1D84"/>
    <w:rsid w:val="00DC20B9"/>
    <w:rsid w:val="00DC2B9A"/>
    <w:rsid w:val="00DC3EBB"/>
    <w:rsid w:val="00DC4744"/>
    <w:rsid w:val="00DC4D29"/>
    <w:rsid w:val="00DC4D6D"/>
    <w:rsid w:val="00DC525C"/>
    <w:rsid w:val="00DC5905"/>
    <w:rsid w:val="00DC63AD"/>
    <w:rsid w:val="00DC757A"/>
    <w:rsid w:val="00DD04BE"/>
    <w:rsid w:val="00DD057D"/>
    <w:rsid w:val="00DD1533"/>
    <w:rsid w:val="00DD3CA0"/>
    <w:rsid w:val="00DD3FAE"/>
    <w:rsid w:val="00DD4834"/>
    <w:rsid w:val="00DD60D6"/>
    <w:rsid w:val="00DD6315"/>
    <w:rsid w:val="00DD7751"/>
    <w:rsid w:val="00DD7FC7"/>
    <w:rsid w:val="00DE0390"/>
    <w:rsid w:val="00DE13CD"/>
    <w:rsid w:val="00DE4947"/>
    <w:rsid w:val="00DE4AC2"/>
    <w:rsid w:val="00DE5A00"/>
    <w:rsid w:val="00DE6A91"/>
    <w:rsid w:val="00DF0B35"/>
    <w:rsid w:val="00DF121E"/>
    <w:rsid w:val="00DF1393"/>
    <w:rsid w:val="00DF169E"/>
    <w:rsid w:val="00DF1733"/>
    <w:rsid w:val="00DF22D2"/>
    <w:rsid w:val="00DF2B8C"/>
    <w:rsid w:val="00DF3802"/>
    <w:rsid w:val="00DF3E28"/>
    <w:rsid w:val="00DF465F"/>
    <w:rsid w:val="00DF554E"/>
    <w:rsid w:val="00DF60C8"/>
    <w:rsid w:val="00DF656A"/>
    <w:rsid w:val="00DF6578"/>
    <w:rsid w:val="00DF6BEB"/>
    <w:rsid w:val="00DF7A38"/>
    <w:rsid w:val="00DF7B11"/>
    <w:rsid w:val="00E00337"/>
    <w:rsid w:val="00E02B7E"/>
    <w:rsid w:val="00E03755"/>
    <w:rsid w:val="00E039F3"/>
    <w:rsid w:val="00E04754"/>
    <w:rsid w:val="00E04878"/>
    <w:rsid w:val="00E04C43"/>
    <w:rsid w:val="00E05D3F"/>
    <w:rsid w:val="00E05FC9"/>
    <w:rsid w:val="00E0644C"/>
    <w:rsid w:val="00E07C36"/>
    <w:rsid w:val="00E07E13"/>
    <w:rsid w:val="00E112A9"/>
    <w:rsid w:val="00E119DA"/>
    <w:rsid w:val="00E13952"/>
    <w:rsid w:val="00E13B7B"/>
    <w:rsid w:val="00E13D5D"/>
    <w:rsid w:val="00E1536C"/>
    <w:rsid w:val="00E15F4F"/>
    <w:rsid w:val="00E164F5"/>
    <w:rsid w:val="00E16C5C"/>
    <w:rsid w:val="00E1755C"/>
    <w:rsid w:val="00E20BA6"/>
    <w:rsid w:val="00E21301"/>
    <w:rsid w:val="00E2218A"/>
    <w:rsid w:val="00E22326"/>
    <w:rsid w:val="00E2446D"/>
    <w:rsid w:val="00E244CC"/>
    <w:rsid w:val="00E24D20"/>
    <w:rsid w:val="00E25BB6"/>
    <w:rsid w:val="00E26068"/>
    <w:rsid w:val="00E27264"/>
    <w:rsid w:val="00E27BFE"/>
    <w:rsid w:val="00E30115"/>
    <w:rsid w:val="00E31775"/>
    <w:rsid w:val="00E318BA"/>
    <w:rsid w:val="00E31BC6"/>
    <w:rsid w:val="00E32FD1"/>
    <w:rsid w:val="00E3455D"/>
    <w:rsid w:val="00E34751"/>
    <w:rsid w:val="00E35166"/>
    <w:rsid w:val="00E35988"/>
    <w:rsid w:val="00E3678B"/>
    <w:rsid w:val="00E4016D"/>
    <w:rsid w:val="00E40308"/>
    <w:rsid w:val="00E407C6"/>
    <w:rsid w:val="00E422FD"/>
    <w:rsid w:val="00E42883"/>
    <w:rsid w:val="00E429CA"/>
    <w:rsid w:val="00E42F1F"/>
    <w:rsid w:val="00E44B9E"/>
    <w:rsid w:val="00E4538F"/>
    <w:rsid w:val="00E45394"/>
    <w:rsid w:val="00E45C88"/>
    <w:rsid w:val="00E46137"/>
    <w:rsid w:val="00E46250"/>
    <w:rsid w:val="00E468DB"/>
    <w:rsid w:val="00E46DAA"/>
    <w:rsid w:val="00E46F98"/>
    <w:rsid w:val="00E47035"/>
    <w:rsid w:val="00E4743E"/>
    <w:rsid w:val="00E4788A"/>
    <w:rsid w:val="00E509A0"/>
    <w:rsid w:val="00E51E43"/>
    <w:rsid w:val="00E51FEE"/>
    <w:rsid w:val="00E5220A"/>
    <w:rsid w:val="00E5297D"/>
    <w:rsid w:val="00E52BE0"/>
    <w:rsid w:val="00E54ABB"/>
    <w:rsid w:val="00E55006"/>
    <w:rsid w:val="00E56217"/>
    <w:rsid w:val="00E56467"/>
    <w:rsid w:val="00E56F81"/>
    <w:rsid w:val="00E57502"/>
    <w:rsid w:val="00E57529"/>
    <w:rsid w:val="00E57621"/>
    <w:rsid w:val="00E576DD"/>
    <w:rsid w:val="00E600F4"/>
    <w:rsid w:val="00E60DCD"/>
    <w:rsid w:val="00E6198D"/>
    <w:rsid w:val="00E61D37"/>
    <w:rsid w:val="00E620F8"/>
    <w:rsid w:val="00E64784"/>
    <w:rsid w:val="00E65629"/>
    <w:rsid w:val="00E65C82"/>
    <w:rsid w:val="00E66689"/>
    <w:rsid w:val="00E67709"/>
    <w:rsid w:val="00E71A00"/>
    <w:rsid w:val="00E7254F"/>
    <w:rsid w:val="00E72E21"/>
    <w:rsid w:val="00E73B5E"/>
    <w:rsid w:val="00E757C6"/>
    <w:rsid w:val="00E76C10"/>
    <w:rsid w:val="00E772D8"/>
    <w:rsid w:val="00E777FA"/>
    <w:rsid w:val="00E8147F"/>
    <w:rsid w:val="00E81584"/>
    <w:rsid w:val="00E81F5C"/>
    <w:rsid w:val="00E81FDE"/>
    <w:rsid w:val="00E8233E"/>
    <w:rsid w:val="00E82B06"/>
    <w:rsid w:val="00E83304"/>
    <w:rsid w:val="00E844F3"/>
    <w:rsid w:val="00E84B10"/>
    <w:rsid w:val="00E85377"/>
    <w:rsid w:val="00E85768"/>
    <w:rsid w:val="00E85AF8"/>
    <w:rsid w:val="00E86C1F"/>
    <w:rsid w:val="00E870E5"/>
    <w:rsid w:val="00E87F6F"/>
    <w:rsid w:val="00E9047C"/>
    <w:rsid w:val="00E90E37"/>
    <w:rsid w:val="00E91271"/>
    <w:rsid w:val="00E912CC"/>
    <w:rsid w:val="00E91778"/>
    <w:rsid w:val="00E9499F"/>
    <w:rsid w:val="00E95532"/>
    <w:rsid w:val="00E956A3"/>
    <w:rsid w:val="00E976B2"/>
    <w:rsid w:val="00E97EEF"/>
    <w:rsid w:val="00EA0D2B"/>
    <w:rsid w:val="00EA17DF"/>
    <w:rsid w:val="00EA21F9"/>
    <w:rsid w:val="00EA2414"/>
    <w:rsid w:val="00EA2C6E"/>
    <w:rsid w:val="00EA350F"/>
    <w:rsid w:val="00EA4E57"/>
    <w:rsid w:val="00EA5B4E"/>
    <w:rsid w:val="00EA64AE"/>
    <w:rsid w:val="00EA740F"/>
    <w:rsid w:val="00EA7857"/>
    <w:rsid w:val="00EB060B"/>
    <w:rsid w:val="00EB12D1"/>
    <w:rsid w:val="00EB15C8"/>
    <w:rsid w:val="00EB1A71"/>
    <w:rsid w:val="00EB1CB1"/>
    <w:rsid w:val="00EB1E0E"/>
    <w:rsid w:val="00EB3C02"/>
    <w:rsid w:val="00EB3EE2"/>
    <w:rsid w:val="00EB4BDC"/>
    <w:rsid w:val="00EB4FEF"/>
    <w:rsid w:val="00EB5C8E"/>
    <w:rsid w:val="00EB6791"/>
    <w:rsid w:val="00EB6BE4"/>
    <w:rsid w:val="00EB735D"/>
    <w:rsid w:val="00EB73B5"/>
    <w:rsid w:val="00EB76F2"/>
    <w:rsid w:val="00EC0BEE"/>
    <w:rsid w:val="00EC16A9"/>
    <w:rsid w:val="00EC1D96"/>
    <w:rsid w:val="00EC1DC8"/>
    <w:rsid w:val="00EC304F"/>
    <w:rsid w:val="00EC35C6"/>
    <w:rsid w:val="00EC3656"/>
    <w:rsid w:val="00EC3988"/>
    <w:rsid w:val="00EC3DAA"/>
    <w:rsid w:val="00EC6492"/>
    <w:rsid w:val="00EC6B94"/>
    <w:rsid w:val="00EC7724"/>
    <w:rsid w:val="00EC7A29"/>
    <w:rsid w:val="00EC7B81"/>
    <w:rsid w:val="00ED0397"/>
    <w:rsid w:val="00ED06C5"/>
    <w:rsid w:val="00ED09E8"/>
    <w:rsid w:val="00ED191C"/>
    <w:rsid w:val="00ED1D52"/>
    <w:rsid w:val="00ED2A78"/>
    <w:rsid w:val="00ED3E32"/>
    <w:rsid w:val="00ED3F15"/>
    <w:rsid w:val="00ED47CC"/>
    <w:rsid w:val="00ED5496"/>
    <w:rsid w:val="00ED5B28"/>
    <w:rsid w:val="00ED7172"/>
    <w:rsid w:val="00ED7A6D"/>
    <w:rsid w:val="00EE0A97"/>
    <w:rsid w:val="00EE0C4E"/>
    <w:rsid w:val="00EE1A6B"/>
    <w:rsid w:val="00EE362C"/>
    <w:rsid w:val="00EE373F"/>
    <w:rsid w:val="00EE47BD"/>
    <w:rsid w:val="00EE4F97"/>
    <w:rsid w:val="00EE53A2"/>
    <w:rsid w:val="00EE5483"/>
    <w:rsid w:val="00EE5B85"/>
    <w:rsid w:val="00EE67CE"/>
    <w:rsid w:val="00EF0A2D"/>
    <w:rsid w:val="00EF11B8"/>
    <w:rsid w:val="00EF18B6"/>
    <w:rsid w:val="00EF1C57"/>
    <w:rsid w:val="00EF255E"/>
    <w:rsid w:val="00EF2E09"/>
    <w:rsid w:val="00EF36D5"/>
    <w:rsid w:val="00EF3ED2"/>
    <w:rsid w:val="00EF5746"/>
    <w:rsid w:val="00EF5BC1"/>
    <w:rsid w:val="00EF6693"/>
    <w:rsid w:val="00EF6701"/>
    <w:rsid w:val="00EF6B9B"/>
    <w:rsid w:val="00EF70A8"/>
    <w:rsid w:val="00EF7B5A"/>
    <w:rsid w:val="00F004B8"/>
    <w:rsid w:val="00F00667"/>
    <w:rsid w:val="00F00BC9"/>
    <w:rsid w:val="00F00DDC"/>
    <w:rsid w:val="00F02DC3"/>
    <w:rsid w:val="00F02DCC"/>
    <w:rsid w:val="00F03654"/>
    <w:rsid w:val="00F04A6E"/>
    <w:rsid w:val="00F04FCE"/>
    <w:rsid w:val="00F06E33"/>
    <w:rsid w:val="00F10BA1"/>
    <w:rsid w:val="00F10CD6"/>
    <w:rsid w:val="00F11492"/>
    <w:rsid w:val="00F1182B"/>
    <w:rsid w:val="00F12084"/>
    <w:rsid w:val="00F141D5"/>
    <w:rsid w:val="00F1523A"/>
    <w:rsid w:val="00F17F40"/>
    <w:rsid w:val="00F20A47"/>
    <w:rsid w:val="00F21DDB"/>
    <w:rsid w:val="00F21E72"/>
    <w:rsid w:val="00F22417"/>
    <w:rsid w:val="00F22812"/>
    <w:rsid w:val="00F22C4D"/>
    <w:rsid w:val="00F236B9"/>
    <w:rsid w:val="00F239D2"/>
    <w:rsid w:val="00F23F1C"/>
    <w:rsid w:val="00F24713"/>
    <w:rsid w:val="00F24A4E"/>
    <w:rsid w:val="00F25EF9"/>
    <w:rsid w:val="00F269E0"/>
    <w:rsid w:val="00F270AF"/>
    <w:rsid w:val="00F300DA"/>
    <w:rsid w:val="00F31BC4"/>
    <w:rsid w:val="00F31C4F"/>
    <w:rsid w:val="00F32055"/>
    <w:rsid w:val="00F323E0"/>
    <w:rsid w:val="00F3249B"/>
    <w:rsid w:val="00F327B5"/>
    <w:rsid w:val="00F32A6D"/>
    <w:rsid w:val="00F32C14"/>
    <w:rsid w:val="00F33480"/>
    <w:rsid w:val="00F33605"/>
    <w:rsid w:val="00F337DD"/>
    <w:rsid w:val="00F3539E"/>
    <w:rsid w:val="00F3560B"/>
    <w:rsid w:val="00F36977"/>
    <w:rsid w:val="00F37E51"/>
    <w:rsid w:val="00F40D4A"/>
    <w:rsid w:val="00F41801"/>
    <w:rsid w:val="00F42413"/>
    <w:rsid w:val="00F42968"/>
    <w:rsid w:val="00F439FC"/>
    <w:rsid w:val="00F45697"/>
    <w:rsid w:val="00F46133"/>
    <w:rsid w:val="00F47FC6"/>
    <w:rsid w:val="00F50A3A"/>
    <w:rsid w:val="00F519B1"/>
    <w:rsid w:val="00F51C18"/>
    <w:rsid w:val="00F51F41"/>
    <w:rsid w:val="00F52075"/>
    <w:rsid w:val="00F52D4F"/>
    <w:rsid w:val="00F54F2A"/>
    <w:rsid w:val="00F55160"/>
    <w:rsid w:val="00F5553B"/>
    <w:rsid w:val="00F561B3"/>
    <w:rsid w:val="00F565BC"/>
    <w:rsid w:val="00F57DA6"/>
    <w:rsid w:val="00F6040B"/>
    <w:rsid w:val="00F60905"/>
    <w:rsid w:val="00F60A03"/>
    <w:rsid w:val="00F60EA5"/>
    <w:rsid w:val="00F61046"/>
    <w:rsid w:val="00F6141B"/>
    <w:rsid w:val="00F61840"/>
    <w:rsid w:val="00F618DF"/>
    <w:rsid w:val="00F622B1"/>
    <w:rsid w:val="00F637FC"/>
    <w:rsid w:val="00F645D6"/>
    <w:rsid w:val="00F64E0F"/>
    <w:rsid w:val="00F70302"/>
    <w:rsid w:val="00F70499"/>
    <w:rsid w:val="00F70DCB"/>
    <w:rsid w:val="00F70DD9"/>
    <w:rsid w:val="00F7220F"/>
    <w:rsid w:val="00F729B3"/>
    <w:rsid w:val="00F72D58"/>
    <w:rsid w:val="00F72E86"/>
    <w:rsid w:val="00F7310A"/>
    <w:rsid w:val="00F7328B"/>
    <w:rsid w:val="00F737BD"/>
    <w:rsid w:val="00F74244"/>
    <w:rsid w:val="00F74918"/>
    <w:rsid w:val="00F74B4C"/>
    <w:rsid w:val="00F74E78"/>
    <w:rsid w:val="00F77C6F"/>
    <w:rsid w:val="00F81EE7"/>
    <w:rsid w:val="00F830C2"/>
    <w:rsid w:val="00F83424"/>
    <w:rsid w:val="00F83AEE"/>
    <w:rsid w:val="00F83FC4"/>
    <w:rsid w:val="00F84CF0"/>
    <w:rsid w:val="00F84DA2"/>
    <w:rsid w:val="00F84EC3"/>
    <w:rsid w:val="00F85947"/>
    <w:rsid w:val="00F864F0"/>
    <w:rsid w:val="00F86BC5"/>
    <w:rsid w:val="00F90678"/>
    <w:rsid w:val="00F9077D"/>
    <w:rsid w:val="00F9094A"/>
    <w:rsid w:val="00F90CCE"/>
    <w:rsid w:val="00F917D3"/>
    <w:rsid w:val="00F91EFB"/>
    <w:rsid w:val="00F92950"/>
    <w:rsid w:val="00F92DDF"/>
    <w:rsid w:val="00F940E0"/>
    <w:rsid w:val="00F94474"/>
    <w:rsid w:val="00F954CE"/>
    <w:rsid w:val="00F954EA"/>
    <w:rsid w:val="00F95D20"/>
    <w:rsid w:val="00F966B2"/>
    <w:rsid w:val="00F96782"/>
    <w:rsid w:val="00F969B3"/>
    <w:rsid w:val="00F96FBC"/>
    <w:rsid w:val="00F978A4"/>
    <w:rsid w:val="00F97C7A"/>
    <w:rsid w:val="00FA0E63"/>
    <w:rsid w:val="00FA15C3"/>
    <w:rsid w:val="00FA22BC"/>
    <w:rsid w:val="00FA280A"/>
    <w:rsid w:val="00FA2B69"/>
    <w:rsid w:val="00FA3595"/>
    <w:rsid w:val="00FA36AF"/>
    <w:rsid w:val="00FA48E6"/>
    <w:rsid w:val="00FA4E7A"/>
    <w:rsid w:val="00FA6469"/>
    <w:rsid w:val="00FA6614"/>
    <w:rsid w:val="00FA67B5"/>
    <w:rsid w:val="00FA6FDC"/>
    <w:rsid w:val="00FA78B9"/>
    <w:rsid w:val="00FB0357"/>
    <w:rsid w:val="00FB1782"/>
    <w:rsid w:val="00FB1E80"/>
    <w:rsid w:val="00FB3669"/>
    <w:rsid w:val="00FB3F9A"/>
    <w:rsid w:val="00FB42D9"/>
    <w:rsid w:val="00FB4EEE"/>
    <w:rsid w:val="00FB50BF"/>
    <w:rsid w:val="00FB547E"/>
    <w:rsid w:val="00FB5912"/>
    <w:rsid w:val="00FB6D45"/>
    <w:rsid w:val="00FB6E09"/>
    <w:rsid w:val="00FB70A8"/>
    <w:rsid w:val="00FB7DEB"/>
    <w:rsid w:val="00FC154D"/>
    <w:rsid w:val="00FC1C9A"/>
    <w:rsid w:val="00FC22C8"/>
    <w:rsid w:val="00FC2BE3"/>
    <w:rsid w:val="00FC46EF"/>
    <w:rsid w:val="00FC49D1"/>
    <w:rsid w:val="00FC4C13"/>
    <w:rsid w:val="00FC4F09"/>
    <w:rsid w:val="00FC4FF5"/>
    <w:rsid w:val="00FC544E"/>
    <w:rsid w:val="00FC5880"/>
    <w:rsid w:val="00FC58A9"/>
    <w:rsid w:val="00FC5C00"/>
    <w:rsid w:val="00FC6F1D"/>
    <w:rsid w:val="00FD0208"/>
    <w:rsid w:val="00FD0EA3"/>
    <w:rsid w:val="00FD1EE6"/>
    <w:rsid w:val="00FD2C71"/>
    <w:rsid w:val="00FD305C"/>
    <w:rsid w:val="00FD4436"/>
    <w:rsid w:val="00FD52F5"/>
    <w:rsid w:val="00FD57DE"/>
    <w:rsid w:val="00FD5974"/>
    <w:rsid w:val="00FD66AB"/>
    <w:rsid w:val="00FD69C8"/>
    <w:rsid w:val="00FD72A2"/>
    <w:rsid w:val="00FD72FE"/>
    <w:rsid w:val="00FD74B1"/>
    <w:rsid w:val="00FD7800"/>
    <w:rsid w:val="00FD7EB3"/>
    <w:rsid w:val="00FE1694"/>
    <w:rsid w:val="00FE1703"/>
    <w:rsid w:val="00FE1CCD"/>
    <w:rsid w:val="00FE2441"/>
    <w:rsid w:val="00FE325C"/>
    <w:rsid w:val="00FE40CF"/>
    <w:rsid w:val="00FE4D4D"/>
    <w:rsid w:val="00FE6631"/>
    <w:rsid w:val="00FE7A2A"/>
    <w:rsid w:val="00FE7FDE"/>
    <w:rsid w:val="00FF03A3"/>
    <w:rsid w:val="00FF08D5"/>
    <w:rsid w:val="00FF0E39"/>
    <w:rsid w:val="00FF12D6"/>
    <w:rsid w:val="00FF146A"/>
    <w:rsid w:val="00FF14E6"/>
    <w:rsid w:val="00FF3016"/>
    <w:rsid w:val="00FF4466"/>
    <w:rsid w:val="00FF4680"/>
    <w:rsid w:val="00FF4C71"/>
    <w:rsid w:val="00FF639B"/>
    <w:rsid w:val="00FF6791"/>
    <w:rsid w:val="00FF7019"/>
    <w:rsid w:val="00FF725D"/>
    <w:rsid w:val="00FF73E7"/>
    <w:rsid w:val="014160FB"/>
    <w:rsid w:val="01570269"/>
    <w:rsid w:val="01640383"/>
    <w:rsid w:val="021138F7"/>
    <w:rsid w:val="021F7DC1"/>
    <w:rsid w:val="030B051C"/>
    <w:rsid w:val="03241876"/>
    <w:rsid w:val="03370944"/>
    <w:rsid w:val="034B0AC6"/>
    <w:rsid w:val="03AB13AC"/>
    <w:rsid w:val="03DC3FEC"/>
    <w:rsid w:val="042276A9"/>
    <w:rsid w:val="04BA0511"/>
    <w:rsid w:val="04BA78CE"/>
    <w:rsid w:val="04EF0C56"/>
    <w:rsid w:val="056C5A14"/>
    <w:rsid w:val="05716B8E"/>
    <w:rsid w:val="05726DA2"/>
    <w:rsid w:val="05772978"/>
    <w:rsid w:val="064D5B95"/>
    <w:rsid w:val="066E7A48"/>
    <w:rsid w:val="068901B7"/>
    <w:rsid w:val="06C22A8A"/>
    <w:rsid w:val="06DE36CE"/>
    <w:rsid w:val="07420D21"/>
    <w:rsid w:val="075A693C"/>
    <w:rsid w:val="07631DC9"/>
    <w:rsid w:val="07914ABF"/>
    <w:rsid w:val="07AF7E3A"/>
    <w:rsid w:val="080B4BAB"/>
    <w:rsid w:val="084367D4"/>
    <w:rsid w:val="088E5B63"/>
    <w:rsid w:val="0896200C"/>
    <w:rsid w:val="089D4A3D"/>
    <w:rsid w:val="08DC65A1"/>
    <w:rsid w:val="094E3F18"/>
    <w:rsid w:val="09591D66"/>
    <w:rsid w:val="09AF6D7F"/>
    <w:rsid w:val="09D3128A"/>
    <w:rsid w:val="09ED68A0"/>
    <w:rsid w:val="0A245715"/>
    <w:rsid w:val="0A771362"/>
    <w:rsid w:val="0AD61B69"/>
    <w:rsid w:val="0B033EB3"/>
    <w:rsid w:val="0B0C5769"/>
    <w:rsid w:val="0B6B2097"/>
    <w:rsid w:val="0B806003"/>
    <w:rsid w:val="0BDC6DDF"/>
    <w:rsid w:val="0BE55E0C"/>
    <w:rsid w:val="0BF7590B"/>
    <w:rsid w:val="0BFC1173"/>
    <w:rsid w:val="0C9B58C5"/>
    <w:rsid w:val="0D1D71B6"/>
    <w:rsid w:val="0DAB6E28"/>
    <w:rsid w:val="0E5921DF"/>
    <w:rsid w:val="0E696962"/>
    <w:rsid w:val="0E8207A2"/>
    <w:rsid w:val="0E9168D1"/>
    <w:rsid w:val="0E9A7616"/>
    <w:rsid w:val="0F397336"/>
    <w:rsid w:val="0FAF6571"/>
    <w:rsid w:val="10196798"/>
    <w:rsid w:val="10321608"/>
    <w:rsid w:val="104F0ECA"/>
    <w:rsid w:val="10BB60F0"/>
    <w:rsid w:val="10C61D50"/>
    <w:rsid w:val="111E4E41"/>
    <w:rsid w:val="11BA0E19"/>
    <w:rsid w:val="12362AC7"/>
    <w:rsid w:val="12F01E2F"/>
    <w:rsid w:val="12F2507E"/>
    <w:rsid w:val="12FC3F07"/>
    <w:rsid w:val="13443405"/>
    <w:rsid w:val="13DB164B"/>
    <w:rsid w:val="13DB370C"/>
    <w:rsid w:val="13F015BE"/>
    <w:rsid w:val="14175FDD"/>
    <w:rsid w:val="14804BA1"/>
    <w:rsid w:val="148679ED"/>
    <w:rsid w:val="149E3D44"/>
    <w:rsid w:val="14D57643"/>
    <w:rsid w:val="14F61E14"/>
    <w:rsid w:val="152E7294"/>
    <w:rsid w:val="1542409B"/>
    <w:rsid w:val="155827FF"/>
    <w:rsid w:val="16143128"/>
    <w:rsid w:val="163E17A5"/>
    <w:rsid w:val="16D31C83"/>
    <w:rsid w:val="16E42D8C"/>
    <w:rsid w:val="171016AD"/>
    <w:rsid w:val="17B524BE"/>
    <w:rsid w:val="17C53098"/>
    <w:rsid w:val="17DF02C7"/>
    <w:rsid w:val="17DF5EA9"/>
    <w:rsid w:val="18245CDA"/>
    <w:rsid w:val="19020A55"/>
    <w:rsid w:val="191C4C03"/>
    <w:rsid w:val="19882298"/>
    <w:rsid w:val="19F910B3"/>
    <w:rsid w:val="19FC72BD"/>
    <w:rsid w:val="1A5440FF"/>
    <w:rsid w:val="1B19589E"/>
    <w:rsid w:val="1B3C5EBC"/>
    <w:rsid w:val="1B4408DF"/>
    <w:rsid w:val="1B7F1479"/>
    <w:rsid w:val="1C2C4977"/>
    <w:rsid w:val="1C50336E"/>
    <w:rsid w:val="1C580648"/>
    <w:rsid w:val="1CF24496"/>
    <w:rsid w:val="1CFF6449"/>
    <w:rsid w:val="1E001E2D"/>
    <w:rsid w:val="1EE47FB4"/>
    <w:rsid w:val="1FA64C21"/>
    <w:rsid w:val="1FFC73A7"/>
    <w:rsid w:val="210A489A"/>
    <w:rsid w:val="213032FB"/>
    <w:rsid w:val="217001E2"/>
    <w:rsid w:val="2177331E"/>
    <w:rsid w:val="21A10E14"/>
    <w:rsid w:val="2208666C"/>
    <w:rsid w:val="221768AF"/>
    <w:rsid w:val="226B30CA"/>
    <w:rsid w:val="22DE161F"/>
    <w:rsid w:val="22F307CC"/>
    <w:rsid w:val="23155FDF"/>
    <w:rsid w:val="23904520"/>
    <w:rsid w:val="23DD6D00"/>
    <w:rsid w:val="240C26E2"/>
    <w:rsid w:val="24213A15"/>
    <w:rsid w:val="24400A52"/>
    <w:rsid w:val="24BA2ACD"/>
    <w:rsid w:val="24D32C9F"/>
    <w:rsid w:val="253546E6"/>
    <w:rsid w:val="25B575B8"/>
    <w:rsid w:val="26410174"/>
    <w:rsid w:val="26D55E53"/>
    <w:rsid w:val="26E94627"/>
    <w:rsid w:val="27673E35"/>
    <w:rsid w:val="27966331"/>
    <w:rsid w:val="27A47749"/>
    <w:rsid w:val="28BA0503"/>
    <w:rsid w:val="28E37C80"/>
    <w:rsid w:val="29C30575"/>
    <w:rsid w:val="29D627A9"/>
    <w:rsid w:val="29DB5099"/>
    <w:rsid w:val="2A2F167B"/>
    <w:rsid w:val="2A434D74"/>
    <w:rsid w:val="2A5B6964"/>
    <w:rsid w:val="2A8B2E0C"/>
    <w:rsid w:val="2AC21344"/>
    <w:rsid w:val="2ADC2444"/>
    <w:rsid w:val="2ADD3C1F"/>
    <w:rsid w:val="2AEE752C"/>
    <w:rsid w:val="2B084FE7"/>
    <w:rsid w:val="2B2A29E3"/>
    <w:rsid w:val="2B2B0B1C"/>
    <w:rsid w:val="2B6E213B"/>
    <w:rsid w:val="2BCA042B"/>
    <w:rsid w:val="2CA03882"/>
    <w:rsid w:val="2D52604A"/>
    <w:rsid w:val="2D68134E"/>
    <w:rsid w:val="2D881BC0"/>
    <w:rsid w:val="2DB334AE"/>
    <w:rsid w:val="2E0A5E8E"/>
    <w:rsid w:val="2E0D01AD"/>
    <w:rsid w:val="2E8C279D"/>
    <w:rsid w:val="2E9C43C4"/>
    <w:rsid w:val="2ED653A2"/>
    <w:rsid w:val="2EF26C46"/>
    <w:rsid w:val="2F1D0081"/>
    <w:rsid w:val="2F207D0E"/>
    <w:rsid w:val="2F30695B"/>
    <w:rsid w:val="2FDB378B"/>
    <w:rsid w:val="2FE03346"/>
    <w:rsid w:val="2FF47B83"/>
    <w:rsid w:val="2FFF78F5"/>
    <w:rsid w:val="300C37CC"/>
    <w:rsid w:val="3047186B"/>
    <w:rsid w:val="30AF7FEE"/>
    <w:rsid w:val="30B471B1"/>
    <w:rsid w:val="30F82156"/>
    <w:rsid w:val="31AA504A"/>
    <w:rsid w:val="31B937C3"/>
    <w:rsid w:val="320153D5"/>
    <w:rsid w:val="323526A6"/>
    <w:rsid w:val="324B5748"/>
    <w:rsid w:val="325437A2"/>
    <w:rsid w:val="32794A1C"/>
    <w:rsid w:val="32BD3B6B"/>
    <w:rsid w:val="331F59A7"/>
    <w:rsid w:val="3328082D"/>
    <w:rsid w:val="3333520C"/>
    <w:rsid w:val="335A3956"/>
    <w:rsid w:val="33872082"/>
    <w:rsid w:val="34680AAE"/>
    <w:rsid w:val="34725547"/>
    <w:rsid w:val="34862EA5"/>
    <w:rsid w:val="34A02734"/>
    <w:rsid w:val="34DE0581"/>
    <w:rsid w:val="34E210D3"/>
    <w:rsid w:val="351463F4"/>
    <w:rsid w:val="356641AE"/>
    <w:rsid w:val="357C00B2"/>
    <w:rsid w:val="359A150B"/>
    <w:rsid w:val="35AE7092"/>
    <w:rsid w:val="36310CB5"/>
    <w:rsid w:val="365F3716"/>
    <w:rsid w:val="373C4433"/>
    <w:rsid w:val="374A4813"/>
    <w:rsid w:val="379B023B"/>
    <w:rsid w:val="37BA2E82"/>
    <w:rsid w:val="37C91214"/>
    <w:rsid w:val="37CB4A52"/>
    <w:rsid w:val="37EA282E"/>
    <w:rsid w:val="38453EC7"/>
    <w:rsid w:val="38952DC5"/>
    <w:rsid w:val="38EE1DCE"/>
    <w:rsid w:val="38EF3F0A"/>
    <w:rsid w:val="396B2922"/>
    <w:rsid w:val="39B91C80"/>
    <w:rsid w:val="39E878A3"/>
    <w:rsid w:val="39EB38E0"/>
    <w:rsid w:val="39EF3279"/>
    <w:rsid w:val="3A1A24C3"/>
    <w:rsid w:val="3A212FEA"/>
    <w:rsid w:val="3A4E554F"/>
    <w:rsid w:val="3A7C039E"/>
    <w:rsid w:val="3BED34DC"/>
    <w:rsid w:val="3CFB2CA5"/>
    <w:rsid w:val="3D1F26F1"/>
    <w:rsid w:val="3D2F59A6"/>
    <w:rsid w:val="3D5F1F21"/>
    <w:rsid w:val="3D7A7FC6"/>
    <w:rsid w:val="3DF77EE4"/>
    <w:rsid w:val="3E0D394A"/>
    <w:rsid w:val="3E39424B"/>
    <w:rsid w:val="3E471B21"/>
    <w:rsid w:val="3E592D82"/>
    <w:rsid w:val="3E933F4C"/>
    <w:rsid w:val="3EBA0E46"/>
    <w:rsid w:val="3F5D4F76"/>
    <w:rsid w:val="3F850EA5"/>
    <w:rsid w:val="3F991334"/>
    <w:rsid w:val="3FCD6EB4"/>
    <w:rsid w:val="3FF273D1"/>
    <w:rsid w:val="405C1F71"/>
    <w:rsid w:val="40B65F55"/>
    <w:rsid w:val="41560A30"/>
    <w:rsid w:val="4171731F"/>
    <w:rsid w:val="4184691A"/>
    <w:rsid w:val="41D028AB"/>
    <w:rsid w:val="41F0254D"/>
    <w:rsid w:val="421805D9"/>
    <w:rsid w:val="4230318E"/>
    <w:rsid w:val="424A062A"/>
    <w:rsid w:val="428F213A"/>
    <w:rsid w:val="429D25C6"/>
    <w:rsid w:val="42C9661D"/>
    <w:rsid w:val="42E01126"/>
    <w:rsid w:val="42ED76C8"/>
    <w:rsid w:val="42F41450"/>
    <w:rsid w:val="430F6212"/>
    <w:rsid w:val="43C60403"/>
    <w:rsid w:val="43F7001B"/>
    <w:rsid w:val="44010D9C"/>
    <w:rsid w:val="44AE55C2"/>
    <w:rsid w:val="44CD30D2"/>
    <w:rsid w:val="44F40FC7"/>
    <w:rsid w:val="4544222D"/>
    <w:rsid w:val="45B87887"/>
    <w:rsid w:val="45EB5286"/>
    <w:rsid w:val="45EC0773"/>
    <w:rsid w:val="46892DFE"/>
    <w:rsid w:val="471E5FAD"/>
    <w:rsid w:val="471F65D8"/>
    <w:rsid w:val="472317C4"/>
    <w:rsid w:val="47AF5162"/>
    <w:rsid w:val="47B80C79"/>
    <w:rsid w:val="48013092"/>
    <w:rsid w:val="481A07CB"/>
    <w:rsid w:val="48564CEB"/>
    <w:rsid w:val="485F78A4"/>
    <w:rsid w:val="486755EB"/>
    <w:rsid w:val="487F0B87"/>
    <w:rsid w:val="48B03281"/>
    <w:rsid w:val="48D13223"/>
    <w:rsid w:val="496371A7"/>
    <w:rsid w:val="497F4AA1"/>
    <w:rsid w:val="4A0767A1"/>
    <w:rsid w:val="4A5566CE"/>
    <w:rsid w:val="4AE22D66"/>
    <w:rsid w:val="4B8C7D59"/>
    <w:rsid w:val="4BA91A77"/>
    <w:rsid w:val="4BF533A1"/>
    <w:rsid w:val="4C1930A0"/>
    <w:rsid w:val="4C3527FD"/>
    <w:rsid w:val="4C9535E4"/>
    <w:rsid w:val="4CC44A32"/>
    <w:rsid w:val="4D174C9E"/>
    <w:rsid w:val="4D341DEA"/>
    <w:rsid w:val="4DF10B2D"/>
    <w:rsid w:val="4E231FB4"/>
    <w:rsid w:val="4E9D75EE"/>
    <w:rsid w:val="4EE01E00"/>
    <w:rsid w:val="4EE703A2"/>
    <w:rsid w:val="4F0F37C9"/>
    <w:rsid w:val="4F4641AC"/>
    <w:rsid w:val="4FC21359"/>
    <w:rsid w:val="501B0084"/>
    <w:rsid w:val="501D666A"/>
    <w:rsid w:val="507630D5"/>
    <w:rsid w:val="508A6406"/>
    <w:rsid w:val="509F3740"/>
    <w:rsid w:val="50CD1DAF"/>
    <w:rsid w:val="50D0314A"/>
    <w:rsid w:val="512756E9"/>
    <w:rsid w:val="51456181"/>
    <w:rsid w:val="516B7343"/>
    <w:rsid w:val="51845F92"/>
    <w:rsid w:val="519F5A54"/>
    <w:rsid w:val="52C740D4"/>
    <w:rsid w:val="52D640FA"/>
    <w:rsid w:val="52FE5265"/>
    <w:rsid w:val="53BD07B5"/>
    <w:rsid w:val="53E609A1"/>
    <w:rsid w:val="548D525D"/>
    <w:rsid w:val="54B24D27"/>
    <w:rsid w:val="54BB3A1B"/>
    <w:rsid w:val="54C73B0D"/>
    <w:rsid w:val="54D36F97"/>
    <w:rsid w:val="54E50895"/>
    <w:rsid w:val="552A00CC"/>
    <w:rsid w:val="552F3F14"/>
    <w:rsid w:val="558D2C3B"/>
    <w:rsid w:val="55AD422A"/>
    <w:rsid w:val="564B654C"/>
    <w:rsid w:val="566473BB"/>
    <w:rsid w:val="568C3FDA"/>
    <w:rsid w:val="56AD68BF"/>
    <w:rsid w:val="56DE66A9"/>
    <w:rsid w:val="57AF327E"/>
    <w:rsid w:val="57BC2B32"/>
    <w:rsid w:val="5814249E"/>
    <w:rsid w:val="59184A79"/>
    <w:rsid w:val="59C960F9"/>
    <w:rsid w:val="5A6A1BA7"/>
    <w:rsid w:val="5AE661B3"/>
    <w:rsid w:val="5AF16DF1"/>
    <w:rsid w:val="5B621702"/>
    <w:rsid w:val="5B77749C"/>
    <w:rsid w:val="5B8A3673"/>
    <w:rsid w:val="5B8B2F47"/>
    <w:rsid w:val="5BB5179F"/>
    <w:rsid w:val="5BCD448E"/>
    <w:rsid w:val="5BD743DE"/>
    <w:rsid w:val="5C321615"/>
    <w:rsid w:val="5CC10E49"/>
    <w:rsid w:val="5D997F61"/>
    <w:rsid w:val="5DB31884"/>
    <w:rsid w:val="5DD5516E"/>
    <w:rsid w:val="5E075C40"/>
    <w:rsid w:val="5E5814CF"/>
    <w:rsid w:val="5EBA4117"/>
    <w:rsid w:val="5EE24B3D"/>
    <w:rsid w:val="5F160264"/>
    <w:rsid w:val="5F606CE0"/>
    <w:rsid w:val="5F65117C"/>
    <w:rsid w:val="5FC417A8"/>
    <w:rsid w:val="5FD8755D"/>
    <w:rsid w:val="60163727"/>
    <w:rsid w:val="601D2D07"/>
    <w:rsid w:val="607448F1"/>
    <w:rsid w:val="60E72DE8"/>
    <w:rsid w:val="610C68D8"/>
    <w:rsid w:val="621C31A0"/>
    <w:rsid w:val="62244253"/>
    <w:rsid w:val="62957DA6"/>
    <w:rsid w:val="62EF58A8"/>
    <w:rsid w:val="62F73E3D"/>
    <w:rsid w:val="631249DE"/>
    <w:rsid w:val="639B172E"/>
    <w:rsid w:val="642D54E3"/>
    <w:rsid w:val="64382AB8"/>
    <w:rsid w:val="64EA5D49"/>
    <w:rsid w:val="657F1D6E"/>
    <w:rsid w:val="6596686E"/>
    <w:rsid w:val="66214BD4"/>
    <w:rsid w:val="66421ACD"/>
    <w:rsid w:val="66AF3939"/>
    <w:rsid w:val="6714323A"/>
    <w:rsid w:val="68893A0F"/>
    <w:rsid w:val="68C8580C"/>
    <w:rsid w:val="68E32614"/>
    <w:rsid w:val="69485574"/>
    <w:rsid w:val="69C66AA8"/>
    <w:rsid w:val="6A767C9C"/>
    <w:rsid w:val="6A794FDE"/>
    <w:rsid w:val="6B1E3E24"/>
    <w:rsid w:val="6B4A7A8C"/>
    <w:rsid w:val="6B520A7B"/>
    <w:rsid w:val="6BC010A1"/>
    <w:rsid w:val="6BC9759A"/>
    <w:rsid w:val="6BD36970"/>
    <w:rsid w:val="6C6879BC"/>
    <w:rsid w:val="6CAD6880"/>
    <w:rsid w:val="6DA93F1A"/>
    <w:rsid w:val="6DC3110F"/>
    <w:rsid w:val="6E201C15"/>
    <w:rsid w:val="6EBD3ABF"/>
    <w:rsid w:val="6EE5399E"/>
    <w:rsid w:val="6F263329"/>
    <w:rsid w:val="6F9208F0"/>
    <w:rsid w:val="700375CF"/>
    <w:rsid w:val="705C7751"/>
    <w:rsid w:val="70904E30"/>
    <w:rsid w:val="70934920"/>
    <w:rsid w:val="70B95F99"/>
    <w:rsid w:val="716E5985"/>
    <w:rsid w:val="71855D56"/>
    <w:rsid w:val="71947BF9"/>
    <w:rsid w:val="71991D3B"/>
    <w:rsid w:val="71AB6D53"/>
    <w:rsid w:val="71DD082C"/>
    <w:rsid w:val="71EB5723"/>
    <w:rsid w:val="72773315"/>
    <w:rsid w:val="72DC0AAA"/>
    <w:rsid w:val="73441F01"/>
    <w:rsid w:val="73682359"/>
    <w:rsid w:val="739C7287"/>
    <w:rsid w:val="742B12EB"/>
    <w:rsid w:val="742F6E4E"/>
    <w:rsid w:val="74442C41"/>
    <w:rsid w:val="74A76BEC"/>
    <w:rsid w:val="75004CFB"/>
    <w:rsid w:val="7548625B"/>
    <w:rsid w:val="75613C44"/>
    <w:rsid w:val="75657150"/>
    <w:rsid w:val="75AD1133"/>
    <w:rsid w:val="761045B2"/>
    <w:rsid w:val="763C5112"/>
    <w:rsid w:val="76A17673"/>
    <w:rsid w:val="76BE5190"/>
    <w:rsid w:val="76DA39D1"/>
    <w:rsid w:val="76E41B79"/>
    <w:rsid w:val="76E539FB"/>
    <w:rsid w:val="771A563B"/>
    <w:rsid w:val="771F6528"/>
    <w:rsid w:val="77717E17"/>
    <w:rsid w:val="77757611"/>
    <w:rsid w:val="77A90002"/>
    <w:rsid w:val="77BD28B1"/>
    <w:rsid w:val="77CD79F3"/>
    <w:rsid w:val="783A0CD2"/>
    <w:rsid w:val="78D06F45"/>
    <w:rsid w:val="78D50A3D"/>
    <w:rsid w:val="78F80907"/>
    <w:rsid w:val="794A6022"/>
    <w:rsid w:val="79C672D3"/>
    <w:rsid w:val="79DA35C0"/>
    <w:rsid w:val="7A080AFF"/>
    <w:rsid w:val="7A8B67E7"/>
    <w:rsid w:val="7A935AEA"/>
    <w:rsid w:val="7A951295"/>
    <w:rsid w:val="7AD4331F"/>
    <w:rsid w:val="7AD540D1"/>
    <w:rsid w:val="7B3965C4"/>
    <w:rsid w:val="7BA14395"/>
    <w:rsid w:val="7BDE63F3"/>
    <w:rsid w:val="7C0E7550"/>
    <w:rsid w:val="7CB02B6A"/>
    <w:rsid w:val="7CB73E1A"/>
    <w:rsid w:val="7D1A2C2B"/>
    <w:rsid w:val="7D494AB4"/>
    <w:rsid w:val="7D68165D"/>
    <w:rsid w:val="7DE42F8E"/>
    <w:rsid w:val="7DF46975"/>
    <w:rsid w:val="7DFE407E"/>
    <w:rsid w:val="7E083365"/>
    <w:rsid w:val="7E4064EE"/>
    <w:rsid w:val="7EA02EB2"/>
    <w:rsid w:val="7EE54599"/>
    <w:rsid w:val="7F1B3E60"/>
    <w:rsid w:val="7F322C5C"/>
    <w:rsid w:val="7F3F1588"/>
    <w:rsid w:val="7F4303B6"/>
    <w:rsid w:val="7F89761A"/>
    <w:rsid w:val="7F9946B4"/>
    <w:rsid w:val="7FD464BE"/>
    <w:rsid w:val="7FDA46EF"/>
    <w:rsid w:val="7FF353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5B38DEA"/>
  <w15:chartTrackingRefBased/>
  <w15:docId w15:val="{D05306FE-AC82-4839-8642-8DE037FC3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qFormat="1"/>
    <w:lsdException w:name="index 5" w:semiHidden="1" w:qFormat="1"/>
    <w:lsdException w:name="index 6" w:semiHidden="1" w:qFormat="1"/>
    <w:lsdException w:name="index 7" w:semiHidden="1" w:qFormat="1"/>
    <w:lsdException w:name="index 8" w:semiHidden="1" w:qFormat="1"/>
    <w:lsdException w:name="index 9" w:semiHidden="1" w:qFormat="1"/>
    <w:lsdException w:name="toc 1" w:uiPriority="39" w:qFormat="1"/>
    <w:lsdException w:name="toc 2" w:uiPriority="39" w:qFormat="1"/>
    <w:lsdException w:name="toc 3" w:semiHidden="1" w:uiPriority="39" w:qFormat="1"/>
    <w:lsdException w:name="toc 4" w:semiHidden="1" w:uiPriority="39" w:qFormat="1"/>
    <w:lsdException w:name="toc 5" w:semiHidden="1" w:uiPriority="39" w:qFormat="1"/>
    <w:lsdException w:name="toc 6" w:semiHidden="1" w:uiPriority="39" w:qFormat="1"/>
    <w:lsdException w:name="toc 7" w:semiHidden="1" w:uiPriority="39" w:qFormat="1"/>
    <w:lsdException w:name="toc 8" w:semiHidden="1" w:uiPriority="39" w:qFormat="1"/>
    <w:lsdException w:name="toc 9" w:semiHidden="1" w:uiPriority="39" w:qFormat="1"/>
    <w:lsdException w:name="Normal Indent" w:semiHidden="1" w:qFormat="1"/>
    <w:lsdException w:name="footnote text" w:semiHidden="1" w:qFormat="1"/>
    <w:lsdException w:name="annotation text" w:semiHidden="1" w:uiPriority="99" w:qFormat="1"/>
    <w:lsdException w:name="header" w:semiHidden="1" w:uiPriority="99" w:qFormat="1"/>
    <w:lsdException w:name="footer" w:semiHidden="1" w:uiPriority="99" w:qFormat="1"/>
    <w:lsdException w:name="index heading" w:semiHidden="1" w:qFormat="1"/>
    <w:lsdException w:name="caption" w:qFormat="1"/>
    <w:lsdException w:name="table of figures" w:semiHidden="1" w:qFormat="1"/>
    <w:lsdException w:name="envelope address" w:semiHidden="1" w:qFormat="1"/>
    <w:lsdException w:name="envelope return" w:semiHidden="1" w:qFormat="1"/>
    <w:lsdException w:name="footnote reference" w:semiHidden="1" w:qFormat="1"/>
    <w:lsdException w:name="annotation reference" w:semiHidden="1" w:uiPriority="99" w:qFormat="1"/>
    <w:lsdException w:name="line number" w:semiHidden="1" w:uiPriority="99" w:qFormat="1"/>
    <w:lsdException w:name="page number" w:semiHidden="1" w:qFormat="1"/>
    <w:lsdException w:name="endnote reference" w:semiHidden="1" w:qFormat="1"/>
    <w:lsdException w:name="endnote text" w:semiHidden="1" w:uiPriority="99" w:qFormat="1"/>
    <w:lsdException w:name="table of authorities" w:semiHidden="1" w:qFormat="1"/>
    <w:lsdException w:name="macro" w:semiHidden="1" w:uiPriority="99" w:qFormat="1"/>
    <w:lsdException w:name="toa heading" w:semiHidden="1" w:qFormat="1"/>
    <w:lsdException w:name="List" w:semiHidden="1" w:uiPriority="99" w:qFormat="1"/>
    <w:lsdException w:name="List Bullet" w:semiHidden="1" w:qFormat="1"/>
    <w:lsdException w:name="List Number" w:semiHidden="1" w:qFormat="1"/>
    <w:lsdException w:name="List 2" w:semiHidden="1" w:qFormat="1"/>
    <w:lsdException w:name="List 3" w:semiHidden="1" w:qFormat="1"/>
    <w:lsdException w:name="List 4" w:semiHidden="1" w:uiPriority="99" w:qFormat="1"/>
    <w:lsdException w:name="List 5" w:semiHidden="1" w:uiPriority="99"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uiPriority="99" w:qFormat="1"/>
    <w:lsdException w:name="List Number 4" w:semiHidden="1" w:uiPriority="99" w:qFormat="1"/>
    <w:lsdException w:name="List Number 5" w:semiHidden="1" w:uiPriority="99" w:qFormat="1"/>
    <w:lsdException w:name="Title" w:qFormat="1"/>
    <w:lsdException w:name="Closing" w:semiHidden="1" w:uiPriority="99" w:qFormat="1"/>
    <w:lsdException w:name="Signature" w:semiHidden="1" w:qFormat="1"/>
    <w:lsdException w:name="Default Paragraph Font" w:semiHidden="1" w:uiPriority="1"/>
    <w:lsdException w:name="Body Text" w:semiHidden="1" w:qFormat="1"/>
    <w:lsdException w:name="Body Text Indent" w:semiHidden="1" w:qFormat="1"/>
    <w:lsdException w:name="List Continue" w:semiHidden="1" w:uiPriority="99"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uiPriority="11" w:qFormat="1"/>
    <w:lsdException w:name="Salutation" w:semiHidden="1" w:qFormat="1"/>
    <w:lsdException w:name="Date" w:semiHidden="1" w:qFormat="1"/>
    <w:lsdException w:name="Body Text First Indent" w:semiHidden="1" w:qFormat="1"/>
    <w:lsdException w:name="Body Text First Indent 2" w:semiHidden="1" w:qFormat="1"/>
    <w:lsdException w:name="Note Heading" w:semiHidden="1" w:qFormat="1"/>
    <w:lsdException w:name="Body Text 2" w:semiHidden="1" w:qFormat="1"/>
    <w:lsdException w:name="Body Text 3" w:semiHidden="1" w:uiPriority="99" w:qFormat="1"/>
    <w:lsdException w:name="Body Text Indent 2" w:semiHidden="1" w:qFormat="1"/>
    <w:lsdException w:name="Body Text Indent 3" w:semiHidden="1" w:qFormat="1"/>
    <w:lsdException w:name="Block Text" w:semiHidden="1" w:qFormat="1"/>
    <w:lsdException w:name="Hyperlink" w:uiPriority="99" w:qFormat="1"/>
    <w:lsdException w:name="FollowedHyperlink" w:semiHidden="1" w:uiPriority="99" w:qFormat="1"/>
    <w:lsdException w:name="Strong" w:qFormat="1"/>
    <w:lsdException w:name="Emphasis" w:uiPriority="20" w:qFormat="1"/>
    <w:lsdException w:name="Document Map" w:semiHidden="1" w:uiPriority="99" w:qFormat="1"/>
    <w:lsdException w:name="Plain Text" w:semiHidden="1" w:qFormat="1"/>
    <w:lsdException w:name="E-mail Signature" w:semiHidden="1" w:qFormat="1"/>
    <w:lsdException w:name="HTML Top of Form" w:semiHidden="1" w:uiPriority="99"/>
    <w:lsdException w:name="HTML Bottom of Form" w:semiHidden="1" w:uiPriority="99"/>
    <w:lsdException w:name="Normal (Web)" w:semiHidden="1" w:uiPriority="99"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Typewriter" w:semiHidden="1" w:qFormat="1"/>
    <w:lsdException w:name="HTML Variable" w:semiHidden="1" w:qFormat="1"/>
    <w:lsdException w:name="Normal Table" w:uiPriority="99" w:unhideWhenUsed="1"/>
    <w:lsdException w:name="annotation subject" w:semiHidden="1"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qFormat="1"/>
    <w:lsdException w:name="Table Simple 2" w:semiHidden="1" w:uiPriority="99" w:qFormat="1"/>
    <w:lsdException w:name="Table Simple 3" w:semiHidden="1" w:uiPriority="99"/>
    <w:lsdException w:name="Table Classic 1" w:semiHidden="1" w:uiPriority="99"/>
    <w:lsdException w:name="Table Classic 2" w:semiHidden="1" w:uiPriority="99"/>
    <w:lsdException w:name="Table Classic 3" w:semiHidden="1" w:uiPriority="99"/>
    <w:lsdException w:name="Table Classic 4" w:semiHidden="1" w:uiPriority="99"/>
    <w:lsdException w:name="Table Colorful 1" w:semiHidden="1" w:uiPriority="99"/>
    <w:lsdException w:name="Table Colorful 2" w:semiHidden="1" w:uiPriority="99"/>
    <w:lsdException w:name="Table Colorful 3" w:semiHidden="1" w:uiPriority="99"/>
    <w:lsdException w:name="Table Columns 1" w:semiHidden="1" w:uiPriority="99"/>
    <w:lsdException w:name="Table Columns 2" w:semiHidden="1" w:uiPriority="99"/>
    <w:lsdException w:name="Table Columns 3" w:semiHidden="1" w:uiPriority="99"/>
    <w:lsdException w:name="Table Columns 4" w:semiHidden="1" w:uiPriority="99"/>
    <w:lsdException w:name="Table Columns 5" w:semiHidden="1" w:uiPriority="99"/>
    <w:lsdException w:name="Table Grid 1" w:uiPriority="99" w:unhideWhenUsed="1" w:qFormat="1"/>
    <w:lsdException w:name="Table Grid 2" w:uiPriority="99" w:qFormat="1"/>
    <w:lsdException w:name="Table Grid 3" w:semiHidden="1" w:uiPriority="99"/>
    <w:lsdException w:name="Table Grid 4" w:semiHidden="1" w:uiPriority="99"/>
    <w:lsdException w:name="Table Grid 5" w:qFormat="1"/>
    <w:lsdException w:name="Table Grid 6" w:semiHidden="1" w:uiPriority="99" w:qFormat="1"/>
    <w:lsdException w:name="Table Grid 7" w:semiHidden="1" w:uiPriority="99"/>
    <w:lsdException w:name="Table Grid 8" w:semiHidden="1" w:uiPriority="99"/>
    <w:lsdException w:name="Table List 1" w:uiPriority="99" w:unhideWhenUsed="1" w:qFormat="1"/>
    <w:lsdException w:name="Table List 2" w:semiHidden="1" w:uiPriority="99"/>
    <w:lsdException w:name="Table List 3" w:qFormat="1"/>
    <w:lsdException w:name="Table List 4" w:semiHidden="1" w:uiPriority="99"/>
    <w:lsdException w:name="Table List 5" w:semiHidden="1" w:uiPriority="99"/>
    <w:lsdException w:name="Table List 6" w:semiHidden="1" w:uiPriority="99" w:qFormat="1"/>
    <w:lsdException w:name="Table List 7" w:semiHidden="1" w:uiPriority="99"/>
    <w:lsdException w:name="Table List 8" w:semiHidden="1" w:uiPriority="99"/>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qFormat="1"/>
    <w:lsdException w:name="Table Elegant" w:qFormat="1"/>
    <w:lsdException w:name="Table Professional" w:semiHidden="1" w:uiPriority="99" w:qFormat="1"/>
    <w:lsdException w:name="Table Subtle 1" w:qFormat="1"/>
    <w:lsdException w:name="Table Subtle 2" w:semiHidden="1" w:uiPriority="99"/>
    <w:lsdException w:name="Table Web 1" w:semiHidden="1" w:uiPriority="99"/>
    <w:lsdException w:name="Table Web 2" w:semiHidden="1"/>
    <w:lsdException w:name="Table Web 3" w:semiHidden="1" w:qFormat="1"/>
    <w:lsdException w:name="Balloon Text" w:semiHidden="1" w:uiPriority="99" w:qFormat="1"/>
    <w:lsdException w:name="Table Grid" w:uiPriority="99" w:qFormat="1"/>
    <w:lsdException w:name="Table Theme" w:uiPriority="99"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kern w:val="2"/>
      <w:sz w:val="21"/>
      <w:szCs w:val="21"/>
    </w:rPr>
  </w:style>
  <w:style w:type="paragraph" w:styleId="1">
    <w:name w:val="heading 1"/>
    <w:basedOn w:val="a"/>
    <w:next w:val="a"/>
    <w:link w:val="10"/>
    <w:qFormat/>
    <w:pPr>
      <w:keepNext/>
      <w:keepLines/>
      <w:tabs>
        <w:tab w:val="left" w:pos="1134"/>
      </w:tabs>
      <w:spacing w:beforeLines="50" w:before="340" w:afterLines="50" w:after="330" w:line="578" w:lineRule="auto"/>
      <w:ind w:left="1134" w:firstLineChars="200" w:firstLine="200"/>
      <w:jc w:val="both"/>
      <w:outlineLvl w:val="0"/>
    </w:pPr>
    <w:rPr>
      <w:b/>
      <w:bCs/>
      <w:kern w:val="44"/>
      <w:sz w:val="44"/>
      <w:szCs w:val="44"/>
    </w:rPr>
  </w:style>
  <w:style w:type="paragraph" w:styleId="2">
    <w:name w:val="heading 2"/>
    <w:basedOn w:val="a"/>
    <w:next w:val="a"/>
    <w:link w:val="20"/>
    <w:qFormat/>
    <w:pPr>
      <w:keepNext/>
      <w:keepLines/>
      <w:numPr>
        <w:ilvl w:val="1"/>
        <w:numId w:val="1"/>
      </w:numPr>
      <w:tabs>
        <w:tab w:val="left" w:pos="1701"/>
      </w:tabs>
      <w:spacing w:beforeLines="50" w:before="260" w:afterLines="50" w:after="260" w:line="416" w:lineRule="auto"/>
      <w:ind w:left="0" w:firstLineChars="200" w:firstLine="0"/>
      <w:jc w:val="both"/>
      <w:outlineLvl w:val="1"/>
    </w:pPr>
    <w:rPr>
      <w:rFonts w:ascii="等线 Light" w:eastAsia="等线 Light" w:hAnsi="等线 Light"/>
      <w:b/>
      <w:bCs/>
      <w:sz w:val="32"/>
      <w:szCs w:val="32"/>
    </w:rPr>
  </w:style>
  <w:style w:type="paragraph" w:styleId="3">
    <w:name w:val="heading 3"/>
    <w:basedOn w:val="a"/>
    <w:next w:val="a"/>
    <w:link w:val="30"/>
    <w:qFormat/>
    <w:pPr>
      <w:keepNext/>
      <w:keepLines/>
      <w:numPr>
        <w:ilvl w:val="2"/>
        <w:numId w:val="1"/>
      </w:numPr>
      <w:tabs>
        <w:tab w:val="left" w:pos="2268"/>
      </w:tabs>
      <w:spacing w:beforeLines="50" w:before="260" w:afterLines="50" w:after="260" w:line="416" w:lineRule="auto"/>
      <w:ind w:left="720" w:firstLineChars="200" w:hanging="432"/>
      <w:jc w:val="both"/>
      <w:outlineLvl w:val="2"/>
    </w:pPr>
    <w:rPr>
      <w:b/>
      <w:bCs/>
      <w:sz w:val="32"/>
      <w:szCs w:val="32"/>
    </w:rPr>
  </w:style>
  <w:style w:type="paragraph" w:styleId="4">
    <w:name w:val="heading 4"/>
    <w:basedOn w:val="a"/>
    <w:next w:val="a"/>
    <w:link w:val="40"/>
    <w:qFormat/>
    <w:pPr>
      <w:keepNext/>
      <w:keepLines/>
      <w:numPr>
        <w:ilvl w:val="3"/>
        <w:numId w:val="1"/>
      </w:numPr>
      <w:tabs>
        <w:tab w:val="left" w:pos="2268"/>
      </w:tabs>
      <w:spacing w:beforeLines="50" w:before="280" w:afterLines="50" w:after="290" w:line="376" w:lineRule="auto"/>
      <w:ind w:left="864" w:firstLineChars="200" w:hanging="144"/>
      <w:jc w:val="both"/>
      <w:outlineLvl w:val="3"/>
    </w:pPr>
    <w:rPr>
      <w:rFonts w:ascii="等线 Light" w:eastAsia="等线 Light" w:hAnsi="等线 Light"/>
      <w:b/>
      <w:bCs/>
      <w:sz w:val="28"/>
      <w:szCs w:val="28"/>
    </w:rPr>
  </w:style>
  <w:style w:type="paragraph" w:styleId="5">
    <w:name w:val="heading 5"/>
    <w:basedOn w:val="a"/>
    <w:next w:val="a"/>
    <w:link w:val="50"/>
    <w:qFormat/>
    <w:pPr>
      <w:keepNext/>
      <w:keepLines/>
      <w:numPr>
        <w:ilvl w:val="4"/>
        <w:numId w:val="1"/>
      </w:numPr>
      <w:tabs>
        <w:tab w:val="left" w:pos="2268"/>
      </w:tabs>
      <w:spacing w:beforeLines="50" w:before="280" w:afterLines="50" w:after="290" w:line="376" w:lineRule="auto"/>
      <w:ind w:left="1008" w:firstLineChars="200" w:hanging="432"/>
      <w:jc w:val="both"/>
      <w:outlineLvl w:val="4"/>
    </w:pPr>
    <w:rPr>
      <w:b/>
      <w:bCs/>
      <w:sz w:val="28"/>
      <w:szCs w:val="28"/>
    </w:rPr>
  </w:style>
  <w:style w:type="paragraph" w:styleId="6">
    <w:name w:val="heading 6"/>
    <w:basedOn w:val="a"/>
    <w:next w:val="a"/>
    <w:link w:val="62"/>
    <w:uiPriority w:val="9"/>
    <w:qFormat/>
    <w:pPr>
      <w:keepNext/>
      <w:keepLines/>
      <w:numPr>
        <w:ilvl w:val="5"/>
        <w:numId w:val="1"/>
      </w:numPr>
      <w:tabs>
        <w:tab w:val="left" w:pos="2268"/>
      </w:tabs>
      <w:spacing w:beforeLines="50" w:before="240" w:afterLines="50" w:after="64" w:line="320" w:lineRule="auto"/>
      <w:ind w:left="1152" w:firstLineChars="200" w:hanging="432"/>
      <w:jc w:val="both"/>
      <w:outlineLvl w:val="5"/>
    </w:pPr>
    <w:rPr>
      <w:rFonts w:ascii="等线 Light" w:eastAsia="等线 Light" w:hAnsi="等线 Light"/>
      <w:b/>
      <w:bCs/>
    </w:rPr>
  </w:style>
  <w:style w:type="paragraph" w:styleId="7">
    <w:name w:val="heading 7"/>
    <w:basedOn w:val="a"/>
    <w:next w:val="a"/>
    <w:link w:val="71"/>
    <w:qFormat/>
    <w:pPr>
      <w:keepNext/>
      <w:keepLines/>
      <w:numPr>
        <w:ilvl w:val="6"/>
        <w:numId w:val="1"/>
      </w:numPr>
      <w:tabs>
        <w:tab w:val="left" w:pos="2268"/>
      </w:tabs>
      <w:spacing w:beforeLines="50" w:before="240" w:afterLines="50" w:after="64" w:line="320" w:lineRule="auto"/>
      <w:ind w:left="1296" w:firstLineChars="200" w:hanging="288"/>
      <w:jc w:val="both"/>
      <w:outlineLvl w:val="6"/>
    </w:pPr>
    <w:rPr>
      <w:b/>
      <w:bCs/>
    </w:rPr>
  </w:style>
  <w:style w:type="paragraph" w:styleId="8">
    <w:name w:val="heading 8"/>
    <w:basedOn w:val="a"/>
    <w:next w:val="a"/>
    <w:link w:val="82"/>
    <w:qFormat/>
    <w:pPr>
      <w:keepNext/>
      <w:keepLines/>
      <w:numPr>
        <w:ilvl w:val="7"/>
        <w:numId w:val="1"/>
      </w:numPr>
      <w:tabs>
        <w:tab w:val="left" w:pos="2268"/>
      </w:tabs>
      <w:spacing w:beforeLines="50" w:before="240" w:afterLines="50" w:after="64" w:line="320" w:lineRule="auto"/>
      <w:ind w:left="1440" w:firstLineChars="200" w:hanging="432"/>
      <w:jc w:val="both"/>
      <w:outlineLvl w:val="7"/>
    </w:pPr>
    <w:rPr>
      <w:rFonts w:ascii="等线 Light" w:eastAsia="等线 Light" w:hAnsi="等线 Light"/>
    </w:rPr>
  </w:style>
  <w:style w:type="paragraph" w:styleId="9">
    <w:name w:val="heading 9"/>
    <w:basedOn w:val="a"/>
    <w:next w:val="a"/>
    <w:link w:val="92"/>
    <w:qFormat/>
    <w:pPr>
      <w:keepNext/>
      <w:keepLines/>
      <w:numPr>
        <w:ilvl w:val="8"/>
        <w:numId w:val="1"/>
      </w:numPr>
      <w:tabs>
        <w:tab w:val="left" w:pos="2268"/>
      </w:tabs>
      <w:spacing w:beforeLines="50" w:before="240" w:afterLines="50" w:after="64" w:line="320" w:lineRule="auto"/>
      <w:ind w:left="1584" w:firstLineChars="200" w:hanging="144"/>
      <w:jc w:val="both"/>
      <w:outlineLvl w:val="8"/>
    </w:pPr>
    <w:rPr>
      <w:rFonts w:ascii="等线 Light" w:eastAsia="等线 Light" w:hAnsi="等线 Light"/>
    </w:rPr>
  </w:style>
  <w:style w:type="character" w:default="1" w:styleId="a0">
    <w:name w:val="Default Paragraph Font"/>
    <w:uiPriority w:val="1"/>
    <w:semiHidden/>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semiHidden/>
    <w:qFormat/>
    <w:rPr>
      <w:b/>
      <w:bCs/>
      <w:kern w:val="44"/>
      <w:sz w:val="44"/>
      <w:szCs w:val="44"/>
    </w:rPr>
  </w:style>
  <w:style w:type="character" w:customStyle="1" w:styleId="20">
    <w:name w:val="标题 2 字符"/>
    <w:link w:val="2"/>
    <w:semiHidden/>
    <w:qFormat/>
    <w:rPr>
      <w:rFonts w:ascii="等线 Light" w:eastAsia="等线 Light" w:hAnsi="等线 Light"/>
      <w:b/>
      <w:bCs/>
      <w:kern w:val="2"/>
      <w:sz w:val="32"/>
      <w:szCs w:val="32"/>
    </w:rPr>
  </w:style>
  <w:style w:type="character" w:customStyle="1" w:styleId="30">
    <w:name w:val="标题 3 字符"/>
    <w:link w:val="3"/>
    <w:semiHidden/>
    <w:qFormat/>
    <w:rPr>
      <w:b/>
      <w:bCs/>
      <w:kern w:val="2"/>
      <w:sz w:val="32"/>
      <w:szCs w:val="32"/>
    </w:rPr>
  </w:style>
  <w:style w:type="character" w:customStyle="1" w:styleId="40">
    <w:name w:val="标题 4 字符"/>
    <w:link w:val="4"/>
    <w:semiHidden/>
    <w:qFormat/>
    <w:rPr>
      <w:rFonts w:ascii="等线 Light" w:eastAsia="等线 Light" w:hAnsi="等线 Light"/>
      <w:b/>
      <w:bCs/>
      <w:kern w:val="2"/>
      <w:sz w:val="28"/>
      <w:szCs w:val="28"/>
    </w:rPr>
  </w:style>
  <w:style w:type="character" w:customStyle="1" w:styleId="50">
    <w:name w:val="标题 5 字符"/>
    <w:link w:val="5"/>
    <w:semiHidden/>
    <w:qFormat/>
    <w:rPr>
      <w:b/>
      <w:bCs/>
      <w:kern w:val="2"/>
      <w:sz w:val="28"/>
      <w:szCs w:val="28"/>
    </w:rPr>
  </w:style>
  <w:style w:type="character" w:customStyle="1" w:styleId="62">
    <w:name w:val="标题 6 字符2"/>
    <w:link w:val="6"/>
    <w:uiPriority w:val="9"/>
    <w:semiHidden/>
    <w:qFormat/>
    <w:rPr>
      <w:rFonts w:ascii="等线 Light" w:eastAsia="等线 Light" w:hAnsi="等线 Light"/>
      <w:b/>
      <w:bCs/>
      <w:kern w:val="2"/>
      <w:sz w:val="21"/>
      <w:szCs w:val="21"/>
    </w:rPr>
  </w:style>
  <w:style w:type="character" w:customStyle="1" w:styleId="71">
    <w:name w:val="标题 7 字符1"/>
    <w:link w:val="7"/>
    <w:semiHidden/>
    <w:qFormat/>
    <w:rPr>
      <w:b/>
      <w:bCs/>
      <w:kern w:val="2"/>
      <w:sz w:val="21"/>
      <w:szCs w:val="21"/>
    </w:rPr>
  </w:style>
  <w:style w:type="character" w:customStyle="1" w:styleId="82">
    <w:name w:val="标题 8 字符2"/>
    <w:link w:val="8"/>
    <w:semiHidden/>
    <w:qFormat/>
    <w:rPr>
      <w:rFonts w:ascii="等线 Light" w:eastAsia="等线 Light" w:hAnsi="等线 Light"/>
      <w:kern w:val="2"/>
      <w:sz w:val="21"/>
      <w:szCs w:val="21"/>
    </w:rPr>
  </w:style>
  <w:style w:type="character" w:customStyle="1" w:styleId="92">
    <w:name w:val="标题 9 字符2"/>
    <w:link w:val="9"/>
    <w:semiHidden/>
    <w:qFormat/>
    <w:rPr>
      <w:rFonts w:ascii="等线 Light" w:eastAsia="等线 Light" w:hAnsi="等线 Light"/>
      <w:kern w:val="2"/>
      <w:sz w:val="21"/>
      <w:szCs w:val="21"/>
    </w:rPr>
  </w:style>
  <w:style w:type="paragraph" w:styleId="31">
    <w:name w:val="List 3"/>
    <w:basedOn w:val="a"/>
    <w:semiHidden/>
    <w:qFormat/>
    <w:pPr>
      <w:ind w:left="849" w:hanging="283"/>
    </w:pPr>
  </w:style>
  <w:style w:type="paragraph" w:styleId="TOC7">
    <w:name w:val="toc 7"/>
    <w:basedOn w:val="a"/>
    <w:uiPriority w:val="39"/>
    <w:semiHidden/>
    <w:qFormat/>
  </w:style>
  <w:style w:type="paragraph" w:styleId="21">
    <w:name w:val="List Number 2"/>
    <w:basedOn w:val="a"/>
    <w:semiHidden/>
    <w:qFormat/>
    <w:pPr>
      <w:spacing w:after="240"/>
    </w:pPr>
  </w:style>
  <w:style w:type="paragraph" w:styleId="a3">
    <w:name w:val="table of authorities"/>
    <w:basedOn w:val="a"/>
    <w:next w:val="a"/>
    <w:semiHidden/>
    <w:qFormat/>
    <w:pPr>
      <w:ind w:left="200" w:hanging="200"/>
    </w:pPr>
  </w:style>
  <w:style w:type="paragraph" w:styleId="a4">
    <w:name w:val="Note Heading"/>
    <w:basedOn w:val="a"/>
    <w:next w:val="a"/>
    <w:link w:val="22"/>
    <w:semiHidden/>
    <w:qFormat/>
    <w:rPr>
      <w:rFonts w:ascii="Calibri" w:hAnsi="Calibri"/>
    </w:rPr>
  </w:style>
  <w:style w:type="character" w:customStyle="1" w:styleId="22">
    <w:name w:val="注释标题 字符2"/>
    <w:link w:val="a4"/>
    <w:semiHidden/>
    <w:rPr>
      <w:rFonts w:ascii="Calibri" w:hAnsi="Calibri"/>
      <w:kern w:val="2"/>
      <w:sz w:val="21"/>
      <w:szCs w:val="21"/>
    </w:rPr>
  </w:style>
  <w:style w:type="paragraph" w:styleId="41">
    <w:name w:val="List Bullet 4"/>
    <w:basedOn w:val="a"/>
    <w:semiHidden/>
    <w:qFormat/>
    <w:pPr>
      <w:numPr>
        <w:numId w:val="2"/>
      </w:numPr>
      <w:tabs>
        <w:tab w:val="clear" w:pos="1209"/>
        <w:tab w:val="left" w:pos="720"/>
        <w:tab w:val="left" w:pos="1287"/>
      </w:tabs>
      <w:ind w:left="1287" w:hanging="567"/>
    </w:pPr>
  </w:style>
  <w:style w:type="paragraph" w:styleId="80">
    <w:name w:val="index 8"/>
    <w:basedOn w:val="a"/>
    <w:next w:val="a"/>
    <w:semiHidden/>
    <w:qFormat/>
    <w:pPr>
      <w:ind w:left="1600" w:hanging="200"/>
    </w:pPr>
  </w:style>
  <w:style w:type="paragraph" w:styleId="a5">
    <w:name w:val="E-mail Signature"/>
    <w:basedOn w:val="a"/>
    <w:link w:val="32"/>
    <w:semiHidden/>
    <w:qFormat/>
  </w:style>
  <w:style w:type="character" w:customStyle="1" w:styleId="32">
    <w:name w:val="电子邮件签名 字符3"/>
    <w:link w:val="a5"/>
    <w:semiHidden/>
    <w:qFormat/>
    <w:rPr>
      <w:kern w:val="2"/>
      <w:sz w:val="21"/>
      <w:szCs w:val="21"/>
    </w:rPr>
  </w:style>
  <w:style w:type="paragraph" w:styleId="a6">
    <w:name w:val="List Number"/>
    <w:basedOn w:val="a7"/>
    <w:semiHidden/>
    <w:qFormat/>
    <w:pPr>
      <w:numPr>
        <w:numId w:val="3"/>
      </w:numPr>
      <w:tabs>
        <w:tab w:val="left" w:pos="360"/>
        <w:tab w:val="left" w:pos="567"/>
        <w:tab w:val="left" w:pos="926"/>
      </w:tabs>
      <w:spacing w:after="240"/>
      <w:ind w:left="360" w:hanging="360"/>
    </w:pPr>
  </w:style>
  <w:style w:type="paragraph" w:styleId="a7">
    <w:name w:val="Body Text"/>
    <w:basedOn w:val="a"/>
    <w:link w:val="23"/>
    <w:semiHidden/>
    <w:qFormat/>
    <w:pPr>
      <w:spacing w:after="120"/>
    </w:pPr>
    <w:rPr>
      <w:rFonts w:ascii="Calibri" w:hAnsi="Calibri"/>
    </w:rPr>
  </w:style>
  <w:style w:type="character" w:customStyle="1" w:styleId="23">
    <w:name w:val="正文文本 字符2"/>
    <w:link w:val="a7"/>
    <w:semiHidden/>
    <w:qFormat/>
    <w:rPr>
      <w:rFonts w:ascii="Calibri" w:hAnsi="Calibri"/>
      <w:kern w:val="2"/>
      <w:sz w:val="21"/>
      <w:szCs w:val="21"/>
    </w:rPr>
  </w:style>
  <w:style w:type="paragraph" w:styleId="a8">
    <w:name w:val="Normal Indent"/>
    <w:basedOn w:val="a"/>
    <w:semiHidden/>
    <w:qFormat/>
    <w:pPr>
      <w:ind w:left="720"/>
    </w:pPr>
  </w:style>
  <w:style w:type="paragraph" w:styleId="a9">
    <w:name w:val="caption"/>
    <w:basedOn w:val="a"/>
    <w:next w:val="a"/>
    <w:link w:val="11"/>
    <w:qFormat/>
    <w:pPr>
      <w:spacing w:before="120" w:after="120"/>
    </w:pPr>
    <w:rPr>
      <w:rFonts w:ascii="Calibri" w:hAnsi="Calibri"/>
      <w:b/>
      <w:bCs/>
    </w:rPr>
  </w:style>
  <w:style w:type="character" w:customStyle="1" w:styleId="11">
    <w:name w:val="题注 字符1"/>
    <w:link w:val="a9"/>
    <w:semiHidden/>
    <w:qFormat/>
    <w:rPr>
      <w:rFonts w:ascii="Calibri" w:hAnsi="Calibri"/>
      <w:b/>
      <w:bCs/>
      <w:kern w:val="2"/>
      <w:sz w:val="21"/>
      <w:szCs w:val="21"/>
    </w:rPr>
  </w:style>
  <w:style w:type="paragraph" w:styleId="51">
    <w:name w:val="index 5"/>
    <w:basedOn w:val="a"/>
    <w:next w:val="a"/>
    <w:semiHidden/>
    <w:qFormat/>
    <w:pPr>
      <w:ind w:left="1000" w:hanging="200"/>
    </w:pPr>
  </w:style>
  <w:style w:type="paragraph" w:styleId="aa">
    <w:name w:val="List Bullet"/>
    <w:basedOn w:val="a7"/>
    <w:semiHidden/>
    <w:qFormat/>
    <w:pPr>
      <w:numPr>
        <w:numId w:val="4"/>
      </w:numPr>
      <w:tabs>
        <w:tab w:val="clear" w:pos="567"/>
        <w:tab w:val="left" w:pos="360"/>
        <w:tab w:val="left" w:pos="840"/>
        <w:tab w:val="left" w:pos="1209"/>
      </w:tabs>
      <w:spacing w:after="240"/>
      <w:ind w:left="360" w:hanging="360"/>
    </w:pPr>
  </w:style>
  <w:style w:type="paragraph" w:styleId="ab">
    <w:name w:val="envelope address"/>
    <w:basedOn w:val="a"/>
    <w:semiHidden/>
    <w:qFormat/>
    <w:pPr>
      <w:framePr w:w="7920" w:h="1980" w:hRule="exact" w:hSpace="180" w:wrap="around" w:hAnchor="page" w:xAlign="center" w:yAlign="bottom"/>
      <w:ind w:left="2880"/>
    </w:pPr>
    <w:rPr>
      <w:rFonts w:cs="Arial"/>
    </w:rPr>
  </w:style>
  <w:style w:type="paragraph" w:styleId="ac">
    <w:name w:val="Document Map"/>
    <w:basedOn w:val="a"/>
    <w:uiPriority w:val="99"/>
    <w:semiHidden/>
    <w:qFormat/>
    <w:pPr>
      <w:shd w:val="clear" w:color="auto" w:fill="000080"/>
    </w:pPr>
  </w:style>
  <w:style w:type="paragraph" w:styleId="ad">
    <w:name w:val="toa heading"/>
    <w:basedOn w:val="a"/>
    <w:next w:val="a"/>
    <w:semiHidden/>
    <w:qFormat/>
    <w:pPr>
      <w:spacing w:before="120"/>
    </w:pPr>
    <w:rPr>
      <w:rFonts w:cs="Arial"/>
      <w:b/>
      <w:bCs/>
    </w:rPr>
  </w:style>
  <w:style w:type="paragraph" w:styleId="ae">
    <w:name w:val="annotation text"/>
    <w:basedOn w:val="a"/>
    <w:link w:val="af"/>
    <w:uiPriority w:val="99"/>
    <w:semiHidden/>
    <w:qFormat/>
    <w:pPr>
      <w:widowControl w:val="0"/>
    </w:pPr>
  </w:style>
  <w:style w:type="character" w:customStyle="1" w:styleId="af">
    <w:name w:val="批注文字 字符"/>
    <w:link w:val="ae"/>
    <w:uiPriority w:val="99"/>
    <w:semiHidden/>
    <w:qFormat/>
    <w:rPr>
      <w:kern w:val="2"/>
      <w:sz w:val="21"/>
      <w:szCs w:val="21"/>
    </w:rPr>
  </w:style>
  <w:style w:type="paragraph" w:styleId="60">
    <w:name w:val="index 6"/>
    <w:basedOn w:val="a"/>
    <w:next w:val="a"/>
    <w:semiHidden/>
    <w:qFormat/>
    <w:pPr>
      <w:ind w:left="1200" w:hanging="200"/>
    </w:pPr>
  </w:style>
  <w:style w:type="paragraph" w:styleId="af0">
    <w:name w:val="Salutation"/>
    <w:basedOn w:val="a"/>
    <w:next w:val="a"/>
    <w:link w:val="24"/>
    <w:semiHidden/>
    <w:qFormat/>
    <w:rPr>
      <w:rFonts w:ascii="Calibri" w:hAnsi="Calibri"/>
    </w:rPr>
  </w:style>
  <w:style w:type="character" w:customStyle="1" w:styleId="24">
    <w:name w:val="称呼 字符2"/>
    <w:link w:val="af0"/>
    <w:semiHidden/>
    <w:qFormat/>
    <w:rPr>
      <w:rFonts w:ascii="Calibri" w:hAnsi="Calibri"/>
      <w:kern w:val="2"/>
      <w:sz w:val="21"/>
      <w:szCs w:val="21"/>
    </w:rPr>
  </w:style>
  <w:style w:type="paragraph" w:styleId="33">
    <w:name w:val="List Bullet 3"/>
    <w:basedOn w:val="a"/>
    <w:semiHidden/>
    <w:qFormat/>
    <w:pPr>
      <w:numPr>
        <w:numId w:val="5"/>
      </w:numPr>
      <w:tabs>
        <w:tab w:val="clear" w:pos="926"/>
        <w:tab w:val="left" w:pos="840"/>
        <w:tab w:val="left" w:pos="1134"/>
      </w:tabs>
      <w:ind w:left="1134" w:hanging="567"/>
    </w:pPr>
  </w:style>
  <w:style w:type="paragraph" w:styleId="af1">
    <w:name w:val="Body Text Indent"/>
    <w:basedOn w:val="a"/>
    <w:link w:val="12"/>
    <w:semiHidden/>
    <w:qFormat/>
    <w:pPr>
      <w:tabs>
        <w:tab w:val="left" w:pos="7020"/>
      </w:tabs>
      <w:spacing w:beforeLines="50" w:before="50" w:afterLines="50" w:after="50" w:line="600" w:lineRule="exact"/>
      <w:ind w:firstLineChars="200" w:firstLine="600"/>
      <w:jc w:val="both"/>
    </w:pPr>
    <w:rPr>
      <w:rFonts w:ascii="仿宋_GB2312" w:eastAsia="仿宋_GB2312"/>
      <w:sz w:val="30"/>
    </w:rPr>
  </w:style>
  <w:style w:type="character" w:customStyle="1" w:styleId="12">
    <w:name w:val="正文文本缩进 字符1"/>
    <w:link w:val="af1"/>
    <w:semiHidden/>
    <w:qFormat/>
    <w:rPr>
      <w:rFonts w:ascii="仿宋_GB2312" w:eastAsia="仿宋_GB2312"/>
      <w:kern w:val="2"/>
      <w:sz w:val="30"/>
      <w:szCs w:val="21"/>
    </w:rPr>
  </w:style>
  <w:style w:type="paragraph" w:styleId="34">
    <w:name w:val="List Number 3"/>
    <w:basedOn w:val="a"/>
    <w:uiPriority w:val="99"/>
    <w:semiHidden/>
    <w:qFormat/>
    <w:pPr>
      <w:numPr>
        <w:numId w:val="6"/>
      </w:numPr>
      <w:tabs>
        <w:tab w:val="clear" w:pos="926"/>
        <w:tab w:val="left" w:pos="1320"/>
        <w:tab w:val="left" w:pos="1701"/>
      </w:tabs>
      <w:ind w:left="1701" w:hanging="567"/>
    </w:pPr>
  </w:style>
  <w:style w:type="paragraph" w:styleId="25">
    <w:name w:val="List 2"/>
    <w:basedOn w:val="a"/>
    <w:semiHidden/>
    <w:qFormat/>
    <w:pPr>
      <w:ind w:left="566" w:hanging="283"/>
    </w:pPr>
  </w:style>
  <w:style w:type="paragraph" w:styleId="af2">
    <w:name w:val="List Continue"/>
    <w:basedOn w:val="a"/>
    <w:uiPriority w:val="99"/>
    <w:semiHidden/>
    <w:qFormat/>
    <w:pPr>
      <w:spacing w:after="120"/>
      <w:ind w:left="283"/>
    </w:pPr>
  </w:style>
  <w:style w:type="paragraph" w:styleId="af3">
    <w:name w:val="Block Text"/>
    <w:basedOn w:val="a"/>
    <w:next w:val="a7"/>
    <w:semiHidden/>
    <w:qFormat/>
    <w:pPr>
      <w:spacing w:after="120" w:line="240" w:lineRule="atLeast"/>
      <w:ind w:left="1134"/>
    </w:pPr>
  </w:style>
  <w:style w:type="paragraph" w:styleId="26">
    <w:name w:val="List Bullet 2"/>
    <w:basedOn w:val="a7"/>
    <w:semiHidden/>
    <w:qFormat/>
    <w:pPr>
      <w:tabs>
        <w:tab w:val="left" w:pos="1134"/>
        <w:tab w:val="left" w:pos="1209"/>
        <w:tab w:val="left" w:pos="1492"/>
      </w:tabs>
      <w:spacing w:after="240"/>
      <w:ind w:left="1134" w:hanging="567"/>
    </w:pPr>
  </w:style>
  <w:style w:type="paragraph" w:styleId="HTML">
    <w:name w:val="HTML Address"/>
    <w:basedOn w:val="a"/>
    <w:link w:val="HTML2"/>
    <w:semiHidden/>
    <w:qFormat/>
    <w:rPr>
      <w:rFonts w:ascii="Calibri" w:hAnsi="Calibri"/>
      <w:i/>
      <w:iCs/>
    </w:rPr>
  </w:style>
  <w:style w:type="character" w:customStyle="1" w:styleId="HTML2">
    <w:name w:val="HTML 地址 字符2"/>
    <w:link w:val="HTML"/>
    <w:semiHidden/>
    <w:rPr>
      <w:rFonts w:ascii="Calibri" w:hAnsi="Calibri"/>
      <w:i/>
      <w:iCs/>
      <w:kern w:val="2"/>
      <w:sz w:val="21"/>
      <w:szCs w:val="21"/>
    </w:rPr>
  </w:style>
  <w:style w:type="paragraph" w:styleId="42">
    <w:name w:val="index 4"/>
    <w:basedOn w:val="a"/>
    <w:next w:val="a"/>
    <w:semiHidden/>
    <w:qFormat/>
    <w:pPr>
      <w:ind w:left="800" w:hanging="200"/>
    </w:pPr>
  </w:style>
  <w:style w:type="paragraph" w:styleId="TOC5">
    <w:name w:val="toc 5"/>
    <w:basedOn w:val="TOC4"/>
    <w:uiPriority w:val="39"/>
    <w:semiHidden/>
    <w:qFormat/>
    <w:pPr>
      <w:ind w:left="3969"/>
    </w:pPr>
  </w:style>
  <w:style w:type="paragraph" w:styleId="TOC4">
    <w:name w:val="toc 4"/>
    <w:basedOn w:val="TOC3"/>
    <w:uiPriority w:val="39"/>
    <w:semiHidden/>
    <w:qFormat/>
    <w:pPr>
      <w:ind w:left="3402"/>
    </w:pPr>
  </w:style>
  <w:style w:type="paragraph" w:styleId="TOC3">
    <w:name w:val="toc 3"/>
    <w:basedOn w:val="TOC2"/>
    <w:uiPriority w:val="39"/>
    <w:semiHidden/>
    <w:qFormat/>
    <w:pPr>
      <w:tabs>
        <w:tab w:val="left" w:pos="1701"/>
        <w:tab w:val="right" w:leader="dot" w:pos="7655"/>
        <w:tab w:val="right" w:leader="dot" w:pos="8820"/>
      </w:tabs>
      <w:spacing w:after="240" w:line="320" w:lineRule="atLeast"/>
      <w:ind w:leftChars="0" w:left="2835" w:right="1985" w:hanging="567"/>
    </w:pPr>
    <w:rPr>
      <w:rFonts w:ascii="Arial" w:eastAsia="楷体_GB2312" w:hAnsi="Arial"/>
      <w:color w:val="000000"/>
      <w:szCs w:val="20"/>
      <w:lang w:eastAsia="en-US"/>
    </w:rPr>
  </w:style>
  <w:style w:type="paragraph" w:styleId="TOC2">
    <w:name w:val="toc 2"/>
    <w:basedOn w:val="a"/>
    <w:next w:val="a"/>
    <w:link w:val="TOC20"/>
    <w:uiPriority w:val="39"/>
    <w:qFormat/>
    <w:pPr>
      <w:tabs>
        <w:tab w:val="right" w:leader="dot" w:pos="8295"/>
      </w:tabs>
      <w:spacing w:line="360" w:lineRule="auto"/>
      <w:ind w:leftChars="200" w:left="200"/>
      <w:jc w:val="both"/>
    </w:pPr>
    <w:rPr>
      <w:sz w:val="24"/>
    </w:rPr>
  </w:style>
  <w:style w:type="character" w:customStyle="1" w:styleId="TOC20">
    <w:name w:val="TOC 2 字符"/>
    <w:link w:val="TOC2"/>
    <w:uiPriority w:val="39"/>
    <w:semiHidden/>
    <w:qFormat/>
    <w:rPr>
      <w:kern w:val="2"/>
      <w:sz w:val="24"/>
      <w:szCs w:val="21"/>
    </w:rPr>
  </w:style>
  <w:style w:type="paragraph" w:styleId="af4">
    <w:name w:val="Plain Text"/>
    <w:basedOn w:val="a"/>
    <w:link w:val="af5"/>
    <w:semiHidden/>
    <w:qFormat/>
    <w:pPr>
      <w:widowControl w:val="0"/>
      <w:jc w:val="both"/>
    </w:pPr>
    <w:rPr>
      <w:rFonts w:hAnsi="Courier New" w:cs="Courier New"/>
    </w:rPr>
  </w:style>
  <w:style w:type="character" w:customStyle="1" w:styleId="af5">
    <w:name w:val="纯文本 字符"/>
    <w:link w:val="af4"/>
    <w:semiHidden/>
    <w:qFormat/>
    <w:rPr>
      <w:rFonts w:hAnsi="Courier New" w:cs="Courier New"/>
      <w:kern w:val="2"/>
      <w:sz w:val="21"/>
      <w:szCs w:val="21"/>
    </w:rPr>
  </w:style>
  <w:style w:type="paragraph" w:styleId="52">
    <w:name w:val="List Bullet 5"/>
    <w:basedOn w:val="a"/>
    <w:semiHidden/>
    <w:qFormat/>
    <w:pPr>
      <w:numPr>
        <w:numId w:val="7"/>
      </w:numPr>
      <w:tabs>
        <w:tab w:val="clear" w:pos="1492"/>
        <w:tab w:val="left" w:pos="567"/>
        <w:tab w:val="left" w:pos="1701"/>
      </w:tabs>
      <w:ind w:left="1701" w:hanging="567"/>
    </w:pPr>
  </w:style>
  <w:style w:type="paragraph" w:styleId="43">
    <w:name w:val="List Number 4"/>
    <w:basedOn w:val="a"/>
    <w:uiPriority w:val="99"/>
    <w:semiHidden/>
    <w:qFormat/>
    <w:pPr>
      <w:numPr>
        <w:numId w:val="8"/>
      </w:numPr>
      <w:tabs>
        <w:tab w:val="clear" w:pos="1209"/>
        <w:tab w:val="left" w:pos="1320"/>
        <w:tab w:val="left" w:pos="1701"/>
      </w:tabs>
      <w:ind w:left="1701" w:hanging="567"/>
    </w:pPr>
  </w:style>
  <w:style w:type="paragraph" w:styleId="TOC8">
    <w:name w:val="toc 8"/>
    <w:basedOn w:val="a"/>
    <w:uiPriority w:val="39"/>
    <w:semiHidden/>
    <w:qFormat/>
  </w:style>
  <w:style w:type="paragraph" w:styleId="35">
    <w:name w:val="index 3"/>
    <w:basedOn w:val="a"/>
    <w:next w:val="a"/>
    <w:semiHidden/>
    <w:qFormat/>
    <w:pPr>
      <w:ind w:left="600" w:hanging="200"/>
    </w:pPr>
  </w:style>
  <w:style w:type="paragraph" w:styleId="af6">
    <w:name w:val="Date"/>
    <w:basedOn w:val="a"/>
    <w:next w:val="a"/>
    <w:link w:val="13"/>
    <w:semiHidden/>
    <w:qFormat/>
    <w:pPr>
      <w:spacing w:beforeLines="50" w:before="50" w:afterLines="50" w:after="50" w:line="360" w:lineRule="auto"/>
      <w:ind w:firstLineChars="200" w:firstLine="200"/>
      <w:jc w:val="both"/>
    </w:pPr>
    <w:rPr>
      <w:rFonts w:ascii="楷体_GB2312" w:eastAsia="楷体_GB2312"/>
      <w:sz w:val="32"/>
      <w:szCs w:val="20"/>
    </w:rPr>
  </w:style>
  <w:style w:type="character" w:customStyle="1" w:styleId="13">
    <w:name w:val="日期 字符1"/>
    <w:link w:val="af6"/>
    <w:semiHidden/>
    <w:qFormat/>
    <w:rPr>
      <w:rFonts w:ascii="楷体_GB2312" w:eastAsia="楷体_GB2312"/>
      <w:kern w:val="2"/>
      <w:sz w:val="32"/>
    </w:rPr>
  </w:style>
  <w:style w:type="paragraph" w:styleId="27">
    <w:name w:val="Body Text Indent 2"/>
    <w:basedOn w:val="a"/>
    <w:link w:val="28"/>
    <w:semiHidden/>
    <w:qFormat/>
    <w:pPr>
      <w:widowControl w:val="0"/>
      <w:adjustRightInd w:val="0"/>
      <w:snapToGrid w:val="0"/>
      <w:spacing w:line="500" w:lineRule="exact"/>
      <w:ind w:firstLineChars="200" w:firstLine="551"/>
      <w:jc w:val="both"/>
    </w:pPr>
    <w:rPr>
      <w:b/>
      <w:bCs/>
      <w:sz w:val="28"/>
    </w:rPr>
  </w:style>
  <w:style w:type="character" w:customStyle="1" w:styleId="28">
    <w:name w:val="正文文本缩进 2 字符"/>
    <w:link w:val="27"/>
    <w:semiHidden/>
    <w:qFormat/>
    <w:rPr>
      <w:b/>
      <w:bCs/>
      <w:kern w:val="2"/>
      <w:sz w:val="28"/>
      <w:szCs w:val="21"/>
    </w:rPr>
  </w:style>
  <w:style w:type="paragraph" w:styleId="af7">
    <w:name w:val="endnote text"/>
    <w:basedOn w:val="KWNormal"/>
    <w:link w:val="29"/>
    <w:uiPriority w:val="99"/>
    <w:semiHidden/>
    <w:qFormat/>
    <w:pPr>
      <w:spacing w:afterLines="50" w:line="240" w:lineRule="auto"/>
      <w:ind w:left="85" w:hanging="85"/>
      <w:jc w:val="left"/>
    </w:pPr>
    <w:rPr>
      <w:color w:val="auto"/>
      <w:kern w:val="2"/>
      <w:sz w:val="18"/>
      <w:szCs w:val="22"/>
    </w:rPr>
  </w:style>
  <w:style w:type="paragraph" w:customStyle="1" w:styleId="KWNormal">
    <w:name w:val="K&amp;W Normal"/>
    <w:link w:val="KWNormalChar"/>
    <w:semiHidden/>
    <w:qFormat/>
    <w:pPr>
      <w:spacing w:after="360" w:line="320" w:lineRule="atLeast"/>
      <w:jc w:val="both"/>
    </w:pPr>
    <w:rPr>
      <w:rFonts w:ascii="Arial" w:eastAsia="楷体_GB2312" w:hAnsi="Arial"/>
      <w:color w:val="000000"/>
      <w:sz w:val="24"/>
      <w:lang w:eastAsia="en-US"/>
    </w:rPr>
  </w:style>
  <w:style w:type="character" w:customStyle="1" w:styleId="KWNormalChar">
    <w:name w:val="K&amp;W Normal Char"/>
    <w:link w:val="KWNormal"/>
    <w:semiHidden/>
    <w:qFormat/>
    <w:rPr>
      <w:rFonts w:ascii="Arial" w:eastAsia="楷体_GB2312" w:hAnsi="Arial"/>
      <w:color w:val="000000"/>
      <w:sz w:val="24"/>
      <w:lang w:eastAsia="en-US"/>
    </w:rPr>
  </w:style>
  <w:style w:type="character" w:customStyle="1" w:styleId="29">
    <w:name w:val="尾注文本 字符2"/>
    <w:link w:val="af7"/>
    <w:uiPriority w:val="99"/>
    <w:semiHidden/>
    <w:qFormat/>
    <w:rPr>
      <w:rFonts w:ascii="Arial" w:eastAsia="楷体_GB2312" w:hAnsi="Arial"/>
      <w:kern w:val="2"/>
      <w:sz w:val="18"/>
      <w:szCs w:val="22"/>
      <w:lang w:eastAsia="en-US"/>
    </w:rPr>
  </w:style>
  <w:style w:type="paragraph" w:styleId="53">
    <w:name w:val="List Continue 5"/>
    <w:basedOn w:val="a"/>
    <w:semiHidden/>
    <w:qFormat/>
    <w:pPr>
      <w:spacing w:after="120"/>
      <w:ind w:left="1415"/>
    </w:pPr>
  </w:style>
  <w:style w:type="paragraph" w:styleId="af8">
    <w:name w:val="Balloon Text"/>
    <w:basedOn w:val="a"/>
    <w:link w:val="af9"/>
    <w:uiPriority w:val="99"/>
    <w:semiHidden/>
    <w:qFormat/>
    <w:pPr>
      <w:widowControl w:val="0"/>
      <w:jc w:val="both"/>
    </w:pPr>
    <w:rPr>
      <w:rFonts w:ascii="Calibri" w:hAnsi="Calibri"/>
      <w:sz w:val="18"/>
      <w:szCs w:val="18"/>
    </w:rPr>
  </w:style>
  <w:style w:type="character" w:customStyle="1" w:styleId="af9">
    <w:name w:val="批注框文本 字符"/>
    <w:link w:val="af8"/>
    <w:uiPriority w:val="99"/>
    <w:semiHidden/>
    <w:qFormat/>
    <w:rPr>
      <w:rFonts w:ascii="Calibri" w:hAnsi="Calibri"/>
      <w:kern w:val="2"/>
      <w:sz w:val="18"/>
      <w:szCs w:val="18"/>
    </w:rPr>
  </w:style>
  <w:style w:type="paragraph" w:styleId="afa">
    <w:name w:val="footer"/>
    <w:basedOn w:val="a"/>
    <w:link w:val="afb"/>
    <w:uiPriority w:val="99"/>
    <w:semiHidden/>
    <w:qFormat/>
    <w:pPr>
      <w:widowControl w:val="0"/>
      <w:tabs>
        <w:tab w:val="center" w:pos="4153"/>
        <w:tab w:val="right" w:pos="8306"/>
      </w:tabs>
      <w:snapToGrid w:val="0"/>
    </w:pPr>
    <w:rPr>
      <w:rFonts w:ascii="Calibri" w:hAnsi="Calibri"/>
      <w:sz w:val="18"/>
      <w:szCs w:val="18"/>
    </w:rPr>
  </w:style>
  <w:style w:type="character" w:customStyle="1" w:styleId="afb">
    <w:name w:val="页脚 字符"/>
    <w:link w:val="afa"/>
    <w:uiPriority w:val="99"/>
    <w:semiHidden/>
    <w:qFormat/>
    <w:rPr>
      <w:rFonts w:ascii="Calibri" w:hAnsi="Calibri"/>
      <w:kern w:val="2"/>
      <w:sz w:val="18"/>
      <w:szCs w:val="18"/>
    </w:rPr>
  </w:style>
  <w:style w:type="paragraph" w:styleId="afc">
    <w:name w:val="envelope return"/>
    <w:basedOn w:val="a"/>
    <w:semiHidden/>
    <w:qFormat/>
    <w:rPr>
      <w:rFonts w:cs="Arial"/>
    </w:rPr>
  </w:style>
  <w:style w:type="paragraph" w:styleId="afd">
    <w:name w:val="header"/>
    <w:basedOn w:val="a"/>
    <w:link w:val="afe"/>
    <w:uiPriority w:val="99"/>
    <w:semiHidden/>
    <w:qFormat/>
    <w:pPr>
      <w:widowControl w:val="0"/>
      <w:pBdr>
        <w:bottom w:val="single" w:sz="6" w:space="1" w:color="auto"/>
      </w:pBdr>
      <w:tabs>
        <w:tab w:val="center" w:pos="4153"/>
        <w:tab w:val="right" w:pos="8306"/>
      </w:tabs>
      <w:snapToGrid w:val="0"/>
      <w:jc w:val="center"/>
    </w:pPr>
    <w:rPr>
      <w:rFonts w:ascii="Calibri" w:hAnsi="Calibri"/>
      <w:sz w:val="18"/>
      <w:szCs w:val="18"/>
    </w:rPr>
  </w:style>
  <w:style w:type="character" w:customStyle="1" w:styleId="afe">
    <w:name w:val="页眉 字符"/>
    <w:link w:val="afd"/>
    <w:uiPriority w:val="99"/>
    <w:semiHidden/>
    <w:qFormat/>
    <w:rPr>
      <w:rFonts w:ascii="Calibri" w:hAnsi="Calibri"/>
      <w:kern w:val="2"/>
      <w:sz w:val="18"/>
      <w:szCs w:val="18"/>
    </w:rPr>
  </w:style>
  <w:style w:type="paragraph" w:styleId="aff">
    <w:name w:val="Signature"/>
    <w:basedOn w:val="a"/>
    <w:link w:val="2a"/>
    <w:semiHidden/>
    <w:qFormat/>
    <w:pPr>
      <w:ind w:left="4252"/>
    </w:pPr>
    <w:rPr>
      <w:rFonts w:ascii="Calibri" w:hAnsi="Calibri"/>
    </w:rPr>
  </w:style>
  <w:style w:type="character" w:customStyle="1" w:styleId="2a">
    <w:name w:val="签名 字符2"/>
    <w:link w:val="aff"/>
    <w:semiHidden/>
    <w:qFormat/>
    <w:rPr>
      <w:rFonts w:ascii="Calibri" w:hAnsi="Calibri"/>
      <w:kern w:val="2"/>
      <w:sz w:val="21"/>
      <w:szCs w:val="21"/>
    </w:rPr>
  </w:style>
  <w:style w:type="paragraph" w:styleId="TOC1">
    <w:name w:val="toc 1"/>
    <w:basedOn w:val="a"/>
    <w:next w:val="a"/>
    <w:link w:val="TOC10"/>
    <w:uiPriority w:val="39"/>
    <w:qFormat/>
    <w:pPr>
      <w:tabs>
        <w:tab w:val="right" w:leader="dot" w:pos="8295"/>
      </w:tabs>
      <w:spacing w:line="360" w:lineRule="auto"/>
      <w:jc w:val="both"/>
    </w:pPr>
    <w:rPr>
      <w:b/>
      <w:sz w:val="24"/>
    </w:rPr>
  </w:style>
  <w:style w:type="character" w:customStyle="1" w:styleId="TOC10">
    <w:name w:val="TOC 1 字符"/>
    <w:link w:val="TOC1"/>
    <w:uiPriority w:val="39"/>
    <w:semiHidden/>
    <w:rPr>
      <w:b/>
      <w:kern w:val="2"/>
      <w:sz w:val="24"/>
      <w:szCs w:val="21"/>
    </w:rPr>
  </w:style>
  <w:style w:type="paragraph" w:styleId="44">
    <w:name w:val="List Continue 4"/>
    <w:basedOn w:val="a"/>
    <w:semiHidden/>
    <w:qFormat/>
    <w:pPr>
      <w:spacing w:after="120"/>
      <w:ind w:left="1132"/>
    </w:pPr>
  </w:style>
  <w:style w:type="paragraph" w:styleId="aff0">
    <w:name w:val="index heading"/>
    <w:basedOn w:val="a"/>
    <w:next w:val="14"/>
    <w:semiHidden/>
    <w:qFormat/>
    <w:rPr>
      <w:rFonts w:cs="Arial"/>
      <w:b/>
      <w:bCs/>
    </w:rPr>
  </w:style>
  <w:style w:type="paragraph" w:styleId="14">
    <w:name w:val="index 1"/>
    <w:basedOn w:val="a"/>
    <w:next w:val="a"/>
    <w:semiHidden/>
    <w:qFormat/>
    <w:pPr>
      <w:widowControl w:val="0"/>
      <w:jc w:val="both"/>
    </w:pPr>
  </w:style>
  <w:style w:type="paragraph" w:styleId="aff1">
    <w:name w:val="Subtitle"/>
    <w:basedOn w:val="a"/>
    <w:link w:val="2b"/>
    <w:uiPriority w:val="11"/>
    <w:qFormat/>
    <w:pPr>
      <w:spacing w:after="60"/>
      <w:jc w:val="center"/>
      <w:outlineLvl w:val="1"/>
    </w:pPr>
    <w:rPr>
      <w:rFonts w:ascii="Calibri" w:hAnsi="Calibri" w:cs="Arial"/>
    </w:rPr>
  </w:style>
  <w:style w:type="character" w:customStyle="1" w:styleId="2b">
    <w:name w:val="副标题 字符2"/>
    <w:link w:val="aff1"/>
    <w:uiPriority w:val="11"/>
    <w:semiHidden/>
    <w:qFormat/>
    <w:rPr>
      <w:rFonts w:ascii="Calibri" w:hAnsi="Calibri" w:cs="Arial"/>
      <w:kern w:val="2"/>
      <w:sz w:val="21"/>
      <w:szCs w:val="21"/>
    </w:rPr>
  </w:style>
  <w:style w:type="paragraph" w:styleId="54">
    <w:name w:val="List Number 5"/>
    <w:basedOn w:val="a"/>
    <w:uiPriority w:val="99"/>
    <w:semiHidden/>
    <w:qFormat/>
    <w:pPr>
      <w:numPr>
        <w:numId w:val="9"/>
      </w:numPr>
      <w:tabs>
        <w:tab w:val="clear" w:pos="1634"/>
        <w:tab w:val="left" w:pos="720"/>
        <w:tab w:val="left" w:pos="926"/>
        <w:tab w:val="left" w:pos="1701"/>
      </w:tabs>
      <w:ind w:left="1701" w:hanging="567"/>
    </w:pPr>
  </w:style>
  <w:style w:type="paragraph" w:styleId="aff2">
    <w:name w:val="List"/>
    <w:basedOn w:val="a"/>
    <w:uiPriority w:val="99"/>
    <w:semiHidden/>
    <w:qFormat/>
    <w:pPr>
      <w:ind w:left="283" w:hanging="283"/>
    </w:pPr>
  </w:style>
  <w:style w:type="paragraph" w:styleId="aff3">
    <w:name w:val="footnote text"/>
    <w:basedOn w:val="a"/>
    <w:link w:val="aff4"/>
    <w:semiHidden/>
    <w:qFormat/>
    <w:pPr>
      <w:widowControl w:val="0"/>
      <w:snapToGrid w:val="0"/>
    </w:pPr>
    <w:rPr>
      <w:sz w:val="18"/>
      <w:szCs w:val="18"/>
    </w:rPr>
  </w:style>
  <w:style w:type="character" w:customStyle="1" w:styleId="aff4">
    <w:name w:val="脚注文本 字符"/>
    <w:link w:val="aff3"/>
    <w:semiHidden/>
    <w:qFormat/>
    <w:rPr>
      <w:kern w:val="2"/>
      <w:sz w:val="18"/>
      <w:szCs w:val="18"/>
    </w:rPr>
  </w:style>
  <w:style w:type="paragraph" w:styleId="TOC6">
    <w:name w:val="toc 6"/>
    <w:basedOn w:val="a"/>
    <w:uiPriority w:val="39"/>
    <w:semiHidden/>
    <w:qFormat/>
  </w:style>
  <w:style w:type="paragraph" w:styleId="55">
    <w:name w:val="List 5"/>
    <w:basedOn w:val="a"/>
    <w:uiPriority w:val="99"/>
    <w:semiHidden/>
    <w:qFormat/>
    <w:pPr>
      <w:ind w:left="1415" w:hanging="283"/>
    </w:pPr>
  </w:style>
  <w:style w:type="paragraph" w:styleId="36">
    <w:name w:val="Body Text Indent 3"/>
    <w:basedOn w:val="a"/>
    <w:link w:val="320"/>
    <w:semiHidden/>
    <w:qFormat/>
    <w:pPr>
      <w:spacing w:beforeLines="50" w:afterLines="50" w:line="480" w:lineRule="exact"/>
      <w:ind w:firstLineChars="200" w:firstLine="560"/>
    </w:pPr>
    <w:rPr>
      <w:rFonts w:ascii="Calibri" w:hAnsi="Calibri"/>
      <w:bCs/>
      <w:sz w:val="28"/>
      <w:szCs w:val="28"/>
    </w:rPr>
  </w:style>
  <w:style w:type="character" w:customStyle="1" w:styleId="320">
    <w:name w:val="正文文本缩进 3 字符2"/>
    <w:link w:val="36"/>
    <w:semiHidden/>
    <w:qFormat/>
    <w:rPr>
      <w:rFonts w:ascii="Calibri" w:hAnsi="Calibri"/>
      <w:bCs/>
      <w:kern w:val="2"/>
      <w:sz w:val="28"/>
      <w:szCs w:val="28"/>
    </w:rPr>
  </w:style>
  <w:style w:type="paragraph" w:styleId="70">
    <w:name w:val="index 7"/>
    <w:basedOn w:val="a"/>
    <w:next w:val="a"/>
    <w:semiHidden/>
    <w:qFormat/>
    <w:pPr>
      <w:ind w:left="1400" w:hanging="200"/>
    </w:pPr>
  </w:style>
  <w:style w:type="paragraph" w:styleId="90">
    <w:name w:val="index 9"/>
    <w:basedOn w:val="a"/>
    <w:next w:val="a"/>
    <w:semiHidden/>
    <w:qFormat/>
    <w:pPr>
      <w:ind w:left="1800" w:hanging="200"/>
    </w:pPr>
  </w:style>
  <w:style w:type="paragraph" w:styleId="aff5">
    <w:name w:val="table of figures"/>
    <w:basedOn w:val="a"/>
    <w:next w:val="a"/>
    <w:semiHidden/>
    <w:qFormat/>
    <w:pPr>
      <w:ind w:left="400" w:hanging="400"/>
    </w:pPr>
  </w:style>
  <w:style w:type="paragraph" w:styleId="TOC9">
    <w:name w:val="toc 9"/>
    <w:basedOn w:val="a"/>
    <w:uiPriority w:val="39"/>
    <w:semiHidden/>
    <w:qFormat/>
  </w:style>
  <w:style w:type="paragraph" w:styleId="2c">
    <w:name w:val="Body Text 2"/>
    <w:basedOn w:val="a"/>
    <w:link w:val="220"/>
    <w:semiHidden/>
    <w:qFormat/>
    <w:pPr>
      <w:spacing w:after="120" w:line="480" w:lineRule="auto"/>
    </w:pPr>
    <w:rPr>
      <w:rFonts w:ascii="Calibri" w:hAnsi="Calibri"/>
    </w:rPr>
  </w:style>
  <w:style w:type="character" w:customStyle="1" w:styleId="220">
    <w:name w:val="正文文本 2 字符2"/>
    <w:link w:val="2c"/>
    <w:semiHidden/>
    <w:qFormat/>
    <w:rPr>
      <w:rFonts w:ascii="Calibri" w:hAnsi="Calibri"/>
      <w:kern w:val="2"/>
      <w:sz w:val="21"/>
      <w:szCs w:val="21"/>
    </w:rPr>
  </w:style>
  <w:style w:type="paragraph" w:styleId="45">
    <w:name w:val="List 4"/>
    <w:basedOn w:val="a"/>
    <w:uiPriority w:val="99"/>
    <w:semiHidden/>
    <w:qFormat/>
    <w:pPr>
      <w:ind w:left="1132" w:hanging="283"/>
    </w:pPr>
  </w:style>
  <w:style w:type="paragraph" w:styleId="2d">
    <w:name w:val="List Continue 2"/>
    <w:basedOn w:val="a"/>
    <w:semiHidden/>
    <w:qFormat/>
    <w:pPr>
      <w:spacing w:after="120"/>
      <w:ind w:left="566"/>
    </w:pPr>
  </w:style>
  <w:style w:type="paragraph" w:styleId="aff6">
    <w:name w:val="Message Header"/>
    <w:basedOn w:val="a"/>
    <w:link w:val="2e"/>
    <w:semiHidden/>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w:hAnsi="Calibri" w:cs="Arial"/>
    </w:rPr>
  </w:style>
  <w:style w:type="character" w:customStyle="1" w:styleId="2e">
    <w:name w:val="信息标题 字符2"/>
    <w:link w:val="aff6"/>
    <w:semiHidden/>
    <w:qFormat/>
    <w:rPr>
      <w:rFonts w:ascii="Calibri" w:hAnsi="Calibri" w:cs="Arial"/>
      <w:kern w:val="2"/>
      <w:sz w:val="21"/>
      <w:szCs w:val="21"/>
      <w:shd w:val="pct20" w:color="auto" w:fill="auto"/>
    </w:rPr>
  </w:style>
  <w:style w:type="paragraph" w:styleId="HTML0">
    <w:name w:val="HTML Preformatted"/>
    <w:basedOn w:val="a"/>
    <w:link w:val="HTML20"/>
    <w:semiHidden/>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20">
    <w:name w:val="HTML 预设格式 字符2"/>
    <w:link w:val="HTML0"/>
    <w:semiHidden/>
    <w:qFormat/>
    <w:rPr>
      <w:kern w:val="2"/>
      <w:sz w:val="21"/>
      <w:szCs w:val="21"/>
    </w:rPr>
  </w:style>
  <w:style w:type="paragraph" w:styleId="aff7">
    <w:name w:val="Normal (Web)"/>
    <w:basedOn w:val="a"/>
    <w:link w:val="aff8"/>
    <w:uiPriority w:val="99"/>
    <w:semiHidden/>
    <w:qFormat/>
    <w:pPr>
      <w:spacing w:before="100" w:beforeAutospacing="1" w:after="100" w:afterAutospacing="1"/>
    </w:pPr>
  </w:style>
  <w:style w:type="character" w:customStyle="1" w:styleId="aff8">
    <w:name w:val="普通(网站) 字符"/>
    <w:link w:val="aff7"/>
    <w:uiPriority w:val="99"/>
    <w:semiHidden/>
    <w:qFormat/>
    <w:rPr>
      <w:kern w:val="2"/>
      <w:sz w:val="21"/>
      <w:szCs w:val="21"/>
    </w:rPr>
  </w:style>
  <w:style w:type="paragraph" w:styleId="37">
    <w:name w:val="List Continue 3"/>
    <w:basedOn w:val="a"/>
    <w:semiHidden/>
    <w:qFormat/>
    <w:pPr>
      <w:spacing w:after="120"/>
      <w:ind w:left="849"/>
    </w:pPr>
  </w:style>
  <w:style w:type="paragraph" w:styleId="2f">
    <w:name w:val="index 2"/>
    <w:basedOn w:val="a"/>
    <w:next w:val="a"/>
    <w:semiHidden/>
    <w:qFormat/>
    <w:pPr>
      <w:ind w:left="400" w:hanging="200"/>
    </w:pPr>
  </w:style>
  <w:style w:type="paragraph" w:styleId="aff9">
    <w:name w:val="Title"/>
    <w:basedOn w:val="a"/>
    <w:link w:val="2f0"/>
    <w:qFormat/>
    <w:pPr>
      <w:spacing w:before="240" w:after="60"/>
      <w:jc w:val="center"/>
      <w:outlineLvl w:val="0"/>
    </w:pPr>
    <w:rPr>
      <w:rFonts w:ascii="Calibri" w:hAnsi="Calibri" w:cs="Arial"/>
      <w:b/>
      <w:bCs/>
      <w:kern w:val="28"/>
      <w:sz w:val="32"/>
      <w:szCs w:val="32"/>
    </w:rPr>
  </w:style>
  <w:style w:type="character" w:customStyle="1" w:styleId="2f0">
    <w:name w:val="标题 字符2"/>
    <w:link w:val="aff9"/>
    <w:semiHidden/>
    <w:qFormat/>
    <w:rPr>
      <w:rFonts w:ascii="Calibri" w:hAnsi="Calibri" w:cs="Arial"/>
      <w:b/>
      <w:bCs/>
      <w:kern w:val="28"/>
      <w:sz w:val="32"/>
      <w:szCs w:val="32"/>
    </w:rPr>
  </w:style>
  <w:style w:type="paragraph" w:styleId="affa">
    <w:name w:val="annotation subject"/>
    <w:basedOn w:val="ae"/>
    <w:next w:val="ae"/>
    <w:link w:val="affb"/>
    <w:uiPriority w:val="99"/>
    <w:semiHidden/>
    <w:qFormat/>
    <w:rPr>
      <w:rFonts w:ascii="Calibri" w:hAnsi="Calibri"/>
      <w:b/>
      <w:bCs/>
      <w:szCs w:val="22"/>
    </w:rPr>
  </w:style>
  <w:style w:type="character" w:customStyle="1" w:styleId="affb">
    <w:name w:val="批注主题 字符"/>
    <w:link w:val="affa"/>
    <w:uiPriority w:val="99"/>
    <w:semiHidden/>
    <w:qFormat/>
    <w:rPr>
      <w:rFonts w:ascii="Calibri" w:hAnsi="Calibri"/>
      <w:b/>
      <w:bCs/>
      <w:kern w:val="2"/>
      <w:sz w:val="21"/>
      <w:szCs w:val="22"/>
    </w:rPr>
  </w:style>
  <w:style w:type="table" w:styleId="affc">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d">
    <w:name w:val="Table Theme"/>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Table Colorful 1"/>
    <w:basedOn w:val="a1"/>
    <w:uiPriority w:val="99"/>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2f1">
    <w:name w:val="Table Colorful 2"/>
    <w:basedOn w:val="a1"/>
    <w:uiPriority w:val="99"/>
    <w:semiHidden/>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8">
    <w:name w:val="Table Colorful 3"/>
    <w:basedOn w:val="a1"/>
    <w:uiPriority w:val="99"/>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e">
    <w:name w:val="Table Elegant"/>
    <w:basedOn w:val="a1"/>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6">
    <w:name w:val="Table Classic 1"/>
    <w:basedOn w:val="a1"/>
    <w:uiPriority w:val="99"/>
    <w:semiHidden/>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2">
    <w:name w:val="Table Classic 2"/>
    <w:basedOn w:val="a1"/>
    <w:uiPriority w:val="99"/>
    <w:semiHidden/>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9">
    <w:name w:val="Table Classic 3"/>
    <w:basedOn w:val="a1"/>
    <w:uiPriority w:val="99"/>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46">
    <w:name w:val="Table Classic 4"/>
    <w:basedOn w:val="a1"/>
    <w:uiPriority w:val="99"/>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7">
    <w:name w:val="Table Simple 1"/>
    <w:basedOn w:val="a1"/>
    <w:qFormat/>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f3">
    <w:name w:val="Table Simple 2"/>
    <w:basedOn w:val="a1"/>
    <w:uiPriority w:val="99"/>
    <w:semiHidden/>
    <w:qFormat/>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a">
    <w:name w:val="Table Simple 3"/>
    <w:basedOn w:val="a1"/>
    <w:uiPriority w:val="99"/>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8">
    <w:name w:val="Table Subtle 1"/>
    <w:basedOn w:val="a1"/>
    <w:qFormat/>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4">
    <w:name w:val="Table Subtle 2"/>
    <w:basedOn w:val="a1"/>
    <w:uiPriority w:val="99"/>
    <w:semiHidden/>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9">
    <w:name w:val="Table List 1"/>
    <w:basedOn w:val="a1"/>
    <w:uiPriority w:val="99"/>
    <w:unhideWhenUsed/>
    <w:qFormat/>
    <w:pPr>
      <w:widowControl w:val="0"/>
      <w:jc w:val="both"/>
    </w:pPr>
    <w:rPr>
      <w:rFonts w:ascii="Calibri" w:hAnsi="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5">
    <w:name w:val="Table List 2"/>
    <w:basedOn w:val="a1"/>
    <w:uiPriority w:val="99"/>
    <w:semiHidden/>
    <w:tblPr>
      <w:tblStyleRowBandSize w:val="2"/>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b">
    <w:name w:val="Table List 3"/>
    <w:basedOn w:val="a1"/>
    <w:qFormat/>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7">
    <w:name w:val="Table List 4"/>
    <w:basedOn w:val="a1"/>
    <w:uiPriority w:val="99"/>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6">
    <w:name w:val="Table List 5"/>
    <w:basedOn w:val="a1"/>
    <w:uiPriority w:val="99"/>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1">
    <w:name w:val="Table List 6"/>
    <w:basedOn w:val="a1"/>
    <w:uiPriority w:val="99"/>
    <w:semiHidden/>
    <w:qFormat/>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2">
    <w:name w:val="Table List 7"/>
    <w:basedOn w:val="a1"/>
    <w:uiPriority w:val="99"/>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81">
    <w:name w:val="Table List 8"/>
    <w:basedOn w:val="a1"/>
    <w:uiPriority w:val="99"/>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f">
    <w:name w:val="Table Contemporary"/>
    <w:basedOn w:val="a1"/>
    <w:qFormat/>
    <w:tblPr>
      <w:tblStyleRowBandSize w:val="1"/>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a">
    <w:name w:val="Table Columns 1"/>
    <w:basedOn w:val="a1"/>
    <w:uiPriority w:val="99"/>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6">
    <w:name w:val="Table Columns 2"/>
    <w:basedOn w:val="a1"/>
    <w:uiPriority w:val="99"/>
    <w:semiHidden/>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c">
    <w:name w:val="Table Columns 3"/>
    <w:basedOn w:val="a1"/>
    <w:uiPriority w:val="99"/>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8">
    <w:name w:val="Table Columns 4"/>
    <w:basedOn w:val="a1"/>
    <w:uiPriority w:val="99"/>
    <w:semiHidden/>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1"/>
    <w:uiPriority w:val="99"/>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b">
    <w:name w:val="Table Grid 1"/>
    <w:basedOn w:val="a1"/>
    <w:uiPriority w:val="99"/>
    <w:unhideWhenUsed/>
    <w:qFormat/>
    <w:pPr>
      <w:widowControl w:val="0"/>
      <w:jc w:val="both"/>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7">
    <w:name w:val="Table Grid 2"/>
    <w:basedOn w:val="a1"/>
    <w:uiPriority w:val="99"/>
    <w:qFormat/>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d">
    <w:name w:val="Table Grid 3"/>
    <w:basedOn w:val="a1"/>
    <w:uiPriority w:val="99"/>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9">
    <w:name w:val="Table Grid 4"/>
    <w:basedOn w:val="a1"/>
    <w:uiPriority w:val="99"/>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8">
    <w:name w:val="Table Grid 5"/>
    <w:basedOn w:val="a1"/>
    <w:qFormat/>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3">
    <w:name w:val="Table Grid 6"/>
    <w:basedOn w:val="a1"/>
    <w:uiPriority w:val="99"/>
    <w:semiHidden/>
    <w:qFormat/>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3">
    <w:name w:val="Table Grid 7"/>
    <w:basedOn w:val="a1"/>
    <w:uiPriority w:val="99"/>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3">
    <w:name w:val="Table Grid 8"/>
    <w:basedOn w:val="a1"/>
    <w:uiPriority w:val="99"/>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c">
    <w:name w:val="Table Web 1"/>
    <w:basedOn w:val="a1"/>
    <w:uiPriority w:val="99"/>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2f8">
    <w:name w:val="Table Web 2"/>
    <w:basedOn w:val="a1"/>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e">
    <w:name w:val="Table Web 3"/>
    <w:basedOn w:val="a1"/>
    <w:semiHidden/>
    <w:qFormat/>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f0">
    <w:name w:val="Table Professional"/>
    <w:basedOn w:val="a1"/>
    <w:uiPriority w:val="99"/>
    <w:semiHidden/>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afff1">
    <w:name w:val="Light Shading"/>
    <w:basedOn w:val="a1"/>
    <w:uiPriority w:val="60"/>
    <w:semiHidden/>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character" w:styleId="afff2">
    <w:name w:val="Strong"/>
    <w:qFormat/>
    <w:rPr>
      <w:b/>
      <w:bCs/>
    </w:rPr>
  </w:style>
  <w:style w:type="character" w:styleId="afff3">
    <w:name w:val="endnote reference"/>
    <w:semiHidden/>
    <w:qFormat/>
    <w:rPr>
      <w:rFonts w:ascii="Verdana" w:hAnsi="Verdana" w:cs="Arial"/>
      <w:sz w:val="22"/>
      <w:vertAlign w:val="superscript"/>
      <w:lang w:val="en-US" w:eastAsia="en-US" w:bidi="ar-SA"/>
    </w:rPr>
  </w:style>
  <w:style w:type="character" w:styleId="afff4">
    <w:name w:val="page number"/>
    <w:semiHidden/>
    <w:qFormat/>
  </w:style>
  <w:style w:type="character" w:styleId="afff5">
    <w:name w:val="FollowedHyperlink"/>
    <w:uiPriority w:val="99"/>
    <w:semiHidden/>
    <w:qFormat/>
    <w:rPr>
      <w:color w:val="954F72"/>
      <w:u w:val="single"/>
    </w:rPr>
  </w:style>
  <w:style w:type="character" w:styleId="afff6">
    <w:name w:val="Emphasis"/>
    <w:uiPriority w:val="20"/>
    <w:qFormat/>
    <w:rPr>
      <w:b/>
      <w:bCs/>
      <w:i w:val="0"/>
      <w:iCs w:val="0"/>
      <w:color w:val="C15653"/>
      <w:u w:val="single"/>
    </w:rPr>
  </w:style>
  <w:style w:type="character" w:styleId="afff7">
    <w:name w:val="line number"/>
    <w:uiPriority w:val="99"/>
    <w:semiHidden/>
    <w:qFormat/>
    <w:rPr>
      <w:rFonts w:ascii="Verdana" w:hAnsi="Verdana" w:cs="Arial"/>
      <w:sz w:val="22"/>
      <w:lang w:val="en-US" w:eastAsia="en-US" w:bidi="ar-SA"/>
    </w:rPr>
  </w:style>
  <w:style w:type="character" w:styleId="HTML1">
    <w:name w:val="HTML Definition"/>
    <w:semiHidden/>
    <w:qFormat/>
    <w:rPr>
      <w:rFonts w:ascii="Verdana" w:hAnsi="Verdana" w:cs="Arial"/>
      <w:i/>
      <w:iCs/>
      <w:sz w:val="22"/>
      <w:lang w:val="en-US" w:eastAsia="en-US" w:bidi="ar-SA"/>
    </w:rPr>
  </w:style>
  <w:style w:type="character" w:styleId="HTML3">
    <w:name w:val="HTML Typewriter"/>
    <w:semiHidden/>
    <w:qFormat/>
    <w:rPr>
      <w:rFonts w:ascii="Courier New" w:hAnsi="Courier New" w:cs="Courier New"/>
      <w:sz w:val="20"/>
      <w:szCs w:val="20"/>
      <w:lang w:val="en-US" w:eastAsia="en-US" w:bidi="ar-SA"/>
    </w:rPr>
  </w:style>
  <w:style w:type="character" w:styleId="HTML4">
    <w:name w:val="HTML Acronym"/>
    <w:semiHidden/>
    <w:qFormat/>
    <w:rPr>
      <w:rFonts w:ascii="Verdana" w:hAnsi="Verdana" w:cs="Arial"/>
      <w:sz w:val="22"/>
      <w:lang w:val="en-US" w:eastAsia="en-US" w:bidi="ar-SA"/>
    </w:rPr>
  </w:style>
  <w:style w:type="character" w:styleId="HTML5">
    <w:name w:val="HTML Variable"/>
    <w:semiHidden/>
    <w:qFormat/>
    <w:rPr>
      <w:rFonts w:ascii="Verdana" w:hAnsi="Verdana" w:cs="Arial"/>
      <w:i/>
      <w:iCs/>
      <w:sz w:val="22"/>
      <w:lang w:val="en-US" w:eastAsia="en-US" w:bidi="ar-SA"/>
    </w:rPr>
  </w:style>
  <w:style w:type="character" w:styleId="afff8">
    <w:name w:val="Hyperlink"/>
    <w:uiPriority w:val="99"/>
    <w:qFormat/>
    <w:rPr>
      <w:color w:val="0000FF"/>
      <w:u w:val="single"/>
    </w:rPr>
  </w:style>
  <w:style w:type="character" w:styleId="HTML6">
    <w:name w:val="HTML Code"/>
    <w:semiHidden/>
    <w:qFormat/>
    <w:rPr>
      <w:rFonts w:ascii="Courier New" w:hAnsi="Courier New" w:cs="Courier New"/>
      <w:sz w:val="20"/>
      <w:szCs w:val="20"/>
      <w:lang w:val="en-US" w:eastAsia="en-US" w:bidi="ar-SA"/>
    </w:rPr>
  </w:style>
  <w:style w:type="character" w:styleId="afff9">
    <w:name w:val="annotation reference"/>
    <w:uiPriority w:val="99"/>
    <w:semiHidden/>
    <w:qFormat/>
    <w:rPr>
      <w:sz w:val="21"/>
      <w:szCs w:val="21"/>
    </w:rPr>
  </w:style>
  <w:style w:type="character" w:styleId="HTML7">
    <w:name w:val="HTML Cite"/>
    <w:semiHidden/>
    <w:qFormat/>
    <w:rPr>
      <w:rFonts w:ascii="Verdana" w:hAnsi="Verdana" w:cs="Arial"/>
      <w:i/>
      <w:iCs/>
      <w:sz w:val="22"/>
      <w:lang w:val="en-US" w:eastAsia="en-US" w:bidi="ar-SA"/>
    </w:rPr>
  </w:style>
  <w:style w:type="character" w:styleId="afffa">
    <w:name w:val="footnote reference"/>
    <w:semiHidden/>
    <w:qFormat/>
    <w:rPr>
      <w:vertAlign w:val="superscript"/>
    </w:rPr>
  </w:style>
  <w:style w:type="character" w:styleId="HTML8">
    <w:name w:val="HTML Keyboard"/>
    <w:semiHidden/>
    <w:qFormat/>
    <w:rPr>
      <w:rFonts w:ascii="Courier New" w:hAnsi="Courier New" w:cs="Courier New"/>
      <w:sz w:val="20"/>
      <w:szCs w:val="20"/>
      <w:lang w:val="en-US" w:eastAsia="en-US" w:bidi="ar-SA"/>
    </w:rPr>
  </w:style>
  <w:style w:type="character" w:styleId="HTML9">
    <w:name w:val="HTML Sample"/>
    <w:semiHidden/>
    <w:qFormat/>
    <w:rPr>
      <w:rFonts w:ascii="Courier New" w:hAnsi="Courier New" w:cs="Courier New"/>
      <w:sz w:val="22"/>
      <w:lang w:val="en-US" w:eastAsia="en-US" w:bidi="ar-SA"/>
    </w:rPr>
  </w:style>
  <w:style w:type="character" w:customStyle="1" w:styleId="afffb">
    <w:name w:val="文档结构图 字符"/>
    <w:uiPriority w:val="99"/>
    <w:semiHidden/>
    <w:qFormat/>
    <w:rPr>
      <w:rFonts w:eastAsia="宋体"/>
      <w:kern w:val="2"/>
      <w:sz w:val="21"/>
      <w:szCs w:val="24"/>
      <w:lang w:val="en-US" w:eastAsia="zh-CN" w:bidi="ar-SA"/>
    </w:rPr>
  </w:style>
  <w:style w:type="character" w:customStyle="1" w:styleId="st1">
    <w:name w:val="st1"/>
    <w:semiHidden/>
    <w:qFormat/>
  </w:style>
  <w:style w:type="character" w:customStyle="1" w:styleId="Char">
    <w:name w:val="招股书二 级标题 Char"/>
    <w:link w:val="afffc"/>
    <w:semiHidden/>
    <w:rPr>
      <w:rFonts w:ascii="Arial" w:eastAsia="黑体" w:hAnsi="Arial"/>
      <w:bCs/>
      <w:kern w:val="2"/>
      <w:sz w:val="28"/>
      <w:szCs w:val="28"/>
    </w:rPr>
  </w:style>
  <w:style w:type="paragraph" w:customStyle="1" w:styleId="afffc">
    <w:name w:val="招股书二 级标题"/>
    <w:basedOn w:val="2"/>
    <w:link w:val="Char"/>
    <w:semiHidden/>
    <w:qFormat/>
    <w:pPr>
      <w:numPr>
        <w:ilvl w:val="0"/>
        <w:numId w:val="0"/>
      </w:numPr>
      <w:tabs>
        <w:tab w:val="left" w:pos="567"/>
      </w:tabs>
      <w:spacing w:beforeLines="0" w:before="163" w:afterLines="0" w:after="0"/>
      <w:ind w:left="1134" w:firstLineChars="200" w:firstLine="560"/>
      <w:jc w:val="left"/>
    </w:pPr>
    <w:rPr>
      <w:rFonts w:ascii="Arial" w:eastAsia="黑体" w:hAnsi="Arial"/>
      <w:b w:val="0"/>
      <w:sz w:val="28"/>
      <w:szCs w:val="28"/>
    </w:rPr>
  </w:style>
  <w:style w:type="character" w:customStyle="1" w:styleId="CharChar227">
    <w:name w:val="Char Char227"/>
    <w:semiHidden/>
    <w:rPr>
      <w:rFonts w:ascii="Times New Roman" w:eastAsia="宋体" w:hAnsi="Times New Roman" w:cs="Times New Roman"/>
      <w:snapToGrid w:val="0"/>
      <w:kern w:val="0"/>
      <w:sz w:val="24"/>
      <w:szCs w:val="24"/>
    </w:rPr>
  </w:style>
  <w:style w:type="character" w:customStyle="1" w:styleId="101Char">
    <w:name w:val="样式 正文1 + 段前: 0.1 行 Char"/>
    <w:semiHidden/>
    <w:rPr>
      <w:rFonts w:eastAsia="宋体" w:cs="宋体"/>
      <w:kern w:val="2"/>
      <w:sz w:val="24"/>
      <w:lang w:val="en-US" w:eastAsia="zh-CN" w:bidi="ar-SA"/>
    </w:rPr>
  </w:style>
  <w:style w:type="character" w:customStyle="1" w:styleId="Heading4Char1">
    <w:name w:val="Heading 4 Char1"/>
    <w:semiHidden/>
    <w:rPr>
      <w:rFonts w:ascii="Cambria" w:hAnsi="Cambria"/>
      <w:b/>
      <w:bCs/>
      <w:kern w:val="2"/>
      <w:sz w:val="28"/>
      <w:szCs w:val="28"/>
    </w:rPr>
  </w:style>
  <w:style w:type="character" w:customStyle="1" w:styleId="CharChar224">
    <w:name w:val="Char Char224"/>
    <w:semiHidden/>
    <w:rPr>
      <w:rFonts w:ascii="Times New Roman" w:eastAsia="宋体" w:hAnsi="Times New Roman" w:cs="Times New Roman"/>
      <w:snapToGrid w:val="0"/>
      <w:kern w:val="0"/>
      <w:sz w:val="24"/>
      <w:szCs w:val="24"/>
    </w:rPr>
  </w:style>
  <w:style w:type="character" w:customStyle="1" w:styleId="CharChar17">
    <w:name w:val="Char Char17"/>
    <w:semiHidden/>
    <w:qFormat/>
    <w:rPr>
      <w:rFonts w:eastAsia="宋体"/>
      <w:snapToGrid w:val="0"/>
      <w:sz w:val="24"/>
      <w:szCs w:val="24"/>
      <w:lang w:val="en-US" w:eastAsia="zh-CN" w:bidi="ar-SA"/>
    </w:rPr>
  </w:style>
  <w:style w:type="character" w:customStyle="1" w:styleId="Char0">
    <w:name w:val="页脚 Char"/>
    <w:aliases w:val="Footer Char Char,Footer Char Char Char Char Char Char,Footer Char Char Char Char1,Footer Char Char Char Char Char1,Footer Char Char Cha Char"/>
    <w:uiPriority w:val="99"/>
    <w:semiHidden/>
    <w:qFormat/>
    <w:rPr>
      <w:kern w:val="2"/>
      <w:sz w:val="18"/>
      <w:szCs w:val="18"/>
    </w:rPr>
  </w:style>
  <w:style w:type="character" w:customStyle="1" w:styleId="s13">
    <w:name w:val="s13"/>
    <w:semiHidden/>
    <w:rPr>
      <w:rFonts w:ascii="ˎ̥" w:hAnsi="ˎ̥" w:hint="default"/>
      <w:b w:val="0"/>
      <w:bCs w:val="0"/>
      <w:i w:val="0"/>
      <w:iCs w:val="0"/>
      <w:smallCaps w:val="0"/>
      <w:sz w:val="18"/>
      <w:szCs w:val="18"/>
    </w:rPr>
  </w:style>
  <w:style w:type="character" w:customStyle="1" w:styleId="8Char1">
    <w:name w:val="标题 8 Char1"/>
    <w:aliases w:val="8 Char,小4号黑体居中行距1倍 Char,Legal Level 1.1.1. Char1,AppendixSubHead Char1,h8 Char1,目标题 1) Char1,Appendix Char1"/>
    <w:semiHidden/>
    <w:qFormat/>
    <w:rPr>
      <w:rFonts w:ascii="Cambria" w:eastAsia="宋体" w:hAnsi="Cambria" w:cs="Times New Roman"/>
      <w:sz w:val="24"/>
      <w:szCs w:val="24"/>
      <w:lang w:eastAsia="en-US"/>
    </w:rPr>
  </w:style>
  <w:style w:type="character" w:customStyle="1" w:styleId="Char1">
    <w:name w:val="居中 Char"/>
    <w:link w:val="afffd"/>
    <w:semiHidden/>
    <w:rPr>
      <w:rFonts w:ascii="Calibri" w:eastAsia="楷体_GB2312" w:hAnsi="Calibri"/>
      <w:kern w:val="2"/>
      <w:sz w:val="21"/>
      <w:szCs w:val="22"/>
    </w:rPr>
  </w:style>
  <w:style w:type="paragraph" w:customStyle="1" w:styleId="afffd">
    <w:name w:val="居中"/>
    <w:basedOn w:val="a"/>
    <w:link w:val="Char1"/>
    <w:semiHidden/>
    <w:qFormat/>
    <w:pPr>
      <w:spacing w:beforeAutospacing="1" w:after="100" w:afterAutospacing="1" w:line="360" w:lineRule="auto"/>
      <w:jc w:val="center"/>
    </w:pPr>
    <w:rPr>
      <w:rFonts w:ascii="Calibri" w:eastAsia="楷体_GB2312" w:hAnsi="Calibri"/>
      <w:szCs w:val="22"/>
    </w:rPr>
  </w:style>
  <w:style w:type="character" w:customStyle="1" w:styleId="2Char1">
    <w:name w:val="标题 2 Char1"/>
    <w:aliases w:val="2 Char1,Heading 2 Char Char1,Heading 2 Char1 Char Char1,Heading 2 Char Char Char Char1,Heading 2 Char1 Char Char Char Char1,Heading 2 Char Char Char Char Char Char1,Heading 2 Char1 Char Char Char Char Char Char1,Heading 2 Char2 Char Char1"/>
    <w:semiHidden/>
    <w:qFormat/>
    <w:rPr>
      <w:rFonts w:ascii="Cambria" w:eastAsia="宋体" w:hAnsi="Cambria" w:cs="Times New Roman"/>
      <w:b/>
      <w:bCs/>
      <w:sz w:val="32"/>
      <w:szCs w:val="32"/>
      <w:lang w:eastAsia="en-US"/>
    </w:rPr>
  </w:style>
  <w:style w:type="character" w:customStyle="1" w:styleId="CharChar73">
    <w:name w:val="Char Char73"/>
    <w:semiHidden/>
    <w:locked/>
    <w:rPr>
      <w:rFonts w:eastAsia="宋体"/>
      <w:b/>
      <w:bCs/>
      <w:kern w:val="2"/>
      <w:sz w:val="24"/>
      <w:szCs w:val="24"/>
      <w:lang w:val="en-US" w:eastAsia="zh-CN" w:bidi="ar-SA"/>
    </w:rPr>
  </w:style>
  <w:style w:type="character" w:customStyle="1" w:styleId="gt-icon-text1">
    <w:name w:val="gt-icon-text1"/>
    <w:semiHidden/>
  </w:style>
  <w:style w:type="character" w:customStyle="1" w:styleId="unnamed11">
    <w:name w:val="unnamed11"/>
    <w:semiHidden/>
    <w:qFormat/>
    <w:rPr>
      <w:rFonts w:cs="Times New Roman"/>
      <w:spacing w:val="300"/>
      <w:sz w:val="18"/>
      <w:szCs w:val="18"/>
    </w:rPr>
  </w:style>
  <w:style w:type="character" w:customStyle="1" w:styleId="CharChar47">
    <w:name w:val="Char Char47"/>
    <w:semiHidden/>
    <w:rPr>
      <w:rFonts w:ascii="黑体" w:eastAsia="黑体" w:hAnsi="Courier New"/>
      <w:color w:val="000000"/>
      <w:lang w:bidi="ar-SA"/>
    </w:rPr>
  </w:style>
  <w:style w:type="character" w:customStyle="1" w:styleId="CharChar207">
    <w:name w:val="Char Char207"/>
    <w:semiHidden/>
    <w:rPr>
      <w:sz w:val="18"/>
      <w:szCs w:val="18"/>
    </w:rPr>
  </w:style>
  <w:style w:type="character" w:customStyle="1" w:styleId="CharChar222">
    <w:name w:val="Char Char222"/>
    <w:semiHidden/>
    <w:rPr>
      <w:rFonts w:ascii="Times New Roman" w:eastAsia="宋体" w:hAnsi="Times New Roman" w:cs="Times New Roman"/>
      <w:snapToGrid w:val="0"/>
      <w:kern w:val="0"/>
      <w:sz w:val="24"/>
      <w:szCs w:val="24"/>
    </w:rPr>
  </w:style>
  <w:style w:type="character" w:customStyle="1" w:styleId="3Char">
    <w:name w:val="标题 3 Char"/>
    <w:aliases w:val="Heading 3 Char2 Char Char Char Char,Heading 3 Char Char1 Char Char Char Char,Heading 3 Char1 Char,3 Char,h3 Char,Level 3 Head Char,H3 Char,Heading 3 - old Char,level_3 Char,PIM 3 Char,BOD 0 Char,sect1.2.3 Char,sect1.2.31 Char,sect1.2.32 Char"/>
    <w:semiHidden/>
    <w:qFormat/>
    <w:rPr>
      <w:b/>
      <w:bCs/>
      <w:sz w:val="32"/>
      <w:szCs w:val="32"/>
    </w:rPr>
  </w:style>
  <w:style w:type="character" w:customStyle="1" w:styleId="CharChar108">
    <w:name w:val="Char Char108"/>
    <w:semiHidden/>
    <w:rPr>
      <w:rFonts w:ascii="Calibri" w:eastAsia="宋体" w:hAnsi="Calibri"/>
      <w:kern w:val="2"/>
      <w:sz w:val="18"/>
      <w:szCs w:val="18"/>
      <w:lang w:val="en-US" w:eastAsia="zh-CN" w:bidi="ar-SA"/>
    </w:rPr>
  </w:style>
  <w:style w:type="character" w:customStyle="1" w:styleId="510">
    <w:name w:val="标题 5 字符1"/>
    <w:aliases w:val="Char2 字符1,5 字符1,H5 字符1,口 字符1,口1 字符1,口2 字符1,3号宋体居中行距1.5倍 字符1,Level 3 - i 字符1,法律法规 字符1,A. 字符1,表文 字符1,Lev 5 字符1,（1） 字符1,Level 3 - (i) 字符,dash 字符,ds 字符,dd 字符,h5 字符,标题 3、 字符,五 字符,Appendix Title 字符,标题1.1.1.1.1 字符,ITT t5 字符,PA Pico Section 字符,l5 字符"/>
    <w:semiHidden/>
    <w:qFormat/>
    <w:locked/>
    <w:rPr>
      <w:bCs/>
      <w:kern w:val="2"/>
      <w:sz w:val="24"/>
      <w:szCs w:val="28"/>
    </w:rPr>
  </w:style>
  <w:style w:type="character" w:customStyle="1" w:styleId="afffe">
    <w:name w:val="副标题 字符"/>
    <w:semiHidden/>
    <w:qFormat/>
    <w:rPr>
      <w:rFonts w:ascii="Times New Roman" w:eastAsia="宋体" w:hAnsi="Times New Roman" w:cs="Times New Roman"/>
      <w:szCs w:val="24"/>
    </w:rPr>
  </w:style>
  <w:style w:type="character" w:customStyle="1" w:styleId="CharChar173">
    <w:name w:val="Char Char173"/>
    <w:semiHidden/>
    <w:rPr>
      <w:rFonts w:eastAsia="宋体"/>
      <w:sz w:val="18"/>
      <w:szCs w:val="18"/>
      <w:lang w:val="en-US" w:eastAsia="zh-CN" w:bidi="ar-SA"/>
    </w:rPr>
  </w:style>
  <w:style w:type="character" w:customStyle="1" w:styleId="CharChar250">
    <w:name w:val="Char Char250"/>
    <w:semiHidden/>
    <w:rPr>
      <w:rFonts w:eastAsia="宋体"/>
      <w:kern w:val="2"/>
      <w:sz w:val="21"/>
      <w:szCs w:val="24"/>
      <w:lang w:val="en-US" w:eastAsia="zh-CN" w:bidi="ar-SA"/>
    </w:rPr>
  </w:style>
  <w:style w:type="character" w:customStyle="1" w:styleId="001Char">
    <w:name w:val="001一级标题 Char"/>
    <w:link w:val="001"/>
    <w:rPr>
      <w:rFonts w:eastAsia="黑体"/>
      <w:b/>
      <w:bCs/>
      <w:kern w:val="2"/>
      <w:sz w:val="32"/>
      <w:szCs w:val="28"/>
    </w:rPr>
  </w:style>
  <w:style w:type="paragraph" w:customStyle="1" w:styleId="001">
    <w:name w:val="001一级标题"/>
    <w:basedOn w:val="a"/>
    <w:link w:val="001Char"/>
    <w:qFormat/>
    <w:pPr>
      <w:keepNext/>
      <w:keepLines/>
      <w:pageBreakBefore/>
      <w:widowControl w:val="0"/>
      <w:spacing w:beforeLines="50" w:before="50" w:afterLines="50" w:after="50" w:line="360" w:lineRule="auto"/>
      <w:jc w:val="center"/>
      <w:outlineLvl w:val="0"/>
    </w:pPr>
    <w:rPr>
      <w:rFonts w:eastAsia="黑体"/>
      <w:b/>
      <w:bCs/>
      <w:sz w:val="32"/>
      <w:szCs w:val="28"/>
    </w:rPr>
  </w:style>
  <w:style w:type="character" w:customStyle="1" w:styleId="style1">
    <w:name w:val="style1"/>
    <w:semiHidden/>
    <w:qFormat/>
  </w:style>
  <w:style w:type="character" w:customStyle="1" w:styleId="310">
    <w:name w:val="正文文本 3 字符1"/>
    <w:uiPriority w:val="99"/>
    <w:semiHidden/>
    <w:qFormat/>
    <w:rPr>
      <w:sz w:val="16"/>
      <w:szCs w:val="16"/>
    </w:rPr>
  </w:style>
  <w:style w:type="character" w:customStyle="1" w:styleId="IntenseQuoteChar1">
    <w:name w:val="Intense Quote Char1"/>
    <w:uiPriority w:val="30"/>
    <w:semiHidden/>
    <w:rPr>
      <w:rFonts w:ascii="宋体" w:hAnsi="Calibri"/>
      <w:b/>
      <w:bCs/>
      <w:i/>
      <w:iCs/>
      <w:color w:val="4F81BD"/>
      <w:sz w:val="24"/>
    </w:rPr>
  </w:style>
  <w:style w:type="character" w:customStyle="1" w:styleId="1d">
    <w:name w:val="注释标题 字符1"/>
    <w:uiPriority w:val="99"/>
    <w:semiHidden/>
    <w:qFormat/>
  </w:style>
  <w:style w:type="character" w:customStyle="1" w:styleId="CharChar229">
    <w:name w:val="Char Char229"/>
    <w:semiHidden/>
    <w:rPr>
      <w:rFonts w:ascii="Times New Roman" w:eastAsia="宋体" w:hAnsi="Times New Roman" w:cs="Times New Roman"/>
      <w:snapToGrid w:val="0"/>
      <w:kern w:val="0"/>
      <w:sz w:val="24"/>
      <w:szCs w:val="24"/>
    </w:rPr>
  </w:style>
  <w:style w:type="character" w:customStyle="1" w:styleId="EmailStyle496">
    <w:name w:val="EmailStyle496"/>
    <w:semiHidden/>
    <w:rPr>
      <w:rFonts w:ascii="楷体_GB2312" w:eastAsia="楷体_GB2312"/>
      <w:b w:val="0"/>
      <w:bCs w:val="0"/>
      <w:i w:val="0"/>
      <w:iCs w:val="0"/>
      <w:strike w:val="0"/>
      <w:color w:val="auto"/>
      <w:sz w:val="21"/>
      <w:szCs w:val="21"/>
      <w:u w:val="none"/>
    </w:rPr>
  </w:style>
  <w:style w:type="character" w:customStyle="1" w:styleId="CharChar1CharCharCharCharCharCharCharCharCharCharCharCharCharCharCharCharCharCharCharCharCharCharCharCharCharCharCharCharCharCharCharCharCharCharCharCharCharCharChar1">
    <w:name w:val="Char Char1 Char Char Char Char Char Char Char Char Char Char Char Char Char Char Char Char Char Char Char Char Char Char Char Char Char Char Char Char Char Char Char Char Char Char Char Char Char Char Char1"/>
    <w:link w:val="CharChar1CharCharCharCharCharCharCharCharCharCharCharCharCharCharCharCharCharCharCharCharCharCharCharCharCharCharCharCharCharCharCharCharCharCharCharCharCharChar2"/>
    <w:semiHidden/>
    <w:rPr>
      <w:rFonts w:ascii="Verdana" w:hAnsi="Verdana"/>
      <w:kern w:val="2"/>
      <w:sz w:val="22"/>
      <w:szCs w:val="22"/>
      <w:lang w:eastAsia="en-US"/>
    </w:rPr>
  </w:style>
  <w:style w:type="paragraph" w:customStyle="1" w:styleId="CharChar1CharCharCharCharCharCharCharCharCharCharCharCharCharCharCharCharCharCharCharCharCharCharCharCharCharCharCharCharCharCharCharCharCharCharCharCharCharChar2">
    <w:name w:val="Char Char1 Char Char Char Char Char Char Char Char Char Char Char Char Char Char Char Char Char Char Char Char Char Char Char Char Char Char Char Char Char Char Char Char Char Char Char Char Char Char2"/>
    <w:basedOn w:val="a"/>
    <w:link w:val="CharChar1CharCharCharCharCharCharCharCharCharCharCharCharCharCharCharCharCharCharCharCharCharCharCharCharCharCharCharCharCharCharCharCharCharCharCharCharCharCharChar1"/>
    <w:semiHidden/>
    <w:qFormat/>
    <w:pPr>
      <w:autoSpaceDE w:val="0"/>
      <w:autoSpaceDN w:val="0"/>
      <w:adjustRightInd w:val="0"/>
      <w:spacing w:after="160" w:line="240" w:lineRule="exact"/>
    </w:pPr>
    <w:rPr>
      <w:rFonts w:ascii="Verdana" w:hAnsi="Verdana"/>
      <w:sz w:val="22"/>
      <w:szCs w:val="22"/>
      <w:lang w:eastAsia="en-US"/>
    </w:rPr>
  </w:style>
  <w:style w:type="character" w:customStyle="1" w:styleId="CharChar2410">
    <w:name w:val="Char Char2410"/>
    <w:semiHidden/>
    <w:rPr>
      <w:rFonts w:ascii="Times New Roman" w:eastAsia="宋体" w:hAnsi="Times New Roman" w:cs="Times New Roman"/>
      <w:kern w:val="0"/>
      <w:sz w:val="18"/>
      <w:szCs w:val="18"/>
    </w:rPr>
  </w:style>
  <w:style w:type="character" w:customStyle="1" w:styleId="EmailStyle649">
    <w:name w:val="EmailStyle649"/>
    <w:semiHidden/>
    <w:rPr>
      <w:rFonts w:ascii="楷体_GB2312" w:eastAsia="楷体_GB2312"/>
      <w:b w:val="0"/>
      <w:bCs w:val="0"/>
      <w:i w:val="0"/>
      <w:iCs w:val="0"/>
      <w:strike w:val="0"/>
      <w:color w:val="auto"/>
      <w:sz w:val="21"/>
      <w:szCs w:val="21"/>
      <w:u w:val="none"/>
    </w:rPr>
  </w:style>
  <w:style w:type="character" w:customStyle="1" w:styleId="view11">
    <w:name w:val="view_11"/>
    <w:semiHidden/>
    <w:rPr>
      <w:sz w:val="21"/>
    </w:rPr>
  </w:style>
  <w:style w:type="character" w:customStyle="1" w:styleId="-Char">
    <w:name w:val="表格-文字描述 Char"/>
    <w:link w:val="-"/>
    <w:semiHidden/>
    <w:locked/>
    <w:rPr>
      <w:rFonts w:ascii="Calibri" w:hAnsi="Calibri"/>
      <w:kern w:val="2"/>
      <w:sz w:val="21"/>
      <w:szCs w:val="22"/>
    </w:rPr>
  </w:style>
  <w:style w:type="paragraph" w:customStyle="1" w:styleId="-">
    <w:name w:val="表格-文字描述"/>
    <w:basedOn w:val="affff"/>
    <w:link w:val="-Char"/>
    <w:semiHidden/>
    <w:qFormat/>
    <w:pPr>
      <w:spacing w:beforeLines="0" w:afterLines="0"/>
      <w:ind w:firstLineChars="0" w:firstLine="0"/>
    </w:pPr>
    <w:rPr>
      <w:rFonts w:ascii="Calibri" w:hAnsi="Calibri"/>
    </w:rPr>
  </w:style>
  <w:style w:type="paragraph" w:customStyle="1" w:styleId="affff">
    <w:name w:val="招股书正文"/>
    <w:basedOn w:val="a"/>
    <w:link w:val="Char2"/>
    <w:semiHidden/>
    <w:qFormat/>
    <w:pPr>
      <w:widowControl w:val="0"/>
      <w:spacing w:beforeLines="50" w:afterLines="50" w:line="360" w:lineRule="auto"/>
      <w:ind w:firstLineChars="200" w:firstLine="480"/>
      <w:jc w:val="both"/>
    </w:pPr>
    <w:rPr>
      <w:szCs w:val="22"/>
    </w:rPr>
  </w:style>
  <w:style w:type="character" w:customStyle="1" w:styleId="Char2">
    <w:name w:val="招股书正文 Char"/>
    <w:link w:val="affff"/>
    <w:semiHidden/>
    <w:qFormat/>
    <w:rPr>
      <w:kern w:val="2"/>
      <w:sz w:val="21"/>
      <w:szCs w:val="22"/>
    </w:rPr>
  </w:style>
  <w:style w:type="character" w:customStyle="1" w:styleId="da1">
    <w:name w:val="da1"/>
    <w:semiHidden/>
    <w:qFormat/>
    <w:rPr>
      <w:strike w:val="0"/>
      <w:dstrike w:val="0"/>
      <w:color w:val="000000"/>
      <w:sz w:val="21"/>
      <w:szCs w:val="21"/>
      <w:u w:val="none"/>
    </w:rPr>
  </w:style>
  <w:style w:type="character" w:customStyle="1" w:styleId="CharChar220">
    <w:name w:val="Char Char220"/>
    <w:semiHidden/>
    <w:rPr>
      <w:rFonts w:ascii="宋体"/>
      <w:sz w:val="24"/>
      <w:szCs w:val="24"/>
    </w:rPr>
  </w:style>
  <w:style w:type="character" w:customStyle="1" w:styleId="3Char0">
    <w:name w:val="样式3 Char"/>
    <w:link w:val="3f"/>
    <w:uiPriority w:val="99"/>
    <w:semiHidden/>
    <w:qFormat/>
    <w:rPr>
      <w:rFonts w:eastAsia="黑体"/>
      <w:b/>
      <w:color w:val="000000"/>
      <w:kern w:val="2"/>
      <w:sz w:val="32"/>
      <w:szCs w:val="36"/>
    </w:rPr>
  </w:style>
  <w:style w:type="paragraph" w:customStyle="1" w:styleId="3f">
    <w:name w:val="样式3"/>
    <w:basedOn w:val="a"/>
    <w:link w:val="3Char0"/>
    <w:uiPriority w:val="99"/>
    <w:semiHidden/>
    <w:qFormat/>
    <w:pPr>
      <w:widowControl w:val="0"/>
      <w:autoSpaceDE w:val="0"/>
      <w:autoSpaceDN w:val="0"/>
      <w:adjustRightInd w:val="0"/>
      <w:spacing w:beforeLines="150" w:afterLines="100" w:line="360" w:lineRule="auto"/>
      <w:jc w:val="both"/>
      <w:outlineLvl w:val="0"/>
    </w:pPr>
    <w:rPr>
      <w:rFonts w:eastAsia="黑体"/>
      <w:b/>
      <w:color w:val="000000"/>
      <w:sz w:val="32"/>
      <w:szCs w:val="36"/>
    </w:rPr>
  </w:style>
  <w:style w:type="character" w:customStyle="1" w:styleId="CharChar7">
    <w:name w:val="Char Char7"/>
    <w:semiHidden/>
    <w:qFormat/>
    <w:rPr>
      <w:kern w:val="2"/>
      <w:sz w:val="18"/>
      <w:szCs w:val="18"/>
    </w:rPr>
  </w:style>
  <w:style w:type="character" w:customStyle="1" w:styleId="CharChar52">
    <w:name w:val="Char Char52"/>
    <w:semiHidden/>
    <w:rPr>
      <w:rFonts w:eastAsia="宋体"/>
      <w:sz w:val="24"/>
      <w:szCs w:val="24"/>
      <w:lang w:val="en-US" w:eastAsia="zh-CN" w:bidi="ar-SA"/>
    </w:rPr>
  </w:style>
  <w:style w:type="character" w:customStyle="1" w:styleId="w81">
    <w:name w:val="w81"/>
    <w:semiHidden/>
    <w:rPr>
      <w:strike w:val="0"/>
      <w:dstrike w:val="0"/>
      <w:color w:val="3A3A3A"/>
      <w:sz w:val="18"/>
      <w:szCs w:val="18"/>
      <w:u w:val="none"/>
    </w:rPr>
  </w:style>
  <w:style w:type="character" w:customStyle="1" w:styleId="1e">
    <w:name w:val="脚注文本 字符1"/>
    <w:semiHidden/>
    <w:qFormat/>
    <w:rPr>
      <w:kern w:val="2"/>
      <w:sz w:val="18"/>
      <w:szCs w:val="18"/>
    </w:rPr>
  </w:style>
  <w:style w:type="character" w:customStyle="1" w:styleId="101Char2">
    <w:name w:val="样式 正文1 + 段前: 0.1 行 Char2"/>
    <w:semiHidden/>
    <w:rPr>
      <w:rFonts w:eastAsia="宋体" w:cs="宋体"/>
      <w:kern w:val="2"/>
      <w:sz w:val="24"/>
      <w:lang w:val="en-US" w:eastAsia="zh-CN" w:bidi="ar-SA"/>
    </w:rPr>
  </w:style>
  <w:style w:type="character" w:customStyle="1" w:styleId="CharChar235">
    <w:name w:val="Char Char235"/>
    <w:semiHidden/>
    <w:rPr>
      <w:sz w:val="18"/>
      <w:szCs w:val="18"/>
    </w:rPr>
  </w:style>
  <w:style w:type="character" w:customStyle="1" w:styleId="Char3">
    <w:name w:val="批注主题 Char"/>
    <w:uiPriority w:val="99"/>
    <w:semiHidden/>
    <w:qFormat/>
    <w:rPr>
      <w:b/>
      <w:bCs/>
      <w:kern w:val="2"/>
      <w:sz w:val="21"/>
      <w:szCs w:val="24"/>
    </w:rPr>
  </w:style>
  <w:style w:type="character" w:customStyle="1" w:styleId="EmailStyle625">
    <w:name w:val="EmailStyle625"/>
    <w:semiHidden/>
    <w:rPr>
      <w:rFonts w:ascii="楷体_GB2312" w:eastAsia="楷体_GB2312"/>
      <w:b w:val="0"/>
      <w:bCs w:val="0"/>
      <w:i w:val="0"/>
      <w:iCs w:val="0"/>
      <w:strike w:val="0"/>
      <w:color w:val="auto"/>
      <w:sz w:val="21"/>
      <w:szCs w:val="21"/>
      <w:u w:val="none"/>
    </w:rPr>
  </w:style>
  <w:style w:type="character" w:customStyle="1" w:styleId="jczz1">
    <w:name w:val="jczz1"/>
    <w:semiHidden/>
    <w:rPr>
      <w:b/>
      <w:bCs/>
      <w:sz w:val="24"/>
      <w:szCs w:val="24"/>
    </w:rPr>
  </w:style>
  <w:style w:type="character" w:customStyle="1" w:styleId="10101Char">
    <w:name w:val="样式 样式 正文1 + 段前: 0.1 行 + 段前: 0.1 行 Char"/>
    <w:semiHidden/>
  </w:style>
  <w:style w:type="character" w:customStyle="1" w:styleId="HeaderChar1">
    <w:name w:val="Header Char1"/>
    <w:uiPriority w:val="99"/>
    <w:semiHidden/>
    <w:rPr>
      <w:kern w:val="2"/>
      <w:sz w:val="18"/>
      <w:szCs w:val="18"/>
    </w:rPr>
  </w:style>
  <w:style w:type="character" w:customStyle="1" w:styleId="affff0">
    <w:name w:val="样式 黑体 小二 加粗"/>
    <w:semiHidden/>
    <w:rPr>
      <w:rFonts w:ascii="黑体" w:eastAsia="黑体" w:hAnsi="黑体" w:hint="eastAsia"/>
      <w:sz w:val="36"/>
    </w:rPr>
  </w:style>
  <w:style w:type="character" w:customStyle="1" w:styleId="Char10">
    <w:name w:val="批注文字 Char1"/>
    <w:aliases w:val=" Char Char Char Char Char1,纯文本 Char Char1,普通文字 Char Char Char,纯文本 Char Char Char Char, Char4 Char Char Char Char,表正文 Char Char,正文非缩进 Char Char,纯文本 Char1 Char Char,纯文本 Char1 Char Char Char Char, Char Char2 Char Char Char Char,Char15 Char1"/>
    <w:uiPriority w:val="99"/>
    <w:semiHidden/>
    <w:qFormat/>
    <w:rPr>
      <w:rFonts w:ascii="Times New Roman" w:eastAsia="宋体" w:hAnsi="Times New Roman" w:cs="Times New Roman"/>
      <w:kern w:val="0"/>
      <w:sz w:val="24"/>
      <w:szCs w:val="24"/>
    </w:rPr>
  </w:style>
  <w:style w:type="character" w:customStyle="1" w:styleId="CharChar1811">
    <w:name w:val="Char Char1811"/>
    <w:semiHidden/>
    <w:rPr>
      <w:rFonts w:ascii="Arial" w:eastAsia="黑体" w:hAnsi="Arial"/>
      <w:b/>
      <w:color w:val="000000"/>
      <w:sz w:val="24"/>
      <w:lang w:val="en-US" w:eastAsia="zh-CN" w:bidi="ar-SA"/>
    </w:rPr>
  </w:style>
  <w:style w:type="character" w:customStyle="1" w:styleId="EmailStyle647">
    <w:name w:val="EmailStyle647"/>
    <w:semiHidden/>
    <w:rPr>
      <w:rFonts w:ascii="楷体_GB2312" w:eastAsia="楷体_GB2312"/>
      <w:b w:val="0"/>
      <w:bCs w:val="0"/>
      <w:i w:val="0"/>
      <w:iCs w:val="0"/>
      <w:strike w:val="0"/>
      <w:color w:val="auto"/>
      <w:sz w:val="21"/>
      <w:szCs w:val="21"/>
      <w:u w:val="none"/>
    </w:rPr>
  </w:style>
  <w:style w:type="character" w:customStyle="1" w:styleId="210">
    <w:name w:val="正文文本 2 字符1"/>
    <w:aliases w:val="正文文字 2 Char1 字符1"/>
    <w:uiPriority w:val="99"/>
    <w:semiHidden/>
    <w:qFormat/>
  </w:style>
  <w:style w:type="character" w:customStyle="1" w:styleId="2f9">
    <w:name w:val="样式 (西文) 黑体 (中文) 黑体 小三 加粗2"/>
    <w:semiHidden/>
    <w:rPr>
      <w:rFonts w:ascii="黑体" w:eastAsia="黑体"/>
      <w:bCs/>
      <w:kern w:val="2"/>
      <w:sz w:val="28"/>
    </w:rPr>
  </w:style>
  <w:style w:type="character" w:customStyle="1" w:styleId="style61">
    <w:name w:val="style61"/>
    <w:semiHidden/>
    <w:rPr>
      <w:color w:val="CC0000"/>
    </w:rPr>
  </w:style>
  <w:style w:type="character" w:customStyle="1" w:styleId="EmailStyle653">
    <w:name w:val="EmailStyle653"/>
    <w:semiHidden/>
    <w:rPr>
      <w:rFonts w:ascii="楷体_GB2312" w:eastAsia="楷体_GB2312"/>
      <w:b w:val="0"/>
      <w:bCs w:val="0"/>
      <w:i w:val="0"/>
      <w:iCs w:val="0"/>
      <w:strike w:val="0"/>
      <w:color w:val="auto"/>
      <w:sz w:val="21"/>
      <w:szCs w:val="21"/>
      <w:u w:val="none"/>
    </w:rPr>
  </w:style>
  <w:style w:type="character" w:customStyle="1" w:styleId="CharChar107">
    <w:name w:val="Char Char107"/>
    <w:semiHidden/>
    <w:rPr>
      <w:rFonts w:ascii="Calibri" w:eastAsia="宋体" w:hAnsi="Calibri"/>
      <w:kern w:val="2"/>
      <w:sz w:val="18"/>
      <w:szCs w:val="18"/>
      <w:lang w:val="en-US" w:eastAsia="zh-CN" w:bidi="ar-SA"/>
    </w:rPr>
  </w:style>
  <w:style w:type="character" w:customStyle="1" w:styleId="xu2Char">
    <w:name w:val="xu标题 2 Char"/>
    <w:link w:val="xu2"/>
    <w:semiHidden/>
    <w:rPr>
      <w:rFonts w:ascii="Calibri" w:hAnsi="Calibri"/>
      <w:b/>
      <w:bCs/>
      <w:kern w:val="2"/>
      <w:sz w:val="32"/>
      <w:szCs w:val="28"/>
    </w:rPr>
  </w:style>
  <w:style w:type="paragraph" w:customStyle="1" w:styleId="xu2">
    <w:name w:val="xu标题 2"/>
    <w:basedOn w:val="a"/>
    <w:next w:val="2fa"/>
    <w:link w:val="xu2Char"/>
    <w:semiHidden/>
    <w:qFormat/>
    <w:pPr>
      <w:keepNext/>
      <w:tabs>
        <w:tab w:val="left" w:pos="1575"/>
      </w:tabs>
      <w:spacing w:beforeLines="150" w:afterLines="50" w:line="480" w:lineRule="exact"/>
      <w:jc w:val="center"/>
      <w:textAlignment w:val="center"/>
      <w:outlineLvl w:val="1"/>
    </w:pPr>
    <w:rPr>
      <w:rFonts w:ascii="Calibri" w:hAnsi="Calibri"/>
      <w:b/>
      <w:bCs/>
      <w:sz w:val="32"/>
      <w:szCs w:val="28"/>
    </w:rPr>
  </w:style>
  <w:style w:type="paragraph" w:customStyle="1" w:styleId="2fa">
    <w:name w:val="正文  首行缩进  2字符"/>
    <w:basedOn w:val="Default"/>
    <w:next w:val="Default"/>
    <w:link w:val="2Char"/>
    <w:semiHidden/>
    <w:qFormat/>
    <w:rPr>
      <w:rFonts w:ascii="仿宋_GB2312" w:eastAsia="仿宋_GB2312" w:hAnsi="Calibri" w:cs="Times New Roman"/>
      <w:color w:val="auto"/>
      <w:kern w:val="2"/>
    </w:rPr>
  </w:style>
  <w:style w:type="paragraph" w:customStyle="1" w:styleId="Default">
    <w:name w:val="Default"/>
    <w:uiPriority w:val="99"/>
    <w:semiHidden/>
    <w:qFormat/>
    <w:pPr>
      <w:widowControl w:val="0"/>
      <w:autoSpaceDE w:val="0"/>
      <w:autoSpaceDN w:val="0"/>
      <w:adjustRightInd w:val="0"/>
    </w:pPr>
    <w:rPr>
      <w:rFonts w:ascii="宋体" w:cs="宋体"/>
      <w:color w:val="000000"/>
      <w:sz w:val="24"/>
      <w:szCs w:val="24"/>
    </w:rPr>
  </w:style>
  <w:style w:type="character" w:customStyle="1" w:styleId="2Char">
    <w:name w:val="正文  首行缩进  2字符 Char"/>
    <w:link w:val="2fa"/>
    <w:semiHidden/>
    <w:rPr>
      <w:rFonts w:ascii="仿宋_GB2312" w:eastAsia="仿宋_GB2312" w:hAnsi="Calibri"/>
      <w:kern w:val="2"/>
      <w:sz w:val="24"/>
      <w:szCs w:val="24"/>
    </w:rPr>
  </w:style>
  <w:style w:type="character" w:customStyle="1" w:styleId="EmailStyle659">
    <w:name w:val="EmailStyle659"/>
    <w:semiHidden/>
    <w:rPr>
      <w:rFonts w:ascii="楷体_GB2312" w:eastAsia="楷体_GB2312"/>
      <w:b w:val="0"/>
      <w:bCs w:val="0"/>
      <w:i w:val="0"/>
      <w:iCs w:val="0"/>
      <w:strike w:val="0"/>
      <w:color w:val="auto"/>
      <w:sz w:val="21"/>
      <w:szCs w:val="21"/>
      <w:u w:val="none"/>
    </w:rPr>
  </w:style>
  <w:style w:type="character" w:customStyle="1" w:styleId="4Char1">
    <w:name w:val="标题 4 Char1"/>
    <w:aliases w:val="4 Char1,Heading 4 Char Char1 Char Char Char1,条 2 Char,[三级节名] Char,点标题 Char,H4 Char,4th level Char,h4 Char,4号仿宋左空1格行距1倍 Char,Char4 Char1,Level 2 - a Char1, Char4 Char1,bullet Char1,bl Char1,bb Char1,PIM 4 Char1,Heading Four Char1,四 Char1,四 Cha"/>
    <w:semiHidden/>
    <w:qFormat/>
    <w:rPr>
      <w:rFonts w:ascii="Cambria" w:eastAsia="宋体" w:hAnsi="Cambria" w:cs="Times New Roman"/>
      <w:b/>
      <w:bCs/>
      <w:sz w:val="28"/>
      <w:szCs w:val="28"/>
      <w:lang w:eastAsia="en-US"/>
    </w:rPr>
  </w:style>
  <w:style w:type="character" w:customStyle="1" w:styleId="AA1">
    <w:name w:val="AA 1、 字符"/>
    <w:link w:val="AA10"/>
    <w:semiHidden/>
    <w:qFormat/>
    <w:rPr>
      <w:b/>
      <w:kern w:val="2"/>
      <w:sz w:val="21"/>
      <w:szCs w:val="21"/>
    </w:rPr>
  </w:style>
  <w:style w:type="paragraph" w:customStyle="1" w:styleId="AA10">
    <w:name w:val="AA 1、"/>
    <w:basedOn w:val="a"/>
    <w:link w:val="AA1"/>
    <w:semiHidden/>
    <w:qFormat/>
    <w:pPr>
      <w:widowControl w:val="0"/>
      <w:adjustRightInd w:val="0"/>
      <w:snapToGrid w:val="0"/>
      <w:spacing w:beforeLines="50" w:afterLines="50" w:line="360" w:lineRule="auto"/>
      <w:ind w:firstLineChars="200" w:firstLine="482"/>
      <w:jc w:val="both"/>
      <w:outlineLvl w:val="2"/>
    </w:pPr>
    <w:rPr>
      <w:b/>
    </w:rPr>
  </w:style>
  <w:style w:type="character" w:customStyle="1" w:styleId="CharChar135">
    <w:name w:val="Char Char135"/>
    <w:semiHidden/>
    <w:rPr>
      <w:rFonts w:eastAsia="宋体"/>
      <w:kern w:val="2"/>
      <w:sz w:val="21"/>
      <w:szCs w:val="24"/>
      <w:lang w:val="en-US" w:eastAsia="zh-CN" w:bidi="ar-SA"/>
    </w:rPr>
  </w:style>
  <w:style w:type="character" w:customStyle="1" w:styleId="3zw">
    <w:name w:val="3zw"/>
    <w:semiHidden/>
    <w:qFormat/>
  </w:style>
  <w:style w:type="character" w:customStyle="1" w:styleId="titlefont1">
    <w:name w:val="titlefont1"/>
    <w:semiHidden/>
    <w:rPr>
      <w:b/>
      <w:bCs/>
    </w:rPr>
  </w:style>
  <w:style w:type="character" w:customStyle="1" w:styleId="-5Char">
    <w:name w:val="徐工-5级标题 Char"/>
    <w:link w:val="-5"/>
    <w:semiHidden/>
    <w:rPr>
      <w:rFonts w:ascii="Calibri" w:hAnsi="Calibri"/>
      <w:b/>
      <w:kern w:val="2"/>
      <w:sz w:val="21"/>
      <w:szCs w:val="21"/>
    </w:rPr>
  </w:style>
  <w:style w:type="paragraph" w:customStyle="1" w:styleId="-5">
    <w:name w:val="徐工-5级标题"/>
    <w:basedOn w:val="-0"/>
    <w:link w:val="-5Char"/>
    <w:semiHidden/>
    <w:qFormat/>
    <w:pPr>
      <w:spacing w:before="50" w:after="50"/>
      <w:ind w:firstLine="200"/>
      <w:outlineLvl w:val="4"/>
    </w:pPr>
    <w:rPr>
      <w:b/>
    </w:rPr>
  </w:style>
  <w:style w:type="paragraph" w:customStyle="1" w:styleId="-0">
    <w:name w:val="徐工-正文"/>
    <w:basedOn w:val="a"/>
    <w:link w:val="-Char0"/>
    <w:semiHidden/>
    <w:qFormat/>
    <w:pPr>
      <w:adjustRightInd w:val="0"/>
      <w:snapToGrid w:val="0"/>
      <w:spacing w:beforeLines="50" w:afterLines="50" w:line="360" w:lineRule="auto"/>
      <w:ind w:firstLineChars="200" w:firstLine="480"/>
    </w:pPr>
    <w:rPr>
      <w:rFonts w:ascii="Calibri" w:hAnsi="Calibri"/>
    </w:rPr>
  </w:style>
  <w:style w:type="character" w:customStyle="1" w:styleId="-Char0">
    <w:name w:val="徐工-正文 Char"/>
    <w:link w:val="-0"/>
    <w:semiHidden/>
    <w:rPr>
      <w:rFonts w:ascii="Calibri" w:hAnsi="Calibri"/>
      <w:kern w:val="2"/>
      <w:sz w:val="21"/>
      <w:szCs w:val="21"/>
    </w:rPr>
  </w:style>
  <w:style w:type="character" w:customStyle="1" w:styleId="CharChar119">
    <w:name w:val="Char Char119"/>
    <w:semiHidden/>
    <w:rPr>
      <w:rFonts w:ascii="宋体" w:eastAsia="宋体"/>
      <w:kern w:val="2"/>
      <w:sz w:val="28"/>
      <w:lang w:val="en-US" w:eastAsia="zh-CN" w:bidi="ar-SA"/>
    </w:rPr>
  </w:style>
  <w:style w:type="character" w:customStyle="1" w:styleId="311">
    <w:name w:val="无格式表格 31"/>
    <w:uiPriority w:val="19"/>
    <w:semiHidden/>
    <w:qFormat/>
    <w:rPr>
      <w:i/>
      <w:iCs/>
    </w:rPr>
  </w:style>
  <w:style w:type="character" w:customStyle="1" w:styleId="text-1801">
    <w:name w:val="text-1801"/>
    <w:semiHidden/>
    <w:rPr>
      <w:color w:val="333333"/>
      <w:sz w:val="14"/>
      <w:szCs w:val="14"/>
    </w:rPr>
  </w:style>
  <w:style w:type="character" w:customStyle="1" w:styleId="2Char10">
    <w:name w:val="正文文本缩进 2 Char1"/>
    <w:aliases w:val="正文文字缩进 2 Char1,正文文字缩进 21 Char1"/>
    <w:semiHidden/>
    <w:qFormat/>
    <w:rPr>
      <w:rFonts w:ascii="Times New Roman" w:eastAsia="宋体" w:hAnsi="Times New Roman" w:cs="Times New Roman"/>
      <w:szCs w:val="24"/>
    </w:rPr>
  </w:style>
  <w:style w:type="character" w:customStyle="1" w:styleId="CharChar1CharCharChar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Char Char Char"/>
    <w:link w:val="CharChar1CharCharCharCharCharCharCharCharCharCharCharCharCharCharCharCharCharCharCharCharCharCharCharCharCharCharCharCharCharCharCharCharCharCharCharCharCharChar1"/>
    <w:uiPriority w:val="99"/>
    <w:semiHidden/>
    <w:rPr>
      <w:rFonts w:ascii="Verdana" w:hAnsi="Verdana"/>
      <w:kern w:val="2"/>
      <w:sz w:val="22"/>
      <w:szCs w:val="22"/>
      <w:lang w:eastAsia="en-US"/>
    </w:rPr>
  </w:style>
  <w:style w:type="paragraph" w:customStyle="1" w:styleId="CharChar1CharCharCharCharCharCharCharCharCharCharCharCharCharCharCharCharCharCharCharCharCharCharCharCharCharCharCharCharCharCharCharCharCharCharCharCharCharChar1">
    <w:name w:val="Char Char1 Char Char Char Char Char Char Char Char Char Char Char Char Char Char Char Char Char Char Char Char Char Char Char Char Char Char Char Char Char Char Char Char Char Char Char Char Char Char1"/>
    <w:basedOn w:val="a"/>
    <w:link w:val="CharChar1CharCharCharCharCharCharCharCharCharCharCharCharCharCharCharCharCharCharCharCharCharCharCharCharCharCharCharCharCharCharCharCharCharCharCharCharCharCharChar"/>
    <w:uiPriority w:val="99"/>
    <w:semiHidden/>
    <w:qFormat/>
    <w:pPr>
      <w:spacing w:after="160" w:line="240" w:lineRule="exact"/>
    </w:pPr>
    <w:rPr>
      <w:rFonts w:ascii="Verdana" w:hAnsi="Verdana"/>
      <w:sz w:val="22"/>
      <w:szCs w:val="22"/>
      <w:lang w:eastAsia="en-US"/>
    </w:rPr>
  </w:style>
  <w:style w:type="character" w:customStyle="1" w:styleId="unnamed141">
    <w:name w:val="unnamed141"/>
    <w:semiHidden/>
    <w:rPr>
      <w:sz w:val="21"/>
      <w:szCs w:val="21"/>
    </w:rPr>
  </w:style>
  <w:style w:type="character" w:customStyle="1" w:styleId="101CharChar">
    <w:name w:val="样式 正文1 + 段前: 0.1 行 Char Char"/>
    <w:semiHidden/>
    <w:rPr>
      <w:rFonts w:eastAsia="宋体" w:cs="宋体"/>
      <w:kern w:val="2"/>
      <w:sz w:val="24"/>
      <w:szCs w:val="24"/>
      <w:lang w:val="en-US" w:eastAsia="zh-CN" w:bidi="ar-SA"/>
    </w:rPr>
  </w:style>
  <w:style w:type="character" w:customStyle="1" w:styleId="Char11">
    <w:name w:val="批注主题 Char1"/>
    <w:uiPriority w:val="99"/>
    <w:semiHidden/>
    <w:qFormat/>
    <w:rPr>
      <w:rFonts w:ascii="Times New Roman" w:eastAsia="宋体" w:hAnsi="Times New Roman" w:cs="Times New Roman"/>
      <w:b/>
      <w:bCs/>
      <w:szCs w:val="24"/>
    </w:rPr>
  </w:style>
  <w:style w:type="character" w:customStyle="1" w:styleId="CharChar188">
    <w:name w:val="Char Char188"/>
    <w:semiHidden/>
    <w:rPr>
      <w:rFonts w:ascii="Times New Roman" w:eastAsia="宋体" w:hAnsi="Times New Roman" w:cs="Times New Roman"/>
      <w:kern w:val="0"/>
      <w:sz w:val="18"/>
      <w:szCs w:val="18"/>
    </w:rPr>
  </w:style>
  <w:style w:type="character" w:customStyle="1" w:styleId="line21">
    <w:name w:val="line21"/>
    <w:semiHidden/>
    <w:rPr>
      <w:b/>
      <w:bCs/>
      <w:color w:val="000000"/>
      <w:spacing w:val="456"/>
      <w:kern w:val="2"/>
      <w:sz w:val="24"/>
      <w:szCs w:val="24"/>
      <w:lang w:val="en-US" w:eastAsia="zh-CN" w:bidi="ar-SA"/>
    </w:rPr>
  </w:style>
  <w:style w:type="character" w:customStyle="1" w:styleId="Char12">
    <w:name w:val="结束语 Char1"/>
    <w:uiPriority w:val="99"/>
    <w:semiHidden/>
    <w:qFormat/>
    <w:rPr>
      <w:kern w:val="2"/>
      <w:sz w:val="21"/>
      <w:szCs w:val="24"/>
    </w:rPr>
  </w:style>
  <w:style w:type="character" w:customStyle="1" w:styleId="CharChar142">
    <w:name w:val="Char Char142"/>
    <w:semiHidden/>
    <w:rPr>
      <w:rFonts w:eastAsia="宋体"/>
      <w:kern w:val="2"/>
      <w:sz w:val="18"/>
      <w:szCs w:val="18"/>
      <w:lang w:val="en-US" w:eastAsia="zh-CN" w:bidi="ar-SA"/>
    </w:rPr>
  </w:style>
  <w:style w:type="character" w:customStyle="1" w:styleId="CharChar2">
    <w:name w:val="Char Char2"/>
    <w:semiHidden/>
    <w:qFormat/>
    <w:rPr>
      <w:rFonts w:eastAsia="宋体"/>
      <w:kern w:val="2"/>
      <w:sz w:val="21"/>
      <w:szCs w:val="24"/>
      <w:lang w:val="en-US" w:eastAsia="zh-CN" w:bidi="ar-SA"/>
    </w:rPr>
  </w:style>
  <w:style w:type="character" w:customStyle="1" w:styleId="EmailStyle688">
    <w:name w:val="EmailStyle688"/>
    <w:semiHidden/>
    <w:rPr>
      <w:rFonts w:ascii="楷体_GB2312" w:eastAsia="楷体_GB2312"/>
      <w:b w:val="0"/>
      <w:bCs w:val="0"/>
      <w:i w:val="0"/>
      <w:iCs w:val="0"/>
      <w:strike w:val="0"/>
      <w:color w:val="auto"/>
      <w:sz w:val="21"/>
      <w:szCs w:val="21"/>
      <w:u w:val="none"/>
    </w:rPr>
  </w:style>
  <w:style w:type="character" w:customStyle="1" w:styleId="CharChar193">
    <w:name w:val="Char Char193"/>
    <w:semiHidden/>
    <w:rPr>
      <w:rFonts w:ascii="Times New Roman" w:eastAsia="宋体" w:hAnsi="Times New Roman" w:cs="Times New Roman"/>
      <w:szCs w:val="24"/>
    </w:rPr>
  </w:style>
  <w:style w:type="character" w:customStyle="1" w:styleId="Char4">
    <w:name w:val="正文样式 Char"/>
    <w:link w:val="affff1"/>
    <w:semiHidden/>
    <w:qFormat/>
    <w:locked/>
    <w:rPr>
      <w:rFonts w:ascii="Calibri" w:hAnsi="Calibri"/>
      <w:bCs/>
      <w:spacing w:val="16"/>
      <w:kern w:val="28"/>
      <w:sz w:val="21"/>
      <w:szCs w:val="21"/>
    </w:rPr>
  </w:style>
  <w:style w:type="paragraph" w:customStyle="1" w:styleId="affff1">
    <w:name w:val="正文样式"/>
    <w:basedOn w:val="a"/>
    <w:link w:val="Char4"/>
    <w:semiHidden/>
    <w:qFormat/>
    <w:pPr>
      <w:snapToGrid w:val="0"/>
      <w:spacing w:after="120" w:line="400" w:lineRule="exact"/>
      <w:ind w:firstLineChars="200" w:firstLine="200"/>
    </w:pPr>
    <w:rPr>
      <w:rFonts w:ascii="Calibri" w:hAnsi="Calibri"/>
      <w:bCs/>
      <w:spacing w:val="16"/>
      <w:kern w:val="28"/>
    </w:rPr>
  </w:style>
  <w:style w:type="character" w:customStyle="1" w:styleId="xl24CharCharCharCharChar">
    <w:name w:val="xl24 Char Char Char Char Char"/>
    <w:link w:val="xl24CharCharCharChar"/>
    <w:semiHidden/>
    <w:rPr>
      <w:rFonts w:ascii="Calibri" w:hAnsi="Calibri"/>
      <w:kern w:val="2"/>
      <w:sz w:val="21"/>
      <w:szCs w:val="21"/>
    </w:rPr>
  </w:style>
  <w:style w:type="paragraph" w:customStyle="1" w:styleId="xl24CharCharCharChar">
    <w:name w:val="xl24 Char Char Char Char"/>
    <w:basedOn w:val="a"/>
    <w:link w:val="xl24CharCharCharCharChar"/>
    <w:semiHidden/>
    <w:qFormat/>
    <w:pPr>
      <w:pBdr>
        <w:left w:val="single" w:sz="4" w:space="0" w:color="auto"/>
        <w:right w:val="single" w:sz="4" w:space="0" w:color="auto"/>
      </w:pBdr>
      <w:spacing w:before="100" w:beforeAutospacing="1" w:after="100" w:afterAutospacing="1"/>
      <w:jc w:val="center"/>
    </w:pPr>
    <w:rPr>
      <w:rFonts w:ascii="Calibri" w:hAnsi="Calibri"/>
    </w:rPr>
  </w:style>
  <w:style w:type="character" w:customStyle="1" w:styleId="CharChar71">
    <w:name w:val="Char Char71"/>
    <w:semiHidden/>
    <w:qFormat/>
    <w:locked/>
    <w:rPr>
      <w:rFonts w:eastAsia="宋体"/>
      <w:b/>
      <w:bCs/>
      <w:kern w:val="2"/>
      <w:sz w:val="24"/>
      <w:szCs w:val="24"/>
      <w:lang w:val="en-US" w:eastAsia="zh-CN" w:bidi="ar-SA"/>
    </w:rPr>
  </w:style>
  <w:style w:type="character" w:customStyle="1" w:styleId="cpzd1">
    <w:name w:val="cpzd1"/>
    <w:semiHidden/>
  </w:style>
  <w:style w:type="character" w:customStyle="1" w:styleId="CharChar2011">
    <w:name w:val="Char Char2011"/>
    <w:semiHidden/>
    <w:rPr>
      <w:sz w:val="18"/>
      <w:szCs w:val="18"/>
    </w:rPr>
  </w:style>
  <w:style w:type="character" w:customStyle="1" w:styleId="CharChar97">
    <w:name w:val="Char Char97"/>
    <w:semiHidden/>
    <w:rPr>
      <w:rFonts w:eastAsia="宋体"/>
      <w:sz w:val="24"/>
      <w:szCs w:val="24"/>
      <w:lang w:val="en-US" w:eastAsia="zh-CN" w:bidi="ar-SA"/>
    </w:rPr>
  </w:style>
  <w:style w:type="character" w:customStyle="1" w:styleId="CharChar1">
    <w:name w:val="普通文字 Char Char1"/>
    <w:semiHidden/>
    <w:qFormat/>
    <w:rPr>
      <w:rFonts w:ascii="宋体" w:eastAsia="宋体" w:hAnsi="Courier New"/>
      <w:kern w:val="2"/>
      <w:sz w:val="21"/>
      <w:lang w:val="en-US" w:eastAsia="zh-CN"/>
    </w:rPr>
  </w:style>
  <w:style w:type="character" w:customStyle="1" w:styleId="1f">
    <w:name w:val="页脚 字符1"/>
    <w:aliases w:val="Footer Char 字符1,Footer Char Char Char Char Char 字符1,Footer Char Char Char 字符1,Footer Char Char Char Char 字符1,Footer Char Char Cha 字符1,footer odd 字符,Alt+J 字符,Footer-Even 字符,footer odd 字符1"/>
    <w:uiPriority w:val="99"/>
    <w:semiHidden/>
    <w:qFormat/>
    <w:locked/>
    <w:rPr>
      <w:rFonts w:ascii="Times New Roman" w:eastAsia="宋体" w:hAnsi="Times New Roman" w:cs="Times New Roman"/>
      <w:sz w:val="18"/>
      <w:szCs w:val="18"/>
    </w:rPr>
  </w:style>
  <w:style w:type="character" w:customStyle="1" w:styleId="1f0">
    <w:name w:val="副标题 字符1"/>
    <w:aliases w:val="二级标题 字符"/>
    <w:uiPriority w:val="11"/>
    <w:semiHidden/>
    <w:qFormat/>
    <w:rPr>
      <w:b/>
      <w:bCs/>
      <w:kern w:val="28"/>
      <w:sz w:val="32"/>
      <w:szCs w:val="32"/>
    </w:rPr>
  </w:style>
  <w:style w:type="character" w:customStyle="1" w:styleId="AA0">
    <w:name w:val="AA 一、 字符"/>
    <w:link w:val="AA2"/>
    <w:semiHidden/>
    <w:rPr>
      <w:b/>
      <w:kern w:val="2"/>
      <w:sz w:val="21"/>
      <w:szCs w:val="21"/>
    </w:rPr>
  </w:style>
  <w:style w:type="paragraph" w:customStyle="1" w:styleId="AA2">
    <w:name w:val="AA 一、"/>
    <w:basedOn w:val="a"/>
    <w:link w:val="AA0"/>
    <w:semiHidden/>
    <w:qFormat/>
    <w:pPr>
      <w:widowControl w:val="0"/>
      <w:spacing w:beforeLines="50" w:afterLines="50" w:line="360" w:lineRule="auto"/>
      <w:jc w:val="both"/>
      <w:outlineLvl w:val="0"/>
    </w:pPr>
    <w:rPr>
      <w:b/>
    </w:rPr>
  </w:style>
  <w:style w:type="character" w:customStyle="1" w:styleId="msoins0">
    <w:name w:val="msoins"/>
    <w:semiHidden/>
    <w:qFormat/>
  </w:style>
  <w:style w:type="character" w:customStyle="1" w:styleId="1Char">
    <w:name w:val="标题 1 Char"/>
    <w:aliases w:val="标题 1 Char1 Char,标题 1 Char Char Char,Heading One Char Char Char,Heading One Char1 Char,Heading One Char Char1,Heading One Char2,张斌 Char,H1 Char,NMP Heading 1 Char,h1 Char,1st level Char,Section Head Char,l1 Char,H11 Char,H12 Char,H13 Char,?. Ch"/>
    <w:semiHidden/>
    <w:qFormat/>
    <w:rPr>
      <w:b/>
      <w:bCs/>
      <w:kern w:val="44"/>
      <w:sz w:val="44"/>
      <w:szCs w:val="44"/>
    </w:rPr>
  </w:style>
  <w:style w:type="character" w:customStyle="1" w:styleId="affff2">
    <w:name w:val="注释标题 字符"/>
    <w:semiHidden/>
    <w:qFormat/>
    <w:rPr>
      <w:rFonts w:ascii="Times New Roman" w:eastAsia="宋体" w:hAnsi="Times New Roman" w:cs="Times New Roman"/>
      <w:szCs w:val="24"/>
    </w:rPr>
  </w:style>
  <w:style w:type="character" w:customStyle="1" w:styleId="css-text3">
    <w:name w:val="css-text3"/>
    <w:semiHidden/>
  </w:style>
  <w:style w:type="character" w:customStyle="1" w:styleId="CharChar174">
    <w:name w:val="Char Char174"/>
    <w:semiHidden/>
    <w:rPr>
      <w:rFonts w:eastAsia="宋体"/>
      <w:sz w:val="18"/>
      <w:szCs w:val="18"/>
      <w:lang w:val="en-US" w:eastAsia="zh-CN" w:bidi="ar-SA"/>
    </w:rPr>
  </w:style>
  <w:style w:type="character" w:customStyle="1" w:styleId="CharChar49">
    <w:name w:val="Char Char49"/>
    <w:semiHidden/>
    <w:rPr>
      <w:rFonts w:ascii="黑体" w:eastAsia="黑体" w:hAnsi="Courier New"/>
      <w:color w:val="000000"/>
      <w:lang w:bidi="ar-SA"/>
    </w:rPr>
  </w:style>
  <w:style w:type="character" w:customStyle="1" w:styleId="sm1">
    <w:name w:val="sm1"/>
    <w:semiHidden/>
    <w:qFormat/>
    <w:rPr>
      <w:szCs w:val="18"/>
    </w:rPr>
  </w:style>
  <w:style w:type="character" w:customStyle="1" w:styleId="titlebigbig">
    <w:name w:val="titlebigbig"/>
    <w:semiHidden/>
    <w:rPr>
      <w:rFonts w:cs="Times New Roman"/>
    </w:rPr>
  </w:style>
  <w:style w:type="character" w:customStyle="1" w:styleId="Char1CharChar1">
    <w:name w:val="Char1 Char Char1"/>
    <w:semiHidden/>
    <w:rPr>
      <w:rFonts w:ascii="黑体" w:eastAsia="黑体"/>
      <w:sz w:val="24"/>
      <w:szCs w:val="24"/>
      <w:lang w:val="en-US" w:eastAsia="zh-CN" w:bidi="ar-SA"/>
    </w:rPr>
  </w:style>
  <w:style w:type="character" w:customStyle="1" w:styleId="Char5">
    <w:name w:val="建材报告正文 Char"/>
    <w:link w:val="affff3"/>
    <w:semiHidden/>
    <w:rPr>
      <w:rFonts w:ascii="仿宋" w:eastAsia="仿宋_GB2312" w:hAnsi="仿宋"/>
      <w:color w:val="000000"/>
      <w:kern w:val="2"/>
      <w:sz w:val="24"/>
      <w:szCs w:val="24"/>
    </w:rPr>
  </w:style>
  <w:style w:type="paragraph" w:customStyle="1" w:styleId="affff3">
    <w:name w:val="建材报告正文"/>
    <w:basedOn w:val="CM7"/>
    <w:link w:val="Char5"/>
    <w:semiHidden/>
    <w:qFormat/>
    <w:pPr>
      <w:spacing w:line="360" w:lineRule="auto"/>
      <w:ind w:right="119" w:firstLineChars="200" w:firstLine="480"/>
      <w:jc w:val="both"/>
    </w:pPr>
    <w:rPr>
      <w:rFonts w:ascii="仿宋" w:eastAsia="仿宋_GB2312" w:hAnsi="仿宋"/>
    </w:rPr>
  </w:style>
  <w:style w:type="paragraph" w:customStyle="1" w:styleId="CM7">
    <w:name w:val="CM7"/>
    <w:basedOn w:val="Default"/>
    <w:next w:val="Default"/>
    <w:link w:val="CM7Char"/>
    <w:semiHidden/>
    <w:qFormat/>
    <w:pPr>
      <w:spacing w:line="468" w:lineRule="atLeast"/>
    </w:pPr>
    <w:rPr>
      <w:rFonts w:hAnsi="Calibri" w:cs="Times New Roman"/>
      <w:kern w:val="2"/>
    </w:rPr>
  </w:style>
  <w:style w:type="character" w:customStyle="1" w:styleId="CM7Char">
    <w:name w:val="CM7 Char"/>
    <w:link w:val="CM7"/>
    <w:semiHidden/>
    <w:rPr>
      <w:rFonts w:ascii="宋体" w:hAnsi="Calibri"/>
      <w:color w:val="000000"/>
      <w:kern w:val="2"/>
      <w:sz w:val="24"/>
      <w:szCs w:val="24"/>
    </w:rPr>
  </w:style>
  <w:style w:type="character" w:customStyle="1" w:styleId="f14b1">
    <w:name w:val="f14b1"/>
    <w:semiHidden/>
    <w:qFormat/>
    <w:rPr>
      <w:b/>
      <w:bCs/>
      <w:sz w:val="21"/>
      <w:szCs w:val="21"/>
    </w:rPr>
  </w:style>
  <w:style w:type="character" w:customStyle="1" w:styleId="CharChar245">
    <w:name w:val="Char Char245"/>
    <w:semiHidden/>
    <w:rPr>
      <w:rFonts w:ascii="Times New Roman" w:eastAsia="宋体" w:hAnsi="Times New Roman" w:cs="Times New Roman"/>
      <w:kern w:val="0"/>
      <w:sz w:val="18"/>
      <w:szCs w:val="18"/>
    </w:rPr>
  </w:style>
  <w:style w:type="character" w:customStyle="1" w:styleId="CharCharChar11">
    <w:name w:val="Char Char Char11"/>
    <w:semiHidden/>
    <w:rPr>
      <w:rFonts w:ascii="Tahoma" w:eastAsia="宋体" w:hAnsi="Tahoma" w:cs="Arial Unicode MS"/>
      <w:b/>
      <w:kern w:val="2"/>
      <w:sz w:val="18"/>
      <w:szCs w:val="18"/>
      <w:lang w:val="en-US" w:eastAsia="zh-CN" w:bidi="ar-SA"/>
    </w:rPr>
  </w:style>
  <w:style w:type="character" w:customStyle="1" w:styleId="f1">
    <w:name w:val="f1"/>
    <w:semiHidden/>
    <w:rPr>
      <w:sz w:val="24"/>
      <w:szCs w:val="24"/>
    </w:rPr>
  </w:style>
  <w:style w:type="character" w:customStyle="1" w:styleId="1f1">
    <w:name w:val="批注框文本 字符1"/>
    <w:uiPriority w:val="99"/>
    <w:semiHidden/>
    <w:qFormat/>
    <w:rPr>
      <w:kern w:val="2"/>
      <w:sz w:val="18"/>
      <w:szCs w:val="18"/>
    </w:rPr>
  </w:style>
  <w:style w:type="character" w:customStyle="1" w:styleId="91">
    <w:name w:val="标题 9 字符"/>
    <w:aliases w:val="9 字符,表格内容5号宋体居中 字符,Legal Level 1.1.1.1. 字符,AppendixBodyHead 字符,h9 字符,干标题(a) 字符,H9 字符,H91 字符,PIM 9 字符,不用9 字符,huh 字符,a标题 9 字符,未用 字符,正文九级标题 字符,ft 字符,ft1 字符,heading 9 字符,table left 字符,tl 字符,HF 字符,figures 字符,ft2 字符,ft11 字符,table1 字符,heading 91 字符,t1 "/>
    <w:semiHidden/>
    <w:qFormat/>
    <w:rPr>
      <w:rFonts w:ascii="Cambria" w:eastAsia="宋体" w:hAnsi="Cambria" w:cs="Times New Roman"/>
      <w:szCs w:val="21"/>
    </w:rPr>
  </w:style>
  <w:style w:type="character" w:customStyle="1" w:styleId="z-Char1">
    <w:name w:val="z-窗体底端 Char1"/>
    <w:uiPriority w:val="99"/>
    <w:semiHidden/>
    <w:qFormat/>
    <w:locked/>
    <w:rPr>
      <w:rFonts w:ascii="Arial" w:eastAsia="宋体" w:hAnsi="Arial" w:cs="Arial"/>
      <w:vanish/>
      <w:sz w:val="16"/>
      <w:szCs w:val="16"/>
    </w:rPr>
  </w:style>
  <w:style w:type="character" w:customStyle="1" w:styleId="22Char">
    <w:name w:val="样式 正文文本 2 +2 Char"/>
    <w:link w:val="221"/>
    <w:semiHidden/>
    <w:rPr>
      <w:rFonts w:ascii="Calibri" w:hAnsi="Calibri"/>
      <w:kern w:val="2"/>
      <w:sz w:val="24"/>
      <w:szCs w:val="21"/>
    </w:rPr>
  </w:style>
  <w:style w:type="paragraph" w:customStyle="1" w:styleId="221">
    <w:name w:val="样式 正文文本 2 +2"/>
    <w:basedOn w:val="2c"/>
    <w:link w:val="22Char"/>
    <w:semiHidden/>
    <w:qFormat/>
    <w:pPr>
      <w:autoSpaceDE w:val="0"/>
      <w:autoSpaceDN w:val="0"/>
      <w:adjustRightInd w:val="0"/>
      <w:snapToGrid w:val="0"/>
      <w:spacing w:afterLines="50" w:line="360" w:lineRule="auto"/>
      <w:ind w:firstLineChars="200" w:firstLine="200"/>
    </w:pPr>
    <w:rPr>
      <w:sz w:val="24"/>
    </w:rPr>
  </w:style>
  <w:style w:type="character" w:customStyle="1" w:styleId="Char5CharChar1">
    <w:name w:val="Char5 Char Char1"/>
    <w:semiHidden/>
    <w:rPr>
      <w:rFonts w:ascii="黑体" w:eastAsia="黑体"/>
      <w:b/>
      <w:sz w:val="28"/>
      <w:szCs w:val="28"/>
      <w:lang w:val="en-US" w:eastAsia="zh-CN" w:bidi="ar-SA"/>
    </w:rPr>
  </w:style>
  <w:style w:type="character" w:customStyle="1" w:styleId="link14pp1">
    <w:name w:val="link14pp1"/>
    <w:semiHidden/>
    <w:rPr>
      <w:color w:val="000000"/>
      <w:sz w:val="21"/>
    </w:rPr>
  </w:style>
  <w:style w:type="character" w:customStyle="1" w:styleId="3Char1">
    <w:name w:val="正文3 Char"/>
    <w:link w:val="3f0"/>
    <w:uiPriority w:val="99"/>
    <w:semiHidden/>
    <w:rPr>
      <w:kern w:val="2"/>
      <w:sz w:val="34"/>
      <w:szCs w:val="21"/>
    </w:rPr>
  </w:style>
  <w:style w:type="paragraph" w:customStyle="1" w:styleId="3f0">
    <w:name w:val="正文3"/>
    <w:link w:val="3Char1"/>
    <w:uiPriority w:val="99"/>
    <w:semiHidden/>
    <w:qFormat/>
    <w:pPr>
      <w:widowControl w:val="0"/>
      <w:adjustRightInd w:val="0"/>
      <w:spacing w:line="312" w:lineRule="atLeast"/>
      <w:jc w:val="both"/>
      <w:textAlignment w:val="baseline"/>
    </w:pPr>
    <w:rPr>
      <w:kern w:val="2"/>
      <w:sz w:val="34"/>
      <w:szCs w:val="21"/>
    </w:rPr>
  </w:style>
  <w:style w:type="character" w:customStyle="1" w:styleId="CharChar46">
    <w:name w:val="Char Char46"/>
    <w:semiHidden/>
    <w:rPr>
      <w:rFonts w:ascii="黑体" w:eastAsia="黑体" w:hAnsi="Courier New"/>
      <w:color w:val="000000"/>
      <w:lang w:bidi="ar-SA"/>
    </w:rPr>
  </w:style>
  <w:style w:type="character" w:customStyle="1" w:styleId="h160bk">
    <w:name w:val="h160bk"/>
    <w:semiHidden/>
  </w:style>
  <w:style w:type="character" w:customStyle="1" w:styleId="title31">
    <w:name w:val="title31"/>
    <w:semiHidden/>
    <w:rPr>
      <w:b/>
      <w:bCs/>
      <w:sz w:val="21"/>
      <w:szCs w:val="21"/>
    </w:rPr>
  </w:style>
  <w:style w:type="character" w:customStyle="1" w:styleId="CharChar1CharCharCharCharCharCharCharCharCharCharCharCharCharCharCharCharCharCharCharCharCharCharCharCharCharCharCharCharCharCharCharCharCharCharCharCharCharCharChar12">
    <w:name w:val="Char Char1 Char Char Char Char Char Char Char Char Char Char Char Char Char Char Char Char Char Char Char Char Char Char Char Char Char Char Char Char Char Char Char Char Char Char Char Char Char Char Char12"/>
    <w:link w:val="CharChar1CharCharCharCharCharCharCharCharCharCharCharCharCharCharCharCharCharCharCharCharCharCharCharCharCharCharCharCharCharCharCharCharCharCharCharCharCharChar13"/>
    <w:semiHidden/>
    <w:rPr>
      <w:rFonts w:ascii="Verdana" w:hAnsi="Verdana"/>
      <w:kern w:val="2"/>
      <w:sz w:val="22"/>
      <w:szCs w:val="22"/>
      <w:lang w:eastAsia="en-US"/>
    </w:rPr>
  </w:style>
  <w:style w:type="paragraph" w:customStyle="1" w:styleId="CharChar1CharCharCharCharCharCharCharCharCharCharCharCharCharCharCharCharCharCharCharCharCharCharCharCharCharCharCharCharCharCharCharCharCharCharCharCharCharChar13">
    <w:name w:val="Char Char1 Char Char Char Char Char Char Char Char Char Char Char Char Char Char Char Char Char Char Char Char Char Char Char Char Char Char Char Char Char Char Char Char Char Char Char Char Char Char13"/>
    <w:basedOn w:val="a"/>
    <w:link w:val="CharChar1CharCharCharCharCharCharCharCharCharCharCharCharCharCharCharCharCharCharCharCharCharCharCharCharCharCharCharCharCharCharCharCharCharCharCharCharCharCharChar12"/>
    <w:semiHidden/>
    <w:qFormat/>
    <w:pPr>
      <w:autoSpaceDE w:val="0"/>
      <w:autoSpaceDN w:val="0"/>
      <w:adjustRightInd w:val="0"/>
      <w:spacing w:after="160" w:line="240" w:lineRule="exact"/>
    </w:pPr>
    <w:rPr>
      <w:rFonts w:ascii="Verdana" w:hAnsi="Verdana"/>
      <w:sz w:val="22"/>
      <w:szCs w:val="22"/>
      <w:lang w:eastAsia="en-US"/>
    </w:rPr>
  </w:style>
  <w:style w:type="character" w:customStyle="1" w:styleId="EmailStyle5551">
    <w:name w:val="EmailStyle5551"/>
    <w:semiHidden/>
    <w:rPr>
      <w:rFonts w:ascii="楷体_GB2312" w:eastAsia="楷体_GB2312"/>
      <w:b w:val="0"/>
      <w:bCs w:val="0"/>
      <w:i w:val="0"/>
      <w:iCs w:val="0"/>
      <w:strike w:val="0"/>
      <w:color w:val="auto"/>
      <w:sz w:val="21"/>
      <w:szCs w:val="21"/>
      <w:u w:val="none"/>
    </w:rPr>
  </w:style>
  <w:style w:type="character" w:customStyle="1" w:styleId="mengtingting">
    <w:name w:val="mengtingting"/>
    <w:semiHidden/>
    <w:rPr>
      <w:rFonts w:ascii="Arial" w:eastAsia="宋体" w:hAnsi="Arial" w:cs="Arial"/>
      <w:color w:val="auto"/>
      <w:sz w:val="18"/>
      <w:szCs w:val="20"/>
      <w:lang w:val="en-US" w:eastAsia="en-US" w:bidi="ar-SA"/>
    </w:rPr>
  </w:style>
  <w:style w:type="character" w:customStyle="1" w:styleId="CharChar201">
    <w:name w:val="Char Char201"/>
    <w:semiHidden/>
    <w:rPr>
      <w:sz w:val="18"/>
      <w:szCs w:val="18"/>
    </w:rPr>
  </w:style>
  <w:style w:type="character" w:customStyle="1" w:styleId="EndnoteTextChar1">
    <w:name w:val="Endnote Text Char1"/>
    <w:uiPriority w:val="99"/>
    <w:semiHidden/>
    <w:rPr>
      <w:rFonts w:ascii="Arial" w:eastAsia="宋体" w:hAnsi="Arial" w:cs="Arial"/>
      <w:sz w:val="24"/>
      <w:szCs w:val="24"/>
      <w:lang w:eastAsia="zh-CN" w:bidi="ar-SA"/>
    </w:rPr>
  </w:style>
  <w:style w:type="character" w:customStyle="1" w:styleId="CharChar202">
    <w:name w:val="Char Char202"/>
    <w:semiHidden/>
    <w:rPr>
      <w:sz w:val="18"/>
      <w:szCs w:val="18"/>
    </w:rPr>
  </w:style>
  <w:style w:type="character" w:customStyle="1" w:styleId="CharChar15">
    <w:name w:val="Char Char15"/>
    <w:semiHidden/>
    <w:qFormat/>
    <w:rPr>
      <w:rFonts w:eastAsia="宋体"/>
      <w:snapToGrid w:val="0"/>
      <w:sz w:val="24"/>
      <w:szCs w:val="24"/>
      <w:lang w:val="en-US" w:eastAsia="zh-CN" w:bidi="ar-SA"/>
    </w:rPr>
  </w:style>
  <w:style w:type="character" w:customStyle="1" w:styleId="CharChar178">
    <w:name w:val="Char Char178"/>
    <w:semiHidden/>
    <w:rPr>
      <w:rFonts w:eastAsia="宋体"/>
      <w:sz w:val="18"/>
      <w:szCs w:val="18"/>
      <w:lang w:val="en-US" w:eastAsia="zh-CN" w:bidi="ar-SA"/>
    </w:rPr>
  </w:style>
  <w:style w:type="character" w:customStyle="1" w:styleId="Char6">
    <w:name w:val="报告书正文 Char"/>
    <w:link w:val="affff4"/>
    <w:semiHidden/>
    <w:qFormat/>
    <w:locked/>
    <w:rPr>
      <w:rFonts w:ascii="Calibri" w:hAnsi="Calibri"/>
      <w:kern w:val="2"/>
      <w:sz w:val="21"/>
      <w:szCs w:val="22"/>
    </w:rPr>
  </w:style>
  <w:style w:type="paragraph" w:customStyle="1" w:styleId="affff4">
    <w:name w:val="报告书正文"/>
    <w:basedOn w:val="a"/>
    <w:link w:val="Char6"/>
    <w:semiHidden/>
    <w:qFormat/>
    <w:pPr>
      <w:widowControl w:val="0"/>
      <w:spacing w:beforeLines="50" w:afterLines="50" w:line="360" w:lineRule="auto"/>
      <w:ind w:firstLineChars="200" w:firstLine="480"/>
      <w:jc w:val="both"/>
    </w:pPr>
    <w:rPr>
      <w:rFonts w:ascii="Calibri" w:hAnsi="Calibri"/>
      <w:szCs w:val="22"/>
    </w:rPr>
  </w:style>
  <w:style w:type="character" w:customStyle="1" w:styleId="CharChar1CharCharCharCharCharCharCharCharCharCharCharCharCharCharCharCharCharCharCharCharCharCharCharCharCharCharCharCharCharCharCharCharCharCharCharCharCharCharChar10">
    <w:name w:val="Char Char1 Char Char Char Char Char Char Char Char Char Char Char Char Char Char Char Char Char Char Char Char Char Char Char Char Char Char Char Char Char Char Char Char Char Char Char Char Char Char Char10"/>
    <w:link w:val="CharChar1CharCharCharCharCharCharCharCharCharCharCharCharCharCharCharCharCharCharCharCharCharCharCharCharCharCharCharCharCharCharCharCharCharCharCharCharCharChar11"/>
    <w:semiHidden/>
    <w:rPr>
      <w:rFonts w:ascii="Verdana" w:eastAsia="Times New Roman" w:hAnsi="Verdana"/>
      <w:kern w:val="2"/>
      <w:sz w:val="22"/>
      <w:szCs w:val="22"/>
      <w:lang w:eastAsia="en-US"/>
    </w:rPr>
  </w:style>
  <w:style w:type="paragraph" w:customStyle="1" w:styleId="CharChar1CharCharCharCharCharCharCharCharCharCharCharCharCharCharCharCharCharCharCharCharCharCharCharCharCharCharCharCharCharCharCharCharCharCharCharCharCharChar11">
    <w:name w:val="Char Char1 Char Char Char Char Char Char Char Char Char Char Char Char Char Char Char Char Char Char Char Char Char Char Char Char Char Char Char Char Char Char Char Char Char Char Char Char Char Char11"/>
    <w:basedOn w:val="a"/>
    <w:link w:val="CharChar1CharCharCharCharCharCharCharCharCharCharCharCharCharCharCharCharCharCharCharCharCharCharCharCharCharCharCharCharCharCharCharCharCharCharCharCharCharCharChar10"/>
    <w:semiHidden/>
    <w:qFormat/>
    <w:pPr>
      <w:autoSpaceDE w:val="0"/>
      <w:autoSpaceDN w:val="0"/>
      <w:adjustRightInd w:val="0"/>
      <w:spacing w:after="160" w:line="240" w:lineRule="exact"/>
    </w:pPr>
    <w:rPr>
      <w:rFonts w:ascii="Verdana" w:eastAsia="Times New Roman" w:hAnsi="Verdana"/>
      <w:sz w:val="22"/>
      <w:szCs w:val="22"/>
      <w:lang w:eastAsia="en-US"/>
    </w:rPr>
  </w:style>
  <w:style w:type="character" w:customStyle="1" w:styleId="3Char2">
    <w:name w:val="3级（一） Char"/>
    <w:link w:val="3f1"/>
    <w:semiHidden/>
    <w:rPr>
      <w:rFonts w:ascii="Arial" w:eastAsia="黑体" w:hAnsi="宋体"/>
      <w:b/>
      <w:bCs/>
      <w:kern w:val="2"/>
      <w:sz w:val="24"/>
      <w:szCs w:val="24"/>
    </w:rPr>
  </w:style>
  <w:style w:type="paragraph" w:customStyle="1" w:styleId="3f1">
    <w:name w:val="3级（一）"/>
    <w:basedOn w:val="3"/>
    <w:link w:val="3Char2"/>
    <w:semiHidden/>
    <w:qFormat/>
    <w:pPr>
      <w:numPr>
        <w:ilvl w:val="0"/>
        <w:numId w:val="0"/>
      </w:numPr>
      <w:tabs>
        <w:tab w:val="left" w:pos="1871"/>
      </w:tabs>
      <w:autoSpaceDE w:val="0"/>
      <w:autoSpaceDN w:val="0"/>
      <w:spacing w:line="360" w:lineRule="auto"/>
      <w:ind w:leftChars="200" w:left="480" w:hanging="737"/>
      <w:jc w:val="left"/>
      <w:textAlignment w:val="baseline"/>
    </w:pPr>
    <w:rPr>
      <w:rFonts w:ascii="Arial" w:eastAsia="黑体" w:hAnsi="宋体"/>
      <w:sz w:val="24"/>
      <w:szCs w:val="24"/>
    </w:rPr>
  </w:style>
  <w:style w:type="character" w:customStyle="1" w:styleId="fdgfd">
    <w:name w:val="fdgfd"/>
    <w:semiHidden/>
  </w:style>
  <w:style w:type="character" w:customStyle="1" w:styleId="CharChar">
    <w:name w:val="小四标准段落 Char Char"/>
    <w:uiPriority w:val="99"/>
    <w:semiHidden/>
    <w:qFormat/>
    <w:rPr>
      <w:rFonts w:ascii="宋体" w:eastAsia="宋体" w:hAnsi="宋体"/>
      <w:kern w:val="2"/>
      <w:sz w:val="24"/>
      <w:szCs w:val="24"/>
      <w:lang w:val="en-US" w:eastAsia="zh-CN" w:bidi="ar-SA"/>
    </w:rPr>
  </w:style>
  <w:style w:type="character" w:customStyle="1" w:styleId="EmailStyle3782">
    <w:name w:val="EmailStyle3782"/>
    <w:semiHidden/>
    <w:rPr>
      <w:rFonts w:ascii="楷体_GB2312" w:eastAsia="楷体_GB2312"/>
      <w:b w:val="0"/>
      <w:bCs w:val="0"/>
      <w:i w:val="0"/>
      <w:iCs w:val="0"/>
      <w:strike w:val="0"/>
      <w:color w:val="auto"/>
      <w:sz w:val="21"/>
      <w:szCs w:val="21"/>
      <w:u w:val="none"/>
    </w:rPr>
  </w:style>
  <w:style w:type="character" w:customStyle="1" w:styleId="EmailStyle544">
    <w:name w:val="EmailStyle544"/>
    <w:semiHidden/>
    <w:rPr>
      <w:rFonts w:ascii="楷体_GB2312" w:eastAsia="楷体_GB2312"/>
      <w:b w:val="0"/>
      <w:bCs w:val="0"/>
      <w:i w:val="0"/>
      <w:iCs w:val="0"/>
      <w:strike w:val="0"/>
      <w:color w:val="auto"/>
      <w:sz w:val="21"/>
      <w:szCs w:val="21"/>
      <w:u w:val="none"/>
    </w:rPr>
  </w:style>
  <w:style w:type="character" w:customStyle="1" w:styleId="Char13">
    <w:name w:val="标题 Char1"/>
    <w:aliases w:val="t Char1,标题2 Char1,三号 居中 Char1,1、 Char1,标题2级 Char1,t Char2,标题1 Char1"/>
    <w:uiPriority w:val="10"/>
    <w:semiHidden/>
    <w:qFormat/>
    <w:rPr>
      <w:rFonts w:ascii="Cambria" w:hAnsi="Cambria" w:cs="Times New Roman"/>
      <w:b/>
      <w:bCs/>
      <w:kern w:val="2"/>
      <w:sz w:val="32"/>
      <w:szCs w:val="32"/>
    </w:rPr>
  </w:style>
  <w:style w:type="character" w:customStyle="1" w:styleId="line1">
    <w:name w:val="line1"/>
    <w:semiHidden/>
    <w:rPr>
      <w:b/>
      <w:bCs/>
      <w:color w:val="000000"/>
      <w:spacing w:val="360"/>
      <w:kern w:val="2"/>
      <w:sz w:val="12"/>
      <w:szCs w:val="12"/>
      <w:lang w:val="en-US" w:eastAsia="zh-CN" w:bidi="ar-SA"/>
    </w:rPr>
  </w:style>
  <w:style w:type="character" w:customStyle="1" w:styleId="Char14">
    <w:name w:val="批注框文本 Char1"/>
    <w:semiHidden/>
    <w:qFormat/>
    <w:rPr>
      <w:kern w:val="2"/>
      <w:sz w:val="18"/>
      <w:szCs w:val="18"/>
    </w:rPr>
  </w:style>
  <w:style w:type="character" w:customStyle="1" w:styleId="contus-xin1">
    <w:name w:val="contus-xin1"/>
    <w:semiHidden/>
    <w:rPr>
      <w:rFonts w:ascii="??" w:hAnsi="??" w:hint="default"/>
      <w:b w:val="0"/>
      <w:bCs w:val="0"/>
      <w:strike w:val="0"/>
      <w:dstrike w:val="0"/>
      <w:color w:val="666666"/>
      <w:sz w:val="32"/>
      <w:szCs w:val="32"/>
      <w:u w:val="none"/>
    </w:rPr>
  </w:style>
  <w:style w:type="character" w:customStyle="1" w:styleId="txtcontent1">
    <w:name w:val="txtcontent1"/>
    <w:semiHidden/>
    <w:rPr>
      <w:rFonts w:cs="Times New Roman"/>
    </w:rPr>
  </w:style>
  <w:style w:type="character" w:customStyle="1" w:styleId="GB2312">
    <w:name w:val="样式 仿宋_GB2312 四号"/>
    <w:semiHidden/>
    <w:rPr>
      <w:rFonts w:ascii="仿宋_GB2312" w:eastAsia="仿宋_GB2312" w:hAnsi="仿宋_GB2312"/>
      <w:sz w:val="24"/>
    </w:rPr>
  </w:style>
  <w:style w:type="character" w:customStyle="1" w:styleId="CharChar189">
    <w:name w:val="Char Char189"/>
    <w:semiHidden/>
    <w:rPr>
      <w:rFonts w:ascii="Times New Roman" w:eastAsia="宋体" w:hAnsi="Times New Roman" w:cs="Times New Roman"/>
      <w:kern w:val="0"/>
      <w:sz w:val="18"/>
      <w:szCs w:val="18"/>
    </w:rPr>
  </w:style>
  <w:style w:type="character" w:customStyle="1" w:styleId="EmailStyle642">
    <w:name w:val="EmailStyle642"/>
    <w:semiHidden/>
    <w:rPr>
      <w:rFonts w:ascii="楷体_GB2312" w:eastAsia="楷体_GB2312"/>
      <w:b w:val="0"/>
      <w:bCs w:val="0"/>
      <w:i w:val="0"/>
      <w:iCs w:val="0"/>
      <w:strike w:val="0"/>
      <w:color w:val="auto"/>
      <w:sz w:val="21"/>
      <w:szCs w:val="21"/>
      <w:u w:val="none"/>
    </w:rPr>
  </w:style>
  <w:style w:type="character" w:customStyle="1" w:styleId="CharChar225">
    <w:name w:val="Char Char225"/>
    <w:semiHidden/>
    <w:rPr>
      <w:rFonts w:ascii="Times New Roman" w:eastAsia="宋体" w:hAnsi="Times New Roman" w:cs="Times New Roman"/>
      <w:snapToGrid w:val="0"/>
      <w:kern w:val="0"/>
      <w:sz w:val="24"/>
      <w:szCs w:val="24"/>
    </w:rPr>
  </w:style>
  <w:style w:type="character" w:customStyle="1" w:styleId="CharChar183">
    <w:name w:val="Char Char183"/>
    <w:semiHidden/>
    <w:rPr>
      <w:rFonts w:ascii="Times New Roman" w:eastAsia="宋体" w:hAnsi="Times New Roman" w:cs="Times New Roman"/>
      <w:kern w:val="0"/>
      <w:sz w:val="18"/>
      <w:szCs w:val="18"/>
    </w:rPr>
  </w:style>
  <w:style w:type="character" w:customStyle="1" w:styleId="1Char0">
    <w:name w:val="样式1 Char"/>
    <w:link w:val="1f2"/>
    <w:semiHidden/>
    <w:qFormat/>
    <w:locked/>
    <w:rPr>
      <w:rFonts w:ascii="仿宋_GB2312" w:eastAsia="仿宋_GB2312"/>
      <w:kern w:val="2"/>
      <w:sz w:val="30"/>
      <w:szCs w:val="30"/>
    </w:rPr>
  </w:style>
  <w:style w:type="paragraph" w:customStyle="1" w:styleId="1f2">
    <w:name w:val="样式1"/>
    <w:basedOn w:val="a"/>
    <w:link w:val="1Char0"/>
    <w:semiHidden/>
    <w:qFormat/>
    <w:pPr>
      <w:tabs>
        <w:tab w:val="left" w:pos="2127"/>
      </w:tabs>
      <w:adjustRightInd w:val="0"/>
      <w:snapToGrid w:val="0"/>
      <w:spacing w:beforeLines="50" w:before="50" w:afterLines="50" w:after="50" w:line="540" w:lineRule="exact"/>
      <w:ind w:left="846" w:firstLineChars="200" w:hanging="420"/>
      <w:jc w:val="both"/>
    </w:pPr>
    <w:rPr>
      <w:rFonts w:ascii="仿宋_GB2312" w:eastAsia="仿宋_GB2312"/>
      <w:sz w:val="30"/>
      <w:szCs w:val="30"/>
    </w:rPr>
  </w:style>
  <w:style w:type="character" w:customStyle="1" w:styleId="110">
    <w:name w:val="网格表 1 浅色1"/>
    <w:uiPriority w:val="33"/>
    <w:semiHidden/>
    <w:qFormat/>
    <w:rPr>
      <w:i/>
      <w:iCs/>
      <w:smallCaps/>
      <w:spacing w:val="5"/>
    </w:rPr>
  </w:style>
  <w:style w:type="character" w:customStyle="1" w:styleId="normal1">
    <w:name w:val="normal1"/>
    <w:semiHidden/>
    <w:qFormat/>
    <w:rPr>
      <w:rFonts w:ascii="宋体" w:eastAsia="宋体" w:hAnsi="宋体"/>
      <w:sz w:val="18"/>
      <w:u w:val="none"/>
    </w:rPr>
  </w:style>
  <w:style w:type="character" w:customStyle="1" w:styleId="AA11">
    <w:name w:val="AA （1） 字符"/>
    <w:link w:val="AA12"/>
    <w:semiHidden/>
    <w:qFormat/>
    <w:rPr>
      <w:b/>
      <w:bCs/>
      <w:kern w:val="28"/>
      <w:sz w:val="21"/>
      <w:szCs w:val="21"/>
    </w:rPr>
  </w:style>
  <w:style w:type="paragraph" w:customStyle="1" w:styleId="AA12">
    <w:name w:val="AA （1）"/>
    <w:basedOn w:val="a"/>
    <w:link w:val="AA11"/>
    <w:semiHidden/>
    <w:qFormat/>
    <w:pPr>
      <w:keepNext/>
      <w:keepLines/>
      <w:widowControl w:val="0"/>
      <w:tabs>
        <w:tab w:val="left" w:pos="900"/>
      </w:tabs>
      <w:spacing w:beforeLines="50" w:afterLines="50" w:line="360" w:lineRule="auto"/>
      <w:ind w:firstLineChars="200" w:firstLine="482"/>
      <w:jc w:val="both"/>
      <w:outlineLvl w:val="3"/>
    </w:pPr>
    <w:rPr>
      <w:b/>
      <w:bCs/>
      <w:kern w:val="28"/>
    </w:rPr>
  </w:style>
  <w:style w:type="character" w:customStyle="1" w:styleId="Char7">
    <w:name w:val="表格下方注释 Char"/>
    <w:link w:val="affff5"/>
    <w:semiHidden/>
    <w:rPr>
      <w:kern w:val="2"/>
      <w:sz w:val="21"/>
      <w:szCs w:val="21"/>
    </w:rPr>
  </w:style>
  <w:style w:type="paragraph" w:customStyle="1" w:styleId="affff5">
    <w:name w:val="表格下方注释"/>
    <w:basedOn w:val="a"/>
    <w:link w:val="Char7"/>
    <w:semiHidden/>
    <w:qFormat/>
    <w:pPr>
      <w:widowControl w:val="0"/>
      <w:spacing w:afterLines="50"/>
      <w:ind w:firstLineChars="200" w:firstLine="420"/>
      <w:jc w:val="both"/>
    </w:pPr>
  </w:style>
  <w:style w:type="character" w:customStyle="1" w:styleId="1f3">
    <w:name w:val="文档结构图 字符1"/>
    <w:uiPriority w:val="99"/>
    <w:semiHidden/>
    <w:qFormat/>
    <w:rPr>
      <w:rFonts w:ascii="Microsoft YaHei UI" w:eastAsia="Microsoft YaHei UI"/>
      <w:kern w:val="2"/>
      <w:sz w:val="18"/>
      <w:szCs w:val="18"/>
    </w:rPr>
  </w:style>
  <w:style w:type="character" w:customStyle="1" w:styleId="18Char">
    <w:name w:val="样式 小四 行距: 固定值 18 磅 Char"/>
    <w:link w:val="180"/>
    <w:semiHidden/>
    <w:rPr>
      <w:rFonts w:ascii="Arial" w:hAnsi="Arial"/>
      <w:w w:val="103"/>
      <w:kern w:val="2"/>
      <w:sz w:val="21"/>
      <w:szCs w:val="21"/>
    </w:rPr>
  </w:style>
  <w:style w:type="paragraph" w:customStyle="1" w:styleId="180">
    <w:name w:val="样式 小四 行距: 固定值 18 磅"/>
    <w:basedOn w:val="a"/>
    <w:link w:val="18Char"/>
    <w:semiHidden/>
    <w:qFormat/>
    <w:pPr>
      <w:adjustRightInd w:val="0"/>
      <w:snapToGrid w:val="0"/>
    </w:pPr>
    <w:rPr>
      <w:rFonts w:ascii="Arial" w:hAnsi="Arial"/>
      <w:w w:val="103"/>
    </w:rPr>
  </w:style>
  <w:style w:type="character" w:customStyle="1" w:styleId="CharChar242">
    <w:name w:val="Char Char242"/>
    <w:semiHidden/>
    <w:rPr>
      <w:rFonts w:ascii="Times New Roman" w:eastAsia="宋体" w:hAnsi="Times New Roman" w:cs="Times New Roman"/>
      <w:kern w:val="0"/>
      <w:sz w:val="18"/>
      <w:szCs w:val="18"/>
    </w:rPr>
  </w:style>
  <w:style w:type="character" w:customStyle="1" w:styleId="CharChar20">
    <w:name w:val="Char Char20"/>
    <w:semiHidden/>
    <w:qFormat/>
    <w:rPr>
      <w:rFonts w:eastAsia="宋体"/>
      <w:snapToGrid w:val="0"/>
      <w:sz w:val="24"/>
      <w:szCs w:val="24"/>
      <w:lang w:val="en-US" w:eastAsia="zh-CN" w:bidi="ar-SA"/>
    </w:rPr>
  </w:style>
  <w:style w:type="character" w:customStyle="1" w:styleId="2Char0">
    <w:name w:val="标题 2 Char"/>
    <w:aliases w:val="Reset numbering鞍钢 Char,Reset numbering Char,Heading 2 Char Char,Heading 2 Char1 Char Char,Heading 2 Char Char Char Char,Heading 2 Char1 Char Char Char Char,Heading 2 Char Char Char Char Char Char,Heading 2 Char1 Char Char Char Char Char Char"/>
    <w:semiHidden/>
    <w:qFormat/>
    <w:rPr>
      <w:rFonts w:ascii="Times New Roman" w:eastAsia="宋体" w:hAnsi="Times New Roman" w:cs="Times New Roman"/>
      <w:b/>
      <w:bCs/>
      <w:sz w:val="28"/>
      <w:szCs w:val="32"/>
    </w:rPr>
  </w:style>
  <w:style w:type="character" w:customStyle="1" w:styleId="CharChar44">
    <w:name w:val="Char Char44"/>
    <w:semiHidden/>
    <w:rPr>
      <w:rFonts w:ascii="黑体" w:eastAsia="黑体" w:hAnsi="Courier New"/>
      <w:color w:val="000000"/>
      <w:lang w:bidi="ar-SA"/>
    </w:rPr>
  </w:style>
  <w:style w:type="character" w:customStyle="1" w:styleId="11pt1">
    <w:name w:val="11pt1"/>
    <w:semiHidden/>
    <w:qFormat/>
    <w:rPr>
      <w:rFonts w:ascii="Arial" w:hAnsi="Arial" w:cs="Arial" w:hint="default"/>
      <w:color w:val="000000"/>
      <w:spacing w:val="240"/>
      <w:sz w:val="21"/>
      <w:szCs w:val="21"/>
    </w:rPr>
  </w:style>
  <w:style w:type="character" w:customStyle="1" w:styleId="CharCharCharCharCharCharCharCharCharCharChar">
    <w:name w:val="普通文字 Char Char Char Char Char Char Char Char Char Char Char"/>
    <w:aliases w:val="普通文字 Char Char Char Char Char Char Char Char Char Char1,普通文字 Char Char Char Char Char Char Char Char Char Char  Char"/>
    <w:uiPriority w:val="99"/>
    <w:semiHidden/>
    <w:rPr>
      <w:rFonts w:ascii="宋体" w:hAnsi="Courier New"/>
      <w:kern w:val="2"/>
      <w:sz w:val="21"/>
    </w:rPr>
  </w:style>
  <w:style w:type="character" w:customStyle="1" w:styleId="CharChar121">
    <w:name w:val="Char Char121"/>
    <w:semiHidden/>
    <w:qFormat/>
    <w:rPr>
      <w:rFonts w:eastAsia="宋体"/>
      <w:b/>
      <w:bCs/>
      <w:kern w:val="2"/>
      <w:sz w:val="21"/>
      <w:szCs w:val="24"/>
      <w:lang w:val="en-US" w:eastAsia="zh-CN" w:bidi="ar-SA"/>
    </w:rPr>
  </w:style>
  <w:style w:type="character" w:customStyle="1" w:styleId="CharChar1815">
    <w:name w:val="Char Char1815"/>
    <w:semiHidden/>
    <w:rPr>
      <w:rFonts w:ascii="Arial" w:eastAsia="黑体" w:hAnsi="Arial"/>
      <w:b/>
      <w:color w:val="000000"/>
      <w:sz w:val="24"/>
      <w:lang w:val="en-US" w:eastAsia="zh-CN" w:bidi="ar-SA"/>
    </w:rPr>
  </w:style>
  <w:style w:type="character" w:customStyle="1" w:styleId="Char15">
    <w:name w:val="正文文本缩进 Char1"/>
    <w:aliases w:val="特点标题 Char2,正文文字缩进 Char2,北山简报正文 Char2,正文文字首行缩进 Char1,正文文字 21 Char1,bi Char,三级正文 Char1,正文（首行缩进两字） Char Char Char Char Char Char Char Char1,正文文字( 首段缩进两字） Char1,HD正文1 Char1"/>
    <w:uiPriority w:val="99"/>
    <w:semiHidden/>
    <w:qFormat/>
    <w:rPr>
      <w:kern w:val="2"/>
      <w:sz w:val="21"/>
      <w:szCs w:val="24"/>
    </w:rPr>
  </w:style>
  <w:style w:type="character" w:customStyle="1" w:styleId="Char16">
    <w:name w:val="副标题 Char1"/>
    <w:semiHidden/>
    <w:qFormat/>
    <w:rPr>
      <w:rFonts w:ascii="Cambria" w:hAnsi="Cambria" w:cs="Times New Roman"/>
      <w:b/>
      <w:bCs/>
      <w:kern w:val="28"/>
      <w:sz w:val="32"/>
      <w:szCs w:val="32"/>
    </w:rPr>
  </w:style>
  <w:style w:type="character" w:customStyle="1" w:styleId="EmailStyle508">
    <w:name w:val="EmailStyle508"/>
    <w:semiHidden/>
    <w:rPr>
      <w:rFonts w:ascii="楷体_GB2312" w:eastAsia="楷体_GB2312"/>
      <w:b w:val="0"/>
      <w:bCs w:val="0"/>
      <w:i w:val="0"/>
      <w:iCs w:val="0"/>
      <w:strike w:val="0"/>
      <w:color w:val="auto"/>
      <w:sz w:val="21"/>
      <w:szCs w:val="21"/>
      <w:u w:val="none"/>
    </w:rPr>
  </w:style>
  <w:style w:type="character" w:customStyle="1" w:styleId="CharChar232">
    <w:name w:val="Char Char232"/>
    <w:semiHidden/>
    <w:rPr>
      <w:sz w:val="18"/>
      <w:szCs w:val="18"/>
    </w:rPr>
  </w:style>
  <w:style w:type="character" w:customStyle="1" w:styleId="CharChar182">
    <w:name w:val="Char Char182"/>
    <w:semiHidden/>
    <w:rPr>
      <w:rFonts w:ascii="Times New Roman" w:eastAsia="宋体" w:hAnsi="Times New Roman" w:cs="Times New Roman"/>
      <w:kern w:val="0"/>
      <w:sz w:val="18"/>
      <w:szCs w:val="18"/>
    </w:rPr>
  </w:style>
  <w:style w:type="character" w:customStyle="1" w:styleId="EmailStyle624">
    <w:name w:val="EmailStyle624"/>
    <w:semiHidden/>
    <w:rPr>
      <w:rFonts w:ascii="楷体_GB2312" w:eastAsia="楷体_GB2312"/>
      <w:b w:val="0"/>
      <w:bCs w:val="0"/>
      <w:i w:val="0"/>
      <w:iCs w:val="0"/>
      <w:strike w:val="0"/>
      <w:color w:val="auto"/>
      <w:sz w:val="21"/>
      <w:szCs w:val="21"/>
      <w:u w:val="none"/>
    </w:rPr>
  </w:style>
  <w:style w:type="character" w:customStyle="1" w:styleId="GB23121">
    <w:name w:val="样式 (中文) 仿宋_GB2312 四号1"/>
    <w:semiHidden/>
    <w:rPr>
      <w:rFonts w:eastAsia="仿宋_GB2312"/>
      <w:kern w:val="0"/>
      <w:sz w:val="24"/>
    </w:rPr>
  </w:style>
  <w:style w:type="character" w:customStyle="1" w:styleId="contentsize">
    <w:name w:val="contentsize"/>
    <w:semiHidden/>
  </w:style>
  <w:style w:type="character" w:customStyle="1" w:styleId="EmailStyle612">
    <w:name w:val="EmailStyle612"/>
    <w:semiHidden/>
    <w:rPr>
      <w:rFonts w:ascii="楷体_GB2312" w:eastAsia="楷体_GB2312"/>
      <w:b w:val="0"/>
      <w:bCs w:val="0"/>
      <w:i w:val="0"/>
      <w:iCs w:val="0"/>
      <w:strike w:val="0"/>
      <w:color w:val="auto"/>
      <w:sz w:val="21"/>
      <w:szCs w:val="21"/>
      <w:u w:val="none"/>
    </w:rPr>
  </w:style>
  <w:style w:type="character" w:customStyle="1" w:styleId="style11">
    <w:name w:val="style11"/>
    <w:semiHidden/>
    <w:rPr>
      <w:rFonts w:ascii="Arial" w:hAnsi="Arial" w:cs="Arial" w:hint="default"/>
      <w:sz w:val="18"/>
      <w:szCs w:val="18"/>
    </w:rPr>
  </w:style>
  <w:style w:type="character" w:customStyle="1" w:styleId="CharChar231">
    <w:name w:val="Char Char231"/>
    <w:semiHidden/>
    <w:rPr>
      <w:sz w:val="18"/>
      <w:szCs w:val="18"/>
    </w:rPr>
  </w:style>
  <w:style w:type="character" w:customStyle="1" w:styleId="1CharChar">
    <w:name w:val="正文1 Char Char"/>
    <w:semiHidden/>
    <w:qFormat/>
    <w:rPr>
      <w:rFonts w:eastAsia="宋体"/>
      <w:kern w:val="2"/>
      <w:sz w:val="24"/>
      <w:szCs w:val="24"/>
      <w:lang w:val="en-US" w:eastAsia="zh-CN" w:bidi="ar-SA"/>
    </w:rPr>
  </w:style>
  <w:style w:type="character" w:customStyle="1" w:styleId="CharCharChar1">
    <w:name w:val="Char Char Char1"/>
    <w:semiHidden/>
    <w:qFormat/>
    <w:rPr>
      <w:rFonts w:ascii="Tahoma" w:eastAsia="宋体" w:hAnsi="Tahoma" w:cs="Arial Unicode MS"/>
      <w:b/>
      <w:kern w:val="2"/>
      <w:sz w:val="18"/>
      <w:szCs w:val="18"/>
      <w:lang w:val="en-US" w:eastAsia="zh-CN" w:bidi="ar-SA"/>
    </w:rPr>
  </w:style>
  <w:style w:type="character" w:customStyle="1" w:styleId="CharChar134">
    <w:name w:val="Char Char134"/>
    <w:semiHidden/>
    <w:rPr>
      <w:rFonts w:eastAsia="宋体"/>
      <w:kern w:val="2"/>
      <w:sz w:val="21"/>
      <w:szCs w:val="24"/>
      <w:lang w:val="en-US" w:eastAsia="zh-CN" w:bidi="ar-SA"/>
    </w:rPr>
  </w:style>
  <w:style w:type="character" w:customStyle="1" w:styleId="CharChar112">
    <w:name w:val="Char Char112"/>
    <w:semiHidden/>
    <w:rPr>
      <w:rFonts w:ascii="Calibri" w:eastAsia="宋体" w:hAnsi="Calibri"/>
      <w:kern w:val="2"/>
      <w:sz w:val="18"/>
      <w:szCs w:val="18"/>
      <w:lang w:val="en-US" w:eastAsia="zh-CN" w:bidi="ar-SA"/>
    </w:rPr>
  </w:style>
  <w:style w:type="character" w:customStyle="1" w:styleId="content">
    <w:name w:val="content"/>
    <w:semiHidden/>
    <w:qFormat/>
  </w:style>
  <w:style w:type="character" w:customStyle="1" w:styleId="2Char2">
    <w:name w:val="正文文本缩进 2 Char"/>
    <w:aliases w:val="正文文字缩进 2 Char"/>
    <w:semiHidden/>
    <w:qFormat/>
    <w:rPr>
      <w:kern w:val="2"/>
      <w:sz w:val="24"/>
      <w:szCs w:val="24"/>
    </w:rPr>
  </w:style>
  <w:style w:type="character" w:customStyle="1" w:styleId="CharChar176">
    <w:name w:val="Char Char176"/>
    <w:semiHidden/>
    <w:rPr>
      <w:rFonts w:eastAsia="宋体"/>
      <w:sz w:val="18"/>
      <w:szCs w:val="18"/>
      <w:lang w:val="en-US" w:eastAsia="zh-CN" w:bidi="ar-SA"/>
    </w:rPr>
  </w:style>
  <w:style w:type="character" w:customStyle="1" w:styleId="3Char3">
    <w:name w:val="标题3 Char"/>
    <w:semiHidden/>
    <w:qFormat/>
    <w:rPr>
      <w:rFonts w:eastAsia="宋体"/>
      <w:b/>
      <w:kern w:val="2"/>
      <w:sz w:val="24"/>
      <w:lang w:val="en-US" w:eastAsia="zh-CN" w:bidi="ar-SA"/>
    </w:rPr>
  </w:style>
  <w:style w:type="character" w:customStyle="1" w:styleId="Char20">
    <w:name w:val="三级标题 Char2"/>
    <w:aliases w:val="条标题1.1.1 Char Char2,1.1.1 Char2,条 Char2,标题 3 Char Char Char2,标题 3 Char Char3,三级标题，黑粗，四号，序号 Char2,Heading 3 - old Char2,H3 Char2,h3 sub heading Char Char2,h3 Char2,3rd level Char2,第二层条 Char2,Paragraph Char2,头 Char2,小节标题 Char2,level_3 Char2"/>
    <w:semiHidden/>
    <w:qFormat/>
    <w:rPr>
      <w:rFonts w:eastAsia="宋体"/>
      <w:b/>
      <w:kern w:val="2"/>
      <w:sz w:val="32"/>
      <w:lang w:val="en-US" w:eastAsia="zh-CN"/>
    </w:rPr>
  </w:style>
  <w:style w:type="character" w:customStyle="1" w:styleId="HTMLa">
    <w:name w:val="HTML 预设格式 字符"/>
    <w:aliases w:val="HTML 预先格式化 字符1"/>
    <w:semiHidden/>
    <w:qFormat/>
    <w:rPr>
      <w:rFonts w:ascii="宋体" w:eastAsia="宋体" w:hAnsi="宋体" w:cs="Times New Roman"/>
      <w:kern w:val="0"/>
      <w:sz w:val="24"/>
      <w:szCs w:val="24"/>
    </w:rPr>
  </w:style>
  <w:style w:type="character" w:customStyle="1" w:styleId="affff6">
    <w:name w:val="信息标题 字符"/>
    <w:semiHidden/>
    <w:rPr>
      <w:rFonts w:ascii="Times New Roman" w:eastAsia="宋体" w:hAnsi="Times New Roman" w:cs="Times New Roman"/>
      <w:szCs w:val="24"/>
      <w:shd w:val="pct20" w:color="auto" w:fill="auto"/>
    </w:rPr>
  </w:style>
  <w:style w:type="character" w:customStyle="1" w:styleId="EmailStyle657">
    <w:name w:val="EmailStyle657"/>
    <w:semiHidden/>
    <w:rPr>
      <w:rFonts w:ascii="楷体_GB2312" w:eastAsia="楷体_GB2312"/>
      <w:b w:val="0"/>
      <w:bCs w:val="0"/>
      <w:i w:val="0"/>
      <w:iCs w:val="0"/>
      <w:strike w:val="0"/>
      <w:color w:val="auto"/>
      <w:sz w:val="21"/>
      <w:szCs w:val="21"/>
      <w:u w:val="none"/>
    </w:rPr>
  </w:style>
  <w:style w:type="character" w:customStyle="1" w:styleId="affff7">
    <w:name w:val="题注 字符"/>
    <w:aliases w:val="题注 Char 字符,题注 Char Char Char Char Char Char 字符,题注 Char Char Char Char Char Char Char 字符,题注 Char Char Char Char Char Char1 Char 字符,题注1 Char Char 字符,题注 Char Char Char Char Char Char Char Char Char Char 字符,图表注 字符,题注 Char Char Char 字符,题注 Char11 字符"/>
    <w:semiHidden/>
    <w:qFormat/>
    <w:rPr>
      <w:rFonts w:ascii="Times New Roman" w:eastAsia="宋体" w:hAnsi="Times New Roman" w:cs="Times New Roman"/>
      <w:b/>
      <w:bCs/>
      <w:szCs w:val="24"/>
    </w:rPr>
  </w:style>
  <w:style w:type="character" w:customStyle="1" w:styleId="scc">
    <w:name w:val="s c c"/>
    <w:semiHidden/>
  </w:style>
  <w:style w:type="character" w:customStyle="1" w:styleId="Char8">
    <w:name w:val="一目录 Char"/>
    <w:link w:val="affff8"/>
    <w:semiHidden/>
    <w:rPr>
      <w:rFonts w:ascii="Calibri" w:eastAsia="黑体" w:hAnsi="Calibri"/>
      <w:b/>
      <w:bCs/>
      <w:kern w:val="2"/>
      <w:sz w:val="28"/>
      <w:szCs w:val="21"/>
    </w:rPr>
  </w:style>
  <w:style w:type="paragraph" w:customStyle="1" w:styleId="affff8">
    <w:name w:val="一目录"/>
    <w:basedOn w:val="2--"/>
    <w:link w:val="Char8"/>
    <w:semiHidden/>
    <w:qFormat/>
    <w:pPr>
      <w:spacing w:before="156" w:after="156"/>
    </w:pPr>
  </w:style>
  <w:style w:type="paragraph" w:customStyle="1" w:styleId="2--">
    <w:name w:val="2-一、-徐工"/>
    <w:basedOn w:val="a"/>
    <w:link w:val="2--Char"/>
    <w:semiHidden/>
    <w:qFormat/>
    <w:pPr>
      <w:keepNext/>
      <w:keepLines/>
      <w:autoSpaceDE w:val="0"/>
      <w:autoSpaceDN w:val="0"/>
      <w:spacing w:beforeLines="50" w:afterLines="50" w:line="360" w:lineRule="auto"/>
      <w:ind w:leftChars="200" w:left="420"/>
      <w:textAlignment w:val="baseline"/>
      <w:outlineLvl w:val="1"/>
    </w:pPr>
    <w:rPr>
      <w:rFonts w:ascii="Calibri" w:eastAsia="黑体" w:hAnsi="Calibri"/>
      <w:b/>
      <w:bCs/>
      <w:sz w:val="28"/>
    </w:rPr>
  </w:style>
  <w:style w:type="character" w:customStyle="1" w:styleId="2--Char">
    <w:name w:val="2-一、-徐工 Char"/>
    <w:link w:val="2--"/>
    <w:semiHidden/>
    <w:rPr>
      <w:rFonts w:ascii="Calibri" w:eastAsia="黑体" w:hAnsi="Calibri"/>
      <w:b/>
      <w:bCs/>
      <w:kern w:val="2"/>
      <w:sz w:val="28"/>
      <w:szCs w:val="21"/>
    </w:rPr>
  </w:style>
  <w:style w:type="character" w:customStyle="1" w:styleId="CharChar43">
    <w:name w:val="Char Char43"/>
    <w:semiHidden/>
    <w:rPr>
      <w:rFonts w:ascii="黑体" w:eastAsia="黑体" w:hAnsi="Courier New"/>
      <w:color w:val="000000"/>
      <w:lang w:bidi="ar-SA"/>
    </w:rPr>
  </w:style>
  <w:style w:type="character" w:customStyle="1" w:styleId="Char9">
    <w:name w:val="我 Char"/>
    <w:link w:val="affff9"/>
    <w:semiHidden/>
    <w:rPr>
      <w:rFonts w:ascii="Calibri" w:eastAsia="楷体_GB2312" w:hAnsi="Calibri"/>
      <w:b/>
      <w:kern w:val="2"/>
      <w:sz w:val="21"/>
      <w:szCs w:val="21"/>
      <w:lang w:bidi="ne-IN"/>
    </w:rPr>
  </w:style>
  <w:style w:type="paragraph" w:customStyle="1" w:styleId="affff9">
    <w:name w:val="我"/>
    <w:basedOn w:val="a"/>
    <w:link w:val="Char9"/>
    <w:semiHidden/>
    <w:qFormat/>
    <w:pPr>
      <w:snapToGrid w:val="0"/>
      <w:spacing w:beforeLines="50" w:line="360" w:lineRule="auto"/>
      <w:ind w:firstLineChars="200" w:firstLine="480"/>
    </w:pPr>
    <w:rPr>
      <w:rFonts w:ascii="Calibri" w:eastAsia="楷体_GB2312" w:hAnsi="Calibri"/>
      <w:b/>
      <w:lang w:bidi="ne-IN"/>
    </w:rPr>
  </w:style>
  <w:style w:type="character" w:customStyle="1" w:styleId="Char17">
    <w:name w:val="电子邮件签名 Char1"/>
    <w:uiPriority w:val="99"/>
    <w:semiHidden/>
    <w:rPr>
      <w:kern w:val="2"/>
      <w:sz w:val="21"/>
      <w:szCs w:val="24"/>
    </w:rPr>
  </w:style>
  <w:style w:type="character" w:customStyle="1" w:styleId="zhutimu1">
    <w:name w:val="zhutimu1"/>
    <w:semiHidden/>
    <w:rPr>
      <w:rFonts w:ascii="黑体" w:eastAsia="黑体" w:hint="eastAsia"/>
      <w:b/>
      <w:bCs/>
      <w:color w:val="20570F"/>
      <w:sz w:val="24"/>
      <w:szCs w:val="24"/>
    </w:rPr>
  </w:style>
  <w:style w:type="character" w:customStyle="1" w:styleId="CharChar54">
    <w:name w:val="Char Char54"/>
    <w:semiHidden/>
    <w:rPr>
      <w:rFonts w:eastAsia="宋体"/>
      <w:sz w:val="24"/>
      <w:szCs w:val="24"/>
      <w:lang w:val="en-US" w:eastAsia="zh-CN" w:bidi="ar-SA"/>
    </w:rPr>
  </w:style>
  <w:style w:type="character" w:customStyle="1" w:styleId="px14">
    <w:name w:val="px14"/>
    <w:semiHidden/>
    <w:qFormat/>
  </w:style>
  <w:style w:type="character" w:customStyle="1" w:styleId="CharChar101">
    <w:name w:val="Char Char101"/>
    <w:semiHidden/>
    <w:qFormat/>
    <w:rPr>
      <w:rFonts w:ascii="宋体" w:eastAsia="宋体" w:hAnsi="宋体"/>
      <w:b/>
      <w:kern w:val="2"/>
      <w:sz w:val="32"/>
      <w:lang w:val="en-US" w:eastAsia="zh-CN"/>
    </w:rPr>
  </w:style>
  <w:style w:type="character" w:customStyle="1" w:styleId="tcnt">
    <w:name w:val="tcnt"/>
    <w:semiHidden/>
  </w:style>
  <w:style w:type="character" w:customStyle="1" w:styleId="Chara">
    <w:name w:val="章节一级 Char"/>
    <w:link w:val="affffa"/>
    <w:semiHidden/>
    <w:rPr>
      <w:rFonts w:ascii="Arial" w:eastAsia="黑体" w:hAnsi="Arial"/>
      <w:b/>
      <w:bCs/>
      <w:kern w:val="44"/>
      <w:sz w:val="36"/>
      <w:szCs w:val="44"/>
    </w:rPr>
  </w:style>
  <w:style w:type="paragraph" w:customStyle="1" w:styleId="affffa">
    <w:name w:val="章节一级"/>
    <w:basedOn w:val="1"/>
    <w:link w:val="Chara"/>
    <w:semiHidden/>
    <w:qFormat/>
    <w:pPr>
      <w:tabs>
        <w:tab w:val="clear" w:pos="1134"/>
        <w:tab w:val="left" w:pos="567"/>
      </w:tabs>
      <w:spacing w:afterLines="0" w:after="0" w:line="360" w:lineRule="auto"/>
      <w:ind w:left="567" w:firstLineChars="0" w:hanging="567"/>
      <w:jc w:val="center"/>
    </w:pPr>
    <w:rPr>
      <w:rFonts w:ascii="Arial" w:eastAsia="黑体" w:hAnsi="Arial"/>
      <w:sz w:val="36"/>
    </w:rPr>
  </w:style>
  <w:style w:type="character" w:customStyle="1" w:styleId="CharChar10">
    <w:name w:val="Char Char10"/>
    <w:semiHidden/>
    <w:qFormat/>
    <w:rPr>
      <w:rFonts w:ascii="Arial" w:eastAsia="黑体" w:hAnsi="Arial"/>
      <w:b/>
      <w:bCs/>
      <w:kern w:val="2"/>
      <w:sz w:val="32"/>
      <w:szCs w:val="32"/>
    </w:rPr>
  </w:style>
  <w:style w:type="character" w:customStyle="1" w:styleId="CharChar195">
    <w:name w:val="Char Char195"/>
    <w:semiHidden/>
    <w:rPr>
      <w:rFonts w:ascii="Times New Roman" w:eastAsia="宋体" w:hAnsi="Times New Roman" w:cs="Times New Roman"/>
      <w:szCs w:val="24"/>
    </w:rPr>
  </w:style>
  <w:style w:type="character" w:customStyle="1" w:styleId="Charb">
    <w:name w:val="数据来源 Char"/>
    <w:link w:val="affffb"/>
    <w:semiHidden/>
    <w:qFormat/>
    <w:locked/>
    <w:rPr>
      <w:rFonts w:eastAsia="楷体_GB2312"/>
      <w:kern w:val="2"/>
      <w:sz w:val="18"/>
      <w:szCs w:val="21"/>
    </w:rPr>
  </w:style>
  <w:style w:type="paragraph" w:customStyle="1" w:styleId="affffb">
    <w:name w:val="数据来源"/>
    <w:basedOn w:val="a"/>
    <w:next w:val="a"/>
    <w:link w:val="Charb"/>
    <w:semiHidden/>
    <w:qFormat/>
    <w:pPr>
      <w:tabs>
        <w:tab w:val="left" w:pos="1440"/>
      </w:tabs>
      <w:ind w:leftChars="400" w:left="960"/>
    </w:pPr>
    <w:rPr>
      <w:rFonts w:eastAsia="楷体_GB2312"/>
      <w:sz w:val="18"/>
    </w:rPr>
  </w:style>
  <w:style w:type="character" w:customStyle="1" w:styleId="EmailStyle579">
    <w:name w:val="EmailStyle579"/>
    <w:semiHidden/>
    <w:rPr>
      <w:rFonts w:ascii="楷体_GB2312" w:eastAsia="楷体_GB2312"/>
      <w:b w:val="0"/>
      <w:bCs w:val="0"/>
      <w:i w:val="0"/>
      <w:iCs w:val="0"/>
      <w:strike w:val="0"/>
      <w:color w:val="auto"/>
      <w:sz w:val="21"/>
      <w:szCs w:val="21"/>
      <w:u w:val="none"/>
    </w:rPr>
  </w:style>
  <w:style w:type="character" w:customStyle="1" w:styleId="CharChar230">
    <w:name w:val="Char Char230"/>
    <w:semiHidden/>
    <w:rPr>
      <w:rFonts w:ascii="宋体"/>
      <w:sz w:val="24"/>
      <w:szCs w:val="24"/>
    </w:rPr>
  </w:style>
  <w:style w:type="character" w:customStyle="1" w:styleId="CharChar26">
    <w:name w:val="Char Char26"/>
    <w:semiHidden/>
    <w:rPr>
      <w:rFonts w:ascii="宋体"/>
      <w:sz w:val="24"/>
      <w:szCs w:val="24"/>
    </w:rPr>
  </w:style>
  <w:style w:type="character" w:customStyle="1" w:styleId="content11">
    <w:name w:val="content11"/>
    <w:semiHidden/>
    <w:rPr>
      <w:rFonts w:cs="Times New Roman"/>
    </w:rPr>
  </w:style>
  <w:style w:type="character" w:customStyle="1" w:styleId="ht">
    <w:name w:val="ht"/>
    <w:semiHidden/>
  </w:style>
  <w:style w:type="character" w:customStyle="1" w:styleId="2Char3">
    <w:name w:val="正文文本缩进 2 Char3"/>
    <w:uiPriority w:val="99"/>
    <w:semiHidden/>
    <w:rPr>
      <w:rFonts w:eastAsia="宋体"/>
      <w:sz w:val="24"/>
      <w:szCs w:val="24"/>
      <w:lang w:val="en-US" w:eastAsia="zh-CN" w:bidi="ar-SA"/>
    </w:rPr>
  </w:style>
  <w:style w:type="character" w:customStyle="1" w:styleId="tblwhite">
    <w:name w:val="!tbl white"/>
    <w:semiHidden/>
    <w:rPr>
      <w:rFonts w:eastAsia="华文楷体"/>
      <w:b/>
      <w:color w:val="FFFFFF"/>
    </w:rPr>
  </w:style>
  <w:style w:type="character" w:customStyle="1" w:styleId="affffc">
    <w:name w:val="样式 (西文) 黑体 (中文) 黑体 小三 加粗"/>
    <w:semiHidden/>
    <w:rPr>
      <w:rFonts w:ascii="黑体" w:eastAsia="黑体"/>
      <w:bCs/>
      <w:kern w:val="2"/>
      <w:sz w:val="28"/>
    </w:rPr>
  </w:style>
  <w:style w:type="character" w:customStyle="1" w:styleId="3--Char">
    <w:name w:val="3-（一）-徐工 Char"/>
    <w:link w:val="3--"/>
    <w:semiHidden/>
    <w:rPr>
      <w:rFonts w:ascii="黑体" w:eastAsia="黑体" w:hAnsi="黑体"/>
      <w:b/>
      <w:kern w:val="2"/>
      <w:sz w:val="21"/>
      <w:szCs w:val="21"/>
    </w:rPr>
  </w:style>
  <w:style w:type="paragraph" w:customStyle="1" w:styleId="3--">
    <w:name w:val="3-（一）-徐工"/>
    <w:basedOn w:val="a"/>
    <w:link w:val="3--Char"/>
    <w:semiHidden/>
    <w:qFormat/>
    <w:pPr>
      <w:adjustRightInd w:val="0"/>
      <w:snapToGrid w:val="0"/>
      <w:spacing w:beforeLines="50" w:afterLines="50" w:line="360" w:lineRule="auto"/>
      <w:ind w:firstLineChars="200" w:firstLine="200"/>
      <w:outlineLvl w:val="2"/>
    </w:pPr>
    <w:rPr>
      <w:rFonts w:ascii="黑体" w:eastAsia="黑体" w:hAnsi="黑体"/>
      <w:b/>
    </w:rPr>
  </w:style>
  <w:style w:type="character" w:customStyle="1" w:styleId="redbig1">
    <w:name w:val="redbig1"/>
    <w:semiHidden/>
    <w:rPr>
      <w:b/>
      <w:bCs/>
      <w:color w:val="D00018"/>
      <w:sz w:val="27"/>
      <w:szCs w:val="27"/>
    </w:rPr>
  </w:style>
  <w:style w:type="character" w:customStyle="1" w:styleId="CharChar228">
    <w:name w:val="Char Char228"/>
    <w:semiHidden/>
    <w:rPr>
      <w:rFonts w:ascii="Times New Roman" w:eastAsia="宋体" w:hAnsi="Times New Roman" w:cs="Times New Roman"/>
      <w:snapToGrid w:val="0"/>
      <w:kern w:val="0"/>
      <w:sz w:val="24"/>
      <w:szCs w:val="24"/>
    </w:rPr>
  </w:style>
  <w:style w:type="character" w:customStyle="1" w:styleId="CharChar77">
    <w:name w:val="Char Char77"/>
    <w:semiHidden/>
    <w:rPr>
      <w:kern w:val="2"/>
      <w:sz w:val="18"/>
      <w:szCs w:val="18"/>
    </w:rPr>
  </w:style>
  <w:style w:type="character" w:customStyle="1" w:styleId="Level3-iCharChar1">
    <w:name w:val="Level 3 - i Char Char1"/>
    <w:semiHidden/>
    <w:rPr>
      <w:rFonts w:eastAsia="宋体"/>
      <w:kern w:val="2"/>
      <w:sz w:val="24"/>
      <w:szCs w:val="24"/>
      <w:lang w:val="en-US" w:eastAsia="zh-CN" w:bidi="ar-SA"/>
    </w:rPr>
  </w:style>
  <w:style w:type="character" w:customStyle="1" w:styleId="tblue01">
    <w:name w:val="t_blue_01"/>
    <w:semiHidden/>
  </w:style>
  <w:style w:type="character" w:customStyle="1" w:styleId="CharChar9">
    <w:name w:val="Char Char9"/>
    <w:semiHidden/>
    <w:qFormat/>
    <w:rPr>
      <w:rFonts w:ascii="仿宋_GB2312" w:eastAsia="宋体" w:hAnsi="Times New Roman" w:cs="Times New Roman"/>
      <w:b w:val="0"/>
      <w:bCs w:val="0"/>
      <w:kern w:val="2"/>
      <w:sz w:val="21"/>
      <w:szCs w:val="24"/>
      <w:lang w:val="en-US" w:eastAsia="zh-CN" w:bidi="ar-SA"/>
    </w:rPr>
  </w:style>
  <w:style w:type="character" w:customStyle="1" w:styleId="5Char1">
    <w:name w:val="标题 5 Char1"/>
    <w:aliases w:val="5 Char1,H5 Char1,口 Char1,口1 Char1,口2 Char,3号宋体居中行距1.5倍 Char,Level 3 - i Char1,法律法规 Char1,A. Char1,表文 Char1,Lev 5 Char1,（1） Char1,Level 3 - (i) Char1,dash Char1,ds Char1,dd Char1,h5 Char1,标题 3、 Char1,五 Char1,Appendix Title Char1,ITT t5 Char1"/>
    <w:semiHidden/>
    <w:qFormat/>
    <w:rPr>
      <w:rFonts w:ascii="DFPKaiShu-GB5" w:eastAsia="DFPKaiShu-GB5" w:hAnsi="DFPKaiShu-GB5"/>
      <w:b/>
      <w:bCs/>
      <w:sz w:val="28"/>
      <w:szCs w:val="28"/>
      <w:lang w:eastAsia="en-US"/>
    </w:rPr>
  </w:style>
  <w:style w:type="character" w:customStyle="1" w:styleId="highlight1">
    <w:name w:val="highlight1"/>
    <w:semiHidden/>
    <w:rPr>
      <w:rFonts w:cs="Times New Roman"/>
      <w:sz w:val="21"/>
      <w:szCs w:val="21"/>
    </w:rPr>
  </w:style>
  <w:style w:type="character" w:customStyle="1" w:styleId="articlebody21">
    <w:name w:val="articlebody21"/>
    <w:semiHidden/>
    <w:rPr>
      <w:sz w:val="21"/>
    </w:rPr>
  </w:style>
  <w:style w:type="character" w:customStyle="1" w:styleId="EmailStyle655">
    <w:name w:val="EmailStyle655"/>
    <w:semiHidden/>
    <w:rPr>
      <w:rFonts w:ascii="楷体_GB2312" w:eastAsia="楷体_GB2312"/>
      <w:b w:val="0"/>
      <w:bCs w:val="0"/>
      <w:i w:val="0"/>
      <w:iCs w:val="0"/>
      <w:strike w:val="0"/>
      <w:color w:val="auto"/>
      <w:sz w:val="21"/>
      <w:szCs w:val="21"/>
      <w:u w:val="none"/>
    </w:rPr>
  </w:style>
  <w:style w:type="character" w:customStyle="1" w:styleId="CharChar1111">
    <w:name w:val="Char Char1111"/>
    <w:semiHidden/>
    <w:qFormat/>
    <w:rPr>
      <w:rFonts w:ascii="黑体" w:eastAsia="黑体" w:hAnsi="宋体"/>
      <w:b/>
      <w:bCs/>
      <w:kern w:val="44"/>
      <w:sz w:val="36"/>
      <w:szCs w:val="36"/>
      <w:lang w:val="en-US" w:eastAsia="zh-CN" w:bidi="ar-SA"/>
    </w:rPr>
  </w:style>
  <w:style w:type="character" w:customStyle="1" w:styleId="style151">
    <w:name w:val="style151"/>
    <w:semiHidden/>
    <w:rPr>
      <w:rFonts w:ascii="宋体" w:eastAsia="宋体" w:hAnsi="宋体" w:hint="eastAsia"/>
      <w:color w:val="6C6C6C"/>
      <w:sz w:val="18"/>
      <w:szCs w:val="18"/>
    </w:rPr>
  </w:style>
  <w:style w:type="character" w:customStyle="1" w:styleId="Charc">
    <w:name w:val="表标题中 Char"/>
    <w:link w:val="affffd"/>
    <w:semiHidden/>
    <w:rPr>
      <w:rFonts w:ascii="Calibri" w:hAnsi="Calibri"/>
      <w:b/>
      <w:bCs/>
      <w:kern w:val="2"/>
      <w:sz w:val="28"/>
      <w:szCs w:val="22"/>
    </w:rPr>
  </w:style>
  <w:style w:type="paragraph" w:customStyle="1" w:styleId="affffd">
    <w:name w:val="表标题中"/>
    <w:basedOn w:val="a"/>
    <w:link w:val="Charc"/>
    <w:semiHidden/>
    <w:qFormat/>
    <w:pPr>
      <w:spacing w:before="120" w:after="60"/>
      <w:jc w:val="center"/>
    </w:pPr>
    <w:rPr>
      <w:rFonts w:ascii="Calibri" w:hAnsi="Calibri"/>
      <w:b/>
      <w:bCs/>
      <w:sz w:val="28"/>
      <w:szCs w:val="22"/>
    </w:rPr>
  </w:style>
  <w:style w:type="character" w:customStyle="1" w:styleId="CharChar181">
    <w:name w:val="Char Char181"/>
    <w:semiHidden/>
    <w:qFormat/>
    <w:rPr>
      <w:rFonts w:ascii="Times New Roman" w:eastAsia="宋体" w:hAnsi="Times New Roman" w:cs="Times New Roman"/>
      <w:kern w:val="0"/>
      <w:sz w:val="18"/>
      <w:szCs w:val="18"/>
    </w:rPr>
  </w:style>
  <w:style w:type="character" w:customStyle="1" w:styleId="305Char">
    <w:name w:val="样式 标题 3 + 段后: 0.5 行 Char"/>
    <w:link w:val="305"/>
    <w:semiHidden/>
    <w:rPr>
      <w:rFonts w:ascii="Arial" w:hAnsi="Arial"/>
      <w:b/>
      <w:bCs/>
      <w:kern w:val="2"/>
      <w:sz w:val="24"/>
      <w:szCs w:val="22"/>
    </w:rPr>
  </w:style>
  <w:style w:type="paragraph" w:customStyle="1" w:styleId="305">
    <w:name w:val="样式 标题 3 + 段后: 0.5 行"/>
    <w:basedOn w:val="3"/>
    <w:link w:val="305Char"/>
    <w:semiHidden/>
    <w:qFormat/>
    <w:pPr>
      <w:numPr>
        <w:ilvl w:val="0"/>
        <w:numId w:val="0"/>
      </w:numPr>
      <w:tabs>
        <w:tab w:val="left" w:pos="720"/>
        <w:tab w:val="left" w:pos="1871"/>
      </w:tabs>
      <w:snapToGrid w:val="0"/>
      <w:spacing w:line="360" w:lineRule="auto"/>
      <w:ind w:left="720" w:hanging="720"/>
      <w:jc w:val="left"/>
    </w:pPr>
    <w:rPr>
      <w:rFonts w:ascii="Arial" w:hAnsi="Arial"/>
      <w:sz w:val="24"/>
      <w:szCs w:val="22"/>
    </w:rPr>
  </w:style>
  <w:style w:type="character" w:customStyle="1" w:styleId="Char5CharChar">
    <w:name w:val="Char5 Char Char"/>
    <w:semiHidden/>
    <w:rPr>
      <w:rFonts w:ascii="黑体" w:eastAsia="黑体"/>
      <w:b/>
      <w:sz w:val="28"/>
      <w:szCs w:val="28"/>
      <w:lang w:val="en-US" w:eastAsia="zh-CN" w:bidi="ar-SA"/>
    </w:rPr>
  </w:style>
  <w:style w:type="character" w:customStyle="1" w:styleId="DefaultChar">
    <w:name w:val="Default Char"/>
    <w:uiPriority w:val="99"/>
    <w:semiHidden/>
    <w:qFormat/>
    <w:rPr>
      <w:rFonts w:ascii="隶书" w:eastAsia="隶书" w:hAnsi="Times New Roman" w:cs="隶书"/>
      <w:color w:val="000000"/>
      <w:sz w:val="24"/>
      <w:szCs w:val="24"/>
      <w:lang w:val="en-GB" w:eastAsia="zh-CN" w:bidi="ar-SA"/>
    </w:rPr>
  </w:style>
  <w:style w:type="character" w:customStyle="1" w:styleId="1Char1">
    <w:name w:val="注的1 Char"/>
    <w:semiHidden/>
    <w:rPr>
      <w:rFonts w:eastAsia="宋体"/>
      <w:kern w:val="2"/>
      <w:sz w:val="21"/>
      <w:szCs w:val="24"/>
      <w:lang w:val="en-US" w:eastAsia="zh-CN" w:bidi="ar-SA"/>
    </w:rPr>
  </w:style>
  <w:style w:type="character" w:customStyle="1" w:styleId="affffe">
    <w:name w:val="标题 字符"/>
    <w:aliases w:val="t 字符1,1级 字符,标题2级 字符"/>
    <w:semiHidden/>
    <w:qFormat/>
    <w:rPr>
      <w:rFonts w:ascii="Times New Roman" w:eastAsia="宋体" w:hAnsi="Times New Roman" w:cs="Times New Roman"/>
      <w:b/>
      <w:bCs/>
      <w:kern w:val="28"/>
      <w:sz w:val="32"/>
      <w:szCs w:val="32"/>
    </w:rPr>
  </w:style>
  <w:style w:type="character" w:customStyle="1" w:styleId="hei1">
    <w:name w:val="hei1"/>
    <w:semiHidden/>
    <w:rPr>
      <w:strike w:val="0"/>
      <w:dstrike w:val="0"/>
      <w:color w:val="000000"/>
      <w:spacing w:val="270"/>
      <w:sz w:val="18"/>
      <w:szCs w:val="18"/>
      <w:u w:val="none"/>
    </w:rPr>
  </w:style>
  <w:style w:type="character" w:customStyle="1" w:styleId="CharChar211">
    <w:name w:val="Char Char211"/>
    <w:semiHidden/>
    <w:qFormat/>
    <w:rPr>
      <w:rFonts w:ascii="Times New Roman" w:eastAsia="宋体" w:hAnsi="Times New Roman" w:cs="Times New Roman"/>
      <w:kern w:val="0"/>
      <w:sz w:val="24"/>
      <w:szCs w:val="24"/>
    </w:rPr>
  </w:style>
  <w:style w:type="character" w:customStyle="1" w:styleId="4Char">
    <w:name w:val="样式4 Char"/>
    <w:link w:val="4a"/>
    <w:uiPriority w:val="99"/>
    <w:semiHidden/>
    <w:rPr>
      <w:kern w:val="2"/>
      <w:sz w:val="21"/>
      <w:szCs w:val="22"/>
    </w:rPr>
  </w:style>
  <w:style w:type="paragraph" w:customStyle="1" w:styleId="4a">
    <w:name w:val="样式4"/>
    <w:basedOn w:val="a"/>
    <w:link w:val="4Char"/>
    <w:uiPriority w:val="99"/>
    <w:semiHidden/>
    <w:qFormat/>
    <w:pPr>
      <w:snapToGrid w:val="0"/>
      <w:spacing w:line="360" w:lineRule="auto"/>
      <w:ind w:firstLineChars="228" w:firstLine="228"/>
    </w:pPr>
    <w:rPr>
      <w:szCs w:val="22"/>
    </w:rPr>
  </w:style>
  <w:style w:type="character" w:customStyle="1" w:styleId="CharChar218">
    <w:name w:val="Char Char218"/>
    <w:semiHidden/>
    <w:rPr>
      <w:rFonts w:ascii="Times New Roman" w:eastAsia="宋体" w:hAnsi="Times New Roman" w:cs="Times New Roman"/>
      <w:kern w:val="0"/>
      <w:sz w:val="24"/>
      <w:szCs w:val="24"/>
    </w:rPr>
  </w:style>
  <w:style w:type="character" w:customStyle="1" w:styleId="Char18">
    <w:name w:val="称呼 Char1"/>
    <w:semiHidden/>
    <w:qFormat/>
    <w:rPr>
      <w:kern w:val="2"/>
      <w:sz w:val="21"/>
      <w:szCs w:val="24"/>
    </w:rPr>
  </w:style>
  <w:style w:type="character" w:customStyle="1" w:styleId="CharChar42">
    <w:name w:val="Char Char42"/>
    <w:semiHidden/>
    <w:qFormat/>
    <w:rPr>
      <w:rFonts w:ascii="黑体" w:eastAsia="黑体" w:hAnsi="Courier New"/>
      <w:color w:val="000000"/>
      <w:lang w:bidi="ar-SA"/>
    </w:rPr>
  </w:style>
  <w:style w:type="character" w:customStyle="1" w:styleId="312">
    <w:name w:val="标题 3 字符1"/>
    <w:aliases w:val="Heading 3 Char2 Char Char Char 字符1,Heading 3 Char Char1 Char Char Char 字符1,Heading 3 Char1 字符1,3 字符1,h3 字符1,Level 3 Head 字符1,H3 字符1,Heading 3 - old 字符1,level_3 字符1,PIM 3 字符1,BOD 0 字符1,sect1.2.3 字符1,sect1.2.31 字符1,sect1.2.32 字符1,sect1.2.311 字符1"/>
    <w:semiHidden/>
    <w:qFormat/>
    <w:locked/>
    <w:rPr>
      <w:b/>
      <w:bCs/>
      <w:kern w:val="2"/>
      <w:sz w:val="24"/>
      <w:szCs w:val="32"/>
    </w:rPr>
  </w:style>
  <w:style w:type="character" w:customStyle="1" w:styleId="CharChar51">
    <w:name w:val="Char Char51"/>
    <w:semiHidden/>
    <w:qFormat/>
    <w:rPr>
      <w:rFonts w:eastAsia="宋体"/>
      <w:sz w:val="24"/>
      <w:szCs w:val="24"/>
      <w:lang w:val="en-US" w:eastAsia="zh-CN" w:bidi="ar-SA"/>
    </w:rPr>
  </w:style>
  <w:style w:type="character" w:customStyle="1" w:styleId="CharChar219">
    <w:name w:val="Char Char219"/>
    <w:semiHidden/>
    <w:rPr>
      <w:rFonts w:ascii="Times New Roman" w:eastAsia="宋体" w:hAnsi="Times New Roman" w:cs="Times New Roman"/>
      <w:kern w:val="0"/>
      <w:sz w:val="24"/>
      <w:szCs w:val="24"/>
    </w:rPr>
  </w:style>
  <w:style w:type="character" w:customStyle="1" w:styleId="3Char10">
    <w:name w:val="标题 3 Char1"/>
    <w:aliases w:val="3 Char1,Heading 3 Char2 Char Char Char Char1,Heading 3 Char Char1 Char Char Char Char1,Heading 3 Char1 Char1,h3 Char1,Level 3 Head Char1,H3 Char1,Heading 3 - old Char1,level_3 Char1,PIM 3 Char1,BOD 0 Char1,sect1.2.3 Char1,sect1.2.31 Char1"/>
    <w:semiHidden/>
    <w:qFormat/>
    <w:rPr>
      <w:rFonts w:ascii="DFPKaiShu-GB5" w:eastAsia="DFPKaiShu-GB5" w:hAnsi="DFPKaiShu-GB5"/>
      <w:b/>
      <w:bCs/>
      <w:sz w:val="32"/>
      <w:szCs w:val="32"/>
      <w:lang w:eastAsia="en-US"/>
    </w:rPr>
  </w:style>
  <w:style w:type="character" w:customStyle="1" w:styleId="Char19">
    <w:name w:val="普通(网站) Char1"/>
    <w:aliases w:val="普通 (Web)1 Char1"/>
    <w:uiPriority w:val="99"/>
    <w:semiHidden/>
    <w:qFormat/>
    <w:locked/>
    <w:rPr>
      <w:rFonts w:ascii="Calibri" w:hAnsi="Calibri" w:cs="Arial"/>
      <w:b/>
      <w:bCs/>
      <w:i/>
      <w:iCs/>
      <w:sz w:val="22"/>
      <w:szCs w:val="22"/>
      <w:lang w:eastAsia="en-US" w:bidi="en-US"/>
    </w:rPr>
  </w:style>
  <w:style w:type="character" w:customStyle="1" w:styleId="CharChar244">
    <w:name w:val="Char Char244"/>
    <w:semiHidden/>
    <w:rPr>
      <w:rFonts w:ascii="Times New Roman" w:eastAsia="宋体" w:hAnsi="Times New Roman" w:cs="Times New Roman"/>
      <w:kern w:val="0"/>
      <w:sz w:val="18"/>
      <w:szCs w:val="18"/>
    </w:rPr>
  </w:style>
  <w:style w:type="character" w:customStyle="1" w:styleId="CharChar76">
    <w:name w:val="Char Char76"/>
    <w:semiHidden/>
    <w:locked/>
    <w:rPr>
      <w:rFonts w:eastAsia="宋体"/>
      <w:b/>
      <w:bCs/>
      <w:kern w:val="2"/>
      <w:sz w:val="24"/>
      <w:szCs w:val="24"/>
      <w:lang w:val="en-US" w:eastAsia="zh-CN" w:bidi="ar-SA"/>
    </w:rPr>
  </w:style>
  <w:style w:type="character" w:customStyle="1" w:styleId="CharChar1110">
    <w:name w:val="Char Char1110"/>
    <w:semiHidden/>
    <w:rPr>
      <w:rFonts w:ascii="宋体" w:eastAsia="宋体"/>
      <w:kern w:val="2"/>
      <w:sz w:val="28"/>
      <w:lang w:val="en-US" w:eastAsia="zh-CN" w:bidi="ar-SA"/>
    </w:rPr>
  </w:style>
  <w:style w:type="character" w:customStyle="1" w:styleId="EmailStyle630">
    <w:name w:val="EmailStyle630"/>
    <w:semiHidden/>
    <w:rPr>
      <w:rFonts w:ascii="楷体_GB2312" w:eastAsia="楷体_GB2312"/>
      <w:b w:val="0"/>
      <w:bCs w:val="0"/>
      <w:i w:val="0"/>
      <w:iCs w:val="0"/>
      <w:strike w:val="0"/>
      <w:color w:val="auto"/>
      <w:sz w:val="21"/>
      <w:szCs w:val="21"/>
      <w:u w:val="none"/>
    </w:rPr>
  </w:style>
  <w:style w:type="character" w:customStyle="1" w:styleId="111">
    <w:name w:val="中等深浅网格 11"/>
    <w:uiPriority w:val="99"/>
    <w:semiHidden/>
    <w:qFormat/>
    <w:rPr>
      <w:color w:val="808080"/>
    </w:rPr>
  </w:style>
  <w:style w:type="character" w:customStyle="1" w:styleId="1Char10">
    <w:name w:val="1 Char1"/>
    <w:aliases w:val="Heading 1 Char1 Char1,Heading 1 Char Char Char1,Heading 1 Char1 Char Char Char1,Heading 1 Char Char Char Char Char1,Heading 1 Char1 Char Char Char Char Char1,Heading 1 Char Char Char Char Char Char Char1,Heading 1 Char Char1 Char1"/>
    <w:semiHidden/>
    <w:rPr>
      <w:rFonts w:ascii="DFPKaiShu-GB5" w:eastAsia="DFPKaiShu-GB5" w:hAnsi="DFPKaiShu-GB5"/>
      <w:b/>
      <w:bCs/>
      <w:kern w:val="44"/>
      <w:sz w:val="44"/>
      <w:szCs w:val="44"/>
      <w:lang w:eastAsia="en-US"/>
    </w:rPr>
  </w:style>
  <w:style w:type="character" w:customStyle="1" w:styleId="b121">
    <w:name w:val="b121"/>
    <w:semiHidden/>
    <w:rPr>
      <w:rFonts w:ascii="宋体" w:eastAsia="宋体" w:hAnsi="宋体" w:hint="eastAsia"/>
      <w:color w:val="000000"/>
      <w:sz w:val="18"/>
      <w:szCs w:val="18"/>
    </w:rPr>
  </w:style>
  <w:style w:type="character" w:customStyle="1" w:styleId="EmailStyle6251">
    <w:name w:val="EmailStyle6251"/>
    <w:semiHidden/>
    <w:rPr>
      <w:rFonts w:ascii="楷体_GB2312" w:eastAsia="楷体_GB2312"/>
      <w:b w:val="0"/>
      <w:bCs w:val="0"/>
      <w:i w:val="0"/>
      <w:iCs w:val="0"/>
      <w:strike w:val="0"/>
      <w:color w:val="auto"/>
      <w:sz w:val="21"/>
      <w:szCs w:val="21"/>
      <w:u w:val="none"/>
    </w:rPr>
  </w:style>
  <w:style w:type="character" w:customStyle="1" w:styleId="CharChar261">
    <w:name w:val="Char Char261"/>
    <w:semiHidden/>
    <w:rPr>
      <w:rFonts w:eastAsia="宋体"/>
      <w:snapToGrid w:val="0"/>
      <w:sz w:val="24"/>
      <w:szCs w:val="24"/>
      <w:lang w:val="en-US" w:eastAsia="zh-CN" w:bidi="ar-SA"/>
    </w:rPr>
  </w:style>
  <w:style w:type="character" w:customStyle="1" w:styleId="lh13">
    <w:name w:val="lh13"/>
    <w:semiHidden/>
  </w:style>
  <w:style w:type="character" w:customStyle="1" w:styleId="f141">
    <w:name w:val="f141"/>
    <w:semiHidden/>
    <w:qFormat/>
    <w:rPr>
      <w:rFonts w:ascii="ˎ̥" w:hAnsi="ˎ̥" w:hint="default"/>
      <w:sz w:val="21"/>
      <w:szCs w:val="21"/>
    </w:rPr>
  </w:style>
  <w:style w:type="character" w:customStyle="1" w:styleId="CharChar239">
    <w:name w:val="Char Char239"/>
    <w:semiHidden/>
    <w:rPr>
      <w:sz w:val="18"/>
      <w:szCs w:val="18"/>
    </w:rPr>
  </w:style>
  <w:style w:type="character" w:customStyle="1" w:styleId="1--Char">
    <w:name w:val="1-一节-徐工 Char"/>
    <w:link w:val="1--"/>
    <w:semiHidden/>
    <w:rPr>
      <w:rFonts w:ascii="Arial" w:eastAsia="黑体" w:hAnsi="Arial"/>
      <w:b/>
      <w:bCs/>
      <w:kern w:val="44"/>
      <w:sz w:val="36"/>
      <w:szCs w:val="44"/>
    </w:rPr>
  </w:style>
  <w:style w:type="paragraph" w:customStyle="1" w:styleId="1--">
    <w:name w:val="1-一节-徐工"/>
    <w:basedOn w:val="a"/>
    <w:link w:val="1--Char"/>
    <w:semiHidden/>
    <w:qFormat/>
    <w:pPr>
      <w:keepNext/>
      <w:keepLines/>
      <w:pageBreakBefore/>
      <w:spacing w:before="340" w:after="330" w:line="360" w:lineRule="auto"/>
      <w:jc w:val="center"/>
      <w:outlineLvl w:val="0"/>
    </w:pPr>
    <w:rPr>
      <w:rFonts w:ascii="Arial" w:eastAsia="黑体" w:hAnsi="Arial"/>
      <w:b/>
      <w:bCs/>
      <w:kern w:val="44"/>
      <w:sz w:val="36"/>
      <w:szCs w:val="44"/>
    </w:rPr>
  </w:style>
  <w:style w:type="character" w:customStyle="1" w:styleId="afffff">
    <w:name w:val="正文文本 字符"/>
    <w:aliases w:val="b 字符,DEB Body Text 字符,正文文字 Char 字符,正文文字 Char Char Char Char 字符,正文文字 Char Char Char Char Char Char Char 字符,正文文字 Char Char Char Char Char 字符,正文文字 Char Char Char Char Char Char Char Char Char Char Char Char Char 字符,正文文字 Char Char Char 字符,bt 字符,方案 字"/>
    <w:semiHidden/>
    <w:qFormat/>
    <w:rPr>
      <w:rFonts w:ascii="Times New Roman" w:eastAsia="宋体" w:hAnsi="Times New Roman" w:cs="Times New Roman"/>
      <w:szCs w:val="24"/>
    </w:rPr>
  </w:style>
  <w:style w:type="character" w:customStyle="1" w:styleId="01Char">
    <w:name w:val="正文01 Char"/>
    <w:link w:val="01"/>
    <w:semiHidden/>
    <w:locked/>
    <w:rPr>
      <w:kern w:val="2"/>
      <w:sz w:val="21"/>
      <w:szCs w:val="21"/>
    </w:rPr>
  </w:style>
  <w:style w:type="paragraph" w:customStyle="1" w:styleId="01">
    <w:name w:val="正文01"/>
    <w:basedOn w:val="a"/>
    <w:link w:val="01Char"/>
    <w:semiHidden/>
    <w:qFormat/>
    <w:pPr>
      <w:spacing w:before="60" w:line="460" w:lineRule="exact"/>
      <w:ind w:firstLineChars="200" w:firstLine="200"/>
    </w:pPr>
  </w:style>
  <w:style w:type="character" w:customStyle="1" w:styleId="BodyChar">
    <w:name w:val="_Body Char"/>
    <w:semiHidden/>
    <w:rPr>
      <w:rFonts w:ascii="Arial" w:eastAsia="SC STKaiti" w:hAnsi="Arial"/>
      <w:kern w:val="2"/>
      <w:sz w:val="24"/>
      <w:szCs w:val="24"/>
      <w:lang w:val="en-US" w:eastAsia="zh-CN" w:bidi="ar-SA"/>
    </w:rPr>
  </w:style>
  <w:style w:type="character" w:customStyle="1" w:styleId="CharChar1CharCharCharCharCharCharCharCharCharCharCharCharCharCharCharCharCharCharCharCharCharCharCharCharCharCharCharCharCharCharCharCharCharCharCharCharCharCharChar8">
    <w:name w:val="Char Char1 Char Char Char Char Char Char Char Char Char Char Char Char Char Char Char Char Char Char Char Char Char Char Char Char Char Char Char Char Char Char Char Char Char Char Char Char Char Char Char8"/>
    <w:link w:val="CharChar1CharCharCharCharCharCharCharCharCharCharCharCharCharCharCharCharCharCharCharCharCharCharCharCharCharCharCharCharCharCharCharCharCharCharCharCharCharChar9"/>
    <w:semiHidden/>
    <w:rPr>
      <w:rFonts w:ascii="Verdana" w:eastAsia="Times New Roman" w:hAnsi="Verdana"/>
      <w:kern w:val="2"/>
      <w:sz w:val="22"/>
      <w:szCs w:val="22"/>
      <w:lang w:eastAsia="en-US"/>
    </w:rPr>
  </w:style>
  <w:style w:type="paragraph" w:customStyle="1" w:styleId="CharChar1CharCharCharCharCharCharCharCharCharCharCharCharCharCharCharCharCharCharCharCharCharCharCharCharCharCharCharCharCharCharCharCharCharCharCharCharCharChar9">
    <w:name w:val="Char Char1 Char Char Char Char Char Char Char Char Char Char Char Char Char Char Char Char Char Char Char Char Char Char Char Char Char Char Char Char Char Char Char Char Char Char Char Char Char Char9"/>
    <w:basedOn w:val="a"/>
    <w:link w:val="CharChar1CharCharCharCharCharCharCharCharCharCharCharCharCharCharCharCharCharCharCharCharCharCharCharCharCharCharCharCharCharCharCharCharCharCharCharCharCharCharChar8"/>
    <w:semiHidden/>
    <w:qFormat/>
    <w:pPr>
      <w:autoSpaceDE w:val="0"/>
      <w:autoSpaceDN w:val="0"/>
      <w:adjustRightInd w:val="0"/>
      <w:spacing w:after="160" w:line="240" w:lineRule="exact"/>
    </w:pPr>
    <w:rPr>
      <w:rFonts w:ascii="Verdana" w:eastAsia="Times New Roman" w:hAnsi="Verdana"/>
      <w:sz w:val="22"/>
      <w:szCs w:val="22"/>
      <w:lang w:eastAsia="en-US"/>
    </w:rPr>
  </w:style>
  <w:style w:type="character" w:customStyle="1" w:styleId="410">
    <w:name w:val="无格式表格 41"/>
    <w:uiPriority w:val="21"/>
    <w:semiHidden/>
    <w:qFormat/>
    <w:rPr>
      <w:b/>
      <w:bCs/>
    </w:rPr>
  </w:style>
  <w:style w:type="character" w:customStyle="1" w:styleId="CharChar53">
    <w:name w:val="Char Char53"/>
    <w:semiHidden/>
    <w:rPr>
      <w:rFonts w:eastAsia="宋体"/>
      <w:sz w:val="24"/>
      <w:szCs w:val="24"/>
      <w:lang w:val="en-US" w:eastAsia="zh-CN" w:bidi="ar-SA"/>
    </w:rPr>
  </w:style>
  <w:style w:type="character" w:customStyle="1" w:styleId="hz">
    <w:name w:val="hz"/>
    <w:semiHidden/>
  </w:style>
  <w:style w:type="character" w:customStyle="1" w:styleId="articlelink">
    <w:name w:val="articlelink"/>
    <w:semiHidden/>
    <w:qFormat/>
  </w:style>
  <w:style w:type="character" w:customStyle="1" w:styleId="CharChar1CharCharCharCharCharCharCharCharCharCharCharCharCharCharCharCharCharCharCharCharCharCharCharCharCharCharCharCharCharCharCharCharCharCharCharCharCharCharChar5">
    <w:name w:val="Char Char1 Char Char Char Char Char Char Char Char Char Char Char Char Char Char Char Char Char Char Char Char Char Char Char Char Char Char Char Char Char Char Char Char Char Char Char Char Char Char Char5"/>
    <w:link w:val="CharChar1CharCharCharCharCharCharCharCharCharCharCharCharCharCharCharCharCharCharCharCharCharCharCharCharCharCharCharCharCharCharCharCharCharCharCharCharCharChar6"/>
    <w:semiHidden/>
    <w:rPr>
      <w:rFonts w:ascii="Verdana" w:eastAsia="Times New Roman" w:hAnsi="Verdana"/>
      <w:kern w:val="2"/>
      <w:sz w:val="22"/>
      <w:szCs w:val="22"/>
      <w:lang w:eastAsia="en-US"/>
    </w:rPr>
  </w:style>
  <w:style w:type="paragraph" w:customStyle="1" w:styleId="CharChar1CharCharCharCharCharCharCharCharCharCharCharCharCharCharCharCharCharCharCharCharCharCharCharCharCharCharCharCharCharCharCharCharCharCharCharCharCharChar6">
    <w:name w:val="Char Char1 Char Char Char Char Char Char Char Char Char Char Char Char Char Char Char Char Char Char Char Char Char Char Char Char Char Char Char Char Char Char Char Char Char Char Char Char Char Char6"/>
    <w:basedOn w:val="a"/>
    <w:link w:val="CharChar1CharCharCharCharCharCharCharCharCharCharCharCharCharCharCharCharCharCharCharCharCharCharCharCharCharCharCharCharCharCharCharCharCharCharCharCharCharCharChar5"/>
    <w:semiHidden/>
    <w:qFormat/>
    <w:pPr>
      <w:autoSpaceDE w:val="0"/>
      <w:autoSpaceDN w:val="0"/>
      <w:adjustRightInd w:val="0"/>
      <w:spacing w:after="160" w:line="240" w:lineRule="exact"/>
    </w:pPr>
    <w:rPr>
      <w:rFonts w:ascii="Verdana" w:eastAsia="Times New Roman" w:hAnsi="Verdana"/>
      <w:sz w:val="22"/>
      <w:szCs w:val="22"/>
      <w:lang w:eastAsia="en-US"/>
    </w:rPr>
  </w:style>
  <w:style w:type="character" w:customStyle="1" w:styleId="EmailStyle575">
    <w:name w:val="EmailStyle575"/>
    <w:semiHidden/>
    <w:rPr>
      <w:rFonts w:ascii="楷体_GB2312" w:eastAsia="楷体_GB2312"/>
      <w:b w:val="0"/>
      <w:bCs w:val="0"/>
      <w:i w:val="0"/>
      <w:iCs w:val="0"/>
      <w:strike w:val="0"/>
      <w:color w:val="auto"/>
      <w:sz w:val="21"/>
      <w:szCs w:val="21"/>
      <w:u w:val="none"/>
    </w:rPr>
  </w:style>
  <w:style w:type="character" w:customStyle="1" w:styleId="CharChar124">
    <w:name w:val="Char Char124"/>
    <w:semiHidden/>
    <w:rPr>
      <w:rFonts w:eastAsia="宋体"/>
      <w:b/>
      <w:bCs/>
      <w:kern w:val="2"/>
      <w:sz w:val="21"/>
      <w:szCs w:val="24"/>
      <w:lang w:val="en-US" w:eastAsia="zh-CN" w:bidi="ar-SA"/>
    </w:rPr>
  </w:style>
  <w:style w:type="character" w:customStyle="1" w:styleId="210860505Char">
    <w:name w:val="样式 样式 样式 样式 首行缩进:  2 字符 + 宋体1 + 首行缩进:  0.86 厘米 段前: 0.5 行 段后: 0.5... Char"/>
    <w:link w:val="210860505"/>
    <w:semiHidden/>
    <w:rPr>
      <w:color w:val="000000"/>
      <w:kern w:val="2"/>
      <w:sz w:val="21"/>
      <w:szCs w:val="22"/>
    </w:rPr>
  </w:style>
  <w:style w:type="paragraph" w:customStyle="1" w:styleId="210860505">
    <w:name w:val="样式 样式 样式 样式 首行缩进:  2 字符 + 宋体1 + 首行缩进:  0.86 厘米 段前: 0.5 行 段后: 0.5..."/>
    <w:basedOn w:val="a"/>
    <w:link w:val="210860505Char"/>
    <w:semiHidden/>
    <w:qFormat/>
    <w:pPr>
      <w:spacing w:line="490" w:lineRule="exact"/>
      <w:ind w:firstLine="488"/>
    </w:pPr>
    <w:rPr>
      <w:color w:val="000000"/>
      <w:szCs w:val="22"/>
    </w:rPr>
  </w:style>
  <w:style w:type="character" w:customStyle="1" w:styleId="Char1a">
    <w:name w:val="尾注文本 Char1"/>
    <w:semiHidden/>
    <w:qFormat/>
    <w:rPr>
      <w:kern w:val="2"/>
      <w:sz w:val="21"/>
      <w:szCs w:val="24"/>
    </w:rPr>
  </w:style>
  <w:style w:type="character" w:customStyle="1" w:styleId="afffff0">
    <w:name w:val="尾注文本 字符"/>
    <w:uiPriority w:val="99"/>
    <w:semiHidden/>
    <w:qFormat/>
    <w:rPr>
      <w:rFonts w:ascii="Arial" w:eastAsia="楷体_GB2312" w:hAnsi="Arial" w:cs="Times New Roman"/>
      <w:kern w:val="0"/>
      <w:sz w:val="18"/>
      <w:szCs w:val="20"/>
      <w:lang w:eastAsia="en-US"/>
    </w:rPr>
  </w:style>
  <w:style w:type="character" w:customStyle="1" w:styleId="4CharCharCharChar2">
    <w:name w:val="标题 4 Char Char Char Char2"/>
    <w:aliases w:val="标题 4 Char Char Char Char Char,标题 4 Char Char Char Char Char Char Char Char Char,标题 41 Char,标题 4 Char Char Char1 Char,标题 4 Char Char Char Char1 Char,标题 4 Char Char Char Char Char Char Char1 Char Char,标题 4 Char Char Char Char3"/>
    <w:semiHidden/>
    <w:rPr>
      <w:rFonts w:ascii="宋体" w:hAnsi="宋体"/>
      <w:b/>
      <w:bCs/>
      <w:sz w:val="24"/>
    </w:rPr>
  </w:style>
  <w:style w:type="character" w:customStyle="1" w:styleId="CharChar4">
    <w:name w:val="Char Char4"/>
    <w:semiHidden/>
    <w:qFormat/>
    <w:rPr>
      <w:rFonts w:ascii="Times New Roman" w:eastAsia="宋体" w:hAnsi="Times New Roman" w:cs="Times New Roman"/>
      <w:kern w:val="2"/>
      <w:sz w:val="21"/>
      <w:szCs w:val="24"/>
      <w:shd w:val="clear" w:color="auto" w:fill="000080"/>
      <w:lang w:val="en-US" w:eastAsia="zh-CN" w:bidi="ar-SA"/>
    </w:rPr>
  </w:style>
  <w:style w:type="character" w:customStyle="1" w:styleId="CharChar209">
    <w:name w:val="Char Char209"/>
    <w:semiHidden/>
    <w:rPr>
      <w:sz w:val="18"/>
      <w:szCs w:val="18"/>
    </w:rPr>
  </w:style>
  <w:style w:type="character" w:customStyle="1" w:styleId="EmailStyle378">
    <w:name w:val="EmailStyle378"/>
    <w:semiHidden/>
    <w:rPr>
      <w:rFonts w:ascii="楷体_GB2312" w:eastAsia="楷体_GB2312"/>
      <w:b w:val="0"/>
      <w:bCs w:val="0"/>
      <w:i w:val="0"/>
      <w:iCs w:val="0"/>
      <w:strike w:val="0"/>
      <w:color w:val="auto"/>
      <w:sz w:val="21"/>
      <w:szCs w:val="21"/>
      <w:u w:val="none"/>
    </w:rPr>
  </w:style>
  <w:style w:type="character" w:customStyle="1" w:styleId="-4Char">
    <w:name w:val="徐工-4级标题 Char"/>
    <w:link w:val="-4"/>
    <w:semiHidden/>
    <w:rPr>
      <w:rFonts w:ascii="黑体" w:eastAsia="黑体" w:hAnsi="黑体" w:cs="宋体"/>
      <w:b/>
      <w:kern w:val="2"/>
      <w:sz w:val="21"/>
      <w:szCs w:val="21"/>
    </w:rPr>
  </w:style>
  <w:style w:type="paragraph" w:customStyle="1" w:styleId="-4">
    <w:name w:val="徐工-4级标题"/>
    <w:basedOn w:val="afffff1"/>
    <w:link w:val="-4Char"/>
    <w:semiHidden/>
    <w:qFormat/>
    <w:pPr>
      <w:spacing w:before="120" w:afterLines="50"/>
      <w:ind w:firstLine="482"/>
      <w:outlineLvl w:val="2"/>
    </w:pPr>
    <w:rPr>
      <w:rFonts w:ascii="黑体" w:eastAsia="黑体" w:hAnsi="黑体" w:cs="宋体"/>
      <w:b/>
    </w:rPr>
  </w:style>
  <w:style w:type="paragraph" w:customStyle="1" w:styleId="afffff1">
    <w:name w:val="招股书内正文"/>
    <w:basedOn w:val="a"/>
    <w:link w:val="Chard"/>
    <w:semiHidden/>
    <w:qFormat/>
    <w:pPr>
      <w:adjustRightInd w:val="0"/>
      <w:snapToGrid w:val="0"/>
      <w:spacing w:beforeLines="50" w:after="200" w:line="360" w:lineRule="auto"/>
      <w:ind w:firstLineChars="200" w:firstLine="480"/>
    </w:pPr>
    <w:rPr>
      <w:rFonts w:ascii="Arial" w:eastAsia="Arial"/>
    </w:rPr>
  </w:style>
  <w:style w:type="character" w:customStyle="1" w:styleId="Chard">
    <w:name w:val="招股书内正文 Char"/>
    <w:link w:val="afffff1"/>
    <w:semiHidden/>
    <w:rPr>
      <w:rFonts w:ascii="Arial" w:eastAsia="Arial"/>
      <w:kern w:val="2"/>
      <w:sz w:val="21"/>
      <w:szCs w:val="21"/>
    </w:rPr>
  </w:style>
  <w:style w:type="character" w:customStyle="1" w:styleId="Char1b">
    <w:name w:val="引用 Char1"/>
    <w:semiHidden/>
    <w:qFormat/>
    <w:rPr>
      <w:i/>
      <w:iCs/>
      <w:color w:val="000000"/>
      <w:kern w:val="2"/>
      <w:sz w:val="21"/>
      <w:szCs w:val="24"/>
    </w:rPr>
  </w:style>
  <w:style w:type="character" w:customStyle="1" w:styleId="Chare">
    <w:name w:val="招股书内二级 Char"/>
    <w:link w:val="afffff2"/>
    <w:semiHidden/>
    <w:rPr>
      <w:rFonts w:ascii="Arial" w:hAnsi="Arial" w:cs="Arial"/>
      <w:b/>
      <w:bCs/>
      <w:kern w:val="2"/>
      <w:sz w:val="28"/>
      <w:szCs w:val="28"/>
    </w:rPr>
  </w:style>
  <w:style w:type="paragraph" w:customStyle="1" w:styleId="afffff2">
    <w:name w:val="招股书内二级"/>
    <w:basedOn w:val="a"/>
    <w:link w:val="Chare"/>
    <w:semiHidden/>
    <w:qFormat/>
    <w:pPr>
      <w:keepNext/>
      <w:keepLines/>
      <w:autoSpaceDE w:val="0"/>
      <w:autoSpaceDN w:val="0"/>
      <w:spacing w:beforeLines="50" w:afterLines="50" w:line="360" w:lineRule="auto"/>
      <w:textAlignment w:val="baseline"/>
      <w:outlineLvl w:val="1"/>
    </w:pPr>
    <w:rPr>
      <w:rFonts w:ascii="Arial" w:hAnsi="Arial" w:cs="Arial"/>
      <w:b/>
      <w:bCs/>
      <w:sz w:val="28"/>
      <w:szCs w:val="28"/>
    </w:rPr>
  </w:style>
  <w:style w:type="character" w:customStyle="1" w:styleId="EmailStyle639">
    <w:name w:val="EmailStyle639"/>
    <w:semiHidden/>
    <w:rPr>
      <w:rFonts w:ascii="楷体_GB2312" w:eastAsia="楷体_GB2312"/>
      <w:b w:val="0"/>
      <w:bCs w:val="0"/>
      <w:i w:val="0"/>
      <w:iCs w:val="0"/>
      <w:strike w:val="0"/>
      <w:color w:val="auto"/>
      <w:sz w:val="21"/>
      <w:szCs w:val="21"/>
      <w:u w:val="none"/>
    </w:rPr>
  </w:style>
  <w:style w:type="character" w:customStyle="1" w:styleId="CharChar243">
    <w:name w:val="Char Char243"/>
    <w:semiHidden/>
    <w:rPr>
      <w:rFonts w:ascii="Times New Roman" w:eastAsia="宋体" w:hAnsi="Times New Roman" w:cs="Times New Roman"/>
      <w:kern w:val="0"/>
      <w:sz w:val="18"/>
      <w:szCs w:val="18"/>
    </w:rPr>
  </w:style>
  <w:style w:type="character" w:customStyle="1" w:styleId="EmailStyle651">
    <w:name w:val="EmailStyle651"/>
    <w:semiHidden/>
    <w:rPr>
      <w:rFonts w:ascii="楷体_GB2312" w:eastAsia="楷体_GB2312"/>
      <w:b w:val="0"/>
      <w:bCs w:val="0"/>
      <w:i w:val="0"/>
      <w:iCs w:val="0"/>
      <w:strike w:val="0"/>
      <w:color w:val="auto"/>
      <w:sz w:val="21"/>
      <w:szCs w:val="21"/>
      <w:u w:val="none"/>
    </w:rPr>
  </w:style>
  <w:style w:type="character" w:customStyle="1" w:styleId="CharChar81">
    <w:name w:val="Char Char81"/>
    <w:semiHidden/>
    <w:rPr>
      <w:rFonts w:ascii="宋体" w:hAnsi="宋体"/>
      <w:color w:val="000000"/>
      <w:sz w:val="24"/>
    </w:rPr>
  </w:style>
  <w:style w:type="character" w:customStyle="1" w:styleId="CharChar12">
    <w:name w:val="Char Char12"/>
    <w:semiHidden/>
    <w:qFormat/>
    <w:rPr>
      <w:kern w:val="2"/>
      <w:sz w:val="18"/>
      <w:szCs w:val="18"/>
    </w:rPr>
  </w:style>
  <w:style w:type="character" w:customStyle="1" w:styleId="commonfont6">
    <w:name w:val="common_font6"/>
    <w:semiHidden/>
  </w:style>
  <w:style w:type="character" w:customStyle="1" w:styleId="5-1-Char">
    <w:name w:val="5-（1）-徐工 Char"/>
    <w:link w:val="5-1-"/>
    <w:semiHidden/>
    <w:rPr>
      <w:b/>
      <w:kern w:val="2"/>
      <w:sz w:val="21"/>
      <w:szCs w:val="21"/>
    </w:rPr>
  </w:style>
  <w:style w:type="paragraph" w:customStyle="1" w:styleId="5-1-">
    <w:name w:val="5-（1）-徐工"/>
    <w:basedOn w:val="a"/>
    <w:link w:val="5-1-Char"/>
    <w:semiHidden/>
    <w:qFormat/>
    <w:pPr>
      <w:adjustRightInd w:val="0"/>
      <w:snapToGrid w:val="0"/>
      <w:spacing w:beforeLines="50" w:afterLines="50" w:line="360" w:lineRule="auto"/>
      <w:ind w:firstLineChars="200" w:firstLine="200"/>
      <w:outlineLvl w:val="4"/>
    </w:pPr>
    <w:rPr>
      <w:b/>
    </w:rPr>
  </w:style>
  <w:style w:type="character" w:customStyle="1" w:styleId="CharChar247">
    <w:name w:val="Char Char247"/>
    <w:semiHidden/>
    <w:rPr>
      <w:rFonts w:ascii="Times New Roman" w:eastAsia="宋体" w:hAnsi="Times New Roman" w:cs="Times New Roman"/>
      <w:kern w:val="0"/>
      <w:sz w:val="18"/>
      <w:szCs w:val="18"/>
    </w:rPr>
  </w:style>
  <w:style w:type="character" w:customStyle="1" w:styleId="4-1-Char">
    <w:name w:val="4-1、-徐工 Char"/>
    <w:link w:val="4-1-"/>
    <w:semiHidden/>
    <w:rPr>
      <w:rFonts w:ascii="Calibri" w:eastAsia="黑体" w:hAnsi="Calibri"/>
      <w:b/>
      <w:bCs/>
      <w:kern w:val="2"/>
      <w:sz w:val="24"/>
      <w:szCs w:val="28"/>
    </w:rPr>
  </w:style>
  <w:style w:type="paragraph" w:customStyle="1" w:styleId="4-1-">
    <w:name w:val="4-1、-徐工"/>
    <w:basedOn w:val="4"/>
    <w:link w:val="4-1-Char"/>
    <w:semiHidden/>
    <w:qFormat/>
    <w:pPr>
      <w:widowControl w:val="0"/>
      <w:numPr>
        <w:ilvl w:val="0"/>
        <w:numId w:val="0"/>
      </w:numPr>
      <w:tabs>
        <w:tab w:val="left" w:pos="2835"/>
      </w:tabs>
      <w:spacing w:before="0" w:after="240" w:line="360" w:lineRule="auto"/>
      <w:ind w:firstLineChars="200" w:firstLine="482"/>
      <w:jc w:val="left"/>
    </w:pPr>
    <w:rPr>
      <w:rFonts w:ascii="Calibri" w:eastAsia="黑体" w:hAnsi="Calibri"/>
      <w:sz w:val="24"/>
    </w:rPr>
  </w:style>
  <w:style w:type="character" w:customStyle="1" w:styleId="CharChar1910">
    <w:name w:val="Char Char1910"/>
    <w:semiHidden/>
    <w:rPr>
      <w:rFonts w:ascii="Times New Roman" w:eastAsia="宋体" w:hAnsi="Times New Roman" w:cs="Times New Roman"/>
      <w:szCs w:val="24"/>
    </w:rPr>
  </w:style>
  <w:style w:type="character" w:customStyle="1" w:styleId="CharChar210">
    <w:name w:val="Char Char210"/>
    <w:semiHidden/>
    <w:rPr>
      <w:rFonts w:ascii="宋体"/>
      <w:sz w:val="24"/>
      <w:szCs w:val="24"/>
    </w:rPr>
  </w:style>
  <w:style w:type="character" w:customStyle="1" w:styleId="Charf">
    <w:name w:val="附注－正文 Char"/>
    <w:link w:val="afffff3"/>
    <w:semiHidden/>
    <w:qFormat/>
    <w:rPr>
      <w:rFonts w:ascii="Calibri" w:hAnsi="Calibri"/>
      <w:kern w:val="2"/>
      <w:sz w:val="21"/>
      <w:szCs w:val="22"/>
    </w:rPr>
  </w:style>
  <w:style w:type="paragraph" w:customStyle="1" w:styleId="afffff3">
    <w:name w:val="附注－正文"/>
    <w:basedOn w:val="a"/>
    <w:next w:val="a"/>
    <w:link w:val="Charf"/>
    <w:semiHidden/>
    <w:qFormat/>
    <w:pPr>
      <w:adjustRightInd w:val="0"/>
      <w:snapToGrid w:val="0"/>
      <w:spacing w:afterLines="50" w:line="360" w:lineRule="auto"/>
      <w:ind w:firstLineChars="200" w:firstLine="200"/>
    </w:pPr>
    <w:rPr>
      <w:rFonts w:ascii="Calibri" w:hAnsi="Calibri"/>
      <w:szCs w:val="22"/>
    </w:rPr>
  </w:style>
  <w:style w:type="character" w:customStyle="1" w:styleId="tt11">
    <w:name w:val="tt11"/>
    <w:semiHidden/>
    <w:qFormat/>
    <w:rPr>
      <w:sz w:val="19"/>
    </w:rPr>
  </w:style>
  <w:style w:type="character" w:customStyle="1" w:styleId="84">
    <w:name w:val="标题 8 字符"/>
    <w:aliases w:val="8 字符,小4号黑体居中行距1倍 字符,Legal Level 1.1.1. 字符,AppendixSubHead 字符,h8 字符,目标题 1) 字符,Appendix 字符,标题 8a 字符,H8 字符,H81 字符,标题 8 Char Char Char Char Char Char Char Char Char Char Char 字符,不用8 字符,注意框体 字符,a标题 8 字符,图名 字符,正文八级标题 字符,tt 字符,tt1 字符,heading 8 字符,tt2 字"/>
    <w:semiHidden/>
    <w:qFormat/>
    <w:rPr>
      <w:rFonts w:ascii="Cambria" w:eastAsia="宋体" w:hAnsi="Cambria" w:cs="Times New Roman"/>
      <w:sz w:val="24"/>
      <w:szCs w:val="24"/>
    </w:rPr>
  </w:style>
  <w:style w:type="character" w:customStyle="1" w:styleId="74">
    <w:name w:val="标题 7 字符"/>
    <w:aliases w:val="7 字符,4号黑体左空2格行距1倍 字符,Legal Level 1.1. 字符,项标题(1) 字符,项目文件 字符,H7 字符,H71 字符,标题 7，图题 字符,Heading 7 Char 字符,7 Char Char 字符,不用 字符,PIM 7 字符,letter list 字符,a标题 7 字符,L7 字符,1.1.1.1.1.1.1标题 7 字符,表名 字符,sdf 字符,◎ 字符,ITT t7 字符,PA Appendix Major 字符,H TIMES1 字符"/>
    <w:semiHidden/>
    <w:qFormat/>
    <w:rPr>
      <w:b/>
      <w:bCs/>
      <w:sz w:val="24"/>
      <w:szCs w:val="24"/>
    </w:rPr>
  </w:style>
  <w:style w:type="character" w:customStyle="1" w:styleId="AA3">
    <w:name w:val="AA （一） 字符"/>
    <w:link w:val="AA4"/>
    <w:semiHidden/>
    <w:qFormat/>
    <w:rPr>
      <w:b/>
      <w:kern w:val="2"/>
      <w:sz w:val="21"/>
      <w:szCs w:val="21"/>
    </w:rPr>
  </w:style>
  <w:style w:type="paragraph" w:customStyle="1" w:styleId="AA4">
    <w:name w:val="AA （一）"/>
    <w:basedOn w:val="a"/>
    <w:link w:val="AA3"/>
    <w:semiHidden/>
    <w:qFormat/>
    <w:pPr>
      <w:widowControl w:val="0"/>
      <w:spacing w:beforeLines="50" w:afterLines="50" w:line="360" w:lineRule="auto"/>
      <w:ind w:firstLineChars="200" w:firstLine="482"/>
      <w:jc w:val="both"/>
      <w:outlineLvl w:val="1"/>
    </w:pPr>
    <w:rPr>
      <w:b/>
    </w:rPr>
  </w:style>
  <w:style w:type="character" w:customStyle="1" w:styleId="AA5">
    <w:name w:val="AA 单位 字符"/>
    <w:link w:val="AA6"/>
    <w:semiHidden/>
    <w:rPr>
      <w:kern w:val="2"/>
      <w:sz w:val="21"/>
      <w:szCs w:val="21"/>
    </w:rPr>
  </w:style>
  <w:style w:type="paragraph" w:customStyle="1" w:styleId="AA6">
    <w:name w:val="AA 单位"/>
    <w:basedOn w:val="a"/>
    <w:link w:val="AA5"/>
    <w:semiHidden/>
    <w:qFormat/>
    <w:pPr>
      <w:widowControl w:val="0"/>
      <w:spacing w:before="50" w:line="460" w:lineRule="exact"/>
      <w:ind w:firstLineChars="177" w:firstLine="372"/>
      <w:jc w:val="right"/>
    </w:pPr>
  </w:style>
  <w:style w:type="character" w:customStyle="1" w:styleId="AA7">
    <w:name w:val="AA 正文 字符"/>
    <w:link w:val="AA8"/>
    <w:semiHidden/>
    <w:qFormat/>
    <w:rPr>
      <w:kern w:val="2"/>
      <w:sz w:val="21"/>
      <w:szCs w:val="21"/>
    </w:rPr>
  </w:style>
  <w:style w:type="paragraph" w:customStyle="1" w:styleId="AA8">
    <w:name w:val="AA 正文"/>
    <w:basedOn w:val="a"/>
    <w:link w:val="AA7"/>
    <w:semiHidden/>
    <w:qFormat/>
    <w:pPr>
      <w:widowControl w:val="0"/>
      <w:adjustRightInd w:val="0"/>
      <w:snapToGrid w:val="0"/>
      <w:spacing w:beforeLines="50" w:afterLines="50" w:line="360" w:lineRule="auto"/>
      <w:ind w:firstLineChars="200" w:firstLine="480"/>
      <w:jc w:val="both"/>
    </w:pPr>
  </w:style>
  <w:style w:type="character" w:customStyle="1" w:styleId="longsmall1">
    <w:name w:val="longsmall1"/>
    <w:semiHidden/>
    <w:rPr>
      <w:sz w:val="18"/>
      <w:szCs w:val="18"/>
    </w:rPr>
  </w:style>
  <w:style w:type="character" w:customStyle="1" w:styleId="afffff4">
    <w:name w:val="结束语 字符"/>
    <w:semiHidden/>
    <w:qFormat/>
    <w:rPr>
      <w:rFonts w:ascii="Times New Roman" w:eastAsia="宋体" w:hAnsi="Times New Roman" w:cs="Times New Roman"/>
      <w:szCs w:val="24"/>
    </w:rPr>
  </w:style>
  <w:style w:type="character" w:customStyle="1" w:styleId="CharChar192">
    <w:name w:val="Char Char192"/>
    <w:semiHidden/>
    <w:rPr>
      <w:rFonts w:ascii="Times New Roman" w:eastAsia="宋体" w:hAnsi="Times New Roman" w:cs="Times New Roman"/>
      <w:szCs w:val="24"/>
    </w:rPr>
  </w:style>
  <w:style w:type="character" w:customStyle="1" w:styleId="CharChar265">
    <w:name w:val="Char Char265"/>
    <w:semiHidden/>
    <w:rPr>
      <w:rFonts w:eastAsia="宋体"/>
      <w:snapToGrid w:val="0"/>
      <w:sz w:val="24"/>
      <w:szCs w:val="24"/>
      <w:lang w:val="en-US" w:eastAsia="zh-CN" w:bidi="ar-SA"/>
    </w:rPr>
  </w:style>
  <w:style w:type="character" w:customStyle="1" w:styleId="Charf0">
    <w:name w:val="无间隔 Char"/>
    <w:aliases w:val="table head Char"/>
    <w:link w:val="1f4"/>
    <w:uiPriority w:val="99"/>
    <w:semiHidden/>
    <w:qFormat/>
    <w:rPr>
      <w:rFonts w:ascii="Arial" w:hAnsi="Arial" w:cs="Arial"/>
      <w:kern w:val="2"/>
      <w:sz w:val="21"/>
      <w:szCs w:val="21"/>
    </w:rPr>
  </w:style>
  <w:style w:type="paragraph" w:customStyle="1" w:styleId="1f4">
    <w:name w:val="无间隔1"/>
    <w:basedOn w:val="a"/>
    <w:link w:val="Charf0"/>
    <w:uiPriority w:val="99"/>
    <w:semiHidden/>
    <w:qFormat/>
    <w:pPr>
      <w:spacing w:beforeLines="50"/>
      <w:ind w:firstLineChars="200" w:firstLine="480"/>
    </w:pPr>
    <w:rPr>
      <w:rFonts w:ascii="Arial" w:hAnsi="Arial" w:cs="Arial"/>
    </w:rPr>
  </w:style>
  <w:style w:type="character" w:customStyle="1" w:styleId="Char1c">
    <w:name w:val="宏文本 Char1"/>
    <w:uiPriority w:val="99"/>
    <w:semiHidden/>
    <w:rPr>
      <w:rFonts w:ascii="Courier New" w:hAnsi="Courier New" w:cs="Courier New"/>
      <w:kern w:val="2"/>
      <w:sz w:val="24"/>
      <w:szCs w:val="24"/>
    </w:rPr>
  </w:style>
  <w:style w:type="character" w:customStyle="1" w:styleId="CharChar205">
    <w:name w:val="Char Char205"/>
    <w:semiHidden/>
    <w:rPr>
      <w:sz w:val="18"/>
      <w:szCs w:val="18"/>
    </w:rPr>
  </w:style>
  <w:style w:type="character" w:customStyle="1" w:styleId="Char6CharChar">
    <w:name w:val="Char6 Char Char"/>
    <w:semiHidden/>
    <w:rPr>
      <w:rFonts w:ascii="Arial" w:eastAsia="黑体" w:hAnsi="Arial"/>
      <w:b/>
      <w:bCs/>
      <w:sz w:val="32"/>
      <w:szCs w:val="32"/>
      <w:lang w:val="en-US" w:eastAsia="zh-CN" w:bidi="ar-SA"/>
    </w:rPr>
  </w:style>
  <w:style w:type="character" w:customStyle="1" w:styleId="EmailStyle644">
    <w:name w:val="EmailStyle644"/>
    <w:semiHidden/>
    <w:rPr>
      <w:rFonts w:ascii="楷体_GB2312" w:eastAsia="楷体_GB2312"/>
      <w:b w:val="0"/>
      <w:bCs w:val="0"/>
      <w:i w:val="0"/>
      <w:iCs w:val="0"/>
      <w:strike w:val="0"/>
      <w:color w:val="auto"/>
      <w:sz w:val="21"/>
      <w:szCs w:val="21"/>
      <w:u w:val="none"/>
    </w:rPr>
  </w:style>
  <w:style w:type="character" w:customStyle="1" w:styleId="910">
    <w:name w:val="标题 9 字符1"/>
    <w:aliases w:val="9 字符1,表格内容5号宋体居中 字符1,Legal Level 1.1.1.1. 字符1,AppendixBodyHead 字符1,h9 字符1,干标题(a) 字符1"/>
    <w:link w:val="a10"/>
    <w:semiHidden/>
    <w:qFormat/>
    <w:rPr>
      <w:rFonts w:ascii="Cambria" w:hAnsi="Cambria"/>
      <w:kern w:val="2"/>
      <w:sz w:val="21"/>
      <w:szCs w:val="21"/>
    </w:rPr>
  </w:style>
  <w:style w:type="paragraph" w:customStyle="1" w:styleId="a10">
    <w:name w:val="干标题(a)1"/>
    <w:basedOn w:val="a"/>
    <w:next w:val="a"/>
    <w:link w:val="910"/>
    <w:semiHidden/>
    <w:qFormat/>
    <w:pPr>
      <w:keepNext/>
      <w:keepLines/>
      <w:widowControl w:val="0"/>
      <w:tabs>
        <w:tab w:val="left" w:pos="567"/>
      </w:tabs>
      <w:spacing w:before="240" w:after="64" w:line="320" w:lineRule="auto"/>
      <w:ind w:left="1584" w:hanging="144"/>
      <w:jc w:val="both"/>
      <w:outlineLvl w:val="8"/>
    </w:pPr>
    <w:rPr>
      <w:rFonts w:ascii="Cambria" w:hAnsi="Cambria"/>
    </w:rPr>
  </w:style>
  <w:style w:type="character" w:customStyle="1" w:styleId="CharChar411">
    <w:name w:val="Char Char411"/>
    <w:semiHidden/>
    <w:rPr>
      <w:rFonts w:ascii="Times New Roman" w:eastAsia="宋体" w:hAnsi="Times New Roman" w:cs="Times New Roman"/>
      <w:kern w:val="2"/>
      <w:sz w:val="21"/>
      <w:szCs w:val="24"/>
      <w:shd w:val="clear" w:color="auto" w:fill="000080"/>
      <w:lang w:val="en-US" w:eastAsia="zh-CN" w:bidi="ar-SA"/>
    </w:rPr>
  </w:style>
  <w:style w:type="character" w:customStyle="1" w:styleId="CharChar118">
    <w:name w:val="Char Char118"/>
    <w:semiHidden/>
    <w:rPr>
      <w:rFonts w:eastAsia="宋体"/>
      <w:sz w:val="24"/>
      <w:lang w:val="en-US" w:eastAsia="zh-CN"/>
    </w:rPr>
  </w:style>
  <w:style w:type="character" w:customStyle="1" w:styleId="afffff5">
    <w:name w:val="电子邮件签名 字符"/>
    <w:semiHidden/>
    <w:rPr>
      <w:rFonts w:ascii="Times New Roman" w:eastAsia="宋体" w:hAnsi="Times New Roman" w:cs="Times New Roman"/>
      <w:szCs w:val="24"/>
    </w:rPr>
  </w:style>
  <w:style w:type="character" w:customStyle="1" w:styleId="typeblue6">
    <w:name w:val="type_blue_6"/>
    <w:semiHidden/>
  </w:style>
  <w:style w:type="character" w:customStyle="1" w:styleId="EmailStyle650">
    <w:name w:val="EmailStyle650"/>
    <w:semiHidden/>
    <w:rPr>
      <w:rFonts w:ascii="楷体_GB2312" w:eastAsia="楷体_GB2312"/>
      <w:b w:val="0"/>
      <w:bCs w:val="0"/>
      <w:i w:val="0"/>
      <w:iCs w:val="0"/>
      <w:strike w:val="0"/>
      <w:color w:val="auto"/>
      <w:sz w:val="21"/>
      <w:szCs w:val="21"/>
      <w:u w:val="none"/>
    </w:rPr>
  </w:style>
  <w:style w:type="character" w:customStyle="1" w:styleId="2Char11">
    <w:name w:val="正文首行缩进 2 Char1"/>
    <w:semiHidden/>
    <w:qFormat/>
    <w:rPr>
      <w:rFonts w:ascii="Times New Roman" w:eastAsia="宋体" w:hAnsi="Times New Roman" w:cs="Times New Roman"/>
      <w:kern w:val="2"/>
      <w:sz w:val="21"/>
      <w:szCs w:val="24"/>
    </w:rPr>
  </w:style>
  <w:style w:type="character" w:customStyle="1" w:styleId="Charf1">
    <w:name w:val="文档正文 Char"/>
    <w:link w:val="afffff6"/>
    <w:semiHidden/>
    <w:rPr>
      <w:rFonts w:ascii="Calibri" w:hAnsi="Calibri"/>
      <w:kern w:val="2"/>
      <w:sz w:val="28"/>
      <w:szCs w:val="22"/>
    </w:rPr>
  </w:style>
  <w:style w:type="paragraph" w:customStyle="1" w:styleId="afffff6">
    <w:name w:val="文档正文"/>
    <w:basedOn w:val="a"/>
    <w:link w:val="Charf1"/>
    <w:semiHidden/>
    <w:qFormat/>
    <w:pPr>
      <w:adjustRightInd w:val="0"/>
      <w:spacing w:line="460" w:lineRule="atLeast"/>
      <w:ind w:firstLine="567"/>
      <w:textAlignment w:val="baseline"/>
    </w:pPr>
    <w:rPr>
      <w:rFonts w:ascii="Calibri" w:hAnsi="Calibri"/>
      <w:sz w:val="28"/>
      <w:szCs w:val="22"/>
    </w:rPr>
  </w:style>
  <w:style w:type="character" w:customStyle="1" w:styleId="CharChar104">
    <w:name w:val="Char Char104"/>
    <w:semiHidden/>
    <w:rPr>
      <w:rFonts w:ascii="Calibri" w:eastAsia="宋体" w:hAnsi="Calibri"/>
      <w:kern w:val="2"/>
      <w:sz w:val="18"/>
      <w:szCs w:val="18"/>
      <w:lang w:val="en-US" w:eastAsia="zh-CN" w:bidi="ar-SA"/>
    </w:rPr>
  </w:style>
  <w:style w:type="character" w:customStyle="1" w:styleId="EmailStyle617">
    <w:name w:val="EmailStyle617"/>
    <w:semiHidden/>
    <w:rPr>
      <w:rFonts w:ascii="楷体_GB2312" w:eastAsia="楷体_GB2312"/>
      <w:b w:val="0"/>
      <w:bCs w:val="0"/>
      <w:i w:val="0"/>
      <w:iCs w:val="0"/>
      <w:strike w:val="0"/>
      <w:color w:val="auto"/>
      <w:sz w:val="21"/>
      <w:szCs w:val="21"/>
      <w:u w:val="none"/>
    </w:rPr>
  </w:style>
  <w:style w:type="character" w:customStyle="1" w:styleId="CharCharChar13">
    <w:name w:val="Char Char Char13"/>
    <w:semiHidden/>
    <w:rPr>
      <w:rFonts w:ascii="Tahoma" w:eastAsia="宋体" w:hAnsi="Tahoma" w:cs="Arial Unicode MS"/>
      <w:b/>
      <w:kern w:val="2"/>
      <w:sz w:val="18"/>
      <w:szCs w:val="18"/>
      <w:lang w:val="en-US" w:eastAsia="zh-CN" w:bidi="ar-SA"/>
    </w:rPr>
  </w:style>
  <w:style w:type="character" w:customStyle="1" w:styleId="CharChar1710">
    <w:name w:val="Char Char1710"/>
    <w:semiHidden/>
    <w:rPr>
      <w:rFonts w:eastAsia="宋体"/>
      <w:sz w:val="18"/>
      <w:szCs w:val="18"/>
      <w:lang w:val="en-US" w:eastAsia="zh-CN" w:bidi="ar-SA"/>
    </w:rPr>
  </w:style>
  <w:style w:type="character" w:customStyle="1" w:styleId="EmailStyle5711">
    <w:name w:val="EmailStyle5711"/>
    <w:semiHidden/>
    <w:rPr>
      <w:rFonts w:ascii="楷体_GB2312" w:eastAsia="楷体_GB2312"/>
      <w:b w:val="0"/>
      <w:bCs w:val="0"/>
      <w:i w:val="0"/>
      <w:iCs w:val="0"/>
      <w:strike w:val="0"/>
      <w:color w:val="auto"/>
      <w:sz w:val="21"/>
      <w:szCs w:val="21"/>
      <w:u w:val="none"/>
    </w:rPr>
  </w:style>
  <w:style w:type="character" w:customStyle="1" w:styleId="CharChar2612">
    <w:name w:val="Char Char2612"/>
    <w:semiHidden/>
    <w:rPr>
      <w:rFonts w:eastAsia="宋体"/>
      <w:snapToGrid w:val="0"/>
      <w:sz w:val="24"/>
      <w:szCs w:val="24"/>
      <w:lang w:val="en-US" w:eastAsia="zh-CN" w:bidi="ar-SA"/>
    </w:rPr>
  </w:style>
  <w:style w:type="character" w:customStyle="1" w:styleId="A40">
    <w:name w:val="A4"/>
    <w:semiHidden/>
    <w:rPr>
      <w:rFonts w:cs="Times LT Std"/>
      <w:color w:val="000000"/>
      <w:sz w:val="26"/>
      <w:szCs w:val="26"/>
    </w:rPr>
  </w:style>
  <w:style w:type="character" w:customStyle="1" w:styleId="Charf2">
    <w:name w:val="中煤正文 Char"/>
    <w:link w:val="afffff7"/>
    <w:semiHidden/>
    <w:qFormat/>
    <w:rPr>
      <w:rFonts w:ascii="Calibri" w:hAnsi="Calibri"/>
      <w:kern w:val="2"/>
      <w:sz w:val="21"/>
      <w:szCs w:val="21"/>
    </w:rPr>
  </w:style>
  <w:style w:type="paragraph" w:customStyle="1" w:styleId="afffff7">
    <w:name w:val="中煤正文"/>
    <w:basedOn w:val="a"/>
    <w:link w:val="Charf2"/>
    <w:semiHidden/>
    <w:qFormat/>
    <w:pPr>
      <w:adjustRightInd w:val="0"/>
      <w:snapToGrid w:val="0"/>
      <w:spacing w:beforeLines="50" w:line="360" w:lineRule="auto"/>
      <w:ind w:firstLineChars="200" w:firstLine="200"/>
    </w:pPr>
    <w:rPr>
      <w:rFonts w:ascii="Calibri" w:hAnsi="Calibri"/>
    </w:rPr>
  </w:style>
  <w:style w:type="character" w:customStyle="1" w:styleId="3Char11">
    <w:name w:val="正文文本 3 Char1"/>
    <w:uiPriority w:val="99"/>
    <w:semiHidden/>
    <w:qFormat/>
    <w:rPr>
      <w:rFonts w:ascii="Times New Roman" w:eastAsia="宋体" w:hAnsi="Times New Roman" w:cs="Times New Roman"/>
      <w:sz w:val="24"/>
      <w:szCs w:val="24"/>
    </w:rPr>
  </w:style>
  <w:style w:type="character" w:customStyle="1" w:styleId="Charf3">
    <w:name w:val="表 Char"/>
    <w:link w:val="afffff8"/>
    <w:semiHidden/>
    <w:rPr>
      <w:rFonts w:ascii="Calibri" w:hAnsi="Calibri"/>
      <w:kern w:val="2"/>
      <w:sz w:val="21"/>
      <w:szCs w:val="22"/>
    </w:rPr>
  </w:style>
  <w:style w:type="paragraph" w:customStyle="1" w:styleId="afffff8">
    <w:name w:val="表"/>
    <w:basedOn w:val="a"/>
    <w:link w:val="Charf3"/>
    <w:semiHidden/>
    <w:qFormat/>
    <w:pPr>
      <w:snapToGrid w:val="0"/>
      <w:spacing w:line="400" w:lineRule="exact"/>
      <w:jc w:val="center"/>
    </w:pPr>
    <w:rPr>
      <w:rFonts w:ascii="Calibri" w:hAnsi="Calibri"/>
      <w:szCs w:val="22"/>
    </w:rPr>
  </w:style>
  <w:style w:type="character" w:customStyle="1" w:styleId="CharChar3">
    <w:name w:val="Char Char3"/>
    <w:semiHidden/>
    <w:qFormat/>
    <w:rPr>
      <w:rFonts w:ascii="宋体" w:hAnsi="宋体"/>
      <w:color w:val="FF0000"/>
      <w:kern w:val="2"/>
      <w:sz w:val="24"/>
      <w:szCs w:val="24"/>
    </w:rPr>
  </w:style>
  <w:style w:type="character" w:customStyle="1" w:styleId="zi101">
    <w:name w:val="zi_101"/>
    <w:semiHidden/>
    <w:qFormat/>
    <w:rPr>
      <w:rFonts w:ascii="Verdana" w:hAnsi="Verdana" w:cs="Times New Roman"/>
      <w:color w:val="C90000"/>
      <w:sz w:val="18"/>
      <w:szCs w:val="18"/>
    </w:rPr>
  </w:style>
  <w:style w:type="character" w:customStyle="1" w:styleId="CharChar1CharCharCharCharCharCharCharCharCharCharCharCharCharCharCharCharCharCharCharCharCharCharCharCharCharCharCharCharCharCharCharCharCharCharCharCharCharCharChar7">
    <w:name w:val="Char Char1 Char Char Char Char Char Char Char Char Char Char Char Char Char Char Char Char Char Char Char Char Char Char Char Char Char Char Char Char Char Char Char Char Char Char Char Char Char Char Char7"/>
    <w:link w:val="CharChar1CharCharCharCharCharCharCharCharCharCharCharCharCharCharCharCharCharCharCharCharCharCharCharCharCharCharCharCharCharCharCharCharCharCharCharCharCharChar8"/>
    <w:semiHidden/>
    <w:rPr>
      <w:rFonts w:ascii="Verdana" w:eastAsia="Times New Roman" w:hAnsi="Verdana"/>
      <w:kern w:val="2"/>
      <w:sz w:val="22"/>
      <w:szCs w:val="22"/>
      <w:lang w:eastAsia="en-US"/>
    </w:rPr>
  </w:style>
  <w:style w:type="paragraph" w:customStyle="1" w:styleId="CharChar1CharCharCharCharCharCharCharCharCharCharCharCharCharCharCharCharCharCharCharCharCharCharCharCharCharCharCharCharCharCharCharCharCharCharCharCharCharChar8">
    <w:name w:val="Char Char1 Char Char Char Char Char Char Char Char Char Char Char Char Char Char Char Char Char Char Char Char Char Char Char Char Char Char Char Char Char Char Char Char Char Char Char Char Char Char8"/>
    <w:basedOn w:val="a"/>
    <w:link w:val="CharChar1CharCharCharCharCharCharCharCharCharCharCharCharCharCharCharCharCharCharCharCharCharCharCharCharCharCharCharCharCharCharCharCharCharCharCharCharCharCharChar7"/>
    <w:semiHidden/>
    <w:qFormat/>
    <w:pPr>
      <w:autoSpaceDE w:val="0"/>
      <w:autoSpaceDN w:val="0"/>
      <w:adjustRightInd w:val="0"/>
      <w:spacing w:after="160" w:line="240" w:lineRule="exact"/>
    </w:pPr>
    <w:rPr>
      <w:rFonts w:ascii="Verdana" w:eastAsia="Times New Roman" w:hAnsi="Verdana"/>
      <w:sz w:val="22"/>
      <w:szCs w:val="22"/>
      <w:lang w:eastAsia="en-US"/>
    </w:rPr>
  </w:style>
  <w:style w:type="character" w:customStyle="1" w:styleId="CharChar144">
    <w:name w:val="Char Char144"/>
    <w:semiHidden/>
    <w:rPr>
      <w:rFonts w:eastAsia="宋体"/>
      <w:kern w:val="2"/>
      <w:sz w:val="18"/>
      <w:szCs w:val="18"/>
      <w:lang w:val="en-US" w:eastAsia="zh-CN" w:bidi="ar-SA"/>
    </w:rPr>
  </w:style>
  <w:style w:type="character" w:customStyle="1" w:styleId="HTMLChar2">
    <w:name w:val="HTML 预设格式 Char2"/>
    <w:semiHidden/>
    <w:qFormat/>
    <w:rPr>
      <w:rFonts w:eastAsia="宋体" w:hAnsi="Courier New" w:cs="Courier New"/>
      <w:lang w:val="en-US" w:eastAsia="zh-CN" w:bidi="ar-SA"/>
    </w:rPr>
  </w:style>
  <w:style w:type="character" w:customStyle="1" w:styleId="001Char0">
    <w:name w:val="正文001 Char"/>
    <w:link w:val="0010"/>
    <w:semiHidden/>
    <w:locked/>
    <w:rPr>
      <w:kern w:val="2"/>
      <w:sz w:val="21"/>
      <w:szCs w:val="22"/>
    </w:rPr>
  </w:style>
  <w:style w:type="paragraph" w:customStyle="1" w:styleId="0010">
    <w:name w:val="正文001"/>
    <w:basedOn w:val="a"/>
    <w:link w:val="001Char0"/>
    <w:semiHidden/>
    <w:qFormat/>
    <w:pPr>
      <w:spacing w:line="500" w:lineRule="atLeast"/>
      <w:ind w:firstLineChars="200" w:firstLine="200"/>
    </w:pPr>
    <w:rPr>
      <w:szCs w:val="22"/>
    </w:rPr>
  </w:style>
  <w:style w:type="character" w:customStyle="1" w:styleId="EmailStyle382">
    <w:name w:val="EmailStyle382"/>
    <w:semiHidden/>
    <w:rPr>
      <w:rFonts w:ascii="楷体_GB2312" w:eastAsia="楷体_GB2312"/>
      <w:b w:val="0"/>
      <w:bCs w:val="0"/>
      <w:i w:val="0"/>
      <w:iCs w:val="0"/>
      <w:strike w:val="0"/>
      <w:color w:val="auto"/>
      <w:sz w:val="21"/>
      <w:szCs w:val="21"/>
      <w:u w:val="none"/>
    </w:rPr>
  </w:style>
  <w:style w:type="character" w:customStyle="1" w:styleId="style211">
    <w:name w:val="style211"/>
    <w:semiHidden/>
    <w:rPr>
      <w:b/>
      <w:color w:val="333333"/>
      <w:sz w:val="18"/>
      <w:vertAlign w:val="baseline"/>
    </w:rPr>
  </w:style>
  <w:style w:type="character" w:customStyle="1" w:styleId="BodyTextFirstIndentChar1">
    <w:name w:val="Body Text First Indent Char1"/>
    <w:uiPriority w:val="99"/>
    <w:semiHidden/>
    <w:rPr>
      <w:rFonts w:ascii="宋体" w:eastAsia="宋体" w:hAnsi="Calibri" w:cs="Times New Roman"/>
      <w:kern w:val="2"/>
      <w:sz w:val="24"/>
      <w:szCs w:val="20"/>
      <w:lang w:val="en-US" w:eastAsia="zh-CN" w:bidi="ar-SA"/>
    </w:rPr>
  </w:style>
  <w:style w:type="character" w:customStyle="1" w:styleId="p1">
    <w:name w:val="p1"/>
    <w:semiHidden/>
    <w:rPr>
      <w:sz w:val="21"/>
      <w:szCs w:val="21"/>
    </w:rPr>
  </w:style>
  <w:style w:type="character" w:customStyle="1" w:styleId="3-Char">
    <w:name w:val="3-（一） Char"/>
    <w:link w:val="3-"/>
    <w:semiHidden/>
    <w:rPr>
      <w:rFonts w:ascii="Calibri" w:eastAsia="黑体" w:hAnsi="Calibri"/>
      <w:kern w:val="2"/>
      <w:sz w:val="28"/>
      <w:szCs w:val="21"/>
    </w:rPr>
  </w:style>
  <w:style w:type="paragraph" w:customStyle="1" w:styleId="3-">
    <w:name w:val="3-（一）"/>
    <w:basedOn w:val="a"/>
    <w:link w:val="3-Char"/>
    <w:semiHidden/>
    <w:qFormat/>
    <w:pPr>
      <w:adjustRightInd w:val="0"/>
      <w:snapToGrid w:val="0"/>
      <w:spacing w:beforeLines="50" w:afterLines="50" w:line="480" w:lineRule="exact"/>
      <w:ind w:firstLineChars="200" w:firstLine="200"/>
      <w:outlineLvl w:val="2"/>
    </w:pPr>
    <w:rPr>
      <w:rFonts w:ascii="Calibri" w:eastAsia="黑体" w:hAnsi="Calibri"/>
      <w:sz w:val="28"/>
    </w:rPr>
  </w:style>
  <w:style w:type="character" w:customStyle="1" w:styleId="Charf4">
    <w:name w:val="表格中 Char"/>
    <w:link w:val="afffff9"/>
    <w:semiHidden/>
    <w:rPr>
      <w:rFonts w:ascii="Calibri" w:hAnsi="Calibri"/>
      <w:kern w:val="2"/>
      <w:sz w:val="21"/>
      <w:szCs w:val="21"/>
    </w:rPr>
  </w:style>
  <w:style w:type="paragraph" w:customStyle="1" w:styleId="afffff9">
    <w:name w:val="表格中"/>
    <w:basedOn w:val="a"/>
    <w:link w:val="Charf4"/>
    <w:semiHidden/>
    <w:qFormat/>
    <w:pPr>
      <w:adjustRightInd w:val="0"/>
      <w:snapToGrid w:val="0"/>
      <w:jc w:val="center"/>
    </w:pPr>
    <w:rPr>
      <w:rFonts w:ascii="Calibri" w:hAnsi="Calibri"/>
    </w:rPr>
  </w:style>
  <w:style w:type="character" w:customStyle="1" w:styleId="afont1">
    <w:name w:val="afont1"/>
    <w:semiHidden/>
    <w:qFormat/>
    <w:rPr>
      <w:rFonts w:ascii="Arial Narrow" w:hAnsi="Arial Narrow" w:hint="default"/>
      <w:sz w:val="22"/>
      <w:szCs w:val="22"/>
    </w:rPr>
  </w:style>
  <w:style w:type="character" w:customStyle="1" w:styleId="1Char2">
    <w:name w:val="1级目录 Char"/>
    <w:link w:val="1f5"/>
    <w:semiHidden/>
    <w:rPr>
      <w:rFonts w:ascii="Arial" w:eastAsia="黑体" w:hAnsi="Arial"/>
      <w:b/>
      <w:bCs/>
      <w:kern w:val="44"/>
      <w:sz w:val="36"/>
      <w:szCs w:val="44"/>
    </w:rPr>
  </w:style>
  <w:style w:type="paragraph" w:customStyle="1" w:styleId="1f5">
    <w:name w:val="1级目录"/>
    <w:basedOn w:val="affffa"/>
    <w:link w:val="1Char2"/>
    <w:semiHidden/>
    <w:qFormat/>
    <w:pPr>
      <w:spacing w:before="156"/>
    </w:pPr>
  </w:style>
  <w:style w:type="character" w:customStyle="1" w:styleId="CharChar184">
    <w:name w:val="Char Char184"/>
    <w:semiHidden/>
    <w:rPr>
      <w:rFonts w:ascii="Times New Roman" w:eastAsia="宋体" w:hAnsi="Times New Roman" w:cs="Times New Roman"/>
      <w:kern w:val="0"/>
      <w:sz w:val="18"/>
      <w:szCs w:val="18"/>
    </w:rPr>
  </w:style>
  <w:style w:type="character" w:customStyle="1" w:styleId="hong1">
    <w:name w:val="hong1"/>
    <w:semiHidden/>
    <w:rPr>
      <w:color w:val="990000"/>
      <w:sz w:val="22"/>
      <w:szCs w:val="22"/>
    </w:rPr>
  </w:style>
  <w:style w:type="character" w:customStyle="1" w:styleId="CharChar96">
    <w:name w:val="Char Char96"/>
    <w:semiHidden/>
    <w:rPr>
      <w:rFonts w:eastAsia="宋体"/>
      <w:sz w:val="24"/>
      <w:szCs w:val="24"/>
      <w:lang w:val="en-US" w:eastAsia="zh-CN" w:bidi="ar-SA"/>
    </w:rPr>
  </w:style>
  <w:style w:type="character" w:customStyle="1" w:styleId="4Char0">
    <w:name w:val="标题 4 Char"/>
    <w:aliases w:val="Heading 4 Char Char1 Char Char Char,4 Char,条 2 Char1,[三级节名] Char1,点标题 Char1,H4 Char1,4th level Char1,h4 Char1,4号仿宋左空1格行距1倍 Char1,Char4 Char,Level 2 - a Char, Char4 Char,bullet Char,bl Char,bb Char,PIM 4 Char,Heading Four Char,款标题1.1.1.1 Char"/>
    <w:uiPriority w:val="99"/>
    <w:semiHidden/>
    <w:qFormat/>
    <w:rPr>
      <w:rFonts w:ascii="Arial" w:eastAsia="PMingLiU" w:hAnsi="Arial"/>
    </w:rPr>
  </w:style>
  <w:style w:type="character" w:customStyle="1" w:styleId="EmailStyle5541">
    <w:name w:val="EmailStyle5541"/>
    <w:semiHidden/>
    <w:rPr>
      <w:rFonts w:ascii="楷体_GB2312" w:eastAsia="楷体_GB2312"/>
      <w:b w:val="0"/>
      <w:bCs w:val="0"/>
      <w:i w:val="0"/>
      <w:iCs w:val="0"/>
      <w:strike w:val="0"/>
      <w:color w:val="auto"/>
      <w:sz w:val="21"/>
      <w:szCs w:val="21"/>
      <w:u w:val="none"/>
    </w:rPr>
  </w:style>
  <w:style w:type="character" w:customStyle="1" w:styleId="CharChar1810">
    <w:name w:val="Char Char1810"/>
    <w:semiHidden/>
    <w:rPr>
      <w:rFonts w:ascii="Times New Roman" w:eastAsia="宋体" w:hAnsi="Times New Roman" w:cs="Times New Roman"/>
      <w:kern w:val="0"/>
      <w:sz w:val="18"/>
      <w:szCs w:val="18"/>
    </w:rPr>
  </w:style>
  <w:style w:type="character" w:customStyle="1" w:styleId="Char1d">
    <w:name w:val="文档结构图 Char1"/>
    <w:semiHidden/>
    <w:qFormat/>
    <w:rPr>
      <w:rFonts w:ascii="宋体" w:eastAsia="宋体" w:hAnsi="Times New Roman" w:cs="Times New Roman"/>
      <w:sz w:val="18"/>
      <w:szCs w:val="18"/>
    </w:rPr>
  </w:style>
  <w:style w:type="character" w:customStyle="1" w:styleId="TitleChar1">
    <w:name w:val="Title Char1"/>
    <w:semiHidden/>
    <w:rPr>
      <w:rFonts w:ascii="Cambria" w:hAnsi="Cambria" w:cs="Times New Roman"/>
      <w:b/>
      <w:bCs/>
      <w:sz w:val="32"/>
      <w:szCs w:val="32"/>
    </w:rPr>
  </w:style>
  <w:style w:type="character" w:customStyle="1" w:styleId="font">
    <w:name w:val="font"/>
    <w:semiHidden/>
  </w:style>
  <w:style w:type="character" w:customStyle="1" w:styleId="Char1CharChar2">
    <w:name w:val="Char1 Char Char2"/>
    <w:semiHidden/>
    <w:rPr>
      <w:rFonts w:ascii="黑体" w:eastAsia="黑体"/>
      <w:sz w:val="24"/>
      <w:szCs w:val="24"/>
      <w:lang w:val="en-US" w:eastAsia="zh-CN" w:bidi="ar-SA"/>
    </w:rPr>
  </w:style>
  <w:style w:type="character" w:customStyle="1" w:styleId="CharChar111">
    <w:name w:val="Char Char111"/>
    <w:semiHidden/>
    <w:qFormat/>
    <w:rPr>
      <w:rFonts w:ascii="Calibri" w:eastAsia="宋体" w:hAnsi="Calibri"/>
      <w:kern w:val="2"/>
      <w:sz w:val="18"/>
      <w:szCs w:val="18"/>
      <w:lang w:val="en-US" w:eastAsia="zh-CN" w:bidi="ar-SA"/>
    </w:rPr>
  </w:style>
  <w:style w:type="character" w:customStyle="1" w:styleId="TableChar">
    <w:name w:val="Table Char"/>
    <w:link w:val="Table"/>
    <w:semiHidden/>
    <w:rPr>
      <w:rFonts w:ascii="Calibri" w:hAnsi="Calibri"/>
      <w:kern w:val="2"/>
      <w:sz w:val="21"/>
      <w:szCs w:val="21"/>
    </w:rPr>
  </w:style>
  <w:style w:type="paragraph" w:customStyle="1" w:styleId="Table">
    <w:name w:val="Table"/>
    <w:basedOn w:val="a"/>
    <w:link w:val="TableChar"/>
    <w:semiHidden/>
    <w:qFormat/>
    <w:pPr>
      <w:spacing w:before="120" w:after="120" w:line="240" w:lineRule="atLeast"/>
    </w:pPr>
    <w:rPr>
      <w:rFonts w:ascii="Calibri" w:hAnsi="Calibri"/>
    </w:rPr>
  </w:style>
  <w:style w:type="character" w:customStyle="1" w:styleId="CharChar74">
    <w:name w:val="Char Char74"/>
    <w:semiHidden/>
    <w:locked/>
    <w:rPr>
      <w:rFonts w:eastAsia="宋体"/>
      <w:b/>
      <w:bCs/>
      <w:kern w:val="2"/>
      <w:sz w:val="24"/>
      <w:szCs w:val="24"/>
      <w:lang w:val="en-US" w:eastAsia="zh-CN" w:bidi="ar-SA"/>
    </w:rPr>
  </w:style>
  <w:style w:type="character" w:customStyle="1" w:styleId="CharChar105">
    <w:name w:val="Char Char105"/>
    <w:semiHidden/>
    <w:rPr>
      <w:rFonts w:eastAsia="宋体"/>
      <w:b/>
      <w:kern w:val="2"/>
      <w:sz w:val="32"/>
      <w:lang w:val="en-US" w:eastAsia="zh-CN"/>
    </w:rPr>
  </w:style>
  <w:style w:type="character" w:customStyle="1" w:styleId="EmailStyle4922">
    <w:name w:val="EmailStyle4922"/>
    <w:semiHidden/>
    <w:rPr>
      <w:rFonts w:ascii="楷体_GB2312" w:eastAsia="楷体_GB2312"/>
      <w:b w:val="0"/>
      <w:bCs w:val="0"/>
      <w:i w:val="0"/>
      <w:iCs w:val="0"/>
      <w:strike w:val="0"/>
      <w:color w:val="auto"/>
      <w:sz w:val="21"/>
      <w:szCs w:val="21"/>
      <w:u w:val="none"/>
    </w:rPr>
  </w:style>
  <w:style w:type="character" w:customStyle="1" w:styleId="CharChar213">
    <w:name w:val="Char Char213"/>
    <w:semiHidden/>
    <w:rPr>
      <w:rFonts w:ascii="Times New Roman" w:eastAsia="宋体" w:hAnsi="Times New Roman" w:cs="Times New Roman"/>
      <w:kern w:val="0"/>
      <w:sz w:val="24"/>
      <w:szCs w:val="24"/>
    </w:rPr>
  </w:style>
  <w:style w:type="character" w:customStyle="1" w:styleId="2Char20">
    <w:name w:val="正文文本缩进 2 Char2"/>
    <w:semiHidden/>
    <w:qFormat/>
    <w:rPr>
      <w:rFonts w:eastAsia="宋体"/>
      <w:sz w:val="24"/>
      <w:szCs w:val="24"/>
      <w:lang w:val="en-US" w:eastAsia="zh-CN" w:bidi="ar-SA"/>
    </w:rPr>
  </w:style>
  <w:style w:type="character" w:customStyle="1" w:styleId="Char1e">
    <w:name w:val="明显引用 Char1"/>
    <w:semiHidden/>
    <w:qFormat/>
    <w:rPr>
      <w:b/>
      <w:bCs/>
      <w:i/>
      <w:iCs/>
      <w:color w:val="4F81BD"/>
      <w:kern w:val="2"/>
      <w:sz w:val="21"/>
      <w:szCs w:val="24"/>
    </w:rPr>
  </w:style>
  <w:style w:type="character" w:customStyle="1" w:styleId="EmailStyle636">
    <w:name w:val="EmailStyle636"/>
    <w:semiHidden/>
    <w:rPr>
      <w:rFonts w:ascii="楷体_GB2312" w:eastAsia="楷体_GB2312"/>
      <w:b w:val="0"/>
      <w:bCs w:val="0"/>
      <w:i w:val="0"/>
      <w:iCs w:val="0"/>
      <w:strike w:val="0"/>
      <w:color w:val="auto"/>
      <w:sz w:val="21"/>
      <w:szCs w:val="21"/>
      <w:u w:val="none"/>
    </w:rPr>
  </w:style>
  <w:style w:type="character" w:customStyle="1" w:styleId="Char1f">
    <w:name w:val="信息标题 Char1"/>
    <w:uiPriority w:val="99"/>
    <w:semiHidden/>
    <w:rPr>
      <w:rFonts w:ascii="Cambria" w:eastAsia="宋体" w:hAnsi="Cambria" w:cs="Times New Roman"/>
      <w:kern w:val="2"/>
      <w:sz w:val="24"/>
      <w:szCs w:val="24"/>
      <w:shd w:val="pct20" w:color="auto" w:fill="auto"/>
    </w:rPr>
  </w:style>
  <w:style w:type="character" w:customStyle="1" w:styleId="da">
    <w:name w:val="da"/>
    <w:semiHidden/>
    <w:qFormat/>
  </w:style>
  <w:style w:type="character" w:customStyle="1" w:styleId="hangju3">
    <w:name w:val="hangju3"/>
    <w:semiHidden/>
    <w:rPr>
      <w:sz w:val="21"/>
    </w:rPr>
  </w:style>
  <w:style w:type="character" w:customStyle="1" w:styleId="CharChar238">
    <w:name w:val="Char Char238"/>
    <w:semiHidden/>
    <w:rPr>
      <w:sz w:val="18"/>
      <w:szCs w:val="18"/>
    </w:rPr>
  </w:style>
  <w:style w:type="character" w:customStyle="1" w:styleId="pdcitemrighteach1">
    <w:name w:val="pdcitemrighteach1"/>
    <w:semiHidden/>
    <w:rPr>
      <w:u w:val="single"/>
    </w:rPr>
  </w:style>
  <w:style w:type="character" w:customStyle="1" w:styleId="cont21">
    <w:name w:val="cont21"/>
    <w:semiHidden/>
    <w:rPr>
      <w:b/>
      <w:bCs/>
      <w:spacing w:val="400"/>
      <w:kern w:val="2"/>
      <w:sz w:val="28"/>
      <w:szCs w:val="28"/>
      <w:lang w:val="en-US" w:eastAsia="zh-CN" w:bidi="ar-SA"/>
    </w:rPr>
  </w:style>
  <w:style w:type="character" w:customStyle="1" w:styleId="Charf5">
    <w:name w:val="小四标准段落 Char"/>
    <w:link w:val="afffffa"/>
    <w:uiPriority w:val="99"/>
    <w:semiHidden/>
    <w:qFormat/>
    <w:rPr>
      <w:rFonts w:hAnsi="Calibri"/>
      <w:kern w:val="2"/>
      <w:sz w:val="21"/>
      <w:szCs w:val="22"/>
    </w:rPr>
  </w:style>
  <w:style w:type="paragraph" w:customStyle="1" w:styleId="afffffa">
    <w:name w:val="小四标准段落"/>
    <w:basedOn w:val="a"/>
    <w:link w:val="Charf5"/>
    <w:uiPriority w:val="99"/>
    <w:semiHidden/>
    <w:qFormat/>
    <w:pPr>
      <w:spacing w:before="120" w:after="120"/>
    </w:pPr>
    <w:rPr>
      <w:rFonts w:hAnsi="Calibri"/>
      <w:szCs w:val="22"/>
    </w:rPr>
  </w:style>
  <w:style w:type="character" w:customStyle="1" w:styleId="CharChar197">
    <w:name w:val="Char Char197"/>
    <w:semiHidden/>
    <w:rPr>
      <w:rFonts w:ascii="Times New Roman" w:eastAsia="宋体" w:hAnsi="Times New Roman" w:cs="Times New Roman"/>
      <w:szCs w:val="24"/>
    </w:rPr>
  </w:style>
  <w:style w:type="character" w:customStyle="1" w:styleId="CharChar233">
    <w:name w:val="Char Char233"/>
    <w:semiHidden/>
    <w:rPr>
      <w:sz w:val="18"/>
      <w:szCs w:val="18"/>
    </w:rPr>
  </w:style>
  <w:style w:type="character" w:customStyle="1" w:styleId="CharChar236">
    <w:name w:val="Char Char236"/>
    <w:semiHidden/>
    <w:rPr>
      <w:sz w:val="18"/>
      <w:szCs w:val="18"/>
    </w:rPr>
  </w:style>
  <w:style w:type="character" w:customStyle="1" w:styleId="newtext">
    <w:name w:val="new_text"/>
    <w:semiHidden/>
  </w:style>
  <w:style w:type="character" w:customStyle="1" w:styleId="CharChar216">
    <w:name w:val="Char Char216"/>
    <w:semiHidden/>
    <w:rPr>
      <w:rFonts w:ascii="Times New Roman" w:eastAsia="宋体" w:hAnsi="Times New Roman" w:cs="Times New Roman"/>
      <w:kern w:val="0"/>
      <w:sz w:val="24"/>
      <w:szCs w:val="24"/>
    </w:rPr>
  </w:style>
  <w:style w:type="character" w:customStyle="1" w:styleId="7Char1">
    <w:name w:val="标题 7 Char1"/>
    <w:aliases w:val="7 Char1,4号黑体左空2格行距1倍 Char,Legal Level 1.1. Char1,项标题(1) Char1,项目文件 Char1"/>
    <w:semiHidden/>
    <w:qFormat/>
    <w:rPr>
      <w:rFonts w:ascii="DFPKaiShu-GB5" w:eastAsia="DFPKaiShu-GB5" w:hAnsi="DFPKaiShu-GB5"/>
      <w:b/>
      <w:bCs/>
      <w:sz w:val="24"/>
      <w:szCs w:val="24"/>
      <w:lang w:eastAsia="en-US"/>
    </w:rPr>
  </w:style>
  <w:style w:type="character" w:customStyle="1" w:styleId="Charf6">
    <w:name w:val="章节标题 Char"/>
    <w:link w:val="afffffb"/>
    <w:semiHidden/>
    <w:rPr>
      <w:rFonts w:ascii="黑体" w:eastAsia="黑体" w:hAnsi="Calibri"/>
      <w:bCs/>
      <w:kern w:val="44"/>
      <w:sz w:val="36"/>
      <w:szCs w:val="36"/>
    </w:rPr>
  </w:style>
  <w:style w:type="paragraph" w:customStyle="1" w:styleId="afffffb">
    <w:name w:val="章节标题"/>
    <w:basedOn w:val="1"/>
    <w:link w:val="Charf6"/>
    <w:semiHidden/>
    <w:qFormat/>
    <w:pPr>
      <w:tabs>
        <w:tab w:val="clear" w:pos="1134"/>
        <w:tab w:val="left" w:pos="567"/>
      </w:tabs>
      <w:spacing w:beforeLines="0" w:before="100" w:beforeAutospacing="1" w:afterLines="0" w:after="100" w:afterAutospacing="1" w:line="360" w:lineRule="auto"/>
      <w:ind w:left="567" w:firstLineChars="0" w:hanging="567"/>
      <w:jc w:val="center"/>
    </w:pPr>
    <w:rPr>
      <w:rFonts w:ascii="黑体" w:eastAsia="黑体" w:hAnsi="Calibri"/>
      <w:b w:val="0"/>
      <w:sz w:val="36"/>
      <w:szCs w:val="36"/>
    </w:rPr>
  </w:style>
  <w:style w:type="character" w:customStyle="1" w:styleId="Heading6Char1">
    <w:name w:val="Heading 6 Char1"/>
    <w:semiHidden/>
    <w:rPr>
      <w:rFonts w:ascii="Arial" w:eastAsia="黑体" w:hAnsi="Arial"/>
      <w:b/>
      <w:bCs/>
      <w:kern w:val="2"/>
      <w:sz w:val="24"/>
      <w:szCs w:val="24"/>
    </w:rPr>
  </w:style>
  <w:style w:type="character" w:customStyle="1" w:styleId="CharCharCharChar13">
    <w:name w:val="Char Char Char Char13"/>
    <w:semiHidden/>
    <w:rPr>
      <w:rFonts w:ascii="宋体" w:eastAsia="宋体" w:hAnsi="宋体" w:cs="宋体" w:hint="eastAsia"/>
      <w:b/>
      <w:bCs/>
      <w:kern w:val="2"/>
      <w:sz w:val="28"/>
      <w:szCs w:val="24"/>
      <w:lang w:val="en-US" w:eastAsia="zh-CN" w:bidi="ar-SA"/>
    </w:rPr>
  </w:style>
  <w:style w:type="character" w:customStyle="1" w:styleId="EmailStyle643">
    <w:name w:val="EmailStyle643"/>
    <w:semiHidden/>
    <w:rPr>
      <w:rFonts w:ascii="楷体_GB2312" w:eastAsia="楷体_GB2312"/>
      <w:b w:val="0"/>
      <w:bCs w:val="0"/>
      <w:i w:val="0"/>
      <w:iCs w:val="0"/>
      <w:strike w:val="0"/>
      <w:color w:val="auto"/>
      <w:sz w:val="21"/>
      <w:szCs w:val="21"/>
      <w:u w:val="none"/>
    </w:rPr>
  </w:style>
  <w:style w:type="character" w:customStyle="1" w:styleId="Char30">
    <w:name w:val="普通(网站) Char3"/>
    <w:aliases w:val="普通 (Web)1 Char3"/>
    <w:uiPriority w:val="30"/>
    <w:semiHidden/>
    <w:locked/>
    <w:rPr>
      <w:rFonts w:ascii="Calibri" w:hAnsi="Calibri" w:cs="Arial"/>
      <w:b/>
      <w:bCs/>
      <w:i/>
      <w:iCs/>
      <w:sz w:val="22"/>
      <w:szCs w:val="22"/>
      <w:lang w:eastAsia="en-US" w:bidi="en-US"/>
    </w:rPr>
  </w:style>
  <w:style w:type="character" w:customStyle="1" w:styleId="HTMLChar3">
    <w:name w:val="HTML 预设格式 Char3"/>
    <w:semiHidden/>
    <w:qFormat/>
    <w:rPr>
      <w:rFonts w:ascii="Times New Roman" w:eastAsia="宋体" w:hAnsi="Courier New" w:cs="Courier New"/>
      <w:kern w:val="0"/>
      <w:sz w:val="20"/>
      <w:szCs w:val="20"/>
    </w:rPr>
  </w:style>
  <w:style w:type="character" w:customStyle="1" w:styleId="CharChar6">
    <w:name w:val="Char Char6"/>
    <w:aliases w:val="纯文本 Char5"/>
    <w:semiHidden/>
    <w:qFormat/>
    <w:rPr>
      <w:rFonts w:ascii="宋体" w:hAnsi="宋体"/>
      <w:color w:val="000000"/>
      <w:sz w:val="18"/>
    </w:rPr>
  </w:style>
  <w:style w:type="character" w:customStyle="1" w:styleId="intro">
    <w:name w:val="intro"/>
    <w:semiHidden/>
  </w:style>
  <w:style w:type="character" w:customStyle="1" w:styleId="z-2">
    <w:name w:val="z-窗体底端 字符2"/>
    <w:link w:val="z-"/>
    <w:uiPriority w:val="99"/>
    <w:semiHidden/>
    <w:qFormat/>
    <w:rPr>
      <w:rFonts w:ascii="Arial" w:hAnsi="Arial" w:cs="Arial"/>
      <w:vanish/>
      <w:kern w:val="2"/>
      <w:sz w:val="16"/>
      <w:szCs w:val="16"/>
    </w:rPr>
  </w:style>
  <w:style w:type="paragraph" w:styleId="z-">
    <w:name w:val="HTML Bottom of Form"/>
    <w:basedOn w:val="a"/>
    <w:next w:val="a"/>
    <w:link w:val="z-2"/>
    <w:uiPriority w:val="99"/>
    <w:semiHidden/>
    <w:pPr>
      <w:pBdr>
        <w:top w:val="single" w:sz="6" w:space="1" w:color="auto"/>
      </w:pBdr>
      <w:jc w:val="center"/>
    </w:pPr>
    <w:rPr>
      <w:rFonts w:ascii="Arial" w:hAnsi="Arial" w:cs="Arial"/>
      <w:vanish/>
      <w:sz w:val="16"/>
      <w:szCs w:val="16"/>
    </w:rPr>
  </w:style>
  <w:style w:type="character" w:customStyle="1" w:styleId="f915">
    <w:name w:val="f915"/>
    <w:semiHidden/>
  </w:style>
  <w:style w:type="character" w:customStyle="1" w:styleId="newsdisplaybtz1">
    <w:name w:val="news_display_bt_z1"/>
    <w:semiHidden/>
    <w:rPr>
      <w:b/>
      <w:bCs/>
      <w:color w:val="990000"/>
      <w:spacing w:val="600"/>
      <w:kern w:val="2"/>
      <w:sz w:val="40"/>
      <w:szCs w:val="40"/>
      <w:lang w:val="en-US" w:eastAsia="zh-CN" w:bidi="ar-SA"/>
    </w:rPr>
  </w:style>
  <w:style w:type="character" w:customStyle="1" w:styleId="CharChar131">
    <w:name w:val="Char Char131"/>
    <w:semiHidden/>
    <w:qFormat/>
    <w:rPr>
      <w:rFonts w:eastAsia="宋体"/>
      <w:kern w:val="2"/>
      <w:sz w:val="21"/>
      <w:szCs w:val="24"/>
      <w:lang w:val="en-US" w:eastAsia="zh-CN" w:bidi="ar-SA"/>
    </w:rPr>
  </w:style>
  <w:style w:type="character" w:customStyle="1" w:styleId="CharChar146">
    <w:name w:val="Char Char146"/>
    <w:semiHidden/>
    <w:rPr>
      <w:rFonts w:eastAsia="宋体"/>
      <w:kern w:val="2"/>
      <w:sz w:val="18"/>
      <w:szCs w:val="18"/>
      <w:lang w:val="en-US" w:eastAsia="zh-CN" w:bidi="ar-SA"/>
    </w:rPr>
  </w:style>
  <w:style w:type="character" w:customStyle="1" w:styleId="2fb">
    <w:name w:val="正文文本 2 字符"/>
    <w:aliases w:val="正文文字 2 Char1 字符"/>
    <w:semiHidden/>
    <w:qFormat/>
    <w:rPr>
      <w:rFonts w:ascii="Times New Roman" w:eastAsia="宋体" w:hAnsi="Times New Roman" w:cs="Times New Roman"/>
      <w:szCs w:val="24"/>
    </w:rPr>
  </w:style>
  <w:style w:type="character" w:customStyle="1" w:styleId="CharChar215">
    <w:name w:val="Char Char215"/>
    <w:semiHidden/>
    <w:rPr>
      <w:rFonts w:ascii="Times New Roman" w:eastAsia="宋体" w:hAnsi="Times New Roman" w:cs="Times New Roman"/>
      <w:kern w:val="0"/>
      <w:sz w:val="24"/>
      <w:szCs w:val="24"/>
    </w:rPr>
  </w:style>
  <w:style w:type="character" w:customStyle="1" w:styleId="Charf7">
    <w:name w:val="纯文本 Char"/>
    <w:aliases w:val="纯文本 Char3 Char Char1,纯文本 Char2 Char Char1 Char1,纯文本 Char Char1 Char Char1 Char1,纯文本 Char Char Char Char Char Char1 Char1,纯文本 Char1 Char Char Char Char Char1 Char1,纯文本 Char Char Char1 Char Char Char1 Char1,纯文本 Char2 Char Char,普通文字 Char, Char Cha"/>
    <w:uiPriority w:val="99"/>
    <w:semiHidden/>
    <w:qFormat/>
    <w:rPr>
      <w:rFonts w:ascii="宋体" w:hAnsi="Courier New"/>
      <w:color w:val="000000"/>
      <w:kern w:val="2"/>
      <w:sz w:val="28"/>
    </w:rPr>
  </w:style>
  <w:style w:type="character" w:customStyle="1" w:styleId="KW">
    <w:name w:val="K&amp;W"/>
    <w:semiHidden/>
    <w:qFormat/>
    <w:rPr>
      <w:rFonts w:ascii="Arial" w:hAnsi="Arial" w:cs="Arial"/>
      <w:color w:val="004473"/>
      <w:sz w:val="18"/>
      <w:szCs w:val="18"/>
      <w:lang w:val="en-US" w:eastAsia="en-US" w:bidi="ar-SA"/>
    </w:rPr>
  </w:style>
  <w:style w:type="character" w:customStyle="1" w:styleId="CharChar29">
    <w:name w:val="Char Char29"/>
    <w:semiHidden/>
    <w:rPr>
      <w:rFonts w:eastAsia="宋体"/>
      <w:snapToGrid w:val="0"/>
      <w:sz w:val="24"/>
      <w:szCs w:val="24"/>
      <w:lang w:val="en-US" w:eastAsia="zh-CN" w:bidi="ar-SA"/>
    </w:rPr>
  </w:style>
  <w:style w:type="character" w:customStyle="1" w:styleId="CharChar123">
    <w:name w:val="Char Char123"/>
    <w:semiHidden/>
    <w:rPr>
      <w:rFonts w:eastAsia="宋体"/>
      <w:b/>
      <w:bCs/>
      <w:kern w:val="2"/>
      <w:sz w:val="21"/>
      <w:szCs w:val="24"/>
      <w:lang w:val="en-US" w:eastAsia="zh-CN" w:bidi="ar-SA"/>
    </w:rPr>
  </w:style>
  <w:style w:type="character" w:customStyle="1" w:styleId="CharChar198">
    <w:name w:val="Char Char198"/>
    <w:semiHidden/>
    <w:rPr>
      <w:rFonts w:ascii="Times New Roman" w:eastAsia="宋体" w:hAnsi="Times New Roman" w:cs="Times New Roman"/>
      <w:szCs w:val="24"/>
    </w:rPr>
  </w:style>
  <w:style w:type="character" w:customStyle="1" w:styleId="w21">
    <w:name w:val="w21"/>
    <w:semiHidden/>
    <w:rPr>
      <w:rFonts w:ascii="ˎ̥" w:hAnsi="ˎ̥" w:hint="default"/>
      <w:b/>
      <w:bCs/>
      <w:color w:val="000000"/>
      <w:sz w:val="27"/>
      <w:szCs w:val="27"/>
    </w:rPr>
  </w:style>
  <w:style w:type="character" w:customStyle="1" w:styleId="EmailStyle583">
    <w:name w:val="EmailStyle583"/>
    <w:semiHidden/>
    <w:rPr>
      <w:rFonts w:ascii="楷体_GB2312" w:eastAsia="楷体_GB2312"/>
      <w:b w:val="0"/>
      <w:bCs w:val="0"/>
      <w:i w:val="0"/>
      <w:iCs w:val="0"/>
      <w:strike w:val="0"/>
      <w:color w:val="auto"/>
      <w:sz w:val="21"/>
      <w:szCs w:val="21"/>
      <w:u w:val="none"/>
    </w:rPr>
  </w:style>
  <w:style w:type="character" w:customStyle="1" w:styleId="text1">
    <w:name w:val="text1"/>
    <w:semiHidden/>
    <w:rPr>
      <w:rFonts w:eastAsia="宋体"/>
      <w:color w:val="003300"/>
      <w:spacing w:val="480"/>
      <w:kern w:val="2"/>
      <w:sz w:val="28"/>
      <w:szCs w:val="28"/>
      <w:lang w:val="en-US" w:eastAsia="zh-CN" w:bidi="ar-SA"/>
    </w:rPr>
  </w:style>
  <w:style w:type="character" w:customStyle="1" w:styleId="CharChar56">
    <w:name w:val="Char Char56"/>
    <w:semiHidden/>
    <w:rPr>
      <w:rFonts w:eastAsia="宋体"/>
      <w:sz w:val="24"/>
      <w:szCs w:val="24"/>
      <w:lang w:val="en-US" w:eastAsia="zh-CN" w:bidi="ar-SA"/>
    </w:rPr>
  </w:style>
  <w:style w:type="character" w:customStyle="1" w:styleId="CharChar99">
    <w:name w:val="Char Char99"/>
    <w:semiHidden/>
    <w:rPr>
      <w:rFonts w:eastAsia="宋体"/>
      <w:sz w:val="24"/>
      <w:szCs w:val="24"/>
      <w:lang w:val="en-US" w:eastAsia="zh-CN" w:bidi="ar-SA"/>
    </w:rPr>
  </w:style>
  <w:style w:type="character" w:customStyle="1" w:styleId="CharChar95">
    <w:name w:val="Char Char95"/>
    <w:semiHidden/>
    <w:rPr>
      <w:rFonts w:eastAsia="宋体"/>
      <w:sz w:val="24"/>
      <w:szCs w:val="24"/>
      <w:lang w:val="en-US" w:eastAsia="zh-CN" w:bidi="ar-SA"/>
    </w:rPr>
  </w:style>
  <w:style w:type="character" w:customStyle="1" w:styleId="Charf8">
    <w:name w:val="（二） Char"/>
    <w:link w:val="afffffc"/>
    <w:uiPriority w:val="99"/>
    <w:semiHidden/>
    <w:rPr>
      <w:rFonts w:ascii="黑体" w:eastAsia="黑体" w:hAnsi="黑体"/>
      <w:b/>
      <w:kern w:val="2"/>
      <w:sz w:val="21"/>
      <w:szCs w:val="21"/>
    </w:rPr>
  </w:style>
  <w:style w:type="paragraph" w:customStyle="1" w:styleId="afffffc">
    <w:name w:val="（二）"/>
    <w:basedOn w:val="3--"/>
    <w:link w:val="Charf8"/>
    <w:uiPriority w:val="99"/>
    <w:semiHidden/>
    <w:qFormat/>
    <w:pPr>
      <w:spacing w:before="156" w:after="156"/>
      <w:ind w:firstLine="482"/>
    </w:pPr>
  </w:style>
  <w:style w:type="character" w:customStyle="1" w:styleId="CharChar2610">
    <w:name w:val="Char Char2610"/>
    <w:semiHidden/>
    <w:rPr>
      <w:rFonts w:eastAsia="宋体"/>
      <w:snapToGrid w:val="0"/>
      <w:sz w:val="24"/>
      <w:szCs w:val="24"/>
      <w:lang w:val="en-US" w:eastAsia="zh-CN" w:bidi="ar-SA"/>
    </w:rPr>
  </w:style>
  <w:style w:type="character" w:customStyle="1" w:styleId="hj1">
    <w:name w:val="hj1"/>
    <w:semiHidden/>
    <w:rPr>
      <w:b/>
      <w:bCs/>
      <w:strike w:val="0"/>
      <w:dstrike w:val="0"/>
      <w:color w:val="000000"/>
      <w:spacing w:val="320"/>
      <w:kern w:val="2"/>
      <w:sz w:val="24"/>
      <w:szCs w:val="24"/>
      <w:u w:val="none"/>
      <w:lang w:val="en-US" w:eastAsia="zh-CN" w:bidi="ar-SA"/>
    </w:rPr>
  </w:style>
  <w:style w:type="character" w:customStyle="1" w:styleId="longtext1">
    <w:name w:val="long_text1"/>
    <w:semiHidden/>
    <w:rPr>
      <w:sz w:val="20"/>
      <w:szCs w:val="20"/>
    </w:rPr>
  </w:style>
  <w:style w:type="character" w:customStyle="1" w:styleId="3zw1">
    <w:name w:val="3zw1"/>
    <w:semiHidden/>
    <w:rPr>
      <w:color w:val="000000"/>
      <w:sz w:val="21"/>
      <w:szCs w:val="21"/>
    </w:rPr>
  </w:style>
  <w:style w:type="character" w:customStyle="1" w:styleId="EmailStyle637">
    <w:name w:val="EmailStyle637"/>
    <w:semiHidden/>
    <w:rPr>
      <w:rFonts w:ascii="楷体_GB2312" w:eastAsia="楷体_GB2312"/>
      <w:b w:val="0"/>
      <w:bCs w:val="0"/>
      <w:i w:val="0"/>
      <w:iCs w:val="0"/>
      <w:strike w:val="0"/>
      <w:color w:val="auto"/>
      <w:sz w:val="21"/>
      <w:szCs w:val="21"/>
      <w:u w:val="none"/>
    </w:rPr>
  </w:style>
  <w:style w:type="character" w:customStyle="1" w:styleId="EmailStyle626">
    <w:name w:val="EmailStyle626"/>
    <w:semiHidden/>
    <w:rPr>
      <w:rFonts w:ascii="楷体_GB2312" w:eastAsia="楷体_GB2312"/>
      <w:b w:val="0"/>
      <w:bCs w:val="0"/>
      <w:i w:val="0"/>
      <w:iCs w:val="0"/>
      <w:strike w:val="0"/>
      <w:color w:val="auto"/>
      <w:sz w:val="21"/>
      <w:szCs w:val="21"/>
      <w:u w:val="none"/>
    </w:rPr>
  </w:style>
  <w:style w:type="character" w:customStyle="1" w:styleId="3CharCharCharCharCharCharCharChar1">
    <w:name w:val="标题 3 Char Char Char Char Char Char Char Char1"/>
    <w:aliases w:val=" Char Char Char Char Char Char Char Char,标题 31 Char,标题 3 Char Char Char Char Char Char Char1 Char, Char1 Char Char, Char1 Char Char Char1, Char1 Char Char Char Char Char Char"/>
    <w:semiHidden/>
    <w:rPr>
      <w:rFonts w:eastAsia="宋体"/>
      <w:b/>
      <w:bCs/>
      <w:kern w:val="2"/>
      <w:sz w:val="32"/>
      <w:szCs w:val="32"/>
      <w:lang w:val="en-US" w:eastAsia="zh-CN" w:bidi="ar-SA"/>
    </w:rPr>
  </w:style>
  <w:style w:type="character" w:customStyle="1" w:styleId="CharChar310">
    <w:name w:val="Char Char310"/>
    <w:semiHidden/>
    <w:rPr>
      <w:rFonts w:ascii="宋体" w:hAnsi="宋体"/>
      <w:color w:val="FF0000"/>
      <w:kern w:val="2"/>
      <w:sz w:val="24"/>
      <w:szCs w:val="24"/>
    </w:rPr>
  </w:style>
  <w:style w:type="character" w:customStyle="1" w:styleId="z-0">
    <w:name w:val="z-窗体底端 字符"/>
    <w:uiPriority w:val="99"/>
    <w:semiHidden/>
    <w:qFormat/>
    <w:rPr>
      <w:rFonts w:ascii="Arial" w:eastAsia="宋体" w:hAnsi="Arial" w:cs="Times New Roman"/>
      <w:vanish/>
      <w:kern w:val="0"/>
      <w:sz w:val="16"/>
      <w:szCs w:val="16"/>
    </w:rPr>
  </w:style>
  <w:style w:type="character" w:customStyle="1" w:styleId="CharChar0">
    <w:name w:val="样式 正文文本正文文字 + (中文) 黑体 加粗 Char Char"/>
    <w:semiHidden/>
    <w:rPr>
      <w:rFonts w:eastAsia="黑体"/>
      <w:b/>
      <w:bCs/>
      <w:kern w:val="2"/>
      <w:sz w:val="21"/>
      <w:szCs w:val="24"/>
      <w:lang w:val="en-US" w:eastAsia="zh-CN" w:bidi="ar-SA"/>
    </w:rPr>
  </w:style>
  <w:style w:type="character" w:customStyle="1" w:styleId="CharChar132">
    <w:name w:val="Char Char132"/>
    <w:semiHidden/>
    <w:rPr>
      <w:rFonts w:eastAsia="宋体"/>
      <w:kern w:val="2"/>
      <w:sz w:val="21"/>
      <w:szCs w:val="24"/>
      <w:lang w:val="en-US" w:eastAsia="zh-CN" w:bidi="ar-SA"/>
    </w:rPr>
  </w:style>
  <w:style w:type="character" w:customStyle="1" w:styleId="CharChar94">
    <w:name w:val="Char Char94"/>
    <w:semiHidden/>
    <w:rPr>
      <w:rFonts w:eastAsia="宋体"/>
      <w:sz w:val="24"/>
      <w:szCs w:val="24"/>
      <w:lang w:val="en-US" w:eastAsia="zh-CN" w:bidi="ar-SA"/>
    </w:rPr>
  </w:style>
  <w:style w:type="character" w:customStyle="1" w:styleId="CharChar196">
    <w:name w:val="Char Char196"/>
    <w:semiHidden/>
    <w:rPr>
      <w:rFonts w:ascii="Times New Roman" w:eastAsia="宋体" w:hAnsi="Times New Roman" w:cs="Times New Roman"/>
      <w:szCs w:val="24"/>
    </w:rPr>
  </w:style>
  <w:style w:type="character" w:customStyle="1" w:styleId="1Char3">
    <w:name w:val="1、、 Char"/>
    <w:link w:val="1f6"/>
    <w:semiHidden/>
    <w:rPr>
      <w:rFonts w:ascii="黑体" w:eastAsia="黑体" w:hAnsi="黑体"/>
      <w:b/>
      <w:bCs/>
      <w:kern w:val="2"/>
      <w:sz w:val="24"/>
      <w:szCs w:val="28"/>
    </w:rPr>
  </w:style>
  <w:style w:type="paragraph" w:customStyle="1" w:styleId="1f6">
    <w:name w:val="1、、"/>
    <w:basedOn w:val="4-1-"/>
    <w:link w:val="1Char3"/>
    <w:semiHidden/>
    <w:qFormat/>
    <w:pPr>
      <w:spacing w:before="156" w:after="156"/>
    </w:pPr>
    <w:rPr>
      <w:rFonts w:ascii="黑体" w:hAnsi="黑体"/>
    </w:rPr>
  </w:style>
  <w:style w:type="character" w:customStyle="1" w:styleId="EmailStyle632">
    <w:name w:val="EmailStyle632"/>
    <w:semiHidden/>
    <w:rPr>
      <w:rFonts w:ascii="楷体_GB2312" w:eastAsia="楷体_GB2312"/>
      <w:b w:val="0"/>
      <w:bCs w:val="0"/>
      <w:i w:val="0"/>
      <w:iCs w:val="0"/>
      <w:strike w:val="0"/>
      <w:color w:val="auto"/>
      <w:sz w:val="21"/>
      <w:szCs w:val="21"/>
      <w:u w:val="none"/>
    </w:rPr>
  </w:style>
  <w:style w:type="character" w:customStyle="1" w:styleId="Charf9">
    <w:name w:val="附注二级 Char"/>
    <w:link w:val="afffffd"/>
    <w:semiHidden/>
    <w:rPr>
      <w:b/>
      <w:kern w:val="2"/>
      <w:sz w:val="21"/>
      <w:szCs w:val="22"/>
    </w:rPr>
  </w:style>
  <w:style w:type="paragraph" w:customStyle="1" w:styleId="afffffd">
    <w:name w:val="附注二级"/>
    <w:basedOn w:val="a"/>
    <w:link w:val="Charf9"/>
    <w:semiHidden/>
    <w:qFormat/>
    <w:pPr>
      <w:tabs>
        <w:tab w:val="left" w:pos="714"/>
      </w:tabs>
      <w:adjustRightInd w:val="0"/>
      <w:snapToGrid w:val="0"/>
      <w:spacing w:line="400" w:lineRule="exact"/>
      <w:ind w:left="756" w:hanging="770"/>
      <w:outlineLvl w:val="0"/>
    </w:pPr>
    <w:rPr>
      <w:b/>
      <w:szCs w:val="22"/>
    </w:rPr>
  </w:style>
  <w:style w:type="character" w:customStyle="1" w:styleId="Char4CharChar1">
    <w:name w:val="Char4 Char Char1"/>
    <w:semiHidden/>
    <w:rPr>
      <w:rFonts w:eastAsia="宋体"/>
      <w:b/>
      <w:bCs/>
      <w:sz w:val="24"/>
      <w:szCs w:val="24"/>
      <w:lang w:val="en-US" w:eastAsia="zh-CN" w:bidi="ar-SA"/>
    </w:rPr>
  </w:style>
  <w:style w:type="character" w:customStyle="1" w:styleId="z-1">
    <w:name w:val="z-窗体顶端 字符1"/>
    <w:uiPriority w:val="99"/>
    <w:semiHidden/>
    <w:qFormat/>
    <w:rPr>
      <w:rFonts w:ascii="Arial" w:hAnsi="Arial" w:cs="Arial"/>
      <w:vanish/>
      <w:sz w:val="16"/>
      <w:szCs w:val="16"/>
    </w:rPr>
  </w:style>
  <w:style w:type="character" w:customStyle="1" w:styleId="EmailStyle5441">
    <w:name w:val="EmailStyle5441"/>
    <w:semiHidden/>
    <w:rPr>
      <w:rFonts w:ascii="楷体_GB2312" w:eastAsia="楷体_GB2312"/>
      <w:b w:val="0"/>
      <w:bCs w:val="0"/>
      <w:i w:val="0"/>
      <w:iCs w:val="0"/>
      <w:strike w:val="0"/>
      <w:color w:val="auto"/>
      <w:sz w:val="21"/>
      <w:szCs w:val="21"/>
      <w:u w:val="none"/>
    </w:rPr>
  </w:style>
  <w:style w:type="character" w:customStyle="1" w:styleId="CharChar226">
    <w:name w:val="Char Char226"/>
    <w:semiHidden/>
    <w:rPr>
      <w:rFonts w:ascii="Times New Roman" w:eastAsia="宋体" w:hAnsi="Times New Roman" w:cs="Times New Roman"/>
      <w:snapToGrid w:val="0"/>
      <w:kern w:val="0"/>
      <w:sz w:val="24"/>
      <w:szCs w:val="24"/>
    </w:rPr>
  </w:style>
  <w:style w:type="character" w:customStyle="1" w:styleId="3f2">
    <w:name w:val="正文文本缩进 3 字符"/>
    <w:aliases w:val="正文文字缩进 3 字符1,正文文字缩进 3 + (符号) Arial Narrow 字符,行距: 固定值 25 磅 字符,首行缩进:  2 字符 字符"/>
    <w:semiHidden/>
    <w:qFormat/>
    <w:rPr>
      <w:rFonts w:ascii="Times New Roman" w:eastAsia="宋体" w:hAnsi="Times New Roman" w:cs="Times New Roman"/>
      <w:bCs/>
      <w:sz w:val="28"/>
      <w:szCs w:val="28"/>
    </w:rPr>
  </w:style>
  <w:style w:type="character" w:customStyle="1" w:styleId="big">
    <w:name w:val="big"/>
    <w:uiPriority w:val="1"/>
    <w:semiHidden/>
    <w:qFormat/>
  </w:style>
  <w:style w:type="character" w:customStyle="1" w:styleId="CharChar2311">
    <w:name w:val="Char Char2311"/>
    <w:semiHidden/>
    <w:rPr>
      <w:sz w:val="18"/>
      <w:szCs w:val="18"/>
    </w:rPr>
  </w:style>
  <w:style w:type="character" w:customStyle="1" w:styleId="CharChar61">
    <w:name w:val="Char Char61"/>
    <w:semiHidden/>
    <w:qFormat/>
    <w:rPr>
      <w:rFonts w:ascii="Times New Roman" w:eastAsia="宋体" w:hAnsi="Times New Roman" w:cs="Times New Roman"/>
      <w:sz w:val="18"/>
      <w:szCs w:val="18"/>
    </w:rPr>
  </w:style>
  <w:style w:type="character" w:customStyle="1" w:styleId="Charfa">
    <w:name w:val="表左 Char"/>
    <w:link w:val="afffffe"/>
    <w:semiHidden/>
    <w:rPr>
      <w:rFonts w:ascii="Calibri" w:hAnsi="Calibri"/>
      <w:kern w:val="2"/>
      <w:sz w:val="21"/>
      <w:szCs w:val="21"/>
    </w:rPr>
  </w:style>
  <w:style w:type="paragraph" w:customStyle="1" w:styleId="afffffe">
    <w:name w:val="表左"/>
    <w:basedOn w:val="a"/>
    <w:link w:val="Charfa"/>
    <w:semiHidden/>
    <w:qFormat/>
    <w:pPr>
      <w:adjustRightInd w:val="0"/>
      <w:snapToGrid w:val="0"/>
    </w:pPr>
    <w:rPr>
      <w:rFonts w:ascii="Calibri" w:hAnsi="Calibri"/>
    </w:rPr>
  </w:style>
  <w:style w:type="character" w:customStyle="1" w:styleId="EmailStyle3781">
    <w:name w:val="EmailStyle3781"/>
    <w:semiHidden/>
    <w:rPr>
      <w:rFonts w:ascii="楷体_GB2312" w:eastAsia="楷体_GB2312"/>
      <w:b w:val="0"/>
      <w:bCs w:val="0"/>
      <w:i w:val="0"/>
      <w:iCs w:val="0"/>
      <w:strike w:val="0"/>
      <w:color w:val="auto"/>
      <w:sz w:val="21"/>
      <w:szCs w:val="21"/>
      <w:u w:val="none"/>
    </w:rPr>
  </w:style>
  <w:style w:type="character" w:customStyle="1" w:styleId="CharChar143">
    <w:name w:val="Char Char143"/>
    <w:semiHidden/>
    <w:rPr>
      <w:rFonts w:eastAsia="宋体"/>
      <w:kern w:val="2"/>
      <w:sz w:val="18"/>
      <w:szCs w:val="18"/>
      <w:lang w:val="en-US" w:eastAsia="zh-CN" w:bidi="ar-SA"/>
    </w:rPr>
  </w:style>
  <w:style w:type="character" w:customStyle="1" w:styleId="affffff">
    <w:name w:val="中石化_节"/>
    <w:uiPriority w:val="99"/>
    <w:semiHidden/>
    <w:rPr>
      <w:rFonts w:eastAsia="Times New Roman" w:cs="Times New Roman"/>
      <w:b/>
      <w:kern w:val="0"/>
      <w:sz w:val="36"/>
      <w:szCs w:val="36"/>
    </w:rPr>
  </w:style>
  <w:style w:type="character" w:customStyle="1" w:styleId="5Char">
    <w:name w:val="标题 5 Char"/>
    <w:aliases w:val="5 Char,H5 Char2,口 Char2,口1 Char2,口2 Char1,3号宋体居中行距1.5倍 Char1,Level 3 - i Char,法律法规 Char,A. Char,表文 Char,Lev 5 Char,（1） Char, Char2 Char,Char2 Char,AA-章节标题 Char1,Level 3 - (i) Char,dash Char,ds Char,dd Char,h5 Char,标题 3、 Char,五 Char,标题 5 Char2"/>
    <w:uiPriority w:val="99"/>
    <w:semiHidden/>
    <w:qFormat/>
    <w:rPr>
      <w:rFonts w:ascii="Arial" w:hAnsi="Arial"/>
    </w:rPr>
  </w:style>
  <w:style w:type="character" w:customStyle="1" w:styleId="CharChar109">
    <w:name w:val="Char Char109"/>
    <w:semiHidden/>
    <w:rPr>
      <w:rFonts w:eastAsia="宋体"/>
      <w:b/>
      <w:kern w:val="2"/>
      <w:sz w:val="32"/>
      <w:lang w:val="en-US" w:eastAsia="zh-CN"/>
    </w:rPr>
  </w:style>
  <w:style w:type="character" w:customStyle="1" w:styleId="Charfb">
    <w:name w:val="批注文字 Char"/>
    <w:uiPriority w:val="99"/>
    <w:semiHidden/>
    <w:qFormat/>
    <w:rPr>
      <w:kern w:val="2"/>
      <w:sz w:val="21"/>
      <w:szCs w:val="24"/>
    </w:rPr>
  </w:style>
  <w:style w:type="character" w:customStyle="1" w:styleId="Charfc">
    <w:name w:val="建材报告标题 Char"/>
    <w:link w:val="affffff0"/>
    <w:semiHidden/>
    <w:rPr>
      <w:rFonts w:ascii="仿宋" w:eastAsia="仿宋_GB2312" w:hAnsi="仿宋"/>
      <w:b/>
      <w:bCs/>
      <w:kern w:val="2"/>
      <w:sz w:val="24"/>
      <w:szCs w:val="22"/>
    </w:rPr>
  </w:style>
  <w:style w:type="paragraph" w:customStyle="1" w:styleId="affffff0">
    <w:name w:val="建材报告标题"/>
    <w:basedOn w:val="305"/>
    <w:link w:val="Charfc"/>
    <w:semiHidden/>
    <w:qFormat/>
    <w:pPr>
      <w:spacing w:before="156" w:after="156"/>
    </w:pPr>
    <w:rPr>
      <w:rFonts w:ascii="仿宋" w:eastAsia="仿宋_GB2312" w:hAnsi="仿宋"/>
    </w:rPr>
  </w:style>
  <w:style w:type="character" w:customStyle="1" w:styleId="pblock">
    <w:name w:val="pblock"/>
    <w:semiHidden/>
  </w:style>
  <w:style w:type="character" w:customStyle="1" w:styleId="EmailStyle602">
    <w:name w:val="EmailStyle602"/>
    <w:semiHidden/>
    <w:rPr>
      <w:rFonts w:ascii="楷体_GB2312" w:eastAsia="楷体_GB2312"/>
      <w:b w:val="0"/>
      <w:bCs w:val="0"/>
      <w:i w:val="0"/>
      <w:iCs w:val="0"/>
      <w:strike w:val="0"/>
      <w:color w:val="auto"/>
      <w:sz w:val="21"/>
      <w:szCs w:val="21"/>
      <w:u w:val="none"/>
    </w:rPr>
  </w:style>
  <w:style w:type="character" w:customStyle="1" w:styleId="zgdChar">
    <w:name w:val="样式zgd Char"/>
    <w:link w:val="zgd"/>
    <w:semiHidden/>
    <w:rPr>
      <w:rFonts w:ascii="Arial" w:hAnsi="Arial"/>
      <w:kern w:val="2"/>
      <w:sz w:val="21"/>
      <w:szCs w:val="21"/>
    </w:rPr>
  </w:style>
  <w:style w:type="paragraph" w:customStyle="1" w:styleId="zgd">
    <w:name w:val="样式zgd"/>
    <w:basedOn w:val="a"/>
    <w:link w:val="zgdChar"/>
    <w:semiHidden/>
    <w:qFormat/>
    <w:pPr>
      <w:spacing w:afterLines="50" w:line="360" w:lineRule="auto"/>
      <w:ind w:firstLineChars="200" w:firstLine="480"/>
    </w:pPr>
    <w:rPr>
      <w:rFonts w:ascii="Arial" w:hAnsi="Arial"/>
    </w:rPr>
  </w:style>
  <w:style w:type="character" w:customStyle="1" w:styleId="nomal1">
    <w:name w:val="nomal1"/>
    <w:semiHidden/>
    <w:rPr>
      <w:b/>
      <w:bCs/>
      <w:color w:val="000000"/>
      <w:kern w:val="2"/>
      <w:sz w:val="28"/>
      <w:szCs w:val="28"/>
      <w:lang w:val="en-US" w:eastAsia="zh-CN" w:bidi="ar-SA"/>
    </w:rPr>
  </w:style>
  <w:style w:type="character" w:customStyle="1" w:styleId="EmailStyle652">
    <w:name w:val="EmailStyle652"/>
    <w:semiHidden/>
    <w:rPr>
      <w:rFonts w:ascii="楷体_GB2312" w:eastAsia="楷体_GB2312"/>
      <w:b w:val="0"/>
      <w:bCs w:val="0"/>
      <w:i w:val="0"/>
      <w:iCs w:val="0"/>
      <w:strike w:val="0"/>
      <w:color w:val="auto"/>
      <w:sz w:val="21"/>
      <w:szCs w:val="21"/>
      <w:u w:val="none"/>
    </w:rPr>
  </w:style>
  <w:style w:type="character" w:customStyle="1" w:styleId="ArialChar">
    <w:name w:val="正文 + Arial Char"/>
    <w:link w:val="Arial"/>
    <w:semiHidden/>
    <w:rPr>
      <w:rFonts w:ascii="Arial" w:hAnsi="Calibri"/>
      <w:kern w:val="2"/>
      <w:sz w:val="21"/>
      <w:szCs w:val="21"/>
    </w:rPr>
  </w:style>
  <w:style w:type="paragraph" w:customStyle="1" w:styleId="Arial">
    <w:name w:val="正文 + Arial"/>
    <w:basedOn w:val="a"/>
    <w:link w:val="ArialChar"/>
    <w:semiHidden/>
    <w:qFormat/>
    <w:pPr>
      <w:spacing w:afterLines="50" w:line="360" w:lineRule="auto"/>
      <w:ind w:firstLineChars="200" w:firstLine="420"/>
    </w:pPr>
    <w:rPr>
      <w:rFonts w:ascii="Arial" w:hAnsi="Calibri"/>
    </w:rPr>
  </w:style>
  <w:style w:type="character" w:customStyle="1" w:styleId="EmailStyle5211">
    <w:name w:val="EmailStyle5211"/>
    <w:semiHidden/>
    <w:rPr>
      <w:rFonts w:ascii="楷体_GB2312" w:eastAsia="楷体_GB2312"/>
      <w:b w:val="0"/>
      <w:bCs w:val="0"/>
      <w:i w:val="0"/>
      <w:iCs w:val="0"/>
      <w:strike w:val="0"/>
      <w:color w:val="auto"/>
      <w:sz w:val="21"/>
      <w:szCs w:val="21"/>
      <w:u w:val="none"/>
    </w:rPr>
  </w:style>
  <w:style w:type="character" w:customStyle="1" w:styleId="CharChar194">
    <w:name w:val="Char Char194"/>
    <w:semiHidden/>
    <w:rPr>
      <w:rFonts w:ascii="Times New Roman" w:eastAsia="宋体" w:hAnsi="Times New Roman" w:cs="Times New Roman"/>
      <w:szCs w:val="24"/>
    </w:rPr>
  </w:style>
  <w:style w:type="character" w:customStyle="1" w:styleId="longtext">
    <w:name w:val="long_text"/>
    <w:semiHidden/>
  </w:style>
  <w:style w:type="character" w:customStyle="1" w:styleId="CharChar1CharChar1">
    <w:name w:val="招股书正文 Char Char1 Char Char1"/>
    <w:link w:val="CharChar1Char"/>
    <w:semiHidden/>
    <w:qFormat/>
    <w:rPr>
      <w:kern w:val="2"/>
      <w:sz w:val="24"/>
      <w:szCs w:val="24"/>
    </w:rPr>
  </w:style>
  <w:style w:type="paragraph" w:customStyle="1" w:styleId="CharChar1Char">
    <w:name w:val="招股书正文 Char Char1 Char"/>
    <w:link w:val="CharChar1CharChar1"/>
    <w:semiHidden/>
    <w:qFormat/>
    <w:pPr>
      <w:widowControl w:val="0"/>
      <w:overflowPunct w:val="0"/>
      <w:autoSpaceDE w:val="0"/>
      <w:autoSpaceDN w:val="0"/>
      <w:adjustRightInd w:val="0"/>
      <w:snapToGrid w:val="0"/>
      <w:spacing w:before="120" w:line="360" w:lineRule="auto"/>
      <w:ind w:firstLineChars="200" w:firstLine="480"/>
    </w:pPr>
    <w:rPr>
      <w:kern w:val="2"/>
      <w:sz w:val="24"/>
      <w:szCs w:val="24"/>
    </w:rPr>
  </w:style>
  <w:style w:type="character" w:customStyle="1" w:styleId="heig">
    <w:name w:val="heig"/>
    <w:semiHidden/>
  </w:style>
  <w:style w:type="character" w:customStyle="1" w:styleId="content1">
    <w:name w:val="content1"/>
    <w:semiHidden/>
    <w:qFormat/>
    <w:rPr>
      <w:color w:val="000000"/>
      <w:spacing w:val="400"/>
      <w:sz w:val="21"/>
      <w:szCs w:val="21"/>
    </w:rPr>
  </w:style>
  <w:style w:type="character" w:customStyle="1" w:styleId="CharChar187">
    <w:name w:val="Char Char187"/>
    <w:semiHidden/>
    <w:rPr>
      <w:rFonts w:ascii="Times New Roman" w:eastAsia="宋体" w:hAnsi="Times New Roman" w:cs="Times New Roman"/>
      <w:kern w:val="0"/>
      <w:sz w:val="18"/>
      <w:szCs w:val="18"/>
    </w:rPr>
  </w:style>
  <w:style w:type="character" w:customStyle="1" w:styleId="CharChar221">
    <w:name w:val="Char Char221"/>
    <w:semiHidden/>
    <w:rPr>
      <w:rFonts w:ascii="Times New Roman" w:eastAsia="宋体" w:hAnsi="Times New Roman" w:cs="Times New Roman"/>
      <w:snapToGrid w:val="0"/>
      <w:kern w:val="0"/>
      <w:sz w:val="24"/>
      <w:szCs w:val="24"/>
    </w:rPr>
  </w:style>
  <w:style w:type="character" w:customStyle="1" w:styleId="XChar">
    <w:name w:val="招股书标题第X节 Char"/>
    <w:link w:val="X"/>
    <w:semiHidden/>
    <w:rPr>
      <w:rFonts w:ascii="Arial" w:eastAsia="黑体" w:hAnsi="Arial"/>
      <w:b/>
      <w:bCs/>
      <w:kern w:val="44"/>
      <w:sz w:val="36"/>
      <w:szCs w:val="44"/>
    </w:rPr>
  </w:style>
  <w:style w:type="paragraph" w:customStyle="1" w:styleId="X">
    <w:name w:val="招股书标题第X节"/>
    <w:basedOn w:val="a"/>
    <w:link w:val="XChar"/>
    <w:semiHidden/>
    <w:qFormat/>
    <w:pPr>
      <w:keepNext/>
      <w:keepLines/>
      <w:spacing w:before="340" w:after="330" w:line="360" w:lineRule="auto"/>
      <w:jc w:val="center"/>
      <w:outlineLvl w:val="0"/>
    </w:pPr>
    <w:rPr>
      <w:rFonts w:ascii="Arial" w:eastAsia="黑体" w:hAnsi="Arial"/>
      <w:b/>
      <w:bCs/>
      <w:kern w:val="44"/>
      <w:sz w:val="36"/>
      <w:szCs w:val="44"/>
    </w:rPr>
  </w:style>
  <w:style w:type="character" w:customStyle="1" w:styleId="Charfd">
    <w:name w:val="正文文本缩进 Char"/>
    <w:aliases w:val="特点标题 Char,正文文字缩进 Char,北山简报正文 Char,Body Text Indent Char,正文文字首行缩进 Char,正文文字 21 Char,Body Text(ch) Char,正文文字 Char Char Char Char1,楷体粗正文文字 Char,HD正文1 Char, ändrad Char,EHPT Char,Body Text2 Char,ändrad Char,EHPT1 Char,Body Text21 Char,正文文本 2 Cha"/>
    <w:semiHidden/>
    <w:qFormat/>
    <w:rPr>
      <w:rFonts w:ascii="Times New Roman" w:eastAsia="宋体" w:hAnsi="Times New Roman" w:cs="Times New Roman"/>
      <w:szCs w:val="24"/>
    </w:rPr>
  </w:style>
  <w:style w:type="character" w:customStyle="1" w:styleId="9Char1">
    <w:name w:val="标题 9 Char1"/>
    <w:aliases w:val="9 Char,Legal Level 1.1.1.1. Char1,AppendixBodyHead Char1,h9 Char1,干标题(a) Char1,表格内容5号宋体居中 Char1,标题  1 Char1"/>
    <w:semiHidden/>
    <w:qFormat/>
    <w:rPr>
      <w:rFonts w:ascii="Cambria" w:eastAsia="宋体" w:hAnsi="Cambria" w:cs="Times New Roman"/>
      <w:sz w:val="21"/>
      <w:szCs w:val="21"/>
      <w:lang w:eastAsia="en-US"/>
    </w:rPr>
  </w:style>
  <w:style w:type="character" w:customStyle="1" w:styleId="EmailStyle613">
    <w:name w:val="EmailStyle613"/>
    <w:semiHidden/>
    <w:rPr>
      <w:rFonts w:ascii="楷体_GB2312" w:eastAsia="楷体_GB2312"/>
      <w:b w:val="0"/>
      <w:bCs w:val="0"/>
      <w:i w:val="0"/>
      <w:iCs w:val="0"/>
      <w:strike w:val="0"/>
      <w:color w:val="auto"/>
      <w:sz w:val="21"/>
      <w:szCs w:val="21"/>
      <w:u w:val="none"/>
    </w:rPr>
  </w:style>
  <w:style w:type="character" w:customStyle="1" w:styleId="CharChar240">
    <w:name w:val="Char Char240"/>
    <w:semiHidden/>
    <w:rPr>
      <w:rFonts w:eastAsia="宋体"/>
      <w:kern w:val="2"/>
      <w:sz w:val="21"/>
      <w:szCs w:val="24"/>
      <w:lang w:val="en-US" w:eastAsia="zh-CN" w:bidi="ar-SA"/>
    </w:rPr>
  </w:style>
  <w:style w:type="character" w:customStyle="1" w:styleId="Charfe">
    <w:name w:val="附注三级正文 Char"/>
    <w:link w:val="affffff1"/>
    <w:semiHidden/>
    <w:qFormat/>
    <w:rPr>
      <w:kern w:val="2"/>
      <w:sz w:val="21"/>
      <w:szCs w:val="22"/>
    </w:rPr>
  </w:style>
  <w:style w:type="paragraph" w:customStyle="1" w:styleId="affffff1">
    <w:name w:val="附注三级正文"/>
    <w:basedOn w:val="a"/>
    <w:link w:val="Charfe"/>
    <w:semiHidden/>
    <w:qFormat/>
    <w:pPr>
      <w:tabs>
        <w:tab w:val="left" w:pos="630"/>
      </w:tabs>
      <w:adjustRightInd w:val="0"/>
      <w:snapToGrid w:val="0"/>
      <w:spacing w:line="400" w:lineRule="exact"/>
      <w:ind w:leftChars="600" w:left="1260"/>
    </w:pPr>
    <w:rPr>
      <w:szCs w:val="22"/>
    </w:rPr>
  </w:style>
  <w:style w:type="character" w:customStyle="1" w:styleId="CharChar40">
    <w:name w:val="Char Char40"/>
    <w:semiHidden/>
    <w:rPr>
      <w:kern w:val="2"/>
      <w:sz w:val="18"/>
      <w:szCs w:val="18"/>
    </w:rPr>
  </w:style>
  <w:style w:type="character" w:customStyle="1" w:styleId="xb">
    <w:name w:val="xb"/>
    <w:semiHidden/>
  </w:style>
  <w:style w:type="character" w:customStyle="1" w:styleId="EmailStyle635">
    <w:name w:val="EmailStyle635"/>
    <w:semiHidden/>
    <w:rPr>
      <w:rFonts w:ascii="楷体_GB2312" w:eastAsia="楷体_GB2312"/>
      <w:b w:val="0"/>
      <w:bCs w:val="0"/>
      <w:i w:val="0"/>
      <w:iCs w:val="0"/>
      <w:strike w:val="0"/>
      <w:color w:val="auto"/>
      <w:sz w:val="21"/>
      <w:szCs w:val="21"/>
      <w:u w:val="none"/>
    </w:rPr>
  </w:style>
  <w:style w:type="character" w:customStyle="1" w:styleId="CharChar1812">
    <w:name w:val="Char Char1812"/>
    <w:semiHidden/>
    <w:rPr>
      <w:rFonts w:ascii="Arial" w:eastAsia="黑体" w:hAnsi="Arial"/>
      <w:b/>
      <w:color w:val="000000"/>
      <w:sz w:val="24"/>
      <w:lang w:val="en-US" w:eastAsia="zh-CN" w:bidi="ar-SA"/>
    </w:rPr>
  </w:style>
  <w:style w:type="character" w:customStyle="1" w:styleId="CharChar103">
    <w:name w:val="Char Char103"/>
    <w:semiHidden/>
    <w:rPr>
      <w:rFonts w:ascii="Calibri" w:eastAsia="宋体" w:hAnsi="Calibri"/>
      <w:kern w:val="2"/>
      <w:sz w:val="18"/>
      <w:szCs w:val="18"/>
      <w:lang w:val="en-US" w:eastAsia="zh-CN" w:bidi="ar-SA"/>
    </w:rPr>
  </w:style>
  <w:style w:type="character" w:customStyle="1" w:styleId="QuoteChar1">
    <w:name w:val="Quote Char1"/>
    <w:uiPriority w:val="29"/>
    <w:semiHidden/>
    <w:rPr>
      <w:rFonts w:ascii="宋体" w:hAnsi="Calibri"/>
      <w:i/>
      <w:iCs/>
      <w:color w:val="000000"/>
      <w:sz w:val="24"/>
    </w:rPr>
  </w:style>
  <w:style w:type="character" w:customStyle="1" w:styleId="2Char12">
    <w:name w:val="正文文本 2 Char1"/>
    <w:aliases w:val="正文文字 2 Char1 Char1,正文文字 2 Char1 Char"/>
    <w:semiHidden/>
    <w:qFormat/>
    <w:rPr>
      <w:rFonts w:ascii="Times New Roman" w:eastAsia="宋体" w:hAnsi="Times New Roman" w:cs="Times New Roman"/>
      <w:sz w:val="24"/>
      <w:szCs w:val="24"/>
    </w:rPr>
  </w:style>
  <w:style w:type="character" w:customStyle="1" w:styleId="10101Char1">
    <w:name w:val="样式 样式 正文1 + 段前: 0.1 行 + 段前: 0.1 行 Char1"/>
    <w:semiHidden/>
  </w:style>
  <w:style w:type="character" w:customStyle="1" w:styleId="Charff">
    <w:name w:val="招股书二级标题 Char"/>
    <w:link w:val="affffff2"/>
    <w:semiHidden/>
    <w:qFormat/>
    <w:rPr>
      <w:rFonts w:ascii="黑体" w:eastAsia="黑体" w:hAnsi="Calibri"/>
      <w:kern w:val="2"/>
      <w:sz w:val="30"/>
      <w:szCs w:val="22"/>
    </w:rPr>
  </w:style>
  <w:style w:type="paragraph" w:customStyle="1" w:styleId="affffff2">
    <w:name w:val="招股书二级标题"/>
    <w:basedOn w:val="2"/>
    <w:link w:val="Charff"/>
    <w:semiHidden/>
    <w:qFormat/>
    <w:pPr>
      <w:keepNext w:val="0"/>
      <w:keepLines w:val="0"/>
      <w:numPr>
        <w:ilvl w:val="0"/>
        <w:numId w:val="0"/>
      </w:numPr>
      <w:tabs>
        <w:tab w:val="left" w:pos="567"/>
      </w:tabs>
      <w:spacing w:beforeLines="100" w:line="240" w:lineRule="auto"/>
      <w:ind w:left="-206" w:hanging="284"/>
      <w:jc w:val="left"/>
    </w:pPr>
    <w:rPr>
      <w:rFonts w:ascii="黑体" w:eastAsia="黑体" w:hAnsi="Calibri"/>
      <w:b w:val="0"/>
      <w:bCs w:val="0"/>
      <w:sz w:val="30"/>
      <w:szCs w:val="22"/>
    </w:rPr>
  </w:style>
  <w:style w:type="character" w:customStyle="1" w:styleId="affffff3">
    <w:name w:val="称呼 字符"/>
    <w:semiHidden/>
    <w:qFormat/>
    <w:rPr>
      <w:rFonts w:ascii="Times New Roman" w:eastAsia="宋体" w:hAnsi="Times New Roman" w:cs="Times New Roman"/>
      <w:szCs w:val="24"/>
    </w:rPr>
  </w:style>
  <w:style w:type="character" w:customStyle="1" w:styleId="-1Char">
    <w:name w:val="彩色网格 - 着色 1 Char"/>
    <w:link w:val="-11"/>
    <w:uiPriority w:val="29"/>
    <w:semiHidden/>
    <w:rPr>
      <w:rFonts w:ascii="Calibri" w:hAnsi="Calibri" w:cs="Arial"/>
      <w:i/>
      <w:iCs/>
      <w:kern w:val="2"/>
      <w:sz w:val="22"/>
      <w:szCs w:val="22"/>
      <w:lang w:eastAsia="en-US" w:bidi="en-US"/>
    </w:rPr>
  </w:style>
  <w:style w:type="paragraph" w:customStyle="1" w:styleId="-11">
    <w:name w:val="彩色网格 - 着色 11"/>
    <w:basedOn w:val="a"/>
    <w:next w:val="a"/>
    <w:link w:val="-1Char"/>
    <w:uiPriority w:val="29"/>
    <w:semiHidden/>
    <w:qFormat/>
    <w:pPr>
      <w:spacing w:beforeLines="50" w:line="360" w:lineRule="auto"/>
      <w:ind w:left="360" w:right="360" w:firstLineChars="200" w:firstLine="480"/>
    </w:pPr>
    <w:rPr>
      <w:rFonts w:ascii="Calibri" w:hAnsi="Calibri" w:cs="Arial"/>
      <w:i/>
      <w:iCs/>
      <w:sz w:val="22"/>
      <w:szCs w:val="22"/>
      <w:lang w:eastAsia="en-US" w:bidi="en-US"/>
    </w:rPr>
  </w:style>
  <w:style w:type="character" w:customStyle="1" w:styleId="Charff0">
    <w:name w:val="正文内容 Char"/>
    <w:link w:val="affffff4"/>
    <w:semiHidden/>
    <w:qFormat/>
    <w:rPr>
      <w:rFonts w:ascii="Arial" w:hAnsi="Arial"/>
      <w:color w:val="000000"/>
      <w:kern w:val="2"/>
      <w:sz w:val="21"/>
      <w:szCs w:val="21"/>
      <w:lang w:val="zh-CN"/>
    </w:rPr>
  </w:style>
  <w:style w:type="paragraph" w:customStyle="1" w:styleId="affffff4">
    <w:name w:val="正文内容"/>
    <w:basedOn w:val="a"/>
    <w:next w:val="a"/>
    <w:link w:val="Charff0"/>
    <w:semiHidden/>
    <w:qFormat/>
    <w:pPr>
      <w:tabs>
        <w:tab w:val="left" w:pos="5880"/>
      </w:tabs>
      <w:suppressAutoHyphens/>
      <w:topLinePunct/>
      <w:autoSpaceDE w:val="0"/>
      <w:spacing w:line="300" w:lineRule="auto"/>
      <w:ind w:firstLineChars="200" w:firstLine="420"/>
    </w:pPr>
    <w:rPr>
      <w:rFonts w:ascii="Arial" w:hAnsi="Arial"/>
      <w:color w:val="000000"/>
      <w:lang w:val="zh-CN"/>
    </w:rPr>
  </w:style>
  <w:style w:type="character" w:customStyle="1" w:styleId="f13">
    <w:name w:val="f13"/>
    <w:semiHidden/>
  </w:style>
  <w:style w:type="character" w:customStyle="1" w:styleId="CharChar116">
    <w:name w:val="Char Char116"/>
    <w:semiHidden/>
    <w:rPr>
      <w:rFonts w:ascii="Calibri" w:eastAsia="宋体" w:hAnsi="Calibri"/>
      <w:kern w:val="2"/>
      <w:sz w:val="18"/>
      <w:szCs w:val="18"/>
      <w:lang w:val="en-US" w:eastAsia="zh-CN" w:bidi="ar-SA"/>
    </w:rPr>
  </w:style>
  <w:style w:type="character" w:customStyle="1" w:styleId="Char4CharChar">
    <w:name w:val="Char4 Char Char"/>
    <w:semiHidden/>
    <w:rPr>
      <w:rFonts w:eastAsia="宋体"/>
      <w:b/>
      <w:bCs/>
      <w:sz w:val="24"/>
      <w:szCs w:val="24"/>
      <w:lang w:val="en-US" w:eastAsia="zh-CN" w:bidi="ar-SA"/>
    </w:rPr>
  </w:style>
  <w:style w:type="character" w:customStyle="1" w:styleId="CharChar102">
    <w:name w:val="Char Char102"/>
    <w:semiHidden/>
    <w:rPr>
      <w:rFonts w:ascii="Calibri" w:eastAsia="宋体" w:hAnsi="Calibri"/>
      <w:kern w:val="2"/>
      <w:sz w:val="18"/>
      <w:szCs w:val="18"/>
      <w:lang w:val="en-US" w:eastAsia="zh-CN" w:bidi="ar-SA"/>
    </w:rPr>
  </w:style>
  <w:style w:type="character" w:customStyle="1" w:styleId="littlefont1">
    <w:name w:val="littlefont1"/>
    <w:semiHidden/>
    <w:rPr>
      <w:rFonts w:ascii="Arial" w:hAnsi="Arial" w:cs="Arial" w:hint="default"/>
      <w:sz w:val="18"/>
      <w:szCs w:val="18"/>
    </w:rPr>
  </w:style>
  <w:style w:type="character" w:customStyle="1" w:styleId="CharChar55">
    <w:name w:val="Char Char55"/>
    <w:semiHidden/>
    <w:rPr>
      <w:rFonts w:eastAsia="宋体"/>
      <w:sz w:val="24"/>
      <w:szCs w:val="24"/>
      <w:lang w:val="en-US" w:eastAsia="zh-CN" w:bidi="ar-SA"/>
    </w:rPr>
  </w:style>
  <w:style w:type="character" w:customStyle="1" w:styleId="CharChar217">
    <w:name w:val="Char Char217"/>
    <w:semiHidden/>
    <w:rPr>
      <w:rFonts w:ascii="Times New Roman" w:eastAsia="宋体" w:hAnsi="Times New Roman" w:cs="Times New Roman"/>
      <w:kern w:val="0"/>
      <w:sz w:val="24"/>
      <w:szCs w:val="24"/>
    </w:rPr>
  </w:style>
  <w:style w:type="character" w:customStyle="1" w:styleId="CharChar214">
    <w:name w:val="Char Char214"/>
    <w:semiHidden/>
    <w:rPr>
      <w:rFonts w:ascii="Times New Roman" w:eastAsia="宋体" w:hAnsi="Times New Roman" w:cs="Times New Roman"/>
      <w:kern w:val="0"/>
      <w:sz w:val="24"/>
      <w:szCs w:val="24"/>
    </w:rPr>
  </w:style>
  <w:style w:type="character" w:customStyle="1" w:styleId="span">
    <w:name w:val="span_"/>
    <w:semiHidden/>
    <w:qFormat/>
  </w:style>
  <w:style w:type="character" w:customStyle="1" w:styleId="Char6CharChar1">
    <w:name w:val="Char6 Char Char1"/>
    <w:semiHidden/>
    <w:rPr>
      <w:rFonts w:ascii="Arial" w:eastAsia="黑体" w:hAnsi="Arial"/>
      <w:b/>
      <w:bCs/>
      <w:sz w:val="32"/>
      <w:szCs w:val="32"/>
      <w:lang w:val="en-US" w:eastAsia="zh-CN" w:bidi="ar-SA"/>
    </w:rPr>
  </w:style>
  <w:style w:type="character" w:customStyle="1" w:styleId="Charff1">
    <w:name w:val="表格内容 Char"/>
    <w:link w:val="affffff5"/>
    <w:semiHidden/>
    <w:qFormat/>
    <w:rPr>
      <w:rFonts w:ascii="Arial" w:eastAsia="仿宋_GB2312" w:hAnsi="Arial"/>
      <w:kern w:val="2"/>
      <w:sz w:val="21"/>
      <w:szCs w:val="22"/>
    </w:rPr>
  </w:style>
  <w:style w:type="paragraph" w:customStyle="1" w:styleId="affffff5">
    <w:name w:val="表格内容"/>
    <w:basedOn w:val="a"/>
    <w:link w:val="Charff1"/>
    <w:semiHidden/>
    <w:qFormat/>
    <w:pPr>
      <w:overflowPunct w:val="0"/>
      <w:adjustRightInd w:val="0"/>
      <w:spacing w:before="40" w:after="60" w:line="200" w:lineRule="atLeast"/>
      <w:textAlignment w:val="baseline"/>
    </w:pPr>
    <w:rPr>
      <w:rFonts w:ascii="Arial" w:eastAsia="仿宋_GB2312" w:hAnsi="Arial"/>
      <w:szCs w:val="22"/>
    </w:rPr>
  </w:style>
  <w:style w:type="character" w:customStyle="1" w:styleId="affffff6">
    <w:name w:val="宏文本 字符"/>
    <w:semiHidden/>
    <w:qFormat/>
    <w:rPr>
      <w:rFonts w:ascii="Courier New" w:eastAsia="宋体" w:hAnsi="Courier New" w:cs="Courier New"/>
      <w:color w:val="333333"/>
      <w:kern w:val="0"/>
      <w:sz w:val="20"/>
      <w:szCs w:val="20"/>
      <w:lang w:eastAsia="en-US"/>
    </w:rPr>
  </w:style>
  <w:style w:type="character" w:customStyle="1" w:styleId="112">
    <w:name w:val="网格型浅色11"/>
    <w:uiPriority w:val="32"/>
    <w:semiHidden/>
    <w:qFormat/>
    <w:rPr>
      <w:smallCaps/>
      <w:spacing w:val="5"/>
      <w:u w:val="single"/>
    </w:rPr>
  </w:style>
  <w:style w:type="character" w:customStyle="1" w:styleId="1-Char">
    <w:name w:val="1-正文 Char"/>
    <w:link w:val="1-"/>
    <w:semiHidden/>
    <w:qFormat/>
    <w:rPr>
      <w:rFonts w:ascii="Calibri" w:hAnsi="Calibri"/>
      <w:kern w:val="2"/>
      <w:sz w:val="21"/>
      <w:szCs w:val="21"/>
    </w:rPr>
  </w:style>
  <w:style w:type="paragraph" w:customStyle="1" w:styleId="1-">
    <w:name w:val="1-正文"/>
    <w:basedOn w:val="a"/>
    <w:link w:val="1-Char"/>
    <w:semiHidden/>
    <w:qFormat/>
    <w:pPr>
      <w:adjustRightInd w:val="0"/>
      <w:snapToGrid w:val="0"/>
      <w:spacing w:beforeLines="50" w:afterLines="50" w:line="360" w:lineRule="auto"/>
      <w:ind w:firstLineChars="200" w:firstLine="480"/>
    </w:pPr>
    <w:rPr>
      <w:rFonts w:ascii="Calibri" w:hAnsi="Calibri"/>
    </w:rPr>
  </w:style>
  <w:style w:type="character" w:customStyle="1" w:styleId="CharChar246">
    <w:name w:val="Char Char246"/>
    <w:semiHidden/>
    <w:rPr>
      <w:rFonts w:ascii="Times New Roman" w:eastAsia="宋体" w:hAnsi="Times New Roman" w:cs="Times New Roman"/>
      <w:kern w:val="0"/>
      <w:sz w:val="18"/>
      <w:szCs w:val="18"/>
    </w:rPr>
  </w:style>
  <w:style w:type="character" w:customStyle="1" w:styleId="2Char4">
    <w:name w:val="2级目录 Char"/>
    <w:link w:val="2fc"/>
    <w:semiHidden/>
    <w:rPr>
      <w:rFonts w:ascii="Arial" w:eastAsia="黑体" w:hAnsi="Arial"/>
      <w:bCs/>
      <w:kern w:val="2"/>
      <w:sz w:val="30"/>
      <w:szCs w:val="28"/>
    </w:rPr>
  </w:style>
  <w:style w:type="paragraph" w:customStyle="1" w:styleId="2fc">
    <w:name w:val="2级目录"/>
    <w:basedOn w:val="a"/>
    <w:link w:val="2Char4"/>
    <w:semiHidden/>
    <w:qFormat/>
    <w:pPr>
      <w:keepNext/>
      <w:keepLines/>
      <w:autoSpaceDE w:val="0"/>
      <w:autoSpaceDN w:val="0"/>
      <w:spacing w:beforeLines="50" w:line="360" w:lineRule="auto"/>
      <w:textAlignment w:val="baseline"/>
      <w:outlineLvl w:val="1"/>
    </w:pPr>
    <w:rPr>
      <w:rFonts w:ascii="Arial" w:eastAsia="黑体" w:hAnsi="Arial"/>
      <w:bCs/>
      <w:sz w:val="30"/>
      <w:szCs w:val="28"/>
    </w:rPr>
  </w:style>
  <w:style w:type="character" w:customStyle="1" w:styleId="abstractpagetext1">
    <w:name w:val="abstract_page_text1"/>
    <w:semiHidden/>
    <w:rPr>
      <w:rFonts w:ascii="Arial" w:hAnsi="Arial" w:cs="Arial" w:hint="default"/>
      <w:i w:val="0"/>
      <w:iCs w:val="0"/>
      <w:color w:val="000000"/>
      <w:sz w:val="20"/>
      <w:szCs w:val="20"/>
    </w:rPr>
  </w:style>
  <w:style w:type="character" w:customStyle="1" w:styleId="CharChar2010">
    <w:name w:val="Char Char2010"/>
    <w:semiHidden/>
    <w:rPr>
      <w:sz w:val="18"/>
      <w:szCs w:val="18"/>
    </w:rPr>
  </w:style>
  <w:style w:type="character" w:customStyle="1" w:styleId="Char1CharChar3">
    <w:name w:val="Char1 Char Char3"/>
    <w:semiHidden/>
    <w:rPr>
      <w:rFonts w:ascii="黑体" w:eastAsia="黑体"/>
      <w:sz w:val="24"/>
      <w:szCs w:val="24"/>
      <w:lang w:val="en-US" w:eastAsia="zh-CN" w:bidi="ar-SA"/>
    </w:rPr>
  </w:style>
  <w:style w:type="character" w:customStyle="1" w:styleId="CharChar114">
    <w:name w:val="Char Char114"/>
    <w:semiHidden/>
    <w:rPr>
      <w:rFonts w:eastAsia="宋体"/>
      <w:sz w:val="24"/>
      <w:lang w:val="en-US" w:eastAsia="zh-CN"/>
    </w:rPr>
  </w:style>
  <w:style w:type="character" w:customStyle="1" w:styleId="CharChar125">
    <w:name w:val="Char Char125"/>
    <w:semiHidden/>
    <w:rPr>
      <w:rFonts w:eastAsia="宋体"/>
      <w:b/>
      <w:bCs/>
      <w:kern w:val="2"/>
      <w:sz w:val="21"/>
      <w:szCs w:val="24"/>
      <w:lang w:val="en-US" w:eastAsia="zh-CN" w:bidi="ar-SA"/>
    </w:rPr>
  </w:style>
  <w:style w:type="character" w:customStyle="1" w:styleId="Char1f0">
    <w:name w:val="签名 Char1"/>
    <w:uiPriority w:val="99"/>
    <w:semiHidden/>
    <w:qFormat/>
    <w:rPr>
      <w:kern w:val="2"/>
      <w:sz w:val="21"/>
      <w:szCs w:val="24"/>
    </w:rPr>
  </w:style>
  <w:style w:type="character" w:customStyle="1" w:styleId="CharChar910">
    <w:name w:val="Char Char910"/>
    <w:semiHidden/>
    <w:rPr>
      <w:rFonts w:eastAsia="宋体"/>
      <w:sz w:val="24"/>
      <w:szCs w:val="24"/>
      <w:lang w:val="en-US" w:eastAsia="zh-CN" w:bidi="ar-SA"/>
    </w:rPr>
  </w:style>
  <w:style w:type="character" w:customStyle="1" w:styleId="CharChar1CharCharCharCharCharCharCharCharCharCharCharCharCharCharCharCharCharCharCharCharCharCharCharCharCharCharCharCharCharCharCharCharCharCharCharCharCharCharChar2">
    <w:name w:val="Char Char1 Char Char Char Char Char Char Char Char Char Char Char Char Char Char Char Char Char Char Char Char Char Char Char Char Char Char Char Char Char Char Char Char Char Char Char Char Char Char Char2"/>
    <w:link w:val="CharChar1CharCharCharCharCharCharCharCharCharCharCharCharCharCharCharCharCharCharCharCharCharCharCharCharCharCharCharCharCharCharCharCharCharCharCharCharCharChar3"/>
    <w:semiHidden/>
    <w:rPr>
      <w:rFonts w:ascii="Verdana" w:hAnsi="Verdana"/>
      <w:kern w:val="2"/>
      <w:sz w:val="22"/>
      <w:szCs w:val="22"/>
      <w:lang w:eastAsia="en-US"/>
    </w:rPr>
  </w:style>
  <w:style w:type="paragraph" w:customStyle="1" w:styleId="CharChar1CharCharCharCharCharCharCharCharCharCharCharCharCharCharCharCharCharCharCharCharCharCharCharCharCharCharCharCharCharCharCharCharCharCharCharCharCharChar3">
    <w:name w:val="Char Char1 Char Char Char Char Char Char Char Char Char Char Char Char Char Char Char Char Char Char Char Char Char Char Char Char Char Char Char Char Char Char Char Char Char Char Char Char Char Char3"/>
    <w:basedOn w:val="a"/>
    <w:link w:val="CharChar1CharCharCharCharCharCharCharCharCharCharCharCharCharCharCharCharCharCharCharCharCharCharCharCharCharCharCharCharCharCharCharCharCharCharCharCharCharCharChar2"/>
    <w:semiHidden/>
    <w:qFormat/>
    <w:pPr>
      <w:autoSpaceDE w:val="0"/>
      <w:autoSpaceDN w:val="0"/>
      <w:adjustRightInd w:val="0"/>
      <w:spacing w:after="160" w:line="240" w:lineRule="exact"/>
    </w:pPr>
    <w:rPr>
      <w:rFonts w:ascii="Verdana" w:hAnsi="Verdana"/>
      <w:sz w:val="22"/>
      <w:szCs w:val="22"/>
      <w:lang w:eastAsia="en-US"/>
    </w:rPr>
  </w:style>
  <w:style w:type="character" w:customStyle="1" w:styleId="-2Char">
    <w:name w:val="浅色底纹 - 着色 2 Char"/>
    <w:link w:val="-21"/>
    <w:uiPriority w:val="30"/>
    <w:semiHidden/>
    <w:rPr>
      <w:rFonts w:ascii="Calibri" w:hAnsi="Calibri" w:cs="Arial"/>
      <w:b/>
      <w:bCs/>
      <w:i/>
      <w:iCs/>
      <w:kern w:val="2"/>
      <w:sz w:val="22"/>
      <w:szCs w:val="22"/>
      <w:lang w:eastAsia="en-US" w:bidi="en-US"/>
    </w:rPr>
  </w:style>
  <w:style w:type="paragraph" w:customStyle="1" w:styleId="-21">
    <w:name w:val="浅色底纹 - 着色 21"/>
    <w:basedOn w:val="a"/>
    <w:next w:val="a"/>
    <w:link w:val="-2Char"/>
    <w:uiPriority w:val="30"/>
    <w:semiHidden/>
    <w:qFormat/>
    <w:pPr>
      <w:pBdr>
        <w:bottom w:val="single" w:sz="4" w:space="1" w:color="auto"/>
      </w:pBdr>
      <w:spacing w:beforeLines="50" w:after="280" w:line="360" w:lineRule="auto"/>
      <w:ind w:left="1008" w:right="1152" w:firstLineChars="200" w:firstLine="480"/>
    </w:pPr>
    <w:rPr>
      <w:rFonts w:ascii="Calibri" w:hAnsi="Calibri" w:cs="Arial"/>
      <w:b/>
      <w:bCs/>
      <w:i/>
      <w:iCs/>
      <w:sz w:val="22"/>
      <w:szCs w:val="22"/>
      <w:lang w:eastAsia="en-US" w:bidi="en-US"/>
    </w:rPr>
  </w:style>
  <w:style w:type="character" w:customStyle="1" w:styleId="Charff2">
    <w:name w:val="页眉 Char"/>
    <w:aliases w:val="联证页眉 Char1,无页眉 Char,============================== Char,页眉1 Char,Header odd Char,h Char,Header/Footer Char,header odd Char,header odd1 Char,header odd2 Char,header odd3 Char,header odd4 Char,header odd5 Char,header odd6 Char,header Char,Alt+M Ch"/>
    <w:semiHidden/>
    <w:qFormat/>
    <w:rPr>
      <w:kern w:val="2"/>
      <w:sz w:val="18"/>
      <w:szCs w:val="18"/>
    </w:rPr>
  </w:style>
  <w:style w:type="character" w:customStyle="1" w:styleId="CharChar1813">
    <w:name w:val="Char Char1813"/>
    <w:semiHidden/>
    <w:rPr>
      <w:rFonts w:ascii="Arial" w:eastAsia="黑体" w:hAnsi="Arial"/>
      <w:b/>
      <w:color w:val="000000"/>
      <w:sz w:val="24"/>
      <w:lang w:val="en-US" w:eastAsia="zh-CN" w:bidi="ar-SA"/>
    </w:rPr>
  </w:style>
  <w:style w:type="character" w:customStyle="1" w:styleId="bt0011">
    <w:name w:val="bt0011"/>
    <w:semiHidden/>
    <w:rPr>
      <w:rFonts w:ascii="??" w:hAnsi="??" w:hint="default"/>
      <w:b/>
      <w:bCs/>
      <w:color w:val="333333"/>
      <w:sz w:val="18"/>
      <w:szCs w:val="18"/>
    </w:rPr>
  </w:style>
  <w:style w:type="character" w:customStyle="1" w:styleId="CharChar172">
    <w:name w:val="Char Char172"/>
    <w:semiHidden/>
    <w:rPr>
      <w:rFonts w:eastAsia="宋体"/>
      <w:sz w:val="18"/>
      <w:szCs w:val="18"/>
      <w:lang w:val="en-US" w:eastAsia="zh-CN" w:bidi="ar-SA"/>
    </w:rPr>
  </w:style>
  <w:style w:type="character" w:customStyle="1" w:styleId="6Char1">
    <w:name w:val="标题 6 Char1"/>
    <w:aliases w:val="6 Char1,Bullet (Single Lines) Char,4号宋体左齐行距1.25倍 Char,Legal Level 1. Char1,H6 Char1,标题1.1.1.1.1.1 Char1,技术文件 Char1,Lev 6 Char1,① Char1,Bullet (Single Lines) Char1,标题 6 Char,Legal Level 1. Char,6 Char"/>
    <w:semiHidden/>
    <w:qFormat/>
    <w:rPr>
      <w:rFonts w:ascii="Cambria" w:eastAsia="宋体" w:hAnsi="Cambria" w:cs="Times New Roman"/>
      <w:b/>
      <w:bCs/>
      <w:sz w:val="24"/>
      <w:szCs w:val="24"/>
      <w:lang w:eastAsia="en-US"/>
    </w:rPr>
  </w:style>
  <w:style w:type="character" w:customStyle="1" w:styleId="z-3">
    <w:name w:val="z-窗体顶端 字符"/>
    <w:uiPriority w:val="99"/>
    <w:semiHidden/>
    <w:qFormat/>
    <w:rPr>
      <w:rFonts w:ascii="Arial" w:eastAsia="宋体" w:hAnsi="Arial" w:cs="Times New Roman"/>
      <w:vanish/>
      <w:kern w:val="0"/>
      <w:sz w:val="16"/>
      <w:szCs w:val="16"/>
    </w:rPr>
  </w:style>
  <w:style w:type="character" w:customStyle="1" w:styleId="EmailStyle3783">
    <w:name w:val="EmailStyle3783"/>
    <w:semiHidden/>
    <w:rPr>
      <w:rFonts w:ascii="楷体_GB2312" w:eastAsia="楷体_GB2312"/>
      <w:b w:val="0"/>
      <w:bCs w:val="0"/>
      <w:i w:val="0"/>
      <w:iCs w:val="0"/>
      <w:strike w:val="0"/>
      <w:color w:val="auto"/>
      <w:sz w:val="21"/>
      <w:szCs w:val="21"/>
      <w:u w:val="none"/>
    </w:rPr>
  </w:style>
  <w:style w:type="character" w:customStyle="1" w:styleId="CharChar115">
    <w:name w:val="Char Char115"/>
    <w:semiHidden/>
    <w:rPr>
      <w:rFonts w:ascii="Calibri" w:eastAsia="宋体" w:hAnsi="Calibri"/>
      <w:kern w:val="2"/>
      <w:sz w:val="18"/>
      <w:szCs w:val="18"/>
      <w:lang w:val="en-US" w:eastAsia="zh-CN" w:bidi="ar-SA"/>
    </w:rPr>
  </w:style>
  <w:style w:type="character" w:customStyle="1" w:styleId="emailstyle234">
    <w:name w:val="emailstyle234"/>
    <w:semiHidden/>
    <w:rPr>
      <w:rFonts w:ascii="Arial" w:eastAsia="宋体" w:hAnsi="Arial" w:cs="Arial" w:hint="default"/>
      <w:color w:val="auto"/>
      <w:sz w:val="18"/>
      <w:szCs w:val="20"/>
      <w:lang w:val="en-US" w:eastAsia="en-US" w:bidi="ar-SA"/>
    </w:rPr>
  </w:style>
  <w:style w:type="character" w:customStyle="1" w:styleId="EmailStyle631">
    <w:name w:val="EmailStyle631"/>
    <w:semiHidden/>
    <w:rPr>
      <w:rFonts w:ascii="楷体_GB2312" w:eastAsia="楷体_GB2312"/>
      <w:b w:val="0"/>
      <w:bCs w:val="0"/>
      <w:i w:val="0"/>
      <w:iCs w:val="0"/>
      <w:strike w:val="0"/>
      <w:color w:val="auto"/>
      <w:sz w:val="21"/>
      <w:szCs w:val="21"/>
      <w:u w:val="none"/>
    </w:rPr>
  </w:style>
  <w:style w:type="character" w:customStyle="1" w:styleId="CharChar203">
    <w:name w:val="Char Char203"/>
    <w:semiHidden/>
    <w:rPr>
      <w:sz w:val="18"/>
      <w:szCs w:val="18"/>
    </w:rPr>
  </w:style>
  <w:style w:type="character" w:customStyle="1" w:styleId="-CharChar">
    <w:name w:val="更新-招股说明书 Char Char"/>
    <w:link w:val="-1"/>
    <w:semiHidden/>
    <w:rPr>
      <w:rFonts w:ascii="Arial" w:eastAsia="楷体_GB2312" w:hAnsi="Arial"/>
      <w:b/>
      <w:kern w:val="2"/>
      <w:sz w:val="24"/>
      <w:szCs w:val="24"/>
    </w:rPr>
  </w:style>
  <w:style w:type="paragraph" w:customStyle="1" w:styleId="-1">
    <w:name w:val="更新-招股说明书"/>
    <w:link w:val="-CharChar"/>
    <w:semiHidden/>
    <w:qFormat/>
    <w:pPr>
      <w:spacing w:after="156" w:line="360" w:lineRule="auto"/>
      <w:ind w:firstLine="482"/>
    </w:pPr>
    <w:rPr>
      <w:rFonts w:ascii="Arial" w:eastAsia="楷体_GB2312" w:hAnsi="Arial"/>
      <w:b/>
      <w:kern w:val="2"/>
      <w:sz w:val="24"/>
      <w:szCs w:val="24"/>
    </w:rPr>
  </w:style>
  <w:style w:type="character" w:customStyle="1" w:styleId="CharChar171">
    <w:name w:val="Char Char171"/>
    <w:semiHidden/>
    <w:rPr>
      <w:rFonts w:eastAsia="宋体"/>
      <w:sz w:val="18"/>
      <w:szCs w:val="18"/>
      <w:lang w:val="en-US" w:eastAsia="zh-CN" w:bidi="ar-SA"/>
    </w:rPr>
  </w:style>
  <w:style w:type="character" w:customStyle="1" w:styleId="EmailStyle616">
    <w:name w:val="EmailStyle616"/>
    <w:semiHidden/>
    <w:rPr>
      <w:rFonts w:ascii="楷体_GB2312" w:eastAsia="楷体_GB2312"/>
      <w:b w:val="0"/>
      <w:bCs w:val="0"/>
      <w:i w:val="0"/>
      <w:iCs w:val="0"/>
      <w:strike w:val="0"/>
      <w:color w:val="auto"/>
      <w:sz w:val="21"/>
      <w:szCs w:val="21"/>
      <w:u w:val="none"/>
    </w:rPr>
  </w:style>
  <w:style w:type="character" w:customStyle="1" w:styleId="Char1f1">
    <w:name w:val="三级标题 Char1"/>
    <w:aliases w:val="条标题1.1.1 Char Char1"/>
    <w:semiHidden/>
    <w:rPr>
      <w:rFonts w:eastAsia="宋体"/>
      <w:b/>
      <w:kern w:val="2"/>
      <w:sz w:val="32"/>
      <w:lang w:val="en-US" w:eastAsia="zh-CN"/>
    </w:rPr>
  </w:style>
  <w:style w:type="character" w:customStyle="1" w:styleId="CharChar191">
    <w:name w:val="Char Char191"/>
    <w:semiHidden/>
    <w:rPr>
      <w:rFonts w:ascii="Times New Roman" w:eastAsia="宋体" w:hAnsi="Times New Roman" w:cs="Times New Roman"/>
      <w:szCs w:val="24"/>
    </w:rPr>
  </w:style>
  <w:style w:type="character" w:customStyle="1" w:styleId="CommentTextChar1">
    <w:name w:val="Comment Text Char1"/>
    <w:semiHidden/>
    <w:rPr>
      <w:kern w:val="2"/>
      <w:sz w:val="21"/>
      <w:szCs w:val="24"/>
    </w:rPr>
  </w:style>
  <w:style w:type="character" w:customStyle="1" w:styleId="p111">
    <w:name w:val="p111"/>
    <w:semiHidden/>
  </w:style>
  <w:style w:type="character" w:customStyle="1" w:styleId="EmailStyle197">
    <w:name w:val="EmailStyle197"/>
    <w:semiHidden/>
    <w:rPr>
      <w:rFonts w:ascii="Arial" w:eastAsia="宋体" w:hAnsi="Arial" w:cs="Arial" w:hint="default"/>
      <w:color w:val="auto"/>
      <w:sz w:val="18"/>
      <w:szCs w:val="20"/>
      <w:lang w:val="en-US" w:eastAsia="en-US" w:bidi="ar-SA"/>
    </w:rPr>
  </w:style>
  <w:style w:type="character" w:customStyle="1" w:styleId="Style1Char">
    <w:name w:val="Style1 Char"/>
    <w:semiHidden/>
    <w:rPr>
      <w:rFonts w:ascii="宋体" w:hAnsi="宋体"/>
      <w:b/>
      <w:sz w:val="24"/>
      <w:szCs w:val="24"/>
    </w:rPr>
  </w:style>
  <w:style w:type="character" w:customStyle="1" w:styleId="artiword">
    <w:name w:val="artiword"/>
    <w:semiHidden/>
  </w:style>
  <w:style w:type="character" w:customStyle="1" w:styleId="HeaderChar">
    <w:name w:val="Header Char"/>
    <w:semiHidden/>
    <w:qFormat/>
    <w:locked/>
    <w:rPr>
      <w:rFonts w:ascii="Calibri" w:eastAsia="宋体" w:hAnsi="Calibri"/>
      <w:kern w:val="2"/>
      <w:sz w:val="18"/>
      <w:szCs w:val="18"/>
      <w:lang w:val="en-US" w:eastAsia="zh-CN" w:bidi="ar-SA"/>
    </w:rPr>
  </w:style>
  <w:style w:type="character" w:customStyle="1" w:styleId="EmailStyle5791">
    <w:name w:val="EmailStyle5791"/>
    <w:semiHidden/>
    <w:rPr>
      <w:rFonts w:ascii="楷体_GB2312" w:eastAsia="楷体_GB2312"/>
      <w:b w:val="0"/>
      <w:bCs w:val="0"/>
      <w:i w:val="0"/>
      <w:iCs w:val="0"/>
      <w:strike w:val="0"/>
      <w:color w:val="auto"/>
      <w:sz w:val="21"/>
      <w:szCs w:val="21"/>
      <w:u w:val="none"/>
    </w:rPr>
  </w:style>
  <w:style w:type="character" w:customStyle="1" w:styleId="EmailStyle6241">
    <w:name w:val="EmailStyle6241"/>
    <w:semiHidden/>
    <w:rPr>
      <w:rFonts w:ascii="楷体_GB2312" w:eastAsia="楷体_GB2312"/>
      <w:b w:val="0"/>
      <w:bCs w:val="0"/>
      <w:i w:val="0"/>
      <w:iCs w:val="0"/>
      <w:strike w:val="0"/>
      <w:color w:val="auto"/>
      <w:sz w:val="21"/>
      <w:szCs w:val="21"/>
      <w:u w:val="none"/>
    </w:rPr>
  </w:style>
  <w:style w:type="character" w:customStyle="1" w:styleId="CharChar41">
    <w:name w:val="Char Char41"/>
    <w:semiHidden/>
    <w:qFormat/>
    <w:rPr>
      <w:rFonts w:ascii="黑体" w:eastAsia="黑体" w:hAnsi="Courier New"/>
      <w:color w:val="000000"/>
      <w:lang w:bidi="ar-SA"/>
    </w:rPr>
  </w:style>
  <w:style w:type="character" w:customStyle="1" w:styleId="EmailStyle6131">
    <w:name w:val="EmailStyle6131"/>
    <w:semiHidden/>
    <w:rPr>
      <w:rFonts w:ascii="楷体_GB2312" w:eastAsia="楷体_GB2312"/>
      <w:b w:val="0"/>
      <w:bCs w:val="0"/>
      <w:i w:val="0"/>
      <w:iCs w:val="0"/>
      <w:strike w:val="0"/>
      <w:color w:val="auto"/>
      <w:sz w:val="21"/>
      <w:szCs w:val="21"/>
      <w:u w:val="none"/>
    </w:rPr>
  </w:style>
  <w:style w:type="character" w:customStyle="1" w:styleId="CharChar241">
    <w:name w:val="Char Char241"/>
    <w:semiHidden/>
    <w:rPr>
      <w:rFonts w:ascii="Times New Roman" w:eastAsia="宋体" w:hAnsi="Times New Roman" w:cs="Times New Roman"/>
      <w:kern w:val="0"/>
      <w:sz w:val="18"/>
      <w:szCs w:val="18"/>
    </w:rPr>
  </w:style>
  <w:style w:type="character" w:customStyle="1" w:styleId="Level3-iCharChar2">
    <w:name w:val="Level 3 - i Char Char2"/>
    <w:semiHidden/>
    <w:rPr>
      <w:rFonts w:ascii="Times New Roman" w:hAnsi="Times New Roman"/>
      <w:kern w:val="2"/>
      <w:sz w:val="24"/>
      <w:szCs w:val="24"/>
    </w:rPr>
  </w:style>
  <w:style w:type="character" w:customStyle="1" w:styleId="CharChar2110">
    <w:name w:val="Char Char2110"/>
    <w:semiHidden/>
    <w:rPr>
      <w:rFonts w:ascii="Times New Roman" w:eastAsia="宋体" w:hAnsi="Times New Roman" w:cs="Times New Roman"/>
      <w:kern w:val="0"/>
      <w:sz w:val="24"/>
      <w:szCs w:val="24"/>
    </w:rPr>
  </w:style>
  <w:style w:type="character" w:customStyle="1" w:styleId="Charff3">
    <w:name w:val="正文格式 Char"/>
    <w:semiHidden/>
    <w:qFormat/>
    <w:rPr>
      <w:rFonts w:ascii="Times New Roman" w:hAnsi="Times New Roman"/>
      <w:kern w:val="2"/>
      <w:sz w:val="24"/>
      <w:szCs w:val="21"/>
    </w:rPr>
  </w:style>
  <w:style w:type="character" w:customStyle="1" w:styleId="EmailStyle654">
    <w:name w:val="EmailStyle654"/>
    <w:semiHidden/>
    <w:rPr>
      <w:rFonts w:ascii="楷体_GB2312" w:eastAsia="楷体_GB2312"/>
      <w:b w:val="0"/>
      <w:bCs w:val="0"/>
      <w:i w:val="0"/>
      <w:iCs w:val="0"/>
      <w:strike w:val="0"/>
      <w:color w:val="auto"/>
      <w:sz w:val="21"/>
      <w:szCs w:val="21"/>
      <w:u w:val="none"/>
    </w:rPr>
  </w:style>
  <w:style w:type="character" w:customStyle="1" w:styleId="CharChar11">
    <w:name w:val="Char Char11"/>
    <w:semiHidden/>
    <w:qFormat/>
    <w:rPr>
      <w:rFonts w:ascii="黑体" w:eastAsia="黑体" w:hAnsi="宋体"/>
      <w:b/>
      <w:bCs/>
      <w:kern w:val="44"/>
      <w:sz w:val="36"/>
      <w:szCs w:val="36"/>
      <w:lang w:val="en-US" w:eastAsia="zh-CN" w:bidi="ar-SA"/>
    </w:rPr>
  </w:style>
  <w:style w:type="character" w:customStyle="1" w:styleId="CharChar122">
    <w:name w:val="Char Char122"/>
    <w:semiHidden/>
    <w:qFormat/>
    <w:rPr>
      <w:rFonts w:eastAsia="宋体"/>
      <w:b/>
      <w:bCs/>
      <w:kern w:val="2"/>
      <w:sz w:val="21"/>
      <w:szCs w:val="24"/>
      <w:lang w:val="en-US" w:eastAsia="zh-CN" w:bidi="ar-SA"/>
    </w:rPr>
  </w:style>
  <w:style w:type="character" w:customStyle="1" w:styleId="CharChar2611">
    <w:name w:val="Char Char2611"/>
    <w:semiHidden/>
    <w:rPr>
      <w:rFonts w:eastAsia="宋体"/>
      <w:snapToGrid w:val="0"/>
      <w:sz w:val="24"/>
      <w:szCs w:val="24"/>
      <w:lang w:val="en-US" w:eastAsia="zh-CN" w:bidi="ar-SA"/>
    </w:rPr>
  </w:style>
  <w:style w:type="character" w:customStyle="1" w:styleId="CharCharCharCharChar">
    <w:name w:val="普通文字 Char Char Char Char Char"/>
    <w:semiHidden/>
    <w:rPr>
      <w:rFonts w:ascii="宋体" w:eastAsia="宋体" w:hAnsi="Courier New" w:cs="Courier New"/>
      <w:kern w:val="2"/>
      <w:sz w:val="21"/>
      <w:szCs w:val="21"/>
      <w:lang w:val="en-US" w:eastAsia="zh-CN" w:bidi="ar-SA"/>
    </w:rPr>
  </w:style>
  <w:style w:type="character" w:customStyle="1" w:styleId="font011">
    <w:name w:val="font011"/>
    <w:semiHidden/>
    <w:rPr>
      <w:rFonts w:ascii="ˎ̥" w:hAnsi="ˎ̥" w:cs="Arial" w:hint="default"/>
      <w:color w:val="333333"/>
      <w:sz w:val="21"/>
      <w:szCs w:val="21"/>
    </w:rPr>
  </w:style>
  <w:style w:type="character" w:customStyle="1" w:styleId="HTMLb">
    <w:name w:val="HTML 地址 字符"/>
    <w:semiHidden/>
    <w:qFormat/>
    <w:rPr>
      <w:rFonts w:ascii="Times New Roman" w:eastAsia="宋体" w:hAnsi="Times New Roman" w:cs="Times New Roman"/>
      <w:i/>
      <w:iCs/>
      <w:szCs w:val="24"/>
    </w:rPr>
  </w:style>
  <w:style w:type="character" w:customStyle="1" w:styleId="xuChar">
    <w:name w:val="xu扉职 Char"/>
    <w:link w:val="xu"/>
    <w:semiHidden/>
    <w:rPr>
      <w:rFonts w:ascii="仿宋_GB2312" w:eastAsia="仿宋_GB2312" w:hAnsi="Calibri"/>
      <w:spacing w:val="320"/>
      <w:kern w:val="2"/>
      <w:sz w:val="32"/>
      <w:szCs w:val="21"/>
    </w:rPr>
  </w:style>
  <w:style w:type="paragraph" w:customStyle="1" w:styleId="xu">
    <w:name w:val="xu扉职"/>
    <w:basedOn w:val="a"/>
    <w:link w:val="xuChar"/>
    <w:semiHidden/>
    <w:qFormat/>
    <w:pPr>
      <w:jc w:val="center"/>
    </w:pPr>
    <w:rPr>
      <w:rFonts w:ascii="仿宋_GB2312" w:eastAsia="仿宋_GB2312" w:hAnsi="Calibri"/>
      <w:spacing w:val="320"/>
      <w:sz w:val="32"/>
    </w:rPr>
  </w:style>
  <w:style w:type="character" w:customStyle="1" w:styleId="affffff7">
    <w:name w:val="表表格"/>
    <w:semiHidden/>
    <w:rPr>
      <w:rFonts w:eastAsia="宋体"/>
      <w:sz w:val="21"/>
    </w:rPr>
  </w:style>
  <w:style w:type="character" w:customStyle="1" w:styleId="CharChar8">
    <w:name w:val="Char Char8"/>
    <w:semiHidden/>
    <w:qFormat/>
    <w:rPr>
      <w:rFonts w:ascii="宋体" w:hAnsi="宋体"/>
      <w:color w:val="000000"/>
      <w:sz w:val="24"/>
    </w:rPr>
  </w:style>
  <w:style w:type="character" w:customStyle="1" w:styleId="Charff4">
    <w:name w:val="脚注文本 Char"/>
    <w:aliases w:val="Footnote Text Char Char"/>
    <w:semiHidden/>
    <w:qFormat/>
    <w:rPr>
      <w:kern w:val="2"/>
      <w:sz w:val="18"/>
      <w:szCs w:val="18"/>
    </w:rPr>
  </w:style>
  <w:style w:type="character" w:customStyle="1" w:styleId="EmailStyle512">
    <w:name w:val="EmailStyle512"/>
    <w:semiHidden/>
    <w:rPr>
      <w:rFonts w:ascii="楷体_GB2312" w:eastAsia="楷体_GB2312"/>
      <w:b w:val="0"/>
      <w:bCs w:val="0"/>
      <w:i w:val="0"/>
      <w:iCs w:val="0"/>
      <w:strike w:val="0"/>
      <w:color w:val="auto"/>
      <w:sz w:val="21"/>
      <w:szCs w:val="21"/>
      <w:u w:val="none"/>
    </w:rPr>
  </w:style>
  <w:style w:type="character" w:customStyle="1" w:styleId="style81">
    <w:name w:val="style81"/>
    <w:semiHidden/>
    <w:qFormat/>
    <w:rPr>
      <w:color w:val="000000"/>
    </w:rPr>
  </w:style>
  <w:style w:type="character" w:customStyle="1" w:styleId="Body1Char">
    <w:name w:val="Body 1 Char"/>
    <w:link w:val="Body1"/>
    <w:semiHidden/>
    <w:qFormat/>
    <w:rPr>
      <w:rFonts w:ascii="Arial" w:eastAsia="Arial Unicode MS" w:hAnsi="Arial"/>
      <w:kern w:val="2"/>
      <w:sz w:val="21"/>
      <w:szCs w:val="21"/>
      <w:lang w:val="en-GB" w:eastAsia="en-GB"/>
    </w:rPr>
  </w:style>
  <w:style w:type="paragraph" w:customStyle="1" w:styleId="Body1">
    <w:name w:val="Body 1"/>
    <w:basedOn w:val="Body"/>
    <w:link w:val="Body1Char"/>
    <w:semiHidden/>
    <w:qFormat/>
    <w:pPr>
      <w:spacing w:after="210" w:line="264" w:lineRule="auto"/>
    </w:pPr>
    <w:rPr>
      <w:rFonts w:ascii="Arial" w:eastAsia="Arial Unicode MS" w:hAnsi="Arial"/>
      <w:lang w:val="en-GB" w:eastAsia="en-GB"/>
    </w:rPr>
  </w:style>
  <w:style w:type="paragraph" w:customStyle="1" w:styleId="Body">
    <w:name w:val="Body"/>
    <w:basedOn w:val="a"/>
    <w:semiHidden/>
    <w:qFormat/>
    <w:pPr>
      <w:spacing w:after="240"/>
    </w:pPr>
  </w:style>
  <w:style w:type="character" w:customStyle="1" w:styleId="CharChar59">
    <w:name w:val="Char Char59"/>
    <w:semiHidden/>
    <w:rPr>
      <w:rFonts w:eastAsia="宋体"/>
      <w:sz w:val="24"/>
      <w:szCs w:val="24"/>
      <w:lang w:val="en-US" w:eastAsia="zh-CN" w:bidi="ar-SA"/>
    </w:rPr>
  </w:style>
  <w:style w:type="character" w:customStyle="1" w:styleId="text2">
    <w:name w:val="text2"/>
    <w:semiHidden/>
    <w:rPr>
      <w:strike w:val="0"/>
      <w:dstrike w:val="0"/>
      <w:sz w:val="18"/>
      <w:szCs w:val="18"/>
      <w:u w:val="none"/>
    </w:rPr>
  </w:style>
  <w:style w:type="character" w:customStyle="1" w:styleId="Charff5">
    <w:name w:val="日期 Char"/>
    <w:semiHidden/>
    <w:qFormat/>
    <w:rPr>
      <w:kern w:val="2"/>
      <w:sz w:val="21"/>
      <w:szCs w:val="24"/>
    </w:rPr>
  </w:style>
  <w:style w:type="character" w:customStyle="1" w:styleId="Char1f2">
    <w:name w:val="注释标题 Char1"/>
    <w:uiPriority w:val="99"/>
    <w:semiHidden/>
    <w:qFormat/>
    <w:rPr>
      <w:kern w:val="2"/>
      <w:sz w:val="21"/>
      <w:szCs w:val="24"/>
    </w:rPr>
  </w:style>
  <w:style w:type="character" w:customStyle="1" w:styleId="Char21">
    <w:name w:val="普通(网站) Char2"/>
    <w:aliases w:val="普通 (Web)1 Char2,普通(Web) Char Char Char Char,普通 (Web) Char,普通(Web) Char,普通 (Web)2 Char,普通 (Web)21 Char"/>
    <w:uiPriority w:val="99"/>
    <w:semiHidden/>
    <w:qFormat/>
    <w:locked/>
    <w:rPr>
      <w:rFonts w:ascii="Calibri" w:hAnsi="Calibri" w:cs="Arial"/>
      <w:b/>
      <w:bCs/>
      <w:i/>
      <w:iCs/>
      <w:sz w:val="22"/>
      <w:szCs w:val="22"/>
      <w:lang w:eastAsia="en-US" w:bidi="en-US"/>
    </w:rPr>
  </w:style>
  <w:style w:type="character" w:customStyle="1" w:styleId="ResetnumberingCharChar1">
    <w:name w:val="Reset numbering Char Char1"/>
    <w:semiHidden/>
    <w:rPr>
      <w:rFonts w:ascii="Arial" w:eastAsia="黑体" w:hAnsi="Arial"/>
      <w:b/>
      <w:bCs/>
      <w:kern w:val="2"/>
      <w:sz w:val="32"/>
      <w:szCs w:val="32"/>
      <w:lang w:val="en-US" w:eastAsia="zh-CN" w:bidi="ar-SA"/>
    </w:rPr>
  </w:style>
  <w:style w:type="character" w:customStyle="1" w:styleId="hangju">
    <w:name w:val="hangju"/>
    <w:semiHidden/>
    <w:qFormat/>
  </w:style>
  <w:style w:type="character" w:customStyle="1" w:styleId="Charff6">
    <w:name w:val="西矿招股书正文 Char"/>
    <w:link w:val="affffff8"/>
    <w:semiHidden/>
    <w:qFormat/>
    <w:rPr>
      <w:rFonts w:ascii="Calibri" w:hAnsi="Calibri"/>
      <w:kern w:val="2"/>
      <w:sz w:val="21"/>
      <w:szCs w:val="21"/>
    </w:rPr>
  </w:style>
  <w:style w:type="paragraph" w:customStyle="1" w:styleId="affffff8">
    <w:name w:val="西矿招股书正文"/>
    <w:basedOn w:val="a"/>
    <w:link w:val="Charff6"/>
    <w:semiHidden/>
    <w:qFormat/>
    <w:pPr>
      <w:overflowPunct w:val="0"/>
      <w:autoSpaceDE w:val="0"/>
      <w:autoSpaceDN w:val="0"/>
      <w:adjustRightInd w:val="0"/>
      <w:snapToGrid w:val="0"/>
      <w:spacing w:before="120" w:line="360" w:lineRule="auto"/>
      <w:ind w:firstLineChars="200" w:firstLine="200"/>
    </w:pPr>
    <w:rPr>
      <w:rFonts w:ascii="Calibri" w:hAnsi="Calibri"/>
    </w:rPr>
  </w:style>
  <w:style w:type="character" w:customStyle="1" w:styleId="Charff7">
    <w:name w:val="表格正文 Char"/>
    <w:link w:val="affffff9"/>
    <w:semiHidden/>
    <w:rPr>
      <w:rFonts w:ascii="Calibri" w:hAnsi="Calibri"/>
      <w:color w:val="000000"/>
      <w:kern w:val="2"/>
      <w:sz w:val="21"/>
      <w:szCs w:val="22"/>
    </w:rPr>
  </w:style>
  <w:style w:type="paragraph" w:customStyle="1" w:styleId="affffff9">
    <w:name w:val="表格正文"/>
    <w:basedOn w:val="a"/>
    <w:link w:val="Charff7"/>
    <w:semiHidden/>
    <w:qFormat/>
    <w:pPr>
      <w:spacing w:line="360" w:lineRule="exact"/>
      <w:jc w:val="center"/>
    </w:pPr>
    <w:rPr>
      <w:rFonts w:ascii="Calibri" w:hAnsi="Calibri"/>
      <w:color w:val="000000"/>
      <w:szCs w:val="22"/>
    </w:rPr>
  </w:style>
  <w:style w:type="character" w:customStyle="1" w:styleId="CharChar2310">
    <w:name w:val="Char Char2310"/>
    <w:semiHidden/>
    <w:rPr>
      <w:sz w:val="18"/>
      <w:szCs w:val="18"/>
    </w:rPr>
  </w:style>
  <w:style w:type="character" w:customStyle="1" w:styleId="Charff8">
    <w:name w:val="一组 Char"/>
    <w:link w:val="affffffa"/>
    <w:semiHidden/>
    <w:rPr>
      <w:rFonts w:ascii="Calibri" w:eastAsia="黑体" w:hAnsi="Calibri"/>
      <w:bCs/>
      <w:kern w:val="2"/>
      <w:sz w:val="30"/>
      <w:szCs w:val="30"/>
    </w:rPr>
  </w:style>
  <w:style w:type="paragraph" w:customStyle="1" w:styleId="affffffa">
    <w:name w:val="一组"/>
    <w:basedOn w:val="2"/>
    <w:link w:val="Charff8"/>
    <w:semiHidden/>
    <w:qFormat/>
    <w:pPr>
      <w:numPr>
        <w:ilvl w:val="0"/>
        <w:numId w:val="0"/>
      </w:numPr>
      <w:tabs>
        <w:tab w:val="left" w:pos="567"/>
      </w:tabs>
      <w:spacing w:beforeLines="0" w:before="240" w:afterLines="0" w:after="240" w:line="360" w:lineRule="auto"/>
      <w:ind w:left="1134" w:firstLineChars="200" w:firstLine="600"/>
      <w:jc w:val="left"/>
    </w:pPr>
    <w:rPr>
      <w:rFonts w:ascii="Calibri" w:eastAsia="黑体" w:hAnsi="Calibri"/>
      <w:b w:val="0"/>
      <w:sz w:val="30"/>
      <w:szCs w:val="30"/>
    </w:rPr>
  </w:style>
  <w:style w:type="character" w:customStyle="1" w:styleId="CharChar5">
    <w:name w:val="Char Char5"/>
    <w:semiHidden/>
    <w:qFormat/>
    <w:rPr>
      <w:color w:val="339966"/>
      <w:kern w:val="2"/>
      <w:sz w:val="21"/>
      <w:szCs w:val="24"/>
    </w:rPr>
  </w:style>
  <w:style w:type="character" w:customStyle="1" w:styleId="CharChar1CharCharCharCharCharCharCharCharCharCharCharCharCharCharCharCharCharCharCharCharCharCharCharCharCharCharCharCharCharCharCharCharCharCharCharCharCharCharChar6">
    <w:name w:val="Char Char1 Char Char Char Char Char Char Char Char Char Char Char Char Char Char Char Char Char Char Char Char Char Char Char Char Char Char Char Char Char Char Char Char Char Char Char Char Char Char Char6"/>
    <w:link w:val="CharChar1CharCharCharCharCharCharCharCharCharCharCharCharCharCharCharCharCharCharCharCharCharCharCharCharCharCharCharCharCharCharCharCharCharCharCharCharCharChar7"/>
    <w:semiHidden/>
    <w:rPr>
      <w:rFonts w:ascii="Verdana" w:eastAsia="Times New Roman" w:hAnsi="Verdana"/>
      <w:kern w:val="2"/>
      <w:sz w:val="22"/>
      <w:szCs w:val="22"/>
      <w:lang w:eastAsia="en-US"/>
    </w:rPr>
  </w:style>
  <w:style w:type="paragraph" w:customStyle="1" w:styleId="CharChar1CharCharCharCharCharCharCharCharCharCharCharCharCharCharCharCharCharCharCharCharCharCharCharCharCharCharCharCharCharCharCharCharCharCharCharCharCharChar7">
    <w:name w:val="Char Char1 Char Char Char Char Char Char Char Char Char Char Char Char Char Char Char Char Char Char Char Char Char Char Char Char Char Char Char Char Char Char Char Char Char Char Char Char Char Char7"/>
    <w:basedOn w:val="a"/>
    <w:link w:val="CharChar1CharCharCharCharCharCharCharCharCharCharCharCharCharCharCharCharCharCharCharCharCharCharCharCharCharCharCharCharCharCharCharCharCharCharCharCharCharCharChar6"/>
    <w:semiHidden/>
    <w:qFormat/>
    <w:pPr>
      <w:autoSpaceDE w:val="0"/>
      <w:autoSpaceDN w:val="0"/>
      <w:adjustRightInd w:val="0"/>
      <w:spacing w:after="160" w:line="240" w:lineRule="exact"/>
    </w:pPr>
    <w:rPr>
      <w:rFonts w:ascii="Verdana" w:eastAsia="Times New Roman" w:hAnsi="Verdana"/>
      <w:sz w:val="22"/>
      <w:szCs w:val="22"/>
      <w:lang w:eastAsia="en-US"/>
    </w:rPr>
  </w:style>
  <w:style w:type="character" w:customStyle="1" w:styleId="Charff9">
    <w:name w:val="正文一 Char"/>
    <w:link w:val="affffffb"/>
    <w:semiHidden/>
    <w:rPr>
      <w:rFonts w:ascii="Calibri" w:hAnsi="Calibri"/>
      <w:kern w:val="2"/>
      <w:sz w:val="21"/>
      <w:szCs w:val="21"/>
    </w:rPr>
  </w:style>
  <w:style w:type="paragraph" w:customStyle="1" w:styleId="affffffb">
    <w:name w:val="正文一"/>
    <w:basedOn w:val="a"/>
    <w:link w:val="Charff9"/>
    <w:semiHidden/>
    <w:qFormat/>
    <w:pPr>
      <w:spacing w:line="440" w:lineRule="atLeast"/>
      <w:ind w:firstLineChars="200" w:firstLine="200"/>
    </w:pPr>
    <w:rPr>
      <w:rFonts w:ascii="Calibri" w:hAnsi="Calibri"/>
    </w:rPr>
  </w:style>
  <w:style w:type="character" w:customStyle="1" w:styleId="CharChar98">
    <w:name w:val="Char Char98"/>
    <w:semiHidden/>
    <w:rPr>
      <w:rFonts w:eastAsia="宋体"/>
      <w:sz w:val="24"/>
      <w:szCs w:val="24"/>
      <w:lang w:val="en-US" w:eastAsia="zh-CN" w:bidi="ar-SA"/>
    </w:rPr>
  </w:style>
  <w:style w:type="character" w:customStyle="1" w:styleId="affffffc">
    <w:name w:val="正文文本缩进 字符"/>
    <w:aliases w:val="特点标题 字符,正文文字缩进 字符,北山简报正文 字符,正文文字首行缩进 字符,正文文字 21 字符1,bi 字符,正文文字 21 字符,三级正文 字符,正文（首行缩进两字） Char Char Char Char Char Char Char 字符,正文文字( 首段缩进两字） 字符,HD正文1 字符"/>
    <w:semiHidden/>
    <w:qFormat/>
  </w:style>
  <w:style w:type="character" w:customStyle="1" w:styleId="cn1">
    <w:name w:val="cn1"/>
    <w:semiHidden/>
    <w:rPr>
      <w:strike w:val="0"/>
      <w:dstrike w:val="0"/>
      <w:color w:val="000000"/>
      <w:sz w:val="18"/>
      <w:szCs w:val="18"/>
      <w:u w:val="none"/>
    </w:rPr>
  </w:style>
  <w:style w:type="character" w:customStyle="1" w:styleId="CharChar72">
    <w:name w:val="Char Char72"/>
    <w:semiHidden/>
    <w:locked/>
    <w:rPr>
      <w:rFonts w:eastAsia="宋体"/>
      <w:b/>
      <w:bCs/>
      <w:kern w:val="2"/>
      <w:sz w:val="24"/>
      <w:szCs w:val="24"/>
      <w:lang w:val="en-US" w:eastAsia="zh-CN" w:bidi="ar-SA"/>
    </w:rPr>
  </w:style>
  <w:style w:type="character" w:customStyle="1" w:styleId="1f7">
    <w:name w:val="页眉 字符1"/>
    <w:aliases w:val="联证页眉 字符1,无页眉 字符1,============================== 字符1,页眉 字符4,============================== 字符2,联证页眉 字符2,页眉 字符2,页眉2 字符1,页眉1 字符,Header odd 字符,h 字符,Header/Footer 字符,header odd 字符,header odd1 字符,header odd2 字符,header odd3 字符,header odd4 字符,header 字符"/>
    <w:uiPriority w:val="99"/>
    <w:semiHidden/>
    <w:qFormat/>
    <w:rPr>
      <w:kern w:val="2"/>
      <w:sz w:val="18"/>
      <w:szCs w:val="18"/>
    </w:rPr>
  </w:style>
  <w:style w:type="character" w:customStyle="1" w:styleId="GB23120">
    <w:name w:val="样式 (中文) 仿宋_GB2312 四号"/>
    <w:semiHidden/>
    <w:rPr>
      <w:rFonts w:eastAsia="仿宋_GB2312"/>
      <w:sz w:val="24"/>
    </w:rPr>
  </w:style>
  <w:style w:type="character" w:customStyle="1" w:styleId="211">
    <w:name w:val="正文文本缩进 2 字符1"/>
    <w:aliases w:val="正文文字缩进 2 字符,正文文字缩进 2 字符1,正文文字缩进 21 字符1"/>
    <w:semiHidden/>
    <w:qFormat/>
    <w:rPr>
      <w:kern w:val="2"/>
      <w:sz w:val="21"/>
      <w:szCs w:val="24"/>
    </w:rPr>
  </w:style>
  <w:style w:type="character" w:customStyle="1" w:styleId="CharChar136">
    <w:name w:val="Char Char136"/>
    <w:semiHidden/>
    <w:rPr>
      <w:rFonts w:eastAsia="宋体"/>
      <w:kern w:val="2"/>
      <w:sz w:val="21"/>
      <w:szCs w:val="24"/>
      <w:lang w:val="en-US" w:eastAsia="zh-CN" w:bidi="ar-SA"/>
    </w:rPr>
  </w:style>
  <w:style w:type="character" w:customStyle="1" w:styleId="3f3">
    <w:name w:val="正文文本 3 字符"/>
    <w:semiHidden/>
    <w:qFormat/>
    <w:rPr>
      <w:rFonts w:ascii="Times New Roman" w:eastAsia="宋体" w:hAnsi="Times New Roman" w:cs="Times New Roman"/>
      <w:sz w:val="16"/>
      <w:szCs w:val="16"/>
    </w:rPr>
  </w:style>
  <w:style w:type="character" w:customStyle="1" w:styleId="Char1f3">
    <w:name w:val="脚注文本 Char1"/>
    <w:uiPriority w:val="99"/>
    <w:semiHidden/>
    <w:qFormat/>
    <w:rPr>
      <w:kern w:val="2"/>
      <w:sz w:val="18"/>
      <w:szCs w:val="18"/>
    </w:rPr>
  </w:style>
  <w:style w:type="character" w:customStyle="1" w:styleId="2fd">
    <w:name w:val="正文首行缩进 2 字符"/>
    <w:semiHidden/>
    <w:qFormat/>
  </w:style>
  <w:style w:type="character" w:customStyle="1" w:styleId="CharChar264">
    <w:name w:val="Char Char264"/>
    <w:semiHidden/>
    <w:rPr>
      <w:rFonts w:eastAsia="宋体"/>
      <w:snapToGrid w:val="0"/>
      <w:sz w:val="24"/>
      <w:szCs w:val="24"/>
      <w:lang w:val="en-US" w:eastAsia="zh-CN" w:bidi="ar-SA"/>
    </w:rPr>
  </w:style>
  <w:style w:type="character" w:customStyle="1" w:styleId="Char1f4">
    <w:name w:val="正文首行缩进 Char1"/>
    <w:semiHidden/>
    <w:qFormat/>
    <w:rPr>
      <w:kern w:val="2"/>
      <w:sz w:val="21"/>
      <w:szCs w:val="24"/>
    </w:rPr>
  </w:style>
  <w:style w:type="character" w:customStyle="1" w:styleId="Charffa">
    <w:name w:val="普通(网站) Char"/>
    <w:aliases w:val="普通 (Web)1 Char"/>
    <w:uiPriority w:val="99"/>
    <w:semiHidden/>
    <w:qFormat/>
    <w:rPr>
      <w:rFonts w:ascii="宋体" w:hAnsi="宋体" w:cs="宋体"/>
      <w:sz w:val="24"/>
      <w:szCs w:val="24"/>
    </w:rPr>
  </w:style>
  <w:style w:type="character" w:customStyle="1" w:styleId="4-1Char">
    <w:name w:val="4-1、 Char"/>
    <w:link w:val="4-1"/>
    <w:semiHidden/>
    <w:rPr>
      <w:rFonts w:ascii="Calibri" w:hAnsi="Calibri"/>
      <w:bCs/>
      <w:kern w:val="2"/>
      <w:sz w:val="24"/>
      <w:szCs w:val="28"/>
    </w:rPr>
  </w:style>
  <w:style w:type="paragraph" w:customStyle="1" w:styleId="4-1">
    <w:name w:val="4-1、"/>
    <w:basedOn w:val="4"/>
    <w:link w:val="4-1Char"/>
    <w:semiHidden/>
    <w:qFormat/>
    <w:pPr>
      <w:widowControl w:val="0"/>
      <w:numPr>
        <w:ilvl w:val="0"/>
        <w:numId w:val="0"/>
      </w:numPr>
      <w:tabs>
        <w:tab w:val="left" w:pos="2835"/>
      </w:tabs>
      <w:spacing w:before="0" w:after="240" w:line="480" w:lineRule="exact"/>
      <w:ind w:firstLineChars="200" w:firstLine="200"/>
      <w:jc w:val="left"/>
    </w:pPr>
    <w:rPr>
      <w:rFonts w:ascii="Calibri" w:eastAsia="宋体" w:hAnsi="Calibri"/>
      <w:b w:val="0"/>
      <w:sz w:val="24"/>
    </w:rPr>
  </w:style>
  <w:style w:type="character" w:customStyle="1" w:styleId="Char1f5">
    <w:name w:val="页眉 Char1"/>
    <w:aliases w:val="联证页眉 Char,无页眉 Char1,============================== Char1,页眉2 Char1"/>
    <w:uiPriority w:val="99"/>
    <w:semiHidden/>
    <w:qFormat/>
    <w:rPr>
      <w:rFonts w:ascii="Times New Roman" w:eastAsia="宋体" w:hAnsi="Times New Roman" w:cs="Times New Roman"/>
      <w:kern w:val="0"/>
      <w:sz w:val="18"/>
      <w:szCs w:val="20"/>
      <w:lang w:val="en-AU"/>
    </w:rPr>
  </w:style>
  <w:style w:type="character" w:customStyle="1" w:styleId="FooterChar1">
    <w:name w:val="Footer Char1"/>
    <w:uiPriority w:val="99"/>
    <w:semiHidden/>
    <w:rPr>
      <w:kern w:val="2"/>
      <w:sz w:val="18"/>
      <w:szCs w:val="18"/>
    </w:rPr>
  </w:style>
  <w:style w:type="character" w:customStyle="1" w:styleId="1f8">
    <w:name w:val="信息标题 字符1"/>
    <w:semiHidden/>
    <w:rPr>
      <w:rFonts w:ascii="Cambria" w:eastAsia="宋体" w:hAnsi="Cambria" w:cs="Times New Roman"/>
      <w:sz w:val="24"/>
      <w:szCs w:val="24"/>
      <w:shd w:val="pct20" w:color="auto" w:fill="auto"/>
    </w:rPr>
  </w:style>
  <w:style w:type="character" w:customStyle="1" w:styleId="CharChar204">
    <w:name w:val="Char Char204"/>
    <w:semiHidden/>
    <w:rPr>
      <w:sz w:val="18"/>
      <w:szCs w:val="18"/>
    </w:rPr>
  </w:style>
  <w:style w:type="character" w:customStyle="1" w:styleId="Charffb">
    <w:name w:val="招股书五级标题 Char"/>
    <w:link w:val="affffffd"/>
    <w:semiHidden/>
    <w:rPr>
      <w:rFonts w:hAnsi="Calibri"/>
      <w:b/>
      <w:kern w:val="2"/>
      <w:sz w:val="21"/>
      <w:szCs w:val="22"/>
    </w:rPr>
  </w:style>
  <w:style w:type="paragraph" w:customStyle="1" w:styleId="affffffd">
    <w:name w:val="招股书五级标题"/>
    <w:basedOn w:val="a"/>
    <w:link w:val="Charffb"/>
    <w:semiHidden/>
    <w:qFormat/>
    <w:pPr>
      <w:spacing w:beforeLines="50" w:afterLines="50" w:line="360" w:lineRule="auto"/>
      <w:ind w:firstLineChars="200" w:firstLine="200"/>
    </w:pPr>
    <w:rPr>
      <w:rFonts w:hAnsi="Calibri"/>
      <w:b/>
      <w:szCs w:val="22"/>
    </w:rPr>
  </w:style>
  <w:style w:type="character" w:customStyle="1" w:styleId="CharChar141">
    <w:name w:val="Char Char141"/>
    <w:semiHidden/>
    <w:qFormat/>
    <w:rPr>
      <w:rFonts w:eastAsia="宋体"/>
      <w:kern w:val="2"/>
      <w:sz w:val="18"/>
      <w:szCs w:val="18"/>
      <w:lang w:val="en-US" w:eastAsia="zh-CN" w:bidi="ar-SA"/>
    </w:rPr>
  </w:style>
  <w:style w:type="character" w:customStyle="1" w:styleId="CharChara">
    <w:name w:val="招股书内正文 Char Char"/>
    <w:semiHidden/>
    <w:rPr>
      <w:rFonts w:ascii="Arial" w:eastAsia="Arial" w:hAnsi="宋体" w:cs="Arial"/>
      <w:kern w:val="2"/>
      <w:sz w:val="24"/>
      <w:szCs w:val="24"/>
    </w:rPr>
  </w:style>
  <w:style w:type="character" w:customStyle="1" w:styleId="Charffc">
    <w:name w:val="正文文本 Char"/>
    <w:aliases w:val="body text Char,bt Char,建议书标准 Char,?y????×? Char,???? Char, Char1 Char,b Char1,DEB Body Text Char1,正文文字 Char Char1,正文文字 Char Char Char Char Char2,正文文字 Char Char Char Char Char Char Char Char1,正文文字 Char Char Char Char Char Char1,正文文字 Char1,方案 Ch"/>
    <w:semiHidden/>
    <w:qFormat/>
  </w:style>
  <w:style w:type="character" w:customStyle="1" w:styleId="Charffd">
    <w:name w:val="招股书一级标题 Char"/>
    <w:link w:val="affffffe"/>
    <w:semiHidden/>
    <w:rPr>
      <w:rFonts w:ascii="宋体" w:eastAsia="黑体" w:hAnsi="Calibri"/>
      <w:kern w:val="2"/>
      <w:sz w:val="36"/>
      <w:szCs w:val="22"/>
    </w:rPr>
  </w:style>
  <w:style w:type="paragraph" w:customStyle="1" w:styleId="affffffe">
    <w:name w:val="招股书一级标题"/>
    <w:basedOn w:val="1TimesNewRoman0505"/>
    <w:link w:val="Charffd"/>
    <w:semiHidden/>
    <w:qFormat/>
    <w:rPr>
      <w:rFonts w:cs="Times New Roman"/>
      <w:kern w:val="2"/>
      <w:szCs w:val="22"/>
    </w:rPr>
  </w:style>
  <w:style w:type="paragraph" w:customStyle="1" w:styleId="1TimesNewRoman0505">
    <w:name w:val="样式 标题 1 + Times New Roman 段前: 0.5 行 段后: 0.5 行"/>
    <w:basedOn w:val="1"/>
    <w:semiHidden/>
    <w:qFormat/>
    <w:pPr>
      <w:keepNext w:val="0"/>
      <w:keepLines w:val="0"/>
      <w:pageBreakBefore/>
      <w:tabs>
        <w:tab w:val="clear" w:pos="1134"/>
        <w:tab w:val="left" w:pos="0"/>
        <w:tab w:val="left" w:pos="567"/>
      </w:tabs>
      <w:spacing w:line="360" w:lineRule="auto"/>
      <w:ind w:left="960" w:firstLineChars="0" w:hanging="420"/>
      <w:jc w:val="center"/>
    </w:pPr>
    <w:rPr>
      <w:rFonts w:ascii="宋体" w:eastAsia="黑体" w:hAnsi="Calibri" w:cs="宋体"/>
      <w:b w:val="0"/>
      <w:bCs w:val="0"/>
      <w:kern w:val="0"/>
      <w:sz w:val="36"/>
      <w:szCs w:val="20"/>
    </w:rPr>
  </w:style>
  <w:style w:type="character" w:customStyle="1" w:styleId="maintext1">
    <w:name w:val="maintext1"/>
    <w:semiHidden/>
    <w:rPr>
      <w:strike w:val="0"/>
      <w:dstrike w:val="0"/>
      <w:color w:val="333333"/>
      <w:sz w:val="14"/>
      <w:szCs w:val="14"/>
      <w:u w:val="none"/>
    </w:rPr>
  </w:style>
  <w:style w:type="character" w:customStyle="1" w:styleId="cont2">
    <w:name w:val="cont2"/>
    <w:semiHidden/>
  </w:style>
  <w:style w:type="character" w:customStyle="1" w:styleId="AA9">
    <w:name w:val="AA 表格文字 字符"/>
    <w:link w:val="AAa"/>
    <w:semiHidden/>
    <w:rPr>
      <w:rFonts w:ascii="Arial" w:hAnsi="Arial" w:cs="Arial"/>
      <w:kern w:val="2"/>
      <w:sz w:val="21"/>
      <w:szCs w:val="21"/>
    </w:rPr>
  </w:style>
  <w:style w:type="paragraph" w:customStyle="1" w:styleId="AAa">
    <w:name w:val="AA 表格文字"/>
    <w:basedOn w:val="a"/>
    <w:link w:val="AA9"/>
    <w:semiHidden/>
    <w:qFormat/>
    <w:rPr>
      <w:rFonts w:ascii="Arial" w:hAnsi="Arial" w:cs="Arial"/>
    </w:rPr>
  </w:style>
  <w:style w:type="character" w:customStyle="1" w:styleId="main1">
    <w:name w:val="main1"/>
    <w:semiHidden/>
    <w:rPr>
      <w:color w:val="666666"/>
      <w:sz w:val="18"/>
    </w:rPr>
  </w:style>
  <w:style w:type="character" w:customStyle="1" w:styleId="CharChar75">
    <w:name w:val="Char Char75"/>
    <w:semiHidden/>
    <w:locked/>
    <w:rPr>
      <w:rFonts w:eastAsia="宋体"/>
      <w:b/>
      <w:bCs/>
      <w:kern w:val="2"/>
      <w:sz w:val="24"/>
      <w:szCs w:val="24"/>
      <w:lang w:val="en-US" w:eastAsia="zh-CN" w:bidi="ar-SA"/>
    </w:rPr>
  </w:style>
  <w:style w:type="character" w:customStyle="1" w:styleId="EmailStyle5181">
    <w:name w:val="EmailStyle5181"/>
    <w:semiHidden/>
    <w:rPr>
      <w:rFonts w:ascii="楷体_GB2312" w:eastAsia="楷体_GB2312"/>
      <w:b w:val="0"/>
      <w:bCs w:val="0"/>
      <w:i w:val="0"/>
      <w:iCs w:val="0"/>
      <w:strike w:val="0"/>
      <w:color w:val="auto"/>
      <w:sz w:val="21"/>
      <w:szCs w:val="21"/>
      <w:u w:val="none"/>
    </w:rPr>
  </w:style>
  <w:style w:type="character" w:customStyle="1" w:styleId="0012Char">
    <w:name w:val="样式 正文001 + 首行缩进:  2 字符 Char"/>
    <w:link w:val="0012"/>
    <w:semiHidden/>
    <w:rPr>
      <w:kern w:val="2"/>
      <w:sz w:val="21"/>
      <w:szCs w:val="22"/>
    </w:rPr>
  </w:style>
  <w:style w:type="paragraph" w:customStyle="1" w:styleId="0012">
    <w:name w:val="样式 正文001 + 首行缩进:  2 字符"/>
    <w:basedOn w:val="0010"/>
    <w:link w:val="0012Char"/>
    <w:semiHidden/>
    <w:qFormat/>
    <w:pPr>
      <w:ind w:firstLine="480"/>
    </w:pPr>
  </w:style>
  <w:style w:type="character" w:customStyle="1" w:styleId="notestyle">
    <w:name w:val="note_style"/>
    <w:semiHidden/>
  </w:style>
  <w:style w:type="character" w:customStyle="1" w:styleId="CharChar1CharCharCharCharCharCharCharCharCharCharCharCharCharCharCharCharCharCharCharCharCharCharCharCharCharCharCharCharCharCharCharCharCharCharCharCharCharCharChar3">
    <w:name w:val="Char Char1 Char Char Char Char Char Char Char Char Char Char Char Char Char Char Char Char Char Char Char Char Char Char Char Char Char Char Char Char Char Char Char Char Char Char Char Char Char Char Char3"/>
    <w:link w:val="CharChar1CharCharCharCharCharCharCharCharCharCharCharCharCharCharCharCharCharCharCharCharCharCharCharCharCharCharCharCharCharCharCharCharCharCharCharCharCharChar4"/>
    <w:semiHidden/>
    <w:rPr>
      <w:rFonts w:ascii="Verdana" w:hAnsi="Verdana"/>
      <w:kern w:val="2"/>
      <w:sz w:val="22"/>
      <w:szCs w:val="22"/>
      <w:lang w:eastAsia="en-US"/>
    </w:rPr>
  </w:style>
  <w:style w:type="paragraph" w:customStyle="1" w:styleId="CharChar1CharCharCharCharCharCharCharCharCharCharCharCharCharCharCharCharCharCharCharCharCharCharCharCharCharCharCharCharCharCharCharCharCharCharCharCharCharChar4">
    <w:name w:val="Char Char1 Char Char Char Char Char Char Char Char Char Char Char Char Char Char Char Char Char Char Char Char Char Char Char Char Char Char Char Char Char Char Char Char Char Char Char Char Char Char4"/>
    <w:basedOn w:val="a"/>
    <w:link w:val="CharChar1CharCharCharCharCharCharCharCharCharCharCharCharCharCharCharCharCharCharCharCharCharCharCharCharCharCharCharCharCharCharCharCharCharCharCharCharCharCharChar3"/>
    <w:semiHidden/>
    <w:qFormat/>
    <w:pPr>
      <w:spacing w:after="160" w:line="240" w:lineRule="exact"/>
    </w:pPr>
    <w:rPr>
      <w:rFonts w:ascii="Verdana" w:hAnsi="Verdana"/>
      <w:sz w:val="22"/>
      <w:szCs w:val="22"/>
      <w:lang w:eastAsia="en-US"/>
    </w:rPr>
  </w:style>
  <w:style w:type="character" w:customStyle="1" w:styleId="313">
    <w:name w:val="正文文本缩进 3 字符1"/>
    <w:aliases w:val="正文文字缩进 3 字符,正文文字缩进 3 + (符号) Arial Narrow 字符1,行距: 固定值 25 磅 字符1,首行缩进:  2 字符 字符1"/>
    <w:semiHidden/>
    <w:qFormat/>
    <w:rPr>
      <w:sz w:val="16"/>
      <w:szCs w:val="16"/>
    </w:rPr>
  </w:style>
  <w:style w:type="character" w:customStyle="1" w:styleId="CharCharb">
    <w:name w:val="第二级 （一） Char Char"/>
    <w:link w:val="afffffff"/>
    <w:semiHidden/>
    <w:rPr>
      <w:rFonts w:ascii="Calibri"/>
      <w:b/>
      <w:bCs/>
      <w:kern w:val="2"/>
      <w:sz w:val="21"/>
      <w:szCs w:val="21"/>
    </w:rPr>
  </w:style>
  <w:style w:type="paragraph" w:customStyle="1" w:styleId="afffffff">
    <w:name w:val="第二级 （一）"/>
    <w:basedOn w:val="a"/>
    <w:link w:val="CharCharb"/>
    <w:semiHidden/>
    <w:qFormat/>
    <w:pPr>
      <w:spacing w:beforeLines="50" w:after="120" w:line="360" w:lineRule="auto"/>
    </w:pPr>
    <w:rPr>
      <w:rFonts w:ascii="Calibri"/>
      <w:b/>
      <w:bCs/>
    </w:rPr>
  </w:style>
  <w:style w:type="character" w:customStyle="1" w:styleId="64">
    <w:name w:val="标题 6 字符"/>
    <w:aliases w:val="6 字符,Bullet (Single Lines) 字符,4号宋体左齐行距1.25倍 字符,Legal Level 1. 字符,H6 字符,标题1.1.1.1.1.1 字符,技术文件 字符,Lev 6 字符,① 字符,标题 77 字符,H61 字符,H62 字符,Ü6 + Nr 字符,标题 6 Char Char 字符,PIM 6 字符,BOD 4 字符,Bullet list 字符,第五层条 字符,Third Subheading 字符,a标题 6 字符,Heading 6A 字符"/>
    <w:uiPriority w:val="9"/>
    <w:semiHidden/>
    <w:qFormat/>
    <w:rPr>
      <w:rFonts w:ascii="Cambria" w:eastAsia="宋体" w:hAnsi="Cambria" w:cs="Times New Roman"/>
      <w:b/>
      <w:bCs/>
      <w:sz w:val="24"/>
      <w:szCs w:val="24"/>
    </w:rPr>
  </w:style>
  <w:style w:type="character" w:customStyle="1" w:styleId="Charffe">
    <w:name w:val="招股书三级标题 Char"/>
    <w:link w:val="afffffff0"/>
    <w:semiHidden/>
    <w:qFormat/>
    <w:rPr>
      <w:rFonts w:ascii="黑体" w:eastAsia="黑体" w:hAnsi="Calibri"/>
      <w:kern w:val="2"/>
      <w:sz w:val="24"/>
      <w:szCs w:val="22"/>
    </w:rPr>
  </w:style>
  <w:style w:type="paragraph" w:customStyle="1" w:styleId="afffffff0">
    <w:name w:val="招股书三级标题"/>
    <w:basedOn w:val="3"/>
    <w:link w:val="Charffe"/>
    <w:semiHidden/>
    <w:qFormat/>
    <w:pPr>
      <w:keepNext w:val="0"/>
      <w:keepLines w:val="0"/>
      <w:numPr>
        <w:ilvl w:val="0"/>
        <w:numId w:val="0"/>
      </w:numPr>
      <w:tabs>
        <w:tab w:val="left" w:pos="1871"/>
      </w:tabs>
      <w:spacing w:line="360" w:lineRule="auto"/>
      <w:ind w:leftChars="200" w:left="284" w:hanging="284"/>
      <w:jc w:val="left"/>
    </w:pPr>
    <w:rPr>
      <w:rFonts w:ascii="黑体" w:eastAsia="黑体" w:hAnsi="Calibri"/>
      <w:b w:val="0"/>
      <w:bCs w:val="0"/>
      <w:sz w:val="24"/>
      <w:szCs w:val="22"/>
    </w:rPr>
  </w:style>
  <w:style w:type="character" w:customStyle="1" w:styleId="apple-style-span">
    <w:name w:val="apple-style-span"/>
    <w:uiPriority w:val="1"/>
    <w:semiHidden/>
    <w:qFormat/>
  </w:style>
  <w:style w:type="character" w:customStyle="1" w:styleId="grame">
    <w:name w:val="grame"/>
    <w:semiHidden/>
  </w:style>
  <w:style w:type="character" w:customStyle="1" w:styleId="afffffff1">
    <w:name w:val="日期 字符"/>
    <w:semiHidden/>
    <w:qFormat/>
  </w:style>
  <w:style w:type="character" w:customStyle="1" w:styleId="yqlink">
    <w:name w:val="yqlink"/>
    <w:semiHidden/>
    <w:qFormat/>
  </w:style>
  <w:style w:type="character" w:customStyle="1" w:styleId="Charfff">
    <w:name w:val="正文修订 Char"/>
    <w:link w:val="afffffff2"/>
    <w:semiHidden/>
    <w:rPr>
      <w:kern w:val="2"/>
      <w:sz w:val="21"/>
      <w:szCs w:val="15"/>
      <w:lang w:val="en-US" w:eastAsia="zh-CN"/>
    </w:rPr>
  </w:style>
  <w:style w:type="paragraph" w:customStyle="1" w:styleId="afffffff2">
    <w:name w:val="正文修订"/>
    <w:basedOn w:val="a"/>
    <w:next w:val="a"/>
    <w:link w:val="Charfff"/>
    <w:semiHidden/>
    <w:qFormat/>
    <w:pPr>
      <w:widowControl w:val="0"/>
      <w:tabs>
        <w:tab w:val="center" w:pos="4153"/>
        <w:tab w:val="right" w:pos="8306"/>
      </w:tabs>
      <w:snapToGrid w:val="0"/>
      <w:spacing w:beforeLines="50" w:before="50" w:line="360" w:lineRule="auto"/>
      <w:ind w:firstLineChars="200" w:firstLine="200"/>
      <w:jc w:val="both"/>
    </w:pPr>
    <w:rPr>
      <w:szCs w:val="15"/>
      <w:lang w:val="en-US" w:eastAsia="zh-CN"/>
    </w:rPr>
  </w:style>
  <w:style w:type="character" w:customStyle="1" w:styleId="101Char1">
    <w:name w:val="样式 正文1 + 段前: 0.1 行 Char1"/>
    <w:semiHidden/>
    <w:rPr>
      <w:rFonts w:eastAsia="宋体" w:cs="宋体"/>
      <w:kern w:val="2"/>
      <w:sz w:val="24"/>
      <w:lang w:val="en-US" w:eastAsia="zh-CN" w:bidi="ar-SA"/>
    </w:rPr>
  </w:style>
  <w:style w:type="character" w:customStyle="1" w:styleId="afffffff3">
    <w:name w:val="列表段落 字符"/>
    <w:link w:val="afffffff4"/>
    <w:uiPriority w:val="34"/>
    <w:semiHidden/>
    <w:qFormat/>
    <w:locked/>
    <w:rPr>
      <w:kern w:val="2"/>
      <w:sz w:val="21"/>
      <w:szCs w:val="21"/>
    </w:rPr>
  </w:style>
  <w:style w:type="paragraph" w:styleId="afffffff4">
    <w:name w:val="List Paragraph"/>
    <w:basedOn w:val="a"/>
    <w:link w:val="afffffff3"/>
    <w:uiPriority w:val="34"/>
    <w:qFormat/>
    <w:pPr>
      <w:spacing w:beforeLines="50" w:before="50" w:afterLines="50" w:after="50" w:line="360" w:lineRule="auto"/>
      <w:ind w:firstLineChars="200" w:firstLine="420"/>
      <w:jc w:val="both"/>
    </w:pPr>
  </w:style>
  <w:style w:type="character" w:customStyle="1" w:styleId="CharChar267">
    <w:name w:val="Char Char267"/>
    <w:semiHidden/>
    <w:rPr>
      <w:rFonts w:eastAsia="宋体"/>
      <w:snapToGrid w:val="0"/>
      <w:sz w:val="24"/>
      <w:szCs w:val="24"/>
      <w:lang w:val="en-US" w:eastAsia="zh-CN" w:bidi="ar-SA"/>
    </w:rPr>
  </w:style>
  <w:style w:type="character" w:customStyle="1" w:styleId="CharChar510">
    <w:name w:val="Char Char510"/>
    <w:semiHidden/>
    <w:rPr>
      <w:rFonts w:eastAsia="宋体"/>
      <w:sz w:val="24"/>
      <w:szCs w:val="24"/>
      <w:lang w:val="en-US" w:eastAsia="zh-CN" w:bidi="ar-SA"/>
    </w:rPr>
  </w:style>
  <w:style w:type="character" w:customStyle="1" w:styleId="EmailStyle606">
    <w:name w:val="EmailStyle606"/>
    <w:semiHidden/>
    <w:rPr>
      <w:rFonts w:ascii="楷体_GB2312" w:eastAsia="楷体_GB2312"/>
      <w:b w:val="0"/>
      <w:bCs w:val="0"/>
      <w:i w:val="0"/>
      <w:iCs w:val="0"/>
      <w:strike w:val="0"/>
      <w:color w:val="auto"/>
      <w:sz w:val="21"/>
      <w:szCs w:val="21"/>
      <w:u w:val="none"/>
    </w:rPr>
  </w:style>
  <w:style w:type="character" w:customStyle="1" w:styleId="Charfff0">
    <w:name w:val="正文缩进 Char"/>
    <w:aliases w:val="表正文 Char,正文非缩进 Char, Char Char Char1,正文2级 Char,表正文 Char1,特点 Char1,正文对齐 Char,Alt+X Char,mr正文缩进 Char,正文缩进William Char,段1 Char,正文不缩进 Char,特点 Char Char,ALT+Z Char,水上软件 Char,四号 Char,正文文本 Char Char Char,Normal Indent Char,标题4 Char,正文缩进 Char1,表格标题 Ch"/>
    <w:uiPriority w:val="1"/>
    <w:semiHidden/>
    <w:qFormat/>
    <w:rPr>
      <w:rFonts w:ascii="Times New Roman" w:eastAsia="宋体" w:hAnsi="Times New Roman" w:cs="Times New Roman"/>
      <w:szCs w:val="21"/>
    </w:rPr>
  </w:style>
  <w:style w:type="character" w:customStyle="1" w:styleId="2fe">
    <w:name w:val="2级 字符"/>
    <w:link w:val="2ff"/>
    <w:semiHidden/>
    <w:rPr>
      <w:rFonts w:ascii="黑体" w:eastAsia="黑体" w:hAnsi="黑体"/>
      <w:bCs/>
      <w:kern w:val="2"/>
      <w:sz w:val="30"/>
      <w:szCs w:val="30"/>
    </w:rPr>
  </w:style>
  <w:style w:type="paragraph" w:customStyle="1" w:styleId="2ff">
    <w:name w:val="2级"/>
    <w:basedOn w:val="a"/>
    <w:link w:val="2fe"/>
    <w:semiHidden/>
    <w:qFormat/>
    <w:pPr>
      <w:keepNext/>
      <w:keepLines/>
      <w:spacing w:beforeLines="50" w:line="360" w:lineRule="auto"/>
      <w:outlineLvl w:val="1"/>
    </w:pPr>
    <w:rPr>
      <w:rFonts w:ascii="黑体" w:eastAsia="黑体" w:hAnsi="黑体"/>
      <w:bCs/>
      <w:sz w:val="30"/>
      <w:szCs w:val="30"/>
    </w:rPr>
  </w:style>
  <w:style w:type="character" w:customStyle="1" w:styleId="EmailStyle5151">
    <w:name w:val="EmailStyle5151"/>
    <w:semiHidden/>
    <w:rPr>
      <w:rFonts w:ascii="楷体_GB2312" w:eastAsia="楷体_GB2312"/>
      <w:b w:val="0"/>
      <w:bCs w:val="0"/>
      <w:i w:val="0"/>
      <w:iCs w:val="0"/>
      <w:strike w:val="0"/>
      <w:color w:val="auto"/>
      <w:sz w:val="21"/>
      <w:szCs w:val="21"/>
      <w:u w:val="none"/>
    </w:rPr>
  </w:style>
  <w:style w:type="character" w:customStyle="1" w:styleId="AA13">
    <w:name w:val="AA（1） 字符"/>
    <w:link w:val="AA14"/>
    <w:semiHidden/>
    <w:rPr>
      <w:b/>
      <w:kern w:val="2"/>
      <w:sz w:val="21"/>
      <w:szCs w:val="21"/>
    </w:rPr>
  </w:style>
  <w:style w:type="paragraph" w:customStyle="1" w:styleId="AA14">
    <w:name w:val="AA（1）"/>
    <w:basedOn w:val="AA10"/>
    <w:link w:val="AA13"/>
    <w:semiHidden/>
    <w:qFormat/>
    <w:pPr>
      <w:outlineLvl w:val="3"/>
    </w:pPr>
  </w:style>
  <w:style w:type="character" w:customStyle="1" w:styleId="aCharChar">
    <w:name w:val="(a正文 Char Char"/>
    <w:link w:val="aChar"/>
    <w:semiHidden/>
    <w:rPr>
      <w:rFonts w:eastAsia="仿宋_GB2312"/>
      <w:color w:val="000000"/>
      <w:sz w:val="24"/>
      <w:szCs w:val="24"/>
    </w:rPr>
  </w:style>
  <w:style w:type="paragraph" w:customStyle="1" w:styleId="aChar">
    <w:name w:val="(a正文 Char"/>
    <w:basedOn w:val="a"/>
    <w:link w:val="aCharChar"/>
    <w:semiHidden/>
    <w:qFormat/>
    <w:pPr>
      <w:spacing w:line="440" w:lineRule="exact"/>
      <w:ind w:firstLineChars="200" w:firstLine="200"/>
    </w:pPr>
    <w:rPr>
      <w:rFonts w:ascii="Calibri" w:eastAsia="仿宋_GB2312" w:hAnsi="Calibri"/>
      <w:color w:val="000000"/>
    </w:rPr>
  </w:style>
  <w:style w:type="character" w:customStyle="1" w:styleId="65">
    <w:name w:val="6级 字符"/>
    <w:link w:val="66"/>
    <w:semiHidden/>
    <w:rPr>
      <w:rFonts w:ascii="Calibri" w:hAnsi="Calibri"/>
      <w:kern w:val="2"/>
      <w:sz w:val="21"/>
      <w:szCs w:val="21"/>
    </w:rPr>
  </w:style>
  <w:style w:type="paragraph" w:customStyle="1" w:styleId="66">
    <w:name w:val="6级"/>
    <w:basedOn w:val="jin6"/>
    <w:link w:val="65"/>
    <w:semiHidden/>
    <w:qFormat/>
    <w:pPr>
      <w:spacing w:beforeLines="50"/>
      <w:jc w:val="left"/>
    </w:pPr>
  </w:style>
  <w:style w:type="paragraph" w:customStyle="1" w:styleId="jin6">
    <w:name w:val="jin6"/>
    <w:basedOn w:val="a"/>
    <w:link w:val="jin6CharChar"/>
    <w:semiHidden/>
    <w:qFormat/>
    <w:pPr>
      <w:spacing w:line="360" w:lineRule="auto"/>
      <w:ind w:leftChars="-12" w:left="-29" w:firstLineChars="185" w:firstLine="444"/>
      <w:jc w:val="both"/>
    </w:pPr>
    <w:rPr>
      <w:rFonts w:ascii="Calibri" w:hAnsi="Calibri"/>
    </w:rPr>
  </w:style>
  <w:style w:type="character" w:customStyle="1" w:styleId="jin6CharChar">
    <w:name w:val="jin6 Char Char"/>
    <w:link w:val="jin6"/>
    <w:semiHidden/>
    <w:rPr>
      <w:rFonts w:ascii="Calibri" w:hAnsi="Calibri"/>
      <w:kern w:val="2"/>
      <w:sz w:val="21"/>
      <w:szCs w:val="21"/>
    </w:rPr>
  </w:style>
  <w:style w:type="character" w:customStyle="1" w:styleId="EmailStyle548">
    <w:name w:val="EmailStyle548"/>
    <w:semiHidden/>
    <w:rPr>
      <w:rFonts w:ascii="楷体_GB2312" w:eastAsia="楷体_GB2312"/>
      <w:b w:val="0"/>
      <w:bCs w:val="0"/>
      <w:i w:val="0"/>
      <w:iCs w:val="0"/>
      <w:strike w:val="0"/>
      <w:color w:val="auto"/>
      <w:sz w:val="21"/>
      <w:szCs w:val="21"/>
      <w:u w:val="none"/>
    </w:rPr>
  </w:style>
  <w:style w:type="character" w:customStyle="1" w:styleId="a14px1">
    <w:name w:val="a14px1"/>
    <w:semiHidden/>
    <w:rPr>
      <w:rFonts w:ascii="Arial" w:hAnsi="Arial" w:hint="default"/>
      <w:sz w:val="21"/>
    </w:rPr>
  </w:style>
  <w:style w:type="character" w:customStyle="1" w:styleId="Level3-iCharChar">
    <w:name w:val="Level 3 - i Char Char"/>
    <w:semiHidden/>
    <w:rPr>
      <w:rFonts w:eastAsia="宋体"/>
      <w:kern w:val="2"/>
      <w:sz w:val="24"/>
      <w:szCs w:val="24"/>
      <w:lang w:val="en-US" w:eastAsia="zh-CN" w:bidi="ar-SA"/>
    </w:rPr>
  </w:style>
  <w:style w:type="character" w:customStyle="1" w:styleId="t141">
    <w:name w:val="t141"/>
    <w:semiHidden/>
    <w:rPr>
      <w:strike w:val="0"/>
      <w:dstrike w:val="0"/>
      <w:sz w:val="21"/>
      <w:szCs w:val="21"/>
      <w:u w:val="none"/>
    </w:rPr>
  </w:style>
  <w:style w:type="character" w:customStyle="1" w:styleId="CharChar22">
    <w:name w:val="Char Char22"/>
    <w:semiHidden/>
    <w:qFormat/>
    <w:rPr>
      <w:rFonts w:eastAsia="宋体"/>
      <w:snapToGrid w:val="0"/>
      <w:sz w:val="24"/>
      <w:szCs w:val="24"/>
      <w:lang w:val="en-US" w:eastAsia="zh-CN" w:bidi="ar-SA"/>
    </w:rPr>
  </w:style>
  <w:style w:type="character" w:customStyle="1" w:styleId="CharChar1CharCharCharCharCharCharCharCharCharCharCharCharCharCharCharCharCharCharCharCharCharCharCharCharCharCharCharCharCharCharCharCharCharCharCharCharCharCharChar9">
    <w:name w:val="Char Char1 Char Char Char Char Char Char Char Char Char Char Char Char Char Char Char Char Char Char Char Char Char Char Char Char Char Char Char Char Char Char Char Char Char Char Char Char Char Char Char9"/>
    <w:link w:val="CharChar1CharCharCharCharCharCharCharCharCharCharCharCharCharCharCharCharCharCharCharCharCharCharCharCharCharCharCharCharCharCharCharCharCharCharCharCharCharChar10"/>
    <w:semiHidden/>
    <w:rPr>
      <w:rFonts w:ascii="Verdana" w:eastAsia="Times New Roman" w:hAnsi="Verdana"/>
      <w:kern w:val="2"/>
      <w:sz w:val="22"/>
      <w:szCs w:val="22"/>
      <w:lang w:eastAsia="en-US"/>
    </w:rPr>
  </w:style>
  <w:style w:type="paragraph" w:customStyle="1" w:styleId="CharChar1CharCharCharCharCharCharCharCharCharCharCharCharCharCharCharCharCharCharCharCharCharCharCharCharCharCharCharCharCharCharCharCharCharCharCharCharCharChar10">
    <w:name w:val="Char Char1 Char Char Char Char Char Char Char Char Char Char Char Char Char Char Char Char Char Char Char Char Char Char Char Char Char Char Char Char Char Char Char Char Char Char Char Char Char Char10"/>
    <w:basedOn w:val="a"/>
    <w:link w:val="CharChar1CharCharCharCharCharCharCharCharCharCharCharCharCharCharCharCharCharCharCharCharCharCharCharCharCharCharCharCharCharCharCharCharCharCharCharCharCharCharChar9"/>
    <w:semiHidden/>
    <w:qFormat/>
    <w:pPr>
      <w:autoSpaceDE w:val="0"/>
      <w:autoSpaceDN w:val="0"/>
      <w:adjustRightInd w:val="0"/>
      <w:spacing w:after="160" w:line="240" w:lineRule="exact"/>
    </w:pPr>
    <w:rPr>
      <w:rFonts w:ascii="Verdana" w:eastAsia="Times New Roman" w:hAnsi="Verdana"/>
      <w:sz w:val="22"/>
      <w:szCs w:val="22"/>
      <w:lang w:eastAsia="en-US"/>
    </w:rPr>
  </w:style>
  <w:style w:type="character" w:customStyle="1" w:styleId="CharChar185">
    <w:name w:val="Char Char185"/>
    <w:semiHidden/>
    <w:rPr>
      <w:rFonts w:ascii="Times New Roman" w:eastAsia="宋体" w:hAnsi="Times New Roman" w:cs="Times New Roman"/>
      <w:kern w:val="0"/>
      <w:sz w:val="18"/>
      <w:szCs w:val="18"/>
    </w:rPr>
  </w:style>
  <w:style w:type="character" w:customStyle="1" w:styleId="z-20">
    <w:name w:val="z-窗体顶端 字符2"/>
    <w:link w:val="z-4"/>
    <w:uiPriority w:val="99"/>
    <w:semiHidden/>
    <w:rPr>
      <w:rFonts w:ascii="Arial" w:hAnsi="Arial" w:cs="Arial"/>
      <w:vanish/>
      <w:kern w:val="2"/>
      <w:sz w:val="16"/>
      <w:szCs w:val="16"/>
    </w:rPr>
  </w:style>
  <w:style w:type="paragraph" w:styleId="z-4">
    <w:name w:val="HTML Top of Form"/>
    <w:basedOn w:val="a"/>
    <w:next w:val="a"/>
    <w:link w:val="z-20"/>
    <w:uiPriority w:val="99"/>
    <w:semiHidden/>
    <w:pPr>
      <w:pBdr>
        <w:bottom w:val="single" w:sz="6" w:space="1" w:color="auto"/>
      </w:pBdr>
      <w:jc w:val="center"/>
    </w:pPr>
    <w:rPr>
      <w:rFonts w:ascii="Arial" w:hAnsi="Arial" w:cs="Arial"/>
      <w:vanish/>
      <w:sz w:val="16"/>
      <w:szCs w:val="16"/>
    </w:rPr>
  </w:style>
  <w:style w:type="character" w:customStyle="1" w:styleId="Charfff1">
    <w:name w:val="步森正文 Char"/>
    <w:link w:val="afffffff5"/>
    <w:semiHidden/>
    <w:rPr>
      <w:rFonts w:ascii="Calibri" w:hAnsi="Calibri"/>
      <w:kern w:val="2"/>
      <w:sz w:val="21"/>
      <w:szCs w:val="21"/>
    </w:rPr>
  </w:style>
  <w:style w:type="paragraph" w:customStyle="1" w:styleId="afffffff5">
    <w:name w:val="步森正文"/>
    <w:basedOn w:val="a"/>
    <w:link w:val="Charfff1"/>
    <w:semiHidden/>
    <w:qFormat/>
    <w:pPr>
      <w:snapToGrid w:val="0"/>
      <w:spacing w:beforeAutospacing="1" w:after="100" w:afterAutospacing="1" w:line="360" w:lineRule="auto"/>
    </w:pPr>
    <w:rPr>
      <w:rFonts w:ascii="Calibri" w:hAnsi="Calibri"/>
    </w:rPr>
  </w:style>
  <w:style w:type="character" w:customStyle="1" w:styleId="511">
    <w:name w:val="无格式表格 511"/>
    <w:uiPriority w:val="31"/>
    <w:semiHidden/>
    <w:qFormat/>
    <w:rPr>
      <w:smallCaps/>
    </w:rPr>
  </w:style>
  <w:style w:type="character" w:customStyle="1" w:styleId="CharCharCharChar15">
    <w:name w:val="Char Char Char Char15"/>
    <w:semiHidden/>
    <w:rPr>
      <w:rFonts w:ascii="宋体" w:eastAsia="宋体" w:hAnsi="宋体" w:cs="宋体" w:hint="eastAsia"/>
      <w:b/>
      <w:bCs/>
      <w:kern w:val="2"/>
      <w:sz w:val="28"/>
      <w:szCs w:val="24"/>
      <w:lang w:val="en-US" w:eastAsia="zh-CN" w:bidi="ar-SA"/>
    </w:rPr>
  </w:style>
  <w:style w:type="character" w:customStyle="1" w:styleId="postbody1">
    <w:name w:val="postbody1"/>
    <w:semiHidden/>
    <w:rPr>
      <w:sz w:val="21"/>
      <w:szCs w:val="21"/>
    </w:rPr>
  </w:style>
  <w:style w:type="character" w:customStyle="1" w:styleId="yjtitle1">
    <w:name w:val="yjtitle1"/>
    <w:semiHidden/>
    <w:rPr>
      <w:b/>
      <w:bCs/>
      <w:spacing w:val="800"/>
      <w:kern w:val="2"/>
      <w:sz w:val="24"/>
      <w:szCs w:val="24"/>
      <w:lang w:val="en-US" w:eastAsia="zh-CN" w:bidi="ar-SA"/>
    </w:rPr>
  </w:style>
  <w:style w:type="character" w:customStyle="1" w:styleId="Charfff2">
    <w:name w:val="表中小五 Char"/>
    <w:link w:val="afffffff6"/>
    <w:semiHidden/>
    <w:rPr>
      <w:rFonts w:ascii="Calibri" w:hAnsi="Calibri"/>
      <w:kern w:val="2"/>
      <w:sz w:val="18"/>
      <w:szCs w:val="22"/>
    </w:rPr>
  </w:style>
  <w:style w:type="paragraph" w:customStyle="1" w:styleId="afffffff6">
    <w:name w:val="表中小五"/>
    <w:basedOn w:val="a"/>
    <w:link w:val="Charfff2"/>
    <w:semiHidden/>
    <w:qFormat/>
    <w:pPr>
      <w:adjustRightInd w:val="0"/>
      <w:snapToGrid w:val="0"/>
      <w:spacing w:line="220" w:lineRule="exact"/>
    </w:pPr>
    <w:rPr>
      <w:rFonts w:ascii="Calibri" w:hAnsi="Calibri"/>
      <w:sz w:val="18"/>
      <w:szCs w:val="22"/>
    </w:rPr>
  </w:style>
  <w:style w:type="character" w:customStyle="1" w:styleId="CharChar106">
    <w:name w:val="Char Char106"/>
    <w:semiHidden/>
    <w:rPr>
      <w:rFonts w:ascii="Calibri" w:eastAsia="宋体" w:hAnsi="Calibri"/>
      <w:kern w:val="2"/>
      <w:sz w:val="18"/>
      <w:szCs w:val="18"/>
      <w:lang w:val="en-US" w:eastAsia="zh-CN" w:bidi="ar-SA"/>
    </w:rPr>
  </w:style>
  <w:style w:type="character" w:customStyle="1" w:styleId="aab">
    <w:name w:val="aa"/>
    <w:semiHidden/>
    <w:rPr>
      <w:color w:val="CC6633"/>
      <w:sz w:val="21"/>
      <w:szCs w:val="21"/>
    </w:rPr>
  </w:style>
  <w:style w:type="character" w:customStyle="1" w:styleId="113">
    <w:name w:val="标题 1 字符1"/>
    <w:aliases w:val="标题 1 Char1 字符1,标题 1 Char Char 字符1,Heading One Char Char 字符1,Heading One Char1 字符1,Heading One Char 字符1,Heading One 字符1,张斌 字符1,H1 字符1,NMP Heading 1 字符1,h1 字符1,1st level 字符1,Section Head 字符1,l1 字符1,H11 字符1,H12 字符1,H13 字符1,H14 字符1,H15 字符1,H16 字符1"/>
    <w:semiHidden/>
    <w:qFormat/>
    <w:rPr>
      <w:b/>
      <w:bCs/>
      <w:kern w:val="44"/>
      <w:sz w:val="44"/>
      <w:szCs w:val="44"/>
    </w:rPr>
  </w:style>
  <w:style w:type="character" w:customStyle="1" w:styleId="1f9">
    <w:name w:val="批注文字 字符1"/>
    <w:aliases w:val="Char 字符1,注释文本 字符1,Char3 Char Char Char Char Char Char Char Char 字符1,Char3 Char Char Char Char Char Char Char Char Char Char Char Char 字符1,Char3 Char Char Char Char Char1 Char Char Char 字符1,Char3 Char Char Char Char Char Char 字符1"/>
    <w:uiPriority w:val="99"/>
    <w:semiHidden/>
    <w:qFormat/>
    <w:rPr>
      <w:kern w:val="2"/>
      <w:sz w:val="21"/>
      <w:szCs w:val="24"/>
    </w:rPr>
  </w:style>
  <w:style w:type="character" w:customStyle="1" w:styleId="1fa">
    <w:name w:val="纯文本 字符1"/>
    <w:aliases w:val="纯文本 Char3 Char 字符1,纯文本 Char2 Char Char1 字符1,纯文本 Char Char1 Char Char1 字符1,纯文本 Char Char Char Char Char Char1 字符1,纯文本 Char1 Char Char Char Char Char1 字符1,纯文本 Char Char Char1 Char Char Char1 字符1,纯文本 Char1 Char Char1 Char Char Char1 字符1,普通文字 字符"/>
    <w:semiHidden/>
    <w:qFormat/>
    <w:rPr>
      <w:rFonts w:ascii="宋体" w:eastAsia="宋体" w:hAnsi="Courier New" w:cs="Courier New"/>
      <w:kern w:val="2"/>
      <w:sz w:val="21"/>
      <w:szCs w:val="24"/>
    </w:rPr>
  </w:style>
  <w:style w:type="character" w:customStyle="1" w:styleId="1fb">
    <w:name w:val="批注主题 字符1"/>
    <w:uiPriority w:val="99"/>
    <w:semiHidden/>
    <w:qFormat/>
    <w:rPr>
      <w:b/>
      <w:bCs/>
      <w:kern w:val="2"/>
      <w:sz w:val="21"/>
      <w:szCs w:val="24"/>
    </w:rPr>
  </w:style>
  <w:style w:type="character" w:customStyle="1" w:styleId="hanna1">
    <w:name w:val="hanna1"/>
    <w:semiHidden/>
    <w:rPr>
      <w:rFonts w:ascii="ˎ̥" w:hAnsi="ˎ̥" w:hint="default"/>
      <w:sz w:val="22"/>
      <w:szCs w:val="22"/>
    </w:rPr>
  </w:style>
  <w:style w:type="character" w:customStyle="1" w:styleId="afffffff7">
    <w:name w:val="正文首行缩进 字符"/>
    <w:semiHidden/>
    <w:qFormat/>
  </w:style>
  <w:style w:type="character" w:customStyle="1" w:styleId="CharChar206">
    <w:name w:val="Char Char206"/>
    <w:semiHidden/>
    <w:rPr>
      <w:sz w:val="18"/>
      <w:szCs w:val="18"/>
    </w:rPr>
  </w:style>
  <w:style w:type="character" w:customStyle="1" w:styleId="lawcontent1">
    <w:name w:val="law_content1"/>
    <w:semiHidden/>
    <w:qFormat/>
    <w:rPr>
      <w:rFonts w:hint="default"/>
      <w:color w:val="676767"/>
      <w:sz w:val="18"/>
      <w:szCs w:val="18"/>
      <w:shd w:val="clear" w:color="auto" w:fill="FFFFFF"/>
    </w:rPr>
  </w:style>
  <w:style w:type="character" w:customStyle="1" w:styleId="SubtitleChar1">
    <w:name w:val="Subtitle Char1"/>
    <w:semiHidden/>
    <w:rPr>
      <w:rFonts w:ascii="Cambria" w:hAnsi="Cambria" w:cs="Times New Roman"/>
      <w:b/>
      <w:bCs/>
      <w:kern w:val="28"/>
      <w:sz w:val="32"/>
      <w:szCs w:val="32"/>
    </w:rPr>
  </w:style>
  <w:style w:type="character" w:customStyle="1" w:styleId="nfont14black1">
    <w:name w:val="nfont14black1"/>
    <w:semiHidden/>
    <w:rPr>
      <w:color w:val="000000"/>
      <w:spacing w:val="375"/>
      <w:sz w:val="21"/>
      <w:szCs w:val="21"/>
    </w:rPr>
  </w:style>
  <w:style w:type="character" w:customStyle="1" w:styleId="EmailStyle648">
    <w:name w:val="EmailStyle648"/>
    <w:semiHidden/>
    <w:rPr>
      <w:rFonts w:ascii="楷体_GB2312" w:eastAsia="楷体_GB2312"/>
      <w:b w:val="0"/>
      <w:bCs w:val="0"/>
      <w:i w:val="0"/>
      <w:iCs w:val="0"/>
      <w:strike w:val="0"/>
      <w:color w:val="auto"/>
      <w:sz w:val="21"/>
      <w:szCs w:val="21"/>
      <w:u w:val="none"/>
    </w:rPr>
  </w:style>
  <w:style w:type="character" w:customStyle="1" w:styleId="EmailStyle571">
    <w:name w:val="EmailStyle571"/>
    <w:semiHidden/>
    <w:rPr>
      <w:rFonts w:ascii="楷体_GB2312" w:eastAsia="楷体_GB2312"/>
      <w:b w:val="0"/>
      <w:bCs w:val="0"/>
      <w:i w:val="0"/>
      <w:iCs w:val="0"/>
      <w:strike w:val="0"/>
      <w:color w:val="auto"/>
      <w:sz w:val="21"/>
      <w:szCs w:val="21"/>
      <w:u w:val="none"/>
    </w:rPr>
  </w:style>
  <w:style w:type="character" w:customStyle="1" w:styleId="EmailStyle4921">
    <w:name w:val="EmailStyle4921"/>
    <w:semiHidden/>
    <w:rPr>
      <w:rFonts w:ascii="楷体_GB2312" w:eastAsia="楷体_GB2312"/>
      <w:b w:val="0"/>
      <w:bCs w:val="0"/>
      <w:i w:val="0"/>
      <w:iCs w:val="0"/>
      <w:strike w:val="0"/>
      <w:color w:val="auto"/>
      <w:sz w:val="21"/>
      <w:szCs w:val="21"/>
      <w:u w:val="none"/>
    </w:rPr>
  </w:style>
  <w:style w:type="character" w:customStyle="1" w:styleId="CharChar1814">
    <w:name w:val="Char Char1814"/>
    <w:semiHidden/>
    <w:rPr>
      <w:rFonts w:ascii="Arial" w:eastAsia="黑体" w:hAnsi="Arial"/>
      <w:b/>
      <w:color w:val="000000"/>
      <w:sz w:val="24"/>
      <w:lang w:val="en-US" w:eastAsia="zh-CN" w:bidi="ar-SA"/>
    </w:rPr>
  </w:style>
  <w:style w:type="character" w:customStyle="1" w:styleId="TableChar0">
    <w:name w:val="_Table Char"/>
    <w:link w:val="Table0"/>
    <w:semiHidden/>
    <w:locked/>
    <w:rPr>
      <w:rFonts w:ascii="Arial" w:eastAsia="SC STKaiti" w:hAnsi="Arial"/>
      <w:sz w:val="18"/>
      <w:szCs w:val="24"/>
    </w:rPr>
  </w:style>
  <w:style w:type="paragraph" w:customStyle="1" w:styleId="Table0">
    <w:name w:val="_Table"/>
    <w:basedOn w:val="a"/>
    <w:link w:val="TableChar0"/>
    <w:semiHidden/>
    <w:qFormat/>
    <w:pPr>
      <w:spacing w:before="40" w:after="40"/>
      <w:ind w:right="144"/>
    </w:pPr>
    <w:rPr>
      <w:rFonts w:ascii="Arial" w:eastAsia="SC STKaiti" w:hAnsi="Arial"/>
      <w:sz w:val="18"/>
    </w:rPr>
  </w:style>
  <w:style w:type="character" w:customStyle="1" w:styleId="7Char">
    <w:name w:val="样式7 Char"/>
    <w:link w:val="75"/>
    <w:semiHidden/>
    <w:rPr>
      <w:rFonts w:ascii="Calibri" w:eastAsia="黑体" w:hAnsi="Calibri"/>
      <w:kern w:val="2"/>
      <w:sz w:val="30"/>
      <w:szCs w:val="30"/>
    </w:rPr>
  </w:style>
  <w:style w:type="paragraph" w:customStyle="1" w:styleId="75">
    <w:name w:val="样式7"/>
    <w:basedOn w:val="2"/>
    <w:link w:val="7Char"/>
    <w:semiHidden/>
    <w:qFormat/>
    <w:pPr>
      <w:numPr>
        <w:ilvl w:val="0"/>
        <w:numId w:val="0"/>
      </w:numPr>
      <w:tabs>
        <w:tab w:val="left" w:pos="567"/>
      </w:tabs>
      <w:spacing w:beforeLines="0" w:before="100" w:beforeAutospacing="1" w:afterLines="0" w:after="100" w:afterAutospacing="1" w:line="360" w:lineRule="auto"/>
      <w:ind w:left="1134" w:firstLineChars="190" w:firstLine="570"/>
      <w:jc w:val="left"/>
    </w:pPr>
    <w:rPr>
      <w:rFonts w:ascii="Calibri" w:eastAsia="黑体" w:hAnsi="Calibri"/>
      <w:b w:val="0"/>
      <w:bCs w:val="0"/>
      <w:sz w:val="30"/>
      <w:szCs w:val="30"/>
    </w:rPr>
  </w:style>
  <w:style w:type="character" w:customStyle="1" w:styleId="wliaojie1">
    <w:name w:val="wliaojie1"/>
    <w:semiHidden/>
    <w:rPr>
      <w:rFonts w:ascii="宋体" w:eastAsia="宋体" w:hAnsi="宋体"/>
      <w:color w:val="3A4852"/>
      <w:sz w:val="24"/>
    </w:rPr>
  </w:style>
  <w:style w:type="character" w:customStyle="1" w:styleId="CharChar177">
    <w:name w:val="Char Char177"/>
    <w:semiHidden/>
    <w:rPr>
      <w:rFonts w:eastAsia="宋体"/>
      <w:sz w:val="18"/>
      <w:szCs w:val="18"/>
      <w:lang w:val="en-US" w:eastAsia="zh-CN" w:bidi="ar-SA"/>
    </w:rPr>
  </w:style>
  <w:style w:type="character" w:customStyle="1" w:styleId="CharChar266">
    <w:name w:val="Char Char266"/>
    <w:semiHidden/>
    <w:rPr>
      <w:rFonts w:eastAsia="宋体"/>
      <w:snapToGrid w:val="0"/>
      <w:sz w:val="24"/>
      <w:szCs w:val="24"/>
      <w:lang w:val="en-US" w:eastAsia="zh-CN" w:bidi="ar-SA"/>
    </w:rPr>
  </w:style>
  <w:style w:type="character" w:customStyle="1" w:styleId="2Char5">
    <w:name w:val="表格文字2 Char"/>
    <w:link w:val="2ff0"/>
    <w:semiHidden/>
    <w:rPr>
      <w:rFonts w:ascii="Calibri" w:hAnsi="Calibri"/>
      <w:kern w:val="2"/>
      <w:sz w:val="21"/>
      <w:szCs w:val="21"/>
    </w:rPr>
  </w:style>
  <w:style w:type="paragraph" w:customStyle="1" w:styleId="2ff0">
    <w:name w:val="表格文字2"/>
    <w:basedOn w:val="a"/>
    <w:link w:val="2Char5"/>
    <w:semiHidden/>
    <w:qFormat/>
    <w:pPr>
      <w:tabs>
        <w:tab w:val="left" w:pos="277"/>
        <w:tab w:val="left" w:pos="600"/>
        <w:tab w:val="left" w:pos="780"/>
        <w:tab w:val="left" w:pos="2517"/>
      </w:tabs>
      <w:adjustRightInd w:val="0"/>
      <w:spacing w:before="60"/>
      <w:jc w:val="center"/>
      <w:textAlignment w:val="baseline"/>
    </w:pPr>
    <w:rPr>
      <w:rFonts w:ascii="Calibri" w:hAnsi="Calibri"/>
    </w:rPr>
  </w:style>
  <w:style w:type="character" w:customStyle="1" w:styleId="CharCharc">
    <w:name w:val="联证页眉 Char Char"/>
    <w:semiHidden/>
    <w:qFormat/>
    <w:rPr>
      <w:rFonts w:eastAsia="宋体"/>
      <w:sz w:val="18"/>
      <w:lang w:val="en-AU" w:eastAsia="zh-CN" w:bidi="ar-SA"/>
    </w:rPr>
  </w:style>
  <w:style w:type="character" w:customStyle="1" w:styleId="-1Char0">
    <w:name w:val="徐工-1级标题 Char"/>
    <w:link w:val="-10"/>
    <w:semiHidden/>
    <w:rPr>
      <w:rFonts w:ascii="Arial" w:eastAsia="黑体"/>
      <w:b/>
      <w:bCs/>
      <w:kern w:val="2"/>
      <w:sz w:val="28"/>
      <w:szCs w:val="28"/>
    </w:rPr>
  </w:style>
  <w:style w:type="paragraph" w:customStyle="1" w:styleId="-10">
    <w:name w:val="徐工-1级标题"/>
    <w:basedOn w:val="afffffff8"/>
    <w:link w:val="-1Char0"/>
    <w:semiHidden/>
    <w:qFormat/>
    <w:pPr>
      <w:spacing w:before="120" w:after="120"/>
      <w:ind w:leftChars="200" w:left="420"/>
    </w:pPr>
    <w:rPr>
      <w:sz w:val="28"/>
    </w:rPr>
  </w:style>
  <w:style w:type="paragraph" w:customStyle="1" w:styleId="afffffff8">
    <w:name w:val="招股书内一级"/>
    <w:basedOn w:val="a"/>
    <w:link w:val="Charfff3"/>
    <w:semiHidden/>
    <w:qFormat/>
    <w:pPr>
      <w:keepNext/>
      <w:keepLines/>
      <w:autoSpaceDE w:val="0"/>
      <w:autoSpaceDN w:val="0"/>
      <w:spacing w:beforeLines="50" w:afterLines="50" w:line="360" w:lineRule="auto"/>
      <w:textAlignment w:val="baseline"/>
      <w:outlineLvl w:val="0"/>
    </w:pPr>
    <w:rPr>
      <w:rFonts w:ascii="Arial" w:eastAsia="黑体"/>
      <w:b/>
      <w:bCs/>
      <w:sz w:val="30"/>
      <w:szCs w:val="28"/>
    </w:rPr>
  </w:style>
  <w:style w:type="character" w:customStyle="1" w:styleId="Charfff3">
    <w:name w:val="招股书内一级 Char"/>
    <w:link w:val="afffffff8"/>
    <w:semiHidden/>
    <w:rPr>
      <w:rFonts w:ascii="Arial" w:eastAsia="黑体"/>
      <w:b/>
      <w:bCs/>
      <w:kern w:val="2"/>
      <w:sz w:val="30"/>
      <w:szCs w:val="28"/>
    </w:rPr>
  </w:style>
  <w:style w:type="character" w:customStyle="1" w:styleId="guoyun">
    <w:name w:val="guoyun"/>
    <w:semiHidden/>
    <w:rPr>
      <w:rFonts w:ascii="楷体_GB2312" w:eastAsia="楷体_GB2312"/>
      <w:b w:val="0"/>
      <w:bCs w:val="0"/>
      <w:i w:val="0"/>
      <w:iCs w:val="0"/>
      <w:strike w:val="0"/>
      <w:color w:val="auto"/>
      <w:sz w:val="21"/>
      <w:szCs w:val="21"/>
      <w:u w:val="none"/>
    </w:rPr>
  </w:style>
  <w:style w:type="character" w:customStyle="1" w:styleId="CharChar1CharCharCharCharCharCharCharCharCharCharCharCharCharCharCharCharCharCharCharCharCharCharCharCharCharCharCharCharCharCharCharCharCharCharCharCharCharCharChar4">
    <w:name w:val="Char Char1 Char Char Char Char Char Char Char Char Char Char Char Char Char Char Char Char Char Char Char Char Char Char Char Char Char Char Char Char Char Char Char Char Char Char Char Char Char Char Char4"/>
    <w:link w:val="CharChar1CharCharCharCharCharCharCharCharCharCharCharCharCharCharCharCharCharCharCharCharCharCharCharCharCharCharCharCharCharCharCharCharCharCharCharCharCharChar5"/>
    <w:semiHidden/>
    <w:rPr>
      <w:rFonts w:ascii="Verdana" w:hAnsi="Verdana"/>
      <w:kern w:val="2"/>
      <w:sz w:val="22"/>
      <w:szCs w:val="22"/>
      <w:lang w:eastAsia="en-US"/>
    </w:rPr>
  </w:style>
  <w:style w:type="paragraph" w:customStyle="1" w:styleId="CharChar1CharCharCharCharCharCharCharCharCharCharCharCharCharCharCharCharCharCharCharCharCharCharCharCharCharCharCharCharCharCharCharCharCharCharCharCharCharChar5">
    <w:name w:val="Char Char1 Char Char Char Char Char Char Char Char Char Char Char Char Char Char Char Char Char Char Char Char Char Char Char Char Char Char Char Char Char Char Char Char Char Char Char Char Char Char5"/>
    <w:basedOn w:val="a"/>
    <w:link w:val="CharChar1CharCharCharCharCharCharCharCharCharCharCharCharCharCharCharCharCharCharCharCharCharCharCharCharCharCharCharCharCharCharCharCharCharCharCharCharCharCharChar4"/>
    <w:semiHidden/>
    <w:qFormat/>
    <w:pPr>
      <w:spacing w:after="160" w:line="240" w:lineRule="exact"/>
    </w:pPr>
    <w:rPr>
      <w:rFonts w:ascii="Verdana" w:hAnsi="Verdana"/>
      <w:sz w:val="22"/>
      <w:szCs w:val="22"/>
      <w:lang w:eastAsia="en-US"/>
    </w:rPr>
  </w:style>
  <w:style w:type="character" w:customStyle="1" w:styleId="Char1f6">
    <w:name w:val="日期 Char1"/>
    <w:uiPriority w:val="99"/>
    <w:semiHidden/>
    <w:qFormat/>
    <w:rPr>
      <w:rFonts w:ascii="宋体" w:eastAsia="宋体" w:hAnsi="宋体" w:cs="Times New Roman"/>
      <w:color w:val="000000"/>
      <w:kern w:val="0"/>
      <w:sz w:val="24"/>
      <w:szCs w:val="20"/>
    </w:rPr>
  </w:style>
  <w:style w:type="character" w:customStyle="1" w:styleId="px141">
    <w:name w:val="px141"/>
    <w:semiHidden/>
    <w:qFormat/>
    <w:rPr>
      <w:sz w:val="21"/>
      <w:szCs w:val="21"/>
    </w:rPr>
  </w:style>
  <w:style w:type="character" w:customStyle="1" w:styleId="flowspan1">
    <w:name w:val="flowspan1"/>
    <w:semiHidden/>
    <w:rPr>
      <w:vanish w:val="0"/>
    </w:rPr>
  </w:style>
  <w:style w:type="character" w:customStyle="1" w:styleId="CharChar410">
    <w:name w:val="Char Char410"/>
    <w:semiHidden/>
    <w:rPr>
      <w:rFonts w:ascii="黑体" w:eastAsia="黑体" w:hAnsi="Courier New"/>
      <w:color w:val="000000"/>
      <w:lang w:bidi="ar-SA"/>
    </w:rPr>
  </w:style>
  <w:style w:type="character" w:customStyle="1" w:styleId="TitleChar">
    <w:name w:val="图表Title Char"/>
    <w:link w:val="Title"/>
    <w:semiHidden/>
    <w:rPr>
      <w:rFonts w:ascii="Calibri" w:hAnsi="Calibri"/>
      <w:b/>
      <w:kern w:val="2"/>
      <w:sz w:val="21"/>
      <w:szCs w:val="21"/>
    </w:rPr>
  </w:style>
  <w:style w:type="paragraph" w:customStyle="1" w:styleId="Title">
    <w:name w:val="图表Title"/>
    <w:basedOn w:val="-0"/>
    <w:link w:val="TitleChar"/>
    <w:semiHidden/>
    <w:qFormat/>
    <w:pPr>
      <w:spacing w:before="156" w:after="156"/>
      <w:ind w:firstLine="482"/>
      <w:jc w:val="center"/>
    </w:pPr>
    <w:rPr>
      <w:b/>
    </w:rPr>
  </w:style>
  <w:style w:type="character" w:customStyle="1" w:styleId="1CharChar0">
    <w:name w:val="样式 标题 1 + (中文) 黑体 Char Char"/>
    <w:semiHidden/>
    <w:rPr>
      <w:rFonts w:eastAsia="黑体"/>
      <w:b/>
      <w:bCs/>
      <w:kern w:val="44"/>
      <w:sz w:val="36"/>
      <w:szCs w:val="44"/>
      <w:lang w:val="en-US" w:eastAsia="zh-CN" w:bidi="ar-SA"/>
    </w:rPr>
  </w:style>
  <w:style w:type="character" w:customStyle="1" w:styleId="CharChar262">
    <w:name w:val="Char Char262"/>
    <w:semiHidden/>
    <w:rPr>
      <w:rFonts w:eastAsia="宋体"/>
      <w:snapToGrid w:val="0"/>
      <w:sz w:val="24"/>
      <w:szCs w:val="24"/>
      <w:lang w:val="en-US" w:eastAsia="zh-CN" w:bidi="ar-SA"/>
    </w:rPr>
  </w:style>
  <w:style w:type="character" w:customStyle="1" w:styleId="CharChar126">
    <w:name w:val="Char Char126"/>
    <w:semiHidden/>
    <w:rPr>
      <w:rFonts w:eastAsia="宋体"/>
      <w:b/>
      <w:bCs/>
      <w:kern w:val="2"/>
      <w:sz w:val="21"/>
      <w:szCs w:val="24"/>
      <w:lang w:val="en-US" w:eastAsia="zh-CN" w:bidi="ar-SA"/>
    </w:rPr>
  </w:style>
  <w:style w:type="character" w:customStyle="1" w:styleId="b14241">
    <w:name w:val="b14241"/>
    <w:semiHidden/>
    <w:rPr>
      <w:color w:val="222222"/>
      <w:sz w:val="24"/>
      <w:u w:val="none"/>
    </w:rPr>
  </w:style>
  <w:style w:type="character" w:customStyle="1" w:styleId="style121">
    <w:name w:val="style121"/>
    <w:semiHidden/>
    <w:rPr>
      <w:color w:val="000000"/>
    </w:rPr>
  </w:style>
  <w:style w:type="character" w:customStyle="1" w:styleId="CharChar911">
    <w:name w:val="Char Char911"/>
    <w:semiHidden/>
    <w:rPr>
      <w:rFonts w:ascii="仿宋_GB2312" w:eastAsia="宋体" w:hAnsi="Times New Roman" w:cs="Times New Roman"/>
      <w:b w:val="0"/>
      <w:bCs w:val="0"/>
      <w:kern w:val="2"/>
      <w:sz w:val="21"/>
      <w:szCs w:val="24"/>
      <w:lang w:val="en-US" w:eastAsia="zh-CN" w:bidi="ar-SA"/>
    </w:rPr>
  </w:style>
  <w:style w:type="character" w:customStyle="1" w:styleId="CharChar175">
    <w:name w:val="Char Char175"/>
    <w:semiHidden/>
    <w:rPr>
      <w:rFonts w:eastAsia="宋体"/>
      <w:sz w:val="18"/>
      <w:szCs w:val="18"/>
      <w:lang w:val="en-US" w:eastAsia="zh-CN" w:bidi="ar-SA"/>
    </w:rPr>
  </w:style>
  <w:style w:type="character" w:customStyle="1" w:styleId="Char1f7">
    <w:name w:val="页脚 Char1"/>
    <w:aliases w:val="Footer Char Char1,Footer Char Char Char Char Char Char1,Footer Char Char Char Char2,Footer Char Char Char Char Char2,Footer Char Char Cha Char1,Footer-Even Char,footer odd Char1,Footer Char Char5,Footer Char Char Char Char Char Char6"/>
    <w:uiPriority w:val="99"/>
    <w:semiHidden/>
    <w:qFormat/>
    <w:rPr>
      <w:rFonts w:ascii="DFPKaiShu-GB5" w:eastAsia="DFPKaiShu-GB5" w:hAnsi="DFPKaiShu-GB5"/>
      <w:sz w:val="18"/>
      <w:szCs w:val="18"/>
      <w:lang w:eastAsia="en-US"/>
    </w:rPr>
  </w:style>
  <w:style w:type="character" w:customStyle="1" w:styleId="1fc">
    <w:name w:val="批注引用1"/>
    <w:semiHidden/>
    <w:qFormat/>
    <w:rPr>
      <w:sz w:val="21"/>
      <w:szCs w:val="21"/>
    </w:rPr>
  </w:style>
  <w:style w:type="character" w:customStyle="1" w:styleId="EmailStyle6121">
    <w:name w:val="EmailStyle6121"/>
    <w:semiHidden/>
    <w:rPr>
      <w:rFonts w:ascii="楷体_GB2312" w:eastAsia="楷体_GB2312"/>
      <w:b w:val="0"/>
      <w:bCs w:val="0"/>
      <w:i w:val="0"/>
      <w:iCs w:val="0"/>
      <w:strike w:val="0"/>
      <w:color w:val="auto"/>
      <w:sz w:val="21"/>
      <w:szCs w:val="21"/>
      <w:u w:val="none"/>
    </w:rPr>
  </w:style>
  <w:style w:type="character" w:customStyle="1" w:styleId="contentgg">
    <w:name w:val="content_gg"/>
    <w:semiHidden/>
    <w:qFormat/>
  </w:style>
  <w:style w:type="character" w:customStyle="1" w:styleId="td71">
    <w:name w:val="td71"/>
    <w:semiHidden/>
    <w:rPr>
      <w:color w:val="3B3B3B"/>
      <w:sz w:val="21"/>
    </w:rPr>
  </w:style>
  <w:style w:type="character" w:customStyle="1" w:styleId="CharChar133">
    <w:name w:val="Char Char133"/>
    <w:semiHidden/>
    <w:rPr>
      <w:rFonts w:eastAsia="宋体"/>
      <w:kern w:val="2"/>
      <w:sz w:val="21"/>
      <w:szCs w:val="24"/>
      <w:lang w:val="en-US" w:eastAsia="zh-CN" w:bidi="ar-SA"/>
    </w:rPr>
  </w:style>
  <w:style w:type="character" w:customStyle="1" w:styleId="EmailStyle629">
    <w:name w:val="EmailStyle629"/>
    <w:semiHidden/>
    <w:rPr>
      <w:rFonts w:ascii="楷体_GB2312" w:eastAsia="楷体_GB2312"/>
      <w:b w:val="0"/>
      <w:bCs w:val="0"/>
      <w:i w:val="0"/>
      <w:iCs w:val="0"/>
      <w:strike w:val="0"/>
      <w:color w:val="auto"/>
      <w:sz w:val="21"/>
      <w:szCs w:val="21"/>
      <w:u w:val="none"/>
    </w:rPr>
  </w:style>
  <w:style w:type="character" w:customStyle="1" w:styleId="CharChar2210">
    <w:name w:val="Char Char2210"/>
    <w:semiHidden/>
    <w:rPr>
      <w:rFonts w:ascii="Times New Roman" w:eastAsia="宋体" w:hAnsi="Times New Roman" w:cs="Times New Roman"/>
      <w:snapToGrid w:val="0"/>
      <w:kern w:val="0"/>
      <w:sz w:val="24"/>
      <w:szCs w:val="24"/>
    </w:rPr>
  </w:style>
  <w:style w:type="character" w:customStyle="1" w:styleId="1fd">
    <w:name w:val="样式 (西文) 黑体 (中文) 黑体 小三 加粗1"/>
    <w:semiHidden/>
    <w:rPr>
      <w:rFonts w:ascii="黑体" w:eastAsia="黑体"/>
      <w:bCs/>
      <w:sz w:val="28"/>
    </w:rPr>
  </w:style>
  <w:style w:type="character" w:customStyle="1" w:styleId="A50">
    <w:name w:val="A5"/>
    <w:uiPriority w:val="99"/>
    <w:semiHidden/>
    <w:rPr>
      <w:rFonts w:ascii="楷体_GB2312" w:eastAsia="楷体_GB2312" w:cs="楷体_GB2312"/>
      <w:color w:val="373434"/>
      <w:sz w:val="22"/>
      <w:szCs w:val="22"/>
    </w:rPr>
  </w:style>
  <w:style w:type="character" w:customStyle="1" w:styleId="Charfff4">
    <w:name w:val="三级标题 Char"/>
    <w:link w:val="afffffff9"/>
    <w:semiHidden/>
    <w:rPr>
      <w:rFonts w:ascii="宋体" w:hAnsi="Courier New"/>
      <w:b/>
      <w:kern w:val="28"/>
      <w:sz w:val="28"/>
      <w:szCs w:val="22"/>
    </w:rPr>
  </w:style>
  <w:style w:type="paragraph" w:customStyle="1" w:styleId="afffffff9">
    <w:name w:val="三级标题"/>
    <w:basedOn w:val="affffff5"/>
    <w:next w:val="a"/>
    <w:link w:val="Charfff4"/>
    <w:semiHidden/>
    <w:qFormat/>
    <w:pPr>
      <w:overflowPunct/>
      <w:spacing w:before="120" w:after="120" w:line="300" w:lineRule="auto"/>
      <w:textAlignment w:val="auto"/>
    </w:pPr>
    <w:rPr>
      <w:rFonts w:ascii="宋体" w:eastAsia="宋体" w:hAnsi="Courier New"/>
      <w:b/>
      <w:kern w:val="28"/>
      <w:sz w:val="28"/>
    </w:rPr>
  </w:style>
  <w:style w:type="character" w:customStyle="1" w:styleId="zwChar1">
    <w:name w:val="zw Char1"/>
    <w:semiHidden/>
    <w:qFormat/>
    <w:rPr>
      <w:rFonts w:ascii="Arial Narrow" w:eastAsia="幼圆" w:hAnsi="Arial Narrow"/>
      <w:sz w:val="24"/>
    </w:rPr>
  </w:style>
  <w:style w:type="character" w:customStyle="1" w:styleId="EmailStyle5081">
    <w:name w:val="EmailStyle5081"/>
    <w:semiHidden/>
    <w:rPr>
      <w:rFonts w:ascii="楷体_GB2312" w:eastAsia="楷体_GB2312"/>
      <w:b w:val="0"/>
      <w:bCs w:val="0"/>
      <w:i w:val="0"/>
      <w:iCs w:val="0"/>
      <w:strike w:val="0"/>
      <w:color w:val="auto"/>
      <w:sz w:val="21"/>
      <w:szCs w:val="21"/>
      <w:u w:val="none"/>
    </w:rPr>
  </w:style>
  <w:style w:type="character" w:customStyle="1" w:styleId="xu3Char">
    <w:name w:val="xu标题 3 Char"/>
    <w:link w:val="xu3"/>
    <w:semiHidden/>
    <w:rPr>
      <w:rFonts w:ascii="Calibri" w:hAnsi="Calibri"/>
      <w:b/>
      <w:bCs/>
      <w:kern w:val="2"/>
      <w:sz w:val="30"/>
      <w:szCs w:val="22"/>
    </w:rPr>
  </w:style>
  <w:style w:type="paragraph" w:customStyle="1" w:styleId="xu3">
    <w:name w:val="xu标题 3"/>
    <w:basedOn w:val="3"/>
    <w:link w:val="xu3Char"/>
    <w:semiHidden/>
    <w:qFormat/>
    <w:pPr>
      <w:keepLines w:val="0"/>
      <w:numPr>
        <w:ilvl w:val="0"/>
        <w:numId w:val="0"/>
      </w:numPr>
      <w:tabs>
        <w:tab w:val="left" w:pos="1871"/>
      </w:tabs>
      <w:spacing w:beforeLines="0" w:before="120" w:afterLines="0" w:after="0" w:line="480" w:lineRule="exact"/>
      <w:ind w:left="1871" w:hanging="737"/>
      <w:jc w:val="left"/>
    </w:pPr>
    <w:rPr>
      <w:rFonts w:ascii="Calibri" w:hAnsi="Calibri"/>
      <w:sz w:val="30"/>
      <w:szCs w:val="22"/>
    </w:rPr>
  </w:style>
  <w:style w:type="character" w:customStyle="1" w:styleId="DeltaViewInsertion">
    <w:name w:val="DeltaView Insertion"/>
    <w:semiHidden/>
    <w:qFormat/>
    <w:rPr>
      <w:color w:val="0000FF"/>
      <w:spacing w:val="0"/>
      <w:u w:val="double"/>
    </w:rPr>
  </w:style>
  <w:style w:type="character" w:customStyle="1" w:styleId="610">
    <w:name w:val="标题 6 字符1"/>
    <w:aliases w:val="6 字符1,Bullet (Single Lines) 字符1,4号宋体左齐行距1.25倍 字符1,Legal Level 1. 字符1,H6 字符1,标题1.1.1.1.1.1 字符1,技术文件 字符1,Lev 6 字符1,① 字符1"/>
    <w:link w:val="1fe"/>
    <w:semiHidden/>
    <w:qFormat/>
    <w:rPr>
      <w:rFonts w:ascii="Cambria" w:hAnsi="Cambria"/>
      <w:b/>
      <w:bCs/>
      <w:kern w:val="2"/>
      <w:sz w:val="21"/>
      <w:szCs w:val="21"/>
    </w:rPr>
  </w:style>
  <w:style w:type="paragraph" w:customStyle="1" w:styleId="1fe">
    <w:name w:val="①1"/>
    <w:basedOn w:val="a"/>
    <w:next w:val="a"/>
    <w:link w:val="610"/>
    <w:semiHidden/>
    <w:qFormat/>
    <w:pPr>
      <w:keepNext/>
      <w:keepLines/>
      <w:widowControl w:val="0"/>
      <w:tabs>
        <w:tab w:val="left" w:pos="567"/>
      </w:tabs>
      <w:spacing w:before="240" w:after="64" w:line="320" w:lineRule="auto"/>
      <w:ind w:left="1152" w:hanging="432"/>
      <w:jc w:val="both"/>
      <w:outlineLvl w:val="5"/>
    </w:pPr>
    <w:rPr>
      <w:rFonts w:ascii="Cambria" w:hAnsi="Cambria"/>
      <w:b/>
      <w:bCs/>
    </w:rPr>
  </w:style>
  <w:style w:type="character" w:customStyle="1" w:styleId="Charfff5">
    <w:name w:val="楷体加粗（表格内） Char"/>
    <w:link w:val="afffffffa"/>
    <w:semiHidden/>
    <w:rPr>
      <w:rFonts w:ascii="楷体_GB2312" w:eastAsia="楷体_GB2312" w:hAnsi="Calibri"/>
      <w:b/>
      <w:kern w:val="2"/>
      <w:sz w:val="21"/>
      <w:szCs w:val="21"/>
    </w:rPr>
  </w:style>
  <w:style w:type="paragraph" w:customStyle="1" w:styleId="afffffffa">
    <w:name w:val="楷体加粗（表格内）"/>
    <w:basedOn w:val="a"/>
    <w:link w:val="Charfff5"/>
    <w:semiHidden/>
    <w:qFormat/>
    <w:pPr>
      <w:jc w:val="right"/>
    </w:pPr>
    <w:rPr>
      <w:rFonts w:ascii="楷体_GB2312" w:eastAsia="楷体_GB2312" w:hAnsi="Calibri"/>
      <w:b/>
    </w:rPr>
  </w:style>
  <w:style w:type="character" w:customStyle="1" w:styleId="1Char4">
    <w:name w:val="正文1 Char"/>
    <w:link w:val="1ff"/>
    <w:semiHidden/>
    <w:qFormat/>
    <w:rPr>
      <w:color w:val="000000"/>
      <w:kern w:val="2"/>
      <w:sz w:val="24"/>
    </w:rPr>
  </w:style>
  <w:style w:type="paragraph" w:customStyle="1" w:styleId="1ff">
    <w:name w:val="正文1"/>
    <w:basedOn w:val="27"/>
    <w:link w:val="1Char4"/>
    <w:semiHidden/>
    <w:qFormat/>
    <w:pPr>
      <w:adjustRightInd/>
      <w:snapToGrid/>
      <w:spacing w:before="120" w:after="120" w:line="380" w:lineRule="exact"/>
      <w:ind w:firstLine="480"/>
      <w:textAlignment w:val="baseline"/>
    </w:pPr>
    <w:rPr>
      <w:b w:val="0"/>
      <w:bCs w:val="0"/>
      <w:color w:val="000000"/>
      <w:sz w:val="24"/>
      <w:szCs w:val="20"/>
    </w:rPr>
  </w:style>
  <w:style w:type="character" w:customStyle="1" w:styleId="411">
    <w:name w:val="标题 4 字符1"/>
    <w:aliases w:val="Heading 4 Char Char1 Char Char 字符1,4 字符1,条 2 字符1,[三级节名] 字符1,点标题 字符1,H4 字符1,4th level 字符1,h4 字符1,4号仿宋左空1格行距1倍 字符1,Char4 字符1,Level 2 - a 字符1,bullet 字符1,bl 字符1,bb 字符1,PIM 4 字符1,Heading Four 字符1,款标题1.1.1.1 字符1,四 字符1,Lev 4 字符1,h4 sub sub heading 字符1"/>
    <w:semiHidden/>
    <w:qFormat/>
    <w:locked/>
    <w:rPr>
      <w:b/>
      <w:bCs/>
      <w:kern w:val="2"/>
      <w:sz w:val="24"/>
      <w:szCs w:val="28"/>
    </w:rPr>
  </w:style>
  <w:style w:type="character" w:customStyle="1" w:styleId="3CharCharChar1">
    <w:name w:val="标题 3 Char Char Char1"/>
    <w:aliases w:val="标题 3 Char Char1,标题 3 Char Char Char Char Char Char Char Char Char1,标题 3 Char Char Char11,标题 31,título 31,RN paragraph 11,标题 3 Char Char Char Char Char Char1,Level 1 - 11,标题 3 Char Char Char Char1"/>
    <w:semiHidden/>
    <w:qFormat/>
    <w:rPr>
      <w:rFonts w:eastAsia="宋体"/>
      <w:b/>
      <w:sz w:val="32"/>
      <w:szCs w:val="32"/>
    </w:rPr>
  </w:style>
  <w:style w:type="character" w:customStyle="1" w:styleId="CharChar45">
    <w:name w:val="Char Char45"/>
    <w:semiHidden/>
    <w:rPr>
      <w:rFonts w:ascii="黑体" w:eastAsia="黑体" w:hAnsi="Courier New"/>
      <w:color w:val="000000"/>
      <w:lang w:bidi="ar-SA"/>
    </w:rPr>
  </w:style>
  <w:style w:type="character" w:customStyle="1" w:styleId="dash6b636587char1">
    <w:name w:val="dash6b63_6587__char1"/>
    <w:semiHidden/>
    <w:rPr>
      <w:rFonts w:ascii="Times New Roman" w:hAnsi="Times New Roman" w:cs="Times New Roman" w:hint="default"/>
      <w:strike w:val="0"/>
      <w:dstrike w:val="0"/>
      <w:sz w:val="20"/>
      <w:szCs w:val="20"/>
      <w:u w:val="none"/>
    </w:rPr>
  </w:style>
  <w:style w:type="character" w:customStyle="1" w:styleId="CharChar145">
    <w:name w:val="Char Char145"/>
    <w:semiHidden/>
    <w:rPr>
      <w:rFonts w:eastAsia="宋体"/>
      <w:kern w:val="2"/>
      <w:sz w:val="18"/>
      <w:szCs w:val="18"/>
      <w:lang w:val="en-US" w:eastAsia="zh-CN" w:bidi="ar-SA"/>
    </w:rPr>
  </w:style>
  <w:style w:type="character" w:customStyle="1" w:styleId="Charfff6">
    <w:name w:val="批注框文本 Char"/>
    <w:uiPriority w:val="99"/>
    <w:semiHidden/>
    <w:qFormat/>
    <w:rPr>
      <w:kern w:val="2"/>
      <w:sz w:val="18"/>
      <w:szCs w:val="18"/>
    </w:rPr>
  </w:style>
  <w:style w:type="character" w:customStyle="1" w:styleId="CharChar1010">
    <w:name w:val="Char Char1010"/>
    <w:semiHidden/>
    <w:rPr>
      <w:rFonts w:ascii="Arial" w:eastAsia="黑体" w:hAnsi="Arial"/>
      <w:b/>
      <w:bCs/>
      <w:kern w:val="2"/>
      <w:sz w:val="32"/>
      <w:szCs w:val="32"/>
    </w:rPr>
  </w:style>
  <w:style w:type="character" w:customStyle="1" w:styleId="Charfff7">
    <w:name w:val="你 Char"/>
    <w:link w:val="afffffffb"/>
    <w:semiHidden/>
    <w:rPr>
      <w:rFonts w:ascii="Calibri" w:eastAsia="楷体_GB2312" w:hAnsi="Calibri"/>
      <w:b/>
      <w:kern w:val="2"/>
      <w:sz w:val="21"/>
      <w:szCs w:val="21"/>
      <w:lang w:bidi="ne-IN"/>
    </w:rPr>
  </w:style>
  <w:style w:type="paragraph" w:customStyle="1" w:styleId="afffffffb">
    <w:name w:val="你"/>
    <w:basedOn w:val="a"/>
    <w:link w:val="Charfff7"/>
    <w:semiHidden/>
    <w:qFormat/>
    <w:pPr>
      <w:snapToGrid w:val="0"/>
    </w:pPr>
    <w:rPr>
      <w:rFonts w:ascii="Calibri" w:eastAsia="楷体_GB2312" w:hAnsi="Calibri"/>
      <w:b/>
      <w:lang w:bidi="ne-IN"/>
    </w:rPr>
  </w:style>
  <w:style w:type="character" w:customStyle="1" w:styleId="EmailStyle634">
    <w:name w:val="EmailStyle634"/>
    <w:semiHidden/>
    <w:rPr>
      <w:rFonts w:ascii="楷体_GB2312" w:eastAsia="楷体_GB2312"/>
      <w:b w:val="0"/>
      <w:bCs w:val="0"/>
      <w:i w:val="0"/>
      <w:iCs w:val="0"/>
      <w:strike w:val="0"/>
      <w:color w:val="auto"/>
      <w:sz w:val="21"/>
      <w:szCs w:val="21"/>
      <w:u w:val="none"/>
    </w:rPr>
  </w:style>
  <w:style w:type="character" w:customStyle="1" w:styleId="CharChar58">
    <w:name w:val="Char Char58"/>
    <w:semiHidden/>
    <w:rPr>
      <w:rFonts w:eastAsia="宋体"/>
      <w:sz w:val="24"/>
      <w:szCs w:val="24"/>
      <w:lang w:val="en-US" w:eastAsia="zh-CN" w:bidi="ar-SA"/>
    </w:rPr>
  </w:style>
  <w:style w:type="character" w:customStyle="1" w:styleId="CharChar113">
    <w:name w:val="Char Char113"/>
    <w:semiHidden/>
    <w:rPr>
      <w:rFonts w:ascii="Calibri" w:eastAsia="宋体" w:hAnsi="Calibri"/>
      <w:kern w:val="2"/>
      <w:sz w:val="18"/>
      <w:szCs w:val="18"/>
      <w:lang w:val="en-US" w:eastAsia="zh-CN" w:bidi="ar-SA"/>
    </w:rPr>
  </w:style>
  <w:style w:type="character" w:customStyle="1" w:styleId="Charfff8">
    <w:name w:val="两级标题 Char"/>
    <w:semiHidden/>
    <w:rPr>
      <w:rFonts w:ascii="Times New Roman" w:hAnsi="Times New Roman"/>
      <w:b/>
      <w:kern w:val="2"/>
      <w:sz w:val="24"/>
      <w:szCs w:val="24"/>
      <w:lang w:val="en-US" w:eastAsia="zh-CN" w:bidi="ar-SA"/>
    </w:rPr>
  </w:style>
  <w:style w:type="character" w:customStyle="1" w:styleId="CharChar13">
    <w:name w:val="Char Char1"/>
    <w:aliases w:val="普通文字 Char Char Char1,普通文字 Char1,普通文字 Char Char Char Char Char Char Char Char Char Char Char Char Char Char"/>
    <w:semiHidden/>
    <w:qFormat/>
    <w:rPr>
      <w:kern w:val="2"/>
      <w:sz w:val="18"/>
      <w:szCs w:val="18"/>
    </w:rPr>
  </w:style>
  <w:style w:type="character" w:customStyle="1" w:styleId="CharChar186">
    <w:name w:val="Char Char186"/>
    <w:semiHidden/>
    <w:rPr>
      <w:rFonts w:ascii="Times New Roman" w:eastAsia="宋体" w:hAnsi="Times New Roman" w:cs="Times New Roman"/>
      <w:kern w:val="0"/>
      <w:sz w:val="18"/>
      <w:szCs w:val="18"/>
    </w:rPr>
  </w:style>
  <w:style w:type="character" w:customStyle="1" w:styleId="read">
    <w:name w:val="read"/>
    <w:semiHidden/>
  </w:style>
  <w:style w:type="character" w:customStyle="1" w:styleId="text21">
    <w:name w:val="text21"/>
    <w:semiHidden/>
    <w:rPr>
      <w:rFonts w:hint="default"/>
      <w:color w:val="000000"/>
      <w:sz w:val="18"/>
    </w:rPr>
  </w:style>
  <w:style w:type="character" w:customStyle="1" w:styleId="CharChar91">
    <w:name w:val="Char Char91"/>
    <w:semiHidden/>
    <w:rPr>
      <w:rFonts w:eastAsia="宋体"/>
      <w:sz w:val="24"/>
      <w:szCs w:val="24"/>
      <w:lang w:val="en-US" w:eastAsia="zh-CN" w:bidi="ar-SA"/>
    </w:rPr>
  </w:style>
  <w:style w:type="character" w:customStyle="1" w:styleId="CharChar63">
    <w:name w:val="Char Char63"/>
    <w:semiHidden/>
    <w:rPr>
      <w:rFonts w:ascii="宋体" w:hAnsi="宋体"/>
      <w:color w:val="000000"/>
      <w:sz w:val="18"/>
    </w:rPr>
  </w:style>
  <w:style w:type="character" w:customStyle="1" w:styleId="Char22">
    <w:name w:val="正文文本缩进 Char2"/>
    <w:aliases w:val="正文文字首行缩进 Char2"/>
    <w:uiPriority w:val="99"/>
    <w:semiHidden/>
    <w:qFormat/>
    <w:rPr>
      <w:rFonts w:eastAsia="宋体"/>
      <w:sz w:val="24"/>
      <w:szCs w:val="24"/>
      <w:lang w:val="en-US" w:eastAsia="zh-CN" w:bidi="ar-SA"/>
    </w:rPr>
  </w:style>
  <w:style w:type="character" w:customStyle="1" w:styleId="CharChar48">
    <w:name w:val="Char Char48"/>
    <w:semiHidden/>
    <w:rPr>
      <w:rFonts w:ascii="黑体" w:eastAsia="黑体" w:hAnsi="Courier New"/>
      <w:color w:val="000000"/>
      <w:lang w:bidi="ar-SA"/>
    </w:rPr>
  </w:style>
  <w:style w:type="character" w:customStyle="1" w:styleId="Charfff9">
    <w:name w:val="表题 Char"/>
    <w:link w:val="afffffffc"/>
    <w:semiHidden/>
    <w:rPr>
      <w:rFonts w:ascii="Calibri"/>
      <w:b/>
      <w:kern w:val="2"/>
      <w:sz w:val="21"/>
      <w:szCs w:val="22"/>
    </w:rPr>
  </w:style>
  <w:style w:type="paragraph" w:customStyle="1" w:styleId="afffffffc">
    <w:name w:val="表题"/>
    <w:basedOn w:val="a"/>
    <w:link w:val="Charfff9"/>
    <w:semiHidden/>
    <w:qFormat/>
    <w:pPr>
      <w:spacing w:beforeLines="50"/>
      <w:jc w:val="center"/>
      <w:outlineLvl w:val="4"/>
    </w:pPr>
    <w:rPr>
      <w:rFonts w:ascii="Calibri"/>
      <w:b/>
      <w:szCs w:val="22"/>
    </w:rPr>
  </w:style>
  <w:style w:type="character" w:customStyle="1" w:styleId="aCharCharCharCharCharCharChar">
    <w:name w:val="(a正文 Char Char Char Char Char Char Char"/>
    <w:link w:val="aCharCharCharCharCharChar"/>
    <w:semiHidden/>
    <w:rPr>
      <w:rFonts w:eastAsia="仿宋_GB2312"/>
      <w:color w:val="000000"/>
      <w:sz w:val="24"/>
      <w:szCs w:val="24"/>
    </w:rPr>
  </w:style>
  <w:style w:type="paragraph" w:customStyle="1" w:styleId="aCharCharCharCharCharChar">
    <w:name w:val="(a正文 Char Char Char Char Char Char"/>
    <w:basedOn w:val="a"/>
    <w:link w:val="aCharCharCharCharCharCharChar"/>
    <w:semiHidden/>
    <w:qFormat/>
    <w:pPr>
      <w:spacing w:line="440" w:lineRule="exact"/>
      <w:ind w:firstLineChars="200" w:firstLine="200"/>
    </w:pPr>
    <w:rPr>
      <w:rFonts w:ascii="Calibri" w:eastAsia="仿宋_GB2312" w:hAnsi="Calibri"/>
      <w:color w:val="000000"/>
    </w:rPr>
  </w:style>
  <w:style w:type="character" w:customStyle="1" w:styleId="z-Char10">
    <w:name w:val="z-窗体顶端 Char1"/>
    <w:uiPriority w:val="99"/>
    <w:semiHidden/>
    <w:qFormat/>
    <w:locked/>
    <w:rPr>
      <w:rFonts w:ascii="Arial" w:eastAsia="宋体" w:hAnsi="Arial" w:cs="Arial"/>
      <w:vanish/>
      <w:sz w:val="16"/>
      <w:szCs w:val="16"/>
    </w:rPr>
  </w:style>
  <w:style w:type="character" w:customStyle="1" w:styleId="afffffffd">
    <w:name w:val="签名 字符"/>
    <w:semiHidden/>
    <w:qFormat/>
    <w:rPr>
      <w:rFonts w:ascii="Times New Roman" w:eastAsia="宋体" w:hAnsi="Times New Roman" w:cs="Times New Roman"/>
      <w:szCs w:val="24"/>
    </w:rPr>
  </w:style>
  <w:style w:type="character" w:customStyle="1" w:styleId="article1">
    <w:name w:val="article1"/>
    <w:semiHidden/>
    <w:rPr>
      <w:color w:val="000000"/>
      <w:spacing w:val="600"/>
      <w:sz w:val="18"/>
      <w:szCs w:val="18"/>
    </w:rPr>
  </w:style>
  <w:style w:type="character" w:customStyle="1" w:styleId="3f4">
    <w:name w:val="3级 字符"/>
    <w:link w:val="3f5"/>
    <w:semiHidden/>
    <w:rPr>
      <w:rFonts w:ascii="宋体" w:hAnsi="宋体"/>
      <w:b/>
      <w:kern w:val="2"/>
      <w:sz w:val="21"/>
      <w:szCs w:val="21"/>
    </w:rPr>
  </w:style>
  <w:style w:type="paragraph" w:customStyle="1" w:styleId="3f5">
    <w:name w:val="3级"/>
    <w:basedOn w:val="jin6"/>
    <w:link w:val="3f4"/>
    <w:semiHidden/>
    <w:qFormat/>
    <w:pPr>
      <w:spacing w:beforeLines="50"/>
      <w:ind w:leftChars="0" w:left="0" w:firstLineChars="172" w:firstLine="414"/>
      <w:jc w:val="left"/>
      <w:outlineLvl w:val="2"/>
    </w:pPr>
    <w:rPr>
      <w:rFonts w:ascii="宋体" w:hAnsi="宋体"/>
      <w:b/>
    </w:rPr>
  </w:style>
  <w:style w:type="character" w:customStyle="1" w:styleId="Charfffa">
    <w:name w:val="表格 Char"/>
    <w:aliases w:val="MB5 Char,Title 5 Char,H51 Char,H52 Char,标题1.1.1.1.1 Char,Ü5 + Nr Char,PIM 5 Char,h51 Char,heading 51 Char,h52 Char,heading 52 Char,h53 Char,heading 53 Char,第四层条 Char,Appendix Title Char"/>
    <w:link w:val="afffffffe"/>
    <w:semiHidden/>
    <w:qFormat/>
    <w:locked/>
    <w:rPr>
      <w:kern w:val="2"/>
      <w:sz w:val="21"/>
      <w:szCs w:val="21"/>
    </w:rPr>
  </w:style>
  <w:style w:type="paragraph" w:customStyle="1" w:styleId="afffffffe">
    <w:name w:val="表格"/>
    <w:basedOn w:val="a"/>
    <w:link w:val="Charfffa"/>
    <w:semiHidden/>
    <w:qFormat/>
    <w:pPr>
      <w:widowControl w:val="0"/>
      <w:snapToGrid w:val="0"/>
      <w:spacing w:beforeLines="50"/>
      <w:jc w:val="center"/>
    </w:pPr>
  </w:style>
  <w:style w:type="character" w:customStyle="1" w:styleId="1ff0">
    <w:name w:val="访问过的超链接1"/>
    <w:uiPriority w:val="99"/>
    <w:semiHidden/>
    <w:qFormat/>
    <w:rPr>
      <w:color w:val="800080"/>
      <w:u w:val="single"/>
    </w:rPr>
  </w:style>
  <w:style w:type="character" w:customStyle="1" w:styleId="212">
    <w:name w:val="标题 2 字符1"/>
    <w:aliases w:val="Reset numbering鞍钢 字符1,Reset numbering 字符1,Heading 2 Char 字符1,Heading 2 Char1 Char 字符1,Heading 2 Char Char Char 字符1,Heading 2 Char1 Char Char Char 字符1,Heading 2 Char Char Char Char Char 字符1,Heading 2 Char1 Char Char Char Char Char 字符1,2 字符1,h2 字"/>
    <w:semiHidden/>
    <w:qFormat/>
    <w:locked/>
    <w:rPr>
      <w:b/>
      <w:bCs/>
      <w:kern w:val="2"/>
      <w:sz w:val="28"/>
      <w:szCs w:val="32"/>
    </w:rPr>
  </w:style>
  <w:style w:type="character" w:customStyle="1" w:styleId="CharChar511">
    <w:name w:val="Char Char511"/>
    <w:semiHidden/>
    <w:rPr>
      <w:color w:val="339966"/>
      <w:kern w:val="2"/>
      <w:sz w:val="21"/>
      <w:szCs w:val="24"/>
    </w:rPr>
  </w:style>
  <w:style w:type="character" w:customStyle="1" w:styleId="EmailStyle658">
    <w:name w:val="EmailStyle658"/>
    <w:semiHidden/>
    <w:rPr>
      <w:rFonts w:ascii="楷体_GB2312" w:eastAsia="楷体_GB2312"/>
      <w:b w:val="0"/>
      <w:bCs w:val="0"/>
      <w:i w:val="0"/>
      <w:iCs w:val="0"/>
      <w:strike w:val="0"/>
      <w:color w:val="auto"/>
      <w:sz w:val="21"/>
      <w:szCs w:val="21"/>
      <w:u w:val="none"/>
    </w:rPr>
  </w:style>
  <w:style w:type="character" w:customStyle="1" w:styleId="GB23122">
    <w:name w:val="样式 (中文) 仿宋_GB2312 四号 黑色"/>
    <w:semiHidden/>
    <w:rPr>
      <w:rFonts w:eastAsia="仿宋_GB2312"/>
      <w:color w:val="000000"/>
      <w:sz w:val="24"/>
    </w:rPr>
  </w:style>
  <w:style w:type="character" w:customStyle="1" w:styleId="SectionHeadingCharChar">
    <w:name w:val="Section Heading Char Char"/>
    <w:semiHidden/>
    <w:qFormat/>
    <w:rPr>
      <w:rFonts w:eastAsia="宋体"/>
      <w:b/>
      <w:bCs/>
      <w:kern w:val="44"/>
      <w:sz w:val="44"/>
      <w:szCs w:val="44"/>
      <w:lang w:val="en-US" w:eastAsia="zh-CN" w:bidi="ar-SA"/>
    </w:rPr>
  </w:style>
  <w:style w:type="character" w:customStyle="1" w:styleId="3Char12">
    <w:name w:val="正文文本缩进 3 Char1"/>
    <w:aliases w:val="正文文字缩进 3 Char1,正文文字缩进 3 + (符号) Arial Narrow Char1,行距: 固定值 25 磅 Char1,首行缩进:  2 字符 Char1"/>
    <w:semiHidden/>
    <w:qFormat/>
    <w:rPr>
      <w:rFonts w:ascii="Times New Roman" w:eastAsia="宋体" w:hAnsi="Times New Roman" w:cs="Times New Roman"/>
      <w:sz w:val="16"/>
      <w:szCs w:val="16"/>
    </w:rPr>
  </w:style>
  <w:style w:type="character" w:customStyle="1" w:styleId="H5Char">
    <w:name w:val="H5 Char"/>
    <w:aliases w:val="口 Char,口1 Char,口2 Char Char"/>
    <w:semiHidden/>
    <w:rPr>
      <w:rFonts w:ascii="宋体" w:eastAsia="宋体"/>
      <w:b/>
      <w:bCs/>
      <w:snapToGrid/>
      <w:kern w:val="2"/>
      <w:sz w:val="24"/>
      <w:lang w:val="en-US" w:eastAsia="zh-CN" w:bidi="ar-SA"/>
    </w:rPr>
  </w:style>
  <w:style w:type="character" w:customStyle="1" w:styleId="810">
    <w:name w:val="标题 8 字符1"/>
    <w:aliases w:val="8 字符1,小4号黑体居中行距1倍 字符1,Legal Level 1.1.1. 字符1,AppendixSubHead 字符1,h8 字符1,目标题 1) 字符1,Appendix 字符1"/>
    <w:link w:val="Appendix1"/>
    <w:semiHidden/>
    <w:qFormat/>
    <w:rPr>
      <w:rFonts w:ascii="Cambria" w:hAnsi="Cambria"/>
      <w:kern w:val="2"/>
      <w:sz w:val="21"/>
      <w:szCs w:val="21"/>
    </w:rPr>
  </w:style>
  <w:style w:type="paragraph" w:customStyle="1" w:styleId="Appendix1">
    <w:name w:val="Appendix1"/>
    <w:basedOn w:val="a"/>
    <w:next w:val="a"/>
    <w:link w:val="810"/>
    <w:semiHidden/>
    <w:qFormat/>
    <w:pPr>
      <w:keepNext/>
      <w:keepLines/>
      <w:widowControl w:val="0"/>
      <w:tabs>
        <w:tab w:val="left" w:pos="567"/>
      </w:tabs>
      <w:spacing w:before="240" w:after="64" w:line="320" w:lineRule="auto"/>
      <w:ind w:left="1440" w:hanging="432"/>
      <w:jc w:val="both"/>
      <w:outlineLvl w:val="7"/>
    </w:pPr>
    <w:rPr>
      <w:rFonts w:ascii="Cambria" w:hAnsi="Cambria"/>
    </w:rPr>
  </w:style>
  <w:style w:type="character" w:customStyle="1" w:styleId="-5Char0">
    <w:name w:val="徐工-表格5号字 Char"/>
    <w:link w:val="-50"/>
    <w:semiHidden/>
    <w:rPr>
      <w:rFonts w:ascii="宋体" w:eastAsia="MingLiU" w:hAnsi="宋体"/>
      <w:b/>
      <w:kern w:val="2"/>
      <w:sz w:val="24"/>
      <w:szCs w:val="21"/>
      <w:lang w:eastAsia="zh-TW"/>
    </w:rPr>
  </w:style>
  <w:style w:type="paragraph" w:customStyle="1" w:styleId="-50">
    <w:name w:val="徐工-表格5号字"/>
    <w:basedOn w:val="Normal10"/>
    <w:link w:val="-5Char0"/>
    <w:semiHidden/>
    <w:qFormat/>
    <w:pPr>
      <w:widowControl/>
      <w:autoSpaceDE w:val="0"/>
      <w:autoSpaceDN w:val="0"/>
      <w:spacing w:line="240" w:lineRule="auto"/>
      <w:textAlignment w:val="bottom"/>
    </w:pPr>
    <w:rPr>
      <w:rFonts w:ascii="宋体" w:hAnsi="宋体"/>
      <w:b/>
    </w:rPr>
  </w:style>
  <w:style w:type="paragraph" w:customStyle="1" w:styleId="Normal10">
    <w:name w:val="Normal1"/>
    <w:link w:val="Normal1Char"/>
    <w:uiPriority w:val="99"/>
    <w:semiHidden/>
    <w:qFormat/>
    <w:pPr>
      <w:widowControl w:val="0"/>
      <w:adjustRightInd w:val="0"/>
      <w:spacing w:line="360" w:lineRule="atLeast"/>
      <w:textAlignment w:val="baseline"/>
    </w:pPr>
    <w:rPr>
      <w:rFonts w:ascii="MingLiU" w:eastAsia="MingLiU"/>
      <w:kern w:val="2"/>
      <w:sz w:val="24"/>
      <w:szCs w:val="21"/>
      <w:lang w:eastAsia="zh-TW"/>
    </w:rPr>
  </w:style>
  <w:style w:type="character" w:customStyle="1" w:styleId="Normal1Char">
    <w:name w:val="Normal1 Char"/>
    <w:link w:val="Normal10"/>
    <w:uiPriority w:val="99"/>
    <w:semiHidden/>
    <w:rPr>
      <w:rFonts w:ascii="MingLiU" w:eastAsia="MingLiU"/>
      <w:kern w:val="2"/>
      <w:sz w:val="24"/>
      <w:szCs w:val="21"/>
      <w:lang w:eastAsia="zh-TW"/>
    </w:rPr>
  </w:style>
  <w:style w:type="character" w:customStyle="1" w:styleId="Char1f8">
    <w:name w:val="纯文本 Char1"/>
    <w:aliases w:val="纯文本 Char3 Char Char,纯文本 Char2 Char Char1 Char,纯文本 Char Char1 Char Char1 Char,纯文本 Char Char Char Char Char Char1 Char,纯文本 Char1 Char Char Char Char Char1 Char,纯文本 Char Char Char1 Char Char Char1 Char,纯文本 Char1 Char Char1 Char Char Char1 Char"/>
    <w:uiPriority w:val="99"/>
    <w:semiHidden/>
    <w:qFormat/>
    <w:locked/>
    <w:rPr>
      <w:rFonts w:ascii="Courier New" w:hAnsi="Courier New" w:cs="Courier New"/>
      <w:kern w:val="2"/>
      <w:sz w:val="21"/>
      <w:szCs w:val="22"/>
    </w:rPr>
  </w:style>
  <w:style w:type="character" w:customStyle="1" w:styleId="zwChar">
    <w:name w:val="zw Char"/>
    <w:link w:val="zw"/>
    <w:semiHidden/>
    <w:qFormat/>
    <w:rPr>
      <w:rFonts w:ascii="Arial Narrow" w:eastAsia="仿宋_GB2312" w:hAnsi="Arial Narrow"/>
      <w:kern w:val="2"/>
      <w:sz w:val="21"/>
      <w:szCs w:val="22"/>
    </w:rPr>
  </w:style>
  <w:style w:type="paragraph" w:customStyle="1" w:styleId="zw">
    <w:name w:val="zw"/>
    <w:basedOn w:val="a"/>
    <w:link w:val="zwChar"/>
    <w:semiHidden/>
    <w:qFormat/>
    <w:pPr>
      <w:adjustRightInd w:val="0"/>
      <w:spacing w:line="360" w:lineRule="auto"/>
      <w:ind w:firstLine="482"/>
      <w:textAlignment w:val="baseline"/>
    </w:pPr>
    <w:rPr>
      <w:rFonts w:ascii="Arial Narrow" w:eastAsia="仿宋_GB2312" w:hAnsi="Arial Narrow"/>
      <w:szCs w:val="22"/>
    </w:rPr>
  </w:style>
  <w:style w:type="character" w:customStyle="1" w:styleId="CharChar92">
    <w:name w:val="Char Char92"/>
    <w:semiHidden/>
    <w:rPr>
      <w:rFonts w:eastAsia="宋体"/>
      <w:sz w:val="24"/>
      <w:szCs w:val="24"/>
      <w:lang w:val="en-US" w:eastAsia="zh-CN" w:bidi="ar-SA"/>
    </w:rPr>
  </w:style>
  <w:style w:type="character" w:customStyle="1" w:styleId="EmailStyle656">
    <w:name w:val="EmailStyle656"/>
    <w:semiHidden/>
    <w:rPr>
      <w:rFonts w:ascii="楷体_GB2312" w:eastAsia="楷体_GB2312"/>
      <w:b w:val="0"/>
      <w:bCs w:val="0"/>
      <w:i w:val="0"/>
      <w:iCs w:val="0"/>
      <w:strike w:val="0"/>
      <w:color w:val="auto"/>
      <w:sz w:val="21"/>
      <w:szCs w:val="21"/>
      <w:u w:val="none"/>
    </w:rPr>
  </w:style>
  <w:style w:type="character" w:customStyle="1" w:styleId="5Char0">
    <w:name w:val="表格5号字 Char"/>
    <w:link w:val="59"/>
    <w:semiHidden/>
    <w:rPr>
      <w:rFonts w:ascii="宋体" w:eastAsia="MingLiU" w:hAnsi="宋体"/>
      <w:b/>
      <w:kern w:val="2"/>
      <w:sz w:val="24"/>
      <w:szCs w:val="21"/>
      <w:lang w:eastAsia="zh-TW"/>
    </w:rPr>
  </w:style>
  <w:style w:type="paragraph" w:customStyle="1" w:styleId="59">
    <w:name w:val="表格5号字"/>
    <w:basedOn w:val="Normal10"/>
    <w:link w:val="5Char0"/>
    <w:semiHidden/>
    <w:qFormat/>
    <w:pPr>
      <w:widowControl/>
      <w:autoSpaceDE w:val="0"/>
      <w:autoSpaceDN w:val="0"/>
      <w:spacing w:line="240" w:lineRule="auto"/>
      <w:textAlignment w:val="bottom"/>
    </w:pPr>
    <w:rPr>
      <w:rFonts w:ascii="宋体" w:hAnsi="宋体"/>
      <w:b/>
    </w:rPr>
  </w:style>
  <w:style w:type="character" w:customStyle="1" w:styleId="CharChar248">
    <w:name w:val="Char Char248"/>
    <w:semiHidden/>
    <w:rPr>
      <w:rFonts w:ascii="Times New Roman" w:eastAsia="宋体" w:hAnsi="Times New Roman" w:cs="Times New Roman"/>
      <w:kern w:val="0"/>
      <w:sz w:val="18"/>
      <w:szCs w:val="18"/>
    </w:rPr>
  </w:style>
  <w:style w:type="character" w:customStyle="1" w:styleId="zhenwen141">
    <w:name w:val="zhenwen141"/>
    <w:semiHidden/>
    <w:rPr>
      <w:rFonts w:ascii="??" w:hAnsi="??"/>
      <w:sz w:val="21"/>
    </w:rPr>
  </w:style>
  <w:style w:type="character" w:customStyle="1" w:styleId="EmailStyle640">
    <w:name w:val="EmailStyle640"/>
    <w:semiHidden/>
    <w:rPr>
      <w:rFonts w:ascii="楷体_GB2312" w:eastAsia="楷体_GB2312"/>
      <w:b w:val="0"/>
      <w:bCs w:val="0"/>
      <w:i w:val="0"/>
      <w:iCs w:val="0"/>
      <w:strike w:val="0"/>
      <w:color w:val="auto"/>
      <w:sz w:val="21"/>
      <w:szCs w:val="21"/>
      <w:u w:val="none"/>
    </w:rPr>
  </w:style>
  <w:style w:type="character" w:customStyle="1" w:styleId="CharChar62">
    <w:name w:val="Char Char62"/>
    <w:semiHidden/>
    <w:rPr>
      <w:rFonts w:ascii="Times New Roman" w:eastAsia="宋体" w:hAnsi="Times New Roman" w:cs="Times New Roman"/>
      <w:sz w:val="18"/>
      <w:szCs w:val="18"/>
    </w:rPr>
  </w:style>
  <w:style w:type="character" w:customStyle="1" w:styleId="CM12Char">
    <w:name w:val="CM12 Char"/>
    <w:link w:val="CM12"/>
    <w:uiPriority w:val="99"/>
    <w:semiHidden/>
    <w:rPr>
      <w:rFonts w:ascii="隶书" w:eastAsia="隶书" w:hAnsi="Calibri"/>
      <w:kern w:val="2"/>
      <w:sz w:val="24"/>
      <w:szCs w:val="24"/>
    </w:rPr>
  </w:style>
  <w:style w:type="paragraph" w:customStyle="1" w:styleId="CM12">
    <w:name w:val="CM12"/>
    <w:basedOn w:val="Default"/>
    <w:next w:val="Default"/>
    <w:link w:val="CM12Char"/>
    <w:uiPriority w:val="99"/>
    <w:semiHidden/>
    <w:qFormat/>
    <w:pPr>
      <w:spacing w:line="468" w:lineRule="atLeast"/>
    </w:pPr>
    <w:rPr>
      <w:rFonts w:ascii="隶书" w:eastAsia="隶书" w:hAnsi="Calibri" w:cs="Times New Roman"/>
      <w:color w:val="auto"/>
      <w:kern w:val="2"/>
    </w:rPr>
  </w:style>
  <w:style w:type="character" w:customStyle="1" w:styleId="HTMLChar1">
    <w:name w:val="HTML 预设格式 Char1"/>
    <w:aliases w:val="HTML 预先格式化 Char1"/>
    <w:uiPriority w:val="99"/>
    <w:semiHidden/>
    <w:qFormat/>
    <w:rPr>
      <w:rFonts w:ascii="Courier New" w:eastAsia="宋体" w:hAnsi="Courier New" w:cs="Courier New"/>
      <w:sz w:val="20"/>
      <w:szCs w:val="20"/>
    </w:rPr>
  </w:style>
  <w:style w:type="character" w:customStyle="1" w:styleId="Char31">
    <w:name w:val="正文文本缩进 Char3"/>
    <w:aliases w:val="特点标题 Char1,正文文字缩进 Char1,北山简报正文 Char1,正文文字首行缩进 Char3,正文文字缩进 Char3,正文文字 21 Char2"/>
    <w:uiPriority w:val="99"/>
    <w:semiHidden/>
    <w:qFormat/>
    <w:rPr>
      <w:rFonts w:eastAsia="宋体"/>
      <w:sz w:val="24"/>
      <w:szCs w:val="24"/>
      <w:lang w:val="en-US" w:eastAsia="zh-CN" w:bidi="ar-SA"/>
    </w:rPr>
  </w:style>
  <w:style w:type="character" w:customStyle="1" w:styleId="3CharCharCharCharCharCharCharChar">
    <w:name w:val="标题 3 Char Char Char Char Char Char Char Char"/>
    <w:semiHidden/>
    <w:rPr>
      <w:rFonts w:eastAsia="宋体"/>
      <w:b/>
      <w:bCs/>
      <w:kern w:val="2"/>
      <w:sz w:val="32"/>
      <w:szCs w:val="32"/>
      <w:lang w:val="en-US" w:eastAsia="zh-CN" w:bidi="ar-SA"/>
    </w:rPr>
  </w:style>
  <w:style w:type="character" w:customStyle="1" w:styleId="001TimesNewRomanChar">
    <w:name w:val="样式 正文001 + Times New Roman Char"/>
    <w:link w:val="001TimesNewRoman"/>
    <w:semiHidden/>
    <w:rPr>
      <w:rFonts w:ascii="Calibri" w:hAnsi="Calibri"/>
      <w:kern w:val="2"/>
      <w:sz w:val="21"/>
      <w:szCs w:val="22"/>
    </w:rPr>
  </w:style>
  <w:style w:type="paragraph" w:customStyle="1" w:styleId="001TimesNewRoman">
    <w:name w:val="样式 正文001 + Times New Roman"/>
    <w:basedOn w:val="a"/>
    <w:link w:val="001TimesNewRomanChar"/>
    <w:semiHidden/>
    <w:qFormat/>
    <w:pPr>
      <w:spacing w:before="60" w:line="460" w:lineRule="exact"/>
      <w:ind w:firstLine="482"/>
    </w:pPr>
    <w:rPr>
      <w:rFonts w:ascii="Calibri" w:hAnsi="Calibri"/>
      <w:szCs w:val="22"/>
    </w:rPr>
  </w:style>
  <w:style w:type="character" w:customStyle="1" w:styleId="Charfffb">
    <w:name w:val="图题 Char"/>
    <w:link w:val="affffffff"/>
    <w:semiHidden/>
    <w:qFormat/>
    <w:locked/>
    <w:rPr>
      <w:rFonts w:ascii="Calibri"/>
      <w:b/>
      <w:kern w:val="2"/>
      <w:sz w:val="21"/>
      <w:szCs w:val="22"/>
    </w:rPr>
  </w:style>
  <w:style w:type="paragraph" w:customStyle="1" w:styleId="affffffff">
    <w:name w:val="图题"/>
    <w:basedOn w:val="afffffffc"/>
    <w:link w:val="Charfffb"/>
    <w:semiHidden/>
    <w:qFormat/>
  </w:style>
  <w:style w:type="character" w:customStyle="1" w:styleId="CharChar263">
    <w:name w:val="Char Char263"/>
    <w:semiHidden/>
    <w:rPr>
      <w:rFonts w:eastAsia="宋体"/>
      <w:snapToGrid w:val="0"/>
      <w:sz w:val="24"/>
      <w:szCs w:val="24"/>
      <w:lang w:val="en-US" w:eastAsia="zh-CN" w:bidi="ar-SA"/>
    </w:rPr>
  </w:style>
  <w:style w:type="character" w:customStyle="1" w:styleId="read1">
    <w:name w:val="read1"/>
    <w:semiHidden/>
    <w:rPr>
      <w:rFonts w:hint="default"/>
      <w:strike w:val="0"/>
      <w:dstrike w:val="0"/>
      <w:color w:val="000000"/>
      <w:spacing w:val="527"/>
      <w:u w:val="none"/>
    </w:rPr>
  </w:style>
  <w:style w:type="character" w:customStyle="1" w:styleId="big1">
    <w:name w:val="big1"/>
    <w:semiHidden/>
    <w:qFormat/>
  </w:style>
  <w:style w:type="character" w:customStyle="1" w:styleId="-Char1">
    <w:name w:val="正文-招股书 Char"/>
    <w:link w:val="-2"/>
    <w:semiHidden/>
    <w:locked/>
    <w:rPr>
      <w:rFonts w:ascii="Arial" w:hAnsi="Arial" w:cs="Arial"/>
      <w:kern w:val="2"/>
      <w:sz w:val="21"/>
      <w:szCs w:val="21"/>
      <w:lang w:val="zh-CN"/>
    </w:rPr>
  </w:style>
  <w:style w:type="paragraph" w:customStyle="1" w:styleId="-2">
    <w:name w:val="正文-招股书"/>
    <w:basedOn w:val="a"/>
    <w:link w:val="-Char1"/>
    <w:semiHidden/>
    <w:qFormat/>
    <w:pPr>
      <w:autoSpaceDE w:val="0"/>
      <w:autoSpaceDN w:val="0"/>
      <w:adjustRightInd w:val="0"/>
      <w:spacing w:afterLines="50" w:line="360" w:lineRule="auto"/>
      <w:ind w:firstLine="482"/>
    </w:pPr>
    <w:rPr>
      <w:rFonts w:ascii="Arial" w:hAnsi="Arial" w:cs="Arial"/>
      <w:lang w:val="zh-CN"/>
    </w:rPr>
  </w:style>
  <w:style w:type="character" w:customStyle="1" w:styleId="bfont1">
    <w:name w:val="bfont1"/>
    <w:semiHidden/>
    <w:qFormat/>
    <w:rPr>
      <w:rFonts w:ascii="Arial Narrow" w:hAnsi="Arial Narrow" w:hint="default"/>
      <w:spacing w:val="320"/>
      <w:sz w:val="24"/>
      <w:szCs w:val="24"/>
    </w:rPr>
  </w:style>
  <w:style w:type="character" w:customStyle="1" w:styleId="Charfffc">
    <w:name w:val="表左 小五 Char"/>
    <w:link w:val="affffffff0"/>
    <w:semiHidden/>
    <w:rPr>
      <w:rFonts w:ascii="Calibri" w:hAnsi="Calibri"/>
      <w:kern w:val="2"/>
      <w:sz w:val="18"/>
      <w:szCs w:val="21"/>
    </w:rPr>
  </w:style>
  <w:style w:type="paragraph" w:customStyle="1" w:styleId="affffffff0">
    <w:name w:val="表左 小五"/>
    <w:basedOn w:val="afffffe"/>
    <w:link w:val="Charfffc"/>
    <w:semiHidden/>
    <w:qFormat/>
    <w:pPr>
      <w:spacing w:line="220" w:lineRule="exact"/>
    </w:pPr>
    <w:rPr>
      <w:sz w:val="18"/>
    </w:rPr>
  </w:style>
  <w:style w:type="character" w:customStyle="1" w:styleId="EmailStyle641">
    <w:name w:val="EmailStyle641"/>
    <w:semiHidden/>
    <w:rPr>
      <w:rFonts w:ascii="楷体_GB2312" w:eastAsia="楷体_GB2312"/>
      <w:b w:val="0"/>
      <w:bCs w:val="0"/>
      <w:i w:val="0"/>
      <w:iCs w:val="0"/>
      <w:strike w:val="0"/>
      <w:color w:val="auto"/>
      <w:sz w:val="21"/>
      <w:szCs w:val="21"/>
      <w:u w:val="none"/>
    </w:rPr>
  </w:style>
  <w:style w:type="character" w:customStyle="1" w:styleId="GB23123">
    <w:name w:val="样式 仿宋_GB2312 (符号) 宋体 四号"/>
    <w:semiHidden/>
    <w:rPr>
      <w:rFonts w:ascii="仿宋_GB2312" w:eastAsia="仿宋_GB2312" w:hAnsi="仿宋_GB2312"/>
      <w:sz w:val="24"/>
    </w:rPr>
  </w:style>
  <w:style w:type="character" w:customStyle="1" w:styleId="CharChar223">
    <w:name w:val="Char Char223"/>
    <w:semiHidden/>
    <w:rPr>
      <w:rFonts w:ascii="Times New Roman" w:eastAsia="宋体" w:hAnsi="Times New Roman" w:cs="Times New Roman"/>
      <w:snapToGrid w:val="0"/>
      <w:kern w:val="0"/>
      <w:sz w:val="24"/>
      <w:szCs w:val="24"/>
    </w:rPr>
  </w:style>
  <w:style w:type="character" w:customStyle="1" w:styleId="cnd1">
    <w:name w:val="cnd1"/>
    <w:semiHidden/>
    <w:rPr>
      <w:color w:val="000000"/>
      <w:spacing w:val="260"/>
      <w:sz w:val="18"/>
      <w:szCs w:val="18"/>
    </w:rPr>
  </w:style>
  <w:style w:type="character" w:customStyle="1" w:styleId="CharChar208">
    <w:name w:val="Char Char208"/>
    <w:semiHidden/>
    <w:rPr>
      <w:sz w:val="18"/>
      <w:szCs w:val="18"/>
    </w:rPr>
  </w:style>
  <w:style w:type="character" w:customStyle="1" w:styleId="2-Char">
    <w:name w:val="2-一、 Char"/>
    <w:link w:val="2-"/>
    <w:semiHidden/>
    <w:rPr>
      <w:rFonts w:ascii="Calibri" w:eastAsia="黑体" w:hAnsi="Calibri"/>
      <w:b/>
      <w:bCs/>
      <w:kern w:val="2"/>
      <w:sz w:val="30"/>
      <w:szCs w:val="21"/>
    </w:rPr>
  </w:style>
  <w:style w:type="paragraph" w:customStyle="1" w:styleId="2-">
    <w:name w:val="2-一、"/>
    <w:basedOn w:val="a"/>
    <w:link w:val="2-Char"/>
    <w:semiHidden/>
    <w:qFormat/>
    <w:pPr>
      <w:keepNext/>
      <w:keepLines/>
      <w:autoSpaceDE w:val="0"/>
      <w:autoSpaceDN w:val="0"/>
      <w:spacing w:beforeLines="50" w:afterLines="50" w:line="480" w:lineRule="exact"/>
      <w:textAlignment w:val="baseline"/>
      <w:outlineLvl w:val="1"/>
    </w:pPr>
    <w:rPr>
      <w:rFonts w:ascii="Calibri" w:eastAsia="黑体" w:hAnsi="Calibri"/>
      <w:b/>
      <w:bCs/>
      <w:sz w:val="30"/>
    </w:rPr>
  </w:style>
  <w:style w:type="character" w:customStyle="1" w:styleId="CharChar93">
    <w:name w:val="Char Char93"/>
    <w:semiHidden/>
    <w:rPr>
      <w:rFonts w:eastAsia="宋体"/>
      <w:sz w:val="24"/>
      <w:szCs w:val="24"/>
      <w:lang w:val="en-US" w:eastAsia="zh-CN" w:bidi="ar-SA"/>
    </w:rPr>
  </w:style>
  <w:style w:type="character" w:customStyle="1" w:styleId="Charfffd">
    <w:name w:val="资料来源 Char"/>
    <w:link w:val="affffffff1"/>
    <w:semiHidden/>
    <w:rPr>
      <w:rFonts w:ascii="Arial" w:hAnsi="华文楷体" w:cs="Arial"/>
      <w:kern w:val="2"/>
      <w:sz w:val="22"/>
      <w:szCs w:val="22"/>
    </w:rPr>
  </w:style>
  <w:style w:type="paragraph" w:customStyle="1" w:styleId="affffffff1">
    <w:name w:val="资料来源"/>
    <w:basedOn w:val="Table"/>
    <w:link w:val="Charfffd"/>
    <w:semiHidden/>
    <w:qFormat/>
    <w:pPr>
      <w:spacing w:before="0" w:after="0" w:line="240" w:lineRule="auto"/>
    </w:pPr>
    <w:rPr>
      <w:rFonts w:ascii="Arial" w:hAnsi="华文楷体" w:cs="Arial"/>
      <w:sz w:val="22"/>
      <w:szCs w:val="22"/>
    </w:rPr>
  </w:style>
  <w:style w:type="character" w:customStyle="1" w:styleId="CharChar117">
    <w:name w:val="Char Char117"/>
    <w:semiHidden/>
    <w:rPr>
      <w:rFonts w:ascii="Calibri" w:eastAsia="宋体" w:hAnsi="Calibri"/>
      <w:kern w:val="2"/>
      <w:sz w:val="18"/>
      <w:szCs w:val="18"/>
      <w:lang w:val="en-US" w:eastAsia="zh-CN" w:bidi="ar-SA"/>
    </w:rPr>
  </w:style>
  <w:style w:type="character" w:customStyle="1" w:styleId="1Char5">
    <w:name w:val="步森表格1 Char"/>
    <w:link w:val="1ff1"/>
    <w:semiHidden/>
    <w:rPr>
      <w:rFonts w:ascii="Calibri" w:hAnsi="Calibri"/>
      <w:kern w:val="2"/>
      <w:sz w:val="21"/>
      <w:szCs w:val="21"/>
    </w:rPr>
  </w:style>
  <w:style w:type="paragraph" w:customStyle="1" w:styleId="1ff1">
    <w:name w:val="步森表格1"/>
    <w:basedOn w:val="a"/>
    <w:link w:val="1Char5"/>
    <w:semiHidden/>
    <w:qFormat/>
    <w:pPr>
      <w:autoSpaceDE w:val="0"/>
      <w:autoSpaceDN w:val="0"/>
      <w:adjustRightInd w:val="0"/>
      <w:jc w:val="right"/>
    </w:pPr>
    <w:rPr>
      <w:rFonts w:ascii="Calibri" w:hAnsi="Calibri"/>
    </w:rPr>
  </w:style>
  <w:style w:type="character" w:customStyle="1" w:styleId="Charfffe">
    <w:name w:val="招股书大标题 Char"/>
    <w:link w:val="affffffff2"/>
    <w:semiHidden/>
    <w:rPr>
      <w:rFonts w:ascii="黑体" w:eastAsia="黑体" w:hAnsi="Calibri"/>
      <w:bCs/>
      <w:kern w:val="2"/>
      <w:sz w:val="30"/>
      <w:szCs w:val="30"/>
    </w:rPr>
  </w:style>
  <w:style w:type="paragraph" w:customStyle="1" w:styleId="affffffff2">
    <w:name w:val="招股书大标题"/>
    <w:basedOn w:val="1"/>
    <w:link w:val="Charfffe"/>
    <w:semiHidden/>
    <w:qFormat/>
    <w:pPr>
      <w:tabs>
        <w:tab w:val="clear" w:pos="1134"/>
        <w:tab w:val="left" w:pos="567"/>
      </w:tabs>
      <w:spacing w:beforeLines="0" w:before="100" w:beforeAutospacing="1" w:afterLines="0" w:after="100" w:afterAutospacing="1" w:line="360" w:lineRule="auto"/>
      <w:ind w:left="567" w:firstLineChars="189" w:firstLine="189"/>
      <w:jc w:val="left"/>
    </w:pPr>
    <w:rPr>
      <w:rFonts w:ascii="黑体" w:eastAsia="黑体" w:hAnsi="Calibri"/>
      <w:b w:val="0"/>
      <w:kern w:val="2"/>
      <w:sz w:val="30"/>
      <w:szCs w:val="30"/>
    </w:rPr>
  </w:style>
  <w:style w:type="character" w:customStyle="1" w:styleId="Level2Char">
    <w:name w:val="Level 2 Char"/>
    <w:link w:val="Level2"/>
    <w:uiPriority w:val="99"/>
    <w:semiHidden/>
    <w:locked/>
    <w:rPr>
      <w:rFonts w:ascii="Arial" w:hAnsi="Arial" w:cs="Arial"/>
      <w:kern w:val="20"/>
      <w:sz w:val="21"/>
      <w:szCs w:val="28"/>
      <w:lang w:eastAsia="en-US"/>
    </w:rPr>
  </w:style>
  <w:style w:type="paragraph" w:customStyle="1" w:styleId="Level2">
    <w:name w:val="Level 2"/>
    <w:basedOn w:val="a"/>
    <w:link w:val="Level2Char"/>
    <w:uiPriority w:val="99"/>
    <w:semiHidden/>
    <w:qFormat/>
    <w:pPr>
      <w:tabs>
        <w:tab w:val="left" w:pos="680"/>
      </w:tabs>
      <w:spacing w:after="140" w:line="288" w:lineRule="auto"/>
      <w:ind w:left="680" w:hanging="680"/>
    </w:pPr>
    <w:rPr>
      <w:rFonts w:ascii="Arial" w:hAnsi="Arial" w:cs="Arial"/>
      <w:kern w:val="20"/>
      <w:szCs w:val="28"/>
      <w:lang w:eastAsia="en-US"/>
    </w:rPr>
  </w:style>
  <w:style w:type="character" w:customStyle="1" w:styleId="CharChar14">
    <w:name w:val="Char Char14"/>
    <w:semiHidden/>
    <w:qFormat/>
    <w:rPr>
      <w:rFonts w:eastAsia="宋体"/>
      <w:snapToGrid w:val="0"/>
      <w:sz w:val="24"/>
      <w:szCs w:val="24"/>
      <w:lang w:val="en-US" w:eastAsia="zh-CN" w:bidi="ar-SA"/>
    </w:rPr>
  </w:style>
  <w:style w:type="character" w:customStyle="1" w:styleId="articlebody1">
    <w:name w:val="articlebody1"/>
    <w:semiHidden/>
    <w:rPr>
      <w:sz w:val="21"/>
      <w:szCs w:val="21"/>
    </w:rPr>
  </w:style>
  <w:style w:type="character" w:customStyle="1" w:styleId="Charffff">
    <w:name w:val="文档结构图 Char"/>
    <w:uiPriority w:val="99"/>
    <w:semiHidden/>
    <w:qFormat/>
    <w:rPr>
      <w:kern w:val="2"/>
      <w:sz w:val="21"/>
      <w:szCs w:val="24"/>
      <w:shd w:val="clear" w:color="auto" w:fill="000080"/>
    </w:rPr>
  </w:style>
  <w:style w:type="character" w:customStyle="1" w:styleId="f31">
    <w:name w:val="f31"/>
    <w:semiHidden/>
    <w:rPr>
      <w:rFonts w:hint="default"/>
      <w:color w:val="003399"/>
      <w:spacing w:val="24"/>
      <w:sz w:val="21"/>
      <w:szCs w:val="21"/>
    </w:rPr>
  </w:style>
  <w:style w:type="character" w:customStyle="1" w:styleId="txtcontent11">
    <w:name w:val="txtcontent11"/>
    <w:semiHidden/>
    <w:qFormat/>
    <w:rPr>
      <w:rFonts w:ascii="ˎ̥" w:hAnsi="ˎ̥" w:hint="default"/>
      <w:b w:val="0"/>
      <w:bCs w:val="0"/>
      <w:color w:val="000000"/>
      <w:sz w:val="21"/>
      <w:szCs w:val="21"/>
    </w:rPr>
  </w:style>
  <w:style w:type="character" w:customStyle="1" w:styleId="Charffff0">
    <w:name w:val="第四级 Char"/>
    <w:link w:val="affffffff3"/>
    <w:semiHidden/>
    <w:rPr>
      <w:b/>
      <w:kern w:val="2"/>
      <w:sz w:val="21"/>
      <w:szCs w:val="21"/>
    </w:rPr>
  </w:style>
  <w:style w:type="paragraph" w:customStyle="1" w:styleId="affffffff3">
    <w:name w:val="第四级"/>
    <w:basedOn w:val="a"/>
    <w:link w:val="Charffff0"/>
    <w:semiHidden/>
    <w:qFormat/>
    <w:pPr>
      <w:autoSpaceDE w:val="0"/>
      <w:autoSpaceDN w:val="0"/>
      <w:adjustRightInd w:val="0"/>
      <w:spacing w:line="360" w:lineRule="auto"/>
      <w:ind w:leftChars="200" w:left="480"/>
    </w:pPr>
    <w:rPr>
      <w:b/>
    </w:rPr>
  </w:style>
  <w:style w:type="character" w:customStyle="1" w:styleId="CharChar212">
    <w:name w:val="Char Char212"/>
    <w:semiHidden/>
    <w:rPr>
      <w:rFonts w:ascii="Times New Roman" w:eastAsia="宋体" w:hAnsi="Times New Roman" w:cs="Times New Roman"/>
      <w:kern w:val="0"/>
      <w:sz w:val="24"/>
      <w:szCs w:val="24"/>
    </w:rPr>
  </w:style>
  <w:style w:type="character" w:customStyle="1" w:styleId="EmailStyle6261">
    <w:name w:val="EmailStyle6261"/>
    <w:semiHidden/>
    <w:rPr>
      <w:rFonts w:ascii="楷体_GB2312" w:eastAsia="楷体_GB2312"/>
      <w:b w:val="0"/>
      <w:bCs w:val="0"/>
      <w:i w:val="0"/>
      <w:iCs w:val="0"/>
      <w:strike w:val="0"/>
      <w:color w:val="auto"/>
      <w:sz w:val="21"/>
      <w:szCs w:val="21"/>
      <w:u w:val="none"/>
    </w:rPr>
  </w:style>
  <w:style w:type="character" w:customStyle="1" w:styleId="EmailStyle6291">
    <w:name w:val="EmailStyle6291"/>
    <w:semiHidden/>
    <w:rPr>
      <w:rFonts w:ascii="楷体_GB2312" w:eastAsia="楷体_GB2312"/>
      <w:b w:val="0"/>
      <w:bCs w:val="0"/>
      <w:i w:val="0"/>
      <w:iCs w:val="0"/>
      <w:strike w:val="0"/>
      <w:color w:val="auto"/>
      <w:sz w:val="21"/>
      <w:szCs w:val="21"/>
      <w:u w:val="none"/>
    </w:rPr>
  </w:style>
  <w:style w:type="character" w:customStyle="1" w:styleId="EmailStyle6301">
    <w:name w:val="EmailStyle6301"/>
    <w:semiHidden/>
    <w:rPr>
      <w:rFonts w:ascii="楷体_GB2312" w:eastAsia="楷体_GB2312"/>
      <w:b w:val="0"/>
      <w:bCs w:val="0"/>
      <w:i w:val="0"/>
      <w:iCs w:val="0"/>
      <w:strike w:val="0"/>
      <w:color w:val="auto"/>
      <w:sz w:val="21"/>
      <w:szCs w:val="21"/>
      <w:u w:val="none"/>
    </w:rPr>
  </w:style>
  <w:style w:type="character" w:customStyle="1" w:styleId="EmailStyle633">
    <w:name w:val="EmailStyle633"/>
    <w:semiHidden/>
    <w:rPr>
      <w:rFonts w:ascii="楷体_GB2312" w:eastAsia="楷体_GB2312"/>
      <w:b w:val="0"/>
      <w:bCs w:val="0"/>
      <w:i w:val="0"/>
      <w:iCs w:val="0"/>
      <w:strike w:val="0"/>
      <w:color w:val="auto"/>
      <w:sz w:val="21"/>
      <w:szCs w:val="21"/>
      <w:u w:val="none"/>
    </w:rPr>
  </w:style>
  <w:style w:type="character" w:customStyle="1" w:styleId="EmailStyle638">
    <w:name w:val="EmailStyle638"/>
    <w:semiHidden/>
    <w:rPr>
      <w:rFonts w:ascii="楷体_GB2312" w:eastAsia="楷体_GB2312"/>
      <w:b w:val="0"/>
      <w:bCs w:val="0"/>
      <w:i w:val="0"/>
      <w:iCs w:val="0"/>
      <w:strike w:val="0"/>
      <w:color w:val="auto"/>
      <w:sz w:val="21"/>
      <w:szCs w:val="21"/>
      <w:u w:val="none"/>
    </w:rPr>
  </w:style>
  <w:style w:type="character" w:customStyle="1" w:styleId="EmailStyle646">
    <w:name w:val="EmailStyle646"/>
    <w:semiHidden/>
    <w:rPr>
      <w:rFonts w:ascii="楷体_GB2312" w:eastAsia="楷体_GB2312"/>
      <w:b w:val="0"/>
      <w:bCs w:val="0"/>
      <w:i w:val="0"/>
      <w:iCs w:val="0"/>
      <w:strike w:val="0"/>
      <w:color w:val="auto"/>
      <w:sz w:val="21"/>
      <w:szCs w:val="21"/>
      <w:u w:val="none"/>
    </w:rPr>
  </w:style>
  <w:style w:type="character" w:customStyle="1" w:styleId="CharChar1CharCharCharCharCharCharCharCharCharCharCharCharCharCharCharCharCharCharCharCharCharCharCharCharCharCharCharCharCharCharCharCharCharCharCharCharCharCharChar11">
    <w:name w:val="Char Char1 Char Char Char Char Char Char Char Char Char Char Char Char Char Char Char Char Char Char Char Char Char Char Char Char Char Char Char Char Char Char Char Char Char Char Char Char Char Char Char11"/>
    <w:link w:val="CharChar1CharCharCharCharCharCharCharCharCharCharCharCharCharCharCharCharCharCharCharCharCharCharCharCharCharCharCharCharCharCharCharCharCharCharCharCharCharChar12"/>
    <w:semiHidden/>
    <w:rPr>
      <w:rFonts w:ascii="Verdana" w:eastAsia="Times New Roman" w:hAnsi="Verdana"/>
      <w:kern w:val="2"/>
      <w:sz w:val="22"/>
      <w:szCs w:val="22"/>
      <w:lang w:eastAsia="en-US"/>
    </w:rPr>
  </w:style>
  <w:style w:type="paragraph" w:customStyle="1" w:styleId="CharChar1CharCharCharCharCharCharCharCharCharCharCharCharCharCharCharCharCharCharCharCharCharCharCharCharCharCharCharCharCharCharCharCharCharCharCharCharCharChar12">
    <w:name w:val="Char Char1 Char Char Char Char Char Char Char Char Char Char Char Char Char Char Char Char Char Char Char Char Char Char Char Char Char Char Char Char Char Char Char Char Char Char Char Char Char Char12"/>
    <w:basedOn w:val="a"/>
    <w:link w:val="CharChar1CharCharCharCharCharCharCharCharCharCharCharCharCharCharCharCharCharCharCharCharCharCharCharCharCharCharCharCharCharCharCharCharCharCharCharCharCharCharChar11"/>
    <w:semiHidden/>
    <w:qFormat/>
    <w:pPr>
      <w:autoSpaceDE w:val="0"/>
      <w:autoSpaceDN w:val="0"/>
      <w:adjustRightInd w:val="0"/>
      <w:spacing w:after="160" w:line="240" w:lineRule="exact"/>
    </w:pPr>
    <w:rPr>
      <w:rFonts w:ascii="Verdana" w:eastAsia="Times New Roman" w:hAnsi="Verdana"/>
      <w:sz w:val="22"/>
      <w:szCs w:val="22"/>
      <w:lang w:eastAsia="en-US"/>
    </w:rPr>
  </w:style>
  <w:style w:type="character" w:customStyle="1" w:styleId="CharChar179">
    <w:name w:val="Char Char179"/>
    <w:semiHidden/>
    <w:rPr>
      <w:rFonts w:eastAsia="宋体"/>
      <w:sz w:val="18"/>
      <w:szCs w:val="18"/>
      <w:lang w:val="en-US" w:eastAsia="zh-CN" w:bidi="ar-SA"/>
    </w:rPr>
  </w:style>
  <w:style w:type="character" w:customStyle="1" w:styleId="EmailStyle492">
    <w:name w:val="EmailStyle492"/>
    <w:semiHidden/>
    <w:rPr>
      <w:rFonts w:ascii="楷体_GB2312" w:eastAsia="楷体_GB2312"/>
      <w:b w:val="0"/>
      <w:bCs w:val="0"/>
      <w:i w:val="0"/>
      <w:iCs w:val="0"/>
      <w:strike w:val="0"/>
      <w:color w:val="auto"/>
      <w:sz w:val="21"/>
      <w:szCs w:val="21"/>
      <w:u w:val="none"/>
    </w:rPr>
  </w:style>
  <w:style w:type="character" w:customStyle="1" w:styleId="CharChar249">
    <w:name w:val="Char Char249"/>
    <w:semiHidden/>
    <w:rPr>
      <w:rFonts w:ascii="Times New Roman" w:eastAsia="宋体" w:hAnsi="Times New Roman" w:cs="Times New Roman"/>
      <w:kern w:val="0"/>
      <w:sz w:val="18"/>
      <w:szCs w:val="18"/>
    </w:rPr>
  </w:style>
  <w:style w:type="character" w:customStyle="1" w:styleId="CharChar199">
    <w:name w:val="Char Char199"/>
    <w:semiHidden/>
    <w:rPr>
      <w:rFonts w:ascii="Times New Roman" w:eastAsia="宋体" w:hAnsi="Times New Roman" w:cs="Times New Roman"/>
      <w:szCs w:val="24"/>
    </w:rPr>
  </w:style>
  <w:style w:type="character" w:customStyle="1" w:styleId="EmailStyle6021">
    <w:name w:val="EmailStyle6021"/>
    <w:semiHidden/>
    <w:rPr>
      <w:rFonts w:ascii="楷体_GB2312" w:eastAsia="楷体_GB2312"/>
      <w:b w:val="0"/>
      <w:bCs w:val="0"/>
      <w:i w:val="0"/>
      <w:iCs w:val="0"/>
      <w:strike w:val="0"/>
      <w:color w:val="auto"/>
      <w:sz w:val="21"/>
      <w:szCs w:val="21"/>
      <w:u w:val="none"/>
    </w:rPr>
  </w:style>
  <w:style w:type="character" w:customStyle="1" w:styleId="CharChar234">
    <w:name w:val="Char Char234"/>
    <w:semiHidden/>
    <w:rPr>
      <w:sz w:val="18"/>
      <w:szCs w:val="18"/>
    </w:rPr>
  </w:style>
  <w:style w:type="character" w:customStyle="1" w:styleId="CharChar57">
    <w:name w:val="Char Char57"/>
    <w:semiHidden/>
    <w:rPr>
      <w:rFonts w:eastAsia="宋体"/>
      <w:sz w:val="24"/>
      <w:szCs w:val="24"/>
      <w:lang w:val="en-US" w:eastAsia="zh-CN" w:bidi="ar-SA"/>
    </w:rPr>
  </w:style>
  <w:style w:type="character" w:customStyle="1" w:styleId="CharChar269">
    <w:name w:val="Char Char269"/>
    <w:semiHidden/>
    <w:rPr>
      <w:rFonts w:eastAsia="宋体"/>
      <w:snapToGrid w:val="0"/>
      <w:sz w:val="24"/>
      <w:szCs w:val="24"/>
      <w:lang w:val="en-US" w:eastAsia="zh-CN" w:bidi="ar-SA"/>
    </w:rPr>
  </w:style>
  <w:style w:type="character" w:customStyle="1" w:styleId="CharChar237">
    <w:name w:val="Char Char237"/>
    <w:semiHidden/>
    <w:rPr>
      <w:sz w:val="18"/>
      <w:szCs w:val="18"/>
    </w:rPr>
  </w:style>
  <w:style w:type="character" w:customStyle="1" w:styleId="CharChar268">
    <w:name w:val="Char Char268"/>
    <w:semiHidden/>
    <w:rPr>
      <w:rFonts w:eastAsia="宋体"/>
      <w:snapToGrid w:val="0"/>
      <w:sz w:val="24"/>
      <w:szCs w:val="24"/>
      <w:lang w:val="en-US" w:eastAsia="zh-CN" w:bidi="ar-SA"/>
    </w:rPr>
  </w:style>
  <w:style w:type="character" w:customStyle="1" w:styleId="HTML10">
    <w:name w:val="HTML 地址 字符1"/>
    <w:semiHidden/>
    <w:rPr>
      <w:i/>
      <w:iCs/>
    </w:rPr>
  </w:style>
  <w:style w:type="character" w:customStyle="1" w:styleId="1ff2">
    <w:name w:val="正文文本 字符1"/>
    <w:aliases w:val="正文文字1 字符,建议书标准 字符,?y????×? 字符,???? 字符,正文文字 字符,Body Text x 字符1,建议书标准 字符1,?y????×? 字符1,???? 字符1,Body Text(ch) 字符1,正文文字 Char Char Char Char 字符1,正文文字 Char Char Char Char Char Char Char 字符1,正文文字 Char Char Char Char Char 字符1,方案 字符"/>
    <w:semiHidden/>
    <w:qFormat/>
  </w:style>
  <w:style w:type="character" w:customStyle="1" w:styleId="005Char">
    <w:name w:val="005正文 Char"/>
    <w:link w:val="005"/>
    <w:qFormat/>
    <w:rPr>
      <w:kern w:val="2"/>
      <w:sz w:val="24"/>
      <w:szCs w:val="22"/>
    </w:rPr>
  </w:style>
  <w:style w:type="paragraph" w:customStyle="1" w:styleId="005">
    <w:name w:val="005正文"/>
    <w:basedOn w:val="a"/>
    <w:link w:val="005Char"/>
    <w:qFormat/>
    <w:pPr>
      <w:widowControl w:val="0"/>
      <w:spacing w:beforeLines="50" w:before="50" w:line="360" w:lineRule="auto"/>
      <w:ind w:firstLineChars="200" w:firstLine="200"/>
      <w:jc w:val="both"/>
    </w:pPr>
    <w:rPr>
      <w:sz w:val="24"/>
      <w:szCs w:val="22"/>
    </w:rPr>
  </w:style>
  <w:style w:type="character" w:customStyle="1" w:styleId="1ff3">
    <w:name w:val="正文文本首行缩进 字符1"/>
    <w:semiHidden/>
    <w:qFormat/>
  </w:style>
  <w:style w:type="character" w:customStyle="1" w:styleId="1ff4">
    <w:name w:val="正文首行缩进 字符1"/>
    <w:uiPriority w:val="99"/>
    <w:semiHidden/>
    <w:qFormat/>
  </w:style>
  <w:style w:type="character" w:customStyle="1" w:styleId="1ff5">
    <w:name w:val="宏文本 字符1"/>
    <w:uiPriority w:val="99"/>
    <w:semiHidden/>
    <w:qFormat/>
    <w:rPr>
      <w:rFonts w:ascii="Courier New" w:eastAsia="宋体" w:hAnsi="Courier New" w:cs="Courier New"/>
      <w:sz w:val="24"/>
      <w:szCs w:val="24"/>
    </w:rPr>
  </w:style>
  <w:style w:type="character" w:customStyle="1" w:styleId="213">
    <w:name w:val="正文文本首行缩进 2 字符1"/>
    <w:uiPriority w:val="99"/>
    <w:semiHidden/>
  </w:style>
  <w:style w:type="character" w:customStyle="1" w:styleId="214">
    <w:name w:val="正文首行缩进 2 字符1"/>
    <w:uiPriority w:val="99"/>
    <w:semiHidden/>
    <w:qFormat/>
    <w:rPr>
      <w:rFonts w:ascii="宋体" w:eastAsia="宋体" w:hAnsi="Times New Roman" w:cs="Times New Roman"/>
      <w:sz w:val="24"/>
      <w:szCs w:val="20"/>
    </w:rPr>
  </w:style>
  <w:style w:type="character" w:customStyle="1" w:styleId="1ff6">
    <w:name w:val="电子邮件签名 字符1"/>
    <w:semiHidden/>
  </w:style>
  <w:style w:type="character" w:customStyle="1" w:styleId="songblack12line251">
    <w:name w:val="song_black12line251"/>
    <w:semiHidden/>
    <w:qFormat/>
    <w:rPr>
      <w:rFonts w:ascii="宋体" w:eastAsia="宋体" w:hAnsi="宋体" w:hint="eastAsia"/>
      <w:strike w:val="0"/>
      <w:dstrike w:val="0"/>
      <w:color w:val="000000"/>
      <w:sz w:val="20"/>
      <w:szCs w:val="20"/>
      <w:u w:val="none"/>
    </w:rPr>
  </w:style>
  <w:style w:type="character" w:customStyle="1" w:styleId="1ff7">
    <w:name w:val="结束语 字符1"/>
    <w:semiHidden/>
    <w:qFormat/>
  </w:style>
  <w:style w:type="character" w:customStyle="1" w:styleId="1ff8">
    <w:name w:val="称呼 字符1"/>
    <w:semiHidden/>
    <w:qFormat/>
  </w:style>
  <w:style w:type="character" w:customStyle="1" w:styleId="1ff9">
    <w:name w:val="尾注文本 字符1"/>
    <w:uiPriority w:val="99"/>
    <w:semiHidden/>
    <w:qFormat/>
  </w:style>
  <w:style w:type="character" w:customStyle="1" w:styleId="1ffa">
    <w:name w:val="签名 字符1"/>
    <w:semiHidden/>
    <w:qFormat/>
  </w:style>
  <w:style w:type="character" w:customStyle="1" w:styleId="HTML11">
    <w:name w:val="HTML 预设格式 字符1"/>
    <w:aliases w:val="HTML 预先格式化 字符,HTML 预设格式1 字符,HTML 预设格式2 字符"/>
    <w:semiHidden/>
    <w:qFormat/>
    <w:rPr>
      <w:rFonts w:ascii="Courier New" w:hAnsi="Courier New" w:cs="Courier New"/>
      <w:sz w:val="20"/>
      <w:szCs w:val="20"/>
    </w:rPr>
  </w:style>
  <w:style w:type="character" w:customStyle="1" w:styleId="1ffb">
    <w:name w:val="标题 字符1"/>
    <w:aliases w:val="t 字符,1级 字符1,标题2级 字符1"/>
    <w:uiPriority w:val="10"/>
    <w:semiHidden/>
    <w:qFormat/>
    <w:rPr>
      <w:rFonts w:ascii="Cambria" w:eastAsia="宋体" w:hAnsi="Cambria" w:cs="Times New Roman"/>
      <w:b/>
      <w:bCs/>
      <w:sz w:val="32"/>
      <w:szCs w:val="32"/>
    </w:rPr>
  </w:style>
  <w:style w:type="character" w:customStyle="1" w:styleId="z-10">
    <w:name w:val="z-窗体底端 字符1"/>
    <w:uiPriority w:val="99"/>
    <w:semiHidden/>
    <w:qFormat/>
    <w:rPr>
      <w:rFonts w:ascii="Arial" w:hAnsi="Arial" w:cs="Arial"/>
      <w:vanish/>
      <w:sz w:val="16"/>
      <w:szCs w:val="16"/>
    </w:rPr>
  </w:style>
  <w:style w:type="character" w:customStyle="1" w:styleId="CharChard">
    <w:name w:val="附注－正文 Char Char"/>
    <w:semiHidden/>
    <w:qFormat/>
    <w:locked/>
    <w:rPr>
      <w:rFonts w:ascii="Times New Roman" w:eastAsia="宋体" w:hAnsi="Times New Roman" w:cs="Times New Roman"/>
      <w:szCs w:val="20"/>
      <w:lang w:val="zh-CN" w:eastAsia="zh-CN"/>
    </w:rPr>
  </w:style>
  <w:style w:type="paragraph" w:customStyle="1" w:styleId="7815">
    <w:name w:val="样式 宋体 小四 段前: 7.8 磅 行距: 1.5 倍行距"/>
    <w:basedOn w:val="a"/>
    <w:uiPriority w:val="99"/>
    <w:semiHidden/>
    <w:qFormat/>
    <w:pPr>
      <w:spacing w:before="156" w:line="360" w:lineRule="auto"/>
      <w:ind w:firstLineChars="200" w:firstLine="480"/>
    </w:pPr>
    <w:rPr>
      <w:szCs w:val="20"/>
    </w:rPr>
  </w:style>
  <w:style w:type="paragraph" w:customStyle="1" w:styleId="CharCharCharChar">
    <w:name w:val="字元 Char Char 字元 Char Char 字元"/>
    <w:basedOn w:val="a"/>
    <w:semiHidden/>
    <w:qFormat/>
    <w:pPr>
      <w:spacing w:beforeLines="50"/>
    </w:pPr>
  </w:style>
  <w:style w:type="paragraph" w:customStyle="1" w:styleId="114">
    <w:name w:val="样式11"/>
    <w:basedOn w:val="a"/>
    <w:next w:val="a"/>
    <w:semiHidden/>
    <w:qFormat/>
    <w:pPr>
      <w:adjustRightInd w:val="0"/>
      <w:spacing w:line="360" w:lineRule="atLeast"/>
      <w:textAlignment w:val="baseline"/>
    </w:pPr>
    <w:rPr>
      <w:rFonts w:hAnsi="宋体"/>
      <w:sz w:val="24"/>
      <w:szCs w:val="20"/>
    </w:rPr>
  </w:style>
  <w:style w:type="paragraph" w:customStyle="1" w:styleId="TOC11">
    <w:name w:val="TOC 标题1"/>
    <w:basedOn w:val="1"/>
    <w:next w:val="a"/>
    <w:uiPriority w:val="39"/>
    <w:semiHidden/>
    <w:qFormat/>
    <w:pPr>
      <w:tabs>
        <w:tab w:val="clear" w:pos="1134"/>
      </w:tabs>
      <w:spacing w:beforeLines="0" w:before="0" w:afterLines="0" w:after="0" w:line="276" w:lineRule="auto"/>
      <w:ind w:left="900" w:firstLineChars="0" w:hanging="420"/>
      <w:jc w:val="left"/>
      <w:outlineLvl w:val="9"/>
    </w:pPr>
    <w:rPr>
      <w:rFonts w:ascii="Cambria" w:hAnsi="Cambria"/>
      <w:color w:val="365F91"/>
      <w:kern w:val="0"/>
      <w:sz w:val="28"/>
      <w:szCs w:val="28"/>
    </w:rPr>
  </w:style>
  <w:style w:type="paragraph" w:customStyle="1" w:styleId="TableHead">
    <w:name w:val="_TableHead"/>
    <w:basedOn w:val="Table0"/>
    <w:uiPriority w:val="99"/>
    <w:semiHidden/>
    <w:qFormat/>
    <w:pPr>
      <w:keepNext/>
      <w:jc w:val="center"/>
    </w:pPr>
    <w:rPr>
      <w:b/>
      <w:color w:val="000080"/>
      <w:sz w:val="20"/>
    </w:rPr>
  </w:style>
  <w:style w:type="paragraph" w:customStyle="1" w:styleId="CharCharChar1CharCharCharCharCharCharCharCharChar9">
    <w:name w:val="Char Char Char1 Char Char Char Char Char Char Char Char Char9"/>
    <w:basedOn w:val="a"/>
    <w:semiHidden/>
    <w:qFormat/>
    <w:pPr>
      <w:autoSpaceDE w:val="0"/>
      <w:autoSpaceDN w:val="0"/>
      <w:adjustRightInd w:val="0"/>
    </w:pPr>
    <w:rPr>
      <w:rFonts w:ascii="Tahoma" w:hAnsi="Tahoma"/>
      <w:szCs w:val="20"/>
    </w:rPr>
  </w:style>
  <w:style w:type="paragraph" w:customStyle="1" w:styleId="CharCharCharCharChar1CharCharCharCharCharCharCharCharCharCharCharChar">
    <w:name w:val="Char Char Char Char Char1 Char Char Char Char Char Char Char Char Char Char Char Char"/>
    <w:basedOn w:val="a"/>
    <w:semiHidden/>
    <w:qFormat/>
    <w:pPr>
      <w:spacing w:after="160" w:line="240" w:lineRule="exact"/>
    </w:pPr>
    <w:rPr>
      <w:rFonts w:ascii="Verdana" w:eastAsia="Times New Roman" w:hAnsi="Verdana"/>
      <w:sz w:val="20"/>
      <w:szCs w:val="20"/>
      <w:lang w:eastAsia="en-US"/>
    </w:rPr>
  </w:style>
  <w:style w:type="paragraph" w:customStyle="1" w:styleId="67">
    <w:name w:val="字元 字元6"/>
    <w:basedOn w:val="a"/>
    <w:semiHidden/>
    <w:qFormat/>
    <w:pPr>
      <w:autoSpaceDE w:val="0"/>
      <w:autoSpaceDN w:val="0"/>
      <w:adjustRightInd w:val="0"/>
      <w:spacing w:after="160" w:line="240" w:lineRule="exact"/>
    </w:pPr>
    <w:rPr>
      <w:rFonts w:eastAsia="Times New Roman"/>
      <w:sz w:val="20"/>
      <w:szCs w:val="20"/>
    </w:rPr>
  </w:style>
  <w:style w:type="paragraph" w:customStyle="1" w:styleId="Char1CharCharChar2">
    <w:name w:val="Char1 Char Char Char2"/>
    <w:basedOn w:val="a"/>
    <w:semiHidden/>
    <w:qFormat/>
    <w:pPr>
      <w:autoSpaceDE w:val="0"/>
      <w:autoSpaceDN w:val="0"/>
      <w:adjustRightInd w:val="0"/>
      <w:spacing w:after="160" w:line="240" w:lineRule="exact"/>
    </w:pPr>
    <w:rPr>
      <w:rFonts w:ascii="Verdana" w:eastAsia="Times New Roman" w:hAnsi="Verdana"/>
      <w:sz w:val="20"/>
      <w:szCs w:val="20"/>
      <w:lang w:eastAsia="en-US"/>
    </w:rPr>
  </w:style>
  <w:style w:type="paragraph" w:customStyle="1" w:styleId="CharCharCharChar18">
    <w:name w:val="Char Char Char Char18"/>
    <w:basedOn w:val="a"/>
    <w:semiHidden/>
    <w:qFormat/>
    <w:pPr>
      <w:spacing w:after="160" w:line="240" w:lineRule="exact"/>
    </w:pPr>
    <w:rPr>
      <w:rFonts w:ascii="Tahoma" w:hAnsi="Tahoma"/>
      <w:sz w:val="20"/>
      <w:szCs w:val="20"/>
      <w:lang w:eastAsia="en-US"/>
    </w:rPr>
  </w:style>
  <w:style w:type="paragraph" w:customStyle="1" w:styleId="140">
    <w:name w:val="1标题4"/>
    <w:basedOn w:val="a"/>
    <w:semiHidden/>
    <w:qFormat/>
    <w:pPr>
      <w:spacing w:beforeLines="50" w:line="360" w:lineRule="auto"/>
      <w:ind w:firstLineChars="200" w:firstLine="480"/>
    </w:pPr>
    <w:rPr>
      <w:color w:val="000000"/>
      <w:lang w:val="zh-CN"/>
    </w:rPr>
  </w:style>
  <w:style w:type="paragraph" w:customStyle="1" w:styleId="affffffff4">
    <w:name w:val="表头"/>
    <w:basedOn w:val="a"/>
    <w:link w:val="Charffff1"/>
    <w:semiHidden/>
    <w:qFormat/>
    <w:pPr>
      <w:spacing w:before="60" w:after="60" w:line="360" w:lineRule="auto"/>
      <w:ind w:firstLineChars="100" w:firstLine="241"/>
      <w:jc w:val="center"/>
    </w:pPr>
    <w:rPr>
      <w:b/>
      <w:bCs/>
    </w:rPr>
  </w:style>
  <w:style w:type="character" w:customStyle="1" w:styleId="Charffff1">
    <w:name w:val="表头 Char"/>
    <w:link w:val="affffffff4"/>
    <w:semiHidden/>
    <w:qFormat/>
    <w:rPr>
      <w:b/>
      <w:bCs/>
      <w:kern w:val="2"/>
      <w:sz w:val="21"/>
      <w:szCs w:val="21"/>
    </w:rPr>
  </w:style>
  <w:style w:type="paragraph" w:customStyle="1" w:styleId="f9pt">
    <w:name w:val="f9pt"/>
    <w:basedOn w:val="a"/>
    <w:semiHidden/>
    <w:qFormat/>
    <w:pPr>
      <w:spacing w:beforeAutospacing="1" w:after="100" w:afterAutospacing="1" w:line="396" w:lineRule="auto"/>
    </w:pPr>
    <w:rPr>
      <w:sz w:val="18"/>
      <w:szCs w:val="18"/>
    </w:rPr>
  </w:style>
  <w:style w:type="paragraph" w:customStyle="1" w:styleId="CharChar1CharCharCharCharCharCharCharCharCharCharCharCharChar1CharCharCharCharCharCharCharCharCharCharCharCharCharChar1CharCharCharCharCharCharCharCharCharCharCharChar1CharCharCharCharCharChar11">
    <w:name w:val="Char Char1 Char Char Char Char Char Char Char Char Char Char Char Char Char1 Char Char Char Char Char Char Char Char Char Char Char Char Char Char1 Char Char Char Char Char Char Char Char Char Char Char Char1 Char Char Char Char Char Char11"/>
    <w:basedOn w:val="a"/>
    <w:semiHidden/>
    <w:qFormat/>
    <w:pPr>
      <w:autoSpaceDE w:val="0"/>
      <w:autoSpaceDN w:val="0"/>
      <w:adjustRightInd w:val="0"/>
      <w:spacing w:after="160" w:line="240" w:lineRule="exact"/>
    </w:pPr>
    <w:rPr>
      <w:rFonts w:ascii="Verdana" w:eastAsia="Times New Roman" w:hAnsi="Verdana"/>
      <w:sz w:val="20"/>
      <w:szCs w:val="20"/>
      <w:lang w:eastAsia="en-US"/>
    </w:rPr>
  </w:style>
  <w:style w:type="paragraph" w:customStyle="1" w:styleId="3f6">
    <w:name w:val="样式 样式 标题3 + (符号) 宋体 黑色 + (符号) 宋体"/>
    <w:basedOn w:val="a"/>
    <w:semiHidden/>
    <w:qFormat/>
    <w:pPr>
      <w:snapToGrid w:val="0"/>
      <w:spacing w:line="440" w:lineRule="atLeast"/>
      <w:ind w:firstLine="454"/>
      <w:outlineLvl w:val="2"/>
    </w:pPr>
    <w:rPr>
      <w:b/>
      <w:bCs/>
      <w:color w:val="000000"/>
      <w:szCs w:val="20"/>
    </w:rPr>
  </w:style>
  <w:style w:type="paragraph" w:customStyle="1" w:styleId="93">
    <w:name w:val="字元9"/>
    <w:basedOn w:val="a"/>
    <w:semiHidden/>
    <w:qFormat/>
    <w:pPr>
      <w:autoSpaceDE w:val="0"/>
      <w:autoSpaceDN w:val="0"/>
      <w:adjustRightInd w:val="0"/>
      <w:spacing w:beforeLines="50"/>
    </w:pPr>
  </w:style>
  <w:style w:type="paragraph" w:customStyle="1" w:styleId="CharChar30CharCharCharCharCharCharCharCharCharCharCharChar">
    <w:name w:val="Char Char30 Char Char Char Char Char Char Char Char Char Char Char Char"/>
    <w:basedOn w:val="a"/>
    <w:semiHidden/>
    <w:qFormat/>
    <w:pPr>
      <w:spacing w:after="160" w:line="240" w:lineRule="exact"/>
    </w:pPr>
    <w:rPr>
      <w:rFonts w:ascii="Verdana" w:eastAsia="Times New Roman" w:hAnsi="Verdana"/>
      <w:sz w:val="20"/>
      <w:szCs w:val="20"/>
      <w:lang w:eastAsia="en-US"/>
    </w:rPr>
  </w:style>
  <w:style w:type="paragraph" w:customStyle="1" w:styleId="affffffff5">
    <w:name w:val="项目编号"/>
    <w:basedOn w:val="a"/>
    <w:next w:val="affffffff6"/>
    <w:semiHidden/>
    <w:qFormat/>
    <w:pPr>
      <w:spacing w:before="120" w:after="120" w:line="360" w:lineRule="auto"/>
    </w:pPr>
    <w:rPr>
      <w:szCs w:val="20"/>
    </w:rPr>
  </w:style>
  <w:style w:type="paragraph" w:customStyle="1" w:styleId="affffffff6">
    <w:name w:val="项目编号文字"/>
    <w:basedOn w:val="a"/>
    <w:next w:val="a8"/>
    <w:semiHidden/>
    <w:qFormat/>
    <w:pPr>
      <w:spacing w:before="120" w:after="120" w:line="360" w:lineRule="auto"/>
      <w:ind w:left="1077"/>
    </w:pPr>
    <w:rPr>
      <w:szCs w:val="20"/>
    </w:rPr>
  </w:style>
  <w:style w:type="paragraph" w:customStyle="1" w:styleId="2ff1">
    <w:name w:val="审计报告2级"/>
    <w:basedOn w:val="a"/>
    <w:semiHidden/>
    <w:qFormat/>
    <w:pPr>
      <w:snapToGrid w:val="0"/>
      <w:spacing w:before="240" w:after="240" w:line="360" w:lineRule="exact"/>
      <w:ind w:left="900"/>
      <w:outlineLvl w:val="1"/>
    </w:pPr>
    <w:rPr>
      <w:b/>
      <w:color w:val="0000FF"/>
      <w:szCs w:val="20"/>
    </w:rPr>
  </w:style>
  <w:style w:type="paragraph" w:customStyle="1" w:styleId="CharCharChar5">
    <w:name w:val="Char Char Char5"/>
    <w:basedOn w:val="a"/>
    <w:semiHidden/>
    <w:qFormat/>
    <w:pPr>
      <w:tabs>
        <w:tab w:val="left" w:pos="720"/>
      </w:tabs>
      <w:ind w:left="720" w:hanging="720"/>
    </w:pPr>
  </w:style>
  <w:style w:type="paragraph" w:customStyle="1" w:styleId="affffffff7">
    <w:name w:val="正文五"/>
    <w:basedOn w:val="a"/>
    <w:semiHidden/>
    <w:qFormat/>
    <w:pPr>
      <w:snapToGrid w:val="0"/>
      <w:jc w:val="center"/>
    </w:pPr>
    <w:rPr>
      <w:szCs w:val="28"/>
    </w:rPr>
  </w:style>
  <w:style w:type="paragraph" w:customStyle="1" w:styleId="009">
    <w:name w:val="009单位"/>
    <w:link w:val="009Char"/>
    <w:qFormat/>
    <w:pPr>
      <w:keepNext/>
      <w:jc w:val="right"/>
    </w:pPr>
    <w:rPr>
      <w:kern w:val="2"/>
      <w:sz w:val="21"/>
      <w:szCs w:val="22"/>
    </w:rPr>
  </w:style>
  <w:style w:type="character" w:customStyle="1" w:styleId="009Char">
    <w:name w:val="009单位 Char"/>
    <w:link w:val="009"/>
    <w:rPr>
      <w:kern w:val="2"/>
      <w:sz w:val="21"/>
      <w:szCs w:val="22"/>
    </w:rPr>
  </w:style>
  <w:style w:type="paragraph" w:customStyle="1" w:styleId="CM2">
    <w:name w:val="CM2"/>
    <w:basedOn w:val="Default"/>
    <w:next w:val="Default"/>
    <w:semiHidden/>
    <w:qFormat/>
    <w:rPr>
      <w:rFonts w:ascii="隶书" w:eastAsia="隶书" w:cs="Times New Roman"/>
      <w:color w:val="auto"/>
    </w:rPr>
  </w:style>
  <w:style w:type="paragraph" w:customStyle="1" w:styleId="1ffc">
    <w:name w:val="字元1"/>
    <w:basedOn w:val="a"/>
    <w:uiPriority w:val="99"/>
    <w:semiHidden/>
    <w:qFormat/>
    <w:pPr>
      <w:autoSpaceDE w:val="0"/>
      <w:autoSpaceDN w:val="0"/>
      <w:adjustRightInd w:val="0"/>
      <w:spacing w:beforeLines="50"/>
    </w:pPr>
  </w:style>
  <w:style w:type="paragraph" w:customStyle="1" w:styleId="CharChar21">
    <w:name w:val="Char Char 字元2"/>
    <w:basedOn w:val="a"/>
    <w:semiHidden/>
    <w:qFormat/>
    <w:pPr>
      <w:autoSpaceDE w:val="0"/>
      <w:autoSpaceDN w:val="0"/>
      <w:adjustRightInd w:val="0"/>
      <w:spacing w:before="50"/>
    </w:pPr>
    <w:rPr>
      <w:szCs w:val="20"/>
    </w:rPr>
  </w:style>
  <w:style w:type="paragraph" w:customStyle="1" w:styleId="h160bk1">
    <w:name w:val="h160bk1"/>
    <w:basedOn w:val="a"/>
    <w:semiHidden/>
    <w:qFormat/>
    <w:pPr>
      <w:spacing w:before="100" w:beforeAutospacing="1" w:after="100" w:afterAutospacing="1"/>
    </w:pPr>
  </w:style>
  <w:style w:type="paragraph" w:customStyle="1" w:styleId="160">
    <w:name w:val="样式16"/>
    <w:basedOn w:val="141"/>
    <w:semiHidden/>
    <w:qFormat/>
    <w:pPr>
      <w:ind w:firstLine="480"/>
    </w:pPr>
  </w:style>
  <w:style w:type="paragraph" w:customStyle="1" w:styleId="141">
    <w:name w:val="样式14"/>
    <w:basedOn w:val="130"/>
    <w:semiHidden/>
    <w:qFormat/>
    <w:pPr>
      <w:spacing w:before="60" w:line="500" w:lineRule="exact"/>
      <w:ind w:firstLineChars="200" w:firstLine="200"/>
      <w:jc w:val="both"/>
    </w:pPr>
    <w:rPr>
      <w:rFonts w:ascii="Times New Roman" w:hAnsi="Times New Roman"/>
      <w:color w:val="000000"/>
      <w:sz w:val="24"/>
      <w:szCs w:val="24"/>
    </w:rPr>
  </w:style>
  <w:style w:type="paragraph" w:customStyle="1" w:styleId="130">
    <w:name w:val="样式13"/>
    <w:basedOn w:val="2c"/>
    <w:semiHidden/>
    <w:qFormat/>
    <w:pPr>
      <w:tabs>
        <w:tab w:val="left" w:pos="1080"/>
      </w:tabs>
      <w:spacing w:after="0" w:line="240" w:lineRule="auto"/>
      <w:ind w:firstLine="210"/>
      <w:jc w:val="center"/>
    </w:pPr>
    <w:rPr>
      <w:rFonts w:ascii="宋体" w:hAnsi="宋体"/>
    </w:rPr>
  </w:style>
  <w:style w:type="paragraph" w:customStyle="1" w:styleId="CharChar1Char11">
    <w:name w:val="Char Char1 Char11"/>
    <w:basedOn w:val="a"/>
    <w:semiHidden/>
    <w:qFormat/>
    <w:pPr>
      <w:spacing w:after="160" w:line="240" w:lineRule="exact"/>
    </w:pPr>
    <w:rPr>
      <w:rFonts w:ascii="Verdana" w:eastAsia="Times New Roman" w:hAnsi="Verdana"/>
      <w:sz w:val="20"/>
      <w:szCs w:val="20"/>
      <w:lang w:eastAsia="en-US"/>
    </w:rPr>
  </w:style>
  <w:style w:type="paragraph" w:customStyle="1" w:styleId="ST201">
    <w:name w:val="ST20_1"/>
    <w:basedOn w:val="a"/>
    <w:semiHidden/>
    <w:qFormat/>
    <w:pPr>
      <w:autoSpaceDE w:val="0"/>
      <w:autoSpaceDN w:val="0"/>
      <w:adjustRightInd w:val="0"/>
      <w:spacing w:line="312" w:lineRule="atLeast"/>
      <w:jc w:val="center"/>
      <w:textAlignment w:val="baseline"/>
    </w:pPr>
    <w:rPr>
      <w:rFonts w:hAnsi="Tms Rmn"/>
      <w:szCs w:val="20"/>
    </w:rPr>
  </w:style>
  <w:style w:type="paragraph" w:customStyle="1" w:styleId="Char113">
    <w:name w:val="Char113"/>
    <w:basedOn w:val="a"/>
    <w:semiHidden/>
    <w:qFormat/>
    <w:rPr>
      <w:rFonts w:ascii="Tahoma" w:hAnsi="Tahoma"/>
      <w:szCs w:val="20"/>
    </w:rPr>
  </w:style>
  <w:style w:type="paragraph" w:customStyle="1" w:styleId="76">
    <w:name w:val="正文7"/>
    <w:link w:val="Char23"/>
    <w:semiHidden/>
    <w:qFormat/>
    <w:pPr>
      <w:widowControl w:val="0"/>
      <w:adjustRightInd w:val="0"/>
      <w:spacing w:line="360" w:lineRule="atLeast"/>
      <w:jc w:val="both"/>
      <w:textAlignment w:val="baseline"/>
    </w:pPr>
    <w:rPr>
      <w:rFonts w:ascii="宋体"/>
      <w:sz w:val="24"/>
    </w:rPr>
  </w:style>
  <w:style w:type="character" w:customStyle="1" w:styleId="Char23">
    <w:name w:val="正文 Char2"/>
    <w:link w:val="76"/>
    <w:semiHidden/>
    <w:qFormat/>
    <w:rPr>
      <w:rFonts w:ascii="宋体"/>
      <w:sz w:val="24"/>
    </w:rPr>
  </w:style>
  <w:style w:type="paragraph" w:customStyle="1" w:styleId="Legal2L1">
    <w:name w:val="Legal2_L1"/>
    <w:basedOn w:val="a"/>
    <w:semiHidden/>
    <w:qFormat/>
    <w:pPr>
      <w:spacing w:line="360" w:lineRule="auto"/>
    </w:pPr>
    <w:rPr>
      <w:color w:val="0000FF"/>
      <w:u w:val="single"/>
    </w:rPr>
  </w:style>
  <w:style w:type="paragraph" w:customStyle="1" w:styleId="CharChar3CharChar8">
    <w:name w:val="Char Char3 Char Char8"/>
    <w:basedOn w:val="a"/>
    <w:semiHidden/>
    <w:qFormat/>
    <w:pPr>
      <w:spacing w:after="160" w:line="240" w:lineRule="exact"/>
    </w:pPr>
    <w:rPr>
      <w:rFonts w:ascii="Verdana" w:hAnsi="Verdana" w:cs="Verdana"/>
      <w:sz w:val="20"/>
      <w:szCs w:val="20"/>
      <w:lang w:eastAsia="en-US"/>
    </w:rPr>
  </w:style>
  <w:style w:type="paragraph" w:customStyle="1" w:styleId="TableSuperHead">
    <w:name w:val="_TableSuperHead"/>
    <w:basedOn w:val="TableHead"/>
    <w:uiPriority w:val="99"/>
    <w:semiHidden/>
    <w:qFormat/>
    <w:pPr>
      <w:pBdr>
        <w:bottom w:val="single" w:sz="8" w:space="1" w:color="000080"/>
      </w:pBdr>
    </w:pPr>
  </w:style>
  <w:style w:type="paragraph" w:customStyle="1" w:styleId="CharChar4CharCharCharCharCharCharChar1">
    <w:name w:val="Char Char4 Char Char Char Char Char Char Char1"/>
    <w:basedOn w:val="a"/>
    <w:semiHidden/>
    <w:qFormat/>
    <w:pPr>
      <w:spacing w:after="160" w:line="240" w:lineRule="exact"/>
    </w:pPr>
    <w:rPr>
      <w:rFonts w:ascii="Verdana" w:hAnsi="Verdana" w:cs="Verdana"/>
      <w:sz w:val="20"/>
      <w:szCs w:val="20"/>
      <w:lang w:eastAsia="en-US"/>
    </w:rPr>
  </w:style>
  <w:style w:type="paragraph" w:customStyle="1" w:styleId="CM100">
    <w:name w:val="CM100"/>
    <w:basedOn w:val="Default"/>
    <w:next w:val="Default"/>
    <w:semiHidden/>
    <w:qFormat/>
    <w:pPr>
      <w:spacing w:after="145"/>
    </w:pPr>
    <w:rPr>
      <w:rFonts w:ascii="黑体" w:eastAsia="黑体" w:cs="Times New Roman"/>
      <w:color w:val="auto"/>
      <w:szCs w:val="20"/>
    </w:rPr>
  </w:style>
  <w:style w:type="paragraph" w:customStyle="1" w:styleId="xl123">
    <w:name w:val="xl123"/>
    <w:basedOn w:val="a"/>
    <w:semiHidden/>
    <w:qFormat/>
    <w:pPr>
      <w:pBdr>
        <w:left w:val="single" w:sz="8" w:space="0" w:color="auto"/>
        <w:bottom w:val="single" w:sz="8" w:space="0" w:color="auto"/>
        <w:right w:val="single" w:sz="8" w:space="0" w:color="auto"/>
      </w:pBdr>
      <w:spacing w:before="100" w:beforeAutospacing="1" w:after="100" w:afterAutospacing="1"/>
    </w:pPr>
    <w:rPr>
      <w:color w:val="000000"/>
      <w:sz w:val="18"/>
      <w:szCs w:val="18"/>
    </w:rPr>
  </w:style>
  <w:style w:type="paragraph" w:customStyle="1" w:styleId="xl630">
    <w:name w:val="xl630"/>
    <w:basedOn w:val="a"/>
    <w:semiHidden/>
    <w:qFormat/>
    <w:pPr>
      <w:spacing w:before="100" w:beforeAutospacing="1" w:after="100" w:afterAutospacing="1"/>
      <w:jc w:val="right"/>
    </w:pPr>
    <w:rPr>
      <w:color w:val="000000"/>
      <w:sz w:val="15"/>
      <w:szCs w:val="15"/>
    </w:rPr>
  </w:style>
  <w:style w:type="paragraph" w:customStyle="1" w:styleId="affffffff8">
    <w:name w:val="表图题"/>
    <w:basedOn w:val="a"/>
    <w:semiHidden/>
    <w:qFormat/>
    <w:pPr>
      <w:spacing w:line="440" w:lineRule="exact"/>
      <w:jc w:val="center"/>
    </w:pPr>
    <w:rPr>
      <w:rFonts w:eastAsia="华文细黑"/>
      <w:b/>
      <w:szCs w:val="28"/>
    </w:rPr>
  </w:style>
  <w:style w:type="paragraph" w:customStyle="1" w:styleId="BOCI">
    <w:name w:val="BOCI正文"/>
    <w:basedOn w:val="a"/>
    <w:semiHidden/>
    <w:qFormat/>
    <w:pPr>
      <w:spacing w:line="360" w:lineRule="auto"/>
      <w:ind w:firstLineChars="200" w:firstLine="480"/>
    </w:pPr>
    <w:rPr>
      <w:szCs w:val="20"/>
    </w:rPr>
  </w:style>
  <w:style w:type="paragraph" w:customStyle="1" w:styleId="StyleLevel1AsianSimHei12ptCentered">
    <w:name w:val="Style Level 1 + (Asian) SimHei 12 pt Centered"/>
    <w:basedOn w:val="a"/>
    <w:semiHidden/>
    <w:qFormat/>
    <w:pPr>
      <w:keepNext/>
      <w:tabs>
        <w:tab w:val="left" w:pos="851"/>
      </w:tabs>
      <w:spacing w:before="280" w:after="140" w:line="288" w:lineRule="auto"/>
      <w:ind w:left="851" w:hanging="851"/>
      <w:jc w:val="center"/>
      <w:outlineLvl w:val="0"/>
    </w:pPr>
    <w:rPr>
      <w:rFonts w:ascii="Arial" w:eastAsia="黑体" w:hAnsi="Arial"/>
      <w:b/>
      <w:bCs/>
      <w:kern w:val="20"/>
      <w:szCs w:val="20"/>
      <w:lang w:val="en-GB" w:eastAsia="en-US"/>
    </w:rPr>
  </w:style>
  <w:style w:type="paragraph" w:customStyle="1" w:styleId="affffffff9">
    <w:name w:val="表格左"/>
    <w:basedOn w:val="a"/>
    <w:semiHidden/>
    <w:qFormat/>
    <w:pPr>
      <w:adjustRightInd w:val="0"/>
      <w:snapToGrid w:val="0"/>
      <w:textAlignment w:val="bottom"/>
    </w:pPr>
    <w:rPr>
      <w:szCs w:val="20"/>
    </w:rPr>
  </w:style>
  <w:style w:type="paragraph" w:customStyle="1" w:styleId="170">
    <w:name w:val="列出段落17"/>
    <w:basedOn w:val="a"/>
    <w:semiHidden/>
    <w:qFormat/>
    <w:pPr>
      <w:ind w:left="720"/>
    </w:pPr>
  </w:style>
  <w:style w:type="paragraph" w:customStyle="1" w:styleId="similarquerysuggesthover">
    <w:name w:val="similarquerysuggest_hover"/>
    <w:basedOn w:val="a"/>
    <w:semiHidden/>
    <w:qFormat/>
    <w:pPr>
      <w:spacing w:beforeAutospacing="1" w:after="100" w:afterAutospacing="1"/>
    </w:pPr>
  </w:style>
  <w:style w:type="paragraph" w:customStyle="1" w:styleId="xu0">
    <w:name w:val="xu扉日期"/>
    <w:basedOn w:val="xuENFI"/>
    <w:semiHidden/>
    <w:qFormat/>
    <w:rPr>
      <w:rFonts w:ascii="宋体"/>
      <w:szCs w:val="36"/>
    </w:rPr>
  </w:style>
  <w:style w:type="paragraph" w:customStyle="1" w:styleId="xuENFI">
    <w:name w:val="xu扉ENFI"/>
    <w:basedOn w:val="a"/>
    <w:semiHidden/>
    <w:qFormat/>
    <w:pPr>
      <w:jc w:val="center"/>
    </w:pPr>
    <w:rPr>
      <w:sz w:val="36"/>
      <w:szCs w:val="20"/>
    </w:rPr>
  </w:style>
  <w:style w:type="paragraph" w:customStyle="1" w:styleId="xl93">
    <w:name w:val="xl93"/>
    <w:basedOn w:val="a"/>
    <w:semiHidden/>
    <w:qFormat/>
    <w:pPr>
      <w:pBdr>
        <w:top w:val="single" w:sz="4" w:space="0" w:color="auto"/>
        <w:left w:val="single" w:sz="4" w:space="0" w:color="auto"/>
        <w:right w:val="single" w:sz="4" w:space="0" w:color="auto"/>
      </w:pBdr>
      <w:spacing w:before="100" w:beforeAutospacing="1" w:after="100" w:afterAutospacing="1"/>
      <w:jc w:val="center"/>
    </w:pPr>
    <w:rPr>
      <w:rFonts w:ascii="仿宋_GB2312" w:eastAsia="仿宋_GB2312"/>
      <w:b/>
      <w:bCs/>
      <w:sz w:val="20"/>
      <w:szCs w:val="20"/>
    </w:rPr>
  </w:style>
  <w:style w:type="paragraph" w:customStyle="1" w:styleId="affffffffa">
    <w:name w:val="表格单位说明"/>
    <w:basedOn w:val="affffffffb"/>
    <w:link w:val="Charffff2"/>
    <w:uiPriority w:val="1"/>
    <w:semiHidden/>
    <w:qFormat/>
    <w:pPr>
      <w:adjustRightInd/>
      <w:snapToGrid/>
      <w:jc w:val="right"/>
    </w:pPr>
    <w:rPr>
      <w:kern w:val="0"/>
      <w:szCs w:val="21"/>
    </w:rPr>
  </w:style>
  <w:style w:type="paragraph" w:customStyle="1" w:styleId="affffffffb">
    <w:name w:val="表格文字"/>
    <w:basedOn w:val="a"/>
    <w:link w:val="Charffff3"/>
    <w:uiPriority w:val="99"/>
    <w:semiHidden/>
    <w:qFormat/>
    <w:pPr>
      <w:adjustRightInd w:val="0"/>
      <w:snapToGrid w:val="0"/>
      <w:jc w:val="center"/>
    </w:pPr>
    <w:rPr>
      <w:szCs w:val="20"/>
    </w:rPr>
  </w:style>
  <w:style w:type="character" w:customStyle="1" w:styleId="Charffff3">
    <w:name w:val="表格文字 Char"/>
    <w:link w:val="affffffffb"/>
    <w:uiPriority w:val="99"/>
    <w:semiHidden/>
    <w:qFormat/>
    <w:rPr>
      <w:kern w:val="2"/>
      <w:sz w:val="21"/>
    </w:rPr>
  </w:style>
  <w:style w:type="character" w:customStyle="1" w:styleId="Charffff2">
    <w:name w:val="表格单位说明 Char"/>
    <w:link w:val="affffffffa"/>
    <w:uiPriority w:val="1"/>
    <w:semiHidden/>
    <w:rPr>
      <w:sz w:val="21"/>
      <w:szCs w:val="21"/>
    </w:rPr>
  </w:style>
  <w:style w:type="paragraph" w:customStyle="1" w:styleId="250">
    <w:name w:val="正文文本缩进 25"/>
    <w:basedOn w:val="a"/>
    <w:semiHidden/>
    <w:qFormat/>
    <w:pPr>
      <w:adjustRightInd w:val="0"/>
      <w:spacing w:line="300" w:lineRule="auto"/>
      <w:ind w:firstLine="540"/>
      <w:textAlignment w:val="baseline"/>
    </w:pPr>
    <w:rPr>
      <w:rFonts w:ascii="仿宋_GB2312" w:eastAsia="仿宋_GB2312"/>
      <w:szCs w:val="20"/>
    </w:rPr>
  </w:style>
  <w:style w:type="paragraph" w:customStyle="1" w:styleId="120">
    <w:name w:val="样式12"/>
    <w:basedOn w:val="a"/>
    <w:link w:val="12Char"/>
    <w:uiPriority w:val="99"/>
    <w:semiHidden/>
    <w:qFormat/>
    <w:pPr>
      <w:autoSpaceDE w:val="0"/>
      <w:autoSpaceDN w:val="0"/>
      <w:adjustRightInd w:val="0"/>
      <w:spacing w:line="360" w:lineRule="atLeast"/>
      <w:textAlignment w:val="baseline"/>
    </w:pPr>
    <w:rPr>
      <w:color w:val="000000"/>
      <w:sz w:val="24"/>
      <w:szCs w:val="20"/>
      <w:lang w:val="zh-CN"/>
    </w:rPr>
  </w:style>
  <w:style w:type="character" w:customStyle="1" w:styleId="12Char">
    <w:name w:val="样式12 Char"/>
    <w:link w:val="120"/>
    <w:uiPriority w:val="99"/>
    <w:semiHidden/>
    <w:qFormat/>
    <w:rPr>
      <w:color w:val="000000"/>
      <w:kern w:val="2"/>
      <w:sz w:val="24"/>
      <w:lang w:val="zh-CN"/>
    </w:rPr>
  </w:style>
  <w:style w:type="paragraph" w:customStyle="1" w:styleId="4b">
    <w:name w:val="标题的4"/>
    <w:basedOn w:val="8"/>
    <w:semiHidden/>
    <w:qFormat/>
    <w:pPr>
      <w:widowControl w:val="0"/>
      <w:numPr>
        <w:ilvl w:val="0"/>
        <w:numId w:val="0"/>
      </w:numPr>
      <w:tabs>
        <w:tab w:val="left" w:pos="3969"/>
      </w:tabs>
      <w:spacing w:beforeLines="0" w:before="156" w:afterLines="0" w:after="156"/>
      <w:ind w:left="3969" w:hanging="1134"/>
      <w:jc w:val="left"/>
    </w:pPr>
    <w:rPr>
      <w:rFonts w:ascii="Arial" w:eastAsia="宋体" w:hAnsi="Arial"/>
      <w:b/>
      <w:kern w:val="0"/>
      <w:lang w:val="zh-CN"/>
    </w:rPr>
  </w:style>
  <w:style w:type="paragraph" w:customStyle="1" w:styleId="100">
    <w:name w:val="样式10"/>
    <w:basedOn w:val="a"/>
    <w:link w:val="10Char"/>
    <w:uiPriority w:val="99"/>
    <w:semiHidden/>
    <w:qFormat/>
    <w:pPr>
      <w:adjustRightInd w:val="0"/>
      <w:spacing w:line="360" w:lineRule="atLeast"/>
      <w:textAlignment w:val="baseline"/>
    </w:pPr>
    <w:rPr>
      <w:sz w:val="24"/>
      <w:szCs w:val="20"/>
    </w:rPr>
  </w:style>
  <w:style w:type="character" w:customStyle="1" w:styleId="10Char">
    <w:name w:val="样式10 Char"/>
    <w:link w:val="100"/>
    <w:uiPriority w:val="99"/>
    <w:semiHidden/>
    <w:qFormat/>
    <w:rPr>
      <w:kern w:val="2"/>
      <w:sz w:val="24"/>
    </w:rPr>
  </w:style>
  <w:style w:type="paragraph" w:customStyle="1" w:styleId="CharCharCharCharCharCharCharCharChar8">
    <w:name w:val="Char Char Char Char Char Char Char Char Char8"/>
    <w:basedOn w:val="a"/>
    <w:uiPriority w:val="99"/>
    <w:semiHidden/>
    <w:qFormat/>
    <w:pPr>
      <w:tabs>
        <w:tab w:val="left" w:pos="840"/>
      </w:tabs>
      <w:ind w:left="840" w:hanging="360"/>
    </w:pPr>
  </w:style>
  <w:style w:type="paragraph" w:customStyle="1" w:styleId="4567890">
    <w:name w:val="4567890"/>
    <w:basedOn w:val="a"/>
    <w:semiHidden/>
    <w:qFormat/>
    <w:pPr>
      <w:ind w:left="-92" w:right="-2"/>
      <w:jc w:val="center"/>
    </w:pPr>
    <w:rPr>
      <w:b/>
      <w:bCs/>
      <w:caps/>
    </w:rPr>
  </w:style>
  <w:style w:type="paragraph" w:customStyle="1" w:styleId="CharChar1CharCharCharCharCharCharCharCharCharCharCharCharCharCharCharCharCharCharCharCharCharCharCharCharCharCharCharCharCharCharCharCharCharCharCharCharCharChar17">
    <w:name w:val="Char Char1 Char Char Char Char Char Char Char Char Char Char Char Char Char Char Char Char Char Char Char Char Char Char Char Char Char Char Char Char Char Char Char Char Char Char Char Char Char Char17"/>
    <w:basedOn w:val="a"/>
    <w:semiHidden/>
    <w:qFormat/>
    <w:pPr>
      <w:spacing w:after="160" w:line="240" w:lineRule="exact"/>
    </w:pPr>
    <w:rPr>
      <w:rFonts w:ascii="Verdana" w:eastAsia="Times New Roman" w:hAnsi="Verdana" w:cs="Arial"/>
      <w:sz w:val="22"/>
      <w:szCs w:val="20"/>
      <w:lang w:eastAsia="en-US"/>
    </w:rPr>
  </w:style>
  <w:style w:type="paragraph" w:customStyle="1" w:styleId="CM76">
    <w:name w:val="CM76"/>
    <w:basedOn w:val="Default"/>
    <w:next w:val="Default"/>
    <w:semiHidden/>
    <w:qFormat/>
    <w:pPr>
      <w:spacing w:line="233" w:lineRule="atLeast"/>
    </w:pPr>
    <w:rPr>
      <w:rFonts w:ascii="隶书" w:eastAsia="隶书" w:cs="Times New Roman"/>
      <w:color w:val="auto"/>
    </w:rPr>
  </w:style>
  <w:style w:type="paragraph" w:customStyle="1" w:styleId="CharChar1Char7">
    <w:name w:val="Char Char1 Char7"/>
    <w:basedOn w:val="a"/>
    <w:semiHidden/>
    <w:qFormat/>
    <w:pPr>
      <w:spacing w:after="160" w:line="240" w:lineRule="exact"/>
    </w:pPr>
    <w:rPr>
      <w:rFonts w:ascii="Verdana" w:eastAsia="Times New Roman" w:hAnsi="Verdana"/>
      <w:sz w:val="20"/>
      <w:szCs w:val="20"/>
      <w:lang w:eastAsia="en-US"/>
    </w:rPr>
  </w:style>
  <w:style w:type="paragraph" w:customStyle="1" w:styleId="xl32">
    <w:name w:val="xl32"/>
    <w:basedOn w:val="a"/>
    <w:semiHidden/>
    <w:qFormat/>
    <w:pPr>
      <w:spacing w:before="100" w:after="100"/>
      <w:jc w:val="center"/>
      <w:textAlignment w:val="center"/>
    </w:pPr>
    <w:rPr>
      <w:szCs w:val="20"/>
    </w:rPr>
  </w:style>
  <w:style w:type="paragraph" w:customStyle="1" w:styleId="WGLBody">
    <w:name w:val="WGL Body"/>
    <w:basedOn w:val="a"/>
    <w:semiHidden/>
    <w:qFormat/>
    <w:pPr>
      <w:tabs>
        <w:tab w:val="left" w:pos="3067"/>
      </w:tabs>
      <w:spacing w:after="140" w:line="280" w:lineRule="exact"/>
    </w:pPr>
    <w:rPr>
      <w:rFonts w:eastAsia="华文楷体"/>
      <w:sz w:val="22"/>
    </w:rPr>
  </w:style>
  <w:style w:type="paragraph" w:customStyle="1" w:styleId="affffffffc">
    <w:name w:val="中石化_正文"/>
    <w:basedOn w:val="a"/>
    <w:uiPriority w:val="99"/>
    <w:semiHidden/>
    <w:qFormat/>
    <w:pPr>
      <w:spacing w:before="120" w:line="360" w:lineRule="auto"/>
      <w:ind w:firstLineChars="200" w:firstLine="480"/>
    </w:pPr>
  </w:style>
  <w:style w:type="paragraph" w:customStyle="1" w:styleId="Bullet3">
    <w:name w:val="Bullet 3"/>
    <w:basedOn w:val="a"/>
    <w:next w:val="a"/>
    <w:uiPriority w:val="99"/>
    <w:semiHidden/>
    <w:qFormat/>
    <w:pPr>
      <w:tabs>
        <w:tab w:val="left" w:pos="850"/>
        <w:tab w:val="left" w:pos="922"/>
      </w:tabs>
      <w:spacing w:before="60" w:line="260" w:lineRule="atLeast"/>
      <w:ind w:left="850" w:hanging="288"/>
    </w:pPr>
    <w:rPr>
      <w:rFonts w:ascii="Frutiger 45 Light" w:hAnsi="Frutiger 45 Light"/>
      <w:sz w:val="20"/>
      <w:szCs w:val="20"/>
      <w:lang w:val="en-GB" w:eastAsia="en-US"/>
    </w:rPr>
  </w:style>
  <w:style w:type="paragraph" w:customStyle="1" w:styleId="007">
    <w:name w:val="007单位"/>
    <w:basedOn w:val="005"/>
    <w:semiHidden/>
    <w:pPr>
      <w:keepNext/>
      <w:spacing w:beforeLines="0" w:before="0" w:line="240" w:lineRule="auto"/>
      <w:ind w:firstLineChars="0" w:firstLine="0"/>
      <w:jc w:val="right"/>
    </w:pPr>
    <w:rPr>
      <w:sz w:val="21"/>
    </w:rPr>
  </w:style>
  <w:style w:type="paragraph" w:customStyle="1" w:styleId="PPSlevel4">
    <w:name w:val="PPS level 4"/>
    <w:basedOn w:val="4"/>
    <w:semiHidden/>
    <w:qFormat/>
    <w:pPr>
      <w:keepNext w:val="0"/>
      <w:keepLines w:val="0"/>
      <w:widowControl w:val="0"/>
      <w:numPr>
        <w:ilvl w:val="0"/>
        <w:numId w:val="10"/>
      </w:numPr>
      <w:tabs>
        <w:tab w:val="left" w:pos="0"/>
        <w:tab w:val="left" w:pos="720"/>
        <w:tab w:val="left" w:pos="840"/>
      </w:tabs>
      <w:autoSpaceDE w:val="0"/>
      <w:autoSpaceDN w:val="0"/>
      <w:adjustRightInd w:val="0"/>
      <w:snapToGrid w:val="0"/>
      <w:spacing w:beforeLines="0" w:before="120" w:afterLines="0" w:after="0" w:line="360" w:lineRule="auto"/>
      <w:ind w:left="840" w:firstLineChars="0" w:hanging="420"/>
      <w:jc w:val="left"/>
    </w:pPr>
    <w:rPr>
      <w:rFonts w:ascii="Times New Roman" w:eastAsia="宋体" w:hAnsi="Times New Roman"/>
      <w:kern w:val="0"/>
      <w:sz w:val="24"/>
      <w:szCs w:val="24"/>
    </w:rPr>
  </w:style>
  <w:style w:type="paragraph" w:customStyle="1" w:styleId="CM66">
    <w:name w:val="CM66"/>
    <w:basedOn w:val="Default"/>
    <w:next w:val="Default"/>
    <w:uiPriority w:val="99"/>
    <w:semiHidden/>
    <w:qFormat/>
    <w:pPr>
      <w:spacing w:line="468" w:lineRule="atLeast"/>
    </w:pPr>
    <w:rPr>
      <w:rFonts w:ascii="黑体" w:eastAsia="黑体" w:cs="Times New Roman"/>
      <w:color w:val="auto"/>
      <w:szCs w:val="20"/>
    </w:rPr>
  </w:style>
  <w:style w:type="paragraph" w:customStyle="1" w:styleId="120505">
    <w:name w:val="样式 正文的1 + 首行缩进:  2 字符 段前: 0.5 行 段后: 0.5 行"/>
    <w:basedOn w:val="a"/>
    <w:semiHidden/>
    <w:qFormat/>
    <w:pPr>
      <w:snapToGrid w:val="0"/>
      <w:spacing w:beforeLines="50" w:afterLines="50" w:line="360" w:lineRule="auto"/>
      <w:ind w:firstLineChars="200" w:firstLine="480"/>
    </w:pPr>
    <w:rPr>
      <w:szCs w:val="20"/>
    </w:rPr>
  </w:style>
  <w:style w:type="paragraph" w:customStyle="1" w:styleId="CM56">
    <w:name w:val="CM56"/>
    <w:basedOn w:val="Default"/>
    <w:next w:val="Default"/>
    <w:uiPriority w:val="99"/>
    <w:semiHidden/>
    <w:qFormat/>
    <w:pPr>
      <w:spacing w:line="548" w:lineRule="atLeast"/>
    </w:pPr>
    <w:rPr>
      <w:rFonts w:ascii="隶书" w:eastAsia="隶书" w:cs="Times New Roman"/>
      <w:color w:val="auto"/>
    </w:rPr>
  </w:style>
  <w:style w:type="paragraph" w:customStyle="1" w:styleId="affffffffd">
    <w:name w:val="表格左小四"/>
    <w:basedOn w:val="a"/>
    <w:semiHidden/>
    <w:qFormat/>
    <w:pPr>
      <w:snapToGrid w:val="0"/>
    </w:pPr>
    <w:rPr>
      <w:szCs w:val="28"/>
    </w:rPr>
  </w:style>
  <w:style w:type="paragraph" w:customStyle="1" w:styleId="4c">
    <w:name w:val="字元4"/>
    <w:basedOn w:val="a"/>
    <w:semiHidden/>
    <w:qFormat/>
    <w:pPr>
      <w:spacing w:beforeLines="50"/>
    </w:pPr>
  </w:style>
  <w:style w:type="paragraph" w:customStyle="1" w:styleId="94">
    <w:name w:val="样式9"/>
    <w:basedOn w:val="a"/>
    <w:semiHidden/>
    <w:qFormat/>
    <w:pPr>
      <w:adjustRightInd w:val="0"/>
      <w:spacing w:line="360" w:lineRule="atLeast"/>
      <w:textAlignment w:val="baseline"/>
    </w:pPr>
    <w:rPr>
      <w:rFonts w:ascii="宋体"/>
      <w:sz w:val="24"/>
      <w:szCs w:val="20"/>
    </w:rPr>
  </w:style>
  <w:style w:type="paragraph" w:customStyle="1" w:styleId="xl28">
    <w:name w:val="xl28"/>
    <w:basedOn w:val="a"/>
    <w:semiHidden/>
    <w:qFormat/>
    <w:pPr>
      <w:spacing w:before="100" w:beforeAutospacing="1" w:after="100" w:afterAutospacing="1"/>
      <w:jc w:val="right"/>
    </w:pPr>
    <w:rPr>
      <w:rFonts w:eastAsia="Arial Unicode MS"/>
      <w:sz w:val="20"/>
      <w:szCs w:val="20"/>
    </w:rPr>
  </w:style>
  <w:style w:type="paragraph" w:customStyle="1" w:styleId="205">
    <w:name w:val="样式 标题 2 + 段后: 0.5 行"/>
    <w:basedOn w:val="2"/>
    <w:semiHidden/>
    <w:qFormat/>
    <w:pPr>
      <w:numPr>
        <w:ilvl w:val="0"/>
        <w:numId w:val="0"/>
      </w:numPr>
      <w:tabs>
        <w:tab w:val="left" w:pos="936"/>
      </w:tabs>
      <w:snapToGrid w:val="0"/>
      <w:spacing w:line="360" w:lineRule="auto"/>
      <w:ind w:left="936" w:hanging="576"/>
      <w:jc w:val="left"/>
    </w:pPr>
    <w:rPr>
      <w:rFonts w:ascii="Arial" w:eastAsia="黑体" w:hAnsi="Arial" w:cs="宋体"/>
      <w:kern w:val="0"/>
      <w:sz w:val="28"/>
      <w:szCs w:val="20"/>
    </w:rPr>
  </w:style>
  <w:style w:type="paragraph" w:customStyle="1" w:styleId="affffffffe">
    <w:name w:val="招股书四级标题"/>
    <w:basedOn w:val="4"/>
    <w:semiHidden/>
    <w:qFormat/>
    <w:pPr>
      <w:keepNext w:val="0"/>
      <w:keepLines w:val="0"/>
      <w:widowControl w:val="0"/>
      <w:numPr>
        <w:ilvl w:val="0"/>
        <w:numId w:val="0"/>
      </w:numPr>
      <w:tabs>
        <w:tab w:val="left" w:pos="1200"/>
      </w:tabs>
      <w:spacing w:before="0" w:after="240" w:line="360" w:lineRule="auto"/>
      <w:ind w:leftChars="400" w:left="1200" w:hangingChars="200" w:hanging="360"/>
      <w:jc w:val="left"/>
    </w:pPr>
    <w:rPr>
      <w:rFonts w:ascii="黑体" w:eastAsia="黑体" w:hAnsi="Times New Roman" w:cs="宋体"/>
      <w:bCs w:val="0"/>
      <w:kern w:val="0"/>
      <w:sz w:val="24"/>
      <w:szCs w:val="20"/>
    </w:rPr>
  </w:style>
  <w:style w:type="paragraph" w:customStyle="1" w:styleId="afffffffff">
    <w:name w:val="封 公司 二"/>
    <w:semiHidden/>
    <w:qFormat/>
    <w:pPr>
      <w:spacing w:after="156"/>
      <w:jc w:val="center"/>
    </w:pPr>
    <w:rPr>
      <w:rFonts w:ascii="Arial" w:eastAsia="黑体" w:hAnsi="Arial" w:cs="宋体"/>
      <w:b/>
      <w:bCs/>
      <w:color w:val="000000"/>
      <w:kern w:val="2"/>
      <w:sz w:val="52"/>
      <w:szCs w:val="52"/>
    </w:rPr>
  </w:style>
  <w:style w:type="paragraph" w:customStyle="1" w:styleId="CharChar120">
    <w:name w:val="Char Char 字元12"/>
    <w:basedOn w:val="a"/>
    <w:semiHidden/>
    <w:qFormat/>
    <w:pPr>
      <w:autoSpaceDE w:val="0"/>
      <w:autoSpaceDN w:val="0"/>
      <w:adjustRightInd w:val="0"/>
      <w:spacing w:before="50"/>
    </w:pPr>
    <w:rPr>
      <w:szCs w:val="20"/>
    </w:rPr>
  </w:style>
  <w:style w:type="paragraph" w:customStyle="1" w:styleId="115">
    <w:name w:val="纯文本11"/>
    <w:basedOn w:val="a"/>
    <w:semiHidden/>
    <w:qFormat/>
    <w:pPr>
      <w:adjustRightInd w:val="0"/>
      <w:spacing w:line="360" w:lineRule="auto"/>
      <w:ind w:firstLine="567"/>
      <w:textAlignment w:val="baseline"/>
    </w:pPr>
    <w:rPr>
      <w:rFonts w:eastAsia="楷体_GB2312" w:hAnsi="Courier New"/>
      <w:sz w:val="28"/>
      <w:szCs w:val="20"/>
    </w:rPr>
  </w:style>
  <w:style w:type="paragraph" w:customStyle="1" w:styleId="4d">
    <w:name w:val="批注框文本4"/>
    <w:basedOn w:val="a"/>
    <w:semiHidden/>
    <w:qFormat/>
    <w:rPr>
      <w:rFonts w:ascii="Tahoma" w:eastAsia="华文楷体" w:hAnsi="Tahoma" w:cs="Tahoma"/>
      <w:sz w:val="16"/>
      <w:szCs w:val="16"/>
      <w:lang w:val="en-GB"/>
    </w:rPr>
  </w:style>
  <w:style w:type="paragraph" w:customStyle="1" w:styleId="2ff2">
    <w:name w:val="正文(首行缩进2字)"/>
    <w:basedOn w:val="a"/>
    <w:next w:val="a"/>
    <w:semiHidden/>
    <w:qFormat/>
    <w:pPr>
      <w:overflowPunct w:val="0"/>
      <w:adjustRightInd w:val="0"/>
      <w:snapToGrid w:val="0"/>
      <w:spacing w:line="420" w:lineRule="auto"/>
      <w:ind w:firstLineChars="200" w:firstLine="480"/>
    </w:pPr>
  </w:style>
  <w:style w:type="paragraph" w:customStyle="1" w:styleId="CharCharCharCharCharChar2">
    <w:name w:val="Char Char Char Char Char Char2"/>
    <w:basedOn w:val="a"/>
    <w:semiHidden/>
    <w:qFormat/>
    <w:pPr>
      <w:spacing w:after="160" w:line="240" w:lineRule="exact"/>
    </w:pPr>
    <w:rPr>
      <w:rFonts w:ascii="Verdana" w:hAnsi="Verdana"/>
      <w:sz w:val="20"/>
      <w:szCs w:val="20"/>
      <w:lang w:eastAsia="en-US"/>
    </w:rPr>
  </w:style>
  <w:style w:type="paragraph" w:customStyle="1" w:styleId="GB231221">
    <w:name w:val="样式 (中文) 仿宋_GB2312 四号 行距: 固定值 21 磅"/>
    <w:basedOn w:val="a"/>
    <w:semiHidden/>
    <w:qFormat/>
    <w:pPr>
      <w:spacing w:line="420" w:lineRule="exact"/>
      <w:ind w:firstLineChars="200" w:firstLine="560"/>
    </w:pPr>
    <w:rPr>
      <w:rFonts w:eastAsia="仿宋_GB2312"/>
      <w:szCs w:val="20"/>
    </w:rPr>
  </w:style>
  <w:style w:type="paragraph" w:customStyle="1" w:styleId="CharCharCharCharCharCharCharCharCharChar2">
    <w:name w:val="Char Char Char Char Char Char Char Char Char Char2"/>
    <w:basedOn w:val="a"/>
    <w:semiHidden/>
    <w:qFormat/>
    <w:rPr>
      <w:rFonts w:ascii="Tahoma" w:hAnsi="Tahoma"/>
      <w:szCs w:val="20"/>
    </w:rPr>
  </w:style>
  <w:style w:type="paragraph" w:customStyle="1" w:styleId="215">
    <w:name w:val="正文文本缩进 21"/>
    <w:basedOn w:val="a"/>
    <w:semiHidden/>
    <w:qFormat/>
    <w:pPr>
      <w:spacing w:line="360" w:lineRule="auto"/>
      <w:ind w:firstLine="482"/>
    </w:pPr>
  </w:style>
  <w:style w:type="paragraph" w:customStyle="1" w:styleId="2ff3">
    <w:name w:val="表格2"/>
    <w:basedOn w:val="a"/>
    <w:semiHidden/>
    <w:qFormat/>
    <w:pPr>
      <w:spacing w:line="300" w:lineRule="auto"/>
    </w:pPr>
    <w:rPr>
      <w:sz w:val="18"/>
    </w:rPr>
  </w:style>
  <w:style w:type="paragraph" w:customStyle="1" w:styleId="CharCharCharCharCharCharCharChar6">
    <w:name w:val="Char Char Char Char Char Char Char Char6"/>
    <w:basedOn w:val="a"/>
    <w:semiHidden/>
    <w:qFormat/>
    <w:pPr>
      <w:autoSpaceDE w:val="0"/>
      <w:autoSpaceDN w:val="0"/>
      <w:adjustRightInd w:val="0"/>
    </w:pPr>
    <w:rPr>
      <w:rFonts w:ascii="Tahoma" w:hAnsi="Tahoma"/>
      <w:szCs w:val="20"/>
    </w:rPr>
  </w:style>
  <w:style w:type="paragraph" w:customStyle="1" w:styleId="TableBullet1">
    <w:name w:val="Table Bullet 1"/>
    <w:basedOn w:val="Bullet1"/>
    <w:semiHidden/>
    <w:qFormat/>
    <w:pPr>
      <w:tabs>
        <w:tab w:val="left" w:pos="360"/>
      </w:tabs>
      <w:ind w:left="360" w:hanging="360"/>
    </w:pPr>
  </w:style>
  <w:style w:type="paragraph" w:customStyle="1" w:styleId="Bullet1">
    <w:name w:val="Bullet 1"/>
    <w:basedOn w:val="a"/>
    <w:semiHidden/>
    <w:qFormat/>
    <w:pPr>
      <w:spacing w:line="290" w:lineRule="atLeast"/>
    </w:pPr>
    <w:rPr>
      <w:szCs w:val="20"/>
      <w:lang w:val="en-GB" w:eastAsia="en-US"/>
    </w:rPr>
  </w:style>
  <w:style w:type="paragraph" w:customStyle="1" w:styleId="afffffffff0">
    <w:name w:val="表格编号"/>
    <w:basedOn w:val="a"/>
    <w:next w:val="a"/>
    <w:uiPriority w:val="99"/>
    <w:semiHidden/>
    <w:qFormat/>
    <w:pPr>
      <w:tabs>
        <w:tab w:val="left" w:pos="720"/>
      </w:tabs>
      <w:spacing w:before="300" w:after="200"/>
      <w:jc w:val="center"/>
    </w:pPr>
    <w:rPr>
      <w:szCs w:val="20"/>
    </w:rPr>
  </w:style>
  <w:style w:type="paragraph" w:customStyle="1" w:styleId="xl129">
    <w:name w:val="xl129"/>
    <w:basedOn w:val="a"/>
    <w:semiHidden/>
    <w:qFormat/>
    <w:pPr>
      <w:pBdr>
        <w:left w:val="single" w:sz="8" w:space="0" w:color="auto"/>
        <w:bottom w:val="single" w:sz="8" w:space="0" w:color="auto"/>
        <w:right w:val="single" w:sz="8" w:space="0" w:color="auto"/>
      </w:pBdr>
      <w:shd w:val="clear" w:color="000000" w:fill="FF0000"/>
      <w:spacing w:before="100" w:beforeAutospacing="1" w:after="100" w:afterAutospacing="1"/>
      <w:jc w:val="right"/>
    </w:pPr>
    <w:rPr>
      <w:b/>
      <w:bCs/>
      <w:color w:val="000000"/>
      <w:sz w:val="18"/>
      <w:szCs w:val="18"/>
    </w:rPr>
  </w:style>
  <w:style w:type="paragraph" w:customStyle="1" w:styleId="Bodytext">
    <w:name w:val="!Bodytext"/>
    <w:basedOn w:val="a"/>
    <w:uiPriority w:val="99"/>
    <w:semiHidden/>
    <w:qFormat/>
    <w:pPr>
      <w:overflowPunct w:val="0"/>
      <w:autoSpaceDE w:val="0"/>
      <w:autoSpaceDN w:val="0"/>
      <w:adjustRightInd w:val="0"/>
      <w:spacing w:after="220"/>
      <w:ind w:left="360" w:hanging="360"/>
      <w:textAlignment w:val="baseline"/>
    </w:pPr>
    <w:rPr>
      <w:rFonts w:ascii="Arial" w:hAnsi="Arial"/>
      <w:sz w:val="22"/>
      <w:szCs w:val="20"/>
      <w:lang w:val="en-GB"/>
    </w:rPr>
  </w:style>
  <w:style w:type="paragraph" w:customStyle="1" w:styleId="1691528">
    <w:name w:val="样式 标题1 + 非加粗 两端对齐 段前: 6 磅 段后: 9.15 磅 行距: 固定值 28 磅"/>
    <w:basedOn w:val="a"/>
    <w:semiHidden/>
    <w:qFormat/>
    <w:pPr>
      <w:spacing w:before="120" w:after="120" w:line="560" w:lineRule="exact"/>
    </w:pPr>
    <w:rPr>
      <w:b/>
      <w:color w:val="000000"/>
      <w:sz w:val="32"/>
      <w:szCs w:val="20"/>
    </w:rPr>
  </w:style>
  <w:style w:type="paragraph" w:customStyle="1" w:styleId="ListParagraph1">
    <w:name w:val="List Paragraph1"/>
    <w:basedOn w:val="a"/>
    <w:uiPriority w:val="34"/>
    <w:semiHidden/>
    <w:qFormat/>
    <w:pPr>
      <w:ind w:firstLineChars="200" w:firstLine="420"/>
    </w:pPr>
  </w:style>
  <w:style w:type="paragraph" w:customStyle="1" w:styleId="font11">
    <w:name w:val="font11"/>
    <w:basedOn w:val="a"/>
    <w:semiHidden/>
    <w:qFormat/>
    <w:pPr>
      <w:spacing w:before="100" w:beforeAutospacing="1" w:after="100" w:afterAutospacing="1"/>
    </w:pPr>
    <w:rPr>
      <w:sz w:val="13"/>
      <w:szCs w:val="13"/>
    </w:rPr>
  </w:style>
  <w:style w:type="paragraph" w:customStyle="1" w:styleId="TOC12">
    <w:name w:val="TOC 标题12"/>
    <w:basedOn w:val="1"/>
    <w:next w:val="a"/>
    <w:semiHidden/>
    <w:qFormat/>
    <w:pPr>
      <w:tabs>
        <w:tab w:val="clear" w:pos="1134"/>
        <w:tab w:val="left" w:pos="454"/>
      </w:tabs>
      <w:spacing w:beforeLines="0" w:before="120" w:afterLines="0" w:after="0" w:line="276" w:lineRule="auto"/>
      <w:ind w:left="454" w:firstLineChars="0" w:hanging="420"/>
      <w:jc w:val="left"/>
      <w:outlineLvl w:val="9"/>
    </w:pPr>
    <w:rPr>
      <w:rFonts w:ascii="Cambria" w:hAnsi="Cambria"/>
      <w:color w:val="365F91"/>
      <w:kern w:val="0"/>
      <w:sz w:val="28"/>
      <w:szCs w:val="28"/>
    </w:rPr>
  </w:style>
  <w:style w:type="paragraph" w:customStyle="1" w:styleId="afffffffff1">
    <w:name w:val="第一章"/>
    <w:basedOn w:val="a"/>
    <w:uiPriority w:val="99"/>
    <w:semiHidden/>
    <w:qFormat/>
    <w:pPr>
      <w:spacing w:beforeLines="50" w:line="360" w:lineRule="auto"/>
      <w:jc w:val="center"/>
      <w:outlineLvl w:val="0"/>
    </w:pPr>
    <w:rPr>
      <w:rFonts w:ascii="华文中宋" w:eastAsia="华文中宋" w:hAnsi="华文中宋" w:cs="Arial"/>
      <w:b/>
      <w:sz w:val="32"/>
      <w:szCs w:val="32"/>
    </w:rPr>
  </w:style>
  <w:style w:type="paragraph" w:customStyle="1" w:styleId="CharCharCharCharCharCharCharChar9">
    <w:name w:val="Char Char Char Char Char Char Char Char9"/>
    <w:basedOn w:val="a"/>
    <w:semiHidden/>
    <w:qFormat/>
    <w:pPr>
      <w:autoSpaceDE w:val="0"/>
      <w:autoSpaceDN w:val="0"/>
      <w:adjustRightInd w:val="0"/>
    </w:pPr>
    <w:rPr>
      <w:rFonts w:ascii="Tahoma" w:hAnsi="Tahoma"/>
      <w:szCs w:val="20"/>
    </w:rPr>
  </w:style>
  <w:style w:type="paragraph" w:customStyle="1" w:styleId="Background">
    <w:name w:val="Background"/>
    <w:basedOn w:val="a"/>
    <w:semiHidden/>
    <w:qFormat/>
    <w:pPr>
      <w:numPr>
        <w:numId w:val="11"/>
      </w:numPr>
      <w:tabs>
        <w:tab w:val="clear" w:pos="1440"/>
        <w:tab w:val="left" w:pos="567"/>
        <w:tab w:val="left" w:pos="720"/>
      </w:tabs>
      <w:autoSpaceDE w:val="0"/>
      <w:autoSpaceDN w:val="0"/>
      <w:spacing w:after="340" w:line="340" w:lineRule="exact"/>
      <w:ind w:left="720" w:hanging="360"/>
    </w:pPr>
    <w:rPr>
      <w:bCs/>
      <w:lang w:val="en-GB" w:eastAsia="en-US"/>
    </w:rPr>
  </w:style>
  <w:style w:type="paragraph" w:styleId="afffffffff2">
    <w:name w:val="Revision"/>
    <w:uiPriority w:val="99"/>
    <w:semiHidden/>
    <w:qFormat/>
    <w:rPr>
      <w:kern w:val="2"/>
      <w:sz w:val="21"/>
      <w:szCs w:val="24"/>
    </w:rPr>
  </w:style>
  <w:style w:type="paragraph" w:customStyle="1" w:styleId="CharCharCharCharCharCharChar6">
    <w:name w:val="Char Char Char Char Char Char Char6"/>
    <w:basedOn w:val="a"/>
    <w:semiHidden/>
    <w:qFormat/>
    <w:pPr>
      <w:autoSpaceDE w:val="0"/>
      <w:autoSpaceDN w:val="0"/>
      <w:adjustRightInd w:val="0"/>
    </w:pPr>
  </w:style>
  <w:style w:type="paragraph" w:customStyle="1" w:styleId="4085221">
    <w:name w:val="样式 标题 4 + 首行缩进:  0.85 厘米 行距: 固定值 22 磅1"/>
    <w:basedOn w:val="4"/>
    <w:semiHidden/>
    <w:qFormat/>
    <w:pPr>
      <w:widowControl w:val="0"/>
      <w:numPr>
        <w:ilvl w:val="0"/>
        <w:numId w:val="0"/>
      </w:numPr>
      <w:spacing w:beforeLines="0" w:before="120" w:afterLines="0" w:after="60" w:line="440" w:lineRule="exact"/>
      <w:jc w:val="left"/>
    </w:pPr>
    <w:rPr>
      <w:rFonts w:ascii="宋体" w:eastAsia="宋体" w:hAnsi="宋体"/>
      <w:b w:val="0"/>
      <w:bCs w:val="0"/>
      <w:sz w:val="24"/>
      <w:szCs w:val="20"/>
    </w:rPr>
  </w:style>
  <w:style w:type="paragraph" w:customStyle="1" w:styleId="321">
    <w:name w:val="正文文本缩进 32"/>
    <w:basedOn w:val="a"/>
    <w:semiHidden/>
    <w:qFormat/>
    <w:pPr>
      <w:adjustRightInd w:val="0"/>
      <w:spacing w:line="360" w:lineRule="auto"/>
      <w:ind w:left="1258"/>
      <w:textAlignment w:val="baseline"/>
    </w:pPr>
    <w:rPr>
      <w:szCs w:val="20"/>
    </w:rPr>
  </w:style>
  <w:style w:type="paragraph" w:customStyle="1" w:styleId="TableRowHead">
    <w:name w:val="_TableRowHead"/>
    <w:basedOn w:val="TableHead"/>
    <w:uiPriority w:val="99"/>
    <w:semiHidden/>
    <w:qFormat/>
    <w:pPr>
      <w:jc w:val="left"/>
    </w:pPr>
  </w:style>
  <w:style w:type="paragraph" w:customStyle="1" w:styleId="jin4">
    <w:name w:val="jin4"/>
    <w:basedOn w:val="a"/>
    <w:semiHidden/>
    <w:qFormat/>
    <w:pPr>
      <w:numPr>
        <w:numId w:val="12"/>
      </w:numPr>
      <w:tabs>
        <w:tab w:val="clear" w:pos="780"/>
        <w:tab w:val="left" w:pos="1209"/>
      </w:tabs>
      <w:spacing w:beforeLines="50" w:afterLines="50" w:line="360" w:lineRule="auto"/>
      <w:ind w:left="1209"/>
      <w:outlineLvl w:val="3"/>
    </w:pPr>
    <w:rPr>
      <w:rFonts w:eastAsia="等线"/>
      <w:b/>
      <w:sz w:val="24"/>
      <w:szCs w:val="24"/>
    </w:rPr>
  </w:style>
  <w:style w:type="paragraph" w:customStyle="1" w:styleId="afffffffff3">
    <w:name w:val="流程图文"/>
    <w:basedOn w:val="a"/>
    <w:semiHidden/>
    <w:qFormat/>
    <w:pPr>
      <w:adjustRightInd w:val="0"/>
      <w:snapToGrid w:val="0"/>
      <w:jc w:val="center"/>
    </w:pPr>
    <w:rPr>
      <w:szCs w:val="20"/>
      <w:lang w:bidi="he-IL"/>
    </w:rPr>
  </w:style>
  <w:style w:type="paragraph" w:customStyle="1" w:styleId="CharCharChar4">
    <w:name w:val="Char Char Char4"/>
    <w:basedOn w:val="a"/>
    <w:semiHidden/>
    <w:qFormat/>
    <w:rPr>
      <w:rFonts w:ascii="Tahoma" w:hAnsi="Tahoma"/>
      <w:szCs w:val="20"/>
    </w:rPr>
  </w:style>
  <w:style w:type="paragraph" w:customStyle="1" w:styleId="CharChar1CharCharCharCharCharCharCharCharCharCharCharCharCharCharCharCharCharCharCharCharCharCharCharCharCharCharCharCharCharCharCharCharCharCharCharCharCharChar14">
    <w:name w:val="Char Char1 Char Char Char Char Char Char Char Char Char Char Char Char Char Char Char Char Char Char Char Char Char Char Char Char Char Char Char Char Char Char Char Char Char Char Char Char Char Char14"/>
    <w:basedOn w:val="a"/>
    <w:semiHidden/>
    <w:qFormat/>
    <w:pPr>
      <w:spacing w:after="160" w:line="240" w:lineRule="exact"/>
    </w:pPr>
    <w:rPr>
      <w:rFonts w:ascii="Verdana" w:eastAsia="Times New Roman" w:hAnsi="Verdana" w:cs="Arial"/>
      <w:sz w:val="22"/>
      <w:szCs w:val="20"/>
      <w:lang w:eastAsia="en-US"/>
    </w:rPr>
  </w:style>
  <w:style w:type="paragraph" w:customStyle="1" w:styleId="CharCharCharCharChar2">
    <w:name w:val="Char Char Char Char Char2"/>
    <w:basedOn w:val="a"/>
    <w:semiHidden/>
    <w:qFormat/>
    <w:pPr>
      <w:autoSpaceDE w:val="0"/>
      <w:autoSpaceDN w:val="0"/>
      <w:adjustRightInd w:val="0"/>
    </w:pPr>
    <w:rPr>
      <w:rFonts w:ascii="Tahoma" w:hAnsi="Tahoma"/>
      <w:szCs w:val="20"/>
    </w:rPr>
  </w:style>
  <w:style w:type="paragraph" w:customStyle="1" w:styleId="CharCharCharCharCharCharCharCharCharCharCharCharChar9">
    <w:name w:val="Char Char Char Char Char Char Char Char Char Char Char Char Char9"/>
    <w:basedOn w:val="a"/>
    <w:semiHidden/>
    <w:qFormat/>
    <w:pPr>
      <w:autoSpaceDE w:val="0"/>
      <w:autoSpaceDN w:val="0"/>
      <w:adjustRightInd w:val="0"/>
      <w:spacing w:after="160" w:line="240" w:lineRule="exact"/>
    </w:pPr>
    <w:rPr>
      <w:rFonts w:ascii="Verdana" w:eastAsia="Times New Roman" w:hAnsi="Verdana"/>
      <w:sz w:val="20"/>
      <w:szCs w:val="20"/>
      <w:lang w:eastAsia="en-US"/>
    </w:rPr>
  </w:style>
  <w:style w:type="paragraph" w:customStyle="1" w:styleId="CharChar4CharCharCharCharCharCharChar1CharChar1CharCharCharCharCharCharCharCharCharCharChar">
    <w:name w:val="Char Char4 Char Char Char Char Char Char Char1 Char Char1 Char Char Char Char Char Char Char Char Char Char Char"/>
    <w:basedOn w:val="a"/>
    <w:semiHidden/>
    <w:qFormat/>
    <w:pPr>
      <w:spacing w:after="160" w:line="240" w:lineRule="exact"/>
    </w:pPr>
    <w:rPr>
      <w:rFonts w:ascii="Verdana" w:hAnsi="Verdana" w:cs="Verdana"/>
      <w:sz w:val="20"/>
      <w:szCs w:val="20"/>
      <w:lang w:eastAsia="en-US"/>
    </w:rPr>
  </w:style>
  <w:style w:type="paragraph" w:customStyle="1" w:styleId="1Arial">
    <w:name w:val="样式 1级标题 + Arial"/>
    <w:basedOn w:val="a"/>
    <w:semiHidden/>
    <w:qFormat/>
    <w:pPr>
      <w:spacing w:before="60" w:line="460" w:lineRule="exact"/>
      <w:outlineLvl w:val="0"/>
    </w:pPr>
    <w:rPr>
      <w:rFonts w:ascii="Arial" w:hAnsi="Arial"/>
      <w:b/>
      <w:bCs/>
      <w:sz w:val="32"/>
      <w:szCs w:val="20"/>
    </w:rPr>
  </w:style>
  <w:style w:type="paragraph" w:customStyle="1" w:styleId="afffffffff4">
    <w:name w:val="样式 （一）"/>
    <w:basedOn w:val="a"/>
    <w:semiHidden/>
    <w:qFormat/>
    <w:pPr>
      <w:spacing w:beforeLines="50" w:line="360" w:lineRule="auto"/>
    </w:pPr>
    <w:rPr>
      <w:rFonts w:eastAsia="黑体"/>
      <w:b/>
      <w:bCs/>
      <w:sz w:val="28"/>
      <w:szCs w:val="20"/>
    </w:rPr>
  </w:style>
  <w:style w:type="paragraph" w:customStyle="1" w:styleId="CM79">
    <w:name w:val="CM79"/>
    <w:basedOn w:val="Default"/>
    <w:next w:val="Default"/>
    <w:semiHidden/>
    <w:qFormat/>
    <w:pPr>
      <w:spacing w:after="210"/>
    </w:pPr>
    <w:rPr>
      <w:rFonts w:ascii="隶书" w:eastAsia="隶书" w:cs="Times New Roman"/>
      <w:color w:val="auto"/>
    </w:rPr>
  </w:style>
  <w:style w:type="paragraph" w:customStyle="1" w:styleId="Char1CharCharChar11">
    <w:name w:val="Char1 Char Char Char11"/>
    <w:basedOn w:val="a"/>
    <w:semiHidden/>
    <w:qFormat/>
    <w:pPr>
      <w:autoSpaceDE w:val="0"/>
      <w:autoSpaceDN w:val="0"/>
      <w:adjustRightInd w:val="0"/>
      <w:spacing w:after="160" w:line="240" w:lineRule="exact"/>
    </w:pPr>
    <w:rPr>
      <w:rFonts w:ascii="Verdana" w:eastAsia="Times New Roman" w:hAnsi="Verdana"/>
      <w:sz w:val="20"/>
      <w:szCs w:val="20"/>
      <w:lang w:eastAsia="en-US"/>
    </w:rPr>
  </w:style>
  <w:style w:type="paragraph" w:customStyle="1" w:styleId="-20">
    <w:name w:val="徐工-2级标题"/>
    <w:basedOn w:val="afffff2"/>
    <w:semiHidden/>
    <w:qFormat/>
    <w:pPr>
      <w:spacing w:before="120"/>
      <w:ind w:leftChars="200" w:left="420"/>
    </w:pPr>
    <w:rPr>
      <w:rFonts w:ascii="黑体" w:eastAsia="黑体" w:hAnsi="黑体"/>
      <w:szCs w:val="24"/>
    </w:rPr>
  </w:style>
  <w:style w:type="paragraph" w:customStyle="1" w:styleId="77">
    <w:name w:val="字元7"/>
    <w:basedOn w:val="a"/>
    <w:semiHidden/>
    <w:qFormat/>
    <w:pPr>
      <w:autoSpaceDE w:val="0"/>
      <w:autoSpaceDN w:val="0"/>
      <w:adjustRightInd w:val="0"/>
      <w:spacing w:beforeLines="50"/>
    </w:pPr>
  </w:style>
  <w:style w:type="paragraph" w:customStyle="1" w:styleId="afffffffff5">
    <w:name w:val="±í¸ñµ¥ÔªÊý×Ö"/>
    <w:basedOn w:val="a"/>
    <w:semiHidden/>
    <w:qFormat/>
    <w:pPr>
      <w:tabs>
        <w:tab w:val="left" w:pos="595"/>
      </w:tabs>
      <w:overflowPunct w:val="0"/>
      <w:autoSpaceDE w:val="0"/>
      <w:autoSpaceDN w:val="0"/>
      <w:adjustRightInd w:val="0"/>
      <w:spacing w:before="105"/>
      <w:jc w:val="right"/>
      <w:textAlignment w:val="baseline"/>
    </w:pPr>
    <w:rPr>
      <w:szCs w:val="20"/>
    </w:rPr>
  </w:style>
  <w:style w:type="paragraph" w:customStyle="1" w:styleId="CharChar1Char3">
    <w:name w:val="Char Char1 Char3"/>
    <w:basedOn w:val="a"/>
    <w:semiHidden/>
    <w:qFormat/>
    <w:pPr>
      <w:spacing w:after="160" w:line="240" w:lineRule="exact"/>
    </w:pPr>
    <w:rPr>
      <w:rFonts w:ascii="Verdana" w:eastAsia="Times New Roman" w:hAnsi="Verdana"/>
      <w:sz w:val="20"/>
      <w:szCs w:val="20"/>
      <w:lang w:eastAsia="en-US"/>
    </w:rPr>
  </w:style>
  <w:style w:type="paragraph" w:customStyle="1" w:styleId="Line">
    <w:name w:val="_Line"/>
    <w:basedOn w:val="a"/>
    <w:next w:val="Body0"/>
    <w:uiPriority w:val="99"/>
    <w:semiHidden/>
    <w:qFormat/>
    <w:pPr>
      <w:pBdr>
        <w:bottom w:val="single" w:sz="24" w:space="1" w:color="auto"/>
      </w:pBdr>
      <w:spacing w:after="360"/>
    </w:pPr>
    <w:rPr>
      <w:rFonts w:ascii="Arial" w:eastAsia="SC STKaiti" w:hAnsi="Arial"/>
      <w:b/>
      <w:bCs/>
      <w:color w:val="000080"/>
      <w:sz w:val="28"/>
    </w:rPr>
  </w:style>
  <w:style w:type="paragraph" w:customStyle="1" w:styleId="Body0">
    <w:name w:val="_Body"/>
    <w:basedOn w:val="a"/>
    <w:uiPriority w:val="99"/>
    <w:semiHidden/>
    <w:qFormat/>
    <w:pPr>
      <w:spacing w:after="240"/>
    </w:pPr>
    <w:rPr>
      <w:rFonts w:ascii="Arial" w:eastAsia="SC STKaiti" w:hAnsi="Arial"/>
    </w:rPr>
  </w:style>
  <w:style w:type="paragraph" w:customStyle="1" w:styleId="216">
    <w:name w:val="样式 表格2 + 行距: 最小值 16 磅"/>
    <w:basedOn w:val="2ff3"/>
    <w:semiHidden/>
    <w:qFormat/>
    <w:pPr>
      <w:spacing w:line="360" w:lineRule="atLeast"/>
      <w:jc w:val="center"/>
    </w:pPr>
    <w:rPr>
      <w:rFonts w:cs="宋体"/>
      <w:sz w:val="21"/>
      <w:szCs w:val="20"/>
    </w:rPr>
  </w:style>
  <w:style w:type="paragraph" w:customStyle="1" w:styleId="xl138">
    <w:name w:val="xl138"/>
    <w:basedOn w:val="a"/>
    <w:semiHidden/>
    <w:qFormat/>
    <w:pPr>
      <w:pBdr>
        <w:top w:val="single" w:sz="8" w:space="0" w:color="auto"/>
        <w:left w:val="single" w:sz="8" w:space="0" w:color="auto"/>
        <w:right w:val="single" w:sz="8" w:space="0" w:color="auto"/>
      </w:pBdr>
      <w:shd w:val="clear" w:color="000000" w:fill="FFFFFF"/>
      <w:spacing w:before="100" w:beforeAutospacing="1" w:after="100" w:afterAutospacing="1"/>
      <w:jc w:val="right"/>
    </w:pPr>
    <w:rPr>
      <w:b/>
      <w:bCs/>
      <w:color w:val="000000"/>
    </w:rPr>
  </w:style>
  <w:style w:type="paragraph" w:customStyle="1" w:styleId="CM5">
    <w:name w:val="CM5"/>
    <w:basedOn w:val="a"/>
    <w:next w:val="a"/>
    <w:semiHidden/>
    <w:qFormat/>
    <w:pPr>
      <w:autoSpaceDE w:val="0"/>
      <w:autoSpaceDN w:val="0"/>
      <w:adjustRightInd w:val="0"/>
      <w:spacing w:line="468" w:lineRule="atLeast"/>
    </w:pPr>
    <w:rPr>
      <w:rFonts w:cs="Vrinda"/>
      <w:lang w:bidi="bn-IN"/>
    </w:rPr>
  </w:style>
  <w:style w:type="paragraph" w:customStyle="1" w:styleId="Char1f9">
    <w:name w:val="正文 Char1"/>
    <w:basedOn w:val="a"/>
    <w:semiHidden/>
    <w:qFormat/>
    <w:pPr>
      <w:spacing w:beforeLines="50" w:line="360" w:lineRule="auto"/>
      <w:ind w:firstLineChars="200" w:firstLine="480"/>
    </w:pPr>
    <w:rPr>
      <w:rFonts w:ascii="Arial" w:hAnsi="Arial" w:cs="Arial"/>
    </w:rPr>
  </w:style>
  <w:style w:type="paragraph" w:customStyle="1" w:styleId="afffffffff6">
    <w:name w:val="表格右"/>
    <w:basedOn w:val="afffff9"/>
    <w:semiHidden/>
    <w:qFormat/>
    <w:pPr>
      <w:jc w:val="right"/>
    </w:pPr>
    <w:rPr>
      <w:szCs w:val="28"/>
    </w:rPr>
  </w:style>
  <w:style w:type="paragraph" w:customStyle="1" w:styleId="CharCharCharCharCharChar">
    <w:name w:val="Char Char Char Char Char Char"/>
    <w:basedOn w:val="a"/>
    <w:uiPriority w:val="1"/>
    <w:semiHidden/>
    <w:qFormat/>
    <w:pPr>
      <w:spacing w:line="360" w:lineRule="auto"/>
      <w:ind w:firstLineChars="200" w:firstLine="200"/>
    </w:pPr>
  </w:style>
  <w:style w:type="paragraph" w:customStyle="1" w:styleId="afffffffff7">
    <w:name w:val="小四标准段落－松散"/>
    <w:basedOn w:val="a"/>
    <w:semiHidden/>
    <w:qFormat/>
    <w:pPr>
      <w:snapToGrid w:val="0"/>
      <w:spacing w:before="156" w:after="156" w:line="440" w:lineRule="exact"/>
      <w:ind w:firstLine="539"/>
    </w:pPr>
    <w:rPr>
      <w:szCs w:val="20"/>
    </w:rPr>
  </w:style>
  <w:style w:type="paragraph" w:customStyle="1" w:styleId="CharCharCharChar7">
    <w:name w:val="Char Char Char Char7"/>
    <w:basedOn w:val="a"/>
    <w:semiHidden/>
    <w:qFormat/>
    <w:pPr>
      <w:autoSpaceDE w:val="0"/>
      <w:autoSpaceDN w:val="0"/>
      <w:adjustRightInd w:val="0"/>
      <w:spacing w:beforeLines="50"/>
    </w:pPr>
  </w:style>
  <w:style w:type="paragraph" w:customStyle="1" w:styleId="1ffd">
    <w:name w:val="表格文字1"/>
    <w:basedOn w:val="a"/>
    <w:next w:val="a"/>
    <w:semiHidden/>
    <w:qFormat/>
    <w:pPr>
      <w:adjustRightInd w:val="0"/>
      <w:snapToGrid w:val="0"/>
    </w:pPr>
    <w:rPr>
      <w:szCs w:val="20"/>
    </w:rPr>
  </w:style>
  <w:style w:type="paragraph" w:customStyle="1" w:styleId="afffffffff8">
    <w:name w:val="设备表 专业名"/>
    <w:basedOn w:val="a"/>
    <w:semiHidden/>
    <w:qFormat/>
    <w:rPr>
      <w:rFonts w:eastAsia="Times New Roman"/>
      <w:b/>
      <w:sz w:val="18"/>
      <w:szCs w:val="18"/>
    </w:rPr>
  </w:style>
  <w:style w:type="paragraph" w:customStyle="1" w:styleId="afffffffff9">
    <w:name w:val="注解"/>
    <w:basedOn w:val="a"/>
    <w:semiHidden/>
    <w:qFormat/>
    <w:pPr>
      <w:spacing w:before="60" w:line="360" w:lineRule="exact"/>
      <w:ind w:firstLineChars="200" w:firstLine="200"/>
    </w:pPr>
  </w:style>
  <w:style w:type="paragraph" w:customStyle="1" w:styleId="CharChar100">
    <w:name w:val="字元 Char Char 字元10"/>
    <w:basedOn w:val="a"/>
    <w:semiHidden/>
    <w:qFormat/>
    <w:pPr>
      <w:autoSpaceDE w:val="0"/>
      <w:autoSpaceDN w:val="0"/>
      <w:adjustRightInd w:val="0"/>
      <w:spacing w:beforeLines="50"/>
    </w:pPr>
  </w:style>
  <w:style w:type="paragraph" w:customStyle="1" w:styleId="Subheading">
    <w:name w:val="_Subheading"/>
    <w:basedOn w:val="HeadingPlain"/>
    <w:next w:val="Line"/>
    <w:uiPriority w:val="99"/>
    <w:semiHidden/>
    <w:qFormat/>
    <w:pPr>
      <w:keepNext/>
      <w:spacing w:after="160"/>
    </w:pPr>
    <w:rPr>
      <w:bCs w:val="0"/>
      <w:sz w:val="28"/>
    </w:rPr>
  </w:style>
  <w:style w:type="paragraph" w:customStyle="1" w:styleId="HeadingPlain">
    <w:name w:val="_HeadingPlain"/>
    <w:basedOn w:val="a"/>
    <w:next w:val="a"/>
    <w:uiPriority w:val="99"/>
    <w:semiHidden/>
    <w:qFormat/>
    <w:rPr>
      <w:rFonts w:ascii="Arial" w:eastAsia="SC STKaiti" w:hAnsi="Arial"/>
      <w:b/>
      <w:bCs/>
      <w:color w:val="000080"/>
      <w:sz w:val="44"/>
    </w:rPr>
  </w:style>
  <w:style w:type="paragraph" w:customStyle="1" w:styleId="CharCharCharCharCharCharCharChar">
    <w:name w:val="Char Char Char Char Char Char Char Char"/>
    <w:basedOn w:val="a"/>
    <w:semiHidden/>
    <w:qFormat/>
    <w:rPr>
      <w:rFonts w:ascii="Tahoma" w:hAnsi="Tahoma"/>
      <w:szCs w:val="20"/>
    </w:rPr>
  </w:style>
  <w:style w:type="paragraph" w:customStyle="1" w:styleId="afffffffffa">
    <w:name w:val="图表"/>
    <w:semiHidden/>
    <w:qFormat/>
    <w:pPr>
      <w:adjustRightInd w:val="0"/>
      <w:snapToGrid w:val="0"/>
      <w:spacing w:line="300" w:lineRule="auto"/>
    </w:pPr>
    <w:rPr>
      <w:rFonts w:ascii="Arial" w:hAnsi="Arial"/>
      <w:kern w:val="2"/>
      <w:sz w:val="21"/>
      <w:szCs w:val="21"/>
    </w:rPr>
  </w:style>
  <w:style w:type="paragraph" w:customStyle="1" w:styleId="300100151">
    <w:name w:val="样式 标题 3 + (符号) 宋体 两端对齐 右侧:  0.01 厘米 段前: 0 磅 段后: 0 磅 行距: 1.5...1"/>
    <w:basedOn w:val="a"/>
    <w:semiHidden/>
    <w:qFormat/>
    <w:pPr>
      <w:tabs>
        <w:tab w:val="left" w:pos="420"/>
      </w:tabs>
      <w:autoSpaceDE w:val="0"/>
      <w:autoSpaceDN w:val="0"/>
      <w:adjustRightInd w:val="0"/>
      <w:ind w:left="420" w:hanging="420"/>
    </w:pPr>
  </w:style>
  <w:style w:type="paragraph" w:customStyle="1" w:styleId="1410">
    <w:name w:val="列出段落141"/>
    <w:basedOn w:val="a"/>
    <w:semiHidden/>
    <w:qFormat/>
    <w:pPr>
      <w:ind w:firstLineChars="200" w:firstLine="420"/>
    </w:pPr>
    <w:rPr>
      <w:rFonts w:ascii="Calibri" w:hAnsi="Calibri"/>
      <w:szCs w:val="22"/>
    </w:rPr>
  </w:style>
  <w:style w:type="paragraph" w:customStyle="1" w:styleId="Level6">
    <w:name w:val="Level 6"/>
    <w:basedOn w:val="a"/>
    <w:semiHidden/>
    <w:qFormat/>
    <w:pPr>
      <w:tabs>
        <w:tab w:val="left" w:pos="3288"/>
      </w:tabs>
      <w:spacing w:after="140" w:line="288" w:lineRule="auto"/>
      <w:ind w:left="3288" w:hanging="680"/>
    </w:pPr>
    <w:rPr>
      <w:rFonts w:ascii="Arial" w:hAnsi="Arial"/>
      <w:kern w:val="20"/>
      <w:sz w:val="20"/>
      <w:lang w:eastAsia="en-US"/>
    </w:rPr>
  </w:style>
  <w:style w:type="paragraph" w:customStyle="1" w:styleId="font17">
    <w:name w:val="font17"/>
    <w:basedOn w:val="a"/>
    <w:semiHidden/>
    <w:qFormat/>
    <w:pPr>
      <w:spacing w:before="100" w:beforeAutospacing="1" w:after="100" w:afterAutospacing="1"/>
    </w:pPr>
    <w:rPr>
      <w:color w:val="000000"/>
      <w:sz w:val="20"/>
      <w:szCs w:val="20"/>
    </w:rPr>
  </w:style>
  <w:style w:type="paragraph" w:customStyle="1" w:styleId="222">
    <w:name w:val="批注框文本22"/>
    <w:basedOn w:val="a"/>
    <w:semiHidden/>
    <w:qFormat/>
    <w:rPr>
      <w:rFonts w:ascii="Tahoma" w:eastAsia="华文楷体" w:hAnsi="Tahoma" w:cs="Tahoma"/>
      <w:sz w:val="16"/>
      <w:szCs w:val="16"/>
      <w:lang w:val="en-GB"/>
    </w:rPr>
  </w:style>
  <w:style w:type="paragraph" w:customStyle="1" w:styleId="xu1">
    <w:name w:val="xu封可研报告"/>
    <w:basedOn w:val="a"/>
    <w:semiHidden/>
    <w:qFormat/>
    <w:pPr>
      <w:jc w:val="center"/>
    </w:pPr>
    <w:rPr>
      <w:w w:val="90"/>
      <w:sz w:val="96"/>
      <w:szCs w:val="96"/>
    </w:rPr>
  </w:style>
  <w:style w:type="paragraph" w:customStyle="1" w:styleId="Charffff4">
    <w:name w:val="样式 正文文本正文文字 + (中文) 黑体 加粗 Char"/>
    <w:basedOn w:val="a8"/>
    <w:semiHidden/>
    <w:qFormat/>
    <w:pPr>
      <w:ind w:left="0" w:firstLineChars="200" w:firstLine="200"/>
    </w:pPr>
    <w:rPr>
      <w:rFonts w:eastAsia="黑体"/>
      <w:b/>
      <w:bCs/>
    </w:rPr>
  </w:style>
  <w:style w:type="paragraph" w:customStyle="1" w:styleId="0">
    <w:name w:val="0"/>
    <w:basedOn w:val="a"/>
    <w:semiHidden/>
    <w:qFormat/>
    <w:pPr>
      <w:snapToGrid w:val="0"/>
    </w:pPr>
    <w:rPr>
      <w:szCs w:val="20"/>
    </w:rPr>
  </w:style>
  <w:style w:type="paragraph" w:customStyle="1" w:styleId="Char190">
    <w:name w:val="Char19"/>
    <w:basedOn w:val="a"/>
    <w:semiHidden/>
    <w:qFormat/>
    <w:rPr>
      <w:rFonts w:ascii="Tahoma" w:hAnsi="Tahoma"/>
      <w:szCs w:val="20"/>
    </w:rPr>
  </w:style>
  <w:style w:type="paragraph" w:customStyle="1" w:styleId="3f7">
    <w:name w:val="3级标题"/>
    <w:basedOn w:val="a"/>
    <w:link w:val="3Char4"/>
    <w:uiPriority w:val="99"/>
    <w:semiHidden/>
    <w:qFormat/>
    <w:pPr>
      <w:spacing w:before="300" w:line="460" w:lineRule="exact"/>
      <w:outlineLvl w:val="2"/>
    </w:pPr>
    <w:rPr>
      <w:b/>
    </w:rPr>
  </w:style>
  <w:style w:type="character" w:customStyle="1" w:styleId="3Char4">
    <w:name w:val="3级标题 Char"/>
    <w:link w:val="3f7"/>
    <w:uiPriority w:val="99"/>
    <w:semiHidden/>
    <w:qFormat/>
    <w:rPr>
      <w:b/>
      <w:kern w:val="2"/>
      <w:sz w:val="21"/>
      <w:szCs w:val="21"/>
    </w:rPr>
  </w:style>
  <w:style w:type="paragraph" w:customStyle="1" w:styleId="CharCharCharChar16">
    <w:name w:val="Char Char Char Char16"/>
    <w:basedOn w:val="a"/>
    <w:semiHidden/>
    <w:qFormat/>
    <w:pPr>
      <w:spacing w:after="160" w:line="240" w:lineRule="exact"/>
    </w:pPr>
    <w:rPr>
      <w:rFonts w:ascii="Tahoma" w:hAnsi="Tahoma"/>
      <w:sz w:val="20"/>
      <w:szCs w:val="20"/>
      <w:lang w:eastAsia="en-US"/>
    </w:rPr>
  </w:style>
  <w:style w:type="paragraph" w:customStyle="1" w:styleId="xl114">
    <w:name w:val="xl114"/>
    <w:basedOn w:val="a"/>
    <w:semiHidden/>
    <w:qFormat/>
    <w:pPr>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b/>
      <w:bCs/>
      <w:sz w:val="20"/>
      <w:szCs w:val="20"/>
    </w:rPr>
  </w:style>
  <w:style w:type="paragraph" w:customStyle="1" w:styleId="006">
    <w:name w:val="006备注"/>
    <w:basedOn w:val="a"/>
    <w:qFormat/>
    <w:pPr>
      <w:widowControl w:val="0"/>
      <w:adjustRightInd w:val="0"/>
      <w:ind w:firstLineChars="200" w:firstLine="200"/>
      <w:jc w:val="both"/>
    </w:pPr>
    <w:rPr>
      <w:rFonts w:cs="Arial"/>
      <w:bCs/>
      <w:szCs w:val="22"/>
    </w:rPr>
  </w:style>
  <w:style w:type="paragraph" w:customStyle="1" w:styleId="ParaCharCharCharCharCharCharCharCharCharCharCharCharCharCharCharCharChar">
    <w:name w:val="默认段落字体 Para Char Char Char Char Char Char Char Char Char Char Char Char Char Char Char Char Char"/>
    <w:next w:val="a"/>
    <w:semiHidden/>
    <w:qFormat/>
    <w:pPr>
      <w:keepNext/>
      <w:keepLines/>
      <w:tabs>
        <w:tab w:val="left" w:pos="420"/>
        <w:tab w:val="left" w:pos="3360"/>
      </w:tabs>
      <w:snapToGrid w:val="0"/>
      <w:spacing w:before="240" w:after="240"/>
      <w:ind w:left="3360" w:hanging="420"/>
      <w:outlineLvl w:val="7"/>
    </w:pPr>
    <w:rPr>
      <w:rFonts w:ascii="Arial" w:eastAsia="黑体" w:hAnsi="Arial" w:cs="Arial"/>
      <w:sz w:val="21"/>
      <w:szCs w:val="21"/>
    </w:rPr>
  </w:style>
  <w:style w:type="paragraph" w:customStyle="1" w:styleId="afffffffffb">
    <w:name w:val="图中字蓝"/>
    <w:basedOn w:val="afffffffffc"/>
    <w:semiHidden/>
    <w:qFormat/>
    <w:pPr>
      <w:snapToGrid w:val="0"/>
      <w:ind w:firstLine="0"/>
      <w:jc w:val="center"/>
    </w:pPr>
    <w:rPr>
      <w:color w:val="0000FF"/>
      <w:w w:val="90"/>
    </w:rPr>
  </w:style>
  <w:style w:type="paragraph" w:customStyle="1" w:styleId="afffffffffc">
    <w:name w:val="图中字"/>
    <w:basedOn w:val="af4"/>
    <w:semiHidden/>
    <w:qFormat/>
    <w:pPr>
      <w:widowControl/>
      <w:ind w:firstLine="560"/>
      <w:jc w:val="left"/>
      <w:textAlignment w:val="center"/>
      <w:outlineLvl w:val="0"/>
    </w:pPr>
    <w:rPr>
      <w:rFonts w:ascii="黑体" w:eastAsia="黑体" w:hAnsi="黑体"/>
      <w:color w:val="FF0000"/>
      <w:kern w:val="0"/>
      <w:sz w:val="24"/>
      <w:szCs w:val="24"/>
    </w:rPr>
  </w:style>
  <w:style w:type="paragraph" w:customStyle="1" w:styleId="xl63">
    <w:name w:val="xl63"/>
    <w:basedOn w:val="a"/>
    <w:uiPriority w:val="99"/>
    <w:semiHidden/>
    <w:qFormat/>
    <w:pPr>
      <w:pBdr>
        <w:bottom w:val="single" w:sz="8" w:space="0" w:color="auto"/>
      </w:pBdr>
      <w:spacing w:before="100" w:beforeAutospacing="1" w:after="100" w:afterAutospacing="1"/>
      <w:jc w:val="center"/>
    </w:pPr>
  </w:style>
  <w:style w:type="paragraph" w:customStyle="1" w:styleId="KWheading3">
    <w:name w:val="K&amp;W heading 3"/>
    <w:basedOn w:val="a"/>
    <w:semiHidden/>
    <w:qFormat/>
    <w:pPr>
      <w:numPr>
        <w:ilvl w:val="2"/>
        <w:numId w:val="13"/>
      </w:numPr>
      <w:tabs>
        <w:tab w:val="left" w:pos="567"/>
        <w:tab w:val="left" w:pos="1492"/>
      </w:tabs>
      <w:adjustRightInd w:val="0"/>
      <w:spacing w:after="280" w:line="280" w:lineRule="exact"/>
      <w:ind w:left="1260" w:hanging="420"/>
      <w:textAlignment w:val="baseline"/>
      <w:outlineLvl w:val="2"/>
    </w:pPr>
    <w:rPr>
      <w:rFonts w:ascii="Arial" w:eastAsia="楷体_GB2312" w:hAnsi="Arial"/>
      <w:sz w:val="20"/>
      <w:szCs w:val="20"/>
      <w:lang w:eastAsia="en-US"/>
    </w:rPr>
  </w:style>
  <w:style w:type="paragraph" w:customStyle="1" w:styleId="CharCharCharCharCharCharCharCharCharChar10">
    <w:name w:val="Char Char Char Char Char Char Char Char Char Char10"/>
    <w:basedOn w:val="a"/>
    <w:semiHidden/>
    <w:qFormat/>
    <w:rPr>
      <w:rFonts w:ascii="Tahoma" w:hAnsi="Tahoma"/>
      <w:szCs w:val="20"/>
    </w:rPr>
  </w:style>
  <w:style w:type="table" w:customStyle="1" w:styleId="370">
    <w:name w:val="网格型37"/>
    <w:basedOn w:val="a1"/>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84">
    <w:name w:val="CM84"/>
    <w:basedOn w:val="Default"/>
    <w:next w:val="Default"/>
    <w:uiPriority w:val="99"/>
    <w:semiHidden/>
    <w:qFormat/>
    <w:pPr>
      <w:spacing w:after="415"/>
    </w:pPr>
    <w:rPr>
      <w:rFonts w:ascii="隶书" w:eastAsia="隶书" w:cs="Times New Roman"/>
      <w:color w:val="auto"/>
    </w:rPr>
  </w:style>
  <w:style w:type="paragraph" w:styleId="afffffffffd">
    <w:name w:val="No Spacing"/>
    <w:link w:val="afffffffffe"/>
    <w:uiPriority w:val="1"/>
    <w:qFormat/>
    <w:pPr>
      <w:widowControl w:val="0"/>
      <w:spacing w:beforeLines="30" w:before="30" w:afterLines="30" w:after="30"/>
      <w:jc w:val="center"/>
    </w:pPr>
    <w:rPr>
      <w:kern w:val="2"/>
      <w:sz w:val="18"/>
      <w:szCs w:val="22"/>
    </w:rPr>
  </w:style>
  <w:style w:type="character" w:customStyle="1" w:styleId="afffffffffe">
    <w:name w:val="无间隔 字符"/>
    <w:link w:val="afffffffffd"/>
    <w:uiPriority w:val="1"/>
    <w:semiHidden/>
    <w:qFormat/>
    <w:rPr>
      <w:kern w:val="2"/>
      <w:sz w:val="18"/>
      <w:szCs w:val="22"/>
    </w:rPr>
  </w:style>
  <w:style w:type="paragraph" w:customStyle="1" w:styleId="230">
    <w:name w:val="正文文本缩进 23"/>
    <w:basedOn w:val="a"/>
    <w:uiPriority w:val="99"/>
    <w:semiHidden/>
    <w:qFormat/>
    <w:pPr>
      <w:adjustRightInd w:val="0"/>
      <w:spacing w:line="300" w:lineRule="auto"/>
      <w:ind w:firstLine="540"/>
      <w:textAlignment w:val="baseline"/>
    </w:pPr>
    <w:rPr>
      <w:rFonts w:ascii="仿宋_GB2312" w:eastAsia="仿宋_GB2312"/>
      <w:szCs w:val="20"/>
    </w:rPr>
  </w:style>
  <w:style w:type="paragraph" w:customStyle="1" w:styleId="CharCharChar3CharCharCharCharCharCharCharCharCharCharCharCharCharCharChar1">
    <w:name w:val="Char Char Char3 Char Char Char Char Char Char Char Char Char Char Char Char Char Char Char1"/>
    <w:basedOn w:val="a"/>
    <w:semiHidden/>
    <w:qFormat/>
    <w:rPr>
      <w:rFonts w:ascii="Tahoma" w:hAnsi="Tahoma"/>
      <w:szCs w:val="20"/>
    </w:rPr>
  </w:style>
  <w:style w:type="paragraph" w:customStyle="1" w:styleId="CharCharCharCharCharChar1CharCharChar11">
    <w:name w:val="Char Char Char Char Char Char1 Char Char Char11"/>
    <w:basedOn w:val="a"/>
    <w:semiHidden/>
    <w:qFormat/>
    <w:pPr>
      <w:autoSpaceDE w:val="0"/>
      <w:autoSpaceDN w:val="0"/>
      <w:adjustRightInd w:val="0"/>
      <w:textAlignment w:val="baseline"/>
    </w:pPr>
    <w:rPr>
      <w:rFonts w:eastAsia="方正仿宋简体"/>
      <w:sz w:val="32"/>
      <w:szCs w:val="20"/>
    </w:rPr>
  </w:style>
  <w:style w:type="paragraph" w:customStyle="1" w:styleId="CharChar1Char0">
    <w:name w:val="Char Char1 Char"/>
    <w:basedOn w:val="a"/>
    <w:semiHidden/>
    <w:qFormat/>
    <w:pPr>
      <w:spacing w:after="160" w:line="240" w:lineRule="exact"/>
    </w:pPr>
    <w:rPr>
      <w:rFonts w:ascii="Verdana" w:eastAsia="Times New Roman" w:hAnsi="Verdana"/>
      <w:sz w:val="20"/>
      <w:szCs w:val="20"/>
      <w:lang w:eastAsia="en-US"/>
    </w:rPr>
  </w:style>
  <w:style w:type="paragraph" w:customStyle="1" w:styleId="KWSubheading">
    <w:name w:val="K&amp;W Subheading"/>
    <w:basedOn w:val="KWheading2"/>
    <w:next w:val="KWBodytext"/>
    <w:semiHidden/>
    <w:qFormat/>
    <w:pPr>
      <w:numPr>
        <w:ilvl w:val="0"/>
        <w:numId w:val="0"/>
      </w:numPr>
      <w:tabs>
        <w:tab w:val="left" w:pos="567"/>
      </w:tabs>
      <w:adjustRightInd/>
      <w:spacing w:after="360" w:line="320" w:lineRule="exact"/>
      <w:textAlignment w:val="auto"/>
    </w:pPr>
    <w:rPr>
      <w:kern w:val="28"/>
      <w:sz w:val="24"/>
    </w:rPr>
  </w:style>
  <w:style w:type="paragraph" w:customStyle="1" w:styleId="KWheading2">
    <w:name w:val="K&amp;W heading 2"/>
    <w:basedOn w:val="a"/>
    <w:next w:val="a"/>
    <w:link w:val="KWheading2Char"/>
    <w:semiHidden/>
    <w:qFormat/>
    <w:pPr>
      <w:keepNext/>
      <w:numPr>
        <w:ilvl w:val="1"/>
        <w:numId w:val="13"/>
      </w:numPr>
      <w:tabs>
        <w:tab w:val="left" w:pos="567"/>
        <w:tab w:val="left" w:pos="1492"/>
      </w:tabs>
      <w:adjustRightInd w:val="0"/>
      <w:spacing w:after="280" w:line="280" w:lineRule="exact"/>
      <w:ind w:left="840" w:hanging="420"/>
      <w:textAlignment w:val="baseline"/>
      <w:outlineLvl w:val="1"/>
    </w:pPr>
    <w:rPr>
      <w:rFonts w:ascii="Arial" w:eastAsia="楷体_GB2312" w:hAnsi="Arial"/>
      <w:sz w:val="20"/>
      <w:szCs w:val="20"/>
      <w:lang w:eastAsia="en-US"/>
    </w:rPr>
  </w:style>
  <w:style w:type="character" w:customStyle="1" w:styleId="KWheading2Char">
    <w:name w:val="K&amp;W heading 2 Char"/>
    <w:link w:val="KWheading2"/>
    <w:semiHidden/>
    <w:qFormat/>
    <w:rPr>
      <w:rFonts w:ascii="Arial" w:eastAsia="楷体_GB2312" w:hAnsi="Arial"/>
      <w:kern w:val="2"/>
      <w:lang w:eastAsia="en-US"/>
    </w:rPr>
  </w:style>
  <w:style w:type="paragraph" w:customStyle="1" w:styleId="KWBodytext">
    <w:name w:val="K&amp;W Body text"/>
    <w:basedOn w:val="KWNormal"/>
    <w:semiHidden/>
    <w:qFormat/>
    <w:pPr>
      <w:ind w:firstLineChars="200" w:firstLine="200"/>
    </w:pPr>
    <w:rPr>
      <w:color w:val="auto"/>
    </w:rPr>
  </w:style>
  <w:style w:type="paragraph" w:customStyle="1" w:styleId="Char150">
    <w:name w:val="Char15"/>
    <w:basedOn w:val="a"/>
    <w:semiHidden/>
    <w:qFormat/>
    <w:pPr>
      <w:autoSpaceDE w:val="0"/>
      <w:autoSpaceDN w:val="0"/>
      <w:adjustRightInd w:val="0"/>
      <w:spacing w:after="160" w:line="240" w:lineRule="exact"/>
    </w:pPr>
    <w:rPr>
      <w:szCs w:val="20"/>
    </w:rPr>
  </w:style>
  <w:style w:type="paragraph" w:customStyle="1" w:styleId="1ffe">
    <w:name w:val="表1"/>
    <w:basedOn w:val="a"/>
    <w:semiHidden/>
    <w:qFormat/>
    <w:pPr>
      <w:adjustRightInd w:val="0"/>
      <w:snapToGrid w:val="0"/>
      <w:spacing w:before="60" w:after="60"/>
      <w:jc w:val="center"/>
    </w:pPr>
    <w:rPr>
      <w:spacing w:val="-6"/>
      <w:szCs w:val="20"/>
    </w:rPr>
  </w:style>
  <w:style w:type="paragraph" w:customStyle="1" w:styleId="900">
    <w:name w:val="表左 90%"/>
    <w:basedOn w:val="affffffff9"/>
    <w:semiHidden/>
    <w:qFormat/>
  </w:style>
  <w:style w:type="paragraph" w:customStyle="1" w:styleId="CM16">
    <w:name w:val="CM16"/>
    <w:basedOn w:val="Default"/>
    <w:next w:val="Default"/>
    <w:uiPriority w:val="99"/>
    <w:semiHidden/>
    <w:qFormat/>
    <w:pPr>
      <w:spacing w:line="468" w:lineRule="atLeast"/>
    </w:pPr>
    <w:rPr>
      <w:rFonts w:ascii="隶书" w:eastAsia="隶书" w:cs="Times New Roman"/>
      <w:color w:val="auto"/>
    </w:rPr>
  </w:style>
  <w:style w:type="paragraph" w:customStyle="1" w:styleId="CharCharCharCharCharCharChar5">
    <w:name w:val="Char Char Char Char Char Char Char5"/>
    <w:basedOn w:val="a"/>
    <w:semiHidden/>
    <w:qFormat/>
  </w:style>
  <w:style w:type="paragraph" w:customStyle="1" w:styleId="CharCharCharCharCharCharChar2">
    <w:name w:val="Char Char Char Char Char Char Char2"/>
    <w:basedOn w:val="a"/>
    <w:semiHidden/>
    <w:qFormat/>
    <w:pPr>
      <w:autoSpaceDE w:val="0"/>
      <w:autoSpaceDN w:val="0"/>
      <w:adjustRightInd w:val="0"/>
    </w:pPr>
  </w:style>
  <w:style w:type="paragraph" w:customStyle="1" w:styleId="CharCharCharCharCharCharChar17">
    <w:name w:val="Char Char Char Char Char Char Char17"/>
    <w:basedOn w:val="a"/>
    <w:semiHidden/>
    <w:qFormat/>
    <w:pPr>
      <w:spacing w:after="160" w:line="240" w:lineRule="exact"/>
    </w:pPr>
    <w:rPr>
      <w:rFonts w:ascii="Verdana" w:hAnsi="Verdana"/>
      <w:sz w:val="20"/>
      <w:szCs w:val="20"/>
      <w:lang w:eastAsia="en-US"/>
    </w:rPr>
  </w:style>
  <w:style w:type="paragraph" w:customStyle="1" w:styleId="217">
    <w:name w:val="样式 正文首行缩进 + 首行缩进:  2 字符1"/>
    <w:basedOn w:val="a"/>
    <w:semiHidden/>
    <w:qFormat/>
    <w:pPr>
      <w:spacing w:line="360" w:lineRule="auto"/>
      <w:ind w:firstLineChars="200" w:firstLine="480"/>
    </w:pPr>
    <w:rPr>
      <w:sz w:val="24"/>
    </w:rPr>
  </w:style>
  <w:style w:type="paragraph" w:customStyle="1" w:styleId="CM102">
    <w:name w:val="CM102"/>
    <w:basedOn w:val="Default"/>
    <w:next w:val="Default"/>
    <w:semiHidden/>
    <w:qFormat/>
    <w:pPr>
      <w:spacing w:after="1340"/>
    </w:pPr>
    <w:rPr>
      <w:rFonts w:ascii="黑体" w:eastAsia="黑体" w:cs="Times New Roman"/>
      <w:color w:val="auto"/>
      <w:szCs w:val="20"/>
    </w:rPr>
  </w:style>
  <w:style w:type="paragraph" w:customStyle="1" w:styleId="CharChar90">
    <w:name w:val="字元 Char Char 字元9"/>
    <w:basedOn w:val="a"/>
    <w:semiHidden/>
    <w:qFormat/>
    <w:pPr>
      <w:autoSpaceDE w:val="0"/>
      <w:autoSpaceDN w:val="0"/>
      <w:adjustRightInd w:val="0"/>
      <w:spacing w:beforeLines="50"/>
    </w:pPr>
  </w:style>
  <w:style w:type="paragraph" w:customStyle="1" w:styleId="CM105">
    <w:name w:val="CM105"/>
    <w:basedOn w:val="a"/>
    <w:next w:val="a"/>
    <w:semiHidden/>
    <w:qFormat/>
    <w:pPr>
      <w:autoSpaceDE w:val="0"/>
      <w:autoSpaceDN w:val="0"/>
      <w:adjustRightInd w:val="0"/>
      <w:spacing w:after="305"/>
    </w:pPr>
    <w:rPr>
      <w:rFonts w:ascii="楷体_GB2312" w:eastAsia="楷体_GB2312"/>
    </w:rPr>
  </w:style>
  <w:style w:type="paragraph" w:customStyle="1" w:styleId="093">
    <w:name w:val="样式 表格标题 + 首行缩进:  0.93 厘米"/>
    <w:basedOn w:val="a"/>
    <w:semiHidden/>
    <w:qFormat/>
    <w:pPr>
      <w:snapToGrid w:val="0"/>
      <w:spacing w:beforeLines="10" w:line="440" w:lineRule="atLeast"/>
      <w:ind w:firstLine="528"/>
      <w:jc w:val="center"/>
    </w:pPr>
    <w:rPr>
      <w:szCs w:val="20"/>
    </w:rPr>
  </w:style>
  <w:style w:type="paragraph" w:customStyle="1" w:styleId="xl54">
    <w:name w:val="xl54"/>
    <w:basedOn w:val="a"/>
    <w:semiHidden/>
    <w:qFormat/>
    <w:pPr>
      <w:pBdr>
        <w:top w:val="single" w:sz="4" w:space="0" w:color="auto"/>
        <w:left w:val="single" w:sz="4" w:space="0" w:color="auto"/>
        <w:bottom w:val="single" w:sz="4" w:space="0" w:color="auto"/>
        <w:right w:val="single" w:sz="4" w:space="0" w:color="auto"/>
      </w:pBdr>
      <w:spacing w:before="100" w:beforeAutospacing="1" w:after="100" w:afterAutospacing="1"/>
    </w:pPr>
    <w:rPr>
      <w:color w:val="3366FF"/>
      <w:sz w:val="20"/>
      <w:szCs w:val="20"/>
    </w:rPr>
  </w:style>
  <w:style w:type="paragraph" w:customStyle="1" w:styleId="68">
    <w:name w:val="样式 表格 + 两端对齐 段前: 6 磅"/>
    <w:basedOn w:val="afffffffe"/>
    <w:semiHidden/>
    <w:qFormat/>
    <w:pPr>
      <w:widowControl/>
      <w:spacing w:beforeLines="0"/>
      <w:jc w:val="both"/>
    </w:pPr>
    <w:rPr>
      <w:rFonts w:ascii="Arial" w:hAnsi="Arial" w:cs="宋体"/>
      <w:szCs w:val="20"/>
    </w:rPr>
  </w:style>
  <w:style w:type="paragraph" w:customStyle="1" w:styleId="affffffffff">
    <w:name w:val="单位"/>
    <w:basedOn w:val="a"/>
    <w:link w:val="Charffff5"/>
    <w:semiHidden/>
    <w:qFormat/>
    <w:pPr>
      <w:keepNext/>
      <w:spacing w:after="120"/>
      <w:jc w:val="right"/>
    </w:pPr>
  </w:style>
  <w:style w:type="character" w:customStyle="1" w:styleId="Charffff5">
    <w:name w:val="单位 Char"/>
    <w:link w:val="affffffffff"/>
    <w:semiHidden/>
    <w:qFormat/>
    <w:rPr>
      <w:kern w:val="2"/>
      <w:sz w:val="21"/>
      <w:szCs w:val="21"/>
    </w:rPr>
  </w:style>
  <w:style w:type="paragraph" w:customStyle="1" w:styleId="affffffffff0">
    <w:name w:val="附注二级正文"/>
    <w:basedOn w:val="a"/>
    <w:link w:val="CharChare"/>
    <w:semiHidden/>
    <w:qFormat/>
    <w:pPr>
      <w:adjustRightInd w:val="0"/>
      <w:snapToGrid w:val="0"/>
      <w:spacing w:line="400" w:lineRule="exact"/>
      <w:ind w:leftChars="342" w:left="718"/>
    </w:pPr>
    <w:rPr>
      <w:szCs w:val="20"/>
    </w:rPr>
  </w:style>
  <w:style w:type="character" w:customStyle="1" w:styleId="CharChare">
    <w:name w:val="附注二级正文 Char Char"/>
    <w:link w:val="affffffffff0"/>
    <w:semiHidden/>
    <w:qFormat/>
    <w:rPr>
      <w:kern w:val="2"/>
      <w:sz w:val="21"/>
    </w:rPr>
  </w:style>
  <w:style w:type="paragraph" w:customStyle="1" w:styleId="CharCharCharChar1">
    <w:name w:val="Char Char Char Char1"/>
    <w:basedOn w:val="a"/>
    <w:semiHidden/>
    <w:qFormat/>
    <w:rPr>
      <w:rFonts w:ascii="Tahoma" w:hAnsi="Tahoma"/>
      <w:szCs w:val="20"/>
    </w:rPr>
  </w:style>
  <w:style w:type="paragraph" w:customStyle="1" w:styleId="101">
    <w:name w:val="列出段落10"/>
    <w:basedOn w:val="a"/>
    <w:semiHidden/>
    <w:qFormat/>
    <w:pPr>
      <w:ind w:firstLineChars="200" w:firstLine="420"/>
    </w:pPr>
    <w:rPr>
      <w:rFonts w:ascii="Calibri" w:hAnsi="Calibri"/>
      <w:szCs w:val="22"/>
    </w:rPr>
  </w:style>
  <w:style w:type="paragraph" w:customStyle="1" w:styleId="mytxt">
    <w:name w:val="mytxt"/>
    <w:basedOn w:val="a"/>
    <w:semiHidden/>
    <w:qFormat/>
    <w:pPr>
      <w:spacing w:before="100" w:beforeAutospacing="1" w:after="100" w:afterAutospacing="1"/>
    </w:pPr>
  </w:style>
  <w:style w:type="paragraph" w:customStyle="1" w:styleId="-3">
    <w:name w:val="È±Ê¡ÎÄ±¾-×¢ÊÍ"/>
    <w:basedOn w:val="a"/>
    <w:semiHidden/>
    <w:qFormat/>
    <w:pPr>
      <w:tabs>
        <w:tab w:val="left" w:pos="595"/>
        <w:tab w:val="center" w:pos="2245"/>
        <w:tab w:val="center" w:pos="6497"/>
      </w:tabs>
      <w:overflowPunct w:val="0"/>
      <w:autoSpaceDE w:val="0"/>
      <w:autoSpaceDN w:val="0"/>
      <w:adjustRightInd w:val="0"/>
      <w:spacing w:after="120" w:line="360" w:lineRule="auto"/>
    </w:pPr>
    <w:rPr>
      <w:szCs w:val="20"/>
    </w:rPr>
  </w:style>
  <w:style w:type="paragraph" w:customStyle="1" w:styleId="BodyHeading">
    <w:name w:val="_BodyHeading"/>
    <w:basedOn w:val="Body0"/>
    <w:next w:val="Body0"/>
    <w:uiPriority w:val="99"/>
    <w:semiHidden/>
    <w:qFormat/>
    <w:pPr>
      <w:keepNext/>
      <w:spacing w:before="240" w:after="60"/>
    </w:pPr>
    <w:rPr>
      <w:b/>
    </w:rPr>
  </w:style>
  <w:style w:type="paragraph" w:customStyle="1" w:styleId="002">
    <w:name w:val="002二级标题"/>
    <w:link w:val="002Char"/>
    <w:qFormat/>
    <w:pPr>
      <w:keepNext/>
      <w:keepLines/>
      <w:spacing w:beforeLines="50" w:before="50" w:afterLines="50" w:after="50" w:line="360" w:lineRule="auto"/>
      <w:jc w:val="both"/>
      <w:outlineLvl w:val="1"/>
    </w:pPr>
    <w:rPr>
      <w:rFonts w:eastAsia="黑体"/>
      <w:b/>
      <w:bCs/>
      <w:kern w:val="2"/>
      <w:sz w:val="28"/>
      <w:szCs w:val="28"/>
    </w:rPr>
  </w:style>
  <w:style w:type="character" w:customStyle="1" w:styleId="002Char">
    <w:name w:val="002二级标题 Char"/>
    <w:link w:val="002"/>
    <w:rPr>
      <w:rFonts w:eastAsia="黑体"/>
      <w:b/>
      <w:bCs/>
      <w:kern w:val="2"/>
      <w:sz w:val="28"/>
      <w:szCs w:val="28"/>
    </w:rPr>
  </w:style>
  <w:style w:type="paragraph" w:customStyle="1" w:styleId="CharCharCharCharCharCharCharCharCharCharCharCharChar13">
    <w:name w:val="Char Char Char Char Char Char Char Char Char Char Char Char Char13"/>
    <w:basedOn w:val="a"/>
    <w:semiHidden/>
    <w:qFormat/>
    <w:rPr>
      <w:rFonts w:ascii="Tahoma" w:hAnsi="Tahoma"/>
      <w:szCs w:val="20"/>
    </w:rPr>
  </w:style>
  <w:style w:type="paragraph" w:customStyle="1" w:styleId="xl141">
    <w:name w:val="xl141"/>
    <w:basedOn w:val="a"/>
    <w:semiHidden/>
    <w:qFormat/>
    <w:pPr>
      <w:pBdr>
        <w:top w:val="single" w:sz="8" w:space="0" w:color="auto"/>
        <w:left w:val="single" w:sz="8" w:space="0" w:color="auto"/>
        <w:right w:val="single" w:sz="8" w:space="0" w:color="auto"/>
      </w:pBdr>
      <w:spacing w:before="100" w:beforeAutospacing="1" w:after="100" w:afterAutospacing="1"/>
      <w:jc w:val="center"/>
    </w:pPr>
    <w:rPr>
      <w:color w:val="000000"/>
      <w:sz w:val="18"/>
      <w:szCs w:val="18"/>
    </w:rPr>
  </w:style>
  <w:style w:type="paragraph" w:customStyle="1" w:styleId="CharChar3CharChar9">
    <w:name w:val="Char Char3 Char Char9"/>
    <w:basedOn w:val="a"/>
    <w:semiHidden/>
    <w:qFormat/>
    <w:pPr>
      <w:spacing w:after="160" w:line="240" w:lineRule="exact"/>
    </w:pPr>
    <w:rPr>
      <w:rFonts w:ascii="Verdana" w:hAnsi="Verdana" w:cs="Verdana"/>
      <w:sz w:val="20"/>
      <w:szCs w:val="20"/>
      <w:lang w:eastAsia="en-US"/>
    </w:rPr>
  </w:style>
  <w:style w:type="paragraph" w:customStyle="1" w:styleId="Char120">
    <w:name w:val="Char12"/>
    <w:basedOn w:val="a"/>
    <w:semiHidden/>
    <w:qFormat/>
    <w:pPr>
      <w:autoSpaceDE w:val="0"/>
      <w:autoSpaceDN w:val="0"/>
      <w:adjustRightInd w:val="0"/>
      <w:spacing w:after="160" w:line="240" w:lineRule="exact"/>
    </w:pPr>
    <w:rPr>
      <w:szCs w:val="20"/>
    </w:rPr>
  </w:style>
  <w:style w:type="paragraph" w:customStyle="1" w:styleId="aCharCharChar">
    <w:name w:val="(a正文 Char Char Char"/>
    <w:basedOn w:val="a"/>
    <w:semiHidden/>
    <w:qFormat/>
    <w:pPr>
      <w:spacing w:line="440" w:lineRule="exact"/>
      <w:ind w:firstLineChars="200" w:firstLine="200"/>
    </w:pPr>
    <w:rPr>
      <w:rFonts w:eastAsia="仿宋_GB2312"/>
      <w:color w:val="000000"/>
    </w:rPr>
  </w:style>
  <w:style w:type="paragraph" w:customStyle="1" w:styleId="CharCharCharCharCharCharCharCharChar2CharCharCharChar1CharCharCharCharChar1CharCharCharChar1">
    <w:name w:val="Char Char Char Char Char Char Char Char Char2 Char Char Char Char1 Char Char Char Char Char1 Char Char Char Char1"/>
    <w:basedOn w:val="a"/>
    <w:semiHidden/>
    <w:qFormat/>
    <w:pPr>
      <w:tabs>
        <w:tab w:val="left" w:pos="425"/>
      </w:tabs>
      <w:ind w:left="425" w:hanging="425"/>
    </w:pPr>
    <w:rPr>
      <w:rFonts w:eastAsia="仿宋_GB2312"/>
      <w:kern w:val="24"/>
    </w:rPr>
  </w:style>
  <w:style w:type="paragraph" w:customStyle="1" w:styleId="KWheading5">
    <w:name w:val="K&amp;W heading 5"/>
    <w:basedOn w:val="a"/>
    <w:semiHidden/>
    <w:qFormat/>
    <w:pPr>
      <w:numPr>
        <w:ilvl w:val="4"/>
        <w:numId w:val="13"/>
      </w:numPr>
      <w:tabs>
        <w:tab w:val="left" w:pos="1492"/>
        <w:tab w:val="left" w:pos="1701"/>
      </w:tabs>
      <w:adjustRightInd w:val="0"/>
      <w:spacing w:after="280" w:line="280" w:lineRule="exact"/>
      <w:ind w:left="2100" w:hanging="420"/>
      <w:textAlignment w:val="baseline"/>
      <w:outlineLvl w:val="4"/>
    </w:pPr>
    <w:rPr>
      <w:rFonts w:ascii="Arial" w:eastAsia="楷体_GB2312" w:hAnsi="Arial"/>
      <w:sz w:val="20"/>
      <w:szCs w:val="20"/>
      <w:lang w:eastAsia="en-US"/>
    </w:rPr>
  </w:style>
  <w:style w:type="paragraph" w:customStyle="1" w:styleId="affffffffff1">
    <w:name w:val="新正文"/>
    <w:basedOn w:val="a"/>
    <w:uiPriority w:val="99"/>
    <w:semiHidden/>
    <w:qFormat/>
    <w:pPr>
      <w:spacing w:line="480" w:lineRule="exact"/>
      <w:ind w:firstLine="567"/>
    </w:pPr>
    <w:rPr>
      <w:rFonts w:ascii="仿宋_GB2312" w:eastAsia="仿宋_GB2312"/>
      <w:bCs/>
      <w:sz w:val="28"/>
      <w:szCs w:val="20"/>
    </w:rPr>
  </w:style>
  <w:style w:type="paragraph" w:customStyle="1" w:styleId="CM42">
    <w:name w:val="CM42"/>
    <w:basedOn w:val="Default"/>
    <w:next w:val="Default"/>
    <w:uiPriority w:val="99"/>
    <w:semiHidden/>
    <w:qFormat/>
    <w:pPr>
      <w:spacing w:line="288" w:lineRule="atLeast"/>
    </w:pPr>
    <w:rPr>
      <w:rFonts w:ascii="隶书" w:eastAsia="隶书" w:cs="Times New Roman"/>
      <w:color w:val="auto"/>
    </w:rPr>
  </w:style>
  <w:style w:type="paragraph" w:customStyle="1" w:styleId="CharCharf">
    <w:name w:val="第四层 （一） Char Char"/>
    <w:link w:val="CharCharChar10"/>
    <w:semiHidden/>
    <w:qFormat/>
    <w:pPr>
      <w:spacing w:before="120" w:line="360" w:lineRule="auto"/>
    </w:pPr>
    <w:rPr>
      <w:b/>
      <w:bCs/>
      <w:sz w:val="24"/>
      <w:szCs w:val="24"/>
    </w:rPr>
  </w:style>
  <w:style w:type="character" w:customStyle="1" w:styleId="CharCharChar10">
    <w:name w:val="第四层 （一） Char Char Char1"/>
    <w:link w:val="CharCharf"/>
    <w:semiHidden/>
    <w:qFormat/>
    <w:rPr>
      <w:b/>
      <w:bCs/>
      <w:sz w:val="24"/>
      <w:szCs w:val="24"/>
    </w:rPr>
  </w:style>
  <w:style w:type="paragraph" w:customStyle="1" w:styleId="1fff">
    <w:name w:val="批注主题1"/>
    <w:basedOn w:val="ae"/>
    <w:next w:val="ae"/>
    <w:semiHidden/>
    <w:qFormat/>
    <w:pPr>
      <w:widowControl/>
    </w:pPr>
    <w:rPr>
      <w:b/>
      <w:bCs/>
      <w:szCs w:val="20"/>
    </w:rPr>
  </w:style>
  <w:style w:type="paragraph" w:customStyle="1" w:styleId="Source">
    <w:name w:val="_Source"/>
    <w:basedOn w:val="Body0"/>
    <w:next w:val="Body0"/>
    <w:uiPriority w:val="99"/>
    <w:semiHidden/>
    <w:qFormat/>
    <w:pPr>
      <w:spacing w:before="40" w:after="360"/>
    </w:pPr>
    <w:rPr>
      <w:i/>
      <w:sz w:val="14"/>
    </w:rPr>
  </w:style>
  <w:style w:type="paragraph" w:customStyle="1" w:styleId="CM3">
    <w:name w:val="CM3"/>
    <w:basedOn w:val="Default"/>
    <w:next w:val="Default"/>
    <w:uiPriority w:val="99"/>
    <w:semiHidden/>
    <w:qFormat/>
    <w:pPr>
      <w:spacing w:line="296" w:lineRule="atLeast"/>
    </w:pPr>
    <w:rPr>
      <w:rFonts w:ascii="PCJODE+MSung-Light" w:eastAsia="PCJODE+MSung-Light" w:cs="Times New Roman"/>
      <w:color w:val="auto"/>
    </w:rPr>
  </w:style>
  <w:style w:type="paragraph" w:customStyle="1" w:styleId="CharCharChar3CharCharCharCharCharCharCharCharCharCharCharCharChar1">
    <w:name w:val="Char Char Char3 Char Char Char Char Char Char Char Char Char Char Char Char Char1"/>
    <w:basedOn w:val="a"/>
    <w:semiHidden/>
    <w:qFormat/>
    <w:rPr>
      <w:rFonts w:ascii="Tahoma" w:hAnsi="Tahoma"/>
      <w:szCs w:val="20"/>
    </w:rPr>
  </w:style>
  <w:style w:type="paragraph" w:customStyle="1" w:styleId="CharChar30CharCharCharCharCharCharCharCharCharCharCharChar1CharCharCharCharCharCharCharChar10">
    <w:name w:val="Char Char30 Char Char Char Char Char Char Char Char Char Char Char Char1 Char Char Char Char Char Char Char Char10"/>
    <w:basedOn w:val="a"/>
    <w:semiHidden/>
    <w:qFormat/>
    <w:pPr>
      <w:spacing w:after="160" w:line="240" w:lineRule="exact"/>
    </w:pPr>
    <w:rPr>
      <w:rFonts w:ascii="Verdana" w:eastAsia="Times New Roman" w:hAnsi="Verdana"/>
      <w:sz w:val="20"/>
      <w:szCs w:val="20"/>
      <w:lang w:eastAsia="en-US"/>
    </w:rPr>
  </w:style>
  <w:style w:type="paragraph" w:customStyle="1" w:styleId="GB2312222">
    <w:name w:val="样式 仿宋_GB2312 四号 行距: 固定值 22 磅 首行缩进:  2 字符"/>
    <w:basedOn w:val="a"/>
    <w:semiHidden/>
    <w:qFormat/>
    <w:pPr>
      <w:spacing w:line="440" w:lineRule="exact"/>
      <w:ind w:firstLineChars="200" w:firstLine="560"/>
    </w:pPr>
    <w:rPr>
      <w:rFonts w:ascii="仿宋_GB2312" w:eastAsia="仿宋_GB2312"/>
      <w:szCs w:val="20"/>
    </w:rPr>
  </w:style>
  <w:style w:type="paragraph" w:customStyle="1" w:styleId="CharChar33">
    <w:name w:val="Char Char33"/>
    <w:basedOn w:val="a"/>
    <w:semiHidden/>
    <w:qFormat/>
    <w:pPr>
      <w:autoSpaceDE w:val="0"/>
      <w:autoSpaceDN w:val="0"/>
      <w:adjustRightInd w:val="0"/>
      <w:spacing w:after="160" w:line="240" w:lineRule="exact"/>
    </w:pPr>
    <w:rPr>
      <w:rFonts w:ascii="Verdana" w:eastAsia="Times New Roman" w:hAnsi="Verdana" w:cs="Arial"/>
      <w:sz w:val="22"/>
      <w:szCs w:val="20"/>
      <w:lang w:eastAsia="en-US"/>
    </w:rPr>
  </w:style>
  <w:style w:type="paragraph" w:customStyle="1" w:styleId="CM27">
    <w:name w:val="CM27"/>
    <w:basedOn w:val="Default"/>
    <w:next w:val="Default"/>
    <w:semiHidden/>
    <w:qFormat/>
    <w:pPr>
      <w:spacing w:line="296" w:lineRule="atLeast"/>
    </w:pPr>
    <w:rPr>
      <w:rFonts w:ascii="隶书" w:eastAsia="隶书" w:cs="Times New Roman"/>
      <w:color w:val="auto"/>
    </w:rPr>
  </w:style>
  <w:style w:type="paragraph" w:customStyle="1" w:styleId="xl29">
    <w:name w:val="xl29"/>
    <w:basedOn w:val="a"/>
    <w:semiHidden/>
    <w:qFormat/>
    <w:pPr>
      <w:spacing w:before="100" w:beforeAutospacing="1" w:after="100" w:afterAutospacing="1"/>
      <w:jc w:val="right"/>
    </w:pPr>
    <w:rPr>
      <w:rFonts w:ascii="Arial Unicode MS" w:eastAsia="Arial Unicode MS" w:hAnsi="Arial Unicode MS" w:cs="Arial Unicode MS"/>
      <w:sz w:val="20"/>
      <w:szCs w:val="20"/>
    </w:rPr>
  </w:style>
  <w:style w:type="paragraph" w:customStyle="1" w:styleId="3f8">
    <w:name w:val="招股标题3"/>
    <w:basedOn w:val="a"/>
    <w:uiPriority w:val="99"/>
    <w:semiHidden/>
    <w:qFormat/>
    <w:pPr>
      <w:tabs>
        <w:tab w:val="right" w:leader="dot" w:pos="9118"/>
      </w:tabs>
      <w:spacing w:line="360" w:lineRule="auto"/>
    </w:pPr>
    <w:rPr>
      <w:rFonts w:eastAsia="黑体"/>
      <w:bCs/>
      <w:color w:val="000000"/>
      <w:szCs w:val="20"/>
    </w:rPr>
  </w:style>
  <w:style w:type="paragraph" w:customStyle="1" w:styleId="1fff0">
    <w:name w:val="目录1"/>
    <w:basedOn w:val="TOC1"/>
    <w:semiHidden/>
    <w:qFormat/>
    <w:pPr>
      <w:tabs>
        <w:tab w:val="left" w:pos="840"/>
        <w:tab w:val="left" w:pos="1260"/>
        <w:tab w:val="right" w:leader="dot" w:pos="8303"/>
        <w:tab w:val="right" w:leader="dot" w:pos="8820"/>
      </w:tabs>
      <w:spacing w:before="80" w:after="80"/>
      <w:jc w:val="center"/>
    </w:pPr>
    <w:rPr>
      <w:rFonts w:ascii="楷体_GB2312" w:eastAsia="楷体_GB2312"/>
      <w:caps/>
    </w:rPr>
  </w:style>
  <w:style w:type="paragraph" w:customStyle="1" w:styleId="affffffffff2">
    <w:name w:val="正文 + 宋体"/>
    <w:basedOn w:val="a"/>
    <w:semiHidden/>
    <w:qFormat/>
    <w:pPr>
      <w:spacing w:line="520" w:lineRule="exact"/>
      <w:ind w:firstLineChars="200" w:firstLine="480"/>
    </w:pPr>
  </w:style>
  <w:style w:type="paragraph" w:customStyle="1" w:styleId="CM78">
    <w:name w:val="CM78"/>
    <w:basedOn w:val="Default"/>
    <w:next w:val="Default"/>
    <w:uiPriority w:val="99"/>
    <w:semiHidden/>
    <w:qFormat/>
    <w:pPr>
      <w:spacing w:line="231" w:lineRule="atLeast"/>
    </w:pPr>
    <w:rPr>
      <w:rFonts w:ascii="PCJODE+MSung-Light" w:eastAsia="PCJODE+MSung-Light" w:cs="Times New Roman"/>
      <w:color w:val="auto"/>
    </w:rPr>
  </w:style>
  <w:style w:type="paragraph" w:customStyle="1" w:styleId="affffffffff3">
    <w:name w:val="中煤第一级"/>
    <w:basedOn w:val="ddd"/>
    <w:semiHidden/>
    <w:qFormat/>
    <w:pPr>
      <w:tabs>
        <w:tab w:val="clear" w:pos="540"/>
      </w:tabs>
      <w:spacing w:before="120"/>
      <w:ind w:left="0" w:firstLine="0"/>
      <w:outlineLvl w:val="1"/>
    </w:pPr>
  </w:style>
  <w:style w:type="paragraph" w:customStyle="1" w:styleId="ddd">
    <w:name w:val="ddd"/>
    <w:basedOn w:val="a"/>
    <w:semiHidden/>
    <w:qFormat/>
    <w:pPr>
      <w:tabs>
        <w:tab w:val="left" w:pos="540"/>
      </w:tabs>
      <w:spacing w:beforeLines="50" w:line="360" w:lineRule="auto"/>
      <w:ind w:left="540" w:hanging="360"/>
    </w:pPr>
    <w:rPr>
      <w:rFonts w:eastAsia="黑体"/>
      <w:b/>
      <w:sz w:val="30"/>
      <w:szCs w:val="30"/>
    </w:rPr>
  </w:style>
  <w:style w:type="paragraph" w:customStyle="1" w:styleId="5a">
    <w:name w:val="标题5"/>
    <w:basedOn w:val="a"/>
    <w:semiHidden/>
    <w:qFormat/>
    <w:pPr>
      <w:autoSpaceDE w:val="0"/>
      <w:autoSpaceDN w:val="0"/>
      <w:adjustRightInd w:val="0"/>
      <w:spacing w:line="320" w:lineRule="atLeast"/>
    </w:pPr>
    <w:rPr>
      <w:szCs w:val="20"/>
    </w:rPr>
  </w:style>
  <w:style w:type="paragraph" w:customStyle="1" w:styleId="CharCharCharCharCharCharCharCharCharChar6">
    <w:name w:val="Char Char Char Char Char Char Char Char Char Char6"/>
    <w:basedOn w:val="a"/>
    <w:semiHidden/>
    <w:qFormat/>
    <w:rPr>
      <w:rFonts w:ascii="Tahoma" w:hAnsi="Tahoma"/>
      <w:szCs w:val="20"/>
    </w:rPr>
  </w:style>
  <w:style w:type="paragraph" w:customStyle="1" w:styleId="CharChar30">
    <w:name w:val="字元 Char Char 字元3"/>
    <w:basedOn w:val="a"/>
    <w:semiHidden/>
    <w:qFormat/>
    <w:pPr>
      <w:spacing w:beforeLines="50"/>
    </w:pPr>
  </w:style>
  <w:style w:type="paragraph" w:customStyle="1" w:styleId="CharChar32">
    <w:name w:val="Char Char32"/>
    <w:basedOn w:val="a"/>
    <w:semiHidden/>
    <w:qFormat/>
    <w:pPr>
      <w:autoSpaceDE w:val="0"/>
      <w:autoSpaceDN w:val="0"/>
      <w:adjustRightInd w:val="0"/>
      <w:spacing w:after="160" w:line="240" w:lineRule="exact"/>
    </w:pPr>
    <w:rPr>
      <w:rFonts w:ascii="Verdana" w:eastAsia="Times New Roman" w:hAnsi="Verdana" w:cs="Arial"/>
      <w:sz w:val="22"/>
      <w:szCs w:val="20"/>
      <w:lang w:eastAsia="en-US"/>
    </w:rPr>
  </w:style>
  <w:style w:type="paragraph" w:customStyle="1" w:styleId="CM88">
    <w:name w:val="CM88"/>
    <w:basedOn w:val="Default"/>
    <w:next w:val="Default"/>
    <w:uiPriority w:val="99"/>
    <w:semiHidden/>
    <w:qFormat/>
    <w:pPr>
      <w:spacing w:after="287"/>
    </w:pPr>
    <w:rPr>
      <w:rFonts w:ascii="隶书" w:eastAsia="隶书" w:cs="Times New Roman"/>
      <w:color w:val="auto"/>
    </w:rPr>
  </w:style>
  <w:style w:type="paragraph" w:customStyle="1" w:styleId="affffffffff4">
    <w:name w:val="(a正文"/>
    <w:basedOn w:val="a"/>
    <w:semiHidden/>
    <w:qFormat/>
    <w:pPr>
      <w:spacing w:line="440" w:lineRule="exact"/>
      <w:ind w:firstLineChars="200" w:firstLine="200"/>
    </w:pPr>
    <w:rPr>
      <w:rFonts w:eastAsia="仿宋_GB2312"/>
      <w:color w:val="000000"/>
    </w:rPr>
  </w:style>
  <w:style w:type="paragraph" w:customStyle="1" w:styleId="CM19">
    <w:name w:val="CM19"/>
    <w:basedOn w:val="Default"/>
    <w:next w:val="Default"/>
    <w:uiPriority w:val="99"/>
    <w:semiHidden/>
    <w:qFormat/>
    <w:pPr>
      <w:spacing w:line="283" w:lineRule="atLeast"/>
    </w:pPr>
    <w:rPr>
      <w:rFonts w:ascii="隶书" w:eastAsia="隶书" w:cs="Times New Roman"/>
      <w:color w:val="auto"/>
    </w:rPr>
  </w:style>
  <w:style w:type="paragraph" w:customStyle="1" w:styleId="affffffffff5">
    <w:name w:val="四级条标题"/>
    <w:basedOn w:val="affffffffff6"/>
    <w:next w:val="a"/>
    <w:semiHidden/>
    <w:qFormat/>
    <w:pPr>
      <w:outlineLvl w:val="5"/>
    </w:pPr>
  </w:style>
  <w:style w:type="paragraph" w:customStyle="1" w:styleId="affffffffff6">
    <w:name w:val="三级条标题"/>
    <w:basedOn w:val="affffffffff7"/>
    <w:next w:val="a"/>
    <w:semiHidden/>
    <w:qFormat/>
    <w:pPr>
      <w:outlineLvl w:val="4"/>
    </w:pPr>
  </w:style>
  <w:style w:type="paragraph" w:customStyle="1" w:styleId="affffffffff7">
    <w:name w:val="二级条标题"/>
    <w:basedOn w:val="affffffffff8"/>
    <w:next w:val="a"/>
    <w:semiHidden/>
    <w:qFormat/>
    <w:pPr>
      <w:outlineLvl w:val="3"/>
    </w:pPr>
  </w:style>
  <w:style w:type="paragraph" w:customStyle="1" w:styleId="affffffffff8">
    <w:name w:val="一级条标题"/>
    <w:basedOn w:val="1"/>
    <w:next w:val="a"/>
    <w:uiPriority w:val="99"/>
    <w:semiHidden/>
    <w:qFormat/>
    <w:pPr>
      <w:keepNext w:val="0"/>
      <w:keepLines w:val="0"/>
      <w:tabs>
        <w:tab w:val="clear" w:pos="1134"/>
        <w:tab w:val="left" w:pos="360"/>
      </w:tabs>
      <w:spacing w:beforeLines="0" w:before="0" w:afterLines="0" w:after="0" w:line="240" w:lineRule="auto"/>
      <w:ind w:left="900" w:firstLineChars="0" w:hanging="420"/>
      <w:jc w:val="left"/>
      <w:outlineLvl w:val="2"/>
    </w:pPr>
    <w:rPr>
      <w:rFonts w:ascii="黑体" w:eastAsia="黑体"/>
      <w:b w:val="0"/>
      <w:bCs w:val="0"/>
      <w:kern w:val="0"/>
      <w:sz w:val="21"/>
      <w:szCs w:val="20"/>
    </w:rPr>
  </w:style>
  <w:style w:type="paragraph" w:customStyle="1" w:styleId="affffffffff9">
    <w:name w:val="附录章标题"/>
    <w:next w:val="a"/>
    <w:semiHidden/>
    <w:qFormat/>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ffffffffa">
    <w:name w:val="表中"/>
    <w:semiHidden/>
    <w:qFormat/>
    <w:pPr>
      <w:widowControl w:val="0"/>
      <w:jc w:val="center"/>
    </w:pPr>
    <w:rPr>
      <w:kern w:val="2"/>
      <w:sz w:val="18"/>
      <w:szCs w:val="18"/>
    </w:rPr>
  </w:style>
  <w:style w:type="paragraph" w:customStyle="1" w:styleId="font12">
    <w:name w:val="font12"/>
    <w:basedOn w:val="a"/>
    <w:semiHidden/>
    <w:qFormat/>
    <w:pPr>
      <w:spacing w:before="100" w:beforeAutospacing="1" w:after="100" w:afterAutospacing="1"/>
    </w:pPr>
    <w:rPr>
      <w:color w:val="FF0000"/>
      <w:sz w:val="20"/>
      <w:szCs w:val="20"/>
    </w:rPr>
  </w:style>
  <w:style w:type="paragraph" w:customStyle="1" w:styleId="CharChar1Char1">
    <w:name w:val="Char Char1 Char1"/>
    <w:basedOn w:val="a"/>
    <w:semiHidden/>
    <w:qFormat/>
    <w:pPr>
      <w:spacing w:after="160" w:line="240" w:lineRule="exact"/>
    </w:pPr>
    <w:rPr>
      <w:rFonts w:ascii="Verdana" w:eastAsia="Times New Roman" w:hAnsi="Verdana"/>
      <w:sz w:val="20"/>
      <w:szCs w:val="20"/>
      <w:lang w:eastAsia="en-US"/>
    </w:rPr>
  </w:style>
  <w:style w:type="paragraph" w:customStyle="1" w:styleId="05">
    <w:name w:val="表右05"/>
    <w:basedOn w:val="1fff1"/>
    <w:semiHidden/>
    <w:qFormat/>
    <w:pPr>
      <w:ind w:rightChars="50" w:right="140"/>
    </w:pPr>
  </w:style>
  <w:style w:type="paragraph" w:customStyle="1" w:styleId="1fff1">
    <w:name w:val="表右1"/>
    <w:basedOn w:val="a"/>
    <w:semiHidden/>
    <w:qFormat/>
    <w:pPr>
      <w:adjustRightInd w:val="0"/>
      <w:snapToGrid w:val="0"/>
      <w:ind w:rightChars="100" w:right="100"/>
      <w:jc w:val="right"/>
    </w:pPr>
    <w:rPr>
      <w:szCs w:val="20"/>
    </w:rPr>
  </w:style>
  <w:style w:type="paragraph" w:customStyle="1" w:styleId="dash6b6365871">
    <w:name w:val="dash6b63_65871"/>
    <w:basedOn w:val="a"/>
    <w:semiHidden/>
    <w:qFormat/>
    <w:rPr>
      <w:sz w:val="20"/>
      <w:szCs w:val="20"/>
    </w:rPr>
  </w:style>
  <w:style w:type="paragraph" w:customStyle="1" w:styleId="CharChar4CharCharCharCharCharCharChar1CharChar1CharCharCharCharCharCharCharCharChar2">
    <w:name w:val="Char Char4 Char Char Char Char Char Char Char1 Char Char1 Char Char Char Char Char Char Char Char Char2"/>
    <w:basedOn w:val="a"/>
    <w:semiHidden/>
    <w:qFormat/>
    <w:pPr>
      <w:spacing w:after="160" w:line="240" w:lineRule="exact"/>
    </w:pPr>
    <w:rPr>
      <w:rFonts w:ascii="Verdana" w:hAnsi="Verdana" w:cs="Verdana"/>
      <w:sz w:val="20"/>
      <w:szCs w:val="20"/>
      <w:lang w:eastAsia="en-US"/>
    </w:rPr>
  </w:style>
  <w:style w:type="paragraph" w:customStyle="1" w:styleId="CharChar1CharCharCharChar1CharCharChar10">
    <w:name w:val="Char Char1 Char Char Char Char1 Char Char Char10"/>
    <w:basedOn w:val="a"/>
    <w:semiHidden/>
    <w:qFormat/>
    <w:pPr>
      <w:autoSpaceDE w:val="0"/>
      <w:autoSpaceDN w:val="0"/>
      <w:adjustRightInd w:val="0"/>
    </w:pPr>
  </w:style>
  <w:style w:type="paragraph" w:customStyle="1" w:styleId="title1">
    <w:name w:val="title1"/>
    <w:basedOn w:val="a"/>
    <w:semiHidden/>
    <w:qFormat/>
    <w:pPr>
      <w:pBdr>
        <w:bottom w:val="single" w:sz="6" w:space="0" w:color="C8D8F2"/>
      </w:pBdr>
      <w:spacing w:beforeAutospacing="1" w:after="150" w:line="360" w:lineRule="atLeast"/>
    </w:pPr>
  </w:style>
  <w:style w:type="paragraph" w:customStyle="1" w:styleId="CharCharCharCharChar6">
    <w:name w:val="Char Char Char Char Char6"/>
    <w:basedOn w:val="a"/>
    <w:semiHidden/>
    <w:qFormat/>
    <w:pPr>
      <w:autoSpaceDE w:val="0"/>
      <w:autoSpaceDN w:val="0"/>
      <w:adjustRightInd w:val="0"/>
    </w:pPr>
    <w:rPr>
      <w:rFonts w:ascii="Tahoma" w:hAnsi="Tahoma"/>
      <w:szCs w:val="20"/>
    </w:rPr>
  </w:style>
  <w:style w:type="paragraph" w:customStyle="1" w:styleId="1Char6">
    <w:name w:val="样式 标题 1 + (中文) 黑体 Char"/>
    <w:basedOn w:val="1"/>
    <w:semiHidden/>
    <w:qFormat/>
    <w:pPr>
      <w:tabs>
        <w:tab w:val="clear" w:pos="1134"/>
      </w:tabs>
      <w:spacing w:beforeLines="0" w:before="0" w:afterLines="0" w:after="0"/>
      <w:ind w:left="900" w:firstLineChars="0" w:hanging="420"/>
      <w:jc w:val="left"/>
    </w:pPr>
    <w:rPr>
      <w:rFonts w:eastAsia="黑体"/>
      <w:sz w:val="36"/>
    </w:rPr>
  </w:style>
  <w:style w:type="paragraph" w:customStyle="1" w:styleId="Char1CharCharChar6">
    <w:name w:val="Char1 Char Char Char6"/>
    <w:basedOn w:val="a"/>
    <w:semiHidden/>
    <w:qFormat/>
    <w:pPr>
      <w:autoSpaceDE w:val="0"/>
      <w:autoSpaceDN w:val="0"/>
      <w:adjustRightInd w:val="0"/>
      <w:spacing w:after="160" w:line="240" w:lineRule="exact"/>
    </w:pPr>
    <w:rPr>
      <w:rFonts w:ascii="Verdana" w:eastAsia="Times New Roman" w:hAnsi="Verdana"/>
      <w:sz w:val="20"/>
      <w:szCs w:val="20"/>
      <w:lang w:eastAsia="en-US"/>
    </w:rPr>
  </w:style>
  <w:style w:type="paragraph" w:customStyle="1" w:styleId="love3">
    <w:name w:val="love3"/>
    <w:basedOn w:val="a"/>
    <w:semiHidden/>
    <w:qFormat/>
    <w:pPr>
      <w:spacing w:beforeAutospacing="1" w:after="100" w:afterAutospacing="1"/>
    </w:pPr>
    <w:rPr>
      <w:b/>
      <w:bCs/>
      <w:color w:val="FF0000"/>
      <w:sz w:val="135"/>
      <w:szCs w:val="135"/>
    </w:rPr>
  </w:style>
  <w:style w:type="paragraph" w:customStyle="1" w:styleId="CharCharCharCharCharCharCharCharChar">
    <w:name w:val="Char Char Char Char Char Char Char Char Char"/>
    <w:basedOn w:val="a"/>
    <w:uiPriority w:val="99"/>
    <w:semiHidden/>
    <w:qFormat/>
    <w:pPr>
      <w:spacing w:line="360" w:lineRule="auto"/>
      <w:ind w:firstLineChars="200" w:firstLine="200"/>
    </w:pPr>
  </w:style>
  <w:style w:type="paragraph" w:customStyle="1" w:styleId="font19">
    <w:name w:val="font19"/>
    <w:basedOn w:val="a"/>
    <w:semiHidden/>
    <w:qFormat/>
    <w:pPr>
      <w:spacing w:before="100" w:beforeAutospacing="1" w:after="100" w:afterAutospacing="1"/>
    </w:pPr>
    <w:rPr>
      <w:color w:val="000000"/>
    </w:rPr>
  </w:style>
  <w:style w:type="paragraph" w:customStyle="1" w:styleId="affffffffffb">
    <w:name w:val="密级编号"/>
    <w:basedOn w:val="a"/>
    <w:semiHidden/>
    <w:qFormat/>
    <w:pPr>
      <w:adjustRightInd w:val="0"/>
      <w:jc w:val="center"/>
      <w:textAlignment w:val="baseline"/>
    </w:pPr>
    <w:rPr>
      <w:rFonts w:ascii="仿宋_GB2312" w:eastAsia="仿宋_GB2312"/>
      <w:szCs w:val="20"/>
    </w:rPr>
  </w:style>
  <w:style w:type="paragraph" w:customStyle="1" w:styleId="Char1CharCharChar3">
    <w:name w:val="Char1 Char Char Char3"/>
    <w:basedOn w:val="a"/>
    <w:semiHidden/>
    <w:qFormat/>
    <w:pPr>
      <w:spacing w:after="160" w:line="240" w:lineRule="exact"/>
    </w:pPr>
    <w:rPr>
      <w:rFonts w:ascii="Verdana" w:eastAsia="Times New Roman" w:hAnsi="Verdana"/>
      <w:sz w:val="20"/>
      <w:szCs w:val="20"/>
      <w:lang w:eastAsia="en-US"/>
    </w:rPr>
  </w:style>
  <w:style w:type="paragraph" w:customStyle="1" w:styleId="CM57">
    <w:name w:val="CM57"/>
    <w:basedOn w:val="Default"/>
    <w:next w:val="Default"/>
    <w:semiHidden/>
    <w:qFormat/>
    <w:rPr>
      <w:rFonts w:ascii="隶书" w:eastAsia="隶书" w:cs="Times New Roman"/>
      <w:color w:val="auto"/>
    </w:rPr>
  </w:style>
  <w:style w:type="paragraph" w:customStyle="1" w:styleId="Style28">
    <w:name w:val="_Style 28"/>
    <w:basedOn w:val="a"/>
    <w:semiHidden/>
    <w:qFormat/>
    <w:pPr>
      <w:spacing w:beforeLines="50" w:before="120" w:afterLines="50" w:after="120" w:line="360" w:lineRule="auto"/>
      <w:ind w:firstLineChars="200" w:firstLine="480"/>
    </w:pPr>
    <w:rPr>
      <w:rFonts w:eastAsia="黑体"/>
    </w:rPr>
  </w:style>
  <w:style w:type="paragraph" w:customStyle="1" w:styleId="CharCharCharCharCharCharCharCharCharChar9">
    <w:name w:val="Char Char Char Char Char Char Char Char Char Char9"/>
    <w:basedOn w:val="a"/>
    <w:semiHidden/>
    <w:qFormat/>
    <w:rPr>
      <w:rFonts w:ascii="Tahoma" w:hAnsi="Tahoma"/>
      <w:szCs w:val="20"/>
    </w:rPr>
  </w:style>
  <w:style w:type="paragraph" w:customStyle="1" w:styleId="xu4">
    <w:name w:val="xu扉名"/>
    <w:basedOn w:val="a"/>
    <w:semiHidden/>
    <w:qFormat/>
    <w:pPr>
      <w:jc w:val="center"/>
    </w:pPr>
    <w:rPr>
      <w:rFonts w:eastAsia="仿宋_GB2312"/>
      <w:sz w:val="32"/>
      <w:szCs w:val="20"/>
    </w:rPr>
  </w:style>
  <w:style w:type="paragraph" w:customStyle="1" w:styleId="218">
    <w:name w:val="纯文本21"/>
    <w:basedOn w:val="a"/>
    <w:semiHidden/>
    <w:qFormat/>
    <w:rPr>
      <w:rFonts w:hAnsi="Courier New"/>
      <w:szCs w:val="20"/>
    </w:rPr>
  </w:style>
  <w:style w:type="paragraph" w:customStyle="1" w:styleId="CharCharCharCharCharChar1CharCharChar8">
    <w:name w:val="Char Char Char Char Char Char1 Char Char Char8"/>
    <w:basedOn w:val="a"/>
    <w:semiHidden/>
    <w:qFormat/>
    <w:pPr>
      <w:autoSpaceDE w:val="0"/>
      <w:autoSpaceDN w:val="0"/>
      <w:adjustRightInd w:val="0"/>
      <w:textAlignment w:val="baseline"/>
    </w:pPr>
    <w:rPr>
      <w:rFonts w:eastAsia="方正仿宋简体"/>
      <w:sz w:val="32"/>
      <w:szCs w:val="20"/>
    </w:rPr>
  </w:style>
  <w:style w:type="paragraph" w:customStyle="1" w:styleId="1fff2">
    <w:name w:val="列出段落1"/>
    <w:basedOn w:val="a"/>
    <w:link w:val="Charffff6"/>
    <w:semiHidden/>
    <w:qFormat/>
    <w:pPr>
      <w:widowControl w:val="0"/>
      <w:ind w:firstLineChars="200" w:firstLine="420"/>
      <w:jc w:val="both"/>
    </w:pPr>
  </w:style>
  <w:style w:type="character" w:customStyle="1" w:styleId="Charffff6">
    <w:name w:val="列出段落 Char"/>
    <w:link w:val="1fff2"/>
    <w:semiHidden/>
    <w:qFormat/>
    <w:rPr>
      <w:kern w:val="2"/>
      <w:sz w:val="21"/>
      <w:szCs w:val="21"/>
    </w:rPr>
  </w:style>
  <w:style w:type="paragraph" w:customStyle="1" w:styleId="BodyText21">
    <w:name w:val="Body Text 21"/>
    <w:basedOn w:val="a"/>
    <w:semiHidden/>
    <w:qFormat/>
    <w:pPr>
      <w:autoSpaceDE w:val="0"/>
      <w:autoSpaceDN w:val="0"/>
      <w:adjustRightInd w:val="0"/>
      <w:textAlignment w:val="bottom"/>
    </w:pPr>
    <w:rPr>
      <w:szCs w:val="20"/>
      <w:lang w:val="en-GB"/>
    </w:rPr>
  </w:style>
  <w:style w:type="paragraph" w:customStyle="1" w:styleId="CharCharCharChar0">
    <w:name w:val="Char Char Char Char"/>
    <w:basedOn w:val="a"/>
    <w:uiPriority w:val="1"/>
    <w:semiHidden/>
    <w:qFormat/>
    <w:pPr>
      <w:spacing w:after="160" w:line="240" w:lineRule="exact"/>
    </w:pPr>
    <w:rPr>
      <w:rFonts w:ascii="Verdana" w:hAnsi="Verdana" w:cs="Verdana"/>
      <w:sz w:val="20"/>
      <w:szCs w:val="20"/>
      <w:lang w:eastAsia="en-US" w:bidi="bn-IN"/>
    </w:rPr>
  </w:style>
  <w:style w:type="paragraph" w:customStyle="1" w:styleId="219">
    <w:name w:val="中等深浅网格 21"/>
    <w:link w:val="MediumGrid2Char"/>
    <w:semiHidden/>
    <w:qFormat/>
    <w:pPr>
      <w:widowControl w:val="0"/>
      <w:spacing w:line="200" w:lineRule="atLeast"/>
      <w:jc w:val="both"/>
    </w:pPr>
    <w:rPr>
      <w:kern w:val="2"/>
      <w:sz w:val="21"/>
    </w:rPr>
  </w:style>
  <w:style w:type="character" w:customStyle="1" w:styleId="MediumGrid2Char">
    <w:name w:val="Medium Grid 2 Char"/>
    <w:link w:val="219"/>
    <w:semiHidden/>
    <w:rPr>
      <w:kern w:val="2"/>
      <w:sz w:val="21"/>
    </w:rPr>
  </w:style>
  <w:style w:type="paragraph" w:customStyle="1" w:styleId="affffffffffc">
    <w:name w:val="表格格式"/>
    <w:basedOn w:val="a"/>
    <w:semiHidden/>
    <w:qFormat/>
  </w:style>
  <w:style w:type="paragraph" w:customStyle="1" w:styleId="affffffffffd">
    <w:name w:val=""/>
    <w:semiHidden/>
    <w:qFormat/>
    <w:pPr>
      <w:widowControl w:val="0"/>
      <w:autoSpaceDE w:val="0"/>
      <w:autoSpaceDN w:val="0"/>
      <w:adjustRightInd w:val="0"/>
    </w:pPr>
    <w:rPr>
      <w:rFonts w:ascii="Arial" w:hAnsi="Arial"/>
      <w:sz w:val="24"/>
    </w:rPr>
  </w:style>
  <w:style w:type="paragraph" w:customStyle="1" w:styleId="CharCharCharCharCharChar1CharCharCharChar">
    <w:name w:val="Char Char Char Char Char Char1 Char Char Char Char"/>
    <w:basedOn w:val="a"/>
    <w:semiHidden/>
    <w:qFormat/>
    <w:pPr>
      <w:spacing w:after="160" w:line="240" w:lineRule="exact"/>
    </w:pPr>
    <w:rPr>
      <w:rFonts w:ascii="Verdana" w:hAnsi="Verdana"/>
      <w:sz w:val="20"/>
      <w:szCs w:val="20"/>
      <w:lang w:eastAsia="en-US"/>
    </w:rPr>
  </w:style>
  <w:style w:type="paragraph" w:customStyle="1" w:styleId="affffffffffe">
    <w:name w:val="商友引言内容"/>
    <w:basedOn w:val="a"/>
    <w:semiHidden/>
    <w:qFormat/>
    <w:pPr>
      <w:adjustRightInd w:val="0"/>
      <w:spacing w:line="360" w:lineRule="auto"/>
      <w:ind w:firstLine="482"/>
      <w:textAlignment w:val="baseline"/>
    </w:pPr>
    <w:rPr>
      <w:b/>
      <w:sz w:val="32"/>
      <w:szCs w:val="20"/>
    </w:rPr>
  </w:style>
  <w:style w:type="paragraph" w:customStyle="1" w:styleId="-12">
    <w:name w:val="彩色列表 - 着色 12"/>
    <w:basedOn w:val="a"/>
    <w:uiPriority w:val="34"/>
    <w:semiHidden/>
    <w:qFormat/>
    <w:pPr>
      <w:ind w:firstLineChars="200" w:firstLine="420"/>
    </w:pPr>
  </w:style>
  <w:style w:type="paragraph" w:customStyle="1" w:styleId="Char60">
    <w:name w:val="Char6"/>
    <w:basedOn w:val="a"/>
    <w:semiHidden/>
    <w:qFormat/>
    <w:rPr>
      <w:rFonts w:ascii="Tahoma" w:hAnsi="Tahoma"/>
      <w:szCs w:val="20"/>
    </w:rPr>
  </w:style>
  <w:style w:type="paragraph" w:customStyle="1" w:styleId="CharChar1CharCharCharCharCharCharCharCharCharCharCharCharCharCharCharCharCharCharCharCharCharCharCharCharCharCharCharCharCharCharCharCharCharCharCharCharCharChar15">
    <w:name w:val="Char Char1 Char Char Char Char Char Char Char Char Char Char Char Char Char Char Char Char Char Char Char Char Char Char Char Char Char Char Char Char Char Char Char Char Char Char Char Char Char Char15"/>
    <w:basedOn w:val="a"/>
    <w:semiHidden/>
    <w:qFormat/>
    <w:pPr>
      <w:spacing w:after="160" w:line="240" w:lineRule="exact"/>
    </w:pPr>
    <w:rPr>
      <w:rFonts w:ascii="Verdana" w:eastAsia="Times New Roman" w:hAnsi="Verdana" w:cs="Arial"/>
      <w:sz w:val="22"/>
      <w:szCs w:val="20"/>
      <w:lang w:eastAsia="en-US"/>
    </w:rPr>
  </w:style>
  <w:style w:type="paragraph" w:customStyle="1" w:styleId="CharCharCharCharCharChar1CharCharChar12">
    <w:name w:val="Char Char Char Char Char Char1 Char Char Char12"/>
    <w:basedOn w:val="a"/>
    <w:semiHidden/>
    <w:qFormat/>
    <w:pPr>
      <w:autoSpaceDE w:val="0"/>
      <w:autoSpaceDN w:val="0"/>
      <w:adjustRightInd w:val="0"/>
      <w:textAlignment w:val="baseline"/>
    </w:pPr>
    <w:rPr>
      <w:rFonts w:eastAsia="方正仿宋简体"/>
      <w:sz w:val="32"/>
      <w:szCs w:val="20"/>
    </w:rPr>
  </w:style>
  <w:style w:type="paragraph" w:customStyle="1" w:styleId="e">
    <w:name w:val="e"/>
    <w:basedOn w:val="a"/>
    <w:semiHidden/>
    <w:qFormat/>
    <w:pPr>
      <w:spacing w:beforeAutospacing="1" w:after="100" w:afterAutospacing="1"/>
    </w:pPr>
  </w:style>
  <w:style w:type="paragraph" w:customStyle="1" w:styleId="xl120">
    <w:name w:val="xl120"/>
    <w:basedOn w:val="a"/>
    <w:semiHidden/>
    <w:qFormat/>
    <w:pPr>
      <w:pBdr>
        <w:left w:val="single" w:sz="8" w:space="0" w:color="auto"/>
        <w:right w:val="single" w:sz="8" w:space="0" w:color="auto"/>
      </w:pBdr>
      <w:shd w:val="clear" w:color="000000" w:fill="FFFFFF"/>
      <w:spacing w:before="100" w:beforeAutospacing="1" w:after="100" w:afterAutospacing="1"/>
      <w:jc w:val="right"/>
    </w:pPr>
    <w:rPr>
      <w:sz w:val="18"/>
      <w:szCs w:val="18"/>
    </w:rPr>
  </w:style>
  <w:style w:type="paragraph" w:customStyle="1" w:styleId="CharChar1Char9">
    <w:name w:val="Char Char1 Char9"/>
    <w:basedOn w:val="a"/>
    <w:semiHidden/>
    <w:qFormat/>
    <w:pPr>
      <w:spacing w:after="160" w:line="240" w:lineRule="exact"/>
    </w:pPr>
    <w:rPr>
      <w:rFonts w:ascii="Verdana" w:eastAsia="Times New Roman" w:hAnsi="Verdana"/>
      <w:sz w:val="20"/>
      <w:szCs w:val="20"/>
      <w:lang w:eastAsia="en-US"/>
    </w:rPr>
  </w:style>
  <w:style w:type="paragraph" w:customStyle="1" w:styleId="CharCharCharCharCharChar1Char1">
    <w:name w:val="Char Char Char Char Char Char1 Char1"/>
    <w:basedOn w:val="a"/>
    <w:semiHidden/>
    <w:qFormat/>
    <w:rPr>
      <w:rFonts w:ascii="Tahoma" w:hAnsi="Tahoma"/>
      <w:szCs w:val="20"/>
    </w:rPr>
  </w:style>
  <w:style w:type="paragraph" w:customStyle="1" w:styleId="xl100">
    <w:name w:val="xl100"/>
    <w:basedOn w:val="a"/>
    <w:semiHidden/>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42">
    <w:name w:val="xl142"/>
    <w:basedOn w:val="a"/>
    <w:semiHidden/>
    <w:qFormat/>
    <w:pPr>
      <w:pBdr>
        <w:left w:val="single" w:sz="8" w:space="0" w:color="auto"/>
        <w:bottom w:val="single" w:sz="8" w:space="0" w:color="auto"/>
        <w:right w:val="single" w:sz="8" w:space="0" w:color="auto"/>
      </w:pBdr>
      <w:spacing w:before="100" w:beforeAutospacing="1" w:after="100" w:afterAutospacing="1"/>
      <w:jc w:val="center"/>
    </w:pPr>
    <w:rPr>
      <w:color w:val="000000"/>
      <w:sz w:val="18"/>
      <w:szCs w:val="18"/>
    </w:rPr>
  </w:style>
  <w:style w:type="paragraph" w:customStyle="1" w:styleId="CharCharCharCharCharChar1CharCharChar">
    <w:name w:val="Char Char Char Char Char Char1 Char Char Char"/>
    <w:basedOn w:val="a"/>
    <w:semiHidden/>
    <w:qFormat/>
    <w:pPr>
      <w:autoSpaceDE w:val="0"/>
      <w:autoSpaceDN w:val="0"/>
      <w:adjustRightInd w:val="0"/>
      <w:textAlignment w:val="baseline"/>
    </w:pPr>
    <w:rPr>
      <w:rFonts w:eastAsia="方正仿宋简体"/>
      <w:sz w:val="32"/>
      <w:szCs w:val="20"/>
    </w:rPr>
  </w:style>
  <w:style w:type="paragraph" w:customStyle="1" w:styleId="text">
    <w:name w:val="text"/>
    <w:basedOn w:val="a"/>
    <w:semiHidden/>
    <w:qFormat/>
    <w:pPr>
      <w:spacing w:before="100" w:beforeAutospacing="1" w:after="100" w:afterAutospacing="1"/>
      <w:ind w:firstLine="420"/>
    </w:pPr>
  </w:style>
  <w:style w:type="paragraph" w:customStyle="1" w:styleId="CharChar4Char1">
    <w:name w:val="Char Char4 Char1"/>
    <w:basedOn w:val="a"/>
    <w:semiHidden/>
    <w:qFormat/>
    <w:pPr>
      <w:spacing w:after="160" w:line="240" w:lineRule="exact"/>
    </w:pPr>
    <w:rPr>
      <w:rFonts w:ascii="Verdana" w:eastAsia="Times New Roman" w:hAnsi="Verdana"/>
      <w:sz w:val="20"/>
      <w:szCs w:val="20"/>
      <w:lang w:eastAsia="en-US"/>
    </w:rPr>
  </w:style>
  <w:style w:type="paragraph" w:customStyle="1" w:styleId="4e">
    <w:name w:val="无间隔4"/>
    <w:semiHidden/>
    <w:qFormat/>
    <w:pPr>
      <w:widowControl w:val="0"/>
      <w:jc w:val="both"/>
    </w:pPr>
    <w:rPr>
      <w:kern w:val="2"/>
      <w:sz w:val="21"/>
      <w:szCs w:val="21"/>
    </w:rPr>
  </w:style>
  <w:style w:type="paragraph" w:customStyle="1" w:styleId="CM177">
    <w:name w:val="CM177"/>
    <w:basedOn w:val="Default"/>
    <w:next w:val="Default"/>
    <w:semiHidden/>
    <w:qFormat/>
    <w:pPr>
      <w:spacing w:after="720"/>
    </w:pPr>
    <w:rPr>
      <w:rFonts w:ascii="PCJODE+MSung-Light" w:eastAsia="PCJODE+MSung-Light" w:cs="Times New Roman"/>
      <w:color w:val="auto"/>
    </w:rPr>
  </w:style>
  <w:style w:type="paragraph" w:customStyle="1" w:styleId="037037">
    <w:name w:val="样式 正文缩进 + 左侧:  0.37 厘米 右侧:  0.37 厘米"/>
    <w:basedOn w:val="Default"/>
    <w:next w:val="Default"/>
    <w:uiPriority w:val="99"/>
    <w:semiHidden/>
    <w:qFormat/>
    <w:pPr>
      <w:jc w:val="both"/>
    </w:pPr>
    <w:rPr>
      <w:rFonts w:cs="Times New Roman"/>
      <w:color w:val="auto"/>
    </w:rPr>
  </w:style>
  <w:style w:type="paragraph" w:customStyle="1" w:styleId="CharCharCharCharCharCharChar3">
    <w:name w:val="Char Char Char Char Char Char Char3"/>
    <w:basedOn w:val="a"/>
    <w:semiHidden/>
    <w:qFormat/>
    <w:pPr>
      <w:autoSpaceDE w:val="0"/>
      <w:autoSpaceDN w:val="0"/>
      <w:adjustRightInd w:val="0"/>
    </w:pPr>
  </w:style>
  <w:style w:type="paragraph" w:customStyle="1" w:styleId="CharCharChar1CharCharCharCharCharCharCharCharChar12">
    <w:name w:val="Char Char Char1 Char Char Char Char Char Char Char Char Char12"/>
    <w:basedOn w:val="a"/>
    <w:semiHidden/>
    <w:qFormat/>
    <w:pPr>
      <w:autoSpaceDE w:val="0"/>
      <w:autoSpaceDN w:val="0"/>
      <w:adjustRightInd w:val="0"/>
    </w:pPr>
    <w:rPr>
      <w:rFonts w:ascii="Tahoma" w:hAnsi="Tahoma"/>
      <w:szCs w:val="20"/>
    </w:rPr>
  </w:style>
  <w:style w:type="paragraph" w:customStyle="1" w:styleId="CharCharChar1CharCharCharCharCharCharCharCharChar8">
    <w:name w:val="Char Char Char1 Char Char Char Char Char Char Char Char Char8"/>
    <w:basedOn w:val="a"/>
    <w:semiHidden/>
    <w:qFormat/>
    <w:pPr>
      <w:autoSpaceDE w:val="0"/>
      <w:autoSpaceDN w:val="0"/>
      <w:adjustRightInd w:val="0"/>
    </w:pPr>
    <w:rPr>
      <w:rFonts w:ascii="Tahoma" w:hAnsi="Tahoma"/>
      <w:szCs w:val="20"/>
    </w:rPr>
  </w:style>
  <w:style w:type="paragraph" w:customStyle="1" w:styleId="afffffffffff">
    <w:name w:val="表中文字五号"/>
    <w:basedOn w:val="a"/>
    <w:semiHidden/>
    <w:qFormat/>
    <w:pPr>
      <w:adjustRightInd w:val="0"/>
      <w:snapToGrid w:val="0"/>
      <w:spacing w:beforeLines="10" w:afterLines="10" w:line="264" w:lineRule="auto"/>
    </w:pPr>
    <w:rPr>
      <w:rFonts w:eastAsia="仿宋_GB2312"/>
      <w:szCs w:val="20"/>
    </w:rPr>
  </w:style>
  <w:style w:type="paragraph" w:customStyle="1" w:styleId="CharCharChar1CharCharCharCharCharCharCharCharChar">
    <w:name w:val="Char Char Char1 Char Char Char Char Char Char Char Char Char"/>
    <w:basedOn w:val="a"/>
    <w:semiHidden/>
    <w:qFormat/>
    <w:rPr>
      <w:rFonts w:ascii="Tahoma" w:hAnsi="Tahoma"/>
      <w:szCs w:val="20"/>
    </w:rPr>
  </w:style>
  <w:style w:type="paragraph" w:customStyle="1" w:styleId="CM9">
    <w:name w:val="CM9"/>
    <w:basedOn w:val="Default"/>
    <w:next w:val="Default"/>
    <w:semiHidden/>
    <w:qFormat/>
    <w:pPr>
      <w:spacing w:line="268" w:lineRule="atLeast"/>
    </w:pPr>
    <w:rPr>
      <w:rFonts w:ascii="PCJODE+MSung-Light" w:eastAsia="PCJODE+MSung-Light" w:cs="Times New Roman"/>
      <w:color w:val="auto"/>
    </w:rPr>
  </w:style>
  <w:style w:type="paragraph" w:customStyle="1" w:styleId="CM150">
    <w:name w:val="CM150"/>
    <w:basedOn w:val="Default"/>
    <w:next w:val="Default"/>
    <w:semiHidden/>
    <w:qFormat/>
    <w:pPr>
      <w:spacing w:after="108"/>
      <w:jc w:val="both"/>
    </w:pPr>
    <w:rPr>
      <w:rFonts w:ascii=".a...D.." w:eastAsia=".a...D.." w:cs="Times New Roman"/>
      <w:color w:val="auto"/>
    </w:rPr>
  </w:style>
  <w:style w:type="paragraph" w:customStyle="1" w:styleId="afffffffffff0">
    <w:name w:val="招股书正文通用"/>
    <w:basedOn w:val="a"/>
    <w:semiHidden/>
    <w:qFormat/>
    <w:pPr>
      <w:spacing w:before="156" w:line="360" w:lineRule="auto"/>
      <w:ind w:firstLineChars="200" w:firstLine="200"/>
    </w:pPr>
  </w:style>
  <w:style w:type="paragraph" w:customStyle="1" w:styleId="Style110">
    <w:name w:val="_Style 11"/>
    <w:basedOn w:val="a"/>
    <w:semiHidden/>
    <w:qFormat/>
    <w:pPr>
      <w:widowControl w:val="0"/>
      <w:spacing w:beforeLines="50" w:before="120" w:afterLines="50" w:after="120" w:line="360" w:lineRule="auto"/>
      <w:ind w:firstLineChars="200" w:firstLine="480"/>
      <w:jc w:val="both"/>
    </w:pPr>
  </w:style>
  <w:style w:type="paragraph" w:customStyle="1" w:styleId="003">
    <w:name w:val="003三级标题"/>
    <w:link w:val="003Char"/>
    <w:qFormat/>
    <w:pPr>
      <w:keepNext/>
      <w:keepLines/>
      <w:spacing w:beforeLines="50" w:before="50" w:afterLines="50" w:after="50" w:line="360" w:lineRule="auto"/>
      <w:outlineLvl w:val="2"/>
    </w:pPr>
    <w:rPr>
      <w:rFonts w:eastAsia="黑体"/>
      <w:b/>
      <w:bCs/>
      <w:kern w:val="2"/>
      <w:sz w:val="24"/>
      <w:szCs w:val="28"/>
    </w:rPr>
  </w:style>
  <w:style w:type="character" w:customStyle="1" w:styleId="003Char">
    <w:name w:val="003三级标题 Char"/>
    <w:link w:val="003"/>
    <w:rPr>
      <w:rFonts w:eastAsia="黑体"/>
      <w:b/>
      <w:bCs/>
      <w:kern w:val="2"/>
      <w:sz w:val="24"/>
      <w:szCs w:val="28"/>
    </w:rPr>
  </w:style>
  <w:style w:type="paragraph" w:customStyle="1" w:styleId="CharCharCharChar4">
    <w:name w:val="字元 Char Char 字元 Char Char 字元4"/>
    <w:basedOn w:val="a"/>
    <w:semiHidden/>
    <w:qFormat/>
    <w:pPr>
      <w:spacing w:beforeLines="50"/>
    </w:pPr>
  </w:style>
  <w:style w:type="paragraph" w:customStyle="1" w:styleId="322">
    <w:name w:val="网格表 32"/>
    <w:basedOn w:val="1"/>
    <w:next w:val="a"/>
    <w:uiPriority w:val="39"/>
    <w:semiHidden/>
    <w:qFormat/>
    <w:pPr>
      <w:tabs>
        <w:tab w:val="clear" w:pos="1134"/>
      </w:tabs>
      <w:spacing w:beforeLines="0" w:before="480" w:afterLines="0" w:after="0" w:line="276" w:lineRule="auto"/>
      <w:ind w:left="900" w:firstLineChars="0" w:hanging="420"/>
      <w:jc w:val="left"/>
      <w:outlineLvl w:val="9"/>
    </w:pPr>
    <w:rPr>
      <w:rFonts w:ascii="Cambria" w:hAnsi="Cambria"/>
      <w:color w:val="365F91"/>
      <w:kern w:val="0"/>
      <w:sz w:val="28"/>
      <w:szCs w:val="28"/>
    </w:rPr>
  </w:style>
  <w:style w:type="paragraph" w:customStyle="1" w:styleId="CharCharCharCharCharCharChar8">
    <w:name w:val="Char Char Char Char Char Char Char8"/>
    <w:basedOn w:val="a"/>
    <w:uiPriority w:val="99"/>
    <w:semiHidden/>
    <w:qFormat/>
    <w:pPr>
      <w:autoSpaceDE w:val="0"/>
      <w:autoSpaceDN w:val="0"/>
      <w:adjustRightInd w:val="0"/>
    </w:pPr>
  </w:style>
  <w:style w:type="paragraph" w:customStyle="1" w:styleId="CharChar30CharCharCharCharCharCharCharCharCharCharCharChar1CharCharCharCharCharCharCharChar1">
    <w:name w:val="Char Char30 Char Char Char Char Char Char Char Char Char Char Char Char1 Char Char Char Char Char Char Char Char1"/>
    <w:basedOn w:val="a"/>
    <w:semiHidden/>
    <w:qFormat/>
    <w:pPr>
      <w:spacing w:after="160" w:line="240" w:lineRule="exact"/>
    </w:pPr>
    <w:rPr>
      <w:rFonts w:ascii="Verdana" w:eastAsia="Times New Roman" w:hAnsi="Verdana"/>
      <w:sz w:val="20"/>
      <w:szCs w:val="20"/>
      <w:lang w:eastAsia="en-US"/>
    </w:rPr>
  </w:style>
  <w:style w:type="paragraph" w:customStyle="1" w:styleId="afffffffffff1">
    <w:name w:val="表名"/>
    <w:basedOn w:val="a"/>
    <w:semiHidden/>
    <w:qFormat/>
    <w:pPr>
      <w:keepNext/>
      <w:spacing w:beforeLines="50" w:afterLines="50"/>
      <w:jc w:val="center"/>
    </w:pPr>
    <w:rPr>
      <w:rFonts w:eastAsia="仿宋_GB2312"/>
      <w:b/>
      <w:sz w:val="28"/>
    </w:rPr>
  </w:style>
  <w:style w:type="paragraph" w:customStyle="1" w:styleId="afffffffffff2">
    <w:name w:val="正文：清洁生产"/>
    <w:basedOn w:val="a"/>
    <w:semiHidden/>
    <w:qFormat/>
    <w:pPr>
      <w:spacing w:line="300" w:lineRule="auto"/>
      <w:ind w:firstLineChars="200" w:firstLine="480"/>
    </w:pPr>
    <w:rPr>
      <w:szCs w:val="20"/>
    </w:rPr>
  </w:style>
  <w:style w:type="paragraph" w:customStyle="1" w:styleId="afffffffffff3">
    <w:name w:val="附录二级条标题"/>
    <w:basedOn w:val="afffffffffff4"/>
    <w:next w:val="a"/>
    <w:semiHidden/>
    <w:qFormat/>
    <w:pPr>
      <w:tabs>
        <w:tab w:val="clear" w:pos="765"/>
        <w:tab w:val="left" w:pos="360"/>
        <w:tab w:val="left" w:pos="1080"/>
        <w:tab w:val="left" w:pos="1680"/>
      </w:tabs>
      <w:ind w:left="360" w:hanging="360"/>
      <w:outlineLvl w:val="3"/>
    </w:pPr>
  </w:style>
  <w:style w:type="paragraph" w:customStyle="1" w:styleId="afffffffffff4">
    <w:name w:val="附录一级条标题"/>
    <w:basedOn w:val="affffffffff9"/>
    <w:next w:val="a"/>
    <w:semiHidden/>
    <w:qFormat/>
    <w:pPr>
      <w:tabs>
        <w:tab w:val="left" w:pos="765"/>
        <w:tab w:val="left" w:pos="828"/>
        <w:tab w:val="left" w:pos="1260"/>
      </w:tabs>
      <w:autoSpaceDN w:val="0"/>
      <w:spacing w:beforeLines="0" w:afterLines="0"/>
      <w:ind w:left="828" w:hanging="240"/>
      <w:outlineLvl w:val="2"/>
    </w:pPr>
  </w:style>
  <w:style w:type="paragraph" w:customStyle="1" w:styleId="78">
    <w:name w:val="纯文本7"/>
    <w:basedOn w:val="a"/>
    <w:semiHidden/>
    <w:qFormat/>
    <w:rPr>
      <w:rFonts w:hAnsi="Courier New"/>
      <w:szCs w:val="20"/>
    </w:rPr>
  </w:style>
  <w:style w:type="paragraph" w:customStyle="1" w:styleId="121">
    <w:name w:val="正文12"/>
    <w:semiHidden/>
    <w:qFormat/>
    <w:pPr>
      <w:widowControl w:val="0"/>
      <w:adjustRightInd w:val="0"/>
      <w:spacing w:line="360" w:lineRule="atLeast"/>
      <w:jc w:val="both"/>
    </w:pPr>
    <w:rPr>
      <w:rFonts w:ascii="MingLiU" w:eastAsia="MingLiU" w:hint="eastAsia"/>
      <w:sz w:val="24"/>
    </w:rPr>
  </w:style>
  <w:style w:type="paragraph" w:customStyle="1" w:styleId="CharCharCharCharCharCharCharCharCharChar3">
    <w:name w:val="Char Char Char Char Char Char Char Char Char Char3"/>
    <w:basedOn w:val="a"/>
    <w:semiHidden/>
    <w:qFormat/>
    <w:rPr>
      <w:rFonts w:ascii="Tahoma" w:hAnsi="Tahoma"/>
      <w:szCs w:val="20"/>
    </w:rPr>
  </w:style>
  <w:style w:type="paragraph" w:customStyle="1" w:styleId="620">
    <w:name w:val="正文62"/>
    <w:semiHidden/>
    <w:qFormat/>
    <w:pPr>
      <w:widowControl w:val="0"/>
      <w:adjustRightInd w:val="0"/>
      <w:spacing w:line="360" w:lineRule="atLeast"/>
      <w:jc w:val="both"/>
      <w:textAlignment w:val="baseline"/>
    </w:pPr>
    <w:rPr>
      <w:rFonts w:ascii="宋体"/>
      <w:sz w:val="24"/>
    </w:rPr>
  </w:style>
  <w:style w:type="paragraph" w:customStyle="1" w:styleId="CharChar1CharCharCharChar1CharCharChar">
    <w:name w:val="Char Char1 Char Char Char Char1 Char Char Char"/>
    <w:basedOn w:val="a"/>
    <w:semiHidden/>
    <w:qFormat/>
  </w:style>
  <w:style w:type="paragraph" w:customStyle="1" w:styleId="Indent2">
    <w:name w:val="Indent 2"/>
    <w:basedOn w:val="a"/>
    <w:semiHidden/>
    <w:qFormat/>
    <w:pPr>
      <w:tabs>
        <w:tab w:val="left" w:pos="720"/>
      </w:tabs>
      <w:spacing w:line="290" w:lineRule="atLeast"/>
      <w:ind w:left="720" w:hanging="720"/>
    </w:pPr>
    <w:rPr>
      <w:szCs w:val="20"/>
      <w:lang w:val="en-GB" w:eastAsia="en-US"/>
    </w:rPr>
  </w:style>
  <w:style w:type="paragraph" w:customStyle="1" w:styleId="e1">
    <w:name w:val="e1"/>
    <w:basedOn w:val="a"/>
    <w:semiHidden/>
    <w:qFormat/>
    <w:pPr>
      <w:shd w:val="clear" w:color="auto" w:fill="FFFFE1"/>
      <w:spacing w:after="75" w:line="240" w:lineRule="atLeast"/>
      <w:ind w:left="150" w:right="150"/>
    </w:pPr>
  </w:style>
  <w:style w:type="paragraph" w:customStyle="1" w:styleId="CharChar3CharChar10">
    <w:name w:val="Char Char3 Char Char10"/>
    <w:basedOn w:val="a"/>
    <w:semiHidden/>
    <w:qFormat/>
    <w:pPr>
      <w:spacing w:after="160" w:line="240" w:lineRule="exact"/>
    </w:pPr>
    <w:rPr>
      <w:rFonts w:ascii="Verdana" w:hAnsi="Verdana" w:cs="Verdana"/>
      <w:sz w:val="20"/>
      <w:szCs w:val="20"/>
      <w:lang w:eastAsia="en-US"/>
    </w:rPr>
  </w:style>
  <w:style w:type="paragraph" w:customStyle="1" w:styleId="CharChar110">
    <w:name w:val="字元 Char Char 字元11"/>
    <w:basedOn w:val="a"/>
    <w:semiHidden/>
    <w:qFormat/>
    <w:pPr>
      <w:autoSpaceDE w:val="0"/>
      <w:autoSpaceDN w:val="0"/>
      <w:adjustRightInd w:val="0"/>
      <w:spacing w:beforeLines="50"/>
    </w:pPr>
  </w:style>
  <w:style w:type="paragraph" w:customStyle="1" w:styleId="Char1CharCharChar12">
    <w:name w:val="Char1 Char Char Char12"/>
    <w:basedOn w:val="a"/>
    <w:semiHidden/>
    <w:qFormat/>
    <w:pPr>
      <w:autoSpaceDE w:val="0"/>
      <w:autoSpaceDN w:val="0"/>
      <w:adjustRightInd w:val="0"/>
      <w:spacing w:after="160" w:line="240" w:lineRule="exact"/>
    </w:pPr>
    <w:rPr>
      <w:rFonts w:ascii="Verdana" w:eastAsia="Times New Roman" w:hAnsi="Verdana"/>
      <w:sz w:val="20"/>
      <w:szCs w:val="20"/>
      <w:lang w:eastAsia="en-US"/>
    </w:rPr>
  </w:style>
  <w:style w:type="paragraph" w:customStyle="1" w:styleId="xl90">
    <w:name w:val="xl90"/>
    <w:basedOn w:val="a"/>
    <w:semiHidden/>
    <w:qFormat/>
    <w:pPr>
      <w:pBdr>
        <w:top w:val="single" w:sz="4" w:space="0" w:color="auto"/>
        <w:left w:val="single" w:sz="4" w:space="0" w:color="auto"/>
        <w:right w:val="single" w:sz="4" w:space="0" w:color="auto"/>
      </w:pBdr>
      <w:spacing w:before="100" w:beforeAutospacing="1" w:after="100" w:afterAutospacing="1"/>
      <w:jc w:val="center"/>
    </w:pPr>
    <w:rPr>
      <w:rFonts w:ascii="仿宋_GB2312" w:eastAsia="仿宋_GB2312"/>
      <w:b/>
      <w:bCs/>
      <w:sz w:val="20"/>
      <w:szCs w:val="20"/>
    </w:rPr>
  </w:style>
  <w:style w:type="paragraph" w:customStyle="1" w:styleId="CM55">
    <w:name w:val="CM55"/>
    <w:basedOn w:val="Default"/>
    <w:next w:val="Default"/>
    <w:uiPriority w:val="99"/>
    <w:semiHidden/>
    <w:qFormat/>
    <w:rPr>
      <w:rFonts w:ascii="隶书" w:eastAsia="隶书" w:cs="Times New Roman"/>
      <w:color w:val="auto"/>
    </w:rPr>
  </w:style>
  <w:style w:type="paragraph" w:customStyle="1" w:styleId="CM10">
    <w:name w:val="CM10"/>
    <w:basedOn w:val="Default"/>
    <w:next w:val="Default"/>
    <w:semiHidden/>
    <w:qFormat/>
    <w:pPr>
      <w:spacing w:line="468" w:lineRule="atLeast"/>
    </w:pPr>
    <w:rPr>
      <w:rFonts w:ascii="隶书" w:eastAsia="隶书" w:cs="Times New Roman"/>
      <w:color w:val="auto"/>
    </w:rPr>
  </w:style>
  <w:style w:type="paragraph" w:customStyle="1" w:styleId="CharChar4CharCharChar2">
    <w:name w:val="Char Char4 Char Char Char2"/>
    <w:basedOn w:val="a"/>
    <w:semiHidden/>
    <w:qFormat/>
    <w:pPr>
      <w:spacing w:after="160" w:line="240" w:lineRule="exact"/>
    </w:pPr>
    <w:rPr>
      <w:rFonts w:ascii="Verdana" w:hAnsi="Verdana" w:cs="Verdana"/>
      <w:sz w:val="20"/>
      <w:szCs w:val="20"/>
      <w:lang w:eastAsia="en-US"/>
    </w:rPr>
  </w:style>
  <w:style w:type="paragraph" w:customStyle="1" w:styleId="Char1CharCharCharCharCharCharCharCharChar2">
    <w:name w:val="Char1 Char Char Char Char Char Char Char Char Char2"/>
    <w:basedOn w:val="a"/>
    <w:uiPriority w:val="99"/>
    <w:semiHidden/>
    <w:qFormat/>
  </w:style>
  <w:style w:type="paragraph" w:customStyle="1" w:styleId="tabmenu">
    <w:name w:val="tabmenu"/>
    <w:basedOn w:val="a"/>
    <w:semiHidden/>
    <w:qFormat/>
    <w:pPr>
      <w:pBdr>
        <w:top w:val="single" w:sz="6" w:space="0" w:color="C8D8F2"/>
        <w:bottom w:val="single" w:sz="6" w:space="0" w:color="C8D8F2"/>
      </w:pBdr>
      <w:spacing w:beforeAutospacing="1" w:after="150" w:line="360" w:lineRule="atLeast"/>
    </w:pPr>
  </w:style>
  <w:style w:type="paragraph" w:customStyle="1" w:styleId="afffffffffff5">
    <w:name w:val="表右"/>
    <w:basedOn w:val="a"/>
    <w:semiHidden/>
    <w:qFormat/>
    <w:pPr>
      <w:adjustRightInd w:val="0"/>
      <w:snapToGrid w:val="0"/>
      <w:jc w:val="right"/>
    </w:pPr>
    <w:rPr>
      <w:szCs w:val="20"/>
    </w:rPr>
  </w:style>
  <w:style w:type="paragraph" w:customStyle="1" w:styleId="CM58">
    <w:name w:val="CM58"/>
    <w:basedOn w:val="Default"/>
    <w:next w:val="Default"/>
    <w:semiHidden/>
    <w:qFormat/>
    <w:rPr>
      <w:rFonts w:ascii="隶书" w:eastAsia="隶书" w:cs="Times New Roman"/>
      <w:color w:val="auto"/>
    </w:rPr>
  </w:style>
  <w:style w:type="paragraph" w:customStyle="1" w:styleId="-40">
    <w:name w:val="徐工-4级"/>
    <w:basedOn w:val="4"/>
    <w:semiHidden/>
    <w:qFormat/>
    <w:pPr>
      <w:widowControl w:val="0"/>
      <w:numPr>
        <w:ilvl w:val="0"/>
        <w:numId w:val="0"/>
      </w:numPr>
      <w:spacing w:before="0" w:after="240" w:line="360" w:lineRule="auto"/>
      <w:ind w:firstLineChars="200" w:firstLine="200"/>
      <w:jc w:val="left"/>
    </w:pPr>
    <w:rPr>
      <w:rFonts w:ascii="Arial" w:eastAsia="黑体" w:hAnsi="Arial"/>
      <w:sz w:val="24"/>
    </w:rPr>
  </w:style>
  <w:style w:type="paragraph" w:customStyle="1" w:styleId="85">
    <w:name w:val="字元 字元8"/>
    <w:basedOn w:val="a"/>
    <w:semiHidden/>
    <w:qFormat/>
    <w:pPr>
      <w:autoSpaceDE w:val="0"/>
      <w:autoSpaceDN w:val="0"/>
      <w:adjustRightInd w:val="0"/>
      <w:spacing w:after="160" w:line="240" w:lineRule="exact"/>
    </w:pPr>
    <w:rPr>
      <w:rFonts w:eastAsia="Times New Roman"/>
      <w:sz w:val="20"/>
      <w:szCs w:val="20"/>
    </w:rPr>
  </w:style>
  <w:style w:type="paragraph" w:customStyle="1" w:styleId="116">
    <w:name w:val="字元 字元11"/>
    <w:basedOn w:val="a"/>
    <w:semiHidden/>
    <w:qFormat/>
    <w:pPr>
      <w:autoSpaceDE w:val="0"/>
      <w:autoSpaceDN w:val="0"/>
      <w:adjustRightInd w:val="0"/>
      <w:spacing w:after="160" w:line="240" w:lineRule="exact"/>
    </w:pPr>
    <w:rPr>
      <w:rFonts w:eastAsia="Times New Roman"/>
      <w:sz w:val="20"/>
      <w:szCs w:val="20"/>
    </w:rPr>
  </w:style>
  <w:style w:type="paragraph" w:customStyle="1" w:styleId="2ff4">
    <w:name w:val="表注2"/>
    <w:basedOn w:val="a"/>
    <w:semiHidden/>
    <w:qFormat/>
    <w:pPr>
      <w:ind w:firstLineChars="150" w:firstLine="315"/>
    </w:pPr>
    <w:rPr>
      <w:rFonts w:eastAsia="Times New Roman"/>
      <w:szCs w:val="20"/>
    </w:rPr>
  </w:style>
  <w:style w:type="paragraph" w:customStyle="1" w:styleId="DocExCode">
    <w:name w:val="DocExCode"/>
    <w:basedOn w:val="a"/>
    <w:semiHidden/>
    <w:qFormat/>
    <w:pPr>
      <w:pBdr>
        <w:top w:val="single" w:sz="4" w:space="1" w:color="auto"/>
      </w:pBdr>
    </w:pPr>
    <w:rPr>
      <w:rFonts w:ascii="Arial" w:eastAsia="Times New Roman" w:hAnsi="Arial"/>
      <w:kern w:val="20"/>
      <w:sz w:val="16"/>
      <w:lang w:val="en-GB" w:eastAsia="en-US"/>
    </w:rPr>
  </w:style>
  <w:style w:type="paragraph" w:customStyle="1" w:styleId="afffffffffff6">
    <w:name w:val="表标题"/>
    <w:basedOn w:val="a"/>
    <w:uiPriority w:val="99"/>
    <w:semiHidden/>
    <w:qFormat/>
    <w:pPr>
      <w:spacing w:beforeLines="80"/>
    </w:pPr>
    <w:rPr>
      <w:b/>
      <w:bCs/>
      <w:sz w:val="28"/>
      <w:szCs w:val="30"/>
    </w:rPr>
  </w:style>
  <w:style w:type="paragraph" w:customStyle="1" w:styleId="-30">
    <w:name w:val="徐工-3级标题"/>
    <w:basedOn w:val="afffff1"/>
    <w:semiHidden/>
    <w:qFormat/>
    <w:pPr>
      <w:spacing w:before="50" w:afterLines="50"/>
      <w:ind w:firstLine="200"/>
      <w:outlineLvl w:val="2"/>
    </w:pPr>
    <w:rPr>
      <w:rFonts w:ascii="黑体" w:eastAsia="黑体" w:hAnsi="黑体" w:cs="宋体"/>
      <w:b/>
    </w:rPr>
  </w:style>
  <w:style w:type="paragraph" w:customStyle="1" w:styleId="afffffffffff7">
    <w:name w:val="小四表文左齐"/>
    <w:basedOn w:val="a"/>
    <w:semiHidden/>
    <w:qFormat/>
    <w:pPr>
      <w:jc w:val="center"/>
    </w:pPr>
  </w:style>
  <w:style w:type="paragraph" w:customStyle="1" w:styleId="4f">
    <w:name w:val="列出段落4"/>
    <w:basedOn w:val="a"/>
    <w:uiPriority w:val="34"/>
    <w:semiHidden/>
    <w:qFormat/>
    <w:pPr>
      <w:ind w:firstLineChars="200" w:firstLine="420"/>
    </w:pPr>
    <w:rPr>
      <w:rFonts w:ascii="Calibri" w:hAnsi="Calibri"/>
      <w:szCs w:val="22"/>
    </w:rPr>
  </w:style>
  <w:style w:type="paragraph" w:customStyle="1" w:styleId="Legal2L8">
    <w:name w:val="Legal2_L8"/>
    <w:basedOn w:val="Legal2L7"/>
    <w:next w:val="a7"/>
    <w:semiHidden/>
    <w:qFormat/>
    <w:pPr>
      <w:tabs>
        <w:tab w:val="clear" w:pos="2940"/>
        <w:tab w:val="left" w:pos="3360"/>
      </w:tabs>
      <w:ind w:left="3360"/>
      <w:outlineLvl w:val="7"/>
    </w:pPr>
  </w:style>
  <w:style w:type="paragraph" w:customStyle="1" w:styleId="Legal2L7">
    <w:name w:val="Legal2_L7"/>
    <w:basedOn w:val="Legal2L6"/>
    <w:next w:val="a7"/>
    <w:semiHidden/>
    <w:qFormat/>
    <w:pPr>
      <w:tabs>
        <w:tab w:val="clear" w:pos="2520"/>
        <w:tab w:val="left" w:pos="2940"/>
      </w:tabs>
      <w:ind w:left="2940"/>
      <w:outlineLvl w:val="6"/>
    </w:pPr>
  </w:style>
  <w:style w:type="paragraph" w:customStyle="1" w:styleId="Legal2L6">
    <w:name w:val="Legal2_L6"/>
    <w:basedOn w:val="Legal2L5"/>
    <w:next w:val="a7"/>
    <w:semiHidden/>
    <w:qFormat/>
    <w:pPr>
      <w:tabs>
        <w:tab w:val="clear" w:pos="720"/>
        <w:tab w:val="left" w:pos="2520"/>
      </w:tabs>
      <w:ind w:left="2520" w:hanging="420"/>
      <w:outlineLvl w:val="5"/>
    </w:pPr>
  </w:style>
  <w:style w:type="paragraph" w:customStyle="1" w:styleId="Legal2L5">
    <w:name w:val="Legal2_L5"/>
    <w:basedOn w:val="a"/>
    <w:semiHidden/>
    <w:qFormat/>
    <w:pPr>
      <w:tabs>
        <w:tab w:val="left" w:pos="720"/>
      </w:tabs>
      <w:spacing w:after="240"/>
      <w:ind w:left="2160" w:hanging="720"/>
      <w:outlineLvl w:val="4"/>
    </w:pPr>
    <w:rPr>
      <w:rFonts w:eastAsia="PMingLiU"/>
      <w:lang w:eastAsia="en-US"/>
    </w:rPr>
  </w:style>
  <w:style w:type="paragraph" w:customStyle="1" w:styleId="CharCharChar2">
    <w:name w:val="Char Char Char2"/>
    <w:basedOn w:val="a"/>
    <w:semiHidden/>
    <w:qFormat/>
    <w:pPr>
      <w:tabs>
        <w:tab w:val="left" w:pos="720"/>
      </w:tabs>
      <w:ind w:left="720" w:hanging="720"/>
    </w:pPr>
  </w:style>
  <w:style w:type="paragraph" w:customStyle="1" w:styleId="4f0">
    <w:name w:val="标题4"/>
    <w:basedOn w:val="a"/>
    <w:uiPriority w:val="1"/>
    <w:semiHidden/>
    <w:qFormat/>
    <w:pPr>
      <w:autoSpaceDE w:val="0"/>
      <w:autoSpaceDN w:val="0"/>
      <w:adjustRightInd w:val="0"/>
      <w:spacing w:line="360" w:lineRule="auto"/>
      <w:ind w:firstLineChars="200" w:firstLine="420"/>
    </w:pPr>
  </w:style>
  <w:style w:type="paragraph" w:customStyle="1" w:styleId="xl108">
    <w:name w:val="xl108"/>
    <w:basedOn w:val="a"/>
    <w:semiHidden/>
    <w:qFormat/>
    <w:pPr>
      <w:pBdr>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5b">
    <w:name w:val="列出段落5"/>
    <w:basedOn w:val="a"/>
    <w:semiHidden/>
    <w:qFormat/>
    <w:pPr>
      <w:ind w:firstLineChars="200" w:firstLine="420"/>
    </w:pPr>
    <w:rPr>
      <w:rFonts w:ascii="Calibri" w:hAnsi="Calibri"/>
      <w:szCs w:val="22"/>
    </w:rPr>
  </w:style>
  <w:style w:type="paragraph" w:customStyle="1" w:styleId="CharChar1CharCharCharCharCharCharCharCharCharCharCharCharChar1CharCharCharCharCharCharCharCharCharCharCharCharCharChar1CharCharCharCharCharCharCharCharCharCharCharChar1CharCharCharCharCharChar5">
    <w:name w:val="Char Char1 Char Char Char Char Char Char Char Char Char Char Char Char Char1 Char Char Char Char Char Char Char Char Char Char Char Char Char Char1 Char Char Char Char Char Char Char Char Char Char Char Char1 Char Char Char Char Char Char5"/>
    <w:basedOn w:val="a"/>
    <w:semiHidden/>
    <w:qFormat/>
    <w:pPr>
      <w:autoSpaceDE w:val="0"/>
      <w:autoSpaceDN w:val="0"/>
      <w:adjustRightInd w:val="0"/>
      <w:spacing w:after="160" w:line="240" w:lineRule="exact"/>
    </w:pPr>
    <w:rPr>
      <w:rFonts w:ascii="Verdana" w:eastAsia="Times New Roman" w:hAnsi="Verdana"/>
      <w:sz w:val="20"/>
      <w:szCs w:val="20"/>
      <w:lang w:eastAsia="en-US"/>
    </w:rPr>
  </w:style>
  <w:style w:type="paragraph" w:customStyle="1" w:styleId="Level8">
    <w:name w:val="Level 8"/>
    <w:basedOn w:val="a"/>
    <w:semiHidden/>
    <w:qFormat/>
    <w:pPr>
      <w:tabs>
        <w:tab w:val="left" w:pos="3288"/>
      </w:tabs>
      <w:spacing w:after="140" w:line="288" w:lineRule="auto"/>
      <w:ind w:left="3288" w:hanging="680"/>
      <w:outlineLvl w:val="7"/>
    </w:pPr>
    <w:rPr>
      <w:rFonts w:ascii="Arial" w:hAnsi="Arial"/>
      <w:kern w:val="20"/>
      <w:sz w:val="20"/>
      <w:lang w:eastAsia="en-US"/>
    </w:rPr>
  </w:style>
  <w:style w:type="paragraph" w:customStyle="1" w:styleId="Char1CharCharChar13">
    <w:name w:val="Char1 Char Char Char13"/>
    <w:basedOn w:val="a"/>
    <w:semiHidden/>
    <w:qFormat/>
    <w:rPr>
      <w:rFonts w:ascii="Tahoma" w:hAnsi="Tahoma"/>
      <w:szCs w:val="20"/>
    </w:rPr>
  </w:style>
  <w:style w:type="paragraph" w:customStyle="1" w:styleId="CharCharCharCharCharCharCharCharCharChar1">
    <w:name w:val="Char Char Char Char Char Char Char Char Char Char1"/>
    <w:basedOn w:val="a"/>
    <w:uiPriority w:val="99"/>
    <w:semiHidden/>
    <w:qFormat/>
    <w:rPr>
      <w:rFonts w:ascii="Tahoma" w:hAnsi="Tahoma"/>
      <w:szCs w:val="20"/>
    </w:rPr>
  </w:style>
  <w:style w:type="paragraph" w:customStyle="1" w:styleId="2ff5">
    <w:name w:val="流程图2"/>
    <w:basedOn w:val="a"/>
    <w:semiHidden/>
    <w:qFormat/>
    <w:pPr>
      <w:textAlignment w:val="center"/>
    </w:pPr>
    <w:rPr>
      <w:rFonts w:eastAsia="宋体-18030"/>
      <w:color w:val="000000"/>
      <w:sz w:val="28"/>
      <w:szCs w:val="28"/>
    </w:rPr>
  </w:style>
  <w:style w:type="paragraph" w:customStyle="1" w:styleId="09">
    <w:name w:val="09中信_图表标题"/>
    <w:basedOn w:val="a"/>
    <w:uiPriority w:val="99"/>
    <w:semiHidden/>
    <w:qFormat/>
    <w:pPr>
      <w:spacing w:after="40"/>
      <w:ind w:rightChars="1600" w:right="1600"/>
    </w:pPr>
    <w:rPr>
      <w:b/>
      <w:bCs/>
      <w:color w:val="003366"/>
      <w:sz w:val="20"/>
      <w:szCs w:val="20"/>
    </w:rPr>
  </w:style>
  <w:style w:type="paragraph" w:customStyle="1" w:styleId="Char1CharCharCharCharCharCharCharCharChar">
    <w:name w:val="Char1 Char Char Char Char Char Char Char Char Char"/>
    <w:basedOn w:val="a"/>
    <w:uiPriority w:val="99"/>
    <w:semiHidden/>
    <w:qFormat/>
  </w:style>
  <w:style w:type="paragraph" w:customStyle="1" w:styleId="afffffffffff8">
    <w:name w:val="中石化_一级"/>
    <w:uiPriority w:val="99"/>
    <w:semiHidden/>
    <w:qFormat/>
    <w:pPr>
      <w:spacing w:before="120" w:line="360" w:lineRule="auto"/>
    </w:pPr>
    <w:rPr>
      <w:rFonts w:ascii="宋体" w:hAnsi="宋体"/>
      <w:b/>
      <w:kern w:val="2"/>
      <w:sz w:val="32"/>
    </w:rPr>
  </w:style>
  <w:style w:type="paragraph" w:customStyle="1" w:styleId="td">
    <w:name w:val="td"/>
    <w:basedOn w:val="a"/>
    <w:semiHidden/>
    <w:qFormat/>
    <w:pPr>
      <w:spacing w:before="100" w:beforeAutospacing="1" w:after="100" w:afterAutospacing="1" w:line="384" w:lineRule="auto"/>
    </w:pPr>
    <w:rPr>
      <w:sz w:val="18"/>
      <w:szCs w:val="18"/>
    </w:rPr>
  </w:style>
  <w:style w:type="paragraph" w:customStyle="1" w:styleId="afffffffffff9">
    <w:name w:val="表格工程左"/>
    <w:basedOn w:val="affffffff9"/>
    <w:semiHidden/>
    <w:qFormat/>
    <w:pPr>
      <w:textAlignment w:val="auto"/>
    </w:pPr>
    <w:rPr>
      <w:sz w:val="28"/>
    </w:rPr>
  </w:style>
  <w:style w:type="paragraph" w:customStyle="1" w:styleId="Style2">
    <w:name w:val="Style2"/>
    <w:basedOn w:val="3"/>
    <w:link w:val="Style2Char"/>
    <w:semiHidden/>
    <w:qFormat/>
    <w:pPr>
      <w:keepNext w:val="0"/>
      <w:keepLines w:val="0"/>
      <w:numPr>
        <w:ilvl w:val="0"/>
        <w:numId w:val="0"/>
      </w:numPr>
      <w:tabs>
        <w:tab w:val="left" w:pos="1680"/>
      </w:tabs>
      <w:autoSpaceDE w:val="0"/>
      <w:autoSpaceDN w:val="0"/>
      <w:adjustRightInd w:val="0"/>
      <w:snapToGrid w:val="0"/>
      <w:spacing w:beforeLines="0" w:before="120" w:afterLines="0" w:after="0" w:line="360" w:lineRule="auto"/>
      <w:ind w:left="950" w:hanging="475"/>
      <w:jc w:val="left"/>
    </w:pPr>
    <w:rPr>
      <w:rFonts w:eastAsia="黑体"/>
      <w:bCs w:val="0"/>
      <w:kern w:val="0"/>
      <w:sz w:val="30"/>
      <w:szCs w:val="30"/>
    </w:rPr>
  </w:style>
  <w:style w:type="character" w:customStyle="1" w:styleId="Style2Char">
    <w:name w:val="Style2 Char"/>
    <w:link w:val="Style2"/>
    <w:semiHidden/>
    <w:rPr>
      <w:rFonts w:eastAsia="黑体"/>
      <w:b/>
      <w:sz w:val="30"/>
      <w:szCs w:val="30"/>
    </w:rPr>
  </w:style>
  <w:style w:type="paragraph" w:customStyle="1" w:styleId="CM82">
    <w:name w:val="CM82"/>
    <w:basedOn w:val="Default"/>
    <w:next w:val="Default"/>
    <w:uiPriority w:val="99"/>
    <w:semiHidden/>
    <w:qFormat/>
    <w:pPr>
      <w:spacing w:after="140"/>
    </w:pPr>
    <w:rPr>
      <w:rFonts w:ascii="隶书" w:eastAsia="隶书" w:cs="Times New Roman"/>
      <w:color w:val="auto"/>
    </w:rPr>
  </w:style>
  <w:style w:type="paragraph" w:customStyle="1" w:styleId="1fff3">
    <w:name w:val="字元 字元1"/>
    <w:basedOn w:val="a"/>
    <w:semiHidden/>
    <w:qFormat/>
    <w:pPr>
      <w:autoSpaceDE w:val="0"/>
      <w:autoSpaceDN w:val="0"/>
      <w:adjustRightInd w:val="0"/>
      <w:spacing w:after="160" w:line="240" w:lineRule="exact"/>
    </w:pPr>
    <w:rPr>
      <w:rFonts w:eastAsia="Times New Roman"/>
      <w:sz w:val="20"/>
      <w:szCs w:val="20"/>
    </w:rPr>
  </w:style>
  <w:style w:type="paragraph" w:customStyle="1" w:styleId="similarquerysuggesthover3">
    <w:name w:val="similarquerysuggest_hover3"/>
    <w:basedOn w:val="a"/>
    <w:semiHidden/>
    <w:qFormat/>
    <w:pPr>
      <w:shd w:val="clear" w:color="auto" w:fill="E8F2FE"/>
      <w:spacing w:beforeAutospacing="1" w:after="100" w:afterAutospacing="1"/>
    </w:pPr>
  </w:style>
  <w:style w:type="paragraph" w:customStyle="1" w:styleId="msonormal0">
    <w:name w:val="msonormal"/>
    <w:basedOn w:val="a"/>
    <w:semiHidden/>
    <w:qFormat/>
    <w:pPr>
      <w:spacing w:before="100" w:beforeAutospacing="1" w:after="100" w:afterAutospacing="1"/>
    </w:pPr>
  </w:style>
  <w:style w:type="paragraph" w:customStyle="1" w:styleId="xl629">
    <w:name w:val="xl629"/>
    <w:basedOn w:val="a"/>
    <w:semiHidden/>
    <w:qFormat/>
    <w:pPr>
      <w:spacing w:before="100" w:beforeAutospacing="1" w:after="100" w:afterAutospacing="1"/>
    </w:pPr>
    <w:rPr>
      <w:color w:val="000000"/>
      <w:sz w:val="20"/>
      <w:szCs w:val="20"/>
    </w:rPr>
  </w:style>
  <w:style w:type="paragraph" w:customStyle="1" w:styleId="CharCharCharChar3">
    <w:name w:val="Char Char Char Char3"/>
    <w:basedOn w:val="a"/>
    <w:semiHidden/>
    <w:qFormat/>
    <w:pPr>
      <w:spacing w:beforeLines="50"/>
    </w:pPr>
  </w:style>
  <w:style w:type="paragraph" w:customStyle="1" w:styleId="1fff4">
    <w:name w:val="样式 样式1 + (符号) 宋体 黑色"/>
    <w:basedOn w:val="a"/>
    <w:semiHidden/>
    <w:qFormat/>
    <w:pPr>
      <w:spacing w:beforeLines="50" w:line="500" w:lineRule="atLeast"/>
      <w:ind w:firstLineChars="100" w:firstLine="281"/>
      <w:outlineLvl w:val="1"/>
    </w:pPr>
    <w:rPr>
      <w:b/>
      <w:bCs/>
      <w:color w:val="000000"/>
      <w:sz w:val="28"/>
      <w:szCs w:val="20"/>
    </w:rPr>
  </w:style>
  <w:style w:type="paragraph" w:customStyle="1" w:styleId="ppslevel6">
    <w:name w:val="pps level 6"/>
    <w:basedOn w:val="6"/>
    <w:semiHidden/>
    <w:qFormat/>
    <w:pPr>
      <w:keepNext w:val="0"/>
      <w:keepLines w:val="0"/>
      <w:widowControl w:val="0"/>
      <w:numPr>
        <w:ilvl w:val="0"/>
        <w:numId w:val="0"/>
      </w:numPr>
      <w:tabs>
        <w:tab w:val="left" w:pos="1560"/>
        <w:tab w:val="left" w:pos="3969"/>
      </w:tabs>
      <w:adjustRightInd w:val="0"/>
      <w:spacing w:beforeLines="0" w:before="120" w:afterLines="0" w:after="0" w:line="360" w:lineRule="auto"/>
      <w:ind w:left="200" w:firstLineChars="200" w:firstLine="200"/>
      <w:jc w:val="left"/>
      <w:textAlignment w:val="baseline"/>
    </w:pPr>
    <w:rPr>
      <w:rFonts w:ascii="Times New Roman" w:eastAsia="宋体" w:hAnsi="Times New Roman"/>
      <w:b w:val="0"/>
      <w:bCs w:val="0"/>
      <w:kern w:val="0"/>
    </w:rPr>
  </w:style>
  <w:style w:type="paragraph" w:customStyle="1" w:styleId="CharChar4CharCharCharCharCharCharChar2">
    <w:name w:val="Char Char4 Char Char Char Char Char Char Char2"/>
    <w:basedOn w:val="a"/>
    <w:semiHidden/>
    <w:qFormat/>
    <w:pPr>
      <w:spacing w:after="160" w:line="240" w:lineRule="exact"/>
    </w:pPr>
    <w:rPr>
      <w:rFonts w:ascii="Verdana" w:hAnsi="Verdana" w:cs="Verdana"/>
      <w:sz w:val="20"/>
      <w:szCs w:val="20"/>
      <w:lang w:eastAsia="en-US"/>
    </w:rPr>
  </w:style>
  <w:style w:type="paragraph" w:customStyle="1" w:styleId="afffffffffffa">
    <w:name w:val="表说明文"/>
    <w:basedOn w:val="a"/>
    <w:semiHidden/>
    <w:qFormat/>
    <w:pPr>
      <w:adjustRightInd w:val="0"/>
      <w:snapToGrid w:val="0"/>
      <w:spacing w:line="480" w:lineRule="exact"/>
      <w:ind w:firstLineChars="200" w:firstLine="480"/>
    </w:pPr>
    <w:rPr>
      <w:rFonts w:eastAsia="仿宋_GB2312"/>
      <w:szCs w:val="20"/>
      <w:lang w:bidi="he-IL"/>
    </w:rPr>
  </w:style>
  <w:style w:type="paragraph" w:customStyle="1" w:styleId="CharChar4CharCharCharCharCharCharChar1CharChar1CharCharCharCharCharCharCharCharChar">
    <w:name w:val="Char Char4 Char Char Char Char Char Char Char1 Char Char1 Char Char Char Char Char Char Char Char Char"/>
    <w:basedOn w:val="a"/>
    <w:semiHidden/>
    <w:qFormat/>
    <w:pPr>
      <w:spacing w:after="160" w:line="240" w:lineRule="exact"/>
    </w:pPr>
    <w:rPr>
      <w:rFonts w:ascii="Verdana" w:hAnsi="Verdana" w:cs="Verdana"/>
      <w:sz w:val="20"/>
      <w:szCs w:val="20"/>
      <w:lang w:eastAsia="en-US"/>
    </w:rPr>
  </w:style>
  <w:style w:type="paragraph" w:customStyle="1" w:styleId="Char26">
    <w:name w:val="Char26"/>
    <w:basedOn w:val="a"/>
    <w:semiHidden/>
    <w:qFormat/>
    <w:pPr>
      <w:spacing w:after="160" w:line="240" w:lineRule="exact"/>
    </w:pPr>
    <w:rPr>
      <w:rFonts w:ascii="Verdana" w:eastAsia="Times New Roman" w:hAnsi="Verdana" w:cs="Arial"/>
      <w:sz w:val="22"/>
      <w:szCs w:val="20"/>
      <w:lang w:eastAsia="en-US"/>
    </w:rPr>
  </w:style>
  <w:style w:type="paragraph" w:customStyle="1" w:styleId="CharChar31">
    <w:name w:val="Char Char 字元3"/>
    <w:basedOn w:val="a"/>
    <w:semiHidden/>
    <w:qFormat/>
    <w:pPr>
      <w:spacing w:before="50"/>
    </w:pPr>
    <w:rPr>
      <w:szCs w:val="20"/>
    </w:rPr>
  </w:style>
  <w:style w:type="paragraph" w:customStyle="1" w:styleId="PP">
    <w:name w:val="PP 行"/>
    <w:basedOn w:val="aff"/>
    <w:semiHidden/>
    <w:qFormat/>
    <w:pPr>
      <w:ind w:left="4320"/>
    </w:pPr>
    <w:rPr>
      <w:rFonts w:ascii="宋体" w:hAnsi="宋体" w:cs="宋体"/>
      <w:sz w:val="24"/>
    </w:rPr>
  </w:style>
  <w:style w:type="paragraph" w:customStyle="1" w:styleId="CharCharCharChar8">
    <w:name w:val="字元 Char Char 字元 Char Char 字元8"/>
    <w:basedOn w:val="a"/>
    <w:semiHidden/>
    <w:qFormat/>
    <w:pPr>
      <w:autoSpaceDE w:val="0"/>
      <w:autoSpaceDN w:val="0"/>
      <w:adjustRightInd w:val="0"/>
      <w:spacing w:beforeLines="50"/>
    </w:pPr>
  </w:style>
  <w:style w:type="paragraph" w:customStyle="1" w:styleId="afffffffffffb">
    <w:name w:val="表格说明"/>
    <w:basedOn w:val="a"/>
    <w:semiHidden/>
    <w:qFormat/>
    <w:pPr>
      <w:adjustRightInd w:val="0"/>
      <w:snapToGrid w:val="0"/>
      <w:ind w:firstLineChars="224" w:firstLine="540"/>
    </w:pPr>
    <w:rPr>
      <w:b/>
      <w:szCs w:val="20"/>
    </w:rPr>
  </w:style>
  <w:style w:type="paragraph" w:customStyle="1" w:styleId="xl99">
    <w:name w:val="xl99"/>
    <w:basedOn w:val="a"/>
    <w:semiHidden/>
    <w:qFormat/>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0"/>
      <w:szCs w:val="20"/>
    </w:rPr>
  </w:style>
  <w:style w:type="paragraph" w:customStyle="1" w:styleId="afffffffffffc">
    <w:name w:val="表格文字左对齐"/>
    <w:basedOn w:val="a"/>
    <w:semiHidden/>
    <w:qFormat/>
    <w:pPr>
      <w:adjustRightInd w:val="0"/>
      <w:snapToGrid w:val="0"/>
      <w:spacing w:line="320" w:lineRule="atLeast"/>
      <w:jc w:val="center"/>
    </w:pPr>
    <w:rPr>
      <w:rFonts w:ascii="Arial" w:hAnsi="Arial" w:cs="Arial"/>
      <w:caps/>
      <w:color w:val="000000"/>
      <w:lang w:val="en-GB"/>
    </w:rPr>
  </w:style>
  <w:style w:type="paragraph" w:customStyle="1" w:styleId="CM13">
    <w:name w:val="CM13"/>
    <w:basedOn w:val="Default"/>
    <w:next w:val="Default"/>
    <w:semiHidden/>
    <w:qFormat/>
    <w:pPr>
      <w:spacing w:line="468" w:lineRule="atLeast"/>
    </w:pPr>
    <w:rPr>
      <w:rFonts w:ascii="隶书" w:eastAsia="隶书" w:cs="Times New Roman"/>
      <w:color w:val="auto"/>
    </w:rPr>
  </w:style>
  <w:style w:type="paragraph" w:customStyle="1" w:styleId="afffffffffffd">
    <w:name w:val="三栏栏头"/>
    <w:basedOn w:val="a"/>
    <w:semiHidden/>
    <w:qFormat/>
    <w:pPr>
      <w:tabs>
        <w:tab w:val="left" w:pos="1134"/>
        <w:tab w:val="right" w:pos="5670"/>
        <w:tab w:val="right" w:pos="7372"/>
      </w:tabs>
      <w:autoSpaceDE w:val="0"/>
      <w:autoSpaceDN w:val="0"/>
      <w:adjustRightInd w:val="0"/>
      <w:ind w:firstLine="426"/>
      <w:textAlignment w:val="baseline"/>
    </w:pPr>
    <w:rPr>
      <w:rFonts w:hAnsi="Tms Rmn"/>
      <w:szCs w:val="20"/>
    </w:rPr>
  </w:style>
  <w:style w:type="paragraph" w:customStyle="1" w:styleId="CM18">
    <w:name w:val="CM18"/>
    <w:basedOn w:val="a"/>
    <w:next w:val="a"/>
    <w:semiHidden/>
    <w:qFormat/>
    <w:pPr>
      <w:autoSpaceDE w:val="0"/>
      <w:autoSpaceDN w:val="0"/>
      <w:adjustRightInd w:val="0"/>
      <w:spacing w:after="383"/>
    </w:pPr>
    <w:rPr>
      <w:rFonts w:ascii="楷体_GB2312" w:eastAsia="楷体_GB2312"/>
      <w:sz w:val="20"/>
    </w:rPr>
  </w:style>
  <w:style w:type="paragraph" w:customStyle="1" w:styleId="CharChar25">
    <w:name w:val="Char Char25"/>
    <w:basedOn w:val="a"/>
    <w:semiHidden/>
    <w:qFormat/>
    <w:pPr>
      <w:spacing w:after="160" w:line="240" w:lineRule="exact"/>
    </w:pPr>
    <w:rPr>
      <w:rFonts w:ascii="Verdana" w:eastAsia="Times New Roman" w:hAnsi="Verdana"/>
      <w:sz w:val="20"/>
      <w:szCs w:val="20"/>
      <w:lang w:eastAsia="en-US"/>
    </w:rPr>
  </w:style>
  <w:style w:type="paragraph" w:customStyle="1" w:styleId="190">
    <w:name w:val="列出段落19"/>
    <w:basedOn w:val="a"/>
    <w:uiPriority w:val="34"/>
    <w:semiHidden/>
    <w:qFormat/>
    <w:pPr>
      <w:ind w:firstLineChars="200" w:firstLine="420"/>
    </w:pPr>
    <w:rPr>
      <w:szCs w:val="20"/>
    </w:rPr>
  </w:style>
  <w:style w:type="paragraph" w:customStyle="1" w:styleId="CharChar4CharCharChar1">
    <w:name w:val="Char Char4 Char Char Char1"/>
    <w:basedOn w:val="a"/>
    <w:semiHidden/>
    <w:qFormat/>
    <w:pPr>
      <w:spacing w:after="160" w:line="240" w:lineRule="exact"/>
    </w:pPr>
    <w:rPr>
      <w:rFonts w:ascii="Verdana" w:hAnsi="Verdana" w:cs="Verdana"/>
      <w:sz w:val="20"/>
      <w:szCs w:val="20"/>
      <w:lang w:eastAsia="en-US"/>
    </w:rPr>
  </w:style>
  <w:style w:type="paragraph" w:customStyle="1" w:styleId="PlainText4">
    <w:name w:val="Plain Text4"/>
    <w:basedOn w:val="a"/>
    <w:uiPriority w:val="99"/>
    <w:semiHidden/>
    <w:qFormat/>
    <w:pPr>
      <w:adjustRightInd w:val="0"/>
      <w:textAlignment w:val="baseline"/>
    </w:pPr>
    <w:rPr>
      <w:rFonts w:hAnsi="Courier New"/>
      <w:szCs w:val="20"/>
    </w:rPr>
  </w:style>
  <w:style w:type="paragraph" w:customStyle="1" w:styleId="2Resetnumberingsect12Heading2ph2h21head">
    <w:name w:val="样式 标题 2Reset numbering章节标题sect 1.2节Heading 2ph2h21head ..."/>
    <w:basedOn w:val="2"/>
    <w:semiHidden/>
    <w:qFormat/>
    <w:pPr>
      <w:keepNext w:val="0"/>
      <w:keepLines w:val="0"/>
      <w:numPr>
        <w:ilvl w:val="0"/>
        <w:numId w:val="0"/>
      </w:numPr>
      <w:snapToGrid w:val="0"/>
      <w:spacing w:beforeLines="100" w:line="240" w:lineRule="auto"/>
      <w:ind w:leftChars="200" w:left="767" w:hanging="420"/>
      <w:jc w:val="left"/>
    </w:pPr>
    <w:rPr>
      <w:rFonts w:ascii="Arial" w:eastAsia="黑体" w:hAnsi="Arial"/>
      <w:b w:val="0"/>
      <w:kern w:val="44"/>
      <w:sz w:val="30"/>
    </w:rPr>
  </w:style>
  <w:style w:type="paragraph" w:customStyle="1" w:styleId="xl102">
    <w:name w:val="xl102"/>
    <w:basedOn w:val="a"/>
    <w:semiHidden/>
    <w:qFormat/>
    <w:pPr>
      <w:pBdr>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CharCharCharCharCharCharCharCharCharCharChar1CharCharChar">
    <w:name w:val="Char Char Char Char Char Char Char Char Char Char Char1 Char Char Char"/>
    <w:basedOn w:val="a"/>
    <w:semiHidden/>
    <w:qFormat/>
    <w:pPr>
      <w:spacing w:after="160" w:line="240" w:lineRule="exact"/>
    </w:pPr>
    <w:rPr>
      <w:rFonts w:cs="Arial"/>
      <w:sz w:val="22"/>
      <w:szCs w:val="20"/>
      <w:lang w:eastAsia="en-US"/>
    </w:rPr>
  </w:style>
  <w:style w:type="paragraph" w:customStyle="1" w:styleId="CM46">
    <w:name w:val="CM46"/>
    <w:basedOn w:val="Default"/>
    <w:next w:val="Default"/>
    <w:semiHidden/>
    <w:qFormat/>
    <w:pPr>
      <w:spacing w:line="286" w:lineRule="atLeast"/>
    </w:pPr>
    <w:rPr>
      <w:rFonts w:ascii="隶书" w:eastAsia="隶书" w:cs="Times New Roman"/>
      <w:color w:val="auto"/>
    </w:rPr>
  </w:style>
  <w:style w:type="paragraph" w:customStyle="1" w:styleId="3f9">
    <w:name w:val="流程图字3"/>
    <w:basedOn w:val="2ff5"/>
    <w:semiHidden/>
    <w:qFormat/>
    <w:pPr>
      <w:snapToGrid w:val="0"/>
      <w:jc w:val="center"/>
      <w:textAlignment w:val="bottom"/>
    </w:pPr>
    <w:rPr>
      <w:sz w:val="21"/>
      <w:szCs w:val="24"/>
    </w:rPr>
  </w:style>
  <w:style w:type="paragraph" w:customStyle="1" w:styleId="CharCharCharCharCharCharCharCharCharCharCharCharChar2">
    <w:name w:val="Char Char Char Char Char Char Char Char Char Char Char Char Char2"/>
    <w:basedOn w:val="a"/>
    <w:semiHidden/>
    <w:qFormat/>
    <w:pPr>
      <w:autoSpaceDE w:val="0"/>
      <w:autoSpaceDN w:val="0"/>
      <w:adjustRightInd w:val="0"/>
      <w:spacing w:after="160" w:line="240" w:lineRule="exact"/>
    </w:pPr>
    <w:rPr>
      <w:rFonts w:ascii="Verdana" w:eastAsia="Times New Roman" w:hAnsi="Verdana"/>
      <w:sz w:val="20"/>
      <w:szCs w:val="20"/>
      <w:lang w:eastAsia="en-US"/>
    </w:rPr>
  </w:style>
  <w:style w:type="paragraph" w:customStyle="1" w:styleId="CharCharCharChar80">
    <w:name w:val="Char Char Char Char8"/>
    <w:basedOn w:val="a"/>
    <w:semiHidden/>
    <w:qFormat/>
    <w:pPr>
      <w:autoSpaceDE w:val="0"/>
      <w:autoSpaceDN w:val="0"/>
      <w:adjustRightInd w:val="0"/>
      <w:spacing w:beforeLines="50"/>
    </w:pPr>
  </w:style>
  <w:style w:type="paragraph" w:customStyle="1" w:styleId="CharChar1CharCharCharChar1CharCharChar8">
    <w:name w:val="Char Char1 Char Char Char Char1 Char Char Char8"/>
    <w:basedOn w:val="a"/>
    <w:semiHidden/>
    <w:qFormat/>
    <w:pPr>
      <w:autoSpaceDE w:val="0"/>
      <w:autoSpaceDN w:val="0"/>
      <w:adjustRightInd w:val="0"/>
    </w:pPr>
  </w:style>
  <w:style w:type="paragraph" w:customStyle="1" w:styleId="Char1fa">
    <w:name w:val="Char1"/>
    <w:basedOn w:val="a"/>
    <w:semiHidden/>
    <w:qFormat/>
    <w:rPr>
      <w:rFonts w:ascii="Tahoma" w:hAnsi="Tahoma"/>
      <w:szCs w:val="20"/>
    </w:rPr>
  </w:style>
  <w:style w:type="paragraph" w:customStyle="1" w:styleId="122">
    <w:name w:val="列出段落12"/>
    <w:basedOn w:val="a"/>
    <w:uiPriority w:val="34"/>
    <w:semiHidden/>
    <w:qFormat/>
    <w:pPr>
      <w:ind w:firstLineChars="200" w:firstLine="420"/>
    </w:pPr>
    <w:rPr>
      <w:rFonts w:ascii="Calibri" w:hAnsi="Calibri"/>
      <w:szCs w:val="22"/>
    </w:rPr>
  </w:style>
  <w:style w:type="paragraph" w:customStyle="1" w:styleId="105">
    <w:name w:val="样式 样式 标题1 + 段前: 0.5 行 + (符号) 宋体"/>
    <w:basedOn w:val="a"/>
    <w:semiHidden/>
    <w:qFormat/>
    <w:pPr>
      <w:spacing w:beforeLines="50" w:line="500" w:lineRule="exact"/>
      <w:outlineLvl w:val="0"/>
    </w:pPr>
    <w:rPr>
      <w:b/>
      <w:bCs/>
      <w:color w:val="000000"/>
      <w:sz w:val="32"/>
      <w:szCs w:val="20"/>
    </w:rPr>
  </w:style>
  <w:style w:type="paragraph" w:styleId="TOC">
    <w:name w:val="TOC Heading"/>
    <w:basedOn w:val="1"/>
    <w:next w:val="a"/>
    <w:uiPriority w:val="39"/>
    <w:qFormat/>
    <w:pPr>
      <w:tabs>
        <w:tab w:val="clear" w:pos="1134"/>
      </w:tabs>
      <w:snapToGrid w:val="0"/>
      <w:spacing w:beforeLines="0" w:before="480" w:afterLines="0" w:after="0" w:line="276" w:lineRule="auto"/>
      <w:ind w:left="0" w:firstLineChars="0" w:firstLine="0"/>
      <w:jc w:val="left"/>
      <w:outlineLvl w:val="9"/>
    </w:pPr>
    <w:rPr>
      <w:rFonts w:ascii="Cambria" w:hAnsi="Cambria"/>
      <w:color w:val="365F91"/>
      <w:kern w:val="0"/>
      <w:sz w:val="28"/>
      <w:szCs w:val="28"/>
    </w:rPr>
  </w:style>
  <w:style w:type="paragraph" w:customStyle="1" w:styleId="xl135">
    <w:name w:val="xl135"/>
    <w:basedOn w:val="a"/>
    <w:semiHidden/>
    <w:qFormat/>
    <w:pPr>
      <w:pBdr>
        <w:top w:val="single" w:sz="8" w:space="0" w:color="auto"/>
        <w:left w:val="single" w:sz="8" w:space="0" w:color="auto"/>
      </w:pBdr>
      <w:spacing w:before="100" w:beforeAutospacing="1" w:after="100" w:afterAutospacing="1"/>
      <w:jc w:val="center"/>
    </w:pPr>
    <w:rPr>
      <w:rFonts w:ascii="楷体_GB2312" w:eastAsia="楷体_GB2312"/>
      <w:b/>
      <w:bCs/>
      <w:color w:val="000000"/>
      <w:sz w:val="18"/>
      <w:szCs w:val="18"/>
    </w:rPr>
  </w:style>
  <w:style w:type="paragraph" w:customStyle="1" w:styleId="-6">
    <w:name w:val="徐工-章节"/>
    <w:basedOn w:val="X"/>
    <w:semiHidden/>
    <w:qFormat/>
    <w:pPr>
      <w:pageBreakBefore/>
    </w:pPr>
  </w:style>
  <w:style w:type="paragraph" w:customStyle="1" w:styleId="CharCharCharChar10">
    <w:name w:val="Char Char Char Char10"/>
    <w:basedOn w:val="a"/>
    <w:uiPriority w:val="99"/>
    <w:semiHidden/>
    <w:qFormat/>
    <w:pPr>
      <w:autoSpaceDE w:val="0"/>
      <w:autoSpaceDN w:val="0"/>
      <w:adjustRightInd w:val="0"/>
      <w:spacing w:beforeLines="50"/>
    </w:pPr>
  </w:style>
  <w:style w:type="paragraph" w:customStyle="1" w:styleId="123">
    <w:name w:val="无间隔12"/>
    <w:semiHidden/>
    <w:qFormat/>
    <w:pPr>
      <w:widowControl w:val="0"/>
      <w:jc w:val="both"/>
    </w:pPr>
    <w:rPr>
      <w:kern w:val="2"/>
      <w:sz w:val="21"/>
      <w:szCs w:val="21"/>
    </w:rPr>
  </w:style>
  <w:style w:type="paragraph" w:customStyle="1" w:styleId="xl76">
    <w:name w:val="xl76"/>
    <w:basedOn w:val="a"/>
    <w:uiPriority w:val="99"/>
    <w:semiHidden/>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_GB2312" w:eastAsia="仿宋_GB2312"/>
      <w:sz w:val="20"/>
      <w:szCs w:val="20"/>
    </w:rPr>
  </w:style>
  <w:style w:type="paragraph" w:customStyle="1" w:styleId="CharChar4Char2">
    <w:name w:val="Char Char4 Char2"/>
    <w:basedOn w:val="a"/>
    <w:semiHidden/>
    <w:qFormat/>
    <w:pPr>
      <w:spacing w:after="160" w:line="240" w:lineRule="exact"/>
    </w:pPr>
    <w:rPr>
      <w:rFonts w:ascii="Verdana" w:eastAsia="Times New Roman" w:hAnsi="Verdana"/>
      <w:sz w:val="20"/>
      <w:szCs w:val="20"/>
      <w:lang w:eastAsia="en-US"/>
    </w:rPr>
  </w:style>
  <w:style w:type="paragraph" w:customStyle="1" w:styleId="CharCharCharCharCharCharCharChar3">
    <w:name w:val="Char Char Char Char Char Char Char Char3"/>
    <w:basedOn w:val="a"/>
    <w:semiHidden/>
    <w:qFormat/>
    <w:rPr>
      <w:rFonts w:ascii="Tahoma" w:hAnsi="Tahoma"/>
      <w:szCs w:val="20"/>
    </w:rPr>
  </w:style>
  <w:style w:type="paragraph" w:customStyle="1" w:styleId="CharCharCharCharCharCharCharCharChar2">
    <w:name w:val="Char Char Char Char Char Char Char Char Char2"/>
    <w:basedOn w:val="a"/>
    <w:semiHidden/>
    <w:qFormat/>
    <w:pPr>
      <w:spacing w:after="160" w:line="240" w:lineRule="exact"/>
      <w:ind w:leftChars="100" w:left="210" w:rightChars="100" w:right="100"/>
    </w:pPr>
    <w:rPr>
      <w:lang w:eastAsia="en-US"/>
    </w:rPr>
  </w:style>
  <w:style w:type="paragraph" w:customStyle="1" w:styleId="KWListBullet">
    <w:name w:val="K&amp;W List Bullet"/>
    <w:basedOn w:val="KWNormal"/>
    <w:semiHidden/>
    <w:qFormat/>
    <w:pPr>
      <w:numPr>
        <w:numId w:val="1"/>
      </w:numPr>
      <w:tabs>
        <w:tab w:val="left" w:pos="1134"/>
      </w:tabs>
    </w:pPr>
  </w:style>
  <w:style w:type="paragraph" w:customStyle="1" w:styleId="E-norm">
    <w:name w:val="E-norm"/>
    <w:basedOn w:val="a"/>
    <w:uiPriority w:val="99"/>
    <w:semiHidden/>
    <w:qFormat/>
    <w:pPr>
      <w:adjustRightInd w:val="0"/>
    </w:pPr>
    <w:rPr>
      <w:rFonts w:eastAsia="MingLiU"/>
      <w:szCs w:val="20"/>
      <w:lang w:val="en-GB" w:eastAsia="zh-TW"/>
    </w:rPr>
  </w:style>
  <w:style w:type="paragraph" w:customStyle="1" w:styleId="CharCharCharChar70">
    <w:name w:val="字元 Char Char 字元 Char Char 字元7"/>
    <w:basedOn w:val="a"/>
    <w:semiHidden/>
    <w:qFormat/>
    <w:pPr>
      <w:autoSpaceDE w:val="0"/>
      <w:autoSpaceDN w:val="0"/>
      <w:adjustRightInd w:val="0"/>
      <w:spacing w:beforeLines="50"/>
    </w:pPr>
  </w:style>
  <w:style w:type="paragraph" w:customStyle="1" w:styleId="afffffffffffe">
    <w:name w:val="附录四级条标题"/>
    <w:basedOn w:val="affffffffffff"/>
    <w:next w:val="a"/>
    <w:semiHidden/>
    <w:qFormat/>
    <w:pPr>
      <w:tabs>
        <w:tab w:val="clear" w:pos="828"/>
        <w:tab w:val="left" w:pos="960"/>
        <w:tab w:val="left" w:pos="1440"/>
        <w:tab w:val="left" w:pos="2520"/>
      </w:tabs>
      <w:ind w:left="960"/>
      <w:outlineLvl w:val="5"/>
    </w:pPr>
  </w:style>
  <w:style w:type="paragraph" w:customStyle="1" w:styleId="affffffffffff">
    <w:name w:val="附录三级条标题"/>
    <w:basedOn w:val="afffffffffff3"/>
    <w:next w:val="a"/>
    <w:semiHidden/>
    <w:qFormat/>
    <w:pPr>
      <w:tabs>
        <w:tab w:val="clear" w:pos="360"/>
        <w:tab w:val="clear" w:pos="1080"/>
        <w:tab w:val="left" w:pos="1068"/>
        <w:tab w:val="left" w:pos="2100"/>
      </w:tabs>
      <w:ind w:left="1068"/>
      <w:outlineLvl w:val="4"/>
    </w:pPr>
  </w:style>
  <w:style w:type="paragraph" w:customStyle="1" w:styleId="Char1CharChar">
    <w:name w:val="Char1 Char Char"/>
    <w:basedOn w:val="a"/>
    <w:uiPriority w:val="99"/>
    <w:semiHidden/>
    <w:qFormat/>
    <w:rPr>
      <w:rFonts w:ascii="Tahoma" w:hAnsi="Tahoma"/>
      <w:szCs w:val="20"/>
    </w:rPr>
  </w:style>
  <w:style w:type="paragraph" w:customStyle="1" w:styleId="2ff6">
    <w:name w:val="日期2"/>
    <w:basedOn w:val="a"/>
    <w:next w:val="a"/>
    <w:uiPriority w:val="99"/>
    <w:semiHidden/>
    <w:qFormat/>
    <w:pPr>
      <w:autoSpaceDE w:val="0"/>
      <w:autoSpaceDN w:val="0"/>
      <w:adjustRightInd w:val="0"/>
      <w:spacing w:line="312" w:lineRule="atLeast"/>
      <w:jc w:val="right"/>
      <w:textAlignment w:val="baseline"/>
    </w:pPr>
    <w:rPr>
      <w:szCs w:val="20"/>
    </w:rPr>
  </w:style>
  <w:style w:type="paragraph" w:customStyle="1" w:styleId="314">
    <w:name w:val="正文文本缩进 31"/>
    <w:basedOn w:val="a"/>
    <w:semiHidden/>
    <w:qFormat/>
    <w:pPr>
      <w:adjustRightInd w:val="0"/>
      <w:spacing w:line="360" w:lineRule="auto"/>
      <w:ind w:left="1258"/>
      <w:textAlignment w:val="baseline"/>
    </w:pPr>
    <w:rPr>
      <w:szCs w:val="20"/>
    </w:rPr>
  </w:style>
  <w:style w:type="paragraph" w:customStyle="1" w:styleId="2ff7">
    <w:name w:val="表头2"/>
    <w:basedOn w:val="affffffff4"/>
    <w:semiHidden/>
    <w:qFormat/>
    <w:pPr>
      <w:adjustRightInd w:val="0"/>
      <w:snapToGrid w:val="0"/>
      <w:spacing w:before="0" w:after="0" w:line="360" w:lineRule="exact"/>
      <w:ind w:firstLineChars="0" w:firstLine="0"/>
    </w:pPr>
    <w:rPr>
      <w:bCs w:val="0"/>
      <w:sz w:val="28"/>
      <w:szCs w:val="20"/>
      <w:lang w:bidi="he-IL"/>
    </w:rPr>
  </w:style>
  <w:style w:type="paragraph" w:customStyle="1" w:styleId="Style7">
    <w:name w:val="_Style 7"/>
    <w:basedOn w:val="a"/>
    <w:semiHidden/>
    <w:qFormat/>
    <w:pPr>
      <w:spacing w:after="160" w:line="240" w:lineRule="exact"/>
    </w:pPr>
    <w:rPr>
      <w:szCs w:val="20"/>
    </w:rPr>
  </w:style>
  <w:style w:type="paragraph" w:customStyle="1" w:styleId="CM108">
    <w:name w:val="CM108"/>
    <w:basedOn w:val="Default"/>
    <w:next w:val="Default"/>
    <w:semiHidden/>
    <w:qFormat/>
    <w:pPr>
      <w:spacing w:line="480" w:lineRule="atLeast"/>
      <w:jc w:val="both"/>
    </w:pPr>
    <w:rPr>
      <w:rFonts w:ascii=".a...D.." w:eastAsia=".a...D.." w:cs="Times New Roman"/>
      <w:color w:val="auto"/>
    </w:rPr>
  </w:style>
  <w:style w:type="paragraph" w:customStyle="1" w:styleId="affffffffffff0">
    <w:name w:val="标准"/>
    <w:basedOn w:val="a"/>
    <w:semiHidden/>
    <w:qFormat/>
    <w:pPr>
      <w:adjustRightInd w:val="0"/>
      <w:spacing w:line="312" w:lineRule="atLeast"/>
      <w:jc w:val="center"/>
      <w:textAlignment w:val="baseline"/>
    </w:pPr>
    <w:rPr>
      <w:szCs w:val="20"/>
    </w:rPr>
  </w:style>
  <w:style w:type="paragraph" w:customStyle="1" w:styleId="xl52">
    <w:name w:val="xl52"/>
    <w:basedOn w:val="a"/>
    <w:uiPriority w:val="39"/>
    <w:semiHidden/>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0"/>
      <w:szCs w:val="20"/>
    </w:rPr>
  </w:style>
  <w:style w:type="paragraph" w:customStyle="1" w:styleId="CharChar35">
    <w:name w:val="Char Char35"/>
    <w:basedOn w:val="a"/>
    <w:semiHidden/>
    <w:qFormat/>
    <w:pPr>
      <w:autoSpaceDE w:val="0"/>
      <w:autoSpaceDN w:val="0"/>
      <w:adjustRightInd w:val="0"/>
      <w:spacing w:after="160" w:line="240" w:lineRule="exact"/>
    </w:pPr>
    <w:rPr>
      <w:rFonts w:ascii="Verdana" w:eastAsia="Times New Roman" w:hAnsi="Verdana" w:cs="Arial"/>
      <w:sz w:val="22"/>
      <w:szCs w:val="20"/>
      <w:lang w:eastAsia="en-US"/>
    </w:rPr>
  </w:style>
  <w:style w:type="paragraph" w:customStyle="1" w:styleId="21a">
    <w:name w:val="目录 21"/>
    <w:basedOn w:val="a"/>
    <w:next w:val="a"/>
    <w:uiPriority w:val="39"/>
    <w:semiHidden/>
    <w:qFormat/>
    <w:pPr>
      <w:widowControl w:val="0"/>
      <w:tabs>
        <w:tab w:val="right" w:leader="dot" w:pos="8296"/>
      </w:tabs>
      <w:snapToGrid w:val="0"/>
      <w:spacing w:line="360" w:lineRule="auto"/>
      <w:ind w:leftChars="200" w:left="480"/>
      <w:jc w:val="both"/>
    </w:pPr>
    <w:rPr>
      <w:sz w:val="24"/>
      <w:szCs w:val="24"/>
    </w:rPr>
  </w:style>
  <w:style w:type="paragraph" w:customStyle="1" w:styleId="PlainText5">
    <w:name w:val="Plain Text5"/>
    <w:basedOn w:val="a"/>
    <w:uiPriority w:val="99"/>
    <w:semiHidden/>
    <w:qFormat/>
    <w:pPr>
      <w:adjustRightInd w:val="0"/>
      <w:textAlignment w:val="baseline"/>
    </w:pPr>
    <w:rPr>
      <w:rFonts w:hAnsi="Courier New"/>
      <w:szCs w:val="20"/>
    </w:rPr>
  </w:style>
  <w:style w:type="paragraph" w:customStyle="1" w:styleId="xl38">
    <w:name w:val="xl38"/>
    <w:basedOn w:val="a"/>
    <w:semiHidden/>
    <w:qFormat/>
    <w:pPr>
      <w:pBdr>
        <w:top w:val="single" w:sz="4" w:space="0" w:color="auto"/>
        <w:left w:val="single" w:sz="4" w:space="0" w:color="auto"/>
        <w:bottom w:val="single" w:sz="4" w:space="0" w:color="auto"/>
        <w:right w:val="single" w:sz="4" w:space="0" w:color="auto"/>
      </w:pBdr>
      <w:spacing w:before="100" w:beforeAutospacing="1" w:after="100" w:afterAutospacing="1"/>
    </w:pPr>
    <w:rPr>
      <w:color w:val="3366FF"/>
      <w:sz w:val="20"/>
      <w:szCs w:val="20"/>
    </w:rPr>
  </w:style>
  <w:style w:type="paragraph" w:customStyle="1" w:styleId="1220">
    <w:name w:val="纯文本122"/>
    <w:basedOn w:val="a"/>
    <w:semiHidden/>
    <w:qFormat/>
    <w:pPr>
      <w:adjustRightInd w:val="0"/>
      <w:spacing w:line="360" w:lineRule="auto"/>
      <w:ind w:firstLine="567"/>
      <w:textAlignment w:val="baseline"/>
    </w:pPr>
    <w:rPr>
      <w:rFonts w:eastAsia="楷体_GB2312" w:hAnsi="Courier New"/>
      <w:sz w:val="28"/>
      <w:szCs w:val="20"/>
    </w:rPr>
  </w:style>
  <w:style w:type="paragraph" w:customStyle="1" w:styleId="xl134">
    <w:name w:val="xl134"/>
    <w:basedOn w:val="a"/>
    <w:semiHidden/>
    <w:qFormat/>
    <w:pPr>
      <w:pBdr>
        <w:top w:val="single" w:sz="8" w:space="0" w:color="auto"/>
        <w:bottom w:val="single" w:sz="8" w:space="0" w:color="auto"/>
        <w:right w:val="single" w:sz="8" w:space="0" w:color="auto"/>
      </w:pBdr>
      <w:spacing w:before="100" w:beforeAutospacing="1" w:after="100" w:afterAutospacing="1"/>
      <w:jc w:val="center"/>
    </w:pPr>
    <w:rPr>
      <w:rFonts w:ascii="楷体_GB2312" w:eastAsia="楷体_GB2312"/>
      <w:b/>
      <w:bCs/>
      <w:color w:val="000000"/>
      <w:sz w:val="18"/>
      <w:szCs w:val="18"/>
    </w:rPr>
  </w:style>
  <w:style w:type="paragraph" w:customStyle="1" w:styleId="CharChar1CharCharCharChar1CharCharChar5">
    <w:name w:val="Char Char1 Char Char Char Char1 Char Char Char5"/>
    <w:basedOn w:val="a"/>
    <w:semiHidden/>
    <w:qFormat/>
  </w:style>
  <w:style w:type="paragraph" w:customStyle="1" w:styleId="315">
    <w:name w:val="目录 31"/>
    <w:basedOn w:val="a"/>
    <w:next w:val="a"/>
    <w:uiPriority w:val="39"/>
    <w:semiHidden/>
    <w:qFormat/>
    <w:pPr>
      <w:widowControl w:val="0"/>
      <w:snapToGrid w:val="0"/>
      <w:spacing w:beforeLines="50" w:line="360" w:lineRule="auto"/>
      <w:ind w:leftChars="400" w:left="840" w:firstLineChars="200" w:firstLine="480"/>
      <w:jc w:val="both"/>
    </w:pPr>
    <w:rPr>
      <w:sz w:val="24"/>
      <w:szCs w:val="24"/>
    </w:rPr>
  </w:style>
  <w:style w:type="paragraph" w:customStyle="1" w:styleId="142">
    <w:name w:val="列出段落14"/>
    <w:basedOn w:val="a"/>
    <w:uiPriority w:val="99"/>
    <w:semiHidden/>
    <w:qFormat/>
    <w:pPr>
      <w:ind w:firstLineChars="200" w:firstLine="420"/>
    </w:pPr>
    <w:rPr>
      <w:rFonts w:ascii="Calibri" w:hAnsi="Calibri"/>
      <w:szCs w:val="22"/>
    </w:rPr>
  </w:style>
  <w:style w:type="paragraph" w:customStyle="1" w:styleId="2220">
    <w:name w:val="正文文本缩进 222"/>
    <w:basedOn w:val="a"/>
    <w:semiHidden/>
    <w:qFormat/>
    <w:pPr>
      <w:adjustRightInd w:val="0"/>
      <w:spacing w:line="300" w:lineRule="auto"/>
      <w:ind w:firstLine="540"/>
      <w:textAlignment w:val="baseline"/>
    </w:pPr>
    <w:rPr>
      <w:rFonts w:ascii="仿宋_GB2312" w:eastAsia="仿宋_GB2312"/>
      <w:szCs w:val="20"/>
    </w:rPr>
  </w:style>
  <w:style w:type="paragraph" w:customStyle="1" w:styleId="xl35">
    <w:name w:val="xl35"/>
    <w:basedOn w:val="a"/>
    <w:semiHidden/>
    <w:qFormat/>
    <w:pPr>
      <w:spacing w:before="100" w:after="100"/>
      <w:jc w:val="right"/>
    </w:pPr>
    <w:rPr>
      <w:szCs w:val="20"/>
    </w:rPr>
  </w:style>
  <w:style w:type="paragraph" w:customStyle="1" w:styleId="1fff5">
    <w:name w:val="标题1"/>
    <w:basedOn w:val="1"/>
    <w:semiHidden/>
    <w:qFormat/>
    <w:pPr>
      <w:tabs>
        <w:tab w:val="clear" w:pos="1134"/>
      </w:tabs>
      <w:spacing w:beforeLines="0" w:afterLines="0" w:line="578" w:lineRule="atLeast"/>
      <w:ind w:left="900" w:firstLine="562"/>
      <w:jc w:val="center"/>
    </w:pPr>
    <w:rPr>
      <w:kern w:val="0"/>
      <w:sz w:val="48"/>
    </w:rPr>
  </w:style>
  <w:style w:type="paragraph" w:customStyle="1" w:styleId="CharChar130">
    <w:name w:val="Char Char13"/>
    <w:basedOn w:val="a"/>
    <w:semiHidden/>
    <w:qFormat/>
    <w:pPr>
      <w:spacing w:after="160" w:line="240" w:lineRule="exact"/>
    </w:pPr>
    <w:rPr>
      <w:rFonts w:ascii="Verdana" w:eastAsia="Times New Roman" w:hAnsi="Verdana"/>
      <w:sz w:val="20"/>
      <w:szCs w:val="20"/>
      <w:lang w:eastAsia="en-US"/>
    </w:rPr>
  </w:style>
  <w:style w:type="paragraph" w:customStyle="1" w:styleId="CharChar11a">
    <w:name w:val="Char Char 字元11"/>
    <w:basedOn w:val="a"/>
    <w:semiHidden/>
    <w:qFormat/>
    <w:pPr>
      <w:autoSpaceDE w:val="0"/>
      <w:autoSpaceDN w:val="0"/>
      <w:adjustRightInd w:val="0"/>
      <w:spacing w:before="50"/>
    </w:pPr>
    <w:rPr>
      <w:szCs w:val="20"/>
    </w:rPr>
  </w:style>
  <w:style w:type="paragraph" w:customStyle="1" w:styleId="affffffffffff1">
    <w:name w:val="表题左"/>
    <w:basedOn w:val="a"/>
    <w:semiHidden/>
    <w:qFormat/>
    <w:pPr>
      <w:adjustRightInd w:val="0"/>
      <w:snapToGrid w:val="0"/>
      <w:spacing w:beforeLines="50" w:after="120"/>
    </w:pPr>
    <w:rPr>
      <w:b/>
      <w:sz w:val="28"/>
      <w:szCs w:val="20"/>
    </w:rPr>
  </w:style>
  <w:style w:type="paragraph" w:customStyle="1" w:styleId="150">
    <w:name w:val="正文15"/>
    <w:semiHidden/>
    <w:qFormat/>
    <w:pPr>
      <w:widowControl w:val="0"/>
      <w:adjustRightInd w:val="0"/>
      <w:spacing w:line="360" w:lineRule="atLeast"/>
      <w:jc w:val="both"/>
      <w:textAlignment w:val="baseline"/>
    </w:pPr>
    <w:rPr>
      <w:rFonts w:ascii="宋体"/>
      <w:sz w:val="24"/>
    </w:rPr>
  </w:style>
  <w:style w:type="paragraph" w:customStyle="1" w:styleId="CM103">
    <w:name w:val="CM103"/>
    <w:basedOn w:val="Default"/>
    <w:next w:val="Default"/>
    <w:semiHidden/>
    <w:qFormat/>
    <w:pPr>
      <w:spacing w:after="67"/>
    </w:pPr>
    <w:rPr>
      <w:rFonts w:ascii="黑体" w:eastAsia="黑体" w:cs="Times New Roman"/>
      <w:color w:val="auto"/>
      <w:szCs w:val="20"/>
    </w:rPr>
  </w:style>
  <w:style w:type="paragraph" w:customStyle="1" w:styleId="2Resetnumberingsect12Heading2ph2h21head1">
    <w:name w:val="样式 标题 2Reset numbering章节标题sect 1.2节Heading 2ph2h21head ...1"/>
    <w:basedOn w:val="2"/>
    <w:semiHidden/>
    <w:qFormat/>
    <w:pPr>
      <w:keepNext w:val="0"/>
      <w:keepLines w:val="0"/>
      <w:numPr>
        <w:ilvl w:val="0"/>
        <w:numId w:val="0"/>
      </w:numPr>
      <w:snapToGrid w:val="0"/>
      <w:spacing w:beforeLines="100" w:line="240" w:lineRule="auto"/>
      <w:ind w:left="1320" w:hanging="420"/>
      <w:jc w:val="left"/>
    </w:pPr>
    <w:rPr>
      <w:rFonts w:ascii="Arial" w:eastAsia="黑体" w:hAnsi="Arial"/>
      <w:kern w:val="44"/>
      <w:sz w:val="30"/>
    </w:rPr>
  </w:style>
  <w:style w:type="paragraph" w:customStyle="1" w:styleId="p16">
    <w:name w:val="p16"/>
    <w:basedOn w:val="a"/>
    <w:semiHidden/>
    <w:qFormat/>
    <w:pPr>
      <w:spacing w:after="120" w:line="240" w:lineRule="atLeast"/>
      <w:ind w:left="420"/>
    </w:pPr>
    <w:rPr>
      <w:rFonts w:ascii="仿宋_GB2312" w:eastAsia="仿宋_GB2312"/>
      <w:spacing w:val="-6"/>
      <w:sz w:val="32"/>
      <w:szCs w:val="32"/>
    </w:rPr>
  </w:style>
  <w:style w:type="paragraph" w:customStyle="1" w:styleId="CharCharCharCharChar8">
    <w:name w:val="Char Char Char Char Char8"/>
    <w:basedOn w:val="a"/>
    <w:semiHidden/>
    <w:qFormat/>
    <w:pPr>
      <w:autoSpaceDE w:val="0"/>
      <w:autoSpaceDN w:val="0"/>
      <w:adjustRightInd w:val="0"/>
    </w:pPr>
    <w:rPr>
      <w:rFonts w:ascii="Tahoma" w:hAnsi="Tahoma"/>
      <w:szCs w:val="20"/>
    </w:rPr>
  </w:style>
  <w:style w:type="paragraph" w:customStyle="1" w:styleId="CharCharCharChar12">
    <w:name w:val="字元 Char Char 字元 Char Char 字元12"/>
    <w:basedOn w:val="a"/>
    <w:semiHidden/>
    <w:qFormat/>
    <w:pPr>
      <w:autoSpaceDE w:val="0"/>
      <w:autoSpaceDN w:val="0"/>
      <w:adjustRightInd w:val="0"/>
      <w:spacing w:beforeLines="50"/>
    </w:pPr>
  </w:style>
  <w:style w:type="paragraph" w:customStyle="1" w:styleId="151">
    <w:name w:val="15"/>
    <w:basedOn w:val="a"/>
    <w:semiHidden/>
    <w:qFormat/>
    <w:pPr>
      <w:snapToGrid w:val="0"/>
      <w:spacing w:before="156" w:after="100" w:afterAutospacing="1" w:line="360" w:lineRule="auto"/>
      <w:ind w:firstLine="200"/>
    </w:pPr>
    <w:rPr>
      <w:szCs w:val="20"/>
    </w:rPr>
  </w:style>
  <w:style w:type="paragraph" w:customStyle="1" w:styleId="Legal2L2">
    <w:name w:val="Legal2_L2"/>
    <w:basedOn w:val="a"/>
    <w:semiHidden/>
    <w:qFormat/>
    <w:pPr>
      <w:tabs>
        <w:tab w:val="left" w:pos="1440"/>
      </w:tabs>
      <w:spacing w:after="240"/>
      <w:ind w:left="1440" w:hanging="720"/>
      <w:outlineLvl w:val="1"/>
    </w:pPr>
  </w:style>
  <w:style w:type="paragraph" w:customStyle="1" w:styleId="affffffffffff2">
    <w:name w:val="样式 样式 五号 黑色 行距: 单倍行距 + 居中"/>
    <w:basedOn w:val="a"/>
    <w:semiHidden/>
    <w:qFormat/>
    <w:pPr>
      <w:jc w:val="center"/>
    </w:pPr>
    <w:rPr>
      <w:rFonts w:eastAsia="楷体_GB2312"/>
      <w:b/>
      <w:bCs/>
      <w:color w:val="000000"/>
      <w:spacing w:val="-10"/>
    </w:rPr>
  </w:style>
  <w:style w:type="paragraph" w:customStyle="1" w:styleId="CM20">
    <w:name w:val="CM20"/>
    <w:basedOn w:val="Default"/>
    <w:next w:val="Default"/>
    <w:uiPriority w:val="99"/>
    <w:semiHidden/>
    <w:qFormat/>
    <w:pPr>
      <w:spacing w:line="280" w:lineRule="atLeast"/>
    </w:pPr>
    <w:rPr>
      <w:rFonts w:ascii="隶书" w:eastAsia="隶书" w:cs="Times New Roman"/>
      <w:color w:val="auto"/>
    </w:rPr>
  </w:style>
  <w:style w:type="paragraph" w:customStyle="1" w:styleId="CharChar37">
    <w:name w:val="Char Char37"/>
    <w:basedOn w:val="a"/>
    <w:semiHidden/>
    <w:qFormat/>
    <w:pPr>
      <w:autoSpaceDE w:val="0"/>
      <w:autoSpaceDN w:val="0"/>
      <w:adjustRightInd w:val="0"/>
      <w:spacing w:after="160" w:line="240" w:lineRule="exact"/>
    </w:pPr>
    <w:rPr>
      <w:rFonts w:ascii="Verdana" w:eastAsia="Times New Roman" w:hAnsi="Verdana" w:cs="Arial"/>
      <w:sz w:val="22"/>
      <w:szCs w:val="20"/>
      <w:lang w:eastAsia="en-US"/>
    </w:rPr>
  </w:style>
  <w:style w:type="paragraph" w:customStyle="1" w:styleId="Char180">
    <w:name w:val="Char18"/>
    <w:basedOn w:val="a"/>
    <w:semiHidden/>
    <w:qFormat/>
    <w:pPr>
      <w:autoSpaceDE w:val="0"/>
      <w:autoSpaceDN w:val="0"/>
      <w:adjustRightInd w:val="0"/>
      <w:spacing w:beforeLines="50" w:afterLines="50" w:line="420" w:lineRule="exact"/>
      <w:textAlignment w:val="baseline"/>
    </w:pPr>
    <w:rPr>
      <w:sz w:val="34"/>
      <w:szCs w:val="20"/>
    </w:rPr>
  </w:style>
  <w:style w:type="paragraph" w:customStyle="1" w:styleId="affffffffffff3">
    <w:name w:val="(a表格标题"/>
    <w:basedOn w:val="a"/>
    <w:semiHidden/>
    <w:qFormat/>
    <w:pPr>
      <w:spacing w:line="400" w:lineRule="exact"/>
      <w:jc w:val="center"/>
    </w:pPr>
    <w:rPr>
      <w:rFonts w:ascii="仿宋_GB2312" w:eastAsia="黑体"/>
      <w:b/>
      <w:szCs w:val="28"/>
    </w:rPr>
  </w:style>
  <w:style w:type="paragraph" w:customStyle="1" w:styleId="CM32">
    <w:name w:val="CM32"/>
    <w:basedOn w:val="Default"/>
    <w:next w:val="Default"/>
    <w:uiPriority w:val="99"/>
    <w:semiHidden/>
    <w:qFormat/>
    <w:rPr>
      <w:rFonts w:ascii="隶书" w:eastAsia="隶书" w:cs="Times New Roman"/>
      <w:color w:val="auto"/>
    </w:rPr>
  </w:style>
  <w:style w:type="paragraph" w:customStyle="1" w:styleId="CharChar4CharCharCharCharCharCharChar1CharChar2">
    <w:name w:val="Char Char4 Char Char Char Char Char Char Char1 Char Char2"/>
    <w:basedOn w:val="a"/>
    <w:semiHidden/>
    <w:qFormat/>
    <w:pPr>
      <w:spacing w:after="160" w:line="240" w:lineRule="exact"/>
    </w:pPr>
    <w:rPr>
      <w:rFonts w:ascii="Verdana" w:hAnsi="Verdana" w:cs="Verdana"/>
      <w:sz w:val="20"/>
      <w:szCs w:val="20"/>
      <w:lang w:eastAsia="en-US"/>
    </w:rPr>
  </w:style>
  <w:style w:type="paragraph" w:customStyle="1" w:styleId="CharCharCharCharCharChar1CharCharCharChar1">
    <w:name w:val="Char Char Char Char Char Char1 Char Char Char Char1"/>
    <w:basedOn w:val="a"/>
    <w:semiHidden/>
    <w:qFormat/>
    <w:pPr>
      <w:spacing w:after="160" w:line="240" w:lineRule="exact"/>
    </w:pPr>
    <w:rPr>
      <w:rFonts w:ascii="Verdana" w:hAnsi="Verdana"/>
      <w:sz w:val="20"/>
      <w:szCs w:val="20"/>
      <w:lang w:eastAsia="en-US"/>
    </w:rPr>
  </w:style>
  <w:style w:type="paragraph" w:customStyle="1" w:styleId="415">
    <w:name w:val="样式 标题 4 + 首行缩进:  1.5 字符"/>
    <w:basedOn w:val="4"/>
    <w:semiHidden/>
    <w:qFormat/>
    <w:pPr>
      <w:keepNext w:val="0"/>
      <w:keepLines w:val="0"/>
      <w:widowControl w:val="0"/>
      <w:numPr>
        <w:ilvl w:val="0"/>
        <w:numId w:val="0"/>
      </w:numPr>
      <w:tabs>
        <w:tab w:val="left" w:pos="540"/>
        <w:tab w:val="left" w:pos="720"/>
      </w:tabs>
      <w:autoSpaceDE w:val="0"/>
      <w:autoSpaceDN w:val="0"/>
      <w:adjustRightInd w:val="0"/>
      <w:spacing w:beforeLines="0" w:before="0" w:afterLines="0" w:after="0" w:line="500" w:lineRule="atLeast"/>
      <w:ind w:left="540" w:right="-113" w:firstLineChars="200" w:firstLine="482"/>
      <w:jc w:val="left"/>
      <w:textAlignment w:val="baseline"/>
    </w:pPr>
    <w:rPr>
      <w:rFonts w:ascii="Times New Roman" w:eastAsia="宋体" w:hAnsi="Times New Roman" w:cs="宋体"/>
      <w:b w:val="0"/>
      <w:bCs w:val="0"/>
      <w:kern w:val="0"/>
      <w:sz w:val="24"/>
      <w:szCs w:val="20"/>
    </w:rPr>
  </w:style>
  <w:style w:type="paragraph" w:customStyle="1" w:styleId="CharChar30CharCharCharCharCharCharCharCharCharCharCharChar1CharCharCharCharCharCharCharChar6">
    <w:name w:val="Char Char30 Char Char Char Char Char Char Char Char Char Char Char Char1 Char Char Char Char Char Char Char Char6"/>
    <w:basedOn w:val="a"/>
    <w:semiHidden/>
    <w:qFormat/>
    <w:pPr>
      <w:spacing w:after="160" w:line="240" w:lineRule="exact"/>
    </w:pPr>
    <w:rPr>
      <w:rFonts w:ascii="Verdana" w:eastAsia="Times New Roman" w:hAnsi="Verdana"/>
      <w:sz w:val="20"/>
      <w:szCs w:val="20"/>
      <w:lang w:eastAsia="en-US"/>
    </w:rPr>
  </w:style>
  <w:style w:type="paragraph" w:customStyle="1" w:styleId="Char111">
    <w:name w:val="Char111"/>
    <w:basedOn w:val="a"/>
    <w:semiHidden/>
    <w:qFormat/>
    <w:rPr>
      <w:rFonts w:ascii="Tahoma" w:hAnsi="Tahoma"/>
      <w:szCs w:val="20"/>
    </w:rPr>
  </w:style>
  <w:style w:type="paragraph" w:customStyle="1" w:styleId="affffffffffff4">
    <w:name w:val="备注："/>
    <w:basedOn w:val="a"/>
    <w:link w:val="affffffffffff5"/>
    <w:semiHidden/>
    <w:qFormat/>
    <w:pPr>
      <w:widowControl w:val="0"/>
      <w:snapToGrid w:val="0"/>
      <w:spacing w:beforeLines="50" w:before="156" w:after="156" w:line="360" w:lineRule="auto"/>
      <w:ind w:firstLineChars="200" w:firstLine="420"/>
      <w:jc w:val="both"/>
    </w:pPr>
  </w:style>
  <w:style w:type="character" w:customStyle="1" w:styleId="affffffffffff5">
    <w:name w:val="备注： 字符"/>
    <w:link w:val="affffffffffff4"/>
    <w:semiHidden/>
    <w:rPr>
      <w:kern w:val="2"/>
      <w:sz w:val="21"/>
      <w:szCs w:val="21"/>
    </w:rPr>
  </w:style>
  <w:style w:type="paragraph" w:customStyle="1" w:styleId="CharCharChar6">
    <w:name w:val="Char Char Char6"/>
    <w:basedOn w:val="a"/>
    <w:semiHidden/>
    <w:qFormat/>
    <w:pPr>
      <w:tabs>
        <w:tab w:val="left" w:pos="720"/>
      </w:tabs>
      <w:ind w:left="720" w:hanging="720"/>
    </w:pPr>
  </w:style>
  <w:style w:type="paragraph" w:customStyle="1" w:styleId="2ff8">
    <w:name w:val="正文修订2"/>
    <w:basedOn w:val="a"/>
    <w:next w:val="a"/>
    <w:uiPriority w:val="1"/>
    <w:semiHidden/>
    <w:qFormat/>
    <w:pPr>
      <w:widowControl w:val="0"/>
      <w:spacing w:line="360" w:lineRule="auto"/>
      <w:ind w:firstLineChars="200" w:firstLine="200"/>
      <w:jc w:val="both"/>
    </w:pPr>
    <w:rPr>
      <w:bCs/>
      <w:lang w:eastAsia="en-US"/>
    </w:rPr>
  </w:style>
  <w:style w:type="paragraph" w:customStyle="1" w:styleId="TableParagraph">
    <w:name w:val="Table Paragraph"/>
    <w:basedOn w:val="a"/>
    <w:uiPriority w:val="1"/>
    <w:semiHidden/>
    <w:qFormat/>
    <w:pPr>
      <w:widowControl w:val="0"/>
    </w:pPr>
    <w:rPr>
      <w:rFonts w:ascii="Calibri" w:hAnsi="Calibri"/>
      <w:sz w:val="22"/>
      <w:szCs w:val="22"/>
      <w:lang w:eastAsia="en-US"/>
    </w:rPr>
  </w:style>
  <w:style w:type="paragraph" w:customStyle="1" w:styleId="Date1">
    <w:name w:val="Date1"/>
    <w:basedOn w:val="a"/>
    <w:next w:val="a"/>
    <w:semiHidden/>
    <w:qFormat/>
    <w:pPr>
      <w:adjustRightInd w:val="0"/>
      <w:textAlignment w:val="baseline"/>
    </w:pPr>
    <w:rPr>
      <w:szCs w:val="20"/>
    </w:rPr>
  </w:style>
  <w:style w:type="paragraph" w:customStyle="1" w:styleId="520">
    <w:name w:val="列出段落52"/>
    <w:basedOn w:val="a"/>
    <w:semiHidden/>
    <w:qFormat/>
    <w:pPr>
      <w:ind w:firstLineChars="200" w:firstLine="420"/>
    </w:pPr>
    <w:rPr>
      <w:rFonts w:ascii="Calibri" w:hAnsi="Calibri"/>
      <w:szCs w:val="22"/>
    </w:rPr>
  </w:style>
  <w:style w:type="paragraph" w:customStyle="1" w:styleId="CharChar1CharCharCharCharCharCharChar3">
    <w:name w:val="Char Char1 Char Char Char Char Char Char Char3"/>
    <w:basedOn w:val="a"/>
    <w:semiHidden/>
    <w:qFormat/>
    <w:pPr>
      <w:adjustRightInd w:val="0"/>
      <w:spacing w:line="360" w:lineRule="auto"/>
      <w:ind w:firstLineChars="200" w:firstLine="200"/>
      <w:textAlignment w:val="baseline"/>
    </w:pPr>
    <w:rPr>
      <w:rFonts w:eastAsia="昆仑仿宋"/>
    </w:rPr>
  </w:style>
  <w:style w:type="paragraph" w:customStyle="1" w:styleId="similarquerysuggestlink1">
    <w:name w:val="similarquerysuggest_link1"/>
    <w:basedOn w:val="a"/>
    <w:semiHidden/>
    <w:qFormat/>
    <w:pPr>
      <w:shd w:val="clear" w:color="auto" w:fill="FFFFFF"/>
      <w:spacing w:beforeAutospacing="1" w:after="100" w:afterAutospacing="1"/>
    </w:pPr>
  </w:style>
  <w:style w:type="paragraph" w:customStyle="1" w:styleId="CM73">
    <w:name w:val="CM73"/>
    <w:basedOn w:val="Default"/>
    <w:next w:val="Default"/>
    <w:uiPriority w:val="99"/>
    <w:semiHidden/>
    <w:qFormat/>
    <w:rPr>
      <w:rFonts w:ascii="隶书" w:eastAsia="隶书" w:cs="Times New Roman"/>
      <w:color w:val="auto"/>
    </w:rPr>
  </w:style>
  <w:style w:type="paragraph" w:customStyle="1" w:styleId="xl41">
    <w:name w:val="xl41"/>
    <w:basedOn w:val="a"/>
    <w:semiHidden/>
    <w:qFormat/>
    <w:pPr>
      <w:spacing w:before="100" w:beforeAutospacing="1" w:after="100" w:afterAutospacing="1"/>
      <w:jc w:val="center"/>
    </w:pPr>
  </w:style>
  <w:style w:type="paragraph" w:customStyle="1" w:styleId="title3">
    <w:name w:val="title3"/>
    <w:basedOn w:val="a"/>
    <w:semiHidden/>
    <w:qFormat/>
    <w:pPr>
      <w:pBdr>
        <w:bottom w:val="single" w:sz="6" w:space="0" w:color="C8D8F2"/>
      </w:pBdr>
      <w:spacing w:beforeAutospacing="1" w:after="150" w:line="360" w:lineRule="atLeast"/>
    </w:pPr>
  </w:style>
  <w:style w:type="paragraph" w:customStyle="1" w:styleId="2TimesNewRomanChar">
    <w:name w:val="样式 正文首行缩进 2 + Times New Roman Char"/>
    <w:basedOn w:val="a"/>
    <w:semiHidden/>
    <w:qFormat/>
    <w:pPr>
      <w:tabs>
        <w:tab w:val="left" w:pos="0"/>
        <w:tab w:val="left" w:pos="870"/>
        <w:tab w:val="left" w:pos="3150"/>
      </w:tabs>
      <w:autoSpaceDE w:val="0"/>
      <w:autoSpaceDN w:val="0"/>
      <w:adjustRightInd w:val="0"/>
      <w:spacing w:line="360" w:lineRule="auto"/>
      <w:ind w:firstLine="527"/>
      <w:textAlignment w:val="baseline"/>
    </w:pPr>
    <w:rPr>
      <w:szCs w:val="28"/>
    </w:rPr>
  </w:style>
  <w:style w:type="paragraph" w:customStyle="1" w:styleId="CharChar24">
    <w:name w:val="Char Char24"/>
    <w:basedOn w:val="a"/>
    <w:semiHidden/>
    <w:qFormat/>
    <w:pPr>
      <w:spacing w:line="240" w:lineRule="exact"/>
    </w:pPr>
    <w:rPr>
      <w:rFonts w:ascii="Verdana" w:hAnsi="Verdana"/>
      <w:sz w:val="20"/>
      <w:szCs w:val="20"/>
      <w:lang w:eastAsia="en-US"/>
    </w:rPr>
  </w:style>
  <w:style w:type="paragraph" w:customStyle="1" w:styleId="CharCharCharChar19">
    <w:name w:val="Char Char Char Char19"/>
    <w:basedOn w:val="a"/>
    <w:semiHidden/>
    <w:qFormat/>
    <w:pPr>
      <w:spacing w:after="160" w:line="240" w:lineRule="exact"/>
    </w:pPr>
    <w:rPr>
      <w:rFonts w:ascii="Tahoma" w:hAnsi="Tahoma"/>
      <w:sz w:val="20"/>
      <w:szCs w:val="20"/>
      <w:lang w:eastAsia="en-US"/>
    </w:rPr>
  </w:style>
  <w:style w:type="paragraph" w:customStyle="1" w:styleId="Quote1">
    <w:name w:val="Quote1"/>
    <w:basedOn w:val="a"/>
    <w:next w:val="a"/>
    <w:semiHidden/>
    <w:qFormat/>
    <w:pPr>
      <w:spacing w:beforeLines="50" w:line="360" w:lineRule="auto"/>
      <w:ind w:left="360" w:right="360" w:firstLineChars="200" w:firstLine="480"/>
    </w:pPr>
    <w:rPr>
      <w:rFonts w:ascii="Calibri" w:hAnsi="Calibri" w:cs="Arial"/>
      <w:i/>
      <w:iCs/>
      <w:sz w:val="22"/>
      <w:szCs w:val="22"/>
      <w:lang w:eastAsia="en-US" w:bidi="en-US"/>
    </w:rPr>
  </w:style>
  <w:style w:type="character" w:customStyle="1" w:styleId="Charffff7">
    <w:name w:val="表格段落下 Char"/>
    <w:semiHidden/>
    <w:qFormat/>
    <w:rPr>
      <w:rFonts w:ascii="宋体" w:hAnsi="宋体" w:cs="宋体"/>
      <w:sz w:val="24"/>
      <w:szCs w:val="24"/>
    </w:rPr>
  </w:style>
  <w:style w:type="paragraph" w:customStyle="1" w:styleId="CM155">
    <w:name w:val="CM155"/>
    <w:basedOn w:val="Default"/>
    <w:next w:val="Default"/>
    <w:semiHidden/>
    <w:qFormat/>
    <w:pPr>
      <w:spacing w:after="163"/>
      <w:jc w:val="both"/>
    </w:pPr>
    <w:rPr>
      <w:rFonts w:ascii=".a...D.." w:eastAsia=".a...D.." w:cs="Times New Roman"/>
      <w:color w:val="auto"/>
    </w:rPr>
  </w:style>
  <w:style w:type="paragraph" w:customStyle="1" w:styleId="affffffffffff6">
    <w:name w:val="中石化_一级标题"/>
    <w:basedOn w:val="afffffffffff8"/>
    <w:uiPriority w:val="99"/>
    <w:semiHidden/>
    <w:qFormat/>
    <w:rPr>
      <w:rFonts w:ascii="黑体" w:hAnsi="黑体"/>
      <w:sz w:val="30"/>
      <w:szCs w:val="30"/>
    </w:rPr>
  </w:style>
  <w:style w:type="paragraph" w:customStyle="1" w:styleId="xl27">
    <w:name w:val="xl27"/>
    <w:basedOn w:val="a"/>
    <w:semiHidden/>
    <w:qFormat/>
    <w:pPr>
      <w:spacing w:before="100" w:beforeAutospacing="1" w:after="100" w:afterAutospacing="1"/>
      <w:jc w:val="right"/>
    </w:pPr>
    <w:rPr>
      <w:rFonts w:eastAsia="Arial Unicode MS"/>
      <w:sz w:val="20"/>
      <w:szCs w:val="20"/>
    </w:rPr>
  </w:style>
  <w:style w:type="paragraph" w:customStyle="1" w:styleId="para">
    <w:name w:val="para"/>
    <w:basedOn w:val="a"/>
    <w:semiHidden/>
    <w:qFormat/>
    <w:pPr>
      <w:adjustRightInd w:val="0"/>
      <w:snapToGrid w:val="0"/>
      <w:spacing w:beforeLines="50" w:beforeAutospacing="1" w:afterLines="50" w:afterAutospacing="1" w:line="360" w:lineRule="auto"/>
      <w:ind w:firstLineChars="200" w:firstLine="480"/>
    </w:pPr>
    <w:rPr>
      <w:rFonts w:ascii="Arial" w:hAnsi="Arial"/>
    </w:rPr>
  </w:style>
  <w:style w:type="paragraph" w:customStyle="1" w:styleId="CM53">
    <w:name w:val="CM53"/>
    <w:basedOn w:val="Default"/>
    <w:next w:val="Default"/>
    <w:semiHidden/>
    <w:qFormat/>
    <w:pPr>
      <w:spacing w:line="511" w:lineRule="atLeast"/>
    </w:pPr>
    <w:rPr>
      <w:rFonts w:ascii="隶书" w:eastAsia="隶书" w:cs="Times New Roman"/>
      <w:color w:val="auto"/>
    </w:rPr>
  </w:style>
  <w:style w:type="paragraph" w:customStyle="1" w:styleId="Char28">
    <w:name w:val="Char28"/>
    <w:basedOn w:val="a"/>
    <w:semiHidden/>
    <w:qFormat/>
    <w:pPr>
      <w:adjustRightInd w:val="0"/>
      <w:spacing w:line="360" w:lineRule="auto"/>
      <w:ind w:firstLineChars="200" w:firstLine="200"/>
      <w:textAlignment w:val="baseline"/>
    </w:pPr>
    <w:rPr>
      <w:rFonts w:eastAsia="昆仑仿宋"/>
    </w:rPr>
  </w:style>
  <w:style w:type="paragraph" w:customStyle="1" w:styleId="TOC40">
    <w:name w:val="TOC 标题4"/>
    <w:basedOn w:val="1"/>
    <w:next w:val="a"/>
    <w:semiHidden/>
    <w:qFormat/>
    <w:pPr>
      <w:tabs>
        <w:tab w:val="clear" w:pos="1134"/>
        <w:tab w:val="left" w:pos="454"/>
      </w:tabs>
      <w:spacing w:beforeLines="0" w:before="120" w:afterLines="0" w:after="0" w:line="276" w:lineRule="auto"/>
      <w:ind w:left="454" w:firstLineChars="0" w:hanging="420"/>
      <w:jc w:val="left"/>
      <w:outlineLvl w:val="9"/>
    </w:pPr>
    <w:rPr>
      <w:rFonts w:ascii="Cambria" w:hAnsi="Cambria"/>
      <w:color w:val="365F91"/>
      <w:kern w:val="0"/>
      <w:sz w:val="28"/>
      <w:szCs w:val="28"/>
    </w:rPr>
  </w:style>
  <w:style w:type="paragraph" w:customStyle="1" w:styleId="CharCharChar3CharCharCharCharCharCharCharCharCharCharCharCharCharCharChar1Char1">
    <w:name w:val="Char Char Char3 Char Char Char Char Char Char Char Char Char Char Char Char Char Char Char1 Char1"/>
    <w:basedOn w:val="a"/>
    <w:semiHidden/>
    <w:qFormat/>
    <w:rPr>
      <w:rFonts w:ascii="Tahoma" w:hAnsi="Tahoma"/>
      <w:szCs w:val="20"/>
    </w:rPr>
  </w:style>
  <w:style w:type="paragraph" w:customStyle="1" w:styleId="Char025025">
    <w:name w:val="样式 小四段落 Char + 段前: 0.25 行 段后: 0.25 行"/>
    <w:basedOn w:val="a"/>
    <w:uiPriority w:val="99"/>
    <w:semiHidden/>
    <w:qFormat/>
    <w:pPr>
      <w:spacing w:beforeLines="25" w:afterLines="25" w:line="420" w:lineRule="exact"/>
      <w:ind w:firstLine="482"/>
    </w:pPr>
    <w:rPr>
      <w:szCs w:val="20"/>
    </w:rPr>
  </w:style>
  <w:style w:type="paragraph" w:customStyle="1" w:styleId="CM94">
    <w:name w:val="CM94"/>
    <w:basedOn w:val="Default"/>
    <w:next w:val="Default"/>
    <w:uiPriority w:val="99"/>
    <w:semiHidden/>
    <w:qFormat/>
    <w:pPr>
      <w:spacing w:after="895"/>
    </w:pPr>
    <w:rPr>
      <w:rFonts w:ascii="隶书" w:eastAsia="隶书" w:cs="Times New Roman"/>
      <w:color w:val="auto"/>
    </w:rPr>
  </w:style>
  <w:style w:type="paragraph" w:customStyle="1" w:styleId="CharCharCharCharCharCharCharCharCharCharCharChar1">
    <w:name w:val="Char Char Char Char Char Char Char Char Char Char Char Char1"/>
    <w:basedOn w:val="a"/>
    <w:semiHidden/>
    <w:qFormat/>
    <w:rPr>
      <w:rFonts w:ascii="Tahoma" w:hAnsi="Tahoma"/>
      <w:szCs w:val="20"/>
    </w:rPr>
  </w:style>
  <w:style w:type="paragraph" w:customStyle="1" w:styleId="102">
    <w:name w:val="字元10"/>
    <w:basedOn w:val="a"/>
    <w:semiHidden/>
    <w:qFormat/>
    <w:pPr>
      <w:autoSpaceDE w:val="0"/>
      <w:autoSpaceDN w:val="0"/>
      <w:adjustRightInd w:val="0"/>
      <w:spacing w:beforeLines="50"/>
    </w:pPr>
  </w:style>
  <w:style w:type="paragraph" w:customStyle="1" w:styleId="02">
    <w:name w:val="正文02"/>
    <w:basedOn w:val="a"/>
    <w:semiHidden/>
    <w:qFormat/>
    <w:pPr>
      <w:spacing w:before="400" w:line="460" w:lineRule="exact"/>
      <w:ind w:firstLineChars="200" w:firstLine="200"/>
    </w:pPr>
  </w:style>
  <w:style w:type="paragraph" w:customStyle="1" w:styleId="CharChar16">
    <w:name w:val="Char Char 字元1"/>
    <w:basedOn w:val="a"/>
    <w:semiHidden/>
    <w:qFormat/>
    <w:pPr>
      <w:autoSpaceDE w:val="0"/>
      <w:autoSpaceDN w:val="0"/>
      <w:adjustRightInd w:val="0"/>
      <w:spacing w:before="50"/>
    </w:pPr>
    <w:rPr>
      <w:szCs w:val="20"/>
    </w:rPr>
  </w:style>
  <w:style w:type="paragraph" w:customStyle="1" w:styleId="Normal4">
    <w:name w:val="Normal4"/>
    <w:semiHidden/>
    <w:qFormat/>
    <w:pPr>
      <w:widowControl w:val="0"/>
      <w:adjustRightInd w:val="0"/>
      <w:spacing w:line="360" w:lineRule="atLeast"/>
      <w:jc w:val="both"/>
      <w:textAlignment w:val="baseline"/>
    </w:pPr>
    <w:rPr>
      <w:rFonts w:ascii="宋体"/>
      <w:sz w:val="24"/>
    </w:rPr>
  </w:style>
  <w:style w:type="paragraph" w:customStyle="1" w:styleId="171">
    <w:name w:val="正文17"/>
    <w:semiHidden/>
    <w:qFormat/>
    <w:pPr>
      <w:widowControl w:val="0"/>
      <w:adjustRightInd w:val="0"/>
      <w:spacing w:line="360" w:lineRule="atLeast"/>
      <w:jc w:val="both"/>
      <w:textAlignment w:val="baseline"/>
    </w:pPr>
    <w:rPr>
      <w:rFonts w:ascii="宋体"/>
      <w:sz w:val="24"/>
    </w:rPr>
  </w:style>
  <w:style w:type="paragraph" w:customStyle="1" w:styleId="affffffffffff7">
    <w:name w:val="英 文 格 式"/>
    <w:basedOn w:val="a"/>
    <w:uiPriority w:val="99"/>
    <w:semiHidden/>
    <w:qFormat/>
    <w:pPr>
      <w:autoSpaceDE w:val="0"/>
      <w:autoSpaceDN w:val="0"/>
      <w:adjustRightInd w:val="0"/>
      <w:textAlignment w:val="baseline"/>
    </w:pPr>
    <w:rPr>
      <w:rFonts w:ascii="CG Times (WN)" w:hAnsi="CG Times (WN)"/>
      <w:szCs w:val="20"/>
    </w:rPr>
  </w:style>
  <w:style w:type="paragraph" w:customStyle="1" w:styleId="Char1CharCharChar5">
    <w:name w:val="Char1 Char Char Char5"/>
    <w:basedOn w:val="a"/>
    <w:semiHidden/>
    <w:qFormat/>
    <w:pPr>
      <w:autoSpaceDE w:val="0"/>
      <w:autoSpaceDN w:val="0"/>
      <w:adjustRightInd w:val="0"/>
      <w:spacing w:after="160" w:line="240" w:lineRule="exact"/>
    </w:pPr>
    <w:rPr>
      <w:rFonts w:ascii="Verdana" w:eastAsia="Times New Roman" w:hAnsi="Verdana"/>
      <w:sz w:val="20"/>
      <w:szCs w:val="20"/>
      <w:lang w:eastAsia="en-US"/>
    </w:rPr>
  </w:style>
  <w:style w:type="paragraph" w:customStyle="1" w:styleId="5c">
    <w:name w:val="样式5"/>
    <w:basedOn w:val="27"/>
    <w:semiHidden/>
    <w:qFormat/>
    <w:pPr>
      <w:widowControl/>
      <w:adjustRightInd/>
      <w:snapToGrid/>
      <w:spacing w:line="420" w:lineRule="exact"/>
      <w:ind w:firstLine="200"/>
      <w:jc w:val="left"/>
    </w:pPr>
    <w:rPr>
      <w:b w:val="0"/>
      <w:bCs w:val="0"/>
      <w:sz w:val="24"/>
    </w:rPr>
  </w:style>
  <w:style w:type="character" w:customStyle="1" w:styleId="Level1-2Char">
    <w:name w:val="Level 1 - 2 Char"/>
    <w:semiHidden/>
    <w:qFormat/>
    <w:rPr>
      <w:rFonts w:ascii="Times New Roman" w:eastAsia="宋体" w:hAnsi="Times New Roman" w:cs="Times New Roman"/>
      <w:b/>
      <w:bCs/>
      <w:sz w:val="32"/>
      <w:szCs w:val="32"/>
    </w:rPr>
  </w:style>
  <w:style w:type="paragraph" w:customStyle="1" w:styleId="xl39">
    <w:name w:val="xl39"/>
    <w:basedOn w:val="a"/>
    <w:semiHidden/>
    <w:qFormat/>
    <w:pPr>
      <w:pBdr>
        <w:left w:val="single" w:sz="4" w:space="0" w:color="auto"/>
        <w:right w:val="single" w:sz="4" w:space="0" w:color="auto"/>
      </w:pBdr>
      <w:spacing w:before="100" w:beforeAutospacing="1" w:after="100" w:afterAutospacing="1"/>
      <w:jc w:val="right"/>
    </w:pPr>
  </w:style>
  <w:style w:type="paragraph" w:customStyle="1" w:styleId="CharCharCharChar14">
    <w:name w:val="Char Char Char Char14"/>
    <w:basedOn w:val="a"/>
    <w:semiHidden/>
    <w:qFormat/>
    <w:rPr>
      <w:rFonts w:ascii="Tahoma" w:hAnsi="Tahoma"/>
      <w:szCs w:val="20"/>
    </w:rPr>
  </w:style>
  <w:style w:type="paragraph" w:customStyle="1" w:styleId="CharChar3CharCharCharChar">
    <w:name w:val="Char Char3 Char Char Char Char"/>
    <w:basedOn w:val="a"/>
    <w:semiHidden/>
    <w:qFormat/>
    <w:pPr>
      <w:spacing w:after="160" w:line="240" w:lineRule="exact"/>
    </w:pPr>
    <w:rPr>
      <w:rFonts w:cs="Arial"/>
      <w:sz w:val="22"/>
      <w:szCs w:val="20"/>
      <w:lang w:eastAsia="en-US"/>
    </w:rPr>
  </w:style>
  <w:style w:type="paragraph" w:customStyle="1" w:styleId="CharCharCharCharCharChar1CharCharChar3">
    <w:name w:val="Char Char Char Char Char Char1 Char Char Char3"/>
    <w:basedOn w:val="a"/>
    <w:semiHidden/>
    <w:qFormat/>
    <w:pPr>
      <w:autoSpaceDE w:val="0"/>
      <w:autoSpaceDN w:val="0"/>
      <w:adjustRightInd w:val="0"/>
      <w:textAlignment w:val="baseline"/>
    </w:pPr>
    <w:rPr>
      <w:rFonts w:eastAsia="方正仿宋简体"/>
      <w:sz w:val="32"/>
      <w:szCs w:val="20"/>
    </w:rPr>
  </w:style>
  <w:style w:type="paragraph" w:customStyle="1" w:styleId="1110">
    <w:name w:val="单位111"/>
    <w:basedOn w:val="a"/>
    <w:semiHidden/>
    <w:qFormat/>
    <w:pPr>
      <w:keepNext/>
      <w:spacing w:beforeLines="50"/>
      <w:ind w:firstLineChars="200" w:firstLine="420"/>
      <w:jc w:val="right"/>
    </w:pPr>
  </w:style>
  <w:style w:type="character" w:customStyle="1" w:styleId="fontstyle01">
    <w:name w:val="fontstyle01"/>
    <w:semiHidden/>
    <w:qFormat/>
    <w:rPr>
      <w:rFonts w:ascii="宋体" w:eastAsia="宋体" w:hAnsi="宋体" w:hint="eastAsia"/>
      <w:color w:val="000000"/>
      <w:sz w:val="24"/>
      <w:szCs w:val="24"/>
    </w:rPr>
  </w:style>
  <w:style w:type="paragraph" w:customStyle="1" w:styleId="IntenseQuote1">
    <w:name w:val="Intense Quote1"/>
    <w:basedOn w:val="a"/>
    <w:next w:val="a"/>
    <w:uiPriority w:val="30"/>
    <w:semiHidden/>
    <w:qFormat/>
    <w:pPr>
      <w:pBdr>
        <w:bottom w:val="single" w:sz="4" w:space="1" w:color="auto"/>
      </w:pBdr>
      <w:spacing w:beforeLines="50" w:after="280" w:line="360" w:lineRule="auto"/>
      <w:ind w:left="1008" w:right="1152" w:firstLineChars="200" w:firstLine="480"/>
    </w:pPr>
    <w:rPr>
      <w:rFonts w:ascii="Calibri" w:hAnsi="Calibri" w:cs="Arial"/>
      <w:b/>
      <w:bCs/>
      <w:i/>
      <w:iCs/>
      <w:sz w:val="22"/>
      <w:szCs w:val="22"/>
      <w:lang w:eastAsia="en-US" w:bidi="en-US"/>
    </w:rPr>
  </w:style>
  <w:style w:type="paragraph" w:customStyle="1" w:styleId="CM36">
    <w:name w:val="CM36"/>
    <w:basedOn w:val="Default"/>
    <w:next w:val="Default"/>
    <w:semiHidden/>
    <w:qFormat/>
    <w:pPr>
      <w:spacing w:line="468" w:lineRule="atLeast"/>
    </w:pPr>
    <w:rPr>
      <w:rFonts w:ascii="隶书" w:eastAsia="隶书" w:cs="Times New Roman"/>
      <w:color w:val="auto"/>
    </w:rPr>
  </w:style>
  <w:style w:type="paragraph" w:customStyle="1" w:styleId="PlainText7">
    <w:name w:val="Plain Text7"/>
    <w:basedOn w:val="a"/>
    <w:uiPriority w:val="99"/>
    <w:semiHidden/>
    <w:qFormat/>
    <w:pPr>
      <w:adjustRightInd w:val="0"/>
      <w:textAlignment w:val="baseline"/>
    </w:pPr>
    <w:rPr>
      <w:rFonts w:hAnsi="Courier New"/>
      <w:szCs w:val="20"/>
    </w:rPr>
  </w:style>
  <w:style w:type="paragraph" w:customStyle="1" w:styleId="CM101">
    <w:name w:val="CM101"/>
    <w:basedOn w:val="Default"/>
    <w:next w:val="Default"/>
    <w:semiHidden/>
    <w:qFormat/>
    <w:pPr>
      <w:spacing w:after="60"/>
    </w:pPr>
    <w:rPr>
      <w:rFonts w:ascii="黑体" w:eastAsia="黑体" w:cs="Times New Roman"/>
      <w:color w:val="auto"/>
      <w:szCs w:val="20"/>
    </w:rPr>
  </w:style>
  <w:style w:type="paragraph" w:customStyle="1" w:styleId="152">
    <w:name w:val="列出段落152"/>
    <w:basedOn w:val="a"/>
    <w:semiHidden/>
    <w:qFormat/>
    <w:pPr>
      <w:ind w:left="720"/>
    </w:pPr>
  </w:style>
  <w:style w:type="paragraph" w:customStyle="1" w:styleId="CM71">
    <w:name w:val="CM71"/>
    <w:basedOn w:val="Default"/>
    <w:next w:val="Default"/>
    <w:uiPriority w:val="99"/>
    <w:semiHidden/>
    <w:qFormat/>
    <w:pPr>
      <w:spacing w:line="280" w:lineRule="atLeast"/>
    </w:pPr>
    <w:rPr>
      <w:rFonts w:ascii="隶书" w:eastAsia="隶书" w:cs="Times New Roman"/>
      <w:color w:val="auto"/>
    </w:rPr>
  </w:style>
  <w:style w:type="paragraph" w:customStyle="1" w:styleId="affffffffffff8">
    <w:name w:val="楷体加粗"/>
    <w:basedOn w:val="a"/>
    <w:link w:val="Charffff8"/>
    <w:semiHidden/>
    <w:qFormat/>
    <w:pPr>
      <w:spacing w:after="40" w:line="400" w:lineRule="atLeast"/>
    </w:pPr>
    <w:rPr>
      <w:rFonts w:ascii="楷体_GB2312" w:eastAsia="楷体_GB2312"/>
      <w:b/>
      <w:szCs w:val="20"/>
    </w:rPr>
  </w:style>
  <w:style w:type="character" w:customStyle="1" w:styleId="Charffff8">
    <w:name w:val="楷体加粗 Char"/>
    <w:link w:val="affffffffffff8"/>
    <w:semiHidden/>
    <w:qFormat/>
    <w:locked/>
    <w:rPr>
      <w:rFonts w:ascii="楷体_GB2312" w:eastAsia="楷体_GB2312"/>
      <w:b/>
      <w:kern w:val="2"/>
      <w:sz w:val="21"/>
    </w:rPr>
  </w:style>
  <w:style w:type="paragraph" w:customStyle="1" w:styleId="love2">
    <w:name w:val="love2"/>
    <w:basedOn w:val="a"/>
    <w:semiHidden/>
    <w:qFormat/>
    <w:pPr>
      <w:spacing w:beforeAutospacing="1" w:after="100" w:afterAutospacing="1"/>
    </w:pPr>
    <w:rPr>
      <w:b/>
      <w:bCs/>
      <w:color w:val="FF0000"/>
      <w:sz w:val="135"/>
      <w:szCs w:val="135"/>
    </w:rPr>
  </w:style>
  <w:style w:type="paragraph" w:customStyle="1" w:styleId="CharChar28">
    <w:name w:val="Char Char28"/>
    <w:basedOn w:val="a"/>
    <w:semiHidden/>
    <w:qFormat/>
    <w:pPr>
      <w:spacing w:after="160" w:line="240" w:lineRule="exact"/>
    </w:pPr>
    <w:rPr>
      <w:rFonts w:ascii="Verdana" w:eastAsia="Times New Roman" w:hAnsi="Verdana"/>
      <w:sz w:val="20"/>
      <w:szCs w:val="20"/>
      <w:lang w:eastAsia="en-US"/>
    </w:rPr>
  </w:style>
  <w:style w:type="paragraph" w:customStyle="1" w:styleId="1fff6">
    <w:name w:val="表格样式1"/>
    <w:semiHidden/>
    <w:qFormat/>
    <w:pPr>
      <w:tabs>
        <w:tab w:val="center" w:pos="546"/>
      </w:tabs>
      <w:spacing w:line="440" w:lineRule="exact"/>
      <w:jc w:val="center"/>
    </w:pPr>
    <w:rPr>
      <w:rFonts w:eastAsia="仿宋_GB2312"/>
      <w:iCs/>
      <w:sz w:val="21"/>
    </w:rPr>
  </w:style>
  <w:style w:type="paragraph" w:customStyle="1" w:styleId="21b">
    <w:name w:val="样式21"/>
    <w:basedOn w:val="120"/>
    <w:semiHidden/>
    <w:qFormat/>
    <w:pPr>
      <w:autoSpaceDE/>
      <w:autoSpaceDN/>
      <w:adjustRightInd/>
      <w:spacing w:before="60" w:line="500" w:lineRule="exact"/>
      <w:ind w:firstLineChars="200" w:firstLine="480"/>
      <w:jc w:val="both"/>
      <w:textAlignment w:val="auto"/>
    </w:pPr>
    <w:rPr>
      <w:rFonts w:eastAsia="Times New Roman"/>
      <w:szCs w:val="24"/>
      <w:lang w:val="en-US"/>
    </w:rPr>
  </w:style>
  <w:style w:type="paragraph" w:customStyle="1" w:styleId="affffffffffff9">
    <w:name w:val="附录五级条标题"/>
    <w:basedOn w:val="afffffffffffe"/>
    <w:next w:val="a"/>
    <w:semiHidden/>
    <w:qFormat/>
    <w:pPr>
      <w:tabs>
        <w:tab w:val="clear" w:pos="960"/>
        <w:tab w:val="left" w:pos="435"/>
        <w:tab w:val="left" w:pos="2940"/>
      </w:tabs>
      <w:ind w:left="435" w:hanging="165"/>
      <w:outlineLvl w:val="6"/>
    </w:pPr>
  </w:style>
  <w:style w:type="paragraph" w:customStyle="1" w:styleId="Normal3">
    <w:name w:val="Normal3"/>
    <w:semiHidden/>
    <w:qFormat/>
    <w:pPr>
      <w:widowControl w:val="0"/>
      <w:adjustRightInd w:val="0"/>
      <w:spacing w:line="360" w:lineRule="atLeast"/>
      <w:jc w:val="both"/>
      <w:textAlignment w:val="baseline"/>
    </w:pPr>
    <w:rPr>
      <w:rFonts w:ascii="宋体"/>
      <w:sz w:val="24"/>
    </w:rPr>
  </w:style>
  <w:style w:type="paragraph" w:customStyle="1" w:styleId="affffffffffffa">
    <w:name w:val="节"/>
    <w:basedOn w:val="1"/>
    <w:next w:val="a"/>
    <w:semiHidden/>
    <w:qFormat/>
    <w:pPr>
      <w:tabs>
        <w:tab w:val="clear" w:pos="1134"/>
      </w:tabs>
      <w:snapToGrid w:val="0"/>
      <w:spacing w:beforeLines="0" w:afterLines="0" w:line="240" w:lineRule="auto"/>
      <w:ind w:left="900" w:firstLineChars="0" w:hanging="420"/>
      <w:jc w:val="center"/>
      <w:outlineLvl w:val="1"/>
    </w:pPr>
    <w:rPr>
      <w:b w:val="0"/>
      <w:bCs w:val="0"/>
      <w:sz w:val="32"/>
      <w:szCs w:val="20"/>
    </w:rPr>
  </w:style>
  <w:style w:type="paragraph" w:customStyle="1" w:styleId="affffffffffffb">
    <w:name w:val="图表内容"/>
    <w:basedOn w:val="a"/>
    <w:semiHidden/>
    <w:qFormat/>
  </w:style>
  <w:style w:type="paragraph" w:customStyle="1" w:styleId="xl624">
    <w:name w:val="xl624"/>
    <w:basedOn w:val="a"/>
    <w:semiHidden/>
    <w:qFormat/>
    <w:pPr>
      <w:spacing w:before="100" w:beforeAutospacing="1" w:after="100" w:afterAutospacing="1"/>
      <w:jc w:val="center"/>
    </w:pPr>
    <w:rPr>
      <w:b/>
      <w:bCs/>
      <w:sz w:val="15"/>
      <w:szCs w:val="15"/>
    </w:rPr>
  </w:style>
  <w:style w:type="paragraph" w:customStyle="1" w:styleId="3-0">
    <w:name w:val="×Ó±êÌâ3-×¢ÊÍ"/>
    <w:basedOn w:val="a"/>
    <w:semiHidden/>
    <w:qFormat/>
    <w:pPr>
      <w:tabs>
        <w:tab w:val="left" w:pos="595"/>
        <w:tab w:val="center" w:pos="2245"/>
        <w:tab w:val="center" w:pos="6497"/>
      </w:tabs>
      <w:overflowPunct w:val="0"/>
      <w:autoSpaceDE w:val="0"/>
      <w:autoSpaceDN w:val="0"/>
      <w:adjustRightInd w:val="0"/>
      <w:spacing w:after="120" w:line="360" w:lineRule="auto"/>
      <w:ind w:left="-383"/>
      <w:textAlignment w:val="baseline"/>
    </w:pPr>
    <w:rPr>
      <w:szCs w:val="20"/>
    </w:rPr>
  </w:style>
  <w:style w:type="paragraph" w:customStyle="1" w:styleId="BodyTextFirstIndent3">
    <w:name w:val="Body Text First Indent3"/>
    <w:basedOn w:val="a7"/>
    <w:semiHidden/>
    <w:qFormat/>
    <w:pPr>
      <w:tabs>
        <w:tab w:val="left" w:pos="7840"/>
      </w:tabs>
      <w:adjustRightInd w:val="0"/>
      <w:spacing w:before="120" w:line="360" w:lineRule="auto"/>
      <w:ind w:firstLine="567"/>
      <w:textAlignment w:val="baseline"/>
    </w:pPr>
    <w:rPr>
      <w:kern w:val="28"/>
      <w:sz w:val="28"/>
      <w:szCs w:val="20"/>
    </w:rPr>
  </w:style>
  <w:style w:type="paragraph" w:customStyle="1" w:styleId="CharCharCharCharCharCharCharCharChar2CharCharCharChar1CharCharCharCharChar1CharCharCharChar">
    <w:name w:val="Char Char Char Char Char Char Char Char Char2 Char Char Char Char1 Char Char Char Char Char1 Char Char Char Char"/>
    <w:basedOn w:val="a"/>
    <w:semiHidden/>
    <w:qFormat/>
    <w:pPr>
      <w:tabs>
        <w:tab w:val="left" w:pos="425"/>
      </w:tabs>
      <w:ind w:left="425" w:hanging="425"/>
    </w:pPr>
    <w:rPr>
      <w:rFonts w:eastAsia="仿宋_GB2312"/>
      <w:kern w:val="24"/>
    </w:rPr>
  </w:style>
  <w:style w:type="paragraph" w:customStyle="1" w:styleId="CM15">
    <w:name w:val="CM15"/>
    <w:basedOn w:val="Default"/>
    <w:next w:val="Default"/>
    <w:uiPriority w:val="99"/>
    <w:semiHidden/>
    <w:qFormat/>
    <w:pPr>
      <w:spacing w:line="468" w:lineRule="atLeast"/>
    </w:pPr>
    <w:rPr>
      <w:rFonts w:ascii="隶书" w:eastAsia="隶书" w:cs="Times New Roman"/>
      <w:color w:val="auto"/>
    </w:rPr>
  </w:style>
  <w:style w:type="paragraph" w:customStyle="1" w:styleId="CharCharChar3">
    <w:name w:val="Char Char Char3"/>
    <w:basedOn w:val="a"/>
    <w:semiHidden/>
    <w:qFormat/>
    <w:pPr>
      <w:tabs>
        <w:tab w:val="left" w:pos="720"/>
      </w:tabs>
      <w:ind w:left="720" w:hanging="720"/>
    </w:pPr>
  </w:style>
  <w:style w:type="paragraph" w:customStyle="1" w:styleId="CharChar30CharCharCharCharCharCharCharCharCharCharCharChar1CharCharCharCharCharCharCharChar4">
    <w:name w:val="Char Char30 Char Char Char Char Char Char Char Char Char Char Char Char1 Char Char Char Char Char Char Char Char4"/>
    <w:basedOn w:val="a"/>
    <w:semiHidden/>
    <w:qFormat/>
    <w:pPr>
      <w:spacing w:after="160" w:line="240" w:lineRule="exact"/>
    </w:pPr>
    <w:rPr>
      <w:rFonts w:ascii="Verdana" w:eastAsia="Times New Roman" w:hAnsi="Verdana"/>
      <w:sz w:val="20"/>
      <w:szCs w:val="20"/>
      <w:lang w:eastAsia="en-US"/>
    </w:rPr>
  </w:style>
  <w:style w:type="paragraph" w:customStyle="1" w:styleId="CM26">
    <w:name w:val="CM26"/>
    <w:basedOn w:val="Default"/>
    <w:next w:val="Default"/>
    <w:uiPriority w:val="99"/>
    <w:semiHidden/>
    <w:qFormat/>
    <w:pPr>
      <w:spacing w:line="293" w:lineRule="atLeast"/>
    </w:pPr>
    <w:rPr>
      <w:rFonts w:ascii="隶书" w:eastAsia="隶书" w:cs="Times New Roman"/>
      <w:color w:val="auto"/>
    </w:rPr>
  </w:style>
  <w:style w:type="paragraph" w:customStyle="1" w:styleId="affffffffffffc">
    <w:name w:val="表格小左"/>
    <w:basedOn w:val="afffffffffff9"/>
    <w:semiHidden/>
    <w:qFormat/>
    <w:rPr>
      <w:sz w:val="21"/>
    </w:rPr>
  </w:style>
  <w:style w:type="paragraph" w:customStyle="1" w:styleId="CharChar1CharCharCharCharCharCharChar2">
    <w:name w:val="Char Char1 Char Char Char Char Char Char Char2"/>
    <w:basedOn w:val="a"/>
    <w:semiHidden/>
    <w:qFormat/>
    <w:pPr>
      <w:adjustRightInd w:val="0"/>
      <w:spacing w:line="360" w:lineRule="auto"/>
      <w:ind w:firstLineChars="200" w:firstLine="200"/>
      <w:textAlignment w:val="baseline"/>
    </w:pPr>
    <w:rPr>
      <w:rFonts w:eastAsia="昆仑仿宋"/>
    </w:rPr>
  </w:style>
  <w:style w:type="paragraph" w:customStyle="1" w:styleId="004">
    <w:name w:val="004四级标题"/>
    <w:basedOn w:val="002"/>
    <w:link w:val="004Char"/>
    <w:qFormat/>
    <w:pPr>
      <w:ind w:firstLineChars="200" w:firstLine="200"/>
      <w:outlineLvl w:val="3"/>
    </w:pPr>
    <w:rPr>
      <w:rFonts w:eastAsia="宋体"/>
      <w:sz w:val="24"/>
    </w:rPr>
  </w:style>
  <w:style w:type="character" w:customStyle="1" w:styleId="004Char">
    <w:name w:val="004四级标题 Char"/>
    <w:link w:val="004"/>
    <w:rPr>
      <w:b/>
      <w:bCs/>
      <w:kern w:val="2"/>
      <w:sz w:val="24"/>
      <w:szCs w:val="28"/>
    </w:rPr>
  </w:style>
  <w:style w:type="paragraph" w:customStyle="1" w:styleId="affffffffffffd">
    <w:name w:val="中石化_二级"/>
    <w:basedOn w:val="a"/>
    <w:uiPriority w:val="99"/>
    <w:semiHidden/>
    <w:qFormat/>
    <w:pPr>
      <w:spacing w:beforeLines="50" w:line="360" w:lineRule="auto"/>
    </w:pPr>
    <w:rPr>
      <w:b/>
    </w:rPr>
  </w:style>
  <w:style w:type="paragraph" w:customStyle="1" w:styleId="CharCharCharCharChar11">
    <w:name w:val="Char Char Char Char Char11"/>
    <w:basedOn w:val="a"/>
    <w:semiHidden/>
    <w:qFormat/>
    <w:pPr>
      <w:autoSpaceDE w:val="0"/>
      <w:autoSpaceDN w:val="0"/>
      <w:adjustRightInd w:val="0"/>
    </w:pPr>
    <w:rPr>
      <w:rFonts w:ascii="Tahoma" w:hAnsi="Tahoma"/>
      <w:szCs w:val="20"/>
    </w:rPr>
  </w:style>
  <w:style w:type="paragraph" w:customStyle="1" w:styleId="xhfounderpouter">
    <w:name w:val="xhfounderpouter"/>
    <w:basedOn w:val="a"/>
    <w:semiHidden/>
    <w:qFormat/>
    <w:pPr>
      <w:spacing w:before="100" w:beforeAutospacing="1" w:after="100" w:afterAutospacing="1"/>
    </w:pPr>
    <w:rPr>
      <w:szCs w:val="20"/>
    </w:rPr>
  </w:style>
  <w:style w:type="paragraph" w:customStyle="1" w:styleId="CharCharChar1CharCharCharCharCharCharCharCharChar4">
    <w:name w:val="Char Char Char1 Char Char Char Char Char Char Char Char Char4"/>
    <w:basedOn w:val="a"/>
    <w:semiHidden/>
    <w:qFormat/>
    <w:rPr>
      <w:rFonts w:ascii="Tahoma" w:hAnsi="Tahoma"/>
      <w:szCs w:val="20"/>
    </w:rPr>
  </w:style>
  <w:style w:type="paragraph" w:customStyle="1" w:styleId="similarquerysuggestlink3">
    <w:name w:val="similarquerysuggest_link3"/>
    <w:basedOn w:val="a"/>
    <w:semiHidden/>
    <w:qFormat/>
    <w:pPr>
      <w:shd w:val="clear" w:color="auto" w:fill="FFFFFF"/>
      <w:spacing w:beforeAutospacing="1" w:after="100" w:afterAutospacing="1"/>
    </w:pPr>
  </w:style>
  <w:style w:type="paragraph" w:customStyle="1" w:styleId="title2">
    <w:name w:val="title2"/>
    <w:basedOn w:val="a"/>
    <w:semiHidden/>
    <w:qFormat/>
    <w:pPr>
      <w:pBdr>
        <w:bottom w:val="single" w:sz="6" w:space="0" w:color="C8D8F2"/>
      </w:pBdr>
      <w:spacing w:beforeAutospacing="1" w:after="150" w:line="360" w:lineRule="atLeast"/>
    </w:pPr>
  </w:style>
  <w:style w:type="paragraph" w:customStyle="1" w:styleId="117">
    <w:name w:val="无间隔11"/>
    <w:semiHidden/>
    <w:qFormat/>
    <w:pPr>
      <w:widowControl w:val="0"/>
      <w:jc w:val="both"/>
    </w:pPr>
    <w:rPr>
      <w:kern w:val="2"/>
      <w:sz w:val="21"/>
      <w:szCs w:val="21"/>
    </w:rPr>
  </w:style>
  <w:style w:type="paragraph" w:customStyle="1" w:styleId="CM60">
    <w:name w:val="CM60"/>
    <w:basedOn w:val="Default"/>
    <w:next w:val="Default"/>
    <w:uiPriority w:val="99"/>
    <w:semiHidden/>
    <w:qFormat/>
    <w:rPr>
      <w:rFonts w:ascii="隶书" w:eastAsia="隶书" w:cs="Times New Roman"/>
      <w:color w:val="auto"/>
    </w:rPr>
  </w:style>
  <w:style w:type="paragraph" w:customStyle="1" w:styleId="CharChar50">
    <w:name w:val="字元 Char Char 字元5"/>
    <w:basedOn w:val="a"/>
    <w:semiHidden/>
    <w:qFormat/>
    <w:pPr>
      <w:autoSpaceDE w:val="0"/>
      <w:autoSpaceDN w:val="0"/>
      <w:adjustRightInd w:val="0"/>
      <w:spacing w:beforeLines="50"/>
    </w:pPr>
  </w:style>
  <w:style w:type="paragraph" w:customStyle="1" w:styleId="1fff7">
    <w:name w:val="批注框文本1"/>
    <w:basedOn w:val="a"/>
    <w:semiHidden/>
    <w:qFormat/>
    <w:pPr>
      <w:autoSpaceDE w:val="0"/>
      <w:autoSpaceDN w:val="0"/>
      <w:adjustRightInd w:val="0"/>
    </w:pPr>
    <w:rPr>
      <w:rFonts w:ascii="Tahoma" w:hAnsi="Tahoma" w:cs="Tahoma"/>
      <w:sz w:val="16"/>
      <w:szCs w:val="16"/>
    </w:rPr>
  </w:style>
  <w:style w:type="paragraph" w:customStyle="1" w:styleId="font7">
    <w:name w:val="font7"/>
    <w:basedOn w:val="a"/>
    <w:semiHidden/>
    <w:qFormat/>
    <w:pPr>
      <w:spacing w:before="100" w:beforeAutospacing="1" w:after="100" w:afterAutospacing="1"/>
    </w:pPr>
    <w:rPr>
      <w:rFonts w:cs="Arial Unicode MS" w:hint="eastAsia"/>
      <w:sz w:val="18"/>
      <w:szCs w:val="18"/>
    </w:rPr>
  </w:style>
  <w:style w:type="paragraph" w:customStyle="1" w:styleId="210505">
    <w:name w:val="样式 样式 标题2 + 首行缩进:  1 字符 段前: 0.5 行 + 段前: 0.5 行"/>
    <w:basedOn w:val="2105"/>
    <w:semiHidden/>
    <w:qFormat/>
    <w:pPr>
      <w:spacing w:before="120"/>
    </w:pPr>
  </w:style>
  <w:style w:type="paragraph" w:customStyle="1" w:styleId="2105">
    <w:name w:val="样式 标题2 + 首行缩进:  1 字符 段前: 0.5 行"/>
    <w:basedOn w:val="a"/>
    <w:semiHidden/>
    <w:qFormat/>
    <w:pPr>
      <w:spacing w:beforeLines="50" w:line="500" w:lineRule="atLeast"/>
      <w:ind w:firstLineChars="100" w:firstLine="281"/>
      <w:outlineLvl w:val="1"/>
    </w:pPr>
    <w:rPr>
      <w:b/>
      <w:bCs/>
      <w:sz w:val="28"/>
      <w:szCs w:val="20"/>
    </w:rPr>
  </w:style>
  <w:style w:type="paragraph" w:customStyle="1" w:styleId="xl122">
    <w:name w:val="xl122"/>
    <w:basedOn w:val="a"/>
    <w:semiHidden/>
    <w:qFormat/>
    <w:pPr>
      <w:pBdr>
        <w:top w:val="single" w:sz="8" w:space="0" w:color="auto"/>
        <w:left w:val="single" w:sz="8" w:space="0" w:color="auto"/>
        <w:right w:val="single" w:sz="8" w:space="0" w:color="auto"/>
      </w:pBdr>
      <w:spacing w:before="100" w:beforeAutospacing="1" w:after="100" w:afterAutospacing="1"/>
    </w:pPr>
    <w:rPr>
      <w:color w:val="000000"/>
      <w:sz w:val="18"/>
      <w:szCs w:val="18"/>
    </w:rPr>
  </w:style>
  <w:style w:type="paragraph" w:customStyle="1" w:styleId="CharCharChar">
    <w:name w:val="Char Char 字元 字元 Char"/>
    <w:basedOn w:val="a"/>
    <w:uiPriority w:val="99"/>
    <w:semiHidden/>
    <w:qFormat/>
  </w:style>
  <w:style w:type="paragraph" w:customStyle="1" w:styleId="CharChar4CharCharCharCharCharCharChar12">
    <w:name w:val="Char Char4 Char Char Char Char Char Char Char12"/>
    <w:basedOn w:val="a"/>
    <w:semiHidden/>
    <w:qFormat/>
    <w:pPr>
      <w:spacing w:after="160" w:line="240" w:lineRule="exact"/>
    </w:pPr>
    <w:rPr>
      <w:rFonts w:ascii="Verdana" w:hAnsi="Verdana" w:cs="Verdana"/>
      <w:sz w:val="20"/>
      <w:szCs w:val="20"/>
      <w:lang w:eastAsia="en-US"/>
    </w:rPr>
  </w:style>
  <w:style w:type="paragraph" w:customStyle="1" w:styleId="xl105">
    <w:name w:val="xl105"/>
    <w:basedOn w:val="a"/>
    <w:semiHidden/>
    <w:qFormat/>
    <w:pPr>
      <w:pBdr>
        <w:top w:val="single" w:sz="4" w:space="0" w:color="auto"/>
        <w:left w:val="single" w:sz="4" w:space="0" w:color="auto"/>
        <w:right w:val="single" w:sz="4" w:space="0" w:color="auto"/>
      </w:pBdr>
      <w:spacing w:before="100" w:beforeAutospacing="1" w:after="100" w:afterAutospacing="1"/>
      <w:jc w:val="center"/>
    </w:pPr>
    <w:rPr>
      <w:rFonts w:ascii="仿宋_GB2312" w:eastAsia="仿宋_GB2312"/>
      <w:b/>
      <w:bCs/>
      <w:sz w:val="20"/>
      <w:szCs w:val="20"/>
    </w:rPr>
  </w:style>
  <w:style w:type="paragraph" w:customStyle="1" w:styleId="affffffffffffe">
    <w:name w:val="简单回函地址"/>
    <w:basedOn w:val="a"/>
    <w:semiHidden/>
    <w:qFormat/>
  </w:style>
  <w:style w:type="paragraph" w:customStyle="1" w:styleId="CharCharCharCharChar1CharCharCharCharCharCharCharCharCharCharCharCharCharCharCharCharCharCharCharCharCharCharCharCharCharCharCharChar1CharCharCharChar">
    <w:name w:val="Char Char Char Char Char1 Char Char Char Char Char Char Char Char Char Char Char Char Char Char Char Char Char Char Char Char Char Char Char Char Char Char Char Char1 Char Char Char Char"/>
    <w:basedOn w:val="a"/>
    <w:semiHidden/>
    <w:qFormat/>
    <w:pPr>
      <w:spacing w:after="160" w:line="240" w:lineRule="exact"/>
    </w:pPr>
    <w:rPr>
      <w:rFonts w:ascii="Verdana" w:eastAsia="Times New Roman" w:hAnsi="Verdana"/>
      <w:sz w:val="20"/>
      <w:szCs w:val="20"/>
      <w:lang w:eastAsia="en-US"/>
    </w:rPr>
  </w:style>
  <w:style w:type="paragraph" w:customStyle="1" w:styleId="CM169">
    <w:name w:val="CM169"/>
    <w:basedOn w:val="Default"/>
    <w:next w:val="Default"/>
    <w:semiHidden/>
    <w:qFormat/>
    <w:pPr>
      <w:spacing w:after="292"/>
    </w:pPr>
    <w:rPr>
      <w:rFonts w:ascii="PCJODE+MSung-Light" w:eastAsia="PCJODE+MSung-Light" w:cs="Times New Roman"/>
      <w:color w:val="auto"/>
    </w:rPr>
  </w:style>
  <w:style w:type="paragraph" w:customStyle="1" w:styleId="CM106">
    <w:name w:val="CM106"/>
    <w:basedOn w:val="Default"/>
    <w:next w:val="Default"/>
    <w:uiPriority w:val="99"/>
    <w:semiHidden/>
    <w:qFormat/>
    <w:pPr>
      <w:spacing w:line="486" w:lineRule="atLeast"/>
      <w:jc w:val="both"/>
    </w:pPr>
    <w:rPr>
      <w:rFonts w:ascii=".a...D.." w:eastAsia=".a...D.." w:cs="Times New Roman"/>
      <w:color w:val="auto"/>
    </w:rPr>
  </w:style>
  <w:style w:type="paragraph" w:customStyle="1" w:styleId="CharChar1CharCharCharChar1CharCharChar9">
    <w:name w:val="Char Char1 Char Char Char Char1 Char Char Char9"/>
    <w:basedOn w:val="a"/>
    <w:semiHidden/>
    <w:qFormat/>
    <w:pPr>
      <w:autoSpaceDE w:val="0"/>
      <w:autoSpaceDN w:val="0"/>
      <w:adjustRightInd w:val="0"/>
    </w:pPr>
  </w:style>
  <w:style w:type="paragraph" w:customStyle="1" w:styleId="CharCharCharChar120">
    <w:name w:val="Char Char Char Char12"/>
    <w:basedOn w:val="a"/>
    <w:semiHidden/>
    <w:qFormat/>
    <w:pPr>
      <w:autoSpaceDE w:val="0"/>
      <w:autoSpaceDN w:val="0"/>
      <w:adjustRightInd w:val="0"/>
      <w:spacing w:beforeLines="50"/>
    </w:pPr>
  </w:style>
  <w:style w:type="paragraph" w:customStyle="1" w:styleId="CharCharCharCharCharCharCharCharCharCharCharCharChar4">
    <w:name w:val="Char Char Char Char Char Char Char Char Char Char Char Char Char4"/>
    <w:basedOn w:val="a"/>
    <w:semiHidden/>
    <w:qFormat/>
    <w:pPr>
      <w:spacing w:after="160" w:line="240" w:lineRule="exact"/>
    </w:pPr>
    <w:rPr>
      <w:rFonts w:ascii="Verdana" w:eastAsia="Times New Roman" w:hAnsi="Verdana"/>
      <w:sz w:val="20"/>
      <w:szCs w:val="20"/>
      <w:lang w:eastAsia="en-US"/>
    </w:rPr>
  </w:style>
  <w:style w:type="paragraph" w:customStyle="1" w:styleId="xl3322481">
    <w:name w:val="xl3322481"/>
    <w:basedOn w:val="a"/>
    <w:semiHidden/>
    <w:qFormat/>
    <w:pPr>
      <w:spacing w:before="100" w:beforeAutospacing="1" w:after="100" w:afterAutospacing="1"/>
      <w:jc w:val="center"/>
      <w:textAlignment w:val="bottom"/>
    </w:pPr>
    <w:rPr>
      <w:rFonts w:ascii="Arial Narrow" w:hAnsi="Arial Narrow"/>
      <w:b/>
      <w:bCs/>
      <w:color w:val="000080"/>
      <w:sz w:val="18"/>
      <w:szCs w:val="18"/>
    </w:rPr>
  </w:style>
  <w:style w:type="paragraph" w:customStyle="1" w:styleId="ml">
    <w:name w:val="正文ml"/>
    <w:basedOn w:val="a"/>
    <w:uiPriority w:val="99"/>
    <w:semiHidden/>
    <w:qFormat/>
    <w:pPr>
      <w:adjustRightInd w:val="0"/>
      <w:spacing w:line="400" w:lineRule="atLeast"/>
      <w:textAlignment w:val="baseline"/>
    </w:pPr>
    <w:rPr>
      <w:rFonts w:ascii="黑体" w:eastAsia="黑体"/>
      <w:sz w:val="28"/>
      <w:szCs w:val="20"/>
    </w:rPr>
  </w:style>
  <w:style w:type="paragraph" w:customStyle="1" w:styleId="m">
    <w:name w:val="m.兴证报告正文"/>
    <w:basedOn w:val="Default"/>
    <w:next w:val="Default"/>
    <w:semiHidden/>
    <w:qFormat/>
    <w:rPr>
      <w:rFonts w:ascii="楷体_GB2312" w:eastAsia="楷体_GB2312" w:cs="Times New Roman"/>
      <w:color w:val="auto"/>
      <w:szCs w:val="20"/>
    </w:rPr>
  </w:style>
  <w:style w:type="paragraph" w:customStyle="1" w:styleId="title14">
    <w:name w:val="title14"/>
    <w:basedOn w:val="a"/>
    <w:semiHidden/>
    <w:qFormat/>
    <w:pPr>
      <w:spacing w:before="100" w:beforeAutospacing="1" w:after="100" w:afterAutospacing="1" w:line="312" w:lineRule="auto"/>
    </w:pPr>
    <w:rPr>
      <w:sz w:val="22"/>
      <w:szCs w:val="22"/>
    </w:rPr>
  </w:style>
  <w:style w:type="paragraph" w:customStyle="1" w:styleId="afffffffffffff">
    <w:name w:val="表格上方单位"/>
    <w:basedOn w:val="a"/>
    <w:semiHidden/>
    <w:qFormat/>
    <w:pPr>
      <w:keepNext/>
      <w:spacing w:beforeLines="50"/>
      <w:ind w:firstLineChars="200" w:firstLine="420"/>
      <w:jc w:val="right"/>
    </w:pPr>
  </w:style>
  <w:style w:type="paragraph" w:customStyle="1" w:styleId="GB2312101221">
    <w:name w:val="样式 (中文) 仿宋_GB2312 四号 首行缩进:  1.01 厘米 行距: 固定值 22 磅1"/>
    <w:basedOn w:val="a"/>
    <w:semiHidden/>
    <w:qFormat/>
    <w:pPr>
      <w:spacing w:line="440" w:lineRule="exact"/>
      <w:ind w:firstLine="573"/>
    </w:pPr>
    <w:rPr>
      <w:rFonts w:eastAsia="仿宋_GB2312"/>
      <w:szCs w:val="20"/>
    </w:rPr>
  </w:style>
  <w:style w:type="paragraph" w:customStyle="1" w:styleId="2ff9">
    <w:name w:val="列出段落2"/>
    <w:basedOn w:val="a"/>
    <w:uiPriority w:val="34"/>
    <w:semiHidden/>
    <w:qFormat/>
    <w:pPr>
      <w:ind w:firstLineChars="200" w:firstLine="420"/>
    </w:pPr>
    <w:rPr>
      <w:rFonts w:ascii="Calibri" w:hAnsi="Calibri"/>
      <w:szCs w:val="22"/>
    </w:rPr>
  </w:style>
  <w:style w:type="paragraph" w:customStyle="1" w:styleId="afffffffffffff0">
    <w:name w:val="列项——"/>
    <w:semiHidden/>
    <w:qFormat/>
    <w:pPr>
      <w:widowControl w:val="0"/>
      <w:numPr>
        <w:numId w:val="14"/>
      </w:numPr>
      <w:tabs>
        <w:tab w:val="left" w:pos="854"/>
        <w:tab w:val="left" w:pos="1140"/>
      </w:tabs>
      <w:ind w:leftChars="200" w:left="200" w:hangingChars="200" w:hanging="200"/>
      <w:jc w:val="both"/>
    </w:pPr>
    <w:rPr>
      <w:rFonts w:ascii="宋体"/>
      <w:sz w:val="21"/>
    </w:rPr>
  </w:style>
  <w:style w:type="paragraph" w:customStyle="1" w:styleId="CharCharCharCharCharCharCharCharCharCharChar0">
    <w:name w:val="Char Char Char Char Char Char Char Char Char Char Char"/>
    <w:basedOn w:val="a"/>
    <w:uiPriority w:val="99"/>
    <w:semiHidden/>
    <w:qFormat/>
    <w:rPr>
      <w:rFonts w:ascii="Tahoma" w:hAnsi="Tahoma" w:cs="Tahoma"/>
    </w:rPr>
  </w:style>
  <w:style w:type="paragraph" w:customStyle="1" w:styleId="2ffa">
    <w:name w:val="招股标题2"/>
    <w:basedOn w:val="a"/>
    <w:uiPriority w:val="99"/>
    <w:semiHidden/>
    <w:qFormat/>
    <w:pPr>
      <w:tabs>
        <w:tab w:val="right" w:leader="dot" w:pos="9118"/>
      </w:tabs>
      <w:spacing w:line="360" w:lineRule="auto"/>
    </w:pPr>
    <w:rPr>
      <w:rFonts w:eastAsia="黑体"/>
      <w:b/>
      <w:bCs/>
      <w:color w:val="000000"/>
      <w:szCs w:val="20"/>
    </w:rPr>
  </w:style>
  <w:style w:type="paragraph" w:customStyle="1" w:styleId="xl83">
    <w:name w:val="xl83"/>
    <w:basedOn w:val="a"/>
    <w:uiPriority w:val="99"/>
    <w:semiHidden/>
    <w:qFormat/>
    <w:pPr>
      <w:pBdr>
        <w:left w:val="single" w:sz="4" w:space="0" w:color="auto"/>
        <w:bottom w:val="single" w:sz="4" w:space="0" w:color="auto"/>
        <w:right w:val="single" w:sz="4" w:space="0" w:color="auto"/>
      </w:pBdr>
      <w:spacing w:before="100" w:beforeAutospacing="1" w:after="100" w:afterAutospacing="1"/>
    </w:pPr>
    <w:rPr>
      <w:rFonts w:ascii="仿宋_GB2312" w:eastAsia="仿宋_GB2312"/>
      <w:b/>
      <w:bCs/>
      <w:sz w:val="20"/>
      <w:szCs w:val="20"/>
    </w:rPr>
  </w:style>
  <w:style w:type="paragraph" w:customStyle="1" w:styleId="95">
    <w:name w:val="纯文本9"/>
    <w:basedOn w:val="a"/>
    <w:semiHidden/>
    <w:qFormat/>
    <w:rPr>
      <w:rFonts w:hAnsi="Courier New"/>
      <w:szCs w:val="20"/>
    </w:rPr>
  </w:style>
  <w:style w:type="paragraph" w:customStyle="1" w:styleId="Pa3">
    <w:name w:val="Pa3"/>
    <w:basedOn w:val="Default"/>
    <w:next w:val="Default"/>
    <w:uiPriority w:val="99"/>
    <w:semiHidden/>
    <w:qFormat/>
    <w:pPr>
      <w:spacing w:line="185" w:lineRule="atLeast"/>
      <w:jc w:val="both"/>
    </w:pPr>
    <w:rPr>
      <w:rFonts w:ascii="FZHei-B01S" w:eastAsia="FZHei-B01S" w:cs="Times New Roman"/>
      <w:color w:val="auto"/>
    </w:rPr>
  </w:style>
  <w:style w:type="paragraph" w:customStyle="1" w:styleId="124">
    <w:name w:val="正文1  首行缩进  2字符"/>
    <w:basedOn w:val="a"/>
    <w:semiHidden/>
    <w:qFormat/>
    <w:pPr>
      <w:spacing w:line="480" w:lineRule="exact"/>
      <w:ind w:firstLineChars="200" w:firstLine="560"/>
    </w:pPr>
    <w:rPr>
      <w:rFonts w:eastAsia="仿宋_GB2312"/>
      <w:sz w:val="28"/>
      <w:szCs w:val="20"/>
    </w:rPr>
  </w:style>
  <w:style w:type="paragraph" w:customStyle="1" w:styleId="CharChar30CharCharCharCharCharCharCharCharCharCharCharChar1CharCharCharCharCharCharCharChar8">
    <w:name w:val="Char Char30 Char Char Char Char Char Char Char Char Char Char Char Char1 Char Char Char Char Char Char Char Char8"/>
    <w:basedOn w:val="a"/>
    <w:semiHidden/>
    <w:qFormat/>
    <w:pPr>
      <w:spacing w:after="160" w:line="240" w:lineRule="exact"/>
    </w:pPr>
    <w:rPr>
      <w:rFonts w:ascii="Verdana" w:eastAsia="Times New Roman" w:hAnsi="Verdana"/>
      <w:sz w:val="20"/>
      <w:szCs w:val="20"/>
      <w:lang w:eastAsia="en-US"/>
    </w:rPr>
  </w:style>
  <w:style w:type="paragraph" w:customStyle="1" w:styleId="tabcode">
    <w:name w:val="tabcode"/>
    <w:basedOn w:val="a"/>
    <w:semiHidden/>
    <w:qFormat/>
    <w:pPr>
      <w:spacing w:beforeAutospacing="1" w:after="100" w:afterAutospacing="1"/>
    </w:pPr>
    <w:rPr>
      <w:vanish/>
    </w:rPr>
  </w:style>
  <w:style w:type="paragraph" w:customStyle="1" w:styleId="103">
    <w:name w:val="正文10"/>
    <w:semiHidden/>
    <w:qFormat/>
    <w:pPr>
      <w:widowControl w:val="0"/>
      <w:adjustRightInd w:val="0"/>
      <w:spacing w:line="312" w:lineRule="atLeast"/>
      <w:jc w:val="both"/>
      <w:textAlignment w:val="baseline"/>
    </w:pPr>
    <w:rPr>
      <w:sz w:val="34"/>
    </w:rPr>
  </w:style>
  <w:style w:type="paragraph" w:customStyle="1" w:styleId="901">
    <w:name w:val="表右小五 90%"/>
    <w:basedOn w:val="a"/>
    <w:semiHidden/>
    <w:qFormat/>
    <w:pPr>
      <w:snapToGrid w:val="0"/>
      <w:jc w:val="right"/>
    </w:pPr>
    <w:rPr>
      <w:spacing w:val="-12"/>
      <w:w w:val="90"/>
      <w:sz w:val="18"/>
      <w:szCs w:val="28"/>
    </w:rPr>
  </w:style>
  <w:style w:type="paragraph" w:customStyle="1" w:styleId="2ffb">
    <w:name w:val="标题2"/>
    <w:basedOn w:val="215153"/>
    <w:semiHidden/>
    <w:qFormat/>
  </w:style>
  <w:style w:type="paragraph" w:customStyle="1" w:styleId="215153">
    <w:name w:val="样式 标题 2 + 四号 非加粗 两端对齐 段前: 1.5 行 段后: 1.5 行 行距: 多倍行距 3 字行"/>
    <w:basedOn w:val="2"/>
    <w:semiHidden/>
    <w:qFormat/>
    <w:pPr>
      <w:keepNext w:val="0"/>
      <w:keepLines w:val="0"/>
      <w:pageBreakBefore/>
      <w:numPr>
        <w:ilvl w:val="0"/>
        <w:numId w:val="0"/>
      </w:numPr>
      <w:adjustRightInd w:val="0"/>
      <w:snapToGrid w:val="0"/>
      <w:spacing w:beforeLines="0" w:before="0" w:afterLines="0" w:after="0" w:line="720" w:lineRule="auto"/>
      <w:ind w:left="1320" w:firstLineChars="200" w:firstLine="200"/>
      <w:jc w:val="left"/>
    </w:pPr>
    <w:rPr>
      <w:rFonts w:ascii="宋体" w:eastAsia="黑体" w:hAnsi="宋体" w:cs="宋体"/>
      <w:b w:val="0"/>
      <w:bCs w:val="0"/>
      <w:kern w:val="0"/>
      <w:sz w:val="28"/>
      <w:szCs w:val="20"/>
    </w:rPr>
  </w:style>
  <w:style w:type="paragraph" w:customStyle="1" w:styleId="afffffffffffff1">
    <w:name w:val="方程式"/>
    <w:basedOn w:val="a"/>
    <w:semiHidden/>
    <w:qFormat/>
    <w:pPr>
      <w:overflowPunct w:val="0"/>
      <w:autoSpaceDE w:val="0"/>
      <w:autoSpaceDN w:val="0"/>
      <w:adjustRightInd w:val="0"/>
      <w:spacing w:before="60" w:after="60"/>
      <w:textAlignment w:val="bottom"/>
    </w:pPr>
    <w:rPr>
      <w:spacing w:val="24"/>
      <w:szCs w:val="20"/>
    </w:rPr>
  </w:style>
  <w:style w:type="paragraph" w:customStyle="1" w:styleId="afffffffffffff2">
    <w:name w:val="第二级（一、二、）"/>
    <w:basedOn w:val="2"/>
    <w:semiHidden/>
    <w:qFormat/>
    <w:pPr>
      <w:numPr>
        <w:ilvl w:val="0"/>
        <w:numId w:val="0"/>
      </w:numPr>
      <w:spacing w:afterLines="0" w:after="0" w:line="360" w:lineRule="auto"/>
      <w:ind w:left="1320" w:hanging="420"/>
      <w:jc w:val="left"/>
    </w:pPr>
    <w:rPr>
      <w:rFonts w:ascii="黑体" w:eastAsia="黑体" w:hAnsi="Times New Roman"/>
      <w:b w:val="0"/>
      <w:bCs w:val="0"/>
      <w:kern w:val="0"/>
      <w:sz w:val="30"/>
      <w:szCs w:val="30"/>
    </w:rPr>
  </w:style>
  <w:style w:type="paragraph" w:customStyle="1" w:styleId="CharCharCharCharCharCharChar4">
    <w:name w:val="Char Char Char Char Char Char Char4"/>
    <w:basedOn w:val="a"/>
    <w:semiHidden/>
    <w:qFormat/>
  </w:style>
  <w:style w:type="paragraph" w:customStyle="1" w:styleId="Legal2L4">
    <w:name w:val="Legal2_L4"/>
    <w:basedOn w:val="a"/>
    <w:semiHidden/>
    <w:qFormat/>
    <w:pPr>
      <w:tabs>
        <w:tab w:val="left" w:pos="720"/>
      </w:tabs>
      <w:spacing w:after="240"/>
      <w:ind w:left="2880" w:hanging="720"/>
      <w:outlineLvl w:val="3"/>
    </w:pPr>
    <w:rPr>
      <w:rFonts w:eastAsia="PMingLiU"/>
      <w:lang w:eastAsia="en-US"/>
    </w:rPr>
  </w:style>
  <w:style w:type="paragraph" w:customStyle="1" w:styleId="default0">
    <w:name w:val="default"/>
    <w:basedOn w:val="a"/>
    <w:semiHidden/>
    <w:qFormat/>
    <w:pPr>
      <w:spacing w:before="100" w:beforeAutospacing="1" w:after="100" w:afterAutospacing="1"/>
    </w:pPr>
  </w:style>
  <w:style w:type="paragraph" w:customStyle="1" w:styleId="2ffc">
    <w:name w:val="无间隔2"/>
    <w:semiHidden/>
    <w:qFormat/>
    <w:pPr>
      <w:widowControl w:val="0"/>
      <w:jc w:val="both"/>
    </w:pPr>
    <w:rPr>
      <w:kern w:val="2"/>
      <w:sz w:val="21"/>
      <w:szCs w:val="21"/>
    </w:rPr>
  </w:style>
  <w:style w:type="paragraph" w:customStyle="1" w:styleId="TimesNewRoman3330">
    <w:name w:val="样式 Times New Roman 四号 加粗 段前: 3 磅 段后: 3 磅 行距: 固定值 30 磅"/>
    <w:basedOn w:val="a"/>
    <w:semiHidden/>
    <w:qFormat/>
    <w:pPr>
      <w:snapToGrid w:val="0"/>
      <w:spacing w:after="60" w:line="600" w:lineRule="exact"/>
      <w:ind w:firstLineChars="50" w:firstLine="50"/>
      <w:outlineLvl w:val="1"/>
    </w:pPr>
    <w:rPr>
      <w:b/>
      <w:bCs/>
      <w:color w:val="000000"/>
      <w:sz w:val="28"/>
      <w:szCs w:val="20"/>
    </w:rPr>
  </w:style>
  <w:style w:type="paragraph" w:customStyle="1" w:styleId="611">
    <w:name w:val="正文61"/>
    <w:semiHidden/>
    <w:qFormat/>
    <w:pPr>
      <w:widowControl w:val="0"/>
      <w:adjustRightInd w:val="0"/>
      <w:spacing w:line="360" w:lineRule="atLeast"/>
      <w:jc w:val="both"/>
      <w:textAlignment w:val="baseline"/>
    </w:pPr>
    <w:rPr>
      <w:rFonts w:ascii="宋体"/>
      <w:sz w:val="24"/>
    </w:rPr>
  </w:style>
  <w:style w:type="paragraph" w:customStyle="1" w:styleId="xl58">
    <w:name w:val="xl58"/>
    <w:basedOn w:val="a"/>
    <w:semiHidden/>
    <w:qFormat/>
    <w:pPr>
      <w:pBdr>
        <w:left w:val="single" w:sz="4" w:space="0" w:color="auto"/>
        <w:bottom w:val="single" w:sz="8" w:space="0" w:color="auto"/>
        <w:right w:val="single" w:sz="4" w:space="0" w:color="auto"/>
      </w:pBdr>
      <w:spacing w:before="100" w:beforeAutospacing="1" w:after="100" w:afterAutospacing="1"/>
      <w:jc w:val="center"/>
    </w:pPr>
    <w:rPr>
      <w:rFonts w:hint="eastAsia"/>
    </w:rPr>
  </w:style>
  <w:style w:type="paragraph" w:customStyle="1" w:styleId="afffffffffffff3">
    <w:name w:val="封面标题"/>
    <w:basedOn w:val="1"/>
    <w:semiHidden/>
    <w:qFormat/>
    <w:pPr>
      <w:tabs>
        <w:tab w:val="clear" w:pos="1134"/>
      </w:tabs>
      <w:suppressAutoHyphens/>
      <w:autoSpaceDE w:val="0"/>
      <w:spacing w:beforeLines="0" w:before="240" w:afterLines="0" w:after="240" w:line="240" w:lineRule="auto"/>
      <w:ind w:left="900" w:firstLineChars="0" w:hanging="420"/>
      <w:jc w:val="center"/>
    </w:pPr>
    <w:rPr>
      <w:bCs w:val="0"/>
      <w:sz w:val="52"/>
      <w:szCs w:val="20"/>
    </w:rPr>
  </w:style>
  <w:style w:type="paragraph" w:customStyle="1" w:styleId="131">
    <w:name w:val="13"/>
    <w:basedOn w:val="a"/>
    <w:next w:val="af4"/>
    <w:semiHidden/>
    <w:qFormat/>
    <w:rPr>
      <w:rFonts w:hAnsi="Courier New"/>
    </w:rPr>
  </w:style>
  <w:style w:type="paragraph" w:customStyle="1" w:styleId="3fa">
    <w:name w:val="纯文本3"/>
    <w:basedOn w:val="a"/>
    <w:semiHidden/>
    <w:qFormat/>
    <w:rPr>
      <w:rFonts w:hAnsi="Courier New"/>
      <w:szCs w:val="20"/>
    </w:rPr>
  </w:style>
  <w:style w:type="paragraph" w:customStyle="1" w:styleId="CM70">
    <w:name w:val="CM70"/>
    <w:basedOn w:val="Default"/>
    <w:next w:val="Default"/>
    <w:uiPriority w:val="99"/>
    <w:semiHidden/>
    <w:qFormat/>
    <w:rPr>
      <w:rFonts w:ascii="隶书" w:eastAsia="隶书" w:cs="Times New Roman"/>
      <w:color w:val="auto"/>
    </w:rPr>
  </w:style>
  <w:style w:type="paragraph" w:customStyle="1" w:styleId="afffffffffffff4">
    <w:name w:val="表文字"/>
    <w:basedOn w:val="a"/>
    <w:semiHidden/>
    <w:qFormat/>
    <w:pPr>
      <w:adjustRightInd w:val="0"/>
      <w:textAlignment w:val="baseline"/>
    </w:pPr>
    <w:rPr>
      <w:szCs w:val="18"/>
    </w:rPr>
  </w:style>
  <w:style w:type="paragraph" w:customStyle="1" w:styleId="CharCharCharCharCharChar1CharCharChar5">
    <w:name w:val="Char Char Char Char Char Char1 Char Char Char5"/>
    <w:basedOn w:val="a"/>
    <w:semiHidden/>
    <w:qFormat/>
    <w:pPr>
      <w:autoSpaceDE w:val="0"/>
      <w:autoSpaceDN w:val="0"/>
      <w:adjustRightInd w:val="0"/>
      <w:textAlignment w:val="baseline"/>
    </w:pPr>
    <w:rPr>
      <w:sz w:val="34"/>
      <w:szCs w:val="20"/>
    </w:rPr>
  </w:style>
  <w:style w:type="paragraph" w:customStyle="1" w:styleId="CharCharCharCharCharCharChar14">
    <w:name w:val="Char Char Char Char Char Char Char14"/>
    <w:basedOn w:val="a"/>
    <w:semiHidden/>
    <w:qFormat/>
    <w:pPr>
      <w:spacing w:after="160" w:line="240" w:lineRule="exact"/>
    </w:pPr>
    <w:rPr>
      <w:rFonts w:ascii="Verdana" w:hAnsi="Verdana"/>
      <w:sz w:val="20"/>
      <w:szCs w:val="20"/>
      <w:lang w:eastAsia="en-US"/>
    </w:rPr>
  </w:style>
  <w:style w:type="paragraph" w:customStyle="1" w:styleId="xu20">
    <w:name w:val="xu扉2"/>
    <w:basedOn w:val="a"/>
    <w:semiHidden/>
    <w:qFormat/>
    <w:pPr>
      <w:jc w:val="center"/>
    </w:pPr>
    <w:rPr>
      <w:sz w:val="48"/>
      <w:szCs w:val="20"/>
    </w:rPr>
  </w:style>
  <w:style w:type="paragraph" w:customStyle="1" w:styleId="CharCharChar3CharCharCharCharCharCharCharCharCharCharCharCharCharCharChar11">
    <w:name w:val="Char Char Char3 Char Char Char Char Char Char Char Char Char Char Char Char Char Char Char11"/>
    <w:basedOn w:val="a"/>
    <w:semiHidden/>
    <w:qFormat/>
    <w:rPr>
      <w:rFonts w:ascii="Tahoma" w:hAnsi="Tahoma"/>
      <w:szCs w:val="20"/>
    </w:rPr>
  </w:style>
  <w:style w:type="paragraph" w:customStyle="1" w:styleId="4f1">
    <w:name w:val="字元 字元4"/>
    <w:basedOn w:val="a"/>
    <w:semiHidden/>
    <w:qFormat/>
    <w:pPr>
      <w:spacing w:after="160" w:line="240" w:lineRule="exact"/>
    </w:pPr>
    <w:rPr>
      <w:rFonts w:eastAsia="Times New Roman"/>
      <w:sz w:val="20"/>
      <w:szCs w:val="20"/>
    </w:rPr>
  </w:style>
  <w:style w:type="paragraph" w:customStyle="1" w:styleId="CharChar4CharCharCharCharCharCharChar1CharChar1">
    <w:name w:val="Char Char4 Char Char Char Char Char Char Char1 Char Char1"/>
    <w:basedOn w:val="a"/>
    <w:semiHidden/>
    <w:qFormat/>
    <w:pPr>
      <w:spacing w:after="160" w:line="240" w:lineRule="exact"/>
    </w:pPr>
    <w:rPr>
      <w:rFonts w:ascii="Verdana" w:hAnsi="Verdana" w:cs="Verdana"/>
      <w:sz w:val="20"/>
      <w:szCs w:val="20"/>
      <w:lang w:eastAsia="en-US"/>
    </w:rPr>
  </w:style>
  <w:style w:type="paragraph" w:customStyle="1" w:styleId="CM166">
    <w:name w:val="CM166"/>
    <w:basedOn w:val="Default"/>
    <w:next w:val="Default"/>
    <w:semiHidden/>
    <w:qFormat/>
    <w:pPr>
      <w:spacing w:after="608"/>
    </w:pPr>
    <w:rPr>
      <w:rFonts w:ascii="PCJODE+MSung-Light" w:eastAsia="PCJODE+MSung-Light" w:cs="Times New Roman"/>
      <w:color w:val="auto"/>
    </w:rPr>
  </w:style>
  <w:style w:type="paragraph" w:customStyle="1" w:styleId="afffffffffffff5">
    <w:name w:val="样式 样式 样式 五号 黑色 行距: 单倍行距 + 非加粗 + 小四"/>
    <w:basedOn w:val="a"/>
    <w:semiHidden/>
    <w:qFormat/>
    <w:pPr>
      <w:spacing w:line="360" w:lineRule="exact"/>
      <w:ind w:leftChars="-1" w:left="-2" w:firstLine="2"/>
    </w:pPr>
    <w:rPr>
      <w:rFonts w:eastAsia="楷体_GB2312"/>
      <w:color w:val="000000"/>
      <w:spacing w:val="-10"/>
    </w:rPr>
  </w:style>
  <w:style w:type="paragraph" w:customStyle="1" w:styleId="afffffffffffff6">
    <w:name w:val="附注－标题四"/>
    <w:basedOn w:val="a"/>
    <w:semiHidden/>
    <w:qFormat/>
    <w:pPr>
      <w:pBdr>
        <w:bottom w:val="single" w:sz="12" w:space="1" w:color="auto"/>
      </w:pBdr>
      <w:adjustRightInd w:val="0"/>
      <w:snapToGrid w:val="0"/>
      <w:spacing w:beforeLines="100" w:afterLines="50" w:line="360" w:lineRule="auto"/>
      <w:jc w:val="center"/>
    </w:pPr>
    <w:rPr>
      <w:rFonts w:ascii="Arial Narrow" w:eastAsia="黑体" w:hAnsi="Arial Narrow"/>
      <w:b/>
      <w:bCs/>
      <w:spacing w:val="20"/>
      <w:szCs w:val="20"/>
    </w:rPr>
  </w:style>
  <w:style w:type="paragraph" w:customStyle="1" w:styleId="CharCharCharCharCharCharCharChar7">
    <w:name w:val="Char Char Char Char Char Char Char Char7"/>
    <w:basedOn w:val="a"/>
    <w:semiHidden/>
    <w:qFormat/>
    <w:pPr>
      <w:autoSpaceDE w:val="0"/>
      <w:autoSpaceDN w:val="0"/>
      <w:adjustRightInd w:val="0"/>
    </w:pPr>
    <w:rPr>
      <w:rFonts w:ascii="Tahoma" w:hAnsi="Tahoma"/>
      <w:szCs w:val="20"/>
    </w:rPr>
  </w:style>
  <w:style w:type="paragraph" w:customStyle="1" w:styleId="CM87">
    <w:name w:val="CM87"/>
    <w:basedOn w:val="Default"/>
    <w:next w:val="Default"/>
    <w:uiPriority w:val="99"/>
    <w:semiHidden/>
    <w:qFormat/>
    <w:pPr>
      <w:spacing w:after="595"/>
    </w:pPr>
    <w:rPr>
      <w:rFonts w:ascii="隶书" w:eastAsia="隶书" w:cs="Times New Roman"/>
      <w:color w:val="auto"/>
    </w:rPr>
  </w:style>
  <w:style w:type="paragraph" w:customStyle="1" w:styleId="afffffffffffff7">
    <w:name w:val="标准段落"/>
    <w:basedOn w:val="a"/>
    <w:semiHidden/>
    <w:qFormat/>
    <w:pPr>
      <w:spacing w:before="240" w:line="440" w:lineRule="atLeast"/>
      <w:ind w:firstLine="480"/>
    </w:pPr>
    <w:rPr>
      <w:szCs w:val="20"/>
      <w:lang w:val="en-AU"/>
    </w:rPr>
  </w:style>
  <w:style w:type="paragraph" w:customStyle="1" w:styleId="Char70">
    <w:name w:val="Char7"/>
    <w:basedOn w:val="a"/>
    <w:uiPriority w:val="99"/>
    <w:semiHidden/>
    <w:qFormat/>
    <w:pPr>
      <w:autoSpaceDE w:val="0"/>
      <w:autoSpaceDN w:val="0"/>
      <w:adjustRightInd w:val="0"/>
      <w:spacing w:after="160" w:line="240" w:lineRule="exact"/>
    </w:pPr>
    <w:rPr>
      <w:szCs w:val="20"/>
    </w:rPr>
  </w:style>
  <w:style w:type="paragraph" w:customStyle="1" w:styleId="font5">
    <w:name w:val="font5"/>
    <w:basedOn w:val="a"/>
    <w:uiPriority w:val="99"/>
    <w:semiHidden/>
    <w:qFormat/>
    <w:pPr>
      <w:spacing w:before="100" w:beforeAutospacing="1" w:after="100" w:afterAutospacing="1"/>
    </w:pPr>
    <w:rPr>
      <w:rFonts w:cs="Arial Unicode MS" w:hint="eastAsia"/>
      <w:sz w:val="20"/>
      <w:szCs w:val="20"/>
    </w:rPr>
  </w:style>
  <w:style w:type="paragraph" w:customStyle="1" w:styleId="CharCharCharChar6">
    <w:name w:val="字元 Char Char 字元 Char Char 字元6"/>
    <w:basedOn w:val="a"/>
    <w:semiHidden/>
    <w:qFormat/>
    <w:pPr>
      <w:autoSpaceDE w:val="0"/>
      <w:autoSpaceDN w:val="0"/>
      <w:adjustRightInd w:val="0"/>
      <w:spacing w:beforeLines="50"/>
    </w:pPr>
  </w:style>
  <w:style w:type="paragraph" w:customStyle="1" w:styleId="CharChar4CharCharCharCharCharCharChar">
    <w:name w:val="Char Char4 Char Char Char Char Char Char Char"/>
    <w:basedOn w:val="a"/>
    <w:semiHidden/>
    <w:qFormat/>
    <w:pPr>
      <w:spacing w:after="160" w:line="240" w:lineRule="exact"/>
    </w:pPr>
    <w:rPr>
      <w:rFonts w:ascii="Verdana" w:hAnsi="Verdana" w:cs="Verdana"/>
      <w:sz w:val="20"/>
      <w:szCs w:val="20"/>
      <w:lang w:eastAsia="en-US"/>
    </w:rPr>
  </w:style>
  <w:style w:type="paragraph" w:customStyle="1" w:styleId="CharCharChar7">
    <w:name w:val="Char Char Char7"/>
    <w:basedOn w:val="a"/>
    <w:semiHidden/>
    <w:qFormat/>
    <w:pPr>
      <w:tabs>
        <w:tab w:val="left" w:pos="720"/>
      </w:tabs>
      <w:ind w:left="720" w:hanging="720"/>
    </w:pPr>
  </w:style>
  <w:style w:type="paragraph" w:customStyle="1" w:styleId="CharCharCharCharCharChar1Char4">
    <w:name w:val="Char Char Char Char Char Char1 Char4"/>
    <w:basedOn w:val="a"/>
    <w:semiHidden/>
    <w:qFormat/>
    <w:rPr>
      <w:rFonts w:ascii="Tahoma" w:hAnsi="Tahoma"/>
      <w:szCs w:val="20"/>
    </w:rPr>
  </w:style>
  <w:style w:type="paragraph" w:customStyle="1" w:styleId="1fff8">
    <w:name w:val="表格格式－1"/>
    <w:basedOn w:val="a"/>
    <w:next w:val="a"/>
    <w:semiHidden/>
    <w:qFormat/>
    <w:pPr>
      <w:autoSpaceDE w:val="0"/>
      <w:autoSpaceDN w:val="0"/>
      <w:adjustRightInd w:val="0"/>
      <w:spacing w:beforeAutospacing="1" w:after="100" w:afterAutospacing="1"/>
      <w:jc w:val="center"/>
    </w:pPr>
    <w:rPr>
      <w:spacing w:val="-18"/>
      <w:szCs w:val="20"/>
    </w:rPr>
  </w:style>
  <w:style w:type="paragraph" w:customStyle="1" w:styleId="CharChar1CharCharCharCharCharCharCharCharCharCharCharCharChar1CharCharCharCharCharCharCharCharCharCharCharCharCharChar1CharCharCharCharCharCharCharCharCharCharCharChar1CharCharCharCharCharChar8">
    <w:name w:val="Char Char1 Char Char Char Char Char Char Char Char Char Char Char Char Char1 Char Char Char Char Char Char Char Char Char Char Char Char Char Char1 Char Char Char Char Char Char Char Char Char Char Char Char1 Char Char Char Char Char Char8"/>
    <w:basedOn w:val="a"/>
    <w:semiHidden/>
    <w:qFormat/>
    <w:pPr>
      <w:autoSpaceDE w:val="0"/>
      <w:autoSpaceDN w:val="0"/>
      <w:adjustRightInd w:val="0"/>
      <w:spacing w:after="160" w:line="240" w:lineRule="exact"/>
    </w:pPr>
    <w:rPr>
      <w:rFonts w:ascii="Verdana" w:eastAsia="Times New Roman" w:hAnsi="Verdana"/>
      <w:sz w:val="20"/>
      <w:szCs w:val="20"/>
      <w:lang w:eastAsia="en-US"/>
    </w:rPr>
  </w:style>
  <w:style w:type="paragraph" w:customStyle="1" w:styleId="CharCharCharCharCharCharChar1CharCharCharChar1">
    <w:name w:val="Char Char Char Char Char Char Char1 Char Char Char Char1"/>
    <w:basedOn w:val="a"/>
    <w:semiHidden/>
    <w:qFormat/>
    <w:rPr>
      <w:rFonts w:ascii="Tahoma" w:hAnsi="Tahoma"/>
      <w:szCs w:val="20"/>
    </w:rPr>
  </w:style>
  <w:style w:type="paragraph" w:customStyle="1" w:styleId="132">
    <w:name w:val="列出段落13"/>
    <w:basedOn w:val="a"/>
    <w:uiPriority w:val="99"/>
    <w:semiHidden/>
    <w:qFormat/>
    <w:pPr>
      <w:ind w:firstLineChars="200" w:firstLine="420"/>
    </w:pPr>
    <w:rPr>
      <w:rFonts w:ascii="Calibri" w:hAnsi="Calibri"/>
      <w:szCs w:val="22"/>
    </w:rPr>
  </w:style>
  <w:style w:type="paragraph" w:customStyle="1" w:styleId="CharCharf0">
    <w:name w:val="字元 Char Char 字元"/>
    <w:basedOn w:val="a"/>
    <w:semiHidden/>
    <w:qFormat/>
    <w:pPr>
      <w:spacing w:beforeLines="50"/>
    </w:pPr>
  </w:style>
  <w:style w:type="paragraph" w:customStyle="1" w:styleId="0040">
    <w:name w:val="标题004"/>
    <w:basedOn w:val="0010"/>
    <w:semiHidden/>
    <w:qFormat/>
    <w:pPr>
      <w:spacing w:before="60" w:line="420" w:lineRule="exact"/>
      <w:ind w:firstLineChars="0" w:firstLine="0"/>
      <w:outlineLvl w:val="3"/>
    </w:pPr>
    <w:rPr>
      <w:b/>
      <w:bCs/>
    </w:rPr>
  </w:style>
  <w:style w:type="paragraph" w:customStyle="1" w:styleId="BodySubheading">
    <w:name w:val="_BodySubheading"/>
    <w:basedOn w:val="BodyHeading"/>
    <w:next w:val="Body0"/>
    <w:uiPriority w:val="99"/>
    <w:semiHidden/>
    <w:qFormat/>
    <w:pPr>
      <w:spacing w:before="0"/>
    </w:pPr>
    <w:rPr>
      <w:b w:val="0"/>
    </w:rPr>
  </w:style>
  <w:style w:type="paragraph" w:customStyle="1" w:styleId="CharCharCharCharCharChar1CharCharChar4">
    <w:name w:val="Char Char Char Char Char Char1 Char Char Char4"/>
    <w:basedOn w:val="a"/>
    <w:semiHidden/>
    <w:qFormat/>
    <w:pPr>
      <w:autoSpaceDE w:val="0"/>
      <w:autoSpaceDN w:val="0"/>
      <w:adjustRightInd w:val="0"/>
      <w:textAlignment w:val="baseline"/>
    </w:pPr>
    <w:rPr>
      <w:rFonts w:eastAsia="方正仿宋简体"/>
      <w:sz w:val="32"/>
      <w:szCs w:val="20"/>
    </w:rPr>
  </w:style>
  <w:style w:type="paragraph" w:customStyle="1" w:styleId="CM85">
    <w:name w:val="CM85"/>
    <w:basedOn w:val="Default"/>
    <w:next w:val="Default"/>
    <w:uiPriority w:val="99"/>
    <w:semiHidden/>
    <w:qFormat/>
    <w:pPr>
      <w:spacing w:after="93"/>
    </w:pPr>
    <w:rPr>
      <w:rFonts w:ascii="隶书" w:eastAsia="隶书" w:cs="Times New Roman"/>
      <w:color w:val="auto"/>
    </w:rPr>
  </w:style>
  <w:style w:type="paragraph" w:customStyle="1" w:styleId="afffffffffffff8">
    <w:name w:val="正文条"/>
    <w:basedOn w:val="a"/>
    <w:semiHidden/>
    <w:qFormat/>
    <w:pPr>
      <w:tabs>
        <w:tab w:val="left" w:pos="1440"/>
      </w:tabs>
      <w:spacing w:line="360" w:lineRule="auto"/>
    </w:pPr>
  </w:style>
  <w:style w:type="paragraph" w:customStyle="1" w:styleId="CharChar4Char3">
    <w:name w:val="Char Char4 Char3"/>
    <w:basedOn w:val="a"/>
    <w:semiHidden/>
    <w:qFormat/>
    <w:pPr>
      <w:spacing w:after="160" w:line="240" w:lineRule="exact"/>
    </w:pPr>
    <w:rPr>
      <w:rFonts w:ascii="Verdana" w:eastAsia="Times New Roman" w:hAnsi="Verdana"/>
      <w:sz w:val="20"/>
      <w:szCs w:val="20"/>
      <w:lang w:eastAsia="en-US"/>
    </w:rPr>
  </w:style>
  <w:style w:type="paragraph" w:customStyle="1" w:styleId="2ffd">
    <w:name w:val="样式 样式2 + 小四 非加粗"/>
    <w:semiHidden/>
    <w:qFormat/>
    <w:pPr>
      <w:tabs>
        <w:tab w:val="left" w:pos="574"/>
      </w:tabs>
      <w:spacing w:before="120" w:after="120" w:line="460" w:lineRule="exact"/>
      <w:ind w:firstLineChars="200" w:firstLine="200"/>
      <w:jc w:val="both"/>
    </w:pPr>
    <w:rPr>
      <w:rFonts w:ascii="Arial" w:hAnsi="Arial" w:cs="宋体"/>
      <w:spacing w:val="6"/>
      <w:sz w:val="24"/>
    </w:rPr>
  </w:style>
  <w:style w:type="paragraph" w:customStyle="1" w:styleId="BodySingle">
    <w:name w:val="Body Single"/>
    <w:basedOn w:val="a7"/>
    <w:semiHidden/>
    <w:qFormat/>
    <w:pPr>
      <w:spacing w:after="0" w:line="290" w:lineRule="atLeast"/>
    </w:pPr>
    <w:rPr>
      <w:sz w:val="24"/>
      <w:szCs w:val="20"/>
      <w:lang w:val="en-GB" w:eastAsia="en-US"/>
    </w:rPr>
  </w:style>
  <w:style w:type="paragraph" w:customStyle="1" w:styleId="xl91">
    <w:name w:val="xl91"/>
    <w:basedOn w:val="a"/>
    <w:semiHidden/>
    <w:qFormat/>
    <w:pPr>
      <w:pBdr>
        <w:top w:val="single" w:sz="4" w:space="0" w:color="auto"/>
        <w:left w:val="single" w:sz="4" w:space="0" w:color="auto"/>
        <w:right w:val="single" w:sz="4" w:space="0" w:color="auto"/>
      </w:pBdr>
      <w:spacing w:before="100" w:beforeAutospacing="1" w:after="100" w:afterAutospacing="1"/>
    </w:pPr>
    <w:rPr>
      <w:rFonts w:ascii="仿宋_GB2312" w:eastAsia="仿宋_GB2312"/>
      <w:b/>
      <w:bCs/>
      <w:sz w:val="20"/>
      <w:szCs w:val="20"/>
    </w:rPr>
  </w:style>
  <w:style w:type="paragraph" w:customStyle="1" w:styleId="FormLabel">
    <w:name w:val="Form Label"/>
    <w:basedOn w:val="a"/>
    <w:semiHidden/>
    <w:qFormat/>
    <w:pPr>
      <w:spacing w:line="280" w:lineRule="exact"/>
    </w:pPr>
    <w:rPr>
      <w:sz w:val="18"/>
      <w:szCs w:val="20"/>
      <w:lang w:val="en-GB" w:eastAsia="en-US"/>
    </w:rPr>
  </w:style>
  <w:style w:type="paragraph" w:customStyle="1" w:styleId="CharChar4CharCharCharCharCharCharChar1CharChar">
    <w:name w:val="Char Char4 Char Char Char Char Char Char Char1 Char Char"/>
    <w:basedOn w:val="a"/>
    <w:semiHidden/>
    <w:qFormat/>
    <w:pPr>
      <w:spacing w:after="160" w:line="240" w:lineRule="exact"/>
    </w:pPr>
    <w:rPr>
      <w:rFonts w:ascii="Verdana" w:hAnsi="Verdana" w:cs="Verdana"/>
      <w:sz w:val="20"/>
      <w:szCs w:val="20"/>
      <w:lang w:eastAsia="en-US"/>
    </w:rPr>
  </w:style>
  <w:style w:type="paragraph" w:customStyle="1" w:styleId="050">
    <w:name w:val="表左缩05"/>
    <w:basedOn w:val="a"/>
    <w:semiHidden/>
    <w:qFormat/>
    <w:pPr>
      <w:snapToGrid w:val="0"/>
      <w:ind w:leftChars="50" w:left="140"/>
    </w:pPr>
    <w:rPr>
      <w:szCs w:val="28"/>
    </w:rPr>
  </w:style>
  <w:style w:type="paragraph" w:customStyle="1" w:styleId="afffffffffffff9">
    <w:name w:val="图文框"/>
    <w:basedOn w:val="a"/>
    <w:semiHidden/>
    <w:qFormat/>
    <w:pPr>
      <w:autoSpaceDE w:val="0"/>
      <w:autoSpaceDN w:val="0"/>
      <w:adjustRightInd w:val="0"/>
      <w:snapToGrid w:val="0"/>
      <w:jc w:val="center"/>
      <w:textAlignment w:val="baseline"/>
    </w:pPr>
  </w:style>
  <w:style w:type="paragraph" w:customStyle="1" w:styleId="CharChar1Char6">
    <w:name w:val="Char Char1 Char6"/>
    <w:basedOn w:val="a"/>
    <w:semiHidden/>
    <w:qFormat/>
    <w:pPr>
      <w:spacing w:after="160" w:line="240" w:lineRule="exact"/>
    </w:pPr>
    <w:rPr>
      <w:rFonts w:ascii="Verdana" w:eastAsia="Times New Roman" w:hAnsi="Verdana"/>
      <w:sz w:val="20"/>
      <w:szCs w:val="20"/>
      <w:lang w:eastAsia="en-US"/>
    </w:rPr>
  </w:style>
  <w:style w:type="paragraph" w:customStyle="1" w:styleId="CharCharCharChar17">
    <w:name w:val="Char Char Char Char17"/>
    <w:basedOn w:val="a"/>
    <w:semiHidden/>
    <w:qFormat/>
    <w:pPr>
      <w:spacing w:after="160" w:line="240" w:lineRule="exact"/>
    </w:pPr>
    <w:rPr>
      <w:rFonts w:ascii="Tahoma" w:hAnsi="Tahoma"/>
      <w:sz w:val="20"/>
      <w:szCs w:val="20"/>
      <w:lang w:eastAsia="en-US"/>
    </w:rPr>
  </w:style>
  <w:style w:type="paragraph" w:customStyle="1" w:styleId="CM72">
    <w:name w:val="CM72"/>
    <w:basedOn w:val="Default"/>
    <w:next w:val="Default"/>
    <w:semiHidden/>
    <w:qFormat/>
    <w:pPr>
      <w:spacing w:line="300" w:lineRule="atLeast"/>
    </w:pPr>
    <w:rPr>
      <w:rFonts w:ascii="PCJODE+MSung-Light" w:eastAsia="PCJODE+MSung-Light" w:cs="Times New Roman"/>
      <w:color w:val="auto"/>
    </w:rPr>
  </w:style>
  <w:style w:type="paragraph" w:customStyle="1" w:styleId="86">
    <w:name w:val="正文8"/>
    <w:basedOn w:val="a"/>
    <w:uiPriority w:val="99"/>
    <w:semiHidden/>
    <w:qFormat/>
    <w:pPr>
      <w:spacing w:before="120" w:after="120"/>
      <w:jc w:val="center"/>
    </w:pPr>
    <w:rPr>
      <w:szCs w:val="20"/>
    </w:rPr>
  </w:style>
  <w:style w:type="paragraph" w:customStyle="1" w:styleId="CharCharChar1CharCharCharCharCharCharCharCharChar1">
    <w:name w:val="Char Char Char1 Char Char Char Char Char Char Char Char Char1"/>
    <w:basedOn w:val="a"/>
    <w:semiHidden/>
    <w:qFormat/>
    <w:pPr>
      <w:autoSpaceDE w:val="0"/>
      <w:autoSpaceDN w:val="0"/>
      <w:adjustRightInd w:val="0"/>
    </w:pPr>
    <w:rPr>
      <w:rFonts w:ascii="Tahoma" w:hAnsi="Tahoma"/>
      <w:szCs w:val="20"/>
    </w:rPr>
  </w:style>
  <w:style w:type="paragraph" w:customStyle="1" w:styleId="GB231210121">
    <w:name w:val="样式 (中文) 仿宋_GB2312 四号 首行缩进:  1.01 厘米 行距: 固定值 21 磅"/>
    <w:basedOn w:val="a"/>
    <w:semiHidden/>
    <w:qFormat/>
    <w:pPr>
      <w:spacing w:line="420" w:lineRule="exact"/>
      <w:ind w:firstLine="570"/>
    </w:pPr>
    <w:rPr>
      <w:rFonts w:eastAsia="仿宋_GB2312"/>
      <w:szCs w:val="20"/>
    </w:rPr>
  </w:style>
  <w:style w:type="paragraph" w:customStyle="1" w:styleId="afffffffffffffa">
    <w:name w:val="文献分类号"/>
    <w:semiHidden/>
    <w:qFormat/>
    <w:pPr>
      <w:framePr w:hSpace="180" w:vSpace="180" w:wrap="around" w:hAnchor="margin" w:y="1" w:anchorLock="1"/>
      <w:widowControl w:val="0"/>
      <w:jc w:val="both"/>
      <w:textAlignment w:val="center"/>
    </w:pPr>
    <w:rPr>
      <w:rFonts w:eastAsia="黑体"/>
      <w:sz w:val="21"/>
    </w:rPr>
  </w:style>
  <w:style w:type="paragraph" w:customStyle="1" w:styleId="Char220">
    <w:name w:val="Char22"/>
    <w:basedOn w:val="a"/>
    <w:semiHidden/>
    <w:qFormat/>
    <w:pPr>
      <w:spacing w:after="160" w:line="240" w:lineRule="exact"/>
    </w:pPr>
    <w:rPr>
      <w:rFonts w:ascii="Verdana" w:eastAsia="Times New Roman" w:hAnsi="Verdana" w:cs="Arial"/>
      <w:sz w:val="22"/>
      <w:szCs w:val="20"/>
      <w:lang w:eastAsia="en-US"/>
    </w:rPr>
  </w:style>
  <w:style w:type="paragraph" w:customStyle="1" w:styleId="CharChar1Char8">
    <w:name w:val="Char Char1 Char8"/>
    <w:basedOn w:val="a"/>
    <w:semiHidden/>
    <w:qFormat/>
    <w:pPr>
      <w:spacing w:after="160" w:line="240" w:lineRule="exact"/>
    </w:pPr>
    <w:rPr>
      <w:rFonts w:ascii="Verdana" w:eastAsia="Times New Roman" w:hAnsi="Verdana"/>
      <w:sz w:val="20"/>
      <w:szCs w:val="20"/>
      <w:lang w:eastAsia="en-US"/>
    </w:rPr>
  </w:style>
  <w:style w:type="paragraph" w:customStyle="1" w:styleId="CM54">
    <w:name w:val="CM54"/>
    <w:basedOn w:val="Default"/>
    <w:next w:val="Default"/>
    <w:uiPriority w:val="99"/>
    <w:semiHidden/>
    <w:qFormat/>
    <w:pPr>
      <w:spacing w:line="498" w:lineRule="atLeast"/>
    </w:pPr>
    <w:rPr>
      <w:rFonts w:ascii="隶书" w:eastAsia="隶书" w:cs="Times New Roman"/>
      <w:color w:val="auto"/>
    </w:rPr>
  </w:style>
  <w:style w:type="paragraph" w:customStyle="1" w:styleId="9CharCharCharCharCharCharChar">
    <w:name w:val="9 Char Char Char Char Char Char Char"/>
    <w:basedOn w:val="a"/>
    <w:semiHidden/>
    <w:qFormat/>
    <w:pPr>
      <w:spacing w:after="160" w:line="240" w:lineRule="exact"/>
    </w:pPr>
    <w:rPr>
      <w:rFonts w:ascii="Verdana" w:eastAsia="仿宋_GB2312" w:hAnsi="Verdana"/>
      <w:szCs w:val="20"/>
      <w:lang w:eastAsia="en-US"/>
    </w:rPr>
  </w:style>
  <w:style w:type="paragraph" w:customStyle="1" w:styleId="CharChar1CharCharCharChar1CharCharChar16">
    <w:name w:val="Char Char1 Char Char Char Char1 Char Char Char16"/>
    <w:basedOn w:val="a"/>
    <w:semiHidden/>
    <w:qFormat/>
  </w:style>
  <w:style w:type="paragraph" w:customStyle="1" w:styleId="ParaChar">
    <w:name w:val="默认段落字体 Para Char"/>
    <w:basedOn w:val="a"/>
    <w:semiHidden/>
    <w:qFormat/>
    <w:pPr>
      <w:spacing w:line="360" w:lineRule="auto"/>
      <w:ind w:firstLineChars="200" w:firstLine="200"/>
    </w:pPr>
    <w:rPr>
      <w:szCs w:val="20"/>
    </w:rPr>
  </w:style>
  <w:style w:type="paragraph" w:customStyle="1" w:styleId="xl69">
    <w:name w:val="xl69"/>
    <w:basedOn w:val="a"/>
    <w:uiPriority w:val="99"/>
    <w:semiHidden/>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_GB2312" w:eastAsia="仿宋_GB2312"/>
      <w:sz w:val="20"/>
      <w:szCs w:val="20"/>
    </w:rPr>
  </w:style>
  <w:style w:type="paragraph" w:customStyle="1" w:styleId="CharChar38">
    <w:name w:val="Char Char38"/>
    <w:basedOn w:val="a"/>
    <w:semiHidden/>
    <w:qFormat/>
    <w:pPr>
      <w:autoSpaceDE w:val="0"/>
      <w:autoSpaceDN w:val="0"/>
      <w:adjustRightInd w:val="0"/>
      <w:spacing w:after="160" w:line="240" w:lineRule="exact"/>
    </w:pPr>
    <w:rPr>
      <w:rFonts w:ascii="Verdana" w:eastAsia="Times New Roman" w:hAnsi="Verdana" w:cs="Arial"/>
      <w:sz w:val="22"/>
      <w:szCs w:val="20"/>
      <w:lang w:eastAsia="en-US"/>
    </w:rPr>
  </w:style>
  <w:style w:type="paragraph" w:customStyle="1" w:styleId="2ffe">
    <w:name w:val="×Ó±êÌâ2"/>
    <w:basedOn w:val="a"/>
    <w:semiHidden/>
    <w:qFormat/>
    <w:pPr>
      <w:overflowPunct w:val="0"/>
      <w:autoSpaceDE w:val="0"/>
      <w:autoSpaceDN w:val="0"/>
      <w:adjustRightInd w:val="0"/>
      <w:spacing w:after="140" w:line="360" w:lineRule="auto"/>
      <w:ind w:left="-383"/>
    </w:pPr>
    <w:rPr>
      <w:rFonts w:ascii="Arial" w:hAnsi="Arial"/>
      <w:sz w:val="28"/>
      <w:szCs w:val="20"/>
    </w:rPr>
  </w:style>
  <w:style w:type="paragraph" w:customStyle="1" w:styleId="3fb">
    <w:name w:val="封面3"/>
    <w:basedOn w:val="a"/>
    <w:semiHidden/>
    <w:qFormat/>
    <w:pPr>
      <w:adjustRightInd w:val="0"/>
      <w:spacing w:line="312" w:lineRule="atLeast"/>
      <w:jc w:val="center"/>
      <w:textAlignment w:val="baseline"/>
    </w:pPr>
    <w:rPr>
      <w:b/>
      <w:sz w:val="32"/>
      <w:szCs w:val="20"/>
    </w:rPr>
  </w:style>
  <w:style w:type="paragraph" w:customStyle="1" w:styleId="CharCharCharCharCharCharChar15">
    <w:name w:val="Char Char Char Char Char Char Char15"/>
    <w:basedOn w:val="a"/>
    <w:semiHidden/>
    <w:qFormat/>
    <w:pPr>
      <w:spacing w:after="160" w:line="240" w:lineRule="exact"/>
    </w:pPr>
    <w:rPr>
      <w:rFonts w:ascii="Verdana" w:hAnsi="Verdana"/>
      <w:sz w:val="20"/>
      <w:szCs w:val="20"/>
      <w:lang w:eastAsia="en-US"/>
    </w:rPr>
  </w:style>
  <w:style w:type="paragraph" w:customStyle="1" w:styleId="153">
    <w:name w:val="纯文本15"/>
    <w:basedOn w:val="a"/>
    <w:semiHidden/>
    <w:qFormat/>
    <w:pPr>
      <w:adjustRightInd w:val="0"/>
      <w:spacing w:line="360" w:lineRule="auto"/>
      <w:ind w:firstLine="567"/>
      <w:textAlignment w:val="baseline"/>
    </w:pPr>
    <w:rPr>
      <w:rFonts w:eastAsia="楷体_GB2312" w:hAnsi="Courier New"/>
      <w:sz w:val="28"/>
      <w:szCs w:val="20"/>
    </w:rPr>
  </w:style>
  <w:style w:type="paragraph" w:customStyle="1" w:styleId="101101">
    <w:name w:val="样式 样式 正文1 + 段前: 0.1 行1 + 段前: 0.1 行"/>
    <w:basedOn w:val="1011"/>
    <w:semiHidden/>
    <w:qFormat/>
    <w:pPr>
      <w:spacing w:before="24"/>
    </w:pPr>
  </w:style>
  <w:style w:type="paragraph" w:customStyle="1" w:styleId="1011">
    <w:name w:val="样式 正文1 + 段前: 0.1 行1"/>
    <w:basedOn w:val="118"/>
    <w:semiHidden/>
    <w:qFormat/>
    <w:pPr>
      <w:adjustRightInd/>
      <w:spacing w:beforeLines="10" w:afterLines="0" w:line="440" w:lineRule="atLeast"/>
      <w:ind w:firstLineChars="0" w:firstLine="510"/>
    </w:pPr>
    <w:rPr>
      <w:rFonts w:cs="宋体"/>
      <w:color w:val="auto"/>
      <w:szCs w:val="20"/>
    </w:rPr>
  </w:style>
  <w:style w:type="paragraph" w:customStyle="1" w:styleId="118">
    <w:name w:val="正文11"/>
    <w:basedOn w:val="a"/>
    <w:semiHidden/>
    <w:qFormat/>
    <w:pPr>
      <w:adjustRightInd w:val="0"/>
      <w:snapToGrid w:val="0"/>
      <w:spacing w:afterLines="50" w:line="360" w:lineRule="auto"/>
      <w:ind w:firstLineChars="200" w:firstLine="480"/>
    </w:pPr>
    <w:rPr>
      <w:color w:val="000000"/>
    </w:rPr>
  </w:style>
  <w:style w:type="paragraph" w:customStyle="1" w:styleId="xl111">
    <w:name w:val="xl111"/>
    <w:basedOn w:val="a"/>
    <w:semiHidden/>
    <w:qFormat/>
    <w:pPr>
      <w:pBdr>
        <w:top w:val="single" w:sz="4" w:space="0" w:color="auto"/>
        <w:left w:val="single" w:sz="4" w:space="0" w:color="auto"/>
        <w:right w:val="single" w:sz="4" w:space="0" w:color="auto"/>
      </w:pBdr>
      <w:spacing w:before="100" w:beforeAutospacing="1" w:after="100" w:afterAutospacing="1"/>
    </w:pPr>
    <w:rPr>
      <w:b/>
      <w:bCs/>
      <w:sz w:val="20"/>
      <w:szCs w:val="20"/>
    </w:rPr>
  </w:style>
  <w:style w:type="paragraph" w:customStyle="1" w:styleId="afffffffffffffb">
    <w:name w:val="五级条标题"/>
    <w:basedOn w:val="a"/>
    <w:next w:val="a"/>
    <w:semiHidden/>
    <w:qFormat/>
    <w:pPr>
      <w:tabs>
        <w:tab w:val="left" w:pos="3421"/>
      </w:tabs>
      <w:outlineLvl w:val="6"/>
    </w:pPr>
    <w:rPr>
      <w:rFonts w:ascii="黑体" w:eastAsia="黑体"/>
      <w:szCs w:val="20"/>
    </w:rPr>
  </w:style>
  <w:style w:type="paragraph" w:customStyle="1" w:styleId="Char50">
    <w:name w:val="Char5"/>
    <w:basedOn w:val="a"/>
    <w:semiHidden/>
    <w:qFormat/>
    <w:rPr>
      <w:rFonts w:ascii="Tahoma" w:hAnsi="Tahoma"/>
      <w:szCs w:val="20"/>
    </w:rPr>
  </w:style>
  <w:style w:type="paragraph" w:customStyle="1" w:styleId="CharCharCharCharChar12">
    <w:name w:val="Char Char Char Char Char12"/>
    <w:basedOn w:val="a"/>
    <w:semiHidden/>
    <w:qFormat/>
    <w:pPr>
      <w:autoSpaceDE w:val="0"/>
      <w:autoSpaceDN w:val="0"/>
      <w:adjustRightInd w:val="0"/>
    </w:pPr>
    <w:rPr>
      <w:rFonts w:ascii="Tahoma" w:hAnsi="Tahoma"/>
      <w:szCs w:val="20"/>
    </w:rPr>
  </w:style>
  <w:style w:type="character" w:customStyle="1" w:styleId="Charffff9">
    <w:name w:val="封面大标题 Char"/>
    <w:semiHidden/>
    <w:qFormat/>
    <w:rPr>
      <w:rFonts w:ascii="黑体" w:eastAsia="黑体" w:hAnsi="Times New Roman" w:cs="Times New Roman"/>
      <w:b/>
      <w:bCs/>
      <w:kern w:val="44"/>
      <w:sz w:val="44"/>
      <w:szCs w:val="44"/>
    </w:rPr>
  </w:style>
  <w:style w:type="paragraph" w:customStyle="1" w:styleId="BodyTextNoIndent">
    <w:name w:val="Body Text No Indent"/>
    <w:basedOn w:val="a7"/>
    <w:semiHidden/>
    <w:qFormat/>
    <w:pPr>
      <w:spacing w:after="240"/>
    </w:pPr>
  </w:style>
  <w:style w:type="paragraph" w:customStyle="1" w:styleId="CharCharCharChar9">
    <w:name w:val="字元 Char Char 字元 Char Char 字元9"/>
    <w:basedOn w:val="a"/>
    <w:semiHidden/>
    <w:qFormat/>
    <w:pPr>
      <w:autoSpaceDE w:val="0"/>
      <w:autoSpaceDN w:val="0"/>
      <w:adjustRightInd w:val="0"/>
      <w:spacing w:beforeLines="50"/>
    </w:pPr>
  </w:style>
  <w:style w:type="paragraph" w:customStyle="1" w:styleId="CM31">
    <w:name w:val="CM31"/>
    <w:basedOn w:val="Default"/>
    <w:next w:val="Default"/>
    <w:uiPriority w:val="99"/>
    <w:semiHidden/>
    <w:qFormat/>
    <w:rPr>
      <w:rFonts w:ascii="隶书" w:eastAsia="隶书" w:cs="Times New Roman"/>
      <w:color w:val="auto"/>
    </w:rPr>
  </w:style>
  <w:style w:type="paragraph" w:customStyle="1" w:styleId="arial0">
    <w:name w:val="arial"/>
    <w:basedOn w:val="a"/>
    <w:semiHidden/>
    <w:qFormat/>
    <w:pPr>
      <w:tabs>
        <w:tab w:val="decimal" w:pos="3119"/>
        <w:tab w:val="right" w:pos="4536"/>
        <w:tab w:val="right" w:pos="5812"/>
        <w:tab w:val="right" w:pos="7088"/>
        <w:tab w:val="right" w:pos="8505"/>
      </w:tabs>
    </w:pPr>
    <w:rPr>
      <w:lang w:val="en-GB"/>
    </w:rPr>
  </w:style>
  <w:style w:type="paragraph" w:customStyle="1" w:styleId="PlainText3">
    <w:name w:val="Plain Text3"/>
    <w:basedOn w:val="a"/>
    <w:semiHidden/>
    <w:qFormat/>
    <w:pPr>
      <w:adjustRightInd w:val="0"/>
      <w:textAlignment w:val="baseline"/>
    </w:pPr>
    <w:rPr>
      <w:rFonts w:hAnsi="Courier New"/>
      <w:szCs w:val="20"/>
    </w:rPr>
  </w:style>
  <w:style w:type="paragraph" w:customStyle="1" w:styleId="Blockquote">
    <w:name w:val="Blockquote"/>
    <w:basedOn w:val="a"/>
    <w:semiHidden/>
    <w:qFormat/>
    <w:pPr>
      <w:autoSpaceDE w:val="0"/>
      <w:autoSpaceDN w:val="0"/>
      <w:adjustRightInd w:val="0"/>
      <w:spacing w:after="100"/>
      <w:ind w:left="360" w:right="360"/>
    </w:pPr>
    <w:rPr>
      <w:szCs w:val="20"/>
    </w:rPr>
  </w:style>
  <w:style w:type="paragraph" w:customStyle="1" w:styleId="Char130">
    <w:name w:val="Char13"/>
    <w:basedOn w:val="a"/>
    <w:semiHidden/>
    <w:qFormat/>
    <w:pPr>
      <w:autoSpaceDE w:val="0"/>
      <w:autoSpaceDN w:val="0"/>
      <w:adjustRightInd w:val="0"/>
      <w:spacing w:after="160" w:line="240" w:lineRule="exact"/>
    </w:pPr>
    <w:rPr>
      <w:szCs w:val="20"/>
    </w:rPr>
  </w:style>
  <w:style w:type="character" w:customStyle="1" w:styleId="120505Char">
    <w:name w:val="样式 正文样式1 + 左侧:  2 字符 段前: 0.5 行 段后: 0.5 行 Char"/>
    <w:semiHidden/>
    <w:qFormat/>
    <w:rPr>
      <w:rFonts w:cs="宋体"/>
      <w:sz w:val="24"/>
    </w:rPr>
  </w:style>
  <w:style w:type="paragraph" w:customStyle="1" w:styleId="CM189">
    <w:name w:val="CM189"/>
    <w:basedOn w:val="a"/>
    <w:next w:val="a"/>
    <w:semiHidden/>
    <w:qFormat/>
    <w:pPr>
      <w:spacing w:before="120" w:after="120" w:line="360" w:lineRule="auto"/>
      <w:ind w:firstLine="475"/>
    </w:pPr>
  </w:style>
  <w:style w:type="paragraph" w:customStyle="1" w:styleId="Title10">
    <w:name w:val="Title1"/>
    <w:basedOn w:val="a"/>
    <w:next w:val="a"/>
    <w:uiPriority w:val="10"/>
    <w:semiHidden/>
    <w:qFormat/>
    <w:pPr>
      <w:pBdr>
        <w:bottom w:val="single" w:sz="4" w:space="1" w:color="auto"/>
      </w:pBdr>
      <w:spacing w:beforeLines="50"/>
      <w:ind w:firstLineChars="200" w:firstLine="480"/>
      <w:contextualSpacing/>
    </w:pPr>
    <w:rPr>
      <w:rFonts w:ascii="Cambria" w:hAnsi="Cambria"/>
      <w:spacing w:val="5"/>
      <w:sz w:val="52"/>
      <w:szCs w:val="52"/>
      <w:lang w:eastAsia="en-US" w:bidi="en-US"/>
    </w:rPr>
  </w:style>
  <w:style w:type="paragraph" w:customStyle="1" w:styleId="CM176">
    <w:name w:val="CM176"/>
    <w:basedOn w:val="Default"/>
    <w:next w:val="Default"/>
    <w:semiHidden/>
    <w:qFormat/>
    <w:pPr>
      <w:spacing w:after="343"/>
    </w:pPr>
    <w:rPr>
      <w:rFonts w:cs="Times New Roman"/>
      <w:color w:val="auto"/>
    </w:rPr>
  </w:style>
  <w:style w:type="paragraph" w:customStyle="1" w:styleId="CharChar1CharCharCharCharCharCharCharCharCharCharCharCharCharChar1">
    <w:name w:val="Char Char1 Char Char Char Char Char Char Char Char Char Char Char Char Char Char1"/>
    <w:basedOn w:val="a"/>
    <w:semiHidden/>
    <w:qFormat/>
    <w:pPr>
      <w:spacing w:beforeLines="100" w:after="160" w:line="240" w:lineRule="exact"/>
    </w:pPr>
    <w:rPr>
      <w:rFonts w:ascii="Verdana" w:hAnsi="Verdana"/>
      <w:sz w:val="32"/>
      <w:szCs w:val="20"/>
      <w:lang w:eastAsia="en-US"/>
    </w:rPr>
  </w:style>
  <w:style w:type="paragraph" w:customStyle="1" w:styleId="1fff9">
    <w:name w:val="公式1"/>
    <w:basedOn w:val="a"/>
    <w:semiHidden/>
    <w:qFormat/>
    <w:pPr>
      <w:spacing w:line="360" w:lineRule="auto"/>
      <w:ind w:firstLineChars="200" w:firstLine="560"/>
    </w:pPr>
    <w:rPr>
      <w:rFonts w:eastAsia="仿宋_GB2312"/>
      <w:sz w:val="28"/>
      <w:szCs w:val="20"/>
    </w:rPr>
  </w:style>
  <w:style w:type="paragraph" w:customStyle="1" w:styleId="0370370">
    <w:name w:val="样式 样式 （一）标题 + 四号 段前: 0.37 厘米 段后: 0.37 厘米"/>
    <w:basedOn w:val="a"/>
    <w:semiHidden/>
    <w:qFormat/>
    <w:pPr>
      <w:autoSpaceDE w:val="0"/>
      <w:autoSpaceDN w:val="0"/>
      <w:adjustRightInd w:val="0"/>
      <w:spacing w:beforeLines="50" w:line="360" w:lineRule="auto"/>
      <w:ind w:left="210" w:right="210" w:firstLine="482"/>
    </w:pPr>
    <w:rPr>
      <w:rFonts w:eastAsia="黑体"/>
      <w:sz w:val="28"/>
      <w:szCs w:val="28"/>
      <w:lang w:val="zh-CN"/>
    </w:rPr>
  </w:style>
  <w:style w:type="paragraph" w:customStyle="1" w:styleId="afffffffffffffc">
    <w:name w:val="字元"/>
    <w:basedOn w:val="a"/>
    <w:uiPriority w:val="99"/>
    <w:semiHidden/>
    <w:qFormat/>
    <w:pPr>
      <w:spacing w:beforeLines="50"/>
    </w:pPr>
  </w:style>
  <w:style w:type="paragraph" w:customStyle="1" w:styleId="CharCharChar1CharCharCharCharCharCharCharCharChar3">
    <w:name w:val="Char Char Char1 Char Char Char Char Char Char Char Char Char3"/>
    <w:basedOn w:val="a"/>
    <w:semiHidden/>
    <w:qFormat/>
    <w:rPr>
      <w:rFonts w:ascii="Tahoma" w:hAnsi="Tahoma"/>
      <w:szCs w:val="20"/>
    </w:rPr>
  </w:style>
  <w:style w:type="paragraph" w:customStyle="1" w:styleId="CM86">
    <w:name w:val="CM86"/>
    <w:basedOn w:val="Default"/>
    <w:next w:val="Default"/>
    <w:uiPriority w:val="99"/>
    <w:semiHidden/>
    <w:qFormat/>
    <w:pPr>
      <w:spacing w:after="488"/>
    </w:pPr>
    <w:rPr>
      <w:rFonts w:ascii="隶书" w:eastAsia="隶书" w:cs="Times New Roman"/>
      <w:color w:val="auto"/>
    </w:rPr>
  </w:style>
  <w:style w:type="paragraph" w:customStyle="1" w:styleId="CM93">
    <w:name w:val="CM93"/>
    <w:basedOn w:val="Default"/>
    <w:next w:val="Default"/>
    <w:uiPriority w:val="99"/>
    <w:semiHidden/>
    <w:qFormat/>
    <w:pPr>
      <w:spacing w:after="1513"/>
    </w:pPr>
    <w:rPr>
      <w:rFonts w:ascii="隶书" w:eastAsia="隶书" w:cs="Times New Roman"/>
      <w:color w:val="auto"/>
    </w:rPr>
  </w:style>
  <w:style w:type="paragraph" w:customStyle="1" w:styleId="afffffffffffffd">
    <w:name w:val="标题二"/>
    <w:basedOn w:val="a"/>
    <w:link w:val="Charffffa"/>
    <w:semiHidden/>
    <w:qFormat/>
    <w:pPr>
      <w:spacing w:after="200" w:line="500" w:lineRule="exact"/>
      <w:ind w:leftChars="200" w:left="200"/>
      <w:outlineLvl w:val="1"/>
    </w:pPr>
    <w:rPr>
      <w:b/>
    </w:rPr>
  </w:style>
  <w:style w:type="character" w:customStyle="1" w:styleId="Charffffa">
    <w:name w:val="标题二 Char"/>
    <w:link w:val="afffffffffffffd"/>
    <w:semiHidden/>
    <w:qFormat/>
    <w:rPr>
      <w:b/>
      <w:kern w:val="2"/>
      <w:sz w:val="21"/>
      <w:szCs w:val="21"/>
    </w:rPr>
  </w:style>
  <w:style w:type="paragraph" w:customStyle="1" w:styleId="xl61">
    <w:name w:val="xl61"/>
    <w:basedOn w:val="a"/>
    <w:semiHidden/>
    <w:qFormat/>
    <w:pPr>
      <w:pBdr>
        <w:top w:val="double" w:sz="6" w:space="0" w:color="auto"/>
        <w:left w:val="single" w:sz="4" w:space="0" w:color="auto"/>
        <w:right w:val="single" w:sz="4" w:space="0" w:color="auto"/>
      </w:pBdr>
      <w:spacing w:before="100" w:after="100"/>
      <w:jc w:val="center"/>
    </w:pPr>
  </w:style>
  <w:style w:type="paragraph" w:customStyle="1" w:styleId="CM1">
    <w:name w:val="CM1"/>
    <w:basedOn w:val="Default"/>
    <w:next w:val="Default"/>
    <w:semiHidden/>
    <w:qFormat/>
    <w:pPr>
      <w:spacing w:line="520" w:lineRule="atLeast"/>
    </w:pPr>
    <w:rPr>
      <w:rFonts w:cs="Times New Roman"/>
      <w:color w:val="auto"/>
    </w:rPr>
  </w:style>
  <w:style w:type="paragraph" w:customStyle="1" w:styleId="CharCharCharChar11">
    <w:name w:val="字元 Char Char 字元 Char Char 字元1"/>
    <w:basedOn w:val="a"/>
    <w:semiHidden/>
    <w:qFormat/>
    <w:pPr>
      <w:autoSpaceDE w:val="0"/>
      <w:autoSpaceDN w:val="0"/>
      <w:adjustRightInd w:val="0"/>
      <w:spacing w:beforeLines="50"/>
    </w:pPr>
  </w:style>
  <w:style w:type="paragraph" w:customStyle="1" w:styleId="CharCharf1">
    <w:name w:val="普通(网站) Char Char"/>
    <w:basedOn w:val="a"/>
    <w:semiHidden/>
    <w:qFormat/>
    <w:pPr>
      <w:spacing w:beforeAutospacing="1" w:after="100" w:afterAutospacing="1"/>
    </w:pPr>
    <w:rPr>
      <w:color w:val="000000"/>
      <w:szCs w:val="20"/>
    </w:rPr>
  </w:style>
  <w:style w:type="character" w:customStyle="1" w:styleId="SectionHeadingChar1">
    <w:name w:val="Section Heading Char1"/>
    <w:semiHidden/>
    <w:qFormat/>
    <w:rPr>
      <w:rFonts w:ascii="Calibri" w:eastAsia="黑体" w:hAnsi="Calibri"/>
      <w:bCs/>
      <w:kern w:val="44"/>
      <w:sz w:val="30"/>
      <w:szCs w:val="44"/>
      <w:lang w:val="en-US" w:eastAsia="zh-CN" w:bidi="ar-SA"/>
    </w:rPr>
  </w:style>
  <w:style w:type="paragraph" w:customStyle="1" w:styleId="CharChar18">
    <w:name w:val="字元 Char Char 字元1"/>
    <w:basedOn w:val="a"/>
    <w:semiHidden/>
    <w:qFormat/>
    <w:pPr>
      <w:autoSpaceDE w:val="0"/>
      <w:autoSpaceDN w:val="0"/>
      <w:adjustRightInd w:val="0"/>
      <w:spacing w:beforeLines="50"/>
    </w:pPr>
  </w:style>
  <w:style w:type="paragraph" w:customStyle="1" w:styleId="Char1CharCharChar8">
    <w:name w:val="Char1 Char Char Char8"/>
    <w:basedOn w:val="a"/>
    <w:semiHidden/>
    <w:qFormat/>
    <w:pPr>
      <w:autoSpaceDE w:val="0"/>
      <w:autoSpaceDN w:val="0"/>
      <w:adjustRightInd w:val="0"/>
      <w:spacing w:after="160" w:line="240" w:lineRule="exact"/>
    </w:pPr>
    <w:rPr>
      <w:rFonts w:ascii="Verdana" w:eastAsia="Times New Roman" w:hAnsi="Verdana"/>
      <w:sz w:val="20"/>
      <w:szCs w:val="20"/>
      <w:lang w:eastAsia="en-US"/>
    </w:rPr>
  </w:style>
  <w:style w:type="paragraph" w:customStyle="1" w:styleId="CharCharCharCharCharCharCharCharCharCharCharCharChar3">
    <w:name w:val="Char Char Char Char Char Char Char Char Char Char Char Char Char3"/>
    <w:basedOn w:val="a"/>
    <w:semiHidden/>
    <w:qFormat/>
    <w:pPr>
      <w:spacing w:after="160" w:line="240" w:lineRule="exact"/>
    </w:pPr>
    <w:rPr>
      <w:rFonts w:ascii="Verdana" w:eastAsia="Times New Roman" w:hAnsi="Verdana"/>
      <w:sz w:val="20"/>
      <w:szCs w:val="20"/>
      <w:lang w:eastAsia="en-US"/>
    </w:rPr>
  </w:style>
  <w:style w:type="paragraph" w:customStyle="1" w:styleId="GB231222">
    <w:name w:val="样式 (中文) 仿宋_GB2312 四号 行距: 固定值 22 磅"/>
    <w:basedOn w:val="a"/>
    <w:semiHidden/>
    <w:qFormat/>
    <w:pPr>
      <w:spacing w:line="440" w:lineRule="exact"/>
    </w:pPr>
    <w:rPr>
      <w:rFonts w:eastAsia="仿宋_GB2312"/>
      <w:szCs w:val="20"/>
    </w:rPr>
  </w:style>
  <w:style w:type="paragraph" w:customStyle="1" w:styleId="CM147">
    <w:name w:val="CM147"/>
    <w:basedOn w:val="Default"/>
    <w:next w:val="Default"/>
    <w:semiHidden/>
    <w:qFormat/>
    <w:pPr>
      <w:spacing w:after="955"/>
      <w:jc w:val="both"/>
    </w:pPr>
    <w:rPr>
      <w:rFonts w:ascii=".a...D.." w:eastAsia=".a...D.." w:cs="Times New Roman"/>
      <w:color w:val="auto"/>
    </w:rPr>
  </w:style>
  <w:style w:type="paragraph" w:customStyle="1" w:styleId="CharChar1CharCharCharCharCharCharCharChar">
    <w:name w:val="Char Char1 Char Char Char Char Char Char Char Char"/>
    <w:basedOn w:val="a"/>
    <w:semiHidden/>
    <w:qFormat/>
    <w:pPr>
      <w:spacing w:after="160" w:line="240" w:lineRule="exact"/>
    </w:pPr>
    <w:rPr>
      <w:rFonts w:ascii="Verdana" w:eastAsia="Times New Roman" w:hAnsi="Verdana"/>
      <w:sz w:val="20"/>
      <w:szCs w:val="20"/>
      <w:lang w:eastAsia="en-US"/>
    </w:rPr>
  </w:style>
  <w:style w:type="paragraph" w:customStyle="1" w:styleId="Char2CharCharChar2">
    <w:name w:val="Char2 Char Char Char2"/>
    <w:basedOn w:val="a"/>
    <w:semiHidden/>
    <w:qFormat/>
    <w:rPr>
      <w:rFonts w:ascii="Tahoma" w:hAnsi="Tahoma"/>
      <w:szCs w:val="20"/>
    </w:rPr>
  </w:style>
  <w:style w:type="paragraph" w:customStyle="1" w:styleId="1Char01">
    <w:name w:val="样式 正文1 Char + 段前: 0.1 行"/>
    <w:semiHidden/>
    <w:qFormat/>
    <w:pPr>
      <w:snapToGrid w:val="0"/>
      <w:spacing w:beforeLines="10" w:before="31" w:line="440" w:lineRule="atLeast"/>
      <w:ind w:firstLine="624"/>
    </w:pPr>
    <w:rPr>
      <w:rFonts w:cs="宋体"/>
      <w:sz w:val="24"/>
    </w:rPr>
  </w:style>
  <w:style w:type="paragraph" w:customStyle="1" w:styleId="afffffffffffffe">
    <w:name w:val="(打印)宋体正文"/>
    <w:basedOn w:val="a"/>
    <w:semiHidden/>
    <w:qFormat/>
    <w:pPr>
      <w:spacing w:beforeLines="50" w:afterLines="50"/>
    </w:pPr>
    <w:rPr>
      <w:szCs w:val="20"/>
    </w:rPr>
  </w:style>
  <w:style w:type="paragraph" w:customStyle="1" w:styleId="xl44">
    <w:name w:val="xl44"/>
    <w:basedOn w:val="a"/>
    <w:semiHidden/>
    <w:qFormat/>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rPr>
  </w:style>
  <w:style w:type="paragraph" w:customStyle="1" w:styleId="affffffffffffff">
    <w:name w:val="表格样式"/>
    <w:basedOn w:val="a"/>
    <w:semiHidden/>
    <w:qFormat/>
    <w:rPr>
      <w:b/>
    </w:rPr>
  </w:style>
  <w:style w:type="paragraph" w:customStyle="1" w:styleId="CharCharCharCharCharChar1CharCharCharChar2">
    <w:name w:val="Char Char Char Char Char Char1 Char Char Char Char2"/>
    <w:basedOn w:val="a"/>
    <w:semiHidden/>
    <w:qFormat/>
    <w:pPr>
      <w:spacing w:after="160" w:line="240" w:lineRule="exact"/>
    </w:pPr>
    <w:rPr>
      <w:rFonts w:ascii="Verdana" w:hAnsi="Verdana"/>
      <w:sz w:val="20"/>
      <w:szCs w:val="20"/>
      <w:lang w:eastAsia="en-US"/>
    </w:rPr>
  </w:style>
  <w:style w:type="paragraph" w:customStyle="1" w:styleId="affffffffffffff0">
    <w:name w:val="正文的段落"/>
    <w:basedOn w:val="a"/>
    <w:semiHidden/>
    <w:qFormat/>
    <w:pPr>
      <w:autoSpaceDE w:val="0"/>
      <w:autoSpaceDN w:val="0"/>
      <w:adjustRightInd w:val="0"/>
      <w:spacing w:beforeLines="50" w:line="360" w:lineRule="auto"/>
      <w:ind w:firstLineChars="200" w:firstLine="480"/>
    </w:pPr>
  </w:style>
  <w:style w:type="paragraph" w:customStyle="1" w:styleId="Char1CharCharCharCharCharChar1">
    <w:name w:val="Char1 Char Char Char Char Char Char1"/>
    <w:basedOn w:val="a"/>
    <w:semiHidden/>
    <w:qFormat/>
    <w:pPr>
      <w:spacing w:after="160" w:line="240" w:lineRule="exact"/>
    </w:pPr>
    <w:rPr>
      <w:rFonts w:ascii="Verdana" w:hAnsi="Verdana" w:cs="Verdana"/>
      <w:sz w:val="20"/>
      <w:szCs w:val="20"/>
      <w:lang w:eastAsia="en-US"/>
    </w:rPr>
  </w:style>
  <w:style w:type="paragraph" w:customStyle="1" w:styleId="xl109">
    <w:name w:val="xl109"/>
    <w:basedOn w:val="a"/>
    <w:semiHidden/>
    <w:qFormat/>
    <w:pPr>
      <w:pBdr>
        <w:top w:val="single" w:sz="4" w:space="0" w:color="auto"/>
        <w:left w:val="single" w:sz="4" w:space="0" w:color="auto"/>
        <w:right w:val="single" w:sz="4" w:space="0" w:color="auto"/>
      </w:pBdr>
      <w:spacing w:before="100" w:beforeAutospacing="1" w:after="100" w:afterAutospacing="1"/>
    </w:pPr>
    <w:rPr>
      <w:b/>
      <w:bCs/>
      <w:sz w:val="20"/>
      <w:szCs w:val="20"/>
    </w:rPr>
  </w:style>
  <w:style w:type="paragraph" w:customStyle="1" w:styleId="xl126">
    <w:name w:val="xl126"/>
    <w:basedOn w:val="a"/>
    <w:semiHidden/>
    <w:qFormat/>
    <w:pPr>
      <w:pBdr>
        <w:top w:val="single" w:sz="8" w:space="0" w:color="auto"/>
        <w:left w:val="single" w:sz="8" w:space="0" w:color="auto"/>
        <w:right w:val="single" w:sz="8" w:space="0" w:color="auto"/>
      </w:pBdr>
      <w:spacing w:before="100" w:beforeAutospacing="1" w:after="100" w:afterAutospacing="1"/>
      <w:jc w:val="right"/>
    </w:pPr>
    <w:rPr>
      <w:color w:val="000000"/>
      <w:sz w:val="18"/>
      <w:szCs w:val="18"/>
    </w:rPr>
  </w:style>
  <w:style w:type="paragraph" w:customStyle="1" w:styleId="Char1CharCharCharCharCharChar1CharCharCharChar">
    <w:name w:val="Char1 Char Char Char Char Char Char1 Char Char Char Char"/>
    <w:basedOn w:val="a"/>
    <w:semiHidden/>
    <w:qFormat/>
    <w:pPr>
      <w:spacing w:after="160" w:line="240" w:lineRule="exact"/>
    </w:pPr>
    <w:rPr>
      <w:rFonts w:ascii="Verdana" w:hAnsi="Verdana" w:cs="Verdana"/>
      <w:sz w:val="20"/>
      <w:szCs w:val="20"/>
      <w:lang w:eastAsia="en-US"/>
    </w:rPr>
  </w:style>
  <w:style w:type="paragraph" w:customStyle="1" w:styleId="Style3">
    <w:name w:val="_Style 3"/>
    <w:basedOn w:val="a"/>
    <w:semiHidden/>
    <w:qFormat/>
    <w:pPr>
      <w:widowControl w:val="0"/>
      <w:spacing w:beforeLines="50" w:before="120" w:afterLines="50" w:after="120" w:line="360" w:lineRule="auto"/>
      <w:ind w:firstLineChars="200" w:firstLine="480"/>
      <w:jc w:val="both"/>
    </w:pPr>
    <w:rPr>
      <w:rFonts w:eastAsia="黑体"/>
    </w:rPr>
  </w:style>
  <w:style w:type="paragraph" w:customStyle="1" w:styleId="ppsnote">
    <w:name w:val="pps note"/>
    <w:basedOn w:val="a"/>
    <w:semiHidden/>
    <w:qFormat/>
    <w:pPr>
      <w:autoSpaceDE w:val="0"/>
      <w:autoSpaceDN w:val="0"/>
      <w:adjustRightInd w:val="0"/>
      <w:spacing w:line="360" w:lineRule="auto"/>
    </w:pPr>
    <w:rPr>
      <w:rFonts w:cs="华文楷体"/>
    </w:rPr>
  </w:style>
  <w:style w:type="paragraph" w:customStyle="1" w:styleId="Char25">
    <w:name w:val="Char25"/>
    <w:basedOn w:val="a"/>
    <w:semiHidden/>
    <w:qFormat/>
    <w:pPr>
      <w:spacing w:after="160" w:line="240" w:lineRule="exact"/>
    </w:pPr>
    <w:rPr>
      <w:rFonts w:ascii="Verdana" w:eastAsia="Times New Roman" w:hAnsi="Verdana" w:cs="Arial"/>
      <w:sz w:val="22"/>
      <w:szCs w:val="20"/>
      <w:lang w:eastAsia="en-US"/>
    </w:rPr>
  </w:style>
  <w:style w:type="paragraph" w:customStyle="1" w:styleId="affffffffffffff1">
    <w:name w:val="设备表专业名"/>
    <w:basedOn w:val="a"/>
    <w:semiHidden/>
    <w:qFormat/>
    <w:pPr>
      <w:adjustRightInd w:val="0"/>
      <w:snapToGrid w:val="0"/>
      <w:spacing w:line="480" w:lineRule="exact"/>
      <w:jc w:val="center"/>
    </w:pPr>
    <w:rPr>
      <w:rFonts w:eastAsia="仿宋_GB2312"/>
      <w:sz w:val="28"/>
      <w:szCs w:val="20"/>
      <w:lang w:bidi="he-IL"/>
    </w:rPr>
  </w:style>
  <w:style w:type="paragraph" w:customStyle="1" w:styleId="xl26">
    <w:name w:val="xl26"/>
    <w:basedOn w:val="a"/>
    <w:semiHidden/>
    <w:qFormat/>
    <w:pPr>
      <w:spacing w:before="100" w:beforeAutospacing="1" w:after="100" w:afterAutospacing="1"/>
    </w:pPr>
    <w:rPr>
      <w:rFonts w:ascii="Arial Unicode MS" w:eastAsia="Arial Unicode MS" w:hAnsi="Arial Unicode MS" w:cs="Arial Unicode MS"/>
      <w:sz w:val="20"/>
      <w:szCs w:val="20"/>
    </w:rPr>
  </w:style>
  <w:style w:type="paragraph" w:customStyle="1" w:styleId="-31">
    <w:name w:val="附注-标题3"/>
    <w:semiHidden/>
    <w:qFormat/>
    <w:pPr>
      <w:tabs>
        <w:tab w:val="left" w:pos="1125"/>
      </w:tabs>
      <w:spacing w:beforeLines="25" w:afterLines="25" w:line="360" w:lineRule="auto"/>
      <w:ind w:left="1125" w:hanging="720"/>
      <w:jc w:val="both"/>
      <w:outlineLvl w:val="1"/>
    </w:pPr>
    <w:rPr>
      <w:rFonts w:ascii="Arial Narrow" w:hAnsi="Arial Narrow"/>
      <w:b/>
      <w:kern w:val="2"/>
      <w:sz w:val="21"/>
      <w:szCs w:val="21"/>
    </w:rPr>
  </w:style>
  <w:style w:type="paragraph" w:customStyle="1" w:styleId="2fff">
    <w:name w:val="电子标题2"/>
    <w:basedOn w:val="a"/>
    <w:uiPriority w:val="99"/>
    <w:semiHidden/>
    <w:qFormat/>
    <w:pPr>
      <w:adjustRightInd w:val="0"/>
      <w:snapToGrid w:val="0"/>
      <w:spacing w:line="360" w:lineRule="auto"/>
      <w:ind w:firstLine="499"/>
      <w:outlineLvl w:val="1"/>
    </w:pPr>
    <w:rPr>
      <w:rFonts w:eastAsia="黑体"/>
      <w:sz w:val="32"/>
      <w:szCs w:val="20"/>
    </w:rPr>
  </w:style>
  <w:style w:type="paragraph" w:customStyle="1" w:styleId="xl66">
    <w:name w:val="xl66"/>
    <w:basedOn w:val="a"/>
    <w:uiPriority w:val="99"/>
    <w:semiHidden/>
    <w:qFormat/>
    <w:pPr>
      <w:spacing w:before="100" w:beforeAutospacing="1" w:after="100" w:afterAutospacing="1"/>
    </w:pPr>
    <w:rPr>
      <w:sz w:val="20"/>
      <w:szCs w:val="20"/>
    </w:rPr>
  </w:style>
  <w:style w:type="paragraph" w:customStyle="1" w:styleId="Normal5">
    <w:name w:val="Normal5"/>
    <w:semiHidden/>
    <w:qFormat/>
    <w:pPr>
      <w:widowControl w:val="0"/>
      <w:adjustRightInd w:val="0"/>
      <w:spacing w:line="360" w:lineRule="atLeast"/>
      <w:jc w:val="both"/>
      <w:textAlignment w:val="baseline"/>
    </w:pPr>
    <w:rPr>
      <w:rFonts w:ascii="宋体"/>
      <w:sz w:val="24"/>
    </w:rPr>
  </w:style>
  <w:style w:type="paragraph" w:customStyle="1" w:styleId="0011">
    <w:name w:val="表格001"/>
    <w:basedOn w:val="a"/>
    <w:semiHidden/>
    <w:qFormat/>
    <w:pPr>
      <w:spacing w:line="360" w:lineRule="exact"/>
      <w:jc w:val="center"/>
    </w:pPr>
    <w:rPr>
      <w:rFonts w:ascii="Arial" w:hAnsi="Arial"/>
      <w:szCs w:val="20"/>
    </w:rPr>
  </w:style>
  <w:style w:type="paragraph" w:customStyle="1" w:styleId="CharCharCharChar5">
    <w:name w:val="字元 Char Char 字元 Char Char 字元5"/>
    <w:basedOn w:val="a"/>
    <w:semiHidden/>
    <w:qFormat/>
    <w:pPr>
      <w:autoSpaceDE w:val="0"/>
      <w:autoSpaceDN w:val="0"/>
      <w:adjustRightInd w:val="0"/>
      <w:spacing w:beforeLines="50"/>
    </w:pPr>
  </w:style>
  <w:style w:type="paragraph" w:customStyle="1" w:styleId="affffffffffffff2">
    <w:name w:val="正文小园括号"/>
    <w:basedOn w:val="affffffffffffff3"/>
    <w:next w:val="a"/>
    <w:semiHidden/>
    <w:qFormat/>
    <w:pPr>
      <w:ind w:firstLine="0"/>
    </w:pPr>
  </w:style>
  <w:style w:type="paragraph" w:customStyle="1" w:styleId="affffffffffffff3">
    <w:name w:val="正文单弧括号"/>
    <w:basedOn w:val="affffffffffffff4"/>
    <w:semiHidden/>
    <w:qFormat/>
    <w:pPr>
      <w:ind w:firstLine="200"/>
    </w:pPr>
  </w:style>
  <w:style w:type="paragraph" w:customStyle="1" w:styleId="affffffffffffff4">
    <w:name w:val="正文双弧括号"/>
    <w:basedOn w:val="a"/>
    <w:semiHidden/>
    <w:qFormat/>
    <w:pPr>
      <w:spacing w:line="360" w:lineRule="auto"/>
    </w:pPr>
    <w:rPr>
      <w:szCs w:val="22"/>
    </w:rPr>
  </w:style>
  <w:style w:type="paragraph" w:customStyle="1" w:styleId="CharCharCharCharCharCharChar1">
    <w:name w:val="Char Char Char Char Char Char Char1"/>
    <w:basedOn w:val="a"/>
    <w:semiHidden/>
    <w:qFormat/>
    <w:pPr>
      <w:spacing w:after="160" w:line="240" w:lineRule="exact"/>
    </w:pPr>
    <w:rPr>
      <w:rFonts w:ascii="Verdana" w:hAnsi="Verdana"/>
      <w:sz w:val="20"/>
      <w:szCs w:val="20"/>
      <w:lang w:eastAsia="en-US"/>
    </w:rPr>
  </w:style>
  <w:style w:type="paragraph" w:customStyle="1" w:styleId="ParaCharCharCharChar">
    <w:name w:val="默认段落字体 Para Char Char Char Char"/>
    <w:basedOn w:val="a"/>
    <w:semiHidden/>
    <w:qFormat/>
  </w:style>
  <w:style w:type="paragraph" w:customStyle="1" w:styleId="affffffffffffff5">
    <w:name w:val="保留正文"/>
    <w:basedOn w:val="a"/>
    <w:semiHidden/>
    <w:qFormat/>
    <w:pPr>
      <w:adjustRightInd w:val="0"/>
      <w:spacing w:after="160" w:line="480" w:lineRule="auto"/>
      <w:textAlignment w:val="baseline"/>
    </w:pPr>
    <w:rPr>
      <w:sz w:val="28"/>
      <w:szCs w:val="20"/>
    </w:rPr>
  </w:style>
  <w:style w:type="paragraph" w:customStyle="1" w:styleId="CharChar3CharChar7">
    <w:name w:val="Char Char3 Char Char7"/>
    <w:basedOn w:val="a"/>
    <w:semiHidden/>
    <w:qFormat/>
    <w:pPr>
      <w:spacing w:after="160" w:line="240" w:lineRule="exact"/>
    </w:pPr>
    <w:rPr>
      <w:rFonts w:ascii="Verdana" w:hAnsi="Verdana" w:cs="Verdana"/>
      <w:sz w:val="20"/>
      <w:szCs w:val="20"/>
      <w:lang w:eastAsia="en-US"/>
    </w:rPr>
  </w:style>
  <w:style w:type="paragraph" w:customStyle="1" w:styleId="ne2">
    <w:name w:val="ne2"/>
    <w:basedOn w:val="a"/>
    <w:semiHidden/>
    <w:qFormat/>
    <w:pPr>
      <w:spacing w:before="120" w:line="280" w:lineRule="atLeast"/>
    </w:pPr>
    <w:rPr>
      <w:rFonts w:ascii="Helvetica" w:eastAsia="Times New Roman" w:hAnsi="Helvetica" w:cs="Tahoma"/>
      <w:sz w:val="20"/>
      <w:szCs w:val="20"/>
      <w:lang w:eastAsia="en-US"/>
    </w:rPr>
  </w:style>
  <w:style w:type="paragraph" w:customStyle="1" w:styleId="CM41">
    <w:name w:val="CM41"/>
    <w:basedOn w:val="Default"/>
    <w:next w:val="Default"/>
    <w:semiHidden/>
    <w:qFormat/>
    <w:pPr>
      <w:spacing w:line="293" w:lineRule="atLeast"/>
    </w:pPr>
    <w:rPr>
      <w:rFonts w:ascii="隶书" w:eastAsia="隶书" w:cs="Times New Roman"/>
      <w:color w:val="auto"/>
    </w:rPr>
  </w:style>
  <w:style w:type="paragraph" w:customStyle="1" w:styleId="xl24">
    <w:name w:val="xl24"/>
    <w:basedOn w:val="a"/>
    <w:semiHidden/>
    <w:qFormat/>
    <w:pPr>
      <w:spacing w:before="100" w:beforeAutospacing="1" w:after="100" w:afterAutospacing="1"/>
    </w:pPr>
    <w:rPr>
      <w:rFonts w:ascii="Arial Unicode MS" w:eastAsia="Arial Unicode MS" w:hAnsi="Arial Unicode MS" w:cs="Arial Unicode MS"/>
      <w:sz w:val="20"/>
      <w:szCs w:val="20"/>
    </w:rPr>
  </w:style>
  <w:style w:type="paragraph" w:customStyle="1" w:styleId="affffffffffffff6">
    <w:name w:val="右"/>
    <w:basedOn w:val="a"/>
    <w:semiHidden/>
    <w:qFormat/>
    <w:pPr>
      <w:spacing w:beforeAutospacing="1" w:after="100" w:afterAutospacing="1" w:line="360" w:lineRule="auto"/>
      <w:jc w:val="right"/>
    </w:pPr>
    <w:rPr>
      <w:rFonts w:eastAsia="楷体_GB2312"/>
      <w:szCs w:val="20"/>
    </w:rPr>
  </w:style>
  <w:style w:type="paragraph" w:customStyle="1" w:styleId="CM63">
    <w:name w:val="CM63"/>
    <w:basedOn w:val="Default"/>
    <w:next w:val="Default"/>
    <w:uiPriority w:val="99"/>
    <w:semiHidden/>
    <w:qFormat/>
    <w:pPr>
      <w:spacing w:line="291" w:lineRule="atLeast"/>
    </w:pPr>
    <w:rPr>
      <w:rFonts w:ascii="隶书" w:eastAsia="隶书" w:cs="Times New Roman"/>
      <w:color w:val="auto"/>
    </w:rPr>
  </w:style>
  <w:style w:type="paragraph" w:customStyle="1" w:styleId="xl98">
    <w:name w:val="xl98"/>
    <w:basedOn w:val="a"/>
    <w:semiHidden/>
    <w:qFormat/>
    <w:pPr>
      <w:spacing w:before="100" w:beforeAutospacing="1" w:after="100" w:afterAutospacing="1"/>
      <w:jc w:val="center"/>
    </w:pPr>
    <w:rPr>
      <w:rFonts w:ascii="Calibri" w:hAnsi="Calibri"/>
      <w:color w:val="000000"/>
    </w:rPr>
  </w:style>
  <w:style w:type="paragraph" w:customStyle="1" w:styleId="xl133">
    <w:name w:val="xl133"/>
    <w:basedOn w:val="a"/>
    <w:semiHidden/>
    <w:qFormat/>
    <w:pPr>
      <w:pBdr>
        <w:top w:val="single" w:sz="8" w:space="0" w:color="auto"/>
        <w:bottom w:val="single" w:sz="8" w:space="0" w:color="auto"/>
      </w:pBdr>
      <w:spacing w:before="100" w:beforeAutospacing="1" w:after="100" w:afterAutospacing="1"/>
      <w:jc w:val="center"/>
    </w:pPr>
    <w:rPr>
      <w:rFonts w:ascii="楷体_GB2312" w:eastAsia="楷体_GB2312"/>
      <w:b/>
      <w:bCs/>
      <w:color w:val="000000"/>
      <w:sz w:val="18"/>
      <w:szCs w:val="18"/>
    </w:rPr>
  </w:style>
  <w:style w:type="paragraph" w:customStyle="1" w:styleId="133">
    <w:name w:val="纯文本13"/>
    <w:basedOn w:val="a"/>
    <w:uiPriority w:val="99"/>
    <w:semiHidden/>
    <w:qFormat/>
    <w:pPr>
      <w:adjustRightInd w:val="0"/>
      <w:spacing w:line="360" w:lineRule="auto"/>
      <w:ind w:firstLine="567"/>
      <w:textAlignment w:val="baseline"/>
    </w:pPr>
    <w:rPr>
      <w:rFonts w:eastAsia="楷体_GB2312" w:hAnsi="Courier New"/>
      <w:sz w:val="28"/>
      <w:szCs w:val="20"/>
    </w:rPr>
  </w:style>
  <w:style w:type="paragraph" w:customStyle="1" w:styleId="119">
    <w:name w:val="正文首行缩进11"/>
    <w:basedOn w:val="a7"/>
    <w:semiHidden/>
    <w:qFormat/>
    <w:pPr>
      <w:adjustRightInd w:val="0"/>
      <w:spacing w:after="0" w:line="312" w:lineRule="auto"/>
      <w:ind w:firstLine="567"/>
    </w:pPr>
    <w:rPr>
      <w:rFonts w:ascii="宋体" w:hAnsi="宋体" w:cs="宋体"/>
      <w:sz w:val="28"/>
    </w:rPr>
  </w:style>
  <w:style w:type="paragraph" w:customStyle="1" w:styleId="CharChar1Char10">
    <w:name w:val="Char Char1 Char10"/>
    <w:basedOn w:val="a"/>
    <w:semiHidden/>
    <w:qFormat/>
    <w:pPr>
      <w:spacing w:after="160" w:line="240" w:lineRule="exact"/>
    </w:pPr>
    <w:rPr>
      <w:rFonts w:ascii="Verdana" w:eastAsia="Times New Roman" w:hAnsi="Verdana"/>
      <w:sz w:val="20"/>
      <w:szCs w:val="20"/>
      <w:lang w:eastAsia="en-US"/>
    </w:rPr>
  </w:style>
  <w:style w:type="paragraph" w:customStyle="1" w:styleId="CM30">
    <w:name w:val="CM30"/>
    <w:basedOn w:val="Default"/>
    <w:next w:val="Default"/>
    <w:uiPriority w:val="99"/>
    <w:semiHidden/>
    <w:qFormat/>
    <w:rPr>
      <w:rFonts w:ascii="隶书" w:eastAsia="隶书" w:cs="Times New Roman"/>
      <w:color w:val="auto"/>
    </w:rPr>
  </w:style>
  <w:style w:type="paragraph" w:customStyle="1" w:styleId="Char110">
    <w:name w:val="Char11"/>
    <w:basedOn w:val="a"/>
    <w:semiHidden/>
    <w:qFormat/>
    <w:rPr>
      <w:rFonts w:ascii="Tahoma" w:hAnsi="Tahoma"/>
      <w:szCs w:val="20"/>
    </w:rPr>
  </w:style>
  <w:style w:type="paragraph" w:customStyle="1" w:styleId="Level3">
    <w:name w:val="Level 3"/>
    <w:basedOn w:val="a"/>
    <w:uiPriority w:val="99"/>
    <w:semiHidden/>
    <w:qFormat/>
    <w:pPr>
      <w:tabs>
        <w:tab w:val="left" w:pos="1361"/>
      </w:tabs>
      <w:spacing w:after="140" w:line="288" w:lineRule="auto"/>
      <w:ind w:left="1361" w:hanging="681"/>
    </w:pPr>
    <w:rPr>
      <w:rFonts w:ascii="Arial" w:hAnsi="Arial"/>
      <w:kern w:val="20"/>
      <w:sz w:val="20"/>
      <w:szCs w:val="28"/>
      <w:lang w:eastAsia="en-US"/>
    </w:rPr>
  </w:style>
  <w:style w:type="paragraph" w:customStyle="1" w:styleId="PlainText1">
    <w:name w:val="Plain Text1"/>
    <w:basedOn w:val="a"/>
    <w:semiHidden/>
    <w:qFormat/>
    <w:pPr>
      <w:adjustRightInd w:val="0"/>
      <w:textAlignment w:val="baseline"/>
    </w:pPr>
    <w:rPr>
      <w:rFonts w:hAnsi="Courier New"/>
      <w:szCs w:val="20"/>
    </w:rPr>
  </w:style>
  <w:style w:type="paragraph" w:customStyle="1" w:styleId="CharChar1CharCharCharCharCharCharChar1">
    <w:name w:val="Char Char1 Char Char Char Char Char Char Char1"/>
    <w:basedOn w:val="a"/>
    <w:semiHidden/>
    <w:qFormat/>
    <w:pPr>
      <w:adjustRightInd w:val="0"/>
      <w:spacing w:line="360" w:lineRule="auto"/>
      <w:ind w:firstLineChars="200" w:firstLine="200"/>
      <w:textAlignment w:val="baseline"/>
    </w:pPr>
    <w:rPr>
      <w:rFonts w:eastAsia="昆仑仿宋"/>
    </w:rPr>
  </w:style>
  <w:style w:type="paragraph" w:customStyle="1" w:styleId="902">
    <w:name w:val="表左小五 + 字符缩放: 90%"/>
    <w:basedOn w:val="a"/>
    <w:semiHidden/>
    <w:qFormat/>
    <w:pPr>
      <w:snapToGrid w:val="0"/>
    </w:pPr>
    <w:rPr>
      <w:spacing w:val="-8"/>
      <w:w w:val="90"/>
      <w:sz w:val="18"/>
      <w:szCs w:val="28"/>
    </w:rPr>
  </w:style>
  <w:style w:type="paragraph" w:customStyle="1" w:styleId="CharChar3CharChar5">
    <w:name w:val="Char Char3 Char Char5"/>
    <w:basedOn w:val="a"/>
    <w:semiHidden/>
    <w:qFormat/>
    <w:pPr>
      <w:spacing w:after="160" w:line="240" w:lineRule="exact"/>
    </w:pPr>
    <w:rPr>
      <w:rFonts w:ascii="Verdana" w:hAnsi="Verdana" w:cs="Verdana"/>
      <w:sz w:val="20"/>
      <w:szCs w:val="20"/>
      <w:lang w:eastAsia="en-US"/>
    </w:rPr>
  </w:style>
  <w:style w:type="paragraph" w:customStyle="1" w:styleId="CM77">
    <w:name w:val="CM77"/>
    <w:basedOn w:val="Default"/>
    <w:next w:val="Default"/>
    <w:uiPriority w:val="99"/>
    <w:semiHidden/>
    <w:qFormat/>
    <w:rPr>
      <w:rFonts w:ascii="隶书" w:eastAsia="隶书" w:cs="Times New Roman"/>
      <w:color w:val="auto"/>
    </w:rPr>
  </w:style>
  <w:style w:type="paragraph" w:customStyle="1" w:styleId="affffffffffffff7">
    <w:name w:val="表右小五"/>
    <w:basedOn w:val="affffffffffffff8"/>
    <w:semiHidden/>
    <w:qFormat/>
    <w:pPr>
      <w:jc w:val="right"/>
    </w:pPr>
  </w:style>
  <w:style w:type="paragraph" w:customStyle="1" w:styleId="affffffffffffff8">
    <w:name w:val="表左小五"/>
    <w:basedOn w:val="a"/>
    <w:semiHidden/>
    <w:qFormat/>
    <w:pPr>
      <w:snapToGrid w:val="0"/>
    </w:pPr>
    <w:rPr>
      <w:sz w:val="18"/>
      <w:szCs w:val="18"/>
    </w:rPr>
  </w:style>
  <w:style w:type="paragraph" w:customStyle="1" w:styleId="BodyText22">
    <w:name w:val="Body Text 22"/>
    <w:basedOn w:val="a"/>
    <w:semiHidden/>
    <w:qFormat/>
    <w:pPr>
      <w:adjustRightInd w:val="0"/>
      <w:spacing w:line="440" w:lineRule="atLeast"/>
      <w:ind w:firstLine="480"/>
      <w:textAlignment w:val="baseline"/>
    </w:pPr>
    <w:rPr>
      <w:rFonts w:eastAsia="仿宋_GB2312"/>
      <w:szCs w:val="20"/>
    </w:rPr>
  </w:style>
  <w:style w:type="paragraph" w:customStyle="1" w:styleId="154">
    <w:name w:val="样式15"/>
    <w:basedOn w:val="a"/>
    <w:semiHidden/>
    <w:qFormat/>
    <w:pPr>
      <w:spacing w:line="360" w:lineRule="auto"/>
      <w:outlineLvl w:val="0"/>
    </w:pPr>
    <w:rPr>
      <w:b/>
      <w:color w:val="000000"/>
      <w:sz w:val="32"/>
      <w:szCs w:val="20"/>
    </w:rPr>
  </w:style>
  <w:style w:type="paragraph" w:customStyle="1" w:styleId="Web">
    <w:name w:val="普通 (Web)"/>
    <w:basedOn w:val="a"/>
    <w:semiHidden/>
    <w:qFormat/>
    <w:pPr>
      <w:spacing w:before="100" w:after="100"/>
    </w:pPr>
    <w:rPr>
      <w:szCs w:val="20"/>
    </w:rPr>
  </w:style>
  <w:style w:type="paragraph" w:customStyle="1" w:styleId="CharCharChar3CharCharCharCharCharCharCharCharCharCharCharCharChar">
    <w:name w:val="Char Char Char3 Char Char Char Char Char Char Char Char Char Char Char Char Char"/>
    <w:basedOn w:val="a"/>
    <w:semiHidden/>
    <w:qFormat/>
    <w:rPr>
      <w:rFonts w:ascii="Tahoma" w:hAnsi="Tahoma"/>
      <w:szCs w:val="20"/>
    </w:rPr>
  </w:style>
  <w:style w:type="character" w:customStyle="1" w:styleId="Charffffb">
    <w:name w:val="报告正文 Char"/>
    <w:link w:val="affffffffffffff9"/>
    <w:semiHidden/>
    <w:qFormat/>
    <w:rPr>
      <w:b/>
      <w:bCs/>
      <w:kern w:val="2"/>
      <w:sz w:val="21"/>
      <w:szCs w:val="21"/>
    </w:rPr>
  </w:style>
  <w:style w:type="paragraph" w:customStyle="1" w:styleId="affffffffffffff9">
    <w:name w:val="报告正文"/>
    <w:basedOn w:val="a"/>
    <w:link w:val="Charffffb"/>
    <w:semiHidden/>
    <w:qFormat/>
    <w:pPr>
      <w:ind w:firstLineChars="200" w:firstLine="482"/>
    </w:pPr>
    <w:rPr>
      <w:b/>
      <w:bCs/>
    </w:rPr>
  </w:style>
  <w:style w:type="paragraph" w:customStyle="1" w:styleId="001TimesNewRoman0">
    <w:name w:val="样式 样式 正文001 + Times New Roman + (符号) 宋体"/>
    <w:basedOn w:val="001TimesNewRoman"/>
    <w:semiHidden/>
    <w:qFormat/>
  </w:style>
  <w:style w:type="paragraph" w:customStyle="1" w:styleId="CharChar30CharCharCharCharCharCharCharCharCharCharCharChar1CharCharCharCharCharCharCharChar7">
    <w:name w:val="Char Char30 Char Char Char Char Char Char Char Char Char Char Char Char1 Char Char Char Char Char Char Char Char7"/>
    <w:basedOn w:val="a"/>
    <w:semiHidden/>
    <w:qFormat/>
    <w:pPr>
      <w:spacing w:after="160" w:line="240" w:lineRule="exact"/>
    </w:pPr>
    <w:rPr>
      <w:rFonts w:ascii="Verdana" w:eastAsia="Times New Roman" w:hAnsi="Verdana"/>
      <w:sz w:val="20"/>
      <w:szCs w:val="20"/>
      <w:lang w:eastAsia="en-US"/>
    </w:rPr>
  </w:style>
  <w:style w:type="paragraph" w:customStyle="1" w:styleId="xl55">
    <w:name w:val="xl55"/>
    <w:basedOn w:val="a"/>
    <w:semiHidden/>
    <w:qFormat/>
    <w:pPr>
      <w:spacing w:before="100" w:beforeAutospacing="1" w:after="100" w:afterAutospacing="1"/>
      <w:jc w:val="right"/>
    </w:pPr>
    <w:rPr>
      <w:sz w:val="20"/>
      <w:szCs w:val="20"/>
    </w:rPr>
  </w:style>
  <w:style w:type="paragraph" w:customStyle="1" w:styleId="affffffffffffffa">
    <w:name w:val="小四超紧密段落"/>
    <w:basedOn w:val="a"/>
    <w:semiHidden/>
    <w:qFormat/>
    <w:pPr>
      <w:topLinePunct/>
      <w:spacing w:line="400" w:lineRule="exact"/>
      <w:ind w:firstLine="480"/>
    </w:pPr>
    <w:rPr>
      <w:szCs w:val="20"/>
    </w:rPr>
  </w:style>
  <w:style w:type="paragraph" w:customStyle="1" w:styleId="affffffffffffffb">
    <w:name w:val="È±Ê¡ÎÄ±¾"/>
    <w:basedOn w:val="a"/>
    <w:semiHidden/>
    <w:qFormat/>
    <w:pPr>
      <w:tabs>
        <w:tab w:val="left" w:pos="595"/>
        <w:tab w:val="center" w:pos="2245"/>
        <w:tab w:val="center" w:pos="6497"/>
      </w:tabs>
      <w:overflowPunct w:val="0"/>
      <w:autoSpaceDE w:val="0"/>
      <w:autoSpaceDN w:val="0"/>
      <w:adjustRightInd w:val="0"/>
      <w:spacing w:after="140" w:line="360" w:lineRule="auto"/>
      <w:textAlignment w:val="baseline"/>
    </w:pPr>
    <w:rPr>
      <w:sz w:val="28"/>
      <w:szCs w:val="20"/>
    </w:rPr>
  </w:style>
  <w:style w:type="paragraph" w:customStyle="1" w:styleId="CharChar4CharChar">
    <w:name w:val="Char Char4 Char Char"/>
    <w:basedOn w:val="a"/>
    <w:semiHidden/>
    <w:qFormat/>
    <w:pPr>
      <w:tabs>
        <w:tab w:val="left" w:pos="360"/>
      </w:tabs>
    </w:pPr>
  </w:style>
  <w:style w:type="paragraph" w:customStyle="1" w:styleId="2210">
    <w:name w:val="正文文本缩进 221"/>
    <w:basedOn w:val="a"/>
    <w:semiHidden/>
    <w:qFormat/>
    <w:pPr>
      <w:adjustRightInd w:val="0"/>
      <w:spacing w:line="300" w:lineRule="auto"/>
      <w:ind w:firstLine="540"/>
      <w:textAlignment w:val="baseline"/>
    </w:pPr>
    <w:rPr>
      <w:rFonts w:ascii="仿宋_GB2312" w:eastAsia="仿宋_GB2312"/>
      <w:szCs w:val="20"/>
    </w:rPr>
  </w:style>
  <w:style w:type="paragraph" w:customStyle="1" w:styleId="1fffa">
    <w:name w:val="样式 正文1 + (符号) 宋体"/>
    <w:basedOn w:val="a"/>
    <w:semiHidden/>
    <w:qFormat/>
    <w:pPr>
      <w:spacing w:line="500" w:lineRule="exact"/>
      <w:ind w:firstLineChars="200" w:firstLine="480"/>
    </w:pPr>
    <w:rPr>
      <w:color w:val="000000"/>
      <w:szCs w:val="20"/>
    </w:rPr>
  </w:style>
  <w:style w:type="paragraph" w:customStyle="1" w:styleId="CM23">
    <w:name w:val="CM23"/>
    <w:basedOn w:val="Default"/>
    <w:next w:val="Default"/>
    <w:uiPriority w:val="99"/>
    <w:semiHidden/>
    <w:qFormat/>
    <w:pPr>
      <w:spacing w:line="291" w:lineRule="atLeast"/>
    </w:pPr>
    <w:rPr>
      <w:rFonts w:ascii="隶书" w:eastAsia="隶书" w:cs="Times New Roman"/>
      <w:color w:val="auto"/>
    </w:rPr>
  </w:style>
  <w:style w:type="paragraph" w:customStyle="1" w:styleId="CM6">
    <w:name w:val="CM6"/>
    <w:basedOn w:val="Default"/>
    <w:next w:val="Default"/>
    <w:semiHidden/>
    <w:qFormat/>
    <w:pPr>
      <w:spacing w:line="411" w:lineRule="atLeast"/>
    </w:pPr>
    <w:rPr>
      <w:rFonts w:ascii="隶书" w:eastAsia="隶书" w:cs="Times New Roman"/>
      <w:color w:val="auto"/>
    </w:rPr>
  </w:style>
  <w:style w:type="paragraph" w:customStyle="1" w:styleId="xl627">
    <w:name w:val="xl627"/>
    <w:basedOn w:val="a"/>
    <w:semiHidden/>
    <w:qFormat/>
    <w:pPr>
      <w:spacing w:before="100" w:beforeAutospacing="1" w:after="100" w:afterAutospacing="1"/>
    </w:pPr>
    <w:rPr>
      <w:color w:val="000000"/>
      <w:sz w:val="15"/>
      <w:szCs w:val="15"/>
    </w:rPr>
  </w:style>
  <w:style w:type="paragraph" w:customStyle="1" w:styleId="affffffffffffffc">
    <w:name w:val="附注－标题五"/>
    <w:basedOn w:val="a"/>
    <w:next w:val="afffff3"/>
    <w:semiHidden/>
    <w:qFormat/>
    <w:pPr>
      <w:numPr>
        <w:numId w:val="15"/>
      </w:numPr>
      <w:tabs>
        <w:tab w:val="left" w:pos="720"/>
        <w:tab w:val="left" w:pos="1140"/>
      </w:tabs>
      <w:adjustRightInd w:val="0"/>
      <w:snapToGrid w:val="0"/>
      <w:spacing w:afterLines="50" w:line="360" w:lineRule="auto"/>
      <w:ind w:left="840" w:hanging="360"/>
    </w:pPr>
    <w:rPr>
      <w:rFonts w:ascii="Arial Narrow" w:hAnsi="Arial Narrow"/>
      <w:b/>
    </w:rPr>
  </w:style>
  <w:style w:type="paragraph" w:customStyle="1" w:styleId="BalloonText1">
    <w:name w:val="Balloon Text1"/>
    <w:basedOn w:val="a"/>
    <w:semiHidden/>
    <w:qFormat/>
    <w:pPr>
      <w:autoSpaceDE w:val="0"/>
      <w:autoSpaceDN w:val="0"/>
      <w:adjustRightInd w:val="0"/>
    </w:pPr>
    <w:rPr>
      <w:rFonts w:ascii="Tahoma" w:eastAsia="黑体" w:hAnsi="Tahoma" w:cs="Tahoma"/>
      <w:sz w:val="16"/>
      <w:szCs w:val="16"/>
    </w:rPr>
  </w:style>
  <w:style w:type="paragraph" w:customStyle="1" w:styleId="1fffb">
    <w:name w:val="表注1"/>
    <w:basedOn w:val="a"/>
    <w:semiHidden/>
    <w:qFormat/>
    <w:rPr>
      <w:szCs w:val="20"/>
    </w:rPr>
  </w:style>
  <w:style w:type="paragraph" w:customStyle="1" w:styleId="affffffffffffffd">
    <w:name w:val="（空格行"/>
    <w:basedOn w:val="a"/>
    <w:semiHidden/>
    <w:qFormat/>
    <w:pPr>
      <w:ind w:firstLineChars="200" w:firstLine="480"/>
    </w:pPr>
    <w:rPr>
      <w:rFonts w:eastAsia="仿宋_GB2312"/>
    </w:rPr>
  </w:style>
  <w:style w:type="paragraph" w:customStyle="1" w:styleId="CharCharCharCharCharCharChar10">
    <w:name w:val="Char Char Char Char Char Char Char10"/>
    <w:basedOn w:val="a"/>
    <w:semiHidden/>
    <w:qFormat/>
    <w:pPr>
      <w:autoSpaceDE w:val="0"/>
      <w:autoSpaceDN w:val="0"/>
      <w:adjustRightInd w:val="0"/>
    </w:pPr>
  </w:style>
  <w:style w:type="paragraph" w:customStyle="1" w:styleId="xl46">
    <w:name w:val="xl46"/>
    <w:basedOn w:val="a"/>
    <w:semiHidden/>
    <w:qFormat/>
    <w:pPr>
      <w:pBdr>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CM21">
    <w:name w:val="CM21"/>
    <w:basedOn w:val="Default"/>
    <w:next w:val="Default"/>
    <w:uiPriority w:val="99"/>
    <w:semiHidden/>
    <w:qFormat/>
    <w:pPr>
      <w:spacing w:line="468" w:lineRule="atLeast"/>
    </w:pPr>
    <w:rPr>
      <w:rFonts w:ascii="隶书" w:eastAsia="隶书" w:cs="Times New Roman"/>
      <w:color w:val="auto"/>
    </w:rPr>
  </w:style>
  <w:style w:type="paragraph" w:customStyle="1" w:styleId="CharCharCharCharCharCharCharCharChar1">
    <w:name w:val="Char Char Char Char Char Char Char Char Char1"/>
    <w:basedOn w:val="a"/>
    <w:semiHidden/>
    <w:qFormat/>
  </w:style>
  <w:style w:type="paragraph" w:customStyle="1" w:styleId="2fff0">
    <w:name w:val="题目2"/>
    <w:basedOn w:val="a"/>
    <w:next w:val="2fff1"/>
    <w:semiHidden/>
    <w:qFormat/>
    <w:pPr>
      <w:snapToGrid w:val="0"/>
      <w:spacing w:before="600" w:line="600" w:lineRule="atLeast"/>
    </w:pPr>
    <w:rPr>
      <w:b/>
      <w:sz w:val="28"/>
      <w:szCs w:val="20"/>
    </w:rPr>
  </w:style>
  <w:style w:type="paragraph" w:customStyle="1" w:styleId="2fff1">
    <w:name w:val="正文2"/>
    <w:basedOn w:val="a"/>
    <w:semiHidden/>
    <w:qFormat/>
    <w:pPr>
      <w:spacing w:line="400" w:lineRule="atLeast"/>
    </w:pPr>
    <w:rPr>
      <w:szCs w:val="20"/>
    </w:rPr>
  </w:style>
  <w:style w:type="paragraph" w:customStyle="1" w:styleId="xl77">
    <w:name w:val="xl77"/>
    <w:basedOn w:val="a"/>
    <w:uiPriority w:val="99"/>
    <w:semiHidden/>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_GB2312" w:eastAsia="仿宋_GB2312"/>
      <w:sz w:val="20"/>
      <w:szCs w:val="20"/>
    </w:rPr>
  </w:style>
  <w:style w:type="paragraph" w:customStyle="1" w:styleId="CharChar80">
    <w:name w:val="字元 Char Char 字元8"/>
    <w:basedOn w:val="a"/>
    <w:semiHidden/>
    <w:qFormat/>
    <w:pPr>
      <w:autoSpaceDE w:val="0"/>
      <w:autoSpaceDN w:val="0"/>
      <w:adjustRightInd w:val="0"/>
      <w:spacing w:beforeLines="50"/>
    </w:pPr>
  </w:style>
  <w:style w:type="paragraph" w:customStyle="1" w:styleId="143">
    <w:name w:val="纯文本14"/>
    <w:basedOn w:val="a"/>
    <w:semiHidden/>
    <w:qFormat/>
    <w:pPr>
      <w:adjustRightInd w:val="0"/>
      <w:spacing w:line="360" w:lineRule="auto"/>
      <w:ind w:firstLine="567"/>
      <w:textAlignment w:val="baseline"/>
    </w:pPr>
    <w:rPr>
      <w:rFonts w:eastAsia="楷体_GB2312" w:hAnsi="Courier New"/>
      <w:sz w:val="28"/>
      <w:szCs w:val="20"/>
    </w:rPr>
  </w:style>
  <w:style w:type="paragraph" w:customStyle="1" w:styleId="Char1CharCharChar7">
    <w:name w:val="Char1 Char Char Char7"/>
    <w:basedOn w:val="a"/>
    <w:semiHidden/>
    <w:qFormat/>
    <w:pPr>
      <w:autoSpaceDE w:val="0"/>
      <w:autoSpaceDN w:val="0"/>
      <w:adjustRightInd w:val="0"/>
      <w:spacing w:after="160" w:line="240" w:lineRule="exact"/>
    </w:pPr>
    <w:rPr>
      <w:rFonts w:ascii="Verdana" w:eastAsia="Times New Roman" w:hAnsi="Verdana"/>
      <w:sz w:val="20"/>
      <w:szCs w:val="20"/>
      <w:lang w:eastAsia="en-US"/>
    </w:rPr>
  </w:style>
  <w:style w:type="paragraph" w:customStyle="1" w:styleId="223">
    <w:name w:val="正文文本缩进 22"/>
    <w:basedOn w:val="a"/>
    <w:uiPriority w:val="99"/>
    <w:semiHidden/>
    <w:qFormat/>
    <w:pPr>
      <w:adjustRightInd w:val="0"/>
      <w:spacing w:line="300" w:lineRule="auto"/>
      <w:ind w:firstLine="540"/>
      <w:textAlignment w:val="baseline"/>
    </w:pPr>
    <w:rPr>
      <w:rFonts w:ascii="仿宋_GB2312" w:eastAsia="仿宋_GB2312"/>
      <w:szCs w:val="20"/>
    </w:rPr>
  </w:style>
  <w:style w:type="paragraph" w:customStyle="1" w:styleId="xu5">
    <w:name w:val="xu扉工程号"/>
    <w:basedOn w:val="a"/>
    <w:semiHidden/>
    <w:qFormat/>
    <w:pPr>
      <w:jc w:val="center"/>
    </w:pPr>
    <w:rPr>
      <w:sz w:val="36"/>
      <w:szCs w:val="36"/>
    </w:rPr>
  </w:style>
  <w:style w:type="paragraph" w:customStyle="1" w:styleId="CM38">
    <w:name w:val="CM38"/>
    <w:basedOn w:val="Default"/>
    <w:next w:val="Default"/>
    <w:semiHidden/>
    <w:qFormat/>
    <w:rPr>
      <w:rFonts w:ascii="隶书" w:eastAsia="隶书" w:cs="Times New Roman"/>
      <w:color w:val="auto"/>
    </w:rPr>
  </w:style>
  <w:style w:type="paragraph" w:customStyle="1" w:styleId="CharCharCharCharCharCharCharCharCharCharCharCharChar5">
    <w:name w:val="Char Char Char Char Char Char Char Char Char Char Char Char Char5"/>
    <w:basedOn w:val="a"/>
    <w:semiHidden/>
    <w:qFormat/>
    <w:pPr>
      <w:autoSpaceDE w:val="0"/>
      <w:autoSpaceDN w:val="0"/>
      <w:adjustRightInd w:val="0"/>
      <w:spacing w:after="160" w:line="240" w:lineRule="exact"/>
    </w:pPr>
    <w:rPr>
      <w:rFonts w:ascii="Verdana" w:eastAsia="Times New Roman" w:hAnsi="Verdana"/>
      <w:sz w:val="20"/>
      <w:szCs w:val="20"/>
      <w:lang w:eastAsia="en-US"/>
    </w:rPr>
  </w:style>
  <w:style w:type="paragraph" w:customStyle="1" w:styleId="xl86">
    <w:name w:val="xl86"/>
    <w:basedOn w:val="a"/>
    <w:semiHidden/>
    <w:qFormat/>
    <w:pPr>
      <w:pBdr>
        <w:left w:val="single" w:sz="4" w:space="0" w:color="auto"/>
        <w:bottom w:val="single" w:sz="4" w:space="0" w:color="auto"/>
        <w:right w:val="single" w:sz="4" w:space="0" w:color="auto"/>
      </w:pBdr>
      <w:spacing w:before="100" w:beforeAutospacing="1" w:after="100" w:afterAutospacing="1"/>
    </w:pPr>
    <w:rPr>
      <w:rFonts w:ascii="仿宋_GB2312" w:eastAsia="仿宋_GB2312"/>
      <w:b/>
      <w:bCs/>
      <w:sz w:val="20"/>
      <w:szCs w:val="20"/>
    </w:rPr>
  </w:style>
  <w:style w:type="paragraph" w:customStyle="1" w:styleId="charffffc">
    <w:name w:val="char"/>
    <w:basedOn w:val="a"/>
    <w:semiHidden/>
    <w:qFormat/>
    <w:pPr>
      <w:spacing w:line="360" w:lineRule="exact"/>
      <w:jc w:val="center"/>
    </w:pPr>
    <w:rPr>
      <w:rFonts w:ascii="仿宋_GB2312" w:eastAsia="仿宋_GB2312"/>
      <w:lang w:val="zh-CN"/>
    </w:rPr>
  </w:style>
  <w:style w:type="paragraph" w:customStyle="1" w:styleId="xl628">
    <w:name w:val="xl628"/>
    <w:basedOn w:val="a"/>
    <w:semiHidden/>
    <w:qFormat/>
    <w:pPr>
      <w:spacing w:before="100" w:beforeAutospacing="1" w:after="100" w:afterAutospacing="1"/>
      <w:jc w:val="center"/>
    </w:pPr>
    <w:rPr>
      <w:color w:val="000000"/>
      <w:sz w:val="15"/>
      <w:szCs w:val="15"/>
    </w:rPr>
  </w:style>
  <w:style w:type="paragraph" w:customStyle="1" w:styleId="aCharCharCharCharChar">
    <w:name w:val="(a正文 Char Char Char Char Char"/>
    <w:basedOn w:val="a"/>
    <w:semiHidden/>
    <w:qFormat/>
    <w:pPr>
      <w:spacing w:line="440" w:lineRule="exact"/>
      <w:ind w:firstLineChars="200" w:firstLine="200"/>
    </w:pPr>
    <w:rPr>
      <w:rFonts w:eastAsia="仿宋_GB2312"/>
      <w:color w:val="000000"/>
    </w:rPr>
  </w:style>
  <w:style w:type="paragraph" w:customStyle="1" w:styleId="CharChar311">
    <w:name w:val="Char Char31"/>
    <w:basedOn w:val="a"/>
    <w:semiHidden/>
    <w:qFormat/>
    <w:pPr>
      <w:autoSpaceDE w:val="0"/>
      <w:autoSpaceDN w:val="0"/>
      <w:adjustRightInd w:val="0"/>
      <w:spacing w:after="160" w:line="240" w:lineRule="exact"/>
    </w:pPr>
    <w:rPr>
      <w:rFonts w:ascii="Verdana" w:eastAsia="Times New Roman" w:hAnsi="Verdana" w:cs="Arial"/>
      <w:sz w:val="22"/>
      <w:szCs w:val="20"/>
      <w:lang w:eastAsia="en-US"/>
    </w:rPr>
  </w:style>
  <w:style w:type="paragraph" w:customStyle="1" w:styleId="xl30">
    <w:name w:val="xl30"/>
    <w:basedOn w:val="a"/>
    <w:semiHidden/>
    <w:qFormat/>
    <w:pPr>
      <w:spacing w:before="100" w:beforeAutospacing="1" w:after="100" w:afterAutospacing="1"/>
      <w:jc w:val="center"/>
    </w:pPr>
    <w:rPr>
      <w:rFonts w:eastAsia="Arial Unicode MS"/>
      <w:sz w:val="20"/>
      <w:szCs w:val="20"/>
    </w:rPr>
  </w:style>
  <w:style w:type="paragraph" w:customStyle="1" w:styleId="CharChar1CharChar1CharCharCharChar1">
    <w:name w:val="Char Char1 Char Char1 Char Char Char Char1"/>
    <w:basedOn w:val="a"/>
    <w:semiHidden/>
    <w:qFormat/>
    <w:rPr>
      <w:rFonts w:ascii="Tahoma" w:hAnsi="Tahoma"/>
      <w:szCs w:val="20"/>
    </w:rPr>
  </w:style>
  <w:style w:type="paragraph" w:customStyle="1" w:styleId="11a">
    <w:name w:val="修订11"/>
    <w:uiPriority w:val="99"/>
    <w:semiHidden/>
    <w:qFormat/>
    <w:rPr>
      <w:sz w:val="24"/>
      <w:szCs w:val="24"/>
    </w:rPr>
  </w:style>
  <w:style w:type="paragraph" w:customStyle="1" w:styleId="CharChar1CharCharCharCharCharCharCharCharCharCharCharCharChar1CharCharCharCharCharCharCharCharCharCharCharCharCharChar1CharCharCharCharCharCharCharCharCharCharCharChar1CharCharCharCharCharChar12">
    <w:name w:val="Char Char1 Char Char Char Char Char Char Char Char Char Char Char Char Char1 Char Char Char Char Char Char Char Char Char Char Char Char Char Char1 Char Char Char Char Char Char Char Char Char Char Char Char1 Char Char Char Char Char Char12"/>
    <w:basedOn w:val="a"/>
    <w:semiHidden/>
    <w:qFormat/>
    <w:pPr>
      <w:autoSpaceDE w:val="0"/>
      <w:autoSpaceDN w:val="0"/>
      <w:adjustRightInd w:val="0"/>
      <w:spacing w:after="160" w:line="240" w:lineRule="exact"/>
    </w:pPr>
    <w:rPr>
      <w:rFonts w:ascii="Verdana" w:eastAsia="Times New Roman" w:hAnsi="Verdana"/>
      <w:sz w:val="20"/>
      <w:szCs w:val="20"/>
      <w:lang w:eastAsia="en-US"/>
    </w:rPr>
  </w:style>
  <w:style w:type="paragraph" w:customStyle="1" w:styleId="DefaultText">
    <w:name w:val="Default Text"/>
    <w:basedOn w:val="a"/>
    <w:semiHidden/>
    <w:qFormat/>
    <w:pPr>
      <w:tabs>
        <w:tab w:val="left" w:pos="595"/>
      </w:tabs>
      <w:overflowPunct w:val="0"/>
      <w:autoSpaceDE w:val="0"/>
      <w:autoSpaceDN w:val="0"/>
      <w:adjustRightInd w:val="0"/>
      <w:spacing w:before="140"/>
      <w:textAlignment w:val="baseline"/>
    </w:pPr>
    <w:rPr>
      <w:sz w:val="28"/>
      <w:szCs w:val="20"/>
    </w:rPr>
  </w:style>
  <w:style w:type="paragraph" w:customStyle="1" w:styleId="CharChar4Char">
    <w:name w:val="Char Char4 Char"/>
    <w:basedOn w:val="a"/>
    <w:semiHidden/>
    <w:qFormat/>
    <w:pPr>
      <w:spacing w:after="160" w:line="240" w:lineRule="exact"/>
    </w:pPr>
    <w:rPr>
      <w:rFonts w:ascii="Verdana" w:eastAsia="Times New Roman" w:hAnsi="Verdana"/>
      <w:sz w:val="20"/>
      <w:szCs w:val="20"/>
      <w:lang w:eastAsia="en-US"/>
    </w:rPr>
  </w:style>
  <w:style w:type="paragraph" w:customStyle="1" w:styleId="Affffffffffffffe">
    <w:name w:val="样式A"/>
    <w:basedOn w:val="1fffc"/>
    <w:uiPriority w:val="99"/>
    <w:semiHidden/>
    <w:qFormat/>
    <w:pPr>
      <w:numPr>
        <w:numId w:val="16"/>
      </w:numPr>
      <w:tabs>
        <w:tab w:val="clear" w:pos="907"/>
        <w:tab w:val="left" w:pos="0"/>
        <w:tab w:val="left" w:pos="1980"/>
        <w:tab w:val="left" w:pos="2660"/>
      </w:tabs>
      <w:ind w:left="1764" w:hanging="504"/>
    </w:pPr>
  </w:style>
  <w:style w:type="paragraph" w:customStyle="1" w:styleId="1fffc">
    <w:name w:val="样式(1)"/>
    <w:basedOn w:val="a"/>
    <w:uiPriority w:val="99"/>
    <w:semiHidden/>
    <w:qFormat/>
    <w:pPr>
      <w:tabs>
        <w:tab w:val="left" w:pos="1080"/>
        <w:tab w:val="left" w:pos="1620"/>
        <w:tab w:val="left" w:pos="2280"/>
      </w:tabs>
      <w:spacing w:line="360" w:lineRule="auto"/>
      <w:ind w:left="1560" w:hanging="720"/>
    </w:pPr>
    <w:rPr>
      <w:szCs w:val="20"/>
    </w:rPr>
  </w:style>
  <w:style w:type="paragraph" w:customStyle="1" w:styleId="CharCharCharChar1CharCharChar2">
    <w:name w:val="Char Char Char Char1 Char Char Char2"/>
    <w:basedOn w:val="a"/>
    <w:semiHidden/>
    <w:qFormat/>
    <w:pPr>
      <w:spacing w:after="160" w:line="240" w:lineRule="exact"/>
    </w:pPr>
    <w:rPr>
      <w:rFonts w:ascii="Verdana" w:hAnsi="Verdana" w:cs="Verdana"/>
      <w:sz w:val="20"/>
      <w:szCs w:val="20"/>
      <w:lang w:eastAsia="en-US"/>
    </w:rPr>
  </w:style>
  <w:style w:type="paragraph" w:customStyle="1" w:styleId="xl97">
    <w:name w:val="xl97"/>
    <w:basedOn w:val="a"/>
    <w:semiHidden/>
    <w:qFormat/>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512">
    <w:name w:val="列出段落51"/>
    <w:basedOn w:val="a"/>
    <w:semiHidden/>
    <w:qFormat/>
    <w:pPr>
      <w:ind w:firstLineChars="200" w:firstLine="420"/>
    </w:pPr>
    <w:rPr>
      <w:rFonts w:ascii="Calibri" w:hAnsi="Calibri"/>
      <w:szCs w:val="22"/>
    </w:rPr>
  </w:style>
  <w:style w:type="paragraph" w:customStyle="1" w:styleId="CM157">
    <w:name w:val="CM157"/>
    <w:basedOn w:val="Default"/>
    <w:next w:val="Default"/>
    <w:semiHidden/>
    <w:qFormat/>
    <w:pPr>
      <w:spacing w:after="443"/>
    </w:pPr>
    <w:rPr>
      <w:rFonts w:ascii="PCJODE+MSung-Light" w:eastAsia="PCJODE+MSung-Light" w:cs="Times New Roman"/>
      <w:color w:val="auto"/>
    </w:rPr>
  </w:style>
  <w:style w:type="paragraph" w:customStyle="1" w:styleId="79">
    <w:name w:val="列出段落7"/>
    <w:basedOn w:val="a"/>
    <w:semiHidden/>
    <w:qFormat/>
    <w:pPr>
      <w:ind w:firstLineChars="200" w:firstLine="420"/>
    </w:pPr>
    <w:rPr>
      <w:rFonts w:ascii="Calibri" w:hAnsi="Calibri"/>
      <w:szCs w:val="22"/>
    </w:rPr>
  </w:style>
  <w:style w:type="paragraph" w:customStyle="1" w:styleId="TOC110">
    <w:name w:val="TOC 标题11"/>
    <w:basedOn w:val="1"/>
    <w:next w:val="a"/>
    <w:uiPriority w:val="39"/>
    <w:semiHidden/>
    <w:qFormat/>
    <w:pPr>
      <w:tabs>
        <w:tab w:val="clear" w:pos="1134"/>
      </w:tabs>
      <w:spacing w:beforeLines="0" w:before="0" w:afterLines="0" w:after="0" w:line="276" w:lineRule="auto"/>
      <w:ind w:left="900" w:firstLineChars="0" w:hanging="420"/>
      <w:jc w:val="left"/>
      <w:outlineLvl w:val="9"/>
    </w:pPr>
    <w:rPr>
      <w:rFonts w:ascii="Cambria" w:hAnsi="Cambria"/>
      <w:color w:val="365F91"/>
      <w:kern w:val="0"/>
      <w:sz w:val="28"/>
      <w:szCs w:val="28"/>
    </w:rPr>
  </w:style>
  <w:style w:type="paragraph" w:customStyle="1" w:styleId="Address">
    <w:name w:val="Address"/>
    <w:basedOn w:val="a"/>
    <w:uiPriority w:val="99"/>
    <w:semiHidden/>
    <w:qFormat/>
    <w:pPr>
      <w:framePr w:w="3005" w:hSpace="181" w:vSpace="181" w:wrap="around" w:hAnchor="page" w:xAlign="right" w:yAlign="top" w:anchorLock="1"/>
      <w:pBdr>
        <w:left w:val="single" w:sz="4" w:space="9" w:color="auto"/>
      </w:pBdr>
      <w:spacing w:line="200" w:lineRule="exact"/>
    </w:pPr>
    <w:rPr>
      <w:rFonts w:ascii="@'宋体" w:eastAsia="@'宋体" w:hAnsi="@'宋体"/>
      <w:sz w:val="16"/>
      <w:szCs w:val="20"/>
      <w:lang w:val="en-GB" w:eastAsia="en-US"/>
    </w:rPr>
  </w:style>
  <w:style w:type="paragraph" w:customStyle="1" w:styleId="CharCharCharChar2">
    <w:name w:val="Char Char Char Char2"/>
    <w:basedOn w:val="a"/>
    <w:semiHidden/>
    <w:qFormat/>
    <w:pPr>
      <w:autoSpaceDE w:val="0"/>
      <w:autoSpaceDN w:val="0"/>
      <w:adjustRightInd w:val="0"/>
      <w:spacing w:beforeLines="50"/>
    </w:pPr>
  </w:style>
  <w:style w:type="paragraph" w:customStyle="1" w:styleId="21c">
    <w:name w:val="批注框文本21"/>
    <w:basedOn w:val="a"/>
    <w:semiHidden/>
    <w:qFormat/>
    <w:rPr>
      <w:rFonts w:ascii="Tahoma" w:eastAsia="华文楷体" w:hAnsi="Tahoma" w:cs="Tahoma"/>
      <w:sz w:val="16"/>
      <w:szCs w:val="16"/>
      <w:lang w:val="en-GB"/>
    </w:rPr>
  </w:style>
  <w:style w:type="paragraph" w:customStyle="1" w:styleId="5d">
    <w:name w:val="字元 字元5"/>
    <w:basedOn w:val="a"/>
    <w:semiHidden/>
    <w:qFormat/>
    <w:pPr>
      <w:autoSpaceDE w:val="0"/>
      <w:autoSpaceDN w:val="0"/>
      <w:adjustRightInd w:val="0"/>
      <w:spacing w:after="160" w:line="240" w:lineRule="exact"/>
    </w:pPr>
    <w:rPr>
      <w:rFonts w:eastAsia="Times New Roman"/>
      <w:sz w:val="20"/>
      <w:szCs w:val="20"/>
    </w:rPr>
  </w:style>
  <w:style w:type="paragraph" w:customStyle="1" w:styleId="69">
    <w:name w:val="纯文本6"/>
    <w:basedOn w:val="a"/>
    <w:semiHidden/>
    <w:qFormat/>
    <w:rPr>
      <w:rFonts w:hAnsi="Courier New"/>
      <w:szCs w:val="20"/>
    </w:rPr>
  </w:style>
  <w:style w:type="paragraph" w:customStyle="1" w:styleId="CharCharCharCharChar9">
    <w:name w:val="Char Char Char Char Char9"/>
    <w:basedOn w:val="a"/>
    <w:semiHidden/>
    <w:qFormat/>
    <w:pPr>
      <w:autoSpaceDE w:val="0"/>
      <w:autoSpaceDN w:val="0"/>
      <w:adjustRightInd w:val="0"/>
    </w:pPr>
    <w:rPr>
      <w:rFonts w:ascii="Tahoma" w:hAnsi="Tahoma"/>
      <w:szCs w:val="20"/>
    </w:rPr>
  </w:style>
  <w:style w:type="paragraph" w:customStyle="1" w:styleId="-7">
    <w:name w:val="中信研究报告-正文"/>
    <w:uiPriority w:val="99"/>
    <w:semiHidden/>
    <w:qFormat/>
    <w:pPr>
      <w:spacing w:before="40" w:after="60" w:line="360" w:lineRule="auto"/>
      <w:ind w:right="130" w:firstLine="482"/>
      <w:jc w:val="both"/>
    </w:pPr>
    <w:rPr>
      <w:rFonts w:ascii="宋体" w:hAnsi="宋体"/>
      <w:kern w:val="2"/>
      <w:sz w:val="24"/>
      <w:szCs w:val="24"/>
    </w:rPr>
  </w:style>
  <w:style w:type="paragraph" w:customStyle="1" w:styleId="CharCharCharCharChar5">
    <w:name w:val="Char Char Char Char Char5"/>
    <w:basedOn w:val="a"/>
    <w:semiHidden/>
    <w:qFormat/>
    <w:pPr>
      <w:autoSpaceDE w:val="0"/>
      <w:autoSpaceDN w:val="0"/>
      <w:adjustRightInd w:val="0"/>
    </w:pPr>
    <w:rPr>
      <w:rFonts w:ascii="Tahoma" w:hAnsi="Tahoma"/>
      <w:szCs w:val="20"/>
    </w:rPr>
  </w:style>
  <w:style w:type="paragraph" w:customStyle="1" w:styleId="CharCharChar1CharCharCharCharCharCharCharCharChar11">
    <w:name w:val="Char Char Char1 Char Char Char Char Char Char Char Char Char11"/>
    <w:basedOn w:val="a"/>
    <w:semiHidden/>
    <w:qFormat/>
    <w:pPr>
      <w:autoSpaceDE w:val="0"/>
      <w:autoSpaceDN w:val="0"/>
      <w:adjustRightInd w:val="0"/>
    </w:pPr>
    <w:rPr>
      <w:rFonts w:ascii="Tahoma" w:hAnsi="Tahoma"/>
      <w:szCs w:val="20"/>
    </w:rPr>
  </w:style>
  <w:style w:type="paragraph" w:customStyle="1" w:styleId="afffffffffffffff">
    <w:name w:val="a"/>
    <w:basedOn w:val="a"/>
    <w:uiPriority w:val="99"/>
    <w:semiHidden/>
    <w:qFormat/>
    <w:pPr>
      <w:spacing w:before="100" w:beforeAutospacing="1" w:after="100" w:afterAutospacing="1"/>
    </w:pPr>
  </w:style>
  <w:style w:type="paragraph" w:customStyle="1" w:styleId="CharCharCharCharCharCharCharCharCharChar">
    <w:name w:val="Char Char Char Char Char Char Char Char Char Char"/>
    <w:basedOn w:val="a"/>
    <w:uiPriority w:val="99"/>
    <w:semiHidden/>
    <w:qFormat/>
    <w:rPr>
      <w:rFonts w:ascii="Tahoma" w:hAnsi="Tahoma"/>
      <w:szCs w:val="20"/>
    </w:rPr>
  </w:style>
  <w:style w:type="paragraph" w:customStyle="1" w:styleId="CM75">
    <w:name w:val="CM75"/>
    <w:basedOn w:val="Default"/>
    <w:next w:val="Default"/>
    <w:uiPriority w:val="99"/>
    <w:semiHidden/>
    <w:qFormat/>
    <w:pPr>
      <w:spacing w:line="236" w:lineRule="atLeast"/>
    </w:pPr>
    <w:rPr>
      <w:rFonts w:ascii="隶书" w:eastAsia="隶书" w:cs="Times New Roman"/>
      <w:color w:val="auto"/>
    </w:rPr>
  </w:style>
  <w:style w:type="paragraph" w:customStyle="1" w:styleId="CharCharChar1CharCharCharCharCharCharCharCharChar6">
    <w:name w:val="Char Char Char1 Char Char Char Char Char Char Char Char Char6"/>
    <w:basedOn w:val="a"/>
    <w:semiHidden/>
    <w:qFormat/>
    <w:pPr>
      <w:autoSpaceDE w:val="0"/>
      <w:autoSpaceDN w:val="0"/>
      <w:adjustRightInd w:val="0"/>
    </w:pPr>
    <w:rPr>
      <w:rFonts w:ascii="Tahoma" w:hAnsi="Tahoma"/>
      <w:szCs w:val="20"/>
    </w:rPr>
  </w:style>
  <w:style w:type="paragraph" w:customStyle="1" w:styleId="Char80">
    <w:name w:val="Char8"/>
    <w:basedOn w:val="a"/>
    <w:uiPriority w:val="99"/>
    <w:semiHidden/>
    <w:qFormat/>
    <w:pPr>
      <w:spacing w:after="160" w:line="240" w:lineRule="exact"/>
    </w:pPr>
    <w:rPr>
      <w:szCs w:val="20"/>
    </w:rPr>
  </w:style>
  <w:style w:type="paragraph" w:customStyle="1" w:styleId="CharCharCharChar30">
    <w:name w:val="字元 Char Char 字元 Char Char 字元3"/>
    <w:basedOn w:val="a"/>
    <w:semiHidden/>
    <w:qFormat/>
    <w:pPr>
      <w:spacing w:beforeLines="50"/>
    </w:pPr>
  </w:style>
  <w:style w:type="paragraph" w:customStyle="1" w:styleId="CharCharCharCharCharCharCharCharChar5">
    <w:name w:val="Char Char Char Char Char Char Char Char Char5"/>
    <w:basedOn w:val="a"/>
    <w:uiPriority w:val="99"/>
    <w:semiHidden/>
    <w:qFormat/>
    <w:pPr>
      <w:tabs>
        <w:tab w:val="left" w:pos="840"/>
      </w:tabs>
      <w:ind w:left="840" w:hanging="360"/>
    </w:pPr>
  </w:style>
  <w:style w:type="paragraph" w:customStyle="1" w:styleId="afffffffffffffff0">
    <w:name w:val="表格小字"/>
    <w:basedOn w:val="a"/>
    <w:semiHidden/>
    <w:qFormat/>
    <w:pPr>
      <w:autoSpaceDE w:val="0"/>
      <w:autoSpaceDN w:val="0"/>
      <w:adjustRightInd w:val="0"/>
      <w:snapToGrid w:val="0"/>
      <w:jc w:val="center"/>
    </w:pPr>
    <w:rPr>
      <w:color w:val="000000"/>
      <w:szCs w:val="20"/>
      <w:lang w:bidi="he-IL"/>
    </w:rPr>
  </w:style>
  <w:style w:type="paragraph" w:customStyle="1" w:styleId="6a">
    <w:name w:val="字元6"/>
    <w:basedOn w:val="a"/>
    <w:semiHidden/>
    <w:qFormat/>
    <w:pPr>
      <w:autoSpaceDE w:val="0"/>
      <w:autoSpaceDN w:val="0"/>
      <w:adjustRightInd w:val="0"/>
      <w:spacing w:beforeLines="50"/>
    </w:pPr>
  </w:style>
  <w:style w:type="paragraph" w:customStyle="1" w:styleId="afffffffffffffff1">
    <w:name w:val="单位样式"/>
    <w:basedOn w:val="a7"/>
    <w:semiHidden/>
    <w:qFormat/>
    <w:pPr>
      <w:spacing w:after="0" w:line="480" w:lineRule="exact"/>
    </w:pPr>
    <w:rPr>
      <w:rFonts w:ascii="仿宋_GB2312" w:eastAsia="仿宋_GB2312"/>
      <w:sz w:val="28"/>
    </w:rPr>
  </w:style>
  <w:style w:type="paragraph" w:customStyle="1" w:styleId="CharChar1CharCharCharCharCharCharCharCharCharCharCharCharChar1CharCharCharCharCharCharCharCharCharCharCharCharCharChar1CharCharCharCharCharCharCharCharCharCharCharChar1CharCharCharCharCharChar3">
    <w:name w:val="Char Char1 Char Char Char Char Char Char Char Char Char Char Char Char Char1 Char Char Char Char Char Char Char Char Char Char Char Char Char Char1 Char Char Char Char Char Char Char Char Char Char Char Char1 Char Char Char Char Char Char3"/>
    <w:basedOn w:val="a"/>
    <w:semiHidden/>
    <w:qFormat/>
    <w:pPr>
      <w:spacing w:after="160" w:line="240" w:lineRule="exact"/>
    </w:pPr>
    <w:rPr>
      <w:rFonts w:ascii="Verdana" w:eastAsia="Times New Roman" w:hAnsi="Verdana"/>
      <w:sz w:val="20"/>
      <w:szCs w:val="20"/>
      <w:lang w:eastAsia="en-US"/>
    </w:rPr>
  </w:style>
  <w:style w:type="paragraph" w:customStyle="1" w:styleId="Afffffffffffffff2">
    <w:name w:val="自由格式 A"/>
    <w:semiHidden/>
    <w:qFormat/>
    <w:rPr>
      <w:rFonts w:eastAsia="ヒラギノ角ゴ Pro W3"/>
      <w:color w:val="000000"/>
    </w:rPr>
  </w:style>
  <w:style w:type="paragraph" w:customStyle="1" w:styleId="2fff2">
    <w:name w:val="样式 标题 2 +"/>
    <w:basedOn w:val="2"/>
    <w:semiHidden/>
    <w:qFormat/>
    <w:pPr>
      <w:numPr>
        <w:ilvl w:val="0"/>
        <w:numId w:val="0"/>
      </w:numPr>
      <w:spacing w:beforeLines="0" w:before="163" w:afterLines="0" w:after="0" w:line="240" w:lineRule="auto"/>
      <w:ind w:left="1320" w:hanging="420"/>
      <w:jc w:val="left"/>
    </w:pPr>
    <w:rPr>
      <w:rFonts w:ascii="Times New Roman" w:eastAsia="宋体" w:hAnsi="Times New Roman"/>
      <w:b w:val="0"/>
      <w:bCs w:val="0"/>
      <w:color w:val="000000"/>
      <w:kern w:val="0"/>
      <w:sz w:val="28"/>
      <w:szCs w:val="20"/>
    </w:rPr>
  </w:style>
  <w:style w:type="paragraph" w:customStyle="1" w:styleId="CharCharChar1CharCharCharChar1">
    <w:name w:val="Char Char Char1 Char Char Char Char1"/>
    <w:basedOn w:val="a"/>
    <w:semiHidden/>
    <w:qFormat/>
    <w:rPr>
      <w:rFonts w:ascii="Tahoma" w:hAnsi="Tahoma"/>
      <w:szCs w:val="20"/>
    </w:rPr>
  </w:style>
  <w:style w:type="paragraph" w:customStyle="1" w:styleId="CharCharCharCharCharChar1CharCharChar10">
    <w:name w:val="Char Char Char Char Char Char1 Char Char Char10"/>
    <w:basedOn w:val="a"/>
    <w:semiHidden/>
    <w:qFormat/>
    <w:pPr>
      <w:autoSpaceDE w:val="0"/>
      <w:autoSpaceDN w:val="0"/>
      <w:adjustRightInd w:val="0"/>
      <w:textAlignment w:val="baseline"/>
    </w:pPr>
    <w:rPr>
      <w:rFonts w:eastAsia="方正仿宋简体"/>
      <w:sz w:val="32"/>
      <w:szCs w:val="20"/>
    </w:rPr>
  </w:style>
  <w:style w:type="paragraph" w:customStyle="1" w:styleId="4f2">
    <w:name w:val="表中小4"/>
    <w:basedOn w:val="a"/>
    <w:semiHidden/>
    <w:qFormat/>
    <w:pPr>
      <w:tabs>
        <w:tab w:val="center" w:pos="4153"/>
        <w:tab w:val="right" w:pos="8306"/>
      </w:tabs>
      <w:adjustRightInd w:val="0"/>
      <w:snapToGrid w:val="0"/>
      <w:jc w:val="center"/>
      <w:textAlignment w:val="center"/>
    </w:pPr>
    <w:rPr>
      <w:bCs/>
    </w:rPr>
  </w:style>
  <w:style w:type="paragraph" w:customStyle="1" w:styleId="2fff3">
    <w:name w:val="样式 正文一 + 首行缩进:  2 字符"/>
    <w:basedOn w:val="affffffb"/>
    <w:semiHidden/>
    <w:qFormat/>
  </w:style>
  <w:style w:type="paragraph" w:customStyle="1" w:styleId="xl115">
    <w:name w:val="xl115"/>
    <w:basedOn w:val="a"/>
    <w:semiHidden/>
    <w:qFormat/>
    <w:pPr>
      <w:pBdr>
        <w:left w:val="single" w:sz="8" w:space="0" w:color="auto"/>
        <w:right w:val="single" w:sz="8" w:space="0" w:color="auto"/>
      </w:pBdr>
      <w:spacing w:before="100" w:beforeAutospacing="1" w:after="100" w:afterAutospacing="1"/>
      <w:jc w:val="center"/>
    </w:pPr>
    <w:rPr>
      <w:color w:val="000000"/>
      <w:sz w:val="18"/>
      <w:szCs w:val="18"/>
    </w:rPr>
  </w:style>
  <w:style w:type="paragraph" w:customStyle="1" w:styleId="CM67">
    <w:name w:val="CM67"/>
    <w:basedOn w:val="Default"/>
    <w:next w:val="Default"/>
    <w:uiPriority w:val="99"/>
    <w:semiHidden/>
    <w:qFormat/>
    <w:rPr>
      <w:rFonts w:ascii="隶书" w:eastAsia="隶书" w:cs="Times New Roman"/>
      <w:color w:val="auto"/>
    </w:rPr>
  </w:style>
  <w:style w:type="paragraph" w:customStyle="1" w:styleId="hei-12-x">
    <w:name w:val="hei-12-x"/>
    <w:basedOn w:val="a"/>
    <w:semiHidden/>
    <w:qFormat/>
    <w:pPr>
      <w:spacing w:beforeAutospacing="1" w:after="100" w:afterAutospacing="1"/>
    </w:pPr>
    <w:rPr>
      <w:rFonts w:ascii="ˎ̥" w:hAnsi="ˎ̥"/>
      <w:color w:val="000000"/>
      <w:sz w:val="18"/>
      <w:szCs w:val="18"/>
    </w:rPr>
  </w:style>
  <w:style w:type="paragraph" w:customStyle="1" w:styleId="xl130">
    <w:name w:val="xl130"/>
    <w:basedOn w:val="a"/>
    <w:semiHidden/>
    <w:qFormat/>
    <w:pPr>
      <w:pBdr>
        <w:top w:val="single" w:sz="8" w:space="0" w:color="auto"/>
        <w:left w:val="single" w:sz="8" w:space="0" w:color="auto"/>
        <w:right w:val="single" w:sz="8" w:space="0" w:color="auto"/>
      </w:pBdr>
      <w:shd w:val="clear" w:color="000000" w:fill="FFFFFF"/>
      <w:spacing w:before="100" w:beforeAutospacing="1" w:after="100" w:afterAutospacing="1"/>
      <w:jc w:val="right"/>
    </w:pPr>
    <w:rPr>
      <w:color w:val="000000"/>
      <w:sz w:val="18"/>
      <w:szCs w:val="18"/>
    </w:rPr>
  </w:style>
  <w:style w:type="paragraph" w:customStyle="1" w:styleId="afffffffffffffff3">
    <w:name w:val="表编号"/>
    <w:basedOn w:val="a"/>
    <w:next w:val="a"/>
    <w:semiHidden/>
    <w:qFormat/>
    <w:pPr>
      <w:tabs>
        <w:tab w:val="left" w:pos="720"/>
      </w:tabs>
      <w:spacing w:beforeLines="50" w:line="300" w:lineRule="auto"/>
      <w:jc w:val="center"/>
    </w:pPr>
    <w:rPr>
      <w:rFonts w:ascii="楷体_GB2312" w:eastAsia="楷体_GB2312"/>
    </w:rPr>
  </w:style>
  <w:style w:type="paragraph" w:customStyle="1" w:styleId="afffffffffffffff4">
    <w:name w:val="首行缩进"/>
    <w:basedOn w:val="a"/>
    <w:semiHidden/>
    <w:qFormat/>
    <w:pPr>
      <w:spacing w:beforeLines="30" w:afterLines="30" w:line="400" w:lineRule="atLeast"/>
      <w:ind w:firstLineChars="200" w:firstLine="200"/>
    </w:pPr>
  </w:style>
  <w:style w:type="paragraph" w:customStyle="1" w:styleId="Afffffffffffffff5">
    <w:name w:val="正文 A"/>
    <w:semiHidden/>
    <w:qFormat/>
    <w:pPr>
      <w:widowControl w:val="0"/>
      <w:spacing w:line="360" w:lineRule="auto"/>
      <w:jc w:val="both"/>
    </w:pPr>
    <w:rPr>
      <w:rFonts w:ascii="宋体" w:eastAsia="ヒラギノ角ゴ Pro W3" w:hAnsi="宋体"/>
      <w:color w:val="000000"/>
      <w:kern w:val="2"/>
      <w:sz w:val="24"/>
    </w:rPr>
  </w:style>
  <w:style w:type="paragraph" w:customStyle="1" w:styleId="xl106">
    <w:name w:val="xl106"/>
    <w:basedOn w:val="a"/>
    <w:semiHidden/>
    <w:qFormat/>
    <w:pPr>
      <w:pBdr>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11b">
    <w:name w:val="11"/>
    <w:basedOn w:val="a"/>
    <w:next w:val="aff7"/>
    <w:uiPriority w:val="99"/>
    <w:semiHidden/>
    <w:qFormat/>
    <w:pPr>
      <w:spacing w:beforeAutospacing="1" w:after="100" w:afterAutospacing="1"/>
    </w:pPr>
    <w:rPr>
      <w:rFonts w:ascii="Arial Unicode MS" w:eastAsia="Times New Roman" w:hAnsi="Arial Unicode MS"/>
    </w:rPr>
  </w:style>
  <w:style w:type="paragraph" w:customStyle="1" w:styleId="155">
    <w:name w:val="列出段落15"/>
    <w:basedOn w:val="a"/>
    <w:semiHidden/>
    <w:qFormat/>
    <w:pPr>
      <w:ind w:left="720"/>
    </w:pPr>
  </w:style>
  <w:style w:type="paragraph" w:customStyle="1" w:styleId="Char1CharCharCharCharCharCharCharCharChar1">
    <w:name w:val="Char1 Char Char Char Char Char Char Char Char Char1"/>
    <w:basedOn w:val="a"/>
    <w:uiPriority w:val="99"/>
    <w:semiHidden/>
    <w:qFormat/>
  </w:style>
  <w:style w:type="paragraph" w:customStyle="1" w:styleId="CM74">
    <w:name w:val="CM74"/>
    <w:basedOn w:val="Default"/>
    <w:next w:val="Default"/>
    <w:semiHidden/>
    <w:qFormat/>
    <w:pPr>
      <w:spacing w:line="128" w:lineRule="atLeast"/>
    </w:pPr>
    <w:rPr>
      <w:rFonts w:ascii="PCJODE+MSung-Light" w:eastAsia="PCJODE+MSung-Light" w:cs="Times New Roman"/>
      <w:color w:val="auto"/>
    </w:rPr>
  </w:style>
  <w:style w:type="paragraph" w:customStyle="1" w:styleId="juzhong">
    <w:name w:val="juzhong"/>
    <w:basedOn w:val="a"/>
    <w:semiHidden/>
    <w:qFormat/>
    <w:pPr>
      <w:spacing w:before="100" w:beforeAutospacing="1" w:after="100" w:afterAutospacing="1"/>
    </w:pPr>
  </w:style>
  <w:style w:type="paragraph" w:customStyle="1" w:styleId="afffffffffffffff6">
    <w:name w:val="表居中（中文）"/>
    <w:basedOn w:val="a"/>
    <w:semiHidden/>
    <w:qFormat/>
    <w:pPr>
      <w:adjustRightInd w:val="0"/>
      <w:spacing w:line="380" w:lineRule="atLeast"/>
      <w:jc w:val="center"/>
    </w:pPr>
    <w:rPr>
      <w:rFonts w:eastAsia="楷体_GB2312"/>
      <w:szCs w:val="20"/>
    </w:rPr>
  </w:style>
  <w:style w:type="paragraph" w:customStyle="1" w:styleId="font8">
    <w:name w:val="font8"/>
    <w:basedOn w:val="a"/>
    <w:semiHidden/>
    <w:qFormat/>
    <w:pPr>
      <w:spacing w:before="100" w:after="100"/>
    </w:pPr>
    <w:rPr>
      <w:szCs w:val="20"/>
    </w:rPr>
  </w:style>
  <w:style w:type="paragraph" w:customStyle="1" w:styleId="CharChar4Char6">
    <w:name w:val="Char Char4 Char6"/>
    <w:basedOn w:val="a"/>
    <w:semiHidden/>
    <w:qFormat/>
    <w:pPr>
      <w:spacing w:after="160" w:line="240" w:lineRule="exact"/>
    </w:pPr>
    <w:rPr>
      <w:rFonts w:ascii="Verdana" w:eastAsia="Times New Roman" w:hAnsi="Verdana"/>
      <w:sz w:val="20"/>
      <w:szCs w:val="20"/>
      <w:lang w:eastAsia="en-US"/>
    </w:rPr>
  </w:style>
  <w:style w:type="paragraph" w:customStyle="1" w:styleId="afffffffffffffff7">
    <w:name w:val="常用正文"/>
    <w:basedOn w:val="a"/>
    <w:uiPriority w:val="99"/>
    <w:semiHidden/>
    <w:qFormat/>
    <w:pPr>
      <w:adjustRightInd w:val="0"/>
      <w:snapToGrid w:val="0"/>
      <w:spacing w:line="540" w:lineRule="exact"/>
      <w:ind w:firstLineChars="200" w:firstLine="643"/>
    </w:pPr>
    <w:rPr>
      <w:rFonts w:ascii="仿宋_GB2312" w:eastAsia="仿宋_GB2312"/>
      <w:b/>
      <w:sz w:val="32"/>
      <w:szCs w:val="32"/>
    </w:rPr>
  </w:style>
  <w:style w:type="paragraph" w:customStyle="1" w:styleId="125">
    <w:name w:val="字元12"/>
    <w:basedOn w:val="a"/>
    <w:semiHidden/>
    <w:qFormat/>
    <w:pPr>
      <w:autoSpaceDE w:val="0"/>
      <w:autoSpaceDN w:val="0"/>
      <w:adjustRightInd w:val="0"/>
      <w:spacing w:beforeLines="50"/>
    </w:pPr>
  </w:style>
  <w:style w:type="paragraph" w:customStyle="1" w:styleId="afffffffffffffff8">
    <w:name w:val="华菱大标题"/>
    <w:semiHidden/>
    <w:qFormat/>
    <w:pPr>
      <w:widowControl w:val="0"/>
      <w:autoSpaceDE w:val="0"/>
      <w:autoSpaceDN w:val="0"/>
      <w:adjustRightInd w:val="0"/>
      <w:spacing w:line="720" w:lineRule="atLeast"/>
      <w:jc w:val="both"/>
    </w:pPr>
    <w:rPr>
      <w:rFonts w:ascii="汉仪大宋简" w:eastAsia="汉仪大宋简"/>
      <w:smallCaps/>
      <w:color w:val="000000"/>
      <w:sz w:val="40"/>
      <w:szCs w:val="40"/>
    </w:rPr>
  </w:style>
  <w:style w:type="paragraph" w:customStyle="1" w:styleId="1510">
    <w:name w:val="列出段落151"/>
    <w:basedOn w:val="a"/>
    <w:semiHidden/>
    <w:qFormat/>
    <w:pPr>
      <w:ind w:left="720"/>
    </w:pPr>
  </w:style>
  <w:style w:type="paragraph" w:customStyle="1" w:styleId="CharChar3CharChar">
    <w:name w:val="Char Char3 Char Char"/>
    <w:basedOn w:val="a"/>
    <w:uiPriority w:val="99"/>
    <w:semiHidden/>
    <w:qFormat/>
    <w:pPr>
      <w:spacing w:after="160" w:line="240" w:lineRule="exact"/>
    </w:pPr>
    <w:rPr>
      <w:rFonts w:ascii="Verdana" w:hAnsi="Verdana" w:cs="Verdana"/>
      <w:sz w:val="20"/>
      <w:szCs w:val="20"/>
      <w:lang w:eastAsia="en-US"/>
    </w:rPr>
  </w:style>
  <w:style w:type="paragraph" w:customStyle="1" w:styleId="3fc">
    <w:name w:val="字元 字元3"/>
    <w:basedOn w:val="a"/>
    <w:semiHidden/>
    <w:qFormat/>
    <w:pPr>
      <w:spacing w:after="160" w:line="240" w:lineRule="exact"/>
    </w:pPr>
    <w:rPr>
      <w:rFonts w:eastAsia="Times New Roman"/>
      <w:sz w:val="20"/>
      <w:szCs w:val="20"/>
    </w:rPr>
  </w:style>
  <w:style w:type="paragraph" w:customStyle="1" w:styleId="afffffffffffffff9">
    <w:name w:val="附注－标题二"/>
    <w:basedOn w:val="a"/>
    <w:semiHidden/>
    <w:qFormat/>
    <w:pPr>
      <w:keepNext/>
      <w:tabs>
        <w:tab w:val="left" w:pos="480"/>
        <w:tab w:val="left" w:pos="994"/>
        <w:tab w:val="left" w:pos="1080"/>
      </w:tabs>
      <w:adjustRightInd w:val="0"/>
      <w:snapToGrid w:val="0"/>
      <w:spacing w:beforeLines="100" w:afterLines="50" w:line="360" w:lineRule="auto"/>
      <w:ind w:left="482" w:hanging="482"/>
      <w:outlineLvl w:val="0"/>
    </w:pPr>
    <w:rPr>
      <w:rFonts w:ascii="Arial Narrow" w:eastAsia="黑体" w:hAnsi="Arial Narrow"/>
      <w:szCs w:val="28"/>
    </w:rPr>
  </w:style>
  <w:style w:type="paragraph" w:customStyle="1" w:styleId="CM24">
    <w:name w:val="CM24"/>
    <w:basedOn w:val="Default"/>
    <w:next w:val="Default"/>
    <w:semiHidden/>
    <w:qFormat/>
    <w:pPr>
      <w:spacing w:line="291" w:lineRule="atLeast"/>
    </w:pPr>
    <w:rPr>
      <w:rFonts w:ascii="隶书" w:eastAsia="隶书" w:cs="Times New Roman"/>
      <w:color w:val="auto"/>
    </w:rPr>
  </w:style>
  <w:style w:type="paragraph" w:customStyle="1" w:styleId="CharCharCharCharCharCharChar16">
    <w:name w:val="Char Char Char Char Char Char Char16"/>
    <w:basedOn w:val="a"/>
    <w:semiHidden/>
    <w:qFormat/>
    <w:pPr>
      <w:spacing w:after="160" w:line="240" w:lineRule="exact"/>
    </w:pPr>
    <w:rPr>
      <w:rFonts w:ascii="Verdana" w:hAnsi="Verdana"/>
      <w:sz w:val="20"/>
      <w:szCs w:val="20"/>
      <w:lang w:eastAsia="en-US"/>
    </w:rPr>
  </w:style>
  <w:style w:type="paragraph" w:customStyle="1" w:styleId="xl60">
    <w:name w:val="xl60"/>
    <w:basedOn w:val="a"/>
    <w:semiHidden/>
    <w:qFormat/>
    <w:pPr>
      <w:pBdr>
        <w:left w:val="single" w:sz="4" w:space="0" w:color="auto"/>
        <w:bottom w:val="single" w:sz="8" w:space="0" w:color="auto"/>
        <w:right w:val="single" w:sz="4" w:space="0" w:color="auto"/>
      </w:pBdr>
      <w:spacing w:before="100" w:after="100"/>
      <w:jc w:val="center"/>
    </w:pPr>
  </w:style>
  <w:style w:type="paragraph" w:customStyle="1" w:styleId="1fffd">
    <w:name w:val="招股标题1"/>
    <w:basedOn w:val="a"/>
    <w:semiHidden/>
    <w:qFormat/>
    <w:pPr>
      <w:tabs>
        <w:tab w:val="right" w:leader="dot" w:pos="9118"/>
      </w:tabs>
      <w:spacing w:line="360" w:lineRule="auto"/>
      <w:jc w:val="center"/>
    </w:pPr>
    <w:rPr>
      <w:rFonts w:eastAsia="黑体"/>
      <w:b/>
      <w:bCs/>
      <w:color w:val="000000"/>
      <w:sz w:val="28"/>
      <w:szCs w:val="20"/>
    </w:rPr>
  </w:style>
  <w:style w:type="paragraph" w:customStyle="1" w:styleId="CM33">
    <w:name w:val="CM33"/>
    <w:basedOn w:val="Default"/>
    <w:next w:val="Default"/>
    <w:semiHidden/>
    <w:qFormat/>
    <w:rPr>
      <w:rFonts w:ascii="隶书" w:eastAsia="隶书" w:cs="Times New Roman"/>
      <w:color w:val="auto"/>
    </w:rPr>
  </w:style>
  <w:style w:type="paragraph" w:customStyle="1" w:styleId="2fff4">
    <w:name w:val="字元 字元2"/>
    <w:basedOn w:val="a"/>
    <w:semiHidden/>
    <w:qFormat/>
    <w:pPr>
      <w:autoSpaceDE w:val="0"/>
      <w:autoSpaceDN w:val="0"/>
      <w:adjustRightInd w:val="0"/>
      <w:spacing w:after="160" w:line="240" w:lineRule="exact"/>
    </w:pPr>
    <w:rPr>
      <w:rFonts w:eastAsia="Times New Roman"/>
      <w:sz w:val="20"/>
      <w:szCs w:val="20"/>
    </w:rPr>
  </w:style>
  <w:style w:type="paragraph" w:customStyle="1" w:styleId="CharChar1Char2">
    <w:name w:val="Char Char1 Char2"/>
    <w:basedOn w:val="a"/>
    <w:semiHidden/>
    <w:qFormat/>
    <w:pPr>
      <w:spacing w:after="160" w:line="240" w:lineRule="exact"/>
    </w:pPr>
    <w:rPr>
      <w:rFonts w:ascii="Verdana" w:eastAsia="Times New Roman" w:hAnsi="Verdana"/>
      <w:sz w:val="20"/>
      <w:szCs w:val="20"/>
      <w:lang w:eastAsia="en-US"/>
    </w:rPr>
  </w:style>
  <w:style w:type="paragraph" w:customStyle="1" w:styleId="CharCharChar12">
    <w:name w:val="Char Char Char12"/>
    <w:basedOn w:val="a"/>
    <w:uiPriority w:val="99"/>
    <w:semiHidden/>
    <w:qFormat/>
  </w:style>
  <w:style w:type="paragraph" w:customStyle="1" w:styleId="96">
    <w:name w:val="列出段落9"/>
    <w:basedOn w:val="a"/>
    <w:semiHidden/>
    <w:qFormat/>
    <w:pPr>
      <w:ind w:firstLineChars="200" w:firstLine="420"/>
    </w:pPr>
    <w:rPr>
      <w:rFonts w:ascii="Calibri" w:hAnsi="Calibri"/>
      <w:szCs w:val="22"/>
    </w:rPr>
  </w:style>
  <w:style w:type="paragraph" w:customStyle="1" w:styleId="KWListNumber">
    <w:name w:val="K&amp;W List Number"/>
    <w:basedOn w:val="KWNormal"/>
    <w:semiHidden/>
    <w:qFormat/>
    <w:pPr>
      <w:numPr>
        <w:numId w:val="17"/>
      </w:numPr>
      <w:tabs>
        <w:tab w:val="left" w:pos="1134"/>
      </w:tabs>
    </w:pPr>
  </w:style>
  <w:style w:type="paragraph" w:customStyle="1" w:styleId="font16">
    <w:name w:val="font16"/>
    <w:basedOn w:val="a"/>
    <w:semiHidden/>
    <w:qFormat/>
    <w:pPr>
      <w:spacing w:before="100" w:beforeAutospacing="1" w:after="100" w:afterAutospacing="1"/>
    </w:pPr>
    <w:rPr>
      <w:rFonts w:ascii="仿宋_GB2312" w:eastAsia="仿宋_GB2312"/>
      <w:b/>
      <w:bCs/>
      <w:color w:val="000000"/>
      <w:sz w:val="20"/>
      <w:szCs w:val="20"/>
    </w:rPr>
  </w:style>
  <w:style w:type="paragraph" w:customStyle="1" w:styleId="181">
    <w:name w:val="样式18"/>
    <w:basedOn w:val="154"/>
    <w:semiHidden/>
    <w:qFormat/>
    <w:pPr>
      <w:spacing w:beforeLines="50" w:line="500" w:lineRule="atLeast"/>
      <w:ind w:firstLineChars="100" w:firstLine="281"/>
      <w:outlineLvl w:val="1"/>
    </w:pPr>
    <w:rPr>
      <w:rFonts w:eastAsia="Times New Roman"/>
      <w:bCs/>
      <w:sz w:val="28"/>
      <w:szCs w:val="28"/>
    </w:rPr>
  </w:style>
  <w:style w:type="paragraph" w:customStyle="1" w:styleId="CharChar4CharCharChar">
    <w:name w:val="Char Char4 Char Char Char"/>
    <w:basedOn w:val="a"/>
    <w:semiHidden/>
    <w:qFormat/>
    <w:pPr>
      <w:spacing w:after="160" w:line="240" w:lineRule="exact"/>
    </w:pPr>
    <w:rPr>
      <w:rFonts w:ascii="Verdana" w:hAnsi="Verdana" w:cs="Verdana"/>
      <w:sz w:val="20"/>
      <w:szCs w:val="20"/>
      <w:lang w:eastAsia="en-US"/>
    </w:rPr>
  </w:style>
  <w:style w:type="paragraph" w:customStyle="1" w:styleId="xl47">
    <w:name w:val="xl47"/>
    <w:semiHidden/>
    <w:qFormat/>
    <w:pPr>
      <w:spacing w:before="100" w:after="100"/>
      <w:jc w:val="right"/>
      <w:textAlignment w:val="center"/>
    </w:pPr>
    <w:rPr>
      <w:sz w:val="18"/>
    </w:rPr>
  </w:style>
  <w:style w:type="paragraph" w:customStyle="1" w:styleId="xl75">
    <w:name w:val="xl75"/>
    <w:basedOn w:val="a"/>
    <w:uiPriority w:val="99"/>
    <w:semiHidden/>
    <w:qFormat/>
    <w:pPr>
      <w:shd w:val="clear" w:color="000000" w:fill="FFFF00"/>
      <w:spacing w:before="100" w:beforeAutospacing="1" w:after="100" w:afterAutospacing="1"/>
    </w:pPr>
  </w:style>
  <w:style w:type="paragraph" w:customStyle="1" w:styleId="6b">
    <w:name w:val="正文6"/>
    <w:link w:val="6Char"/>
    <w:semiHidden/>
    <w:qFormat/>
    <w:pPr>
      <w:widowControl w:val="0"/>
      <w:adjustRightInd w:val="0"/>
      <w:spacing w:line="360" w:lineRule="atLeast"/>
      <w:jc w:val="both"/>
      <w:textAlignment w:val="baseline"/>
    </w:pPr>
    <w:rPr>
      <w:rFonts w:ascii="宋体"/>
      <w:sz w:val="24"/>
    </w:rPr>
  </w:style>
  <w:style w:type="character" w:customStyle="1" w:styleId="6Char">
    <w:name w:val="正文6 Char"/>
    <w:link w:val="6b"/>
    <w:semiHidden/>
    <w:rPr>
      <w:rFonts w:ascii="宋体"/>
      <w:sz w:val="24"/>
    </w:rPr>
  </w:style>
  <w:style w:type="paragraph" w:customStyle="1" w:styleId="GB2312221">
    <w:name w:val="样式 (中文) 仿宋_GB2312 四号 行距: 固定值 22 磅 首行缩进:  1 字符"/>
    <w:basedOn w:val="a"/>
    <w:semiHidden/>
    <w:qFormat/>
    <w:pPr>
      <w:spacing w:line="440" w:lineRule="exact"/>
      <w:ind w:firstLineChars="100" w:firstLine="280"/>
    </w:pPr>
    <w:rPr>
      <w:rFonts w:eastAsia="仿宋_GB2312"/>
      <w:szCs w:val="20"/>
    </w:rPr>
  </w:style>
  <w:style w:type="paragraph" w:customStyle="1" w:styleId="161">
    <w:name w:val="正文16"/>
    <w:semiHidden/>
    <w:qFormat/>
    <w:pPr>
      <w:widowControl w:val="0"/>
      <w:adjustRightInd w:val="0"/>
      <w:spacing w:line="360" w:lineRule="atLeast"/>
      <w:jc w:val="both"/>
      <w:textAlignment w:val="baseline"/>
    </w:pPr>
    <w:rPr>
      <w:rFonts w:ascii="宋体"/>
      <w:sz w:val="24"/>
    </w:rPr>
  </w:style>
  <w:style w:type="paragraph" w:customStyle="1" w:styleId="240">
    <w:name w:val="正文文本缩进 24"/>
    <w:basedOn w:val="a"/>
    <w:semiHidden/>
    <w:qFormat/>
    <w:pPr>
      <w:adjustRightInd w:val="0"/>
      <w:spacing w:line="300" w:lineRule="auto"/>
      <w:ind w:firstLine="540"/>
      <w:textAlignment w:val="baseline"/>
    </w:pPr>
    <w:rPr>
      <w:rFonts w:ascii="仿宋_GB2312" w:eastAsia="仿宋_GB2312"/>
      <w:szCs w:val="20"/>
    </w:rPr>
  </w:style>
  <w:style w:type="paragraph" w:customStyle="1" w:styleId="afffffffffffffffa">
    <w:name w:val="(a表格"/>
    <w:basedOn w:val="a"/>
    <w:semiHidden/>
    <w:qFormat/>
    <w:pPr>
      <w:jc w:val="center"/>
    </w:pPr>
    <w:rPr>
      <w:rFonts w:eastAsia="仿宋_GB2312"/>
      <w:color w:val="000000"/>
    </w:rPr>
  </w:style>
  <w:style w:type="paragraph" w:customStyle="1" w:styleId="font21">
    <w:name w:val="font21"/>
    <w:basedOn w:val="a"/>
    <w:semiHidden/>
    <w:qFormat/>
    <w:pPr>
      <w:spacing w:before="100" w:beforeAutospacing="1" w:after="100" w:afterAutospacing="1"/>
    </w:pPr>
    <w:rPr>
      <w:color w:val="FF0000"/>
      <w:sz w:val="20"/>
      <w:szCs w:val="20"/>
    </w:rPr>
  </w:style>
  <w:style w:type="paragraph" w:customStyle="1" w:styleId="xl71">
    <w:name w:val="xl71"/>
    <w:basedOn w:val="a"/>
    <w:uiPriority w:val="99"/>
    <w:semiHidden/>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_GB2312" w:eastAsia="仿宋_GB2312"/>
      <w:sz w:val="20"/>
      <w:szCs w:val="20"/>
    </w:rPr>
  </w:style>
  <w:style w:type="paragraph" w:customStyle="1" w:styleId="1fffe">
    <w:name w:val="已访问的超链接1"/>
    <w:semiHidden/>
    <w:qFormat/>
    <w:pPr>
      <w:widowControl w:val="0"/>
      <w:jc w:val="both"/>
    </w:pPr>
    <w:rPr>
      <w:kern w:val="2"/>
      <w:sz w:val="21"/>
      <w:szCs w:val="24"/>
    </w:rPr>
  </w:style>
  <w:style w:type="paragraph" w:customStyle="1" w:styleId="Caption1">
    <w:name w:val="Caption1"/>
    <w:basedOn w:val="a"/>
    <w:next w:val="a"/>
    <w:uiPriority w:val="35"/>
    <w:semiHidden/>
    <w:qFormat/>
    <w:pPr>
      <w:spacing w:beforeLines="50" w:line="360" w:lineRule="auto"/>
      <w:ind w:firstLineChars="200" w:firstLine="480"/>
    </w:pPr>
    <w:rPr>
      <w:rFonts w:ascii="Arial" w:hAnsi="Arial" w:cs="Arial"/>
      <w:b/>
      <w:bCs/>
      <w:color w:val="3968A9"/>
      <w:sz w:val="16"/>
      <w:szCs w:val="16"/>
    </w:rPr>
  </w:style>
  <w:style w:type="paragraph" w:customStyle="1" w:styleId="xl107">
    <w:name w:val="xl107"/>
    <w:basedOn w:val="a"/>
    <w:semiHidden/>
    <w:qFormat/>
    <w:pPr>
      <w:pBdr>
        <w:top w:val="single" w:sz="4" w:space="0" w:color="auto"/>
        <w:left w:val="single" w:sz="4" w:space="0" w:color="auto"/>
        <w:right w:val="single" w:sz="4" w:space="0" w:color="auto"/>
      </w:pBdr>
      <w:spacing w:before="100" w:beforeAutospacing="1" w:after="100" w:afterAutospacing="1"/>
    </w:pPr>
    <w:rPr>
      <w:b/>
      <w:bCs/>
      <w:sz w:val="20"/>
      <w:szCs w:val="20"/>
    </w:rPr>
  </w:style>
  <w:style w:type="paragraph" w:customStyle="1" w:styleId="CharCharCharCharChar1">
    <w:name w:val="Char Char Char Char Char1"/>
    <w:basedOn w:val="a"/>
    <w:semiHidden/>
    <w:qFormat/>
    <w:pPr>
      <w:autoSpaceDE w:val="0"/>
      <w:autoSpaceDN w:val="0"/>
      <w:adjustRightInd w:val="0"/>
    </w:pPr>
    <w:rPr>
      <w:rFonts w:ascii="Tahoma" w:hAnsi="Tahoma"/>
      <w:szCs w:val="20"/>
    </w:rPr>
  </w:style>
  <w:style w:type="paragraph" w:customStyle="1" w:styleId="CharCharChar3CharCharCharCharCharCharCharCharCharCharCharCharCharCharChar1Char">
    <w:name w:val="Char Char Char3 Char Char Char Char Char Char Char Char Char Char Char Char Char Char Char1 Char"/>
    <w:basedOn w:val="a"/>
    <w:semiHidden/>
    <w:qFormat/>
    <w:rPr>
      <w:rFonts w:ascii="Tahoma" w:hAnsi="Tahoma"/>
      <w:szCs w:val="20"/>
    </w:rPr>
  </w:style>
  <w:style w:type="paragraph" w:customStyle="1" w:styleId="afffffffffffffffb">
    <w:name w:val="a中信_资料来源"/>
    <w:basedOn w:val="a"/>
    <w:uiPriority w:val="99"/>
    <w:semiHidden/>
    <w:qFormat/>
    <w:pPr>
      <w:spacing w:before="40" w:after="200"/>
      <w:ind w:rightChars="1600" w:right="1600"/>
    </w:pPr>
    <w:rPr>
      <w:i/>
      <w:iCs/>
      <w:color w:val="003366"/>
      <w:sz w:val="16"/>
      <w:szCs w:val="16"/>
    </w:rPr>
  </w:style>
  <w:style w:type="paragraph" w:customStyle="1" w:styleId="CM95">
    <w:name w:val="CM95"/>
    <w:basedOn w:val="Default"/>
    <w:next w:val="Default"/>
    <w:uiPriority w:val="99"/>
    <w:semiHidden/>
    <w:qFormat/>
    <w:pPr>
      <w:spacing w:after="1148"/>
    </w:pPr>
    <w:rPr>
      <w:rFonts w:ascii="隶书" w:eastAsia="隶书" w:cs="Times New Roman"/>
      <w:color w:val="auto"/>
    </w:rPr>
  </w:style>
  <w:style w:type="paragraph" w:customStyle="1" w:styleId="22CharResetnumberingChar2CharH2Charh2Char">
    <w:name w:val="样式 标题 2标题 2 CharReset numbering Char标题2 CharH2 Charh2 Char..."/>
    <w:basedOn w:val="2"/>
    <w:semiHidden/>
    <w:qFormat/>
    <w:pPr>
      <w:numPr>
        <w:ilvl w:val="0"/>
        <w:numId w:val="0"/>
      </w:numPr>
      <w:spacing w:beforeLines="0" w:before="120" w:afterLines="0" w:after="120" w:line="360" w:lineRule="auto"/>
      <w:ind w:leftChars="1" w:left="2" w:firstLineChars="246" w:firstLine="593"/>
      <w:jc w:val="left"/>
    </w:pPr>
    <w:rPr>
      <w:rFonts w:ascii="Times New Roman" w:eastAsia="黑体" w:hAnsi="Times New Roman"/>
      <w:bCs w:val="0"/>
      <w:kern w:val="0"/>
      <w:sz w:val="24"/>
      <w:szCs w:val="20"/>
    </w:rPr>
  </w:style>
  <w:style w:type="paragraph" w:customStyle="1" w:styleId="TOC30">
    <w:name w:val="TOC 标题3"/>
    <w:basedOn w:val="1"/>
    <w:next w:val="a"/>
    <w:uiPriority w:val="39"/>
    <w:semiHidden/>
    <w:qFormat/>
    <w:pPr>
      <w:tabs>
        <w:tab w:val="clear" w:pos="1134"/>
        <w:tab w:val="left" w:pos="454"/>
      </w:tabs>
      <w:spacing w:beforeLines="0" w:before="120" w:afterLines="0" w:after="0" w:line="276" w:lineRule="auto"/>
      <w:ind w:left="454" w:firstLineChars="0" w:hanging="420"/>
      <w:jc w:val="left"/>
      <w:outlineLvl w:val="9"/>
    </w:pPr>
    <w:rPr>
      <w:rFonts w:ascii="Cambria" w:hAnsi="Cambria"/>
      <w:color w:val="365F91"/>
      <w:kern w:val="0"/>
      <w:sz w:val="28"/>
      <w:szCs w:val="28"/>
    </w:rPr>
  </w:style>
  <w:style w:type="paragraph" w:customStyle="1" w:styleId="CharChar1CharCharCharChar1CharCharChar3">
    <w:name w:val="Char Char1 Char Char Char Char1 Char Char Char3"/>
    <w:basedOn w:val="a"/>
    <w:semiHidden/>
    <w:qFormat/>
    <w:pPr>
      <w:autoSpaceDE w:val="0"/>
      <w:autoSpaceDN w:val="0"/>
      <w:adjustRightInd w:val="0"/>
    </w:pPr>
  </w:style>
  <w:style w:type="paragraph" w:customStyle="1" w:styleId="afffffffffffffffc">
    <w:name w:val="表中文字"/>
    <w:basedOn w:val="a"/>
    <w:semiHidden/>
    <w:qFormat/>
    <w:pPr>
      <w:jc w:val="center"/>
    </w:pPr>
    <w:rPr>
      <w:szCs w:val="20"/>
    </w:rPr>
  </w:style>
  <w:style w:type="paragraph" w:customStyle="1" w:styleId="CharCharCharCharCharCharCharCharChar7">
    <w:name w:val="Char Char Char Char Char Char Char Char Char7"/>
    <w:basedOn w:val="a"/>
    <w:uiPriority w:val="99"/>
    <w:semiHidden/>
    <w:qFormat/>
    <w:pPr>
      <w:tabs>
        <w:tab w:val="left" w:pos="840"/>
      </w:tabs>
      <w:ind w:left="840" w:hanging="360"/>
    </w:pPr>
  </w:style>
  <w:style w:type="paragraph" w:customStyle="1" w:styleId="TableText">
    <w:name w:val="Table Text"/>
    <w:link w:val="TableTextChar"/>
    <w:semiHidden/>
    <w:qFormat/>
    <w:pPr>
      <w:jc w:val="center"/>
    </w:pPr>
    <w:rPr>
      <w:color w:val="000000"/>
      <w:sz w:val="22"/>
      <w:szCs w:val="21"/>
      <w:lang w:eastAsia="en-US"/>
    </w:rPr>
  </w:style>
  <w:style w:type="character" w:customStyle="1" w:styleId="TableTextChar">
    <w:name w:val="Table Text Char"/>
    <w:link w:val="TableText"/>
    <w:semiHidden/>
    <w:qFormat/>
    <w:rPr>
      <w:color w:val="000000"/>
      <w:sz w:val="22"/>
      <w:szCs w:val="21"/>
      <w:lang w:eastAsia="en-US"/>
    </w:rPr>
  </w:style>
  <w:style w:type="paragraph" w:customStyle="1" w:styleId="2Resetnumberingsect12Heading2ph2h21head3">
    <w:name w:val="样式 标题 2Reset numbering章节标题sect 1.2节Heading 2ph2h21head ...3"/>
    <w:basedOn w:val="2"/>
    <w:semiHidden/>
    <w:qFormat/>
    <w:pPr>
      <w:keepNext w:val="0"/>
      <w:keepLines w:val="0"/>
      <w:numPr>
        <w:ilvl w:val="0"/>
        <w:numId w:val="0"/>
      </w:numPr>
      <w:snapToGrid w:val="0"/>
      <w:spacing w:beforeLines="100" w:line="360" w:lineRule="auto"/>
      <w:ind w:left="1320" w:hanging="420"/>
      <w:jc w:val="left"/>
    </w:pPr>
    <w:rPr>
      <w:rFonts w:ascii="宋体" w:eastAsia="宋体" w:hAnsi="宋体" w:cs="宋体"/>
      <w:b w:val="0"/>
      <w:bCs w:val="0"/>
      <w:kern w:val="0"/>
      <w:sz w:val="30"/>
      <w:szCs w:val="20"/>
    </w:rPr>
  </w:style>
  <w:style w:type="paragraph" w:customStyle="1" w:styleId="A-2005-">
    <w:name w:val="A-小报告2005-正文"/>
    <w:basedOn w:val="a"/>
    <w:semiHidden/>
    <w:qFormat/>
    <w:pPr>
      <w:spacing w:before="60" w:after="60"/>
      <w:ind w:right="2835" w:firstLineChars="200" w:firstLine="420"/>
    </w:pPr>
    <w:rPr>
      <w:rFonts w:eastAsia="楷体_GB2312"/>
      <w:color w:val="003366"/>
    </w:rPr>
  </w:style>
  <w:style w:type="paragraph" w:customStyle="1" w:styleId="CharChar23">
    <w:name w:val="Char Char23"/>
    <w:basedOn w:val="a"/>
    <w:semiHidden/>
    <w:qFormat/>
    <w:pPr>
      <w:spacing w:after="160" w:line="240" w:lineRule="exact"/>
    </w:pPr>
    <w:rPr>
      <w:rFonts w:ascii="Verdana" w:eastAsia="Times New Roman" w:hAnsi="Verdana"/>
      <w:sz w:val="20"/>
      <w:szCs w:val="20"/>
      <w:lang w:eastAsia="en-US"/>
    </w:rPr>
  </w:style>
  <w:style w:type="paragraph" w:customStyle="1" w:styleId="afffffffffffffffd">
    <w:name w:val="封面正文"/>
    <w:semiHidden/>
    <w:qFormat/>
    <w:pPr>
      <w:jc w:val="both"/>
    </w:pPr>
  </w:style>
  <w:style w:type="paragraph" w:customStyle="1" w:styleId="CM167">
    <w:name w:val="CM167"/>
    <w:basedOn w:val="Default"/>
    <w:next w:val="Default"/>
    <w:semiHidden/>
    <w:qFormat/>
    <w:pPr>
      <w:spacing w:after="287"/>
      <w:jc w:val="both"/>
    </w:pPr>
    <w:rPr>
      <w:rFonts w:ascii=".a...D.." w:eastAsia=".a...D.." w:cs="Times New Roman"/>
      <w:color w:val="auto"/>
    </w:rPr>
  </w:style>
  <w:style w:type="paragraph" w:customStyle="1" w:styleId="CM81">
    <w:name w:val="CM81"/>
    <w:basedOn w:val="a"/>
    <w:next w:val="a"/>
    <w:uiPriority w:val="99"/>
    <w:semiHidden/>
    <w:qFormat/>
    <w:pPr>
      <w:autoSpaceDE w:val="0"/>
      <w:autoSpaceDN w:val="0"/>
      <w:adjustRightInd w:val="0"/>
      <w:spacing w:after="190"/>
    </w:pPr>
    <w:rPr>
      <w:rFonts w:ascii="黑体" w:eastAsia="黑体"/>
    </w:rPr>
  </w:style>
  <w:style w:type="paragraph" w:customStyle="1" w:styleId="CM34">
    <w:name w:val="CM34"/>
    <w:basedOn w:val="Default"/>
    <w:next w:val="Default"/>
    <w:uiPriority w:val="99"/>
    <w:semiHidden/>
    <w:qFormat/>
    <w:pPr>
      <w:spacing w:line="288" w:lineRule="atLeast"/>
    </w:pPr>
    <w:rPr>
      <w:rFonts w:ascii="隶书" w:eastAsia="隶书" w:cs="Times New Roman"/>
      <w:color w:val="auto"/>
    </w:rPr>
  </w:style>
  <w:style w:type="paragraph" w:customStyle="1" w:styleId="CharCharCharCharCharCharCharCharCharCharCharChar">
    <w:name w:val="Char Char Char Char Char Char Char Char Char Char Char Char"/>
    <w:basedOn w:val="a"/>
    <w:semiHidden/>
    <w:qFormat/>
    <w:pPr>
      <w:spacing w:after="160" w:line="240" w:lineRule="exact"/>
    </w:pPr>
    <w:rPr>
      <w:rFonts w:ascii="Verdana" w:hAnsi="Verdana"/>
      <w:sz w:val="20"/>
      <w:szCs w:val="20"/>
      <w:lang w:eastAsia="en-US"/>
    </w:rPr>
  </w:style>
  <w:style w:type="paragraph" w:customStyle="1" w:styleId="xl85">
    <w:name w:val="xl85"/>
    <w:basedOn w:val="a"/>
    <w:uiPriority w:val="99"/>
    <w:semiHidden/>
    <w:qFormat/>
    <w:pPr>
      <w:pBdr>
        <w:left w:val="single" w:sz="4" w:space="0" w:color="auto"/>
        <w:bottom w:val="single" w:sz="4" w:space="0" w:color="auto"/>
        <w:right w:val="single" w:sz="4" w:space="0" w:color="auto"/>
      </w:pBdr>
      <w:spacing w:before="100" w:beforeAutospacing="1" w:after="100" w:afterAutospacing="1"/>
    </w:pPr>
    <w:rPr>
      <w:rFonts w:ascii="仿宋_GB2312" w:eastAsia="仿宋_GB2312"/>
      <w:b/>
      <w:bCs/>
      <w:sz w:val="20"/>
      <w:szCs w:val="20"/>
    </w:rPr>
  </w:style>
  <w:style w:type="paragraph" w:customStyle="1" w:styleId="TOC21">
    <w:name w:val="TOC 标题2"/>
    <w:basedOn w:val="1"/>
    <w:next w:val="a"/>
    <w:uiPriority w:val="39"/>
    <w:semiHidden/>
    <w:qFormat/>
    <w:pPr>
      <w:tabs>
        <w:tab w:val="clear" w:pos="1134"/>
        <w:tab w:val="left" w:pos="454"/>
      </w:tabs>
      <w:spacing w:beforeLines="0" w:before="120" w:afterLines="0" w:after="0" w:line="276" w:lineRule="auto"/>
      <w:ind w:left="454" w:firstLineChars="0" w:hanging="420"/>
      <w:jc w:val="left"/>
      <w:outlineLvl w:val="9"/>
    </w:pPr>
    <w:rPr>
      <w:rFonts w:ascii="Cambria" w:hAnsi="Cambria"/>
      <w:color w:val="365F91"/>
      <w:kern w:val="0"/>
      <w:sz w:val="28"/>
      <w:szCs w:val="28"/>
    </w:rPr>
  </w:style>
  <w:style w:type="paragraph" w:customStyle="1" w:styleId="Char1CharCharChar1CharCharChar2">
    <w:name w:val="Char1 Char Char Char1 Char Char Char2"/>
    <w:basedOn w:val="a"/>
    <w:semiHidden/>
    <w:qFormat/>
    <w:pPr>
      <w:autoSpaceDE w:val="0"/>
      <w:autoSpaceDN w:val="0"/>
      <w:adjustRightInd w:val="0"/>
      <w:textAlignment w:val="baseline"/>
    </w:pPr>
    <w:rPr>
      <w:sz w:val="34"/>
      <w:szCs w:val="20"/>
    </w:rPr>
  </w:style>
  <w:style w:type="paragraph" w:customStyle="1" w:styleId="font9">
    <w:name w:val="font9"/>
    <w:basedOn w:val="a"/>
    <w:semiHidden/>
    <w:qFormat/>
    <w:pPr>
      <w:spacing w:before="100" w:beforeAutospacing="1" w:after="100" w:afterAutospacing="1"/>
    </w:pPr>
    <w:rPr>
      <w:rFonts w:cs="Arial Unicode MS" w:hint="eastAsia"/>
      <w:b/>
      <w:bCs/>
      <w:sz w:val="20"/>
      <w:szCs w:val="20"/>
      <w:lang w:val="en-GB" w:eastAsia="en-US"/>
    </w:rPr>
  </w:style>
  <w:style w:type="paragraph" w:customStyle="1" w:styleId="CharCharCharCharCharCharCharCharChar4">
    <w:name w:val="Char Char Char Char Char Char Char Char Char4"/>
    <w:basedOn w:val="a"/>
    <w:uiPriority w:val="99"/>
    <w:semiHidden/>
    <w:qFormat/>
    <w:pPr>
      <w:tabs>
        <w:tab w:val="left" w:pos="840"/>
      </w:tabs>
      <w:ind w:left="840" w:hanging="360"/>
    </w:pPr>
  </w:style>
  <w:style w:type="paragraph" w:customStyle="1" w:styleId="xl23">
    <w:name w:val="xl23"/>
    <w:basedOn w:val="a"/>
    <w:semiHidden/>
    <w:qFormat/>
    <w:pPr>
      <w:spacing w:before="100" w:beforeAutospacing="1" w:after="100" w:afterAutospacing="1"/>
      <w:jc w:val="center"/>
    </w:pPr>
    <w:rPr>
      <w:rFonts w:ascii="方正楷体_GBK" w:eastAsia="方正楷体_GBK" w:hAnsi="Arial Unicode MS" w:hint="eastAsia"/>
      <w:b/>
      <w:bCs/>
    </w:rPr>
  </w:style>
  <w:style w:type="paragraph" w:customStyle="1" w:styleId="CM68">
    <w:name w:val="CM68"/>
    <w:basedOn w:val="Default"/>
    <w:next w:val="Default"/>
    <w:uiPriority w:val="99"/>
    <w:semiHidden/>
    <w:qFormat/>
    <w:pPr>
      <w:spacing w:line="546" w:lineRule="atLeast"/>
    </w:pPr>
    <w:rPr>
      <w:rFonts w:ascii="隶书" w:eastAsia="隶书" w:cs="Times New Roman"/>
      <w:color w:val="auto"/>
    </w:rPr>
  </w:style>
  <w:style w:type="paragraph" w:customStyle="1" w:styleId="CM168">
    <w:name w:val="CM168"/>
    <w:basedOn w:val="Default"/>
    <w:next w:val="Default"/>
    <w:semiHidden/>
    <w:qFormat/>
    <w:pPr>
      <w:spacing w:after="915"/>
    </w:pPr>
    <w:rPr>
      <w:rFonts w:ascii="PCJODE+MSung-Light" w:eastAsia="PCJODE+MSung-Light" w:cs="Times New Roman"/>
      <w:color w:val="auto"/>
    </w:rPr>
  </w:style>
  <w:style w:type="paragraph" w:customStyle="1" w:styleId="afffffffffffffffe">
    <w:name w:val="正文段落"/>
    <w:basedOn w:val="a"/>
    <w:semiHidden/>
    <w:qFormat/>
    <w:pPr>
      <w:adjustRightInd w:val="0"/>
      <w:snapToGrid w:val="0"/>
      <w:spacing w:line="420" w:lineRule="atLeast"/>
      <w:ind w:firstLineChars="200" w:firstLine="200"/>
    </w:pPr>
  </w:style>
  <w:style w:type="paragraph" w:customStyle="1" w:styleId="CharChar4CharCharCharCharCharCharChar3">
    <w:name w:val="Char Char4 Char Char Char Char Char Char Char3"/>
    <w:basedOn w:val="a"/>
    <w:semiHidden/>
    <w:qFormat/>
    <w:pPr>
      <w:spacing w:after="160" w:line="240" w:lineRule="exact"/>
    </w:pPr>
    <w:rPr>
      <w:rFonts w:ascii="Verdana" w:hAnsi="Verdana" w:cs="Verdana"/>
      <w:sz w:val="20"/>
      <w:szCs w:val="20"/>
      <w:lang w:eastAsia="en-US"/>
    </w:rPr>
  </w:style>
  <w:style w:type="paragraph" w:customStyle="1" w:styleId="325">
    <w:name w:val="样式 三号 加粗 段前: 3 磅 行距: 固定值 25 磅"/>
    <w:basedOn w:val="1"/>
    <w:semiHidden/>
    <w:qFormat/>
    <w:pPr>
      <w:tabs>
        <w:tab w:val="clear" w:pos="1134"/>
      </w:tabs>
      <w:spacing w:beforeLines="0" w:before="0" w:afterLines="0" w:after="0" w:line="500" w:lineRule="exact"/>
      <w:ind w:left="900" w:firstLineChars="0" w:hanging="420"/>
      <w:jc w:val="left"/>
    </w:pPr>
    <w:rPr>
      <w:bCs w:val="0"/>
      <w:sz w:val="32"/>
      <w:szCs w:val="20"/>
    </w:rPr>
  </w:style>
  <w:style w:type="paragraph" w:customStyle="1" w:styleId="xl74">
    <w:name w:val="xl74"/>
    <w:basedOn w:val="a"/>
    <w:uiPriority w:val="99"/>
    <w:semiHidden/>
    <w:qFormat/>
    <w:pPr>
      <w:spacing w:before="100" w:beforeAutospacing="1" w:after="100" w:afterAutospacing="1"/>
    </w:pPr>
  </w:style>
  <w:style w:type="paragraph" w:customStyle="1" w:styleId="010">
    <w:name w:val="样式 正文01 +"/>
    <w:basedOn w:val="a"/>
    <w:semiHidden/>
    <w:qFormat/>
    <w:pPr>
      <w:spacing w:before="60" w:line="500" w:lineRule="exact"/>
      <w:ind w:firstLineChars="200" w:firstLine="200"/>
    </w:pPr>
    <w:rPr>
      <w:color w:val="000000"/>
    </w:rPr>
  </w:style>
  <w:style w:type="paragraph" w:customStyle="1" w:styleId="GGGGYYYY">
    <w:name w:val="GGGGYYYY"/>
    <w:basedOn w:val="a"/>
    <w:semiHidden/>
    <w:qFormat/>
    <w:pPr>
      <w:adjustRightInd w:val="0"/>
      <w:snapToGrid w:val="0"/>
      <w:spacing w:line="360" w:lineRule="auto"/>
      <w:ind w:firstLine="567"/>
    </w:pPr>
    <w:rPr>
      <w:sz w:val="28"/>
    </w:rPr>
  </w:style>
  <w:style w:type="paragraph" w:customStyle="1" w:styleId="affffffffffffffff">
    <w:name w:val="章"/>
    <w:basedOn w:val="1"/>
    <w:semiHidden/>
    <w:qFormat/>
    <w:pPr>
      <w:tabs>
        <w:tab w:val="clear" w:pos="1134"/>
      </w:tabs>
      <w:snapToGrid w:val="0"/>
      <w:spacing w:afterLines="0" w:after="0" w:line="360" w:lineRule="auto"/>
      <w:ind w:left="900" w:firstLineChars="0" w:hanging="420"/>
      <w:jc w:val="center"/>
    </w:pPr>
    <w:rPr>
      <w:rFonts w:eastAsia="黑体"/>
      <w:b w:val="0"/>
      <w:bCs w:val="0"/>
      <w:kern w:val="2"/>
      <w:sz w:val="36"/>
      <w:szCs w:val="24"/>
      <w:lang w:bidi="ne-IN"/>
    </w:rPr>
  </w:style>
  <w:style w:type="paragraph" w:customStyle="1" w:styleId="xl70">
    <w:name w:val="xl70"/>
    <w:basedOn w:val="a"/>
    <w:uiPriority w:val="99"/>
    <w:semiHidden/>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_GB2312" w:eastAsia="仿宋_GB2312"/>
      <w:sz w:val="20"/>
      <w:szCs w:val="20"/>
    </w:rPr>
  </w:style>
  <w:style w:type="paragraph" w:customStyle="1" w:styleId="GB23124">
    <w:name w:val="正文 + (中文) 楷体_GB2312"/>
    <w:basedOn w:val="a"/>
    <w:semiHidden/>
    <w:qFormat/>
    <w:pPr>
      <w:spacing w:line="500" w:lineRule="exact"/>
      <w:ind w:firstLineChars="200" w:firstLine="640"/>
    </w:pPr>
    <w:rPr>
      <w:color w:val="FF0000"/>
      <w:sz w:val="32"/>
      <w:szCs w:val="20"/>
    </w:rPr>
  </w:style>
  <w:style w:type="paragraph" w:customStyle="1" w:styleId="191">
    <w:name w:val="样式19"/>
    <w:basedOn w:val="a"/>
    <w:semiHidden/>
    <w:qFormat/>
    <w:pPr>
      <w:spacing w:beforeLines="50" w:line="360" w:lineRule="auto"/>
      <w:ind w:firstLineChars="200" w:firstLine="480"/>
    </w:pPr>
    <w:rPr>
      <w:rFonts w:cs="Arial"/>
    </w:rPr>
  </w:style>
  <w:style w:type="paragraph" w:customStyle="1" w:styleId="CharChar1CharCharCharChar1CharCharChar7">
    <w:name w:val="Char Char1 Char Char Char Char1 Char Char Char7"/>
    <w:basedOn w:val="a"/>
    <w:semiHidden/>
    <w:qFormat/>
    <w:pPr>
      <w:autoSpaceDE w:val="0"/>
      <w:autoSpaceDN w:val="0"/>
      <w:adjustRightInd w:val="0"/>
    </w:pPr>
  </w:style>
  <w:style w:type="paragraph" w:customStyle="1" w:styleId="CM51">
    <w:name w:val="CM51"/>
    <w:basedOn w:val="Default"/>
    <w:next w:val="Default"/>
    <w:uiPriority w:val="99"/>
    <w:semiHidden/>
    <w:qFormat/>
    <w:pPr>
      <w:spacing w:line="511" w:lineRule="atLeast"/>
    </w:pPr>
    <w:rPr>
      <w:rFonts w:ascii="隶书" w:eastAsia="隶书" w:cs="Times New Roman"/>
      <w:color w:val="auto"/>
    </w:rPr>
  </w:style>
  <w:style w:type="character" w:customStyle="1" w:styleId="CharChar1311">
    <w:name w:val="Char Char1311"/>
    <w:semiHidden/>
    <w:qFormat/>
    <w:rPr>
      <w:i/>
      <w:color w:val="000080"/>
      <w:lang w:val="en-GB" w:eastAsia="en-US"/>
    </w:rPr>
  </w:style>
  <w:style w:type="paragraph" w:customStyle="1" w:styleId="ppslevel5">
    <w:name w:val="pps level 5"/>
    <w:basedOn w:val="5"/>
    <w:semiHidden/>
    <w:qFormat/>
    <w:pPr>
      <w:keepNext w:val="0"/>
      <w:keepLines w:val="0"/>
      <w:widowControl w:val="0"/>
      <w:numPr>
        <w:ilvl w:val="0"/>
        <w:numId w:val="0"/>
      </w:numPr>
      <w:spacing w:beforeLines="0" w:before="120" w:afterLines="0" w:after="0" w:line="360" w:lineRule="auto"/>
      <w:ind w:left="400"/>
      <w:jc w:val="left"/>
      <w:textAlignment w:val="baseline"/>
    </w:pPr>
    <w:rPr>
      <w:b w:val="0"/>
      <w:bCs w:val="0"/>
      <w:sz w:val="24"/>
      <w:szCs w:val="24"/>
    </w:rPr>
  </w:style>
  <w:style w:type="paragraph" w:customStyle="1" w:styleId="095151">
    <w:name w:val="样式 两端对齐 首行缩进:  0.95 厘米 行距: 1.5 倍行距1"/>
    <w:basedOn w:val="a"/>
    <w:semiHidden/>
    <w:qFormat/>
    <w:pPr>
      <w:spacing w:line="360" w:lineRule="auto"/>
      <w:ind w:firstLine="540"/>
    </w:pPr>
    <w:rPr>
      <w:szCs w:val="20"/>
    </w:rPr>
  </w:style>
  <w:style w:type="paragraph" w:customStyle="1" w:styleId="StyleHLinespacing15lines">
    <w:name w:val="Style H + Line spacing:  1.5 lines"/>
    <w:basedOn w:val="a"/>
    <w:semiHidden/>
    <w:qFormat/>
    <w:pPr>
      <w:keepNext/>
      <w:spacing w:after="240"/>
      <w:outlineLvl w:val="0"/>
    </w:pPr>
    <w:rPr>
      <w:rFonts w:ascii="Arial" w:eastAsia="PMingLiU" w:hAnsi="Arial" w:cs="PMingLiU"/>
      <w:b/>
      <w:bCs/>
      <w:szCs w:val="20"/>
      <w:lang w:val="en-GB" w:bidi="th-TH"/>
    </w:rPr>
  </w:style>
  <w:style w:type="paragraph" w:customStyle="1" w:styleId="xu21">
    <w:name w:val="xu封2"/>
    <w:basedOn w:val="a"/>
    <w:semiHidden/>
    <w:qFormat/>
    <w:pPr>
      <w:spacing w:before="120"/>
      <w:jc w:val="center"/>
    </w:pPr>
    <w:rPr>
      <w:sz w:val="52"/>
      <w:szCs w:val="20"/>
    </w:rPr>
  </w:style>
  <w:style w:type="paragraph" w:customStyle="1" w:styleId="CharCharCharChar1CharCharCharCharCharChar">
    <w:name w:val="Char Char Char Char1 Char Char Char Char Char Char"/>
    <w:basedOn w:val="a"/>
    <w:semiHidden/>
    <w:qFormat/>
    <w:pPr>
      <w:spacing w:after="160" w:line="240" w:lineRule="exact"/>
    </w:pPr>
    <w:rPr>
      <w:rFonts w:ascii="Verdana" w:hAnsi="Verdana"/>
      <w:sz w:val="20"/>
      <w:szCs w:val="20"/>
      <w:lang w:eastAsia="en-US"/>
    </w:rPr>
  </w:style>
  <w:style w:type="paragraph" w:customStyle="1" w:styleId="affffffffffffffff0">
    <w:name w:val="表格段落"/>
    <w:basedOn w:val="a"/>
    <w:link w:val="Charffffd"/>
    <w:semiHidden/>
    <w:qFormat/>
    <w:pPr>
      <w:topLinePunct/>
      <w:spacing w:after="40" w:line="240" w:lineRule="exact"/>
      <w:jc w:val="center"/>
    </w:pPr>
    <w:rPr>
      <w:rFonts w:ascii="华文细黑" w:eastAsia="华文细黑"/>
      <w:szCs w:val="20"/>
    </w:rPr>
  </w:style>
  <w:style w:type="character" w:customStyle="1" w:styleId="Charffffd">
    <w:name w:val="表格段落 Char"/>
    <w:link w:val="affffffffffffffff0"/>
    <w:semiHidden/>
    <w:qFormat/>
    <w:rPr>
      <w:rFonts w:ascii="华文细黑" w:eastAsia="华文细黑"/>
      <w:kern w:val="2"/>
      <w:sz w:val="21"/>
    </w:rPr>
  </w:style>
  <w:style w:type="character" w:customStyle="1" w:styleId="apple-converted-space">
    <w:name w:val="apple-converted-space"/>
    <w:semiHidden/>
    <w:qFormat/>
  </w:style>
  <w:style w:type="paragraph" w:customStyle="1" w:styleId="1050">
    <w:name w:val="样式 样式 样式 标题1 + 段前: 0.5 行 + (符号) 宋体 + 非加粗"/>
    <w:basedOn w:val="105"/>
    <w:semiHidden/>
    <w:qFormat/>
    <w:rPr>
      <w:bCs w:val="0"/>
      <w:szCs w:val="32"/>
    </w:rPr>
  </w:style>
  <w:style w:type="paragraph" w:customStyle="1" w:styleId="affffffffffffffff1">
    <w:name w:val="农业部一"/>
    <w:next w:val="a7"/>
    <w:semiHidden/>
    <w:qFormat/>
    <w:pPr>
      <w:keepNext/>
      <w:keepLines/>
      <w:widowControl w:val="0"/>
      <w:adjustRightInd w:val="0"/>
      <w:snapToGrid w:val="0"/>
      <w:spacing w:before="936" w:after="624"/>
      <w:jc w:val="center"/>
    </w:pPr>
    <w:rPr>
      <w:rFonts w:eastAsia="黑体"/>
      <w:sz w:val="28"/>
    </w:rPr>
  </w:style>
  <w:style w:type="paragraph" w:customStyle="1" w:styleId="affffffffffffffff2">
    <w:name w:val="字元 字元"/>
    <w:basedOn w:val="a"/>
    <w:semiHidden/>
    <w:qFormat/>
    <w:pPr>
      <w:spacing w:after="160" w:line="240" w:lineRule="exact"/>
    </w:pPr>
    <w:rPr>
      <w:rFonts w:eastAsia="Times New Roman"/>
      <w:sz w:val="20"/>
      <w:szCs w:val="20"/>
    </w:rPr>
  </w:style>
  <w:style w:type="paragraph" w:customStyle="1" w:styleId="Legal2L3">
    <w:name w:val="Legal2_L3"/>
    <w:basedOn w:val="a"/>
    <w:semiHidden/>
    <w:qFormat/>
    <w:pPr>
      <w:tabs>
        <w:tab w:val="left" w:pos="2160"/>
      </w:tabs>
      <w:spacing w:after="240"/>
      <w:ind w:left="2160" w:hanging="720"/>
      <w:outlineLvl w:val="2"/>
    </w:pPr>
    <w:rPr>
      <w:rFonts w:eastAsia="PMingLiU"/>
      <w:lang w:eastAsia="en-US"/>
    </w:rPr>
  </w:style>
  <w:style w:type="paragraph" w:customStyle="1" w:styleId="CharChar34">
    <w:name w:val="Char Char34"/>
    <w:basedOn w:val="a"/>
    <w:semiHidden/>
    <w:qFormat/>
    <w:pPr>
      <w:autoSpaceDE w:val="0"/>
      <w:autoSpaceDN w:val="0"/>
      <w:adjustRightInd w:val="0"/>
      <w:spacing w:after="160" w:line="240" w:lineRule="exact"/>
    </w:pPr>
    <w:rPr>
      <w:rFonts w:ascii="Verdana" w:eastAsia="Times New Roman" w:hAnsi="Verdana" w:cs="Arial"/>
      <w:sz w:val="22"/>
      <w:szCs w:val="20"/>
      <w:lang w:eastAsia="en-US"/>
    </w:rPr>
  </w:style>
  <w:style w:type="paragraph" w:customStyle="1" w:styleId="affffffffffffffff3">
    <w:name w:val="插入表格"/>
    <w:next w:val="a"/>
    <w:semiHidden/>
    <w:qFormat/>
    <w:pPr>
      <w:widowControl w:val="0"/>
      <w:adjustRightInd w:val="0"/>
      <w:spacing w:before="120" w:after="120"/>
      <w:jc w:val="center"/>
      <w:textAlignment w:val="baseline"/>
    </w:pPr>
    <w:rPr>
      <w:rFonts w:ascii="宋体"/>
      <w:sz w:val="21"/>
    </w:rPr>
  </w:style>
  <w:style w:type="paragraph" w:customStyle="1" w:styleId="CM80">
    <w:name w:val="CM80"/>
    <w:basedOn w:val="Default"/>
    <w:next w:val="Default"/>
    <w:uiPriority w:val="99"/>
    <w:semiHidden/>
    <w:qFormat/>
    <w:pPr>
      <w:spacing w:after="648"/>
    </w:pPr>
    <w:rPr>
      <w:rFonts w:ascii="隶书" w:eastAsia="隶书" w:cs="Times New Roman"/>
      <w:color w:val="auto"/>
    </w:rPr>
  </w:style>
  <w:style w:type="paragraph" w:customStyle="1" w:styleId="ppslevel3">
    <w:name w:val="pps level 3"/>
    <w:basedOn w:val="3"/>
    <w:semiHidden/>
    <w:qFormat/>
    <w:pPr>
      <w:keepNext w:val="0"/>
      <w:keepLines w:val="0"/>
      <w:numPr>
        <w:ilvl w:val="0"/>
        <w:numId w:val="0"/>
      </w:numPr>
      <w:autoSpaceDE w:val="0"/>
      <w:autoSpaceDN w:val="0"/>
      <w:adjustRightInd w:val="0"/>
      <w:snapToGrid w:val="0"/>
      <w:spacing w:beforeLines="0" w:before="120" w:afterLines="0" w:after="0" w:line="360" w:lineRule="auto"/>
      <w:ind w:left="849" w:hanging="1049"/>
      <w:jc w:val="left"/>
    </w:pPr>
    <w:rPr>
      <w:rFonts w:eastAsia="黑体"/>
      <w:bCs w:val="0"/>
      <w:kern w:val="0"/>
      <w:sz w:val="30"/>
      <w:szCs w:val="30"/>
    </w:rPr>
  </w:style>
  <w:style w:type="paragraph" w:customStyle="1" w:styleId="CM174">
    <w:name w:val="CM174"/>
    <w:basedOn w:val="Default"/>
    <w:next w:val="Default"/>
    <w:semiHidden/>
    <w:qFormat/>
    <w:pPr>
      <w:spacing w:after="180"/>
    </w:pPr>
    <w:rPr>
      <w:rFonts w:cs="Times New Roman"/>
      <w:color w:val="auto"/>
    </w:rPr>
  </w:style>
  <w:style w:type="paragraph" w:customStyle="1" w:styleId="affffffffffffffff4">
    <w:name w:val="段"/>
    <w:basedOn w:val="a"/>
    <w:link w:val="Char1fb"/>
    <w:semiHidden/>
    <w:qFormat/>
    <w:pPr>
      <w:tabs>
        <w:tab w:val="left" w:pos="180"/>
        <w:tab w:val="left" w:pos="6960"/>
        <w:tab w:val="left" w:pos="8100"/>
      </w:tabs>
      <w:adjustRightInd w:val="0"/>
      <w:snapToGrid w:val="0"/>
      <w:spacing w:line="520" w:lineRule="atLeast"/>
      <w:ind w:firstLine="480"/>
    </w:pPr>
    <w:rPr>
      <w:szCs w:val="20"/>
    </w:rPr>
  </w:style>
  <w:style w:type="character" w:customStyle="1" w:styleId="Char1fb">
    <w:name w:val="段 Char1"/>
    <w:link w:val="affffffffffffffff4"/>
    <w:semiHidden/>
    <w:rPr>
      <w:kern w:val="2"/>
      <w:sz w:val="21"/>
    </w:rPr>
  </w:style>
  <w:style w:type="paragraph" w:customStyle="1" w:styleId="ParaCharCharCharCharCharCharChar">
    <w:name w:val="默认段落字体 Para Char Char Char Char Char Char Char"/>
    <w:basedOn w:val="a"/>
    <w:semiHidden/>
    <w:qFormat/>
    <w:rPr>
      <w:rFonts w:ascii="Tahoma" w:hAnsi="Tahoma" w:cs="Tahoma"/>
    </w:rPr>
  </w:style>
  <w:style w:type="paragraph" w:customStyle="1" w:styleId="CharChar1CharCharCharCharCharCharChar4">
    <w:name w:val="Char Char1 Char Char Char Char Char Char Char4"/>
    <w:basedOn w:val="a"/>
    <w:semiHidden/>
    <w:qFormat/>
    <w:pPr>
      <w:adjustRightInd w:val="0"/>
      <w:spacing w:line="360" w:lineRule="auto"/>
      <w:ind w:firstLineChars="200" w:firstLine="200"/>
      <w:textAlignment w:val="baseline"/>
    </w:pPr>
    <w:rPr>
      <w:rFonts w:eastAsia="昆仑仿宋"/>
    </w:rPr>
  </w:style>
  <w:style w:type="paragraph" w:customStyle="1" w:styleId="CharChar27">
    <w:name w:val="Char Char27"/>
    <w:basedOn w:val="a"/>
    <w:semiHidden/>
    <w:qFormat/>
    <w:pPr>
      <w:spacing w:after="160" w:line="240" w:lineRule="exact"/>
    </w:pPr>
    <w:rPr>
      <w:rFonts w:ascii="Verdana" w:eastAsia="Times New Roman" w:hAnsi="Verdana"/>
      <w:sz w:val="20"/>
      <w:szCs w:val="20"/>
      <w:lang w:eastAsia="en-US"/>
    </w:rPr>
  </w:style>
  <w:style w:type="paragraph" w:customStyle="1" w:styleId="affffffffffffffff5">
    <w:name w:val="附注－标题三"/>
    <w:basedOn w:val="a"/>
    <w:semiHidden/>
    <w:qFormat/>
    <w:pPr>
      <w:adjustRightInd w:val="0"/>
      <w:snapToGrid w:val="0"/>
      <w:spacing w:afterLines="50" w:line="360" w:lineRule="auto"/>
      <w:ind w:firstLineChars="150" w:firstLine="150"/>
      <w:outlineLvl w:val="2"/>
    </w:pPr>
    <w:rPr>
      <w:rFonts w:ascii="Arial Narrow" w:hAnsi="Arial Narrow"/>
      <w:b/>
      <w:szCs w:val="20"/>
    </w:rPr>
  </w:style>
  <w:style w:type="paragraph" w:customStyle="1" w:styleId="4f3">
    <w:name w:val="纯文本4"/>
    <w:basedOn w:val="a"/>
    <w:semiHidden/>
    <w:qFormat/>
    <w:rPr>
      <w:rFonts w:hAnsi="Courier New"/>
      <w:szCs w:val="20"/>
    </w:rPr>
  </w:style>
  <w:style w:type="paragraph" w:customStyle="1" w:styleId="CharCharf2">
    <w:name w:val="Char Char"/>
    <w:basedOn w:val="a"/>
    <w:semiHidden/>
    <w:qFormat/>
    <w:pPr>
      <w:spacing w:after="160" w:line="240" w:lineRule="exact"/>
    </w:pPr>
    <w:rPr>
      <w:rFonts w:ascii="Verdana" w:eastAsia="Times New Roman" w:hAnsi="Verdana"/>
      <w:sz w:val="20"/>
      <w:szCs w:val="20"/>
      <w:lang w:eastAsia="en-US"/>
    </w:rPr>
  </w:style>
  <w:style w:type="paragraph" w:customStyle="1" w:styleId="2fff5">
    <w:name w:val="样式 小四标准段落 + 首行缩进:  2 字符"/>
    <w:basedOn w:val="a"/>
    <w:semiHidden/>
    <w:qFormat/>
    <w:pPr>
      <w:spacing w:before="60" w:after="60" w:line="420" w:lineRule="exact"/>
      <w:ind w:firstLineChars="200" w:firstLine="480"/>
    </w:pPr>
    <w:rPr>
      <w:szCs w:val="20"/>
    </w:rPr>
  </w:style>
  <w:style w:type="paragraph" w:customStyle="1" w:styleId="affffffffffffffff6">
    <w:name w:val="一、公司概况"/>
    <w:basedOn w:val="a"/>
    <w:uiPriority w:val="99"/>
    <w:semiHidden/>
    <w:qFormat/>
    <w:pPr>
      <w:spacing w:beforeLines="50" w:line="360" w:lineRule="auto"/>
    </w:pPr>
    <w:rPr>
      <w:rFonts w:ascii="黑体" w:eastAsia="黑体"/>
      <w:sz w:val="30"/>
      <w:szCs w:val="30"/>
    </w:rPr>
  </w:style>
  <w:style w:type="paragraph" w:customStyle="1" w:styleId="CharChar1CharCharCharCharCharCharCharCharCharCharCharCharChar1CharCharCharCharCharCharCharCharCharCharCharCharCharChar1CharCharCharCharCharCharCharCharCharCharCharChar1CharCharCharCharCharChar9">
    <w:name w:val="Char Char1 Char Char Char Char Char Char Char Char Char Char Char Char Char1 Char Char Char Char Char Char Char Char Char Char Char Char Char Char1 Char Char Char Char Char Char Char Char Char Char Char Char1 Char Char Char Char Char Char9"/>
    <w:basedOn w:val="a"/>
    <w:semiHidden/>
    <w:qFormat/>
    <w:pPr>
      <w:autoSpaceDE w:val="0"/>
      <w:autoSpaceDN w:val="0"/>
      <w:adjustRightInd w:val="0"/>
      <w:spacing w:after="160" w:line="240" w:lineRule="exact"/>
    </w:pPr>
    <w:rPr>
      <w:rFonts w:ascii="Verdana" w:eastAsia="Times New Roman" w:hAnsi="Verdana"/>
      <w:sz w:val="20"/>
      <w:szCs w:val="20"/>
      <w:lang w:eastAsia="en-US"/>
    </w:rPr>
  </w:style>
  <w:style w:type="paragraph" w:customStyle="1" w:styleId="CharChar1CharCharCharChar1CharCharChar4">
    <w:name w:val="Char Char1 Char Char Char Char1 Char Char Char4"/>
    <w:basedOn w:val="a"/>
    <w:uiPriority w:val="99"/>
    <w:semiHidden/>
    <w:qFormat/>
  </w:style>
  <w:style w:type="paragraph" w:customStyle="1" w:styleId="1ffff">
    <w:name w:val="表格1"/>
    <w:semiHidden/>
    <w:qFormat/>
    <w:pPr>
      <w:adjustRightInd w:val="0"/>
      <w:snapToGrid w:val="0"/>
      <w:jc w:val="center"/>
    </w:pPr>
    <w:rPr>
      <w:kern w:val="2"/>
      <w:sz w:val="21"/>
      <w:szCs w:val="21"/>
    </w:rPr>
  </w:style>
  <w:style w:type="paragraph" w:customStyle="1" w:styleId="affffffffffffffff7">
    <w:name w:val="图"/>
    <w:semiHidden/>
    <w:qFormat/>
    <w:pPr>
      <w:adjustRightInd w:val="0"/>
      <w:snapToGrid w:val="0"/>
      <w:jc w:val="center"/>
    </w:pPr>
  </w:style>
  <w:style w:type="character" w:customStyle="1" w:styleId="CharCharCharCharCharCharChar">
    <w:name w:val="海翔药业正文 Char Char Char Char Char Char Char"/>
    <w:semiHidden/>
    <w:qFormat/>
    <w:rPr>
      <w:rFonts w:ascii="宋体" w:eastAsia="宋体" w:hAnsi="宋体"/>
      <w:sz w:val="24"/>
      <w:szCs w:val="24"/>
      <w:lang w:val="en-US" w:eastAsia="zh-CN" w:bidi="en-US"/>
    </w:rPr>
  </w:style>
  <w:style w:type="character" w:customStyle="1" w:styleId="1-3Char">
    <w:name w:val="1-3 Char"/>
    <w:semiHidden/>
    <w:qFormat/>
    <w:rPr>
      <w:rFonts w:ascii="Times New Roman" w:hAnsi="Times New Roman"/>
      <w:b/>
      <w:sz w:val="28"/>
      <w:szCs w:val="28"/>
    </w:rPr>
  </w:style>
  <w:style w:type="paragraph" w:customStyle="1" w:styleId="Char1CharCharCharCharCharChar1Char">
    <w:name w:val="Char1 Char Char Char Char Char Char1 Char"/>
    <w:basedOn w:val="a"/>
    <w:semiHidden/>
    <w:qFormat/>
    <w:pPr>
      <w:spacing w:after="160" w:line="240" w:lineRule="exact"/>
    </w:pPr>
    <w:rPr>
      <w:rFonts w:ascii="Verdana" w:hAnsi="Verdana" w:cs="Verdana"/>
      <w:sz w:val="20"/>
      <w:szCs w:val="20"/>
      <w:lang w:eastAsia="en-US"/>
    </w:rPr>
  </w:style>
  <w:style w:type="paragraph" w:customStyle="1" w:styleId="Char1CharCharChar10">
    <w:name w:val="Char1 Char Char Char10"/>
    <w:basedOn w:val="a"/>
    <w:semiHidden/>
    <w:qFormat/>
    <w:pPr>
      <w:autoSpaceDE w:val="0"/>
      <w:autoSpaceDN w:val="0"/>
      <w:adjustRightInd w:val="0"/>
      <w:spacing w:after="160" w:line="240" w:lineRule="exact"/>
    </w:pPr>
    <w:rPr>
      <w:rFonts w:ascii="Verdana" w:eastAsia="Times New Roman" w:hAnsi="Verdana"/>
      <w:sz w:val="20"/>
      <w:szCs w:val="20"/>
      <w:lang w:eastAsia="en-US"/>
    </w:rPr>
  </w:style>
  <w:style w:type="paragraph" w:customStyle="1" w:styleId="CharCharCharCharCharChar1CharCharCharCharCharCharCharCharCharChar">
    <w:name w:val="Char Char Char Char Char Char1 Char Char Char Char Char Char Char Char Char Char"/>
    <w:basedOn w:val="a"/>
    <w:semiHidden/>
    <w:qFormat/>
    <w:pPr>
      <w:spacing w:after="160" w:line="240" w:lineRule="exact"/>
    </w:pPr>
    <w:rPr>
      <w:rFonts w:ascii="Verdana" w:hAnsi="Verdana"/>
      <w:sz w:val="20"/>
      <w:szCs w:val="20"/>
      <w:lang w:eastAsia="en-US"/>
    </w:rPr>
  </w:style>
  <w:style w:type="paragraph" w:customStyle="1" w:styleId="CharChar4Char5">
    <w:name w:val="Char Char4 Char5"/>
    <w:basedOn w:val="a"/>
    <w:semiHidden/>
    <w:qFormat/>
    <w:pPr>
      <w:spacing w:after="160" w:line="240" w:lineRule="exact"/>
    </w:pPr>
    <w:rPr>
      <w:rFonts w:ascii="Verdana" w:eastAsia="Times New Roman" w:hAnsi="Verdana"/>
      <w:sz w:val="20"/>
      <w:szCs w:val="20"/>
      <w:lang w:eastAsia="en-US"/>
    </w:rPr>
  </w:style>
  <w:style w:type="paragraph" w:customStyle="1" w:styleId="CharCharCharCharChar0">
    <w:name w:val="Char Char Char Char Char"/>
    <w:basedOn w:val="a"/>
    <w:semiHidden/>
    <w:qFormat/>
    <w:rPr>
      <w:rFonts w:ascii="Tahoma" w:hAnsi="Tahoma"/>
      <w:szCs w:val="20"/>
    </w:rPr>
  </w:style>
  <w:style w:type="paragraph" w:customStyle="1" w:styleId="xl43">
    <w:name w:val="xl43"/>
    <w:basedOn w:val="a"/>
    <w:semiHidden/>
    <w:qFormat/>
    <w:pPr>
      <w:spacing w:before="100" w:beforeAutospacing="1" w:after="100" w:afterAutospacing="1"/>
      <w:jc w:val="center"/>
      <w:textAlignment w:val="center"/>
    </w:pPr>
    <w:rPr>
      <w:rFonts w:ascii="楷体_GB2312" w:eastAsia="楷体_GB2312" w:hAnsi="Arial Unicode MS" w:cs="Arial Unicode MS" w:hint="eastAsia"/>
      <w:b/>
      <w:bCs/>
      <w:color w:val="000000"/>
      <w:sz w:val="36"/>
      <w:szCs w:val="36"/>
    </w:rPr>
  </w:style>
  <w:style w:type="paragraph" w:customStyle="1" w:styleId="CharCharChar14">
    <w:name w:val="Char Char 字元 字元 Char1"/>
    <w:basedOn w:val="a"/>
    <w:uiPriority w:val="99"/>
    <w:semiHidden/>
    <w:qFormat/>
  </w:style>
  <w:style w:type="paragraph" w:customStyle="1" w:styleId="affffffffffffffff8">
    <w:name w:val="小四宋体紧密段落"/>
    <w:basedOn w:val="a"/>
    <w:semiHidden/>
    <w:qFormat/>
    <w:pPr>
      <w:spacing w:before="60" w:after="60"/>
    </w:pPr>
    <w:rPr>
      <w:szCs w:val="20"/>
    </w:rPr>
  </w:style>
  <w:style w:type="paragraph" w:customStyle="1" w:styleId="CharChar4CharCharCharCharCharCharChar1CharChar1CharCharCharCharCharCharCharCharCharCharChar1">
    <w:name w:val="Char Char4 Char Char Char Char Char Char Char1 Char Char1 Char Char Char Char Char Char Char Char Char Char Char1"/>
    <w:basedOn w:val="a"/>
    <w:semiHidden/>
    <w:qFormat/>
    <w:pPr>
      <w:spacing w:after="160" w:line="240" w:lineRule="exact"/>
    </w:pPr>
    <w:rPr>
      <w:rFonts w:ascii="Verdana" w:hAnsi="Verdana" w:cs="Verdana"/>
      <w:sz w:val="20"/>
      <w:szCs w:val="20"/>
      <w:lang w:eastAsia="en-US"/>
    </w:rPr>
  </w:style>
  <w:style w:type="paragraph" w:customStyle="1" w:styleId="074">
    <w:name w:val="样式 左侧:  0.74 厘米"/>
    <w:basedOn w:val="a"/>
    <w:semiHidden/>
    <w:qFormat/>
    <w:pPr>
      <w:adjustRightInd w:val="0"/>
      <w:jc w:val="center"/>
    </w:pPr>
    <w:rPr>
      <w:color w:val="4C4C4C"/>
    </w:rPr>
  </w:style>
  <w:style w:type="paragraph" w:customStyle="1" w:styleId="CharChar4CharCharCharCharCharCharChar1CharChar1CharCharCharCharCharCharCharCharCharCharChar2">
    <w:name w:val="Char Char4 Char Char Char Char Char Char Char1 Char Char1 Char Char Char Char Char Char Char Char Char Char Char2"/>
    <w:basedOn w:val="a"/>
    <w:semiHidden/>
    <w:qFormat/>
    <w:pPr>
      <w:spacing w:after="160" w:line="240" w:lineRule="exact"/>
    </w:pPr>
    <w:rPr>
      <w:rFonts w:ascii="Verdana" w:hAnsi="Verdana" w:cs="Verdana"/>
      <w:sz w:val="20"/>
      <w:szCs w:val="20"/>
      <w:lang w:eastAsia="en-US"/>
    </w:rPr>
  </w:style>
  <w:style w:type="paragraph" w:customStyle="1" w:styleId="xl89">
    <w:name w:val="xl89"/>
    <w:basedOn w:val="a"/>
    <w:semiHidden/>
    <w:qFormat/>
    <w:pPr>
      <w:pBdr>
        <w:top w:val="single" w:sz="4" w:space="0" w:color="auto"/>
        <w:left w:val="single" w:sz="4" w:space="0" w:color="auto"/>
        <w:right w:val="single" w:sz="4" w:space="0" w:color="auto"/>
      </w:pBdr>
      <w:spacing w:before="100" w:beforeAutospacing="1" w:after="100" w:afterAutospacing="1"/>
    </w:pPr>
    <w:rPr>
      <w:rFonts w:ascii="仿宋_GB2312" w:eastAsia="仿宋_GB2312"/>
      <w:b/>
      <w:bCs/>
      <w:sz w:val="20"/>
      <w:szCs w:val="20"/>
    </w:rPr>
  </w:style>
  <w:style w:type="paragraph" w:customStyle="1" w:styleId="love">
    <w:name w:val="love"/>
    <w:basedOn w:val="a"/>
    <w:semiHidden/>
    <w:qFormat/>
    <w:pPr>
      <w:spacing w:beforeAutospacing="1" w:after="100" w:afterAutospacing="1"/>
    </w:pPr>
  </w:style>
  <w:style w:type="paragraph" w:customStyle="1" w:styleId="CharChar1100">
    <w:name w:val="Char Char110"/>
    <w:basedOn w:val="a"/>
    <w:uiPriority w:val="99"/>
    <w:semiHidden/>
    <w:qFormat/>
    <w:pPr>
      <w:spacing w:after="160" w:line="240" w:lineRule="exact"/>
    </w:pPr>
    <w:rPr>
      <w:rFonts w:ascii="Verdana" w:eastAsia="Times New Roman" w:hAnsi="Verdana"/>
      <w:sz w:val="20"/>
      <w:szCs w:val="20"/>
      <w:lang w:eastAsia="en-US"/>
    </w:rPr>
  </w:style>
  <w:style w:type="paragraph" w:customStyle="1" w:styleId="CharChar1CharCharCharChar1CharCharChar2">
    <w:name w:val="Char Char1 Char Char Char Char1 Char Char Char2"/>
    <w:basedOn w:val="a"/>
    <w:semiHidden/>
    <w:qFormat/>
    <w:pPr>
      <w:autoSpaceDE w:val="0"/>
      <w:autoSpaceDN w:val="0"/>
      <w:adjustRightInd w:val="0"/>
    </w:pPr>
  </w:style>
  <w:style w:type="paragraph" w:customStyle="1" w:styleId="224">
    <w:name w:val="样式 样式 小四标准段落 + 首行缩进:  2 字符 + 首行缩进:  2 字符"/>
    <w:basedOn w:val="a"/>
    <w:semiHidden/>
    <w:qFormat/>
    <w:pPr>
      <w:wordWrap w:val="0"/>
      <w:ind w:leftChars="-50" w:left="-105" w:rightChars="-50" w:right="-105"/>
      <w:jc w:val="center"/>
    </w:pPr>
  </w:style>
  <w:style w:type="paragraph" w:customStyle="1" w:styleId="CharCharCharCharCharCharCharChar2">
    <w:name w:val="Char Char Char Char Char Char Char Char2"/>
    <w:basedOn w:val="a"/>
    <w:uiPriority w:val="99"/>
    <w:semiHidden/>
    <w:qFormat/>
    <w:pPr>
      <w:autoSpaceDE w:val="0"/>
      <w:autoSpaceDN w:val="0"/>
      <w:adjustRightInd w:val="0"/>
    </w:pPr>
    <w:rPr>
      <w:rFonts w:ascii="Tahoma" w:hAnsi="Tahoma"/>
      <w:szCs w:val="20"/>
    </w:rPr>
  </w:style>
  <w:style w:type="paragraph" w:customStyle="1" w:styleId="CM52">
    <w:name w:val="CM52"/>
    <w:basedOn w:val="Default"/>
    <w:next w:val="Default"/>
    <w:semiHidden/>
    <w:qFormat/>
    <w:pPr>
      <w:spacing w:line="298" w:lineRule="atLeast"/>
    </w:pPr>
    <w:rPr>
      <w:rFonts w:ascii="PCJODE+MSung-Light" w:eastAsia="PCJODE+MSung-Light" w:cs="Times New Roman"/>
      <w:color w:val="auto"/>
    </w:rPr>
  </w:style>
  <w:style w:type="paragraph" w:customStyle="1" w:styleId="CharCharCharCharCharChar1Char">
    <w:name w:val="Char Char Char Char Char Char1 Char"/>
    <w:basedOn w:val="a"/>
    <w:semiHidden/>
    <w:qFormat/>
    <w:rPr>
      <w:rFonts w:ascii="Tahoma" w:hAnsi="Tahoma"/>
      <w:szCs w:val="20"/>
    </w:rPr>
  </w:style>
  <w:style w:type="paragraph" w:customStyle="1" w:styleId="CharChar300">
    <w:name w:val="Char Char30"/>
    <w:basedOn w:val="a"/>
    <w:semiHidden/>
    <w:qFormat/>
    <w:pPr>
      <w:autoSpaceDE w:val="0"/>
      <w:autoSpaceDN w:val="0"/>
      <w:adjustRightInd w:val="0"/>
      <w:spacing w:after="160" w:line="240" w:lineRule="exact"/>
    </w:pPr>
    <w:rPr>
      <w:rFonts w:ascii="Verdana" w:eastAsia="Times New Roman" w:hAnsi="Verdana" w:cs="Arial"/>
      <w:sz w:val="22"/>
      <w:szCs w:val="20"/>
      <w:lang w:eastAsia="en-US"/>
    </w:rPr>
  </w:style>
  <w:style w:type="paragraph" w:customStyle="1" w:styleId="Level5">
    <w:name w:val="Level 5"/>
    <w:basedOn w:val="a"/>
    <w:uiPriority w:val="99"/>
    <w:semiHidden/>
    <w:qFormat/>
    <w:pPr>
      <w:tabs>
        <w:tab w:val="left" w:pos="2608"/>
      </w:tabs>
      <w:spacing w:after="140" w:line="288" w:lineRule="auto"/>
      <w:ind w:left="2608" w:hanging="567"/>
    </w:pPr>
    <w:rPr>
      <w:rFonts w:ascii="Arial" w:hAnsi="Arial"/>
      <w:kern w:val="20"/>
      <w:sz w:val="20"/>
      <w:lang w:eastAsia="en-US"/>
    </w:rPr>
  </w:style>
  <w:style w:type="paragraph" w:customStyle="1" w:styleId="CharChar4CharCharCharCharCharCharChar11">
    <w:name w:val="Char Char4 Char Char Char Char Char Char Char11"/>
    <w:basedOn w:val="a"/>
    <w:semiHidden/>
    <w:qFormat/>
    <w:pPr>
      <w:spacing w:after="160" w:line="240" w:lineRule="exact"/>
    </w:pPr>
    <w:rPr>
      <w:rFonts w:ascii="Verdana" w:hAnsi="Verdana" w:cs="Verdana"/>
      <w:sz w:val="20"/>
      <w:szCs w:val="20"/>
      <w:lang w:eastAsia="en-US"/>
    </w:rPr>
  </w:style>
  <w:style w:type="paragraph" w:customStyle="1" w:styleId="CharCharCharCharCharChar1CharCharChar2">
    <w:name w:val="Char Char Char Char Char Char1 Char Char Char2"/>
    <w:basedOn w:val="a"/>
    <w:semiHidden/>
    <w:qFormat/>
    <w:pPr>
      <w:autoSpaceDE w:val="0"/>
      <w:autoSpaceDN w:val="0"/>
      <w:adjustRightInd w:val="0"/>
      <w:textAlignment w:val="baseline"/>
    </w:pPr>
    <w:rPr>
      <w:rFonts w:eastAsia="方正仿宋简体"/>
      <w:sz w:val="32"/>
      <w:szCs w:val="20"/>
    </w:rPr>
  </w:style>
  <w:style w:type="paragraph" w:customStyle="1" w:styleId="2fff6">
    <w:name w:val="批注框文本2"/>
    <w:basedOn w:val="a"/>
    <w:semiHidden/>
    <w:qFormat/>
    <w:rPr>
      <w:rFonts w:ascii="Tahoma" w:eastAsia="华文楷体" w:hAnsi="Tahoma" w:cs="Tahoma"/>
      <w:sz w:val="16"/>
      <w:szCs w:val="16"/>
      <w:lang w:val="en-GB"/>
    </w:rPr>
  </w:style>
  <w:style w:type="paragraph" w:customStyle="1" w:styleId="CM37">
    <w:name w:val="CM37"/>
    <w:basedOn w:val="Default"/>
    <w:next w:val="Default"/>
    <w:semiHidden/>
    <w:qFormat/>
    <w:pPr>
      <w:spacing w:line="431" w:lineRule="atLeast"/>
    </w:pPr>
    <w:rPr>
      <w:rFonts w:ascii="隶书" w:eastAsia="隶书" w:cs="Times New Roman"/>
      <w:color w:val="auto"/>
    </w:rPr>
  </w:style>
  <w:style w:type="paragraph" w:customStyle="1" w:styleId="txt">
    <w:name w:val="txt"/>
    <w:basedOn w:val="a"/>
    <w:uiPriority w:val="99"/>
    <w:semiHidden/>
    <w:qFormat/>
    <w:pPr>
      <w:spacing w:line="400" w:lineRule="exact"/>
      <w:ind w:firstLine="510"/>
    </w:pPr>
  </w:style>
  <w:style w:type="paragraph" w:customStyle="1" w:styleId="xl118">
    <w:name w:val="xl118"/>
    <w:basedOn w:val="a"/>
    <w:semiHidden/>
    <w:qFormat/>
    <w:pPr>
      <w:pBdr>
        <w:left w:val="single" w:sz="8" w:space="0" w:color="auto"/>
        <w:right w:val="single" w:sz="8" w:space="0" w:color="auto"/>
      </w:pBdr>
      <w:shd w:val="clear" w:color="000000" w:fill="FFFFFF"/>
      <w:spacing w:before="100" w:beforeAutospacing="1" w:after="100" w:afterAutospacing="1"/>
      <w:jc w:val="right"/>
    </w:pPr>
    <w:rPr>
      <w:color w:val="000000"/>
      <w:sz w:val="18"/>
      <w:szCs w:val="18"/>
    </w:rPr>
  </w:style>
  <w:style w:type="paragraph" w:customStyle="1" w:styleId="xl139">
    <w:name w:val="xl139"/>
    <w:basedOn w:val="a"/>
    <w:semiHidden/>
    <w:qFormat/>
    <w:pPr>
      <w:pBdr>
        <w:left w:val="single" w:sz="8" w:space="0" w:color="auto"/>
        <w:right w:val="single" w:sz="8" w:space="0" w:color="auto"/>
      </w:pBdr>
      <w:shd w:val="clear" w:color="000000" w:fill="FFFFFF"/>
      <w:spacing w:before="100" w:beforeAutospacing="1" w:after="100" w:afterAutospacing="1"/>
      <w:jc w:val="right"/>
    </w:pPr>
    <w:rPr>
      <w:b/>
      <w:bCs/>
      <w:color w:val="000000"/>
    </w:rPr>
  </w:style>
  <w:style w:type="paragraph" w:customStyle="1" w:styleId="CM14">
    <w:name w:val="CM14"/>
    <w:basedOn w:val="Default"/>
    <w:next w:val="Default"/>
    <w:semiHidden/>
    <w:qFormat/>
    <w:pPr>
      <w:spacing w:line="468" w:lineRule="atLeast"/>
    </w:pPr>
    <w:rPr>
      <w:rFonts w:ascii="隶书" w:eastAsia="隶书" w:cs="Times New Roman"/>
      <w:color w:val="auto"/>
    </w:rPr>
  </w:style>
  <w:style w:type="paragraph" w:customStyle="1" w:styleId="CM17">
    <w:name w:val="CM17"/>
    <w:basedOn w:val="a"/>
    <w:next w:val="a"/>
    <w:uiPriority w:val="99"/>
    <w:semiHidden/>
    <w:qFormat/>
    <w:pPr>
      <w:autoSpaceDE w:val="0"/>
      <w:autoSpaceDN w:val="0"/>
      <w:adjustRightInd w:val="0"/>
      <w:spacing w:after="295"/>
    </w:pPr>
    <w:rPr>
      <w:rFonts w:ascii="楷体_GB2312" w:eastAsia="楷体_GB2312"/>
      <w:sz w:val="20"/>
    </w:rPr>
  </w:style>
  <w:style w:type="paragraph" w:customStyle="1" w:styleId="HTML12">
    <w:name w:val="HTML 预设格式1"/>
    <w:basedOn w:val="a"/>
    <w:semiHidden/>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sz w:val="20"/>
      <w:szCs w:val="20"/>
    </w:rPr>
  </w:style>
  <w:style w:type="paragraph" w:customStyle="1" w:styleId="1ffff0">
    <w:name w:val="1级标题"/>
    <w:basedOn w:val="a"/>
    <w:link w:val="1Char7"/>
    <w:semiHidden/>
    <w:qFormat/>
    <w:pPr>
      <w:spacing w:before="60" w:line="460" w:lineRule="exact"/>
      <w:outlineLvl w:val="0"/>
    </w:pPr>
    <w:rPr>
      <w:rFonts w:ascii="Arial" w:hAnsi="Arial"/>
      <w:b/>
      <w:sz w:val="32"/>
      <w:szCs w:val="20"/>
    </w:rPr>
  </w:style>
  <w:style w:type="character" w:customStyle="1" w:styleId="1Char7">
    <w:name w:val="1级标题 Char"/>
    <w:link w:val="1ffff0"/>
    <w:semiHidden/>
    <w:rPr>
      <w:rFonts w:ascii="Arial" w:hAnsi="Arial"/>
      <w:b/>
      <w:kern w:val="2"/>
      <w:sz w:val="32"/>
    </w:rPr>
  </w:style>
  <w:style w:type="paragraph" w:customStyle="1" w:styleId="CM11">
    <w:name w:val="CM11"/>
    <w:basedOn w:val="Default"/>
    <w:next w:val="Default"/>
    <w:semiHidden/>
    <w:qFormat/>
    <w:pPr>
      <w:spacing w:line="496" w:lineRule="atLeast"/>
    </w:pPr>
    <w:rPr>
      <w:rFonts w:ascii="隶书" w:eastAsia="隶书" w:cs="Times New Roman"/>
      <w:color w:val="auto"/>
    </w:rPr>
  </w:style>
  <w:style w:type="paragraph" w:customStyle="1" w:styleId="87">
    <w:name w:val="样式8"/>
    <w:basedOn w:val="a"/>
    <w:link w:val="8CharChar"/>
    <w:semiHidden/>
    <w:qFormat/>
    <w:pPr>
      <w:spacing w:line="340" w:lineRule="exact"/>
      <w:outlineLvl w:val="1"/>
    </w:pPr>
    <w:rPr>
      <w:b/>
    </w:rPr>
  </w:style>
  <w:style w:type="character" w:customStyle="1" w:styleId="8CharChar">
    <w:name w:val="样式8 Char Char"/>
    <w:link w:val="87"/>
    <w:semiHidden/>
    <w:rPr>
      <w:b/>
      <w:kern w:val="2"/>
      <w:sz w:val="21"/>
      <w:szCs w:val="21"/>
    </w:rPr>
  </w:style>
  <w:style w:type="paragraph" w:customStyle="1" w:styleId="5e">
    <w:name w:val="纯文本5"/>
    <w:basedOn w:val="a"/>
    <w:semiHidden/>
    <w:qFormat/>
    <w:rPr>
      <w:rFonts w:hAnsi="Courier New"/>
      <w:szCs w:val="20"/>
    </w:rPr>
  </w:style>
  <w:style w:type="paragraph" w:customStyle="1" w:styleId="-110">
    <w:name w:val="彩色列表 - 着色 11"/>
    <w:basedOn w:val="a"/>
    <w:uiPriority w:val="34"/>
    <w:semiHidden/>
    <w:qFormat/>
    <w:pPr>
      <w:ind w:firstLineChars="200" w:firstLine="420"/>
    </w:pPr>
  </w:style>
  <w:style w:type="paragraph" w:customStyle="1" w:styleId="CharCharCharChar100">
    <w:name w:val="字元 Char Char 字元 Char Char 字元10"/>
    <w:basedOn w:val="a"/>
    <w:semiHidden/>
    <w:qFormat/>
    <w:pPr>
      <w:autoSpaceDE w:val="0"/>
      <w:autoSpaceDN w:val="0"/>
      <w:adjustRightInd w:val="0"/>
      <w:spacing w:beforeLines="50"/>
    </w:pPr>
  </w:style>
  <w:style w:type="paragraph" w:customStyle="1" w:styleId="CharChar2a">
    <w:name w:val="字元 Char Char 字元2"/>
    <w:basedOn w:val="a"/>
    <w:semiHidden/>
    <w:qFormat/>
    <w:pPr>
      <w:autoSpaceDE w:val="0"/>
      <w:autoSpaceDN w:val="0"/>
      <w:adjustRightInd w:val="0"/>
      <w:spacing w:beforeLines="50"/>
    </w:pPr>
  </w:style>
  <w:style w:type="paragraph" w:customStyle="1" w:styleId="CharCharCharCharCharCharCharCharCharCharCharCharChar7">
    <w:name w:val="Char Char Char Char Char Char Char Char Char Char Char Char Char7"/>
    <w:basedOn w:val="a"/>
    <w:semiHidden/>
    <w:qFormat/>
    <w:pPr>
      <w:autoSpaceDE w:val="0"/>
      <w:autoSpaceDN w:val="0"/>
      <w:adjustRightInd w:val="0"/>
      <w:spacing w:after="160" w:line="240" w:lineRule="exact"/>
    </w:pPr>
    <w:rPr>
      <w:rFonts w:ascii="Verdana" w:eastAsia="Times New Roman" w:hAnsi="Verdana"/>
      <w:sz w:val="20"/>
      <w:szCs w:val="20"/>
      <w:lang w:eastAsia="en-US"/>
    </w:rPr>
  </w:style>
  <w:style w:type="paragraph" w:customStyle="1" w:styleId="xl96">
    <w:name w:val="xl96"/>
    <w:basedOn w:val="a"/>
    <w:semiHidden/>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68">
    <w:name w:val="xl68"/>
    <w:basedOn w:val="a"/>
    <w:uiPriority w:val="99"/>
    <w:semiHidden/>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_GB2312" w:eastAsia="仿宋_GB2312"/>
      <w:sz w:val="20"/>
      <w:szCs w:val="20"/>
    </w:rPr>
  </w:style>
  <w:style w:type="paragraph" w:customStyle="1" w:styleId="xl79">
    <w:name w:val="xl79"/>
    <w:basedOn w:val="a"/>
    <w:uiPriority w:val="99"/>
    <w:semiHidden/>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_GB2312" w:eastAsia="仿宋_GB2312"/>
      <w:sz w:val="20"/>
      <w:szCs w:val="20"/>
    </w:rPr>
  </w:style>
  <w:style w:type="paragraph" w:customStyle="1" w:styleId="3fd">
    <w:name w:val="标题3"/>
    <w:basedOn w:val="215153"/>
    <w:link w:val="3CharChar"/>
    <w:semiHidden/>
    <w:qFormat/>
    <w:pPr>
      <w:numPr>
        <w:numId w:val="18"/>
      </w:numPr>
      <w:tabs>
        <w:tab w:val="left" w:pos="840"/>
        <w:tab w:val="left" w:pos="902"/>
        <w:tab w:val="left" w:pos="1440"/>
      </w:tabs>
      <w:ind w:left="840" w:hanging="420"/>
    </w:pPr>
    <w:rPr>
      <w:sz w:val="24"/>
    </w:rPr>
  </w:style>
  <w:style w:type="character" w:customStyle="1" w:styleId="3CharChar">
    <w:name w:val="标题3 Char Char"/>
    <w:link w:val="3fd"/>
    <w:semiHidden/>
    <w:qFormat/>
    <w:rPr>
      <w:rFonts w:ascii="宋体" w:eastAsia="黑体" w:hAnsi="宋体" w:cs="宋体"/>
      <w:sz w:val="24"/>
    </w:rPr>
  </w:style>
  <w:style w:type="paragraph" w:customStyle="1" w:styleId="5f">
    <w:name w:val="批注框文本5"/>
    <w:basedOn w:val="a"/>
    <w:semiHidden/>
    <w:qFormat/>
    <w:rPr>
      <w:rFonts w:ascii="Tahoma" w:eastAsia="华文楷体" w:hAnsi="Tahoma" w:cs="Tahoma"/>
      <w:sz w:val="16"/>
      <w:szCs w:val="16"/>
      <w:lang w:val="en-GB"/>
    </w:rPr>
  </w:style>
  <w:style w:type="paragraph" w:customStyle="1" w:styleId="CM152">
    <w:name w:val="CM152"/>
    <w:basedOn w:val="a"/>
    <w:next w:val="a"/>
    <w:semiHidden/>
    <w:qFormat/>
    <w:pPr>
      <w:autoSpaceDE w:val="0"/>
      <w:autoSpaceDN w:val="0"/>
      <w:adjustRightInd w:val="0"/>
      <w:spacing w:after="310"/>
    </w:pPr>
    <w:rPr>
      <w:rFonts w:ascii="PCJODE+MSung-Light" w:eastAsia="PCJODE+MSung-Light"/>
    </w:rPr>
  </w:style>
  <w:style w:type="paragraph" w:customStyle="1" w:styleId="CharChar4a">
    <w:name w:val="Char Char 字元4"/>
    <w:basedOn w:val="a"/>
    <w:semiHidden/>
    <w:qFormat/>
    <w:pPr>
      <w:spacing w:before="50"/>
    </w:pPr>
    <w:rPr>
      <w:szCs w:val="20"/>
    </w:rPr>
  </w:style>
  <w:style w:type="paragraph" w:customStyle="1" w:styleId="xu10">
    <w:name w:val="xu标题 1"/>
    <w:basedOn w:val="a"/>
    <w:semiHidden/>
    <w:qFormat/>
    <w:pPr>
      <w:pageBreakBefore/>
      <w:spacing w:beforeLines="200" w:afterLines="100"/>
      <w:jc w:val="center"/>
      <w:textAlignment w:val="center"/>
      <w:outlineLvl w:val="0"/>
    </w:pPr>
    <w:rPr>
      <w:b/>
      <w:bCs/>
      <w:kern w:val="44"/>
      <w:sz w:val="44"/>
      <w:szCs w:val="44"/>
    </w:rPr>
  </w:style>
  <w:style w:type="paragraph" w:customStyle="1" w:styleId="affffffffffffffff9">
    <w:name w:val="正文部分"/>
    <w:basedOn w:val="a"/>
    <w:semiHidden/>
    <w:qFormat/>
    <w:rPr>
      <w:rFonts w:ascii="Arial" w:hAnsi="Arial"/>
      <w:szCs w:val="20"/>
    </w:rPr>
  </w:style>
  <w:style w:type="paragraph" w:customStyle="1" w:styleId="Char140">
    <w:name w:val="Char14"/>
    <w:basedOn w:val="a"/>
    <w:semiHidden/>
    <w:qFormat/>
    <w:pPr>
      <w:autoSpaceDE w:val="0"/>
      <w:autoSpaceDN w:val="0"/>
      <w:adjustRightInd w:val="0"/>
      <w:spacing w:after="160" w:line="240" w:lineRule="exact"/>
    </w:pPr>
    <w:rPr>
      <w:szCs w:val="20"/>
    </w:rPr>
  </w:style>
  <w:style w:type="paragraph" w:customStyle="1" w:styleId="1ffff1">
    <w:name w:val="流程图字1"/>
    <w:basedOn w:val="a"/>
    <w:semiHidden/>
    <w:qFormat/>
    <w:pPr>
      <w:snapToGrid w:val="0"/>
      <w:textAlignment w:val="center"/>
      <w:outlineLvl w:val="0"/>
    </w:pPr>
    <w:rPr>
      <w:rFonts w:eastAsia="宋体-18030"/>
      <w:color w:val="000000"/>
    </w:rPr>
  </w:style>
  <w:style w:type="paragraph" w:customStyle="1" w:styleId="CM59">
    <w:name w:val="CM59"/>
    <w:basedOn w:val="Default"/>
    <w:next w:val="Default"/>
    <w:uiPriority w:val="99"/>
    <w:semiHidden/>
    <w:qFormat/>
    <w:rPr>
      <w:rFonts w:ascii="隶书" w:eastAsia="隶书" w:cs="Times New Roman"/>
      <w:color w:val="auto"/>
    </w:rPr>
  </w:style>
  <w:style w:type="paragraph" w:customStyle="1" w:styleId="CharChar4b">
    <w:name w:val="字元 Char Char 字元4"/>
    <w:basedOn w:val="a"/>
    <w:semiHidden/>
    <w:qFormat/>
    <w:pPr>
      <w:spacing w:beforeLines="50"/>
    </w:pPr>
  </w:style>
  <w:style w:type="paragraph" w:customStyle="1" w:styleId="affffffffffffffffa">
    <w:name w:val="第二级"/>
    <w:basedOn w:val="a"/>
    <w:semiHidden/>
    <w:qFormat/>
    <w:pPr>
      <w:tabs>
        <w:tab w:val="left" w:pos="630"/>
        <w:tab w:val="left" w:pos="735"/>
      </w:tabs>
      <w:adjustRightInd w:val="0"/>
      <w:snapToGrid w:val="0"/>
      <w:spacing w:before="50" w:line="360" w:lineRule="auto"/>
      <w:outlineLvl w:val="1"/>
    </w:pPr>
    <w:rPr>
      <w:rFonts w:eastAsia="黑体"/>
      <w:bCs/>
      <w:sz w:val="30"/>
      <w:szCs w:val="3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semiHidden/>
    <w:qFormat/>
    <w:pPr>
      <w:spacing w:line="360" w:lineRule="auto"/>
      <w:ind w:firstLineChars="200" w:firstLine="200"/>
    </w:pPr>
  </w:style>
  <w:style w:type="paragraph" w:customStyle="1" w:styleId="cm7a">
    <w:name w:val="cm7"/>
    <w:basedOn w:val="a"/>
    <w:semiHidden/>
    <w:qFormat/>
    <w:pPr>
      <w:spacing w:before="100" w:beforeAutospacing="1" w:after="100" w:afterAutospacing="1"/>
    </w:pPr>
  </w:style>
  <w:style w:type="paragraph" w:customStyle="1" w:styleId="CharCharCharCharCharCharChar9">
    <w:name w:val="Char Char Char Char Char Char Char9"/>
    <w:basedOn w:val="a"/>
    <w:semiHidden/>
    <w:qFormat/>
    <w:pPr>
      <w:autoSpaceDE w:val="0"/>
      <w:autoSpaceDN w:val="0"/>
      <w:adjustRightInd w:val="0"/>
    </w:pPr>
  </w:style>
  <w:style w:type="paragraph" w:customStyle="1" w:styleId="126">
    <w:name w:val="纯文本12"/>
    <w:basedOn w:val="a"/>
    <w:uiPriority w:val="99"/>
    <w:semiHidden/>
    <w:qFormat/>
    <w:pPr>
      <w:adjustRightInd w:val="0"/>
      <w:spacing w:line="360" w:lineRule="auto"/>
      <w:ind w:firstLine="567"/>
      <w:textAlignment w:val="baseline"/>
    </w:pPr>
    <w:rPr>
      <w:rFonts w:eastAsia="楷体_GB2312" w:hAnsi="Courier New"/>
      <w:sz w:val="28"/>
      <w:szCs w:val="20"/>
    </w:rPr>
  </w:style>
  <w:style w:type="paragraph" w:customStyle="1" w:styleId="780">
    <w:name w:val="图表标题 + 段前后: 7.8 磅"/>
    <w:basedOn w:val="affffffffffffffffb"/>
    <w:semiHidden/>
    <w:qFormat/>
    <w:pPr>
      <w:spacing w:before="156" w:after="156"/>
    </w:pPr>
  </w:style>
  <w:style w:type="paragraph" w:customStyle="1" w:styleId="affffffffffffffffb">
    <w:name w:val="图表标题"/>
    <w:basedOn w:val="a"/>
    <w:link w:val="Charffffe"/>
    <w:uiPriority w:val="99"/>
    <w:semiHidden/>
    <w:qFormat/>
    <w:pPr>
      <w:spacing w:line="360" w:lineRule="auto"/>
      <w:jc w:val="center"/>
    </w:pPr>
    <w:rPr>
      <w:szCs w:val="20"/>
    </w:rPr>
  </w:style>
  <w:style w:type="character" w:customStyle="1" w:styleId="Charffffe">
    <w:name w:val="图表标题 Char"/>
    <w:aliases w:val="题注 Char1,Char Char Char Char Char1 Char,Char Char Char Char Char11 Char, Char Char Char Char Char Char,信息主题 Char,题注(图注) Char,题注(图注) + 居中 Char,Char Char Char11 Char"/>
    <w:link w:val="affffffffffffffffb"/>
    <w:uiPriority w:val="99"/>
    <w:semiHidden/>
    <w:qFormat/>
    <w:rPr>
      <w:kern w:val="2"/>
      <w:sz w:val="21"/>
    </w:rPr>
  </w:style>
  <w:style w:type="paragraph" w:customStyle="1" w:styleId="CharCharCharCharCharCharCharCharCharChar11">
    <w:name w:val="Char Char Char Char Char Char Char Char Char Char11"/>
    <w:basedOn w:val="a"/>
    <w:semiHidden/>
    <w:qFormat/>
    <w:rPr>
      <w:rFonts w:ascii="Tahoma" w:hAnsi="Tahoma"/>
      <w:szCs w:val="20"/>
    </w:rPr>
  </w:style>
  <w:style w:type="paragraph" w:customStyle="1" w:styleId="CharChar1CharCharCharCharCharCharCharCharCharCharCharCharChar1CharCharCharCharCharCharCharCharCharCharCharCharCharChar1CharCharCharCharCharCharCharCharCharCharCharChar1CharCharCharCharCharChar4">
    <w:name w:val="Char Char1 Char Char Char Char Char Char Char Char Char Char Char Char Char1 Char Char Char Char Char Char Char Char Char Char Char Char Char Char1 Char Char Char Char Char Char Char Char Char Char Char Char1 Char Char Char Char Char Char4"/>
    <w:basedOn w:val="a"/>
    <w:semiHidden/>
    <w:qFormat/>
    <w:pPr>
      <w:spacing w:after="160" w:line="240" w:lineRule="exact"/>
    </w:pPr>
    <w:rPr>
      <w:rFonts w:ascii="Verdana" w:eastAsia="Times New Roman" w:hAnsi="Verdana"/>
      <w:sz w:val="20"/>
      <w:szCs w:val="20"/>
      <w:lang w:eastAsia="en-US"/>
    </w:rPr>
  </w:style>
  <w:style w:type="paragraph" w:customStyle="1" w:styleId="CharCharCharCharCharCharCharCharCharCharCharCharChar8">
    <w:name w:val="Char Char Char Char Char Char Char Char Char Char Char Char Char8"/>
    <w:basedOn w:val="a"/>
    <w:semiHidden/>
    <w:qFormat/>
    <w:pPr>
      <w:autoSpaceDE w:val="0"/>
      <w:autoSpaceDN w:val="0"/>
      <w:adjustRightInd w:val="0"/>
      <w:spacing w:after="160" w:line="240" w:lineRule="exact"/>
    </w:pPr>
    <w:rPr>
      <w:rFonts w:ascii="Verdana" w:eastAsia="Times New Roman" w:hAnsi="Verdana"/>
      <w:sz w:val="20"/>
      <w:szCs w:val="20"/>
      <w:lang w:eastAsia="en-US"/>
    </w:rPr>
  </w:style>
  <w:style w:type="paragraph" w:customStyle="1" w:styleId="affffffffffffffffc">
    <w:name w:val="图注"/>
    <w:basedOn w:val="a"/>
    <w:next w:val="a"/>
    <w:semiHidden/>
    <w:qFormat/>
    <w:pPr>
      <w:jc w:val="center"/>
    </w:pPr>
    <w:rPr>
      <w:color w:val="0000FF"/>
      <w:szCs w:val="20"/>
    </w:rPr>
  </w:style>
  <w:style w:type="paragraph" w:customStyle="1" w:styleId="p0">
    <w:name w:val="p0"/>
    <w:basedOn w:val="a"/>
    <w:semiHidden/>
    <w:qFormat/>
    <w:pPr>
      <w:snapToGrid w:val="0"/>
    </w:pPr>
    <w:rPr>
      <w:rFonts w:ascii="Garamond" w:hAnsi="Garamond"/>
      <w:sz w:val="20"/>
      <w:szCs w:val="20"/>
    </w:rPr>
  </w:style>
  <w:style w:type="character" w:customStyle="1" w:styleId="Charfffff">
    <w:name w:val="表格标题 Char"/>
    <w:uiPriority w:val="99"/>
    <w:semiHidden/>
    <w:qFormat/>
    <w:rPr>
      <w:rFonts w:ascii="Times New Roman" w:eastAsia="文鼎CS中宋" w:hAnsi="Times New Roman"/>
      <w:spacing w:val="8"/>
      <w:sz w:val="24"/>
    </w:rPr>
  </w:style>
  <w:style w:type="paragraph" w:customStyle="1" w:styleId="CM178">
    <w:name w:val="CM178"/>
    <w:basedOn w:val="Default"/>
    <w:next w:val="Default"/>
    <w:semiHidden/>
    <w:qFormat/>
    <w:pPr>
      <w:spacing w:after="250"/>
    </w:pPr>
    <w:rPr>
      <w:rFonts w:cs="Times New Roman"/>
      <w:color w:val="auto"/>
    </w:rPr>
  </w:style>
  <w:style w:type="paragraph" w:customStyle="1" w:styleId="2fff7">
    <w:name w:val="字元2"/>
    <w:basedOn w:val="a"/>
    <w:uiPriority w:val="99"/>
    <w:semiHidden/>
    <w:qFormat/>
    <w:pPr>
      <w:autoSpaceDE w:val="0"/>
      <w:autoSpaceDN w:val="0"/>
      <w:adjustRightInd w:val="0"/>
      <w:spacing w:beforeLines="50"/>
    </w:pPr>
  </w:style>
  <w:style w:type="paragraph" w:customStyle="1" w:styleId="3fe">
    <w:name w:val="3标题"/>
    <w:uiPriority w:val="99"/>
    <w:semiHidden/>
    <w:qFormat/>
    <w:pPr>
      <w:spacing w:before="120" w:line="360" w:lineRule="auto"/>
    </w:pPr>
    <w:rPr>
      <w:rFonts w:ascii="宋体" w:hAnsi="宋体"/>
      <w:b/>
      <w:kern w:val="2"/>
      <w:sz w:val="30"/>
    </w:rPr>
  </w:style>
  <w:style w:type="paragraph" w:customStyle="1" w:styleId="CharChar70">
    <w:name w:val="Char Char 字元7"/>
    <w:basedOn w:val="a"/>
    <w:semiHidden/>
    <w:qFormat/>
    <w:pPr>
      <w:autoSpaceDE w:val="0"/>
      <w:autoSpaceDN w:val="0"/>
      <w:adjustRightInd w:val="0"/>
      <w:spacing w:before="50"/>
    </w:pPr>
    <w:rPr>
      <w:szCs w:val="20"/>
    </w:rPr>
  </w:style>
  <w:style w:type="paragraph" w:customStyle="1" w:styleId="1051">
    <w:name w:val="样式 标题1 + 段前: 0.5 行"/>
    <w:basedOn w:val="a"/>
    <w:semiHidden/>
    <w:qFormat/>
    <w:pPr>
      <w:spacing w:beforeLines="50" w:line="500" w:lineRule="exact"/>
      <w:outlineLvl w:val="0"/>
    </w:pPr>
    <w:rPr>
      <w:b/>
      <w:bCs/>
      <w:sz w:val="32"/>
      <w:szCs w:val="20"/>
    </w:rPr>
  </w:style>
  <w:style w:type="paragraph" w:customStyle="1" w:styleId="GB23122220">
    <w:name w:val="样式 (中文) 仿宋_GB2312 四号 行距: 固定值 22 磅 首行缩进:  2 字符"/>
    <w:basedOn w:val="a"/>
    <w:semiHidden/>
    <w:qFormat/>
    <w:pPr>
      <w:spacing w:line="440" w:lineRule="exact"/>
      <w:ind w:firstLineChars="200" w:firstLine="560"/>
    </w:pPr>
    <w:rPr>
      <w:rFonts w:eastAsia="仿宋_GB2312"/>
      <w:szCs w:val="20"/>
    </w:rPr>
  </w:style>
  <w:style w:type="paragraph" w:customStyle="1" w:styleId="affffffffffffffffd">
    <w:name w:val="表体"/>
    <w:basedOn w:val="a"/>
    <w:semiHidden/>
    <w:qFormat/>
    <w:pPr>
      <w:overflowPunct w:val="0"/>
      <w:adjustRightInd w:val="0"/>
      <w:spacing w:line="300" w:lineRule="atLeast"/>
      <w:jc w:val="center"/>
      <w:textAlignment w:val="baseline"/>
    </w:pPr>
    <w:rPr>
      <w:color w:val="000000"/>
      <w:kern w:val="24"/>
      <w:sz w:val="18"/>
      <w:szCs w:val="20"/>
    </w:rPr>
  </w:style>
  <w:style w:type="paragraph" w:customStyle="1" w:styleId="CharChar4CharCharCharCharCharCharChar1CharChar1Char2">
    <w:name w:val="Char Char4 Char Char Char Char Char Char Char1 Char Char1 Char2"/>
    <w:basedOn w:val="a"/>
    <w:semiHidden/>
    <w:qFormat/>
    <w:pPr>
      <w:spacing w:after="160" w:line="240" w:lineRule="exact"/>
    </w:pPr>
    <w:rPr>
      <w:rFonts w:ascii="Verdana" w:hAnsi="Verdana" w:cs="Verdana"/>
      <w:sz w:val="20"/>
      <w:szCs w:val="20"/>
      <w:lang w:eastAsia="en-US"/>
    </w:rPr>
  </w:style>
  <w:style w:type="paragraph" w:customStyle="1" w:styleId="xl24Char">
    <w:name w:val="xl24 Char"/>
    <w:basedOn w:val="a"/>
    <w:semiHidden/>
    <w:qFormat/>
    <w:pPr>
      <w:pBdr>
        <w:left w:val="single" w:sz="4" w:space="0" w:color="auto"/>
        <w:right w:val="single" w:sz="4" w:space="0" w:color="auto"/>
      </w:pBdr>
      <w:spacing w:before="100" w:beforeAutospacing="1" w:after="100" w:afterAutospacing="1"/>
      <w:jc w:val="center"/>
    </w:pPr>
  </w:style>
  <w:style w:type="paragraph" w:customStyle="1" w:styleId="font14">
    <w:name w:val="font14"/>
    <w:basedOn w:val="a"/>
    <w:uiPriority w:val="99"/>
    <w:semiHidden/>
    <w:qFormat/>
    <w:pPr>
      <w:spacing w:before="100" w:beforeAutospacing="1" w:after="100" w:afterAutospacing="1"/>
    </w:pPr>
    <w:rPr>
      <w:rFonts w:ascii="仿宋_GB2312" w:eastAsia="仿宋_GB2312"/>
      <w:sz w:val="20"/>
      <w:szCs w:val="20"/>
    </w:rPr>
  </w:style>
  <w:style w:type="paragraph" w:customStyle="1" w:styleId="Achievement">
    <w:name w:val="Achievement"/>
    <w:basedOn w:val="a7"/>
    <w:semiHidden/>
    <w:qFormat/>
    <w:pPr>
      <w:pageBreakBefore/>
      <w:spacing w:after="60" w:line="220" w:lineRule="atLeast"/>
    </w:pPr>
    <w:rPr>
      <w:szCs w:val="20"/>
    </w:rPr>
  </w:style>
  <w:style w:type="paragraph" w:customStyle="1" w:styleId="CharCharCharCharCharCharChar7">
    <w:name w:val="Char Char Char Char Char Char Char7"/>
    <w:basedOn w:val="a"/>
    <w:uiPriority w:val="99"/>
    <w:semiHidden/>
    <w:qFormat/>
    <w:pPr>
      <w:autoSpaceDE w:val="0"/>
      <w:autoSpaceDN w:val="0"/>
      <w:adjustRightInd w:val="0"/>
    </w:pPr>
  </w:style>
  <w:style w:type="paragraph" w:customStyle="1" w:styleId="001085">
    <w:name w:val="样式 正文001 + 首行缩进:  0.85 厘米"/>
    <w:basedOn w:val="0010"/>
    <w:semiHidden/>
    <w:qFormat/>
    <w:pPr>
      <w:spacing w:before="60" w:line="460" w:lineRule="exact"/>
      <w:ind w:firstLineChars="0" w:firstLine="482"/>
    </w:pPr>
    <w:rPr>
      <w:rFonts w:ascii="Arial" w:hAnsi="Arial" w:cs="宋体"/>
    </w:rPr>
  </w:style>
  <w:style w:type="paragraph" w:customStyle="1" w:styleId="2fff8">
    <w:name w:val="样式 表格 + 首行缩进:  2 字符"/>
    <w:basedOn w:val="afffffffe"/>
    <w:semiHidden/>
    <w:qFormat/>
    <w:pPr>
      <w:widowControl/>
      <w:snapToGrid/>
      <w:spacing w:beforeLines="0" w:line="400" w:lineRule="exact"/>
      <w:ind w:firstLineChars="200" w:firstLine="200"/>
    </w:pPr>
    <w:rPr>
      <w:rFonts w:cs="宋体"/>
    </w:rPr>
  </w:style>
  <w:style w:type="paragraph" w:customStyle="1" w:styleId="xl73">
    <w:name w:val="xl73"/>
    <w:basedOn w:val="a"/>
    <w:uiPriority w:val="99"/>
    <w:semiHidden/>
    <w:qFormat/>
    <w:pPr>
      <w:spacing w:before="100" w:beforeAutospacing="1" w:after="100" w:afterAutospacing="1"/>
    </w:pPr>
    <w:rPr>
      <w:b/>
      <w:bCs/>
    </w:rPr>
  </w:style>
  <w:style w:type="paragraph" w:customStyle="1" w:styleId="CharChar1CharCharCharCharCharCharCharCharCharCharCharCharChar1CharCharCharCharCharCharCharCharCharCharCharCharCharChar1CharCharCharCharCharCharCharCharCharCharCharChar1CharCharCharCharCharChar2">
    <w:name w:val="Char Char1 Char Char Char Char Char Char Char Char Char Char Char Char Char1 Char Char Char Char Char Char Char Char Char Char Char Char Char Char1 Char Char Char Char Char Char Char Char Char Char Char Char1 Char Char Char Char Char Char2"/>
    <w:basedOn w:val="a"/>
    <w:semiHidden/>
    <w:qFormat/>
    <w:pPr>
      <w:autoSpaceDE w:val="0"/>
      <w:autoSpaceDN w:val="0"/>
      <w:adjustRightInd w:val="0"/>
      <w:spacing w:after="160" w:line="240" w:lineRule="exact"/>
    </w:pPr>
    <w:rPr>
      <w:rFonts w:ascii="Verdana" w:eastAsia="Times New Roman" w:hAnsi="Verdana"/>
      <w:sz w:val="20"/>
      <w:szCs w:val="20"/>
      <w:lang w:eastAsia="en-US"/>
    </w:rPr>
  </w:style>
  <w:style w:type="paragraph" w:customStyle="1" w:styleId="font13">
    <w:name w:val="font13"/>
    <w:basedOn w:val="a"/>
    <w:uiPriority w:val="99"/>
    <w:semiHidden/>
    <w:qFormat/>
    <w:pPr>
      <w:spacing w:before="100" w:beforeAutospacing="1" w:after="100" w:afterAutospacing="1"/>
    </w:pPr>
    <w:rPr>
      <w:rFonts w:ascii="仿宋_GB2312" w:eastAsia="仿宋_GB2312"/>
      <w:b/>
      <w:bCs/>
      <w:sz w:val="20"/>
      <w:szCs w:val="20"/>
    </w:rPr>
  </w:style>
  <w:style w:type="paragraph" w:customStyle="1" w:styleId="xl140">
    <w:name w:val="xl140"/>
    <w:basedOn w:val="a"/>
    <w:semiHidden/>
    <w:qFormat/>
    <w:pPr>
      <w:pBdr>
        <w:left w:val="single" w:sz="8" w:space="0" w:color="auto"/>
        <w:bottom w:val="single" w:sz="8" w:space="0" w:color="auto"/>
        <w:right w:val="single" w:sz="8" w:space="0" w:color="auto"/>
      </w:pBdr>
      <w:shd w:val="clear" w:color="000000" w:fill="FFFFFF"/>
      <w:spacing w:before="100" w:beforeAutospacing="1" w:after="100" w:afterAutospacing="1"/>
      <w:jc w:val="right"/>
    </w:pPr>
    <w:rPr>
      <w:b/>
      <w:bCs/>
      <w:color w:val="000000"/>
    </w:rPr>
  </w:style>
  <w:style w:type="paragraph" w:customStyle="1" w:styleId="1ffff2">
    <w:name w:val="页眉1"/>
    <w:basedOn w:val="afd"/>
    <w:semiHidden/>
    <w:qFormat/>
    <w:pPr>
      <w:widowControl/>
      <w:pBdr>
        <w:bottom w:val="none" w:sz="0" w:space="0" w:color="auto"/>
      </w:pBdr>
    </w:pPr>
    <w:rPr>
      <w:rFonts w:ascii="Times New Roman" w:hAnsi="Times New Roman"/>
      <w:sz w:val="24"/>
      <w:szCs w:val="20"/>
    </w:rPr>
  </w:style>
  <w:style w:type="paragraph" w:customStyle="1" w:styleId="156">
    <w:name w:val="样式 小四 行距: 1.5 倍行距"/>
    <w:basedOn w:val="a"/>
    <w:semiHidden/>
    <w:qFormat/>
    <w:pPr>
      <w:spacing w:line="360" w:lineRule="auto"/>
    </w:pPr>
    <w:rPr>
      <w:b/>
      <w:szCs w:val="20"/>
    </w:rPr>
  </w:style>
  <w:style w:type="paragraph" w:customStyle="1" w:styleId="CharChar30CharCharCharCharCharCharCharCharCharCharCharChar1CharCharCharCharCharCharCharChar3">
    <w:name w:val="Char Char30 Char Char Char Char Char Char Char Char Char Char Char Char1 Char Char Char Char Char Char Char Char3"/>
    <w:basedOn w:val="a"/>
    <w:semiHidden/>
    <w:qFormat/>
    <w:pPr>
      <w:spacing w:after="160" w:line="240" w:lineRule="exact"/>
    </w:pPr>
    <w:rPr>
      <w:rFonts w:ascii="Verdana" w:eastAsia="Times New Roman" w:hAnsi="Verdana"/>
      <w:sz w:val="20"/>
      <w:szCs w:val="20"/>
      <w:lang w:eastAsia="en-US"/>
    </w:rPr>
  </w:style>
  <w:style w:type="paragraph" w:customStyle="1" w:styleId="AFTERTITLE">
    <w:name w:val="AFTERTITLE"/>
    <w:basedOn w:val="a"/>
    <w:semiHidden/>
    <w:qFormat/>
    <w:pPr>
      <w:spacing w:afterLines="25" w:line="360" w:lineRule="atLeast"/>
      <w:ind w:firstLineChars="200" w:firstLine="200"/>
      <w:jc w:val="center"/>
    </w:pPr>
    <w:rPr>
      <w:b/>
      <w:caps/>
      <w:szCs w:val="20"/>
      <w:lang w:val="fr-FR"/>
    </w:rPr>
  </w:style>
  <w:style w:type="paragraph" w:customStyle="1" w:styleId="xl65">
    <w:name w:val="xl65"/>
    <w:basedOn w:val="a"/>
    <w:uiPriority w:val="99"/>
    <w:semiHidden/>
    <w:qFormat/>
    <w:pPr>
      <w:spacing w:before="100" w:beforeAutospacing="1" w:after="100" w:afterAutospacing="1"/>
    </w:pPr>
  </w:style>
  <w:style w:type="paragraph" w:customStyle="1" w:styleId="CM29">
    <w:name w:val="CM29"/>
    <w:basedOn w:val="Default"/>
    <w:next w:val="Default"/>
    <w:uiPriority w:val="99"/>
    <w:semiHidden/>
    <w:qFormat/>
    <w:pPr>
      <w:spacing w:line="293" w:lineRule="atLeast"/>
    </w:pPr>
    <w:rPr>
      <w:rFonts w:ascii="隶书" w:eastAsia="隶书" w:cs="Times New Roman"/>
      <w:color w:val="auto"/>
    </w:rPr>
  </w:style>
  <w:style w:type="paragraph" w:customStyle="1" w:styleId="xl67">
    <w:name w:val="xl67"/>
    <w:basedOn w:val="a"/>
    <w:uiPriority w:val="99"/>
    <w:semiHidden/>
    <w:qFormat/>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Char160">
    <w:name w:val="Char16"/>
    <w:basedOn w:val="a"/>
    <w:uiPriority w:val="1"/>
    <w:semiHidden/>
    <w:qFormat/>
    <w:pPr>
      <w:autoSpaceDE w:val="0"/>
      <w:autoSpaceDN w:val="0"/>
      <w:adjustRightInd w:val="0"/>
      <w:spacing w:after="160" w:line="240" w:lineRule="exact"/>
    </w:pPr>
    <w:rPr>
      <w:szCs w:val="20"/>
    </w:rPr>
  </w:style>
  <w:style w:type="paragraph" w:customStyle="1" w:styleId="Level4">
    <w:name w:val="Level 4"/>
    <w:basedOn w:val="a"/>
    <w:uiPriority w:val="99"/>
    <w:semiHidden/>
    <w:qFormat/>
    <w:pPr>
      <w:tabs>
        <w:tab w:val="left" w:pos="2041"/>
      </w:tabs>
      <w:spacing w:after="140" w:line="288" w:lineRule="auto"/>
      <w:ind w:left="2041" w:hanging="680"/>
    </w:pPr>
    <w:rPr>
      <w:rFonts w:ascii="Arial" w:hAnsi="Arial"/>
      <w:kern w:val="20"/>
      <w:sz w:val="20"/>
      <w:lang w:eastAsia="en-US"/>
    </w:rPr>
  </w:style>
  <w:style w:type="paragraph" w:customStyle="1" w:styleId="CharChar1Char5">
    <w:name w:val="Char Char1 Char5"/>
    <w:basedOn w:val="a"/>
    <w:semiHidden/>
    <w:qFormat/>
    <w:pPr>
      <w:spacing w:after="160" w:line="240" w:lineRule="exact"/>
    </w:pPr>
    <w:rPr>
      <w:rFonts w:ascii="Verdana" w:eastAsia="Times New Roman" w:hAnsi="Verdana"/>
      <w:sz w:val="20"/>
      <w:szCs w:val="20"/>
      <w:lang w:eastAsia="en-US"/>
    </w:rPr>
  </w:style>
  <w:style w:type="paragraph" w:customStyle="1" w:styleId="1010">
    <w:name w:val="样式 正文1 + 段前: 0.1 行"/>
    <w:basedOn w:val="118"/>
    <w:semiHidden/>
    <w:qFormat/>
    <w:pPr>
      <w:adjustRightInd/>
      <w:spacing w:beforeLines="10" w:afterLines="0" w:line="440" w:lineRule="atLeast"/>
      <w:ind w:firstLineChars="0" w:firstLine="510"/>
    </w:pPr>
    <w:rPr>
      <w:rFonts w:cs="宋体"/>
      <w:color w:val="auto"/>
      <w:szCs w:val="20"/>
    </w:rPr>
  </w:style>
  <w:style w:type="paragraph" w:customStyle="1" w:styleId="1420">
    <w:name w:val="正文142"/>
    <w:semiHidden/>
    <w:qFormat/>
    <w:pPr>
      <w:widowControl w:val="0"/>
      <w:adjustRightInd w:val="0"/>
      <w:spacing w:line="360" w:lineRule="atLeast"/>
      <w:jc w:val="both"/>
      <w:textAlignment w:val="baseline"/>
    </w:pPr>
    <w:rPr>
      <w:rFonts w:ascii="宋体"/>
      <w:sz w:val="24"/>
    </w:rPr>
  </w:style>
  <w:style w:type="paragraph" w:customStyle="1" w:styleId="newsindent">
    <w:name w:val="news_indent"/>
    <w:basedOn w:val="a"/>
    <w:semiHidden/>
    <w:qFormat/>
    <w:pPr>
      <w:spacing w:beforeAutospacing="1" w:after="100" w:afterAutospacing="1" w:line="360" w:lineRule="auto"/>
    </w:pPr>
    <w:rPr>
      <w:rFonts w:ascii="ˎ̥" w:hAnsi="ˎ̥"/>
      <w:color w:val="333333"/>
      <w:sz w:val="18"/>
      <w:szCs w:val="20"/>
    </w:rPr>
  </w:style>
  <w:style w:type="paragraph" w:customStyle="1" w:styleId="CharChar1CharCharCharChar1CharCharChar11">
    <w:name w:val="Char Char1 Char Char Char Char1 Char Char Char11"/>
    <w:basedOn w:val="a"/>
    <w:semiHidden/>
    <w:qFormat/>
    <w:pPr>
      <w:autoSpaceDE w:val="0"/>
      <w:autoSpaceDN w:val="0"/>
      <w:adjustRightInd w:val="0"/>
    </w:pPr>
  </w:style>
  <w:style w:type="paragraph" w:customStyle="1" w:styleId="CharCharCharCharCharCharCharCharCharChar4">
    <w:name w:val="Char Char Char Char Char Char Char Char Char Char4"/>
    <w:basedOn w:val="a"/>
    <w:semiHidden/>
    <w:qFormat/>
    <w:rPr>
      <w:rFonts w:ascii="Tahoma" w:hAnsi="Tahoma"/>
      <w:szCs w:val="20"/>
    </w:rPr>
  </w:style>
  <w:style w:type="paragraph" w:customStyle="1" w:styleId="CompanyDescription">
    <w:name w:val="Company Description"/>
    <w:basedOn w:val="a7"/>
    <w:semiHidden/>
    <w:qFormat/>
    <w:rPr>
      <w:rFonts w:ascii="Arial Narrow" w:hAnsi="Arial Narrow"/>
      <w:b/>
      <w:sz w:val="14"/>
      <w:szCs w:val="20"/>
      <w:lang w:val="en-GB" w:eastAsia="en-US"/>
    </w:rPr>
  </w:style>
  <w:style w:type="paragraph" w:customStyle="1" w:styleId="xl88">
    <w:name w:val="xl88"/>
    <w:basedOn w:val="a"/>
    <w:semiHidden/>
    <w:qFormat/>
    <w:pPr>
      <w:pBdr>
        <w:top w:val="single" w:sz="4" w:space="0" w:color="auto"/>
        <w:left w:val="single" w:sz="4" w:space="0" w:color="auto"/>
        <w:right w:val="single" w:sz="4" w:space="0" w:color="auto"/>
      </w:pBdr>
      <w:spacing w:before="100" w:beforeAutospacing="1" w:after="100" w:afterAutospacing="1"/>
    </w:pPr>
    <w:rPr>
      <w:rFonts w:ascii="仿宋_GB2312" w:eastAsia="仿宋_GB2312"/>
      <w:b/>
      <w:bCs/>
      <w:sz w:val="20"/>
      <w:szCs w:val="20"/>
    </w:rPr>
  </w:style>
  <w:style w:type="paragraph" w:customStyle="1" w:styleId="affffffffffffffffe">
    <w:name w:val="(a空格行"/>
    <w:semiHidden/>
    <w:qFormat/>
    <w:pPr>
      <w:ind w:right="210"/>
      <w:jc w:val="both"/>
    </w:pPr>
    <w:rPr>
      <w:rFonts w:eastAsia="仿宋_GB2312"/>
      <w:b/>
      <w:kern w:val="2"/>
      <w:sz w:val="10"/>
      <w:szCs w:val="24"/>
    </w:rPr>
  </w:style>
  <w:style w:type="paragraph" w:customStyle="1" w:styleId="97">
    <w:name w:val="字元 字元9"/>
    <w:basedOn w:val="a"/>
    <w:semiHidden/>
    <w:qFormat/>
    <w:pPr>
      <w:autoSpaceDE w:val="0"/>
      <w:autoSpaceDN w:val="0"/>
      <w:adjustRightInd w:val="0"/>
      <w:spacing w:after="160" w:line="240" w:lineRule="exact"/>
    </w:pPr>
    <w:rPr>
      <w:rFonts w:eastAsia="Times New Roman"/>
      <w:sz w:val="20"/>
      <w:szCs w:val="20"/>
    </w:rPr>
  </w:style>
  <w:style w:type="paragraph" w:customStyle="1" w:styleId="afffffffffffffffff">
    <w:name w:val="章节前言"/>
    <w:basedOn w:val="a"/>
    <w:uiPriority w:val="99"/>
    <w:semiHidden/>
    <w:qFormat/>
    <w:pPr>
      <w:spacing w:line="360" w:lineRule="auto"/>
      <w:ind w:firstLine="527"/>
    </w:pPr>
    <w:rPr>
      <w:szCs w:val="20"/>
    </w:rPr>
  </w:style>
  <w:style w:type="paragraph" w:customStyle="1" w:styleId="Char24">
    <w:name w:val="Char2"/>
    <w:basedOn w:val="a"/>
    <w:uiPriority w:val="1"/>
    <w:semiHidden/>
    <w:qFormat/>
    <w:pPr>
      <w:tabs>
        <w:tab w:val="left" w:pos="360"/>
      </w:tabs>
      <w:adjustRightInd w:val="0"/>
      <w:spacing w:line="360" w:lineRule="auto"/>
      <w:ind w:leftChars="200" w:left="557" w:hanging="357"/>
    </w:pPr>
  </w:style>
  <w:style w:type="paragraph" w:customStyle="1" w:styleId="2Char6H2H21heading2Heading2HiddenHeading2CCBS">
    <w:name w:val="样式 标题 2 Char6H2H21heading 2Heading 2 HiddenHeading 2 CCBS..."/>
    <w:basedOn w:val="2"/>
    <w:semiHidden/>
    <w:qFormat/>
    <w:pPr>
      <w:keepLines w:val="0"/>
      <w:numPr>
        <w:ilvl w:val="0"/>
        <w:numId w:val="0"/>
      </w:numPr>
      <w:snapToGrid w:val="0"/>
      <w:spacing w:afterLines="0" w:after="0" w:line="360" w:lineRule="auto"/>
      <w:ind w:left="737" w:hanging="737"/>
      <w:jc w:val="left"/>
    </w:pPr>
    <w:rPr>
      <w:rFonts w:ascii="Times New Roman" w:eastAsia="黑体" w:hAnsi="Times New Roman"/>
      <w:b w:val="0"/>
      <w:bCs w:val="0"/>
      <w:kern w:val="0"/>
      <w:sz w:val="30"/>
      <w:szCs w:val="24"/>
      <w:lang w:bidi="ne-IN"/>
    </w:rPr>
  </w:style>
  <w:style w:type="character" w:customStyle="1" w:styleId="Charfffff0">
    <w:name w:val="表格注释 Char"/>
    <w:semiHidden/>
    <w:qFormat/>
    <w:rPr>
      <w:rFonts w:ascii="Times New Roman" w:hAnsi="Times New Roman"/>
      <w:sz w:val="21"/>
      <w:szCs w:val="28"/>
    </w:rPr>
  </w:style>
  <w:style w:type="paragraph" w:customStyle="1" w:styleId="CharCharCharCharCharChar1CharCharChar9">
    <w:name w:val="Char Char Char Char Char Char1 Char Char Char9"/>
    <w:basedOn w:val="a"/>
    <w:semiHidden/>
    <w:qFormat/>
    <w:pPr>
      <w:autoSpaceDE w:val="0"/>
      <w:autoSpaceDN w:val="0"/>
      <w:adjustRightInd w:val="0"/>
      <w:textAlignment w:val="baseline"/>
    </w:pPr>
    <w:rPr>
      <w:sz w:val="34"/>
      <w:szCs w:val="20"/>
    </w:rPr>
  </w:style>
  <w:style w:type="paragraph" w:customStyle="1" w:styleId="CharCharCharCharCharCharCharCharCharChar7">
    <w:name w:val="Char Char Char Char Char Char Char Char Char Char7"/>
    <w:basedOn w:val="a"/>
    <w:semiHidden/>
    <w:qFormat/>
    <w:rPr>
      <w:rFonts w:ascii="Tahoma" w:hAnsi="Tahoma"/>
      <w:szCs w:val="20"/>
    </w:rPr>
  </w:style>
  <w:style w:type="paragraph" w:customStyle="1" w:styleId="Normal2">
    <w:name w:val="Normal2"/>
    <w:semiHidden/>
    <w:qFormat/>
    <w:pPr>
      <w:widowControl w:val="0"/>
      <w:adjustRightInd w:val="0"/>
      <w:spacing w:line="360" w:lineRule="atLeast"/>
      <w:jc w:val="both"/>
      <w:textAlignment w:val="baseline"/>
    </w:pPr>
    <w:rPr>
      <w:rFonts w:ascii="宋体"/>
      <w:sz w:val="24"/>
    </w:rPr>
  </w:style>
  <w:style w:type="paragraph" w:customStyle="1" w:styleId="xl84">
    <w:name w:val="xl84"/>
    <w:basedOn w:val="a"/>
    <w:uiPriority w:val="99"/>
    <w:semiHidden/>
    <w:qFormat/>
    <w:pPr>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b/>
      <w:bCs/>
      <w:sz w:val="20"/>
      <w:szCs w:val="20"/>
    </w:rPr>
  </w:style>
  <w:style w:type="paragraph" w:customStyle="1" w:styleId="127">
    <w:name w:val="12"/>
    <w:basedOn w:val="a"/>
    <w:semiHidden/>
    <w:qFormat/>
    <w:pPr>
      <w:spacing w:before="100" w:beforeAutospacing="1" w:after="100" w:afterAutospacing="1"/>
    </w:pPr>
    <w:rPr>
      <w:sz w:val="18"/>
      <w:szCs w:val="18"/>
    </w:rPr>
  </w:style>
  <w:style w:type="paragraph" w:customStyle="1" w:styleId="CharCharChar1CharCharCharCharCharCharCharCharChar5">
    <w:name w:val="Char Char Char1 Char Char Char Char Char Char Char Char Char5"/>
    <w:basedOn w:val="a"/>
    <w:semiHidden/>
    <w:qFormat/>
    <w:pPr>
      <w:autoSpaceDE w:val="0"/>
      <w:autoSpaceDN w:val="0"/>
      <w:adjustRightInd w:val="0"/>
    </w:pPr>
    <w:rPr>
      <w:rFonts w:ascii="Tahoma" w:hAnsi="Tahoma"/>
      <w:szCs w:val="20"/>
    </w:rPr>
  </w:style>
  <w:style w:type="paragraph" w:customStyle="1" w:styleId="0030">
    <w:name w:val="标题003"/>
    <w:basedOn w:val="a"/>
    <w:semiHidden/>
    <w:qFormat/>
    <w:pPr>
      <w:spacing w:line="360" w:lineRule="auto"/>
      <w:ind w:firstLineChars="200" w:firstLine="480"/>
    </w:pPr>
    <w:rPr>
      <w:rFonts w:ascii="Arial" w:hAnsi="Arial" w:cs="Arial"/>
    </w:rPr>
  </w:style>
  <w:style w:type="paragraph" w:customStyle="1" w:styleId="162">
    <w:name w:val="列出段落16"/>
    <w:basedOn w:val="a"/>
    <w:semiHidden/>
    <w:qFormat/>
    <w:pPr>
      <w:ind w:left="720"/>
    </w:pPr>
  </w:style>
  <w:style w:type="paragraph" w:customStyle="1" w:styleId="CharChar1CharCharCharChar1CharCharChar6">
    <w:name w:val="Char Char1 Char Char Char Char1 Char Char Char6"/>
    <w:basedOn w:val="a"/>
    <w:semiHidden/>
    <w:qFormat/>
    <w:pPr>
      <w:autoSpaceDE w:val="0"/>
      <w:autoSpaceDN w:val="0"/>
      <w:adjustRightInd w:val="0"/>
    </w:pPr>
  </w:style>
  <w:style w:type="paragraph" w:customStyle="1" w:styleId="afffffffffffffffff0">
    <w:name w:val="封 公司 一"/>
    <w:basedOn w:val="Default"/>
    <w:semiHidden/>
    <w:qFormat/>
    <w:pPr>
      <w:snapToGrid w:val="0"/>
      <w:spacing w:before="312" w:line="360" w:lineRule="auto"/>
      <w:jc w:val="center"/>
    </w:pPr>
    <w:rPr>
      <w:rFonts w:ascii="Arial" w:eastAsia="华文仿宋" w:hAnsi="Arial"/>
      <w:b/>
      <w:bCs/>
      <w:sz w:val="30"/>
      <w:szCs w:val="30"/>
    </w:rPr>
  </w:style>
  <w:style w:type="character" w:customStyle="1" w:styleId="CharChar1211">
    <w:name w:val="Char Char1211"/>
    <w:semiHidden/>
    <w:qFormat/>
    <w:rPr>
      <w:i/>
      <w:color w:val="000000"/>
      <w:lang w:val="en-GB" w:eastAsia="en-US"/>
    </w:rPr>
  </w:style>
  <w:style w:type="paragraph" w:customStyle="1" w:styleId="xl92">
    <w:name w:val="xl92"/>
    <w:basedOn w:val="a"/>
    <w:semiHidden/>
    <w:qFormat/>
    <w:pPr>
      <w:pBdr>
        <w:top w:val="single" w:sz="4" w:space="0" w:color="auto"/>
        <w:left w:val="single" w:sz="4" w:space="0" w:color="auto"/>
        <w:right w:val="single" w:sz="4" w:space="0" w:color="auto"/>
      </w:pBdr>
      <w:spacing w:before="100" w:beforeAutospacing="1" w:after="100" w:afterAutospacing="1"/>
    </w:pPr>
    <w:rPr>
      <w:rFonts w:ascii="仿宋_GB2312" w:eastAsia="仿宋_GB2312"/>
      <w:b/>
      <w:bCs/>
      <w:sz w:val="20"/>
      <w:szCs w:val="20"/>
    </w:rPr>
  </w:style>
  <w:style w:type="paragraph" w:customStyle="1" w:styleId="xl621">
    <w:name w:val="xl621"/>
    <w:basedOn w:val="a"/>
    <w:semiHidden/>
    <w:qFormat/>
    <w:pPr>
      <w:pBdr>
        <w:bottom w:val="single" w:sz="8" w:space="0" w:color="auto"/>
      </w:pBdr>
      <w:spacing w:before="100" w:beforeAutospacing="1" w:after="100" w:afterAutospacing="1"/>
      <w:jc w:val="center"/>
    </w:pPr>
    <w:rPr>
      <w:b/>
      <w:bCs/>
      <w:sz w:val="15"/>
      <w:szCs w:val="15"/>
    </w:rPr>
  </w:style>
  <w:style w:type="paragraph" w:customStyle="1" w:styleId="afffffffffffffffff1">
    <w:name w:val="工业统一正文"/>
    <w:basedOn w:val="a"/>
    <w:semiHidden/>
    <w:qFormat/>
    <w:pPr>
      <w:adjustRightInd w:val="0"/>
      <w:snapToGrid w:val="0"/>
      <w:spacing w:line="360" w:lineRule="auto"/>
      <w:ind w:firstLineChars="200" w:firstLine="200"/>
    </w:pPr>
    <w:rPr>
      <w:sz w:val="28"/>
    </w:rPr>
  </w:style>
  <w:style w:type="paragraph" w:customStyle="1" w:styleId="PlainText6">
    <w:name w:val="Plain Text6"/>
    <w:basedOn w:val="a"/>
    <w:uiPriority w:val="99"/>
    <w:semiHidden/>
    <w:qFormat/>
    <w:pPr>
      <w:adjustRightInd w:val="0"/>
      <w:textAlignment w:val="baseline"/>
    </w:pPr>
    <w:rPr>
      <w:rFonts w:hAnsi="Courier New"/>
      <w:szCs w:val="20"/>
    </w:rPr>
  </w:style>
  <w:style w:type="paragraph" w:customStyle="1" w:styleId="Char1CharCharChar4">
    <w:name w:val="Char1 Char Char Char4"/>
    <w:basedOn w:val="a"/>
    <w:semiHidden/>
    <w:qFormat/>
    <w:pPr>
      <w:spacing w:after="160" w:line="240" w:lineRule="exact"/>
    </w:pPr>
    <w:rPr>
      <w:rFonts w:ascii="Verdana" w:eastAsia="Times New Roman" w:hAnsi="Verdana"/>
      <w:sz w:val="20"/>
      <w:szCs w:val="20"/>
      <w:lang w:eastAsia="en-US"/>
    </w:rPr>
  </w:style>
  <w:style w:type="paragraph" w:customStyle="1" w:styleId="11c">
    <w:name w:val="字元11"/>
    <w:basedOn w:val="a"/>
    <w:semiHidden/>
    <w:qFormat/>
    <w:pPr>
      <w:autoSpaceDE w:val="0"/>
      <w:autoSpaceDN w:val="0"/>
      <w:adjustRightInd w:val="0"/>
      <w:spacing w:beforeLines="50"/>
    </w:pPr>
  </w:style>
  <w:style w:type="paragraph" w:customStyle="1" w:styleId="xl119">
    <w:name w:val="xl119"/>
    <w:basedOn w:val="a"/>
    <w:semiHidden/>
    <w:qFormat/>
    <w:pPr>
      <w:pBdr>
        <w:top w:val="single" w:sz="8" w:space="0" w:color="auto"/>
        <w:left w:val="single" w:sz="8" w:space="0" w:color="auto"/>
        <w:right w:val="single" w:sz="8" w:space="0" w:color="auto"/>
      </w:pBdr>
      <w:shd w:val="clear" w:color="000000" w:fill="FFFFFF"/>
      <w:spacing w:before="100" w:beforeAutospacing="1" w:after="100" w:afterAutospacing="1"/>
      <w:jc w:val="right"/>
    </w:pPr>
    <w:rPr>
      <w:sz w:val="18"/>
      <w:szCs w:val="18"/>
    </w:rPr>
  </w:style>
  <w:style w:type="paragraph" w:customStyle="1" w:styleId="CharCharCharCharChar4">
    <w:name w:val="Char Char Char Char Char4"/>
    <w:basedOn w:val="a"/>
    <w:semiHidden/>
    <w:qFormat/>
    <w:rPr>
      <w:rFonts w:ascii="Tahoma" w:hAnsi="Tahoma"/>
      <w:szCs w:val="20"/>
    </w:rPr>
  </w:style>
  <w:style w:type="paragraph" w:customStyle="1" w:styleId="xl136">
    <w:name w:val="xl136"/>
    <w:basedOn w:val="a"/>
    <w:semiHidden/>
    <w:qFormat/>
    <w:pPr>
      <w:pBdr>
        <w:top w:val="single" w:sz="8" w:space="0" w:color="auto"/>
      </w:pBdr>
      <w:spacing w:before="100" w:beforeAutospacing="1" w:after="100" w:afterAutospacing="1"/>
      <w:jc w:val="center"/>
    </w:pPr>
    <w:rPr>
      <w:rFonts w:ascii="楷体_GB2312" w:eastAsia="楷体_GB2312"/>
      <w:b/>
      <w:bCs/>
      <w:color w:val="000000"/>
      <w:sz w:val="18"/>
      <w:szCs w:val="18"/>
    </w:rPr>
  </w:style>
  <w:style w:type="paragraph" w:customStyle="1" w:styleId="afffffffffffffffff2">
    <w:name w:val="第三级（（一））"/>
    <w:basedOn w:val="a"/>
    <w:semiHidden/>
    <w:qFormat/>
    <w:pPr>
      <w:keepNext/>
      <w:spacing w:beforeLines="50" w:line="360" w:lineRule="auto"/>
      <w:outlineLvl w:val="2"/>
    </w:pPr>
    <w:rPr>
      <w:b/>
      <w:sz w:val="24"/>
    </w:rPr>
  </w:style>
  <w:style w:type="character" w:customStyle="1" w:styleId="ca-31">
    <w:name w:val="ca-31"/>
    <w:uiPriority w:val="1"/>
    <w:semiHidden/>
    <w:qFormat/>
    <w:rPr>
      <w:rFonts w:hint="eastAsia"/>
      <w:color w:val="0000FF"/>
      <w:sz w:val="21"/>
      <w:szCs w:val="21"/>
    </w:rPr>
  </w:style>
  <w:style w:type="paragraph" w:customStyle="1" w:styleId="xl40">
    <w:name w:val="xl40"/>
    <w:basedOn w:val="a"/>
    <w:semiHidden/>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olor w:val="FF0000"/>
      <w:sz w:val="22"/>
      <w:szCs w:val="22"/>
    </w:rPr>
  </w:style>
  <w:style w:type="paragraph" w:customStyle="1" w:styleId="CharChar4CharCharCharCharCharChar4CharCharCharChar2">
    <w:name w:val="Char Char4 Char Char Char Char Char Char4 Char Char Char Char2"/>
    <w:basedOn w:val="a"/>
    <w:semiHidden/>
    <w:qFormat/>
    <w:pPr>
      <w:tabs>
        <w:tab w:val="left" w:pos="360"/>
      </w:tabs>
    </w:pPr>
  </w:style>
  <w:style w:type="paragraph" w:customStyle="1" w:styleId="051">
    <w:name w:val="样式 德蓝标题二 + (西文) 宋体 四号 加粗 段前: 0.5 行1"/>
    <w:basedOn w:val="a"/>
    <w:semiHidden/>
    <w:qFormat/>
    <w:pPr>
      <w:keepNext/>
      <w:keepLines/>
      <w:spacing w:beforeLines="50" w:line="360" w:lineRule="auto"/>
      <w:outlineLvl w:val="1"/>
    </w:pPr>
    <w:rPr>
      <w:rFonts w:eastAsia="黑体"/>
      <w:b/>
      <w:bCs/>
      <w:sz w:val="30"/>
      <w:szCs w:val="20"/>
    </w:rPr>
  </w:style>
  <w:style w:type="paragraph" w:customStyle="1" w:styleId="CharChar9a">
    <w:name w:val="Char Char 字元9"/>
    <w:basedOn w:val="a"/>
    <w:semiHidden/>
    <w:qFormat/>
    <w:pPr>
      <w:autoSpaceDE w:val="0"/>
      <w:autoSpaceDN w:val="0"/>
      <w:adjustRightInd w:val="0"/>
      <w:spacing w:before="50"/>
    </w:pPr>
    <w:rPr>
      <w:szCs w:val="20"/>
    </w:rPr>
  </w:style>
  <w:style w:type="paragraph" w:customStyle="1" w:styleId="CharCharCharCharCharChar1CharCharChar1">
    <w:name w:val="Char Char Char Char Char Char1 Char Char Char1"/>
    <w:basedOn w:val="a"/>
    <w:semiHidden/>
    <w:qFormat/>
    <w:pPr>
      <w:autoSpaceDE w:val="0"/>
      <w:autoSpaceDN w:val="0"/>
      <w:adjustRightInd w:val="0"/>
      <w:textAlignment w:val="baseline"/>
    </w:pPr>
    <w:rPr>
      <w:sz w:val="34"/>
      <w:szCs w:val="20"/>
    </w:rPr>
  </w:style>
  <w:style w:type="paragraph" w:customStyle="1" w:styleId="xl113">
    <w:name w:val="xl113"/>
    <w:basedOn w:val="a"/>
    <w:semiHidden/>
    <w:qFormat/>
    <w:pPr>
      <w:pBdr>
        <w:top w:val="single" w:sz="4" w:space="0" w:color="auto"/>
        <w:left w:val="single" w:sz="4" w:space="0" w:color="auto"/>
        <w:right w:val="single" w:sz="4" w:space="0" w:color="auto"/>
      </w:pBdr>
      <w:spacing w:before="100" w:beforeAutospacing="1" w:after="100" w:afterAutospacing="1"/>
      <w:jc w:val="center"/>
    </w:pPr>
    <w:rPr>
      <w:rFonts w:ascii="仿宋_GB2312" w:eastAsia="仿宋_GB2312"/>
      <w:b/>
      <w:bCs/>
      <w:sz w:val="20"/>
      <w:szCs w:val="20"/>
    </w:rPr>
  </w:style>
  <w:style w:type="paragraph" w:customStyle="1" w:styleId="Char170">
    <w:name w:val="Char17"/>
    <w:basedOn w:val="a"/>
    <w:semiHidden/>
    <w:qFormat/>
    <w:pPr>
      <w:autoSpaceDE w:val="0"/>
      <w:autoSpaceDN w:val="0"/>
      <w:adjustRightInd w:val="0"/>
      <w:spacing w:after="160" w:line="240" w:lineRule="exact"/>
    </w:pPr>
    <w:rPr>
      <w:szCs w:val="20"/>
    </w:rPr>
  </w:style>
  <w:style w:type="paragraph" w:customStyle="1" w:styleId="1411">
    <w:name w:val="正文141"/>
    <w:semiHidden/>
    <w:qFormat/>
    <w:pPr>
      <w:widowControl w:val="0"/>
      <w:adjustRightInd w:val="0"/>
      <w:spacing w:line="360" w:lineRule="atLeast"/>
      <w:jc w:val="both"/>
      <w:textAlignment w:val="baseline"/>
    </w:pPr>
    <w:rPr>
      <w:rFonts w:ascii="宋体"/>
      <w:sz w:val="24"/>
    </w:rPr>
  </w:style>
  <w:style w:type="paragraph" w:customStyle="1" w:styleId="2Arial">
    <w:name w:val="样式 2级标题 + Arial"/>
    <w:basedOn w:val="2fff9"/>
    <w:semiHidden/>
    <w:qFormat/>
    <w:rPr>
      <w:rFonts w:ascii="Arial" w:hAnsi="Arial"/>
      <w:bCs/>
      <w:szCs w:val="20"/>
    </w:rPr>
  </w:style>
  <w:style w:type="paragraph" w:customStyle="1" w:styleId="2fff9">
    <w:name w:val="2级标题"/>
    <w:basedOn w:val="a"/>
    <w:link w:val="2Char6"/>
    <w:semiHidden/>
    <w:qFormat/>
    <w:pPr>
      <w:spacing w:before="60" w:line="460" w:lineRule="exact"/>
      <w:outlineLvl w:val="1"/>
    </w:pPr>
    <w:rPr>
      <w:b/>
      <w:sz w:val="28"/>
    </w:rPr>
  </w:style>
  <w:style w:type="character" w:customStyle="1" w:styleId="2Char6">
    <w:name w:val="2级标题 Char"/>
    <w:link w:val="2fff9"/>
    <w:semiHidden/>
    <w:rPr>
      <w:b/>
      <w:kern w:val="2"/>
      <w:sz w:val="28"/>
      <w:szCs w:val="21"/>
    </w:rPr>
  </w:style>
  <w:style w:type="paragraph" w:customStyle="1" w:styleId="xl53">
    <w:name w:val="xl53"/>
    <w:basedOn w:val="a"/>
    <w:semiHidden/>
    <w:qFormat/>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afffffffffffffffff3">
    <w:name w:val="样式一"/>
    <w:basedOn w:val="a"/>
    <w:uiPriority w:val="99"/>
    <w:semiHidden/>
    <w:qFormat/>
    <w:pPr>
      <w:tabs>
        <w:tab w:val="left" w:pos="480"/>
        <w:tab w:val="left" w:pos="907"/>
      </w:tabs>
      <w:spacing w:after="78" w:line="360" w:lineRule="auto"/>
      <w:ind w:left="480" w:hanging="480"/>
    </w:pPr>
    <w:rPr>
      <w:b/>
      <w:szCs w:val="20"/>
    </w:rPr>
  </w:style>
  <w:style w:type="paragraph" w:customStyle="1" w:styleId="CharCharCharCharCharCharCharCharCharCharCharChar2">
    <w:name w:val="Char Char Char Char Char Char Char Char Char Char Char Char2"/>
    <w:basedOn w:val="a"/>
    <w:semiHidden/>
    <w:qFormat/>
    <w:pPr>
      <w:spacing w:after="160" w:line="240" w:lineRule="exact"/>
    </w:pPr>
    <w:rPr>
      <w:rFonts w:ascii="Verdana" w:hAnsi="Verdana"/>
      <w:sz w:val="20"/>
      <w:szCs w:val="20"/>
      <w:lang w:eastAsia="en-US"/>
    </w:rPr>
  </w:style>
  <w:style w:type="paragraph" w:customStyle="1" w:styleId="CM162">
    <w:name w:val="CM162"/>
    <w:basedOn w:val="Default"/>
    <w:next w:val="Default"/>
    <w:semiHidden/>
    <w:qFormat/>
    <w:pPr>
      <w:spacing w:after="95"/>
      <w:jc w:val="both"/>
    </w:pPr>
    <w:rPr>
      <w:rFonts w:ascii=".a...D.." w:eastAsia=".a...D.." w:cs="Times New Roman"/>
      <w:color w:val="auto"/>
    </w:rPr>
  </w:style>
  <w:style w:type="paragraph" w:customStyle="1" w:styleId="Char1100">
    <w:name w:val="Char110"/>
    <w:basedOn w:val="a"/>
    <w:semiHidden/>
    <w:qFormat/>
    <w:rPr>
      <w:rFonts w:ascii="Tahoma" w:hAnsi="Tahoma"/>
      <w:szCs w:val="20"/>
    </w:rPr>
  </w:style>
  <w:style w:type="character" w:customStyle="1" w:styleId="2fffa">
    <w:name w:val="正文文本首行缩进 2 字符"/>
    <w:semiHidden/>
    <w:qFormat/>
    <w:rPr>
      <w:rFonts w:ascii="宋体" w:eastAsia="楷体_GB2312" w:hAnsi="Times New Roman"/>
      <w:b/>
      <w:kern w:val="2"/>
      <w:sz w:val="21"/>
    </w:rPr>
  </w:style>
  <w:style w:type="paragraph" w:customStyle="1" w:styleId="CharCharCharCharCharChar1CharCharChar6">
    <w:name w:val="Char Char Char Char Char Char1 Char Char Char6"/>
    <w:basedOn w:val="a"/>
    <w:semiHidden/>
    <w:qFormat/>
    <w:pPr>
      <w:autoSpaceDE w:val="0"/>
      <w:autoSpaceDN w:val="0"/>
      <w:adjustRightInd w:val="0"/>
      <w:textAlignment w:val="baseline"/>
    </w:pPr>
    <w:rPr>
      <w:rFonts w:eastAsia="方正仿宋简体"/>
      <w:sz w:val="32"/>
      <w:szCs w:val="20"/>
    </w:rPr>
  </w:style>
  <w:style w:type="paragraph" w:customStyle="1" w:styleId="CharChar1CharChar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Char Char"/>
    <w:basedOn w:val="a"/>
    <w:semiHidden/>
    <w:qFormat/>
    <w:pPr>
      <w:spacing w:after="160" w:line="240" w:lineRule="exact"/>
    </w:pPr>
    <w:rPr>
      <w:rFonts w:ascii="Verdana" w:eastAsia="Times New Roman" w:hAnsi="Verdana" w:cs="Arial"/>
      <w:sz w:val="22"/>
      <w:szCs w:val="20"/>
      <w:lang w:eastAsia="en-US"/>
    </w:rPr>
  </w:style>
  <w:style w:type="paragraph" w:customStyle="1" w:styleId="PlainText2">
    <w:name w:val="Plain Text2"/>
    <w:basedOn w:val="a"/>
    <w:semiHidden/>
    <w:qFormat/>
    <w:pPr>
      <w:adjustRightInd w:val="0"/>
      <w:textAlignment w:val="baseline"/>
    </w:pPr>
    <w:rPr>
      <w:rFonts w:hAnsi="Courier New"/>
      <w:szCs w:val="20"/>
    </w:rPr>
  </w:style>
  <w:style w:type="paragraph" w:customStyle="1" w:styleId="BalloonText2">
    <w:name w:val="Balloon Text2"/>
    <w:basedOn w:val="a"/>
    <w:uiPriority w:val="99"/>
    <w:semiHidden/>
    <w:qFormat/>
    <w:pPr>
      <w:autoSpaceDE w:val="0"/>
      <w:autoSpaceDN w:val="0"/>
      <w:adjustRightInd w:val="0"/>
    </w:pPr>
    <w:rPr>
      <w:rFonts w:ascii="Tahoma" w:hAnsi="Tahoma" w:cs="Tahoma"/>
      <w:sz w:val="16"/>
      <w:szCs w:val="16"/>
    </w:rPr>
  </w:style>
  <w:style w:type="paragraph" w:customStyle="1" w:styleId="CM145">
    <w:name w:val="CM145"/>
    <w:basedOn w:val="Default"/>
    <w:next w:val="Default"/>
    <w:semiHidden/>
    <w:qFormat/>
    <w:pPr>
      <w:spacing w:after="813"/>
      <w:jc w:val="both"/>
    </w:pPr>
    <w:rPr>
      <w:rFonts w:ascii=".a...D.." w:eastAsia=".a...D.." w:cs="Times New Roman"/>
      <w:color w:val="auto"/>
    </w:rPr>
  </w:style>
  <w:style w:type="paragraph" w:customStyle="1" w:styleId="xu40">
    <w:name w:val="xu标题4"/>
    <w:basedOn w:val="a"/>
    <w:semiHidden/>
    <w:qFormat/>
    <w:pPr>
      <w:spacing w:before="120" w:after="60" w:line="480" w:lineRule="exact"/>
      <w:ind w:firstLineChars="100" w:firstLine="281"/>
      <w:outlineLvl w:val="3"/>
    </w:pPr>
    <w:rPr>
      <w:rFonts w:hAnsi="Cambria"/>
      <w:b/>
      <w:bCs/>
      <w:sz w:val="28"/>
      <w:szCs w:val="20"/>
    </w:rPr>
  </w:style>
  <w:style w:type="paragraph" w:customStyle="1" w:styleId="xl82">
    <w:name w:val="xl82"/>
    <w:basedOn w:val="a"/>
    <w:uiPriority w:val="99"/>
    <w:semiHidden/>
    <w:qFormat/>
    <w:pPr>
      <w:pBdr>
        <w:left w:val="single" w:sz="4" w:space="0" w:color="auto"/>
        <w:bottom w:val="single" w:sz="4" w:space="0" w:color="auto"/>
        <w:right w:val="single" w:sz="4" w:space="0" w:color="auto"/>
      </w:pBdr>
      <w:spacing w:before="100" w:beforeAutospacing="1" w:after="100" w:afterAutospacing="1"/>
    </w:pPr>
    <w:rPr>
      <w:rFonts w:ascii="仿宋_GB2312" w:eastAsia="仿宋_GB2312"/>
      <w:b/>
      <w:bCs/>
      <w:sz w:val="20"/>
      <w:szCs w:val="20"/>
    </w:rPr>
  </w:style>
  <w:style w:type="paragraph" w:customStyle="1" w:styleId="CharCharCharCharCharCharChar18">
    <w:name w:val="Char Char Char Char Char Char Char18"/>
    <w:basedOn w:val="a"/>
    <w:semiHidden/>
    <w:qFormat/>
    <w:pPr>
      <w:spacing w:after="160" w:line="240" w:lineRule="exact"/>
    </w:pPr>
    <w:rPr>
      <w:rFonts w:ascii="Arial" w:eastAsia="Times New Roman" w:hAnsi="Arial" w:cs="Verdana"/>
      <w:b/>
      <w:lang w:eastAsia="en-US"/>
    </w:rPr>
  </w:style>
  <w:style w:type="paragraph" w:customStyle="1" w:styleId="dd2">
    <w:name w:val="dd2"/>
    <w:basedOn w:val="a"/>
    <w:semiHidden/>
    <w:qFormat/>
    <w:pPr>
      <w:tabs>
        <w:tab w:val="left" w:pos="0"/>
      </w:tabs>
    </w:pPr>
  </w:style>
  <w:style w:type="paragraph" w:customStyle="1" w:styleId="PlainText8">
    <w:name w:val="Plain Text8"/>
    <w:basedOn w:val="a"/>
    <w:uiPriority w:val="99"/>
    <w:semiHidden/>
    <w:qFormat/>
    <w:pPr>
      <w:adjustRightInd w:val="0"/>
      <w:textAlignment w:val="baseline"/>
    </w:pPr>
    <w:rPr>
      <w:rFonts w:hAnsi="Courier New"/>
      <w:szCs w:val="20"/>
    </w:rPr>
  </w:style>
  <w:style w:type="paragraph" w:customStyle="1" w:styleId="xl121">
    <w:name w:val="xl121"/>
    <w:basedOn w:val="a"/>
    <w:semiHidden/>
    <w:qFormat/>
    <w:pPr>
      <w:pBdr>
        <w:left w:val="single" w:sz="8" w:space="0" w:color="auto"/>
        <w:bottom w:val="single" w:sz="8" w:space="0" w:color="auto"/>
        <w:right w:val="single" w:sz="8" w:space="0" w:color="auto"/>
      </w:pBdr>
      <w:shd w:val="clear" w:color="000000" w:fill="FFFFFF"/>
      <w:spacing w:before="100" w:beforeAutospacing="1" w:after="100" w:afterAutospacing="1"/>
      <w:jc w:val="right"/>
    </w:pPr>
    <w:rPr>
      <w:sz w:val="18"/>
      <w:szCs w:val="18"/>
    </w:rPr>
  </w:style>
  <w:style w:type="paragraph" w:customStyle="1" w:styleId="similarquerysuggesthover1">
    <w:name w:val="similarquerysuggest_hover1"/>
    <w:basedOn w:val="a"/>
    <w:semiHidden/>
    <w:qFormat/>
    <w:pPr>
      <w:shd w:val="clear" w:color="auto" w:fill="E8F2FE"/>
      <w:spacing w:beforeAutospacing="1" w:after="100" w:afterAutospacing="1"/>
    </w:pPr>
  </w:style>
  <w:style w:type="paragraph" w:customStyle="1" w:styleId="CharChar1CharCharCharChar1CharCharChar14">
    <w:name w:val="Char Char1 Char Char Char Char1 Char Char Char14"/>
    <w:basedOn w:val="a"/>
    <w:semiHidden/>
    <w:qFormat/>
  </w:style>
  <w:style w:type="paragraph" w:customStyle="1" w:styleId="CM153">
    <w:name w:val="CM153"/>
    <w:basedOn w:val="Default"/>
    <w:next w:val="Default"/>
    <w:semiHidden/>
    <w:qFormat/>
    <w:pPr>
      <w:spacing w:after="195"/>
    </w:pPr>
    <w:rPr>
      <w:rFonts w:ascii="PCJODE+MSung-Light" w:eastAsia="PCJODE+MSung-Light" w:cs="Times New Roman"/>
      <w:color w:val="auto"/>
    </w:rPr>
  </w:style>
  <w:style w:type="paragraph" w:customStyle="1" w:styleId="CM25">
    <w:name w:val="CM25"/>
    <w:basedOn w:val="Default"/>
    <w:next w:val="Default"/>
    <w:link w:val="CM25Char"/>
    <w:semiHidden/>
    <w:qFormat/>
    <w:pPr>
      <w:spacing w:line="293" w:lineRule="atLeast"/>
    </w:pPr>
    <w:rPr>
      <w:rFonts w:ascii="隶书" w:eastAsia="隶书" w:cs="Times New Roman"/>
      <w:color w:val="auto"/>
    </w:rPr>
  </w:style>
  <w:style w:type="character" w:customStyle="1" w:styleId="CM25Char">
    <w:name w:val="CM25 Char"/>
    <w:link w:val="CM25"/>
    <w:semiHidden/>
    <w:rPr>
      <w:rFonts w:ascii="隶书" w:eastAsia="隶书"/>
      <w:sz w:val="24"/>
      <w:szCs w:val="24"/>
    </w:rPr>
  </w:style>
  <w:style w:type="paragraph" w:customStyle="1" w:styleId="CharChar1CharCharCharCharCharCharCharCharCharCharCharCharCharCharCharCharCharCharCharCharCharCharCharCharCharCharCharCharCharCharCharCharCharCharCharCharCharChar16">
    <w:name w:val="Char Char1 Char Char Char Char Char Char Char Char Char Char Char Char Char Char Char Char Char Char Char Char Char Char Char Char Char Char Char Char Char Char Char Char Char Char Char Char Char Char16"/>
    <w:basedOn w:val="a"/>
    <w:semiHidden/>
    <w:qFormat/>
    <w:pPr>
      <w:spacing w:after="160" w:line="240" w:lineRule="exact"/>
    </w:pPr>
    <w:rPr>
      <w:rFonts w:ascii="Verdana" w:eastAsia="Times New Roman" w:hAnsi="Verdana" w:cs="Arial"/>
      <w:sz w:val="22"/>
      <w:szCs w:val="20"/>
      <w:lang w:eastAsia="en-US"/>
    </w:rPr>
  </w:style>
  <w:style w:type="paragraph" w:customStyle="1" w:styleId="similarquerysuggestlink">
    <w:name w:val="similarquerysuggest_link"/>
    <w:basedOn w:val="a"/>
    <w:semiHidden/>
    <w:qFormat/>
    <w:pPr>
      <w:spacing w:beforeAutospacing="1" w:after="100" w:afterAutospacing="1"/>
    </w:pPr>
  </w:style>
  <w:style w:type="paragraph" w:customStyle="1" w:styleId="KWheading1">
    <w:name w:val="K&amp;W heading 1"/>
    <w:basedOn w:val="a"/>
    <w:next w:val="a"/>
    <w:semiHidden/>
    <w:qFormat/>
    <w:pPr>
      <w:keepNext/>
      <w:numPr>
        <w:numId w:val="13"/>
      </w:numPr>
      <w:tabs>
        <w:tab w:val="left" w:pos="567"/>
        <w:tab w:val="left" w:pos="1492"/>
      </w:tabs>
      <w:adjustRightInd w:val="0"/>
      <w:spacing w:after="280" w:line="280" w:lineRule="exact"/>
      <w:ind w:left="360" w:hanging="360"/>
      <w:textAlignment w:val="baseline"/>
      <w:outlineLvl w:val="0"/>
    </w:pPr>
    <w:rPr>
      <w:rFonts w:ascii="Arial" w:eastAsia="楷体_GB2312" w:hAnsi="Arial"/>
      <w:b/>
      <w:szCs w:val="20"/>
      <w:lang w:eastAsia="en-US"/>
    </w:rPr>
  </w:style>
  <w:style w:type="paragraph" w:customStyle="1" w:styleId="CharChar39">
    <w:name w:val="Char Char39"/>
    <w:basedOn w:val="a"/>
    <w:semiHidden/>
    <w:qFormat/>
    <w:pPr>
      <w:autoSpaceDE w:val="0"/>
      <w:autoSpaceDN w:val="0"/>
      <w:adjustRightInd w:val="0"/>
      <w:spacing w:after="160" w:line="240" w:lineRule="exact"/>
    </w:pPr>
    <w:rPr>
      <w:rFonts w:ascii="Verdana" w:eastAsia="Times New Roman" w:hAnsi="Verdana" w:cs="Arial"/>
      <w:sz w:val="22"/>
      <w:szCs w:val="20"/>
      <w:lang w:eastAsia="en-US"/>
    </w:rPr>
  </w:style>
  <w:style w:type="paragraph" w:customStyle="1" w:styleId="CM159">
    <w:name w:val="CM159"/>
    <w:basedOn w:val="Default"/>
    <w:next w:val="Default"/>
    <w:semiHidden/>
    <w:qFormat/>
    <w:pPr>
      <w:spacing w:after="553"/>
    </w:pPr>
    <w:rPr>
      <w:rFonts w:ascii="PCJODE+MSung-Light" w:eastAsia="PCJODE+MSung-Light" w:cs="Times New Roman"/>
      <w:color w:val="auto"/>
    </w:rPr>
  </w:style>
  <w:style w:type="paragraph" w:customStyle="1" w:styleId="afffffffffffffffff4">
    <w:name w:val="插图行"/>
    <w:basedOn w:val="a"/>
    <w:semiHidden/>
    <w:qFormat/>
    <w:rPr>
      <w:color w:val="000000"/>
      <w:sz w:val="28"/>
      <w:szCs w:val="20"/>
    </w:rPr>
  </w:style>
  <w:style w:type="paragraph" w:customStyle="1" w:styleId="showtablebutton">
    <w:name w:val="showtablebutton"/>
    <w:basedOn w:val="a"/>
    <w:semiHidden/>
    <w:qFormat/>
    <w:pPr>
      <w:shd w:val="clear" w:color="auto" w:fill="FF5600"/>
      <w:spacing w:beforeAutospacing="1" w:after="100" w:afterAutospacing="1"/>
    </w:pPr>
    <w:rPr>
      <w:b/>
      <w:bCs/>
      <w:color w:val="FFFFFF"/>
    </w:rPr>
  </w:style>
  <w:style w:type="paragraph" w:customStyle="1" w:styleId="241">
    <w:name w:val="表右2小4"/>
    <w:basedOn w:val="054"/>
    <w:semiHidden/>
    <w:qFormat/>
    <w:pPr>
      <w:ind w:rightChars="200" w:right="200"/>
    </w:pPr>
  </w:style>
  <w:style w:type="paragraph" w:customStyle="1" w:styleId="054">
    <w:name w:val="表右05小4"/>
    <w:basedOn w:val="a"/>
    <w:semiHidden/>
    <w:qFormat/>
    <w:pPr>
      <w:snapToGrid w:val="0"/>
      <w:jc w:val="right"/>
    </w:pPr>
    <w:rPr>
      <w:rFonts w:eastAsia="宋体-18030"/>
      <w:szCs w:val="20"/>
    </w:rPr>
  </w:style>
  <w:style w:type="paragraph" w:customStyle="1" w:styleId="CharCharCharCharCharChar1Char2">
    <w:name w:val="Char Char Char Char Char Char1 Char2"/>
    <w:basedOn w:val="a"/>
    <w:semiHidden/>
    <w:qFormat/>
    <w:rPr>
      <w:rFonts w:ascii="Tahoma" w:hAnsi="Tahoma"/>
      <w:szCs w:val="20"/>
    </w:rPr>
  </w:style>
  <w:style w:type="paragraph" w:customStyle="1" w:styleId="b1">
    <w:name w:val="正文b1"/>
    <w:basedOn w:val="a"/>
    <w:semiHidden/>
    <w:qFormat/>
    <w:pPr>
      <w:adjustRightInd w:val="0"/>
      <w:spacing w:line="360" w:lineRule="atLeast"/>
      <w:jc w:val="center"/>
      <w:textAlignment w:val="baseline"/>
    </w:pPr>
    <w:rPr>
      <w:spacing w:val="5"/>
      <w:szCs w:val="20"/>
    </w:rPr>
  </w:style>
  <w:style w:type="paragraph" w:customStyle="1" w:styleId="xl37">
    <w:name w:val="xl37"/>
    <w:basedOn w:val="a"/>
    <w:semiHidden/>
    <w:qFormat/>
    <w:pPr>
      <w:pBdr>
        <w:top w:val="single" w:sz="4" w:space="0" w:color="auto"/>
        <w:left w:val="single" w:sz="4" w:space="0" w:color="auto"/>
        <w:bottom w:val="single" w:sz="4" w:space="0" w:color="auto"/>
        <w:right w:val="single" w:sz="4" w:space="0" w:color="auto"/>
      </w:pBdr>
      <w:spacing w:before="100" w:after="100"/>
      <w:jc w:val="center"/>
      <w:textAlignment w:val="center"/>
    </w:pPr>
    <w:rPr>
      <w:szCs w:val="20"/>
    </w:rPr>
  </w:style>
  <w:style w:type="paragraph" w:customStyle="1" w:styleId="1ffff3">
    <w:name w:val="普通(网站)1"/>
    <w:basedOn w:val="a"/>
    <w:semiHidden/>
    <w:qFormat/>
    <w:pPr>
      <w:spacing w:before="100" w:beforeAutospacing="1" w:after="100" w:afterAutospacing="1"/>
    </w:pPr>
  </w:style>
  <w:style w:type="paragraph" w:customStyle="1" w:styleId="01222">
    <w:name w:val="样式 正文01 + 首行缩进:  2 字符 行距: 固定值 22 磅"/>
    <w:basedOn w:val="01"/>
    <w:semiHidden/>
    <w:qFormat/>
    <w:pPr>
      <w:spacing w:line="440" w:lineRule="exact"/>
      <w:ind w:firstLine="480"/>
    </w:pPr>
    <w:rPr>
      <w:rFonts w:cs="宋体"/>
      <w:szCs w:val="20"/>
    </w:rPr>
  </w:style>
  <w:style w:type="paragraph" w:customStyle="1" w:styleId="aChar1">
    <w:name w:val="(a正文 Char1"/>
    <w:basedOn w:val="a"/>
    <w:semiHidden/>
    <w:qFormat/>
    <w:pPr>
      <w:spacing w:line="440" w:lineRule="exact"/>
      <w:ind w:firstLineChars="200" w:firstLine="200"/>
    </w:pPr>
    <w:rPr>
      <w:rFonts w:eastAsia="仿宋_GB2312"/>
      <w:color w:val="000000"/>
    </w:rPr>
  </w:style>
  <w:style w:type="paragraph" w:customStyle="1" w:styleId="afffffffffffffffff5">
    <w:name w:val="机构图字中"/>
    <w:basedOn w:val="afffffffffffffffff6"/>
    <w:semiHidden/>
    <w:qFormat/>
    <w:pPr>
      <w:jc w:val="center"/>
    </w:pPr>
  </w:style>
  <w:style w:type="paragraph" w:customStyle="1" w:styleId="afffffffffffffffff6">
    <w:name w:val="机构图字左"/>
    <w:basedOn w:val="af4"/>
    <w:next w:val="af4"/>
    <w:semiHidden/>
    <w:qFormat/>
    <w:pPr>
      <w:widowControl/>
      <w:snapToGrid w:val="0"/>
      <w:jc w:val="left"/>
      <w:textAlignment w:val="center"/>
    </w:pPr>
    <w:rPr>
      <w:rFonts w:eastAsia="宋体-18030"/>
      <w:color w:val="000000"/>
      <w:kern w:val="0"/>
      <w:sz w:val="24"/>
      <w:szCs w:val="24"/>
    </w:rPr>
  </w:style>
  <w:style w:type="paragraph" w:customStyle="1" w:styleId="afffffffffffffffff7">
    <w:name w:val="环正文"/>
    <w:basedOn w:val="a"/>
    <w:semiHidden/>
    <w:qFormat/>
    <w:pPr>
      <w:tabs>
        <w:tab w:val="left" w:pos="5094"/>
      </w:tabs>
      <w:adjustRightInd w:val="0"/>
      <w:snapToGrid w:val="0"/>
      <w:spacing w:beforeLines="50" w:line="360" w:lineRule="auto"/>
      <w:ind w:firstLineChars="218" w:firstLine="523"/>
      <w:textAlignment w:val="baseline"/>
    </w:pPr>
    <w:rPr>
      <w:szCs w:val="20"/>
    </w:rPr>
  </w:style>
  <w:style w:type="paragraph" w:customStyle="1" w:styleId="CharChar1CharCharCharCharCharCharCharCharCharCharCharCharCharChar">
    <w:name w:val="Char Char1 Char Char Char Char Char Char Char Char Char Char Char Char Char Char"/>
    <w:basedOn w:val="a"/>
    <w:semiHidden/>
    <w:qFormat/>
    <w:pPr>
      <w:spacing w:beforeLines="100" w:line="240" w:lineRule="exact"/>
    </w:pPr>
    <w:rPr>
      <w:rFonts w:ascii="Verdana" w:hAnsi="Verdana"/>
      <w:sz w:val="32"/>
      <w:szCs w:val="20"/>
      <w:lang w:eastAsia="en-US"/>
    </w:rPr>
  </w:style>
  <w:style w:type="paragraph" w:customStyle="1" w:styleId="CharChar30CharCharCharCharCharCharCharCharCharCharCharChar1CharCharCharCharCharCharCharChar5">
    <w:name w:val="Char Char30 Char Char Char Char Char Char Char Char Char Char Char Char1 Char Char Char Char Char Char Char Char5"/>
    <w:basedOn w:val="a"/>
    <w:semiHidden/>
    <w:qFormat/>
    <w:pPr>
      <w:spacing w:after="160" w:line="240" w:lineRule="exact"/>
    </w:pPr>
    <w:rPr>
      <w:rFonts w:ascii="Verdana" w:eastAsia="Times New Roman" w:hAnsi="Verdana"/>
      <w:sz w:val="20"/>
      <w:szCs w:val="20"/>
      <w:lang w:eastAsia="en-US"/>
    </w:rPr>
  </w:style>
  <w:style w:type="paragraph" w:customStyle="1" w:styleId="104">
    <w:name w:val="字元 字元10"/>
    <w:basedOn w:val="a"/>
    <w:semiHidden/>
    <w:qFormat/>
    <w:pPr>
      <w:autoSpaceDE w:val="0"/>
      <w:autoSpaceDN w:val="0"/>
      <w:adjustRightInd w:val="0"/>
      <w:spacing w:after="160" w:line="240" w:lineRule="exact"/>
    </w:pPr>
    <w:rPr>
      <w:rFonts w:eastAsia="Times New Roman"/>
      <w:sz w:val="20"/>
      <w:szCs w:val="20"/>
    </w:rPr>
  </w:style>
  <w:style w:type="paragraph" w:customStyle="1" w:styleId="88">
    <w:name w:val="标题8"/>
    <w:semiHidden/>
    <w:qFormat/>
    <w:rPr>
      <w:rFonts w:ascii="宋体" w:hAnsi="宋体"/>
      <w:sz w:val="24"/>
    </w:rPr>
  </w:style>
  <w:style w:type="paragraph" w:customStyle="1" w:styleId="xl101">
    <w:name w:val="xl101"/>
    <w:basedOn w:val="a"/>
    <w:semiHidden/>
    <w:qFormat/>
    <w:pPr>
      <w:pBdr>
        <w:top w:val="single" w:sz="4" w:space="0" w:color="auto"/>
        <w:left w:val="single" w:sz="4" w:space="0" w:color="auto"/>
        <w:right w:val="single" w:sz="4" w:space="0" w:color="auto"/>
      </w:pBdr>
      <w:spacing w:before="100" w:beforeAutospacing="1" w:after="100" w:afterAutospacing="1"/>
    </w:pPr>
    <w:rPr>
      <w:b/>
      <w:bCs/>
      <w:sz w:val="20"/>
      <w:szCs w:val="20"/>
    </w:rPr>
  </w:style>
  <w:style w:type="paragraph" w:customStyle="1" w:styleId="font0">
    <w:name w:val="font0"/>
    <w:basedOn w:val="a"/>
    <w:semiHidden/>
    <w:qFormat/>
    <w:pPr>
      <w:spacing w:before="100" w:after="100"/>
    </w:pPr>
    <w:rPr>
      <w:rFonts w:hint="eastAsia"/>
      <w:szCs w:val="20"/>
    </w:rPr>
  </w:style>
  <w:style w:type="paragraph" w:customStyle="1" w:styleId="106">
    <w:name w:val="纯文本10"/>
    <w:basedOn w:val="a"/>
    <w:semiHidden/>
    <w:qFormat/>
    <w:pPr>
      <w:adjustRightInd w:val="0"/>
      <w:textAlignment w:val="baseline"/>
    </w:pPr>
    <w:rPr>
      <w:rFonts w:hAnsi="Courier New"/>
      <w:szCs w:val="20"/>
    </w:rPr>
  </w:style>
  <w:style w:type="paragraph" w:customStyle="1" w:styleId="CharCharCharChar110">
    <w:name w:val="字元 Char Char 字元 Char Char 字元11"/>
    <w:basedOn w:val="a"/>
    <w:semiHidden/>
    <w:qFormat/>
    <w:pPr>
      <w:autoSpaceDE w:val="0"/>
      <w:autoSpaceDN w:val="0"/>
      <w:adjustRightInd w:val="0"/>
      <w:spacing w:beforeLines="50"/>
    </w:pPr>
  </w:style>
  <w:style w:type="paragraph" w:customStyle="1" w:styleId="Char200">
    <w:name w:val="Char20"/>
    <w:basedOn w:val="a"/>
    <w:semiHidden/>
    <w:qFormat/>
    <w:rPr>
      <w:rFonts w:ascii="Tahoma" w:hAnsi="Tahoma"/>
      <w:szCs w:val="20"/>
    </w:rPr>
  </w:style>
  <w:style w:type="paragraph" w:customStyle="1" w:styleId="xl125">
    <w:name w:val="xl125"/>
    <w:basedOn w:val="a"/>
    <w:semiHidden/>
    <w:qFormat/>
    <w:pPr>
      <w:pBdr>
        <w:left w:val="single" w:sz="8" w:space="0" w:color="auto"/>
        <w:bottom w:val="single" w:sz="8" w:space="0" w:color="auto"/>
        <w:right w:val="single" w:sz="8" w:space="0" w:color="auto"/>
      </w:pBdr>
      <w:spacing w:before="100" w:beforeAutospacing="1" w:after="100" w:afterAutospacing="1"/>
      <w:jc w:val="right"/>
    </w:pPr>
    <w:rPr>
      <w:color w:val="000000"/>
      <w:sz w:val="18"/>
      <w:szCs w:val="18"/>
    </w:rPr>
  </w:style>
  <w:style w:type="paragraph" w:customStyle="1" w:styleId="GB231210122">
    <w:name w:val="样式 (中文) 仿宋_GB2312 四号 首行缩进:  1.01 厘米 行距: 固定值 22 磅"/>
    <w:basedOn w:val="a"/>
    <w:semiHidden/>
    <w:qFormat/>
    <w:pPr>
      <w:spacing w:line="440" w:lineRule="exact"/>
      <w:ind w:firstLine="570"/>
    </w:pPr>
    <w:rPr>
      <w:rFonts w:eastAsia="仿宋_GB2312"/>
      <w:szCs w:val="20"/>
    </w:rPr>
  </w:style>
  <w:style w:type="character" w:customStyle="1" w:styleId="afffffffffffffffff8">
    <w:name w:val="正文文本首行缩进 字符"/>
    <w:semiHidden/>
    <w:qFormat/>
    <w:rPr>
      <w:rFonts w:ascii="Times New Roman" w:hAnsi="Times New Roman"/>
      <w:sz w:val="24"/>
      <w:szCs w:val="24"/>
    </w:rPr>
  </w:style>
  <w:style w:type="paragraph" w:customStyle="1" w:styleId="CharCharCharCharChar7">
    <w:name w:val="Char Char Char Char Char7"/>
    <w:basedOn w:val="a"/>
    <w:semiHidden/>
    <w:qFormat/>
    <w:pPr>
      <w:autoSpaceDE w:val="0"/>
      <w:autoSpaceDN w:val="0"/>
      <w:adjustRightInd w:val="0"/>
    </w:pPr>
    <w:rPr>
      <w:rFonts w:ascii="Tahoma" w:hAnsi="Tahoma"/>
      <w:szCs w:val="20"/>
    </w:rPr>
  </w:style>
  <w:style w:type="paragraph" w:customStyle="1" w:styleId="afffffffffffffffff9">
    <w:name w:val="研究报告  正文"/>
    <w:basedOn w:val="a"/>
    <w:semiHidden/>
    <w:qFormat/>
    <w:pPr>
      <w:spacing w:line="270" w:lineRule="exact"/>
      <w:ind w:firstLineChars="200" w:firstLine="200"/>
    </w:pPr>
    <w:rPr>
      <w:rFonts w:ascii="楷体_GB2312" w:eastAsia="楷体_GB2312"/>
      <w:sz w:val="20"/>
    </w:rPr>
  </w:style>
  <w:style w:type="paragraph" w:customStyle="1" w:styleId="11d">
    <w:name w:val="单位的标11"/>
    <w:basedOn w:val="a"/>
    <w:semiHidden/>
    <w:qFormat/>
    <w:pPr>
      <w:spacing w:beforeLines="50" w:afterLines="50"/>
      <w:jc w:val="right"/>
    </w:pPr>
    <w:rPr>
      <w:sz w:val="22"/>
      <w:szCs w:val="20"/>
    </w:rPr>
  </w:style>
  <w:style w:type="paragraph" w:customStyle="1" w:styleId="CharChar82">
    <w:name w:val="Char Char 字元8"/>
    <w:basedOn w:val="a"/>
    <w:semiHidden/>
    <w:qFormat/>
    <w:pPr>
      <w:autoSpaceDE w:val="0"/>
      <w:autoSpaceDN w:val="0"/>
      <w:adjustRightInd w:val="0"/>
      <w:spacing w:before="50"/>
    </w:pPr>
    <w:rPr>
      <w:szCs w:val="20"/>
    </w:rPr>
  </w:style>
  <w:style w:type="paragraph" w:customStyle="1" w:styleId="CharCharChar1CharCharCharCharCharCharCharCharChar2">
    <w:name w:val="Char Char Char1 Char Char Char Char Char Char Char Char Char2"/>
    <w:basedOn w:val="a"/>
    <w:semiHidden/>
    <w:qFormat/>
    <w:pPr>
      <w:autoSpaceDE w:val="0"/>
      <w:autoSpaceDN w:val="0"/>
      <w:adjustRightInd w:val="0"/>
    </w:pPr>
    <w:rPr>
      <w:rFonts w:ascii="Tahoma" w:hAnsi="Tahoma"/>
      <w:szCs w:val="20"/>
    </w:rPr>
  </w:style>
  <w:style w:type="paragraph" w:customStyle="1" w:styleId="xl57">
    <w:name w:val="xl57"/>
    <w:basedOn w:val="a"/>
    <w:semiHidden/>
    <w:qFormat/>
    <w:pPr>
      <w:pBdr>
        <w:left w:val="single" w:sz="4" w:space="0" w:color="auto"/>
        <w:bottom w:val="single" w:sz="8" w:space="0" w:color="auto"/>
        <w:right w:val="single" w:sz="8" w:space="0" w:color="auto"/>
      </w:pBdr>
      <w:spacing w:before="100" w:after="100"/>
      <w:jc w:val="center"/>
    </w:pPr>
  </w:style>
  <w:style w:type="paragraph" w:customStyle="1" w:styleId="CharChar36">
    <w:name w:val="Char Char36"/>
    <w:basedOn w:val="a"/>
    <w:semiHidden/>
    <w:qFormat/>
    <w:pPr>
      <w:autoSpaceDE w:val="0"/>
      <w:autoSpaceDN w:val="0"/>
      <w:adjustRightInd w:val="0"/>
      <w:spacing w:after="160" w:line="240" w:lineRule="exact"/>
    </w:pPr>
    <w:rPr>
      <w:rFonts w:ascii="Verdana" w:eastAsia="Times New Roman" w:hAnsi="Verdana" w:cs="Arial"/>
      <w:sz w:val="22"/>
      <w:szCs w:val="20"/>
      <w:lang w:eastAsia="en-US"/>
    </w:rPr>
  </w:style>
  <w:style w:type="paragraph" w:customStyle="1" w:styleId="CharChar1CharCharCharCharCharCharCharCharCharCharCharCharChar1CharCharCharCharCharCharCharCharCharCharCharCharCharChar1CharCharCharCharCharCharCharCharCharCharCharChar1CharCharCharCharCharChar">
    <w:name w:val="Char Char1 Char Char Char Char Char Char Char Char Char Char Char Char Char1 Char Char Char Char Char Char Char Char Char Char Char Char Char Char1 Char Char Char Char Char Char Char Char Char Char Char Char1 Char Char Char Char Char Char"/>
    <w:basedOn w:val="a"/>
    <w:semiHidden/>
    <w:qFormat/>
    <w:pPr>
      <w:spacing w:after="160" w:line="240" w:lineRule="exact"/>
    </w:pPr>
    <w:rPr>
      <w:rFonts w:ascii="Verdana" w:eastAsia="Times New Roman" w:hAnsi="Verdana"/>
      <w:sz w:val="20"/>
      <w:szCs w:val="20"/>
      <w:lang w:eastAsia="en-US"/>
    </w:rPr>
  </w:style>
  <w:style w:type="paragraph" w:customStyle="1" w:styleId="xl622">
    <w:name w:val="xl622"/>
    <w:basedOn w:val="a"/>
    <w:semiHidden/>
    <w:qFormat/>
    <w:pPr>
      <w:spacing w:before="100" w:beforeAutospacing="1" w:after="100" w:afterAutospacing="1"/>
    </w:pPr>
    <w:rPr>
      <w:sz w:val="15"/>
      <w:szCs w:val="15"/>
    </w:rPr>
  </w:style>
  <w:style w:type="paragraph" w:customStyle="1" w:styleId="2CharCharCharChar">
    <w:name w:val="2 Char Char Char Char"/>
    <w:basedOn w:val="a"/>
    <w:semiHidden/>
    <w:qFormat/>
    <w:pPr>
      <w:spacing w:line="360" w:lineRule="auto"/>
      <w:ind w:firstLineChars="200" w:firstLine="200"/>
    </w:pPr>
  </w:style>
  <w:style w:type="paragraph" w:customStyle="1" w:styleId="CM96">
    <w:name w:val="CM96"/>
    <w:basedOn w:val="Default"/>
    <w:next w:val="Default"/>
    <w:uiPriority w:val="99"/>
    <w:semiHidden/>
    <w:qFormat/>
    <w:pPr>
      <w:spacing w:after="555"/>
    </w:pPr>
    <w:rPr>
      <w:rFonts w:ascii="隶书" w:eastAsia="隶书" w:cs="Times New Roman"/>
      <w:color w:val="auto"/>
    </w:rPr>
  </w:style>
  <w:style w:type="paragraph" w:customStyle="1" w:styleId="CharCharCharCharCharCharCharCharCharChar5">
    <w:name w:val="Char Char Char Char Char Char Char Char Char Char5"/>
    <w:basedOn w:val="a"/>
    <w:semiHidden/>
    <w:qFormat/>
    <w:rPr>
      <w:rFonts w:ascii="Tahoma" w:hAnsi="Tahoma"/>
      <w:szCs w:val="20"/>
    </w:rPr>
  </w:style>
  <w:style w:type="paragraph" w:customStyle="1" w:styleId="052">
    <w:name w:val="05中信_正文"/>
    <w:basedOn w:val="a"/>
    <w:uiPriority w:val="99"/>
    <w:semiHidden/>
    <w:qFormat/>
    <w:pPr>
      <w:spacing w:after="160"/>
      <w:ind w:rightChars="1600" w:right="1600" w:firstLineChars="200" w:firstLine="200"/>
    </w:pPr>
    <w:rPr>
      <w:color w:val="003366"/>
      <w:sz w:val="20"/>
      <w:szCs w:val="20"/>
    </w:rPr>
  </w:style>
  <w:style w:type="character" w:customStyle="1" w:styleId="tmpztreemovearrow">
    <w:name w:val="tmpztreemove_arrow"/>
    <w:semiHidden/>
    <w:qFormat/>
    <w:rPr>
      <w:rFonts w:eastAsia="宋体"/>
      <w:kern w:val="2"/>
      <w:sz w:val="21"/>
      <w:lang w:val="en-US" w:eastAsia="zh-CN" w:bidi="ar-SA"/>
    </w:rPr>
  </w:style>
  <w:style w:type="paragraph" w:customStyle="1" w:styleId="CharChar30CharCharCharCharCharCharCharCharCharCharCharChar1CharCharCharCharCharCharCharChar2">
    <w:name w:val="Char Char30 Char Char Char Char Char Char Char Char Char Char Char Char1 Char Char Char Char Char Char Char Char2"/>
    <w:basedOn w:val="a"/>
    <w:semiHidden/>
    <w:qFormat/>
    <w:pPr>
      <w:spacing w:after="160" w:line="240" w:lineRule="exact"/>
    </w:pPr>
    <w:rPr>
      <w:rFonts w:ascii="Verdana" w:eastAsia="Times New Roman" w:hAnsi="Verdana"/>
      <w:sz w:val="20"/>
      <w:szCs w:val="20"/>
      <w:lang w:eastAsia="en-US"/>
    </w:rPr>
  </w:style>
  <w:style w:type="paragraph" w:customStyle="1" w:styleId="144">
    <w:name w:val="正文14"/>
    <w:semiHidden/>
    <w:qFormat/>
    <w:pPr>
      <w:widowControl w:val="0"/>
      <w:adjustRightInd w:val="0"/>
      <w:spacing w:line="360" w:lineRule="atLeast"/>
      <w:jc w:val="both"/>
      <w:textAlignment w:val="baseline"/>
    </w:pPr>
    <w:rPr>
      <w:rFonts w:ascii="宋体"/>
      <w:sz w:val="24"/>
    </w:rPr>
  </w:style>
  <w:style w:type="paragraph" w:customStyle="1" w:styleId="Charfffff1">
    <w:name w:val="Char"/>
    <w:basedOn w:val="a"/>
    <w:uiPriority w:val="1"/>
    <w:semiHidden/>
    <w:qFormat/>
    <w:pPr>
      <w:adjustRightInd w:val="0"/>
      <w:spacing w:line="360" w:lineRule="auto"/>
      <w:ind w:firstLineChars="200" w:firstLine="200"/>
      <w:textAlignment w:val="baseline"/>
    </w:pPr>
    <w:rPr>
      <w:rFonts w:eastAsia="昆仑仿宋"/>
    </w:rPr>
  </w:style>
  <w:style w:type="paragraph" w:customStyle="1" w:styleId="CM92">
    <w:name w:val="CM92"/>
    <w:basedOn w:val="Default"/>
    <w:next w:val="Default"/>
    <w:uiPriority w:val="99"/>
    <w:semiHidden/>
    <w:qFormat/>
    <w:pPr>
      <w:spacing w:after="153"/>
    </w:pPr>
    <w:rPr>
      <w:rFonts w:ascii="隶书" w:eastAsia="隶书" w:cs="Times New Roman"/>
      <w:color w:val="auto"/>
    </w:rPr>
  </w:style>
  <w:style w:type="paragraph" w:customStyle="1" w:styleId="afffffffffffffffffa">
    <w:name w:val=".."/>
    <w:basedOn w:val="a"/>
    <w:next w:val="a"/>
    <w:semiHidden/>
    <w:qFormat/>
    <w:pPr>
      <w:autoSpaceDE w:val="0"/>
      <w:autoSpaceDN w:val="0"/>
      <w:adjustRightInd w:val="0"/>
    </w:pPr>
    <w:rPr>
      <w:rFonts w:ascii=".." w:eastAsia=".."/>
    </w:rPr>
  </w:style>
  <w:style w:type="character" w:customStyle="1" w:styleId="tx111">
    <w:name w:val="tx111"/>
    <w:semiHidden/>
    <w:qFormat/>
    <w:rPr>
      <w:sz w:val="18"/>
      <w:szCs w:val="18"/>
    </w:rPr>
  </w:style>
  <w:style w:type="paragraph" w:customStyle="1" w:styleId="Char27">
    <w:name w:val="Char27"/>
    <w:basedOn w:val="a"/>
    <w:semiHidden/>
    <w:qFormat/>
    <w:pPr>
      <w:adjustRightInd w:val="0"/>
      <w:spacing w:line="360" w:lineRule="auto"/>
      <w:ind w:firstLineChars="200" w:firstLine="200"/>
      <w:textAlignment w:val="baseline"/>
    </w:pPr>
    <w:rPr>
      <w:rFonts w:eastAsia="昆仑仿宋"/>
    </w:rPr>
  </w:style>
  <w:style w:type="paragraph" w:customStyle="1" w:styleId="font1">
    <w:name w:val="font1"/>
    <w:basedOn w:val="a"/>
    <w:semiHidden/>
    <w:qFormat/>
    <w:pPr>
      <w:spacing w:before="100" w:beforeAutospacing="1" w:after="100" w:afterAutospacing="1"/>
    </w:pPr>
    <w:rPr>
      <w:rFonts w:cs="Arial Unicode MS" w:hint="eastAsia"/>
    </w:rPr>
  </w:style>
  <w:style w:type="paragraph" w:customStyle="1" w:styleId="xl24CharCharChar">
    <w:name w:val="xl24 Char Char Char"/>
    <w:basedOn w:val="a"/>
    <w:semiHidden/>
    <w:qFormat/>
    <w:pPr>
      <w:pBdr>
        <w:left w:val="single" w:sz="4" w:space="0" w:color="auto"/>
        <w:right w:val="single" w:sz="4" w:space="0" w:color="auto"/>
      </w:pBdr>
      <w:spacing w:before="100" w:beforeAutospacing="1" w:after="100" w:afterAutospacing="1"/>
      <w:jc w:val="center"/>
    </w:pPr>
  </w:style>
  <w:style w:type="paragraph" w:customStyle="1" w:styleId="-111">
    <w:name w:val="彩色底纹 - 着色 11"/>
    <w:uiPriority w:val="71"/>
    <w:qFormat/>
    <w:rPr>
      <w:kern w:val="2"/>
      <w:sz w:val="21"/>
      <w:szCs w:val="24"/>
    </w:rPr>
  </w:style>
  <w:style w:type="paragraph" w:customStyle="1" w:styleId="CharCharCharCharCharCharCharCharChar6">
    <w:name w:val="Char Char Char Char Char Char Char Char Char6"/>
    <w:basedOn w:val="a"/>
    <w:uiPriority w:val="99"/>
    <w:semiHidden/>
    <w:qFormat/>
    <w:pPr>
      <w:numPr>
        <w:numId w:val="19"/>
      </w:numPr>
      <w:tabs>
        <w:tab w:val="left" w:pos="840"/>
        <w:tab w:val="left" w:pos="1134"/>
      </w:tabs>
      <w:ind w:left="1134" w:hanging="420"/>
    </w:pPr>
  </w:style>
  <w:style w:type="paragraph" w:customStyle="1" w:styleId="font6">
    <w:name w:val="font6"/>
    <w:basedOn w:val="a"/>
    <w:semiHidden/>
    <w:qFormat/>
    <w:pPr>
      <w:spacing w:before="100" w:beforeAutospacing="1" w:after="100" w:afterAutospacing="1"/>
    </w:pPr>
    <w:rPr>
      <w:rFonts w:cs="Arial Unicode MS" w:hint="eastAsia"/>
      <w:sz w:val="18"/>
      <w:szCs w:val="18"/>
    </w:rPr>
  </w:style>
  <w:style w:type="paragraph" w:customStyle="1" w:styleId="CharChar5a">
    <w:name w:val="Char Char 字元5"/>
    <w:basedOn w:val="a"/>
    <w:semiHidden/>
    <w:qFormat/>
    <w:pPr>
      <w:autoSpaceDE w:val="0"/>
      <w:autoSpaceDN w:val="0"/>
      <w:adjustRightInd w:val="0"/>
      <w:spacing w:before="50"/>
    </w:pPr>
    <w:rPr>
      <w:szCs w:val="20"/>
    </w:rPr>
  </w:style>
  <w:style w:type="paragraph" w:customStyle="1" w:styleId="172">
    <w:name w:val="样式17"/>
    <w:basedOn w:val="114"/>
    <w:semiHidden/>
    <w:qFormat/>
    <w:pPr>
      <w:adjustRightInd/>
      <w:snapToGrid w:val="0"/>
      <w:spacing w:beforeLines="50" w:line="500" w:lineRule="atLeast"/>
      <w:ind w:firstLine="454"/>
      <w:jc w:val="both"/>
      <w:textAlignment w:val="auto"/>
      <w:outlineLvl w:val="2"/>
    </w:pPr>
    <w:rPr>
      <w:rFonts w:hAnsi="Times New Roman"/>
      <w:b/>
      <w:color w:val="000000"/>
      <w:szCs w:val="24"/>
    </w:rPr>
  </w:style>
  <w:style w:type="paragraph" w:customStyle="1" w:styleId="CharCharCharCharCharChar1CharCharChar7">
    <w:name w:val="Char Char Char Char Char Char1 Char Char Char7"/>
    <w:basedOn w:val="a"/>
    <w:semiHidden/>
    <w:qFormat/>
    <w:pPr>
      <w:autoSpaceDE w:val="0"/>
      <w:autoSpaceDN w:val="0"/>
      <w:adjustRightInd w:val="0"/>
      <w:textAlignment w:val="baseline"/>
    </w:pPr>
    <w:rPr>
      <w:rFonts w:eastAsia="方正仿宋简体"/>
      <w:sz w:val="32"/>
      <w:szCs w:val="20"/>
    </w:rPr>
  </w:style>
  <w:style w:type="paragraph" w:customStyle="1" w:styleId="Char112">
    <w:name w:val="Char112"/>
    <w:basedOn w:val="a"/>
    <w:semiHidden/>
    <w:qFormat/>
    <w:rPr>
      <w:rFonts w:ascii="Tahoma" w:hAnsi="Tahoma"/>
      <w:szCs w:val="20"/>
    </w:rPr>
  </w:style>
  <w:style w:type="paragraph" w:customStyle="1" w:styleId="1ffff4">
    <w:name w:val="修订1"/>
    <w:uiPriority w:val="99"/>
    <w:semiHidden/>
    <w:qFormat/>
    <w:rPr>
      <w:sz w:val="24"/>
      <w:szCs w:val="24"/>
    </w:rPr>
  </w:style>
  <w:style w:type="paragraph" w:customStyle="1" w:styleId="CharChar1CharCharCharChar1CharCharChar17">
    <w:name w:val="Char Char1 Char Char Char Char1 Char Char Char17"/>
    <w:basedOn w:val="a"/>
    <w:semiHidden/>
    <w:qFormat/>
  </w:style>
  <w:style w:type="paragraph" w:customStyle="1" w:styleId="CharCharCharCharCharChar1">
    <w:name w:val="Char Char Char Char Char Char1"/>
    <w:basedOn w:val="a"/>
    <w:semiHidden/>
    <w:qFormat/>
    <w:pPr>
      <w:spacing w:after="160" w:line="240" w:lineRule="exact"/>
    </w:pPr>
    <w:rPr>
      <w:rFonts w:ascii="Verdana" w:hAnsi="Verdana"/>
      <w:sz w:val="20"/>
      <w:szCs w:val="20"/>
      <w:lang w:eastAsia="en-US"/>
    </w:rPr>
  </w:style>
  <w:style w:type="paragraph" w:customStyle="1" w:styleId="menuskin">
    <w:name w:val="menuskin"/>
    <w:basedOn w:val="a"/>
    <w:semiHidden/>
    <w:qFormat/>
    <w:pPr>
      <w:pBdr>
        <w:top w:val="single" w:sz="6" w:space="0" w:color="666666"/>
        <w:left w:val="single" w:sz="6" w:space="0" w:color="666666"/>
        <w:bottom w:val="single" w:sz="6" w:space="0" w:color="666666"/>
        <w:right w:val="single" w:sz="6" w:space="0" w:color="666666"/>
      </w:pBdr>
      <w:shd w:val="clear" w:color="auto" w:fill="EFEFEF"/>
      <w:spacing w:before="100" w:beforeAutospacing="1" w:after="100" w:afterAutospacing="1"/>
    </w:pPr>
    <w:rPr>
      <w:sz w:val="18"/>
      <w:szCs w:val="18"/>
    </w:rPr>
  </w:style>
  <w:style w:type="paragraph" w:customStyle="1" w:styleId="CharChar1Char4">
    <w:name w:val="Char Char1 Char4"/>
    <w:basedOn w:val="a"/>
    <w:semiHidden/>
    <w:qFormat/>
    <w:pPr>
      <w:spacing w:after="160" w:line="240" w:lineRule="exact"/>
    </w:pPr>
    <w:rPr>
      <w:rFonts w:ascii="Verdana" w:eastAsia="Times New Roman" w:hAnsi="Verdana"/>
      <w:sz w:val="20"/>
      <w:szCs w:val="20"/>
      <w:lang w:eastAsia="en-US"/>
    </w:rPr>
  </w:style>
  <w:style w:type="paragraph" w:customStyle="1" w:styleId="3ff">
    <w:name w:val="3一后内容"/>
    <w:basedOn w:val="a7"/>
    <w:semiHidden/>
    <w:qFormat/>
    <w:pPr>
      <w:spacing w:after="0" w:line="480" w:lineRule="exact"/>
      <w:ind w:firstLine="555"/>
    </w:pPr>
    <w:rPr>
      <w:rFonts w:ascii="仿宋_GB2312" w:eastAsia="Times New Roman" w:hAnsi="宋体"/>
      <w:color w:val="000000"/>
      <w:sz w:val="28"/>
    </w:rPr>
  </w:style>
  <w:style w:type="paragraph" w:customStyle="1" w:styleId="xl124">
    <w:name w:val="xl124"/>
    <w:basedOn w:val="a"/>
    <w:semiHidden/>
    <w:qFormat/>
    <w:pPr>
      <w:pBdr>
        <w:top w:val="single" w:sz="8" w:space="0" w:color="auto"/>
        <w:left w:val="single" w:sz="8" w:space="0" w:color="auto"/>
        <w:right w:val="single" w:sz="8" w:space="0" w:color="auto"/>
      </w:pBdr>
      <w:spacing w:before="100" w:beforeAutospacing="1" w:after="100" w:afterAutospacing="1"/>
      <w:jc w:val="right"/>
    </w:pPr>
    <w:rPr>
      <w:color w:val="000000"/>
      <w:sz w:val="18"/>
      <w:szCs w:val="18"/>
    </w:rPr>
  </w:style>
  <w:style w:type="paragraph" w:customStyle="1" w:styleId="CharChar1CharCharCharCharCharCharCharCharCharCharCharCharChar1CharCharCharCharCharCharCharCharCharCharCharCharCharChar1CharCharCharCharCharCharCharCharCharCharCharChar1CharCharCharCharCharChar1">
    <w:name w:val="Char Char1 Char Char Char Char Char Char Char Char Char Char Char Char Char1 Char Char Char Char Char Char Char Char Char Char Char Char Char Char1 Char Char Char Char Char Char Char Char Char Char Char Char1 Char Char Char Char Char Char1"/>
    <w:basedOn w:val="a"/>
    <w:semiHidden/>
    <w:qFormat/>
    <w:pPr>
      <w:autoSpaceDE w:val="0"/>
      <w:autoSpaceDN w:val="0"/>
      <w:adjustRightInd w:val="0"/>
      <w:spacing w:after="160" w:line="240" w:lineRule="exact"/>
    </w:pPr>
    <w:rPr>
      <w:rFonts w:ascii="Verdana" w:eastAsia="Times New Roman" w:hAnsi="Verdana"/>
      <w:sz w:val="20"/>
      <w:szCs w:val="20"/>
      <w:lang w:eastAsia="en-US"/>
    </w:rPr>
  </w:style>
  <w:style w:type="paragraph" w:customStyle="1" w:styleId="Subtitle1">
    <w:name w:val="Subtitle1"/>
    <w:basedOn w:val="a"/>
    <w:next w:val="a"/>
    <w:uiPriority w:val="11"/>
    <w:semiHidden/>
    <w:qFormat/>
    <w:pPr>
      <w:spacing w:beforeLines="50" w:after="600" w:line="360" w:lineRule="auto"/>
      <w:ind w:firstLineChars="200" w:firstLine="480"/>
    </w:pPr>
    <w:rPr>
      <w:rFonts w:ascii="Cambria" w:hAnsi="Cambria"/>
      <w:i/>
      <w:iCs/>
      <w:spacing w:val="13"/>
      <w:lang w:eastAsia="en-US" w:bidi="en-US"/>
    </w:rPr>
  </w:style>
  <w:style w:type="paragraph" w:customStyle="1" w:styleId="afffffffffffffffffb">
    <w:name w:val="附录标识"/>
    <w:basedOn w:val="a"/>
    <w:semiHidden/>
    <w:qFormat/>
    <w:pPr>
      <w:shd w:val="clear" w:color="FFFFFF" w:fill="FFFFFF"/>
      <w:tabs>
        <w:tab w:val="left" w:pos="6405"/>
      </w:tabs>
      <w:spacing w:before="640" w:after="200"/>
      <w:jc w:val="center"/>
      <w:outlineLvl w:val="0"/>
    </w:pPr>
    <w:rPr>
      <w:rFonts w:ascii="黑体" w:eastAsia="黑体"/>
      <w:szCs w:val="20"/>
    </w:rPr>
  </w:style>
  <w:style w:type="paragraph" w:customStyle="1" w:styleId="CharChar1CharCharCharChar1CharCharChar15">
    <w:name w:val="Char Char1 Char Char Char Char1 Char Char Char15"/>
    <w:basedOn w:val="a"/>
    <w:semiHidden/>
    <w:qFormat/>
  </w:style>
  <w:style w:type="paragraph" w:customStyle="1" w:styleId="xl48">
    <w:name w:val="xl48"/>
    <w:basedOn w:val="a"/>
    <w:uiPriority w:val="39"/>
    <w:semiHidden/>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3366FF"/>
      <w:sz w:val="20"/>
      <w:szCs w:val="20"/>
    </w:rPr>
  </w:style>
  <w:style w:type="paragraph" w:customStyle="1" w:styleId="4f4">
    <w:name w:val="表左小4"/>
    <w:basedOn w:val="a"/>
    <w:semiHidden/>
    <w:qFormat/>
    <w:pPr>
      <w:snapToGrid w:val="0"/>
    </w:pPr>
    <w:rPr>
      <w:szCs w:val="28"/>
    </w:rPr>
  </w:style>
  <w:style w:type="paragraph" w:customStyle="1" w:styleId="-8">
    <w:name w:val="中信证券-资料来源"/>
    <w:basedOn w:val="-7"/>
    <w:uiPriority w:val="99"/>
    <w:semiHidden/>
    <w:qFormat/>
    <w:pPr>
      <w:spacing w:before="60" w:line="300" w:lineRule="auto"/>
      <w:ind w:leftChars="100" w:left="100" w:rightChars="100" w:right="210" w:firstLine="0"/>
    </w:pPr>
    <w:rPr>
      <w:rFonts w:hAnsi="Times New Roman"/>
      <w:i/>
      <w:sz w:val="18"/>
      <w:szCs w:val="20"/>
    </w:rPr>
  </w:style>
  <w:style w:type="paragraph" w:customStyle="1" w:styleId="1ffff5">
    <w:name w:val="日期1"/>
    <w:basedOn w:val="a"/>
    <w:next w:val="a"/>
    <w:semiHidden/>
    <w:qFormat/>
    <w:pPr>
      <w:autoSpaceDE w:val="0"/>
      <w:autoSpaceDN w:val="0"/>
      <w:adjustRightInd w:val="0"/>
      <w:spacing w:line="312" w:lineRule="atLeast"/>
      <w:jc w:val="right"/>
      <w:textAlignment w:val="baseline"/>
    </w:pPr>
    <w:rPr>
      <w:szCs w:val="20"/>
    </w:rPr>
  </w:style>
  <w:style w:type="paragraph" w:customStyle="1" w:styleId="CM44">
    <w:name w:val="CM44"/>
    <w:basedOn w:val="Default"/>
    <w:next w:val="Default"/>
    <w:uiPriority w:val="99"/>
    <w:semiHidden/>
    <w:qFormat/>
    <w:pPr>
      <w:spacing w:line="291" w:lineRule="atLeast"/>
    </w:pPr>
    <w:rPr>
      <w:rFonts w:ascii="隶书" w:eastAsia="隶书" w:cs="Times New Roman"/>
      <w:color w:val="auto"/>
    </w:rPr>
  </w:style>
  <w:style w:type="paragraph" w:customStyle="1" w:styleId="xu6">
    <w:name w:val="xu扉签名表"/>
    <w:basedOn w:val="a"/>
    <w:semiHidden/>
    <w:qFormat/>
    <w:pPr>
      <w:jc w:val="center"/>
    </w:pPr>
    <w:rPr>
      <w:rFonts w:eastAsia="仿宋_GB2312"/>
      <w:sz w:val="32"/>
      <w:szCs w:val="32"/>
    </w:rPr>
  </w:style>
  <w:style w:type="paragraph" w:customStyle="1" w:styleId="afffffffffffffffffc">
    <w:name w:val="表中 小四"/>
    <w:basedOn w:val="a"/>
    <w:semiHidden/>
    <w:qFormat/>
    <w:pPr>
      <w:suppressAutoHyphens/>
      <w:autoSpaceDE w:val="0"/>
      <w:snapToGrid w:val="0"/>
      <w:jc w:val="center"/>
    </w:pPr>
    <w:rPr>
      <w:szCs w:val="20"/>
    </w:rPr>
  </w:style>
  <w:style w:type="paragraph" w:customStyle="1" w:styleId="CharCharCharChar1CharCharChar1">
    <w:name w:val="Char Char Char Char1 Char Char Char1"/>
    <w:basedOn w:val="a"/>
    <w:semiHidden/>
    <w:qFormat/>
    <w:pPr>
      <w:spacing w:after="160" w:line="240" w:lineRule="exact"/>
    </w:pPr>
    <w:rPr>
      <w:rFonts w:ascii="Verdana" w:hAnsi="Verdana" w:cs="Verdana"/>
      <w:sz w:val="20"/>
      <w:szCs w:val="20"/>
      <w:lang w:eastAsia="en-US"/>
    </w:rPr>
  </w:style>
  <w:style w:type="paragraph" w:customStyle="1" w:styleId="PresentationSubhead">
    <w:name w:val="Presentation Subhead"/>
    <w:basedOn w:val="a"/>
    <w:next w:val="a"/>
    <w:uiPriority w:val="99"/>
    <w:semiHidden/>
    <w:qFormat/>
    <w:pPr>
      <w:framePr w:hSpace="187" w:vSpace="187" w:wrap="around" w:vAnchor="page" w:hAnchor="margin" w:y="7345"/>
      <w:shd w:val="clear" w:color="FFFFFF" w:fill="auto"/>
    </w:pPr>
    <w:rPr>
      <w:rFonts w:ascii="Arial" w:eastAsia="华文楷体" w:hAnsi="Arial"/>
      <w:kern w:val="28"/>
      <w:sz w:val="32"/>
      <w:szCs w:val="20"/>
      <w:lang w:val="en-GB" w:eastAsia="en-US"/>
    </w:rPr>
  </w:style>
  <w:style w:type="paragraph" w:customStyle="1" w:styleId="font10">
    <w:name w:val="font10"/>
    <w:basedOn w:val="a"/>
    <w:semiHidden/>
    <w:qFormat/>
    <w:pPr>
      <w:spacing w:before="100" w:beforeAutospacing="1" w:after="100" w:afterAutospacing="1"/>
    </w:pPr>
    <w:rPr>
      <w:sz w:val="13"/>
      <w:szCs w:val="13"/>
    </w:rPr>
  </w:style>
  <w:style w:type="paragraph" w:customStyle="1" w:styleId="afffffffffffffffffd">
    <w:name w:val="正文格式"/>
    <w:basedOn w:val="a"/>
    <w:semiHidden/>
    <w:qFormat/>
    <w:pPr>
      <w:spacing w:line="360" w:lineRule="auto"/>
      <w:ind w:firstLineChars="200" w:firstLine="200"/>
    </w:pPr>
  </w:style>
  <w:style w:type="paragraph" w:customStyle="1" w:styleId="4f5">
    <w:name w:val="表右小4"/>
    <w:basedOn w:val="a"/>
    <w:semiHidden/>
    <w:qFormat/>
    <w:pPr>
      <w:adjustRightInd w:val="0"/>
      <w:snapToGrid w:val="0"/>
      <w:jc w:val="right"/>
    </w:pPr>
    <w:rPr>
      <w:szCs w:val="20"/>
    </w:rPr>
  </w:style>
  <w:style w:type="paragraph" w:customStyle="1" w:styleId="font20">
    <w:name w:val="font20"/>
    <w:basedOn w:val="a"/>
    <w:semiHidden/>
    <w:qFormat/>
    <w:pPr>
      <w:spacing w:before="100" w:beforeAutospacing="1" w:after="100" w:afterAutospacing="1"/>
    </w:pPr>
    <w:rPr>
      <w:rFonts w:ascii="Calibri" w:hAnsi="Calibri"/>
      <w:color w:val="000000"/>
    </w:rPr>
  </w:style>
  <w:style w:type="paragraph" w:customStyle="1" w:styleId="CharCharCharCharCharCharChar0">
    <w:name w:val="Char Char Char Char Char Char Char"/>
    <w:basedOn w:val="a"/>
    <w:semiHidden/>
    <w:qFormat/>
    <w:pPr>
      <w:spacing w:after="160" w:line="240" w:lineRule="exact"/>
    </w:pPr>
    <w:rPr>
      <w:rFonts w:ascii="Arial" w:eastAsia="Times New Roman" w:hAnsi="Arial" w:cs="Verdana"/>
      <w:b/>
      <w:lang w:eastAsia="en-US"/>
    </w:rPr>
  </w:style>
  <w:style w:type="paragraph" w:customStyle="1" w:styleId="1ffff6">
    <w:name w:val="注的1"/>
    <w:basedOn w:val="a"/>
    <w:semiHidden/>
    <w:qFormat/>
    <w:pPr>
      <w:adjustRightInd w:val="0"/>
      <w:snapToGrid w:val="0"/>
      <w:spacing w:beforeLines="50" w:afterLines="50" w:line="360" w:lineRule="auto"/>
      <w:ind w:firstLineChars="200" w:firstLine="200"/>
    </w:pPr>
  </w:style>
  <w:style w:type="paragraph" w:customStyle="1" w:styleId="xl56">
    <w:name w:val="xl56"/>
    <w:basedOn w:val="a"/>
    <w:semiHidden/>
    <w:qFormat/>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afffffffffffffffffe">
    <w:name w:val="基准页眉样式"/>
    <w:basedOn w:val="a7"/>
    <w:semiHidden/>
    <w:qFormat/>
    <w:pPr>
      <w:keepLines/>
      <w:tabs>
        <w:tab w:val="center" w:pos="-18551"/>
        <w:tab w:val="right" w:pos="4320"/>
      </w:tabs>
      <w:spacing w:after="0" w:line="240" w:lineRule="atLeast"/>
      <w:jc w:val="center"/>
    </w:pPr>
    <w:rPr>
      <w:rFonts w:ascii="Garamond" w:hAnsi="Garamond"/>
      <w:smallCaps/>
      <w:spacing w:val="15"/>
    </w:rPr>
  </w:style>
  <w:style w:type="paragraph" w:customStyle="1" w:styleId="Char230">
    <w:name w:val="Char23"/>
    <w:basedOn w:val="a"/>
    <w:semiHidden/>
    <w:qFormat/>
    <w:pPr>
      <w:spacing w:after="160" w:line="240" w:lineRule="exact"/>
    </w:pPr>
    <w:rPr>
      <w:rFonts w:ascii="Verdana" w:eastAsia="Times New Roman" w:hAnsi="Verdana" w:cs="Arial"/>
      <w:sz w:val="22"/>
      <w:szCs w:val="20"/>
      <w:lang w:eastAsia="en-US"/>
    </w:rPr>
  </w:style>
  <w:style w:type="paragraph" w:customStyle="1" w:styleId="Char100">
    <w:name w:val="Char10"/>
    <w:basedOn w:val="a"/>
    <w:semiHidden/>
    <w:qFormat/>
    <w:pPr>
      <w:autoSpaceDE w:val="0"/>
      <w:autoSpaceDN w:val="0"/>
      <w:adjustRightInd w:val="0"/>
      <w:spacing w:after="160" w:line="240" w:lineRule="exact"/>
    </w:pPr>
    <w:rPr>
      <w:szCs w:val="20"/>
    </w:rPr>
  </w:style>
  <w:style w:type="paragraph" w:customStyle="1" w:styleId="CharCharCharCharCharCharCharCharChar3">
    <w:name w:val="Char Char Char Char Char Char Char Char Char3"/>
    <w:basedOn w:val="a"/>
    <w:semiHidden/>
    <w:qFormat/>
  </w:style>
  <w:style w:type="paragraph" w:customStyle="1" w:styleId="xl117">
    <w:name w:val="xl117"/>
    <w:basedOn w:val="a"/>
    <w:semiHidden/>
    <w:qFormat/>
    <w:pPr>
      <w:pBdr>
        <w:left w:val="single" w:sz="8" w:space="0" w:color="auto"/>
        <w:right w:val="single" w:sz="8" w:space="0" w:color="auto"/>
      </w:pBdr>
      <w:shd w:val="clear" w:color="000000" w:fill="FFFFFF"/>
      <w:spacing w:before="100" w:beforeAutospacing="1" w:after="100" w:afterAutospacing="1"/>
      <w:jc w:val="right"/>
    </w:pPr>
    <w:rPr>
      <w:color w:val="000000"/>
      <w:sz w:val="18"/>
      <w:szCs w:val="18"/>
    </w:rPr>
  </w:style>
  <w:style w:type="paragraph" w:customStyle="1" w:styleId="affffffffffffffffff">
    <w:name w:val="图表内容居中"/>
    <w:basedOn w:val="a"/>
    <w:semiHidden/>
    <w:qFormat/>
    <w:pPr>
      <w:jc w:val="center"/>
    </w:pPr>
    <w:rPr>
      <w:szCs w:val="20"/>
    </w:rPr>
  </w:style>
  <w:style w:type="paragraph" w:customStyle="1" w:styleId="CM43">
    <w:name w:val="CM43"/>
    <w:basedOn w:val="Default"/>
    <w:next w:val="Default"/>
    <w:semiHidden/>
    <w:qFormat/>
    <w:pPr>
      <w:spacing w:line="526" w:lineRule="atLeast"/>
    </w:pPr>
    <w:rPr>
      <w:rFonts w:ascii="黑体" w:eastAsia="黑体" w:cs="Times New Roman"/>
      <w:color w:val="auto"/>
    </w:rPr>
  </w:style>
  <w:style w:type="paragraph" w:customStyle="1" w:styleId="xl127">
    <w:name w:val="xl127"/>
    <w:basedOn w:val="a"/>
    <w:semiHidden/>
    <w:qFormat/>
    <w:pPr>
      <w:pBdr>
        <w:left w:val="single" w:sz="8" w:space="0" w:color="auto"/>
        <w:bottom w:val="single" w:sz="8" w:space="0" w:color="auto"/>
        <w:right w:val="single" w:sz="8" w:space="0" w:color="auto"/>
      </w:pBdr>
      <w:spacing w:before="100" w:beforeAutospacing="1" w:after="100" w:afterAutospacing="1"/>
      <w:jc w:val="right"/>
    </w:pPr>
    <w:rPr>
      <w:color w:val="000000"/>
      <w:sz w:val="18"/>
      <w:szCs w:val="18"/>
    </w:rPr>
  </w:style>
  <w:style w:type="paragraph" w:customStyle="1" w:styleId="1ffff7">
    <w:name w:val="表中1"/>
    <w:basedOn w:val="a"/>
    <w:semiHidden/>
    <w:qFormat/>
    <w:pPr>
      <w:jc w:val="center"/>
    </w:pPr>
    <w:rPr>
      <w:sz w:val="28"/>
    </w:rPr>
  </w:style>
  <w:style w:type="paragraph" w:customStyle="1" w:styleId="CharChar78">
    <w:name w:val="字元 Char Char 字元7"/>
    <w:basedOn w:val="a"/>
    <w:semiHidden/>
    <w:qFormat/>
    <w:pPr>
      <w:autoSpaceDE w:val="0"/>
      <w:autoSpaceDN w:val="0"/>
      <w:adjustRightInd w:val="0"/>
      <w:spacing w:beforeLines="50"/>
    </w:pPr>
  </w:style>
  <w:style w:type="paragraph" w:customStyle="1" w:styleId="105051">
    <w:name w:val="样式 样式 标题1 + 段前: 0.5 行 + 段前: 0.5 行1"/>
    <w:basedOn w:val="1051"/>
    <w:semiHidden/>
    <w:qFormat/>
    <w:pPr>
      <w:spacing w:before="120"/>
    </w:pPr>
    <w:rPr>
      <w:szCs w:val="32"/>
    </w:rPr>
  </w:style>
  <w:style w:type="paragraph" w:customStyle="1" w:styleId="2fffb">
    <w:name w:val="纯文本2"/>
    <w:basedOn w:val="a"/>
    <w:semiHidden/>
    <w:qFormat/>
    <w:rPr>
      <w:rFonts w:hAnsi="Courier New"/>
      <w:szCs w:val="20"/>
    </w:rPr>
  </w:style>
  <w:style w:type="paragraph" w:customStyle="1" w:styleId="7a">
    <w:name w:val="字元 字元7"/>
    <w:basedOn w:val="a"/>
    <w:semiHidden/>
    <w:qFormat/>
    <w:pPr>
      <w:autoSpaceDE w:val="0"/>
      <w:autoSpaceDN w:val="0"/>
      <w:adjustRightInd w:val="0"/>
      <w:spacing w:after="160" w:line="240" w:lineRule="exact"/>
    </w:pPr>
    <w:rPr>
      <w:rFonts w:eastAsia="Times New Roman"/>
      <w:sz w:val="20"/>
      <w:szCs w:val="20"/>
    </w:rPr>
  </w:style>
  <w:style w:type="paragraph" w:customStyle="1" w:styleId="xl78">
    <w:name w:val="xl78"/>
    <w:basedOn w:val="a"/>
    <w:uiPriority w:val="99"/>
    <w:semiHidden/>
    <w:qFormat/>
    <w:pPr>
      <w:spacing w:before="100" w:beforeAutospacing="1" w:after="100" w:afterAutospacing="1"/>
    </w:pPr>
    <w:rPr>
      <w:rFonts w:ascii="仿宋_GB2312" w:eastAsia="仿宋_GB2312"/>
      <w:sz w:val="20"/>
      <w:szCs w:val="20"/>
    </w:rPr>
  </w:style>
  <w:style w:type="paragraph" w:customStyle="1" w:styleId="CharChar3CharChar11">
    <w:name w:val="Char Char3 Char Char11"/>
    <w:basedOn w:val="a"/>
    <w:semiHidden/>
    <w:qFormat/>
    <w:pPr>
      <w:spacing w:after="160" w:line="240" w:lineRule="exact"/>
    </w:pPr>
    <w:rPr>
      <w:rFonts w:ascii="Verdana" w:hAnsi="Verdana" w:cs="Verdana"/>
      <w:sz w:val="20"/>
      <w:szCs w:val="20"/>
      <w:lang w:eastAsia="en-US"/>
    </w:rPr>
  </w:style>
  <w:style w:type="paragraph" w:customStyle="1" w:styleId="CharCharChar15">
    <w:name w:val="大纲三级标题 Char Char Char1"/>
    <w:basedOn w:val="a"/>
    <w:semiHidden/>
    <w:qFormat/>
    <w:pPr>
      <w:tabs>
        <w:tab w:val="left" w:pos="4665"/>
        <w:tab w:val="left" w:pos="8970"/>
      </w:tabs>
      <w:spacing w:beforeLines="50" w:afterLines="50"/>
      <w:ind w:firstLine="403"/>
      <w:jc w:val="center"/>
    </w:pPr>
    <w:rPr>
      <w:szCs w:val="20"/>
    </w:rPr>
  </w:style>
  <w:style w:type="paragraph" w:customStyle="1" w:styleId="Cover2">
    <w:name w:val="Cover2"/>
    <w:basedOn w:val="a"/>
    <w:next w:val="a"/>
    <w:semiHidden/>
    <w:qFormat/>
    <w:pPr>
      <w:spacing w:after="240"/>
    </w:pPr>
    <w:rPr>
      <w:rFonts w:eastAsia="PMingLiU"/>
      <w:szCs w:val="20"/>
      <w:lang w:eastAsia="en-US"/>
    </w:rPr>
  </w:style>
  <w:style w:type="paragraph" w:customStyle="1" w:styleId="33Arial">
    <w:name w:val="样式 样式 3级标题 + 段前: 3 磅 + Arial"/>
    <w:basedOn w:val="a"/>
    <w:semiHidden/>
    <w:qFormat/>
    <w:pPr>
      <w:spacing w:before="60" w:line="460" w:lineRule="exact"/>
      <w:outlineLvl w:val="2"/>
    </w:pPr>
    <w:rPr>
      <w:rFonts w:ascii="Arial" w:hAnsi="Arial"/>
      <w:b/>
      <w:bCs/>
      <w:szCs w:val="20"/>
    </w:rPr>
  </w:style>
  <w:style w:type="paragraph" w:customStyle="1" w:styleId="CM89">
    <w:name w:val="CM89"/>
    <w:basedOn w:val="Default"/>
    <w:next w:val="Default"/>
    <w:uiPriority w:val="99"/>
    <w:semiHidden/>
    <w:qFormat/>
    <w:pPr>
      <w:spacing w:after="77"/>
    </w:pPr>
    <w:rPr>
      <w:rFonts w:ascii="隶书" w:eastAsia="隶书" w:cs="Times New Roman"/>
      <w:color w:val="auto"/>
    </w:rPr>
  </w:style>
  <w:style w:type="paragraph" w:customStyle="1" w:styleId="CharCharCharCharCharCharCharChar1">
    <w:name w:val="Char Char Char Char Char Char Char Char1"/>
    <w:basedOn w:val="a"/>
    <w:uiPriority w:val="99"/>
    <w:semiHidden/>
    <w:qFormat/>
    <w:pPr>
      <w:autoSpaceDE w:val="0"/>
      <w:autoSpaceDN w:val="0"/>
      <w:adjustRightInd w:val="0"/>
    </w:pPr>
    <w:rPr>
      <w:rFonts w:ascii="Tahoma" w:hAnsi="Tahoma"/>
      <w:szCs w:val="20"/>
    </w:rPr>
  </w:style>
  <w:style w:type="paragraph" w:customStyle="1" w:styleId="xl33">
    <w:name w:val="xl33"/>
    <w:basedOn w:val="a"/>
    <w:semiHidden/>
    <w:qFormat/>
    <w:pPr>
      <w:pBdr>
        <w:top w:val="single" w:sz="4" w:space="0" w:color="auto"/>
        <w:left w:val="single" w:sz="4" w:space="0" w:color="auto"/>
        <w:bottom w:val="single" w:sz="4" w:space="0" w:color="auto"/>
        <w:right w:val="single" w:sz="4" w:space="0" w:color="auto"/>
      </w:pBdr>
      <w:spacing w:before="100" w:after="100"/>
      <w:jc w:val="center"/>
    </w:pPr>
    <w:rPr>
      <w:sz w:val="22"/>
      <w:szCs w:val="20"/>
    </w:rPr>
  </w:style>
  <w:style w:type="paragraph" w:customStyle="1" w:styleId="Char1CharCharChar1CharCharChar">
    <w:name w:val="Char1 Char Char Char1 Char Char Char"/>
    <w:basedOn w:val="a"/>
    <w:semiHidden/>
    <w:qFormat/>
    <w:pPr>
      <w:autoSpaceDE w:val="0"/>
      <w:autoSpaceDN w:val="0"/>
      <w:adjustRightInd w:val="0"/>
      <w:textAlignment w:val="baseline"/>
    </w:pPr>
    <w:rPr>
      <w:sz w:val="34"/>
      <w:szCs w:val="20"/>
    </w:rPr>
  </w:style>
  <w:style w:type="paragraph" w:customStyle="1" w:styleId="aaa0">
    <w:name w:val="aaa"/>
    <w:basedOn w:val="a"/>
    <w:uiPriority w:val="99"/>
    <w:semiHidden/>
    <w:qFormat/>
    <w:pPr>
      <w:spacing w:line="360" w:lineRule="auto"/>
      <w:ind w:firstLineChars="175" w:firstLine="420"/>
    </w:pPr>
    <w:rPr>
      <w:rFonts w:eastAsia="楷体_GB2312"/>
      <w:szCs w:val="20"/>
      <w:lang w:bidi="ne-IN"/>
    </w:rPr>
  </w:style>
  <w:style w:type="paragraph" w:customStyle="1" w:styleId="Char32">
    <w:name w:val="Char3"/>
    <w:basedOn w:val="a"/>
    <w:semiHidden/>
    <w:qFormat/>
  </w:style>
  <w:style w:type="paragraph" w:customStyle="1" w:styleId="affffffffffffffffff0">
    <w:name w:val="居中正文"/>
    <w:basedOn w:val="a"/>
    <w:semiHidden/>
    <w:qFormat/>
    <w:pPr>
      <w:adjustRightInd w:val="0"/>
      <w:spacing w:before="120" w:line="360" w:lineRule="auto"/>
      <w:jc w:val="center"/>
      <w:textAlignment w:val="baseline"/>
    </w:pPr>
    <w:rPr>
      <w:rFonts w:ascii="宋体"/>
      <w:kern w:val="28"/>
      <w:sz w:val="24"/>
      <w:szCs w:val="20"/>
    </w:rPr>
  </w:style>
  <w:style w:type="paragraph" w:customStyle="1" w:styleId="CharChar30CharCharCharCharCharCharCharCharCharCharCharChar1CharCharCharCharCharCharCharChar">
    <w:name w:val="Char Char30 Char Char Char Char Char Char Char Char Char Char Char Char1 Char Char Char Char Char Char Char Char"/>
    <w:basedOn w:val="a"/>
    <w:semiHidden/>
    <w:qFormat/>
    <w:pPr>
      <w:spacing w:after="160" w:line="240" w:lineRule="exact"/>
    </w:pPr>
    <w:rPr>
      <w:rFonts w:ascii="Verdana" w:eastAsia="Times New Roman" w:hAnsi="Verdana"/>
      <w:sz w:val="20"/>
      <w:szCs w:val="20"/>
      <w:lang w:eastAsia="en-US"/>
    </w:rPr>
  </w:style>
  <w:style w:type="paragraph" w:customStyle="1" w:styleId="affffffffffffffffff1">
    <w:name w:val="样式 （一）标题"/>
    <w:basedOn w:val="a"/>
    <w:semiHidden/>
    <w:qFormat/>
    <w:pPr>
      <w:autoSpaceDE w:val="0"/>
      <w:autoSpaceDN w:val="0"/>
      <w:adjustRightInd w:val="0"/>
      <w:spacing w:beforeLines="50" w:afterLines="50" w:line="480" w:lineRule="exact"/>
      <w:ind w:left="210" w:right="210" w:firstLine="482"/>
    </w:pPr>
    <w:rPr>
      <w:rFonts w:ascii="黑体" w:eastAsia="黑体"/>
      <w:sz w:val="28"/>
      <w:szCs w:val="28"/>
      <w:lang w:val="zh-CN"/>
    </w:rPr>
  </w:style>
  <w:style w:type="paragraph" w:customStyle="1" w:styleId="xl104">
    <w:name w:val="xl104"/>
    <w:basedOn w:val="a"/>
    <w:semiHidden/>
    <w:qFormat/>
    <w:pPr>
      <w:pBdr>
        <w:left w:val="single" w:sz="4" w:space="0" w:color="auto"/>
        <w:bottom w:val="single" w:sz="4" w:space="0" w:color="auto"/>
        <w:right w:val="single" w:sz="4" w:space="0" w:color="auto"/>
      </w:pBdr>
      <w:spacing w:before="100" w:beforeAutospacing="1" w:after="100" w:afterAutospacing="1"/>
    </w:pPr>
    <w:rPr>
      <w:rFonts w:ascii="仿宋_GB2312" w:eastAsia="仿宋_GB2312"/>
      <w:b/>
      <w:bCs/>
      <w:sz w:val="20"/>
      <w:szCs w:val="20"/>
    </w:rPr>
  </w:style>
  <w:style w:type="paragraph" w:customStyle="1" w:styleId="c">
    <w:name w:val="c_"/>
    <w:uiPriority w:val="99"/>
    <w:semiHidden/>
    <w:qFormat/>
    <w:pPr>
      <w:widowControl w:val="0"/>
      <w:autoSpaceDE w:val="0"/>
      <w:autoSpaceDN w:val="0"/>
      <w:adjustRightInd w:val="0"/>
      <w:jc w:val="both"/>
    </w:pPr>
    <w:rPr>
      <w:rFonts w:ascii="五" w:eastAsia="五"/>
      <w:sz w:val="24"/>
    </w:rPr>
  </w:style>
  <w:style w:type="paragraph" w:customStyle="1" w:styleId="CM154">
    <w:name w:val="CM154"/>
    <w:basedOn w:val="Default"/>
    <w:next w:val="Default"/>
    <w:semiHidden/>
    <w:qFormat/>
    <w:pPr>
      <w:spacing w:after="110"/>
    </w:pPr>
    <w:rPr>
      <w:rFonts w:ascii="PCJODE+MSung-Light" w:eastAsia="PCJODE+MSung-Light" w:cs="Times New Roman"/>
      <w:color w:val="auto"/>
    </w:rPr>
  </w:style>
  <w:style w:type="paragraph" w:customStyle="1" w:styleId="Char240">
    <w:name w:val="Char24"/>
    <w:basedOn w:val="a"/>
    <w:semiHidden/>
    <w:qFormat/>
    <w:pPr>
      <w:spacing w:after="160" w:line="240" w:lineRule="exact"/>
    </w:pPr>
    <w:rPr>
      <w:rFonts w:ascii="Verdana" w:eastAsia="Times New Roman" w:hAnsi="Verdana" w:cs="Arial"/>
      <w:sz w:val="22"/>
      <w:szCs w:val="20"/>
      <w:lang w:eastAsia="en-US"/>
    </w:rPr>
  </w:style>
  <w:style w:type="paragraph" w:customStyle="1" w:styleId="316">
    <w:name w:val="正文31"/>
    <w:basedOn w:val="1ff"/>
    <w:uiPriority w:val="99"/>
    <w:semiHidden/>
    <w:qFormat/>
    <w:pPr>
      <w:widowControl/>
      <w:spacing w:before="80" w:after="80"/>
      <w:ind w:firstLineChars="0" w:firstLine="0"/>
      <w:jc w:val="left"/>
      <w:textAlignment w:val="auto"/>
    </w:pPr>
    <w:rPr>
      <w:color w:val="auto"/>
    </w:rPr>
  </w:style>
  <w:style w:type="paragraph" w:customStyle="1" w:styleId="CM90">
    <w:name w:val="CM90"/>
    <w:basedOn w:val="Default"/>
    <w:next w:val="Default"/>
    <w:uiPriority w:val="99"/>
    <w:semiHidden/>
    <w:qFormat/>
    <w:pPr>
      <w:spacing w:after="763"/>
    </w:pPr>
    <w:rPr>
      <w:rFonts w:ascii="隶书" w:eastAsia="隶书" w:cs="Times New Roman"/>
      <w:color w:val="auto"/>
    </w:rPr>
  </w:style>
  <w:style w:type="paragraph" w:customStyle="1" w:styleId="4f6">
    <w:name w:val="正文4"/>
    <w:semiHidden/>
    <w:qFormat/>
    <w:pPr>
      <w:widowControl w:val="0"/>
      <w:adjustRightInd w:val="0"/>
      <w:spacing w:line="360" w:lineRule="atLeast"/>
      <w:jc w:val="both"/>
      <w:textAlignment w:val="baseline"/>
    </w:pPr>
    <w:rPr>
      <w:rFonts w:ascii="宋体"/>
      <w:sz w:val="24"/>
    </w:rPr>
  </w:style>
  <w:style w:type="paragraph" w:customStyle="1" w:styleId="CharCharf3">
    <w:name w:val="Char Char 字元"/>
    <w:basedOn w:val="a"/>
    <w:semiHidden/>
    <w:qFormat/>
    <w:pPr>
      <w:spacing w:before="50"/>
    </w:pPr>
    <w:rPr>
      <w:szCs w:val="20"/>
    </w:rPr>
  </w:style>
  <w:style w:type="paragraph" w:customStyle="1" w:styleId="182">
    <w:name w:val="列出段落18"/>
    <w:basedOn w:val="a"/>
    <w:semiHidden/>
    <w:qFormat/>
    <w:pPr>
      <w:ind w:left="720"/>
    </w:pPr>
  </w:style>
  <w:style w:type="paragraph" w:customStyle="1" w:styleId="xl72">
    <w:name w:val="xl72"/>
    <w:basedOn w:val="a"/>
    <w:uiPriority w:val="99"/>
    <w:semiHidden/>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_GB2312" w:eastAsia="仿宋_GB2312"/>
      <w:sz w:val="20"/>
      <w:szCs w:val="20"/>
    </w:rPr>
  </w:style>
  <w:style w:type="paragraph" w:customStyle="1" w:styleId="Char210">
    <w:name w:val="Char21"/>
    <w:basedOn w:val="a"/>
    <w:semiHidden/>
    <w:qFormat/>
    <w:pPr>
      <w:spacing w:after="160" w:line="240" w:lineRule="exact"/>
    </w:pPr>
    <w:rPr>
      <w:rFonts w:ascii="Verdana" w:eastAsia="Times New Roman" w:hAnsi="Verdana" w:cs="Arial"/>
      <w:sz w:val="22"/>
      <w:szCs w:val="20"/>
      <w:lang w:eastAsia="en-US"/>
    </w:rPr>
  </w:style>
  <w:style w:type="paragraph" w:customStyle="1" w:styleId="CharChar4CharCharCharCharCharCharChar1CharChar1CharCharCharCharCharCharCharCharChar1">
    <w:name w:val="Char Char4 Char Char Char Char Char Char Char1 Char Char1 Char Char Char Char Char Char Char Char Char1"/>
    <w:basedOn w:val="a"/>
    <w:semiHidden/>
    <w:qFormat/>
    <w:pPr>
      <w:spacing w:after="160" w:line="240" w:lineRule="exact"/>
    </w:pPr>
    <w:rPr>
      <w:rFonts w:ascii="Verdana" w:hAnsi="Verdana" w:cs="Verdana"/>
      <w:sz w:val="20"/>
      <w:szCs w:val="20"/>
      <w:lang w:eastAsia="en-US"/>
    </w:rPr>
  </w:style>
  <w:style w:type="paragraph" w:customStyle="1" w:styleId="CM40">
    <w:name w:val="CM40"/>
    <w:basedOn w:val="Default"/>
    <w:next w:val="Default"/>
    <w:uiPriority w:val="99"/>
    <w:semiHidden/>
    <w:qFormat/>
    <w:rPr>
      <w:rFonts w:ascii="隶书" w:eastAsia="隶书" w:cs="Times New Roman"/>
      <w:color w:val="auto"/>
    </w:rPr>
  </w:style>
  <w:style w:type="paragraph" w:customStyle="1" w:styleId="affffffffffffffffff2">
    <w:name w:val="第一级"/>
    <w:basedOn w:val="a"/>
    <w:semiHidden/>
    <w:qFormat/>
    <w:pPr>
      <w:keepNext/>
      <w:keepLines/>
      <w:spacing w:before="156" w:after="156"/>
      <w:outlineLvl w:val="1"/>
    </w:pPr>
    <w:rPr>
      <w:rFonts w:eastAsia="黑体"/>
      <w:sz w:val="30"/>
      <w:szCs w:val="18"/>
    </w:rPr>
  </w:style>
  <w:style w:type="paragraph" w:customStyle="1" w:styleId="CharCharCharCharCharCharCharChar5">
    <w:name w:val="Char Char Char Char Char Char Char Char5"/>
    <w:basedOn w:val="a"/>
    <w:semiHidden/>
    <w:qFormat/>
    <w:pPr>
      <w:autoSpaceDE w:val="0"/>
      <w:autoSpaceDN w:val="0"/>
      <w:adjustRightInd w:val="0"/>
    </w:pPr>
    <w:rPr>
      <w:rFonts w:ascii="Tahoma" w:hAnsi="Tahoma"/>
      <w:szCs w:val="20"/>
    </w:rPr>
  </w:style>
  <w:style w:type="paragraph" w:customStyle="1" w:styleId="Pa1">
    <w:name w:val="Pa1"/>
    <w:basedOn w:val="Default"/>
    <w:next w:val="Default"/>
    <w:uiPriority w:val="99"/>
    <w:semiHidden/>
    <w:qFormat/>
    <w:pPr>
      <w:spacing w:line="281" w:lineRule="atLeast"/>
    </w:pPr>
    <w:rPr>
      <w:rFonts w:ascii="Times LT Std" w:eastAsia="Times LT Std" w:cs="Times New Roman"/>
      <w:color w:val="auto"/>
    </w:rPr>
  </w:style>
  <w:style w:type="paragraph" w:customStyle="1" w:styleId="2fffc">
    <w:name w:val="表2"/>
    <w:basedOn w:val="a"/>
    <w:semiHidden/>
    <w:qFormat/>
    <w:pPr>
      <w:spacing w:before="240"/>
    </w:pPr>
    <w:rPr>
      <w:szCs w:val="20"/>
    </w:rPr>
  </w:style>
  <w:style w:type="paragraph" w:customStyle="1" w:styleId="affffffffffffffffff3">
    <w:name w:val="表后行"/>
    <w:basedOn w:val="afffff7"/>
    <w:uiPriority w:val="99"/>
    <w:semiHidden/>
    <w:qFormat/>
    <w:pPr>
      <w:spacing w:beforeLines="0" w:line="240" w:lineRule="auto"/>
      <w:ind w:firstLine="420"/>
    </w:pPr>
  </w:style>
  <w:style w:type="paragraph" w:customStyle="1" w:styleId="xl112">
    <w:name w:val="xl112"/>
    <w:basedOn w:val="a"/>
    <w:semiHidden/>
    <w:qFormat/>
    <w:pPr>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ppslevel7">
    <w:name w:val="pps level 7"/>
    <w:basedOn w:val="a"/>
    <w:semiHidden/>
    <w:qFormat/>
    <w:pPr>
      <w:numPr>
        <w:numId w:val="20"/>
      </w:numPr>
      <w:tabs>
        <w:tab w:val="left" w:pos="902"/>
      </w:tabs>
      <w:autoSpaceDE w:val="0"/>
      <w:autoSpaceDN w:val="0"/>
      <w:adjustRightInd w:val="0"/>
      <w:snapToGrid w:val="0"/>
      <w:spacing w:before="120" w:line="360" w:lineRule="auto"/>
      <w:ind w:left="360" w:hanging="360"/>
    </w:pPr>
    <w:rPr>
      <w:rFonts w:eastAsia="Times New Roman" w:cs="Wingdings-Regular"/>
    </w:rPr>
  </w:style>
  <w:style w:type="paragraph" w:customStyle="1" w:styleId="CharCharCharCharChar10">
    <w:name w:val="Char Char Char Char Char10"/>
    <w:basedOn w:val="a"/>
    <w:semiHidden/>
    <w:qFormat/>
    <w:pPr>
      <w:autoSpaceDE w:val="0"/>
      <w:autoSpaceDN w:val="0"/>
      <w:adjustRightInd w:val="0"/>
    </w:pPr>
    <w:rPr>
      <w:rFonts w:ascii="Tahoma" w:hAnsi="Tahoma"/>
      <w:szCs w:val="20"/>
    </w:rPr>
  </w:style>
  <w:style w:type="paragraph" w:customStyle="1" w:styleId="CM50">
    <w:name w:val="CM50"/>
    <w:basedOn w:val="Default"/>
    <w:next w:val="Default"/>
    <w:semiHidden/>
    <w:qFormat/>
    <w:pPr>
      <w:spacing w:line="468" w:lineRule="atLeast"/>
    </w:pPr>
    <w:rPr>
      <w:rFonts w:ascii="隶书" w:eastAsia="隶书" w:cs="Times New Roman"/>
      <w:color w:val="auto"/>
    </w:rPr>
  </w:style>
  <w:style w:type="paragraph" w:customStyle="1" w:styleId="Char2CharCharChar1">
    <w:name w:val="Char2 Char Char Char1"/>
    <w:basedOn w:val="a"/>
    <w:semiHidden/>
    <w:qFormat/>
    <w:pPr>
      <w:spacing w:after="160" w:line="240" w:lineRule="exact"/>
    </w:pPr>
    <w:rPr>
      <w:rFonts w:ascii="Verdana" w:eastAsia="Times New Roman" w:hAnsi="Verdana"/>
      <w:sz w:val="20"/>
      <w:szCs w:val="20"/>
      <w:lang w:eastAsia="en-US"/>
    </w:rPr>
  </w:style>
  <w:style w:type="paragraph" w:customStyle="1" w:styleId="CharCharCharChar1CharCharChar">
    <w:name w:val="Char Char Char Char1 Char Char Char"/>
    <w:basedOn w:val="a"/>
    <w:semiHidden/>
    <w:qFormat/>
    <w:pPr>
      <w:spacing w:after="160" w:line="240" w:lineRule="exact"/>
    </w:pPr>
    <w:rPr>
      <w:rFonts w:ascii="Verdana" w:hAnsi="Verdana" w:cs="Verdana"/>
      <w:sz w:val="20"/>
      <w:szCs w:val="20"/>
      <w:lang w:eastAsia="en-US"/>
    </w:rPr>
  </w:style>
  <w:style w:type="paragraph" w:customStyle="1" w:styleId="ppstext">
    <w:name w:val="pps text"/>
    <w:basedOn w:val="a"/>
    <w:semiHidden/>
    <w:qFormat/>
    <w:pPr>
      <w:snapToGrid w:val="0"/>
      <w:spacing w:afterLines="50" w:line="360" w:lineRule="auto"/>
      <w:ind w:firstLineChars="200" w:firstLine="420"/>
    </w:pPr>
  </w:style>
  <w:style w:type="paragraph" w:customStyle="1" w:styleId="CM22">
    <w:name w:val="CM22"/>
    <w:basedOn w:val="a"/>
    <w:next w:val="a"/>
    <w:semiHidden/>
    <w:qFormat/>
    <w:pPr>
      <w:autoSpaceDE w:val="0"/>
      <w:autoSpaceDN w:val="0"/>
      <w:adjustRightInd w:val="0"/>
    </w:pPr>
    <w:rPr>
      <w:rFonts w:ascii="PCJODE+MSung-Light" w:eastAsia="PCJODE+MSung-Light"/>
    </w:rPr>
  </w:style>
  <w:style w:type="paragraph" w:customStyle="1" w:styleId="CharChar3CharChar1">
    <w:name w:val="Char Char3 Char Char1"/>
    <w:basedOn w:val="a"/>
    <w:uiPriority w:val="99"/>
    <w:semiHidden/>
    <w:qFormat/>
    <w:pPr>
      <w:spacing w:after="160" w:line="240" w:lineRule="exact"/>
    </w:pPr>
    <w:rPr>
      <w:rFonts w:ascii="Verdana" w:hAnsi="Verdana" w:cs="Verdana"/>
      <w:sz w:val="20"/>
      <w:szCs w:val="20"/>
      <w:lang w:eastAsia="en-US"/>
    </w:rPr>
  </w:style>
  <w:style w:type="paragraph" w:customStyle="1" w:styleId="89">
    <w:name w:val="字元8"/>
    <w:basedOn w:val="a"/>
    <w:semiHidden/>
    <w:qFormat/>
    <w:pPr>
      <w:autoSpaceDE w:val="0"/>
      <w:autoSpaceDN w:val="0"/>
      <w:adjustRightInd w:val="0"/>
      <w:spacing w:beforeLines="50"/>
    </w:pPr>
  </w:style>
  <w:style w:type="paragraph" w:customStyle="1" w:styleId="CharCharCharCharCharCharChar11">
    <w:name w:val="Char Char Char Char Char Char Char11"/>
    <w:basedOn w:val="a"/>
    <w:semiHidden/>
    <w:qFormat/>
    <w:pPr>
      <w:autoSpaceDE w:val="0"/>
      <w:autoSpaceDN w:val="0"/>
      <w:adjustRightInd w:val="0"/>
    </w:pPr>
  </w:style>
  <w:style w:type="paragraph" w:customStyle="1" w:styleId="CharChar21a">
    <w:name w:val="Char Char21"/>
    <w:basedOn w:val="a"/>
    <w:semiHidden/>
    <w:qFormat/>
    <w:pPr>
      <w:spacing w:after="160" w:line="240" w:lineRule="exact"/>
    </w:pPr>
    <w:rPr>
      <w:rFonts w:ascii="Verdana" w:eastAsia="Times New Roman" w:hAnsi="Verdana"/>
      <w:sz w:val="20"/>
      <w:szCs w:val="20"/>
      <w:lang w:eastAsia="en-US"/>
    </w:rPr>
  </w:style>
  <w:style w:type="paragraph" w:customStyle="1" w:styleId="3110">
    <w:name w:val="网格表 311"/>
    <w:basedOn w:val="1"/>
    <w:next w:val="a"/>
    <w:uiPriority w:val="39"/>
    <w:semiHidden/>
    <w:qFormat/>
    <w:pPr>
      <w:tabs>
        <w:tab w:val="clear" w:pos="1134"/>
      </w:tabs>
      <w:spacing w:beforeLines="0" w:before="480" w:afterLines="0" w:after="0" w:line="276" w:lineRule="auto"/>
      <w:ind w:left="900" w:firstLineChars="0" w:hanging="420"/>
      <w:jc w:val="left"/>
      <w:outlineLvl w:val="9"/>
    </w:pPr>
    <w:rPr>
      <w:rFonts w:ascii="Cambria" w:hAnsi="Cambria"/>
      <w:color w:val="365F91"/>
      <w:kern w:val="0"/>
      <w:sz w:val="28"/>
      <w:szCs w:val="28"/>
    </w:rPr>
  </w:style>
  <w:style w:type="paragraph" w:customStyle="1" w:styleId="xl31">
    <w:name w:val="xl31"/>
    <w:basedOn w:val="a"/>
    <w:semiHidden/>
    <w:qFormat/>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CharChar30CharCharCharCharCharCharCharCharCharCharCharChar1CharCharCharCharCharCharCharChar12">
    <w:name w:val="Char Char30 Char Char Char Char Char Char Char Char Char Char Char Char1 Char Char Char Char Char Char Char Char12"/>
    <w:basedOn w:val="a"/>
    <w:semiHidden/>
    <w:qFormat/>
    <w:pPr>
      <w:spacing w:after="160" w:line="240" w:lineRule="exact"/>
    </w:pPr>
    <w:rPr>
      <w:rFonts w:ascii="Verdana" w:eastAsia="Times New Roman" w:hAnsi="Verdana"/>
      <w:sz w:val="20"/>
      <w:szCs w:val="20"/>
      <w:lang w:eastAsia="en-US"/>
    </w:rPr>
  </w:style>
  <w:style w:type="paragraph" w:customStyle="1" w:styleId="Level7">
    <w:name w:val="Level 7"/>
    <w:basedOn w:val="a"/>
    <w:semiHidden/>
    <w:qFormat/>
    <w:pPr>
      <w:tabs>
        <w:tab w:val="left" w:pos="3288"/>
      </w:tabs>
      <w:spacing w:after="140" w:line="288" w:lineRule="auto"/>
      <w:ind w:left="3288" w:hanging="680"/>
      <w:outlineLvl w:val="6"/>
    </w:pPr>
    <w:rPr>
      <w:rFonts w:ascii="Arial" w:hAnsi="Arial"/>
      <w:kern w:val="20"/>
      <w:sz w:val="20"/>
      <w:lang w:eastAsia="en-US"/>
    </w:rPr>
  </w:style>
  <w:style w:type="character" w:customStyle="1" w:styleId="2fffd">
    <w:name w:val="批注主题 字符2"/>
    <w:uiPriority w:val="99"/>
    <w:semiHidden/>
    <w:qFormat/>
    <w:rPr>
      <w:rFonts w:ascii="等线" w:hAnsi="等线"/>
      <w:b/>
      <w:bCs/>
      <w:kern w:val="2"/>
      <w:sz w:val="21"/>
      <w:szCs w:val="24"/>
    </w:rPr>
  </w:style>
  <w:style w:type="paragraph" w:customStyle="1" w:styleId="CM39">
    <w:name w:val="CM39"/>
    <w:basedOn w:val="Default"/>
    <w:next w:val="Default"/>
    <w:uiPriority w:val="99"/>
    <w:semiHidden/>
    <w:qFormat/>
    <w:rPr>
      <w:rFonts w:ascii="隶书" w:eastAsia="隶书" w:cs="Times New Roman"/>
      <w:color w:val="auto"/>
    </w:rPr>
  </w:style>
  <w:style w:type="paragraph" w:customStyle="1" w:styleId="CharCharChar1CharCharCharCharCharCharCharCharChar10">
    <w:name w:val="Char Char Char1 Char Char Char Char Char Char Char Char Char10"/>
    <w:basedOn w:val="a"/>
    <w:semiHidden/>
    <w:qFormat/>
    <w:pPr>
      <w:autoSpaceDE w:val="0"/>
      <w:autoSpaceDN w:val="0"/>
      <w:adjustRightInd w:val="0"/>
    </w:pPr>
    <w:rPr>
      <w:rFonts w:ascii="Tahoma" w:hAnsi="Tahoma"/>
      <w:szCs w:val="20"/>
    </w:rPr>
  </w:style>
  <w:style w:type="paragraph" w:customStyle="1" w:styleId="font18">
    <w:name w:val="font18"/>
    <w:basedOn w:val="a"/>
    <w:semiHidden/>
    <w:qFormat/>
    <w:pPr>
      <w:spacing w:before="100" w:beforeAutospacing="1" w:after="100" w:afterAutospacing="1"/>
    </w:pPr>
    <w:rPr>
      <w:color w:val="FF0000"/>
      <w:sz w:val="20"/>
      <w:szCs w:val="20"/>
    </w:rPr>
  </w:style>
  <w:style w:type="paragraph" w:customStyle="1" w:styleId="affffffffffffffffff4">
    <w:name w:val="插图行 中"/>
    <w:basedOn w:val="afffffffffffffffff4"/>
    <w:semiHidden/>
    <w:qFormat/>
    <w:pPr>
      <w:jc w:val="center"/>
    </w:pPr>
    <w:rPr>
      <w:rFonts w:cs="宋体"/>
    </w:rPr>
  </w:style>
  <w:style w:type="paragraph" w:customStyle="1" w:styleId="Between">
    <w:name w:val="_Between"/>
    <w:basedOn w:val="a"/>
    <w:uiPriority w:val="99"/>
    <w:semiHidden/>
    <w:qFormat/>
    <w:rPr>
      <w:rFonts w:ascii="Arial" w:eastAsia="SC STKaiti" w:hAnsi="Arial"/>
      <w:sz w:val="12"/>
    </w:rPr>
  </w:style>
  <w:style w:type="paragraph" w:customStyle="1" w:styleId="CharChar10a">
    <w:name w:val="Char Char 字元10"/>
    <w:basedOn w:val="a"/>
    <w:semiHidden/>
    <w:qFormat/>
    <w:pPr>
      <w:autoSpaceDE w:val="0"/>
      <w:autoSpaceDN w:val="0"/>
      <w:adjustRightInd w:val="0"/>
      <w:spacing w:before="50"/>
    </w:pPr>
    <w:rPr>
      <w:szCs w:val="20"/>
    </w:rPr>
  </w:style>
  <w:style w:type="paragraph" w:customStyle="1" w:styleId="CharCharCharCharCharCharCharChar4">
    <w:name w:val="Char Char Char Char Char Char Char Char4"/>
    <w:basedOn w:val="a"/>
    <w:semiHidden/>
    <w:qFormat/>
    <w:rPr>
      <w:rFonts w:ascii="Tahoma" w:hAnsi="Tahoma"/>
      <w:szCs w:val="20"/>
    </w:rPr>
  </w:style>
  <w:style w:type="paragraph" w:customStyle="1" w:styleId="5f0">
    <w:name w:val="正文5"/>
    <w:link w:val="5CharChar"/>
    <w:semiHidden/>
    <w:qFormat/>
    <w:pPr>
      <w:widowControl w:val="0"/>
      <w:adjustRightInd w:val="0"/>
      <w:spacing w:line="360" w:lineRule="atLeast"/>
      <w:jc w:val="both"/>
      <w:textAlignment w:val="baseline"/>
    </w:pPr>
    <w:rPr>
      <w:rFonts w:ascii="宋体"/>
      <w:sz w:val="24"/>
    </w:rPr>
  </w:style>
  <w:style w:type="character" w:customStyle="1" w:styleId="5CharChar">
    <w:name w:val="正文5 Char Char"/>
    <w:link w:val="5f0"/>
    <w:semiHidden/>
    <w:rPr>
      <w:rFonts w:ascii="宋体"/>
      <w:sz w:val="24"/>
    </w:rPr>
  </w:style>
  <w:style w:type="paragraph" w:customStyle="1" w:styleId="CharCharCharCharCharCharCharCharCharChar8">
    <w:name w:val="Char Char Char Char Char Char Char Char Char Char8"/>
    <w:basedOn w:val="a"/>
    <w:semiHidden/>
    <w:qFormat/>
    <w:rPr>
      <w:rFonts w:ascii="Tahoma" w:hAnsi="Tahoma"/>
      <w:szCs w:val="20"/>
    </w:rPr>
  </w:style>
  <w:style w:type="paragraph" w:customStyle="1" w:styleId="CharChar180">
    <w:name w:val="Char Char18"/>
    <w:basedOn w:val="a"/>
    <w:semiHidden/>
    <w:qFormat/>
    <w:pPr>
      <w:spacing w:after="160" w:line="240" w:lineRule="exact"/>
    </w:pPr>
    <w:rPr>
      <w:rFonts w:ascii="Verdana" w:eastAsia="Times New Roman" w:hAnsi="Verdana"/>
      <w:sz w:val="20"/>
      <w:szCs w:val="20"/>
      <w:lang w:eastAsia="en-US"/>
    </w:rPr>
  </w:style>
  <w:style w:type="paragraph" w:customStyle="1" w:styleId="DeltaViewTableBody">
    <w:name w:val="DeltaView Table Body"/>
    <w:basedOn w:val="a"/>
    <w:uiPriority w:val="99"/>
    <w:semiHidden/>
    <w:qFormat/>
    <w:pPr>
      <w:autoSpaceDE w:val="0"/>
      <w:autoSpaceDN w:val="0"/>
      <w:adjustRightInd w:val="0"/>
    </w:pPr>
    <w:rPr>
      <w:rFonts w:ascii="Arial" w:eastAsia="PMingLiU" w:hAnsi="Arial" w:cs="Arial"/>
      <w:lang w:eastAsia="zh-TW"/>
    </w:rPr>
  </w:style>
  <w:style w:type="paragraph" w:customStyle="1" w:styleId="font522481">
    <w:name w:val="font522481"/>
    <w:basedOn w:val="a"/>
    <w:semiHidden/>
    <w:qFormat/>
    <w:pPr>
      <w:spacing w:before="100" w:beforeAutospacing="1" w:after="100" w:afterAutospacing="1"/>
    </w:pPr>
    <w:rPr>
      <w:sz w:val="18"/>
      <w:szCs w:val="18"/>
    </w:rPr>
  </w:style>
  <w:style w:type="paragraph" w:customStyle="1" w:styleId="CharChar1CharCharCharCharCharCharCharCharCharCharCharCharCharCharCharCharCharCharCharCharCharCharCharCharCharCharCharCharCharCharCharCharCharCharCharCharCharChar18">
    <w:name w:val="Char Char1 Char Char Char Char Char Char Char Char Char Char Char Char Char Char Char Char Char Char Char Char Char Char Char Char Char Char Char Char Char Char Char Char Char Char Char Char Char Char18"/>
    <w:basedOn w:val="a"/>
    <w:semiHidden/>
    <w:qFormat/>
    <w:pPr>
      <w:spacing w:after="160" w:line="240" w:lineRule="exact"/>
    </w:pPr>
    <w:rPr>
      <w:rFonts w:ascii="Verdana" w:eastAsia="Times New Roman" w:hAnsi="Verdana" w:cs="Arial"/>
      <w:sz w:val="22"/>
      <w:szCs w:val="20"/>
      <w:lang w:eastAsia="en-US"/>
    </w:rPr>
  </w:style>
  <w:style w:type="paragraph" w:customStyle="1" w:styleId="CharChar1CharCharCharChar1CharCharChar13">
    <w:name w:val="Char Char1 Char Char Char Char1 Char Char Char13"/>
    <w:basedOn w:val="a"/>
    <w:semiHidden/>
    <w:qFormat/>
    <w:pPr>
      <w:autoSpaceDE w:val="0"/>
      <w:autoSpaceDN w:val="0"/>
      <w:adjustRightInd w:val="0"/>
    </w:pPr>
  </w:style>
  <w:style w:type="paragraph" w:customStyle="1" w:styleId="98">
    <w:name w:val="正文9"/>
    <w:semiHidden/>
    <w:qFormat/>
    <w:pPr>
      <w:widowControl w:val="0"/>
      <w:adjustRightInd w:val="0"/>
      <w:spacing w:line="360" w:lineRule="atLeast"/>
      <w:jc w:val="both"/>
      <w:textAlignment w:val="baseline"/>
    </w:pPr>
    <w:rPr>
      <w:rFonts w:ascii="宋体"/>
      <w:sz w:val="24"/>
    </w:rPr>
  </w:style>
  <w:style w:type="paragraph" w:customStyle="1" w:styleId="xl137">
    <w:name w:val="xl137"/>
    <w:basedOn w:val="a"/>
    <w:semiHidden/>
    <w:qFormat/>
    <w:pPr>
      <w:pBdr>
        <w:top w:val="single" w:sz="8" w:space="0" w:color="auto"/>
        <w:right w:val="single" w:sz="8" w:space="0" w:color="auto"/>
      </w:pBdr>
      <w:spacing w:before="100" w:beforeAutospacing="1" w:after="100" w:afterAutospacing="1"/>
      <w:jc w:val="center"/>
    </w:pPr>
    <w:rPr>
      <w:rFonts w:ascii="楷体_GB2312" w:eastAsia="楷体_GB2312"/>
      <w:b/>
      <w:bCs/>
      <w:color w:val="000000"/>
      <w:sz w:val="18"/>
      <w:szCs w:val="18"/>
    </w:rPr>
  </w:style>
  <w:style w:type="paragraph" w:customStyle="1" w:styleId="write">
    <w:name w:val="write"/>
    <w:basedOn w:val="a"/>
    <w:semiHidden/>
    <w:qFormat/>
    <w:pPr>
      <w:tabs>
        <w:tab w:val="left" w:pos="709"/>
      </w:tabs>
      <w:overflowPunct w:val="0"/>
      <w:autoSpaceDE w:val="0"/>
      <w:autoSpaceDN w:val="0"/>
      <w:adjustRightInd w:val="0"/>
      <w:textAlignment w:val="baseline"/>
    </w:pPr>
    <w:rPr>
      <w:rFonts w:ascii="Helvetica-Narrow" w:hAnsi="Helvetica-Narrow"/>
      <w:szCs w:val="20"/>
      <w:lang w:val="en-AU" w:eastAsia="en-US"/>
    </w:rPr>
  </w:style>
  <w:style w:type="paragraph" w:customStyle="1" w:styleId="affffffffffffffffff5">
    <w:name w:val="目录"/>
    <w:next w:val="a"/>
    <w:link w:val="Charfffff2"/>
    <w:uiPriority w:val="39"/>
    <w:semiHidden/>
    <w:qFormat/>
    <w:pPr>
      <w:jc w:val="center"/>
    </w:pPr>
    <w:rPr>
      <w:rFonts w:ascii="Arial" w:eastAsia="黑体" w:hAnsi="Arial" w:cs="宋体"/>
      <w:b/>
      <w:bCs/>
      <w:color w:val="000000"/>
      <w:sz w:val="32"/>
      <w:szCs w:val="30"/>
    </w:rPr>
  </w:style>
  <w:style w:type="character" w:customStyle="1" w:styleId="Charfffff2">
    <w:name w:val="目录 Char"/>
    <w:link w:val="affffffffffffffffff5"/>
    <w:uiPriority w:val="39"/>
    <w:semiHidden/>
    <w:rPr>
      <w:rFonts w:ascii="Arial" w:eastAsia="黑体" w:hAnsi="Arial" w:cs="宋体"/>
      <w:b/>
      <w:bCs/>
      <w:color w:val="000000"/>
      <w:sz w:val="32"/>
      <w:szCs w:val="30"/>
    </w:rPr>
  </w:style>
  <w:style w:type="paragraph" w:customStyle="1" w:styleId="affffffffffffffffff6">
    <w:name w:val="中煤节"/>
    <w:basedOn w:val="a"/>
    <w:semiHidden/>
    <w:qFormat/>
    <w:pPr>
      <w:spacing w:beforeLines="50" w:line="360" w:lineRule="auto"/>
      <w:jc w:val="center"/>
    </w:pPr>
    <w:rPr>
      <w:rFonts w:eastAsia="黑体"/>
      <w:b/>
      <w:bCs/>
      <w:sz w:val="44"/>
      <w:szCs w:val="32"/>
    </w:rPr>
  </w:style>
  <w:style w:type="paragraph" w:customStyle="1" w:styleId="Arial08522">
    <w:name w:val="样式 纯文本 + Arial 小四 黑色 首行缩进:  0.85 厘米 行距: 固定值 22 磅"/>
    <w:basedOn w:val="af4"/>
    <w:semiHidden/>
    <w:qFormat/>
    <w:pPr>
      <w:widowControl/>
      <w:adjustRightInd w:val="0"/>
      <w:snapToGrid w:val="0"/>
      <w:spacing w:line="440" w:lineRule="exact"/>
      <w:ind w:firstLine="482"/>
      <w:jc w:val="left"/>
    </w:pPr>
    <w:rPr>
      <w:rFonts w:ascii="Arial" w:hAnsi="Arial" w:cs="Times New Roman"/>
      <w:color w:val="000000"/>
      <w:sz w:val="24"/>
      <w:szCs w:val="20"/>
    </w:rPr>
  </w:style>
  <w:style w:type="paragraph" w:customStyle="1" w:styleId="xl59">
    <w:name w:val="xl59"/>
    <w:basedOn w:val="a"/>
    <w:semiHidden/>
    <w:qFormat/>
    <w:pPr>
      <w:spacing w:beforeAutospacing="1" w:after="100" w:afterAutospacing="1"/>
      <w:jc w:val="center"/>
    </w:pPr>
    <w:rPr>
      <w:rFonts w:ascii="Arial Narrow" w:hAnsi="Arial Narrow"/>
      <w:b/>
      <w:bCs/>
      <w:sz w:val="20"/>
      <w:szCs w:val="20"/>
    </w:rPr>
  </w:style>
  <w:style w:type="paragraph" w:customStyle="1" w:styleId="CharChar1CharCharCharCharCharCharCharCharCharCharCharCharChar1CharCharCharCharCharCharCharCharCharCharCharCharCharChar1CharCharCharCharCharCharCharCharCharCharCharChar1CharCharCharCharCharChar6">
    <w:name w:val="Char Char1 Char Char Char Char Char Char Char Char Char Char Char Char Char1 Char Char Char Char Char Char Char Char Char Char Char Char Char Char1 Char Char Char Char Char Char Char Char Char Char Char Char1 Char Char Char Char Char Char6"/>
    <w:basedOn w:val="a"/>
    <w:semiHidden/>
    <w:qFormat/>
    <w:pPr>
      <w:autoSpaceDE w:val="0"/>
      <w:autoSpaceDN w:val="0"/>
      <w:adjustRightInd w:val="0"/>
      <w:spacing w:after="160" w:line="240" w:lineRule="exact"/>
    </w:pPr>
    <w:rPr>
      <w:rFonts w:ascii="Verdana" w:eastAsia="Times New Roman" w:hAnsi="Verdana"/>
      <w:sz w:val="20"/>
      <w:szCs w:val="20"/>
      <w:lang w:eastAsia="en-US"/>
    </w:rPr>
  </w:style>
  <w:style w:type="paragraph" w:customStyle="1" w:styleId="CharCharCharCharCharCharCharCharCharCharCharCharChar6">
    <w:name w:val="Char Char Char Char Char Char Char Char Char Char Char Char Char6"/>
    <w:basedOn w:val="a"/>
    <w:semiHidden/>
    <w:qFormat/>
    <w:pPr>
      <w:autoSpaceDE w:val="0"/>
      <w:autoSpaceDN w:val="0"/>
      <w:adjustRightInd w:val="0"/>
      <w:spacing w:after="160" w:line="240" w:lineRule="exact"/>
    </w:pPr>
    <w:rPr>
      <w:rFonts w:ascii="Verdana" w:eastAsia="Times New Roman" w:hAnsi="Verdana"/>
      <w:sz w:val="20"/>
      <w:szCs w:val="20"/>
      <w:lang w:eastAsia="en-US"/>
    </w:rPr>
  </w:style>
  <w:style w:type="paragraph" w:customStyle="1" w:styleId="8a">
    <w:name w:val="纯文本8"/>
    <w:basedOn w:val="a"/>
    <w:semiHidden/>
    <w:qFormat/>
    <w:rPr>
      <w:rFonts w:hAnsi="Courier New"/>
      <w:szCs w:val="20"/>
    </w:rPr>
  </w:style>
  <w:style w:type="paragraph" w:customStyle="1" w:styleId="CharChar19">
    <w:name w:val="Char Char19"/>
    <w:basedOn w:val="a"/>
    <w:semiHidden/>
    <w:qFormat/>
    <w:pPr>
      <w:spacing w:after="160" w:line="240" w:lineRule="exact"/>
    </w:pPr>
    <w:rPr>
      <w:rFonts w:ascii="Verdana" w:eastAsia="Times New Roman" w:hAnsi="Verdana"/>
      <w:sz w:val="20"/>
      <w:szCs w:val="20"/>
      <w:lang w:eastAsia="en-US"/>
    </w:rPr>
  </w:style>
  <w:style w:type="paragraph" w:customStyle="1" w:styleId="b3">
    <w:name w:val="正文b3"/>
    <w:basedOn w:val="a"/>
    <w:uiPriority w:val="99"/>
    <w:semiHidden/>
    <w:qFormat/>
    <w:pPr>
      <w:adjustRightInd w:val="0"/>
      <w:spacing w:after="60" w:line="240" w:lineRule="atLeast"/>
      <w:textAlignment w:val="baseline"/>
    </w:pPr>
    <w:rPr>
      <w:szCs w:val="20"/>
    </w:rPr>
  </w:style>
  <w:style w:type="paragraph" w:customStyle="1" w:styleId="5f1">
    <w:name w:val="字元5"/>
    <w:basedOn w:val="a"/>
    <w:semiHidden/>
    <w:qFormat/>
    <w:pPr>
      <w:autoSpaceDE w:val="0"/>
      <w:autoSpaceDN w:val="0"/>
      <w:adjustRightInd w:val="0"/>
      <w:spacing w:beforeLines="50"/>
    </w:pPr>
  </w:style>
  <w:style w:type="paragraph" w:customStyle="1" w:styleId="134">
    <w:name w:val="正文13"/>
    <w:basedOn w:val="a"/>
    <w:semiHidden/>
    <w:qFormat/>
    <w:pPr>
      <w:spacing w:line="360" w:lineRule="auto"/>
      <w:ind w:firstLine="567"/>
    </w:pPr>
    <w:rPr>
      <w:sz w:val="28"/>
      <w:szCs w:val="20"/>
    </w:rPr>
  </w:style>
  <w:style w:type="paragraph" w:customStyle="1" w:styleId="CharCharCharChar90">
    <w:name w:val="Char Char Char Char9"/>
    <w:basedOn w:val="a"/>
    <w:uiPriority w:val="99"/>
    <w:semiHidden/>
    <w:qFormat/>
    <w:pPr>
      <w:autoSpaceDE w:val="0"/>
      <w:autoSpaceDN w:val="0"/>
      <w:adjustRightInd w:val="0"/>
      <w:spacing w:beforeLines="50"/>
    </w:pPr>
  </w:style>
  <w:style w:type="paragraph" w:customStyle="1" w:styleId="CharCharCharCharCharCharCharChar11">
    <w:name w:val="Char Char Char Char Char Char Char Char11"/>
    <w:basedOn w:val="a"/>
    <w:semiHidden/>
    <w:qFormat/>
    <w:pPr>
      <w:autoSpaceDE w:val="0"/>
      <w:autoSpaceDN w:val="0"/>
      <w:adjustRightInd w:val="0"/>
    </w:pPr>
    <w:rPr>
      <w:rFonts w:ascii="Tahoma" w:hAnsi="Tahoma"/>
      <w:szCs w:val="20"/>
    </w:rPr>
  </w:style>
  <w:style w:type="paragraph" w:customStyle="1" w:styleId="ppslevel2">
    <w:name w:val="pps level 2"/>
    <w:basedOn w:val="2"/>
    <w:semiHidden/>
    <w:qFormat/>
    <w:pPr>
      <w:keepLines w:val="0"/>
      <w:numPr>
        <w:ilvl w:val="0"/>
        <w:numId w:val="0"/>
      </w:numPr>
      <w:snapToGrid w:val="0"/>
      <w:spacing w:afterLines="0" w:after="0" w:line="360" w:lineRule="auto"/>
      <w:ind w:left="1320" w:hanging="420"/>
      <w:jc w:val="left"/>
    </w:pPr>
    <w:rPr>
      <w:rFonts w:ascii="Times New Roman" w:eastAsia="黑体" w:hAnsi="Times New Roman"/>
      <w:b w:val="0"/>
      <w:bCs w:val="0"/>
      <w:kern w:val="0"/>
      <w:sz w:val="30"/>
      <w:szCs w:val="24"/>
      <w:lang w:bidi="ne-IN"/>
    </w:rPr>
  </w:style>
  <w:style w:type="paragraph" w:customStyle="1" w:styleId="affffffffffffffffff7">
    <w:name w:val="水印"/>
    <w:basedOn w:val="a"/>
    <w:semiHidden/>
    <w:qFormat/>
    <w:pPr>
      <w:adjustRightInd w:val="0"/>
      <w:spacing w:line="240" w:lineRule="atLeast"/>
      <w:textAlignment w:val="baseline"/>
    </w:pPr>
    <w:rPr>
      <w:szCs w:val="20"/>
    </w:rPr>
  </w:style>
  <w:style w:type="paragraph" w:customStyle="1" w:styleId="affffffffffffffffff8">
    <w:name w:val="注释"/>
    <w:basedOn w:val="affffff9"/>
    <w:link w:val="Charfffff3"/>
    <w:semiHidden/>
    <w:qFormat/>
    <w:pPr>
      <w:jc w:val="both"/>
    </w:pPr>
    <w:rPr>
      <w:color w:val="auto"/>
      <w:szCs w:val="24"/>
    </w:rPr>
  </w:style>
  <w:style w:type="character" w:customStyle="1" w:styleId="Charfffff3">
    <w:name w:val="注释 Char"/>
    <w:link w:val="affffffffffffffffff8"/>
    <w:semiHidden/>
    <w:qFormat/>
    <w:locked/>
    <w:rPr>
      <w:rFonts w:ascii="Calibri" w:hAnsi="Calibri"/>
      <w:kern w:val="2"/>
      <w:sz w:val="21"/>
      <w:szCs w:val="24"/>
    </w:rPr>
  </w:style>
  <w:style w:type="paragraph" w:customStyle="1" w:styleId="Char1CharCharChar">
    <w:name w:val="Char1 Char Char Char"/>
    <w:basedOn w:val="a"/>
    <w:semiHidden/>
    <w:qFormat/>
    <w:rPr>
      <w:rFonts w:ascii="Tahoma" w:hAnsi="Tahoma"/>
      <w:szCs w:val="20"/>
    </w:rPr>
  </w:style>
  <w:style w:type="paragraph" w:customStyle="1" w:styleId="CharChar1CharCharCharChar1CharCharChar1">
    <w:name w:val="Char Char1 Char Char Char Char1 Char Char Char1"/>
    <w:basedOn w:val="a"/>
    <w:semiHidden/>
    <w:qFormat/>
  </w:style>
  <w:style w:type="paragraph" w:customStyle="1" w:styleId="affffffffffffffffff9">
    <w:name w:val="幼园小四"/>
    <w:basedOn w:val="a"/>
    <w:semiHidden/>
    <w:qFormat/>
    <w:pPr>
      <w:spacing w:beforeLines="50" w:line="440" w:lineRule="exact"/>
      <w:ind w:firstLineChars="200" w:firstLine="480"/>
    </w:pPr>
    <w:rPr>
      <w:rFonts w:ascii="幼圆" w:eastAsia="幼圆"/>
    </w:rPr>
  </w:style>
  <w:style w:type="paragraph" w:customStyle="1" w:styleId="CharCharCharCharCharCharChar19">
    <w:name w:val="Char Char Char Char Char Char Char19"/>
    <w:basedOn w:val="a"/>
    <w:semiHidden/>
    <w:qFormat/>
    <w:pPr>
      <w:spacing w:after="160" w:line="240" w:lineRule="exact"/>
    </w:pPr>
    <w:rPr>
      <w:rFonts w:ascii="Arial" w:eastAsia="Times New Roman" w:hAnsi="Arial" w:cs="Verdana"/>
      <w:b/>
      <w:lang w:eastAsia="en-US"/>
    </w:rPr>
  </w:style>
  <w:style w:type="paragraph" w:customStyle="1" w:styleId="CharChar30CharCharCharCharCharCharCharCharCharCharCharChar1CharCharCharCharCharCharCharChar11">
    <w:name w:val="Char Char30 Char Char Char Char Char Char Char Char Char Char Char Char1 Char Char Char Char Char Char Char Char11"/>
    <w:basedOn w:val="a"/>
    <w:semiHidden/>
    <w:qFormat/>
    <w:pPr>
      <w:spacing w:after="160" w:line="240" w:lineRule="exact"/>
    </w:pPr>
    <w:rPr>
      <w:rFonts w:ascii="Verdana" w:eastAsia="Times New Roman" w:hAnsi="Verdana"/>
      <w:sz w:val="20"/>
      <w:szCs w:val="20"/>
      <w:lang w:eastAsia="en-US"/>
    </w:rPr>
  </w:style>
  <w:style w:type="paragraph" w:customStyle="1" w:styleId="CharChar4CharCharCharCharCharCharChar1CharChar1Char1">
    <w:name w:val="Char Char4 Char Char Char Char Char Char Char1 Char Char1 Char1"/>
    <w:basedOn w:val="a"/>
    <w:semiHidden/>
    <w:qFormat/>
    <w:pPr>
      <w:spacing w:after="160" w:line="240" w:lineRule="exact"/>
    </w:pPr>
    <w:rPr>
      <w:rFonts w:ascii="Verdana" w:hAnsi="Verdana" w:cs="Verdana"/>
      <w:sz w:val="20"/>
      <w:szCs w:val="20"/>
      <w:lang w:eastAsia="en-US"/>
    </w:rPr>
  </w:style>
  <w:style w:type="paragraph" w:customStyle="1" w:styleId="1ffff8">
    <w:name w:val="纯文本1"/>
    <w:basedOn w:val="a"/>
    <w:semiHidden/>
    <w:qFormat/>
    <w:pPr>
      <w:adjustRightInd w:val="0"/>
      <w:textAlignment w:val="baseline"/>
    </w:pPr>
    <w:rPr>
      <w:rFonts w:hAnsi="Courier New"/>
      <w:szCs w:val="20"/>
    </w:rPr>
  </w:style>
  <w:style w:type="paragraph" w:customStyle="1" w:styleId="CharChar1CharChar1CharCharCharChar">
    <w:name w:val="Char Char1 Char Char1 Char Char Char Char"/>
    <w:basedOn w:val="a"/>
    <w:semiHidden/>
    <w:qFormat/>
    <w:rPr>
      <w:rFonts w:ascii="Tahoma" w:hAnsi="Tahoma"/>
      <w:szCs w:val="20"/>
    </w:rPr>
  </w:style>
  <w:style w:type="paragraph" w:customStyle="1" w:styleId="CharChar3CharChar2">
    <w:name w:val="Char Char3 Char Char2"/>
    <w:basedOn w:val="a"/>
    <w:uiPriority w:val="99"/>
    <w:semiHidden/>
    <w:qFormat/>
    <w:pPr>
      <w:spacing w:after="160" w:line="240" w:lineRule="exact"/>
    </w:pPr>
    <w:rPr>
      <w:rFonts w:ascii="Verdana" w:hAnsi="Verdana" w:cs="Verdana"/>
      <w:sz w:val="20"/>
      <w:szCs w:val="20"/>
      <w:lang w:eastAsia="en-US"/>
    </w:rPr>
  </w:style>
  <w:style w:type="paragraph" w:customStyle="1" w:styleId="font15">
    <w:name w:val="font15"/>
    <w:basedOn w:val="a"/>
    <w:uiPriority w:val="99"/>
    <w:semiHidden/>
    <w:qFormat/>
    <w:pPr>
      <w:spacing w:before="100" w:beforeAutospacing="1" w:after="100" w:afterAutospacing="1"/>
    </w:pPr>
    <w:rPr>
      <w:sz w:val="20"/>
      <w:szCs w:val="20"/>
    </w:rPr>
  </w:style>
  <w:style w:type="paragraph" w:customStyle="1" w:styleId="3ff0">
    <w:name w:val="审计报告3级"/>
    <w:basedOn w:val="a"/>
    <w:semiHidden/>
    <w:qFormat/>
    <w:pPr>
      <w:spacing w:before="120" w:after="60" w:line="400" w:lineRule="exact"/>
      <w:outlineLvl w:val="2"/>
    </w:pPr>
    <w:rPr>
      <w:b/>
      <w:bCs/>
      <w:color w:val="0000FF"/>
    </w:rPr>
  </w:style>
  <w:style w:type="paragraph" w:customStyle="1" w:styleId="00121">
    <w:name w:val="样式 正文001 + 首行缩进:  2 字符1"/>
    <w:basedOn w:val="0010"/>
    <w:semiHidden/>
    <w:qFormat/>
    <w:pPr>
      <w:ind w:firstLine="480"/>
    </w:pPr>
    <w:rPr>
      <w:rFonts w:cs="宋体"/>
    </w:rPr>
  </w:style>
  <w:style w:type="paragraph" w:customStyle="1" w:styleId="affffffffffffffffffa">
    <w:name w:val="评三"/>
    <w:basedOn w:val="a"/>
    <w:semiHidden/>
    <w:qFormat/>
    <w:pPr>
      <w:autoSpaceDE w:val="0"/>
      <w:autoSpaceDN w:val="0"/>
      <w:adjustRightInd w:val="0"/>
      <w:ind w:firstLine="465"/>
      <w:textAlignment w:val="bottom"/>
    </w:pPr>
    <w:rPr>
      <w:rFonts w:ascii="幼圆" w:eastAsia="幼圆" w:hAnsi="Arial"/>
      <w:szCs w:val="20"/>
    </w:rPr>
  </w:style>
  <w:style w:type="paragraph" w:customStyle="1" w:styleId="CharChar4CharCharCharCharCharCharChar1CharChar1Char">
    <w:name w:val="Char Char4 Char Char Char Char Char Char Char1 Char Char1 Char"/>
    <w:basedOn w:val="a"/>
    <w:semiHidden/>
    <w:qFormat/>
    <w:pPr>
      <w:spacing w:after="160" w:line="240" w:lineRule="exact"/>
    </w:pPr>
    <w:rPr>
      <w:rFonts w:ascii="Verdana" w:hAnsi="Verdana" w:cs="Verdana"/>
      <w:sz w:val="20"/>
      <w:szCs w:val="20"/>
      <w:lang w:eastAsia="en-US"/>
    </w:rPr>
  </w:style>
  <w:style w:type="paragraph" w:customStyle="1" w:styleId="xl80">
    <w:name w:val="xl80"/>
    <w:basedOn w:val="a"/>
    <w:uiPriority w:val="99"/>
    <w:semiHidden/>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_GB2312" w:eastAsia="仿宋_GB2312"/>
      <w:b/>
      <w:bCs/>
      <w:sz w:val="20"/>
      <w:szCs w:val="20"/>
    </w:rPr>
  </w:style>
  <w:style w:type="paragraph" w:customStyle="1" w:styleId="6c">
    <w:name w:val="标题6"/>
    <w:uiPriority w:val="99"/>
    <w:semiHidden/>
    <w:qFormat/>
    <w:rPr>
      <w:sz w:val="28"/>
    </w:rPr>
  </w:style>
  <w:style w:type="paragraph" w:customStyle="1" w:styleId="CharChar4CharCharCharCharCharChar2">
    <w:name w:val="Char Char4 Char Char Char Char Char Char2"/>
    <w:basedOn w:val="a"/>
    <w:semiHidden/>
    <w:qFormat/>
    <w:pPr>
      <w:spacing w:after="160" w:line="240" w:lineRule="exact"/>
    </w:pPr>
    <w:rPr>
      <w:rFonts w:ascii="Verdana" w:hAnsi="Verdana" w:cs="Verdana"/>
      <w:sz w:val="20"/>
      <w:szCs w:val="20"/>
      <w:lang w:eastAsia="en-US"/>
    </w:rPr>
  </w:style>
  <w:style w:type="paragraph" w:customStyle="1" w:styleId="CharChar1CharCharCharCharCharCharCharCharCharCharCharCharChar1CharCharCharCharCharCharCharCharCharCharCharCharCharChar1CharCharCharCharCharCharCharCharCharCharCharChar1CharCharCharCharCharChar7">
    <w:name w:val="Char Char1 Char Char Char Char Char Char Char Char Char Char Char Char Char1 Char Char Char Char Char Char Char Char Char Char Char Char Char Char1 Char Char Char Char Char Char Char Char Char Char Char Char1 Char Char Char Char Char Char7"/>
    <w:basedOn w:val="a"/>
    <w:semiHidden/>
    <w:qFormat/>
    <w:pPr>
      <w:autoSpaceDE w:val="0"/>
      <w:autoSpaceDN w:val="0"/>
      <w:adjustRightInd w:val="0"/>
      <w:spacing w:after="160" w:line="240" w:lineRule="exact"/>
    </w:pPr>
    <w:rPr>
      <w:rFonts w:ascii="Verdana" w:eastAsia="Times New Roman" w:hAnsi="Verdana"/>
      <w:sz w:val="20"/>
      <w:szCs w:val="20"/>
      <w:lang w:eastAsia="en-US"/>
    </w:rPr>
  </w:style>
  <w:style w:type="paragraph" w:customStyle="1" w:styleId="CharCharCharCharChar3">
    <w:name w:val="Char Char Char Char Char3"/>
    <w:basedOn w:val="a"/>
    <w:uiPriority w:val="99"/>
    <w:semiHidden/>
    <w:qFormat/>
    <w:rPr>
      <w:rFonts w:ascii="Tahoma" w:hAnsi="Tahoma"/>
      <w:szCs w:val="20"/>
    </w:rPr>
  </w:style>
  <w:style w:type="paragraph" w:customStyle="1" w:styleId="affffffffffffffffffb">
    <w:name w:val="插图名"/>
    <w:basedOn w:val="a"/>
    <w:semiHidden/>
    <w:qFormat/>
    <w:pPr>
      <w:snapToGrid w:val="0"/>
      <w:jc w:val="center"/>
    </w:pPr>
    <w:rPr>
      <w:rFonts w:eastAsia="宋体-18030"/>
      <w:b/>
      <w:color w:val="000000"/>
      <w:szCs w:val="28"/>
    </w:rPr>
  </w:style>
  <w:style w:type="paragraph" w:customStyle="1" w:styleId="CharChar4CharCharCharCharCharChar">
    <w:name w:val="Char Char4 Char Char Char Char Char Char"/>
    <w:basedOn w:val="a"/>
    <w:semiHidden/>
    <w:qFormat/>
    <w:pPr>
      <w:spacing w:after="160" w:line="240" w:lineRule="exact"/>
    </w:pPr>
    <w:rPr>
      <w:rFonts w:ascii="Verdana" w:hAnsi="Verdana" w:cs="Verdana"/>
      <w:sz w:val="20"/>
      <w:szCs w:val="20"/>
      <w:lang w:eastAsia="en-US"/>
    </w:rPr>
  </w:style>
  <w:style w:type="paragraph" w:customStyle="1" w:styleId="CM69">
    <w:name w:val="CM69"/>
    <w:basedOn w:val="Default"/>
    <w:next w:val="Default"/>
    <w:uiPriority w:val="99"/>
    <w:semiHidden/>
    <w:qFormat/>
    <w:rPr>
      <w:rFonts w:ascii="隶书" w:eastAsia="隶书" w:cs="Times New Roman"/>
      <w:color w:val="auto"/>
    </w:rPr>
  </w:style>
  <w:style w:type="paragraph" w:customStyle="1" w:styleId="affffffffffffffffffc">
    <w:name w:val="两行紧凑"/>
    <w:basedOn w:val="a"/>
    <w:uiPriority w:val="99"/>
    <w:semiHidden/>
    <w:qFormat/>
    <w:pPr>
      <w:tabs>
        <w:tab w:val="left" w:pos="1560"/>
        <w:tab w:val="left" w:pos="2410"/>
        <w:tab w:val="left" w:pos="3969"/>
        <w:tab w:val="right" w:pos="6096"/>
        <w:tab w:val="left" w:pos="6379"/>
      </w:tabs>
      <w:autoSpaceDE w:val="0"/>
      <w:autoSpaceDN w:val="0"/>
      <w:adjustRightInd w:val="0"/>
      <w:textAlignment w:val="baseline"/>
    </w:pPr>
    <w:rPr>
      <w:szCs w:val="20"/>
    </w:rPr>
  </w:style>
  <w:style w:type="paragraph" w:customStyle="1" w:styleId="GB231224">
    <w:name w:val="样式 (中文) 仿宋_GB2312 四号 行距: 固定值 24 磅"/>
    <w:basedOn w:val="a"/>
    <w:semiHidden/>
    <w:qFormat/>
    <w:pPr>
      <w:spacing w:line="480" w:lineRule="exact"/>
      <w:ind w:firstLineChars="200" w:firstLine="560"/>
    </w:pPr>
    <w:rPr>
      <w:rFonts w:eastAsia="仿宋_GB2312"/>
      <w:sz w:val="28"/>
      <w:szCs w:val="20"/>
    </w:rPr>
  </w:style>
  <w:style w:type="character" w:customStyle="1" w:styleId="CharChar1411">
    <w:name w:val="Char Char1411"/>
    <w:semiHidden/>
    <w:qFormat/>
    <w:rPr>
      <w:rFonts w:ascii="Arial" w:eastAsia="黑体" w:hAnsi="Arial" w:cs="Arial" w:hint="default"/>
      <w:b/>
      <w:bCs/>
      <w:kern w:val="2"/>
      <w:sz w:val="28"/>
      <w:szCs w:val="28"/>
      <w:lang w:val="en-US" w:eastAsia="zh-CN" w:bidi="ar-SA"/>
    </w:rPr>
  </w:style>
  <w:style w:type="paragraph" w:customStyle="1" w:styleId="KWHeading">
    <w:name w:val="K&amp;W Heading"/>
    <w:basedOn w:val="KWheading1"/>
    <w:next w:val="KWBodytext"/>
    <w:semiHidden/>
    <w:qFormat/>
    <w:pPr>
      <w:numPr>
        <w:numId w:val="0"/>
      </w:numPr>
      <w:tabs>
        <w:tab w:val="left" w:pos="567"/>
      </w:tabs>
      <w:adjustRightInd/>
      <w:spacing w:after="360" w:line="320" w:lineRule="exact"/>
      <w:textAlignment w:val="auto"/>
    </w:pPr>
    <w:rPr>
      <w:sz w:val="28"/>
    </w:rPr>
  </w:style>
  <w:style w:type="paragraph" w:customStyle="1" w:styleId="CM64">
    <w:name w:val="CM64"/>
    <w:basedOn w:val="Default"/>
    <w:next w:val="Default"/>
    <w:uiPriority w:val="99"/>
    <w:semiHidden/>
    <w:qFormat/>
    <w:pPr>
      <w:spacing w:line="291" w:lineRule="atLeast"/>
    </w:pPr>
    <w:rPr>
      <w:rFonts w:ascii="隶书" w:eastAsia="隶书" w:cs="Times New Roman"/>
      <w:color w:val="auto"/>
    </w:rPr>
  </w:style>
  <w:style w:type="paragraph" w:customStyle="1" w:styleId="CM28">
    <w:name w:val="CM28"/>
    <w:basedOn w:val="Default"/>
    <w:next w:val="Default"/>
    <w:uiPriority w:val="99"/>
    <w:semiHidden/>
    <w:qFormat/>
    <w:pPr>
      <w:spacing w:line="291" w:lineRule="atLeast"/>
    </w:pPr>
    <w:rPr>
      <w:rFonts w:ascii="隶书" w:eastAsia="隶书" w:cs="Times New Roman"/>
      <w:color w:val="auto"/>
    </w:rPr>
  </w:style>
  <w:style w:type="paragraph" w:customStyle="1" w:styleId="Char1CharCharChar1CharCharChar1">
    <w:name w:val="Char1 Char Char Char1 Char Char Char1"/>
    <w:basedOn w:val="a"/>
    <w:semiHidden/>
    <w:qFormat/>
    <w:pPr>
      <w:autoSpaceDE w:val="0"/>
      <w:autoSpaceDN w:val="0"/>
      <w:adjustRightInd w:val="0"/>
      <w:spacing w:beforeLines="50" w:afterLines="50" w:line="420" w:lineRule="exact"/>
      <w:textAlignment w:val="baseline"/>
    </w:pPr>
    <w:rPr>
      <w:sz w:val="34"/>
      <w:szCs w:val="20"/>
    </w:rPr>
  </w:style>
  <w:style w:type="paragraph" w:customStyle="1" w:styleId="128">
    <w:name w:val="字元 字元12"/>
    <w:basedOn w:val="a"/>
    <w:semiHidden/>
    <w:qFormat/>
    <w:pPr>
      <w:autoSpaceDE w:val="0"/>
      <w:autoSpaceDN w:val="0"/>
      <w:adjustRightInd w:val="0"/>
      <w:spacing w:after="160" w:line="240" w:lineRule="exact"/>
    </w:pPr>
    <w:rPr>
      <w:rFonts w:eastAsia="Times New Roman"/>
      <w:sz w:val="20"/>
      <w:szCs w:val="20"/>
    </w:rPr>
  </w:style>
  <w:style w:type="paragraph" w:customStyle="1" w:styleId="2Resetnumberingsect12Heading2ph2h21head2">
    <w:name w:val="样式 标题 2Reset numbering章节标题sect 1.2节Heading 2ph2h21head ...2"/>
    <w:basedOn w:val="2"/>
    <w:semiHidden/>
    <w:qFormat/>
    <w:pPr>
      <w:keepNext w:val="0"/>
      <w:keepLines w:val="0"/>
      <w:numPr>
        <w:ilvl w:val="0"/>
        <w:numId w:val="0"/>
      </w:numPr>
      <w:snapToGrid w:val="0"/>
      <w:spacing w:beforeLines="100" w:line="360" w:lineRule="auto"/>
      <w:ind w:left="284" w:firstLine="170"/>
      <w:jc w:val="left"/>
    </w:pPr>
    <w:rPr>
      <w:rFonts w:ascii="黑体" w:eastAsia="黑体" w:hAnsi="Arial" w:cs="宋体"/>
      <w:b w:val="0"/>
      <w:bCs w:val="0"/>
      <w:kern w:val="0"/>
      <w:sz w:val="30"/>
      <w:szCs w:val="20"/>
    </w:rPr>
  </w:style>
  <w:style w:type="paragraph" w:customStyle="1" w:styleId="CharCharCharChar60">
    <w:name w:val="Char Char Char Char6"/>
    <w:basedOn w:val="a"/>
    <w:semiHidden/>
    <w:qFormat/>
    <w:pPr>
      <w:autoSpaceDE w:val="0"/>
      <w:autoSpaceDN w:val="0"/>
      <w:adjustRightInd w:val="0"/>
      <w:spacing w:beforeLines="50"/>
    </w:pPr>
  </w:style>
  <w:style w:type="paragraph" w:customStyle="1" w:styleId="CM172">
    <w:name w:val="CM172"/>
    <w:basedOn w:val="Default"/>
    <w:next w:val="Default"/>
    <w:semiHidden/>
    <w:qFormat/>
    <w:pPr>
      <w:spacing w:after="150"/>
    </w:pPr>
    <w:rPr>
      <w:rFonts w:ascii="PCJODE+MSung-Light" w:eastAsia="PCJODE+MSung-Light" w:cs="Times New Roman"/>
      <w:color w:val="auto"/>
    </w:rPr>
  </w:style>
  <w:style w:type="paragraph" w:customStyle="1" w:styleId="CM49">
    <w:name w:val="CM49"/>
    <w:basedOn w:val="Default"/>
    <w:next w:val="Default"/>
    <w:uiPriority w:val="99"/>
    <w:semiHidden/>
    <w:qFormat/>
    <w:pPr>
      <w:spacing w:line="298" w:lineRule="atLeast"/>
    </w:pPr>
    <w:rPr>
      <w:rFonts w:ascii="PCJODE+MSung-Light" w:eastAsia="PCJODE+MSung-Light" w:cs="Times New Roman"/>
      <w:color w:val="auto"/>
    </w:rPr>
  </w:style>
  <w:style w:type="paragraph" w:customStyle="1" w:styleId="Char310">
    <w:name w:val="Char31"/>
    <w:basedOn w:val="a"/>
    <w:semiHidden/>
    <w:qFormat/>
    <w:pPr>
      <w:spacing w:line="360" w:lineRule="auto"/>
      <w:ind w:firstLineChars="200" w:firstLine="200"/>
    </w:pPr>
    <w:rPr>
      <w:szCs w:val="20"/>
    </w:rPr>
  </w:style>
  <w:style w:type="paragraph" w:customStyle="1" w:styleId="xl51">
    <w:name w:val="xl51"/>
    <w:basedOn w:val="a"/>
    <w:semiHidden/>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BodyTextIndent21">
    <w:name w:val="Body Text Indent 21"/>
    <w:basedOn w:val="a"/>
    <w:semiHidden/>
    <w:qFormat/>
    <w:pPr>
      <w:adjustRightInd w:val="0"/>
      <w:spacing w:line="300" w:lineRule="auto"/>
      <w:ind w:firstLine="540"/>
      <w:textAlignment w:val="baseline"/>
    </w:pPr>
    <w:rPr>
      <w:rFonts w:ascii="仿宋_GB2312" w:eastAsia="仿宋_GB2312"/>
      <w:szCs w:val="20"/>
    </w:rPr>
  </w:style>
  <w:style w:type="paragraph" w:customStyle="1" w:styleId="CharCharCharCharCharCharCharChar8">
    <w:name w:val="Char Char Char Char Char Char Char Char8"/>
    <w:basedOn w:val="a"/>
    <w:semiHidden/>
    <w:qFormat/>
    <w:pPr>
      <w:autoSpaceDE w:val="0"/>
      <w:autoSpaceDN w:val="0"/>
      <w:adjustRightInd w:val="0"/>
    </w:pPr>
    <w:rPr>
      <w:rFonts w:ascii="Tahoma" w:hAnsi="Tahoma"/>
      <w:szCs w:val="20"/>
    </w:rPr>
  </w:style>
  <w:style w:type="paragraph" w:customStyle="1" w:styleId="affffffffffffffffffd">
    <w:name w:val="小四段落"/>
    <w:basedOn w:val="affffffffffffffff8"/>
    <w:semiHidden/>
    <w:qFormat/>
    <w:pPr>
      <w:spacing w:before="25" w:after="25" w:line="420" w:lineRule="exact"/>
    </w:pPr>
    <w:rPr>
      <w:rFonts w:hAnsi="宋体"/>
    </w:rPr>
  </w:style>
  <w:style w:type="paragraph" w:customStyle="1" w:styleId="mls">
    <w:name w:val="正文mls"/>
    <w:basedOn w:val="ml"/>
    <w:uiPriority w:val="99"/>
    <w:semiHidden/>
    <w:qFormat/>
    <w:rPr>
      <w:rFonts w:ascii="宋体" w:eastAsia="宋体"/>
    </w:rPr>
  </w:style>
  <w:style w:type="paragraph" w:customStyle="1" w:styleId="CharCharCharChar111">
    <w:name w:val="Char Char Char Char11"/>
    <w:basedOn w:val="a"/>
    <w:semiHidden/>
    <w:qFormat/>
    <w:pPr>
      <w:autoSpaceDE w:val="0"/>
      <w:autoSpaceDN w:val="0"/>
      <w:adjustRightInd w:val="0"/>
      <w:spacing w:beforeLines="50"/>
    </w:pPr>
  </w:style>
  <w:style w:type="paragraph" w:customStyle="1" w:styleId="affffffffffffffffffe">
    <w:name w:val="申报正文"/>
    <w:basedOn w:val="a"/>
    <w:uiPriority w:val="99"/>
    <w:semiHidden/>
    <w:qFormat/>
    <w:pPr>
      <w:spacing w:line="360" w:lineRule="auto"/>
      <w:ind w:firstLineChars="200" w:firstLine="480"/>
    </w:pPr>
    <w:rPr>
      <w:szCs w:val="20"/>
    </w:rPr>
  </w:style>
  <w:style w:type="paragraph" w:customStyle="1" w:styleId="-120">
    <w:name w:val="彩色底纹 - 着色 12"/>
    <w:uiPriority w:val="99"/>
    <w:semiHidden/>
    <w:qFormat/>
    <w:rPr>
      <w:kern w:val="2"/>
      <w:sz w:val="21"/>
      <w:szCs w:val="24"/>
    </w:rPr>
  </w:style>
  <w:style w:type="paragraph" w:customStyle="1" w:styleId="2fffe">
    <w:name w:val="表右2"/>
    <w:basedOn w:val="a"/>
    <w:semiHidden/>
    <w:qFormat/>
    <w:pPr>
      <w:adjustRightInd w:val="0"/>
      <w:snapToGrid w:val="0"/>
      <w:ind w:rightChars="200" w:right="200"/>
      <w:jc w:val="right"/>
    </w:pPr>
    <w:rPr>
      <w:szCs w:val="28"/>
    </w:rPr>
  </w:style>
  <w:style w:type="paragraph" w:customStyle="1" w:styleId="TableBullet2">
    <w:name w:val="Table Bullet 2"/>
    <w:basedOn w:val="Bullet2"/>
    <w:semiHidden/>
    <w:qFormat/>
    <w:pPr>
      <w:ind w:left="720" w:hanging="363"/>
    </w:pPr>
  </w:style>
  <w:style w:type="paragraph" w:customStyle="1" w:styleId="Bullet2">
    <w:name w:val="Bullet 2"/>
    <w:basedOn w:val="a"/>
    <w:uiPriority w:val="99"/>
    <w:semiHidden/>
    <w:qFormat/>
    <w:pPr>
      <w:tabs>
        <w:tab w:val="left" w:pos="1440"/>
      </w:tabs>
      <w:spacing w:line="290" w:lineRule="atLeast"/>
      <w:ind w:left="1440" w:hanging="720"/>
    </w:pPr>
    <w:rPr>
      <w:szCs w:val="20"/>
      <w:lang w:val="en-GB" w:eastAsia="en-US"/>
    </w:rPr>
  </w:style>
  <w:style w:type="paragraph" w:customStyle="1" w:styleId="xl128">
    <w:name w:val="xl128"/>
    <w:basedOn w:val="a"/>
    <w:semiHidden/>
    <w:qFormat/>
    <w:pPr>
      <w:pBdr>
        <w:top w:val="single" w:sz="8" w:space="0" w:color="auto"/>
        <w:left w:val="single" w:sz="8" w:space="0" w:color="auto"/>
        <w:right w:val="single" w:sz="8" w:space="0" w:color="auto"/>
      </w:pBdr>
      <w:shd w:val="clear" w:color="000000" w:fill="FF0000"/>
      <w:spacing w:before="100" w:beforeAutospacing="1" w:after="100" w:afterAutospacing="1"/>
      <w:jc w:val="right"/>
    </w:pPr>
    <w:rPr>
      <w:b/>
      <w:bCs/>
      <w:color w:val="000000"/>
      <w:sz w:val="18"/>
      <w:szCs w:val="18"/>
    </w:rPr>
  </w:style>
  <w:style w:type="paragraph" w:customStyle="1" w:styleId="xl625">
    <w:name w:val="xl625"/>
    <w:basedOn w:val="a"/>
    <w:semiHidden/>
    <w:qFormat/>
    <w:pPr>
      <w:spacing w:before="100" w:beforeAutospacing="1" w:after="100" w:afterAutospacing="1"/>
      <w:jc w:val="center"/>
    </w:pPr>
    <w:rPr>
      <w:b/>
      <w:bCs/>
      <w:sz w:val="15"/>
      <w:szCs w:val="15"/>
    </w:rPr>
  </w:style>
  <w:style w:type="paragraph" w:customStyle="1" w:styleId="Style10">
    <w:name w:val="Style1"/>
    <w:basedOn w:val="3"/>
    <w:uiPriority w:val="99"/>
    <w:semiHidden/>
    <w:qFormat/>
    <w:pPr>
      <w:keepNext w:val="0"/>
      <w:keepLines w:val="0"/>
      <w:numPr>
        <w:ilvl w:val="0"/>
        <w:numId w:val="0"/>
      </w:numPr>
      <w:tabs>
        <w:tab w:val="left" w:pos="1680"/>
      </w:tabs>
      <w:autoSpaceDE w:val="0"/>
      <w:autoSpaceDN w:val="0"/>
      <w:adjustRightInd w:val="0"/>
      <w:snapToGrid w:val="0"/>
      <w:spacing w:beforeLines="0" w:before="120" w:afterLines="0" w:after="0" w:line="360" w:lineRule="auto"/>
      <w:ind w:left="950" w:hanging="475"/>
      <w:jc w:val="left"/>
    </w:pPr>
    <w:rPr>
      <w:rFonts w:eastAsia="黑体"/>
      <w:bCs w:val="0"/>
      <w:kern w:val="0"/>
      <w:sz w:val="30"/>
      <w:szCs w:val="30"/>
    </w:rPr>
  </w:style>
  <w:style w:type="paragraph" w:customStyle="1" w:styleId="xl131">
    <w:name w:val="xl131"/>
    <w:basedOn w:val="a"/>
    <w:semiHidden/>
    <w:qFormat/>
    <w:pPr>
      <w:pBdr>
        <w:left w:val="single" w:sz="8" w:space="0" w:color="auto"/>
        <w:bottom w:val="single" w:sz="8" w:space="0" w:color="auto"/>
        <w:right w:val="single" w:sz="8" w:space="0" w:color="auto"/>
      </w:pBdr>
      <w:shd w:val="clear" w:color="000000" w:fill="FFFFFF"/>
      <w:spacing w:before="100" w:beforeAutospacing="1" w:after="100" w:afterAutospacing="1"/>
      <w:jc w:val="right"/>
    </w:pPr>
    <w:rPr>
      <w:color w:val="000000"/>
      <w:sz w:val="18"/>
      <w:szCs w:val="18"/>
    </w:rPr>
  </w:style>
  <w:style w:type="paragraph" w:customStyle="1" w:styleId="xl34">
    <w:name w:val="xl34"/>
    <w:basedOn w:val="a"/>
    <w:semiHidden/>
    <w:qFormat/>
    <w:pPr>
      <w:pBdr>
        <w:bottom w:val="single" w:sz="4" w:space="0" w:color="auto"/>
        <w:right w:val="single" w:sz="4" w:space="0" w:color="auto"/>
      </w:pBdr>
      <w:spacing w:before="100" w:beforeAutospacing="1" w:after="100" w:afterAutospacing="1"/>
      <w:jc w:val="right"/>
      <w:textAlignment w:val="top"/>
    </w:pPr>
    <w:rPr>
      <w:sz w:val="18"/>
      <w:szCs w:val="18"/>
    </w:rPr>
  </w:style>
  <w:style w:type="paragraph" w:customStyle="1" w:styleId="1210">
    <w:name w:val="纯文本121"/>
    <w:basedOn w:val="a"/>
    <w:semiHidden/>
    <w:qFormat/>
    <w:pPr>
      <w:adjustRightInd w:val="0"/>
      <w:spacing w:line="360" w:lineRule="auto"/>
      <w:ind w:firstLine="567"/>
      <w:textAlignment w:val="baseline"/>
    </w:pPr>
    <w:rPr>
      <w:rFonts w:eastAsia="楷体_GB2312" w:hAnsi="Courier New"/>
      <w:sz w:val="28"/>
      <w:szCs w:val="20"/>
    </w:rPr>
  </w:style>
  <w:style w:type="paragraph" w:customStyle="1" w:styleId="Char2131">
    <w:name w:val="样式 标题二 Char + 褐色 首行缩进:  2 字符 段前: 1.3 行 段后: 1 行"/>
    <w:basedOn w:val="a"/>
    <w:semiHidden/>
    <w:qFormat/>
    <w:pPr>
      <w:adjustRightInd w:val="0"/>
      <w:spacing w:beforeLines="130" w:afterLines="100" w:line="420" w:lineRule="auto"/>
      <w:ind w:firstLineChars="200" w:firstLine="200"/>
      <w:textAlignment w:val="baseline"/>
      <w:outlineLvl w:val="2"/>
    </w:pPr>
    <w:rPr>
      <w:rFonts w:eastAsia="黑体"/>
      <w:b/>
      <w:bCs/>
      <w:u w:color="000000"/>
    </w:rPr>
  </w:style>
  <w:style w:type="paragraph" w:customStyle="1" w:styleId="00">
    <w:name w:val="首行缩进:0 字"/>
    <w:semiHidden/>
    <w:qFormat/>
    <w:pPr>
      <w:spacing w:before="120" w:line="360" w:lineRule="auto"/>
    </w:pPr>
    <w:rPr>
      <w:rFonts w:ascii="Arial" w:hAnsi="Arial" w:cs="宋体"/>
      <w:kern w:val="2"/>
      <w:sz w:val="24"/>
      <w:szCs w:val="24"/>
    </w:rPr>
  </w:style>
  <w:style w:type="paragraph" w:customStyle="1" w:styleId="3levelbullet">
    <w:name w:val="_3level bullet"/>
    <w:basedOn w:val="Body0"/>
    <w:uiPriority w:val="99"/>
    <w:semiHidden/>
    <w:qFormat/>
    <w:pPr>
      <w:numPr>
        <w:ilvl w:val="2"/>
        <w:numId w:val="21"/>
      </w:numPr>
      <w:tabs>
        <w:tab w:val="left" w:pos="1260"/>
        <w:tab w:val="left" w:pos="1320"/>
        <w:tab w:val="left" w:pos="1440"/>
      </w:tabs>
      <w:spacing w:before="200" w:after="0"/>
      <w:ind w:left="1260" w:hanging="420"/>
      <w:jc w:val="both"/>
    </w:pPr>
    <w:rPr>
      <w:sz w:val="20"/>
    </w:rPr>
  </w:style>
  <w:style w:type="paragraph" w:customStyle="1" w:styleId="330">
    <w:name w:val="样式 3级标题 + 段前: 3 磅"/>
    <w:basedOn w:val="3f7"/>
    <w:semiHidden/>
    <w:qFormat/>
    <w:pPr>
      <w:spacing w:before="60"/>
    </w:pPr>
    <w:rPr>
      <w:rFonts w:ascii="Arial" w:hAnsi="Arial" w:cs="宋体"/>
      <w:bCs/>
      <w:szCs w:val="20"/>
    </w:rPr>
  </w:style>
  <w:style w:type="paragraph" w:customStyle="1" w:styleId="CharCharCharCharCharCharChar1CharCharCharChar">
    <w:name w:val="Char Char Char Char Char Char Char1 Char Char Char Char"/>
    <w:basedOn w:val="a"/>
    <w:semiHidden/>
    <w:qFormat/>
    <w:rPr>
      <w:rFonts w:ascii="Tahoma" w:hAnsi="Tahoma"/>
      <w:szCs w:val="20"/>
    </w:rPr>
  </w:style>
  <w:style w:type="paragraph" w:customStyle="1" w:styleId="afffffffffffffffffff">
    <w:name w:val="紧密段落"/>
    <w:basedOn w:val="a"/>
    <w:uiPriority w:val="99"/>
    <w:semiHidden/>
    <w:qFormat/>
    <w:pPr>
      <w:spacing w:line="440" w:lineRule="atLeast"/>
      <w:ind w:firstLine="480"/>
    </w:pPr>
    <w:rPr>
      <w:szCs w:val="20"/>
      <w:lang w:val="en-AU"/>
    </w:rPr>
  </w:style>
  <w:style w:type="paragraph" w:customStyle="1" w:styleId="225">
    <w:name w:val="中等深浅网格 22"/>
    <w:link w:val="2Char7"/>
    <w:uiPriority w:val="1"/>
    <w:semiHidden/>
    <w:qFormat/>
    <w:pPr>
      <w:widowControl w:val="0"/>
      <w:spacing w:line="200" w:lineRule="atLeast"/>
      <w:jc w:val="both"/>
    </w:pPr>
    <w:rPr>
      <w:kern w:val="2"/>
      <w:sz w:val="21"/>
    </w:rPr>
  </w:style>
  <w:style w:type="character" w:customStyle="1" w:styleId="2Char7">
    <w:name w:val="中等深浅网格 2 Char"/>
    <w:link w:val="225"/>
    <w:uiPriority w:val="1"/>
    <w:semiHidden/>
    <w:qFormat/>
    <w:rPr>
      <w:kern w:val="2"/>
      <w:sz w:val="21"/>
    </w:rPr>
  </w:style>
  <w:style w:type="paragraph" w:customStyle="1" w:styleId="CharCharCharChar20">
    <w:name w:val="Char Char Char Char20"/>
    <w:basedOn w:val="a"/>
    <w:semiHidden/>
    <w:qFormat/>
    <w:pPr>
      <w:spacing w:after="160" w:line="240" w:lineRule="exact"/>
    </w:pPr>
    <w:rPr>
      <w:rFonts w:ascii="Tahoma" w:hAnsi="Tahoma"/>
      <w:sz w:val="20"/>
      <w:szCs w:val="20"/>
      <w:lang w:eastAsia="en-US"/>
    </w:rPr>
  </w:style>
  <w:style w:type="paragraph" w:customStyle="1" w:styleId="xl95">
    <w:name w:val="xl95"/>
    <w:basedOn w:val="a"/>
    <w:semiHidden/>
    <w:qFormat/>
    <w:pPr>
      <w:pBdr>
        <w:bottom w:val="single" w:sz="4" w:space="0" w:color="auto"/>
      </w:pBdr>
      <w:spacing w:before="100" w:beforeAutospacing="1" w:after="100" w:afterAutospacing="1"/>
      <w:jc w:val="center"/>
    </w:pPr>
    <w:rPr>
      <w:rFonts w:ascii="Arial Unicode MS" w:eastAsia="Arial Unicode MS" w:hAnsi="Arial Unicode MS" w:cs="Arial Unicode MS"/>
      <w:b/>
      <w:bCs/>
    </w:rPr>
  </w:style>
  <w:style w:type="paragraph" w:customStyle="1" w:styleId="3ff1">
    <w:name w:val="无间隔3"/>
    <w:semiHidden/>
    <w:qFormat/>
    <w:pPr>
      <w:widowControl w:val="0"/>
      <w:jc w:val="both"/>
    </w:pPr>
    <w:rPr>
      <w:kern w:val="2"/>
      <w:sz w:val="21"/>
      <w:szCs w:val="21"/>
    </w:rPr>
  </w:style>
  <w:style w:type="paragraph" w:customStyle="1" w:styleId="CharCharCharChar21">
    <w:name w:val="字元 Char Char 字元 Char Char 字元2"/>
    <w:basedOn w:val="a"/>
    <w:semiHidden/>
    <w:qFormat/>
    <w:pPr>
      <w:autoSpaceDE w:val="0"/>
      <w:autoSpaceDN w:val="0"/>
      <w:adjustRightInd w:val="0"/>
      <w:spacing w:beforeLines="50"/>
    </w:pPr>
  </w:style>
  <w:style w:type="paragraph" w:customStyle="1" w:styleId="afffffffffffffffffff0">
    <w:name w:val="宋体"/>
    <w:basedOn w:val="Default"/>
    <w:semiHidden/>
    <w:qFormat/>
    <w:pPr>
      <w:spacing w:line="360" w:lineRule="auto"/>
      <w:jc w:val="center"/>
    </w:pPr>
    <w:rPr>
      <w:rFonts w:hAnsi="Arial" w:cs="Times New Roman"/>
      <w:color w:val="auto"/>
      <w:szCs w:val="20"/>
    </w:rPr>
  </w:style>
  <w:style w:type="paragraph" w:customStyle="1" w:styleId="CM91">
    <w:name w:val="CM91"/>
    <w:basedOn w:val="Default"/>
    <w:next w:val="Default"/>
    <w:uiPriority w:val="99"/>
    <w:semiHidden/>
    <w:qFormat/>
    <w:pPr>
      <w:spacing w:after="217"/>
    </w:pPr>
    <w:rPr>
      <w:rFonts w:ascii="隶书" w:eastAsia="隶书" w:cs="Times New Roman"/>
      <w:color w:val="auto"/>
    </w:rPr>
  </w:style>
  <w:style w:type="paragraph" w:customStyle="1" w:styleId="afffffffffffffffffff1">
    <w:name w:val="样式"/>
    <w:basedOn w:val="a"/>
    <w:next w:val="af1"/>
    <w:semiHidden/>
    <w:qFormat/>
    <w:pPr>
      <w:spacing w:line="360" w:lineRule="auto"/>
      <w:ind w:firstLineChars="200" w:firstLine="480"/>
    </w:pPr>
  </w:style>
  <w:style w:type="paragraph" w:customStyle="1" w:styleId="afffffffffffffffffff2">
    <w:name w:val="目录正文"/>
    <w:basedOn w:val="a"/>
    <w:semiHidden/>
    <w:qFormat/>
    <w:pPr>
      <w:spacing w:line="480" w:lineRule="exact"/>
      <w:ind w:firstLineChars="200" w:firstLine="560"/>
    </w:pPr>
    <w:rPr>
      <w:sz w:val="28"/>
      <w:szCs w:val="20"/>
    </w:rPr>
  </w:style>
  <w:style w:type="paragraph" w:customStyle="1" w:styleId="9004">
    <w:name w:val="表格中 90% 字缩0.4磅"/>
    <w:basedOn w:val="afffff9"/>
    <w:semiHidden/>
    <w:qFormat/>
    <w:pPr>
      <w:spacing w:line="200" w:lineRule="exact"/>
    </w:pPr>
    <w:rPr>
      <w:spacing w:val="-8"/>
      <w:w w:val="90"/>
    </w:rPr>
  </w:style>
  <w:style w:type="paragraph" w:customStyle="1" w:styleId="999999999999999">
    <w:name w:val="999999999999999"/>
    <w:basedOn w:val="aff5"/>
    <w:semiHidden/>
    <w:qFormat/>
    <w:pPr>
      <w:ind w:leftChars="200" w:left="-92" w:right="-2" w:hangingChars="200" w:hanging="200"/>
      <w:jc w:val="center"/>
    </w:pPr>
    <w:rPr>
      <w:rFonts w:ascii="宋体" w:hAnsi="宋体"/>
      <w:b/>
      <w:bCs/>
      <w:caps/>
    </w:rPr>
  </w:style>
  <w:style w:type="paragraph" w:customStyle="1" w:styleId="CM35">
    <w:name w:val="CM35"/>
    <w:basedOn w:val="Default"/>
    <w:next w:val="Default"/>
    <w:uiPriority w:val="99"/>
    <w:semiHidden/>
    <w:qFormat/>
    <w:rPr>
      <w:rFonts w:ascii="隶书" w:eastAsia="隶书" w:cs="Times New Roman"/>
      <w:color w:val="auto"/>
    </w:rPr>
  </w:style>
  <w:style w:type="paragraph" w:customStyle="1" w:styleId="xl22">
    <w:name w:val="xl22"/>
    <w:basedOn w:val="a"/>
    <w:semiHidden/>
    <w:qFormat/>
    <w:pPr>
      <w:pBdr>
        <w:right w:val="single" w:sz="4" w:space="0" w:color="auto"/>
      </w:pBdr>
      <w:spacing w:before="100" w:after="100"/>
      <w:jc w:val="center"/>
      <w:textAlignment w:val="top"/>
    </w:pPr>
    <w:rPr>
      <w:szCs w:val="20"/>
    </w:rPr>
  </w:style>
  <w:style w:type="paragraph" w:customStyle="1" w:styleId="CharChar3CharChar4">
    <w:name w:val="Char Char3 Char Char4"/>
    <w:basedOn w:val="a"/>
    <w:semiHidden/>
    <w:qFormat/>
    <w:pPr>
      <w:spacing w:after="160" w:line="240" w:lineRule="exact"/>
    </w:pPr>
    <w:rPr>
      <w:rFonts w:ascii="Verdana" w:hAnsi="Verdana" w:cs="Verdana"/>
      <w:sz w:val="20"/>
      <w:szCs w:val="20"/>
      <w:lang w:eastAsia="en-US"/>
    </w:rPr>
  </w:style>
  <w:style w:type="paragraph" w:customStyle="1" w:styleId="xl64">
    <w:name w:val="xl64"/>
    <w:basedOn w:val="a"/>
    <w:uiPriority w:val="99"/>
    <w:semiHidden/>
    <w:qFormat/>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4">
    <w:name w:val="xl94"/>
    <w:basedOn w:val="a"/>
    <w:semiHidden/>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_GB2312" w:eastAsia="仿宋_GB2312"/>
      <w:color w:val="FF0000"/>
      <w:sz w:val="20"/>
      <w:szCs w:val="20"/>
    </w:rPr>
  </w:style>
  <w:style w:type="paragraph" w:customStyle="1" w:styleId="CharCharCharChar50">
    <w:name w:val="Char Char Char Char5"/>
    <w:basedOn w:val="a"/>
    <w:semiHidden/>
    <w:qFormat/>
    <w:pPr>
      <w:autoSpaceDE w:val="0"/>
      <w:autoSpaceDN w:val="0"/>
      <w:adjustRightInd w:val="0"/>
      <w:spacing w:beforeLines="50"/>
    </w:pPr>
  </w:style>
  <w:style w:type="paragraph" w:customStyle="1" w:styleId="xl36">
    <w:name w:val="xl36"/>
    <w:basedOn w:val="a"/>
    <w:semiHidden/>
    <w:qFormat/>
    <w:pPr>
      <w:pBdr>
        <w:top w:val="single" w:sz="4" w:space="0" w:color="auto"/>
        <w:left w:val="single" w:sz="4" w:space="0" w:color="auto"/>
        <w:bottom w:val="single" w:sz="4" w:space="0" w:color="auto"/>
        <w:right w:val="single" w:sz="4" w:space="0" w:color="auto"/>
      </w:pBdr>
      <w:spacing w:before="100" w:after="100"/>
      <w:jc w:val="center"/>
      <w:textAlignment w:val="center"/>
    </w:pPr>
    <w:rPr>
      <w:szCs w:val="20"/>
    </w:rPr>
  </w:style>
  <w:style w:type="paragraph" w:customStyle="1" w:styleId="CM99">
    <w:name w:val="CM99"/>
    <w:basedOn w:val="Default"/>
    <w:next w:val="Default"/>
    <w:semiHidden/>
    <w:qFormat/>
    <w:pPr>
      <w:spacing w:line="296" w:lineRule="atLeast"/>
    </w:pPr>
    <w:rPr>
      <w:rFonts w:ascii="PCJODE+MSung-Light" w:eastAsia="PCJODE+MSung-Light" w:cs="Times New Roman"/>
      <w:color w:val="auto"/>
    </w:rPr>
  </w:style>
  <w:style w:type="paragraph" w:customStyle="1" w:styleId="CharCharCharCharCharCharChar13">
    <w:name w:val="Char Char Char Char Char Char Char13"/>
    <w:basedOn w:val="a"/>
    <w:semiHidden/>
    <w:qFormat/>
    <w:pPr>
      <w:autoSpaceDE w:val="0"/>
      <w:autoSpaceDN w:val="0"/>
      <w:adjustRightInd w:val="0"/>
    </w:pPr>
  </w:style>
  <w:style w:type="paragraph" w:customStyle="1" w:styleId="CharChar1CharCharCharChar1CharCharChar18">
    <w:name w:val="Char Char1 Char Char Char Char1 Char Char Char18"/>
    <w:basedOn w:val="a"/>
    <w:semiHidden/>
    <w:qFormat/>
  </w:style>
  <w:style w:type="paragraph" w:customStyle="1" w:styleId="2levelbullet">
    <w:name w:val="_2level bullet"/>
    <w:basedOn w:val="4"/>
    <w:uiPriority w:val="99"/>
    <w:semiHidden/>
    <w:qFormat/>
    <w:pPr>
      <w:keepLines w:val="0"/>
      <w:numPr>
        <w:numId w:val="22"/>
      </w:numPr>
      <w:tabs>
        <w:tab w:val="left" w:pos="547"/>
        <w:tab w:val="left" w:pos="720"/>
        <w:tab w:val="left" w:pos="1680"/>
        <w:tab w:val="left" w:pos="2268"/>
      </w:tabs>
      <w:overflowPunct w:val="0"/>
      <w:autoSpaceDE w:val="0"/>
      <w:autoSpaceDN w:val="0"/>
      <w:adjustRightInd w:val="0"/>
      <w:spacing w:beforeLines="0" w:before="220" w:afterLines="0" w:after="0" w:line="240" w:lineRule="auto"/>
      <w:ind w:left="2268" w:firstLineChars="0" w:firstLine="0"/>
      <w:jc w:val="left"/>
      <w:textAlignment w:val="baseline"/>
    </w:pPr>
    <w:rPr>
      <w:rFonts w:ascii="Arial" w:eastAsia="SC STKaiti" w:hAnsi="Arial"/>
      <w:b w:val="0"/>
      <w:bCs w:val="0"/>
      <w:color w:val="000000"/>
      <w:sz w:val="20"/>
      <w:szCs w:val="20"/>
      <w:lang w:eastAsia="en-US" w:bidi="he-IL"/>
    </w:rPr>
  </w:style>
  <w:style w:type="paragraph" w:customStyle="1" w:styleId="CM83">
    <w:name w:val="CM83"/>
    <w:basedOn w:val="Default"/>
    <w:next w:val="Default"/>
    <w:semiHidden/>
    <w:qFormat/>
    <w:pPr>
      <w:spacing w:after="275"/>
    </w:pPr>
    <w:rPr>
      <w:rFonts w:ascii="隶书" w:eastAsia="隶书" w:cs="Times New Roman"/>
      <w:color w:val="auto"/>
    </w:rPr>
  </w:style>
  <w:style w:type="paragraph" w:customStyle="1" w:styleId="CharCharChar0">
    <w:name w:val="Char Char Char"/>
    <w:basedOn w:val="a"/>
    <w:semiHidden/>
    <w:qFormat/>
  </w:style>
  <w:style w:type="paragraph" w:customStyle="1" w:styleId="b2">
    <w:name w:val="正文b2"/>
    <w:basedOn w:val="a"/>
    <w:semiHidden/>
    <w:qFormat/>
    <w:pPr>
      <w:autoSpaceDE w:val="0"/>
      <w:autoSpaceDN w:val="0"/>
      <w:adjustRightInd w:val="0"/>
      <w:spacing w:before="60" w:line="240" w:lineRule="atLeast"/>
      <w:jc w:val="center"/>
      <w:textAlignment w:val="baseline"/>
    </w:pPr>
    <w:rPr>
      <w:spacing w:val="10"/>
      <w:szCs w:val="20"/>
    </w:rPr>
  </w:style>
  <w:style w:type="paragraph" w:customStyle="1" w:styleId="CharChar60">
    <w:name w:val="字元 Char Char 字元6"/>
    <w:basedOn w:val="a"/>
    <w:semiHidden/>
    <w:qFormat/>
    <w:pPr>
      <w:autoSpaceDE w:val="0"/>
      <w:autoSpaceDN w:val="0"/>
      <w:adjustRightInd w:val="0"/>
      <w:spacing w:beforeLines="50"/>
    </w:pPr>
  </w:style>
  <w:style w:type="paragraph" w:customStyle="1" w:styleId="xl25">
    <w:name w:val="xl25"/>
    <w:basedOn w:val="a"/>
    <w:semiHidden/>
    <w:qFormat/>
    <w:pPr>
      <w:spacing w:before="100" w:beforeAutospacing="1" w:after="100" w:afterAutospacing="1"/>
    </w:pPr>
    <w:rPr>
      <w:rFonts w:eastAsia="Arial Unicode MS"/>
      <w:sz w:val="20"/>
      <w:szCs w:val="20"/>
    </w:rPr>
  </w:style>
  <w:style w:type="paragraph" w:customStyle="1" w:styleId="xl45">
    <w:name w:val="xl45"/>
    <w:basedOn w:val="a"/>
    <w:semiHidden/>
    <w:qFormat/>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22"/>
      <w:szCs w:val="22"/>
    </w:rPr>
  </w:style>
  <w:style w:type="paragraph" w:customStyle="1" w:styleId="CharCharChar1CharCharCharChar">
    <w:name w:val="Char Char Char1 Char Char Char Char"/>
    <w:basedOn w:val="a"/>
    <w:semiHidden/>
    <w:qFormat/>
    <w:rPr>
      <w:rFonts w:ascii="Tahoma" w:hAnsi="Tahoma"/>
      <w:szCs w:val="20"/>
    </w:rPr>
  </w:style>
  <w:style w:type="paragraph" w:customStyle="1" w:styleId="KWheading4">
    <w:name w:val="K&amp;W heading 4"/>
    <w:basedOn w:val="a"/>
    <w:link w:val="KWheading4Char"/>
    <w:semiHidden/>
    <w:qFormat/>
    <w:pPr>
      <w:numPr>
        <w:ilvl w:val="3"/>
        <w:numId w:val="13"/>
      </w:numPr>
      <w:tabs>
        <w:tab w:val="left" w:pos="1134"/>
        <w:tab w:val="left" w:pos="1492"/>
      </w:tabs>
      <w:adjustRightInd w:val="0"/>
      <w:spacing w:after="280" w:line="280" w:lineRule="exact"/>
      <w:ind w:left="1680" w:hanging="420"/>
      <w:textAlignment w:val="baseline"/>
      <w:outlineLvl w:val="3"/>
    </w:pPr>
    <w:rPr>
      <w:rFonts w:ascii="Arial" w:eastAsia="楷体_GB2312" w:hAnsi="Arial"/>
      <w:sz w:val="20"/>
      <w:szCs w:val="20"/>
      <w:lang w:eastAsia="en-US"/>
    </w:rPr>
  </w:style>
  <w:style w:type="character" w:customStyle="1" w:styleId="KWheading4Char">
    <w:name w:val="K&amp;W heading 4 Char"/>
    <w:link w:val="KWheading4"/>
    <w:semiHidden/>
    <w:qFormat/>
    <w:rPr>
      <w:rFonts w:ascii="Arial" w:eastAsia="楷体_GB2312" w:hAnsi="Arial"/>
      <w:kern w:val="2"/>
      <w:lang w:eastAsia="en-US"/>
    </w:rPr>
  </w:style>
  <w:style w:type="paragraph" w:customStyle="1" w:styleId="xl81">
    <w:name w:val="xl81"/>
    <w:basedOn w:val="a"/>
    <w:uiPriority w:val="99"/>
    <w:semiHidden/>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_GB2312" w:eastAsia="仿宋_GB2312"/>
      <w:sz w:val="20"/>
      <w:szCs w:val="20"/>
    </w:rPr>
  </w:style>
  <w:style w:type="paragraph" w:customStyle="1" w:styleId="CharChar127">
    <w:name w:val="字元 Char Char 字元12"/>
    <w:basedOn w:val="a"/>
    <w:semiHidden/>
    <w:qFormat/>
    <w:pPr>
      <w:autoSpaceDE w:val="0"/>
      <w:autoSpaceDN w:val="0"/>
      <w:adjustRightInd w:val="0"/>
      <w:spacing w:beforeLines="50"/>
    </w:pPr>
  </w:style>
  <w:style w:type="paragraph" w:customStyle="1" w:styleId="xl87">
    <w:name w:val="xl87"/>
    <w:basedOn w:val="a"/>
    <w:semiHidden/>
    <w:qFormat/>
    <w:pPr>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b/>
      <w:bCs/>
      <w:sz w:val="20"/>
      <w:szCs w:val="20"/>
    </w:rPr>
  </w:style>
  <w:style w:type="paragraph" w:customStyle="1" w:styleId="afffffffffffffffffff3">
    <w:name w:val="表格内文字"/>
    <w:basedOn w:val="a"/>
    <w:semiHidden/>
    <w:qFormat/>
    <w:pPr>
      <w:spacing w:before="100" w:after="100" w:line="320" w:lineRule="exact"/>
      <w:jc w:val="center"/>
    </w:pPr>
    <w:rPr>
      <w:spacing w:val="10"/>
      <w:szCs w:val="20"/>
    </w:rPr>
  </w:style>
  <w:style w:type="paragraph" w:customStyle="1" w:styleId="CM163">
    <w:name w:val="CM163"/>
    <w:basedOn w:val="Default"/>
    <w:next w:val="Default"/>
    <w:semiHidden/>
    <w:qFormat/>
    <w:pPr>
      <w:spacing w:after="77"/>
    </w:pPr>
    <w:rPr>
      <w:rFonts w:ascii="PCJODE+MSung-Light" w:eastAsia="PCJODE+MSung-Light" w:cs="Times New Roman"/>
      <w:color w:val="auto"/>
    </w:rPr>
  </w:style>
  <w:style w:type="paragraph" w:customStyle="1" w:styleId="CharChar3CharChar6">
    <w:name w:val="Char Char3 Char Char6"/>
    <w:basedOn w:val="a"/>
    <w:semiHidden/>
    <w:qFormat/>
    <w:pPr>
      <w:spacing w:after="160" w:line="240" w:lineRule="exact"/>
    </w:pPr>
    <w:rPr>
      <w:rFonts w:ascii="Verdana" w:hAnsi="Verdana" w:cs="Verdana"/>
      <w:sz w:val="20"/>
      <w:szCs w:val="20"/>
      <w:lang w:eastAsia="en-US"/>
    </w:rPr>
  </w:style>
  <w:style w:type="paragraph" w:customStyle="1" w:styleId="10101">
    <w:name w:val="样式 样式 正文1 + 段前: 0.1 行 + 段前: 0.1 行"/>
    <w:basedOn w:val="1010"/>
    <w:semiHidden/>
    <w:qFormat/>
    <w:pPr>
      <w:spacing w:before="24"/>
      <w:ind w:firstLine="567"/>
    </w:pPr>
  </w:style>
  <w:style w:type="paragraph" w:customStyle="1" w:styleId="CharCharCharCharCharCharCharChar12">
    <w:name w:val="Char Char Char Char Char Char Char Char12"/>
    <w:basedOn w:val="a"/>
    <w:semiHidden/>
    <w:qFormat/>
    <w:pPr>
      <w:autoSpaceDE w:val="0"/>
      <w:autoSpaceDN w:val="0"/>
      <w:adjustRightInd w:val="0"/>
    </w:pPr>
    <w:rPr>
      <w:rFonts w:ascii="Tahoma" w:hAnsi="Tahoma"/>
      <w:szCs w:val="20"/>
    </w:rPr>
  </w:style>
  <w:style w:type="paragraph" w:customStyle="1" w:styleId="22H2h2Resetnumbering121">
    <w:name w:val="样式 标题 2标题2H2h2第一层条Reset numbering + 宋体 四号 段前: 12 磅 段后: 1..."/>
    <w:basedOn w:val="2"/>
    <w:semiHidden/>
    <w:qFormat/>
    <w:pPr>
      <w:numPr>
        <w:ilvl w:val="0"/>
        <w:numId w:val="0"/>
      </w:numPr>
      <w:spacing w:beforeLines="0" w:before="240" w:afterLines="0" w:after="240" w:line="360" w:lineRule="auto"/>
      <w:ind w:left="1320" w:firstLineChars="200" w:firstLine="562"/>
      <w:jc w:val="left"/>
    </w:pPr>
    <w:rPr>
      <w:rFonts w:ascii="宋体" w:eastAsia="宋体" w:hAnsi="宋体" w:cs="宋体"/>
      <w:kern w:val="0"/>
      <w:sz w:val="28"/>
      <w:szCs w:val="20"/>
    </w:rPr>
  </w:style>
  <w:style w:type="paragraph" w:customStyle="1" w:styleId="xl49">
    <w:name w:val="xl49"/>
    <w:basedOn w:val="a"/>
    <w:semiHidden/>
    <w:qFormat/>
    <w:pPr>
      <w:pBdr>
        <w:bottom w:val="single" w:sz="4" w:space="0" w:color="auto"/>
        <w:right w:val="single" w:sz="4" w:space="0" w:color="auto"/>
      </w:pBdr>
      <w:spacing w:before="100" w:after="100"/>
      <w:jc w:val="right"/>
    </w:pPr>
    <w:rPr>
      <w:sz w:val="18"/>
      <w:szCs w:val="20"/>
    </w:rPr>
  </w:style>
  <w:style w:type="paragraph" w:customStyle="1" w:styleId="CharChar160">
    <w:name w:val="Char Char16"/>
    <w:basedOn w:val="a"/>
    <w:semiHidden/>
    <w:qFormat/>
    <w:pPr>
      <w:spacing w:after="160" w:line="240" w:lineRule="exact"/>
    </w:pPr>
    <w:rPr>
      <w:rFonts w:ascii="Verdana" w:eastAsia="Times New Roman" w:hAnsi="Verdana"/>
      <w:sz w:val="20"/>
      <w:szCs w:val="20"/>
      <w:lang w:eastAsia="en-US"/>
    </w:rPr>
  </w:style>
  <w:style w:type="paragraph" w:customStyle="1" w:styleId="CharCharCharChar40">
    <w:name w:val="Char Char Char Char4"/>
    <w:basedOn w:val="a"/>
    <w:semiHidden/>
    <w:qFormat/>
    <w:pPr>
      <w:spacing w:beforeLines="50"/>
    </w:pPr>
  </w:style>
  <w:style w:type="paragraph" w:customStyle="1" w:styleId="CM45">
    <w:name w:val="CM45"/>
    <w:basedOn w:val="Default"/>
    <w:next w:val="Default"/>
    <w:uiPriority w:val="99"/>
    <w:semiHidden/>
    <w:qFormat/>
    <w:pPr>
      <w:spacing w:line="288" w:lineRule="atLeast"/>
    </w:pPr>
    <w:rPr>
      <w:rFonts w:ascii="隶书" w:eastAsia="隶书" w:cs="Times New Roman"/>
      <w:color w:val="auto"/>
    </w:rPr>
  </w:style>
  <w:style w:type="paragraph" w:customStyle="1" w:styleId="similarquerysuggestlink2">
    <w:name w:val="similarquerysuggest_link2"/>
    <w:basedOn w:val="a"/>
    <w:semiHidden/>
    <w:qFormat/>
    <w:pPr>
      <w:shd w:val="clear" w:color="auto" w:fill="FFFFFF"/>
      <w:spacing w:beforeAutospacing="1" w:after="100" w:afterAutospacing="1"/>
    </w:pPr>
  </w:style>
  <w:style w:type="paragraph" w:customStyle="1" w:styleId="xl103">
    <w:name w:val="xl103"/>
    <w:basedOn w:val="a"/>
    <w:semiHidden/>
    <w:qFormat/>
    <w:pPr>
      <w:pBdr>
        <w:top w:val="single" w:sz="4" w:space="0" w:color="auto"/>
        <w:left w:val="single" w:sz="4" w:space="0" w:color="auto"/>
        <w:right w:val="single" w:sz="4" w:space="0" w:color="auto"/>
      </w:pBdr>
      <w:spacing w:before="100" w:beforeAutospacing="1" w:after="100" w:afterAutospacing="1"/>
    </w:pPr>
    <w:rPr>
      <w:rFonts w:ascii="仿宋_GB2312" w:eastAsia="仿宋_GB2312"/>
      <w:b/>
      <w:bCs/>
      <w:sz w:val="20"/>
      <w:szCs w:val="20"/>
    </w:rPr>
  </w:style>
  <w:style w:type="paragraph" w:customStyle="1" w:styleId="CM160">
    <w:name w:val="CM160"/>
    <w:basedOn w:val="Default"/>
    <w:next w:val="Default"/>
    <w:semiHidden/>
    <w:qFormat/>
    <w:pPr>
      <w:spacing w:after="378"/>
    </w:pPr>
    <w:rPr>
      <w:rFonts w:ascii="PCJODE+MSung-Light" w:eastAsia="PCJODE+MSung-Light" w:cs="Times New Roman"/>
      <w:color w:val="auto"/>
    </w:rPr>
  </w:style>
  <w:style w:type="paragraph" w:customStyle="1" w:styleId="CharCharCharCharCharCharCharChar10">
    <w:name w:val="Char Char Char Char Char Char Char Char10"/>
    <w:basedOn w:val="a"/>
    <w:semiHidden/>
    <w:qFormat/>
    <w:pPr>
      <w:autoSpaceDE w:val="0"/>
      <w:autoSpaceDN w:val="0"/>
      <w:adjustRightInd w:val="0"/>
    </w:pPr>
    <w:rPr>
      <w:rFonts w:ascii="Tahoma" w:hAnsi="Tahoma"/>
      <w:szCs w:val="20"/>
    </w:rPr>
  </w:style>
  <w:style w:type="paragraph" w:customStyle="1" w:styleId="afffffffffffffffffff4">
    <w:name w:val="第一级（第一章）"/>
    <w:basedOn w:val="1"/>
    <w:semiHidden/>
    <w:qFormat/>
    <w:pPr>
      <w:keepNext w:val="0"/>
      <w:keepLines w:val="0"/>
      <w:tabs>
        <w:tab w:val="clear" w:pos="1134"/>
      </w:tabs>
      <w:spacing w:afterLines="0" w:after="0" w:line="360" w:lineRule="auto"/>
      <w:ind w:left="900" w:firstLineChars="0" w:hanging="420"/>
      <w:jc w:val="center"/>
    </w:pPr>
    <w:rPr>
      <w:rFonts w:eastAsia="黑体"/>
      <w:b w:val="0"/>
      <w:bCs w:val="0"/>
      <w:sz w:val="36"/>
      <w:szCs w:val="36"/>
    </w:rPr>
  </w:style>
  <w:style w:type="paragraph" w:customStyle="1" w:styleId="3ff2">
    <w:name w:val="+标题3"/>
    <w:basedOn w:val="3"/>
    <w:semiHidden/>
    <w:qFormat/>
    <w:pPr>
      <w:numPr>
        <w:ilvl w:val="0"/>
        <w:numId w:val="0"/>
      </w:numPr>
      <w:tabs>
        <w:tab w:val="left" w:pos="709"/>
      </w:tabs>
      <w:spacing w:beforeLines="0" w:before="0" w:afterLines="0" w:after="0" w:line="420" w:lineRule="auto"/>
      <w:ind w:left="709" w:hanging="709"/>
      <w:jc w:val="left"/>
    </w:pPr>
    <w:rPr>
      <w:rFonts w:eastAsia="黑体"/>
      <w:spacing w:val="20"/>
      <w:kern w:val="0"/>
      <w:sz w:val="24"/>
      <w:szCs w:val="18"/>
    </w:rPr>
  </w:style>
  <w:style w:type="paragraph" w:customStyle="1" w:styleId="195">
    <w:name w:val="样式 正文文本正文文字 + 两端对齐 行距: 固定值 19.5 磅"/>
    <w:basedOn w:val="a7"/>
    <w:semiHidden/>
    <w:qFormat/>
    <w:pPr>
      <w:spacing w:after="0" w:line="390" w:lineRule="exact"/>
      <w:ind w:firstLineChars="200" w:firstLine="560"/>
    </w:pPr>
    <w:rPr>
      <w:rFonts w:eastAsia="仿宋_GB2312"/>
      <w:sz w:val="28"/>
      <w:szCs w:val="20"/>
    </w:rPr>
  </w:style>
  <w:style w:type="paragraph" w:customStyle="1" w:styleId="11e">
    <w:name w:val="列出段落11"/>
    <w:basedOn w:val="a"/>
    <w:semiHidden/>
    <w:qFormat/>
    <w:pPr>
      <w:ind w:firstLineChars="200" w:firstLine="420"/>
    </w:pPr>
    <w:rPr>
      <w:rFonts w:ascii="Calibri" w:hAnsi="Calibri"/>
      <w:szCs w:val="22"/>
    </w:rPr>
  </w:style>
  <w:style w:type="paragraph" w:customStyle="1" w:styleId="xl132">
    <w:name w:val="xl132"/>
    <w:basedOn w:val="a"/>
    <w:semiHidden/>
    <w:qFormat/>
    <w:pPr>
      <w:pBdr>
        <w:top w:val="single" w:sz="8" w:space="0" w:color="auto"/>
        <w:left w:val="single" w:sz="8" w:space="0" w:color="auto"/>
        <w:bottom w:val="single" w:sz="8" w:space="0" w:color="auto"/>
      </w:pBdr>
      <w:spacing w:before="100" w:beforeAutospacing="1" w:after="100" w:afterAutospacing="1"/>
      <w:jc w:val="center"/>
    </w:pPr>
    <w:rPr>
      <w:rFonts w:ascii="楷体_GB2312" w:eastAsia="楷体_GB2312"/>
      <w:b/>
      <w:bCs/>
      <w:color w:val="000000"/>
      <w:sz w:val="18"/>
      <w:szCs w:val="18"/>
    </w:rPr>
  </w:style>
  <w:style w:type="paragraph" w:customStyle="1" w:styleId="xl626">
    <w:name w:val="xl626"/>
    <w:basedOn w:val="a"/>
    <w:semiHidden/>
    <w:qFormat/>
    <w:pPr>
      <w:spacing w:before="100" w:beforeAutospacing="1" w:after="100" w:afterAutospacing="1"/>
    </w:pPr>
    <w:rPr>
      <w:b/>
      <w:bCs/>
      <w:sz w:val="15"/>
      <w:szCs w:val="15"/>
    </w:rPr>
  </w:style>
  <w:style w:type="paragraph" w:customStyle="1" w:styleId="CharChar4Char4">
    <w:name w:val="Char Char4 Char4"/>
    <w:basedOn w:val="a"/>
    <w:semiHidden/>
    <w:qFormat/>
    <w:pPr>
      <w:spacing w:after="160" w:line="240" w:lineRule="exact"/>
    </w:pPr>
    <w:rPr>
      <w:rFonts w:ascii="Verdana" w:eastAsia="Times New Roman" w:hAnsi="Verdana"/>
      <w:sz w:val="20"/>
      <w:szCs w:val="20"/>
      <w:lang w:eastAsia="en-US"/>
    </w:rPr>
  </w:style>
  <w:style w:type="paragraph" w:customStyle="1" w:styleId="Char2CharCharChar">
    <w:name w:val="Char2 Char Char Char"/>
    <w:basedOn w:val="a"/>
    <w:semiHidden/>
    <w:qFormat/>
    <w:rPr>
      <w:rFonts w:ascii="Tahoma" w:hAnsi="Tahoma"/>
      <w:szCs w:val="20"/>
    </w:rPr>
  </w:style>
  <w:style w:type="paragraph" w:customStyle="1" w:styleId="CharCharChar1CharCharCharCharCharCharCharCharChar7">
    <w:name w:val="Char Char Char1 Char Char Char Char Char Char Char Char Char7"/>
    <w:basedOn w:val="a"/>
    <w:semiHidden/>
    <w:qFormat/>
    <w:pPr>
      <w:autoSpaceDE w:val="0"/>
      <w:autoSpaceDN w:val="0"/>
      <w:adjustRightInd w:val="0"/>
    </w:pPr>
    <w:rPr>
      <w:rFonts w:ascii="Tahoma" w:hAnsi="Tahoma"/>
      <w:szCs w:val="20"/>
    </w:rPr>
  </w:style>
  <w:style w:type="paragraph" w:customStyle="1" w:styleId="xl50">
    <w:name w:val="xl50"/>
    <w:basedOn w:val="a"/>
    <w:semiHidden/>
    <w:qFormat/>
    <w:pPr>
      <w:spacing w:before="100" w:beforeAutospacing="1" w:after="100" w:afterAutospacing="1"/>
      <w:jc w:val="center"/>
    </w:pPr>
    <w:rPr>
      <w:rFonts w:ascii="黑体" w:eastAsia="黑体" w:hint="eastAsia"/>
      <w:sz w:val="28"/>
      <w:szCs w:val="28"/>
    </w:rPr>
  </w:style>
  <w:style w:type="paragraph" w:customStyle="1" w:styleId="afffffffffffffffffff5">
    <w:name w:val="缺省文本_宋体"/>
    <w:basedOn w:val="a"/>
    <w:semiHidden/>
    <w:qFormat/>
    <w:pPr>
      <w:tabs>
        <w:tab w:val="left" w:pos="639"/>
        <w:tab w:val="center" w:pos="5670"/>
        <w:tab w:val="right" w:pos="7655"/>
      </w:tabs>
      <w:spacing w:before="80" w:after="120" w:line="360" w:lineRule="auto"/>
      <w:outlineLvl w:val="7"/>
    </w:pPr>
    <w:rPr>
      <w:spacing w:val="16"/>
      <w:kern w:val="28"/>
      <w:szCs w:val="20"/>
    </w:rPr>
  </w:style>
  <w:style w:type="paragraph" w:customStyle="1" w:styleId="Legal2L9">
    <w:name w:val="Legal2_L9"/>
    <w:basedOn w:val="Legal2L8"/>
    <w:next w:val="a7"/>
    <w:semiHidden/>
    <w:qFormat/>
    <w:pPr>
      <w:tabs>
        <w:tab w:val="clear" w:pos="3360"/>
        <w:tab w:val="left" w:pos="3780"/>
      </w:tabs>
      <w:ind w:left="3780"/>
      <w:outlineLvl w:val="8"/>
    </w:pPr>
  </w:style>
  <w:style w:type="paragraph" w:customStyle="1" w:styleId="TimesNewRomanGB231200">
    <w:name w:val="样式 题注 + (西文) Times New Roman (中文) 仿宋_GB2312 四号 段前: 0 磅 段后: 0..."/>
    <w:basedOn w:val="a9"/>
    <w:semiHidden/>
    <w:qFormat/>
    <w:pPr>
      <w:spacing w:before="0" w:after="0" w:line="440" w:lineRule="exact"/>
      <w:ind w:firstLineChars="100" w:firstLine="280"/>
    </w:pPr>
    <w:rPr>
      <w:rFonts w:eastAsia="仿宋_GB2312"/>
      <w:b w:val="0"/>
      <w:bCs w:val="0"/>
      <w:sz w:val="24"/>
      <w:szCs w:val="20"/>
    </w:rPr>
  </w:style>
  <w:style w:type="paragraph" w:customStyle="1" w:styleId="Body2">
    <w:name w:val="Body2"/>
    <w:basedOn w:val="a"/>
    <w:uiPriority w:val="99"/>
    <w:semiHidden/>
    <w:qFormat/>
    <w:pPr>
      <w:snapToGrid w:val="0"/>
      <w:spacing w:line="360" w:lineRule="atLeast"/>
      <w:ind w:left="567"/>
    </w:pPr>
    <w:rPr>
      <w:bCs/>
      <w:color w:val="000000"/>
    </w:rPr>
  </w:style>
  <w:style w:type="paragraph" w:customStyle="1" w:styleId="6d">
    <w:name w:val="样式6"/>
    <w:basedOn w:val="27"/>
    <w:uiPriority w:val="99"/>
    <w:semiHidden/>
    <w:qFormat/>
    <w:pPr>
      <w:widowControl/>
      <w:adjustRightInd/>
      <w:snapToGrid/>
      <w:spacing w:line="400" w:lineRule="exact"/>
      <w:ind w:firstLine="200"/>
      <w:jc w:val="left"/>
    </w:pPr>
    <w:rPr>
      <w:b w:val="0"/>
      <w:bCs w:val="0"/>
      <w:sz w:val="24"/>
    </w:rPr>
  </w:style>
  <w:style w:type="paragraph" w:customStyle="1" w:styleId="CharCharChar8">
    <w:name w:val="Char Char Char8"/>
    <w:basedOn w:val="a"/>
    <w:semiHidden/>
    <w:qFormat/>
    <w:rPr>
      <w:rFonts w:ascii="Tahoma" w:hAnsi="Tahoma"/>
      <w:szCs w:val="20"/>
    </w:rPr>
  </w:style>
  <w:style w:type="paragraph" w:customStyle="1" w:styleId="3ff3">
    <w:name w:val="字元3"/>
    <w:basedOn w:val="a"/>
    <w:semiHidden/>
    <w:qFormat/>
    <w:pPr>
      <w:spacing w:beforeLines="50"/>
    </w:pPr>
  </w:style>
  <w:style w:type="character" w:customStyle="1" w:styleId="afffffffffffffffffff6">
    <w:name w:val="引用 字符"/>
    <w:uiPriority w:val="29"/>
    <w:semiHidden/>
    <w:qFormat/>
    <w:rPr>
      <w:i/>
      <w:iCs/>
      <w:color w:val="000000"/>
      <w:kern w:val="2"/>
      <w:sz w:val="21"/>
      <w:szCs w:val="21"/>
    </w:rPr>
  </w:style>
  <w:style w:type="paragraph" w:customStyle="1" w:styleId="Charfffff4">
    <w:name w:val="第二级 Char"/>
    <w:basedOn w:val="a"/>
    <w:semiHidden/>
    <w:qFormat/>
    <w:pPr>
      <w:tabs>
        <w:tab w:val="left" w:pos="360"/>
      </w:tabs>
      <w:spacing w:before="120" w:afterLines="50" w:line="360" w:lineRule="auto"/>
      <w:ind w:left="360" w:hanging="360"/>
    </w:pPr>
    <w:rPr>
      <w:b/>
    </w:rPr>
  </w:style>
  <w:style w:type="paragraph" w:customStyle="1" w:styleId="8b">
    <w:name w:val="列出段落8"/>
    <w:basedOn w:val="a"/>
    <w:semiHidden/>
    <w:qFormat/>
    <w:pPr>
      <w:ind w:firstLineChars="200" w:firstLine="420"/>
    </w:pPr>
    <w:rPr>
      <w:rFonts w:ascii="Calibri" w:hAnsi="Calibri"/>
      <w:szCs w:val="22"/>
    </w:rPr>
  </w:style>
  <w:style w:type="paragraph" w:customStyle="1" w:styleId="402">
    <w:name w:val="样式 标题 4 + 加宽量  0.2 磅"/>
    <w:basedOn w:val="4"/>
    <w:semiHidden/>
    <w:qFormat/>
    <w:pPr>
      <w:keepLines w:val="0"/>
      <w:widowControl w:val="0"/>
      <w:numPr>
        <w:ilvl w:val="0"/>
        <w:numId w:val="0"/>
      </w:numPr>
      <w:snapToGrid w:val="0"/>
      <w:spacing w:beforeLines="0" w:before="120" w:afterLines="0" w:after="120" w:line="300" w:lineRule="auto"/>
      <w:jc w:val="center"/>
    </w:pPr>
    <w:rPr>
      <w:rFonts w:ascii="Times New Roman" w:eastAsia="宋体" w:hAnsi="Times New Roman" w:cs="Angsana New"/>
      <w:color w:val="000000"/>
      <w:spacing w:val="4"/>
    </w:rPr>
  </w:style>
  <w:style w:type="paragraph" w:customStyle="1" w:styleId="Level9">
    <w:name w:val="Level 9"/>
    <w:basedOn w:val="a"/>
    <w:semiHidden/>
    <w:qFormat/>
    <w:pPr>
      <w:tabs>
        <w:tab w:val="left" w:pos="3288"/>
      </w:tabs>
      <w:spacing w:after="140" w:line="288" w:lineRule="auto"/>
      <w:ind w:left="3288" w:hanging="680"/>
      <w:outlineLvl w:val="8"/>
    </w:pPr>
    <w:rPr>
      <w:rFonts w:ascii="Arial" w:hAnsi="Arial"/>
      <w:kern w:val="20"/>
      <w:sz w:val="20"/>
      <w:lang w:eastAsia="en-US"/>
    </w:rPr>
  </w:style>
  <w:style w:type="paragraph" w:customStyle="1" w:styleId="xuENFI0">
    <w:name w:val="xu封ENFI"/>
    <w:basedOn w:val="xuENFI"/>
    <w:semiHidden/>
    <w:qFormat/>
    <w:rPr>
      <w:sz w:val="44"/>
      <w:szCs w:val="36"/>
    </w:rPr>
  </w:style>
  <w:style w:type="paragraph" w:customStyle="1" w:styleId="dd">
    <w:name w:val="dd"/>
    <w:basedOn w:val="a"/>
    <w:semiHidden/>
    <w:qFormat/>
    <w:pPr>
      <w:tabs>
        <w:tab w:val="left" w:pos="750"/>
      </w:tabs>
      <w:spacing w:beforeLines="50" w:line="360" w:lineRule="auto"/>
      <w:ind w:left="750" w:hanging="750"/>
      <w:jc w:val="center"/>
    </w:pPr>
    <w:rPr>
      <w:rFonts w:eastAsia="黑体"/>
      <w:b/>
      <w:sz w:val="32"/>
      <w:szCs w:val="32"/>
    </w:rPr>
  </w:style>
  <w:style w:type="paragraph" w:customStyle="1" w:styleId="2ffff">
    <w:name w:val="普通(网站)2"/>
    <w:basedOn w:val="a"/>
    <w:semiHidden/>
    <w:qFormat/>
    <w:pPr>
      <w:spacing w:before="100" w:beforeAutospacing="1" w:after="100" w:afterAutospacing="1"/>
    </w:pPr>
  </w:style>
  <w:style w:type="paragraph" w:customStyle="1" w:styleId="afffffffffffffffffff7">
    <w:name w:val="议题题目"/>
    <w:basedOn w:val="1"/>
    <w:semiHidden/>
    <w:qFormat/>
    <w:pPr>
      <w:keepLines w:val="0"/>
      <w:tabs>
        <w:tab w:val="clear" w:pos="1134"/>
      </w:tabs>
      <w:spacing w:beforeLines="0" w:before="0" w:afterLines="0" w:after="100" w:afterAutospacing="1" w:line="480" w:lineRule="auto"/>
      <w:ind w:left="425" w:firstLineChars="0" w:hanging="425"/>
      <w:jc w:val="left"/>
      <w:textAlignment w:val="baseline"/>
    </w:pPr>
    <w:rPr>
      <w:rFonts w:ascii="仿宋_GB2312" w:eastAsia="仿宋_GB2312" w:hAnsi="仿宋_GB2312"/>
      <w:b w:val="0"/>
      <w:kern w:val="2"/>
      <w:sz w:val="28"/>
      <w:szCs w:val="28"/>
    </w:rPr>
  </w:style>
  <w:style w:type="paragraph" w:customStyle="1" w:styleId="xl42">
    <w:name w:val="xl42"/>
    <w:basedOn w:val="a"/>
    <w:semiHidden/>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116">
    <w:name w:val="xl116"/>
    <w:basedOn w:val="a"/>
    <w:semiHidden/>
    <w:qFormat/>
    <w:pPr>
      <w:pBdr>
        <w:left w:val="single" w:sz="8" w:space="0" w:color="auto"/>
        <w:right w:val="single" w:sz="8" w:space="0" w:color="auto"/>
      </w:pBdr>
      <w:shd w:val="clear" w:color="000000" w:fill="FFFFFF"/>
      <w:spacing w:before="100" w:beforeAutospacing="1" w:after="100" w:afterAutospacing="1"/>
    </w:pPr>
    <w:rPr>
      <w:color w:val="000000"/>
      <w:sz w:val="18"/>
      <w:szCs w:val="18"/>
    </w:rPr>
  </w:style>
  <w:style w:type="paragraph" w:customStyle="1" w:styleId="3ff4">
    <w:name w:val="电子标题3"/>
    <w:basedOn w:val="a"/>
    <w:uiPriority w:val="99"/>
    <w:semiHidden/>
    <w:qFormat/>
    <w:pPr>
      <w:snapToGrid w:val="0"/>
      <w:spacing w:line="360" w:lineRule="auto"/>
      <w:ind w:firstLine="499"/>
      <w:outlineLvl w:val="2"/>
    </w:pPr>
    <w:rPr>
      <w:rFonts w:eastAsia="黑体"/>
      <w:sz w:val="30"/>
      <w:szCs w:val="20"/>
    </w:rPr>
  </w:style>
  <w:style w:type="paragraph" w:customStyle="1" w:styleId="CharChar1CharCharCharCharCharCharChar">
    <w:name w:val="Char Char1 Char Char Char Char Char Char Char"/>
    <w:basedOn w:val="a"/>
    <w:semiHidden/>
    <w:qFormat/>
    <w:pPr>
      <w:adjustRightInd w:val="0"/>
      <w:spacing w:line="360" w:lineRule="auto"/>
      <w:ind w:firstLineChars="200" w:firstLine="200"/>
      <w:textAlignment w:val="baseline"/>
    </w:pPr>
    <w:rPr>
      <w:rFonts w:eastAsia="昆仑仿宋"/>
    </w:rPr>
  </w:style>
  <w:style w:type="paragraph" w:customStyle="1" w:styleId="CharChar64">
    <w:name w:val="Char Char 字元6"/>
    <w:basedOn w:val="a"/>
    <w:semiHidden/>
    <w:qFormat/>
    <w:pPr>
      <w:autoSpaceDE w:val="0"/>
      <w:autoSpaceDN w:val="0"/>
      <w:adjustRightInd w:val="0"/>
      <w:spacing w:before="50"/>
    </w:pPr>
    <w:rPr>
      <w:szCs w:val="20"/>
    </w:rPr>
  </w:style>
  <w:style w:type="paragraph" w:customStyle="1" w:styleId="Char1CharCharChar9">
    <w:name w:val="Char1 Char Char Char9"/>
    <w:basedOn w:val="a"/>
    <w:semiHidden/>
    <w:qFormat/>
    <w:pPr>
      <w:autoSpaceDE w:val="0"/>
      <w:autoSpaceDN w:val="0"/>
      <w:adjustRightInd w:val="0"/>
      <w:spacing w:after="160" w:line="240" w:lineRule="exact"/>
    </w:pPr>
    <w:rPr>
      <w:rFonts w:ascii="Verdana" w:eastAsia="Times New Roman" w:hAnsi="Verdana"/>
      <w:sz w:val="20"/>
      <w:szCs w:val="20"/>
      <w:lang w:eastAsia="en-US"/>
    </w:rPr>
  </w:style>
  <w:style w:type="paragraph" w:customStyle="1" w:styleId="xl62">
    <w:name w:val="xl62"/>
    <w:basedOn w:val="a"/>
    <w:semiHidden/>
    <w:qFormat/>
    <w:pPr>
      <w:pBdr>
        <w:left w:val="single" w:sz="4" w:space="0" w:color="auto"/>
        <w:right w:val="single" w:sz="4" w:space="0" w:color="auto"/>
      </w:pBdr>
      <w:spacing w:before="100" w:after="100"/>
      <w:jc w:val="center"/>
    </w:pPr>
  </w:style>
  <w:style w:type="paragraph" w:customStyle="1" w:styleId="Minor">
    <w:name w:val="Minor"/>
    <w:next w:val="a7"/>
    <w:semiHidden/>
    <w:qFormat/>
    <w:pPr>
      <w:keepNext/>
      <w:keepLines/>
      <w:widowControl w:val="0"/>
      <w:tabs>
        <w:tab w:val="left" w:pos="720"/>
        <w:tab w:val="left" w:pos="1425"/>
        <w:tab w:val="left" w:pos="2355"/>
        <w:tab w:val="right" w:pos="10440"/>
      </w:tabs>
      <w:spacing w:after="288"/>
    </w:pPr>
    <w:rPr>
      <w:b/>
      <w:snapToGrid w:val="0"/>
      <w:color w:val="000000"/>
      <w:sz w:val="24"/>
      <w:lang w:eastAsia="en-US"/>
    </w:rPr>
  </w:style>
  <w:style w:type="paragraph" w:customStyle="1" w:styleId="GB231222192">
    <w:name w:val="样式 (中文) 仿宋_GB2312 四号 行距: 固定值 22 磅 首行缩进:  1.92 字符"/>
    <w:basedOn w:val="a"/>
    <w:semiHidden/>
    <w:qFormat/>
    <w:pPr>
      <w:spacing w:line="440" w:lineRule="exact"/>
      <w:ind w:firstLineChars="192" w:firstLine="538"/>
    </w:pPr>
    <w:rPr>
      <w:rFonts w:eastAsia="仿宋_GB2312"/>
      <w:szCs w:val="20"/>
    </w:rPr>
  </w:style>
  <w:style w:type="paragraph" w:customStyle="1" w:styleId="CM8">
    <w:name w:val="CM8"/>
    <w:basedOn w:val="Default"/>
    <w:next w:val="Default"/>
    <w:uiPriority w:val="99"/>
    <w:semiHidden/>
    <w:qFormat/>
    <w:pPr>
      <w:spacing w:line="420" w:lineRule="atLeast"/>
    </w:pPr>
    <w:rPr>
      <w:rFonts w:cs="Times New Roman"/>
      <w:color w:val="auto"/>
    </w:rPr>
  </w:style>
  <w:style w:type="paragraph" w:customStyle="1" w:styleId="200">
    <w:name w:val="样式20"/>
    <w:basedOn w:val="120"/>
    <w:semiHidden/>
    <w:qFormat/>
    <w:pPr>
      <w:autoSpaceDE/>
      <w:autoSpaceDN/>
      <w:adjustRightInd/>
      <w:spacing w:before="60" w:line="500" w:lineRule="exact"/>
      <w:ind w:firstLineChars="200" w:firstLine="480"/>
      <w:jc w:val="both"/>
      <w:textAlignment w:val="auto"/>
    </w:pPr>
    <w:rPr>
      <w:rFonts w:eastAsia="Times New Roman"/>
      <w:szCs w:val="24"/>
      <w:lang w:val="en-US"/>
    </w:rPr>
  </w:style>
  <w:style w:type="paragraph" w:customStyle="1" w:styleId="afffffffffffffffffff8">
    <w:name w:val="两级标题"/>
    <w:next w:val="a"/>
    <w:semiHidden/>
    <w:qFormat/>
    <w:pPr>
      <w:spacing w:beforeLines="50" w:line="360" w:lineRule="auto"/>
      <w:ind w:firstLineChars="200" w:firstLine="200"/>
      <w:outlineLvl w:val="2"/>
    </w:pPr>
    <w:rPr>
      <w:b/>
      <w:kern w:val="2"/>
      <w:sz w:val="24"/>
      <w:szCs w:val="24"/>
    </w:rPr>
  </w:style>
  <w:style w:type="paragraph" w:customStyle="1" w:styleId="xu7">
    <w:name w:val="xu扉可研报告"/>
    <w:basedOn w:val="a"/>
    <w:semiHidden/>
    <w:qFormat/>
    <w:pPr>
      <w:jc w:val="center"/>
    </w:pPr>
    <w:rPr>
      <w:sz w:val="72"/>
      <w:szCs w:val="72"/>
    </w:rPr>
  </w:style>
  <w:style w:type="paragraph" w:customStyle="1" w:styleId="afffffffffffffffffff9">
    <w:name w:val="样式 题注 + 居中"/>
    <w:basedOn w:val="a9"/>
    <w:semiHidden/>
    <w:qFormat/>
    <w:pPr>
      <w:spacing w:before="0" w:after="0"/>
    </w:pPr>
    <w:rPr>
      <w:rFonts w:ascii="Cambria" w:eastAsia="黑体" w:hAnsi="Cambria"/>
      <w:b w:val="0"/>
      <w:bCs w:val="0"/>
      <w:szCs w:val="20"/>
    </w:rPr>
  </w:style>
  <w:style w:type="paragraph" w:customStyle="1" w:styleId="afffffffffffffffffffa">
    <w:name w:val="列表标题"/>
    <w:basedOn w:val="a"/>
    <w:next w:val="a"/>
    <w:semiHidden/>
    <w:qFormat/>
    <w:pPr>
      <w:spacing w:line="360" w:lineRule="auto"/>
      <w:jc w:val="center"/>
    </w:pPr>
    <w:rPr>
      <w:szCs w:val="20"/>
    </w:rPr>
  </w:style>
  <w:style w:type="paragraph" w:customStyle="1" w:styleId="CM4">
    <w:name w:val="CM4"/>
    <w:basedOn w:val="Default"/>
    <w:next w:val="Default"/>
    <w:semiHidden/>
    <w:qFormat/>
    <w:pPr>
      <w:spacing w:line="468" w:lineRule="atLeast"/>
    </w:pPr>
    <w:rPr>
      <w:rFonts w:ascii="黑体" w:eastAsia="黑体" w:cs="Times New Roman"/>
      <w:color w:val="auto"/>
      <w:szCs w:val="20"/>
    </w:rPr>
  </w:style>
  <w:style w:type="character" w:customStyle="1" w:styleId="stdnobr">
    <w:name w:val="std nobr"/>
    <w:semiHidden/>
    <w:qFormat/>
  </w:style>
  <w:style w:type="paragraph" w:customStyle="1" w:styleId="afffffffffffffffffffb">
    <w:name w:val="第三层 一、"/>
    <w:basedOn w:val="af1"/>
    <w:uiPriority w:val="99"/>
    <w:semiHidden/>
    <w:qFormat/>
    <w:pPr>
      <w:tabs>
        <w:tab w:val="clear" w:pos="7020"/>
      </w:tabs>
      <w:overflowPunct w:val="0"/>
      <w:autoSpaceDE w:val="0"/>
      <w:autoSpaceDN w:val="0"/>
      <w:adjustRightInd w:val="0"/>
      <w:spacing w:beforeLines="0" w:before="0" w:afterLines="100" w:after="120" w:line="240" w:lineRule="auto"/>
      <w:ind w:firstLineChars="0" w:firstLine="0"/>
      <w:jc w:val="left"/>
      <w:textAlignment w:val="baseline"/>
    </w:pPr>
    <w:rPr>
      <w:rFonts w:ascii="Times New Roman" w:eastAsia="黑体" w:hAnsi="宋体"/>
      <w:b/>
      <w:szCs w:val="18"/>
    </w:rPr>
  </w:style>
  <w:style w:type="paragraph" w:customStyle="1" w:styleId="afffffffffffffffffffc">
    <w:name w:val="中信研究报告－表格标题"/>
    <w:basedOn w:val="-7"/>
    <w:uiPriority w:val="99"/>
    <w:semiHidden/>
    <w:qFormat/>
    <w:pPr>
      <w:tabs>
        <w:tab w:val="center" w:pos="210"/>
      </w:tabs>
      <w:spacing w:before="100" w:after="100" w:line="300" w:lineRule="auto"/>
      <w:ind w:leftChars="100" w:left="100" w:rightChars="100" w:right="210" w:firstLine="0"/>
    </w:pPr>
    <w:rPr>
      <w:rFonts w:hAnsi="Times New Roman"/>
      <w:color w:val="00426C"/>
      <w:szCs w:val="20"/>
    </w:rPr>
  </w:style>
  <w:style w:type="paragraph" w:customStyle="1" w:styleId="CharChar30CharCharCharCharCharCharCharCharCharChar">
    <w:name w:val="Char Char30 Char Char Char Char Char Char Char Char Char Char"/>
    <w:basedOn w:val="a"/>
    <w:semiHidden/>
    <w:qFormat/>
    <w:pPr>
      <w:spacing w:after="160" w:line="240" w:lineRule="exact"/>
    </w:pPr>
    <w:rPr>
      <w:rFonts w:ascii="Verdana" w:eastAsia="Times New Roman" w:hAnsi="Verdana"/>
      <w:sz w:val="20"/>
      <w:szCs w:val="20"/>
      <w:lang w:eastAsia="en-US"/>
    </w:rPr>
  </w:style>
  <w:style w:type="paragraph" w:customStyle="1" w:styleId="Char1CharCharChar1">
    <w:name w:val="Char1 Char Char Char1"/>
    <w:basedOn w:val="a"/>
    <w:semiHidden/>
    <w:qFormat/>
    <w:pPr>
      <w:autoSpaceDE w:val="0"/>
      <w:autoSpaceDN w:val="0"/>
      <w:adjustRightInd w:val="0"/>
      <w:spacing w:after="160" w:line="240" w:lineRule="exact"/>
    </w:pPr>
    <w:rPr>
      <w:rFonts w:ascii="Verdana" w:eastAsia="Times New Roman" w:hAnsi="Verdana"/>
      <w:sz w:val="20"/>
      <w:szCs w:val="20"/>
      <w:lang w:eastAsia="en-US"/>
    </w:rPr>
  </w:style>
  <w:style w:type="paragraph" w:customStyle="1" w:styleId="CM62">
    <w:name w:val="CM62"/>
    <w:basedOn w:val="Default"/>
    <w:next w:val="Default"/>
    <w:uiPriority w:val="99"/>
    <w:semiHidden/>
    <w:qFormat/>
    <w:rPr>
      <w:rFonts w:ascii="隶书" w:eastAsia="隶书" w:cs="Times New Roman"/>
      <w:color w:val="auto"/>
    </w:rPr>
  </w:style>
  <w:style w:type="paragraph" w:customStyle="1" w:styleId="CM65">
    <w:name w:val="CM65"/>
    <w:basedOn w:val="Default"/>
    <w:next w:val="Default"/>
    <w:uiPriority w:val="99"/>
    <w:semiHidden/>
    <w:qFormat/>
    <w:pPr>
      <w:spacing w:line="256" w:lineRule="atLeast"/>
    </w:pPr>
    <w:rPr>
      <w:rFonts w:ascii="隶书" w:eastAsia="隶书" w:cs="Times New Roman"/>
      <w:color w:val="auto"/>
    </w:rPr>
  </w:style>
  <w:style w:type="paragraph" w:customStyle="1" w:styleId="020">
    <w:name w:val="02中信_标题二"/>
    <w:basedOn w:val="a"/>
    <w:uiPriority w:val="99"/>
    <w:semiHidden/>
    <w:qFormat/>
    <w:pPr>
      <w:tabs>
        <w:tab w:val="right" w:pos="6840"/>
      </w:tabs>
      <w:spacing w:after="240"/>
      <w:ind w:rightChars="1600" w:right="1600"/>
    </w:pPr>
    <w:rPr>
      <w:rFonts w:eastAsia="黑体"/>
      <w:b/>
      <w:bCs/>
      <w:color w:val="003366"/>
      <w:sz w:val="28"/>
      <w:szCs w:val="28"/>
    </w:rPr>
  </w:style>
  <w:style w:type="paragraph" w:customStyle="1" w:styleId="dddTimesNewRoman175">
    <w:name w:val="样式 样式 ddd + (西文) Times New Roman (中文) 宋体 加粗 首行缩进:  1.75 字符 + (中文..."/>
    <w:basedOn w:val="a"/>
    <w:semiHidden/>
    <w:qFormat/>
    <w:pPr>
      <w:autoSpaceDE w:val="0"/>
      <w:autoSpaceDN w:val="0"/>
      <w:adjustRightInd w:val="0"/>
      <w:spacing w:line="360" w:lineRule="auto"/>
      <w:ind w:firstLineChars="175" w:firstLine="420"/>
    </w:pPr>
    <w:rPr>
      <w:rFonts w:eastAsia="楷体_GB2312"/>
      <w:szCs w:val="20"/>
      <w:lang w:bidi="ne-IN"/>
    </w:rPr>
  </w:style>
  <w:style w:type="paragraph" w:customStyle="1" w:styleId="CharChar3CharChar3">
    <w:name w:val="Char Char3 Char Char3"/>
    <w:basedOn w:val="a"/>
    <w:semiHidden/>
    <w:qFormat/>
    <w:pPr>
      <w:spacing w:after="160" w:line="240" w:lineRule="exact"/>
    </w:pPr>
    <w:rPr>
      <w:rFonts w:ascii="Verdana" w:hAnsi="Verdana" w:cs="Verdana"/>
      <w:sz w:val="20"/>
      <w:szCs w:val="20"/>
      <w:lang w:eastAsia="en-US"/>
    </w:rPr>
  </w:style>
  <w:style w:type="paragraph" w:customStyle="1" w:styleId="xl110">
    <w:name w:val="xl110"/>
    <w:basedOn w:val="a"/>
    <w:semiHidden/>
    <w:qFormat/>
    <w:pPr>
      <w:pBdr>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CharCharCharCharCharChar1Char3">
    <w:name w:val="Char Char Char Char Char Char1 Char3"/>
    <w:basedOn w:val="a"/>
    <w:semiHidden/>
    <w:qFormat/>
    <w:rPr>
      <w:rFonts w:ascii="Tahoma" w:hAnsi="Tahoma"/>
      <w:szCs w:val="20"/>
    </w:rPr>
  </w:style>
  <w:style w:type="paragraph" w:customStyle="1" w:styleId="afffffffffffffffffffd">
    <w:name w:val="前言、引言标题"/>
    <w:next w:val="a"/>
    <w:semiHidden/>
    <w:qFormat/>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3ff5">
    <w:name w:val="批注框文本3"/>
    <w:basedOn w:val="a"/>
    <w:semiHidden/>
    <w:qFormat/>
    <w:rPr>
      <w:rFonts w:ascii="Tahoma" w:eastAsia="华文楷体" w:hAnsi="Tahoma" w:cs="Tahoma"/>
      <w:sz w:val="16"/>
      <w:szCs w:val="16"/>
      <w:lang w:val="en-GB"/>
    </w:rPr>
  </w:style>
  <w:style w:type="paragraph" w:customStyle="1" w:styleId="Char90">
    <w:name w:val="Char9"/>
    <w:basedOn w:val="a"/>
    <w:semiHidden/>
    <w:qFormat/>
    <w:pPr>
      <w:spacing w:after="160" w:line="240" w:lineRule="exact"/>
    </w:pPr>
    <w:rPr>
      <w:szCs w:val="20"/>
    </w:rPr>
  </w:style>
  <w:style w:type="paragraph" w:customStyle="1" w:styleId="3ff6">
    <w:name w:val="列出段落3"/>
    <w:basedOn w:val="a"/>
    <w:uiPriority w:val="34"/>
    <w:semiHidden/>
    <w:qFormat/>
    <w:pPr>
      <w:ind w:firstLineChars="200" w:firstLine="420"/>
    </w:pPr>
    <w:rPr>
      <w:rFonts w:ascii="Calibri" w:hAnsi="Calibri"/>
      <w:szCs w:val="22"/>
    </w:rPr>
  </w:style>
  <w:style w:type="paragraph" w:customStyle="1" w:styleId="10505">
    <w:name w:val="样式 样式 标题1 + 段前: 0.5 行 + 段前: 0.5 行"/>
    <w:basedOn w:val="1051"/>
    <w:semiHidden/>
    <w:qFormat/>
    <w:pPr>
      <w:spacing w:before="120"/>
    </w:pPr>
  </w:style>
  <w:style w:type="paragraph" w:customStyle="1" w:styleId="CharChar1CharCharCharChar1CharCharChar12">
    <w:name w:val="Char Char1 Char Char Char Char1 Char Char Char12"/>
    <w:basedOn w:val="a"/>
    <w:semiHidden/>
    <w:qFormat/>
    <w:pPr>
      <w:autoSpaceDE w:val="0"/>
      <w:autoSpaceDN w:val="0"/>
      <w:adjustRightInd w:val="0"/>
    </w:pPr>
  </w:style>
  <w:style w:type="paragraph" w:customStyle="1" w:styleId="CharCharCharCharCharCharChar12">
    <w:name w:val="Char Char Char Char Char Char Char12"/>
    <w:basedOn w:val="a"/>
    <w:semiHidden/>
    <w:qFormat/>
    <w:pPr>
      <w:autoSpaceDE w:val="0"/>
      <w:autoSpaceDN w:val="0"/>
      <w:adjustRightInd w:val="0"/>
    </w:pPr>
  </w:style>
  <w:style w:type="paragraph" w:customStyle="1" w:styleId="6e">
    <w:name w:val="列出段落6"/>
    <w:basedOn w:val="a"/>
    <w:uiPriority w:val="34"/>
    <w:semiHidden/>
    <w:qFormat/>
    <w:pPr>
      <w:ind w:firstLineChars="200" w:firstLine="420"/>
    </w:pPr>
    <w:rPr>
      <w:rFonts w:ascii="Calibri" w:hAnsi="Calibri"/>
      <w:szCs w:val="22"/>
    </w:rPr>
  </w:style>
  <w:style w:type="paragraph" w:customStyle="1" w:styleId="CM98">
    <w:name w:val="CM98"/>
    <w:basedOn w:val="Default"/>
    <w:next w:val="Default"/>
    <w:semiHidden/>
    <w:qFormat/>
    <w:pPr>
      <w:spacing w:after="362"/>
    </w:pPr>
    <w:rPr>
      <w:rFonts w:ascii="隶书" w:eastAsia="隶书" w:cs="Times New Roman"/>
      <w:color w:val="auto"/>
    </w:rPr>
  </w:style>
  <w:style w:type="paragraph" w:customStyle="1" w:styleId="CM149">
    <w:name w:val="CM149"/>
    <w:basedOn w:val="Default"/>
    <w:next w:val="Default"/>
    <w:semiHidden/>
    <w:qFormat/>
    <w:pPr>
      <w:spacing w:after="420"/>
      <w:jc w:val="both"/>
    </w:pPr>
    <w:rPr>
      <w:rFonts w:ascii=".a...D.." w:eastAsia=".a...D.." w:cs="Times New Roman"/>
      <w:color w:val="auto"/>
    </w:rPr>
  </w:style>
  <w:style w:type="paragraph" w:customStyle="1" w:styleId="love1">
    <w:name w:val="love1"/>
    <w:basedOn w:val="a"/>
    <w:semiHidden/>
    <w:qFormat/>
    <w:pPr>
      <w:spacing w:beforeAutospacing="1" w:after="100" w:afterAutospacing="1"/>
    </w:pPr>
    <w:rPr>
      <w:b/>
      <w:bCs/>
      <w:color w:val="FF0000"/>
      <w:sz w:val="135"/>
      <w:szCs w:val="135"/>
    </w:rPr>
  </w:style>
  <w:style w:type="paragraph" w:customStyle="1" w:styleId="similarquerysuggesthover2">
    <w:name w:val="similarquerysuggest_hover2"/>
    <w:basedOn w:val="a"/>
    <w:semiHidden/>
    <w:qFormat/>
    <w:pPr>
      <w:shd w:val="clear" w:color="auto" w:fill="E8F2FE"/>
      <w:spacing w:beforeAutospacing="1" w:after="100" w:afterAutospacing="1"/>
    </w:pPr>
  </w:style>
  <w:style w:type="paragraph" w:customStyle="1" w:styleId="afffffffffffffffffffe">
    <w:name w:val="新标题样式"/>
    <w:basedOn w:val="a"/>
    <w:semiHidden/>
    <w:qFormat/>
    <w:pPr>
      <w:tabs>
        <w:tab w:val="left" w:pos="567"/>
      </w:tabs>
      <w:spacing w:line="360" w:lineRule="auto"/>
    </w:pPr>
    <w:rPr>
      <w:rFonts w:eastAsia="黑体"/>
      <w:b/>
      <w:spacing w:val="20"/>
      <w:szCs w:val="20"/>
    </w:rPr>
  </w:style>
  <w:style w:type="paragraph" w:customStyle="1" w:styleId="CharChar1CharCharCharCharCharCharCharCharCharCharCharCharChar1CharCharCharCharCharCharCharCharCharCharCharCharCharChar1CharCharCharCharCharCharCharCharCharCharCharChar1CharCharCharCharCharChar10">
    <w:name w:val="Char Char1 Char Char Char Char Char Char Char Char Char Char Char Char Char1 Char Char Char Char Char Char Char Char Char Char Char Char Char Char1 Char Char Char Char Char Char Char Char Char Char Char Char1 Char Char Char Char Char Char10"/>
    <w:basedOn w:val="a"/>
    <w:semiHidden/>
    <w:qFormat/>
    <w:pPr>
      <w:autoSpaceDE w:val="0"/>
      <w:autoSpaceDN w:val="0"/>
      <w:adjustRightInd w:val="0"/>
      <w:spacing w:after="160" w:line="240" w:lineRule="exact"/>
    </w:pPr>
    <w:rPr>
      <w:rFonts w:ascii="Verdana" w:eastAsia="Times New Roman" w:hAnsi="Verdana"/>
      <w:sz w:val="20"/>
      <w:szCs w:val="20"/>
      <w:lang w:eastAsia="en-US"/>
    </w:rPr>
  </w:style>
  <w:style w:type="paragraph" w:customStyle="1" w:styleId="CM148">
    <w:name w:val="CM148"/>
    <w:basedOn w:val="Default"/>
    <w:next w:val="Default"/>
    <w:semiHidden/>
    <w:qFormat/>
    <w:pPr>
      <w:spacing w:after="303"/>
      <w:jc w:val="both"/>
    </w:pPr>
    <w:rPr>
      <w:rFonts w:ascii=".a...D.." w:eastAsia=".a...D.." w:cs="Times New Roman"/>
      <w:color w:val="auto"/>
    </w:rPr>
  </w:style>
  <w:style w:type="paragraph" w:customStyle="1" w:styleId="CharChar30CharCharCharCharCharCharCharCharCharCharCharChar1CharCharCharCharCharCharCharChar9">
    <w:name w:val="Char Char30 Char Char Char Char Char Char Char Char Char Char Char Char1 Char Char Char Char Char Char Char Char9"/>
    <w:basedOn w:val="a"/>
    <w:semiHidden/>
    <w:qFormat/>
    <w:pPr>
      <w:spacing w:after="160" w:line="240" w:lineRule="exact"/>
    </w:pPr>
    <w:rPr>
      <w:rFonts w:ascii="Verdana" w:eastAsia="Times New Roman" w:hAnsi="Verdana"/>
      <w:sz w:val="20"/>
      <w:szCs w:val="20"/>
      <w:lang w:eastAsia="en-US"/>
    </w:rPr>
  </w:style>
  <w:style w:type="paragraph" w:customStyle="1" w:styleId="CharChar4CharCharCharCharCharChar1">
    <w:name w:val="Char Char4 Char Char Char Char Char Char1"/>
    <w:basedOn w:val="a"/>
    <w:semiHidden/>
    <w:qFormat/>
    <w:pPr>
      <w:spacing w:after="160" w:line="240" w:lineRule="exact"/>
    </w:pPr>
    <w:rPr>
      <w:rFonts w:ascii="Verdana" w:hAnsi="Verdana" w:cs="Verdana"/>
      <w:sz w:val="20"/>
      <w:szCs w:val="20"/>
      <w:lang w:eastAsia="en-US"/>
    </w:rPr>
  </w:style>
  <w:style w:type="table" w:customStyle="1" w:styleId="331">
    <w:name w:val="典雅型33"/>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PPStable1111">
    <w:name w:val="PPS table1111"/>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2130">
    <w:name w:val="表格主题213"/>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网格型9"/>
    <w:basedOn w:val="a1"/>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2">
    <w:name w:val="Table Professional2"/>
    <w:basedOn w:val="a1"/>
    <w:semiHidden/>
    <w:pPr>
      <w:widowControl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1">
    <w:name w:val="典雅型2111"/>
    <w:basedOn w:val="a1"/>
    <w:semiHidden/>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f">
    <w:name w:val="列表型 11"/>
    <w:basedOn w:val="a1"/>
    <w:uiPriority w:val="99"/>
    <w:semiHidden/>
    <w:qFormat/>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14">
    <w:name w:val="网格型22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4">
    <w:name w:val="列表型 3314"/>
    <w:basedOn w:val="a1"/>
    <w:semiHidden/>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31">
    <w:name w:val="典雅型23"/>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83">
    <w:name w:val="网格型18"/>
    <w:basedOn w:val="a1"/>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网格型22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
    <w:name w:val="列表型 3313"/>
    <w:basedOn w:val="a1"/>
    <w:semiHidden/>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222">
    <w:name w:val="简明型 2222"/>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4">
    <w:name w:val="表格主题1214"/>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b">
    <w:name w:val="网格型7"/>
    <w:basedOn w:val="a1"/>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简明型 22112"/>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2">
    <w:name w:val="典雅型41"/>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PPStable132">
    <w:name w:val="PPS table132"/>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1250">
    <w:name w:val="网格型125"/>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
    <w:name w:val="列表型 31111"/>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250">
    <w:name w:val="列表型 325"/>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114">
    <w:name w:val="表格主题2114"/>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网格型122"/>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表格主题1111"/>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典雅型111"/>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114">
    <w:name w:val="简明型 11114"/>
    <w:basedOn w:val="a1"/>
    <w:semiHidden/>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42">
    <w:name w:val="表格主题24"/>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简明型 231"/>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614">
    <w:name w:val="网格型6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典雅型1115"/>
    <w:basedOn w:val="a1"/>
    <w:semiHidden/>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1121">
    <w:name w:val="简明型 21121"/>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114">
    <w:name w:val="网格型5114"/>
    <w:basedOn w:val="a1"/>
    <w:uiPriority w:val="59"/>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列表型 32"/>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1122">
    <w:name w:val="网格型11122"/>
    <w:basedOn w:val="a1"/>
    <w:semiHidden/>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5">
    <w:name w:val="网格型145"/>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6">
    <w:name w:val="网格型136"/>
    <w:basedOn w:val="a1"/>
    <w:uiPriority w:val="59"/>
    <w:semiHidden/>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表格主题115"/>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表格主题15"/>
    <w:basedOn w:val="a1"/>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网格型4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表格主题313"/>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表格主题114"/>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列表型 3131"/>
    <w:basedOn w:val="a1"/>
    <w:semiHidden/>
    <w:qFormat/>
    <w:tblPr>
      <w:tblBorders>
        <w:top w:val="single" w:sz="2" w:space="0" w:color="000000"/>
        <w:bottom w:val="single" w:sz="2" w:space="0" w:color="000000"/>
      </w:tblBorders>
    </w:tbl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tcPr>
    </w:tblStylePr>
    <w:tblStylePr w:type="lastRow">
      <w:tblPr/>
      <w:tcPr>
        <w:tcBorders>
          <w:top w:val="nil"/>
          <w:left w:val="nil"/>
          <w:bottom w:val="single" w:sz="2" w:space="0" w:color="000000"/>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112">
    <w:name w:val="典雅型2112"/>
    <w:basedOn w:val="a1"/>
    <w:semiHidden/>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260">
    <w:name w:val="网格型126"/>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f">
    <w:name w:val="表格主题6"/>
    <w:basedOn w:val="a1"/>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简明型 1213"/>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125">
    <w:name w:val="网格型1125"/>
    <w:basedOn w:val="a1"/>
    <w:semiHidden/>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0">
    <w:name w:val="网格型134"/>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典雅型35"/>
    <w:basedOn w:val="a1"/>
    <w:semiHidden/>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f0">
    <w:name w:val="立体型 11"/>
    <w:basedOn w:val="a1"/>
    <w:uiPriority w:val="99"/>
    <w:semiHidden/>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43">
    <w:name w:val="网格型2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5">
    <w:name w:val="网格型11125"/>
    <w:basedOn w:val="a1"/>
    <w:semiHidden/>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古典型 31"/>
    <w:basedOn w:val="a1"/>
    <w:uiPriority w:val="99"/>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135">
    <w:name w:val="网格型135"/>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59"/>
    <w:qFormat/>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1">
    <w:name w:val="彩色型 11"/>
    <w:basedOn w:val="a1"/>
    <w:uiPriority w:val="99"/>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1113">
    <w:name w:val="列表型 31113"/>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ffff0">
    <w:name w:val="表格主题2"/>
    <w:basedOn w:val="a1"/>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列表型 3312"/>
    <w:basedOn w:val="a1"/>
    <w:semiHidden/>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612">
    <w:name w:val="列表型 61"/>
    <w:basedOn w:val="a1"/>
    <w:uiPriority w:val="99"/>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style>
  <w:style w:type="table" w:customStyle="1" w:styleId="613">
    <w:name w:val="网格型6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典雅型34"/>
    <w:basedOn w:val="a1"/>
    <w:semiHidden/>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730">
    <w:name w:val="网格型73"/>
    <w:basedOn w:val="a1"/>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网格型17"/>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
    <w:name w:val="简明型 2123"/>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d">
    <w:name w:val="列表型 21"/>
    <w:basedOn w:val="a1"/>
    <w:uiPriority w:val="99"/>
    <w:semiHidden/>
    <w:tblPr>
      <w:tblStyleRowBandSize w:val="2"/>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16">
    <w:name w:val="简明型 2116"/>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6">
    <w:name w:val="网格型14"/>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2">
    <w:name w:val="网格型11212"/>
    <w:basedOn w:val="a1"/>
    <w:semiHidden/>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网格型112"/>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4">
    <w:name w:val="简明型 1314"/>
    <w:basedOn w:val="a1"/>
    <w:semiHidden/>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131">
    <w:name w:val="简明型 2131"/>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80">
    <w:name w:val="简明型 28"/>
    <w:basedOn w:val="a1"/>
    <w:uiPriority w:val="99"/>
    <w:semiHidden/>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6">
    <w:name w:val="典雅型22"/>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413">
    <w:name w:val="表格主题41"/>
    <w:basedOn w:val="a1"/>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网格型6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网格型523"/>
    <w:basedOn w:val="a1"/>
    <w:uiPriority w:val="59"/>
    <w:semiHidden/>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简明型 11124"/>
    <w:basedOn w:val="a1"/>
    <w:semiHidden/>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123">
    <w:name w:val="典雅型1123"/>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g1">
    <w:name w:val="g1"/>
    <w:uiPriority w:val="99"/>
    <w:unhideWhenUsed/>
    <w:qFormat/>
    <w:tblPr>
      <w:tblCellMar>
        <w:top w:w="0" w:type="dxa"/>
        <w:left w:w="108" w:type="dxa"/>
        <w:bottom w:w="0" w:type="dxa"/>
        <w:right w:w="108" w:type="dxa"/>
      </w:tblCellMar>
    </w:tblPr>
  </w:style>
  <w:style w:type="table" w:customStyle="1" w:styleId="129">
    <w:name w:val="表格主题12"/>
    <w:basedOn w:val="a1"/>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简明型 215"/>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PPStable124">
    <w:name w:val="PPS table124"/>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PPStable17">
    <w:name w:val="PPS table17"/>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hAnsi="微软雅黑"/>
        <w:b/>
        <w:sz w:val="21"/>
      </w:rPr>
      <w:tblPr>
        <w:jc w:val="center"/>
      </w:tblPr>
      <w:trPr>
        <w:jc w:val="center"/>
      </w:trPr>
      <w:tcPr>
        <w:vAlign w:val="center"/>
      </w:tcPr>
    </w:tblStylePr>
  </w:style>
  <w:style w:type="table" w:customStyle="1" w:styleId="PPStable121">
    <w:name w:val="PPS table121"/>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11f2">
    <w:name w:val="典雅型11"/>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1e">
    <w:name w:val="表格主题21"/>
    <w:basedOn w:val="a1"/>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典雅型2114"/>
    <w:basedOn w:val="a1"/>
    <w:semiHidden/>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37">
    <w:name w:val="招股书表格13"/>
    <w:basedOn w:val="a1"/>
    <w:uiPriority w:val="99"/>
    <w:semiHidden/>
    <w:qFormat/>
    <w:pPr>
      <w:jc w:val="center"/>
    </w:pPr>
    <w:tblPr>
      <w:tblBorders>
        <w:top w:val="thinThickSmallGap" w:sz="18" w:space="0" w:color="365F91"/>
        <w:bottom w:val="thickThinSmallGap" w:sz="18" w:space="0" w:color="365F91"/>
        <w:insideH w:val="single" w:sz="6" w:space="0" w:color="365F91"/>
        <w:insideV w:val="single" w:sz="6" w:space="0" w:color="365F91"/>
      </w:tblBorders>
    </w:tblPr>
    <w:tcPr>
      <w:vAlign w:val="center"/>
    </w:tcPr>
    <w:tblStylePr w:type="firstRow">
      <w:tblPr/>
      <w:tcPr>
        <w:shd w:val="clear" w:color="auto" w:fill="DAEEF3"/>
      </w:tcPr>
    </w:tblStylePr>
  </w:style>
  <w:style w:type="table" w:customStyle="1" w:styleId="11111">
    <w:name w:val="简明型 11111"/>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PPStable223">
    <w:name w:val="PPS table223"/>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360">
    <w:name w:val="列表型 36"/>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44">
    <w:name w:val="简明型 24"/>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
    <w:name w:val="表格主题1113"/>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简明型 12114"/>
    <w:basedOn w:val="a1"/>
    <w:semiHidden/>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1f3">
    <w:name w:val="表格主题11"/>
    <w:basedOn w:val="a1"/>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表格主题2112"/>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9">
    <w:name w:val="浅色底纹1"/>
    <w:basedOn w:val="a1"/>
    <w:uiPriority w:val="60"/>
    <w:qFormat/>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PPStable41">
    <w:name w:val="PPS table41"/>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1" w:afterLines="0" w:afterAutospacing="1" w:line="240" w:lineRule="auto"/>
      </w:pPr>
      <w:rPr>
        <w:rFonts w:ascii="微软雅黑" w:eastAsia="等线 Light" w:hAnsi="微软雅黑" w:cs="微软雅黑" w:hint="default"/>
        <w:b/>
        <w:sz w:val="21"/>
        <w:szCs w:val="21"/>
      </w:rPr>
      <w:tblPr/>
      <w:tcPr>
        <w:vAlign w:val="center"/>
      </w:tcPr>
    </w:tblStylePr>
  </w:style>
  <w:style w:type="table" w:customStyle="1" w:styleId="820">
    <w:name w:val="网格型82"/>
    <w:basedOn w:val="a1"/>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简明型 135"/>
    <w:basedOn w:val="a1"/>
    <w:semiHidden/>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132">
    <w:name w:val="网格型2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简明型 1134"/>
    <w:basedOn w:val="a1"/>
    <w:semiHidden/>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3120">
    <w:name w:val="网格型3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简明型 233"/>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g12">
    <w:name w:val="g12"/>
    <w:uiPriority w:val="99"/>
    <w:unhideWhenUsed/>
    <w:qFormat/>
    <w:tblPr>
      <w:tblCellMar>
        <w:top w:w="0" w:type="dxa"/>
        <w:left w:w="108" w:type="dxa"/>
        <w:bottom w:w="0" w:type="dxa"/>
        <w:right w:w="108" w:type="dxa"/>
      </w:tblCellMar>
    </w:tblPr>
  </w:style>
  <w:style w:type="table" w:customStyle="1" w:styleId="513">
    <w:name w:val="网格型 51"/>
    <w:basedOn w:val="a1"/>
    <w:semiHidden/>
    <w:qFormat/>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30">
    <w:name w:val="简明型 1113"/>
    <w:basedOn w:val="a1"/>
    <w:semiHidden/>
    <w:qFormat/>
    <w:pPr>
      <w:widowControl w:val="0"/>
      <w:autoSpaceDE w:val="0"/>
      <w:autoSpaceDN w:val="0"/>
      <w:adjustRightInd w:val="0"/>
    </w:pPr>
    <w:tblPr>
      <w:tblBorders>
        <w:top w:val="single" w:sz="12" w:space="0" w:color="008000"/>
        <w:bottom w:val="single" w:sz="12" w:space="0" w:color="008000"/>
      </w:tblBorders>
    </w:tbl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3132">
    <w:name w:val="网格型3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简明型 1313"/>
    <w:basedOn w:val="a1"/>
    <w:semiHidden/>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341">
    <w:name w:val="表格主题134"/>
    <w:basedOn w:val="a1"/>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1">
    <w:name w:val="典雅型2"/>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30">
    <w:name w:val="网格型113"/>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60">
    <w:name w:val="网格型2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0">
    <w:name w:val="网格型1314"/>
    <w:basedOn w:val="a1"/>
    <w:semiHidden/>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
    <w:name w:val="网格型1212"/>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3">
    <w:name w:val="简明型 211113"/>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111">
    <w:name w:val="网格型5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表格主题1122"/>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简明型 132"/>
    <w:basedOn w:val="a1"/>
    <w:semiHidden/>
    <w:qFormat/>
    <w:pPr>
      <w:widowControl w:val="0"/>
      <w:autoSpaceDE w:val="0"/>
      <w:autoSpaceDN w:val="0"/>
      <w:adjustRightInd w:val="0"/>
    </w:pPr>
    <w:tblPr>
      <w:tblBorders>
        <w:top w:val="single" w:sz="12" w:space="0" w:color="008000"/>
        <w:bottom w:val="single" w:sz="12" w:space="0" w:color="008000"/>
      </w:tblBorders>
    </w:tbl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PPStable22">
    <w:name w:val="PPS table22"/>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1124">
    <w:name w:val="网格型1124"/>
    <w:basedOn w:val="a1"/>
    <w:semiHidden/>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5">
    <w:name w:val="典雅型24"/>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63">
    <w:name w:val="简明型 16"/>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121">
    <w:name w:val="网格型21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网格型75"/>
    <w:basedOn w:val="a1"/>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网格型5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PStable31">
    <w:name w:val="PPS table31"/>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158">
    <w:name w:val="典雅型15"/>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240">
    <w:name w:val="网格型22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典雅型112"/>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241">
    <w:name w:val="简明型 224"/>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PPStable1112">
    <w:name w:val="PPS table1112"/>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1" w:afterLines="0" w:afterAutospacing="1" w:line="240" w:lineRule="auto"/>
      </w:pPr>
      <w:rPr>
        <w:rFonts w:ascii="微软雅黑" w:eastAsia="等线 Light" w:hAnsi="微软雅黑" w:cs="微软雅黑" w:hint="default"/>
        <w:b/>
        <w:sz w:val="21"/>
        <w:szCs w:val="21"/>
      </w:rPr>
      <w:tblPr/>
      <w:tcPr>
        <w:vAlign w:val="center"/>
      </w:tcPr>
    </w:tblStylePr>
  </w:style>
  <w:style w:type="table" w:customStyle="1" w:styleId="3140">
    <w:name w:val="表格主题314"/>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典雅型115"/>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111">
    <w:name w:val="列表型 3111"/>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4111">
    <w:name w:val="网格型4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3">
    <w:name w:val="Table Professional3"/>
    <w:basedOn w:val="a1"/>
    <w:semiHidden/>
    <w:pPr>
      <w:widowControl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1140">
    <w:name w:val="网格型12114"/>
    <w:basedOn w:val="a1"/>
    <w:semiHidden/>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fff2">
    <w:name w:val="招股书表格2"/>
    <w:basedOn w:val="a1"/>
    <w:uiPriority w:val="99"/>
    <w:semiHidden/>
    <w:qFormat/>
    <w:pPr>
      <w:jc w:val="center"/>
    </w:pPr>
    <w:tblPr>
      <w:tblBorders>
        <w:top w:val="thinThickSmallGap" w:sz="12" w:space="0" w:color="auto"/>
        <w:bottom w:val="thickThinSmallGap" w:sz="12" w:space="0" w:color="auto"/>
        <w:insideH w:val="single" w:sz="4" w:space="0" w:color="000000"/>
        <w:insideV w:val="single" w:sz="4" w:space="0" w:color="000000"/>
      </w:tblBorders>
    </w:tblPr>
    <w:tcPr>
      <w:vAlign w:val="center"/>
    </w:tcPr>
  </w:style>
  <w:style w:type="table" w:customStyle="1" w:styleId="11112">
    <w:name w:val="网格型11112"/>
    <w:basedOn w:val="a1"/>
    <w:semiHidden/>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4">
    <w:name w:val="简明型 18"/>
    <w:basedOn w:val="a1"/>
    <w:semiHidden/>
    <w:qFormat/>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PPStable33">
    <w:name w:val="PPS table33"/>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2122">
    <w:name w:val="简明型 2122"/>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61">
    <w:name w:val="网格型3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简明型 11115"/>
    <w:basedOn w:val="a1"/>
    <w:semiHidden/>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31214">
    <w:name w:val="列表型 31214"/>
    <w:basedOn w:val="a1"/>
    <w:semiHidden/>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34">
    <w:name w:val="网格型23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网格型31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网格型110"/>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40">
    <w:name w:val="表格主题11114"/>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2">
    <w:name w:val="表格主题224"/>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简明型 2313"/>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PPStable11">
    <w:name w:val="PPS table11"/>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32114">
    <w:name w:val="列表型 32114"/>
    <w:basedOn w:val="a1"/>
    <w:semiHidden/>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1116">
    <w:name w:val="网格型11116"/>
    <w:basedOn w:val="a1"/>
    <w:semiHidden/>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PStable314">
    <w:name w:val="PPS table314"/>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hAnsi="微软雅黑"/>
        <w:b/>
        <w:sz w:val="21"/>
      </w:rPr>
      <w:tblPr>
        <w:jc w:val="center"/>
      </w:tblPr>
      <w:trPr>
        <w:jc w:val="center"/>
      </w:trPr>
      <w:tcPr>
        <w:vAlign w:val="center"/>
      </w:tcPr>
    </w:tblStylePr>
  </w:style>
  <w:style w:type="table" w:customStyle="1" w:styleId="138">
    <w:name w:val="网格型13"/>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5">
    <w:name w:val="简明型 2215"/>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PPStable131">
    <w:name w:val="PPS table131"/>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1" w:afterLines="0" w:afterAutospacing="1" w:line="240" w:lineRule="auto"/>
      </w:pPr>
      <w:rPr>
        <w:rFonts w:ascii="微软雅黑" w:eastAsia="等线 Light" w:hAnsi="微软雅黑" w:cs="微软雅黑" w:hint="default"/>
        <w:b/>
        <w:sz w:val="21"/>
        <w:szCs w:val="21"/>
      </w:rPr>
      <w:tblPr/>
      <w:tcPr>
        <w:vAlign w:val="center"/>
      </w:tcPr>
    </w:tblStylePr>
  </w:style>
  <w:style w:type="table" w:customStyle="1" w:styleId="2221">
    <w:name w:val="简明型 222"/>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0">
    <w:name w:val="表格主题1112"/>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网格型3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列表型 3125"/>
    <w:basedOn w:val="a1"/>
    <w:semiHidden/>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15">
    <w:name w:val="网格型5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3">
    <w:name w:val="列表型 31213"/>
    <w:basedOn w:val="a1"/>
    <w:semiHidden/>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112">
    <w:name w:val="网格型5112"/>
    <w:basedOn w:val="a1"/>
    <w:uiPriority w:val="59"/>
    <w:semiHidden/>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网格型12113"/>
    <w:basedOn w:val="a1"/>
    <w:semiHidden/>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PStable43">
    <w:name w:val="PPS table43"/>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2140">
    <w:name w:val="典雅型214"/>
    <w:basedOn w:val="a1"/>
    <w:semiHidden/>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460">
    <w:name w:val="网格型4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PStable16">
    <w:name w:val="PPS table16"/>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11210">
    <w:name w:val="表格主题1121"/>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网格型3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表格主题1123"/>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简明型 234"/>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4">
    <w:name w:val="典雅型32"/>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450">
    <w:name w:val="网格型4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3">
    <w:name w:val="列表型 32113"/>
    <w:basedOn w:val="a1"/>
    <w:semiHidden/>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4f7">
    <w:name w:val="网格型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简明型 134"/>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1131">
    <w:name w:val="典雅型1113"/>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113">
    <w:name w:val="网格型21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列表型 3212"/>
    <w:basedOn w:val="a1"/>
    <w:semiHidden/>
    <w:qFormat/>
    <w:tblPr>
      <w:tblBorders>
        <w:top w:val="single" w:sz="2" w:space="0" w:color="000000"/>
        <w:bottom w:val="single" w:sz="2" w:space="0" w:color="000000"/>
      </w:tblBorders>
    </w:tbl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tcPr>
    </w:tblStylePr>
    <w:tblStylePr w:type="lastRow">
      <w:tblPr/>
      <w:tcPr>
        <w:tcBorders>
          <w:top w:val="nil"/>
          <w:left w:val="nil"/>
          <w:bottom w:val="single" w:sz="2" w:space="0" w:color="000000"/>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811">
    <w:name w:val="网格型81"/>
    <w:basedOn w:val="a1"/>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网格型23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简明型 122"/>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11113">
    <w:name w:val="简明型 111113"/>
    <w:basedOn w:val="a1"/>
    <w:semiHidden/>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1231">
    <w:name w:val="简明型 1123"/>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133">
    <w:name w:val="典雅型213"/>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7c">
    <w:name w:val="表格主题7"/>
    <w:basedOn w:val="a1"/>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网格型115"/>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PStable212">
    <w:name w:val="PPS table212"/>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1" w:afterLines="0" w:afterAutospacing="1" w:line="240" w:lineRule="auto"/>
      </w:pPr>
      <w:rPr>
        <w:rFonts w:ascii="微软雅黑" w:eastAsia="等线 Light" w:hAnsi="微软雅黑" w:cs="微软雅黑" w:hint="default"/>
        <w:b/>
        <w:sz w:val="21"/>
        <w:szCs w:val="21"/>
      </w:rPr>
      <w:tblPr/>
      <w:tcPr>
        <w:vAlign w:val="center"/>
      </w:tcPr>
    </w:tblStylePr>
  </w:style>
  <w:style w:type="table" w:customStyle="1" w:styleId="147">
    <w:name w:val="简明型 14"/>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11240">
    <w:name w:val="网格型11124"/>
    <w:basedOn w:val="a1"/>
    <w:semiHidden/>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PStable312">
    <w:name w:val="PPS table312"/>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11150">
    <w:name w:val="网格型1115"/>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网格型6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网格型5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简明型 111"/>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440">
    <w:name w:val="网格型4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典雅型313"/>
    <w:basedOn w:val="a1"/>
    <w:semiHidden/>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141">
    <w:name w:val="网格型2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典雅型114"/>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39">
    <w:name w:val="表格主题13"/>
    <w:basedOn w:val="a1"/>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PStable222">
    <w:name w:val="PPS table222"/>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260">
    <w:name w:val="典雅型26"/>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116">
    <w:name w:val="列表型 3116"/>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123">
    <w:name w:val="列表型 31123"/>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240">
    <w:name w:val="网格型32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简明型 235"/>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11">
    <w:name w:val="网格型2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
    <w:name w:val="简明型 21114"/>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0">
    <w:name w:val="网格型131"/>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PStable5">
    <w:name w:val="PPS table5"/>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1" w:afterLines="0" w:afterAutospacing="1" w:line="240" w:lineRule="auto"/>
      </w:pPr>
      <w:rPr>
        <w:rFonts w:ascii="微软雅黑" w:eastAsia="等线 Light" w:hAnsi="微软雅黑" w:cs="微软雅黑" w:hint="default"/>
        <w:b/>
        <w:sz w:val="21"/>
        <w:szCs w:val="21"/>
      </w:rPr>
      <w:tblPr/>
      <w:tcPr>
        <w:vAlign w:val="center"/>
      </w:tcPr>
    </w:tblStylePr>
  </w:style>
  <w:style w:type="table" w:customStyle="1" w:styleId="318">
    <w:name w:val="竖列型 31"/>
    <w:basedOn w:val="a1"/>
    <w:uiPriority w:val="99"/>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522">
    <w:name w:val="网格型522"/>
    <w:basedOn w:val="a1"/>
    <w:uiPriority w:val="59"/>
    <w:semiHidden/>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9">
    <w:name w:val="网格型15"/>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2">
    <w:name w:val="列表型 31122"/>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51">
    <w:name w:val="表格主题35"/>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6">
    <w:name w:val="g16"/>
    <w:uiPriority w:val="99"/>
    <w:unhideWhenUsed/>
    <w:tblPr>
      <w:tblCellMar>
        <w:top w:w="0" w:type="dxa"/>
        <w:left w:w="108" w:type="dxa"/>
        <w:bottom w:w="0" w:type="dxa"/>
        <w:right w:w="108" w:type="dxa"/>
      </w:tblCellMar>
    </w:tblPr>
  </w:style>
  <w:style w:type="table" w:customStyle="1" w:styleId="236">
    <w:name w:val="表格主题23"/>
    <w:basedOn w:val="a1"/>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表格主题11111"/>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样式22"/>
    <w:basedOn w:val="a1"/>
    <w:uiPriority w:val="99"/>
    <w:semiHidden/>
    <w:qFormat/>
    <w:tblPr/>
  </w:style>
  <w:style w:type="table" w:customStyle="1" w:styleId="1230">
    <w:name w:val="简明型 123"/>
    <w:basedOn w:val="a1"/>
    <w:semiHidden/>
    <w:qFormat/>
    <w:pPr>
      <w:widowControl w:val="0"/>
      <w:autoSpaceDE w:val="0"/>
      <w:autoSpaceDN w:val="0"/>
      <w:adjustRightInd w:val="0"/>
    </w:pPr>
    <w:tblPr>
      <w:tblBorders>
        <w:top w:val="single" w:sz="12" w:space="0" w:color="008000"/>
        <w:bottom w:val="single" w:sz="12" w:space="0" w:color="008000"/>
      </w:tblBorders>
    </w:tbl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6f0">
    <w:name w:val="典雅型6"/>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121">
    <w:name w:val="网格型1112"/>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0">
    <w:name w:val="网格型11121"/>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表格主题1211"/>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简明型 242"/>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92">
    <w:name w:val="网格型19"/>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0">
    <w:name w:val="网格型2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
    <w:name w:val="典雅型11114"/>
    <w:basedOn w:val="a1"/>
    <w:semiHidden/>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ff7">
    <w:name w:val="招股书表格3"/>
    <w:basedOn w:val="a1"/>
    <w:uiPriority w:val="99"/>
    <w:semiHidden/>
    <w:qFormat/>
    <w:pPr>
      <w:jc w:val="center"/>
    </w:pPr>
    <w:tblPr>
      <w:tblBorders>
        <w:top w:val="thinThickSmallGap" w:sz="12" w:space="0" w:color="auto"/>
        <w:bottom w:val="thickThinSmallGap" w:sz="12" w:space="0" w:color="auto"/>
        <w:insideH w:val="single" w:sz="4" w:space="0" w:color="000000"/>
        <w:insideV w:val="single" w:sz="4" w:space="0" w:color="000000"/>
      </w:tblBorders>
    </w:tblPr>
    <w:tcPr>
      <w:vAlign w:val="center"/>
    </w:tcPr>
  </w:style>
  <w:style w:type="table" w:customStyle="1" w:styleId="420">
    <w:name w:val="网格型4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网格型6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4">
    <w:name w:val="简明型 21214"/>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4">
    <w:name w:val="网格型1224"/>
    <w:basedOn w:val="a1"/>
    <w:semiHidden/>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10">
    <w:name w:val="简明型 2311"/>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
    <w:name w:val="表格主题113"/>
    <w:basedOn w:val="a1"/>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典雅型215"/>
    <w:basedOn w:val="a1"/>
    <w:semiHidden/>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260">
    <w:name w:val="简明型 226"/>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330">
    <w:name w:val="列表型 3133"/>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1111">
    <w:name w:val="网格型21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简明型 1125"/>
    <w:basedOn w:val="a1"/>
    <w:semiHidden/>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135">
    <w:name w:val="网格型1135"/>
    <w:basedOn w:val="a1"/>
    <w:semiHidden/>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表格主题44"/>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简明型 21111"/>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3">
    <w:name w:val="网格型11113"/>
    <w:basedOn w:val="a1"/>
    <w:semiHidden/>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50">
    <w:name w:val="网格型11115"/>
    <w:basedOn w:val="a1"/>
    <w:semiHidden/>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9">
    <w:name w:val="网格表 31"/>
    <w:basedOn w:val="a1"/>
    <w:uiPriority w:val="48"/>
    <w:semiHidden/>
    <w:rPr>
      <w:rFonts w:ascii="Calibri" w:hAnsi="Calibri"/>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bottom w:val="nil"/>
          <w:right w:val="nil"/>
          <w:insideH w:val="nil"/>
          <w:insideV w:val="nil"/>
          <w:tl2br w:val="nil"/>
          <w:tr2bl w:val="nil"/>
        </w:tcBorders>
        <w:shd w:val="clear" w:color="auto" w:fill="FFFFFF"/>
      </w:tcPr>
    </w:tblStylePr>
    <w:tblStylePr w:type="lastRow">
      <w:rPr>
        <w:b/>
        <w:bCs/>
      </w:rPr>
      <w:tblPr/>
      <w:tcPr>
        <w:tcBorders>
          <w:top w:val="nil"/>
          <w:left w:val="nil"/>
          <w:bottom w:val="nil"/>
          <w:right w:val="nil"/>
          <w:insideH w:val="nil"/>
          <w:insideV w:val="nil"/>
          <w:tl2br w:val="nil"/>
          <w:tr2bl w:val="nil"/>
        </w:tcBorders>
        <w:shd w:val="clear" w:color="auto" w:fill="FFFFFF"/>
      </w:tcPr>
    </w:tblStylePr>
    <w:tblStylePr w:type="firstCol">
      <w:pPr>
        <w:jc w:val="right"/>
      </w:pPr>
      <w:rPr>
        <w:i/>
        <w:iCs/>
      </w:rPr>
      <w:tblPr/>
      <w:tcPr>
        <w:tcBorders>
          <w:top w:val="nil"/>
          <w:left w:val="nil"/>
          <w:bottom w:val="nil"/>
          <w:right w:val="nil"/>
          <w:insideH w:val="nil"/>
          <w:insideV w:val="nil"/>
          <w:tl2br w:val="nil"/>
          <w:tr2bl w:val="nil"/>
        </w:tcBorders>
        <w:shd w:val="clear" w:color="auto" w:fill="FFFFFF"/>
      </w:tcPr>
    </w:tblStylePr>
    <w:tblStylePr w:type="lastCol">
      <w:rPr>
        <w:i/>
        <w:iCs/>
      </w:rPr>
      <w:tblPr/>
      <w:tcPr>
        <w:tcBorders>
          <w:top w:val="nil"/>
          <w:left w:val="nil"/>
          <w:bottom w:val="nil"/>
          <w:right w:val="nil"/>
          <w:insideH w:val="nil"/>
          <w:insideV w:val="nil"/>
          <w:tl2br w:val="nil"/>
          <w:tr2bl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top w:val="nil"/>
          <w:left w:val="nil"/>
          <w:bottom w:val="single" w:sz="4" w:space="0" w:color="666666"/>
          <w:right w:val="nil"/>
          <w:insideH w:val="nil"/>
          <w:insideV w:val="nil"/>
          <w:tl2br w:val="nil"/>
          <w:tr2bl w:val="nil"/>
        </w:tcBorders>
      </w:tcPr>
    </w:tblStylePr>
    <w:tblStylePr w:type="nwCell">
      <w:tblPr/>
      <w:tcPr>
        <w:tcBorders>
          <w:top w:val="nil"/>
          <w:left w:val="nil"/>
          <w:bottom w:val="single" w:sz="4" w:space="0" w:color="666666"/>
          <w:right w:val="nil"/>
          <w:insideH w:val="nil"/>
          <w:insideV w:val="nil"/>
          <w:tl2br w:val="nil"/>
          <w:tr2bl w:val="nil"/>
        </w:tcBorders>
      </w:tcPr>
    </w:tblStylePr>
    <w:tblStylePr w:type="seCell">
      <w:tblPr/>
      <w:tcPr>
        <w:tcBorders>
          <w:top w:val="single" w:sz="4" w:space="0" w:color="666666"/>
          <w:left w:val="nil"/>
          <w:bottom w:val="nil"/>
          <w:right w:val="nil"/>
          <w:insideH w:val="nil"/>
          <w:insideV w:val="nil"/>
          <w:tl2br w:val="nil"/>
          <w:tr2bl w:val="nil"/>
        </w:tcBorders>
      </w:tcPr>
    </w:tblStylePr>
    <w:tblStylePr w:type="swCell">
      <w:tblPr/>
      <w:tcPr>
        <w:tcBorders>
          <w:top w:val="single" w:sz="4" w:space="0" w:color="666666"/>
          <w:left w:val="nil"/>
          <w:bottom w:val="nil"/>
          <w:right w:val="nil"/>
          <w:insideH w:val="nil"/>
          <w:insideV w:val="nil"/>
          <w:tl2br w:val="nil"/>
          <w:tr2bl w:val="nil"/>
        </w:tcBorders>
      </w:tcPr>
    </w:tblStylePr>
  </w:style>
  <w:style w:type="table" w:customStyle="1" w:styleId="111111">
    <w:name w:val="典雅型11111"/>
    <w:basedOn w:val="a1"/>
    <w:semiHidden/>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PPStable224">
    <w:name w:val="PPS table224"/>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hAnsi="微软雅黑"/>
        <w:b/>
        <w:sz w:val="21"/>
      </w:rPr>
      <w:tblPr>
        <w:jc w:val="center"/>
      </w:tblPr>
      <w:trPr>
        <w:jc w:val="center"/>
      </w:trPr>
      <w:tcPr>
        <w:vAlign w:val="center"/>
      </w:tcPr>
    </w:tblStylePr>
  </w:style>
  <w:style w:type="table" w:customStyle="1" w:styleId="1311">
    <w:name w:val="典雅型131"/>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1141">
    <w:name w:val="简明型 2114"/>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PPStable122">
    <w:name w:val="PPS table122"/>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1" w:afterLines="0" w:afterAutospacing="1" w:line="240" w:lineRule="auto"/>
      </w:pPr>
      <w:rPr>
        <w:rFonts w:ascii="微软雅黑" w:eastAsia="等线 Light" w:hAnsi="微软雅黑" w:cs="微软雅黑" w:hint="default"/>
        <w:b/>
        <w:sz w:val="21"/>
        <w:szCs w:val="21"/>
      </w:rPr>
      <w:tblPr/>
      <w:tcPr>
        <w:vAlign w:val="center"/>
      </w:tcPr>
    </w:tblStylePr>
  </w:style>
  <w:style w:type="table" w:customStyle="1" w:styleId="2ffff3">
    <w:name w:val="招股书2"/>
    <w:basedOn w:val="a1"/>
    <w:uiPriority w:val="59"/>
    <w:semiHidden/>
    <w:rPr>
      <w:sz w:val="22"/>
      <w:lang w:eastAsia="en-US" w:bidi="en-US"/>
    </w:rPr>
    <w:tblPr/>
    <w:tcPr>
      <w:shd w:val="clear" w:color="auto" w:fill="FFFFFF"/>
    </w:tcPr>
  </w:style>
  <w:style w:type="table" w:customStyle="1" w:styleId="5130">
    <w:name w:val="网格型5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网格型1311"/>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表格主题33"/>
    <w:basedOn w:val="a1"/>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无格式表格 11"/>
    <w:basedOn w:val="a1"/>
    <w:uiPriority w:val="41"/>
    <w:semiHidden/>
    <w:rPr>
      <w:rFonts w:ascii="Calibri"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12">
    <w:name w:val="简明型 211112"/>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a">
    <w:name w:val="网格型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表格主题1114"/>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简明型 124"/>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64">
    <w:name w:val="表格主题16"/>
    <w:basedOn w:val="a1"/>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古典型 41"/>
    <w:basedOn w:val="a1"/>
    <w:uiPriority w:val="99"/>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1112">
    <w:name w:val="网格型111112"/>
    <w:basedOn w:val="a1"/>
    <w:semiHidden/>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60">
    <w:name w:val="网格型6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典雅型2113"/>
    <w:basedOn w:val="a1"/>
    <w:semiHidden/>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32">
    <w:name w:val="简明型 1132"/>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g111">
    <w:name w:val="g111"/>
    <w:uiPriority w:val="99"/>
    <w:unhideWhenUsed/>
    <w:qFormat/>
    <w:tblPr>
      <w:tblCellMar>
        <w:top w:w="0" w:type="dxa"/>
        <w:left w:w="108" w:type="dxa"/>
        <w:bottom w:w="0" w:type="dxa"/>
        <w:right w:w="108" w:type="dxa"/>
      </w:tblCellMar>
    </w:tblPr>
  </w:style>
  <w:style w:type="table" w:customStyle="1" w:styleId="2320">
    <w:name w:val="简明型 232"/>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TableGrid14">
    <w:name w:val="Table Grid14"/>
    <w:basedOn w:val="a1"/>
    <w:uiPriority w:val="39"/>
    <w:semiHidden/>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表格主题116"/>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列表型 315"/>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61">
    <w:name w:val="表格主题26"/>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8">
    <w:name w:val="表格主题3"/>
    <w:basedOn w:val="a1"/>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简明型 214"/>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PPStable44">
    <w:name w:val="PPS table44"/>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hAnsi="微软雅黑"/>
        <w:b/>
        <w:sz w:val="21"/>
      </w:rPr>
      <w:tblPr>
        <w:jc w:val="center"/>
      </w:tblPr>
      <w:trPr>
        <w:jc w:val="center"/>
      </w:trPr>
      <w:tcPr>
        <w:vAlign w:val="center"/>
      </w:tcPr>
    </w:tblStylePr>
  </w:style>
  <w:style w:type="table" w:customStyle="1" w:styleId="PPStable21">
    <w:name w:val="PPS table21"/>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3230">
    <w:name w:val="网格型32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列表型 32112"/>
    <w:basedOn w:val="a1"/>
    <w:semiHidden/>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48">
    <w:name w:val="典雅型14"/>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3111">
    <w:name w:val="简明型 1311"/>
    <w:basedOn w:val="a1"/>
    <w:semiHidden/>
    <w:pPr>
      <w:widowControl w:val="0"/>
      <w:autoSpaceDE w:val="0"/>
      <w:autoSpaceDN w:val="0"/>
      <w:adjustRightInd w:val="0"/>
    </w:pPr>
    <w:tblPr>
      <w:tblBorders>
        <w:top w:val="single" w:sz="12" w:space="0" w:color="008000"/>
        <w:bottom w:val="single" w:sz="12" w:space="0" w:color="008000"/>
      </w:tblBorders>
    </w:tbl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3113">
    <w:name w:val="列表型 3113"/>
    <w:basedOn w:val="a1"/>
    <w:semiHidden/>
    <w:qFormat/>
    <w:tblPr>
      <w:tblBorders>
        <w:top w:val="single" w:sz="2" w:space="0" w:color="000000"/>
        <w:bottom w:val="single" w:sz="2" w:space="0" w:color="000000"/>
      </w:tblBorders>
    </w:tbl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tcPr>
    </w:tblStylePr>
    <w:tblStylePr w:type="lastRow">
      <w:tblPr/>
      <w:tcPr>
        <w:tcBorders>
          <w:top w:val="nil"/>
          <w:left w:val="nil"/>
          <w:bottom w:val="single" w:sz="2" w:space="0" w:color="000000"/>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840">
    <w:name w:val="网格型84"/>
    <w:basedOn w:val="a1"/>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网格型524"/>
    <w:basedOn w:val="a1"/>
    <w:uiPriority w:val="59"/>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0">
    <w:name w:val="简明型 12113"/>
    <w:basedOn w:val="a1"/>
    <w:semiHidden/>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342">
    <w:name w:val="列表型 34"/>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410">
    <w:name w:val="列表型 341"/>
    <w:basedOn w:val="a1"/>
    <w:semiHidden/>
    <w:qFormat/>
    <w:tblPr>
      <w:tblBorders>
        <w:top w:val="single" w:sz="2" w:space="0" w:color="000000"/>
        <w:bottom w:val="single" w:sz="2" w:space="0" w:color="000000"/>
      </w:tblBorders>
    </w:tbl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tcPr>
    </w:tblStylePr>
    <w:tblStylePr w:type="lastRow">
      <w:tblPr/>
      <w:tcPr>
        <w:tcBorders>
          <w:top w:val="nil"/>
          <w:left w:val="nil"/>
          <w:bottom w:val="single" w:sz="2" w:space="0" w:color="000000"/>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71">
    <w:name w:val="列表型 37"/>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2110">
    <w:name w:val="网格型1211"/>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
    <w:name w:val="网格型6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PStable2113">
    <w:name w:val="PPS table2113"/>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PPStable123">
    <w:name w:val="PPS table123"/>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2120">
    <w:name w:val="网格型2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c">
    <w:name w:val="网格型8"/>
    <w:basedOn w:val="a1"/>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网格型1133"/>
    <w:basedOn w:val="a1"/>
    <w:semiHidden/>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f5">
    <w:name w:val="网格型 11"/>
    <w:basedOn w:val="a1"/>
    <w:uiPriority w:val="99"/>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style>
  <w:style w:type="table" w:customStyle="1" w:styleId="1215">
    <w:name w:val="简明型 1215"/>
    <w:basedOn w:val="a1"/>
    <w:semiHidden/>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74">
    <w:name w:val="表格主题17"/>
    <w:basedOn w:val="a1"/>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网格型3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简明型 11113"/>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51">
    <w:name w:val="网格型2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简明型 126"/>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31115">
    <w:name w:val="列表型 31115"/>
    <w:basedOn w:val="a1"/>
    <w:semiHidden/>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41">
    <w:name w:val="列表型 314"/>
    <w:basedOn w:val="a1"/>
    <w:semiHidden/>
    <w:qFormat/>
    <w:tblPr>
      <w:tblBorders>
        <w:top w:val="single" w:sz="2" w:space="0" w:color="000000"/>
        <w:bottom w:val="single" w:sz="2" w:space="0" w:color="000000"/>
      </w:tblBorders>
    </w:tbl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tcPr>
    </w:tblStylePr>
    <w:tblStylePr w:type="lastRow">
      <w:tblPr/>
      <w:tcPr>
        <w:tcBorders>
          <w:top w:val="nil"/>
          <w:left w:val="nil"/>
          <w:bottom w:val="single" w:sz="2" w:space="0" w:color="000000"/>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615">
    <w:name w:val="网格型6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WTable1">
    <w:name w:val="K&amp;W Table1"/>
    <w:basedOn w:val="affc"/>
    <w:semiHidden/>
    <w:pPr>
      <w:spacing w:before="60" w:after="60"/>
      <w:contextualSpacing/>
    </w:pPr>
    <w:rPr>
      <w:rFonts w:ascii="Arial" w:eastAsia="楷体_GB2312" w:hAnsi="Arial"/>
      <w:sz w:val="24"/>
    </w:rPr>
    <w:tblPr>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Sylfaen" w:hAnsi="Sylfaen"/>
        <w:b/>
        <w:sz w:val="20"/>
      </w:rPr>
      <w:tblPr/>
      <w:tcPr>
        <w:shd w:val="clear" w:color="auto" w:fill="E0E0E0"/>
      </w:tcPr>
    </w:tblStylePr>
  </w:style>
  <w:style w:type="table" w:customStyle="1" w:styleId="31b">
    <w:name w:val="列表型 31"/>
    <w:basedOn w:val="a1"/>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421">
    <w:name w:val="简明型 142"/>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4113">
    <w:name w:val="网格型41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典雅型1214"/>
    <w:basedOn w:val="a1"/>
    <w:semiHidden/>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312">
    <w:name w:val="简明型 2312"/>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113">
    <w:name w:val="简明型 21113"/>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6">
    <w:name w:val="表格主题112"/>
    <w:basedOn w:val="a1"/>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2">
    <w:name w:val="典雅型5"/>
    <w:basedOn w:val="a1"/>
    <w:unhideWhenUsed/>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151">
    <w:name w:val="简明型 1115"/>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PPStable11112">
    <w:name w:val="PPS table11112"/>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6114">
    <w:name w:val="网格型6114"/>
    <w:basedOn w:val="a1"/>
    <w:uiPriority w:val="59"/>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1">
    <w:name w:val="Table Professional11"/>
    <w:basedOn w:val="a1"/>
    <w:semiHidden/>
    <w:pPr>
      <w:widowControl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40">
    <w:name w:val="简明型 1124"/>
    <w:basedOn w:val="a1"/>
    <w:semiHidden/>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343">
    <w:name w:val="表格主题34"/>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网格型2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列表型 323"/>
    <w:basedOn w:val="a1"/>
    <w:semiHidden/>
    <w:qFormat/>
    <w:tblPr>
      <w:tblBorders>
        <w:top w:val="single" w:sz="2" w:space="0" w:color="000000"/>
        <w:bottom w:val="single" w:sz="2" w:space="0" w:color="000000"/>
      </w:tblBorders>
    </w:tbl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tcPr>
    </w:tblStylePr>
    <w:tblStylePr w:type="lastRow">
      <w:tblPr/>
      <w:tcPr>
        <w:tcBorders>
          <w:top w:val="nil"/>
          <w:left w:val="nil"/>
          <w:bottom w:val="single" w:sz="2" w:space="0" w:color="000000"/>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1f">
    <w:name w:val="竖列型 21"/>
    <w:basedOn w:val="a1"/>
    <w:uiPriority w:val="99"/>
    <w:semiHidden/>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PPStable1113">
    <w:name w:val="PPS table1113"/>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1116">
    <w:name w:val="表格主题111"/>
    <w:basedOn w:val="a1"/>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网格型31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d">
    <w:name w:val="表格主题8"/>
    <w:basedOn w:val="a1"/>
    <w:semiHidden/>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列表型 3213"/>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PPStable133">
    <w:name w:val="PPS table133"/>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228">
    <w:name w:val="简明型 22"/>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60">
    <w:name w:val="网格型5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4">
    <w:name w:val="列表型 31124"/>
    <w:basedOn w:val="a1"/>
    <w:semiHidden/>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220">
    <w:name w:val="网格型32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PStable1114">
    <w:name w:val="PPS table1114"/>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12210">
    <w:name w:val="网格型1221"/>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a1"/>
    <w:uiPriority w:val="59"/>
    <w:qFormat/>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列表型 81"/>
    <w:basedOn w:val="a1"/>
    <w:uiPriority w:val="99"/>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style>
  <w:style w:type="table" w:customStyle="1" w:styleId="3134">
    <w:name w:val="列表型 3134"/>
    <w:basedOn w:val="a1"/>
    <w:semiHidden/>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1122">
    <w:name w:val="简明型 21122"/>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f6">
    <w:name w:val="网格型11"/>
    <w:basedOn w:val="a1"/>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PStable11113">
    <w:name w:val="PPS table11113"/>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335">
    <w:name w:val="列表型 335"/>
    <w:basedOn w:val="a1"/>
    <w:semiHidden/>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124">
    <w:name w:val="网格型2124"/>
    <w:basedOn w:val="a1"/>
    <w:semiHidden/>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网格型623"/>
    <w:basedOn w:val="a1"/>
    <w:uiPriority w:val="59"/>
    <w:semiHidden/>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
    <w:name w:val="简明型 21115"/>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240">
    <w:name w:val="简明型 2124"/>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TableProfessional1">
    <w:name w:val="Table Professional1"/>
    <w:basedOn w:val="a1"/>
    <w:semiHidden/>
    <w:pPr>
      <w:widowControl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PPStable24">
    <w:name w:val="PPS table24"/>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21123">
    <w:name w:val="简明型 2112"/>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10">
    <w:name w:val="网格型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网格型133"/>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f7">
    <w:name w:val="竖列型 11"/>
    <w:basedOn w:val="a1"/>
    <w:uiPriority w:val="99"/>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PPStable1212">
    <w:name w:val="PPS table1212"/>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21142">
    <w:name w:val="网格型21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0">
    <w:name w:val="列表型 343"/>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1f0">
    <w:name w:val="简明型 21"/>
    <w:basedOn w:val="a1"/>
    <w:semiHidden/>
    <w:qFormat/>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21">
    <w:name w:val="列表型 3121"/>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152">
    <w:name w:val="网格型2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简明型 1133"/>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161">
    <w:name w:val="网格型116"/>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Theme2">
    <w:name w:val="Table Theme2"/>
    <w:basedOn w:val="a1"/>
    <w:semiHidden/>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4">
    <w:name w:val="网格型21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4">
    <w:name w:val="列表型 3224"/>
    <w:basedOn w:val="a1"/>
    <w:semiHidden/>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140">
    <w:name w:val="列表型 3114"/>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PPStable311">
    <w:name w:val="PPS table311"/>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1" w:afterLines="0" w:afterAutospacing="1" w:line="240" w:lineRule="auto"/>
      </w:pPr>
      <w:rPr>
        <w:rFonts w:ascii="微软雅黑" w:eastAsia="等线 Light" w:hAnsi="微软雅黑" w:cs="微软雅黑" w:hint="default"/>
        <w:b/>
        <w:sz w:val="21"/>
        <w:szCs w:val="21"/>
      </w:rPr>
      <w:tblPr/>
      <w:tcPr>
        <w:vAlign w:val="center"/>
      </w:tcPr>
    </w:tblStylePr>
  </w:style>
  <w:style w:type="table" w:customStyle="1" w:styleId="21320">
    <w:name w:val="简明型 2132"/>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PPStable1">
    <w:name w:val="PPS table1"/>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11220">
    <w:name w:val="典雅型1122"/>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110">
    <w:name w:val="网格型1111"/>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2">
    <w:name w:val="简明型 1312"/>
    <w:basedOn w:val="a1"/>
    <w:semiHidden/>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111110">
    <w:name w:val="简明型 111111"/>
    <w:basedOn w:val="a1"/>
    <w:semiHidden/>
    <w:pPr>
      <w:widowControl w:val="0"/>
      <w:autoSpaceDE w:val="0"/>
      <w:autoSpaceDN w:val="0"/>
      <w:adjustRightInd w:val="0"/>
    </w:pPr>
    <w:tblPr>
      <w:tblBorders>
        <w:top w:val="single" w:sz="12" w:space="0" w:color="008000"/>
        <w:bottom w:val="single" w:sz="12" w:space="0" w:color="008000"/>
      </w:tblBorders>
    </w:tbl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430">
    <w:name w:val="简明型 243"/>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14">
    <w:name w:val="简明型 2314"/>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20">
    <w:name w:val="简明型 11212"/>
    <w:basedOn w:val="a1"/>
    <w:semiHidden/>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1141">
    <w:name w:val="网格型1114"/>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30">
    <w:name w:val="典雅型1213"/>
    <w:basedOn w:val="a1"/>
    <w:semiHidden/>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17">
    <w:name w:val="网格型111"/>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1">
    <w:name w:val="典雅型133"/>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221">
    <w:name w:val="列表型 3221"/>
    <w:basedOn w:val="a1"/>
    <w:semiHidden/>
    <w:qFormat/>
    <w:tblPr>
      <w:tblBorders>
        <w:top w:val="single" w:sz="2" w:space="0" w:color="000000"/>
        <w:bottom w:val="single" w:sz="2" w:space="0" w:color="000000"/>
      </w:tblBorders>
    </w:tbl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tcPr>
    </w:tblStylePr>
    <w:tblStylePr w:type="lastRow">
      <w:tblPr/>
      <w:tcPr>
        <w:tcBorders>
          <w:top w:val="nil"/>
          <w:left w:val="nil"/>
          <w:bottom w:val="single" w:sz="2" w:space="0" w:color="000000"/>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ffff4">
    <w:name w:val="浅色底纹2"/>
    <w:basedOn w:val="a1"/>
    <w:uiPriority w:val="60"/>
    <w:semiHidden/>
    <w:qFormat/>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416">
    <w:name w:val="网格型 41"/>
    <w:basedOn w:val="a1"/>
    <w:uiPriority w:val="99"/>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PPStable1121">
    <w:name w:val="PPS table1121"/>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1" w:afterLines="0" w:afterAutospacing="1" w:line="240" w:lineRule="auto"/>
      </w:pPr>
      <w:rPr>
        <w:rFonts w:ascii="微软雅黑" w:eastAsia="等线 Light" w:hAnsi="微软雅黑" w:cs="微软雅黑" w:hint="default"/>
        <w:b/>
        <w:sz w:val="21"/>
        <w:szCs w:val="21"/>
      </w:rPr>
      <w:tblPr/>
      <w:tcPr>
        <w:vAlign w:val="center"/>
      </w:tcPr>
    </w:tblStylePr>
  </w:style>
  <w:style w:type="table" w:customStyle="1" w:styleId="PPStable213">
    <w:name w:val="PPS table213"/>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713">
    <w:name w:val="网格型713"/>
    <w:basedOn w:val="a1"/>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表格主题312"/>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a">
    <w:name w:val="网格型浅色1"/>
    <w:basedOn w:val="a1"/>
    <w:uiPriority w:val="40"/>
    <w:semiHidden/>
    <w:rPr>
      <w:rFonts w:ascii="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2">
    <w:name w:val="网格型42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列表型 317"/>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11140">
    <w:name w:val="网格型21114"/>
    <w:basedOn w:val="a1"/>
    <w:uiPriority w:val="59"/>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
    <w:name w:val="网格型1214"/>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3">
    <w:name w:val="典雅型312"/>
    <w:basedOn w:val="a1"/>
    <w:semiHidden/>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132">
    <w:name w:val="网格型1113"/>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2">
    <w:name w:val="列表型 3222"/>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162">
    <w:name w:val="典雅型116"/>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1220">
    <w:name w:val="简明型 11122"/>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31112">
    <w:name w:val="列表型 31112"/>
    <w:basedOn w:val="a1"/>
    <w:semiHidden/>
    <w:qFormat/>
    <w:tblPr>
      <w:tblBorders>
        <w:top w:val="single" w:sz="2" w:space="0" w:color="000000"/>
        <w:bottom w:val="single" w:sz="2" w:space="0" w:color="000000"/>
      </w:tblBorders>
    </w:tbl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tcPr>
    </w:tblStylePr>
    <w:tblStylePr w:type="lastRow">
      <w:tblPr/>
      <w:tcPr>
        <w:tcBorders>
          <w:top w:val="nil"/>
          <w:left w:val="nil"/>
          <w:bottom w:val="single" w:sz="2" w:space="0" w:color="000000"/>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421">
    <w:name w:val="网格型4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7">
    <w:name w:val="g17"/>
    <w:uiPriority w:val="99"/>
    <w:unhideWhenUsed/>
    <w:tblPr>
      <w:tblCellMar>
        <w:top w:w="0" w:type="dxa"/>
        <w:left w:w="108" w:type="dxa"/>
        <w:bottom w:w="0" w:type="dxa"/>
        <w:right w:w="108" w:type="dxa"/>
      </w:tblCellMar>
    </w:tblPr>
  </w:style>
  <w:style w:type="table" w:customStyle="1" w:styleId="PPStable113">
    <w:name w:val="PPS table113"/>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1" w:afterLines="0" w:afterAutospacing="1" w:line="240" w:lineRule="auto"/>
      </w:pPr>
      <w:rPr>
        <w:rFonts w:ascii="微软雅黑" w:eastAsia="等线 Light" w:hAnsi="微软雅黑" w:cs="微软雅黑" w:hint="default"/>
        <w:b/>
        <w:sz w:val="21"/>
        <w:szCs w:val="21"/>
      </w:rPr>
      <w:tblPr/>
      <w:tcPr>
        <w:vAlign w:val="center"/>
      </w:tcPr>
    </w:tblStylePr>
  </w:style>
  <w:style w:type="table" w:customStyle="1" w:styleId="352">
    <w:name w:val="列表型 35"/>
    <w:basedOn w:val="a1"/>
    <w:unhideWhenUsed/>
    <w:qFormat/>
    <w:tblPr>
      <w:tblBorders>
        <w:top w:val="single" w:sz="2" w:space="0" w:color="000000"/>
        <w:bottom w:val="single" w:sz="2" w:space="0" w:color="000000"/>
      </w:tblBorders>
    </w:tbl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tcPr>
    </w:tblStylePr>
    <w:tblStylePr w:type="lastRow">
      <w:tblPr/>
      <w:tcPr>
        <w:tcBorders>
          <w:top w:val="nil"/>
          <w:left w:val="nil"/>
          <w:bottom w:val="single" w:sz="2" w:space="0" w:color="000000"/>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1221">
    <w:name w:val="简明型 1122"/>
    <w:basedOn w:val="a1"/>
    <w:semiHidden/>
    <w:qFormat/>
    <w:pPr>
      <w:widowControl w:val="0"/>
      <w:autoSpaceDE w:val="0"/>
      <w:autoSpaceDN w:val="0"/>
      <w:adjustRightInd w:val="0"/>
    </w:pPr>
    <w:tblPr>
      <w:tblBorders>
        <w:top w:val="single" w:sz="12" w:space="0" w:color="008000"/>
        <w:bottom w:val="single" w:sz="12" w:space="0" w:color="008000"/>
      </w:tblBorders>
    </w:tbl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PPStable23">
    <w:name w:val="PPS table23"/>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1" w:afterLines="0" w:afterAutospacing="1" w:line="240" w:lineRule="auto"/>
      </w:pPr>
      <w:rPr>
        <w:rFonts w:ascii="微软雅黑" w:eastAsia="等线 Light" w:hAnsi="微软雅黑" w:cs="微软雅黑" w:hint="default"/>
        <w:b/>
        <w:sz w:val="21"/>
        <w:szCs w:val="21"/>
      </w:rPr>
      <w:tblPr/>
      <w:tcPr>
        <w:vAlign w:val="center"/>
      </w:tcPr>
    </w:tblStylePr>
  </w:style>
  <w:style w:type="table" w:customStyle="1" w:styleId="2125">
    <w:name w:val="典雅型212"/>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142">
    <w:name w:val="简明型 1114"/>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TableTheme1">
    <w:name w:val="Table Theme1"/>
    <w:basedOn w:val="a1"/>
    <w:semiHidden/>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uiPriority w:val="59"/>
    <w:qFormat/>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简明型 1222"/>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241">
    <w:name w:val="网格型124"/>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f1">
    <w:name w:val="网格型 21"/>
    <w:basedOn w:val="a1"/>
    <w:uiPriority w:val="99"/>
    <w:qFormat/>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3211">
    <w:name w:val="列表型 321"/>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1213">
    <w:name w:val="简明型 11213"/>
    <w:basedOn w:val="a1"/>
    <w:semiHidden/>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2111">
    <w:name w:val="简明型 22111"/>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PPStable211">
    <w:name w:val="PPS table211"/>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1231">
    <w:name w:val="网格型123"/>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fb">
    <w:name w:val="招股书表格1"/>
    <w:basedOn w:val="a1"/>
    <w:uiPriority w:val="99"/>
    <w:semiHidden/>
    <w:qFormat/>
    <w:pPr>
      <w:jc w:val="center"/>
    </w:pPr>
    <w:tblPr>
      <w:tblBorders>
        <w:top w:val="thinThickSmallGap" w:sz="18" w:space="0" w:color="365F91"/>
        <w:bottom w:val="thickThinSmallGap" w:sz="18" w:space="0" w:color="365F91"/>
        <w:insideH w:val="single" w:sz="6" w:space="0" w:color="365F91"/>
        <w:insideV w:val="single" w:sz="6" w:space="0" w:color="365F91"/>
      </w:tblBorders>
    </w:tblPr>
    <w:tcPr>
      <w:vAlign w:val="center"/>
    </w:tcPr>
    <w:tblStylePr w:type="firstRow">
      <w:tblPr/>
      <w:tcPr>
        <w:shd w:val="clear" w:color="auto" w:fill="DAEEF3"/>
      </w:tcPr>
    </w:tblStylePr>
  </w:style>
  <w:style w:type="table" w:customStyle="1" w:styleId="1332">
    <w:name w:val="表格主题133"/>
    <w:basedOn w:val="a1"/>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简明型 11211"/>
    <w:basedOn w:val="a1"/>
    <w:semiHidden/>
    <w:pPr>
      <w:widowControl w:val="0"/>
      <w:autoSpaceDE w:val="0"/>
      <w:autoSpaceDN w:val="0"/>
      <w:adjustRightInd w:val="0"/>
    </w:pPr>
    <w:tblPr>
      <w:tblBorders>
        <w:top w:val="single" w:sz="12" w:space="0" w:color="008000"/>
        <w:bottom w:val="single" w:sz="12" w:space="0" w:color="008000"/>
      </w:tblBorders>
    </w:tbl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PPStable313">
    <w:name w:val="PPS table313"/>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1223">
    <w:name w:val="网格型1223"/>
    <w:basedOn w:val="a1"/>
    <w:uiPriority w:val="39"/>
    <w:semiHidden/>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4">
    <w:name w:val="网格型714"/>
    <w:basedOn w:val="a1"/>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PStable35">
    <w:name w:val="PPS table35"/>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hAnsi="微软雅黑"/>
        <w:b/>
        <w:sz w:val="21"/>
      </w:rPr>
      <w:tblPr>
        <w:jc w:val="center"/>
      </w:tblPr>
      <w:trPr>
        <w:jc w:val="center"/>
      </w:trPr>
      <w:tcPr>
        <w:vAlign w:val="center"/>
      </w:tcPr>
    </w:tblStylePr>
  </w:style>
  <w:style w:type="table" w:customStyle="1" w:styleId="720">
    <w:name w:val="网格型72"/>
    <w:basedOn w:val="a1"/>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简明型 1116"/>
    <w:basedOn w:val="a1"/>
    <w:semiHidden/>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PPStable25">
    <w:name w:val="PPS table25"/>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2213">
    <w:name w:val="简明型 2213"/>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PPStable114">
    <w:name w:val="PPS table114"/>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1412">
    <w:name w:val="网格型141"/>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
    <w:name w:val="网格型42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列表型 33"/>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2111">
    <w:name w:val="典雅型1211"/>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53">
    <w:name w:val="网格型3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简明型 25"/>
    <w:basedOn w:val="a1"/>
    <w:unhideWhenUsed/>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PPStable221">
    <w:name w:val="PPS table221"/>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1" w:afterLines="0" w:afterAutospacing="1" w:line="240" w:lineRule="auto"/>
      </w:pPr>
      <w:rPr>
        <w:rFonts w:ascii="微软雅黑" w:eastAsia="等线 Light" w:hAnsi="微软雅黑" w:cs="微软雅黑" w:hint="default"/>
        <w:b/>
        <w:sz w:val="21"/>
        <w:szCs w:val="21"/>
      </w:rPr>
      <w:tblPr/>
      <w:tcPr>
        <w:vAlign w:val="center"/>
      </w:tcPr>
    </w:tblStylePr>
  </w:style>
  <w:style w:type="table" w:customStyle="1" w:styleId="3142">
    <w:name w:val="网格型3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表格主题211"/>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网格型1313"/>
    <w:basedOn w:val="a1"/>
    <w:semiHidden/>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f1">
    <w:name w:val="网格型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30">
    <w:name w:val="简明型 21123"/>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BNBM">
    <w:name w:val="BNBM"/>
    <w:basedOn w:val="a1"/>
    <w:uiPriority w:val="99"/>
    <w:semiHidden/>
    <w:qFormat/>
    <w:tblPr>
      <w:tblBorders>
        <w:top w:val="thinThickSmallGap" w:sz="24" w:space="0" w:color="215868"/>
        <w:bottom w:val="thickThinSmallGap" w:sz="24" w:space="0" w:color="215868"/>
        <w:insideH w:val="single" w:sz="8" w:space="0" w:color="215868"/>
        <w:insideV w:val="single" w:sz="8" w:space="0" w:color="215868"/>
      </w:tblBorders>
    </w:tblPr>
  </w:style>
  <w:style w:type="table" w:customStyle="1" w:styleId="11117">
    <w:name w:val="简明型 1111"/>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1214">
    <w:name w:val="网格型1121"/>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9">
    <w:name w:val="表格主题14"/>
    <w:basedOn w:val="a1"/>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表格主题1212"/>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2">
    <w:name w:val="立体型 21"/>
    <w:basedOn w:val="a1"/>
    <w:uiPriority w:val="99"/>
    <w:semiHidden/>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6">
    <w:name w:val="网格型121"/>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70">
    <w:name w:val="网格型1117"/>
    <w:basedOn w:val="a1"/>
    <w:semiHidden/>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
    <w:name w:val="网格型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表格主题124"/>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网格型21113"/>
    <w:basedOn w:val="a1"/>
    <w:semiHidden/>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
    <w:name w:val="简明型 213"/>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PPStable11111">
    <w:name w:val="PPS table11111"/>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1" w:afterLines="0" w:afterAutospacing="1" w:line="240" w:lineRule="auto"/>
      </w:pPr>
      <w:rPr>
        <w:rFonts w:ascii="微软雅黑" w:eastAsia="等线 Light" w:hAnsi="微软雅黑" w:cs="微软雅黑" w:hint="default"/>
        <w:b/>
        <w:sz w:val="21"/>
        <w:szCs w:val="21"/>
      </w:rPr>
      <w:tblPr/>
      <w:tcPr>
        <w:vAlign w:val="center"/>
      </w:tcPr>
    </w:tblStylePr>
  </w:style>
  <w:style w:type="table" w:customStyle="1" w:styleId="1321">
    <w:name w:val="网格型132"/>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c">
    <w:name w:val="简明型 31"/>
    <w:basedOn w:val="a1"/>
    <w:uiPriority w:val="99"/>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PPStable7">
    <w:name w:val="PPS table7"/>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TableElegant3">
    <w:name w:val="Table Elegant3"/>
    <w:basedOn w:val="a1"/>
    <w:semiHidden/>
    <w:pPr>
      <w:widowControl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44">
    <w:name w:val="列表型 344"/>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21110">
    <w:name w:val="网格型12111"/>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0">
    <w:name w:val="典雅型223"/>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2221">
    <w:name w:val="网格型1222"/>
    <w:basedOn w:val="a1"/>
    <w:uiPriority w:val="39"/>
    <w:semiHidden/>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fc">
    <w:name w:val="流行型1"/>
    <w:basedOn w:val="a1"/>
    <w:semiHidden/>
    <w:qFormat/>
    <w:tblPr>
      <w:tblStyleRowBandSize w:val="1"/>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514">
    <w:name w:val="网格型5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PStable2112">
    <w:name w:val="PPS table2112"/>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550">
    <w:name w:val="网格型5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d">
    <w:name w:val="表格主题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网格型4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0">
    <w:name w:val="网格型21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PStable">
    <w:name w:val="PPS table"/>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11118">
    <w:name w:val="典雅型1111"/>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TableElegant2">
    <w:name w:val="Table Elegant2"/>
    <w:basedOn w:val="a1"/>
    <w:semiHidden/>
    <w:pPr>
      <w:widowControl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143">
    <w:name w:val="典雅型314"/>
    <w:basedOn w:val="a1"/>
    <w:semiHidden/>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1330">
    <w:name w:val="简明型 2133"/>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230">
    <w:name w:val="列表型 3123"/>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2140">
    <w:name w:val="简明型 2214"/>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2">
    <w:name w:val="网格型114"/>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31">
    <w:name w:val="表格主题1213"/>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网格型22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8">
    <w:name w:val="招股书表格4"/>
    <w:basedOn w:val="a1"/>
    <w:uiPriority w:val="99"/>
    <w:semiHidden/>
    <w:qFormat/>
    <w:pPr>
      <w:jc w:val="center"/>
    </w:pPr>
    <w:tblPr>
      <w:tblBorders>
        <w:top w:val="thinThickSmallGap" w:sz="12" w:space="0" w:color="auto"/>
        <w:bottom w:val="thickThinSmallGap" w:sz="12" w:space="0" w:color="auto"/>
        <w:insideH w:val="single" w:sz="4" w:space="0" w:color="000000"/>
        <w:insideV w:val="single" w:sz="4" w:space="0" w:color="000000"/>
      </w:tblBorders>
    </w:tblPr>
    <w:tcPr>
      <w:vAlign w:val="center"/>
    </w:tcPr>
  </w:style>
  <w:style w:type="table" w:customStyle="1" w:styleId="740">
    <w:name w:val="网格型74"/>
    <w:basedOn w:val="a1"/>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
    <w:name w:val="网格型1225"/>
    <w:basedOn w:val="a1"/>
    <w:semiHidden/>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32">
    <w:name w:val="网格型1213"/>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fe">
    <w:name w:val="招股书表格（蓝）1"/>
    <w:basedOn w:val="a1"/>
    <w:uiPriority w:val="99"/>
    <w:semiHidden/>
    <w:qFormat/>
    <w:pPr>
      <w:jc w:val="center"/>
    </w:pPr>
    <w:tblPr>
      <w:tblBorders>
        <w:top w:val="thinThickSmallGap" w:sz="18" w:space="0" w:color="365F91"/>
        <w:bottom w:val="thickThinSmallGap" w:sz="18" w:space="0" w:color="365F91"/>
        <w:insideH w:val="single" w:sz="6" w:space="0" w:color="365F91"/>
        <w:insideV w:val="single" w:sz="6" w:space="0" w:color="365F91"/>
      </w:tblBorders>
    </w:tblPr>
    <w:tcPr>
      <w:vAlign w:val="center"/>
    </w:tcPr>
    <w:tblStylePr w:type="firstRow">
      <w:tblPr/>
      <w:tcPr>
        <w:shd w:val="clear" w:color="auto" w:fill="DAEEF3"/>
      </w:tcPr>
    </w:tblStylePr>
  </w:style>
  <w:style w:type="table" w:customStyle="1" w:styleId="710">
    <w:name w:val="网格型 71"/>
    <w:basedOn w:val="a1"/>
    <w:uiPriority w:val="99"/>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affffffffffffffffffff">
    <w:name w:val="财务数据表格"/>
    <w:uiPriority w:val="99"/>
    <w:semiHidden/>
    <w:pPr>
      <w:widowControl w:val="0"/>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cPr>
      <w:vAlign w:val="center"/>
    </w:tcPr>
  </w:style>
  <w:style w:type="table" w:customStyle="1" w:styleId="12a">
    <w:name w:val="简明型 12"/>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126">
    <w:name w:val="表格主题212"/>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PStable1123">
    <w:name w:val="PPS table1123"/>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2ffff5">
    <w:name w:val="样式2"/>
    <w:uiPriority w:val="99"/>
    <w:semiHidden/>
    <w:pPr>
      <w:widowControl w:val="0"/>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cPr>
      <w:vAlign w:val="center"/>
    </w:tcPr>
  </w:style>
  <w:style w:type="table" w:customStyle="1" w:styleId="11143">
    <w:name w:val="典雅型1114"/>
    <w:basedOn w:val="a1"/>
    <w:semiHidden/>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160">
    <w:name w:val="列表型 316"/>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1241">
    <w:name w:val="表格主题1124"/>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1">
    <w:name w:val="Table Elegant11"/>
    <w:basedOn w:val="a1"/>
    <w:semiHidden/>
    <w:pPr>
      <w:widowControl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1211">
    <w:name w:val="简明型 21211"/>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51">
    <w:name w:val="简明型 225"/>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60">
    <w:name w:val="网格型1216"/>
    <w:basedOn w:val="a1"/>
    <w:semiHidden/>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7">
    <w:name w:val="简明型 211"/>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1114">
    <w:name w:val="列表型 311114"/>
    <w:basedOn w:val="a1"/>
    <w:semiHidden/>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PPStable134">
    <w:name w:val="PPS table134"/>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hAnsi="微软雅黑"/>
        <w:b/>
        <w:sz w:val="21"/>
      </w:rPr>
      <w:tblPr>
        <w:jc w:val="center"/>
      </w:tblPr>
      <w:trPr>
        <w:jc w:val="center"/>
      </w:trPr>
      <w:tcPr>
        <w:vAlign w:val="center"/>
      </w:tcPr>
    </w:tblStylePr>
  </w:style>
  <w:style w:type="table" w:customStyle="1" w:styleId="22130">
    <w:name w:val="网格型22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列表型 31114"/>
    <w:basedOn w:val="a1"/>
    <w:semiHidden/>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d">
    <w:name w:val="典雅型31"/>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70">
    <w:name w:val="简明型 27"/>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f8">
    <w:name w:val="招股书表格11"/>
    <w:basedOn w:val="a1"/>
    <w:uiPriority w:val="99"/>
    <w:semiHidden/>
    <w:qFormat/>
    <w:pPr>
      <w:jc w:val="center"/>
    </w:pPr>
    <w:tblPr>
      <w:tblBorders>
        <w:top w:val="thinThickSmallGap" w:sz="18" w:space="0" w:color="365F91"/>
        <w:bottom w:val="thickThinSmallGap" w:sz="18" w:space="0" w:color="365F91"/>
        <w:insideH w:val="single" w:sz="6" w:space="0" w:color="365F91"/>
        <w:insideV w:val="single" w:sz="6" w:space="0" w:color="365F91"/>
      </w:tblBorders>
    </w:tblPr>
    <w:tcPr>
      <w:vAlign w:val="center"/>
    </w:tcPr>
    <w:tblStylePr w:type="firstRow">
      <w:tblPr/>
      <w:tcPr>
        <w:shd w:val="clear" w:color="auto" w:fill="DAEEF3"/>
      </w:tcPr>
    </w:tblStylePr>
  </w:style>
  <w:style w:type="table" w:customStyle="1" w:styleId="12121">
    <w:name w:val="典雅型1212"/>
    <w:basedOn w:val="a1"/>
    <w:semiHidden/>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1220">
    <w:name w:val="列表型 3122"/>
    <w:basedOn w:val="a1"/>
    <w:semiHidden/>
    <w:qFormat/>
    <w:tblPr>
      <w:tblBorders>
        <w:top w:val="single" w:sz="2" w:space="0" w:color="000000"/>
        <w:bottom w:val="single" w:sz="2" w:space="0" w:color="000000"/>
      </w:tblBorders>
    </w:tbl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tcPr>
    </w:tblStylePr>
    <w:tblStylePr w:type="lastRow">
      <w:tblPr/>
      <w:tcPr>
        <w:tcBorders>
          <w:top w:val="nil"/>
          <w:left w:val="nil"/>
          <w:bottom w:val="single" w:sz="2" w:space="0" w:color="000000"/>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1f3">
    <w:name w:val="网页型 21"/>
    <w:basedOn w:val="a1"/>
    <w:semiHidden/>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251">
    <w:name w:val="典雅型125"/>
    <w:basedOn w:val="a1"/>
    <w:semiHidden/>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7d">
    <w:name w:val="典雅型7"/>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2230">
    <w:name w:val="简明型 2223"/>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40">
    <w:name w:val="简明型 1224"/>
    <w:basedOn w:val="a1"/>
    <w:semiHidden/>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1260">
    <w:name w:val="网格型1126"/>
    <w:basedOn w:val="a1"/>
    <w:semiHidden/>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2">
    <w:name w:val="表格主题1115"/>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网格型83"/>
    <w:basedOn w:val="a1"/>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网格型142"/>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网格型1131"/>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3">
    <w:name w:val="简明型 1112"/>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252">
    <w:name w:val="表格主题125"/>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网格型111114"/>
    <w:basedOn w:val="a1"/>
    <w:semiHidden/>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59"/>
    <w:qFormat/>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WTable">
    <w:name w:val="K&amp;W Table"/>
    <w:basedOn w:val="affc"/>
    <w:semiHidden/>
    <w:pPr>
      <w:spacing w:before="60" w:after="60"/>
      <w:contextualSpacing/>
    </w:pPr>
    <w:rPr>
      <w:rFonts w:ascii="Arial" w:eastAsia="楷体_GB2312" w:hAnsi="Arial"/>
      <w:sz w:val="24"/>
    </w:rPr>
    <w:tblPr>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Sylfaen" w:hAnsi="Sylfaen"/>
        <w:b/>
        <w:sz w:val="20"/>
      </w:rPr>
      <w:tblPr/>
      <w:tcPr>
        <w:shd w:val="clear" w:color="auto" w:fill="E0E0E0"/>
      </w:tcPr>
    </w:tblStylePr>
  </w:style>
  <w:style w:type="table" w:customStyle="1" w:styleId="11242">
    <w:name w:val="典雅型1124"/>
    <w:basedOn w:val="a1"/>
    <w:semiHidden/>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PPStable2">
    <w:name w:val="PPS table2"/>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1217">
    <w:name w:val="表格主题121"/>
    <w:basedOn w:val="a1"/>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简明型 2115"/>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220">
    <w:name w:val="网格型2122"/>
    <w:basedOn w:val="a1"/>
    <w:semiHidden/>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PStable116">
    <w:name w:val="PPS table116"/>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hAnsi="微软雅黑"/>
        <w:b/>
        <w:sz w:val="21"/>
      </w:rPr>
      <w:tblPr>
        <w:jc w:val="center"/>
      </w:tblPr>
      <w:trPr>
        <w:jc w:val="center"/>
      </w:trPr>
      <w:tcPr>
        <w:vAlign w:val="center"/>
      </w:tcPr>
    </w:tblStylePr>
  </w:style>
  <w:style w:type="table" w:customStyle="1" w:styleId="15a">
    <w:name w:val="简明型 15"/>
    <w:basedOn w:val="a1"/>
    <w:unhideWhenUsed/>
    <w:qFormat/>
    <w:pPr>
      <w:widowControl w:val="0"/>
      <w:autoSpaceDE w:val="0"/>
      <w:autoSpaceDN w:val="0"/>
      <w:adjustRightInd w:val="0"/>
    </w:pPr>
    <w:tblPr>
      <w:tblBorders>
        <w:top w:val="single" w:sz="12" w:space="0" w:color="008000"/>
        <w:bottom w:val="single" w:sz="12" w:space="0" w:color="008000"/>
      </w:tblBorders>
    </w:tbl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326">
    <w:name w:val="表格主题32"/>
    <w:basedOn w:val="a1"/>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4">
    <w:name w:val="典雅型222"/>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g13">
    <w:name w:val="g13"/>
    <w:uiPriority w:val="99"/>
    <w:unhideWhenUsed/>
    <w:tblPr>
      <w:tblCellMar>
        <w:top w:w="0" w:type="dxa"/>
        <w:left w:w="108" w:type="dxa"/>
        <w:bottom w:w="0" w:type="dxa"/>
        <w:right w:w="108" w:type="dxa"/>
      </w:tblCellMar>
    </w:tblPr>
  </w:style>
  <w:style w:type="table" w:customStyle="1" w:styleId="1315">
    <w:name w:val="表格主题131"/>
    <w:basedOn w:val="a1"/>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PStable125">
    <w:name w:val="PPS table125"/>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hAnsi="微软雅黑"/>
        <w:b/>
        <w:sz w:val="21"/>
      </w:rPr>
      <w:tblPr>
        <w:jc w:val="center"/>
      </w:tblPr>
      <w:trPr>
        <w:jc w:val="center"/>
      </w:trPr>
      <w:tcPr>
        <w:vAlign w:val="center"/>
      </w:tcPr>
    </w:tblStylePr>
  </w:style>
  <w:style w:type="table" w:customStyle="1" w:styleId="2225">
    <w:name w:val="表格主题222"/>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PStable4">
    <w:name w:val="PPS table4"/>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3260">
    <w:name w:val="列表型 326"/>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2115">
    <w:name w:val="网格型12115"/>
    <w:basedOn w:val="a1"/>
    <w:semiHidden/>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5">
    <w:name w:val="典雅型1121"/>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3150">
    <w:name w:val="网格型1315"/>
    <w:basedOn w:val="a1"/>
    <w:semiHidden/>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列表型 71"/>
    <w:basedOn w:val="a1"/>
    <w:uiPriority w:val="99"/>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1430">
    <w:name w:val="网格型143"/>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11">
    <w:name w:val="简明型 12111"/>
    <w:basedOn w:val="a1"/>
    <w:semiHidden/>
    <w:pPr>
      <w:widowControl w:val="0"/>
      <w:autoSpaceDE w:val="0"/>
      <w:autoSpaceDN w:val="0"/>
      <w:adjustRightInd w:val="0"/>
    </w:pPr>
    <w:tblPr>
      <w:tblBorders>
        <w:top w:val="single" w:sz="12" w:space="0" w:color="008000"/>
        <w:bottom w:val="single" w:sz="12" w:space="0" w:color="008000"/>
      </w:tblBorders>
    </w:tbl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1f9">
    <w:name w:val="简明型 11"/>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334">
    <w:name w:val="列表型 334"/>
    <w:basedOn w:val="a1"/>
    <w:semiHidden/>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15">
    <w:name w:val="列表型 3115"/>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1250">
    <w:name w:val="简明型 2125"/>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11">
    <w:name w:val="简明型 11121"/>
    <w:basedOn w:val="a1"/>
    <w:semiHidden/>
    <w:qFormat/>
    <w:pPr>
      <w:widowControl w:val="0"/>
      <w:autoSpaceDE w:val="0"/>
      <w:autoSpaceDN w:val="0"/>
      <w:adjustRightInd w:val="0"/>
    </w:pPr>
    <w:tblPr>
      <w:tblBorders>
        <w:top w:val="single" w:sz="12" w:space="0" w:color="008000"/>
        <w:bottom w:val="single" w:sz="12" w:space="0" w:color="008000"/>
      </w:tblBorders>
    </w:tbl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63">
    <w:name w:val="简明型 26"/>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31">
    <w:name w:val="简明型 143"/>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PPStable14">
    <w:name w:val="PPS table14"/>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1" w:afterLines="0" w:afterAutospacing="1" w:line="240" w:lineRule="auto"/>
      </w:pPr>
      <w:rPr>
        <w:rFonts w:ascii="微软雅黑" w:eastAsia="等线 Light" w:hAnsi="微软雅黑" w:cs="微软雅黑" w:hint="default"/>
        <w:b/>
        <w:sz w:val="21"/>
        <w:szCs w:val="21"/>
      </w:rPr>
      <w:tblPr/>
      <w:tcPr>
        <w:vAlign w:val="center"/>
      </w:tcPr>
    </w:tblStylePr>
  </w:style>
  <w:style w:type="table" w:customStyle="1" w:styleId="6110">
    <w:name w:val="网格型6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PStable1211">
    <w:name w:val="PPS table1211"/>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1" w:afterLines="0" w:afterAutospacing="1" w:line="240" w:lineRule="auto"/>
      </w:pPr>
      <w:rPr>
        <w:rFonts w:ascii="微软雅黑" w:eastAsia="等线 Light" w:hAnsi="微软雅黑" w:cs="微软雅黑" w:hint="default"/>
        <w:b/>
        <w:sz w:val="21"/>
        <w:szCs w:val="21"/>
      </w:rPr>
      <w:tblPr/>
      <w:tcPr>
        <w:vAlign w:val="center"/>
      </w:tcPr>
    </w:tblStylePr>
  </w:style>
  <w:style w:type="table" w:customStyle="1" w:styleId="211111">
    <w:name w:val="简明型 211111"/>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61">
    <w:name w:val="简明型 216"/>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PPStable2111">
    <w:name w:val="PPS table2111"/>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1" w:afterLines="0" w:afterAutospacing="1" w:line="240" w:lineRule="auto"/>
      </w:pPr>
      <w:rPr>
        <w:rFonts w:ascii="微软雅黑" w:eastAsia="等线 Light" w:hAnsi="微软雅黑" w:cs="微软雅黑" w:hint="default"/>
        <w:b/>
        <w:sz w:val="21"/>
        <w:szCs w:val="21"/>
      </w:rPr>
      <w:tblPr/>
      <w:tcPr>
        <w:vAlign w:val="center"/>
      </w:tcPr>
    </w:tblStylePr>
  </w:style>
  <w:style w:type="table" w:customStyle="1" w:styleId="affffffffffffffffffff0">
    <w:name w:val="招股书表格"/>
    <w:basedOn w:val="a1"/>
    <w:uiPriority w:val="99"/>
    <w:semiHidden/>
    <w:qFormat/>
    <w:pPr>
      <w:jc w:val="center"/>
    </w:pPr>
    <w:tblPr>
      <w:tblBorders>
        <w:top w:val="thinThickSmallGap" w:sz="12" w:space="0" w:color="auto"/>
        <w:bottom w:val="thickThinSmallGap" w:sz="12" w:space="0" w:color="auto"/>
        <w:insideH w:val="single" w:sz="4" w:space="0" w:color="000000"/>
        <w:insideV w:val="single" w:sz="4" w:space="0" w:color="000000"/>
      </w:tblBorders>
    </w:tblPr>
    <w:tcPr>
      <w:vAlign w:val="center"/>
    </w:tcPr>
  </w:style>
  <w:style w:type="table" w:customStyle="1" w:styleId="g15">
    <w:name w:val="g15"/>
    <w:uiPriority w:val="99"/>
    <w:unhideWhenUsed/>
    <w:qFormat/>
    <w:tblPr>
      <w:tblCellMar>
        <w:top w:w="0" w:type="dxa"/>
        <w:left w:w="108" w:type="dxa"/>
        <w:bottom w:w="0" w:type="dxa"/>
        <w:right w:w="108" w:type="dxa"/>
      </w:tblCellMar>
    </w:tblPr>
  </w:style>
  <w:style w:type="table" w:customStyle="1" w:styleId="PPStable6">
    <w:name w:val="PPS table6"/>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32111">
    <w:name w:val="列表型 32111"/>
    <w:basedOn w:val="a1"/>
    <w:semiHidden/>
    <w:tblPr>
      <w:tblBorders>
        <w:top w:val="single" w:sz="2" w:space="0" w:color="000000"/>
        <w:bottom w:val="single" w:sz="2" w:space="0" w:color="000000"/>
      </w:tblBorders>
    </w:tbl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tcPr>
    </w:tblStylePr>
    <w:tblStylePr w:type="lastRow">
      <w:tblPr/>
      <w:tcPr>
        <w:tcBorders>
          <w:top w:val="nil"/>
          <w:left w:val="nil"/>
          <w:bottom w:val="single" w:sz="2" w:space="0" w:color="000000"/>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1131">
    <w:name w:val="表格主题2113"/>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1">
    <w:name w:val="g11"/>
    <w:uiPriority w:val="99"/>
    <w:unhideWhenUsed/>
    <w:qFormat/>
    <w:tblPr>
      <w:tblCellMar>
        <w:top w:w="0" w:type="dxa"/>
        <w:left w:w="108" w:type="dxa"/>
        <w:bottom w:w="0" w:type="dxa"/>
        <w:right w:w="108" w:type="dxa"/>
      </w:tblCellMar>
    </w:tblPr>
  </w:style>
  <w:style w:type="table" w:customStyle="1" w:styleId="2212">
    <w:name w:val="网格型22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表格主题123"/>
    <w:basedOn w:val="a1"/>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2">
    <w:name w:val="简明型 2113"/>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f4">
    <w:name w:val="古典型 21"/>
    <w:basedOn w:val="a1"/>
    <w:uiPriority w:val="99"/>
    <w:semiHidden/>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340">
    <w:name w:val="网格型1134"/>
    <w:basedOn w:val="a1"/>
    <w:semiHidden/>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0">
    <w:name w:val="列表型 333"/>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PPStable1124">
    <w:name w:val="PPS table1124"/>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hAnsi="微软雅黑"/>
        <w:b/>
        <w:sz w:val="21"/>
      </w:rPr>
      <w:tblPr>
        <w:jc w:val="center"/>
      </w:tblPr>
      <w:trPr>
        <w:jc w:val="center"/>
      </w:trPr>
      <w:tcPr>
        <w:vAlign w:val="center"/>
      </w:tcPr>
    </w:tblStylePr>
  </w:style>
  <w:style w:type="table" w:customStyle="1" w:styleId="2211">
    <w:name w:val="网格型22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
    <w:name w:val="网格型11111"/>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3">
    <w:name w:val="典雅型123"/>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36">
    <w:name w:val="典雅型113"/>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1e">
    <w:name w:val="立体型 31"/>
    <w:basedOn w:val="a1"/>
    <w:semiHidden/>
    <w:qFormat/>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410">
    <w:name w:val="简明型 241"/>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2">
    <w:name w:val="网格型12112"/>
    <w:basedOn w:val="a1"/>
    <w:semiHidden/>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
    <w:name w:val="彩色型 31"/>
    <w:basedOn w:val="a1"/>
    <w:uiPriority w:val="99"/>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21340">
    <w:name w:val="简明型 2134"/>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210">
    <w:name w:val="简明型 2221"/>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0">
    <w:name w:val="网格型11211"/>
    <w:basedOn w:val="a1"/>
    <w:semiHidden/>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7">
    <w:name w:val="表格主题311"/>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7">
    <w:name w:val="简明型 212"/>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6150">
    <w:name w:val="网格型6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6">
    <w:name w:val="简明型 1211"/>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8e">
    <w:name w:val="典雅型8"/>
    <w:basedOn w:val="a1"/>
    <w:semiHidden/>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2120">
    <w:name w:val="简明型 2212"/>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PPStable112">
    <w:name w:val="PPS table112"/>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5113">
    <w:name w:val="网格型5113"/>
    <w:basedOn w:val="a1"/>
    <w:uiPriority w:val="59"/>
    <w:semiHidden/>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简明型 117"/>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311112">
    <w:name w:val="列表型 311112"/>
    <w:basedOn w:val="a1"/>
    <w:semiHidden/>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120">
    <w:name w:val="列表型 3112"/>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424">
    <w:name w:val="表格主题42"/>
    <w:basedOn w:val="a1"/>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
    <w:name w:val="典雅型124"/>
    <w:basedOn w:val="a1"/>
    <w:semiHidden/>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712">
    <w:name w:val="网格型71"/>
    <w:basedOn w:val="a1"/>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a">
    <w:name w:val="表格主题22"/>
    <w:basedOn w:val="a1"/>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网格型622"/>
    <w:basedOn w:val="a1"/>
    <w:uiPriority w:val="59"/>
    <w:semiHidden/>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简明型 2111"/>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53">
    <w:name w:val="表格主题25"/>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f0">
    <w:name w:val="网页型 31"/>
    <w:basedOn w:val="a1"/>
    <w:semiHidden/>
    <w:qFormat/>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fffff">
    <w:name w:val="典雅型1"/>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1120">
    <w:name w:val="简明型 11112"/>
    <w:basedOn w:val="a1"/>
    <w:semiHidden/>
    <w:qFormat/>
    <w:pPr>
      <w:widowControl w:val="0"/>
      <w:autoSpaceDE w:val="0"/>
      <w:autoSpaceDN w:val="0"/>
      <w:adjustRightInd w:val="0"/>
    </w:pPr>
    <w:tblPr>
      <w:tblBorders>
        <w:top w:val="single" w:sz="12" w:space="0" w:color="008000"/>
        <w:bottom w:val="single" w:sz="12" w:space="0" w:color="008000"/>
      </w:tblBorders>
    </w:tbl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813">
    <w:name w:val="网格型 81"/>
    <w:basedOn w:val="a1"/>
    <w:uiPriority w:val="99"/>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22240">
    <w:name w:val="简明型 2224"/>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31">
    <w:name w:val="网格型22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网格型1312"/>
    <w:basedOn w:val="a1"/>
    <w:semiHidden/>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3">
    <w:name w:val="表格主题214"/>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网格型5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6">
    <w:name w:val="表格主题221"/>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列表型 31121"/>
    <w:basedOn w:val="a1"/>
    <w:semiHidden/>
    <w:qFormat/>
    <w:tblPr>
      <w:tblBorders>
        <w:top w:val="single" w:sz="2" w:space="0" w:color="000000"/>
        <w:bottom w:val="single" w:sz="2" w:space="0" w:color="000000"/>
      </w:tblBorders>
    </w:tbl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tcPr>
    </w:tblStylePr>
    <w:tblStylePr w:type="lastRow">
      <w:tblPr/>
      <w:tcPr>
        <w:tcBorders>
          <w:top w:val="nil"/>
          <w:left w:val="nil"/>
          <w:bottom w:val="single" w:sz="2" w:space="0" w:color="000000"/>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f1">
    <w:name w:val="网格型 31"/>
    <w:basedOn w:val="a1"/>
    <w:uiPriority w:val="99"/>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11232">
    <w:name w:val="网格型1123"/>
    <w:basedOn w:val="a1"/>
    <w:semiHidden/>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f9">
    <w:name w:val="典雅型3"/>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232">
    <w:name w:val="简明型 223"/>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71">
    <w:name w:val="网格型2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PStable32">
    <w:name w:val="PPS table32"/>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1" w:afterLines="0" w:afterAutospacing="1" w:line="240" w:lineRule="auto"/>
      </w:pPr>
      <w:rPr>
        <w:rFonts w:ascii="微软雅黑" w:eastAsia="等线 Light" w:hAnsi="微软雅黑" w:cs="微软雅黑" w:hint="default"/>
        <w:b/>
        <w:sz w:val="21"/>
        <w:szCs w:val="21"/>
      </w:rPr>
      <w:tblPr/>
      <w:tcPr>
        <w:vAlign w:val="center"/>
      </w:tcPr>
    </w:tblStylePr>
  </w:style>
  <w:style w:type="table" w:customStyle="1" w:styleId="254">
    <w:name w:val="典雅型25"/>
    <w:basedOn w:val="a1"/>
    <w:semiHidden/>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PPStable1122">
    <w:name w:val="PPS table1122"/>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22113">
    <w:name w:val="简明型 22113"/>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110">
    <w:name w:val="简明型 2211"/>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16">
    <w:name w:val="无格式表格 51"/>
    <w:basedOn w:val="a1"/>
    <w:uiPriority w:val="45"/>
    <w:semiHidden/>
    <w:rPr>
      <w:rFonts w:ascii="Calibri" w:hAnsi="Calibri"/>
    </w:rPr>
    <w:tblPr>
      <w:tblStyleRowBandSize w:val="1"/>
      <w:tblStyleColBandSize w:val="1"/>
    </w:tblPr>
    <w:tblStylePr w:type="firstRow">
      <w:rPr>
        <w:rFonts w:ascii="楷体" w:eastAsia="Angsana New" w:hAnsi="楷体" w:cs="微软雅黑" w:hint="default"/>
        <w:i/>
        <w:iCs/>
        <w:sz w:val="26"/>
        <w:szCs w:val="26"/>
      </w:rPr>
      <w:tblPr/>
      <w:tcPr>
        <w:tcBorders>
          <w:top w:val="nil"/>
          <w:left w:val="nil"/>
          <w:bottom w:val="single" w:sz="4" w:space="0" w:color="7F7F7F"/>
          <w:right w:val="nil"/>
          <w:insideH w:val="nil"/>
          <w:insideV w:val="nil"/>
          <w:tl2br w:val="nil"/>
          <w:tr2bl w:val="nil"/>
        </w:tcBorders>
        <w:shd w:val="clear" w:color="auto" w:fill="FFFFFF"/>
      </w:tcPr>
    </w:tblStylePr>
    <w:tblStylePr w:type="lastRow">
      <w:rPr>
        <w:rFonts w:ascii="楷体" w:eastAsia="Angsana New" w:hAnsi="楷体" w:cs="微软雅黑" w:hint="default"/>
        <w:i/>
        <w:iCs/>
        <w:sz w:val="26"/>
        <w:szCs w:val="26"/>
      </w:rPr>
      <w:tblPr/>
      <w:tcPr>
        <w:tcBorders>
          <w:top w:val="single" w:sz="4" w:space="0" w:color="7F7F7F"/>
          <w:left w:val="nil"/>
          <w:bottom w:val="nil"/>
          <w:right w:val="nil"/>
          <w:insideH w:val="nil"/>
          <w:insideV w:val="nil"/>
          <w:tl2br w:val="nil"/>
          <w:tr2bl w:val="nil"/>
        </w:tcBorders>
        <w:shd w:val="clear" w:color="auto" w:fill="FFFFFF"/>
      </w:tcPr>
    </w:tblStylePr>
    <w:tblStylePr w:type="firstCol">
      <w:pPr>
        <w:jc w:val="right"/>
      </w:pPr>
      <w:rPr>
        <w:rFonts w:ascii="楷体" w:eastAsia="Angsana New" w:hAnsi="楷体" w:cs="微软雅黑" w:hint="default"/>
        <w:i/>
        <w:iCs/>
        <w:sz w:val="26"/>
        <w:szCs w:val="26"/>
      </w:rPr>
      <w:tblPr/>
      <w:tcPr>
        <w:tcBorders>
          <w:top w:val="nil"/>
          <w:left w:val="nil"/>
          <w:bottom w:val="nil"/>
          <w:right w:val="single" w:sz="4" w:space="0" w:color="7F7F7F"/>
          <w:insideH w:val="nil"/>
          <w:insideV w:val="nil"/>
          <w:tl2br w:val="nil"/>
          <w:tr2bl w:val="nil"/>
        </w:tcBorders>
        <w:shd w:val="clear" w:color="auto" w:fill="FFFFFF"/>
      </w:tcPr>
    </w:tblStylePr>
    <w:tblStylePr w:type="lastCol">
      <w:rPr>
        <w:rFonts w:ascii="楷体" w:eastAsia="Angsana New" w:hAnsi="楷体" w:cs="微软雅黑" w:hint="default"/>
        <w:i/>
        <w:iCs/>
        <w:sz w:val="26"/>
        <w:szCs w:val="26"/>
      </w:rPr>
      <w:tblPr/>
      <w:tcPr>
        <w:tcBorders>
          <w:top w:val="nil"/>
          <w:left w:val="single" w:sz="4" w:space="0" w:color="7F7F7F"/>
          <w:bottom w:val="nil"/>
          <w:right w:val="nil"/>
          <w:insideH w:val="nil"/>
          <w:insideV w:val="nil"/>
          <w:tl2br w:val="nil"/>
          <w:tr2bl w:val="nil"/>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customStyle="1" w:styleId="2217">
    <w:name w:val="简明型 221"/>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PPStable2114">
    <w:name w:val="PPS table2114"/>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hAnsi="微软雅黑"/>
        <w:b/>
        <w:sz w:val="21"/>
      </w:rPr>
      <w:tblPr>
        <w:jc w:val="center"/>
      </w:tblPr>
      <w:trPr>
        <w:jc w:val="center"/>
      </w:trPr>
      <w:tcPr>
        <w:vAlign w:val="center"/>
      </w:tcPr>
    </w:tblStylePr>
  </w:style>
  <w:style w:type="table" w:customStyle="1" w:styleId="21f5">
    <w:name w:val="彩色型 21"/>
    <w:basedOn w:val="a1"/>
    <w:uiPriority w:val="99"/>
    <w:semiHidden/>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11161">
    <w:name w:val="网格型1116"/>
    <w:basedOn w:val="a1"/>
    <w:semiHidden/>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a">
    <w:name w:val="典雅型13"/>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PPStable8">
    <w:name w:val="PPS table8"/>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hAnsi="微软雅黑"/>
        <w:b/>
        <w:sz w:val="21"/>
      </w:rPr>
      <w:tblPr>
        <w:jc w:val="center"/>
      </w:tblPr>
      <w:trPr>
        <w:jc w:val="center"/>
      </w:trPr>
      <w:tcPr>
        <w:vAlign w:val="center"/>
      </w:tcPr>
    </w:tblStylePr>
  </w:style>
  <w:style w:type="table" w:customStyle="1" w:styleId="165">
    <w:name w:val="网格型16"/>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f6">
    <w:name w:val="精巧型 21"/>
    <w:basedOn w:val="a1"/>
    <w:uiPriority w:val="99"/>
    <w:semiHidden/>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18">
    <w:name w:val="网格型3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列表型 332"/>
    <w:basedOn w:val="a1"/>
    <w:semiHidden/>
    <w:qFormat/>
    <w:tblPr>
      <w:tblBorders>
        <w:top w:val="single" w:sz="2" w:space="0" w:color="000000"/>
        <w:bottom w:val="single" w:sz="2" w:space="0" w:color="000000"/>
      </w:tblBorders>
    </w:tbl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tcPr>
    </w:tblStylePr>
    <w:tblStylePr w:type="lastRow">
      <w:tblPr/>
      <w:tcPr>
        <w:tcBorders>
          <w:top w:val="nil"/>
          <w:left w:val="nil"/>
          <w:bottom w:val="single" w:sz="2" w:space="0" w:color="000000"/>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11120">
    <w:name w:val="简明型 21112"/>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10">
    <w:name w:val="列表型 331"/>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118">
    <w:name w:val="典雅型211"/>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TableNormal1">
    <w:name w:val="Table Normal1"/>
    <w:uiPriority w:val="2"/>
    <w:unhideWhenUsed/>
    <w:qFormat/>
    <w:pPr>
      <w:widowControl w:val="0"/>
    </w:pPr>
    <w:rPr>
      <w:sz w:val="22"/>
      <w:szCs w:val="21"/>
      <w:lang w:eastAsia="en-US"/>
    </w:rPr>
    <w:tblPr>
      <w:tblCellMar>
        <w:top w:w="0" w:type="dxa"/>
        <w:left w:w="0" w:type="dxa"/>
        <w:bottom w:w="0" w:type="dxa"/>
        <w:right w:w="0" w:type="dxa"/>
      </w:tblCellMar>
    </w:tblPr>
  </w:style>
  <w:style w:type="table" w:customStyle="1" w:styleId="311113">
    <w:name w:val="列表型 311113"/>
    <w:basedOn w:val="a1"/>
    <w:semiHidden/>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11121">
    <w:name w:val="典雅型11112"/>
    <w:basedOn w:val="a1"/>
    <w:semiHidden/>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11111">
    <w:name w:val="列表型 311111"/>
    <w:basedOn w:val="a1"/>
    <w:semiHidden/>
    <w:tblPr>
      <w:tblBorders>
        <w:top w:val="single" w:sz="2" w:space="0" w:color="000000"/>
        <w:bottom w:val="single" w:sz="2" w:space="0" w:color="000000"/>
      </w:tblBorders>
    </w:tbl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tcPr>
    </w:tblStylePr>
    <w:tblStylePr w:type="lastRow">
      <w:tblPr/>
      <w:tcPr>
        <w:tcBorders>
          <w:top w:val="nil"/>
          <w:left w:val="nil"/>
          <w:bottom w:val="single" w:sz="2" w:space="0" w:color="000000"/>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7120">
    <w:name w:val="网格型712"/>
    <w:basedOn w:val="a1"/>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网格型1122"/>
    <w:basedOn w:val="a1"/>
    <w:semiHidden/>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0">
    <w:name w:val="网格型23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PStable215">
    <w:name w:val="PPS table215"/>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hAnsi="微软雅黑"/>
        <w:b/>
        <w:sz w:val="21"/>
      </w:rPr>
      <w:tblPr>
        <w:jc w:val="center"/>
      </w:tblPr>
      <w:trPr>
        <w:jc w:val="center"/>
      </w:trPr>
      <w:tcPr>
        <w:vAlign w:val="center"/>
      </w:tcPr>
    </w:tblStylePr>
  </w:style>
  <w:style w:type="table" w:customStyle="1" w:styleId="1343">
    <w:name w:val="典雅型134"/>
    <w:basedOn w:val="a1"/>
    <w:semiHidden/>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PPStable26">
    <w:name w:val="PPS table26"/>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hAnsi="微软雅黑"/>
        <w:b/>
        <w:sz w:val="21"/>
      </w:rPr>
      <w:tblPr>
        <w:jc w:val="center"/>
      </w:tblPr>
      <w:trPr>
        <w:jc w:val="center"/>
      </w:trPr>
      <w:tcPr>
        <w:vAlign w:val="center"/>
      </w:tcPr>
    </w:tblStylePr>
  </w:style>
  <w:style w:type="table" w:customStyle="1" w:styleId="12211">
    <w:name w:val="简明型 1221"/>
    <w:basedOn w:val="a1"/>
    <w:semiHidden/>
    <w:qFormat/>
    <w:pPr>
      <w:widowControl w:val="0"/>
      <w:autoSpaceDE w:val="0"/>
      <w:autoSpaceDN w:val="0"/>
      <w:adjustRightInd w:val="0"/>
    </w:pPr>
    <w:tblPr>
      <w:tblBorders>
        <w:top w:val="single" w:sz="12" w:space="0" w:color="008000"/>
        <w:bottom w:val="single" w:sz="12" w:space="0" w:color="008000"/>
      </w:tblBorders>
    </w:tbl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322">
    <w:name w:val="典雅型132"/>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270">
    <w:name w:val="网格型127"/>
    <w:basedOn w:val="a1"/>
    <w:uiPriority w:val="39"/>
    <w:semiHidden/>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1">
    <w:name w:val="Table Elegant1"/>
    <w:basedOn w:val="a1"/>
    <w:semiHidden/>
    <w:pPr>
      <w:widowControl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PPStable42">
    <w:name w:val="PPS table42"/>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111122">
    <w:name w:val="表格主题11112"/>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3">
    <w:name w:val="Table Theme3"/>
    <w:basedOn w:val="a1"/>
    <w:semiHidden/>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PStable111">
    <w:name w:val="PPS table111"/>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417">
    <w:name w:val="列表型 41"/>
    <w:basedOn w:val="a1"/>
    <w:uiPriority w:val="99"/>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22114">
    <w:name w:val="简明型 22114"/>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07">
    <w:name w:val="网格型10"/>
    <w:basedOn w:val="a1"/>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简明型 244"/>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30">
    <w:name w:val="网格型4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
    <w:name w:val="简明型 21213"/>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f2">
    <w:name w:val="表格主题31"/>
    <w:basedOn w:val="a1"/>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PStable115">
    <w:name w:val="PPS table115"/>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11216">
    <w:name w:val="简明型 1121"/>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171">
    <w:name w:val="网格型117"/>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0">
    <w:name w:val="列表型 3211"/>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2b">
    <w:name w:val="网格型12"/>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7">
    <w:name w:val="简明型 113"/>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218">
    <w:name w:val="典雅型121"/>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1320">
    <w:name w:val="列表型 3132"/>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1210">
    <w:name w:val="简明型 2121"/>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3">
    <w:name w:val="表格主题132"/>
    <w:basedOn w:val="a1"/>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列表型 31211"/>
    <w:basedOn w:val="a1"/>
    <w:semiHidden/>
    <w:tblPr>
      <w:tblBorders>
        <w:top w:val="single" w:sz="2" w:space="0" w:color="000000"/>
        <w:bottom w:val="single" w:sz="2" w:space="0" w:color="000000"/>
      </w:tblBorders>
    </w:tbl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tcPr>
    </w:tblStylePr>
    <w:tblStylePr w:type="lastRow">
      <w:tblPr/>
      <w:tcPr>
        <w:tcBorders>
          <w:top w:val="nil"/>
          <w:left w:val="nil"/>
          <w:bottom w:val="single" w:sz="2" w:space="0" w:color="000000"/>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11142">
    <w:name w:val="网格型11114"/>
    <w:basedOn w:val="a1"/>
    <w:semiHidden/>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6">
    <w:name w:val="网格型 61"/>
    <w:basedOn w:val="a1"/>
    <w:uiPriority w:val="99"/>
    <w:semiHidden/>
    <w:qFormat/>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420">
    <w:name w:val="列表型 342"/>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440">
    <w:name w:val="简明型 144"/>
    <w:basedOn w:val="a1"/>
    <w:semiHidden/>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425">
    <w:name w:val="典雅型42"/>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1131">
    <w:name w:val="典雅型11113"/>
    <w:basedOn w:val="a1"/>
    <w:semiHidden/>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650">
    <w:name w:val="网格型6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列表型 51"/>
    <w:basedOn w:val="a1"/>
    <w:uiPriority w:val="99"/>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1212">
    <w:name w:val="列表型 31212"/>
    <w:basedOn w:val="a1"/>
    <w:semiHidden/>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PPStable214">
    <w:name w:val="PPS table214"/>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175">
    <w:name w:val="简明型 17"/>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fffff0">
    <w:name w:val="招股书1"/>
    <w:basedOn w:val="a1"/>
    <w:uiPriority w:val="59"/>
    <w:qFormat/>
    <w:rPr>
      <w:sz w:val="22"/>
      <w:lang w:eastAsia="en-US" w:bidi="en-US"/>
    </w:rPr>
    <w:tblPr/>
    <w:tcPr>
      <w:shd w:val="clear" w:color="auto" w:fill="FFFFFF"/>
    </w:tcPr>
  </w:style>
  <w:style w:type="table" w:customStyle="1" w:styleId="237">
    <w:name w:val="网格型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网格型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网格型3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列表型 322"/>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PPStable1213">
    <w:name w:val="PPS table1213"/>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2ffff6">
    <w:name w:val="招股书表格（蓝）2"/>
    <w:basedOn w:val="a1"/>
    <w:uiPriority w:val="99"/>
    <w:semiHidden/>
    <w:qFormat/>
    <w:pPr>
      <w:jc w:val="center"/>
    </w:pPr>
    <w:tblPr>
      <w:tblBorders>
        <w:top w:val="thinThickSmallGap" w:sz="18" w:space="0" w:color="365F91"/>
        <w:bottom w:val="thickThinSmallGap" w:sz="18" w:space="0" w:color="365F91"/>
        <w:insideH w:val="single" w:sz="6" w:space="0" w:color="365F91"/>
        <w:insideV w:val="single" w:sz="6" w:space="0" w:color="365F91"/>
      </w:tblBorders>
    </w:tblPr>
    <w:tcPr>
      <w:vAlign w:val="center"/>
    </w:tcPr>
    <w:tblStylePr w:type="firstRow">
      <w:tblPr/>
      <w:tcPr>
        <w:shd w:val="clear" w:color="auto" w:fill="DAEEF3"/>
      </w:tcPr>
    </w:tblStylePr>
  </w:style>
  <w:style w:type="table" w:customStyle="1" w:styleId="32230">
    <w:name w:val="列表型 3223"/>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21120">
    <w:name w:val="简明型 12112"/>
    <w:basedOn w:val="a1"/>
    <w:semiHidden/>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4120">
    <w:name w:val="网格型4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0">
    <w:name w:val="网格型42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简明型 23"/>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33">
    <w:name w:val="表格主题223"/>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9">
    <w:name w:val="列表型 311"/>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1fa">
    <w:name w:val="招股书11"/>
    <w:basedOn w:val="a1"/>
    <w:uiPriority w:val="59"/>
    <w:semiHidden/>
    <w:rPr>
      <w:sz w:val="22"/>
      <w:lang w:eastAsia="en-US" w:bidi="en-US"/>
    </w:rPr>
    <w:tblPr/>
    <w:tcPr>
      <w:shd w:val="clear" w:color="auto" w:fill="FFFFFF"/>
    </w:tcPr>
  </w:style>
  <w:style w:type="table" w:customStyle="1" w:styleId="6113">
    <w:name w:val="网格型6113"/>
    <w:basedOn w:val="a1"/>
    <w:uiPriority w:val="59"/>
    <w:semiHidden/>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
    <w:name w:val="典雅型122"/>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36">
    <w:name w:val="网格型3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网格型6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0">
    <w:name w:val="网格型11215"/>
    <w:basedOn w:val="a1"/>
    <w:semiHidden/>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徐工-表格边框"/>
    <w:basedOn w:val="a1"/>
    <w:semiHidden/>
    <w:pPr>
      <w:jc w:val="right"/>
    </w:pPr>
    <w:rPr>
      <w:sz w:val="24"/>
    </w:rPr>
    <w:tblPr>
      <w:tblStyleRowBandSize w:val="1"/>
      <w:tblBorders>
        <w:insideH w:val="single" w:sz="4" w:space="0" w:color="006666"/>
        <w:insideV w:val="single" w:sz="4" w:space="0" w:color="006666"/>
      </w:tblBorders>
    </w:tblPr>
    <w:tcPr>
      <w:vAlign w:val="center"/>
    </w:tcPr>
    <w:tblStylePr w:type="firstRow">
      <w:tblPr/>
      <w:tcPr>
        <w:tcBorders>
          <w:top w:val="thinThickSmallGap" w:sz="24" w:space="0" w:color="006666"/>
          <w:left w:val="nil"/>
          <w:bottom w:val="nil"/>
          <w:right w:val="nil"/>
          <w:insideH w:val="nil"/>
          <w:insideV w:val="nil"/>
          <w:tl2br w:val="nil"/>
          <w:tr2bl w:val="nil"/>
        </w:tcBorders>
      </w:tcPr>
    </w:tblStylePr>
    <w:tblStylePr w:type="lastRow">
      <w:tblPr/>
      <w:tcPr>
        <w:tcBorders>
          <w:top w:val="nil"/>
          <w:left w:val="nil"/>
          <w:bottom w:val="thickThinSmallGap" w:sz="24" w:space="0" w:color="006666"/>
          <w:right w:val="nil"/>
          <w:insideH w:val="nil"/>
          <w:insideV w:val="nil"/>
          <w:tl2br w:val="nil"/>
          <w:tr2bl w:val="nil"/>
        </w:tcBorders>
      </w:tcPr>
    </w:tblStylePr>
    <w:tblStylePr w:type="firstCol">
      <w:pPr>
        <w:wordWrap/>
        <w:snapToGrid w:val="0"/>
        <w:spacing w:beforeLines="0" w:beforeAutospacing="1" w:afterLines="0" w:afterAutospacing="1" w:line="240" w:lineRule="auto"/>
        <w:jc w:val="both"/>
      </w:pPr>
    </w:tblStylePr>
  </w:style>
  <w:style w:type="table" w:customStyle="1" w:styleId="PPStable13">
    <w:name w:val="PPS table13"/>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TableNormal">
    <w:name w:val="Table Normal"/>
    <w:uiPriority w:val="2"/>
    <w:unhideWhenUsed/>
    <w:qFormat/>
    <w:tblPr>
      <w:tblCellMar>
        <w:top w:w="0" w:type="dxa"/>
        <w:left w:w="0" w:type="dxa"/>
        <w:bottom w:w="0" w:type="dxa"/>
        <w:right w:w="0" w:type="dxa"/>
      </w:tblCellMar>
    </w:tblPr>
  </w:style>
  <w:style w:type="table" w:customStyle="1" w:styleId="1fffff1">
    <w:name w:val="网格型1"/>
    <w:basedOn w:val="a1"/>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4">
    <w:name w:val="g14"/>
    <w:uiPriority w:val="99"/>
    <w:unhideWhenUsed/>
    <w:tblPr>
      <w:tblCellMar>
        <w:top w:w="0" w:type="dxa"/>
        <w:left w:w="108" w:type="dxa"/>
        <w:bottom w:w="0" w:type="dxa"/>
        <w:right w:w="108" w:type="dxa"/>
      </w:tblCellMar>
    </w:tblPr>
  </w:style>
  <w:style w:type="table" w:customStyle="1" w:styleId="2ffff7">
    <w:name w:val="网格型2"/>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网格型1215"/>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8">
    <w:name w:val="竖列型 51"/>
    <w:basedOn w:val="a1"/>
    <w:uiPriority w:val="99"/>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63">
    <w:name w:val="简明型 116"/>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66">
    <w:name w:val="典雅型16"/>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218">
    <w:name w:val="典雅型221"/>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PPStable15">
    <w:name w:val="PPS table15"/>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5110">
    <w:name w:val="网格型5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a">
    <w:name w:val="招股书3"/>
    <w:basedOn w:val="a1"/>
    <w:uiPriority w:val="59"/>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ff1">
    <w:name w:val="招股书表格（蓝）"/>
    <w:basedOn w:val="a1"/>
    <w:uiPriority w:val="99"/>
    <w:semiHidden/>
    <w:qFormat/>
    <w:pPr>
      <w:jc w:val="center"/>
    </w:pPr>
    <w:tblPr>
      <w:tblBorders>
        <w:top w:val="thinThickSmallGap" w:sz="18" w:space="0" w:color="365F91"/>
        <w:bottom w:val="thickThinSmallGap" w:sz="18" w:space="0" w:color="365F91"/>
        <w:insideH w:val="single" w:sz="6" w:space="0" w:color="365F91"/>
        <w:insideV w:val="single" w:sz="6" w:space="0" w:color="365F91"/>
      </w:tblBorders>
    </w:tblPr>
    <w:tcPr>
      <w:vAlign w:val="center"/>
    </w:tcPr>
    <w:tblStylePr w:type="firstRow">
      <w:tblPr/>
      <w:tcPr>
        <w:shd w:val="clear" w:color="auto" w:fill="DAEEF3"/>
      </w:tcPr>
    </w:tblStylePr>
  </w:style>
  <w:style w:type="table" w:customStyle="1" w:styleId="3ffb">
    <w:name w:val="网格型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网格型1132"/>
    <w:basedOn w:val="a1"/>
    <w:semiHidden/>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f9">
    <w:name w:val="表格主题4"/>
    <w:basedOn w:val="a1"/>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网格型144"/>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3">
    <w:name w:val="简明型 114"/>
    <w:basedOn w:val="a1"/>
    <w:semiHidden/>
    <w:qFormat/>
    <w:pPr>
      <w:widowControl w:val="0"/>
      <w:autoSpaceDE w:val="0"/>
      <w:autoSpaceDN w:val="0"/>
      <w:adjustRightInd w:val="0"/>
    </w:pPr>
    <w:tblPr>
      <w:tblBorders>
        <w:top w:val="single" w:sz="12" w:space="0" w:color="008000"/>
        <w:bottom w:val="single" w:sz="12" w:space="0" w:color="008000"/>
      </w:tblBorders>
    </w:tbl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519">
    <w:name w:val="网格型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网格型6112"/>
    <w:basedOn w:val="a1"/>
    <w:uiPriority w:val="59"/>
    <w:semiHidden/>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6">
    <w:name w:val="典雅型1112"/>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4110">
    <w:name w:val="网格型4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0">
    <w:name w:val="简明型 11123"/>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253">
    <w:name w:val="简明型 125"/>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2c">
    <w:name w:val="典雅型12"/>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1f7">
    <w:name w:val="网格型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简明型 111112"/>
    <w:basedOn w:val="a1"/>
    <w:semiHidden/>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111111">
    <w:name w:val="网格型111111"/>
    <w:basedOn w:val="a1"/>
    <w:semiHidden/>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30">
    <w:name w:val="网格型111113"/>
    <w:basedOn w:val="a1"/>
    <w:semiHidden/>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Theme11">
    <w:name w:val="Table Theme11"/>
    <w:basedOn w:val="a1"/>
    <w:semiHidden/>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网格型711"/>
    <w:basedOn w:val="a1"/>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a">
    <w:name w:val="典雅型4"/>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4130">
    <w:name w:val="网格型4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简明型 1212"/>
    <w:basedOn w:val="a1"/>
    <w:semiHidden/>
    <w:qFormat/>
    <w:pPr>
      <w:widowControl w:val="0"/>
      <w:autoSpaceDE w:val="0"/>
      <w:autoSpaceDN w:val="0"/>
      <w:adjustRightInd w:val="0"/>
    </w:pPr>
    <w:tblPr>
      <w:tblBorders>
        <w:top w:val="single" w:sz="12" w:space="0" w:color="008000"/>
        <w:bottom w:val="single" w:sz="12" w:space="0" w:color="008000"/>
      </w:tblBorders>
    </w:tbl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5210">
    <w:name w:val="网格型5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列表型 312"/>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311">
    <w:name w:val="列表型 3311"/>
    <w:basedOn w:val="a1"/>
    <w:semiHidden/>
    <w:tblPr>
      <w:tblBorders>
        <w:top w:val="single" w:sz="2" w:space="0" w:color="000000"/>
        <w:bottom w:val="single" w:sz="2" w:space="0" w:color="000000"/>
      </w:tblBorders>
    </w:tbl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tcPr>
    </w:tblStylePr>
    <w:tblStylePr w:type="lastRow">
      <w:tblPr/>
      <w:tcPr>
        <w:tcBorders>
          <w:top w:val="nil"/>
          <w:left w:val="nil"/>
          <w:bottom w:val="single" w:sz="2" w:space="0" w:color="000000"/>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127">
    <w:name w:val="简明型 112"/>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1311">
    <w:name w:val="简明型 1131"/>
    <w:basedOn w:val="a1"/>
    <w:semiHidden/>
    <w:qFormat/>
    <w:pPr>
      <w:widowControl w:val="0"/>
      <w:autoSpaceDE w:val="0"/>
      <w:autoSpaceDN w:val="0"/>
      <w:adjustRightInd w:val="0"/>
    </w:pPr>
    <w:tblPr>
      <w:tblBorders>
        <w:top w:val="single" w:sz="12" w:space="0" w:color="008000"/>
        <w:bottom w:val="single" w:sz="12" w:space="0" w:color="008000"/>
      </w:tblBorders>
    </w:tbl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442">
    <w:name w:val="典雅型44"/>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fb">
    <w:name w:val="网页型 11"/>
    <w:basedOn w:val="a1"/>
    <w:uiPriority w:val="99"/>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1f8">
    <w:name w:val="典雅型21"/>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153">
    <w:name w:val="表格主题215"/>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d">
    <w:name w:val="招股书表格12"/>
    <w:basedOn w:val="a1"/>
    <w:uiPriority w:val="99"/>
    <w:semiHidden/>
    <w:qFormat/>
    <w:pPr>
      <w:jc w:val="center"/>
    </w:pPr>
    <w:tblPr>
      <w:tblBorders>
        <w:top w:val="thinThickSmallGap" w:sz="18" w:space="0" w:color="365F91"/>
        <w:bottom w:val="thickThinSmallGap" w:sz="18" w:space="0" w:color="365F91"/>
        <w:insideH w:val="single" w:sz="6" w:space="0" w:color="365F91"/>
        <w:insideV w:val="single" w:sz="6" w:space="0" w:color="365F91"/>
      </w:tblBorders>
    </w:tblPr>
    <w:tcPr>
      <w:vAlign w:val="center"/>
    </w:tcPr>
    <w:tblStylePr w:type="firstRow">
      <w:tblPr/>
      <w:tcPr>
        <w:shd w:val="clear" w:color="auto" w:fill="DAEEF3"/>
      </w:tcPr>
    </w:tblStylePr>
  </w:style>
  <w:style w:type="table" w:customStyle="1" w:styleId="1fffff2">
    <w:name w:val="专业型1"/>
    <w:basedOn w:val="a1"/>
    <w:uiPriority w:val="99"/>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215">
    <w:name w:val="列表型 3215"/>
    <w:basedOn w:val="a1"/>
    <w:semiHidden/>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4114">
    <w:name w:val="网格型41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PStable12">
    <w:name w:val="PPS table12"/>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1153">
    <w:name w:val="简明型 115"/>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431">
    <w:name w:val="典雅型43"/>
    <w:basedOn w:val="a1"/>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PPStable1214">
    <w:name w:val="PPS table1214"/>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hAnsi="微软雅黑"/>
        <w:b/>
        <w:sz w:val="21"/>
      </w:rPr>
      <w:tblPr>
        <w:jc w:val="center"/>
      </w:tblPr>
      <w:trPr>
        <w:jc w:val="center"/>
      </w:trPr>
      <w:tcPr>
        <w:vAlign w:val="center"/>
      </w:tcPr>
    </w:tblStylePr>
  </w:style>
  <w:style w:type="table" w:customStyle="1" w:styleId="3214">
    <w:name w:val="列表型 3214"/>
    <w:basedOn w:val="a1"/>
    <w:semiHidden/>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316">
    <w:name w:val="简明型 131"/>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219">
    <w:name w:val="简明型 121"/>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11121">
    <w:name w:val="网格型21112"/>
    <w:basedOn w:val="a1"/>
    <w:semiHidden/>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网格型5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c">
    <w:name w:val="精巧型 11"/>
    <w:basedOn w:val="a1"/>
    <w:semiHidden/>
    <w:qFormat/>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3">
    <w:name w:val="简明型 141"/>
    <w:basedOn w:val="a1"/>
    <w:semiHidden/>
    <w:qFormat/>
    <w:pPr>
      <w:widowControl w:val="0"/>
      <w:autoSpaceDE w:val="0"/>
      <w:autoSpaceDN w:val="0"/>
      <w:adjustRightInd w:val="0"/>
    </w:pPr>
    <w:tblPr>
      <w:tblBorders>
        <w:top w:val="single" w:sz="12" w:space="0" w:color="008000"/>
        <w:bottom w:val="single" w:sz="12" w:space="0" w:color="008000"/>
      </w:tblBorders>
    </w:tbl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1212">
    <w:name w:val="简明型 21212"/>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40">
    <w:name w:val="简明型 111114"/>
    <w:basedOn w:val="a1"/>
    <w:semiHidden/>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3241">
    <w:name w:val="列表型 324"/>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180">
    <w:name w:val="网格型118"/>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31">
    <w:name w:val="网格型11123"/>
    <w:basedOn w:val="a1"/>
    <w:semiHidden/>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40">
    <w:name w:val="列表型 3124"/>
    <w:basedOn w:val="a1"/>
    <w:semiHidden/>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76">
    <w:name w:val="典雅型17"/>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2140">
    <w:name w:val="网格型11214"/>
    <w:basedOn w:val="a1"/>
    <w:semiHidden/>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30">
    <w:name w:val="简明型 1223"/>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630">
    <w:name w:val="网格型6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2">
    <w:name w:val="简明型 1214"/>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11240">
    <w:name w:val="简明型 21124"/>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32">
    <w:name w:val="表格主题43"/>
    <w:basedOn w:val="a1"/>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3">
    <w:name w:val="表格主题5"/>
    <w:basedOn w:val="a1"/>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PStable34">
    <w:name w:val="PPS table34"/>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3135">
    <w:name w:val="列表型 313"/>
    <w:basedOn w:val="a1"/>
    <w:semiHidden/>
    <w:qFormat/>
    <w:tblPr>
      <w:tblBorders>
        <w:top w:val="single" w:sz="2" w:space="0" w:color="000000"/>
        <w:bottom w:val="single" w:sz="2" w:space="0" w:color="000000"/>
      </w:tblBorders>
    </w:tblPr>
    <w:tcPr>
      <w:shd w:val="clear" w:color="auto" w:fill="auto"/>
    </w:tcPr>
    <w:tblStylePr w:type="firstRow">
      <w:rPr>
        <w:b/>
        <w:bCs/>
        <w:color w:val="000080"/>
      </w:rPr>
      <w:tblPr/>
      <w:tcPr>
        <w:tcBorders>
          <w:top w:val="single" w:sz="2" w:space="0" w:color="000000"/>
          <w:left w:val="nil"/>
          <w:bottom w:val="single" w:sz="2" w:space="0" w:color="000000"/>
          <w:right w:val="nil"/>
          <w:insideH w:val="nil"/>
          <w:insideV w:val="nil"/>
          <w:tl2br w:val="nil"/>
          <w:tr2bl w:val="nil"/>
        </w:tcBorders>
        <w:shd w:val="clear" w:color="auto" w:fill="auto"/>
      </w:tcPr>
    </w:tblStylePr>
    <w:tblStylePr w:type="lastRow">
      <w:tblPr/>
      <w:tcPr>
        <w:tcBorders>
          <w:top w:val="nil"/>
          <w:left w:val="nil"/>
          <w:bottom w:val="single" w:sz="2" w:space="0" w:color="000000"/>
          <w:right w:val="nil"/>
          <w:insideH w:val="nil"/>
          <w:insideV w:val="nil"/>
          <w:tl2br w:val="nil"/>
          <w:tr2bl w:val="nil"/>
        </w:tcBorders>
        <w:shd w:val="clear" w:color="auto" w:fill="auto"/>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1230">
    <w:name w:val="网格型2123"/>
    <w:basedOn w:val="a1"/>
    <w:semiHidden/>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c">
    <w:name w:val="招股书表格（蓝）3"/>
    <w:basedOn w:val="a1"/>
    <w:uiPriority w:val="99"/>
    <w:semiHidden/>
    <w:qFormat/>
    <w:pPr>
      <w:jc w:val="center"/>
    </w:pPr>
    <w:tblPr>
      <w:tblBorders>
        <w:top w:val="thinThickSmallGap" w:sz="18" w:space="0" w:color="365F91"/>
        <w:bottom w:val="thickThinSmallGap" w:sz="18" w:space="0" w:color="365F91"/>
        <w:insideH w:val="single" w:sz="6" w:space="0" w:color="365F91"/>
        <w:insideV w:val="single" w:sz="6" w:space="0" w:color="365F91"/>
      </w:tblBorders>
    </w:tblPr>
    <w:tcPr>
      <w:vAlign w:val="center"/>
    </w:tcPr>
    <w:tblStylePr w:type="firstRow">
      <w:tblPr/>
      <w:tcPr>
        <w:shd w:val="clear" w:color="auto" w:fill="DAEEF3"/>
      </w:tcPr>
    </w:tblStylePr>
  </w:style>
  <w:style w:type="table" w:customStyle="1" w:styleId="PPStable1115">
    <w:name w:val="PPS table1115"/>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hAnsi="微软雅黑"/>
        <w:b/>
        <w:sz w:val="21"/>
      </w:rPr>
      <w:tblPr>
        <w:jc w:val="center"/>
      </w:tblPr>
      <w:trPr>
        <w:jc w:val="center"/>
      </w:trPr>
      <w:tcPr>
        <w:vAlign w:val="center"/>
      </w:tcPr>
    </w:tblStylePr>
  </w:style>
  <w:style w:type="table" w:customStyle="1" w:styleId="1227">
    <w:name w:val="表格主题122"/>
    <w:basedOn w:val="a1"/>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
    <w:name w:val="表格主题11113"/>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1">
    <w:name w:val="简明型 11214"/>
    <w:basedOn w:val="a1"/>
    <w:semiHidden/>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12130">
    <w:name w:val="网格型11213"/>
    <w:basedOn w:val="a1"/>
    <w:semiHidden/>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列表型 38"/>
    <w:basedOn w:val="a1"/>
    <w:semiHidden/>
    <w:qFormat/>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110">
    <w:name w:val="网格型3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3">
    <w:name w:val="典雅型224"/>
    <w:basedOn w:val="a1"/>
    <w:semiHidden/>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PPStable3">
    <w:name w:val="PPS table3"/>
    <w:basedOn w:val="a1"/>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微软雅黑" w:eastAsia="等线 Light" w:hAnsi="微软雅黑"/>
        <w:b/>
        <w:sz w:val="21"/>
      </w:rPr>
      <w:tblPr>
        <w:jc w:val="center"/>
      </w:tblPr>
      <w:trPr>
        <w:jc w:val="center"/>
      </w:trPr>
      <w:tcPr>
        <w:vAlign w:val="center"/>
      </w:tcPr>
    </w:tblStylePr>
  </w:style>
  <w:style w:type="table" w:customStyle="1" w:styleId="624">
    <w:name w:val="网格型624"/>
    <w:basedOn w:val="a1"/>
    <w:uiPriority w:val="59"/>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a">
    <w:name w:val="典雅型311"/>
    <w:basedOn w:val="a1"/>
    <w:semiHidden/>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170">
    <w:name w:val="简明型 217"/>
    <w:basedOn w:val="a1"/>
    <w:semiHidden/>
    <w:rPr>
      <w:rFonts w:ascii="Arial" w:hAnsi="Arial" w:cs="Arial"/>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12">
    <w:name w:val="网格型41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d">
    <w:name w:val="古典型 11"/>
    <w:basedOn w:val="a1"/>
    <w:uiPriority w:val="99"/>
    <w:semiHidden/>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9">
    <w:name w:val="竖列型 41"/>
    <w:basedOn w:val="a1"/>
    <w:uiPriority w:val="99"/>
    <w:semiHidden/>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f4">
    <w:name w:val="网格型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简明型 133"/>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219">
    <w:name w:val="网格型2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6">
    <w:name w:val="表格主题2111"/>
    <w:basedOn w:val="a1"/>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b">
    <w:name w:val="简明型 13"/>
    <w:basedOn w:val="a1"/>
    <w:semiHidden/>
    <w:qFormat/>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character" w:customStyle="1" w:styleId="z-Char">
    <w:name w:val="z-窗体底端 Char"/>
    <w:uiPriority w:val="99"/>
    <w:semiHidden/>
    <w:qFormat/>
    <w:rPr>
      <w:rFonts w:ascii="Wingdings" w:hAnsi="Wingdings" w:cs="Wingdings"/>
      <w:vanish/>
      <w:sz w:val="16"/>
      <w:szCs w:val="16"/>
    </w:rPr>
  </w:style>
  <w:style w:type="character" w:customStyle="1" w:styleId="Char33">
    <w:name w:val="称呼 Char3"/>
    <w:semiHidden/>
    <w:qFormat/>
    <w:rPr>
      <w:rFonts w:cs="Symbol"/>
      <w:b/>
      <w:sz w:val="24"/>
    </w:rPr>
  </w:style>
  <w:style w:type="character" w:customStyle="1" w:styleId="Charfffff5">
    <w:name w:val="五级新新标题 Char"/>
    <w:semiHidden/>
    <w:qFormat/>
    <w:rPr>
      <w:rFonts w:ascii="Cambria Math" w:eastAsia="Cambria Math" w:hAnsi="Cambria Math" w:cs="Cambria Math"/>
      <w:kern w:val="0"/>
      <w:sz w:val="24"/>
      <w:szCs w:val="24"/>
    </w:rPr>
  </w:style>
  <w:style w:type="character" w:customStyle="1" w:styleId="HTML30">
    <w:name w:val="HTML 地址 字符3"/>
    <w:semiHidden/>
    <w:rPr>
      <w:rFonts w:ascii="Arial" w:eastAsia="Arial" w:hAnsi="Arial"/>
      <w:i/>
      <w:iCs/>
      <w:sz w:val="24"/>
      <w:szCs w:val="24"/>
    </w:rPr>
  </w:style>
  <w:style w:type="character" w:customStyle="1" w:styleId="09Char">
    <w:name w:val="09资料来源 Char"/>
    <w:uiPriority w:val="99"/>
    <w:semiHidden/>
    <w:qFormat/>
    <w:locked/>
    <w:rPr>
      <w:rFonts w:ascii="Times New Roman" w:hAnsi="Cambria Math"/>
      <w:i/>
      <w:iCs/>
      <w:color w:val="003366"/>
      <w:kern w:val="2"/>
      <w:sz w:val="15"/>
      <w:szCs w:val="16"/>
      <w:lang w:bidi="ar-SA"/>
    </w:rPr>
  </w:style>
  <w:style w:type="character" w:customStyle="1" w:styleId="e01">
    <w:name w:val="e01"/>
    <w:semiHidden/>
  </w:style>
  <w:style w:type="character" w:customStyle="1" w:styleId="Charfffff6">
    <w:name w:val="七级标题 Char"/>
    <w:semiHidden/>
    <w:qFormat/>
    <w:rPr>
      <w:rFonts w:hAnsi="Cambria Math"/>
      <w:b/>
      <w:kern w:val="2"/>
      <w:sz w:val="24"/>
      <w:szCs w:val="24"/>
    </w:rPr>
  </w:style>
  <w:style w:type="character" w:customStyle="1" w:styleId="426">
    <w:name w:val="标题 4 字符2"/>
    <w:semiHidden/>
    <w:qFormat/>
    <w:rPr>
      <w:rFonts w:ascii="Arial" w:eastAsia="黑体" w:hAnsi="Arial" w:cs="Times New Roman"/>
      <w:b/>
      <w:bCs/>
      <w:kern w:val="0"/>
      <w:sz w:val="28"/>
      <w:szCs w:val="28"/>
    </w:rPr>
  </w:style>
  <w:style w:type="character" w:customStyle="1" w:styleId="2ffff8">
    <w:name w:val="明显引用 字符2"/>
    <w:uiPriority w:val="99"/>
    <w:semiHidden/>
    <w:rPr>
      <w:rFonts w:ascii="Times New Roman" w:hAnsi="Times New Roman"/>
      <w:i/>
      <w:iCs/>
      <w:color w:val="4F81BD"/>
      <w:kern w:val="2"/>
      <w:sz w:val="21"/>
      <w:szCs w:val="24"/>
    </w:rPr>
  </w:style>
  <w:style w:type="character" w:customStyle="1" w:styleId="2ffff9">
    <w:name w:val="未处理的提及2"/>
    <w:uiPriority w:val="99"/>
    <w:semiHidden/>
    <w:qFormat/>
    <w:rPr>
      <w:color w:val="605E5C"/>
      <w:shd w:val="clear" w:color="auto" w:fill="E1DFDD"/>
    </w:rPr>
  </w:style>
  <w:style w:type="character" w:customStyle="1" w:styleId="Char1fc">
    <w:name w:val="招股书正文 Char1"/>
    <w:semiHidden/>
    <w:rPr>
      <w:rFonts w:eastAsia="Arial Bold"/>
      <w:sz w:val="24"/>
      <w:szCs w:val="24"/>
    </w:rPr>
  </w:style>
  <w:style w:type="character" w:customStyle="1" w:styleId="Char34">
    <w:name w:val="批注文字 Char3"/>
    <w:uiPriority w:val="99"/>
    <w:semiHidden/>
    <w:qFormat/>
    <w:rPr>
      <w:rFonts w:ascii="Cambria Math" w:eastAsia="Cambria Math" w:hAnsi="Cambria Math"/>
      <w:kern w:val="2"/>
      <w:sz w:val="21"/>
      <w:szCs w:val="22"/>
      <w:lang w:val="en-US" w:eastAsia="zh-CN" w:bidi="ar-SA"/>
    </w:rPr>
  </w:style>
  <w:style w:type="character" w:customStyle="1" w:styleId="Charfffff7">
    <w:name w:val="小表格 Char"/>
    <w:semiHidden/>
    <w:rPr>
      <w:rFonts w:ascii="Cambria Math" w:hAnsi="Cambria Math" w:cs="Cambria Math"/>
      <w:bCs/>
      <w:sz w:val="21"/>
      <w:szCs w:val="21"/>
    </w:rPr>
  </w:style>
  <w:style w:type="character" w:customStyle="1" w:styleId="badge22">
    <w:name w:val="badge22"/>
    <w:semiHidden/>
    <w:qFormat/>
    <w:rPr>
      <w:color w:val="909090"/>
      <w:sz w:val="12"/>
      <w:szCs w:val="12"/>
    </w:rPr>
  </w:style>
  <w:style w:type="character" w:customStyle="1" w:styleId="hover8">
    <w:name w:val="hover8"/>
    <w:semiHidden/>
    <w:qFormat/>
    <w:rPr>
      <w:rFonts w:eastAsia="Cambria Math"/>
      <w:kern w:val="2"/>
      <w:sz w:val="21"/>
      <w:shd w:val="clear" w:color="auto" w:fill="D2EFF9"/>
      <w:lang w:val="en-US" w:eastAsia="zh-CN" w:bidi="ar-SA"/>
    </w:rPr>
  </w:style>
  <w:style w:type="character" w:customStyle="1" w:styleId="badge27">
    <w:name w:val="badge27"/>
    <w:semiHidden/>
    <w:qFormat/>
    <w:rPr>
      <w:color w:val="128BED"/>
    </w:rPr>
  </w:style>
  <w:style w:type="character" w:customStyle="1" w:styleId="-22">
    <w:name w:val="彩色列表 - 着色 2 字符"/>
    <w:semiHidden/>
    <w:qFormat/>
    <w:rPr>
      <w:sz w:val="22"/>
    </w:rPr>
  </w:style>
  <w:style w:type="character" w:customStyle="1" w:styleId="Charfffff8">
    <w:name w:val="签名 Char"/>
    <w:semiHidden/>
    <w:qFormat/>
    <w:rPr>
      <w:kern w:val="2"/>
      <w:sz w:val="21"/>
      <w:szCs w:val="24"/>
    </w:rPr>
  </w:style>
  <w:style w:type="character" w:customStyle="1" w:styleId="Char29">
    <w:name w:val="纯文本 Char2"/>
    <w:semiHidden/>
    <w:qFormat/>
    <w:rPr>
      <w:rFonts w:ascii="Cambria Math" w:eastAsia="Cambria Math" w:hAnsi="Symbol"/>
      <w:kern w:val="2"/>
      <w:sz w:val="21"/>
      <w:lang w:val="en-US" w:eastAsia="zh-CN" w:bidi="ar-SA"/>
    </w:rPr>
  </w:style>
  <w:style w:type="character" w:customStyle="1" w:styleId="125Char">
    <w:name w:val="宋体小四1.25倍行距 Char"/>
    <w:semiHidden/>
    <w:qFormat/>
    <w:locked/>
    <w:rPr>
      <w:rFonts w:ascii="Cambria Math" w:hAnsi="Cambria Math"/>
      <w:sz w:val="24"/>
      <w:szCs w:val="24"/>
    </w:rPr>
  </w:style>
  <w:style w:type="character" w:customStyle="1" w:styleId="3Char5">
    <w:name w:val="标题  3 Char"/>
    <w:semiHidden/>
    <w:locked/>
    <w:rPr>
      <w:rFonts w:eastAsia="Symbol"/>
      <w:bCs/>
      <w:sz w:val="24"/>
    </w:rPr>
  </w:style>
  <w:style w:type="character" w:customStyle="1" w:styleId="1fffff3">
    <w:name w:val="明显强调1"/>
    <w:uiPriority w:val="21"/>
    <w:semiHidden/>
    <w:qFormat/>
    <w:rPr>
      <w:b/>
      <w:bCs/>
      <w:i/>
      <w:iCs/>
    </w:rPr>
  </w:style>
  <w:style w:type="character" w:customStyle="1" w:styleId="940">
    <w:name w:val="标题 9 字符4"/>
    <w:semiHidden/>
    <w:rPr>
      <w:rFonts w:ascii="Arial" w:eastAsia="黑体" w:hAnsi="Arial" w:cs="Times New Roman"/>
      <w:color w:val="000000"/>
      <w:kern w:val="0"/>
      <w:sz w:val="24"/>
      <w:szCs w:val="20"/>
    </w:rPr>
  </w:style>
  <w:style w:type="character" w:customStyle="1" w:styleId="black">
    <w:name w:val="black"/>
    <w:semiHidden/>
    <w:qFormat/>
    <w:rPr>
      <w:rFonts w:eastAsia="Cambria Math"/>
      <w:color w:val="000000"/>
      <w:kern w:val="2"/>
      <w:sz w:val="21"/>
      <w:u w:val="single"/>
      <w:lang w:val="en-US" w:eastAsia="zh-CN" w:bidi="ar-SA"/>
    </w:rPr>
  </w:style>
  <w:style w:type="character" w:customStyle="1" w:styleId="badge5">
    <w:name w:val="badge5"/>
    <w:semiHidden/>
    <w:qFormat/>
    <w:rPr>
      <w:color w:val="909090"/>
      <w:sz w:val="12"/>
      <w:szCs w:val="12"/>
    </w:rPr>
  </w:style>
  <w:style w:type="character" w:customStyle="1" w:styleId="1Char8">
    <w:name w:val="宝通1、级 Char"/>
    <w:semiHidden/>
    <w:locked/>
    <w:rPr>
      <w:rFonts w:ascii="宋体" w:hAnsi="Calibri"/>
      <w:b/>
      <w:sz w:val="24"/>
      <w:szCs w:val="24"/>
    </w:rPr>
  </w:style>
  <w:style w:type="character" w:customStyle="1" w:styleId="Charfffff9">
    <w:name w:val="正文 + 非加粗 Char"/>
    <w:semiHidden/>
    <w:rPr>
      <w:rFonts w:ascii="Arial" w:eastAsia="黑体" w:hAnsi="Arial"/>
      <w:b/>
      <w:bCs/>
      <w:kern w:val="2"/>
      <w:sz w:val="32"/>
      <w:szCs w:val="32"/>
      <w:lang w:val="en-US" w:eastAsia="zh-CN" w:bidi="ar-SA"/>
    </w:rPr>
  </w:style>
  <w:style w:type="character" w:customStyle="1" w:styleId="8-Char">
    <w:name w:val="8-单位 Char"/>
    <w:semiHidden/>
    <w:rPr>
      <w:szCs w:val="21"/>
    </w:rPr>
  </w:style>
  <w:style w:type="character" w:customStyle="1" w:styleId="Char35">
    <w:name w:val="批注主题 Char3"/>
    <w:uiPriority w:val="99"/>
    <w:semiHidden/>
    <w:qFormat/>
    <w:rPr>
      <w:rFonts w:ascii="Cambria Math" w:eastAsia="Cambria Math" w:hAnsi="Cambria Math"/>
      <w:b/>
      <w:bCs/>
      <w:kern w:val="2"/>
      <w:sz w:val="21"/>
      <w:szCs w:val="22"/>
      <w:lang w:val="en-US" w:eastAsia="zh-CN" w:bidi="ar-SA"/>
    </w:rPr>
  </w:style>
  <w:style w:type="character" w:customStyle="1" w:styleId="1-2">
    <w:name w:val="中等深浅底纹 1 - 着色 2 字符"/>
    <w:uiPriority w:val="1"/>
    <w:semiHidden/>
    <w:qFormat/>
    <w:rPr>
      <w:sz w:val="22"/>
    </w:rPr>
  </w:style>
  <w:style w:type="character" w:customStyle="1" w:styleId="stylekwd">
    <w:name w:val="style_kwd"/>
    <w:semiHidden/>
    <w:qFormat/>
  </w:style>
  <w:style w:type="character" w:customStyle="1" w:styleId="2-11">
    <w:name w:val="中等深浅网格 2 - 着色 1 字符1"/>
    <w:semiHidden/>
    <w:rPr>
      <w:sz w:val="22"/>
    </w:rPr>
  </w:style>
  <w:style w:type="character" w:customStyle="1" w:styleId="8Char">
    <w:name w:val="标题 8 Char"/>
    <w:aliases w:val="Legal Level 1.1.1. Char"/>
    <w:semiHidden/>
    <w:qFormat/>
    <w:rPr>
      <w:rFonts w:ascii="Wingdings" w:eastAsia="Symbol" w:hAnsi="Wingdings"/>
    </w:rPr>
  </w:style>
  <w:style w:type="character" w:customStyle="1" w:styleId="BodyTextChar">
    <w:name w:val="Body Text Char"/>
    <w:semiHidden/>
    <w:qFormat/>
    <w:locked/>
    <w:rPr>
      <w:rFonts w:eastAsia="Cambria Math"/>
      <w:kern w:val="2"/>
      <w:sz w:val="21"/>
      <w:lang w:val="en-US" w:eastAsia="zh-CN" w:bidi="ar-SA"/>
    </w:rPr>
  </w:style>
  <w:style w:type="character" w:customStyle="1" w:styleId="after">
    <w:name w:val="after"/>
    <w:semiHidden/>
    <w:qFormat/>
    <w:rPr>
      <w:shd w:val="clear" w:color="auto" w:fill="FFFFFF"/>
    </w:rPr>
  </w:style>
  <w:style w:type="character" w:customStyle="1" w:styleId="Char40">
    <w:name w:val="尾注文本 Char4"/>
    <w:uiPriority w:val="99"/>
    <w:semiHidden/>
    <w:rPr>
      <w:kern w:val="2"/>
      <w:sz w:val="21"/>
      <w:szCs w:val="24"/>
    </w:rPr>
  </w:style>
  <w:style w:type="character" w:customStyle="1" w:styleId="Charfffffa">
    <w:name w:val="附注三级 Char"/>
    <w:uiPriority w:val="99"/>
    <w:semiHidden/>
    <w:locked/>
    <w:rPr>
      <w:rFonts w:ascii="Cambria Math" w:hAnsi="Cambria Math"/>
      <w:b/>
      <w:bCs/>
      <w:kern w:val="2"/>
      <w:sz w:val="21"/>
      <w:szCs w:val="21"/>
    </w:rPr>
  </w:style>
  <w:style w:type="character" w:customStyle="1" w:styleId="Footer-EvenCharChar">
    <w:name w:val="Footer-Even Char Char"/>
    <w:semiHidden/>
    <w:qFormat/>
    <w:rPr>
      <w:kern w:val="2"/>
      <w:sz w:val="18"/>
      <w:szCs w:val="18"/>
    </w:rPr>
  </w:style>
  <w:style w:type="character" w:customStyle="1" w:styleId="337">
    <w:name w:val="正文文本缩进 3 字符3"/>
    <w:uiPriority w:val="99"/>
    <w:semiHidden/>
    <w:rPr>
      <w:rFonts w:ascii="宋体" w:eastAsia="宋体" w:hAnsi="宋体" w:cs="Times New Roman"/>
      <w:kern w:val="0"/>
      <w:sz w:val="24"/>
      <w:szCs w:val="28"/>
    </w:rPr>
  </w:style>
  <w:style w:type="character" w:customStyle="1" w:styleId="nlkfqirnlfjer1dfgzxcyiuro">
    <w:name w:val="nlkfqirnlfjer1dfgzxcyiuro"/>
    <w:semiHidden/>
    <w:qFormat/>
  </w:style>
  <w:style w:type="character" w:customStyle="1" w:styleId="title11">
    <w:name w:val="title11"/>
    <w:semiHidden/>
    <w:qFormat/>
  </w:style>
  <w:style w:type="character" w:customStyle="1" w:styleId="3ffd">
    <w:name w:val="副标题 字符3"/>
    <w:uiPriority w:val="11"/>
    <w:semiHidden/>
    <w:rPr>
      <w:rFonts w:ascii="Arial" w:eastAsia="宋体" w:hAnsi="Arial" w:cs="Times New Roman"/>
      <w:b/>
      <w:kern w:val="28"/>
      <w:sz w:val="32"/>
      <w:szCs w:val="20"/>
    </w:rPr>
  </w:style>
  <w:style w:type="character" w:customStyle="1" w:styleId="CommentSubjectChar">
    <w:name w:val="Comment Subject Char"/>
    <w:semiHidden/>
    <w:qFormat/>
    <w:locked/>
    <w:rPr>
      <w:rFonts w:ascii="Cambria Math" w:eastAsia="Cambria Math" w:hAnsi="Cambria Math"/>
      <w:b/>
      <w:bCs/>
      <w:kern w:val="2"/>
      <w:sz w:val="21"/>
      <w:lang w:val="en-US" w:eastAsia="zh-CN" w:bidi="ar-SA"/>
    </w:rPr>
  </w:style>
  <w:style w:type="character" w:customStyle="1" w:styleId="GBChar">
    <w:name w:val="更新（楷体GB加粗） Char"/>
    <w:semiHidden/>
    <w:qFormat/>
    <w:rPr>
      <w:rFonts w:ascii="Arial Bold" w:eastAsia="Arial Bold" w:hAnsi="Wingdings"/>
      <w:b/>
      <w:sz w:val="24"/>
      <w:szCs w:val="24"/>
    </w:rPr>
  </w:style>
  <w:style w:type="character" w:customStyle="1" w:styleId="Charfffffb">
    <w:name w:val="小三黑体 Char"/>
    <w:semiHidden/>
    <w:qFormat/>
    <w:locked/>
    <w:rPr>
      <w:rFonts w:ascii="Symbol" w:eastAsia="Symbol"/>
      <w:sz w:val="30"/>
      <w:szCs w:val="30"/>
    </w:rPr>
  </w:style>
  <w:style w:type="character" w:customStyle="1" w:styleId="2ffffa">
    <w:name w:val="占位符文本2"/>
    <w:semiHidden/>
    <w:qFormat/>
    <w:rPr>
      <w:color w:val="808080"/>
    </w:rPr>
  </w:style>
  <w:style w:type="character" w:customStyle="1" w:styleId="zcjy">
    <w:name w:val="zcjy"/>
    <w:semiHidden/>
    <w:qFormat/>
    <w:rPr>
      <w:rFonts w:eastAsia="Cambria Math"/>
      <w:kern w:val="2"/>
      <w:sz w:val="21"/>
      <w:shd w:val="clear" w:color="auto" w:fill="266EB4"/>
      <w:lang w:val="en-US" w:eastAsia="zh-CN" w:bidi="ar-SA"/>
    </w:rPr>
  </w:style>
  <w:style w:type="character" w:customStyle="1" w:styleId="txt21">
    <w:name w:val="txt21"/>
    <w:semiHidden/>
    <w:qFormat/>
    <w:rPr>
      <w:strike w:val="0"/>
      <w:dstrike w:val="0"/>
      <w:color w:val="0D6B00"/>
      <w:sz w:val="24"/>
      <w:szCs w:val="24"/>
      <w:u w:val="none"/>
    </w:rPr>
  </w:style>
  <w:style w:type="character" w:customStyle="1" w:styleId="Charfffffc">
    <w:name w:val="一、（招股书） Char"/>
    <w:semiHidden/>
    <w:qFormat/>
    <w:rPr>
      <w:rFonts w:ascii="Symbol" w:eastAsia="Symbol" w:hAnsi="Symbol"/>
      <w:b/>
      <w:sz w:val="28"/>
      <w:szCs w:val="28"/>
    </w:rPr>
  </w:style>
  <w:style w:type="character" w:customStyle="1" w:styleId="Char36">
    <w:name w:val="副标题 Char3"/>
    <w:uiPriority w:val="11"/>
    <w:semiHidden/>
    <w:qFormat/>
    <w:rPr>
      <w:rFonts w:ascii="黑体" w:hAnsi="黑体"/>
      <w:b/>
      <w:bCs/>
      <w:kern w:val="28"/>
      <w:sz w:val="32"/>
      <w:szCs w:val="32"/>
    </w:rPr>
  </w:style>
  <w:style w:type="character" w:customStyle="1" w:styleId="jianju1">
    <w:name w:val="jianju1"/>
    <w:semiHidden/>
    <w:qFormat/>
    <w:rPr>
      <w:color w:val="1344A8"/>
      <w:sz w:val="21"/>
      <w:szCs w:val="21"/>
    </w:rPr>
  </w:style>
  <w:style w:type="character" w:customStyle="1" w:styleId="3NRTChar">
    <w:name w:val="样式3 宋体/NRT/小四 Char"/>
    <w:semiHidden/>
    <w:qFormat/>
    <w:locked/>
    <w:rPr>
      <w:sz w:val="24"/>
      <w:szCs w:val="24"/>
    </w:rPr>
  </w:style>
  <w:style w:type="character" w:customStyle="1" w:styleId="hei141">
    <w:name w:val="hei141"/>
    <w:semiHidden/>
    <w:rPr>
      <w:sz w:val="14"/>
      <w:szCs w:val="14"/>
      <w:u w:val="none"/>
    </w:rPr>
  </w:style>
  <w:style w:type="character" w:customStyle="1" w:styleId="wait1">
    <w:name w:val="wait1"/>
    <w:semiHidden/>
    <w:rPr>
      <w:rFonts w:ascii="ˎ̥" w:hAnsi="ˎ̥" w:hint="default"/>
      <w:color w:val="000000"/>
      <w:sz w:val="18"/>
      <w:szCs w:val="18"/>
    </w:rPr>
  </w:style>
  <w:style w:type="character" w:customStyle="1" w:styleId="Charfffffd">
    <w:name w:val="小标题 Char"/>
    <w:semiHidden/>
    <w:rPr>
      <w:rFonts w:ascii="Cambria Math" w:hAnsi="Cambria Math" w:cs="Cambria Math"/>
      <w:b/>
      <w:kern w:val="2"/>
      <w:sz w:val="24"/>
      <w:szCs w:val="24"/>
    </w:rPr>
  </w:style>
  <w:style w:type="character" w:customStyle="1" w:styleId="Charfffffe">
    <w:name w:val="三号黑体 Char"/>
    <w:semiHidden/>
    <w:qFormat/>
    <w:locked/>
    <w:rPr>
      <w:rFonts w:ascii="Symbol" w:eastAsia="Symbol" w:hAnsi="黑体"/>
      <w:b/>
      <w:bCs/>
      <w:kern w:val="2"/>
      <w:sz w:val="32"/>
      <w:szCs w:val="32"/>
      <w:lang w:val="en-US" w:eastAsia="zh-CN" w:bidi="ar-SA"/>
    </w:rPr>
  </w:style>
  <w:style w:type="character" w:customStyle="1" w:styleId="Charffffff">
    <w:name w:val="主标题三 Char"/>
    <w:semiHidden/>
    <w:rPr>
      <w:rFonts w:ascii="Cambria Math" w:hAnsi="Cambria Math" w:cs="Cambria Math"/>
      <w:b/>
      <w:kern w:val="2"/>
      <w:sz w:val="24"/>
      <w:szCs w:val="24"/>
    </w:rPr>
  </w:style>
  <w:style w:type="character" w:customStyle="1" w:styleId="2ffffb">
    <w:name w:val="结束语 字符2"/>
    <w:semiHidden/>
    <w:locked/>
    <w:rPr>
      <w:rFonts w:ascii="Arial" w:eastAsia="Arial" w:hAnsi="Arial" w:cs="Arial"/>
      <w:sz w:val="24"/>
      <w:szCs w:val="24"/>
    </w:rPr>
  </w:style>
  <w:style w:type="character" w:customStyle="1" w:styleId="first-child">
    <w:name w:val="first-child"/>
    <w:semiHidden/>
  </w:style>
  <w:style w:type="character" w:customStyle="1" w:styleId="e011">
    <w:name w:val="e011"/>
    <w:semiHidden/>
    <w:qFormat/>
    <w:rPr>
      <w:sz w:val="21"/>
      <w:szCs w:val="21"/>
    </w:rPr>
  </w:style>
  <w:style w:type="character" w:customStyle="1" w:styleId="searchcontent1">
    <w:name w:val="search_content1"/>
    <w:semiHidden/>
    <w:rPr>
      <w:sz w:val="20"/>
      <w:szCs w:val="20"/>
    </w:rPr>
  </w:style>
  <w:style w:type="character" w:customStyle="1" w:styleId="Char2a">
    <w:name w:val="尾注文本 Char2"/>
    <w:semiHidden/>
    <w:qFormat/>
    <w:rPr>
      <w:rFonts w:ascii="Times New Roman" w:hAnsi="Times New Roman"/>
      <w:kern w:val="2"/>
      <w:sz w:val="21"/>
      <w:szCs w:val="24"/>
    </w:rPr>
  </w:style>
  <w:style w:type="character" w:customStyle="1" w:styleId="DocumentMapChar1">
    <w:name w:val="Document Map Char1"/>
    <w:semiHidden/>
    <w:rPr>
      <w:rFonts w:ascii="Tahoma" w:eastAsia="Arial" w:hAnsi="Tahoma" w:cs="Tahoma"/>
      <w:sz w:val="16"/>
      <w:szCs w:val="16"/>
    </w:rPr>
  </w:style>
  <w:style w:type="character" w:customStyle="1" w:styleId="2ffffc">
    <w:name w:val="批注文字 字符2"/>
    <w:uiPriority w:val="99"/>
    <w:semiHidden/>
    <w:qFormat/>
    <w:rPr>
      <w:rFonts w:ascii="Cambria Math" w:eastAsia="Cambria Math" w:hAnsi="Cambria Math"/>
      <w:kern w:val="2"/>
      <w:sz w:val="21"/>
      <w:szCs w:val="22"/>
      <w:lang w:val="en-US" w:eastAsia="zh-CN" w:bidi="ar-SA"/>
    </w:rPr>
  </w:style>
  <w:style w:type="character" w:customStyle="1" w:styleId="Level2-aCharChar1">
    <w:name w:val="Level 2 - (a) Char Char1"/>
    <w:semiHidden/>
    <w:rPr>
      <w:rFonts w:ascii="Arial" w:eastAsia="黑体" w:hAnsi="Arial"/>
      <w:b/>
      <w:bCs/>
      <w:kern w:val="2"/>
      <w:sz w:val="28"/>
      <w:szCs w:val="28"/>
    </w:rPr>
  </w:style>
  <w:style w:type="character" w:customStyle="1" w:styleId="aChar0">
    <w:name w:val="a表内数字 Char"/>
    <w:semiHidden/>
    <w:rPr>
      <w:rFonts w:ascii="Wingdings" w:hAnsi="Wingdings"/>
      <w:kern w:val="2"/>
      <w:sz w:val="21"/>
      <w:szCs w:val="21"/>
    </w:rPr>
  </w:style>
  <w:style w:type="character" w:customStyle="1" w:styleId="2-2Char">
    <w:name w:val="中等深浅网格 2 - 强调文字颜色 2 Char"/>
    <w:uiPriority w:val="29"/>
    <w:semiHidden/>
    <w:qFormat/>
    <w:rPr>
      <w:rFonts w:ascii="Cambria Math" w:eastAsia="Cambria Math" w:hAnsi="Cambria Math" w:cs="Times New Roman"/>
      <w:i/>
      <w:iCs/>
      <w:color w:val="000000"/>
    </w:rPr>
  </w:style>
  <w:style w:type="character" w:customStyle="1" w:styleId="3ffe">
    <w:name w:val="明显强调3"/>
    <w:uiPriority w:val="21"/>
    <w:semiHidden/>
    <w:qFormat/>
    <w:rPr>
      <w:b/>
      <w:bCs/>
      <w:i/>
      <w:iCs/>
      <w:color w:val="4F81BD"/>
    </w:rPr>
  </w:style>
  <w:style w:type="character" w:customStyle="1" w:styleId="2Char40">
    <w:name w:val="正文首行缩进 2 Char4"/>
    <w:uiPriority w:val="99"/>
    <w:semiHidden/>
    <w:rPr>
      <w:rFonts w:ascii="Cambria Math" w:eastAsia="Cambria Math" w:hAnsi="Cambria Math"/>
      <w:kern w:val="2"/>
      <w:sz w:val="21"/>
      <w:szCs w:val="24"/>
      <w:lang w:val="en-US" w:eastAsia="zh-CN" w:bidi="ar-SA"/>
    </w:rPr>
  </w:style>
  <w:style w:type="character" w:customStyle="1" w:styleId="525">
    <w:name w:val="标题 5 字符2"/>
    <w:semiHidden/>
    <w:qFormat/>
    <w:rPr>
      <w:rFonts w:ascii="宋体" w:eastAsia="宋体" w:hAnsi="宋体" w:cs="Times New Roman"/>
      <w:b/>
      <w:color w:val="000000"/>
      <w:kern w:val="0"/>
      <w:sz w:val="28"/>
      <w:szCs w:val="20"/>
    </w:rPr>
  </w:style>
  <w:style w:type="character" w:customStyle="1" w:styleId="CharCharf4">
    <w:name w:val="页脚 Char Char"/>
    <w:semiHidden/>
    <w:qFormat/>
    <w:rPr>
      <w:sz w:val="18"/>
      <w:szCs w:val="18"/>
    </w:rPr>
  </w:style>
  <w:style w:type="character" w:customStyle="1" w:styleId="hover1">
    <w:name w:val="hover1"/>
    <w:semiHidden/>
    <w:rPr>
      <w:shd w:val="clear" w:color="auto" w:fill="0084FF"/>
    </w:rPr>
  </w:style>
  <w:style w:type="character" w:customStyle="1" w:styleId="1fffff4">
    <w:name w:val="引用字符1"/>
    <w:uiPriority w:val="73"/>
    <w:semiHidden/>
    <w:rPr>
      <w:i/>
      <w:iCs/>
      <w:color w:val="404040"/>
      <w:kern w:val="2"/>
      <w:sz w:val="21"/>
      <w:szCs w:val="22"/>
    </w:rPr>
  </w:style>
  <w:style w:type="character" w:customStyle="1" w:styleId="2-1">
    <w:name w:val="中等深浅网格 2 - 强调文字颜色 1字符"/>
    <w:uiPriority w:val="1"/>
    <w:semiHidden/>
    <w:qFormat/>
    <w:rPr>
      <w:sz w:val="22"/>
    </w:rPr>
  </w:style>
  <w:style w:type="character" w:customStyle="1" w:styleId="246">
    <w:name w:val="正文首行缩进 2 字符4"/>
    <w:semiHidden/>
  </w:style>
  <w:style w:type="character" w:customStyle="1" w:styleId="9Char3">
    <w:name w:val="标题 9 Char3"/>
    <w:semiHidden/>
    <w:qFormat/>
    <w:rPr>
      <w:rFonts w:ascii="Wingdings" w:eastAsia="Symbol" w:hAnsi="Wingdings" w:cs="Times New Roman"/>
      <w:szCs w:val="21"/>
    </w:rPr>
  </w:style>
  <w:style w:type="character" w:customStyle="1" w:styleId="badge">
    <w:name w:val="badge"/>
    <w:semiHidden/>
    <w:qFormat/>
    <w:rPr>
      <w:shd w:val="clear" w:color="auto" w:fill="FFFFFF"/>
    </w:rPr>
  </w:style>
  <w:style w:type="character" w:customStyle="1" w:styleId="2ffffd">
    <w:name w:val="不明显参考2"/>
    <w:uiPriority w:val="31"/>
    <w:semiHidden/>
    <w:qFormat/>
    <w:rPr>
      <w:smallCaps/>
      <w:color w:val="C0504D"/>
      <w:u w:val="single"/>
    </w:rPr>
  </w:style>
  <w:style w:type="character" w:customStyle="1" w:styleId="affffffffffffffffffff2">
    <w:name w:val="样式 +中文正文 小五 黑色"/>
    <w:semiHidden/>
    <w:qFormat/>
    <w:rPr>
      <w:rFonts w:ascii="宋体" w:eastAsia="宋体" w:hAnsi="宋体"/>
      <w:color w:val="000000"/>
      <w:sz w:val="18"/>
    </w:rPr>
  </w:style>
  <w:style w:type="character" w:customStyle="1" w:styleId="spancontent">
    <w:name w:val="span_content"/>
    <w:semiHidden/>
  </w:style>
  <w:style w:type="character" w:customStyle="1" w:styleId="1-1Char">
    <w:name w:val="中等深浅底纹 1 - 着色 1 Char"/>
    <w:uiPriority w:val="1"/>
    <w:semiHidden/>
    <w:qFormat/>
    <w:rPr>
      <w:kern w:val="2"/>
      <w:sz w:val="21"/>
      <w:szCs w:val="22"/>
    </w:rPr>
  </w:style>
  <w:style w:type="character" w:customStyle="1" w:styleId="-112">
    <w:name w:val="浅色网格 - 着色 11"/>
    <w:uiPriority w:val="99"/>
    <w:semiHidden/>
    <w:rPr>
      <w:color w:val="808080"/>
    </w:rPr>
  </w:style>
  <w:style w:type="character" w:customStyle="1" w:styleId="badge25">
    <w:name w:val="badge25"/>
    <w:semiHidden/>
    <w:qFormat/>
    <w:rPr>
      <w:color w:val="909090"/>
      <w:sz w:val="12"/>
      <w:szCs w:val="12"/>
    </w:rPr>
  </w:style>
  <w:style w:type="character" w:customStyle="1" w:styleId="un12">
    <w:name w:val="un12"/>
    <w:semiHidden/>
  </w:style>
  <w:style w:type="character" w:customStyle="1" w:styleId="Charffffff0">
    <w:name w:val="宋体 不加粗 Char"/>
    <w:semiHidden/>
    <w:qFormat/>
    <w:locked/>
    <w:rPr>
      <w:bCs/>
      <w:sz w:val="24"/>
      <w:szCs w:val="24"/>
    </w:rPr>
  </w:style>
  <w:style w:type="character" w:customStyle="1" w:styleId="red">
    <w:name w:val="red"/>
    <w:semiHidden/>
    <w:qFormat/>
    <w:rPr>
      <w:rFonts w:eastAsia="Cambria Math"/>
      <w:color w:val="CC0000"/>
      <w:kern w:val="2"/>
      <w:sz w:val="21"/>
      <w:u w:val="single"/>
      <w:lang w:val="en-US" w:eastAsia="zh-CN" w:bidi="ar-SA"/>
    </w:rPr>
  </w:style>
  <w:style w:type="character" w:customStyle="1" w:styleId="t-051">
    <w:name w:val="t-051"/>
    <w:semiHidden/>
    <w:rPr>
      <w:rFonts w:hint="default"/>
      <w:color w:val="333333"/>
      <w:spacing w:val="375"/>
      <w:sz w:val="18"/>
      <w:szCs w:val="18"/>
      <w:u w:val="none"/>
    </w:rPr>
  </w:style>
  <w:style w:type="character" w:customStyle="1" w:styleId="1-6Char">
    <w:name w:val="1-6 Char"/>
    <w:semiHidden/>
    <w:qFormat/>
    <w:rPr>
      <w:rFonts w:ascii="Times New Roman" w:eastAsia="Cambria Math" w:hAnsi="Cambria Math" w:cs="Times New Roman"/>
      <w:sz w:val="24"/>
      <w:szCs w:val="24"/>
    </w:rPr>
  </w:style>
  <w:style w:type="character" w:customStyle="1" w:styleId="Char41">
    <w:name w:val="纯文本 Char4"/>
    <w:semiHidden/>
    <w:rPr>
      <w:rFonts w:ascii="Cambria Math" w:eastAsia="Cambria Math" w:hAnsi="Symbol" w:cs="Symbol"/>
      <w:szCs w:val="21"/>
    </w:rPr>
  </w:style>
  <w:style w:type="character" w:customStyle="1" w:styleId="Char37">
    <w:name w:val="正文文本 Char3"/>
    <w:uiPriority w:val="99"/>
    <w:semiHidden/>
    <w:qFormat/>
    <w:rPr>
      <w:rFonts w:cs="Times New Roman"/>
      <w:sz w:val="3276"/>
      <w:szCs w:val="3276"/>
    </w:rPr>
  </w:style>
  <w:style w:type="character" w:customStyle="1" w:styleId="1fffff5">
    <w:name w:val="称呼字符1"/>
    <w:semiHidden/>
    <w:rPr>
      <w:sz w:val="24"/>
    </w:rPr>
  </w:style>
  <w:style w:type="character" w:customStyle="1" w:styleId="badge21">
    <w:name w:val="badge21"/>
    <w:semiHidden/>
    <w:qFormat/>
    <w:rPr>
      <w:shd w:val="clear" w:color="auto" w:fill="FFFFFF"/>
    </w:rPr>
  </w:style>
  <w:style w:type="character" w:customStyle="1" w:styleId="3Char20">
    <w:name w:val="正文文本缩进 3 Char2"/>
    <w:semiHidden/>
    <w:qFormat/>
    <w:rPr>
      <w:rFonts w:ascii="Times New Roman" w:hAnsi="Times New Roman"/>
      <w:kern w:val="2"/>
      <w:sz w:val="16"/>
      <w:szCs w:val="16"/>
    </w:rPr>
  </w:style>
  <w:style w:type="character" w:customStyle="1" w:styleId="affffffffffffffffffff3">
    <w:name w:val="消息标题号"/>
    <w:semiHidden/>
    <w:rPr>
      <w:rFonts w:ascii="Arial" w:eastAsia="黑体" w:hAnsi="Arial"/>
      <w:b/>
      <w:spacing w:val="-4"/>
      <w:sz w:val="21"/>
      <w:lang w:eastAsia="zh-CN"/>
    </w:rPr>
  </w:style>
  <w:style w:type="character" w:customStyle="1" w:styleId="1-1">
    <w:name w:val="中等深浅底纹 1 - 强调文字颜色 1字符"/>
    <w:semiHidden/>
    <w:qFormat/>
    <w:rPr>
      <w:sz w:val="22"/>
    </w:rPr>
  </w:style>
  <w:style w:type="character" w:customStyle="1" w:styleId="Char42">
    <w:name w:val="脚注文本 Char4"/>
    <w:semiHidden/>
    <w:qFormat/>
    <w:rPr>
      <w:rFonts w:ascii="Times New Roman" w:eastAsia="Cambria Math" w:hAnsi="Times New Roman" w:cs="Times New Roman"/>
      <w:sz w:val="18"/>
      <w:szCs w:val="18"/>
    </w:rPr>
  </w:style>
  <w:style w:type="character" w:customStyle="1" w:styleId="rdstyle23">
    <w:name w:val="rd style23"/>
    <w:semiHidden/>
    <w:qFormat/>
  </w:style>
  <w:style w:type="character" w:customStyle="1" w:styleId="6f2">
    <w:name w:val="不明显参考6"/>
    <w:uiPriority w:val="31"/>
    <w:semiHidden/>
    <w:qFormat/>
    <w:rPr>
      <w:smallCaps/>
      <w:color w:val="C0504D"/>
      <w:u w:val="single"/>
    </w:rPr>
  </w:style>
  <w:style w:type="character" w:customStyle="1" w:styleId="mtitle1">
    <w:name w:val="mtitle1"/>
    <w:semiHidden/>
    <w:rPr>
      <w:rFonts w:ascii="Cambria Math" w:eastAsia="Cambria Math" w:hAnsi="Cambria Math" w:cs="Cambria Math"/>
      <w:b/>
      <w:bCs/>
      <w:color w:val="auto"/>
      <w:spacing w:val="0"/>
      <w:sz w:val="28"/>
      <w:szCs w:val="28"/>
    </w:rPr>
  </w:style>
  <w:style w:type="character" w:customStyle="1" w:styleId="p91">
    <w:name w:val="p91"/>
    <w:semiHidden/>
    <w:rPr>
      <w:rFonts w:ascii="Cambria Math" w:eastAsia="Cambria Math" w:hAnsi="Cambria Math" w:hint="eastAsia"/>
      <w:sz w:val="20"/>
      <w:szCs w:val="20"/>
    </w:rPr>
  </w:style>
  <w:style w:type="character" w:customStyle="1" w:styleId="z-Char4">
    <w:name w:val="z-窗体顶端 Char4"/>
    <w:uiPriority w:val="99"/>
    <w:semiHidden/>
    <w:rPr>
      <w:rFonts w:ascii="Wingdings" w:hAnsi="Wingdings" w:cs="Wingdings"/>
      <w:vanish/>
      <w:sz w:val="16"/>
      <w:szCs w:val="16"/>
    </w:rPr>
  </w:style>
  <w:style w:type="character" w:customStyle="1" w:styleId="DeltaViewDeletion">
    <w:name w:val="DeltaView Deletion"/>
    <w:semiHidden/>
    <w:rPr>
      <w:strike/>
      <w:color w:val="FF0000"/>
      <w:spacing w:val="0"/>
    </w:rPr>
  </w:style>
  <w:style w:type="character" w:customStyle="1" w:styleId="7e">
    <w:name w:val="明显参考7"/>
    <w:uiPriority w:val="32"/>
    <w:semiHidden/>
    <w:qFormat/>
    <w:rPr>
      <w:b/>
      <w:bCs/>
      <w:smallCaps/>
      <w:color w:val="C0504D"/>
      <w:spacing w:val="5"/>
      <w:u w:val="single"/>
    </w:rPr>
  </w:style>
  <w:style w:type="character" w:customStyle="1" w:styleId="YPChar">
    <w:name w:val="YP二级标题 Char"/>
    <w:semiHidden/>
    <w:rPr>
      <w:rFonts w:ascii="Symbol" w:eastAsia="Symbol" w:hAnsi="Symbol" w:cs="Wingdings"/>
      <w:bCs/>
      <w:color w:val="000000"/>
      <w:sz w:val="24"/>
      <w:szCs w:val="24"/>
    </w:rPr>
  </w:style>
  <w:style w:type="character" w:customStyle="1" w:styleId="pp0">
    <w:name w:val="pp"/>
    <w:semiHidden/>
  </w:style>
  <w:style w:type="character" w:customStyle="1" w:styleId="VIChar">
    <w:name w:val="VI 正文格式 Char"/>
    <w:semiHidden/>
    <w:qFormat/>
    <w:rPr>
      <w:rFonts w:ascii="Cambria Math" w:hAnsi="Cambria Math"/>
      <w:sz w:val="24"/>
    </w:rPr>
  </w:style>
  <w:style w:type="character" w:customStyle="1" w:styleId="Partreference">
    <w:name w:val="Part reference"/>
    <w:semiHidden/>
    <w:qFormat/>
    <w:rPr>
      <w:b/>
      <w:sz w:val="16"/>
    </w:rPr>
  </w:style>
  <w:style w:type="character" w:customStyle="1" w:styleId="z-Char2">
    <w:name w:val="z-窗体底端 Char2"/>
    <w:semiHidden/>
    <w:qFormat/>
    <w:rPr>
      <w:rFonts w:ascii="Wingdings" w:hAnsi="Wingdings"/>
      <w:vanish/>
      <w:sz w:val="16"/>
      <w:szCs w:val="16"/>
    </w:rPr>
  </w:style>
  <w:style w:type="character" w:customStyle="1" w:styleId="Char51">
    <w:name w:val="普通文字 Char5"/>
    <w:semiHidden/>
    <w:rPr>
      <w:rFonts w:ascii="宋体" w:hAnsi="Courier New" w:cs="Courier New"/>
      <w:kern w:val="2"/>
      <w:sz w:val="21"/>
      <w:szCs w:val="21"/>
    </w:rPr>
  </w:style>
  <w:style w:type="character" w:customStyle="1" w:styleId="FootnoteTextChar1">
    <w:name w:val="Footnote Text Char1"/>
    <w:uiPriority w:val="99"/>
    <w:semiHidden/>
    <w:qFormat/>
    <w:rPr>
      <w:rFonts w:ascii="Arial" w:eastAsia="Arial" w:hAnsi="Arial" w:cs="Times New Roman"/>
      <w:sz w:val="18"/>
      <w:szCs w:val="18"/>
    </w:rPr>
  </w:style>
  <w:style w:type="character" w:customStyle="1" w:styleId="125CharChar">
    <w:name w:val="宋体小四1.25倍行距 Char Char"/>
    <w:semiHidden/>
    <w:qFormat/>
    <w:rPr>
      <w:rFonts w:ascii="Times New Roman" w:hAnsi="Times New Roman"/>
      <w:sz w:val="24"/>
      <w:szCs w:val="24"/>
    </w:rPr>
  </w:style>
  <w:style w:type="character" w:customStyle="1" w:styleId="07Char">
    <w:name w:val="07表题 Char"/>
    <w:uiPriority w:val="99"/>
    <w:semiHidden/>
    <w:qFormat/>
    <w:locked/>
    <w:rPr>
      <w:rFonts w:eastAsia="Symbol" w:cs="Wingdings"/>
      <w:color w:val="003366"/>
      <w:kern w:val="2"/>
      <w:sz w:val="18"/>
      <w:szCs w:val="18"/>
    </w:rPr>
  </w:style>
  <w:style w:type="character" w:customStyle="1" w:styleId="831">
    <w:name w:val="标题 8 字符3"/>
    <w:semiHidden/>
    <w:rPr>
      <w:rFonts w:ascii="Arial" w:eastAsia="黑体" w:hAnsi="Arial" w:cs="Times New Roman"/>
      <w:color w:val="000000"/>
      <w:kern w:val="0"/>
      <w:sz w:val="24"/>
      <w:szCs w:val="20"/>
    </w:rPr>
  </w:style>
  <w:style w:type="character" w:customStyle="1" w:styleId="Charffffff1">
    <w:name w:val="章节主标题 Char"/>
    <w:semiHidden/>
    <w:rPr>
      <w:rFonts w:ascii="Wingdings" w:eastAsia="Symbol" w:hAnsi="Wingdings" w:cs="Cambria Math"/>
      <w:b/>
      <w:bCs/>
      <w:kern w:val="44"/>
      <w:sz w:val="44"/>
      <w:szCs w:val="32"/>
    </w:rPr>
  </w:style>
  <w:style w:type="character" w:customStyle="1" w:styleId="trans">
    <w:name w:val="trans"/>
    <w:semiHidden/>
    <w:qFormat/>
  </w:style>
  <w:style w:type="character" w:customStyle="1" w:styleId="Char52">
    <w:name w:val="日期 Char5"/>
    <w:uiPriority w:val="99"/>
    <w:semiHidden/>
  </w:style>
  <w:style w:type="character" w:customStyle="1" w:styleId="Charffffff2">
    <w:name w:val="副标题 Char"/>
    <w:semiHidden/>
    <w:qFormat/>
    <w:rPr>
      <w:rFonts w:ascii="Wingdings" w:hAnsi="Wingdings" w:cs="Wingdings"/>
      <w:b/>
      <w:bCs/>
      <w:kern w:val="28"/>
      <w:sz w:val="32"/>
      <w:szCs w:val="32"/>
    </w:rPr>
  </w:style>
  <w:style w:type="character" w:customStyle="1" w:styleId="3Char21">
    <w:name w:val="正文文本 3 Char2"/>
    <w:semiHidden/>
    <w:qFormat/>
    <w:rPr>
      <w:rFonts w:ascii="Times New Roman" w:hAnsi="Times New Roman"/>
      <w:kern w:val="2"/>
      <w:sz w:val="16"/>
      <w:szCs w:val="16"/>
    </w:rPr>
  </w:style>
  <w:style w:type="character" w:customStyle="1" w:styleId="affffffffffffffffffff4">
    <w:name w:val="文档结构图字符"/>
    <w:semiHidden/>
    <w:rPr>
      <w:kern w:val="2"/>
      <w:sz w:val="21"/>
      <w:szCs w:val="24"/>
      <w:shd w:val="clear" w:color="auto" w:fill="000080"/>
    </w:rPr>
  </w:style>
  <w:style w:type="character" w:customStyle="1" w:styleId="1fffff6">
    <w:name w:val="无间隔 字符1"/>
    <w:semiHidden/>
    <w:locked/>
    <w:rPr>
      <w:sz w:val="22"/>
      <w:szCs w:val="22"/>
    </w:rPr>
  </w:style>
  <w:style w:type="character" w:customStyle="1" w:styleId="-3Char">
    <w:name w:val="彩色列表 - 强调文字颜色 3 Char"/>
    <w:uiPriority w:val="29"/>
    <w:semiHidden/>
    <w:qFormat/>
    <w:rPr>
      <w:rFonts w:ascii="Cambria Math" w:eastAsia="Cambria Math" w:hAnsi="Cambria Math" w:cs="Times New Roman"/>
      <w:i/>
      <w:iCs/>
      <w:color w:val="000000"/>
    </w:rPr>
  </w:style>
  <w:style w:type="character" w:customStyle="1" w:styleId="Charffffff3">
    <w:name w:val="东莞正文文本 Char"/>
    <w:semiHidden/>
    <w:qFormat/>
    <w:rPr>
      <w:rFonts w:ascii="Cambria Math" w:hAnsi="Cambria Math"/>
      <w:sz w:val="24"/>
      <w:szCs w:val="24"/>
      <w:lang w:eastAsia="en-US" w:bidi="en-US"/>
    </w:rPr>
  </w:style>
  <w:style w:type="character" w:customStyle="1" w:styleId="fontstyle21">
    <w:name w:val="fontstyle21"/>
    <w:semiHidden/>
    <w:qFormat/>
    <w:rPr>
      <w:rFonts w:ascii="Times New Roman" w:hAnsi="Times New Roman" w:cs="Times New Roman" w:hint="default"/>
      <w:color w:val="000000"/>
      <w:sz w:val="18"/>
      <w:szCs w:val="18"/>
    </w:rPr>
  </w:style>
  <w:style w:type="character" w:customStyle="1" w:styleId="1ZZZChar">
    <w:name w:val="1ZZZ正文 Char"/>
    <w:semiHidden/>
    <w:qFormat/>
    <w:rPr>
      <w:rFonts w:ascii="Cambria Math" w:eastAsia="Cambria Math" w:hAnsi="Cambria Math" w:cs="Times New Roman"/>
      <w:color w:val="000000"/>
      <w:sz w:val="24"/>
      <w:szCs w:val="24"/>
    </w:rPr>
  </w:style>
  <w:style w:type="character" w:customStyle="1" w:styleId="Char38">
    <w:name w:val="题注 Char3"/>
    <w:semiHidden/>
    <w:qFormat/>
    <w:locked/>
    <w:rPr>
      <w:rFonts w:ascii="黑体" w:eastAsia="Symbol" w:hAnsi="黑体"/>
      <w:kern w:val="2"/>
    </w:rPr>
  </w:style>
  <w:style w:type="character" w:customStyle="1" w:styleId="Charffffff4">
    <w:name w:val="正文正文 Char"/>
    <w:semiHidden/>
    <w:locked/>
    <w:rPr>
      <w:rFonts w:ascii="Cambria Math" w:hAnsi="Cambria Math"/>
      <w:sz w:val="24"/>
    </w:rPr>
  </w:style>
  <w:style w:type="character" w:customStyle="1" w:styleId="entext021">
    <w:name w:val="en_text021"/>
    <w:semiHidden/>
    <w:rPr>
      <w:rFonts w:ascii="Arial Bold" w:hAnsi="Arial Bold" w:hint="default"/>
      <w:color w:val="FFFFFF"/>
      <w:sz w:val="24"/>
      <w:szCs w:val="24"/>
    </w:rPr>
  </w:style>
  <w:style w:type="character" w:customStyle="1" w:styleId="06-Char">
    <w:name w:val="06-表标题 Char"/>
    <w:semiHidden/>
    <w:qFormat/>
    <w:rPr>
      <w:rFonts w:ascii="Times New Roman" w:eastAsia="黑体" w:hAnsi="Times New Roman"/>
      <w:b/>
      <w:sz w:val="28"/>
      <w:szCs w:val="21"/>
      <w:lang w:bidi="ar-SA"/>
    </w:rPr>
  </w:style>
  <w:style w:type="character" w:customStyle="1" w:styleId="body-text">
    <w:name w:val="body-text"/>
    <w:semiHidden/>
    <w:rPr>
      <w:rFonts w:ascii="Wingdings" w:eastAsia="Cambria Math" w:hAnsi="Wingdings" w:cs="Wingdings"/>
      <w:color w:val="000000"/>
      <w:kern w:val="2"/>
      <w:sz w:val="24"/>
      <w:szCs w:val="24"/>
      <w:lang w:val="en-US" w:eastAsia="zh-CN" w:bidi="ar-SA"/>
    </w:rPr>
  </w:style>
  <w:style w:type="character" w:customStyle="1" w:styleId="-13">
    <w:name w:val="彩色列表 - 强调文字颜色 1字符"/>
    <w:uiPriority w:val="99"/>
    <w:semiHidden/>
    <w:qFormat/>
  </w:style>
  <w:style w:type="character" w:customStyle="1" w:styleId="style22">
    <w:name w:val="style22"/>
    <w:semiHidden/>
  </w:style>
  <w:style w:type="character" w:customStyle="1" w:styleId="Char43">
    <w:name w:val="批注主题 Char4"/>
    <w:uiPriority w:val="99"/>
    <w:semiHidden/>
    <w:qFormat/>
    <w:rPr>
      <w:rFonts w:ascii="Cambria Math" w:eastAsia="Cambria Math" w:hAnsi="Cambria Math" w:cs="Times New Roman"/>
      <w:b/>
      <w:bCs/>
      <w:szCs w:val="24"/>
    </w:rPr>
  </w:style>
  <w:style w:type="character" w:customStyle="1" w:styleId="2Char41">
    <w:name w:val="正文文本缩进 2 Char4"/>
    <w:uiPriority w:val="99"/>
    <w:semiHidden/>
  </w:style>
  <w:style w:type="character" w:customStyle="1" w:styleId="1-3">
    <w:name w:val="中等深浅网格 1 - 着色 3 字符"/>
    <w:uiPriority w:val="1"/>
    <w:semiHidden/>
    <w:qFormat/>
    <w:rPr>
      <w:sz w:val="22"/>
    </w:rPr>
  </w:style>
  <w:style w:type="character" w:customStyle="1" w:styleId="Charffffff5">
    <w:name w:val="附注－标题二 Char"/>
    <w:semiHidden/>
    <w:rPr>
      <w:rFonts w:ascii="Arial Narrow" w:eastAsia="黑体" w:hAnsi="Arial Narrow"/>
      <w:snapToGrid/>
      <w:sz w:val="24"/>
      <w:szCs w:val="28"/>
      <w:lang w:val="en-US" w:eastAsia="zh-CN" w:bidi="ar-SA"/>
    </w:rPr>
  </w:style>
  <w:style w:type="character" w:customStyle="1" w:styleId="1-4Char">
    <w:name w:val="1-4 Char"/>
    <w:semiHidden/>
    <w:qFormat/>
    <w:rPr>
      <w:rFonts w:ascii="Cambria Math" w:eastAsia="Symbol" w:hAnsi="Cambria Math" w:cs="Times New Roman"/>
      <w:sz w:val="24"/>
      <w:szCs w:val="24"/>
    </w:rPr>
  </w:style>
  <w:style w:type="character" w:customStyle="1" w:styleId="1Char9">
    <w:name w:val="1 节 Char"/>
    <w:semiHidden/>
    <w:qFormat/>
    <w:locked/>
  </w:style>
  <w:style w:type="character" w:customStyle="1" w:styleId="hover9">
    <w:name w:val="hover9"/>
    <w:semiHidden/>
    <w:rPr>
      <w:shd w:val="clear" w:color="auto" w:fill="0084FF"/>
    </w:rPr>
  </w:style>
  <w:style w:type="character" w:customStyle="1" w:styleId="-1Char1">
    <w:name w:val="彩色网格 - 强调文字颜色 1 Char1"/>
    <w:uiPriority w:val="29"/>
    <w:semiHidden/>
    <w:qFormat/>
    <w:rPr>
      <w:i/>
      <w:iCs/>
      <w:color w:val="000000"/>
      <w:kern w:val="2"/>
      <w:sz w:val="21"/>
      <w:szCs w:val="22"/>
    </w:rPr>
  </w:style>
  <w:style w:type="character" w:customStyle="1" w:styleId="345">
    <w:name w:val="正文文本 3 字符4"/>
    <w:semiHidden/>
    <w:rPr>
      <w:rFonts w:ascii="宋体" w:eastAsia="宋体" w:hAnsi="Times New Roman" w:cs="Times New Roman"/>
      <w:kern w:val="0"/>
      <w:sz w:val="24"/>
      <w:szCs w:val="24"/>
    </w:rPr>
  </w:style>
  <w:style w:type="character" w:customStyle="1" w:styleId="1fffff7">
    <w:name w:val="注释标题字符1"/>
    <w:uiPriority w:val="99"/>
    <w:semiHidden/>
    <w:rPr>
      <w:kern w:val="2"/>
      <w:sz w:val="21"/>
      <w:szCs w:val="22"/>
    </w:rPr>
  </w:style>
  <w:style w:type="character" w:customStyle="1" w:styleId="741">
    <w:name w:val="标题 7 字符4"/>
    <w:semiHidden/>
    <w:rPr>
      <w:rFonts w:ascii="宋体" w:eastAsia="宋体" w:hAnsi="宋体" w:cs="Times New Roman"/>
      <w:b/>
      <w:color w:val="000000"/>
      <w:kern w:val="0"/>
      <w:sz w:val="24"/>
      <w:szCs w:val="20"/>
    </w:rPr>
  </w:style>
  <w:style w:type="character" w:customStyle="1" w:styleId="4fb">
    <w:name w:val="标题 字符4"/>
    <w:uiPriority w:val="10"/>
    <w:semiHidden/>
    <w:rPr>
      <w:rFonts w:ascii="Cambria" w:hAnsi="Cambria"/>
      <w:b/>
      <w:bCs/>
      <w:sz w:val="32"/>
      <w:szCs w:val="32"/>
    </w:rPr>
  </w:style>
  <w:style w:type="character" w:customStyle="1" w:styleId="Char39">
    <w:name w:val="注释标题 Char3"/>
    <w:uiPriority w:val="99"/>
    <w:semiHidden/>
    <w:rPr>
      <w:rFonts w:cs="Times New Roman"/>
      <w:sz w:val="3276"/>
      <w:szCs w:val="3276"/>
    </w:rPr>
  </w:style>
  <w:style w:type="character" w:customStyle="1" w:styleId="badge24">
    <w:name w:val="badge24"/>
    <w:semiHidden/>
    <w:qFormat/>
    <w:rPr>
      <w:shd w:val="clear" w:color="auto" w:fill="FFFFFF"/>
    </w:rPr>
  </w:style>
  <w:style w:type="character" w:customStyle="1" w:styleId="Char44">
    <w:name w:val="标题 Char4"/>
    <w:uiPriority w:val="10"/>
    <w:semiHidden/>
    <w:rPr>
      <w:rFonts w:ascii="Arial Bold" w:eastAsia="Cambria Math" w:hAnsi="Arial Bold" w:cs="Times New Roman"/>
      <w:b/>
      <w:bCs/>
      <w:sz w:val="32"/>
      <w:szCs w:val="32"/>
    </w:rPr>
  </w:style>
  <w:style w:type="character" w:customStyle="1" w:styleId="3fff">
    <w:name w:val="不明显强调3"/>
    <w:uiPriority w:val="19"/>
    <w:semiHidden/>
    <w:qFormat/>
    <w:rPr>
      <w:i/>
      <w:iCs/>
      <w:color w:val="808080"/>
    </w:rPr>
  </w:style>
  <w:style w:type="character" w:customStyle="1" w:styleId="1fffff8">
    <w:name w:val="尾注引用1"/>
    <w:semiHidden/>
    <w:rPr>
      <w:vertAlign w:val="superscript"/>
    </w:rPr>
  </w:style>
  <w:style w:type="character" w:customStyle="1" w:styleId="Charffffff6">
    <w:name w:val="万元 Char"/>
    <w:semiHidden/>
    <w:qFormat/>
    <w:rPr>
      <w:rFonts w:ascii="Cambria Math" w:eastAsia="Cambria Math" w:hAnsi="Cambria Math" w:cs="Cambria Math"/>
      <w:kern w:val="0"/>
      <w:szCs w:val="21"/>
    </w:rPr>
  </w:style>
  <w:style w:type="character" w:customStyle="1" w:styleId="2Char30">
    <w:name w:val="标题 2 Char3"/>
    <w:uiPriority w:val="9"/>
    <w:semiHidden/>
    <w:rPr>
      <w:rFonts w:ascii="Times New Roman" w:eastAsia="Cambria Math" w:hAnsi="Cambria Math"/>
      <w:b/>
      <w:sz w:val="30"/>
      <w:szCs w:val="30"/>
    </w:rPr>
  </w:style>
  <w:style w:type="character" w:customStyle="1" w:styleId="3fff0">
    <w:name w:val="注释标题 字符3"/>
    <w:uiPriority w:val="99"/>
    <w:semiHidden/>
    <w:rPr>
      <w:rFonts w:ascii="Times New Roman" w:eastAsia="宋体" w:hAnsi="Times New Roman" w:cs="Times New Roman"/>
      <w:kern w:val="0"/>
      <w:sz w:val="28"/>
      <w:szCs w:val="20"/>
    </w:rPr>
  </w:style>
  <w:style w:type="character" w:customStyle="1" w:styleId="3fff1">
    <w:name w:val="文档结构图 字符3"/>
    <w:uiPriority w:val="99"/>
    <w:semiHidden/>
    <w:qFormat/>
    <w:rPr>
      <w:rFonts w:ascii="宋体" w:eastAsia="宋体"/>
      <w:sz w:val="18"/>
      <w:szCs w:val="18"/>
    </w:rPr>
  </w:style>
  <w:style w:type="character" w:customStyle="1" w:styleId="Charffffff7">
    <w:name w:val="标题（一） Char"/>
    <w:uiPriority w:val="99"/>
    <w:semiHidden/>
    <w:qFormat/>
    <w:locked/>
    <w:rPr>
      <w:rFonts w:ascii="Times New Roman" w:eastAsia="Symbol" w:hAnsi="Times New Roman"/>
      <w:bCs/>
      <w:kern w:val="2"/>
      <w:sz w:val="24"/>
      <w:szCs w:val="32"/>
    </w:rPr>
  </w:style>
  <w:style w:type="character" w:customStyle="1" w:styleId="p11">
    <w:name w:val="p11"/>
    <w:semiHidden/>
    <w:rPr>
      <w:rFonts w:ascii="Cambria Math" w:eastAsia="Cambria Math" w:hAnsi="Cambria Math" w:hint="eastAsia"/>
      <w:sz w:val="18"/>
      <w:szCs w:val="18"/>
    </w:rPr>
  </w:style>
  <w:style w:type="character" w:customStyle="1" w:styleId="p12a">
    <w:name w:val="p12a"/>
    <w:semiHidden/>
    <w:qFormat/>
  </w:style>
  <w:style w:type="character" w:customStyle="1" w:styleId="1-10">
    <w:name w:val="中等深浅底纹 1 - 着色 1 字符"/>
    <w:semiHidden/>
    <w:qFormat/>
    <w:rPr>
      <w:sz w:val="22"/>
    </w:rPr>
  </w:style>
  <w:style w:type="character" w:customStyle="1" w:styleId="4fc">
    <w:name w:val="批注框文本 字符4"/>
    <w:semiHidden/>
    <w:rPr>
      <w:sz w:val="18"/>
      <w:szCs w:val="18"/>
    </w:rPr>
  </w:style>
  <w:style w:type="character" w:customStyle="1" w:styleId="3fff2">
    <w:name w:val="日期 字符3"/>
    <w:semiHidden/>
    <w:qFormat/>
    <w:rPr>
      <w:rFonts w:ascii="Calibri" w:eastAsia="宋体" w:hAnsi="Calibri" w:cs="Times New Roman"/>
    </w:rPr>
  </w:style>
  <w:style w:type="character" w:customStyle="1" w:styleId="FsHidden">
    <w:name w:val="FsHidden"/>
    <w:semiHidden/>
    <w:qFormat/>
    <w:rPr>
      <w:vanish/>
      <w:color w:val="FFFF00"/>
    </w:rPr>
  </w:style>
  <w:style w:type="character" w:customStyle="1" w:styleId="TitleChar0">
    <w:name w:val="Title Char"/>
    <w:semiHidden/>
    <w:locked/>
    <w:rPr>
      <w:rFonts w:ascii="黑体" w:eastAsia="Cambria Math" w:hAnsi="黑体"/>
      <w:b/>
      <w:bCs/>
      <w:kern w:val="2"/>
      <w:sz w:val="32"/>
      <w:szCs w:val="32"/>
      <w:lang w:val="en-US" w:eastAsia="zh-CN" w:bidi="ar-SA"/>
    </w:rPr>
  </w:style>
  <w:style w:type="character" w:customStyle="1" w:styleId="1118">
    <w:name w:val="页码111"/>
    <w:semiHidden/>
    <w:qFormat/>
  </w:style>
  <w:style w:type="character" w:customStyle="1" w:styleId="Char53">
    <w:name w:val="正文文本 Char5"/>
    <w:semiHidden/>
    <w:qFormat/>
    <w:rPr>
      <w:rFonts w:ascii="Times New Roman" w:eastAsia="Cambria Math" w:hAnsi="Times New Roman" w:cs="Times New Roman"/>
      <w:sz w:val="24"/>
      <w:szCs w:val="20"/>
    </w:rPr>
  </w:style>
  <w:style w:type="character" w:customStyle="1" w:styleId="Charffffff8">
    <w:name w:val="测试 Char"/>
    <w:semiHidden/>
    <w:qFormat/>
    <w:rPr>
      <w:rFonts w:ascii="Cambria Math" w:hAnsi="Cambria Math"/>
      <w:kern w:val="2"/>
      <w:sz w:val="24"/>
      <w:szCs w:val="24"/>
    </w:rPr>
  </w:style>
  <w:style w:type="character" w:customStyle="1" w:styleId="2CharCharCharChar1">
    <w:name w:val="标题 2 Char Char Char Char1"/>
    <w:aliases w:val="标题 2 Char Char Char1,标题 21 Char,标题 2 Char Char Char1 Char Char,标题 2 Char Char Char1 Char Char Char Char Char Char Char,标题 2 Char Char Char Char Char Char Char Char1"/>
    <w:semiHidden/>
    <w:rPr>
      <w:rFonts w:ascii="Wingdings" w:eastAsia="Symbol" w:hAnsi="Wingdings"/>
      <w:bCs/>
      <w:kern w:val="2"/>
      <w:sz w:val="28"/>
      <w:szCs w:val="32"/>
      <w:lang w:val="en-US" w:eastAsia="zh-CN" w:bidi="ar-SA"/>
    </w:rPr>
  </w:style>
  <w:style w:type="character" w:customStyle="1" w:styleId="3fff3">
    <w:name w:val="页脚 字符3"/>
    <w:aliases w:val="footer odd 字符2,Footer Char Char Char Char Char 字符2,Footer Char Char Char 字符2,Footer Char Char Char Char 字符2,Footer Char Char Cha 字符2"/>
    <w:uiPriority w:val="99"/>
    <w:semiHidden/>
    <w:qFormat/>
    <w:rPr>
      <w:sz w:val="18"/>
      <w:szCs w:val="18"/>
    </w:rPr>
  </w:style>
  <w:style w:type="character" w:customStyle="1" w:styleId="Charffffff9">
    <w:name w:val="正文四号首行缩进 Char"/>
    <w:semiHidden/>
    <w:qFormat/>
    <w:locked/>
    <w:rPr>
      <w:rFonts w:ascii="Times New Roman" w:hAnsi="Times New Roman" w:cs="Cambria Math"/>
      <w:kern w:val="2"/>
      <w:sz w:val="28"/>
    </w:rPr>
  </w:style>
  <w:style w:type="character" w:customStyle="1" w:styleId="tpccontent1">
    <w:name w:val="tpc_content1"/>
    <w:semiHidden/>
    <w:rPr>
      <w:sz w:val="20"/>
      <w:szCs w:val="20"/>
    </w:rPr>
  </w:style>
  <w:style w:type="character" w:customStyle="1" w:styleId="Char54">
    <w:name w:val="脚注文本 Char5"/>
    <w:uiPriority w:val="99"/>
    <w:semiHidden/>
    <w:rPr>
      <w:sz w:val="18"/>
      <w:szCs w:val="18"/>
    </w:rPr>
  </w:style>
  <w:style w:type="character" w:customStyle="1" w:styleId="4-1Char0">
    <w:name w:val="4- 1、 Char"/>
    <w:semiHidden/>
    <w:rPr>
      <w:rFonts w:ascii="Cambria Math" w:hAnsi="Cambria Math"/>
      <w:b/>
      <w:sz w:val="24"/>
    </w:rPr>
  </w:style>
  <w:style w:type="character" w:customStyle="1" w:styleId="1fffff9">
    <w:name w:val="脚注引用1"/>
    <w:semiHidden/>
    <w:rPr>
      <w:vertAlign w:val="superscript"/>
    </w:rPr>
  </w:style>
  <w:style w:type="character" w:customStyle="1" w:styleId="Char2b">
    <w:name w:val="页脚 Char2"/>
    <w:aliases w:val="Footer-Even Char1"/>
    <w:uiPriority w:val="99"/>
    <w:semiHidden/>
    <w:qFormat/>
    <w:rPr>
      <w:sz w:val="18"/>
      <w:szCs w:val="18"/>
    </w:rPr>
  </w:style>
  <w:style w:type="character" w:customStyle="1" w:styleId="2Char31">
    <w:name w:val="正文文本 2 Char3"/>
    <w:uiPriority w:val="99"/>
    <w:semiHidden/>
    <w:rPr>
      <w:rFonts w:cs="Times New Roman"/>
      <w:sz w:val="3276"/>
      <w:szCs w:val="3276"/>
    </w:rPr>
  </w:style>
  <w:style w:type="character" w:customStyle="1" w:styleId="AppendixSubHeadCharChar">
    <w:name w:val="AppendixSubHead Char Char"/>
    <w:semiHidden/>
    <w:rPr>
      <w:rFonts w:ascii="Cambria Math" w:eastAsia="Cambria Math"/>
      <w:kern w:val="2"/>
      <w:sz w:val="24"/>
      <w:lang w:val="en-US" w:eastAsia="zh-CN" w:bidi="ar-SA"/>
    </w:rPr>
  </w:style>
  <w:style w:type="character" w:customStyle="1" w:styleId="-3Char0">
    <w:name w:val="彩色网格 - 强调文字颜色 3 Char"/>
    <w:uiPriority w:val="30"/>
    <w:semiHidden/>
    <w:qFormat/>
    <w:rPr>
      <w:rFonts w:ascii="Cambria Math" w:eastAsia="Cambria Math" w:hAnsi="Cambria Math" w:cs="Times New Roman"/>
      <w:b/>
      <w:bCs/>
      <w:i/>
      <w:iCs/>
      <w:color w:val="4F81BD"/>
    </w:rPr>
  </w:style>
  <w:style w:type="character" w:customStyle="1" w:styleId="Char2c">
    <w:name w:val="正文首行缩进 Char2"/>
    <w:semiHidden/>
    <w:qFormat/>
    <w:rPr>
      <w:rFonts w:ascii="Wingdings" w:hAnsi="Wingdings"/>
      <w:color w:val="000000"/>
      <w:kern w:val="2"/>
      <w:sz w:val="24"/>
      <w:szCs w:val="24"/>
    </w:rPr>
  </w:style>
  <w:style w:type="character" w:customStyle="1" w:styleId="-1Char10">
    <w:name w:val="彩色列表 - 强调文字颜色 1 Char1"/>
    <w:aliases w:val="编号 Char"/>
    <w:uiPriority w:val="34"/>
    <w:semiHidden/>
    <w:rPr>
      <w:rFonts w:ascii="Cambria Math" w:hAnsi="Cambria Math" w:cs="Cambria Math"/>
      <w:kern w:val="2"/>
      <w:sz w:val="24"/>
      <w:szCs w:val="24"/>
    </w:rPr>
  </w:style>
  <w:style w:type="character" w:customStyle="1" w:styleId="7-Char">
    <w:name w:val="7-表格内容 Char"/>
    <w:semiHidden/>
    <w:rPr>
      <w:rFonts w:ascii="Cambria Math" w:hAnsi="Cambria Math"/>
      <w:szCs w:val="21"/>
    </w:rPr>
  </w:style>
  <w:style w:type="character" w:customStyle="1" w:styleId="hover3">
    <w:name w:val="hover3"/>
    <w:semiHidden/>
    <w:rPr>
      <w:shd w:val="clear" w:color="auto" w:fill="0084FF"/>
    </w:rPr>
  </w:style>
  <w:style w:type="character" w:customStyle="1" w:styleId="4fd">
    <w:name w:val="不明显参考4"/>
    <w:uiPriority w:val="31"/>
    <w:semiHidden/>
    <w:qFormat/>
    <w:rPr>
      <w:smallCaps/>
      <w:color w:val="C0504D"/>
      <w:u w:val="single"/>
    </w:rPr>
  </w:style>
  <w:style w:type="character" w:customStyle="1" w:styleId="neiwen1">
    <w:name w:val="neiwen1"/>
    <w:semiHidden/>
    <w:rPr>
      <w:sz w:val="21"/>
      <w:szCs w:val="21"/>
    </w:rPr>
  </w:style>
  <w:style w:type="character" w:customStyle="1" w:styleId="8Char2">
    <w:name w:val="标题 8 Char2"/>
    <w:semiHidden/>
    <w:qFormat/>
    <w:rPr>
      <w:rFonts w:ascii="Wingdings" w:eastAsia="Symbol" w:hAnsi="Wingdings"/>
    </w:rPr>
  </w:style>
  <w:style w:type="character" w:customStyle="1" w:styleId="Char3a">
    <w:name w:val="页脚 Char3"/>
    <w:uiPriority w:val="99"/>
    <w:semiHidden/>
    <w:qFormat/>
    <w:rPr>
      <w:sz w:val="18"/>
      <w:szCs w:val="18"/>
    </w:rPr>
  </w:style>
  <w:style w:type="character" w:customStyle="1" w:styleId="emailstyle21">
    <w:name w:val="emailstyle21"/>
    <w:semiHidden/>
    <w:rPr>
      <w:rFonts w:ascii="Arial" w:eastAsia="仿宋" w:hAnsi="Arial"/>
      <w:color w:val="003300"/>
      <w:sz w:val="20"/>
    </w:rPr>
  </w:style>
  <w:style w:type="character" w:customStyle="1" w:styleId="Char45">
    <w:name w:val="批注框文本 Char4"/>
    <w:uiPriority w:val="99"/>
    <w:semiHidden/>
    <w:rPr>
      <w:sz w:val="18"/>
      <w:szCs w:val="18"/>
    </w:rPr>
  </w:style>
  <w:style w:type="character" w:customStyle="1" w:styleId="6f3">
    <w:name w:val="不明显强调6"/>
    <w:uiPriority w:val="19"/>
    <w:semiHidden/>
    <w:qFormat/>
    <w:rPr>
      <w:i/>
      <w:iCs/>
      <w:color w:val="808080"/>
    </w:rPr>
  </w:style>
  <w:style w:type="character" w:customStyle="1" w:styleId="1Char20">
    <w:name w:val="表左1 Char2"/>
    <w:semiHidden/>
    <w:rPr>
      <w:rFonts w:ascii="Times New Roman" w:eastAsia="Symbol" w:hAnsi="Times New Roman"/>
      <w:color w:val="000000"/>
    </w:rPr>
  </w:style>
  <w:style w:type="character" w:customStyle="1" w:styleId="2-10">
    <w:name w:val="中等深浅网格 2 - 着色 1 字符"/>
    <w:uiPriority w:val="1"/>
    <w:semiHidden/>
    <w:qFormat/>
    <w:rPr>
      <w:sz w:val="22"/>
    </w:rPr>
  </w:style>
  <w:style w:type="character" w:customStyle="1" w:styleId="338">
    <w:name w:val="正文文本 3 字符3"/>
    <w:uiPriority w:val="99"/>
    <w:semiHidden/>
    <w:qFormat/>
    <w:rPr>
      <w:rFonts w:ascii="宋体" w:eastAsia="宋体" w:hAnsi="Times New Roman" w:cs="Times New Roman"/>
      <w:kern w:val="0"/>
      <w:sz w:val="24"/>
      <w:szCs w:val="24"/>
    </w:rPr>
  </w:style>
  <w:style w:type="character" w:customStyle="1" w:styleId="Char1fd">
    <w:name w:val="无间隔 Char1"/>
    <w:semiHidden/>
    <w:qFormat/>
    <w:rPr>
      <w:sz w:val="22"/>
      <w:lang w:val="en-US" w:eastAsia="zh-CN" w:bidi="ar-SA"/>
    </w:rPr>
  </w:style>
  <w:style w:type="character" w:customStyle="1" w:styleId="239">
    <w:name w:val="正文文本 2 字符3"/>
    <w:aliases w:val="正文文字 2 Char1 字符2"/>
    <w:semiHidden/>
    <w:qFormat/>
    <w:rPr>
      <w:rFonts w:ascii="Times New Roman" w:eastAsia="宋体" w:hAnsi="Times New Roman" w:cs="Times New Roman"/>
      <w:kern w:val="0"/>
      <w:sz w:val="20"/>
      <w:szCs w:val="24"/>
    </w:rPr>
  </w:style>
  <w:style w:type="character" w:customStyle="1" w:styleId="style221">
    <w:name w:val="style221"/>
    <w:semiHidden/>
    <w:rPr>
      <w:rFonts w:ascii="Arial" w:hAnsi="Arial" w:cs="Arial" w:hint="default"/>
      <w:sz w:val="17"/>
      <w:szCs w:val="17"/>
    </w:rPr>
  </w:style>
  <w:style w:type="character" w:customStyle="1" w:styleId="247">
    <w:name w:val="标题 2 字符4"/>
    <w:semiHidden/>
    <w:qFormat/>
    <w:rPr>
      <w:rFonts w:ascii="Arial" w:eastAsia="黑体" w:hAnsi="Arial" w:cs="Times New Roman"/>
      <w:b/>
      <w:bCs/>
      <w:sz w:val="32"/>
      <w:szCs w:val="32"/>
    </w:rPr>
  </w:style>
  <w:style w:type="character" w:customStyle="1" w:styleId="txt16fs1">
    <w:name w:val="txt16fs1"/>
    <w:semiHidden/>
    <w:rPr>
      <w:rFonts w:ascii="黑体" w:hAnsi="黑体" w:hint="default"/>
      <w:i w:val="0"/>
      <w:iCs w:val="0"/>
      <w:sz w:val="24"/>
      <w:szCs w:val="24"/>
    </w:rPr>
  </w:style>
  <w:style w:type="character" w:customStyle="1" w:styleId="01Char0">
    <w:name w:val="01 Char"/>
    <w:semiHidden/>
    <w:rPr>
      <w:rFonts w:ascii="Symbol" w:eastAsia="Symbol" w:hAnsi="Symbol"/>
      <w:b/>
      <w:sz w:val="30"/>
      <w:szCs w:val="30"/>
      <w:lang w:val="en-AU" w:eastAsia="en-US"/>
    </w:rPr>
  </w:style>
  <w:style w:type="character" w:customStyle="1" w:styleId="active">
    <w:name w:val="active"/>
    <w:semiHidden/>
    <w:rPr>
      <w:color w:val="FFFFFF"/>
      <w:shd w:val="clear" w:color="auto" w:fill="0084FF"/>
    </w:rPr>
  </w:style>
  <w:style w:type="character" w:customStyle="1" w:styleId="1-20">
    <w:name w:val="中等深浅底纹 1 - 强调文字颜色 2字符"/>
    <w:uiPriority w:val="1"/>
    <w:semiHidden/>
    <w:qFormat/>
    <w:rPr>
      <w:sz w:val="22"/>
    </w:rPr>
  </w:style>
  <w:style w:type="character" w:customStyle="1" w:styleId="affffffffffffffffffff5">
    <w:name w:val="样式 黑体 小四"/>
    <w:semiHidden/>
    <w:qFormat/>
    <w:rPr>
      <w:rFonts w:ascii="Symbol" w:hAnsi="Symbol"/>
      <w:kern w:val="0"/>
      <w:sz w:val="24"/>
    </w:rPr>
  </w:style>
  <w:style w:type="character" w:customStyle="1" w:styleId="Char46">
    <w:name w:val="页脚 Char4"/>
    <w:uiPriority w:val="99"/>
    <w:semiHidden/>
    <w:qFormat/>
    <w:rPr>
      <w:sz w:val="18"/>
      <w:szCs w:val="18"/>
    </w:rPr>
  </w:style>
  <w:style w:type="character" w:customStyle="1" w:styleId="2-3Char">
    <w:name w:val="中等深浅底纹 2 - 强调文字颜色 3 Char"/>
    <w:uiPriority w:val="30"/>
    <w:semiHidden/>
    <w:qFormat/>
    <w:rPr>
      <w:rFonts w:ascii="Cambria Math" w:eastAsia="Cambria Math" w:hAnsi="Cambria Math" w:cs="Times New Roman"/>
      <w:b/>
      <w:bCs/>
      <w:i/>
      <w:iCs/>
      <w:color w:val="4F81BD"/>
    </w:rPr>
  </w:style>
  <w:style w:type="character" w:customStyle="1" w:styleId="1fffffa">
    <w:name w:val="明显参考1"/>
    <w:semiHidden/>
    <w:qFormat/>
    <w:rPr>
      <w:b/>
      <w:bCs/>
      <w:smallCaps/>
    </w:rPr>
  </w:style>
  <w:style w:type="character" w:customStyle="1" w:styleId="Charffffffa">
    <w:name w:val="附注二级正文 Char"/>
    <w:semiHidden/>
    <w:locked/>
    <w:rPr>
      <w:rFonts w:ascii="Cambria Math" w:hAnsi="Cambria Math"/>
      <w:sz w:val="21"/>
    </w:rPr>
  </w:style>
  <w:style w:type="character" w:customStyle="1" w:styleId="CharChar291">
    <w:name w:val="Char Char291"/>
    <w:semiHidden/>
    <w:rPr>
      <w:rFonts w:ascii="Wingdings" w:eastAsia="Symbol" w:hAnsi="Wingdings" w:cs="Wingdings"/>
      <w:b/>
      <w:bCs/>
      <w:kern w:val="44"/>
      <w:sz w:val="36"/>
      <w:szCs w:val="36"/>
      <w:shd w:val="clear" w:color="auto" w:fill="F3F3F3"/>
    </w:rPr>
  </w:style>
  <w:style w:type="character" w:customStyle="1" w:styleId="affffffffffffffffffff6">
    <w:name w:val="样式 宋体 四号"/>
    <w:semiHidden/>
    <w:qFormat/>
    <w:rPr>
      <w:rFonts w:ascii="Cambria Math" w:hAnsi="Cambria Math"/>
      <w:b/>
      <w:sz w:val="24"/>
    </w:rPr>
  </w:style>
  <w:style w:type="character" w:customStyle="1" w:styleId="7Char0">
    <w:name w:val="7表格内容 Char"/>
    <w:semiHidden/>
    <w:qFormat/>
    <w:rPr>
      <w:rFonts w:ascii="Cambria Math" w:hAnsi="Cambria Math"/>
      <w:szCs w:val="21"/>
    </w:rPr>
  </w:style>
  <w:style w:type="character" w:customStyle="1" w:styleId="gl1">
    <w:name w:val="gl1"/>
    <w:semiHidden/>
    <w:qFormat/>
    <w:rPr>
      <w:color w:val="7777CC"/>
    </w:rPr>
  </w:style>
  <w:style w:type="character" w:customStyle="1" w:styleId="23a">
    <w:name w:val="正文首行缩进 2 字符3"/>
    <w:semiHidden/>
  </w:style>
  <w:style w:type="character" w:customStyle="1" w:styleId="bd21">
    <w:name w:val="bd21"/>
    <w:semiHidden/>
    <w:rPr>
      <w:rFonts w:ascii="Cambria Math" w:eastAsia="Cambria Math" w:hAnsi="Cambria Math" w:cs="Cambria Math"/>
      <w:color w:val="000000"/>
      <w:sz w:val="21"/>
      <w:szCs w:val="21"/>
      <w:u w:val="none"/>
    </w:rPr>
  </w:style>
  <w:style w:type="character" w:customStyle="1" w:styleId="Charffffffb">
    <w:name w:val="正文_缩进 Char"/>
    <w:semiHidden/>
    <w:rPr>
      <w:rFonts w:ascii="Wingdings" w:hAnsi="Wingdings"/>
      <w:kern w:val="2"/>
      <w:sz w:val="24"/>
      <w:szCs w:val="24"/>
    </w:rPr>
  </w:style>
  <w:style w:type="character" w:customStyle="1" w:styleId="1Chara">
    <w:name w:val="无间隔1 Char"/>
    <w:uiPriority w:val="1"/>
    <w:semiHidden/>
    <w:qFormat/>
    <w:rPr>
      <w:rFonts w:ascii="Times New Roman" w:hAnsi="Times New Roman"/>
      <w:kern w:val="2"/>
      <w:sz w:val="21"/>
      <w:szCs w:val="24"/>
      <w:lang w:val="en-GB" w:eastAsia="zh-CN" w:bidi="ar-SA"/>
    </w:rPr>
  </w:style>
  <w:style w:type="character" w:customStyle="1" w:styleId="1fffffb">
    <w:name w:val="二级1"/>
    <w:semiHidden/>
    <w:qFormat/>
    <w:rPr>
      <w:b/>
      <w:bCs/>
    </w:rPr>
  </w:style>
  <w:style w:type="character" w:customStyle="1" w:styleId="bumpedfont15">
    <w:name w:val="bumpedfont15"/>
    <w:semiHidden/>
  </w:style>
  <w:style w:type="character" w:customStyle="1" w:styleId="biaoti2Char">
    <w:name w:val="biaoti2 Char"/>
    <w:semiHidden/>
    <w:rPr>
      <w:rFonts w:eastAsia="Symbol" w:cs="Wingdings"/>
      <w:bCs/>
      <w:color w:val="000000"/>
      <w:sz w:val="24"/>
      <w:szCs w:val="24"/>
    </w:rPr>
  </w:style>
  <w:style w:type="character" w:customStyle="1" w:styleId="style21">
    <w:name w:val="style21"/>
    <w:semiHidden/>
    <w:rPr>
      <w:sz w:val="18"/>
      <w:szCs w:val="18"/>
    </w:rPr>
  </w:style>
  <w:style w:type="character" w:customStyle="1" w:styleId="newsreadme">
    <w:name w:val="newsreadme"/>
    <w:semiHidden/>
    <w:qFormat/>
  </w:style>
  <w:style w:type="character" w:customStyle="1" w:styleId="177">
    <w:name w:val="17"/>
    <w:semiHidden/>
    <w:rPr>
      <w:rFonts w:ascii="Times New Roman" w:hAnsi="Times New Roman" w:cs="Times New Roman" w:hint="default"/>
      <w:sz w:val="21"/>
      <w:szCs w:val="21"/>
    </w:rPr>
  </w:style>
  <w:style w:type="character" w:customStyle="1" w:styleId="line-height">
    <w:name w:val="line-height"/>
    <w:semiHidden/>
  </w:style>
  <w:style w:type="character" w:customStyle="1" w:styleId="BChar">
    <w:name w:val="正文B Char"/>
    <w:semiHidden/>
    <w:qFormat/>
    <w:rPr>
      <w:rFonts w:ascii="Times New Roman" w:eastAsia="Arial Bold" w:hAnsi="Times New Roman" w:cs="Times New Roman"/>
      <w:spacing w:val="8"/>
      <w:kern w:val="0"/>
      <w:sz w:val="28"/>
      <w:szCs w:val="20"/>
    </w:rPr>
  </w:style>
  <w:style w:type="character" w:customStyle="1" w:styleId="main61">
    <w:name w:val="main61"/>
    <w:semiHidden/>
    <w:rPr>
      <w:b/>
      <w:bCs/>
      <w:sz w:val="24"/>
      <w:szCs w:val="24"/>
    </w:rPr>
  </w:style>
  <w:style w:type="character" w:customStyle="1" w:styleId="articletitletext1">
    <w:name w:val="articletitletext1"/>
    <w:semiHidden/>
    <w:qFormat/>
    <w:rPr>
      <w:b/>
      <w:bCs/>
    </w:rPr>
  </w:style>
  <w:style w:type="character" w:customStyle="1" w:styleId="1Charb">
    <w:name w:val="图表目录样式1 Char"/>
    <w:semiHidden/>
    <w:qFormat/>
    <w:locked/>
    <w:rPr>
      <w:rFonts w:ascii="Cambria Math" w:hAnsi="Cambria Math"/>
    </w:rPr>
  </w:style>
  <w:style w:type="character" w:customStyle="1" w:styleId="3Char6">
    <w:name w:val="正文文本 3 Char"/>
    <w:semiHidden/>
    <w:qFormat/>
    <w:rPr>
      <w:rFonts w:ascii="Times New Roman" w:hAnsi="Times New Roman"/>
      <w:kern w:val="2"/>
      <w:sz w:val="16"/>
      <w:szCs w:val="16"/>
    </w:rPr>
  </w:style>
  <w:style w:type="character" w:customStyle="1" w:styleId="Char1fe">
    <w:name w:val="表蕊 Char1"/>
    <w:uiPriority w:val="99"/>
    <w:semiHidden/>
    <w:qFormat/>
    <w:rPr>
      <w:rFonts w:ascii="Times New Roman" w:eastAsia="Arial Bold" w:hAnsi="Times New Roman" w:cs="Times New Roman"/>
      <w:spacing w:val="-10"/>
      <w:kern w:val="0"/>
      <w:szCs w:val="20"/>
    </w:rPr>
  </w:style>
  <w:style w:type="character" w:customStyle="1" w:styleId="2Char21">
    <w:name w:val="正文文本 2 Char2"/>
    <w:semiHidden/>
    <w:qFormat/>
    <w:rPr>
      <w:rFonts w:eastAsia="Symbol"/>
      <w:kern w:val="2"/>
      <w:sz w:val="24"/>
      <w:szCs w:val="24"/>
      <w:lang w:val="en-US" w:eastAsia="zh-CN" w:bidi="ar-SA"/>
    </w:rPr>
  </w:style>
  <w:style w:type="character" w:customStyle="1" w:styleId="Charffffffc">
    <w:name w:val="【正文】 Char"/>
    <w:semiHidden/>
    <w:rPr>
      <w:rFonts w:ascii="Cambria Math" w:hAnsi="Cambria Math"/>
      <w:color w:val="000000"/>
      <w:sz w:val="24"/>
    </w:rPr>
  </w:style>
  <w:style w:type="character" w:customStyle="1" w:styleId="Charffffffd">
    <w:name w:val="注释标题 Char"/>
    <w:semiHidden/>
    <w:rPr>
      <w:rFonts w:ascii="Cambria Math" w:hAnsi="Cambria Math" w:cs="Cambria Math"/>
      <w:kern w:val="2"/>
      <w:sz w:val="24"/>
      <w:szCs w:val="24"/>
    </w:rPr>
  </w:style>
  <w:style w:type="character" w:customStyle="1" w:styleId="CharCharf5">
    <w:name w:val="斯菲尔（一）级 Char Char"/>
    <w:semiHidden/>
    <w:rPr>
      <w:rFonts w:ascii="黑体" w:eastAsia="黑体" w:hAnsi="宋体"/>
      <w:b/>
      <w:sz w:val="28"/>
      <w:szCs w:val="28"/>
    </w:rPr>
  </w:style>
  <w:style w:type="character" w:customStyle="1" w:styleId="CharCharf6">
    <w:name w:val="报告正文 Char Char"/>
    <w:semiHidden/>
    <w:qFormat/>
    <w:rPr>
      <w:rFonts w:ascii="Cambria Math" w:hAnsi="Cambria Math"/>
      <w:color w:val="000000"/>
      <w:kern w:val="2"/>
      <w:sz w:val="28"/>
      <w:szCs w:val="24"/>
      <w:lang w:val="en-GB"/>
    </w:rPr>
  </w:style>
  <w:style w:type="character" w:customStyle="1" w:styleId="3Char30">
    <w:name w:val="正文文本 3 Char3"/>
    <w:uiPriority w:val="99"/>
    <w:semiHidden/>
    <w:rPr>
      <w:rFonts w:cs="Times New Roman"/>
      <w:sz w:val="16"/>
      <w:szCs w:val="16"/>
    </w:rPr>
  </w:style>
  <w:style w:type="character" w:customStyle="1" w:styleId="8f">
    <w:name w:val="明显参考8"/>
    <w:uiPriority w:val="32"/>
    <w:semiHidden/>
    <w:qFormat/>
    <w:rPr>
      <w:b/>
      <w:bCs/>
      <w:smallCaps/>
      <w:color w:val="C0504D"/>
      <w:spacing w:val="5"/>
      <w:u w:val="single"/>
    </w:rPr>
  </w:style>
  <w:style w:type="character" w:customStyle="1" w:styleId="unnamed1">
    <w:name w:val="unnamed1"/>
    <w:semiHidden/>
    <w:qFormat/>
  </w:style>
  <w:style w:type="character" w:customStyle="1" w:styleId="hover2">
    <w:name w:val="hover2"/>
    <w:semiHidden/>
    <w:rPr>
      <w:shd w:val="clear" w:color="auto" w:fill="0084FF"/>
    </w:rPr>
  </w:style>
  <w:style w:type="character" w:customStyle="1" w:styleId="CharCharf7">
    <w:name w:val="图表标题 Char Char"/>
    <w:semiHidden/>
    <w:qFormat/>
    <w:rPr>
      <w:rFonts w:eastAsia="Cambria Math"/>
      <w:b/>
      <w:szCs w:val="24"/>
    </w:rPr>
  </w:style>
  <w:style w:type="character" w:customStyle="1" w:styleId="FooterChar">
    <w:name w:val="Footer Char"/>
    <w:uiPriority w:val="99"/>
    <w:semiHidden/>
    <w:qFormat/>
    <w:rPr>
      <w:rFonts w:ascii="Times New Roman" w:eastAsia="Cambria Math" w:hAnsi="Times New Roman" w:cs="Times New Roman"/>
      <w:sz w:val="18"/>
      <w:szCs w:val="18"/>
    </w:rPr>
  </w:style>
  <w:style w:type="character" w:customStyle="1" w:styleId="Charffffffe">
    <w:name w:val="明显引用 Char"/>
    <w:semiHidden/>
    <w:qFormat/>
    <w:rPr>
      <w:i/>
      <w:iCs/>
      <w:color w:val="5B9BD5"/>
    </w:rPr>
  </w:style>
  <w:style w:type="character" w:customStyle="1" w:styleId="07-bChar">
    <w:name w:val="07-图注b Char"/>
    <w:uiPriority w:val="99"/>
    <w:semiHidden/>
    <w:qFormat/>
    <w:rPr>
      <w:rFonts w:ascii="Wingdings" w:hAnsi="Wingdings"/>
      <w:color w:val="003366"/>
      <w:kern w:val="2"/>
      <w:sz w:val="15"/>
      <w:szCs w:val="16"/>
      <w:lang w:bidi="ar-SA"/>
    </w:rPr>
  </w:style>
  <w:style w:type="character" w:customStyle="1" w:styleId="3fff4">
    <w:name w:val="普通(网站) 字符3"/>
    <w:semiHidden/>
    <w:rPr>
      <w:rFonts w:ascii="宋体" w:hAnsi="宋体"/>
      <w:sz w:val="24"/>
      <w:szCs w:val="24"/>
    </w:rPr>
  </w:style>
  <w:style w:type="character" w:customStyle="1" w:styleId="23b">
    <w:name w:val="标题 2 字符3"/>
    <w:semiHidden/>
    <w:qFormat/>
    <w:rPr>
      <w:rFonts w:ascii="Arial" w:eastAsia="黑体" w:hAnsi="Arial" w:cs="Times New Roman"/>
      <w:b/>
      <w:bCs/>
      <w:kern w:val="0"/>
      <w:sz w:val="32"/>
      <w:szCs w:val="32"/>
    </w:rPr>
  </w:style>
  <w:style w:type="character" w:customStyle="1" w:styleId="9a">
    <w:name w:val="明显强调9"/>
    <w:uiPriority w:val="21"/>
    <w:semiHidden/>
    <w:qFormat/>
    <w:rPr>
      <w:b/>
      <w:bCs/>
      <w:i/>
      <w:iCs/>
      <w:color w:val="4F81BD"/>
    </w:rPr>
  </w:style>
  <w:style w:type="character" w:customStyle="1" w:styleId="ttag">
    <w:name w:val="t_tag"/>
    <w:semiHidden/>
    <w:qFormat/>
  </w:style>
  <w:style w:type="character" w:customStyle="1" w:styleId="Char2d">
    <w:name w:val="标题 Char2"/>
    <w:uiPriority w:val="10"/>
    <w:semiHidden/>
    <w:qFormat/>
    <w:rPr>
      <w:rFonts w:ascii="Wingdings" w:hAnsi="Wingdings" w:cs="Wingdings"/>
      <w:b/>
      <w:bCs/>
      <w:kern w:val="2"/>
      <w:sz w:val="32"/>
      <w:szCs w:val="32"/>
    </w:rPr>
  </w:style>
  <w:style w:type="character" w:customStyle="1" w:styleId="font3">
    <w:name w:val="font3"/>
    <w:semiHidden/>
    <w:qFormat/>
  </w:style>
  <w:style w:type="character" w:customStyle="1" w:styleId="hover4">
    <w:name w:val="hover4"/>
    <w:semiHidden/>
    <w:rPr>
      <w:shd w:val="clear" w:color="auto" w:fill="FFFFFF"/>
    </w:rPr>
  </w:style>
  <w:style w:type="character" w:customStyle="1" w:styleId="hover5">
    <w:name w:val="hover5"/>
    <w:semiHidden/>
    <w:rPr>
      <w:shd w:val="clear" w:color="auto" w:fill="FFFFFF"/>
    </w:rPr>
  </w:style>
  <w:style w:type="character" w:customStyle="1" w:styleId="1fffffc">
    <w:name w:val="明显引用 字符1"/>
    <w:uiPriority w:val="99"/>
    <w:semiHidden/>
    <w:rPr>
      <w:i/>
      <w:iCs/>
      <w:color w:val="5B9BD5"/>
    </w:rPr>
  </w:style>
  <w:style w:type="character" w:customStyle="1" w:styleId="0Char">
    <w:name w:val="第0级 Char"/>
    <w:semiHidden/>
    <w:qFormat/>
    <w:rPr>
      <w:rFonts w:cs="Cambria Math"/>
      <w:kern w:val="2"/>
      <w:sz w:val="24"/>
      <w:szCs w:val="24"/>
    </w:rPr>
  </w:style>
  <w:style w:type="character" w:customStyle="1" w:styleId="2ffffe">
    <w:name w:val="注释级别 2字符"/>
    <w:semiHidden/>
    <w:rPr>
      <w:sz w:val="22"/>
    </w:rPr>
  </w:style>
  <w:style w:type="character" w:customStyle="1" w:styleId="affffffffffffffffffff7">
    <w:name w:val="正文缩进 字符"/>
    <w:semiHidden/>
    <w:qFormat/>
    <w:rPr>
      <w:rFonts w:ascii="Times New Roman" w:hAnsi="Times New Roman"/>
      <w:szCs w:val="21"/>
    </w:rPr>
  </w:style>
  <w:style w:type="character" w:customStyle="1" w:styleId="-121">
    <w:name w:val="浅色网格 - 着色 12"/>
    <w:uiPriority w:val="99"/>
    <w:semiHidden/>
    <w:rPr>
      <w:color w:val="808080"/>
    </w:rPr>
  </w:style>
  <w:style w:type="character" w:customStyle="1" w:styleId="1fffffd">
    <w:name w:val="引用 字符1"/>
    <w:uiPriority w:val="29"/>
    <w:semiHidden/>
    <w:qFormat/>
    <w:rPr>
      <w:i/>
      <w:iCs/>
      <w:color w:val="404040"/>
    </w:rPr>
  </w:style>
  <w:style w:type="character" w:customStyle="1" w:styleId="8Char3">
    <w:name w:val="标题 8 Char3"/>
    <w:semiHidden/>
    <w:qFormat/>
    <w:rPr>
      <w:rFonts w:ascii="Wingdings" w:eastAsia="Symbol" w:hAnsi="Wingdings" w:cs="Times New Roman"/>
      <w:sz w:val="24"/>
      <w:szCs w:val="24"/>
    </w:rPr>
  </w:style>
  <w:style w:type="character" w:customStyle="1" w:styleId="Charfffffff">
    <w:name w:val="内容 Char"/>
    <w:semiHidden/>
    <w:qFormat/>
    <w:locked/>
    <w:rPr>
      <w:rFonts w:ascii="Cambria Math" w:hAnsi="Cambria Math"/>
      <w:sz w:val="24"/>
      <w:szCs w:val="24"/>
    </w:rPr>
  </w:style>
  <w:style w:type="character" w:customStyle="1" w:styleId="S3Char">
    <w:name w:val="S标题3 Char"/>
    <w:semiHidden/>
    <w:qFormat/>
    <w:rPr>
      <w:b/>
      <w:kern w:val="2"/>
      <w:sz w:val="24"/>
      <w:szCs w:val="30"/>
    </w:rPr>
  </w:style>
  <w:style w:type="character" w:customStyle="1" w:styleId="text3">
    <w:name w:val="text3"/>
    <w:semiHidden/>
  </w:style>
  <w:style w:type="character" w:customStyle="1" w:styleId="HTML13">
    <w:name w:val="HTML 地址字符1"/>
    <w:uiPriority w:val="99"/>
    <w:semiHidden/>
    <w:qFormat/>
    <w:rPr>
      <w:i/>
      <w:iCs/>
      <w:kern w:val="2"/>
      <w:sz w:val="21"/>
      <w:szCs w:val="22"/>
    </w:rPr>
  </w:style>
  <w:style w:type="character" w:customStyle="1" w:styleId="4Char2">
    <w:name w:val="标题 4 Char2"/>
    <w:semiHidden/>
    <w:qFormat/>
    <w:rPr>
      <w:rFonts w:ascii="Wingdings" w:eastAsia="Symbol" w:hAnsi="Wingdings"/>
      <w:b/>
      <w:bCs/>
      <w:kern w:val="2"/>
      <w:sz w:val="28"/>
      <w:szCs w:val="28"/>
      <w:lang w:val="en-US" w:eastAsia="zh-CN" w:bidi="ar-SA"/>
    </w:rPr>
  </w:style>
  <w:style w:type="character" w:customStyle="1" w:styleId="badge20">
    <w:name w:val="badge20"/>
    <w:semiHidden/>
    <w:qFormat/>
    <w:rPr>
      <w:shd w:val="clear" w:color="auto" w:fill="FFFFFF"/>
    </w:rPr>
  </w:style>
  <w:style w:type="character" w:customStyle="1" w:styleId="Charfffffff0">
    <w:name w:val="细分正文 Char"/>
    <w:uiPriority w:val="99"/>
    <w:semiHidden/>
    <w:qFormat/>
    <w:locked/>
    <w:rPr>
      <w:rFonts w:ascii="Symbol" w:eastAsia="Symbol" w:hAnsi="Wingdings" w:cs="Wingdings"/>
      <w:b/>
      <w:bCs/>
      <w:szCs w:val="21"/>
    </w:rPr>
  </w:style>
  <w:style w:type="character" w:customStyle="1" w:styleId="mawx">
    <w:name w:val="ma_wx"/>
    <w:semiHidden/>
    <w:qFormat/>
  </w:style>
  <w:style w:type="character" w:customStyle="1" w:styleId="9Char2">
    <w:name w:val="标题 9 Char2"/>
    <w:semiHidden/>
    <w:qFormat/>
    <w:rPr>
      <w:rFonts w:ascii="Wingdings" w:eastAsia="Symbol" w:hAnsi="Wingdings"/>
      <w:sz w:val="21"/>
      <w:szCs w:val="21"/>
    </w:rPr>
  </w:style>
  <w:style w:type="character" w:customStyle="1" w:styleId="Charfffffff1">
    <w:name w:val="题注 Char"/>
    <w:semiHidden/>
    <w:qFormat/>
    <w:rPr>
      <w:rFonts w:eastAsia="Cambria Math"/>
      <w:b/>
      <w:bCs/>
      <w:kern w:val="2"/>
      <w:lang w:val="en-US" w:eastAsia="zh-CN" w:bidi="ar-SA"/>
    </w:rPr>
  </w:style>
  <w:style w:type="character" w:customStyle="1" w:styleId="1Charc">
    <w:name w:val="标题   1 Char"/>
    <w:semiHidden/>
    <w:rPr>
      <w:b/>
      <w:bCs/>
      <w:kern w:val="44"/>
      <w:sz w:val="36"/>
      <w:szCs w:val="44"/>
    </w:rPr>
  </w:style>
  <w:style w:type="character" w:customStyle="1" w:styleId="3fff5">
    <w:name w:val="明显参考3"/>
    <w:uiPriority w:val="32"/>
    <w:semiHidden/>
    <w:qFormat/>
    <w:rPr>
      <w:b/>
      <w:bCs/>
      <w:smallCaps/>
      <w:color w:val="C0504D"/>
      <w:spacing w:val="5"/>
      <w:u w:val="single"/>
    </w:rPr>
  </w:style>
  <w:style w:type="character" w:customStyle="1" w:styleId="CharCharf8">
    <w:name w:val="图题 Char Char"/>
    <w:semiHidden/>
    <w:qFormat/>
    <w:rPr>
      <w:rFonts w:ascii="Wingdings" w:eastAsia="Cambria Math" w:hAnsi="Wingdings"/>
      <w:sz w:val="21"/>
    </w:rPr>
  </w:style>
  <w:style w:type="character" w:customStyle="1" w:styleId="2fffff">
    <w:name w:val="要点2"/>
    <w:semiHidden/>
    <w:qFormat/>
    <w:rPr>
      <w:rFonts w:cs="Times New Roman"/>
      <w:b/>
      <w:bCs/>
    </w:rPr>
  </w:style>
  <w:style w:type="character" w:customStyle="1" w:styleId="MediumGrid11">
    <w:name w:val="Medium Grid 11"/>
    <w:uiPriority w:val="99"/>
    <w:semiHidden/>
    <w:rPr>
      <w:color w:val="808080"/>
    </w:rPr>
  </w:style>
  <w:style w:type="character" w:customStyle="1" w:styleId="MediumGrid1-Accent11">
    <w:name w:val="Medium Grid 1 - Accent 11"/>
    <w:uiPriority w:val="99"/>
    <w:semiHidden/>
    <w:rPr>
      <w:color w:val="808080"/>
    </w:rPr>
  </w:style>
  <w:style w:type="character" w:customStyle="1" w:styleId="style471">
    <w:name w:val="style471"/>
    <w:semiHidden/>
    <w:qFormat/>
    <w:rPr>
      <w:sz w:val="27"/>
      <w:szCs w:val="27"/>
    </w:rPr>
  </w:style>
  <w:style w:type="character" w:customStyle="1" w:styleId="Charfffffff2">
    <w:name w:val="正文首行缩进 Char"/>
    <w:semiHidden/>
    <w:qFormat/>
    <w:rPr>
      <w:rFonts w:ascii="Wingdings" w:hAnsi="Wingdings"/>
      <w:color w:val="000000"/>
      <w:kern w:val="2"/>
      <w:sz w:val="24"/>
      <w:szCs w:val="24"/>
    </w:rPr>
  </w:style>
  <w:style w:type="character" w:customStyle="1" w:styleId="CommentTextChar">
    <w:name w:val="Comment Text Char"/>
    <w:semiHidden/>
    <w:qFormat/>
    <w:locked/>
    <w:rPr>
      <w:rFonts w:ascii="Times New Roman" w:eastAsia="Cambria Math" w:hAnsi="Times New Roman" w:cs="Times New Roman"/>
      <w:sz w:val="24"/>
      <w:szCs w:val="24"/>
    </w:rPr>
  </w:style>
  <w:style w:type="character" w:customStyle="1" w:styleId="CharCharf9">
    <w:name w:val="图标题 Char Char"/>
    <w:semiHidden/>
    <w:rPr>
      <w:rFonts w:ascii="Cambria Math" w:eastAsia="Cambria Math" w:hAnsi="Cambria Math"/>
      <w:szCs w:val="21"/>
    </w:rPr>
  </w:style>
  <w:style w:type="character" w:customStyle="1" w:styleId="4fe">
    <w:name w:val="明显参考4"/>
    <w:uiPriority w:val="32"/>
    <w:semiHidden/>
    <w:qFormat/>
    <w:rPr>
      <w:b/>
      <w:bCs/>
      <w:smallCaps/>
      <w:color w:val="C0504D"/>
      <w:spacing w:val="5"/>
      <w:u w:val="single"/>
    </w:rPr>
  </w:style>
  <w:style w:type="character" w:customStyle="1" w:styleId="CharChar151">
    <w:name w:val="Char Char151"/>
    <w:semiHidden/>
    <w:qFormat/>
    <w:rPr>
      <w:rFonts w:ascii="Cambria Math" w:hAnsi="Symbol"/>
      <w:kern w:val="2"/>
      <w:sz w:val="21"/>
    </w:rPr>
  </w:style>
  <w:style w:type="character" w:customStyle="1" w:styleId="font101">
    <w:name w:val="font101"/>
    <w:semiHidden/>
    <w:qFormat/>
    <w:rPr>
      <w:rFonts w:ascii="Cambria Math" w:eastAsia="Cambria Math" w:hAnsi="Cambria Math" w:cs="Cambria Math" w:hint="eastAsia"/>
      <w:color w:val="FF0000"/>
      <w:kern w:val="2"/>
      <w:sz w:val="20"/>
      <w:szCs w:val="20"/>
      <w:u w:val="none"/>
      <w:lang w:val="en-US" w:eastAsia="zh-CN" w:bidi="ar-SA"/>
    </w:rPr>
  </w:style>
  <w:style w:type="character" w:customStyle="1" w:styleId="11fe">
    <w:name w:val="批注引用11"/>
    <w:semiHidden/>
    <w:qFormat/>
    <w:rPr>
      <w:sz w:val="21"/>
      <w:szCs w:val="21"/>
    </w:rPr>
  </w:style>
  <w:style w:type="character" w:customStyle="1" w:styleId="1-21">
    <w:name w:val="中等深浅网格 1 - 强调文字颜色 2字符"/>
    <w:uiPriority w:val="99"/>
    <w:semiHidden/>
    <w:qFormat/>
    <w:rPr>
      <w:kern w:val="2"/>
      <w:sz w:val="21"/>
      <w:szCs w:val="22"/>
    </w:rPr>
  </w:style>
  <w:style w:type="character" w:customStyle="1" w:styleId="1fffffe">
    <w:name w:val="要点1"/>
    <w:semiHidden/>
    <w:qFormat/>
    <w:rPr>
      <w:rFonts w:cs="Times New Roman"/>
      <w:b/>
      <w:bCs/>
    </w:rPr>
  </w:style>
  <w:style w:type="character" w:customStyle="1" w:styleId="red-n1">
    <w:name w:val="red-n1"/>
    <w:semiHidden/>
    <w:qFormat/>
    <w:rPr>
      <w:rFonts w:eastAsia="Cambria Math"/>
      <w:color w:val="CC0000"/>
      <w:kern w:val="2"/>
      <w:sz w:val="21"/>
      <w:lang w:val="en-US" w:eastAsia="zh-CN" w:bidi="ar-SA"/>
    </w:rPr>
  </w:style>
  <w:style w:type="character" w:customStyle="1" w:styleId="2fffff0">
    <w:name w:val="明显强调2"/>
    <w:uiPriority w:val="21"/>
    <w:semiHidden/>
    <w:qFormat/>
    <w:rPr>
      <w:b/>
      <w:bCs/>
      <w:i/>
      <w:iCs/>
      <w:color w:val="4F81BD"/>
    </w:rPr>
  </w:style>
  <w:style w:type="character" w:customStyle="1" w:styleId="maapp">
    <w:name w:val="ma_app"/>
    <w:semiHidden/>
    <w:qFormat/>
  </w:style>
  <w:style w:type="character" w:customStyle="1" w:styleId="2CharChar">
    <w:name w:val="正文（行首缩进2字） Char Char"/>
    <w:semiHidden/>
    <w:qFormat/>
    <w:rPr>
      <w:rFonts w:ascii="Times New Roman" w:hAnsi="Times New Roman"/>
      <w:sz w:val="28"/>
      <w:szCs w:val="24"/>
    </w:rPr>
  </w:style>
  <w:style w:type="character" w:customStyle="1" w:styleId="pt14">
    <w:name w:val="pt14"/>
    <w:semiHidden/>
  </w:style>
  <w:style w:type="character" w:customStyle="1" w:styleId="1CharChar1">
    <w:name w:val="1 Char Char"/>
    <w:semiHidden/>
    <w:qFormat/>
    <w:locked/>
    <w:rPr>
      <w:rFonts w:ascii="Wingdings" w:eastAsia="Symbol" w:hAnsi="Wingdings"/>
      <w:b/>
      <w:bCs/>
      <w:sz w:val="28"/>
      <w:szCs w:val="28"/>
      <w:lang w:val="en-US" w:eastAsia="zh-CN" w:bidi="ar-SA"/>
    </w:rPr>
  </w:style>
  <w:style w:type="character" w:customStyle="1" w:styleId="bfont">
    <w:name w:val="bfont"/>
    <w:semiHidden/>
    <w:qFormat/>
  </w:style>
  <w:style w:type="character" w:customStyle="1" w:styleId="jin6Char">
    <w:name w:val="jin6 Char"/>
    <w:semiHidden/>
    <w:qFormat/>
    <w:rPr>
      <w:rFonts w:ascii="Times New Roman" w:eastAsia="Cambria Math" w:hAnsi="Times New Roman" w:cs="Times New Roman"/>
      <w:kern w:val="0"/>
      <w:sz w:val="24"/>
      <w:szCs w:val="24"/>
    </w:rPr>
  </w:style>
  <w:style w:type="character" w:customStyle="1" w:styleId="Char47">
    <w:name w:val="日期 Char4"/>
    <w:uiPriority w:val="99"/>
    <w:semiHidden/>
    <w:qFormat/>
    <w:rPr>
      <w:rFonts w:ascii="Cambria Math" w:eastAsia="Cambria Math" w:hAnsi="Times New Roman" w:cs="Times New Roman"/>
      <w:kern w:val="0"/>
      <w:sz w:val="24"/>
      <w:szCs w:val="20"/>
    </w:rPr>
  </w:style>
  <w:style w:type="character" w:customStyle="1" w:styleId="2fffff1">
    <w:name w:val="脚注文本 字符2"/>
    <w:semiHidden/>
    <w:qFormat/>
    <w:locked/>
    <w:rPr>
      <w:rFonts w:ascii="Times New Roman" w:hAnsi="Times New Roman"/>
      <w:sz w:val="18"/>
      <w:szCs w:val="18"/>
    </w:rPr>
  </w:style>
  <w:style w:type="character" w:customStyle="1" w:styleId="lg">
    <w:name w:val="lg"/>
    <w:semiHidden/>
  </w:style>
  <w:style w:type="character" w:customStyle="1" w:styleId="Charfffffff3">
    <w:name w:val="表格楷体加粗 Char"/>
    <w:semiHidden/>
    <w:qFormat/>
    <w:rPr>
      <w:rFonts w:ascii="Arial Bold" w:eastAsia="Arial Bold" w:hAnsi="Cambria Math"/>
      <w:b/>
      <w:szCs w:val="21"/>
    </w:rPr>
  </w:style>
  <w:style w:type="character" w:customStyle="1" w:styleId="HTMLChar20">
    <w:name w:val="HTML 地址 Char2"/>
    <w:semiHidden/>
    <w:qFormat/>
    <w:rPr>
      <w:b/>
      <w:bCs/>
      <w:kern w:val="44"/>
      <w:sz w:val="44"/>
      <w:szCs w:val="44"/>
    </w:rPr>
  </w:style>
  <w:style w:type="character" w:customStyle="1" w:styleId="CharChar162">
    <w:name w:val="Char Char162"/>
    <w:semiHidden/>
    <w:qFormat/>
    <w:rPr>
      <w:rFonts w:ascii="Times New Roman" w:eastAsia="Cambria Math" w:hAnsi="Times New Roman" w:cs="Times New Roman"/>
      <w:b/>
      <w:bCs/>
      <w:sz w:val="28"/>
      <w:szCs w:val="32"/>
    </w:rPr>
  </w:style>
  <w:style w:type="character" w:customStyle="1" w:styleId="-1Char2">
    <w:name w:val="彩色列表 - 强调文字颜色 1 Char"/>
    <w:uiPriority w:val="99"/>
    <w:semiHidden/>
    <w:rPr>
      <w:kern w:val="2"/>
      <w:sz w:val="21"/>
      <w:szCs w:val="24"/>
    </w:rPr>
  </w:style>
  <w:style w:type="character" w:customStyle="1" w:styleId="CharCharfa">
    <w:name w:val="宋体小四缩进 Char Char"/>
    <w:semiHidden/>
    <w:qFormat/>
    <w:rPr>
      <w:rFonts w:ascii="Cambria Math" w:hAnsi="Cambria Math"/>
      <w:sz w:val="24"/>
      <w:szCs w:val="24"/>
    </w:rPr>
  </w:style>
  <w:style w:type="character" w:customStyle="1" w:styleId="2fffff2">
    <w:name w:val="不明显强调2"/>
    <w:uiPriority w:val="19"/>
    <w:semiHidden/>
    <w:qFormat/>
    <w:rPr>
      <w:i/>
      <w:iCs/>
      <w:color w:val="808080"/>
    </w:rPr>
  </w:style>
  <w:style w:type="character" w:customStyle="1" w:styleId="51Char">
    <w:name w:val="5（1） Char"/>
    <w:semiHidden/>
    <w:rPr>
      <w:rFonts w:ascii="Cambria Math" w:hAnsi="Cambria Math"/>
      <w:b/>
      <w:sz w:val="24"/>
      <w:szCs w:val="24"/>
    </w:rPr>
  </w:style>
  <w:style w:type="character" w:customStyle="1" w:styleId="active4">
    <w:name w:val="active4"/>
    <w:semiHidden/>
    <w:rPr>
      <w:color w:val="FFFFFF"/>
      <w:shd w:val="clear" w:color="auto" w:fill="0084FF"/>
    </w:rPr>
  </w:style>
  <w:style w:type="character" w:customStyle="1" w:styleId="Heading1Char">
    <w:name w:val="Heading 1 Char"/>
    <w:semiHidden/>
    <w:qFormat/>
    <w:locked/>
    <w:rPr>
      <w:rFonts w:eastAsia="Cambria Math"/>
      <w:bCs/>
      <w:kern w:val="32"/>
      <w:sz w:val="24"/>
      <w:szCs w:val="32"/>
      <w:lang w:val="en-US" w:eastAsia="en-US" w:bidi="ar-SA"/>
    </w:rPr>
  </w:style>
  <w:style w:type="character" w:customStyle="1" w:styleId="1119">
    <w:name w:val="批注引用111"/>
    <w:semiHidden/>
    <w:qFormat/>
    <w:rPr>
      <w:sz w:val="21"/>
      <w:szCs w:val="21"/>
    </w:rPr>
  </w:style>
  <w:style w:type="character" w:customStyle="1" w:styleId="BCharChar">
    <w:name w:val="正文B Char Char"/>
    <w:semiHidden/>
    <w:qFormat/>
    <w:rPr>
      <w:rFonts w:ascii="Times New Roman" w:eastAsia="Arial Bold" w:hAnsi="Times New Roman"/>
      <w:spacing w:val="8"/>
      <w:sz w:val="28"/>
    </w:rPr>
  </w:style>
  <w:style w:type="character" w:customStyle="1" w:styleId="-2Char1">
    <w:name w:val="浅色底纹 - 强调文字颜色 2 Char1"/>
    <w:uiPriority w:val="30"/>
    <w:semiHidden/>
    <w:qFormat/>
    <w:rPr>
      <w:b/>
      <w:bCs/>
      <w:i/>
      <w:iCs/>
      <w:color w:val="4F81BD"/>
      <w:kern w:val="2"/>
      <w:sz w:val="21"/>
      <w:szCs w:val="22"/>
    </w:rPr>
  </w:style>
  <w:style w:type="character" w:customStyle="1" w:styleId="CharCharfb">
    <w:name w:val="资料来源 Char Char"/>
    <w:semiHidden/>
    <w:rPr>
      <w:rFonts w:eastAsia="Cambria Math"/>
      <w:sz w:val="18"/>
      <w:szCs w:val="18"/>
    </w:rPr>
  </w:style>
  <w:style w:type="character" w:customStyle="1" w:styleId="blue-n1">
    <w:name w:val="blue-n1"/>
    <w:semiHidden/>
    <w:qFormat/>
    <w:rPr>
      <w:rFonts w:eastAsia="Cambria Math"/>
      <w:color w:val="173EE8"/>
      <w:kern w:val="2"/>
      <w:sz w:val="21"/>
      <w:u w:val="none"/>
      <w:lang w:val="en-US" w:eastAsia="zh-CN" w:bidi="ar-SA"/>
    </w:rPr>
  </w:style>
  <w:style w:type="character" w:customStyle="1" w:styleId="3fff6">
    <w:name w:val="批注文字 字符3"/>
    <w:aliases w:val=" Char15 字符,Char15 字符"/>
    <w:uiPriority w:val="99"/>
    <w:semiHidden/>
    <w:qFormat/>
    <w:rPr>
      <w:rFonts w:ascii="Cambria Math" w:eastAsia="Cambria Math" w:hAnsi="Cambria Math"/>
      <w:kern w:val="2"/>
      <w:sz w:val="21"/>
      <w:szCs w:val="22"/>
      <w:lang w:val="en-US" w:eastAsia="zh-CN" w:bidi="ar-SA"/>
    </w:rPr>
  </w:style>
  <w:style w:type="character" w:customStyle="1" w:styleId="1-3Char1">
    <w:name w:val="中等深浅底纹 1 - 强调文字颜色 3 Char1"/>
    <w:uiPriority w:val="29"/>
    <w:semiHidden/>
    <w:qFormat/>
    <w:rPr>
      <w:rFonts w:ascii="Cambria Math" w:eastAsia="Cambria Math" w:hAnsi="Cambria Math" w:cs="Times New Roman"/>
      <w:i/>
      <w:iCs/>
      <w:color w:val="000000"/>
    </w:rPr>
  </w:style>
  <w:style w:type="character" w:customStyle="1" w:styleId="1ffffff">
    <w:name w:val="页码1"/>
    <w:semiHidden/>
  </w:style>
  <w:style w:type="character" w:customStyle="1" w:styleId="why2Char">
    <w:name w:val="why目录2 Char"/>
    <w:semiHidden/>
    <w:rPr>
      <w:rFonts w:ascii="Cambria Math" w:hAnsi="Cambria Math" w:cs="Cambria Math"/>
      <w:b/>
      <w:kern w:val="2"/>
      <w:sz w:val="24"/>
      <w:szCs w:val="24"/>
    </w:rPr>
  </w:style>
  <w:style w:type="character" w:customStyle="1" w:styleId="Charfffffff4">
    <w:name w:val="主标题二 Char"/>
    <w:semiHidden/>
    <w:rPr>
      <w:rFonts w:ascii="Cambria Math" w:hAnsi="Cambria Math" w:cs="Cambria Math"/>
      <w:b/>
      <w:bCs/>
      <w:kern w:val="2"/>
      <w:sz w:val="30"/>
      <w:szCs w:val="28"/>
    </w:rPr>
  </w:style>
  <w:style w:type="character" w:customStyle="1" w:styleId="leoChar">
    <w:name w:val="leo正文段落 Char"/>
    <w:semiHidden/>
    <w:rPr>
      <w:kern w:val="2"/>
      <w:sz w:val="24"/>
      <w:szCs w:val="24"/>
    </w:rPr>
  </w:style>
  <w:style w:type="character" w:customStyle="1" w:styleId="12hg21">
    <w:name w:val="12hg21"/>
    <w:semiHidden/>
    <w:qFormat/>
    <w:rPr>
      <w:strike w:val="0"/>
      <w:dstrike w:val="0"/>
      <w:color w:val="3C3C3C"/>
      <w:sz w:val="14"/>
      <w:szCs w:val="14"/>
      <w:u w:val="none"/>
    </w:rPr>
  </w:style>
  <w:style w:type="character" w:customStyle="1" w:styleId="Charfffffff5">
    <w:name w:val="标题一 Char"/>
    <w:uiPriority w:val="99"/>
    <w:semiHidden/>
    <w:qFormat/>
    <w:locked/>
    <w:rPr>
      <w:rFonts w:ascii="Symbol" w:eastAsia="Symbol" w:hAnsi="Times New Roman"/>
      <w:kern w:val="44"/>
      <w:sz w:val="36"/>
    </w:rPr>
  </w:style>
  <w:style w:type="character" w:customStyle="1" w:styleId="font1511">
    <w:name w:val="font1511"/>
    <w:semiHidden/>
  </w:style>
  <w:style w:type="character" w:customStyle="1" w:styleId="4ff">
    <w:name w:val="称呼 字符4"/>
    <w:semiHidden/>
    <w:rPr>
      <w:rFonts w:ascii="Times New Roman" w:eastAsia="宋体" w:hAnsi="Times New Roman" w:cs="Times New Roman"/>
      <w:kern w:val="0"/>
      <w:sz w:val="20"/>
      <w:szCs w:val="20"/>
    </w:rPr>
  </w:style>
  <w:style w:type="character" w:customStyle="1" w:styleId="2fffff3">
    <w:name w:val="中等深浅网格 2字符"/>
    <w:semiHidden/>
    <w:qFormat/>
    <w:rPr>
      <w:sz w:val="22"/>
    </w:rPr>
  </w:style>
  <w:style w:type="character" w:customStyle="1" w:styleId="328">
    <w:name w:val="标题 3 字符2"/>
    <w:semiHidden/>
    <w:qFormat/>
    <w:locked/>
    <w:rPr>
      <w:rFonts w:cs="宋体"/>
      <w:b/>
      <w:bCs/>
      <w:sz w:val="32"/>
      <w:szCs w:val="32"/>
    </w:rPr>
  </w:style>
  <w:style w:type="character" w:customStyle="1" w:styleId="zwCharChar">
    <w:name w:val="zw Char Char"/>
    <w:semiHidden/>
    <w:rPr>
      <w:rFonts w:ascii="Wingdings" w:eastAsia="Arial Bold" w:hAnsi="Wingdings"/>
      <w:sz w:val="24"/>
    </w:rPr>
  </w:style>
  <w:style w:type="character" w:customStyle="1" w:styleId="Char48">
    <w:name w:val="副标题 Char4"/>
    <w:uiPriority w:val="11"/>
    <w:semiHidden/>
    <w:rPr>
      <w:rFonts w:ascii="Arial Bold" w:eastAsia="Cambria Math" w:hAnsi="Arial Bold" w:cs="Times New Roman"/>
      <w:b/>
      <w:bCs/>
      <w:kern w:val="28"/>
      <w:sz w:val="32"/>
      <w:szCs w:val="32"/>
    </w:rPr>
  </w:style>
  <w:style w:type="character" w:customStyle="1" w:styleId="05-Char">
    <w:name w:val="05-图标题 Char"/>
    <w:uiPriority w:val="99"/>
    <w:semiHidden/>
    <w:qFormat/>
    <w:rPr>
      <w:rFonts w:ascii="Wingdings" w:eastAsia="Symbol" w:hAnsi="Wingdings"/>
      <w:color w:val="003366"/>
      <w:kern w:val="2"/>
      <w:sz w:val="18"/>
      <w:szCs w:val="18"/>
      <w:lang w:bidi="ar-SA"/>
    </w:rPr>
  </w:style>
  <w:style w:type="character" w:customStyle="1" w:styleId="1Chard">
    <w:name w:val="报告正文格式1 Char"/>
    <w:semiHidden/>
    <w:qFormat/>
    <w:rPr>
      <w:rFonts w:ascii="Times New Roman" w:eastAsia="Cambria Math" w:hAnsi="Times New Roman"/>
      <w:sz w:val="24"/>
      <w:szCs w:val="24"/>
      <w:lang w:bidi="en-US"/>
    </w:rPr>
  </w:style>
  <w:style w:type="character" w:customStyle="1" w:styleId="1Chare">
    <w:name w:val="注1 Char"/>
    <w:semiHidden/>
    <w:rPr>
      <w:bCs/>
      <w:szCs w:val="40"/>
    </w:rPr>
  </w:style>
  <w:style w:type="character" w:customStyle="1" w:styleId="21f9">
    <w:name w:val="要点21"/>
    <w:semiHidden/>
    <w:qFormat/>
    <w:rPr>
      <w:rFonts w:cs="Times New Roman"/>
      <w:b/>
      <w:bCs/>
    </w:rPr>
  </w:style>
  <w:style w:type="character" w:customStyle="1" w:styleId="2fffff4">
    <w:name w:val="明显参考2"/>
    <w:uiPriority w:val="32"/>
    <w:semiHidden/>
    <w:qFormat/>
    <w:rPr>
      <w:b/>
      <w:bCs/>
      <w:smallCaps/>
      <w:color w:val="C0504D"/>
      <w:spacing w:val="5"/>
      <w:u w:val="single"/>
    </w:rPr>
  </w:style>
  <w:style w:type="character" w:customStyle="1" w:styleId="08-Char">
    <w:name w:val="08-图间距 Char"/>
    <w:uiPriority w:val="99"/>
    <w:semiHidden/>
    <w:qFormat/>
    <w:rPr>
      <w:rFonts w:ascii="Wingdings" w:hAnsi="Wingdings"/>
      <w:kern w:val="2"/>
      <w:szCs w:val="21"/>
      <w:lang w:bidi="ar-SA"/>
    </w:rPr>
  </w:style>
  <w:style w:type="character" w:customStyle="1" w:styleId="KWSch5Char">
    <w:name w:val="K&amp;W Sch 5 Char"/>
    <w:semiHidden/>
    <w:qFormat/>
    <w:rPr>
      <w:rFonts w:ascii="Arial" w:eastAsia="楷体_GB2312" w:hAnsi="Arial"/>
      <w:sz w:val="24"/>
      <w:lang w:eastAsia="en-US"/>
    </w:rPr>
  </w:style>
  <w:style w:type="character" w:customStyle="1" w:styleId="style171">
    <w:name w:val="style171"/>
    <w:semiHidden/>
    <w:rPr>
      <w:strike w:val="0"/>
      <w:dstrike w:val="0"/>
      <w:color w:val="616161"/>
      <w:sz w:val="18"/>
      <w:szCs w:val="18"/>
      <w:u w:val="none"/>
    </w:rPr>
  </w:style>
  <w:style w:type="character" w:customStyle="1" w:styleId="1-5Char">
    <w:name w:val="1-5 Char"/>
    <w:semiHidden/>
    <w:qFormat/>
    <w:rPr>
      <w:rFonts w:ascii="Cambria Math" w:eastAsia="Cambria Math" w:hAnsi="Cambria Math" w:cs="Times New Roman"/>
      <w:sz w:val="24"/>
      <w:szCs w:val="24"/>
    </w:rPr>
  </w:style>
  <w:style w:type="character" w:customStyle="1" w:styleId="Charfffffff6">
    <w:name w:val="二级标题 Char"/>
    <w:semiHidden/>
    <w:qFormat/>
    <w:rPr>
      <w:rFonts w:ascii="Times New Roman" w:hAnsi="Times New Roman"/>
      <w:sz w:val="24"/>
      <w:szCs w:val="24"/>
    </w:rPr>
  </w:style>
  <w:style w:type="character" w:customStyle="1" w:styleId="-32">
    <w:name w:val="彩色底纹 - 着色 3 字符"/>
    <w:uiPriority w:val="99"/>
    <w:semiHidden/>
    <w:qFormat/>
  </w:style>
  <w:style w:type="character" w:customStyle="1" w:styleId="text11">
    <w:name w:val="text11"/>
    <w:semiHidden/>
    <w:qFormat/>
    <w:rPr>
      <w:color w:val="000000"/>
      <w:sz w:val="18"/>
      <w:szCs w:val="18"/>
    </w:rPr>
  </w:style>
  <w:style w:type="character" w:customStyle="1" w:styleId="Charfffffff7">
    <w:name w:val="单位：万元 Char"/>
    <w:semiHidden/>
    <w:qFormat/>
    <w:rPr>
      <w:rFonts w:eastAsia="Cambria Math"/>
      <w:bCs/>
      <w:spacing w:val="16"/>
      <w:kern w:val="28"/>
      <w:szCs w:val="24"/>
    </w:rPr>
  </w:style>
  <w:style w:type="character" w:customStyle="1" w:styleId="4ff0">
    <w:name w:val="明显强调4"/>
    <w:uiPriority w:val="21"/>
    <w:semiHidden/>
    <w:qFormat/>
    <w:rPr>
      <w:b/>
      <w:bCs/>
      <w:i/>
      <w:iCs/>
      <w:color w:val="4F81BD"/>
    </w:rPr>
  </w:style>
  <w:style w:type="character" w:customStyle="1" w:styleId="5Char2">
    <w:name w:val="第5级 Char"/>
    <w:semiHidden/>
    <w:qFormat/>
    <w:rPr>
      <w:rFonts w:ascii="黑体" w:hAnsi="黑体"/>
      <w:color w:val="000000"/>
      <w:kern w:val="24"/>
      <w:sz w:val="24"/>
      <w:szCs w:val="24"/>
    </w:rPr>
  </w:style>
  <w:style w:type="character" w:customStyle="1" w:styleId="11ff">
    <w:name w:val="未命名11"/>
    <w:semiHidden/>
  </w:style>
  <w:style w:type="character" w:customStyle="1" w:styleId="red1">
    <w:name w:val="red1"/>
    <w:semiHidden/>
    <w:qFormat/>
    <w:rPr>
      <w:rFonts w:eastAsia="Cambria Math"/>
      <w:color w:val="CC0000"/>
      <w:kern w:val="2"/>
      <w:sz w:val="21"/>
      <w:u w:val="none"/>
      <w:lang w:val="en-US" w:eastAsia="zh-CN" w:bidi="ar-SA"/>
    </w:rPr>
  </w:style>
  <w:style w:type="character" w:customStyle="1" w:styleId="CharCharfc">
    <w:name w:val="第一节 Char Char"/>
    <w:semiHidden/>
    <w:rPr>
      <w:rFonts w:ascii="Times New Roman" w:hAnsi="Times New Roman"/>
      <w:b/>
      <w:bCs/>
      <w:kern w:val="44"/>
      <w:sz w:val="32"/>
      <w:szCs w:val="44"/>
    </w:rPr>
  </w:style>
  <w:style w:type="character" w:customStyle="1" w:styleId="1Charf">
    <w:name w:val="我正文1 Char"/>
    <w:semiHidden/>
    <w:qFormat/>
    <w:locked/>
    <w:rPr>
      <w:rFonts w:ascii="Cambria Math" w:hAnsi="Cambria Math"/>
      <w:b/>
      <w:sz w:val="24"/>
      <w:szCs w:val="24"/>
    </w:rPr>
  </w:style>
  <w:style w:type="character" w:customStyle="1" w:styleId="previewedit">
    <w:name w:val="previewedit"/>
    <w:semiHidden/>
  </w:style>
  <w:style w:type="character" w:customStyle="1" w:styleId="large">
    <w:name w:val="large"/>
    <w:semiHidden/>
    <w:qFormat/>
  </w:style>
  <w:style w:type="character" w:customStyle="1" w:styleId="5f5">
    <w:name w:val="不明显参考5"/>
    <w:uiPriority w:val="31"/>
    <w:semiHidden/>
    <w:qFormat/>
    <w:rPr>
      <w:smallCaps/>
      <w:color w:val="C0504D"/>
      <w:u w:val="single"/>
    </w:rPr>
  </w:style>
  <w:style w:type="character" w:customStyle="1" w:styleId="Charfffffff8">
    <w:name w:val="样式 数据来源 + 宋体 Char"/>
    <w:semiHidden/>
    <w:rPr>
      <w:rFonts w:ascii="Cambria Math" w:hAnsi="Cambria Math" w:cs="Symbol"/>
      <w:sz w:val="18"/>
      <w:szCs w:val="21"/>
    </w:rPr>
  </w:style>
  <w:style w:type="character" w:customStyle="1" w:styleId="6Char3">
    <w:name w:val="标题 6 Char3"/>
    <w:semiHidden/>
    <w:qFormat/>
    <w:rPr>
      <w:rFonts w:ascii="Wingdings" w:eastAsia="Symbol" w:hAnsi="Wingdings" w:cs="Times New Roman"/>
      <w:b/>
      <w:bCs/>
      <w:sz w:val="24"/>
      <w:szCs w:val="24"/>
    </w:rPr>
  </w:style>
  <w:style w:type="character" w:customStyle="1" w:styleId="Char55">
    <w:name w:val="标题 Char5"/>
    <w:semiHidden/>
    <w:qFormat/>
    <w:rPr>
      <w:rFonts w:ascii="黑体" w:eastAsia="Cambria Math" w:hAnsi="黑体" w:cs="Times New Roman"/>
      <w:b/>
      <w:bCs/>
      <w:kern w:val="0"/>
      <w:sz w:val="32"/>
      <w:szCs w:val="32"/>
    </w:rPr>
  </w:style>
  <w:style w:type="character" w:customStyle="1" w:styleId="question-title2">
    <w:name w:val="question-title2"/>
    <w:semiHidden/>
  </w:style>
  <w:style w:type="character" w:customStyle="1" w:styleId="00-Char">
    <w:name w:val="00-正文 Char"/>
    <w:uiPriority w:val="99"/>
    <w:semiHidden/>
    <w:qFormat/>
    <w:locked/>
    <w:rPr>
      <w:rFonts w:ascii="Wingdings" w:hAnsi="Wingdings"/>
      <w:color w:val="003366"/>
      <w:kern w:val="2"/>
      <w:szCs w:val="24"/>
      <w:lang w:bidi="ar-SA"/>
    </w:rPr>
  </w:style>
  <w:style w:type="character" w:customStyle="1" w:styleId="affffffffffffffffffff8">
    <w:name w:val="无间距字符"/>
    <w:aliases w:val="(1)字符"/>
    <w:semiHidden/>
    <w:qFormat/>
    <w:locked/>
    <w:rPr>
      <w:rFonts w:eastAsia="Times New Roman"/>
      <w:kern w:val="2"/>
      <w:sz w:val="22"/>
      <w:szCs w:val="22"/>
      <w:lang w:val="en-US" w:eastAsia="zh-CN" w:bidi="ar-SA"/>
    </w:rPr>
  </w:style>
  <w:style w:type="character" w:customStyle="1" w:styleId="Charfffffff9">
    <w:name w:val="第一节 Char"/>
    <w:semiHidden/>
    <w:qFormat/>
    <w:rPr>
      <w:rFonts w:ascii="Symbol" w:eastAsia="Symbol" w:hAnsi="Times New Roman"/>
      <w:b/>
      <w:kern w:val="44"/>
      <w:sz w:val="30"/>
      <w:szCs w:val="30"/>
    </w:rPr>
  </w:style>
  <w:style w:type="character" w:customStyle="1" w:styleId="ed11">
    <w:name w:val="ed11"/>
    <w:semiHidden/>
    <w:rPr>
      <w:b/>
      <w:bCs/>
      <w:color w:val="05006C"/>
      <w:sz w:val="33"/>
      <w:szCs w:val="33"/>
    </w:rPr>
  </w:style>
  <w:style w:type="character" w:customStyle="1" w:styleId="CharCharfd">
    <w:name w:val="小三黑体 Char Char"/>
    <w:semiHidden/>
    <w:qFormat/>
    <w:rPr>
      <w:rFonts w:ascii="Symbol" w:eastAsia="Symbol" w:hAnsi="Times New Roman"/>
      <w:sz w:val="30"/>
      <w:szCs w:val="30"/>
    </w:rPr>
  </w:style>
  <w:style w:type="character" w:customStyle="1" w:styleId="IV1Char">
    <w:name w:val="IV 1、 Char"/>
    <w:semiHidden/>
    <w:rPr>
      <w:rFonts w:ascii="Cambria Math" w:hAnsi="Cambria Math"/>
      <w:b/>
      <w:sz w:val="24"/>
      <w:szCs w:val="24"/>
    </w:rPr>
  </w:style>
  <w:style w:type="character" w:customStyle="1" w:styleId="contont-over1">
    <w:name w:val="contont-over1"/>
    <w:semiHidden/>
    <w:qFormat/>
    <w:rPr>
      <w:sz w:val="21"/>
      <w:szCs w:val="21"/>
    </w:rPr>
  </w:style>
  <w:style w:type="character" w:customStyle="1" w:styleId="531">
    <w:name w:val="标题 5 字符3"/>
    <w:semiHidden/>
    <w:qFormat/>
    <w:rPr>
      <w:rFonts w:ascii="宋体" w:eastAsia="宋体" w:hAnsi="宋体" w:cs="Times New Roman"/>
      <w:b/>
      <w:color w:val="000000"/>
      <w:kern w:val="0"/>
      <w:sz w:val="28"/>
      <w:szCs w:val="20"/>
    </w:rPr>
  </w:style>
  <w:style w:type="character" w:customStyle="1" w:styleId="Char2e">
    <w:name w:val="脚注文本 Char2"/>
    <w:semiHidden/>
    <w:qFormat/>
    <w:rPr>
      <w:rFonts w:ascii="Cambria Math" w:eastAsia="Cambria Math" w:hAnsi="Cambria Math" w:cs="Times New Roman"/>
      <w:sz w:val="18"/>
      <w:szCs w:val="18"/>
    </w:rPr>
  </w:style>
  <w:style w:type="character" w:customStyle="1" w:styleId="Charfffffffa">
    <w:name w:val="表头单位 Char"/>
    <w:semiHidden/>
    <w:rPr>
      <w:rFonts w:ascii="仿宋" w:eastAsia="仿宋" w:hAnsi="仿宋"/>
      <w:kern w:val="2"/>
      <w:sz w:val="21"/>
      <w:szCs w:val="22"/>
    </w:rPr>
  </w:style>
  <w:style w:type="character" w:customStyle="1" w:styleId="Char3b">
    <w:name w:val="批注框文本 Char3"/>
    <w:uiPriority w:val="99"/>
    <w:semiHidden/>
    <w:rPr>
      <w:rFonts w:cs="Times New Roman"/>
      <w:sz w:val="18"/>
      <w:szCs w:val="18"/>
    </w:rPr>
  </w:style>
  <w:style w:type="character" w:customStyle="1" w:styleId="Char2f">
    <w:name w:val="正文文本 Char2"/>
    <w:semiHidden/>
    <w:qFormat/>
    <w:rPr>
      <w:rFonts w:eastAsia="Cambria Math"/>
      <w:kern w:val="2"/>
      <w:sz w:val="21"/>
      <w:szCs w:val="24"/>
      <w:lang w:val="en-US" w:eastAsia="zh-CN" w:bidi="ar-SA"/>
    </w:rPr>
  </w:style>
  <w:style w:type="character" w:customStyle="1" w:styleId="2Char42">
    <w:name w:val="正文文本 2 Char4"/>
    <w:uiPriority w:val="99"/>
    <w:semiHidden/>
    <w:rPr>
      <w:kern w:val="2"/>
      <w:sz w:val="21"/>
      <w:szCs w:val="24"/>
    </w:rPr>
  </w:style>
  <w:style w:type="character" w:customStyle="1" w:styleId="2CharChar1">
    <w:name w:val="页眉2 Char Char1"/>
    <w:semiHidden/>
    <w:qFormat/>
    <w:rPr>
      <w:rFonts w:eastAsia="Cambria Math"/>
      <w:kern w:val="2"/>
      <w:sz w:val="18"/>
      <w:szCs w:val="18"/>
      <w:lang w:val="en-US" w:eastAsia="zh-CN" w:bidi="ar-SA"/>
    </w:rPr>
  </w:style>
  <w:style w:type="character" w:customStyle="1" w:styleId="23c">
    <w:name w:val="正文文本缩进 2 字符3"/>
    <w:aliases w:val="正文文字缩进 2 字符2,正文文字缩进 21 字符2"/>
    <w:semiHidden/>
    <w:qFormat/>
    <w:rPr>
      <w:rFonts w:ascii="Times New Roman" w:eastAsia="宋体" w:hAnsi="Times New Roman" w:cs="Times New Roman"/>
      <w:kern w:val="0"/>
      <w:sz w:val="24"/>
      <w:szCs w:val="20"/>
    </w:rPr>
  </w:style>
  <w:style w:type="character" w:customStyle="1" w:styleId="PlainTextChar">
    <w:name w:val="Plain Text Char"/>
    <w:semiHidden/>
    <w:qFormat/>
    <w:rPr>
      <w:rFonts w:ascii="宋体" w:hAnsi="Courier New"/>
      <w:kern w:val="2"/>
      <w:sz w:val="21"/>
    </w:rPr>
  </w:style>
  <w:style w:type="character" w:customStyle="1" w:styleId="1Charf0">
    <w:name w:val="1、 Char"/>
    <w:semiHidden/>
    <w:qFormat/>
    <w:rPr>
      <w:rFonts w:ascii="Cambria Math" w:hAnsi="Cambria Math"/>
      <w:b/>
      <w:sz w:val="24"/>
    </w:rPr>
  </w:style>
  <w:style w:type="character" w:customStyle="1" w:styleId="blackfont1">
    <w:name w:val="blackfont1"/>
    <w:semiHidden/>
    <w:rPr>
      <w:color w:val="000000"/>
      <w:spacing w:val="15"/>
      <w:sz w:val="20"/>
      <w:szCs w:val="20"/>
    </w:rPr>
  </w:style>
  <w:style w:type="character" w:customStyle="1" w:styleId="5f6">
    <w:name w:val="明显强调5"/>
    <w:uiPriority w:val="21"/>
    <w:semiHidden/>
    <w:qFormat/>
    <w:rPr>
      <w:b/>
      <w:bCs/>
      <w:i/>
      <w:iCs/>
      <w:color w:val="4F81BD"/>
    </w:rPr>
  </w:style>
  <w:style w:type="character" w:customStyle="1" w:styleId="CharCharfe">
    <w:name w:val="表头 Char Char"/>
    <w:semiHidden/>
    <w:qFormat/>
    <w:rPr>
      <w:rFonts w:ascii="Times New Roman" w:eastAsia="Symbol" w:hAnsi="Times New Roman"/>
      <w:spacing w:val="-10"/>
      <w:sz w:val="21"/>
    </w:rPr>
  </w:style>
  <w:style w:type="character" w:customStyle="1" w:styleId="7f">
    <w:name w:val="书籍标题7"/>
    <w:uiPriority w:val="33"/>
    <w:semiHidden/>
    <w:qFormat/>
    <w:rPr>
      <w:b/>
      <w:bCs/>
      <w:smallCaps/>
      <w:spacing w:val="5"/>
    </w:rPr>
  </w:style>
  <w:style w:type="character" w:customStyle="1" w:styleId="sect2title3">
    <w:name w:val="sect2title3"/>
    <w:semiHidden/>
    <w:qFormat/>
    <w:rPr>
      <w:rFonts w:ascii="微软雅黑" w:eastAsia="微软雅黑" w:hAnsi="微软雅黑" w:hint="eastAsia"/>
      <w:b/>
      <w:bCs/>
      <w:sz w:val="24"/>
      <w:szCs w:val="24"/>
    </w:rPr>
  </w:style>
  <w:style w:type="character" w:customStyle="1" w:styleId="Char2f0">
    <w:name w:val="称呼 Char2"/>
    <w:semiHidden/>
    <w:qFormat/>
    <w:rPr>
      <w:rFonts w:ascii="Times New Roman" w:hAnsi="Times New Roman"/>
      <w:szCs w:val="21"/>
    </w:rPr>
  </w:style>
  <w:style w:type="character" w:customStyle="1" w:styleId="IPONormalChar">
    <w:name w:val="IPO Normal Char"/>
    <w:semiHidden/>
    <w:qFormat/>
    <w:rPr>
      <w:rFonts w:ascii="Times" w:hAnsi="Times"/>
      <w:kern w:val="24"/>
      <w:sz w:val="24"/>
    </w:rPr>
  </w:style>
  <w:style w:type="character" w:customStyle="1" w:styleId="11Char">
    <w:name w:val="1.1标题 Char"/>
    <w:semiHidden/>
    <w:qFormat/>
    <w:rPr>
      <w:rFonts w:ascii="宋体" w:hAnsi="宋体"/>
      <w:kern w:val="2"/>
      <w:sz w:val="21"/>
      <w:szCs w:val="21"/>
    </w:rPr>
  </w:style>
  <w:style w:type="character" w:customStyle="1" w:styleId="bigtext1">
    <w:name w:val="bigtext1"/>
    <w:semiHidden/>
    <w:rPr>
      <w:rFonts w:ascii="Arial Bold" w:hAnsi="Arial Bold" w:hint="default"/>
      <w:sz w:val="21"/>
    </w:rPr>
  </w:style>
  <w:style w:type="character" w:customStyle="1" w:styleId="1Char11">
    <w:name w:val="标题 1 Char1"/>
    <w:semiHidden/>
    <w:qFormat/>
    <w:rPr>
      <w:rFonts w:ascii="Cambria Math" w:hAnsi="Times New Roman"/>
      <w:b/>
      <w:kern w:val="44"/>
      <w:sz w:val="44"/>
    </w:rPr>
  </w:style>
  <w:style w:type="character" w:customStyle="1" w:styleId="Charfffffffb">
    <w:name w:val="本文小标题 Char"/>
    <w:semiHidden/>
    <w:rPr>
      <w:rFonts w:ascii="Cambria Math" w:hAnsi="Cambria Math" w:cs="Cambria Math"/>
      <w:b/>
      <w:kern w:val="2"/>
      <w:sz w:val="24"/>
      <w:szCs w:val="21"/>
    </w:rPr>
  </w:style>
  <w:style w:type="character" w:customStyle="1" w:styleId="cap">
    <w:name w:val="cap"/>
    <w:semiHidden/>
    <w:qFormat/>
    <w:rPr>
      <w:rFonts w:eastAsia="Cambria Math"/>
      <w:kern w:val="2"/>
      <w:sz w:val="24"/>
      <w:szCs w:val="24"/>
      <w:lang w:val="en-US" w:eastAsia="zh-CN" w:bidi="ar-SA"/>
    </w:rPr>
  </w:style>
  <w:style w:type="character" w:customStyle="1" w:styleId="HTML31">
    <w:name w:val="HTML 预设格式 字符3"/>
    <w:semiHidden/>
    <w:qFormat/>
    <w:rPr>
      <w:rFonts w:ascii="宋体" w:eastAsia="宋体" w:hAnsi="宋体" w:cs="宋体"/>
      <w:kern w:val="0"/>
      <w:sz w:val="24"/>
      <w:szCs w:val="24"/>
    </w:rPr>
  </w:style>
  <w:style w:type="character" w:customStyle="1" w:styleId="6f4">
    <w:name w:val="明显强调6"/>
    <w:uiPriority w:val="21"/>
    <w:semiHidden/>
    <w:qFormat/>
    <w:rPr>
      <w:b/>
      <w:bCs/>
      <w:i/>
      <w:iCs/>
      <w:color w:val="4F81BD"/>
    </w:rPr>
  </w:style>
  <w:style w:type="character" w:customStyle="1" w:styleId="3fff7">
    <w:name w:val="纯文本 字符3"/>
    <w:semiHidden/>
    <w:qFormat/>
    <w:rPr>
      <w:rFonts w:ascii="宋体" w:eastAsia="宋体" w:hAnsi="Courier New" w:cs="Times New Roman"/>
      <w:szCs w:val="20"/>
    </w:rPr>
  </w:style>
  <w:style w:type="character" w:customStyle="1" w:styleId="-Char2">
    <w:name w:val="图表样式-正文部分 Char2"/>
    <w:semiHidden/>
    <w:rPr>
      <w:rFonts w:ascii="Cambria Math" w:hAnsi="Cambria Math" w:cs="Cambria Math"/>
      <w:b/>
      <w:bCs/>
      <w:kern w:val="2"/>
      <w:sz w:val="24"/>
      <w:szCs w:val="24"/>
    </w:rPr>
  </w:style>
  <w:style w:type="character" w:customStyle="1" w:styleId="fontsize1">
    <w:name w:val="fontsize1"/>
    <w:semiHidden/>
    <w:qFormat/>
  </w:style>
  <w:style w:type="character" w:customStyle="1" w:styleId="3CharCharCharCharCharCharCharCharCharCharCharCharCharCharCharCharCharCharCharCharCharChar">
    <w:name w:val="标题 3 Char Char Char Char Char Char Char Char Char Char Char Char Char Char Char Char Char Char Char Char Char Char"/>
    <w:semiHidden/>
    <w:qFormat/>
    <w:rPr>
      <w:rFonts w:eastAsia="Cambria Math"/>
      <w:b/>
      <w:bCs/>
      <w:kern w:val="2"/>
      <w:sz w:val="32"/>
      <w:szCs w:val="32"/>
      <w:lang w:val="en-US" w:eastAsia="zh-CN" w:bidi="ar-SA"/>
    </w:rPr>
  </w:style>
  <w:style w:type="character" w:customStyle="1" w:styleId="red-n">
    <w:name w:val="red-n"/>
    <w:semiHidden/>
    <w:qFormat/>
    <w:rPr>
      <w:rFonts w:eastAsia="Cambria Math"/>
      <w:color w:val="CC0000"/>
      <w:kern w:val="2"/>
      <w:sz w:val="21"/>
      <w:lang w:val="en-US" w:eastAsia="zh-CN" w:bidi="ar-SA"/>
    </w:rPr>
  </w:style>
  <w:style w:type="character" w:customStyle="1" w:styleId="2fffff5">
    <w:name w:val="题注 字符2"/>
    <w:uiPriority w:val="35"/>
    <w:semiHidden/>
    <w:rPr>
      <w:rFonts w:ascii="黑体" w:eastAsia="Symbol" w:hAnsi="黑体" w:cs="Times New Roman"/>
      <w:sz w:val="20"/>
      <w:szCs w:val="20"/>
    </w:rPr>
  </w:style>
  <w:style w:type="character" w:customStyle="1" w:styleId="3fff8">
    <w:name w:val="页眉 字符3"/>
    <w:uiPriority w:val="99"/>
    <w:semiHidden/>
    <w:qFormat/>
    <w:rPr>
      <w:sz w:val="18"/>
      <w:szCs w:val="18"/>
    </w:rPr>
  </w:style>
  <w:style w:type="character" w:customStyle="1" w:styleId="Char3c">
    <w:name w:val="正文首行缩进 Char3"/>
    <w:uiPriority w:val="99"/>
    <w:semiHidden/>
    <w:rPr>
      <w:rFonts w:ascii="Times New Roman" w:eastAsia="宋体" w:hAnsi="Times New Roman" w:cs="Times New Roman"/>
      <w:kern w:val="2"/>
      <w:sz w:val="21"/>
      <w:szCs w:val="24"/>
    </w:rPr>
  </w:style>
  <w:style w:type="character" w:customStyle="1" w:styleId="1-3Char2">
    <w:name w:val="中等深浅底纹 1 - 强调文字颜色 3 Char2"/>
    <w:uiPriority w:val="29"/>
    <w:semiHidden/>
    <w:qFormat/>
    <w:rPr>
      <w:rFonts w:ascii="Cambria Math" w:eastAsia="Cambria Math" w:hAnsi="Cambria Math" w:cs="Times New Roman"/>
      <w:i/>
      <w:iCs/>
      <w:color w:val="000000"/>
    </w:rPr>
  </w:style>
  <w:style w:type="character" w:customStyle="1" w:styleId="4ff1">
    <w:name w:val="结束语 字符4"/>
    <w:semiHidden/>
    <w:rPr>
      <w:rFonts w:ascii="Arial" w:eastAsia="Arial" w:hAnsi="Arial"/>
      <w:sz w:val="24"/>
      <w:szCs w:val="24"/>
    </w:rPr>
  </w:style>
  <w:style w:type="character" w:customStyle="1" w:styleId="dir1">
    <w:name w:val="dir1"/>
    <w:semiHidden/>
    <w:rPr>
      <w:rFonts w:ascii="宋体" w:eastAsia="宋体" w:hAnsi="宋体" w:hint="eastAsia"/>
      <w:sz w:val="28"/>
      <w:szCs w:val="28"/>
    </w:rPr>
  </w:style>
  <w:style w:type="character" w:customStyle="1" w:styleId="3fff9">
    <w:name w:val="信息标题 字符3"/>
    <w:semiHidden/>
    <w:rPr>
      <w:rFonts w:ascii="Times New Roman" w:hAnsi="Times New Roman"/>
      <w:sz w:val="18"/>
      <w:szCs w:val="24"/>
    </w:rPr>
  </w:style>
  <w:style w:type="character" w:customStyle="1" w:styleId="con">
    <w:name w:val="con"/>
    <w:semiHidden/>
    <w:qFormat/>
  </w:style>
  <w:style w:type="character" w:customStyle="1" w:styleId="1ZZZChar0">
    <w:name w:val="1ZZZ（一） Char"/>
    <w:semiHidden/>
    <w:qFormat/>
    <w:locked/>
    <w:rPr>
      <w:rFonts w:ascii="Cambria Math" w:hAnsi="Cambria Math"/>
      <w:b/>
      <w:bCs/>
      <w:color w:val="000000"/>
      <w:sz w:val="24"/>
      <w:szCs w:val="24"/>
    </w:rPr>
  </w:style>
  <w:style w:type="character" w:customStyle="1" w:styleId="IPOChar">
    <w:name w:val="IPO正文 Char"/>
    <w:semiHidden/>
    <w:rPr>
      <w:rFonts w:ascii="Wingdings" w:hAnsi="Wingdings" w:cs="Wingdings"/>
      <w:color w:val="000000"/>
      <w:sz w:val="24"/>
    </w:rPr>
  </w:style>
  <w:style w:type="character" w:customStyle="1" w:styleId="XChar0">
    <w:name w:val="第X节 Char"/>
    <w:semiHidden/>
    <w:qFormat/>
    <w:rPr>
      <w:rFonts w:ascii="Times New Roman" w:hAnsi="Cambria Math"/>
      <w:b/>
      <w:sz w:val="32"/>
      <w:szCs w:val="32"/>
    </w:rPr>
  </w:style>
  <w:style w:type="character" w:customStyle="1" w:styleId="badge3">
    <w:name w:val="badge3"/>
    <w:semiHidden/>
    <w:qFormat/>
    <w:rPr>
      <w:color w:val="128BED"/>
    </w:rPr>
  </w:style>
  <w:style w:type="character" w:customStyle="1" w:styleId="affffffffffffffffffff9">
    <w:name w:val="样式 小四 浅蓝"/>
    <w:semiHidden/>
    <w:rPr>
      <w:color w:val="3366FF"/>
      <w:sz w:val="21"/>
    </w:rPr>
  </w:style>
  <w:style w:type="character" w:customStyle="1" w:styleId="Charfffffffc">
    <w:name w:val="信息标题 Char"/>
    <w:semiHidden/>
    <w:qFormat/>
    <w:rPr>
      <w:rFonts w:ascii="Wingdings" w:hAnsi="Wingdings" w:cs="Wingdings"/>
      <w:kern w:val="2"/>
      <w:sz w:val="24"/>
      <w:szCs w:val="24"/>
      <w:shd w:val="pct20" w:color="auto" w:fill="auto"/>
    </w:rPr>
  </w:style>
  <w:style w:type="character" w:customStyle="1" w:styleId="CharChar1a">
    <w:name w:val="段 Char Char1"/>
    <w:semiHidden/>
    <w:rPr>
      <w:rFonts w:eastAsia="Cambria Math" w:hAnsi="Wingdings"/>
      <w:snapToGrid/>
      <w:color w:val="000000"/>
      <w:sz w:val="24"/>
      <w:lang w:val="en-US" w:eastAsia="zh-CN" w:bidi="ar-SA"/>
    </w:rPr>
  </w:style>
  <w:style w:type="character" w:customStyle="1" w:styleId="-33">
    <w:name w:val="浅色网格 - 着色 3 字符"/>
    <w:uiPriority w:val="34"/>
    <w:semiHidden/>
    <w:qFormat/>
    <w:rPr>
      <w:rFonts w:cs="Cambria Math"/>
      <w:kern w:val="2"/>
      <w:sz w:val="24"/>
      <w:szCs w:val="24"/>
    </w:rPr>
  </w:style>
  <w:style w:type="character" w:customStyle="1" w:styleId="12e">
    <w:name w:val="样式 12 磅"/>
    <w:semiHidden/>
    <w:rPr>
      <w:sz w:val="21"/>
    </w:rPr>
  </w:style>
  <w:style w:type="character" w:customStyle="1" w:styleId="2Char43">
    <w:name w:val="标题 2 Char4"/>
    <w:semiHidden/>
    <w:qFormat/>
    <w:rPr>
      <w:rFonts w:ascii="Symbol" w:eastAsia="Symbol" w:hAnsi="Wingdings" w:cs="Times New Roman"/>
      <w:b/>
      <w:bCs/>
      <w:sz w:val="30"/>
      <w:szCs w:val="30"/>
    </w:rPr>
  </w:style>
  <w:style w:type="character" w:customStyle="1" w:styleId="DateChar">
    <w:name w:val="Date Char"/>
    <w:uiPriority w:val="99"/>
    <w:semiHidden/>
    <w:qFormat/>
    <w:locked/>
    <w:rPr>
      <w:rFonts w:eastAsia="Cambria Math"/>
      <w:kern w:val="2"/>
      <w:sz w:val="21"/>
      <w:szCs w:val="24"/>
      <w:lang w:val="en-US" w:eastAsia="zh-CN" w:bidi="ar-SA"/>
    </w:rPr>
  </w:style>
  <w:style w:type="character" w:customStyle="1" w:styleId="CharCharChar9">
    <w:name w:val="西矿招股书正文 Char Char Char"/>
    <w:semiHidden/>
    <w:qFormat/>
    <w:rPr>
      <w:rFonts w:ascii="Times New Roman" w:hAnsi="Times New Roman"/>
      <w:kern w:val="2"/>
      <w:sz w:val="24"/>
      <w:szCs w:val="24"/>
    </w:rPr>
  </w:style>
  <w:style w:type="character" w:customStyle="1" w:styleId="Charfffffffd">
    <w:name w:val="本文表格 Char"/>
    <w:semiHidden/>
    <w:rPr>
      <w:rFonts w:ascii="Cambria Math" w:hAnsi="Cambria Math" w:cs="Cambria Math"/>
      <w:b/>
      <w:bCs/>
      <w:sz w:val="21"/>
      <w:szCs w:val="21"/>
    </w:rPr>
  </w:style>
  <w:style w:type="character" w:customStyle="1" w:styleId="3fffa">
    <w:name w:val="称呼 字符3"/>
    <w:semiHidden/>
    <w:rPr>
      <w:rFonts w:ascii="Times New Roman" w:eastAsia="宋体" w:hAnsi="Times New Roman" w:cs="Times New Roman"/>
      <w:kern w:val="0"/>
      <w:sz w:val="20"/>
      <w:szCs w:val="20"/>
    </w:rPr>
  </w:style>
  <w:style w:type="character" w:customStyle="1" w:styleId="z-Char3">
    <w:name w:val="z-窗体顶端 Char3"/>
    <w:semiHidden/>
    <w:qFormat/>
    <w:rPr>
      <w:rFonts w:ascii="Wingdings" w:hAnsi="Wingdings" w:cs="Wingdings"/>
      <w:vanish/>
      <w:sz w:val="16"/>
      <w:szCs w:val="16"/>
    </w:rPr>
  </w:style>
  <w:style w:type="character" w:customStyle="1" w:styleId="hanggao1">
    <w:name w:val="hanggao1"/>
    <w:semiHidden/>
    <w:rPr>
      <w:spacing w:val="600"/>
    </w:rPr>
  </w:style>
  <w:style w:type="character" w:customStyle="1" w:styleId="22b">
    <w:name w:val="正文首行缩进 2 字符2"/>
    <w:semiHidden/>
    <w:locked/>
    <w:rPr>
      <w:rFonts w:ascii="Times New Roman" w:hAnsi="Times New Roman"/>
      <w:color w:val="000000"/>
      <w:sz w:val="21"/>
      <w:szCs w:val="24"/>
    </w:rPr>
  </w:style>
  <w:style w:type="character" w:customStyle="1" w:styleId="3Char7">
    <w:name w:val="我标题3 Char"/>
    <w:semiHidden/>
    <w:qFormat/>
    <w:locked/>
    <w:rPr>
      <w:rFonts w:ascii="Symbol" w:eastAsia="Symbol" w:hAnsi="Symbol"/>
      <w:b/>
      <w:bCs/>
      <w:sz w:val="24"/>
      <w:szCs w:val="24"/>
    </w:rPr>
  </w:style>
  <w:style w:type="character" w:customStyle="1" w:styleId="affffffffffffffffffffa">
    <w:name w:val="表格文字 字符"/>
    <w:semiHidden/>
    <w:qFormat/>
    <w:rPr>
      <w:bCs/>
      <w:sz w:val="21"/>
      <w:szCs w:val="21"/>
    </w:rPr>
  </w:style>
  <w:style w:type="character" w:customStyle="1" w:styleId="2Char8">
    <w:name w:val="正文首行缩进 2 Char"/>
    <w:semiHidden/>
    <w:qFormat/>
    <w:rPr>
      <w:rFonts w:ascii="Times New Roman" w:eastAsia="Wingdings" w:hAnsi="Times New Roman"/>
      <w:kern w:val="2"/>
      <w:sz w:val="21"/>
      <w:szCs w:val="24"/>
    </w:rPr>
  </w:style>
  <w:style w:type="character" w:customStyle="1" w:styleId="Charfffffffe">
    <w:name w:val="图标题 Char"/>
    <w:semiHidden/>
    <w:rPr>
      <w:rFonts w:ascii="Cambria Math" w:hAnsi="Cambria Math" w:cs="Cambria Math"/>
      <w:kern w:val="2"/>
      <w:sz w:val="24"/>
      <w:szCs w:val="21"/>
    </w:rPr>
  </w:style>
  <w:style w:type="character" w:customStyle="1" w:styleId="webkit-html-tag">
    <w:name w:val="webkit-html-tag"/>
    <w:semiHidden/>
  </w:style>
  <w:style w:type="character" w:customStyle="1" w:styleId="2Char9">
    <w:name w:val="首行缩进: 2 字符 Char"/>
    <w:semiHidden/>
    <w:qFormat/>
    <w:rPr>
      <w:rFonts w:ascii="Times New Roman" w:eastAsia="Cambria Math" w:hAnsi="Times New Roman" w:cs="Cambria Math"/>
      <w:sz w:val="24"/>
      <w:szCs w:val="20"/>
    </w:rPr>
  </w:style>
  <w:style w:type="character" w:customStyle="1" w:styleId="IXChar">
    <w:name w:val="I 第X节 Char"/>
    <w:semiHidden/>
    <w:rPr>
      <w:rFonts w:ascii="Cambria Math" w:hAnsi="Cambria Math" w:cs="Cambria Math"/>
      <w:b/>
      <w:sz w:val="32"/>
      <w:szCs w:val="32"/>
    </w:rPr>
  </w:style>
  <w:style w:type="character" w:customStyle="1" w:styleId="2CharChar10">
    <w:name w:val="正文文字缩进 2 Char Char1"/>
    <w:semiHidden/>
    <w:rPr>
      <w:rFonts w:eastAsia="Arial Bold"/>
      <w:spacing w:val="-2"/>
      <w:kern w:val="2"/>
      <w:sz w:val="28"/>
      <w:lang w:val="en-US" w:eastAsia="zh-CN" w:bidi="ar-SA"/>
    </w:rPr>
  </w:style>
  <w:style w:type="character" w:customStyle="1" w:styleId="2fffff6">
    <w:name w:val="批注框文本 字符2"/>
    <w:uiPriority w:val="99"/>
    <w:semiHidden/>
    <w:qFormat/>
    <w:locked/>
    <w:rPr>
      <w:sz w:val="18"/>
      <w:szCs w:val="18"/>
    </w:rPr>
  </w:style>
  <w:style w:type="character" w:customStyle="1" w:styleId="font41">
    <w:name w:val="font41"/>
    <w:semiHidden/>
    <w:qFormat/>
    <w:rPr>
      <w:rFonts w:ascii="Cambria Math" w:eastAsia="Cambria Math" w:hAnsi="Cambria Math" w:hint="eastAsia"/>
      <w:b/>
      <w:bCs/>
      <w:i w:val="0"/>
      <w:iCs w:val="0"/>
      <w:strike w:val="0"/>
      <w:dstrike w:val="0"/>
      <w:color w:val="000000"/>
      <w:sz w:val="18"/>
      <w:szCs w:val="18"/>
      <w:u w:val="none"/>
    </w:rPr>
  </w:style>
  <w:style w:type="character" w:customStyle="1" w:styleId="blue-n">
    <w:name w:val="blue-n"/>
    <w:semiHidden/>
    <w:qFormat/>
    <w:rPr>
      <w:rFonts w:eastAsia="Cambria Math"/>
      <w:color w:val="173EE8"/>
      <w:kern w:val="2"/>
      <w:sz w:val="21"/>
      <w:lang w:val="en-US" w:eastAsia="zh-CN" w:bidi="ar-SA"/>
    </w:rPr>
  </w:style>
  <w:style w:type="character" w:customStyle="1" w:styleId="p921">
    <w:name w:val="p921"/>
    <w:semiHidden/>
    <w:rPr>
      <w:color w:val="336699"/>
      <w:spacing w:val="300"/>
      <w:sz w:val="18"/>
      <w:szCs w:val="18"/>
    </w:rPr>
  </w:style>
  <w:style w:type="character" w:customStyle="1" w:styleId="cfChar">
    <w:name w:val="cf Char"/>
    <w:semiHidden/>
    <w:rPr>
      <w:rFonts w:ascii="Cambria" w:eastAsia="仿宋" w:hAnsi="Cambria"/>
      <w:kern w:val="2"/>
      <w:sz w:val="21"/>
      <w:szCs w:val="24"/>
    </w:rPr>
  </w:style>
  <w:style w:type="character" w:customStyle="1" w:styleId="oblogtext">
    <w:name w:val="oblog_text"/>
    <w:semiHidden/>
  </w:style>
  <w:style w:type="character" w:customStyle="1" w:styleId="7Char2">
    <w:name w:val="标题 7 Char"/>
    <w:aliases w:val="Legal Level 1.1. Char"/>
    <w:semiHidden/>
    <w:qFormat/>
    <w:rPr>
      <w:rFonts w:ascii="Times New Roman" w:hAnsi="Times New Roman"/>
      <w:b/>
      <w:bCs/>
    </w:rPr>
  </w:style>
  <w:style w:type="character" w:customStyle="1" w:styleId="TopChar">
    <w:name w:val="表格Top Char"/>
    <w:semiHidden/>
    <w:qFormat/>
    <w:rPr>
      <w:kern w:val="2"/>
      <w:sz w:val="21"/>
      <w:szCs w:val="24"/>
    </w:rPr>
  </w:style>
  <w:style w:type="character" w:customStyle="1" w:styleId="1-Char0">
    <w:name w:val="1级标题-富瀚 Char"/>
    <w:semiHidden/>
    <w:qFormat/>
    <w:locked/>
    <w:rPr>
      <w:rFonts w:ascii="Times New Roman" w:hAnsi="Times New Roman"/>
      <w:b/>
      <w:sz w:val="24"/>
    </w:rPr>
  </w:style>
  <w:style w:type="character" w:customStyle="1" w:styleId="13c">
    <w:name w:val="标题 1 字符3"/>
    <w:semiHidden/>
    <w:qFormat/>
    <w:rPr>
      <w:rFonts w:ascii="Times New Roman" w:eastAsia="黑体" w:hAnsi="Times New Roman" w:cs="Times New Roman"/>
      <w:bCs/>
      <w:kern w:val="44"/>
      <w:sz w:val="32"/>
      <w:szCs w:val="44"/>
    </w:rPr>
  </w:style>
  <w:style w:type="character" w:customStyle="1" w:styleId="Charffffffff">
    <w:name w:val="楷体五号加粗 Char"/>
    <w:semiHidden/>
    <w:qFormat/>
    <w:rPr>
      <w:rFonts w:ascii="Arial Bold" w:eastAsia="Arial Bold" w:hAnsi="Times New Roman"/>
      <w:b/>
      <w:bCs/>
      <w:sz w:val="21"/>
      <w:szCs w:val="28"/>
    </w:rPr>
  </w:style>
  <w:style w:type="character" w:customStyle="1" w:styleId="p1121">
    <w:name w:val="p1121"/>
    <w:semiHidden/>
    <w:rPr>
      <w:sz w:val="14"/>
    </w:rPr>
  </w:style>
  <w:style w:type="character" w:customStyle="1" w:styleId="font31">
    <w:name w:val="font31"/>
    <w:semiHidden/>
    <w:qFormat/>
    <w:rPr>
      <w:rFonts w:ascii="Cambria Math" w:eastAsia="Cambria Math" w:hAnsi="Cambria Math" w:hint="eastAsia"/>
      <w:b w:val="0"/>
      <w:bCs w:val="0"/>
      <w:i w:val="0"/>
      <w:iCs w:val="0"/>
      <w:strike w:val="0"/>
      <w:dstrike w:val="0"/>
      <w:color w:val="000000"/>
      <w:sz w:val="18"/>
      <w:szCs w:val="18"/>
      <w:u w:val="none"/>
    </w:rPr>
  </w:style>
  <w:style w:type="character" w:customStyle="1" w:styleId="3Char22">
    <w:name w:val="标题 3 Char2"/>
    <w:uiPriority w:val="9"/>
    <w:semiHidden/>
    <w:qFormat/>
    <w:rPr>
      <w:rFonts w:eastAsia="Cambria Math"/>
      <w:b/>
      <w:bCs/>
      <w:kern w:val="2"/>
      <w:sz w:val="32"/>
      <w:szCs w:val="32"/>
      <w:lang w:val="en-US" w:eastAsia="zh-CN" w:bidi="ar-SA"/>
    </w:rPr>
  </w:style>
  <w:style w:type="character" w:customStyle="1" w:styleId="2fffff7">
    <w:name w:val="电子邮件签名 字符2"/>
    <w:semiHidden/>
    <w:locked/>
    <w:rPr>
      <w:rFonts w:ascii="Arial" w:eastAsia="Arial" w:hAnsi="Arial" w:cs="Arial"/>
      <w:sz w:val="24"/>
      <w:szCs w:val="24"/>
    </w:rPr>
  </w:style>
  <w:style w:type="character" w:customStyle="1" w:styleId="Char49">
    <w:name w:val="注释标题 Char4"/>
    <w:semiHidden/>
    <w:qFormat/>
    <w:rPr>
      <w:rFonts w:ascii="Times New Roman" w:eastAsia="Cambria Math" w:hAnsi="Times New Roman" w:cs="Times New Roman"/>
      <w:szCs w:val="24"/>
    </w:rPr>
  </w:style>
  <w:style w:type="character" w:customStyle="1" w:styleId="afont">
    <w:name w:val="afont"/>
    <w:semiHidden/>
  </w:style>
  <w:style w:type="character" w:customStyle="1" w:styleId="unnamed3">
    <w:name w:val="unnamed3"/>
    <w:semiHidden/>
  </w:style>
  <w:style w:type="character" w:customStyle="1" w:styleId="aChar2">
    <w:name w:val="a表内文字 Char"/>
    <w:semiHidden/>
    <w:rPr>
      <w:rFonts w:ascii="Wingdings" w:hAnsi="Wingdings" w:cs="Cambria Math"/>
      <w:sz w:val="21"/>
      <w:szCs w:val="21"/>
    </w:rPr>
  </w:style>
  <w:style w:type="character" w:customStyle="1" w:styleId="4ff2">
    <w:name w:val="不明显强调4"/>
    <w:uiPriority w:val="19"/>
    <w:semiHidden/>
    <w:qFormat/>
    <w:rPr>
      <w:i/>
      <w:iCs/>
      <w:color w:val="808080"/>
    </w:rPr>
  </w:style>
  <w:style w:type="character" w:customStyle="1" w:styleId="CharCharff">
    <w:name w:val="西矿招股书正文 Char Char"/>
    <w:semiHidden/>
    <w:qFormat/>
    <w:locked/>
    <w:rPr>
      <w:rFonts w:ascii="Cambria Math" w:hAnsi="Cambria Math"/>
      <w:sz w:val="24"/>
      <w:szCs w:val="24"/>
    </w:rPr>
  </w:style>
  <w:style w:type="character" w:customStyle="1" w:styleId="1-XChar">
    <w:name w:val="1-第X节 Char"/>
    <w:semiHidden/>
    <w:rPr>
      <w:rFonts w:ascii="Times New Roman" w:hAnsi="Cambria Math"/>
      <w:b/>
      <w:sz w:val="32"/>
      <w:szCs w:val="32"/>
    </w:rPr>
  </w:style>
  <w:style w:type="character" w:customStyle="1" w:styleId="checkbox">
    <w:name w:val="checkbox"/>
    <w:semiHidden/>
    <w:qFormat/>
    <w:rPr>
      <w:rFonts w:eastAsia="Cambria Math"/>
      <w:kern w:val="2"/>
      <w:sz w:val="21"/>
      <w:lang w:val="en-US" w:eastAsia="zh-CN" w:bidi="ar-SA"/>
    </w:rPr>
  </w:style>
  <w:style w:type="character" w:customStyle="1" w:styleId="3Char8">
    <w:name w:val="【3级】 Char"/>
    <w:semiHidden/>
    <w:rPr>
      <w:rFonts w:ascii="Cambria Math" w:hAnsi="Cambria Math" w:cs="Cambria Math"/>
      <w:b/>
      <w:kern w:val="2"/>
      <w:sz w:val="24"/>
      <w:szCs w:val="44"/>
    </w:rPr>
  </w:style>
  <w:style w:type="character" w:customStyle="1" w:styleId="125Char0">
    <w:name w:val="无缩进宋体小四1.25倍行距 Char"/>
    <w:semiHidden/>
    <w:qFormat/>
    <w:locked/>
  </w:style>
  <w:style w:type="character" w:customStyle="1" w:styleId="FootnoteTextChar">
    <w:name w:val="Footnote Text Char"/>
    <w:semiHidden/>
    <w:locked/>
    <w:rPr>
      <w:rFonts w:eastAsia="Cambria Math"/>
      <w:kern w:val="2"/>
      <w:sz w:val="18"/>
      <w:szCs w:val="18"/>
      <w:lang w:val="en-US" w:eastAsia="zh-CN" w:bidi="ar-SA"/>
    </w:rPr>
  </w:style>
  <w:style w:type="character" w:customStyle="1" w:styleId="Charffffffff0">
    <w:name w:val="招图 Char"/>
    <w:semiHidden/>
    <w:rPr>
      <w:rFonts w:ascii="Cambria Math" w:hAnsi="Cambria Math" w:cs="Cambria Math"/>
      <w:kern w:val="2"/>
      <w:sz w:val="18"/>
      <w:szCs w:val="21"/>
    </w:rPr>
  </w:style>
  <w:style w:type="character" w:customStyle="1" w:styleId="chword">
    <w:name w:val="chword"/>
    <w:semiHidden/>
  </w:style>
  <w:style w:type="character" w:customStyle="1" w:styleId="11ff0">
    <w:name w:val="要点11"/>
    <w:semiHidden/>
    <w:rPr>
      <w:rFonts w:cs="Wingdings"/>
      <w:b/>
      <w:bCs/>
    </w:rPr>
  </w:style>
  <w:style w:type="character" w:customStyle="1" w:styleId="5Char3">
    <w:name w:val="标题 5 Char3"/>
    <w:semiHidden/>
    <w:qFormat/>
    <w:rPr>
      <w:rFonts w:ascii="Times New Roman" w:eastAsia="Cambria Math" w:hAnsi="Times New Roman" w:cs="Times New Roman"/>
      <w:b/>
      <w:bCs/>
      <w:szCs w:val="24"/>
    </w:rPr>
  </w:style>
  <w:style w:type="character" w:customStyle="1" w:styleId="edit2">
    <w:name w:val="edit2"/>
    <w:semiHidden/>
    <w:qFormat/>
  </w:style>
  <w:style w:type="character" w:customStyle="1" w:styleId="06Char">
    <w:name w:val="06图题 Char"/>
    <w:uiPriority w:val="99"/>
    <w:semiHidden/>
    <w:qFormat/>
    <w:locked/>
    <w:rPr>
      <w:rFonts w:ascii="Wingdings" w:eastAsia="Symbol" w:hAnsi="Wingdings"/>
      <w:color w:val="003366"/>
      <w:kern w:val="2"/>
      <w:sz w:val="18"/>
      <w:szCs w:val="18"/>
      <w:lang w:bidi="ar-SA"/>
    </w:rPr>
  </w:style>
  <w:style w:type="character" w:customStyle="1" w:styleId="1CharChar2">
    <w:name w:val="（1） Char Char"/>
    <w:semiHidden/>
    <w:qFormat/>
    <w:locked/>
    <w:rPr>
      <w:rFonts w:ascii="Wingdings" w:eastAsia="Symbol" w:hAnsi="Wingdings"/>
      <w:kern w:val="2"/>
      <w:sz w:val="24"/>
      <w:szCs w:val="24"/>
      <w:lang w:val="en-US" w:eastAsia="zh-CN" w:bidi="ar-SA"/>
    </w:rPr>
  </w:style>
  <w:style w:type="character" w:customStyle="1" w:styleId="fontstyle11">
    <w:name w:val="fontstyle11"/>
    <w:semiHidden/>
    <w:qFormat/>
    <w:rPr>
      <w:rFonts w:ascii="Times New Roman" w:hAnsi="Times New Roman" w:cs="Times New Roman" w:hint="default"/>
      <w:color w:val="000000"/>
      <w:sz w:val="24"/>
      <w:szCs w:val="24"/>
    </w:rPr>
  </w:style>
  <w:style w:type="character" w:customStyle="1" w:styleId="S1Char">
    <w:name w:val="S正文1 Char"/>
    <w:semiHidden/>
    <w:qFormat/>
    <w:rPr>
      <w:kern w:val="2"/>
      <w:sz w:val="24"/>
      <w:szCs w:val="24"/>
    </w:rPr>
  </w:style>
  <w:style w:type="character" w:customStyle="1" w:styleId="Char2f1">
    <w:name w:val="批注框文本 Char2"/>
    <w:semiHidden/>
    <w:qFormat/>
    <w:rPr>
      <w:kern w:val="2"/>
      <w:sz w:val="18"/>
      <w:szCs w:val="18"/>
    </w:rPr>
  </w:style>
  <w:style w:type="character" w:customStyle="1" w:styleId="Charffffffff1">
    <w:name w:val="称呼 Char"/>
    <w:semiHidden/>
    <w:qFormat/>
    <w:rPr>
      <w:rFonts w:ascii="Times New Roman" w:hAnsi="Times New Roman"/>
      <w:szCs w:val="21"/>
    </w:rPr>
  </w:style>
  <w:style w:type="character" w:customStyle="1" w:styleId="09Char0">
    <w:name w:val="09中信_图表标题 Char"/>
    <w:semiHidden/>
    <w:rPr>
      <w:rFonts w:eastAsia="Cambria Math"/>
      <w:b/>
      <w:bCs/>
      <w:color w:val="003366"/>
      <w:kern w:val="2"/>
      <w:lang w:val="en-US" w:eastAsia="zh-CN" w:bidi="ar-SA"/>
    </w:rPr>
  </w:style>
  <w:style w:type="character" w:customStyle="1" w:styleId="yiv1972087562bumpedfont15">
    <w:name w:val="yiv1972087562bumpedfont15"/>
    <w:semiHidden/>
    <w:qFormat/>
  </w:style>
  <w:style w:type="character" w:customStyle="1" w:styleId="4ff3">
    <w:name w:val="脚注文本 字符4"/>
    <w:uiPriority w:val="99"/>
    <w:semiHidden/>
    <w:rPr>
      <w:rFonts w:ascii="Times New Roman" w:eastAsia="宋体" w:hAnsi="Times New Roman" w:cs="Times New Roman"/>
      <w:kern w:val="0"/>
      <w:sz w:val="18"/>
      <w:szCs w:val="18"/>
    </w:rPr>
  </w:style>
  <w:style w:type="character" w:customStyle="1" w:styleId="1-4Char0">
    <w:name w:val="中等深浅网格 1 - 强调文字颜色 4 Char"/>
    <w:uiPriority w:val="29"/>
    <w:semiHidden/>
    <w:qFormat/>
    <w:rPr>
      <w:i/>
      <w:iCs/>
      <w:color w:val="000000"/>
    </w:rPr>
  </w:style>
  <w:style w:type="character" w:customStyle="1" w:styleId="Charffffffff2">
    <w:name w:val="普通正文 Char"/>
    <w:semiHidden/>
    <w:locked/>
    <w:rPr>
      <w:sz w:val="24"/>
    </w:rPr>
  </w:style>
  <w:style w:type="character" w:customStyle="1" w:styleId="Charffffffff3">
    <w:name w:val="桃李单位 Char"/>
    <w:semiHidden/>
    <w:qFormat/>
    <w:rPr>
      <w:rFonts w:ascii="Times New Roman" w:hAnsi="Times New Roman"/>
      <w:color w:val="000000"/>
      <w:kern w:val="2"/>
      <w:sz w:val="21"/>
      <w:szCs w:val="21"/>
    </w:rPr>
  </w:style>
  <w:style w:type="character" w:customStyle="1" w:styleId="z-Char30">
    <w:name w:val="z-窗体底端 Char3"/>
    <w:uiPriority w:val="99"/>
    <w:semiHidden/>
    <w:qFormat/>
    <w:rPr>
      <w:rFonts w:ascii="Wingdings" w:hAnsi="Wingdings"/>
      <w:vanish/>
      <w:sz w:val="16"/>
      <w:szCs w:val="16"/>
    </w:rPr>
  </w:style>
  <w:style w:type="character" w:customStyle="1" w:styleId="6Char0">
    <w:name w:val="正文文本6级 Char"/>
    <w:semiHidden/>
    <w:qFormat/>
    <w:rPr>
      <w:rFonts w:ascii="Cambria Math" w:hAnsi="Cambria Math"/>
      <w:sz w:val="24"/>
      <w:szCs w:val="24"/>
      <w:lang w:eastAsia="en-US" w:bidi="en-US"/>
    </w:rPr>
  </w:style>
  <w:style w:type="character" w:customStyle="1" w:styleId="HTMLChar4">
    <w:name w:val="HTML 预设格式 Char4"/>
    <w:uiPriority w:val="99"/>
    <w:semiHidden/>
    <w:rPr>
      <w:rFonts w:ascii="Symbol" w:hAnsi="Symbol" w:cs="Symbol"/>
      <w:sz w:val="20"/>
      <w:szCs w:val="20"/>
    </w:rPr>
  </w:style>
  <w:style w:type="character" w:customStyle="1" w:styleId="badge26">
    <w:name w:val="badge26"/>
    <w:semiHidden/>
    <w:qFormat/>
    <w:rPr>
      <w:color w:val="128BED"/>
    </w:rPr>
  </w:style>
  <w:style w:type="character" w:customStyle="1" w:styleId="msonormal1">
    <w:name w:val="msonormal1"/>
    <w:semiHidden/>
    <w:qFormat/>
  </w:style>
  <w:style w:type="character" w:styleId="affffffffffffffffffffb">
    <w:name w:val="Intense Reference"/>
    <w:uiPriority w:val="32"/>
    <w:qFormat/>
    <w:rPr>
      <w:b/>
      <w:bCs/>
      <w:smallCaps/>
      <w:color w:val="5B9BD5"/>
      <w:spacing w:val="5"/>
    </w:rPr>
  </w:style>
  <w:style w:type="character" w:customStyle="1" w:styleId="12-white1">
    <w:name w:val="12-white1"/>
    <w:semiHidden/>
    <w:rPr>
      <w:color w:val="FFFFFF"/>
      <w:sz w:val="18"/>
      <w:szCs w:val="18"/>
    </w:rPr>
  </w:style>
  <w:style w:type="character" w:customStyle="1" w:styleId="mmd1">
    <w:name w:val="mmd1"/>
    <w:semiHidden/>
    <w:rPr>
      <w:rFonts w:hint="default"/>
      <w:sz w:val="14"/>
      <w:szCs w:val="14"/>
    </w:rPr>
  </w:style>
  <w:style w:type="character" w:customStyle="1" w:styleId="supplier-title1">
    <w:name w:val="supplier-title1"/>
    <w:semiHidden/>
    <w:rPr>
      <w:rFonts w:ascii="Arial Bold" w:hAnsi="Arial Bold" w:hint="default"/>
      <w:b/>
      <w:bCs/>
      <w:sz w:val="24"/>
      <w:szCs w:val="24"/>
    </w:rPr>
  </w:style>
  <w:style w:type="character" w:customStyle="1" w:styleId="05CharChar">
    <w:name w:val="05内页正文 Char Char"/>
    <w:uiPriority w:val="99"/>
    <w:semiHidden/>
    <w:qFormat/>
    <w:locked/>
    <w:rPr>
      <w:rFonts w:hAnsi="Cambria Math" w:cs="Wingdings"/>
      <w:color w:val="003366"/>
      <w:kern w:val="2"/>
      <w:szCs w:val="21"/>
    </w:rPr>
  </w:style>
  <w:style w:type="character" w:customStyle="1" w:styleId="c9b2">
    <w:name w:val="c9b2"/>
    <w:semiHidden/>
    <w:rPr>
      <w:color w:val="727272"/>
      <w:sz w:val="18"/>
      <w:szCs w:val="18"/>
    </w:rPr>
  </w:style>
  <w:style w:type="character" w:customStyle="1" w:styleId="fuzhu2Char">
    <w:name w:val="fuzhu2 Char"/>
    <w:semiHidden/>
    <w:qFormat/>
    <w:rPr>
      <w:rFonts w:ascii="Symbol" w:eastAsia="Symbol" w:hAnsi="Symbol" w:cs="Cambria Math"/>
      <w:b/>
      <w:i/>
      <w:iCs/>
      <w:smallCaps/>
      <w:sz w:val="21"/>
      <w:szCs w:val="21"/>
    </w:rPr>
  </w:style>
  <w:style w:type="character" w:customStyle="1" w:styleId="hdCharChar">
    <w:name w:val="hd Char Char"/>
    <w:semiHidden/>
    <w:rPr>
      <w:rFonts w:ascii="Times New Roman" w:hAnsi="Times New Roman"/>
      <w:sz w:val="18"/>
    </w:rPr>
  </w:style>
  <w:style w:type="character" w:customStyle="1" w:styleId="Char56">
    <w:name w:val="尾注文本 Char5"/>
    <w:uiPriority w:val="99"/>
    <w:semiHidden/>
    <w:qFormat/>
    <w:rPr>
      <w:rFonts w:ascii="Times New Roman" w:eastAsia="Cambria Math" w:hAnsi="Times New Roman" w:cs="Times New Roman"/>
      <w:szCs w:val="24"/>
    </w:rPr>
  </w:style>
  <w:style w:type="character" w:customStyle="1" w:styleId="z-30">
    <w:name w:val="z-窗体顶端 字符3"/>
    <w:uiPriority w:val="99"/>
    <w:semiHidden/>
    <w:rPr>
      <w:rFonts w:ascii="Wingdings" w:hAnsi="Wingdings" w:cs="Wingdings"/>
      <w:vanish/>
      <w:kern w:val="2"/>
      <w:sz w:val="16"/>
      <w:szCs w:val="16"/>
    </w:rPr>
  </w:style>
  <w:style w:type="character" w:customStyle="1" w:styleId="1ffffff0">
    <w:name w:val="不明显强调1"/>
    <w:uiPriority w:val="19"/>
    <w:semiHidden/>
    <w:qFormat/>
    <w:rPr>
      <w:i/>
      <w:iCs/>
    </w:rPr>
  </w:style>
  <w:style w:type="character" w:customStyle="1" w:styleId="22c">
    <w:name w:val="正文文本缩进 2 字符2"/>
    <w:semiHidden/>
    <w:qFormat/>
    <w:rPr>
      <w:rFonts w:ascii="Times New Roman" w:eastAsia="宋体" w:hAnsi="Times New Roman" w:cs="Times New Roman"/>
      <w:kern w:val="0"/>
      <w:sz w:val="24"/>
      <w:szCs w:val="20"/>
    </w:rPr>
  </w:style>
  <w:style w:type="character" w:customStyle="1" w:styleId="HTMLChar30">
    <w:name w:val="HTML 地址 Char3"/>
    <w:semiHidden/>
    <w:qFormat/>
    <w:rPr>
      <w:b/>
      <w:bCs/>
      <w:kern w:val="44"/>
      <w:sz w:val="44"/>
      <w:szCs w:val="44"/>
    </w:rPr>
  </w:style>
  <w:style w:type="character" w:customStyle="1" w:styleId="6Char2">
    <w:name w:val="6正文格式 Char"/>
    <w:semiHidden/>
    <w:rPr>
      <w:rFonts w:ascii="Cambria Math" w:hAnsi="Cambria Math"/>
      <w:sz w:val="24"/>
    </w:rPr>
  </w:style>
  <w:style w:type="character" w:customStyle="1" w:styleId="2-3Char1">
    <w:name w:val="中等深浅底纹 2 - 强调文字颜色 3 Char1"/>
    <w:uiPriority w:val="30"/>
    <w:semiHidden/>
    <w:qFormat/>
    <w:rPr>
      <w:rFonts w:ascii="Cambria Math" w:eastAsia="Cambria Math" w:hAnsi="Cambria Math" w:cs="Times New Roman"/>
      <w:b/>
      <w:bCs/>
      <w:i/>
      <w:iCs/>
      <w:color w:val="4F81BD"/>
    </w:rPr>
  </w:style>
  <w:style w:type="character" w:customStyle="1" w:styleId="affffffffffffffffffffc">
    <w:name w:val="样式 黑体 四号"/>
    <w:semiHidden/>
    <w:qFormat/>
    <w:rPr>
      <w:rFonts w:ascii="Symbol" w:eastAsia="Cambria Math" w:hAnsi="Symbol"/>
      <w:kern w:val="0"/>
      <w:sz w:val="28"/>
    </w:rPr>
  </w:style>
  <w:style w:type="character" w:customStyle="1" w:styleId="zi04">
    <w:name w:val="zi_04"/>
    <w:semiHidden/>
    <w:qFormat/>
  </w:style>
  <w:style w:type="character" w:customStyle="1" w:styleId="badge1">
    <w:name w:val="badge1"/>
    <w:semiHidden/>
    <w:qFormat/>
    <w:rPr>
      <w:color w:val="909090"/>
      <w:sz w:val="12"/>
      <w:szCs w:val="12"/>
    </w:rPr>
  </w:style>
  <w:style w:type="character" w:customStyle="1" w:styleId="1ffffff1">
    <w:name w:val="不明显参考1"/>
    <w:semiHidden/>
    <w:qFormat/>
    <w:rPr>
      <w:smallCaps/>
    </w:rPr>
  </w:style>
  <w:style w:type="character" w:customStyle="1" w:styleId="font91">
    <w:name w:val="font91"/>
    <w:semiHidden/>
    <w:qFormat/>
    <w:rPr>
      <w:rFonts w:ascii="Times New Roman" w:hAnsi="Times New Roman" w:cs="Times New Roman" w:hint="default"/>
      <w:b w:val="0"/>
      <w:bCs w:val="0"/>
      <w:i w:val="0"/>
      <w:iCs w:val="0"/>
      <w:strike w:val="0"/>
      <w:dstrike w:val="0"/>
      <w:color w:val="000000"/>
      <w:sz w:val="18"/>
      <w:szCs w:val="18"/>
      <w:u w:val="none"/>
    </w:rPr>
  </w:style>
  <w:style w:type="character" w:customStyle="1" w:styleId="433">
    <w:name w:val="标题 4 字符3"/>
    <w:semiHidden/>
    <w:qFormat/>
    <w:rPr>
      <w:rFonts w:ascii="Arial" w:eastAsia="黑体" w:hAnsi="Arial" w:cs="Times New Roman"/>
      <w:b/>
      <w:bCs/>
      <w:sz w:val="28"/>
      <w:szCs w:val="28"/>
    </w:rPr>
  </w:style>
  <w:style w:type="character" w:customStyle="1" w:styleId="pt101">
    <w:name w:val="pt101"/>
    <w:semiHidden/>
    <w:rPr>
      <w:spacing w:val="0"/>
      <w:sz w:val="18"/>
      <w:szCs w:val="18"/>
    </w:rPr>
  </w:style>
  <w:style w:type="character" w:customStyle="1" w:styleId="12f">
    <w:name w:val="批注引用12"/>
    <w:semiHidden/>
    <w:rPr>
      <w:sz w:val="21"/>
      <w:szCs w:val="21"/>
    </w:rPr>
  </w:style>
  <w:style w:type="character" w:customStyle="1" w:styleId="8f0">
    <w:name w:val="不明显参考8"/>
    <w:uiPriority w:val="31"/>
    <w:semiHidden/>
    <w:qFormat/>
    <w:rPr>
      <w:smallCaps/>
      <w:color w:val="C0504D"/>
      <w:u w:val="single"/>
    </w:rPr>
  </w:style>
  <w:style w:type="character" w:customStyle="1" w:styleId="BalloonTextChar">
    <w:name w:val="Balloon Text Char"/>
    <w:uiPriority w:val="99"/>
    <w:semiHidden/>
    <w:qFormat/>
    <w:locked/>
    <w:rPr>
      <w:rFonts w:ascii="Cambria Math" w:eastAsia="Cambria Math" w:hAnsi="Cambria Math" w:cs="Times New Roman"/>
      <w:sz w:val="18"/>
      <w:szCs w:val="18"/>
    </w:rPr>
  </w:style>
  <w:style w:type="character" w:customStyle="1" w:styleId="YPChar0">
    <w:name w:val="YP标题一 Char"/>
    <w:semiHidden/>
    <w:rPr>
      <w:rFonts w:ascii="Symbol" w:eastAsia="Symbol" w:hAnsi="Symbol"/>
      <w:b/>
      <w:sz w:val="28"/>
      <w:szCs w:val="28"/>
      <w:lang w:val="en-AU" w:eastAsia="en-US"/>
    </w:rPr>
  </w:style>
  <w:style w:type="character" w:customStyle="1" w:styleId="CharChar271">
    <w:name w:val="Char Char271"/>
    <w:semiHidden/>
    <w:rPr>
      <w:rFonts w:eastAsia="Cambria Math"/>
      <w:b/>
      <w:bCs/>
      <w:kern w:val="2"/>
      <w:sz w:val="32"/>
      <w:szCs w:val="32"/>
      <w:lang w:val="en-US" w:eastAsia="zh-CN" w:bidi="ar-SA"/>
    </w:rPr>
  </w:style>
  <w:style w:type="character" w:customStyle="1" w:styleId="2fffff8">
    <w:name w:val="日期 字符2"/>
    <w:semiHidden/>
    <w:qFormat/>
    <w:rPr>
      <w:rFonts w:ascii="Calibri" w:eastAsia="宋体" w:hAnsi="Calibri" w:cs="Times New Roman"/>
    </w:rPr>
  </w:style>
  <w:style w:type="character" w:customStyle="1" w:styleId="617">
    <w:name w:val="网格表 6 彩色1"/>
    <w:uiPriority w:val="19"/>
    <w:semiHidden/>
    <w:qFormat/>
    <w:rPr>
      <w:i/>
      <w:iCs/>
      <w:color w:val="808080"/>
    </w:rPr>
  </w:style>
  <w:style w:type="character" w:customStyle="1" w:styleId="CharChar153">
    <w:name w:val="Char Char153"/>
    <w:semiHidden/>
    <w:rPr>
      <w:sz w:val="18"/>
      <w:szCs w:val="18"/>
    </w:rPr>
  </w:style>
  <w:style w:type="character" w:customStyle="1" w:styleId="329">
    <w:name w:val="正文文本 3 字符2"/>
    <w:semiHidden/>
    <w:qFormat/>
    <w:locked/>
    <w:rPr>
      <w:rFonts w:ascii="宋体" w:hAnsi="Times New Roman"/>
      <w:sz w:val="24"/>
      <w:szCs w:val="24"/>
    </w:rPr>
  </w:style>
  <w:style w:type="character" w:customStyle="1" w:styleId="4ff4">
    <w:name w:val="电子邮件签名 字符4"/>
    <w:semiHidden/>
    <w:rPr>
      <w:rFonts w:ascii="Arial" w:eastAsia="Arial" w:hAnsi="Arial"/>
      <w:sz w:val="24"/>
      <w:szCs w:val="24"/>
    </w:rPr>
  </w:style>
  <w:style w:type="character" w:customStyle="1" w:styleId="f121">
    <w:name w:val="f121"/>
    <w:semiHidden/>
    <w:rPr>
      <w:rFonts w:eastAsia="宋体"/>
      <w:spacing w:val="240"/>
      <w:kern w:val="2"/>
      <w:sz w:val="18"/>
      <w:szCs w:val="18"/>
      <w:u w:val="none"/>
      <w:lang w:val="en-US" w:eastAsia="zh-CN" w:bidi="ar-SA"/>
    </w:rPr>
  </w:style>
  <w:style w:type="character" w:customStyle="1" w:styleId="black1">
    <w:name w:val="black1"/>
    <w:semiHidden/>
    <w:qFormat/>
    <w:rPr>
      <w:rFonts w:eastAsia="Cambria Math"/>
      <w:color w:val="000000"/>
      <w:kern w:val="2"/>
      <w:sz w:val="21"/>
      <w:u w:val="single"/>
      <w:lang w:val="en-US" w:eastAsia="zh-CN" w:bidi="ar-SA"/>
    </w:rPr>
  </w:style>
  <w:style w:type="character" w:customStyle="1" w:styleId="-CharChar0">
    <w:name w:val="第四级-正文 Char Char"/>
    <w:semiHidden/>
    <w:rPr>
      <w:rFonts w:eastAsia="Symbol"/>
      <w:color w:val="000000"/>
      <w:kern w:val="2"/>
      <w:sz w:val="24"/>
    </w:rPr>
  </w:style>
  <w:style w:type="character" w:customStyle="1" w:styleId="3Char50">
    <w:name w:val="正文文本 3 Char5"/>
    <w:semiHidden/>
    <w:qFormat/>
    <w:rPr>
      <w:rFonts w:ascii="Cambria Math" w:eastAsia="Cambria Math" w:hAnsi="Times New Roman" w:cs="Times New Roman"/>
      <w:color w:val="000000"/>
      <w:w w:val="90"/>
      <w:sz w:val="22"/>
      <w:szCs w:val="20"/>
    </w:rPr>
  </w:style>
  <w:style w:type="character" w:customStyle="1" w:styleId="Char1ff">
    <w:name w:val="表样式排头 Char1"/>
    <w:semiHidden/>
    <w:rPr>
      <w:rFonts w:ascii="Times New Roman" w:eastAsia="Symbol" w:hAnsi="Times New Roman"/>
      <w:b/>
      <w:bCs/>
    </w:rPr>
  </w:style>
  <w:style w:type="character" w:customStyle="1" w:styleId="-CYYChar">
    <w:name w:val="正文数字-CYY Char"/>
    <w:uiPriority w:val="99"/>
    <w:semiHidden/>
    <w:rPr>
      <w:sz w:val="24"/>
      <w:szCs w:val="24"/>
    </w:rPr>
  </w:style>
  <w:style w:type="character" w:customStyle="1" w:styleId="font9CharChar">
    <w:name w:val="font9 Char Char"/>
    <w:semiHidden/>
    <w:qFormat/>
    <w:locked/>
    <w:rPr>
      <w:sz w:val="40"/>
      <w:szCs w:val="40"/>
    </w:rPr>
  </w:style>
  <w:style w:type="character" w:customStyle="1" w:styleId="tj21">
    <w:name w:val="tj21"/>
    <w:semiHidden/>
    <w:rPr>
      <w:strike w:val="0"/>
      <w:dstrike w:val="0"/>
      <w:color w:val="000000"/>
      <w:sz w:val="18"/>
      <w:szCs w:val="18"/>
      <w:u w:val="none"/>
    </w:rPr>
  </w:style>
  <w:style w:type="character" w:customStyle="1" w:styleId="z-Char20">
    <w:name w:val="z-窗体顶端 Char2"/>
    <w:semiHidden/>
    <w:qFormat/>
    <w:rPr>
      <w:rFonts w:ascii="Wingdings" w:hAnsi="Wingdings"/>
      <w:vanish/>
      <w:sz w:val="16"/>
      <w:szCs w:val="16"/>
    </w:rPr>
  </w:style>
  <w:style w:type="character" w:customStyle="1" w:styleId="edit">
    <w:name w:val="edit"/>
    <w:semiHidden/>
    <w:qFormat/>
  </w:style>
  <w:style w:type="character" w:customStyle="1" w:styleId="841">
    <w:name w:val="标题 8 字符4"/>
    <w:semiHidden/>
    <w:rPr>
      <w:rFonts w:ascii="Arial" w:eastAsia="黑体" w:hAnsi="Arial" w:cs="Times New Roman"/>
      <w:color w:val="000000"/>
      <w:kern w:val="0"/>
      <w:sz w:val="24"/>
      <w:szCs w:val="20"/>
    </w:rPr>
  </w:style>
  <w:style w:type="character" w:customStyle="1" w:styleId="Char4a">
    <w:name w:val="称呼 Char4"/>
    <w:uiPriority w:val="99"/>
    <w:semiHidden/>
    <w:rPr>
      <w:kern w:val="2"/>
      <w:sz w:val="21"/>
      <w:szCs w:val="24"/>
    </w:rPr>
  </w:style>
  <w:style w:type="character" w:customStyle="1" w:styleId="15Char">
    <w:name w:val="宋体小四1.5倍行距 Char"/>
    <w:semiHidden/>
    <w:qFormat/>
    <w:locked/>
    <w:rPr>
      <w:rFonts w:ascii="Cambria Math" w:hAnsi="Cambria Math"/>
      <w:sz w:val="24"/>
      <w:szCs w:val="24"/>
    </w:rPr>
  </w:style>
  <w:style w:type="character" w:customStyle="1" w:styleId="3fffb">
    <w:name w:val="正文文本 字符3"/>
    <w:semiHidden/>
    <w:qFormat/>
    <w:rPr>
      <w:rFonts w:ascii="Times New Roman" w:eastAsia="宋体" w:hAnsi="Times New Roman" w:cs="Times New Roman"/>
      <w:szCs w:val="24"/>
    </w:rPr>
  </w:style>
  <w:style w:type="character" w:customStyle="1" w:styleId="Char4b">
    <w:name w:val="文档结构图 Char4"/>
    <w:uiPriority w:val="99"/>
    <w:semiHidden/>
    <w:rPr>
      <w:rFonts w:ascii="Wingdings" w:eastAsia="Wingdings"/>
      <w:sz w:val="18"/>
      <w:szCs w:val="18"/>
    </w:rPr>
  </w:style>
  <w:style w:type="character" w:customStyle="1" w:styleId="CharCharCharCharCharChar0">
    <w:name w:val="海翔药业正文 Char Char Char Char Char Char"/>
    <w:semiHidden/>
    <w:qFormat/>
    <w:rPr>
      <w:rFonts w:ascii="Cambria Math" w:hAnsi="Cambria Math"/>
      <w:sz w:val="24"/>
      <w:szCs w:val="24"/>
      <w:lang w:bidi="en-US"/>
    </w:rPr>
  </w:style>
  <w:style w:type="character" w:customStyle="1" w:styleId="14fz1">
    <w:name w:val="14fz1"/>
    <w:semiHidden/>
    <w:rPr>
      <w:rFonts w:hint="default"/>
      <w:color w:val="000000"/>
      <w:sz w:val="27"/>
      <w:szCs w:val="27"/>
    </w:rPr>
  </w:style>
  <w:style w:type="character" w:customStyle="1" w:styleId="aryou22">
    <w:name w:val="aryou22"/>
    <w:semiHidden/>
  </w:style>
  <w:style w:type="character" w:customStyle="1" w:styleId="active6">
    <w:name w:val="active6"/>
    <w:semiHidden/>
    <w:rPr>
      <w:color w:val="FFFFFF"/>
      <w:shd w:val="clear" w:color="auto" w:fill="0084FF"/>
    </w:rPr>
  </w:style>
  <w:style w:type="character" w:customStyle="1" w:styleId="Charffffffff4">
    <w:name w:val="报告－标题 Char"/>
    <w:semiHidden/>
    <w:rPr>
      <w:rFonts w:ascii="宋体" w:eastAsia="宋体" w:hAnsi="Courier New"/>
      <w:b/>
      <w:bCs/>
      <w:snapToGrid w:val="0"/>
      <w:spacing w:val="140"/>
      <w:kern w:val="2"/>
      <w:sz w:val="44"/>
      <w:szCs w:val="21"/>
      <w:lang w:val="en-US" w:eastAsia="zh-CN" w:bidi="ar-SA"/>
    </w:rPr>
  </w:style>
  <w:style w:type="character" w:customStyle="1" w:styleId="mainarticlesubheading1">
    <w:name w:val="main_articlesubheading1"/>
    <w:semiHidden/>
    <w:qFormat/>
    <w:rPr>
      <w:b/>
      <w:bCs/>
    </w:rPr>
  </w:style>
  <w:style w:type="character" w:customStyle="1" w:styleId="2fffff9">
    <w:name w:val="正文文本缩进 字符2"/>
    <w:semiHidden/>
    <w:qFormat/>
    <w:rPr>
      <w:rFonts w:ascii="Times New Roman" w:eastAsia="宋体" w:hAnsi="Times New Roman" w:cs="Times New Roman"/>
      <w:color w:val="000000"/>
      <w:kern w:val="0"/>
      <w:sz w:val="28"/>
      <w:szCs w:val="24"/>
    </w:rPr>
  </w:style>
  <w:style w:type="character" w:customStyle="1" w:styleId="3Char31">
    <w:name w:val="标题 3 Char3"/>
    <w:uiPriority w:val="9"/>
    <w:semiHidden/>
    <w:rPr>
      <w:b/>
      <w:bCs/>
      <w:kern w:val="2"/>
      <w:sz w:val="32"/>
      <w:szCs w:val="32"/>
    </w:rPr>
  </w:style>
  <w:style w:type="character" w:customStyle="1" w:styleId="affffffffffffffffffffd">
    <w:name w:val="批注文字字符"/>
    <w:semiHidden/>
    <w:rPr>
      <w:kern w:val="2"/>
      <w:sz w:val="21"/>
      <w:szCs w:val="24"/>
    </w:rPr>
  </w:style>
  <w:style w:type="character" w:customStyle="1" w:styleId="font81">
    <w:name w:val="font81"/>
    <w:semiHidden/>
    <w:qFormat/>
    <w:rPr>
      <w:rFonts w:ascii="Cambria Math" w:eastAsia="Cambria Math" w:hAnsi="Cambria Math" w:hint="eastAsia"/>
      <w:b w:val="0"/>
      <w:bCs w:val="0"/>
      <w:i w:val="0"/>
      <w:iCs w:val="0"/>
      <w:strike w:val="0"/>
      <w:dstrike w:val="0"/>
      <w:color w:val="000000"/>
      <w:sz w:val="18"/>
      <w:szCs w:val="18"/>
      <w:u w:val="none"/>
    </w:rPr>
  </w:style>
  <w:style w:type="character" w:customStyle="1" w:styleId="7f0">
    <w:name w:val="不明显强调7"/>
    <w:uiPriority w:val="19"/>
    <w:semiHidden/>
    <w:qFormat/>
    <w:rPr>
      <w:i/>
      <w:iCs/>
      <w:color w:val="808080"/>
    </w:rPr>
  </w:style>
  <w:style w:type="character" w:customStyle="1" w:styleId="Char4c">
    <w:name w:val="正文文本缩进 Char4"/>
    <w:uiPriority w:val="99"/>
    <w:semiHidden/>
    <w:qFormat/>
    <w:rPr>
      <w:rFonts w:ascii="Cambria Math" w:eastAsia="Cambria Math" w:hAnsi="Cambria Math" w:cs="Times New Roman"/>
      <w:kern w:val="0"/>
      <w:sz w:val="22"/>
    </w:rPr>
  </w:style>
  <w:style w:type="character" w:customStyle="1" w:styleId="Charffffffff5">
    <w:name w:val="一、 Char"/>
    <w:semiHidden/>
    <w:qFormat/>
    <w:rPr>
      <w:rFonts w:ascii="Cambria Math" w:hAnsi="Cambria Math" w:cs="Cambria Math"/>
      <w:b/>
      <w:sz w:val="30"/>
      <w:szCs w:val="30"/>
    </w:rPr>
  </w:style>
  <w:style w:type="character" w:customStyle="1" w:styleId="font71">
    <w:name w:val="font71"/>
    <w:semiHidden/>
    <w:qFormat/>
    <w:rPr>
      <w:rFonts w:ascii="Cambria Math" w:eastAsia="Cambria Math" w:hAnsi="Cambria Math" w:cs="Cambria Math" w:hint="eastAsia"/>
      <w:color w:val="000000"/>
      <w:kern w:val="2"/>
      <w:sz w:val="20"/>
      <w:szCs w:val="20"/>
      <w:u w:val="none"/>
      <w:lang w:val="en-US" w:eastAsia="zh-CN" w:bidi="ar-SA"/>
    </w:rPr>
  </w:style>
  <w:style w:type="character" w:customStyle="1" w:styleId="1-CharChar">
    <w:name w:val="1-正文 Char Char"/>
    <w:semiHidden/>
    <w:qFormat/>
    <w:rPr>
      <w:rFonts w:ascii="Cambria Math" w:hAnsi="Cambria Math"/>
      <w:sz w:val="24"/>
      <w:szCs w:val="24"/>
    </w:rPr>
  </w:style>
  <w:style w:type="character" w:customStyle="1" w:styleId="button1">
    <w:name w:val="button1"/>
    <w:semiHidden/>
    <w:qFormat/>
    <w:rPr>
      <w:rFonts w:eastAsia="Cambria Math"/>
      <w:kern w:val="2"/>
      <w:sz w:val="21"/>
      <w:lang w:val="en-US" w:eastAsia="zh-CN" w:bidi="ar-SA"/>
    </w:rPr>
  </w:style>
  <w:style w:type="character" w:customStyle="1" w:styleId="Char3d">
    <w:name w:val="普通文字 Char3"/>
    <w:semiHidden/>
    <w:rPr>
      <w:rFonts w:ascii="宋体" w:eastAsia="宋体" w:hAnsi="Courier New"/>
      <w:sz w:val="21"/>
      <w:szCs w:val="21"/>
      <w:lang w:val="en-US" w:eastAsia="zh-CN" w:bidi="ar-SA"/>
    </w:rPr>
  </w:style>
  <w:style w:type="character" w:customStyle="1" w:styleId="22d">
    <w:name w:val="标题 2 字符2"/>
    <w:aliases w:val="Reset numbering 字符2,Reset 标题 2 字符2,Reset numbering + Arial 字符2,(符号) 宋体 字符2,SideNote 字符2,ad_Heading 2 字符2,ChartNote 字符2,1.1标题 2 字符2,Heading 2 Char Char Char Char Char Char Char Char 字符2,h2 字符2,H2 字符2,第一层条 字符2,章 字符2,sect 1.2 字符2,节 字符,l2 字符"/>
    <w:semiHidden/>
    <w:qFormat/>
    <w:locked/>
    <w:rPr>
      <w:rFonts w:ascii="Arial" w:eastAsia="黑体" w:hAnsi="Arial"/>
      <w:b/>
      <w:bCs/>
      <w:sz w:val="32"/>
      <w:szCs w:val="32"/>
    </w:rPr>
  </w:style>
  <w:style w:type="character" w:customStyle="1" w:styleId="631">
    <w:name w:val="标题 6 字符3"/>
    <w:uiPriority w:val="9"/>
    <w:semiHidden/>
    <w:qFormat/>
    <w:rPr>
      <w:rFonts w:ascii="Arial" w:eastAsia="黑体" w:hAnsi="Arial" w:cs="Times New Roman"/>
      <w:b/>
      <w:bCs/>
      <w:sz w:val="24"/>
      <w:szCs w:val="24"/>
    </w:rPr>
  </w:style>
  <w:style w:type="character" w:customStyle="1" w:styleId="Charffffffff6">
    <w:name w:val="文稿 Char"/>
    <w:semiHidden/>
    <w:qFormat/>
    <w:locked/>
    <w:rPr>
      <w:sz w:val="28"/>
      <w:szCs w:val="24"/>
    </w:rPr>
  </w:style>
  <w:style w:type="character" w:customStyle="1" w:styleId="Charffffffff7">
    <w:name w:val="引用 Char"/>
    <w:semiHidden/>
    <w:qFormat/>
    <w:rPr>
      <w:i/>
      <w:iCs/>
      <w:color w:val="000000"/>
      <w:kern w:val="2"/>
      <w:sz w:val="21"/>
      <w:szCs w:val="21"/>
    </w:rPr>
  </w:style>
  <w:style w:type="character" w:customStyle="1" w:styleId="1ffffff2">
    <w:name w:val="占位符文本1"/>
    <w:uiPriority w:val="99"/>
    <w:semiHidden/>
    <w:qFormat/>
    <w:rPr>
      <w:color w:val="808080"/>
    </w:rPr>
  </w:style>
  <w:style w:type="character" w:customStyle="1" w:styleId="9Char">
    <w:name w:val="标题 9 Char"/>
    <w:aliases w:val="Legal Level 1.1.1.1. Char"/>
    <w:semiHidden/>
    <w:qFormat/>
    <w:rPr>
      <w:rFonts w:ascii="Wingdings" w:eastAsia="Symbol" w:hAnsi="Wingdings"/>
      <w:sz w:val="21"/>
      <w:szCs w:val="21"/>
    </w:rPr>
  </w:style>
  <w:style w:type="character" w:styleId="affffffffffffffffffffe">
    <w:name w:val="Book Title"/>
    <w:uiPriority w:val="33"/>
    <w:qFormat/>
    <w:rPr>
      <w:b/>
      <w:bCs/>
      <w:i/>
      <w:iCs/>
      <w:spacing w:val="5"/>
    </w:rPr>
  </w:style>
  <w:style w:type="character" w:customStyle="1" w:styleId="12f0">
    <w:name w:val="标题 1 字符2"/>
    <w:aliases w:val="Title Heading 字符2,Section Heading 字符2,章标题(有序号) 字符2,Char3 Char 字符2,标题 1 Char Char Char 字符2,标题 13 字符2,Char33 字符2,标题 1 Char Char Char2 字符2,标题 112 Char 字符2,H1 字符2,H11 字符2,H12 字符2,H111 字符2,H13 字符2,H112 字符2,第一部分 字符2,H14 字符2,H15 字符2,H16 字符2,H17 字符1"/>
    <w:semiHidden/>
    <w:qFormat/>
    <w:rPr>
      <w:rFonts w:ascii="Times New Roman" w:eastAsia="黑体" w:hAnsi="Times New Roman" w:cs="Times New Roman"/>
      <w:bCs/>
      <w:kern w:val="44"/>
      <w:sz w:val="32"/>
      <w:szCs w:val="44"/>
    </w:rPr>
  </w:style>
  <w:style w:type="character" w:customStyle="1" w:styleId="webkit-html-attribute-value">
    <w:name w:val="webkit-html-attribute-value"/>
    <w:semiHidden/>
  </w:style>
  <w:style w:type="character" w:customStyle="1" w:styleId="721">
    <w:name w:val="标题 7 字符2"/>
    <w:semiHidden/>
    <w:qFormat/>
    <w:locked/>
    <w:rPr>
      <w:b/>
      <w:bCs/>
      <w:kern w:val="2"/>
      <w:sz w:val="24"/>
      <w:szCs w:val="24"/>
    </w:rPr>
  </w:style>
  <w:style w:type="character" w:customStyle="1" w:styleId="Char2f2">
    <w:name w:val="引用 Char2"/>
    <w:uiPriority w:val="29"/>
    <w:semiHidden/>
    <w:rPr>
      <w:i/>
      <w:iCs/>
      <w:color w:val="000000"/>
      <w:kern w:val="2"/>
      <w:sz w:val="21"/>
      <w:szCs w:val="22"/>
    </w:rPr>
  </w:style>
  <w:style w:type="character" w:customStyle="1" w:styleId="font1a">
    <w:name w:val="font_1"/>
    <w:semiHidden/>
  </w:style>
  <w:style w:type="character" w:customStyle="1" w:styleId="11ff1">
    <w:name w:val="页码11"/>
    <w:semiHidden/>
    <w:qFormat/>
  </w:style>
  <w:style w:type="character" w:customStyle="1" w:styleId="248">
    <w:name w:val="正文文本 2 字符4"/>
    <w:semiHidden/>
    <w:rPr>
      <w:rFonts w:ascii="Times New Roman" w:eastAsia="宋体" w:hAnsi="Times New Roman" w:cs="Times New Roman"/>
      <w:kern w:val="0"/>
      <w:sz w:val="20"/>
      <w:szCs w:val="24"/>
    </w:rPr>
  </w:style>
  <w:style w:type="character" w:customStyle="1" w:styleId="04-Char">
    <w:name w:val="04-图题 Char"/>
    <w:uiPriority w:val="99"/>
    <w:semiHidden/>
    <w:qFormat/>
    <w:locked/>
    <w:rPr>
      <w:rFonts w:ascii="Wingdings" w:eastAsia="Symbol" w:hAnsi="Wingdings"/>
      <w:color w:val="003366"/>
      <w:kern w:val="2"/>
      <w:sz w:val="18"/>
      <w:szCs w:val="18"/>
      <w:lang w:bidi="ar-SA"/>
    </w:rPr>
  </w:style>
  <w:style w:type="character" w:customStyle="1" w:styleId="2Char22">
    <w:name w:val="标题 2 Char2"/>
    <w:uiPriority w:val="9"/>
    <w:semiHidden/>
    <w:qFormat/>
    <w:rPr>
      <w:rFonts w:ascii="Times New Roman" w:eastAsia="Cambria Math" w:hAnsi="Cambria Math"/>
      <w:b/>
      <w:sz w:val="30"/>
      <w:szCs w:val="30"/>
    </w:rPr>
  </w:style>
  <w:style w:type="character" w:customStyle="1" w:styleId="1ZZZCharChar">
    <w:name w:val="1ZZZ（一） Char Char"/>
    <w:semiHidden/>
    <w:qFormat/>
    <w:rPr>
      <w:rFonts w:ascii="Cambria Math" w:hAnsi="Cambria Math"/>
      <w:b/>
      <w:bCs/>
      <w:color w:val="000000"/>
      <w:sz w:val="24"/>
      <w:szCs w:val="24"/>
    </w:rPr>
  </w:style>
  <w:style w:type="character" w:customStyle="1" w:styleId="black-n">
    <w:name w:val="black-n"/>
    <w:semiHidden/>
    <w:qFormat/>
    <w:rPr>
      <w:rFonts w:eastAsia="Cambria Math"/>
      <w:color w:val="000000"/>
      <w:kern w:val="2"/>
      <w:sz w:val="21"/>
      <w:lang w:val="en-US" w:eastAsia="zh-CN" w:bidi="ar-SA"/>
    </w:rPr>
  </w:style>
  <w:style w:type="character" w:customStyle="1" w:styleId="Heading2Char">
    <w:name w:val="Heading 2 Char"/>
    <w:semiHidden/>
    <w:locked/>
    <w:rPr>
      <w:rFonts w:ascii="黑体" w:eastAsia="Cambria Math" w:hAnsi="黑体"/>
      <w:b/>
      <w:bCs/>
      <w:kern w:val="2"/>
      <w:sz w:val="32"/>
      <w:szCs w:val="32"/>
      <w:lang w:val="en-US" w:eastAsia="zh-CN" w:bidi="ar-SA"/>
    </w:rPr>
  </w:style>
  <w:style w:type="character" w:customStyle="1" w:styleId="Charffffffff8">
    <w:name w:val="宝通正文 Char"/>
    <w:semiHidden/>
    <w:locked/>
    <w:rPr>
      <w:rFonts w:ascii="宋体" w:hAnsi="Calibri"/>
      <w:sz w:val="24"/>
      <w:szCs w:val="24"/>
    </w:rPr>
  </w:style>
  <w:style w:type="character" w:customStyle="1" w:styleId="Heading3Char">
    <w:name w:val="Heading 3 Char"/>
    <w:uiPriority w:val="9"/>
    <w:semiHidden/>
    <w:locked/>
    <w:rPr>
      <w:rFonts w:ascii="黑体" w:eastAsia="Cambria Math" w:hAnsi="黑体"/>
      <w:b/>
      <w:kern w:val="2"/>
      <w:sz w:val="24"/>
      <w:szCs w:val="32"/>
      <w:lang w:val="en-US" w:eastAsia="zh-CN" w:bidi="ar-SA"/>
    </w:rPr>
  </w:style>
  <w:style w:type="character" w:customStyle="1" w:styleId="3fffc">
    <w:name w:val="正文文本缩进 字符3"/>
    <w:aliases w:val="bi 字符2,特点标题 字符2,正文文字 21 字符2,三级正文 字符2,正文（首行缩进两字） Char Char Char Char Char Char Char 字符2,正文文字( 首段缩进两字） 字符2,HD正文1 字符2"/>
    <w:semiHidden/>
    <w:qFormat/>
    <w:rPr>
      <w:rFonts w:ascii="Times New Roman" w:eastAsia="宋体" w:hAnsi="Times New Roman" w:cs="Times New Roman"/>
      <w:color w:val="000000"/>
      <w:sz w:val="28"/>
      <w:szCs w:val="24"/>
    </w:rPr>
  </w:style>
  <w:style w:type="character" w:customStyle="1" w:styleId="Char4d">
    <w:name w:val="正文文本 Char4"/>
    <w:uiPriority w:val="99"/>
    <w:semiHidden/>
  </w:style>
  <w:style w:type="character" w:customStyle="1" w:styleId="9b">
    <w:name w:val="不明显参考9"/>
    <w:uiPriority w:val="31"/>
    <w:semiHidden/>
    <w:qFormat/>
    <w:rPr>
      <w:smallCaps/>
      <w:color w:val="C0504D"/>
      <w:u w:val="single"/>
    </w:rPr>
  </w:style>
  <w:style w:type="character" w:customStyle="1" w:styleId="21fa">
    <w:name w:val="中等深浅网格 2 字符1"/>
    <w:semiHidden/>
    <w:rPr>
      <w:sz w:val="22"/>
    </w:rPr>
  </w:style>
  <w:style w:type="character" w:customStyle="1" w:styleId="731">
    <w:name w:val="标题 7 字符3"/>
    <w:semiHidden/>
    <w:rPr>
      <w:rFonts w:ascii="宋体" w:eastAsia="宋体" w:hAnsi="宋体" w:cs="Times New Roman"/>
      <w:b/>
      <w:color w:val="000000"/>
      <w:kern w:val="0"/>
      <w:sz w:val="24"/>
      <w:szCs w:val="20"/>
    </w:rPr>
  </w:style>
  <w:style w:type="character" w:customStyle="1" w:styleId="Char2f3">
    <w:name w:val="文档结构图 Char2"/>
    <w:semiHidden/>
    <w:qFormat/>
    <w:rPr>
      <w:rFonts w:ascii="Cambria Math"/>
      <w:kern w:val="2"/>
      <w:sz w:val="18"/>
      <w:szCs w:val="18"/>
    </w:rPr>
  </w:style>
  <w:style w:type="character" w:customStyle="1" w:styleId="crowed11">
    <w:name w:val="crowed11"/>
    <w:semiHidden/>
    <w:rPr>
      <w:rFonts w:hint="default"/>
      <w:sz w:val="24"/>
      <w:szCs w:val="24"/>
    </w:rPr>
  </w:style>
  <w:style w:type="character" w:customStyle="1" w:styleId="Char3e">
    <w:name w:val="文档结构图 Char3"/>
    <w:uiPriority w:val="99"/>
    <w:semiHidden/>
    <w:rPr>
      <w:rFonts w:ascii="宋体"/>
      <w:kern w:val="2"/>
      <w:sz w:val="18"/>
      <w:szCs w:val="18"/>
    </w:rPr>
  </w:style>
  <w:style w:type="character" w:customStyle="1" w:styleId="black-n1">
    <w:name w:val="black-n1"/>
    <w:semiHidden/>
    <w:qFormat/>
    <w:rPr>
      <w:rFonts w:eastAsia="Cambria Math"/>
      <w:color w:val="173EE8"/>
      <w:kern w:val="2"/>
      <w:sz w:val="21"/>
      <w:u w:val="single"/>
      <w:lang w:val="en-US" w:eastAsia="zh-CN" w:bidi="ar-SA"/>
    </w:rPr>
  </w:style>
  <w:style w:type="character" w:customStyle="1" w:styleId="1-2Char">
    <w:name w:val="1-2 Char"/>
    <w:semiHidden/>
    <w:qFormat/>
    <w:rPr>
      <w:rFonts w:ascii="Symbol" w:eastAsia="Symbol" w:hAnsi="Wingdings" w:cs="Times New Roman"/>
      <w:sz w:val="30"/>
      <w:szCs w:val="30"/>
    </w:rPr>
  </w:style>
  <w:style w:type="character" w:customStyle="1" w:styleId="checkbox2">
    <w:name w:val="checkbox2"/>
    <w:semiHidden/>
    <w:qFormat/>
    <w:rPr>
      <w:rFonts w:eastAsia="Cambria Math"/>
      <w:kern w:val="2"/>
      <w:sz w:val="21"/>
      <w:lang w:val="en-US" w:eastAsia="zh-CN" w:bidi="ar-SA"/>
    </w:rPr>
  </w:style>
  <w:style w:type="character" w:customStyle="1" w:styleId="3fffd">
    <w:name w:val="批注主题 字符3"/>
    <w:uiPriority w:val="99"/>
    <w:semiHidden/>
    <w:qFormat/>
    <w:rPr>
      <w:rFonts w:ascii="Times New Roman" w:eastAsia="宋体" w:hAnsi="Times New Roman" w:cs="Times New Roman"/>
      <w:b/>
      <w:bCs/>
      <w:szCs w:val="24"/>
    </w:rPr>
  </w:style>
  <w:style w:type="character" w:customStyle="1" w:styleId="2Char32">
    <w:name w:val="正文首行缩进 2 Char3"/>
    <w:semiHidden/>
    <w:qFormat/>
    <w:rPr>
      <w:rFonts w:ascii="Cambria Math" w:eastAsia="Arial Bold" w:hAnsi="Times New Roman" w:cs="Times New Roman"/>
      <w:b/>
      <w:kern w:val="2"/>
      <w:sz w:val="21"/>
    </w:rPr>
  </w:style>
  <w:style w:type="character" w:customStyle="1" w:styleId="2Chara">
    <w:name w:val="正文文字 2 Char"/>
    <w:aliases w:val="正文文字 2 Char Char"/>
    <w:semiHidden/>
    <w:rPr>
      <w:rFonts w:ascii="Cambria Math" w:eastAsia="Arial Bold" w:hAnsi="Cambria Math"/>
      <w:kern w:val="2"/>
      <w:sz w:val="28"/>
      <w:lang w:val="en-US" w:eastAsia="zh-CN" w:bidi="ar-SA"/>
    </w:rPr>
  </w:style>
  <w:style w:type="character" w:customStyle="1" w:styleId="2fffffa">
    <w:name w:val="页脚 字符2"/>
    <w:aliases w:val="Footer-Even 字符2"/>
    <w:uiPriority w:val="99"/>
    <w:semiHidden/>
    <w:qFormat/>
    <w:rPr>
      <w:sz w:val="18"/>
      <w:szCs w:val="18"/>
    </w:rPr>
  </w:style>
  <w:style w:type="character" w:customStyle="1" w:styleId="5f7">
    <w:name w:val="书籍标题5"/>
    <w:uiPriority w:val="33"/>
    <w:semiHidden/>
    <w:qFormat/>
    <w:rPr>
      <w:b/>
      <w:bCs/>
      <w:smallCaps/>
      <w:spacing w:val="5"/>
    </w:rPr>
  </w:style>
  <w:style w:type="character" w:customStyle="1" w:styleId="Char2f4">
    <w:name w:val="题注 Char2"/>
    <w:uiPriority w:val="35"/>
    <w:semiHidden/>
    <w:qFormat/>
    <w:rPr>
      <w:rFonts w:ascii="黑体" w:eastAsia="Symbol" w:hAnsi="黑体" w:cs="Times New Roman"/>
      <w:sz w:val="20"/>
      <w:szCs w:val="20"/>
    </w:rPr>
  </w:style>
  <w:style w:type="character" w:customStyle="1" w:styleId="hover7">
    <w:name w:val="hover7"/>
    <w:semiHidden/>
    <w:qFormat/>
    <w:rPr>
      <w:rFonts w:eastAsia="Cambria Math"/>
      <w:kern w:val="2"/>
      <w:sz w:val="21"/>
      <w:shd w:val="clear" w:color="auto" w:fill="D2EFF9"/>
      <w:lang w:val="en-US" w:eastAsia="zh-CN" w:bidi="ar-SA"/>
    </w:rPr>
  </w:style>
  <w:style w:type="character" w:customStyle="1" w:styleId="badge23">
    <w:name w:val="badge23"/>
    <w:semiHidden/>
    <w:qFormat/>
    <w:rPr>
      <w:color w:val="128BED"/>
    </w:rPr>
  </w:style>
  <w:style w:type="character" w:customStyle="1" w:styleId="1ZZZ1CharChar">
    <w:name w:val="1ZZZ1简 Char Char"/>
    <w:semiHidden/>
    <w:qFormat/>
    <w:rPr>
      <w:rFonts w:ascii="Cambria Math" w:hAnsi="Cambria Math"/>
      <w:color w:val="000000"/>
      <w:sz w:val="24"/>
      <w:szCs w:val="24"/>
    </w:rPr>
  </w:style>
  <w:style w:type="character" w:customStyle="1" w:styleId="1-3Char0">
    <w:name w:val="中等深浅底纹 1 - 强调文字颜色 3 Char"/>
    <w:uiPriority w:val="29"/>
    <w:semiHidden/>
    <w:qFormat/>
    <w:rPr>
      <w:rFonts w:ascii="Cambria Math" w:eastAsia="Cambria Math" w:hAnsi="Cambria Math" w:cs="Times New Roman"/>
      <w:i/>
      <w:iCs/>
      <w:color w:val="000000"/>
    </w:rPr>
  </w:style>
  <w:style w:type="character" w:customStyle="1" w:styleId="1ZZZ12CharChar">
    <w:name w:val="1ZZZ12 Char Char"/>
    <w:semiHidden/>
    <w:qFormat/>
    <w:rPr>
      <w:rFonts w:ascii="Cambria Math" w:hAnsi="Cambria Math"/>
      <w:b/>
      <w:bCs/>
      <w:color w:val="000000"/>
      <w:sz w:val="24"/>
      <w:szCs w:val="24"/>
    </w:rPr>
  </w:style>
  <w:style w:type="character" w:customStyle="1" w:styleId="badge2">
    <w:name w:val="badge2"/>
    <w:semiHidden/>
    <w:qFormat/>
    <w:rPr>
      <w:color w:val="128BED"/>
    </w:rPr>
  </w:style>
  <w:style w:type="character" w:customStyle="1" w:styleId="3fffe">
    <w:name w:val="尾注文本 字符3"/>
    <w:uiPriority w:val="99"/>
    <w:semiHidden/>
    <w:qFormat/>
    <w:rPr>
      <w:rFonts w:ascii="Calibri" w:eastAsia="宋体" w:hAnsi="Calibri" w:cs="Times New Roman"/>
      <w:kern w:val="0"/>
      <w:sz w:val="20"/>
      <w:szCs w:val="20"/>
    </w:rPr>
  </w:style>
  <w:style w:type="character" w:customStyle="1" w:styleId="2-1Char">
    <w:name w:val="中等深浅网格 2 - 着色 1 Char"/>
    <w:semiHidden/>
    <w:qFormat/>
    <w:rPr>
      <w:rFonts w:ascii="Times New Roman" w:hAnsi="Times New Roman"/>
      <w:kern w:val="2"/>
      <w:sz w:val="21"/>
    </w:rPr>
  </w:style>
  <w:style w:type="character" w:customStyle="1" w:styleId="2fffffb">
    <w:name w:val="正文首行缩进 字符2"/>
    <w:semiHidden/>
  </w:style>
  <w:style w:type="character" w:customStyle="1" w:styleId="blue">
    <w:name w:val="blue"/>
    <w:semiHidden/>
    <w:qFormat/>
    <w:rPr>
      <w:rFonts w:eastAsia="Cambria Math"/>
      <w:color w:val="173EE8"/>
      <w:kern w:val="2"/>
      <w:sz w:val="21"/>
      <w:u w:val="single"/>
      <w:lang w:val="en-US" w:eastAsia="zh-CN" w:bidi="ar-SA"/>
    </w:rPr>
  </w:style>
  <w:style w:type="character" w:customStyle="1" w:styleId="0001Char">
    <w:name w:val="0001 Char"/>
    <w:semiHidden/>
    <w:rPr>
      <w:rFonts w:ascii="Symbol" w:eastAsia="Symbol" w:hAnsi="Symbol"/>
      <w:b/>
      <w:sz w:val="30"/>
      <w:szCs w:val="30"/>
      <w:lang w:val="en-AU" w:eastAsia="en-US"/>
    </w:rPr>
  </w:style>
  <w:style w:type="character" w:customStyle="1" w:styleId="6-Char">
    <w:name w:val="6-正文格式 Char"/>
    <w:semiHidden/>
    <w:rPr>
      <w:rFonts w:ascii="Cambria Math" w:hAnsi="Cambria Math"/>
      <w:sz w:val="24"/>
    </w:rPr>
  </w:style>
  <w:style w:type="character" w:customStyle="1" w:styleId="3Char40">
    <w:name w:val="标题 3 Char4"/>
    <w:semiHidden/>
    <w:qFormat/>
    <w:rPr>
      <w:rFonts w:ascii="Times New Roman" w:hAnsi="Times New Roman"/>
      <w:b/>
      <w:sz w:val="28"/>
      <w:szCs w:val="28"/>
    </w:rPr>
  </w:style>
  <w:style w:type="character" w:customStyle="1" w:styleId="930">
    <w:name w:val="标题 9 字符3"/>
    <w:semiHidden/>
    <w:qFormat/>
    <w:rPr>
      <w:rFonts w:ascii="Arial" w:eastAsia="黑体" w:hAnsi="Arial" w:cs="Times New Roman"/>
      <w:color w:val="000000"/>
      <w:kern w:val="0"/>
      <w:sz w:val="24"/>
      <w:szCs w:val="20"/>
    </w:rPr>
  </w:style>
  <w:style w:type="character" w:customStyle="1" w:styleId="font111">
    <w:name w:val="font111"/>
    <w:semiHidden/>
    <w:qFormat/>
    <w:rPr>
      <w:rFonts w:ascii="Times New Roman" w:eastAsia="Cambria Math" w:hAnsi="Times New Roman" w:cs="Times New Roman" w:hint="eastAsia"/>
      <w:color w:val="000000"/>
      <w:kern w:val="2"/>
      <w:sz w:val="20"/>
      <w:szCs w:val="20"/>
      <w:u w:val="none"/>
      <w:lang w:val="en-US" w:eastAsia="zh-CN" w:bidi="ar-SA"/>
    </w:rPr>
  </w:style>
  <w:style w:type="character" w:customStyle="1" w:styleId="A21">
    <w:name w:val="A2+1"/>
    <w:uiPriority w:val="99"/>
    <w:semiHidden/>
    <w:rPr>
      <w:rFonts w:cs="Symbol"/>
      <w:color w:val="211D1E"/>
      <w:sz w:val="18"/>
      <w:szCs w:val="18"/>
    </w:rPr>
  </w:style>
  <w:style w:type="character" w:customStyle="1" w:styleId="linesapce1">
    <w:name w:val="linesapce1"/>
    <w:semiHidden/>
    <w:rPr>
      <w:color w:val="666666"/>
      <w:sz w:val="18"/>
      <w:szCs w:val="18"/>
    </w:rPr>
  </w:style>
  <w:style w:type="character" w:customStyle="1" w:styleId="2Charb">
    <w:name w:val="2.标题 Char"/>
    <w:semiHidden/>
    <w:qFormat/>
    <w:rPr>
      <w:rFonts w:ascii="宋体" w:hAnsi="宋体"/>
      <w:b/>
      <w:kern w:val="2"/>
      <w:sz w:val="21"/>
      <w:szCs w:val="22"/>
    </w:rPr>
  </w:style>
  <w:style w:type="character" w:customStyle="1" w:styleId="-2Char0">
    <w:name w:val="浅色底纹 - 强调文字颜色 2 Char"/>
    <w:uiPriority w:val="30"/>
    <w:semiHidden/>
    <w:qFormat/>
    <w:rPr>
      <w:rFonts w:ascii="黑体" w:hAnsi="黑体"/>
      <w:i/>
      <w:iCs/>
    </w:rPr>
  </w:style>
  <w:style w:type="character" w:customStyle="1" w:styleId="-14">
    <w:name w:val="彩色列表 - 着色 1 字符"/>
    <w:uiPriority w:val="99"/>
    <w:semiHidden/>
    <w:qFormat/>
    <w:rPr>
      <w:kern w:val="2"/>
      <w:sz w:val="21"/>
      <w:szCs w:val="22"/>
    </w:rPr>
  </w:style>
  <w:style w:type="character" w:customStyle="1" w:styleId="1-11">
    <w:name w:val="中等深浅网格 1 - 强调文字颜色 11"/>
    <w:uiPriority w:val="99"/>
    <w:semiHidden/>
    <w:rPr>
      <w:color w:val="808080"/>
    </w:rPr>
  </w:style>
  <w:style w:type="character" w:customStyle="1" w:styleId="badge28">
    <w:name w:val="badge28"/>
    <w:semiHidden/>
    <w:qFormat/>
    <w:rPr>
      <w:color w:val="128BED"/>
    </w:rPr>
  </w:style>
  <w:style w:type="character" w:customStyle="1" w:styleId="-Char3">
    <w:name w:val="正文-富瀚 Char"/>
    <w:uiPriority w:val="99"/>
    <w:semiHidden/>
    <w:qFormat/>
    <w:locked/>
    <w:rPr>
      <w:rFonts w:ascii="Times New Roman" w:hAnsi="Times New Roman"/>
      <w:sz w:val="22"/>
    </w:rPr>
  </w:style>
  <w:style w:type="character" w:customStyle="1" w:styleId="Char2f5">
    <w:name w:val="无间隔 Char2"/>
    <w:uiPriority w:val="1"/>
    <w:semiHidden/>
    <w:rPr>
      <w:rFonts w:ascii="Wingdings" w:hAnsi="Wingdings"/>
      <w:kern w:val="2"/>
      <w:sz w:val="21"/>
      <w:szCs w:val="21"/>
      <w:lang w:bidi="ar-SA"/>
    </w:rPr>
  </w:style>
  <w:style w:type="character" w:customStyle="1" w:styleId="leo">
    <w:name w:val="leo正文文本"/>
    <w:semiHidden/>
    <w:rPr>
      <w:rFonts w:ascii="Times New Roman" w:eastAsia="Cambria Math" w:hAnsi="Times New Roman"/>
      <w:dstrike w:val="0"/>
      <w:color w:val="000000"/>
      <w:kern w:val="0"/>
      <w:sz w:val="24"/>
      <w:vertAlign w:val="baseline"/>
    </w:rPr>
  </w:style>
  <w:style w:type="character" w:customStyle="1" w:styleId="1Charf1">
    <w:name w:val="理工标题1 Char"/>
    <w:aliases w:val="歌尔标题1 Char Char"/>
    <w:semiHidden/>
    <w:qFormat/>
    <w:rPr>
      <w:rFonts w:eastAsia="Cambria Math"/>
      <w:b/>
      <w:bCs/>
      <w:kern w:val="44"/>
      <w:sz w:val="44"/>
      <w:szCs w:val="44"/>
      <w:lang w:val="en-US" w:eastAsia="zh-CN" w:bidi="ar-SA"/>
    </w:rPr>
  </w:style>
  <w:style w:type="character" w:customStyle="1" w:styleId="doc">
    <w:name w:val="doc"/>
    <w:semiHidden/>
    <w:qFormat/>
  </w:style>
  <w:style w:type="character" w:customStyle="1" w:styleId="Level2-aCharChar">
    <w:name w:val="Level 2 - (a) Char Char"/>
    <w:semiHidden/>
    <w:rPr>
      <w:rFonts w:ascii="Wingdings" w:eastAsia="Symbol" w:hAnsi="Wingdings"/>
      <w:b/>
      <w:bCs/>
      <w:kern w:val="2"/>
      <w:sz w:val="28"/>
      <w:szCs w:val="28"/>
      <w:lang w:val="en-US" w:eastAsia="zh-CN" w:bidi="ar-SA"/>
    </w:rPr>
  </w:style>
  <w:style w:type="character" w:customStyle="1" w:styleId="NormalChar">
    <w:name w:val="Normal Char"/>
    <w:semiHidden/>
    <w:qFormat/>
    <w:rPr>
      <w:rFonts w:ascii="Cambria Math" w:hAnsi="Times New Roman"/>
      <w:sz w:val="24"/>
      <w:szCs w:val="22"/>
      <w:lang w:bidi="ar-SA"/>
    </w:rPr>
  </w:style>
  <w:style w:type="character" w:customStyle="1" w:styleId="badge6">
    <w:name w:val="badge6"/>
    <w:semiHidden/>
    <w:qFormat/>
    <w:rPr>
      <w:color w:val="128BED"/>
    </w:rPr>
  </w:style>
  <w:style w:type="character" w:customStyle="1" w:styleId="Charffffffff9">
    <w:name w:val="结束语 Char"/>
    <w:semiHidden/>
    <w:qFormat/>
    <w:rPr>
      <w:kern w:val="2"/>
      <w:sz w:val="21"/>
      <w:szCs w:val="24"/>
    </w:rPr>
  </w:style>
  <w:style w:type="character" w:customStyle="1" w:styleId="font51">
    <w:name w:val="font51"/>
    <w:semiHidden/>
    <w:qFormat/>
    <w:rPr>
      <w:rFonts w:ascii="Times New Roman" w:hAnsi="Times New Roman" w:cs="Times New Roman" w:hint="default"/>
      <w:b/>
      <w:bCs/>
      <w:i w:val="0"/>
      <w:iCs w:val="0"/>
      <w:strike w:val="0"/>
      <w:dstrike w:val="0"/>
      <w:color w:val="000000"/>
      <w:sz w:val="18"/>
      <w:szCs w:val="18"/>
      <w:u w:val="none"/>
    </w:rPr>
  </w:style>
  <w:style w:type="character" w:customStyle="1" w:styleId="nlkfqirnlfjerldfgzxcyiuro1">
    <w:name w:val="nlkfqirnlfjerldfgzxcyiuro1"/>
    <w:semiHidden/>
    <w:qFormat/>
    <w:rPr>
      <w:rFonts w:eastAsia="Cambria Math"/>
      <w:kern w:val="2"/>
      <w:sz w:val="21"/>
      <w:lang w:val="en-US" w:eastAsia="zh-CN" w:bidi="ar-SA"/>
    </w:rPr>
  </w:style>
  <w:style w:type="character" w:customStyle="1" w:styleId="jin3Char">
    <w:name w:val="jin3 Char"/>
    <w:semiHidden/>
    <w:qFormat/>
    <w:rPr>
      <w:rFonts w:ascii="Times New Roman" w:eastAsia="Symbol" w:hAnsi="Times New Roman" w:cs="Times New Roman"/>
      <w:bCs/>
      <w:kern w:val="0"/>
      <w:sz w:val="24"/>
      <w:szCs w:val="24"/>
    </w:rPr>
  </w:style>
  <w:style w:type="character" w:customStyle="1" w:styleId="2fffffc">
    <w:name w:val="页码2"/>
    <w:semiHidden/>
  </w:style>
  <w:style w:type="character" w:customStyle="1" w:styleId="font61">
    <w:name w:val="font61"/>
    <w:semiHidden/>
    <w:qFormat/>
    <w:rPr>
      <w:rFonts w:ascii="Times New Roman" w:eastAsia="Cambria Math" w:hAnsi="Times New Roman" w:cs="Times New Roman" w:hint="eastAsia"/>
      <w:color w:val="FF0000"/>
      <w:kern w:val="2"/>
      <w:sz w:val="20"/>
      <w:szCs w:val="20"/>
      <w:u w:val="none"/>
      <w:lang w:val="en-US" w:eastAsia="zh-CN" w:bidi="ar-SA"/>
    </w:rPr>
  </w:style>
  <w:style w:type="character" w:customStyle="1" w:styleId="Charffffffffa">
    <w:name w:val="表头标题 Char"/>
    <w:semiHidden/>
    <w:qFormat/>
    <w:rPr>
      <w:rFonts w:ascii="Wingdings" w:eastAsia="Arial Bold" w:hAnsi="Wingdings"/>
      <w:b/>
      <w:sz w:val="24"/>
    </w:rPr>
  </w:style>
  <w:style w:type="character" w:customStyle="1" w:styleId="1ffffff3">
    <w:name w:val="普通(网站) 字符1"/>
    <w:uiPriority w:val="99"/>
    <w:semiHidden/>
    <w:locked/>
    <w:rPr>
      <w:rFonts w:ascii="宋体" w:hAnsi="宋体"/>
      <w:sz w:val="24"/>
      <w:szCs w:val="24"/>
    </w:rPr>
  </w:style>
  <w:style w:type="character" w:styleId="afffffffffffffffffffff">
    <w:name w:val="Subtle Emphasis"/>
    <w:uiPriority w:val="19"/>
    <w:qFormat/>
    <w:rPr>
      <w:i/>
      <w:iCs/>
      <w:color w:val="808080"/>
    </w:rPr>
  </w:style>
  <w:style w:type="character" w:customStyle="1" w:styleId="Char4e">
    <w:name w:val="正文首行缩进 Char4"/>
    <w:uiPriority w:val="99"/>
    <w:semiHidden/>
  </w:style>
  <w:style w:type="character" w:customStyle="1" w:styleId="VIIChar">
    <w:name w:val="VII 表格内容 Char"/>
    <w:semiHidden/>
    <w:rPr>
      <w:rFonts w:ascii="Cambria Math" w:hAnsi="Cambria Math"/>
      <w:szCs w:val="21"/>
    </w:rPr>
  </w:style>
  <w:style w:type="character" w:customStyle="1" w:styleId="1-110">
    <w:name w:val="中等深浅网格 1 - 着色 11"/>
    <w:uiPriority w:val="99"/>
    <w:semiHidden/>
    <w:qFormat/>
    <w:rPr>
      <w:color w:val="808080"/>
    </w:rPr>
  </w:style>
  <w:style w:type="character" w:customStyle="1" w:styleId="BulletL1Char">
    <w:name w:val="Bullet L1 Char"/>
    <w:semiHidden/>
    <w:rPr>
      <w:rFonts w:ascii="Cambria Math" w:hAnsi="Cambria Math" w:cs="Cambria Math"/>
      <w:szCs w:val="24"/>
      <w:lang w:val="en-GB"/>
    </w:rPr>
  </w:style>
  <w:style w:type="character" w:customStyle="1" w:styleId="ydx">
    <w:name w:val="ydx"/>
    <w:semiHidden/>
    <w:qFormat/>
    <w:rPr>
      <w:rFonts w:eastAsia="Cambria Math"/>
      <w:kern w:val="2"/>
      <w:sz w:val="21"/>
      <w:shd w:val="clear" w:color="auto" w:fill="CC6600"/>
      <w:lang w:val="en-US" w:eastAsia="zh-CN" w:bidi="ar-SA"/>
    </w:rPr>
  </w:style>
  <w:style w:type="character" w:customStyle="1" w:styleId="z-Char0">
    <w:name w:val="z-窗体顶端 Char"/>
    <w:semiHidden/>
    <w:qFormat/>
    <w:rPr>
      <w:rFonts w:ascii="Wingdings" w:hAnsi="Wingdings"/>
      <w:vanish/>
      <w:sz w:val="16"/>
      <w:szCs w:val="16"/>
    </w:rPr>
  </w:style>
  <w:style w:type="character" w:customStyle="1" w:styleId="Charffffffffb">
    <w:name w:val="注： Char"/>
    <w:semiHidden/>
    <w:qFormat/>
    <w:rPr>
      <w:rFonts w:ascii="Cambria Math" w:hAnsi="Cambria Math"/>
      <w:szCs w:val="21"/>
    </w:rPr>
  </w:style>
  <w:style w:type="character" w:customStyle="1" w:styleId="IIChar">
    <w:name w:val="II 一、 Char"/>
    <w:semiHidden/>
    <w:rPr>
      <w:rFonts w:ascii="Cambria Math" w:hAnsi="Cambria Math" w:cs="Cambria Math"/>
      <w:b/>
      <w:sz w:val="30"/>
      <w:szCs w:val="30"/>
    </w:rPr>
  </w:style>
  <w:style w:type="character" w:customStyle="1" w:styleId="-1Char3">
    <w:name w:val="彩色网格 - 强调文字颜色 1 Char"/>
    <w:uiPriority w:val="29"/>
    <w:semiHidden/>
    <w:qFormat/>
    <w:rPr>
      <w:rFonts w:ascii="黑体" w:hAnsi="黑体"/>
      <w:i/>
      <w:iCs/>
    </w:rPr>
  </w:style>
  <w:style w:type="character" w:customStyle="1" w:styleId="1ffffff4">
    <w:name w:val="明显引用字符1"/>
    <w:uiPriority w:val="60"/>
    <w:semiHidden/>
    <w:rPr>
      <w:i/>
      <w:iCs/>
      <w:color w:val="5B9BD5"/>
      <w:kern w:val="2"/>
      <w:sz w:val="21"/>
      <w:szCs w:val="22"/>
    </w:rPr>
  </w:style>
  <w:style w:type="character" w:customStyle="1" w:styleId="3ffff">
    <w:name w:val="页码3"/>
    <w:semiHidden/>
  </w:style>
  <w:style w:type="character" w:customStyle="1" w:styleId="Char2f6">
    <w:name w:val="注释标题 Char2"/>
    <w:semiHidden/>
    <w:rPr>
      <w:rFonts w:ascii="Calibri" w:hAnsi="Calibri"/>
    </w:rPr>
  </w:style>
  <w:style w:type="character" w:customStyle="1" w:styleId="1ffffff5">
    <w:name w:val="书籍标题1"/>
    <w:semiHidden/>
    <w:qFormat/>
    <w:rPr>
      <w:i/>
      <w:iCs/>
      <w:smallCaps/>
      <w:spacing w:val="5"/>
    </w:rPr>
  </w:style>
  <w:style w:type="character" w:customStyle="1" w:styleId="Charffffffffc">
    <w:name w:val="本文 Char"/>
    <w:semiHidden/>
    <w:rPr>
      <w:rFonts w:ascii="Cambria Math" w:hAnsi="Cambria Math" w:cs="Cambria Math"/>
      <w:sz w:val="24"/>
      <w:szCs w:val="24"/>
    </w:rPr>
  </w:style>
  <w:style w:type="character" w:customStyle="1" w:styleId="CharCharff0">
    <w:name w:val="数据来源 Char Char"/>
    <w:semiHidden/>
    <w:rPr>
      <w:rFonts w:ascii="Symbol" w:hAnsi="Cambria Math" w:cs="Cambria Math"/>
      <w:sz w:val="18"/>
      <w:szCs w:val="18"/>
    </w:rPr>
  </w:style>
  <w:style w:type="character" w:customStyle="1" w:styleId="Char1ff0">
    <w:name w:val="数据来源 Char1"/>
    <w:semiHidden/>
    <w:rPr>
      <w:rFonts w:ascii="Wingdings" w:eastAsia="Symbol" w:hAnsi="Wingdings"/>
      <w:sz w:val="18"/>
    </w:rPr>
  </w:style>
  <w:style w:type="character" w:customStyle="1" w:styleId="3Char51">
    <w:name w:val="正文文本缩进 3 Char5"/>
    <w:semiHidden/>
    <w:qFormat/>
    <w:rPr>
      <w:rFonts w:ascii="Times New Roman" w:eastAsia="Cambria Math" w:hAnsi="Times New Roman" w:cs="Times New Roman"/>
      <w:sz w:val="24"/>
      <w:szCs w:val="20"/>
    </w:rPr>
  </w:style>
  <w:style w:type="character" w:customStyle="1" w:styleId="unnamed21">
    <w:name w:val="unnamed21"/>
    <w:semiHidden/>
    <w:rPr>
      <w:spacing w:val="320"/>
      <w:sz w:val="18"/>
      <w:szCs w:val="18"/>
    </w:rPr>
  </w:style>
  <w:style w:type="character" w:customStyle="1" w:styleId="Charffffffffd">
    <w:name w:val="招股书补充披露 Char"/>
    <w:semiHidden/>
    <w:qFormat/>
    <w:rPr>
      <w:rFonts w:ascii="Arial Bold" w:eastAsia="Arial Bold" w:hAnsi="Times New Roman"/>
      <w:b/>
      <w:kern w:val="2"/>
      <w:sz w:val="24"/>
      <w:szCs w:val="21"/>
    </w:rPr>
  </w:style>
  <w:style w:type="character" w:customStyle="1" w:styleId="Charffffffffe">
    <w:name w:val="主标题 Char"/>
    <w:semiHidden/>
    <w:rPr>
      <w:rFonts w:ascii="Wingdings" w:eastAsia="Symbol" w:hAnsi="Wingdings" w:cs="Cambria Math"/>
      <w:b/>
      <w:bCs/>
      <w:kern w:val="2"/>
      <w:sz w:val="28"/>
      <w:szCs w:val="28"/>
    </w:rPr>
  </w:style>
  <w:style w:type="character" w:customStyle="1" w:styleId="CharCharff1">
    <w:name w:val="第五级 Char Char"/>
    <w:semiHidden/>
    <w:rPr>
      <w:color w:val="000000"/>
      <w:sz w:val="24"/>
      <w:szCs w:val="21"/>
    </w:rPr>
  </w:style>
  <w:style w:type="character" w:customStyle="1" w:styleId="pt91">
    <w:name w:val="pt91"/>
    <w:semiHidden/>
    <w:rPr>
      <w:sz w:val="18"/>
      <w:szCs w:val="18"/>
    </w:rPr>
  </w:style>
  <w:style w:type="character" w:customStyle="1" w:styleId="2-4">
    <w:name w:val="中等深浅列表 2 - 强调文字颜色 4字符"/>
    <w:uiPriority w:val="34"/>
    <w:semiHidden/>
    <w:rPr>
      <w:rFonts w:ascii="Cambria Math" w:hAnsi="Cambria Math"/>
      <w:kern w:val="2"/>
      <w:sz w:val="21"/>
      <w:szCs w:val="22"/>
    </w:rPr>
  </w:style>
  <w:style w:type="character" w:customStyle="1" w:styleId="button">
    <w:name w:val="button"/>
    <w:semiHidden/>
    <w:qFormat/>
    <w:rPr>
      <w:rFonts w:eastAsia="Cambria Math"/>
      <w:vanish/>
      <w:kern w:val="2"/>
      <w:sz w:val="21"/>
      <w:lang w:val="en-US" w:eastAsia="zh-CN" w:bidi="ar-SA"/>
    </w:rPr>
  </w:style>
  <w:style w:type="character" w:customStyle="1" w:styleId="3Char9">
    <w:name w:val="正文文本缩进 3 Char"/>
    <w:semiHidden/>
    <w:qFormat/>
    <w:rPr>
      <w:rFonts w:ascii="Times New Roman" w:hAnsi="Times New Roman"/>
      <w:kern w:val="2"/>
      <w:sz w:val="16"/>
      <w:szCs w:val="16"/>
    </w:rPr>
  </w:style>
  <w:style w:type="character" w:customStyle="1" w:styleId="Char2f7">
    <w:name w:val="日期 Char2"/>
    <w:semiHidden/>
    <w:qFormat/>
    <w:rPr>
      <w:rFonts w:ascii="Cambria Math" w:eastAsia="Cambria Math" w:hAnsi="Cambria Math" w:cs="Times New Roman"/>
    </w:rPr>
  </w:style>
  <w:style w:type="character" w:customStyle="1" w:styleId="announcer1">
    <w:name w:val="announcer1"/>
    <w:semiHidden/>
    <w:rPr>
      <w:b/>
      <w:bCs/>
    </w:rPr>
  </w:style>
  <w:style w:type="character" w:customStyle="1" w:styleId="Char3f">
    <w:name w:val="尾注文本 Char3"/>
    <w:uiPriority w:val="99"/>
    <w:semiHidden/>
  </w:style>
  <w:style w:type="character" w:customStyle="1" w:styleId="Charfffffffff">
    <w:name w:val="本表格 Char"/>
    <w:semiHidden/>
    <w:rPr>
      <w:rFonts w:ascii="Cambria Math" w:hAnsi="Cambria Math" w:cs="Cambria Math"/>
      <w:b/>
      <w:bCs/>
      <w:sz w:val="21"/>
      <w:szCs w:val="21"/>
    </w:rPr>
  </w:style>
  <w:style w:type="character" w:customStyle="1" w:styleId="ntag4">
    <w:name w:val="ntag4"/>
    <w:semiHidden/>
    <w:qFormat/>
    <w:rPr>
      <w:sz w:val="18"/>
      <w:szCs w:val="18"/>
    </w:rPr>
  </w:style>
  <w:style w:type="character" w:customStyle="1" w:styleId="3Chara">
    <w:name w:val="样式3 楷体加粗 Char"/>
    <w:semiHidden/>
    <w:qFormat/>
    <w:locked/>
    <w:rPr>
      <w:rFonts w:ascii="Arial Bold" w:eastAsia="Arial Bold"/>
      <w:b/>
      <w:sz w:val="24"/>
      <w:szCs w:val="24"/>
    </w:rPr>
  </w:style>
  <w:style w:type="character" w:customStyle="1" w:styleId="style131">
    <w:name w:val="style131"/>
    <w:semiHidden/>
    <w:rPr>
      <w:b/>
      <w:bCs/>
      <w:strike w:val="0"/>
      <w:dstrike w:val="0"/>
      <w:color w:val="FF9900"/>
      <w:sz w:val="18"/>
      <w:szCs w:val="18"/>
      <w:u w:val="none"/>
    </w:rPr>
  </w:style>
  <w:style w:type="character" w:customStyle="1" w:styleId="AppendixBodyHeadCharChar">
    <w:name w:val="AppendixBodyHead Char Char"/>
    <w:semiHidden/>
    <w:rPr>
      <w:rFonts w:ascii="Wingdings" w:eastAsia="Symbol" w:hAnsi="Wingdings"/>
      <w:color w:val="000000"/>
      <w:sz w:val="24"/>
      <w:lang w:val="en-US" w:eastAsia="zh-CN" w:bidi="ar-SA"/>
    </w:rPr>
  </w:style>
  <w:style w:type="character" w:customStyle="1" w:styleId="2-12">
    <w:name w:val="中等深浅网格 2 - 着色 1 字符2"/>
    <w:semiHidden/>
    <w:rPr>
      <w:sz w:val="22"/>
    </w:rPr>
  </w:style>
  <w:style w:type="character" w:customStyle="1" w:styleId="1Char21">
    <w:name w:val="标题 1 Char2"/>
    <w:semiHidden/>
    <w:qFormat/>
    <w:rPr>
      <w:rFonts w:ascii="Times New Roman" w:eastAsia="Symbol" w:hAnsi="Times New Roman" w:cs="Times New Roman"/>
      <w:b/>
      <w:kern w:val="44"/>
      <w:sz w:val="36"/>
      <w:szCs w:val="36"/>
    </w:rPr>
  </w:style>
  <w:style w:type="character" w:customStyle="1" w:styleId="346">
    <w:name w:val="标题 3 字符4"/>
    <w:semiHidden/>
    <w:rPr>
      <w:rFonts w:ascii="Times New Roman" w:eastAsia="宋体" w:hAnsi="Times New Roman" w:cs="Times New Roman"/>
      <w:b/>
      <w:bCs/>
      <w:sz w:val="32"/>
      <w:szCs w:val="32"/>
    </w:rPr>
  </w:style>
  <w:style w:type="character" w:customStyle="1" w:styleId="p141">
    <w:name w:val="p141"/>
    <w:semiHidden/>
    <w:rPr>
      <w:rFonts w:eastAsia="Cambria Math"/>
      <w:b/>
      <w:strike w:val="0"/>
      <w:dstrike w:val="0"/>
      <w:kern w:val="2"/>
      <w:sz w:val="28"/>
      <w:szCs w:val="28"/>
      <w:u w:val="none"/>
      <w:lang w:val="en-US" w:eastAsia="zh-CN" w:bidi="ar-SA"/>
    </w:rPr>
  </w:style>
  <w:style w:type="character" w:customStyle="1" w:styleId="-1Char4">
    <w:name w:val="彩色列表 - 着色 1 Char"/>
    <w:uiPriority w:val="99"/>
    <w:semiHidden/>
    <w:qFormat/>
    <w:rPr>
      <w:kern w:val="2"/>
      <w:sz w:val="21"/>
      <w:szCs w:val="22"/>
    </w:rPr>
  </w:style>
  <w:style w:type="character" w:customStyle="1" w:styleId="4ff5">
    <w:name w:val="签名 字符4"/>
    <w:semiHidden/>
    <w:rPr>
      <w:rFonts w:ascii="Arial" w:eastAsia="Arial" w:hAnsi="Arial"/>
      <w:sz w:val="24"/>
      <w:szCs w:val="24"/>
    </w:rPr>
  </w:style>
  <w:style w:type="character" w:customStyle="1" w:styleId="2Charc">
    <w:name w:val="2 一、 Char"/>
    <w:semiHidden/>
    <w:qFormat/>
    <w:rPr>
      <w:rFonts w:ascii="Times New Roman" w:eastAsia="Symbol" w:hAnsi="Times New Roman"/>
      <w:b/>
      <w:kern w:val="2"/>
      <w:sz w:val="30"/>
      <w:szCs w:val="32"/>
    </w:rPr>
  </w:style>
  <w:style w:type="character" w:customStyle="1" w:styleId="item11">
    <w:name w:val="item11"/>
    <w:semiHidden/>
    <w:rPr>
      <w:color w:val="0000FF"/>
      <w:sz w:val="18"/>
      <w:szCs w:val="18"/>
    </w:rPr>
  </w:style>
  <w:style w:type="character" w:customStyle="1" w:styleId="spelle">
    <w:name w:val="spelle"/>
    <w:semiHidden/>
    <w:qFormat/>
  </w:style>
  <w:style w:type="character" w:customStyle="1" w:styleId="stitle1">
    <w:name w:val="stitle1"/>
    <w:semiHidden/>
    <w:rPr>
      <w:rFonts w:ascii="Arial Bold" w:hAnsi="Arial Bold" w:hint="default"/>
      <w:color w:val="008080"/>
      <w:sz w:val="20"/>
      <w:szCs w:val="20"/>
    </w:rPr>
  </w:style>
  <w:style w:type="character" w:customStyle="1" w:styleId="Char2f8">
    <w:name w:val="页眉 Char2"/>
    <w:semiHidden/>
    <w:qFormat/>
    <w:rPr>
      <w:sz w:val="18"/>
      <w:szCs w:val="18"/>
    </w:rPr>
  </w:style>
  <w:style w:type="character" w:customStyle="1" w:styleId="lemmatitleh11">
    <w:name w:val="lemmatitleh11"/>
    <w:semiHidden/>
  </w:style>
  <w:style w:type="character" w:customStyle="1" w:styleId="ArialChar0">
    <w:name w:val="样式 图表 + Arial Char"/>
    <w:semiHidden/>
    <w:qFormat/>
    <w:rPr>
      <w:rFonts w:ascii="Wingdings" w:eastAsia="Arial Bold" w:hAnsi="Wingdings"/>
      <w:b/>
      <w:smallCaps/>
      <w:color w:val="000000"/>
      <w:sz w:val="24"/>
      <w:szCs w:val="24"/>
    </w:rPr>
  </w:style>
  <w:style w:type="character" w:customStyle="1" w:styleId="339">
    <w:name w:val="标题 3 字符3"/>
    <w:semiHidden/>
    <w:qFormat/>
    <w:rPr>
      <w:rFonts w:ascii="Times New Roman" w:eastAsia="宋体" w:hAnsi="Times New Roman" w:cs="Times New Roman"/>
      <w:b/>
      <w:bCs/>
      <w:kern w:val="0"/>
      <w:sz w:val="32"/>
      <w:szCs w:val="32"/>
    </w:rPr>
  </w:style>
  <w:style w:type="character" w:customStyle="1" w:styleId="167">
    <w:name w:val="16"/>
    <w:semiHidden/>
    <w:rPr>
      <w:rFonts w:ascii="宋体" w:eastAsia="宋体" w:hAnsi="宋体" w:hint="eastAsia"/>
      <w:color w:val="000000"/>
      <w:sz w:val="18"/>
      <w:szCs w:val="18"/>
    </w:rPr>
  </w:style>
  <w:style w:type="character" w:customStyle="1" w:styleId="CharCharChara">
    <w:name w:val="数据来源 Char Char Char"/>
    <w:semiHidden/>
    <w:rPr>
      <w:rFonts w:ascii="Wingdings" w:eastAsia="Symbol" w:hAnsi="Wingdings" w:cs="Wingdings"/>
      <w:sz w:val="18"/>
      <w:szCs w:val="18"/>
    </w:rPr>
  </w:style>
  <w:style w:type="character" w:customStyle="1" w:styleId="Char2f9">
    <w:name w:val="普通文字 Char2"/>
    <w:semiHidden/>
    <w:rPr>
      <w:rFonts w:ascii="宋体" w:eastAsia="宋体" w:hAnsi="Courier New"/>
      <w:sz w:val="21"/>
      <w:szCs w:val="21"/>
      <w:lang w:val="en-US" w:eastAsia="zh-CN" w:bidi="ar-SA"/>
    </w:rPr>
  </w:style>
  <w:style w:type="character" w:customStyle="1" w:styleId="ca-22">
    <w:name w:val="ca-22"/>
    <w:semiHidden/>
    <w:qFormat/>
    <w:rPr>
      <w:rFonts w:ascii="Cambria Math" w:eastAsia="Cambria Math" w:hAnsi="Cambria Math" w:hint="eastAsia"/>
      <w:sz w:val="28"/>
      <w:szCs w:val="28"/>
    </w:rPr>
  </w:style>
  <w:style w:type="character" w:customStyle="1" w:styleId="p121">
    <w:name w:val="p121"/>
    <w:semiHidden/>
    <w:qFormat/>
    <w:rPr>
      <w:rFonts w:ascii="Cambria Math" w:eastAsia="Cambria Math" w:hAnsi="Cambria Math" w:hint="eastAsia"/>
      <w:color w:val="000066"/>
      <w:sz w:val="24"/>
      <w:szCs w:val="24"/>
    </w:rPr>
  </w:style>
  <w:style w:type="character" w:customStyle="1" w:styleId="DDChar">
    <w:name w:val="铁龙_DD正文 Char"/>
    <w:semiHidden/>
    <w:rPr>
      <w:rFonts w:ascii="Cambria Math" w:hAnsi="Cambria Math" w:cs="Cambria Math"/>
      <w:kern w:val="2"/>
      <w:sz w:val="24"/>
      <w:szCs w:val="24"/>
    </w:rPr>
  </w:style>
  <w:style w:type="character" w:customStyle="1" w:styleId="CharChar1b">
    <w:name w:val="正文文字首行缩进 Char Char1"/>
    <w:semiHidden/>
    <w:qFormat/>
    <w:locked/>
    <w:rPr>
      <w:rFonts w:ascii="Cambria Math" w:eastAsia="Arial Bold" w:hAnsi="Cambria Math"/>
      <w:b/>
      <w:kern w:val="2"/>
      <w:sz w:val="24"/>
      <w:lang w:val="en-US" w:eastAsia="zh-CN" w:bidi="ar-SA"/>
    </w:rPr>
  </w:style>
  <w:style w:type="character" w:customStyle="1" w:styleId="hover">
    <w:name w:val="hover"/>
    <w:semiHidden/>
    <w:qFormat/>
    <w:rPr>
      <w:rFonts w:eastAsia="Cambria Math"/>
      <w:kern w:val="2"/>
      <w:sz w:val="21"/>
      <w:shd w:val="clear" w:color="auto" w:fill="D2EFF9"/>
      <w:lang w:val="en-US" w:eastAsia="zh-CN" w:bidi="ar-SA"/>
    </w:rPr>
  </w:style>
  <w:style w:type="character" w:customStyle="1" w:styleId="1-22">
    <w:name w:val="中等深浅网格 1 - 着色 2 字符"/>
    <w:uiPriority w:val="99"/>
    <w:semiHidden/>
    <w:qFormat/>
    <w:rPr>
      <w:kern w:val="2"/>
      <w:sz w:val="21"/>
      <w:szCs w:val="22"/>
    </w:rPr>
  </w:style>
  <w:style w:type="character" w:customStyle="1" w:styleId="2fffffd">
    <w:name w:val="尾注引用2"/>
    <w:semiHidden/>
    <w:rPr>
      <w:vertAlign w:val="superscript"/>
    </w:rPr>
  </w:style>
  <w:style w:type="character" w:customStyle="1" w:styleId="no11">
    <w:name w:val="no11"/>
    <w:semiHidden/>
    <w:rPr>
      <w:strike w:val="0"/>
      <w:dstrike w:val="0"/>
      <w:color w:val="000000"/>
      <w:sz w:val="18"/>
      <w:szCs w:val="18"/>
      <w:u w:val="none"/>
    </w:rPr>
  </w:style>
  <w:style w:type="character" w:customStyle="1" w:styleId="font01">
    <w:name w:val="font01"/>
    <w:semiHidden/>
    <w:qFormat/>
    <w:rPr>
      <w:rFonts w:ascii="Arial Bold" w:eastAsia="Arial Bold" w:hint="eastAsia"/>
      <w:b/>
      <w:bCs/>
      <w:i w:val="0"/>
      <w:iCs w:val="0"/>
      <w:strike w:val="0"/>
      <w:dstrike w:val="0"/>
      <w:color w:val="000000"/>
      <w:sz w:val="24"/>
      <w:szCs w:val="24"/>
      <w:u w:val="none"/>
    </w:rPr>
  </w:style>
  <w:style w:type="character" w:customStyle="1" w:styleId="Charfffffffff0">
    <w:name w:val="文章 Char"/>
    <w:semiHidden/>
    <w:qFormat/>
    <w:locked/>
    <w:rPr>
      <w:rFonts w:ascii="Cambria Math" w:hAnsi="Cambria Math"/>
      <w:sz w:val="24"/>
      <w:szCs w:val="24"/>
    </w:rPr>
  </w:style>
  <w:style w:type="character" w:customStyle="1" w:styleId="CharCharff2">
    <w:name w:val="正文内容 Char Char"/>
    <w:semiHidden/>
    <w:qFormat/>
    <w:rPr>
      <w:rFonts w:ascii="Times New Roman" w:hAnsi="Times New Roman"/>
      <w:kern w:val="2"/>
      <w:sz w:val="24"/>
      <w:szCs w:val="24"/>
    </w:rPr>
  </w:style>
  <w:style w:type="character" w:customStyle="1" w:styleId="1CharChar3">
    <w:name w:val="我正文1 Char Char"/>
    <w:semiHidden/>
    <w:qFormat/>
    <w:rPr>
      <w:rFonts w:ascii="Cambria Math" w:hAnsi="Cambria Math"/>
      <w:b/>
      <w:sz w:val="24"/>
      <w:szCs w:val="24"/>
    </w:rPr>
  </w:style>
  <w:style w:type="character" w:customStyle="1" w:styleId="biaoti4Char">
    <w:name w:val="biaoti4 Char"/>
    <w:semiHidden/>
    <w:rPr>
      <w:sz w:val="24"/>
      <w:szCs w:val="24"/>
    </w:rPr>
  </w:style>
  <w:style w:type="character" w:customStyle="1" w:styleId="nfChar">
    <w:name w:val="正文nf Char"/>
    <w:semiHidden/>
    <w:qFormat/>
    <w:locked/>
  </w:style>
  <w:style w:type="character" w:customStyle="1" w:styleId="CharCharCharCharCharCharCharCharCharCharCharCharCharCharCharCharCharCharCharCharCharCharCharCharChar">
    <w:name w:val="样式 数据来源 + 宋体 Char Char Char Char Char Char Char Char Char Char Char Char Char Char Char Char Char Char Char Char Char Char Char Char Char"/>
    <w:semiHidden/>
    <w:rPr>
      <w:rFonts w:ascii="Cambria Math" w:hAnsi="Cambria Math" w:cs="Symbol"/>
      <w:sz w:val="18"/>
      <w:szCs w:val="21"/>
    </w:rPr>
  </w:style>
  <w:style w:type="character" w:customStyle="1" w:styleId="Char3f0">
    <w:name w:val="脚注文本 Char3"/>
    <w:uiPriority w:val="99"/>
    <w:semiHidden/>
    <w:qFormat/>
    <w:rPr>
      <w:rFonts w:ascii="Times New Roman" w:hAnsi="Times New Roman"/>
      <w:kern w:val="2"/>
      <w:sz w:val="18"/>
      <w:szCs w:val="18"/>
    </w:rPr>
  </w:style>
  <w:style w:type="character" w:customStyle="1" w:styleId="1Charf2">
    <w:name w:val="正文文本缩进1 Char"/>
    <w:semiHidden/>
    <w:qFormat/>
    <w:rPr>
      <w:rFonts w:ascii="Cambria Math" w:hAnsi="Cambria Math"/>
      <w:sz w:val="24"/>
      <w:szCs w:val="24"/>
    </w:rPr>
  </w:style>
  <w:style w:type="character" w:customStyle="1" w:styleId="2fffffe">
    <w:name w:val="书籍标题2"/>
    <w:uiPriority w:val="33"/>
    <w:semiHidden/>
    <w:qFormat/>
    <w:rPr>
      <w:b/>
      <w:bCs/>
      <w:smallCaps/>
      <w:spacing w:val="5"/>
    </w:rPr>
  </w:style>
  <w:style w:type="character" w:customStyle="1" w:styleId="ZGSChar">
    <w:name w:val="ZGS正文 Char"/>
    <w:semiHidden/>
    <w:rPr>
      <w:rFonts w:cs="Cambria Math"/>
      <w:bCs/>
      <w:sz w:val="24"/>
      <w:szCs w:val="21"/>
    </w:rPr>
  </w:style>
  <w:style w:type="character" w:customStyle="1" w:styleId="1Charf3">
    <w:name w:val="样式 标题 1 Char"/>
    <w:semiHidden/>
    <w:qFormat/>
    <w:locked/>
    <w:rPr>
      <w:rFonts w:ascii="Wingdings" w:eastAsia="Symbol" w:hAnsi="Wingdings" w:cs="Wingdings"/>
      <w:bCs/>
      <w:kern w:val="44"/>
      <w:sz w:val="32"/>
      <w:szCs w:val="28"/>
    </w:rPr>
  </w:style>
  <w:style w:type="character" w:customStyle="1" w:styleId="javascript1">
    <w:name w:val="javascript1"/>
    <w:semiHidden/>
    <w:rPr>
      <w:rFonts w:ascii="Tahoma" w:hAnsi="Tahoma" w:cs="Tahoma" w:hint="default"/>
      <w:sz w:val="18"/>
      <w:szCs w:val="18"/>
    </w:rPr>
  </w:style>
  <w:style w:type="character" w:customStyle="1" w:styleId="hrefstyle">
    <w:name w:val="hrefstyle"/>
    <w:semiHidden/>
    <w:qFormat/>
  </w:style>
  <w:style w:type="character" w:customStyle="1" w:styleId="tx1">
    <w:name w:val="tx1"/>
    <w:semiHidden/>
    <w:rPr>
      <w:b/>
      <w:bCs/>
    </w:rPr>
  </w:style>
  <w:style w:type="character" w:customStyle="1" w:styleId="CharChar152">
    <w:name w:val="Char Char152"/>
    <w:semiHidden/>
    <w:rPr>
      <w:rFonts w:ascii="Wingdings" w:eastAsia="Symbol" w:hAnsi="Wingdings"/>
      <w:b/>
      <w:bCs/>
      <w:kern w:val="2"/>
      <w:sz w:val="32"/>
      <w:szCs w:val="32"/>
      <w:lang w:val="en-US" w:eastAsia="zh-CN" w:bidi="ar-SA"/>
    </w:rPr>
  </w:style>
  <w:style w:type="character" w:customStyle="1" w:styleId="1ffffff6">
    <w:name w:val="未处理的提及1"/>
    <w:uiPriority w:val="99"/>
    <w:semiHidden/>
    <w:qFormat/>
    <w:rPr>
      <w:color w:val="605E5C"/>
      <w:shd w:val="clear" w:color="auto" w:fill="E1DFDD"/>
    </w:rPr>
  </w:style>
  <w:style w:type="character" w:customStyle="1" w:styleId="Char3f1">
    <w:name w:val="标题 Char3"/>
    <w:uiPriority w:val="10"/>
    <w:semiHidden/>
    <w:rPr>
      <w:rFonts w:ascii="Cambria" w:eastAsia="宋体" w:hAnsi="Cambria" w:cs="Times New Roman"/>
      <w:b/>
      <w:bCs/>
      <w:sz w:val="32"/>
      <w:szCs w:val="32"/>
    </w:rPr>
  </w:style>
  <w:style w:type="character" w:customStyle="1" w:styleId="Charfffffffff1">
    <w:name w:val="反馈意见楷体 Char"/>
    <w:semiHidden/>
    <w:rPr>
      <w:rFonts w:ascii="Cambria Math" w:eastAsia="Arial Bold" w:hAnsi="Cambria Math" w:cs="Cambria Math"/>
      <w:b/>
      <w:kern w:val="2"/>
      <w:sz w:val="24"/>
      <w:szCs w:val="22"/>
    </w:rPr>
  </w:style>
  <w:style w:type="character" w:customStyle="1" w:styleId="detail">
    <w:name w:val="detail"/>
    <w:semiHidden/>
  </w:style>
  <w:style w:type="character" w:customStyle="1" w:styleId="Char57">
    <w:name w:val="批注文字 Char5"/>
    <w:semiHidden/>
    <w:qFormat/>
    <w:rPr>
      <w:rFonts w:ascii="Times New Roman" w:eastAsia="Cambria Math" w:hAnsi="Times New Roman" w:cs="Times New Roman"/>
      <w:szCs w:val="24"/>
    </w:rPr>
  </w:style>
  <w:style w:type="character" w:customStyle="1" w:styleId="8f1">
    <w:name w:val="明显强调8"/>
    <w:uiPriority w:val="21"/>
    <w:semiHidden/>
    <w:qFormat/>
    <w:rPr>
      <w:b/>
      <w:bCs/>
      <w:i/>
      <w:iCs/>
      <w:color w:val="4F81BD"/>
    </w:rPr>
  </w:style>
  <w:style w:type="character" w:customStyle="1" w:styleId="Char58">
    <w:name w:val="文档结构图 Char5"/>
    <w:uiPriority w:val="99"/>
    <w:semiHidden/>
    <w:qFormat/>
    <w:rPr>
      <w:rFonts w:ascii="Times New Roman" w:eastAsia="Cambria Math" w:hAnsi="Times New Roman" w:cs="Times New Roman"/>
      <w:szCs w:val="24"/>
      <w:shd w:val="clear" w:color="auto" w:fill="000080"/>
    </w:rPr>
  </w:style>
  <w:style w:type="character" w:customStyle="1" w:styleId="headline-content2">
    <w:name w:val="headline-content2"/>
    <w:semiHidden/>
  </w:style>
  <w:style w:type="character" w:customStyle="1" w:styleId="1XChar">
    <w:name w:val="1第X节 Char"/>
    <w:semiHidden/>
    <w:rPr>
      <w:rFonts w:ascii="Cambria Math" w:hAnsi="Cambria Math" w:cs="Cambria Math"/>
      <w:b/>
      <w:sz w:val="32"/>
      <w:szCs w:val="32"/>
    </w:rPr>
  </w:style>
  <w:style w:type="character" w:customStyle="1" w:styleId="3ffff0">
    <w:name w:val="要点3"/>
    <w:semiHidden/>
    <w:qFormat/>
    <w:rPr>
      <w:rFonts w:cs="Times New Roman"/>
      <w:b/>
      <w:bCs/>
    </w:rPr>
  </w:style>
  <w:style w:type="character" w:customStyle="1" w:styleId="blue1">
    <w:name w:val="blue1"/>
    <w:semiHidden/>
    <w:qFormat/>
    <w:rPr>
      <w:rFonts w:eastAsia="Cambria Math"/>
      <w:color w:val="173EE8"/>
      <w:kern w:val="2"/>
      <w:sz w:val="21"/>
      <w:u w:val="single"/>
      <w:lang w:val="en-US" w:eastAsia="zh-CN" w:bidi="ar-SA"/>
    </w:rPr>
  </w:style>
  <w:style w:type="character" w:customStyle="1" w:styleId="Charfffffffff2">
    <w:name w:val="正文注 Char"/>
    <w:semiHidden/>
    <w:rPr>
      <w:rFonts w:ascii="Cambria Math" w:hAnsi="Cambria Math" w:cs="Cambria Math"/>
      <w:bCs/>
      <w:kern w:val="2"/>
      <w:sz w:val="21"/>
      <w:szCs w:val="21"/>
    </w:rPr>
  </w:style>
  <w:style w:type="character" w:customStyle="1" w:styleId="4Char3">
    <w:name w:val="标题  4 Char"/>
    <w:semiHidden/>
    <w:rPr>
      <w:rFonts w:ascii="Times New Roman" w:hAnsi="Times New Roman" w:cs="Cambria Math"/>
      <w:b/>
      <w:bCs/>
      <w:sz w:val="24"/>
    </w:rPr>
  </w:style>
  <w:style w:type="character" w:customStyle="1" w:styleId="hmChar">
    <w:name w:val="hm正文 Char"/>
    <w:semiHidden/>
    <w:qFormat/>
    <w:locked/>
    <w:rPr>
      <w:rFonts w:ascii="Cambria Math" w:hAnsi="Cambria Math"/>
      <w:sz w:val="24"/>
      <w:szCs w:val="24"/>
    </w:rPr>
  </w:style>
  <w:style w:type="character" w:customStyle="1" w:styleId="1ZZZCharChar0">
    <w:name w:val="1ZZZ正文 Char Char"/>
    <w:semiHidden/>
    <w:qFormat/>
    <w:rPr>
      <w:rFonts w:ascii="Cambria Math" w:hAnsi="Cambria Math"/>
      <w:color w:val="000000"/>
      <w:sz w:val="24"/>
      <w:szCs w:val="24"/>
    </w:rPr>
  </w:style>
  <w:style w:type="character" w:customStyle="1" w:styleId="CharCharff3">
    <w:name w:val="正文文字首行缩进 Char Char"/>
    <w:semiHidden/>
    <w:qFormat/>
    <w:rPr>
      <w:rFonts w:eastAsia="Cambria Math"/>
      <w:kern w:val="2"/>
      <w:sz w:val="21"/>
      <w:szCs w:val="24"/>
      <w:lang w:val="en-US" w:eastAsia="zh-CN" w:bidi="ar-SA"/>
    </w:rPr>
  </w:style>
  <w:style w:type="character" w:customStyle="1" w:styleId="HTMLChar">
    <w:name w:val="HTML 地址 Char"/>
    <w:semiHidden/>
    <w:qFormat/>
    <w:rPr>
      <w:b/>
      <w:bCs/>
      <w:kern w:val="44"/>
      <w:sz w:val="44"/>
      <w:szCs w:val="44"/>
    </w:rPr>
  </w:style>
  <w:style w:type="character" w:customStyle="1" w:styleId="TableTextCharacter">
    <w:name w:val="Table Text Character"/>
    <w:semiHidden/>
    <w:rPr>
      <w:rFonts w:ascii="Wingdings" w:eastAsia="Cambria Math" w:hAnsi="Wingdings"/>
      <w:sz w:val="16"/>
      <w:lang w:val="en-GB" w:eastAsia="zh-CN"/>
    </w:rPr>
  </w:style>
  <w:style w:type="character" w:customStyle="1" w:styleId="2Chard">
    <w:name w:val="标题  2 Char"/>
    <w:semiHidden/>
    <w:locked/>
    <w:rPr>
      <w:rFonts w:ascii="Symbol" w:eastAsia="Symbol" w:hAnsi="Symbol"/>
      <w:bCs/>
      <w:color w:val="000000"/>
      <w:sz w:val="28"/>
    </w:rPr>
  </w:style>
  <w:style w:type="character" w:customStyle="1" w:styleId="2Chare">
    <w:name w:val="2一、 Char"/>
    <w:semiHidden/>
    <w:rPr>
      <w:rFonts w:ascii="Cambria Math" w:hAnsi="Cambria Math" w:cs="Cambria Math"/>
      <w:b/>
      <w:sz w:val="30"/>
      <w:szCs w:val="30"/>
    </w:rPr>
  </w:style>
  <w:style w:type="character" w:customStyle="1" w:styleId="zhou1">
    <w:name w:val="zhou1"/>
    <w:semiHidden/>
  </w:style>
  <w:style w:type="character" w:customStyle="1" w:styleId="Charfffffffff3">
    <w:name w:val="标题 Char"/>
    <w:semiHidden/>
    <w:qFormat/>
    <w:rPr>
      <w:rFonts w:ascii="Wingdings" w:hAnsi="Wingdings" w:cs="Wingdings"/>
      <w:b/>
      <w:bCs/>
      <w:kern w:val="2"/>
      <w:sz w:val="32"/>
      <w:szCs w:val="32"/>
    </w:rPr>
  </w:style>
  <w:style w:type="character" w:customStyle="1" w:styleId="BulletindentChar">
    <w:name w:val="Bullet indent Char"/>
    <w:semiHidden/>
    <w:rPr>
      <w:rFonts w:eastAsia="Cambria Math"/>
      <w:color w:val="000000"/>
      <w:lang w:val="en-GB" w:eastAsia="en-GB" w:bidi="ar-SA"/>
    </w:rPr>
  </w:style>
  <w:style w:type="character" w:customStyle="1" w:styleId="s1">
    <w:name w:val="s1"/>
    <w:semiHidden/>
    <w:qFormat/>
  </w:style>
  <w:style w:type="character" w:customStyle="1" w:styleId="TableNoteChar">
    <w:name w:val="Table Note Char"/>
    <w:aliases w:val="TableNote Char"/>
    <w:semiHidden/>
    <w:rPr>
      <w:rFonts w:ascii="Wingdings" w:hAnsi="Wingdings" w:cs="Cambria Math"/>
      <w:sz w:val="16"/>
      <w:szCs w:val="24"/>
      <w:lang w:val="en-GB"/>
    </w:rPr>
  </w:style>
  <w:style w:type="character" w:customStyle="1" w:styleId="MediumGrid2Char1">
    <w:name w:val="Medium Grid 2 Char1"/>
    <w:uiPriority w:val="1"/>
    <w:semiHidden/>
    <w:rPr>
      <w:kern w:val="2"/>
      <w:sz w:val="21"/>
      <w:szCs w:val="22"/>
    </w:rPr>
  </w:style>
  <w:style w:type="character" w:customStyle="1" w:styleId="2ffffff">
    <w:name w:val="纯文本 字符2"/>
    <w:semiHidden/>
    <w:qFormat/>
    <w:rPr>
      <w:rFonts w:ascii="宋体" w:eastAsia="宋体" w:hAnsi="Courier New" w:cs="Times New Roman"/>
      <w:kern w:val="0"/>
      <w:sz w:val="20"/>
      <w:szCs w:val="20"/>
    </w:rPr>
  </w:style>
  <w:style w:type="character" w:customStyle="1" w:styleId="3CharCharCharChar">
    <w:name w:val="样式3 Char Char Char Char"/>
    <w:semiHidden/>
    <w:rPr>
      <w:spacing w:val="8"/>
      <w:sz w:val="24"/>
      <w:lang w:val="zh-CN"/>
    </w:rPr>
  </w:style>
  <w:style w:type="character" w:customStyle="1" w:styleId="4Char4">
    <w:name w:val="桃李标题4 Char"/>
    <w:semiHidden/>
    <w:qFormat/>
    <w:rPr>
      <w:rFonts w:ascii="Wingdings" w:eastAsia="Symbol" w:hAnsi="Wingdings"/>
      <w:b/>
      <w:bCs/>
      <w:color w:val="000000"/>
      <w:sz w:val="24"/>
      <w:szCs w:val="24"/>
    </w:rPr>
  </w:style>
  <w:style w:type="character" w:customStyle="1" w:styleId="3ffff1">
    <w:name w:val="不明显参考3"/>
    <w:uiPriority w:val="31"/>
    <w:semiHidden/>
    <w:qFormat/>
    <w:rPr>
      <w:smallCaps/>
      <w:color w:val="C0504D"/>
      <w:u w:val="single"/>
    </w:rPr>
  </w:style>
  <w:style w:type="character" w:customStyle="1" w:styleId="NChar">
    <w:name w:val="N正文 Char"/>
    <w:semiHidden/>
    <w:rPr>
      <w:sz w:val="24"/>
      <w:szCs w:val="24"/>
    </w:rPr>
  </w:style>
  <w:style w:type="character" w:customStyle="1" w:styleId="2ffffff0">
    <w:name w:val="批注引用2"/>
    <w:semiHidden/>
    <w:qFormat/>
    <w:rPr>
      <w:sz w:val="21"/>
      <w:szCs w:val="21"/>
    </w:rPr>
  </w:style>
  <w:style w:type="character" w:customStyle="1" w:styleId="CharChar282">
    <w:name w:val="Char Char282"/>
    <w:semiHidden/>
    <w:rPr>
      <w:rFonts w:ascii="Wingdings" w:eastAsia="Symbol" w:hAnsi="Wingdings"/>
      <w:b/>
      <w:bCs/>
      <w:kern w:val="2"/>
      <w:sz w:val="32"/>
      <w:szCs w:val="32"/>
      <w:lang w:val="en-US" w:eastAsia="zh-CN" w:bidi="ar-SA"/>
    </w:rPr>
  </w:style>
  <w:style w:type="character" w:customStyle="1" w:styleId="KWBodytextCharChar">
    <w:name w:val="K&amp;W Body text Char Char"/>
    <w:semiHidden/>
    <w:qFormat/>
    <w:rPr>
      <w:rFonts w:ascii="Arial" w:eastAsia="楷体_GB2312" w:hAnsi="Arial"/>
      <w:lang w:val="en-US" w:eastAsia="en-US" w:bidi="ar-SA"/>
    </w:rPr>
  </w:style>
  <w:style w:type="character" w:customStyle="1" w:styleId="HTMLChar10">
    <w:name w:val="HTML 地址 Char1"/>
    <w:uiPriority w:val="99"/>
    <w:semiHidden/>
    <w:qFormat/>
    <w:rPr>
      <w:i/>
      <w:iCs/>
      <w:kern w:val="2"/>
      <w:sz w:val="21"/>
      <w:szCs w:val="22"/>
    </w:rPr>
  </w:style>
  <w:style w:type="character" w:customStyle="1" w:styleId="SubtitleChar">
    <w:name w:val="Subtitle Char"/>
    <w:semiHidden/>
    <w:locked/>
    <w:rPr>
      <w:rFonts w:ascii="黑体" w:eastAsia="Cambria Math" w:hAnsi="黑体"/>
      <w:b/>
      <w:bCs/>
      <w:kern w:val="28"/>
      <w:sz w:val="24"/>
      <w:szCs w:val="32"/>
      <w:lang w:val="en-US" w:eastAsia="zh-CN" w:bidi="ar-SA"/>
    </w:rPr>
  </w:style>
  <w:style w:type="character" w:customStyle="1" w:styleId="CharChar272">
    <w:name w:val="Char Char272"/>
    <w:semiHidden/>
    <w:rPr>
      <w:rFonts w:eastAsia="Cambria Math"/>
      <w:b/>
      <w:bCs/>
      <w:kern w:val="2"/>
      <w:sz w:val="32"/>
      <w:szCs w:val="32"/>
      <w:lang w:val="en-US" w:eastAsia="zh-CN" w:bidi="ar-SA"/>
    </w:rPr>
  </w:style>
  <w:style w:type="character" w:customStyle="1" w:styleId="Charfffffffff4">
    <w:name w:val="桃李正文 Char"/>
    <w:semiHidden/>
    <w:qFormat/>
    <w:rPr>
      <w:rFonts w:ascii="Times New Roman" w:hAnsi="Times New Roman"/>
      <w:kern w:val="2"/>
      <w:sz w:val="24"/>
      <w:szCs w:val="22"/>
    </w:rPr>
  </w:style>
  <w:style w:type="character" w:customStyle="1" w:styleId="3Char41">
    <w:name w:val="正文文本 3 Char4"/>
    <w:uiPriority w:val="99"/>
    <w:semiHidden/>
    <w:rPr>
      <w:sz w:val="16"/>
      <w:szCs w:val="16"/>
    </w:rPr>
  </w:style>
  <w:style w:type="character" w:customStyle="1" w:styleId="2Charf">
    <w:name w:val="【2级】 Char"/>
    <w:semiHidden/>
    <w:rPr>
      <w:rFonts w:ascii="Cambria Math" w:hAnsi="Cambria Math" w:cs="Cambria Math"/>
      <w:b/>
      <w:kern w:val="2"/>
      <w:sz w:val="30"/>
      <w:szCs w:val="24"/>
    </w:rPr>
  </w:style>
  <w:style w:type="character" w:customStyle="1" w:styleId="unnamed2">
    <w:name w:val="unnamed2"/>
    <w:semiHidden/>
    <w:qFormat/>
  </w:style>
  <w:style w:type="character" w:customStyle="1" w:styleId="z-Char40">
    <w:name w:val="z-窗体底端 Char4"/>
    <w:uiPriority w:val="99"/>
    <w:semiHidden/>
    <w:rPr>
      <w:rFonts w:ascii="Wingdings" w:hAnsi="Wingdings" w:cs="Wingdings"/>
      <w:vanish/>
      <w:sz w:val="16"/>
      <w:szCs w:val="16"/>
    </w:rPr>
  </w:style>
  <w:style w:type="character" w:customStyle="1" w:styleId="1-2Char0">
    <w:name w:val="中等深浅网格 1 - 着色 2 Char"/>
    <w:uiPriority w:val="99"/>
    <w:semiHidden/>
    <w:qFormat/>
    <w:rPr>
      <w:kern w:val="2"/>
      <w:sz w:val="21"/>
      <w:szCs w:val="22"/>
    </w:rPr>
  </w:style>
  <w:style w:type="character" w:customStyle="1" w:styleId="DeedTOCChar">
    <w:name w:val="Deed_TOC Char"/>
    <w:semiHidden/>
    <w:qFormat/>
    <w:rPr>
      <w:rFonts w:ascii="Arial Bold" w:eastAsia="楷体_GB2312" w:hAnsi="Arial Bold"/>
      <w:b/>
      <w:spacing w:val="-8"/>
      <w:sz w:val="28"/>
      <w:lang w:eastAsia="en-US"/>
    </w:rPr>
  </w:style>
  <w:style w:type="character" w:customStyle="1" w:styleId="1-111">
    <w:name w:val="中等深浅底纹 1 - 着色 1 字符1"/>
    <w:semiHidden/>
    <w:rPr>
      <w:sz w:val="22"/>
    </w:rPr>
  </w:style>
  <w:style w:type="character" w:customStyle="1" w:styleId="htd0">
    <w:name w:val="htd0"/>
    <w:semiHidden/>
    <w:qFormat/>
  </w:style>
  <w:style w:type="character" w:customStyle="1" w:styleId="x141">
    <w:name w:val="x141"/>
    <w:semiHidden/>
    <w:rPr>
      <w:sz w:val="21"/>
      <w:szCs w:val="21"/>
    </w:rPr>
  </w:style>
  <w:style w:type="character" w:customStyle="1" w:styleId="p148">
    <w:name w:val="p148"/>
    <w:semiHidden/>
  </w:style>
  <w:style w:type="character" w:customStyle="1" w:styleId="Charfffffffff5">
    <w:name w:val="楷体小四加粗 Char"/>
    <w:semiHidden/>
    <w:qFormat/>
    <w:rPr>
      <w:rFonts w:ascii="Arial Bold" w:eastAsia="Arial Bold" w:hAnsi="Times New Roman"/>
      <w:b/>
      <w:kern w:val="2"/>
      <w:sz w:val="24"/>
      <w:szCs w:val="32"/>
    </w:rPr>
  </w:style>
  <w:style w:type="character" w:customStyle="1" w:styleId="fuzhu3Char">
    <w:name w:val="fuzhu3 Char"/>
    <w:semiHidden/>
    <w:qFormat/>
    <w:rPr>
      <w:rFonts w:ascii="Cambria Math" w:hAnsi="Cambria Math" w:cs="Cambria Math"/>
      <w:i/>
      <w:iCs/>
      <w:snapToGrid/>
      <w:szCs w:val="24"/>
    </w:rPr>
  </w:style>
  <w:style w:type="character" w:customStyle="1" w:styleId="3-2Char">
    <w:name w:val="中等深浅网格 3 - 强调文字颜色 2 Char"/>
    <w:uiPriority w:val="30"/>
    <w:semiHidden/>
    <w:qFormat/>
    <w:rPr>
      <w:rFonts w:ascii="Cambria Math" w:eastAsia="Cambria Math" w:hAnsi="Cambria Math" w:cs="Times New Roman"/>
      <w:b/>
      <w:bCs/>
      <w:i/>
      <w:iCs/>
      <w:color w:val="4F81BD"/>
    </w:rPr>
  </w:style>
  <w:style w:type="character" w:customStyle="1" w:styleId="2-3Char2">
    <w:name w:val="中等深浅底纹 2 - 强调文字颜色 3 Char2"/>
    <w:uiPriority w:val="30"/>
    <w:semiHidden/>
    <w:qFormat/>
    <w:rPr>
      <w:rFonts w:ascii="Cambria Math" w:eastAsia="Cambria Math" w:hAnsi="Cambria Math" w:cs="Times New Roman"/>
      <w:b/>
      <w:bCs/>
      <w:i/>
      <w:iCs/>
      <w:color w:val="4F81BD"/>
    </w:rPr>
  </w:style>
  <w:style w:type="character" w:customStyle="1" w:styleId="Charfffffffff6">
    <w:name w:val="宋体小四缩进 Char"/>
    <w:semiHidden/>
    <w:qFormat/>
    <w:locked/>
    <w:rPr>
      <w:rFonts w:ascii="Cambria Math" w:hAnsi="Cambria Math"/>
      <w:sz w:val="24"/>
      <w:szCs w:val="24"/>
    </w:rPr>
  </w:style>
  <w:style w:type="table" w:customStyle="1" w:styleId="670">
    <w:name w:val="网格型67"/>
    <w:basedOn w:val="a1"/>
    <w:uiPriority w:val="39"/>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jpeg"/><Relationship Id="rId63" Type="http://schemas.openxmlformats.org/officeDocument/2006/relationships/image" Target="media/image50.png"/><Relationship Id="rId68" Type="http://schemas.openxmlformats.org/officeDocument/2006/relationships/image" Target="media/image55.pn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8.png"/><Relationship Id="rId19" Type="http://schemas.openxmlformats.org/officeDocument/2006/relationships/image" Target="media/image6.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image" Target="media/image2.jpeg"/><Relationship Id="rId51" Type="http://schemas.openxmlformats.org/officeDocument/2006/relationships/image" Target="media/image38.jpeg"/><Relationship Id="rId72"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7.pn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png"/><Relationship Id="rId70" Type="http://schemas.openxmlformats.org/officeDocument/2006/relationships/image" Target="media/image5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header" Target="header1.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chart" Target="charts/chart1.xml"/><Relationship Id="rId18" Type="http://schemas.openxmlformats.org/officeDocument/2006/relationships/header" Target="header4.xml"/><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image" Target="media/image1.jpeg"/><Relationship Id="rId71" Type="http://schemas.openxmlformats.org/officeDocument/2006/relationships/image" Target="media/image5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市场规模</c:v>
                </c:pt>
              </c:strCache>
            </c:strRef>
          </c:tx>
          <c:spPr>
            <a:solidFill>
              <a:srgbClr val="4F81B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A6A6A6">
                          <a:lumMod val="35000"/>
                          <a:lumOff val="65000"/>
                        </a:srgbClr>
                      </a:solidFill>
                      <a:round/>
                    </a:ln>
                    <a:effectLst/>
                  </c:spPr>
                </c15:leaderLines>
              </c:ext>
            </c:extLst>
          </c:dLbls>
          <c:cat>
            <c:strRef>
              <c:f>Sheet1!$A$2:$A$7</c:f>
              <c:strCache>
                <c:ptCount val="6"/>
                <c:pt idx="0">
                  <c:v>2021</c:v>
                </c:pt>
                <c:pt idx="1">
                  <c:v>2022E</c:v>
                </c:pt>
                <c:pt idx="2">
                  <c:v>2023E</c:v>
                </c:pt>
                <c:pt idx="3">
                  <c:v>2024E</c:v>
                </c:pt>
                <c:pt idx="4">
                  <c:v>2025E</c:v>
                </c:pt>
                <c:pt idx="5">
                  <c:v>2026E</c:v>
                </c:pt>
              </c:strCache>
            </c:strRef>
          </c:cat>
          <c:val>
            <c:numRef>
              <c:f>Sheet1!$B$2:$B$7</c:f>
              <c:numCache>
                <c:formatCode>#,##0_ </c:formatCode>
                <c:ptCount val="6"/>
                <c:pt idx="0">
                  <c:v>730</c:v>
                </c:pt>
                <c:pt idx="1">
                  <c:v>762.12</c:v>
                </c:pt>
                <c:pt idx="2">
                  <c:v>795.65328</c:v>
                </c:pt>
                <c:pt idx="3">
                  <c:v>830.66202432</c:v>
                </c:pt>
                <c:pt idx="4">
                  <c:v>867.21115339007997</c:v>
                </c:pt>
                <c:pt idx="5">
                  <c:v>905.36844413924405</c:v>
                </c:pt>
              </c:numCache>
            </c:numRef>
          </c:val>
          <c:extLst>
            <c:ext xmlns:c16="http://schemas.microsoft.com/office/drawing/2014/chart" uri="{C3380CC4-5D6E-409C-BE32-E72D297353CC}">
              <c16:uniqueId val="{00000000-BAAA-4614-A85C-E0A521AF2504}"/>
            </c:ext>
          </c:extLst>
        </c:ser>
        <c:dLbls>
          <c:showLegendKey val="0"/>
          <c:showVal val="1"/>
          <c:showCatName val="0"/>
          <c:showSerName val="0"/>
          <c:showPercent val="0"/>
          <c:showBubbleSize val="0"/>
        </c:dLbls>
        <c:gapWidth val="219"/>
        <c:overlap val="-27"/>
        <c:axId val="299704882"/>
        <c:axId val="565078541"/>
      </c:barChart>
      <c:catAx>
        <c:axId val="299704882"/>
        <c:scaling>
          <c:orientation val="minMax"/>
        </c:scaling>
        <c:delete val="0"/>
        <c:axPos val="b"/>
        <c:numFmt formatCode="General" sourceLinked="0"/>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565078541"/>
        <c:crosses val="autoZero"/>
        <c:auto val="1"/>
        <c:lblAlgn val="ctr"/>
        <c:lblOffset val="100"/>
        <c:noMultiLvlLbl val="0"/>
      </c:catAx>
      <c:valAx>
        <c:axId val="565078541"/>
        <c:scaling>
          <c:orientation val="minMax"/>
        </c:scaling>
        <c:delete val="0"/>
        <c:axPos val="l"/>
        <c:majorGridlines>
          <c:spPr>
            <a:ln w="9525" cap="flat" cmpd="sng" algn="ctr">
              <a:solidFill>
                <a:srgbClr val="D9D9D9">
                  <a:lumMod val="15000"/>
                  <a:lumOff val="85000"/>
                </a:srgbClr>
              </a:solidFill>
              <a:round/>
            </a:ln>
            <a:effectLst/>
          </c:spPr>
        </c:majorGridlines>
        <c:numFmt formatCode="#,##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299704882"/>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宋体" panose="02010600030101010101" charset="-122"/>
                <a:ea typeface="宋体" panose="02010600030101010101" charset="-122"/>
                <a:cs typeface="宋体" panose="02010600030101010101" charset="-122"/>
                <a:sym typeface="宋体" panose="02010600030101010101" charset="-122"/>
              </a:defRPr>
            </a:pPr>
            <a:endParaRPr lang="zh-CN"/>
          </a:p>
        </c:txPr>
      </c:legendEntry>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solidFill>
              <a:latin typeface="宋体" panose="02010600030101010101" charset="-122"/>
              <a:ea typeface="宋体" panose="02010600030101010101" charset="-122"/>
              <a:cs typeface="宋体" panose="02010600030101010101" charset="-122"/>
              <a:sym typeface="宋体" panose="02010600030101010101" charset="-122"/>
            </a:defRPr>
          </a:pPr>
          <a:endParaRPr lang="zh-CN"/>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solidFill>
            <a:sysClr val="windowText" lastClr="000000"/>
          </a:solidFill>
          <a:latin typeface="宋体" panose="02010600030101010101" charset="-122"/>
          <a:ea typeface="宋体" panose="02010600030101010101" charset="-122"/>
          <a:cs typeface="宋体" panose="02010600030101010101" charset="-122"/>
          <a:sym typeface="宋体" panose="02010600030101010101" charset="-122"/>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28902</Words>
  <Characters>164745</Characters>
  <Application>Microsoft Office Word</Application>
  <DocSecurity>0</DocSecurity>
  <Lines>1372</Lines>
  <Paragraphs>386</Paragraphs>
  <ScaleCrop>false</ScaleCrop>
  <Company>Microsoft</Company>
  <LinksUpToDate>false</LinksUpToDate>
  <CharactersWithSpaces>193261</CharactersWithSpaces>
  <SharedDoc>false</SharedDoc>
  <HLinks>
    <vt:vector size="498" baseType="variant">
      <vt:variant>
        <vt:i4>1376313</vt:i4>
      </vt:variant>
      <vt:variant>
        <vt:i4>494</vt:i4>
      </vt:variant>
      <vt:variant>
        <vt:i4>0</vt:i4>
      </vt:variant>
      <vt:variant>
        <vt:i4>5</vt:i4>
      </vt:variant>
      <vt:variant>
        <vt:lpwstr/>
      </vt:variant>
      <vt:variant>
        <vt:lpwstr>_Toc152320845</vt:lpwstr>
      </vt:variant>
      <vt:variant>
        <vt:i4>1376313</vt:i4>
      </vt:variant>
      <vt:variant>
        <vt:i4>488</vt:i4>
      </vt:variant>
      <vt:variant>
        <vt:i4>0</vt:i4>
      </vt:variant>
      <vt:variant>
        <vt:i4>5</vt:i4>
      </vt:variant>
      <vt:variant>
        <vt:lpwstr/>
      </vt:variant>
      <vt:variant>
        <vt:lpwstr>_Toc152320844</vt:lpwstr>
      </vt:variant>
      <vt:variant>
        <vt:i4>1376313</vt:i4>
      </vt:variant>
      <vt:variant>
        <vt:i4>482</vt:i4>
      </vt:variant>
      <vt:variant>
        <vt:i4>0</vt:i4>
      </vt:variant>
      <vt:variant>
        <vt:i4>5</vt:i4>
      </vt:variant>
      <vt:variant>
        <vt:lpwstr/>
      </vt:variant>
      <vt:variant>
        <vt:lpwstr>_Toc152320843</vt:lpwstr>
      </vt:variant>
      <vt:variant>
        <vt:i4>1376313</vt:i4>
      </vt:variant>
      <vt:variant>
        <vt:i4>476</vt:i4>
      </vt:variant>
      <vt:variant>
        <vt:i4>0</vt:i4>
      </vt:variant>
      <vt:variant>
        <vt:i4>5</vt:i4>
      </vt:variant>
      <vt:variant>
        <vt:lpwstr/>
      </vt:variant>
      <vt:variant>
        <vt:lpwstr>_Toc152320842</vt:lpwstr>
      </vt:variant>
      <vt:variant>
        <vt:i4>1376313</vt:i4>
      </vt:variant>
      <vt:variant>
        <vt:i4>470</vt:i4>
      </vt:variant>
      <vt:variant>
        <vt:i4>0</vt:i4>
      </vt:variant>
      <vt:variant>
        <vt:i4>5</vt:i4>
      </vt:variant>
      <vt:variant>
        <vt:lpwstr/>
      </vt:variant>
      <vt:variant>
        <vt:lpwstr>_Toc152320841</vt:lpwstr>
      </vt:variant>
      <vt:variant>
        <vt:i4>1376313</vt:i4>
      </vt:variant>
      <vt:variant>
        <vt:i4>464</vt:i4>
      </vt:variant>
      <vt:variant>
        <vt:i4>0</vt:i4>
      </vt:variant>
      <vt:variant>
        <vt:i4>5</vt:i4>
      </vt:variant>
      <vt:variant>
        <vt:lpwstr/>
      </vt:variant>
      <vt:variant>
        <vt:lpwstr>_Toc152320840</vt:lpwstr>
      </vt:variant>
      <vt:variant>
        <vt:i4>1179705</vt:i4>
      </vt:variant>
      <vt:variant>
        <vt:i4>458</vt:i4>
      </vt:variant>
      <vt:variant>
        <vt:i4>0</vt:i4>
      </vt:variant>
      <vt:variant>
        <vt:i4>5</vt:i4>
      </vt:variant>
      <vt:variant>
        <vt:lpwstr/>
      </vt:variant>
      <vt:variant>
        <vt:lpwstr>_Toc152320839</vt:lpwstr>
      </vt:variant>
      <vt:variant>
        <vt:i4>1179705</vt:i4>
      </vt:variant>
      <vt:variant>
        <vt:i4>452</vt:i4>
      </vt:variant>
      <vt:variant>
        <vt:i4>0</vt:i4>
      </vt:variant>
      <vt:variant>
        <vt:i4>5</vt:i4>
      </vt:variant>
      <vt:variant>
        <vt:lpwstr/>
      </vt:variant>
      <vt:variant>
        <vt:lpwstr>_Toc152320838</vt:lpwstr>
      </vt:variant>
      <vt:variant>
        <vt:i4>1179705</vt:i4>
      </vt:variant>
      <vt:variant>
        <vt:i4>446</vt:i4>
      </vt:variant>
      <vt:variant>
        <vt:i4>0</vt:i4>
      </vt:variant>
      <vt:variant>
        <vt:i4>5</vt:i4>
      </vt:variant>
      <vt:variant>
        <vt:lpwstr/>
      </vt:variant>
      <vt:variant>
        <vt:lpwstr>_Toc152320837</vt:lpwstr>
      </vt:variant>
      <vt:variant>
        <vt:i4>1179705</vt:i4>
      </vt:variant>
      <vt:variant>
        <vt:i4>440</vt:i4>
      </vt:variant>
      <vt:variant>
        <vt:i4>0</vt:i4>
      </vt:variant>
      <vt:variant>
        <vt:i4>5</vt:i4>
      </vt:variant>
      <vt:variant>
        <vt:lpwstr/>
      </vt:variant>
      <vt:variant>
        <vt:lpwstr>_Toc152320836</vt:lpwstr>
      </vt:variant>
      <vt:variant>
        <vt:i4>1179705</vt:i4>
      </vt:variant>
      <vt:variant>
        <vt:i4>434</vt:i4>
      </vt:variant>
      <vt:variant>
        <vt:i4>0</vt:i4>
      </vt:variant>
      <vt:variant>
        <vt:i4>5</vt:i4>
      </vt:variant>
      <vt:variant>
        <vt:lpwstr/>
      </vt:variant>
      <vt:variant>
        <vt:lpwstr>_Toc152320835</vt:lpwstr>
      </vt:variant>
      <vt:variant>
        <vt:i4>1179705</vt:i4>
      </vt:variant>
      <vt:variant>
        <vt:i4>428</vt:i4>
      </vt:variant>
      <vt:variant>
        <vt:i4>0</vt:i4>
      </vt:variant>
      <vt:variant>
        <vt:i4>5</vt:i4>
      </vt:variant>
      <vt:variant>
        <vt:lpwstr/>
      </vt:variant>
      <vt:variant>
        <vt:lpwstr>_Toc152320834</vt:lpwstr>
      </vt:variant>
      <vt:variant>
        <vt:i4>1179705</vt:i4>
      </vt:variant>
      <vt:variant>
        <vt:i4>422</vt:i4>
      </vt:variant>
      <vt:variant>
        <vt:i4>0</vt:i4>
      </vt:variant>
      <vt:variant>
        <vt:i4>5</vt:i4>
      </vt:variant>
      <vt:variant>
        <vt:lpwstr/>
      </vt:variant>
      <vt:variant>
        <vt:lpwstr>_Toc152320833</vt:lpwstr>
      </vt:variant>
      <vt:variant>
        <vt:i4>1179705</vt:i4>
      </vt:variant>
      <vt:variant>
        <vt:i4>416</vt:i4>
      </vt:variant>
      <vt:variant>
        <vt:i4>0</vt:i4>
      </vt:variant>
      <vt:variant>
        <vt:i4>5</vt:i4>
      </vt:variant>
      <vt:variant>
        <vt:lpwstr/>
      </vt:variant>
      <vt:variant>
        <vt:lpwstr>_Toc152320832</vt:lpwstr>
      </vt:variant>
      <vt:variant>
        <vt:i4>1179705</vt:i4>
      </vt:variant>
      <vt:variant>
        <vt:i4>410</vt:i4>
      </vt:variant>
      <vt:variant>
        <vt:i4>0</vt:i4>
      </vt:variant>
      <vt:variant>
        <vt:i4>5</vt:i4>
      </vt:variant>
      <vt:variant>
        <vt:lpwstr/>
      </vt:variant>
      <vt:variant>
        <vt:lpwstr>_Toc152320831</vt:lpwstr>
      </vt:variant>
      <vt:variant>
        <vt:i4>1179705</vt:i4>
      </vt:variant>
      <vt:variant>
        <vt:i4>404</vt:i4>
      </vt:variant>
      <vt:variant>
        <vt:i4>0</vt:i4>
      </vt:variant>
      <vt:variant>
        <vt:i4>5</vt:i4>
      </vt:variant>
      <vt:variant>
        <vt:lpwstr/>
      </vt:variant>
      <vt:variant>
        <vt:lpwstr>_Toc152320830</vt:lpwstr>
      </vt:variant>
      <vt:variant>
        <vt:i4>1245241</vt:i4>
      </vt:variant>
      <vt:variant>
        <vt:i4>398</vt:i4>
      </vt:variant>
      <vt:variant>
        <vt:i4>0</vt:i4>
      </vt:variant>
      <vt:variant>
        <vt:i4>5</vt:i4>
      </vt:variant>
      <vt:variant>
        <vt:lpwstr/>
      </vt:variant>
      <vt:variant>
        <vt:lpwstr>_Toc152320829</vt:lpwstr>
      </vt:variant>
      <vt:variant>
        <vt:i4>1245241</vt:i4>
      </vt:variant>
      <vt:variant>
        <vt:i4>392</vt:i4>
      </vt:variant>
      <vt:variant>
        <vt:i4>0</vt:i4>
      </vt:variant>
      <vt:variant>
        <vt:i4>5</vt:i4>
      </vt:variant>
      <vt:variant>
        <vt:lpwstr/>
      </vt:variant>
      <vt:variant>
        <vt:lpwstr>_Toc152320828</vt:lpwstr>
      </vt:variant>
      <vt:variant>
        <vt:i4>1245241</vt:i4>
      </vt:variant>
      <vt:variant>
        <vt:i4>386</vt:i4>
      </vt:variant>
      <vt:variant>
        <vt:i4>0</vt:i4>
      </vt:variant>
      <vt:variant>
        <vt:i4>5</vt:i4>
      </vt:variant>
      <vt:variant>
        <vt:lpwstr/>
      </vt:variant>
      <vt:variant>
        <vt:lpwstr>_Toc152320827</vt:lpwstr>
      </vt:variant>
      <vt:variant>
        <vt:i4>1245241</vt:i4>
      </vt:variant>
      <vt:variant>
        <vt:i4>380</vt:i4>
      </vt:variant>
      <vt:variant>
        <vt:i4>0</vt:i4>
      </vt:variant>
      <vt:variant>
        <vt:i4>5</vt:i4>
      </vt:variant>
      <vt:variant>
        <vt:lpwstr/>
      </vt:variant>
      <vt:variant>
        <vt:lpwstr>_Toc152320826</vt:lpwstr>
      </vt:variant>
      <vt:variant>
        <vt:i4>1245241</vt:i4>
      </vt:variant>
      <vt:variant>
        <vt:i4>374</vt:i4>
      </vt:variant>
      <vt:variant>
        <vt:i4>0</vt:i4>
      </vt:variant>
      <vt:variant>
        <vt:i4>5</vt:i4>
      </vt:variant>
      <vt:variant>
        <vt:lpwstr/>
      </vt:variant>
      <vt:variant>
        <vt:lpwstr>_Toc152320825</vt:lpwstr>
      </vt:variant>
      <vt:variant>
        <vt:i4>1245241</vt:i4>
      </vt:variant>
      <vt:variant>
        <vt:i4>368</vt:i4>
      </vt:variant>
      <vt:variant>
        <vt:i4>0</vt:i4>
      </vt:variant>
      <vt:variant>
        <vt:i4>5</vt:i4>
      </vt:variant>
      <vt:variant>
        <vt:lpwstr/>
      </vt:variant>
      <vt:variant>
        <vt:lpwstr>_Toc152320824</vt:lpwstr>
      </vt:variant>
      <vt:variant>
        <vt:i4>1245241</vt:i4>
      </vt:variant>
      <vt:variant>
        <vt:i4>362</vt:i4>
      </vt:variant>
      <vt:variant>
        <vt:i4>0</vt:i4>
      </vt:variant>
      <vt:variant>
        <vt:i4>5</vt:i4>
      </vt:variant>
      <vt:variant>
        <vt:lpwstr/>
      </vt:variant>
      <vt:variant>
        <vt:lpwstr>_Toc152320823</vt:lpwstr>
      </vt:variant>
      <vt:variant>
        <vt:i4>1245241</vt:i4>
      </vt:variant>
      <vt:variant>
        <vt:i4>356</vt:i4>
      </vt:variant>
      <vt:variant>
        <vt:i4>0</vt:i4>
      </vt:variant>
      <vt:variant>
        <vt:i4>5</vt:i4>
      </vt:variant>
      <vt:variant>
        <vt:lpwstr/>
      </vt:variant>
      <vt:variant>
        <vt:lpwstr>_Toc152320822</vt:lpwstr>
      </vt:variant>
      <vt:variant>
        <vt:i4>1245241</vt:i4>
      </vt:variant>
      <vt:variant>
        <vt:i4>350</vt:i4>
      </vt:variant>
      <vt:variant>
        <vt:i4>0</vt:i4>
      </vt:variant>
      <vt:variant>
        <vt:i4>5</vt:i4>
      </vt:variant>
      <vt:variant>
        <vt:lpwstr/>
      </vt:variant>
      <vt:variant>
        <vt:lpwstr>_Toc152320821</vt:lpwstr>
      </vt:variant>
      <vt:variant>
        <vt:i4>1245241</vt:i4>
      </vt:variant>
      <vt:variant>
        <vt:i4>344</vt:i4>
      </vt:variant>
      <vt:variant>
        <vt:i4>0</vt:i4>
      </vt:variant>
      <vt:variant>
        <vt:i4>5</vt:i4>
      </vt:variant>
      <vt:variant>
        <vt:lpwstr/>
      </vt:variant>
      <vt:variant>
        <vt:lpwstr>_Toc152320820</vt:lpwstr>
      </vt:variant>
      <vt:variant>
        <vt:i4>1048633</vt:i4>
      </vt:variant>
      <vt:variant>
        <vt:i4>338</vt:i4>
      </vt:variant>
      <vt:variant>
        <vt:i4>0</vt:i4>
      </vt:variant>
      <vt:variant>
        <vt:i4>5</vt:i4>
      </vt:variant>
      <vt:variant>
        <vt:lpwstr/>
      </vt:variant>
      <vt:variant>
        <vt:lpwstr>_Toc152320819</vt:lpwstr>
      </vt:variant>
      <vt:variant>
        <vt:i4>1048633</vt:i4>
      </vt:variant>
      <vt:variant>
        <vt:i4>332</vt:i4>
      </vt:variant>
      <vt:variant>
        <vt:i4>0</vt:i4>
      </vt:variant>
      <vt:variant>
        <vt:i4>5</vt:i4>
      </vt:variant>
      <vt:variant>
        <vt:lpwstr/>
      </vt:variant>
      <vt:variant>
        <vt:lpwstr>_Toc152320818</vt:lpwstr>
      </vt:variant>
      <vt:variant>
        <vt:i4>1048633</vt:i4>
      </vt:variant>
      <vt:variant>
        <vt:i4>326</vt:i4>
      </vt:variant>
      <vt:variant>
        <vt:i4>0</vt:i4>
      </vt:variant>
      <vt:variant>
        <vt:i4>5</vt:i4>
      </vt:variant>
      <vt:variant>
        <vt:lpwstr/>
      </vt:variant>
      <vt:variant>
        <vt:lpwstr>_Toc152320817</vt:lpwstr>
      </vt:variant>
      <vt:variant>
        <vt:i4>1048633</vt:i4>
      </vt:variant>
      <vt:variant>
        <vt:i4>320</vt:i4>
      </vt:variant>
      <vt:variant>
        <vt:i4>0</vt:i4>
      </vt:variant>
      <vt:variant>
        <vt:i4>5</vt:i4>
      </vt:variant>
      <vt:variant>
        <vt:lpwstr/>
      </vt:variant>
      <vt:variant>
        <vt:lpwstr>_Toc152320816</vt:lpwstr>
      </vt:variant>
      <vt:variant>
        <vt:i4>1048633</vt:i4>
      </vt:variant>
      <vt:variant>
        <vt:i4>314</vt:i4>
      </vt:variant>
      <vt:variant>
        <vt:i4>0</vt:i4>
      </vt:variant>
      <vt:variant>
        <vt:i4>5</vt:i4>
      </vt:variant>
      <vt:variant>
        <vt:lpwstr/>
      </vt:variant>
      <vt:variant>
        <vt:lpwstr>_Toc152320815</vt:lpwstr>
      </vt:variant>
      <vt:variant>
        <vt:i4>1048633</vt:i4>
      </vt:variant>
      <vt:variant>
        <vt:i4>308</vt:i4>
      </vt:variant>
      <vt:variant>
        <vt:i4>0</vt:i4>
      </vt:variant>
      <vt:variant>
        <vt:i4>5</vt:i4>
      </vt:variant>
      <vt:variant>
        <vt:lpwstr/>
      </vt:variant>
      <vt:variant>
        <vt:lpwstr>_Toc152320814</vt:lpwstr>
      </vt:variant>
      <vt:variant>
        <vt:i4>1048633</vt:i4>
      </vt:variant>
      <vt:variant>
        <vt:i4>302</vt:i4>
      </vt:variant>
      <vt:variant>
        <vt:i4>0</vt:i4>
      </vt:variant>
      <vt:variant>
        <vt:i4>5</vt:i4>
      </vt:variant>
      <vt:variant>
        <vt:lpwstr/>
      </vt:variant>
      <vt:variant>
        <vt:lpwstr>_Toc152320813</vt:lpwstr>
      </vt:variant>
      <vt:variant>
        <vt:i4>1048633</vt:i4>
      </vt:variant>
      <vt:variant>
        <vt:i4>296</vt:i4>
      </vt:variant>
      <vt:variant>
        <vt:i4>0</vt:i4>
      </vt:variant>
      <vt:variant>
        <vt:i4>5</vt:i4>
      </vt:variant>
      <vt:variant>
        <vt:lpwstr/>
      </vt:variant>
      <vt:variant>
        <vt:lpwstr>_Toc152320812</vt:lpwstr>
      </vt:variant>
      <vt:variant>
        <vt:i4>1048633</vt:i4>
      </vt:variant>
      <vt:variant>
        <vt:i4>290</vt:i4>
      </vt:variant>
      <vt:variant>
        <vt:i4>0</vt:i4>
      </vt:variant>
      <vt:variant>
        <vt:i4>5</vt:i4>
      </vt:variant>
      <vt:variant>
        <vt:lpwstr/>
      </vt:variant>
      <vt:variant>
        <vt:lpwstr>_Toc152320811</vt:lpwstr>
      </vt:variant>
      <vt:variant>
        <vt:i4>1048633</vt:i4>
      </vt:variant>
      <vt:variant>
        <vt:i4>284</vt:i4>
      </vt:variant>
      <vt:variant>
        <vt:i4>0</vt:i4>
      </vt:variant>
      <vt:variant>
        <vt:i4>5</vt:i4>
      </vt:variant>
      <vt:variant>
        <vt:lpwstr/>
      </vt:variant>
      <vt:variant>
        <vt:lpwstr>_Toc152320810</vt:lpwstr>
      </vt:variant>
      <vt:variant>
        <vt:i4>1114169</vt:i4>
      </vt:variant>
      <vt:variant>
        <vt:i4>278</vt:i4>
      </vt:variant>
      <vt:variant>
        <vt:i4>0</vt:i4>
      </vt:variant>
      <vt:variant>
        <vt:i4>5</vt:i4>
      </vt:variant>
      <vt:variant>
        <vt:lpwstr/>
      </vt:variant>
      <vt:variant>
        <vt:lpwstr>_Toc152320809</vt:lpwstr>
      </vt:variant>
      <vt:variant>
        <vt:i4>1114169</vt:i4>
      </vt:variant>
      <vt:variant>
        <vt:i4>272</vt:i4>
      </vt:variant>
      <vt:variant>
        <vt:i4>0</vt:i4>
      </vt:variant>
      <vt:variant>
        <vt:i4>5</vt:i4>
      </vt:variant>
      <vt:variant>
        <vt:lpwstr/>
      </vt:variant>
      <vt:variant>
        <vt:lpwstr>_Toc152320808</vt:lpwstr>
      </vt:variant>
      <vt:variant>
        <vt:i4>1114169</vt:i4>
      </vt:variant>
      <vt:variant>
        <vt:i4>266</vt:i4>
      </vt:variant>
      <vt:variant>
        <vt:i4>0</vt:i4>
      </vt:variant>
      <vt:variant>
        <vt:i4>5</vt:i4>
      </vt:variant>
      <vt:variant>
        <vt:lpwstr/>
      </vt:variant>
      <vt:variant>
        <vt:lpwstr>_Toc152320807</vt:lpwstr>
      </vt:variant>
      <vt:variant>
        <vt:i4>1114169</vt:i4>
      </vt:variant>
      <vt:variant>
        <vt:i4>260</vt:i4>
      </vt:variant>
      <vt:variant>
        <vt:i4>0</vt:i4>
      </vt:variant>
      <vt:variant>
        <vt:i4>5</vt:i4>
      </vt:variant>
      <vt:variant>
        <vt:lpwstr/>
      </vt:variant>
      <vt:variant>
        <vt:lpwstr>_Toc152320806</vt:lpwstr>
      </vt:variant>
      <vt:variant>
        <vt:i4>1114169</vt:i4>
      </vt:variant>
      <vt:variant>
        <vt:i4>254</vt:i4>
      </vt:variant>
      <vt:variant>
        <vt:i4>0</vt:i4>
      </vt:variant>
      <vt:variant>
        <vt:i4>5</vt:i4>
      </vt:variant>
      <vt:variant>
        <vt:lpwstr/>
      </vt:variant>
      <vt:variant>
        <vt:lpwstr>_Toc152320805</vt:lpwstr>
      </vt:variant>
      <vt:variant>
        <vt:i4>1114169</vt:i4>
      </vt:variant>
      <vt:variant>
        <vt:i4>248</vt:i4>
      </vt:variant>
      <vt:variant>
        <vt:i4>0</vt:i4>
      </vt:variant>
      <vt:variant>
        <vt:i4>5</vt:i4>
      </vt:variant>
      <vt:variant>
        <vt:lpwstr/>
      </vt:variant>
      <vt:variant>
        <vt:lpwstr>_Toc152320804</vt:lpwstr>
      </vt:variant>
      <vt:variant>
        <vt:i4>1114169</vt:i4>
      </vt:variant>
      <vt:variant>
        <vt:i4>242</vt:i4>
      </vt:variant>
      <vt:variant>
        <vt:i4>0</vt:i4>
      </vt:variant>
      <vt:variant>
        <vt:i4>5</vt:i4>
      </vt:variant>
      <vt:variant>
        <vt:lpwstr/>
      </vt:variant>
      <vt:variant>
        <vt:lpwstr>_Toc152320803</vt:lpwstr>
      </vt:variant>
      <vt:variant>
        <vt:i4>1114169</vt:i4>
      </vt:variant>
      <vt:variant>
        <vt:i4>236</vt:i4>
      </vt:variant>
      <vt:variant>
        <vt:i4>0</vt:i4>
      </vt:variant>
      <vt:variant>
        <vt:i4>5</vt:i4>
      </vt:variant>
      <vt:variant>
        <vt:lpwstr/>
      </vt:variant>
      <vt:variant>
        <vt:lpwstr>_Toc152320802</vt:lpwstr>
      </vt:variant>
      <vt:variant>
        <vt:i4>1114169</vt:i4>
      </vt:variant>
      <vt:variant>
        <vt:i4>230</vt:i4>
      </vt:variant>
      <vt:variant>
        <vt:i4>0</vt:i4>
      </vt:variant>
      <vt:variant>
        <vt:i4>5</vt:i4>
      </vt:variant>
      <vt:variant>
        <vt:lpwstr/>
      </vt:variant>
      <vt:variant>
        <vt:lpwstr>_Toc152320801</vt:lpwstr>
      </vt:variant>
      <vt:variant>
        <vt:i4>1114169</vt:i4>
      </vt:variant>
      <vt:variant>
        <vt:i4>224</vt:i4>
      </vt:variant>
      <vt:variant>
        <vt:i4>0</vt:i4>
      </vt:variant>
      <vt:variant>
        <vt:i4>5</vt:i4>
      </vt:variant>
      <vt:variant>
        <vt:lpwstr/>
      </vt:variant>
      <vt:variant>
        <vt:lpwstr>_Toc152320800</vt:lpwstr>
      </vt:variant>
      <vt:variant>
        <vt:i4>1572918</vt:i4>
      </vt:variant>
      <vt:variant>
        <vt:i4>218</vt:i4>
      </vt:variant>
      <vt:variant>
        <vt:i4>0</vt:i4>
      </vt:variant>
      <vt:variant>
        <vt:i4>5</vt:i4>
      </vt:variant>
      <vt:variant>
        <vt:lpwstr/>
      </vt:variant>
      <vt:variant>
        <vt:lpwstr>_Toc152320799</vt:lpwstr>
      </vt:variant>
      <vt:variant>
        <vt:i4>1572918</vt:i4>
      </vt:variant>
      <vt:variant>
        <vt:i4>212</vt:i4>
      </vt:variant>
      <vt:variant>
        <vt:i4>0</vt:i4>
      </vt:variant>
      <vt:variant>
        <vt:i4>5</vt:i4>
      </vt:variant>
      <vt:variant>
        <vt:lpwstr/>
      </vt:variant>
      <vt:variant>
        <vt:lpwstr>_Toc152320798</vt:lpwstr>
      </vt:variant>
      <vt:variant>
        <vt:i4>1572918</vt:i4>
      </vt:variant>
      <vt:variant>
        <vt:i4>206</vt:i4>
      </vt:variant>
      <vt:variant>
        <vt:i4>0</vt:i4>
      </vt:variant>
      <vt:variant>
        <vt:i4>5</vt:i4>
      </vt:variant>
      <vt:variant>
        <vt:lpwstr/>
      </vt:variant>
      <vt:variant>
        <vt:lpwstr>_Toc152320797</vt:lpwstr>
      </vt:variant>
      <vt:variant>
        <vt:i4>1572918</vt:i4>
      </vt:variant>
      <vt:variant>
        <vt:i4>200</vt:i4>
      </vt:variant>
      <vt:variant>
        <vt:i4>0</vt:i4>
      </vt:variant>
      <vt:variant>
        <vt:i4>5</vt:i4>
      </vt:variant>
      <vt:variant>
        <vt:lpwstr/>
      </vt:variant>
      <vt:variant>
        <vt:lpwstr>_Toc152320796</vt:lpwstr>
      </vt:variant>
      <vt:variant>
        <vt:i4>1572918</vt:i4>
      </vt:variant>
      <vt:variant>
        <vt:i4>194</vt:i4>
      </vt:variant>
      <vt:variant>
        <vt:i4>0</vt:i4>
      </vt:variant>
      <vt:variant>
        <vt:i4>5</vt:i4>
      </vt:variant>
      <vt:variant>
        <vt:lpwstr/>
      </vt:variant>
      <vt:variant>
        <vt:lpwstr>_Toc152320795</vt:lpwstr>
      </vt:variant>
      <vt:variant>
        <vt:i4>1572918</vt:i4>
      </vt:variant>
      <vt:variant>
        <vt:i4>188</vt:i4>
      </vt:variant>
      <vt:variant>
        <vt:i4>0</vt:i4>
      </vt:variant>
      <vt:variant>
        <vt:i4>5</vt:i4>
      </vt:variant>
      <vt:variant>
        <vt:lpwstr/>
      </vt:variant>
      <vt:variant>
        <vt:lpwstr>_Toc152320794</vt:lpwstr>
      </vt:variant>
      <vt:variant>
        <vt:i4>1572918</vt:i4>
      </vt:variant>
      <vt:variant>
        <vt:i4>182</vt:i4>
      </vt:variant>
      <vt:variant>
        <vt:i4>0</vt:i4>
      </vt:variant>
      <vt:variant>
        <vt:i4>5</vt:i4>
      </vt:variant>
      <vt:variant>
        <vt:lpwstr/>
      </vt:variant>
      <vt:variant>
        <vt:lpwstr>_Toc152320793</vt:lpwstr>
      </vt:variant>
      <vt:variant>
        <vt:i4>1572918</vt:i4>
      </vt:variant>
      <vt:variant>
        <vt:i4>176</vt:i4>
      </vt:variant>
      <vt:variant>
        <vt:i4>0</vt:i4>
      </vt:variant>
      <vt:variant>
        <vt:i4>5</vt:i4>
      </vt:variant>
      <vt:variant>
        <vt:lpwstr/>
      </vt:variant>
      <vt:variant>
        <vt:lpwstr>_Toc152320792</vt:lpwstr>
      </vt:variant>
      <vt:variant>
        <vt:i4>1572918</vt:i4>
      </vt:variant>
      <vt:variant>
        <vt:i4>170</vt:i4>
      </vt:variant>
      <vt:variant>
        <vt:i4>0</vt:i4>
      </vt:variant>
      <vt:variant>
        <vt:i4>5</vt:i4>
      </vt:variant>
      <vt:variant>
        <vt:lpwstr/>
      </vt:variant>
      <vt:variant>
        <vt:lpwstr>_Toc152320791</vt:lpwstr>
      </vt:variant>
      <vt:variant>
        <vt:i4>1572918</vt:i4>
      </vt:variant>
      <vt:variant>
        <vt:i4>164</vt:i4>
      </vt:variant>
      <vt:variant>
        <vt:i4>0</vt:i4>
      </vt:variant>
      <vt:variant>
        <vt:i4>5</vt:i4>
      </vt:variant>
      <vt:variant>
        <vt:lpwstr/>
      </vt:variant>
      <vt:variant>
        <vt:lpwstr>_Toc152320790</vt:lpwstr>
      </vt:variant>
      <vt:variant>
        <vt:i4>1638454</vt:i4>
      </vt:variant>
      <vt:variant>
        <vt:i4>158</vt:i4>
      </vt:variant>
      <vt:variant>
        <vt:i4>0</vt:i4>
      </vt:variant>
      <vt:variant>
        <vt:i4>5</vt:i4>
      </vt:variant>
      <vt:variant>
        <vt:lpwstr/>
      </vt:variant>
      <vt:variant>
        <vt:lpwstr>_Toc152320789</vt:lpwstr>
      </vt:variant>
      <vt:variant>
        <vt:i4>1638454</vt:i4>
      </vt:variant>
      <vt:variant>
        <vt:i4>152</vt:i4>
      </vt:variant>
      <vt:variant>
        <vt:i4>0</vt:i4>
      </vt:variant>
      <vt:variant>
        <vt:i4>5</vt:i4>
      </vt:variant>
      <vt:variant>
        <vt:lpwstr/>
      </vt:variant>
      <vt:variant>
        <vt:lpwstr>_Toc152320788</vt:lpwstr>
      </vt:variant>
      <vt:variant>
        <vt:i4>1638454</vt:i4>
      </vt:variant>
      <vt:variant>
        <vt:i4>146</vt:i4>
      </vt:variant>
      <vt:variant>
        <vt:i4>0</vt:i4>
      </vt:variant>
      <vt:variant>
        <vt:i4>5</vt:i4>
      </vt:variant>
      <vt:variant>
        <vt:lpwstr/>
      </vt:variant>
      <vt:variant>
        <vt:lpwstr>_Toc152320787</vt:lpwstr>
      </vt:variant>
      <vt:variant>
        <vt:i4>1638454</vt:i4>
      </vt:variant>
      <vt:variant>
        <vt:i4>140</vt:i4>
      </vt:variant>
      <vt:variant>
        <vt:i4>0</vt:i4>
      </vt:variant>
      <vt:variant>
        <vt:i4>5</vt:i4>
      </vt:variant>
      <vt:variant>
        <vt:lpwstr/>
      </vt:variant>
      <vt:variant>
        <vt:lpwstr>_Toc152320786</vt:lpwstr>
      </vt:variant>
      <vt:variant>
        <vt:i4>1638454</vt:i4>
      </vt:variant>
      <vt:variant>
        <vt:i4>134</vt:i4>
      </vt:variant>
      <vt:variant>
        <vt:i4>0</vt:i4>
      </vt:variant>
      <vt:variant>
        <vt:i4>5</vt:i4>
      </vt:variant>
      <vt:variant>
        <vt:lpwstr/>
      </vt:variant>
      <vt:variant>
        <vt:lpwstr>_Toc152320785</vt:lpwstr>
      </vt:variant>
      <vt:variant>
        <vt:i4>1638454</vt:i4>
      </vt:variant>
      <vt:variant>
        <vt:i4>128</vt:i4>
      </vt:variant>
      <vt:variant>
        <vt:i4>0</vt:i4>
      </vt:variant>
      <vt:variant>
        <vt:i4>5</vt:i4>
      </vt:variant>
      <vt:variant>
        <vt:lpwstr/>
      </vt:variant>
      <vt:variant>
        <vt:lpwstr>_Toc152320784</vt:lpwstr>
      </vt:variant>
      <vt:variant>
        <vt:i4>1638454</vt:i4>
      </vt:variant>
      <vt:variant>
        <vt:i4>122</vt:i4>
      </vt:variant>
      <vt:variant>
        <vt:i4>0</vt:i4>
      </vt:variant>
      <vt:variant>
        <vt:i4>5</vt:i4>
      </vt:variant>
      <vt:variant>
        <vt:lpwstr/>
      </vt:variant>
      <vt:variant>
        <vt:lpwstr>_Toc152320783</vt:lpwstr>
      </vt:variant>
      <vt:variant>
        <vt:i4>1638454</vt:i4>
      </vt:variant>
      <vt:variant>
        <vt:i4>116</vt:i4>
      </vt:variant>
      <vt:variant>
        <vt:i4>0</vt:i4>
      </vt:variant>
      <vt:variant>
        <vt:i4>5</vt:i4>
      </vt:variant>
      <vt:variant>
        <vt:lpwstr/>
      </vt:variant>
      <vt:variant>
        <vt:lpwstr>_Toc152320782</vt:lpwstr>
      </vt:variant>
      <vt:variant>
        <vt:i4>1638454</vt:i4>
      </vt:variant>
      <vt:variant>
        <vt:i4>110</vt:i4>
      </vt:variant>
      <vt:variant>
        <vt:i4>0</vt:i4>
      </vt:variant>
      <vt:variant>
        <vt:i4>5</vt:i4>
      </vt:variant>
      <vt:variant>
        <vt:lpwstr/>
      </vt:variant>
      <vt:variant>
        <vt:lpwstr>_Toc152320781</vt:lpwstr>
      </vt:variant>
      <vt:variant>
        <vt:i4>1638454</vt:i4>
      </vt:variant>
      <vt:variant>
        <vt:i4>104</vt:i4>
      </vt:variant>
      <vt:variant>
        <vt:i4>0</vt:i4>
      </vt:variant>
      <vt:variant>
        <vt:i4>5</vt:i4>
      </vt:variant>
      <vt:variant>
        <vt:lpwstr/>
      </vt:variant>
      <vt:variant>
        <vt:lpwstr>_Toc152320780</vt:lpwstr>
      </vt:variant>
      <vt:variant>
        <vt:i4>1441846</vt:i4>
      </vt:variant>
      <vt:variant>
        <vt:i4>98</vt:i4>
      </vt:variant>
      <vt:variant>
        <vt:i4>0</vt:i4>
      </vt:variant>
      <vt:variant>
        <vt:i4>5</vt:i4>
      </vt:variant>
      <vt:variant>
        <vt:lpwstr/>
      </vt:variant>
      <vt:variant>
        <vt:lpwstr>_Toc152320779</vt:lpwstr>
      </vt:variant>
      <vt:variant>
        <vt:i4>1441846</vt:i4>
      </vt:variant>
      <vt:variant>
        <vt:i4>92</vt:i4>
      </vt:variant>
      <vt:variant>
        <vt:i4>0</vt:i4>
      </vt:variant>
      <vt:variant>
        <vt:i4>5</vt:i4>
      </vt:variant>
      <vt:variant>
        <vt:lpwstr/>
      </vt:variant>
      <vt:variant>
        <vt:lpwstr>_Toc152320778</vt:lpwstr>
      </vt:variant>
      <vt:variant>
        <vt:i4>1441846</vt:i4>
      </vt:variant>
      <vt:variant>
        <vt:i4>86</vt:i4>
      </vt:variant>
      <vt:variant>
        <vt:i4>0</vt:i4>
      </vt:variant>
      <vt:variant>
        <vt:i4>5</vt:i4>
      </vt:variant>
      <vt:variant>
        <vt:lpwstr/>
      </vt:variant>
      <vt:variant>
        <vt:lpwstr>_Toc152320777</vt:lpwstr>
      </vt:variant>
      <vt:variant>
        <vt:i4>1441846</vt:i4>
      </vt:variant>
      <vt:variant>
        <vt:i4>80</vt:i4>
      </vt:variant>
      <vt:variant>
        <vt:i4>0</vt:i4>
      </vt:variant>
      <vt:variant>
        <vt:i4>5</vt:i4>
      </vt:variant>
      <vt:variant>
        <vt:lpwstr/>
      </vt:variant>
      <vt:variant>
        <vt:lpwstr>_Toc152320776</vt:lpwstr>
      </vt:variant>
      <vt:variant>
        <vt:i4>1441846</vt:i4>
      </vt:variant>
      <vt:variant>
        <vt:i4>74</vt:i4>
      </vt:variant>
      <vt:variant>
        <vt:i4>0</vt:i4>
      </vt:variant>
      <vt:variant>
        <vt:i4>5</vt:i4>
      </vt:variant>
      <vt:variant>
        <vt:lpwstr/>
      </vt:variant>
      <vt:variant>
        <vt:lpwstr>_Toc152320775</vt:lpwstr>
      </vt:variant>
      <vt:variant>
        <vt:i4>1441846</vt:i4>
      </vt:variant>
      <vt:variant>
        <vt:i4>68</vt:i4>
      </vt:variant>
      <vt:variant>
        <vt:i4>0</vt:i4>
      </vt:variant>
      <vt:variant>
        <vt:i4>5</vt:i4>
      </vt:variant>
      <vt:variant>
        <vt:lpwstr/>
      </vt:variant>
      <vt:variant>
        <vt:lpwstr>_Toc152320774</vt:lpwstr>
      </vt:variant>
      <vt:variant>
        <vt:i4>1441846</vt:i4>
      </vt:variant>
      <vt:variant>
        <vt:i4>62</vt:i4>
      </vt:variant>
      <vt:variant>
        <vt:i4>0</vt:i4>
      </vt:variant>
      <vt:variant>
        <vt:i4>5</vt:i4>
      </vt:variant>
      <vt:variant>
        <vt:lpwstr/>
      </vt:variant>
      <vt:variant>
        <vt:lpwstr>_Toc152320773</vt:lpwstr>
      </vt:variant>
      <vt:variant>
        <vt:i4>1441846</vt:i4>
      </vt:variant>
      <vt:variant>
        <vt:i4>56</vt:i4>
      </vt:variant>
      <vt:variant>
        <vt:i4>0</vt:i4>
      </vt:variant>
      <vt:variant>
        <vt:i4>5</vt:i4>
      </vt:variant>
      <vt:variant>
        <vt:lpwstr/>
      </vt:variant>
      <vt:variant>
        <vt:lpwstr>_Toc152320772</vt:lpwstr>
      </vt:variant>
      <vt:variant>
        <vt:i4>1441846</vt:i4>
      </vt:variant>
      <vt:variant>
        <vt:i4>50</vt:i4>
      </vt:variant>
      <vt:variant>
        <vt:i4>0</vt:i4>
      </vt:variant>
      <vt:variant>
        <vt:i4>5</vt:i4>
      </vt:variant>
      <vt:variant>
        <vt:lpwstr/>
      </vt:variant>
      <vt:variant>
        <vt:lpwstr>_Toc152320771</vt:lpwstr>
      </vt:variant>
      <vt:variant>
        <vt:i4>1441846</vt:i4>
      </vt:variant>
      <vt:variant>
        <vt:i4>44</vt:i4>
      </vt:variant>
      <vt:variant>
        <vt:i4>0</vt:i4>
      </vt:variant>
      <vt:variant>
        <vt:i4>5</vt:i4>
      </vt:variant>
      <vt:variant>
        <vt:lpwstr/>
      </vt:variant>
      <vt:variant>
        <vt:lpwstr>_Toc152320770</vt:lpwstr>
      </vt:variant>
      <vt:variant>
        <vt:i4>1507382</vt:i4>
      </vt:variant>
      <vt:variant>
        <vt:i4>38</vt:i4>
      </vt:variant>
      <vt:variant>
        <vt:i4>0</vt:i4>
      </vt:variant>
      <vt:variant>
        <vt:i4>5</vt:i4>
      </vt:variant>
      <vt:variant>
        <vt:lpwstr/>
      </vt:variant>
      <vt:variant>
        <vt:lpwstr>_Toc152320769</vt:lpwstr>
      </vt:variant>
      <vt:variant>
        <vt:i4>1507382</vt:i4>
      </vt:variant>
      <vt:variant>
        <vt:i4>32</vt:i4>
      </vt:variant>
      <vt:variant>
        <vt:i4>0</vt:i4>
      </vt:variant>
      <vt:variant>
        <vt:i4>5</vt:i4>
      </vt:variant>
      <vt:variant>
        <vt:lpwstr/>
      </vt:variant>
      <vt:variant>
        <vt:lpwstr>_Toc152320768</vt:lpwstr>
      </vt:variant>
      <vt:variant>
        <vt:i4>1507382</vt:i4>
      </vt:variant>
      <vt:variant>
        <vt:i4>26</vt:i4>
      </vt:variant>
      <vt:variant>
        <vt:i4>0</vt:i4>
      </vt:variant>
      <vt:variant>
        <vt:i4>5</vt:i4>
      </vt:variant>
      <vt:variant>
        <vt:lpwstr/>
      </vt:variant>
      <vt:variant>
        <vt:lpwstr>_Toc152320767</vt:lpwstr>
      </vt:variant>
      <vt:variant>
        <vt:i4>1507382</vt:i4>
      </vt:variant>
      <vt:variant>
        <vt:i4>20</vt:i4>
      </vt:variant>
      <vt:variant>
        <vt:i4>0</vt:i4>
      </vt:variant>
      <vt:variant>
        <vt:i4>5</vt:i4>
      </vt:variant>
      <vt:variant>
        <vt:lpwstr/>
      </vt:variant>
      <vt:variant>
        <vt:lpwstr>_Toc152320766</vt:lpwstr>
      </vt:variant>
      <vt:variant>
        <vt:i4>1507382</vt:i4>
      </vt:variant>
      <vt:variant>
        <vt:i4>14</vt:i4>
      </vt:variant>
      <vt:variant>
        <vt:i4>0</vt:i4>
      </vt:variant>
      <vt:variant>
        <vt:i4>5</vt:i4>
      </vt:variant>
      <vt:variant>
        <vt:lpwstr/>
      </vt:variant>
      <vt:variant>
        <vt:lpwstr>_Toc152320765</vt:lpwstr>
      </vt:variant>
      <vt:variant>
        <vt:i4>1507382</vt:i4>
      </vt:variant>
      <vt:variant>
        <vt:i4>8</vt:i4>
      </vt:variant>
      <vt:variant>
        <vt:i4>0</vt:i4>
      </vt:variant>
      <vt:variant>
        <vt:i4>5</vt:i4>
      </vt:variant>
      <vt:variant>
        <vt:lpwstr/>
      </vt:variant>
      <vt:variant>
        <vt:lpwstr>_Toc152320764</vt:lpwstr>
      </vt:variant>
      <vt:variant>
        <vt:i4>1507382</vt:i4>
      </vt:variant>
      <vt:variant>
        <vt:i4>2</vt:i4>
      </vt:variant>
      <vt:variant>
        <vt:i4>0</vt:i4>
      </vt:variant>
      <vt:variant>
        <vt:i4>5</vt:i4>
      </vt:variant>
      <vt:variant>
        <vt:lpwstr/>
      </vt:variant>
      <vt:variant>
        <vt:lpwstr>_Toc152320763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何帅047185</cp:lastModifiedBy>
  <cp:revision>2</cp:revision>
  <cp:lastPrinted>2024-01-02T10:51:00Z</cp:lastPrinted>
  <dcterms:created xsi:type="dcterms:W3CDTF">2024-01-02T11:57:00Z</dcterms:created>
  <dcterms:modified xsi:type="dcterms:W3CDTF">2024-01-02T11:57:00Z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9CB303DAEF9F4B96B3FDE5049E68C4A0</vt:lpwstr>
  </property>
</Properties>
</file>